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0F4C81B" w14:textId="77777777" w:rsidR="00861016" w:rsidRDefault="00861016" w:rsidP="00131975">
      <w:pPr>
        <w:pStyle w:val="Heading1"/>
        <w:spacing w:before="100" w:line="340" w:lineRule="exact"/>
        <w:ind w:left="0" w:firstLine="0"/>
        <w:jc w:val="both"/>
        <w:rPr>
          <w:rFonts w:ascii="Times New Roman" w:hAnsi="Times New Roman" w:cs="Times New Roman"/>
        </w:rPr>
      </w:pPr>
    </w:p>
    <w:p w14:paraId="0795BB8C" w14:textId="1E34AB09" w:rsidR="00417A8C" w:rsidRDefault="00417A8C" w:rsidP="00417A8C">
      <w:pPr>
        <w:pStyle w:val="Corpodeltesto"/>
        <w:tabs>
          <w:tab w:val="left" w:pos="5100"/>
        </w:tabs>
        <w:ind w:left="160"/>
        <w:rPr>
          <w:rFonts w:ascii="Times New Roman"/>
        </w:rPr>
      </w:pPr>
      <w:r>
        <w:rPr>
          <w:rFonts w:ascii="Times New Roman"/>
          <w:noProof/>
          <w:position w:val="12"/>
          <w:lang w:eastAsia="it-IT"/>
        </w:rPr>
        <w:drawing>
          <wp:inline distT="0" distB="0" distL="0" distR="0" wp14:anchorId="054FAEF9" wp14:editId="3614A1C4">
            <wp:extent cx="2302755" cy="946181"/>
            <wp:effectExtent l="0" t="0" r="8890" b="0"/>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9" cstate="print"/>
                    <a:stretch>
                      <a:fillRect/>
                    </a:stretch>
                  </pic:blipFill>
                  <pic:spPr>
                    <a:xfrm>
                      <a:off x="0" y="0"/>
                      <a:ext cx="2303936" cy="946666"/>
                    </a:xfrm>
                    <a:prstGeom prst="rect">
                      <a:avLst/>
                    </a:prstGeom>
                  </pic:spPr>
                </pic:pic>
              </a:graphicData>
            </a:graphic>
          </wp:inline>
        </w:drawing>
      </w:r>
      <w:r>
        <w:rPr>
          <w:rFonts w:ascii="Times New Roman"/>
        </w:rPr>
        <w:t xml:space="preserve">        </w:t>
      </w:r>
      <w:r>
        <w:rPr>
          <w:rFonts w:ascii="Times New Roman"/>
          <w:noProof/>
          <w:lang w:eastAsia="it-IT"/>
        </w:rPr>
        <w:drawing>
          <wp:inline distT="0" distB="0" distL="0" distR="0" wp14:anchorId="3857E891" wp14:editId="0B60F2E6">
            <wp:extent cx="2728268" cy="1209927"/>
            <wp:effectExtent l="0" t="0" r="0" b="0"/>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10" cstate="print"/>
                    <a:stretch>
                      <a:fillRect/>
                    </a:stretch>
                  </pic:blipFill>
                  <pic:spPr>
                    <a:xfrm>
                      <a:off x="0" y="0"/>
                      <a:ext cx="2729474" cy="1210462"/>
                    </a:xfrm>
                    <a:prstGeom prst="rect">
                      <a:avLst/>
                    </a:prstGeom>
                  </pic:spPr>
                </pic:pic>
              </a:graphicData>
            </a:graphic>
          </wp:inline>
        </w:drawing>
      </w:r>
    </w:p>
    <w:p w14:paraId="1648ABF3" w14:textId="77777777" w:rsidR="00417A8C" w:rsidRDefault="00417A8C" w:rsidP="00417A8C">
      <w:pPr>
        <w:pStyle w:val="Corpodeltesto"/>
        <w:spacing w:before="10"/>
        <w:rPr>
          <w:rFonts w:ascii="Times New Roman"/>
        </w:rPr>
      </w:pPr>
    </w:p>
    <w:p w14:paraId="0794AAE7" w14:textId="77777777" w:rsidR="00DF5093" w:rsidRDefault="00DF5093" w:rsidP="00417A8C">
      <w:pPr>
        <w:pStyle w:val="Corpodeltesto"/>
        <w:spacing w:before="10"/>
        <w:rPr>
          <w:rFonts w:ascii="Times New Roman"/>
        </w:rPr>
      </w:pPr>
    </w:p>
    <w:p w14:paraId="5980296A" w14:textId="5CE03941" w:rsidR="00A755C3" w:rsidRPr="00EA331A" w:rsidRDefault="00CF3957" w:rsidP="00526FB1">
      <w:pPr>
        <w:pStyle w:val="Heading1"/>
        <w:tabs>
          <w:tab w:val="left" w:pos="6804"/>
        </w:tabs>
        <w:spacing w:before="100" w:line="276" w:lineRule="auto"/>
        <w:ind w:left="1418" w:right="1834" w:firstLine="0"/>
        <w:jc w:val="left"/>
        <w:rPr>
          <w:rFonts w:ascii="Times New Roman" w:hAnsi="Times New Roman" w:cs="Times New Roman"/>
        </w:rPr>
      </w:pPr>
      <w:r>
        <w:rPr>
          <w:rFonts w:ascii="Times New Roman" w:hAnsi="Times New Roman" w:cs="Times New Roman"/>
        </w:rPr>
        <w:t xml:space="preserve">DOTTORATO DI </w:t>
      </w:r>
      <w:r w:rsidR="00A755C3" w:rsidRPr="00EA331A">
        <w:rPr>
          <w:rFonts w:ascii="Times New Roman" w:hAnsi="Times New Roman" w:cs="Times New Roman"/>
        </w:rPr>
        <w:t>RICERCA IN</w:t>
      </w:r>
      <w:r w:rsidR="00DF5093">
        <w:rPr>
          <w:rFonts w:ascii="Times New Roman" w:hAnsi="Times New Roman" w:cs="Times New Roman"/>
        </w:rPr>
        <w:t xml:space="preserve"> </w:t>
      </w:r>
      <w:r w:rsidR="00A755C3" w:rsidRPr="00EA331A">
        <w:rPr>
          <w:rFonts w:ascii="Times New Roman" w:hAnsi="Times New Roman" w:cs="Times New Roman"/>
        </w:rPr>
        <w:t>F</w:t>
      </w:r>
      <w:r w:rsidR="00E4206F">
        <w:rPr>
          <w:rFonts w:ascii="Times New Roman" w:hAnsi="Times New Roman" w:cs="Times New Roman"/>
        </w:rPr>
        <w:t>ILOSOFIA</w:t>
      </w:r>
    </w:p>
    <w:p w14:paraId="4AD044F3" w14:textId="32F1F6C5" w:rsidR="00DF5093" w:rsidRDefault="00DF5093" w:rsidP="00526FB1">
      <w:pPr>
        <w:pStyle w:val="Heading1"/>
        <w:spacing w:before="100" w:line="276" w:lineRule="auto"/>
        <w:ind w:firstLine="0"/>
        <w:jc w:val="left"/>
        <w:rPr>
          <w:rFonts w:ascii="Times New Roman" w:hAnsi="Times New Roman" w:cs="Times New Roman"/>
        </w:rPr>
      </w:pPr>
      <w:r>
        <w:rPr>
          <w:rFonts w:ascii="Times New Roman" w:hAnsi="Times New Roman" w:cs="Times New Roman"/>
        </w:rPr>
        <w:t xml:space="preserve">      </w:t>
      </w:r>
      <w:r w:rsidR="00EA331A">
        <w:rPr>
          <w:rFonts w:ascii="Times New Roman" w:hAnsi="Times New Roman" w:cs="Times New Roman"/>
        </w:rPr>
        <w:t>XXXIII CICLO</w:t>
      </w:r>
    </w:p>
    <w:p w14:paraId="7E24CCB2" w14:textId="395110FC" w:rsidR="00DF5093" w:rsidRDefault="00DF5093" w:rsidP="00526FB1">
      <w:pPr>
        <w:pStyle w:val="Heading1"/>
        <w:tabs>
          <w:tab w:val="left" w:pos="6663"/>
        </w:tabs>
        <w:spacing w:before="100" w:line="276" w:lineRule="auto"/>
        <w:ind w:left="1418" w:right="1976" w:firstLine="0"/>
        <w:jc w:val="left"/>
        <w:rPr>
          <w:rFonts w:ascii="Times New Roman" w:hAnsi="Times New Roman" w:cs="Times New Roman"/>
        </w:rPr>
      </w:pPr>
      <w:r>
        <w:rPr>
          <w:rFonts w:ascii="Times New Roman" w:hAnsi="Times New Roman" w:cs="Times New Roman"/>
          <w:sz w:val="24"/>
          <w:szCs w:val="24"/>
        </w:rPr>
        <w:t xml:space="preserve">   </w:t>
      </w:r>
      <w:r w:rsidRPr="00945C56">
        <w:rPr>
          <w:rFonts w:ascii="Times New Roman" w:hAnsi="Times New Roman" w:cs="Times New Roman"/>
          <w:sz w:val="24"/>
          <w:szCs w:val="24"/>
        </w:rPr>
        <w:t>COORDINATORE Ch.mo Prof. Adriano Fabris</w:t>
      </w:r>
    </w:p>
    <w:p w14:paraId="76057613" w14:textId="77777777" w:rsidR="00DF5093" w:rsidRDefault="00DF5093" w:rsidP="00526FB1">
      <w:pPr>
        <w:pStyle w:val="Heading1"/>
        <w:spacing w:before="100" w:line="276" w:lineRule="auto"/>
        <w:ind w:left="1134" w:right="984" w:firstLine="0"/>
        <w:jc w:val="both"/>
        <w:rPr>
          <w:rFonts w:ascii="Times New Roman" w:hAnsi="Times New Roman" w:cs="Times New Roman"/>
          <w:lang w:val="de-DE"/>
        </w:rPr>
      </w:pPr>
    </w:p>
    <w:p w14:paraId="2C2AD002" w14:textId="77777777" w:rsidR="00DF5093" w:rsidRPr="00DF5093" w:rsidRDefault="00DF5093" w:rsidP="00526FB1">
      <w:pPr>
        <w:pStyle w:val="Heading1"/>
        <w:spacing w:before="100" w:line="276" w:lineRule="auto"/>
        <w:ind w:left="1134" w:right="984" w:firstLine="0"/>
        <w:jc w:val="both"/>
        <w:rPr>
          <w:rFonts w:ascii="Times New Roman" w:hAnsi="Times New Roman" w:cs="Times New Roman"/>
          <w:lang w:val="de-DE"/>
        </w:rPr>
      </w:pPr>
      <w:r w:rsidRPr="00DF5093">
        <w:rPr>
          <w:rFonts w:ascii="Times New Roman" w:hAnsi="Times New Roman" w:cs="Times New Roman"/>
          <w:lang w:val="de-DE"/>
        </w:rPr>
        <w:t>Dissertation zur Erlangung des akademischen Grades</w:t>
      </w:r>
    </w:p>
    <w:p w14:paraId="5D5A4737" w14:textId="6DEFDF35" w:rsidR="00D202F3" w:rsidRPr="00DF5093" w:rsidRDefault="00DF5093" w:rsidP="00526FB1">
      <w:pPr>
        <w:pStyle w:val="Heading1"/>
        <w:spacing w:before="100" w:line="276" w:lineRule="auto"/>
        <w:ind w:left="2268" w:firstLine="0"/>
        <w:jc w:val="both"/>
        <w:rPr>
          <w:rFonts w:ascii="Times New Roman" w:hAnsi="Times New Roman" w:cs="Times New Roman"/>
          <w:lang w:val="de-DE"/>
        </w:rPr>
      </w:pPr>
      <w:r w:rsidRPr="00DF5093">
        <w:rPr>
          <w:rFonts w:ascii="Times New Roman" w:hAnsi="Times New Roman" w:cs="Times New Roman"/>
          <w:lang w:val="de-DE"/>
        </w:rPr>
        <w:t>Doctor philosophiae (Dr. phil.)</w:t>
      </w:r>
    </w:p>
    <w:p w14:paraId="593DDAC0" w14:textId="2D515022" w:rsidR="00916BBA" w:rsidRPr="00526FB1" w:rsidRDefault="00945C56" w:rsidP="00526FB1">
      <w:pPr>
        <w:pStyle w:val="Corpodeltesto"/>
        <w:spacing w:before="1" w:line="276" w:lineRule="auto"/>
        <w:ind w:left="993" w:right="1976"/>
        <w:jc w:val="center"/>
        <w:rPr>
          <w:rFonts w:ascii="Times New Roman" w:hAnsi="Times New Roman" w:cs="Times New Roman"/>
          <w:sz w:val="24"/>
          <w:szCs w:val="24"/>
        </w:rPr>
      </w:pPr>
      <w:r>
        <w:rPr>
          <w:rFonts w:ascii="Times New Roman" w:hAnsi="Times New Roman" w:cs="Times New Roman"/>
          <w:sz w:val="24"/>
          <w:szCs w:val="24"/>
        </w:rPr>
        <w:t xml:space="preserve"> </w:t>
      </w:r>
      <w:r w:rsidR="00BC1D8E" w:rsidRPr="00945C56">
        <w:rPr>
          <w:rFonts w:ascii="Times New Roman" w:hAnsi="Times New Roman" w:cs="Times New Roman"/>
          <w:sz w:val="24"/>
          <w:szCs w:val="24"/>
        </w:rPr>
        <w:t xml:space="preserve">     </w:t>
      </w:r>
      <w:r w:rsidR="00DF5093">
        <w:rPr>
          <w:rFonts w:ascii="Times New Roman" w:hAnsi="Times New Roman" w:cs="Times New Roman"/>
          <w:sz w:val="24"/>
          <w:szCs w:val="24"/>
        </w:rPr>
        <w:t xml:space="preserve"> </w:t>
      </w:r>
    </w:p>
    <w:p w14:paraId="2652E792" w14:textId="77777777" w:rsidR="00DF5093" w:rsidRDefault="00DF5093" w:rsidP="00526FB1">
      <w:pPr>
        <w:pStyle w:val="Corpodeltesto"/>
        <w:spacing w:line="276" w:lineRule="auto"/>
        <w:rPr>
          <w:rFonts w:ascii="Times New Roman" w:hAnsi="Times New Roman" w:cs="Times New Roman"/>
        </w:rPr>
      </w:pPr>
    </w:p>
    <w:p w14:paraId="0787187D" w14:textId="63D5D871" w:rsidR="00A755C3" w:rsidRPr="00916BBA" w:rsidRDefault="00621671" w:rsidP="00526FB1">
      <w:pPr>
        <w:pStyle w:val="Corpodeltesto"/>
        <w:spacing w:line="276" w:lineRule="auto"/>
        <w:ind w:left="-284" w:right="-150"/>
        <w:jc w:val="both"/>
        <w:rPr>
          <w:rFonts w:ascii="Times New Roman" w:hAnsi="Times New Roman" w:cs="Times New Roman"/>
          <w:i/>
          <w:sz w:val="24"/>
          <w:szCs w:val="24"/>
        </w:rPr>
      </w:pPr>
      <w:r w:rsidRPr="00916BBA">
        <w:rPr>
          <w:rFonts w:ascii="Times New Roman" w:hAnsi="Times New Roman" w:cs="Times New Roman"/>
          <w:i/>
          <w:sz w:val="24"/>
          <w:szCs w:val="24"/>
        </w:rPr>
        <w:t xml:space="preserve">Fra storiografia e speculazione: immagine e funzione teorica della Qabbalah ebraica e </w:t>
      </w:r>
      <w:r w:rsidR="00DC6AF3" w:rsidRPr="00916BBA">
        <w:rPr>
          <w:rFonts w:ascii="Times New Roman" w:hAnsi="Times New Roman" w:cs="Times New Roman"/>
          <w:i/>
          <w:sz w:val="24"/>
          <w:szCs w:val="24"/>
        </w:rPr>
        <w:t>del</w:t>
      </w:r>
      <w:r w:rsidR="00916BBA">
        <w:rPr>
          <w:rFonts w:ascii="Times New Roman" w:hAnsi="Times New Roman" w:cs="Times New Roman"/>
          <w:i/>
          <w:sz w:val="24"/>
          <w:szCs w:val="24"/>
        </w:rPr>
        <w:t xml:space="preserve"> </w:t>
      </w:r>
      <w:r w:rsidRPr="00916BBA">
        <w:rPr>
          <w:rFonts w:ascii="Times New Roman" w:hAnsi="Times New Roman" w:cs="Times New Roman"/>
          <w:i/>
          <w:sz w:val="24"/>
          <w:szCs w:val="24"/>
        </w:rPr>
        <w:t>pensiero böhmiano nella formulazione hegelian</w:t>
      </w:r>
      <w:r w:rsidR="00DC6AF3" w:rsidRPr="00916BBA">
        <w:rPr>
          <w:rFonts w:ascii="Times New Roman" w:hAnsi="Times New Roman" w:cs="Times New Roman"/>
          <w:i/>
          <w:sz w:val="24"/>
          <w:szCs w:val="24"/>
        </w:rPr>
        <w:t>a</w:t>
      </w:r>
      <w:r w:rsidRPr="00916BBA">
        <w:rPr>
          <w:rFonts w:ascii="Times New Roman" w:hAnsi="Times New Roman" w:cs="Times New Roman"/>
          <w:i/>
          <w:sz w:val="24"/>
          <w:szCs w:val="24"/>
        </w:rPr>
        <w:t xml:space="preserve"> della teoria dell’absolute Negativität</w:t>
      </w:r>
    </w:p>
    <w:p w14:paraId="64C324B6" w14:textId="45459896" w:rsidR="00A755C3" w:rsidRPr="00916BBA" w:rsidRDefault="00A755C3" w:rsidP="00526FB1">
      <w:pPr>
        <w:pStyle w:val="Corpodeltesto"/>
        <w:spacing w:before="11" w:line="276" w:lineRule="auto"/>
        <w:rPr>
          <w:rFonts w:ascii="Times New Roman" w:hAnsi="Times New Roman" w:cs="Times New Roman"/>
          <w:i/>
          <w:sz w:val="24"/>
          <w:szCs w:val="24"/>
        </w:rPr>
      </w:pPr>
    </w:p>
    <w:p w14:paraId="2DD4A1B2" w14:textId="77777777" w:rsidR="00916BBA" w:rsidRPr="00916BBA" w:rsidRDefault="00916BBA" w:rsidP="00526FB1">
      <w:pPr>
        <w:pStyle w:val="Corpodeltesto"/>
        <w:spacing w:line="276" w:lineRule="auto"/>
        <w:ind w:left="-284" w:right="-150"/>
        <w:jc w:val="both"/>
        <w:rPr>
          <w:rFonts w:ascii="Times New Roman" w:hAnsi="Times New Roman" w:cs="Times New Roman"/>
          <w:i/>
          <w:sz w:val="24"/>
          <w:szCs w:val="24"/>
          <w:lang w:val="de-DE"/>
        </w:rPr>
      </w:pPr>
      <w:r w:rsidRPr="00916BBA">
        <w:rPr>
          <w:rFonts w:ascii="Times New Roman" w:hAnsi="Times New Roman" w:cs="Times New Roman"/>
          <w:i/>
          <w:sz w:val="24"/>
          <w:szCs w:val="24"/>
          <w:lang w:val="de-DE"/>
        </w:rPr>
        <w:t>Zwischen Historiographie und Spekulation: die theoretische Rolle der jüdischen Kabbala und des Böhmeschen Gedankens in der Hegelschen Erfassung der Theorie der absoluten Negativität</w:t>
      </w:r>
    </w:p>
    <w:p w14:paraId="558A947E" w14:textId="77777777" w:rsidR="00DF5093" w:rsidRPr="00EA331A" w:rsidRDefault="00DF5093" w:rsidP="00A755C3">
      <w:pPr>
        <w:pStyle w:val="Corpodeltesto"/>
        <w:spacing w:before="1"/>
        <w:rPr>
          <w:rFonts w:ascii="Times New Roman" w:hAnsi="Times New Roman" w:cs="Times New Roman"/>
          <w:sz w:val="29"/>
        </w:rPr>
      </w:pPr>
    </w:p>
    <w:p w14:paraId="2755E9D4" w14:textId="5DE8579C" w:rsidR="00A755C3" w:rsidRPr="00945C56" w:rsidRDefault="00E4206F" w:rsidP="00526FB1">
      <w:pPr>
        <w:pStyle w:val="Corpodeltesto"/>
        <w:spacing w:before="101" w:line="276" w:lineRule="auto"/>
        <w:ind w:left="426" w:right="1551" w:hanging="1135"/>
        <w:rPr>
          <w:rFonts w:ascii="Times New Roman" w:hAnsi="Times New Roman" w:cs="Times New Roman"/>
          <w:sz w:val="24"/>
          <w:szCs w:val="24"/>
        </w:rPr>
      </w:pPr>
      <w:r>
        <w:rPr>
          <w:rFonts w:ascii="Times New Roman" w:hAnsi="Times New Roman" w:cs="Times New Roman"/>
        </w:rPr>
        <w:t xml:space="preserve">                                        </w:t>
      </w:r>
      <w:r w:rsidR="00945C56">
        <w:rPr>
          <w:rFonts w:ascii="Times New Roman" w:hAnsi="Times New Roman" w:cs="Times New Roman"/>
        </w:rPr>
        <w:t xml:space="preserve">         </w:t>
      </w:r>
      <w:r>
        <w:rPr>
          <w:rFonts w:ascii="Times New Roman" w:hAnsi="Times New Roman" w:cs="Times New Roman"/>
        </w:rPr>
        <w:t xml:space="preserve">         </w:t>
      </w:r>
      <w:r w:rsidR="00A755C3" w:rsidRPr="00945C56">
        <w:rPr>
          <w:rFonts w:ascii="Times New Roman" w:hAnsi="Times New Roman" w:cs="Times New Roman"/>
          <w:sz w:val="24"/>
          <w:szCs w:val="24"/>
        </w:rPr>
        <w:t>Settore Scientifico Disciplinare M-FIL/06</w:t>
      </w:r>
    </w:p>
    <w:p w14:paraId="61DD4D8C" w14:textId="77777777" w:rsidR="0070606C" w:rsidRPr="00EA331A" w:rsidRDefault="0070606C" w:rsidP="00526FB1">
      <w:pPr>
        <w:pStyle w:val="Corpodeltesto"/>
        <w:spacing w:line="276" w:lineRule="auto"/>
        <w:rPr>
          <w:rFonts w:ascii="Times New Roman" w:hAnsi="Times New Roman" w:cs="Times New Roman"/>
          <w:sz w:val="24"/>
        </w:rPr>
      </w:pPr>
    </w:p>
    <w:p w14:paraId="6EF5F69A" w14:textId="77777777" w:rsidR="00526FB1" w:rsidRPr="00EA331A" w:rsidRDefault="00526FB1" w:rsidP="00526FB1">
      <w:pPr>
        <w:pStyle w:val="Corpodeltesto"/>
        <w:spacing w:before="5" w:line="276" w:lineRule="auto"/>
        <w:rPr>
          <w:rFonts w:ascii="Times New Roman" w:hAnsi="Times New Roman" w:cs="Times New Roman"/>
          <w:sz w:val="26"/>
        </w:rPr>
      </w:pPr>
    </w:p>
    <w:p w14:paraId="1AF051E2" w14:textId="6D6D56D9" w:rsidR="00A755C3" w:rsidRPr="00945C56" w:rsidRDefault="00CA197C" w:rsidP="00526FB1">
      <w:pPr>
        <w:pStyle w:val="Heading2"/>
        <w:tabs>
          <w:tab w:val="left" w:pos="7264"/>
        </w:tabs>
        <w:spacing w:line="276" w:lineRule="auto"/>
        <w:ind w:left="-567"/>
        <w:rPr>
          <w:rFonts w:ascii="Times New Roman" w:hAnsi="Times New Roman" w:cs="Times New Roman"/>
          <w:sz w:val="24"/>
          <w:szCs w:val="24"/>
        </w:rPr>
      </w:pPr>
      <w:r w:rsidRPr="00945C56">
        <w:rPr>
          <w:rFonts w:ascii="Times New Roman" w:hAnsi="Times New Roman" w:cs="Times New Roman"/>
          <w:sz w:val="24"/>
          <w:szCs w:val="24"/>
        </w:rPr>
        <w:t xml:space="preserve">               </w:t>
      </w:r>
      <w:r w:rsidR="000E2035">
        <w:rPr>
          <w:rFonts w:ascii="Times New Roman" w:hAnsi="Times New Roman" w:cs="Times New Roman"/>
          <w:sz w:val="24"/>
          <w:szCs w:val="24"/>
        </w:rPr>
        <w:t xml:space="preserve">      </w:t>
      </w:r>
      <w:r w:rsidRPr="00945C56">
        <w:rPr>
          <w:rFonts w:ascii="Times New Roman" w:hAnsi="Times New Roman" w:cs="Times New Roman"/>
          <w:sz w:val="24"/>
          <w:szCs w:val="24"/>
        </w:rPr>
        <w:t xml:space="preserve">Dottorando                                          </w:t>
      </w:r>
      <w:r w:rsidR="00945C56">
        <w:rPr>
          <w:rFonts w:ascii="Times New Roman" w:hAnsi="Times New Roman" w:cs="Times New Roman"/>
          <w:sz w:val="24"/>
          <w:szCs w:val="24"/>
        </w:rPr>
        <w:t xml:space="preserve">         </w:t>
      </w:r>
      <w:r w:rsidR="000E2035">
        <w:rPr>
          <w:rFonts w:ascii="Times New Roman" w:hAnsi="Times New Roman" w:cs="Times New Roman"/>
          <w:sz w:val="24"/>
          <w:szCs w:val="24"/>
        </w:rPr>
        <w:t xml:space="preserve">                          </w:t>
      </w:r>
      <w:r w:rsidR="00192D14">
        <w:rPr>
          <w:rFonts w:ascii="Times New Roman" w:hAnsi="Times New Roman" w:cs="Times New Roman"/>
          <w:sz w:val="24"/>
          <w:szCs w:val="24"/>
        </w:rPr>
        <w:t>Tutor</w:t>
      </w:r>
    </w:p>
    <w:p w14:paraId="108218F5" w14:textId="6D49DA1B" w:rsidR="00A755C3" w:rsidRPr="00EA331A" w:rsidRDefault="00CA197C" w:rsidP="00526FB1">
      <w:pPr>
        <w:pStyle w:val="Corpodeltesto"/>
        <w:tabs>
          <w:tab w:val="left" w:pos="5927"/>
        </w:tabs>
        <w:spacing w:line="276" w:lineRule="auto"/>
        <w:ind w:left="-567" w:right="-575"/>
        <w:rPr>
          <w:rFonts w:ascii="Times New Roman" w:hAnsi="Times New Roman" w:cs="Times New Roman"/>
        </w:rPr>
      </w:pPr>
      <w:r w:rsidRPr="00945C56">
        <w:rPr>
          <w:rFonts w:ascii="Times New Roman" w:hAnsi="Times New Roman" w:cs="Times New Roman"/>
          <w:sz w:val="24"/>
          <w:szCs w:val="24"/>
        </w:rPr>
        <w:t xml:space="preserve">          </w:t>
      </w:r>
      <w:r w:rsidR="000E2035">
        <w:rPr>
          <w:rFonts w:ascii="Times New Roman" w:hAnsi="Times New Roman" w:cs="Times New Roman"/>
          <w:sz w:val="24"/>
          <w:szCs w:val="24"/>
        </w:rPr>
        <w:t xml:space="preserve">     </w:t>
      </w:r>
      <w:r w:rsidRPr="00945C56">
        <w:rPr>
          <w:rFonts w:ascii="Times New Roman" w:hAnsi="Times New Roman" w:cs="Times New Roman"/>
          <w:sz w:val="24"/>
          <w:szCs w:val="24"/>
        </w:rPr>
        <w:t xml:space="preserve"> </w:t>
      </w:r>
      <w:r w:rsidR="00A755C3" w:rsidRPr="00945C56">
        <w:rPr>
          <w:rFonts w:ascii="Times New Roman" w:hAnsi="Times New Roman" w:cs="Times New Roman"/>
          <w:sz w:val="24"/>
          <w:szCs w:val="24"/>
        </w:rPr>
        <w:t>Simone</w:t>
      </w:r>
      <w:r w:rsidR="00A755C3" w:rsidRPr="00945C56">
        <w:rPr>
          <w:rFonts w:ascii="Times New Roman" w:hAnsi="Times New Roman" w:cs="Times New Roman"/>
          <w:spacing w:val="-4"/>
          <w:sz w:val="24"/>
          <w:szCs w:val="24"/>
        </w:rPr>
        <w:t xml:space="preserve"> </w:t>
      </w:r>
      <w:r w:rsidR="00945C56">
        <w:rPr>
          <w:rFonts w:ascii="Times New Roman" w:hAnsi="Times New Roman" w:cs="Times New Roman"/>
          <w:sz w:val="24"/>
          <w:szCs w:val="24"/>
        </w:rPr>
        <w:t xml:space="preserve">Farinella                 </w:t>
      </w:r>
      <w:r w:rsidR="000E2035">
        <w:rPr>
          <w:rFonts w:ascii="Times New Roman" w:hAnsi="Times New Roman" w:cs="Times New Roman"/>
          <w:sz w:val="24"/>
          <w:szCs w:val="24"/>
        </w:rPr>
        <w:t xml:space="preserve">                        </w:t>
      </w:r>
      <w:r w:rsidR="00945C56">
        <w:rPr>
          <w:rFonts w:ascii="Times New Roman" w:hAnsi="Times New Roman" w:cs="Times New Roman"/>
          <w:sz w:val="24"/>
          <w:szCs w:val="24"/>
        </w:rPr>
        <w:t xml:space="preserve">              </w:t>
      </w:r>
      <w:r w:rsidR="00A755C3" w:rsidRPr="00945C56">
        <w:rPr>
          <w:rFonts w:ascii="Times New Roman" w:hAnsi="Times New Roman" w:cs="Times New Roman"/>
          <w:sz w:val="24"/>
          <w:szCs w:val="24"/>
        </w:rPr>
        <w:t xml:space="preserve">Ch. mo </w:t>
      </w:r>
      <w:r w:rsidR="00A755C3" w:rsidRPr="00945C56">
        <w:rPr>
          <w:rFonts w:ascii="Times New Roman" w:hAnsi="Times New Roman" w:cs="Times New Roman"/>
          <w:spacing w:val="-3"/>
          <w:sz w:val="24"/>
          <w:szCs w:val="24"/>
        </w:rPr>
        <w:t xml:space="preserve">Prof. </w:t>
      </w:r>
      <w:r w:rsidR="00A755C3" w:rsidRPr="00945C56">
        <w:rPr>
          <w:rFonts w:ascii="Times New Roman" w:hAnsi="Times New Roman" w:cs="Times New Roman"/>
          <w:sz w:val="24"/>
          <w:szCs w:val="24"/>
        </w:rPr>
        <w:t>Giovanni</w:t>
      </w:r>
      <w:r w:rsidR="00A755C3" w:rsidRPr="00945C56">
        <w:rPr>
          <w:rFonts w:ascii="Times New Roman" w:hAnsi="Times New Roman" w:cs="Times New Roman"/>
          <w:spacing w:val="1"/>
          <w:sz w:val="24"/>
          <w:szCs w:val="24"/>
        </w:rPr>
        <w:t xml:space="preserve"> </w:t>
      </w:r>
      <w:r w:rsidR="00945C56">
        <w:rPr>
          <w:rFonts w:ascii="Times New Roman" w:hAnsi="Times New Roman" w:cs="Times New Roman"/>
          <w:sz w:val="24"/>
          <w:szCs w:val="24"/>
        </w:rPr>
        <w:t>Paoletti</w:t>
      </w:r>
    </w:p>
    <w:p w14:paraId="6A0417EA" w14:textId="77777777" w:rsidR="00A755C3" w:rsidRPr="00EA331A" w:rsidRDefault="00A755C3" w:rsidP="00526FB1">
      <w:pPr>
        <w:pStyle w:val="Corpodeltesto"/>
        <w:spacing w:line="276" w:lineRule="auto"/>
        <w:rPr>
          <w:rFonts w:ascii="Times New Roman" w:hAnsi="Times New Roman" w:cs="Times New Roman"/>
        </w:rPr>
      </w:pPr>
    </w:p>
    <w:p w14:paraId="25554BA7" w14:textId="0ED9D079" w:rsidR="00E4206F" w:rsidRPr="00953D11" w:rsidRDefault="00A755C3" w:rsidP="00526FB1">
      <w:pPr>
        <w:pStyle w:val="Corpodeltesto"/>
        <w:spacing w:before="4" w:line="276" w:lineRule="auto"/>
        <w:ind w:left="426"/>
        <w:rPr>
          <w:rFonts w:ascii="Times New Roman" w:hAnsi="Times New Roman" w:cs="Times New Roman"/>
          <w:sz w:val="14"/>
        </w:rPr>
      </w:pPr>
      <w:r w:rsidRPr="00EA331A">
        <w:rPr>
          <w:rFonts w:ascii="Times New Roman" w:hAnsi="Times New Roman" w:cs="Times New Roman"/>
          <w:noProof/>
          <w:lang w:eastAsia="it-IT"/>
        </w:rPr>
        <mc:AlternateContent>
          <mc:Choice Requires="wps">
            <w:drawing>
              <wp:anchor distT="0" distB="0" distL="0" distR="0" simplePos="0" relativeHeight="251663360" behindDoc="1" locked="0" layoutInCell="1" allowOverlap="1" wp14:anchorId="7190D27F" wp14:editId="3185D95C">
                <wp:simplePos x="0" y="0"/>
                <wp:positionH relativeFrom="page">
                  <wp:posOffset>4410075</wp:posOffset>
                </wp:positionH>
                <wp:positionV relativeFrom="paragraph">
                  <wp:posOffset>139065</wp:posOffset>
                </wp:positionV>
                <wp:extent cx="2341880" cy="1270"/>
                <wp:effectExtent l="0" t="0" r="0" b="0"/>
                <wp:wrapTopAndBottom/>
                <wp:docPr id="2" name="Freeform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341880" cy="1270"/>
                        </a:xfrm>
                        <a:custGeom>
                          <a:avLst/>
                          <a:gdLst>
                            <a:gd name="T0" fmla="+- 0 6946 6946"/>
                            <a:gd name="T1" fmla="*/ T0 w 3688"/>
                            <a:gd name="T2" fmla="+- 0 10633 6946"/>
                            <a:gd name="T3" fmla="*/ T2 w 3688"/>
                          </a:gdLst>
                          <a:ahLst/>
                          <a:cxnLst>
                            <a:cxn ang="0">
                              <a:pos x="T1" y="0"/>
                            </a:cxn>
                            <a:cxn ang="0">
                              <a:pos x="T3" y="0"/>
                            </a:cxn>
                          </a:cxnLst>
                          <a:rect l="0" t="0" r="r" b="b"/>
                          <a:pathLst>
                            <a:path w="3688">
                              <a:moveTo>
                                <a:pt x="0" y="0"/>
                              </a:moveTo>
                              <a:lnTo>
                                <a:pt x="3687" y="0"/>
                              </a:lnTo>
                            </a:path>
                          </a:pathLst>
                        </a:custGeom>
                        <a:noFill/>
                        <a:ln w="7493">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3" o:spid="_x0000_s1026" style="position:absolute;margin-left:347.25pt;margin-top:10.95pt;width:184.4pt;height:.1pt;z-index:-25165312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3688,127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" path="m0,0l3687,0e" filled="f" strokeweight=".59pt">
                <v:path arrowok="t" o:connecttype="custom" o:connectlocs="0,0;2341245,0" o:connectangles="0,0"/>
                <w10:wrap type="topAndBottom" anchorx="page"/>
              </v:shape>
            </w:pict>
          </mc:Fallback>
        </mc:AlternateContent>
      </w:r>
    </w:p>
    <w:p w14:paraId="544400C9" w14:textId="551F6C2D" w:rsidR="00E4206F" w:rsidRPr="00EA331A" w:rsidRDefault="00526FB1" w:rsidP="00526FB1">
      <w:pPr>
        <w:pStyle w:val="Corpodeltesto"/>
        <w:spacing w:before="9" w:line="276" w:lineRule="auto"/>
        <w:rPr>
          <w:rFonts w:ascii="Times New Roman" w:hAnsi="Times New Roman" w:cs="Times New Roman"/>
          <w:sz w:val="27"/>
        </w:rPr>
      </w:pPr>
      <w:r w:rsidRPr="00EA331A">
        <w:rPr>
          <w:rFonts w:ascii="Times New Roman" w:hAnsi="Times New Roman" w:cs="Times New Roman"/>
          <w:noProof/>
          <w:lang w:eastAsia="it-IT"/>
        </w:rPr>
        <mc:AlternateContent>
          <mc:Choice Requires="wps">
            <w:drawing>
              <wp:anchor distT="0" distB="0" distL="0" distR="0" simplePos="0" relativeHeight="251662336" behindDoc="1" locked="0" layoutInCell="1" allowOverlap="1" wp14:anchorId="02B4C52F" wp14:editId="4E55A629">
                <wp:simplePos x="0" y="0"/>
                <wp:positionH relativeFrom="page">
                  <wp:posOffset>1031240</wp:posOffset>
                </wp:positionH>
                <wp:positionV relativeFrom="paragraph">
                  <wp:posOffset>34925</wp:posOffset>
                </wp:positionV>
                <wp:extent cx="2191385" cy="45085"/>
                <wp:effectExtent l="0" t="0" r="18415" b="0"/>
                <wp:wrapTopAndBottom/>
                <wp:docPr id="4" name="Freeform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2191385" cy="45085"/>
                        </a:xfrm>
                        <a:custGeom>
                          <a:avLst/>
                          <a:gdLst>
                            <a:gd name="T0" fmla="+- 0 1134 1134"/>
                            <a:gd name="T1" fmla="*/ T0 w 3942"/>
                            <a:gd name="T2" fmla="+- 0 5075 1134"/>
                            <a:gd name="T3" fmla="*/ T2 w 3942"/>
                          </a:gdLst>
                          <a:ahLst/>
                          <a:cxnLst>
                            <a:cxn ang="0">
                              <a:pos x="T1" y="0"/>
                            </a:cxn>
                            <a:cxn ang="0">
                              <a:pos x="T3" y="0"/>
                            </a:cxn>
                          </a:cxnLst>
                          <a:rect l="0" t="0" r="r" b="b"/>
                          <a:pathLst>
                            <a:path w="3942">
                              <a:moveTo>
                                <a:pt x="0" y="0"/>
                              </a:moveTo>
                              <a:lnTo>
                                <a:pt x="3941" y="0"/>
                              </a:lnTo>
                            </a:path>
                          </a:pathLst>
                        </a:custGeom>
                        <a:noFill/>
                        <a:ln w="7493">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4" o:spid="_x0000_s1026" style="position:absolute;margin-left:81.2pt;margin-top:2.75pt;width:172.55pt;height:3.55pt;flip:y;z-index:-25165414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3942,45085"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" path="m0,0l3941,0e" filled="f" strokeweight=".59pt">
                <v:path arrowok="t" o:connecttype="custom" o:connectlocs="0,0;2190829,0" o:connectangles="0,0"/>
                <w10:wrap type="topAndBottom" anchorx="page"/>
              </v:shape>
            </w:pict>
          </mc:Fallback>
        </mc:AlternateContent>
      </w:r>
    </w:p>
    <w:tbl>
      <w:tblPr>
        <w:tblStyle w:val="Grigliatabella"/>
        <w:tblpPr w:leftFromText="141" w:rightFromText="141" w:vertAnchor="page" w:horzAnchor="page" w:tblpX="1554" w:tblpY="1293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36"/>
      </w:tblGrid>
      <w:tr w:rsidR="006036B1" w14:paraId="2314261E" w14:textId="77777777" w:rsidTr="00526FB1">
        <w:trPr>
          <w:trHeight w:val="925"/>
        </w:trPr>
        <w:tc>
          <w:tcPr>
            <w:tcW w:w="5036" w:type="dxa"/>
          </w:tcPr>
          <w:p w14:paraId="5707089D" w14:textId="77777777" w:rsidR="006036B1" w:rsidRDefault="006036B1" w:rsidP="00526FB1">
            <w:pPr>
              <w:spacing w:line="276" w:lineRule="auto"/>
              <w:ind w:left="142"/>
              <w:jc w:val="both"/>
              <w:rPr>
                <w:rFonts w:ascii="Times New Roman" w:hAnsi="Times New Roman" w:cs="Times New Roman"/>
                <w:lang w:val="de-DE"/>
              </w:rPr>
            </w:pPr>
          </w:p>
          <w:p w14:paraId="4E60E7BA" w14:textId="77777777" w:rsidR="006036B1" w:rsidRPr="00953D11" w:rsidRDefault="006036B1" w:rsidP="00526FB1">
            <w:pPr>
              <w:spacing w:line="276" w:lineRule="auto"/>
              <w:ind w:left="142"/>
              <w:jc w:val="both"/>
              <w:rPr>
                <w:rFonts w:ascii="Times New Roman" w:hAnsi="Times New Roman" w:cs="Times New Roman"/>
                <w:lang w:val="de-DE"/>
              </w:rPr>
            </w:pPr>
            <w:r w:rsidRPr="00953D11">
              <w:rPr>
                <w:rFonts w:ascii="Times New Roman" w:hAnsi="Times New Roman" w:cs="Times New Roman"/>
                <w:lang w:val="de-DE"/>
              </w:rPr>
              <w:t>Vorgelegt dem Rat der Philosophischen Fakultät</w:t>
            </w:r>
          </w:p>
          <w:p w14:paraId="76A6B02C" w14:textId="237BF9F3" w:rsidR="006036B1" w:rsidRPr="00953D11" w:rsidRDefault="006036B1" w:rsidP="00526FB1">
            <w:pPr>
              <w:spacing w:line="276" w:lineRule="auto"/>
              <w:ind w:left="142"/>
              <w:jc w:val="both"/>
              <w:rPr>
                <w:rFonts w:ascii="Times New Roman" w:hAnsi="Times New Roman" w:cs="Times New Roman"/>
                <w:lang w:val="de-DE"/>
              </w:rPr>
            </w:pPr>
            <w:r w:rsidRPr="00953D11">
              <w:rPr>
                <w:rFonts w:ascii="Times New Roman" w:hAnsi="Times New Roman" w:cs="Times New Roman"/>
                <w:lang w:val="de-DE"/>
              </w:rPr>
              <w:t>der Friedrich-Schiller-Universität Jena</w:t>
            </w:r>
          </w:p>
          <w:p w14:paraId="73C16D82" w14:textId="77777777" w:rsidR="006036B1" w:rsidRPr="00953D11" w:rsidRDefault="006036B1" w:rsidP="00526FB1">
            <w:pPr>
              <w:spacing w:line="276" w:lineRule="auto"/>
              <w:ind w:left="142"/>
              <w:jc w:val="both"/>
              <w:rPr>
                <w:rFonts w:ascii="Times New Roman" w:hAnsi="Times New Roman" w:cs="Times New Roman"/>
                <w:lang w:val="de-DE"/>
              </w:rPr>
            </w:pPr>
            <w:r w:rsidRPr="00953D11">
              <w:rPr>
                <w:rFonts w:ascii="Times New Roman" w:hAnsi="Times New Roman" w:cs="Times New Roman"/>
                <w:lang w:val="de-DE"/>
              </w:rPr>
              <w:t>von Simone Farinella</w:t>
            </w:r>
          </w:p>
          <w:p w14:paraId="5E931939" w14:textId="77777777" w:rsidR="006036B1" w:rsidRPr="00953D11" w:rsidRDefault="006036B1" w:rsidP="00526FB1">
            <w:pPr>
              <w:spacing w:line="276" w:lineRule="auto"/>
              <w:ind w:left="142"/>
              <w:jc w:val="both"/>
              <w:rPr>
                <w:rFonts w:ascii="Times New Roman" w:hAnsi="Times New Roman" w:cs="Times New Roman"/>
                <w:lang w:val="de-DE"/>
              </w:rPr>
            </w:pPr>
            <w:r w:rsidRPr="00953D11">
              <w:rPr>
                <w:rFonts w:ascii="Times New Roman" w:hAnsi="Times New Roman" w:cs="Times New Roman"/>
                <w:lang w:val="de-DE"/>
              </w:rPr>
              <w:t>geboren am 10.05.1992 in Pisa</w:t>
            </w:r>
          </w:p>
          <w:p w14:paraId="4C3B896E" w14:textId="77777777" w:rsidR="006036B1" w:rsidRPr="00953D11" w:rsidRDefault="006036B1" w:rsidP="00526FB1">
            <w:pPr>
              <w:pStyle w:val="Corpodeltesto"/>
              <w:spacing w:before="101" w:line="276" w:lineRule="auto"/>
              <w:ind w:left="142" w:right="2652"/>
              <w:jc w:val="both"/>
              <w:rPr>
                <w:rFonts w:ascii="Times New Roman" w:hAnsi="Times New Roman" w:cs="Times New Roman"/>
                <w:sz w:val="24"/>
                <w:szCs w:val="24"/>
              </w:rPr>
            </w:pPr>
          </w:p>
        </w:tc>
      </w:tr>
    </w:tbl>
    <w:p w14:paraId="027A98FC" w14:textId="77777777" w:rsidR="00953D11" w:rsidRDefault="00953D11" w:rsidP="00526FB1">
      <w:pPr>
        <w:pStyle w:val="Heading2"/>
        <w:spacing w:before="100" w:line="276" w:lineRule="auto"/>
        <w:ind w:left="3400" w:right="2652" w:firstLine="140"/>
        <w:rPr>
          <w:rFonts w:ascii="Times New Roman" w:hAnsi="Times New Roman" w:cs="Times New Roman"/>
          <w:sz w:val="24"/>
          <w:szCs w:val="24"/>
        </w:rPr>
      </w:pPr>
    </w:p>
    <w:p w14:paraId="45DD5316" w14:textId="77777777" w:rsidR="00A755C3" w:rsidRPr="00945C56" w:rsidRDefault="00A755C3" w:rsidP="00526FB1">
      <w:pPr>
        <w:pStyle w:val="Heading2"/>
        <w:spacing w:before="100" w:line="276" w:lineRule="auto"/>
        <w:ind w:left="6095" w:right="417"/>
        <w:rPr>
          <w:rFonts w:ascii="Times New Roman" w:hAnsi="Times New Roman" w:cs="Times New Roman"/>
          <w:sz w:val="24"/>
          <w:szCs w:val="24"/>
        </w:rPr>
      </w:pPr>
      <w:r w:rsidRPr="00945C56">
        <w:rPr>
          <w:rFonts w:ascii="Times New Roman" w:hAnsi="Times New Roman" w:cs="Times New Roman"/>
          <w:sz w:val="24"/>
          <w:szCs w:val="24"/>
        </w:rPr>
        <w:t>Coordinatore</w:t>
      </w:r>
    </w:p>
    <w:p w14:paraId="56C95B11" w14:textId="77777777" w:rsidR="00A755C3" w:rsidRPr="00945C56" w:rsidRDefault="00A755C3" w:rsidP="00526FB1">
      <w:pPr>
        <w:pStyle w:val="Corpodeltesto"/>
        <w:spacing w:line="276" w:lineRule="auto"/>
        <w:ind w:left="4956" w:right="-150"/>
        <w:jc w:val="center"/>
        <w:rPr>
          <w:rFonts w:ascii="Times New Roman" w:hAnsi="Times New Roman" w:cs="Times New Roman"/>
          <w:sz w:val="24"/>
          <w:szCs w:val="24"/>
        </w:rPr>
      </w:pPr>
      <w:r w:rsidRPr="00945C56">
        <w:rPr>
          <w:rFonts w:ascii="Times New Roman" w:hAnsi="Times New Roman" w:cs="Times New Roman"/>
          <w:sz w:val="24"/>
          <w:szCs w:val="24"/>
        </w:rPr>
        <w:t>Ch. mo Prof.  Adriano Fabris</w:t>
      </w:r>
    </w:p>
    <w:p w14:paraId="05B78BF2" w14:textId="77777777" w:rsidR="00A755C3" w:rsidRPr="00EA331A" w:rsidRDefault="00A755C3" w:rsidP="00526FB1">
      <w:pPr>
        <w:pStyle w:val="Corpodeltesto"/>
        <w:spacing w:line="276" w:lineRule="auto"/>
        <w:rPr>
          <w:rFonts w:ascii="Times New Roman" w:hAnsi="Times New Roman" w:cs="Times New Roman"/>
        </w:rPr>
      </w:pPr>
    </w:p>
    <w:p w14:paraId="6D80848C" w14:textId="289F1478" w:rsidR="00A755C3" w:rsidRPr="00EA331A" w:rsidRDefault="00A755C3" w:rsidP="00526FB1">
      <w:pPr>
        <w:pStyle w:val="Corpodeltesto"/>
        <w:spacing w:before="3" w:line="276" w:lineRule="auto"/>
        <w:rPr>
          <w:rFonts w:ascii="Times New Roman" w:hAnsi="Times New Roman" w:cs="Times New Roman"/>
          <w:sz w:val="14"/>
        </w:rPr>
      </w:pPr>
    </w:p>
    <w:p w14:paraId="7669F38E" w14:textId="79E11263" w:rsidR="00A755C3" w:rsidRPr="00EA331A" w:rsidRDefault="00953D11" w:rsidP="00526FB1">
      <w:pPr>
        <w:pStyle w:val="Corpodeltesto"/>
        <w:spacing w:line="276" w:lineRule="auto"/>
        <w:rPr>
          <w:rFonts w:ascii="Times New Roman" w:hAnsi="Times New Roman" w:cs="Times New Roman"/>
        </w:rPr>
      </w:pPr>
      <w:r w:rsidRPr="00EA331A">
        <w:rPr>
          <w:rFonts w:ascii="Times New Roman" w:hAnsi="Times New Roman" w:cs="Times New Roman"/>
          <w:noProof/>
          <w:lang w:eastAsia="it-IT"/>
        </w:rPr>
        <mc:AlternateContent>
          <mc:Choice Requires="wps">
            <w:drawing>
              <wp:anchor distT="0" distB="0" distL="0" distR="0" simplePos="0" relativeHeight="251664384" behindDoc="1" locked="0" layoutInCell="1" allowOverlap="1" wp14:anchorId="77A94802" wp14:editId="3A64F988">
                <wp:simplePos x="0" y="0"/>
                <wp:positionH relativeFrom="page">
                  <wp:posOffset>4346575</wp:posOffset>
                </wp:positionH>
                <wp:positionV relativeFrom="paragraph">
                  <wp:posOffset>46355</wp:posOffset>
                </wp:positionV>
                <wp:extent cx="2400300" cy="45085"/>
                <wp:effectExtent l="0" t="0" r="38100" b="0"/>
                <wp:wrapTopAndBottom/>
                <wp:docPr id="5" name="Freeform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400300" cy="45085"/>
                        </a:xfrm>
                        <a:custGeom>
                          <a:avLst/>
                          <a:gdLst>
                            <a:gd name="T0" fmla="+- 0 3982 3982"/>
                            <a:gd name="T1" fmla="*/ T0 w 3942"/>
                            <a:gd name="T2" fmla="+- 0 7924 3982"/>
                            <a:gd name="T3" fmla="*/ T2 w 3942"/>
                          </a:gdLst>
                          <a:ahLst/>
                          <a:cxnLst>
                            <a:cxn ang="0">
                              <a:pos x="T1" y="0"/>
                            </a:cxn>
                            <a:cxn ang="0">
                              <a:pos x="T3" y="0"/>
                            </a:cxn>
                          </a:cxnLst>
                          <a:rect l="0" t="0" r="r" b="b"/>
                          <a:pathLst>
                            <a:path w="3942">
                              <a:moveTo>
                                <a:pt x="0" y="0"/>
                              </a:moveTo>
                              <a:lnTo>
                                <a:pt x="3942" y="0"/>
                              </a:lnTo>
                            </a:path>
                          </a:pathLst>
                        </a:custGeom>
                        <a:noFill/>
                        <a:ln w="7493">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2" o:spid="_x0000_s1026" style="position:absolute;margin-left:342.25pt;margin-top:3.65pt;width:189pt;height:3.55pt;z-index:-2516520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3942,45085"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" path="m0,0l3942,0e" filled="f" strokeweight=".59pt">
                <v:path arrowok="t" o:connecttype="custom" o:connectlocs="0,0;2400300,0" o:connectangles="0,0"/>
                <w10:wrap type="topAndBottom" anchorx="page"/>
              </v:shape>
            </w:pict>
          </mc:Fallback>
        </mc:AlternateContent>
      </w:r>
    </w:p>
    <w:p w14:paraId="1C3AE764" w14:textId="77777777" w:rsidR="00DF5093" w:rsidRDefault="00DF5093" w:rsidP="00A755C3">
      <w:pPr>
        <w:pStyle w:val="Corpodeltesto"/>
        <w:rPr>
          <w:rFonts w:ascii="Times New Roman" w:hAnsi="Times New Roman" w:cs="Times New Roman"/>
        </w:rPr>
      </w:pPr>
    </w:p>
    <w:p w14:paraId="1436F0E7" w14:textId="77777777" w:rsidR="00DF5093" w:rsidRPr="00EA331A" w:rsidRDefault="00DF5093" w:rsidP="00A755C3">
      <w:pPr>
        <w:pStyle w:val="Corpodeltesto"/>
        <w:rPr>
          <w:rFonts w:ascii="Times New Roman" w:hAnsi="Times New Roman" w:cs="Times New Roman"/>
        </w:rPr>
      </w:pPr>
    </w:p>
    <w:p w14:paraId="44A553D8" w14:textId="751DF25F" w:rsidR="00E631E7" w:rsidRPr="00526FB1" w:rsidRDefault="00DF5093" w:rsidP="00526FB1">
      <w:pPr>
        <w:pStyle w:val="Corpodeltesto"/>
        <w:spacing w:before="101"/>
        <w:ind w:left="2832" w:right="2652"/>
        <w:rPr>
          <w:rFonts w:ascii="Times New Roman" w:hAnsi="Times New Roman" w:cs="Times New Roman"/>
          <w:lang w:val="de-DE"/>
        </w:rPr>
      </w:pPr>
      <w:r>
        <w:rPr>
          <w:rFonts w:ascii="Times New Roman" w:hAnsi="Times New Roman" w:cs="Times New Roman"/>
          <w:lang w:val="de-DE"/>
        </w:rPr>
        <w:t xml:space="preserve">    </w:t>
      </w:r>
      <w:r w:rsidR="00526FB1">
        <w:rPr>
          <w:rFonts w:ascii="Times New Roman" w:hAnsi="Times New Roman" w:cs="Times New Roman"/>
          <w:lang w:val="de-DE"/>
        </w:rPr>
        <w:t xml:space="preserve">    </w:t>
      </w:r>
      <w:r w:rsidR="006036B1">
        <w:rPr>
          <w:rFonts w:ascii="Times New Roman" w:hAnsi="Times New Roman" w:cs="Times New Roman"/>
          <w:lang w:val="de-DE"/>
        </w:rPr>
        <w:t xml:space="preserve"> </w:t>
      </w:r>
      <w:r w:rsidR="00A755C3" w:rsidRPr="00945C56">
        <w:rPr>
          <w:rFonts w:ascii="Times New Roman" w:hAnsi="Times New Roman" w:cs="Times New Roman"/>
          <w:sz w:val="24"/>
          <w:szCs w:val="24"/>
        </w:rPr>
        <w:t>Anni 2017/2020</w:t>
      </w:r>
    </w:p>
    <w:p w14:paraId="16655106" w14:textId="1CE73B53" w:rsidR="00E4206F" w:rsidRPr="001A1DFD" w:rsidRDefault="00E631E7" w:rsidP="00361370">
      <w:pPr>
        <w:pStyle w:val="Corpodeltesto"/>
        <w:spacing w:before="101"/>
        <w:ind w:right="2652"/>
        <w:jc w:val="both"/>
        <w:rPr>
          <w:rFonts w:ascii="Times New Roman" w:hAnsi="Times New Roman" w:cs="Times New Roman"/>
          <w:b/>
          <w:sz w:val="28"/>
          <w:szCs w:val="28"/>
        </w:rPr>
      </w:pPr>
      <w:r w:rsidRPr="001A1DFD">
        <w:rPr>
          <w:rFonts w:ascii="Times New Roman" w:hAnsi="Times New Roman" w:cs="Times New Roman"/>
          <w:b/>
          <w:sz w:val="28"/>
          <w:szCs w:val="28"/>
        </w:rPr>
        <w:lastRenderedPageBreak/>
        <w:t>Indice</w:t>
      </w:r>
      <w:r w:rsidR="001A1DFD" w:rsidRPr="001A1DFD">
        <w:rPr>
          <w:rFonts w:ascii="Times New Roman" w:hAnsi="Times New Roman" w:cs="Times New Roman"/>
          <w:b/>
          <w:sz w:val="28"/>
          <w:szCs w:val="28"/>
        </w:rPr>
        <w:t>/Inhalt</w:t>
      </w:r>
    </w:p>
    <w:p w14:paraId="3E4D007F" w14:textId="77777777" w:rsidR="00E41A9B" w:rsidRPr="00E631E7" w:rsidRDefault="00E41A9B" w:rsidP="00361370">
      <w:pPr>
        <w:pStyle w:val="Corpodeltesto"/>
        <w:spacing w:before="101"/>
        <w:ind w:right="2652"/>
        <w:jc w:val="both"/>
        <w:rPr>
          <w:rFonts w:ascii="Times New Roman" w:hAnsi="Times New Roman" w:cs="Times New Roman"/>
          <w:sz w:val="24"/>
          <w:szCs w:val="24"/>
        </w:rPr>
      </w:pPr>
    </w:p>
    <w:p w14:paraId="436A7A6B" w14:textId="794347A7" w:rsidR="00C50793" w:rsidRPr="00E631E7" w:rsidRDefault="00C50793" w:rsidP="00DA1D33">
      <w:pPr>
        <w:jc w:val="both"/>
        <w:rPr>
          <w:rFonts w:ascii="Times New Roman" w:hAnsi="Times New Roman" w:cs="Times New Roman"/>
        </w:rPr>
      </w:pPr>
      <w:r w:rsidRPr="00C50793">
        <w:rPr>
          <w:rFonts w:ascii="Times New Roman" w:hAnsi="Times New Roman" w:cs="Times New Roman"/>
          <w:b/>
        </w:rPr>
        <w:t>Abbreviazioni delle opere di Hegel</w:t>
      </w:r>
      <w:r>
        <w:rPr>
          <w:rFonts w:ascii="Times New Roman" w:eastAsia="Times New Roman" w:hAnsi="Times New Roman" w:cs="Times New Roman"/>
          <w:i/>
          <w:color w:val="000000"/>
        </w:rPr>
        <w:t>.....................................................</w:t>
      </w:r>
      <w:r>
        <w:rPr>
          <w:rFonts w:ascii="Times New Roman" w:eastAsia="Times New Roman" w:hAnsi="Times New Roman" w:cs="Times New Roman"/>
          <w:color w:val="000000"/>
        </w:rPr>
        <w:t>.......................</w:t>
      </w:r>
      <w:r w:rsidRPr="00EC72C6">
        <w:rPr>
          <w:rFonts w:ascii="Times New Roman" w:hAnsi="Times New Roman" w:cs="Times New Roman"/>
        </w:rPr>
        <w:t>p.</w:t>
      </w:r>
      <w:r>
        <w:rPr>
          <w:rFonts w:ascii="Times New Roman" w:hAnsi="Times New Roman" w:cs="Times New Roman"/>
        </w:rPr>
        <w:t xml:space="preserve"> 4</w:t>
      </w:r>
    </w:p>
    <w:p w14:paraId="537121C7" w14:textId="77777777" w:rsidR="00A755C3" w:rsidRPr="00E631E7" w:rsidRDefault="00A755C3" w:rsidP="00DA1D33">
      <w:pPr>
        <w:pStyle w:val="Corpodeltesto"/>
        <w:spacing w:before="101"/>
        <w:ind w:right="2652"/>
        <w:jc w:val="both"/>
        <w:rPr>
          <w:rFonts w:ascii="Times New Roman" w:hAnsi="Times New Roman" w:cs="Times New Roman"/>
        </w:rPr>
      </w:pPr>
    </w:p>
    <w:p w14:paraId="25189529" w14:textId="69985174" w:rsidR="00B041AD" w:rsidRPr="00335DA5" w:rsidRDefault="00B041AD" w:rsidP="00DA1D33">
      <w:pPr>
        <w:jc w:val="both"/>
        <w:rPr>
          <w:rFonts w:ascii="Times New Roman" w:hAnsi="Times New Roman" w:cs="Times New Roman"/>
          <w:b/>
        </w:rPr>
      </w:pPr>
      <w:r>
        <w:rPr>
          <w:rFonts w:ascii="Times New Roman" w:hAnsi="Times New Roman" w:cs="Times New Roman"/>
          <w:b/>
        </w:rPr>
        <w:t>Introduzione</w:t>
      </w:r>
      <w:r w:rsidRPr="00EC72C6">
        <w:rPr>
          <w:rFonts w:ascii="Times New Roman" w:eastAsia="Times New Roman" w:hAnsi="Times New Roman" w:cs="Times New Roman"/>
          <w:color w:val="000000"/>
        </w:rPr>
        <w:t>.................................................................................</w:t>
      </w:r>
      <w:r w:rsidR="00511D77">
        <w:rPr>
          <w:rFonts w:ascii="Times New Roman" w:eastAsia="Times New Roman" w:hAnsi="Times New Roman" w:cs="Times New Roman"/>
          <w:color w:val="000000"/>
        </w:rPr>
        <w:t>...............................</w:t>
      </w:r>
      <w:r w:rsidRPr="00EC72C6">
        <w:rPr>
          <w:rFonts w:ascii="Times New Roman" w:eastAsia="Times New Roman" w:hAnsi="Times New Roman" w:cs="Times New Roman"/>
          <w:color w:val="000000"/>
        </w:rPr>
        <w:t>.p.</w:t>
      </w:r>
      <w:r w:rsidR="00511D77">
        <w:rPr>
          <w:rFonts w:ascii="Times New Roman" w:eastAsia="Times New Roman" w:hAnsi="Times New Roman" w:cs="Times New Roman"/>
          <w:color w:val="000000"/>
        </w:rPr>
        <w:t xml:space="preserve"> </w:t>
      </w:r>
      <w:r w:rsidR="005550C0">
        <w:rPr>
          <w:rFonts w:ascii="Times New Roman" w:eastAsia="Times New Roman" w:hAnsi="Times New Roman" w:cs="Times New Roman"/>
          <w:color w:val="000000"/>
        </w:rPr>
        <w:t>7</w:t>
      </w:r>
      <w:r w:rsidRPr="00335DA5">
        <w:rPr>
          <w:rFonts w:ascii="Times New Roman" w:hAnsi="Times New Roman" w:cs="Times New Roman"/>
          <w:b/>
        </w:rPr>
        <w:t xml:space="preserve"> </w:t>
      </w:r>
    </w:p>
    <w:p w14:paraId="4B9F902A" w14:textId="77777777" w:rsidR="00C50793" w:rsidRDefault="00C50793" w:rsidP="00DA1D33">
      <w:pPr>
        <w:jc w:val="both"/>
        <w:rPr>
          <w:rFonts w:ascii="Times New Roman" w:hAnsi="Times New Roman" w:cs="Times New Roman"/>
        </w:rPr>
      </w:pPr>
    </w:p>
    <w:p w14:paraId="470FEC53" w14:textId="49226784" w:rsidR="00B041AD" w:rsidRPr="00651698" w:rsidRDefault="00E631E7" w:rsidP="00DA1D33">
      <w:pPr>
        <w:jc w:val="both"/>
        <w:rPr>
          <w:rFonts w:ascii="Times New Roman" w:hAnsi="Times New Roman" w:cs="Times New Roman"/>
          <w:b/>
        </w:rPr>
      </w:pPr>
      <w:r>
        <w:rPr>
          <w:rFonts w:ascii="Times New Roman" w:hAnsi="Times New Roman" w:cs="Times New Roman"/>
          <w:b/>
        </w:rPr>
        <w:t>Capitolo primo</w:t>
      </w:r>
      <w:r w:rsidR="00651698">
        <w:rPr>
          <w:rFonts w:ascii="Times New Roman" w:hAnsi="Times New Roman" w:cs="Times New Roman"/>
          <w:b/>
        </w:rPr>
        <w:t xml:space="preserve">. </w:t>
      </w:r>
      <w:r w:rsidR="00B041AD" w:rsidRPr="00EC72C6">
        <w:rPr>
          <w:rFonts w:ascii="Times New Roman" w:hAnsi="Times New Roman" w:cs="Times New Roman"/>
          <w:b/>
        </w:rPr>
        <w:t>Dall’astratto al concreto: gli anni di Jena</w:t>
      </w:r>
      <w:r w:rsidR="00651698">
        <w:rPr>
          <w:rFonts w:ascii="Times New Roman" w:hAnsi="Times New Roman" w:cs="Times New Roman"/>
          <w:b/>
        </w:rPr>
        <w:t xml:space="preserve"> e la formulazione della teoria dell’Absolute </w:t>
      </w:r>
      <w:r w:rsidR="00B041AD" w:rsidRPr="00EC72C6">
        <w:rPr>
          <w:rFonts w:ascii="Times New Roman" w:hAnsi="Times New Roman" w:cs="Times New Roman"/>
          <w:b/>
        </w:rPr>
        <w:t>Negativität</w:t>
      </w:r>
      <w:r w:rsidR="00651698">
        <w:rPr>
          <w:rFonts w:ascii="Times New Roman" w:eastAsia="Times New Roman" w:hAnsi="Times New Roman" w:cs="Times New Roman"/>
          <w:i/>
          <w:color w:val="000000"/>
        </w:rPr>
        <w:t>........</w:t>
      </w:r>
      <w:r w:rsidR="00B041AD">
        <w:rPr>
          <w:rFonts w:ascii="Times New Roman" w:eastAsia="Times New Roman" w:hAnsi="Times New Roman" w:cs="Times New Roman"/>
          <w:i/>
          <w:color w:val="000000"/>
        </w:rPr>
        <w:t>..............................................................</w:t>
      </w:r>
      <w:r w:rsidR="00511D77">
        <w:rPr>
          <w:rFonts w:ascii="Times New Roman" w:eastAsia="Times New Roman" w:hAnsi="Times New Roman" w:cs="Times New Roman"/>
          <w:color w:val="000000"/>
        </w:rPr>
        <w:t>........</w:t>
      </w:r>
      <w:r>
        <w:rPr>
          <w:rFonts w:ascii="Times New Roman" w:eastAsia="Times New Roman" w:hAnsi="Times New Roman" w:cs="Times New Roman"/>
          <w:color w:val="000000"/>
        </w:rPr>
        <w:t>..</w:t>
      </w:r>
      <w:r w:rsidR="005550C0">
        <w:rPr>
          <w:rFonts w:ascii="Times New Roman" w:hAnsi="Times New Roman" w:cs="Times New Roman"/>
        </w:rPr>
        <w:t>p.</w:t>
      </w:r>
      <w:r w:rsidR="00511D77">
        <w:rPr>
          <w:rFonts w:ascii="Times New Roman" w:hAnsi="Times New Roman" w:cs="Times New Roman"/>
        </w:rPr>
        <w:t xml:space="preserve"> </w:t>
      </w:r>
      <w:r w:rsidR="005550C0">
        <w:rPr>
          <w:rFonts w:ascii="Times New Roman" w:hAnsi="Times New Roman" w:cs="Times New Roman"/>
        </w:rPr>
        <w:t>1</w:t>
      </w:r>
      <w:r w:rsidR="00511D77">
        <w:rPr>
          <w:rFonts w:ascii="Times New Roman" w:hAnsi="Times New Roman" w:cs="Times New Roman"/>
        </w:rPr>
        <w:t>3</w:t>
      </w:r>
    </w:p>
    <w:p w14:paraId="48EA0BFC" w14:textId="77777777" w:rsidR="00B041AD" w:rsidRPr="00A71F42" w:rsidRDefault="00B041AD" w:rsidP="00DA1D33">
      <w:pPr>
        <w:pStyle w:val="Paragrafoelenco"/>
        <w:jc w:val="both"/>
        <w:rPr>
          <w:rFonts w:ascii="Times New Roman" w:eastAsia="Times New Roman" w:hAnsi="Times New Roman" w:cs="Times New Roman"/>
          <w:color w:val="000000"/>
        </w:rPr>
      </w:pPr>
    </w:p>
    <w:p w14:paraId="55DAA899" w14:textId="5029157B" w:rsidR="00B041AD" w:rsidRDefault="00B041AD" w:rsidP="00DA1D33">
      <w:pPr>
        <w:pStyle w:val="Paragrafoelenco"/>
        <w:ind w:left="0"/>
        <w:jc w:val="both"/>
        <w:rPr>
          <w:rFonts w:ascii="Times New Roman" w:eastAsia="Times New Roman" w:hAnsi="Times New Roman" w:cs="Times New Roman"/>
          <w:i/>
          <w:color w:val="000000"/>
        </w:rPr>
      </w:pPr>
      <w:r w:rsidRPr="00A71F42">
        <w:rPr>
          <w:rFonts w:ascii="Times New Roman" w:eastAsia="Times New Roman" w:hAnsi="Times New Roman" w:cs="Times New Roman"/>
          <w:i/>
          <w:color w:val="000000"/>
        </w:rPr>
        <w:t>1</w:t>
      </w:r>
      <w:r>
        <w:rPr>
          <w:rFonts w:ascii="Times New Roman" w:eastAsia="Times New Roman" w:hAnsi="Times New Roman" w:cs="Times New Roman"/>
          <w:i/>
          <w:color w:val="000000"/>
        </w:rPr>
        <w:t>.1</w:t>
      </w:r>
      <w:r w:rsidRPr="00A71F42">
        <w:rPr>
          <w:rFonts w:ascii="Times New Roman" w:eastAsia="Times New Roman" w:hAnsi="Times New Roman" w:cs="Times New Roman"/>
          <w:i/>
          <w:color w:val="000000"/>
        </w:rPr>
        <w:t xml:space="preserve"> Interesse storico e critica filosofica nella ricezione bernese </w:t>
      </w:r>
      <w:r>
        <w:rPr>
          <w:rFonts w:ascii="Times New Roman" w:eastAsia="Times New Roman" w:hAnsi="Times New Roman" w:cs="Times New Roman"/>
          <w:i/>
          <w:color w:val="000000"/>
        </w:rPr>
        <w:t>dell’idealismo fichtiano</w:t>
      </w:r>
      <w:r w:rsidRPr="00EC72C6">
        <w:rPr>
          <w:rFonts w:ascii="Times New Roman" w:eastAsia="Times New Roman" w:hAnsi="Times New Roman" w:cs="Times New Roman"/>
          <w:color w:val="000000"/>
        </w:rPr>
        <w:t>............................................................................................</w:t>
      </w:r>
      <w:r w:rsidR="00511D77">
        <w:rPr>
          <w:rFonts w:ascii="Times New Roman" w:eastAsia="Times New Roman" w:hAnsi="Times New Roman" w:cs="Times New Roman"/>
          <w:color w:val="000000"/>
        </w:rPr>
        <w:t>...........................p. 16</w:t>
      </w:r>
      <w:r w:rsidRPr="00A71F42">
        <w:rPr>
          <w:rFonts w:ascii="Times New Roman" w:eastAsia="Times New Roman" w:hAnsi="Times New Roman" w:cs="Times New Roman"/>
          <w:i/>
          <w:color w:val="000000"/>
        </w:rPr>
        <w:t xml:space="preserve"> </w:t>
      </w:r>
    </w:p>
    <w:p w14:paraId="4082DE8F" w14:textId="77777777" w:rsidR="00B041AD" w:rsidRPr="00A71F42" w:rsidRDefault="00B041AD" w:rsidP="00DA1D33">
      <w:pPr>
        <w:pStyle w:val="Paragrafoelenco"/>
        <w:jc w:val="both"/>
        <w:rPr>
          <w:rFonts w:ascii="Times New Roman" w:eastAsia="Times New Roman" w:hAnsi="Times New Roman" w:cs="Times New Roman"/>
          <w:color w:val="000000"/>
        </w:rPr>
      </w:pPr>
    </w:p>
    <w:p w14:paraId="659D6D58" w14:textId="06AA54A3" w:rsidR="00E631E7" w:rsidRDefault="00B041AD" w:rsidP="00DA1D33">
      <w:pPr>
        <w:jc w:val="both"/>
        <w:rPr>
          <w:rFonts w:ascii="Times New Roman" w:eastAsia="Times New Roman" w:hAnsi="Times New Roman" w:cs="Times New Roman"/>
          <w:color w:val="000000"/>
        </w:rPr>
      </w:pPr>
      <w:r w:rsidRPr="00EA1A0B">
        <w:rPr>
          <w:rFonts w:ascii="Times New Roman" w:eastAsia="Times New Roman" w:hAnsi="Times New Roman" w:cs="Times New Roman"/>
          <w:i/>
          <w:color w:val="000000"/>
        </w:rPr>
        <w:t>1.2</w:t>
      </w:r>
      <w:r w:rsidRPr="0015707C">
        <w:rPr>
          <w:rFonts w:ascii="Times New Roman" w:eastAsia="Times New Roman" w:hAnsi="Times New Roman" w:cs="Times New Roman"/>
          <w:i/>
          <w:color w:val="000000"/>
        </w:rPr>
        <w:t xml:space="preserve"> Lo scacco della fede e il bisogno della filosofia. Storia e destino del popolo eb</w:t>
      </w:r>
      <w:r>
        <w:rPr>
          <w:rFonts w:ascii="Times New Roman" w:eastAsia="Times New Roman" w:hAnsi="Times New Roman" w:cs="Times New Roman"/>
          <w:i/>
          <w:color w:val="000000"/>
        </w:rPr>
        <w:t>raico e della comunità cristiana...........................................................................................</w:t>
      </w:r>
      <w:r w:rsidR="00511D77">
        <w:rPr>
          <w:rFonts w:ascii="Times New Roman" w:eastAsia="Times New Roman" w:hAnsi="Times New Roman" w:cs="Times New Roman"/>
          <w:color w:val="000000"/>
        </w:rPr>
        <w:t>p. 24</w:t>
      </w:r>
    </w:p>
    <w:p w14:paraId="4F7DB4BA" w14:textId="77777777" w:rsidR="00511D77" w:rsidRPr="00E631E7" w:rsidRDefault="00511D77" w:rsidP="00DA1D33">
      <w:pPr>
        <w:jc w:val="both"/>
        <w:rPr>
          <w:rFonts w:ascii="Times New Roman" w:eastAsia="Times New Roman" w:hAnsi="Times New Roman" w:cs="Times New Roman"/>
          <w:color w:val="000000"/>
        </w:rPr>
      </w:pPr>
    </w:p>
    <w:p w14:paraId="6B02F1BE" w14:textId="4BAFF336" w:rsidR="00B041AD" w:rsidRPr="00A71F42" w:rsidRDefault="00B041AD" w:rsidP="00DA1D33">
      <w:pPr>
        <w:jc w:val="both"/>
        <w:rPr>
          <w:rFonts w:ascii="Times New Roman" w:eastAsia="Times New Roman" w:hAnsi="Times New Roman" w:cs="Times New Roman"/>
          <w:color w:val="000000"/>
        </w:rPr>
      </w:pPr>
      <w:r w:rsidRPr="00EA1A0B">
        <w:rPr>
          <w:rFonts w:ascii="Times New Roman" w:hAnsi="Times New Roman" w:cs="Times New Roman"/>
          <w:i/>
        </w:rPr>
        <w:t>1.3</w:t>
      </w:r>
      <w:r w:rsidRPr="00A71F42">
        <w:rPr>
          <w:rFonts w:ascii="Times New Roman" w:hAnsi="Times New Roman" w:cs="Times New Roman"/>
          <w:i/>
        </w:rPr>
        <w:t xml:space="preserve"> Qabbalah e spinozismo: il problema del nulla nei </w:t>
      </w:r>
      <w:r w:rsidRPr="00A71F42">
        <w:rPr>
          <w:rFonts w:ascii="Times New Roman" w:hAnsi="Times New Roman" w:cs="Times New Roman"/>
        </w:rPr>
        <w:t>Kritische Schriften</w:t>
      </w:r>
      <w:r w:rsidRPr="00EC72C6">
        <w:rPr>
          <w:rFonts w:ascii="Times New Roman" w:eastAsia="Times New Roman" w:hAnsi="Times New Roman" w:cs="Times New Roman"/>
          <w:color w:val="000000"/>
        </w:rPr>
        <w:t>................</w:t>
      </w:r>
      <w:r w:rsidRPr="00EC72C6">
        <w:rPr>
          <w:rFonts w:ascii="Times New Roman" w:hAnsi="Times New Roman" w:cs="Times New Roman"/>
        </w:rPr>
        <w:t>p</w:t>
      </w:r>
      <w:r w:rsidR="00511D77">
        <w:rPr>
          <w:rFonts w:ascii="Times New Roman" w:hAnsi="Times New Roman" w:cs="Times New Roman"/>
        </w:rPr>
        <w:t xml:space="preserve">. </w:t>
      </w:r>
      <w:r w:rsidR="006F1958">
        <w:rPr>
          <w:rFonts w:ascii="Times New Roman" w:hAnsi="Times New Roman" w:cs="Times New Roman"/>
        </w:rPr>
        <w:t>39</w:t>
      </w:r>
    </w:p>
    <w:p w14:paraId="6B00EA5A" w14:textId="77777777" w:rsidR="00B041AD" w:rsidRPr="00D91D2D" w:rsidRDefault="00B041AD" w:rsidP="00DA1D33">
      <w:pPr>
        <w:pStyle w:val="Paragrafoelenco"/>
        <w:jc w:val="both"/>
        <w:rPr>
          <w:rFonts w:ascii="Times New Roman" w:hAnsi="Times New Roman" w:cs="Times New Roman"/>
        </w:rPr>
      </w:pPr>
    </w:p>
    <w:p w14:paraId="1D2B60EE" w14:textId="07B351D5" w:rsidR="00B041AD" w:rsidRPr="00D91D2D" w:rsidRDefault="00B041AD" w:rsidP="00DA1D33">
      <w:pPr>
        <w:pStyle w:val="Paragrafoelenco"/>
        <w:ind w:left="0"/>
        <w:jc w:val="both"/>
        <w:rPr>
          <w:rFonts w:ascii="Times New Roman" w:hAnsi="Times New Roman" w:cs="Times New Roman"/>
        </w:rPr>
      </w:pPr>
      <w:r w:rsidRPr="00EA1A0B">
        <w:rPr>
          <w:rFonts w:ascii="Times New Roman" w:hAnsi="Times New Roman" w:cs="Times New Roman"/>
          <w:i/>
        </w:rPr>
        <w:t>1.4</w:t>
      </w:r>
      <w:r w:rsidRPr="00A71F42">
        <w:rPr>
          <w:rFonts w:ascii="Times New Roman" w:hAnsi="Times New Roman" w:cs="Times New Roman"/>
          <w:i/>
        </w:rPr>
        <w:t xml:space="preserve"> Barbarei e Lebenslauf Gottes: l’incidenza del </w:t>
      </w:r>
      <w:r w:rsidRPr="00A66AE8">
        <w:rPr>
          <w:rFonts w:ascii="Times New Roman" w:hAnsi="Times New Roman" w:cs="Times New Roman"/>
        </w:rPr>
        <w:t>Fragment 49</w:t>
      </w:r>
      <w:r w:rsidRPr="00A71F42">
        <w:rPr>
          <w:rFonts w:ascii="Times New Roman" w:hAnsi="Times New Roman" w:cs="Times New Roman"/>
          <w:i/>
        </w:rPr>
        <w:t xml:space="preserve"> sulla teoria hegeliana della process</w:t>
      </w:r>
      <w:r>
        <w:rPr>
          <w:rFonts w:ascii="Times New Roman" w:hAnsi="Times New Roman" w:cs="Times New Roman"/>
          <w:i/>
        </w:rPr>
        <w:t xml:space="preserve">ualità </w:t>
      </w:r>
      <w:r w:rsidRPr="00A71F42">
        <w:rPr>
          <w:rFonts w:ascii="Times New Roman" w:hAnsi="Times New Roman" w:cs="Times New Roman"/>
          <w:i/>
        </w:rPr>
        <w:t>dell’Assoluto</w:t>
      </w:r>
      <w:r>
        <w:rPr>
          <w:rFonts w:ascii="Times New Roman" w:eastAsia="Times New Roman" w:hAnsi="Times New Roman" w:cs="Times New Roman"/>
          <w:i/>
          <w:color w:val="000000"/>
        </w:rPr>
        <w:t>................................................................................</w:t>
      </w:r>
      <w:r w:rsidR="00511D77">
        <w:rPr>
          <w:rFonts w:ascii="Times New Roman" w:hAnsi="Times New Roman" w:cs="Times New Roman"/>
        </w:rPr>
        <w:t>p. 49</w:t>
      </w:r>
    </w:p>
    <w:p w14:paraId="24324309" w14:textId="77777777" w:rsidR="00B041AD" w:rsidRPr="00D91D2D" w:rsidRDefault="00B041AD" w:rsidP="00DA1D33">
      <w:pPr>
        <w:pStyle w:val="Paragrafoelenco"/>
        <w:jc w:val="both"/>
        <w:rPr>
          <w:rFonts w:ascii="Times New Roman" w:hAnsi="Times New Roman" w:cs="Times New Roman"/>
        </w:rPr>
      </w:pPr>
    </w:p>
    <w:p w14:paraId="37426911" w14:textId="760FF201" w:rsidR="00B041AD" w:rsidRDefault="00B041AD" w:rsidP="00DA1D33">
      <w:pPr>
        <w:pStyle w:val="Paragrafoelenco"/>
        <w:ind w:left="0"/>
        <w:jc w:val="both"/>
        <w:rPr>
          <w:rFonts w:ascii="Times New Roman" w:hAnsi="Times New Roman" w:cs="Times New Roman"/>
        </w:rPr>
      </w:pPr>
      <w:r w:rsidRPr="00EA1A0B">
        <w:rPr>
          <w:rFonts w:ascii="Times New Roman" w:hAnsi="Times New Roman" w:cs="Times New Roman"/>
          <w:i/>
        </w:rPr>
        <w:t>1.5</w:t>
      </w:r>
      <w:r>
        <w:rPr>
          <w:rFonts w:ascii="Times New Roman" w:hAnsi="Times New Roman" w:cs="Times New Roman"/>
        </w:rPr>
        <w:t xml:space="preserve"> </w:t>
      </w:r>
      <w:r w:rsidRPr="00A71F42">
        <w:rPr>
          <w:rFonts w:ascii="Times New Roman" w:hAnsi="Times New Roman" w:cs="Times New Roman"/>
          <w:i/>
        </w:rPr>
        <w:t>La luce e la tenebra: la confutazione dello spinozismo nella</w:t>
      </w:r>
      <w:r>
        <w:rPr>
          <w:rFonts w:ascii="Times New Roman" w:hAnsi="Times New Roman" w:cs="Times New Roman"/>
        </w:rPr>
        <w:t xml:space="preserve"> </w:t>
      </w:r>
      <w:r w:rsidRPr="00A71F42">
        <w:rPr>
          <w:rFonts w:ascii="Times New Roman" w:hAnsi="Times New Roman" w:cs="Times New Roman"/>
        </w:rPr>
        <w:t xml:space="preserve">Jenaer </w:t>
      </w:r>
      <w:r>
        <w:rPr>
          <w:rFonts w:ascii="Times New Roman" w:hAnsi="Times New Roman" w:cs="Times New Roman"/>
        </w:rPr>
        <w:t xml:space="preserve">Logik und </w:t>
      </w:r>
      <w:r w:rsidRPr="00A71F42">
        <w:rPr>
          <w:rFonts w:ascii="Times New Roman" w:hAnsi="Times New Roman" w:cs="Times New Roman"/>
        </w:rPr>
        <w:t>Metaphysik</w:t>
      </w:r>
      <w:r>
        <w:rPr>
          <w:rFonts w:ascii="Times New Roman" w:eastAsia="Times New Roman" w:hAnsi="Times New Roman" w:cs="Times New Roman"/>
          <w:i/>
          <w:color w:val="000000"/>
        </w:rPr>
        <w:t>..................................................................................................................</w:t>
      </w:r>
      <w:r w:rsidR="00511D77">
        <w:rPr>
          <w:rFonts w:ascii="Times New Roman" w:hAnsi="Times New Roman" w:cs="Times New Roman"/>
        </w:rPr>
        <w:t>p. 59</w:t>
      </w:r>
    </w:p>
    <w:p w14:paraId="09C57EE1" w14:textId="77777777" w:rsidR="00B041AD" w:rsidRDefault="00B041AD" w:rsidP="00DA1D33">
      <w:pPr>
        <w:pStyle w:val="Paragrafoelenco"/>
        <w:jc w:val="both"/>
        <w:rPr>
          <w:rFonts w:ascii="Times New Roman" w:hAnsi="Times New Roman" w:cs="Times New Roman"/>
        </w:rPr>
      </w:pPr>
    </w:p>
    <w:p w14:paraId="78A13F13" w14:textId="69465636" w:rsidR="00B041AD" w:rsidRDefault="00B041AD" w:rsidP="00DA1D33">
      <w:pPr>
        <w:pStyle w:val="Paragrafoelenco"/>
        <w:ind w:left="0"/>
        <w:jc w:val="both"/>
        <w:rPr>
          <w:rFonts w:ascii="Times New Roman" w:eastAsia="Times New Roman" w:hAnsi="Times New Roman" w:cs="Times New Roman"/>
          <w:color w:val="000000"/>
          <w:lang w:val="de-DE"/>
        </w:rPr>
      </w:pPr>
      <w:r w:rsidRPr="00EA1A0B">
        <w:rPr>
          <w:rFonts w:ascii="Times New Roman" w:hAnsi="Times New Roman" w:cs="Times New Roman"/>
          <w:i/>
        </w:rPr>
        <w:t>1.6</w:t>
      </w:r>
      <w:r>
        <w:rPr>
          <w:rFonts w:ascii="Times New Roman" w:hAnsi="Times New Roman" w:cs="Times New Roman"/>
        </w:rPr>
        <w:t xml:space="preserve"> </w:t>
      </w:r>
      <w:r w:rsidRPr="00A71F42">
        <w:rPr>
          <w:rFonts w:ascii="Times New Roman" w:eastAsia="Times New Roman" w:hAnsi="Times New Roman" w:cs="Times New Roman"/>
          <w:i/>
          <w:color w:val="000000"/>
        </w:rPr>
        <w:t>Fra Kant e Böhme: la teoria dei due principi nella</w:t>
      </w:r>
      <w:r w:rsidRPr="00AA3820">
        <w:rPr>
          <w:rFonts w:ascii="Times New Roman" w:eastAsia="Times New Roman" w:hAnsi="Times New Roman" w:cs="Times New Roman"/>
          <w:color w:val="000000"/>
        </w:rPr>
        <w:t xml:space="preserve"> Metaphysik der Objectivit</w:t>
      </w:r>
      <w:r w:rsidRPr="00AA3820">
        <w:rPr>
          <w:rFonts w:ascii="Times New Roman" w:eastAsia="Times New Roman" w:hAnsi="Times New Roman" w:cs="Times New Roman"/>
          <w:color w:val="000000"/>
          <w:lang w:val="de-DE"/>
        </w:rPr>
        <w:t>ät</w:t>
      </w:r>
      <w:r>
        <w:rPr>
          <w:rFonts w:ascii="Times New Roman" w:eastAsia="Times New Roman" w:hAnsi="Times New Roman" w:cs="Times New Roman"/>
          <w:color w:val="000000"/>
          <w:lang w:val="de-DE"/>
        </w:rPr>
        <w:t>.......</w:t>
      </w:r>
      <w:r>
        <w:rPr>
          <w:rFonts w:ascii="Times New Roman" w:eastAsia="Times New Roman" w:hAnsi="Times New Roman" w:cs="Times New Roman"/>
          <w:i/>
          <w:color w:val="000000"/>
        </w:rPr>
        <w:t>...........................................................................................................</w:t>
      </w:r>
      <w:r w:rsidR="00511D77">
        <w:rPr>
          <w:rFonts w:ascii="Times New Roman" w:eastAsia="Times New Roman" w:hAnsi="Times New Roman" w:cs="Times New Roman"/>
          <w:color w:val="000000"/>
          <w:lang w:val="de-DE"/>
        </w:rPr>
        <w:t>p. 66</w:t>
      </w:r>
    </w:p>
    <w:p w14:paraId="5CFDA4BA" w14:textId="77777777" w:rsidR="00B041AD" w:rsidRDefault="00B041AD" w:rsidP="00DA1D33">
      <w:pPr>
        <w:pStyle w:val="Paragrafoelenco"/>
        <w:jc w:val="both"/>
        <w:rPr>
          <w:rFonts w:ascii="Times New Roman" w:hAnsi="Times New Roman" w:cs="Times New Roman"/>
        </w:rPr>
      </w:pPr>
    </w:p>
    <w:p w14:paraId="09A551E9" w14:textId="7324DDFD" w:rsidR="00B041AD" w:rsidRPr="00F63180" w:rsidRDefault="00B041AD" w:rsidP="00DA1D33">
      <w:pPr>
        <w:pStyle w:val="Paragrafoelenco"/>
        <w:ind w:left="0"/>
        <w:jc w:val="both"/>
        <w:rPr>
          <w:rFonts w:ascii="Times New Roman" w:hAnsi="Times New Roman" w:cs="Times New Roman"/>
        </w:rPr>
      </w:pPr>
      <w:r w:rsidRPr="00EA1A0B">
        <w:rPr>
          <w:rFonts w:ascii="Times New Roman" w:eastAsia="Times New Roman" w:hAnsi="Times New Roman" w:cs="Times New Roman"/>
          <w:i/>
          <w:color w:val="000000"/>
        </w:rPr>
        <w:t>1.7 Il</w:t>
      </w:r>
      <w:r w:rsidRPr="000F7F40">
        <w:rPr>
          <w:rFonts w:ascii="Times New Roman" w:eastAsia="Times New Roman" w:hAnsi="Times New Roman" w:cs="Times New Roman"/>
          <w:i/>
          <w:color w:val="000000"/>
        </w:rPr>
        <w:t xml:space="preserve"> principio buono e cattivo. L’epica cosmico-storica in</w:t>
      </w:r>
      <w:r w:rsidRPr="00F63180">
        <w:rPr>
          <w:rFonts w:ascii="Times New Roman" w:eastAsia="Times New Roman" w:hAnsi="Times New Roman" w:cs="Times New Roman"/>
          <w:color w:val="000000"/>
        </w:rPr>
        <w:t xml:space="preserve"> </w:t>
      </w:r>
      <w:r w:rsidRPr="000F7F40">
        <w:rPr>
          <w:rFonts w:ascii="Times New Roman" w:eastAsia="Times New Roman" w:hAnsi="Times New Roman" w:cs="Times New Roman"/>
          <w:color w:val="000000"/>
        </w:rPr>
        <w:t>Philosophie und Religion</w:t>
      </w:r>
      <w:r w:rsidRPr="00F63180">
        <w:rPr>
          <w:rFonts w:ascii="Times New Roman" w:eastAsia="Times New Roman" w:hAnsi="Times New Roman" w:cs="Times New Roman"/>
          <w:color w:val="000000"/>
        </w:rPr>
        <w:t xml:space="preserve"> </w:t>
      </w:r>
      <w:r w:rsidRPr="000F7F40">
        <w:rPr>
          <w:rFonts w:ascii="Times New Roman" w:eastAsia="Times New Roman" w:hAnsi="Times New Roman" w:cs="Times New Roman"/>
          <w:i/>
          <w:color w:val="000000"/>
        </w:rPr>
        <w:t>di Schelling</w:t>
      </w:r>
      <w:r>
        <w:rPr>
          <w:rFonts w:ascii="Times New Roman" w:eastAsia="Times New Roman" w:hAnsi="Times New Roman" w:cs="Times New Roman"/>
          <w:i/>
          <w:color w:val="000000"/>
        </w:rPr>
        <w:t>......................................................................................................................</w:t>
      </w:r>
      <w:r>
        <w:rPr>
          <w:rFonts w:ascii="Times New Roman" w:eastAsia="Times New Roman" w:hAnsi="Times New Roman" w:cs="Times New Roman"/>
          <w:color w:val="000000"/>
        </w:rPr>
        <w:t xml:space="preserve">p. </w:t>
      </w:r>
      <w:r w:rsidR="00511D77">
        <w:rPr>
          <w:rFonts w:ascii="Times New Roman" w:eastAsia="Times New Roman" w:hAnsi="Times New Roman" w:cs="Times New Roman"/>
          <w:color w:val="000000"/>
        </w:rPr>
        <w:t>79</w:t>
      </w:r>
    </w:p>
    <w:p w14:paraId="2643FF0F" w14:textId="77777777" w:rsidR="00B041AD" w:rsidRPr="00EF06BA" w:rsidRDefault="00B041AD" w:rsidP="00DA1D33">
      <w:pPr>
        <w:tabs>
          <w:tab w:val="left" w:pos="7884"/>
        </w:tabs>
        <w:jc w:val="both"/>
        <w:rPr>
          <w:rFonts w:ascii="Times New Roman" w:hAnsi="Times New Roman" w:cs="Times New Roman"/>
        </w:rPr>
      </w:pPr>
      <w:r w:rsidRPr="00EF06BA">
        <w:rPr>
          <w:rFonts w:ascii="Times New Roman" w:hAnsi="Times New Roman" w:cs="Times New Roman"/>
        </w:rPr>
        <w:tab/>
      </w:r>
    </w:p>
    <w:p w14:paraId="199CAAC2" w14:textId="05FD0D74" w:rsidR="00B041AD" w:rsidRDefault="00B041AD" w:rsidP="00DA1D33">
      <w:pPr>
        <w:pStyle w:val="Paragrafoelenco"/>
        <w:ind w:left="0"/>
        <w:jc w:val="both"/>
        <w:rPr>
          <w:rFonts w:ascii="Times New Roman" w:hAnsi="Times New Roman" w:cs="Times New Roman"/>
        </w:rPr>
      </w:pPr>
      <w:r w:rsidRPr="00EA1A0B">
        <w:rPr>
          <w:rFonts w:ascii="Times New Roman" w:hAnsi="Times New Roman" w:cs="Times New Roman"/>
          <w:i/>
        </w:rPr>
        <w:t>1.8</w:t>
      </w:r>
      <w:r w:rsidRPr="00406607">
        <w:rPr>
          <w:rFonts w:ascii="Times New Roman" w:hAnsi="Times New Roman" w:cs="Times New Roman"/>
        </w:rPr>
        <w:t xml:space="preserve"> </w:t>
      </w:r>
      <w:r w:rsidRPr="000F7F40">
        <w:rPr>
          <w:rFonts w:ascii="Times New Roman" w:hAnsi="Times New Roman" w:cs="Times New Roman"/>
          <w:i/>
        </w:rPr>
        <w:t>La caduta, o la riflessività dello spirito, nella sezione dell’</w:t>
      </w:r>
      <w:r w:rsidRPr="000F7F40">
        <w:rPr>
          <w:rFonts w:ascii="Times New Roman" w:hAnsi="Times New Roman" w:cs="Times New Roman"/>
        </w:rPr>
        <w:t xml:space="preserve">Absoluter Geist </w:t>
      </w:r>
      <w:r>
        <w:rPr>
          <w:rFonts w:ascii="Times New Roman" w:hAnsi="Times New Roman" w:cs="Times New Roman"/>
        </w:rPr>
        <w:t>della</w:t>
      </w:r>
      <w:r w:rsidRPr="00406607">
        <w:rPr>
          <w:rFonts w:ascii="Times New Roman" w:hAnsi="Times New Roman" w:cs="Times New Roman"/>
        </w:rPr>
        <w:t xml:space="preserve"> </w:t>
      </w:r>
      <w:r w:rsidRPr="000F7F40">
        <w:rPr>
          <w:rFonts w:ascii="Times New Roman" w:hAnsi="Times New Roman" w:cs="Times New Roman"/>
        </w:rPr>
        <w:t>Jenaer Metaphysik</w:t>
      </w:r>
      <w:r>
        <w:rPr>
          <w:rFonts w:ascii="Times New Roman" w:eastAsia="Times New Roman" w:hAnsi="Times New Roman" w:cs="Times New Roman"/>
          <w:i/>
          <w:color w:val="000000"/>
        </w:rPr>
        <w:t>.......................................................................................................</w:t>
      </w:r>
      <w:r w:rsidR="00511D77">
        <w:rPr>
          <w:rFonts w:ascii="Times New Roman" w:hAnsi="Times New Roman" w:cs="Times New Roman"/>
        </w:rPr>
        <w:t>p. 84</w:t>
      </w:r>
    </w:p>
    <w:p w14:paraId="2A4F92D2" w14:textId="77777777" w:rsidR="00B041AD" w:rsidRDefault="00B041AD" w:rsidP="00DA1D33">
      <w:pPr>
        <w:pStyle w:val="Paragrafoelenco"/>
        <w:jc w:val="both"/>
        <w:rPr>
          <w:rFonts w:ascii="Times New Roman" w:hAnsi="Times New Roman" w:cs="Times New Roman"/>
        </w:rPr>
      </w:pPr>
    </w:p>
    <w:p w14:paraId="49C03A8F" w14:textId="5B6CDD1A" w:rsidR="00B041AD" w:rsidRDefault="00B041AD" w:rsidP="00DA1D33">
      <w:pPr>
        <w:pStyle w:val="Paragrafoelenco"/>
        <w:ind w:left="0"/>
        <w:jc w:val="both"/>
        <w:rPr>
          <w:rFonts w:ascii="Times New Roman" w:hAnsi="Times New Roman" w:cs="Times New Roman"/>
        </w:rPr>
      </w:pPr>
      <w:r w:rsidRPr="00EA1A0B">
        <w:rPr>
          <w:rFonts w:ascii="Times New Roman" w:hAnsi="Times New Roman" w:cs="Times New Roman"/>
          <w:i/>
        </w:rPr>
        <w:t>1.9</w:t>
      </w:r>
      <w:r>
        <w:rPr>
          <w:rFonts w:ascii="Times New Roman" w:hAnsi="Times New Roman" w:cs="Times New Roman"/>
        </w:rPr>
        <w:t xml:space="preserve"> </w:t>
      </w:r>
      <w:r w:rsidRPr="00A66AE8">
        <w:rPr>
          <w:rFonts w:ascii="Times New Roman" w:hAnsi="Times New Roman" w:cs="Times New Roman"/>
          <w:i/>
        </w:rPr>
        <w:t xml:space="preserve">Fra </w:t>
      </w:r>
      <w:r w:rsidR="00DF1EC4">
        <w:rPr>
          <w:rFonts w:ascii="Times New Roman" w:hAnsi="Times New Roman" w:cs="Times New Roman"/>
          <w:i/>
        </w:rPr>
        <w:t xml:space="preserve">rappresentazione </w:t>
      </w:r>
      <w:r w:rsidRPr="00A66AE8">
        <w:rPr>
          <w:rFonts w:ascii="Times New Roman" w:hAnsi="Times New Roman" w:cs="Times New Roman"/>
          <w:i/>
        </w:rPr>
        <w:t>e concetto: l’ira di Dio, la caduta di Lucifero e la negatività prima dell’Assoluto nella</w:t>
      </w:r>
      <w:r>
        <w:rPr>
          <w:rFonts w:ascii="Times New Roman" w:hAnsi="Times New Roman" w:cs="Times New Roman"/>
        </w:rPr>
        <w:t xml:space="preserve"> </w:t>
      </w:r>
      <w:r w:rsidRPr="00A66AE8">
        <w:rPr>
          <w:rFonts w:ascii="Times New Roman" w:hAnsi="Times New Roman" w:cs="Times New Roman"/>
        </w:rPr>
        <w:t>Phänomenologie des Geistes</w:t>
      </w:r>
      <w:r>
        <w:rPr>
          <w:rFonts w:ascii="Times New Roman" w:eastAsia="Times New Roman" w:hAnsi="Times New Roman" w:cs="Times New Roman"/>
          <w:i/>
          <w:color w:val="000000"/>
        </w:rPr>
        <w:t>.....................</w:t>
      </w:r>
      <w:r w:rsidR="00DF1EC4">
        <w:rPr>
          <w:rFonts w:ascii="Times New Roman" w:eastAsia="Times New Roman" w:hAnsi="Times New Roman" w:cs="Times New Roman"/>
          <w:i/>
          <w:color w:val="000000"/>
        </w:rPr>
        <w:t>........................</w:t>
      </w:r>
      <w:r w:rsidR="00511D77">
        <w:rPr>
          <w:rFonts w:ascii="Times New Roman" w:hAnsi="Times New Roman" w:cs="Times New Roman"/>
        </w:rPr>
        <w:t>p. 91</w:t>
      </w:r>
    </w:p>
    <w:p w14:paraId="526B5287" w14:textId="77777777" w:rsidR="00E631E7" w:rsidRDefault="00E631E7" w:rsidP="00DA1D33">
      <w:pPr>
        <w:pStyle w:val="Paragrafoelenco"/>
        <w:jc w:val="both"/>
        <w:rPr>
          <w:rFonts w:ascii="Times New Roman" w:hAnsi="Times New Roman" w:cs="Times New Roman"/>
        </w:rPr>
      </w:pPr>
    </w:p>
    <w:p w14:paraId="448F757B" w14:textId="21D91B86" w:rsidR="00B041AD" w:rsidRPr="00651698" w:rsidRDefault="00E631E7" w:rsidP="00DA1D33">
      <w:pPr>
        <w:jc w:val="both"/>
        <w:rPr>
          <w:rFonts w:ascii="Times New Roman" w:hAnsi="Times New Roman" w:cs="Times New Roman"/>
          <w:b/>
        </w:rPr>
      </w:pPr>
      <w:r>
        <w:rPr>
          <w:rFonts w:ascii="Times New Roman" w:hAnsi="Times New Roman" w:cs="Times New Roman"/>
          <w:b/>
        </w:rPr>
        <w:t>Capitolo secondo</w:t>
      </w:r>
      <w:r w:rsidR="00651698">
        <w:rPr>
          <w:rFonts w:ascii="Times New Roman" w:hAnsi="Times New Roman" w:cs="Times New Roman"/>
          <w:b/>
        </w:rPr>
        <w:t xml:space="preserve">. </w:t>
      </w:r>
      <w:r w:rsidR="00B041AD" w:rsidRPr="00D279FF">
        <w:rPr>
          <w:rFonts w:ascii="Times New Roman" w:hAnsi="Times New Roman" w:cs="Times New Roman"/>
          <w:b/>
        </w:rPr>
        <w:t>Negativität e Wissenschaft</w:t>
      </w:r>
      <w:r w:rsidR="00B041AD" w:rsidRPr="00EC72C6">
        <w:rPr>
          <w:rFonts w:ascii="Times New Roman" w:hAnsi="Times New Roman" w:cs="Times New Roman"/>
          <w:b/>
        </w:rPr>
        <w:t xml:space="preserve"> der Logik</w:t>
      </w:r>
      <w:r w:rsidR="00B041AD" w:rsidRPr="00EC72C6">
        <w:rPr>
          <w:rFonts w:ascii="Times New Roman" w:hAnsi="Times New Roman" w:cs="Times New Roman"/>
          <w:b/>
          <w:i/>
        </w:rPr>
        <w:t xml:space="preserve">. </w:t>
      </w:r>
      <w:r w:rsidR="00B041AD" w:rsidRPr="00A66AE8">
        <w:rPr>
          <w:rFonts w:ascii="Times New Roman" w:hAnsi="Times New Roman" w:cs="Times New Roman"/>
          <w:b/>
        </w:rPr>
        <w:t>La sistematizzazione hegeliana delle acquisizioni teoriche del periodo jenese</w:t>
      </w:r>
      <w:r w:rsidR="00B041AD" w:rsidRPr="00FA7977">
        <w:rPr>
          <w:rFonts w:ascii="Times New Roman" w:eastAsia="Times New Roman" w:hAnsi="Times New Roman" w:cs="Times New Roman"/>
          <w:color w:val="000000"/>
        </w:rPr>
        <w:t>..........</w:t>
      </w:r>
      <w:r w:rsidR="00A66AE8">
        <w:rPr>
          <w:rFonts w:ascii="Times New Roman" w:eastAsia="Times New Roman" w:hAnsi="Times New Roman" w:cs="Times New Roman"/>
          <w:color w:val="000000"/>
        </w:rPr>
        <w:t>........</w:t>
      </w:r>
      <w:r w:rsidR="00651698">
        <w:rPr>
          <w:rFonts w:ascii="Times New Roman" w:eastAsia="Times New Roman" w:hAnsi="Times New Roman" w:cs="Times New Roman"/>
          <w:color w:val="000000"/>
        </w:rPr>
        <w:t>...............</w:t>
      </w:r>
      <w:r w:rsidR="00511D77">
        <w:rPr>
          <w:rFonts w:ascii="Times New Roman" w:eastAsia="Times New Roman" w:hAnsi="Times New Roman" w:cs="Times New Roman"/>
          <w:color w:val="000000"/>
        </w:rPr>
        <w:t>.....</w:t>
      </w:r>
      <w:r w:rsidR="00511D77">
        <w:rPr>
          <w:rFonts w:ascii="Times New Roman" w:hAnsi="Times New Roman" w:cs="Times New Roman"/>
        </w:rPr>
        <w:t>p. 10</w:t>
      </w:r>
      <w:r w:rsidR="006F1958">
        <w:rPr>
          <w:rFonts w:ascii="Times New Roman" w:hAnsi="Times New Roman" w:cs="Times New Roman"/>
        </w:rPr>
        <w:t>3</w:t>
      </w:r>
    </w:p>
    <w:p w14:paraId="4E9AC733" w14:textId="77777777" w:rsidR="00B041AD" w:rsidRDefault="00B041AD" w:rsidP="00DA1D33">
      <w:pPr>
        <w:pStyle w:val="Paragrafoelenco"/>
        <w:jc w:val="both"/>
        <w:rPr>
          <w:rFonts w:ascii="Times New Roman" w:hAnsi="Times New Roman" w:cs="Times New Roman"/>
          <w:b/>
        </w:rPr>
      </w:pPr>
    </w:p>
    <w:p w14:paraId="22D8CF5D" w14:textId="444BCB49" w:rsidR="00B041AD" w:rsidRDefault="00B041AD" w:rsidP="00DA1D33">
      <w:pPr>
        <w:pStyle w:val="Paragrafoelenco"/>
        <w:ind w:left="0"/>
        <w:jc w:val="both"/>
        <w:rPr>
          <w:rFonts w:ascii="Times New Roman" w:hAnsi="Times New Roman" w:cs="Times New Roman"/>
        </w:rPr>
      </w:pPr>
      <w:r w:rsidRPr="00EA1A0B">
        <w:rPr>
          <w:rFonts w:ascii="Times New Roman" w:hAnsi="Times New Roman" w:cs="Times New Roman"/>
          <w:i/>
        </w:rPr>
        <w:t>2.1</w:t>
      </w:r>
      <w:r>
        <w:rPr>
          <w:rFonts w:ascii="Times New Roman" w:hAnsi="Times New Roman" w:cs="Times New Roman"/>
        </w:rPr>
        <w:t xml:space="preserve"> </w:t>
      </w:r>
      <w:r w:rsidRPr="000F7F40">
        <w:rPr>
          <w:rFonts w:ascii="Times New Roman" w:hAnsi="Times New Roman" w:cs="Times New Roman"/>
          <w:i/>
        </w:rPr>
        <w:t>“Un nulla da cui deve uscire qualcosa”: il problema del cominciamento nella</w:t>
      </w:r>
      <w:r>
        <w:rPr>
          <w:rFonts w:ascii="Times New Roman" w:hAnsi="Times New Roman" w:cs="Times New Roman"/>
        </w:rPr>
        <w:t xml:space="preserve"> </w:t>
      </w:r>
      <w:r w:rsidRPr="000F7F40">
        <w:rPr>
          <w:rFonts w:ascii="Times New Roman" w:hAnsi="Times New Roman" w:cs="Times New Roman"/>
        </w:rPr>
        <w:t>Wissenschaft der Logik</w:t>
      </w:r>
      <w:r>
        <w:rPr>
          <w:rFonts w:ascii="Times New Roman" w:eastAsia="Times New Roman" w:hAnsi="Times New Roman" w:cs="Times New Roman"/>
          <w:i/>
          <w:color w:val="000000"/>
        </w:rPr>
        <w:t>...........................................................</w:t>
      </w:r>
      <w:r w:rsidR="00511D77">
        <w:rPr>
          <w:rFonts w:ascii="Times New Roman" w:eastAsia="Times New Roman" w:hAnsi="Times New Roman" w:cs="Times New Roman"/>
          <w:i/>
          <w:color w:val="000000"/>
        </w:rPr>
        <w:t>..............................</w:t>
      </w:r>
      <w:r>
        <w:rPr>
          <w:rFonts w:ascii="Times New Roman" w:eastAsia="Times New Roman" w:hAnsi="Times New Roman" w:cs="Times New Roman"/>
          <w:i/>
          <w:color w:val="000000"/>
        </w:rPr>
        <w:t>....</w:t>
      </w:r>
      <w:r w:rsidR="00511D77">
        <w:rPr>
          <w:rFonts w:ascii="Times New Roman" w:hAnsi="Times New Roman" w:cs="Times New Roman"/>
        </w:rPr>
        <w:t>p. 108</w:t>
      </w:r>
    </w:p>
    <w:p w14:paraId="7297E279" w14:textId="77777777" w:rsidR="00B041AD" w:rsidRDefault="00B041AD" w:rsidP="00DA1D33">
      <w:pPr>
        <w:pStyle w:val="Paragrafoelenco"/>
        <w:jc w:val="both"/>
        <w:rPr>
          <w:rFonts w:ascii="Times New Roman" w:hAnsi="Times New Roman" w:cs="Times New Roman"/>
        </w:rPr>
      </w:pPr>
    </w:p>
    <w:p w14:paraId="47D824EE" w14:textId="2BE3FB52" w:rsidR="00B041AD" w:rsidRDefault="00B041AD" w:rsidP="00DA1D33">
      <w:pPr>
        <w:pStyle w:val="Paragrafoelenco"/>
        <w:ind w:left="0"/>
        <w:jc w:val="both"/>
        <w:rPr>
          <w:rFonts w:ascii="Times New Roman" w:hAnsi="Times New Roman" w:cs="Times New Roman"/>
        </w:rPr>
      </w:pPr>
      <w:r w:rsidRPr="00EA1A0B">
        <w:rPr>
          <w:rFonts w:ascii="Times New Roman" w:hAnsi="Times New Roman" w:cs="Times New Roman"/>
          <w:i/>
        </w:rPr>
        <w:t>2.2</w:t>
      </w:r>
      <w:r w:rsidRPr="00EF06BA">
        <w:rPr>
          <w:rFonts w:ascii="Times New Roman" w:hAnsi="Times New Roman" w:cs="Times New Roman"/>
        </w:rPr>
        <w:t xml:space="preserve"> </w:t>
      </w:r>
      <w:r w:rsidRPr="00A8124E">
        <w:rPr>
          <w:rFonts w:ascii="Times New Roman" w:hAnsi="Times New Roman" w:cs="Times New Roman"/>
          <w:i/>
        </w:rPr>
        <w:t>D</w:t>
      </w:r>
      <w:r>
        <w:rPr>
          <w:rFonts w:ascii="Times New Roman" w:hAnsi="Times New Roman" w:cs="Times New Roman"/>
          <w:i/>
        </w:rPr>
        <w:t>eterminatio est negatio e</w:t>
      </w:r>
      <w:r w:rsidRPr="00A8124E">
        <w:rPr>
          <w:rFonts w:ascii="Times New Roman" w:hAnsi="Times New Roman" w:cs="Times New Roman"/>
          <w:i/>
        </w:rPr>
        <w:t xml:space="preserve"> Inqualierung. Spinoza e Böhme nella</w:t>
      </w:r>
      <w:r w:rsidRPr="00EF06BA">
        <w:rPr>
          <w:rFonts w:ascii="Times New Roman" w:hAnsi="Times New Roman" w:cs="Times New Roman"/>
        </w:rPr>
        <w:t xml:space="preserve"> </w:t>
      </w:r>
      <w:r w:rsidR="00C36D8A">
        <w:rPr>
          <w:rFonts w:ascii="Times New Roman" w:hAnsi="Times New Roman" w:cs="Times New Roman"/>
        </w:rPr>
        <w:t>Logik des Sey</w:t>
      </w:r>
      <w:r w:rsidRPr="00A8124E">
        <w:rPr>
          <w:rFonts w:ascii="Times New Roman" w:hAnsi="Times New Roman" w:cs="Times New Roman"/>
        </w:rPr>
        <w:t>n</w:t>
      </w:r>
      <w:r>
        <w:rPr>
          <w:rFonts w:ascii="Times New Roman" w:eastAsia="Times New Roman" w:hAnsi="Times New Roman" w:cs="Times New Roman"/>
          <w:i/>
          <w:color w:val="000000"/>
        </w:rPr>
        <w:t>............</w:t>
      </w:r>
      <w:r w:rsidR="00C61785">
        <w:rPr>
          <w:rFonts w:ascii="Times New Roman" w:eastAsia="Times New Roman" w:hAnsi="Times New Roman" w:cs="Times New Roman"/>
          <w:i/>
          <w:color w:val="000000"/>
        </w:rPr>
        <w:t>...............................</w:t>
      </w:r>
      <w:r>
        <w:rPr>
          <w:rFonts w:ascii="Times New Roman" w:eastAsia="Times New Roman" w:hAnsi="Times New Roman" w:cs="Times New Roman"/>
          <w:i/>
          <w:color w:val="000000"/>
        </w:rPr>
        <w:t>................................................................................</w:t>
      </w:r>
      <w:r w:rsidR="00511D77">
        <w:rPr>
          <w:rFonts w:ascii="Times New Roman" w:hAnsi="Times New Roman" w:cs="Times New Roman"/>
        </w:rPr>
        <w:t>p. 117</w:t>
      </w:r>
    </w:p>
    <w:p w14:paraId="4A0DAABB" w14:textId="77777777" w:rsidR="00B041AD" w:rsidRDefault="00B041AD" w:rsidP="00DA1D33">
      <w:pPr>
        <w:pStyle w:val="Paragrafoelenco"/>
        <w:jc w:val="both"/>
        <w:rPr>
          <w:rFonts w:ascii="Times New Roman" w:hAnsi="Times New Roman" w:cs="Times New Roman"/>
        </w:rPr>
      </w:pPr>
    </w:p>
    <w:p w14:paraId="095BB3D6" w14:textId="735ED697" w:rsidR="00B041AD" w:rsidRDefault="00B041AD" w:rsidP="00DA1D33">
      <w:pPr>
        <w:pStyle w:val="Paragrafoelenco"/>
        <w:ind w:left="0"/>
        <w:jc w:val="both"/>
        <w:rPr>
          <w:rFonts w:ascii="Times New Roman" w:hAnsi="Times New Roman" w:cs="Times New Roman"/>
        </w:rPr>
      </w:pPr>
      <w:r w:rsidRPr="00EA1A0B">
        <w:rPr>
          <w:rFonts w:ascii="Times New Roman" w:hAnsi="Times New Roman" w:cs="Times New Roman"/>
          <w:i/>
        </w:rPr>
        <w:t>2.3</w:t>
      </w:r>
      <w:r w:rsidRPr="00EF06BA">
        <w:rPr>
          <w:rFonts w:ascii="Times New Roman" w:hAnsi="Times New Roman" w:cs="Times New Roman"/>
        </w:rPr>
        <w:t xml:space="preserve"> </w:t>
      </w:r>
      <w:r w:rsidRPr="00A8124E">
        <w:rPr>
          <w:rFonts w:ascii="Times New Roman" w:hAnsi="Times New Roman" w:cs="Times New Roman"/>
          <w:i/>
        </w:rPr>
        <w:t>Indifferenza, negatività e opposizione: dalla logica dell’essere alla logica dell’essenza</w:t>
      </w:r>
      <w:r w:rsidRPr="00FA7977">
        <w:rPr>
          <w:rFonts w:ascii="Times New Roman" w:eastAsia="Times New Roman" w:hAnsi="Times New Roman" w:cs="Times New Roman"/>
          <w:color w:val="000000"/>
        </w:rPr>
        <w:t>................................................................................................................</w:t>
      </w:r>
      <w:r w:rsidR="00511D77">
        <w:rPr>
          <w:rFonts w:ascii="Times New Roman" w:hAnsi="Times New Roman" w:cs="Times New Roman"/>
        </w:rPr>
        <w:t>p. 125</w:t>
      </w:r>
      <w:r w:rsidRPr="00EF06BA">
        <w:rPr>
          <w:rFonts w:ascii="Times New Roman" w:eastAsia="Times New Roman" w:hAnsi="Times New Roman" w:cs="Times New Roman"/>
          <w:color w:val="000000"/>
        </w:rPr>
        <w:t xml:space="preserve"> </w:t>
      </w:r>
    </w:p>
    <w:p w14:paraId="1E0EBB70" w14:textId="77777777" w:rsidR="00B041AD" w:rsidRDefault="00B041AD" w:rsidP="00DA1D33">
      <w:pPr>
        <w:pStyle w:val="Paragrafoelenco"/>
        <w:jc w:val="both"/>
        <w:rPr>
          <w:rFonts w:ascii="Times New Roman" w:hAnsi="Times New Roman" w:cs="Times New Roman"/>
        </w:rPr>
      </w:pPr>
    </w:p>
    <w:p w14:paraId="36396EFC" w14:textId="2B47276F" w:rsidR="00B041AD" w:rsidRDefault="00B041AD" w:rsidP="00DA1D33">
      <w:pPr>
        <w:pStyle w:val="Paragrafoelenco"/>
        <w:ind w:left="0"/>
        <w:jc w:val="both"/>
        <w:rPr>
          <w:rFonts w:ascii="Times New Roman" w:hAnsi="Times New Roman" w:cs="Times New Roman"/>
        </w:rPr>
      </w:pPr>
      <w:r w:rsidRPr="00EA1A0B">
        <w:rPr>
          <w:rFonts w:ascii="Times New Roman" w:hAnsi="Times New Roman" w:cs="Times New Roman"/>
          <w:i/>
        </w:rPr>
        <w:t>2.4</w:t>
      </w:r>
      <w:r>
        <w:rPr>
          <w:rFonts w:ascii="Times New Roman" w:hAnsi="Times New Roman" w:cs="Times New Roman"/>
        </w:rPr>
        <w:t xml:space="preserve"> </w:t>
      </w:r>
      <w:r w:rsidR="00C61785">
        <w:rPr>
          <w:rFonts w:ascii="Times New Roman" w:hAnsi="Times New Roman" w:cs="Times New Roman"/>
          <w:i/>
        </w:rPr>
        <w:t xml:space="preserve">Fra tenebra e luce: </w:t>
      </w:r>
      <w:r w:rsidRPr="00A8124E">
        <w:rPr>
          <w:rFonts w:ascii="Times New Roman" w:hAnsi="Times New Roman" w:cs="Times New Roman"/>
          <w:i/>
        </w:rPr>
        <w:t>Spinoza, Leibniz e Böhme</w:t>
      </w:r>
      <w:r>
        <w:rPr>
          <w:rFonts w:ascii="Times New Roman" w:eastAsia="Times New Roman" w:hAnsi="Times New Roman" w:cs="Times New Roman"/>
          <w:i/>
          <w:color w:val="000000"/>
        </w:rPr>
        <w:t>...................................................</w:t>
      </w:r>
      <w:r w:rsidR="00C61785">
        <w:rPr>
          <w:rFonts w:ascii="Times New Roman" w:eastAsia="Times New Roman" w:hAnsi="Times New Roman" w:cs="Times New Roman"/>
          <w:i/>
          <w:color w:val="000000"/>
        </w:rPr>
        <w:t>.</w:t>
      </w:r>
      <w:r w:rsidRPr="00EC72C6">
        <w:rPr>
          <w:rFonts w:ascii="Times New Roman" w:eastAsia="Times New Roman" w:hAnsi="Times New Roman" w:cs="Times New Roman"/>
          <w:color w:val="000000"/>
        </w:rPr>
        <w:t>p</w:t>
      </w:r>
      <w:r w:rsidRPr="00EC72C6">
        <w:rPr>
          <w:rFonts w:ascii="Times New Roman" w:hAnsi="Times New Roman" w:cs="Times New Roman"/>
        </w:rPr>
        <w:t>.</w:t>
      </w:r>
      <w:r w:rsidR="00511D77">
        <w:rPr>
          <w:rFonts w:ascii="Times New Roman" w:hAnsi="Times New Roman" w:cs="Times New Roman"/>
        </w:rPr>
        <w:t xml:space="preserve"> 136</w:t>
      </w:r>
    </w:p>
    <w:p w14:paraId="54639555" w14:textId="77777777" w:rsidR="00B041AD" w:rsidRDefault="00B041AD" w:rsidP="00DA1D33">
      <w:pPr>
        <w:pStyle w:val="Paragrafoelenco"/>
        <w:jc w:val="both"/>
        <w:rPr>
          <w:rFonts w:ascii="Times New Roman" w:hAnsi="Times New Roman" w:cs="Times New Roman"/>
        </w:rPr>
      </w:pPr>
    </w:p>
    <w:p w14:paraId="0B64CB47" w14:textId="66620710" w:rsidR="00B041AD" w:rsidRPr="0075127E" w:rsidRDefault="00B041AD" w:rsidP="00DA1D33">
      <w:pPr>
        <w:pStyle w:val="Paragrafoelenco"/>
        <w:ind w:left="0"/>
        <w:jc w:val="both"/>
        <w:rPr>
          <w:rFonts w:ascii="Times New Roman" w:eastAsia="Times New Roman" w:hAnsi="Times New Roman" w:cs="Times New Roman"/>
          <w:color w:val="000000"/>
          <w:lang w:val="de-DE"/>
        </w:rPr>
      </w:pPr>
      <w:r w:rsidRPr="00EA1A0B">
        <w:rPr>
          <w:rFonts w:ascii="Times New Roman" w:hAnsi="Times New Roman" w:cs="Times New Roman"/>
          <w:i/>
        </w:rPr>
        <w:t>2.5</w:t>
      </w:r>
      <w:r w:rsidRPr="00EF06BA">
        <w:rPr>
          <w:rFonts w:ascii="Times New Roman" w:hAnsi="Times New Roman" w:cs="Times New Roman"/>
        </w:rPr>
        <w:t xml:space="preserve"> </w:t>
      </w:r>
      <w:r w:rsidRPr="0075127E">
        <w:rPr>
          <w:rFonts w:ascii="Times New Roman" w:eastAsia="Times New Roman" w:hAnsi="Times New Roman" w:cs="Times New Roman"/>
          <w:i/>
          <w:color w:val="000000"/>
        </w:rPr>
        <w:t>L’essere-fonte della propria effettualità. L’apporto böhmiano nella concezione hegeliana della</w:t>
      </w:r>
      <w:r>
        <w:rPr>
          <w:rFonts w:ascii="Times New Roman" w:eastAsia="Times New Roman" w:hAnsi="Times New Roman" w:cs="Times New Roman"/>
          <w:i/>
          <w:color w:val="000000"/>
        </w:rPr>
        <w:t xml:space="preserve"> </w:t>
      </w:r>
      <w:r w:rsidRPr="00A66AE8">
        <w:rPr>
          <w:rFonts w:ascii="Times New Roman" w:eastAsia="Times New Roman" w:hAnsi="Times New Roman" w:cs="Times New Roman"/>
          <w:i/>
          <w:color w:val="000000"/>
          <w:lang w:val="de-DE"/>
        </w:rPr>
        <w:t>Wirklichkeit</w:t>
      </w:r>
      <w:r w:rsidRPr="00FA7977">
        <w:rPr>
          <w:rFonts w:ascii="Times New Roman" w:eastAsia="Times New Roman" w:hAnsi="Times New Roman" w:cs="Times New Roman"/>
          <w:color w:val="000000"/>
          <w:lang w:val="de-DE"/>
        </w:rPr>
        <w:t>...........................................................</w:t>
      </w:r>
      <w:r w:rsidR="00511D77">
        <w:rPr>
          <w:rFonts w:ascii="Times New Roman" w:eastAsia="Times New Roman" w:hAnsi="Times New Roman" w:cs="Times New Roman"/>
          <w:color w:val="000000"/>
          <w:lang w:val="de-DE"/>
        </w:rPr>
        <w:t>..........................</w:t>
      </w:r>
      <w:r w:rsidR="00037BFD">
        <w:rPr>
          <w:rFonts w:ascii="Times New Roman" w:eastAsia="Times New Roman" w:hAnsi="Times New Roman" w:cs="Times New Roman"/>
          <w:color w:val="000000"/>
          <w:lang w:val="de-DE"/>
        </w:rPr>
        <w:t>.</w:t>
      </w:r>
      <w:r w:rsidR="00511D77">
        <w:rPr>
          <w:rFonts w:ascii="Times New Roman" w:eastAsia="Times New Roman" w:hAnsi="Times New Roman" w:cs="Times New Roman"/>
          <w:color w:val="000000"/>
          <w:lang w:val="de-DE"/>
        </w:rPr>
        <w:t>p. 145</w:t>
      </w:r>
    </w:p>
    <w:p w14:paraId="3B9D99CE" w14:textId="77777777" w:rsidR="00B041AD" w:rsidRDefault="00B041AD" w:rsidP="00DA1D33">
      <w:pPr>
        <w:pStyle w:val="Paragrafoelenco"/>
        <w:jc w:val="both"/>
        <w:rPr>
          <w:rFonts w:ascii="Times New Roman" w:hAnsi="Times New Roman" w:cs="Times New Roman"/>
        </w:rPr>
      </w:pPr>
      <w:r>
        <w:rPr>
          <w:rFonts w:ascii="Times New Roman" w:hAnsi="Times New Roman" w:cs="Times New Roman"/>
        </w:rPr>
        <w:t xml:space="preserve"> </w:t>
      </w:r>
    </w:p>
    <w:p w14:paraId="2822571E" w14:textId="4904643F" w:rsidR="00B041AD" w:rsidRPr="00651698" w:rsidRDefault="00E631E7" w:rsidP="00DA1D33">
      <w:pPr>
        <w:pStyle w:val="Paragrafoelenco"/>
        <w:ind w:left="0"/>
        <w:jc w:val="both"/>
        <w:rPr>
          <w:rFonts w:ascii="Times New Roman" w:hAnsi="Times New Roman"/>
          <w:b/>
        </w:rPr>
      </w:pPr>
      <w:r>
        <w:rPr>
          <w:rFonts w:ascii="Times New Roman" w:hAnsi="Times New Roman"/>
          <w:b/>
        </w:rPr>
        <w:t>Capitolo terzo</w:t>
      </w:r>
      <w:r w:rsidR="00651698">
        <w:rPr>
          <w:rFonts w:ascii="Times New Roman" w:hAnsi="Times New Roman"/>
          <w:b/>
        </w:rPr>
        <w:t xml:space="preserve">. </w:t>
      </w:r>
      <w:r w:rsidR="00B041AD" w:rsidRPr="00EC72C6">
        <w:rPr>
          <w:rFonts w:ascii="Times New Roman" w:hAnsi="Times New Roman"/>
          <w:b/>
        </w:rPr>
        <w:t>Ricezione ed interpretazione della Qabbalah nella Germania del XVIII e XIX secolo</w:t>
      </w:r>
      <w:r w:rsidR="00B041AD" w:rsidRPr="00FA7977">
        <w:rPr>
          <w:rFonts w:ascii="Times New Roman" w:eastAsia="Times New Roman" w:hAnsi="Times New Roman" w:cs="Times New Roman"/>
          <w:color w:val="000000"/>
        </w:rPr>
        <w:t>............................................................</w:t>
      </w:r>
      <w:r w:rsidR="00651698">
        <w:rPr>
          <w:rFonts w:ascii="Times New Roman" w:eastAsia="Times New Roman" w:hAnsi="Times New Roman" w:cs="Times New Roman"/>
          <w:color w:val="000000"/>
        </w:rPr>
        <w:t>.........</w:t>
      </w:r>
      <w:r w:rsidR="00B041AD" w:rsidRPr="00FA7977">
        <w:rPr>
          <w:rFonts w:ascii="Times New Roman" w:eastAsia="Times New Roman" w:hAnsi="Times New Roman" w:cs="Times New Roman"/>
          <w:color w:val="000000"/>
        </w:rPr>
        <w:t>......</w:t>
      </w:r>
      <w:r>
        <w:rPr>
          <w:rFonts w:ascii="Times New Roman" w:eastAsia="Times New Roman" w:hAnsi="Times New Roman" w:cs="Times New Roman"/>
          <w:color w:val="000000"/>
        </w:rPr>
        <w:t>.......................</w:t>
      </w:r>
      <w:r w:rsidR="002F3ABC">
        <w:rPr>
          <w:rFonts w:ascii="Times New Roman" w:hAnsi="Times New Roman"/>
        </w:rPr>
        <w:t>p. 16</w:t>
      </w:r>
      <w:r w:rsidR="0038232E">
        <w:rPr>
          <w:rFonts w:ascii="Times New Roman" w:hAnsi="Times New Roman"/>
        </w:rPr>
        <w:t>0</w:t>
      </w:r>
    </w:p>
    <w:p w14:paraId="4874E739" w14:textId="77777777" w:rsidR="00B041AD" w:rsidRDefault="00B041AD" w:rsidP="00DA1D33">
      <w:pPr>
        <w:pStyle w:val="Paragrafoelenco"/>
        <w:jc w:val="both"/>
        <w:rPr>
          <w:rFonts w:ascii="Times New Roman" w:hAnsi="Times New Roman"/>
          <w:b/>
        </w:rPr>
      </w:pPr>
    </w:p>
    <w:p w14:paraId="47D760EE" w14:textId="7390CABD" w:rsidR="00B041AD" w:rsidRPr="0075127E" w:rsidRDefault="00B041AD" w:rsidP="00DA1D33">
      <w:pPr>
        <w:pStyle w:val="Paragrafoelenco"/>
        <w:ind w:left="0"/>
        <w:jc w:val="both"/>
        <w:rPr>
          <w:rFonts w:ascii="Times New Roman" w:hAnsi="Times New Roman"/>
          <w:b/>
        </w:rPr>
      </w:pPr>
      <w:r w:rsidRPr="00EA1A0B">
        <w:rPr>
          <w:rFonts w:ascii="Times New Roman" w:hAnsi="Times New Roman"/>
          <w:i/>
        </w:rPr>
        <w:t>3.1</w:t>
      </w:r>
      <w:r>
        <w:rPr>
          <w:rFonts w:ascii="Times New Roman" w:hAnsi="Times New Roman"/>
        </w:rPr>
        <w:t xml:space="preserve"> </w:t>
      </w:r>
      <w:r w:rsidRPr="00580781">
        <w:rPr>
          <w:rFonts w:ascii="Times New Roman" w:hAnsi="Times New Roman"/>
          <w:i/>
        </w:rPr>
        <w:t xml:space="preserve">“Ex nihilo nihil posse creari”: la Qabbalah ebraica fra emanatismo e </w:t>
      </w:r>
      <w:r w:rsidRPr="00FA7977">
        <w:rPr>
          <w:rFonts w:ascii="Times New Roman" w:hAnsi="Times New Roman"/>
          <w:i/>
        </w:rPr>
        <w:t>panteismo</w:t>
      </w:r>
      <w:r w:rsidRPr="00FA7977">
        <w:rPr>
          <w:rFonts w:ascii="Times New Roman" w:eastAsia="Times New Roman" w:hAnsi="Times New Roman" w:cs="Times New Roman"/>
          <w:color w:val="000000"/>
        </w:rPr>
        <w:t>..................................................................................................</w:t>
      </w:r>
      <w:r>
        <w:rPr>
          <w:rFonts w:ascii="Times New Roman" w:eastAsia="Times New Roman" w:hAnsi="Times New Roman" w:cs="Times New Roman"/>
          <w:color w:val="000000"/>
        </w:rPr>
        <w:t>.................</w:t>
      </w:r>
      <w:r w:rsidRPr="00FA7977">
        <w:rPr>
          <w:rFonts w:ascii="Times New Roman" w:hAnsi="Times New Roman"/>
        </w:rPr>
        <w:t>p</w:t>
      </w:r>
      <w:r w:rsidRPr="0075127E">
        <w:rPr>
          <w:rFonts w:ascii="Times New Roman" w:hAnsi="Times New Roman"/>
        </w:rPr>
        <w:t>. 1</w:t>
      </w:r>
      <w:r w:rsidR="002F3ABC">
        <w:rPr>
          <w:rFonts w:ascii="Times New Roman" w:hAnsi="Times New Roman"/>
        </w:rPr>
        <w:t>6</w:t>
      </w:r>
      <w:r w:rsidR="009949BD">
        <w:rPr>
          <w:rFonts w:ascii="Times New Roman" w:hAnsi="Times New Roman"/>
        </w:rPr>
        <w:t>6</w:t>
      </w:r>
    </w:p>
    <w:p w14:paraId="2CAE6187" w14:textId="77777777" w:rsidR="00B041AD" w:rsidRDefault="00B041AD" w:rsidP="00DA1D33">
      <w:pPr>
        <w:pStyle w:val="Paragrafoelenco"/>
        <w:jc w:val="both"/>
        <w:rPr>
          <w:rFonts w:ascii="Times New Roman" w:hAnsi="Times New Roman"/>
        </w:rPr>
      </w:pPr>
    </w:p>
    <w:p w14:paraId="38E0546E" w14:textId="63788DEF" w:rsidR="00B041AD" w:rsidRDefault="00B041AD" w:rsidP="00DA1D33">
      <w:pPr>
        <w:pStyle w:val="Paragrafoelenco"/>
        <w:ind w:left="0"/>
        <w:jc w:val="both"/>
        <w:rPr>
          <w:rFonts w:ascii="Times New Roman" w:hAnsi="Times New Roman"/>
        </w:rPr>
      </w:pPr>
      <w:r w:rsidRPr="00EA1A0B">
        <w:rPr>
          <w:rFonts w:ascii="Times New Roman" w:hAnsi="Times New Roman"/>
          <w:i/>
        </w:rPr>
        <w:t>3.2</w:t>
      </w:r>
      <w:r>
        <w:rPr>
          <w:rFonts w:ascii="Times New Roman" w:hAnsi="Times New Roman"/>
        </w:rPr>
        <w:t xml:space="preserve"> </w:t>
      </w:r>
      <w:r w:rsidRPr="009B6262">
        <w:rPr>
          <w:rFonts w:ascii="Times New Roman" w:hAnsi="Times New Roman" w:cs="Times New Roman"/>
          <w:i/>
        </w:rPr>
        <w:t xml:space="preserve">Fra materialismo e spiritualismo: Johan Georg Wachter e la nascita dello </w:t>
      </w:r>
      <w:r w:rsidRPr="009B6262">
        <w:rPr>
          <w:rFonts w:ascii="Times New Roman" w:hAnsi="Times New Roman" w:cs="Times New Roman"/>
          <w:i/>
          <w:lang w:val="de-DE"/>
        </w:rPr>
        <w:t>Spinozismusstreit</w:t>
      </w:r>
      <w:r w:rsidRPr="00FA7977">
        <w:rPr>
          <w:rFonts w:ascii="Times New Roman" w:eastAsia="Times New Roman" w:hAnsi="Times New Roman" w:cs="Times New Roman"/>
          <w:color w:val="000000"/>
        </w:rPr>
        <w:t>..................................................................................................</w:t>
      </w:r>
      <w:r>
        <w:rPr>
          <w:rFonts w:ascii="Times New Roman" w:eastAsia="Times New Roman" w:hAnsi="Times New Roman" w:cs="Times New Roman"/>
          <w:color w:val="000000"/>
        </w:rPr>
        <w:t>.....</w:t>
      </w:r>
      <w:r w:rsidR="00887392">
        <w:rPr>
          <w:rFonts w:ascii="Times New Roman" w:hAnsi="Times New Roman"/>
        </w:rPr>
        <w:t>p. 178</w:t>
      </w:r>
    </w:p>
    <w:p w14:paraId="1113D861" w14:textId="77777777" w:rsidR="00B041AD" w:rsidRDefault="00B041AD" w:rsidP="00DA1D33">
      <w:pPr>
        <w:pStyle w:val="Paragrafoelenco"/>
        <w:jc w:val="both"/>
        <w:rPr>
          <w:rFonts w:ascii="Times New Roman" w:hAnsi="Times New Roman"/>
        </w:rPr>
      </w:pPr>
    </w:p>
    <w:p w14:paraId="4160C19A" w14:textId="03D24B49" w:rsidR="00B041AD" w:rsidRDefault="00B041AD" w:rsidP="00DA1D33">
      <w:pPr>
        <w:pStyle w:val="Paragrafoelenco"/>
        <w:ind w:left="0"/>
        <w:jc w:val="both"/>
        <w:rPr>
          <w:rFonts w:ascii="Times New Roman" w:hAnsi="Times New Roman" w:cs="Times New Roman"/>
        </w:rPr>
      </w:pPr>
      <w:r w:rsidRPr="00EA1A0B">
        <w:rPr>
          <w:rFonts w:ascii="Times New Roman" w:hAnsi="Times New Roman"/>
          <w:i/>
        </w:rPr>
        <w:t>3.3</w:t>
      </w:r>
      <w:r>
        <w:rPr>
          <w:rFonts w:ascii="Times New Roman" w:hAnsi="Times New Roman"/>
        </w:rPr>
        <w:t xml:space="preserve"> </w:t>
      </w:r>
      <w:r w:rsidRPr="009B6262">
        <w:rPr>
          <w:rFonts w:ascii="Times New Roman" w:hAnsi="Times New Roman" w:cs="Times New Roman"/>
          <w:i/>
        </w:rPr>
        <w:t>La</w:t>
      </w:r>
      <w:r w:rsidRPr="00010E38">
        <w:rPr>
          <w:rFonts w:ascii="Times New Roman" w:hAnsi="Times New Roman" w:cs="Times New Roman"/>
        </w:rPr>
        <w:t xml:space="preserve"> ‘Philosophia Iudeorum Esoterica’ </w:t>
      </w:r>
      <w:r w:rsidRPr="009B6262">
        <w:rPr>
          <w:rFonts w:ascii="Times New Roman" w:hAnsi="Times New Roman" w:cs="Times New Roman"/>
          <w:i/>
        </w:rPr>
        <w:t>nella</w:t>
      </w:r>
      <w:r>
        <w:rPr>
          <w:rFonts w:ascii="Times New Roman" w:hAnsi="Times New Roman" w:cs="Times New Roman"/>
        </w:rPr>
        <w:t xml:space="preserve"> </w:t>
      </w:r>
      <w:r w:rsidRPr="00010E38">
        <w:rPr>
          <w:rFonts w:ascii="Times New Roman" w:hAnsi="Times New Roman" w:cs="Times New Roman"/>
        </w:rPr>
        <w:t>Historia critica philosophiae</w:t>
      </w:r>
      <w:r w:rsidRPr="00FA7977">
        <w:rPr>
          <w:rFonts w:ascii="Times New Roman" w:eastAsia="Times New Roman" w:hAnsi="Times New Roman" w:cs="Times New Roman"/>
          <w:color w:val="000000"/>
        </w:rPr>
        <w:t>..................................................................................................</w:t>
      </w:r>
      <w:r w:rsidR="00454E62">
        <w:rPr>
          <w:rFonts w:ascii="Times New Roman" w:eastAsia="Times New Roman" w:hAnsi="Times New Roman" w:cs="Times New Roman"/>
          <w:color w:val="000000"/>
        </w:rPr>
        <w:t>......</w:t>
      </w:r>
      <w:r>
        <w:rPr>
          <w:rFonts w:ascii="Times New Roman" w:eastAsia="Times New Roman" w:hAnsi="Times New Roman" w:cs="Times New Roman"/>
          <w:color w:val="000000"/>
        </w:rPr>
        <w:t>.......</w:t>
      </w:r>
      <w:r w:rsidR="002F3ABC">
        <w:rPr>
          <w:rFonts w:ascii="Times New Roman" w:hAnsi="Times New Roman" w:cs="Times New Roman"/>
        </w:rPr>
        <w:t>p.</w:t>
      </w:r>
      <w:r w:rsidR="00454E62">
        <w:rPr>
          <w:rFonts w:ascii="Times New Roman" w:hAnsi="Times New Roman" w:cs="Times New Roman"/>
        </w:rPr>
        <w:t xml:space="preserve"> </w:t>
      </w:r>
      <w:r w:rsidR="00887392">
        <w:rPr>
          <w:rFonts w:ascii="Times New Roman" w:hAnsi="Times New Roman" w:cs="Times New Roman"/>
        </w:rPr>
        <w:t>184</w:t>
      </w:r>
    </w:p>
    <w:p w14:paraId="37F00BE9" w14:textId="77777777" w:rsidR="00B041AD" w:rsidRDefault="00B041AD" w:rsidP="00DA1D33">
      <w:pPr>
        <w:pStyle w:val="Paragrafoelenco"/>
        <w:jc w:val="both"/>
        <w:rPr>
          <w:rFonts w:ascii="Times New Roman" w:hAnsi="Times New Roman" w:cs="Times New Roman"/>
        </w:rPr>
      </w:pPr>
    </w:p>
    <w:p w14:paraId="0F05B0C1" w14:textId="2A159238" w:rsidR="00B041AD" w:rsidRPr="009B6262" w:rsidRDefault="00B041AD" w:rsidP="00DA1D33">
      <w:pPr>
        <w:pStyle w:val="Paragrafoelenco"/>
        <w:ind w:left="0"/>
        <w:jc w:val="both"/>
        <w:rPr>
          <w:rFonts w:ascii="Times New Roman" w:hAnsi="Times New Roman" w:cs="Times New Roman"/>
          <w:lang w:val="de-DE"/>
        </w:rPr>
      </w:pPr>
      <w:r w:rsidRPr="00EA1A0B">
        <w:rPr>
          <w:rFonts w:ascii="Times New Roman" w:hAnsi="Times New Roman" w:cs="Times New Roman"/>
          <w:i/>
        </w:rPr>
        <w:t>3.4</w:t>
      </w:r>
      <w:r w:rsidRPr="00010E38">
        <w:rPr>
          <w:rFonts w:ascii="Times New Roman" w:hAnsi="Times New Roman" w:cs="Times New Roman"/>
        </w:rPr>
        <w:t xml:space="preserve"> </w:t>
      </w:r>
      <w:r w:rsidRPr="009B6262">
        <w:rPr>
          <w:rFonts w:ascii="Times New Roman" w:hAnsi="Times New Roman" w:cs="Times New Roman"/>
          <w:i/>
        </w:rPr>
        <w:t>Qabbalah e spinozismo nelle</w:t>
      </w:r>
      <w:r>
        <w:rPr>
          <w:rFonts w:ascii="Times New Roman" w:hAnsi="Times New Roman" w:cs="Times New Roman"/>
        </w:rPr>
        <w:t xml:space="preserve"> Spinozabriefe</w:t>
      </w:r>
      <w:r w:rsidRPr="00010E38">
        <w:rPr>
          <w:rFonts w:ascii="Times New Roman" w:hAnsi="Times New Roman" w:cs="Times New Roman"/>
        </w:rPr>
        <w:t xml:space="preserve"> </w:t>
      </w:r>
      <w:r w:rsidRPr="009B6262">
        <w:rPr>
          <w:rFonts w:ascii="Times New Roman" w:hAnsi="Times New Roman" w:cs="Times New Roman"/>
          <w:i/>
        </w:rPr>
        <w:t>e nella</w:t>
      </w:r>
      <w:r>
        <w:rPr>
          <w:rFonts w:ascii="Times New Roman" w:hAnsi="Times New Roman" w:cs="Times New Roman"/>
        </w:rPr>
        <w:t xml:space="preserve"> </w:t>
      </w:r>
      <w:r w:rsidRPr="00010E38">
        <w:rPr>
          <w:rFonts w:ascii="Times New Roman" w:hAnsi="Times New Roman" w:cs="Times New Roman"/>
        </w:rPr>
        <w:t>S</w:t>
      </w:r>
      <w:r w:rsidRPr="00010E38">
        <w:rPr>
          <w:rFonts w:ascii="Times New Roman" w:hAnsi="Times New Roman" w:cs="Times New Roman"/>
          <w:lang w:val="de-DE"/>
        </w:rPr>
        <w:t>a</w:t>
      </w:r>
      <w:r>
        <w:rPr>
          <w:rFonts w:ascii="Times New Roman" w:hAnsi="Times New Roman" w:cs="Times New Roman"/>
          <w:lang w:val="de-DE"/>
        </w:rPr>
        <w:t>lomon Maimons Lebensgeschichte.......................................................................................................</w:t>
      </w:r>
      <w:r w:rsidR="00887392">
        <w:rPr>
          <w:rFonts w:ascii="Times New Roman" w:hAnsi="Times New Roman" w:cs="Times New Roman"/>
        </w:rPr>
        <w:t>p. 192</w:t>
      </w:r>
    </w:p>
    <w:p w14:paraId="685A9E0C" w14:textId="77777777" w:rsidR="00B041AD" w:rsidRDefault="00B041AD" w:rsidP="00DA1D33">
      <w:pPr>
        <w:pStyle w:val="Paragrafoelenco"/>
        <w:jc w:val="both"/>
        <w:rPr>
          <w:rFonts w:ascii="Times New Roman" w:hAnsi="Times New Roman" w:cs="Times New Roman"/>
        </w:rPr>
      </w:pPr>
    </w:p>
    <w:p w14:paraId="776E2C90" w14:textId="7A2159A3" w:rsidR="00B041AD" w:rsidRPr="009B6262" w:rsidRDefault="00B041AD" w:rsidP="00DA1D33">
      <w:pPr>
        <w:pStyle w:val="Paragrafoelenco"/>
        <w:ind w:left="0"/>
        <w:jc w:val="both"/>
        <w:rPr>
          <w:rFonts w:ascii="Times New Roman" w:eastAsia="Times New Roman" w:hAnsi="Times New Roman" w:cs="Times New Roman"/>
          <w:i/>
          <w:iCs/>
          <w:color w:val="222222"/>
          <w:shd w:val="clear" w:color="auto" w:fill="FFFFFF"/>
        </w:rPr>
      </w:pPr>
      <w:r w:rsidRPr="00EA1A0B">
        <w:rPr>
          <w:rFonts w:ascii="Times New Roman" w:hAnsi="Times New Roman" w:cs="Times New Roman"/>
          <w:i/>
        </w:rPr>
        <w:t>3.5</w:t>
      </w:r>
      <w:r w:rsidRPr="00010E38">
        <w:rPr>
          <w:rFonts w:ascii="Times New Roman" w:hAnsi="Times New Roman" w:cs="Times New Roman"/>
        </w:rPr>
        <w:t xml:space="preserve"> </w:t>
      </w:r>
      <w:r w:rsidRPr="00010E38">
        <w:rPr>
          <w:rFonts w:ascii="Times New Roman" w:eastAsia="Times New Roman" w:hAnsi="Times New Roman" w:cs="Times New Roman"/>
          <w:i/>
          <w:iCs/>
          <w:color w:val="222222"/>
          <w:shd w:val="clear" w:color="auto" w:fill="FFFFFF"/>
        </w:rPr>
        <w:t>Materialismo cabbalistic</w:t>
      </w:r>
      <w:r>
        <w:rPr>
          <w:rFonts w:ascii="Times New Roman" w:eastAsia="Times New Roman" w:hAnsi="Times New Roman" w:cs="Times New Roman"/>
          <w:i/>
          <w:iCs/>
          <w:color w:val="222222"/>
          <w:shd w:val="clear" w:color="auto" w:fill="FFFFFF"/>
        </w:rPr>
        <w:t xml:space="preserve">o e nichilismo spinoziano. Il </w:t>
      </w:r>
      <w:r w:rsidRPr="009B6262">
        <w:rPr>
          <w:rFonts w:ascii="Times New Roman" w:eastAsia="Times New Roman" w:hAnsi="Times New Roman" w:cs="Times New Roman"/>
          <w:iCs/>
          <w:color w:val="222222"/>
          <w:shd w:val="clear" w:color="auto" w:fill="FFFFFF"/>
        </w:rPr>
        <w:t>Geist der spekulativen Philosophie</w:t>
      </w:r>
      <w:r>
        <w:rPr>
          <w:rFonts w:ascii="Times New Roman" w:eastAsia="Times New Roman" w:hAnsi="Times New Roman" w:cs="Times New Roman"/>
          <w:i/>
          <w:iCs/>
          <w:color w:val="222222"/>
          <w:shd w:val="clear" w:color="auto" w:fill="FFFFFF"/>
        </w:rPr>
        <w:t xml:space="preserve"> fra lo </w:t>
      </w:r>
      <w:r w:rsidR="00A76F84">
        <w:rPr>
          <w:rFonts w:ascii="Times New Roman" w:eastAsia="Times New Roman" w:hAnsi="Times New Roman" w:cs="Times New Roman"/>
          <w:iCs/>
          <w:color w:val="222222"/>
          <w:shd w:val="clear" w:color="auto" w:fill="FFFFFF"/>
        </w:rPr>
        <w:t>Spinozismus in Jü</w:t>
      </w:r>
      <w:r w:rsidRPr="009B6262">
        <w:rPr>
          <w:rFonts w:ascii="Times New Roman" w:eastAsia="Times New Roman" w:hAnsi="Times New Roman" w:cs="Times New Roman"/>
          <w:iCs/>
          <w:color w:val="222222"/>
          <w:shd w:val="clear" w:color="auto" w:fill="FFFFFF"/>
        </w:rPr>
        <w:t>denthumb</w:t>
      </w:r>
      <w:r>
        <w:rPr>
          <w:rFonts w:ascii="Times New Roman" w:eastAsia="Times New Roman" w:hAnsi="Times New Roman" w:cs="Times New Roman"/>
          <w:i/>
          <w:iCs/>
          <w:color w:val="222222"/>
          <w:shd w:val="clear" w:color="auto" w:fill="FFFFFF"/>
        </w:rPr>
        <w:t xml:space="preserve"> e le </w:t>
      </w:r>
      <w:r w:rsidRPr="009B6262">
        <w:rPr>
          <w:rFonts w:ascii="Times New Roman" w:eastAsia="Times New Roman" w:hAnsi="Times New Roman" w:cs="Times New Roman"/>
          <w:iCs/>
          <w:color w:val="222222"/>
          <w:shd w:val="clear" w:color="auto" w:fill="FFFFFF"/>
        </w:rPr>
        <w:t>Spinozabriefe</w:t>
      </w:r>
      <w:r w:rsidRPr="00FA7977">
        <w:rPr>
          <w:rFonts w:ascii="Times New Roman" w:eastAsia="Times New Roman" w:hAnsi="Times New Roman" w:cs="Times New Roman"/>
          <w:color w:val="000000"/>
        </w:rPr>
        <w:t>.......................</w:t>
      </w:r>
      <w:r>
        <w:rPr>
          <w:rFonts w:ascii="Times New Roman" w:eastAsia="Times New Roman" w:hAnsi="Times New Roman" w:cs="Times New Roman"/>
          <w:color w:val="000000"/>
        </w:rPr>
        <w:t>...</w:t>
      </w:r>
      <w:r w:rsidR="002F3ABC">
        <w:rPr>
          <w:rFonts w:ascii="Times New Roman" w:hAnsi="Times New Roman" w:cs="Times New Roman"/>
        </w:rPr>
        <w:t>p. 20</w:t>
      </w:r>
      <w:r w:rsidR="00887392">
        <w:rPr>
          <w:rFonts w:ascii="Times New Roman" w:hAnsi="Times New Roman" w:cs="Times New Roman"/>
        </w:rPr>
        <w:t>9</w:t>
      </w:r>
    </w:p>
    <w:p w14:paraId="58B09A54" w14:textId="77777777" w:rsidR="00B041AD" w:rsidRDefault="00B041AD" w:rsidP="00DA1D33">
      <w:pPr>
        <w:pStyle w:val="Paragrafoelenco"/>
        <w:jc w:val="both"/>
        <w:rPr>
          <w:rFonts w:ascii="Times New Roman" w:hAnsi="Times New Roman" w:cs="Times New Roman"/>
        </w:rPr>
      </w:pPr>
    </w:p>
    <w:p w14:paraId="0A1D78D6" w14:textId="6F573996" w:rsidR="00B041AD" w:rsidRDefault="00B041AD" w:rsidP="00DA1D33">
      <w:pPr>
        <w:pStyle w:val="Paragrafoelenco"/>
        <w:ind w:left="0"/>
        <w:jc w:val="both"/>
        <w:rPr>
          <w:rFonts w:ascii="Times New Roman" w:hAnsi="Times New Roman" w:cs="Times New Roman"/>
        </w:rPr>
      </w:pPr>
      <w:r w:rsidRPr="00EA1A0B">
        <w:rPr>
          <w:rFonts w:ascii="Times New Roman" w:hAnsi="Times New Roman" w:cs="Times New Roman"/>
          <w:i/>
        </w:rPr>
        <w:t>3.6</w:t>
      </w:r>
      <w:r w:rsidRPr="00010E38">
        <w:rPr>
          <w:rFonts w:ascii="Times New Roman" w:hAnsi="Times New Roman" w:cs="Times New Roman"/>
        </w:rPr>
        <w:t xml:space="preserve"> </w:t>
      </w:r>
      <w:r w:rsidR="00533BAE">
        <w:rPr>
          <w:rFonts w:ascii="Times New Roman" w:hAnsi="Times New Roman" w:cs="Times New Roman"/>
          <w:i/>
        </w:rPr>
        <w:t xml:space="preserve">Panteismo </w:t>
      </w:r>
      <w:r w:rsidRPr="009B6262">
        <w:rPr>
          <w:rFonts w:ascii="Times New Roman" w:hAnsi="Times New Roman" w:cs="Times New Roman"/>
          <w:i/>
        </w:rPr>
        <w:t>spinoziano e emanatismo cabbalistico. Variazioni sul tema nel</w:t>
      </w:r>
      <w:r>
        <w:rPr>
          <w:rFonts w:ascii="Times New Roman" w:hAnsi="Times New Roman" w:cs="Times New Roman"/>
        </w:rPr>
        <w:t xml:space="preserve"> </w:t>
      </w:r>
      <w:r w:rsidRPr="00010E38">
        <w:rPr>
          <w:rFonts w:ascii="Times New Roman" w:hAnsi="Times New Roman" w:cs="Times New Roman"/>
          <w:lang w:val="de-DE"/>
        </w:rPr>
        <w:t>Lehrbuch</w:t>
      </w:r>
      <w:r>
        <w:rPr>
          <w:rFonts w:ascii="Times New Roman" w:hAnsi="Times New Roman" w:cs="Times New Roman"/>
          <w:lang w:val="de-DE"/>
        </w:rPr>
        <w:t xml:space="preserve"> der Geschichte der Philosophie.................................................................................</w:t>
      </w:r>
      <w:r w:rsidRPr="00010E38">
        <w:rPr>
          <w:rFonts w:ascii="Times New Roman" w:hAnsi="Times New Roman" w:cs="Times New Roman"/>
        </w:rPr>
        <w:t xml:space="preserve">p. </w:t>
      </w:r>
      <w:r w:rsidR="00887392">
        <w:rPr>
          <w:rFonts w:ascii="Times New Roman" w:hAnsi="Times New Roman" w:cs="Times New Roman"/>
        </w:rPr>
        <w:t>215</w:t>
      </w:r>
    </w:p>
    <w:p w14:paraId="27B167EF" w14:textId="77777777" w:rsidR="00B041AD" w:rsidRDefault="00B041AD" w:rsidP="00DA1D33">
      <w:pPr>
        <w:pStyle w:val="Paragrafoelenco"/>
        <w:jc w:val="both"/>
        <w:rPr>
          <w:rFonts w:ascii="Times New Roman" w:hAnsi="Times New Roman" w:cs="Times New Roman"/>
        </w:rPr>
      </w:pPr>
    </w:p>
    <w:p w14:paraId="5BED0C85" w14:textId="0E0047BB" w:rsidR="00B041AD" w:rsidRDefault="00B041AD" w:rsidP="00DA1D33">
      <w:pPr>
        <w:pStyle w:val="Paragrafoelenco"/>
        <w:ind w:left="0"/>
        <w:jc w:val="both"/>
        <w:rPr>
          <w:rFonts w:ascii="Times New Roman" w:hAnsi="Times New Roman" w:cs="Times New Roman"/>
        </w:rPr>
      </w:pPr>
      <w:r w:rsidRPr="00EA1A0B">
        <w:rPr>
          <w:rFonts w:ascii="Times New Roman" w:hAnsi="Times New Roman" w:cs="Times New Roman"/>
          <w:i/>
        </w:rPr>
        <w:t>3.7</w:t>
      </w:r>
      <w:r w:rsidRPr="00010E38">
        <w:rPr>
          <w:rFonts w:ascii="Times New Roman" w:hAnsi="Times New Roman" w:cs="Times New Roman"/>
        </w:rPr>
        <w:t xml:space="preserve"> </w:t>
      </w:r>
      <w:r w:rsidRPr="009B6262">
        <w:rPr>
          <w:rFonts w:ascii="Times New Roman" w:hAnsi="Times New Roman" w:cs="Times New Roman"/>
          <w:i/>
        </w:rPr>
        <w:t>Fra unità e opposizione: Qabbalah e spinozismo nel</w:t>
      </w:r>
      <w:r>
        <w:rPr>
          <w:rFonts w:ascii="Times New Roman" w:hAnsi="Times New Roman" w:cs="Times New Roman"/>
        </w:rPr>
        <w:t xml:space="preserve"> </w:t>
      </w:r>
      <w:r w:rsidRPr="00010E38">
        <w:rPr>
          <w:rFonts w:ascii="Times New Roman" w:hAnsi="Times New Roman" w:cs="Times New Roman"/>
        </w:rPr>
        <w:t>Grundriss e</w:t>
      </w:r>
      <w:r>
        <w:rPr>
          <w:rFonts w:ascii="Times New Roman" w:hAnsi="Times New Roman" w:cs="Times New Roman"/>
        </w:rPr>
        <w:t>iner Geschichte der Philosophie</w:t>
      </w:r>
      <w:r w:rsidRPr="00FA7977">
        <w:rPr>
          <w:rFonts w:ascii="Times New Roman" w:eastAsia="Times New Roman" w:hAnsi="Times New Roman" w:cs="Times New Roman"/>
          <w:color w:val="000000"/>
        </w:rPr>
        <w:t>..................................................................................................</w:t>
      </w:r>
      <w:r>
        <w:rPr>
          <w:rFonts w:ascii="Times New Roman" w:eastAsia="Times New Roman" w:hAnsi="Times New Roman" w:cs="Times New Roman"/>
          <w:color w:val="000000"/>
        </w:rPr>
        <w:t>..............</w:t>
      </w:r>
      <w:r w:rsidR="00887392">
        <w:rPr>
          <w:rFonts w:ascii="Times New Roman" w:hAnsi="Times New Roman" w:cs="Times New Roman"/>
        </w:rPr>
        <w:t>p. 226</w:t>
      </w:r>
    </w:p>
    <w:p w14:paraId="30063C35" w14:textId="77777777" w:rsidR="00B041AD" w:rsidRPr="00010E38" w:rsidRDefault="00B041AD" w:rsidP="00DA1D33">
      <w:pPr>
        <w:pStyle w:val="Paragrafoelenco"/>
        <w:jc w:val="both"/>
        <w:rPr>
          <w:rFonts w:ascii="Times New Roman" w:hAnsi="Times New Roman" w:cs="Times New Roman"/>
        </w:rPr>
      </w:pPr>
    </w:p>
    <w:p w14:paraId="7A409AB0" w14:textId="31A71D2D" w:rsidR="00B041AD" w:rsidRDefault="00B041AD" w:rsidP="00DA1D33">
      <w:pPr>
        <w:pStyle w:val="Paragrafoelenco"/>
        <w:ind w:left="0"/>
        <w:jc w:val="both"/>
        <w:rPr>
          <w:rFonts w:ascii="Times New Roman" w:hAnsi="Times New Roman" w:cs="Times New Roman"/>
        </w:rPr>
      </w:pPr>
      <w:r w:rsidRPr="00EA1A0B">
        <w:rPr>
          <w:rFonts w:ascii="Times New Roman" w:hAnsi="Times New Roman" w:cs="Times New Roman"/>
          <w:i/>
        </w:rPr>
        <w:t>3.8</w:t>
      </w:r>
      <w:r w:rsidRPr="00010E38">
        <w:rPr>
          <w:rFonts w:ascii="Times New Roman" w:hAnsi="Times New Roman" w:cs="Times New Roman"/>
        </w:rPr>
        <w:t xml:space="preserve"> </w:t>
      </w:r>
      <w:r w:rsidRPr="009B6262">
        <w:rPr>
          <w:rFonts w:ascii="Times New Roman" w:hAnsi="Times New Roman" w:cs="Times New Roman"/>
          <w:i/>
        </w:rPr>
        <w:t>Rappresentazione e ragione nell’interpretazione ten</w:t>
      </w:r>
      <w:r w:rsidR="00C36D8A">
        <w:rPr>
          <w:rFonts w:ascii="Times New Roman" w:hAnsi="Times New Roman" w:cs="Times New Roman"/>
          <w:i/>
        </w:rPr>
        <w:t>ne</w:t>
      </w:r>
      <w:r w:rsidRPr="009B6262">
        <w:rPr>
          <w:rFonts w:ascii="Times New Roman" w:hAnsi="Times New Roman" w:cs="Times New Roman"/>
          <w:i/>
        </w:rPr>
        <w:t>manniana di Qabbalah e spinozismo</w:t>
      </w:r>
      <w:r w:rsidRPr="00FA7977">
        <w:rPr>
          <w:rFonts w:ascii="Times New Roman" w:eastAsia="Times New Roman" w:hAnsi="Times New Roman" w:cs="Times New Roman"/>
          <w:color w:val="000000"/>
        </w:rPr>
        <w:t>..................................................................................................</w:t>
      </w:r>
      <w:r>
        <w:rPr>
          <w:rFonts w:ascii="Times New Roman" w:eastAsia="Times New Roman" w:hAnsi="Times New Roman" w:cs="Times New Roman"/>
          <w:color w:val="000000"/>
        </w:rPr>
        <w:t>...............</w:t>
      </w:r>
      <w:r w:rsidR="00887392">
        <w:rPr>
          <w:rFonts w:ascii="Times New Roman" w:hAnsi="Times New Roman" w:cs="Times New Roman"/>
        </w:rPr>
        <w:t>p. 233</w:t>
      </w:r>
    </w:p>
    <w:p w14:paraId="1B7B3F2F" w14:textId="77777777" w:rsidR="00B041AD" w:rsidRDefault="00B041AD" w:rsidP="00DA1D33">
      <w:pPr>
        <w:pStyle w:val="Paragrafoelenco"/>
        <w:jc w:val="both"/>
        <w:rPr>
          <w:rFonts w:ascii="Times New Roman" w:hAnsi="Times New Roman" w:cs="Times New Roman"/>
        </w:rPr>
      </w:pPr>
    </w:p>
    <w:p w14:paraId="6233C19E" w14:textId="55396FF5" w:rsidR="00B041AD" w:rsidRDefault="00B041AD" w:rsidP="00DA1D33">
      <w:pPr>
        <w:pStyle w:val="Paragrafoelenco"/>
        <w:ind w:left="0"/>
        <w:jc w:val="both"/>
        <w:rPr>
          <w:rFonts w:ascii="Times New Roman" w:hAnsi="Times New Roman" w:cs="Times New Roman"/>
        </w:rPr>
      </w:pPr>
      <w:r w:rsidRPr="00EA1A0B">
        <w:rPr>
          <w:rFonts w:ascii="Times New Roman" w:hAnsi="Times New Roman" w:cs="Times New Roman"/>
          <w:i/>
        </w:rPr>
        <w:t>3.9</w:t>
      </w:r>
      <w:r w:rsidRPr="00010E38">
        <w:rPr>
          <w:rFonts w:ascii="Times New Roman" w:hAnsi="Times New Roman" w:cs="Times New Roman"/>
        </w:rPr>
        <w:t xml:space="preserve"> </w:t>
      </w:r>
      <w:r w:rsidRPr="009B6262">
        <w:rPr>
          <w:rFonts w:ascii="Times New Roman" w:hAnsi="Times New Roman" w:cs="Times New Roman"/>
          <w:i/>
        </w:rPr>
        <w:t>Storia di un incontro mancato: Hegel e la Qabbalah</w:t>
      </w:r>
      <w:r w:rsidRPr="00FA7977">
        <w:rPr>
          <w:rFonts w:ascii="Times New Roman" w:eastAsia="Times New Roman" w:hAnsi="Times New Roman" w:cs="Times New Roman"/>
          <w:color w:val="000000"/>
        </w:rPr>
        <w:t>................................</w:t>
      </w:r>
      <w:r w:rsidR="00454E62">
        <w:rPr>
          <w:rFonts w:ascii="Times New Roman" w:eastAsia="Times New Roman" w:hAnsi="Times New Roman" w:cs="Times New Roman"/>
          <w:color w:val="000000"/>
        </w:rPr>
        <w:t>.....</w:t>
      </w:r>
      <w:r>
        <w:rPr>
          <w:rFonts w:ascii="Times New Roman" w:eastAsia="Times New Roman" w:hAnsi="Times New Roman" w:cs="Times New Roman"/>
          <w:color w:val="000000"/>
        </w:rPr>
        <w:t>....</w:t>
      </w:r>
      <w:r w:rsidR="002F3ABC">
        <w:rPr>
          <w:rFonts w:ascii="Times New Roman" w:hAnsi="Times New Roman" w:cs="Times New Roman"/>
        </w:rPr>
        <w:t>p.</w:t>
      </w:r>
      <w:r w:rsidR="00454E62">
        <w:rPr>
          <w:rFonts w:ascii="Times New Roman" w:hAnsi="Times New Roman" w:cs="Times New Roman"/>
        </w:rPr>
        <w:t xml:space="preserve"> </w:t>
      </w:r>
      <w:r w:rsidR="00887392">
        <w:rPr>
          <w:rFonts w:ascii="Times New Roman" w:hAnsi="Times New Roman" w:cs="Times New Roman"/>
        </w:rPr>
        <w:t>246</w:t>
      </w:r>
    </w:p>
    <w:p w14:paraId="7697B88A" w14:textId="77777777" w:rsidR="00B041AD" w:rsidRDefault="00B041AD" w:rsidP="00DA1D33">
      <w:pPr>
        <w:pStyle w:val="Paragrafoelenco"/>
        <w:jc w:val="both"/>
        <w:rPr>
          <w:rFonts w:ascii="Times New Roman" w:hAnsi="Times New Roman" w:cs="Times New Roman"/>
        </w:rPr>
      </w:pPr>
    </w:p>
    <w:p w14:paraId="358F86C9" w14:textId="7DD27683" w:rsidR="00B041AD" w:rsidRDefault="00B041AD" w:rsidP="00DA1D33">
      <w:pPr>
        <w:pStyle w:val="Paragrafoelenco"/>
        <w:ind w:left="0"/>
        <w:jc w:val="both"/>
        <w:rPr>
          <w:rFonts w:ascii="Times New Roman" w:hAnsi="Times New Roman" w:cs="Times New Roman"/>
        </w:rPr>
      </w:pPr>
      <w:r w:rsidRPr="00EA1A0B">
        <w:rPr>
          <w:rFonts w:ascii="Times New Roman" w:hAnsi="Times New Roman" w:cs="Times New Roman"/>
          <w:i/>
        </w:rPr>
        <w:t>3.10.</w:t>
      </w:r>
      <w:r>
        <w:rPr>
          <w:rFonts w:ascii="Times New Roman" w:hAnsi="Times New Roman" w:cs="Times New Roman"/>
        </w:rPr>
        <w:t xml:space="preserve"> </w:t>
      </w:r>
      <w:r w:rsidRPr="00D164EE">
        <w:rPr>
          <w:rFonts w:ascii="Times New Roman" w:hAnsi="Times New Roman" w:cs="Times New Roman"/>
          <w:i/>
        </w:rPr>
        <w:t>Acosmismo, eleatismo e Qabbalah: l’ontologia di Spinoza nella produzione berlinese di Hegel</w:t>
      </w:r>
      <w:r w:rsidRPr="00FA7977">
        <w:rPr>
          <w:rFonts w:ascii="Times New Roman" w:eastAsia="Times New Roman" w:hAnsi="Times New Roman" w:cs="Times New Roman"/>
          <w:color w:val="000000"/>
        </w:rPr>
        <w:t>.................................................................</w:t>
      </w:r>
      <w:r w:rsidR="00454E62">
        <w:rPr>
          <w:rFonts w:ascii="Times New Roman" w:eastAsia="Times New Roman" w:hAnsi="Times New Roman" w:cs="Times New Roman"/>
          <w:color w:val="000000"/>
        </w:rPr>
        <w:t>...............................</w:t>
      </w:r>
      <w:r w:rsidRPr="00FA7977">
        <w:rPr>
          <w:rFonts w:ascii="Times New Roman" w:eastAsia="Times New Roman" w:hAnsi="Times New Roman" w:cs="Times New Roman"/>
          <w:color w:val="000000"/>
        </w:rPr>
        <w:t>.</w:t>
      </w:r>
      <w:r>
        <w:rPr>
          <w:rFonts w:ascii="Times New Roman" w:eastAsia="Times New Roman" w:hAnsi="Times New Roman" w:cs="Times New Roman"/>
          <w:color w:val="000000"/>
        </w:rPr>
        <w:t>.....</w:t>
      </w:r>
      <w:r w:rsidR="002F3ABC">
        <w:rPr>
          <w:rFonts w:ascii="Times New Roman" w:hAnsi="Times New Roman" w:cs="Times New Roman"/>
        </w:rPr>
        <w:t>p.</w:t>
      </w:r>
      <w:r w:rsidR="00454E62">
        <w:rPr>
          <w:rFonts w:ascii="Times New Roman" w:hAnsi="Times New Roman" w:cs="Times New Roman"/>
        </w:rPr>
        <w:t xml:space="preserve"> </w:t>
      </w:r>
      <w:r w:rsidR="00887392">
        <w:rPr>
          <w:rFonts w:ascii="Times New Roman" w:hAnsi="Times New Roman" w:cs="Times New Roman"/>
        </w:rPr>
        <w:t>263</w:t>
      </w:r>
    </w:p>
    <w:p w14:paraId="40B8A5F1" w14:textId="77777777" w:rsidR="008A3C2A" w:rsidRDefault="008A3C2A" w:rsidP="00DA1D33">
      <w:pPr>
        <w:pStyle w:val="Paragrafoelenco"/>
        <w:ind w:left="0"/>
        <w:jc w:val="both"/>
        <w:rPr>
          <w:rFonts w:ascii="Times New Roman" w:hAnsi="Times New Roman" w:cs="Times New Roman"/>
        </w:rPr>
      </w:pPr>
    </w:p>
    <w:p w14:paraId="06C2F26F" w14:textId="02E9BAA2" w:rsidR="008A3C2A" w:rsidRDefault="00E631E7" w:rsidP="00DA1D33">
      <w:pPr>
        <w:pStyle w:val="Paragrafoelenco"/>
        <w:ind w:left="0"/>
        <w:jc w:val="both"/>
        <w:rPr>
          <w:rFonts w:ascii="Times New Roman" w:hAnsi="Times New Roman" w:cs="Times New Roman"/>
        </w:rPr>
      </w:pPr>
      <w:r>
        <w:rPr>
          <w:rFonts w:ascii="Times New Roman" w:hAnsi="Times New Roman" w:cs="Times New Roman"/>
          <w:b/>
        </w:rPr>
        <w:t>Zusammenfassung</w:t>
      </w:r>
      <w:r w:rsidR="00351CE2">
        <w:rPr>
          <w:rFonts w:ascii="Times New Roman" w:hAnsi="Times New Roman" w:cs="Times New Roman"/>
          <w:b/>
        </w:rPr>
        <w:t xml:space="preserve"> der Dissertation</w:t>
      </w:r>
      <w:r>
        <w:rPr>
          <w:rFonts w:ascii="Times New Roman" w:eastAsia="Times New Roman" w:hAnsi="Times New Roman" w:cs="Times New Roman"/>
          <w:color w:val="000000"/>
        </w:rPr>
        <w:t>..........................</w:t>
      </w:r>
      <w:r w:rsidRPr="00FA7977">
        <w:rPr>
          <w:rFonts w:ascii="Times New Roman" w:eastAsia="Times New Roman" w:hAnsi="Times New Roman" w:cs="Times New Roman"/>
          <w:color w:val="000000"/>
        </w:rPr>
        <w:t>.........................</w:t>
      </w:r>
      <w:r w:rsidR="00351CE2">
        <w:rPr>
          <w:rFonts w:ascii="Times New Roman" w:eastAsia="Times New Roman" w:hAnsi="Times New Roman" w:cs="Times New Roman"/>
          <w:color w:val="000000"/>
        </w:rPr>
        <w:t>......</w:t>
      </w:r>
      <w:r w:rsidRPr="00FA7977">
        <w:rPr>
          <w:rFonts w:ascii="Times New Roman" w:eastAsia="Times New Roman" w:hAnsi="Times New Roman" w:cs="Times New Roman"/>
          <w:color w:val="000000"/>
        </w:rPr>
        <w:t>..........</w:t>
      </w:r>
      <w:r>
        <w:rPr>
          <w:rFonts w:ascii="Times New Roman" w:eastAsia="Times New Roman" w:hAnsi="Times New Roman" w:cs="Times New Roman"/>
          <w:color w:val="000000"/>
        </w:rPr>
        <w:t>....</w:t>
      </w:r>
      <w:r w:rsidR="002F3ABC">
        <w:rPr>
          <w:rFonts w:ascii="Times New Roman" w:hAnsi="Times New Roman" w:cs="Times New Roman"/>
        </w:rPr>
        <w:t>p.</w:t>
      </w:r>
      <w:r w:rsidR="00454E62">
        <w:rPr>
          <w:rFonts w:ascii="Times New Roman" w:hAnsi="Times New Roman" w:cs="Times New Roman"/>
        </w:rPr>
        <w:t xml:space="preserve"> </w:t>
      </w:r>
      <w:r w:rsidR="00F975AD">
        <w:rPr>
          <w:rFonts w:ascii="Times New Roman" w:hAnsi="Times New Roman" w:cs="Times New Roman"/>
        </w:rPr>
        <w:t>271</w:t>
      </w:r>
    </w:p>
    <w:p w14:paraId="0E7CAC92" w14:textId="77777777" w:rsidR="00E631E7" w:rsidRDefault="00E631E7" w:rsidP="00DA1D33">
      <w:pPr>
        <w:pStyle w:val="Paragrafoelenco"/>
        <w:ind w:left="0"/>
        <w:jc w:val="both"/>
        <w:rPr>
          <w:rFonts w:ascii="Times New Roman" w:hAnsi="Times New Roman" w:cs="Times New Roman"/>
        </w:rPr>
      </w:pPr>
    </w:p>
    <w:p w14:paraId="5FF51DC7" w14:textId="396252E1" w:rsidR="00E631E7" w:rsidRDefault="00E631E7" w:rsidP="00DA1D33">
      <w:pPr>
        <w:pStyle w:val="Paragrafoelenco"/>
        <w:ind w:left="0"/>
        <w:jc w:val="both"/>
        <w:rPr>
          <w:rFonts w:ascii="Times New Roman" w:eastAsia="Times New Roman" w:hAnsi="Times New Roman" w:cs="Times New Roman"/>
          <w:color w:val="000000"/>
        </w:rPr>
      </w:pPr>
      <w:r w:rsidRPr="00E631E7">
        <w:rPr>
          <w:rFonts w:ascii="Times New Roman" w:hAnsi="Times New Roman" w:cs="Times New Roman"/>
          <w:b/>
        </w:rPr>
        <w:t>Bibliografia</w:t>
      </w:r>
      <w:r>
        <w:rPr>
          <w:rFonts w:ascii="Times New Roman" w:eastAsia="Times New Roman" w:hAnsi="Times New Roman" w:cs="Times New Roman"/>
          <w:color w:val="000000"/>
        </w:rPr>
        <w:t>..........................</w:t>
      </w:r>
      <w:r w:rsidRPr="00FA7977">
        <w:rPr>
          <w:rFonts w:ascii="Times New Roman" w:eastAsia="Times New Roman" w:hAnsi="Times New Roman" w:cs="Times New Roman"/>
          <w:color w:val="000000"/>
        </w:rPr>
        <w:t>.....................................................................</w:t>
      </w:r>
      <w:r w:rsidR="00454E62">
        <w:rPr>
          <w:rFonts w:ascii="Times New Roman" w:eastAsia="Times New Roman" w:hAnsi="Times New Roman" w:cs="Times New Roman"/>
          <w:color w:val="000000"/>
        </w:rPr>
        <w:t>...............</w:t>
      </w:r>
      <w:r>
        <w:rPr>
          <w:rFonts w:ascii="Times New Roman" w:eastAsia="Times New Roman" w:hAnsi="Times New Roman" w:cs="Times New Roman"/>
          <w:color w:val="000000"/>
        </w:rPr>
        <w:t>.p.</w:t>
      </w:r>
      <w:r w:rsidR="002F3ABC">
        <w:rPr>
          <w:rFonts w:ascii="Times New Roman" w:eastAsia="Times New Roman" w:hAnsi="Times New Roman" w:cs="Times New Roman"/>
          <w:color w:val="000000"/>
        </w:rPr>
        <w:t xml:space="preserve"> 3</w:t>
      </w:r>
      <w:r w:rsidR="005613BB">
        <w:rPr>
          <w:rFonts w:ascii="Times New Roman" w:eastAsia="Times New Roman" w:hAnsi="Times New Roman" w:cs="Times New Roman"/>
          <w:color w:val="000000"/>
        </w:rPr>
        <w:t>39</w:t>
      </w:r>
    </w:p>
    <w:p w14:paraId="2C73A277" w14:textId="77777777" w:rsidR="00F80D36" w:rsidRDefault="00F80D36" w:rsidP="00DA1D33">
      <w:pPr>
        <w:pStyle w:val="Paragrafoelenco"/>
        <w:ind w:left="0"/>
        <w:jc w:val="both"/>
        <w:rPr>
          <w:rFonts w:ascii="Times New Roman" w:eastAsia="Times New Roman" w:hAnsi="Times New Roman" w:cs="Times New Roman"/>
          <w:color w:val="000000"/>
        </w:rPr>
      </w:pPr>
    </w:p>
    <w:p w14:paraId="266ABCA7" w14:textId="6EED3C1E" w:rsidR="00DA1D33" w:rsidRDefault="00F80D36" w:rsidP="00DA1D33">
      <w:pPr>
        <w:jc w:val="both"/>
        <w:rPr>
          <w:rFonts w:ascii="Times New Roman" w:eastAsia="Times New Roman" w:hAnsi="Times New Roman" w:cs="Times New Roman"/>
          <w:color w:val="000000"/>
          <w:lang w:val="de-DE"/>
        </w:rPr>
      </w:pPr>
      <w:r w:rsidRPr="00F80D36">
        <w:rPr>
          <w:rFonts w:ascii="Times New Roman" w:eastAsia="Times New Roman" w:hAnsi="Times New Roman" w:cs="Times New Roman"/>
          <w:b/>
          <w:color w:val="000000"/>
          <w:lang w:val="de-DE"/>
        </w:rPr>
        <w:t>Ehrenwörtliche Erklärung</w:t>
      </w:r>
      <w:r w:rsidRPr="00F80D36">
        <w:rPr>
          <w:rFonts w:ascii="Times New Roman" w:eastAsia="Times New Roman" w:hAnsi="Times New Roman" w:cs="Times New Roman"/>
          <w:color w:val="000000"/>
          <w:lang w:val="de-DE"/>
        </w:rPr>
        <w:t>...........................................................</w:t>
      </w:r>
      <w:r w:rsidR="005613BB">
        <w:rPr>
          <w:rFonts w:ascii="Times New Roman" w:eastAsia="Times New Roman" w:hAnsi="Times New Roman" w:cs="Times New Roman"/>
          <w:color w:val="000000"/>
          <w:lang w:val="de-DE"/>
        </w:rPr>
        <w:t>..........................p. 364</w:t>
      </w:r>
    </w:p>
    <w:p w14:paraId="4ECE0AA7" w14:textId="77777777" w:rsidR="00DA1D33" w:rsidRDefault="00DA1D33" w:rsidP="00DA1D33">
      <w:pPr>
        <w:jc w:val="both"/>
        <w:rPr>
          <w:rFonts w:ascii="Times New Roman" w:eastAsia="Times New Roman" w:hAnsi="Times New Roman" w:cs="Times New Roman"/>
          <w:color w:val="000000"/>
          <w:lang w:val="de-DE"/>
        </w:rPr>
      </w:pPr>
    </w:p>
    <w:p w14:paraId="50951AED" w14:textId="36256DF1" w:rsidR="00BA3AD2" w:rsidRPr="00BA3AD2" w:rsidRDefault="007A6E81" w:rsidP="00DA1D33">
      <w:pPr>
        <w:jc w:val="both"/>
        <w:rPr>
          <w:rFonts w:ascii="Times New Roman" w:eastAsia="Times New Roman" w:hAnsi="Times New Roman" w:cs="Times New Roman"/>
          <w:color w:val="000000"/>
          <w:lang w:val="de-DE"/>
        </w:rPr>
        <w:sectPr w:rsidR="00BA3AD2" w:rsidRPr="00BA3AD2" w:rsidSect="009B740D">
          <w:headerReference w:type="default" r:id="rId11"/>
          <w:footerReference w:type="even" r:id="rId12"/>
          <w:footerReference w:type="default" r:id="rId13"/>
          <w:footnotePr>
            <w:numRestart w:val="eachSect"/>
          </w:footnotePr>
          <w:type w:val="continuous"/>
          <w:pgSz w:w="11900" w:h="16840"/>
          <w:pgMar w:top="1418" w:right="1418" w:bottom="1418" w:left="1985" w:header="708" w:footer="708" w:gutter="0"/>
          <w:cols w:space="708"/>
          <w:docGrid w:linePitch="360"/>
        </w:sectPr>
      </w:pPr>
      <w:r w:rsidRPr="007A6E81">
        <w:rPr>
          <w:rFonts w:ascii="Times New Roman" w:eastAsia="Times New Roman" w:hAnsi="Times New Roman" w:cs="Times New Roman"/>
          <w:b/>
          <w:color w:val="000000"/>
          <w:lang w:val="de-DE"/>
        </w:rPr>
        <w:t>Lebenslauf</w:t>
      </w:r>
      <w:r w:rsidR="003E0F9E" w:rsidRPr="003E0F9E">
        <w:rPr>
          <w:rFonts w:ascii="Times New Roman" w:eastAsia="Times New Roman" w:hAnsi="Times New Roman" w:cs="Times New Roman"/>
          <w:color w:val="000000"/>
          <w:lang w:val="de-DE"/>
        </w:rPr>
        <w:t>......................................................................................</w:t>
      </w:r>
      <w:r w:rsidR="005613BB">
        <w:rPr>
          <w:rFonts w:ascii="Times New Roman" w:eastAsia="Times New Roman" w:hAnsi="Times New Roman" w:cs="Times New Roman"/>
          <w:color w:val="000000"/>
          <w:lang w:val="de-DE"/>
        </w:rPr>
        <w:t>..........................p. 365</w:t>
      </w:r>
    </w:p>
    <w:p w14:paraId="5B4FB812" w14:textId="77777777" w:rsidR="008E07FE" w:rsidRDefault="008E07FE" w:rsidP="00276556">
      <w:pPr>
        <w:spacing w:line="360" w:lineRule="auto"/>
        <w:jc w:val="both"/>
        <w:rPr>
          <w:rFonts w:ascii="Times New Roman" w:hAnsi="Times New Roman" w:cs="Times New Roman"/>
        </w:rPr>
      </w:pPr>
    </w:p>
    <w:p w14:paraId="5E17F163" w14:textId="4FD92AE0" w:rsidR="00276556" w:rsidRPr="00E41A9B" w:rsidRDefault="00276556" w:rsidP="00276556">
      <w:pPr>
        <w:spacing w:line="360" w:lineRule="auto"/>
        <w:jc w:val="both"/>
        <w:rPr>
          <w:rFonts w:ascii="Times New Roman" w:hAnsi="Times New Roman" w:cs="Times New Roman"/>
          <w:b/>
          <w:sz w:val="28"/>
          <w:szCs w:val="28"/>
        </w:rPr>
      </w:pPr>
      <w:r w:rsidRPr="00E41A9B">
        <w:rPr>
          <w:rFonts w:ascii="Times New Roman" w:hAnsi="Times New Roman" w:cs="Times New Roman"/>
          <w:b/>
          <w:sz w:val="28"/>
          <w:szCs w:val="28"/>
        </w:rPr>
        <w:t>Abb</w:t>
      </w:r>
      <w:r w:rsidR="00E41A9B" w:rsidRPr="00E41A9B">
        <w:rPr>
          <w:rFonts w:ascii="Times New Roman" w:hAnsi="Times New Roman" w:cs="Times New Roman"/>
          <w:b/>
          <w:sz w:val="28"/>
          <w:szCs w:val="28"/>
        </w:rPr>
        <w:t>reviazioni delle opere di Hegel</w:t>
      </w:r>
    </w:p>
    <w:p w14:paraId="57945D66" w14:textId="77777777" w:rsidR="00276556" w:rsidRDefault="00276556" w:rsidP="00276556">
      <w:pPr>
        <w:spacing w:line="360" w:lineRule="auto"/>
        <w:jc w:val="both"/>
      </w:pPr>
    </w:p>
    <w:p w14:paraId="71CFE440" w14:textId="77777777" w:rsidR="00276556" w:rsidRPr="008E1231" w:rsidRDefault="00276556" w:rsidP="00276556">
      <w:pPr>
        <w:spacing w:line="360" w:lineRule="auto"/>
        <w:jc w:val="both"/>
        <w:rPr>
          <w:rFonts w:ascii="Times New Roman" w:hAnsi="Times New Roman" w:cs="Times New Roman"/>
          <w:lang w:val="de-DE"/>
        </w:rPr>
      </w:pPr>
      <w:r w:rsidRPr="008E1231">
        <w:rPr>
          <w:rFonts w:ascii="Times New Roman" w:hAnsi="Times New Roman" w:cs="Times New Roman"/>
          <w:i/>
          <w:lang w:val="de-DE"/>
        </w:rPr>
        <w:t>Briefe</w:t>
      </w:r>
      <w:r w:rsidRPr="008E1231">
        <w:rPr>
          <w:rFonts w:ascii="Times New Roman" w:hAnsi="Times New Roman" w:cs="Times New Roman"/>
          <w:lang w:val="de-DE"/>
        </w:rPr>
        <w:t xml:space="preserve">: </w:t>
      </w:r>
      <w:r w:rsidRPr="008E1231">
        <w:rPr>
          <w:rFonts w:ascii="Times New Roman" w:hAnsi="Times New Roman" w:cs="Times New Roman"/>
          <w:i/>
          <w:lang w:val="de-DE"/>
        </w:rPr>
        <w:t>Briefe von und an Hegel</w:t>
      </w:r>
      <w:r w:rsidRPr="008E1231">
        <w:rPr>
          <w:rFonts w:ascii="Times New Roman" w:hAnsi="Times New Roman" w:cs="Times New Roman"/>
          <w:lang w:val="de-DE"/>
        </w:rPr>
        <w:t>, hrsg. von J. Hoffmeister, Felix Meiner, Hamburg 1952.</w:t>
      </w:r>
    </w:p>
    <w:p w14:paraId="4F744F0E" w14:textId="77777777" w:rsidR="00276556" w:rsidRDefault="00276556" w:rsidP="00276556">
      <w:pPr>
        <w:spacing w:line="360" w:lineRule="auto"/>
        <w:jc w:val="both"/>
      </w:pPr>
    </w:p>
    <w:p w14:paraId="3C09A3D4" w14:textId="77777777" w:rsidR="00276556" w:rsidRPr="008E1231" w:rsidRDefault="00276556" w:rsidP="00276556">
      <w:pPr>
        <w:spacing w:line="360" w:lineRule="auto"/>
        <w:jc w:val="both"/>
        <w:rPr>
          <w:rFonts w:ascii="Times New Roman" w:hAnsi="Times New Roman" w:cs="Times New Roman"/>
          <w:lang w:val="de-DE"/>
        </w:rPr>
      </w:pPr>
      <w:r w:rsidRPr="008E1231">
        <w:rPr>
          <w:rFonts w:ascii="Times New Roman" w:hAnsi="Times New Roman" w:cs="Times New Roman"/>
          <w:i/>
          <w:lang w:val="de-DE"/>
        </w:rPr>
        <w:t>GW</w:t>
      </w:r>
      <w:r w:rsidRPr="008E1231">
        <w:rPr>
          <w:rFonts w:ascii="Times New Roman" w:hAnsi="Times New Roman" w:cs="Times New Roman"/>
          <w:lang w:val="de-DE"/>
        </w:rPr>
        <w:t xml:space="preserve">: </w:t>
      </w:r>
      <w:r w:rsidRPr="008E1231">
        <w:rPr>
          <w:rFonts w:ascii="Times New Roman" w:hAnsi="Times New Roman" w:cs="Times New Roman"/>
          <w:i/>
          <w:lang w:val="de-DE"/>
        </w:rPr>
        <w:t>Gesammelte Werke</w:t>
      </w:r>
      <w:r w:rsidRPr="008E1231">
        <w:rPr>
          <w:rFonts w:ascii="Times New Roman" w:hAnsi="Times New Roman" w:cs="Times New Roman"/>
          <w:lang w:val="de-DE"/>
        </w:rPr>
        <w:t xml:space="preserve">, hrsg. von der Rheinisch-Westfälischen Akademie der Wissenschaften, Felix Meiner Verlag, Hamburg 1968 e ss. </w:t>
      </w:r>
    </w:p>
    <w:p w14:paraId="58DECA64" w14:textId="77777777" w:rsidR="00276556" w:rsidRPr="008E1231" w:rsidRDefault="00276556" w:rsidP="00276556">
      <w:pPr>
        <w:spacing w:line="360" w:lineRule="auto"/>
        <w:jc w:val="both"/>
        <w:rPr>
          <w:rFonts w:ascii="Times New Roman" w:hAnsi="Times New Roman" w:cs="Times New Roman"/>
          <w:lang w:val="de-DE"/>
        </w:rPr>
      </w:pPr>
    </w:p>
    <w:p w14:paraId="76073804" w14:textId="77777777" w:rsidR="00276556" w:rsidRPr="008E1231" w:rsidRDefault="00276556" w:rsidP="00276556">
      <w:pPr>
        <w:spacing w:line="360" w:lineRule="auto"/>
        <w:jc w:val="both"/>
        <w:rPr>
          <w:rFonts w:ascii="Times New Roman" w:hAnsi="Times New Roman" w:cs="Times New Roman"/>
          <w:lang w:val="de-DE"/>
        </w:rPr>
      </w:pPr>
      <w:r w:rsidRPr="008E1231">
        <w:rPr>
          <w:rFonts w:ascii="Times New Roman" w:hAnsi="Times New Roman" w:cs="Times New Roman"/>
          <w:i/>
          <w:lang w:val="de-DE"/>
        </w:rPr>
        <w:t>FS I</w:t>
      </w:r>
      <w:r w:rsidRPr="008E1231">
        <w:rPr>
          <w:rFonts w:ascii="Times New Roman" w:hAnsi="Times New Roman" w:cs="Times New Roman"/>
          <w:lang w:val="de-DE"/>
        </w:rPr>
        <w:t xml:space="preserve">: </w:t>
      </w:r>
      <w:r w:rsidRPr="008E1231">
        <w:rPr>
          <w:rFonts w:ascii="Times New Roman" w:hAnsi="Times New Roman" w:cs="Times New Roman"/>
          <w:i/>
          <w:lang w:val="de-DE"/>
        </w:rPr>
        <w:t>Frühe Schriften I</w:t>
      </w:r>
      <w:r w:rsidRPr="008E1231">
        <w:rPr>
          <w:rFonts w:ascii="Times New Roman" w:hAnsi="Times New Roman" w:cs="Times New Roman"/>
          <w:lang w:val="de-DE"/>
        </w:rPr>
        <w:t xml:space="preserve">, hrsg. von F. Nicolin und G. Schüler, in </w:t>
      </w:r>
      <w:r w:rsidRPr="008E1231">
        <w:rPr>
          <w:rFonts w:ascii="Times New Roman" w:hAnsi="Times New Roman" w:cs="Times New Roman"/>
          <w:i/>
          <w:lang w:val="de-DE"/>
        </w:rPr>
        <w:t>GW</w:t>
      </w:r>
      <w:r w:rsidRPr="008E1231">
        <w:rPr>
          <w:rFonts w:ascii="Times New Roman" w:hAnsi="Times New Roman" w:cs="Times New Roman"/>
          <w:lang w:val="de-DE"/>
        </w:rPr>
        <w:t>, Bd. I, 1989.</w:t>
      </w:r>
    </w:p>
    <w:p w14:paraId="0DFCDB8E" w14:textId="77777777" w:rsidR="00276556" w:rsidRPr="008E1231" w:rsidRDefault="00276556" w:rsidP="00276556">
      <w:pPr>
        <w:spacing w:line="360" w:lineRule="auto"/>
        <w:jc w:val="both"/>
        <w:rPr>
          <w:rFonts w:ascii="Times New Roman" w:hAnsi="Times New Roman" w:cs="Times New Roman"/>
          <w:lang w:val="de-DE"/>
        </w:rPr>
      </w:pPr>
    </w:p>
    <w:p w14:paraId="387F91DB" w14:textId="77777777" w:rsidR="00276556" w:rsidRPr="008E1231" w:rsidRDefault="00276556" w:rsidP="00276556">
      <w:pPr>
        <w:spacing w:line="360" w:lineRule="auto"/>
        <w:jc w:val="both"/>
        <w:rPr>
          <w:rFonts w:ascii="Times New Roman" w:hAnsi="Times New Roman" w:cs="Times New Roman"/>
          <w:lang w:val="de-DE"/>
        </w:rPr>
      </w:pPr>
      <w:r w:rsidRPr="008E1231">
        <w:rPr>
          <w:rFonts w:ascii="Times New Roman" w:hAnsi="Times New Roman" w:cs="Times New Roman"/>
          <w:i/>
          <w:lang w:val="de-DE"/>
        </w:rPr>
        <w:t>FS II</w:t>
      </w:r>
      <w:r w:rsidRPr="008E1231">
        <w:rPr>
          <w:rFonts w:ascii="Times New Roman" w:hAnsi="Times New Roman" w:cs="Times New Roman"/>
          <w:lang w:val="de-DE"/>
        </w:rPr>
        <w:t xml:space="preserve">: </w:t>
      </w:r>
      <w:r w:rsidRPr="008E1231">
        <w:rPr>
          <w:rFonts w:ascii="Times New Roman" w:hAnsi="Times New Roman" w:cs="Times New Roman"/>
          <w:i/>
          <w:lang w:val="de-DE"/>
        </w:rPr>
        <w:t>Frühe Schriften II</w:t>
      </w:r>
      <w:r w:rsidRPr="008E1231">
        <w:rPr>
          <w:rFonts w:ascii="Times New Roman" w:hAnsi="Times New Roman" w:cs="Times New Roman"/>
          <w:lang w:val="de-DE"/>
        </w:rPr>
        <w:t xml:space="preserve">, hrsg. von W. Jaeschke, in </w:t>
      </w:r>
      <w:r w:rsidRPr="008E1231">
        <w:rPr>
          <w:rFonts w:ascii="Times New Roman" w:hAnsi="Times New Roman" w:cs="Times New Roman"/>
          <w:i/>
          <w:lang w:val="de-DE"/>
        </w:rPr>
        <w:t>GW</w:t>
      </w:r>
      <w:r w:rsidRPr="008E1231">
        <w:rPr>
          <w:rFonts w:ascii="Times New Roman" w:hAnsi="Times New Roman" w:cs="Times New Roman"/>
          <w:lang w:val="de-DE"/>
        </w:rPr>
        <w:t xml:space="preserve">, Bd. II, 2014. </w:t>
      </w:r>
    </w:p>
    <w:p w14:paraId="110B4C0A" w14:textId="77777777" w:rsidR="00276556" w:rsidRPr="008E1231" w:rsidRDefault="00276556" w:rsidP="00276556">
      <w:pPr>
        <w:spacing w:line="360" w:lineRule="auto"/>
        <w:jc w:val="both"/>
        <w:rPr>
          <w:rFonts w:ascii="Times New Roman" w:hAnsi="Times New Roman" w:cs="Times New Roman"/>
          <w:lang w:val="de-DE"/>
        </w:rPr>
      </w:pPr>
    </w:p>
    <w:p w14:paraId="76B802FF" w14:textId="60F2F2A6" w:rsidR="00276556" w:rsidRDefault="00276556" w:rsidP="00276556">
      <w:pPr>
        <w:spacing w:line="360" w:lineRule="auto"/>
        <w:jc w:val="both"/>
        <w:rPr>
          <w:rFonts w:ascii="Times New Roman" w:hAnsi="Times New Roman" w:cs="Times New Roman"/>
          <w:lang w:val="de-DE"/>
        </w:rPr>
      </w:pPr>
      <w:r w:rsidRPr="008E1231">
        <w:rPr>
          <w:rFonts w:ascii="Times New Roman" w:hAnsi="Times New Roman" w:cs="Times New Roman"/>
          <w:i/>
          <w:lang w:val="de-DE"/>
        </w:rPr>
        <w:t>Diff</w:t>
      </w:r>
      <w:r w:rsidRPr="008E1231">
        <w:rPr>
          <w:rFonts w:ascii="Times New Roman" w:hAnsi="Times New Roman" w:cs="Times New Roman"/>
          <w:lang w:val="de-DE"/>
        </w:rPr>
        <w:t xml:space="preserve">: </w:t>
      </w:r>
      <w:r w:rsidRPr="008E1231">
        <w:rPr>
          <w:rFonts w:ascii="Times New Roman" w:hAnsi="Times New Roman" w:cs="Times New Roman"/>
          <w:i/>
          <w:lang w:val="de-DE"/>
        </w:rPr>
        <w:t>Differenz der Fichte’schen und Schelling’schen Systems der Philosophie</w:t>
      </w:r>
      <w:r w:rsidRPr="008E1231">
        <w:rPr>
          <w:rFonts w:ascii="Times New Roman" w:hAnsi="Times New Roman" w:cs="Times New Roman"/>
          <w:lang w:val="de-DE"/>
        </w:rPr>
        <w:t xml:space="preserve">, in </w:t>
      </w:r>
      <w:r w:rsidRPr="008E1231">
        <w:rPr>
          <w:rFonts w:ascii="Times New Roman" w:hAnsi="Times New Roman" w:cs="Times New Roman"/>
          <w:i/>
          <w:lang w:val="de-DE"/>
        </w:rPr>
        <w:t>Jenaer Kritischen Schriften</w:t>
      </w:r>
      <w:r w:rsidRPr="008E1231">
        <w:rPr>
          <w:rFonts w:ascii="Times New Roman" w:hAnsi="Times New Roman" w:cs="Times New Roman"/>
          <w:lang w:val="de-DE"/>
        </w:rPr>
        <w:t xml:space="preserve">, hrsg. von H. Buchner und O. Pöggeler, in </w:t>
      </w:r>
      <w:r w:rsidRPr="008E1231">
        <w:rPr>
          <w:rFonts w:ascii="Times New Roman" w:hAnsi="Times New Roman" w:cs="Times New Roman"/>
          <w:i/>
          <w:lang w:val="de-DE"/>
        </w:rPr>
        <w:t>GW</w:t>
      </w:r>
      <w:r w:rsidRPr="008E1231">
        <w:rPr>
          <w:rFonts w:ascii="Times New Roman" w:hAnsi="Times New Roman" w:cs="Times New Roman"/>
          <w:lang w:val="de-DE"/>
        </w:rPr>
        <w:t xml:space="preserve">, Bd. IV, 1968. </w:t>
      </w:r>
    </w:p>
    <w:p w14:paraId="6353C543" w14:textId="77777777" w:rsidR="00276556" w:rsidRPr="008E1231" w:rsidRDefault="00276556" w:rsidP="00276556">
      <w:pPr>
        <w:spacing w:line="360" w:lineRule="auto"/>
        <w:jc w:val="both"/>
        <w:rPr>
          <w:rFonts w:ascii="Times New Roman" w:hAnsi="Times New Roman" w:cs="Times New Roman"/>
          <w:lang w:val="de-DE"/>
        </w:rPr>
      </w:pPr>
    </w:p>
    <w:p w14:paraId="0C57F424" w14:textId="77777777" w:rsidR="00276556" w:rsidRPr="008E1231" w:rsidRDefault="00276556" w:rsidP="00276556">
      <w:pPr>
        <w:spacing w:line="360" w:lineRule="auto"/>
        <w:jc w:val="both"/>
        <w:rPr>
          <w:rFonts w:ascii="Times New Roman" w:hAnsi="Times New Roman" w:cs="Times New Roman"/>
          <w:lang w:val="de-DE"/>
        </w:rPr>
      </w:pPr>
      <w:r w:rsidRPr="008E1231">
        <w:rPr>
          <w:rFonts w:ascii="Times New Roman" w:hAnsi="Times New Roman" w:cs="Times New Roman"/>
          <w:i/>
          <w:lang w:val="de-DE"/>
        </w:rPr>
        <w:t>GuW</w:t>
      </w:r>
      <w:r w:rsidRPr="008E1231">
        <w:rPr>
          <w:rFonts w:ascii="Times New Roman" w:hAnsi="Times New Roman" w:cs="Times New Roman"/>
          <w:i/>
          <w:sz w:val="20"/>
          <w:szCs w:val="20"/>
          <w:lang w:val="de-DE"/>
        </w:rPr>
        <w:t xml:space="preserve">: </w:t>
      </w:r>
      <w:r w:rsidRPr="008E1231">
        <w:rPr>
          <w:rFonts w:ascii="Times New Roman" w:hAnsi="Times New Roman" w:cs="Times New Roman"/>
          <w:i/>
          <w:lang w:val="de-DE"/>
        </w:rPr>
        <w:t>Glauben und Wissen</w:t>
      </w:r>
      <w:r w:rsidRPr="008E1231">
        <w:rPr>
          <w:rFonts w:ascii="Times New Roman" w:hAnsi="Times New Roman" w:cs="Times New Roman"/>
          <w:lang w:val="de-DE"/>
        </w:rPr>
        <w:t xml:space="preserve">, in </w:t>
      </w:r>
      <w:r w:rsidRPr="008E1231">
        <w:rPr>
          <w:rFonts w:ascii="Times New Roman" w:hAnsi="Times New Roman" w:cs="Times New Roman"/>
          <w:i/>
          <w:lang w:val="de-DE"/>
        </w:rPr>
        <w:t>Jenaer Kritischen Schriften</w:t>
      </w:r>
      <w:r w:rsidRPr="008E1231">
        <w:rPr>
          <w:rFonts w:ascii="Times New Roman" w:hAnsi="Times New Roman" w:cs="Times New Roman"/>
          <w:lang w:val="de-DE"/>
        </w:rPr>
        <w:t>, cit.</w:t>
      </w:r>
    </w:p>
    <w:p w14:paraId="253DB42A" w14:textId="77777777" w:rsidR="00276556" w:rsidRPr="008E1231" w:rsidRDefault="00276556" w:rsidP="00276556">
      <w:pPr>
        <w:spacing w:line="360" w:lineRule="auto"/>
        <w:jc w:val="both"/>
        <w:rPr>
          <w:rFonts w:ascii="Times New Roman" w:hAnsi="Times New Roman" w:cs="Times New Roman"/>
          <w:lang w:val="de-DE"/>
        </w:rPr>
      </w:pPr>
    </w:p>
    <w:p w14:paraId="4B3573BE" w14:textId="77777777" w:rsidR="00276556" w:rsidRDefault="00276556" w:rsidP="00276556">
      <w:pPr>
        <w:spacing w:line="360" w:lineRule="auto"/>
        <w:jc w:val="both"/>
        <w:rPr>
          <w:rFonts w:ascii="Times New Roman" w:hAnsi="Times New Roman" w:cs="Times New Roman"/>
          <w:lang w:val="de-DE"/>
        </w:rPr>
      </w:pPr>
      <w:r w:rsidRPr="008E1231">
        <w:rPr>
          <w:rFonts w:ascii="Times New Roman" w:hAnsi="Times New Roman" w:cs="Times New Roman"/>
          <w:i/>
          <w:lang w:val="de-DE"/>
        </w:rPr>
        <w:t>SE</w:t>
      </w:r>
      <w:r w:rsidRPr="008E1231">
        <w:rPr>
          <w:rFonts w:ascii="Times New Roman" w:hAnsi="Times New Roman" w:cs="Times New Roman"/>
          <w:lang w:val="de-DE"/>
        </w:rPr>
        <w:t xml:space="preserve">: </w:t>
      </w:r>
      <w:r w:rsidRPr="008E1231">
        <w:rPr>
          <w:rFonts w:ascii="Times New Roman" w:hAnsi="Times New Roman" w:cs="Times New Roman"/>
          <w:i/>
          <w:lang w:val="de-DE"/>
        </w:rPr>
        <w:t>Schriften und Entwürfe</w:t>
      </w:r>
      <w:r w:rsidRPr="008E1231">
        <w:rPr>
          <w:rFonts w:ascii="Times New Roman" w:hAnsi="Times New Roman" w:cs="Times New Roman"/>
          <w:lang w:val="de-DE"/>
        </w:rPr>
        <w:t xml:space="preserve">, hrsg. von M. Baum und K. R. Meist, in </w:t>
      </w:r>
      <w:r w:rsidRPr="008E1231">
        <w:rPr>
          <w:rFonts w:ascii="Times New Roman" w:hAnsi="Times New Roman" w:cs="Times New Roman"/>
          <w:i/>
          <w:lang w:val="de-DE"/>
        </w:rPr>
        <w:t>GW</w:t>
      </w:r>
      <w:r w:rsidRPr="008E1231">
        <w:rPr>
          <w:rFonts w:ascii="Times New Roman" w:hAnsi="Times New Roman" w:cs="Times New Roman"/>
          <w:lang w:val="de-DE"/>
        </w:rPr>
        <w:t xml:space="preserve">, Bd. V, 1998. </w:t>
      </w:r>
    </w:p>
    <w:p w14:paraId="17FCA292" w14:textId="77777777" w:rsidR="00F73F19" w:rsidRDefault="00F73F19" w:rsidP="00276556">
      <w:pPr>
        <w:spacing w:line="360" w:lineRule="auto"/>
        <w:jc w:val="both"/>
        <w:rPr>
          <w:rFonts w:ascii="Times New Roman" w:hAnsi="Times New Roman" w:cs="Times New Roman"/>
          <w:lang w:val="de-DE"/>
        </w:rPr>
      </w:pPr>
    </w:p>
    <w:p w14:paraId="03691E2E" w14:textId="559545A1" w:rsidR="00F73F19" w:rsidRPr="00F73F19" w:rsidRDefault="00F73F19" w:rsidP="00F73F19">
      <w:pPr>
        <w:spacing w:line="360" w:lineRule="auto"/>
        <w:jc w:val="both"/>
        <w:rPr>
          <w:rFonts w:ascii="Times New Roman" w:hAnsi="Times New Roman" w:cs="Times New Roman"/>
          <w:lang w:val="de-DE"/>
        </w:rPr>
      </w:pPr>
      <w:r w:rsidRPr="00F73F19">
        <w:rPr>
          <w:rFonts w:ascii="Times New Roman" w:hAnsi="Times New Roman" w:cs="Times New Roman"/>
          <w:i/>
        </w:rPr>
        <w:t>SE (II)</w:t>
      </w:r>
      <w:r w:rsidRPr="00F73F19">
        <w:rPr>
          <w:rFonts w:ascii="Times New Roman" w:hAnsi="Times New Roman" w:cs="Times New Roman"/>
        </w:rPr>
        <w:t xml:space="preserve">: </w:t>
      </w:r>
      <w:r w:rsidRPr="00F73F19">
        <w:rPr>
          <w:rFonts w:ascii="Times New Roman" w:hAnsi="Times New Roman" w:cs="Times New Roman"/>
          <w:i/>
          <w:lang w:val="de-DE"/>
        </w:rPr>
        <w:t>Schriften und Entwürfe</w:t>
      </w:r>
      <w:r>
        <w:rPr>
          <w:rFonts w:ascii="Times New Roman" w:hAnsi="Times New Roman" w:cs="Times New Roman"/>
          <w:i/>
          <w:lang w:val="de-DE"/>
        </w:rPr>
        <w:t xml:space="preserve"> II</w:t>
      </w:r>
      <w:r w:rsidRPr="00F73F19">
        <w:rPr>
          <w:rFonts w:ascii="Times New Roman" w:hAnsi="Times New Roman" w:cs="Times New Roman"/>
          <w:lang w:val="de-DE"/>
        </w:rPr>
        <w:t xml:space="preserve">, hrsg. von F. Hogemann, in </w:t>
      </w:r>
      <w:r w:rsidRPr="00F73F19">
        <w:rPr>
          <w:rFonts w:ascii="Times New Roman" w:hAnsi="Times New Roman" w:cs="Times New Roman"/>
          <w:i/>
          <w:lang w:val="de-DE"/>
        </w:rPr>
        <w:t>GW</w:t>
      </w:r>
      <w:r w:rsidRPr="00F73F19">
        <w:rPr>
          <w:rFonts w:ascii="Times New Roman" w:hAnsi="Times New Roman" w:cs="Times New Roman"/>
          <w:lang w:val="de-DE"/>
        </w:rPr>
        <w:t xml:space="preserve">, Bd. </w:t>
      </w:r>
      <w:r>
        <w:rPr>
          <w:rFonts w:ascii="Times New Roman" w:hAnsi="Times New Roman" w:cs="Times New Roman"/>
          <w:lang w:val="de-DE"/>
        </w:rPr>
        <w:t>XVI</w:t>
      </w:r>
      <w:r w:rsidRPr="00F73F19">
        <w:rPr>
          <w:rFonts w:ascii="Times New Roman" w:hAnsi="Times New Roman" w:cs="Times New Roman"/>
          <w:lang w:val="de-DE"/>
        </w:rPr>
        <w:t xml:space="preserve">, 2001. </w:t>
      </w:r>
    </w:p>
    <w:p w14:paraId="5CA61A9C" w14:textId="77777777" w:rsidR="00276556" w:rsidRPr="008E1231" w:rsidRDefault="00276556" w:rsidP="00276556">
      <w:pPr>
        <w:spacing w:line="360" w:lineRule="auto"/>
        <w:jc w:val="both"/>
        <w:rPr>
          <w:rFonts w:ascii="Times New Roman" w:hAnsi="Times New Roman" w:cs="Times New Roman"/>
          <w:lang w:val="de-DE"/>
        </w:rPr>
      </w:pPr>
    </w:p>
    <w:p w14:paraId="6B57C3A9" w14:textId="77777777" w:rsidR="00276556" w:rsidRPr="008E1231" w:rsidRDefault="00276556" w:rsidP="00276556">
      <w:pPr>
        <w:spacing w:line="360" w:lineRule="auto"/>
        <w:jc w:val="both"/>
        <w:rPr>
          <w:rFonts w:ascii="Times New Roman" w:hAnsi="Times New Roman" w:cs="Times New Roman"/>
          <w:lang w:val="de-DE"/>
        </w:rPr>
      </w:pPr>
      <w:r w:rsidRPr="008E1231">
        <w:rPr>
          <w:rFonts w:ascii="Times New Roman" w:hAnsi="Times New Roman" w:cs="Times New Roman"/>
          <w:i/>
          <w:lang w:val="de-DE"/>
        </w:rPr>
        <w:t>JSE I</w:t>
      </w:r>
      <w:r w:rsidRPr="008E1231">
        <w:rPr>
          <w:rFonts w:ascii="Times New Roman" w:hAnsi="Times New Roman" w:cs="Times New Roman"/>
          <w:lang w:val="de-DE"/>
        </w:rPr>
        <w:t>:</w:t>
      </w:r>
      <w:r w:rsidRPr="008E1231">
        <w:rPr>
          <w:rFonts w:ascii="Times New Roman" w:hAnsi="Times New Roman" w:cs="Times New Roman"/>
          <w:sz w:val="20"/>
          <w:szCs w:val="20"/>
          <w:lang w:val="de-DE"/>
        </w:rPr>
        <w:t xml:space="preserve"> </w:t>
      </w:r>
      <w:r w:rsidRPr="008E1231">
        <w:rPr>
          <w:rFonts w:ascii="Times New Roman" w:hAnsi="Times New Roman" w:cs="Times New Roman"/>
          <w:i/>
          <w:lang w:val="de-DE"/>
        </w:rPr>
        <w:t>Jenaer Systementwürfe I: Das System der spekulativen Philosophie. Fragmente aus Vorlesungsmanuskripte zur Philosophie der Natur und des Geistes 1803/04</w:t>
      </w:r>
      <w:r w:rsidRPr="008E1231">
        <w:rPr>
          <w:rFonts w:ascii="Times New Roman" w:hAnsi="Times New Roman" w:cs="Times New Roman"/>
          <w:lang w:val="de-DE"/>
        </w:rPr>
        <w:t xml:space="preserve">, hrsg. von K. Düsing und H. Kimmerle, in </w:t>
      </w:r>
      <w:r w:rsidRPr="008E1231">
        <w:rPr>
          <w:rFonts w:ascii="Times New Roman" w:hAnsi="Times New Roman" w:cs="Times New Roman"/>
          <w:i/>
          <w:lang w:val="de-DE"/>
        </w:rPr>
        <w:t>GW</w:t>
      </w:r>
      <w:r w:rsidRPr="008E1231">
        <w:rPr>
          <w:rFonts w:ascii="Times New Roman" w:hAnsi="Times New Roman" w:cs="Times New Roman"/>
          <w:lang w:val="de-DE"/>
        </w:rPr>
        <w:t>, Bd. VI, 1975.</w:t>
      </w:r>
    </w:p>
    <w:p w14:paraId="20FA274D" w14:textId="77777777" w:rsidR="00276556" w:rsidRPr="008E1231" w:rsidRDefault="00276556" w:rsidP="00276556">
      <w:pPr>
        <w:spacing w:line="360" w:lineRule="auto"/>
        <w:jc w:val="both"/>
        <w:rPr>
          <w:rFonts w:ascii="Times New Roman" w:hAnsi="Times New Roman" w:cs="Times New Roman"/>
          <w:lang w:val="de-DE"/>
        </w:rPr>
      </w:pPr>
    </w:p>
    <w:p w14:paraId="37C28705" w14:textId="77777777" w:rsidR="00276556" w:rsidRPr="008E1231" w:rsidRDefault="00276556" w:rsidP="00276556">
      <w:pPr>
        <w:spacing w:line="360" w:lineRule="auto"/>
        <w:jc w:val="both"/>
        <w:rPr>
          <w:rFonts w:ascii="Times New Roman" w:hAnsi="Times New Roman" w:cs="Times New Roman"/>
          <w:lang w:val="de-DE"/>
        </w:rPr>
      </w:pPr>
      <w:r w:rsidRPr="008E1231">
        <w:rPr>
          <w:rFonts w:ascii="Times New Roman" w:hAnsi="Times New Roman" w:cs="Times New Roman"/>
          <w:i/>
          <w:lang w:val="de-DE"/>
        </w:rPr>
        <w:t>JSE II</w:t>
      </w:r>
      <w:r w:rsidRPr="008E1231">
        <w:rPr>
          <w:rFonts w:ascii="Times New Roman" w:hAnsi="Times New Roman" w:cs="Times New Roman"/>
          <w:lang w:val="de-DE"/>
        </w:rPr>
        <w:t xml:space="preserve">: </w:t>
      </w:r>
      <w:r w:rsidRPr="008E1231">
        <w:rPr>
          <w:rFonts w:ascii="Times New Roman" w:hAnsi="Times New Roman" w:cs="Times New Roman"/>
          <w:i/>
          <w:lang w:val="de-DE"/>
        </w:rPr>
        <w:t>Jenaer Systementwürfe II: Logik, Metaphysik, und Naturphilosophie</w:t>
      </w:r>
      <w:r w:rsidRPr="008E1231">
        <w:rPr>
          <w:rFonts w:ascii="Times New Roman" w:hAnsi="Times New Roman" w:cs="Times New Roman"/>
          <w:lang w:val="de-DE"/>
        </w:rPr>
        <w:t xml:space="preserve">, hrsg. von R.-P. Horstmann und J. H. Trede, in </w:t>
      </w:r>
      <w:r w:rsidRPr="008E1231">
        <w:rPr>
          <w:rFonts w:ascii="Times New Roman" w:hAnsi="Times New Roman" w:cs="Times New Roman"/>
          <w:i/>
          <w:lang w:val="de-DE"/>
        </w:rPr>
        <w:t>GW</w:t>
      </w:r>
      <w:r w:rsidRPr="008E1231">
        <w:rPr>
          <w:rFonts w:ascii="Times New Roman" w:hAnsi="Times New Roman" w:cs="Times New Roman"/>
          <w:lang w:val="de-DE"/>
        </w:rPr>
        <w:t>, Bd. VII, 1971.</w:t>
      </w:r>
    </w:p>
    <w:p w14:paraId="3CC2A0AF" w14:textId="77777777" w:rsidR="00276556" w:rsidRPr="008E1231" w:rsidRDefault="00276556" w:rsidP="00276556">
      <w:pPr>
        <w:spacing w:line="360" w:lineRule="auto"/>
        <w:jc w:val="both"/>
        <w:rPr>
          <w:rFonts w:ascii="Times New Roman" w:hAnsi="Times New Roman" w:cs="Times New Roman"/>
          <w:lang w:val="de-DE"/>
        </w:rPr>
      </w:pPr>
    </w:p>
    <w:p w14:paraId="119B398F" w14:textId="77777777" w:rsidR="00276556" w:rsidRPr="008E1231" w:rsidRDefault="00276556" w:rsidP="00276556">
      <w:pPr>
        <w:spacing w:line="360" w:lineRule="auto"/>
        <w:jc w:val="both"/>
        <w:rPr>
          <w:rFonts w:ascii="Times New Roman" w:hAnsi="Times New Roman" w:cs="Times New Roman"/>
          <w:lang w:val="de-DE"/>
        </w:rPr>
      </w:pPr>
      <w:r w:rsidRPr="008E1231">
        <w:rPr>
          <w:rFonts w:ascii="Times New Roman" w:hAnsi="Times New Roman" w:cs="Times New Roman"/>
          <w:i/>
          <w:lang w:val="de-DE"/>
        </w:rPr>
        <w:t>JSE III</w:t>
      </w:r>
      <w:r w:rsidRPr="008E1231">
        <w:rPr>
          <w:rFonts w:ascii="Times New Roman" w:hAnsi="Times New Roman" w:cs="Times New Roman"/>
          <w:lang w:val="de-DE"/>
        </w:rPr>
        <w:t xml:space="preserve">: </w:t>
      </w:r>
      <w:r w:rsidRPr="008E1231">
        <w:rPr>
          <w:rFonts w:ascii="Times New Roman" w:hAnsi="Times New Roman" w:cs="Times New Roman"/>
          <w:i/>
          <w:lang w:val="de-DE"/>
        </w:rPr>
        <w:t>Jenaer Systementwürfe III: Naturphilosophie und Philosophie des Geistes. Vorlesungsmanuskripte zur Realphilosophie 1805/06</w:t>
      </w:r>
      <w:r w:rsidRPr="008E1231">
        <w:rPr>
          <w:rFonts w:ascii="Times New Roman" w:hAnsi="Times New Roman" w:cs="Times New Roman"/>
          <w:lang w:val="de-DE"/>
        </w:rPr>
        <w:t xml:space="preserve">, hrsg. von R.-P. Horstmann, in </w:t>
      </w:r>
      <w:r w:rsidRPr="008E1231">
        <w:rPr>
          <w:rFonts w:ascii="Times New Roman" w:hAnsi="Times New Roman" w:cs="Times New Roman"/>
          <w:i/>
          <w:lang w:val="de-DE"/>
        </w:rPr>
        <w:t>GW</w:t>
      </w:r>
      <w:r w:rsidRPr="008E1231">
        <w:rPr>
          <w:rFonts w:ascii="Times New Roman" w:hAnsi="Times New Roman" w:cs="Times New Roman"/>
          <w:lang w:val="de-DE"/>
        </w:rPr>
        <w:t>, Bd. VIII, 1976.</w:t>
      </w:r>
    </w:p>
    <w:p w14:paraId="0AFBF094" w14:textId="77777777" w:rsidR="00276556" w:rsidRPr="008E1231" w:rsidRDefault="00276556" w:rsidP="00276556">
      <w:pPr>
        <w:spacing w:line="360" w:lineRule="auto"/>
        <w:jc w:val="both"/>
        <w:rPr>
          <w:rFonts w:ascii="Times New Roman" w:hAnsi="Times New Roman" w:cs="Times New Roman"/>
          <w:lang w:val="de-DE"/>
        </w:rPr>
      </w:pPr>
    </w:p>
    <w:p w14:paraId="7E491822" w14:textId="77777777" w:rsidR="00276556" w:rsidRPr="008E1231" w:rsidRDefault="00276556" w:rsidP="00276556">
      <w:pPr>
        <w:spacing w:line="360" w:lineRule="auto"/>
        <w:jc w:val="both"/>
        <w:rPr>
          <w:rFonts w:ascii="Times New Roman" w:hAnsi="Times New Roman" w:cs="Times New Roman"/>
          <w:lang w:val="de-DE"/>
        </w:rPr>
      </w:pPr>
      <w:r w:rsidRPr="008E1231">
        <w:rPr>
          <w:rFonts w:ascii="Times New Roman" w:hAnsi="Times New Roman" w:cs="Times New Roman"/>
          <w:i/>
          <w:lang w:val="de-DE"/>
        </w:rPr>
        <w:t>PhG</w:t>
      </w:r>
      <w:r w:rsidRPr="008E1231">
        <w:rPr>
          <w:rFonts w:ascii="Times New Roman" w:hAnsi="Times New Roman" w:cs="Times New Roman"/>
          <w:lang w:val="de-DE"/>
        </w:rPr>
        <w:t xml:space="preserve">: </w:t>
      </w:r>
      <w:r w:rsidRPr="008E1231">
        <w:rPr>
          <w:rFonts w:ascii="Times New Roman" w:hAnsi="Times New Roman" w:cs="Times New Roman"/>
          <w:i/>
          <w:lang w:val="de-DE"/>
        </w:rPr>
        <w:t>Phänomenologie des Geistes</w:t>
      </w:r>
      <w:r w:rsidRPr="008E1231">
        <w:rPr>
          <w:rFonts w:ascii="Times New Roman" w:hAnsi="Times New Roman" w:cs="Times New Roman"/>
          <w:lang w:val="de-DE"/>
        </w:rPr>
        <w:t xml:space="preserve">, hrsg. von W. Bonsiepen und R. Heede, in </w:t>
      </w:r>
      <w:r w:rsidRPr="008E1231">
        <w:rPr>
          <w:rFonts w:ascii="Times New Roman" w:hAnsi="Times New Roman" w:cs="Times New Roman"/>
          <w:i/>
          <w:lang w:val="de-DE"/>
        </w:rPr>
        <w:t>GW</w:t>
      </w:r>
      <w:r w:rsidRPr="008E1231">
        <w:rPr>
          <w:rFonts w:ascii="Times New Roman" w:hAnsi="Times New Roman" w:cs="Times New Roman"/>
          <w:lang w:val="de-DE"/>
        </w:rPr>
        <w:t>, Bd. IX, 1980.</w:t>
      </w:r>
    </w:p>
    <w:p w14:paraId="552FBD4C" w14:textId="77777777" w:rsidR="00276556" w:rsidRPr="008E1231" w:rsidRDefault="00276556" w:rsidP="00276556">
      <w:pPr>
        <w:spacing w:line="360" w:lineRule="auto"/>
        <w:jc w:val="both"/>
        <w:rPr>
          <w:rFonts w:ascii="Times New Roman" w:hAnsi="Times New Roman" w:cs="Times New Roman"/>
          <w:lang w:val="de-DE"/>
        </w:rPr>
      </w:pPr>
    </w:p>
    <w:p w14:paraId="237DEAA5" w14:textId="1E9F6910" w:rsidR="00276556" w:rsidRPr="008E1231" w:rsidRDefault="00276556" w:rsidP="00276556">
      <w:pPr>
        <w:spacing w:line="360" w:lineRule="auto"/>
        <w:jc w:val="both"/>
        <w:rPr>
          <w:rFonts w:ascii="Times New Roman" w:hAnsi="Times New Roman" w:cs="Times New Roman"/>
          <w:lang w:val="de-DE"/>
        </w:rPr>
      </w:pPr>
      <w:r w:rsidRPr="008E1231">
        <w:rPr>
          <w:rFonts w:ascii="Times New Roman" w:hAnsi="Times New Roman" w:cs="Times New Roman"/>
          <w:i/>
          <w:lang w:val="de-DE"/>
        </w:rPr>
        <w:t>WdL I A</w:t>
      </w:r>
      <w:r w:rsidRPr="008E1231">
        <w:rPr>
          <w:rFonts w:ascii="Times New Roman" w:hAnsi="Times New Roman" w:cs="Times New Roman"/>
          <w:lang w:val="de-DE"/>
        </w:rPr>
        <w:t xml:space="preserve">: </w:t>
      </w:r>
      <w:r w:rsidRPr="008E1231">
        <w:rPr>
          <w:rFonts w:ascii="Times New Roman" w:hAnsi="Times New Roman" w:cs="Times New Roman"/>
          <w:i/>
          <w:lang w:val="de-DE"/>
        </w:rPr>
        <w:t>Wissenschaft der Logik. Erster Band: Die objektive Logik (1812-1813)</w:t>
      </w:r>
      <w:r w:rsidRPr="008E1231">
        <w:rPr>
          <w:rFonts w:ascii="Times New Roman" w:hAnsi="Times New Roman" w:cs="Times New Roman"/>
          <w:lang w:val="de-DE"/>
        </w:rPr>
        <w:t xml:space="preserve">, hrsg. von F. Hogemann und W. Jaeschke, in </w:t>
      </w:r>
      <w:r w:rsidRPr="008E1231">
        <w:rPr>
          <w:rFonts w:ascii="Times New Roman" w:hAnsi="Times New Roman" w:cs="Times New Roman"/>
          <w:i/>
          <w:lang w:val="de-DE"/>
        </w:rPr>
        <w:t>GW</w:t>
      </w:r>
      <w:r w:rsidRPr="008E1231">
        <w:rPr>
          <w:rFonts w:ascii="Times New Roman" w:hAnsi="Times New Roman" w:cs="Times New Roman"/>
          <w:lang w:val="de-DE"/>
        </w:rPr>
        <w:t>,</w:t>
      </w:r>
      <w:r w:rsidRPr="008E1231">
        <w:rPr>
          <w:rFonts w:ascii="Times New Roman" w:hAnsi="Times New Roman" w:cs="Times New Roman"/>
          <w:i/>
          <w:lang w:val="de-DE"/>
        </w:rPr>
        <w:t xml:space="preserve"> </w:t>
      </w:r>
      <w:r w:rsidR="00C96773">
        <w:rPr>
          <w:rFonts w:ascii="Times New Roman" w:hAnsi="Times New Roman" w:cs="Times New Roman"/>
          <w:lang w:val="de-DE"/>
        </w:rPr>
        <w:t xml:space="preserve">Bd. </w:t>
      </w:r>
      <w:r w:rsidRPr="008E1231">
        <w:rPr>
          <w:rFonts w:ascii="Times New Roman" w:hAnsi="Times New Roman" w:cs="Times New Roman"/>
          <w:lang w:val="de-DE"/>
        </w:rPr>
        <w:t xml:space="preserve">XI, 1978. </w:t>
      </w:r>
    </w:p>
    <w:p w14:paraId="309F9435" w14:textId="77777777" w:rsidR="00276556" w:rsidRPr="008E1231" w:rsidRDefault="00276556" w:rsidP="00276556">
      <w:pPr>
        <w:spacing w:line="360" w:lineRule="auto"/>
        <w:jc w:val="both"/>
        <w:rPr>
          <w:rFonts w:ascii="Times New Roman" w:hAnsi="Times New Roman" w:cs="Times New Roman"/>
          <w:lang w:val="de-DE"/>
        </w:rPr>
      </w:pPr>
    </w:p>
    <w:p w14:paraId="75058E0B" w14:textId="0DA1BBE2" w:rsidR="00276556" w:rsidRPr="008E1231" w:rsidRDefault="00276556" w:rsidP="00276556">
      <w:pPr>
        <w:spacing w:line="360" w:lineRule="auto"/>
        <w:jc w:val="both"/>
        <w:rPr>
          <w:rFonts w:ascii="Times New Roman" w:hAnsi="Times New Roman" w:cs="Times New Roman"/>
          <w:lang w:val="de-DE"/>
        </w:rPr>
      </w:pPr>
      <w:r w:rsidRPr="008E1231">
        <w:rPr>
          <w:rFonts w:ascii="Times New Roman" w:hAnsi="Times New Roman" w:cs="Times New Roman"/>
          <w:i/>
          <w:lang w:val="de-DE"/>
        </w:rPr>
        <w:t>WdL I B</w:t>
      </w:r>
      <w:r w:rsidRPr="008E1231">
        <w:rPr>
          <w:rFonts w:ascii="Times New Roman" w:hAnsi="Times New Roman" w:cs="Times New Roman"/>
          <w:lang w:val="de-DE"/>
        </w:rPr>
        <w:t xml:space="preserve">: </w:t>
      </w:r>
      <w:r w:rsidRPr="008E1231">
        <w:rPr>
          <w:rFonts w:ascii="Times New Roman" w:hAnsi="Times New Roman" w:cs="Times New Roman"/>
          <w:i/>
          <w:lang w:val="de-DE"/>
        </w:rPr>
        <w:t>Wissenschaft der Logik. Erster Band: Die objektive Logik: Lehre vom Sein (1832)</w:t>
      </w:r>
      <w:r w:rsidRPr="008E1231">
        <w:rPr>
          <w:rFonts w:ascii="Times New Roman" w:hAnsi="Times New Roman" w:cs="Times New Roman"/>
          <w:lang w:val="de-DE"/>
        </w:rPr>
        <w:t xml:space="preserve">, hrsg. von F. Hogemann und W. Jaeschke, in </w:t>
      </w:r>
      <w:r w:rsidRPr="008E1231">
        <w:rPr>
          <w:rFonts w:ascii="Times New Roman" w:hAnsi="Times New Roman" w:cs="Times New Roman"/>
          <w:i/>
          <w:lang w:val="de-DE"/>
        </w:rPr>
        <w:t>GW</w:t>
      </w:r>
      <w:r w:rsidRPr="008E1231">
        <w:rPr>
          <w:rFonts w:ascii="Times New Roman" w:hAnsi="Times New Roman" w:cs="Times New Roman"/>
          <w:lang w:val="de-DE"/>
        </w:rPr>
        <w:t xml:space="preserve">, </w:t>
      </w:r>
      <w:r w:rsidR="00BE6994">
        <w:rPr>
          <w:rFonts w:ascii="Times New Roman" w:hAnsi="Times New Roman" w:cs="Times New Roman"/>
          <w:lang w:val="de-DE"/>
        </w:rPr>
        <w:t xml:space="preserve">Bd. </w:t>
      </w:r>
      <w:r w:rsidRPr="008E1231">
        <w:rPr>
          <w:rFonts w:ascii="Times New Roman" w:hAnsi="Times New Roman" w:cs="Times New Roman"/>
          <w:lang w:val="de-DE"/>
        </w:rPr>
        <w:t>XXI, 1985.</w:t>
      </w:r>
    </w:p>
    <w:p w14:paraId="71271F33" w14:textId="77777777" w:rsidR="00276556" w:rsidRPr="008E1231" w:rsidRDefault="00276556" w:rsidP="00276556">
      <w:pPr>
        <w:spacing w:line="360" w:lineRule="auto"/>
        <w:jc w:val="both"/>
        <w:rPr>
          <w:rFonts w:ascii="Times New Roman" w:hAnsi="Times New Roman" w:cs="Times New Roman"/>
          <w:lang w:val="de-DE"/>
        </w:rPr>
      </w:pPr>
    </w:p>
    <w:p w14:paraId="04E4D441" w14:textId="77777777" w:rsidR="00276556" w:rsidRDefault="00276556" w:rsidP="00276556">
      <w:pPr>
        <w:spacing w:line="360" w:lineRule="auto"/>
        <w:jc w:val="both"/>
        <w:rPr>
          <w:rFonts w:ascii="Times New Roman" w:hAnsi="Times New Roman" w:cs="Times New Roman"/>
          <w:lang w:val="de-DE"/>
        </w:rPr>
      </w:pPr>
      <w:r w:rsidRPr="008E1231">
        <w:rPr>
          <w:rFonts w:ascii="Times New Roman" w:hAnsi="Times New Roman"/>
          <w:i/>
          <w:lang w:val="de-DE"/>
        </w:rPr>
        <w:t>WdL II</w:t>
      </w:r>
      <w:r w:rsidRPr="008E1231">
        <w:rPr>
          <w:rFonts w:ascii="Times New Roman" w:hAnsi="Times New Roman"/>
          <w:lang w:val="de-DE"/>
        </w:rPr>
        <w:t xml:space="preserve">: </w:t>
      </w:r>
      <w:r w:rsidRPr="008E1231">
        <w:rPr>
          <w:rFonts w:ascii="Times New Roman" w:hAnsi="Times New Roman" w:cs="Times New Roman"/>
          <w:i/>
          <w:lang w:val="de-DE"/>
        </w:rPr>
        <w:t>Wissenschaft der Logik. Zweiter Band: Die subjektive Logik</w:t>
      </w:r>
      <w:r w:rsidRPr="008E1231">
        <w:rPr>
          <w:rFonts w:ascii="Times New Roman" w:hAnsi="Times New Roman" w:cs="Times New Roman"/>
          <w:lang w:val="de-DE"/>
        </w:rPr>
        <w:t xml:space="preserve">, hrsg. von F. Hogemann und W. Jaeschke, </w:t>
      </w:r>
      <w:r w:rsidRPr="008E1231">
        <w:rPr>
          <w:rFonts w:ascii="Times New Roman" w:hAnsi="Times New Roman" w:cs="Times New Roman"/>
          <w:i/>
          <w:lang w:val="de-DE"/>
        </w:rPr>
        <w:t>GW</w:t>
      </w:r>
      <w:r w:rsidRPr="008E1231">
        <w:rPr>
          <w:rFonts w:ascii="Times New Roman" w:hAnsi="Times New Roman" w:cs="Times New Roman"/>
          <w:lang w:val="de-DE"/>
        </w:rPr>
        <w:t>, Bd. XII, 1981.</w:t>
      </w:r>
    </w:p>
    <w:p w14:paraId="59AF644E" w14:textId="77777777" w:rsidR="00276556" w:rsidRPr="008E1231" w:rsidRDefault="00276556" w:rsidP="00276556">
      <w:pPr>
        <w:spacing w:line="360" w:lineRule="auto"/>
        <w:jc w:val="both"/>
        <w:rPr>
          <w:rFonts w:ascii="Times New Roman" w:hAnsi="Times New Roman" w:cs="Times New Roman"/>
          <w:lang w:val="de-DE"/>
        </w:rPr>
      </w:pPr>
    </w:p>
    <w:p w14:paraId="38A7E1FF" w14:textId="77777777" w:rsidR="00276556" w:rsidRPr="008E1231" w:rsidRDefault="00276556" w:rsidP="00276556">
      <w:pPr>
        <w:spacing w:line="360" w:lineRule="auto"/>
        <w:jc w:val="both"/>
        <w:rPr>
          <w:lang w:val="de-DE"/>
        </w:rPr>
      </w:pPr>
      <w:r w:rsidRPr="008E1231">
        <w:rPr>
          <w:rFonts w:ascii="Times New Roman" w:hAnsi="Times New Roman" w:cs="Times New Roman"/>
          <w:i/>
          <w:lang w:val="de-DE"/>
        </w:rPr>
        <w:t>Enz A</w:t>
      </w:r>
      <w:r w:rsidRPr="008E1231">
        <w:rPr>
          <w:rFonts w:ascii="Times New Roman" w:hAnsi="Times New Roman" w:cs="Times New Roman"/>
          <w:lang w:val="de-DE"/>
        </w:rPr>
        <w:t xml:space="preserve">: </w:t>
      </w:r>
      <w:r w:rsidRPr="008E1231">
        <w:rPr>
          <w:rFonts w:ascii="Times New Roman" w:hAnsi="Times New Roman" w:cs="Times New Roman"/>
          <w:i/>
          <w:lang w:val="de-DE"/>
        </w:rPr>
        <w:t>Enzyklopädie der philosophischen Wissenschaften im Grundrisse (1817)</w:t>
      </w:r>
      <w:r w:rsidRPr="008E1231">
        <w:rPr>
          <w:rFonts w:ascii="Times New Roman" w:hAnsi="Times New Roman" w:cs="Times New Roman"/>
          <w:lang w:val="de-DE"/>
        </w:rPr>
        <w:t xml:space="preserve">, hrsg. von W. Bonsiepen und K. Grotsch, in </w:t>
      </w:r>
      <w:r w:rsidRPr="008E1231">
        <w:rPr>
          <w:rFonts w:ascii="Times New Roman" w:hAnsi="Times New Roman" w:cs="Times New Roman"/>
          <w:i/>
          <w:lang w:val="de-DE"/>
        </w:rPr>
        <w:t>GW</w:t>
      </w:r>
      <w:r w:rsidRPr="008E1231">
        <w:rPr>
          <w:rFonts w:ascii="Times New Roman" w:hAnsi="Times New Roman" w:cs="Times New Roman"/>
          <w:lang w:val="de-DE"/>
        </w:rPr>
        <w:t>, Bd. XIII, 2000.</w:t>
      </w:r>
    </w:p>
    <w:p w14:paraId="1B95CF6D" w14:textId="77777777" w:rsidR="00276556" w:rsidRPr="008E1231" w:rsidRDefault="00276556" w:rsidP="00276556">
      <w:pPr>
        <w:spacing w:line="360" w:lineRule="auto"/>
        <w:jc w:val="both"/>
        <w:rPr>
          <w:rFonts w:ascii="Times New Roman" w:hAnsi="Times New Roman" w:cs="Times New Roman"/>
          <w:lang w:val="de-DE"/>
        </w:rPr>
      </w:pPr>
    </w:p>
    <w:p w14:paraId="5D434FA1" w14:textId="77777777" w:rsidR="00276556" w:rsidRPr="008E1231" w:rsidRDefault="00276556" w:rsidP="00276556">
      <w:pPr>
        <w:spacing w:line="360" w:lineRule="auto"/>
        <w:jc w:val="both"/>
        <w:rPr>
          <w:rFonts w:ascii="Times New Roman" w:hAnsi="Times New Roman" w:cs="Times New Roman"/>
          <w:lang w:val="de-DE"/>
        </w:rPr>
      </w:pPr>
      <w:r w:rsidRPr="008E1231">
        <w:rPr>
          <w:rFonts w:ascii="Times New Roman" w:hAnsi="Times New Roman" w:cs="Times New Roman"/>
          <w:i/>
          <w:lang w:val="de-DE"/>
        </w:rPr>
        <w:t>Enz B</w:t>
      </w:r>
      <w:r w:rsidRPr="008E1231">
        <w:rPr>
          <w:rFonts w:ascii="Times New Roman" w:hAnsi="Times New Roman" w:cs="Times New Roman"/>
          <w:lang w:val="de-DE"/>
        </w:rPr>
        <w:t>:</w:t>
      </w:r>
      <w:r w:rsidRPr="008E1231">
        <w:rPr>
          <w:rFonts w:ascii="Times New Roman" w:hAnsi="Times New Roman" w:cs="Times New Roman"/>
          <w:i/>
          <w:lang w:val="de-DE"/>
        </w:rPr>
        <w:t xml:space="preserve"> Enzyklopädie der philosophischen Wissenschaften im Grundrisse (1827)</w:t>
      </w:r>
      <w:r w:rsidRPr="008E1231">
        <w:rPr>
          <w:rFonts w:ascii="Times New Roman" w:hAnsi="Times New Roman" w:cs="Times New Roman"/>
          <w:lang w:val="de-DE"/>
        </w:rPr>
        <w:t xml:space="preserve">, hrsg. von W. Bonsiepen und H.-C. Lucas, in </w:t>
      </w:r>
      <w:r w:rsidRPr="008E1231">
        <w:rPr>
          <w:rFonts w:ascii="Times New Roman" w:hAnsi="Times New Roman" w:cs="Times New Roman"/>
          <w:i/>
          <w:lang w:val="de-DE"/>
        </w:rPr>
        <w:t>GW</w:t>
      </w:r>
      <w:r w:rsidRPr="008E1231">
        <w:rPr>
          <w:rFonts w:ascii="Times New Roman" w:hAnsi="Times New Roman" w:cs="Times New Roman"/>
          <w:lang w:val="de-DE"/>
        </w:rPr>
        <w:t>, Bd. XIX, 1989.</w:t>
      </w:r>
    </w:p>
    <w:p w14:paraId="7A52B4D1" w14:textId="77777777" w:rsidR="00276556" w:rsidRPr="008E1231" w:rsidRDefault="00276556" w:rsidP="00276556">
      <w:pPr>
        <w:spacing w:line="360" w:lineRule="auto"/>
        <w:jc w:val="both"/>
        <w:rPr>
          <w:rFonts w:ascii="Times New Roman" w:hAnsi="Times New Roman" w:cs="Times New Roman"/>
          <w:lang w:val="de-DE"/>
        </w:rPr>
      </w:pPr>
    </w:p>
    <w:p w14:paraId="51EFB441" w14:textId="77777777" w:rsidR="00276556" w:rsidRPr="008E1231" w:rsidRDefault="00276556" w:rsidP="00276556">
      <w:pPr>
        <w:spacing w:line="360" w:lineRule="auto"/>
        <w:jc w:val="both"/>
        <w:rPr>
          <w:rFonts w:ascii="Times New Roman" w:hAnsi="Times New Roman" w:cs="Times New Roman"/>
          <w:lang w:val="de-DE"/>
        </w:rPr>
      </w:pPr>
      <w:r w:rsidRPr="008E1231">
        <w:rPr>
          <w:rFonts w:ascii="Times New Roman" w:hAnsi="Times New Roman" w:cs="Times New Roman"/>
          <w:i/>
          <w:lang w:val="de-DE"/>
        </w:rPr>
        <w:t>Enz C</w:t>
      </w:r>
      <w:r w:rsidRPr="008E1231">
        <w:rPr>
          <w:rFonts w:ascii="Times New Roman" w:hAnsi="Times New Roman" w:cs="Times New Roman"/>
          <w:lang w:val="de-DE"/>
        </w:rPr>
        <w:t xml:space="preserve">: </w:t>
      </w:r>
      <w:r w:rsidRPr="008E1231">
        <w:rPr>
          <w:rFonts w:ascii="Times New Roman" w:hAnsi="Times New Roman" w:cs="Times New Roman"/>
          <w:i/>
          <w:lang w:val="de-DE"/>
        </w:rPr>
        <w:t>Enzyklopädie der philosophischen Wissenschaften im Grundrisse (1830)</w:t>
      </w:r>
      <w:r w:rsidRPr="008E1231">
        <w:rPr>
          <w:rFonts w:ascii="Times New Roman" w:hAnsi="Times New Roman" w:cs="Times New Roman"/>
          <w:lang w:val="de-DE"/>
        </w:rPr>
        <w:t xml:space="preserve">, hrsg. von W. Bonsiepen und H.-C. Lucas, in </w:t>
      </w:r>
      <w:r w:rsidRPr="008E1231">
        <w:rPr>
          <w:rFonts w:ascii="Times New Roman" w:hAnsi="Times New Roman" w:cs="Times New Roman"/>
          <w:i/>
          <w:lang w:val="de-DE"/>
        </w:rPr>
        <w:t>GW</w:t>
      </w:r>
      <w:r w:rsidRPr="008E1231">
        <w:rPr>
          <w:rFonts w:ascii="Times New Roman" w:hAnsi="Times New Roman" w:cs="Times New Roman"/>
          <w:lang w:val="de-DE"/>
        </w:rPr>
        <w:t>, Bd. XX, 1992.</w:t>
      </w:r>
    </w:p>
    <w:p w14:paraId="73E3050A" w14:textId="77777777" w:rsidR="00276556" w:rsidRPr="008E1231" w:rsidRDefault="00276556" w:rsidP="00276556">
      <w:pPr>
        <w:spacing w:line="360" w:lineRule="auto"/>
        <w:jc w:val="both"/>
        <w:rPr>
          <w:rFonts w:ascii="Times New Roman" w:hAnsi="Times New Roman" w:cs="Times New Roman"/>
          <w:lang w:val="de-DE"/>
        </w:rPr>
      </w:pPr>
    </w:p>
    <w:p w14:paraId="67455242" w14:textId="77777777" w:rsidR="00276556" w:rsidRPr="008E1231" w:rsidRDefault="00276556" w:rsidP="00276556">
      <w:pPr>
        <w:spacing w:line="360" w:lineRule="auto"/>
        <w:jc w:val="both"/>
        <w:rPr>
          <w:rFonts w:ascii="Times New Roman" w:hAnsi="Times New Roman" w:cs="Times New Roman"/>
          <w:lang w:val="de-DE"/>
        </w:rPr>
      </w:pPr>
      <w:r w:rsidRPr="008E1231">
        <w:rPr>
          <w:rFonts w:ascii="Times New Roman" w:hAnsi="Times New Roman" w:cs="Times New Roman"/>
          <w:i/>
          <w:lang w:val="de-DE"/>
        </w:rPr>
        <w:t>Rph</w:t>
      </w:r>
      <w:r w:rsidRPr="008E1231">
        <w:rPr>
          <w:rFonts w:ascii="Times New Roman" w:hAnsi="Times New Roman" w:cs="Times New Roman"/>
          <w:lang w:val="de-DE"/>
        </w:rPr>
        <w:t xml:space="preserve">: </w:t>
      </w:r>
      <w:r w:rsidRPr="008E1231">
        <w:rPr>
          <w:rFonts w:ascii="Times New Roman" w:hAnsi="Times New Roman" w:cs="Times New Roman"/>
          <w:i/>
          <w:lang w:val="de-DE"/>
        </w:rPr>
        <w:t>Grundlinien der Philosophie des Rechts</w:t>
      </w:r>
      <w:r w:rsidRPr="008E1231">
        <w:rPr>
          <w:rFonts w:ascii="Times New Roman" w:hAnsi="Times New Roman" w:cs="Times New Roman"/>
          <w:lang w:val="de-DE"/>
        </w:rPr>
        <w:t xml:space="preserve">, hrsg. von K. Grotsch und E. Weisser-Lohmann, in </w:t>
      </w:r>
      <w:r w:rsidRPr="008E1231">
        <w:rPr>
          <w:rFonts w:ascii="Times New Roman" w:hAnsi="Times New Roman" w:cs="Times New Roman"/>
          <w:i/>
          <w:lang w:val="de-DE"/>
        </w:rPr>
        <w:t>GW</w:t>
      </w:r>
      <w:r w:rsidRPr="008E1231">
        <w:rPr>
          <w:rFonts w:ascii="Times New Roman" w:hAnsi="Times New Roman" w:cs="Times New Roman"/>
          <w:lang w:val="de-DE"/>
        </w:rPr>
        <w:t>, Bd. XIV, 2009.</w:t>
      </w:r>
    </w:p>
    <w:p w14:paraId="6971911B" w14:textId="77777777" w:rsidR="00276556" w:rsidRPr="008E1231" w:rsidRDefault="00276556" w:rsidP="00276556">
      <w:pPr>
        <w:spacing w:line="360" w:lineRule="auto"/>
        <w:jc w:val="both"/>
        <w:rPr>
          <w:rFonts w:ascii="Times New Roman" w:hAnsi="Times New Roman" w:cs="Times New Roman"/>
          <w:lang w:val="de-DE"/>
        </w:rPr>
      </w:pPr>
    </w:p>
    <w:p w14:paraId="44D89E90" w14:textId="77777777" w:rsidR="00276556" w:rsidRPr="008E1231" w:rsidRDefault="00276556" w:rsidP="00276556">
      <w:pPr>
        <w:spacing w:line="360" w:lineRule="auto"/>
        <w:jc w:val="both"/>
        <w:rPr>
          <w:rFonts w:ascii="Times New Roman" w:hAnsi="Times New Roman" w:cs="Times New Roman"/>
          <w:lang w:val="de-DE"/>
        </w:rPr>
      </w:pPr>
      <w:r w:rsidRPr="008E1231">
        <w:rPr>
          <w:rFonts w:ascii="Times New Roman" w:hAnsi="Times New Roman" w:cs="Times New Roman"/>
          <w:i/>
          <w:lang w:val="de-DE"/>
        </w:rPr>
        <w:t>VGP (M)</w:t>
      </w:r>
      <w:r w:rsidRPr="008E1231">
        <w:rPr>
          <w:rFonts w:ascii="Times New Roman" w:hAnsi="Times New Roman" w:cs="Times New Roman"/>
          <w:lang w:val="de-DE"/>
        </w:rPr>
        <w:t xml:space="preserve">: </w:t>
      </w:r>
      <w:r w:rsidRPr="008E1231">
        <w:rPr>
          <w:rFonts w:ascii="Times New Roman" w:hAnsi="Times New Roman" w:cs="Times New Roman"/>
          <w:i/>
          <w:lang w:val="de-DE"/>
        </w:rPr>
        <w:t>Vorlesungen über die Geschichte der Philosophie. Sommersemester 1819: Anonymes Heft aus dem Nachlasse von Jürgen Bona Meyer</w:t>
      </w:r>
      <w:r w:rsidRPr="008E1231">
        <w:rPr>
          <w:rFonts w:ascii="Times New Roman" w:hAnsi="Times New Roman" w:cs="Times New Roman"/>
          <w:lang w:val="de-DE"/>
        </w:rPr>
        <w:t xml:space="preserve">, hrsg. von K. Grotsch, in </w:t>
      </w:r>
      <w:r w:rsidRPr="008E1231">
        <w:rPr>
          <w:rFonts w:ascii="Times New Roman" w:hAnsi="Times New Roman" w:cs="Times New Roman"/>
          <w:i/>
          <w:lang w:val="de-DE"/>
        </w:rPr>
        <w:t>GW</w:t>
      </w:r>
      <w:r w:rsidRPr="008E1231">
        <w:rPr>
          <w:rFonts w:ascii="Times New Roman" w:hAnsi="Times New Roman" w:cs="Times New Roman"/>
          <w:lang w:val="de-DE"/>
        </w:rPr>
        <w:t>, Bd. XXX, 2016.</w:t>
      </w:r>
    </w:p>
    <w:p w14:paraId="4547C76A" w14:textId="77777777" w:rsidR="00276556" w:rsidRPr="008E1231" w:rsidRDefault="00276556" w:rsidP="00276556">
      <w:pPr>
        <w:spacing w:line="360" w:lineRule="auto"/>
        <w:jc w:val="both"/>
        <w:rPr>
          <w:rFonts w:ascii="Times New Roman" w:hAnsi="Times New Roman" w:cs="Times New Roman"/>
          <w:lang w:val="de-DE"/>
        </w:rPr>
      </w:pPr>
    </w:p>
    <w:p w14:paraId="6DBA03D3" w14:textId="77777777" w:rsidR="00276556" w:rsidRPr="008E1231" w:rsidRDefault="00276556" w:rsidP="00276556">
      <w:pPr>
        <w:spacing w:line="360" w:lineRule="auto"/>
        <w:jc w:val="both"/>
        <w:rPr>
          <w:rFonts w:ascii="Times New Roman" w:hAnsi="Times New Roman" w:cs="Times New Roman"/>
          <w:lang w:val="de-DE"/>
        </w:rPr>
      </w:pPr>
      <w:r w:rsidRPr="008E1231">
        <w:rPr>
          <w:rFonts w:ascii="Times New Roman" w:hAnsi="Times New Roman" w:cs="Times New Roman"/>
          <w:i/>
          <w:lang w:val="de-DE"/>
        </w:rPr>
        <w:t>VGP (H)</w:t>
      </w:r>
      <w:r w:rsidRPr="008E1231">
        <w:rPr>
          <w:rFonts w:ascii="Times New Roman" w:hAnsi="Times New Roman" w:cs="Times New Roman"/>
          <w:lang w:val="de-DE"/>
        </w:rPr>
        <w:t xml:space="preserve">: </w:t>
      </w:r>
      <w:r w:rsidRPr="008E1231">
        <w:rPr>
          <w:rFonts w:ascii="Times New Roman" w:hAnsi="Times New Roman" w:cs="Times New Roman"/>
          <w:i/>
          <w:lang w:val="de-DE"/>
        </w:rPr>
        <w:t>Vorlesungen über die Geschichte der Philosophie, Wintersemester 1820/21: Nachschrift Georg Wilhelm Heinrich Häring</w:t>
      </w:r>
      <w:r w:rsidRPr="008E1231">
        <w:rPr>
          <w:rFonts w:ascii="Times New Roman" w:hAnsi="Times New Roman" w:cs="Times New Roman"/>
          <w:lang w:val="de-DE"/>
        </w:rPr>
        <w:t xml:space="preserve">, hrsg. von K. Grotsch, in </w:t>
      </w:r>
      <w:r w:rsidRPr="008E1231">
        <w:rPr>
          <w:rFonts w:ascii="Times New Roman" w:hAnsi="Times New Roman" w:cs="Times New Roman"/>
          <w:i/>
          <w:lang w:val="de-DE"/>
        </w:rPr>
        <w:t>GW</w:t>
      </w:r>
      <w:r w:rsidRPr="008E1231">
        <w:rPr>
          <w:rFonts w:ascii="Times New Roman" w:hAnsi="Times New Roman" w:cs="Times New Roman"/>
          <w:lang w:val="de-DE"/>
        </w:rPr>
        <w:t>, Bd. XXX, 2016.</w:t>
      </w:r>
    </w:p>
    <w:p w14:paraId="14319916" w14:textId="77777777" w:rsidR="00276556" w:rsidRPr="008E1231" w:rsidRDefault="00276556" w:rsidP="00276556">
      <w:pPr>
        <w:spacing w:line="360" w:lineRule="auto"/>
        <w:jc w:val="both"/>
        <w:rPr>
          <w:rFonts w:ascii="Times New Roman" w:hAnsi="Times New Roman" w:cs="Times New Roman"/>
          <w:lang w:val="de-DE"/>
        </w:rPr>
      </w:pPr>
    </w:p>
    <w:p w14:paraId="4DCA95F7" w14:textId="77777777" w:rsidR="00276556" w:rsidRPr="008E1231" w:rsidRDefault="00276556" w:rsidP="00276556">
      <w:pPr>
        <w:spacing w:line="360" w:lineRule="auto"/>
        <w:jc w:val="both"/>
        <w:rPr>
          <w:rFonts w:ascii="Times New Roman" w:hAnsi="Times New Roman" w:cs="Times New Roman"/>
          <w:lang w:val="de-DE"/>
        </w:rPr>
      </w:pPr>
      <w:r w:rsidRPr="008E1231">
        <w:rPr>
          <w:rFonts w:ascii="Times New Roman" w:hAnsi="Times New Roman" w:cs="Times New Roman"/>
          <w:i/>
          <w:lang w:val="de-DE"/>
        </w:rPr>
        <w:t>VGP (VIII)</w:t>
      </w:r>
      <w:r w:rsidRPr="008E1231">
        <w:rPr>
          <w:rFonts w:ascii="Times New Roman" w:hAnsi="Times New Roman" w:cs="Times New Roman"/>
          <w:lang w:val="de-DE"/>
        </w:rPr>
        <w:t xml:space="preserve">: </w:t>
      </w:r>
      <w:r w:rsidRPr="008E1231">
        <w:rPr>
          <w:rFonts w:ascii="Times New Roman" w:hAnsi="Times New Roman" w:cs="Times New Roman"/>
          <w:i/>
          <w:lang w:val="de-DE"/>
        </w:rPr>
        <w:t>Vorlesungen über die Geschichte der Philosophie.</w:t>
      </w:r>
      <w:r w:rsidRPr="008E1231">
        <w:rPr>
          <w:rFonts w:ascii="Times New Roman" w:hAnsi="Times New Roman" w:cs="Times New Roman"/>
          <w:lang w:val="de-DE"/>
        </w:rPr>
        <w:t xml:space="preserve"> </w:t>
      </w:r>
      <w:r w:rsidRPr="008E1231">
        <w:rPr>
          <w:rFonts w:ascii="Times New Roman" w:hAnsi="Times New Roman" w:cs="Times New Roman"/>
          <w:i/>
          <w:lang w:val="de-DE"/>
        </w:rPr>
        <w:t xml:space="preserve">Ausgewählte Nachschriften und Manuskripte, </w:t>
      </w:r>
      <w:r w:rsidRPr="008E1231">
        <w:rPr>
          <w:rFonts w:ascii="Times New Roman" w:hAnsi="Times New Roman" w:cs="Times New Roman"/>
          <w:lang w:val="de-DE"/>
        </w:rPr>
        <w:t>hrsg. von P. Garnion und W. Jaeschke, Felix Meiner Verlag, Hamburg 1993.</w:t>
      </w:r>
    </w:p>
    <w:p w14:paraId="6FE80EAD" w14:textId="77777777" w:rsidR="00276556" w:rsidRPr="008E1231" w:rsidRDefault="00276556" w:rsidP="00276556">
      <w:pPr>
        <w:spacing w:line="360" w:lineRule="auto"/>
        <w:jc w:val="both"/>
        <w:rPr>
          <w:rFonts w:ascii="Times New Roman" w:hAnsi="Times New Roman" w:cs="Times New Roman"/>
          <w:lang w:val="de-DE"/>
        </w:rPr>
      </w:pPr>
    </w:p>
    <w:p w14:paraId="3487FCE8" w14:textId="77777777" w:rsidR="00276556" w:rsidRPr="008E1231" w:rsidRDefault="00276556" w:rsidP="00276556">
      <w:pPr>
        <w:spacing w:line="360" w:lineRule="auto"/>
        <w:jc w:val="both"/>
        <w:rPr>
          <w:rFonts w:ascii="Times New Roman" w:hAnsi="Times New Roman" w:cs="Times New Roman"/>
          <w:lang w:val="de-DE"/>
        </w:rPr>
      </w:pPr>
      <w:r>
        <w:rPr>
          <w:rFonts w:ascii="Times New Roman" w:hAnsi="Times New Roman" w:cs="Times New Roman"/>
          <w:i/>
          <w:lang w:val="de-DE"/>
        </w:rPr>
        <w:t>VPR (XVII</w:t>
      </w:r>
      <w:r w:rsidRPr="008E1231">
        <w:rPr>
          <w:rFonts w:ascii="Times New Roman" w:hAnsi="Times New Roman" w:cs="Times New Roman"/>
          <w:i/>
          <w:lang w:val="de-DE"/>
        </w:rPr>
        <w:t>)</w:t>
      </w:r>
      <w:r w:rsidRPr="008E1231">
        <w:rPr>
          <w:rFonts w:ascii="Times New Roman" w:hAnsi="Times New Roman" w:cs="Times New Roman"/>
          <w:lang w:val="de-DE"/>
        </w:rPr>
        <w:t xml:space="preserve">: </w:t>
      </w:r>
      <w:r w:rsidRPr="008E1231">
        <w:rPr>
          <w:rFonts w:ascii="Times New Roman" w:hAnsi="Times New Roman" w:cs="Times New Roman"/>
          <w:i/>
          <w:lang w:val="de-DE"/>
        </w:rPr>
        <w:t>Vorlesungen über die Philosophie der Religion II</w:t>
      </w:r>
      <w:r w:rsidRPr="008E1231">
        <w:rPr>
          <w:rFonts w:ascii="Times New Roman" w:hAnsi="Times New Roman" w:cs="Times New Roman"/>
          <w:lang w:val="de-DE"/>
        </w:rPr>
        <w:t xml:space="preserve">, in </w:t>
      </w:r>
      <w:r w:rsidRPr="008E1231">
        <w:rPr>
          <w:rFonts w:ascii="Times New Roman" w:hAnsi="Times New Roman" w:cs="Times New Roman"/>
          <w:i/>
          <w:lang w:val="de-DE"/>
        </w:rPr>
        <w:t>Werke in 20 Bände</w:t>
      </w:r>
      <w:r>
        <w:rPr>
          <w:rFonts w:ascii="Times New Roman" w:hAnsi="Times New Roman" w:cs="Times New Roman"/>
          <w:lang w:val="de-DE"/>
        </w:rPr>
        <w:t xml:space="preserve">, </w:t>
      </w:r>
      <w:r w:rsidRPr="008E1231">
        <w:rPr>
          <w:rFonts w:ascii="Times New Roman" w:hAnsi="Times New Roman" w:cs="Times New Roman"/>
          <w:lang w:val="de-DE"/>
        </w:rPr>
        <w:t>hrsg. von E. Moldenhauer und K.M. Michel, Bd. XVII, Suhrkamp, Frankfurt am Main 1971.</w:t>
      </w:r>
    </w:p>
    <w:p w14:paraId="5FFE2613" w14:textId="77777777" w:rsidR="00276556" w:rsidRPr="008E1231" w:rsidRDefault="00276556" w:rsidP="00276556">
      <w:pPr>
        <w:spacing w:line="360" w:lineRule="auto"/>
        <w:jc w:val="both"/>
        <w:rPr>
          <w:rFonts w:ascii="Times New Roman" w:hAnsi="Times New Roman" w:cs="Times New Roman"/>
          <w:i/>
          <w:lang w:val="de-DE"/>
        </w:rPr>
      </w:pPr>
    </w:p>
    <w:p w14:paraId="34077FEB" w14:textId="77777777" w:rsidR="00276556" w:rsidRPr="008E1231" w:rsidRDefault="00276556" w:rsidP="00276556">
      <w:pPr>
        <w:spacing w:line="360" w:lineRule="auto"/>
        <w:jc w:val="both"/>
        <w:rPr>
          <w:rFonts w:ascii="Times New Roman" w:hAnsi="Times New Roman" w:cs="Times New Roman"/>
          <w:lang w:val="de-DE"/>
        </w:rPr>
      </w:pPr>
      <w:r w:rsidRPr="008E1231">
        <w:rPr>
          <w:rFonts w:ascii="Times New Roman" w:hAnsi="Times New Roman" w:cs="Times New Roman"/>
          <w:i/>
          <w:lang w:val="de-DE"/>
        </w:rPr>
        <w:t>VGP (</w:t>
      </w:r>
      <w:r>
        <w:rPr>
          <w:rFonts w:ascii="Times New Roman" w:hAnsi="Times New Roman" w:cs="Times New Roman"/>
          <w:i/>
          <w:lang w:val="de-DE"/>
        </w:rPr>
        <w:t>XIX</w:t>
      </w:r>
      <w:r w:rsidRPr="008E1231">
        <w:rPr>
          <w:rFonts w:ascii="Times New Roman" w:hAnsi="Times New Roman" w:cs="Times New Roman"/>
          <w:i/>
          <w:lang w:val="de-DE"/>
        </w:rPr>
        <w:t>)</w:t>
      </w:r>
      <w:r w:rsidRPr="008E1231">
        <w:rPr>
          <w:rFonts w:ascii="Times New Roman" w:hAnsi="Times New Roman" w:cs="Times New Roman"/>
          <w:lang w:val="de-DE"/>
        </w:rPr>
        <w:t xml:space="preserve">: </w:t>
      </w:r>
      <w:r w:rsidRPr="008E1231">
        <w:rPr>
          <w:rFonts w:ascii="Times New Roman" w:hAnsi="Times New Roman" w:cs="Times New Roman"/>
          <w:i/>
          <w:lang w:val="de-DE"/>
        </w:rPr>
        <w:t>Vorlesungen über die Geschichte der Philosophie II</w:t>
      </w:r>
      <w:r w:rsidRPr="008E1231">
        <w:rPr>
          <w:rFonts w:ascii="Times New Roman" w:hAnsi="Times New Roman" w:cs="Times New Roman"/>
          <w:lang w:val="de-DE"/>
        </w:rPr>
        <w:t xml:space="preserve">, in </w:t>
      </w:r>
      <w:r w:rsidRPr="008E1231">
        <w:rPr>
          <w:rFonts w:ascii="Times New Roman" w:hAnsi="Times New Roman" w:cs="Times New Roman"/>
          <w:i/>
          <w:lang w:val="de-DE"/>
        </w:rPr>
        <w:t>Werke in 20 Bände</w:t>
      </w:r>
      <w:r w:rsidRPr="008E1231">
        <w:rPr>
          <w:rFonts w:ascii="Times New Roman" w:hAnsi="Times New Roman" w:cs="Times New Roman"/>
          <w:lang w:val="de-DE"/>
        </w:rPr>
        <w:t>, cit.</w:t>
      </w:r>
      <w:r>
        <w:rPr>
          <w:rFonts w:ascii="Times New Roman" w:hAnsi="Times New Roman" w:cs="Times New Roman"/>
          <w:lang w:val="de-DE"/>
        </w:rPr>
        <w:t xml:space="preserve">, </w:t>
      </w:r>
      <w:r w:rsidRPr="008E1231">
        <w:rPr>
          <w:rFonts w:ascii="Times New Roman" w:hAnsi="Times New Roman" w:cs="Times New Roman"/>
          <w:lang w:val="de-DE"/>
        </w:rPr>
        <w:t>Bd. XIX</w:t>
      </w:r>
      <w:r>
        <w:rPr>
          <w:rFonts w:ascii="Times New Roman" w:hAnsi="Times New Roman" w:cs="Times New Roman"/>
          <w:lang w:val="de-DE"/>
        </w:rPr>
        <w:t>.</w:t>
      </w:r>
    </w:p>
    <w:p w14:paraId="1EC32C1F" w14:textId="77777777" w:rsidR="00276556" w:rsidRPr="008E1231" w:rsidRDefault="00276556" w:rsidP="00276556">
      <w:pPr>
        <w:spacing w:line="360" w:lineRule="auto"/>
        <w:jc w:val="both"/>
        <w:rPr>
          <w:rFonts w:ascii="Times New Roman" w:hAnsi="Times New Roman" w:cs="Times New Roman"/>
          <w:i/>
          <w:lang w:val="de-DE"/>
        </w:rPr>
      </w:pPr>
    </w:p>
    <w:p w14:paraId="40805B42" w14:textId="77777777" w:rsidR="00276556" w:rsidRPr="008E1231" w:rsidRDefault="00276556" w:rsidP="00276556">
      <w:pPr>
        <w:spacing w:line="360" w:lineRule="auto"/>
        <w:jc w:val="both"/>
        <w:rPr>
          <w:rFonts w:ascii="Times New Roman" w:hAnsi="Times New Roman" w:cs="Times New Roman"/>
          <w:lang w:val="de-DE"/>
        </w:rPr>
      </w:pPr>
      <w:r w:rsidRPr="008E1231">
        <w:rPr>
          <w:rFonts w:ascii="Times New Roman" w:hAnsi="Times New Roman" w:cs="Times New Roman"/>
          <w:i/>
          <w:lang w:val="de-DE"/>
        </w:rPr>
        <w:t>VGP (</w:t>
      </w:r>
      <w:r>
        <w:rPr>
          <w:rFonts w:ascii="Times New Roman" w:hAnsi="Times New Roman" w:cs="Times New Roman"/>
          <w:i/>
          <w:lang w:val="de-DE"/>
        </w:rPr>
        <w:t>XX</w:t>
      </w:r>
      <w:r w:rsidRPr="008E1231">
        <w:rPr>
          <w:rFonts w:ascii="Times New Roman" w:hAnsi="Times New Roman" w:cs="Times New Roman"/>
          <w:i/>
          <w:lang w:val="de-DE"/>
        </w:rPr>
        <w:t>)</w:t>
      </w:r>
      <w:r w:rsidRPr="008E1231">
        <w:rPr>
          <w:rFonts w:ascii="Times New Roman" w:hAnsi="Times New Roman" w:cs="Times New Roman"/>
          <w:lang w:val="de-DE"/>
        </w:rPr>
        <w:t xml:space="preserve">: </w:t>
      </w:r>
      <w:r w:rsidRPr="008E1231">
        <w:rPr>
          <w:rFonts w:ascii="Times New Roman" w:hAnsi="Times New Roman" w:cs="Times New Roman"/>
          <w:i/>
          <w:lang w:val="de-DE"/>
        </w:rPr>
        <w:t>Vorlesungen über die Geschichte der Philosophie III</w:t>
      </w:r>
      <w:r w:rsidRPr="008E1231">
        <w:rPr>
          <w:rFonts w:ascii="Times New Roman" w:hAnsi="Times New Roman" w:cs="Times New Roman"/>
          <w:lang w:val="de-DE"/>
        </w:rPr>
        <w:t xml:space="preserve">, </w:t>
      </w:r>
      <w:r>
        <w:rPr>
          <w:rFonts w:ascii="Times New Roman" w:hAnsi="Times New Roman" w:cs="Times New Roman"/>
          <w:lang w:val="de-DE"/>
        </w:rPr>
        <w:t xml:space="preserve">in </w:t>
      </w:r>
      <w:r w:rsidRPr="008E1231">
        <w:rPr>
          <w:rFonts w:ascii="Times New Roman" w:hAnsi="Times New Roman" w:cs="Times New Roman"/>
          <w:i/>
          <w:lang w:val="de-DE"/>
        </w:rPr>
        <w:t>Werke in 20 Bände</w:t>
      </w:r>
      <w:r w:rsidRPr="008E1231">
        <w:rPr>
          <w:rFonts w:ascii="Times New Roman" w:hAnsi="Times New Roman" w:cs="Times New Roman"/>
          <w:lang w:val="de-DE"/>
        </w:rPr>
        <w:t>, cit.</w:t>
      </w:r>
      <w:r>
        <w:rPr>
          <w:rFonts w:ascii="Times New Roman" w:hAnsi="Times New Roman" w:cs="Times New Roman"/>
          <w:lang w:val="de-DE"/>
        </w:rPr>
        <w:t>, Bd. XX.</w:t>
      </w:r>
    </w:p>
    <w:p w14:paraId="1739BD15" w14:textId="77777777" w:rsidR="00276556" w:rsidRPr="008E1231" w:rsidRDefault="00276556" w:rsidP="00276556">
      <w:pPr>
        <w:spacing w:line="360" w:lineRule="auto"/>
        <w:jc w:val="both"/>
        <w:rPr>
          <w:rFonts w:ascii="Times New Roman" w:hAnsi="Times New Roman" w:cs="Times New Roman"/>
          <w:i/>
          <w:lang w:val="de-DE"/>
        </w:rPr>
      </w:pPr>
    </w:p>
    <w:p w14:paraId="1D179AC2" w14:textId="77777777" w:rsidR="00276556" w:rsidRDefault="00276556" w:rsidP="00276556">
      <w:pPr>
        <w:spacing w:line="360" w:lineRule="auto"/>
        <w:jc w:val="both"/>
        <w:rPr>
          <w:rFonts w:ascii="Times New Roman" w:hAnsi="Times New Roman" w:cs="Times New Roman"/>
          <w:lang w:val="de-DE"/>
        </w:rPr>
      </w:pPr>
      <w:r w:rsidRPr="008E1231">
        <w:rPr>
          <w:rFonts w:ascii="Times New Roman" w:hAnsi="Times New Roman" w:cs="Times New Roman"/>
          <w:i/>
          <w:lang w:val="de-DE"/>
        </w:rPr>
        <w:t>VGP (Mich.)</w:t>
      </w:r>
      <w:r w:rsidRPr="008E1231">
        <w:rPr>
          <w:rFonts w:ascii="Times New Roman" w:hAnsi="Times New Roman" w:cs="Times New Roman"/>
          <w:lang w:val="de-DE"/>
        </w:rPr>
        <w:t xml:space="preserve">: </w:t>
      </w:r>
      <w:r w:rsidRPr="008E1231">
        <w:rPr>
          <w:rFonts w:ascii="Times New Roman" w:hAnsi="Times New Roman" w:cs="Times New Roman"/>
          <w:i/>
          <w:lang w:val="de-DE"/>
        </w:rPr>
        <w:t>Vorlesungen über die Geschichte der Philosophie</w:t>
      </w:r>
      <w:r w:rsidRPr="008E1231">
        <w:rPr>
          <w:rFonts w:ascii="Times New Roman" w:hAnsi="Times New Roman" w:cs="Times New Roman"/>
          <w:lang w:val="de-DE"/>
        </w:rPr>
        <w:t xml:space="preserve">, hrsg. von K. L. Michelet, in </w:t>
      </w:r>
      <w:r w:rsidRPr="008E1231">
        <w:rPr>
          <w:rFonts w:ascii="Times New Roman" w:hAnsi="Times New Roman" w:cs="Times New Roman"/>
          <w:i/>
          <w:lang w:val="de-DE"/>
        </w:rPr>
        <w:t>Georg Wilhelm Friedrich Hegel’s Werke. Vollständige Ausgabe durch einen Verein von Freunden des Verewigten</w:t>
      </w:r>
      <w:r w:rsidRPr="008E1231">
        <w:rPr>
          <w:rFonts w:ascii="Times New Roman" w:hAnsi="Times New Roman" w:cs="Times New Roman"/>
          <w:lang w:val="de-DE"/>
        </w:rPr>
        <w:t>, Bd. XV, Duncker und Humblot Verlag, Berlin 1844.</w:t>
      </w:r>
    </w:p>
    <w:p w14:paraId="2D98CCEF" w14:textId="77777777" w:rsidR="00276556" w:rsidRDefault="00276556" w:rsidP="00276556">
      <w:pPr>
        <w:spacing w:line="360" w:lineRule="auto"/>
        <w:jc w:val="both"/>
        <w:rPr>
          <w:rFonts w:ascii="Times New Roman" w:hAnsi="Times New Roman" w:cs="Times New Roman"/>
          <w:lang w:val="de-DE"/>
        </w:rPr>
      </w:pPr>
    </w:p>
    <w:p w14:paraId="59FAB91A" w14:textId="77777777" w:rsidR="00276556" w:rsidRDefault="00276556" w:rsidP="00276556">
      <w:pPr>
        <w:spacing w:line="360" w:lineRule="auto"/>
        <w:jc w:val="both"/>
        <w:rPr>
          <w:rFonts w:ascii="Times New Roman" w:hAnsi="Times New Roman" w:cs="Times New Roman"/>
          <w:lang w:val="de-DE"/>
        </w:rPr>
      </w:pPr>
    </w:p>
    <w:p w14:paraId="029BF0D7" w14:textId="77777777" w:rsidR="00276556" w:rsidRDefault="00276556" w:rsidP="00276556">
      <w:pPr>
        <w:spacing w:line="360" w:lineRule="auto"/>
        <w:jc w:val="both"/>
        <w:rPr>
          <w:rFonts w:ascii="Times New Roman" w:hAnsi="Times New Roman" w:cs="Times New Roman"/>
          <w:lang w:val="de-DE"/>
        </w:rPr>
      </w:pPr>
    </w:p>
    <w:p w14:paraId="33732C24" w14:textId="77777777" w:rsidR="00276556" w:rsidRDefault="00276556" w:rsidP="00276556">
      <w:pPr>
        <w:spacing w:line="360" w:lineRule="auto"/>
        <w:jc w:val="both"/>
        <w:rPr>
          <w:rFonts w:ascii="Times New Roman" w:hAnsi="Times New Roman" w:cs="Times New Roman"/>
          <w:lang w:val="de-DE"/>
        </w:rPr>
      </w:pPr>
    </w:p>
    <w:p w14:paraId="64713838" w14:textId="77777777" w:rsidR="00276556" w:rsidRDefault="00276556" w:rsidP="00276556">
      <w:pPr>
        <w:spacing w:line="360" w:lineRule="auto"/>
        <w:jc w:val="both"/>
        <w:rPr>
          <w:rFonts w:ascii="Times New Roman" w:hAnsi="Times New Roman" w:cs="Times New Roman"/>
          <w:lang w:val="de-DE"/>
        </w:rPr>
      </w:pPr>
    </w:p>
    <w:p w14:paraId="6686B6B3" w14:textId="77777777" w:rsidR="00276556" w:rsidRDefault="00276556" w:rsidP="00276556">
      <w:pPr>
        <w:spacing w:line="360" w:lineRule="auto"/>
        <w:jc w:val="both"/>
        <w:rPr>
          <w:rFonts w:ascii="Times New Roman" w:hAnsi="Times New Roman" w:cs="Times New Roman"/>
          <w:lang w:val="de-DE"/>
        </w:rPr>
      </w:pPr>
    </w:p>
    <w:p w14:paraId="591BE29E" w14:textId="77777777" w:rsidR="00276556" w:rsidRDefault="00276556" w:rsidP="00276556">
      <w:pPr>
        <w:spacing w:line="360" w:lineRule="auto"/>
        <w:jc w:val="both"/>
        <w:rPr>
          <w:rFonts w:ascii="Times New Roman" w:hAnsi="Times New Roman" w:cs="Times New Roman"/>
          <w:lang w:val="de-DE"/>
        </w:rPr>
      </w:pPr>
    </w:p>
    <w:p w14:paraId="1DD1AF54" w14:textId="77777777" w:rsidR="00276556" w:rsidRDefault="00276556" w:rsidP="00276556">
      <w:pPr>
        <w:spacing w:line="360" w:lineRule="auto"/>
        <w:jc w:val="both"/>
        <w:rPr>
          <w:rFonts w:ascii="Times New Roman" w:hAnsi="Times New Roman" w:cs="Times New Roman"/>
          <w:lang w:val="de-DE"/>
        </w:rPr>
      </w:pPr>
    </w:p>
    <w:p w14:paraId="103FDA86" w14:textId="77777777" w:rsidR="00276556" w:rsidRDefault="00276556" w:rsidP="00276556">
      <w:pPr>
        <w:spacing w:line="360" w:lineRule="auto"/>
        <w:jc w:val="both"/>
        <w:rPr>
          <w:rFonts w:ascii="Times New Roman" w:hAnsi="Times New Roman" w:cs="Times New Roman"/>
          <w:lang w:val="de-DE"/>
        </w:rPr>
      </w:pPr>
    </w:p>
    <w:p w14:paraId="7CAEF236" w14:textId="77777777" w:rsidR="00276556" w:rsidRDefault="00276556" w:rsidP="00276556">
      <w:pPr>
        <w:spacing w:line="360" w:lineRule="auto"/>
        <w:jc w:val="both"/>
        <w:rPr>
          <w:rFonts w:ascii="Times New Roman" w:hAnsi="Times New Roman" w:cs="Times New Roman"/>
          <w:lang w:val="de-DE"/>
        </w:rPr>
      </w:pPr>
    </w:p>
    <w:p w14:paraId="5E8EEFE9" w14:textId="77777777" w:rsidR="00276556" w:rsidRDefault="00276556" w:rsidP="00276556">
      <w:pPr>
        <w:spacing w:line="360" w:lineRule="auto"/>
        <w:jc w:val="both"/>
        <w:rPr>
          <w:rFonts w:ascii="Times New Roman" w:hAnsi="Times New Roman" w:cs="Times New Roman"/>
          <w:lang w:val="de-DE"/>
        </w:rPr>
      </w:pPr>
    </w:p>
    <w:p w14:paraId="2C96A5DF" w14:textId="77777777" w:rsidR="00276556" w:rsidRDefault="00276556" w:rsidP="00276556">
      <w:pPr>
        <w:spacing w:line="360" w:lineRule="auto"/>
        <w:jc w:val="both"/>
        <w:rPr>
          <w:rFonts w:ascii="Times New Roman" w:hAnsi="Times New Roman" w:cs="Times New Roman"/>
          <w:lang w:val="de-DE"/>
        </w:rPr>
      </w:pPr>
    </w:p>
    <w:p w14:paraId="2A6628E4" w14:textId="77777777" w:rsidR="00276556" w:rsidRDefault="00276556" w:rsidP="00276556">
      <w:pPr>
        <w:spacing w:line="360" w:lineRule="auto"/>
        <w:jc w:val="both"/>
        <w:rPr>
          <w:rFonts w:ascii="Times New Roman" w:hAnsi="Times New Roman" w:cs="Times New Roman"/>
          <w:lang w:val="de-DE"/>
        </w:rPr>
      </w:pPr>
    </w:p>
    <w:p w14:paraId="4F11F9DA" w14:textId="77777777" w:rsidR="00276556" w:rsidRDefault="00276556" w:rsidP="00276556">
      <w:pPr>
        <w:spacing w:line="360" w:lineRule="auto"/>
        <w:jc w:val="both"/>
        <w:rPr>
          <w:rFonts w:ascii="Times New Roman" w:hAnsi="Times New Roman" w:cs="Times New Roman"/>
          <w:lang w:val="de-DE"/>
        </w:rPr>
      </w:pPr>
    </w:p>
    <w:p w14:paraId="38F49572" w14:textId="77777777" w:rsidR="00A4288C" w:rsidRDefault="00A4288C" w:rsidP="00276556">
      <w:pPr>
        <w:spacing w:line="360" w:lineRule="auto"/>
        <w:jc w:val="both"/>
        <w:rPr>
          <w:rFonts w:ascii="Times New Roman" w:hAnsi="Times New Roman" w:cs="Times New Roman"/>
          <w:lang w:val="de-DE"/>
        </w:rPr>
      </w:pPr>
    </w:p>
    <w:p w14:paraId="06B1CD59" w14:textId="77777777" w:rsidR="006C0B44" w:rsidRDefault="006C0B44" w:rsidP="003968E0">
      <w:pPr>
        <w:spacing w:line="360" w:lineRule="auto"/>
        <w:jc w:val="both"/>
        <w:rPr>
          <w:lang w:val="de-DE"/>
        </w:rPr>
      </w:pPr>
    </w:p>
    <w:p w14:paraId="63B9EC28" w14:textId="77777777" w:rsidR="003968E0" w:rsidRPr="00E41A9B" w:rsidRDefault="003968E0" w:rsidP="003968E0">
      <w:pPr>
        <w:spacing w:line="360" w:lineRule="auto"/>
        <w:jc w:val="both"/>
        <w:rPr>
          <w:rFonts w:ascii="Times New Roman" w:hAnsi="Times New Roman" w:cs="Times New Roman"/>
          <w:b/>
          <w:sz w:val="28"/>
          <w:szCs w:val="28"/>
        </w:rPr>
      </w:pPr>
      <w:r w:rsidRPr="00E41A9B">
        <w:rPr>
          <w:rFonts w:ascii="Times New Roman" w:hAnsi="Times New Roman" w:cs="Times New Roman"/>
          <w:b/>
          <w:sz w:val="28"/>
          <w:szCs w:val="28"/>
        </w:rPr>
        <w:t>Introduzione</w:t>
      </w:r>
    </w:p>
    <w:p w14:paraId="6EA59711" w14:textId="77777777" w:rsidR="003968E0" w:rsidRPr="00037592" w:rsidRDefault="003968E0" w:rsidP="003968E0">
      <w:pPr>
        <w:spacing w:line="360" w:lineRule="auto"/>
        <w:jc w:val="both"/>
        <w:rPr>
          <w:rFonts w:ascii="Times New Roman" w:hAnsi="Times New Roman" w:cs="Times New Roman"/>
        </w:rPr>
      </w:pPr>
    </w:p>
    <w:p w14:paraId="0E2B6844" w14:textId="1229BB10" w:rsidR="00720DCD" w:rsidRPr="007A73A9" w:rsidRDefault="003968E0" w:rsidP="009758AF">
      <w:pPr>
        <w:spacing w:line="360" w:lineRule="auto"/>
        <w:ind w:firstLine="567"/>
        <w:jc w:val="both"/>
        <w:rPr>
          <w:rFonts w:ascii="Times New Roman" w:hAnsi="Times New Roman" w:cs="Times New Roman"/>
        </w:rPr>
      </w:pPr>
      <w:r w:rsidRPr="00AD6F92">
        <w:rPr>
          <w:rFonts w:ascii="Times New Roman" w:hAnsi="Times New Roman" w:cs="Times New Roman"/>
        </w:rPr>
        <w:t xml:space="preserve">A partire dalla pubblicazione del testo </w:t>
      </w:r>
      <w:r w:rsidRPr="00AD6F92">
        <w:rPr>
          <w:rFonts w:ascii="Times New Roman" w:hAnsi="Times New Roman" w:cs="Times New Roman"/>
          <w:i/>
        </w:rPr>
        <w:t xml:space="preserve">Empiricism and the Philosophy of Mind </w:t>
      </w:r>
      <w:r w:rsidRPr="00AD6F92">
        <w:rPr>
          <w:rFonts w:ascii="Times New Roman" w:hAnsi="Times New Roman" w:cs="Times New Roman"/>
        </w:rPr>
        <w:t>nel 1956</w:t>
      </w:r>
      <w:r w:rsidRPr="00AD6F92">
        <w:rPr>
          <w:rStyle w:val="Rimandonotaapidipagina"/>
          <w:rFonts w:ascii="Times New Roman" w:hAnsi="Times New Roman" w:cs="Times New Roman"/>
        </w:rPr>
        <w:footnoteReference w:id="1"/>
      </w:r>
      <w:r w:rsidR="00361620">
        <w:rPr>
          <w:rFonts w:ascii="Times New Roman" w:hAnsi="Times New Roman" w:cs="Times New Roman"/>
        </w:rPr>
        <w:t>, si è registrato</w:t>
      </w:r>
      <w:r w:rsidR="00AD6F92" w:rsidRPr="00AD6F92">
        <w:rPr>
          <w:rFonts w:ascii="Times New Roman" w:hAnsi="Times New Roman" w:cs="Times New Roman"/>
        </w:rPr>
        <w:t>,</w:t>
      </w:r>
      <w:r w:rsidR="00A767C7">
        <w:rPr>
          <w:rFonts w:ascii="Times New Roman" w:hAnsi="Times New Roman" w:cs="Times New Roman"/>
        </w:rPr>
        <w:t xml:space="preserve"> </w:t>
      </w:r>
      <w:r w:rsidR="005D2B26">
        <w:rPr>
          <w:rFonts w:ascii="Times New Roman" w:hAnsi="Times New Roman" w:cs="Times New Roman"/>
        </w:rPr>
        <w:t xml:space="preserve">nel </w:t>
      </w:r>
      <w:r w:rsidRPr="00AD6F92">
        <w:rPr>
          <w:rFonts w:ascii="Times New Roman" w:hAnsi="Times New Roman" w:cs="Times New Roman"/>
        </w:rPr>
        <w:t>mondo accademico statunitense</w:t>
      </w:r>
      <w:r w:rsidR="00AD6F92" w:rsidRPr="00AD6F92">
        <w:rPr>
          <w:rFonts w:ascii="Times New Roman" w:hAnsi="Times New Roman" w:cs="Times New Roman"/>
        </w:rPr>
        <w:t>,</w:t>
      </w:r>
      <w:r w:rsidR="00361620">
        <w:rPr>
          <w:rFonts w:ascii="Times New Roman" w:hAnsi="Times New Roman" w:cs="Times New Roman"/>
        </w:rPr>
        <w:t xml:space="preserve"> un aumento</w:t>
      </w:r>
      <w:r w:rsidRPr="00AD6F92">
        <w:rPr>
          <w:rFonts w:ascii="Times New Roman" w:hAnsi="Times New Roman" w:cs="Times New Roman"/>
        </w:rPr>
        <w:t xml:space="preserve"> esponenziale degli studi dedicati al pensiero </w:t>
      </w:r>
      <w:r w:rsidR="006C0B44">
        <w:rPr>
          <w:rFonts w:ascii="Times New Roman" w:hAnsi="Times New Roman" w:cs="Times New Roman"/>
        </w:rPr>
        <w:t>di Hegel</w:t>
      </w:r>
      <w:r w:rsidR="0063336B" w:rsidRPr="00AD6F92">
        <w:rPr>
          <w:rStyle w:val="Rimandonotaapidipagina"/>
          <w:rFonts w:ascii="Times New Roman" w:hAnsi="Times New Roman" w:cs="Times New Roman"/>
        </w:rPr>
        <w:footnoteReference w:id="2"/>
      </w:r>
      <w:r w:rsidRPr="00AD6F92">
        <w:rPr>
          <w:rFonts w:ascii="Times New Roman" w:hAnsi="Times New Roman" w:cs="Times New Roman"/>
        </w:rPr>
        <w:t xml:space="preserve">. </w:t>
      </w:r>
      <w:r w:rsidR="00442972" w:rsidRPr="00AD6F92">
        <w:rPr>
          <w:rFonts w:ascii="Times New Roman" w:hAnsi="Times New Roman" w:cs="Times New Roman"/>
        </w:rPr>
        <w:t xml:space="preserve">A </w:t>
      </w:r>
      <w:r w:rsidR="004257D8" w:rsidRPr="00AD6F92">
        <w:rPr>
          <w:rFonts w:ascii="Times New Roman" w:hAnsi="Times New Roman" w:cs="Times New Roman"/>
        </w:rPr>
        <w:t>testimonianza del</w:t>
      </w:r>
      <w:r w:rsidR="001A54BD" w:rsidRPr="00AD6F92">
        <w:rPr>
          <w:rFonts w:ascii="Times New Roman" w:hAnsi="Times New Roman" w:cs="Times New Roman"/>
        </w:rPr>
        <w:t xml:space="preserve">l’interessamento </w:t>
      </w:r>
      <w:r w:rsidR="00442972" w:rsidRPr="00AD6F92">
        <w:rPr>
          <w:rFonts w:ascii="Times New Roman" w:hAnsi="Times New Roman" w:cs="Times New Roman"/>
        </w:rPr>
        <w:t xml:space="preserve">europeo </w:t>
      </w:r>
      <w:r w:rsidR="001A54BD" w:rsidRPr="00AD6F92">
        <w:rPr>
          <w:rFonts w:ascii="Times New Roman" w:hAnsi="Times New Roman" w:cs="Times New Roman"/>
        </w:rPr>
        <w:t>per</w:t>
      </w:r>
      <w:r w:rsidR="004257D8" w:rsidRPr="00AD6F92">
        <w:rPr>
          <w:rFonts w:ascii="Times New Roman" w:hAnsi="Times New Roman" w:cs="Times New Roman"/>
        </w:rPr>
        <w:t xml:space="preserve"> questo filone interpretativo dell’opera</w:t>
      </w:r>
      <w:r w:rsidR="00A767C7">
        <w:rPr>
          <w:rFonts w:ascii="Times New Roman" w:hAnsi="Times New Roman" w:cs="Times New Roman"/>
        </w:rPr>
        <w:t xml:space="preserve"> di Hegel</w:t>
      </w:r>
      <w:r w:rsidR="0053111B" w:rsidRPr="00AD6F92">
        <w:rPr>
          <w:rFonts w:ascii="Times New Roman" w:hAnsi="Times New Roman" w:cs="Times New Roman"/>
        </w:rPr>
        <w:t>, si possono ricordare</w:t>
      </w:r>
      <w:r w:rsidR="001A54BD" w:rsidRPr="00AD6F92">
        <w:rPr>
          <w:rFonts w:ascii="Times New Roman" w:hAnsi="Times New Roman" w:cs="Times New Roman"/>
        </w:rPr>
        <w:t xml:space="preserve"> </w:t>
      </w:r>
      <w:r w:rsidR="004257D8" w:rsidRPr="00AD6F92">
        <w:rPr>
          <w:rFonts w:ascii="Times New Roman" w:hAnsi="Times New Roman" w:cs="Times New Roman"/>
        </w:rPr>
        <w:t xml:space="preserve">i lavori di Stephen Houlgate, </w:t>
      </w:r>
      <w:r w:rsidR="004257D8" w:rsidRPr="00AD6F92">
        <w:rPr>
          <w:rFonts w:ascii="Times New Roman" w:hAnsi="Times New Roman" w:cs="Times New Roman"/>
          <w:i/>
        </w:rPr>
        <w:t>The Opening of Hegel’s Logic</w:t>
      </w:r>
      <w:r w:rsidR="004257D8" w:rsidRPr="00AD6F92">
        <w:rPr>
          <w:rFonts w:ascii="Times New Roman" w:hAnsi="Times New Roman" w:cs="Times New Roman"/>
        </w:rPr>
        <w:t>, e Alfredo Ferrarin,</w:t>
      </w:r>
      <w:r w:rsidR="004257D8" w:rsidRPr="00AD6F92">
        <w:rPr>
          <w:rFonts w:ascii="Times New Roman" w:hAnsi="Times New Roman" w:cs="Times New Roman"/>
          <w:i/>
        </w:rPr>
        <w:t xml:space="preserve"> Thinking and the I</w:t>
      </w:r>
      <w:r w:rsidR="004257D8" w:rsidRPr="00AD6F92">
        <w:rPr>
          <w:rFonts w:ascii="Times New Roman" w:hAnsi="Times New Roman" w:cs="Times New Roman"/>
        </w:rPr>
        <w:t xml:space="preserve">, che hanno </w:t>
      </w:r>
      <w:r w:rsidR="001A54BD" w:rsidRPr="00AD6F92">
        <w:rPr>
          <w:rFonts w:ascii="Times New Roman" w:hAnsi="Times New Roman" w:cs="Times New Roman"/>
        </w:rPr>
        <w:t xml:space="preserve">stimolato </w:t>
      </w:r>
      <w:r w:rsidR="0053111B" w:rsidRPr="00AD6F92">
        <w:rPr>
          <w:rFonts w:ascii="Times New Roman" w:hAnsi="Times New Roman" w:cs="Times New Roman"/>
        </w:rPr>
        <w:t xml:space="preserve">– anche grazie al loro atteggiamento critico – </w:t>
      </w:r>
      <w:r w:rsidR="001A54BD" w:rsidRPr="00AD6F92">
        <w:rPr>
          <w:rFonts w:ascii="Times New Roman" w:hAnsi="Times New Roman" w:cs="Times New Roman"/>
        </w:rPr>
        <w:t>una</w:t>
      </w:r>
      <w:r w:rsidR="004257D8" w:rsidRPr="00AD6F92">
        <w:rPr>
          <w:rFonts w:ascii="Times New Roman" w:hAnsi="Times New Roman" w:cs="Times New Roman"/>
        </w:rPr>
        <w:t xml:space="preserve"> </w:t>
      </w:r>
      <w:r w:rsidR="0053111B" w:rsidRPr="00AD6F92">
        <w:rPr>
          <w:rFonts w:ascii="Times New Roman" w:hAnsi="Times New Roman" w:cs="Times New Roman"/>
        </w:rPr>
        <w:t>discussione</w:t>
      </w:r>
      <w:r w:rsidR="004257D8" w:rsidRPr="00AD6F92">
        <w:rPr>
          <w:rFonts w:ascii="Times New Roman" w:hAnsi="Times New Roman" w:cs="Times New Roman"/>
        </w:rPr>
        <w:t xml:space="preserve"> delle posizioni teoriche</w:t>
      </w:r>
      <w:r w:rsidR="005F607F" w:rsidRPr="00AD6F92">
        <w:rPr>
          <w:rFonts w:ascii="Times New Roman" w:hAnsi="Times New Roman" w:cs="Times New Roman"/>
        </w:rPr>
        <w:t xml:space="preserve"> </w:t>
      </w:r>
      <w:r w:rsidR="001A54BD" w:rsidRPr="00AD6F92">
        <w:rPr>
          <w:rFonts w:ascii="Times New Roman" w:hAnsi="Times New Roman" w:cs="Times New Roman"/>
        </w:rPr>
        <w:t>assunte da</w:t>
      </w:r>
      <w:r w:rsidR="005F607F" w:rsidRPr="00AD6F92">
        <w:rPr>
          <w:rFonts w:ascii="Times New Roman" w:hAnsi="Times New Roman" w:cs="Times New Roman"/>
        </w:rPr>
        <w:t xml:space="preserve"> alcuni </w:t>
      </w:r>
      <w:r w:rsidR="004257D8" w:rsidRPr="00AD6F92">
        <w:rPr>
          <w:rFonts w:ascii="Times New Roman" w:hAnsi="Times New Roman" w:cs="Times New Roman"/>
        </w:rPr>
        <w:t xml:space="preserve">dei maggiori esponenti dello hegelismo </w:t>
      </w:r>
      <w:r w:rsidR="009758AF">
        <w:rPr>
          <w:rFonts w:ascii="Times New Roman" w:hAnsi="Times New Roman" w:cs="Times New Roman"/>
        </w:rPr>
        <w:t>statunitense</w:t>
      </w:r>
      <w:r w:rsidR="004257D8" w:rsidRPr="00AD6F92">
        <w:rPr>
          <w:rFonts w:ascii="Times New Roman" w:hAnsi="Times New Roman" w:cs="Times New Roman"/>
        </w:rPr>
        <w:t xml:space="preserve"> (Robert Brando</w:t>
      </w:r>
      <w:r w:rsidR="004257D8" w:rsidRPr="005D2B26">
        <w:rPr>
          <w:rFonts w:ascii="Times New Roman" w:hAnsi="Times New Roman" w:cs="Times New Roman"/>
        </w:rPr>
        <w:t>m</w:t>
      </w:r>
      <w:r w:rsidR="004257D8" w:rsidRPr="00AD6F92">
        <w:rPr>
          <w:rFonts w:ascii="Times New Roman" w:hAnsi="Times New Roman" w:cs="Times New Roman"/>
        </w:rPr>
        <w:t xml:space="preserve"> e Robert </w:t>
      </w:r>
      <w:r w:rsidR="004257D8" w:rsidRPr="00E244E7">
        <w:rPr>
          <w:rFonts w:ascii="Times New Roman" w:hAnsi="Times New Roman" w:cs="Times New Roman"/>
        </w:rPr>
        <w:t>Pippin)</w:t>
      </w:r>
      <w:r w:rsidR="004257D8" w:rsidRPr="00E244E7">
        <w:rPr>
          <w:rStyle w:val="Rimandonotaapidipagina"/>
          <w:rFonts w:ascii="Times New Roman" w:hAnsi="Times New Roman" w:cs="Times New Roman"/>
        </w:rPr>
        <w:footnoteReference w:id="3"/>
      </w:r>
      <w:r w:rsidR="00720DCD" w:rsidRPr="00E244E7">
        <w:rPr>
          <w:rFonts w:ascii="Times New Roman" w:hAnsi="Times New Roman" w:cs="Times New Roman"/>
        </w:rPr>
        <w:t xml:space="preserve">. </w:t>
      </w:r>
      <w:r w:rsidR="00A767C7">
        <w:rPr>
          <w:rFonts w:ascii="Times New Roman" w:hAnsi="Times New Roman" w:cs="Times New Roman"/>
        </w:rPr>
        <w:t xml:space="preserve">Di questa </w:t>
      </w:r>
      <w:r w:rsidR="0033059C" w:rsidRPr="00E244E7">
        <w:rPr>
          <w:rFonts w:ascii="Times New Roman" w:hAnsi="Times New Roman" w:cs="Times New Roman"/>
        </w:rPr>
        <w:t xml:space="preserve">interazione </w:t>
      </w:r>
      <w:r w:rsidR="00720DCD" w:rsidRPr="00E244E7">
        <w:rPr>
          <w:rFonts w:ascii="Times New Roman" w:hAnsi="Times New Roman" w:cs="Times New Roman"/>
        </w:rPr>
        <w:t>fra filosofia americana e continentale</w:t>
      </w:r>
      <w:r w:rsidR="004257D8" w:rsidRPr="00E244E7">
        <w:rPr>
          <w:rFonts w:ascii="Times New Roman" w:hAnsi="Times New Roman" w:cs="Times New Roman"/>
        </w:rPr>
        <w:t>,</w:t>
      </w:r>
      <w:r w:rsidR="00A767C7">
        <w:rPr>
          <w:rFonts w:ascii="Times New Roman" w:hAnsi="Times New Roman" w:cs="Times New Roman"/>
        </w:rPr>
        <w:t xml:space="preserve"> è </w:t>
      </w:r>
      <w:r w:rsidR="00B71E93" w:rsidRPr="00E244E7">
        <w:rPr>
          <w:rFonts w:ascii="Times New Roman" w:hAnsi="Times New Roman" w:cs="Times New Roman"/>
        </w:rPr>
        <w:t xml:space="preserve">risultato </w:t>
      </w:r>
      <w:r w:rsidR="0033059C" w:rsidRPr="00E244E7">
        <w:rPr>
          <w:rFonts w:ascii="Times New Roman" w:hAnsi="Times New Roman" w:cs="Times New Roman"/>
        </w:rPr>
        <w:t xml:space="preserve">significativo </w:t>
      </w:r>
      <w:r w:rsidR="004938A0">
        <w:rPr>
          <w:rFonts w:ascii="Times New Roman" w:hAnsi="Times New Roman" w:cs="Times New Roman"/>
        </w:rPr>
        <w:t xml:space="preserve">lo </w:t>
      </w:r>
      <w:r w:rsidR="00361620">
        <w:rPr>
          <w:rFonts w:ascii="Times New Roman" w:hAnsi="Times New Roman" w:cs="Times New Roman"/>
        </w:rPr>
        <w:t>scritt</w:t>
      </w:r>
      <w:r w:rsidR="00720DCD" w:rsidRPr="00E244E7">
        <w:rPr>
          <w:rFonts w:ascii="Times New Roman" w:hAnsi="Times New Roman" w:cs="Times New Roman"/>
        </w:rPr>
        <w:t xml:space="preserve">o </w:t>
      </w:r>
      <w:r w:rsidR="004257D8" w:rsidRPr="00E244E7">
        <w:rPr>
          <w:rFonts w:ascii="Times New Roman" w:hAnsi="Times New Roman" w:cs="Times New Roman"/>
        </w:rPr>
        <w:t xml:space="preserve">di Robert Pippin, </w:t>
      </w:r>
      <w:r w:rsidR="004257D8" w:rsidRPr="00E244E7">
        <w:rPr>
          <w:rFonts w:ascii="Times New Roman" w:hAnsi="Times New Roman" w:cs="Times New Roman"/>
          <w:i/>
        </w:rPr>
        <w:t>Hegel’s realm of shadows</w:t>
      </w:r>
      <w:r w:rsidR="004938A0">
        <w:rPr>
          <w:rFonts w:ascii="Times New Roman" w:hAnsi="Times New Roman" w:cs="Times New Roman"/>
        </w:rPr>
        <w:t xml:space="preserve"> (2019)</w:t>
      </w:r>
      <w:r w:rsidR="0053111B" w:rsidRPr="00E244E7">
        <w:rPr>
          <w:rFonts w:ascii="Times New Roman" w:hAnsi="Times New Roman" w:cs="Times New Roman"/>
        </w:rPr>
        <w:t>, in cui è offerta</w:t>
      </w:r>
      <w:r w:rsidR="004257D8" w:rsidRPr="00E244E7">
        <w:rPr>
          <w:rFonts w:ascii="Times New Roman" w:hAnsi="Times New Roman" w:cs="Times New Roman"/>
        </w:rPr>
        <w:t xml:space="preserve"> un</w:t>
      </w:r>
      <w:r w:rsidR="0053111B" w:rsidRPr="00E244E7">
        <w:rPr>
          <w:rFonts w:ascii="Times New Roman" w:hAnsi="Times New Roman" w:cs="Times New Roman"/>
        </w:rPr>
        <w:t>a r</w:t>
      </w:r>
      <w:r w:rsidR="00BD10D9">
        <w:rPr>
          <w:rFonts w:ascii="Times New Roman" w:hAnsi="Times New Roman" w:cs="Times New Roman"/>
        </w:rPr>
        <w:t>evisione</w:t>
      </w:r>
      <w:r w:rsidR="0053111B" w:rsidRPr="00E244E7">
        <w:rPr>
          <w:rFonts w:ascii="Times New Roman" w:hAnsi="Times New Roman" w:cs="Times New Roman"/>
        </w:rPr>
        <w:t xml:space="preserve"> </w:t>
      </w:r>
      <w:r w:rsidR="00DD0D38">
        <w:rPr>
          <w:rFonts w:ascii="Times New Roman" w:hAnsi="Times New Roman" w:cs="Times New Roman"/>
        </w:rPr>
        <w:t>(</w:t>
      </w:r>
      <w:r w:rsidR="00AD6F92" w:rsidRPr="00E244E7">
        <w:rPr>
          <w:rFonts w:ascii="Times New Roman" w:hAnsi="Times New Roman" w:cs="Times New Roman"/>
        </w:rPr>
        <w:t>parziale</w:t>
      </w:r>
      <w:r w:rsidR="00DD0D38">
        <w:rPr>
          <w:rFonts w:ascii="Times New Roman" w:hAnsi="Times New Roman" w:cs="Times New Roman"/>
        </w:rPr>
        <w:t>)</w:t>
      </w:r>
      <w:r w:rsidR="00AD6F92" w:rsidRPr="00E244E7">
        <w:rPr>
          <w:rFonts w:ascii="Times New Roman" w:hAnsi="Times New Roman" w:cs="Times New Roman"/>
        </w:rPr>
        <w:t xml:space="preserve"> </w:t>
      </w:r>
      <w:r w:rsidR="00DD0D38">
        <w:rPr>
          <w:rFonts w:ascii="Times New Roman" w:hAnsi="Times New Roman" w:cs="Times New Roman"/>
        </w:rPr>
        <w:t xml:space="preserve">in chiave metafisica </w:t>
      </w:r>
      <w:r w:rsidR="004257D8" w:rsidRPr="00E244E7">
        <w:rPr>
          <w:rFonts w:ascii="Times New Roman" w:hAnsi="Times New Roman" w:cs="Times New Roman"/>
        </w:rPr>
        <w:t xml:space="preserve">della </w:t>
      </w:r>
      <w:r w:rsidR="00DD0D38">
        <w:rPr>
          <w:rFonts w:ascii="Times New Roman" w:hAnsi="Times New Roman" w:cs="Times New Roman"/>
        </w:rPr>
        <w:t xml:space="preserve">precedente </w:t>
      </w:r>
      <w:r w:rsidR="004257D8" w:rsidRPr="00E244E7">
        <w:rPr>
          <w:rFonts w:ascii="Times New Roman" w:hAnsi="Times New Roman" w:cs="Times New Roman"/>
        </w:rPr>
        <w:t>lettura tra</w:t>
      </w:r>
      <w:r w:rsidR="00720DCD" w:rsidRPr="00E244E7">
        <w:rPr>
          <w:rFonts w:ascii="Times New Roman" w:hAnsi="Times New Roman" w:cs="Times New Roman"/>
        </w:rPr>
        <w:t>scendentale –</w:t>
      </w:r>
      <w:r w:rsidR="00DD0D38">
        <w:rPr>
          <w:rFonts w:ascii="Times New Roman" w:hAnsi="Times New Roman" w:cs="Times New Roman"/>
        </w:rPr>
        <w:t xml:space="preserve"> </w:t>
      </w:r>
      <w:r w:rsidR="00720DCD" w:rsidRPr="00E244E7">
        <w:rPr>
          <w:rFonts w:ascii="Times New Roman" w:hAnsi="Times New Roman" w:cs="Times New Roman"/>
        </w:rPr>
        <w:t xml:space="preserve">sviluppata </w:t>
      </w:r>
      <w:r w:rsidR="00AE2205">
        <w:rPr>
          <w:rFonts w:ascii="Times New Roman" w:hAnsi="Times New Roman" w:cs="Times New Roman"/>
        </w:rPr>
        <w:t xml:space="preserve">dallo stesso </w:t>
      </w:r>
      <w:r w:rsidR="00021560">
        <w:rPr>
          <w:rFonts w:ascii="Times New Roman" w:hAnsi="Times New Roman" w:cs="Times New Roman"/>
        </w:rPr>
        <w:t>autore</w:t>
      </w:r>
      <w:r w:rsidR="00DD0D38">
        <w:rPr>
          <w:rFonts w:ascii="Times New Roman" w:hAnsi="Times New Roman" w:cs="Times New Roman"/>
        </w:rPr>
        <w:t xml:space="preserve"> </w:t>
      </w:r>
      <w:r w:rsidR="004257D8" w:rsidRPr="00E244E7">
        <w:rPr>
          <w:rFonts w:ascii="Times New Roman" w:hAnsi="Times New Roman" w:cs="Times New Roman"/>
        </w:rPr>
        <w:t xml:space="preserve">in </w:t>
      </w:r>
      <w:r w:rsidR="004257D8" w:rsidRPr="00E244E7">
        <w:rPr>
          <w:rFonts w:ascii="Times New Roman" w:hAnsi="Times New Roman" w:cs="Times New Roman"/>
          <w:i/>
        </w:rPr>
        <w:t xml:space="preserve">Hegel’s </w:t>
      </w:r>
      <w:r w:rsidR="004257D8" w:rsidRPr="007A73A9">
        <w:rPr>
          <w:rFonts w:ascii="Times New Roman" w:hAnsi="Times New Roman" w:cs="Times New Roman"/>
          <w:i/>
        </w:rPr>
        <w:t>Idealism: The Satisfaction of Self-Consciousness</w:t>
      </w:r>
      <w:r w:rsidR="004257D8" w:rsidRPr="007A73A9">
        <w:rPr>
          <w:rStyle w:val="Rimandonotaapidipagina"/>
          <w:rFonts w:ascii="Times New Roman" w:hAnsi="Times New Roman" w:cs="Times New Roman"/>
        </w:rPr>
        <w:footnoteReference w:id="4"/>
      </w:r>
      <w:r w:rsidR="004257D8" w:rsidRPr="007A73A9">
        <w:rPr>
          <w:rFonts w:ascii="Times New Roman" w:hAnsi="Times New Roman" w:cs="Times New Roman"/>
          <w:i/>
        </w:rPr>
        <w:t xml:space="preserve"> </w:t>
      </w:r>
      <w:r w:rsidR="004257D8" w:rsidRPr="007A73A9">
        <w:rPr>
          <w:rFonts w:ascii="Times New Roman" w:hAnsi="Times New Roman" w:cs="Times New Roman"/>
        </w:rPr>
        <w:t>– della logica hegeliana</w:t>
      </w:r>
      <w:r w:rsidR="005D2B26" w:rsidRPr="007A73A9">
        <w:rPr>
          <w:rStyle w:val="Rimandonotaapidipagina"/>
          <w:rFonts w:ascii="Times New Roman" w:hAnsi="Times New Roman" w:cs="Times New Roman"/>
          <w:i/>
        </w:rPr>
        <w:footnoteReference w:id="5"/>
      </w:r>
      <w:r w:rsidR="004257D8" w:rsidRPr="007A73A9">
        <w:rPr>
          <w:rFonts w:ascii="Times New Roman" w:hAnsi="Times New Roman" w:cs="Times New Roman"/>
        </w:rPr>
        <w:t>.</w:t>
      </w:r>
    </w:p>
    <w:p w14:paraId="1D0FAD1A" w14:textId="37D25EF4" w:rsidR="00442972" w:rsidRPr="007A73A9" w:rsidRDefault="00A53AD7" w:rsidP="00DB59EB">
      <w:pPr>
        <w:spacing w:line="360" w:lineRule="auto"/>
        <w:ind w:firstLine="567"/>
        <w:jc w:val="both"/>
        <w:rPr>
          <w:rFonts w:ascii="Times New Roman" w:hAnsi="Times New Roman" w:cs="Times New Roman"/>
        </w:rPr>
      </w:pPr>
      <w:r w:rsidRPr="007A73A9">
        <w:rPr>
          <w:rFonts w:ascii="Times New Roman" w:hAnsi="Times New Roman" w:cs="Times New Roman"/>
        </w:rPr>
        <w:t xml:space="preserve">Un </w:t>
      </w:r>
      <w:r w:rsidR="00E639E2" w:rsidRPr="007A73A9">
        <w:rPr>
          <w:rFonts w:ascii="Times New Roman" w:hAnsi="Times New Roman" w:cs="Times New Roman"/>
        </w:rPr>
        <w:t xml:space="preserve">confronto attivo con la riflessione filosofica d’oltreoceano </w:t>
      </w:r>
      <w:r w:rsidRPr="007A73A9">
        <w:rPr>
          <w:rFonts w:ascii="Times New Roman" w:hAnsi="Times New Roman" w:cs="Times New Roman"/>
        </w:rPr>
        <w:t xml:space="preserve">si </w:t>
      </w:r>
      <w:r w:rsidR="00E639E2" w:rsidRPr="007A73A9">
        <w:rPr>
          <w:rFonts w:ascii="Times New Roman" w:hAnsi="Times New Roman" w:cs="Times New Roman"/>
        </w:rPr>
        <w:t xml:space="preserve">osserva </w:t>
      </w:r>
      <w:r w:rsidRPr="007A73A9">
        <w:rPr>
          <w:rFonts w:ascii="Times New Roman" w:hAnsi="Times New Roman" w:cs="Times New Roman"/>
        </w:rPr>
        <w:t>anche n</w:t>
      </w:r>
      <w:r w:rsidR="00E639E2" w:rsidRPr="007A73A9">
        <w:rPr>
          <w:rFonts w:ascii="Times New Roman" w:hAnsi="Times New Roman" w:cs="Times New Roman"/>
        </w:rPr>
        <w:t xml:space="preserve">egli studi </w:t>
      </w:r>
      <w:r w:rsidR="00BD10D9" w:rsidRPr="007A73A9">
        <w:rPr>
          <w:rFonts w:ascii="Times New Roman" w:hAnsi="Times New Roman" w:cs="Times New Roman"/>
        </w:rPr>
        <w:t xml:space="preserve">continentali </w:t>
      </w:r>
      <w:r w:rsidR="00DB59EB" w:rsidRPr="007A73A9">
        <w:rPr>
          <w:rFonts w:ascii="Times New Roman" w:hAnsi="Times New Roman" w:cs="Times New Roman"/>
        </w:rPr>
        <w:t xml:space="preserve">dedicati alla </w:t>
      </w:r>
      <w:r w:rsidR="00B71E93" w:rsidRPr="007A73A9">
        <w:rPr>
          <w:rFonts w:ascii="Times New Roman" w:hAnsi="Times New Roman" w:cs="Times New Roman"/>
        </w:rPr>
        <w:t>filosofia pratica di Hegel</w:t>
      </w:r>
      <w:r w:rsidR="003968E0" w:rsidRPr="007A73A9">
        <w:rPr>
          <w:rStyle w:val="Rimandonotaapidipagina"/>
          <w:rFonts w:ascii="Times New Roman" w:hAnsi="Times New Roman" w:cs="Times New Roman"/>
        </w:rPr>
        <w:footnoteReference w:id="6"/>
      </w:r>
      <w:r w:rsidR="003968E0" w:rsidRPr="007A73A9">
        <w:rPr>
          <w:rFonts w:ascii="Times New Roman" w:hAnsi="Times New Roman" w:cs="Times New Roman"/>
        </w:rPr>
        <w:t xml:space="preserve">. </w:t>
      </w:r>
      <w:r w:rsidR="0032535D" w:rsidRPr="007A73A9">
        <w:rPr>
          <w:rFonts w:ascii="Times New Roman" w:hAnsi="Times New Roman" w:cs="Times New Roman"/>
        </w:rPr>
        <w:t>Grazie ad</w:t>
      </w:r>
      <w:r w:rsidR="00224631" w:rsidRPr="007A73A9">
        <w:rPr>
          <w:rFonts w:ascii="Times New Roman" w:hAnsi="Times New Roman" w:cs="Times New Roman"/>
        </w:rPr>
        <w:t xml:space="preserve"> un</w:t>
      </w:r>
      <w:r w:rsidR="0032535D" w:rsidRPr="007A73A9">
        <w:rPr>
          <w:rFonts w:ascii="Times New Roman" w:hAnsi="Times New Roman" w:cs="Times New Roman"/>
        </w:rPr>
        <w:t xml:space="preserve"> </w:t>
      </w:r>
      <w:r w:rsidR="00100D57" w:rsidRPr="007A73A9">
        <w:rPr>
          <w:rFonts w:ascii="Times New Roman" w:hAnsi="Times New Roman" w:cs="Times New Roman"/>
        </w:rPr>
        <w:t xml:space="preserve">rapporto osmotico </w:t>
      </w:r>
      <w:r w:rsidR="003968E0" w:rsidRPr="007A73A9">
        <w:rPr>
          <w:rFonts w:ascii="Times New Roman" w:hAnsi="Times New Roman" w:cs="Times New Roman"/>
        </w:rPr>
        <w:t xml:space="preserve">con il proprio interlocutore, </w:t>
      </w:r>
      <w:r w:rsidR="00AD0967" w:rsidRPr="007A73A9">
        <w:rPr>
          <w:rFonts w:ascii="Times New Roman" w:hAnsi="Times New Roman" w:cs="Times New Roman"/>
        </w:rPr>
        <w:t>la</w:t>
      </w:r>
      <w:r w:rsidR="0053111B" w:rsidRPr="007A73A9">
        <w:rPr>
          <w:rFonts w:ascii="Times New Roman" w:hAnsi="Times New Roman" w:cs="Times New Roman"/>
        </w:rPr>
        <w:t xml:space="preserve"> tema</w:t>
      </w:r>
      <w:r w:rsidR="00AD0967" w:rsidRPr="007A73A9">
        <w:rPr>
          <w:rFonts w:ascii="Times New Roman" w:hAnsi="Times New Roman" w:cs="Times New Roman"/>
        </w:rPr>
        <w:t>tica hegeliana</w:t>
      </w:r>
      <w:r w:rsidR="0053111B" w:rsidRPr="007A73A9">
        <w:rPr>
          <w:rFonts w:ascii="Times New Roman" w:hAnsi="Times New Roman" w:cs="Times New Roman"/>
        </w:rPr>
        <w:t xml:space="preserve"> </w:t>
      </w:r>
      <w:r w:rsidR="00DB59EB" w:rsidRPr="007A73A9">
        <w:rPr>
          <w:rFonts w:ascii="Times New Roman" w:hAnsi="Times New Roman" w:cs="Times New Roman"/>
        </w:rPr>
        <w:t>del ricnoscimento, cara</w:t>
      </w:r>
      <w:r w:rsidR="0053111B" w:rsidRPr="007A73A9">
        <w:rPr>
          <w:rFonts w:ascii="Times New Roman" w:hAnsi="Times New Roman" w:cs="Times New Roman"/>
        </w:rPr>
        <w:t xml:space="preserve"> alla Scuola di Francoforte</w:t>
      </w:r>
      <w:r w:rsidR="00DB59EB" w:rsidRPr="007A73A9">
        <w:rPr>
          <w:rFonts w:ascii="Times New Roman" w:hAnsi="Times New Roman" w:cs="Times New Roman"/>
        </w:rPr>
        <w:t xml:space="preserve"> e tutto sommato aliena</w:t>
      </w:r>
      <w:r w:rsidR="0032535D" w:rsidRPr="007A73A9">
        <w:rPr>
          <w:rFonts w:ascii="Times New Roman" w:hAnsi="Times New Roman" w:cs="Times New Roman"/>
        </w:rPr>
        <w:t xml:space="preserve"> dagli orizzonti di ricerca americani,</w:t>
      </w:r>
      <w:r w:rsidR="00AD0967" w:rsidRPr="007A73A9">
        <w:rPr>
          <w:rFonts w:ascii="Times New Roman" w:hAnsi="Times New Roman" w:cs="Times New Roman"/>
        </w:rPr>
        <w:t xml:space="preserve"> </w:t>
      </w:r>
      <w:r w:rsidR="00BD10D9" w:rsidRPr="007A73A9">
        <w:rPr>
          <w:rFonts w:ascii="Times New Roman" w:hAnsi="Times New Roman" w:cs="Times New Roman"/>
        </w:rPr>
        <w:t xml:space="preserve">s’è imposta </w:t>
      </w:r>
      <w:r w:rsidR="004D19DF" w:rsidRPr="007A73A9">
        <w:rPr>
          <w:rFonts w:ascii="Times New Roman" w:hAnsi="Times New Roman" w:cs="Times New Roman"/>
        </w:rPr>
        <w:t>all’attenzione</w:t>
      </w:r>
      <w:r w:rsidR="00F37ABA" w:rsidRPr="007A73A9">
        <w:rPr>
          <w:rFonts w:ascii="Times New Roman" w:hAnsi="Times New Roman" w:cs="Times New Roman"/>
        </w:rPr>
        <w:t xml:space="preserve"> del</w:t>
      </w:r>
      <w:r w:rsidR="004938A0" w:rsidRPr="007A73A9">
        <w:rPr>
          <w:rFonts w:ascii="Times New Roman" w:hAnsi="Times New Roman" w:cs="Times New Roman"/>
        </w:rPr>
        <w:t xml:space="preserve"> più recente</w:t>
      </w:r>
      <w:r w:rsidR="00720DCD" w:rsidRPr="007A73A9">
        <w:rPr>
          <w:rFonts w:ascii="Times New Roman" w:hAnsi="Times New Roman" w:cs="Times New Roman"/>
        </w:rPr>
        <w:t xml:space="preserve"> </w:t>
      </w:r>
      <w:r w:rsidR="00BD10D9" w:rsidRPr="007A73A9">
        <w:rPr>
          <w:rFonts w:ascii="Times New Roman" w:hAnsi="Times New Roman" w:cs="Times New Roman"/>
        </w:rPr>
        <w:t>dibattito filosofico-politico</w:t>
      </w:r>
      <w:r w:rsidR="00442972" w:rsidRPr="007A73A9">
        <w:rPr>
          <w:rFonts w:ascii="Times New Roman" w:hAnsi="Times New Roman" w:cs="Times New Roman"/>
        </w:rPr>
        <w:t xml:space="preserve"> statunitense</w:t>
      </w:r>
      <w:r w:rsidR="003968E0" w:rsidRPr="007A73A9">
        <w:rPr>
          <w:rStyle w:val="Rimandonotaapidipagina"/>
          <w:rFonts w:ascii="Times New Roman" w:hAnsi="Times New Roman" w:cs="Times New Roman"/>
        </w:rPr>
        <w:footnoteReference w:id="7"/>
      </w:r>
      <w:r w:rsidR="003968E0" w:rsidRPr="007A73A9">
        <w:rPr>
          <w:rFonts w:ascii="Times New Roman" w:hAnsi="Times New Roman" w:cs="Times New Roman"/>
        </w:rPr>
        <w:t>.</w:t>
      </w:r>
      <w:r w:rsidR="00442972" w:rsidRPr="007A73A9">
        <w:rPr>
          <w:rFonts w:ascii="Times New Roman" w:hAnsi="Times New Roman" w:cs="Times New Roman"/>
        </w:rPr>
        <w:t xml:space="preserve"> </w:t>
      </w:r>
    </w:p>
    <w:p w14:paraId="0E3AB41F" w14:textId="4016F21D" w:rsidR="00293B12" w:rsidRDefault="00AD6F92" w:rsidP="00442972">
      <w:pPr>
        <w:spacing w:line="360" w:lineRule="auto"/>
        <w:ind w:firstLine="567"/>
        <w:jc w:val="both"/>
        <w:rPr>
          <w:rFonts w:ascii="Times New Roman" w:hAnsi="Times New Roman" w:cs="Times New Roman"/>
        </w:rPr>
      </w:pPr>
      <w:r w:rsidRPr="00224631">
        <w:rPr>
          <w:rFonts w:ascii="Times New Roman" w:hAnsi="Times New Roman" w:cs="Times New Roman"/>
        </w:rPr>
        <w:t>I</w:t>
      </w:r>
      <w:r w:rsidR="00F46A5E" w:rsidRPr="00224631">
        <w:rPr>
          <w:rFonts w:ascii="Times New Roman" w:hAnsi="Times New Roman" w:cs="Times New Roman"/>
        </w:rPr>
        <w:t xml:space="preserve">n linea con il principio di uno scambio </w:t>
      </w:r>
      <w:r w:rsidR="00442972" w:rsidRPr="00224631">
        <w:rPr>
          <w:rFonts w:ascii="Times New Roman" w:hAnsi="Times New Roman" w:cs="Times New Roman"/>
        </w:rPr>
        <w:t>profi</w:t>
      </w:r>
      <w:r w:rsidR="001A54BD" w:rsidRPr="00224631">
        <w:rPr>
          <w:rFonts w:ascii="Times New Roman" w:hAnsi="Times New Roman" w:cs="Times New Roman"/>
        </w:rPr>
        <w:t>cuo</w:t>
      </w:r>
      <w:r w:rsidR="00442972" w:rsidRPr="00224631">
        <w:rPr>
          <w:rFonts w:ascii="Times New Roman" w:hAnsi="Times New Roman" w:cs="Times New Roman"/>
        </w:rPr>
        <w:t xml:space="preserve"> </w:t>
      </w:r>
      <w:r w:rsidR="009A44B9" w:rsidRPr="00224631">
        <w:rPr>
          <w:rFonts w:ascii="Times New Roman" w:hAnsi="Times New Roman" w:cs="Times New Roman"/>
        </w:rPr>
        <w:t>fra vecchio e nuovo mondo</w:t>
      </w:r>
      <w:r w:rsidR="00F46A5E" w:rsidRPr="00224631">
        <w:rPr>
          <w:rFonts w:ascii="Times New Roman" w:hAnsi="Times New Roman" w:cs="Times New Roman"/>
        </w:rPr>
        <w:t xml:space="preserve">, </w:t>
      </w:r>
      <w:r w:rsidR="00720DCD" w:rsidRPr="00224631">
        <w:rPr>
          <w:rFonts w:ascii="Times New Roman" w:hAnsi="Times New Roman" w:cs="Times New Roman"/>
        </w:rPr>
        <w:t>merita d</w:t>
      </w:r>
      <w:r w:rsidR="00442972" w:rsidRPr="00224631">
        <w:rPr>
          <w:rFonts w:ascii="Times New Roman" w:hAnsi="Times New Roman" w:cs="Times New Roman"/>
        </w:rPr>
        <w:t>’</w:t>
      </w:r>
      <w:r w:rsidR="00720DCD" w:rsidRPr="00224631">
        <w:rPr>
          <w:rFonts w:ascii="Times New Roman" w:hAnsi="Times New Roman" w:cs="Times New Roman"/>
        </w:rPr>
        <w:t>essere ricordata</w:t>
      </w:r>
      <w:r w:rsidR="00183B67" w:rsidRPr="00224631">
        <w:rPr>
          <w:rFonts w:ascii="Times New Roman" w:hAnsi="Times New Roman" w:cs="Times New Roman"/>
        </w:rPr>
        <w:t xml:space="preserve"> </w:t>
      </w:r>
      <w:r w:rsidR="003968E0" w:rsidRPr="00224631">
        <w:rPr>
          <w:rFonts w:ascii="Times New Roman" w:hAnsi="Times New Roman" w:cs="Times New Roman"/>
        </w:rPr>
        <w:t xml:space="preserve">la pubblicazione della </w:t>
      </w:r>
      <w:r w:rsidR="003968E0" w:rsidRPr="00224631">
        <w:rPr>
          <w:rFonts w:ascii="Times New Roman" w:hAnsi="Times New Roman" w:cs="Times New Roman"/>
          <w:i/>
          <w:lang w:val="de-DE"/>
        </w:rPr>
        <w:t>Vorlesungen über die Philosophie der Religion</w:t>
      </w:r>
      <w:r w:rsidR="003968E0" w:rsidRPr="00224631">
        <w:rPr>
          <w:rFonts w:ascii="Times New Roman" w:hAnsi="Times New Roman" w:cs="Times New Roman"/>
        </w:rPr>
        <w:t xml:space="preserve"> ad opera di Walter Jaeschke</w:t>
      </w:r>
      <w:r w:rsidR="003968E0" w:rsidRPr="00224631">
        <w:rPr>
          <w:rStyle w:val="Rimandonotaapidipagina"/>
          <w:rFonts w:ascii="Times New Roman" w:hAnsi="Times New Roman" w:cs="Times New Roman"/>
        </w:rPr>
        <w:footnoteReference w:id="8"/>
      </w:r>
      <w:r w:rsidR="003968E0" w:rsidRPr="00224631">
        <w:rPr>
          <w:rFonts w:ascii="Times New Roman" w:hAnsi="Times New Roman" w:cs="Times New Roman"/>
        </w:rPr>
        <w:t>. Grazie a</w:t>
      </w:r>
      <w:r w:rsidR="00FF5B22" w:rsidRPr="00224631">
        <w:rPr>
          <w:rFonts w:ascii="Times New Roman" w:hAnsi="Times New Roman" w:cs="Times New Roman"/>
        </w:rPr>
        <w:t>d una monografia d</w:t>
      </w:r>
      <w:r w:rsidR="00B71E93" w:rsidRPr="00224631">
        <w:rPr>
          <w:rFonts w:ascii="Times New Roman" w:hAnsi="Times New Roman" w:cs="Times New Roman"/>
        </w:rPr>
        <w:t>i Jaeschke</w:t>
      </w:r>
      <w:r w:rsidR="003F489E" w:rsidRPr="00224631">
        <w:rPr>
          <w:rFonts w:ascii="Times New Roman" w:hAnsi="Times New Roman" w:cs="Times New Roman"/>
        </w:rPr>
        <w:t xml:space="preserve"> su</w:t>
      </w:r>
      <w:r w:rsidR="00F46A5E" w:rsidRPr="00224631">
        <w:rPr>
          <w:rFonts w:ascii="Times New Roman" w:hAnsi="Times New Roman" w:cs="Times New Roman"/>
        </w:rPr>
        <w:t>lla filosofia della religione di Hegel</w:t>
      </w:r>
      <w:r w:rsidR="00F46A5E" w:rsidRPr="00224631">
        <w:rPr>
          <w:rStyle w:val="Rimandonotaapidipagina"/>
          <w:rFonts w:ascii="Times New Roman" w:hAnsi="Times New Roman" w:cs="Times New Roman"/>
        </w:rPr>
        <w:footnoteReference w:id="9"/>
      </w:r>
      <w:r w:rsidR="00F46A5E" w:rsidRPr="00224631">
        <w:rPr>
          <w:rFonts w:ascii="Times New Roman" w:hAnsi="Times New Roman" w:cs="Times New Roman"/>
        </w:rPr>
        <w:t xml:space="preserve"> e alla traduzione inglese delle </w:t>
      </w:r>
      <w:r w:rsidR="00F46A5E" w:rsidRPr="00224631">
        <w:rPr>
          <w:rFonts w:ascii="Times New Roman" w:hAnsi="Times New Roman" w:cs="Times New Roman"/>
          <w:i/>
          <w:lang w:val="de-DE"/>
        </w:rPr>
        <w:t>Vorlesungen</w:t>
      </w:r>
      <w:r w:rsidR="003968E0" w:rsidRPr="00224631">
        <w:rPr>
          <w:rFonts w:ascii="Times New Roman" w:hAnsi="Times New Roman" w:cs="Times New Roman"/>
        </w:rPr>
        <w:t>,</w:t>
      </w:r>
      <w:r w:rsidR="00B71E93" w:rsidRPr="00224631">
        <w:rPr>
          <w:rFonts w:ascii="Times New Roman" w:hAnsi="Times New Roman" w:cs="Times New Roman"/>
        </w:rPr>
        <w:t xml:space="preserve"> </w:t>
      </w:r>
      <w:r w:rsidR="003968E0" w:rsidRPr="00224631">
        <w:rPr>
          <w:rFonts w:ascii="Times New Roman" w:hAnsi="Times New Roman" w:cs="Times New Roman"/>
        </w:rPr>
        <w:t xml:space="preserve">sono fioriti negli Stati Uniti </w:t>
      </w:r>
      <w:r w:rsidR="007A73A9">
        <w:rPr>
          <w:rFonts w:ascii="Times New Roman" w:hAnsi="Times New Roman" w:cs="Times New Roman"/>
        </w:rPr>
        <w:t xml:space="preserve">contributi </w:t>
      </w:r>
      <w:r w:rsidR="003968E0" w:rsidRPr="00224631">
        <w:rPr>
          <w:rFonts w:ascii="Times New Roman" w:hAnsi="Times New Roman" w:cs="Times New Roman"/>
        </w:rPr>
        <w:t>pregevol</w:t>
      </w:r>
      <w:r w:rsidR="00F46A5E" w:rsidRPr="00224631">
        <w:rPr>
          <w:rFonts w:ascii="Times New Roman" w:hAnsi="Times New Roman" w:cs="Times New Roman"/>
        </w:rPr>
        <w:t xml:space="preserve">i sulla </w:t>
      </w:r>
      <w:r w:rsidR="00F46A5E" w:rsidRPr="00224631">
        <w:rPr>
          <w:rFonts w:ascii="Times New Roman" w:hAnsi="Times New Roman" w:cs="Times New Roman"/>
          <w:i/>
          <w:lang w:val="de-DE"/>
        </w:rPr>
        <w:t>Religionsphilosophie</w:t>
      </w:r>
      <w:r w:rsidR="00FF5B22" w:rsidRPr="00224631">
        <w:rPr>
          <w:rFonts w:ascii="Times New Roman" w:hAnsi="Times New Roman" w:cs="Times New Roman"/>
          <w:i/>
          <w:lang w:val="de-DE"/>
        </w:rPr>
        <w:t xml:space="preserve"> </w:t>
      </w:r>
      <w:r w:rsidR="00FF5B22" w:rsidRPr="00224631">
        <w:rPr>
          <w:rFonts w:ascii="Times New Roman" w:hAnsi="Times New Roman" w:cs="Times New Roman"/>
          <w:lang w:val="de-DE"/>
        </w:rPr>
        <w:t>hegeliana</w:t>
      </w:r>
      <w:r w:rsidR="009A44B9" w:rsidRPr="00224631">
        <w:rPr>
          <w:rFonts w:ascii="Times New Roman" w:hAnsi="Times New Roman" w:cs="Times New Roman"/>
        </w:rPr>
        <w:t>, che in Peter Hodgson,</w:t>
      </w:r>
      <w:r w:rsidR="003968E0" w:rsidRPr="00224631">
        <w:rPr>
          <w:rFonts w:ascii="Times New Roman" w:hAnsi="Times New Roman" w:cs="Times New Roman"/>
        </w:rPr>
        <w:t xml:space="preserve"> editore e traduttore delle </w:t>
      </w:r>
      <w:r w:rsidR="003968E0" w:rsidRPr="00224631">
        <w:rPr>
          <w:rFonts w:ascii="Times New Roman" w:hAnsi="Times New Roman" w:cs="Times New Roman"/>
          <w:i/>
        </w:rPr>
        <w:t>Vorlesungen</w:t>
      </w:r>
      <w:r w:rsidR="003968E0" w:rsidRPr="00224631">
        <w:rPr>
          <w:rStyle w:val="Rimandonotaapidipagina"/>
          <w:rFonts w:ascii="Times New Roman" w:hAnsi="Times New Roman" w:cs="Times New Roman"/>
        </w:rPr>
        <w:footnoteReference w:id="10"/>
      </w:r>
      <w:r w:rsidR="009A44B9" w:rsidRPr="00224631">
        <w:rPr>
          <w:rFonts w:ascii="Times New Roman" w:hAnsi="Times New Roman" w:cs="Times New Roman"/>
          <w:i/>
        </w:rPr>
        <w:t>,</w:t>
      </w:r>
      <w:r w:rsidR="003968E0" w:rsidRPr="00224631">
        <w:rPr>
          <w:rFonts w:ascii="Times New Roman" w:hAnsi="Times New Roman" w:cs="Times New Roman"/>
        </w:rPr>
        <w:t xml:space="preserve"> e in Robert Williams</w:t>
      </w:r>
      <w:r w:rsidR="00945A07" w:rsidRPr="00224631">
        <w:rPr>
          <w:rFonts w:ascii="Times New Roman" w:hAnsi="Times New Roman" w:cs="Times New Roman"/>
        </w:rPr>
        <w:t xml:space="preserve">, </w:t>
      </w:r>
      <w:r w:rsidR="00021560">
        <w:rPr>
          <w:rFonts w:ascii="Times New Roman" w:hAnsi="Times New Roman" w:cs="Times New Roman"/>
        </w:rPr>
        <w:t>autore</w:t>
      </w:r>
      <w:r w:rsidR="00945A07" w:rsidRPr="00224631">
        <w:rPr>
          <w:rFonts w:ascii="Times New Roman" w:hAnsi="Times New Roman" w:cs="Times New Roman"/>
        </w:rPr>
        <w:t xml:space="preserve"> d</w:t>
      </w:r>
      <w:r w:rsidR="00E244E7" w:rsidRPr="00224631">
        <w:rPr>
          <w:rFonts w:ascii="Times New Roman" w:hAnsi="Times New Roman" w:cs="Times New Roman"/>
        </w:rPr>
        <w:t xml:space="preserve">i </w:t>
      </w:r>
      <w:r w:rsidR="00F8223E" w:rsidRPr="00224631">
        <w:rPr>
          <w:rFonts w:ascii="Times New Roman" w:hAnsi="Times New Roman" w:cs="Times New Roman"/>
          <w:i/>
        </w:rPr>
        <w:t>Hegel on the Proofs and the Personhood of God</w:t>
      </w:r>
      <w:r w:rsidR="003968E0" w:rsidRPr="00224631">
        <w:rPr>
          <w:rStyle w:val="Rimandonotaapidipagina"/>
          <w:rFonts w:ascii="Times New Roman" w:hAnsi="Times New Roman" w:cs="Times New Roman"/>
        </w:rPr>
        <w:footnoteReference w:id="11"/>
      </w:r>
      <w:r w:rsidR="00E244E7" w:rsidRPr="00224631">
        <w:rPr>
          <w:rFonts w:ascii="Times New Roman" w:hAnsi="Times New Roman" w:cs="Times New Roman"/>
        </w:rPr>
        <w:t xml:space="preserve">, </w:t>
      </w:r>
      <w:r w:rsidR="007A73A9">
        <w:rPr>
          <w:rFonts w:ascii="Times New Roman" w:hAnsi="Times New Roman" w:cs="Times New Roman"/>
        </w:rPr>
        <w:t xml:space="preserve">trovano </w:t>
      </w:r>
      <w:r w:rsidR="00E244E7" w:rsidRPr="00224631">
        <w:rPr>
          <w:rFonts w:ascii="Times New Roman" w:hAnsi="Times New Roman" w:cs="Times New Roman"/>
        </w:rPr>
        <w:t xml:space="preserve">i loro esponenti più </w:t>
      </w:r>
      <w:r w:rsidR="00021560">
        <w:rPr>
          <w:rFonts w:ascii="Times New Roman" w:hAnsi="Times New Roman" w:cs="Times New Roman"/>
        </w:rPr>
        <w:t>autore</w:t>
      </w:r>
      <w:r w:rsidR="00E244E7" w:rsidRPr="00224631">
        <w:rPr>
          <w:rFonts w:ascii="Times New Roman" w:hAnsi="Times New Roman" w:cs="Times New Roman"/>
        </w:rPr>
        <w:t>voli.</w:t>
      </w:r>
      <w:r w:rsidR="003968E0">
        <w:rPr>
          <w:rFonts w:ascii="Times New Roman" w:hAnsi="Times New Roman" w:cs="Times New Roman"/>
        </w:rPr>
        <w:t xml:space="preserve"> </w:t>
      </w:r>
    </w:p>
    <w:p w14:paraId="41B07988" w14:textId="77777777" w:rsidR="007A4C40" w:rsidRDefault="00442972" w:rsidP="00414BCC">
      <w:pPr>
        <w:spacing w:line="360" w:lineRule="auto"/>
        <w:ind w:firstLine="567"/>
        <w:jc w:val="both"/>
        <w:rPr>
          <w:rFonts w:ascii="Times New Roman" w:hAnsi="Times New Roman" w:cs="Times New Roman"/>
        </w:rPr>
      </w:pPr>
      <w:r w:rsidRPr="00153AFF">
        <w:rPr>
          <w:rFonts w:ascii="Times New Roman" w:hAnsi="Times New Roman" w:cs="Times New Roman"/>
        </w:rPr>
        <w:t xml:space="preserve">Infine, </w:t>
      </w:r>
      <w:r w:rsidR="00AD6F92" w:rsidRPr="00153AFF">
        <w:rPr>
          <w:rFonts w:ascii="Times New Roman" w:hAnsi="Times New Roman" w:cs="Times New Roman"/>
        </w:rPr>
        <w:t xml:space="preserve">sempre </w:t>
      </w:r>
      <w:r w:rsidR="000956B5" w:rsidRPr="00153AFF">
        <w:rPr>
          <w:rFonts w:ascii="Times New Roman" w:hAnsi="Times New Roman" w:cs="Times New Roman"/>
        </w:rPr>
        <w:t>su</w:t>
      </w:r>
      <w:r w:rsidRPr="00153AFF">
        <w:rPr>
          <w:rFonts w:ascii="Times New Roman" w:hAnsi="Times New Roman" w:cs="Times New Roman"/>
        </w:rPr>
        <w:t>ll’asse</w:t>
      </w:r>
      <w:r w:rsidR="00100D57" w:rsidRPr="00153AFF">
        <w:rPr>
          <w:rFonts w:ascii="Times New Roman" w:hAnsi="Times New Roman" w:cs="Times New Roman"/>
        </w:rPr>
        <w:t xml:space="preserve"> </w:t>
      </w:r>
      <w:r w:rsidR="00153AFF" w:rsidRPr="00153AFF">
        <w:rPr>
          <w:rFonts w:ascii="Times New Roman" w:hAnsi="Times New Roman" w:cs="Times New Roman"/>
        </w:rPr>
        <w:t>Stati Uniti</w:t>
      </w:r>
      <w:r w:rsidR="00100D57" w:rsidRPr="00153AFF">
        <w:rPr>
          <w:rFonts w:ascii="Times New Roman" w:hAnsi="Times New Roman" w:cs="Times New Roman"/>
        </w:rPr>
        <w:t>-Europa</w:t>
      </w:r>
      <w:r w:rsidRPr="00153AFF">
        <w:rPr>
          <w:rFonts w:ascii="Times New Roman" w:hAnsi="Times New Roman" w:cs="Times New Roman"/>
        </w:rPr>
        <w:t>,</w:t>
      </w:r>
      <w:r>
        <w:rPr>
          <w:rFonts w:ascii="Times New Roman" w:hAnsi="Times New Roman" w:cs="Times New Roman"/>
        </w:rPr>
        <w:t xml:space="preserve"> </w:t>
      </w:r>
      <w:r w:rsidR="003968E0" w:rsidRPr="00FF541D">
        <w:rPr>
          <w:rFonts w:ascii="Times New Roman" w:hAnsi="Times New Roman" w:cs="Times New Roman"/>
        </w:rPr>
        <w:t xml:space="preserve">si </w:t>
      </w:r>
      <w:r w:rsidR="00042537">
        <w:rPr>
          <w:rFonts w:ascii="Times New Roman" w:hAnsi="Times New Roman" w:cs="Times New Roman"/>
        </w:rPr>
        <w:t xml:space="preserve">segnalano </w:t>
      </w:r>
      <w:r w:rsidR="003968E0" w:rsidRPr="00FF541D">
        <w:rPr>
          <w:rFonts w:ascii="Times New Roman" w:hAnsi="Times New Roman" w:cs="Times New Roman"/>
        </w:rPr>
        <w:t>dei tentativi, sollecitati dalle opere di Ernst Benz</w:t>
      </w:r>
      <w:r w:rsidR="003968E0" w:rsidRPr="00FF541D">
        <w:rPr>
          <w:rStyle w:val="Rimandonotaapidipagina"/>
          <w:rFonts w:ascii="Times New Roman" w:hAnsi="Times New Roman" w:cs="Times New Roman"/>
        </w:rPr>
        <w:footnoteReference w:id="12"/>
      </w:r>
      <w:r w:rsidR="003968E0" w:rsidRPr="00FF541D">
        <w:rPr>
          <w:rFonts w:ascii="Times New Roman" w:hAnsi="Times New Roman" w:cs="Times New Roman"/>
        </w:rPr>
        <w:t xml:space="preserve"> e Eric Voegelin</w:t>
      </w:r>
      <w:r w:rsidR="003968E0" w:rsidRPr="00FF541D">
        <w:rPr>
          <w:rStyle w:val="Rimandonotaapidipagina"/>
          <w:rFonts w:ascii="Times New Roman" w:hAnsi="Times New Roman" w:cs="Times New Roman"/>
        </w:rPr>
        <w:footnoteReference w:id="13"/>
      </w:r>
      <w:r w:rsidR="003968E0" w:rsidRPr="00FF541D">
        <w:rPr>
          <w:rFonts w:ascii="Times New Roman" w:hAnsi="Times New Roman" w:cs="Times New Roman"/>
        </w:rPr>
        <w:t xml:space="preserve">, di rilettura dell’opera hegeliana a partire dalla sua prossimità con il pensiero ermetico, mistico (ebraico-cristiano) e gnostico. Sulla natura </w:t>
      </w:r>
      <w:r w:rsidR="00EF6E6F" w:rsidRPr="00FF541D">
        <w:rPr>
          <w:rFonts w:ascii="Times New Roman" w:hAnsi="Times New Roman" w:cs="Times New Roman"/>
        </w:rPr>
        <w:t xml:space="preserve">ermetica, </w:t>
      </w:r>
      <w:r w:rsidR="003968E0" w:rsidRPr="00FF541D">
        <w:rPr>
          <w:rFonts w:ascii="Times New Roman" w:hAnsi="Times New Roman" w:cs="Times New Roman"/>
        </w:rPr>
        <w:t>gnostica</w:t>
      </w:r>
      <w:r w:rsidR="00EF6E6F" w:rsidRPr="00FF541D">
        <w:rPr>
          <w:rFonts w:ascii="Times New Roman" w:hAnsi="Times New Roman" w:cs="Times New Roman"/>
        </w:rPr>
        <w:t xml:space="preserve"> e mistica</w:t>
      </w:r>
      <w:r w:rsidR="003968E0" w:rsidRPr="00FF541D">
        <w:rPr>
          <w:rFonts w:ascii="Times New Roman" w:hAnsi="Times New Roman" w:cs="Times New Roman"/>
        </w:rPr>
        <w:t xml:space="preserve"> del pensiero di Hegel, s</w:t>
      </w:r>
      <w:r w:rsidR="003A4B7F" w:rsidRPr="00FF541D">
        <w:rPr>
          <w:rFonts w:ascii="Times New Roman" w:hAnsi="Times New Roman" w:cs="Times New Roman"/>
        </w:rPr>
        <w:t>i sono pronunciati</w:t>
      </w:r>
      <w:r w:rsidR="00E12010" w:rsidRPr="00FF541D">
        <w:rPr>
          <w:rFonts w:ascii="Times New Roman" w:hAnsi="Times New Roman" w:cs="Times New Roman"/>
        </w:rPr>
        <w:t>, in particolare,</w:t>
      </w:r>
      <w:r w:rsidR="003A4B7F" w:rsidRPr="00FF541D">
        <w:rPr>
          <w:rFonts w:ascii="Times New Roman" w:hAnsi="Times New Roman" w:cs="Times New Roman"/>
        </w:rPr>
        <w:t xml:space="preserve"> due studiosi </w:t>
      </w:r>
      <w:r w:rsidR="003968E0" w:rsidRPr="00FF541D">
        <w:rPr>
          <w:rFonts w:ascii="Times New Roman" w:hAnsi="Times New Roman" w:cs="Times New Roman"/>
        </w:rPr>
        <w:t>americani, Cyril O’Regan</w:t>
      </w:r>
      <w:r w:rsidR="003968E0" w:rsidRPr="00FF541D">
        <w:rPr>
          <w:rStyle w:val="Rimandonotaapidipagina"/>
          <w:rFonts w:ascii="Times New Roman" w:hAnsi="Times New Roman" w:cs="Times New Roman"/>
        </w:rPr>
        <w:footnoteReference w:id="14"/>
      </w:r>
      <w:r w:rsidR="003968E0" w:rsidRPr="00FF541D">
        <w:rPr>
          <w:rFonts w:ascii="Times New Roman" w:hAnsi="Times New Roman" w:cs="Times New Roman"/>
        </w:rPr>
        <w:t xml:space="preserve"> e Glenn Alexander Magee</w:t>
      </w:r>
      <w:r w:rsidR="003968E0" w:rsidRPr="00FF541D">
        <w:rPr>
          <w:rStyle w:val="Rimandonotaapidipagina"/>
          <w:rFonts w:ascii="Times New Roman" w:hAnsi="Times New Roman" w:cs="Times New Roman"/>
        </w:rPr>
        <w:footnoteReference w:id="15"/>
      </w:r>
      <w:r w:rsidR="00E12010" w:rsidRPr="00FF541D">
        <w:rPr>
          <w:rFonts w:ascii="Times New Roman" w:hAnsi="Times New Roman" w:cs="Times New Roman"/>
        </w:rPr>
        <w:t>; su</w:t>
      </w:r>
      <w:r w:rsidR="003968E0" w:rsidRPr="00FF541D">
        <w:rPr>
          <w:rFonts w:ascii="Times New Roman" w:hAnsi="Times New Roman" w:cs="Times New Roman"/>
        </w:rPr>
        <w:t xml:space="preserve">l rapporto intrattenuto da Hegel con </w:t>
      </w:r>
      <w:r w:rsidR="00EF6E6F" w:rsidRPr="00FF541D">
        <w:rPr>
          <w:rFonts w:ascii="Times New Roman" w:hAnsi="Times New Roman" w:cs="Times New Roman"/>
        </w:rPr>
        <w:t>il</w:t>
      </w:r>
      <w:r w:rsidR="003968E0" w:rsidRPr="00FF541D">
        <w:rPr>
          <w:rFonts w:ascii="Times New Roman" w:hAnsi="Times New Roman" w:cs="Times New Roman"/>
        </w:rPr>
        <w:t xml:space="preserve"> </w:t>
      </w:r>
      <w:r w:rsidR="00EF6E6F" w:rsidRPr="00FF541D">
        <w:rPr>
          <w:rFonts w:ascii="Times New Roman" w:hAnsi="Times New Roman" w:cs="Times New Roman"/>
        </w:rPr>
        <w:t>misticismo</w:t>
      </w:r>
      <w:r w:rsidR="003968E0" w:rsidRPr="00FF541D">
        <w:rPr>
          <w:rFonts w:ascii="Times New Roman" w:hAnsi="Times New Roman" w:cs="Times New Roman"/>
        </w:rPr>
        <w:t xml:space="preserve"> </w:t>
      </w:r>
      <w:r w:rsidR="00EF6E6F" w:rsidRPr="00FF541D">
        <w:rPr>
          <w:rFonts w:ascii="Times New Roman" w:hAnsi="Times New Roman" w:cs="Times New Roman"/>
        </w:rPr>
        <w:t>ebraico</w:t>
      </w:r>
      <w:r w:rsidR="003968E0" w:rsidRPr="00FF541D">
        <w:rPr>
          <w:rFonts w:ascii="Times New Roman" w:hAnsi="Times New Roman" w:cs="Times New Roman"/>
        </w:rPr>
        <w:t>, Moshe Idel ha dedicato alc</w:t>
      </w:r>
      <w:r w:rsidR="00AD6F92">
        <w:rPr>
          <w:rFonts w:ascii="Times New Roman" w:hAnsi="Times New Roman" w:cs="Times New Roman"/>
        </w:rPr>
        <w:t>une pagine della sua monografia</w:t>
      </w:r>
      <w:r w:rsidR="003968E0" w:rsidRPr="00FF541D">
        <w:rPr>
          <w:rFonts w:ascii="Times New Roman" w:hAnsi="Times New Roman" w:cs="Times New Roman"/>
        </w:rPr>
        <w:t xml:space="preserve"> </w:t>
      </w:r>
      <w:r w:rsidR="003968E0" w:rsidRPr="00FF541D">
        <w:rPr>
          <w:rFonts w:ascii="Times New Roman" w:hAnsi="Times New Roman" w:cs="Times New Roman"/>
          <w:i/>
        </w:rPr>
        <w:t>Il male primordiale nella Qabbalah</w:t>
      </w:r>
      <w:r w:rsidR="003968E0" w:rsidRPr="00FF541D">
        <w:rPr>
          <w:rFonts w:ascii="Times New Roman" w:hAnsi="Times New Roman" w:cs="Times New Roman"/>
        </w:rPr>
        <w:t>, edita da Adelphi nel 2016</w:t>
      </w:r>
      <w:r w:rsidR="003968E0" w:rsidRPr="00FF541D">
        <w:rPr>
          <w:rStyle w:val="Rimandonotaapidipagina"/>
          <w:rFonts w:ascii="Times New Roman" w:hAnsi="Times New Roman" w:cs="Times New Roman"/>
        </w:rPr>
        <w:footnoteReference w:id="16"/>
      </w:r>
      <w:r w:rsidR="003968E0" w:rsidRPr="00FF541D">
        <w:rPr>
          <w:rFonts w:ascii="Times New Roman" w:hAnsi="Times New Roman" w:cs="Times New Roman"/>
        </w:rPr>
        <w:t>. Seppur non direttamente</w:t>
      </w:r>
      <w:r w:rsidR="003A4B7F" w:rsidRPr="00FF541D">
        <w:rPr>
          <w:rFonts w:ascii="Times New Roman" w:hAnsi="Times New Roman" w:cs="Times New Roman"/>
        </w:rPr>
        <w:t xml:space="preserve"> associabile</w:t>
      </w:r>
      <w:r w:rsidR="00FF5B22" w:rsidRPr="00FF541D">
        <w:rPr>
          <w:rFonts w:ascii="Times New Roman" w:hAnsi="Times New Roman" w:cs="Times New Roman"/>
        </w:rPr>
        <w:t xml:space="preserve"> </w:t>
      </w:r>
      <w:r w:rsidR="003A4B7F" w:rsidRPr="00FF541D">
        <w:rPr>
          <w:rFonts w:ascii="Times New Roman" w:hAnsi="Times New Roman" w:cs="Times New Roman"/>
        </w:rPr>
        <w:t>a</w:t>
      </w:r>
      <w:r w:rsidR="003968E0" w:rsidRPr="00FF541D">
        <w:rPr>
          <w:rFonts w:ascii="Times New Roman" w:hAnsi="Times New Roman" w:cs="Times New Roman"/>
        </w:rPr>
        <w:t xml:space="preserve">gli studi d’oltreoceano sulle contaminazioni </w:t>
      </w:r>
      <w:r w:rsidR="003A4B7F" w:rsidRPr="00FF541D">
        <w:rPr>
          <w:rFonts w:ascii="Times New Roman" w:hAnsi="Times New Roman" w:cs="Times New Roman"/>
        </w:rPr>
        <w:t xml:space="preserve">ermetiche, </w:t>
      </w:r>
      <w:r w:rsidR="003968E0" w:rsidRPr="00FF541D">
        <w:rPr>
          <w:rFonts w:ascii="Times New Roman" w:hAnsi="Times New Roman" w:cs="Times New Roman"/>
        </w:rPr>
        <w:t xml:space="preserve">gnostiche e mistiche del sistema hegeliano, </w:t>
      </w:r>
      <w:r w:rsidR="003968E0" w:rsidRPr="00FF541D">
        <w:rPr>
          <w:rFonts w:ascii="Times New Roman" w:hAnsi="Times New Roman" w:cs="Times New Roman"/>
          <w:i/>
        </w:rPr>
        <w:t xml:space="preserve">Il Male primordiale nella Qabbalah </w:t>
      </w:r>
      <w:r w:rsidR="00A77453" w:rsidRPr="00FF541D">
        <w:rPr>
          <w:rFonts w:ascii="Times New Roman" w:hAnsi="Times New Roman" w:cs="Times New Roman"/>
        </w:rPr>
        <w:t>è per</w:t>
      </w:r>
      <w:r w:rsidR="003F489E" w:rsidRPr="00FF541D">
        <w:rPr>
          <w:rFonts w:ascii="Times New Roman" w:hAnsi="Times New Roman" w:cs="Times New Roman"/>
        </w:rPr>
        <w:t xml:space="preserve"> ragioni </w:t>
      </w:r>
      <w:r w:rsidR="00A77453" w:rsidRPr="00FF541D">
        <w:rPr>
          <w:rFonts w:ascii="Times New Roman" w:hAnsi="Times New Roman" w:cs="Times New Roman"/>
        </w:rPr>
        <w:t xml:space="preserve">contenutistiche </w:t>
      </w:r>
      <w:r w:rsidR="00F37ABA" w:rsidRPr="00FF541D">
        <w:rPr>
          <w:rFonts w:ascii="Times New Roman" w:hAnsi="Times New Roman" w:cs="Times New Roman"/>
        </w:rPr>
        <w:t xml:space="preserve">prossimo </w:t>
      </w:r>
      <w:r w:rsidR="003A4B7F" w:rsidRPr="00FF541D">
        <w:rPr>
          <w:rFonts w:ascii="Times New Roman" w:hAnsi="Times New Roman" w:cs="Times New Roman"/>
        </w:rPr>
        <w:t>al</w:t>
      </w:r>
      <w:r w:rsidR="00EF6E6F" w:rsidRPr="00FF541D">
        <w:rPr>
          <w:rFonts w:ascii="Times New Roman" w:hAnsi="Times New Roman" w:cs="Times New Roman"/>
        </w:rPr>
        <w:t>l</w:t>
      </w:r>
      <w:r w:rsidR="00E12010" w:rsidRPr="00FF541D">
        <w:rPr>
          <w:rFonts w:ascii="Times New Roman" w:hAnsi="Times New Roman" w:cs="Times New Roman"/>
        </w:rPr>
        <w:t xml:space="preserve">e ricerche svolte dagli interpreti </w:t>
      </w:r>
      <w:r w:rsidR="005F607F" w:rsidRPr="00FF541D">
        <w:rPr>
          <w:rFonts w:ascii="Times New Roman" w:hAnsi="Times New Roman" w:cs="Times New Roman"/>
        </w:rPr>
        <w:t>statunitensi</w:t>
      </w:r>
      <w:r w:rsidR="00E12010" w:rsidRPr="00FF541D">
        <w:rPr>
          <w:rFonts w:ascii="Times New Roman" w:hAnsi="Times New Roman" w:cs="Times New Roman"/>
        </w:rPr>
        <w:t xml:space="preserve"> appena ricordati</w:t>
      </w:r>
      <w:r w:rsidR="003968E0" w:rsidRPr="00FF541D">
        <w:rPr>
          <w:rFonts w:ascii="Times New Roman" w:hAnsi="Times New Roman" w:cs="Times New Roman"/>
        </w:rPr>
        <w:t>.</w:t>
      </w:r>
      <w:r w:rsidR="007A4C40">
        <w:rPr>
          <w:rFonts w:ascii="Times New Roman" w:hAnsi="Times New Roman" w:cs="Times New Roman"/>
        </w:rPr>
        <w:t xml:space="preserve"> </w:t>
      </w:r>
    </w:p>
    <w:p w14:paraId="10616080" w14:textId="15C7B48C" w:rsidR="003968E0" w:rsidRPr="00414BCC" w:rsidRDefault="006F4614" w:rsidP="00414BCC">
      <w:pPr>
        <w:spacing w:line="360" w:lineRule="auto"/>
        <w:ind w:firstLine="567"/>
        <w:jc w:val="both"/>
        <w:rPr>
          <w:rFonts w:ascii="Times New Roman" w:hAnsi="Times New Roman" w:cs="Times New Roman"/>
          <w:highlight w:val="yellow"/>
        </w:rPr>
      </w:pPr>
      <w:r>
        <w:rPr>
          <w:rFonts w:ascii="Times New Roman" w:hAnsi="Times New Roman" w:cs="Times New Roman"/>
        </w:rPr>
        <w:t xml:space="preserve">Nell’articolo </w:t>
      </w:r>
      <w:r w:rsidR="003968E0" w:rsidRPr="00812B33">
        <w:rPr>
          <w:rFonts w:ascii="Times New Roman" w:hAnsi="Times New Roman" w:cs="Times New Roman"/>
          <w:i/>
        </w:rPr>
        <w:t>Hegel and Anti-Judaism: Narrative and the Inner Circulation of the Kabbalah</w:t>
      </w:r>
      <w:r>
        <w:rPr>
          <w:rFonts w:ascii="Times New Roman" w:hAnsi="Times New Roman" w:cs="Times New Roman"/>
          <w:i/>
        </w:rPr>
        <w:t xml:space="preserve"> </w:t>
      </w:r>
      <w:r>
        <w:rPr>
          <w:rFonts w:ascii="Times New Roman" w:hAnsi="Times New Roman" w:cs="Times New Roman"/>
        </w:rPr>
        <w:t>del 1997</w:t>
      </w:r>
      <w:r w:rsidR="003968E0">
        <w:rPr>
          <w:rFonts w:ascii="Times New Roman" w:hAnsi="Times New Roman" w:cs="Times New Roman"/>
        </w:rPr>
        <w:t xml:space="preserve">, O’Regan ha </w:t>
      </w:r>
      <w:r w:rsidR="003968E0" w:rsidRPr="00812B33">
        <w:rPr>
          <w:rFonts w:ascii="Times New Roman" w:hAnsi="Times New Roman" w:cs="Times New Roman"/>
        </w:rPr>
        <w:t>cercato di dimostrare la simmetria fra le prime determinazioni dell’albero sefirotico e la tripartizione della logica hegeliana</w:t>
      </w:r>
      <w:r w:rsidR="003968E0" w:rsidRPr="00812B33">
        <w:rPr>
          <w:rStyle w:val="Rimandonotaapidipagina"/>
          <w:rFonts w:ascii="Times New Roman" w:hAnsi="Times New Roman" w:cs="Times New Roman"/>
        </w:rPr>
        <w:t xml:space="preserve"> </w:t>
      </w:r>
      <w:r w:rsidR="003968E0" w:rsidRPr="00812B33">
        <w:rPr>
          <w:rStyle w:val="Rimandonotaapidipagina"/>
          <w:rFonts w:ascii="Times New Roman" w:hAnsi="Times New Roman" w:cs="Times New Roman"/>
        </w:rPr>
        <w:footnoteReference w:id="17"/>
      </w:r>
      <w:r w:rsidR="003968E0">
        <w:rPr>
          <w:rFonts w:ascii="Times New Roman" w:hAnsi="Times New Roman" w:cs="Times New Roman"/>
        </w:rPr>
        <w:t>. Riprendendo direttamente questo contributo, Magee ha sostenuto una corrispondenza fra la teoria cabbalistica del nulla (</w:t>
      </w:r>
      <w:r w:rsidR="003968E0">
        <w:rPr>
          <w:rFonts w:ascii="Times New Roman" w:hAnsi="Times New Roman" w:cs="Times New Roman"/>
          <w:i/>
        </w:rPr>
        <w:t>A</w:t>
      </w:r>
      <w:r w:rsidR="003968E0" w:rsidRPr="00812B33">
        <w:rPr>
          <w:rFonts w:ascii="Times New Roman" w:hAnsi="Times New Roman" w:cs="Times New Roman"/>
          <w:i/>
        </w:rPr>
        <w:t>yin</w:t>
      </w:r>
      <w:r w:rsidR="00FF5B22">
        <w:rPr>
          <w:rFonts w:ascii="Times New Roman" w:hAnsi="Times New Roman" w:cs="Times New Roman"/>
        </w:rPr>
        <w:t>) e i</w:t>
      </w:r>
      <w:r w:rsidR="003968E0">
        <w:rPr>
          <w:rFonts w:ascii="Times New Roman" w:hAnsi="Times New Roman" w:cs="Times New Roman"/>
        </w:rPr>
        <w:t xml:space="preserve">l cominciamento della </w:t>
      </w:r>
      <w:r w:rsidR="003968E0" w:rsidRPr="002B1FB9">
        <w:rPr>
          <w:rFonts w:ascii="Times New Roman" w:hAnsi="Times New Roman" w:cs="Times New Roman"/>
          <w:i/>
        </w:rPr>
        <w:t>Wissenschaft der Logik</w:t>
      </w:r>
      <w:r w:rsidR="003968E0" w:rsidRPr="002B1FB9">
        <w:rPr>
          <w:rStyle w:val="Rimandonotaapidipagina"/>
          <w:rFonts w:ascii="Times New Roman" w:hAnsi="Times New Roman" w:cs="Times New Roman"/>
        </w:rPr>
        <w:footnoteReference w:id="18"/>
      </w:r>
      <w:r w:rsidR="003968E0" w:rsidRPr="002B1FB9">
        <w:rPr>
          <w:rFonts w:ascii="Times New Roman" w:hAnsi="Times New Roman" w:cs="Times New Roman"/>
        </w:rPr>
        <w:t xml:space="preserve">. </w:t>
      </w:r>
      <w:r w:rsidR="00293B12" w:rsidRPr="002B1FB9">
        <w:rPr>
          <w:rFonts w:ascii="Times New Roman" w:hAnsi="Times New Roman" w:cs="Times New Roman"/>
        </w:rPr>
        <w:t>S</w:t>
      </w:r>
      <w:r w:rsidR="003968E0" w:rsidRPr="002B1FB9">
        <w:rPr>
          <w:rFonts w:ascii="Times New Roman" w:hAnsi="Times New Roman" w:cs="Times New Roman"/>
        </w:rPr>
        <w:t xml:space="preserve">e da un lato le comparazioni fra </w:t>
      </w:r>
      <w:r w:rsidR="003968E0" w:rsidRPr="002B1FB9">
        <w:rPr>
          <w:rFonts w:ascii="Times New Roman" w:hAnsi="Times New Roman" w:cs="Times New Roman"/>
          <w:i/>
        </w:rPr>
        <w:t>Wissenschaft der Logik</w:t>
      </w:r>
      <w:r w:rsidR="003968E0" w:rsidRPr="002B1FB9">
        <w:rPr>
          <w:rFonts w:ascii="Times New Roman" w:hAnsi="Times New Roman" w:cs="Times New Roman"/>
        </w:rPr>
        <w:t xml:space="preserve"> e Qabbalah ebraica sono formulate </w:t>
      </w:r>
      <w:r w:rsidR="00AD6F92" w:rsidRPr="002B1FB9">
        <w:rPr>
          <w:rFonts w:ascii="Times New Roman" w:hAnsi="Times New Roman" w:cs="Times New Roman"/>
        </w:rPr>
        <w:t>a partire da</w:t>
      </w:r>
      <w:r w:rsidR="003968E0" w:rsidRPr="002B1FB9">
        <w:rPr>
          <w:rFonts w:ascii="Times New Roman" w:hAnsi="Times New Roman" w:cs="Times New Roman"/>
        </w:rPr>
        <w:t>ll’estraneità storica dei due sistemi di pensiero, dall’altro</w:t>
      </w:r>
      <w:r w:rsidRPr="002B1FB9">
        <w:rPr>
          <w:rFonts w:ascii="Times New Roman" w:hAnsi="Times New Roman" w:cs="Times New Roman"/>
        </w:rPr>
        <w:t xml:space="preserve"> lato si osserva il </w:t>
      </w:r>
      <w:r w:rsidR="00EC17E9">
        <w:rPr>
          <w:rFonts w:ascii="Times New Roman" w:hAnsi="Times New Roman" w:cs="Times New Roman"/>
        </w:rPr>
        <w:t>con</w:t>
      </w:r>
      <w:r w:rsidR="00FF541D" w:rsidRPr="002B1FB9">
        <w:rPr>
          <w:rFonts w:ascii="Times New Roman" w:hAnsi="Times New Roman" w:cs="Times New Roman"/>
        </w:rPr>
        <w:t xml:space="preserve">fondersi </w:t>
      </w:r>
      <w:r w:rsidR="00AD6F92" w:rsidRPr="002B1FB9">
        <w:rPr>
          <w:rFonts w:ascii="Times New Roman" w:hAnsi="Times New Roman" w:cs="Times New Roman"/>
        </w:rPr>
        <w:t>di</w:t>
      </w:r>
      <w:r w:rsidR="003968E0" w:rsidRPr="002B1FB9">
        <w:rPr>
          <w:rFonts w:ascii="Times New Roman" w:hAnsi="Times New Roman" w:cs="Times New Roman"/>
        </w:rPr>
        <w:t xml:space="preserve"> </w:t>
      </w:r>
      <w:r w:rsidR="00E244E7" w:rsidRPr="002B1FB9">
        <w:rPr>
          <w:rFonts w:ascii="Times New Roman" w:hAnsi="Times New Roman" w:cs="Times New Roman"/>
        </w:rPr>
        <w:t>un</w:t>
      </w:r>
      <w:r w:rsidR="00414BCC" w:rsidRPr="002B1FB9">
        <w:rPr>
          <w:rFonts w:ascii="Times New Roman" w:hAnsi="Times New Roman" w:cs="Times New Roman"/>
        </w:rPr>
        <w:t>a modalità</w:t>
      </w:r>
      <w:r w:rsidR="00E244E7" w:rsidRPr="002B1FB9">
        <w:rPr>
          <w:rFonts w:ascii="Times New Roman" w:hAnsi="Times New Roman" w:cs="Times New Roman"/>
        </w:rPr>
        <w:t xml:space="preserve"> </w:t>
      </w:r>
      <w:r w:rsidR="00414BCC" w:rsidRPr="002B1FB9">
        <w:rPr>
          <w:rFonts w:ascii="Times New Roman" w:hAnsi="Times New Roman" w:cs="Times New Roman"/>
        </w:rPr>
        <w:t>argomentativa</w:t>
      </w:r>
      <w:r w:rsidR="003968E0" w:rsidRPr="002B1FB9">
        <w:rPr>
          <w:rFonts w:ascii="Times New Roman" w:hAnsi="Times New Roman" w:cs="Times New Roman"/>
        </w:rPr>
        <w:t xml:space="preserve"> </w:t>
      </w:r>
      <w:r w:rsidR="003968E0" w:rsidRPr="002B1FB9">
        <w:rPr>
          <w:rFonts w:ascii="Times New Roman" w:hAnsi="Times New Roman" w:cs="Times New Roman"/>
          <w:i/>
        </w:rPr>
        <w:t>analogic</w:t>
      </w:r>
      <w:r w:rsidR="00414BCC" w:rsidRPr="002B1FB9">
        <w:rPr>
          <w:rFonts w:ascii="Times New Roman" w:hAnsi="Times New Roman" w:cs="Times New Roman"/>
          <w:i/>
        </w:rPr>
        <w:t>a</w:t>
      </w:r>
      <w:r w:rsidR="00C8430B" w:rsidRPr="002B1FB9">
        <w:rPr>
          <w:rFonts w:ascii="Times New Roman" w:hAnsi="Times New Roman" w:cs="Times New Roman"/>
        </w:rPr>
        <w:t xml:space="preserve"> con</w:t>
      </w:r>
      <w:r w:rsidR="003968E0" w:rsidRPr="002B1FB9">
        <w:rPr>
          <w:rFonts w:ascii="Times New Roman" w:hAnsi="Times New Roman" w:cs="Times New Roman"/>
        </w:rPr>
        <w:t xml:space="preserve"> </w:t>
      </w:r>
      <w:r w:rsidR="00E244E7" w:rsidRPr="002B1FB9">
        <w:rPr>
          <w:rFonts w:ascii="Times New Roman" w:hAnsi="Times New Roman" w:cs="Times New Roman"/>
        </w:rPr>
        <w:t xml:space="preserve">un livello d’indagine </w:t>
      </w:r>
      <w:r w:rsidR="003968E0" w:rsidRPr="002B1FB9">
        <w:rPr>
          <w:rFonts w:ascii="Times New Roman" w:hAnsi="Times New Roman" w:cs="Times New Roman"/>
          <w:i/>
        </w:rPr>
        <w:t>storic</w:t>
      </w:r>
      <w:r w:rsidR="004B4FFD" w:rsidRPr="002B1FB9">
        <w:rPr>
          <w:rFonts w:ascii="Times New Roman" w:hAnsi="Times New Roman" w:cs="Times New Roman"/>
          <w:i/>
        </w:rPr>
        <w:t>o</w:t>
      </w:r>
      <w:r w:rsidR="003968E0" w:rsidRPr="002B1FB9">
        <w:rPr>
          <w:rFonts w:ascii="Times New Roman" w:hAnsi="Times New Roman" w:cs="Times New Roman"/>
        </w:rPr>
        <w:t>.</w:t>
      </w:r>
      <w:r w:rsidR="003968E0">
        <w:rPr>
          <w:rFonts w:ascii="Times New Roman" w:hAnsi="Times New Roman" w:cs="Times New Roman"/>
        </w:rPr>
        <w:t xml:space="preserve"> L’elemento analogico, o comparatistico, si tr</w:t>
      </w:r>
      <w:r w:rsidR="00AD6F92">
        <w:rPr>
          <w:rFonts w:ascii="Times New Roman" w:hAnsi="Times New Roman" w:cs="Times New Roman"/>
        </w:rPr>
        <w:t xml:space="preserve">aduce nell’elemento storico, o </w:t>
      </w:r>
      <w:r w:rsidR="003968E0">
        <w:rPr>
          <w:rFonts w:ascii="Times New Roman" w:hAnsi="Times New Roman" w:cs="Times New Roman"/>
        </w:rPr>
        <w:t>filolo</w:t>
      </w:r>
      <w:r w:rsidR="00D43B77">
        <w:rPr>
          <w:rFonts w:ascii="Times New Roman" w:hAnsi="Times New Roman" w:cs="Times New Roman"/>
        </w:rPr>
        <w:t>gico, senza che siano delucidate</w:t>
      </w:r>
      <w:r w:rsidR="003968E0">
        <w:rPr>
          <w:rFonts w:ascii="Times New Roman" w:hAnsi="Times New Roman" w:cs="Times New Roman"/>
        </w:rPr>
        <w:t xml:space="preserve"> </w:t>
      </w:r>
      <w:r w:rsidR="003968E0" w:rsidRPr="00372E56">
        <w:rPr>
          <w:rFonts w:ascii="Times New Roman" w:hAnsi="Times New Roman" w:cs="Times New Roman"/>
        </w:rPr>
        <w:t xml:space="preserve">le congruenze filologico-testuali dei sistemi di pensiero presi in esame. </w:t>
      </w:r>
      <w:r w:rsidR="003968E0" w:rsidRPr="00C8430B">
        <w:rPr>
          <w:rFonts w:ascii="Times New Roman" w:hAnsi="Times New Roman" w:cs="Times New Roman"/>
        </w:rPr>
        <w:t xml:space="preserve">Quella che costituisce un’operazione interpretativa legittima – comparare ciò che </w:t>
      </w:r>
      <w:r w:rsidRPr="00C8430B">
        <w:rPr>
          <w:rFonts w:ascii="Times New Roman" w:hAnsi="Times New Roman" w:cs="Times New Roman"/>
        </w:rPr>
        <w:t>possiede</w:t>
      </w:r>
      <w:r w:rsidR="003968E0" w:rsidRPr="00C8430B">
        <w:rPr>
          <w:rFonts w:ascii="Times New Roman" w:hAnsi="Times New Roman" w:cs="Times New Roman"/>
        </w:rPr>
        <w:t xml:space="preserve"> radici storic</w:t>
      </w:r>
      <w:r w:rsidR="0005610E">
        <w:rPr>
          <w:rFonts w:ascii="Times New Roman" w:hAnsi="Times New Roman" w:cs="Times New Roman"/>
        </w:rPr>
        <w:t>he</w:t>
      </w:r>
      <w:r w:rsidR="003968E0" w:rsidRPr="00C8430B">
        <w:rPr>
          <w:rFonts w:ascii="Times New Roman" w:hAnsi="Times New Roman" w:cs="Times New Roman"/>
        </w:rPr>
        <w:t xml:space="preserve"> e</w:t>
      </w:r>
      <w:r w:rsidR="00FF5B22" w:rsidRPr="00C8430B">
        <w:rPr>
          <w:rFonts w:ascii="Times New Roman" w:hAnsi="Times New Roman" w:cs="Times New Roman"/>
        </w:rPr>
        <w:t>terog</w:t>
      </w:r>
      <w:r w:rsidR="00945A07" w:rsidRPr="00C8430B">
        <w:rPr>
          <w:rFonts w:ascii="Times New Roman" w:hAnsi="Times New Roman" w:cs="Times New Roman"/>
        </w:rPr>
        <w:t>enee e esiti teorici contigui</w:t>
      </w:r>
      <w:r w:rsidR="003968E0" w:rsidRPr="00C8430B">
        <w:rPr>
          <w:rFonts w:ascii="Times New Roman" w:hAnsi="Times New Roman" w:cs="Times New Roman"/>
        </w:rPr>
        <w:t xml:space="preserve"> – si rovescia</w:t>
      </w:r>
      <w:r w:rsidR="00C8430B" w:rsidRPr="00C8430B">
        <w:rPr>
          <w:rFonts w:ascii="Times New Roman" w:hAnsi="Times New Roman" w:cs="Times New Roman"/>
        </w:rPr>
        <w:t xml:space="preserve"> </w:t>
      </w:r>
      <w:r w:rsidR="003968E0" w:rsidRPr="00C8430B">
        <w:rPr>
          <w:rFonts w:ascii="Times New Roman" w:hAnsi="Times New Roman" w:cs="Times New Roman"/>
        </w:rPr>
        <w:t xml:space="preserve">in </w:t>
      </w:r>
      <w:r w:rsidR="00AD6F92">
        <w:rPr>
          <w:rFonts w:ascii="Times New Roman" w:hAnsi="Times New Roman" w:cs="Times New Roman"/>
        </w:rPr>
        <w:t>un approccio</w:t>
      </w:r>
      <w:r w:rsidR="005F607F" w:rsidRPr="00C8430B">
        <w:rPr>
          <w:rFonts w:ascii="Times New Roman" w:hAnsi="Times New Roman" w:cs="Times New Roman"/>
        </w:rPr>
        <w:t xml:space="preserve"> storico-filosofic</w:t>
      </w:r>
      <w:r w:rsidR="00B83763">
        <w:rPr>
          <w:rFonts w:ascii="Times New Roman" w:hAnsi="Times New Roman" w:cs="Times New Roman"/>
        </w:rPr>
        <w:t>o</w:t>
      </w:r>
      <w:r w:rsidR="00AD6F92">
        <w:rPr>
          <w:rFonts w:ascii="Times New Roman" w:hAnsi="Times New Roman" w:cs="Times New Roman"/>
        </w:rPr>
        <w:t xml:space="preserve"> </w:t>
      </w:r>
      <w:r w:rsidR="00414BCC">
        <w:rPr>
          <w:rFonts w:ascii="Times New Roman" w:hAnsi="Times New Roman" w:cs="Times New Roman"/>
        </w:rPr>
        <w:t xml:space="preserve">alla materia </w:t>
      </w:r>
      <w:r w:rsidR="00B83763">
        <w:rPr>
          <w:rFonts w:ascii="Times New Roman" w:hAnsi="Times New Roman" w:cs="Times New Roman"/>
        </w:rPr>
        <w:t>non giustificato</w:t>
      </w:r>
      <w:r w:rsidRPr="00C8430B">
        <w:rPr>
          <w:rFonts w:ascii="Times New Roman" w:hAnsi="Times New Roman" w:cs="Times New Roman"/>
        </w:rPr>
        <w:t xml:space="preserve"> </w:t>
      </w:r>
      <w:r w:rsidR="003968E0" w:rsidRPr="00C8430B">
        <w:rPr>
          <w:rFonts w:ascii="Times New Roman" w:hAnsi="Times New Roman" w:cs="Times New Roman"/>
        </w:rPr>
        <w:t>da un punto</w:t>
      </w:r>
      <w:r w:rsidR="00C8430B" w:rsidRPr="00C8430B">
        <w:rPr>
          <w:rFonts w:ascii="Times New Roman" w:hAnsi="Times New Roman" w:cs="Times New Roman"/>
        </w:rPr>
        <w:t xml:space="preserve"> metodologico</w:t>
      </w:r>
      <w:r w:rsidR="003968E0" w:rsidRPr="00C8430B">
        <w:rPr>
          <w:rStyle w:val="Rimandonotaapidipagina"/>
          <w:rFonts w:ascii="Times New Roman" w:hAnsi="Times New Roman" w:cs="Times New Roman"/>
        </w:rPr>
        <w:footnoteReference w:id="19"/>
      </w:r>
      <w:r w:rsidR="003968E0" w:rsidRPr="00C8430B">
        <w:rPr>
          <w:rFonts w:ascii="Times New Roman" w:hAnsi="Times New Roman" w:cs="Times New Roman"/>
        </w:rPr>
        <w:t>.</w:t>
      </w:r>
    </w:p>
    <w:p w14:paraId="02BFC653" w14:textId="6E632777" w:rsidR="003968E0" w:rsidRDefault="003968E0" w:rsidP="003968E0">
      <w:pPr>
        <w:spacing w:line="360" w:lineRule="auto"/>
        <w:ind w:firstLine="567"/>
        <w:jc w:val="both"/>
        <w:rPr>
          <w:rFonts w:ascii="Times New Roman" w:hAnsi="Times New Roman" w:cs="Times New Roman"/>
        </w:rPr>
      </w:pPr>
      <w:r w:rsidRPr="00687630">
        <w:rPr>
          <w:rFonts w:ascii="Times New Roman" w:hAnsi="Times New Roman" w:cs="Times New Roman"/>
        </w:rPr>
        <w:t>Rispet</w:t>
      </w:r>
      <w:r w:rsidR="006F4614" w:rsidRPr="00687630">
        <w:rPr>
          <w:rFonts w:ascii="Times New Roman" w:hAnsi="Times New Roman" w:cs="Times New Roman"/>
        </w:rPr>
        <w:t xml:space="preserve">to ai lavori </w:t>
      </w:r>
      <w:r w:rsidRPr="00687630">
        <w:rPr>
          <w:rFonts w:ascii="Times New Roman" w:hAnsi="Times New Roman" w:cs="Times New Roman"/>
        </w:rPr>
        <w:t xml:space="preserve">di O’Regan e Magee, che </w:t>
      </w:r>
      <w:r w:rsidR="006F4614" w:rsidRPr="00687630">
        <w:rPr>
          <w:rFonts w:ascii="Times New Roman" w:hAnsi="Times New Roman" w:cs="Times New Roman"/>
        </w:rPr>
        <w:t xml:space="preserve">costituiscono </w:t>
      </w:r>
      <w:r w:rsidRPr="00687630">
        <w:rPr>
          <w:rFonts w:ascii="Times New Roman" w:hAnsi="Times New Roman" w:cs="Times New Roman"/>
        </w:rPr>
        <w:t xml:space="preserve">delle testimonianze significative di un filone minoritario degli studi hegeliani d’oltreoceano, Moshe Idel, </w:t>
      </w:r>
      <w:r w:rsidR="00945A07" w:rsidRPr="00687630">
        <w:rPr>
          <w:rFonts w:ascii="Times New Roman" w:hAnsi="Times New Roman" w:cs="Times New Roman"/>
        </w:rPr>
        <w:t>coniuga</w:t>
      </w:r>
      <w:r w:rsidR="00EF6E6F" w:rsidRPr="00687630">
        <w:rPr>
          <w:rFonts w:ascii="Times New Roman" w:hAnsi="Times New Roman" w:cs="Times New Roman"/>
        </w:rPr>
        <w:t>ndo</w:t>
      </w:r>
      <w:r w:rsidR="00945A07" w:rsidRPr="00687630">
        <w:rPr>
          <w:rFonts w:ascii="Times New Roman" w:hAnsi="Times New Roman" w:cs="Times New Roman"/>
        </w:rPr>
        <w:t xml:space="preserve"> al rigore metodologico delle spiccate capacità teoretiche, </w:t>
      </w:r>
      <w:r w:rsidRPr="00687630">
        <w:rPr>
          <w:rFonts w:ascii="Times New Roman" w:hAnsi="Times New Roman" w:cs="Times New Roman"/>
        </w:rPr>
        <w:t xml:space="preserve">ha assunto una posizione </w:t>
      </w:r>
      <w:r w:rsidR="00C8430B" w:rsidRPr="00687630">
        <w:rPr>
          <w:rFonts w:ascii="Times New Roman" w:hAnsi="Times New Roman" w:cs="Times New Roman"/>
        </w:rPr>
        <w:t xml:space="preserve">storiografica </w:t>
      </w:r>
      <w:r w:rsidRPr="00687630">
        <w:rPr>
          <w:rFonts w:ascii="Times New Roman" w:hAnsi="Times New Roman" w:cs="Times New Roman"/>
        </w:rPr>
        <w:t>più cauta e salda ad un tempo. Ripreso lo spunto di Adolphe Franck (</w:t>
      </w:r>
      <w:r w:rsidR="00021560">
        <w:rPr>
          <w:rFonts w:ascii="Times New Roman" w:hAnsi="Times New Roman" w:cs="Times New Roman"/>
        </w:rPr>
        <w:t>autore</w:t>
      </w:r>
      <w:r w:rsidRPr="00687630">
        <w:rPr>
          <w:rFonts w:ascii="Times New Roman" w:hAnsi="Times New Roman" w:cs="Times New Roman"/>
        </w:rPr>
        <w:t xml:space="preserve"> </w:t>
      </w:r>
      <w:r w:rsidR="00945A07" w:rsidRPr="00687630">
        <w:rPr>
          <w:rFonts w:ascii="Times New Roman" w:hAnsi="Times New Roman" w:cs="Times New Roman"/>
        </w:rPr>
        <w:t xml:space="preserve">nel 1843 </w:t>
      </w:r>
      <w:r w:rsidRPr="00687630">
        <w:rPr>
          <w:rFonts w:ascii="Times New Roman" w:hAnsi="Times New Roman" w:cs="Times New Roman"/>
        </w:rPr>
        <w:t xml:space="preserve">della </w:t>
      </w:r>
      <w:r w:rsidRPr="00687630">
        <w:rPr>
          <w:rFonts w:ascii="Times New Roman" w:hAnsi="Times New Roman" w:cs="Times New Roman"/>
          <w:i/>
        </w:rPr>
        <w:t>Kabbale ou la philosophie religouse des Hébreux</w:t>
      </w:r>
      <w:r w:rsidRPr="00687630">
        <w:rPr>
          <w:rFonts w:ascii="Times New Roman" w:hAnsi="Times New Roman" w:cs="Times New Roman"/>
        </w:rPr>
        <w:t>), secondo cui l’</w:t>
      </w:r>
      <w:r w:rsidRPr="00687630">
        <w:rPr>
          <w:rFonts w:ascii="Times New Roman" w:hAnsi="Times New Roman" w:cs="Times New Roman"/>
          <w:i/>
        </w:rPr>
        <w:t xml:space="preserve">Idra Zuta </w:t>
      </w:r>
      <w:r w:rsidRPr="00687630">
        <w:rPr>
          <w:rFonts w:ascii="Times New Roman" w:hAnsi="Times New Roman" w:cs="Times New Roman"/>
        </w:rPr>
        <w:t>sarebbe la fonte cabbalistica da cui Hegel avrebbe mutuato la nozione logica del nulla</w:t>
      </w:r>
      <w:r w:rsidRPr="00687630">
        <w:rPr>
          <w:rStyle w:val="Rimandonotaapidipagina"/>
          <w:rFonts w:ascii="Times New Roman" w:hAnsi="Times New Roman" w:cs="Times New Roman"/>
        </w:rPr>
        <w:footnoteReference w:id="20"/>
      </w:r>
      <w:r w:rsidRPr="00687630">
        <w:rPr>
          <w:rFonts w:ascii="Times New Roman" w:hAnsi="Times New Roman" w:cs="Times New Roman"/>
        </w:rPr>
        <w:t xml:space="preserve">, Idel sostiene che </w:t>
      </w:r>
      <w:r w:rsidR="00A7764B" w:rsidRPr="00687630">
        <w:rPr>
          <w:rFonts w:ascii="Times New Roman" w:hAnsi="Times New Roman" w:cs="Times New Roman"/>
        </w:rPr>
        <w:t>è</w:t>
      </w:r>
      <w:r w:rsidRPr="00687630">
        <w:rPr>
          <w:rFonts w:ascii="Times New Roman" w:hAnsi="Times New Roman" w:cs="Times New Roman"/>
        </w:rPr>
        <w:t xml:space="preserve"> corretto parlare di un’influenza del misticismo ebraico sulla teoria hegeliana della negatività del pensiero </w:t>
      </w:r>
      <w:r w:rsidR="007A73A9">
        <w:rPr>
          <w:rFonts w:ascii="Times New Roman" w:hAnsi="Times New Roman" w:cs="Times New Roman"/>
        </w:rPr>
        <w:t xml:space="preserve">senza che </w:t>
      </w:r>
      <w:r w:rsidR="007A4C40">
        <w:rPr>
          <w:rFonts w:ascii="Times New Roman" w:hAnsi="Times New Roman" w:cs="Times New Roman"/>
        </w:rPr>
        <w:t xml:space="preserve">si possano </w:t>
      </w:r>
      <w:r w:rsidR="007A73A9">
        <w:rPr>
          <w:rFonts w:ascii="Times New Roman" w:hAnsi="Times New Roman" w:cs="Times New Roman"/>
        </w:rPr>
        <w:t xml:space="preserve">identificare </w:t>
      </w:r>
      <w:r w:rsidRPr="00687630">
        <w:rPr>
          <w:rFonts w:ascii="Times New Roman" w:hAnsi="Times New Roman" w:cs="Times New Roman"/>
        </w:rPr>
        <w:t xml:space="preserve">le fonti cabbalistiche consultate </w:t>
      </w:r>
      <w:r w:rsidRPr="001108D9">
        <w:rPr>
          <w:rFonts w:ascii="Times New Roman" w:hAnsi="Times New Roman" w:cs="Times New Roman"/>
        </w:rPr>
        <w:t>da Hegel</w:t>
      </w:r>
      <w:r w:rsidRPr="001108D9">
        <w:rPr>
          <w:rStyle w:val="Rimandonotaapidipagina"/>
          <w:rFonts w:ascii="Times New Roman" w:hAnsi="Times New Roman" w:cs="Times New Roman"/>
        </w:rPr>
        <w:footnoteReference w:id="21"/>
      </w:r>
      <w:r w:rsidRPr="001108D9">
        <w:rPr>
          <w:rFonts w:ascii="Times New Roman" w:hAnsi="Times New Roman" w:cs="Times New Roman"/>
        </w:rPr>
        <w:t xml:space="preserve">. </w:t>
      </w:r>
      <w:r w:rsidR="009B2201" w:rsidRPr="001108D9">
        <w:rPr>
          <w:rFonts w:ascii="Times New Roman" w:hAnsi="Times New Roman" w:cs="Times New Roman"/>
        </w:rPr>
        <w:t>L’aporeticità</w:t>
      </w:r>
      <w:r w:rsidRPr="001108D9">
        <w:rPr>
          <w:rFonts w:ascii="Times New Roman" w:hAnsi="Times New Roman" w:cs="Times New Roman"/>
        </w:rPr>
        <w:t xml:space="preserve"> </w:t>
      </w:r>
      <w:r w:rsidR="009B2080">
        <w:rPr>
          <w:rFonts w:ascii="Times New Roman" w:hAnsi="Times New Roman" w:cs="Times New Roman"/>
        </w:rPr>
        <w:t>dell</w:t>
      </w:r>
      <w:r w:rsidR="007A73A9" w:rsidRPr="001108D9">
        <w:rPr>
          <w:rFonts w:ascii="Times New Roman" w:hAnsi="Times New Roman" w:cs="Times New Roman"/>
        </w:rPr>
        <w:t>a posizione</w:t>
      </w:r>
      <w:r w:rsidR="007A4C40" w:rsidRPr="001108D9">
        <w:rPr>
          <w:rFonts w:ascii="Times New Roman" w:hAnsi="Times New Roman" w:cs="Times New Roman"/>
        </w:rPr>
        <w:t xml:space="preserve"> </w:t>
      </w:r>
      <w:r w:rsidR="009B2201" w:rsidRPr="001108D9">
        <w:rPr>
          <w:rFonts w:ascii="Times New Roman" w:hAnsi="Times New Roman" w:cs="Times New Roman"/>
        </w:rPr>
        <w:t xml:space="preserve">di Idel </w:t>
      </w:r>
      <w:r w:rsidR="007A73A9" w:rsidRPr="001108D9">
        <w:rPr>
          <w:rFonts w:ascii="Times New Roman" w:hAnsi="Times New Roman" w:cs="Times New Roman"/>
        </w:rPr>
        <w:t xml:space="preserve">ha </w:t>
      </w:r>
      <w:r w:rsidRPr="001108D9">
        <w:rPr>
          <w:rFonts w:ascii="Times New Roman" w:hAnsi="Times New Roman" w:cs="Times New Roman"/>
        </w:rPr>
        <w:t xml:space="preserve">una ragione </w:t>
      </w:r>
      <w:r w:rsidR="007A73A9" w:rsidRPr="001108D9">
        <w:rPr>
          <w:rFonts w:ascii="Times New Roman" w:hAnsi="Times New Roman" w:cs="Times New Roman"/>
        </w:rPr>
        <w:t xml:space="preserve">ben </w:t>
      </w:r>
      <w:r w:rsidRPr="001108D9">
        <w:rPr>
          <w:rFonts w:ascii="Times New Roman" w:hAnsi="Times New Roman" w:cs="Times New Roman"/>
        </w:rPr>
        <w:t>precisa:</w:t>
      </w:r>
      <w:r w:rsidR="009B2201" w:rsidRPr="001108D9">
        <w:rPr>
          <w:rFonts w:ascii="Times New Roman" w:hAnsi="Times New Roman" w:cs="Times New Roman"/>
        </w:rPr>
        <w:t xml:space="preserve"> </w:t>
      </w:r>
      <w:r w:rsidR="009B2201" w:rsidRPr="001108D9">
        <w:rPr>
          <w:rFonts w:ascii="Times New Roman" w:hAnsi="Times New Roman" w:cs="Times New Roman"/>
          <w:i/>
        </w:rPr>
        <w:t>Il male primordiale nella Qabbalah</w:t>
      </w:r>
      <w:r w:rsidR="009B2201">
        <w:rPr>
          <w:rFonts w:ascii="Times New Roman" w:hAnsi="Times New Roman" w:cs="Times New Roman"/>
        </w:rPr>
        <w:t xml:space="preserve"> </w:t>
      </w:r>
      <w:r w:rsidRPr="00687630">
        <w:rPr>
          <w:rFonts w:ascii="Times New Roman" w:hAnsi="Times New Roman" w:cs="Times New Roman"/>
        </w:rPr>
        <w:t xml:space="preserve">si struttura </w:t>
      </w:r>
      <w:r w:rsidRPr="006245B1">
        <w:rPr>
          <w:rFonts w:ascii="Times New Roman" w:hAnsi="Times New Roman" w:cs="Times New Roman"/>
        </w:rPr>
        <w:t>come un’inda</w:t>
      </w:r>
      <w:r w:rsidR="009B2080" w:rsidRPr="006245B1">
        <w:rPr>
          <w:rFonts w:ascii="Times New Roman" w:hAnsi="Times New Roman" w:cs="Times New Roman"/>
        </w:rPr>
        <w:t>gine filologicamente accurata su</w:t>
      </w:r>
      <w:r w:rsidRPr="006245B1">
        <w:rPr>
          <w:rFonts w:ascii="Times New Roman" w:hAnsi="Times New Roman" w:cs="Times New Roman"/>
        </w:rPr>
        <w:t>ll’interpretazione cabbalistica</w:t>
      </w:r>
      <w:r w:rsidRPr="00687630">
        <w:rPr>
          <w:rFonts w:ascii="Times New Roman" w:hAnsi="Times New Roman" w:cs="Times New Roman"/>
        </w:rPr>
        <w:t xml:space="preserve"> del male, all’interno della quale è suggerito un percorso di ricerca tutt’altro che scandagliato. </w:t>
      </w:r>
      <w:r w:rsidR="00687630" w:rsidRPr="00687630">
        <w:rPr>
          <w:rFonts w:ascii="Times New Roman" w:hAnsi="Times New Roman" w:cs="Times New Roman"/>
        </w:rPr>
        <w:t>I</w:t>
      </w:r>
      <w:r w:rsidRPr="00687630">
        <w:rPr>
          <w:rFonts w:ascii="Times New Roman" w:hAnsi="Times New Roman" w:cs="Times New Roman"/>
        </w:rPr>
        <w:t>n altre parole,</w:t>
      </w:r>
      <w:r w:rsidR="00687630" w:rsidRPr="00687630">
        <w:rPr>
          <w:rFonts w:ascii="Times New Roman" w:hAnsi="Times New Roman" w:cs="Times New Roman"/>
        </w:rPr>
        <w:t xml:space="preserve"> quello di Idel</w:t>
      </w:r>
      <w:r w:rsidRPr="00687630">
        <w:rPr>
          <w:rFonts w:ascii="Times New Roman" w:hAnsi="Times New Roman" w:cs="Times New Roman"/>
        </w:rPr>
        <w:t xml:space="preserve"> rappresenta un invito per gli studiosi del pensiero cabbalistico e hegeliano a prendere sul serio una prospettiva teoretica che potrebbe gettare una nuova luce su uno dei punti fermi del pensiero </w:t>
      </w:r>
      <w:r w:rsidR="007C2ED6" w:rsidRPr="00687630">
        <w:rPr>
          <w:rFonts w:ascii="Times New Roman" w:hAnsi="Times New Roman" w:cs="Times New Roman"/>
        </w:rPr>
        <w:t>di Hegel</w:t>
      </w:r>
      <w:r w:rsidRPr="00687630">
        <w:rPr>
          <w:rFonts w:ascii="Times New Roman" w:hAnsi="Times New Roman" w:cs="Times New Roman"/>
        </w:rPr>
        <w:t xml:space="preserve"> (la teoria della negatività assoluta del pensiero puro)</w:t>
      </w:r>
      <w:r w:rsidRPr="00687630">
        <w:rPr>
          <w:rStyle w:val="Rimandonotaapidipagina"/>
          <w:rFonts w:ascii="Times New Roman" w:hAnsi="Times New Roman" w:cs="Times New Roman"/>
        </w:rPr>
        <w:t xml:space="preserve"> </w:t>
      </w:r>
      <w:r w:rsidRPr="00687630">
        <w:rPr>
          <w:rStyle w:val="Rimandonotaapidipagina"/>
          <w:rFonts w:ascii="Times New Roman" w:hAnsi="Times New Roman" w:cs="Times New Roman"/>
        </w:rPr>
        <w:footnoteReference w:id="22"/>
      </w:r>
      <w:r w:rsidRPr="00687630">
        <w:rPr>
          <w:rFonts w:ascii="Times New Roman" w:hAnsi="Times New Roman" w:cs="Times New Roman"/>
        </w:rPr>
        <w:t>.</w:t>
      </w:r>
      <w:r>
        <w:rPr>
          <w:rFonts w:ascii="Times New Roman" w:hAnsi="Times New Roman" w:cs="Times New Roman"/>
        </w:rPr>
        <w:t xml:space="preserve"> </w:t>
      </w:r>
    </w:p>
    <w:p w14:paraId="72DA0A47" w14:textId="3989D127" w:rsidR="00782C8C" w:rsidRDefault="001B6629" w:rsidP="00687630">
      <w:pPr>
        <w:spacing w:line="360" w:lineRule="auto"/>
        <w:ind w:firstLine="567"/>
        <w:jc w:val="both"/>
        <w:rPr>
          <w:rFonts w:ascii="Times New Roman" w:hAnsi="Times New Roman" w:cs="Times New Roman"/>
        </w:rPr>
      </w:pPr>
      <w:r w:rsidRPr="00BD10D9">
        <w:rPr>
          <w:rFonts w:ascii="Times New Roman" w:hAnsi="Times New Roman" w:cs="Times New Roman"/>
        </w:rPr>
        <w:t xml:space="preserve">Dal momento che l’indirizzo </w:t>
      </w:r>
      <w:r w:rsidR="00153AFF" w:rsidRPr="00BD10D9">
        <w:rPr>
          <w:rFonts w:ascii="Times New Roman" w:hAnsi="Times New Roman" w:cs="Times New Roman"/>
        </w:rPr>
        <w:t xml:space="preserve">critico </w:t>
      </w:r>
      <w:r w:rsidRPr="00BD10D9">
        <w:rPr>
          <w:rFonts w:ascii="Times New Roman" w:hAnsi="Times New Roman" w:cs="Times New Roman"/>
        </w:rPr>
        <w:t xml:space="preserve">al quale afferisce </w:t>
      </w:r>
      <w:r w:rsidR="00094563">
        <w:rPr>
          <w:rFonts w:ascii="Times New Roman" w:hAnsi="Times New Roman" w:cs="Times New Roman"/>
        </w:rPr>
        <w:t xml:space="preserve">la tesi </w:t>
      </w:r>
      <w:r w:rsidR="00F73235" w:rsidRPr="00BD10D9">
        <w:rPr>
          <w:rFonts w:ascii="Times New Roman" w:hAnsi="Times New Roman" w:cs="Times New Roman"/>
        </w:rPr>
        <w:t xml:space="preserve">di </w:t>
      </w:r>
      <w:r w:rsidR="003968E0" w:rsidRPr="00BD10D9">
        <w:rPr>
          <w:rFonts w:ascii="Times New Roman" w:hAnsi="Times New Roman" w:cs="Times New Roman"/>
        </w:rPr>
        <w:t xml:space="preserve">Idel </w:t>
      </w:r>
      <w:r w:rsidRPr="00BD10D9">
        <w:rPr>
          <w:rFonts w:ascii="Times New Roman" w:hAnsi="Times New Roman" w:cs="Times New Roman"/>
        </w:rPr>
        <w:t>s</w:t>
      </w:r>
      <w:r w:rsidR="00BD10D9" w:rsidRPr="00BD10D9">
        <w:rPr>
          <w:rFonts w:ascii="Times New Roman" w:hAnsi="Times New Roman" w:cs="Times New Roman"/>
        </w:rPr>
        <w:t xml:space="preserve">i ritaglia </w:t>
      </w:r>
      <w:r w:rsidR="00153AFF" w:rsidRPr="00BD10D9">
        <w:rPr>
          <w:rFonts w:ascii="Times New Roman" w:hAnsi="Times New Roman" w:cs="Times New Roman"/>
        </w:rPr>
        <w:t>un</w:t>
      </w:r>
      <w:r w:rsidR="000C323F" w:rsidRPr="00BD10D9">
        <w:rPr>
          <w:rFonts w:ascii="Times New Roman" w:hAnsi="Times New Roman" w:cs="Times New Roman"/>
        </w:rPr>
        <w:t xml:space="preserve"> ruolo</w:t>
      </w:r>
      <w:r w:rsidR="00153AFF" w:rsidRPr="00BD10D9">
        <w:rPr>
          <w:rFonts w:ascii="Times New Roman" w:hAnsi="Times New Roman" w:cs="Times New Roman"/>
        </w:rPr>
        <w:t xml:space="preserve"> </w:t>
      </w:r>
      <w:r w:rsidR="000C323F" w:rsidRPr="00BD10D9">
        <w:rPr>
          <w:rFonts w:ascii="Times New Roman" w:hAnsi="Times New Roman" w:cs="Times New Roman"/>
        </w:rPr>
        <w:t xml:space="preserve">secondario </w:t>
      </w:r>
      <w:r w:rsidR="00153AFF" w:rsidRPr="00BD10D9">
        <w:rPr>
          <w:rFonts w:ascii="Times New Roman" w:hAnsi="Times New Roman" w:cs="Times New Roman"/>
        </w:rPr>
        <w:t xml:space="preserve">nel </w:t>
      </w:r>
      <w:r w:rsidR="00224631" w:rsidRPr="00BD10D9">
        <w:rPr>
          <w:rFonts w:ascii="Times New Roman" w:hAnsi="Times New Roman" w:cs="Times New Roman"/>
        </w:rPr>
        <w:t xml:space="preserve">panorama </w:t>
      </w:r>
      <w:r w:rsidR="007B0AE4" w:rsidRPr="00BD10D9">
        <w:rPr>
          <w:rFonts w:ascii="Times New Roman" w:hAnsi="Times New Roman" w:cs="Times New Roman"/>
        </w:rPr>
        <w:t xml:space="preserve">attuale </w:t>
      </w:r>
      <w:r w:rsidR="003968E0" w:rsidRPr="00BD10D9">
        <w:rPr>
          <w:rFonts w:ascii="Times New Roman" w:hAnsi="Times New Roman" w:cs="Times New Roman"/>
        </w:rPr>
        <w:t>degli studi hegeliani,</w:t>
      </w:r>
      <w:r w:rsidR="003968E0">
        <w:rPr>
          <w:rFonts w:ascii="Times New Roman" w:hAnsi="Times New Roman" w:cs="Times New Roman"/>
        </w:rPr>
        <w:t xml:space="preserve"> la novità de </w:t>
      </w:r>
      <w:r w:rsidR="003968E0" w:rsidRPr="00057A3B">
        <w:rPr>
          <w:rFonts w:ascii="Times New Roman" w:hAnsi="Times New Roman" w:cs="Times New Roman"/>
          <w:i/>
        </w:rPr>
        <w:t>Il male primordiale nella Qabbalah</w:t>
      </w:r>
      <w:r w:rsidR="003968E0">
        <w:rPr>
          <w:rFonts w:ascii="Times New Roman" w:hAnsi="Times New Roman" w:cs="Times New Roman"/>
        </w:rPr>
        <w:t xml:space="preserve"> non ha riscosso la debita attenzione fra gli specialisti del pensiero di Hegel. Convinto della legittimità storico-filosofica della tesi di Idel, ho deciso α) di prendere in esame la genesi della teoria hegeliana della negatività pura del pensiero puro e β) d’appurare se nella sua formulazione rientri o meno un’incidenza della tradizione mistica ebraica. </w:t>
      </w:r>
    </w:p>
    <w:p w14:paraId="23C493A6" w14:textId="342FA5F5" w:rsidR="00782C8C" w:rsidRDefault="003968E0" w:rsidP="00687630">
      <w:pPr>
        <w:spacing w:line="360" w:lineRule="auto"/>
        <w:ind w:firstLine="567"/>
        <w:jc w:val="both"/>
        <w:rPr>
          <w:rFonts w:ascii="Times New Roman" w:hAnsi="Times New Roman" w:cs="Times New Roman"/>
        </w:rPr>
      </w:pPr>
      <w:r w:rsidRPr="004B4FFD">
        <w:rPr>
          <w:rFonts w:ascii="Times New Roman" w:hAnsi="Times New Roman" w:cs="Times New Roman"/>
        </w:rPr>
        <w:t>Nel pr</w:t>
      </w:r>
      <w:r w:rsidR="002526F8" w:rsidRPr="004B4FFD">
        <w:rPr>
          <w:rFonts w:ascii="Times New Roman" w:hAnsi="Times New Roman" w:cs="Times New Roman"/>
        </w:rPr>
        <w:t xml:space="preserve">imo capitolo di questa ricerca, </w:t>
      </w:r>
      <w:r w:rsidRPr="004B4FFD">
        <w:rPr>
          <w:rFonts w:ascii="Times New Roman" w:hAnsi="Times New Roman" w:cs="Times New Roman"/>
        </w:rPr>
        <w:t xml:space="preserve">prenderò in esame gli scritti del periodo jenese, </w:t>
      </w:r>
      <w:r w:rsidR="00945A07" w:rsidRPr="004B4FFD">
        <w:rPr>
          <w:rFonts w:ascii="Times New Roman" w:hAnsi="Times New Roman" w:cs="Times New Roman"/>
        </w:rPr>
        <w:t xml:space="preserve">evidenziando </w:t>
      </w:r>
      <w:r w:rsidRPr="004B4FFD">
        <w:rPr>
          <w:rFonts w:ascii="Times New Roman" w:hAnsi="Times New Roman" w:cs="Times New Roman"/>
        </w:rPr>
        <w:t xml:space="preserve">l’itinerario speculativo attraverso cui Hegel </w:t>
      </w:r>
      <w:r w:rsidR="002526F8" w:rsidRPr="004B4FFD">
        <w:rPr>
          <w:rFonts w:ascii="Times New Roman" w:hAnsi="Times New Roman" w:cs="Times New Roman"/>
        </w:rPr>
        <w:t xml:space="preserve">ha </w:t>
      </w:r>
      <w:r w:rsidR="00945A07" w:rsidRPr="004B4FFD">
        <w:rPr>
          <w:rFonts w:ascii="Times New Roman" w:hAnsi="Times New Roman" w:cs="Times New Roman"/>
        </w:rPr>
        <w:t>ripensa</w:t>
      </w:r>
      <w:r w:rsidR="002526F8" w:rsidRPr="004B4FFD">
        <w:rPr>
          <w:rFonts w:ascii="Times New Roman" w:hAnsi="Times New Roman" w:cs="Times New Roman"/>
        </w:rPr>
        <w:t>to</w:t>
      </w:r>
      <w:r w:rsidR="00945A07" w:rsidRPr="004B4FFD">
        <w:rPr>
          <w:rFonts w:ascii="Times New Roman" w:hAnsi="Times New Roman" w:cs="Times New Roman"/>
        </w:rPr>
        <w:t xml:space="preserve"> </w:t>
      </w:r>
      <w:r w:rsidRPr="004B4FFD">
        <w:rPr>
          <w:rFonts w:ascii="Times New Roman" w:hAnsi="Times New Roman" w:cs="Times New Roman"/>
        </w:rPr>
        <w:t>l’Assoluto</w:t>
      </w:r>
      <w:r w:rsidR="00687630" w:rsidRPr="004B4FFD">
        <w:rPr>
          <w:rFonts w:ascii="Times New Roman" w:hAnsi="Times New Roman" w:cs="Times New Roman"/>
        </w:rPr>
        <w:t xml:space="preserve"> in termini soggettivi</w:t>
      </w:r>
      <w:r w:rsidR="002526F8" w:rsidRPr="004B4FFD">
        <w:rPr>
          <w:rFonts w:ascii="Times New Roman" w:hAnsi="Times New Roman" w:cs="Times New Roman"/>
        </w:rPr>
        <w:t>stici</w:t>
      </w:r>
      <w:r w:rsidRPr="004B4FFD">
        <w:rPr>
          <w:rFonts w:ascii="Times New Roman" w:hAnsi="Times New Roman" w:cs="Times New Roman"/>
        </w:rPr>
        <w:t>.</w:t>
      </w:r>
      <w:r>
        <w:rPr>
          <w:rFonts w:ascii="Times New Roman" w:hAnsi="Times New Roman" w:cs="Times New Roman"/>
        </w:rPr>
        <w:t xml:space="preserve"> Grazie all’analisi dei mat</w:t>
      </w:r>
      <w:r w:rsidR="00C167FE">
        <w:rPr>
          <w:rFonts w:ascii="Times New Roman" w:hAnsi="Times New Roman" w:cs="Times New Roman"/>
        </w:rPr>
        <w:t>eriali inediti del biennio 1804/</w:t>
      </w:r>
      <w:r>
        <w:rPr>
          <w:rFonts w:ascii="Times New Roman" w:hAnsi="Times New Roman" w:cs="Times New Roman"/>
        </w:rPr>
        <w:t xml:space="preserve">06 e della </w:t>
      </w:r>
      <w:r w:rsidRPr="00AE2503">
        <w:rPr>
          <w:rFonts w:ascii="Times New Roman" w:hAnsi="Times New Roman" w:cs="Times New Roman"/>
          <w:i/>
        </w:rPr>
        <w:t>Phänomenologie des Geistes</w:t>
      </w:r>
      <w:r>
        <w:rPr>
          <w:rFonts w:ascii="Times New Roman" w:hAnsi="Times New Roman" w:cs="Times New Roman"/>
        </w:rPr>
        <w:t>, sarà chiarita l’incidenza di Jakob Böhme nella formulazione di una teoria dell’Incondizionato imperniata sul carattere assoluto e auto-relazi</w:t>
      </w:r>
      <w:r w:rsidR="00945A07">
        <w:rPr>
          <w:rFonts w:ascii="Times New Roman" w:hAnsi="Times New Roman" w:cs="Times New Roman"/>
        </w:rPr>
        <w:t xml:space="preserve">onale della negazione </w:t>
      </w:r>
      <w:r w:rsidR="00945A07" w:rsidRPr="000F4F9B">
        <w:rPr>
          <w:rFonts w:ascii="Times New Roman" w:hAnsi="Times New Roman" w:cs="Times New Roman"/>
          <w:highlight w:val="yellow"/>
        </w:rPr>
        <w:t>(negazione</w:t>
      </w:r>
      <w:r w:rsidRPr="000F4F9B">
        <w:rPr>
          <w:rFonts w:ascii="Times New Roman" w:hAnsi="Times New Roman" w:cs="Times New Roman"/>
          <w:highlight w:val="yellow"/>
        </w:rPr>
        <w:t xml:space="preserve"> che</w:t>
      </w:r>
      <w:r w:rsidR="00945A07" w:rsidRPr="000F4F9B">
        <w:rPr>
          <w:rFonts w:ascii="Times New Roman" w:hAnsi="Times New Roman" w:cs="Times New Roman"/>
          <w:highlight w:val="yellow"/>
        </w:rPr>
        <w:t>,</w:t>
      </w:r>
      <w:r w:rsidRPr="000F4F9B">
        <w:rPr>
          <w:rFonts w:ascii="Times New Roman" w:hAnsi="Times New Roman" w:cs="Times New Roman"/>
          <w:highlight w:val="yellow"/>
        </w:rPr>
        <w:t xml:space="preserve"> </w:t>
      </w:r>
      <w:r w:rsidR="00A7764B" w:rsidRPr="000F4F9B">
        <w:rPr>
          <w:rFonts w:ascii="Times New Roman" w:hAnsi="Times New Roman" w:cs="Times New Roman"/>
          <w:highlight w:val="yellow"/>
        </w:rPr>
        <w:t>riferendosi a sè, si toglie e</w:t>
      </w:r>
      <w:r w:rsidR="00EC17E9" w:rsidRPr="000F4F9B">
        <w:rPr>
          <w:rFonts w:ascii="Times New Roman" w:hAnsi="Times New Roman" w:cs="Times New Roman"/>
          <w:highlight w:val="yellow"/>
        </w:rPr>
        <w:t xml:space="preserve">, </w:t>
      </w:r>
      <w:r w:rsidR="000F4F9B" w:rsidRPr="000F4F9B">
        <w:rPr>
          <w:rFonts w:ascii="Times New Roman" w:hAnsi="Times New Roman" w:cs="Times New Roman"/>
          <w:highlight w:val="yellow"/>
        </w:rPr>
        <w:t>toglien</w:t>
      </w:r>
      <w:r w:rsidR="00EC17E9" w:rsidRPr="000F4F9B">
        <w:rPr>
          <w:rFonts w:ascii="Times New Roman" w:hAnsi="Times New Roman" w:cs="Times New Roman"/>
          <w:highlight w:val="yellow"/>
        </w:rPr>
        <w:t>dosi,</w:t>
      </w:r>
      <w:r w:rsidR="00945A07" w:rsidRPr="000F4F9B">
        <w:rPr>
          <w:rFonts w:ascii="Times New Roman" w:hAnsi="Times New Roman" w:cs="Times New Roman"/>
          <w:highlight w:val="yellow"/>
        </w:rPr>
        <w:t xml:space="preserve"> </w:t>
      </w:r>
      <w:r w:rsidR="000F4F9B" w:rsidRPr="000F4F9B">
        <w:rPr>
          <w:rFonts w:ascii="Times New Roman" w:hAnsi="Times New Roman" w:cs="Times New Roman"/>
          <w:highlight w:val="yellow"/>
        </w:rPr>
        <w:t xml:space="preserve">si pone ed </w:t>
      </w:r>
      <w:r w:rsidR="00945A07" w:rsidRPr="000F4F9B">
        <w:rPr>
          <w:rFonts w:ascii="Times New Roman" w:hAnsi="Times New Roman" w:cs="Times New Roman"/>
          <w:highlight w:val="yellow"/>
        </w:rPr>
        <w:t>è positiva</w:t>
      </w:r>
      <w:r w:rsidRPr="000F4F9B">
        <w:rPr>
          <w:rFonts w:ascii="Times New Roman" w:hAnsi="Times New Roman" w:cs="Times New Roman"/>
          <w:highlight w:val="yellow"/>
        </w:rPr>
        <w:t>).</w:t>
      </w:r>
      <w:r>
        <w:rPr>
          <w:rFonts w:ascii="Times New Roman" w:hAnsi="Times New Roman" w:cs="Times New Roman"/>
        </w:rPr>
        <w:t xml:space="preserve"> </w:t>
      </w:r>
      <w:r w:rsidRPr="00F736DC">
        <w:rPr>
          <w:rFonts w:ascii="Times New Roman" w:hAnsi="Times New Roman" w:cs="Times New Roman"/>
        </w:rPr>
        <w:t xml:space="preserve">Il fatto che le rappresentazioni böhmiane della </w:t>
      </w:r>
      <w:r w:rsidRPr="00F736DC">
        <w:rPr>
          <w:rFonts w:ascii="Times New Roman" w:hAnsi="Times New Roman" w:cs="Times New Roman"/>
          <w:i/>
        </w:rPr>
        <w:t>Zorn Gottes</w:t>
      </w:r>
      <w:r w:rsidRPr="00F736DC">
        <w:rPr>
          <w:rFonts w:ascii="Times New Roman" w:hAnsi="Times New Roman" w:cs="Times New Roman"/>
        </w:rPr>
        <w:t xml:space="preserve"> e dell’</w:t>
      </w:r>
      <w:r w:rsidRPr="00F736DC">
        <w:rPr>
          <w:rFonts w:ascii="Times New Roman" w:hAnsi="Times New Roman" w:cs="Times New Roman"/>
          <w:i/>
        </w:rPr>
        <w:t xml:space="preserve">Abfall Lucifers </w:t>
      </w:r>
      <w:r w:rsidRPr="00F736DC">
        <w:rPr>
          <w:rFonts w:ascii="Times New Roman" w:hAnsi="Times New Roman" w:cs="Times New Roman"/>
        </w:rPr>
        <w:t xml:space="preserve">siano progressivamente assimilate alla negatività priva di presupposti dell’Assoluto </w:t>
      </w:r>
      <w:r w:rsidR="001E7DE7">
        <w:rPr>
          <w:rFonts w:ascii="Times New Roman" w:hAnsi="Times New Roman" w:cs="Times New Roman"/>
        </w:rPr>
        <w:t>testimonia –</w:t>
      </w:r>
      <w:r w:rsidR="00D175F0">
        <w:rPr>
          <w:rFonts w:ascii="Times New Roman" w:hAnsi="Times New Roman" w:cs="Times New Roman"/>
        </w:rPr>
        <w:t xml:space="preserve"> entro certi limiti </w:t>
      </w:r>
      <w:r w:rsidR="001E7DE7">
        <w:rPr>
          <w:rFonts w:ascii="Times New Roman" w:hAnsi="Times New Roman" w:cs="Times New Roman"/>
        </w:rPr>
        <w:t>–</w:t>
      </w:r>
      <w:r w:rsidRPr="00F736DC">
        <w:rPr>
          <w:rFonts w:ascii="Times New Roman" w:hAnsi="Times New Roman" w:cs="Times New Roman"/>
        </w:rPr>
        <w:t xml:space="preserve"> l’esattezza dell’ipotesi interpretativa di Moshe Idel: il pensiero di Jakob Bö</w:t>
      </w:r>
      <w:r w:rsidR="00F736DC" w:rsidRPr="00F736DC">
        <w:rPr>
          <w:rFonts w:ascii="Times New Roman" w:hAnsi="Times New Roman" w:cs="Times New Roman"/>
        </w:rPr>
        <w:t>hme, in particolare la teoria che riconosce nel</w:t>
      </w:r>
      <w:r w:rsidRPr="00F736DC">
        <w:rPr>
          <w:rFonts w:ascii="Times New Roman" w:hAnsi="Times New Roman" w:cs="Times New Roman"/>
        </w:rPr>
        <w:t>l’oscurità (</w:t>
      </w:r>
      <w:r w:rsidRPr="00F736DC">
        <w:rPr>
          <w:rFonts w:ascii="Times New Roman" w:hAnsi="Times New Roman" w:cs="Times New Roman"/>
          <w:i/>
        </w:rPr>
        <w:t xml:space="preserve">Zorn </w:t>
      </w:r>
      <w:r w:rsidRPr="00414BCC">
        <w:rPr>
          <w:rFonts w:ascii="Times New Roman" w:hAnsi="Times New Roman" w:cs="Times New Roman"/>
          <w:i/>
        </w:rPr>
        <w:t>Gottes</w:t>
      </w:r>
      <w:r w:rsidRPr="00414BCC">
        <w:rPr>
          <w:rFonts w:ascii="Times New Roman" w:hAnsi="Times New Roman" w:cs="Times New Roman"/>
        </w:rPr>
        <w:t>) un principio esplicativo alla natura divina, costituisce il tramite di un universo simbolico e tematico già presente nella tradizione mistica ebraica. Se</w:t>
      </w:r>
      <w:r w:rsidR="00683F0B" w:rsidRPr="00414BCC">
        <w:rPr>
          <w:rFonts w:ascii="Times New Roman" w:hAnsi="Times New Roman" w:cs="Times New Roman"/>
        </w:rPr>
        <w:t>bbene</w:t>
      </w:r>
      <w:r w:rsidRPr="00414BCC">
        <w:rPr>
          <w:rFonts w:ascii="Times New Roman" w:hAnsi="Times New Roman" w:cs="Times New Roman"/>
        </w:rPr>
        <w:t xml:space="preserve"> </w:t>
      </w:r>
      <w:r w:rsidR="00687630" w:rsidRPr="00414BCC">
        <w:rPr>
          <w:rFonts w:ascii="Times New Roman" w:hAnsi="Times New Roman" w:cs="Times New Roman"/>
        </w:rPr>
        <w:t xml:space="preserve">negli </w:t>
      </w:r>
      <w:r w:rsidR="00687630" w:rsidRPr="00414BCC">
        <w:rPr>
          <w:rFonts w:ascii="Times New Roman" w:hAnsi="Times New Roman" w:cs="Times New Roman"/>
          <w:i/>
        </w:rPr>
        <w:t>Jenaer Schriften</w:t>
      </w:r>
      <w:r w:rsidR="00687630" w:rsidRPr="00414BCC">
        <w:rPr>
          <w:rFonts w:ascii="Times New Roman" w:hAnsi="Times New Roman" w:cs="Times New Roman"/>
        </w:rPr>
        <w:t xml:space="preserve"> non</w:t>
      </w:r>
      <w:r w:rsidR="00D175F0" w:rsidRPr="00414BCC">
        <w:rPr>
          <w:rFonts w:ascii="Times New Roman" w:hAnsi="Times New Roman" w:cs="Times New Roman"/>
        </w:rPr>
        <w:t xml:space="preserve"> vi</w:t>
      </w:r>
      <w:r w:rsidR="00687630" w:rsidRPr="00414BCC">
        <w:rPr>
          <w:rFonts w:ascii="Times New Roman" w:hAnsi="Times New Roman" w:cs="Times New Roman"/>
        </w:rPr>
        <w:t xml:space="preserve"> siano tracce di una conoscenza diretta</w:t>
      </w:r>
      <w:r w:rsidRPr="00414BCC">
        <w:rPr>
          <w:rFonts w:ascii="Times New Roman" w:hAnsi="Times New Roman" w:cs="Times New Roman"/>
        </w:rPr>
        <w:t xml:space="preserve"> della </w:t>
      </w:r>
      <w:r w:rsidR="001E7DE7" w:rsidRPr="00414BCC">
        <w:rPr>
          <w:rFonts w:ascii="Times New Roman" w:hAnsi="Times New Roman" w:cs="Times New Roman"/>
        </w:rPr>
        <w:t xml:space="preserve">Qabbalah </w:t>
      </w:r>
      <w:r w:rsidR="00D175F0" w:rsidRPr="00414BCC">
        <w:rPr>
          <w:rFonts w:ascii="Times New Roman" w:hAnsi="Times New Roman" w:cs="Times New Roman"/>
        </w:rPr>
        <w:t xml:space="preserve">ebraica, Hegel </w:t>
      </w:r>
      <w:r w:rsidR="00683F0B" w:rsidRPr="00414BCC">
        <w:rPr>
          <w:rFonts w:ascii="Times New Roman" w:hAnsi="Times New Roman" w:cs="Times New Roman"/>
        </w:rPr>
        <w:t>sviluppa un’</w:t>
      </w:r>
      <w:r w:rsidR="00D175F0" w:rsidRPr="00414BCC">
        <w:rPr>
          <w:rFonts w:ascii="Times New Roman" w:hAnsi="Times New Roman" w:cs="Times New Roman"/>
        </w:rPr>
        <w:t>interpreta</w:t>
      </w:r>
      <w:r w:rsidR="00683F0B" w:rsidRPr="00414BCC">
        <w:rPr>
          <w:rFonts w:ascii="Times New Roman" w:hAnsi="Times New Roman" w:cs="Times New Roman"/>
        </w:rPr>
        <w:t>zione di</w:t>
      </w:r>
      <w:r w:rsidR="00D175F0" w:rsidRPr="00414BCC">
        <w:rPr>
          <w:rFonts w:ascii="Times New Roman" w:hAnsi="Times New Roman" w:cs="Times New Roman"/>
        </w:rPr>
        <w:t xml:space="preserve"> </w:t>
      </w:r>
      <w:r w:rsidRPr="00414BCC">
        <w:rPr>
          <w:rFonts w:ascii="Times New Roman" w:hAnsi="Times New Roman" w:cs="Times New Roman"/>
        </w:rPr>
        <w:t xml:space="preserve">alcune immagini böhmiane (di per sé prossime al misticismo ebraico) </w:t>
      </w:r>
      <w:r w:rsidR="009B2080">
        <w:rPr>
          <w:rFonts w:ascii="Times New Roman" w:hAnsi="Times New Roman" w:cs="Times New Roman"/>
        </w:rPr>
        <w:t xml:space="preserve">contigua </w:t>
      </w:r>
      <w:r w:rsidR="00683F0B" w:rsidRPr="00414BCC">
        <w:rPr>
          <w:rFonts w:ascii="Times New Roman" w:hAnsi="Times New Roman" w:cs="Times New Roman"/>
        </w:rPr>
        <w:t>al</w:t>
      </w:r>
      <w:r w:rsidRPr="00414BCC">
        <w:rPr>
          <w:rFonts w:ascii="Times New Roman" w:hAnsi="Times New Roman" w:cs="Times New Roman"/>
        </w:rPr>
        <w:t>la</w:t>
      </w:r>
      <w:r w:rsidR="00C81DBB" w:rsidRPr="00414BCC">
        <w:rPr>
          <w:rFonts w:ascii="Times New Roman" w:hAnsi="Times New Roman" w:cs="Times New Roman"/>
        </w:rPr>
        <w:t xml:space="preserve"> teoria (già cabbalistica) dell</w:t>
      </w:r>
      <w:r w:rsidRPr="00414BCC">
        <w:rPr>
          <w:rFonts w:ascii="Times New Roman" w:hAnsi="Times New Roman" w:cs="Times New Roman"/>
        </w:rPr>
        <w:t>a negatività originaria del pensiero divino.</w:t>
      </w:r>
      <w:r>
        <w:rPr>
          <w:rFonts w:ascii="Times New Roman" w:hAnsi="Times New Roman" w:cs="Times New Roman"/>
        </w:rPr>
        <w:t xml:space="preserve"> </w:t>
      </w:r>
    </w:p>
    <w:p w14:paraId="4FDF09DB" w14:textId="7CBDCEA4" w:rsidR="00782C8C" w:rsidRDefault="003968E0" w:rsidP="00687630">
      <w:pPr>
        <w:spacing w:line="360" w:lineRule="auto"/>
        <w:ind w:firstLine="567"/>
        <w:jc w:val="both"/>
        <w:rPr>
          <w:rFonts w:ascii="Times New Roman" w:hAnsi="Times New Roman" w:cs="Times New Roman"/>
        </w:rPr>
      </w:pPr>
      <w:r w:rsidRPr="005377DE">
        <w:rPr>
          <w:rFonts w:ascii="Times New Roman" w:hAnsi="Times New Roman" w:cs="Times New Roman"/>
        </w:rPr>
        <w:t xml:space="preserve">Quest’interpretazione dell’opera del ciabattino di Görlitz sarà mantenuta anche </w:t>
      </w:r>
      <w:r w:rsidR="00782C8C" w:rsidRPr="005377DE">
        <w:rPr>
          <w:rFonts w:ascii="Times New Roman" w:hAnsi="Times New Roman" w:cs="Times New Roman"/>
        </w:rPr>
        <w:t xml:space="preserve">nel </w:t>
      </w:r>
      <w:r w:rsidRPr="005377DE">
        <w:rPr>
          <w:rFonts w:ascii="Times New Roman" w:hAnsi="Times New Roman" w:cs="Times New Roman"/>
        </w:rPr>
        <w:t xml:space="preserve">capolavoro hegeliano della maturità: la </w:t>
      </w:r>
      <w:r w:rsidRPr="005377DE">
        <w:rPr>
          <w:rFonts w:ascii="Times New Roman" w:hAnsi="Times New Roman" w:cs="Times New Roman"/>
          <w:i/>
        </w:rPr>
        <w:t>Wissenschaft der Logik</w:t>
      </w:r>
      <w:r w:rsidRPr="005377DE">
        <w:rPr>
          <w:rFonts w:ascii="Times New Roman" w:hAnsi="Times New Roman" w:cs="Times New Roman"/>
        </w:rPr>
        <w:t>. Nel secondo capitolo di questo contributo, sottolineerò l’interpretazione logica dell’</w:t>
      </w:r>
      <w:r w:rsidRPr="005377DE">
        <w:rPr>
          <w:rFonts w:ascii="Times New Roman" w:hAnsi="Times New Roman" w:cs="Times New Roman"/>
          <w:i/>
        </w:rPr>
        <w:t xml:space="preserve">Inqualierung </w:t>
      </w:r>
      <w:r w:rsidRPr="005377DE">
        <w:rPr>
          <w:rFonts w:ascii="Times New Roman" w:hAnsi="Times New Roman" w:cs="Times New Roman"/>
        </w:rPr>
        <w:t>böhmiano. Espressione dell’</w:t>
      </w:r>
      <w:r w:rsidRPr="005377DE">
        <w:rPr>
          <w:rFonts w:ascii="Times New Roman" w:hAnsi="Times New Roman" w:cs="Times New Roman"/>
          <w:i/>
        </w:rPr>
        <w:t>Unruhe</w:t>
      </w:r>
      <w:r w:rsidRPr="005377DE">
        <w:rPr>
          <w:rFonts w:ascii="Times New Roman" w:hAnsi="Times New Roman" w:cs="Times New Roman"/>
        </w:rPr>
        <w:t xml:space="preserve"> che permea la determinazione (</w:t>
      </w:r>
      <w:r w:rsidRPr="005377DE">
        <w:rPr>
          <w:rFonts w:ascii="Times New Roman" w:hAnsi="Times New Roman" w:cs="Times New Roman"/>
          <w:i/>
        </w:rPr>
        <w:t>Bestimmtheit</w:t>
      </w:r>
      <w:r w:rsidRPr="005377DE">
        <w:rPr>
          <w:rFonts w:ascii="Times New Roman" w:hAnsi="Times New Roman" w:cs="Times New Roman"/>
        </w:rPr>
        <w:t>) della</w:t>
      </w:r>
      <w:r w:rsidR="00782C8C" w:rsidRPr="005377DE">
        <w:rPr>
          <w:rFonts w:ascii="Times New Roman" w:hAnsi="Times New Roman" w:cs="Times New Roman"/>
        </w:rPr>
        <w:t xml:space="preserve"> </w:t>
      </w:r>
      <w:r w:rsidR="00782C8C" w:rsidRPr="005377DE">
        <w:rPr>
          <w:rFonts w:ascii="Times New Roman" w:hAnsi="Times New Roman" w:cs="Times New Roman"/>
          <w:i/>
        </w:rPr>
        <w:t>Logik des Seyns</w:t>
      </w:r>
      <w:r w:rsidR="002526F8" w:rsidRPr="005377DE">
        <w:rPr>
          <w:rFonts w:ascii="Times New Roman" w:hAnsi="Times New Roman" w:cs="Times New Roman"/>
        </w:rPr>
        <w:t xml:space="preserve"> e</w:t>
      </w:r>
      <w:r w:rsidRPr="005377DE">
        <w:rPr>
          <w:rFonts w:ascii="Times New Roman" w:hAnsi="Times New Roman" w:cs="Times New Roman"/>
        </w:rPr>
        <w:t xml:space="preserve"> l’opposizione (</w:t>
      </w:r>
      <w:r w:rsidRPr="005377DE">
        <w:rPr>
          <w:rFonts w:ascii="Times New Roman" w:hAnsi="Times New Roman" w:cs="Times New Roman"/>
          <w:i/>
          <w:lang w:val="de-DE"/>
        </w:rPr>
        <w:t>Gegensatz</w:t>
      </w:r>
      <w:r w:rsidRPr="005377DE">
        <w:rPr>
          <w:rFonts w:ascii="Times New Roman" w:hAnsi="Times New Roman" w:cs="Times New Roman"/>
        </w:rPr>
        <w:t xml:space="preserve">) della </w:t>
      </w:r>
      <w:r w:rsidRPr="005377DE">
        <w:rPr>
          <w:rFonts w:ascii="Times New Roman" w:hAnsi="Times New Roman" w:cs="Times New Roman"/>
          <w:i/>
        </w:rPr>
        <w:t>Wesenslogik</w:t>
      </w:r>
      <w:r w:rsidRPr="005377DE">
        <w:rPr>
          <w:rFonts w:ascii="Times New Roman" w:hAnsi="Times New Roman" w:cs="Times New Roman"/>
        </w:rPr>
        <w:t>, l’</w:t>
      </w:r>
      <w:r w:rsidRPr="005377DE">
        <w:rPr>
          <w:rFonts w:ascii="Times New Roman" w:hAnsi="Times New Roman" w:cs="Times New Roman"/>
          <w:i/>
        </w:rPr>
        <w:t xml:space="preserve">Inqualierung </w:t>
      </w:r>
      <w:r w:rsidR="002526F8" w:rsidRPr="005377DE">
        <w:rPr>
          <w:rFonts w:ascii="Times New Roman" w:hAnsi="Times New Roman" w:cs="Times New Roman"/>
        </w:rPr>
        <w:t xml:space="preserve">è espressione della </w:t>
      </w:r>
      <w:r w:rsidRPr="005377DE">
        <w:rPr>
          <w:rFonts w:ascii="Times New Roman" w:hAnsi="Times New Roman" w:cs="Times New Roman"/>
        </w:rPr>
        <w:t>contra</w:t>
      </w:r>
      <w:r w:rsidR="002526F8" w:rsidRPr="005377DE">
        <w:rPr>
          <w:rFonts w:ascii="Times New Roman" w:hAnsi="Times New Roman" w:cs="Times New Roman"/>
        </w:rPr>
        <w:t>ddittorietà</w:t>
      </w:r>
      <w:r w:rsidRPr="005377DE">
        <w:rPr>
          <w:rFonts w:ascii="Times New Roman" w:hAnsi="Times New Roman" w:cs="Times New Roman"/>
        </w:rPr>
        <w:t xml:space="preserve"> dell’elemento logico. Dato il carattere ricorsivo della </w:t>
      </w:r>
      <w:r w:rsidRPr="005377DE">
        <w:rPr>
          <w:rFonts w:ascii="Times New Roman" w:hAnsi="Times New Roman" w:cs="Times New Roman"/>
          <w:i/>
        </w:rPr>
        <w:t>Wissenschaft der Logik</w:t>
      </w:r>
      <w:r w:rsidR="00F736DC" w:rsidRPr="005377DE">
        <w:rPr>
          <w:rFonts w:ascii="Times New Roman" w:hAnsi="Times New Roman" w:cs="Times New Roman"/>
        </w:rPr>
        <w:t xml:space="preserve">, i riferimenti </w:t>
      </w:r>
      <w:r w:rsidR="00EC17E9">
        <w:rPr>
          <w:rFonts w:ascii="Times New Roman" w:hAnsi="Times New Roman" w:cs="Times New Roman"/>
        </w:rPr>
        <w:t xml:space="preserve">– </w:t>
      </w:r>
      <w:r w:rsidR="00F736DC" w:rsidRPr="005377DE">
        <w:rPr>
          <w:rFonts w:ascii="Times New Roman" w:hAnsi="Times New Roman" w:cs="Times New Roman"/>
        </w:rPr>
        <w:t>diretti e</w:t>
      </w:r>
      <w:r w:rsidRPr="005377DE">
        <w:rPr>
          <w:rFonts w:ascii="Times New Roman" w:hAnsi="Times New Roman" w:cs="Times New Roman"/>
        </w:rPr>
        <w:t xml:space="preserve"> indiretti</w:t>
      </w:r>
      <w:r w:rsidR="002526F8" w:rsidRPr="005377DE">
        <w:rPr>
          <w:rFonts w:ascii="Times New Roman" w:hAnsi="Times New Roman" w:cs="Times New Roman"/>
        </w:rPr>
        <w:t xml:space="preserve"> </w:t>
      </w:r>
      <w:r w:rsidR="00EC17E9">
        <w:rPr>
          <w:rFonts w:ascii="Times New Roman" w:hAnsi="Times New Roman" w:cs="Times New Roman"/>
        </w:rPr>
        <w:t xml:space="preserve">– </w:t>
      </w:r>
      <w:r w:rsidRPr="005377DE">
        <w:rPr>
          <w:rFonts w:ascii="Times New Roman" w:hAnsi="Times New Roman" w:cs="Times New Roman"/>
        </w:rPr>
        <w:t xml:space="preserve">al ciabattino di Görlitz ruoteranno attorno a quella necessità teorica, già formulata negli </w:t>
      </w:r>
      <w:r w:rsidRPr="005377DE">
        <w:rPr>
          <w:rFonts w:ascii="Times New Roman" w:hAnsi="Times New Roman" w:cs="Times New Roman"/>
          <w:i/>
          <w:lang w:val="de-DE"/>
        </w:rPr>
        <w:t>Jenaer Schriften</w:t>
      </w:r>
      <w:r w:rsidRPr="005377DE">
        <w:rPr>
          <w:rFonts w:ascii="Times New Roman" w:hAnsi="Times New Roman" w:cs="Times New Roman"/>
        </w:rPr>
        <w:t xml:space="preserve">, di pensare il </w:t>
      </w:r>
      <w:r w:rsidRPr="009B2080">
        <w:rPr>
          <w:rFonts w:ascii="Times New Roman" w:hAnsi="Times New Roman" w:cs="Times New Roman"/>
          <w:i/>
        </w:rPr>
        <w:t>vero altrettanto decisamente come soggetto</w:t>
      </w:r>
      <w:r w:rsidRPr="005377DE">
        <w:rPr>
          <w:rFonts w:ascii="Times New Roman" w:hAnsi="Times New Roman" w:cs="Times New Roman"/>
        </w:rPr>
        <w:t xml:space="preserve">. La negatività assoluta del pensiero puro </w:t>
      </w:r>
      <w:r w:rsidR="00094563">
        <w:rPr>
          <w:rFonts w:ascii="Times New Roman" w:hAnsi="Times New Roman" w:cs="Times New Roman"/>
        </w:rPr>
        <w:t xml:space="preserve">assorbe </w:t>
      </w:r>
      <w:r w:rsidRPr="005377DE">
        <w:rPr>
          <w:rFonts w:ascii="Times New Roman" w:hAnsi="Times New Roman" w:cs="Times New Roman"/>
        </w:rPr>
        <w:t>quell’inquietudine</w:t>
      </w:r>
      <w:r w:rsidR="00782C8C" w:rsidRPr="005377DE">
        <w:rPr>
          <w:rFonts w:ascii="Times New Roman" w:hAnsi="Times New Roman" w:cs="Times New Roman"/>
        </w:rPr>
        <w:t xml:space="preserve"> (</w:t>
      </w:r>
      <w:r w:rsidR="00782C8C" w:rsidRPr="005377DE">
        <w:rPr>
          <w:rFonts w:ascii="Times New Roman" w:hAnsi="Times New Roman" w:cs="Times New Roman"/>
          <w:i/>
        </w:rPr>
        <w:t>Unruhe</w:t>
      </w:r>
      <w:r w:rsidR="00782C8C" w:rsidRPr="005377DE">
        <w:rPr>
          <w:rFonts w:ascii="Times New Roman" w:hAnsi="Times New Roman" w:cs="Times New Roman"/>
        </w:rPr>
        <w:t>)</w:t>
      </w:r>
      <w:r w:rsidRPr="005377DE">
        <w:rPr>
          <w:rFonts w:ascii="Times New Roman" w:hAnsi="Times New Roman" w:cs="Times New Roman"/>
        </w:rPr>
        <w:t xml:space="preserve"> </w:t>
      </w:r>
      <w:r w:rsidR="00202FDB" w:rsidRPr="005377DE">
        <w:rPr>
          <w:rFonts w:ascii="Times New Roman" w:hAnsi="Times New Roman" w:cs="Times New Roman"/>
        </w:rPr>
        <w:t xml:space="preserve">di matrice böhmiana, </w:t>
      </w:r>
      <w:r w:rsidRPr="005377DE">
        <w:rPr>
          <w:rFonts w:ascii="Times New Roman" w:hAnsi="Times New Roman" w:cs="Times New Roman"/>
        </w:rPr>
        <w:t>che è scaturigine (</w:t>
      </w:r>
      <w:r w:rsidRPr="005377DE">
        <w:rPr>
          <w:rFonts w:ascii="Times New Roman" w:hAnsi="Times New Roman" w:cs="Times New Roman"/>
          <w:i/>
        </w:rPr>
        <w:t>Quelle</w:t>
      </w:r>
      <w:r w:rsidRPr="005377DE">
        <w:rPr>
          <w:rFonts w:ascii="Times New Roman" w:hAnsi="Times New Roman" w:cs="Times New Roman"/>
        </w:rPr>
        <w:t>) della logica di sviluppo non soltanto d</w:t>
      </w:r>
      <w:r w:rsidR="00A41869" w:rsidRPr="005377DE">
        <w:rPr>
          <w:rFonts w:ascii="Times New Roman" w:hAnsi="Times New Roman" w:cs="Times New Roman"/>
        </w:rPr>
        <w:t xml:space="preserve">el puro pensiero, ma anche di ciò che è </w:t>
      </w:r>
      <w:r w:rsidRPr="005377DE">
        <w:rPr>
          <w:rFonts w:ascii="Times New Roman" w:hAnsi="Times New Roman" w:cs="Times New Roman"/>
        </w:rPr>
        <w:t>effettuale (</w:t>
      </w:r>
      <w:r w:rsidRPr="005377DE">
        <w:rPr>
          <w:rFonts w:ascii="Times New Roman" w:hAnsi="Times New Roman" w:cs="Times New Roman"/>
          <w:i/>
        </w:rPr>
        <w:t>das Wirkliche</w:t>
      </w:r>
      <w:r w:rsidRPr="005377DE">
        <w:rPr>
          <w:rFonts w:ascii="Times New Roman" w:hAnsi="Times New Roman" w:cs="Times New Roman"/>
        </w:rPr>
        <w:t>).</w:t>
      </w:r>
      <w:r>
        <w:rPr>
          <w:rFonts w:ascii="Times New Roman" w:hAnsi="Times New Roman" w:cs="Times New Roman"/>
        </w:rPr>
        <w:t xml:space="preserve"> </w:t>
      </w:r>
    </w:p>
    <w:p w14:paraId="7079B1B9" w14:textId="77777777" w:rsidR="007A4C40" w:rsidRDefault="003968E0" w:rsidP="007A4C40">
      <w:pPr>
        <w:spacing w:line="360" w:lineRule="auto"/>
        <w:ind w:firstLine="567"/>
        <w:jc w:val="both"/>
        <w:rPr>
          <w:rFonts w:ascii="Times New Roman" w:hAnsi="Times New Roman" w:cs="Times New Roman"/>
        </w:rPr>
      </w:pPr>
      <w:r w:rsidRPr="005377DE">
        <w:rPr>
          <w:rFonts w:ascii="Times New Roman" w:hAnsi="Times New Roman" w:cs="Times New Roman"/>
        </w:rPr>
        <w:t xml:space="preserve">Sul fatto che il recupero hegeliano della spontaneità (negatività) del pensiero </w:t>
      </w:r>
      <w:r w:rsidR="002526F8" w:rsidRPr="005377DE">
        <w:rPr>
          <w:rFonts w:ascii="Times New Roman" w:hAnsi="Times New Roman" w:cs="Times New Roman"/>
        </w:rPr>
        <w:t xml:space="preserve">puro </w:t>
      </w:r>
      <w:r w:rsidRPr="005377DE">
        <w:rPr>
          <w:rFonts w:ascii="Times New Roman" w:hAnsi="Times New Roman" w:cs="Times New Roman"/>
        </w:rPr>
        <w:t xml:space="preserve">non annoveri la Qabbalah ebraica </w:t>
      </w:r>
      <w:r w:rsidR="00FE4478" w:rsidRPr="005377DE">
        <w:rPr>
          <w:rFonts w:ascii="Times New Roman" w:hAnsi="Times New Roman" w:cs="Times New Roman"/>
        </w:rPr>
        <w:t>fra le sue fonti</w:t>
      </w:r>
      <w:r w:rsidR="003E0645" w:rsidRPr="005377DE">
        <w:rPr>
          <w:rFonts w:ascii="Times New Roman" w:hAnsi="Times New Roman" w:cs="Times New Roman"/>
        </w:rPr>
        <w:t xml:space="preserve"> </w:t>
      </w:r>
      <w:r w:rsidR="005377DE" w:rsidRPr="005377DE">
        <w:rPr>
          <w:rFonts w:ascii="Times New Roman" w:hAnsi="Times New Roman" w:cs="Times New Roman"/>
        </w:rPr>
        <w:t xml:space="preserve">dirette </w:t>
      </w:r>
      <w:r w:rsidRPr="005377DE">
        <w:rPr>
          <w:rFonts w:ascii="Times New Roman" w:hAnsi="Times New Roman" w:cs="Times New Roman"/>
        </w:rPr>
        <w:t>e si risolva, in ultima istanza, ad un’assimilazione selettiva di temati</w:t>
      </w:r>
      <w:r w:rsidR="002526F8" w:rsidRPr="005377DE">
        <w:rPr>
          <w:rFonts w:ascii="Times New Roman" w:hAnsi="Times New Roman" w:cs="Times New Roman"/>
        </w:rPr>
        <w:t>che d’ispirazione cabbalistica (</w:t>
      </w:r>
      <w:r w:rsidR="00F736DC" w:rsidRPr="005377DE">
        <w:rPr>
          <w:rFonts w:ascii="Times New Roman" w:hAnsi="Times New Roman" w:cs="Times New Roman"/>
          <w:i/>
        </w:rPr>
        <w:t>Zorn Gottes</w:t>
      </w:r>
      <w:r w:rsidR="00F736DC" w:rsidRPr="005377DE">
        <w:rPr>
          <w:rFonts w:ascii="Times New Roman" w:hAnsi="Times New Roman" w:cs="Times New Roman"/>
        </w:rPr>
        <w:t xml:space="preserve"> e </w:t>
      </w:r>
      <w:r w:rsidR="00F736DC" w:rsidRPr="005377DE">
        <w:rPr>
          <w:rFonts w:ascii="Times New Roman" w:hAnsi="Times New Roman" w:cs="Times New Roman"/>
          <w:i/>
        </w:rPr>
        <w:t>Abfall Lucifers</w:t>
      </w:r>
      <w:r w:rsidRPr="005377DE">
        <w:rPr>
          <w:rFonts w:ascii="Times New Roman" w:hAnsi="Times New Roman" w:cs="Times New Roman"/>
        </w:rPr>
        <w:t>), sarà fatta</w:t>
      </w:r>
      <w:r w:rsidR="00414BCC">
        <w:rPr>
          <w:rFonts w:ascii="Times New Roman" w:hAnsi="Times New Roman" w:cs="Times New Roman"/>
        </w:rPr>
        <w:t xml:space="preserve"> utleriore</w:t>
      </w:r>
      <w:r w:rsidRPr="005377DE">
        <w:rPr>
          <w:rFonts w:ascii="Times New Roman" w:hAnsi="Times New Roman" w:cs="Times New Roman"/>
        </w:rPr>
        <w:t xml:space="preserve"> chiarezza nel terzo </w:t>
      </w:r>
      <w:r w:rsidR="002526F8" w:rsidRPr="005377DE">
        <w:rPr>
          <w:rFonts w:ascii="Times New Roman" w:hAnsi="Times New Roman" w:cs="Times New Roman"/>
        </w:rPr>
        <w:t>capitolo di questo lavoro</w:t>
      </w:r>
      <w:r w:rsidRPr="005377DE">
        <w:rPr>
          <w:rFonts w:ascii="Times New Roman" w:hAnsi="Times New Roman" w:cs="Times New Roman"/>
        </w:rPr>
        <w:t xml:space="preserve">, </w:t>
      </w:r>
      <w:r w:rsidR="00F736DC" w:rsidRPr="005377DE">
        <w:rPr>
          <w:rFonts w:ascii="Times New Roman" w:hAnsi="Times New Roman" w:cs="Times New Roman"/>
        </w:rPr>
        <w:t xml:space="preserve">nel quale </w:t>
      </w:r>
      <w:r w:rsidR="00F736DC" w:rsidRPr="002B1FB9">
        <w:rPr>
          <w:rFonts w:ascii="Times New Roman" w:hAnsi="Times New Roman" w:cs="Times New Roman"/>
        </w:rPr>
        <w:t xml:space="preserve">prenderò in esame la </w:t>
      </w:r>
      <w:r w:rsidRPr="002B1FB9">
        <w:rPr>
          <w:rFonts w:ascii="Times New Roman" w:hAnsi="Times New Roman" w:cs="Times New Roman"/>
        </w:rPr>
        <w:t xml:space="preserve">ricezione del pensiero cabbalistico nella Germania del XVIII e XIX secolo. </w:t>
      </w:r>
      <w:r w:rsidR="00FE4478" w:rsidRPr="002B1FB9">
        <w:rPr>
          <w:rFonts w:ascii="Times New Roman" w:hAnsi="Times New Roman" w:cs="Times New Roman"/>
        </w:rPr>
        <w:t>Chiudere la presente</w:t>
      </w:r>
      <w:r w:rsidR="002526F8" w:rsidRPr="002B1FB9">
        <w:rPr>
          <w:rFonts w:ascii="Times New Roman" w:hAnsi="Times New Roman" w:cs="Times New Roman"/>
        </w:rPr>
        <w:t xml:space="preserve"> indagine</w:t>
      </w:r>
      <w:r w:rsidR="00FE4478" w:rsidRPr="002B1FB9">
        <w:rPr>
          <w:rFonts w:ascii="Times New Roman" w:hAnsi="Times New Roman" w:cs="Times New Roman"/>
        </w:rPr>
        <w:t xml:space="preserve"> con un capitolo che </w:t>
      </w:r>
      <w:r w:rsidR="002526F8" w:rsidRPr="002B1FB9">
        <w:rPr>
          <w:rFonts w:ascii="Times New Roman" w:hAnsi="Times New Roman" w:cs="Times New Roman"/>
        </w:rPr>
        <w:t xml:space="preserve">possiede tutte </w:t>
      </w:r>
      <w:r w:rsidR="00FE4478" w:rsidRPr="002B1FB9">
        <w:rPr>
          <w:rFonts w:ascii="Times New Roman" w:hAnsi="Times New Roman" w:cs="Times New Roman"/>
        </w:rPr>
        <w:t xml:space="preserve">le </w:t>
      </w:r>
      <w:r w:rsidR="00D33561" w:rsidRPr="002B1FB9">
        <w:rPr>
          <w:rFonts w:ascii="Times New Roman" w:hAnsi="Times New Roman" w:cs="Times New Roman"/>
        </w:rPr>
        <w:t xml:space="preserve">caratteristiche </w:t>
      </w:r>
      <w:r w:rsidR="00FE4478" w:rsidRPr="002B1FB9">
        <w:rPr>
          <w:rFonts w:ascii="Times New Roman" w:hAnsi="Times New Roman" w:cs="Times New Roman"/>
        </w:rPr>
        <w:t xml:space="preserve">di un’introduzione si </w:t>
      </w:r>
      <w:r w:rsidR="002526F8" w:rsidRPr="002B1FB9">
        <w:rPr>
          <w:rFonts w:ascii="Times New Roman" w:hAnsi="Times New Roman" w:cs="Times New Roman"/>
        </w:rPr>
        <w:t xml:space="preserve">spiega a partire dalla </w:t>
      </w:r>
      <w:r w:rsidR="000A7142" w:rsidRPr="002B1FB9">
        <w:rPr>
          <w:rFonts w:ascii="Times New Roman" w:hAnsi="Times New Roman" w:cs="Times New Roman"/>
        </w:rPr>
        <w:t>collocazione temporalmente tarda</w:t>
      </w:r>
      <w:r w:rsidRPr="002B1FB9">
        <w:rPr>
          <w:rFonts w:ascii="Times New Roman" w:hAnsi="Times New Roman" w:cs="Times New Roman"/>
        </w:rPr>
        <w:t xml:space="preserve"> dell’incontro hegeliano con l</w:t>
      </w:r>
      <w:r w:rsidR="00FE4478" w:rsidRPr="002B1FB9">
        <w:rPr>
          <w:rFonts w:ascii="Times New Roman" w:hAnsi="Times New Roman" w:cs="Times New Roman"/>
        </w:rPr>
        <w:t>a filosofia cabbalistica:</w:t>
      </w:r>
      <w:r w:rsidR="00FE4478" w:rsidRPr="005377DE">
        <w:rPr>
          <w:rFonts w:ascii="Times New Roman" w:hAnsi="Times New Roman" w:cs="Times New Roman"/>
        </w:rPr>
        <w:t xml:space="preserve"> è</w:t>
      </w:r>
      <w:r w:rsidRPr="005377DE">
        <w:rPr>
          <w:rFonts w:ascii="Times New Roman" w:hAnsi="Times New Roman" w:cs="Times New Roman"/>
        </w:rPr>
        <w:t xml:space="preserve"> in occasione de</w:t>
      </w:r>
      <w:r w:rsidR="005377DE" w:rsidRPr="005377DE">
        <w:rPr>
          <w:rFonts w:ascii="Times New Roman" w:hAnsi="Times New Roman" w:cs="Times New Roman"/>
        </w:rPr>
        <w:t xml:space="preserve">lle lezioni </w:t>
      </w:r>
      <w:r w:rsidR="005377DE" w:rsidRPr="007D1877">
        <w:rPr>
          <w:rFonts w:ascii="Times New Roman" w:hAnsi="Times New Roman" w:cs="Times New Roman"/>
        </w:rPr>
        <w:t>berlinesi sulla storia della filosofia</w:t>
      </w:r>
      <w:r w:rsidRPr="007D1877">
        <w:rPr>
          <w:rFonts w:ascii="Times New Roman" w:hAnsi="Times New Roman" w:cs="Times New Roman"/>
        </w:rPr>
        <w:t xml:space="preserve"> che Hegel, spinto da </w:t>
      </w:r>
      <w:r w:rsidR="00414BCC" w:rsidRPr="007D1877">
        <w:rPr>
          <w:rFonts w:ascii="Times New Roman" w:hAnsi="Times New Roman" w:cs="Times New Roman"/>
        </w:rPr>
        <w:t xml:space="preserve">motivazioni </w:t>
      </w:r>
      <w:r w:rsidRPr="007D1877">
        <w:rPr>
          <w:rFonts w:ascii="Times New Roman" w:hAnsi="Times New Roman" w:cs="Times New Roman"/>
        </w:rPr>
        <w:t xml:space="preserve">didattiche, si confronta con la storiografia </w:t>
      </w:r>
      <w:r w:rsidR="002B1FB9" w:rsidRPr="007D1877">
        <w:rPr>
          <w:rFonts w:ascii="Times New Roman" w:hAnsi="Times New Roman" w:cs="Times New Roman"/>
        </w:rPr>
        <w:t xml:space="preserve">del suo tempo </w:t>
      </w:r>
      <w:r w:rsidR="00A7764B" w:rsidRPr="007D1877">
        <w:rPr>
          <w:rFonts w:ascii="Times New Roman" w:hAnsi="Times New Roman" w:cs="Times New Roman"/>
        </w:rPr>
        <w:t xml:space="preserve">e offre </w:t>
      </w:r>
      <w:r w:rsidRPr="007D1877">
        <w:rPr>
          <w:rFonts w:ascii="Times New Roman" w:hAnsi="Times New Roman" w:cs="Times New Roman"/>
        </w:rPr>
        <w:t>un quadro schematico di un momento del pensiero filosofico – la Qabbalah ebraica –</w:t>
      </w:r>
      <w:r w:rsidR="00293B12" w:rsidRPr="007D1877">
        <w:rPr>
          <w:rFonts w:ascii="Times New Roman" w:hAnsi="Times New Roman" w:cs="Times New Roman"/>
        </w:rPr>
        <w:t xml:space="preserve"> con </w:t>
      </w:r>
      <w:r w:rsidRPr="007D1877">
        <w:rPr>
          <w:rFonts w:ascii="Times New Roman" w:hAnsi="Times New Roman" w:cs="Times New Roman"/>
        </w:rPr>
        <w:t>cui non</w:t>
      </w:r>
      <w:r w:rsidR="00293B12" w:rsidRPr="007D1877">
        <w:rPr>
          <w:rFonts w:ascii="Times New Roman" w:hAnsi="Times New Roman" w:cs="Times New Roman"/>
        </w:rPr>
        <w:t xml:space="preserve"> aveva </w:t>
      </w:r>
      <w:r w:rsidR="005377DE" w:rsidRPr="007D1877">
        <w:rPr>
          <w:rFonts w:ascii="Times New Roman" w:hAnsi="Times New Roman" w:cs="Times New Roman"/>
        </w:rPr>
        <w:t xml:space="preserve">particolare </w:t>
      </w:r>
      <w:r w:rsidR="00293B12" w:rsidRPr="007D1877">
        <w:rPr>
          <w:rFonts w:ascii="Times New Roman" w:hAnsi="Times New Roman" w:cs="Times New Roman"/>
        </w:rPr>
        <w:t>dimestichezza</w:t>
      </w:r>
      <w:r w:rsidRPr="007D1877">
        <w:rPr>
          <w:rFonts w:ascii="Times New Roman" w:hAnsi="Times New Roman" w:cs="Times New Roman"/>
        </w:rPr>
        <w:t>.</w:t>
      </w:r>
      <w:r w:rsidRPr="005377DE">
        <w:rPr>
          <w:rFonts w:ascii="Times New Roman" w:hAnsi="Times New Roman" w:cs="Times New Roman"/>
        </w:rPr>
        <w:t xml:space="preserve"> </w:t>
      </w:r>
    </w:p>
    <w:p w14:paraId="586442A6" w14:textId="5F21597E" w:rsidR="009B2080" w:rsidRDefault="003968E0" w:rsidP="009B2080">
      <w:pPr>
        <w:spacing w:line="360" w:lineRule="auto"/>
        <w:ind w:firstLine="567"/>
        <w:jc w:val="both"/>
        <w:rPr>
          <w:rFonts w:ascii="Times New Roman" w:hAnsi="Times New Roman" w:cs="Times New Roman"/>
        </w:rPr>
      </w:pPr>
      <w:r w:rsidRPr="005377DE">
        <w:rPr>
          <w:rFonts w:ascii="Times New Roman" w:hAnsi="Times New Roman" w:cs="Times New Roman"/>
        </w:rPr>
        <w:t>Da que</w:t>
      </w:r>
      <w:r w:rsidR="00FE4478" w:rsidRPr="005377DE">
        <w:rPr>
          <w:rFonts w:ascii="Times New Roman" w:hAnsi="Times New Roman" w:cs="Times New Roman"/>
        </w:rPr>
        <w:t xml:space="preserve">sto confronto, che non </w:t>
      </w:r>
      <w:r w:rsidR="00293B12" w:rsidRPr="005377DE">
        <w:rPr>
          <w:rFonts w:ascii="Times New Roman" w:hAnsi="Times New Roman" w:cs="Times New Roman"/>
        </w:rPr>
        <w:t xml:space="preserve">determina </w:t>
      </w:r>
      <w:r w:rsidR="00FE4478" w:rsidRPr="005377DE">
        <w:rPr>
          <w:rFonts w:ascii="Times New Roman" w:hAnsi="Times New Roman" w:cs="Times New Roman"/>
        </w:rPr>
        <w:t xml:space="preserve">una </w:t>
      </w:r>
      <w:r w:rsidRPr="005377DE">
        <w:rPr>
          <w:rFonts w:ascii="Times New Roman" w:hAnsi="Times New Roman" w:cs="Times New Roman"/>
        </w:rPr>
        <w:t xml:space="preserve">svolta </w:t>
      </w:r>
      <w:r w:rsidR="000A7142" w:rsidRPr="005377DE">
        <w:rPr>
          <w:rFonts w:ascii="Times New Roman" w:hAnsi="Times New Roman" w:cs="Times New Roman"/>
        </w:rPr>
        <w:t>nella comprensione hegeliana de</w:t>
      </w:r>
      <w:r w:rsidRPr="005377DE">
        <w:rPr>
          <w:rFonts w:ascii="Times New Roman" w:hAnsi="Times New Roman" w:cs="Times New Roman"/>
        </w:rPr>
        <w:t>l misticismo ebraico, prende</w:t>
      </w:r>
      <w:r w:rsidR="000A7142" w:rsidRPr="005377DE">
        <w:rPr>
          <w:rFonts w:ascii="Times New Roman" w:hAnsi="Times New Roman" w:cs="Times New Roman"/>
        </w:rPr>
        <w:t xml:space="preserve"> </w:t>
      </w:r>
      <w:r w:rsidR="00293B12" w:rsidRPr="005377DE">
        <w:rPr>
          <w:rFonts w:ascii="Times New Roman" w:hAnsi="Times New Roman" w:cs="Times New Roman"/>
        </w:rPr>
        <w:t xml:space="preserve">parallelamente </w:t>
      </w:r>
      <w:r w:rsidRPr="005377DE">
        <w:rPr>
          <w:rFonts w:ascii="Times New Roman" w:hAnsi="Times New Roman" w:cs="Times New Roman"/>
        </w:rPr>
        <w:t>forma</w:t>
      </w:r>
      <w:r w:rsidR="00293B12" w:rsidRPr="005377DE">
        <w:rPr>
          <w:rFonts w:ascii="Times New Roman" w:hAnsi="Times New Roman" w:cs="Times New Roman"/>
        </w:rPr>
        <w:t xml:space="preserve"> </w:t>
      </w:r>
      <w:r w:rsidRPr="005377DE">
        <w:rPr>
          <w:rFonts w:ascii="Times New Roman" w:hAnsi="Times New Roman" w:cs="Times New Roman"/>
        </w:rPr>
        <w:t>la categorizzazione acosmistica dell’opera spinoziana</w:t>
      </w:r>
      <w:r w:rsidR="00FE4478" w:rsidRPr="005377DE">
        <w:rPr>
          <w:rFonts w:ascii="Times New Roman" w:hAnsi="Times New Roman" w:cs="Times New Roman"/>
        </w:rPr>
        <w:t xml:space="preserve"> (</w:t>
      </w:r>
      <w:r w:rsidR="00A7764B" w:rsidRPr="005377DE">
        <w:rPr>
          <w:rFonts w:ascii="Times New Roman" w:hAnsi="Times New Roman" w:cs="Times New Roman"/>
          <w:i/>
        </w:rPr>
        <w:t>Vorlesungen</w:t>
      </w:r>
      <w:r w:rsidR="00A7764B" w:rsidRPr="005377DE">
        <w:rPr>
          <w:rFonts w:ascii="Times New Roman" w:hAnsi="Times New Roman" w:cs="Times New Roman"/>
        </w:rPr>
        <w:t xml:space="preserve"> del semestre invernale 1820/21</w:t>
      </w:r>
      <w:r w:rsidR="00FE4478" w:rsidRPr="005377DE">
        <w:rPr>
          <w:rFonts w:ascii="Times New Roman" w:hAnsi="Times New Roman" w:cs="Times New Roman"/>
        </w:rPr>
        <w:t>)</w:t>
      </w:r>
      <w:r w:rsidRPr="005377DE">
        <w:rPr>
          <w:rFonts w:ascii="Times New Roman" w:hAnsi="Times New Roman" w:cs="Times New Roman"/>
        </w:rPr>
        <w:t xml:space="preserve">. Seguendo la storiografia del suo tempo e lo </w:t>
      </w:r>
      <w:r w:rsidRPr="005377DE">
        <w:rPr>
          <w:rFonts w:ascii="Times New Roman" w:hAnsi="Times New Roman" w:cs="Times New Roman"/>
          <w:i/>
        </w:rPr>
        <w:t>Spinozismusstreit</w:t>
      </w:r>
      <w:r w:rsidRPr="005377DE">
        <w:rPr>
          <w:rFonts w:ascii="Times New Roman" w:hAnsi="Times New Roman" w:cs="Times New Roman"/>
        </w:rPr>
        <w:t xml:space="preserve"> della seconda metà del XVIII secolo, Hegel </w:t>
      </w:r>
      <w:r w:rsidR="000A7142" w:rsidRPr="005377DE">
        <w:rPr>
          <w:rFonts w:ascii="Times New Roman" w:hAnsi="Times New Roman" w:cs="Times New Roman"/>
        </w:rPr>
        <w:t xml:space="preserve">adopera </w:t>
      </w:r>
      <w:r w:rsidRPr="005377DE">
        <w:rPr>
          <w:rFonts w:ascii="Times New Roman" w:hAnsi="Times New Roman" w:cs="Times New Roman"/>
        </w:rPr>
        <w:t xml:space="preserve">una categorizzazione dello spinozismo, </w:t>
      </w:r>
      <w:r w:rsidR="00FE4478" w:rsidRPr="005377DE">
        <w:rPr>
          <w:rFonts w:ascii="Times New Roman" w:hAnsi="Times New Roman" w:cs="Times New Roman"/>
        </w:rPr>
        <w:t xml:space="preserve">messa a punto </w:t>
      </w:r>
      <w:r w:rsidRPr="005377DE">
        <w:rPr>
          <w:rFonts w:ascii="Times New Roman" w:hAnsi="Times New Roman" w:cs="Times New Roman"/>
        </w:rPr>
        <w:t xml:space="preserve">da Salomon Maimon </w:t>
      </w:r>
      <w:r w:rsidR="00A7764B" w:rsidRPr="005377DE">
        <w:rPr>
          <w:rFonts w:ascii="Times New Roman" w:hAnsi="Times New Roman" w:cs="Times New Roman"/>
        </w:rPr>
        <w:t xml:space="preserve">per assolvere la Qabbalah lurianica e lo spinozismo dall’accusa d’ateismo, </w:t>
      </w:r>
      <w:r w:rsidRPr="005377DE">
        <w:rPr>
          <w:rFonts w:ascii="Times New Roman" w:hAnsi="Times New Roman" w:cs="Times New Roman"/>
        </w:rPr>
        <w:t xml:space="preserve">con una finalità teorica ben precisa: l’affermazione dell’eternità dell’essere </w:t>
      </w:r>
      <w:r w:rsidR="00293B12" w:rsidRPr="005377DE">
        <w:rPr>
          <w:rFonts w:ascii="Times New Roman" w:hAnsi="Times New Roman" w:cs="Times New Roman"/>
        </w:rPr>
        <w:t>fa</w:t>
      </w:r>
      <w:r w:rsidRPr="005377DE">
        <w:rPr>
          <w:rFonts w:ascii="Times New Roman" w:hAnsi="Times New Roman" w:cs="Times New Roman"/>
        </w:rPr>
        <w:t xml:space="preserve"> dello spinozismo un presupposto logico del pensare puro, che se da un lato s</w:t>
      </w:r>
      <w:r w:rsidR="00293B12" w:rsidRPr="005377DE">
        <w:rPr>
          <w:rFonts w:ascii="Times New Roman" w:hAnsi="Times New Roman" w:cs="Times New Roman"/>
        </w:rPr>
        <w:t xml:space="preserve">upera l’opposizione fra soggetto e oggetto </w:t>
      </w:r>
      <w:r w:rsidR="002617F7" w:rsidRPr="005377DE">
        <w:rPr>
          <w:rFonts w:ascii="Times New Roman" w:hAnsi="Times New Roman" w:cs="Times New Roman"/>
        </w:rPr>
        <w:t xml:space="preserve">tipica </w:t>
      </w:r>
      <w:r w:rsidR="00293B12" w:rsidRPr="005377DE">
        <w:rPr>
          <w:rFonts w:ascii="Times New Roman" w:hAnsi="Times New Roman" w:cs="Times New Roman"/>
        </w:rPr>
        <w:t xml:space="preserve">della </w:t>
      </w:r>
      <w:r w:rsidR="00A07D0E" w:rsidRPr="00F9147F">
        <w:rPr>
          <w:rFonts w:ascii="Times New Roman" w:hAnsi="Times New Roman" w:cs="Times New Roman"/>
          <w:i/>
          <w:highlight w:val="yellow"/>
        </w:rPr>
        <w:t>Ref</w:t>
      </w:r>
      <w:r w:rsidR="00293B12" w:rsidRPr="00F9147F">
        <w:rPr>
          <w:rFonts w:ascii="Times New Roman" w:hAnsi="Times New Roman" w:cs="Times New Roman"/>
          <w:i/>
          <w:highlight w:val="yellow"/>
        </w:rPr>
        <w:t>l</w:t>
      </w:r>
      <w:r w:rsidR="00A07D0E" w:rsidRPr="00F9147F">
        <w:rPr>
          <w:rFonts w:ascii="Times New Roman" w:hAnsi="Times New Roman" w:cs="Times New Roman"/>
          <w:i/>
          <w:highlight w:val="yellow"/>
        </w:rPr>
        <w:t>e</w:t>
      </w:r>
      <w:r w:rsidR="00293B12" w:rsidRPr="00F9147F">
        <w:rPr>
          <w:rFonts w:ascii="Times New Roman" w:hAnsi="Times New Roman" w:cs="Times New Roman"/>
          <w:i/>
          <w:highlight w:val="yellow"/>
        </w:rPr>
        <w:t>xionsphilosophie</w:t>
      </w:r>
      <w:r w:rsidRPr="00F9147F">
        <w:rPr>
          <w:rFonts w:ascii="Times New Roman" w:hAnsi="Times New Roman" w:cs="Times New Roman"/>
          <w:highlight w:val="yellow"/>
        </w:rPr>
        <w:t>,</w:t>
      </w:r>
      <w:r w:rsidRPr="005377DE">
        <w:rPr>
          <w:rFonts w:ascii="Times New Roman" w:hAnsi="Times New Roman" w:cs="Times New Roman"/>
        </w:rPr>
        <w:t xml:space="preserve"> dall’altro lato non riesce a rifondare – vista la sua natura astratta – ciò che in esso si </w:t>
      </w:r>
      <w:r w:rsidR="00E05B0D" w:rsidRPr="005377DE">
        <w:rPr>
          <w:rFonts w:ascii="Times New Roman" w:hAnsi="Times New Roman" w:cs="Times New Roman"/>
        </w:rPr>
        <w:t>toglie</w:t>
      </w:r>
      <w:r w:rsidR="00293B12" w:rsidRPr="005377DE">
        <w:rPr>
          <w:rFonts w:ascii="Times New Roman" w:hAnsi="Times New Roman" w:cs="Times New Roman"/>
        </w:rPr>
        <w:t xml:space="preserve"> (soggetto e oggetto</w:t>
      </w:r>
      <w:r w:rsidR="003501BE">
        <w:rPr>
          <w:rFonts w:ascii="Times New Roman" w:hAnsi="Times New Roman" w:cs="Times New Roman"/>
        </w:rPr>
        <w:t>, pensiero e essere</w:t>
      </w:r>
      <w:r w:rsidR="00293B12" w:rsidRPr="005377DE">
        <w:rPr>
          <w:rFonts w:ascii="Times New Roman" w:hAnsi="Times New Roman" w:cs="Times New Roman"/>
        </w:rPr>
        <w:t>)</w:t>
      </w:r>
      <w:r w:rsidRPr="005377DE">
        <w:rPr>
          <w:rFonts w:ascii="Times New Roman" w:hAnsi="Times New Roman" w:cs="Times New Roman"/>
        </w:rPr>
        <w:t xml:space="preserve">. </w:t>
      </w:r>
    </w:p>
    <w:p w14:paraId="08B2EDD8" w14:textId="0C5A74AA" w:rsidR="00226D7D" w:rsidRDefault="005377DE" w:rsidP="009B2080">
      <w:pPr>
        <w:spacing w:line="360" w:lineRule="auto"/>
        <w:ind w:firstLine="567"/>
        <w:jc w:val="both"/>
        <w:rPr>
          <w:rFonts w:ascii="Times New Roman" w:hAnsi="Times New Roman" w:cs="Times New Roman"/>
        </w:rPr>
        <w:sectPr w:rsidR="00226D7D" w:rsidSect="00BA3AD2">
          <w:footnotePr>
            <w:numRestart w:val="eachSect"/>
          </w:footnotePr>
          <w:pgSz w:w="11900" w:h="16840"/>
          <w:pgMar w:top="1418" w:right="1418" w:bottom="1418" w:left="1985" w:header="708" w:footer="708" w:gutter="0"/>
          <w:cols w:space="708"/>
          <w:docGrid w:linePitch="360"/>
        </w:sectPr>
      </w:pPr>
      <w:r w:rsidRPr="005377DE">
        <w:rPr>
          <w:rFonts w:ascii="Times New Roman" w:hAnsi="Times New Roman" w:cs="Times New Roman"/>
        </w:rPr>
        <w:t>Da un punto di vista storico-filosofico e teoretico, l</w:t>
      </w:r>
      <w:r w:rsidR="003968E0" w:rsidRPr="005377DE">
        <w:rPr>
          <w:rFonts w:ascii="Times New Roman" w:hAnsi="Times New Roman" w:cs="Times New Roman"/>
        </w:rPr>
        <w:t xml:space="preserve">’astrattismo, rafforzato dal collegamento con il misticismo ebraico, di cui Hegel non manca di sottolineare la natura a-dialettica nelle </w:t>
      </w:r>
      <w:r w:rsidR="003968E0" w:rsidRPr="005377DE">
        <w:rPr>
          <w:rFonts w:ascii="Times New Roman" w:hAnsi="Times New Roman" w:cs="Times New Roman"/>
          <w:i/>
        </w:rPr>
        <w:t>Vorlesungen</w:t>
      </w:r>
      <w:r w:rsidR="003968E0" w:rsidRPr="005377DE">
        <w:rPr>
          <w:rFonts w:ascii="Times New Roman" w:hAnsi="Times New Roman" w:cs="Times New Roman"/>
        </w:rPr>
        <w:t xml:space="preserve">, rappresenta la cifra </w:t>
      </w:r>
      <w:r w:rsidR="00A7764B" w:rsidRPr="005377DE">
        <w:rPr>
          <w:rFonts w:ascii="Times New Roman" w:hAnsi="Times New Roman" w:cs="Times New Roman"/>
        </w:rPr>
        <w:t xml:space="preserve">tanto </w:t>
      </w:r>
      <w:r w:rsidR="00332601" w:rsidRPr="005377DE">
        <w:rPr>
          <w:rFonts w:ascii="Times New Roman" w:hAnsi="Times New Roman" w:cs="Times New Roman"/>
        </w:rPr>
        <w:t>del pensiero spinoziano</w:t>
      </w:r>
      <w:r w:rsidR="00A7764B" w:rsidRPr="005377DE">
        <w:rPr>
          <w:rFonts w:ascii="Times New Roman" w:hAnsi="Times New Roman" w:cs="Times New Roman"/>
        </w:rPr>
        <w:t xml:space="preserve"> quanto </w:t>
      </w:r>
      <w:r w:rsidR="00E05B0D" w:rsidRPr="005377DE">
        <w:rPr>
          <w:rFonts w:ascii="Times New Roman" w:hAnsi="Times New Roman" w:cs="Times New Roman"/>
        </w:rPr>
        <w:t>del retroterra mistico-religioso ebraico</w:t>
      </w:r>
      <w:r w:rsidR="00A7764B" w:rsidRPr="005377DE">
        <w:rPr>
          <w:rFonts w:ascii="Times New Roman" w:hAnsi="Times New Roman" w:cs="Times New Roman"/>
        </w:rPr>
        <w:t xml:space="preserve"> da cui questo sistema filosofico </w:t>
      </w:r>
      <w:r w:rsidR="00C24C06">
        <w:rPr>
          <w:rFonts w:ascii="Times New Roman" w:hAnsi="Times New Roman" w:cs="Times New Roman"/>
        </w:rPr>
        <w:t>ha preso le mosse.</w:t>
      </w:r>
    </w:p>
    <w:p w14:paraId="6AB9CA49" w14:textId="77777777" w:rsidR="007A4C40" w:rsidRDefault="007A4C40" w:rsidP="00CB0E60">
      <w:pPr>
        <w:spacing w:line="360" w:lineRule="auto"/>
        <w:jc w:val="both"/>
        <w:rPr>
          <w:rFonts w:ascii="Times New Roman" w:hAnsi="Times New Roman" w:cs="Times New Roman"/>
        </w:rPr>
      </w:pPr>
    </w:p>
    <w:p w14:paraId="312621A7" w14:textId="1881F301" w:rsidR="000E599C" w:rsidRDefault="000E599C" w:rsidP="00CB0E60">
      <w:pPr>
        <w:spacing w:line="360" w:lineRule="auto"/>
        <w:jc w:val="both"/>
        <w:rPr>
          <w:rFonts w:ascii="Times New Roman" w:hAnsi="Times New Roman" w:cs="Times New Roman"/>
          <w:b/>
          <w:sz w:val="28"/>
          <w:szCs w:val="28"/>
        </w:rPr>
      </w:pPr>
      <w:r w:rsidRPr="00E41A9B">
        <w:rPr>
          <w:rFonts w:ascii="Times New Roman" w:hAnsi="Times New Roman" w:cs="Times New Roman"/>
          <w:b/>
          <w:sz w:val="28"/>
          <w:szCs w:val="28"/>
        </w:rPr>
        <w:t>Capitolo primo</w:t>
      </w:r>
    </w:p>
    <w:p w14:paraId="4C541BAB" w14:textId="77777777" w:rsidR="00CB0E60" w:rsidRPr="00CB0E60" w:rsidRDefault="00CB0E60" w:rsidP="00CB0E60">
      <w:pPr>
        <w:spacing w:line="360" w:lineRule="auto"/>
        <w:jc w:val="both"/>
        <w:rPr>
          <w:rFonts w:ascii="Times New Roman" w:hAnsi="Times New Roman" w:cs="Times New Roman"/>
          <w:b/>
        </w:rPr>
      </w:pPr>
    </w:p>
    <w:p w14:paraId="57937F5D" w14:textId="6A7A655A" w:rsidR="007B44DE" w:rsidRPr="00CB0E60" w:rsidRDefault="007B44DE" w:rsidP="00CB0E60">
      <w:pPr>
        <w:spacing w:line="360" w:lineRule="auto"/>
        <w:jc w:val="both"/>
        <w:rPr>
          <w:rFonts w:ascii="Times New Roman" w:hAnsi="Times New Roman" w:cs="Times New Roman"/>
          <w:b/>
        </w:rPr>
      </w:pPr>
      <w:r w:rsidRPr="00CB0E60">
        <w:rPr>
          <w:rFonts w:ascii="Times New Roman" w:hAnsi="Times New Roman" w:cs="Times New Roman"/>
          <w:b/>
        </w:rPr>
        <w:t xml:space="preserve">Dall’astratto al concreto: gli anni di Jena e la </w:t>
      </w:r>
      <w:r w:rsidR="003F589D" w:rsidRPr="00CB0E60">
        <w:rPr>
          <w:rFonts w:ascii="Times New Roman" w:hAnsi="Times New Roman" w:cs="Times New Roman"/>
          <w:b/>
        </w:rPr>
        <w:t>formulazione della teoria dell’a</w:t>
      </w:r>
      <w:r w:rsidRPr="00CB0E60">
        <w:rPr>
          <w:rFonts w:ascii="Times New Roman" w:hAnsi="Times New Roman" w:cs="Times New Roman"/>
          <w:b/>
        </w:rPr>
        <w:t>bsolute Negativität</w:t>
      </w:r>
    </w:p>
    <w:p w14:paraId="555052EB" w14:textId="77777777" w:rsidR="007B44DE" w:rsidRPr="00CB0E60" w:rsidRDefault="007B44DE" w:rsidP="00CB0E60">
      <w:pPr>
        <w:spacing w:line="360" w:lineRule="auto"/>
        <w:jc w:val="both"/>
        <w:rPr>
          <w:rFonts w:ascii="Times New Roman" w:hAnsi="Times New Roman"/>
        </w:rPr>
      </w:pPr>
    </w:p>
    <w:p w14:paraId="6C7C8CE0" w14:textId="35AAA4B1" w:rsidR="00226D7D" w:rsidRDefault="008D7266" w:rsidP="00CB0E60">
      <w:pPr>
        <w:spacing w:line="360" w:lineRule="auto"/>
        <w:ind w:firstLine="567"/>
        <w:jc w:val="both"/>
        <w:rPr>
          <w:rFonts w:ascii="Times New Roman" w:eastAsia="Times New Roman" w:hAnsi="Times New Roman" w:cs="Times New Roman"/>
          <w:color w:val="000000"/>
        </w:rPr>
      </w:pPr>
      <w:r w:rsidRPr="00FC7ECF">
        <w:rPr>
          <w:rFonts w:ascii="Times New Roman" w:hAnsi="Times New Roman"/>
        </w:rPr>
        <w:t xml:space="preserve">In </w:t>
      </w:r>
      <w:r w:rsidR="00D005FA" w:rsidRPr="00FC7ECF">
        <w:rPr>
          <w:rFonts w:ascii="Times New Roman" w:hAnsi="Times New Roman"/>
        </w:rPr>
        <w:t xml:space="preserve">un </w:t>
      </w:r>
      <w:r w:rsidR="007B2B2B" w:rsidRPr="00FC7ECF">
        <w:rPr>
          <w:rFonts w:ascii="Times New Roman" w:hAnsi="Times New Roman"/>
        </w:rPr>
        <w:t>cel</w:t>
      </w:r>
      <w:r w:rsidR="00517FEC" w:rsidRPr="00FC7ECF">
        <w:rPr>
          <w:rFonts w:ascii="Times New Roman" w:hAnsi="Times New Roman"/>
        </w:rPr>
        <w:t>e</w:t>
      </w:r>
      <w:r w:rsidR="007B2B2B" w:rsidRPr="00FC7ECF">
        <w:rPr>
          <w:rFonts w:ascii="Times New Roman" w:hAnsi="Times New Roman"/>
        </w:rPr>
        <w:t xml:space="preserve">bre </w:t>
      </w:r>
      <w:r w:rsidRPr="00FC7ECF">
        <w:rPr>
          <w:rFonts w:ascii="Times New Roman" w:hAnsi="Times New Roman"/>
        </w:rPr>
        <w:t xml:space="preserve">articolo del 1934, </w:t>
      </w:r>
      <w:r w:rsidRPr="00FC7ECF">
        <w:rPr>
          <w:rFonts w:ascii="Times New Roman" w:hAnsi="Times New Roman"/>
          <w:i/>
        </w:rPr>
        <w:t>Hegel à Ièna</w:t>
      </w:r>
      <w:r w:rsidRPr="00FC7ECF">
        <w:rPr>
          <w:rFonts w:ascii="Times New Roman" w:hAnsi="Times New Roman"/>
        </w:rPr>
        <w:t xml:space="preserve">, Alexander Koyré registrava una tendenza degli studi critici hegeliani a privilegiare, da un lato, la produzione giovanile </w:t>
      </w:r>
      <w:r w:rsidR="00907024" w:rsidRPr="00FC7ECF">
        <w:rPr>
          <w:rFonts w:ascii="Times New Roman" w:hAnsi="Times New Roman"/>
        </w:rPr>
        <w:t xml:space="preserve">di Hegel </w:t>
      </w:r>
      <w:r w:rsidRPr="00FC7ECF">
        <w:rPr>
          <w:rFonts w:ascii="Times New Roman" w:hAnsi="Times New Roman"/>
        </w:rPr>
        <w:t xml:space="preserve">e </w:t>
      </w:r>
      <w:r w:rsidR="007736BF" w:rsidRPr="00FC7ECF">
        <w:rPr>
          <w:rFonts w:ascii="Times New Roman" w:hAnsi="Times New Roman"/>
        </w:rPr>
        <w:t xml:space="preserve">a </w:t>
      </w:r>
      <w:r w:rsidRPr="00FC7ECF">
        <w:rPr>
          <w:rFonts w:ascii="Times New Roman" w:hAnsi="Times New Roman"/>
        </w:rPr>
        <w:t xml:space="preserve">sottostimare, dall’altro lato, le </w:t>
      </w:r>
      <w:r w:rsidR="00BC44D8" w:rsidRPr="00FC7ECF">
        <w:rPr>
          <w:rFonts w:ascii="Times New Roman" w:hAnsi="Times New Roman"/>
        </w:rPr>
        <w:t>opere sistematiche del filosof</w:t>
      </w:r>
      <w:r w:rsidRPr="00FC7ECF">
        <w:rPr>
          <w:rFonts w:ascii="Times New Roman" w:hAnsi="Times New Roman"/>
        </w:rPr>
        <w:t>o di Stoccarda</w:t>
      </w:r>
      <w:r w:rsidRPr="00FC7ECF">
        <w:rPr>
          <w:rStyle w:val="Rimandonotaapidipagina"/>
          <w:rFonts w:ascii="Times New Roman" w:hAnsi="Times New Roman"/>
        </w:rPr>
        <w:footnoteReference w:id="23"/>
      </w:r>
      <w:r w:rsidRPr="00FC7ECF">
        <w:rPr>
          <w:rFonts w:ascii="Times New Roman" w:hAnsi="Times New Roman"/>
        </w:rPr>
        <w:t xml:space="preserve">. </w:t>
      </w:r>
      <w:r w:rsidR="00DC3130" w:rsidRPr="00FC7ECF">
        <w:rPr>
          <w:rFonts w:ascii="Times New Roman" w:hAnsi="Times New Roman"/>
        </w:rPr>
        <w:t>F</w:t>
      </w:r>
      <w:r w:rsidRPr="00FC7ECF">
        <w:rPr>
          <w:rFonts w:ascii="Times New Roman" w:hAnsi="Times New Roman"/>
        </w:rPr>
        <w:t>in dalla loro pubblicazio</w:t>
      </w:r>
      <w:r w:rsidR="00886C96" w:rsidRPr="00FC7ECF">
        <w:rPr>
          <w:rFonts w:ascii="Times New Roman" w:hAnsi="Times New Roman"/>
        </w:rPr>
        <w:t xml:space="preserve">ne nel 1907, </w:t>
      </w:r>
      <w:r w:rsidR="00DC3130" w:rsidRPr="00FC7ECF">
        <w:rPr>
          <w:rFonts w:ascii="Times New Roman" w:hAnsi="Times New Roman"/>
        </w:rPr>
        <w:t xml:space="preserve">gli </w:t>
      </w:r>
      <w:r w:rsidR="00DC3130" w:rsidRPr="00FC7ECF">
        <w:rPr>
          <w:rFonts w:ascii="Times New Roman" w:hAnsi="Times New Roman"/>
          <w:i/>
        </w:rPr>
        <w:t>Jugendschriften</w:t>
      </w:r>
      <w:r w:rsidR="00DC3130" w:rsidRPr="00FC7ECF">
        <w:rPr>
          <w:rFonts w:ascii="Times New Roman" w:hAnsi="Times New Roman"/>
        </w:rPr>
        <w:t xml:space="preserve"> </w:t>
      </w:r>
      <w:r w:rsidR="00886C96" w:rsidRPr="00FC7ECF">
        <w:rPr>
          <w:rFonts w:ascii="Times New Roman" w:hAnsi="Times New Roman"/>
        </w:rPr>
        <w:t>avevano offerto un</w:t>
      </w:r>
      <w:r w:rsidRPr="00FC7ECF">
        <w:rPr>
          <w:rFonts w:ascii="Times New Roman" w:hAnsi="Times New Roman"/>
        </w:rPr>
        <w:t xml:space="preserve"> Hegel diverso, immerso</w:t>
      </w:r>
      <w:r w:rsidR="00067D01" w:rsidRPr="00FC7ECF">
        <w:rPr>
          <w:rFonts w:ascii="Times New Roman" w:hAnsi="Times New Roman"/>
        </w:rPr>
        <w:t>, cioè,</w:t>
      </w:r>
      <w:r w:rsidRPr="00FC7ECF">
        <w:rPr>
          <w:rFonts w:ascii="Times New Roman" w:hAnsi="Times New Roman"/>
        </w:rPr>
        <w:t xml:space="preserve"> nelle problematiche</w:t>
      </w:r>
      <w:r w:rsidR="00FA491F" w:rsidRPr="00FC7ECF">
        <w:rPr>
          <w:rFonts w:ascii="Times New Roman" w:hAnsi="Times New Roman"/>
        </w:rPr>
        <w:t xml:space="preserve"> concrete</w:t>
      </w:r>
      <w:r w:rsidR="00F07669" w:rsidRPr="00FC7ECF">
        <w:rPr>
          <w:rFonts w:ascii="Times New Roman" w:hAnsi="Times New Roman"/>
        </w:rPr>
        <w:t xml:space="preserve"> del suo tempo e</w:t>
      </w:r>
      <w:r w:rsidRPr="00FC7ECF">
        <w:rPr>
          <w:rFonts w:ascii="Times New Roman" w:hAnsi="Times New Roman"/>
        </w:rPr>
        <w:t xml:space="preserve"> all</w:t>
      </w:r>
      <w:r w:rsidR="00F52874" w:rsidRPr="00FC7ECF">
        <w:rPr>
          <w:rFonts w:ascii="Times New Roman" w:hAnsi="Times New Roman"/>
        </w:rPr>
        <w:t>a ricerca di una risoluzione soci</w:t>
      </w:r>
      <w:r w:rsidRPr="00FC7ECF">
        <w:rPr>
          <w:rFonts w:ascii="Times New Roman" w:hAnsi="Times New Roman"/>
        </w:rPr>
        <w:t>o-politica di quegli «</w:t>
      </w:r>
      <w:r w:rsidR="00093A60" w:rsidRPr="00FC7ECF">
        <w:rPr>
          <w:rFonts w:ascii="Times New Roman" w:hAnsi="Times New Roman"/>
        </w:rPr>
        <w:t>untergeordnetern Bed</w:t>
      </w:r>
      <w:r w:rsidR="00093A60" w:rsidRPr="00FC7ECF">
        <w:rPr>
          <w:rFonts w:ascii="Times New Roman" w:hAnsi="Times New Roman" w:cs="Times New Roman"/>
        </w:rPr>
        <w:t>ü</w:t>
      </w:r>
      <w:r w:rsidR="00093A60" w:rsidRPr="00FC7ECF">
        <w:rPr>
          <w:rFonts w:ascii="Times New Roman" w:hAnsi="Times New Roman"/>
        </w:rPr>
        <w:t>rfnissen der Menschen</w:t>
      </w:r>
      <w:r w:rsidRPr="00FC7ECF">
        <w:rPr>
          <w:rFonts w:ascii="Times New Roman" w:eastAsia="Times New Roman" w:hAnsi="Times New Roman" w:cs="Times New Roman"/>
          <w:color w:val="000000"/>
        </w:rPr>
        <w:t>»</w:t>
      </w:r>
      <w:r w:rsidRPr="00FC7ECF">
        <w:rPr>
          <w:rStyle w:val="Rimandonotaapidipagina"/>
          <w:rFonts w:ascii="Times New Roman" w:eastAsia="Times New Roman" w:hAnsi="Times New Roman" w:cs="Times New Roman"/>
          <w:color w:val="000000"/>
        </w:rPr>
        <w:footnoteReference w:id="24"/>
      </w:r>
      <w:r w:rsidRPr="00FC7ECF">
        <w:rPr>
          <w:rFonts w:ascii="Times New Roman" w:eastAsia="Times New Roman" w:hAnsi="Times New Roman" w:cs="Times New Roman"/>
          <w:color w:val="000000"/>
        </w:rPr>
        <w:t xml:space="preserve"> che avevano caratterizzato «</w:t>
      </w:r>
      <w:r w:rsidR="00093A60" w:rsidRPr="00FC7ECF">
        <w:rPr>
          <w:rFonts w:ascii="Times New Roman" w:eastAsia="Times New Roman" w:hAnsi="Times New Roman" w:cs="Times New Roman"/>
          <w:color w:val="000000"/>
        </w:rPr>
        <w:t>das Ideal des Jünglingsalters</w:t>
      </w:r>
      <w:r w:rsidRPr="00FC7ECF">
        <w:rPr>
          <w:rFonts w:ascii="Times New Roman" w:eastAsia="Times New Roman" w:hAnsi="Times New Roman" w:cs="Times New Roman"/>
          <w:color w:val="000000"/>
        </w:rPr>
        <w:t>»</w:t>
      </w:r>
      <w:r w:rsidRPr="00FC7ECF">
        <w:rPr>
          <w:rStyle w:val="Rimandonotaapidipagina"/>
          <w:rFonts w:ascii="Times New Roman" w:eastAsia="Times New Roman" w:hAnsi="Times New Roman" w:cs="Times New Roman"/>
          <w:color w:val="000000"/>
        </w:rPr>
        <w:footnoteReference w:id="25"/>
      </w:r>
      <w:r w:rsidRPr="00FC7ECF">
        <w:rPr>
          <w:rFonts w:ascii="Times New Roman" w:eastAsia="Times New Roman" w:hAnsi="Times New Roman" w:cs="Times New Roman"/>
          <w:color w:val="000000"/>
        </w:rPr>
        <w:t>.</w:t>
      </w:r>
      <w:r w:rsidR="00DC3130" w:rsidRPr="00FC7ECF">
        <w:rPr>
          <w:rFonts w:ascii="Times New Roman" w:eastAsia="Times New Roman" w:hAnsi="Times New Roman" w:cs="Times New Roman"/>
          <w:color w:val="000000"/>
        </w:rPr>
        <w:t xml:space="preserve"> A</w:t>
      </w:r>
      <w:r w:rsidR="004345F2" w:rsidRPr="00FC7ECF">
        <w:rPr>
          <w:rFonts w:ascii="Times New Roman" w:eastAsia="Times New Roman" w:hAnsi="Times New Roman" w:cs="Times New Roman"/>
          <w:color w:val="000000"/>
        </w:rPr>
        <w:t xml:space="preserve"> detta di Koyré</w:t>
      </w:r>
      <w:r w:rsidR="00DC3130" w:rsidRPr="00FC7ECF">
        <w:rPr>
          <w:rFonts w:ascii="Times New Roman" w:eastAsia="Times New Roman" w:hAnsi="Times New Roman" w:cs="Times New Roman"/>
          <w:color w:val="000000"/>
        </w:rPr>
        <w:t xml:space="preserve">, </w:t>
      </w:r>
      <w:r w:rsidR="000D5D91" w:rsidRPr="00FC7ECF">
        <w:rPr>
          <w:rFonts w:ascii="Times New Roman" w:eastAsia="Times New Roman" w:hAnsi="Times New Roman" w:cs="Times New Roman"/>
          <w:color w:val="000000"/>
        </w:rPr>
        <w:t>focalizzarsi eccessivamente su</w:t>
      </w:r>
      <w:r w:rsidR="00DC3130" w:rsidRPr="00FC7ECF">
        <w:rPr>
          <w:rFonts w:ascii="Times New Roman" w:eastAsia="Times New Roman" w:hAnsi="Times New Roman" w:cs="Times New Roman"/>
          <w:color w:val="000000"/>
        </w:rPr>
        <w:t xml:space="preserve">lla produzione giovanile di Hegel </w:t>
      </w:r>
      <w:r w:rsidRPr="00FC7ECF">
        <w:rPr>
          <w:rFonts w:ascii="Times New Roman" w:eastAsia="Times New Roman" w:hAnsi="Times New Roman" w:cs="Times New Roman"/>
          <w:color w:val="000000"/>
        </w:rPr>
        <w:t>rischiava di far perdere di vista uno dei momenti decisivi della formazione filosofica</w:t>
      </w:r>
      <w:r w:rsidR="000D5D91" w:rsidRPr="00FC7ECF">
        <w:rPr>
          <w:rFonts w:ascii="Times New Roman" w:eastAsia="Times New Roman" w:hAnsi="Times New Roman" w:cs="Times New Roman"/>
          <w:color w:val="000000"/>
        </w:rPr>
        <w:t xml:space="preserve"> dell’</w:t>
      </w:r>
      <w:r w:rsidR="00021560">
        <w:rPr>
          <w:rFonts w:ascii="Times New Roman" w:eastAsia="Times New Roman" w:hAnsi="Times New Roman" w:cs="Times New Roman"/>
          <w:color w:val="000000"/>
        </w:rPr>
        <w:t>autore</w:t>
      </w:r>
      <w:r w:rsidRPr="00FC7ECF">
        <w:rPr>
          <w:rFonts w:ascii="Times New Roman" w:eastAsia="Times New Roman" w:hAnsi="Times New Roman" w:cs="Times New Roman"/>
          <w:color w:val="000000"/>
        </w:rPr>
        <w:t>, ossia il periodo jenese, «plus importante, sans aucun doute, que celles de Berne ou de Francfort»</w:t>
      </w:r>
      <w:r w:rsidRPr="00FC7ECF">
        <w:rPr>
          <w:rStyle w:val="Rimandonotaapidipagina"/>
          <w:rFonts w:ascii="Times New Roman" w:eastAsia="Times New Roman" w:hAnsi="Times New Roman" w:cs="Times New Roman"/>
          <w:color w:val="000000"/>
        </w:rPr>
        <w:footnoteReference w:id="26"/>
      </w:r>
      <w:r w:rsidR="00D005FA" w:rsidRPr="00FC7ECF">
        <w:rPr>
          <w:rFonts w:ascii="Times New Roman" w:eastAsia="Times New Roman" w:hAnsi="Times New Roman" w:cs="Times New Roman"/>
          <w:color w:val="000000"/>
        </w:rPr>
        <w:t>.</w:t>
      </w:r>
      <w:r w:rsidR="00D005FA">
        <w:rPr>
          <w:rFonts w:ascii="Times New Roman" w:eastAsia="Times New Roman" w:hAnsi="Times New Roman" w:cs="Times New Roman"/>
          <w:color w:val="000000"/>
        </w:rPr>
        <w:t xml:space="preserve"> Perché è a </w:t>
      </w:r>
      <w:r w:rsidR="00D005FA" w:rsidRPr="005E7BBA">
        <w:rPr>
          <w:rFonts w:ascii="Times New Roman" w:eastAsia="Times New Roman" w:hAnsi="Times New Roman" w:cs="Times New Roman"/>
          <w:color w:val="000000"/>
        </w:rPr>
        <w:t>Jena</w:t>
      </w:r>
      <w:r w:rsidR="00F07669" w:rsidRPr="005E7BBA">
        <w:rPr>
          <w:rFonts w:ascii="Times New Roman" w:eastAsia="Times New Roman" w:hAnsi="Times New Roman" w:cs="Times New Roman"/>
          <w:color w:val="000000"/>
        </w:rPr>
        <w:t>, e non a Berna o</w:t>
      </w:r>
      <w:r w:rsidR="00371062" w:rsidRPr="005E7BBA">
        <w:rPr>
          <w:rFonts w:ascii="Times New Roman" w:eastAsia="Times New Roman" w:hAnsi="Times New Roman" w:cs="Times New Roman"/>
          <w:color w:val="000000"/>
        </w:rPr>
        <w:t xml:space="preserve"> a Francoforte,</w:t>
      </w:r>
      <w:r w:rsidR="00D005FA" w:rsidRPr="005E7BBA">
        <w:rPr>
          <w:rFonts w:ascii="Times New Roman" w:eastAsia="Times New Roman" w:hAnsi="Times New Roman" w:cs="Times New Roman"/>
          <w:color w:val="000000"/>
        </w:rPr>
        <w:t xml:space="preserve"> che alcune delle conquiste teoriche fondamentali della successiva opera sistematica hegeliana videro la luce. Fra di esse, </w:t>
      </w:r>
      <w:r w:rsidR="004F1BAF" w:rsidRPr="005E7BBA">
        <w:rPr>
          <w:rFonts w:ascii="Times New Roman" w:eastAsia="Times New Roman" w:hAnsi="Times New Roman" w:cs="Times New Roman"/>
          <w:color w:val="000000"/>
        </w:rPr>
        <w:t>Koyrè sottolinea</w:t>
      </w:r>
      <w:r w:rsidR="00FA491F" w:rsidRPr="005E7BBA">
        <w:rPr>
          <w:rFonts w:ascii="Times New Roman" w:eastAsia="Times New Roman" w:hAnsi="Times New Roman" w:cs="Times New Roman"/>
          <w:color w:val="000000"/>
        </w:rPr>
        <w:t>va</w:t>
      </w:r>
      <w:r w:rsidR="00226D7D" w:rsidRPr="005E7BBA">
        <w:rPr>
          <w:rFonts w:ascii="Times New Roman" w:eastAsia="Times New Roman" w:hAnsi="Times New Roman" w:cs="Times New Roman"/>
          <w:color w:val="000000"/>
        </w:rPr>
        <w:t xml:space="preserve"> </w:t>
      </w:r>
      <w:r w:rsidR="004F1BAF" w:rsidRPr="005E7BBA">
        <w:rPr>
          <w:rFonts w:ascii="Times New Roman" w:eastAsia="Times New Roman" w:hAnsi="Times New Roman" w:cs="Times New Roman"/>
          <w:color w:val="000000"/>
        </w:rPr>
        <w:t>la</w:t>
      </w:r>
      <w:r w:rsidR="00D005FA" w:rsidRPr="005E7BBA">
        <w:rPr>
          <w:rFonts w:ascii="Times New Roman" w:eastAsia="Times New Roman" w:hAnsi="Times New Roman" w:cs="Times New Roman"/>
          <w:color w:val="000000"/>
        </w:rPr>
        <w:t xml:space="preserve"> teoria hegeliana della st</w:t>
      </w:r>
      <w:r w:rsidR="004F1BAF" w:rsidRPr="005E7BBA">
        <w:rPr>
          <w:rFonts w:ascii="Times New Roman" w:eastAsia="Times New Roman" w:hAnsi="Times New Roman" w:cs="Times New Roman"/>
          <w:color w:val="000000"/>
        </w:rPr>
        <w:t xml:space="preserve">oria, intesa, </w:t>
      </w:r>
      <w:r w:rsidR="00067D01" w:rsidRPr="005E7BBA">
        <w:rPr>
          <w:rFonts w:ascii="Times New Roman" w:eastAsia="Times New Roman" w:hAnsi="Times New Roman" w:cs="Times New Roman"/>
          <w:color w:val="000000"/>
        </w:rPr>
        <w:t xml:space="preserve">utilizzando </w:t>
      </w:r>
      <w:r w:rsidR="004F1BAF" w:rsidRPr="005E7BBA">
        <w:rPr>
          <w:rFonts w:ascii="Times New Roman" w:eastAsia="Times New Roman" w:hAnsi="Times New Roman" w:cs="Times New Roman"/>
          <w:color w:val="000000"/>
        </w:rPr>
        <w:t xml:space="preserve">un’espressione </w:t>
      </w:r>
      <w:r w:rsidR="00D005FA" w:rsidRPr="005E7BBA">
        <w:rPr>
          <w:rFonts w:ascii="Times New Roman" w:eastAsia="Times New Roman" w:hAnsi="Times New Roman" w:cs="Times New Roman"/>
          <w:color w:val="000000"/>
        </w:rPr>
        <w:t>di Jean Hyppolite, come un logo-crono</w:t>
      </w:r>
      <w:r w:rsidR="00D005FA" w:rsidRPr="005E7BBA">
        <w:rPr>
          <w:rStyle w:val="Rimandonotaapidipagina"/>
          <w:rFonts w:ascii="Times New Roman" w:eastAsia="Times New Roman" w:hAnsi="Times New Roman" w:cs="Times New Roman"/>
          <w:color w:val="000000"/>
        </w:rPr>
        <w:footnoteReference w:id="27"/>
      </w:r>
      <w:r w:rsidR="00D005FA" w:rsidRPr="005E7BBA">
        <w:rPr>
          <w:rFonts w:ascii="Times New Roman" w:eastAsia="Times New Roman" w:hAnsi="Times New Roman" w:cs="Times New Roman"/>
          <w:color w:val="000000"/>
        </w:rPr>
        <w:t>,</w:t>
      </w:r>
      <w:r w:rsidR="004F1BAF" w:rsidRPr="005E7BBA">
        <w:rPr>
          <w:rFonts w:ascii="Times New Roman" w:eastAsia="Times New Roman" w:hAnsi="Times New Roman" w:cs="Times New Roman"/>
          <w:color w:val="000000"/>
        </w:rPr>
        <w:t xml:space="preserve"> e della negatività, colta nei termini della «</w:t>
      </w:r>
      <w:r w:rsidR="00441FB2" w:rsidRPr="005E7BBA">
        <w:rPr>
          <w:rFonts w:ascii="Times New Roman" w:eastAsia="Times New Roman" w:hAnsi="Times New Roman" w:cs="Times New Roman"/>
          <w:color w:val="000000"/>
        </w:rPr>
        <w:t>inquiétude de l’ê</w:t>
      </w:r>
      <w:r w:rsidR="004F1BAF" w:rsidRPr="005E7BBA">
        <w:rPr>
          <w:rFonts w:ascii="Times New Roman" w:eastAsia="Times New Roman" w:hAnsi="Times New Roman" w:cs="Times New Roman"/>
          <w:color w:val="000000"/>
        </w:rPr>
        <w:t>tre»</w:t>
      </w:r>
      <w:r w:rsidR="004F1BAF" w:rsidRPr="005E7BBA">
        <w:rPr>
          <w:rStyle w:val="Rimandonotaapidipagina"/>
          <w:rFonts w:ascii="Times New Roman" w:eastAsia="Times New Roman" w:hAnsi="Times New Roman" w:cs="Times New Roman"/>
          <w:color w:val="000000"/>
        </w:rPr>
        <w:footnoteReference w:id="28"/>
      </w:r>
      <w:r w:rsidR="004F1BAF" w:rsidRPr="005E7BBA">
        <w:rPr>
          <w:rFonts w:ascii="Times New Roman" w:eastAsia="Times New Roman" w:hAnsi="Times New Roman" w:cs="Times New Roman"/>
          <w:color w:val="000000"/>
        </w:rPr>
        <w:t>.</w:t>
      </w:r>
      <w:r w:rsidR="00BC3DB0">
        <w:rPr>
          <w:rFonts w:ascii="Times New Roman" w:eastAsia="Times New Roman" w:hAnsi="Times New Roman" w:cs="Times New Roman"/>
          <w:color w:val="000000"/>
        </w:rPr>
        <w:t xml:space="preserve"> </w:t>
      </w:r>
      <w:r w:rsidR="008E5218">
        <w:rPr>
          <w:rFonts w:ascii="Times New Roman" w:eastAsia="Times New Roman" w:hAnsi="Times New Roman" w:cs="Times New Roman"/>
          <w:color w:val="000000"/>
        </w:rPr>
        <w:t xml:space="preserve">Proprio la concezione della negatività come </w:t>
      </w:r>
      <w:r w:rsidR="008E5218" w:rsidRPr="004F1BAF">
        <w:rPr>
          <w:rFonts w:ascii="Times New Roman" w:eastAsia="Times New Roman" w:hAnsi="Times New Roman" w:cs="Times New Roman"/>
          <w:i/>
          <w:color w:val="000000"/>
        </w:rPr>
        <w:t>inquiétude</w:t>
      </w:r>
      <w:r w:rsidR="008E5218">
        <w:rPr>
          <w:rFonts w:ascii="Times New Roman" w:eastAsia="Times New Roman" w:hAnsi="Times New Roman" w:cs="Times New Roman"/>
          <w:color w:val="000000"/>
        </w:rPr>
        <w:t xml:space="preserve">, </w:t>
      </w:r>
      <w:r w:rsidR="00D97D57">
        <w:rPr>
          <w:rFonts w:ascii="Times New Roman" w:eastAsia="Times New Roman" w:hAnsi="Times New Roman" w:cs="Times New Roman"/>
          <w:color w:val="000000"/>
        </w:rPr>
        <w:t xml:space="preserve">come </w:t>
      </w:r>
      <w:r w:rsidR="008E5218">
        <w:rPr>
          <w:rFonts w:ascii="Times New Roman" w:eastAsia="Times New Roman" w:hAnsi="Times New Roman" w:cs="Times New Roman"/>
          <w:i/>
          <w:color w:val="000000"/>
        </w:rPr>
        <w:t>Unruhe</w:t>
      </w:r>
      <w:r w:rsidR="00895A3F">
        <w:rPr>
          <w:rFonts w:ascii="Times New Roman" w:eastAsia="Times New Roman" w:hAnsi="Times New Roman" w:cs="Times New Roman"/>
          <w:color w:val="000000"/>
        </w:rPr>
        <w:t xml:space="preserve">, </w:t>
      </w:r>
      <w:r w:rsidR="008E5218">
        <w:rPr>
          <w:rFonts w:ascii="Times New Roman" w:eastAsia="Times New Roman" w:hAnsi="Times New Roman" w:cs="Times New Roman"/>
          <w:color w:val="000000"/>
        </w:rPr>
        <w:t>avrebbe p</w:t>
      </w:r>
      <w:r w:rsidR="00BB529A">
        <w:rPr>
          <w:rFonts w:ascii="Times New Roman" w:eastAsia="Times New Roman" w:hAnsi="Times New Roman" w:cs="Times New Roman"/>
          <w:color w:val="000000"/>
        </w:rPr>
        <w:t xml:space="preserve">ermesso ad Hegel di superare </w:t>
      </w:r>
      <w:r w:rsidR="00D97D57">
        <w:rPr>
          <w:rFonts w:ascii="Times New Roman" w:eastAsia="Times New Roman" w:hAnsi="Times New Roman" w:cs="Times New Roman"/>
          <w:color w:val="000000"/>
        </w:rPr>
        <w:t>il modello fichtiano e schellinghiano</w:t>
      </w:r>
      <w:r w:rsidR="008E5218">
        <w:rPr>
          <w:rFonts w:ascii="Times New Roman" w:eastAsia="Times New Roman" w:hAnsi="Times New Roman" w:cs="Times New Roman"/>
          <w:color w:val="000000"/>
        </w:rPr>
        <w:t xml:space="preserve"> </w:t>
      </w:r>
      <w:r w:rsidR="008E5218" w:rsidRPr="00011C7C">
        <w:rPr>
          <w:rFonts w:ascii="Times New Roman" w:eastAsia="Times New Roman" w:hAnsi="Times New Roman" w:cs="Times New Roman"/>
          <w:color w:val="000000"/>
        </w:rPr>
        <w:t>dell</w:t>
      </w:r>
      <w:r w:rsidR="00BB529A" w:rsidRPr="00011C7C">
        <w:rPr>
          <w:rFonts w:ascii="Times New Roman" w:eastAsia="Times New Roman" w:hAnsi="Times New Roman" w:cs="Times New Roman"/>
          <w:color w:val="000000"/>
        </w:rPr>
        <w:t xml:space="preserve">’Assoluto, </w:t>
      </w:r>
      <w:r w:rsidR="00D97D57" w:rsidRPr="00011C7C">
        <w:rPr>
          <w:rFonts w:ascii="Times New Roman" w:eastAsia="Times New Roman" w:hAnsi="Times New Roman" w:cs="Times New Roman"/>
          <w:color w:val="000000"/>
        </w:rPr>
        <w:t>incapace</w:t>
      </w:r>
      <w:r w:rsidR="00BB529A" w:rsidRPr="00011C7C">
        <w:rPr>
          <w:rFonts w:ascii="Times New Roman" w:eastAsia="Times New Roman" w:hAnsi="Times New Roman" w:cs="Times New Roman"/>
          <w:color w:val="000000"/>
        </w:rPr>
        <w:t>,</w:t>
      </w:r>
      <w:r w:rsidR="00895A3F" w:rsidRPr="00011C7C">
        <w:rPr>
          <w:rFonts w:ascii="Times New Roman" w:eastAsia="Times New Roman" w:hAnsi="Times New Roman" w:cs="Times New Roman"/>
          <w:color w:val="000000"/>
        </w:rPr>
        <w:t xml:space="preserve"> con tutte le peculiarità e diversità del caso</w:t>
      </w:r>
      <w:r w:rsidR="00BB529A" w:rsidRPr="00011C7C">
        <w:rPr>
          <w:rStyle w:val="Rimandonotaapidipagina"/>
          <w:rFonts w:ascii="Times New Roman" w:eastAsia="Times New Roman" w:hAnsi="Times New Roman" w:cs="Times New Roman"/>
          <w:color w:val="000000"/>
        </w:rPr>
        <w:footnoteReference w:id="29"/>
      </w:r>
      <w:r w:rsidR="00BB529A" w:rsidRPr="00011C7C">
        <w:rPr>
          <w:rFonts w:ascii="Times New Roman" w:eastAsia="Times New Roman" w:hAnsi="Times New Roman" w:cs="Times New Roman"/>
          <w:color w:val="000000"/>
        </w:rPr>
        <w:t>, di cogliere «la valeur positive du negatif, le rôle de la négation»</w:t>
      </w:r>
      <w:r w:rsidR="00BB529A" w:rsidRPr="00011C7C">
        <w:rPr>
          <w:rStyle w:val="Rimandonotaapidipagina"/>
          <w:rFonts w:ascii="Times New Roman" w:eastAsia="Times New Roman" w:hAnsi="Times New Roman" w:cs="Times New Roman"/>
          <w:color w:val="000000"/>
        </w:rPr>
        <w:footnoteReference w:id="30"/>
      </w:r>
      <w:r w:rsidR="00BB529A" w:rsidRPr="00011C7C">
        <w:rPr>
          <w:rFonts w:ascii="Times New Roman" w:eastAsia="Times New Roman" w:hAnsi="Times New Roman" w:cs="Times New Roman"/>
          <w:color w:val="000000"/>
        </w:rPr>
        <w:t>.</w:t>
      </w:r>
      <w:r w:rsidR="00915B3C" w:rsidRPr="00011C7C">
        <w:rPr>
          <w:rFonts w:ascii="Times New Roman" w:eastAsia="Times New Roman" w:hAnsi="Times New Roman" w:cs="Times New Roman"/>
          <w:color w:val="000000"/>
        </w:rPr>
        <w:t xml:space="preserve"> Il collegamento </w:t>
      </w:r>
      <w:r w:rsidR="00441FB2" w:rsidRPr="00011C7C">
        <w:rPr>
          <w:rFonts w:ascii="Times New Roman" w:eastAsia="Times New Roman" w:hAnsi="Times New Roman" w:cs="Times New Roman"/>
          <w:color w:val="000000"/>
        </w:rPr>
        <w:t>fra negatività e inquietudine</w:t>
      </w:r>
      <w:r w:rsidR="00226D7D" w:rsidRPr="00011C7C">
        <w:rPr>
          <w:rFonts w:ascii="Times New Roman" w:eastAsia="Times New Roman" w:hAnsi="Times New Roman" w:cs="Times New Roman"/>
          <w:color w:val="000000"/>
        </w:rPr>
        <w:t xml:space="preserve">, inoltre, </w:t>
      </w:r>
      <w:r w:rsidR="004345F2" w:rsidRPr="00011C7C">
        <w:rPr>
          <w:rFonts w:ascii="Times New Roman" w:eastAsia="Times New Roman" w:hAnsi="Times New Roman" w:cs="Times New Roman"/>
          <w:color w:val="000000"/>
        </w:rPr>
        <w:t>consent</w:t>
      </w:r>
      <w:r w:rsidR="00FA491F" w:rsidRPr="00011C7C">
        <w:rPr>
          <w:rFonts w:ascii="Times New Roman" w:eastAsia="Times New Roman" w:hAnsi="Times New Roman" w:cs="Times New Roman"/>
          <w:color w:val="000000"/>
        </w:rPr>
        <w:t>iva</w:t>
      </w:r>
      <w:r w:rsidR="00BC44D8" w:rsidRPr="00011C7C">
        <w:rPr>
          <w:rFonts w:ascii="Times New Roman" w:eastAsia="Times New Roman" w:hAnsi="Times New Roman" w:cs="Times New Roman"/>
          <w:color w:val="000000"/>
        </w:rPr>
        <w:t xml:space="preserve"> </w:t>
      </w:r>
      <w:r w:rsidR="00441FB2" w:rsidRPr="00011C7C">
        <w:rPr>
          <w:rFonts w:ascii="Times New Roman" w:eastAsia="Times New Roman" w:hAnsi="Times New Roman" w:cs="Times New Roman"/>
          <w:color w:val="000000"/>
        </w:rPr>
        <w:t>a Koyré</w:t>
      </w:r>
      <w:r w:rsidR="00226D7D" w:rsidRPr="00011C7C">
        <w:rPr>
          <w:rFonts w:ascii="Times New Roman" w:eastAsia="Times New Roman" w:hAnsi="Times New Roman" w:cs="Times New Roman"/>
          <w:color w:val="000000"/>
        </w:rPr>
        <w:t xml:space="preserve"> </w:t>
      </w:r>
      <w:r w:rsidR="00441FB2" w:rsidRPr="00011C7C">
        <w:rPr>
          <w:rFonts w:ascii="Times New Roman" w:eastAsia="Times New Roman" w:hAnsi="Times New Roman" w:cs="Times New Roman"/>
          <w:color w:val="000000"/>
        </w:rPr>
        <w:t>d’indicare</w:t>
      </w:r>
      <w:r w:rsidR="00D979D1" w:rsidRPr="00011C7C">
        <w:rPr>
          <w:rFonts w:ascii="Times New Roman" w:eastAsia="Times New Roman" w:hAnsi="Times New Roman" w:cs="Times New Roman"/>
          <w:color w:val="000000"/>
        </w:rPr>
        <w:t xml:space="preserve"> </w:t>
      </w:r>
      <w:r w:rsidR="008777B9" w:rsidRPr="00011C7C">
        <w:rPr>
          <w:rFonts w:ascii="Times New Roman" w:eastAsia="Times New Roman" w:hAnsi="Times New Roman" w:cs="Times New Roman"/>
          <w:color w:val="000000"/>
        </w:rPr>
        <w:t>due</w:t>
      </w:r>
      <w:r w:rsidR="005B66A9" w:rsidRPr="00011C7C">
        <w:rPr>
          <w:rFonts w:ascii="Times New Roman" w:eastAsia="Times New Roman" w:hAnsi="Times New Roman" w:cs="Times New Roman"/>
          <w:color w:val="000000"/>
        </w:rPr>
        <w:t xml:space="preserve"> possibili </w:t>
      </w:r>
      <w:r w:rsidR="00895A3F" w:rsidRPr="00011C7C">
        <w:rPr>
          <w:rFonts w:ascii="Times New Roman" w:eastAsia="Times New Roman" w:hAnsi="Times New Roman" w:cs="Times New Roman"/>
          <w:color w:val="000000"/>
        </w:rPr>
        <w:t>fonti</w:t>
      </w:r>
      <w:r w:rsidR="00441FB2" w:rsidRPr="00011C7C">
        <w:rPr>
          <w:rFonts w:ascii="Times New Roman" w:eastAsia="Times New Roman" w:hAnsi="Times New Roman" w:cs="Times New Roman"/>
          <w:color w:val="000000"/>
        </w:rPr>
        <w:t xml:space="preserve"> della </w:t>
      </w:r>
      <w:r w:rsidR="008777B9" w:rsidRPr="00011C7C">
        <w:rPr>
          <w:rFonts w:ascii="Times New Roman" w:eastAsia="Times New Roman" w:hAnsi="Times New Roman" w:cs="Times New Roman"/>
          <w:color w:val="000000"/>
        </w:rPr>
        <w:t xml:space="preserve">nozione </w:t>
      </w:r>
      <w:r w:rsidR="00441FB2" w:rsidRPr="00011C7C">
        <w:rPr>
          <w:rFonts w:ascii="Times New Roman" w:eastAsia="Times New Roman" w:hAnsi="Times New Roman" w:cs="Times New Roman"/>
          <w:color w:val="000000"/>
        </w:rPr>
        <w:t>hegeliana</w:t>
      </w:r>
      <w:r w:rsidR="00226D7D" w:rsidRPr="00011C7C">
        <w:rPr>
          <w:rFonts w:ascii="Times New Roman" w:eastAsia="Times New Roman" w:hAnsi="Times New Roman" w:cs="Times New Roman"/>
          <w:color w:val="000000"/>
        </w:rPr>
        <w:t xml:space="preserve"> della</w:t>
      </w:r>
      <w:r w:rsidR="008777B9" w:rsidRPr="00011C7C">
        <w:rPr>
          <w:rFonts w:ascii="Times New Roman" w:eastAsia="Times New Roman" w:hAnsi="Times New Roman" w:cs="Times New Roman"/>
          <w:color w:val="000000"/>
        </w:rPr>
        <w:t xml:space="preserve"> </w:t>
      </w:r>
      <w:r w:rsidR="008777B9" w:rsidRPr="00011C7C">
        <w:rPr>
          <w:rFonts w:ascii="Times New Roman" w:eastAsia="Times New Roman" w:hAnsi="Times New Roman" w:cs="Times New Roman"/>
          <w:i/>
          <w:color w:val="000000"/>
        </w:rPr>
        <w:t>Negativität</w:t>
      </w:r>
      <w:r w:rsidR="00441FB2" w:rsidRPr="00011C7C">
        <w:rPr>
          <w:rFonts w:ascii="Times New Roman" w:eastAsia="Times New Roman" w:hAnsi="Times New Roman" w:cs="Times New Roman"/>
          <w:color w:val="000000"/>
        </w:rPr>
        <w:t>:</w:t>
      </w:r>
      <w:r w:rsidR="00441FB2">
        <w:rPr>
          <w:rFonts w:ascii="Times New Roman" w:eastAsia="Times New Roman" w:hAnsi="Times New Roman" w:cs="Times New Roman"/>
          <w:color w:val="000000"/>
        </w:rPr>
        <w:t xml:space="preserve"> </w:t>
      </w:r>
      <w:r w:rsidR="00F353E9">
        <w:rPr>
          <w:rFonts w:ascii="Times New Roman" w:eastAsia="Times New Roman" w:hAnsi="Times New Roman" w:cs="Times New Roman"/>
          <w:color w:val="000000"/>
        </w:rPr>
        <w:t>tematiche desunte dalle opere di Paracelso e di Böhme</w:t>
      </w:r>
      <w:r w:rsidR="005B66A9">
        <w:rPr>
          <w:rFonts w:ascii="Times New Roman" w:eastAsia="Times New Roman" w:hAnsi="Times New Roman" w:cs="Times New Roman"/>
          <w:color w:val="000000"/>
        </w:rPr>
        <w:t xml:space="preserve">, </w:t>
      </w:r>
      <w:r w:rsidR="005B66A9" w:rsidRPr="00EB6282">
        <w:rPr>
          <w:rFonts w:ascii="Times New Roman" w:eastAsia="Times New Roman" w:hAnsi="Times New Roman" w:cs="Times New Roman"/>
          <w:color w:val="000000"/>
        </w:rPr>
        <w:t>reinterpretate</w:t>
      </w:r>
      <w:r w:rsidR="00D979D1">
        <w:rPr>
          <w:rFonts w:ascii="Times New Roman" w:eastAsia="Times New Roman" w:hAnsi="Times New Roman" w:cs="Times New Roman"/>
          <w:color w:val="000000"/>
        </w:rPr>
        <w:t xml:space="preserve"> da Hegel secondo</w:t>
      </w:r>
      <w:r w:rsidR="005B66A9">
        <w:rPr>
          <w:rFonts w:ascii="Times New Roman" w:eastAsia="Times New Roman" w:hAnsi="Times New Roman" w:cs="Times New Roman"/>
          <w:color w:val="000000"/>
        </w:rPr>
        <w:t xml:space="preserve"> una prospettiva prett</w:t>
      </w:r>
      <w:r w:rsidR="005B66A9" w:rsidRPr="00E941E7">
        <w:rPr>
          <w:rFonts w:ascii="Times New Roman" w:eastAsia="Times New Roman" w:hAnsi="Times New Roman" w:cs="Times New Roman"/>
          <w:color w:val="000000"/>
        </w:rPr>
        <w:t>amente filosofica,</w:t>
      </w:r>
      <w:r w:rsidR="00F353E9" w:rsidRPr="00E941E7">
        <w:rPr>
          <w:rFonts w:ascii="Times New Roman" w:eastAsia="Times New Roman" w:hAnsi="Times New Roman" w:cs="Times New Roman"/>
          <w:color w:val="000000"/>
        </w:rPr>
        <w:t xml:space="preserve"> t</w:t>
      </w:r>
      <w:r w:rsidR="005B66A9" w:rsidRPr="00E941E7">
        <w:rPr>
          <w:rFonts w:ascii="Times New Roman" w:eastAsia="Times New Roman" w:hAnsi="Times New Roman" w:cs="Times New Roman"/>
          <w:color w:val="000000"/>
        </w:rPr>
        <w:t xml:space="preserve">roverebbero una collocazione, e con essa una nuova vita, all’interno </w:t>
      </w:r>
      <w:r w:rsidR="00112399" w:rsidRPr="00E941E7">
        <w:rPr>
          <w:rFonts w:ascii="Times New Roman" w:eastAsia="Times New Roman" w:hAnsi="Times New Roman" w:cs="Times New Roman"/>
          <w:color w:val="000000"/>
        </w:rPr>
        <w:t>dell</w:t>
      </w:r>
      <w:r w:rsidR="00FA491F" w:rsidRPr="00E941E7">
        <w:rPr>
          <w:rFonts w:ascii="Times New Roman" w:eastAsia="Times New Roman" w:hAnsi="Times New Roman" w:cs="Times New Roman"/>
          <w:color w:val="000000"/>
        </w:rPr>
        <w:t>a teoria</w:t>
      </w:r>
      <w:r w:rsidR="005B66A9" w:rsidRPr="00E941E7">
        <w:rPr>
          <w:rFonts w:ascii="Times New Roman" w:eastAsia="Times New Roman" w:hAnsi="Times New Roman" w:cs="Times New Roman"/>
          <w:color w:val="000000"/>
        </w:rPr>
        <w:t xml:space="preserve"> </w:t>
      </w:r>
      <w:r w:rsidR="00A777E6" w:rsidRPr="00E941E7">
        <w:rPr>
          <w:rFonts w:ascii="Times New Roman" w:eastAsia="Times New Roman" w:hAnsi="Times New Roman" w:cs="Times New Roman"/>
          <w:color w:val="000000"/>
        </w:rPr>
        <w:t xml:space="preserve">hegeliana </w:t>
      </w:r>
      <w:r w:rsidR="005B66A9" w:rsidRPr="00E941E7">
        <w:rPr>
          <w:rFonts w:ascii="Times New Roman" w:eastAsia="Times New Roman" w:hAnsi="Times New Roman" w:cs="Times New Roman"/>
          <w:color w:val="000000"/>
        </w:rPr>
        <w:t>della negazione</w:t>
      </w:r>
      <w:r w:rsidR="005B66A9" w:rsidRPr="00E941E7">
        <w:rPr>
          <w:rStyle w:val="Rimandonotaapidipagina"/>
          <w:rFonts w:ascii="Times New Roman" w:eastAsia="Times New Roman" w:hAnsi="Times New Roman" w:cs="Times New Roman"/>
          <w:color w:val="000000"/>
        </w:rPr>
        <w:footnoteReference w:id="31"/>
      </w:r>
      <w:r w:rsidR="00243D8B" w:rsidRPr="00E941E7">
        <w:rPr>
          <w:rFonts w:ascii="Times New Roman" w:eastAsia="Times New Roman" w:hAnsi="Times New Roman" w:cs="Times New Roman"/>
          <w:color w:val="000000"/>
        </w:rPr>
        <w:t xml:space="preserve">. </w:t>
      </w:r>
    </w:p>
    <w:p w14:paraId="1FB134F9" w14:textId="2FB50131" w:rsidR="003A3AD0" w:rsidRDefault="00243D8B" w:rsidP="00CB0E60">
      <w:pPr>
        <w:spacing w:line="360" w:lineRule="auto"/>
        <w:ind w:firstLine="567"/>
        <w:jc w:val="both"/>
        <w:rPr>
          <w:rFonts w:ascii="Times New Roman" w:hAnsi="Times New Roman" w:cs="Times New Roman"/>
        </w:rPr>
      </w:pPr>
      <w:r w:rsidRPr="00E941E7">
        <w:rPr>
          <w:rFonts w:ascii="Times New Roman" w:eastAsia="Times New Roman" w:hAnsi="Times New Roman" w:cs="Times New Roman"/>
          <w:color w:val="000000"/>
        </w:rPr>
        <w:t>Questa prospettiva interpretativa, che non trova uno sviluppo a sé nel saggio koyreiano e che resta, pertanto, una suggestione non verificata e bisognosa d</w:t>
      </w:r>
      <w:r w:rsidR="00061D46" w:rsidRPr="00E941E7">
        <w:rPr>
          <w:rFonts w:ascii="Times New Roman" w:eastAsia="Times New Roman" w:hAnsi="Times New Roman" w:cs="Times New Roman"/>
          <w:color w:val="000000"/>
        </w:rPr>
        <w:t>i un ulteriore vaglio critico</w:t>
      </w:r>
      <w:r w:rsidRPr="00E941E7">
        <w:rPr>
          <w:rFonts w:ascii="Times New Roman" w:eastAsia="Times New Roman" w:hAnsi="Times New Roman" w:cs="Times New Roman"/>
          <w:color w:val="000000"/>
        </w:rPr>
        <w:t xml:space="preserve">, </w:t>
      </w:r>
      <w:r w:rsidR="00112399" w:rsidRPr="00E941E7">
        <w:rPr>
          <w:rFonts w:ascii="Times New Roman" w:eastAsia="Times New Roman" w:hAnsi="Times New Roman" w:cs="Times New Roman"/>
          <w:color w:val="000000"/>
        </w:rPr>
        <w:t xml:space="preserve">è stata </w:t>
      </w:r>
      <w:r w:rsidR="0096393F" w:rsidRPr="00E941E7">
        <w:rPr>
          <w:rFonts w:ascii="Times New Roman" w:eastAsia="Times New Roman" w:hAnsi="Times New Roman" w:cs="Times New Roman"/>
          <w:color w:val="000000"/>
        </w:rPr>
        <w:t>ripresa in una serie di lavori apparsi nel</w:t>
      </w:r>
      <w:r w:rsidR="00F95BA6" w:rsidRPr="00E941E7">
        <w:rPr>
          <w:rFonts w:ascii="Times New Roman" w:eastAsia="Times New Roman" w:hAnsi="Times New Roman" w:cs="Times New Roman"/>
          <w:color w:val="000000"/>
        </w:rPr>
        <w:t>la seconda metà del XX secolo e</w:t>
      </w:r>
      <w:r w:rsidR="00BC44D8" w:rsidRPr="00E941E7">
        <w:rPr>
          <w:rFonts w:ascii="Times New Roman" w:eastAsia="Times New Roman" w:hAnsi="Times New Roman" w:cs="Times New Roman"/>
          <w:color w:val="000000"/>
        </w:rPr>
        <w:t xml:space="preserve"> </w:t>
      </w:r>
      <w:r w:rsidR="00C005C5" w:rsidRPr="00E941E7">
        <w:rPr>
          <w:rFonts w:ascii="Times New Roman" w:eastAsia="Times New Roman" w:hAnsi="Times New Roman" w:cs="Times New Roman"/>
          <w:color w:val="000000"/>
        </w:rPr>
        <w:t xml:space="preserve">si è protratta </w:t>
      </w:r>
      <w:r w:rsidR="0096393F" w:rsidRPr="00E941E7">
        <w:rPr>
          <w:rFonts w:ascii="Times New Roman" w:eastAsia="Times New Roman" w:hAnsi="Times New Roman" w:cs="Times New Roman"/>
          <w:color w:val="000000"/>
        </w:rPr>
        <w:t>fino ai giorni nostri.</w:t>
      </w:r>
      <w:r w:rsidR="00226D7D">
        <w:rPr>
          <w:rFonts w:ascii="Times New Roman" w:eastAsia="Times New Roman" w:hAnsi="Times New Roman" w:cs="Times New Roman"/>
          <w:color w:val="000000"/>
        </w:rPr>
        <w:t xml:space="preserve"> Fondamentale</w:t>
      </w:r>
      <w:r w:rsidR="0096393F">
        <w:rPr>
          <w:rFonts w:ascii="Times New Roman" w:eastAsia="Times New Roman" w:hAnsi="Times New Roman" w:cs="Times New Roman"/>
          <w:color w:val="000000"/>
        </w:rPr>
        <w:t xml:space="preserve"> per la sua capacità di mappare la concezione he</w:t>
      </w:r>
      <w:r w:rsidR="00226D7D">
        <w:rPr>
          <w:rFonts w:ascii="Times New Roman" w:eastAsia="Times New Roman" w:hAnsi="Times New Roman" w:cs="Times New Roman"/>
          <w:color w:val="000000"/>
        </w:rPr>
        <w:t>geliana della negatività a Jena</w:t>
      </w:r>
      <w:r w:rsidR="0096393F">
        <w:rPr>
          <w:rFonts w:ascii="Times New Roman" w:eastAsia="Times New Roman" w:hAnsi="Times New Roman" w:cs="Times New Roman"/>
          <w:color w:val="000000"/>
        </w:rPr>
        <w:t xml:space="preserve"> risulta la monografia di Wolfgang Bonsiepen, che ha avuto il merito di tracciare un quadro sinottico accurato, anche se qua e là manchevole</w:t>
      </w:r>
      <w:r w:rsidR="00616504">
        <w:rPr>
          <w:rStyle w:val="Rimandonotaapidipagina"/>
          <w:rFonts w:ascii="Times New Roman" w:eastAsia="Times New Roman" w:hAnsi="Times New Roman" w:cs="Times New Roman"/>
          <w:color w:val="000000"/>
        </w:rPr>
        <w:footnoteReference w:id="32"/>
      </w:r>
      <w:r w:rsidR="00616504">
        <w:rPr>
          <w:rFonts w:ascii="Times New Roman" w:eastAsia="Times New Roman" w:hAnsi="Times New Roman" w:cs="Times New Roman"/>
          <w:color w:val="000000"/>
        </w:rPr>
        <w:t xml:space="preserve">, di un tema </w:t>
      </w:r>
      <w:r w:rsidR="0096393F">
        <w:rPr>
          <w:rFonts w:ascii="Times New Roman" w:eastAsia="Times New Roman" w:hAnsi="Times New Roman" w:cs="Times New Roman"/>
          <w:color w:val="000000"/>
        </w:rPr>
        <w:t xml:space="preserve">assolutamente centrale nell’architettura </w:t>
      </w:r>
      <w:r w:rsidR="00616504">
        <w:rPr>
          <w:rFonts w:ascii="Times New Roman" w:eastAsia="Times New Roman" w:hAnsi="Times New Roman" w:cs="Times New Roman"/>
          <w:color w:val="000000"/>
        </w:rPr>
        <w:t>concettuale dell’opera</w:t>
      </w:r>
      <w:r w:rsidR="00F95BA6">
        <w:rPr>
          <w:rFonts w:ascii="Times New Roman" w:eastAsia="Times New Roman" w:hAnsi="Times New Roman" w:cs="Times New Roman"/>
          <w:color w:val="000000"/>
        </w:rPr>
        <w:t xml:space="preserve"> di Hegel</w:t>
      </w:r>
      <w:r w:rsidR="00616504">
        <w:rPr>
          <w:rFonts w:ascii="Times New Roman" w:eastAsia="Times New Roman" w:hAnsi="Times New Roman" w:cs="Times New Roman"/>
          <w:color w:val="000000"/>
        </w:rPr>
        <w:t>.</w:t>
      </w:r>
      <w:r w:rsidR="0096393F">
        <w:rPr>
          <w:rFonts w:ascii="Times New Roman" w:eastAsia="Times New Roman" w:hAnsi="Times New Roman" w:cs="Times New Roman"/>
          <w:color w:val="000000"/>
        </w:rPr>
        <w:t xml:space="preserve"> </w:t>
      </w:r>
      <w:r w:rsidR="008D2C04">
        <w:rPr>
          <w:rFonts w:ascii="Times New Roman" w:eastAsia="Times New Roman" w:hAnsi="Times New Roman" w:cs="Times New Roman"/>
          <w:color w:val="000000"/>
        </w:rPr>
        <w:t>Sulla scia di questo contributo, si colloca il lavoro di Piero Coda</w:t>
      </w:r>
      <w:r w:rsidR="00B36AE8">
        <w:rPr>
          <w:rFonts w:ascii="Times New Roman" w:eastAsia="Times New Roman" w:hAnsi="Times New Roman" w:cs="Times New Roman"/>
          <w:color w:val="000000"/>
        </w:rPr>
        <w:t>,</w:t>
      </w:r>
      <w:r w:rsidR="008D2C04">
        <w:rPr>
          <w:rFonts w:ascii="Times New Roman" w:eastAsia="Times New Roman" w:hAnsi="Times New Roman" w:cs="Times New Roman"/>
          <w:color w:val="000000"/>
        </w:rPr>
        <w:t xml:space="preserve"> </w:t>
      </w:r>
      <w:r w:rsidR="008D2C04">
        <w:rPr>
          <w:rFonts w:ascii="Times New Roman" w:eastAsia="Times New Roman" w:hAnsi="Times New Roman" w:cs="Times New Roman"/>
          <w:i/>
          <w:color w:val="000000"/>
        </w:rPr>
        <w:t>Il negativo e la trinità. Ipotesi su Hegel</w:t>
      </w:r>
      <w:r w:rsidR="008D2C04">
        <w:rPr>
          <w:rFonts w:ascii="Times New Roman" w:eastAsia="Times New Roman" w:hAnsi="Times New Roman" w:cs="Times New Roman"/>
          <w:color w:val="000000"/>
        </w:rPr>
        <w:t xml:space="preserve">, che </w:t>
      </w:r>
      <w:r w:rsidR="008D2C04" w:rsidRPr="00D06101">
        <w:rPr>
          <w:rFonts w:ascii="Times New Roman" w:eastAsia="Times New Roman" w:hAnsi="Times New Roman" w:cs="Times New Roman"/>
          <w:color w:val="000000"/>
        </w:rPr>
        <w:t xml:space="preserve">ha </w:t>
      </w:r>
      <w:r w:rsidR="003C75BE" w:rsidRPr="00D06101">
        <w:rPr>
          <w:rFonts w:ascii="Times New Roman" w:eastAsia="Times New Roman" w:hAnsi="Times New Roman" w:cs="Times New Roman"/>
          <w:color w:val="000000"/>
        </w:rPr>
        <w:t>collegato</w:t>
      </w:r>
      <w:r w:rsidR="008D2C04" w:rsidRPr="00D06101">
        <w:rPr>
          <w:rFonts w:ascii="Times New Roman" w:eastAsia="Times New Roman" w:hAnsi="Times New Roman" w:cs="Times New Roman"/>
          <w:color w:val="000000"/>
        </w:rPr>
        <w:t xml:space="preserve"> la</w:t>
      </w:r>
      <w:r w:rsidR="008D2C04">
        <w:rPr>
          <w:rFonts w:ascii="Times New Roman" w:eastAsia="Times New Roman" w:hAnsi="Times New Roman" w:cs="Times New Roman"/>
          <w:color w:val="000000"/>
        </w:rPr>
        <w:t xml:space="preserve"> teoria </w:t>
      </w:r>
      <w:r w:rsidR="004C70BD">
        <w:rPr>
          <w:rFonts w:ascii="Times New Roman" w:eastAsia="Times New Roman" w:hAnsi="Times New Roman" w:cs="Times New Roman"/>
          <w:color w:val="000000"/>
        </w:rPr>
        <w:t xml:space="preserve">hegeliana </w:t>
      </w:r>
      <w:r w:rsidR="008D2C04">
        <w:rPr>
          <w:rFonts w:ascii="Times New Roman" w:eastAsia="Times New Roman" w:hAnsi="Times New Roman" w:cs="Times New Roman"/>
          <w:color w:val="000000"/>
        </w:rPr>
        <w:t xml:space="preserve">della negatività </w:t>
      </w:r>
      <w:r w:rsidR="004C70BD">
        <w:rPr>
          <w:rFonts w:ascii="Times New Roman" w:eastAsia="Times New Roman" w:hAnsi="Times New Roman" w:cs="Times New Roman"/>
          <w:color w:val="000000"/>
        </w:rPr>
        <w:t xml:space="preserve">con la ricezione jenese </w:t>
      </w:r>
      <w:r w:rsidR="008D2C04">
        <w:rPr>
          <w:rFonts w:ascii="Times New Roman" w:eastAsia="Times New Roman" w:hAnsi="Times New Roman" w:cs="Times New Roman"/>
          <w:color w:val="000000"/>
        </w:rPr>
        <w:t>di Jakob Böhme</w:t>
      </w:r>
      <w:r w:rsidR="004C3BE4">
        <w:rPr>
          <w:rStyle w:val="Rimandonotaapidipagina"/>
          <w:rFonts w:ascii="Times New Roman" w:eastAsia="Times New Roman" w:hAnsi="Times New Roman" w:cs="Times New Roman"/>
          <w:color w:val="000000"/>
        </w:rPr>
        <w:footnoteReference w:id="33"/>
      </w:r>
      <w:r w:rsidR="008D2C04">
        <w:rPr>
          <w:rFonts w:ascii="Times New Roman" w:eastAsia="Times New Roman" w:hAnsi="Times New Roman" w:cs="Times New Roman"/>
          <w:color w:val="000000"/>
        </w:rPr>
        <w:t xml:space="preserve">. All’interno delle </w:t>
      </w:r>
      <w:r w:rsidR="00112399">
        <w:rPr>
          <w:rFonts w:ascii="Times New Roman" w:eastAsia="Times New Roman" w:hAnsi="Times New Roman" w:cs="Times New Roman"/>
          <w:color w:val="000000"/>
        </w:rPr>
        <w:t xml:space="preserve">dense </w:t>
      </w:r>
      <w:r w:rsidR="008D2C04">
        <w:rPr>
          <w:rFonts w:ascii="Times New Roman" w:eastAsia="Times New Roman" w:hAnsi="Times New Roman" w:cs="Times New Roman"/>
          <w:color w:val="000000"/>
        </w:rPr>
        <w:t xml:space="preserve">maglie </w:t>
      </w:r>
      <w:r w:rsidR="008D2C04" w:rsidRPr="005E7BBA">
        <w:rPr>
          <w:rFonts w:ascii="Times New Roman" w:eastAsia="Times New Roman" w:hAnsi="Times New Roman" w:cs="Times New Roman"/>
          <w:color w:val="000000"/>
        </w:rPr>
        <w:t xml:space="preserve">argomentative </w:t>
      </w:r>
      <w:r w:rsidR="00112399" w:rsidRPr="005E7BBA">
        <w:rPr>
          <w:rFonts w:ascii="Times New Roman" w:eastAsia="Times New Roman" w:hAnsi="Times New Roman" w:cs="Times New Roman"/>
          <w:color w:val="000000"/>
        </w:rPr>
        <w:t>de</w:t>
      </w:r>
      <w:r w:rsidR="00BF6AAD" w:rsidRPr="005E7BBA">
        <w:rPr>
          <w:rFonts w:ascii="Times New Roman" w:eastAsia="Times New Roman" w:hAnsi="Times New Roman" w:cs="Times New Roman"/>
          <w:color w:val="000000"/>
        </w:rPr>
        <w:t>i testi hegeliani</w:t>
      </w:r>
      <w:r w:rsidR="00112399" w:rsidRPr="005E7BBA">
        <w:rPr>
          <w:rFonts w:ascii="Times New Roman" w:eastAsia="Times New Roman" w:hAnsi="Times New Roman" w:cs="Times New Roman"/>
          <w:color w:val="000000"/>
        </w:rPr>
        <w:t xml:space="preserve">, Coda sottolinea, </w:t>
      </w:r>
      <w:r w:rsidR="00D06101" w:rsidRPr="005E7BBA">
        <w:rPr>
          <w:rFonts w:ascii="Times New Roman" w:eastAsia="Times New Roman" w:hAnsi="Times New Roman" w:cs="Times New Roman"/>
          <w:color w:val="000000"/>
        </w:rPr>
        <w:t xml:space="preserve">proseguendo così una linea di ricerca abbozzata nel </w:t>
      </w:r>
      <w:r w:rsidR="00112399" w:rsidRPr="005E7BBA">
        <w:rPr>
          <w:rFonts w:ascii="Times New Roman" w:eastAsia="Times New Roman" w:hAnsi="Times New Roman" w:cs="Times New Roman"/>
          <w:color w:val="000000"/>
        </w:rPr>
        <w:t xml:space="preserve">testo di Bonsiepen, l’apporto della tradizione mistica nella formulazione </w:t>
      </w:r>
      <w:r w:rsidR="00112399" w:rsidRPr="00177EA1">
        <w:rPr>
          <w:rFonts w:ascii="Times New Roman" w:eastAsia="Times New Roman" w:hAnsi="Times New Roman" w:cs="Times New Roman"/>
          <w:color w:val="000000"/>
        </w:rPr>
        <w:t>d</w:t>
      </w:r>
      <w:r w:rsidR="00BF6AAD" w:rsidRPr="00177EA1">
        <w:rPr>
          <w:rFonts w:ascii="Times New Roman" w:eastAsia="Times New Roman" w:hAnsi="Times New Roman" w:cs="Times New Roman"/>
          <w:color w:val="000000"/>
        </w:rPr>
        <w:t xml:space="preserve">el concetto </w:t>
      </w:r>
      <w:r w:rsidR="00FD1851" w:rsidRPr="00177EA1">
        <w:rPr>
          <w:rFonts w:ascii="Times New Roman" w:eastAsia="Times New Roman" w:hAnsi="Times New Roman" w:cs="Times New Roman"/>
          <w:color w:val="000000"/>
        </w:rPr>
        <w:t>della</w:t>
      </w:r>
      <w:r w:rsidR="00BF6AAD" w:rsidRPr="00177EA1">
        <w:rPr>
          <w:rFonts w:ascii="Times New Roman" w:eastAsia="Times New Roman" w:hAnsi="Times New Roman" w:cs="Times New Roman"/>
          <w:color w:val="000000"/>
        </w:rPr>
        <w:t xml:space="preserve"> </w:t>
      </w:r>
      <w:r w:rsidR="00BF6AAD" w:rsidRPr="00177EA1">
        <w:rPr>
          <w:rFonts w:ascii="Times New Roman" w:eastAsia="Times New Roman" w:hAnsi="Times New Roman" w:cs="Times New Roman"/>
          <w:i/>
          <w:color w:val="000000"/>
        </w:rPr>
        <w:t>Negativität</w:t>
      </w:r>
      <w:r w:rsidR="00BE3F64" w:rsidRPr="00177EA1">
        <w:rPr>
          <w:rFonts w:ascii="Times New Roman" w:eastAsia="Times New Roman" w:hAnsi="Times New Roman" w:cs="Times New Roman"/>
          <w:color w:val="000000"/>
        </w:rPr>
        <w:t>:</w:t>
      </w:r>
      <w:r w:rsidR="00BE3F64">
        <w:rPr>
          <w:rFonts w:ascii="Times New Roman" w:eastAsia="Times New Roman" w:hAnsi="Times New Roman" w:cs="Times New Roman"/>
          <w:color w:val="000000"/>
        </w:rPr>
        <w:t xml:space="preserve"> nella filigrana, che costituisce </w:t>
      </w:r>
      <w:r w:rsidR="007B19E9">
        <w:rPr>
          <w:rFonts w:ascii="Times New Roman" w:eastAsia="Times New Roman" w:hAnsi="Times New Roman" w:cs="Times New Roman"/>
          <w:color w:val="000000"/>
        </w:rPr>
        <w:t xml:space="preserve">il supporto materiale </w:t>
      </w:r>
      <w:r w:rsidR="00BE3F64">
        <w:rPr>
          <w:rFonts w:ascii="Times New Roman" w:eastAsia="Times New Roman" w:hAnsi="Times New Roman" w:cs="Times New Roman"/>
          <w:color w:val="000000"/>
        </w:rPr>
        <w:t xml:space="preserve">di questa </w:t>
      </w:r>
      <w:r w:rsidR="007B19E9" w:rsidRPr="008777B9">
        <w:rPr>
          <w:rFonts w:ascii="Times New Roman" w:eastAsia="Times New Roman" w:hAnsi="Times New Roman" w:cs="Times New Roman"/>
          <w:color w:val="000000"/>
        </w:rPr>
        <w:t>fondamentale struttura</w:t>
      </w:r>
      <w:r w:rsidR="00BE3F64" w:rsidRPr="008777B9">
        <w:rPr>
          <w:rFonts w:ascii="Times New Roman" w:eastAsia="Times New Roman" w:hAnsi="Times New Roman" w:cs="Times New Roman"/>
          <w:color w:val="000000"/>
        </w:rPr>
        <w:t xml:space="preserve"> </w:t>
      </w:r>
      <w:r w:rsidR="00BE3F64" w:rsidRPr="003962B3">
        <w:rPr>
          <w:rFonts w:ascii="Times New Roman" w:eastAsia="Times New Roman" w:hAnsi="Times New Roman" w:cs="Times New Roman"/>
          <w:color w:val="000000"/>
        </w:rPr>
        <w:t>ontologica d</w:t>
      </w:r>
      <w:r w:rsidR="00BE3F64" w:rsidRPr="008777B9">
        <w:rPr>
          <w:rFonts w:ascii="Times New Roman" w:eastAsia="Times New Roman" w:hAnsi="Times New Roman" w:cs="Times New Roman"/>
          <w:color w:val="000000"/>
        </w:rPr>
        <w:t>ella dialetti</w:t>
      </w:r>
      <w:r w:rsidR="007B19E9" w:rsidRPr="008777B9">
        <w:rPr>
          <w:rFonts w:ascii="Times New Roman" w:eastAsia="Times New Roman" w:hAnsi="Times New Roman" w:cs="Times New Roman"/>
          <w:color w:val="000000"/>
        </w:rPr>
        <w:t>ca</w:t>
      </w:r>
      <w:r w:rsidR="00540BC1" w:rsidRPr="008777B9">
        <w:rPr>
          <w:rFonts w:ascii="Times New Roman" w:eastAsia="Times New Roman" w:hAnsi="Times New Roman" w:cs="Times New Roman"/>
          <w:color w:val="000000"/>
        </w:rPr>
        <w:t xml:space="preserve"> di Hegel</w:t>
      </w:r>
      <w:r w:rsidR="007D1877">
        <w:rPr>
          <w:rFonts w:ascii="Times New Roman" w:eastAsia="Times New Roman" w:hAnsi="Times New Roman" w:cs="Times New Roman"/>
          <w:color w:val="000000"/>
        </w:rPr>
        <w:t>, è distinguibile un</w:t>
      </w:r>
      <w:r w:rsidR="00BE3F64">
        <w:rPr>
          <w:rFonts w:ascii="Times New Roman" w:eastAsia="Times New Roman" w:hAnsi="Times New Roman" w:cs="Times New Roman"/>
          <w:color w:val="000000"/>
        </w:rPr>
        <w:t xml:space="preserve"> filo </w:t>
      </w:r>
      <w:r w:rsidR="007B19E9">
        <w:rPr>
          <w:rFonts w:ascii="Times New Roman" w:eastAsia="Times New Roman" w:hAnsi="Times New Roman" w:cs="Times New Roman"/>
          <w:color w:val="000000"/>
        </w:rPr>
        <w:t xml:space="preserve">teosofico, </w:t>
      </w:r>
      <w:r w:rsidR="00BE3F64">
        <w:rPr>
          <w:rFonts w:ascii="Times New Roman" w:eastAsia="Times New Roman" w:hAnsi="Times New Roman" w:cs="Times New Roman"/>
          <w:color w:val="000000"/>
        </w:rPr>
        <w:t>che attesta una ricezione</w:t>
      </w:r>
      <w:r w:rsidR="003962B3">
        <w:rPr>
          <w:rFonts w:ascii="Times New Roman" w:eastAsia="Times New Roman" w:hAnsi="Times New Roman" w:cs="Times New Roman"/>
          <w:color w:val="000000"/>
        </w:rPr>
        <w:t xml:space="preserve"> e</w:t>
      </w:r>
      <w:r w:rsidR="004C3BE4">
        <w:rPr>
          <w:rFonts w:ascii="Times New Roman" w:eastAsia="Times New Roman" w:hAnsi="Times New Roman" w:cs="Times New Roman"/>
          <w:color w:val="000000"/>
        </w:rPr>
        <w:t xml:space="preserve"> una rilettura</w:t>
      </w:r>
      <w:r w:rsidR="007B19E9">
        <w:rPr>
          <w:rFonts w:ascii="Times New Roman" w:eastAsia="Times New Roman" w:hAnsi="Times New Roman" w:cs="Times New Roman"/>
          <w:color w:val="000000"/>
        </w:rPr>
        <w:t xml:space="preserve"> delle</w:t>
      </w:r>
      <w:r w:rsidR="00BE3F64">
        <w:rPr>
          <w:rFonts w:ascii="Times New Roman" w:eastAsia="Times New Roman" w:hAnsi="Times New Roman" w:cs="Times New Roman"/>
          <w:color w:val="000000"/>
        </w:rPr>
        <w:t xml:space="preserve"> categorie b</w:t>
      </w:r>
      <w:r w:rsidR="007B19E9">
        <w:rPr>
          <w:rFonts w:ascii="Times New Roman" w:eastAsia="Times New Roman" w:hAnsi="Times New Roman" w:cs="Times New Roman"/>
          <w:color w:val="000000"/>
        </w:rPr>
        <w:t>öhmiane</w:t>
      </w:r>
      <w:r w:rsidR="00BF6AAD" w:rsidRPr="00BF6AAD">
        <w:rPr>
          <w:rFonts w:ascii="Times New Roman" w:eastAsia="Times New Roman" w:hAnsi="Times New Roman" w:cs="Times New Roman"/>
          <w:i/>
          <w:color w:val="000000"/>
        </w:rPr>
        <w:t xml:space="preserve"> </w:t>
      </w:r>
      <w:r w:rsidR="004C3BE4">
        <w:rPr>
          <w:rFonts w:ascii="Times New Roman" w:eastAsia="Times New Roman" w:hAnsi="Times New Roman" w:cs="Times New Roman"/>
          <w:color w:val="000000"/>
        </w:rPr>
        <w:t xml:space="preserve">all’interno del quadro più generale della </w:t>
      </w:r>
      <w:r w:rsidR="004C3BE4" w:rsidRPr="00067D01">
        <w:rPr>
          <w:rFonts w:ascii="Times New Roman" w:eastAsia="Times New Roman" w:hAnsi="Times New Roman" w:cs="Times New Roman"/>
          <w:color w:val="000000"/>
        </w:rPr>
        <w:t>teoria</w:t>
      </w:r>
      <w:r w:rsidR="00863DE4" w:rsidRPr="00067D01">
        <w:rPr>
          <w:rFonts w:ascii="Times New Roman" w:eastAsia="Times New Roman" w:hAnsi="Times New Roman" w:cs="Times New Roman"/>
          <w:color w:val="000000"/>
        </w:rPr>
        <w:t xml:space="preserve"> hegeliana</w:t>
      </w:r>
      <w:r w:rsidR="004C3BE4" w:rsidRPr="00067D01">
        <w:rPr>
          <w:rFonts w:ascii="Times New Roman" w:eastAsia="Times New Roman" w:hAnsi="Times New Roman" w:cs="Times New Roman"/>
          <w:color w:val="000000"/>
        </w:rPr>
        <w:t xml:space="preserve"> dell’Assoluto. </w:t>
      </w:r>
      <w:r w:rsidR="00863DE4" w:rsidRPr="00B529FB">
        <w:rPr>
          <w:rFonts w:ascii="Times New Roman" w:eastAsia="Times New Roman" w:hAnsi="Times New Roman" w:cs="Times New Roman"/>
          <w:color w:val="000000"/>
        </w:rPr>
        <w:t>Nonostante i meriti</w:t>
      </w:r>
      <w:r w:rsidR="007652D7" w:rsidRPr="00B529FB">
        <w:rPr>
          <w:rFonts w:ascii="Times New Roman" w:eastAsia="Times New Roman" w:hAnsi="Times New Roman" w:cs="Times New Roman"/>
          <w:color w:val="000000"/>
        </w:rPr>
        <w:t xml:space="preserve"> indiscussi</w:t>
      </w:r>
      <w:r w:rsidR="00863DE4" w:rsidRPr="00B529FB">
        <w:rPr>
          <w:rFonts w:ascii="Times New Roman" w:eastAsia="Times New Roman" w:hAnsi="Times New Roman" w:cs="Times New Roman"/>
          <w:color w:val="000000"/>
        </w:rPr>
        <w:t xml:space="preserve"> di questa</w:t>
      </w:r>
      <w:r w:rsidR="003D7B9A" w:rsidRPr="00B529FB">
        <w:rPr>
          <w:rFonts w:ascii="Times New Roman" w:eastAsia="Times New Roman" w:hAnsi="Times New Roman" w:cs="Times New Roman"/>
          <w:color w:val="000000"/>
        </w:rPr>
        <w:t xml:space="preserve"> analisi</w:t>
      </w:r>
      <w:r w:rsidR="00863DE4" w:rsidRPr="00B529FB">
        <w:rPr>
          <w:rFonts w:ascii="Times New Roman" w:eastAsia="Times New Roman" w:hAnsi="Times New Roman" w:cs="Times New Roman"/>
          <w:color w:val="000000"/>
        </w:rPr>
        <w:t xml:space="preserve">, </w:t>
      </w:r>
      <w:r w:rsidR="00BF09A7" w:rsidRPr="00B529FB">
        <w:rPr>
          <w:rFonts w:ascii="Times New Roman" w:eastAsia="Times New Roman" w:hAnsi="Times New Roman" w:cs="Times New Roman"/>
          <w:color w:val="000000"/>
        </w:rPr>
        <w:t>è ravvisabile una critic</w:t>
      </w:r>
      <w:r w:rsidR="00C62475">
        <w:rPr>
          <w:rFonts w:ascii="Times New Roman" w:eastAsia="Times New Roman" w:hAnsi="Times New Roman" w:cs="Times New Roman"/>
          <w:color w:val="000000"/>
        </w:rPr>
        <w:t>i</w:t>
      </w:r>
      <w:r w:rsidR="00BF09A7" w:rsidRPr="00B529FB">
        <w:rPr>
          <w:rFonts w:ascii="Times New Roman" w:eastAsia="Times New Roman" w:hAnsi="Times New Roman" w:cs="Times New Roman"/>
          <w:color w:val="000000"/>
        </w:rPr>
        <w:t xml:space="preserve">tà </w:t>
      </w:r>
      <w:r w:rsidR="007652D7" w:rsidRPr="00B529FB">
        <w:rPr>
          <w:rFonts w:ascii="Times New Roman" w:eastAsia="Times New Roman" w:hAnsi="Times New Roman" w:cs="Times New Roman"/>
          <w:color w:val="000000"/>
        </w:rPr>
        <w:t>nella monografia di Coda</w:t>
      </w:r>
      <w:r w:rsidR="004C2255" w:rsidRPr="00B529FB">
        <w:rPr>
          <w:rFonts w:ascii="Times New Roman" w:eastAsia="Times New Roman" w:hAnsi="Times New Roman" w:cs="Times New Roman"/>
          <w:color w:val="000000"/>
        </w:rPr>
        <w:t xml:space="preserve"> che</w:t>
      </w:r>
      <w:r w:rsidR="004C2255" w:rsidRPr="00963C91">
        <w:rPr>
          <w:rFonts w:ascii="Times New Roman" w:eastAsia="Times New Roman" w:hAnsi="Times New Roman" w:cs="Times New Roman"/>
          <w:color w:val="000000"/>
        </w:rPr>
        <w:t>,</w:t>
      </w:r>
      <w:r w:rsidR="00863DE4" w:rsidRPr="00963C91">
        <w:rPr>
          <w:rFonts w:ascii="Times New Roman" w:eastAsia="Times New Roman" w:hAnsi="Times New Roman" w:cs="Times New Roman"/>
          <w:color w:val="000000"/>
        </w:rPr>
        <w:t xml:space="preserve"> </w:t>
      </w:r>
      <w:r w:rsidR="007652D7" w:rsidRPr="00963C91">
        <w:rPr>
          <w:rFonts w:ascii="Times New Roman" w:eastAsia="Times New Roman" w:hAnsi="Times New Roman" w:cs="Times New Roman"/>
          <w:color w:val="000000"/>
        </w:rPr>
        <w:t>affine</w:t>
      </w:r>
      <w:r w:rsidR="00540BC1" w:rsidRPr="00963C91">
        <w:rPr>
          <w:rFonts w:ascii="Times New Roman" w:eastAsia="Times New Roman" w:hAnsi="Times New Roman" w:cs="Times New Roman"/>
          <w:color w:val="000000"/>
        </w:rPr>
        <w:t xml:space="preserve"> </w:t>
      </w:r>
      <w:r w:rsidR="00863DE4" w:rsidRPr="00963C91">
        <w:rPr>
          <w:rFonts w:ascii="Times New Roman" w:eastAsia="Times New Roman" w:hAnsi="Times New Roman" w:cs="Times New Roman"/>
          <w:color w:val="000000"/>
        </w:rPr>
        <w:t xml:space="preserve">al </w:t>
      </w:r>
      <w:r w:rsidR="00863DE4" w:rsidRPr="00963C91">
        <w:rPr>
          <w:rFonts w:ascii="Times New Roman" w:hAnsi="Times New Roman" w:cs="Times New Roman"/>
          <w:i/>
        </w:rPr>
        <w:t>Der Begriff der Negativität</w:t>
      </w:r>
      <w:r w:rsidR="003D7B9A" w:rsidRPr="00963C91">
        <w:rPr>
          <w:rFonts w:ascii="Times New Roman" w:hAnsi="Times New Roman" w:cs="Times New Roman"/>
          <w:i/>
        </w:rPr>
        <w:t xml:space="preserve"> </w:t>
      </w:r>
      <w:r w:rsidR="003D7B9A" w:rsidRPr="00963C91">
        <w:rPr>
          <w:rFonts w:ascii="Times New Roman" w:hAnsi="Times New Roman" w:cs="Times New Roman"/>
        </w:rPr>
        <w:t>di Bonsiepen</w:t>
      </w:r>
      <w:r w:rsidR="007652D7" w:rsidRPr="00963C91">
        <w:rPr>
          <w:rFonts w:ascii="Times New Roman" w:hAnsi="Times New Roman" w:cs="Times New Roman"/>
        </w:rPr>
        <w:t xml:space="preserve">, non </w:t>
      </w:r>
      <w:r w:rsidR="00540BC1" w:rsidRPr="00963C91">
        <w:rPr>
          <w:rFonts w:ascii="Times New Roman" w:hAnsi="Times New Roman" w:cs="Times New Roman"/>
        </w:rPr>
        <w:t>perviene ad uno svolgimento organico d</w:t>
      </w:r>
      <w:r w:rsidR="00120FE3" w:rsidRPr="00963C91">
        <w:rPr>
          <w:rFonts w:ascii="Times New Roman" w:hAnsi="Times New Roman" w:cs="Times New Roman"/>
        </w:rPr>
        <w:t>i quanto effettivamente introd</w:t>
      </w:r>
      <w:r w:rsidR="00A777E6" w:rsidRPr="00963C91">
        <w:rPr>
          <w:rFonts w:ascii="Times New Roman" w:hAnsi="Times New Roman" w:cs="Times New Roman"/>
        </w:rPr>
        <w:t>uce</w:t>
      </w:r>
      <w:r w:rsidR="00540BC1" w:rsidRPr="00963C91">
        <w:rPr>
          <w:rStyle w:val="Rimandonotaapidipagina"/>
          <w:rFonts w:ascii="Times New Roman" w:hAnsi="Times New Roman" w:cs="Times New Roman"/>
        </w:rPr>
        <w:footnoteReference w:id="34"/>
      </w:r>
      <w:r w:rsidR="003D7B9A" w:rsidRPr="00963C91">
        <w:rPr>
          <w:rFonts w:ascii="Times New Roman" w:hAnsi="Times New Roman" w:cs="Times New Roman"/>
        </w:rPr>
        <w:t xml:space="preserve">. </w:t>
      </w:r>
    </w:p>
    <w:p w14:paraId="053164CA" w14:textId="2A2EEF4D" w:rsidR="00A777E6" w:rsidRDefault="003D7B9A" w:rsidP="00CB0E60">
      <w:pPr>
        <w:spacing w:line="360" w:lineRule="auto"/>
        <w:ind w:firstLine="567"/>
        <w:jc w:val="both"/>
        <w:rPr>
          <w:rFonts w:ascii="Times New Roman" w:hAnsi="Times New Roman" w:cs="Times New Roman"/>
        </w:rPr>
      </w:pPr>
      <w:r w:rsidRPr="00963C91">
        <w:rPr>
          <w:rFonts w:ascii="Times New Roman" w:hAnsi="Times New Roman" w:cs="Times New Roman"/>
        </w:rPr>
        <w:t>In continuità ideale con</w:t>
      </w:r>
      <w:r w:rsidRPr="00B36AE8">
        <w:rPr>
          <w:rFonts w:ascii="Times New Roman" w:hAnsi="Times New Roman" w:cs="Times New Roman"/>
        </w:rPr>
        <w:t xml:space="preserve"> questo lavoro del 1986, si pongono</w:t>
      </w:r>
      <w:r w:rsidR="007B44DE" w:rsidRPr="00B36AE8">
        <w:rPr>
          <w:rFonts w:ascii="Times New Roman" w:hAnsi="Times New Roman" w:cs="Times New Roman"/>
        </w:rPr>
        <w:t xml:space="preserve"> i contributi di Glenn Alexander</w:t>
      </w:r>
      <w:r w:rsidRPr="00B36AE8">
        <w:rPr>
          <w:rFonts w:ascii="Times New Roman" w:hAnsi="Times New Roman" w:cs="Times New Roman"/>
        </w:rPr>
        <w:t xml:space="preserve"> Magee e di Cecilia Muratori</w:t>
      </w:r>
      <w:r w:rsidR="003D0689" w:rsidRPr="00B36AE8">
        <w:rPr>
          <w:rStyle w:val="Rimandonotaapidipagina"/>
          <w:rFonts w:ascii="Times New Roman" w:hAnsi="Times New Roman" w:cs="Times New Roman"/>
        </w:rPr>
        <w:footnoteReference w:id="35"/>
      </w:r>
      <w:r w:rsidRPr="00B36AE8">
        <w:rPr>
          <w:rFonts w:ascii="Times New Roman" w:hAnsi="Times New Roman" w:cs="Times New Roman"/>
        </w:rPr>
        <w:t>,</w:t>
      </w:r>
      <w:r>
        <w:rPr>
          <w:rFonts w:ascii="Times New Roman" w:hAnsi="Times New Roman" w:cs="Times New Roman"/>
        </w:rPr>
        <w:t xml:space="preserve"> che hanno posto l’accento sulla </w:t>
      </w:r>
      <w:r w:rsidRPr="003D7B9A">
        <w:rPr>
          <w:rFonts w:ascii="Times New Roman" w:hAnsi="Times New Roman" w:cs="Times New Roman"/>
          <w:i/>
        </w:rPr>
        <w:t>Böhme-Rezeption</w:t>
      </w:r>
      <w:r>
        <w:rPr>
          <w:rFonts w:ascii="Times New Roman" w:hAnsi="Times New Roman" w:cs="Times New Roman"/>
        </w:rPr>
        <w:t xml:space="preserve"> non soltanto negl</w:t>
      </w:r>
      <w:r w:rsidR="009B4BD1">
        <w:rPr>
          <w:rFonts w:ascii="Times New Roman" w:hAnsi="Times New Roman" w:cs="Times New Roman"/>
        </w:rPr>
        <w:t xml:space="preserve">i scritti jenesi, ma </w:t>
      </w:r>
      <w:r w:rsidR="009B4BD1" w:rsidRPr="00085494">
        <w:rPr>
          <w:rFonts w:ascii="Times New Roman" w:hAnsi="Times New Roman" w:cs="Times New Roman"/>
        </w:rPr>
        <w:t>anche nelle opere</w:t>
      </w:r>
      <w:r w:rsidR="0052563E" w:rsidRPr="00085494">
        <w:rPr>
          <w:rFonts w:ascii="Times New Roman" w:hAnsi="Times New Roman" w:cs="Times New Roman"/>
        </w:rPr>
        <w:t xml:space="preserve"> sistematiche</w:t>
      </w:r>
      <w:r w:rsidRPr="00085494">
        <w:rPr>
          <w:rFonts w:ascii="Times New Roman" w:hAnsi="Times New Roman" w:cs="Times New Roman"/>
        </w:rPr>
        <w:t xml:space="preserve"> di Hegel</w:t>
      </w:r>
      <w:r w:rsidR="003D0689">
        <w:rPr>
          <w:rFonts w:ascii="Times New Roman" w:hAnsi="Times New Roman" w:cs="Times New Roman"/>
        </w:rPr>
        <w:t xml:space="preserve">. </w:t>
      </w:r>
      <w:r w:rsidR="007B44DE">
        <w:rPr>
          <w:rFonts w:ascii="Times New Roman" w:hAnsi="Times New Roman" w:cs="Times New Roman"/>
        </w:rPr>
        <w:t xml:space="preserve">Se sulla </w:t>
      </w:r>
      <w:r w:rsidR="007B44DE" w:rsidRPr="0052563E">
        <w:rPr>
          <w:rFonts w:ascii="Times New Roman" w:hAnsi="Times New Roman" w:cs="Times New Roman"/>
        </w:rPr>
        <w:t>produzione dello studioso</w:t>
      </w:r>
      <w:r w:rsidR="007B44DE">
        <w:rPr>
          <w:rFonts w:ascii="Times New Roman" w:hAnsi="Times New Roman" w:cs="Times New Roman"/>
        </w:rPr>
        <w:t xml:space="preserve"> americano possono essere avanzate delle riserve più che ragionevoli</w:t>
      </w:r>
      <w:r w:rsidR="007B44DE">
        <w:rPr>
          <w:rStyle w:val="Rimandonotaapidipagina"/>
          <w:rFonts w:ascii="Times New Roman" w:hAnsi="Times New Roman" w:cs="Times New Roman"/>
        </w:rPr>
        <w:footnoteReference w:id="36"/>
      </w:r>
      <w:r w:rsidR="009B63D5">
        <w:rPr>
          <w:rFonts w:ascii="Times New Roman" w:hAnsi="Times New Roman" w:cs="Times New Roman"/>
        </w:rPr>
        <w:t xml:space="preserve">, </w:t>
      </w:r>
      <w:r w:rsidR="00120FE3">
        <w:rPr>
          <w:rFonts w:ascii="Times New Roman" w:hAnsi="Times New Roman" w:cs="Times New Roman"/>
        </w:rPr>
        <w:t xml:space="preserve">sull’attività scientifica della </w:t>
      </w:r>
      <w:r w:rsidR="00CA2868">
        <w:rPr>
          <w:rFonts w:ascii="Times New Roman" w:hAnsi="Times New Roman" w:cs="Times New Roman"/>
        </w:rPr>
        <w:t>studiosa italiana</w:t>
      </w:r>
      <w:r w:rsidR="002D7A26">
        <w:rPr>
          <w:rFonts w:ascii="Times New Roman" w:hAnsi="Times New Roman" w:cs="Times New Roman"/>
        </w:rPr>
        <w:t xml:space="preserve"> </w:t>
      </w:r>
      <w:r w:rsidR="00C94FB4">
        <w:rPr>
          <w:rFonts w:ascii="Times New Roman" w:hAnsi="Times New Roman" w:cs="Times New Roman"/>
        </w:rPr>
        <w:t xml:space="preserve">non </w:t>
      </w:r>
      <w:r w:rsidR="006F06E3">
        <w:rPr>
          <w:rFonts w:ascii="Times New Roman" w:hAnsi="Times New Roman" w:cs="Times New Roman"/>
        </w:rPr>
        <w:t xml:space="preserve">si può </w:t>
      </w:r>
      <w:r w:rsidR="00C94FB4">
        <w:rPr>
          <w:rFonts w:ascii="Times New Roman" w:hAnsi="Times New Roman" w:cs="Times New Roman"/>
        </w:rPr>
        <w:t xml:space="preserve">che </w:t>
      </w:r>
      <w:r w:rsidR="00120FE3">
        <w:rPr>
          <w:rFonts w:ascii="Times New Roman" w:hAnsi="Times New Roman" w:cs="Times New Roman"/>
        </w:rPr>
        <w:t>espri</w:t>
      </w:r>
      <w:r w:rsidR="00C94FB4">
        <w:rPr>
          <w:rFonts w:ascii="Times New Roman" w:hAnsi="Times New Roman" w:cs="Times New Roman"/>
        </w:rPr>
        <w:t xml:space="preserve">mere un giudizio </w:t>
      </w:r>
      <w:r w:rsidR="00CA2868">
        <w:rPr>
          <w:rFonts w:ascii="Times New Roman" w:hAnsi="Times New Roman" w:cs="Times New Roman"/>
        </w:rPr>
        <w:t xml:space="preserve">positivo. Prima in </w:t>
      </w:r>
      <w:r w:rsidR="00CA2868" w:rsidRPr="00B36AE8">
        <w:rPr>
          <w:rFonts w:ascii="Times New Roman" w:hAnsi="Times New Roman" w:cs="Times New Roman"/>
        </w:rPr>
        <w:t>Italia ad essersi fatta carico</w:t>
      </w:r>
      <w:r w:rsidR="00CA2868">
        <w:rPr>
          <w:rFonts w:ascii="Times New Roman" w:hAnsi="Times New Roman" w:cs="Times New Roman"/>
        </w:rPr>
        <w:t xml:space="preserve"> de</w:t>
      </w:r>
      <w:r w:rsidR="00120FE3">
        <w:rPr>
          <w:rFonts w:ascii="Times New Roman" w:hAnsi="Times New Roman" w:cs="Times New Roman"/>
        </w:rPr>
        <w:t xml:space="preserve">l suggerimento </w:t>
      </w:r>
      <w:r w:rsidR="00CA2868">
        <w:rPr>
          <w:rFonts w:ascii="Times New Roman" w:hAnsi="Times New Roman" w:cs="Times New Roman"/>
        </w:rPr>
        <w:t>di Carlo Vittone d’indagare analiticamente il rapporto di Hegel con Böhme</w:t>
      </w:r>
      <w:r w:rsidR="00CA2868">
        <w:rPr>
          <w:rStyle w:val="Rimandonotaapidipagina"/>
          <w:rFonts w:ascii="Times New Roman" w:hAnsi="Times New Roman" w:cs="Times New Roman"/>
        </w:rPr>
        <w:footnoteReference w:id="37"/>
      </w:r>
      <w:r w:rsidR="00CA2868">
        <w:rPr>
          <w:rFonts w:ascii="Times New Roman" w:hAnsi="Times New Roman" w:cs="Times New Roman"/>
        </w:rPr>
        <w:t xml:space="preserve">, </w:t>
      </w:r>
      <w:r w:rsidR="00CA2868" w:rsidRPr="00B529FB">
        <w:rPr>
          <w:rFonts w:ascii="Times New Roman" w:hAnsi="Times New Roman" w:cs="Times New Roman"/>
        </w:rPr>
        <w:t>Cecilia Muratori ha offerto un’efficace ricostruzione storico-filo</w:t>
      </w:r>
      <w:r w:rsidR="00D06101" w:rsidRPr="00B529FB">
        <w:rPr>
          <w:rFonts w:ascii="Times New Roman" w:hAnsi="Times New Roman" w:cs="Times New Roman"/>
        </w:rPr>
        <w:t>logica</w:t>
      </w:r>
      <w:r w:rsidR="00CA2868" w:rsidRPr="00B529FB">
        <w:rPr>
          <w:rFonts w:ascii="Times New Roman" w:hAnsi="Times New Roman" w:cs="Times New Roman"/>
        </w:rPr>
        <w:t xml:space="preserve"> della ricezione he</w:t>
      </w:r>
      <w:r w:rsidR="006F06E3" w:rsidRPr="00B529FB">
        <w:rPr>
          <w:rFonts w:ascii="Times New Roman" w:hAnsi="Times New Roman" w:cs="Times New Roman"/>
        </w:rPr>
        <w:t>geliana del</w:t>
      </w:r>
      <w:r w:rsidR="0026666A" w:rsidRPr="00B529FB">
        <w:rPr>
          <w:rFonts w:ascii="Times New Roman" w:hAnsi="Times New Roman" w:cs="Times New Roman"/>
        </w:rPr>
        <w:t xml:space="preserve"> pensiero böhmiano</w:t>
      </w:r>
      <w:r w:rsidR="006F06E3" w:rsidRPr="00B529FB">
        <w:rPr>
          <w:rFonts w:ascii="Times New Roman" w:hAnsi="Times New Roman" w:cs="Times New Roman"/>
        </w:rPr>
        <w:t>.</w:t>
      </w:r>
      <w:r w:rsidR="00CA2868" w:rsidRPr="00B529FB">
        <w:rPr>
          <w:rFonts w:ascii="Times New Roman" w:hAnsi="Times New Roman" w:cs="Times New Roman"/>
        </w:rPr>
        <w:t xml:space="preserve"> </w:t>
      </w:r>
      <w:r w:rsidR="006F06E3" w:rsidRPr="00B529FB">
        <w:rPr>
          <w:rFonts w:ascii="Times New Roman" w:hAnsi="Times New Roman" w:cs="Times New Roman"/>
        </w:rPr>
        <w:t>Anche in questo caso</w:t>
      </w:r>
      <w:r w:rsidR="005809B8" w:rsidRPr="00B529FB">
        <w:rPr>
          <w:rFonts w:ascii="Times New Roman" w:hAnsi="Times New Roman" w:cs="Times New Roman"/>
        </w:rPr>
        <w:t xml:space="preserve">, come del resto per </w:t>
      </w:r>
      <w:r w:rsidR="00DB730B" w:rsidRPr="00B529FB">
        <w:rPr>
          <w:rFonts w:ascii="Times New Roman" w:hAnsi="Times New Roman" w:cs="Times New Roman"/>
        </w:rPr>
        <w:t>i contributi</w:t>
      </w:r>
      <w:r w:rsidR="008633E0" w:rsidRPr="00B529FB">
        <w:rPr>
          <w:rFonts w:ascii="Times New Roman" w:hAnsi="Times New Roman" w:cs="Times New Roman"/>
        </w:rPr>
        <w:t xml:space="preserve"> di Coda e Magee</w:t>
      </w:r>
      <w:r w:rsidR="00CA2868" w:rsidRPr="00B529FB">
        <w:rPr>
          <w:rFonts w:ascii="Times New Roman" w:hAnsi="Times New Roman" w:cs="Times New Roman"/>
        </w:rPr>
        <w:t xml:space="preserve">, </w:t>
      </w:r>
      <w:r w:rsidR="00BF09A7" w:rsidRPr="00B529FB">
        <w:rPr>
          <w:rFonts w:ascii="Times New Roman" w:hAnsi="Times New Roman" w:cs="Times New Roman"/>
        </w:rPr>
        <w:t xml:space="preserve">sono </w:t>
      </w:r>
      <w:r w:rsidR="00FD1851">
        <w:rPr>
          <w:rFonts w:ascii="Times New Roman" w:hAnsi="Times New Roman" w:cs="Times New Roman"/>
        </w:rPr>
        <w:t xml:space="preserve">opportune </w:t>
      </w:r>
      <w:r w:rsidR="00BF09A7" w:rsidRPr="00B529FB">
        <w:rPr>
          <w:rFonts w:ascii="Times New Roman" w:hAnsi="Times New Roman" w:cs="Times New Roman"/>
        </w:rPr>
        <w:t>alcune integrazioni</w:t>
      </w:r>
      <w:r w:rsidR="00CA2868" w:rsidRPr="00B529FB">
        <w:rPr>
          <w:rFonts w:ascii="Times New Roman" w:hAnsi="Times New Roman" w:cs="Times New Roman"/>
        </w:rPr>
        <w:t>.</w:t>
      </w:r>
      <w:r w:rsidR="00CA2868" w:rsidRPr="00963C91">
        <w:rPr>
          <w:rFonts w:ascii="Times New Roman" w:hAnsi="Times New Roman" w:cs="Times New Roman"/>
        </w:rPr>
        <w:t xml:space="preserve"> Nello specifico, </w:t>
      </w:r>
      <w:r w:rsidR="00CB4B31" w:rsidRPr="00963C91">
        <w:rPr>
          <w:rFonts w:ascii="Times New Roman" w:hAnsi="Times New Roman" w:cs="Times New Roman"/>
        </w:rPr>
        <w:t>la produzione jenese d</w:t>
      </w:r>
      <w:r w:rsidR="00C167FE">
        <w:rPr>
          <w:rFonts w:ascii="Times New Roman" w:hAnsi="Times New Roman" w:cs="Times New Roman"/>
        </w:rPr>
        <w:t>el 1804/</w:t>
      </w:r>
      <w:r w:rsidR="00791F55" w:rsidRPr="00963C91">
        <w:rPr>
          <w:rFonts w:ascii="Times New Roman" w:hAnsi="Times New Roman" w:cs="Times New Roman"/>
        </w:rPr>
        <w:t>06 è totalmente esclus</w:t>
      </w:r>
      <w:r w:rsidR="00CB4B31" w:rsidRPr="00963C91">
        <w:rPr>
          <w:rFonts w:ascii="Times New Roman" w:hAnsi="Times New Roman" w:cs="Times New Roman"/>
        </w:rPr>
        <w:t>a dal quadro</w:t>
      </w:r>
      <w:r w:rsidR="00CB4B31">
        <w:rPr>
          <w:rFonts w:ascii="Times New Roman" w:hAnsi="Times New Roman" w:cs="Times New Roman"/>
        </w:rPr>
        <w:t xml:space="preserve"> concettuale </w:t>
      </w:r>
      <w:r w:rsidR="00791F55">
        <w:rPr>
          <w:rFonts w:ascii="Times New Roman" w:hAnsi="Times New Roman" w:cs="Times New Roman"/>
        </w:rPr>
        <w:t xml:space="preserve">del </w:t>
      </w:r>
      <w:r w:rsidR="00CB4B31" w:rsidRPr="00CB4B31">
        <w:rPr>
          <w:rFonts w:ascii="Times New Roman" w:hAnsi="Times New Roman" w:cs="Times New Roman"/>
          <w:i/>
        </w:rPr>
        <w:t>The First German Philosopher</w:t>
      </w:r>
      <w:r w:rsidR="00CB4B31">
        <w:rPr>
          <w:rFonts w:ascii="Times New Roman" w:hAnsi="Times New Roman" w:cs="Times New Roman"/>
        </w:rPr>
        <w:t xml:space="preserve">: né la </w:t>
      </w:r>
      <w:r w:rsidR="0066653B" w:rsidRPr="0066653B">
        <w:rPr>
          <w:rFonts w:ascii="Times New Roman" w:hAnsi="Times New Roman" w:cs="Times New Roman"/>
          <w:i/>
        </w:rPr>
        <w:t>Jenaer Logik und Metaphysik</w:t>
      </w:r>
      <w:r w:rsidR="0066653B">
        <w:rPr>
          <w:rFonts w:ascii="Times New Roman" w:hAnsi="Times New Roman" w:cs="Times New Roman"/>
        </w:rPr>
        <w:t xml:space="preserve"> né la </w:t>
      </w:r>
      <w:r w:rsidR="0066653B" w:rsidRPr="0066653B">
        <w:rPr>
          <w:rFonts w:ascii="Times New Roman" w:hAnsi="Times New Roman" w:cs="Times New Roman"/>
          <w:i/>
        </w:rPr>
        <w:t>Phänomenologie des Geistes</w:t>
      </w:r>
      <w:r w:rsidR="0066653B">
        <w:rPr>
          <w:rFonts w:ascii="Times New Roman" w:hAnsi="Times New Roman" w:cs="Times New Roman"/>
        </w:rPr>
        <w:t>, che r</w:t>
      </w:r>
      <w:r w:rsidR="00711768">
        <w:rPr>
          <w:rFonts w:ascii="Times New Roman" w:hAnsi="Times New Roman" w:cs="Times New Roman"/>
        </w:rPr>
        <w:t>appresentano –</w:t>
      </w:r>
      <w:r w:rsidR="0066653B">
        <w:rPr>
          <w:rFonts w:ascii="Times New Roman" w:hAnsi="Times New Roman" w:cs="Times New Roman"/>
        </w:rPr>
        <w:t xml:space="preserve"> secondo una prospettiva che andremo sv</w:t>
      </w:r>
      <w:r w:rsidR="00711768">
        <w:rPr>
          <w:rFonts w:ascii="Times New Roman" w:hAnsi="Times New Roman" w:cs="Times New Roman"/>
        </w:rPr>
        <w:t>iluppando nelle prossime pagine –</w:t>
      </w:r>
      <w:r w:rsidR="0066653B">
        <w:rPr>
          <w:rFonts w:ascii="Times New Roman" w:hAnsi="Times New Roman" w:cs="Times New Roman"/>
        </w:rPr>
        <w:t xml:space="preserve"> </w:t>
      </w:r>
      <w:r w:rsidR="0066653B" w:rsidRPr="00C94FB4">
        <w:rPr>
          <w:rFonts w:ascii="Times New Roman" w:hAnsi="Times New Roman" w:cs="Times New Roman"/>
        </w:rPr>
        <w:t>l’acme dell’interpretazione hegeliana del pensiero di Böhm</w:t>
      </w:r>
      <w:r w:rsidR="008633E0" w:rsidRPr="00C94FB4">
        <w:rPr>
          <w:rFonts w:ascii="Times New Roman" w:hAnsi="Times New Roman" w:cs="Times New Roman"/>
        </w:rPr>
        <w:t xml:space="preserve">e a Jena, sono prese in esame </w:t>
      </w:r>
      <w:r w:rsidR="002740E8" w:rsidRPr="00C94FB4">
        <w:rPr>
          <w:rFonts w:ascii="Times New Roman" w:hAnsi="Times New Roman" w:cs="Times New Roman"/>
        </w:rPr>
        <w:t>da</w:t>
      </w:r>
      <w:r w:rsidR="0066653B" w:rsidRPr="00C94FB4">
        <w:rPr>
          <w:rFonts w:ascii="Times New Roman" w:hAnsi="Times New Roman" w:cs="Times New Roman"/>
        </w:rPr>
        <w:t>lla monografia</w:t>
      </w:r>
      <w:r w:rsidR="008633E0" w:rsidRPr="00C94FB4">
        <w:rPr>
          <w:rFonts w:ascii="Times New Roman" w:hAnsi="Times New Roman" w:cs="Times New Roman"/>
        </w:rPr>
        <w:t xml:space="preserve"> d</w:t>
      </w:r>
      <w:r w:rsidR="00A94CF1" w:rsidRPr="00C94FB4">
        <w:rPr>
          <w:rFonts w:ascii="Times New Roman" w:hAnsi="Times New Roman" w:cs="Times New Roman"/>
        </w:rPr>
        <w:t>i</w:t>
      </w:r>
      <w:r w:rsidR="008633E0" w:rsidRPr="00C94FB4">
        <w:rPr>
          <w:rFonts w:ascii="Times New Roman" w:hAnsi="Times New Roman" w:cs="Times New Roman"/>
        </w:rPr>
        <w:t xml:space="preserve"> Muratori</w:t>
      </w:r>
      <w:r w:rsidR="00791F55" w:rsidRPr="00C94FB4">
        <w:rPr>
          <w:rFonts w:ascii="Times New Roman" w:hAnsi="Times New Roman" w:cs="Times New Roman"/>
        </w:rPr>
        <w:t>. Quest’omissione impedisce la realizzazione di quel percorso di ricerca abbozzato, e non sviluppato, indicato, e non perseguito, da Koyré nel suo saggio del 1934.</w:t>
      </w:r>
      <w:r w:rsidR="00791F55">
        <w:rPr>
          <w:rFonts w:ascii="Times New Roman" w:hAnsi="Times New Roman" w:cs="Times New Roman"/>
        </w:rPr>
        <w:t xml:space="preserve"> </w:t>
      </w:r>
    </w:p>
    <w:p w14:paraId="0157215B" w14:textId="256ED0FB" w:rsidR="004C3BE4" w:rsidRDefault="00DD5101" w:rsidP="00FD1851">
      <w:pPr>
        <w:spacing w:line="360" w:lineRule="auto"/>
        <w:ind w:firstLine="567"/>
        <w:jc w:val="both"/>
        <w:rPr>
          <w:rFonts w:ascii="Times New Roman" w:hAnsi="Times New Roman" w:cs="Times New Roman"/>
        </w:rPr>
      </w:pPr>
      <w:r>
        <w:rPr>
          <w:rFonts w:ascii="Times New Roman" w:hAnsi="Times New Roman" w:cs="Times New Roman"/>
        </w:rPr>
        <w:t>Tirando le fila del discorso fin qui condotto, si può dire che l</w:t>
      </w:r>
      <w:r w:rsidR="00791F55">
        <w:rPr>
          <w:rFonts w:ascii="Times New Roman" w:hAnsi="Times New Roman" w:cs="Times New Roman"/>
        </w:rPr>
        <w:t>a teoria della</w:t>
      </w:r>
      <w:r>
        <w:rPr>
          <w:rFonts w:ascii="Times New Roman" w:hAnsi="Times New Roman" w:cs="Times New Roman"/>
        </w:rPr>
        <w:t xml:space="preserve"> </w:t>
      </w:r>
      <w:r w:rsidRPr="00DD5101">
        <w:rPr>
          <w:rFonts w:ascii="Times New Roman" w:hAnsi="Times New Roman" w:cs="Times New Roman"/>
          <w:i/>
        </w:rPr>
        <w:t>Negativität</w:t>
      </w:r>
      <w:r w:rsidR="00791F55">
        <w:rPr>
          <w:rFonts w:ascii="Times New Roman" w:hAnsi="Times New Roman" w:cs="Times New Roman"/>
        </w:rPr>
        <w:t xml:space="preserve"> </w:t>
      </w:r>
      <w:r w:rsidR="0026666A">
        <w:rPr>
          <w:rFonts w:ascii="Times New Roman" w:hAnsi="Times New Roman" w:cs="Times New Roman"/>
        </w:rPr>
        <w:t>e</w:t>
      </w:r>
      <w:r>
        <w:rPr>
          <w:rFonts w:ascii="Times New Roman" w:hAnsi="Times New Roman" w:cs="Times New Roman"/>
        </w:rPr>
        <w:t xml:space="preserve"> il suo collegamento con la tradizione mistica, in particolare con la </w:t>
      </w:r>
      <w:r w:rsidR="00967339">
        <w:rPr>
          <w:rFonts w:ascii="Times New Roman" w:hAnsi="Times New Roman" w:cs="Times New Roman"/>
        </w:rPr>
        <w:t xml:space="preserve">riflessione </w:t>
      </w:r>
      <w:r>
        <w:rPr>
          <w:rFonts w:ascii="Times New Roman" w:hAnsi="Times New Roman" w:cs="Times New Roman"/>
        </w:rPr>
        <w:t>böhmiana, lungi dall’essere una pista di ricerca</w:t>
      </w:r>
      <w:r w:rsidR="00DC3130">
        <w:rPr>
          <w:rFonts w:ascii="Times New Roman" w:hAnsi="Times New Roman" w:cs="Times New Roman"/>
        </w:rPr>
        <w:t xml:space="preserve"> esaurita</w:t>
      </w:r>
      <w:r>
        <w:rPr>
          <w:rFonts w:ascii="Times New Roman" w:hAnsi="Times New Roman" w:cs="Times New Roman"/>
        </w:rPr>
        <w:t xml:space="preserve">, risulta, proprio in virtù della discussione della letteratura critica appena condotta, un ambito della </w:t>
      </w:r>
      <w:r w:rsidRPr="00DD5101">
        <w:rPr>
          <w:rFonts w:ascii="Times New Roman" w:hAnsi="Times New Roman" w:cs="Times New Roman"/>
          <w:i/>
        </w:rPr>
        <w:t>Hegel-</w:t>
      </w:r>
      <w:r w:rsidRPr="005E7BBA">
        <w:rPr>
          <w:rFonts w:ascii="Times New Roman" w:hAnsi="Times New Roman" w:cs="Times New Roman"/>
          <w:i/>
        </w:rPr>
        <w:t>Forschung</w:t>
      </w:r>
      <w:r w:rsidRPr="005E7BBA">
        <w:rPr>
          <w:rFonts w:ascii="Times New Roman" w:hAnsi="Times New Roman" w:cs="Times New Roman"/>
        </w:rPr>
        <w:t xml:space="preserve"> bisognoso di una </w:t>
      </w:r>
      <w:r w:rsidR="00714DC3" w:rsidRPr="005E7BBA">
        <w:rPr>
          <w:rFonts w:ascii="Times New Roman" w:hAnsi="Times New Roman" w:cs="Times New Roman"/>
        </w:rPr>
        <w:t xml:space="preserve">decisa e quanto mai </w:t>
      </w:r>
      <w:r w:rsidRPr="005E7BBA">
        <w:rPr>
          <w:rFonts w:ascii="Times New Roman" w:hAnsi="Times New Roman" w:cs="Times New Roman"/>
        </w:rPr>
        <w:t xml:space="preserve">radicale </w:t>
      </w:r>
      <w:r w:rsidR="00714DC3" w:rsidRPr="005E7BBA">
        <w:rPr>
          <w:rFonts w:ascii="Times New Roman" w:hAnsi="Times New Roman" w:cs="Times New Roman"/>
        </w:rPr>
        <w:t>reimpostazi</w:t>
      </w:r>
      <w:r w:rsidR="005905FF" w:rsidRPr="005E7BBA">
        <w:rPr>
          <w:rFonts w:ascii="Times New Roman" w:hAnsi="Times New Roman" w:cs="Times New Roman"/>
        </w:rPr>
        <w:t>one</w:t>
      </w:r>
      <w:r w:rsidRPr="005E7BBA">
        <w:rPr>
          <w:rFonts w:ascii="Times New Roman" w:hAnsi="Times New Roman" w:cs="Times New Roman"/>
        </w:rPr>
        <w:t xml:space="preserve">. </w:t>
      </w:r>
      <w:r w:rsidR="00DB730B" w:rsidRPr="005E7BBA">
        <w:rPr>
          <w:rFonts w:ascii="Times New Roman" w:hAnsi="Times New Roman" w:cs="Times New Roman"/>
        </w:rPr>
        <w:t>La posta in gioco</w:t>
      </w:r>
      <w:r w:rsidR="00711768" w:rsidRPr="005E7BBA">
        <w:rPr>
          <w:rFonts w:ascii="Times New Roman" w:hAnsi="Times New Roman" w:cs="Times New Roman"/>
        </w:rPr>
        <w:t xml:space="preserve"> è altissima, poiché dimostrare un’influenza non marginale della tradizione mistica, nella forma da essa assunta nell’opera di Böh</w:t>
      </w:r>
      <w:r w:rsidR="009D52B5" w:rsidRPr="005E7BBA">
        <w:rPr>
          <w:rFonts w:ascii="Times New Roman" w:hAnsi="Times New Roman" w:cs="Times New Roman"/>
        </w:rPr>
        <w:t xml:space="preserve">me, sulla nozione hegeliana </w:t>
      </w:r>
      <w:r w:rsidR="000A24CF" w:rsidRPr="005E7BBA">
        <w:rPr>
          <w:rFonts w:ascii="Times New Roman" w:hAnsi="Times New Roman" w:cs="Times New Roman"/>
        </w:rPr>
        <w:t>dell’</w:t>
      </w:r>
      <w:r w:rsidR="00711768" w:rsidRPr="005E7BBA">
        <w:rPr>
          <w:rFonts w:ascii="Times New Roman" w:hAnsi="Times New Roman" w:cs="Times New Roman"/>
          <w:i/>
        </w:rPr>
        <w:t>absolute Negativität</w:t>
      </w:r>
      <w:r w:rsidR="00B6292B" w:rsidRPr="005E7BBA">
        <w:rPr>
          <w:rStyle w:val="Rimandonotaapidipagina"/>
          <w:rFonts w:ascii="Times New Roman" w:hAnsi="Times New Roman" w:cs="Times New Roman"/>
          <w:i/>
        </w:rPr>
        <w:footnoteReference w:id="38"/>
      </w:r>
      <w:r w:rsidR="00711768" w:rsidRPr="005E7BBA">
        <w:rPr>
          <w:rFonts w:ascii="Times New Roman" w:hAnsi="Times New Roman" w:cs="Times New Roman"/>
        </w:rPr>
        <w:t xml:space="preserve"> </w:t>
      </w:r>
      <w:r w:rsidR="007B0786" w:rsidRPr="005E7BBA">
        <w:rPr>
          <w:rFonts w:ascii="Times New Roman" w:hAnsi="Times New Roman" w:cs="Times New Roman"/>
        </w:rPr>
        <w:t xml:space="preserve">consentirebbe di </w:t>
      </w:r>
      <w:r w:rsidR="000F6015" w:rsidRPr="005E7BBA">
        <w:rPr>
          <w:rFonts w:ascii="Times New Roman" w:hAnsi="Times New Roman" w:cs="Times New Roman"/>
        </w:rPr>
        <w:t>gettare una nuova luce su un periodo della</w:t>
      </w:r>
      <w:r w:rsidR="005E7BBA" w:rsidRPr="005E7BBA">
        <w:rPr>
          <w:rFonts w:ascii="Times New Roman" w:hAnsi="Times New Roman" w:cs="Times New Roman"/>
        </w:rPr>
        <w:t xml:space="preserve"> formazione intellettuale dell’</w:t>
      </w:r>
      <w:r w:rsidR="00021560">
        <w:rPr>
          <w:rFonts w:ascii="Times New Roman" w:hAnsi="Times New Roman" w:cs="Times New Roman"/>
        </w:rPr>
        <w:t>autore</w:t>
      </w:r>
      <w:r w:rsidR="000F6015" w:rsidRPr="005E7BBA">
        <w:rPr>
          <w:rFonts w:ascii="Times New Roman" w:hAnsi="Times New Roman" w:cs="Times New Roman"/>
        </w:rPr>
        <w:t xml:space="preserve"> imprescindibile per la comprensione della </w:t>
      </w:r>
      <w:r w:rsidR="00BD533F" w:rsidRPr="005E7BBA">
        <w:rPr>
          <w:rFonts w:ascii="Times New Roman" w:hAnsi="Times New Roman" w:cs="Times New Roman"/>
        </w:rPr>
        <w:t>sua produzione sistematica</w:t>
      </w:r>
      <w:r w:rsidR="000F6015" w:rsidRPr="005E7BBA">
        <w:rPr>
          <w:rFonts w:ascii="Times New Roman" w:hAnsi="Times New Roman" w:cs="Times New Roman"/>
        </w:rPr>
        <w:t>.</w:t>
      </w:r>
      <w:r w:rsidR="000F6015">
        <w:rPr>
          <w:rFonts w:ascii="Times New Roman" w:hAnsi="Times New Roman" w:cs="Times New Roman"/>
        </w:rPr>
        <w:t xml:space="preserve"> </w:t>
      </w:r>
      <w:r w:rsidR="000F6015" w:rsidRPr="00856C85">
        <w:rPr>
          <w:rFonts w:ascii="Times New Roman" w:hAnsi="Times New Roman" w:cs="Times New Roman"/>
        </w:rPr>
        <w:t xml:space="preserve">Per questa serie di ragioni, </w:t>
      </w:r>
      <w:r w:rsidR="00E15E9B" w:rsidRPr="00856C85">
        <w:rPr>
          <w:rFonts w:ascii="Times New Roman" w:hAnsi="Times New Roman" w:cs="Times New Roman"/>
        </w:rPr>
        <w:t xml:space="preserve">si procederà ad una breve rassegna di quei nodi </w:t>
      </w:r>
      <w:r w:rsidR="00B529FB" w:rsidRPr="00856C85">
        <w:rPr>
          <w:rFonts w:ascii="Times New Roman" w:hAnsi="Times New Roman" w:cs="Times New Roman"/>
        </w:rPr>
        <w:t xml:space="preserve">tematici </w:t>
      </w:r>
      <w:r w:rsidR="00E624B0" w:rsidRPr="00856C85">
        <w:rPr>
          <w:rFonts w:ascii="Times New Roman" w:hAnsi="Times New Roman" w:cs="Times New Roman"/>
        </w:rPr>
        <w:t xml:space="preserve">degli </w:t>
      </w:r>
      <w:r w:rsidR="00E624B0" w:rsidRPr="00856C85">
        <w:rPr>
          <w:rFonts w:ascii="Times New Roman" w:hAnsi="Times New Roman" w:cs="Times New Roman"/>
          <w:i/>
        </w:rPr>
        <w:t>Jugendschriften</w:t>
      </w:r>
      <w:r w:rsidR="00B529FB" w:rsidRPr="00856C85">
        <w:rPr>
          <w:rFonts w:ascii="Times New Roman" w:hAnsi="Times New Roman" w:cs="Times New Roman"/>
        </w:rPr>
        <w:t xml:space="preserve"> funzionali a</w:t>
      </w:r>
      <w:r w:rsidR="00E15E9B" w:rsidRPr="00856C85">
        <w:rPr>
          <w:rFonts w:ascii="Times New Roman" w:hAnsi="Times New Roman" w:cs="Times New Roman"/>
        </w:rPr>
        <w:t>d introdurre</w:t>
      </w:r>
      <w:r w:rsidR="00875E88" w:rsidRPr="00856C85">
        <w:rPr>
          <w:rFonts w:ascii="Times New Roman" w:hAnsi="Times New Roman" w:cs="Times New Roman"/>
        </w:rPr>
        <w:t xml:space="preserve"> </w:t>
      </w:r>
      <w:r w:rsidR="00E15E9B" w:rsidRPr="00856C85">
        <w:rPr>
          <w:rFonts w:ascii="Times New Roman" w:hAnsi="Times New Roman" w:cs="Times New Roman"/>
        </w:rPr>
        <w:t xml:space="preserve">i presupposti teorici </w:t>
      </w:r>
      <w:r w:rsidR="00875E88" w:rsidRPr="00856C85">
        <w:rPr>
          <w:rFonts w:ascii="Times New Roman" w:hAnsi="Times New Roman" w:cs="Times New Roman"/>
        </w:rPr>
        <w:t xml:space="preserve">degli </w:t>
      </w:r>
      <w:r w:rsidR="00875E88" w:rsidRPr="00856C85">
        <w:rPr>
          <w:rFonts w:ascii="Times New Roman" w:hAnsi="Times New Roman" w:cs="Times New Roman"/>
          <w:i/>
        </w:rPr>
        <w:t>Jenaer Schriften</w:t>
      </w:r>
      <w:r w:rsidR="00875E88" w:rsidRPr="00856C85">
        <w:rPr>
          <w:rFonts w:ascii="Times New Roman" w:hAnsi="Times New Roman" w:cs="Times New Roman"/>
        </w:rPr>
        <w:t xml:space="preserve">. Sulla base </w:t>
      </w:r>
      <w:r w:rsidR="007736BF" w:rsidRPr="00856C85">
        <w:rPr>
          <w:rFonts w:ascii="Times New Roman" w:hAnsi="Times New Roman" w:cs="Times New Roman"/>
        </w:rPr>
        <w:t>di queste</w:t>
      </w:r>
      <w:r w:rsidR="00875E88" w:rsidRPr="00856C85">
        <w:rPr>
          <w:rFonts w:ascii="Times New Roman" w:hAnsi="Times New Roman" w:cs="Times New Roman"/>
        </w:rPr>
        <w:t xml:space="preserve"> osservazioni</w:t>
      </w:r>
      <w:r w:rsidR="007736BF" w:rsidRPr="00856C85">
        <w:rPr>
          <w:rFonts w:ascii="Times New Roman" w:hAnsi="Times New Roman" w:cs="Times New Roman"/>
        </w:rPr>
        <w:t xml:space="preserve"> preliminari</w:t>
      </w:r>
      <w:r w:rsidR="00E624B0" w:rsidRPr="00856C85">
        <w:rPr>
          <w:rFonts w:ascii="Times New Roman" w:hAnsi="Times New Roman" w:cs="Times New Roman"/>
        </w:rPr>
        <w:t xml:space="preserve">, </w:t>
      </w:r>
      <w:r w:rsidR="00B529FB" w:rsidRPr="00856C85">
        <w:rPr>
          <w:rFonts w:ascii="Times New Roman" w:hAnsi="Times New Roman" w:cs="Times New Roman"/>
        </w:rPr>
        <w:t xml:space="preserve">sarà possibile </w:t>
      </w:r>
      <w:r w:rsidR="007736BF" w:rsidRPr="00856C85">
        <w:rPr>
          <w:rFonts w:ascii="Times New Roman" w:hAnsi="Times New Roman" w:cs="Times New Roman"/>
        </w:rPr>
        <w:t>interrogarsi sul</w:t>
      </w:r>
      <w:r w:rsidR="00875E88" w:rsidRPr="00856C85">
        <w:rPr>
          <w:rFonts w:ascii="Times New Roman" w:hAnsi="Times New Roman" w:cs="Times New Roman"/>
        </w:rPr>
        <w:t xml:space="preserve">l’incidenza </w:t>
      </w:r>
      <w:r w:rsidR="00B529FB" w:rsidRPr="00856C85">
        <w:rPr>
          <w:rFonts w:ascii="Times New Roman" w:hAnsi="Times New Roman" w:cs="Times New Roman"/>
        </w:rPr>
        <w:t xml:space="preserve">di </w:t>
      </w:r>
      <w:r w:rsidR="00FD1851">
        <w:rPr>
          <w:rFonts w:ascii="Times New Roman" w:hAnsi="Times New Roman" w:cs="Times New Roman"/>
        </w:rPr>
        <w:t xml:space="preserve">Jakob </w:t>
      </w:r>
      <w:r w:rsidR="00B529FB" w:rsidRPr="00856C85">
        <w:rPr>
          <w:rFonts w:ascii="Times New Roman" w:hAnsi="Times New Roman" w:cs="Times New Roman"/>
        </w:rPr>
        <w:t>Böhme</w:t>
      </w:r>
      <w:r w:rsidR="00B529FB" w:rsidRPr="00856C85">
        <w:rPr>
          <w:rFonts w:ascii="Times New Roman" w:hAnsi="Times New Roman" w:cs="Times New Roman"/>
          <w:i/>
        </w:rPr>
        <w:t xml:space="preserve"> </w:t>
      </w:r>
      <w:r w:rsidR="00D44F45" w:rsidRPr="00856C85">
        <w:rPr>
          <w:rFonts w:ascii="Times New Roman" w:hAnsi="Times New Roman" w:cs="Times New Roman"/>
        </w:rPr>
        <w:t xml:space="preserve">nel superamento </w:t>
      </w:r>
      <w:r w:rsidR="00B529FB" w:rsidRPr="00856C85">
        <w:rPr>
          <w:rFonts w:ascii="Times New Roman" w:hAnsi="Times New Roman" w:cs="Times New Roman"/>
        </w:rPr>
        <w:t xml:space="preserve">hegeliano </w:t>
      </w:r>
      <w:r w:rsidR="00AC7451" w:rsidRPr="00856C85">
        <w:rPr>
          <w:rFonts w:ascii="Times New Roman" w:hAnsi="Times New Roman" w:cs="Times New Roman"/>
        </w:rPr>
        <w:t>del</w:t>
      </w:r>
      <w:r w:rsidR="0049045C">
        <w:rPr>
          <w:rFonts w:ascii="Times New Roman" w:hAnsi="Times New Roman" w:cs="Times New Roman"/>
        </w:rPr>
        <w:t>l’</w:t>
      </w:r>
      <w:r w:rsidR="0049045C" w:rsidRPr="0049045C">
        <w:rPr>
          <w:rFonts w:ascii="Times New Roman" w:hAnsi="Times New Roman" w:cs="Times New Roman"/>
          <w:i/>
        </w:rPr>
        <w:t>Identitätsphilosophie</w:t>
      </w:r>
      <w:r w:rsidR="00AC7451" w:rsidRPr="00856C85">
        <w:rPr>
          <w:rFonts w:ascii="Times New Roman" w:hAnsi="Times New Roman" w:cs="Times New Roman"/>
        </w:rPr>
        <w:t xml:space="preserve"> </w:t>
      </w:r>
      <w:r w:rsidR="00430392" w:rsidRPr="00856C85">
        <w:rPr>
          <w:rFonts w:ascii="Times New Roman" w:hAnsi="Times New Roman" w:cs="Times New Roman"/>
        </w:rPr>
        <w:t>e nell’</w:t>
      </w:r>
      <w:r w:rsidR="0026666A" w:rsidRPr="00856C85">
        <w:rPr>
          <w:rFonts w:ascii="Times New Roman" w:hAnsi="Times New Roman" w:cs="Times New Roman"/>
        </w:rPr>
        <w:t xml:space="preserve">elaborazione di una teoria </w:t>
      </w:r>
      <w:r w:rsidR="00430392" w:rsidRPr="00856C85">
        <w:rPr>
          <w:rFonts w:ascii="Times New Roman" w:hAnsi="Times New Roman" w:cs="Times New Roman"/>
        </w:rPr>
        <w:t>dell’Incondizionato</w:t>
      </w:r>
      <w:r w:rsidR="00B529FB" w:rsidRPr="00856C85">
        <w:rPr>
          <w:rFonts w:ascii="Times New Roman" w:hAnsi="Times New Roman" w:cs="Times New Roman"/>
        </w:rPr>
        <w:t xml:space="preserve"> </w:t>
      </w:r>
      <w:r w:rsidR="007736BF" w:rsidRPr="00856C85">
        <w:rPr>
          <w:rFonts w:ascii="Times New Roman" w:hAnsi="Times New Roman" w:cs="Times New Roman"/>
        </w:rPr>
        <w:t>imperniata sul</w:t>
      </w:r>
      <w:r w:rsidR="00430392" w:rsidRPr="00856C85">
        <w:rPr>
          <w:rFonts w:ascii="Times New Roman" w:hAnsi="Times New Roman" w:cs="Times New Roman"/>
        </w:rPr>
        <w:t xml:space="preserve">la funzione </w:t>
      </w:r>
      <w:r w:rsidR="00430392" w:rsidRPr="00F9147F">
        <w:rPr>
          <w:rFonts w:ascii="Times New Roman" w:hAnsi="Times New Roman" w:cs="Times New Roman"/>
          <w:highlight w:val="yellow"/>
        </w:rPr>
        <w:t>produttiva</w:t>
      </w:r>
      <w:r w:rsidR="008633E0" w:rsidRPr="00F9147F">
        <w:rPr>
          <w:rFonts w:ascii="Times New Roman" w:hAnsi="Times New Roman" w:cs="Times New Roman"/>
          <w:highlight w:val="yellow"/>
        </w:rPr>
        <w:t xml:space="preserve"> </w:t>
      </w:r>
      <w:r w:rsidR="00F9147F" w:rsidRPr="00F9147F">
        <w:rPr>
          <w:rFonts w:ascii="Times New Roman" w:hAnsi="Times New Roman" w:cs="Times New Roman"/>
          <w:highlight w:val="yellow"/>
        </w:rPr>
        <w:t>del negativo</w:t>
      </w:r>
      <w:r w:rsidR="00430392" w:rsidRPr="00F9147F">
        <w:rPr>
          <w:rFonts w:ascii="Times New Roman" w:hAnsi="Times New Roman" w:cs="Times New Roman"/>
          <w:highlight w:val="yellow"/>
        </w:rPr>
        <w:t>.</w:t>
      </w:r>
      <w:r w:rsidR="00430392">
        <w:rPr>
          <w:rFonts w:ascii="Times New Roman" w:hAnsi="Times New Roman" w:cs="Times New Roman"/>
        </w:rPr>
        <w:t xml:space="preserve"> </w:t>
      </w:r>
    </w:p>
    <w:p w14:paraId="20CD0F0B" w14:textId="77777777" w:rsidR="00C478F0" w:rsidRDefault="00C478F0" w:rsidP="00A777E6">
      <w:pPr>
        <w:spacing w:line="360" w:lineRule="auto"/>
        <w:ind w:firstLine="567"/>
        <w:jc w:val="both"/>
        <w:rPr>
          <w:rFonts w:ascii="Times New Roman" w:hAnsi="Times New Roman" w:cs="Times New Roman"/>
        </w:rPr>
      </w:pPr>
    </w:p>
    <w:p w14:paraId="69ACEC73" w14:textId="1D506A41" w:rsidR="00C478F0" w:rsidRPr="004F3FAB" w:rsidRDefault="00C478F0" w:rsidP="00C478F0">
      <w:pPr>
        <w:spacing w:line="360" w:lineRule="auto"/>
        <w:jc w:val="both"/>
        <w:rPr>
          <w:rFonts w:ascii="Times New Roman" w:eastAsia="Times New Roman" w:hAnsi="Times New Roman" w:cs="Times New Roman"/>
          <w:i/>
          <w:color w:val="000000"/>
        </w:rPr>
      </w:pPr>
      <w:r w:rsidRPr="004F3FAB">
        <w:rPr>
          <w:rFonts w:ascii="Times New Roman" w:eastAsia="Times New Roman" w:hAnsi="Times New Roman" w:cs="Times New Roman"/>
          <w:i/>
          <w:color w:val="000000"/>
        </w:rPr>
        <w:t>1.</w:t>
      </w:r>
      <w:r w:rsidR="000B55EF">
        <w:rPr>
          <w:rFonts w:ascii="Times New Roman" w:eastAsia="Times New Roman" w:hAnsi="Times New Roman" w:cs="Times New Roman"/>
          <w:i/>
          <w:color w:val="000000"/>
        </w:rPr>
        <w:t>1</w:t>
      </w:r>
      <w:r w:rsidRPr="004F3FAB">
        <w:rPr>
          <w:rFonts w:ascii="Times New Roman" w:eastAsia="Times New Roman" w:hAnsi="Times New Roman" w:cs="Times New Roman"/>
          <w:i/>
          <w:color w:val="000000"/>
        </w:rPr>
        <w:t xml:space="preserve"> Interesse storico e critica filosofica nella ricezione </w:t>
      </w:r>
      <w:r>
        <w:rPr>
          <w:rFonts w:ascii="Times New Roman" w:eastAsia="Times New Roman" w:hAnsi="Times New Roman" w:cs="Times New Roman"/>
          <w:i/>
          <w:color w:val="000000"/>
        </w:rPr>
        <w:t xml:space="preserve">bernese </w:t>
      </w:r>
      <w:r w:rsidR="009B65C2">
        <w:rPr>
          <w:rFonts w:ascii="Times New Roman" w:eastAsia="Times New Roman" w:hAnsi="Times New Roman" w:cs="Times New Roman"/>
          <w:i/>
          <w:color w:val="000000"/>
        </w:rPr>
        <w:t>dell’idealismo fichtiano</w:t>
      </w:r>
      <w:r w:rsidRPr="004F3FAB">
        <w:rPr>
          <w:rFonts w:ascii="Times New Roman" w:eastAsia="Times New Roman" w:hAnsi="Times New Roman" w:cs="Times New Roman"/>
          <w:i/>
          <w:color w:val="000000"/>
        </w:rPr>
        <w:t xml:space="preserve"> </w:t>
      </w:r>
    </w:p>
    <w:p w14:paraId="29F7EF4A" w14:textId="77777777" w:rsidR="00C478F0" w:rsidRDefault="00C478F0" w:rsidP="00C478F0">
      <w:pPr>
        <w:spacing w:line="360" w:lineRule="auto"/>
        <w:ind w:firstLine="567"/>
        <w:jc w:val="both"/>
        <w:rPr>
          <w:rFonts w:ascii="Times New Roman" w:eastAsia="Times New Roman" w:hAnsi="Times New Roman" w:cs="Times New Roman"/>
          <w:color w:val="000000"/>
        </w:rPr>
      </w:pPr>
    </w:p>
    <w:p w14:paraId="27A3B8DC" w14:textId="6CD942D2" w:rsidR="00C478F0" w:rsidRPr="004F2172" w:rsidRDefault="00C478F0" w:rsidP="00C478F0">
      <w:pPr>
        <w:spacing w:line="360" w:lineRule="auto"/>
        <w:ind w:firstLine="567"/>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Fra il gennaio e il </w:t>
      </w:r>
      <w:r w:rsidR="00172E99">
        <w:rPr>
          <w:rFonts w:ascii="Times New Roman" w:eastAsia="Times New Roman" w:hAnsi="Times New Roman" w:cs="Times New Roman"/>
          <w:color w:val="000000"/>
        </w:rPr>
        <w:t>febbraio 1795, Hegel riceve due</w:t>
      </w:r>
      <w:r>
        <w:rPr>
          <w:rFonts w:ascii="Times New Roman" w:eastAsia="Times New Roman" w:hAnsi="Times New Roman" w:cs="Times New Roman"/>
          <w:color w:val="000000"/>
        </w:rPr>
        <w:t xml:space="preserve"> </w:t>
      </w:r>
      <w:r w:rsidR="00172E99">
        <w:rPr>
          <w:rFonts w:ascii="Times New Roman" w:eastAsia="Times New Roman" w:hAnsi="Times New Roman" w:cs="Times New Roman"/>
          <w:color w:val="000000"/>
        </w:rPr>
        <w:t>lettere, la prima</w:t>
      </w:r>
      <w:r>
        <w:rPr>
          <w:rFonts w:ascii="Times New Roman" w:eastAsia="Times New Roman" w:hAnsi="Times New Roman" w:cs="Times New Roman"/>
          <w:color w:val="000000"/>
        </w:rPr>
        <w:t xml:space="preserve"> di Hölderlin</w:t>
      </w:r>
      <w:r w:rsidR="00172E99">
        <w:rPr>
          <w:rFonts w:ascii="Times New Roman" w:eastAsia="Times New Roman" w:hAnsi="Times New Roman" w:cs="Times New Roman"/>
          <w:color w:val="000000"/>
        </w:rPr>
        <w:t>, la second</w:t>
      </w:r>
      <w:r>
        <w:rPr>
          <w:rFonts w:ascii="Times New Roman" w:eastAsia="Times New Roman" w:hAnsi="Times New Roman" w:cs="Times New Roman"/>
          <w:color w:val="000000"/>
        </w:rPr>
        <w:t>a di Schelling</w:t>
      </w:r>
      <w:r w:rsidR="00172E99">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destinate ad influenzare profondamente la sua riflessione bernese, francofortese e jenese</w:t>
      </w:r>
      <w:r>
        <w:rPr>
          <w:rStyle w:val="Rimandonotaapidipagina"/>
          <w:rFonts w:ascii="Times New Roman" w:eastAsia="Times New Roman" w:hAnsi="Times New Roman" w:cs="Times New Roman"/>
          <w:color w:val="000000"/>
        </w:rPr>
        <w:footnoteReference w:id="39"/>
      </w:r>
      <w:r>
        <w:rPr>
          <w:rFonts w:ascii="Times New Roman" w:eastAsia="Times New Roman" w:hAnsi="Times New Roman" w:cs="Times New Roman"/>
          <w:color w:val="000000"/>
        </w:rPr>
        <w:t xml:space="preserve">. Tema comune a queste testimonianze è la teoria fichtiana dell’Io assoluto, declinata da </w:t>
      </w:r>
      <w:r w:rsidRPr="004F2172">
        <w:rPr>
          <w:rFonts w:ascii="Times New Roman" w:eastAsia="Times New Roman" w:hAnsi="Times New Roman" w:cs="Times New Roman"/>
          <w:color w:val="000000"/>
        </w:rPr>
        <w:t xml:space="preserve">due ex </w:t>
      </w:r>
      <w:r w:rsidRPr="004F2172">
        <w:rPr>
          <w:rFonts w:ascii="Times New Roman" w:eastAsia="Times New Roman" w:hAnsi="Times New Roman" w:cs="Times New Roman"/>
          <w:i/>
          <w:color w:val="000000"/>
        </w:rPr>
        <w:t>Stiftler</w:t>
      </w:r>
      <w:r w:rsidRPr="004F2172">
        <w:rPr>
          <w:rFonts w:ascii="Times New Roman" w:eastAsia="Times New Roman" w:hAnsi="Times New Roman" w:cs="Times New Roman"/>
          <w:color w:val="000000"/>
        </w:rPr>
        <w:t xml:space="preserve"> secondo direttrici teoriche antitetiche: da un lato, Hölderlin assume criticamente la prospettiva fichtiana, smascherandone le interne fragilità; dall’altro lato, Schelling riconosce nell’Io di Fichte un modello teorico in grado di definire il farsi dell’Incondizionato come superamento della sfera oggettiva e </w:t>
      </w:r>
      <w:r w:rsidR="0049114E">
        <w:rPr>
          <w:rFonts w:ascii="Times New Roman" w:eastAsia="Times New Roman" w:hAnsi="Times New Roman" w:cs="Times New Roman"/>
          <w:color w:val="000000"/>
        </w:rPr>
        <w:t xml:space="preserve">progressiva </w:t>
      </w:r>
      <w:r w:rsidR="001B614C">
        <w:rPr>
          <w:rFonts w:ascii="Times New Roman" w:eastAsia="Times New Roman" w:hAnsi="Times New Roman" w:cs="Times New Roman"/>
          <w:color w:val="000000"/>
        </w:rPr>
        <w:t>ricomposizione dell’auto</w:t>
      </w:r>
      <w:r w:rsidRPr="004F2172">
        <w:rPr>
          <w:rFonts w:ascii="Times New Roman" w:eastAsia="Times New Roman" w:hAnsi="Times New Roman" w:cs="Times New Roman"/>
          <w:color w:val="000000"/>
        </w:rPr>
        <w:t>uguaglianza assoluta.</w:t>
      </w:r>
      <w:r>
        <w:rPr>
          <w:rFonts w:ascii="Times New Roman" w:eastAsia="Times New Roman" w:hAnsi="Times New Roman" w:cs="Times New Roman"/>
          <w:color w:val="000000"/>
        </w:rPr>
        <w:t xml:space="preserve"> Che Hegel s’allinei con Hölderlin è attestato dalla lettera di risposta a Schelling del 30 agosto </w:t>
      </w:r>
      <w:r w:rsidRPr="004F2172">
        <w:rPr>
          <w:rFonts w:ascii="Times New Roman" w:eastAsia="Times New Roman" w:hAnsi="Times New Roman" w:cs="Times New Roman"/>
          <w:color w:val="000000"/>
        </w:rPr>
        <w:t xml:space="preserve">1795, in cui il rifiuto di alcuni principi del </w:t>
      </w:r>
      <w:r w:rsidRPr="004F2172">
        <w:rPr>
          <w:rFonts w:ascii="Times New Roman" w:eastAsia="Times New Roman" w:hAnsi="Times New Roman" w:cs="Times New Roman"/>
          <w:i/>
          <w:color w:val="000000"/>
        </w:rPr>
        <w:t>Vom Ich</w:t>
      </w:r>
      <w:r w:rsidRPr="004F2172">
        <w:rPr>
          <w:rFonts w:ascii="Times New Roman" w:eastAsia="Times New Roman" w:hAnsi="Times New Roman" w:cs="Times New Roman"/>
          <w:color w:val="000000"/>
        </w:rPr>
        <w:t xml:space="preserve"> schellinghiano è affine a quanto Hölderlin andava rimproverando ai </w:t>
      </w:r>
      <w:r w:rsidR="00236210">
        <w:rPr>
          <w:rFonts w:ascii="Times New Roman" w:eastAsia="Times New Roman" w:hAnsi="Times New Roman" w:cs="Times New Roman"/>
          <w:i/>
          <w:color w:val="000000"/>
          <w:lang w:val="de-DE"/>
        </w:rPr>
        <w:t xml:space="preserve">Grundlage der gesamten </w:t>
      </w:r>
      <w:r w:rsidRPr="004F2172">
        <w:rPr>
          <w:rFonts w:ascii="Times New Roman" w:eastAsia="Times New Roman" w:hAnsi="Times New Roman" w:cs="Times New Roman"/>
          <w:i/>
          <w:color w:val="000000"/>
          <w:lang w:val="de-DE"/>
        </w:rPr>
        <w:t>Wissenschaft</w:t>
      </w:r>
      <w:r w:rsidR="007B010A">
        <w:rPr>
          <w:rFonts w:ascii="Times New Roman" w:eastAsia="Times New Roman" w:hAnsi="Times New Roman" w:cs="Times New Roman"/>
          <w:i/>
          <w:color w:val="000000"/>
          <w:lang w:val="de-DE"/>
        </w:rPr>
        <w:t>s</w:t>
      </w:r>
      <w:r w:rsidRPr="004F2172">
        <w:rPr>
          <w:rFonts w:ascii="Times New Roman" w:eastAsia="Times New Roman" w:hAnsi="Times New Roman" w:cs="Times New Roman"/>
          <w:i/>
          <w:color w:val="000000"/>
          <w:lang w:val="de-DE"/>
        </w:rPr>
        <w:t>lehre</w:t>
      </w:r>
      <w:r w:rsidR="00236210">
        <w:rPr>
          <w:rFonts w:ascii="Times New Roman" w:eastAsia="Times New Roman" w:hAnsi="Times New Roman" w:cs="Times New Roman"/>
          <w:color w:val="000000"/>
        </w:rPr>
        <w:t xml:space="preserve">. </w:t>
      </w:r>
      <w:r w:rsidRPr="004F2172">
        <w:rPr>
          <w:rFonts w:ascii="Times New Roman" w:eastAsia="Times New Roman" w:hAnsi="Times New Roman" w:cs="Times New Roman"/>
          <w:color w:val="000000"/>
        </w:rPr>
        <w:t>Per capire le ragioni teoriche di questa presa di distanza, è necessario ricostruire i principali passaggi dello scambio epistolare fra i tre</w:t>
      </w:r>
      <w:r w:rsidRPr="004F2172">
        <w:rPr>
          <w:rFonts w:ascii="Times New Roman" w:eastAsia="Times New Roman" w:hAnsi="Times New Roman" w:cs="Times New Roman"/>
          <w:i/>
          <w:color w:val="000000"/>
        </w:rPr>
        <w:t xml:space="preserve"> </w:t>
      </w:r>
      <w:r w:rsidR="001B614C">
        <w:rPr>
          <w:rFonts w:ascii="Times New Roman" w:eastAsia="Times New Roman" w:hAnsi="Times New Roman" w:cs="Times New Roman"/>
          <w:color w:val="000000"/>
        </w:rPr>
        <w:t>interlocutori. In questo modo</w:t>
      </w:r>
      <w:r w:rsidRPr="004F2172">
        <w:rPr>
          <w:rFonts w:ascii="Times New Roman" w:eastAsia="Times New Roman" w:hAnsi="Times New Roman" w:cs="Times New Roman"/>
          <w:color w:val="000000"/>
        </w:rPr>
        <w:t xml:space="preserve"> sarà possibile chiarire la genesi di una problematica – come deve essere pensata l’opposizione all’interno dell’Assoluto? – che attraversa, subendo non poche integrazioni e modificazioni, tutta la produzione giovanile di Hegel.</w:t>
      </w:r>
    </w:p>
    <w:p w14:paraId="4EF794A1" w14:textId="77777777" w:rsidR="00C478F0" w:rsidRDefault="00C478F0" w:rsidP="00C478F0">
      <w:pPr>
        <w:spacing w:line="360" w:lineRule="auto"/>
        <w:ind w:firstLine="567"/>
        <w:jc w:val="both"/>
        <w:rPr>
          <w:rFonts w:ascii="Times New Roman" w:eastAsia="Times New Roman" w:hAnsi="Times New Roman" w:cs="Times New Roman"/>
          <w:color w:val="000000"/>
        </w:rPr>
      </w:pPr>
      <w:r w:rsidRPr="004F2172">
        <w:rPr>
          <w:rFonts w:ascii="Times New Roman" w:eastAsia="Times New Roman" w:hAnsi="Times New Roman" w:cs="Times New Roman"/>
          <w:color w:val="000000"/>
        </w:rPr>
        <w:t>Il 26 gennaio del 1795, Hölderlin avanza alcune riserve sulla filosofia fichtiana, stimandola incapace di giustificare senza contraddirsi il determinarsi dell’Io assoluto.</w:t>
      </w:r>
      <w:r>
        <w:rPr>
          <w:rFonts w:ascii="Times New Roman" w:eastAsia="Times New Roman" w:hAnsi="Times New Roman" w:cs="Times New Roman"/>
          <w:color w:val="000000"/>
        </w:rPr>
        <w:t xml:space="preserve"> Vista l’importanza di queste annotazioni critiche, cito per interno il passaggio hölderliniano:</w:t>
      </w:r>
    </w:p>
    <w:p w14:paraId="0B0DD3FC" w14:textId="77777777" w:rsidR="00C478F0" w:rsidRDefault="00C478F0" w:rsidP="00C478F0">
      <w:pPr>
        <w:spacing w:line="360" w:lineRule="auto"/>
        <w:ind w:firstLine="567"/>
        <w:jc w:val="both"/>
        <w:rPr>
          <w:rFonts w:ascii="Times New Roman" w:eastAsia="Times New Roman" w:hAnsi="Times New Roman" w:cs="Times New Roman"/>
          <w:color w:val="000000"/>
        </w:rPr>
      </w:pPr>
    </w:p>
    <w:p w14:paraId="2C8A28D0" w14:textId="77777777" w:rsidR="00C478F0" w:rsidRPr="00D42DF0" w:rsidRDefault="00C478F0" w:rsidP="00C478F0">
      <w:pPr>
        <w:spacing w:line="360" w:lineRule="auto"/>
        <w:ind w:left="567" w:firstLine="567"/>
        <w:jc w:val="both"/>
        <w:rPr>
          <w:rFonts w:ascii="Times New Roman" w:eastAsia="Times New Roman" w:hAnsi="Times New Roman" w:cs="Times New Roman"/>
          <w:color w:val="000000"/>
          <w:sz w:val="20"/>
          <w:szCs w:val="20"/>
          <w:lang w:val="de-DE"/>
        </w:rPr>
      </w:pPr>
      <w:r w:rsidRPr="00D42DF0">
        <w:rPr>
          <w:rFonts w:ascii="Times New Roman" w:eastAsia="Times New Roman" w:hAnsi="Times New Roman" w:cs="Times New Roman"/>
          <w:color w:val="000000"/>
          <w:sz w:val="20"/>
          <w:szCs w:val="20"/>
          <w:lang w:val="de-DE"/>
        </w:rPr>
        <w:t>«Sein absolutes Ich (=Spinozas Substanz) enthält alle Realität; es ist alles und außer ihm ist nichts. Es gibt also für dieses absolute Ich kein Objekt, denn sonst wäre nicht alle Realität in ihm; ein Bewußtsein ohne Objekt ist aber nicht denkbar, und wenn ich selbst dieses Objekt bin, so bin ich als solches notwendig beschränkt, sollte es auch nur in der Zeit sein, also nicht absolut.  Also ist in dem absoluten Ich kein Bewußtsein, und insofern ich kein Bewußtsein habe, insofern bin ich (für mich) nichts, also da</w:t>
      </w:r>
      <w:r>
        <w:rPr>
          <w:rFonts w:ascii="Times New Roman" w:eastAsia="Times New Roman" w:hAnsi="Times New Roman" w:cs="Times New Roman"/>
          <w:color w:val="000000"/>
          <w:sz w:val="20"/>
          <w:szCs w:val="20"/>
          <w:lang w:val="de-DE"/>
        </w:rPr>
        <w:t>s</w:t>
      </w:r>
      <w:r w:rsidRPr="00D42DF0">
        <w:rPr>
          <w:rFonts w:ascii="Times New Roman" w:eastAsia="Times New Roman" w:hAnsi="Times New Roman" w:cs="Times New Roman"/>
          <w:color w:val="000000"/>
          <w:sz w:val="20"/>
          <w:szCs w:val="20"/>
          <w:lang w:val="de-DE"/>
        </w:rPr>
        <w:t xml:space="preserve"> absolute Ich ist (für mich) Nichts</w:t>
      </w:r>
      <w:r w:rsidRPr="00D42DF0">
        <w:rPr>
          <w:rFonts w:ascii="Times New Roman" w:eastAsia="Times New Roman" w:hAnsi="Times New Roman" w:cs="Times New Roman"/>
          <w:color w:val="000000"/>
          <w:sz w:val="20"/>
          <w:szCs w:val="20"/>
        </w:rPr>
        <w:t>»</w:t>
      </w:r>
      <w:r w:rsidRPr="00D42DF0">
        <w:rPr>
          <w:rStyle w:val="Rimandonotaapidipagina"/>
          <w:rFonts w:ascii="Times New Roman" w:eastAsia="Times New Roman" w:hAnsi="Times New Roman" w:cs="Times New Roman"/>
          <w:color w:val="000000"/>
          <w:sz w:val="20"/>
          <w:szCs w:val="20"/>
          <w:lang w:val="de-DE"/>
        </w:rPr>
        <w:footnoteReference w:id="40"/>
      </w:r>
      <w:r w:rsidRPr="00D42DF0">
        <w:rPr>
          <w:rFonts w:ascii="Times New Roman" w:eastAsia="Times New Roman" w:hAnsi="Times New Roman" w:cs="Times New Roman"/>
          <w:color w:val="000000"/>
          <w:sz w:val="20"/>
          <w:szCs w:val="20"/>
          <w:lang w:val="de-DE"/>
        </w:rPr>
        <w:t xml:space="preserve">. </w:t>
      </w:r>
    </w:p>
    <w:p w14:paraId="4B4C8B3A" w14:textId="77777777" w:rsidR="00C478F0" w:rsidRDefault="00C478F0" w:rsidP="00C478F0">
      <w:pPr>
        <w:spacing w:line="360" w:lineRule="auto"/>
        <w:ind w:firstLine="567"/>
        <w:jc w:val="both"/>
        <w:rPr>
          <w:rFonts w:ascii="Times New Roman" w:eastAsia="Times New Roman" w:hAnsi="Times New Roman" w:cs="Times New Roman"/>
          <w:color w:val="000000"/>
        </w:rPr>
      </w:pPr>
    </w:p>
    <w:p w14:paraId="52861DD7" w14:textId="75FC5FA8" w:rsidR="00C478F0" w:rsidRDefault="00C478F0" w:rsidP="00C478F0">
      <w:pPr>
        <w:spacing w:line="360" w:lineRule="auto"/>
        <w:ind w:firstLine="567"/>
        <w:jc w:val="both"/>
        <w:rPr>
          <w:rFonts w:ascii="Times New Roman" w:eastAsia="Times New Roman" w:hAnsi="Times New Roman" w:cs="Times New Roman"/>
          <w:color w:val="000000"/>
        </w:rPr>
      </w:pPr>
      <w:r w:rsidRPr="009A60D7">
        <w:rPr>
          <w:rFonts w:ascii="Times New Roman" w:eastAsia="Times New Roman" w:hAnsi="Times New Roman" w:cs="Times New Roman"/>
          <w:color w:val="000000"/>
        </w:rPr>
        <w:t xml:space="preserve">Nessun oggetto può essere indipendentemente dall’Io assoluto: se così fosse, esso cesserebbe d’essere assoluto e sarebbe limitato da un’oggettività non ricompresa nella sua assolutezza. Al contrario della coscienza, che è animata dall’opposizione fra soggettivo e oggettivo, l’Io assoluto </w:t>
      </w:r>
      <w:r w:rsidR="00B83D27">
        <w:rPr>
          <w:rFonts w:ascii="Times New Roman" w:eastAsia="Times New Roman" w:hAnsi="Times New Roman" w:cs="Times New Roman"/>
          <w:color w:val="000000"/>
        </w:rPr>
        <w:t xml:space="preserve">assorbe e </w:t>
      </w:r>
      <w:r w:rsidRPr="009A60D7">
        <w:rPr>
          <w:rFonts w:ascii="Times New Roman" w:eastAsia="Times New Roman" w:hAnsi="Times New Roman" w:cs="Times New Roman"/>
          <w:color w:val="000000"/>
        </w:rPr>
        <w:t xml:space="preserve">contiene in sé qualsiasi forma di alterità. Nel caso in cui la coscienza finita fosse oggetto dell’Io assoluto, prosegue Hölderlin, essa rappresenterebbe una limitazione nel tempo per un principio che non ammette in sé, pena la perdita del suo essere incondizionato, </w:t>
      </w:r>
      <w:r w:rsidR="00BF3348" w:rsidRPr="009A60D7">
        <w:rPr>
          <w:rFonts w:ascii="Times New Roman" w:eastAsia="Times New Roman" w:hAnsi="Times New Roman" w:cs="Times New Roman"/>
          <w:color w:val="000000"/>
        </w:rPr>
        <w:t>forma</w:t>
      </w:r>
      <w:r w:rsidR="008E23DA">
        <w:rPr>
          <w:rFonts w:ascii="Times New Roman" w:eastAsia="Times New Roman" w:hAnsi="Times New Roman" w:cs="Times New Roman"/>
          <w:color w:val="000000"/>
        </w:rPr>
        <w:t xml:space="preserve"> al</w:t>
      </w:r>
      <w:r w:rsidR="008E23DA" w:rsidRPr="00371B81">
        <w:rPr>
          <w:rFonts w:ascii="Times New Roman" w:eastAsia="Times New Roman" w:hAnsi="Times New Roman" w:cs="Times New Roman"/>
          <w:color w:val="000000"/>
        </w:rPr>
        <w:t>cuna</w:t>
      </w:r>
      <w:r w:rsidRPr="00371B81">
        <w:rPr>
          <w:rFonts w:ascii="Times New Roman" w:eastAsia="Times New Roman" w:hAnsi="Times New Roman" w:cs="Times New Roman"/>
          <w:color w:val="000000"/>
        </w:rPr>
        <w:t xml:space="preserve"> di</w:t>
      </w:r>
      <w:r w:rsidR="008E23DA" w:rsidRPr="00371B81">
        <w:rPr>
          <w:rFonts w:ascii="Times New Roman" w:eastAsia="Times New Roman" w:hAnsi="Times New Roman" w:cs="Times New Roman"/>
          <w:color w:val="000000"/>
        </w:rPr>
        <w:t xml:space="preserve"> limitatezza</w:t>
      </w:r>
      <w:r w:rsidRPr="00371B81">
        <w:rPr>
          <w:rFonts w:ascii="Times New Roman" w:eastAsia="Times New Roman" w:hAnsi="Times New Roman" w:cs="Times New Roman"/>
          <w:color w:val="000000"/>
        </w:rPr>
        <w:t>.</w:t>
      </w:r>
      <w:r w:rsidRPr="009A60D7">
        <w:rPr>
          <w:rFonts w:ascii="Times New Roman" w:eastAsia="Times New Roman" w:hAnsi="Times New Roman" w:cs="Times New Roman"/>
          <w:color w:val="000000"/>
        </w:rPr>
        <w:t xml:space="preserve"> Pur essendo il tutto, l’Io assoluto non può che essere, paradossalmente, il nulla. E questo nulla, che è il tutto, non può mai costituirsi come qualcosa. Per essere qualcosa, infatti, l’Io assoluto dovrebbe essere limitato</w:t>
      </w:r>
      <w:r w:rsidRPr="009A60D7">
        <w:rPr>
          <w:rFonts w:ascii="Times New Roman" w:eastAsia="Times New Roman" w:hAnsi="Times New Roman" w:cs="Times New Roman"/>
          <w:i/>
          <w:color w:val="000000"/>
        </w:rPr>
        <w:t xml:space="preserve"> realmente</w:t>
      </w:r>
      <w:r w:rsidRPr="009A60D7">
        <w:rPr>
          <w:rFonts w:ascii="Times New Roman" w:eastAsia="Times New Roman" w:hAnsi="Times New Roman" w:cs="Times New Roman"/>
          <w:color w:val="000000"/>
        </w:rPr>
        <w:t xml:space="preserve"> o </w:t>
      </w:r>
      <w:r w:rsidRPr="009A60D7">
        <w:rPr>
          <w:rFonts w:ascii="Times New Roman" w:eastAsia="Times New Roman" w:hAnsi="Times New Roman" w:cs="Times New Roman"/>
          <w:i/>
          <w:color w:val="000000"/>
        </w:rPr>
        <w:t xml:space="preserve">idealmente </w:t>
      </w:r>
      <w:r w:rsidRPr="009A60D7">
        <w:rPr>
          <w:rFonts w:ascii="Times New Roman" w:eastAsia="Times New Roman" w:hAnsi="Times New Roman" w:cs="Times New Roman"/>
          <w:color w:val="000000"/>
        </w:rPr>
        <w:t xml:space="preserve">da un’alterità. </w:t>
      </w:r>
      <w:r w:rsidRPr="007C5E65">
        <w:rPr>
          <w:rFonts w:ascii="Times New Roman" w:eastAsia="Times New Roman" w:hAnsi="Times New Roman" w:cs="Times New Roman"/>
          <w:color w:val="000000"/>
        </w:rPr>
        <w:t>Ma non si dà limitazione (</w:t>
      </w:r>
      <w:r w:rsidRPr="007C5E65">
        <w:rPr>
          <w:rFonts w:ascii="Times New Roman" w:eastAsia="Times New Roman" w:hAnsi="Times New Roman" w:cs="Times New Roman"/>
          <w:i/>
          <w:color w:val="000000"/>
          <w:lang w:val="de-DE"/>
        </w:rPr>
        <w:t>Beschränkung</w:t>
      </w:r>
      <w:r w:rsidRPr="007C5E65">
        <w:rPr>
          <w:rFonts w:ascii="Times New Roman" w:eastAsia="Times New Roman" w:hAnsi="Times New Roman" w:cs="Times New Roman"/>
          <w:color w:val="000000"/>
        </w:rPr>
        <w:t>) reale poiché l’Io è realtà</w:t>
      </w:r>
      <w:r w:rsidR="00B83D27" w:rsidRPr="007C5E65">
        <w:rPr>
          <w:rFonts w:ascii="Times New Roman" w:eastAsia="Times New Roman" w:hAnsi="Times New Roman" w:cs="Times New Roman"/>
          <w:color w:val="000000"/>
        </w:rPr>
        <w:t xml:space="preserve"> incondizionata</w:t>
      </w:r>
      <w:r w:rsidRPr="007C5E65">
        <w:rPr>
          <w:rFonts w:ascii="Times New Roman" w:eastAsia="Times New Roman" w:hAnsi="Times New Roman" w:cs="Times New Roman"/>
          <w:color w:val="000000"/>
        </w:rPr>
        <w:t>; similarmente</w:t>
      </w:r>
      <w:r w:rsidRPr="009A60D7">
        <w:rPr>
          <w:rFonts w:ascii="Times New Roman" w:eastAsia="Times New Roman" w:hAnsi="Times New Roman" w:cs="Times New Roman"/>
          <w:color w:val="000000"/>
        </w:rPr>
        <w:t xml:space="preserve"> non si dà limitazione ideale poiché la coscienza finita non è oggetto dell’Io assoluto (se così fosse lo limiterebbe) e non sviluppa, per questa ragione, né un sapere di sé né dell’</w:t>
      </w:r>
      <w:r>
        <w:rPr>
          <w:rFonts w:ascii="Times New Roman" w:eastAsia="Times New Roman" w:hAnsi="Times New Roman" w:cs="Times New Roman"/>
          <w:color w:val="000000"/>
        </w:rPr>
        <w:t xml:space="preserve">altro da sé. </w:t>
      </w:r>
      <w:r w:rsidRPr="00682249">
        <w:rPr>
          <w:rFonts w:ascii="Times New Roman" w:eastAsia="Times New Roman" w:hAnsi="Times New Roman" w:cs="Times New Roman"/>
          <w:color w:val="000000"/>
        </w:rPr>
        <w:t xml:space="preserve">La coscienza finita è in sé </w:t>
      </w:r>
      <w:r w:rsidRPr="00682249">
        <w:rPr>
          <w:rFonts w:ascii="Times New Roman" w:eastAsia="Times New Roman" w:hAnsi="Times New Roman" w:cs="Times New Roman"/>
          <w:i/>
          <w:color w:val="000000"/>
        </w:rPr>
        <w:t>nulla</w:t>
      </w:r>
      <w:r w:rsidRPr="00371B81">
        <w:rPr>
          <w:rFonts w:ascii="Times New Roman" w:eastAsia="Times New Roman" w:hAnsi="Times New Roman" w:cs="Times New Roman"/>
          <w:color w:val="000000"/>
        </w:rPr>
        <w:t xml:space="preserve">, la coscienza finita </w:t>
      </w:r>
      <w:r w:rsidRPr="00371B81">
        <w:rPr>
          <w:rFonts w:ascii="Times New Roman" w:eastAsia="Times New Roman" w:hAnsi="Times New Roman" w:cs="Times New Roman"/>
          <w:i/>
          <w:color w:val="000000"/>
        </w:rPr>
        <w:t>non è</w:t>
      </w:r>
      <w:r w:rsidRPr="00371B81">
        <w:rPr>
          <w:rFonts w:ascii="Times New Roman" w:eastAsia="Times New Roman" w:hAnsi="Times New Roman" w:cs="Times New Roman"/>
          <w:color w:val="000000"/>
        </w:rPr>
        <w:t xml:space="preserve"> per l’Io assoluto e l’Io assoluto è ad un tempo </w:t>
      </w:r>
      <w:r w:rsidRPr="00371B81">
        <w:rPr>
          <w:rFonts w:ascii="Times New Roman" w:eastAsia="Times New Roman" w:hAnsi="Times New Roman" w:cs="Times New Roman"/>
          <w:i/>
          <w:color w:val="000000"/>
        </w:rPr>
        <w:t xml:space="preserve">tutto </w:t>
      </w:r>
      <w:r w:rsidRPr="00371B81">
        <w:rPr>
          <w:rFonts w:ascii="Times New Roman" w:eastAsia="Times New Roman" w:hAnsi="Times New Roman" w:cs="Times New Roman"/>
          <w:color w:val="000000"/>
        </w:rPr>
        <w:t xml:space="preserve">e </w:t>
      </w:r>
      <w:r w:rsidRPr="00371B81">
        <w:rPr>
          <w:rFonts w:ascii="Times New Roman" w:eastAsia="Times New Roman" w:hAnsi="Times New Roman" w:cs="Times New Roman"/>
          <w:i/>
          <w:color w:val="000000"/>
        </w:rPr>
        <w:t>nulla</w:t>
      </w:r>
      <w:r w:rsidRPr="00371B81">
        <w:rPr>
          <w:rFonts w:ascii="Times New Roman" w:eastAsia="Times New Roman" w:hAnsi="Times New Roman" w:cs="Times New Roman"/>
          <w:color w:val="000000"/>
        </w:rPr>
        <w:t xml:space="preserve">, </w:t>
      </w:r>
      <w:r w:rsidRPr="00371B81">
        <w:rPr>
          <w:rFonts w:ascii="Times New Roman" w:eastAsia="Times New Roman" w:hAnsi="Times New Roman" w:cs="Times New Roman"/>
          <w:i/>
          <w:color w:val="000000"/>
        </w:rPr>
        <w:t>pieno</w:t>
      </w:r>
      <w:r w:rsidRPr="00371B81">
        <w:rPr>
          <w:rFonts w:ascii="Times New Roman" w:eastAsia="Times New Roman" w:hAnsi="Times New Roman" w:cs="Times New Roman"/>
          <w:color w:val="000000"/>
        </w:rPr>
        <w:t xml:space="preserve"> </w:t>
      </w:r>
      <w:r w:rsidR="002F7028" w:rsidRPr="00371B81">
        <w:rPr>
          <w:rFonts w:ascii="Times New Roman" w:eastAsia="Times New Roman" w:hAnsi="Times New Roman" w:cs="Times New Roman"/>
          <w:color w:val="000000"/>
        </w:rPr>
        <w:t>e</w:t>
      </w:r>
      <w:r w:rsidR="002F7028" w:rsidRPr="00371B81">
        <w:rPr>
          <w:rFonts w:ascii="Times New Roman" w:eastAsia="Times New Roman" w:hAnsi="Times New Roman" w:cs="Times New Roman"/>
          <w:i/>
          <w:color w:val="000000"/>
        </w:rPr>
        <w:t xml:space="preserve"> privo </w:t>
      </w:r>
      <w:r w:rsidRPr="00371B81">
        <w:rPr>
          <w:rFonts w:ascii="Times New Roman" w:eastAsia="Times New Roman" w:hAnsi="Times New Roman" w:cs="Times New Roman"/>
          <w:i/>
          <w:color w:val="000000"/>
        </w:rPr>
        <w:t>di realtà</w:t>
      </w:r>
      <w:r w:rsidRPr="00371B81">
        <w:rPr>
          <w:rFonts w:ascii="Times New Roman" w:eastAsia="Times New Roman" w:hAnsi="Times New Roman" w:cs="Times New Roman"/>
          <w:color w:val="000000"/>
        </w:rPr>
        <w:t>. Non può</w:t>
      </w:r>
      <w:r>
        <w:rPr>
          <w:rFonts w:ascii="Times New Roman" w:eastAsia="Times New Roman" w:hAnsi="Times New Roman" w:cs="Times New Roman"/>
          <w:color w:val="000000"/>
        </w:rPr>
        <w:t xml:space="preserve"> spiegarsi, né tantomeno legittimarsi teoricamente, nei </w:t>
      </w:r>
      <w:r w:rsidRPr="00210146">
        <w:rPr>
          <w:rFonts w:ascii="Times New Roman" w:eastAsia="Times New Roman" w:hAnsi="Times New Roman" w:cs="Times New Roman"/>
          <w:i/>
          <w:color w:val="000000"/>
          <w:lang w:val="de-DE"/>
        </w:rPr>
        <w:t>Grundlage der gesamten</w:t>
      </w:r>
      <w:r w:rsidRPr="00210146">
        <w:rPr>
          <w:rFonts w:ascii="Times New Roman" w:eastAsia="Times New Roman" w:hAnsi="Times New Roman" w:cs="Times New Roman"/>
          <w:color w:val="000000"/>
          <w:lang w:val="de-DE"/>
        </w:rPr>
        <w:t xml:space="preserve"> </w:t>
      </w:r>
      <w:r w:rsidRPr="00210146">
        <w:rPr>
          <w:rFonts w:ascii="Times New Roman" w:eastAsia="Times New Roman" w:hAnsi="Times New Roman" w:cs="Times New Roman"/>
          <w:i/>
          <w:color w:val="000000"/>
          <w:lang w:val="de-DE"/>
        </w:rPr>
        <w:t>Wissenschaft</w:t>
      </w:r>
      <w:r w:rsidR="007B010A">
        <w:rPr>
          <w:rFonts w:ascii="Times New Roman" w:eastAsia="Times New Roman" w:hAnsi="Times New Roman" w:cs="Times New Roman"/>
          <w:i/>
          <w:color w:val="000000"/>
          <w:lang w:val="de-DE"/>
        </w:rPr>
        <w:t>s</w:t>
      </w:r>
      <w:r w:rsidRPr="00210146">
        <w:rPr>
          <w:rFonts w:ascii="Times New Roman" w:eastAsia="Times New Roman" w:hAnsi="Times New Roman" w:cs="Times New Roman"/>
          <w:i/>
          <w:color w:val="000000"/>
          <w:lang w:val="de-DE"/>
        </w:rPr>
        <w:t>lehre</w:t>
      </w:r>
      <w:r w:rsidRPr="00210146">
        <w:rPr>
          <w:rFonts w:ascii="Times New Roman" w:eastAsia="Times New Roman" w:hAnsi="Times New Roman" w:cs="Times New Roman"/>
          <w:color w:val="000000"/>
          <w:lang w:val="de-DE"/>
        </w:rPr>
        <w:t>,</w:t>
      </w:r>
      <w:r>
        <w:rPr>
          <w:rFonts w:ascii="Times New Roman" w:eastAsia="Times New Roman" w:hAnsi="Times New Roman" w:cs="Times New Roman"/>
          <w:color w:val="000000"/>
        </w:rPr>
        <w:t xml:space="preserve"> la produzione di un’alterità nell’Io assoluto senza che esso cessi d’essere assoluto. </w:t>
      </w:r>
    </w:p>
    <w:p w14:paraId="7E339EEA" w14:textId="77777777" w:rsidR="00C478F0" w:rsidRPr="00F060EC" w:rsidRDefault="00C478F0" w:rsidP="00C478F0">
      <w:pPr>
        <w:spacing w:line="360" w:lineRule="auto"/>
        <w:ind w:firstLine="567"/>
        <w:jc w:val="both"/>
        <w:rPr>
          <w:rFonts w:ascii="Times New Roman" w:eastAsia="Times New Roman" w:hAnsi="Times New Roman" w:cs="Times New Roman"/>
          <w:color w:val="000000"/>
        </w:rPr>
      </w:pPr>
      <w:r w:rsidRPr="00075050">
        <w:rPr>
          <w:rFonts w:ascii="Times New Roman" w:eastAsia="Times New Roman" w:hAnsi="Times New Roman" w:cs="Times New Roman"/>
          <w:color w:val="000000"/>
        </w:rPr>
        <w:t>Se per Hölderlin il pensiero di Fichte non può che dibattersi in insolubili contraddizioni</w:t>
      </w:r>
      <w:r w:rsidRPr="00075050">
        <w:rPr>
          <w:rStyle w:val="Rimandonotaapidipagina"/>
          <w:rFonts w:ascii="Times New Roman" w:eastAsia="Times New Roman" w:hAnsi="Times New Roman" w:cs="Times New Roman"/>
          <w:color w:val="000000"/>
        </w:rPr>
        <w:footnoteReference w:id="41"/>
      </w:r>
      <w:r w:rsidRPr="00075050">
        <w:rPr>
          <w:rFonts w:ascii="Times New Roman" w:eastAsia="Times New Roman" w:hAnsi="Times New Roman" w:cs="Times New Roman"/>
          <w:color w:val="000000"/>
        </w:rPr>
        <w:t xml:space="preserve">, per Schelling l’idealismo fichtiano, a partire almeno dalla pubblicazione del </w:t>
      </w:r>
      <w:r w:rsidRPr="00075050">
        <w:rPr>
          <w:rFonts w:ascii="Times New Roman" w:eastAsia="Times New Roman" w:hAnsi="Times New Roman" w:cs="Times New Roman"/>
          <w:i/>
          <w:color w:val="000000"/>
        </w:rPr>
        <w:t>Vom Ich</w:t>
      </w:r>
      <w:r w:rsidRPr="00075050">
        <w:rPr>
          <w:rFonts w:ascii="Times New Roman" w:eastAsia="Times New Roman" w:hAnsi="Times New Roman" w:cs="Times New Roman"/>
          <w:color w:val="000000"/>
        </w:rPr>
        <w:t xml:space="preserve"> (1795) e delle </w:t>
      </w:r>
      <w:r w:rsidRPr="00075050">
        <w:rPr>
          <w:rFonts w:ascii="Times New Roman" w:eastAsia="Times New Roman" w:hAnsi="Times New Roman" w:cs="Times New Roman"/>
          <w:i/>
          <w:color w:val="000000"/>
          <w:lang w:val="de-DE"/>
        </w:rPr>
        <w:t xml:space="preserve">Briefe über Dogmatismus und Kritizismus </w:t>
      </w:r>
      <w:r w:rsidRPr="00075050">
        <w:rPr>
          <w:rFonts w:ascii="Times New Roman" w:eastAsia="Times New Roman" w:hAnsi="Times New Roman" w:cs="Times New Roman"/>
          <w:color w:val="000000"/>
          <w:lang w:val="de-DE"/>
        </w:rPr>
        <w:t>(1795/96)</w:t>
      </w:r>
      <w:r w:rsidRPr="00075050">
        <w:rPr>
          <w:rFonts w:ascii="Times New Roman" w:eastAsia="Times New Roman" w:hAnsi="Times New Roman" w:cs="Times New Roman"/>
          <w:color w:val="000000"/>
        </w:rPr>
        <w:t xml:space="preserve">, rappresenta un’alternativa teorica alle unilateralità messe a punto sia dal dogmatismo che dal criticismo. </w:t>
      </w:r>
      <w:r w:rsidRPr="00075050">
        <w:rPr>
          <w:rFonts w:ascii="Times New Roman" w:hAnsi="Times New Roman"/>
        </w:rPr>
        <w:t>Nella celebre lettera ad Hegel del 4 febbraio 1795, Schelling delinea una teoria dell’Incondizionato (</w:t>
      </w:r>
      <w:r w:rsidRPr="00075050">
        <w:rPr>
          <w:rFonts w:ascii="Times New Roman" w:hAnsi="Times New Roman"/>
          <w:i/>
          <w:lang w:val="de-DE"/>
        </w:rPr>
        <w:t>das Unbedingte</w:t>
      </w:r>
      <w:r w:rsidRPr="00075050">
        <w:rPr>
          <w:rFonts w:ascii="Times New Roman" w:hAnsi="Times New Roman"/>
        </w:rPr>
        <w:t>) in cui si coniugano i risultati teorici dello spinozismo e del criticismo:</w:t>
      </w:r>
    </w:p>
    <w:p w14:paraId="1D6460BC" w14:textId="77777777" w:rsidR="00C478F0" w:rsidRDefault="00C478F0" w:rsidP="00C478F0">
      <w:pPr>
        <w:spacing w:line="360" w:lineRule="auto"/>
        <w:ind w:firstLine="567"/>
        <w:jc w:val="both"/>
        <w:rPr>
          <w:rFonts w:ascii="Times New Roman" w:hAnsi="Times New Roman"/>
        </w:rPr>
      </w:pPr>
    </w:p>
    <w:p w14:paraId="2EDFCB2A" w14:textId="245538BF" w:rsidR="00C478F0" w:rsidRPr="00A75D5C" w:rsidRDefault="00C478F0" w:rsidP="00C478F0">
      <w:pPr>
        <w:spacing w:line="360" w:lineRule="auto"/>
        <w:ind w:left="567" w:firstLine="567"/>
        <w:jc w:val="both"/>
        <w:rPr>
          <w:rFonts w:ascii="Times New Roman" w:hAnsi="Times New Roman"/>
          <w:lang w:val="de-DE"/>
        </w:rPr>
      </w:pPr>
      <w:r w:rsidRPr="00A75D5C">
        <w:rPr>
          <w:rFonts w:ascii="Times New Roman" w:hAnsi="Times New Roman" w:cs="Times New Roman"/>
          <w:sz w:val="20"/>
          <w:szCs w:val="20"/>
          <w:lang w:val="de-DE"/>
        </w:rPr>
        <w:t>«Ich bin indessen Spinozist gewo</w:t>
      </w:r>
      <w:r w:rsidR="002F7028">
        <w:rPr>
          <w:rFonts w:ascii="Times New Roman" w:hAnsi="Times New Roman" w:cs="Times New Roman"/>
          <w:sz w:val="20"/>
          <w:szCs w:val="20"/>
          <w:lang w:val="de-DE"/>
        </w:rPr>
        <w:t>rden! – Staue nicht. Du wirst b</w:t>
      </w:r>
      <w:r w:rsidRPr="00A75D5C">
        <w:rPr>
          <w:rFonts w:ascii="Times New Roman" w:hAnsi="Times New Roman" w:cs="Times New Roman"/>
          <w:sz w:val="20"/>
          <w:szCs w:val="20"/>
          <w:lang w:val="de-DE"/>
        </w:rPr>
        <w:t>a</w:t>
      </w:r>
      <w:r w:rsidR="002F7028">
        <w:rPr>
          <w:rFonts w:ascii="Times New Roman" w:hAnsi="Times New Roman" w:cs="Times New Roman"/>
          <w:sz w:val="20"/>
          <w:szCs w:val="20"/>
          <w:lang w:val="de-DE"/>
        </w:rPr>
        <w:t>l</w:t>
      </w:r>
      <w:r w:rsidRPr="00A75D5C">
        <w:rPr>
          <w:rFonts w:ascii="Times New Roman" w:hAnsi="Times New Roman" w:cs="Times New Roman"/>
          <w:sz w:val="20"/>
          <w:szCs w:val="20"/>
          <w:lang w:val="de-DE"/>
        </w:rPr>
        <w:t xml:space="preserve">d hören wie? – Spinoza’n war die Welt (das Objekt schlechtin, im Gegensatz gegen das Subjekt) – alles; mir ist es das Ich […] Mir ist das höchste Prinzip aller Philosophie das reine, absolute Ich, d. h. das Ich, inwiefern es bloßes Ich, noch gar nicht durch Objekte bedingt, sondern durch Freiheit gesezt. Das A und O aller Philosophie ist die Freiheit. Das absolute Ich befaßt eine unendliche Sphäre des absoluten Seins, in dieser bilden sich </w:t>
      </w:r>
      <w:r w:rsidRPr="00A75D5C">
        <w:rPr>
          <w:rFonts w:ascii="Times New Roman" w:hAnsi="Times New Roman" w:cs="Times New Roman"/>
          <w:i/>
          <w:sz w:val="20"/>
          <w:szCs w:val="20"/>
          <w:lang w:val="de-DE"/>
        </w:rPr>
        <w:t>endliche Sphären</w:t>
      </w:r>
      <w:r w:rsidRPr="00A75D5C">
        <w:rPr>
          <w:rFonts w:ascii="Times New Roman" w:hAnsi="Times New Roman" w:cs="Times New Roman"/>
          <w:sz w:val="20"/>
          <w:szCs w:val="20"/>
          <w:lang w:val="de-DE"/>
        </w:rPr>
        <w:t xml:space="preserve">, die durch </w:t>
      </w:r>
      <w:r w:rsidRPr="00A75D5C">
        <w:rPr>
          <w:rFonts w:ascii="Times New Roman" w:hAnsi="Times New Roman" w:cs="Times New Roman"/>
          <w:i/>
          <w:sz w:val="20"/>
          <w:szCs w:val="20"/>
          <w:lang w:val="de-DE"/>
        </w:rPr>
        <w:t>Einschränkung</w:t>
      </w:r>
      <w:r w:rsidRPr="00A75D5C">
        <w:rPr>
          <w:rFonts w:ascii="Times New Roman" w:hAnsi="Times New Roman" w:cs="Times New Roman"/>
          <w:sz w:val="20"/>
          <w:szCs w:val="20"/>
          <w:lang w:val="de-DE"/>
        </w:rPr>
        <w:t xml:space="preserve"> der absoluten Sphär</w:t>
      </w:r>
      <w:r>
        <w:rPr>
          <w:rFonts w:ascii="Times New Roman" w:hAnsi="Times New Roman" w:cs="Times New Roman"/>
          <w:sz w:val="20"/>
          <w:szCs w:val="20"/>
          <w:lang w:val="de-DE"/>
        </w:rPr>
        <w:t>e durch ein Objekt entstehen (Sphären des Dasein</w:t>
      </w:r>
      <w:r w:rsidR="00236210">
        <w:rPr>
          <w:rFonts w:ascii="Times New Roman" w:hAnsi="Times New Roman" w:cs="Times New Roman"/>
          <w:sz w:val="20"/>
          <w:szCs w:val="20"/>
          <w:lang w:val="de-DE"/>
        </w:rPr>
        <w:t xml:space="preserve">s – theoretische </w:t>
      </w:r>
      <w:r>
        <w:rPr>
          <w:rFonts w:ascii="Times New Roman" w:hAnsi="Times New Roman" w:cs="Times New Roman"/>
          <w:sz w:val="20"/>
          <w:szCs w:val="20"/>
          <w:lang w:val="de-DE"/>
        </w:rPr>
        <w:t>Philosophie)</w:t>
      </w:r>
      <w:r w:rsidRPr="00A75D5C">
        <w:rPr>
          <w:rFonts w:ascii="Times New Roman" w:hAnsi="Times New Roman" w:cs="Times New Roman"/>
          <w:sz w:val="20"/>
          <w:szCs w:val="20"/>
          <w:lang w:val="de-DE"/>
        </w:rPr>
        <w:t>. Aber wir sollen diese Schränken durchbrechen, d.h. wir sollen aus der endlichen Sphäre hinaus in die endliche kommen (</w:t>
      </w:r>
      <w:r w:rsidRPr="00A75D5C">
        <w:rPr>
          <w:rFonts w:ascii="Times New Roman" w:hAnsi="Times New Roman" w:cs="Times New Roman"/>
          <w:i/>
          <w:sz w:val="20"/>
          <w:szCs w:val="20"/>
          <w:lang w:val="de-DE"/>
        </w:rPr>
        <w:t>praktische Philosophie</w:t>
      </w:r>
      <w:r w:rsidRPr="00A75D5C">
        <w:rPr>
          <w:rFonts w:ascii="Times New Roman" w:hAnsi="Times New Roman" w:cs="Times New Roman"/>
          <w:sz w:val="20"/>
          <w:szCs w:val="20"/>
          <w:lang w:val="de-DE"/>
        </w:rPr>
        <w:t>) Diese fordert also Zers</w:t>
      </w:r>
      <w:r w:rsidR="00236210">
        <w:rPr>
          <w:rFonts w:ascii="Times New Roman" w:hAnsi="Times New Roman" w:cs="Times New Roman"/>
          <w:sz w:val="20"/>
          <w:szCs w:val="20"/>
          <w:lang w:val="de-DE"/>
        </w:rPr>
        <w:t xml:space="preserve">törung </w:t>
      </w:r>
      <w:r w:rsidRPr="00A75D5C">
        <w:rPr>
          <w:rFonts w:ascii="Times New Roman" w:hAnsi="Times New Roman" w:cs="Times New Roman"/>
          <w:sz w:val="20"/>
          <w:szCs w:val="20"/>
          <w:lang w:val="de-DE"/>
        </w:rPr>
        <w:t>der Endlichkeit und führt uns dadurch in die übersinnliche Welt</w:t>
      </w:r>
      <w:r>
        <w:rPr>
          <w:rFonts w:ascii="Times New Roman" w:hAnsi="Times New Roman" w:cs="Times New Roman"/>
          <w:sz w:val="20"/>
          <w:szCs w:val="20"/>
          <w:lang w:val="de-DE"/>
        </w:rPr>
        <w:t xml:space="preserve"> […] Für Gott aber, d. h. für das absolute Ich gibt es gar kein Objekt, denn dadurch hörte es auf, absolut zu sein</w:t>
      </w:r>
      <w:r w:rsidRPr="00A75D5C">
        <w:rPr>
          <w:rFonts w:ascii="Times New Roman" w:eastAsia="Times New Roman" w:hAnsi="Times New Roman" w:cs="Times New Roman"/>
          <w:color w:val="000000"/>
          <w:sz w:val="20"/>
          <w:szCs w:val="20"/>
          <w:lang w:val="de-DE"/>
        </w:rPr>
        <w:t>»</w:t>
      </w:r>
      <w:r w:rsidRPr="00A75D5C">
        <w:rPr>
          <w:rStyle w:val="Rimandonotaapidipagina"/>
          <w:rFonts w:ascii="Times New Roman" w:eastAsia="Times New Roman" w:hAnsi="Times New Roman" w:cs="Times New Roman"/>
          <w:color w:val="000000"/>
          <w:sz w:val="20"/>
          <w:szCs w:val="20"/>
          <w:lang w:val="de-DE"/>
        </w:rPr>
        <w:footnoteReference w:id="42"/>
      </w:r>
      <w:r w:rsidRPr="00A75D5C">
        <w:rPr>
          <w:rFonts w:ascii="Times New Roman" w:eastAsia="Times New Roman" w:hAnsi="Times New Roman" w:cs="Times New Roman"/>
          <w:color w:val="000000"/>
          <w:sz w:val="20"/>
          <w:szCs w:val="20"/>
          <w:lang w:val="de-DE"/>
        </w:rPr>
        <w:t xml:space="preserve"> .</w:t>
      </w:r>
    </w:p>
    <w:p w14:paraId="5A81CCF1" w14:textId="77777777" w:rsidR="00C478F0" w:rsidRDefault="00C478F0" w:rsidP="00C478F0">
      <w:pPr>
        <w:spacing w:line="360" w:lineRule="auto"/>
        <w:ind w:firstLine="567"/>
        <w:jc w:val="both"/>
        <w:rPr>
          <w:rFonts w:ascii="Times New Roman" w:hAnsi="Times New Roman"/>
        </w:rPr>
      </w:pPr>
    </w:p>
    <w:p w14:paraId="40A02CB7" w14:textId="2565012F" w:rsidR="00C478F0" w:rsidRPr="005A2D50" w:rsidRDefault="00C478F0" w:rsidP="00C478F0">
      <w:pPr>
        <w:spacing w:line="360" w:lineRule="auto"/>
        <w:ind w:firstLine="567"/>
        <w:jc w:val="both"/>
        <w:rPr>
          <w:rFonts w:ascii="Times New Roman" w:eastAsia="Times New Roman" w:hAnsi="Times New Roman" w:cs="Times New Roman"/>
          <w:color w:val="000000"/>
        </w:rPr>
      </w:pPr>
      <w:r w:rsidRPr="00E05DF8">
        <w:rPr>
          <w:rFonts w:ascii="Times New Roman" w:hAnsi="Times New Roman"/>
        </w:rPr>
        <w:t xml:space="preserve"> </w:t>
      </w:r>
      <w:r w:rsidRPr="00CA29BB">
        <w:rPr>
          <w:rFonts w:ascii="Times New Roman" w:hAnsi="Times New Roman"/>
        </w:rPr>
        <w:t>Aderire allo spinozismo non sign</w:t>
      </w:r>
      <w:r w:rsidR="002F7028">
        <w:rPr>
          <w:rFonts w:ascii="Times New Roman" w:hAnsi="Times New Roman"/>
        </w:rPr>
        <w:t xml:space="preserve">ifica </w:t>
      </w:r>
      <w:r w:rsidR="002F7028" w:rsidRPr="00371B81">
        <w:rPr>
          <w:rFonts w:ascii="Times New Roman" w:hAnsi="Times New Roman"/>
        </w:rPr>
        <w:t xml:space="preserve">identificare l’Assoluto con </w:t>
      </w:r>
      <w:r w:rsidR="00236210" w:rsidRPr="00371B81">
        <w:rPr>
          <w:rFonts w:ascii="Times New Roman" w:hAnsi="Times New Roman"/>
        </w:rPr>
        <w:t>l’oggettività,</w:t>
      </w:r>
      <w:r w:rsidR="00236210">
        <w:rPr>
          <w:rFonts w:ascii="Times New Roman" w:hAnsi="Times New Roman"/>
        </w:rPr>
        <w:t xml:space="preserve"> </w:t>
      </w:r>
      <w:r w:rsidRPr="00CA29BB">
        <w:rPr>
          <w:rFonts w:ascii="Times New Roman" w:hAnsi="Times New Roman"/>
        </w:rPr>
        <w:t xml:space="preserve">ma rileggere la sostanza di Spinoza alla luce dell’Io assoluto di Fichte, di un principio immune dagli esiti dogmatici a cui </w:t>
      </w:r>
      <w:r>
        <w:rPr>
          <w:rFonts w:ascii="Times New Roman" w:hAnsi="Times New Roman"/>
        </w:rPr>
        <w:t>filosofia dogmatica e critica</w:t>
      </w:r>
      <w:r w:rsidRPr="00CA29BB">
        <w:rPr>
          <w:rFonts w:ascii="Times New Roman" w:hAnsi="Times New Roman"/>
        </w:rPr>
        <w:t xml:space="preserve"> possono</w:t>
      </w:r>
      <w:r>
        <w:rPr>
          <w:rFonts w:ascii="Times New Roman" w:hAnsi="Times New Roman"/>
        </w:rPr>
        <w:t xml:space="preserve"> entrambe</w:t>
      </w:r>
      <w:r w:rsidRPr="00CA29BB">
        <w:rPr>
          <w:rFonts w:ascii="Times New Roman" w:hAnsi="Times New Roman"/>
        </w:rPr>
        <w:t xml:space="preserve"> approdare</w:t>
      </w:r>
      <w:r w:rsidRPr="00CA29BB">
        <w:rPr>
          <w:rStyle w:val="Rimandonotaapidipagina"/>
          <w:rFonts w:ascii="Times New Roman" w:hAnsi="Times New Roman"/>
        </w:rPr>
        <w:footnoteReference w:id="43"/>
      </w:r>
      <w:r w:rsidRPr="00CA29BB">
        <w:rPr>
          <w:rFonts w:ascii="Times New Roman" w:hAnsi="Times New Roman"/>
        </w:rPr>
        <w:t>. Per Schelling,</w:t>
      </w:r>
      <w:r>
        <w:rPr>
          <w:rFonts w:ascii="Times New Roman" w:hAnsi="Times New Roman"/>
        </w:rPr>
        <w:t xml:space="preserve"> il principio sommo di ogni filosofia, </w:t>
      </w:r>
      <w:r>
        <w:rPr>
          <w:rFonts w:ascii="Times New Roman" w:eastAsia="Times New Roman" w:hAnsi="Times New Roman" w:cs="Times New Roman"/>
          <w:color w:val="000000"/>
        </w:rPr>
        <w:t>l</w:t>
      </w:r>
      <w:r w:rsidRPr="00E05DF8">
        <w:rPr>
          <w:rFonts w:ascii="Times New Roman" w:eastAsia="Times New Roman" w:hAnsi="Times New Roman" w:cs="Times New Roman"/>
          <w:color w:val="000000"/>
        </w:rPr>
        <w:t>’</w:t>
      </w:r>
      <w:r>
        <w:rPr>
          <w:rFonts w:ascii="Times New Roman" w:eastAsia="Times New Roman" w:hAnsi="Times New Roman" w:cs="Times New Roman"/>
          <w:color w:val="000000"/>
        </w:rPr>
        <w:t xml:space="preserve">Io assoluto, si conferisce una sfera infinita dell’essere assoluto, all’interno della quale si producono delle sfere finite, che vanno a definite l’oggetto dell’Io teoretico. Finché ci muoviamo sul terreno della filosofia teoretica, non è possibile superare l’opposizione, e con ciò la differenza, che l’oggetto, in quanto prodotto dalla limitazione interna della sfera infinita, fa valere nei confronti dell’Io. </w:t>
      </w:r>
      <w:r w:rsidRPr="00236010">
        <w:rPr>
          <w:rFonts w:ascii="Times New Roman" w:eastAsia="Times New Roman" w:hAnsi="Times New Roman" w:cs="Times New Roman"/>
          <w:color w:val="000000"/>
        </w:rPr>
        <w:t>L’accesso al mondo soprasensibile, che Schelling non esita a definire come Dio</w:t>
      </w:r>
      <w:r w:rsidRPr="00236010">
        <w:rPr>
          <w:rStyle w:val="Rimandonotaapidipagina"/>
          <w:rFonts w:ascii="Times New Roman" w:eastAsia="Times New Roman" w:hAnsi="Times New Roman" w:cs="Times New Roman"/>
          <w:color w:val="000000"/>
        </w:rPr>
        <w:footnoteReference w:id="44"/>
      </w:r>
      <w:r w:rsidRPr="00236010">
        <w:rPr>
          <w:rFonts w:ascii="Times New Roman" w:eastAsia="Times New Roman" w:hAnsi="Times New Roman" w:cs="Times New Roman"/>
          <w:color w:val="000000"/>
        </w:rPr>
        <w:t xml:space="preserve">, si realizza per mezzo di un «praktische </w:t>
      </w:r>
      <w:r w:rsidRPr="00236010">
        <w:rPr>
          <w:rFonts w:ascii="Times New Roman" w:eastAsia="Times New Roman" w:hAnsi="Times New Roman" w:cs="Times New Roman"/>
          <w:color w:val="000000"/>
          <w:lang w:val="de-DE"/>
        </w:rPr>
        <w:t>Annährung»</w:t>
      </w:r>
      <w:r w:rsidRPr="00236010">
        <w:rPr>
          <w:rStyle w:val="Rimandonotaapidipagina"/>
          <w:rFonts w:ascii="Times New Roman" w:eastAsia="Times New Roman" w:hAnsi="Times New Roman" w:cs="Times New Roman"/>
          <w:color w:val="000000"/>
          <w:lang w:val="de-DE"/>
        </w:rPr>
        <w:footnoteReference w:id="45"/>
      </w:r>
      <w:r w:rsidRPr="00236010">
        <w:rPr>
          <w:rFonts w:ascii="Times New Roman" w:eastAsia="Times New Roman" w:hAnsi="Times New Roman" w:cs="Times New Roman"/>
          <w:color w:val="000000"/>
        </w:rPr>
        <w:t xml:space="preserve"> dell’oggetto da parte del soggetto. In questo contesto, approssimarsi (</w:t>
      </w:r>
      <w:r w:rsidRPr="002F7028">
        <w:rPr>
          <w:rFonts w:ascii="Times New Roman" w:eastAsia="Times New Roman" w:hAnsi="Times New Roman" w:cs="Times New Roman"/>
          <w:i/>
          <w:color w:val="000000"/>
          <w:lang w:val="de-DE"/>
        </w:rPr>
        <w:t>Annährung</w:t>
      </w:r>
      <w:r w:rsidRPr="00236010">
        <w:rPr>
          <w:rFonts w:ascii="Times New Roman" w:eastAsia="Times New Roman" w:hAnsi="Times New Roman" w:cs="Times New Roman"/>
          <w:color w:val="000000"/>
        </w:rPr>
        <w:t xml:space="preserve">) significa togliere </w:t>
      </w:r>
      <w:r w:rsidRPr="00236010">
        <w:rPr>
          <w:rFonts w:ascii="Times New Roman" w:eastAsia="Times New Roman" w:hAnsi="Times New Roman" w:cs="Times New Roman"/>
          <w:i/>
          <w:color w:val="000000"/>
        </w:rPr>
        <w:t>gradualmente</w:t>
      </w:r>
      <w:r w:rsidRPr="00236010">
        <w:rPr>
          <w:rFonts w:ascii="Times New Roman" w:eastAsia="Times New Roman" w:hAnsi="Times New Roman" w:cs="Times New Roman"/>
          <w:color w:val="000000"/>
        </w:rPr>
        <w:t xml:space="preserve"> la finitezza – tanto oggettiva che soggettiva – nell’Io assoluto: si darà un Dio, e con esso un’immortalità, nel momento in cui il soggetto distruggerà praticamente l’oggetto e sopprimerà con ciò la propria personalità.</w:t>
      </w:r>
      <w:r>
        <w:rPr>
          <w:rFonts w:ascii="Times New Roman" w:eastAsia="Times New Roman" w:hAnsi="Times New Roman" w:cs="Times New Roman"/>
          <w:color w:val="000000"/>
        </w:rPr>
        <w:t xml:space="preserve"> </w:t>
      </w:r>
      <w:r w:rsidRPr="00236010">
        <w:rPr>
          <w:rFonts w:ascii="Times New Roman" w:eastAsia="Times New Roman" w:hAnsi="Times New Roman" w:cs="Times New Roman"/>
          <w:color w:val="000000"/>
        </w:rPr>
        <w:t xml:space="preserve">Questa concreta attività dell’Io, che tende all’annullamento </w:t>
      </w:r>
      <w:r w:rsidRPr="00236010">
        <w:rPr>
          <w:rFonts w:ascii="Times New Roman" w:eastAsia="Times New Roman" w:hAnsi="Times New Roman" w:cs="Times New Roman"/>
          <w:i/>
          <w:color w:val="000000"/>
        </w:rPr>
        <w:t>progressivo</w:t>
      </w:r>
      <w:r w:rsidRPr="00236010">
        <w:rPr>
          <w:rFonts w:ascii="Times New Roman" w:eastAsia="Times New Roman" w:hAnsi="Times New Roman" w:cs="Times New Roman"/>
          <w:color w:val="000000"/>
        </w:rPr>
        <w:t xml:space="preserve"> della finitezza dell’oggetto e del soggetto, descrive quella tensione dell’essere morale che Schelling, nelle </w:t>
      </w:r>
      <w:r w:rsidRPr="00236010">
        <w:rPr>
          <w:rFonts w:ascii="Times New Roman" w:eastAsia="Times New Roman" w:hAnsi="Times New Roman" w:cs="Times New Roman"/>
          <w:i/>
          <w:color w:val="000000"/>
        </w:rPr>
        <w:t>Briefe über Dogmatismus e Kriticismus</w:t>
      </w:r>
      <w:r w:rsidRPr="00236010">
        <w:rPr>
          <w:rFonts w:ascii="Times New Roman" w:eastAsia="Times New Roman" w:hAnsi="Times New Roman" w:cs="Times New Roman"/>
          <w:color w:val="000000"/>
        </w:rPr>
        <w:t>, condensa nella formula «Streben nach unverändlicher Selbstheit, unbedingter Freiheit, uneingeschränkter Thätigkeit. Sei! ist die höchste Foderung des Kriticismus</w:t>
      </w:r>
      <w:r w:rsidRPr="00236010">
        <w:rPr>
          <w:rFonts w:ascii="Times New Roman" w:eastAsia="Times New Roman" w:hAnsi="Times New Roman" w:cs="Times New Roman"/>
          <w:color w:val="000000"/>
          <w:lang w:val="de-DE"/>
        </w:rPr>
        <w:t>»</w:t>
      </w:r>
      <w:r w:rsidRPr="00236010">
        <w:rPr>
          <w:rStyle w:val="Rimandonotaapidipagina"/>
          <w:rFonts w:ascii="Times New Roman" w:eastAsia="Times New Roman" w:hAnsi="Times New Roman" w:cs="Times New Roman"/>
          <w:color w:val="000000"/>
          <w:lang w:val="de-DE"/>
        </w:rPr>
        <w:footnoteReference w:id="46"/>
      </w:r>
      <w:r w:rsidRPr="00236010">
        <w:rPr>
          <w:rFonts w:ascii="Times New Roman" w:eastAsia="Times New Roman" w:hAnsi="Times New Roman" w:cs="Times New Roman"/>
          <w:color w:val="000000"/>
          <w:lang w:val="de-DE"/>
        </w:rPr>
        <w:t>.</w:t>
      </w:r>
      <w:r w:rsidR="008E23DA">
        <w:rPr>
          <w:rFonts w:ascii="Times New Roman" w:eastAsia="Times New Roman" w:hAnsi="Times New Roman" w:cs="Times New Roman"/>
          <w:color w:val="000000"/>
          <w:lang w:val="de-DE"/>
        </w:rPr>
        <w:t xml:space="preserve"> </w:t>
      </w:r>
      <w:r w:rsidRPr="00E068E2">
        <w:rPr>
          <w:rFonts w:ascii="Times New Roman" w:eastAsia="Times New Roman" w:hAnsi="Times New Roman" w:cs="Times New Roman"/>
          <w:color w:val="000000"/>
        </w:rPr>
        <w:t>Differenziandosi nettamente</w:t>
      </w:r>
      <w:r w:rsidRPr="00E068E2">
        <w:rPr>
          <w:rFonts w:ascii="Times New Roman" w:eastAsia="Times New Roman" w:hAnsi="Times New Roman" w:cs="Times New Roman"/>
          <w:color w:val="000000"/>
          <w:lang w:val="de-DE"/>
        </w:rPr>
        <w:t xml:space="preserve"> da Hölderlin, </w:t>
      </w:r>
      <w:r w:rsidRPr="00E068E2">
        <w:rPr>
          <w:rFonts w:ascii="Times New Roman" w:eastAsia="Times New Roman" w:hAnsi="Times New Roman" w:cs="Times New Roman"/>
          <w:color w:val="000000"/>
        </w:rPr>
        <w:t xml:space="preserve">Schelling recupera il valore pratico della limitazione e delinea una filosofia della libertà – un tendenziale avvicinamento dell’essere morale a Dio – </w:t>
      </w:r>
      <w:r w:rsidRPr="005A2D50">
        <w:rPr>
          <w:rFonts w:ascii="Times New Roman" w:eastAsia="Times New Roman" w:hAnsi="Times New Roman" w:cs="Times New Roman"/>
          <w:color w:val="000000"/>
        </w:rPr>
        <w:t xml:space="preserve">chiaramente debitrice della lezione fichtiana. </w:t>
      </w:r>
    </w:p>
    <w:p w14:paraId="5BE04949" w14:textId="48E95C84" w:rsidR="00C478F0" w:rsidRPr="00605DD1" w:rsidRDefault="00C478F0" w:rsidP="00C478F0">
      <w:pPr>
        <w:spacing w:line="360" w:lineRule="auto"/>
        <w:ind w:firstLine="567"/>
        <w:jc w:val="both"/>
        <w:rPr>
          <w:rFonts w:ascii="Times New Roman" w:eastAsia="Times New Roman" w:hAnsi="Times New Roman" w:cs="Times New Roman"/>
          <w:color w:val="000000"/>
          <w:highlight w:val="yellow"/>
          <w:lang w:val="de-DE"/>
        </w:rPr>
      </w:pPr>
      <w:r w:rsidRPr="005A2D50">
        <w:rPr>
          <w:rFonts w:ascii="Times New Roman" w:eastAsia="Times New Roman" w:hAnsi="Times New Roman" w:cs="Times New Roman"/>
          <w:color w:val="000000"/>
        </w:rPr>
        <w:t xml:space="preserve">Chiarite le differenze fra l’interpretazione hölderliniana e schellinghiana della filosofia di Fichte, non ci resta che appurare le ragioni dell’allineamento di Hegel con la posizione teorica di Hölderlin. La presa di distanza dai </w:t>
      </w:r>
      <w:r w:rsidRPr="005A2D50">
        <w:rPr>
          <w:rFonts w:ascii="Times New Roman" w:eastAsia="Times New Roman" w:hAnsi="Times New Roman" w:cs="Times New Roman"/>
          <w:i/>
          <w:color w:val="000000"/>
        </w:rPr>
        <w:t>Grundlage der gesamten Wissenschaft</w:t>
      </w:r>
      <w:r w:rsidR="007B010A">
        <w:rPr>
          <w:rFonts w:ascii="Times New Roman" w:eastAsia="Times New Roman" w:hAnsi="Times New Roman" w:cs="Times New Roman"/>
          <w:i/>
          <w:color w:val="000000"/>
        </w:rPr>
        <w:t>s</w:t>
      </w:r>
      <w:r w:rsidRPr="005A2D50">
        <w:rPr>
          <w:rFonts w:ascii="Times New Roman" w:eastAsia="Times New Roman" w:hAnsi="Times New Roman" w:cs="Times New Roman"/>
          <w:i/>
          <w:color w:val="000000"/>
        </w:rPr>
        <w:t xml:space="preserve">lehre </w:t>
      </w:r>
      <w:r w:rsidRPr="005A2D50">
        <w:rPr>
          <w:rFonts w:ascii="Times New Roman" w:eastAsia="Times New Roman" w:hAnsi="Times New Roman" w:cs="Times New Roman"/>
          <w:color w:val="000000"/>
        </w:rPr>
        <w:t>e dalla filosofia della libertà di Schelling si struttura a partire dalle riserve avanzate da Hölderlin nei confronti del principio fichtiano di una limitazione interna dell’Assoluto.</w:t>
      </w:r>
      <w:r>
        <w:rPr>
          <w:rFonts w:ascii="Times New Roman" w:eastAsia="Times New Roman" w:hAnsi="Times New Roman" w:cs="Times New Roman"/>
          <w:color w:val="000000"/>
        </w:rPr>
        <w:t xml:space="preserve"> Ritenendo improprio utilizzare schemi relazionali finiti per descrivere la natura assoluta e incondizionata dell’Io, Hegel, che pur si definisce </w:t>
      </w:r>
      <w:r w:rsidR="0053643A">
        <w:rPr>
          <w:rFonts w:ascii="Times New Roman" w:eastAsia="Times New Roman" w:hAnsi="Times New Roman" w:cs="Times New Roman"/>
          <w:color w:val="000000"/>
        </w:rPr>
        <w:t xml:space="preserve">come </w:t>
      </w:r>
      <w:r>
        <w:rPr>
          <w:rFonts w:ascii="Times New Roman" w:eastAsia="Times New Roman" w:hAnsi="Times New Roman" w:cs="Times New Roman"/>
          <w:color w:val="000000"/>
        </w:rPr>
        <w:t>un «</w:t>
      </w:r>
      <w:r w:rsidRPr="00371B81">
        <w:rPr>
          <w:rFonts w:ascii="Times New Roman" w:eastAsia="Times New Roman" w:hAnsi="Times New Roman" w:cs="Times New Roman"/>
          <w:color w:val="000000"/>
        </w:rPr>
        <w:t>Lehrling» che «</w:t>
      </w:r>
      <w:r>
        <w:rPr>
          <w:rFonts w:ascii="Times New Roman" w:eastAsia="Times New Roman" w:hAnsi="Times New Roman" w:cs="Times New Roman"/>
          <w:color w:val="000000"/>
        </w:rPr>
        <w:t>versuche es, Fichtes Grundlage zu studieren</w:t>
      </w:r>
      <w:r w:rsidRPr="000F380A">
        <w:rPr>
          <w:rFonts w:ascii="Times New Roman" w:eastAsia="Times New Roman" w:hAnsi="Times New Roman" w:cs="Times New Roman"/>
          <w:color w:val="000000"/>
          <w:lang w:val="de-DE"/>
        </w:rPr>
        <w:t>»</w:t>
      </w:r>
      <w:r>
        <w:rPr>
          <w:rStyle w:val="Rimandonotaapidipagina"/>
          <w:rFonts w:ascii="Times New Roman" w:eastAsia="Times New Roman" w:hAnsi="Times New Roman" w:cs="Times New Roman"/>
          <w:color w:val="000000"/>
        </w:rPr>
        <w:footnoteReference w:id="47"/>
      </w:r>
      <w:r>
        <w:rPr>
          <w:rFonts w:ascii="Times New Roman" w:eastAsia="Times New Roman" w:hAnsi="Times New Roman" w:cs="Times New Roman"/>
          <w:color w:val="000000"/>
        </w:rPr>
        <w:t xml:space="preserve"> , scrive </w:t>
      </w:r>
      <w:r w:rsidR="00A43A13">
        <w:rPr>
          <w:rFonts w:ascii="Times New Roman" w:eastAsia="Times New Roman" w:hAnsi="Times New Roman" w:cs="Times New Roman"/>
          <w:color w:val="000000"/>
        </w:rPr>
        <w:t xml:space="preserve">il 30 Agosto 1795 </w:t>
      </w:r>
      <w:r>
        <w:rPr>
          <w:rFonts w:ascii="Times New Roman" w:eastAsia="Times New Roman" w:hAnsi="Times New Roman" w:cs="Times New Roman"/>
          <w:color w:val="000000"/>
        </w:rPr>
        <w:t>a Schelling:</w:t>
      </w:r>
    </w:p>
    <w:p w14:paraId="4668696F" w14:textId="77777777" w:rsidR="00C478F0" w:rsidRDefault="00C478F0" w:rsidP="00C478F0">
      <w:pPr>
        <w:spacing w:line="360" w:lineRule="auto"/>
        <w:ind w:firstLine="567"/>
        <w:jc w:val="both"/>
        <w:rPr>
          <w:rFonts w:ascii="Times New Roman" w:eastAsia="Times New Roman" w:hAnsi="Times New Roman" w:cs="Times New Roman"/>
          <w:color w:val="000000"/>
        </w:rPr>
      </w:pPr>
    </w:p>
    <w:p w14:paraId="2EA1A117" w14:textId="7AB1EF2C" w:rsidR="00C478F0" w:rsidRDefault="00C478F0" w:rsidP="00C478F0">
      <w:pPr>
        <w:spacing w:line="360" w:lineRule="auto"/>
        <w:ind w:left="567" w:firstLine="567"/>
        <w:jc w:val="both"/>
        <w:rPr>
          <w:rFonts w:ascii="Times New Roman" w:eastAsia="Times New Roman" w:hAnsi="Times New Roman" w:cs="Times New Roman"/>
          <w:color w:val="000000"/>
          <w:sz w:val="20"/>
          <w:szCs w:val="20"/>
          <w:lang w:val="de-DE"/>
        </w:rPr>
      </w:pPr>
      <w:r w:rsidRPr="005C2876">
        <w:rPr>
          <w:rFonts w:ascii="Times New Roman" w:eastAsia="Times New Roman" w:hAnsi="Times New Roman" w:cs="Times New Roman"/>
          <w:color w:val="000000"/>
          <w:sz w:val="20"/>
          <w:szCs w:val="20"/>
          <w:lang w:val="de-DE"/>
        </w:rPr>
        <w:t xml:space="preserve">«§12 Deiner Schrift legst du dem Ich das Attribut als einziger Substanz bei; wenn Substanz und Akzidenz Wechselbegriffe sind, so scheint mir, wäre der Begriff von Substanz nicht auf das absolute Ich anzuwenden; wohl auf das empirische Ich, wie es im Selbstbewußtsein </w:t>
      </w:r>
      <w:r w:rsidR="0053643A" w:rsidRPr="005C2876">
        <w:rPr>
          <w:rFonts w:ascii="Times New Roman" w:eastAsia="Times New Roman" w:hAnsi="Times New Roman" w:cs="Times New Roman"/>
          <w:color w:val="000000"/>
          <w:sz w:val="20"/>
          <w:szCs w:val="20"/>
          <w:lang w:val="de-DE"/>
        </w:rPr>
        <w:t>vorkommt</w:t>
      </w:r>
      <w:r w:rsidRPr="005C2876">
        <w:rPr>
          <w:rFonts w:ascii="Times New Roman" w:eastAsia="Times New Roman" w:hAnsi="Times New Roman" w:cs="Times New Roman"/>
          <w:color w:val="000000"/>
          <w:sz w:val="20"/>
          <w:szCs w:val="20"/>
          <w:lang w:val="de-DE"/>
        </w:rPr>
        <w:t xml:space="preserve"> Daß Du aber von diesem (</w:t>
      </w:r>
      <w:r w:rsidRPr="005C2876">
        <w:rPr>
          <w:rFonts w:ascii="Times New Roman" w:hAnsi="Times New Roman"/>
          <w:sz w:val="20"/>
          <w:szCs w:val="20"/>
          <w:lang w:val="de-DE"/>
        </w:rPr>
        <w:t>die h</w:t>
      </w:r>
      <w:r w:rsidRPr="005C2876">
        <w:rPr>
          <w:rFonts w:ascii="Times New Roman" w:hAnsi="Times New Roman" w:cs="Times New Roman"/>
          <w:sz w:val="20"/>
          <w:szCs w:val="20"/>
          <w:lang w:val="de-DE"/>
        </w:rPr>
        <w:t>ö</w:t>
      </w:r>
      <w:r w:rsidRPr="005C2876">
        <w:rPr>
          <w:rFonts w:ascii="Times New Roman" w:hAnsi="Times New Roman"/>
          <w:sz w:val="20"/>
          <w:szCs w:val="20"/>
          <w:lang w:val="de-DE"/>
        </w:rPr>
        <w:t>chste Thesis und Antithesis vereinigenden) Ich nicht sprechest, machte mich der vorhergehende § glauben, wo Du dem Ich Unteilbarkeit zuschreibst, welches Pr</w:t>
      </w:r>
      <w:r w:rsidRPr="005C2876">
        <w:rPr>
          <w:rFonts w:ascii="Times New Roman" w:hAnsi="Times New Roman" w:cs="Times New Roman"/>
          <w:sz w:val="20"/>
          <w:szCs w:val="20"/>
          <w:lang w:val="de-DE"/>
        </w:rPr>
        <w:t>ä</w:t>
      </w:r>
      <w:r w:rsidRPr="005C2876">
        <w:rPr>
          <w:rFonts w:ascii="Times New Roman" w:hAnsi="Times New Roman"/>
          <w:sz w:val="20"/>
          <w:szCs w:val="20"/>
          <w:lang w:val="de-DE"/>
        </w:rPr>
        <w:t xml:space="preserve">dikat nur dem absoluten, nicht dem Ich, wie es im </w:t>
      </w:r>
      <w:r w:rsidRPr="005C2876">
        <w:rPr>
          <w:rFonts w:ascii="Times New Roman" w:eastAsia="Times New Roman" w:hAnsi="Times New Roman" w:cs="Times New Roman"/>
          <w:color w:val="000000"/>
          <w:sz w:val="20"/>
          <w:szCs w:val="20"/>
          <w:lang w:val="de-DE"/>
        </w:rPr>
        <w:t>Selbstbewußtsein vorkommt, beizulegen wäre, in welchen es nur als Teil seiner Realität sich setzend vorkommt»</w:t>
      </w:r>
      <w:r w:rsidRPr="005C2876">
        <w:rPr>
          <w:rStyle w:val="Rimandonotaapidipagina"/>
          <w:rFonts w:ascii="Times New Roman" w:eastAsia="Times New Roman" w:hAnsi="Times New Roman" w:cs="Times New Roman"/>
          <w:color w:val="000000"/>
          <w:sz w:val="20"/>
          <w:szCs w:val="20"/>
          <w:lang w:val="de-DE"/>
        </w:rPr>
        <w:footnoteReference w:id="48"/>
      </w:r>
      <w:r>
        <w:rPr>
          <w:rFonts w:ascii="Times New Roman" w:eastAsia="Times New Roman" w:hAnsi="Times New Roman" w:cs="Times New Roman"/>
          <w:color w:val="000000"/>
          <w:sz w:val="20"/>
          <w:szCs w:val="20"/>
          <w:lang w:val="de-DE"/>
        </w:rPr>
        <w:t>.</w:t>
      </w:r>
    </w:p>
    <w:p w14:paraId="09ADBA10" w14:textId="77777777" w:rsidR="00C478F0" w:rsidRPr="00530725" w:rsidRDefault="00C478F0" w:rsidP="00C478F0">
      <w:pPr>
        <w:spacing w:line="360" w:lineRule="auto"/>
        <w:ind w:firstLine="567"/>
        <w:jc w:val="both"/>
        <w:rPr>
          <w:rFonts w:ascii="Times New Roman" w:eastAsia="Times New Roman" w:hAnsi="Times New Roman" w:cs="Times New Roman"/>
          <w:color w:val="000000"/>
          <w:lang w:val="de-DE"/>
        </w:rPr>
      </w:pPr>
    </w:p>
    <w:p w14:paraId="68C7AEF5" w14:textId="0E336755" w:rsidR="00C478F0" w:rsidRDefault="0053643A" w:rsidP="00C478F0">
      <w:pPr>
        <w:spacing w:line="360" w:lineRule="auto"/>
        <w:ind w:firstLine="567"/>
        <w:jc w:val="both"/>
        <w:rPr>
          <w:rFonts w:ascii="Times New Roman" w:eastAsia="Times New Roman" w:hAnsi="Times New Roman" w:cs="Times New Roman"/>
          <w:color w:val="000000"/>
        </w:rPr>
      </w:pPr>
      <w:r w:rsidRPr="0049045C">
        <w:rPr>
          <w:rFonts w:ascii="Times New Roman" w:eastAsia="Times New Roman" w:hAnsi="Times New Roman" w:cs="Times New Roman"/>
          <w:color w:val="000000"/>
        </w:rPr>
        <w:t xml:space="preserve">Secondo Hegel, </w:t>
      </w:r>
      <w:r w:rsidR="00222D22" w:rsidRPr="0049045C">
        <w:rPr>
          <w:rFonts w:ascii="Times New Roman" w:eastAsia="Times New Roman" w:hAnsi="Times New Roman" w:cs="Times New Roman"/>
          <w:color w:val="000000"/>
        </w:rPr>
        <w:t xml:space="preserve">la coppia </w:t>
      </w:r>
      <w:r w:rsidR="00371B81" w:rsidRPr="0049045C">
        <w:rPr>
          <w:rFonts w:ascii="Times New Roman" w:eastAsia="Times New Roman" w:hAnsi="Times New Roman" w:cs="Times New Roman"/>
          <w:color w:val="000000"/>
        </w:rPr>
        <w:t>“</w:t>
      </w:r>
      <w:r w:rsidRPr="0049045C">
        <w:rPr>
          <w:rFonts w:ascii="Times New Roman" w:eastAsia="Times New Roman" w:hAnsi="Times New Roman" w:cs="Times New Roman"/>
          <w:color w:val="000000"/>
        </w:rPr>
        <w:t>sostanza</w:t>
      </w:r>
      <w:r w:rsidR="00222D22" w:rsidRPr="0049045C">
        <w:rPr>
          <w:rFonts w:ascii="Times New Roman" w:eastAsia="Times New Roman" w:hAnsi="Times New Roman" w:cs="Times New Roman"/>
          <w:color w:val="000000"/>
        </w:rPr>
        <w:t>-accidenti</w:t>
      </w:r>
      <w:r w:rsidR="00371B81" w:rsidRPr="0049045C">
        <w:rPr>
          <w:rFonts w:ascii="Times New Roman" w:eastAsia="Times New Roman" w:hAnsi="Times New Roman" w:cs="Times New Roman"/>
          <w:color w:val="000000"/>
        </w:rPr>
        <w:t>”</w:t>
      </w:r>
      <w:r w:rsidR="00C478F0" w:rsidRPr="0049045C">
        <w:rPr>
          <w:rFonts w:ascii="Times New Roman" w:eastAsia="Times New Roman" w:hAnsi="Times New Roman" w:cs="Times New Roman"/>
          <w:color w:val="000000"/>
        </w:rPr>
        <w:t xml:space="preserve"> mina l’indivisibilità dell’Io per almeno due motivi:</w:t>
      </w:r>
      <w:r w:rsidR="00C478F0" w:rsidRPr="00371B81">
        <w:rPr>
          <w:rFonts w:ascii="Times New Roman" w:eastAsia="Times New Roman" w:hAnsi="Times New Roman" w:cs="Times New Roman"/>
          <w:color w:val="000000"/>
        </w:rPr>
        <w:t xml:space="preserve"> 1. se sostanza e accidenti sono due concetti che non possono fare a meno l’uno dell’altro per definirsi </w:t>
      </w:r>
      <w:r w:rsidR="00C478F0" w:rsidRPr="00371B81">
        <w:rPr>
          <w:rFonts w:ascii="Times New Roman" w:eastAsia="Times New Roman" w:hAnsi="Times New Roman" w:cs="Times New Roman"/>
          <w:i/>
          <w:color w:val="000000"/>
        </w:rPr>
        <w:t xml:space="preserve">reciprocamente </w:t>
      </w:r>
      <w:r w:rsidR="00C478F0" w:rsidRPr="00371B81">
        <w:rPr>
          <w:rFonts w:ascii="Times New Roman" w:eastAsia="Times New Roman" w:hAnsi="Times New Roman" w:cs="Times New Roman"/>
          <w:color w:val="000000"/>
        </w:rPr>
        <w:t>(</w:t>
      </w:r>
      <w:r w:rsidR="00C478F0" w:rsidRPr="00371B81">
        <w:rPr>
          <w:rFonts w:ascii="Times New Roman" w:eastAsia="Times New Roman" w:hAnsi="Times New Roman" w:cs="Times New Roman"/>
          <w:i/>
          <w:color w:val="000000"/>
          <w:lang w:val="de-DE"/>
        </w:rPr>
        <w:t>Wechselbegriffe</w:t>
      </w:r>
      <w:r w:rsidR="00C478F0">
        <w:rPr>
          <w:rFonts w:ascii="Times New Roman" w:eastAsia="Times New Roman" w:hAnsi="Times New Roman" w:cs="Times New Roman"/>
          <w:color w:val="000000"/>
        </w:rPr>
        <w:t xml:space="preserve">), allora l’Io trova la condizione del proprio essere non più in sé, ma nell’altro da sé, negli accidenti; 2. questa struttura relazionale, in cui gli estremi si condizionano vicendevolmente, introduce delle distinzioni e delle </w:t>
      </w:r>
      <w:r w:rsidR="00C478F0" w:rsidRPr="00371B81">
        <w:rPr>
          <w:rFonts w:ascii="Times New Roman" w:eastAsia="Times New Roman" w:hAnsi="Times New Roman" w:cs="Times New Roman"/>
          <w:color w:val="000000"/>
        </w:rPr>
        <w:t>limitazioni in quel principio che dovrebbe riunificare in sé la «</w:t>
      </w:r>
      <w:r w:rsidR="00C478F0" w:rsidRPr="00371B81">
        <w:rPr>
          <w:rFonts w:ascii="Times New Roman" w:hAnsi="Times New Roman"/>
        </w:rPr>
        <w:t>h</w:t>
      </w:r>
      <w:r w:rsidR="00C478F0" w:rsidRPr="00371B81">
        <w:rPr>
          <w:rFonts w:ascii="Times New Roman" w:hAnsi="Times New Roman" w:cs="Times New Roman"/>
        </w:rPr>
        <w:t>ö</w:t>
      </w:r>
      <w:r w:rsidR="00C478F0" w:rsidRPr="00371B81">
        <w:rPr>
          <w:rFonts w:ascii="Times New Roman" w:hAnsi="Times New Roman"/>
        </w:rPr>
        <w:t>chste Thesis und Antithesis</w:t>
      </w:r>
      <w:r w:rsidR="00C478F0" w:rsidRPr="00371B81">
        <w:rPr>
          <w:rFonts w:ascii="Times New Roman" w:eastAsia="Times New Roman" w:hAnsi="Times New Roman" w:cs="Times New Roman"/>
          <w:color w:val="000000"/>
        </w:rPr>
        <w:t xml:space="preserve">». È come se Hegel rimproverasse a Schelling d’introdurre una divisibilità in seno a un principio che, proprio perché irriducibile all’autocoscienza empirica, non </w:t>
      </w:r>
      <w:r w:rsidRPr="00371B81">
        <w:rPr>
          <w:rFonts w:ascii="Times New Roman" w:eastAsia="Times New Roman" w:hAnsi="Times New Roman" w:cs="Times New Roman"/>
          <w:color w:val="000000"/>
        </w:rPr>
        <w:t>può contenere in sé</w:t>
      </w:r>
      <w:r w:rsidR="00371B81" w:rsidRPr="00371B81">
        <w:rPr>
          <w:rFonts w:ascii="Times New Roman" w:eastAsia="Times New Roman" w:hAnsi="Times New Roman" w:cs="Times New Roman"/>
          <w:color w:val="000000"/>
        </w:rPr>
        <w:t xml:space="preserve"> limitazione alcuna</w:t>
      </w:r>
      <w:r w:rsidR="00C478F0" w:rsidRPr="00371B81">
        <w:rPr>
          <w:rFonts w:ascii="Times New Roman" w:eastAsia="Times New Roman" w:hAnsi="Times New Roman" w:cs="Times New Roman"/>
          <w:color w:val="000000"/>
        </w:rPr>
        <w:t>.</w:t>
      </w:r>
      <w:r w:rsidR="00C478F0">
        <w:rPr>
          <w:rFonts w:ascii="Times New Roman" w:eastAsia="Times New Roman" w:hAnsi="Times New Roman" w:cs="Times New Roman"/>
          <w:color w:val="000000"/>
        </w:rPr>
        <w:t xml:space="preserve"> La relazione fra sostanza e accidenti, fra autocoscienza e mondo, è macchiata dalla finitezza e dalla parzialità: non vi è nessuna ragione sufficiente che permetta d’introdurre uno schema relazionale finito in una struttura ontologica infinita (l’Io assoluto). </w:t>
      </w:r>
      <w:r w:rsidR="00C478F0" w:rsidRPr="004C7F42">
        <w:rPr>
          <w:rFonts w:ascii="Times New Roman" w:eastAsia="Times New Roman" w:hAnsi="Times New Roman" w:cs="Times New Roman"/>
          <w:color w:val="000000"/>
        </w:rPr>
        <w:t xml:space="preserve">Se si volesse seguire </w:t>
      </w:r>
      <w:r w:rsidR="00C478F0">
        <w:rPr>
          <w:rFonts w:ascii="Times New Roman" w:eastAsia="Times New Roman" w:hAnsi="Times New Roman" w:cs="Times New Roman"/>
          <w:color w:val="000000"/>
        </w:rPr>
        <w:t xml:space="preserve">fino in fondo </w:t>
      </w:r>
      <w:r w:rsidR="00C478F0" w:rsidRPr="004C7F42">
        <w:rPr>
          <w:rFonts w:ascii="Times New Roman" w:eastAsia="Times New Roman" w:hAnsi="Times New Roman" w:cs="Times New Roman"/>
          <w:color w:val="000000"/>
        </w:rPr>
        <w:t>quanto sostenuto da Schelling nel</w:t>
      </w:r>
      <w:r w:rsidR="00C478F0">
        <w:rPr>
          <w:rFonts w:ascii="Times New Roman" w:eastAsia="Times New Roman" w:hAnsi="Times New Roman" w:cs="Times New Roman"/>
          <w:color w:val="000000"/>
        </w:rPr>
        <w:t xml:space="preserve"> </w:t>
      </w:r>
      <w:r w:rsidR="00C478F0" w:rsidRPr="004C7F42">
        <w:rPr>
          <w:rFonts w:ascii="Times New Roman" w:eastAsia="Times New Roman" w:hAnsi="Times New Roman" w:cs="Times New Roman"/>
          <w:i/>
          <w:color w:val="000000"/>
        </w:rPr>
        <w:t>Vom Ich</w:t>
      </w:r>
      <w:r w:rsidR="00C478F0" w:rsidRPr="004C7F42">
        <w:rPr>
          <w:rFonts w:ascii="Times New Roman" w:eastAsia="Times New Roman" w:hAnsi="Times New Roman" w:cs="Times New Roman"/>
          <w:color w:val="000000"/>
        </w:rPr>
        <w:t xml:space="preserve">, non si potrebbe ammettere senza contraddirsi – ecco qui la ripresa di Hölderlin – la limitazione dell’Io da parte di un oggetto altro dall’Io stesso, poiché </w:t>
      </w:r>
      <w:r w:rsidR="00C478F0">
        <w:rPr>
          <w:rFonts w:ascii="Times New Roman" w:eastAsia="Times New Roman" w:hAnsi="Times New Roman" w:cs="Times New Roman"/>
          <w:color w:val="000000"/>
        </w:rPr>
        <w:t xml:space="preserve">la relazione di sostanzialità </w:t>
      </w:r>
      <w:r w:rsidR="00C478F0" w:rsidRPr="004C7F42">
        <w:rPr>
          <w:rFonts w:ascii="Times New Roman" w:eastAsia="Times New Roman" w:hAnsi="Times New Roman" w:cs="Times New Roman"/>
          <w:color w:val="000000"/>
        </w:rPr>
        <w:t xml:space="preserve">esula da un principio assoluto in cui </w:t>
      </w:r>
      <w:r w:rsidR="00C478F0">
        <w:rPr>
          <w:rFonts w:ascii="Times New Roman" w:eastAsia="Times New Roman" w:hAnsi="Times New Roman" w:cs="Times New Roman"/>
          <w:color w:val="000000"/>
        </w:rPr>
        <w:t xml:space="preserve">deve venir meno </w:t>
      </w:r>
      <w:r w:rsidR="00C478F0" w:rsidRPr="004C7F42">
        <w:rPr>
          <w:rFonts w:ascii="Times New Roman" w:eastAsia="Times New Roman" w:hAnsi="Times New Roman" w:cs="Times New Roman"/>
          <w:color w:val="000000"/>
        </w:rPr>
        <w:t xml:space="preserve">– per ragioni inerenti alla natura </w:t>
      </w:r>
      <w:r>
        <w:rPr>
          <w:rFonts w:ascii="Times New Roman" w:eastAsia="Times New Roman" w:hAnsi="Times New Roman" w:cs="Times New Roman"/>
          <w:color w:val="000000"/>
        </w:rPr>
        <w:t xml:space="preserve">stessa del principio – l’essere per sé </w:t>
      </w:r>
      <w:r w:rsidR="00C478F0" w:rsidRPr="004C7F42">
        <w:rPr>
          <w:rFonts w:ascii="Times New Roman" w:eastAsia="Times New Roman" w:hAnsi="Times New Roman" w:cs="Times New Roman"/>
          <w:color w:val="000000"/>
        </w:rPr>
        <w:t>dell’altro da sé.</w:t>
      </w:r>
      <w:r w:rsidR="00C478F0">
        <w:rPr>
          <w:rFonts w:ascii="Times New Roman" w:eastAsia="Times New Roman" w:hAnsi="Times New Roman" w:cs="Times New Roman"/>
          <w:color w:val="000000"/>
        </w:rPr>
        <w:t xml:space="preserve"> </w:t>
      </w:r>
    </w:p>
    <w:p w14:paraId="4F8FE138" w14:textId="36FA34C9" w:rsidR="00C478F0" w:rsidRPr="007F1464" w:rsidRDefault="00C478F0" w:rsidP="00C478F0">
      <w:pPr>
        <w:spacing w:line="360" w:lineRule="auto"/>
        <w:ind w:firstLine="567"/>
        <w:jc w:val="both"/>
        <w:rPr>
          <w:rFonts w:ascii="Times New Roman" w:eastAsia="Times New Roman" w:hAnsi="Times New Roman" w:cs="Times New Roman"/>
          <w:color w:val="000000"/>
        </w:rPr>
      </w:pPr>
      <w:r w:rsidRPr="00B244FE">
        <w:rPr>
          <w:rFonts w:ascii="Times New Roman" w:eastAsia="Times New Roman" w:hAnsi="Times New Roman" w:cs="Times New Roman"/>
          <w:color w:val="000000"/>
        </w:rPr>
        <w:t xml:space="preserve">L’impossibilità di definire </w:t>
      </w:r>
      <w:r w:rsidRPr="00B244FE">
        <w:rPr>
          <w:rFonts w:ascii="Times New Roman" w:eastAsia="Times New Roman" w:hAnsi="Times New Roman" w:cs="Times New Roman"/>
          <w:i/>
          <w:color w:val="000000"/>
        </w:rPr>
        <w:t>positivamente</w:t>
      </w:r>
      <w:r w:rsidRPr="00B244FE">
        <w:rPr>
          <w:rFonts w:ascii="Times New Roman" w:eastAsia="Times New Roman" w:hAnsi="Times New Roman" w:cs="Times New Roman"/>
          <w:color w:val="000000"/>
        </w:rPr>
        <w:t xml:space="preserve"> la relazione fra Incondizionato e condizionato rappresenta il nervo scoperto della filosofia fichtiana – </w:t>
      </w:r>
      <w:r w:rsidR="0049114E" w:rsidRPr="00B244FE">
        <w:rPr>
          <w:rFonts w:ascii="Times New Roman" w:eastAsia="Times New Roman" w:hAnsi="Times New Roman" w:cs="Times New Roman"/>
          <w:color w:val="000000"/>
        </w:rPr>
        <w:t>già sottolineato da Hölderlin – a</w:t>
      </w:r>
      <w:r w:rsidRPr="00B244FE">
        <w:rPr>
          <w:rFonts w:ascii="Times New Roman" w:eastAsia="Times New Roman" w:hAnsi="Times New Roman" w:cs="Times New Roman"/>
          <w:color w:val="000000"/>
        </w:rPr>
        <w:t xml:space="preserve"> cui Hegel </w:t>
      </w:r>
      <w:r w:rsidR="0049114E" w:rsidRPr="00B244FE">
        <w:rPr>
          <w:rFonts w:ascii="Times New Roman" w:eastAsia="Times New Roman" w:hAnsi="Times New Roman" w:cs="Times New Roman"/>
          <w:color w:val="000000"/>
        </w:rPr>
        <w:t xml:space="preserve">dedicherà alcune pagine decisive della produzione </w:t>
      </w:r>
      <w:r w:rsidRPr="00B244FE">
        <w:rPr>
          <w:rFonts w:ascii="Times New Roman" w:eastAsia="Times New Roman" w:hAnsi="Times New Roman" w:cs="Times New Roman"/>
          <w:color w:val="000000"/>
        </w:rPr>
        <w:t>bernese. Mosso da un vivo interesse per i bisogni subordinati degli uomini</w:t>
      </w:r>
      <w:r w:rsidRPr="00B244FE">
        <w:rPr>
          <w:rFonts w:ascii="Times New Roman" w:eastAsia="Times New Roman" w:hAnsi="Times New Roman" w:cs="Times New Roman"/>
          <w:color w:val="000000"/>
          <w:lang w:val="de-DE"/>
        </w:rPr>
        <w:t>,</w:t>
      </w:r>
      <w:r w:rsidRPr="00B244FE">
        <w:rPr>
          <w:rFonts w:ascii="Times New Roman" w:eastAsia="Times New Roman" w:hAnsi="Times New Roman" w:cs="Times New Roman"/>
          <w:color w:val="000000"/>
        </w:rPr>
        <w:t xml:space="preserve"> Hegel si dedica alla</w:t>
      </w:r>
      <w:r w:rsidRPr="007F1464">
        <w:rPr>
          <w:rFonts w:ascii="Times New Roman" w:eastAsia="Times New Roman" w:hAnsi="Times New Roman" w:cs="Times New Roman"/>
          <w:color w:val="000000"/>
        </w:rPr>
        <w:t xml:space="preserve"> ricostruzione dei processi storici alla base di quella frattura fra </w:t>
      </w:r>
      <w:r>
        <w:rPr>
          <w:rFonts w:ascii="Times New Roman" w:eastAsia="Times New Roman" w:hAnsi="Times New Roman" w:cs="Times New Roman"/>
          <w:color w:val="000000"/>
        </w:rPr>
        <w:t xml:space="preserve">infinito </w:t>
      </w:r>
      <w:r w:rsidRPr="007F1464">
        <w:rPr>
          <w:rFonts w:ascii="Times New Roman" w:eastAsia="Times New Roman" w:hAnsi="Times New Roman" w:cs="Times New Roman"/>
          <w:color w:val="000000"/>
        </w:rPr>
        <w:t xml:space="preserve">e </w:t>
      </w:r>
      <w:r>
        <w:rPr>
          <w:rFonts w:ascii="Times New Roman" w:eastAsia="Times New Roman" w:hAnsi="Times New Roman" w:cs="Times New Roman"/>
          <w:color w:val="000000"/>
        </w:rPr>
        <w:t xml:space="preserve">finito </w:t>
      </w:r>
      <w:r w:rsidRPr="007F1464">
        <w:rPr>
          <w:rFonts w:ascii="Times New Roman" w:eastAsia="Times New Roman" w:hAnsi="Times New Roman" w:cs="Times New Roman"/>
          <w:color w:val="000000"/>
        </w:rPr>
        <w:t>caratteristica della filosofia tedesca post-kantiana. In un celebre frammento del periodo bernese, dedicato alla distinzione fra la religione greca e cristiana</w:t>
      </w:r>
      <w:r w:rsidRPr="007F1464">
        <w:rPr>
          <w:rStyle w:val="Rimandonotaapidipagina"/>
          <w:rFonts w:ascii="Times New Roman" w:eastAsia="Times New Roman" w:hAnsi="Times New Roman" w:cs="Times New Roman"/>
          <w:color w:val="000000"/>
        </w:rPr>
        <w:footnoteReference w:id="49"/>
      </w:r>
      <w:r w:rsidRPr="007F1464">
        <w:rPr>
          <w:rFonts w:ascii="Times New Roman" w:eastAsia="Times New Roman" w:hAnsi="Times New Roman" w:cs="Times New Roman"/>
          <w:color w:val="000000"/>
        </w:rPr>
        <w:t>, Hegel s’interroga sul modo in cui un periodo storico percepisce le trasformazioni spirituali delle quali è protagonista e testimone:</w:t>
      </w:r>
    </w:p>
    <w:p w14:paraId="5DBFF09E" w14:textId="77777777" w:rsidR="00C478F0" w:rsidRDefault="00C478F0" w:rsidP="00C478F0">
      <w:pPr>
        <w:spacing w:line="360" w:lineRule="auto"/>
        <w:ind w:firstLine="567"/>
        <w:jc w:val="both"/>
        <w:rPr>
          <w:rFonts w:ascii="Times New Roman" w:eastAsia="Times New Roman" w:hAnsi="Times New Roman" w:cs="Times New Roman"/>
          <w:color w:val="000000"/>
        </w:rPr>
      </w:pPr>
    </w:p>
    <w:p w14:paraId="277EBDFC" w14:textId="3F8D44E3" w:rsidR="00C478F0" w:rsidRDefault="00C478F0" w:rsidP="00C478F0">
      <w:pPr>
        <w:spacing w:line="360" w:lineRule="auto"/>
        <w:ind w:left="567" w:firstLine="567"/>
        <w:jc w:val="both"/>
        <w:rPr>
          <w:rFonts w:ascii="Times New Roman" w:hAnsi="Times New Roman" w:cs="Times New Roman"/>
          <w:sz w:val="20"/>
          <w:szCs w:val="20"/>
          <w:lang w:val="de-DE"/>
        </w:rPr>
      </w:pPr>
      <w:r w:rsidRPr="000429F9">
        <w:rPr>
          <w:rFonts w:ascii="Times New Roman" w:eastAsia="Times New Roman" w:hAnsi="Times New Roman" w:cs="Times New Roman"/>
          <w:color w:val="000000"/>
          <w:sz w:val="20"/>
          <w:szCs w:val="20"/>
          <w:lang w:val="de-DE"/>
        </w:rPr>
        <w:t>«Die Verdrängung der heidnischen Religion durch die christliche ist eine von den wunderbaren Revolutionen, deren Ursachen aufzusuchen den denkenden Geschichtsforscher beschäftigen muß. Die großen, in die Augen fallenden Revolutionen muß vorher ei</w:t>
      </w:r>
      <w:r w:rsidR="00236210">
        <w:rPr>
          <w:rFonts w:ascii="Times New Roman" w:eastAsia="Times New Roman" w:hAnsi="Times New Roman" w:cs="Times New Roman"/>
          <w:color w:val="000000"/>
          <w:sz w:val="20"/>
          <w:szCs w:val="20"/>
          <w:lang w:val="de-DE"/>
        </w:rPr>
        <w:t>ne stille, geheime Revolution in</w:t>
      </w:r>
      <w:r w:rsidRPr="000429F9">
        <w:rPr>
          <w:rFonts w:ascii="Times New Roman" w:eastAsia="Times New Roman" w:hAnsi="Times New Roman" w:cs="Times New Roman"/>
          <w:color w:val="000000"/>
          <w:sz w:val="20"/>
          <w:szCs w:val="20"/>
          <w:lang w:val="de-DE"/>
        </w:rPr>
        <w:t xml:space="preserve"> dem Geist des Zeitalters vorausgegangen sein, die nicht jedem Auge sichtbar, am wenigsten für die Zeitgenossen beobachtbar und ebenso schwer mit Worten darzustellen als aufzufassen ist</w:t>
      </w:r>
      <w:r>
        <w:rPr>
          <w:rFonts w:ascii="Times New Roman" w:eastAsia="Times New Roman" w:hAnsi="Times New Roman" w:cs="Times New Roman"/>
          <w:color w:val="000000"/>
          <w:sz w:val="20"/>
          <w:szCs w:val="20"/>
          <w:lang w:val="de-DE"/>
        </w:rPr>
        <w:t xml:space="preserve"> […] Eine solche Revolution, die sich unmittelbar im Geistreiche zuträgt, muß um so unmittelbar in dem Geiste der Zeit selbst ihre Ursachen finden</w:t>
      </w:r>
      <w:r w:rsidRPr="00FE626D">
        <w:rPr>
          <w:rFonts w:ascii="Times New Roman" w:eastAsia="Times New Roman" w:hAnsi="Times New Roman" w:cs="Times New Roman"/>
          <w:color w:val="000000"/>
          <w:sz w:val="20"/>
          <w:szCs w:val="20"/>
          <w:lang w:val="de-DE"/>
        </w:rPr>
        <w:t>»</w:t>
      </w:r>
      <w:r>
        <w:rPr>
          <w:rStyle w:val="Rimandonotaapidipagina"/>
          <w:rFonts w:ascii="Times New Roman" w:eastAsia="Times New Roman" w:hAnsi="Times New Roman" w:cs="Times New Roman"/>
          <w:color w:val="000000"/>
          <w:sz w:val="20"/>
          <w:szCs w:val="20"/>
          <w:lang w:val="de-DE"/>
        </w:rPr>
        <w:footnoteReference w:id="50"/>
      </w:r>
      <w:r w:rsidRPr="00FE626D">
        <w:rPr>
          <w:rFonts w:ascii="Times New Roman" w:hAnsi="Times New Roman" w:cs="Times New Roman"/>
          <w:sz w:val="20"/>
          <w:szCs w:val="20"/>
          <w:lang w:val="de-DE"/>
        </w:rPr>
        <w:t>.</w:t>
      </w:r>
    </w:p>
    <w:p w14:paraId="444B2531" w14:textId="77777777" w:rsidR="00C478F0" w:rsidRPr="008D6D80" w:rsidRDefault="00C478F0" w:rsidP="00C478F0">
      <w:pPr>
        <w:spacing w:line="360" w:lineRule="auto"/>
        <w:ind w:left="567" w:firstLine="567"/>
        <w:jc w:val="both"/>
        <w:rPr>
          <w:rFonts w:ascii="Times New Roman" w:hAnsi="Times New Roman" w:cs="Times New Roman"/>
          <w:lang w:val="de-DE"/>
        </w:rPr>
      </w:pPr>
    </w:p>
    <w:p w14:paraId="11DEAEEE" w14:textId="3577D4B8" w:rsidR="00C478F0" w:rsidRDefault="00C478F0" w:rsidP="00C478F0">
      <w:pPr>
        <w:spacing w:line="360" w:lineRule="auto"/>
        <w:ind w:firstLine="567"/>
        <w:jc w:val="both"/>
        <w:rPr>
          <w:rFonts w:ascii="Times New Roman" w:eastAsia="Times New Roman" w:hAnsi="Times New Roman" w:cs="Times New Roman"/>
          <w:color w:val="000000"/>
        </w:rPr>
      </w:pPr>
      <w:r w:rsidRPr="000B3679">
        <w:rPr>
          <w:rFonts w:ascii="Times New Roman" w:hAnsi="Times New Roman" w:cs="Times New Roman"/>
        </w:rPr>
        <w:t>La sostitu</w:t>
      </w:r>
      <w:r>
        <w:rPr>
          <w:rFonts w:ascii="Times New Roman" w:hAnsi="Times New Roman" w:cs="Times New Roman"/>
        </w:rPr>
        <w:t xml:space="preserve">zione del paganesimo da parte della religione cristiana rappresenta una delle rivoluzioni più straordinarie di cui lo storico </w:t>
      </w:r>
      <w:r w:rsidRPr="000C05EF">
        <w:rPr>
          <w:rFonts w:ascii="Times New Roman" w:hAnsi="Times New Roman" w:cs="Times New Roman"/>
          <w:highlight w:val="cyan"/>
        </w:rPr>
        <w:t>si possa interessare.</w:t>
      </w:r>
      <w:r>
        <w:rPr>
          <w:rFonts w:ascii="Times New Roman" w:hAnsi="Times New Roman" w:cs="Times New Roman"/>
        </w:rPr>
        <w:t xml:space="preserve"> Ciò che appare ad un tempo storico repentino e inaspettato – chi è testimone di un cambiamento epocale difficilmente è in grado di comprendere le dinamiche che determinano </w:t>
      </w:r>
      <w:r w:rsidRPr="00371B81">
        <w:rPr>
          <w:rFonts w:ascii="Times New Roman" w:hAnsi="Times New Roman" w:cs="Times New Roman"/>
        </w:rPr>
        <w:t>l’accadere dell’evento stesso – è il risultato di un lento e progressivo lavorio dello spirito, che matura in se stesso le cause del tramonto di un mondo e dell’avvento di una nuova figura spirituale. Per Hegel, che s’ispira chiaramente a Gibbon</w:t>
      </w:r>
      <w:r w:rsidRPr="00371B81">
        <w:rPr>
          <w:rStyle w:val="Rimandonotaapidipagina"/>
          <w:rFonts w:ascii="Times New Roman" w:hAnsi="Times New Roman" w:cs="Times New Roman"/>
        </w:rPr>
        <w:footnoteReference w:id="51"/>
      </w:r>
      <w:r w:rsidRPr="00371B81">
        <w:rPr>
          <w:rFonts w:ascii="Times New Roman" w:hAnsi="Times New Roman" w:cs="Times New Roman"/>
        </w:rPr>
        <w:t xml:space="preserve">, la religione cristiana </w:t>
      </w:r>
      <w:r w:rsidR="00C4439E" w:rsidRPr="00371B81">
        <w:rPr>
          <w:rFonts w:ascii="Times New Roman" w:hAnsi="Times New Roman" w:cs="Times New Roman"/>
        </w:rPr>
        <w:t>si diffonde</w:t>
      </w:r>
      <w:r w:rsidR="00C4439E">
        <w:rPr>
          <w:rFonts w:ascii="Times New Roman" w:hAnsi="Times New Roman" w:cs="Times New Roman"/>
        </w:rPr>
        <w:t xml:space="preserve"> </w:t>
      </w:r>
      <w:r>
        <w:rPr>
          <w:rFonts w:ascii="Times New Roman" w:hAnsi="Times New Roman" w:cs="Times New Roman"/>
        </w:rPr>
        <w:t xml:space="preserve">nella società romana a causa dell’indebolimento della spirito repubblicano: se un tempo per il cittadino </w:t>
      </w:r>
      <w:r w:rsidRPr="003D07DF">
        <w:rPr>
          <w:rFonts w:ascii="Times New Roman" w:hAnsi="Times New Roman" w:cs="Times New Roman"/>
          <w:lang w:val="de-DE"/>
        </w:rPr>
        <w:t>«die Idee seines Vaterlandes, seines Staates war das</w:t>
      </w:r>
      <w:r w:rsidR="0070489C">
        <w:rPr>
          <w:rFonts w:ascii="Times New Roman" w:hAnsi="Times New Roman" w:cs="Times New Roman"/>
          <w:lang w:val="de-DE"/>
        </w:rPr>
        <w:t xml:space="preserve"> unsichtbare, das h</w:t>
      </w:r>
      <w:r w:rsidRPr="003D07DF">
        <w:rPr>
          <w:rFonts w:ascii="Times New Roman" w:hAnsi="Times New Roman" w:cs="Times New Roman"/>
          <w:lang w:val="de-DE"/>
        </w:rPr>
        <w:t>öhere, wofür er arbeitete, das ihn trieb, dies war sein Endzweck, oder der Endzweck seiner Welt</w:t>
      </w:r>
      <w:r w:rsidRPr="003D07DF">
        <w:rPr>
          <w:rFonts w:ascii="Times New Roman" w:eastAsia="Times New Roman" w:hAnsi="Times New Roman" w:cs="Times New Roman"/>
          <w:color w:val="000000"/>
          <w:lang w:val="de-DE"/>
        </w:rPr>
        <w:t>»</w:t>
      </w:r>
      <w:r w:rsidRPr="003D07DF">
        <w:rPr>
          <w:rStyle w:val="Rimandonotaapidipagina"/>
          <w:rFonts w:ascii="Times New Roman" w:hAnsi="Times New Roman" w:cs="Times New Roman"/>
          <w:lang w:val="de-DE"/>
        </w:rPr>
        <w:footnoteReference w:id="52"/>
      </w:r>
      <w:r>
        <w:rPr>
          <w:rFonts w:ascii="Times New Roman" w:eastAsia="Times New Roman" w:hAnsi="Times New Roman" w:cs="Times New Roman"/>
          <w:color w:val="000000"/>
          <w:lang w:val="de-DE"/>
        </w:rPr>
        <w:t xml:space="preserve">, </w:t>
      </w:r>
      <w:r>
        <w:rPr>
          <w:rFonts w:ascii="Times New Roman" w:eastAsia="Times New Roman" w:hAnsi="Times New Roman" w:cs="Times New Roman"/>
          <w:color w:val="000000"/>
        </w:rPr>
        <w:t>adesso «</w:t>
      </w:r>
      <w:r w:rsidRPr="00004396">
        <w:rPr>
          <w:rFonts w:ascii="Times New Roman" w:eastAsia="Times New Roman" w:hAnsi="Times New Roman" w:cs="Times New Roman"/>
          <w:color w:val="000000"/>
          <w:lang w:val="de-DE"/>
        </w:rPr>
        <w:t>alle Tätigkeit, alle Zwecke bezogen sich jetzt auf das Individuelle; keine Tätigkeit mehr</w:t>
      </w:r>
      <w:r>
        <w:rPr>
          <w:rFonts w:ascii="Times New Roman" w:eastAsia="Times New Roman" w:hAnsi="Times New Roman" w:cs="Times New Roman"/>
          <w:color w:val="000000"/>
          <w:lang w:val="de-DE"/>
        </w:rPr>
        <w:t xml:space="preserve"> für ein Ganzes, für eine Idee </w:t>
      </w:r>
      <w:r w:rsidRPr="00004396">
        <w:rPr>
          <w:rFonts w:ascii="Times New Roman" w:eastAsia="Times New Roman" w:hAnsi="Times New Roman" w:cs="Times New Roman"/>
          <w:color w:val="000000"/>
          <w:lang w:val="de-DE"/>
        </w:rPr>
        <w:t>[…] das Recht des Burgers gab nur ein Recht auf Sicherheit des Eigenthums, das jetzt seine ganze Welt ausfüllte</w:t>
      </w:r>
      <w:r w:rsidRPr="003D07DF">
        <w:rPr>
          <w:rFonts w:ascii="Times New Roman" w:eastAsia="Times New Roman" w:hAnsi="Times New Roman" w:cs="Times New Roman"/>
          <w:color w:val="000000"/>
          <w:lang w:val="de-DE"/>
        </w:rPr>
        <w:t>»</w:t>
      </w:r>
      <w:r>
        <w:rPr>
          <w:rStyle w:val="Rimandonotaapidipagina"/>
          <w:rFonts w:ascii="Times New Roman" w:eastAsia="Times New Roman" w:hAnsi="Times New Roman" w:cs="Times New Roman"/>
          <w:color w:val="000000"/>
          <w:lang w:val="de-DE"/>
        </w:rPr>
        <w:footnoteReference w:id="53"/>
      </w:r>
      <w:r>
        <w:rPr>
          <w:rFonts w:ascii="Times New Roman" w:eastAsia="Times New Roman" w:hAnsi="Times New Roman" w:cs="Times New Roman"/>
          <w:color w:val="000000"/>
          <w:lang w:val="de-DE"/>
        </w:rPr>
        <w:t xml:space="preserve">. </w:t>
      </w:r>
      <w:r>
        <w:rPr>
          <w:rFonts w:ascii="Times New Roman" w:eastAsia="Times New Roman" w:hAnsi="Times New Roman" w:cs="Times New Roman"/>
          <w:color w:val="000000"/>
        </w:rPr>
        <w:t xml:space="preserve">A causa di guerre fortunate, </w:t>
      </w:r>
      <w:r w:rsidRPr="00B91212">
        <w:rPr>
          <w:rFonts w:ascii="Times New Roman" w:eastAsia="Times New Roman" w:hAnsi="Times New Roman" w:cs="Times New Roman"/>
          <w:color w:val="000000"/>
        </w:rPr>
        <w:t xml:space="preserve">dell’accumulazione di </w:t>
      </w:r>
      <w:r>
        <w:rPr>
          <w:rFonts w:ascii="Times New Roman" w:eastAsia="Times New Roman" w:hAnsi="Times New Roman" w:cs="Times New Roman"/>
          <w:color w:val="000000"/>
        </w:rPr>
        <w:t xml:space="preserve">grandi </w:t>
      </w:r>
      <w:r w:rsidRPr="00B91212">
        <w:rPr>
          <w:rFonts w:ascii="Times New Roman" w:eastAsia="Times New Roman" w:hAnsi="Times New Roman" w:cs="Times New Roman"/>
          <w:color w:val="000000"/>
        </w:rPr>
        <w:t>ricche</w:t>
      </w:r>
      <w:r>
        <w:rPr>
          <w:rFonts w:ascii="Times New Roman" w:eastAsia="Times New Roman" w:hAnsi="Times New Roman" w:cs="Times New Roman"/>
          <w:color w:val="000000"/>
        </w:rPr>
        <w:t>zze e di una certa comodità della vita</w:t>
      </w:r>
      <w:r>
        <w:rPr>
          <w:rStyle w:val="Rimandonotaapidipagina"/>
          <w:rFonts w:ascii="Times New Roman" w:eastAsia="Times New Roman" w:hAnsi="Times New Roman" w:cs="Times New Roman"/>
          <w:color w:val="000000"/>
        </w:rPr>
        <w:footnoteReference w:id="54"/>
      </w:r>
      <w:r>
        <w:rPr>
          <w:rFonts w:ascii="Times New Roman" w:eastAsia="Times New Roman" w:hAnsi="Times New Roman" w:cs="Times New Roman"/>
          <w:color w:val="000000"/>
        </w:rPr>
        <w:t>, quella virtù (</w:t>
      </w:r>
      <w:r w:rsidRPr="005A5CB0">
        <w:rPr>
          <w:rFonts w:ascii="Times New Roman" w:eastAsia="Times New Roman" w:hAnsi="Times New Roman" w:cs="Times New Roman"/>
          <w:i/>
          <w:color w:val="000000"/>
        </w:rPr>
        <w:t>Tugend</w:t>
      </w:r>
      <w:r>
        <w:rPr>
          <w:rFonts w:ascii="Times New Roman" w:eastAsia="Times New Roman" w:hAnsi="Times New Roman" w:cs="Times New Roman"/>
          <w:color w:val="000000"/>
        </w:rPr>
        <w:t>), che Hegel, seguendo l’</w:t>
      </w:r>
      <w:r w:rsidRPr="00422D02">
        <w:rPr>
          <w:rFonts w:ascii="Times New Roman" w:eastAsia="Times New Roman" w:hAnsi="Times New Roman" w:cs="Times New Roman"/>
          <w:i/>
          <w:color w:val="000000"/>
          <w:lang w:val="fr-FR"/>
        </w:rPr>
        <w:t xml:space="preserve">Esprit de lois </w:t>
      </w:r>
      <w:r>
        <w:rPr>
          <w:rFonts w:ascii="Times New Roman" w:eastAsia="Times New Roman" w:hAnsi="Times New Roman" w:cs="Times New Roman"/>
          <w:color w:val="000000"/>
        </w:rPr>
        <w:t>di Montesquieu, «zum Princip der Republikaner macht</w:t>
      </w:r>
      <w:r w:rsidRPr="003D07DF">
        <w:rPr>
          <w:rFonts w:ascii="Times New Roman" w:eastAsia="Times New Roman" w:hAnsi="Times New Roman" w:cs="Times New Roman"/>
          <w:color w:val="000000"/>
          <w:lang w:val="de-DE"/>
        </w:rPr>
        <w:t>»</w:t>
      </w:r>
      <w:r>
        <w:rPr>
          <w:rStyle w:val="Rimandonotaapidipagina"/>
          <w:rFonts w:ascii="Times New Roman" w:eastAsia="Times New Roman" w:hAnsi="Times New Roman" w:cs="Times New Roman"/>
          <w:color w:val="000000"/>
          <w:lang w:val="de-DE"/>
        </w:rPr>
        <w:footnoteReference w:id="55"/>
      </w:r>
      <w:r>
        <w:rPr>
          <w:rFonts w:ascii="Times New Roman" w:eastAsia="Times New Roman" w:hAnsi="Times New Roman" w:cs="Times New Roman"/>
          <w:color w:val="000000"/>
        </w:rPr>
        <w:t xml:space="preserve">, è perduta dalla cittadinanza romana, la cui unica preoccupazione diviene il mantenimento del diritto alla sicurezza della proprietà privata. </w:t>
      </w:r>
      <w:r w:rsidRPr="0050235D">
        <w:rPr>
          <w:rFonts w:ascii="Times New Roman" w:eastAsia="Times New Roman" w:hAnsi="Times New Roman" w:cs="Times New Roman"/>
          <w:color w:val="000000"/>
        </w:rPr>
        <w:t>Venuta meno l’immanenza del principio regolativo dell’agire comunitario e individuale (l’idea</w:t>
      </w:r>
      <w:r>
        <w:rPr>
          <w:rFonts w:ascii="Times New Roman" w:eastAsia="Times New Roman" w:hAnsi="Times New Roman" w:cs="Times New Roman"/>
          <w:color w:val="000000"/>
        </w:rPr>
        <w:t xml:space="preserve"> della patria), la società romana va incontro ad una crisi strutturale, che investe non soltanto il piano socio-politico, ma anche etico-religioso</w:t>
      </w:r>
      <w:r w:rsidRPr="00270C4C">
        <w:rPr>
          <w:rFonts w:ascii="Times New Roman" w:eastAsia="Times New Roman" w:hAnsi="Times New Roman" w:cs="Times New Roman"/>
          <w:color w:val="000000"/>
        </w:rPr>
        <w:t xml:space="preserve">: 1. la repubblica degenera in un regime </w:t>
      </w:r>
      <w:r>
        <w:rPr>
          <w:rFonts w:ascii="Times New Roman" w:eastAsia="Times New Roman" w:hAnsi="Times New Roman" w:cs="Times New Roman"/>
          <w:color w:val="000000"/>
        </w:rPr>
        <w:t>tirannico e dispotico</w:t>
      </w:r>
      <w:r w:rsidRPr="00270C4C">
        <w:rPr>
          <w:rFonts w:ascii="Times New Roman" w:eastAsia="Times New Roman" w:hAnsi="Times New Roman" w:cs="Times New Roman"/>
          <w:color w:val="000000"/>
        </w:rPr>
        <w:t>, 2. l’Assoluto, o lo scopo finale del mondo, non alberga più negli uomini, che diventano consapevoli della miseria della propria condizione, sospesa fra l’attaccamento all’interesse privato e la ricerca di un senso superiore del proprio agire e 3. lo svuotamento di senso a cui va incontro l’al di qua rafforza sia il «</w:t>
      </w:r>
      <w:r w:rsidRPr="00270C4C">
        <w:rPr>
          <w:rFonts w:ascii="Times New Roman" w:eastAsia="Times New Roman" w:hAnsi="Times New Roman" w:cs="Times New Roman"/>
          <w:color w:val="000000"/>
          <w:lang w:val="de-DE"/>
        </w:rPr>
        <w:t>Despotismus der römischen Fürsten»</w:t>
      </w:r>
      <w:r w:rsidRPr="00270C4C">
        <w:rPr>
          <w:rStyle w:val="Rimandonotaapidipagina"/>
          <w:rFonts w:ascii="Times New Roman" w:eastAsia="Times New Roman" w:hAnsi="Times New Roman" w:cs="Times New Roman"/>
          <w:color w:val="000000"/>
        </w:rPr>
        <w:footnoteReference w:id="56"/>
      </w:r>
      <w:r w:rsidRPr="00270C4C">
        <w:rPr>
          <w:rFonts w:ascii="Times New Roman" w:eastAsia="Times New Roman" w:hAnsi="Times New Roman" w:cs="Times New Roman"/>
          <w:color w:val="000000"/>
        </w:rPr>
        <w:t xml:space="preserve"> che il senso di disorientamento terreno «</w:t>
      </w:r>
      <w:r w:rsidRPr="00270C4C">
        <w:rPr>
          <w:rFonts w:ascii="Times New Roman" w:eastAsia="Times New Roman" w:hAnsi="Times New Roman" w:cs="Times New Roman"/>
          <w:color w:val="000000"/>
          <w:lang w:val="de-DE"/>
        </w:rPr>
        <w:t>in dem Schoße dieser verdorbenen Menschheit»</w:t>
      </w:r>
      <w:r w:rsidRPr="00270C4C">
        <w:rPr>
          <w:rStyle w:val="Rimandonotaapidipagina"/>
          <w:rFonts w:ascii="Times New Roman" w:eastAsia="Times New Roman" w:hAnsi="Times New Roman" w:cs="Times New Roman"/>
          <w:color w:val="000000"/>
        </w:rPr>
        <w:footnoteReference w:id="57"/>
      </w:r>
      <w:r w:rsidRPr="00270C4C">
        <w:rPr>
          <w:rFonts w:ascii="Times New Roman" w:eastAsia="Times New Roman" w:hAnsi="Times New Roman" w:cs="Times New Roman"/>
          <w:color w:val="000000"/>
        </w:rPr>
        <w:t>.</w:t>
      </w:r>
    </w:p>
    <w:p w14:paraId="26E9AA0B" w14:textId="5F0E7784" w:rsidR="00C478F0" w:rsidRDefault="00C478F0" w:rsidP="00C478F0">
      <w:pPr>
        <w:spacing w:line="360" w:lineRule="auto"/>
        <w:ind w:firstLine="567"/>
        <w:jc w:val="both"/>
        <w:rPr>
          <w:rFonts w:ascii="Times New Roman" w:eastAsia="Times New Roman" w:hAnsi="Times New Roman" w:cs="Times New Roman"/>
          <w:color w:val="000000"/>
        </w:rPr>
      </w:pPr>
      <w:r>
        <w:rPr>
          <w:rFonts w:ascii="Times New Roman" w:eastAsia="Times New Roman" w:hAnsi="Times New Roman" w:cs="Times New Roman"/>
          <w:color w:val="000000"/>
        </w:rPr>
        <w:t>È in questo contesto, prosegue Hegel, che il cristianesimo si diffonde nel mondo romano: «</w:t>
      </w:r>
      <w:r w:rsidRPr="009F4500">
        <w:rPr>
          <w:rFonts w:ascii="Times New Roman" w:eastAsia="Times New Roman" w:hAnsi="Times New Roman" w:cs="Times New Roman"/>
          <w:color w:val="000000"/>
          <w:lang w:val="de-DE"/>
        </w:rPr>
        <w:t>in diesem Zustand bot sich den Menschen eine Religion dar, die entweder schon den Bedürfnissen der Zeit angemessen war, denn sie war unter einem Volke von ähnlicher, nur anders gefärbeter Leerheit und Mangel entstanden</w:t>
      </w:r>
      <w:r w:rsidRPr="003D07DF">
        <w:rPr>
          <w:rFonts w:ascii="Times New Roman" w:eastAsia="Times New Roman" w:hAnsi="Times New Roman" w:cs="Times New Roman"/>
          <w:color w:val="000000"/>
          <w:lang w:val="de-DE"/>
        </w:rPr>
        <w:t>»</w:t>
      </w:r>
      <w:r>
        <w:rPr>
          <w:rStyle w:val="Rimandonotaapidipagina"/>
          <w:rFonts w:ascii="Times New Roman" w:eastAsia="Times New Roman" w:hAnsi="Times New Roman" w:cs="Times New Roman"/>
          <w:color w:val="000000"/>
          <w:lang w:val="de-DE"/>
        </w:rPr>
        <w:footnoteReference w:id="58"/>
      </w:r>
      <w:r>
        <w:rPr>
          <w:rFonts w:ascii="Times New Roman" w:eastAsia="Times New Roman" w:hAnsi="Times New Roman" w:cs="Times New Roman"/>
          <w:color w:val="000000"/>
          <w:lang w:val="de-DE"/>
        </w:rPr>
        <w:t xml:space="preserve">. </w:t>
      </w:r>
      <w:r w:rsidRPr="00F73334">
        <w:rPr>
          <w:rFonts w:ascii="Times New Roman" w:eastAsia="Times New Roman" w:hAnsi="Times New Roman" w:cs="Times New Roman"/>
          <w:color w:val="000000"/>
        </w:rPr>
        <w:t>Da principio</w:t>
      </w:r>
      <w:r>
        <w:rPr>
          <w:rFonts w:ascii="Times New Roman" w:eastAsia="Times New Roman" w:hAnsi="Times New Roman" w:cs="Times New Roman"/>
          <w:color w:val="000000"/>
          <w:lang w:val="de-DE"/>
        </w:rPr>
        <w:t xml:space="preserve"> </w:t>
      </w:r>
      <w:r>
        <w:rPr>
          <w:rFonts w:ascii="Times New Roman" w:eastAsia="Times New Roman" w:hAnsi="Times New Roman" w:cs="Times New Roman"/>
          <w:color w:val="000000"/>
        </w:rPr>
        <w:t>s</w:t>
      </w:r>
      <w:r w:rsidRPr="00EC14C1">
        <w:rPr>
          <w:rFonts w:ascii="Times New Roman" w:eastAsia="Times New Roman" w:hAnsi="Times New Roman" w:cs="Times New Roman"/>
          <w:color w:val="000000"/>
        </w:rPr>
        <w:t xml:space="preserve">viluppatosi presso il popolo ebraico, </w:t>
      </w:r>
      <w:r>
        <w:rPr>
          <w:rFonts w:ascii="Times New Roman" w:eastAsia="Times New Roman" w:hAnsi="Times New Roman" w:cs="Times New Roman"/>
          <w:color w:val="000000"/>
        </w:rPr>
        <w:t xml:space="preserve">afflitto da una degenerazione etica, politica e religiosa simile </w:t>
      </w:r>
      <w:r w:rsidRPr="00AB04B5">
        <w:rPr>
          <w:rFonts w:ascii="Times New Roman" w:eastAsia="Times New Roman" w:hAnsi="Times New Roman" w:cs="Times New Roman"/>
          <w:color w:val="000000"/>
        </w:rPr>
        <w:t>a quella romana, il cristianesimo pone</w:t>
      </w:r>
      <w:r w:rsidR="00D422C9">
        <w:rPr>
          <w:rFonts w:ascii="Times New Roman" w:eastAsia="Times New Roman" w:hAnsi="Times New Roman" w:cs="Times New Roman"/>
          <w:color w:val="000000"/>
          <w:lang w:val="de-DE"/>
        </w:rPr>
        <w:t xml:space="preserve"> «das absolute, das selbständige, das p</w:t>
      </w:r>
      <w:r w:rsidRPr="00AB04B5">
        <w:rPr>
          <w:rFonts w:ascii="Times New Roman" w:eastAsia="Times New Roman" w:hAnsi="Times New Roman" w:cs="Times New Roman"/>
          <w:color w:val="000000"/>
          <w:lang w:val="de-DE"/>
        </w:rPr>
        <w:t>raktische […] außerhalb der Sphäre unserer Macht, unseres Wollens»</w:t>
      </w:r>
      <w:r w:rsidRPr="00AB04B5">
        <w:rPr>
          <w:rStyle w:val="Rimandonotaapidipagina"/>
          <w:rFonts w:ascii="Times New Roman" w:eastAsia="Times New Roman" w:hAnsi="Times New Roman" w:cs="Times New Roman"/>
          <w:color w:val="000000"/>
          <w:lang w:val="de-DE"/>
        </w:rPr>
        <w:footnoteReference w:id="59"/>
      </w:r>
      <w:r w:rsidRPr="00AB04B5">
        <w:rPr>
          <w:rFonts w:ascii="Times New Roman" w:eastAsia="Times New Roman" w:hAnsi="Times New Roman" w:cs="Times New Roman"/>
          <w:color w:val="000000"/>
          <w:lang w:val="de-DE"/>
        </w:rPr>
        <w:t xml:space="preserve">. </w:t>
      </w:r>
      <w:r w:rsidRPr="00AB04B5">
        <w:rPr>
          <w:rFonts w:ascii="Times New Roman" w:eastAsia="Times New Roman" w:hAnsi="Times New Roman" w:cs="Times New Roman"/>
          <w:color w:val="000000"/>
        </w:rPr>
        <w:t>Fra Dio e uomo sussiste un’infinita distanza: la divinità è un al di là a cui l’umanità, data la sua corruzione (</w:t>
      </w:r>
      <w:r w:rsidRPr="00AB04B5">
        <w:rPr>
          <w:rFonts w:ascii="Times New Roman" w:eastAsia="Times New Roman" w:hAnsi="Times New Roman" w:cs="Times New Roman"/>
          <w:i/>
          <w:color w:val="000000"/>
          <w:lang w:val="de-DE"/>
        </w:rPr>
        <w:t>Verdorbenheit)</w:t>
      </w:r>
      <w:r w:rsidR="004567C7">
        <w:rPr>
          <w:rFonts w:ascii="Times New Roman" w:eastAsia="Times New Roman" w:hAnsi="Times New Roman" w:cs="Times New Roman"/>
          <w:color w:val="000000"/>
        </w:rPr>
        <w:t>, «kein Antheil [hat</w:t>
      </w:r>
      <w:r w:rsidR="00D422C9">
        <w:rPr>
          <w:rFonts w:ascii="Times New Roman" w:eastAsia="Times New Roman" w:hAnsi="Times New Roman" w:cs="Times New Roman"/>
          <w:color w:val="000000"/>
        </w:rPr>
        <w:t>]</w:t>
      </w:r>
      <w:r w:rsidRPr="000617CF">
        <w:rPr>
          <w:rFonts w:ascii="Times New Roman" w:eastAsia="Times New Roman" w:hAnsi="Times New Roman" w:cs="Times New Roman"/>
          <w:color w:val="000000"/>
          <w:lang w:val="de-DE"/>
        </w:rPr>
        <w:t>»</w:t>
      </w:r>
      <w:r w:rsidRPr="000617CF">
        <w:rPr>
          <w:rStyle w:val="Rimandonotaapidipagina"/>
          <w:rFonts w:ascii="Times New Roman" w:eastAsia="Times New Roman" w:hAnsi="Times New Roman" w:cs="Times New Roman"/>
          <w:color w:val="000000"/>
          <w:lang w:val="de-DE"/>
        </w:rPr>
        <w:footnoteReference w:id="60"/>
      </w:r>
      <w:r w:rsidRPr="000617CF">
        <w:rPr>
          <w:rFonts w:ascii="Times New Roman" w:eastAsia="Times New Roman" w:hAnsi="Times New Roman" w:cs="Times New Roman"/>
          <w:color w:val="000000"/>
          <w:lang w:val="de-DE"/>
        </w:rPr>
        <w:t xml:space="preserve">. </w:t>
      </w:r>
      <w:r w:rsidRPr="000617CF">
        <w:rPr>
          <w:rFonts w:ascii="Times New Roman" w:eastAsia="Times New Roman" w:hAnsi="Times New Roman" w:cs="Times New Roman"/>
          <w:color w:val="000000"/>
        </w:rPr>
        <w:t>Il Dio cristiano è un’infinità (</w:t>
      </w:r>
      <w:r w:rsidRPr="000617CF">
        <w:rPr>
          <w:rFonts w:ascii="Times New Roman" w:eastAsia="Times New Roman" w:hAnsi="Times New Roman" w:cs="Times New Roman"/>
          <w:i/>
          <w:color w:val="000000"/>
          <w:lang w:val="de-DE"/>
        </w:rPr>
        <w:t>Unendlichkeit</w:t>
      </w:r>
      <w:r w:rsidRPr="000617CF">
        <w:rPr>
          <w:rFonts w:ascii="Times New Roman" w:eastAsia="Times New Roman" w:hAnsi="Times New Roman" w:cs="Times New Roman"/>
          <w:color w:val="000000"/>
        </w:rPr>
        <w:t>) che, superata ogni forma di finitezza, rivendica per sé un mondo non commisurato all’essere umano</w:t>
      </w:r>
      <w:r w:rsidRPr="000617CF">
        <w:rPr>
          <w:rStyle w:val="Rimandonotaapidipagina"/>
          <w:rFonts w:ascii="Times New Roman" w:eastAsia="Times New Roman" w:hAnsi="Times New Roman" w:cs="Times New Roman"/>
          <w:color w:val="000000"/>
        </w:rPr>
        <w:footnoteReference w:id="61"/>
      </w:r>
      <w:r w:rsidRPr="000617CF">
        <w:rPr>
          <w:rFonts w:ascii="Times New Roman" w:eastAsia="Times New Roman" w:hAnsi="Times New Roman" w:cs="Times New Roman"/>
          <w:color w:val="000000"/>
        </w:rPr>
        <w:t>.</w:t>
      </w:r>
      <w:r w:rsidRPr="00AB04B5">
        <w:rPr>
          <w:rFonts w:ascii="Times New Roman" w:eastAsia="Times New Roman" w:hAnsi="Times New Roman" w:cs="Times New Roman"/>
          <w:color w:val="000000"/>
        </w:rPr>
        <w:t xml:space="preserve"> </w:t>
      </w:r>
      <w:r w:rsidRPr="00270C4C">
        <w:rPr>
          <w:rFonts w:ascii="Times New Roman" w:eastAsia="Times New Roman" w:hAnsi="Times New Roman" w:cs="Times New Roman"/>
          <w:color w:val="000000"/>
        </w:rPr>
        <w:t>Per nessuna ragione l’uomo può innalzarsi a Dio e Dio abbassarsi all’uomo:</w:t>
      </w:r>
      <w:r>
        <w:rPr>
          <w:rFonts w:ascii="Times New Roman" w:eastAsia="Times New Roman" w:hAnsi="Times New Roman" w:cs="Times New Roman"/>
          <w:color w:val="000000"/>
        </w:rPr>
        <w:t xml:space="preserve"> «der Mensch selbst ein nicht-Ich und seine Gottheit ein anderes nicht-Ich</w:t>
      </w:r>
      <w:r w:rsidRPr="003D07DF">
        <w:rPr>
          <w:rFonts w:ascii="Times New Roman" w:eastAsia="Times New Roman" w:hAnsi="Times New Roman" w:cs="Times New Roman"/>
          <w:color w:val="000000"/>
          <w:lang w:val="de-DE"/>
        </w:rPr>
        <w:t>»</w:t>
      </w:r>
      <w:r>
        <w:rPr>
          <w:rStyle w:val="Rimandonotaapidipagina"/>
          <w:rFonts w:ascii="Times New Roman" w:eastAsia="Times New Roman" w:hAnsi="Times New Roman" w:cs="Times New Roman"/>
          <w:color w:val="000000"/>
        </w:rPr>
        <w:footnoteReference w:id="62"/>
      </w:r>
      <w:r>
        <w:rPr>
          <w:rFonts w:ascii="Times New Roman" w:eastAsia="Times New Roman" w:hAnsi="Times New Roman" w:cs="Times New Roman"/>
          <w:color w:val="000000"/>
          <w:lang w:val="de-DE"/>
        </w:rPr>
        <w:t xml:space="preserve">. </w:t>
      </w:r>
      <w:r w:rsidRPr="000617CF">
        <w:rPr>
          <w:rFonts w:ascii="Times New Roman" w:eastAsia="Times New Roman" w:hAnsi="Times New Roman" w:cs="Times New Roman"/>
          <w:color w:val="000000"/>
        </w:rPr>
        <w:t xml:space="preserve">Essendo un’essenza oggettiva, non partecipe delle vicende umane, la divinità si </w:t>
      </w:r>
      <w:r>
        <w:rPr>
          <w:rFonts w:ascii="Times New Roman" w:eastAsia="Times New Roman" w:hAnsi="Times New Roman" w:cs="Times New Roman"/>
          <w:color w:val="000000"/>
        </w:rPr>
        <w:t>riduce ad un non-Io, ad</w:t>
      </w:r>
      <w:r w:rsidRPr="000617CF">
        <w:rPr>
          <w:rFonts w:ascii="Times New Roman" w:eastAsia="Times New Roman" w:hAnsi="Times New Roman" w:cs="Times New Roman"/>
          <w:color w:val="000000"/>
        </w:rPr>
        <w:t xml:space="preserve"> un </w:t>
      </w:r>
      <w:r>
        <w:rPr>
          <w:rFonts w:ascii="Times New Roman" w:eastAsia="Times New Roman" w:hAnsi="Times New Roman" w:cs="Times New Roman"/>
          <w:color w:val="000000"/>
        </w:rPr>
        <w:t xml:space="preserve">semplice </w:t>
      </w:r>
      <w:r w:rsidRPr="000617CF">
        <w:rPr>
          <w:rFonts w:ascii="Times New Roman" w:eastAsia="Times New Roman" w:hAnsi="Times New Roman" w:cs="Times New Roman"/>
          <w:color w:val="000000"/>
        </w:rPr>
        <w:t xml:space="preserve">negativo; a sua volta, l’umanità, </w:t>
      </w:r>
      <w:r>
        <w:rPr>
          <w:rFonts w:ascii="Times New Roman" w:eastAsia="Times New Roman" w:hAnsi="Times New Roman" w:cs="Times New Roman"/>
          <w:color w:val="000000"/>
        </w:rPr>
        <w:t xml:space="preserve">avvertendo </w:t>
      </w:r>
      <w:r w:rsidRPr="000617CF">
        <w:rPr>
          <w:rFonts w:ascii="Times New Roman" w:eastAsia="Times New Roman" w:hAnsi="Times New Roman" w:cs="Times New Roman"/>
          <w:color w:val="000000"/>
        </w:rPr>
        <w:t xml:space="preserve">la mancanza del divino, si configura come un </w:t>
      </w:r>
      <w:r>
        <w:rPr>
          <w:rFonts w:ascii="Times New Roman" w:eastAsia="Times New Roman" w:hAnsi="Times New Roman" w:cs="Times New Roman"/>
          <w:color w:val="000000"/>
        </w:rPr>
        <w:t xml:space="preserve">altro </w:t>
      </w:r>
      <w:r w:rsidRPr="000617CF">
        <w:rPr>
          <w:rFonts w:ascii="Times New Roman" w:eastAsia="Times New Roman" w:hAnsi="Times New Roman" w:cs="Times New Roman"/>
          <w:color w:val="000000"/>
        </w:rPr>
        <w:t>negativo, incapace di prefiggersi, e tantomeno raggiungere, uno scopo finale e immanente del (proprio) mondo.</w:t>
      </w:r>
      <w:r>
        <w:rPr>
          <w:rFonts w:ascii="Times New Roman" w:eastAsia="Times New Roman" w:hAnsi="Times New Roman" w:cs="Times New Roman"/>
          <w:color w:val="000000"/>
        </w:rPr>
        <w:t xml:space="preserve"> </w:t>
      </w:r>
    </w:p>
    <w:p w14:paraId="78A5EA0E" w14:textId="1E46A2AE" w:rsidR="00C478F0" w:rsidRDefault="00C478F0" w:rsidP="001C7668">
      <w:pPr>
        <w:spacing w:line="360" w:lineRule="auto"/>
        <w:ind w:firstLine="567"/>
        <w:jc w:val="both"/>
        <w:rPr>
          <w:rFonts w:ascii="Times New Roman" w:eastAsia="Times New Roman" w:hAnsi="Times New Roman" w:cs="Times New Roman"/>
          <w:color w:val="000000"/>
        </w:rPr>
      </w:pPr>
      <w:r w:rsidRPr="00371B81">
        <w:rPr>
          <w:rFonts w:ascii="Times New Roman" w:eastAsia="Times New Roman" w:hAnsi="Times New Roman" w:cs="Times New Roman"/>
          <w:color w:val="000000"/>
        </w:rPr>
        <w:t xml:space="preserve">La critica hegeliana all’estraneità reciproca fra umano e divino nella religione cristiana ricalca quella confutazione dell’Io assoluto fichtiano messa a punto da Hölderlin nel gennaio del 1795. Essendo </w:t>
      </w:r>
      <w:r w:rsidR="00F62E7B" w:rsidRPr="00371B81">
        <w:rPr>
          <w:rFonts w:ascii="Times New Roman" w:eastAsia="Times New Roman" w:hAnsi="Times New Roman" w:cs="Times New Roman"/>
          <w:color w:val="000000"/>
        </w:rPr>
        <w:t>incondizionato</w:t>
      </w:r>
      <w:r w:rsidRPr="00371B81">
        <w:rPr>
          <w:rFonts w:ascii="Times New Roman" w:eastAsia="Times New Roman" w:hAnsi="Times New Roman" w:cs="Times New Roman"/>
          <w:color w:val="000000"/>
        </w:rPr>
        <w:t>, l’Io assoluto non può limitarsi in una forma determinata, non può essere limitato da nessuno oggetto e tantomeno può essere oggetto della coscienza finita. Se l’Io assoluto si</w:t>
      </w:r>
      <w:r w:rsidR="00F62E7B" w:rsidRPr="00371B81">
        <w:rPr>
          <w:rFonts w:ascii="Times New Roman" w:eastAsia="Times New Roman" w:hAnsi="Times New Roman" w:cs="Times New Roman"/>
          <w:color w:val="000000"/>
        </w:rPr>
        <w:t xml:space="preserve"> determinasse</w:t>
      </w:r>
      <w:r w:rsidRPr="00371B81">
        <w:rPr>
          <w:rFonts w:ascii="Times New Roman" w:eastAsia="Times New Roman" w:hAnsi="Times New Roman" w:cs="Times New Roman"/>
          <w:color w:val="000000"/>
        </w:rPr>
        <w:t>, cesserebbe d’essere assoluto; se la coscienza finita sviluppasse un sapere di sé e della propria alterità (dell’Io assoluto), introdurrebbe un limite in ciò che non conosce limite alcuno (l’Incondizionato).</w:t>
      </w:r>
      <w:r w:rsidRPr="000617CF">
        <w:rPr>
          <w:rFonts w:ascii="Times New Roman" w:eastAsia="Times New Roman" w:hAnsi="Times New Roman" w:cs="Times New Roman"/>
          <w:color w:val="000000"/>
        </w:rPr>
        <w:t xml:space="preserve"> Questo schema relazionale, per cui viene a mancare, in ultima istanza, </w:t>
      </w:r>
      <w:r w:rsidRPr="00B34CC2">
        <w:rPr>
          <w:rFonts w:ascii="Times New Roman" w:eastAsia="Times New Roman" w:hAnsi="Times New Roman" w:cs="Times New Roman"/>
          <w:color w:val="000000"/>
        </w:rPr>
        <w:t xml:space="preserve">la possibilità stessa della relazione, è sotteso all’estraneità reciproca fra umano e divino nella religione cristiana. Secondo il </w:t>
      </w:r>
      <w:r w:rsidRPr="00B34CC2">
        <w:rPr>
          <w:rFonts w:ascii="Times New Roman" w:eastAsia="Times New Roman" w:hAnsi="Times New Roman" w:cs="Times New Roman"/>
          <w:i/>
          <w:color w:val="000000"/>
        </w:rPr>
        <w:t>Text 34</w:t>
      </w:r>
      <w:r w:rsidRPr="00B34CC2">
        <w:rPr>
          <w:rFonts w:ascii="Times New Roman" w:eastAsia="Times New Roman" w:hAnsi="Times New Roman" w:cs="Times New Roman"/>
          <w:color w:val="000000"/>
        </w:rPr>
        <w:t xml:space="preserve">, l’Assoluto si estranea dalla natura umana e la natura umana, per via della propria corruzione (l’Eterno, l’Assoluto, non è più scopo immanente dell’agire umano), </w:t>
      </w:r>
      <w:r w:rsidR="00A9611F" w:rsidRPr="00B34CC2">
        <w:rPr>
          <w:rFonts w:ascii="Times New Roman" w:eastAsia="Times New Roman" w:hAnsi="Times New Roman" w:cs="Times New Roman"/>
          <w:color w:val="000000"/>
        </w:rPr>
        <w:t>non reca in sé</w:t>
      </w:r>
      <w:r w:rsidR="00B34CC2" w:rsidRPr="00B34CC2">
        <w:rPr>
          <w:rFonts w:ascii="Times New Roman" w:eastAsia="Times New Roman" w:hAnsi="Times New Roman" w:cs="Times New Roman"/>
          <w:color w:val="000000"/>
        </w:rPr>
        <w:t xml:space="preserve"> traccia</w:t>
      </w:r>
      <w:r w:rsidR="00A9611F" w:rsidRPr="00B34CC2">
        <w:rPr>
          <w:rFonts w:ascii="Times New Roman" w:eastAsia="Times New Roman" w:hAnsi="Times New Roman" w:cs="Times New Roman"/>
          <w:color w:val="000000"/>
        </w:rPr>
        <w:t xml:space="preserve"> della divinità</w:t>
      </w:r>
      <w:r w:rsidRPr="00B34CC2">
        <w:rPr>
          <w:rFonts w:ascii="Times New Roman" w:eastAsia="Times New Roman" w:hAnsi="Times New Roman" w:cs="Times New Roman"/>
          <w:color w:val="000000"/>
        </w:rPr>
        <w:t xml:space="preserve">. Dio è negativo in sé e per l’uomo e l’uomo è negativo in sé e per Dio. Per Hegel la </w:t>
      </w:r>
      <w:r w:rsidRPr="00B34CC2">
        <w:rPr>
          <w:rFonts w:ascii="Times New Roman" w:eastAsia="Times New Roman" w:hAnsi="Times New Roman" w:cs="Times New Roman"/>
          <w:i/>
          <w:color w:val="000000"/>
        </w:rPr>
        <w:t>nullità</w:t>
      </w:r>
      <w:r w:rsidRPr="00B34CC2">
        <w:rPr>
          <w:rFonts w:ascii="Times New Roman" w:eastAsia="Times New Roman" w:hAnsi="Times New Roman" w:cs="Times New Roman"/>
          <w:color w:val="000000"/>
        </w:rPr>
        <w:t xml:space="preserve"> dell’infinito e del finito, riproposta anche dalla filosofia più recente (fichtiana), affonda le sue radici storiche nella scissione </w:t>
      </w:r>
      <w:r w:rsidR="00F40823" w:rsidRPr="00B34CC2">
        <w:rPr>
          <w:rFonts w:ascii="Times New Roman" w:eastAsia="Times New Roman" w:hAnsi="Times New Roman" w:cs="Times New Roman"/>
          <w:color w:val="000000"/>
        </w:rPr>
        <w:t>giudaico-</w:t>
      </w:r>
      <w:r w:rsidRPr="00B34CC2">
        <w:rPr>
          <w:rFonts w:ascii="Times New Roman" w:eastAsia="Times New Roman" w:hAnsi="Times New Roman" w:cs="Times New Roman"/>
          <w:color w:val="000000"/>
        </w:rPr>
        <w:t>cristiana fra umano</w:t>
      </w:r>
      <w:r w:rsidR="00A9611F" w:rsidRPr="00B34CC2">
        <w:rPr>
          <w:rFonts w:ascii="Times New Roman" w:eastAsia="Times New Roman" w:hAnsi="Times New Roman" w:cs="Times New Roman"/>
          <w:color w:val="000000"/>
        </w:rPr>
        <w:t xml:space="preserve"> e divino</w:t>
      </w:r>
      <w:r w:rsidRPr="00B34CC2">
        <w:rPr>
          <w:rFonts w:ascii="Times New Roman" w:eastAsia="Times New Roman" w:hAnsi="Times New Roman" w:cs="Times New Roman"/>
          <w:color w:val="000000"/>
        </w:rPr>
        <w:t>.</w:t>
      </w:r>
      <w:r w:rsidRPr="000617CF">
        <w:rPr>
          <w:rFonts w:ascii="Times New Roman" w:eastAsia="Times New Roman" w:hAnsi="Times New Roman" w:cs="Times New Roman"/>
          <w:color w:val="000000"/>
        </w:rPr>
        <w:t xml:space="preserve"> </w:t>
      </w:r>
    </w:p>
    <w:p w14:paraId="42296311" w14:textId="77777777" w:rsidR="008705F5" w:rsidRDefault="008705F5" w:rsidP="001C7668">
      <w:pPr>
        <w:spacing w:line="360" w:lineRule="auto"/>
        <w:ind w:firstLine="567"/>
        <w:jc w:val="both"/>
        <w:rPr>
          <w:rFonts w:ascii="Times New Roman" w:eastAsia="Times New Roman" w:hAnsi="Times New Roman" w:cs="Times New Roman"/>
          <w:color w:val="000000"/>
        </w:rPr>
      </w:pPr>
    </w:p>
    <w:p w14:paraId="10110B1B" w14:textId="041C2C63" w:rsidR="00C478F0" w:rsidRDefault="000B55EF" w:rsidP="00C478F0">
      <w:pPr>
        <w:spacing w:line="360" w:lineRule="auto"/>
        <w:jc w:val="both"/>
        <w:rPr>
          <w:rFonts w:ascii="Times New Roman" w:eastAsia="Times New Roman" w:hAnsi="Times New Roman" w:cs="Times New Roman"/>
          <w:i/>
          <w:color w:val="000000"/>
        </w:rPr>
      </w:pPr>
      <w:r>
        <w:rPr>
          <w:rFonts w:ascii="Times New Roman" w:eastAsia="Times New Roman" w:hAnsi="Times New Roman" w:cs="Times New Roman"/>
          <w:i/>
          <w:color w:val="000000"/>
        </w:rPr>
        <w:t>1.</w:t>
      </w:r>
      <w:r w:rsidR="008747A3">
        <w:rPr>
          <w:rFonts w:ascii="Times New Roman" w:eastAsia="Times New Roman" w:hAnsi="Times New Roman" w:cs="Times New Roman"/>
          <w:i/>
          <w:color w:val="000000"/>
        </w:rPr>
        <w:t>2</w:t>
      </w:r>
      <w:r w:rsidR="00C478F0" w:rsidRPr="0015707C">
        <w:rPr>
          <w:rFonts w:ascii="Times New Roman" w:eastAsia="Times New Roman" w:hAnsi="Times New Roman" w:cs="Times New Roman"/>
          <w:i/>
          <w:color w:val="000000"/>
        </w:rPr>
        <w:t xml:space="preserve"> Lo scacco della fede e il bisogno della filosofia. Storia e destino del popolo ebraico e della comunità cristiana</w:t>
      </w:r>
    </w:p>
    <w:p w14:paraId="7E6A8809" w14:textId="77777777" w:rsidR="00B244FE" w:rsidRPr="00B244FE" w:rsidRDefault="00B244FE" w:rsidP="00C478F0">
      <w:pPr>
        <w:spacing w:line="360" w:lineRule="auto"/>
        <w:jc w:val="both"/>
        <w:rPr>
          <w:rFonts w:ascii="Times New Roman" w:eastAsia="Times New Roman" w:hAnsi="Times New Roman" w:cs="Times New Roman"/>
          <w:color w:val="000000"/>
        </w:rPr>
      </w:pPr>
    </w:p>
    <w:p w14:paraId="0A641114" w14:textId="7F8BF0F7" w:rsidR="00B244FE" w:rsidRPr="00936CE3" w:rsidRDefault="00B244FE" w:rsidP="00B244FE">
      <w:pPr>
        <w:spacing w:line="360" w:lineRule="auto"/>
        <w:ind w:firstLine="567"/>
        <w:jc w:val="both"/>
        <w:rPr>
          <w:rFonts w:ascii="Times New Roman" w:eastAsia="Times New Roman" w:hAnsi="Times New Roman" w:cs="Times New Roman"/>
          <w:color w:val="000000"/>
        </w:rPr>
      </w:pPr>
      <w:r w:rsidRPr="006978C0">
        <w:rPr>
          <w:rFonts w:ascii="Times New Roman" w:eastAsia="Times New Roman" w:hAnsi="Times New Roman" w:cs="Times New Roman"/>
          <w:color w:val="000000"/>
        </w:rPr>
        <w:t xml:space="preserve">L’interesse storico di Hegel, che non è mai privo di implicazioni </w:t>
      </w:r>
      <w:r w:rsidR="00F62E7B" w:rsidRPr="006978C0">
        <w:rPr>
          <w:rFonts w:ascii="Times New Roman" w:eastAsia="Times New Roman" w:hAnsi="Times New Roman" w:cs="Times New Roman"/>
          <w:color w:val="000000"/>
        </w:rPr>
        <w:t>filosofiche</w:t>
      </w:r>
      <w:r w:rsidRPr="006978C0">
        <w:rPr>
          <w:rFonts w:ascii="Times New Roman" w:eastAsia="Times New Roman" w:hAnsi="Times New Roman" w:cs="Times New Roman"/>
          <w:color w:val="000000"/>
        </w:rPr>
        <w:t xml:space="preserve">, ha spinto il nostro </w:t>
      </w:r>
      <w:r w:rsidR="00021560" w:rsidRPr="006978C0">
        <w:rPr>
          <w:rFonts w:ascii="Times New Roman" w:eastAsia="Times New Roman" w:hAnsi="Times New Roman" w:cs="Times New Roman"/>
          <w:color w:val="000000"/>
        </w:rPr>
        <w:t>autore</w:t>
      </w:r>
      <w:r w:rsidRPr="006978C0">
        <w:rPr>
          <w:rFonts w:ascii="Times New Roman" w:eastAsia="Times New Roman" w:hAnsi="Times New Roman" w:cs="Times New Roman"/>
          <w:color w:val="000000"/>
        </w:rPr>
        <w:t xml:space="preserve"> ad interrogarsi sul</w:t>
      </w:r>
      <w:r w:rsidR="000431BE" w:rsidRPr="006978C0">
        <w:rPr>
          <w:rFonts w:ascii="Times New Roman" w:eastAsia="Times New Roman" w:hAnsi="Times New Roman" w:cs="Times New Roman"/>
          <w:color w:val="000000"/>
        </w:rPr>
        <w:t xml:space="preserve"> passaggio</w:t>
      </w:r>
      <w:r w:rsidR="00F62E7B" w:rsidRPr="006978C0">
        <w:rPr>
          <w:rFonts w:ascii="Times New Roman" w:eastAsia="Times New Roman" w:hAnsi="Times New Roman" w:cs="Times New Roman"/>
          <w:color w:val="000000"/>
        </w:rPr>
        <w:t xml:space="preserve"> </w:t>
      </w:r>
      <w:r w:rsidRPr="006978C0">
        <w:rPr>
          <w:rFonts w:ascii="Times New Roman" w:eastAsia="Times New Roman" w:hAnsi="Times New Roman" w:cs="Times New Roman"/>
          <w:color w:val="000000"/>
        </w:rPr>
        <w:t>dalla religione greca a quella cristiana.</w:t>
      </w:r>
      <w:r w:rsidR="006978C0">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L’estraneità reciproca fra umano e divino e lo svuotarsi di senso dell’agire umano nel mondo sono il frutto di un decadimento culturale, politico e sociale a cui va incontro il mondo greco-romano</w:t>
      </w:r>
      <w:r w:rsidRPr="002478C5">
        <w:rPr>
          <w:rFonts w:ascii="Times New Roman" w:eastAsia="Times New Roman" w:hAnsi="Times New Roman" w:cs="Times New Roman"/>
          <w:color w:val="000000"/>
        </w:rPr>
        <w:t xml:space="preserve">. </w:t>
      </w:r>
      <w:r w:rsidRPr="003E7E97">
        <w:rPr>
          <w:rFonts w:ascii="Times New Roman" w:eastAsia="Times New Roman" w:hAnsi="Times New Roman" w:cs="Times New Roman"/>
          <w:color w:val="000000"/>
        </w:rPr>
        <w:t>Dalla Galilea si diffonde un</w:t>
      </w:r>
      <w:r w:rsidR="00CA105E">
        <w:rPr>
          <w:rFonts w:ascii="Times New Roman" w:eastAsia="Times New Roman" w:hAnsi="Times New Roman" w:cs="Times New Roman"/>
          <w:color w:val="000000"/>
        </w:rPr>
        <w:t xml:space="preserve"> insegnamento </w:t>
      </w:r>
      <w:r w:rsidRPr="003E7E97">
        <w:rPr>
          <w:rFonts w:ascii="Times New Roman" w:eastAsia="Times New Roman" w:hAnsi="Times New Roman" w:cs="Times New Roman"/>
          <w:color w:val="000000"/>
        </w:rPr>
        <w:t>– il cristianesimo –</w:t>
      </w:r>
      <w:r>
        <w:rPr>
          <w:rFonts w:ascii="Times New Roman" w:eastAsia="Times New Roman" w:hAnsi="Times New Roman" w:cs="Times New Roman"/>
          <w:color w:val="000000"/>
        </w:rPr>
        <w:t xml:space="preserve"> che risponde ai bisogni spirituali del proprio tempo storico. In un passaggio del </w:t>
      </w:r>
      <w:r w:rsidRPr="002544DE">
        <w:rPr>
          <w:rFonts w:ascii="Times New Roman" w:eastAsia="Times New Roman" w:hAnsi="Times New Roman" w:cs="Times New Roman"/>
          <w:i/>
          <w:color w:val="000000"/>
        </w:rPr>
        <w:t>Text 34</w:t>
      </w:r>
      <w:r>
        <w:rPr>
          <w:rFonts w:ascii="Times New Roman" w:eastAsia="Times New Roman" w:hAnsi="Times New Roman" w:cs="Times New Roman"/>
          <w:color w:val="000000"/>
        </w:rPr>
        <w:t>, Hegel ha riscontrato la vicinanza spirituale del mondo ebraico e greco-romano: sebbene posseggano delle sfumature differenti, la spiritualità di questi popoli, dopo un lungo periodo di decadenza, era predisposta ad accogliere l’insegnamento cristiano. Per ragioni culturali e geografiche, sono gli ebrei i primi a sposare la nuova fede e favorirne la prolificazione nei territori dell’Impero</w:t>
      </w:r>
      <w:r w:rsidRPr="0049045C">
        <w:rPr>
          <w:rFonts w:ascii="Times New Roman" w:eastAsia="Times New Roman" w:hAnsi="Times New Roman" w:cs="Times New Roman"/>
          <w:color w:val="000000"/>
        </w:rPr>
        <w:t xml:space="preserve">. </w:t>
      </w:r>
      <w:r w:rsidR="00F62E7B" w:rsidRPr="0049045C">
        <w:rPr>
          <w:rFonts w:ascii="Times New Roman" w:eastAsia="Times New Roman" w:hAnsi="Times New Roman" w:cs="Times New Roman"/>
          <w:color w:val="000000"/>
        </w:rPr>
        <w:t>I</w:t>
      </w:r>
      <w:r w:rsidRPr="0049045C">
        <w:rPr>
          <w:rFonts w:ascii="Times New Roman" w:eastAsia="Times New Roman" w:hAnsi="Times New Roman" w:cs="Times New Roman"/>
          <w:color w:val="000000"/>
        </w:rPr>
        <w:t>l cristianesimo attecchisce in un contesto storico-sociale – il mondo ebraico – in profonda crisi e bisognoso di risposte sul piano etico e spirituale. Delle risposte possono essere date se sussiste un rapporto fra chi palesa un bisogno e chi cerca di soddisfarlo.</w:t>
      </w:r>
      <w:r w:rsidR="001740B9">
        <w:rPr>
          <w:rFonts w:ascii="Times New Roman" w:eastAsia="Times New Roman" w:hAnsi="Times New Roman" w:cs="Times New Roman"/>
          <w:color w:val="000000"/>
        </w:rPr>
        <w:t xml:space="preserve"> Ebraismo e cristianesimo</w:t>
      </w:r>
      <w:r w:rsidRPr="0049045C">
        <w:rPr>
          <w:rFonts w:ascii="Times New Roman" w:eastAsia="Times New Roman" w:hAnsi="Times New Roman" w:cs="Times New Roman"/>
          <w:color w:val="000000"/>
        </w:rPr>
        <w:t>, questo sembra dirci Hegel, devono aver avuto elementi di continuità</w:t>
      </w:r>
      <w:r w:rsidR="001C7668" w:rsidRPr="0049045C">
        <w:rPr>
          <w:rFonts w:ascii="Times New Roman" w:eastAsia="Times New Roman" w:hAnsi="Times New Roman" w:cs="Times New Roman"/>
          <w:color w:val="000000"/>
        </w:rPr>
        <w:t xml:space="preserve"> </w:t>
      </w:r>
      <w:r w:rsidRPr="0049045C">
        <w:rPr>
          <w:rFonts w:ascii="Times New Roman" w:eastAsia="Times New Roman" w:hAnsi="Times New Roman" w:cs="Times New Roman"/>
          <w:color w:val="000000"/>
        </w:rPr>
        <w:t>tali da favorire la conversione di una parte (esigua) del popolo ebraico a questa nuova</w:t>
      </w:r>
      <w:r w:rsidRPr="004A4A43">
        <w:rPr>
          <w:rFonts w:ascii="Times New Roman" w:eastAsia="Times New Roman" w:hAnsi="Times New Roman" w:cs="Times New Roman"/>
          <w:color w:val="000000"/>
        </w:rPr>
        <w:t xml:space="preserve"> forma di spiritualità.</w:t>
      </w:r>
      <w:r w:rsidRPr="00936CE3">
        <w:rPr>
          <w:rFonts w:ascii="Times New Roman" w:eastAsia="Times New Roman" w:hAnsi="Times New Roman" w:cs="Times New Roman"/>
          <w:color w:val="000000"/>
        </w:rPr>
        <w:t xml:space="preserve"> </w:t>
      </w:r>
    </w:p>
    <w:p w14:paraId="3BEFE643" w14:textId="7A6705DB" w:rsidR="00B244FE" w:rsidRPr="002D7A8D" w:rsidRDefault="00B244FE" w:rsidP="00B244FE">
      <w:pPr>
        <w:spacing w:line="360" w:lineRule="auto"/>
        <w:ind w:firstLine="567"/>
        <w:jc w:val="both"/>
        <w:rPr>
          <w:rFonts w:ascii="Times New Roman" w:eastAsia="Times New Roman" w:hAnsi="Times New Roman" w:cs="Times New Roman"/>
          <w:color w:val="000000"/>
        </w:rPr>
      </w:pPr>
      <w:r w:rsidRPr="00936CE3">
        <w:rPr>
          <w:rFonts w:ascii="Times New Roman" w:eastAsia="Times New Roman" w:hAnsi="Times New Roman" w:cs="Times New Roman"/>
          <w:color w:val="000000"/>
        </w:rPr>
        <w:t xml:space="preserve">Su questo nodo concettuale, appena abbozzato nel </w:t>
      </w:r>
      <w:r w:rsidRPr="00936CE3">
        <w:rPr>
          <w:rFonts w:ascii="Times New Roman" w:eastAsia="Times New Roman" w:hAnsi="Times New Roman" w:cs="Times New Roman"/>
          <w:i/>
          <w:color w:val="000000"/>
        </w:rPr>
        <w:t>Text 34</w:t>
      </w:r>
      <w:r w:rsidRPr="00936CE3">
        <w:rPr>
          <w:rFonts w:ascii="Times New Roman" w:eastAsia="Times New Roman" w:hAnsi="Times New Roman" w:cs="Times New Roman"/>
          <w:color w:val="000000"/>
        </w:rPr>
        <w:t>, Hegel si sofferma nei frammenti dedicati alla positività della religione cristiana</w:t>
      </w:r>
      <w:r w:rsidRPr="00936CE3">
        <w:rPr>
          <w:rStyle w:val="Rimandonotaapidipagina"/>
          <w:rFonts w:ascii="Times New Roman" w:eastAsia="Times New Roman" w:hAnsi="Times New Roman" w:cs="Times New Roman"/>
          <w:color w:val="000000"/>
        </w:rPr>
        <w:footnoteReference w:id="63"/>
      </w:r>
      <w:r w:rsidRPr="00936CE3">
        <w:rPr>
          <w:rFonts w:ascii="Times New Roman" w:eastAsia="Times New Roman" w:hAnsi="Times New Roman" w:cs="Times New Roman"/>
          <w:color w:val="000000"/>
        </w:rPr>
        <w:t>. Se in un primo momento l</w:t>
      </w:r>
      <w:r>
        <w:rPr>
          <w:rFonts w:ascii="Times New Roman" w:eastAsia="Times New Roman" w:hAnsi="Times New Roman" w:cs="Times New Roman"/>
          <w:color w:val="000000"/>
        </w:rPr>
        <w:t>a positività</w:t>
      </w:r>
      <w:r w:rsidRPr="00936CE3">
        <w:rPr>
          <w:rFonts w:ascii="Times New Roman" w:eastAsia="Times New Roman" w:hAnsi="Times New Roman" w:cs="Times New Roman"/>
          <w:color w:val="000000"/>
        </w:rPr>
        <w:t xml:space="preserve"> è </w:t>
      </w:r>
      <w:r>
        <w:rPr>
          <w:rFonts w:ascii="Times New Roman" w:eastAsia="Times New Roman" w:hAnsi="Times New Roman" w:cs="Times New Roman"/>
          <w:color w:val="000000"/>
        </w:rPr>
        <w:t>considerata coessenziale</w:t>
      </w:r>
      <w:r w:rsidRPr="00936CE3">
        <w:rPr>
          <w:rFonts w:ascii="Times New Roman" w:eastAsia="Times New Roman" w:hAnsi="Times New Roman" w:cs="Times New Roman"/>
          <w:color w:val="000000"/>
        </w:rPr>
        <w:t xml:space="preserve"> alla dottrina di Gesù, </w:t>
      </w:r>
      <w:r w:rsidR="00360EED">
        <w:rPr>
          <w:rFonts w:ascii="Times New Roman" w:eastAsia="Times New Roman" w:hAnsi="Times New Roman" w:cs="Times New Roman"/>
          <w:color w:val="000000"/>
        </w:rPr>
        <w:t>che deve adeguarsi (</w:t>
      </w:r>
      <w:r>
        <w:rPr>
          <w:rFonts w:ascii="Times New Roman" w:eastAsia="Times New Roman" w:hAnsi="Times New Roman" w:cs="Times New Roman"/>
          <w:color w:val="000000"/>
        </w:rPr>
        <w:t>positivizzarsi</w:t>
      </w:r>
      <w:r w:rsidR="00360EED">
        <w:rPr>
          <w:rFonts w:ascii="Times New Roman" w:eastAsia="Times New Roman" w:hAnsi="Times New Roman" w:cs="Times New Roman"/>
          <w:color w:val="000000"/>
        </w:rPr>
        <w:t>)</w:t>
      </w:r>
      <w:r w:rsidRPr="00936CE3">
        <w:rPr>
          <w:rFonts w:ascii="Times New Roman" w:eastAsia="Times New Roman" w:hAnsi="Times New Roman" w:cs="Times New Roman"/>
          <w:color w:val="000000"/>
        </w:rPr>
        <w:t xml:space="preserve"> alla mentalità del popolo ebraico, in un secondo momento il positivo </w:t>
      </w:r>
      <w:r>
        <w:rPr>
          <w:rFonts w:ascii="Times New Roman" w:eastAsia="Times New Roman" w:hAnsi="Times New Roman" w:cs="Times New Roman"/>
          <w:color w:val="000000"/>
        </w:rPr>
        <w:t>è visto come elemento innestato dai discepoli di Gesù all’interno dell’insegnamento del loro maestro</w:t>
      </w:r>
      <w:r w:rsidRPr="00936CE3">
        <w:rPr>
          <w:rStyle w:val="Rimandonotaapidipagina"/>
          <w:rFonts w:ascii="Times New Roman" w:eastAsia="Times New Roman" w:hAnsi="Times New Roman" w:cs="Times New Roman"/>
          <w:color w:val="000000"/>
        </w:rPr>
        <w:footnoteReference w:id="64"/>
      </w:r>
      <w:r w:rsidRPr="00936CE3">
        <w:rPr>
          <w:rFonts w:ascii="Times New Roman" w:eastAsia="Times New Roman" w:hAnsi="Times New Roman" w:cs="Times New Roman"/>
          <w:color w:val="000000"/>
        </w:rPr>
        <w:t xml:space="preserve">. Al netto delle differenze, che non sono di poco conto, poiché in un caso il cristianesimo è positivo </w:t>
      </w:r>
      <w:r w:rsidRPr="00936CE3">
        <w:rPr>
          <w:rFonts w:ascii="Times New Roman" w:eastAsia="Times New Roman" w:hAnsi="Times New Roman" w:cs="Times New Roman"/>
          <w:i/>
          <w:color w:val="000000"/>
        </w:rPr>
        <w:t>ab origine</w:t>
      </w:r>
      <w:r w:rsidRPr="00936CE3">
        <w:rPr>
          <w:rFonts w:ascii="Times New Roman" w:eastAsia="Times New Roman" w:hAnsi="Times New Roman" w:cs="Times New Roman"/>
          <w:color w:val="000000"/>
        </w:rPr>
        <w:t xml:space="preserve"> e nell’altro caso è positivo a causa di una successiva interpolazione del me</w:t>
      </w:r>
      <w:r w:rsidR="002E304C">
        <w:rPr>
          <w:rFonts w:ascii="Times New Roman" w:eastAsia="Times New Roman" w:hAnsi="Times New Roman" w:cs="Times New Roman"/>
          <w:color w:val="000000"/>
        </w:rPr>
        <w:t>ssaggio di Gesù, si registra un</w:t>
      </w:r>
      <w:r w:rsidRPr="00936CE3">
        <w:rPr>
          <w:rFonts w:ascii="Times New Roman" w:eastAsia="Times New Roman" w:hAnsi="Times New Roman" w:cs="Times New Roman"/>
          <w:color w:val="000000"/>
        </w:rPr>
        <w:t xml:space="preserve"> elemento ricorrente nell’argomentazione hegeliana: </w:t>
      </w:r>
      <w:r w:rsidRPr="002D7A8D">
        <w:rPr>
          <w:rFonts w:ascii="Times New Roman" w:eastAsia="Times New Roman" w:hAnsi="Times New Roman" w:cs="Times New Roman"/>
          <w:color w:val="000000"/>
        </w:rPr>
        <w:t>ciò che di positivo vi è nel</w:t>
      </w:r>
      <w:r w:rsidR="00323609" w:rsidRPr="002D7A8D">
        <w:rPr>
          <w:rFonts w:ascii="Times New Roman" w:eastAsia="Times New Roman" w:hAnsi="Times New Roman" w:cs="Times New Roman"/>
          <w:color w:val="000000"/>
        </w:rPr>
        <w:t xml:space="preserve"> cristianesimo è da ascriversi al suo retaggio ebraico</w:t>
      </w:r>
      <w:r w:rsidR="00C26311" w:rsidRPr="002D7A8D">
        <w:rPr>
          <w:rFonts w:ascii="Times New Roman" w:eastAsia="Times New Roman" w:hAnsi="Times New Roman" w:cs="Times New Roman"/>
          <w:color w:val="000000"/>
        </w:rPr>
        <w:t xml:space="preserve"> (</w:t>
      </w:r>
      <w:r w:rsidR="00B25F53" w:rsidRPr="002D7A8D">
        <w:rPr>
          <w:rFonts w:ascii="Times New Roman" w:eastAsia="Times New Roman" w:hAnsi="Times New Roman" w:cs="Times New Roman"/>
          <w:color w:val="000000"/>
        </w:rPr>
        <w:t>sia esso int</w:t>
      </w:r>
      <w:r w:rsidR="00C26311" w:rsidRPr="002D7A8D">
        <w:rPr>
          <w:rFonts w:ascii="Times New Roman" w:eastAsia="Times New Roman" w:hAnsi="Times New Roman" w:cs="Times New Roman"/>
          <w:color w:val="000000"/>
        </w:rPr>
        <w:t>ro</w:t>
      </w:r>
      <w:r w:rsidR="00B25F53" w:rsidRPr="002D7A8D">
        <w:rPr>
          <w:rFonts w:ascii="Times New Roman" w:eastAsia="Times New Roman" w:hAnsi="Times New Roman" w:cs="Times New Roman"/>
          <w:color w:val="000000"/>
        </w:rPr>
        <w:t>do</w:t>
      </w:r>
      <w:r w:rsidR="00C26311" w:rsidRPr="002D7A8D">
        <w:rPr>
          <w:rFonts w:ascii="Times New Roman" w:eastAsia="Times New Roman" w:hAnsi="Times New Roman" w:cs="Times New Roman"/>
          <w:color w:val="000000"/>
        </w:rPr>
        <w:t>tto da Gesù o da altri dopo di lui)</w:t>
      </w:r>
      <w:r w:rsidRPr="002D7A8D">
        <w:rPr>
          <w:rFonts w:ascii="Times New Roman" w:eastAsia="Times New Roman" w:hAnsi="Times New Roman" w:cs="Times New Roman"/>
          <w:color w:val="000000"/>
        </w:rPr>
        <w:t xml:space="preserve">, che </w:t>
      </w:r>
      <w:r w:rsidR="00360EED" w:rsidRPr="002D7A8D">
        <w:rPr>
          <w:rFonts w:ascii="Times New Roman" w:eastAsia="Times New Roman" w:hAnsi="Times New Roman" w:cs="Times New Roman"/>
          <w:color w:val="000000"/>
        </w:rPr>
        <w:t>fa del</w:t>
      </w:r>
      <w:r w:rsidR="00323609" w:rsidRPr="002D7A8D">
        <w:rPr>
          <w:rFonts w:ascii="Times New Roman" w:eastAsia="Times New Roman" w:hAnsi="Times New Roman" w:cs="Times New Roman"/>
          <w:color w:val="000000"/>
        </w:rPr>
        <w:t>l’insegnamento cristiano una fede storica e staturia</w:t>
      </w:r>
      <w:r w:rsidR="002D7A8D" w:rsidRPr="002D7A8D">
        <w:rPr>
          <w:rFonts w:ascii="Times New Roman" w:eastAsia="Times New Roman" w:hAnsi="Times New Roman" w:cs="Times New Roman"/>
          <w:color w:val="000000"/>
        </w:rPr>
        <w:t>, non morale e pura</w:t>
      </w:r>
      <w:r w:rsidR="00323609" w:rsidRPr="002D7A8D">
        <w:rPr>
          <w:rFonts w:ascii="Times New Roman" w:eastAsia="Times New Roman" w:hAnsi="Times New Roman" w:cs="Times New Roman"/>
          <w:color w:val="000000"/>
        </w:rPr>
        <w:t>.</w:t>
      </w:r>
      <w:r w:rsidR="00360EED" w:rsidRPr="002D7A8D">
        <w:rPr>
          <w:rFonts w:ascii="Times New Roman" w:eastAsia="Times New Roman" w:hAnsi="Times New Roman" w:cs="Times New Roman"/>
          <w:color w:val="000000"/>
        </w:rPr>
        <w:t xml:space="preserve"> </w:t>
      </w:r>
    </w:p>
    <w:p w14:paraId="7D616271" w14:textId="3CF2A347" w:rsidR="00B244FE" w:rsidRDefault="00C26311" w:rsidP="00B244FE">
      <w:pPr>
        <w:spacing w:line="360" w:lineRule="auto"/>
        <w:ind w:firstLine="567"/>
        <w:jc w:val="both"/>
        <w:rPr>
          <w:rFonts w:ascii="Times New Roman" w:eastAsia="Times New Roman" w:hAnsi="Times New Roman" w:cs="Times New Roman"/>
          <w:color w:val="000000"/>
        </w:rPr>
      </w:pPr>
      <w:r w:rsidRPr="000431BE">
        <w:rPr>
          <w:rFonts w:ascii="Times New Roman" w:eastAsia="Times New Roman" w:hAnsi="Times New Roman" w:cs="Times New Roman"/>
          <w:color w:val="000000"/>
        </w:rPr>
        <w:t>Forti di queste indicazioni</w:t>
      </w:r>
      <w:r w:rsidR="003D0206" w:rsidRPr="000431BE">
        <w:rPr>
          <w:rFonts w:ascii="Times New Roman" w:eastAsia="Times New Roman" w:hAnsi="Times New Roman" w:cs="Times New Roman"/>
          <w:color w:val="000000"/>
        </w:rPr>
        <w:t>, non ci resta che</w:t>
      </w:r>
      <w:r w:rsidR="00B244FE" w:rsidRPr="000431BE">
        <w:rPr>
          <w:rFonts w:ascii="Times New Roman" w:eastAsia="Times New Roman" w:hAnsi="Times New Roman" w:cs="Times New Roman"/>
          <w:color w:val="000000"/>
        </w:rPr>
        <w:t xml:space="preserve"> vedere come il tema del</w:t>
      </w:r>
      <w:r w:rsidR="0026235A">
        <w:rPr>
          <w:rFonts w:ascii="Times New Roman" w:eastAsia="Times New Roman" w:hAnsi="Times New Roman" w:cs="Times New Roman"/>
          <w:color w:val="000000"/>
        </w:rPr>
        <w:t>l’ebraismo</w:t>
      </w:r>
      <w:r w:rsidR="00B244FE" w:rsidRPr="000431BE">
        <w:rPr>
          <w:rFonts w:ascii="Times New Roman" w:eastAsia="Times New Roman" w:hAnsi="Times New Roman" w:cs="Times New Roman"/>
          <w:color w:val="000000"/>
        </w:rPr>
        <w:t xml:space="preserve"> e del suo lascito positivo nel cristianesimo sia sviluppato da Hegel fra Berna e Francoforte nel </w:t>
      </w:r>
      <w:r w:rsidR="000A41E3" w:rsidRPr="000431BE">
        <w:rPr>
          <w:rFonts w:ascii="Times New Roman" w:eastAsia="Times New Roman" w:hAnsi="Times New Roman" w:cs="Times New Roman"/>
          <w:color w:val="000000"/>
        </w:rPr>
        <w:t>triennio 1796-1799</w:t>
      </w:r>
      <w:r w:rsidR="00B244FE" w:rsidRPr="000431BE">
        <w:rPr>
          <w:rFonts w:ascii="Times New Roman" w:eastAsia="Times New Roman" w:hAnsi="Times New Roman" w:cs="Times New Roman"/>
          <w:color w:val="000000"/>
        </w:rPr>
        <w:t>.</w:t>
      </w:r>
      <w:r w:rsidR="00B244FE" w:rsidRPr="00C72C17">
        <w:rPr>
          <w:rFonts w:ascii="Times New Roman" w:eastAsia="Times New Roman" w:hAnsi="Times New Roman" w:cs="Times New Roman"/>
          <w:color w:val="000000"/>
        </w:rPr>
        <w:t xml:space="preserve"> Il quesito, soltanto abbozzato nelle pagine del </w:t>
      </w:r>
      <w:r w:rsidR="00B244FE" w:rsidRPr="00C72C17">
        <w:rPr>
          <w:rFonts w:ascii="Times New Roman" w:eastAsia="Times New Roman" w:hAnsi="Times New Roman" w:cs="Times New Roman"/>
          <w:i/>
          <w:color w:val="000000"/>
        </w:rPr>
        <w:t>Text 34</w:t>
      </w:r>
      <w:r w:rsidR="00B244FE" w:rsidRPr="00C72C17">
        <w:rPr>
          <w:rFonts w:ascii="Times New Roman" w:eastAsia="Times New Roman" w:hAnsi="Times New Roman" w:cs="Times New Roman"/>
          <w:color w:val="000000"/>
        </w:rPr>
        <w:t xml:space="preserve">, trova piena formulazione in quell’insieme di testi che Hermann Nohl aveva raggruppato sotto il suggestivo, per quanto fittizio, titolo </w:t>
      </w:r>
      <w:r w:rsidR="00B244FE" w:rsidRPr="00C72C17">
        <w:rPr>
          <w:rFonts w:ascii="Times New Roman" w:eastAsia="Times New Roman" w:hAnsi="Times New Roman" w:cs="Times New Roman"/>
          <w:i/>
          <w:color w:val="000000"/>
        </w:rPr>
        <w:t>Der Geist des Christentums und sein Schiksal</w:t>
      </w:r>
      <w:r w:rsidR="00B244FE" w:rsidRPr="00FC7B50">
        <w:rPr>
          <w:rStyle w:val="Rimandonotaapidipagina"/>
          <w:rFonts w:ascii="Times New Roman" w:eastAsia="Times New Roman" w:hAnsi="Times New Roman" w:cs="Times New Roman"/>
          <w:color w:val="000000"/>
        </w:rPr>
        <w:footnoteReference w:id="65"/>
      </w:r>
      <w:r w:rsidR="00B244FE" w:rsidRPr="00FC7B50">
        <w:rPr>
          <w:rFonts w:ascii="Times New Roman" w:eastAsia="Times New Roman" w:hAnsi="Times New Roman" w:cs="Times New Roman"/>
          <w:color w:val="000000"/>
        </w:rPr>
        <w:t>.</w:t>
      </w:r>
      <w:r w:rsidR="00B244FE" w:rsidRPr="002255C4">
        <w:rPr>
          <w:rFonts w:ascii="Times New Roman" w:eastAsia="Times New Roman" w:hAnsi="Times New Roman" w:cs="Times New Roman"/>
          <w:color w:val="000000"/>
        </w:rPr>
        <w:t xml:space="preserve"> In apertura del </w:t>
      </w:r>
      <w:r w:rsidR="00B244FE" w:rsidRPr="002255C4">
        <w:rPr>
          <w:rFonts w:ascii="Times New Roman" w:eastAsia="Times New Roman" w:hAnsi="Times New Roman" w:cs="Times New Roman"/>
          <w:i/>
          <w:color w:val="000000"/>
        </w:rPr>
        <w:t>Text 61</w:t>
      </w:r>
      <w:r w:rsidR="00B244FE" w:rsidRPr="002255C4">
        <w:rPr>
          <w:rFonts w:ascii="Times New Roman" w:eastAsia="Times New Roman" w:hAnsi="Times New Roman" w:cs="Times New Roman"/>
          <w:color w:val="000000"/>
        </w:rPr>
        <w:t>, Hegel ricostruisce la genesi della religione e spiritualità ebraica. Perduta la condizione di perfetta armonia con la natura, l’uomo è esposto all’aggressività degli elementi naturali:</w:t>
      </w:r>
    </w:p>
    <w:p w14:paraId="1C0A7B8B" w14:textId="77777777" w:rsidR="00B244FE" w:rsidRDefault="00B244FE" w:rsidP="00B244FE">
      <w:pPr>
        <w:spacing w:line="360" w:lineRule="auto"/>
        <w:ind w:firstLine="567"/>
        <w:jc w:val="both"/>
        <w:rPr>
          <w:rFonts w:ascii="Times New Roman" w:eastAsia="Times New Roman" w:hAnsi="Times New Roman" w:cs="Times New Roman"/>
          <w:color w:val="000000"/>
        </w:rPr>
      </w:pPr>
    </w:p>
    <w:p w14:paraId="59324BF3" w14:textId="65D218DD" w:rsidR="00B244FE" w:rsidRPr="00016798" w:rsidRDefault="00B244FE" w:rsidP="00B244FE">
      <w:pPr>
        <w:spacing w:line="360" w:lineRule="auto"/>
        <w:ind w:left="567" w:firstLine="567"/>
        <w:jc w:val="both"/>
        <w:rPr>
          <w:rFonts w:ascii="Times New Roman" w:eastAsia="Times New Roman" w:hAnsi="Times New Roman" w:cs="Times New Roman"/>
          <w:color w:val="000000"/>
          <w:sz w:val="20"/>
          <w:szCs w:val="20"/>
          <w:lang w:val="de-DE"/>
        </w:rPr>
      </w:pPr>
      <w:r w:rsidRPr="00016798">
        <w:rPr>
          <w:rFonts w:ascii="Times New Roman" w:eastAsia="Times New Roman" w:hAnsi="Times New Roman" w:cs="Times New Roman"/>
          <w:color w:val="000000"/>
          <w:sz w:val="20"/>
          <w:szCs w:val="20"/>
          <w:lang w:val="de-DE"/>
        </w:rPr>
        <w:t>«Der Eindruck, den die Noachische Flut auf die Gemühter der Menschen machte</w:t>
      </w:r>
      <w:r w:rsidR="009E0802">
        <w:rPr>
          <w:rFonts w:ascii="Times New Roman" w:eastAsia="Times New Roman" w:hAnsi="Times New Roman" w:cs="Times New Roman"/>
          <w:color w:val="000000"/>
          <w:sz w:val="20"/>
          <w:szCs w:val="20"/>
          <w:lang w:val="de-DE"/>
        </w:rPr>
        <w:t xml:space="preserve">, mußte sie tief zerreißen, und </w:t>
      </w:r>
      <w:r w:rsidRPr="00016798">
        <w:rPr>
          <w:rFonts w:ascii="Times New Roman" w:eastAsia="Times New Roman" w:hAnsi="Times New Roman" w:cs="Times New Roman"/>
          <w:color w:val="000000"/>
          <w:sz w:val="20"/>
          <w:szCs w:val="20"/>
          <w:lang w:val="de-DE"/>
        </w:rPr>
        <w:t>den ungeheuersten Unglauben an die Natur bewirken è […] Einige Erscheinungen, Ruckwirkungen gegen den Eindruck jenes allgemeinen durch feindseelige Elemente bewirkten Menschenmordes – hat uns die Geschichte angedeutet. Damit der Mensch gegen die feindliche Natur bestehen könnte, so mußte sie beherrscht werden; und da er nun selbst ein entzweites ist, auf</w:t>
      </w:r>
      <w:r w:rsidR="004D4D79">
        <w:rPr>
          <w:rFonts w:ascii="Times New Roman" w:eastAsia="Times New Roman" w:hAnsi="Times New Roman" w:cs="Times New Roman"/>
          <w:color w:val="000000"/>
          <w:sz w:val="20"/>
          <w:szCs w:val="20"/>
          <w:lang w:val="de-DE"/>
        </w:rPr>
        <w:t xml:space="preserve"> die zweierlei Arten, die nun mö</w:t>
      </w:r>
      <w:r w:rsidRPr="00016798">
        <w:rPr>
          <w:rFonts w:ascii="Times New Roman" w:eastAsia="Times New Roman" w:hAnsi="Times New Roman" w:cs="Times New Roman"/>
          <w:color w:val="000000"/>
          <w:sz w:val="20"/>
          <w:szCs w:val="20"/>
          <w:lang w:val="de-DE"/>
        </w:rPr>
        <w:t xml:space="preserve">glich sind, entweder in der Idee oder in der </w:t>
      </w:r>
      <w:r w:rsidRPr="00DB3425">
        <w:rPr>
          <w:rFonts w:ascii="Times New Roman" w:eastAsia="Times New Roman" w:hAnsi="Times New Roman" w:cs="Times New Roman"/>
          <w:color w:val="000000"/>
          <w:sz w:val="20"/>
          <w:szCs w:val="20"/>
          <w:lang w:val="de-DE"/>
        </w:rPr>
        <w:t>Wirklichkeit»</w:t>
      </w:r>
      <w:r w:rsidRPr="00DB3425">
        <w:rPr>
          <w:rStyle w:val="Rimandonotaapidipagina"/>
          <w:rFonts w:ascii="Times New Roman" w:eastAsia="Times New Roman" w:hAnsi="Times New Roman" w:cs="Times New Roman"/>
          <w:color w:val="000000"/>
          <w:sz w:val="20"/>
          <w:szCs w:val="20"/>
          <w:lang w:val="de-DE"/>
        </w:rPr>
        <w:footnoteReference w:id="66"/>
      </w:r>
      <w:r w:rsidRPr="00DB3425">
        <w:rPr>
          <w:rFonts w:ascii="Times New Roman" w:eastAsia="Times New Roman" w:hAnsi="Times New Roman" w:cs="Times New Roman"/>
          <w:color w:val="000000"/>
          <w:sz w:val="20"/>
          <w:szCs w:val="20"/>
          <w:lang w:val="de-DE"/>
        </w:rPr>
        <w:t>.</w:t>
      </w:r>
    </w:p>
    <w:p w14:paraId="79989BEA" w14:textId="77777777" w:rsidR="00B244FE" w:rsidRDefault="00B244FE" w:rsidP="00B244FE">
      <w:pPr>
        <w:spacing w:line="360" w:lineRule="auto"/>
        <w:ind w:firstLine="567"/>
        <w:jc w:val="both"/>
        <w:rPr>
          <w:rFonts w:ascii="Times New Roman" w:eastAsia="Times New Roman" w:hAnsi="Times New Roman" w:cs="Times New Roman"/>
          <w:color w:val="000000"/>
        </w:rPr>
      </w:pPr>
    </w:p>
    <w:p w14:paraId="6EA25CC3" w14:textId="74E12D10" w:rsidR="00B244FE" w:rsidRDefault="00B244FE" w:rsidP="00B244FE">
      <w:pPr>
        <w:spacing w:line="360" w:lineRule="auto"/>
        <w:ind w:firstLine="567"/>
        <w:jc w:val="both"/>
        <w:rPr>
          <w:rFonts w:ascii="Times New Roman" w:eastAsia="Times New Roman" w:hAnsi="Times New Roman" w:cs="Times New Roman"/>
          <w:color w:val="000000"/>
        </w:rPr>
      </w:pPr>
      <w:r w:rsidRPr="00DB02F1">
        <w:rPr>
          <w:rFonts w:ascii="Times New Roman" w:eastAsia="Times New Roman" w:hAnsi="Times New Roman" w:cs="Times New Roman"/>
          <w:color w:val="000000"/>
        </w:rPr>
        <w:t>Scisso è l’uomo dalla natura e irrecuperabile è l’unita armonica dei due estremi. Il diluvio universale ha mostrato all’uomo un aspetto del mondo naturale di cui non aveva conoscenza: la natura è anima</w:t>
      </w:r>
      <w:r>
        <w:rPr>
          <w:rFonts w:ascii="Times New Roman" w:eastAsia="Times New Roman" w:hAnsi="Times New Roman" w:cs="Times New Roman"/>
          <w:color w:val="000000"/>
        </w:rPr>
        <w:t>ta</w:t>
      </w:r>
      <w:r w:rsidRPr="00DB02F1">
        <w:rPr>
          <w:rFonts w:ascii="Times New Roman" w:eastAsia="Times New Roman" w:hAnsi="Times New Roman" w:cs="Times New Roman"/>
          <w:color w:val="000000"/>
        </w:rPr>
        <w:t xml:space="preserve"> da una forza distruttrice che la contrappone al genere umano. L’avversità della natura determina un’estraneità fra ciò che in origine non poteva che essere pensato come uno: i termini relazionali sussistono entrambi per sé e si oppongono reciprocamente. L’unità perduta non può che ricostituirsi attraverso il dominio. Dominare non significa armonizzare con sé ciò che altro da sé, ma costringere (</w:t>
      </w:r>
      <w:r w:rsidRPr="005A7FE9">
        <w:rPr>
          <w:rFonts w:ascii="Times New Roman" w:eastAsia="Times New Roman" w:hAnsi="Times New Roman" w:cs="Times New Roman"/>
          <w:i/>
          <w:color w:val="000000"/>
          <w:lang w:val="de-DE"/>
        </w:rPr>
        <w:t>zwingen</w:t>
      </w:r>
      <w:r w:rsidRPr="00DB02F1">
        <w:rPr>
          <w:rFonts w:ascii="Times New Roman" w:eastAsia="Times New Roman" w:hAnsi="Times New Roman" w:cs="Times New Roman"/>
          <w:color w:val="000000"/>
        </w:rPr>
        <w:t xml:space="preserve">) ciò che ha dato segni d’insubordinazione. L’uomo può esercitare due forme </w:t>
      </w:r>
      <w:r>
        <w:rPr>
          <w:rFonts w:ascii="Times New Roman" w:eastAsia="Times New Roman" w:hAnsi="Times New Roman" w:cs="Times New Roman"/>
          <w:color w:val="000000"/>
        </w:rPr>
        <w:t xml:space="preserve">distinte </w:t>
      </w:r>
      <w:r w:rsidRPr="002255C4">
        <w:rPr>
          <w:rFonts w:ascii="Times New Roman" w:eastAsia="Times New Roman" w:hAnsi="Times New Roman" w:cs="Times New Roman"/>
          <w:color w:val="000000"/>
        </w:rPr>
        <w:t>di dominio sulla natura: la prima ideale, la seconda reale. Nella storia del popolo ebraico, soltanto Nimrod ha fronteggiato con forza l’ostilità del mondo e «</w:t>
      </w:r>
      <w:r w:rsidRPr="002255C4">
        <w:rPr>
          <w:rFonts w:ascii="Times New Roman" w:eastAsia="Times New Roman" w:hAnsi="Times New Roman" w:cs="Times New Roman"/>
          <w:color w:val="000000"/>
          <w:lang w:val="de-DE"/>
        </w:rPr>
        <w:t>versuchte es, die Natur so weit zu beherrschen, daß sie den Menschen nicht mehr gefährlich werden könnte»</w:t>
      </w:r>
      <w:r w:rsidRPr="002255C4">
        <w:rPr>
          <w:rStyle w:val="Rimandonotaapidipagina"/>
          <w:rFonts w:ascii="Times New Roman" w:eastAsia="Times New Roman" w:hAnsi="Times New Roman" w:cs="Times New Roman"/>
          <w:color w:val="000000"/>
          <w:lang w:val="de-DE"/>
        </w:rPr>
        <w:footnoteReference w:id="67"/>
      </w:r>
      <w:r w:rsidRPr="002255C4">
        <w:rPr>
          <w:rFonts w:ascii="Times New Roman" w:eastAsia="Times New Roman" w:hAnsi="Times New Roman" w:cs="Times New Roman"/>
          <w:color w:val="000000"/>
          <w:lang w:val="de-DE"/>
        </w:rPr>
        <w:t xml:space="preserve">. Ma </w:t>
      </w:r>
      <w:r w:rsidRPr="002255C4">
        <w:rPr>
          <w:rFonts w:ascii="Times New Roman" w:eastAsia="Times New Roman" w:hAnsi="Times New Roman" w:cs="Times New Roman"/>
          <w:color w:val="000000"/>
        </w:rPr>
        <w:t>questa forza, puntualizza subito dopo Hegel, rappresenta, a ben vedere, una forma di resistenza: allestita un’imponente armata e costruite dighe atte ad arginare l’impeto delle acque, Nimrod ha stipulato con il</w:t>
      </w:r>
      <w:r w:rsidR="00024601">
        <w:rPr>
          <w:rFonts w:ascii="Times New Roman" w:eastAsia="Times New Roman" w:hAnsi="Times New Roman" w:cs="Times New Roman"/>
          <w:color w:val="000000"/>
        </w:rPr>
        <w:t xml:space="preserve"> nemico «einen Frieden der Not </w:t>
      </w:r>
      <w:r w:rsidRPr="002255C4">
        <w:rPr>
          <w:rFonts w:ascii="Times New Roman" w:eastAsia="Times New Roman" w:hAnsi="Times New Roman" w:cs="Times New Roman"/>
          <w:color w:val="000000"/>
        </w:rPr>
        <w:t>und verewigten so die Feindschaft</w:t>
      </w:r>
      <w:r w:rsidRPr="002255C4">
        <w:rPr>
          <w:rFonts w:ascii="Times New Roman" w:eastAsia="Times New Roman" w:hAnsi="Times New Roman" w:cs="Times New Roman"/>
          <w:color w:val="000000"/>
          <w:lang w:val="de-DE"/>
        </w:rPr>
        <w:t>»</w:t>
      </w:r>
      <w:r w:rsidRPr="002255C4">
        <w:rPr>
          <w:rStyle w:val="Rimandonotaapidipagina"/>
          <w:rFonts w:ascii="Times New Roman" w:eastAsia="Times New Roman" w:hAnsi="Times New Roman" w:cs="Times New Roman"/>
          <w:color w:val="000000"/>
          <w:lang w:val="de-DE"/>
        </w:rPr>
        <w:footnoteReference w:id="68"/>
      </w:r>
      <w:r w:rsidRPr="002255C4">
        <w:rPr>
          <w:rFonts w:ascii="Times New Roman" w:eastAsia="Times New Roman" w:hAnsi="Times New Roman" w:cs="Times New Roman"/>
          <w:color w:val="000000"/>
          <w:lang w:val="de-DE"/>
        </w:rPr>
        <w:t xml:space="preserve">. </w:t>
      </w:r>
      <w:r w:rsidRPr="002255C4">
        <w:rPr>
          <w:rFonts w:ascii="Times New Roman" w:eastAsia="Times New Roman" w:hAnsi="Times New Roman" w:cs="Times New Roman"/>
          <w:color w:val="000000"/>
        </w:rPr>
        <w:t xml:space="preserve">Non è destino del popolo ebraico riportare una </w:t>
      </w:r>
      <w:r w:rsidRPr="005A7FE9">
        <w:rPr>
          <w:rFonts w:ascii="Times New Roman" w:eastAsia="Times New Roman" w:hAnsi="Times New Roman" w:cs="Times New Roman"/>
          <w:color w:val="000000"/>
        </w:rPr>
        <w:t>vittoria reale</w:t>
      </w:r>
      <w:r w:rsidRPr="002255C4">
        <w:rPr>
          <w:rFonts w:ascii="Times New Roman" w:eastAsia="Times New Roman" w:hAnsi="Times New Roman" w:cs="Times New Roman"/>
          <w:color w:val="000000"/>
        </w:rPr>
        <w:t xml:space="preserve"> sulla natura: anche là dove </w:t>
      </w:r>
      <w:r w:rsidRPr="00FC7B50">
        <w:rPr>
          <w:rFonts w:ascii="Times New Roman" w:eastAsia="Times New Roman" w:hAnsi="Times New Roman" w:cs="Times New Roman"/>
          <w:color w:val="000000"/>
          <w:highlight w:val="cyan"/>
        </w:rPr>
        <w:t>si ha</w:t>
      </w:r>
      <w:r w:rsidRPr="002255C4">
        <w:rPr>
          <w:rFonts w:ascii="Times New Roman" w:eastAsia="Times New Roman" w:hAnsi="Times New Roman" w:cs="Times New Roman"/>
          <w:color w:val="000000"/>
        </w:rPr>
        <w:t xml:space="preserve"> una prova di forza, essa rivela un’impotenza di fondo, che preclude il dominio effettivo sull’elemento antagonistico e ne perpetua l’ostilità. Data prova di una resistenza impotente, Nimrod rende manifesta la sua discendenza da Noè, dal primo patriarca che aveva esperito l’ostilità della natura.</w:t>
      </w:r>
      <w:r>
        <w:rPr>
          <w:rFonts w:ascii="Times New Roman" w:eastAsia="Times New Roman" w:hAnsi="Times New Roman" w:cs="Times New Roman"/>
          <w:color w:val="000000"/>
        </w:rPr>
        <w:t xml:space="preserve"> </w:t>
      </w:r>
      <w:r w:rsidRPr="00DB02F1">
        <w:rPr>
          <w:rFonts w:ascii="Times New Roman" w:eastAsia="Times New Roman" w:hAnsi="Times New Roman" w:cs="Times New Roman"/>
          <w:color w:val="000000"/>
        </w:rPr>
        <w:t xml:space="preserve">Non potendo soggiogare </w:t>
      </w:r>
      <w:r w:rsidRPr="00DB02F1">
        <w:rPr>
          <w:rFonts w:ascii="Times New Roman" w:eastAsia="Times New Roman" w:hAnsi="Times New Roman" w:cs="Times New Roman"/>
          <w:i/>
          <w:color w:val="000000"/>
        </w:rPr>
        <w:t>realmente</w:t>
      </w:r>
      <w:r w:rsidRPr="00DB02F1">
        <w:rPr>
          <w:rFonts w:ascii="Times New Roman" w:eastAsia="Times New Roman" w:hAnsi="Times New Roman" w:cs="Times New Roman"/>
          <w:color w:val="000000"/>
        </w:rPr>
        <w:t xml:space="preserve"> il proprio avversario, Noè aveva sottomesso se stesso e la natura ad un «Mächtigern</w:t>
      </w:r>
      <w:r w:rsidRPr="00DB02F1">
        <w:rPr>
          <w:rFonts w:ascii="Times New Roman" w:eastAsia="Times New Roman" w:hAnsi="Times New Roman" w:cs="Times New Roman"/>
          <w:color w:val="000000"/>
          <w:lang w:val="de-DE"/>
        </w:rPr>
        <w:t>»</w:t>
      </w:r>
      <w:r w:rsidRPr="00DB02F1">
        <w:rPr>
          <w:rStyle w:val="Rimandonotaapidipagina"/>
          <w:rFonts w:ascii="Times New Roman" w:eastAsia="Times New Roman" w:hAnsi="Times New Roman" w:cs="Times New Roman"/>
          <w:color w:val="000000"/>
          <w:lang w:val="de-DE"/>
        </w:rPr>
        <w:footnoteReference w:id="69"/>
      </w:r>
      <w:r w:rsidRPr="00DB02F1">
        <w:rPr>
          <w:rFonts w:ascii="Times New Roman" w:eastAsia="Times New Roman" w:hAnsi="Times New Roman" w:cs="Times New Roman"/>
          <w:color w:val="000000"/>
          <w:lang w:val="de-DE"/>
        </w:rPr>
        <w:t xml:space="preserve">, </w:t>
      </w:r>
      <w:r w:rsidRPr="00DB02F1">
        <w:rPr>
          <w:rFonts w:ascii="Times New Roman" w:eastAsia="Times New Roman" w:hAnsi="Times New Roman" w:cs="Times New Roman"/>
          <w:color w:val="000000"/>
        </w:rPr>
        <w:t>ad un essere più potente, ad un pensato</w:t>
      </w:r>
      <w:r w:rsidRPr="00DB02F1">
        <w:rPr>
          <w:rFonts w:ascii="Times New Roman" w:eastAsia="Times New Roman" w:hAnsi="Times New Roman" w:cs="Times New Roman"/>
          <w:color w:val="000000"/>
          <w:lang w:val="de-DE"/>
        </w:rPr>
        <w:t xml:space="preserve"> (</w:t>
      </w:r>
      <w:r w:rsidRPr="00DB02F1">
        <w:rPr>
          <w:rFonts w:ascii="Times New Roman" w:eastAsia="Times New Roman" w:hAnsi="Times New Roman" w:cs="Times New Roman"/>
          <w:i/>
          <w:color w:val="000000"/>
          <w:lang w:val="de-DE"/>
        </w:rPr>
        <w:t>einem Gedachten</w:t>
      </w:r>
      <w:r w:rsidRPr="00DB02F1">
        <w:rPr>
          <w:rFonts w:ascii="Times New Roman" w:eastAsia="Times New Roman" w:hAnsi="Times New Roman" w:cs="Times New Roman"/>
          <w:color w:val="000000"/>
          <w:lang w:val="de-DE"/>
        </w:rPr>
        <w:t xml:space="preserve">), </w:t>
      </w:r>
      <w:r w:rsidRPr="002255C4">
        <w:rPr>
          <w:rFonts w:ascii="Times New Roman" w:eastAsia="Times New Roman" w:hAnsi="Times New Roman" w:cs="Times New Roman"/>
          <w:color w:val="000000"/>
        </w:rPr>
        <w:t>che tutto domina senza essere dominato da niente</w:t>
      </w:r>
      <w:r w:rsidRPr="002255C4">
        <w:rPr>
          <w:rStyle w:val="Rimandonotaapidipagina"/>
          <w:rFonts w:ascii="Times New Roman" w:eastAsia="Times New Roman" w:hAnsi="Times New Roman" w:cs="Times New Roman"/>
          <w:color w:val="000000"/>
        </w:rPr>
        <w:footnoteReference w:id="70"/>
      </w:r>
      <w:r w:rsidRPr="002255C4">
        <w:rPr>
          <w:rFonts w:ascii="Times New Roman" w:eastAsia="Times New Roman" w:hAnsi="Times New Roman" w:cs="Times New Roman"/>
          <w:color w:val="000000"/>
        </w:rPr>
        <w:t>.</w:t>
      </w:r>
      <w:r w:rsidRPr="000821B6">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Tuttavia, a</w:t>
      </w:r>
      <w:r w:rsidRPr="00DB02F1">
        <w:rPr>
          <w:rFonts w:ascii="Times New Roman" w:eastAsia="Times New Roman" w:hAnsi="Times New Roman" w:cs="Times New Roman"/>
          <w:color w:val="000000"/>
        </w:rPr>
        <w:t>lla ricomposizione nel pensiero della scissione fra natura e uomo</w:t>
      </w:r>
      <w:r>
        <w:rPr>
          <w:rFonts w:ascii="Times New Roman" w:eastAsia="Times New Roman" w:hAnsi="Times New Roman" w:cs="Times New Roman"/>
          <w:color w:val="000000"/>
        </w:rPr>
        <w:t>,</w:t>
      </w:r>
      <w:r w:rsidRPr="00DB02F1">
        <w:rPr>
          <w:rFonts w:ascii="Times New Roman" w:eastAsia="Times New Roman" w:hAnsi="Times New Roman" w:cs="Times New Roman"/>
          <w:color w:val="000000"/>
        </w:rPr>
        <w:t xml:space="preserve"> non </w:t>
      </w:r>
      <w:r>
        <w:rPr>
          <w:rFonts w:ascii="Times New Roman" w:eastAsia="Times New Roman" w:hAnsi="Times New Roman" w:cs="Times New Roman"/>
          <w:color w:val="000000"/>
        </w:rPr>
        <w:t xml:space="preserve">era </w:t>
      </w:r>
      <w:r w:rsidRPr="00DB02F1">
        <w:rPr>
          <w:rFonts w:ascii="Times New Roman" w:eastAsia="Times New Roman" w:hAnsi="Times New Roman" w:cs="Times New Roman"/>
          <w:color w:val="000000"/>
        </w:rPr>
        <w:t>segu</w:t>
      </w:r>
      <w:r>
        <w:rPr>
          <w:rFonts w:ascii="Times New Roman" w:eastAsia="Times New Roman" w:hAnsi="Times New Roman" w:cs="Times New Roman"/>
          <w:color w:val="000000"/>
        </w:rPr>
        <w:t>ito</w:t>
      </w:r>
      <w:r w:rsidRPr="00DB02F1">
        <w:rPr>
          <w:rFonts w:ascii="Times New Roman" w:eastAsia="Times New Roman" w:hAnsi="Times New Roman" w:cs="Times New Roman"/>
          <w:color w:val="000000"/>
        </w:rPr>
        <w:t xml:space="preserve"> un superamento reale della loro estraneità reciproca: la </w:t>
      </w:r>
      <w:r w:rsidRPr="00DB02F1">
        <w:rPr>
          <w:rFonts w:ascii="Times New Roman" w:eastAsia="Times New Roman" w:hAnsi="Times New Roman" w:cs="Times New Roman"/>
          <w:i/>
          <w:color w:val="000000"/>
          <w:lang w:val="de-DE"/>
        </w:rPr>
        <w:t>Zerrissenheit</w:t>
      </w:r>
      <w:r w:rsidRPr="00DB02F1">
        <w:rPr>
          <w:rFonts w:ascii="Times New Roman" w:eastAsia="Times New Roman" w:hAnsi="Times New Roman" w:cs="Times New Roman"/>
          <w:color w:val="000000"/>
        </w:rPr>
        <w:t xml:space="preserve"> è ricostituita in quel terzo che si fa garante della coesistenza di due estremi mai completamente riconciliabili.</w:t>
      </w:r>
      <w:r>
        <w:rPr>
          <w:rFonts w:ascii="Times New Roman" w:eastAsia="Times New Roman" w:hAnsi="Times New Roman" w:cs="Times New Roman"/>
          <w:color w:val="000000"/>
        </w:rPr>
        <w:t xml:space="preserve"> </w:t>
      </w:r>
    </w:p>
    <w:p w14:paraId="65CD8F50" w14:textId="32431424" w:rsidR="00B244FE" w:rsidRPr="00B444A8" w:rsidRDefault="00B244FE" w:rsidP="00B244FE">
      <w:pPr>
        <w:spacing w:line="360" w:lineRule="auto"/>
        <w:ind w:firstLine="567"/>
        <w:jc w:val="both"/>
        <w:rPr>
          <w:rFonts w:ascii="Times New Roman" w:eastAsia="Times New Roman" w:hAnsi="Times New Roman" w:cs="Times New Roman"/>
          <w:color w:val="000000"/>
          <w:highlight w:val="yellow"/>
        </w:rPr>
      </w:pPr>
      <w:r w:rsidRPr="000431BE">
        <w:rPr>
          <w:rFonts w:ascii="Times New Roman" w:eastAsia="Times New Roman" w:hAnsi="Times New Roman" w:cs="Times New Roman"/>
          <w:color w:val="000000"/>
        </w:rPr>
        <w:t xml:space="preserve">Seppur contraddistinta da uno spirito di reazione, la vicenda di Nimrod segue quella strategia di pacificazione con la natura – dettata dal bisogno e dalla necessità – già adottata da Noè. Rispetto all’episodio del patriarca del diluvio, nella vicenda di Nimrod non ci sono riferimenti a quel </w:t>
      </w:r>
      <w:r w:rsidRPr="000431BE">
        <w:rPr>
          <w:rFonts w:ascii="Times New Roman" w:eastAsia="Times New Roman" w:hAnsi="Times New Roman" w:cs="Times New Roman"/>
          <w:i/>
          <w:color w:val="000000"/>
        </w:rPr>
        <w:t>pensato</w:t>
      </w:r>
      <w:r w:rsidRPr="000431BE">
        <w:rPr>
          <w:rFonts w:ascii="Times New Roman" w:eastAsia="Times New Roman" w:hAnsi="Times New Roman" w:cs="Times New Roman"/>
          <w:color w:val="000000"/>
        </w:rPr>
        <w:t xml:space="preserve"> che tutto fa oggetto del suo pensiero (dominio).</w:t>
      </w:r>
      <w:r w:rsidRPr="00B444A8">
        <w:rPr>
          <w:rFonts w:ascii="Times New Roman" w:eastAsia="Times New Roman" w:hAnsi="Times New Roman" w:cs="Times New Roman"/>
          <w:color w:val="000000"/>
        </w:rPr>
        <w:t xml:space="preserve"> La ragione di ciò risiede nella forza – che è anche impotenza – con </w:t>
      </w:r>
      <w:r w:rsidRPr="00B179E6">
        <w:rPr>
          <w:rFonts w:ascii="Times New Roman" w:eastAsia="Times New Roman" w:hAnsi="Times New Roman" w:cs="Times New Roman"/>
          <w:color w:val="000000"/>
        </w:rPr>
        <w:t>cui Nimrod resiste, senza speranza di successo, ad un nemico che Noè, dal canto suo, soggioga idealmente</w:t>
      </w:r>
      <w:r w:rsidRPr="00DB02F1">
        <w:rPr>
          <w:rFonts w:ascii="Times New Roman" w:eastAsia="Times New Roman" w:hAnsi="Times New Roman" w:cs="Times New Roman"/>
          <w:i/>
          <w:color w:val="000000"/>
        </w:rPr>
        <w:t xml:space="preserve"> </w:t>
      </w:r>
      <w:r w:rsidRPr="00DB02F1">
        <w:rPr>
          <w:rFonts w:ascii="Times New Roman" w:eastAsia="Times New Roman" w:hAnsi="Times New Roman" w:cs="Times New Roman"/>
          <w:color w:val="000000"/>
        </w:rPr>
        <w:t>per mezzo di un terzo (Dio).</w:t>
      </w:r>
      <w:r w:rsidRPr="00B444A8">
        <w:rPr>
          <w:rFonts w:ascii="Times New Roman" w:eastAsia="Times New Roman" w:hAnsi="Times New Roman" w:cs="Times New Roman"/>
          <w:color w:val="000000"/>
        </w:rPr>
        <w:t xml:space="preserve"> Riconoscere nel pensiero (in Dio) lo strumento di dominio del reale e la garanzia della pacificazione fra uomo e natura è specificità noachica assente in Nimrod, ma recuperata da un altro personaggio veterotestamentario, dall’errabondo figlio di Terach Abramo, </w:t>
      </w:r>
      <w:r w:rsidRPr="00894553">
        <w:rPr>
          <w:rFonts w:ascii="Times New Roman" w:eastAsia="Times New Roman" w:hAnsi="Times New Roman" w:cs="Times New Roman"/>
          <w:color w:val="000000"/>
        </w:rPr>
        <w:t xml:space="preserve">che radicalizza l’Idea di Noè. </w:t>
      </w:r>
      <w:r>
        <w:rPr>
          <w:rFonts w:ascii="Times New Roman" w:eastAsia="Times New Roman" w:hAnsi="Times New Roman" w:cs="Times New Roman"/>
          <w:color w:val="000000"/>
        </w:rPr>
        <w:t xml:space="preserve">Animato </w:t>
      </w:r>
      <w:r w:rsidRPr="00894553">
        <w:rPr>
          <w:rFonts w:ascii="Times New Roman" w:eastAsia="Times New Roman" w:hAnsi="Times New Roman" w:cs="Times New Roman"/>
          <w:color w:val="000000"/>
        </w:rPr>
        <w:t>dal desiderio di diventare capostipite di una nazione, Abramo recide tutti i legami con gli uomini e con la natura</w:t>
      </w:r>
      <w:r>
        <w:rPr>
          <w:rFonts w:ascii="Times New Roman" w:eastAsia="Times New Roman" w:hAnsi="Times New Roman" w:cs="Times New Roman"/>
          <w:color w:val="000000"/>
        </w:rPr>
        <w:t xml:space="preserve">: </w:t>
      </w:r>
    </w:p>
    <w:p w14:paraId="19FFCE40" w14:textId="77777777" w:rsidR="00B244FE" w:rsidRDefault="00B244FE" w:rsidP="00B244FE">
      <w:pPr>
        <w:spacing w:line="360" w:lineRule="auto"/>
        <w:ind w:firstLine="567"/>
        <w:jc w:val="both"/>
        <w:rPr>
          <w:rFonts w:ascii="Times New Roman" w:eastAsia="Times New Roman" w:hAnsi="Times New Roman" w:cs="Times New Roman"/>
          <w:color w:val="000000"/>
        </w:rPr>
      </w:pPr>
    </w:p>
    <w:p w14:paraId="05982D18" w14:textId="77777777" w:rsidR="00B244FE" w:rsidRPr="00B8258B" w:rsidRDefault="00B244FE" w:rsidP="00B244FE">
      <w:pPr>
        <w:spacing w:line="360" w:lineRule="auto"/>
        <w:ind w:left="567" w:firstLine="567"/>
        <w:jc w:val="both"/>
        <w:rPr>
          <w:rFonts w:ascii="Times New Roman" w:eastAsia="Times New Roman" w:hAnsi="Times New Roman" w:cs="Times New Roman"/>
          <w:color w:val="000000"/>
        </w:rPr>
      </w:pPr>
      <w:r w:rsidRPr="00F97C95">
        <w:rPr>
          <w:rFonts w:ascii="Times New Roman" w:eastAsia="Times New Roman" w:hAnsi="Times New Roman" w:cs="Times New Roman"/>
          <w:color w:val="000000"/>
          <w:sz w:val="20"/>
          <w:szCs w:val="20"/>
          <w:lang w:val="de-DE"/>
        </w:rPr>
        <w:t>«Abraham zum Stammvater einer Nation wird, ist eine Trennung welche die Bande des Zusammenlebens, und der Liebe zerreist, fast das Ganze der Beziehungen, in denen er mit Menschen und Natur bisher gelebt hatte, diese schöne Beziehungen seiner Jugend (Jos. 24,6) stieß er von sich […] Abraham wollte nicht lieben und darum frei seyn […] Abraham selbst wollte frei von diesen Beziehungen seyn</w:t>
      </w:r>
      <w:r w:rsidRPr="00DB3425">
        <w:rPr>
          <w:rFonts w:ascii="Times New Roman" w:eastAsia="Times New Roman" w:hAnsi="Times New Roman" w:cs="Times New Roman"/>
          <w:color w:val="000000"/>
          <w:sz w:val="20"/>
          <w:szCs w:val="20"/>
          <w:lang w:val="de-DE"/>
        </w:rPr>
        <w:t>»</w:t>
      </w:r>
      <w:r w:rsidRPr="00DB3425">
        <w:rPr>
          <w:rStyle w:val="Rimandonotaapidipagina"/>
          <w:rFonts w:ascii="Times New Roman" w:eastAsia="Times New Roman" w:hAnsi="Times New Roman" w:cs="Times New Roman"/>
          <w:color w:val="000000"/>
          <w:sz w:val="20"/>
          <w:szCs w:val="20"/>
          <w:lang w:val="de-DE"/>
        </w:rPr>
        <w:footnoteReference w:id="71"/>
      </w:r>
      <w:r w:rsidRPr="00DB3425">
        <w:rPr>
          <w:rFonts w:ascii="Times New Roman" w:eastAsia="Times New Roman" w:hAnsi="Times New Roman" w:cs="Times New Roman"/>
          <w:color w:val="000000"/>
          <w:sz w:val="20"/>
          <w:szCs w:val="20"/>
          <w:lang w:val="de-DE"/>
        </w:rPr>
        <w:t>.</w:t>
      </w:r>
    </w:p>
    <w:p w14:paraId="3A069BE7" w14:textId="77777777" w:rsidR="00B244FE" w:rsidRDefault="00B244FE" w:rsidP="00B244FE">
      <w:pPr>
        <w:spacing w:line="360" w:lineRule="auto"/>
        <w:ind w:firstLine="567"/>
        <w:jc w:val="both"/>
        <w:rPr>
          <w:rFonts w:ascii="Times New Roman" w:eastAsia="Times New Roman" w:hAnsi="Times New Roman" w:cs="Times New Roman"/>
          <w:color w:val="000000"/>
        </w:rPr>
      </w:pPr>
    </w:p>
    <w:p w14:paraId="2A97D0E0" w14:textId="4E7E51D2" w:rsidR="00B244FE" w:rsidRDefault="00B244FE" w:rsidP="00B244FE">
      <w:pPr>
        <w:spacing w:line="360" w:lineRule="auto"/>
        <w:ind w:firstLine="567"/>
        <w:jc w:val="both"/>
        <w:rPr>
          <w:rFonts w:ascii="Times New Roman" w:eastAsia="Times New Roman" w:hAnsi="Times New Roman" w:cs="Times New Roman"/>
          <w:color w:val="000000"/>
        </w:rPr>
      </w:pPr>
      <w:r w:rsidRPr="00894553">
        <w:rPr>
          <w:rFonts w:ascii="Times New Roman" w:eastAsia="Times New Roman" w:hAnsi="Times New Roman" w:cs="Times New Roman"/>
          <w:color w:val="000000"/>
        </w:rPr>
        <w:t xml:space="preserve">Rinunciando ad amare, ossia ad avere legami </w:t>
      </w:r>
      <w:r w:rsidR="00024601">
        <w:rPr>
          <w:rFonts w:ascii="Times New Roman" w:eastAsia="Times New Roman" w:hAnsi="Times New Roman" w:cs="Times New Roman"/>
          <w:color w:val="000000"/>
        </w:rPr>
        <w:t xml:space="preserve">con l’altro da sé in generale, </w:t>
      </w:r>
      <w:r w:rsidRPr="00894553">
        <w:rPr>
          <w:rFonts w:ascii="Times New Roman" w:eastAsia="Times New Roman" w:hAnsi="Times New Roman" w:cs="Times New Roman"/>
          <w:color w:val="000000"/>
        </w:rPr>
        <w:t xml:space="preserve">Abramo innalza la </w:t>
      </w:r>
      <w:r w:rsidRPr="00894553">
        <w:rPr>
          <w:rFonts w:ascii="Times New Roman" w:eastAsia="Times New Roman" w:hAnsi="Times New Roman" w:cs="Times New Roman"/>
          <w:i/>
          <w:color w:val="000000"/>
        </w:rPr>
        <w:t>Trennung</w:t>
      </w:r>
      <w:r>
        <w:rPr>
          <w:rFonts w:ascii="Times New Roman" w:eastAsia="Times New Roman" w:hAnsi="Times New Roman" w:cs="Times New Roman"/>
          <w:color w:val="000000"/>
        </w:rPr>
        <w:t xml:space="preserve"> </w:t>
      </w:r>
      <w:r w:rsidRPr="00894553">
        <w:rPr>
          <w:rFonts w:ascii="Times New Roman" w:eastAsia="Times New Roman" w:hAnsi="Times New Roman" w:cs="Times New Roman"/>
          <w:color w:val="000000"/>
        </w:rPr>
        <w:t>a principio del suo essere nel mondo e fra le genti</w:t>
      </w:r>
      <w:r w:rsidRPr="00894553">
        <w:rPr>
          <w:rStyle w:val="Rimandonotaapidipagina"/>
          <w:rFonts w:ascii="Times New Roman" w:eastAsia="Times New Roman" w:hAnsi="Times New Roman" w:cs="Times New Roman"/>
          <w:color w:val="000000"/>
        </w:rPr>
        <w:footnoteReference w:id="72"/>
      </w:r>
      <w:r w:rsidRPr="00894553">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Privo d’interesse per la natura, Abramo passa da una terra all’altra con le sue greggi, servendosi di ciò di cui abbisogna e </w:t>
      </w:r>
      <w:r w:rsidRPr="00FF1247">
        <w:rPr>
          <w:rFonts w:ascii="Times New Roman" w:eastAsia="Times New Roman" w:hAnsi="Times New Roman" w:cs="Times New Roman"/>
          <w:color w:val="000000"/>
        </w:rPr>
        <w:t>trascurando l’ambiente che di volta in volta gli offre riparo</w:t>
      </w:r>
      <w:r w:rsidRPr="00FF1247">
        <w:rPr>
          <w:rStyle w:val="Rimandonotaapidipagina"/>
          <w:rFonts w:ascii="Times New Roman" w:eastAsia="Times New Roman" w:hAnsi="Times New Roman" w:cs="Times New Roman"/>
          <w:color w:val="000000"/>
        </w:rPr>
        <w:footnoteReference w:id="73"/>
      </w:r>
      <w:r w:rsidRPr="00FF1247">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Straniero in ogni nazione e spinto soltanto dalla necessità ad intessere rapporti con altre popolazioni, Abramo si mantiene slegato da tutti e suggella questa sua separazione con un segno fisico, che impone anche alla sua discendenza</w:t>
      </w:r>
      <w:r>
        <w:rPr>
          <w:rStyle w:val="Rimandonotaapidipagina"/>
          <w:rFonts w:ascii="Times New Roman" w:eastAsia="Times New Roman" w:hAnsi="Times New Roman" w:cs="Times New Roman"/>
          <w:color w:val="000000"/>
        </w:rPr>
        <w:footnoteReference w:id="74"/>
      </w:r>
      <w:r>
        <w:rPr>
          <w:rFonts w:ascii="Times New Roman" w:eastAsia="Times New Roman" w:hAnsi="Times New Roman" w:cs="Times New Roman"/>
          <w:color w:val="000000"/>
        </w:rPr>
        <w:t>. Ostile al genere umano e osteggiato dal mondo, Abramo, che pur vorrebbe dominare una realtà che reputa antagonistica, ha coscienza dell’impossibilità d’esercitare un dominio reale su «die ganze schlechtin entgegengesetzte Welt</w:t>
      </w:r>
      <w:r w:rsidRPr="00F875A1">
        <w:rPr>
          <w:rFonts w:ascii="Times New Roman" w:eastAsia="Times New Roman" w:hAnsi="Times New Roman" w:cs="Times New Roman"/>
          <w:color w:val="000000"/>
          <w:lang w:val="de-DE"/>
        </w:rPr>
        <w:t>»</w:t>
      </w:r>
      <w:r>
        <w:rPr>
          <w:rStyle w:val="Rimandonotaapidipagina"/>
          <w:rFonts w:ascii="Times New Roman" w:eastAsia="Times New Roman" w:hAnsi="Times New Roman" w:cs="Times New Roman"/>
          <w:color w:val="000000"/>
          <w:lang w:val="de-DE"/>
        </w:rPr>
        <w:footnoteReference w:id="75"/>
      </w:r>
      <w:r>
        <w:rPr>
          <w:rFonts w:ascii="Times New Roman" w:eastAsia="Times New Roman" w:hAnsi="Times New Roman" w:cs="Times New Roman"/>
          <w:color w:val="000000"/>
          <w:lang w:val="de-DE"/>
        </w:rPr>
        <w:t xml:space="preserve">. </w:t>
      </w:r>
      <w:r w:rsidRPr="00F875A1">
        <w:rPr>
          <w:rFonts w:ascii="Times New Roman" w:eastAsia="Times New Roman" w:hAnsi="Times New Roman" w:cs="Times New Roman"/>
          <w:color w:val="000000"/>
        </w:rPr>
        <w:t xml:space="preserve">É </w:t>
      </w:r>
      <w:r>
        <w:rPr>
          <w:rFonts w:ascii="Times New Roman" w:eastAsia="Times New Roman" w:hAnsi="Times New Roman" w:cs="Times New Roman"/>
          <w:color w:val="000000"/>
        </w:rPr>
        <w:t xml:space="preserve">nel pensiero e attraverso un pensato che la natura può essere dominata: </w:t>
      </w:r>
      <w:r w:rsidRPr="009A5E3E">
        <w:rPr>
          <w:rFonts w:ascii="Times New Roman" w:eastAsia="Times New Roman" w:hAnsi="Times New Roman" w:cs="Times New Roman"/>
          <w:color w:val="000000"/>
          <w:lang w:val="de-DE"/>
        </w:rPr>
        <w:t>«das Gedachte erhoben zur herrschenden Einheit über die unendliche feindselige Natur, denn feindseliges kan nur in die Beziehung der Herrschaft kommen»</w:t>
      </w:r>
      <w:r w:rsidRPr="009A5E3E">
        <w:rPr>
          <w:rStyle w:val="Rimandonotaapidipagina"/>
          <w:rFonts w:ascii="Times New Roman" w:eastAsia="Times New Roman" w:hAnsi="Times New Roman" w:cs="Times New Roman"/>
          <w:color w:val="000000"/>
          <w:lang w:val="de-DE"/>
        </w:rPr>
        <w:footnoteReference w:id="76"/>
      </w:r>
      <w:r>
        <w:rPr>
          <w:rFonts w:ascii="Times New Roman" w:eastAsia="Times New Roman" w:hAnsi="Times New Roman" w:cs="Times New Roman"/>
          <w:color w:val="000000"/>
          <w:lang w:val="de-DE"/>
        </w:rPr>
        <w:t xml:space="preserve">. </w:t>
      </w:r>
      <w:r w:rsidRPr="00C27D5E">
        <w:rPr>
          <w:rFonts w:ascii="Times New Roman" w:eastAsia="Times New Roman" w:hAnsi="Times New Roman" w:cs="Times New Roman"/>
          <w:color w:val="000000"/>
        </w:rPr>
        <w:t>Stessa cosa per il mondo</w:t>
      </w:r>
      <w:r>
        <w:rPr>
          <w:rFonts w:ascii="Times New Roman" w:eastAsia="Times New Roman" w:hAnsi="Times New Roman" w:cs="Times New Roman"/>
          <w:color w:val="000000"/>
          <w:lang w:val="de-DE"/>
        </w:rPr>
        <w:t>: «da Abraham selbst die einzige mögliche Beziehung, welche für die entgegengesetzte unendliche Welt möglich war, die Beherrschung, nicht realisieren konnte, so blieb sie seinem Ideal überlassen</w:t>
      </w:r>
      <w:r w:rsidRPr="009A5E3E">
        <w:rPr>
          <w:rFonts w:ascii="Times New Roman" w:eastAsia="Times New Roman" w:hAnsi="Times New Roman" w:cs="Times New Roman"/>
          <w:color w:val="000000"/>
          <w:lang w:val="de-DE"/>
        </w:rPr>
        <w:t>»</w:t>
      </w:r>
      <w:r w:rsidRPr="009A5E3E">
        <w:rPr>
          <w:rStyle w:val="Rimandonotaapidipagina"/>
          <w:rFonts w:ascii="Times New Roman" w:eastAsia="Times New Roman" w:hAnsi="Times New Roman" w:cs="Times New Roman"/>
          <w:color w:val="000000"/>
          <w:lang w:val="de-DE"/>
        </w:rPr>
        <w:footnoteReference w:id="77"/>
      </w:r>
      <w:r>
        <w:rPr>
          <w:rFonts w:ascii="Times New Roman" w:eastAsia="Times New Roman" w:hAnsi="Times New Roman" w:cs="Times New Roman"/>
          <w:color w:val="000000"/>
          <w:lang w:val="de-DE"/>
        </w:rPr>
        <w:t xml:space="preserve">. </w:t>
      </w:r>
      <w:r w:rsidRPr="002C2E7E">
        <w:rPr>
          <w:rFonts w:ascii="Times New Roman" w:eastAsia="Times New Roman" w:hAnsi="Times New Roman" w:cs="Times New Roman"/>
          <w:color w:val="000000"/>
        </w:rPr>
        <w:t>Questo pensato domina tutta la realtà ed esercita la sua signoria perfino su Abramo, che, a dispetto del mondo, rimettendosi al suo Signore e servendolo incondizionatamente, ne ottiene il favore. Un favore, lasciato in eredità ai suoi discendenti, che consiste in ciò:</w:t>
      </w:r>
    </w:p>
    <w:p w14:paraId="1D34E0B1" w14:textId="77777777" w:rsidR="00B244FE" w:rsidRDefault="00B244FE" w:rsidP="00B244FE">
      <w:pPr>
        <w:spacing w:line="360" w:lineRule="auto"/>
        <w:ind w:firstLine="567"/>
        <w:jc w:val="both"/>
        <w:rPr>
          <w:rFonts w:ascii="Times New Roman" w:eastAsia="Times New Roman" w:hAnsi="Times New Roman" w:cs="Times New Roman"/>
          <w:color w:val="000000"/>
        </w:rPr>
      </w:pPr>
    </w:p>
    <w:p w14:paraId="109CAC70" w14:textId="77777777" w:rsidR="00B244FE" w:rsidRPr="00B43DA6" w:rsidRDefault="00B244FE" w:rsidP="00B244FE">
      <w:pPr>
        <w:spacing w:line="360" w:lineRule="auto"/>
        <w:ind w:left="567" w:firstLine="567"/>
        <w:jc w:val="both"/>
        <w:rPr>
          <w:rFonts w:ascii="Times New Roman" w:eastAsia="Times New Roman" w:hAnsi="Times New Roman" w:cs="Times New Roman"/>
          <w:color w:val="000000"/>
          <w:sz w:val="20"/>
          <w:szCs w:val="20"/>
        </w:rPr>
      </w:pPr>
      <w:r w:rsidRPr="00B43DA6">
        <w:rPr>
          <w:rFonts w:ascii="Times New Roman" w:eastAsia="Times New Roman" w:hAnsi="Times New Roman" w:cs="Times New Roman"/>
          <w:color w:val="000000"/>
          <w:sz w:val="20"/>
          <w:szCs w:val="20"/>
        </w:rPr>
        <w:t>«</w:t>
      </w:r>
      <w:r w:rsidRPr="00B43DA6">
        <w:rPr>
          <w:rFonts w:ascii="Times New Roman" w:eastAsia="Times New Roman" w:hAnsi="Times New Roman" w:cs="Times New Roman"/>
          <w:color w:val="000000"/>
          <w:sz w:val="20"/>
          <w:szCs w:val="20"/>
          <w:lang w:val="de-DE"/>
        </w:rPr>
        <w:t>So war die Gottheit Abrahams beschaffen, den Glauben an dieselbe überlieferte sich seine Nachkommen bis in die späteste Generationen. Ein unendliches Object, dem dieses Volk diente, und das ihm wieder diente […] Nach Abraham fasten noch von Zeit zu Zeit mehrere große Einheit, aber da sich seine Nachkommen zu einem Volk ausdehnten, so wurde der Gegenstand der Gottheit, nicht mehr ein einzelner, sondern das ganze Volk, der Staat; jeder einzelne Jude diente noch dem unendlichen Objekte, aber dieses diente nur dem Ganzen, oder den Machthabern des Ganzen, den Hohepriestern, nicht mehr dem einzelnen»</w:t>
      </w:r>
      <w:r>
        <w:rPr>
          <w:rStyle w:val="Rimandonotaapidipagina"/>
          <w:rFonts w:ascii="Times New Roman" w:eastAsia="Times New Roman" w:hAnsi="Times New Roman" w:cs="Times New Roman"/>
          <w:color w:val="000000"/>
          <w:sz w:val="20"/>
          <w:szCs w:val="20"/>
          <w:lang w:val="de-DE"/>
        </w:rPr>
        <w:footnoteReference w:id="78"/>
      </w:r>
      <w:r>
        <w:rPr>
          <w:rFonts w:ascii="Times New Roman" w:eastAsia="Times New Roman" w:hAnsi="Times New Roman" w:cs="Times New Roman"/>
          <w:color w:val="000000"/>
          <w:sz w:val="20"/>
          <w:szCs w:val="20"/>
          <w:lang w:val="de-DE"/>
        </w:rPr>
        <w:t>.</w:t>
      </w:r>
    </w:p>
    <w:p w14:paraId="658FF8C3" w14:textId="77777777" w:rsidR="00B244FE" w:rsidRDefault="00B244FE" w:rsidP="00B244FE">
      <w:pPr>
        <w:spacing w:line="360" w:lineRule="auto"/>
        <w:ind w:firstLine="567"/>
        <w:jc w:val="both"/>
        <w:rPr>
          <w:rFonts w:ascii="Times New Roman" w:eastAsia="Times New Roman" w:hAnsi="Times New Roman" w:cs="Times New Roman"/>
          <w:color w:val="000000"/>
        </w:rPr>
      </w:pPr>
    </w:p>
    <w:p w14:paraId="5F4733E5" w14:textId="69087398" w:rsidR="00B244FE" w:rsidRDefault="00B244FE" w:rsidP="00B244FE">
      <w:pPr>
        <w:spacing w:line="360" w:lineRule="auto"/>
        <w:ind w:firstLine="567"/>
        <w:jc w:val="both"/>
        <w:rPr>
          <w:rFonts w:ascii="Times New Roman" w:eastAsia="Times New Roman" w:hAnsi="Times New Roman" w:cs="Times New Roman"/>
          <w:color w:val="000000"/>
        </w:rPr>
      </w:pPr>
      <w:r w:rsidRPr="002C2E7E">
        <w:rPr>
          <w:rFonts w:ascii="Times New Roman" w:eastAsia="Times New Roman" w:hAnsi="Times New Roman" w:cs="Times New Roman"/>
          <w:color w:val="000000"/>
        </w:rPr>
        <w:t>Un oggetto infinito, a cui il popolo – inteso sia come discendenza immediata di Abramo che come Intero o Stato – obbedisce tutto. Ma non solo: anche l’oggetto infinito obbedisce</w:t>
      </w:r>
      <w:r w:rsidR="00E16A58">
        <w:rPr>
          <w:rFonts w:ascii="Times New Roman" w:eastAsia="Times New Roman" w:hAnsi="Times New Roman" w:cs="Times New Roman"/>
          <w:color w:val="000000"/>
        </w:rPr>
        <w:t xml:space="preserve"> al suo popolo. Il fatto che la divinità</w:t>
      </w:r>
      <w:r w:rsidRPr="002C2E7E">
        <w:rPr>
          <w:rFonts w:ascii="Times New Roman" w:eastAsia="Times New Roman" w:hAnsi="Times New Roman" w:cs="Times New Roman"/>
          <w:color w:val="000000"/>
        </w:rPr>
        <w:t xml:space="preserve"> obbedisca al popolo ebraico e che lo serva di tanto in tanto stride con l’idea di un oggetto assoluto, dominatore di tutta la realtà. Il favore che </w:t>
      </w:r>
      <w:r w:rsidR="00E16A58">
        <w:rPr>
          <w:rFonts w:ascii="Times New Roman" w:eastAsia="Times New Roman" w:hAnsi="Times New Roman" w:cs="Times New Roman"/>
          <w:color w:val="000000"/>
        </w:rPr>
        <w:t xml:space="preserve">il divino </w:t>
      </w:r>
      <w:r w:rsidRPr="002C2E7E">
        <w:rPr>
          <w:rFonts w:ascii="Times New Roman" w:eastAsia="Times New Roman" w:hAnsi="Times New Roman" w:cs="Times New Roman"/>
          <w:color w:val="000000"/>
        </w:rPr>
        <w:t>mostra nei confronti di Abramo e della sua discendenza non determina uno sbilanciamento di una dinamica relazionale in cui Dio domina e l’uomo serve. Esemplificativo di ciò è l’elezione degli ebrei per la fondazione di uno stato:</w:t>
      </w:r>
    </w:p>
    <w:p w14:paraId="499EB6FA" w14:textId="77777777" w:rsidR="00B244FE" w:rsidRDefault="00B244FE" w:rsidP="00B244FE">
      <w:pPr>
        <w:spacing w:line="360" w:lineRule="auto"/>
        <w:ind w:firstLine="567"/>
        <w:jc w:val="both"/>
        <w:rPr>
          <w:rFonts w:ascii="Times New Roman" w:eastAsia="Times New Roman" w:hAnsi="Times New Roman" w:cs="Times New Roman"/>
          <w:color w:val="000000"/>
        </w:rPr>
      </w:pPr>
    </w:p>
    <w:p w14:paraId="68DE660A" w14:textId="77777777" w:rsidR="00B244FE" w:rsidRPr="00056DB1" w:rsidRDefault="00B244FE" w:rsidP="00B244FE">
      <w:pPr>
        <w:spacing w:line="360" w:lineRule="auto"/>
        <w:ind w:left="567" w:firstLine="567"/>
        <w:jc w:val="both"/>
        <w:rPr>
          <w:rFonts w:ascii="Times New Roman" w:eastAsia="Times New Roman" w:hAnsi="Times New Roman" w:cs="Times New Roman"/>
          <w:color w:val="000000"/>
          <w:sz w:val="20"/>
          <w:szCs w:val="20"/>
          <w:lang w:val="de-DE"/>
        </w:rPr>
      </w:pPr>
      <w:r w:rsidRPr="00056DB1">
        <w:rPr>
          <w:rFonts w:ascii="Times New Roman" w:eastAsia="Times New Roman" w:hAnsi="Times New Roman" w:cs="Times New Roman"/>
          <w:color w:val="000000"/>
          <w:sz w:val="20"/>
          <w:szCs w:val="20"/>
          <w:lang w:val="de-DE"/>
        </w:rPr>
        <w:t>«Das Princip der ganzen Gesezgebung war der von den Voreltern ere</w:t>
      </w:r>
      <w:r>
        <w:rPr>
          <w:rFonts w:ascii="Times New Roman" w:eastAsia="Times New Roman" w:hAnsi="Times New Roman" w:cs="Times New Roman"/>
          <w:color w:val="000000"/>
          <w:sz w:val="20"/>
          <w:szCs w:val="20"/>
          <w:lang w:val="de-DE"/>
        </w:rPr>
        <w:t>rbte Geist, das Unendliche Objek</w:t>
      </w:r>
      <w:r w:rsidRPr="00056DB1">
        <w:rPr>
          <w:rFonts w:ascii="Times New Roman" w:eastAsia="Times New Roman" w:hAnsi="Times New Roman" w:cs="Times New Roman"/>
          <w:color w:val="000000"/>
          <w:sz w:val="20"/>
          <w:szCs w:val="20"/>
          <w:lang w:val="de-DE"/>
        </w:rPr>
        <w:t>t, der Inbegriff aller Wahrheit, und aller Beziehungen, also e</w:t>
      </w:r>
      <w:r>
        <w:rPr>
          <w:rFonts w:ascii="Times New Roman" w:eastAsia="Times New Roman" w:hAnsi="Times New Roman" w:cs="Times New Roman"/>
          <w:color w:val="000000"/>
          <w:sz w:val="20"/>
          <w:szCs w:val="20"/>
          <w:lang w:val="de-DE"/>
        </w:rPr>
        <w:t>igentlicher da es nur erst Objek</w:t>
      </w:r>
      <w:r w:rsidRPr="00056DB1">
        <w:rPr>
          <w:rFonts w:ascii="Times New Roman" w:eastAsia="Times New Roman" w:hAnsi="Times New Roman" w:cs="Times New Roman"/>
          <w:color w:val="000000"/>
          <w:sz w:val="20"/>
          <w:szCs w:val="20"/>
          <w:lang w:val="de-DE"/>
        </w:rPr>
        <w:t>t genannt werden kann, in sofern der Mensch mit seinem geschenkten Leben vorausgesetzt wird, und das lebendige das absolute Subjekt heißt, das einzige, unendliche Subjekt; so zu sagen die einzige Synthese, und die Antithesen sind das Jüdische Volk einerseits, und anderer Seits das ganze übrige Menschengeschlecht, und Welt – Diese Antithesen sind die wahren, reinen Objekte, das was diese gegen ein außer ihnen befindliches – unendliche</w:t>
      </w:r>
      <w:r>
        <w:rPr>
          <w:rFonts w:ascii="Times New Roman" w:eastAsia="Times New Roman" w:hAnsi="Times New Roman" w:cs="Times New Roman"/>
          <w:color w:val="000000"/>
          <w:sz w:val="20"/>
          <w:szCs w:val="20"/>
          <w:lang w:val="de-DE"/>
        </w:rPr>
        <w:t>s sind, ohne Gehalt und leer, oh</w:t>
      </w:r>
      <w:r w:rsidRPr="00056DB1">
        <w:rPr>
          <w:rFonts w:ascii="Times New Roman" w:eastAsia="Times New Roman" w:hAnsi="Times New Roman" w:cs="Times New Roman"/>
          <w:color w:val="000000"/>
          <w:sz w:val="20"/>
          <w:szCs w:val="20"/>
          <w:lang w:val="de-DE"/>
        </w:rPr>
        <w:t>ne Leben, nicht einmal todt, – ein Nichts – nur ein etwas, so weit das unend</w:t>
      </w:r>
      <w:r>
        <w:rPr>
          <w:rFonts w:ascii="Times New Roman" w:eastAsia="Times New Roman" w:hAnsi="Times New Roman" w:cs="Times New Roman"/>
          <w:color w:val="000000"/>
          <w:sz w:val="20"/>
          <w:szCs w:val="20"/>
          <w:lang w:val="de-DE"/>
        </w:rPr>
        <w:t>liche Objekt sie zu etwas macht</w:t>
      </w:r>
      <w:r w:rsidRPr="00056DB1">
        <w:rPr>
          <w:rFonts w:ascii="Times New Roman" w:eastAsia="Times New Roman" w:hAnsi="Times New Roman" w:cs="Times New Roman"/>
          <w:color w:val="000000"/>
          <w:sz w:val="20"/>
          <w:szCs w:val="20"/>
          <w:lang w:val="de-DE"/>
        </w:rPr>
        <w:t xml:space="preserve"> ein gemachtes Seyendes, das kein Leben, kein Recht, keine Liebe für sich hat</w:t>
      </w:r>
      <w:r w:rsidRPr="00B43DA6">
        <w:rPr>
          <w:rFonts w:ascii="Times New Roman" w:eastAsia="Times New Roman" w:hAnsi="Times New Roman" w:cs="Times New Roman"/>
          <w:color w:val="000000"/>
          <w:sz w:val="20"/>
          <w:szCs w:val="20"/>
          <w:lang w:val="de-DE"/>
        </w:rPr>
        <w:t>»</w:t>
      </w:r>
      <w:r>
        <w:rPr>
          <w:rStyle w:val="Rimandonotaapidipagina"/>
          <w:rFonts w:ascii="Times New Roman" w:eastAsia="Times New Roman" w:hAnsi="Times New Roman" w:cs="Times New Roman"/>
          <w:color w:val="000000"/>
          <w:sz w:val="20"/>
          <w:szCs w:val="20"/>
          <w:lang w:val="de-DE"/>
        </w:rPr>
        <w:footnoteReference w:id="79"/>
      </w:r>
      <w:r>
        <w:rPr>
          <w:rFonts w:ascii="Times New Roman" w:eastAsia="Times New Roman" w:hAnsi="Times New Roman" w:cs="Times New Roman"/>
          <w:color w:val="000000"/>
          <w:sz w:val="20"/>
          <w:szCs w:val="20"/>
          <w:lang w:val="de-DE"/>
        </w:rPr>
        <w:t>.</w:t>
      </w:r>
    </w:p>
    <w:p w14:paraId="36FD89F1" w14:textId="77777777" w:rsidR="00B244FE" w:rsidRDefault="00B244FE" w:rsidP="00B244FE">
      <w:pPr>
        <w:spacing w:line="360" w:lineRule="auto"/>
        <w:ind w:firstLine="567"/>
        <w:jc w:val="both"/>
        <w:rPr>
          <w:rFonts w:ascii="Times New Roman" w:eastAsia="Times New Roman" w:hAnsi="Times New Roman" w:cs="Times New Roman"/>
          <w:color w:val="000000"/>
        </w:rPr>
      </w:pPr>
    </w:p>
    <w:p w14:paraId="37A1A324" w14:textId="14361CBD" w:rsidR="00B244FE" w:rsidRDefault="00B244FE" w:rsidP="00B244FE">
      <w:pPr>
        <w:spacing w:line="360" w:lineRule="auto"/>
        <w:ind w:firstLine="567"/>
        <w:jc w:val="both"/>
        <w:rPr>
          <w:rFonts w:ascii="Times New Roman" w:eastAsia="Times New Roman" w:hAnsi="Times New Roman" w:cs="Times New Roman"/>
          <w:color w:val="000000"/>
        </w:rPr>
      </w:pPr>
      <w:r w:rsidRPr="000431BE">
        <w:rPr>
          <w:rFonts w:ascii="Times New Roman" w:eastAsia="Times New Roman" w:hAnsi="Times New Roman" w:cs="Times New Roman"/>
          <w:color w:val="000000"/>
        </w:rPr>
        <w:t xml:space="preserve">Le primissime righe della citazione si riferiscono alla fondazione mosaica della Stato: </w:t>
      </w:r>
      <w:r w:rsidR="002B34D6" w:rsidRPr="000431BE">
        <w:rPr>
          <w:rFonts w:ascii="Times New Roman" w:eastAsia="Times New Roman" w:hAnsi="Times New Roman" w:cs="Times New Roman"/>
          <w:color w:val="000000"/>
        </w:rPr>
        <w:t xml:space="preserve">Mosè, </w:t>
      </w:r>
      <w:r w:rsidRPr="000431BE">
        <w:rPr>
          <w:rFonts w:ascii="Times New Roman" w:eastAsia="Times New Roman" w:hAnsi="Times New Roman" w:cs="Times New Roman"/>
          <w:color w:val="000000"/>
        </w:rPr>
        <w:t xml:space="preserve">il </w:t>
      </w:r>
      <w:r w:rsidR="002B34D6" w:rsidRPr="000431BE">
        <w:rPr>
          <w:rFonts w:ascii="Times New Roman" w:eastAsia="Times New Roman" w:hAnsi="Times New Roman" w:cs="Times New Roman"/>
          <w:color w:val="000000"/>
        </w:rPr>
        <w:t>liberatore del popolo ebraico, è stato</w:t>
      </w:r>
      <w:r w:rsidRPr="000431BE">
        <w:rPr>
          <w:rFonts w:ascii="Times New Roman" w:eastAsia="Times New Roman" w:hAnsi="Times New Roman" w:cs="Times New Roman"/>
          <w:color w:val="000000"/>
        </w:rPr>
        <w:t xml:space="preserve"> anche il suo legislatore</w:t>
      </w:r>
      <w:r w:rsidRPr="000431BE">
        <w:rPr>
          <w:rStyle w:val="Rimandonotaapidipagina"/>
          <w:rFonts w:ascii="Times New Roman" w:eastAsia="Times New Roman" w:hAnsi="Times New Roman" w:cs="Times New Roman"/>
          <w:color w:val="000000"/>
        </w:rPr>
        <w:footnoteReference w:id="80"/>
      </w:r>
      <w:r w:rsidRPr="000431BE">
        <w:rPr>
          <w:rFonts w:ascii="Times New Roman" w:eastAsia="Times New Roman" w:hAnsi="Times New Roman" w:cs="Times New Roman"/>
          <w:color w:val="000000"/>
        </w:rPr>
        <w:t>. In vest</w:t>
      </w:r>
      <w:r w:rsidR="000D0224" w:rsidRPr="000431BE">
        <w:rPr>
          <w:rFonts w:ascii="Times New Roman" w:eastAsia="Times New Roman" w:hAnsi="Times New Roman" w:cs="Times New Roman"/>
          <w:color w:val="000000"/>
        </w:rPr>
        <w:t xml:space="preserve">e di capo politico, Mosè </w:t>
      </w:r>
      <w:r w:rsidR="006C799B" w:rsidRPr="000431BE">
        <w:rPr>
          <w:rFonts w:ascii="Times New Roman" w:eastAsia="Times New Roman" w:hAnsi="Times New Roman" w:cs="Times New Roman"/>
          <w:color w:val="000000"/>
        </w:rPr>
        <w:t xml:space="preserve">edifica </w:t>
      </w:r>
      <w:r w:rsidRPr="000431BE">
        <w:rPr>
          <w:rFonts w:ascii="Times New Roman" w:eastAsia="Times New Roman" w:hAnsi="Times New Roman" w:cs="Times New Roman"/>
          <w:color w:val="000000"/>
        </w:rPr>
        <w:t>lo Stato su un unico principio, sull’oggetto infinito, in grado di penetrare tutti i rapporti politico-religiosi della comunità. Per realiz</w:t>
      </w:r>
      <w:r w:rsidR="00C26635">
        <w:rPr>
          <w:rFonts w:ascii="Times New Roman" w:eastAsia="Times New Roman" w:hAnsi="Times New Roman" w:cs="Times New Roman"/>
          <w:color w:val="000000"/>
        </w:rPr>
        <w:t>zare quest'assetto teocratico, la divinità</w:t>
      </w:r>
      <w:r>
        <w:rPr>
          <w:rFonts w:ascii="Times New Roman" w:eastAsia="Times New Roman" w:hAnsi="Times New Roman" w:cs="Times New Roman"/>
          <w:color w:val="000000"/>
        </w:rPr>
        <w:t xml:space="preserve"> rende il popolo ebraico – un nulla privo di forma – un qualcosa che, in quanto </w:t>
      </w:r>
      <w:r w:rsidRPr="00D72C59">
        <w:rPr>
          <w:rFonts w:ascii="Times New Roman" w:eastAsia="Times New Roman" w:hAnsi="Times New Roman" w:cs="Times New Roman"/>
          <w:i/>
          <w:color w:val="000000"/>
        </w:rPr>
        <w:t>fatto</w:t>
      </w:r>
      <w:r>
        <w:rPr>
          <w:rFonts w:ascii="Times New Roman" w:eastAsia="Times New Roman" w:hAnsi="Times New Roman" w:cs="Times New Roman"/>
          <w:color w:val="000000"/>
        </w:rPr>
        <w:t xml:space="preserve"> vivente, </w:t>
      </w:r>
      <w:r w:rsidRPr="00D62F51">
        <w:rPr>
          <w:rFonts w:ascii="Times New Roman" w:eastAsia="Times New Roman" w:hAnsi="Times New Roman" w:cs="Times New Roman"/>
          <w:color w:val="000000"/>
        </w:rPr>
        <w:t xml:space="preserve">non rivendica per sé né vita, né diritto, né amore. </w:t>
      </w:r>
      <w:r w:rsidR="00C26635" w:rsidRPr="000431BE">
        <w:rPr>
          <w:rFonts w:ascii="Times New Roman" w:eastAsia="Times New Roman" w:hAnsi="Times New Roman" w:cs="Times New Roman"/>
          <w:color w:val="000000"/>
        </w:rPr>
        <w:t>Yahweh</w:t>
      </w:r>
      <w:r w:rsidRPr="000431BE">
        <w:rPr>
          <w:rFonts w:ascii="Times New Roman" w:eastAsia="Times New Roman" w:hAnsi="Times New Roman" w:cs="Times New Roman"/>
          <w:color w:val="000000"/>
        </w:rPr>
        <w:t xml:space="preserve"> fa degli ebrei un qualcosa non perché li abbia a cuore, ma per </w:t>
      </w:r>
      <w:r w:rsidR="00336D7A" w:rsidRPr="000431BE">
        <w:rPr>
          <w:rFonts w:ascii="Times New Roman" w:eastAsia="Times New Roman" w:hAnsi="Times New Roman" w:cs="Times New Roman"/>
          <w:color w:val="000000"/>
        </w:rPr>
        <w:t xml:space="preserve">dominare </w:t>
      </w:r>
      <w:r w:rsidR="00E847BD" w:rsidRPr="000431BE">
        <w:rPr>
          <w:rFonts w:ascii="Times New Roman" w:eastAsia="Times New Roman" w:hAnsi="Times New Roman" w:cs="Times New Roman"/>
          <w:color w:val="000000"/>
        </w:rPr>
        <w:t xml:space="preserve">(annullare) </w:t>
      </w:r>
      <w:r w:rsidR="00336D7A" w:rsidRPr="000431BE">
        <w:rPr>
          <w:rFonts w:ascii="Times New Roman" w:eastAsia="Times New Roman" w:hAnsi="Times New Roman" w:cs="Times New Roman"/>
          <w:color w:val="000000"/>
        </w:rPr>
        <w:t xml:space="preserve">ancora di più </w:t>
      </w:r>
      <w:r w:rsidR="000D0224" w:rsidRPr="000431BE">
        <w:rPr>
          <w:rFonts w:ascii="Times New Roman" w:eastAsia="Times New Roman" w:hAnsi="Times New Roman" w:cs="Times New Roman"/>
          <w:color w:val="000000"/>
        </w:rPr>
        <w:t xml:space="preserve">coloro </w:t>
      </w:r>
      <w:r w:rsidR="00E847BD" w:rsidRPr="000431BE">
        <w:rPr>
          <w:rFonts w:ascii="Times New Roman" w:eastAsia="Times New Roman" w:hAnsi="Times New Roman" w:cs="Times New Roman"/>
          <w:color w:val="000000"/>
        </w:rPr>
        <w:t>che hanno goduto del suo favore</w:t>
      </w:r>
      <w:r w:rsidRPr="000431BE">
        <w:rPr>
          <w:rFonts w:ascii="Times New Roman" w:eastAsia="Times New Roman" w:hAnsi="Times New Roman" w:cs="Times New Roman"/>
          <w:color w:val="000000"/>
        </w:rPr>
        <w:t>: dipendenti in tutto e per tutto da</w:t>
      </w:r>
      <w:r w:rsidR="00D10102">
        <w:rPr>
          <w:rFonts w:ascii="Times New Roman" w:eastAsia="Times New Roman" w:hAnsi="Times New Roman" w:cs="Times New Roman"/>
          <w:color w:val="000000"/>
        </w:rPr>
        <w:t>l loro Dio</w:t>
      </w:r>
      <w:r w:rsidRPr="000431BE">
        <w:rPr>
          <w:rFonts w:ascii="Times New Roman" w:eastAsia="Times New Roman" w:hAnsi="Times New Roman" w:cs="Times New Roman"/>
          <w:color w:val="000000"/>
        </w:rPr>
        <w:t>, gli ebrei,</w:t>
      </w:r>
      <w:r>
        <w:rPr>
          <w:rFonts w:ascii="Times New Roman" w:eastAsia="Times New Roman" w:hAnsi="Times New Roman" w:cs="Times New Roman"/>
          <w:color w:val="000000"/>
        </w:rPr>
        <w:t xml:space="preserve"> che «</w:t>
      </w:r>
      <w:r w:rsidRPr="00506FC8">
        <w:rPr>
          <w:rFonts w:ascii="Times New Roman" w:eastAsia="Times New Roman" w:hAnsi="Times New Roman" w:cs="Times New Roman"/>
          <w:color w:val="000000"/>
          <w:lang w:val="de-DE"/>
        </w:rPr>
        <w:t>keine Freiheit und keine Rechte hatten</w:t>
      </w:r>
      <w:r w:rsidRPr="008B0F2D">
        <w:rPr>
          <w:rFonts w:ascii="Times New Roman" w:eastAsia="Times New Roman" w:hAnsi="Times New Roman" w:cs="Times New Roman"/>
          <w:color w:val="000000"/>
          <w:lang w:val="de-DE"/>
        </w:rPr>
        <w:t>»</w:t>
      </w:r>
      <w:r>
        <w:rPr>
          <w:rFonts w:ascii="Times New Roman" w:eastAsia="Times New Roman" w:hAnsi="Times New Roman" w:cs="Times New Roman"/>
          <w:color w:val="000000"/>
          <w:lang w:val="de-DE"/>
        </w:rPr>
        <w:t xml:space="preserve">, </w:t>
      </w:r>
      <w:r w:rsidRPr="00506FC8">
        <w:rPr>
          <w:rFonts w:ascii="Times New Roman" w:eastAsia="Times New Roman" w:hAnsi="Times New Roman" w:cs="Times New Roman"/>
          <w:color w:val="000000"/>
        </w:rPr>
        <w:t>s</w:t>
      </w:r>
      <w:r>
        <w:rPr>
          <w:rFonts w:ascii="Times New Roman" w:eastAsia="Times New Roman" w:hAnsi="Times New Roman" w:cs="Times New Roman"/>
          <w:color w:val="000000"/>
        </w:rPr>
        <w:t xml:space="preserve">ono </w:t>
      </w:r>
      <w:r w:rsidRPr="00506FC8">
        <w:rPr>
          <w:rFonts w:ascii="Times New Roman" w:eastAsia="Times New Roman" w:hAnsi="Times New Roman" w:cs="Times New Roman"/>
          <w:color w:val="000000"/>
        </w:rPr>
        <w:t xml:space="preserve">nulla </w:t>
      </w:r>
      <w:r>
        <w:rPr>
          <w:rFonts w:ascii="Times New Roman" w:eastAsia="Times New Roman" w:hAnsi="Times New Roman" w:cs="Times New Roman"/>
          <w:color w:val="000000"/>
        </w:rPr>
        <w:t xml:space="preserve">come </w:t>
      </w:r>
      <w:r>
        <w:rPr>
          <w:rFonts w:ascii="Times New Roman" w:eastAsia="Times New Roman" w:hAnsi="Times New Roman" w:cs="Times New Roman"/>
          <w:color w:val="000000"/>
          <w:lang w:val="de-DE"/>
        </w:rPr>
        <w:t>«Staatsbürger</w:t>
      </w:r>
      <w:r w:rsidRPr="008B0F2D">
        <w:rPr>
          <w:rFonts w:ascii="Times New Roman" w:eastAsia="Times New Roman" w:hAnsi="Times New Roman" w:cs="Times New Roman"/>
          <w:color w:val="000000"/>
          <w:lang w:val="de-DE"/>
        </w:rPr>
        <w:t>»</w:t>
      </w:r>
      <w:r>
        <w:rPr>
          <w:rFonts w:ascii="Times New Roman" w:eastAsia="Times New Roman" w:hAnsi="Times New Roman" w:cs="Times New Roman"/>
          <w:color w:val="000000"/>
          <w:lang w:val="de-DE"/>
        </w:rPr>
        <w:t xml:space="preserve"> </w:t>
      </w:r>
      <w:r w:rsidRPr="00506FC8">
        <w:rPr>
          <w:rFonts w:ascii="Times New Roman" w:eastAsia="Times New Roman" w:hAnsi="Times New Roman" w:cs="Times New Roman"/>
          <w:color w:val="000000"/>
        </w:rPr>
        <w:t>e ignari della</w:t>
      </w:r>
      <w:r>
        <w:rPr>
          <w:rFonts w:ascii="Times New Roman" w:eastAsia="Times New Roman" w:hAnsi="Times New Roman" w:cs="Times New Roman"/>
          <w:color w:val="000000"/>
          <w:lang w:val="de-DE"/>
        </w:rPr>
        <w:t xml:space="preserve"> «Fähigkeit des Selbstbestehens</w:t>
      </w:r>
      <w:r w:rsidRPr="008B0F2D">
        <w:rPr>
          <w:rFonts w:ascii="Times New Roman" w:eastAsia="Times New Roman" w:hAnsi="Times New Roman" w:cs="Times New Roman"/>
          <w:color w:val="000000"/>
          <w:lang w:val="de-DE"/>
        </w:rPr>
        <w:t>»</w:t>
      </w:r>
      <w:r>
        <w:rPr>
          <w:rStyle w:val="Rimandonotaapidipagina"/>
          <w:rFonts w:ascii="Times New Roman" w:eastAsia="Times New Roman" w:hAnsi="Times New Roman" w:cs="Times New Roman"/>
          <w:color w:val="000000"/>
          <w:lang w:val="de-DE"/>
        </w:rPr>
        <w:footnoteReference w:id="81"/>
      </w:r>
      <w:r w:rsidR="000D0224">
        <w:rPr>
          <w:rFonts w:ascii="Times New Roman" w:eastAsia="Times New Roman" w:hAnsi="Times New Roman" w:cs="Times New Roman"/>
          <w:color w:val="000000"/>
          <w:lang w:val="de-DE"/>
        </w:rPr>
        <w:t xml:space="preserve">. </w:t>
      </w:r>
      <w:r>
        <w:rPr>
          <w:rFonts w:ascii="Times New Roman" w:eastAsia="Times New Roman" w:hAnsi="Times New Roman" w:cs="Times New Roman"/>
          <w:color w:val="000000"/>
        </w:rPr>
        <w:t>L</w:t>
      </w:r>
      <w:r w:rsidRPr="0023434B">
        <w:rPr>
          <w:rFonts w:ascii="Times New Roman" w:eastAsia="Times New Roman" w:hAnsi="Times New Roman" w:cs="Times New Roman"/>
          <w:color w:val="000000"/>
        </w:rPr>
        <w:t xml:space="preserve">’unica </w:t>
      </w:r>
      <w:r>
        <w:rPr>
          <w:rFonts w:ascii="Times New Roman" w:eastAsia="Times New Roman" w:hAnsi="Times New Roman" w:cs="Times New Roman"/>
          <w:color w:val="000000"/>
        </w:rPr>
        <w:t>certezza di questo popolo risiede nell’asservimento ad un’Idea, ad un Signore</w:t>
      </w:r>
      <w:r>
        <w:rPr>
          <w:rStyle w:val="Rimandonotaapidipagina"/>
          <w:rFonts w:ascii="Times New Roman" w:eastAsia="Times New Roman" w:hAnsi="Times New Roman" w:cs="Times New Roman"/>
          <w:color w:val="000000"/>
        </w:rPr>
        <w:footnoteReference w:id="82"/>
      </w:r>
      <w:r>
        <w:rPr>
          <w:rFonts w:ascii="Times New Roman" w:eastAsia="Times New Roman" w:hAnsi="Times New Roman" w:cs="Times New Roman"/>
          <w:color w:val="000000"/>
        </w:rPr>
        <w:t>, che non possiede niente di umano:</w:t>
      </w:r>
    </w:p>
    <w:p w14:paraId="4EFC6595" w14:textId="77777777" w:rsidR="00B244FE" w:rsidRDefault="00B244FE" w:rsidP="00B244FE">
      <w:pPr>
        <w:spacing w:line="360" w:lineRule="auto"/>
        <w:ind w:firstLine="567"/>
        <w:jc w:val="both"/>
        <w:rPr>
          <w:rFonts w:ascii="Times New Roman" w:eastAsia="Times New Roman" w:hAnsi="Times New Roman" w:cs="Times New Roman"/>
          <w:color w:val="000000"/>
        </w:rPr>
      </w:pPr>
    </w:p>
    <w:p w14:paraId="43D1E63C" w14:textId="77777777" w:rsidR="00B244FE" w:rsidRPr="002F070F" w:rsidRDefault="00B244FE" w:rsidP="00B244FE">
      <w:pPr>
        <w:spacing w:line="360" w:lineRule="auto"/>
        <w:ind w:left="567" w:firstLine="567"/>
        <w:jc w:val="both"/>
        <w:rPr>
          <w:rFonts w:ascii="Times New Roman" w:eastAsia="Times New Roman" w:hAnsi="Times New Roman" w:cs="Times New Roman"/>
          <w:color w:val="000000"/>
        </w:rPr>
      </w:pPr>
      <w:r w:rsidRPr="002F070F">
        <w:rPr>
          <w:rFonts w:ascii="Times New Roman" w:eastAsia="Times New Roman" w:hAnsi="Times New Roman" w:cs="Times New Roman"/>
          <w:color w:val="000000"/>
          <w:sz w:val="20"/>
          <w:szCs w:val="20"/>
          <w:lang w:val="de-DE"/>
        </w:rPr>
        <w:t>«Das unendliche Subjekt mußte unsichtbar seyn; denn alles sichtbare ist ein beschränktes […] Wenn auch keine Gestalt für Empfindung, so mußte der Andacht doch die Richtung und eine einschliessende Umgränzung gegeben werden […] Pompejus mag sich wohl sehr verwundert haben, al</w:t>
      </w:r>
      <w:r>
        <w:rPr>
          <w:rFonts w:ascii="Times New Roman" w:eastAsia="Times New Roman" w:hAnsi="Times New Roman" w:cs="Times New Roman"/>
          <w:color w:val="000000"/>
          <w:sz w:val="20"/>
          <w:szCs w:val="20"/>
          <w:lang w:val="de-DE"/>
        </w:rPr>
        <w:t>s</w:t>
      </w:r>
      <w:r w:rsidRPr="002F070F">
        <w:rPr>
          <w:rFonts w:ascii="Times New Roman" w:eastAsia="Times New Roman" w:hAnsi="Times New Roman" w:cs="Times New Roman"/>
          <w:color w:val="000000"/>
          <w:sz w:val="20"/>
          <w:szCs w:val="20"/>
          <w:lang w:val="de-DE"/>
        </w:rPr>
        <w:t xml:space="preserve"> er sich dem innersten des Tempel genähert, dem Mittelpunkte der Anbetung, und in ihm die Wurzel des Nationalgeistes, wohl die belebende Seele dieses ausgezeichneten Volkes in einem Mittelpunkte zu erkennen, auch ein Wesen für seine Andacht etwas sinnvolles für seine Ehrfurcht zu erblicken gehoft hatte und bei dem Eintritt in das Geheimnis in Ansehung des leztern getaüscht, und jenes in einem leeren Raum fand. Und sonst sollte das Nicht-Seyn des Menschen, und an das wenige durch Gunst </w:t>
      </w:r>
      <w:r>
        <w:rPr>
          <w:rFonts w:ascii="Times New Roman" w:eastAsia="Times New Roman" w:hAnsi="Times New Roman" w:cs="Times New Roman"/>
          <w:color w:val="000000"/>
          <w:sz w:val="20"/>
          <w:szCs w:val="20"/>
          <w:lang w:val="de-DE"/>
        </w:rPr>
        <w:t>erhalten</w:t>
      </w:r>
      <w:r w:rsidRPr="002F070F">
        <w:rPr>
          <w:rFonts w:ascii="Times New Roman" w:eastAsia="Times New Roman" w:hAnsi="Times New Roman" w:cs="Times New Roman"/>
          <w:color w:val="000000"/>
          <w:sz w:val="20"/>
          <w:szCs w:val="20"/>
          <w:lang w:val="de-DE"/>
        </w:rPr>
        <w:t>r Existenz bei jedem Genuß, bei jeder menschlichen Thätigkeit erinnert werden</w:t>
      </w:r>
      <w:r w:rsidRPr="00B43DA6">
        <w:rPr>
          <w:rFonts w:ascii="Times New Roman" w:eastAsia="Times New Roman" w:hAnsi="Times New Roman" w:cs="Times New Roman"/>
          <w:color w:val="000000"/>
          <w:sz w:val="20"/>
          <w:szCs w:val="20"/>
          <w:lang w:val="de-DE"/>
        </w:rPr>
        <w:t>»</w:t>
      </w:r>
      <w:r>
        <w:rPr>
          <w:rStyle w:val="Rimandonotaapidipagina"/>
          <w:rFonts w:ascii="Times New Roman" w:eastAsia="Times New Roman" w:hAnsi="Times New Roman" w:cs="Times New Roman"/>
          <w:color w:val="000000"/>
          <w:sz w:val="20"/>
          <w:szCs w:val="20"/>
          <w:lang w:val="de-DE"/>
        </w:rPr>
        <w:footnoteReference w:id="83"/>
      </w:r>
      <w:r>
        <w:rPr>
          <w:rFonts w:ascii="Times New Roman" w:eastAsia="Times New Roman" w:hAnsi="Times New Roman" w:cs="Times New Roman"/>
          <w:color w:val="000000"/>
          <w:sz w:val="20"/>
          <w:szCs w:val="20"/>
          <w:lang w:val="de-DE"/>
        </w:rPr>
        <w:t>.</w:t>
      </w:r>
    </w:p>
    <w:p w14:paraId="667A7538" w14:textId="77777777" w:rsidR="00B244FE" w:rsidRPr="00871C1C" w:rsidRDefault="00B244FE" w:rsidP="00B244FE">
      <w:pPr>
        <w:spacing w:line="360" w:lineRule="auto"/>
        <w:ind w:left="567" w:firstLine="567"/>
        <w:jc w:val="both"/>
        <w:rPr>
          <w:rFonts w:ascii="Times New Roman" w:eastAsia="Times New Roman" w:hAnsi="Times New Roman" w:cs="Times New Roman"/>
          <w:color w:val="000000"/>
          <w:lang w:val="de-DE"/>
        </w:rPr>
      </w:pPr>
    </w:p>
    <w:p w14:paraId="63919C76" w14:textId="65FA65AD" w:rsidR="000431BE" w:rsidRDefault="00B244FE" w:rsidP="000D0224">
      <w:pPr>
        <w:spacing w:line="360" w:lineRule="auto"/>
        <w:ind w:firstLine="567"/>
        <w:jc w:val="both"/>
        <w:rPr>
          <w:rFonts w:ascii="Times New Roman" w:eastAsia="Times New Roman" w:hAnsi="Times New Roman" w:cs="Times New Roman"/>
          <w:color w:val="000000"/>
        </w:rPr>
      </w:pPr>
      <w:r w:rsidRPr="000431BE">
        <w:rPr>
          <w:rFonts w:ascii="Times New Roman" w:eastAsia="Times New Roman" w:hAnsi="Times New Roman" w:cs="Times New Roman"/>
          <w:color w:val="000000"/>
        </w:rPr>
        <w:t>Il pensato, che da Noè passa ad Abramo e diviene, per mezzo di Mosè, il principio della costituzione dello Stato ebraico, non è visibile, non possiede alcuna forma determina</w:t>
      </w:r>
      <w:r w:rsidR="000D0224" w:rsidRPr="000431BE">
        <w:rPr>
          <w:rFonts w:ascii="Times New Roman" w:eastAsia="Times New Roman" w:hAnsi="Times New Roman" w:cs="Times New Roman"/>
          <w:color w:val="000000"/>
        </w:rPr>
        <w:t>ta</w:t>
      </w:r>
      <w:r>
        <w:rPr>
          <w:rFonts w:ascii="Times New Roman" w:eastAsia="Times New Roman" w:hAnsi="Times New Roman" w:cs="Times New Roman"/>
          <w:color w:val="000000"/>
        </w:rPr>
        <w:t xml:space="preserve"> e non può essere oggetto della conoscenza</w:t>
      </w:r>
      <w:r w:rsidR="00B54365">
        <w:rPr>
          <w:rFonts w:ascii="Times New Roman" w:eastAsia="Times New Roman" w:hAnsi="Times New Roman" w:cs="Times New Roman"/>
          <w:color w:val="000000"/>
        </w:rPr>
        <w:t xml:space="preserve"> umana</w:t>
      </w:r>
      <w:r>
        <w:rPr>
          <w:rFonts w:ascii="Times New Roman" w:eastAsia="Times New Roman" w:hAnsi="Times New Roman" w:cs="Times New Roman"/>
          <w:color w:val="000000"/>
        </w:rPr>
        <w:t xml:space="preserve">. Sebbene sia privo di figura, esso possiede un luogo di culto, il </w:t>
      </w:r>
      <w:r>
        <w:rPr>
          <w:rFonts w:ascii="Times New Roman" w:eastAsia="Times New Roman" w:hAnsi="Times New Roman" w:cs="Times New Roman"/>
          <w:i/>
          <w:color w:val="000000"/>
        </w:rPr>
        <w:t xml:space="preserve">sancta sanctorum </w:t>
      </w:r>
      <w:r>
        <w:rPr>
          <w:rFonts w:ascii="Times New Roman" w:eastAsia="Times New Roman" w:hAnsi="Times New Roman" w:cs="Times New Roman"/>
          <w:color w:val="000000"/>
        </w:rPr>
        <w:t xml:space="preserve">del Tempio, dove viene adorato dal suo popolo. Ricorrendo all’episodio di Pompeo, Hegel scrive che questo luogo di culto, in cui </w:t>
      </w:r>
      <w:r w:rsidRPr="008E5DF5">
        <w:rPr>
          <w:rFonts w:ascii="Times New Roman" w:eastAsia="Times New Roman" w:hAnsi="Times New Roman" w:cs="Times New Roman"/>
          <w:color w:val="000000"/>
        </w:rPr>
        <w:t>si rivela l’anima</w:t>
      </w:r>
      <w:r>
        <w:rPr>
          <w:rFonts w:ascii="Times New Roman" w:eastAsia="Times New Roman" w:hAnsi="Times New Roman" w:cs="Times New Roman"/>
          <w:color w:val="000000"/>
        </w:rPr>
        <w:t xml:space="preserve"> di un popolo, non contiene nulla, è uno spazio vuoto. </w:t>
      </w:r>
      <w:r w:rsidRPr="00CA6224">
        <w:rPr>
          <w:rFonts w:ascii="Times New Roman" w:eastAsia="Times New Roman" w:hAnsi="Times New Roman" w:cs="Times New Roman"/>
          <w:color w:val="000000"/>
        </w:rPr>
        <w:t xml:space="preserve">Il principio vivificatore del popolo ebraico è un negativo che pervade un altro </w:t>
      </w:r>
      <w:r w:rsidRPr="000431BE">
        <w:rPr>
          <w:rFonts w:ascii="Times New Roman" w:eastAsia="Times New Roman" w:hAnsi="Times New Roman" w:cs="Times New Roman"/>
          <w:color w:val="000000"/>
        </w:rPr>
        <w:t xml:space="preserve">negativo: 1. Yahweh può </w:t>
      </w:r>
      <w:r w:rsidR="00065CF2" w:rsidRPr="000431BE">
        <w:rPr>
          <w:rFonts w:ascii="Times New Roman" w:eastAsia="Times New Roman" w:hAnsi="Times New Roman" w:cs="Times New Roman"/>
          <w:color w:val="000000"/>
        </w:rPr>
        <w:t xml:space="preserve">eleggere </w:t>
      </w:r>
      <w:r w:rsidRPr="000431BE">
        <w:rPr>
          <w:rFonts w:ascii="Times New Roman" w:eastAsia="Times New Roman" w:hAnsi="Times New Roman" w:cs="Times New Roman"/>
          <w:color w:val="000000"/>
        </w:rPr>
        <w:t>ciò che è in sé nulla allo scopo di rafforzare il suo dominio su qualco</w:t>
      </w:r>
      <w:r w:rsidR="00065CF2" w:rsidRPr="000431BE">
        <w:rPr>
          <w:rFonts w:ascii="Times New Roman" w:eastAsia="Times New Roman" w:hAnsi="Times New Roman" w:cs="Times New Roman"/>
          <w:color w:val="000000"/>
        </w:rPr>
        <w:t xml:space="preserve">sa, </w:t>
      </w:r>
      <w:r w:rsidRPr="000431BE">
        <w:rPr>
          <w:rFonts w:ascii="Times New Roman" w:eastAsia="Times New Roman" w:hAnsi="Times New Roman" w:cs="Times New Roman"/>
          <w:color w:val="000000"/>
        </w:rPr>
        <w:t>che in relazi</w:t>
      </w:r>
      <w:r w:rsidR="00065CF2" w:rsidRPr="000431BE">
        <w:rPr>
          <w:rFonts w:ascii="Times New Roman" w:eastAsia="Times New Roman" w:hAnsi="Times New Roman" w:cs="Times New Roman"/>
          <w:color w:val="000000"/>
        </w:rPr>
        <w:t>one a</w:t>
      </w:r>
      <w:r w:rsidR="009E4AC3">
        <w:rPr>
          <w:rFonts w:ascii="Times New Roman" w:eastAsia="Times New Roman" w:hAnsi="Times New Roman" w:cs="Times New Roman"/>
          <w:color w:val="000000"/>
        </w:rPr>
        <w:t>l suo Signore</w:t>
      </w:r>
      <w:r w:rsidR="00065CF2" w:rsidRPr="000431BE">
        <w:rPr>
          <w:rFonts w:ascii="Times New Roman" w:eastAsia="Times New Roman" w:hAnsi="Times New Roman" w:cs="Times New Roman"/>
          <w:color w:val="000000"/>
        </w:rPr>
        <w:t xml:space="preserve"> torna ad essere nulla</w:t>
      </w:r>
      <w:r w:rsidR="000431BE">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e </w:t>
      </w:r>
      <w:r w:rsidRPr="008E5DF5">
        <w:rPr>
          <w:rFonts w:ascii="Times New Roman" w:eastAsia="Times New Roman" w:hAnsi="Times New Roman" w:cs="Times New Roman"/>
          <w:color w:val="000000"/>
        </w:rPr>
        <w:t xml:space="preserve">2. </w:t>
      </w:r>
      <w:r w:rsidRPr="000431BE">
        <w:rPr>
          <w:rFonts w:ascii="Times New Roman" w:eastAsia="Times New Roman" w:hAnsi="Times New Roman" w:cs="Times New Roman"/>
          <w:color w:val="000000"/>
        </w:rPr>
        <w:t>Yahweh si dà a conoscere al popolo eletto soltanto negativamente, come l’infinitamente altro della natura e dell’uomo, che è Signore dei termini animati da una vicendevole ostilità.</w:t>
      </w:r>
    </w:p>
    <w:p w14:paraId="5B81DAE9" w14:textId="642C46FD" w:rsidR="000D0224" w:rsidRDefault="00B244FE" w:rsidP="000D0224">
      <w:pPr>
        <w:spacing w:line="360" w:lineRule="auto"/>
        <w:ind w:firstLine="567"/>
        <w:jc w:val="both"/>
        <w:rPr>
          <w:rFonts w:ascii="Times New Roman" w:eastAsia="Times New Roman" w:hAnsi="Times New Roman" w:cs="Times New Roman"/>
          <w:color w:val="000000"/>
        </w:rPr>
      </w:pPr>
      <w:r w:rsidRPr="000431BE">
        <w:rPr>
          <w:rFonts w:ascii="Times New Roman" w:eastAsia="Times New Roman" w:hAnsi="Times New Roman" w:cs="Times New Roman"/>
          <w:color w:val="000000"/>
        </w:rPr>
        <w:t>Quello</w:t>
      </w:r>
      <w:r w:rsidRPr="00514FD0">
        <w:rPr>
          <w:rFonts w:ascii="Times New Roman" w:eastAsia="Times New Roman" w:hAnsi="Times New Roman" w:cs="Times New Roman"/>
          <w:color w:val="000000"/>
        </w:rPr>
        <w:t xml:space="preserve"> schema relazionale, messo a punto da Hölderlin nella lettera del 26 febbraio del 1795 e assunto da Hegel nel </w:t>
      </w:r>
      <w:r w:rsidRPr="00514FD0">
        <w:rPr>
          <w:rFonts w:ascii="Times New Roman" w:eastAsia="Times New Roman" w:hAnsi="Times New Roman" w:cs="Times New Roman"/>
          <w:i/>
          <w:color w:val="000000"/>
        </w:rPr>
        <w:t>Text 34</w:t>
      </w:r>
      <w:r w:rsidRPr="00514FD0">
        <w:rPr>
          <w:rFonts w:ascii="Times New Roman" w:eastAsia="Times New Roman" w:hAnsi="Times New Roman" w:cs="Times New Roman"/>
          <w:color w:val="000000"/>
        </w:rPr>
        <w:t xml:space="preserve"> per definire la </w:t>
      </w:r>
      <w:r w:rsidRPr="00514FD0">
        <w:rPr>
          <w:rFonts w:ascii="Times New Roman" w:eastAsia="Times New Roman" w:hAnsi="Times New Roman" w:cs="Times New Roman"/>
          <w:i/>
          <w:color w:val="000000"/>
        </w:rPr>
        <w:t>nullità</w:t>
      </w:r>
      <w:r w:rsidRPr="00514FD0">
        <w:rPr>
          <w:rFonts w:ascii="Times New Roman" w:eastAsia="Times New Roman" w:hAnsi="Times New Roman" w:cs="Times New Roman"/>
          <w:color w:val="000000"/>
        </w:rPr>
        <w:t xml:space="preserve"> di umano e divino, torna al centro di queste dense pagine dedicate alla spiritualità del popolo </w:t>
      </w:r>
      <w:r w:rsidRPr="002F56C0">
        <w:rPr>
          <w:rFonts w:ascii="Times New Roman" w:eastAsia="Times New Roman" w:hAnsi="Times New Roman" w:cs="Times New Roman"/>
          <w:color w:val="000000"/>
        </w:rPr>
        <w:t xml:space="preserve">ebraico. Dominare tutto </w:t>
      </w:r>
      <w:r w:rsidR="00004106" w:rsidRPr="002F56C0">
        <w:rPr>
          <w:rFonts w:ascii="Times New Roman" w:eastAsia="Times New Roman" w:hAnsi="Times New Roman" w:cs="Times New Roman"/>
          <w:color w:val="000000"/>
        </w:rPr>
        <w:t xml:space="preserve">significa non dipendere (essere limitato) da niente </w:t>
      </w:r>
      <w:r w:rsidRPr="002F56C0">
        <w:rPr>
          <w:rFonts w:ascii="Times New Roman" w:eastAsia="Times New Roman" w:hAnsi="Times New Roman" w:cs="Times New Roman"/>
          <w:color w:val="000000"/>
        </w:rPr>
        <w:t>e dipendere completamente da un principio che</w:t>
      </w:r>
      <w:r w:rsidR="00B54365" w:rsidRPr="002F56C0">
        <w:rPr>
          <w:rFonts w:ascii="Times New Roman" w:eastAsia="Times New Roman" w:hAnsi="Times New Roman" w:cs="Times New Roman"/>
          <w:color w:val="000000"/>
        </w:rPr>
        <w:t xml:space="preserve"> tutto domina </w:t>
      </w:r>
      <w:r w:rsidRPr="002F56C0">
        <w:rPr>
          <w:rFonts w:ascii="Times New Roman" w:eastAsia="Times New Roman" w:hAnsi="Times New Roman" w:cs="Times New Roman"/>
          <w:color w:val="000000"/>
        </w:rPr>
        <w:t>implica l</w:t>
      </w:r>
      <w:r w:rsidR="00004106" w:rsidRPr="002F56C0">
        <w:rPr>
          <w:rFonts w:ascii="Times New Roman" w:eastAsia="Times New Roman" w:hAnsi="Times New Roman" w:cs="Times New Roman"/>
          <w:color w:val="000000"/>
        </w:rPr>
        <w:t>a soppressione di ciò che viene</w:t>
      </w:r>
      <w:r w:rsidR="00B54365" w:rsidRPr="002F56C0">
        <w:rPr>
          <w:rFonts w:ascii="Times New Roman" w:eastAsia="Times New Roman" w:hAnsi="Times New Roman" w:cs="Times New Roman"/>
          <w:color w:val="000000"/>
        </w:rPr>
        <w:t xml:space="preserve"> domina</w:t>
      </w:r>
      <w:r w:rsidRPr="002F56C0">
        <w:rPr>
          <w:rFonts w:ascii="Times New Roman" w:eastAsia="Times New Roman" w:hAnsi="Times New Roman" w:cs="Times New Roman"/>
          <w:color w:val="000000"/>
        </w:rPr>
        <w:t>to.</w:t>
      </w:r>
      <w:r w:rsidRPr="000B6670">
        <w:rPr>
          <w:rFonts w:ascii="Times New Roman" w:eastAsia="Times New Roman" w:hAnsi="Times New Roman" w:cs="Times New Roman"/>
          <w:color w:val="000000"/>
        </w:rPr>
        <w:t xml:space="preserve"> Alla sintesi nientificatrice dell’essere</w:t>
      </w:r>
      <w:r>
        <w:rPr>
          <w:rFonts w:ascii="Times New Roman" w:eastAsia="Times New Roman" w:hAnsi="Times New Roman" w:cs="Times New Roman"/>
          <w:color w:val="000000"/>
        </w:rPr>
        <w:t xml:space="preserve"> (umano e non) </w:t>
      </w:r>
      <w:r w:rsidRPr="000B6670">
        <w:rPr>
          <w:rFonts w:ascii="Times New Roman" w:eastAsia="Times New Roman" w:hAnsi="Times New Roman" w:cs="Times New Roman"/>
          <w:color w:val="000000"/>
        </w:rPr>
        <w:t xml:space="preserve">nel pensiero, segue parallelo </w:t>
      </w:r>
      <w:r>
        <w:rPr>
          <w:rFonts w:ascii="Times New Roman" w:eastAsia="Times New Roman" w:hAnsi="Times New Roman" w:cs="Times New Roman"/>
          <w:color w:val="000000"/>
        </w:rPr>
        <w:t>il mantenimento dell’opposizione reale degli estremi</w:t>
      </w:r>
      <w:r w:rsidRPr="000B6670">
        <w:rPr>
          <w:rFonts w:ascii="Times New Roman" w:eastAsia="Times New Roman" w:hAnsi="Times New Roman" w:cs="Times New Roman"/>
          <w:color w:val="000000"/>
        </w:rPr>
        <w:t>. Perché quella di Noè, Abramo e Mosè non è che un</w:t>
      </w:r>
      <w:r w:rsidR="00024601">
        <w:rPr>
          <w:rFonts w:ascii="Times New Roman" w:eastAsia="Times New Roman" w:hAnsi="Times New Roman" w:cs="Times New Roman"/>
          <w:color w:val="000000"/>
        </w:rPr>
        <w:t>a</w:t>
      </w:r>
      <w:r w:rsidRPr="000B6670">
        <w:rPr>
          <w:rFonts w:ascii="Times New Roman" w:eastAsia="Times New Roman" w:hAnsi="Times New Roman" w:cs="Times New Roman"/>
          <w:color w:val="000000"/>
        </w:rPr>
        <w:t xml:space="preserve"> risoluzione violenta – un annullamento – </w:t>
      </w:r>
      <w:r>
        <w:rPr>
          <w:rFonts w:ascii="Times New Roman" w:eastAsia="Times New Roman" w:hAnsi="Times New Roman" w:cs="Times New Roman"/>
          <w:color w:val="000000"/>
        </w:rPr>
        <w:t xml:space="preserve">della </w:t>
      </w:r>
      <w:r w:rsidRPr="00514FD0">
        <w:rPr>
          <w:rFonts w:ascii="Times New Roman" w:eastAsia="Times New Roman" w:hAnsi="Times New Roman" w:cs="Times New Roman"/>
          <w:i/>
          <w:color w:val="000000"/>
          <w:lang w:val="de-DE"/>
        </w:rPr>
        <w:t>Zerrissenheit</w:t>
      </w:r>
      <w:r w:rsidRPr="000B6670">
        <w:rPr>
          <w:rFonts w:ascii="Times New Roman" w:eastAsia="Times New Roman" w:hAnsi="Times New Roman" w:cs="Times New Roman"/>
          <w:color w:val="000000"/>
        </w:rPr>
        <w:t xml:space="preserve"> nel pen</w:t>
      </w:r>
      <w:r w:rsidR="00F52818">
        <w:rPr>
          <w:rFonts w:ascii="Times New Roman" w:eastAsia="Times New Roman" w:hAnsi="Times New Roman" w:cs="Times New Roman"/>
          <w:color w:val="000000"/>
        </w:rPr>
        <w:t>siero, non nella realtà, che ri</w:t>
      </w:r>
      <w:r w:rsidRPr="000B6670">
        <w:rPr>
          <w:rFonts w:ascii="Times New Roman" w:eastAsia="Times New Roman" w:hAnsi="Times New Roman" w:cs="Times New Roman"/>
          <w:color w:val="000000"/>
        </w:rPr>
        <w:t>mane</w:t>
      </w:r>
      <w:r>
        <w:rPr>
          <w:rFonts w:ascii="Times New Roman" w:eastAsia="Times New Roman" w:hAnsi="Times New Roman" w:cs="Times New Roman"/>
          <w:color w:val="000000"/>
        </w:rPr>
        <w:t xml:space="preserve"> </w:t>
      </w:r>
      <w:r w:rsidRPr="000B6670">
        <w:rPr>
          <w:rFonts w:ascii="Times New Roman" w:eastAsia="Times New Roman" w:hAnsi="Times New Roman" w:cs="Times New Roman"/>
          <w:color w:val="000000"/>
        </w:rPr>
        <w:t xml:space="preserve">in sé scissa e lacerata. </w:t>
      </w:r>
    </w:p>
    <w:p w14:paraId="0D52B9F7" w14:textId="5A7B71BE" w:rsidR="00B244FE" w:rsidRPr="000B6670" w:rsidRDefault="00B244FE" w:rsidP="000D0224">
      <w:pPr>
        <w:spacing w:line="360" w:lineRule="auto"/>
        <w:ind w:firstLine="567"/>
        <w:jc w:val="both"/>
        <w:rPr>
          <w:rFonts w:ascii="Times New Roman" w:eastAsia="Times New Roman" w:hAnsi="Times New Roman" w:cs="Times New Roman"/>
          <w:color w:val="000000"/>
        </w:rPr>
      </w:pPr>
      <w:r w:rsidRPr="009B6622">
        <w:rPr>
          <w:rFonts w:ascii="Times New Roman" w:eastAsia="Times New Roman" w:hAnsi="Times New Roman" w:cs="Times New Roman"/>
          <w:color w:val="000000"/>
        </w:rPr>
        <w:t xml:space="preserve">Sebbene sia stato esposto ad un durissimo servaggio politico, il popolo ebraico avverte il bisogno di qualcosa di più puro, di essere partecipe del divino e di trasmettere nuova vita </w:t>
      </w:r>
      <w:r w:rsidR="00134375" w:rsidRPr="009B6622">
        <w:rPr>
          <w:rFonts w:ascii="Times New Roman" w:eastAsia="Times New Roman" w:hAnsi="Times New Roman" w:cs="Times New Roman"/>
          <w:color w:val="000000"/>
        </w:rPr>
        <w:t xml:space="preserve">a </w:t>
      </w:r>
      <w:r w:rsidRPr="009B6622">
        <w:rPr>
          <w:rFonts w:ascii="Times New Roman" w:eastAsia="Times New Roman" w:hAnsi="Times New Roman" w:cs="Times New Roman"/>
          <w:color w:val="000000"/>
        </w:rPr>
        <w:t xml:space="preserve">quegli estremi – uomo e natura – neutralizzati dai patriarchi nell’Idea. Dare forma a questo bisogno richiede un profondo rinnovamento della relazione sussistente fra Dio, uomo e natura: Dio deve diventare qualcosa di </w:t>
      </w:r>
      <w:r w:rsidRPr="009B6622">
        <w:rPr>
          <w:rFonts w:ascii="Times New Roman" w:eastAsia="Times New Roman" w:hAnsi="Times New Roman" w:cs="Times New Roman"/>
          <w:i/>
          <w:color w:val="000000"/>
        </w:rPr>
        <w:t>positivo</w:t>
      </w:r>
      <w:r w:rsidRPr="009B6622">
        <w:rPr>
          <w:rFonts w:ascii="Times New Roman" w:eastAsia="Times New Roman" w:hAnsi="Times New Roman" w:cs="Times New Roman"/>
          <w:color w:val="000000"/>
        </w:rPr>
        <w:t xml:space="preserve"> per l’uomo, l’uomo deve </w:t>
      </w:r>
      <w:r w:rsidRPr="009B6622">
        <w:rPr>
          <w:rFonts w:ascii="Times New Roman" w:eastAsia="Times New Roman" w:hAnsi="Times New Roman" w:cs="Times New Roman"/>
          <w:i/>
          <w:color w:val="000000"/>
        </w:rPr>
        <w:t>riconoscersi</w:t>
      </w:r>
      <w:r w:rsidRPr="009B6622">
        <w:rPr>
          <w:rFonts w:ascii="Times New Roman" w:eastAsia="Times New Roman" w:hAnsi="Times New Roman" w:cs="Times New Roman"/>
          <w:color w:val="000000"/>
        </w:rPr>
        <w:t xml:space="preserve"> in Dio e la natura deve riappropriarsi della propria </w:t>
      </w:r>
      <w:r w:rsidR="00C07B87" w:rsidRPr="009B6622">
        <w:rPr>
          <w:rFonts w:ascii="Times New Roman" w:eastAsia="Times New Roman" w:hAnsi="Times New Roman" w:cs="Times New Roman"/>
          <w:color w:val="000000"/>
        </w:rPr>
        <w:t xml:space="preserve">divinità e </w:t>
      </w:r>
      <w:r w:rsidRPr="009B6622">
        <w:rPr>
          <w:rFonts w:ascii="Times New Roman" w:eastAsia="Times New Roman" w:hAnsi="Times New Roman" w:cs="Times New Roman"/>
          <w:color w:val="000000"/>
        </w:rPr>
        <w:t>sacralità</w:t>
      </w:r>
      <w:r w:rsidR="00991D85" w:rsidRPr="009B6622">
        <w:rPr>
          <w:rFonts w:ascii="Times New Roman" w:eastAsia="Times New Roman" w:hAnsi="Times New Roman" w:cs="Times New Roman"/>
          <w:color w:val="000000"/>
        </w:rPr>
        <w:t xml:space="preserve"> </w:t>
      </w:r>
      <w:r w:rsidR="009B6622" w:rsidRPr="009B6622">
        <w:rPr>
          <w:rFonts w:ascii="Times New Roman" w:eastAsia="Times New Roman" w:hAnsi="Times New Roman" w:cs="Times New Roman"/>
          <w:color w:val="000000"/>
        </w:rPr>
        <w:t xml:space="preserve">per mezzo </w:t>
      </w:r>
      <w:r w:rsidR="00371562" w:rsidRPr="009B6622">
        <w:rPr>
          <w:rFonts w:ascii="Times New Roman" w:eastAsia="Times New Roman" w:hAnsi="Times New Roman" w:cs="Times New Roman"/>
          <w:color w:val="000000"/>
        </w:rPr>
        <w:t>dell’</w:t>
      </w:r>
      <w:r w:rsidR="009E0273" w:rsidRPr="009B6622">
        <w:rPr>
          <w:rFonts w:ascii="Times New Roman" w:eastAsia="Times New Roman" w:hAnsi="Times New Roman" w:cs="Times New Roman"/>
          <w:color w:val="000000"/>
        </w:rPr>
        <w:t>essere u</w:t>
      </w:r>
      <w:r w:rsidR="00371562" w:rsidRPr="009B6622">
        <w:rPr>
          <w:rFonts w:ascii="Times New Roman" w:eastAsia="Times New Roman" w:hAnsi="Times New Roman" w:cs="Times New Roman"/>
          <w:color w:val="000000"/>
        </w:rPr>
        <w:t>m</w:t>
      </w:r>
      <w:r w:rsidR="009E0273" w:rsidRPr="009B6622">
        <w:rPr>
          <w:rFonts w:ascii="Times New Roman" w:eastAsia="Times New Roman" w:hAnsi="Times New Roman" w:cs="Times New Roman"/>
          <w:color w:val="000000"/>
        </w:rPr>
        <w:t>an</w:t>
      </w:r>
      <w:r w:rsidR="00371562" w:rsidRPr="009B6622">
        <w:rPr>
          <w:rFonts w:ascii="Times New Roman" w:eastAsia="Times New Roman" w:hAnsi="Times New Roman" w:cs="Times New Roman"/>
          <w:color w:val="000000"/>
        </w:rPr>
        <w:t>o</w:t>
      </w:r>
      <w:r w:rsidRPr="00C37AF2">
        <w:rPr>
          <w:rFonts w:ascii="Times New Roman" w:eastAsia="Times New Roman" w:hAnsi="Times New Roman" w:cs="Times New Roman"/>
          <w:color w:val="000000"/>
        </w:rPr>
        <w:t>.</w:t>
      </w:r>
      <w:r w:rsidRPr="000B6670">
        <w:rPr>
          <w:rFonts w:ascii="Times New Roman" w:eastAsia="Times New Roman" w:hAnsi="Times New Roman" w:cs="Times New Roman"/>
          <w:color w:val="000000"/>
        </w:rPr>
        <w:t xml:space="preserve"> </w:t>
      </w:r>
      <w:r w:rsidRPr="00035585">
        <w:rPr>
          <w:rFonts w:ascii="Times New Roman" w:eastAsia="Times New Roman" w:hAnsi="Times New Roman" w:cs="Times New Roman"/>
          <w:color w:val="000000"/>
        </w:rPr>
        <w:t>Colui che avverte questo desiderio di rinnovamento spirituale e che decide d’attaccare «den todten Mechanismus ihres religiösen Leben [der Juden]</w:t>
      </w:r>
      <w:r w:rsidRPr="00035585">
        <w:rPr>
          <w:rFonts w:ascii="Times New Roman" w:eastAsia="Times New Roman" w:hAnsi="Times New Roman" w:cs="Times New Roman"/>
          <w:color w:val="000000"/>
          <w:lang w:val="de-DE"/>
        </w:rPr>
        <w:t>»</w:t>
      </w:r>
      <w:r w:rsidRPr="00035585">
        <w:rPr>
          <w:rStyle w:val="Rimandonotaapidipagina"/>
          <w:rFonts w:ascii="Times New Roman" w:eastAsia="Times New Roman" w:hAnsi="Times New Roman" w:cs="Times New Roman"/>
          <w:color w:val="000000"/>
          <w:lang w:val="de-DE"/>
        </w:rPr>
        <w:footnoteReference w:id="84"/>
      </w:r>
      <w:r w:rsidRPr="00035585">
        <w:rPr>
          <w:rFonts w:ascii="Times New Roman" w:eastAsia="Times New Roman" w:hAnsi="Times New Roman" w:cs="Times New Roman"/>
          <w:color w:val="000000"/>
          <w:lang w:val="de-DE"/>
        </w:rPr>
        <w:t xml:space="preserve"> e</w:t>
      </w:r>
      <w:r w:rsidRPr="00035585">
        <w:rPr>
          <w:rFonts w:ascii="Times New Roman" w:eastAsia="Times New Roman" w:hAnsi="Times New Roman" w:cs="Times New Roman"/>
          <w:color w:val="000000"/>
        </w:rPr>
        <w:t xml:space="preserve"> di restituire sacralità alla natura umana e umanità a Dio è Gesù</w:t>
      </w:r>
      <w:r w:rsidRPr="000B6670">
        <w:rPr>
          <w:rFonts w:ascii="Times New Roman" w:eastAsia="Times New Roman" w:hAnsi="Times New Roman" w:cs="Times New Roman"/>
          <w:color w:val="000000"/>
        </w:rPr>
        <w:t>. Con il coraggio di chi si sente ispirato da Dio, Gesù chiama i suoi connazionali ad un radicale cambiamento interiore: «ändert euch, denn das Reich Gottes ist nahe</w:t>
      </w:r>
      <w:r w:rsidRPr="000B6670">
        <w:rPr>
          <w:rFonts w:ascii="Times New Roman" w:eastAsia="Times New Roman" w:hAnsi="Times New Roman" w:cs="Times New Roman"/>
          <w:color w:val="000000"/>
          <w:lang w:val="de-DE"/>
        </w:rPr>
        <w:t>»</w:t>
      </w:r>
      <w:r w:rsidRPr="000B6670">
        <w:rPr>
          <w:rStyle w:val="Rimandonotaapidipagina"/>
          <w:rFonts w:ascii="Times New Roman" w:eastAsia="Times New Roman" w:hAnsi="Times New Roman" w:cs="Times New Roman"/>
          <w:color w:val="000000"/>
        </w:rPr>
        <w:footnoteReference w:id="85"/>
      </w:r>
      <w:r w:rsidRPr="000B6670">
        <w:rPr>
          <w:rFonts w:ascii="Times New Roman" w:eastAsia="Times New Roman" w:hAnsi="Times New Roman" w:cs="Times New Roman"/>
          <w:color w:val="000000"/>
          <w:lang w:val="de-DE"/>
        </w:rPr>
        <w:t xml:space="preserve">. </w:t>
      </w:r>
      <w:r w:rsidRPr="000B6670">
        <w:rPr>
          <w:rFonts w:ascii="Times New Roman" w:eastAsia="Times New Roman" w:hAnsi="Times New Roman" w:cs="Times New Roman"/>
          <w:color w:val="000000"/>
        </w:rPr>
        <w:t xml:space="preserve">Il regno di Dio è prossimo: la vita, che giace assopita nella coscienza e nel cuore del popolo ebraico, viene scossa da un individuo animato dalla fede nell’imminente avvento della sua Idea. Del </w:t>
      </w:r>
      <w:r w:rsidRPr="000B6670">
        <w:rPr>
          <w:rFonts w:ascii="Times New Roman" w:eastAsia="Times New Roman" w:hAnsi="Times New Roman" w:cs="Times New Roman"/>
          <w:i/>
          <w:color w:val="000000"/>
        </w:rPr>
        <w:t>Reich Gottes</w:t>
      </w:r>
      <w:r w:rsidRPr="000B6670">
        <w:rPr>
          <w:rFonts w:ascii="Times New Roman" w:eastAsia="Times New Roman" w:hAnsi="Times New Roman" w:cs="Times New Roman"/>
          <w:color w:val="000000"/>
        </w:rPr>
        <w:t xml:space="preserve"> scrive Hegel</w:t>
      </w:r>
      <w:r w:rsidRPr="000B6670">
        <w:rPr>
          <w:rStyle w:val="Rimandonotaapidipagina"/>
          <w:rFonts w:ascii="Times New Roman" w:eastAsia="Times New Roman" w:hAnsi="Times New Roman" w:cs="Times New Roman"/>
          <w:color w:val="000000"/>
        </w:rPr>
        <w:footnoteReference w:id="86"/>
      </w:r>
      <w:r w:rsidRPr="000B6670">
        <w:rPr>
          <w:rFonts w:ascii="Times New Roman" w:eastAsia="Times New Roman" w:hAnsi="Times New Roman" w:cs="Times New Roman"/>
          <w:color w:val="000000"/>
        </w:rPr>
        <w:t>:</w:t>
      </w:r>
    </w:p>
    <w:p w14:paraId="39B4F187" w14:textId="77777777" w:rsidR="00B244FE" w:rsidRDefault="00B244FE" w:rsidP="00B244FE">
      <w:pPr>
        <w:spacing w:line="360" w:lineRule="auto"/>
        <w:ind w:firstLine="567"/>
        <w:jc w:val="both"/>
        <w:rPr>
          <w:rFonts w:ascii="Times New Roman" w:eastAsia="Times New Roman" w:hAnsi="Times New Roman" w:cs="Times New Roman"/>
          <w:color w:val="000000"/>
        </w:rPr>
      </w:pPr>
    </w:p>
    <w:p w14:paraId="6DA295BE" w14:textId="77777777" w:rsidR="00B244FE" w:rsidRPr="00DD1DDD" w:rsidRDefault="00B244FE" w:rsidP="00B244FE">
      <w:pPr>
        <w:spacing w:line="360" w:lineRule="auto"/>
        <w:ind w:left="567" w:firstLine="567"/>
        <w:jc w:val="both"/>
        <w:rPr>
          <w:rFonts w:ascii="Times New Roman" w:eastAsia="Times New Roman" w:hAnsi="Times New Roman" w:cs="Times New Roman"/>
          <w:color w:val="000000"/>
          <w:sz w:val="20"/>
          <w:szCs w:val="20"/>
          <w:lang w:val="de-DE"/>
        </w:rPr>
      </w:pPr>
      <w:r w:rsidRPr="00DD1DDD">
        <w:rPr>
          <w:rFonts w:ascii="Times New Roman" w:eastAsia="Times New Roman" w:hAnsi="Times New Roman" w:cs="Times New Roman"/>
          <w:color w:val="000000"/>
          <w:sz w:val="20"/>
          <w:szCs w:val="20"/>
          <w:lang w:val="de-DE"/>
        </w:rPr>
        <w:t>«Diese Idee eines Reiches Gottes vollendet und umfaßt das Ganze der Religion, wie sie Jesus stifte</w:t>
      </w:r>
      <w:r>
        <w:rPr>
          <w:rFonts w:ascii="Times New Roman" w:eastAsia="Times New Roman" w:hAnsi="Times New Roman" w:cs="Times New Roman"/>
          <w:color w:val="000000"/>
          <w:sz w:val="20"/>
          <w:szCs w:val="20"/>
          <w:lang w:val="de-DE"/>
        </w:rPr>
        <w:t>te […] Im Reich Gottes ist das g</w:t>
      </w:r>
      <w:r w:rsidRPr="00DD1DDD">
        <w:rPr>
          <w:rFonts w:ascii="Times New Roman" w:eastAsia="Times New Roman" w:hAnsi="Times New Roman" w:cs="Times New Roman"/>
          <w:color w:val="000000"/>
          <w:sz w:val="20"/>
          <w:szCs w:val="20"/>
          <w:lang w:val="de-DE"/>
        </w:rPr>
        <w:t>emeinschaftliche, daß alle in</w:t>
      </w:r>
      <w:r>
        <w:rPr>
          <w:rFonts w:ascii="Times New Roman" w:eastAsia="Times New Roman" w:hAnsi="Times New Roman" w:cs="Times New Roman"/>
          <w:color w:val="000000"/>
          <w:sz w:val="20"/>
          <w:szCs w:val="20"/>
          <w:lang w:val="de-DE"/>
        </w:rPr>
        <w:t xml:space="preserve"> Gott lebendig sind, nicht das g</w:t>
      </w:r>
      <w:r w:rsidRPr="00DD1DDD">
        <w:rPr>
          <w:rFonts w:ascii="Times New Roman" w:eastAsia="Times New Roman" w:hAnsi="Times New Roman" w:cs="Times New Roman"/>
          <w:color w:val="000000"/>
          <w:sz w:val="20"/>
          <w:szCs w:val="20"/>
          <w:lang w:val="de-DE"/>
        </w:rPr>
        <w:t>emeinschaftliche in einem Begriff, sondern Liebe, ein lebendiges Band, das die Glaubenden vereinigt, diese Empfindung der Einigkeit des Lebens, in der alle Entgegensetzungen, als solche Feindschaften, und auch die Vereinigung der bestehenden Entgegensetzungen, – Rechte aufgeboben si</w:t>
      </w:r>
      <w:r>
        <w:rPr>
          <w:rFonts w:ascii="Times New Roman" w:eastAsia="Times New Roman" w:hAnsi="Times New Roman" w:cs="Times New Roman"/>
          <w:color w:val="000000"/>
          <w:sz w:val="20"/>
          <w:szCs w:val="20"/>
          <w:lang w:val="de-DE"/>
        </w:rPr>
        <w:t>nd; ein neu Gebot gebe ich euch</w:t>
      </w:r>
      <w:r w:rsidRPr="00DD1DDD">
        <w:rPr>
          <w:rFonts w:ascii="Times New Roman" w:eastAsia="Times New Roman" w:hAnsi="Times New Roman" w:cs="Times New Roman"/>
          <w:color w:val="000000"/>
          <w:sz w:val="20"/>
          <w:szCs w:val="20"/>
          <w:lang w:val="de-DE"/>
        </w:rPr>
        <w:t xml:space="preserve"> sagt Jesus, daß ihr euch miteinander liebt […] Diese See</w:t>
      </w:r>
      <w:r>
        <w:rPr>
          <w:rFonts w:ascii="Times New Roman" w:eastAsia="Times New Roman" w:hAnsi="Times New Roman" w:cs="Times New Roman"/>
          <w:color w:val="000000"/>
          <w:sz w:val="20"/>
          <w:szCs w:val="20"/>
          <w:lang w:val="de-DE"/>
        </w:rPr>
        <w:t xml:space="preserve">lenfreundschaft als Wesen, als </w:t>
      </w:r>
      <w:r w:rsidRPr="00DD1DDD">
        <w:rPr>
          <w:rFonts w:ascii="Times New Roman" w:eastAsia="Times New Roman" w:hAnsi="Times New Roman" w:cs="Times New Roman"/>
          <w:color w:val="000000"/>
          <w:sz w:val="20"/>
          <w:szCs w:val="20"/>
          <w:lang w:val="de-DE"/>
        </w:rPr>
        <w:t>Geist für die Reflexion ausgesprochen ist der göttliche Geist, Gott, der die Gemeine regiert. Gibt es eine schönere Idee als</w:t>
      </w:r>
      <w:r>
        <w:rPr>
          <w:rFonts w:ascii="Times New Roman" w:eastAsia="Times New Roman" w:hAnsi="Times New Roman" w:cs="Times New Roman"/>
          <w:color w:val="000000"/>
          <w:sz w:val="20"/>
          <w:szCs w:val="20"/>
          <w:lang w:val="de-DE"/>
        </w:rPr>
        <w:t xml:space="preserve"> e</w:t>
      </w:r>
      <w:r w:rsidRPr="00DD1DDD">
        <w:rPr>
          <w:rFonts w:ascii="Times New Roman" w:eastAsia="Times New Roman" w:hAnsi="Times New Roman" w:cs="Times New Roman"/>
          <w:color w:val="000000"/>
          <w:sz w:val="20"/>
          <w:szCs w:val="20"/>
          <w:lang w:val="de-DE"/>
        </w:rPr>
        <w:t>in Volk von Menschen, die durch Liebe auf</w:t>
      </w:r>
      <w:r>
        <w:rPr>
          <w:rFonts w:ascii="Times New Roman" w:eastAsia="Times New Roman" w:hAnsi="Times New Roman" w:cs="Times New Roman"/>
          <w:color w:val="000000"/>
          <w:sz w:val="20"/>
          <w:szCs w:val="20"/>
          <w:lang w:val="de-DE"/>
        </w:rPr>
        <w:t xml:space="preserve"> </w:t>
      </w:r>
      <w:r w:rsidRPr="00DD1DDD">
        <w:rPr>
          <w:rFonts w:ascii="Times New Roman" w:eastAsia="Times New Roman" w:hAnsi="Times New Roman" w:cs="Times New Roman"/>
          <w:color w:val="000000"/>
          <w:sz w:val="20"/>
          <w:szCs w:val="20"/>
          <w:lang w:val="de-DE"/>
        </w:rPr>
        <w:t>einander bezogen sind? eine erhebendere, als einem Ganzen anzugehören, das als Ganzes, Eines der Geist Gottes ist, – dessen Söhne die Einzelnen sind? Sollte in dieser Idee noch eine Unvöllstandigkeit</w:t>
      </w:r>
      <w:r>
        <w:rPr>
          <w:rFonts w:ascii="Times New Roman" w:eastAsia="Times New Roman" w:hAnsi="Times New Roman" w:cs="Times New Roman"/>
          <w:color w:val="000000"/>
          <w:sz w:val="20"/>
          <w:szCs w:val="20"/>
          <w:lang w:val="de-DE"/>
        </w:rPr>
        <w:t xml:space="preserve"> sey</w:t>
      </w:r>
      <w:r w:rsidRPr="00DD1DDD">
        <w:rPr>
          <w:rFonts w:ascii="Times New Roman" w:eastAsia="Times New Roman" w:hAnsi="Times New Roman" w:cs="Times New Roman"/>
          <w:color w:val="000000"/>
          <w:sz w:val="20"/>
          <w:szCs w:val="20"/>
          <w:lang w:val="de-DE"/>
        </w:rPr>
        <w:t>n, daß ein Schicksal Macht in ihr hätte? oder wäre das Schicksal die Nemesis, die gegen ein zu schönes Streben, gegen ein Überspringen der Natur wüt</w:t>
      </w:r>
      <w:r>
        <w:rPr>
          <w:rFonts w:ascii="Times New Roman" w:eastAsia="Times New Roman" w:hAnsi="Times New Roman" w:cs="Times New Roman"/>
          <w:color w:val="000000"/>
          <w:sz w:val="20"/>
          <w:szCs w:val="20"/>
          <w:lang w:val="de-DE"/>
        </w:rPr>
        <w:t>h</w:t>
      </w:r>
      <w:r w:rsidRPr="00DD1DDD">
        <w:rPr>
          <w:rFonts w:ascii="Times New Roman" w:eastAsia="Times New Roman" w:hAnsi="Times New Roman" w:cs="Times New Roman"/>
          <w:color w:val="000000"/>
          <w:sz w:val="20"/>
          <w:szCs w:val="20"/>
          <w:lang w:val="de-DE"/>
        </w:rPr>
        <w:t>ete?</w:t>
      </w:r>
      <w:r w:rsidRPr="00B43DA6">
        <w:rPr>
          <w:rFonts w:ascii="Times New Roman" w:eastAsia="Times New Roman" w:hAnsi="Times New Roman" w:cs="Times New Roman"/>
          <w:color w:val="000000"/>
          <w:sz w:val="20"/>
          <w:szCs w:val="20"/>
          <w:lang w:val="de-DE"/>
        </w:rPr>
        <w:t>»</w:t>
      </w:r>
      <w:r>
        <w:rPr>
          <w:rStyle w:val="Rimandonotaapidipagina"/>
          <w:rFonts w:ascii="Times New Roman" w:eastAsia="Times New Roman" w:hAnsi="Times New Roman" w:cs="Times New Roman"/>
          <w:color w:val="000000"/>
          <w:sz w:val="20"/>
          <w:szCs w:val="20"/>
          <w:lang w:val="de-DE"/>
        </w:rPr>
        <w:footnoteReference w:id="87"/>
      </w:r>
      <w:r>
        <w:rPr>
          <w:rFonts w:ascii="Times New Roman" w:eastAsia="Times New Roman" w:hAnsi="Times New Roman" w:cs="Times New Roman"/>
          <w:color w:val="000000"/>
          <w:sz w:val="20"/>
          <w:szCs w:val="20"/>
          <w:lang w:val="de-DE"/>
        </w:rPr>
        <w:t>.</w:t>
      </w:r>
    </w:p>
    <w:p w14:paraId="115781BA" w14:textId="77777777" w:rsidR="00B244FE" w:rsidRDefault="00B244FE" w:rsidP="00B244FE">
      <w:pPr>
        <w:spacing w:line="360" w:lineRule="auto"/>
        <w:ind w:firstLine="567"/>
        <w:jc w:val="both"/>
        <w:rPr>
          <w:rFonts w:ascii="Times New Roman" w:eastAsia="Times New Roman" w:hAnsi="Times New Roman" w:cs="Times New Roman"/>
          <w:color w:val="000000"/>
        </w:rPr>
      </w:pPr>
    </w:p>
    <w:p w14:paraId="65187F08" w14:textId="548813BA" w:rsidR="00B244FE" w:rsidRPr="008341F5" w:rsidRDefault="00B244FE" w:rsidP="002B4616">
      <w:pPr>
        <w:spacing w:line="360" w:lineRule="auto"/>
        <w:ind w:firstLine="567"/>
        <w:jc w:val="both"/>
        <w:rPr>
          <w:rFonts w:ascii="Times New Roman" w:eastAsia="Times New Roman" w:hAnsi="Times New Roman" w:cs="Times New Roman"/>
          <w:color w:val="000000"/>
        </w:rPr>
      </w:pPr>
      <w:r w:rsidRPr="00A30C8C">
        <w:rPr>
          <w:rFonts w:ascii="Times New Roman" w:eastAsia="Times New Roman" w:hAnsi="Times New Roman" w:cs="Times New Roman"/>
          <w:color w:val="000000"/>
        </w:rPr>
        <w:t xml:space="preserve">La religione fondata da Gesù ruota attorno all’idea del regno di Dio. L’accesso a questo regno è garantito dall’osservanza del comandamento dell’amore, che toglie, ad un tempo, </w:t>
      </w:r>
      <w:r w:rsidRPr="00B241EB">
        <w:rPr>
          <w:rFonts w:ascii="Times New Roman" w:eastAsia="Times New Roman" w:hAnsi="Times New Roman" w:cs="Times New Roman"/>
          <w:color w:val="000000"/>
        </w:rPr>
        <w:t>ogni vincolo esteriore (la legge imposta da Dio tramite Mosè)</w:t>
      </w:r>
      <w:r>
        <w:rPr>
          <w:rFonts w:ascii="Times New Roman" w:eastAsia="Times New Roman" w:hAnsi="Times New Roman" w:cs="Times New Roman"/>
          <w:color w:val="000000"/>
        </w:rPr>
        <w:t xml:space="preserve"> </w:t>
      </w:r>
      <w:r w:rsidRPr="00A30C8C">
        <w:rPr>
          <w:rFonts w:ascii="Times New Roman" w:eastAsia="Times New Roman" w:hAnsi="Times New Roman" w:cs="Times New Roman"/>
          <w:color w:val="000000"/>
        </w:rPr>
        <w:t xml:space="preserve">e la divisione che alberga fra uomo e uomo. </w:t>
      </w:r>
      <w:r w:rsidRPr="00C72B0B">
        <w:rPr>
          <w:rFonts w:ascii="Times New Roman" w:eastAsia="Times New Roman" w:hAnsi="Times New Roman" w:cs="Times New Roman"/>
          <w:color w:val="000000"/>
        </w:rPr>
        <w:t xml:space="preserve">Chi segue il Figlio dell’Uomo e il suo insegnamento diventa cittadino del regno di Dio, di una comunità spirituale in cui la divinità ha preso </w:t>
      </w:r>
      <w:r w:rsidRPr="009B6622">
        <w:rPr>
          <w:rFonts w:ascii="Times New Roman" w:eastAsia="Times New Roman" w:hAnsi="Times New Roman" w:cs="Times New Roman"/>
          <w:color w:val="000000"/>
        </w:rPr>
        <w:t>corpo</w:t>
      </w:r>
      <w:r w:rsidRPr="009B6622">
        <w:rPr>
          <w:rStyle w:val="Rimandonotaapidipagina"/>
          <w:rFonts w:ascii="Times New Roman" w:eastAsia="Times New Roman" w:hAnsi="Times New Roman" w:cs="Times New Roman"/>
          <w:color w:val="000000"/>
        </w:rPr>
        <w:footnoteReference w:id="88"/>
      </w:r>
      <w:r w:rsidRPr="009B6622">
        <w:rPr>
          <w:rFonts w:ascii="Times New Roman" w:eastAsia="Times New Roman" w:hAnsi="Times New Roman" w:cs="Times New Roman"/>
          <w:color w:val="000000"/>
        </w:rPr>
        <w:t xml:space="preserve">. Cadono tutte le rigidità della religione ebraica: la </w:t>
      </w:r>
      <w:r w:rsidRPr="009B6622">
        <w:rPr>
          <w:rFonts w:ascii="Times New Roman" w:eastAsia="Times New Roman" w:hAnsi="Times New Roman" w:cs="Times New Roman"/>
          <w:i/>
          <w:color w:val="000000"/>
        </w:rPr>
        <w:t xml:space="preserve">negatività </w:t>
      </w:r>
      <w:r w:rsidRPr="009B6622">
        <w:rPr>
          <w:rFonts w:ascii="Times New Roman" w:eastAsia="Times New Roman" w:hAnsi="Times New Roman" w:cs="Times New Roman"/>
          <w:color w:val="000000"/>
        </w:rPr>
        <w:t xml:space="preserve">di umano e divino </w:t>
      </w:r>
      <w:r w:rsidRPr="009B6622">
        <w:rPr>
          <w:rFonts w:ascii="Times New Roman" w:eastAsia="Times New Roman" w:hAnsi="Times New Roman" w:cs="Times New Roman"/>
          <w:i/>
          <w:color w:val="000000"/>
        </w:rPr>
        <w:t>nel pensiero</w:t>
      </w:r>
      <w:r w:rsidRPr="009B6622">
        <w:rPr>
          <w:rFonts w:ascii="Times New Roman" w:eastAsia="Times New Roman" w:hAnsi="Times New Roman" w:cs="Times New Roman"/>
          <w:color w:val="000000"/>
        </w:rPr>
        <w:t xml:space="preserve"> e l’impossibilità di un superamento </w:t>
      </w:r>
      <w:r w:rsidRPr="009B6622">
        <w:rPr>
          <w:rFonts w:ascii="Times New Roman" w:eastAsia="Times New Roman" w:hAnsi="Times New Roman" w:cs="Times New Roman"/>
          <w:i/>
          <w:color w:val="000000"/>
        </w:rPr>
        <w:t>reale</w:t>
      </w:r>
      <w:r w:rsidRPr="009B6622">
        <w:rPr>
          <w:rFonts w:ascii="Times New Roman" w:eastAsia="Times New Roman" w:hAnsi="Times New Roman" w:cs="Times New Roman"/>
          <w:color w:val="000000"/>
        </w:rPr>
        <w:t xml:space="preserve"> dell’opposizione fra pensiero e</w:t>
      </w:r>
      <w:r w:rsidR="00760BD7" w:rsidRPr="009B6622">
        <w:rPr>
          <w:rFonts w:ascii="Times New Roman" w:eastAsia="Times New Roman" w:hAnsi="Times New Roman" w:cs="Times New Roman"/>
          <w:color w:val="000000"/>
        </w:rPr>
        <w:t xml:space="preserve"> essere</w:t>
      </w:r>
      <w:r w:rsidRPr="009B6622">
        <w:rPr>
          <w:rFonts w:ascii="Times New Roman" w:eastAsia="Times New Roman" w:hAnsi="Times New Roman" w:cs="Times New Roman"/>
          <w:color w:val="000000"/>
        </w:rPr>
        <w:t xml:space="preserve"> vengono</w:t>
      </w:r>
      <w:r w:rsidRPr="00C04DDD">
        <w:rPr>
          <w:rFonts w:ascii="Times New Roman" w:eastAsia="Times New Roman" w:hAnsi="Times New Roman" w:cs="Times New Roman"/>
          <w:color w:val="000000"/>
        </w:rPr>
        <w:t xml:space="preserve"> meno in una comunanza di spiri</w:t>
      </w:r>
      <w:r w:rsidR="00C37AF2" w:rsidRPr="00C04DDD">
        <w:rPr>
          <w:rFonts w:ascii="Times New Roman" w:eastAsia="Times New Roman" w:hAnsi="Times New Roman" w:cs="Times New Roman"/>
          <w:color w:val="000000"/>
        </w:rPr>
        <w:t>to nella quale Dio alberga nella natura umana</w:t>
      </w:r>
      <w:r w:rsidR="00745F65" w:rsidRPr="00C04DDD">
        <w:rPr>
          <w:rFonts w:ascii="Times New Roman" w:eastAsia="Times New Roman" w:hAnsi="Times New Roman" w:cs="Times New Roman"/>
          <w:color w:val="000000"/>
        </w:rPr>
        <w:t xml:space="preserve"> e la natura umana</w:t>
      </w:r>
      <w:r w:rsidRPr="00C04DDD">
        <w:rPr>
          <w:rFonts w:ascii="Times New Roman" w:eastAsia="Times New Roman" w:hAnsi="Times New Roman" w:cs="Times New Roman"/>
          <w:color w:val="000000"/>
        </w:rPr>
        <w:t>, superata</w:t>
      </w:r>
      <w:r>
        <w:rPr>
          <w:rFonts w:ascii="Times New Roman" w:eastAsia="Times New Roman" w:hAnsi="Times New Roman" w:cs="Times New Roman"/>
          <w:color w:val="000000"/>
        </w:rPr>
        <w:t xml:space="preserve"> la propria limitatezza, s’innalza a Dio. </w:t>
      </w:r>
      <w:r w:rsidRPr="008341F5">
        <w:rPr>
          <w:rFonts w:ascii="Times New Roman" w:eastAsia="Times New Roman" w:hAnsi="Times New Roman" w:cs="Times New Roman"/>
          <w:color w:val="000000"/>
        </w:rPr>
        <w:t xml:space="preserve">Dopo questa efficace descrizione del </w:t>
      </w:r>
      <w:r w:rsidRPr="008341F5">
        <w:rPr>
          <w:rFonts w:ascii="Times New Roman" w:eastAsia="Times New Roman" w:hAnsi="Times New Roman" w:cs="Times New Roman"/>
          <w:i/>
          <w:color w:val="000000"/>
        </w:rPr>
        <w:t>Reich Gottes</w:t>
      </w:r>
      <w:r w:rsidRPr="008341F5">
        <w:rPr>
          <w:rFonts w:ascii="Times New Roman" w:eastAsia="Times New Roman" w:hAnsi="Times New Roman" w:cs="Times New Roman"/>
          <w:color w:val="000000"/>
        </w:rPr>
        <w:t>, Hegel formula alcuni interrogativi che vanno a problematizzare sensibilmente il disegno di Gesù: v</w:t>
      </w:r>
      <w:r>
        <w:rPr>
          <w:rFonts w:ascii="Times New Roman" w:eastAsia="Times New Roman" w:hAnsi="Times New Roman" w:cs="Times New Roman"/>
          <w:color w:val="000000"/>
        </w:rPr>
        <w:t xml:space="preserve">i è un’idea più bella di quella di un popolo di uomini che intessono rapporti reciproci d’amore? vi è un’idea più sublime di quella d’essere parte di un tutto in cui tutti sono figli di Dio? vi è forse una mancanza nell’idea tale da scatenare una forza estranea, un destino, contro di essa? </w:t>
      </w:r>
      <w:r w:rsidRPr="008341F5">
        <w:rPr>
          <w:rFonts w:ascii="Times New Roman" w:eastAsia="Times New Roman" w:hAnsi="Times New Roman" w:cs="Times New Roman"/>
          <w:color w:val="000000"/>
        </w:rPr>
        <w:t xml:space="preserve">L’ultimo quesito, su cui mi soffermerò brevemente, è la chiave per capire la trattazione hegeliana del cristianesimo. </w:t>
      </w:r>
    </w:p>
    <w:p w14:paraId="77CE342A" w14:textId="2BB0F591" w:rsidR="00B244FE" w:rsidRDefault="00B244FE" w:rsidP="00B244FE">
      <w:pPr>
        <w:spacing w:line="360" w:lineRule="auto"/>
        <w:ind w:firstLine="567"/>
        <w:jc w:val="both"/>
        <w:rPr>
          <w:rFonts w:ascii="Times New Roman" w:eastAsia="Times New Roman" w:hAnsi="Times New Roman" w:cs="Times New Roman"/>
          <w:color w:val="000000"/>
        </w:rPr>
      </w:pPr>
      <w:r w:rsidRPr="00742243">
        <w:rPr>
          <w:rFonts w:ascii="Times New Roman" w:eastAsia="Times New Roman" w:hAnsi="Times New Roman" w:cs="Times New Roman"/>
          <w:color w:val="000000"/>
        </w:rPr>
        <w:t xml:space="preserve">È stato ricordato come Gesù fosse convinto dell’avvento imminente del regno di Dio. Ciò che </w:t>
      </w:r>
      <w:r w:rsidRPr="00742243">
        <w:rPr>
          <w:rFonts w:ascii="Times New Roman" w:eastAsia="Times New Roman" w:hAnsi="Times New Roman" w:cs="Times New Roman"/>
          <w:i/>
          <w:color w:val="000000"/>
        </w:rPr>
        <w:t>deve essere</w:t>
      </w:r>
      <w:r w:rsidRPr="00742243">
        <w:rPr>
          <w:rFonts w:ascii="Times New Roman" w:eastAsia="Times New Roman" w:hAnsi="Times New Roman" w:cs="Times New Roman"/>
          <w:color w:val="000000"/>
        </w:rPr>
        <w:t xml:space="preserve"> è prossimo a fare il suo ingresso nella realtà. Basta che l’idea trovi un terreno fertile in cui mettere radici. Ossia: deve ridestarsi nel popolo ebraico il bisogno di una spiritualità </w:t>
      </w:r>
      <w:r w:rsidRPr="007F5DD9">
        <w:rPr>
          <w:rFonts w:ascii="Times New Roman" w:eastAsia="Times New Roman" w:hAnsi="Times New Roman" w:cs="Times New Roman"/>
          <w:color w:val="000000"/>
        </w:rPr>
        <w:t>più elevata, che restituisca dignità</w:t>
      </w:r>
      <w:r w:rsidRPr="008173BF">
        <w:rPr>
          <w:rFonts w:ascii="Times New Roman" w:eastAsia="Times New Roman" w:hAnsi="Times New Roman" w:cs="Times New Roman"/>
          <w:color w:val="000000"/>
        </w:rPr>
        <w:t xml:space="preserve"> all’uomo e umanità a Dio.</w:t>
      </w:r>
      <w:r>
        <w:rPr>
          <w:rFonts w:ascii="Times New Roman" w:eastAsia="Times New Roman" w:hAnsi="Times New Roman" w:cs="Times New Roman"/>
          <w:color w:val="000000"/>
        </w:rPr>
        <w:t xml:space="preserve"> Ora, il richiamo al cambiamento interiore è seguito soltanto da un</w:t>
      </w:r>
      <w:r w:rsidR="002B4616">
        <w:rPr>
          <w:rFonts w:ascii="Times New Roman" w:eastAsia="Times New Roman" w:hAnsi="Times New Roman" w:cs="Times New Roman"/>
          <w:color w:val="000000"/>
        </w:rPr>
        <w:t xml:space="preserve"> numero esiguo d’individui</w:t>
      </w:r>
      <w:r>
        <w:rPr>
          <w:rFonts w:ascii="Times New Roman" w:eastAsia="Times New Roman" w:hAnsi="Times New Roman" w:cs="Times New Roman"/>
          <w:color w:val="000000"/>
        </w:rPr>
        <w:t xml:space="preserve">, non dal popolo ebraico nella sua interezza, che oppone resistenza all’insegnamento di Gesù. </w:t>
      </w:r>
      <w:r w:rsidRPr="00C72B0B">
        <w:rPr>
          <w:rFonts w:ascii="Times New Roman" w:eastAsia="Times New Roman" w:hAnsi="Times New Roman" w:cs="Times New Roman"/>
          <w:color w:val="000000"/>
        </w:rPr>
        <w:t>Il bisogno di una vita superiore rimane inascoltato e l’idea del regno di Dio rimane un pensato, una potenzialità inespressa.</w:t>
      </w:r>
      <w:r w:rsidRPr="008173BF">
        <w:rPr>
          <w:rFonts w:ascii="Times New Roman" w:eastAsia="Times New Roman" w:hAnsi="Times New Roman" w:cs="Times New Roman"/>
          <w:color w:val="000000"/>
        </w:rPr>
        <w:t xml:space="preserve"> L’amore di Gesù per l’uomo si tramuta in odio</w:t>
      </w:r>
      <w:r>
        <w:rPr>
          <w:rStyle w:val="Rimandonotaapidipagina"/>
          <w:rFonts w:ascii="Times New Roman" w:eastAsia="Times New Roman" w:hAnsi="Times New Roman" w:cs="Times New Roman"/>
          <w:color w:val="000000"/>
        </w:rPr>
        <w:footnoteReference w:id="89"/>
      </w:r>
      <w:r w:rsidRPr="008173BF">
        <w:rPr>
          <w:rFonts w:ascii="Times New Roman" w:eastAsia="Times New Roman" w:hAnsi="Times New Roman" w:cs="Times New Roman"/>
          <w:color w:val="000000"/>
        </w:rPr>
        <w:t>: posseduto dal demone dell’odio, Gesù afferma che «</w:t>
      </w:r>
      <w:r w:rsidRPr="008173BF">
        <w:rPr>
          <w:rFonts w:ascii="Times New Roman" w:eastAsia="Times New Roman" w:hAnsi="Times New Roman" w:cs="Times New Roman"/>
          <w:color w:val="000000"/>
          <w:lang w:val="de-DE"/>
        </w:rPr>
        <w:t>das Reich Gottes ist nicht von dieser Welt»</w:t>
      </w:r>
      <w:r w:rsidRPr="008173BF">
        <w:rPr>
          <w:rStyle w:val="Rimandonotaapidipagina"/>
          <w:rFonts w:ascii="Times New Roman" w:eastAsia="Times New Roman" w:hAnsi="Times New Roman" w:cs="Times New Roman"/>
          <w:color w:val="000000"/>
        </w:rPr>
        <w:footnoteReference w:id="90"/>
      </w:r>
      <w:r w:rsidRPr="008173BF">
        <w:rPr>
          <w:rFonts w:ascii="Times New Roman" w:eastAsia="Times New Roman" w:hAnsi="Times New Roman" w:cs="Times New Roman"/>
          <w:color w:val="000000"/>
          <w:lang w:val="de-DE"/>
        </w:rPr>
        <w:t xml:space="preserve">. </w:t>
      </w:r>
      <w:r w:rsidRPr="008173BF">
        <w:rPr>
          <w:rFonts w:ascii="Times New Roman" w:eastAsia="Times New Roman" w:hAnsi="Times New Roman" w:cs="Times New Roman"/>
          <w:color w:val="000000"/>
        </w:rPr>
        <w:t xml:space="preserve">Dal momento che questo mondo non può e non vuole cambiare, il regno di Dio cessa d’essere qualcosa d’imminente e si trasforma </w:t>
      </w:r>
      <w:r w:rsidRPr="009B6622">
        <w:rPr>
          <w:rFonts w:ascii="Times New Roman" w:eastAsia="Times New Roman" w:hAnsi="Times New Roman" w:cs="Times New Roman"/>
          <w:color w:val="000000"/>
        </w:rPr>
        <w:t xml:space="preserve">in un al di là, non toccato da forma alcuna di mondanità. Coloro che hanno ascoltato e seguito l’insegnamento di Gesù si oppongono radicalmente a questo mondo e si professano come l’altro dal mondo. </w:t>
      </w:r>
      <w:r w:rsidR="00F13F85" w:rsidRPr="009B6622">
        <w:rPr>
          <w:rFonts w:ascii="Times New Roman" w:eastAsia="Times New Roman" w:hAnsi="Times New Roman" w:cs="Times New Roman"/>
          <w:color w:val="000000"/>
        </w:rPr>
        <w:t>Essere altro dal mondo</w:t>
      </w:r>
      <w:r w:rsidRPr="009B6622">
        <w:rPr>
          <w:rFonts w:ascii="Times New Roman" w:eastAsia="Times New Roman" w:hAnsi="Times New Roman" w:cs="Times New Roman"/>
          <w:color w:val="000000"/>
          <w:lang w:val="de-DE"/>
        </w:rPr>
        <w:t xml:space="preserve"> </w:t>
      </w:r>
      <w:r w:rsidRPr="009B6622">
        <w:rPr>
          <w:rFonts w:ascii="Times New Roman" w:eastAsia="Times New Roman" w:hAnsi="Times New Roman" w:cs="Times New Roman"/>
          <w:color w:val="000000"/>
        </w:rPr>
        <w:t>implica una fuga da tutti i rapporti che in esso hanno luogo:</w:t>
      </w:r>
    </w:p>
    <w:p w14:paraId="3CB41C6E" w14:textId="77777777" w:rsidR="00B244FE" w:rsidRDefault="00B244FE" w:rsidP="00B244FE">
      <w:pPr>
        <w:spacing w:line="360" w:lineRule="auto"/>
        <w:ind w:firstLine="567"/>
        <w:jc w:val="both"/>
        <w:rPr>
          <w:rFonts w:ascii="Times New Roman" w:eastAsia="Times New Roman" w:hAnsi="Times New Roman" w:cs="Times New Roman"/>
          <w:color w:val="000000"/>
        </w:rPr>
      </w:pPr>
    </w:p>
    <w:p w14:paraId="64B37476" w14:textId="77777777" w:rsidR="00B244FE" w:rsidRPr="00000D77" w:rsidRDefault="00B244FE" w:rsidP="00B244FE">
      <w:pPr>
        <w:spacing w:line="360" w:lineRule="auto"/>
        <w:ind w:left="567" w:firstLine="567"/>
        <w:jc w:val="both"/>
        <w:rPr>
          <w:rFonts w:ascii="Times New Roman" w:eastAsia="Times New Roman" w:hAnsi="Times New Roman" w:cs="Times New Roman"/>
          <w:color w:val="000000"/>
          <w:sz w:val="20"/>
          <w:szCs w:val="20"/>
          <w:lang w:val="de-DE"/>
        </w:rPr>
      </w:pPr>
      <w:r w:rsidRPr="00000D77">
        <w:rPr>
          <w:rFonts w:ascii="Times New Roman" w:eastAsia="Times New Roman" w:hAnsi="Times New Roman" w:cs="Times New Roman"/>
          <w:color w:val="000000"/>
          <w:sz w:val="20"/>
          <w:szCs w:val="20"/>
          <w:lang w:val="de-DE"/>
        </w:rPr>
        <w:t>«Aber in seiner wirklichen Welt mußte er alle lebendigen Beziehungen fliehen, weil alle unter dem Gesetze des Todes lagen, die Menschen unter der Gewalt des Jüdischen gefangen waren […] und so konnte er die Freiheit nur in der Leere finden, weil jede Modifikation des Lebens gebunden war […]. Das Leben des Jesus war also Trennung von der Welt und Flucht von Himmel; Wiederherstellung des leerausgehenden Lebens in der Idealität»</w:t>
      </w:r>
      <w:r w:rsidRPr="00000D77">
        <w:rPr>
          <w:rStyle w:val="Rimandonotaapidipagina"/>
          <w:rFonts w:ascii="Times New Roman" w:eastAsia="Times New Roman" w:hAnsi="Times New Roman" w:cs="Times New Roman"/>
          <w:color w:val="000000"/>
          <w:sz w:val="20"/>
          <w:szCs w:val="20"/>
        </w:rPr>
        <w:footnoteReference w:id="91"/>
      </w:r>
      <w:r w:rsidRPr="00000D77">
        <w:rPr>
          <w:rFonts w:ascii="Times New Roman" w:eastAsia="Times New Roman" w:hAnsi="Times New Roman" w:cs="Times New Roman"/>
          <w:color w:val="000000"/>
          <w:sz w:val="20"/>
          <w:szCs w:val="20"/>
          <w:lang w:val="de-DE"/>
        </w:rPr>
        <w:t>.</w:t>
      </w:r>
    </w:p>
    <w:p w14:paraId="5387BE2A" w14:textId="77777777" w:rsidR="00B244FE" w:rsidRDefault="00B244FE" w:rsidP="00B244FE">
      <w:pPr>
        <w:spacing w:line="360" w:lineRule="auto"/>
        <w:ind w:firstLine="567"/>
        <w:jc w:val="both"/>
        <w:rPr>
          <w:rFonts w:ascii="Times New Roman" w:eastAsia="Times New Roman" w:hAnsi="Times New Roman" w:cs="Times New Roman"/>
          <w:color w:val="000000"/>
        </w:rPr>
      </w:pPr>
    </w:p>
    <w:p w14:paraId="19972F4C" w14:textId="788ECE90" w:rsidR="00B244FE" w:rsidRDefault="00B244FE" w:rsidP="00B244FE">
      <w:pPr>
        <w:spacing w:line="360" w:lineRule="auto"/>
        <w:ind w:firstLine="567"/>
        <w:jc w:val="both"/>
        <w:rPr>
          <w:rFonts w:ascii="Times New Roman" w:eastAsia="Times New Roman" w:hAnsi="Times New Roman" w:cs="Times New Roman"/>
          <w:color w:val="000000"/>
        </w:rPr>
      </w:pPr>
      <w:r w:rsidRPr="00514FD0">
        <w:rPr>
          <w:rFonts w:ascii="Times New Roman" w:eastAsia="Times New Roman" w:hAnsi="Times New Roman" w:cs="Times New Roman"/>
          <w:color w:val="000000"/>
        </w:rPr>
        <w:t>Tutti i legami familiari e i rapporti privati devono essere dismessi a favore di una vuota unità, tenuta assieme dalla forza astraente dell’amore, che non va incontro a</w:t>
      </w:r>
      <w:r w:rsidR="002B4616">
        <w:rPr>
          <w:rFonts w:ascii="Times New Roman" w:eastAsia="Times New Roman" w:hAnsi="Times New Roman" w:cs="Times New Roman"/>
          <w:color w:val="000000"/>
        </w:rPr>
        <w:t>d alcuna</w:t>
      </w:r>
      <w:r w:rsidRPr="00514FD0">
        <w:rPr>
          <w:rFonts w:ascii="Times New Roman" w:eastAsia="Times New Roman" w:hAnsi="Times New Roman" w:cs="Times New Roman"/>
          <w:color w:val="000000"/>
        </w:rPr>
        <w:t xml:space="preserve"> modificazione. Ciò che si realizza fra i seguaci di Gesù è un’unità posta al di sopra delle modificazioni concrete del vivente: la vita, risvegliata dall’insegnamento</w:t>
      </w:r>
      <w:r>
        <w:rPr>
          <w:rFonts w:ascii="Times New Roman" w:eastAsia="Times New Roman" w:hAnsi="Times New Roman" w:cs="Times New Roman"/>
          <w:color w:val="000000"/>
        </w:rPr>
        <w:t xml:space="preserve"> di Gesù e ricomposta nel legame d’amore della comunità cristiana, è assenza di forma, altro da</w:t>
      </w:r>
      <w:r w:rsidR="00024601">
        <w:rPr>
          <w:rFonts w:ascii="Times New Roman" w:eastAsia="Times New Roman" w:hAnsi="Times New Roman" w:cs="Times New Roman"/>
          <w:color w:val="000000"/>
        </w:rPr>
        <w:t>lle concrete particolarizzazioni</w:t>
      </w:r>
      <w:r>
        <w:rPr>
          <w:rFonts w:ascii="Times New Roman" w:eastAsia="Times New Roman" w:hAnsi="Times New Roman" w:cs="Times New Roman"/>
          <w:color w:val="000000"/>
        </w:rPr>
        <w:t xml:space="preserve"> del vivente, l’al di là del mondo e delle scissioni che in esso hanno luogo. </w:t>
      </w:r>
      <w:r w:rsidRPr="00227ABD">
        <w:rPr>
          <w:rFonts w:ascii="Times New Roman" w:eastAsia="Times New Roman" w:hAnsi="Times New Roman" w:cs="Times New Roman"/>
          <w:color w:val="000000"/>
        </w:rPr>
        <w:t xml:space="preserve">Per non essere ciò che ad essa non ha saputo conformarsi, la vita inorridisce </w:t>
      </w:r>
      <w:r w:rsidRPr="00514FD0">
        <w:rPr>
          <w:rFonts w:ascii="Times New Roman" w:eastAsia="Times New Roman" w:hAnsi="Times New Roman" w:cs="Times New Roman"/>
          <w:color w:val="000000"/>
        </w:rPr>
        <w:t>dinnanzi alla vita stessa. Sebbene abbia cercato di colpire alla radice il morto meccanismo del sistema politico-sociale ebraico, Gesù viene risucchiato dallo spirito del suo popolo</w:t>
      </w:r>
      <w:r w:rsidRPr="00011C7C">
        <w:rPr>
          <w:rFonts w:ascii="Times New Roman" w:eastAsia="Times New Roman" w:hAnsi="Times New Roman" w:cs="Times New Roman"/>
          <w:color w:val="000000"/>
        </w:rPr>
        <w:t xml:space="preserve">: non potendo essere cambiata in concreto, la realtà viene fuggita e viene riproposta la scissione </w:t>
      </w:r>
      <w:r w:rsidR="00742243" w:rsidRPr="00011C7C">
        <w:rPr>
          <w:rFonts w:ascii="Times New Roman" w:eastAsia="Times New Roman" w:hAnsi="Times New Roman" w:cs="Times New Roman"/>
          <w:color w:val="000000"/>
        </w:rPr>
        <w:t xml:space="preserve">– per Hegel </w:t>
      </w:r>
      <w:r w:rsidR="000E79CE" w:rsidRPr="00011C7C">
        <w:rPr>
          <w:rFonts w:ascii="Times New Roman" w:eastAsia="Times New Roman" w:hAnsi="Times New Roman" w:cs="Times New Roman"/>
          <w:color w:val="000000"/>
        </w:rPr>
        <w:t xml:space="preserve">tipicamente </w:t>
      </w:r>
      <w:r w:rsidRPr="00011C7C">
        <w:rPr>
          <w:rFonts w:ascii="Times New Roman" w:eastAsia="Times New Roman" w:hAnsi="Times New Roman" w:cs="Times New Roman"/>
          <w:color w:val="000000"/>
        </w:rPr>
        <w:t xml:space="preserve">ebraica </w:t>
      </w:r>
      <w:r w:rsidR="00742243" w:rsidRPr="00011C7C">
        <w:rPr>
          <w:rFonts w:ascii="Times New Roman" w:eastAsia="Times New Roman" w:hAnsi="Times New Roman" w:cs="Times New Roman"/>
          <w:color w:val="000000"/>
        </w:rPr>
        <w:t>–</w:t>
      </w:r>
      <w:r w:rsidR="00742243">
        <w:rPr>
          <w:rFonts w:ascii="Times New Roman" w:eastAsia="Times New Roman" w:hAnsi="Times New Roman" w:cs="Times New Roman"/>
          <w:color w:val="000000"/>
        </w:rPr>
        <w:t xml:space="preserve"> </w:t>
      </w:r>
      <w:r w:rsidRPr="00514FD0">
        <w:rPr>
          <w:rFonts w:ascii="Times New Roman" w:eastAsia="Times New Roman" w:hAnsi="Times New Roman" w:cs="Times New Roman"/>
          <w:color w:val="000000"/>
        </w:rPr>
        <w:t xml:space="preserve">fra un’idea, la vita </w:t>
      </w:r>
      <w:r w:rsidRPr="0028717B">
        <w:rPr>
          <w:rFonts w:ascii="Times New Roman" w:eastAsia="Times New Roman" w:hAnsi="Times New Roman" w:cs="Times New Roman"/>
          <w:color w:val="000000"/>
        </w:rPr>
        <w:t>informe della comunità, e un concreto, le modificazioni del vivente. Rispetto alla nozione ebraica di divinità, il Dio cristiano, l’astratto e indeterminato spirito comunitario, costituisce la perfetta antitesi della logica di dominio su cui poggia lo spirito</w:t>
      </w:r>
      <w:r w:rsidR="0026235A" w:rsidRPr="0028717B">
        <w:rPr>
          <w:rFonts w:ascii="Times New Roman" w:eastAsia="Times New Roman" w:hAnsi="Times New Roman" w:cs="Times New Roman"/>
          <w:color w:val="000000"/>
        </w:rPr>
        <w:t xml:space="preserve"> </w:t>
      </w:r>
      <w:r w:rsidR="0028717B" w:rsidRPr="0028717B">
        <w:rPr>
          <w:rFonts w:ascii="Times New Roman" w:eastAsia="Times New Roman" w:hAnsi="Times New Roman" w:cs="Times New Roman"/>
          <w:color w:val="000000"/>
        </w:rPr>
        <w:t>dell’ebraismo</w:t>
      </w:r>
      <w:r w:rsidRPr="0028717B">
        <w:rPr>
          <w:rFonts w:ascii="Times New Roman" w:eastAsia="Times New Roman" w:hAnsi="Times New Roman" w:cs="Times New Roman"/>
          <w:color w:val="000000"/>
        </w:rPr>
        <w:t>:</w:t>
      </w:r>
      <w:r w:rsidRPr="00464F40">
        <w:rPr>
          <w:rFonts w:ascii="Times New Roman" w:eastAsia="Times New Roman" w:hAnsi="Times New Roman" w:cs="Times New Roman"/>
          <w:color w:val="000000"/>
        </w:rPr>
        <w:t xml:space="preserve"> </w:t>
      </w:r>
    </w:p>
    <w:p w14:paraId="57FE2883" w14:textId="77777777" w:rsidR="00B244FE" w:rsidRDefault="00B244FE" w:rsidP="00B244FE">
      <w:pPr>
        <w:spacing w:line="360" w:lineRule="auto"/>
        <w:ind w:firstLine="567"/>
        <w:jc w:val="both"/>
        <w:rPr>
          <w:rFonts w:ascii="Times New Roman" w:eastAsia="Times New Roman" w:hAnsi="Times New Roman" w:cs="Times New Roman"/>
          <w:color w:val="000000"/>
        </w:rPr>
      </w:pPr>
    </w:p>
    <w:p w14:paraId="4C650261" w14:textId="77777777" w:rsidR="00B244FE" w:rsidRPr="005076DD" w:rsidRDefault="00B244FE" w:rsidP="00B244FE">
      <w:pPr>
        <w:spacing w:line="360" w:lineRule="auto"/>
        <w:ind w:left="567" w:firstLine="567"/>
        <w:jc w:val="both"/>
        <w:rPr>
          <w:rFonts w:ascii="Times New Roman" w:eastAsia="Times New Roman" w:hAnsi="Times New Roman" w:cs="Times New Roman"/>
          <w:color w:val="000000"/>
          <w:sz w:val="20"/>
          <w:szCs w:val="20"/>
          <w:lang w:val="de-DE"/>
        </w:rPr>
      </w:pPr>
      <w:r w:rsidRPr="005076DD">
        <w:rPr>
          <w:rFonts w:ascii="Times New Roman" w:eastAsia="Times New Roman" w:hAnsi="Times New Roman" w:cs="Times New Roman"/>
          <w:color w:val="000000"/>
          <w:sz w:val="20"/>
          <w:szCs w:val="20"/>
          <w:lang w:val="de-DE"/>
        </w:rPr>
        <w:t>«Aus der Idee des Reiches Gottes sind zwar alle durch einen Staat gegründete Verhältnisse ausgeschlossen, welche unendlicher tiefer stehen, als die lebendigen Beziehungen des göttlichen Bundes, und von einem solchen nur verachtet werden können, aber wenn er vorhanden war, und Jesus oder die Gemeinde ihn nicht aufheben konnte, so bleibt das Schicksal Jesu und seiner ihm hierin treubleibenden Gemeine, ein Verlust an Freiheit, eine Beschränkung des Lebens, eine Passivität in der Beherrschung durch eine fremde Macht</w:t>
      </w:r>
      <w:r w:rsidRPr="00000D77">
        <w:rPr>
          <w:rFonts w:ascii="Times New Roman" w:eastAsia="Times New Roman" w:hAnsi="Times New Roman" w:cs="Times New Roman"/>
          <w:color w:val="000000"/>
          <w:sz w:val="20"/>
          <w:szCs w:val="20"/>
          <w:lang w:val="de-DE"/>
        </w:rPr>
        <w:t>»</w:t>
      </w:r>
      <w:r w:rsidRPr="00000D77">
        <w:rPr>
          <w:rStyle w:val="Rimandonotaapidipagina"/>
          <w:rFonts w:ascii="Times New Roman" w:eastAsia="Times New Roman" w:hAnsi="Times New Roman" w:cs="Times New Roman"/>
          <w:color w:val="000000"/>
          <w:sz w:val="20"/>
          <w:szCs w:val="20"/>
        </w:rPr>
        <w:footnoteReference w:id="92"/>
      </w:r>
      <w:r w:rsidRPr="00000D77">
        <w:rPr>
          <w:rFonts w:ascii="Times New Roman" w:eastAsia="Times New Roman" w:hAnsi="Times New Roman" w:cs="Times New Roman"/>
          <w:color w:val="000000"/>
          <w:sz w:val="20"/>
          <w:szCs w:val="20"/>
          <w:lang w:val="de-DE"/>
        </w:rPr>
        <w:t>.</w:t>
      </w:r>
    </w:p>
    <w:p w14:paraId="5A192671" w14:textId="77777777" w:rsidR="00B244FE" w:rsidRDefault="00B244FE" w:rsidP="00B244FE">
      <w:pPr>
        <w:spacing w:line="360" w:lineRule="auto"/>
        <w:ind w:firstLine="567"/>
        <w:jc w:val="both"/>
        <w:rPr>
          <w:rFonts w:ascii="Times New Roman" w:eastAsia="Times New Roman" w:hAnsi="Times New Roman" w:cs="Times New Roman"/>
          <w:color w:val="000000"/>
        </w:rPr>
      </w:pPr>
    </w:p>
    <w:p w14:paraId="11E4A9C6" w14:textId="71DDF316" w:rsidR="00B244FE" w:rsidRDefault="00B244FE" w:rsidP="00B244FE">
      <w:pPr>
        <w:spacing w:line="360" w:lineRule="auto"/>
        <w:ind w:firstLine="567"/>
        <w:jc w:val="both"/>
        <w:rPr>
          <w:rFonts w:ascii="Times New Roman" w:eastAsia="Times New Roman" w:hAnsi="Times New Roman" w:cs="Times New Roman"/>
          <w:color w:val="000000"/>
        </w:rPr>
      </w:pPr>
      <w:r w:rsidRPr="00590FEE">
        <w:rPr>
          <w:rFonts w:ascii="Times New Roman" w:eastAsia="Times New Roman" w:hAnsi="Times New Roman" w:cs="Times New Roman"/>
          <w:color w:val="000000"/>
        </w:rPr>
        <w:t>Il destino del popolo ebraico, che porta un’intera nazione a staccarsi dalla natura e a sottomettersi al dominio di una potenza estranea</w:t>
      </w:r>
      <w:r w:rsidRPr="00590FEE">
        <w:rPr>
          <w:rStyle w:val="Rimandonotaapidipagina"/>
          <w:rFonts w:ascii="Times New Roman" w:eastAsia="Times New Roman" w:hAnsi="Times New Roman" w:cs="Times New Roman"/>
          <w:color w:val="000000"/>
        </w:rPr>
        <w:footnoteReference w:id="93"/>
      </w:r>
      <w:r w:rsidRPr="00590FEE">
        <w:rPr>
          <w:rFonts w:ascii="Times New Roman" w:eastAsia="Times New Roman" w:hAnsi="Times New Roman" w:cs="Times New Roman"/>
          <w:color w:val="000000"/>
        </w:rPr>
        <w:t xml:space="preserve">, è seguito soltanto in parte da Gesù e dalla sua comunità. Seguito nella misura in cui il divino è altro dal mondo e </w:t>
      </w:r>
      <w:r w:rsidR="00F13F85">
        <w:rPr>
          <w:rFonts w:ascii="Times New Roman" w:eastAsia="Times New Roman" w:hAnsi="Times New Roman" w:cs="Times New Roman"/>
          <w:color w:val="000000"/>
        </w:rPr>
        <w:t>si sottrae al</w:t>
      </w:r>
      <w:r w:rsidRPr="00590FEE">
        <w:rPr>
          <w:rFonts w:ascii="Times New Roman" w:eastAsia="Times New Roman" w:hAnsi="Times New Roman" w:cs="Times New Roman"/>
          <w:color w:val="000000"/>
        </w:rPr>
        <w:t xml:space="preserve">le scissioni radicate nella realtà; non seguito dal momento che il pensato, l’essere uno nello spirito dei seguaci </w:t>
      </w:r>
      <w:r w:rsidRPr="00F17243">
        <w:rPr>
          <w:rFonts w:ascii="Times New Roman" w:eastAsia="Times New Roman" w:hAnsi="Times New Roman" w:cs="Times New Roman"/>
          <w:color w:val="000000"/>
        </w:rPr>
        <w:t xml:space="preserve">di Gesù, non costringe, ma è costretto, non domina, ma è dominato, dal suo opposto. </w:t>
      </w:r>
      <w:r w:rsidRPr="007B029C">
        <w:rPr>
          <w:rFonts w:ascii="Times New Roman" w:eastAsia="Times New Roman" w:hAnsi="Times New Roman" w:cs="Times New Roman"/>
          <w:color w:val="000000"/>
        </w:rPr>
        <w:t>Adesso è la realtà che riacquista la sua originaria ostilità e dissolve ciò che è altro da sé: colpito non è l’opposto nella sua interezza (</w:t>
      </w:r>
      <w:r w:rsidR="00F13F85">
        <w:rPr>
          <w:rFonts w:ascii="Times New Roman" w:eastAsia="Times New Roman" w:hAnsi="Times New Roman" w:cs="Times New Roman"/>
          <w:color w:val="000000"/>
        </w:rPr>
        <w:t>la comunità crisitiana</w:t>
      </w:r>
      <w:r w:rsidRPr="007B029C">
        <w:rPr>
          <w:rFonts w:ascii="Times New Roman" w:eastAsia="Times New Roman" w:hAnsi="Times New Roman" w:cs="Times New Roman"/>
          <w:color w:val="000000"/>
        </w:rPr>
        <w:t xml:space="preserve">), ma quell’individuo determinato, prova </w:t>
      </w:r>
      <w:r>
        <w:rPr>
          <w:rFonts w:ascii="Times New Roman" w:eastAsia="Times New Roman" w:hAnsi="Times New Roman" w:cs="Times New Roman"/>
          <w:color w:val="000000"/>
        </w:rPr>
        <w:t>vivente della divinità dell’uomo</w:t>
      </w:r>
      <w:r w:rsidRPr="007B029C">
        <w:rPr>
          <w:rFonts w:ascii="Times New Roman" w:eastAsia="Times New Roman" w:hAnsi="Times New Roman" w:cs="Times New Roman"/>
          <w:color w:val="000000"/>
        </w:rPr>
        <w:t xml:space="preserve">, che costituisce il collante della </w:t>
      </w:r>
      <w:r w:rsidRPr="00F70D81">
        <w:rPr>
          <w:rFonts w:ascii="Times New Roman" w:eastAsia="Times New Roman" w:hAnsi="Times New Roman" w:cs="Times New Roman"/>
          <w:i/>
          <w:color w:val="000000"/>
          <w:lang w:val="de-DE"/>
        </w:rPr>
        <w:t>Gemeinde</w:t>
      </w:r>
      <w:r w:rsidRPr="007B029C">
        <w:rPr>
          <w:rFonts w:ascii="Times New Roman" w:eastAsia="Times New Roman" w:hAnsi="Times New Roman" w:cs="Times New Roman"/>
          <w:color w:val="000000"/>
        </w:rPr>
        <w:t xml:space="preserve">. Gesù muore e con la sua morte si riacuisce quella scissione </w:t>
      </w:r>
      <w:r>
        <w:rPr>
          <w:rFonts w:ascii="Times New Roman" w:eastAsia="Times New Roman" w:hAnsi="Times New Roman" w:cs="Times New Roman"/>
          <w:color w:val="000000"/>
        </w:rPr>
        <w:t>(</w:t>
      </w:r>
      <w:r w:rsidRPr="00E44AEF">
        <w:rPr>
          <w:rFonts w:ascii="Times New Roman" w:eastAsia="Times New Roman" w:hAnsi="Times New Roman" w:cs="Times New Roman"/>
          <w:i/>
          <w:color w:val="000000"/>
          <w:lang w:val="de-DE"/>
        </w:rPr>
        <w:t>Trennung</w:t>
      </w:r>
      <w:r>
        <w:rPr>
          <w:rFonts w:ascii="Times New Roman" w:eastAsia="Times New Roman" w:hAnsi="Times New Roman" w:cs="Times New Roman"/>
          <w:color w:val="000000"/>
        </w:rPr>
        <w:t xml:space="preserve">) </w:t>
      </w:r>
      <w:r w:rsidRPr="007B029C">
        <w:rPr>
          <w:rFonts w:ascii="Times New Roman" w:eastAsia="Times New Roman" w:hAnsi="Times New Roman" w:cs="Times New Roman"/>
          <w:color w:val="000000"/>
        </w:rPr>
        <w:t>da cui l</w:t>
      </w:r>
      <w:r>
        <w:rPr>
          <w:rFonts w:ascii="Times New Roman" w:eastAsia="Times New Roman" w:hAnsi="Times New Roman" w:cs="Times New Roman"/>
          <w:color w:val="000000"/>
        </w:rPr>
        <w:t>a comunità</w:t>
      </w:r>
      <w:r w:rsidRPr="007B029C">
        <w:rPr>
          <w:rFonts w:ascii="Times New Roman" w:eastAsia="Times New Roman" w:hAnsi="Times New Roman" w:cs="Times New Roman"/>
          <w:color w:val="000000"/>
        </w:rPr>
        <w:t xml:space="preserve"> aveva tentato fallimentarmente di congedarsi:</w:t>
      </w:r>
      <w:r>
        <w:rPr>
          <w:rFonts w:ascii="Times New Roman" w:eastAsia="Times New Roman" w:hAnsi="Times New Roman" w:cs="Times New Roman"/>
          <w:color w:val="000000"/>
        </w:rPr>
        <w:t xml:space="preserve"> </w:t>
      </w:r>
    </w:p>
    <w:p w14:paraId="0C51D9EA" w14:textId="77777777" w:rsidR="00B244FE" w:rsidRDefault="00B244FE" w:rsidP="00B244FE">
      <w:pPr>
        <w:spacing w:line="360" w:lineRule="auto"/>
        <w:ind w:firstLine="567"/>
        <w:jc w:val="both"/>
        <w:rPr>
          <w:rFonts w:ascii="Times New Roman" w:eastAsia="Times New Roman" w:hAnsi="Times New Roman" w:cs="Times New Roman"/>
          <w:color w:val="000000"/>
        </w:rPr>
      </w:pPr>
    </w:p>
    <w:p w14:paraId="3B219656" w14:textId="77777777" w:rsidR="00B244FE" w:rsidRDefault="00B244FE" w:rsidP="00B244FE">
      <w:pPr>
        <w:spacing w:line="360" w:lineRule="auto"/>
        <w:ind w:left="567" w:firstLine="567"/>
        <w:jc w:val="both"/>
        <w:rPr>
          <w:rFonts w:ascii="Times New Roman" w:eastAsia="Times New Roman" w:hAnsi="Times New Roman" w:cs="Times New Roman"/>
          <w:color w:val="000000"/>
          <w:sz w:val="20"/>
          <w:szCs w:val="20"/>
          <w:lang w:val="de-DE"/>
        </w:rPr>
      </w:pPr>
      <w:r w:rsidRPr="00B4726A">
        <w:rPr>
          <w:rFonts w:ascii="Times New Roman" w:eastAsia="Times New Roman" w:hAnsi="Times New Roman" w:cs="Times New Roman"/>
          <w:color w:val="000000"/>
          <w:sz w:val="20"/>
          <w:szCs w:val="20"/>
          <w:lang w:val="de-DE"/>
        </w:rPr>
        <w:t>«Nach dem Tode Jesu waren seine Jüngern, wie Schaafe, die keinen Hirten haben; es war ihnen ein Freund gestorbenem aber sie hatten auch gehoft, er sey der, der Israel befreien werde (Luc. 24, 21) und diese Hofnung war mit seinem Tode dahin; er hatte alles mit sich ins Grab genommen; sein Geist war nicht in ihnen zurückgeblieben – […] Mit seinem Tode waren sie in die Trennung des Sichtbaren und Unsichtabren, des Geistes und des Wirklichen zurückgeworfen»</w:t>
      </w:r>
      <w:r w:rsidRPr="00B4726A">
        <w:rPr>
          <w:rStyle w:val="Rimandonotaapidipagina"/>
          <w:rFonts w:ascii="Times New Roman" w:eastAsia="Times New Roman" w:hAnsi="Times New Roman" w:cs="Times New Roman"/>
          <w:color w:val="000000"/>
          <w:sz w:val="20"/>
          <w:szCs w:val="20"/>
          <w:lang w:val="de-DE"/>
        </w:rPr>
        <w:footnoteReference w:id="94"/>
      </w:r>
      <w:r w:rsidRPr="00B4726A">
        <w:rPr>
          <w:rFonts w:ascii="Times New Roman" w:eastAsia="Times New Roman" w:hAnsi="Times New Roman" w:cs="Times New Roman"/>
          <w:color w:val="000000"/>
          <w:sz w:val="20"/>
          <w:szCs w:val="20"/>
          <w:lang w:val="de-DE"/>
        </w:rPr>
        <w:t>.</w:t>
      </w:r>
    </w:p>
    <w:p w14:paraId="12914127" w14:textId="77777777" w:rsidR="00B244FE" w:rsidRPr="006C1580" w:rsidRDefault="00B244FE" w:rsidP="00B244FE">
      <w:pPr>
        <w:spacing w:line="360" w:lineRule="auto"/>
        <w:ind w:firstLine="567"/>
        <w:jc w:val="both"/>
        <w:rPr>
          <w:rFonts w:ascii="Times New Roman" w:eastAsia="Times New Roman" w:hAnsi="Times New Roman" w:cs="Times New Roman"/>
          <w:color w:val="000000"/>
          <w:lang w:val="de-DE"/>
        </w:rPr>
      </w:pPr>
    </w:p>
    <w:p w14:paraId="697D3BD3" w14:textId="72359802" w:rsidR="00B244FE" w:rsidRDefault="00B244FE" w:rsidP="00B244FE">
      <w:pPr>
        <w:spacing w:line="360" w:lineRule="auto"/>
        <w:ind w:firstLine="567"/>
        <w:jc w:val="both"/>
        <w:rPr>
          <w:rFonts w:ascii="Times New Roman" w:eastAsia="Times New Roman" w:hAnsi="Times New Roman" w:cs="Times New Roman"/>
          <w:color w:val="000000"/>
        </w:rPr>
      </w:pPr>
      <w:r w:rsidRPr="00B4726A">
        <w:rPr>
          <w:rFonts w:ascii="Times New Roman" w:eastAsia="Times New Roman" w:hAnsi="Times New Roman" w:cs="Times New Roman"/>
          <w:color w:val="000000"/>
        </w:rPr>
        <w:t>La scissione fra visibile e invisibile, fra realtà</w:t>
      </w:r>
      <w:r w:rsidR="000E79CE">
        <w:rPr>
          <w:rFonts w:ascii="Times New Roman" w:eastAsia="Times New Roman" w:hAnsi="Times New Roman" w:cs="Times New Roman"/>
          <w:color w:val="000000"/>
        </w:rPr>
        <w:t xml:space="preserve"> e spirito</w:t>
      </w:r>
      <w:r w:rsidR="0026235A">
        <w:rPr>
          <w:rFonts w:ascii="Times New Roman" w:eastAsia="Times New Roman" w:hAnsi="Times New Roman" w:cs="Times New Roman"/>
          <w:color w:val="000000"/>
        </w:rPr>
        <w:t xml:space="preserve">, non superata dall’ebraismo </w:t>
      </w:r>
      <w:r>
        <w:rPr>
          <w:rFonts w:ascii="Times New Roman" w:eastAsia="Times New Roman" w:hAnsi="Times New Roman" w:cs="Times New Roman"/>
          <w:color w:val="000000"/>
        </w:rPr>
        <w:t>e all’origine di quel bisogno di qualcosa di più puro (</w:t>
      </w:r>
      <w:r w:rsidRPr="00402FA1">
        <w:rPr>
          <w:rFonts w:ascii="Times New Roman" w:eastAsia="Times New Roman" w:hAnsi="Times New Roman" w:cs="Times New Roman"/>
          <w:i/>
          <w:color w:val="000000"/>
        </w:rPr>
        <w:t>ein Bedürfnis nach etwas reinerem</w:t>
      </w:r>
      <w:r>
        <w:rPr>
          <w:rFonts w:ascii="Times New Roman" w:eastAsia="Times New Roman" w:hAnsi="Times New Roman" w:cs="Times New Roman"/>
          <w:color w:val="000000"/>
        </w:rPr>
        <w:t xml:space="preserve">) percepito da Gesù e dai suoi seguaci, torna ad imporsi all’attenzione della comunità </w:t>
      </w:r>
      <w:r w:rsidRPr="0013283E">
        <w:rPr>
          <w:rFonts w:ascii="Times New Roman" w:eastAsia="Times New Roman" w:hAnsi="Times New Roman" w:cs="Times New Roman"/>
          <w:color w:val="000000"/>
        </w:rPr>
        <w:t xml:space="preserve">cristiana. Perduta l’indeterminatezza del legame comunitario e subita l’ostilità del mondo, la </w:t>
      </w:r>
      <w:r w:rsidRPr="0013283E">
        <w:rPr>
          <w:rFonts w:ascii="Times New Roman" w:eastAsia="Times New Roman" w:hAnsi="Times New Roman" w:cs="Times New Roman"/>
          <w:i/>
          <w:color w:val="000000"/>
        </w:rPr>
        <w:t>Gemeinde</w:t>
      </w:r>
      <w:r w:rsidRPr="0013283E">
        <w:rPr>
          <w:rFonts w:ascii="Times New Roman" w:eastAsia="Times New Roman" w:hAnsi="Times New Roman" w:cs="Times New Roman"/>
          <w:color w:val="000000"/>
        </w:rPr>
        <w:t xml:space="preserve"> avverte il bisogno di unificare ciò che il suo maestro aveva mantenuto in rigida opposizione. Il bisogno di dare stabilità all’unità di umano e divino, superando così il carattere transeunte dell’individuo Gesù, definisce il </w:t>
      </w:r>
      <w:r w:rsidRPr="0013283E">
        <w:rPr>
          <w:rFonts w:ascii="Times New Roman" w:eastAsia="Times New Roman" w:hAnsi="Times New Roman" w:cs="Times New Roman"/>
          <w:i/>
          <w:color w:val="000000"/>
        </w:rPr>
        <w:t>focus</w:t>
      </w:r>
      <w:r w:rsidRPr="0013283E">
        <w:rPr>
          <w:rFonts w:ascii="Times New Roman" w:eastAsia="Times New Roman" w:hAnsi="Times New Roman" w:cs="Times New Roman"/>
          <w:color w:val="000000"/>
        </w:rPr>
        <w:t xml:space="preserve"> del bisogno della religione:</w:t>
      </w:r>
    </w:p>
    <w:p w14:paraId="046CF283" w14:textId="77777777" w:rsidR="00B244FE" w:rsidRDefault="00B244FE" w:rsidP="00B244FE">
      <w:pPr>
        <w:spacing w:line="360" w:lineRule="auto"/>
        <w:ind w:firstLine="567"/>
        <w:jc w:val="both"/>
        <w:rPr>
          <w:rFonts w:ascii="Times New Roman" w:eastAsia="Times New Roman" w:hAnsi="Times New Roman" w:cs="Times New Roman"/>
          <w:color w:val="000000"/>
        </w:rPr>
      </w:pPr>
    </w:p>
    <w:p w14:paraId="62A02B6F" w14:textId="77777777" w:rsidR="00B244FE" w:rsidRDefault="00B244FE" w:rsidP="00B244FE">
      <w:pPr>
        <w:spacing w:line="360" w:lineRule="auto"/>
        <w:ind w:left="567" w:firstLine="567"/>
        <w:jc w:val="both"/>
        <w:rPr>
          <w:rFonts w:ascii="Times New Roman" w:eastAsia="Times New Roman" w:hAnsi="Times New Roman" w:cs="Times New Roman"/>
          <w:color w:val="000000"/>
          <w:sz w:val="20"/>
          <w:szCs w:val="20"/>
          <w:lang w:val="de-DE"/>
        </w:rPr>
      </w:pPr>
      <w:r w:rsidRPr="00AE1AA7">
        <w:rPr>
          <w:rFonts w:ascii="Times New Roman" w:eastAsia="Times New Roman" w:hAnsi="Times New Roman" w:cs="Times New Roman"/>
          <w:color w:val="000000"/>
          <w:sz w:val="20"/>
          <w:szCs w:val="20"/>
          <w:lang w:val="de-DE"/>
        </w:rPr>
        <w:t>«Sie eine Gemeine ausmachten, die sich aller Formen des Lebens gegeneinander enthielt oder sie nur den allgemeinen Geist der Liebe bestimmte, d. h. nicht in dieser Formen lebte- – Diese Liebe ist ein göttlicher Geist, aber noch nicht Religion; daß sie dazu würde, mußte sie zugleich in einer objectiven Form sich darstellen; sie, eine Empfindung, ein subjektives mußte mit dem Vorgestellten, dem Allgemeinen zusammenschmelzen, und damit die Form eines anbetungsfähigen, und würdigen Wesen gewinnen. Diß Bedürfnis das Subjektive mit dem Obektive die Empfindung und die Forderung derselben nach Gegenstände, den Verstand, der Phantasie in einem Schönen, einem Gotte zu vereinigen, diß Bedürfnis, das höchste des menschlichen Geistes ist der Trieb nach Religion […] Daß das göttliche erscheine, muß der unsichtbare Geist mit dem sichtbaren vereinigt seyn, das alles in einem, Erkennen und Empfinden, daß eine vollständige Synthese, eine vollendete Harmonie, daß Harmonie und das harmonische eins seyn»</w:t>
      </w:r>
      <w:r w:rsidRPr="00AE1AA7">
        <w:rPr>
          <w:rStyle w:val="Rimandonotaapidipagina"/>
          <w:rFonts w:ascii="Times New Roman" w:eastAsia="Times New Roman" w:hAnsi="Times New Roman" w:cs="Times New Roman"/>
          <w:color w:val="000000"/>
          <w:sz w:val="20"/>
          <w:szCs w:val="20"/>
          <w:lang w:val="de-DE"/>
        </w:rPr>
        <w:footnoteReference w:id="95"/>
      </w:r>
      <w:r w:rsidRPr="00AE1AA7">
        <w:rPr>
          <w:rFonts w:ascii="Times New Roman" w:eastAsia="Times New Roman" w:hAnsi="Times New Roman" w:cs="Times New Roman"/>
          <w:color w:val="000000"/>
          <w:sz w:val="20"/>
          <w:szCs w:val="20"/>
          <w:lang w:val="de-DE"/>
        </w:rPr>
        <w:t>.</w:t>
      </w:r>
    </w:p>
    <w:p w14:paraId="35AF22BB" w14:textId="77777777" w:rsidR="00B244FE" w:rsidRPr="006C1580" w:rsidRDefault="00B244FE" w:rsidP="00B244FE">
      <w:pPr>
        <w:spacing w:line="360" w:lineRule="auto"/>
        <w:ind w:left="567" w:firstLine="567"/>
        <w:jc w:val="both"/>
        <w:rPr>
          <w:rFonts w:ascii="Times New Roman" w:eastAsia="Times New Roman" w:hAnsi="Times New Roman" w:cs="Times New Roman"/>
          <w:color w:val="000000"/>
          <w:lang w:val="de-DE"/>
        </w:rPr>
      </w:pPr>
    </w:p>
    <w:p w14:paraId="1AD43EDF" w14:textId="50410AFE" w:rsidR="00B244FE" w:rsidRDefault="00B244FE" w:rsidP="00886A7B">
      <w:pPr>
        <w:spacing w:line="360" w:lineRule="auto"/>
        <w:ind w:firstLine="567"/>
        <w:jc w:val="both"/>
        <w:rPr>
          <w:rFonts w:ascii="Times New Roman" w:eastAsia="Times New Roman" w:hAnsi="Times New Roman" w:cs="Times New Roman"/>
          <w:color w:val="000000"/>
        </w:rPr>
      </w:pPr>
      <w:r w:rsidRPr="0055239D">
        <w:rPr>
          <w:rFonts w:ascii="Times New Roman" w:eastAsia="Times New Roman" w:hAnsi="Times New Roman" w:cs="Times New Roman"/>
          <w:color w:val="000000"/>
        </w:rPr>
        <w:t>Spirito invisibile e visibile sono unificati in un oggetto, in un terzo, che armonizza in sé pensiero ed essere.</w:t>
      </w:r>
      <w:r w:rsidRPr="001778A9">
        <w:rPr>
          <w:rFonts w:ascii="Times New Roman" w:eastAsia="Times New Roman" w:hAnsi="Times New Roman" w:cs="Times New Roman"/>
          <w:color w:val="000000"/>
        </w:rPr>
        <w:t xml:space="preserve"> Questo oggetto, in cui al sentimento è offerto un oggetto di conoscenza e alla conoscenza è conferita una forma sensibile, è il Dio che ha superato e vinto la scissione fra al di là e al di qua, fra sovrasensibile e sensibile, fra vita astratta e determinazioni del vivente, fra spirito e natura</w:t>
      </w:r>
      <w:r w:rsidRPr="001778A9">
        <w:rPr>
          <w:rStyle w:val="Rimandonotaapidipagina"/>
          <w:rFonts w:ascii="Times New Roman" w:eastAsia="Times New Roman" w:hAnsi="Times New Roman" w:cs="Times New Roman"/>
          <w:color w:val="000000"/>
        </w:rPr>
        <w:footnoteReference w:id="96"/>
      </w:r>
      <w:r w:rsidRPr="001778A9">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w:t>
      </w:r>
      <w:r w:rsidRPr="00F70D81">
        <w:rPr>
          <w:rFonts w:ascii="Times New Roman" w:eastAsia="Times New Roman" w:hAnsi="Times New Roman" w:cs="Times New Roman"/>
          <w:color w:val="000000"/>
        </w:rPr>
        <w:t>Il bis</w:t>
      </w:r>
      <w:r w:rsidR="00C26F15">
        <w:rPr>
          <w:rFonts w:ascii="Times New Roman" w:eastAsia="Times New Roman" w:hAnsi="Times New Roman" w:cs="Times New Roman"/>
          <w:color w:val="000000"/>
        </w:rPr>
        <w:t>ogno della religione trova figura</w:t>
      </w:r>
      <w:r w:rsidRPr="00F70D81">
        <w:rPr>
          <w:rFonts w:ascii="Times New Roman" w:eastAsia="Times New Roman" w:hAnsi="Times New Roman" w:cs="Times New Roman"/>
          <w:color w:val="000000"/>
        </w:rPr>
        <w:t xml:space="preserve"> nella bellezza d</w:t>
      </w:r>
      <w:r w:rsidR="00C26F15">
        <w:rPr>
          <w:rFonts w:ascii="Times New Roman" w:eastAsia="Times New Roman" w:hAnsi="Times New Roman" w:cs="Times New Roman"/>
          <w:color w:val="000000"/>
        </w:rPr>
        <w:t>ella di</w:t>
      </w:r>
      <w:r w:rsidR="00054C9A">
        <w:rPr>
          <w:rFonts w:ascii="Times New Roman" w:eastAsia="Times New Roman" w:hAnsi="Times New Roman" w:cs="Times New Roman"/>
          <w:color w:val="000000"/>
        </w:rPr>
        <w:t>vinità: la natura ri</w:t>
      </w:r>
      <w:r w:rsidR="00597F4C">
        <w:rPr>
          <w:rFonts w:ascii="Times New Roman" w:eastAsia="Times New Roman" w:hAnsi="Times New Roman" w:cs="Times New Roman"/>
          <w:color w:val="000000"/>
        </w:rPr>
        <w:t>trova</w:t>
      </w:r>
      <w:r w:rsidR="00054C9A">
        <w:rPr>
          <w:rFonts w:ascii="Times New Roman" w:eastAsia="Times New Roman" w:hAnsi="Times New Roman" w:cs="Times New Roman"/>
          <w:color w:val="000000"/>
        </w:rPr>
        <w:t xml:space="preserve"> nella natura umana </w:t>
      </w:r>
      <w:r w:rsidR="00C26F15">
        <w:rPr>
          <w:rFonts w:ascii="Times New Roman" w:eastAsia="Times New Roman" w:hAnsi="Times New Roman" w:cs="Times New Roman"/>
          <w:color w:val="000000"/>
        </w:rPr>
        <w:t xml:space="preserve">la propria </w:t>
      </w:r>
      <w:r w:rsidR="00C26F15" w:rsidRPr="00782DE5">
        <w:rPr>
          <w:rFonts w:ascii="Times New Roman" w:eastAsia="Times New Roman" w:hAnsi="Times New Roman" w:cs="Times New Roman"/>
          <w:color w:val="000000"/>
        </w:rPr>
        <w:t xml:space="preserve">sacralità in quanto </w:t>
      </w:r>
      <w:r w:rsidRPr="00782DE5">
        <w:rPr>
          <w:rFonts w:ascii="Times New Roman" w:eastAsia="Times New Roman" w:hAnsi="Times New Roman" w:cs="Times New Roman"/>
          <w:color w:val="000000"/>
        </w:rPr>
        <w:t>la glorificazione</w:t>
      </w:r>
      <w:r w:rsidRPr="00F70D81">
        <w:rPr>
          <w:rFonts w:ascii="Times New Roman" w:eastAsia="Times New Roman" w:hAnsi="Times New Roman" w:cs="Times New Roman"/>
          <w:color w:val="000000"/>
        </w:rPr>
        <w:t xml:space="preserve"> dell’uomo Gesù</w:t>
      </w:r>
      <w:r w:rsidR="00886A7B">
        <w:rPr>
          <w:rFonts w:ascii="Times New Roman" w:eastAsia="Times New Roman" w:hAnsi="Times New Roman" w:cs="Times New Roman"/>
          <w:color w:val="000000"/>
        </w:rPr>
        <w:t xml:space="preserve"> è prova non più immediata, ma consegna</w:t>
      </w:r>
      <w:r w:rsidRPr="00F70D81">
        <w:rPr>
          <w:rFonts w:ascii="Times New Roman" w:eastAsia="Times New Roman" w:hAnsi="Times New Roman" w:cs="Times New Roman"/>
          <w:color w:val="000000"/>
        </w:rPr>
        <w:t xml:space="preserve">ta alla memoria e custodita nel sentimento e nel pensiero, che la </w:t>
      </w:r>
      <w:r w:rsidRPr="00B73EAF">
        <w:rPr>
          <w:rFonts w:ascii="Times New Roman" w:eastAsia="Times New Roman" w:hAnsi="Times New Roman" w:cs="Times New Roman"/>
          <w:i/>
          <w:color w:val="000000"/>
        </w:rPr>
        <w:t>natura umana</w:t>
      </w:r>
      <w:r w:rsidRPr="00F70D81">
        <w:rPr>
          <w:rFonts w:ascii="Times New Roman" w:eastAsia="Times New Roman" w:hAnsi="Times New Roman" w:cs="Times New Roman"/>
          <w:color w:val="000000"/>
        </w:rPr>
        <w:t xml:space="preserve"> è ricettacolo della vita infinita. Il bisogno di qualcosa di più puro trova il suo completamento nella religione, che concretizza quel legame definito dall’amore mediante astrazione dal vivente. Volendo rispondere agli interrogativi sollevati da Hegel in appendice alla descrizione del </w:t>
      </w:r>
      <w:r w:rsidRPr="00F70D81">
        <w:rPr>
          <w:rFonts w:ascii="Times New Roman" w:eastAsia="Times New Roman" w:hAnsi="Times New Roman" w:cs="Times New Roman"/>
          <w:i/>
          <w:color w:val="000000"/>
        </w:rPr>
        <w:t>Reich Gottes</w:t>
      </w:r>
      <w:r w:rsidRPr="00F70D81">
        <w:rPr>
          <w:rFonts w:ascii="Times New Roman" w:eastAsia="Times New Roman" w:hAnsi="Times New Roman" w:cs="Times New Roman"/>
          <w:color w:val="000000"/>
        </w:rPr>
        <w:t xml:space="preserve">, si può dire che è la mancanza dell’amore a scatenare un potere, o un destino, sulla comunità cristiana e a richiedere il suo superamento in un </w:t>
      </w:r>
      <w:r w:rsidRPr="0055239D">
        <w:rPr>
          <w:rFonts w:ascii="Times New Roman" w:eastAsia="Times New Roman" w:hAnsi="Times New Roman" w:cs="Times New Roman"/>
          <w:color w:val="000000"/>
        </w:rPr>
        <w:t xml:space="preserve">legame spirituale più elevato. In altre parole: la bellezza arriva là dove l’amore si arresta e </w:t>
      </w:r>
      <w:r w:rsidR="0055239D" w:rsidRPr="0055239D">
        <w:rPr>
          <w:rFonts w:ascii="Times New Roman" w:eastAsia="Times New Roman" w:hAnsi="Times New Roman" w:cs="Times New Roman"/>
          <w:color w:val="000000"/>
        </w:rPr>
        <w:t>l’amore trova il suo</w:t>
      </w:r>
      <w:r w:rsidRPr="0055239D">
        <w:rPr>
          <w:rFonts w:ascii="Times New Roman" w:eastAsia="Times New Roman" w:hAnsi="Times New Roman" w:cs="Times New Roman"/>
          <w:color w:val="000000"/>
        </w:rPr>
        <w:t xml:space="preserve"> completa</w:t>
      </w:r>
      <w:r w:rsidR="0055239D" w:rsidRPr="0055239D">
        <w:rPr>
          <w:rFonts w:ascii="Times New Roman" w:eastAsia="Times New Roman" w:hAnsi="Times New Roman" w:cs="Times New Roman"/>
          <w:color w:val="000000"/>
        </w:rPr>
        <w:t>mento</w:t>
      </w:r>
      <w:r w:rsidRPr="0055239D">
        <w:rPr>
          <w:rFonts w:ascii="Times New Roman" w:eastAsia="Times New Roman" w:hAnsi="Times New Roman" w:cs="Times New Roman"/>
          <w:color w:val="000000"/>
        </w:rPr>
        <w:t xml:space="preserve"> nella bellezza.</w:t>
      </w:r>
    </w:p>
    <w:p w14:paraId="5B7CA9CE" w14:textId="2F833EB4" w:rsidR="00B244FE" w:rsidRPr="0013283E" w:rsidRDefault="00B244FE" w:rsidP="00B244FE">
      <w:pPr>
        <w:spacing w:line="360" w:lineRule="auto"/>
        <w:ind w:firstLine="567"/>
        <w:jc w:val="both"/>
        <w:rPr>
          <w:rFonts w:ascii="Times New Roman" w:eastAsia="Times New Roman" w:hAnsi="Times New Roman" w:cs="Times New Roman"/>
          <w:color w:val="000000"/>
        </w:rPr>
      </w:pPr>
      <w:r>
        <w:rPr>
          <w:rFonts w:ascii="Times New Roman" w:eastAsia="Times New Roman" w:hAnsi="Times New Roman" w:cs="Times New Roman"/>
          <w:color w:val="000000"/>
        </w:rPr>
        <w:t>Quello che si profila è un superamento estetico dell’unilateralità d</w:t>
      </w:r>
      <w:r w:rsidR="0026235A">
        <w:rPr>
          <w:rFonts w:ascii="Times New Roman" w:eastAsia="Times New Roman" w:hAnsi="Times New Roman" w:cs="Times New Roman"/>
          <w:color w:val="000000"/>
        </w:rPr>
        <w:t>el</w:t>
      </w:r>
      <w:r w:rsidR="00ED4361">
        <w:rPr>
          <w:rFonts w:ascii="Times New Roman" w:eastAsia="Times New Roman" w:hAnsi="Times New Roman" w:cs="Times New Roman"/>
          <w:color w:val="000000"/>
        </w:rPr>
        <w:t xml:space="preserve">l’insegnamento di Gesù – e del lascito </w:t>
      </w:r>
      <w:r w:rsidR="00ED4361" w:rsidRPr="00B34CC2">
        <w:rPr>
          <w:rFonts w:ascii="Times New Roman" w:eastAsia="Times New Roman" w:hAnsi="Times New Roman" w:cs="Times New Roman"/>
          <w:color w:val="000000"/>
        </w:rPr>
        <w:t>ebraico</w:t>
      </w:r>
      <w:r w:rsidRPr="00B34CC2">
        <w:rPr>
          <w:rFonts w:ascii="Times New Roman" w:eastAsia="Times New Roman" w:hAnsi="Times New Roman" w:cs="Times New Roman"/>
          <w:color w:val="000000"/>
        </w:rPr>
        <w:t xml:space="preserve"> </w:t>
      </w:r>
      <w:r w:rsidR="001A07ED" w:rsidRPr="00B34CC2">
        <w:rPr>
          <w:rFonts w:ascii="Times New Roman" w:eastAsia="Times New Roman" w:hAnsi="Times New Roman" w:cs="Times New Roman"/>
          <w:color w:val="000000"/>
        </w:rPr>
        <w:t>in esso presente</w:t>
      </w:r>
      <w:r>
        <w:rPr>
          <w:rFonts w:ascii="Times New Roman" w:eastAsia="Times New Roman" w:hAnsi="Times New Roman" w:cs="Times New Roman"/>
          <w:color w:val="000000"/>
        </w:rPr>
        <w:t xml:space="preserve"> – nella fede nella resurrezione. Delineata la </w:t>
      </w:r>
      <w:r w:rsidRPr="00F8682E">
        <w:rPr>
          <w:rFonts w:ascii="Times New Roman" w:eastAsia="Times New Roman" w:hAnsi="Times New Roman" w:cs="Times New Roman"/>
          <w:i/>
          <w:color w:val="000000"/>
          <w:lang w:val="de-DE"/>
        </w:rPr>
        <w:t>Leben Jesu</w:t>
      </w:r>
      <w:r>
        <w:rPr>
          <w:rFonts w:ascii="Times New Roman" w:eastAsia="Times New Roman" w:hAnsi="Times New Roman" w:cs="Times New Roman"/>
          <w:i/>
          <w:color w:val="000000"/>
        </w:rPr>
        <w:t xml:space="preserve"> </w:t>
      </w:r>
      <w:r>
        <w:rPr>
          <w:rFonts w:ascii="Times New Roman" w:eastAsia="Times New Roman" w:hAnsi="Times New Roman" w:cs="Times New Roman"/>
          <w:color w:val="000000"/>
        </w:rPr>
        <w:t xml:space="preserve">e indicato nel bisogno della religione la risposta della </w:t>
      </w:r>
      <w:r w:rsidRPr="00E33034">
        <w:rPr>
          <w:rFonts w:ascii="Times New Roman" w:eastAsia="Times New Roman" w:hAnsi="Times New Roman" w:cs="Times New Roman"/>
          <w:i/>
          <w:color w:val="000000"/>
        </w:rPr>
        <w:t>Gemeinde</w:t>
      </w:r>
      <w:r>
        <w:rPr>
          <w:rFonts w:ascii="Times New Roman" w:eastAsia="Times New Roman" w:hAnsi="Times New Roman" w:cs="Times New Roman"/>
          <w:color w:val="000000"/>
        </w:rPr>
        <w:t xml:space="preserve"> alla mancanza di forma dell’amore, Hegel non può che interrogarsi sulle caratteristiche dell’ideale estetico appena introdotto. L’oggetto bello, il Dio risorto, che richiede fede (</w:t>
      </w:r>
      <w:r w:rsidRPr="00F8682E">
        <w:rPr>
          <w:rFonts w:ascii="Times New Roman" w:eastAsia="Times New Roman" w:hAnsi="Times New Roman" w:cs="Times New Roman"/>
          <w:i/>
          <w:color w:val="000000"/>
        </w:rPr>
        <w:t>Glauben</w:t>
      </w:r>
      <w:r>
        <w:rPr>
          <w:rFonts w:ascii="Times New Roman" w:eastAsia="Times New Roman" w:hAnsi="Times New Roman" w:cs="Times New Roman"/>
          <w:color w:val="000000"/>
        </w:rPr>
        <w:t xml:space="preserve">) per essere conosciuto e sentito, non è elemento dottrinario di una fede positiva, ma centro unificatore di estremi distinti e contrapposti. In esso si attua un’autentica sintesi fra natura, umanità e divinità: </w:t>
      </w:r>
      <w:r w:rsidRPr="008F596D">
        <w:rPr>
          <w:rFonts w:ascii="Times New Roman" w:eastAsia="Times New Roman" w:hAnsi="Times New Roman" w:cs="Times New Roman"/>
          <w:color w:val="000000"/>
        </w:rPr>
        <w:t xml:space="preserve">l’uomo s’innalza a Dio grazie un abbassamento di Dio nella </w:t>
      </w:r>
      <w:r w:rsidRPr="008F596D">
        <w:rPr>
          <w:rFonts w:ascii="Times New Roman" w:eastAsia="Times New Roman" w:hAnsi="Times New Roman" w:cs="Times New Roman"/>
          <w:i/>
          <w:color w:val="000000"/>
        </w:rPr>
        <w:t>natura</w:t>
      </w:r>
      <w:r w:rsidRPr="008F596D">
        <w:rPr>
          <w:rFonts w:ascii="Times New Roman" w:eastAsia="Times New Roman" w:hAnsi="Times New Roman" w:cs="Times New Roman"/>
          <w:color w:val="000000"/>
        </w:rPr>
        <w:t xml:space="preserve"> umana (incarnazione) e un innalzamento di questa unità dei contrari ad oggetto della coscienza (pensiero) e del cuore (sentimento).</w:t>
      </w:r>
      <w:r>
        <w:rPr>
          <w:rFonts w:ascii="Times New Roman" w:eastAsia="Times New Roman" w:hAnsi="Times New Roman" w:cs="Times New Roman"/>
          <w:color w:val="000000"/>
        </w:rPr>
        <w:t xml:space="preserve"> </w:t>
      </w:r>
      <w:r w:rsidRPr="0013283E">
        <w:rPr>
          <w:rFonts w:ascii="Times New Roman" w:eastAsia="Times New Roman" w:hAnsi="Times New Roman" w:cs="Times New Roman"/>
          <w:color w:val="000000"/>
        </w:rPr>
        <w:t xml:space="preserve">Ma vera sintesi può verificarsi soltanto presso </w:t>
      </w:r>
      <w:r w:rsidR="008B4EB9">
        <w:rPr>
          <w:rFonts w:ascii="Times New Roman" w:eastAsia="Times New Roman" w:hAnsi="Times New Roman" w:cs="Times New Roman"/>
          <w:color w:val="000000"/>
        </w:rPr>
        <w:t xml:space="preserve">i </w:t>
      </w:r>
      <w:r w:rsidRPr="0013283E">
        <w:rPr>
          <w:rFonts w:ascii="Times New Roman" w:eastAsia="Times New Roman" w:hAnsi="Times New Roman" w:cs="Times New Roman"/>
          <w:color w:val="000000"/>
        </w:rPr>
        <w:t xml:space="preserve">popoli felici, che non hanno conosciuto il potere della scissione e della logica di dominio ad essa inerente: </w:t>
      </w:r>
    </w:p>
    <w:p w14:paraId="588B37E6" w14:textId="77777777" w:rsidR="00B244FE" w:rsidRDefault="00B244FE" w:rsidP="00B244FE">
      <w:pPr>
        <w:spacing w:line="360" w:lineRule="auto"/>
        <w:ind w:firstLine="567"/>
        <w:jc w:val="both"/>
        <w:rPr>
          <w:rFonts w:ascii="Times New Roman" w:eastAsia="Times New Roman" w:hAnsi="Times New Roman" w:cs="Times New Roman"/>
          <w:color w:val="000000"/>
        </w:rPr>
      </w:pPr>
    </w:p>
    <w:p w14:paraId="6FEC5A41" w14:textId="77777777" w:rsidR="00B244FE" w:rsidRPr="00212B90" w:rsidRDefault="00B244FE" w:rsidP="00B244FE">
      <w:pPr>
        <w:spacing w:line="360" w:lineRule="auto"/>
        <w:ind w:left="567" w:firstLine="567"/>
        <w:jc w:val="both"/>
        <w:rPr>
          <w:rFonts w:ascii="Times New Roman" w:eastAsia="Times New Roman" w:hAnsi="Times New Roman" w:cs="Times New Roman"/>
          <w:color w:val="000000"/>
          <w:sz w:val="20"/>
          <w:szCs w:val="20"/>
          <w:lang w:val="de-DE"/>
        </w:rPr>
      </w:pPr>
      <w:r w:rsidRPr="00212B90">
        <w:rPr>
          <w:rFonts w:ascii="Times New Roman" w:eastAsia="Times New Roman" w:hAnsi="Times New Roman" w:cs="Times New Roman"/>
          <w:color w:val="000000"/>
          <w:sz w:val="20"/>
          <w:szCs w:val="20"/>
          <w:lang w:val="de-DE"/>
        </w:rPr>
        <w:t>«Religion ist irgendeine Erhebung des Endlichen zum Unendlichen als einem gesetzten Leben; und eine solche ist nothwendig, denn jenes ist bedingt durch dieses; aber auf welcher Stufe der Entgegensetzung und Vereinigung die bestimmte Natur eines Geschlechtes von Menschen stehenbleibe, ist zufällig in Rücksicht auf die unbestimmte Natur. Die vollkommenste Vollständigkeit ist bei Völkern möglich, deren Leben sowenig als möglich zerissen und zertrennt ist, d. h. bei glücklichen; unglücklichere können nicht jene Stufe erreichen, sondern sie müssen in der Trennung und Erhaltung eines Gliedes derselben, um Selbständigkeit sich bekümmern</w:t>
      </w:r>
      <w:r w:rsidRPr="00AE1AA7">
        <w:rPr>
          <w:rFonts w:ascii="Times New Roman" w:eastAsia="Times New Roman" w:hAnsi="Times New Roman" w:cs="Times New Roman"/>
          <w:color w:val="000000"/>
          <w:sz w:val="20"/>
          <w:szCs w:val="20"/>
          <w:lang w:val="de-DE"/>
        </w:rPr>
        <w:t>»</w:t>
      </w:r>
      <w:r>
        <w:rPr>
          <w:rStyle w:val="Rimandonotaapidipagina"/>
          <w:rFonts w:ascii="Times New Roman" w:eastAsia="Times New Roman" w:hAnsi="Times New Roman" w:cs="Times New Roman"/>
          <w:color w:val="000000"/>
          <w:sz w:val="20"/>
          <w:szCs w:val="20"/>
          <w:lang w:val="de-DE"/>
        </w:rPr>
        <w:footnoteReference w:id="97"/>
      </w:r>
      <w:r>
        <w:rPr>
          <w:rFonts w:ascii="Times New Roman" w:eastAsia="Times New Roman" w:hAnsi="Times New Roman" w:cs="Times New Roman"/>
          <w:color w:val="000000"/>
          <w:sz w:val="20"/>
          <w:szCs w:val="20"/>
          <w:lang w:val="de-DE"/>
        </w:rPr>
        <w:t>.</w:t>
      </w:r>
    </w:p>
    <w:p w14:paraId="594F5870" w14:textId="77777777" w:rsidR="00B244FE" w:rsidRPr="004652D8" w:rsidRDefault="00B244FE" w:rsidP="00B244FE">
      <w:pPr>
        <w:spacing w:line="360" w:lineRule="auto"/>
        <w:jc w:val="both"/>
        <w:rPr>
          <w:rFonts w:ascii="Times New Roman" w:eastAsia="Times New Roman" w:hAnsi="Times New Roman" w:cs="Times New Roman"/>
          <w:color w:val="000000"/>
        </w:rPr>
      </w:pPr>
    </w:p>
    <w:p w14:paraId="54009F05" w14:textId="60444940" w:rsidR="00B244FE" w:rsidRPr="00CC74BF" w:rsidRDefault="00B244FE" w:rsidP="00B244FE">
      <w:pPr>
        <w:spacing w:line="360" w:lineRule="auto"/>
        <w:ind w:firstLine="567"/>
        <w:jc w:val="both"/>
        <w:rPr>
          <w:rFonts w:ascii="Times New Roman" w:eastAsia="Times New Roman" w:hAnsi="Times New Roman" w:cs="Times New Roman"/>
          <w:color w:val="000000"/>
        </w:rPr>
      </w:pPr>
      <w:r w:rsidRPr="00382376">
        <w:rPr>
          <w:rFonts w:ascii="Times New Roman" w:eastAsia="Times New Roman" w:hAnsi="Times New Roman" w:cs="Times New Roman"/>
          <w:color w:val="000000"/>
        </w:rPr>
        <w:t xml:space="preserve">Un popolo infelice, quale l’ebraico, non può elevarsi alla vita infinita se non per un momento: il saldarsi dell’opposizione fra spirito e realtà contiene in sé la ragione seminale della </w:t>
      </w:r>
      <w:r w:rsidRPr="00382376">
        <w:rPr>
          <w:rFonts w:ascii="Times New Roman" w:eastAsia="Times New Roman" w:hAnsi="Times New Roman" w:cs="Times New Roman"/>
          <w:i/>
          <w:color w:val="000000"/>
        </w:rPr>
        <w:t>Trennung</w:t>
      </w:r>
      <w:r w:rsidRPr="00382376">
        <w:rPr>
          <w:rFonts w:ascii="Times New Roman" w:eastAsia="Times New Roman" w:hAnsi="Times New Roman" w:cs="Times New Roman"/>
          <w:color w:val="000000"/>
        </w:rPr>
        <w:t>, del riemergere della scissione nell’oggetto della fede</w:t>
      </w:r>
      <w:r w:rsidRPr="00382376">
        <w:rPr>
          <w:rStyle w:val="Rimandonotaapidipagina"/>
          <w:rFonts w:ascii="Times New Roman" w:eastAsia="Times New Roman" w:hAnsi="Times New Roman" w:cs="Times New Roman"/>
          <w:color w:val="000000"/>
        </w:rPr>
        <w:footnoteReference w:id="98"/>
      </w:r>
      <w:r w:rsidRPr="00382376">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L’oggetto bello allenta la sua presa sulla natura razionale e sensibile dell’uomo e si configura come un positivo posto al di là della comunità dei fedeli. Il Dio della comunità non è più oggetto bello, che nobilita la natura dell’uomo mostrandone la radice divina, ma entità autonoma da chi la pensa e sente. Irrompe nel rapporto fra il Dio cristiano e la sua comunità una dinamica relazionale di matrice ebraica: essendo altro dall’uomo, Dio si contrappone al genere umano e il genere umano dipende </w:t>
      </w:r>
      <w:r w:rsidRPr="00F63F52">
        <w:rPr>
          <w:rFonts w:ascii="Times New Roman" w:eastAsia="Times New Roman" w:hAnsi="Times New Roman" w:cs="Times New Roman"/>
          <w:i/>
          <w:color w:val="000000"/>
        </w:rPr>
        <w:t>in toto</w:t>
      </w:r>
      <w:r>
        <w:rPr>
          <w:rFonts w:ascii="Times New Roman" w:eastAsia="Times New Roman" w:hAnsi="Times New Roman" w:cs="Times New Roman"/>
          <w:color w:val="000000"/>
        </w:rPr>
        <w:t xml:space="preserve"> da </w:t>
      </w:r>
      <w:r w:rsidRPr="0075289F">
        <w:rPr>
          <w:rFonts w:ascii="Times New Roman" w:eastAsia="Times New Roman" w:hAnsi="Times New Roman" w:cs="Times New Roman"/>
          <w:color w:val="000000"/>
          <w:lang w:val="de-DE"/>
        </w:rPr>
        <w:t>«ein positives für sie, sie erkannte es sich als entgegengesetzt und sich als abhängig von ihm»</w:t>
      </w:r>
      <w:r w:rsidRPr="0075289F">
        <w:rPr>
          <w:rStyle w:val="Rimandonotaapidipagina"/>
          <w:rFonts w:ascii="Times New Roman" w:eastAsia="Times New Roman" w:hAnsi="Times New Roman" w:cs="Times New Roman"/>
          <w:color w:val="000000"/>
        </w:rPr>
        <w:footnoteReference w:id="99"/>
      </w:r>
      <w:r>
        <w:rPr>
          <w:rFonts w:ascii="Times New Roman" w:eastAsia="Times New Roman" w:hAnsi="Times New Roman" w:cs="Times New Roman"/>
          <w:color w:val="000000"/>
          <w:lang w:val="de-DE"/>
        </w:rPr>
        <w:t>.</w:t>
      </w:r>
      <w:r>
        <w:rPr>
          <w:rFonts w:ascii="Times New Roman" w:eastAsia="Times New Roman" w:hAnsi="Times New Roman" w:cs="Times New Roman"/>
          <w:color w:val="000000"/>
        </w:rPr>
        <w:t xml:space="preserve"> </w:t>
      </w:r>
      <w:r w:rsidRPr="00CC74BF">
        <w:rPr>
          <w:rFonts w:ascii="Times New Roman" w:eastAsia="Times New Roman" w:hAnsi="Times New Roman" w:cs="Times New Roman"/>
          <w:color w:val="000000"/>
        </w:rPr>
        <w:t>La tristezza, che s’origina dalla consapevolezza di non essere più in armonia con il divino, tocca la sua punta massima nel processo di positivizzazione dell’oggetto della fede:</w:t>
      </w:r>
      <w:r>
        <w:rPr>
          <w:rFonts w:ascii="Times New Roman" w:eastAsia="Times New Roman" w:hAnsi="Times New Roman" w:cs="Times New Roman"/>
          <w:color w:val="000000"/>
        </w:rPr>
        <w:t xml:space="preserve"> </w:t>
      </w:r>
      <w:r w:rsidRPr="00B31BE8">
        <w:rPr>
          <w:rFonts w:ascii="Times New Roman" w:eastAsia="Times New Roman" w:hAnsi="Times New Roman" w:cs="Times New Roman"/>
          <w:color w:val="000000"/>
          <w:lang w:val="de-DE"/>
        </w:rPr>
        <w:t>«das durch die Beigesellung des Wirklichen Jesus zum verklärten zum Gott gewordenen dem tiefsten Triebe nach Religion Befriedigung zeigte, aber nicht gewährte, und ihn zu einem unendlichen und ungestillten Sehnen machte</w:t>
      </w:r>
      <w:r w:rsidRPr="0075289F">
        <w:rPr>
          <w:rFonts w:ascii="Times New Roman" w:eastAsia="Times New Roman" w:hAnsi="Times New Roman" w:cs="Times New Roman"/>
          <w:color w:val="000000"/>
          <w:lang w:val="de-DE"/>
        </w:rPr>
        <w:t>»</w:t>
      </w:r>
      <w:r w:rsidRPr="00B31BE8">
        <w:rPr>
          <w:rStyle w:val="Rimandonotaapidipagina"/>
          <w:rFonts w:ascii="Times New Roman" w:eastAsia="Times New Roman" w:hAnsi="Times New Roman" w:cs="Times New Roman"/>
          <w:color w:val="000000"/>
          <w:lang w:val="de-DE"/>
        </w:rPr>
        <w:footnoteReference w:id="100"/>
      </w:r>
      <w:r>
        <w:rPr>
          <w:rFonts w:ascii="Times New Roman" w:eastAsia="Times New Roman" w:hAnsi="Times New Roman" w:cs="Times New Roman"/>
          <w:color w:val="000000"/>
          <w:lang w:val="de-DE"/>
        </w:rPr>
        <w:t xml:space="preserve">. </w:t>
      </w:r>
      <w:r>
        <w:rPr>
          <w:rFonts w:ascii="Times New Roman" w:eastAsia="Times New Roman" w:hAnsi="Times New Roman" w:cs="Times New Roman"/>
          <w:color w:val="000000"/>
        </w:rPr>
        <w:t xml:space="preserve">Inesauribile nostalgia per un al di là essenziale e struggente tensione verso un oggetto positivo investito della capacità di dare pienezza ad una vita reale che </w:t>
      </w:r>
      <w:r w:rsidRPr="007C5E65">
        <w:rPr>
          <w:rFonts w:ascii="Times New Roman" w:eastAsia="Times New Roman" w:hAnsi="Times New Roman" w:cs="Times New Roman"/>
          <w:color w:val="000000"/>
        </w:rPr>
        <w:t>conosce soltanto il peso della propria vacuità</w:t>
      </w:r>
      <w:r w:rsidRPr="007C5E65">
        <w:rPr>
          <w:rStyle w:val="Rimandonotaapidipagina"/>
          <w:rFonts w:ascii="Times New Roman" w:eastAsia="Times New Roman" w:hAnsi="Times New Roman" w:cs="Times New Roman"/>
          <w:color w:val="000000"/>
        </w:rPr>
        <w:footnoteReference w:id="101"/>
      </w:r>
      <w:r w:rsidRPr="007C5E65">
        <w:rPr>
          <w:rFonts w:ascii="Times New Roman" w:eastAsia="Times New Roman" w:hAnsi="Times New Roman" w:cs="Times New Roman"/>
          <w:color w:val="000000"/>
        </w:rPr>
        <w:t xml:space="preserve">. Il bisogno della religione non può conferire unità a quegli opposti </w:t>
      </w:r>
      <w:r w:rsidR="00643CDE" w:rsidRPr="007C5E65">
        <w:rPr>
          <w:rFonts w:ascii="Times New Roman" w:eastAsia="Times New Roman" w:hAnsi="Times New Roman" w:cs="Times New Roman"/>
          <w:color w:val="000000"/>
        </w:rPr>
        <w:t xml:space="preserve">tenuti irrelati </w:t>
      </w:r>
      <w:r w:rsidRPr="007C5E65">
        <w:rPr>
          <w:rFonts w:ascii="Times New Roman" w:eastAsia="Times New Roman" w:hAnsi="Times New Roman" w:cs="Times New Roman"/>
          <w:color w:val="000000"/>
        </w:rPr>
        <w:t>tanto dal</w:t>
      </w:r>
      <w:r w:rsidR="00ED4361">
        <w:rPr>
          <w:rFonts w:ascii="Times New Roman" w:eastAsia="Times New Roman" w:hAnsi="Times New Roman" w:cs="Times New Roman"/>
          <w:color w:val="000000"/>
        </w:rPr>
        <w:t>l’ebraismo</w:t>
      </w:r>
      <w:r w:rsidRPr="007C5E65">
        <w:rPr>
          <w:rFonts w:ascii="Times New Roman" w:eastAsia="Times New Roman" w:hAnsi="Times New Roman" w:cs="Times New Roman"/>
          <w:color w:val="000000"/>
        </w:rPr>
        <w:t xml:space="preserve"> quanto dal cristianesimo.</w:t>
      </w:r>
      <w:r w:rsidRPr="00CC74BF">
        <w:rPr>
          <w:rFonts w:ascii="Times New Roman" w:eastAsia="Times New Roman" w:hAnsi="Times New Roman" w:cs="Times New Roman"/>
          <w:color w:val="000000"/>
        </w:rPr>
        <w:t xml:space="preserve"> La bellezza niente può contro la potenza della scissione: all’annullamento giudaico-</w:t>
      </w:r>
      <w:r w:rsidR="00D226DF">
        <w:rPr>
          <w:rFonts w:ascii="Times New Roman" w:eastAsia="Times New Roman" w:hAnsi="Times New Roman" w:cs="Times New Roman"/>
          <w:color w:val="000000"/>
        </w:rPr>
        <w:t>cristiano dell’umano nel divino –</w:t>
      </w:r>
      <w:r w:rsidRPr="00CC74BF">
        <w:rPr>
          <w:rFonts w:ascii="Times New Roman" w:eastAsia="Times New Roman" w:hAnsi="Times New Roman" w:cs="Times New Roman"/>
          <w:color w:val="000000"/>
        </w:rPr>
        <w:t xml:space="preserve"> sia esso una sottomissione ad una potenza estranea o una rinuncia a sé </w:t>
      </w:r>
      <w:r w:rsidR="00D226DF">
        <w:rPr>
          <w:rFonts w:ascii="Times New Roman" w:eastAsia="Times New Roman" w:hAnsi="Times New Roman" w:cs="Times New Roman"/>
          <w:color w:val="000000"/>
        </w:rPr>
        <w:t xml:space="preserve">per (non) essere </w:t>
      </w:r>
      <w:r w:rsidR="00D226DF" w:rsidRPr="007F5DD9">
        <w:rPr>
          <w:rFonts w:ascii="Times New Roman" w:eastAsia="Times New Roman" w:hAnsi="Times New Roman" w:cs="Times New Roman"/>
          <w:color w:val="000000"/>
        </w:rPr>
        <w:t>nella comunità –</w:t>
      </w:r>
      <w:r w:rsidRPr="007F5DD9">
        <w:rPr>
          <w:rFonts w:ascii="Times New Roman" w:eastAsia="Times New Roman" w:hAnsi="Times New Roman" w:cs="Times New Roman"/>
          <w:color w:val="000000"/>
        </w:rPr>
        <w:t xml:space="preserve"> la religione dà una risoluzione provvisoria, in quanto non armonizza, se non per un momento, gli opposti e reitera la dinamica di dipendenza e annullamento dell’umano nel divino.</w:t>
      </w:r>
    </w:p>
    <w:p w14:paraId="36E176F5" w14:textId="54DC732F" w:rsidR="00B244FE" w:rsidRPr="00B34CC2" w:rsidRDefault="00B244FE" w:rsidP="00B244FE">
      <w:pPr>
        <w:spacing w:line="360" w:lineRule="auto"/>
        <w:ind w:firstLine="567"/>
        <w:jc w:val="both"/>
        <w:rPr>
          <w:rFonts w:ascii="Times New Roman" w:eastAsia="Times New Roman" w:hAnsi="Times New Roman" w:cs="Times New Roman"/>
          <w:color w:val="000000"/>
        </w:rPr>
      </w:pPr>
      <w:r w:rsidRPr="00CC74BF">
        <w:rPr>
          <w:rFonts w:ascii="Times New Roman" w:eastAsia="Times New Roman" w:hAnsi="Times New Roman" w:cs="Times New Roman"/>
          <w:color w:val="000000"/>
        </w:rPr>
        <w:t>Sebbene sia il massimo sforzo dello spirito umano, il bisogno della religione, che è impulso della cristianità primitiva a stabilizzare nel pensiero ciò di cui la vita e la morte di Gesù erano stati testimonianza, è destinato a fallire.</w:t>
      </w:r>
      <w:r>
        <w:rPr>
          <w:rFonts w:ascii="Times New Roman" w:eastAsia="Times New Roman" w:hAnsi="Times New Roman" w:cs="Times New Roman"/>
          <w:color w:val="000000"/>
        </w:rPr>
        <w:t xml:space="preserve"> La bellezza non può dare risposta soddisfacente alla mancanza, o all’incompletezza (</w:t>
      </w:r>
      <w:r w:rsidRPr="008D34EB">
        <w:rPr>
          <w:rFonts w:ascii="Times New Roman" w:eastAsia="Times New Roman" w:hAnsi="Times New Roman" w:cs="Times New Roman"/>
          <w:i/>
          <w:color w:val="000000"/>
          <w:lang w:val="de-DE"/>
        </w:rPr>
        <w:t>Unvollständigkeit</w:t>
      </w:r>
      <w:r w:rsidR="00ED4361">
        <w:rPr>
          <w:rFonts w:ascii="Times New Roman" w:eastAsia="Times New Roman" w:hAnsi="Times New Roman" w:cs="Times New Roman"/>
          <w:color w:val="000000"/>
        </w:rPr>
        <w:t xml:space="preserve">), da cui l’ebraismo </w:t>
      </w:r>
      <w:r>
        <w:rPr>
          <w:rFonts w:ascii="Times New Roman" w:eastAsia="Times New Roman" w:hAnsi="Times New Roman" w:cs="Times New Roman"/>
          <w:color w:val="000000"/>
        </w:rPr>
        <w:t xml:space="preserve">e il cristianesimo – con le loro contiguità e differenze – sono afflitti. Nella </w:t>
      </w:r>
      <w:r w:rsidRPr="00CC74BF">
        <w:rPr>
          <w:rFonts w:ascii="Times New Roman" w:eastAsia="Times New Roman" w:hAnsi="Times New Roman" w:cs="Times New Roman"/>
          <w:color w:val="000000"/>
        </w:rPr>
        <w:t xml:space="preserve">formazione di un oggetto rispondente all’uomo nella sua interezza, la religione raggiunge il suo limite. </w:t>
      </w:r>
      <w:r w:rsidRPr="007F5DD9">
        <w:rPr>
          <w:rFonts w:ascii="Times New Roman" w:eastAsia="Times New Roman" w:hAnsi="Times New Roman" w:cs="Times New Roman"/>
          <w:color w:val="000000"/>
        </w:rPr>
        <w:t xml:space="preserve">Con “limite” s’intende non soltanto </w:t>
      </w:r>
      <w:r w:rsidR="00D226DF" w:rsidRPr="007F5DD9">
        <w:rPr>
          <w:rFonts w:ascii="Times New Roman" w:eastAsia="Times New Roman" w:hAnsi="Times New Roman" w:cs="Times New Roman"/>
          <w:color w:val="000000"/>
        </w:rPr>
        <w:t xml:space="preserve">il </w:t>
      </w:r>
      <w:r w:rsidR="007F22B5" w:rsidRPr="007F5DD9">
        <w:rPr>
          <w:rFonts w:ascii="Times New Roman" w:eastAsia="Times New Roman" w:hAnsi="Times New Roman" w:cs="Times New Roman"/>
          <w:color w:val="000000"/>
        </w:rPr>
        <w:t xml:space="preserve">termine </w:t>
      </w:r>
      <w:r w:rsidRPr="007F5DD9">
        <w:rPr>
          <w:rFonts w:ascii="Times New Roman" w:eastAsia="Times New Roman" w:hAnsi="Times New Roman" w:cs="Times New Roman"/>
          <w:color w:val="000000"/>
        </w:rPr>
        <w:t xml:space="preserve">oltre cui non si può procedere, ma anche il rimando a ciò che può </w:t>
      </w:r>
      <w:r w:rsidR="00124B49" w:rsidRPr="007F5DD9">
        <w:rPr>
          <w:rFonts w:ascii="Times New Roman" w:eastAsia="Times New Roman" w:hAnsi="Times New Roman" w:cs="Times New Roman"/>
          <w:color w:val="000000"/>
        </w:rPr>
        <w:t xml:space="preserve">sopperire ad </w:t>
      </w:r>
      <w:r w:rsidRPr="007F5DD9">
        <w:rPr>
          <w:rFonts w:ascii="Times New Roman" w:eastAsia="Times New Roman" w:hAnsi="Times New Roman" w:cs="Times New Roman"/>
          <w:color w:val="000000"/>
        </w:rPr>
        <w:t>una mancanza.</w:t>
      </w:r>
      <w:r>
        <w:rPr>
          <w:rFonts w:ascii="Times New Roman" w:eastAsia="Times New Roman" w:hAnsi="Times New Roman" w:cs="Times New Roman"/>
          <w:color w:val="000000"/>
        </w:rPr>
        <w:t xml:space="preserve"> Al volgere del soggiorno francofortese, Hegel ha saggiato le possibilità della religione ed è giunto alla conclusione che per rispondere efficacemente alle dicotomie della tradizione giudaico-cristiana sia necessario intraprendere un nuovo itinerario speculativo. Se il bisogno di un qualcosa di più puro trovava il suo limite nel bisogno della religione, adesso l’impulso alla religione rimanda oltre sé, indicando fuori dai suo</w:t>
      </w:r>
      <w:r w:rsidR="001A07ED">
        <w:rPr>
          <w:rFonts w:ascii="Times New Roman" w:eastAsia="Times New Roman" w:hAnsi="Times New Roman" w:cs="Times New Roman"/>
          <w:color w:val="000000"/>
        </w:rPr>
        <w:t xml:space="preserve">i confini il suo completamento. </w:t>
      </w:r>
      <w:r>
        <w:rPr>
          <w:rFonts w:ascii="Times New Roman" w:eastAsia="Times New Roman" w:hAnsi="Times New Roman" w:cs="Times New Roman"/>
          <w:color w:val="000000"/>
        </w:rPr>
        <w:t xml:space="preserve">È il bisogno della filosofia, come Hegel lo definirà nella </w:t>
      </w:r>
      <w:r w:rsidRPr="005C6FA9">
        <w:rPr>
          <w:rFonts w:ascii="Times New Roman" w:eastAsia="Times New Roman" w:hAnsi="Times New Roman" w:cs="Times New Roman"/>
          <w:i/>
          <w:color w:val="000000"/>
        </w:rPr>
        <w:t>Differenzschrift</w:t>
      </w:r>
      <w:r w:rsidRPr="005C6FA9">
        <w:rPr>
          <w:rFonts w:ascii="Times New Roman" w:eastAsia="Times New Roman" w:hAnsi="Times New Roman" w:cs="Times New Roman"/>
          <w:color w:val="000000"/>
        </w:rPr>
        <w:t>, a dover risolvere l’opposizione fra</w:t>
      </w:r>
      <w:r w:rsidR="00D226DF" w:rsidRPr="005C6FA9">
        <w:rPr>
          <w:rFonts w:ascii="Times New Roman" w:eastAsia="Times New Roman" w:hAnsi="Times New Roman" w:cs="Times New Roman"/>
          <w:color w:val="000000"/>
        </w:rPr>
        <w:t xml:space="preserve"> visibile e invisibile, fra</w:t>
      </w:r>
      <w:r w:rsidRPr="005C6FA9">
        <w:rPr>
          <w:rFonts w:ascii="Times New Roman" w:eastAsia="Times New Roman" w:hAnsi="Times New Roman" w:cs="Times New Roman"/>
          <w:color w:val="000000"/>
        </w:rPr>
        <w:t xml:space="preserve"> spirito e realtà, </w:t>
      </w:r>
      <w:r w:rsidR="00C719E4" w:rsidRPr="005C6FA9">
        <w:rPr>
          <w:rFonts w:ascii="Times New Roman" w:eastAsia="Times New Roman" w:hAnsi="Times New Roman" w:cs="Times New Roman"/>
          <w:color w:val="000000"/>
        </w:rPr>
        <w:t>fra pensiero e essere</w:t>
      </w:r>
      <w:r w:rsidRPr="005C6FA9">
        <w:rPr>
          <w:rFonts w:ascii="Times New Roman" w:eastAsia="Times New Roman" w:hAnsi="Times New Roman" w:cs="Times New Roman"/>
          <w:color w:val="000000"/>
        </w:rPr>
        <w:t xml:space="preserve"> ancora </w:t>
      </w:r>
      <w:r w:rsidR="00643CDE" w:rsidRPr="005C6FA9">
        <w:rPr>
          <w:rFonts w:ascii="Times New Roman" w:eastAsia="Times New Roman" w:hAnsi="Times New Roman" w:cs="Times New Roman"/>
          <w:color w:val="000000"/>
        </w:rPr>
        <w:t>percepi</w:t>
      </w:r>
      <w:r w:rsidR="002637BB" w:rsidRPr="005C6FA9">
        <w:rPr>
          <w:rFonts w:ascii="Times New Roman" w:eastAsia="Times New Roman" w:hAnsi="Times New Roman" w:cs="Times New Roman"/>
          <w:color w:val="000000"/>
        </w:rPr>
        <w:t xml:space="preserve">bile </w:t>
      </w:r>
      <w:r w:rsidRPr="005C6FA9">
        <w:rPr>
          <w:rFonts w:ascii="Times New Roman" w:eastAsia="Times New Roman" w:hAnsi="Times New Roman" w:cs="Times New Roman"/>
          <w:color w:val="000000"/>
        </w:rPr>
        <w:t>nell’oggetto bello della religione cristiana</w:t>
      </w:r>
      <w:r w:rsidRPr="00B34CC2">
        <w:rPr>
          <w:rStyle w:val="Rimandonotaapidipagina"/>
          <w:rFonts w:ascii="Times New Roman" w:eastAsia="Times New Roman" w:hAnsi="Times New Roman" w:cs="Times New Roman"/>
          <w:color w:val="000000"/>
        </w:rPr>
        <w:footnoteReference w:id="102"/>
      </w:r>
      <w:r w:rsidRPr="00B34CC2">
        <w:rPr>
          <w:rFonts w:ascii="Times New Roman" w:eastAsia="Times New Roman" w:hAnsi="Times New Roman" w:cs="Times New Roman"/>
          <w:color w:val="000000"/>
        </w:rPr>
        <w:t xml:space="preserve">.  </w:t>
      </w:r>
    </w:p>
    <w:p w14:paraId="029D5D50" w14:textId="20B76482" w:rsidR="00B244FE" w:rsidRPr="00382376" w:rsidRDefault="00B244FE" w:rsidP="00B244FE">
      <w:pPr>
        <w:spacing w:line="360" w:lineRule="auto"/>
        <w:ind w:firstLine="567"/>
        <w:jc w:val="both"/>
        <w:rPr>
          <w:rFonts w:ascii="Times New Roman" w:eastAsia="Times New Roman" w:hAnsi="Times New Roman" w:cs="Times New Roman"/>
          <w:color w:val="000000"/>
        </w:rPr>
      </w:pPr>
      <w:r w:rsidRPr="00B34CC2">
        <w:rPr>
          <w:rFonts w:ascii="Times New Roman" w:eastAsia="Times New Roman" w:hAnsi="Times New Roman" w:cs="Times New Roman"/>
          <w:color w:val="000000"/>
        </w:rPr>
        <w:t>La produzione giovanile</w:t>
      </w:r>
      <w:r w:rsidR="003B171B" w:rsidRPr="00B34CC2">
        <w:rPr>
          <w:rFonts w:ascii="Times New Roman" w:eastAsia="Times New Roman" w:hAnsi="Times New Roman" w:cs="Times New Roman"/>
          <w:color w:val="000000"/>
        </w:rPr>
        <w:t xml:space="preserve"> si conclude –</w:t>
      </w:r>
      <w:r w:rsidR="003B171B">
        <w:rPr>
          <w:rFonts w:ascii="Times New Roman" w:eastAsia="Times New Roman" w:hAnsi="Times New Roman" w:cs="Times New Roman"/>
          <w:color w:val="000000"/>
        </w:rPr>
        <w:t xml:space="preserve"> se così si può dire –</w:t>
      </w:r>
      <w:r w:rsidRPr="003B171B">
        <w:rPr>
          <w:rFonts w:ascii="Times New Roman" w:eastAsia="Times New Roman" w:hAnsi="Times New Roman" w:cs="Times New Roman"/>
          <w:color w:val="000000"/>
        </w:rPr>
        <w:t xml:space="preserve"> nel momento in cui Hegel matura la consapevolezza che la relazione fra umano e divino non può essere esaurita, né tantomeno svolta esaustivamente, dalla religione</w:t>
      </w:r>
      <w:r w:rsidRPr="00382376">
        <w:rPr>
          <w:rFonts w:ascii="Times New Roman" w:eastAsia="Times New Roman" w:hAnsi="Times New Roman" w:cs="Times New Roman"/>
          <w:color w:val="000000"/>
        </w:rPr>
        <w:t xml:space="preserve">. Il bisogno della religione, che culmina con un ideale estetico, nulla può contro la realtà scissa del mondo giudaico-cristiano. Le sintesi, a cui </w:t>
      </w:r>
      <w:r w:rsidR="00ED4361">
        <w:rPr>
          <w:rFonts w:ascii="Times New Roman" w:eastAsia="Times New Roman" w:hAnsi="Times New Roman" w:cs="Times New Roman"/>
          <w:color w:val="000000"/>
        </w:rPr>
        <w:t>ebra</w:t>
      </w:r>
      <w:r w:rsidRPr="00382376">
        <w:rPr>
          <w:rFonts w:ascii="Times New Roman" w:eastAsia="Times New Roman" w:hAnsi="Times New Roman" w:cs="Times New Roman"/>
          <w:color w:val="000000"/>
        </w:rPr>
        <w:t>ismo e cristianesimo pervengono, determinano uno svuotamento</w:t>
      </w:r>
      <w:r w:rsidR="001D12DE">
        <w:rPr>
          <w:rFonts w:ascii="Times New Roman" w:eastAsia="Times New Roman" w:hAnsi="Times New Roman" w:cs="Times New Roman"/>
          <w:color w:val="000000"/>
        </w:rPr>
        <w:t xml:space="preserve"> </w:t>
      </w:r>
      <w:r w:rsidRPr="00382376">
        <w:rPr>
          <w:rFonts w:ascii="Times New Roman" w:eastAsia="Times New Roman" w:hAnsi="Times New Roman" w:cs="Times New Roman"/>
          <w:color w:val="000000"/>
        </w:rPr>
        <w:t xml:space="preserve">dell’essere umano in rapporto al </w:t>
      </w:r>
      <w:r w:rsidRPr="005C6FA9">
        <w:rPr>
          <w:rFonts w:ascii="Times New Roman" w:eastAsia="Times New Roman" w:hAnsi="Times New Roman" w:cs="Times New Roman"/>
          <w:color w:val="000000"/>
        </w:rPr>
        <w:t xml:space="preserve">divino e un mantenimento dell’opposizione fra estremi mai </w:t>
      </w:r>
      <w:r w:rsidRPr="005C6FA9">
        <w:rPr>
          <w:rFonts w:ascii="Times New Roman" w:eastAsia="Times New Roman" w:hAnsi="Times New Roman" w:cs="Times New Roman"/>
          <w:i/>
          <w:color w:val="000000"/>
        </w:rPr>
        <w:t>realmente</w:t>
      </w:r>
      <w:r w:rsidRPr="005C6FA9">
        <w:rPr>
          <w:rFonts w:ascii="Times New Roman" w:eastAsia="Times New Roman" w:hAnsi="Times New Roman" w:cs="Times New Roman"/>
          <w:color w:val="000000"/>
        </w:rPr>
        <w:t xml:space="preserve"> posti in unità. At</w:t>
      </w:r>
      <w:r w:rsidR="007F105A" w:rsidRPr="005C6FA9">
        <w:rPr>
          <w:rFonts w:ascii="Times New Roman" w:eastAsia="Times New Roman" w:hAnsi="Times New Roman" w:cs="Times New Roman"/>
          <w:color w:val="000000"/>
        </w:rPr>
        <w:t>tento ai delicati intrecci delle</w:t>
      </w:r>
      <w:r w:rsidRPr="005C6FA9">
        <w:rPr>
          <w:rFonts w:ascii="Times New Roman" w:eastAsia="Times New Roman" w:hAnsi="Times New Roman" w:cs="Times New Roman"/>
          <w:color w:val="000000"/>
        </w:rPr>
        <w:t xml:space="preserve"> dinamiche storiche, Hegel offre un’analisi ragionata – o</w:t>
      </w:r>
      <w:r w:rsidR="001D12DE">
        <w:rPr>
          <w:rFonts w:ascii="Times New Roman" w:eastAsia="Times New Roman" w:hAnsi="Times New Roman" w:cs="Times New Roman"/>
          <w:color w:val="000000"/>
        </w:rPr>
        <w:t>ssia storico-</w:t>
      </w:r>
      <w:r w:rsidRPr="005C6FA9">
        <w:rPr>
          <w:rFonts w:ascii="Times New Roman" w:eastAsia="Times New Roman" w:hAnsi="Times New Roman" w:cs="Times New Roman"/>
          <w:color w:val="000000"/>
        </w:rPr>
        <w:t xml:space="preserve">filosofica – della genesi e sviluppo di due momenti cruciali </w:t>
      </w:r>
      <w:r w:rsidR="00ED4361">
        <w:rPr>
          <w:rFonts w:ascii="Times New Roman" w:eastAsia="Times New Roman" w:hAnsi="Times New Roman" w:cs="Times New Roman"/>
          <w:color w:val="000000"/>
        </w:rPr>
        <w:t>(ebra</w:t>
      </w:r>
      <w:r w:rsidR="00D226DF" w:rsidRPr="005C6FA9">
        <w:rPr>
          <w:rFonts w:ascii="Times New Roman" w:eastAsia="Times New Roman" w:hAnsi="Times New Roman" w:cs="Times New Roman"/>
          <w:color w:val="000000"/>
        </w:rPr>
        <w:t>ismo e cristianesimo)</w:t>
      </w:r>
      <w:r w:rsidR="00D226DF">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del mondo dello spirito (</w:t>
      </w:r>
      <w:r w:rsidRPr="00141168">
        <w:rPr>
          <w:rFonts w:ascii="Times New Roman" w:eastAsia="Times New Roman" w:hAnsi="Times New Roman" w:cs="Times New Roman"/>
          <w:i/>
          <w:color w:val="000000"/>
          <w:lang w:val="de-DE"/>
        </w:rPr>
        <w:t>Geisterwelt</w:t>
      </w:r>
      <w:r>
        <w:rPr>
          <w:rFonts w:ascii="Times New Roman" w:eastAsia="Times New Roman" w:hAnsi="Times New Roman" w:cs="Times New Roman"/>
          <w:color w:val="000000"/>
        </w:rPr>
        <w:t xml:space="preserve">). </w:t>
      </w:r>
      <w:r w:rsidRPr="00B02C46">
        <w:rPr>
          <w:rFonts w:ascii="Times New Roman" w:eastAsia="Times New Roman" w:hAnsi="Times New Roman" w:cs="Times New Roman"/>
          <w:color w:val="000000"/>
        </w:rPr>
        <w:t xml:space="preserve">Due momenti, o due rivoluzioni, sempre che si voglia utilizzare il linguaggio del </w:t>
      </w:r>
      <w:r w:rsidRPr="00B02C46">
        <w:rPr>
          <w:rFonts w:ascii="Times New Roman" w:eastAsia="Times New Roman" w:hAnsi="Times New Roman" w:cs="Times New Roman"/>
          <w:i/>
          <w:color w:val="000000"/>
        </w:rPr>
        <w:t>Text 34</w:t>
      </w:r>
      <w:r w:rsidRPr="00B02C46">
        <w:rPr>
          <w:rFonts w:ascii="Times New Roman" w:eastAsia="Times New Roman" w:hAnsi="Times New Roman" w:cs="Times New Roman"/>
          <w:color w:val="000000"/>
        </w:rPr>
        <w:t>, che sono sì determinati da un punto di vista storico, ma che posseggono anche una natura meta-storica.</w:t>
      </w:r>
      <w:r>
        <w:rPr>
          <w:rFonts w:ascii="Times New Roman" w:eastAsia="Times New Roman" w:hAnsi="Times New Roman" w:cs="Times New Roman"/>
          <w:color w:val="000000"/>
        </w:rPr>
        <w:t xml:space="preserve"> Poiché l’eterogeneità di pensiero e essere, di spirito e realtà, di incondizionato e condizionato, per non parlare poi delle sintesi ideali, e quindi non reali, in cui i termini scissi sono costretti, sono tratti distintivi del tempo storico di Hegel</w:t>
      </w:r>
      <w:r>
        <w:rPr>
          <w:rStyle w:val="Rimandonotaapidipagina"/>
          <w:rFonts w:ascii="Times New Roman" w:eastAsia="Times New Roman" w:hAnsi="Times New Roman" w:cs="Times New Roman"/>
          <w:color w:val="000000"/>
        </w:rPr>
        <w:footnoteReference w:id="103"/>
      </w:r>
      <w:r>
        <w:rPr>
          <w:rFonts w:ascii="Times New Roman" w:eastAsia="Times New Roman" w:hAnsi="Times New Roman" w:cs="Times New Roman"/>
          <w:color w:val="000000"/>
        </w:rPr>
        <w:t xml:space="preserve">. </w:t>
      </w:r>
      <w:r w:rsidRPr="00A33DD3">
        <w:rPr>
          <w:rFonts w:ascii="Times New Roman" w:eastAsia="Times New Roman" w:hAnsi="Times New Roman" w:cs="Times New Roman"/>
          <w:color w:val="000000"/>
        </w:rPr>
        <w:t>Ad esempio, essere asserviti ad un principio sovrannaturale e rinunciare alla propria autonomia per essere uno con un dispotico al di là sono determinazioni di pensiero condivise dalla filosofia kantiana e fichtiana.</w:t>
      </w:r>
      <w:r>
        <w:rPr>
          <w:rFonts w:ascii="Times New Roman" w:eastAsia="Times New Roman" w:hAnsi="Times New Roman" w:cs="Times New Roman"/>
          <w:color w:val="000000"/>
        </w:rPr>
        <w:t xml:space="preserve"> Che si tratti dell’imperativo categorico di Kant, in cui l’universale è «</w:t>
      </w:r>
      <w:r w:rsidRPr="00314073">
        <w:rPr>
          <w:rFonts w:ascii="Times New Roman" w:eastAsia="Times New Roman" w:hAnsi="Times New Roman" w:cs="Times New Roman"/>
          <w:color w:val="000000"/>
          <w:lang w:val="de-DE"/>
        </w:rPr>
        <w:t>das Herrschende</w:t>
      </w:r>
      <w:r w:rsidRPr="0075289F">
        <w:rPr>
          <w:rFonts w:ascii="Times New Roman" w:eastAsia="Times New Roman" w:hAnsi="Times New Roman" w:cs="Times New Roman"/>
          <w:color w:val="000000"/>
          <w:lang w:val="de-DE"/>
        </w:rPr>
        <w:t>»</w:t>
      </w:r>
      <w:r>
        <w:rPr>
          <w:rFonts w:ascii="Times New Roman" w:eastAsia="Times New Roman" w:hAnsi="Times New Roman" w:cs="Times New Roman"/>
          <w:color w:val="000000"/>
        </w:rPr>
        <w:t xml:space="preserve"> e il </w:t>
      </w:r>
      <w:r w:rsidRPr="000110EC">
        <w:rPr>
          <w:rFonts w:ascii="Times New Roman" w:eastAsia="Times New Roman" w:hAnsi="Times New Roman" w:cs="Times New Roman"/>
          <w:color w:val="000000"/>
        </w:rPr>
        <w:t>particolare «</w:t>
      </w:r>
      <w:r w:rsidRPr="000110EC">
        <w:rPr>
          <w:rFonts w:ascii="Times New Roman" w:eastAsia="Times New Roman" w:hAnsi="Times New Roman" w:cs="Times New Roman"/>
          <w:color w:val="000000"/>
          <w:lang w:val="de-DE"/>
        </w:rPr>
        <w:t>das Beherrschte»</w:t>
      </w:r>
      <w:r w:rsidRPr="000110EC">
        <w:rPr>
          <w:rStyle w:val="Rimandonotaapidipagina"/>
          <w:rFonts w:ascii="Times New Roman" w:eastAsia="Times New Roman" w:hAnsi="Times New Roman" w:cs="Times New Roman"/>
          <w:color w:val="000000"/>
          <w:lang w:val="de-DE"/>
        </w:rPr>
        <w:footnoteReference w:id="104"/>
      </w:r>
      <w:r w:rsidRPr="000110EC">
        <w:rPr>
          <w:rFonts w:ascii="Times New Roman" w:eastAsia="Times New Roman" w:hAnsi="Times New Roman" w:cs="Times New Roman"/>
          <w:color w:val="000000"/>
        </w:rPr>
        <w:t>,  o dell’Io assoluto di Fichte, in cui «</w:t>
      </w:r>
      <w:r w:rsidRPr="000110EC">
        <w:rPr>
          <w:rFonts w:ascii="Times New Roman" w:eastAsia="Times New Roman" w:hAnsi="Times New Roman" w:cs="Times New Roman"/>
          <w:color w:val="000000"/>
          <w:lang w:val="de-DE"/>
        </w:rPr>
        <w:t>das Ich alles, alles entgegengesetzt, unter seiner Füßen hat»</w:t>
      </w:r>
      <w:r w:rsidRPr="000110EC">
        <w:rPr>
          <w:rStyle w:val="Rimandonotaapidipagina"/>
          <w:rFonts w:ascii="Times New Roman" w:eastAsia="Times New Roman" w:hAnsi="Times New Roman" w:cs="Times New Roman"/>
          <w:color w:val="000000"/>
          <w:lang w:val="de-DE"/>
        </w:rPr>
        <w:footnoteReference w:id="105"/>
      </w:r>
      <w:r w:rsidRPr="000110EC">
        <w:rPr>
          <w:rFonts w:ascii="Times New Roman" w:eastAsia="Times New Roman" w:hAnsi="Times New Roman" w:cs="Times New Roman"/>
          <w:color w:val="000000"/>
          <w:lang w:val="de-DE"/>
        </w:rPr>
        <w:t xml:space="preserve">, </w:t>
      </w:r>
      <w:r w:rsidRPr="000110EC">
        <w:rPr>
          <w:rFonts w:ascii="Times New Roman" w:eastAsia="Times New Roman" w:hAnsi="Times New Roman" w:cs="Times New Roman"/>
          <w:color w:val="000000"/>
        </w:rPr>
        <w:t xml:space="preserve">la sostanza del rapporto fra gli opposti non muta: 1. un estremo domina e l’altro è dominato, 2. ciò che domina </w:t>
      </w:r>
      <w:r w:rsidR="00CC13AB" w:rsidRPr="000110EC">
        <w:rPr>
          <w:rFonts w:ascii="Times New Roman" w:eastAsia="Times New Roman" w:hAnsi="Times New Roman" w:cs="Times New Roman"/>
          <w:color w:val="000000"/>
        </w:rPr>
        <w:t xml:space="preserve">non è ciò </w:t>
      </w:r>
      <w:r w:rsidR="00BC262E" w:rsidRPr="00281A7B">
        <w:rPr>
          <w:rFonts w:ascii="Times New Roman" w:eastAsia="Times New Roman" w:hAnsi="Times New Roman" w:cs="Times New Roman"/>
          <w:color w:val="000000"/>
          <w:highlight w:val="yellow"/>
        </w:rPr>
        <w:t>che viene</w:t>
      </w:r>
      <w:r w:rsidR="00CC13AB" w:rsidRPr="000110EC">
        <w:rPr>
          <w:rFonts w:ascii="Times New Roman" w:eastAsia="Times New Roman" w:hAnsi="Times New Roman" w:cs="Times New Roman"/>
          <w:color w:val="000000"/>
        </w:rPr>
        <w:t xml:space="preserve"> dominato,</w:t>
      </w:r>
      <w:r w:rsidR="00CC13AB" w:rsidRPr="00B02C46">
        <w:rPr>
          <w:rFonts w:ascii="Times New Roman" w:eastAsia="Times New Roman" w:hAnsi="Times New Roman" w:cs="Times New Roman"/>
          <w:color w:val="000000"/>
        </w:rPr>
        <w:t xml:space="preserve"> 3. l’elemento </w:t>
      </w:r>
      <w:r w:rsidRPr="00B02C46">
        <w:rPr>
          <w:rFonts w:ascii="Times New Roman" w:eastAsia="Times New Roman" w:hAnsi="Times New Roman" w:cs="Times New Roman"/>
          <w:color w:val="000000"/>
        </w:rPr>
        <w:t>dominato, dismesso il suo essere, si trova annientato nel</w:t>
      </w:r>
      <w:r w:rsidR="00CC13AB" w:rsidRPr="00B02C46">
        <w:rPr>
          <w:rFonts w:ascii="Times New Roman" w:eastAsia="Times New Roman" w:hAnsi="Times New Roman" w:cs="Times New Roman"/>
          <w:color w:val="000000"/>
        </w:rPr>
        <w:t xml:space="preserve"> termine</w:t>
      </w:r>
      <w:r w:rsidRPr="00B02C46">
        <w:rPr>
          <w:rFonts w:ascii="Times New Roman" w:eastAsia="Times New Roman" w:hAnsi="Times New Roman" w:cs="Times New Roman"/>
          <w:color w:val="000000"/>
        </w:rPr>
        <w:t xml:space="preserve"> dominante</w:t>
      </w:r>
      <w:r>
        <w:rPr>
          <w:rFonts w:ascii="Times New Roman" w:eastAsia="Times New Roman" w:hAnsi="Times New Roman" w:cs="Times New Roman"/>
          <w:color w:val="000000"/>
        </w:rPr>
        <w:t xml:space="preserve"> e 4. la logica del dominio è ideale, pertanto non è superata</w:t>
      </w:r>
      <w:r w:rsidR="00F76D45">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l’opposizion</w:t>
      </w:r>
      <w:r w:rsidR="00ED4361">
        <w:rPr>
          <w:rFonts w:ascii="Times New Roman" w:eastAsia="Times New Roman" w:hAnsi="Times New Roman" w:cs="Times New Roman"/>
          <w:color w:val="000000"/>
        </w:rPr>
        <w:t>e reale dei due estremi. L’ebr</w:t>
      </w:r>
      <w:r>
        <w:rPr>
          <w:rFonts w:ascii="Times New Roman" w:eastAsia="Times New Roman" w:hAnsi="Times New Roman" w:cs="Times New Roman"/>
          <w:color w:val="000000"/>
        </w:rPr>
        <w:t xml:space="preserve">aismo rappresenta una forma metastorica proprio perché esprime un modello relazionale mutuato da due filosofie – la kantiana e fichtiana – che non hanno </w:t>
      </w:r>
      <w:r w:rsidRPr="00382376">
        <w:rPr>
          <w:rFonts w:ascii="Times New Roman" w:eastAsia="Times New Roman" w:hAnsi="Times New Roman" w:cs="Times New Roman"/>
          <w:color w:val="000000"/>
        </w:rPr>
        <w:t xml:space="preserve">nessun contatto immediato con la cultura ebraica. </w:t>
      </w:r>
    </w:p>
    <w:p w14:paraId="6A118467" w14:textId="204D844B" w:rsidR="00B244FE" w:rsidRDefault="00B244FE" w:rsidP="00B244FE">
      <w:pPr>
        <w:spacing w:line="360" w:lineRule="auto"/>
        <w:ind w:firstLine="567"/>
        <w:jc w:val="both"/>
        <w:rPr>
          <w:rFonts w:ascii="Times New Roman" w:eastAsia="Times New Roman" w:hAnsi="Times New Roman" w:cs="Times New Roman"/>
          <w:color w:val="000000"/>
        </w:rPr>
      </w:pPr>
      <w:r w:rsidRPr="00382376">
        <w:rPr>
          <w:rFonts w:ascii="Times New Roman" w:eastAsia="Times New Roman" w:hAnsi="Times New Roman" w:cs="Times New Roman"/>
          <w:color w:val="000000"/>
        </w:rPr>
        <w:t xml:space="preserve">Del pari, il tentativo di dismettere il retaggio ebraico, assecondando un bisogno che si </w:t>
      </w:r>
      <w:r w:rsidRPr="005C6FA9">
        <w:rPr>
          <w:rFonts w:ascii="Times New Roman" w:eastAsia="Times New Roman" w:hAnsi="Times New Roman" w:cs="Times New Roman"/>
          <w:color w:val="000000"/>
        </w:rPr>
        <w:t>approfondisce e conferisce una complessità crescente, è processo storicamente riconducibile non soltanto alla comunità cristiana primitiva, ma anche alla cultura tedesca tardo-settecentesca, che reagì con veemenza a</w:t>
      </w:r>
      <w:r w:rsidR="00AB35A9" w:rsidRPr="005C6FA9">
        <w:rPr>
          <w:rFonts w:ascii="Times New Roman" w:eastAsia="Times New Roman" w:hAnsi="Times New Roman" w:cs="Times New Roman"/>
          <w:color w:val="000000"/>
        </w:rPr>
        <w:t xml:space="preserve"> certe aporie ereditate da</w:t>
      </w:r>
      <w:r w:rsidRPr="005C6FA9">
        <w:rPr>
          <w:rFonts w:ascii="Times New Roman" w:eastAsia="Times New Roman" w:hAnsi="Times New Roman" w:cs="Times New Roman"/>
          <w:color w:val="000000"/>
        </w:rPr>
        <w:t>lla filosofia critica.</w:t>
      </w:r>
      <w:r>
        <w:rPr>
          <w:rFonts w:ascii="Times New Roman" w:eastAsia="Times New Roman" w:hAnsi="Times New Roman" w:cs="Times New Roman"/>
          <w:color w:val="000000"/>
        </w:rPr>
        <w:t xml:space="preserve"> Unificare nella bellezza gli impulsi che vanno a definire la natura dell’uomo è sia ideale </w:t>
      </w:r>
      <w:r w:rsidRPr="00A33DD3">
        <w:rPr>
          <w:rFonts w:ascii="Times New Roman" w:eastAsia="Times New Roman" w:hAnsi="Times New Roman" w:cs="Times New Roman"/>
          <w:color w:val="000000"/>
        </w:rPr>
        <w:t>politico prospettato da Schiller</w:t>
      </w:r>
      <w:r>
        <w:rPr>
          <w:rFonts w:ascii="Times New Roman" w:eastAsia="Times New Roman" w:hAnsi="Times New Roman" w:cs="Times New Roman"/>
          <w:color w:val="000000"/>
        </w:rPr>
        <w:t xml:space="preserve"> nello scritto</w:t>
      </w:r>
      <w:r w:rsidRPr="006117D4">
        <w:rPr>
          <w:rFonts w:ascii="Times New Roman" w:eastAsia="Times New Roman" w:hAnsi="Times New Roman" w:cs="Times New Roman"/>
          <w:i/>
          <w:color w:val="000000"/>
        </w:rPr>
        <w:t xml:space="preserve"> Über die ästethische Erziehung des Menschen in einer Reihe von Briefen</w:t>
      </w:r>
      <w:r>
        <w:rPr>
          <w:rStyle w:val="Rimandonotaapidipagina"/>
          <w:rFonts w:ascii="Times New Roman" w:eastAsia="Times New Roman" w:hAnsi="Times New Roman" w:cs="Times New Roman"/>
          <w:i/>
          <w:color w:val="000000"/>
        </w:rPr>
        <w:footnoteReference w:id="106"/>
      </w:r>
      <w:r>
        <w:rPr>
          <w:rFonts w:ascii="Times New Roman" w:eastAsia="Times New Roman" w:hAnsi="Times New Roman" w:cs="Times New Roman"/>
          <w:color w:val="000000"/>
        </w:rPr>
        <w:t>, che ideale estetico perseguito da Hölderlin nell’</w:t>
      </w:r>
      <w:r w:rsidRPr="00F379E0">
        <w:rPr>
          <w:rFonts w:ascii="Times New Roman" w:eastAsia="Times New Roman" w:hAnsi="Times New Roman" w:cs="Times New Roman"/>
          <w:i/>
          <w:color w:val="000000"/>
        </w:rPr>
        <w:t>Hyperion</w:t>
      </w:r>
      <w:r>
        <w:rPr>
          <w:rFonts w:ascii="Times New Roman" w:eastAsia="Times New Roman" w:hAnsi="Times New Roman" w:cs="Times New Roman"/>
          <w:color w:val="000000"/>
        </w:rPr>
        <w:t>, dove la bellezza, intesa come intero in sé organizzato, è «das große Wort, das εν διαφερον εαυτω (das Eine in sich selber unterschiedne) des Heraklit, das konnte nur ein Grieche finden, denn es ist das Wesen der Schönheit, und ehe das gefunden war, gabs keine Philosophie</w:t>
      </w:r>
      <w:r w:rsidRPr="0075289F">
        <w:rPr>
          <w:rFonts w:ascii="Times New Roman" w:eastAsia="Times New Roman" w:hAnsi="Times New Roman" w:cs="Times New Roman"/>
          <w:color w:val="000000"/>
          <w:lang w:val="de-DE"/>
        </w:rPr>
        <w:t>»</w:t>
      </w:r>
      <w:r>
        <w:rPr>
          <w:rStyle w:val="Rimandonotaapidipagina"/>
          <w:rFonts w:ascii="Times New Roman" w:eastAsia="Times New Roman" w:hAnsi="Times New Roman" w:cs="Times New Roman"/>
          <w:color w:val="000000"/>
          <w:lang w:val="de-DE"/>
        </w:rPr>
        <w:footnoteReference w:id="107"/>
      </w:r>
      <w:r>
        <w:rPr>
          <w:rFonts w:ascii="Times New Roman" w:eastAsia="Times New Roman" w:hAnsi="Times New Roman" w:cs="Times New Roman"/>
          <w:color w:val="000000"/>
          <w:lang w:val="de-DE"/>
        </w:rPr>
        <w:t xml:space="preserve">. </w:t>
      </w:r>
      <w:r w:rsidRPr="008E109C">
        <w:rPr>
          <w:rFonts w:ascii="Times New Roman" w:eastAsia="Times New Roman" w:hAnsi="Times New Roman" w:cs="Times New Roman"/>
          <w:color w:val="000000"/>
        </w:rPr>
        <w:t xml:space="preserve">Si è visto come per Hegel la bellezza operi una sintesi momentanea degli opposti, destinata </w:t>
      </w:r>
      <w:r w:rsidR="00D6199C">
        <w:rPr>
          <w:rFonts w:ascii="Times New Roman" w:eastAsia="Times New Roman" w:hAnsi="Times New Roman" w:cs="Times New Roman"/>
          <w:color w:val="000000"/>
        </w:rPr>
        <w:t>al</w:t>
      </w:r>
      <w:r w:rsidRPr="008E109C">
        <w:rPr>
          <w:rFonts w:ascii="Times New Roman" w:eastAsia="Times New Roman" w:hAnsi="Times New Roman" w:cs="Times New Roman"/>
          <w:color w:val="000000"/>
        </w:rPr>
        <w:t xml:space="preserve">la separatezza e </w:t>
      </w:r>
      <w:r w:rsidR="00D6199C">
        <w:rPr>
          <w:rFonts w:ascii="Times New Roman" w:eastAsia="Times New Roman" w:hAnsi="Times New Roman" w:cs="Times New Roman"/>
          <w:color w:val="000000"/>
        </w:rPr>
        <w:t>al</w:t>
      </w:r>
      <w:r w:rsidRPr="008E109C">
        <w:rPr>
          <w:rFonts w:ascii="Times New Roman" w:eastAsia="Times New Roman" w:hAnsi="Times New Roman" w:cs="Times New Roman"/>
          <w:color w:val="000000"/>
        </w:rPr>
        <w:t>lo squilibrio fra i termini relazionali.</w:t>
      </w:r>
      <w:r>
        <w:rPr>
          <w:rFonts w:ascii="Times New Roman" w:eastAsia="Times New Roman" w:hAnsi="Times New Roman" w:cs="Times New Roman"/>
          <w:color w:val="000000"/>
        </w:rPr>
        <w:t xml:space="preserve"> La tensione irrisolta fra gli opposti e l’annullamento dell’umano nel divino sono dinamiche talmente radicate nel mondo giudaico-cristiano da richiedere una forza superiore – e più stabile – alla religione. Il riconoscimento del limite dell’impulso alla religione è consapevolezza della fragilità del tentativo della comunità cristiana di darsi una forma vivente a partire da un terzo, dal Dio della comunità, in cui i termini scissi ritrovano unificazione. Ma non solo: individuare nella bellezza una mancanza denota una presa di distanza da quella reazione filosofico-letteraria che aveva colto proprio nella </w:t>
      </w:r>
      <w:r w:rsidRPr="00EC7933">
        <w:rPr>
          <w:rFonts w:ascii="Times New Roman" w:eastAsia="Times New Roman" w:hAnsi="Times New Roman" w:cs="Times New Roman"/>
          <w:i/>
          <w:color w:val="000000"/>
          <w:lang w:val="de-DE"/>
        </w:rPr>
        <w:t>Schönheit</w:t>
      </w:r>
      <w:r>
        <w:rPr>
          <w:rFonts w:ascii="Times New Roman" w:eastAsia="Times New Roman" w:hAnsi="Times New Roman" w:cs="Times New Roman"/>
          <w:color w:val="000000"/>
        </w:rPr>
        <w:t xml:space="preserve"> il principio risolutore delle antinomie del proprio tempo storico. </w:t>
      </w:r>
    </w:p>
    <w:p w14:paraId="0F21DAA5" w14:textId="7A9B87AD" w:rsidR="00CE4C3D" w:rsidRPr="0059038A" w:rsidRDefault="00B244FE" w:rsidP="001778A9">
      <w:pPr>
        <w:spacing w:line="360" w:lineRule="auto"/>
        <w:ind w:firstLine="567"/>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Da un punto di </w:t>
      </w:r>
      <w:r w:rsidRPr="005C6FA9">
        <w:rPr>
          <w:rFonts w:ascii="Times New Roman" w:eastAsia="Times New Roman" w:hAnsi="Times New Roman" w:cs="Times New Roman"/>
          <w:color w:val="000000"/>
        </w:rPr>
        <w:t>vista meta-storico, il bisogno della religione lascia il posto ad un nuovo bisogno, al bisogno della filosofia, che solo può farsi carico de</w:t>
      </w:r>
      <w:r w:rsidR="00CB648D" w:rsidRPr="005C6FA9">
        <w:rPr>
          <w:rFonts w:ascii="Times New Roman" w:eastAsia="Times New Roman" w:hAnsi="Times New Roman" w:cs="Times New Roman"/>
          <w:color w:val="000000"/>
        </w:rPr>
        <w:t>ll’eredità giudaico-cristiana da</w:t>
      </w:r>
      <w:r w:rsidRPr="005C6FA9">
        <w:rPr>
          <w:rFonts w:ascii="Times New Roman" w:eastAsia="Times New Roman" w:hAnsi="Times New Roman" w:cs="Times New Roman"/>
          <w:color w:val="000000"/>
        </w:rPr>
        <w:t xml:space="preserve"> cui è gravato il presente. Il pensiero è chiamato a risolvere quella frattura fra pensiero e real</w:t>
      </w:r>
      <w:r w:rsidR="00AB35A9" w:rsidRPr="005C6FA9">
        <w:rPr>
          <w:rFonts w:ascii="Times New Roman" w:eastAsia="Times New Roman" w:hAnsi="Times New Roman" w:cs="Times New Roman"/>
          <w:color w:val="000000"/>
        </w:rPr>
        <w:t xml:space="preserve">tà che proprio </w:t>
      </w:r>
      <w:r w:rsidR="00ED4361">
        <w:rPr>
          <w:rFonts w:ascii="Times New Roman" w:eastAsia="Times New Roman" w:hAnsi="Times New Roman" w:cs="Times New Roman"/>
          <w:color w:val="000000"/>
        </w:rPr>
        <w:t>l’ebr</w:t>
      </w:r>
      <w:r w:rsidR="00AB35A9" w:rsidRPr="005C6FA9">
        <w:rPr>
          <w:rFonts w:ascii="Times New Roman" w:eastAsia="Times New Roman" w:hAnsi="Times New Roman" w:cs="Times New Roman"/>
          <w:color w:val="000000"/>
        </w:rPr>
        <w:t>aismo ha genera</w:t>
      </w:r>
      <w:r w:rsidRPr="005C6FA9">
        <w:rPr>
          <w:rFonts w:ascii="Times New Roman" w:eastAsia="Times New Roman" w:hAnsi="Times New Roman" w:cs="Times New Roman"/>
          <w:color w:val="000000"/>
        </w:rPr>
        <w:t xml:space="preserve">to </w:t>
      </w:r>
      <w:r w:rsidR="00AB35A9" w:rsidRPr="005C6FA9">
        <w:rPr>
          <w:rFonts w:ascii="Times New Roman" w:eastAsia="Times New Roman" w:hAnsi="Times New Roman" w:cs="Times New Roman"/>
          <w:color w:val="000000"/>
        </w:rPr>
        <w:t xml:space="preserve">in risposta alla </w:t>
      </w:r>
      <w:r w:rsidR="00AB35A9" w:rsidRPr="005C6FA9">
        <w:rPr>
          <w:rFonts w:ascii="Times New Roman" w:eastAsia="Times New Roman" w:hAnsi="Times New Roman" w:cs="Times New Roman"/>
          <w:i/>
          <w:color w:val="000000"/>
        </w:rPr>
        <w:t xml:space="preserve">Feindseligkeit </w:t>
      </w:r>
      <w:r w:rsidR="001778A9" w:rsidRPr="005C6FA9">
        <w:rPr>
          <w:rFonts w:ascii="Times New Roman" w:eastAsia="Times New Roman" w:hAnsi="Times New Roman" w:cs="Times New Roman"/>
          <w:color w:val="000000"/>
        </w:rPr>
        <w:t xml:space="preserve">della </w:t>
      </w:r>
      <w:r w:rsidRPr="005C6FA9">
        <w:rPr>
          <w:rFonts w:ascii="Times New Roman" w:eastAsia="Times New Roman" w:hAnsi="Times New Roman" w:cs="Times New Roman"/>
          <w:color w:val="000000"/>
        </w:rPr>
        <w:t>natura</w:t>
      </w:r>
      <w:r w:rsidRPr="002F2581">
        <w:rPr>
          <w:rFonts w:ascii="Times New Roman" w:eastAsia="Times New Roman" w:hAnsi="Times New Roman" w:cs="Times New Roman"/>
          <w:color w:val="000000"/>
        </w:rPr>
        <w:t xml:space="preserve"> e che il cristianesimo, aspirando ad una pienezza vitale aliena dal morto meccanismo dello Stato ebraico, ha cercato – </w:t>
      </w:r>
      <w:r w:rsidRPr="007F5DD9">
        <w:rPr>
          <w:rFonts w:ascii="Times New Roman" w:eastAsia="Times New Roman" w:hAnsi="Times New Roman" w:cs="Times New Roman"/>
          <w:color w:val="000000"/>
        </w:rPr>
        <w:t>senza successo – di superare dapprima nell’amore e poi nella fede nella res</w:t>
      </w:r>
      <w:r w:rsidR="008F54F7" w:rsidRPr="007F5DD9">
        <w:rPr>
          <w:rFonts w:ascii="Times New Roman" w:eastAsia="Times New Roman" w:hAnsi="Times New Roman" w:cs="Times New Roman"/>
          <w:color w:val="000000"/>
        </w:rPr>
        <w:t xml:space="preserve">urrezione di Gesù. </w:t>
      </w:r>
      <w:r w:rsidR="007F5DD9" w:rsidRPr="007F5DD9">
        <w:rPr>
          <w:rFonts w:ascii="Times New Roman" w:eastAsia="Times New Roman" w:hAnsi="Times New Roman" w:cs="Times New Roman"/>
          <w:color w:val="000000"/>
        </w:rPr>
        <w:t>La filosofia, e</w:t>
      </w:r>
      <w:r w:rsidR="008F54F7" w:rsidRPr="007F5DD9">
        <w:rPr>
          <w:rFonts w:ascii="Times New Roman" w:eastAsia="Times New Roman" w:hAnsi="Times New Roman" w:cs="Times New Roman"/>
          <w:color w:val="000000"/>
        </w:rPr>
        <w:t xml:space="preserve"> </w:t>
      </w:r>
      <w:r w:rsidRPr="007F5DD9">
        <w:rPr>
          <w:rFonts w:ascii="Times New Roman" w:eastAsia="Times New Roman" w:hAnsi="Times New Roman" w:cs="Times New Roman"/>
          <w:color w:val="000000"/>
        </w:rPr>
        <w:t>non</w:t>
      </w:r>
      <w:r w:rsidR="007F5DD9" w:rsidRPr="007F5DD9">
        <w:rPr>
          <w:rFonts w:ascii="Times New Roman" w:eastAsia="Times New Roman" w:hAnsi="Times New Roman" w:cs="Times New Roman"/>
          <w:color w:val="000000"/>
        </w:rPr>
        <w:t xml:space="preserve"> un ideale estetico</w:t>
      </w:r>
      <w:r w:rsidRPr="007F5DD9">
        <w:rPr>
          <w:rFonts w:ascii="Times New Roman" w:eastAsia="Times New Roman" w:hAnsi="Times New Roman" w:cs="Times New Roman"/>
          <w:color w:val="000000"/>
        </w:rPr>
        <w:t>,</w:t>
      </w:r>
      <w:r w:rsidR="00B7329E" w:rsidRPr="007F5DD9">
        <w:rPr>
          <w:rFonts w:ascii="Times New Roman" w:eastAsia="Times New Roman" w:hAnsi="Times New Roman" w:cs="Times New Roman"/>
          <w:color w:val="000000"/>
        </w:rPr>
        <w:t xml:space="preserve"> </w:t>
      </w:r>
      <w:r w:rsidR="008F54F7" w:rsidRPr="007F5DD9">
        <w:rPr>
          <w:rFonts w:ascii="Times New Roman" w:eastAsia="Times New Roman" w:hAnsi="Times New Roman" w:cs="Times New Roman"/>
          <w:color w:val="000000"/>
        </w:rPr>
        <w:t xml:space="preserve">deve </w:t>
      </w:r>
      <w:r w:rsidRPr="007F5DD9">
        <w:rPr>
          <w:rFonts w:ascii="Times New Roman" w:eastAsia="Times New Roman" w:hAnsi="Times New Roman" w:cs="Times New Roman"/>
          <w:color w:val="000000"/>
        </w:rPr>
        <w:t>riformulare la questione intorno all’Assoluto: il</w:t>
      </w:r>
      <w:r>
        <w:rPr>
          <w:rFonts w:ascii="Times New Roman" w:eastAsia="Times New Roman" w:hAnsi="Times New Roman" w:cs="Times New Roman"/>
          <w:color w:val="000000"/>
        </w:rPr>
        <w:t xml:space="preserve"> non essere condizionato del principio primo e il non essere delle ipotetiche determinazioni del medesimo – si pensi alla critica di Hölderlin a Fichte e alla eco sui tes</w:t>
      </w:r>
      <w:r w:rsidR="00ED4361">
        <w:rPr>
          <w:rFonts w:ascii="Times New Roman" w:eastAsia="Times New Roman" w:hAnsi="Times New Roman" w:cs="Times New Roman"/>
          <w:color w:val="000000"/>
        </w:rPr>
        <w:t>ti che Hegel dedica alla spiritualità ebraica</w:t>
      </w:r>
      <w:r>
        <w:rPr>
          <w:rFonts w:ascii="Times New Roman" w:eastAsia="Times New Roman" w:hAnsi="Times New Roman" w:cs="Times New Roman"/>
          <w:color w:val="000000"/>
        </w:rPr>
        <w:t xml:space="preserve"> – devono andare a fondo (</w:t>
      </w:r>
      <w:r w:rsidRPr="000924E3">
        <w:rPr>
          <w:rFonts w:ascii="Times New Roman" w:eastAsia="Times New Roman" w:hAnsi="Times New Roman" w:cs="Times New Roman"/>
          <w:i/>
          <w:color w:val="000000"/>
        </w:rPr>
        <w:t>zu Grunde gehen</w:t>
      </w:r>
      <w:r>
        <w:rPr>
          <w:rFonts w:ascii="Times New Roman" w:eastAsia="Times New Roman" w:hAnsi="Times New Roman" w:cs="Times New Roman"/>
          <w:color w:val="000000"/>
        </w:rPr>
        <w:t xml:space="preserve">), devono essere annientate nella loro unilateralità, per essere inserite in un’identità concreta, in cui gli opposti, previa soppressione della loro astrattezza, possano essere entrambi nella loro unità e differenza. </w:t>
      </w:r>
      <w:r w:rsidRPr="00430842">
        <w:rPr>
          <w:rFonts w:ascii="Times New Roman" w:eastAsia="Times New Roman" w:hAnsi="Times New Roman" w:cs="Times New Roman"/>
          <w:color w:val="000000"/>
        </w:rPr>
        <w:t xml:space="preserve">L’Incondizionato dovrà essere pensato come scaturigine della ricchezza dell’essere e il condizionato, da parte sua, dovrà essere inteso come articolazione vivificata, non dominata e con ciò annullata, dall’Incondizionato stesso. Questo è il compito che matura negli </w:t>
      </w:r>
      <w:r w:rsidRPr="00430842">
        <w:rPr>
          <w:rFonts w:ascii="Times New Roman" w:eastAsia="Times New Roman" w:hAnsi="Times New Roman" w:cs="Times New Roman"/>
          <w:i/>
          <w:color w:val="000000"/>
        </w:rPr>
        <w:t>Jugendschriften</w:t>
      </w:r>
      <w:r w:rsidRPr="00430842">
        <w:rPr>
          <w:rFonts w:ascii="Times New Roman" w:eastAsia="Times New Roman" w:hAnsi="Times New Roman" w:cs="Times New Roman"/>
          <w:color w:val="000000"/>
        </w:rPr>
        <w:t xml:space="preserve"> e che accompagnerà Hegel nel travagliato ripensamento jenese dell’«</w:t>
      </w:r>
      <w:r w:rsidRPr="00430842">
        <w:rPr>
          <w:rFonts w:ascii="Times New Roman" w:hAnsi="Times New Roman" w:cs="Times New Roman"/>
          <w:lang w:val="en-GB"/>
        </w:rPr>
        <w:t>Ideal des Jünglingsalters</w:t>
      </w:r>
      <w:r w:rsidRPr="00430842">
        <w:rPr>
          <w:rFonts w:ascii="Times New Roman" w:eastAsia="Times New Roman" w:hAnsi="Times New Roman" w:cs="Times New Roman"/>
          <w:color w:val="000000"/>
          <w:lang w:val="de-DE"/>
        </w:rPr>
        <w:t>»</w:t>
      </w:r>
      <w:r w:rsidRPr="00430842">
        <w:rPr>
          <w:rStyle w:val="Rimandonotaapidipagina"/>
          <w:rFonts w:ascii="Times New Roman" w:eastAsia="Times New Roman" w:hAnsi="Times New Roman" w:cs="Times New Roman"/>
          <w:color w:val="000000"/>
          <w:lang w:val="de-DE"/>
        </w:rPr>
        <w:footnoteReference w:id="108"/>
      </w:r>
      <w:r w:rsidRPr="00430842">
        <w:rPr>
          <w:rFonts w:ascii="Times New Roman" w:eastAsia="Times New Roman" w:hAnsi="Times New Roman" w:cs="Times New Roman"/>
          <w:color w:val="000000"/>
        </w:rPr>
        <w:t>.</w:t>
      </w:r>
    </w:p>
    <w:p w14:paraId="19DCF733" w14:textId="77777777" w:rsidR="00361E20" w:rsidRDefault="00361E20" w:rsidP="008D7266">
      <w:pPr>
        <w:spacing w:line="360" w:lineRule="auto"/>
        <w:jc w:val="both"/>
        <w:rPr>
          <w:rFonts w:ascii="Times New Roman" w:hAnsi="Times New Roman" w:cs="Times New Roman"/>
        </w:rPr>
      </w:pPr>
    </w:p>
    <w:p w14:paraId="793AF7D9" w14:textId="47DF91A7" w:rsidR="004A45AB" w:rsidRPr="001E45CF" w:rsidRDefault="008747A3" w:rsidP="004A45AB">
      <w:pPr>
        <w:jc w:val="both"/>
        <w:rPr>
          <w:rFonts w:ascii="Times New Roman" w:hAnsi="Times New Roman" w:cs="Times New Roman"/>
          <w:i/>
        </w:rPr>
      </w:pPr>
      <w:r w:rsidRPr="001E45CF">
        <w:rPr>
          <w:rFonts w:ascii="Times New Roman" w:hAnsi="Times New Roman" w:cs="Times New Roman"/>
          <w:i/>
        </w:rPr>
        <w:t>1.</w:t>
      </w:r>
      <w:r w:rsidR="00C478F0" w:rsidRPr="001E45CF">
        <w:rPr>
          <w:rFonts w:ascii="Times New Roman" w:hAnsi="Times New Roman" w:cs="Times New Roman"/>
          <w:i/>
        </w:rPr>
        <w:t>3</w:t>
      </w:r>
      <w:r w:rsidR="004A45AB" w:rsidRPr="001E45CF">
        <w:rPr>
          <w:rFonts w:ascii="Times New Roman" w:hAnsi="Times New Roman" w:cs="Times New Roman"/>
          <w:i/>
        </w:rPr>
        <w:t xml:space="preserve"> Qabbalah e spinozismo: il problema del nulla nei Kritische Schriften</w:t>
      </w:r>
    </w:p>
    <w:p w14:paraId="456ACF41" w14:textId="77777777" w:rsidR="004A45AB" w:rsidRPr="001E45CF" w:rsidRDefault="004A45AB" w:rsidP="004A45AB">
      <w:pPr>
        <w:jc w:val="both"/>
        <w:rPr>
          <w:rFonts w:ascii="Times New Roman" w:hAnsi="Times New Roman" w:cs="Times New Roman"/>
          <w:b/>
        </w:rPr>
      </w:pPr>
    </w:p>
    <w:p w14:paraId="2D9DD133" w14:textId="77777777" w:rsidR="004A45AB" w:rsidRPr="001E45CF" w:rsidRDefault="004A45AB" w:rsidP="004A45AB">
      <w:pPr>
        <w:jc w:val="both"/>
        <w:rPr>
          <w:rFonts w:ascii="Times New Roman" w:hAnsi="Times New Roman" w:cs="Times New Roman"/>
        </w:rPr>
      </w:pPr>
    </w:p>
    <w:p w14:paraId="7654F1B4" w14:textId="255AE9C8" w:rsidR="003204DE" w:rsidRPr="001E45CF" w:rsidRDefault="00113F96" w:rsidP="00C61CB5">
      <w:pPr>
        <w:spacing w:line="360" w:lineRule="auto"/>
        <w:ind w:firstLine="567"/>
        <w:jc w:val="both"/>
        <w:rPr>
          <w:rFonts w:ascii="Times New Roman" w:eastAsia="Times New Roman" w:hAnsi="Times New Roman" w:cs="Times New Roman"/>
          <w:color w:val="000000"/>
        </w:rPr>
      </w:pPr>
      <w:r w:rsidRPr="006D02B8">
        <w:rPr>
          <w:rFonts w:ascii="Times New Roman" w:eastAsia="Times New Roman" w:hAnsi="Times New Roman" w:cs="Times New Roman"/>
          <w:color w:val="000000"/>
        </w:rPr>
        <w:t>L</w:t>
      </w:r>
      <w:r w:rsidR="0090139F" w:rsidRPr="006D02B8">
        <w:rPr>
          <w:rFonts w:ascii="Times New Roman" w:eastAsia="Times New Roman" w:hAnsi="Times New Roman" w:cs="Times New Roman"/>
          <w:color w:val="000000"/>
        </w:rPr>
        <w:t xml:space="preserve">a volontà hegeliana di </w:t>
      </w:r>
      <w:r w:rsidR="00835EFF" w:rsidRPr="006D02B8">
        <w:rPr>
          <w:rFonts w:ascii="Times New Roman" w:eastAsia="Times New Roman" w:hAnsi="Times New Roman" w:cs="Times New Roman"/>
          <w:color w:val="000000"/>
        </w:rPr>
        <w:t xml:space="preserve">conferire una </w:t>
      </w:r>
      <w:r w:rsidR="0090139F" w:rsidRPr="006D02B8">
        <w:rPr>
          <w:rFonts w:ascii="Times New Roman" w:eastAsia="Times New Roman" w:hAnsi="Times New Roman" w:cs="Times New Roman"/>
          <w:color w:val="000000"/>
        </w:rPr>
        <w:t>forma</w:t>
      </w:r>
      <w:r w:rsidR="00B70018" w:rsidRPr="006D02B8">
        <w:rPr>
          <w:rFonts w:ascii="Times New Roman" w:eastAsia="Times New Roman" w:hAnsi="Times New Roman" w:cs="Times New Roman"/>
          <w:color w:val="000000"/>
        </w:rPr>
        <w:t xml:space="preserve"> sistematica</w:t>
      </w:r>
      <w:r w:rsidR="0090139F" w:rsidRPr="006D02B8">
        <w:rPr>
          <w:rFonts w:ascii="Times New Roman" w:eastAsia="Times New Roman" w:hAnsi="Times New Roman" w:cs="Times New Roman"/>
          <w:color w:val="000000"/>
        </w:rPr>
        <w:t xml:space="preserve"> all’i</w:t>
      </w:r>
      <w:r w:rsidR="00C56885" w:rsidRPr="006D02B8">
        <w:rPr>
          <w:rFonts w:ascii="Times New Roman" w:eastAsia="Times New Roman" w:hAnsi="Times New Roman" w:cs="Times New Roman"/>
          <w:color w:val="000000"/>
        </w:rPr>
        <w:t xml:space="preserve">deale della propria giovinezza </w:t>
      </w:r>
      <w:r w:rsidR="0090139F" w:rsidRPr="006D02B8">
        <w:rPr>
          <w:rFonts w:ascii="Times New Roman" w:eastAsia="Times New Roman" w:hAnsi="Times New Roman" w:cs="Times New Roman"/>
          <w:color w:val="000000"/>
        </w:rPr>
        <w:t>può essere letta come la pr</w:t>
      </w:r>
      <w:r w:rsidR="001C6548" w:rsidRPr="006D02B8">
        <w:rPr>
          <w:rFonts w:ascii="Times New Roman" w:eastAsia="Times New Roman" w:hAnsi="Times New Roman" w:cs="Times New Roman"/>
          <w:color w:val="000000"/>
        </w:rPr>
        <w:t>esa di coscienza da parte dell’</w:t>
      </w:r>
      <w:r w:rsidR="00021560">
        <w:rPr>
          <w:rFonts w:ascii="Times New Roman" w:eastAsia="Times New Roman" w:hAnsi="Times New Roman" w:cs="Times New Roman"/>
          <w:color w:val="000000"/>
        </w:rPr>
        <w:t>autore</w:t>
      </w:r>
      <w:r w:rsidR="00835EFF" w:rsidRPr="006D02B8">
        <w:rPr>
          <w:rFonts w:ascii="Times New Roman" w:eastAsia="Times New Roman" w:hAnsi="Times New Roman" w:cs="Times New Roman"/>
          <w:color w:val="000000"/>
        </w:rPr>
        <w:t xml:space="preserve"> della</w:t>
      </w:r>
      <w:r w:rsidRPr="006D02B8">
        <w:rPr>
          <w:rFonts w:ascii="Times New Roman" w:eastAsia="Times New Roman" w:hAnsi="Times New Roman" w:cs="Times New Roman"/>
          <w:color w:val="000000"/>
        </w:rPr>
        <w:t xml:space="preserve"> necessità di ri</w:t>
      </w:r>
      <w:r w:rsidR="0090139F" w:rsidRPr="006D02B8">
        <w:rPr>
          <w:rFonts w:ascii="Times New Roman" w:eastAsia="Times New Roman" w:hAnsi="Times New Roman" w:cs="Times New Roman"/>
          <w:color w:val="000000"/>
        </w:rPr>
        <w:t>definire filosoficamente quella serie di problemi</w:t>
      </w:r>
      <w:r w:rsidR="00C472D1" w:rsidRPr="006D02B8">
        <w:rPr>
          <w:rFonts w:ascii="Times New Roman" w:eastAsia="Times New Roman" w:hAnsi="Times New Roman" w:cs="Times New Roman"/>
          <w:color w:val="000000"/>
        </w:rPr>
        <w:t xml:space="preserve"> su cu</w:t>
      </w:r>
      <w:r w:rsidR="0090139F" w:rsidRPr="006D02B8">
        <w:rPr>
          <w:rFonts w:ascii="Times New Roman" w:eastAsia="Times New Roman" w:hAnsi="Times New Roman" w:cs="Times New Roman"/>
          <w:color w:val="000000"/>
        </w:rPr>
        <w:t>i la sua speculazione giovanile si era soffermata</w:t>
      </w:r>
      <w:r w:rsidR="0090139F" w:rsidRPr="006D02B8">
        <w:rPr>
          <w:rStyle w:val="Rimandonotaapidipagina"/>
          <w:rFonts w:ascii="Times New Roman" w:eastAsia="Times New Roman" w:hAnsi="Times New Roman" w:cs="Times New Roman"/>
          <w:color w:val="000000"/>
        </w:rPr>
        <w:footnoteReference w:id="109"/>
      </w:r>
      <w:r w:rsidR="0090139F" w:rsidRPr="006D02B8">
        <w:rPr>
          <w:rFonts w:ascii="Times New Roman" w:eastAsia="Times New Roman" w:hAnsi="Times New Roman" w:cs="Times New Roman"/>
          <w:color w:val="000000"/>
        </w:rPr>
        <w:t>.</w:t>
      </w:r>
      <w:r w:rsidR="0090139F" w:rsidRPr="001E45CF">
        <w:rPr>
          <w:rFonts w:ascii="Times New Roman" w:eastAsia="Times New Roman" w:hAnsi="Times New Roman" w:cs="Times New Roman"/>
          <w:color w:val="000000"/>
        </w:rPr>
        <w:t xml:space="preserve"> </w:t>
      </w:r>
      <w:r w:rsidR="00610223" w:rsidRPr="001E45CF">
        <w:rPr>
          <w:rFonts w:ascii="Times New Roman" w:eastAsia="Times New Roman" w:hAnsi="Times New Roman" w:cs="Times New Roman"/>
          <w:color w:val="000000"/>
        </w:rPr>
        <w:t>Preso atto dei limiti</w:t>
      </w:r>
      <w:r w:rsidR="00847388" w:rsidRPr="001E45CF">
        <w:rPr>
          <w:rFonts w:ascii="Times New Roman" w:eastAsia="Times New Roman" w:hAnsi="Times New Roman" w:cs="Times New Roman"/>
          <w:color w:val="000000"/>
        </w:rPr>
        <w:t xml:space="preserve"> </w:t>
      </w:r>
      <w:r w:rsidR="00DA6302" w:rsidRPr="001E45CF">
        <w:rPr>
          <w:rFonts w:ascii="Times New Roman" w:eastAsia="Times New Roman" w:hAnsi="Times New Roman" w:cs="Times New Roman"/>
          <w:color w:val="000000"/>
        </w:rPr>
        <w:t xml:space="preserve">a cui va incontro il </w:t>
      </w:r>
      <w:r w:rsidR="00847388" w:rsidRPr="001E45CF">
        <w:rPr>
          <w:rFonts w:ascii="Times New Roman" w:eastAsia="Times New Roman" w:hAnsi="Times New Roman" w:cs="Times New Roman"/>
          <w:color w:val="000000"/>
        </w:rPr>
        <w:t xml:space="preserve">sapere religioso, </w:t>
      </w:r>
      <w:r w:rsidR="00636BB1" w:rsidRPr="001E45CF">
        <w:rPr>
          <w:rFonts w:ascii="Times New Roman" w:eastAsia="Times New Roman" w:hAnsi="Times New Roman" w:cs="Times New Roman"/>
          <w:color w:val="000000"/>
        </w:rPr>
        <w:t xml:space="preserve">Hegel </w:t>
      </w:r>
      <w:r w:rsidR="00847388" w:rsidRPr="001E45CF">
        <w:rPr>
          <w:rFonts w:ascii="Times New Roman" w:eastAsia="Times New Roman" w:hAnsi="Times New Roman" w:cs="Times New Roman"/>
          <w:color w:val="000000"/>
        </w:rPr>
        <w:t xml:space="preserve">procede, fin dai primi contributi del </w:t>
      </w:r>
      <w:r w:rsidR="00847388" w:rsidRPr="001E45CF">
        <w:rPr>
          <w:rFonts w:ascii="Times New Roman" w:eastAsia="Times New Roman" w:hAnsi="Times New Roman" w:cs="Times New Roman"/>
          <w:i/>
          <w:color w:val="000000"/>
        </w:rPr>
        <w:t>Kritisches Journal der Philosophie</w:t>
      </w:r>
      <w:r w:rsidR="00847388" w:rsidRPr="001E45CF">
        <w:rPr>
          <w:rFonts w:ascii="Times New Roman" w:eastAsia="Times New Roman" w:hAnsi="Times New Roman" w:cs="Times New Roman"/>
          <w:color w:val="000000"/>
        </w:rPr>
        <w:t>, a</w:t>
      </w:r>
      <w:r w:rsidR="001C4B52" w:rsidRPr="001E45CF">
        <w:rPr>
          <w:rFonts w:ascii="Times New Roman" w:eastAsia="Times New Roman" w:hAnsi="Times New Roman" w:cs="Times New Roman"/>
          <w:color w:val="000000"/>
        </w:rPr>
        <w:t>d una critica serrata di</w:t>
      </w:r>
      <w:r w:rsidR="00847388" w:rsidRPr="001E45CF">
        <w:rPr>
          <w:rFonts w:ascii="Times New Roman" w:eastAsia="Times New Roman" w:hAnsi="Times New Roman" w:cs="Times New Roman"/>
          <w:color w:val="000000"/>
        </w:rPr>
        <w:t xml:space="preserve"> </w:t>
      </w:r>
      <w:r w:rsidR="00610223" w:rsidRPr="001E45CF">
        <w:rPr>
          <w:rFonts w:ascii="Times New Roman" w:eastAsia="Times New Roman" w:hAnsi="Times New Roman" w:cs="Times New Roman"/>
          <w:color w:val="000000"/>
        </w:rPr>
        <w:t>quel modello d’A</w:t>
      </w:r>
      <w:r w:rsidR="00847388" w:rsidRPr="001E45CF">
        <w:rPr>
          <w:rFonts w:ascii="Times New Roman" w:eastAsia="Times New Roman" w:hAnsi="Times New Roman" w:cs="Times New Roman"/>
          <w:color w:val="000000"/>
        </w:rPr>
        <w:t xml:space="preserve">ssoluto – già peculiare della spiritualità </w:t>
      </w:r>
      <w:r w:rsidR="00DA6302" w:rsidRPr="001E45CF">
        <w:rPr>
          <w:rFonts w:ascii="Times New Roman" w:eastAsia="Times New Roman" w:hAnsi="Times New Roman" w:cs="Times New Roman"/>
          <w:color w:val="000000"/>
        </w:rPr>
        <w:t xml:space="preserve">giudaico-cristiana </w:t>
      </w:r>
      <w:r w:rsidR="00847388" w:rsidRPr="001E45CF">
        <w:rPr>
          <w:rFonts w:ascii="Times New Roman" w:eastAsia="Times New Roman" w:hAnsi="Times New Roman" w:cs="Times New Roman"/>
          <w:color w:val="000000"/>
        </w:rPr>
        <w:t xml:space="preserve">e poi mutuato dalla filosfia </w:t>
      </w:r>
      <w:r w:rsidR="00DA6302" w:rsidRPr="001E45CF">
        <w:rPr>
          <w:rFonts w:ascii="Times New Roman" w:eastAsia="Times New Roman" w:hAnsi="Times New Roman" w:cs="Times New Roman"/>
          <w:color w:val="000000"/>
        </w:rPr>
        <w:t xml:space="preserve">critica e fichtiana – per cui </w:t>
      </w:r>
      <w:r w:rsidR="00847388" w:rsidRPr="001E45CF">
        <w:rPr>
          <w:rFonts w:ascii="Times New Roman" w:eastAsia="Times New Roman" w:hAnsi="Times New Roman" w:cs="Times New Roman"/>
          <w:color w:val="000000"/>
        </w:rPr>
        <w:t xml:space="preserve">Incondizionato </w:t>
      </w:r>
      <w:r w:rsidR="00DA6302" w:rsidRPr="001E45CF">
        <w:rPr>
          <w:rFonts w:ascii="Times New Roman" w:eastAsia="Times New Roman" w:hAnsi="Times New Roman" w:cs="Times New Roman"/>
          <w:color w:val="000000"/>
        </w:rPr>
        <w:t xml:space="preserve">e </w:t>
      </w:r>
      <w:r w:rsidR="00DA6302" w:rsidRPr="006D02B8">
        <w:rPr>
          <w:rFonts w:ascii="Times New Roman" w:eastAsia="Times New Roman" w:hAnsi="Times New Roman" w:cs="Times New Roman"/>
          <w:color w:val="000000"/>
        </w:rPr>
        <w:t xml:space="preserve">condizionato si annullano </w:t>
      </w:r>
      <w:r w:rsidR="00835EFF" w:rsidRPr="006D02B8">
        <w:rPr>
          <w:rFonts w:ascii="Times New Roman" w:eastAsia="Times New Roman" w:hAnsi="Times New Roman" w:cs="Times New Roman"/>
          <w:color w:val="000000"/>
        </w:rPr>
        <w:t>recipro</w:t>
      </w:r>
      <w:r w:rsidR="00DA6302" w:rsidRPr="006D02B8">
        <w:rPr>
          <w:rFonts w:ascii="Times New Roman" w:eastAsia="Times New Roman" w:hAnsi="Times New Roman" w:cs="Times New Roman"/>
          <w:color w:val="000000"/>
        </w:rPr>
        <w:t xml:space="preserve">camente, </w:t>
      </w:r>
      <w:r w:rsidR="006A0E68" w:rsidRPr="006D02B8">
        <w:rPr>
          <w:rFonts w:ascii="Times New Roman" w:eastAsia="Times New Roman" w:hAnsi="Times New Roman" w:cs="Times New Roman"/>
          <w:color w:val="000000"/>
        </w:rPr>
        <w:t xml:space="preserve">senza che ciò </w:t>
      </w:r>
      <w:r w:rsidR="001E45CF" w:rsidRPr="006D02B8">
        <w:rPr>
          <w:rFonts w:ascii="Times New Roman" w:eastAsia="Times New Roman" w:hAnsi="Times New Roman" w:cs="Times New Roman"/>
          <w:color w:val="000000"/>
        </w:rPr>
        <w:t xml:space="preserve">comporti </w:t>
      </w:r>
      <w:r w:rsidR="006A0E68" w:rsidRPr="006D02B8">
        <w:rPr>
          <w:rFonts w:ascii="Times New Roman" w:eastAsia="Times New Roman" w:hAnsi="Times New Roman" w:cs="Times New Roman"/>
          <w:color w:val="000000"/>
        </w:rPr>
        <w:t xml:space="preserve">un superamento </w:t>
      </w:r>
      <w:r w:rsidR="00DA6302" w:rsidRPr="006D02B8">
        <w:rPr>
          <w:rFonts w:ascii="Times New Roman" w:eastAsia="Times New Roman" w:hAnsi="Times New Roman" w:cs="Times New Roman"/>
          <w:color w:val="000000"/>
        </w:rPr>
        <w:t>effettivo della loro opposizione reale</w:t>
      </w:r>
      <w:r w:rsidR="00A41F35" w:rsidRPr="006D02B8">
        <w:rPr>
          <w:rFonts w:ascii="Times New Roman" w:eastAsia="Times New Roman" w:hAnsi="Times New Roman" w:cs="Times New Roman"/>
          <w:color w:val="000000"/>
        </w:rPr>
        <w:t xml:space="preserve">. </w:t>
      </w:r>
      <w:r w:rsidR="00C61CB5" w:rsidRPr="006D02B8">
        <w:rPr>
          <w:rFonts w:ascii="Times New Roman" w:eastAsia="Times New Roman" w:hAnsi="Times New Roman" w:cs="Times New Roman"/>
          <w:color w:val="000000"/>
        </w:rPr>
        <w:t xml:space="preserve">All’interno del </w:t>
      </w:r>
      <w:r w:rsidR="00C61CB5" w:rsidRPr="006D02B8">
        <w:rPr>
          <w:rFonts w:ascii="Times New Roman" w:eastAsia="Times New Roman" w:hAnsi="Times New Roman" w:cs="Times New Roman"/>
          <w:i/>
          <w:color w:val="000000"/>
        </w:rPr>
        <w:t>corpus</w:t>
      </w:r>
      <w:r w:rsidR="00C61CB5" w:rsidRPr="006D02B8">
        <w:rPr>
          <w:rFonts w:ascii="Times New Roman" w:eastAsia="Times New Roman" w:hAnsi="Times New Roman" w:cs="Times New Roman"/>
          <w:color w:val="000000"/>
        </w:rPr>
        <w:t xml:space="preserve"> degli scritti jenesi</w:t>
      </w:r>
      <w:r w:rsidR="00200F82" w:rsidRPr="006D02B8">
        <w:rPr>
          <w:rFonts w:ascii="Times New Roman" w:eastAsia="Times New Roman" w:hAnsi="Times New Roman" w:cs="Times New Roman"/>
          <w:color w:val="000000"/>
        </w:rPr>
        <w:t>, p</w:t>
      </w:r>
      <w:r w:rsidR="00D412A5" w:rsidRPr="006D02B8">
        <w:rPr>
          <w:rFonts w:ascii="Times New Roman" w:eastAsia="Times New Roman" w:hAnsi="Times New Roman" w:cs="Times New Roman"/>
          <w:color w:val="000000"/>
        </w:rPr>
        <w:t xml:space="preserve">roblematizzare </w:t>
      </w:r>
      <w:r w:rsidR="00EF1920" w:rsidRPr="006D02B8">
        <w:rPr>
          <w:rFonts w:ascii="Times New Roman" w:eastAsia="Times New Roman" w:hAnsi="Times New Roman" w:cs="Times New Roman"/>
          <w:color w:val="000000"/>
        </w:rPr>
        <w:t xml:space="preserve">la scissione reale di ciò che il pensiero riesce soltanto ad annullare </w:t>
      </w:r>
      <w:r w:rsidR="00E84311" w:rsidRPr="006D02B8">
        <w:rPr>
          <w:rFonts w:ascii="Times New Roman" w:eastAsia="Times New Roman" w:hAnsi="Times New Roman" w:cs="Times New Roman"/>
          <w:color w:val="000000"/>
        </w:rPr>
        <w:t xml:space="preserve">richiede </w:t>
      </w:r>
      <w:r w:rsidR="00901AFF" w:rsidRPr="006D02B8">
        <w:rPr>
          <w:rFonts w:ascii="Times New Roman" w:eastAsia="Times New Roman" w:hAnsi="Times New Roman" w:cs="Times New Roman"/>
          <w:color w:val="000000"/>
        </w:rPr>
        <w:t>un passo teor</w:t>
      </w:r>
      <w:r w:rsidR="001C4B52" w:rsidRPr="006D02B8">
        <w:rPr>
          <w:rFonts w:ascii="Times New Roman" w:eastAsia="Times New Roman" w:hAnsi="Times New Roman" w:cs="Times New Roman"/>
          <w:color w:val="000000"/>
        </w:rPr>
        <w:t>ico ulteriore rispetto agli</w:t>
      </w:r>
      <w:r w:rsidR="00200F82" w:rsidRPr="006D02B8">
        <w:rPr>
          <w:rFonts w:ascii="Times New Roman" w:eastAsia="Times New Roman" w:hAnsi="Times New Roman" w:cs="Times New Roman"/>
          <w:color w:val="000000"/>
        </w:rPr>
        <w:t xml:space="preserve"> </w:t>
      </w:r>
      <w:r w:rsidR="00200F82" w:rsidRPr="006D02B8">
        <w:rPr>
          <w:rFonts w:ascii="Times New Roman" w:eastAsia="Times New Roman" w:hAnsi="Times New Roman" w:cs="Times New Roman"/>
          <w:i/>
          <w:color w:val="000000"/>
        </w:rPr>
        <w:t>Jugendschriften</w:t>
      </w:r>
      <w:r w:rsidR="00023498" w:rsidRPr="006D02B8">
        <w:rPr>
          <w:rFonts w:ascii="Times New Roman" w:eastAsia="Times New Roman" w:hAnsi="Times New Roman" w:cs="Times New Roman"/>
          <w:color w:val="000000"/>
        </w:rPr>
        <w:t xml:space="preserve">: </w:t>
      </w:r>
      <w:r w:rsidR="004E456E" w:rsidRPr="006D02B8">
        <w:rPr>
          <w:rFonts w:ascii="Times New Roman" w:eastAsia="Times New Roman" w:hAnsi="Times New Roman" w:cs="Times New Roman"/>
          <w:color w:val="000000"/>
        </w:rPr>
        <w:t xml:space="preserve">gli opposti devono </w:t>
      </w:r>
      <w:r w:rsidR="004E456E" w:rsidRPr="006D02B8">
        <w:rPr>
          <w:rFonts w:ascii="Times New Roman" w:eastAsia="Times New Roman" w:hAnsi="Times New Roman" w:cs="Times New Roman"/>
          <w:i/>
          <w:color w:val="000000"/>
        </w:rPr>
        <w:t>annullarsi</w:t>
      </w:r>
      <w:r w:rsidR="003204DE" w:rsidRPr="006D02B8">
        <w:rPr>
          <w:rFonts w:ascii="Times New Roman" w:eastAsia="Times New Roman" w:hAnsi="Times New Roman" w:cs="Times New Roman"/>
          <w:color w:val="000000"/>
        </w:rPr>
        <w:t xml:space="preserve"> in quanto opposti</w:t>
      </w:r>
      <w:r w:rsidR="004E456E" w:rsidRPr="006D02B8">
        <w:rPr>
          <w:rFonts w:ascii="Times New Roman" w:eastAsia="Times New Roman" w:hAnsi="Times New Roman" w:cs="Times New Roman"/>
          <w:color w:val="000000"/>
        </w:rPr>
        <w:t xml:space="preserve">, devono </w:t>
      </w:r>
      <w:r w:rsidR="003204DE" w:rsidRPr="006D02B8">
        <w:rPr>
          <w:rFonts w:ascii="Times New Roman" w:eastAsia="Times New Roman" w:hAnsi="Times New Roman" w:cs="Times New Roman"/>
          <w:color w:val="000000"/>
        </w:rPr>
        <w:t xml:space="preserve">dismettere la propria </w:t>
      </w:r>
      <w:r w:rsidR="001E45CF" w:rsidRPr="006D02B8">
        <w:rPr>
          <w:rFonts w:ascii="Times New Roman" w:eastAsia="Times New Roman" w:hAnsi="Times New Roman" w:cs="Times New Roman"/>
          <w:color w:val="000000"/>
        </w:rPr>
        <w:t>unilateralità, in modo che dalla</w:t>
      </w:r>
      <w:r w:rsidR="003204DE" w:rsidRPr="006D02B8">
        <w:rPr>
          <w:rFonts w:ascii="Times New Roman" w:eastAsia="Times New Roman" w:hAnsi="Times New Roman" w:cs="Times New Roman"/>
          <w:color w:val="000000"/>
        </w:rPr>
        <w:t xml:space="preserve"> loro </w:t>
      </w:r>
      <w:r w:rsidR="001E45CF" w:rsidRPr="006D02B8">
        <w:rPr>
          <w:rFonts w:ascii="Times New Roman" w:eastAsia="Times New Roman" w:hAnsi="Times New Roman" w:cs="Times New Roman"/>
          <w:i/>
          <w:color w:val="000000"/>
        </w:rPr>
        <w:t xml:space="preserve">nientificazione </w:t>
      </w:r>
      <w:r w:rsidR="00C0264E" w:rsidRPr="006D02B8">
        <w:rPr>
          <w:rFonts w:ascii="Times New Roman" w:eastAsia="Times New Roman" w:hAnsi="Times New Roman" w:cs="Times New Roman"/>
          <w:color w:val="000000"/>
        </w:rPr>
        <w:t xml:space="preserve">possa </w:t>
      </w:r>
      <w:r w:rsidR="00C61CB5" w:rsidRPr="006D02B8">
        <w:rPr>
          <w:rFonts w:ascii="Times New Roman" w:eastAsia="Times New Roman" w:hAnsi="Times New Roman" w:cs="Times New Roman"/>
          <w:color w:val="000000"/>
        </w:rPr>
        <w:t>ri</w:t>
      </w:r>
      <w:r w:rsidR="00C0264E" w:rsidRPr="006D02B8">
        <w:rPr>
          <w:rFonts w:ascii="Times New Roman" w:eastAsia="Times New Roman" w:hAnsi="Times New Roman" w:cs="Times New Roman"/>
          <w:color w:val="000000"/>
        </w:rPr>
        <w:t>articolarsi</w:t>
      </w:r>
      <w:r w:rsidR="003204DE" w:rsidRPr="006D02B8">
        <w:rPr>
          <w:rFonts w:ascii="Times New Roman" w:eastAsia="Times New Roman" w:hAnsi="Times New Roman" w:cs="Times New Roman"/>
          <w:color w:val="000000"/>
        </w:rPr>
        <w:t xml:space="preserve"> </w:t>
      </w:r>
      <w:r w:rsidR="00023498" w:rsidRPr="006D02B8">
        <w:rPr>
          <w:rFonts w:ascii="Times New Roman" w:eastAsia="Times New Roman" w:hAnsi="Times New Roman" w:cs="Times New Roman"/>
          <w:color w:val="000000"/>
        </w:rPr>
        <w:t>«alles Sein, alle</w:t>
      </w:r>
      <w:r w:rsidR="00A350BE" w:rsidRPr="006D02B8">
        <w:rPr>
          <w:rFonts w:ascii="Times New Roman" w:eastAsia="Times New Roman" w:hAnsi="Times New Roman" w:cs="Times New Roman"/>
          <w:color w:val="000000"/>
        </w:rPr>
        <w:t xml:space="preserve"> Mannigfaltigkeit des Endlichen</w:t>
      </w:r>
      <w:r w:rsidR="00023498" w:rsidRPr="006D02B8">
        <w:rPr>
          <w:rFonts w:ascii="Times New Roman" w:eastAsia="Times New Roman" w:hAnsi="Times New Roman" w:cs="Times New Roman"/>
          <w:color w:val="000000"/>
        </w:rPr>
        <w:t>»</w:t>
      </w:r>
      <w:r w:rsidR="008613A1" w:rsidRPr="006D02B8">
        <w:rPr>
          <w:rStyle w:val="Rimandonotaapidipagina"/>
          <w:rFonts w:ascii="Times New Roman" w:eastAsia="Times New Roman" w:hAnsi="Times New Roman" w:cs="Times New Roman"/>
          <w:color w:val="000000"/>
        </w:rPr>
        <w:footnoteReference w:id="110"/>
      </w:r>
      <w:r w:rsidR="004E456E" w:rsidRPr="006D02B8">
        <w:rPr>
          <w:rFonts w:ascii="Times New Roman" w:eastAsia="Times New Roman" w:hAnsi="Times New Roman" w:cs="Times New Roman"/>
          <w:color w:val="000000"/>
        </w:rPr>
        <w:t>.</w:t>
      </w:r>
      <w:r w:rsidR="008613A1" w:rsidRPr="001E45CF">
        <w:rPr>
          <w:rFonts w:ascii="Times New Roman" w:eastAsia="Times New Roman" w:hAnsi="Times New Roman" w:cs="Times New Roman"/>
          <w:color w:val="000000"/>
        </w:rPr>
        <w:t xml:space="preserve"> </w:t>
      </w:r>
    </w:p>
    <w:p w14:paraId="056A94A9" w14:textId="09C2391B" w:rsidR="00553117" w:rsidRDefault="001E45CF" w:rsidP="003204DE">
      <w:pPr>
        <w:spacing w:line="360" w:lineRule="auto"/>
        <w:ind w:firstLine="567"/>
        <w:jc w:val="both"/>
        <w:rPr>
          <w:rFonts w:ascii="Times New Roman" w:eastAsia="Times New Roman" w:hAnsi="Times New Roman" w:cs="Times New Roman"/>
          <w:color w:val="000000"/>
        </w:rPr>
      </w:pPr>
      <w:r w:rsidRPr="001E45CF">
        <w:rPr>
          <w:rFonts w:ascii="Times New Roman" w:eastAsia="Times New Roman" w:hAnsi="Times New Roman" w:cs="Times New Roman"/>
          <w:color w:val="000000"/>
        </w:rPr>
        <w:t>L</w:t>
      </w:r>
      <w:r w:rsidR="00EF128E" w:rsidRPr="001E45CF">
        <w:rPr>
          <w:rFonts w:ascii="Times New Roman" w:eastAsia="Times New Roman" w:hAnsi="Times New Roman" w:cs="Times New Roman"/>
          <w:color w:val="000000"/>
        </w:rPr>
        <w:t>a centralità del</w:t>
      </w:r>
      <w:r w:rsidRPr="001E45CF">
        <w:rPr>
          <w:rFonts w:ascii="Times New Roman" w:eastAsia="Times New Roman" w:hAnsi="Times New Roman" w:cs="Times New Roman"/>
          <w:color w:val="000000"/>
        </w:rPr>
        <w:t>la negatività o del</w:t>
      </w:r>
      <w:r w:rsidR="00EF128E" w:rsidRPr="001E45CF">
        <w:rPr>
          <w:rFonts w:ascii="Times New Roman" w:eastAsia="Times New Roman" w:hAnsi="Times New Roman" w:cs="Times New Roman"/>
          <w:color w:val="000000"/>
        </w:rPr>
        <w:t xml:space="preserve"> nulla, sulla quale He</w:t>
      </w:r>
      <w:r w:rsidR="0000081B" w:rsidRPr="001E45CF">
        <w:rPr>
          <w:rFonts w:ascii="Times New Roman" w:eastAsia="Times New Roman" w:hAnsi="Times New Roman" w:cs="Times New Roman"/>
          <w:color w:val="000000"/>
        </w:rPr>
        <w:t>gel si sofferma</w:t>
      </w:r>
      <w:r w:rsidR="000013C4" w:rsidRPr="001E45CF">
        <w:rPr>
          <w:rFonts w:ascii="Times New Roman" w:eastAsia="Times New Roman" w:hAnsi="Times New Roman" w:cs="Times New Roman"/>
          <w:color w:val="000000"/>
        </w:rPr>
        <w:t xml:space="preserve"> </w:t>
      </w:r>
      <w:r w:rsidR="00200F82" w:rsidRPr="001E45CF">
        <w:rPr>
          <w:rFonts w:ascii="Times New Roman" w:eastAsia="Times New Roman" w:hAnsi="Times New Roman" w:cs="Times New Roman"/>
          <w:color w:val="000000"/>
        </w:rPr>
        <w:t xml:space="preserve">particolarmente in </w:t>
      </w:r>
      <w:r w:rsidR="00EF128E" w:rsidRPr="001E45CF">
        <w:rPr>
          <w:rFonts w:ascii="Times New Roman" w:eastAsia="Times New Roman" w:hAnsi="Times New Roman" w:cs="Times New Roman"/>
          <w:i/>
          <w:color w:val="000000"/>
        </w:rPr>
        <w:t xml:space="preserve">Glauben und Wissen </w:t>
      </w:r>
      <w:r w:rsidR="00EF128E" w:rsidRPr="001E45CF">
        <w:rPr>
          <w:rFonts w:ascii="Times New Roman" w:eastAsia="Times New Roman" w:hAnsi="Times New Roman" w:cs="Times New Roman"/>
          <w:color w:val="000000"/>
        </w:rPr>
        <w:t>(1802), oltre a</w:t>
      </w:r>
      <w:r w:rsidR="009C368D">
        <w:rPr>
          <w:rFonts w:ascii="Times New Roman" w:eastAsia="Times New Roman" w:hAnsi="Times New Roman" w:cs="Times New Roman"/>
          <w:color w:val="000000"/>
        </w:rPr>
        <w:t xml:space="preserve"> costituire</w:t>
      </w:r>
      <w:r w:rsidR="00EF128E" w:rsidRPr="001E45CF">
        <w:rPr>
          <w:rFonts w:ascii="Times New Roman" w:eastAsia="Times New Roman" w:hAnsi="Times New Roman" w:cs="Times New Roman"/>
          <w:color w:val="000000"/>
        </w:rPr>
        <w:t xml:space="preserve"> un</w:t>
      </w:r>
      <w:r w:rsidR="00A6393D" w:rsidRPr="001E45CF">
        <w:rPr>
          <w:rFonts w:ascii="Times New Roman" w:eastAsia="Times New Roman" w:hAnsi="Times New Roman" w:cs="Times New Roman"/>
          <w:color w:val="000000"/>
        </w:rPr>
        <w:t xml:space="preserve"> interesse precipuo dell’</w:t>
      </w:r>
      <w:r w:rsidR="00021560">
        <w:rPr>
          <w:rFonts w:ascii="Times New Roman" w:eastAsia="Times New Roman" w:hAnsi="Times New Roman" w:cs="Times New Roman"/>
          <w:color w:val="000000"/>
        </w:rPr>
        <w:t>autore</w:t>
      </w:r>
      <w:r w:rsidR="00EF128E" w:rsidRPr="001E45CF">
        <w:rPr>
          <w:rFonts w:ascii="Times New Roman" w:eastAsia="Times New Roman" w:hAnsi="Times New Roman" w:cs="Times New Roman"/>
          <w:color w:val="000000"/>
        </w:rPr>
        <w:t xml:space="preserve">, </w:t>
      </w:r>
      <w:r w:rsidR="00B52691" w:rsidRPr="001E45CF">
        <w:rPr>
          <w:rFonts w:ascii="Times New Roman" w:eastAsia="Times New Roman" w:hAnsi="Times New Roman" w:cs="Times New Roman"/>
          <w:color w:val="000000"/>
        </w:rPr>
        <w:t>rappresenta</w:t>
      </w:r>
      <w:r w:rsidR="006520FD" w:rsidRPr="001E45CF">
        <w:rPr>
          <w:rFonts w:ascii="Times New Roman" w:eastAsia="Times New Roman" w:hAnsi="Times New Roman" w:cs="Times New Roman"/>
          <w:color w:val="000000"/>
        </w:rPr>
        <w:t>va</w:t>
      </w:r>
      <w:r w:rsidR="0056367D" w:rsidRPr="001E45CF">
        <w:rPr>
          <w:rFonts w:ascii="Times New Roman" w:eastAsia="Times New Roman" w:hAnsi="Times New Roman" w:cs="Times New Roman"/>
          <w:color w:val="000000"/>
        </w:rPr>
        <w:t xml:space="preserve"> una tematica </w:t>
      </w:r>
      <w:r w:rsidR="00C42A23" w:rsidRPr="00B87721">
        <w:rPr>
          <w:rFonts w:ascii="Times New Roman" w:eastAsia="Times New Roman" w:hAnsi="Times New Roman" w:cs="Times New Roman"/>
          <w:color w:val="000000"/>
        </w:rPr>
        <w:t>ampiamente dibattua al volgere del XVIII secolo</w:t>
      </w:r>
      <w:r w:rsidR="001A58B6" w:rsidRPr="00B87721">
        <w:rPr>
          <w:rFonts w:ascii="Times New Roman" w:eastAsia="Times New Roman" w:hAnsi="Times New Roman" w:cs="Times New Roman"/>
          <w:color w:val="000000"/>
        </w:rPr>
        <w:t>.</w:t>
      </w:r>
      <w:r w:rsidR="001A58B6">
        <w:rPr>
          <w:rFonts w:ascii="Times New Roman" w:eastAsia="Times New Roman" w:hAnsi="Times New Roman" w:cs="Times New Roman"/>
          <w:color w:val="000000"/>
        </w:rPr>
        <w:t xml:space="preserve"> Pochi anni prima di quest’articolo </w:t>
      </w:r>
      <w:r w:rsidR="00EF128E">
        <w:rPr>
          <w:rFonts w:ascii="Times New Roman" w:eastAsia="Times New Roman" w:hAnsi="Times New Roman" w:cs="Times New Roman"/>
          <w:color w:val="000000"/>
        </w:rPr>
        <w:t>hegeliano,</w:t>
      </w:r>
      <w:r w:rsidR="00A84427">
        <w:rPr>
          <w:rFonts w:ascii="Times New Roman" w:eastAsia="Times New Roman" w:hAnsi="Times New Roman" w:cs="Times New Roman"/>
          <w:color w:val="000000"/>
        </w:rPr>
        <w:t xml:space="preserve"> precisamente nel 1799,</w:t>
      </w:r>
      <w:r w:rsidR="00EF128E">
        <w:rPr>
          <w:rFonts w:ascii="Times New Roman" w:eastAsia="Times New Roman" w:hAnsi="Times New Roman" w:cs="Times New Roman"/>
          <w:color w:val="000000"/>
        </w:rPr>
        <w:t xml:space="preserve"> </w:t>
      </w:r>
      <w:r w:rsidR="00A84427">
        <w:rPr>
          <w:rFonts w:ascii="Times New Roman" w:eastAsia="Times New Roman" w:hAnsi="Times New Roman" w:cs="Times New Roman"/>
          <w:color w:val="000000"/>
        </w:rPr>
        <w:t xml:space="preserve">Jacobi </w:t>
      </w:r>
      <w:r w:rsidR="00A84427" w:rsidRPr="00CB2435">
        <w:rPr>
          <w:rFonts w:ascii="Times New Roman" w:eastAsia="Times New Roman" w:hAnsi="Times New Roman" w:cs="Times New Roman"/>
          <w:color w:val="000000"/>
        </w:rPr>
        <w:t xml:space="preserve">aveva dato </w:t>
      </w:r>
      <w:r w:rsidR="000013C4" w:rsidRPr="00CB2435">
        <w:rPr>
          <w:rFonts w:ascii="Times New Roman" w:eastAsia="Times New Roman" w:hAnsi="Times New Roman" w:cs="Times New Roman"/>
          <w:color w:val="000000"/>
        </w:rPr>
        <w:t>alle stampe l</w:t>
      </w:r>
      <w:r w:rsidR="00A84427" w:rsidRPr="00CB2435">
        <w:rPr>
          <w:rFonts w:ascii="Times New Roman" w:eastAsia="Times New Roman" w:hAnsi="Times New Roman" w:cs="Times New Roman"/>
          <w:color w:val="000000"/>
        </w:rPr>
        <w:t xml:space="preserve">o </w:t>
      </w:r>
      <w:r w:rsidR="00782594" w:rsidRPr="00CB2435">
        <w:rPr>
          <w:rFonts w:ascii="Times New Roman" w:eastAsia="Times New Roman" w:hAnsi="Times New Roman" w:cs="Times New Roman"/>
          <w:color w:val="000000"/>
        </w:rPr>
        <w:t>scambio epistolare avuto con</w:t>
      </w:r>
      <w:r w:rsidR="00EF128E" w:rsidRPr="00CB2435">
        <w:rPr>
          <w:rFonts w:ascii="Times New Roman" w:eastAsia="Times New Roman" w:hAnsi="Times New Roman" w:cs="Times New Roman"/>
          <w:color w:val="000000"/>
        </w:rPr>
        <w:t xml:space="preserve"> Fichte </w:t>
      </w:r>
      <w:r w:rsidR="00A84427" w:rsidRPr="00CB2435">
        <w:rPr>
          <w:rFonts w:ascii="Times New Roman" w:eastAsia="Times New Roman" w:hAnsi="Times New Roman" w:cs="Times New Roman"/>
          <w:color w:val="000000"/>
        </w:rPr>
        <w:t xml:space="preserve">sui principi della </w:t>
      </w:r>
      <w:r w:rsidR="00A84427" w:rsidRPr="00CB2435">
        <w:rPr>
          <w:rFonts w:ascii="Times New Roman" w:eastAsia="Times New Roman" w:hAnsi="Times New Roman" w:cs="Times New Roman"/>
          <w:i/>
          <w:color w:val="000000"/>
        </w:rPr>
        <w:t>Wissenschaft</w:t>
      </w:r>
      <w:r w:rsidR="004C695F">
        <w:rPr>
          <w:rFonts w:ascii="Times New Roman" w:eastAsia="Times New Roman" w:hAnsi="Times New Roman" w:cs="Times New Roman"/>
          <w:i/>
          <w:color w:val="000000"/>
        </w:rPr>
        <w:t>s</w:t>
      </w:r>
      <w:r w:rsidR="00A84427" w:rsidRPr="00CB2435">
        <w:rPr>
          <w:rFonts w:ascii="Times New Roman" w:eastAsia="Times New Roman" w:hAnsi="Times New Roman" w:cs="Times New Roman"/>
          <w:i/>
          <w:color w:val="000000"/>
        </w:rPr>
        <w:t>lehre</w:t>
      </w:r>
      <w:r w:rsidR="00535D84" w:rsidRPr="00CB2435">
        <w:rPr>
          <w:rStyle w:val="Rimandonotaapidipagina"/>
          <w:rFonts w:ascii="Times New Roman" w:eastAsia="Times New Roman" w:hAnsi="Times New Roman" w:cs="Times New Roman"/>
          <w:i/>
          <w:color w:val="000000"/>
        </w:rPr>
        <w:footnoteReference w:id="111"/>
      </w:r>
      <w:r w:rsidR="00782594" w:rsidRPr="00CB2435">
        <w:rPr>
          <w:rFonts w:ascii="Times New Roman" w:eastAsia="Times New Roman" w:hAnsi="Times New Roman" w:cs="Times New Roman"/>
          <w:color w:val="000000"/>
        </w:rPr>
        <w:t>.</w:t>
      </w:r>
      <w:r w:rsidR="00007D78" w:rsidRPr="00CB2435">
        <w:rPr>
          <w:rFonts w:ascii="Times New Roman" w:eastAsia="Times New Roman" w:hAnsi="Times New Roman" w:cs="Times New Roman"/>
          <w:color w:val="000000"/>
        </w:rPr>
        <w:t xml:space="preserve"> </w:t>
      </w:r>
      <w:r w:rsidR="000013C4" w:rsidRPr="00CB2435">
        <w:rPr>
          <w:rFonts w:ascii="Times New Roman" w:eastAsia="Times New Roman" w:hAnsi="Times New Roman" w:cs="Times New Roman"/>
          <w:color w:val="000000"/>
        </w:rPr>
        <w:t>Condi</w:t>
      </w:r>
      <w:r w:rsidR="00C112BD" w:rsidRPr="00CB2435">
        <w:rPr>
          <w:rFonts w:ascii="Times New Roman" w:eastAsia="Times New Roman" w:hAnsi="Times New Roman" w:cs="Times New Roman"/>
          <w:color w:val="000000"/>
        </w:rPr>
        <w:t>viso</w:t>
      </w:r>
      <w:r w:rsidR="00C112BD">
        <w:rPr>
          <w:rFonts w:ascii="Times New Roman" w:eastAsia="Times New Roman" w:hAnsi="Times New Roman" w:cs="Times New Roman"/>
          <w:color w:val="000000"/>
        </w:rPr>
        <w:t xml:space="preserve"> il punto di vista fichtiano</w:t>
      </w:r>
      <w:r w:rsidR="001448E2">
        <w:rPr>
          <w:rFonts w:ascii="Times New Roman" w:eastAsia="Times New Roman" w:hAnsi="Times New Roman" w:cs="Times New Roman"/>
          <w:color w:val="000000"/>
        </w:rPr>
        <w:t>,</w:t>
      </w:r>
      <w:r w:rsidR="000013C4">
        <w:rPr>
          <w:rFonts w:ascii="Times New Roman" w:eastAsia="Times New Roman" w:hAnsi="Times New Roman" w:cs="Times New Roman"/>
          <w:color w:val="000000"/>
        </w:rPr>
        <w:t xml:space="preserve"> in forza del quale la scienza deve produrre il proprio oggetto,</w:t>
      </w:r>
      <w:r w:rsidR="00C112BD">
        <w:rPr>
          <w:rFonts w:ascii="Times New Roman" w:eastAsia="Times New Roman" w:hAnsi="Times New Roman" w:cs="Times New Roman"/>
          <w:color w:val="000000"/>
        </w:rPr>
        <w:t xml:space="preserve"> realizzando</w:t>
      </w:r>
      <w:r>
        <w:rPr>
          <w:rFonts w:ascii="Times New Roman" w:eastAsia="Times New Roman" w:hAnsi="Times New Roman" w:cs="Times New Roman"/>
          <w:color w:val="000000"/>
        </w:rPr>
        <w:t xml:space="preserve"> così quell’unità di soggetto e</w:t>
      </w:r>
      <w:r w:rsidR="00C112BD">
        <w:rPr>
          <w:rFonts w:ascii="Times New Roman" w:eastAsia="Times New Roman" w:hAnsi="Times New Roman" w:cs="Times New Roman"/>
          <w:color w:val="000000"/>
        </w:rPr>
        <w:t xml:space="preserve"> oggetto </w:t>
      </w:r>
      <w:r w:rsidR="00B7193F">
        <w:rPr>
          <w:rFonts w:ascii="Times New Roman" w:eastAsia="Times New Roman" w:hAnsi="Times New Roman" w:cs="Times New Roman"/>
          <w:color w:val="000000"/>
        </w:rPr>
        <w:t xml:space="preserve">su cui poggia la </w:t>
      </w:r>
      <w:r w:rsidR="00C112BD" w:rsidRPr="00C112BD">
        <w:rPr>
          <w:rFonts w:ascii="Times New Roman" w:eastAsia="Times New Roman" w:hAnsi="Times New Roman" w:cs="Times New Roman"/>
          <w:i/>
          <w:color w:val="000000"/>
        </w:rPr>
        <w:t>Wissenschaft</w:t>
      </w:r>
      <w:r w:rsidR="004C695F">
        <w:rPr>
          <w:rFonts w:ascii="Times New Roman" w:eastAsia="Times New Roman" w:hAnsi="Times New Roman" w:cs="Times New Roman"/>
          <w:i/>
          <w:color w:val="000000"/>
        </w:rPr>
        <w:t>s</w:t>
      </w:r>
      <w:r w:rsidR="00C112BD" w:rsidRPr="00C112BD">
        <w:rPr>
          <w:rFonts w:ascii="Times New Roman" w:eastAsia="Times New Roman" w:hAnsi="Times New Roman" w:cs="Times New Roman"/>
          <w:i/>
          <w:color w:val="000000"/>
        </w:rPr>
        <w:t>lehre</w:t>
      </w:r>
      <w:r w:rsidR="00C112BD">
        <w:rPr>
          <w:rFonts w:ascii="Times New Roman" w:eastAsia="Times New Roman" w:hAnsi="Times New Roman" w:cs="Times New Roman"/>
          <w:color w:val="000000"/>
        </w:rPr>
        <w:t>,</w:t>
      </w:r>
      <w:r w:rsidR="000013C4">
        <w:rPr>
          <w:rFonts w:ascii="Times New Roman" w:eastAsia="Times New Roman" w:hAnsi="Times New Roman" w:cs="Times New Roman"/>
          <w:color w:val="000000"/>
        </w:rPr>
        <w:t xml:space="preserve"> Jacobi procede ad una decostruzione critica del proce</w:t>
      </w:r>
      <w:r w:rsidR="00B52691">
        <w:rPr>
          <w:rFonts w:ascii="Times New Roman" w:eastAsia="Times New Roman" w:hAnsi="Times New Roman" w:cs="Times New Roman"/>
          <w:color w:val="000000"/>
        </w:rPr>
        <w:t>sso attraverso cui l’I</w:t>
      </w:r>
      <w:r w:rsidR="0072269A">
        <w:rPr>
          <w:rFonts w:ascii="Times New Roman" w:eastAsia="Times New Roman" w:hAnsi="Times New Roman" w:cs="Times New Roman"/>
          <w:color w:val="000000"/>
        </w:rPr>
        <w:t xml:space="preserve">o crea </w:t>
      </w:r>
      <w:r w:rsidR="004D7D23">
        <w:rPr>
          <w:rFonts w:ascii="Times New Roman" w:eastAsia="Times New Roman" w:hAnsi="Times New Roman" w:cs="Times New Roman"/>
          <w:color w:val="000000"/>
        </w:rPr>
        <w:t xml:space="preserve">e fonda </w:t>
      </w:r>
      <w:r w:rsidR="000013C4">
        <w:rPr>
          <w:rFonts w:ascii="Times New Roman" w:eastAsia="Times New Roman" w:hAnsi="Times New Roman" w:cs="Times New Roman"/>
          <w:color w:val="000000"/>
        </w:rPr>
        <w:t xml:space="preserve">la verità scientifica. Punto di partenza ineludibile per la ragione è il mondo finito, </w:t>
      </w:r>
      <w:r w:rsidR="004D7D23">
        <w:rPr>
          <w:rFonts w:ascii="Times New Roman" w:eastAsia="Times New Roman" w:hAnsi="Times New Roman" w:cs="Times New Roman"/>
          <w:color w:val="000000"/>
        </w:rPr>
        <w:t xml:space="preserve">o </w:t>
      </w:r>
      <w:r w:rsidR="000013C4">
        <w:rPr>
          <w:rFonts w:ascii="Times New Roman" w:eastAsia="Times New Roman" w:hAnsi="Times New Roman" w:cs="Times New Roman"/>
          <w:color w:val="000000"/>
        </w:rPr>
        <w:t>la sfera dell’esperienza sensi</w:t>
      </w:r>
      <w:r w:rsidR="0072269A">
        <w:rPr>
          <w:rFonts w:ascii="Times New Roman" w:eastAsia="Times New Roman" w:hAnsi="Times New Roman" w:cs="Times New Roman"/>
          <w:color w:val="000000"/>
        </w:rPr>
        <w:t>bile, che si offre alla facoltà conoscitiva dell’osservatore. Lungi dall’essere una</w:t>
      </w:r>
      <w:r w:rsidR="006520FD">
        <w:rPr>
          <w:rFonts w:ascii="Times New Roman" w:eastAsia="Times New Roman" w:hAnsi="Times New Roman" w:cs="Times New Roman"/>
          <w:color w:val="000000"/>
        </w:rPr>
        <w:t xml:space="preserve"> dinamica passiva di ricezione </w:t>
      </w:r>
      <w:r w:rsidR="0072269A">
        <w:rPr>
          <w:rFonts w:ascii="Times New Roman" w:eastAsia="Times New Roman" w:hAnsi="Times New Roman" w:cs="Times New Roman"/>
          <w:color w:val="000000"/>
        </w:rPr>
        <w:t xml:space="preserve">o di mera riproduzione </w:t>
      </w:r>
      <w:r w:rsidR="004D7D23">
        <w:rPr>
          <w:rFonts w:ascii="Times New Roman" w:eastAsia="Times New Roman" w:hAnsi="Times New Roman" w:cs="Times New Roman"/>
          <w:color w:val="000000"/>
        </w:rPr>
        <w:t>del dato empirico</w:t>
      </w:r>
      <w:r w:rsidR="0072269A">
        <w:rPr>
          <w:rFonts w:ascii="Times New Roman" w:eastAsia="Times New Roman" w:hAnsi="Times New Roman" w:cs="Times New Roman"/>
          <w:color w:val="000000"/>
        </w:rPr>
        <w:t xml:space="preserve">, </w:t>
      </w:r>
      <w:r w:rsidR="0072269A" w:rsidRPr="00894F4B">
        <w:rPr>
          <w:rFonts w:ascii="Times New Roman" w:eastAsia="Times New Roman" w:hAnsi="Times New Roman" w:cs="Times New Roman"/>
          <w:color w:val="000000"/>
        </w:rPr>
        <w:t>l’appropriazione</w:t>
      </w:r>
      <w:r w:rsidR="001448E2" w:rsidRPr="00894F4B">
        <w:rPr>
          <w:rFonts w:ascii="Times New Roman" w:eastAsia="Times New Roman" w:hAnsi="Times New Roman" w:cs="Times New Roman"/>
          <w:color w:val="000000"/>
        </w:rPr>
        <w:t xml:space="preserve"> </w:t>
      </w:r>
      <w:r w:rsidR="00F0525E" w:rsidRPr="00894F4B">
        <w:rPr>
          <w:rFonts w:ascii="Times New Roman" w:eastAsia="Times New Roman" w:hAnsi="Times New Roman" w:cs="Times New Roman"/>
          <w:color w:val="000000"/>
        </w:rPr>
        <w:t>soggettiva</w:t>
      </w:r>
      <w:r w:rsidR="00B52691">
        <w:rPr>
          <w:rFonts w:ascii="Times New Roman" w:eastAsia="Times New Roman" w:hAnsi="Times New Roman" w:cs="Times New Roman"/>
          <w:color w:val="000000"/>
        </w:rPr>
        <w:t xml:space="preserve"> (idealistica)</w:t>
      </w:r>
      <w:r w:rsidR="00F0525E" w:rsidRPr="00894F4B">
        <w:rPr>
          <w:rFonts w:ascii="Times New Roman" w:eastAsia="Times New Roman" w:hAnsi="Times New Roman" w:cs="Times New Roman"/>
          <w:color w:val="000000"/>
        </w:rPr>
        <w:t xml:space="preserve"> </w:t>
      </w:r>
      <w:r w:rsidR="0072269A" w:rsidRPr="00894F4B">
        <w:rPr>
          <w:rFonts w:ascii="Times New Roman" w:eastAsia="Times New Roman" w:hAnsi="Times New Roman" w:cs="Times New Roman"/>
          <w:color w:val="000000"/>
        </w:rPr>
        <w:t xml:space="preserve">dell’oggetto esperito si traduce in una nientificazione del medesimo. L’oggettività, </w:t>
      </w:r>
      <w:r w:rsidR="00B7193F" w:rsidRPr="00894F4B">
        <w:rPr>
          <w:rFonts w:ascii="Times New Roman" w:eastAsia="Times New Roman" w:hAnsi="Times New Roman" w:cs="Times New Roman"/>
          <w:color w:val="000000"/>
        </w:rPr>
        <w:t>intesa come sfera autonoma dalla s</w:t>
      </w:r>
      <w:r w:rsidR="0072269A" w:rsidRPr="00894F4B">
        <w:rPr>
          <w:rFonts w:ascii="Times New Roman" w:eastAsia="Times New Roman" w:hAnsi="Times New Roman" w:cs="Times New Roman"/>
          <w:color w:val="000000"/>
        </w:rPr>
        <w:t>oggettività, è così dissolta dalla ragione umana che, alla</w:t>
      </w:r>
      <w:r w:rsidR="00B7193F" w:rsidRPr="00894F4B">
        <w:rPr>
          <w:rFonts w:ascii="Times New Roman" w:eastAsia="Times New Roman" w:hAnsi="Times New Roman" w:cs="Times New Roman"/>
          <w:color w:val="000000"/>
        </w:rPr>
        <w:t xml:space="preserve"> stregua di un solvente chimico</w:t>
      </w:r>
      <w:r w:rsidR="0072269A" w:rsidRPr="00894F4B">
        <w:rPr>
          <w:rFonts w:ascii="Times New Roman" w:eastAsia="Times New Roman" w:hAnsi="Times New Roman" w:cs="Times New Roman"/>
          <w:color w:val="000000"/>
        </w:rPr>
        <w:t>,</w:t>
      </w:r>
      <w:r w:rsidR="00090F5C">
        <w:rPr>
          <w:rFonts w:ascii="Times New Roman" w:eastAsia="Times New Roman" w:hAnsi="Times New Roman" w:cs="Times New Roman"/>
          <w:color w:val="000000"/>
        </w:rPr>
        <w:t xml:space="preserve"> corrode l’essere per </w:t>
      </w:r>
      <w:r w:rsidR="0072269A" w:rsidRPr="00894F4B">
        <w:rPr>
          <w:rFonts w:ascii="Times New Roman" w:eastAsia="Times New Roman" w:hAnsi="Times New Roman" w:cs="Times New Roman"/>
          <w:color w:val="000000"/>
        </w:rPr>
        <w:t>sé di ciò che è altro da sé.</w:t>
      </w:r>
      <w:r w:rsidR="0072269A">
        <w:rPr>
          <w:rFonts w:ascii="Times New Roman" w:eastAsia="Times New Roman" w:hAnsi="Times New Roman" w:cs="Times New Roman"/>
          <w:color w:val="000000"/>
        </w:rPr>
        <w:t xml:space="preserve"> </w:t>
      </w:r>
      <w:r w:rsidR="00C112BD">
        <w:rPr>
          <w:rFonts w:ascii="Times New Roman" w:eastAsia="Times New Roman" w:hAnsi="Times New Roman" w:cs="Times New Roman"/>
          <w:color w:val="000000"/>
        </w:rPr>
        <w:t>A questa negazione dell’oggetto da parte della</w:t>
      </w:r>
      <w:r w:rsidR="007D544A">
        <w:rPr>
          <w:rFonts w:ascii="Times New Roman" w:eastAsia="Times New Roman" w:hAnsi="Times New Roman" w:cs="Times New Roman"/>
          <w:color w:val="000000"/>
        </w:rPr>
        <w:t xml:space="preserve"> </w:t>
      </w:r>
      <w:r w:rsidR="007D544A" w:rsidRPr="007D544A">
        <w:rPr>
          <w:rFonts w:ascii="Times New Roman" w:eastAsia="Times New Roman" w:hAnsi="Times New Roman" w:cs="Times New Roman"/>
          <w:i/>
          <w:color w:val="000000"/>
        </w:rPr>
        <w:t>Vernunft</w:t>
      </w:r>
      <w:r w:rsidR="00C112BD">
        <w:rPr>
          <w:rFonts w:ascii="Times New Roman" w:eastAsia="Times New Roman" w:hAnsi="Times New Roman" w:cs="Times New Roman"/>
          <w:color w:val="000000"/>
        </w:rPr>
        <w:t>, segue una sua ri</w:t>
      </w:r>
      <w:r w:rsidR="007D544A">
        <w:rPr>
          <w:rFonts w:ascii="Times New Roman" w:eastAsia="Times New Roman" w:hAnsi="Times New Roman" w:cs="Times New Roman"/>
          <w:color w:val="000000"/>
        </w:rPr>
        <w:t>nascita proprio ad opera di quella fa</w:t>
      </w:r>
      <w:r w:rsidR="00BD303F">
        <w:rPr>
          <w:rFonts w:ascii="Times New Roman" w:eastAsia="Times New Roman" w:hAnsi="Times New Roman" w:cs="Times New Roman"/>
          <w:color w:val="000000"/>
        </w:rPr>
        <w:t xml:space="preserve">coltà che ne aveva determinato </w:t>
      </w:r>
      <w:r w:rsidR="00B7193F">
        <w:rPr>
          <w:rFonts w:ascii="Times New Roman" w:eastAsia="Times New Roman" w:hAnsi="Times New Roman" w:cs="Times New Roman"/>
          <w:color w:val="000000"/>
        </w:rPr>
        <w:t>l’</w:t>
      </w:r>
      <w:r w:rsidR="007D544A">
        <w:rPr>
          <w:rFonts w:ascii="Times New Roman" w:eastAsia="Times New Roman" w:hAnsi="Times New Roman" w:cs="Times New Roman"/>
          <w:color w:val="000000"/>
        </w:rPr>
        <w:t xml:space="preserve">annientamento: creato dal nulla dallo spirito, l’oggetto trova una nuova vita nelle trame fantasmagoriche </w:t>
      </w:r>
      <w:r w:rsidR="007D544A" w:rsidRPr="00553117">
        <w:rPr>
          <w:rFonts w:ascii="Times New Roman" w:eastAsia="Times New Roman" w:hAnsi="Times New Roman" w:cs="Times New Roman"/>
          <w:color w:val="000000"/>
        </w:rPr>
        <w:t>dell’Io</w:t>
      </w:r>
      <w:r w:rsidR="007D544A" w:rsidRPr="00AF1FC6">
        <w:rPr>
          <w:rFonts w:ascii="Times New Roman" w:eastAsia="Times New Roman" w:hAnsi="Times New Roman" w:cs="Times New Roman"/>
          <w:color w:val="000000"/>
        </w:rPr>
        <w:t xml:space="preserve">. </w:t>
      </w:r>
      <w:r w:rsidR="00BD303F" w:rsidRPr="00AF1FC6">
        <w:rPr>
          <w:rFonts w:ascii="Times New Roman" w:eastAsia="Times New Roman" w:hAnsi="Times New Roman" w:cs="Times New Roman"/>
          <w:color w:val="000000"/>
        </w:rPr>
        <w:t>Questa nuova vita dell’oggetto non</w:t>
      </w:r>
      <w:r w:rsidR="004C6F6D" w:rsidRPr="00AF1FC6">
        <w:rPr>
          <w:rFonts w:ascii="Times New Roman" w:eastAsia="Times New Roman" w:hAnsi="Times New Roman" w:cs="Times New Roman"/>
          <w:color w:val="000000"/>
        </w:rPr>
        <w:t xml:space="preserve"> sopprime</w:t>
      </w:r>
      <w:r w:rsidR="00BD303F" w:rsidRPr="00AF1FC6">
        <w:rPr>
          <w:rFonts w:ascii="Times New Roman" w:eastAsia="Times New Roman" w:hAnsi="Times New Roman" w:cs="Times New Roman"/>
          <w:color w:val="000000"/>
        </w:rPr>
        <w:t>, a detta di Jacobi, quel punt</w:t>
      </w:r>
      <w:r w:rsidR="004C6F6D" w:rsidRPr="00AF1FC6">
        <w:rPr>
          <w:rFonts w:ascii="Times New Roman" w:eastAsia="Times New Roman" w:hAnsi="Times New Roman" w:cs="Times New Roman"/>
          <w:color w:val="000000"/>
        </w:rPr>
        <w:t>o di partenza dell’attività nientificatrice della ragione</w:t>
      </w:r>
      <w:r w:rsidR="004C6F6D" w:rsidRPr="00553117">
        <w:rPr>
          <w:rFonts w:ascii="Times New Roman" w:eastAsia="Times New Roman" w:hAnsi="Times New Roman" w:cs="Times New Roman"/>
          <w:color w:val="000000"/>
        </w:rPr>
        <w:t xml:space="preserve"> umana. In altre parole, la ridefinizione umana della sfera ogg</w:t>
      </w:r>
      <w:r w:rsidR="002F239B" w:rsidRPr="00553117">
        <w:rPr>
          <w:rFonts w:ascii="Times New Roman" w:eastAsia="Times New Roman" w:hAnsi="Times New Roman" w:cs="Times New Roman"/>
          <w:color w:val="000000"/>
        </w:rPr>
        <w:t>ettiva ha un valore p</w:t>
      </w:r>
      <w:r w:rsidR="00C005C5" w:rsidRPr="00553117">
        <w:rPr>
          <w:rFonts w:ascii="Times New Roman" w:eastAsia="Times New Roman" w:hAnsi="Times New Roman" w:cs="Times New Roman"/>
          <w:color w:val="000000"/>
        </w:rPr>
        <w:t xml:space="preserve">uramente </w:t>
      </w:r>
      <w:r w:rsidR="004C6F6D" w:rsidRPr="00553117">
        <w:rPr>
          <w:rFonts w:ascii="Times New Roman" w:eastAsia="Times New Roman" w:hAnsi="Times New Roman" w:cs="Times New Roman"/>
          <w:color w:val="000000"/>
        </w:rPr>
        <w:t>logico, non effettivo o</w:t>
      </w:r>
      <w:r w:rsidR="001448E2" w:rsidRPr="00553117">
        <w:rPr>
          <w:rFonts w:ascii="Times New Roman" w:eastAsia="Times New Roman" w:hAnsi="Times New Roman" w:cs="Times New Roman"/>
          <w:color w:val="000000"/>
        </w:rPr>
        <w:t xml:space="preserve"> reale</w:t>
      </w:r>
      <w:r w:rsidR="00553117" w:rsidRPr="00553117">
        <w:rPr>
          <w:rFonts w:ascii="Times New Roman" w:eastAsia="Times New Roman" w:hAnsi="Times New Roman" w:cs="Times New Roman"/>
          <w:color w:val="000000"/>
        </w:rPr>
        <w:t>: l</w:t>
      </w:r>
      <w:r w:rsidR="004C6F6D" w:rsidRPr="00553117">
        <w:rPr>
          <w:rFonts w:ascii="Times New Roman" w:eastAsia="Times New Roman" w:hAnsi="Times New Roman" w:cs="Times New Roman"/>
          <w:color w:val="000000"/>
        </w:rPr>
        <w:t>’Io è</w:t>
      </w:r>
      <w:r w:rsidR="00553117" w:rsidRPr="00553117">
        <w:rPr>
          <w:rFonts w:ascii="Times New Roman" w:eastAsia="Times New Roman" w:hAnsi="Times New Roman" w:cs="Times New Roman"/>
          <w:color w:val="000000"/>
        </w:rPr>
        <w:t xml:space="preserve"> pertanto</w:t>
      </w:r>
      <w:r w:rsidR="004C6F6D" w:rsidRPr="00553117">
        <w:rPr>
          <w:rFonts w:ascii="Times New Roman" w:eastAsia="Times New Roman" w:hAnsi="Times New Roman" w:cs="Times New Roman"/>
          <w:color w:val="000000"/>
        </w:rPr>
        <w:t xml:space="preserve"> fondamento </w:t>
      </w:r>
      <w:r w:rsidR="00553117" w:rsidRPr="00553117">
        <w:rPr>
          <w:rFonts w:ascii="Times New Roman" w:eastAsia="Times New Roman" w:hAnsi="Times New Roman" w:cs="Times New Roman"/>
          <w:color w:val="000000"/>
        </w:rPr>
        <w:t xml:space="preserve">logico </w:t>
      </w:r>
      <w:r w:rsidR="004C6F6D" w:rsidRPr="00553117">
        <w:rPr>
          <w:rFonts w:ascii="Times New Roman" w:eastAsia="Times New Roman" w:hAnsi="Times New Roman" w:cs="Times New Roman"/>
          <w:color w:val="000000"/>
        </w:rPr>
        <w:t>dell’oggetto, non causa</w:t>
      </w:r>
      <w:r w:rsidR="00553117" w:rsidRPr="00553117">
        <w:rPr>
          <w:rFonts w:ascii="Times New Roman" w:eastAsia="Times New Roman" w:hAnsi="Times New Roman" w:cs="Times New Roman"/>
          <w:color w:val="000000"/>
        </w:rPr>
        <w:t xml:space="preserve"> reale del medesimo</w:t>
      </w:r>
      <w:r w:rsidR="004C6F6D" w:rsidRPr="00553117">
        <w:rPr>
          <w:rStyle w:val="Rimandonotaapidipagina"/>
          <w:rFonts w:ascii="Times New Roman" w:eastAsia="Times New Roman" w:hAnsi="Times New Roman" w:cs="Times New Roman"/>
          <w:color w:val="000000"/>
        </w:rPr>
        <w:footnoteReference w:id="112"/>
      </w:r>
      <w:r w:rsidR="004C6F6D" w:rsidRPr="00553117">
        <w:rPr>
          <w:rFonts w:ascii="Times New Roman" w:eastAsia="Times New Roman" w:hAnsi="Times New Roman" w:cs="Times New Roman"/>
          <w:color w:val="000000"/>
        </w:rPr>
        <w:t>.</w:t>
      </w:r>
      <w:r w:rsidR="004C6F6D">
        <w:rPr>
          <w:rFonts w:ascii="Times New Roman" w:eastAsia="Times New Roman" w:hAnsi="Times New Roman" w:cs="Times New Roman"/>
          <w:color w:val="000000"/>
        </w:rPr>
        <w:t xml:space="preserve"> Il ch</w:t>
      </w:r>
      <w:r w:rsidR="002124D1">
        <w:rPr>
          <w:rFonts w:ascii="Times New Roman" w:eastAsia="Times New Roman" w:hAnsi="Times New Roman" w:cs="Times New Roman"/>
          <w:color w:val="000000"/>
        </w:rPr>
        <w:t>e vuol dire che nel suo darsi l’</w:t>
      </w:r>
      <w:r w:rsidR="001D3342">
        <w:rPr>
          <w:rFonts w:ascii="Times New Roman" w:eastAsia="Times New Roman" w:hAnsi="Times New Roman" w:cs="Times New Roman"/>
          <w:i/>
          <w:color w:val="000000"/>
        </w:rPr>
        <w:t>Objek</w:t>
      </w:r>
      <w:r w:rsidR="002124D1" w:rsidRPr="002124D1">
        <w:rPr>
          <w:rFonts w:ascii="Times New Roman" w:eastAsia="Times New Roman" w:hAnsi="Times New Roman" w:cs="Times New Roman"/>
          <w:i/>
          <w:color w:val="000000"/>
        </w:rPr>
        <w:t>t</w:t>
      </w:r>
      <w:r w:rsidR="004C6F6D">
        <w:rPr>
          <w:rFonts w:ascii="Times New Roman" w:eastAsia="Times New Roman" w:hAnsi="Times New Roman" w:cs="Times New Roman"/>
          <w:color w:val="000000"/>
        </w:rPr>
        <w:t xml:space="preserve"> sfugge contemporaneamente alla facoltà conoscitiva umana, che si riduce ad un mero </w:t>
      </w:r>
      <w:r w:rsidR="004C6F6D" w:rsidRPr="00B24F82">
        <w:rPr>
          <w:rFonts w:ascii="Times New Roman" w:eastAsia="Times New Roman" w:hAnsi="Times New Roman" w:cs="Times New Roman"/>
          <w:color w:val="000000"/>
        </w:rPr>
        <w:t>«Weben eines Webens»</w:t>
      </w:r>
      <w:r w:rsidR="004C6F6D" w:rsidRPr="00B24F82">
        <w:rPr>
          <w:rStyle w:val="Rimandonotaapidipagina"/>
          <w:rFonts w:ascii="Times New Roman" w:eastAsia="Times New Roman" w:hAnsi="Times New Roman" w:cs="Times New Roman"/>
          <w:color w:val="000000"/>
        </w:rPr>
        <w:footnoteReference w:id="113"/>
      </w:r>
      <w:r w:rsidR="001D3342" w:rsidRPr="00B24F82">
        <w:rPr>
          <w:rFonts w:ascii="Times New Roman" w:eastAsia="Times New Roman" w:hAnsi="Times New Roman" w:cs="Times New Roman"/>
          <w:color w:val="000000"/>
        </w:rPr>
        <w:t>.</w:t>
      </w:r>
      <w:r w:rsidR="001D3342">
        <w:rPr>
          <w:rFonts w:ascii="Times New Roman" w:eastAsia="Times New Roman" w:hAnsi="Times New Roman" w:cs="Times New Roman"/>
          <w:color w:val="000000"/>
        </w:rPr>
        <w:t xml:space="preserve"> In questo muoversi </w:t>
      </w:r>
      <w:r w:rsidR="001D3342" w:rsidRPr="00B24F82">
        <w:rPr>
          <w:rFonts w:ascii="Times New Roman" w:eastAsia="Times New Roman" w:hAnsi="Times New Roman" w:cs="Times New Roman"/>
          <w:color w:val="000000"/>
        </w:rPr>
        <w:t>«aus Nichts, zu Nichts, für Nichts, in Nichts»</w:t>
      </w:r>
      <w:r w:rsidR="001D3342" w:rsidRPr="00B24F82">
        <w:rPr>
          <w:rStyle w:val="Rimandonotaapidipagina"/>
          <w:rFonts w:ascii="Times New Roman" w:eastAsia="Times New Roman" w:hAnsi="Times New Roman" w:cs="Times New Roman"/>
          <w:color w:val="000000"/>
        </w:rPr>
        <w:footnoteReference w:id="114"/>
      </w:r>
      <w:r w:rsidR="001D3342" w:rsidRPr="00B24F82">
        <w:rPr>
          <w:rFonts w:ascii="Times New Roman" w:eastAsia="Times New Roman" w:hAnsi="Times New Roman" w:cs="Times New Roman"/>
          <w:color w:val="000000"/>
        </w:rPr>
        <w:t>,</w:t>
      </w:r>
      <w:r w:rsidR="001D3342">
        <w:rPr>
          <w:rFonts w:ascii="Times New Roman" w:eastAsia="Times New Roman" w:hAnsi="Times New Roman" w:cs="Times New Roman"/>
          <w:color w:val="000000"/>
        </w:rPr>
        <w:t xml:space="preserve"> in questo a</w:t>
      </w:r>
      <w:r w:rsidR="00481686">
        <w:rPr>
          <w:rFonts w:ascii="Times New Roman" w:eastAsia="Times New Roman" w:hAnsi="Times New Roman" w:cs="Times New Roman"/>
          <w:color w:val="000000"/>
        </w:rPr>
        <w:t>ggirarsi fra le chimere fr</w:t>
      </w:r>
      <w:r w:rsidR="008126E9">
        <w:rPr>
          <w:rFonts w:ascii="Times New Roman" w:eastAsia="Times New Roman" w:hAnsi="Times New Roman" w:cs="Times New Roman"/>
          <w:color w:val="000000"/>
        </w:rPr>
        <w:t>utto dell’esercizio delle proprie facoltà</w:t>
      </w:r>
      <w:r w:rsidR="001D3342">
        <w:rPr>
          <w:rFonts w:ascii="Times New Roman" w:eastAsia="Times New Roman" w:hAnsi="Times New Roman" w:cs="Times New Roman"/>
          <w:color w:val="000000"/>
        </w:rPr>
        <w:t>, l’</w:t>
      </w:r>
      <w:r w:rsidR="00481686">
        <w:rPr>
          <w:rFonts w:ascii="Times New Roman" w:eastAsia="Times New Roman" w:hAnsi="Times New Roman" w:cs="Times New Roman"/>
          <w:color w:val="000000"/>
        </w:rPr>
        <w:t xml:space="preserve">Io va incontro al </w:t>
      </w:r>
      <w:r w:rsidR="00481686" w:rsidRPr="00894F4B">
        <w:rPr>
          <w:rFonts w:ascii="Times New Roman" w:eastAsia="Times New Roman" w:hAnsi="Times New Roman" w:cs="Times New Roman"/>
          <w:color w:val="000000"/>
        </w:rPr>
        <w:t xml:space="preserve">proprio scacco, </w:t>
      </w:r>
      <w:r w:rsidR="00481686" w:rsidRPr="00C005C5">
        <w:rPr>
          <w:rFonts w:ascii="Times New Roman" w:eastAsia="Times New Roman" w:hAnsi="Times New Roman" w:cs="Times New Roman"/>
          <w:color w:val="000000"/>
        </w:rPr>
        <w:t>che consiste nel</w:t>
      </w:r>
      <w:r w:rsidR="001D3342" w:rsidRPr="00C005C5">
        <w:rPr>
          <w:rFonts w:ascii="Times New Roman" w:eastAsia="Times New Roman" w:hAnsi="Times New Roman" w:cs="Times New Roman"/>
          <w:color w:val="000000"/>
        </w:rPr>
        <w:t xml:space="preserve"> </w:t>
      </w:r>
      <w:r w:rsidR="002F239B" w:rsidRPr="00C005C5">
        <w:rPr>
          <w:rFonts w:ascii="Times New Roman" w:eastAsia="Times New Roman" w:hAnsi="Times New Roman" w:cs="Times New Roman"/>
          <w:color w:val="000000"/>
        </w:rPr>
        <w:t xml:space="preserve">produrre </w:t>
      </w:r>
      <w:r w:rsidR="001D3342" w:rsidRPr="00C005C5">
        <w:rPr>
          <w:rFonts w:ascii="Times New Roman" w:eastAsia="Times New Roman" w:hAnsi="Times New Roman" w:cs="Times New Roman"/>
          <w:color w:val="000000"/>
        </w:rPr>
        <w:t>una verità a</w:t>
      </w:r>
      <w:r w:rsidR="001448E2" w:rsidRPr="00C005C5">
        <w:rPr>
          <w:rFonts w:ascii="Times New Roman" w:eastAsia="Times New Roman" w:hAnsi="Times New Roman" w:cs="Times New Roman"/>
          <w:color w:val="000000"/>
        </w:rPr>
        <w:t>vulsa dalla realtà</w:t>
      </w:r>
      <w:r w:rsidR="001D3342" w:rsidRPr="00C005C5">
        <w:rPr>
          <w:rFonts w:ascii="Times New Roman" w:eastAsia="Times New Roman" w:hAnsi="Times New Roman" w:cs="Times New Roman"/>
          <w:color w:val="000000"/>
        </w:rPr>
        <w:t xml:space="preserve"> e </w:t>
      </w:r>
      <w:r w:rsidR="00481686" w:rsidRPr="00C005C5">
        <w:rPr>
          <w:rFonts w:ascii="Times New Roman" w:eastAsia="Times New Roman" w:hAnsi="Times New Roman" w:cs="Times New Roman"/>
          <w:color w:val="000000"/>
        </w:rPr>
        <w:t>nel</w:t>
      </w:r>
      <w:r w:rsidR="00C472D1" w:rsidRPr="00C005C5">
        <w:rPr>
          <w:rFonts w:ascii="Times New Roman" w:eastAsia="Times New Roman" w:hAnsi="Times New Roman" w:cs="Times New Roman"/>
          <w:color w:val="000000"/>
        </w:rPr>
        <w:t>lo smarrire</w:t>
      </w:r>
      <w:r w:rsidR="00AD0294" w:rsidRPr="00C005C5">
        <w:rPr>
          <w:rFonts w:ascii="Times New Roman" w:eastAsia="Times New Roman" w:hAnsi="Times New Roman" w:cs="Times New Roman"/>
          <w:color w:val="000000"/>
        </w:rPr>
        <w:t xml:space="preserve"> </w:t>
      </w:r>
      <w:r w:rsidR="00481686" w:rsidRPr="00C005C5">
        <w:rPr>
          <w:rFonts w:ascii="Times New Roman" w:eastAsia="Times New Roman" w:hAnsi="Times New Roman" w:cs="Times New Roman"/>
          <w:color w:val="000000"/>
        </w:rPr>
        <w:t xml:space="preserve">la via che conduce </w:t>
      </w:r>
      <w:r w:rsidR="00AD0294" w:rsidRPr="00C005C5">
        <w:rPr>
          <w:rFonts w:ascii="Times New Roman" w:eastAsia="Times New Roman" w:hAnsi="Times New Roman" w:cs="Times New Roman"/>
          <w:color w:val="000000"/>
        </w:rPr>
        <w:t>al Vero</w:t>
      </w:r>
      <w:r w:rsidR="004B20E1" w:rsidRPr="00C005C5">
        <w:rPr>
          <w:rFonts w:ascii="Times New Roman" w:eastAsia="Times New Roman" w:hAnsi="Times New Roman" w:cs="Times New Roman"/>
          <w:color w:val="000000"/>
        </w:rPr>
        <w:t xml:space="preserve"> (</w:t>
      </w:r>
      <w:r w:rsidR="00553117">
        <w:rPr>
          <w:rFonts w:ascii="Times New Roman" w:eastAsia="Times New Roman" w:hAnsi="Times New Roman" w:cs="Times New Roman"/>
          <w:color w:val="000000"/>
        </w:rPr>
        <w:t xml:space="preserve">a </w:t>
      </w:r>
      <w:r w:rsidR="004B20E1" w:rsidRPr="00C005C5">
        <w:rPr>
          <w:rFonts w:ascii="Times New Roman" w:eastAsia="Times New Roman" w:hAnsi="Times New Roman" w:cs="Times New Roman"/>
          <w:color w:val="000000"/>
        </w:rPr>
        <w:t>Dio)</w:t>
      </w:r>
      <w:r w:rsidR="00AD0294" w:rsidRPr="00C005C5">
        <w:rPr>
          <w:rFonts w:ascii="Times New Roman" w:eastAsia="Times New Roman" w:hAnsi="Times New Roman" w:cs="Times New Roman"/>
          <w:color w:val="000000"/>
        </w:rPr>
        <w:t xml:space="preserve">. </w:t>
      </w:r>
      <w:r w:rsidR="00AB4D44" w:rsidRPr="00C005C5">
        <w:rPr>
          <w:rFonts w:ascii="Times New Roman" w:eastAsia="Times New Roman" w:hAnsi="Times New Roman" w:cs="Times New Roman"/>
          <w:color w:val="000000"/>
        </w:rPr>
        <w:t xml:space="preserve">Questa dimensione desolata, all’interno della quale si </w:t>
      </w:r>
      <w:r w:rsidR="00FF0DF2" w:rsidRPr="00C005C5">
        <w:rPr>
          <w:rFonts w:ascii="Times New Roman" w:eastAsia="Times New Roman" w:hAnsi="Times New Roman" w:cs="Times New Roman"/>
          <w:color w:val="000000"/>
        </w:rPr>
        <w:t xml:space="preserve">mantiene e neutralizza ad un tempo la volontà creatrice del </w:t>
      </w:r>
      <w:r w:rsidR="009B7EC4" w:rsidRPr="00C005C5">
        <w:rPr>
          <w:rFonts w:ascii="Times New Roman" w:eastAsia="Times New Roman" w:hAnsi="Times New Roman" w:cs="Times New Roman"/>
          <w:color w:val="000000"/>
        </w:rPr>
        <w:t xml:space="preserve">pensiero, </w:t>
      </w:r>
      <w:r w:rsidR="00FF0DF2" w:rsidRPr="00C005C5">
        <w:rPr>
          <w:rFonts w:ascii="Times New Roman" w:eastAsia="Times New Roman" w:hAnsi="Times New Roman" w:cs="Times New Roman"/>
          <w:color w:val="000000"/>
        </w:rPr>
        <w:t xml:space="preserve">è definita da Jacobi con il termine </w:t>
      </w:r>
      <w:r w:rsidR="00FF0DF2" w:rsidRPr="00C005C5">
        <w:rPr>
          <w:rFonts w:ascii="Times New Roman" w:eastAsia="Times New Roman" w:hAnsi="Times New Roman" w:cs="Times New Roman"/>
          <w:i/>
          <w:color w:val="000000"/>
        </w:rPr>
        <w:t>Nihilismus</w:t>
      </w:r>
      <w:r w:rsidR="00FF0DF2" w:rsidRPr="00C005C5">
        <w:rPr>
          <w:rStyle w:val="Rimandonotaapidipagina"/>
          <w:rFonts w:ascii="Times New Roman" w:eastAsia="Times New Roman" w:hAnsi="Times New Roman" w:cs="Times New Roman"/>
          <w:i/>
          <w:color w:val="000000"/>
        </w:rPr>
        <w:footnoteReference w:id="115"/>
      </w:r>
      <w:r w:rsidR="00FF0DF2" w:rsidRPr="00C005C5">
        <w:rPr>
          <w:rFonts w:ascii="Times New Roman" w:eastAsia="Times New Roman" w:hAnsi="Times New Roman" w:cs="Times New Roman"/>
          <w:color w:val="000000"/>
        </w:rPr>
        <w:t>.</w:t>
      </w:r>
      <w:r w:rsidR="00FF0DF2">
        <w:rPr>
          <w:rFonts w:ascii="Times New Roman" w:eastAsia="Times New Roman" w:hAnsi="Times New Roman" w:cs="Times New Roman"/>
          <w:color w:val="000000"/>
        </w:rPr>
        <w:t xml:space="preserve"> </w:t>
      </w:r>
    </w:p>
    <w:p w14:paraId="3C78F27E" w14:textId="488A1C55" w:rsidR="007024BE" w:rsidRPr="003204DE" w:rsidRDefault="009072ED" w:rsidP="003204DE">
      <w:pPr>
        <w:spacing w:line="360" w:lineRule="auto"/>
        <w:ind w:firstLine="567"/>
        <w:jc w:val="both"/>
        <w:rPr>
          <w:rFonts w:ascii="Times New Roman" w:eastAsia="Times New Roman" w:hAnsi="Times New Roman" w:cs="Times New Roman"/>
          <w:color w:val="000000"/>
          <w:highlight w:val="cyan"/>
        </w:rPr>
      </w:pPr>
      <w:r>
        <w:rPr>
          <w:rFonts w:ascii="Times New Roman" w:eastAsia="Times New Roman" w:hAnsi="Times New Roman" w:cs="Times New Roman"/>
          <w:color w:val="000000"/>
        </w:rPr>
        <w:t>Nichilistico, nei suoi propositi e nella sua essenza di fondo, è l’idealismo più recente, nel caso in ques</w:t>
      </w:r>
      <w:r w:rsidR="000F47CA">
        <w:rPr>
          <w:rFonts w:ascii="Times New Roman" w:eastAsia="Times New Roman" w:hAnsi="Times New Roman" w:cs="Times New Roman"/>
          <w:color w:val="000000"/>
        </w:rPr>
        <w:t>t</w:t>
      </w:r>
      <w:r w:rsidR="009B7EC4">
        <w:rPr>
          <w:rFonts w:ascii="Times New Roman" w:eastAsia="Times New Roman" w:hAnsi="Times New Roman" w:cs="Times New Roman"/>
          <w:color w:val="000000"/>
        </w:rPr>
        <w:t>i</w:t>
      </w:r>
      <w:r w:rsidR="000F47CA">
        <w:rPr>
          <w:rFonts w:ascii="Times New Roman" w:eastAsia="Times New Roman" w:hAnsi="Times New Roman" w:cs="Times New Roman"/>
          <w:color w:val="000000"/>
        </w:rPr>
        <w:t>o</w:t>
      </w:r>
      <w:r w:rsidR="009B7EC4">
        <w:rPr>
          <w:rFonts w:ascii="Times New Roman" w:eastAsia="Times New Roman" w:hAnsi="Times New Roman" w:cs="Times New Roman"/>
          <w:color w:val="000000"/>
        </w:rPr>
        <w:t>ne</w:t>
      </w:r>
      <w:r w:rsidR="000F47CA">
        <w:rPr>
          <w:rFonts w:ascii="Times New Roman" w:eastAsia="Times New Roman" w:hAnsi="Times New Roman" w:cs="Times New Roman"/>
          <w:color w:val="000000"/>
        </w:rPr>
        <w:t xml:space="preserve"> il tentativo fichtiano di dedurre un nuovo fondamento de</w:t>
      </w:r>
      <w:r>
        <w:rPr>
          <w:rFonts w:ascii="Times New Roman" w:eastAsia="Times New Roman" w:hAnsi="Times New Roman" w:cs="Times New Roman"/>
          <w:color w:val="000000"/>
        </w:rPr>
        <w:t xml:space="preserve">l sapere scientifico. Ma non solo. Prima ancora della riduzione dell’oggetto ad un prodotto fantasmatico della ragione umana, un altro </w:t>
      </w:r>
      <w:r w:rsidR="000F47CA">
        <w:rPr>
          <w:rFonts w:ascii="Times New Roman" w:eastAsia="Times New Roman" w:hAnsi="Times New Roman" w:cs="Times New Roman"/>
          <w:color w:val="000000"/>
        </w:rPr>
        <w:t xml:space="preserve">sistema filosofico </w:t>
      </w:r>
      <w:r>
        <w:rPr>
          <w:rFonts w:ascii="Times New Roman" w:eastAsia="Times New Roman" w:hAnsi="Times New Roman" w:cs="Times New Roman"/>
          <w:color w:val="000000"/>
        </w:rPr>
        <w:t>aveva</w:t>
      </w:r>
      <w:r w:rsidR="000F47CA">
        <w:rPr>
          <w:rFonts w:ascii="Times New Roman" w:eastAsia="Times New Roman" w:hAnsi="Times New Roman" w:cs="Times New Roman"/>
          <w:color w:val="000000"/>
        </w:rPr>
        <w:t xml:space="preserve"> cercato</w:t>
      </w:r>
      <w:r>
        <w:rPr>
          <w:rFonts w:ascii="Times New Roman" w:eastAsia="Times New Roman" w:hAnsi="Times New Roman" w:cs="Times New Roman"/>
          <w:color w:val="000000"/>
        </w:rPr>
        <w:t>, a partire da</w:t>
      </w:r>
      <w:r w:rsidR="000F47CA">
        <w:rPr>
          <w:rFonts w:ascii="Times New Roman" w:eastAsia="Times New Roman" w:hAnsi="Times New Roman" w:cs="Times New Roman"/>
          <w:color w:val="000000"/>
        </w:rPr>
        <w:t xml:space="preserve"> ben </w:t>
      </w:r>
      <w:r>
        <w:rPr>
          <w:rFonts w:ascii="Times New Roman" w:eastAsia="Times New Roman" w:hAnsi="Times New Roman" w:cs="Times New Roman"/>
          <w:color w:val="000000"/>
        </w:rPr>
        <w:t xml:space="preserve">di </w:t>
      </w:r>
      <w:r w:rsidR="00A1012F">
        <w:rPr>
          <w:rFonts w:ascii="Times New Roman" w:eastAsia="Times New Roman" w:hAnsi="Times New Roman" w:cs="Times New Roman"/>
          <w:color w:val="000000"/>
        </w:rPr>
        <w:t>altri principi, di annientare lo</w:t>
      </w:r>
      <w:r>
        <w:rPr>
          <w:rFonts w:ascii="Times New Roman" w:eastAsia="Times New Roman" w:hAnsi="Times New Roman" w:cs="Times New Roman"/>
          <w:color w:val="000000"/>
        </w:rPr>
        <w:t xml:space="preserve"> statuto ontologico dell’essere finito. Nelle trame geometriche della sua </w:t>
      </w:r>
      <w:r w:rsidRPr="009072ED">
        <w:rPr>
          <w:rFonts w:ascii="Times New Roman" w:eastAsia="Times New Roman" w:hAnsi="Times New Roman" w:cs="Times New Roman"/>
          <w:i/>
          <w:color w:val="000000"/>
        </w:rPr>
        <w:t>Ethica</w:t>
      </w:r>
      <w:r>
        <w:rPr>
          <w:rFonts w:ascii="Times New Roman" w:eastAsia="Times New Roman" w:hAnsi="Times New Roman" w:cs="Times New Roman"/>
          <w:color w:val="000000"/>
        </w:rPr>
        <w:t xml:space="preserve">, Spinoza, sviluppando le fatalistiche conseguenze del </w:t>
      </w:r>
      <w:r w:rsidR="000F47CA">
        <w:rPr>
          <w:rFonts w:ascii="Times New Roman" w:eastAsia="Times New Roman" w:hAnsi="Times New Roman" w:cs="Times New Roman"/>
          <w:color w:val="000000"/>
        </w:rPr>
        <w:t>suo</w:t>
      </w:r>
      <w:r>
        <w:rPr>
          <w:rFonts w:ascii="Times New Roman" w:eastAsia="Times New Roman" w:hAnsi="Times New Roman" w:cs="Times New Roman"/>
          <w:color w:val="000000"/>
        </w:rPr>
        <w:t xml:space="preserve"> pensiero,</w:t>
      </w:r>
      <w:r w:rsidR="000F47CA">
        <w:rPr>
          <w:rFonts w:ascii="Times New Roman" w:eastAsia="Times New Roman" w:hAnsi="Times New Roman" w:cs="Times New Roman"/>
          <w:color w:val="000000"/>
        </w:rPr>
        <w:t xml:space="preserve"> era pervenuto</w:t>
      </w:r>
      <w:r w:rsidR="002F239B">
        <w:rPr>
          <w:rFonts w:ascii="Times New Roman" w:eastAsia="Times New Roman" w:hAnsi="Times New Roman" w:cs="Times New Roman"/>
          <w:color w:val="000000"/>
        </w:rPr>
        <w:t xml:space="preserve"> </w:t>
      </w:r>
      <w:r w:rsidR="000F47CA">
        <w:rPr>
          <w:rFonts w:ascii="Times New Roman" w:eastAsia="Times New Roman" w:hAnsi="Times New Roman" w:cs="Times New Roman"/>
          <w:color w:val="000000"/>
        </w:rPr>
        <w:t>ad una riduzione del</w:t>
      </w:r>
      <w:r>
        <w:rPr>
          <w:rFonts w:ascii="Times New Roman" w:eastAsia="Times New Roman" w:hAnsi="Times New Roman" w:cs="Times New Roman"/>
          <w:color w:val="000000"/>
        </w:rPr>
        <w:t>l’oggetto</w:t>
      </w:r>
      <w:r w:rsidR="000F47CA">
        <w:rPr>
          <w:rFonts w:ascii="Times New Roman" w:eastAsia="Times New Roman" w:hAnsi="Times New Roman" w:cs="Times New Roman"/>
          <w:color w:val="000000"/>
        </w:rPr>
        <w:t xml:space="preserve"> all’unità indeterminata dell’Essere assoluto. Forte di certi assunti della Qabbalah ebraica</w:t>
      </w:r>
      <w:r w:rsidR="000F47CA">
        <w:rPr>
          <w:rStyle w:val="Rimandonotaapidipagina"/>
          <w:rFonts w:ascii="Times New Roman" w:eastAsia="Times New Roman" w:hAnsi="Times New Roman" w:cs="Times New Roman"/>
          <w:color w:val="000000"/>
        </w:rPr>
        <w:footnoteReference w:id="116"/>
      </w:r>
      <w:r w:rsidR="0048212D">
        <w:rPr>
          <w:rFonts w:ascii="Times New Roman" w:eastAsia="Times New Roman" w:hAnsi="Times New Roman" w:cs="Times New Roman"/>
          <w:color w:val="000000"/>
        </w:rPr>
        <w:t xml:space="preserve">, </w:t>
      </w:r>
      <w:r w:rsidR="000F47CA">
        <w:rPr>
          <w:rFonts w:ascii="Times New Roman" w:eastAsia="Times New Roman" w:hAnsi="Times New Roman" w:cs="Times New Roman"/>
          <w:color w:val="000000"/>
        </w:rPr>
        <w:t>Spinoza</w:t>
      </w:r>
      <w:r w:rsidR="0048212D">
        <w:rPr>
          <w:rFonts w:ascii="Times New Roman" w:eastAsia="Times New Roman" w:hAnsi="Times New Roman" w:cs="Times New Roman"/>
          <w:color w:val="000000"/>
        </w:rPr>
        <w:t xml:space="preserve"> </w:t>
      </w:r>
      <w:r w:rsidR="000F47CA">
        <w:rPr>
          <w:rFonts w:ascii="Times New Roman" w:eastAsia="Times New Roman" w:hAnsi="Times New Roman" w:cs="Times New Roman"/>
          <w:color w:val="000000"/>
        </w:rPr>
        <w:t xml:space="preserve">sarebbe stato il primo ad operare una </w:t>
      </w:r>
      <w:r w:rsidR="0048212D">
        <w:rPr>
          <w:rFonts w:ascii="Times New Roman" w:eastAsia="Times New Roman" w:hAnsi="Times New Roman" w:cs="Times New Roman"/>
          <w:color w:val="000000"/>
        </w:rPr>
        <w:t xml:space="preserve">dissoluzione </w:t>
      </w:r>
      <w:r w:rsidR="000F47CA">
        <w:rPr>
          <w:rFonts w:ascii="Times New Roman" w:eastAsia="Times New Roman" w:hAnsi="Times New Roman" w:cs="Times New Roman"/>
          <w:color w:val="000000"/>
        </w:rPr>
        <w:t xml:space="preserve">dell’essere finito </w:t>
      </w:r>
      <w:r w:rsidR="0048212D">
        <w:rPr>
          <w:rFonts w:ascii="Times New Roman" w:eastAsia="Times New Roman" w:hAnsi="Times New Roman" w:cs="Times New Roman"/>
          <w:color w:val="000000"/>
        </w:rPr>
        <w:t>all’interno d</w:t>
      </w:r>
      <w:r w:rsidR="00B7193F">
        <w:rPr>
          <w:rFonts w:ascii="Times New Roman" w:eastAsia="Times New Roman" w:hAnsi="Times New Roman" w:cs="Times New Roman"/>
          <w:color w:val="000000"/>
        </w:rPr>
        <w:t>el</w:t>
      </w:r>
      <w:r w:rsidR="0048212D">
        <w:rPr>
          <w:rFonts w:ascii="Times New Roman" w:eastAsia="Times New Roman" w:hAnsi="Times New Roman" w:cs="Times New Roman"/>
          <w:color w:val="000000"/>
        </w:rPr>
        <w:t xml:space="preserve"> monismo della </w:t>
      </w:r>
      <w:r w:rsidR="000F47CA">
        <w:rPr>
          <w:rFonts w:ascii="Times New Roman" w:eastAsia="Times New Roman" w:hAnsi="Times New Roman" w:cs="Times New Roman"/>
          <w:color w:val="000000"/>
        </w:rPr>
        <w:t>sostanza assoluta.</w:t>
      </w:r>
      <w:r w:rsidR="0048212D">
        <w:rPr>
          <w:rFonts w:ascii="Times New Roman" w:eastAsia="Times New Roman" w:hAnsi="Times New Roman" w:cs="Times New Roman"/>
          <w:color w:val="000000"/>
        </w:rPr>
        <w:t xml:space="preserve"> In forza del suo cab</w:t>
      </w:r>
      <w:r w:rsidR="00C472D1">
        <w:rPr>
          <w:rFonts w:ascii="Times New Roman" w:eastAsia="Times New Roman" w:hAnsi="Times New Roman" w:cs="Times New Roman"/>
          <w:color w:val="000000"/>
        </w:rPr>
        <w:t>b</w:t>
      </w:r>
      <w:r w:rsidR="0048212D">
        <w:rPr>
          <w:rFonts w:ascii="Times New Roman" w:eastAsia="Times New Roman" w:hAnsi="Times New Roman" w:cs="Times New Roman"/>
          <w:color w:val="000000"/>
        </w:rPr>
        <w:t>alismo di fondo</w:t>
      </w:r>
      <w:r w:rsidR="0048212D">
        <w:rPr>
          <w:rStyle w:val="Rimandonotaapidipagina"/>
          <w:rFonts w:ascii="Times New Roman" w:eastAsia="Times New Roman" w:hAnsi="Times New Roman" w:cs="Times New Roman"/>
          <w:color w:val="000000"/>
        </w:rPr>
        <w:footnoteReference w:id="117"/>
      </w:r>
      <w:r w:rsidR="0048212D">
        <w:rPr>
          <w:rFonts w:ascii="Times New Roman" w:eastAsia="Times New Roman" w:hAnsi="Times New Roman" w:cs="Times New Roman"/>
          <w:color w:val="000000"/>
        </w:rPr>
        <w:t xml:space="preserve"> e,</w:t>
      </w:r>
      <w:r w:rsidR="00402B30">
        <w:rPr>
          <w:rFonts w:ascii="Times New Roman" w:eastAsia="Times New Roman" w:hAnsi="Times New Roman" w:cs="Times New Roman"/>
          <w:color w:val="000000"/>
        </w:rPr>
        <w:t xml:space="preserve"> nello specifico, del principio</w:t>
      </w:r>
      <w:r w:rsidR="0048212D">
        <w:rPr>
          <w:rFonts w:ascii="Times New Roman" w:eastAsia="Times New Roman" w:hAnsi="Times New Roman" w:cs="Times New Roman"/>
          <w:color w:val="000000"/>
        </w:rPr>
        <w:t xml:space="preserve"> cab</w:t>
      </w:r>
      <w:r w:rsidR="00C472D1">
        <w:rPr>
          <w:rFonts w:ascii="Times New Roman" w:eastAsia="Times New Roman" w:hAnsi="Times New Roman" w:cs="Times New Roman"/>
          <w:color w:val="000000"/>
        </w:rPr>
        <w:t>b</w:t>
      </w:r>
      <w:r w:rsidR="0048212D">
        <w:rPr>
          <w:rFonts w:ascii="Times New Roman" w:eastAsia="Times New Roman" w:hAnsi="Times New Roman" w:cs="Times New Roman"/>
          <w:color w:val="000000"/>
        </w:rPr>
        <w:t xml:space="preserve">alistico </w:t>
      </w:r>
      <w:r w:rsidR="0048212D" w:rsidRPr="00B24F82">
        <w:rPr>
          <w:rFonts w:ascii="Times New Roman" w:eastAsia="Times New Roman" w:hAnsi="Times New Roman" w:cs="Times New Roman"/>
          <w:color w:val="000000"/>
        </w:rPr>
        <w:t>«a nihilo nihil fit</w:t>
      </w:r>
      <w:r w:rsidR="0048212D" w:rsidRPr="00B24F82">
        <w:rPr>
          <w:rFonts w:ascii="Times New Roman" w:hAnsi="Times New Roman" w:cs="Times New Roman"/>
        </w:rPr>
        <w:t>»</w:t>
      </w:r>
      <w:r w:rsidR="00303434" w:rsidRPr="00B24F82">
        <w:rPr>
          <w:rStyle w:val="Rimandonotaapidipagina"/>
          <w:rFonts w:ascii="Times New Roman" w:hAnsi="Times New Roman" w:cs="Times New Roman"/>
        </w:rPr>
        <w:footnoteReference w:id="118"/>
      </w:r>
      <w:r w:rsidR="0048212D" w:rsidRPr="00B24F82">
        <w:rPr>
          <w:rFonts w:ascii="Times New Roman" w:hAnsi="Times New Roman" w:cs="Times New Roman"/>
        </w:rPr>
        <w:t xml:space="preserve">, la sostanza spinoziana è </w:t>
      </w:r>
      <w:r w:rsidR="0048212D" w:rsidRPr="00B24F82">
        <w:rPr>
          <w:rFonts w:ascii="Times New Roman" w:eastAsia="Times New Roman" w:hAnsi="Times New Roman" w:cs="Times New Roman"/>
          <w:iCs/>
          <w:color w:val="222222"/>
          <w:shd w:val="clear" w:color="auto" w:fill="FFFFFF"/>
          <w:lang w:val="de-DE"/>
        </w:rPr>
        <w:t>«ein nur immanentes En-Sof; eine inwohnende, ewig in sich unverändliche Ursache der Welt</w:t>
      </w:r>
      <w:r w:rsidR="0048212D" w:rsidRPr="00B24F82">
        <w:rPr>
          <w:lang w:val="de-DE"/>
        </w:rPr>
        <w:t>»</w:t>
      </w:r>
      <w:r w:rsidR="0048212D" w:rsidRPr="00B24F82">
        <w:rPr>
          <w:rStyle w:val="Rimandonotaapidipagina"/>
          <w:rFonts w:ascii="Times New Roman" w:eastAsia="Times New Roman" w:hAnsi="Times New Roman" w:cs="Times New Roman"/>
          <w:iCs/>
          <w:color w:val="222222"/>
          <w:shd w:val="clear" w:color="auto" w:fill="FFFFFF"/>
        </w:rPr>
        <w:footnoteReference w:id="119"/>
      </w:r>
      <w:r w:rsidR="0048212D" w:rsidRPr="00B24F82">
        <w:rPr>
          <w:rFonts w:ascii="Times New Roman" w:eastAsia="Times New Roman" w:hAnsi="Times New Roman" w:cs="Times New Roman"/>
          <w:iCs/>
          <w:color w:val="222222"/>
          <w:shd w:val="clear" w:color="auto" w:fill="FFFFFF"/>
        </w:rPr>
        <w:t>,</w:t>
      </w:r>
      <w:r w:rsidR="0048212D">
        <w:rPr>
          <w:rFonts w:ascii="Times New Roman" w:eastAsia="Times New Roman" w:hAnsi="Times New Roman" w:cs="Times New Roman"/>
          <w:iCs/>
          <w:color w:val="222222"/>
          <w:shd w:val="clear" w:color="auto" w:fill="FFFFFF"/>
        </w:rPr>
        <w:t xml:space="preserve"> che rigetta ogni causa intermedia, secondaria o remota, in gra</w:t>
      </w:r>
      <w:r w:rsidR="00553117">
        <w:rPr>
          <w:rFonts w:ascii="Times New Roman" w:eastAsia="Times New Roman" w:hAnsi="Times New Roman" w:cs="Times New Roman"/>
          <w:iCs/>
          <w:color w:val="222222"/>
          <w:shd w:val="clear" w:color="auto" w:fill="FFFFFF"/>
        </w:rPr>
        <w:t xml:space="preserve">do di giustificare un passaggio </w:t>
      </w:r>
      <w:r w:rsidR="0048212D">
        <w:rPr>
          <w:rFonts w:ascii="Times New Roman" w:eastAsia="Times New Roman" w:hAnsi="Times New Roman" w:cs="Times New Roman"/>
          <w:iCs/>
          <w:color w:val="222222"/>
          <w:shd w:val="clear" w:color="auto" w:fill="FFFFFF"/>
        </w:rPr>
        <w:t>dall’infinito a</w:t>
      </w:r>
      <w:r w:rsidR="00FB5FA3">
        <w:rPr>
          <w:rFonts w:ascii="Times New Roman" w:eastAsia="Times New Roman" w:hAnsi="Times New Roman" w:cs="Times New Roman"/>
          <w:iCs/>
          <w:color w:val="222222"/>
          <w:shd w:val="clear" w:color="auto" w:fill="FFFFFF"/>
        </w:rPr>
        <w:t>l</w:t>
      </w:r>
      <w:r w:rsidR="0048212D">
        <w:rPr>
          <w:rFonts w:ascii="Times New Roman" w:eastAsia="Times New Roman" w:hAnsi="Times New Roman" w:cs="Times New Roman"/>
          <w:iCs/>
          <w:color w:val="222222"/>
          <w:shd w:val="clear" w:color="auto" w:fill="FFFFFF"/>
        </w:rPr>
        <w:t xml:space="preserve"> finito. Eternamente ed immutabilmente la sostanza</w:t>
      </w:r>
      <w:r w:rsidR="007024BE">
        <w:rPr>
          <w:rFonts w:ascii="Times New Roman" w:eastAsia="Times New Roman" w:hAnsi="Times New Roman" w:cs="Times New Roman"/>
          <w:iCs/>
          <w:color w:val="222222"/>
          <w:shd w:val="clear" w:color="auto" w:fill="FFFFFF"/>
        </w:rPr>
        <w:t>, associata qui con l’</w:t>
      </w:r>
      <w:r w:rsidR="007024BE" w:rsidRPr="007C1E3F">
        <w:rPr>
          <w:rFonts w:ascii="Times New Roman" w:eastAsia="Times New Roman" w:hAnsi="Times New Roman" w:cs="Times New Roman"/>
          <w:i/>
          <w:iCs/>
          <w:color w:val="222222"/>
          <w:shd w:val="clear" w:color="auto" w:fill="FFFFFF"/>
        </w:rPr>
        <w:t xml:space="preserve">En-sof </w:t>
      </w:r>
      <w:r w:rsidR="007C1E3F">
        <w:rPr>
          <w:rFonts w:ascii="Times New Roman" w:eastAsia="Times New Roman" w:hAnsi="Times New Roman" w:cs="Times New Roman"/>
          <w:iCs/>
          <w:color w:val="222222"/>
          <w:shd w:val="clear" w:color="auto" w:fill="FFFFFF"/>
        </w:rPr>
        <w:t>(</w:t>
      </w:r>
      <w:r w:rsidR="007C1E3F" w:rsidRPr="007C1E3F">
        <w:rPr>
          <w:rFonts w:ascii="Times New Roman" w:eastAsia="Times New Roman" w:hAnsi="Times New Roman" w:cs="Times New Roman"/>
          <w:i/>
          <w:iCs/>
          <w:color w:val="222222"/>
          <w:shd w:val="clear" w:color="auto" w:fill="FFFFFF"/>
        </w:rPr>
        <w:t>infinito</w:t>
      </w:r>
      <w:r w:rsidR="00D0572A">
        <w:rPr>
          <w:rFonts w:ascii="Times New Roman" w:eastAsia="Times New Roman" w:hAnsi="Times New Roman" w:cs="Times New Roman"/>
          <w:iCs/>
          <w:color w:val="222222"/>
          <w:shd w:val="clear" w:color="auto" w:fill="FFFFFF"/>
        </w:rPr>
        <w:t xml:space="preserve">) </w:t>
      </w:r>
      <w:r w:rsidR="007024BE">
        <w:rPr>
          <w:rFonts w:ascii="Times New Roman" w:eastAsia="Times New Roman" w:hAnsi="Times New Roman" w:cs="Times New Roman"/>
          <w:iCs/>
          <w:color w:val="222222"/>
          <w:shd w:val="clear" w:color="auto" w:fill="FFFFFF"/>
        </w:rPr>
        <w:t>cab</w:t>
      </w:r>
      <w:r w:rsidR="00657879">
        <w:rPr>
          <w:rFonts w:ascii="Times New Roman" w:eastAsia="Times New Roman" w:hAnsi="Times New Roman" w:cs="Times New Roman"/>
          <w:iCs/>
          <w:color w:val="222222"/>
          <w:shd w:val="clear" w:color="auto" w:fill="FFFFFF"/>
        </w:rPr>
        <w:t>b</w:t>
      </w:r>
      <w:r w:rsidR="00D0572A">
        <w:rPr>
          <w:rFonts w:ascii="Times New Roman" w:eastAsia="Times New Roman" w:hAnsi="Times New Roman" w:cs="Times New Roman"/>
          <w:iCs/>
          <w:color w:val="222222"/>
          <w:shd w:val="clear" w:color="auto" w:fill="FFFFFF"/>
        </w:rPr>
        <w:t>alistico</w:t>
      </w:r>
      <w:r w:rsidR="007024BE">
        <w:rPr>
          <w:rFonts w:ascii="Times New Roman" w:eastAsia="Times New Roman" w:hAnsi="Times New Roman" w:cs="Times New Roman"/>
          <w:iCs/>
          <w:color w:val="222222"/>
          <w:shd w:val="clear" w:color="auto" w:fill="FFFFFF"/>
        </w:rPr>
        <w:t>,</w:t>
      </w:r>
      <w:r w:rsidR="0048212D">
        <w:rPr>
          <w:rFonts w:ascii="Times New Roman" w:eastAsia="Times New Roman" w:hAnsi="Times New Roman" w:cs="Times New Roman"/>
          <w:iCs/>
          <w:color w:val="222222"/>
          <w:shd w:val="clear" w:color="auto" w:fill="FFFFFF"/>
        </w:rPr>
        <w:t xml:space="preserve"> è immanente </w:t>
      </w:r>
      <w:r w:rsidR="0048212D" w:rsidRPr="00547986">
        <w:rPr>
          <w:rFonts w:ascii="Times New Roman" w:eastAsia="Times New Roman" w:hAnsi="Times New Roman" w:cs="Times New Roman"/>
          <w:iCs/>
          <w:color w:val="222222"/>
          <w:shd w:val="clear" w:color="auto" w:fill="FFFFFF"/>
        </w:rPr>
        <w:t>nel suo effet</w:t>
      </w:r>
      <w:r w:rsidR="00CC4E54" w:rsidRPr="00547986">
        <w:rPr>
          <w:rFonts w:ascii="Times New Roman" w:eastAsia="Times New Roman" w:hAnsi="Times New Roman" w:cs="Times New Roman"/>
          <w:iCs/>
          <w:color w:val="222222"/>
          <w:shd w:val="clear" w:color="auto" w:fill="FFFFFF"/>
        </w:rPr>
        <w:t xml:space="preserve">to, </w:t>
      </w:r>
      <w:r w:rsidR="00F50ACB" w:rsidRPr="00547986">
        <w:rPr>
          <w:rFonts w:ascii="Times New Roman" w:eastAsia="Times New Roman" w:hAnsi="Times New Roman" w:cs="Times New Roman"/>
          <w:iCs/>
          <w:color w:val="222222"/>
          <w:shd w:val="clear" w:color="auto" w:fill="FFFFFF"/>
        </w:rPr>
        <w:t>n</w:t>
      </w:r>
      <w:r w:rsidR="0048212D" w:rsidRPr="00547986">
        <w:rPr>
          <w:rFonts w:ascii="Times New Roman" w:eastAsia="Times New Roman" w:hAnsi="Times New Roman" w:cs="Times New Roman"/>
          <w:iCs/>
          <w:color w:val="222222"/>
          <w:shd w:val="clear" w:color="auto" w:fill="FFFFFF"/>
        </w:rPr>
        <w:t>el mondo,</w:t>
      </w:r>
      <w:r w:rsidR="0048212D">
        <w:rPr>
          <w:rFonts w:ascii="Times New Roman" w:eastAsia="Times New Roman" w:hAnsi="Times New Roman" w:cs="Times New Roman"/>
          <w:iCs/>
          <w:color w:val="222222"/>
          <w:shd w:val="clear" w:color="auto" w:fill="FFFFFF"/>
        </w:rPr>
        <w:t xml:space="preserve"> che non può rivendicare</w:t>
      </w:r>
      <w:r w:rsidR="007024BE">
        <w:rPr>
          <w:rFonts w:ascii="Times New Roman" w:eastAsia="Times New Roman" w:hAnsi="Times New Roman" w:cs="Times New Roman"/>
          <w:iCs/>
          <w:color w:val="222222"/>
          <w:shd w:val="clear" w:color="auto" w:fill="FFFFFF"/>
        </w:rPr>
        <w:t>, proprio perché dete</w:t>
      </w:r>
      <w:r w:rsidR="00DF4ACD">
        <w:rPr>
          <w:rFonts w:ascii="Times New Roman" w:eastAsia="Times New Roman" w:hAnsi="Times New Roman" w:cs="Times New Roman"/>
          <w:iCs/>
          <w:color w:val="222222"/>
          <w:shd w:val="clear" w:color="auto" w:fill="FFFFFF"/>
        </w:rPr>
        <w:t>rminazione non distinta da</w:t>
      </w:r>
      <w:r w:rsidR="007024BE">
        <w:rPr>
          <w:rFonts w:ascii="Times New Roman" w:eastAsia="Times New Roman" w:hAnsi="Times New Roman" w:cs="Times New Roman"/>
          <w:iCs/>
          <w:color w:val="222222"/>
          <w:shd w:val="clear" w:color="auto" w:fill="FFFFFF"/>
        </w:rPr>
        <w:t>l</w:t>
      </w:r>
      <w:r w:rsidR="00F914E0">
        <w:rPr>
          <w:rFonts w:ascii="Times New Roman" w:eastAsia="Times New Roman" w:hAnsi="Times New Roman" w:cs="Times New Roman"/>
          <w:iCs/>
          <w:color w:val="222222"/>
          <w:shd w:val="clear" w:color="auto" w:fill="FFFFFF"/>
        </w:rPr>
        <w:t>la causa</w:t>
      </w:r>
      <w:r w:rsidR="007024BE">
        <w:rPr>
          <w:rFonts w:ascii="Times New Roman" w:eastAsia="Times New Roman" w:hAnsi="Times New Roman" w:cs="Times New Roman"/>
          <w:iCs/>
          <w:color w:val="222222"/>
          <w:shd w:val="clear" w:color="auto" w:fill="FFFFFF"/>
        </w:rPr>
        <w:t xml:space="preserve"> </w:t>
      </w:r>
      <w:r w:rsidR="00C420AC">
        <w:rPr>
          <w:rFonts w:ascii="Times New Roman" w:eastAsia="Times New Roman" w:hAnsi="Times New Roman" w:cs="Times New Roman"/>
          <w:iCs/>
          <w:color w:val="222222"/>
          <w:shd w:val="clear" w:color="auto" w:fill="FFFFFF"/>
        </w:rPr>
        <w:t>incausa</w:t>
      </w:r>
      <w:r w:rsidR="00F914E0">
        <w:rPr>
          <w:rFonts w:ascii="Times New Roman" w:eastAsia="Times New Roman" w:hAnsi="Times New Roman" w:cs="Times New Roman"/>
          <w:iCs/>
          <w:color w:val="222222"/>
          <w:shd w:val="clear" w:color="auto" w:fill="FFFFFF"/>
        </w:rPr>
        <w:t>ta</w:t>
      </w:r>
      <w:r w:rsidR="007024BE">
        <w:rPr>
          <w:rFonts w:ascii="Times New Roman" w:eastAsia="Times New Roman" w:hAnsi="Times New Roman" w:cs="Times New Roman"/>
          <w:iCs/>
          <w:color w:val="222222"/>
          <w:shd w:val="clear" w:color="auto" w:fill="FFFFFF"/>
        </w:rPr>
        <w:t xml:space="preserve">, </w:t>
      </w:r>
      <w:r w:rsidR="00C472D1">
        <w:rPr>
          <w:rFonts w:ascii="Times New Roman" w:eastAsia="Times New Roman" w:hAnsi="Times New Roman" w:cs="Times New Roman"/>
          <w:iCs/>
          <w:color w:val="222222"/>
          <w:shd w:val="clear" w:color="auto" w:fill="FFFFFF"/>
        </w:rPr>
        <w:t xml:space="preserve">un proprio essere per </w:t>
      </w:r>
      <w:r w:rsidR="0048212D">
        <w:rPr>
          <w:rFonts w:ascii="Times New Roman" w:eastAsia="Times New Roman" w:hAnsi="Times New Roman" w:cs="Times New Roman"/>
          <w:iCs/>
          <w:color w:val="222222"/>
          <w:shd w:val="clear" w:color="auto" w:fill="FFFFFF"/>
        </w:rPr>
        <w:t>sé</w:t>
      </w:r>
      <w:r w:rsidR="007024BE">
        <w:rPr>
          <w:rFonts w:ascii="Times New Roman" w:eastAsia="Times New Roman" w:hAnsi="Times New Roman" w:cs="Times New Roman"/>
          <w:iCs/>
          <w:color w:val="222222"/>
          <w:shd w:val="clear" w:color="auto" w:fill="FFFFFF"/>
        </w:rPr>
        <w:t>. Quello che vuole dire</w:t>
      </w:r>
      <w:r w:rsidR="00FB5FA3">
        <w:rPr>
          <w:rFonts w:ascii="Times New Roman" w:eastAsia="Times New Roman" w:hAnsi="Times New Roman" w:cs="Times New Roman"/>
          <w:iCs/>
          <w:color w:val="222222"/>
          <w:shd w:val="clear" w:color="auto" w:fill="FFFFFF"/>
        </w:rPr>
        <w:t xml:space="preserve"> Jacobi è che </w:t>
      </w:r>
      <w:r w:rsidR="0048212D">
        <w:rPr>
          <w:rFonts w:ascii="Times New Roman" w:eastAsia="Times New Roman" w:hAnsi="Times New Roman" w:cs="Times New Roman"/>
          <w:iCs/>
          <w:color w:val="222222"/>
          <w:shd w:val="clear" w:color="auto" w:fill="FFFFFF"/>
        </w:rPr>
        <w:t xml:space="preserve">lo spinozismo non </w:t>
      </w:r>
      <w:r w:rsidR="00FB5FA3">
        <w:rPr>
          <w:rFonts w:ascii="Times New Roman" w:eastAsia="Times New Roman" w:hAnsi="Times New Roman" w:cs="Times New Roman"/>
          <w:iCs/>
          <w:color w:val="222222"/>
          <w:shd w:val="clear" w:color="auto" w:fill="FFFFFF"/>
        </w:rPr>
        <w:t xml:space="preserve">prevede </w:t>
      </w:r>
      <w:r w:rsidR="0048212D">
        <w:rPr>
          <w:rFonts w:ascii="Times New Roman" w:eastAsia="Times New Roman" w:hAnsi="Times New Roman" w:cs="Times New Roman"/>
          <w:iCs/>
          <w:color w:val="222222"/>
          <w:shd w:val="clear" w:color="auto" w:fill="FFFFFF"/>
        </w:rPr>
        <w:t xml:space="preserve">una creazione </w:t>
      </w:r>
      <w:r w:rsidR="0048212D" w:rsidRPr="0048212D">
        <w:rPr>
          <w:rFonts w:ascii="Times New Roman" w:eastAsia="Times New Roman" w:hAnsi="Times New Roman" w:cs="Times New Roman"/>
          <w:i/>
          <w:iCs/>
          <w:color w:val="222222"/>
          <w:shd w:val="clear" w:color="auto" w:fill="FFFFFF"/>
        </w:rPr>
        <w:t>ex nihilo</w:t>
      </w:r>
      <w:r w:rsidR="0048212D">
        <w:rPr>
          <w:rFonts w:ascii="Times New Roman" w:eastAsia="Times New Roman" w:hAnsi="Times New Roman" w:cs="Times New Roman"/>
          <w:iCs/>
          <w:color w:val="222222"/>
          <w:shd w:val="clear" w:color="auto" w:fill="FFFFFF"/>
        </w:rPr>
        <w:t>: il mondo</w:t>
      </w:r>
      <w:r w:rsidR="007024BE">
        <w:rPr>
          <w:rFonts w:ascii="Times New Roman" w:eastAsia="Times New Roman" w:hAnsi="Times New Roman" w:cs="Times New Roman"/>
          <w:iCs/>
          <w:color w:val="222222"/>
          <w:shd w:val="clear" w:color="auto" w:fill="FFFFFF"/>
        </w:rPr>
        <w:t xml:space="preserve">, </w:t>
      </w:r>
      <w:r w:rsidR="0048212D">
        <w:rPr>
          <w:rFonts w:ascii="Times New Roman" w:eastAsia="Times New Roman" w:hAnsi="Times New Roman" w:cs="Times New Roman"/>
          <w:iCs/>
          <w:color w:val="222222"/>
          <w:shd w:val="clear" w:color="auto" w:fill="FFFFFF"/>
        </w:rPr>
        <w:t>già da sempre</w:t>
      </w:r>
      <w:r w:rsidR="007024BE">
        <w:rPr>
          <w:rFonts w:ascii="Times New Roman" w:eastAsia="Times New Roman" w:hAnsi="Times New Roman" w:cs="Times New Roman"/>
          <w:iCs/>
          <w:color w:val="222222"/>
          <w:shd w:val="clear" w:color="auto" w:fill="FFFFFF"/>
        </w:rPr>
        <w:t>,</w:t>
      </w:r>
      <w:r w:rsidR="0048212D">
        <w:rPr>
          <w:rFonts w:ascii="Times New Roman" w:eastAsia="Times New Roman" w:hAnsi="Times New Roman" w:cs="Times New Roman"/>
          <w:iCs/>
          <w:color w:val="222222"/>
          <w:shd w:val="clear" w:color="auto" w:fill="FFFFFF"/>
        </w:rPr>
        <w:t xml:space="preserve"> è contenuto e risolto </w:t>
      </w:r>
      <w:r w:rsidR="0048212D" w:rsidRPr="00B02C46">
        <w:rPr>
          <w:rFonts w:ascii="Times New Roman" w:eastAsia="Times New Roman" w:hAnsi="Times New Roman" w:cs="Times New Roman"/>
          <w:iCs/>
          <w:color w:val="222222"/>
          <w:shd w:val="clear" w:color="auto" w:fill="FFFFFF"/>
        </w:rPr>
        <w:t>nell’attività causale della sostanza. Per essere più precisi ancora: nel</w:t>
      </w:r>
      <w:r w:rsidR="000D2218" w:rsidRPr="00B02C46">
        <w:rPr>
          <w:rFonts w:ascii="Times New Roman" w:eastAsia="Times New Roman" w:hAnsi="Times New Roman" w:cs="Times New Roman"/>
          <w:iCs/>
          <w:color w:val="222222"/>
          <w:shd w:val="clear" w:color="auto" w:fill="FFFFFF"/>
        </w:rPr>
        <w:t>la concezione spinoziana dell</w:t>
      </w:r>
      <w:r w:rsidR="00AF1FC6" w:rsidRPr="00B02C46">
        <w:rPr>
          <w:rFonts w:ascii="Times New Roman" w:eastAsia="Times New Roman" w:hAnsi="Times New Roman" w:cs="Times New Roman"/>
          <w:iCs/>
          <w:color w:val="222222"/>
          <w:shd w:val="clear" w:color="auto" w:fill="FFFFFF"/>
        </w:rPr>
        <w:t>a causalità divina</w:t>
      </w:r>
      <w:r w:rsidR="00D0572A">
        <w:rPr>
          <w:rFonts w:ascii="Times New Roman" w:eastAsia="Times New Roman" w:hAnsi="Times New Roman" w:cs="Times New Roman"/>
          <w:iCs/>
          <w:color w:val="222222"/>
          <w:shd w:val="clear" w:color="auto" w:fill="FFFFFF"/>
        </w:rPr>
        <w:t xml:space="preserve"> </w:t>
      </w:r>
      <w:r w:rsidR="005D02BE">
        <w:rPr>
          <w:rFonts w:ascii="Times New Roman" w:eastAsia="Times New Roman" w:hAnsi="Times New Roman" w:cs="Times New Roman"/>
          <w:iCs/>
          <w:color w:val="222222"/>
          <w:shd w:val="clear" w:color="auto" w:fill="FFFFFF"/>
        </w:rPr>
        <w:t>di causale, in senso stresso, non si può parlare; al massimo</w:t>
      </w:r>
      <w:r w:rsidR="00F53D40">
        <w:rPr>
          <w:rFonts w:ascii="Times New Roman" w:eastAsia="Times New Roman" w:hAnsi="Times New Roman" w:cs="Times New Roman"/>
          <w:iCs/>
          <w:color w:val="222222"/>
          <w:shd w:val="clear" w:color="auto" w:fill="FFFFFF"/>
        </w:rPr>
        <w:t>,</w:t>
      </w:r>
      <w:r w:rsidR="00F53D40" w:rsidRPr="00F53D40">
        <w:rPr>
          <w:rFonts w:ascii="Times New Roman" w:eastAsia="Times New Roman" w:hAnsi="Times New Roman" w:cs="Times New Roman"/>
          <w:iCs/>
          <w:color w:val="222222"/>
          <w:shd w:val="clear" w:color="auto" w:fill="FFFFFF"/>
        </w:rPr>
        <w:t xml:space="preserve"> </w:t>
      </w:r>
      <w:r w:rsidR="00E32B55">
        <w:rPr>
          <w:rFonts w:ascii="Times New Roman" w:eastAsia="Times New Roman" w:hAnsi="Times New Roman" w:cs="Times New Roman"/>
          <w:iCs/>
          <w:color w:val="222222"/>
          <w:shd w:val="clear" w:color="auto" w:fill="FFFFFF"/>
        </w:rPr>
        <w:t>grazie a</w:t>
      </w:r>
      <w:r w:rsidR="00F53D40">
        <w:rPr>
          <w:rFonts w:ascii="Times New Roman" w:eastAsia="Times New Roman" w:hAnsi="Times New Roman" w:cs="Times New Roman"/>
          <w:iCs/>
          <w:color w:val="222222"/>
          <w:shd w:val="clear" w:color="auto" w:fill="FFFFFF"/>
        </w:rPr>
        <w:t xml:space="preserve">lla distinzione fra </w:t>
      </w:r>
      <w:r w:rsidR="00F53D40" w:rsidRPr="007024BE">
        <w:rPr>
          <w:rFonts w:ascii="Times New Roman" w:eastAsia="Times New Roman" w:hAnsi="Times New Roman" w:cs="Times New Roman"/>
          <w:i/>
          <w:iCs/>
          <w:color w:val="222222"/>
          <w:shd w:val="clear" w:color="auto" w:fill="FFFFFF"/>
        </w:rPr>
        <w:t>Grund</w:t>
      </w:r>
      <w:r w:rsidR="00F53D40">
        <w:rPr>
          <w:rFonts w:ascii="Times New Roman" w:eastAsia="Times New Roman" w:hAnsi="Times New Roman" w:cs="Times New Roman"/>
          <w:iCs/>
          <w:color w:val="222222"/>
          <w:shd w:val="clear" w:color="auto" w:fill="FFFFFF"/>
        </w:rPr>
        <w:t xml:space="preserve"> e </w:t>
      </w:r>
      <w:r w:rsidR="00F53D40" w:rsidRPr="007024BE">
        <w:rPr>
          <w:rFonts w:ascii="Times New Roman" w:eastAsia="Times New Roman" w:hAnsi="Times New Roman" w:cs="Times New Roman"/>
          <w:i/>
          <w:iCs/>
          <w:color w:val="222222"/>
          <w:shd w:val="clear" w:color="auto" w:fill="FFFFFF"/>
        </w:rPr>
        <w:t>Ursache</w:t>
      </w:r>
      <w:r w:rsidR="00F53D40">
        <w:rPr>
          <w:rFonts w:ascii="Times New Roman" w:eastAsia="Times New Roman" w:hAnsi="Times New Roman" w:cs="Times New Roman"/>
          <w:iCs/>
          <w:color w:val="222222"/>
          <w:shd w:val="clear" w:color="auto" w:fill="FFFFFF"/>
        </w:rPr>
        <w:t xml:space="preserve">, </w:t>
      </w:r>
      <w:r w:rsidR="0048212D">
        <w:rPr>
          <w:rFonts w:ascii="Times New Roman" w:eastAsia="Times New Roman" w:hAnsi="Times New Roman" w:cs="Times New Roman"/>
          <w:iCs/>
          <w:color w:val="222222"/>
          <w:shd w:val="clear" w:color="auto" w:fill="FFFFFF"/>
        </w:rPr>
        <w:t>di un fondamento logico d</w:t>
      </w:r>
      <w:r w:rsidR="007024BE">
        <w:rPr>
          <w:rFonts w:ascii="Times New Roman" w:eastAsia="Times New Roman" w:hAnsi="Times New Roman" w:cs="Times New Roman"/>
          <w:iCs/>
          <w:color w:val="222222"/>
          <w:shd w:val="clear" w:color="auto" w:fill="FFFFFF"/>
        </w:rPr>
        <w:t>el mondo, ma</w:t>
      </w:r>
      <w:r w:rsidR="00F53D40">
        <w:rPr>
          <w:rFonts w:ascii="Times New Roman" w:eastAsia="Times New Roman" w:hAnsi="Times New Roman" w:cs="Times New Roman"/>
          <w:iCs/>
          <w:color w:val="222222"/>
          <w:shd w:val="clear" w:color="auto" w:fill="FFFFFF"/>
        </w:rPr>
        <w:t xml:space="preserve">i </w:t>
      </w:r>
      <w:r w:rsidR="007024BE">
        <w:rPr>
          <w:rFonts w:ascii="Times New Roman" w:eastAsia="Times New Roman" w:hAnsi="Times New Roman" w:cs="Times New Roman"/>
          <w:iCs/>
          <w:color w:val="222222"/>
          <w:shd w:val="clear" w:color="auto" w:fill="FFFFFF"/>
        </w:rPr>
        <w:t xml:space="preserve">di una sua </w:t>
      </w:r>
      <w:r w:rsidR="00F53D40">
        <w:rPr>
          <w:rFonts w:ascii="Times New Roman" w:eastAsia="Times New Roman" w:hAnsi="Times New Roman" w:cs="Times New Roman"/>
          <w:iCs/>
          <w:color w:val="222222"/>
          <w:shd w:val="clear" w:color="auto" w:fill="FFFFFF"/>
        </w:rPr>
        <w:t xml:space="preserve">creazione, che implicherebbe </w:t>
      </w:r>
      <w:r w:rsidR="007024BE">
        <w:rPr>
          <w:rFonts w:ascii="Times New Roman" w:eastAsia="Times New Roman" w:hAnsi="Times New Roman" w:cs="Times New Roman"/>
          <w:iCs/>
          <w:color w:val="222222"/>
          <w:shd w:val="clear" w:color="auto" w:fill="FFFFFF"/>
        </w:rPr>
        <w:t xml:space="preserve">un </w:t>
      </w:r>
      <w:r w:rsidR="007024BE" w:rsidRPr="00BA458D">
        <w:rPr>
          <w:rFonts w:ascii="Times New Roman" w:eastAsia="Times New Roman" w:hAnsi="Times New Roman" w:cs="Times New Roman"/>
          <w:iCs/>
          <w:color w:val="222222"/>
          <w:shd w:val="clear" w:color="auto" w:fill="FFFFFF"/>
        </w:rPr>
        <w:t>posizionamento</w:t>
      </w:r>
      <w:r w:rsidR="00BA458D" w:rsidRPr="00BA458D">
        <w:rPr>
          <w:rFonts w:ascii="Times New Roman" w:eastAsia="Times New Roman" w:hAnsi="Times New Roman" w:cs="Times New Roman"/>
          <w:iCs/>
          <w:color w:val="222222"/>
          <w:shd w:val="clear" w:color="auto" w:fill="FFFFFF"/>
        </w:rPr>
        <w:t xml:space="preserve"> </w:t>
      </w:r>
      <w:r w:rsidR="007024BE">
        <w:rPr>
          <w:rFonts w:ascii="Times New Roman" w:eastAsia="Times New Roman" w:hAnsi="Times New Roman" w:cs="Times New Roman"/>
          <w:iCs/>
          <w:color w:val="222222"/>
          <w:shd w:val="clear" w:color="auto" w:fill="FFFFFF"/>
        </w:rPr>
        <w:t>nel tempo dell’essere finito</w:t>
      </w:r>
      <w:r w:rsidR="00082BA5">
        <w:rPr>
          <w:rStyle w:val="Rimandonotaapidipagina"/>
          <w:rFonts w:ascii="Times New Roman" w:eastAsia="Times New Roman" w:hAnsi="Times New Roman" w:cs="Times New Roman"/>
          <w:iCs/>
          <w:color w:val="222222"/>
          <w:shd w:val="clear" w:color="auto" w:fill="FFFFFF"/>
        </w:rPr>
        <w:footnoteReference w:id="120"/>
      </w:r>
      <w:r w:rsidR="007024BE">
        <w:rPr>
          <w:rFonts w:ascii="Times New Roman" w:eastAsia="Times New Roman" w:hAnsi="Times New Roman" w:cs="Times New Roman"/>
          <w:iCs/>
          <w:color w:val="222222"/>
          <w:shd w:val="clear" w:color="auto" w:fill="FFFFFF"/>
        </w:rPr>
        <w:t xml:space="preserve">. </w:t>
      </w:r>
      <w:r w:rsidR="00082BA5">
        <w:rPr>
          <w:rFonts w:ascii="Times New Roman" w:eastAsia="Times New Roman" w:hAnsi="Times New Roman" w:cs="Times New Roman"/>
          <w:iCs/>
          <w:color w:val="222222"/>
          <w:shd w:val="clear" w:color="auto" w:fill="FFFFFF"/>
        </w:rPr>
        <w:t xml:space="preserve">Nell’eternità dell’unica sostanza </w:t>
      </w:r>
      <w:r w:rsidR="002369A8">
        <w:rPr>
          <w:rFonts w:ascii="Times New Roman" w:eastAsia="Times New Roman" w:hAnsi="Times New Roman" w:cs="Times New Roman"/>
          <w:iCs/>
          <w:color w:val="222222"/>
          <w:shd w:val="clear" w:color="auto" w:fill="FFFFFF"/>
        </w:rPr>
        <w:t xml:space="preserve">non vi è spazio per </w:t>
      </w:r>
      <w:r w:rsidR="003F5CF3">
        <w:rPr>
          <w:rFonts w:ascii="Times New Roman" w:eastAsia="Times New Roman" w:hAnsi="Times New Roman" w:cs="Times New Roman"/>
          <w:iCs/>
          <w:color w:val="222222"/>
          <w:shd w:val="clear" w:color="auto" w:fill="FFFFFF"/>
        </w:rPr>
        <w:t xml:space="preserve">le </w:t>
      </w:r>
      <w:r w:rsidR="002369A8">
        <w:rPr>
          <w:rFonts w:ascii="Times New Roman" w:eastAsia="Times New Roman" w:hAnsi="Times New Roman" w:cs="Times New Roman"/>
          <w:iCs/>
          <w:color w:val="222222"/>
          <w:shd w:val="clear" w:color="auto" w:fill="FFFFFF"/>
        </w:rPr>
        <w:t>distinz</w:t>
      </w:r>
      <w:r w:rsidR="003F5CF3">
        <w:rPr>
          <w:rFonts w:ascii="Times New Roman" w:eastAsia="Times New Roman" w:hAnsi="Times New Roman" w:cs="Times New Roman"/>
          <w:iCs/>
          <w:color w:val="222222"/>
          <w:shd w:val="clear" w:color="auto" w:fill="FFFFFF"/>
        </w:rPr>
        <w:t>ioni reali</w:t>
      </w:r>
      <w:r w:rsidR="002369A8">
        <w:rPr>
          <w:rFonts w:ascii="Times New Roman" w:eastAsia="Times New Roman" w:hAnsi="Times New Roman" w:cs="Times New Roman"/>
          <w:iCs/>
          <w:color w:val="222222"/>
          <w:shd w:val="clear" w:color="auto" w:fill="FFFFFF"/>
        </w:rPr>
        <w:t xml:space="preserve">: il finito, inteso sia come </w:t>
      </w:r>
      <w:r w:rsidR="00431567" w:rsidRPr="00FC5D6A">
        <w:rPr>
          <w:rFonts w:ascii="Times New Roman" w:eastAsia="Times New Roman" w:hAnsi="Times New Roman" w:cs="Times New Roman"/>
          <w:iCs/>
          <w:color w:val="222222"/>
          <w:shd w:val="clear" w:color="auto" w:fill="FFFFFF"/>
        </w:rPr>
        <w:t xml:space="preserve">ente </w:t>
      </w:r>
      <w:r w:rsidR="002369A8" w:rsidRPr="00FC5D6A">
        <w:rPr>
          <w:rFonts w:ascii="Times New Roman" w:eastAsia="Times New Roman" w:hAnsi="Times New Roman" w:cs="Times New Roman"/>
          <w:iCs/>
          <w:color w:val="222222"/>
          <w:shd w:val="clear" w:color="auto" w:fill="FFFFFF"/>
        </w:rPr>
        <w:t>particolare</w:t>
      </w:r>
      <w:r w:rsidR="00942F88" w:rsidRPr="00FC5D6A">
        <w:rPr>
          <w:rFonts w:ascii="Times New Roman" w:eastAsia="Times New Roman" w:hAnsi="Times New Roman" w:cs="Times New Roman"/>
          <w:iCs/>
          <w:color w:val="222222"/>
          <w:shd w:val="clear" w:color="auto" w:fill="FFFFFF"/>
        </w:rPr>
        <w:t>,</w:t>
      </w:r>
      <w:r w:rsidR="00431567" w:rsidRPr="00FC5D6A">
        <w:rPr>
          <w:rFonts w:ascii="Times New Roman" w:eastAsia="Times New Roman" w:hAnsi="Times New Roman" w:cs="Times New Roman"/>
          <w:iCs/>
          <w:color w:val="222222"/>
          <w:shd w:val="clear" w:color="auto" w:fill="FFFFFF"/>
        </w:rPr>
        <w:t xml:space="preserve"> che</w:t>
      </w:r>
      <w:r w:rsidR="002369A8">
        <w:rPr>
          <w:rFonts w:ascii="Times New Roman" w:eastAsia="Times New Roman" w:hAnsi="Times New Roman" w:cs="Times New Roman"/>
          <w:iCs/>
          <w:color w:val="222222"/>
          <w:shd w:val="clear" w:color="auto" w:fill="FFFFFF"/>
        </w:rPr>
        <w:t xml:space="preserve"> come sfera complessiva dell’essere determinato, non può rivendicare per sé forma </w:t>
      </w:r>
      <w:r w:rsidR="00657879">
        <w:rPr>
          <w:rFonts w:ascii="Times New Roman" w:eastAsia="Times New Roman" w:hAnsi="Times New Roman" w:cs="Times New Roman"/>
          <w:iCs/>
          <w:color w:val="222222"/>
          <w:shd w:val="clear" w:color="auto" w:fill="FFFFFF"/>
        </w:rPr>
        <w:t xml:space="preserve">alcuna </w:t>
      </w:r>
      <w:r w:rsidR="00683499">
        <w:rPr>
          <w:rFonts w:ascii="Times New Roman" w:eastAsia="Times New Roman" w:hAnsi="Times New Roman" w:cs="Times New Roman"/>
          <w:iCs/>
          <w:color w:val="222222"/>
          <w:shd w:val="clear" w:color="auto" w:fill="FFFFFF"/>
        </w:rPr>
        <w:t xml:space="preserve">d’autonomia, </w:t>
      </w:r>
      <w:r w:rsidR="00BA458D">
        <w:rPr>
          <w:rFonts w:ascii="Times New Roman" w:eastAsia="Times New Roman" w:hAnsi="Times New Roman" w:cs="Times New Roman"/>
          <w:iCs/>
          <w:color w:val="222222"/>
          <w:shd w:val="clear" w:color="auto" w:fill="FFFFFF"/>
        </w:rPr>
        <w:t xml:space="preserve">anche </w:t>
      </w:r>
      <w:r w:rsidR="00FC5D6A" w:rsidRPr="00683499">
        <w:rPr>
          <w:rFonts w:ascii="Times New Roman" w:eastAsia="Times New Roman" w:hAnsi="Times New Roman" w:cs="Times New Roman"/>
          <w:iCs/>
          <w:color w:val="222222"/>
          <w:shd w:val="clear" w:color="auto" w:fill="FFFFFF"/>
        </w:rPr>
        <w:t xml:space="preserve">perché Jacobi </w:t>
      </w:r>
      <w:r w:rsidR="003C51F0" w:rsidRPr="00683499">
        <w:rPr>
          <w:rFonts w:ascii="Times New Roman" w:eastAsia="Times New Roman" w:hAnsi="Times New Roman" w:cs="Times New Roman"/>
          <w:iCs/>
          <w:color w:val="222222"/>
          <w:shd w:val="clear" w:color="auto" w:fill="FFFFFF"/>
        </w:rPr>
        <w:t xml:space="preserve">ontologizza impropriamente il </w:t>
      </w:r>
      <w:r w:rsidR="00371062" w:rsidRPr="00683499">
        <w:rPr>
          <w:rFonts w:ascii="Times New Roman" w:eastAsia="Times New Roman" w:hAnsi="Times New Roman" w:cs="Times New Roman"/>
          <w:iCs/>
          <w:color w:val="222222"/>
          <w:shd w:val="clear" w:color="auto" w:fill="FFFFFF"/>
        </w:rPr>
        <w:t>principio</w:t>
      </w:r>
      <w:r w:rsidR="00431567" w:rsidRPr="00683499">
        <w:rPr>
          <w:rFonts w:ascii="Times New Roman" w:eastAsia="Times New Roman" w:hAnsi="Times New Roman" w:cs="Times New Roman"/>
          <w:iCs/>
          <w:color w:val="222222"/>
          <w:shd w:val="clear" w:color="auto" w:fill="FFFFFF"/>
        </w:rPr>
        <w:t xml:space="preserve"> </w:t>
      </w:r>
      <w:r w:rsidR="00371062" w:rsidRPr="00683499">
        <w:rPr>
          <w:rFonts w:ascii="Times New Roman" w:eastAsia="Times New Roman" w:hAnsi="Times New Roman" w:cs="Times New Roman"/>
          <w:iCs/>
          <w:color w:val="222222"/>
          <w:shd w:val="clear" w:color="auto" w:fill="FFFFFF"/>
        </w:rPr>
        <w:t>spinoziano</w:t>
      </w:r>
      <w:r w:rsidR="007617F5" w:rsidRPr="00683499">
        <w:rPr>
          <w:rFonts w:ascii="Times New Roman" w:eastAsia="Times New Roman" w:hAnsi="Times New Roman" w:cs="Times New Roman"/>
          <w:iCs/>
          <w:color w:val="222222"/>
          <w:shd w:val="clear" w:color="auto" w:fill="FFFFFF"/>
        </w:rPr>
        <w:t xml:space="preserve"> </w:t>
      </w:r>
      <w:r w:rsidR="00431567" w:rsidRPr="00683499">
        <w:rPr>
          <w:rFonts w:ascii="Times New Roman" w:eastAsia="Times New Roman" w:hAnsi="Times New Roman" w:cs="Times New Roman"/>
          <w:i/>
          <w:iCs/>
          <w:color w:val="222222"/>
          <w:shd w:val="clear" w:color="auto" w:fill="FFFFFF"/>
        </w:rPr>
        <w:t>determinatio est negatio</w:t>
      </w:r>
      <w:r w:rsidR="00431567" w:rsidRPr="00683499">
        <w:rPr>
          <w:rStyle w:val="Rimandonotaapidipagina"/>
          <w:rFonts w:ascii="Times New Roman" w:eastAsia="Times New Roman" w:hAnsi="Times New Roman" w:cs="Times New Roman"/>
          <w:iCs/>
          <w:color w:val="222222"/>
          <w:shd w:val="clear" w:color="auto" w:fill="FFFFFF"/>
        </w:rPr>
        <w:t xml:space="preserve"> </w:t>
      </w:r>
      <w:r w:rsidR="00247CC0" w:rsidRPr="00683499">
        <w:rPr>
          <w:rStyle w:val="Rimandonotaapidipagina"/>
          <w:rFonts w:ascii="Times New Roman" w:eastAsia="Times New Roman" w:hAnsi="Times New Roman" w:cs="Times New Roman"/>
          <w:iCs/>
          <w:color w:val="222222"/>
          <w:shd w:val="clear" w:color="auto" w:fill="FFFFFF"/>
        </w:rPr>
        <w:footnoteReference w:id="121"/>
      </w:r>
      <w:r w:rsidR="002369A8" w:rsidRPr="00683499">
        <w:rPr>
          <w:rFonts w:ascii="Times New Roman" w:eastAsia="Times New Roman" w:hAnsi="Times New Roman" w:cs="Times New Roman"/>
          <w:iCs/>
          <w:color w:val="222222"/>
          <w:shd w:val="clear" w:color="auto" w:fill="FFFFFF"/>
        </w:rPr>
        <w:t xml:space="preserve">: </w:t>
      </w:r>
    </w:p>
    <w:p w14:paraId="218CEE27" w14:textId="77777777" w:rsidR="002F2E5C" w:rsidRDefault="002F2E5C" w:rsidP="00782594">
      <w:pPr>
        <w:spacing w:line="360" w:lineRule="auto"/>
        <w:ind w:firstLine="567"/>
        <w:jc w:val="both"/>
        <w:rPr>
          <w:rFonts w:ascii="Times New Roman" w:eastAsia="Times New Roman" w:hAnsi="Times New Roman" w:cs="Times New Roman"/>
          <w:iCs/>
          <w:color w:val="222222"/>
          <w:shd w:val="clear" w:color="auto" w:fill="FFFFFF"/>
        </w:rPr>
      </w:pPr>
    </w:p>
    <w:p w14:paraId="36990B16" w14:textId="578B9F9A" w:rsidR="002F2E5C" w:rsidRPr="00BA458D" w:rsidRDefault="004A63EF" w:rsidP="00774B74">
      <w:pPr>
        <w:spacing w:line="360" w:lineRule="auto"/>
        <w:ind w:left="708" w:firstLine="567"/>
        <w:jc w:val="both"/>
        <w:rPr>
          <w:rFonts w:ascii="Times New Roman" w:hAnsi="Times New Roman" w:cs="Times New Roman"/>
          <w:sz w:val="20"/>
          <w:szCs w:val="20"/>
          <w:lang w:val="de-DE"/>
        </w:rPr>
      </w:pPr>
      <w:r w:rsidRPr="00BA458D">
        <w:rPr>
          <w:rFonts w:ascii="Times New Roman" w:eastAsia="Times New Roman" w:hAnsi="Times New Roman" w:cs="Times New Roman"/>
          <w:iCs/>
          <w:color w:val="222222"/>
          <w:sz w:val="20"/>
          <w:szCs w:val="20"/>
          <w:shd w:val="clear" w:color="auto" w:fill="FFFFFF"/>
        </w:rPr>
        <w:t>«Determinatio est negatio, seu determinatio ad rem juxta suum esse non pertinet. Die einzelnen Dinge also, in so ferne sie nur auf eine gewisse bestimmte Weise da sind, sind die non-entia; und das unbestimmte unendliche Wesen, ist das einzige wahrhafte ens reale, est omne esse, et praeter quod nullam datur esse</w:t>
      </w:r>
      <w:r w:rsidRPr="00BA458D">
        <w:rPr>
          <w:rFonts w:ascii="Times New Roman" w:hAnsi="Times New Roman" w:cs="Times New Roman"/>
          <w:sz w:val="20"/>
          <w:szCs w:val="20"/>
          <w:lang w:val="de-DE"/>
        </w:rPr>
        <w:t>»</w:t>
      </w:r>
      <w:r w:rsidRPr="00BA458D">
        <w:rPr>
          <w:rStyle w:val="Rimandonotaapidipagina"/>
          <w:rFonts w:ascii="Times New Roman" w:hAnsi="Times New Roman" w:cs="Times New Roman"/>
          <w:sz w:val="20"/>
          <w:szCs w:val="20"/>
          <w:lang w:val="de-DE"/>
        </w:rPr>
        <w:footnoteReference w:id="122"/>
      </w:r>
      <w:r w:rsidRPr="00BA458D">
        <w:rPr>
          <w:rFonts w:ascii="Times New Roman" w:hAnsi="Times New Roman" w:cs="Times New Roman"/>
          <w:sz w:val="20"/>
          <w:szCs w:val="20"/>
          <w:lang w:val="de-DE"/>
        </w:rPr>
        <w:t>.</w:t>
      </w:r>
    </w:p>
    <w:p w14:paraId="4D72D7E1" w14:textId="77777777" w:rsidR="00D119FE" w:rsidRPr="00553117" w:rsidRDefault="00D119FE" w:rsidP="00782594">
      <w:pPr>
        <w:spacing w:line="360" w:lineRule="auto"/>
        <w:ind w:firstLine="567"/>
        <w:jc w:val="both"/>
        <w:rPr>
          <w:rFonts w:ascii="Times New Roman" w:hAnsi="Times New Roman" w:cs="Times New Roman"/>
          <w:lang w:val="de-DE"/>
        </w:rPr>
      </w:pPr>
    </w:p>
    <w:p w14:paraId="47CD9821" w14:textId="2583CC8C" w:rsidR="00E04388" w:rsidRDefault="00D119FE" w:rsidP="00E04388">
      <w:pPr>
        <w:spacing w:line="360" w:lineRule="auto"/>
        <w:ind w:firstLine="567"/>
        <w:jc w:val="both"/>
        <w:rPr>
          <w:rFonts w:ascii="Times New Roman" w:eastAsia="Times New Roman" w:hAnsi="Times New Roman" w:cs="Times New Roman"/>
          <w:iCs/>
          <w:color w:val="222222"/>
          <w:shd w:val="clear" w:color="auto" w:fill="FFFFFF"/>
        </w:rPr>
      </w:pPr>
      <w:r w:rsidRPr="00AF1FC6">
        <w:rPr>
          <w:rFonts w:ascii="Times New Roman" w:eastAsia="Times New Roman" w:hAnsi="Times New Roman" w:cs="Times New Roman"/>
          <w:iCs/>
          <w:color w:val="222222"/>
          <w:shd w:val="clear" w:color="auto" w:fill="FFFFFF"/>
        </w:rPr>
        <w:t>La determinazione è negazione e le cose finite, proprio perché determinate</w:t>
      </w:r>
      <w:r w:rsidR="00054A85" w:rsidRPr="00AF1FC6">
        <w:rPr>
          <w:rFonts w:ascii="Times New Roman" w:eastAsia="Times New Roman" w:hAnsi="Times New Roman" w:cs="Times New Roman"/>
          <w:iCs/>
          <w:color w:val="222222"/>
          <w:shd w:val="clear" w:color="auto" w:fill="FFFFFF"/>
        </w:rPr>
        <w:t>,</w:t>
      </w:r>
      <w:r w:rsidR="004F086D" w:rsidRPr="00AF1FC6">
        <w:rPr>
          <w:rFonts w:ascii="Times New Roman" w:eastAsia="Times New Roman" w:hAnsi="Times New Roman" w:cs="Times New Roman"/>
          <w:iCs/>
          <w:color w:val="222222"/>
          <w:shd w:val="clear" w:color="auto" w:fill="FFFFFF"/>
        </w:rPr>
        <w:t xml:space="preserve"> sono dei </w:t>
      </w:r>
      <w:r w:rsidRPr="00AF1FC6">
        <w:rPr>
          <w:rFonts w:ascii="Times New Roman" w:eastAsia="Times New Roman" w:hAnsi="Times New Roman" w:cs="Times New Roman"/>
          <w:i/>
          <w:iCs/>
          <w:color w:val="222222"/>
          <w:shd w:val="clear" w:color="auto" w:fill="FFFFFF"/>
        </w:rPr>
        <w:t>non-entia</w:t>
      </w:r>
      <w:r w:rsidRPr="00AF1FC6">
        <w:rPr>
          <w:rFonts w:ascii="Times New Roman" w:eastAsia="Times New Roman" w:hAnsi="Times New Roman" w:cs="Times New Roman"/>
          <w:iCs/>
          <w:color w:val="222222"/>
          <w:shd w:val="clear" w:color="auto" w:fill="FFFFFF"/>
        </w:rPr>
        <w:t>.</w:t>
      </w:r>
      <w:r w:rsidR="00054A85" w:rsidRPr="00AF1FC6">
        <w:rPr>
          <w:rFonts w:ascii="Times New Roman" w:eastAsia="Times New Roman" w:hAnsi="Times New Roman" w:cs="Times New Roman"/>
          <w:iCs/>
          <w:color w:val="222222"/>
          <w:shd w:val="clear" w:color="auto" w:fill="FFFFFF"/>
        </w:rPr>
        <w:t xml:space="preserve"> </w:t>
      </w:r>
      <w:r w:rsidR="00F50ACB" w:rsidRPr="00AF1FC6">
        <w:rPr>
          <w:rFonts w:ascii="Times New Roman" w:eastAsia="Times New Roman" w:hAnsi="Times New Roman" w:cs="Times New Roman"/>
          <w:iCs/>
          <w:color w:val="222222"/>
          <w:shd w:val="clear" w:color="auto" w:fill="FFFFFF"/>
        </w:rPr>
        <w:t>S</w:t>
      </w:r>
      <w:r w:rsidR="003A33FA" w:rsidRPr="00AF1FC6">
        <w:rPr>
          <w:rFonts w:ascii="Times New Roman" w:eastAsia="Times New Roman" w:hAnsi="Times New Roman" w:cs="Times New Roman"/>
          <w:iCs/>
          <w:color w:val="222222"/>
          <w:shd w:val="clear" w:color="auto" w:fill="FFFFFF"/>
        </w:rPr>
        <w:t xml:space="preserve">e anche fosse possibile </w:t>
      </w:r>
      <w:r w:rsidR="00054A85" w:rsidRPr="00AF1FC6">
        <w:rPr>
          <w:rFonts w:ascii="Times New Roman" w:eastAsia="Times New Roman" w:hAnsi="Times New Roman" w:cs="Times New Roman"/>
          <w:iCs/>
          <w:color w:val="222222"/>
          <w:shd w:val="clear" w:color="auto" w:fill="FFFFFF"/>
        </w:rPr>
        <w:t xml:space="preserve">una </w:t>
      </w:r>
      <w:r w:rsidR="008165A5" w:rsidRPr="00AF1FC6">
        <w:rPr>
          <w:rFonts w:ascii="Times New Roman" w:eastAsia="Times New Roman" w:hAnsi="Times New Roman" w:cs="Times New Roman"/>
          <w:iCs/>
          <w:color w:val="222222"/>
          <w:shd w:val="clear" w:color="auto" w:fill="FFFFFF"/>
        </w:rPr>
        <w:t xml:space="preserve">differenziazione </w:t>
      </w:r>
      <w:r w:rsidR="003A33FA" w:rsidRPr="00AF1FC6">
        <w:rPr>
          <w:rFonts w:ascii="Times New Roman" w:eastAsia="Times New Roman" w:hAnsi="Times New Roman" w:cs="Times New Roman"/>
          <w:iCs/>
          <w:color w:val="222222"/>
          <w:shd w:val="clear" w:color="auto" w:fill="FFFFFF"/>
        </w:rPr>
        <w:t xml:space="preserve">del mondo </w:t>
      </w:r>
      <w:r w:rsidR="008165A5" w:rsidRPr="00AF1FC6">
        <w:rPr>
          <w:rFonts w:ascii="Times New Roman" w:eastAsia="Times New Roman" w:hAnsi="Times New Roman" w:cs="Times New Roman"/>
          <w:iCs/>
          <w:color w:val="222222"/>
          <w:shd w:val="clear" w:color="auto" w:fill="FFFFFF"/>
        </w:rPr>
        <w:t>dal</w:t>
      </w:r>
      <w:r w:rsidR="00F16B58" w:rsidRPr="00AF1FC6">
        <w:rPr>
          <w:rFonts w:ascii="Times New Roman" w:eastAsia="Times New Roman" w:hAnsi="Times New Roman" w:cs="Times New Roman"/>
          <w:iCs/>
          <w:color w:val="222222"/>
          <w:shd w:val="clear" w:color="auto" w:fill="FFFFFF"/>
        </w:rPr>
        <w:t>la</w:t>
      </w:r>
      <w:r w:rsidR="00D0572A" w:rsidRPr="00AF1FC6">
        <w:rPr>
          <w:rFonts w:ascii="Times New Roman" w:eastAsia="Times New Roman" w:hAnsi="Times New Roman" w:cs="Times New Roman"/>
          <w:i/>
          <w:iCs/>
          <w:color w:val="222222"/>
          <w:shd w:val="clear" w:color="auto" w:fill="FFFFFF"/>
        </w:rPr>
        <w:t xml:space="preserve"> </w:t>
      </w:r>
      <w:r w:rsidR="00D0572A" w:rsidRPr="00AF1FC6">
        <w:rPr>
          <w:rFonts w:ascii="Times New Roman" w:eastAsia="Times New Roman" w:hAnsi="Times New Roman" w:cs="Times New Roman"/>
          <w:iCs/>
          <w:color w:val="222222"/>
          <w:shd w:val="clear" w:color="auto" w:fill="FFFFFF"/>
        </w:rPr>
        <w:t>sostanza</w:t>
      </w:r>
      <w:r w:rsidR="003A33FA" w:rsidRPr="00AF1FC6">
        <w:rPr>
          <w:rFonts w:ascii="Times New Roman" w:eastAsia="Times New Roman" w:hAnsi="Times New Roman" w:cs="Times New Roman"/>
          <w:iCs/>
          <w:color w:val="222222"/>
          <w:shd w:val="clear" w:color="auto" w:fill="FFFFFF"/>
        </w:rPr>
        <w:t>, a ciò seguirebbe</w:t>
      </w:r>
      <w:r w:rsidR="003A33FA">
        <w:rPr>
          <w:rFonts w:ascii="Times New Roman" w:eastAsia="Times New Roman" w:hAnsi="Times New Roman" w:cs="Times New Roman"/>
          <w:iCs/>
          <w:color w:val="222222"/>
          <w:shd w:val="clear" w:color="auto" w:fill="FFFFFF"/>
        </w:rPr>
        <w:t xml:space="preserve">, proprio in virtù del principio </w:t>
      </w:r>
      <w:r w:rsidR="003A33FA" w:rsidRPr="003A33FA">
        <w:rPr>
          <w:rFonts w:ascii="Times New Roman" w:eastAsia="Times New Roman" w:hAnsi="Times New Roman" w:cs="Times New Roman"/>
          <w:i/>
          <w:iCs/>
          <w:color w:val="222222"/>
          <w:shd w:val="clear" w:color="auto" w:fill="FFFFFF"/>
        </w:rPr>
        <w:t>determinatio est negatio</w:t>
      </w:r>
      <w:r w:rsidR="007E1ED4">
        <w:rPr>
          <w:rFonts w:ascii="Times New Roman" w:eastAsia="Times New Roman" w:hAnsi="Times New Roman" w:cs="Times New Roman"/>
          <w:iCs/>
          <w:color w:val="222222"/>
          <w:shd w:val="clear" w:color="auto" w:fill="FFFFFF"/>
        </w:rPr>
        <w:t>, la sua negazione e</w:t>
      </w:r>
      <w:r w:rsidR="003A33FA">
        <w:rPr>
          <w:rFonts w:ascii="Times New Roman" w:eastAsia="Times New Roman" w:hAnsi="Times New Roman" w:cs="Times New Roman"/>
          <w:iCs/>
          <w:color w:val="222222"/>
          <w:shd w:val="clear" w:color="auto" w:fill="FFFFFF"/>
        </w:rPr>
        <w:t xml:space="preserve"> il</w:t>
      </w:r>
      <w:r w:rsidR="00F13727">
        <w:rPr>
          <w:rFonts w:ascii="Times New Roman" w:eastAsia="Times New Roman" w:hAnsi="Times New Roman" w:cs="Times New Roman"/>
          <w:iCs/>
          <w:color w:val="222222"/>
          <w:shd w:val="clear" w:color="auto" w:fill="FFFFFF"/>
        </w:rPr>
        <w:t xml:space="preserve"> suo </w:t>
      </w:r>
      <w:r w:rsidR="004F086D">
        <w:rPr>
          <w:rFonts w:ascii="Times New Roman" w:eastAsia="Times New Roman" w:hAnsi="Times New Roman" w:cs="Times New Roman"/>
          <w:iCs/>
          <w:color w:val="222222"/>
          <w:shd w:val="clear" w:color="auto" w:fill="FFFFFF"/>
        </w:rPr>
        <w:t>essere ricompreso</w:t>
      </w:r>
      <w:r w:rsidR="00DA4A36">
        <w:rPr>
          <w:rFonts w:ascii="Times New Roman" w:eastAsia="Times New Roman" w:hAnsi="Times New Roman" w:cs="Times New Roman"/>
          <w:iCs/>
          <w:color w:val="222222"/>
          <w:shd w:val="clear" w:color="auto" w:fill="FFFFFF"/>
        </w:rPr>
        <w:t xml:space="preserve"> </w:t>
      </w:r>
      <w:r w:rsidR="00054A85">
        <w:rPr>
          <w:rFonts w:ascii="Times New Roman" w:eastAsia="Times New Roman" w:hAnsi="Times New Roman" w:cs="Times New Roman"/>
          <w:iCs/>
          <w:color w:val="222222"/>
          <w:shd w:val="clear" w:color="auto" w:fill="FFFFFF"/>
        </w:rPr>
        <w:t>nell’unità dell’</w:t>
      </w:r>
      <w:r w:rsidR="00F50ACB">
        <w:rPr>
          <w:rFonts w:ascii="Times New Roman" w:eastAsia="Times New Roman" w:hAnsi="Times New Roman" w:cs="Times New Roman"/>
          <w:i/>
          <w:iCs/>
          <w:color w:val="222222"/>
          <w:shd w:val="clear" w:color="auto" w:fill="FFFFFF"/>
        </w:rPr>
        <w:t xml:space="preserve">einziges und warhaftes </w:t>
      </w:r>
      <w:r w:rsidR="008165A5">
        <w:rPr>
          <w:rFonts w:ascii="Times New Roman" w:eastAsia="Times New Roman" w:hAnsi="Times New Roman" w:cs="Times New Roman"/>
          <w:i/>
          <w:iCs/>
          <w:color w:val="222222"/>
          <w:shd w:val="clear" w:color="auto" w:fill="FFFFFF"/>
        </w:rPr>
        <w:t>E</w:t>
      </w:r>
      <w:r w:rsidR="00054A85" w:rsidRPr="00054A85">
        <w:rPr>
          <w:rFonts w:ascii="Times New Roman" w:eastAsia="Times New Roman" w:hAnsi="Times New Roman" w:cs="Times New Roman"/>
          <w:i/>
          <w:iCs/>
          <w:color w:val="222222"/>
          <w:shd w:val="clear" w:color="auto" w:fill="FFFFFF"/>
        </w:rPr>
        <w:t>ns reale</w:t>
      </w:r>
      <w:r w:rsidR="00936A5B">
        <w:rPr>
          <w:rFonts w:ascii="Times New Roman" w:eastAsia="Times New Roman" w:hAnsi="Times New Roman" w:cs="Times New Roman"/>
          <w:iCs/>
          <w:color w:val="222222"/>
          <w:shd w:val="clear" w:color="auto" w:fill="FFFFFF"/>
        </w:rPr>
        <w:t>.</w:t>
      </w:r>
      <w:r w:rsidR="002E546F">
        <w:rPr>
          <w:rFonts w:ascii="Times New Roman" w:eastAsia="Times New Roman" w:hAnsi="Times New Roman" w:cs="Times New Roman"/>
          <w:iCs/>
          <w:color w:val="222222"/>
          <w:shd w:val="clear" w:color="auto" w:fill="FFFFFF"/>
        </w:rPr>
        <w:t xml:space="preserve"> </w:t>
      </w:r>
      <w:r w:rsidR="00AB0D71" w:rsidRPr="00880976">
        <w:rPr>
          <w:rFonts w:ascii="Times New Roman" w:eastAsia="Times New Roman" w:hAnsi="Times New Roman" w:cs="Times New Roman"/>
          <w:iCs/>
          <w:color w:val="222222"/>
          <w:shd w:val="clear" w:color="auto" w:fill="FFFFFF"/>
        </w:rPr>
        <w:t>A</w:t>
      </w:r>
      <w:r w:rsidR="002E546F" w:rsidRPr="00880976">
        <w:rPr>
          <w:rFonts w:ascii="Times New Roman" w:eastAsia="Times New Roman" w:hAnsi="Times New Roman" w:cs="Times New Roman"/>
          <w:iCs/>
          <w:color w:val="222222"/>
          <w:shd w:val="clear" w:color="auto" w:fill="FFFFFF"/>
        </w:rPr>
        <w:t>ll’unica sostanza</w:t>
      </w:r>
      <w:r w:rsidR="004E503E" w:rsidRPr="00880976">
        <w:rPr>
          <w:rFonts w:ascii="Times New Roman" w:eastAsia="Times New Roman" w:hAnsi="Times New Roman" w:cs="Times New Roman"/>
          <w:iCs/>
          <w:color w:val="222222"/>
          <w:shd w:val="clear" w:color="auto" w:fill="FFFFFF"/>
        </w:rPr>
        <w:t>, che eccede, permea e annulla</w:t>
      </w:r>
      <w:r w:rsidR="00B53E6D" w:rsidRPr="00880976">
        <w:rPr>
          <w:rFonts w:ascii="Times New Roman" w:eastAsia="Times New Roman" w:hAnsi="Times New Roman" w:cs="Times New Roman"/>
          <w:iCs/>
          <w:color w:val="222222"/>
          <w:shd w:val="clear" w:color="auto" w:fill="FFFFFF"/>
        </w:rPr>
        <w:t xml:space="preserve"> </w:t>
      </w:r>
      <w:r w:rsidR="004E503E" w:rsidRPr="00880976">
        <w:rPr>
          <w:rFonts w:ascii="Times New Roman" w:eastAsia="Times New Roman" w:hAnsi="Times New Roman" w:cs="Times New Roman"/>
          <w:iCs/>
          <w:color w:val="222222"/>
          <w:shd w:val="clear" w:color="auto" w:fill="FFFFFF"/>
        </w:rPr>
        <w:t>l’essere per sé di ogni sua determinazione,</w:t>
      </w:r>
      <w:r w:rsidR="00195B36" w:rsidRPr="00880976">
        <w:rPr>
          <w:rFonts w:ascii="Times New Roman" w:eastAsia="Times New Roman" w:hAnsi="Times New Roman" w:cs="Times New Roman"/>
          <w:iCs/>
          <w:color w:val="222222"/>
          <w:shd w:val="clear" w:color="auto" w:fill="FFFFFF"/>
        </w:rPr>
        <w:t xml:space="preserve"> </w:t>
      </w:r>
      <w:r w:rsidR="002E546F" w:rsidRPr="00880976">
        <w:rPr>
          <w:rFonts w:ascii="Times New Roman" w:eastAsia="Times New Roman" w:hAnsi="Times New Roman" w:cs="Times New Roman"/>
          <w:iCs/>
          <w:color w:val="222222"/>
          <w:shd w:val="clear" w:color="auto" w:fill="FFFFFF"/>
        </w:rPr>
        <w:t>compete</w:t>
      </w:r>
      <w:r w:rsidR="00AB0D71" w:rsidRPr="00880976">
        <w:rPr>
          <w:rFonts w:ascii="Times New Roman" w:eastAsia="Times New Roman" w:hAnsi="Times New Roman" w:cs="Times New Roman"/>
          <w:iCs/>
          <w:color w:val="222222"/>
          <w:shd w:val="clear" w:color="auto" w:fill="FFFFFF"/>
        </w:rPr>
        <w:t xml:space="preserve"> </w:t>
      </w:r>
      <w:r w:rsidR="002E546F" w:rsidRPr="00880976">
        <w:rPr>
          <w:rFonts w:ascii="Times New Roman" w:eastAsia="Times New Roman" w:hAnsi="Times New Roman" w:cs="Times New Roman"/>
          <w:iCs/>
          <w:color w:val="222222"/>
          <w:shd w:val="clear" w:color="auto" w:fill="FFFFFF"/>
        </w:rPr>
        <w:t xml:space="preserve">un </w:t>
      </w:r>
      <w:r w:rsidR="002E546F" w:rsidRPr="00880976">
        <w:rPr>
          <w:rFonts w:ascii="Times New Roman" w:eastAsia="Times New Roman" w:hAnsi="Times New Roman" w:cs="Times New Roman"/>
          <w:i/>
          <w:iCs/>
          <w:color w:val="222222"/>
          <w:shd w:val="clear" w:color="auto" w:fill="FFFFFF"/>
        </w:rPr>
        <w:t>omne esse</w:t>
      </w:r>
      <w:r w:rsidR="008266CC" w:rsidRPr="00880976">
        <w:rPr>
          <w:rFonts w:ascii="Times New Roman" w:eastAsia="Times New Roman" w:hAnsi="Times New Roman" w:cs="Times New Roman"/>
          <w:iCs/>
          <w:color w:val="222222"/>
          <w:shd w:val="clear" w:color="auto" w:fill="FFFFFF"/>
        </w:rPr>
        <w:t xml:space="preserve"> indeterminato</w:t>
      </w:r>
      <w:r w:rsidR="002E546F" w:rsidRPr="00880976">
        <w:rPr>
          <w:rFonts w:ascii="Times New Roman" w:eastAsia="Times New Roman" w:hAnsi="Times New Roman" w:cs="Times New Roman"/>
          <w:iCs/>
          <w:color w:val="222222"/>
          <w:shd w:val="clear" w:color="auto" w:fill="FFFFFF"/>
        </w:rPr>
        <w:t>.</w:t>
      </w:r>
      <w:r w:rsidR="002E546F">
        <w:rPr>
          <w:rFonts w:ascii="Times New Roman" w:eastAsia="Times New Roman" w:hAnsi="Times New Roman" w:cs="Times New Roman"/>
          <w:iCs/>
          <w:color w:val="222222"/>
          <w:shd w:val="clear" w:color="auto" w:fill="FFFFFF"/>
        </w:rPr>
        <w:t xml:space="preserve"> </w:t>
      </w:r>
      <w:r w:rsidR="00C005C5">
        <w:rPr>
          <w:rFonts w:ascii="Times New Roman" w:eastAsia="Times New Roman" w:hAnsi="Times New Roman" w:cs="Times New Roman"/>
          <w:iCs/>
          <w:color w:val="222222"/>
          <w:shd w:val="clear" w:color="auto" w:fill="FFFFFF"/>
        </w:rPr>
        <w:t>Per di più,</w:t>
      </w:r>
      <w:r w:rsidR="0048202C" w:rsidRPr="00547986">
        <w:rPr>
          <w:rFonts w:ascii="Times New Roman" w:eastAsia="Times New Roman" w:hAnsi="Times New Roman" w:cs="Times New Roman"/>
          <w:iCs/>
          <w:color w:val="222222"/>
          <w:shd w:val="clear" w:color="auto" w:fill="FFFFFF"/>
        </w:rPr>
        <w:t xml:space="preserve"> e questo mi sembra essere un aspetto fondamentale della questione,</w:t>
      </w:r>
      <w:r w:rsidR="002E546F" w:rsidRPr="00547986">
        <w:rPr>
          <w:rFonts w:ascii="Times New Roman" w:eastAsia="Times New Roman" w:hAnsi="Times New Roman" w:cs="Times New Roman"/>
          <w:iCs/>
          <w:color w:val="222222"/>
          <w:shd w:val="clear" w:color="auto" w:fill="FFFFFF"/>
        </w:rPr>
        <w:t xml:space="preserve"> se anche </w:t>
      </w:r>
      <w:r w:rsidR="00DA4A36" w:rsidRPr="00547986">
        <w:rPr>
          <w:rFonts w:ascii="Times New Roman" w:eastAsia="Times New Roman" w:hAnsi="Times New Roman" w:cs="Times New Roman"/>
          <w:iCs/>
          <w:color w:val="222222"/>
          <w:shd w:val="clear" w:color="auto" w:fill="FFFFFF"/>
        </w:rPr>
        <w:t>s’ammettesse</w:t>
      </w:r>
      <w:r w:rsidR="00AB0D71" w:rsidRPr="00547986">
        <w:rPr>
          <w:rFonts w:ascii="Times New Roman" w:eastAsia="Times New Roman" w:hAnsi="Times New Roman" w:cs="Times New Roman"/>
          <w:iCs/>
          <w:color w:val="222222"/>
          <w:shd w:val="clear" w:color="auto" w:fill="FFFFFF"/>
        </w:rPr>
        <w:t xml:space="preserve"> </w:t>
      </w:r>
      <w:r w:rsidR="00AE2D1D">
        <w:rPr>
          <w:rFonts w:ascii="Times New Roman" w:eastAsia="Times New Roman" w:hAnsi="Times New Roman" w:cs="Times New Roman"/>
          <w:iCs/>
          <w:color w:val="222222"/>
          <w:shd w:val="clear" w:color="auto" w:fill="FFFFFF"/>
        </w:rPr>
        <w:t xml:space="preserve">e mantenesse </w:t>
      </w:r>
      <w:r w:rsidR="002E546F" w:rsidRPr="00547986">
        <w:rPr>
          <w:rFonts w:ascii="Times New Roman" w:eastAsia="Times New Roman" w:hAnsi="Times New Roman" w:cs="Times New Roman"/>
          <w:iCs/>
          <w:color w:val="222222"/>
          <w:shd w:val="clear" w:color="auto" w:fill="FFFFFF"/>
        </w:rPr>
        <w:t xml:space="preserve">fra </w:t>
      </w:r>
      <w:r w:rsidR="00947132" w:rsidRPr="00547986">
        <w:rPr>
          <w:rFonts w:ascii="Times New Roman" w:eastAsia="Times New Roman" w:hAnsi="Times New Roman" w:cs="Times New Roman"/>
          <w:iCs/>
          <w:color w:val="222222"/>
          <w:shd w:val="clear" w:color="auto" w:fill="FFFFFF"/>
        </w:rPr>
        <w:t xml:space="preserve">fondato </w:t>
      </w:r>
      <w:r w:rsidR="002E546F" w:rsidRPr="00547986">
        <w:rPr>
          <w:rFonts w:ascii="Times New Roman" w:eastAsia="Times New Roman" w:hAnsi="Times New Roman" w:cs="Times New Roman"/>
          <w:iCs/>
          <w:color w:val="222222"/>
          <w:shd w:val="clear" w:color="auto" w:fill="FFFFFF"/>
        </w:rPr>
        <w:t xml:space="preserve">e </w:t>
      </w:r>
      <w:r w:rsidR="00947132" w:rsidRPr="00547986">
        <w:rPr>
          <w:rFonts w:ascii="Times New Roman" w:eastAsia="Times New Roman" w:hAnsi="Times New Roman" w:cs="Times New Roman"/>
          <w:iCs/>
          <w:color w:val="222222"/>
          <w:shd w:val="clear" w:color="auto" w:fill="FFFFFF"/>
        </w:rPr>
        <w:t>fondante</w:t>
      </w:r>
      <w:r w:rsidR="007F331A" w:rsidRPr="00547986">
        <w:rPr>
          <w:rFonts w:ascii="Times New Roman" w:eastAsia="Times New Roman" w:hAnsi="Times New Roman" w:cs="Times New Roman"/>
          <w:iCs/>
          <w:color w:val="222222"/>
          <w:shd w:val="clear" w:color="auto" w:fill="FFFFFF"/>
        </w:rPr>
        <w:t xml:space="preserve"> una distinzione logica, non ontologica</w:t>
      </w:r>
      <w:r w:rsidR="00E576AD" w:rsidRPr="00547986">
        <w:rPr>
          <w:rStyle w:val="Rimandonotaapidipagina"/>
          <w:rFonts w:ascii="Times New Roman" w:eastAsia="Times New Roman" w:hAnsi="Times New Roman" w:cs="Times New Roman"/>
          <w:iCs/>
          <w:color w:val="222222"/>
          <w:shd w:val="clear" w:color="auto" w:fill="FFFFFF"/>
        </w:rPr>
        <w:footnoteReference w:id="123"/>
      </w:r>
      <w:r w:rsidR="007F331A" w:rsidRPr="00547986">
        <w:rPr>
          <w:rFonts w:ascii="Times New Roman" w:eastAsia="Times New Roman" w:hAnsi="Times New Roman" w:cs="Times New Roman"/>
          <w:iCs/>
          <w:color w:val="222222"/>
          <w:shd w:val="clear" w:color="auto" w:fill="FFFFFF"/>
        </w:rPr>
        <w:t xml:space="preserve">, </w:t>
      </w:r>
      <w:r w:rsidR="002E546F" w:rsidRPr="00547986">
        <w:rPr>
          <w:rFonts w:ascii="Times New Roman" w:eastAsia="Times New Roman" w:hAnsi="Times New Roman" w:cs="Times New Roman"/>
          <w:iCs/>
          <w:color w:val="222222"/>
          <w:shd w:val="clear" w:color="auto" w:fill="FFFFFF"/>
        </w:rPr>
        <w:t xml:space="preserve">non si farebbe altro che ricadere </w:t>
      </w:r>
      <w:r w:rsidR="00AB0D71" w:rsidRPr="00547986">
        <w:rPr>
          <w:rFonts w:ascii="Times New Roman" w:eastAsia="Times New Roman" w:hAnsi="Times New Roman" w:cs="Times New Roman"/>
          <w:iCs/>
          <w:color w:val="222222"/>
          <w:shd w:val="clear" w:color="auto" w:fill="FFFFFF"/>
        </w:rPr>
        <w:t xml:space="preserve">in quel </w:t>
      </w:r>
      <w:r w:rsidR="00AB0D71" w:rsidRPr="00547986">
        <w:rPr>
          <w:rFonts w:ascii="Times New Roman" w:eastAsia="Times New Roman" w:hAnsi="Times New Roman" w:cs="Times New Roman"/>
          <w:i/>
          <w:iCs/>
          <w:color w:val="222222"/>
          <w:shd w:val="clear" w:color="auto" w:fill="FFFFFF"/>
        </w:rPr>
        <w:t>chimerismo</w:t>
      </w:r>
      <w:r w:rsidR="00AB0D71" w:rsidRPr="00547986">
        <w:rPr>
          <w:rFonts w:ascii="Times New Roman" w:eastAsia="Times New Roman" w:hAnsi="Times New Roman" w:cs="Times New Roman"/>
          <w:iCs/>
          <w:color w:val="222222"/>
          <w:shd w:val="clear" w:color="auto" w:fill="FFFFFF"/>
        </w:rPr>
        <w:t xml:space="preserve">, </w:t>
      </w:r>
      <w:r w:rsidR="00DA4A36" w:rsidRPr="00547986">
        <w:rPr>
          <w:rFonts w:ascii="Times New Roman" w:eastAsia="Times New Roman" w:hAnsi="Times New Roman" w:cs="Times New Roman"/>
          <w:iCs/>
          <w:color w:val="222222"/>
          <w:shd w:val="clear" w:color="auto" w:fill="FFFFFF"/>
        </w:rPr>
        <w:t xml:space="preserve">o </w:t>
      </w:r>
      <w:r w:rsidR="00AB0D71" w:rsidRPr="00547986">
        <w:rPr>
          <w:rFonts w:ascii="Times New Roman" w:eastAsia="Times New Roman" w:hAnsi="Times New Roman" w:cs="Times New Roman"/>
          <w:iCs/>
          <w:color w:val="222222"/>
          <w:shd w:val="clear" w:color="auto" w:fill="FFFFFF"/>
        </w:rPr>
        <w:t xml:space="preserve">in quel </w:t>
      </w:r>
      <w:r w:rsidR="00AB0D71" w:rsidRPr="00547986">
        <w:rPr>
          <w:rFonts w:ascii="Times New Roman" w:eastAsia="Times New Roman" w:hAnsi="Times New Roman" w:cs="Times New Roman"/>
          <w:i/>
          <w:iCs/>
          <w:color w:val="222222"/>
          <w:shd w:val="clear" w:color="auto" w:fill="FFFFFF"/>
        </w:rPr>
        <w:t>nichilismo</w:t>
      </w:r>
      <w:r w:rsidR="00DA4A36" w:rsidRPr="00547986">
        <w:rPr>
          <w:rFonts w:ascii="Times New Roman" w:eastAsia="Times New Roman" w:hAnsi="Times New Roman" w:cs="Times New Roman"/>
          <w:iCs/>
          <w:color w:val="222222"/>
          <w:shd w:val="clear" w:color="auto" w:fill="FFFFFF"/>
        </w:rPr>
        <w:t>,</w:t>
      </w:r>
      <w:r w:rsidR="004F086D" w:rsidRPr="00547986">
        <w:rPr>
          <w:rFonts w:ascii="Times New Roman" w:eastAsia="Times New Roman" w:hAnsi="Times New Roman" w:cs="Times New Roman"/>
          <w:iCs/>
          <w:color w:val="222222"/>
          <w:shd w:val="clear" w:color="auto" w:fill="FFFFFF"/>
        </w:rPr>
        <w:t xml:space="preserve"> proprio</w:t>
      </w:r>
      <w:r w:rsidR="002E546F" w:rsidRPr="00547986">
        <w:rPr>
          <w:rFonts w:ascii="Times New Roman" w:eastAsia="Times New Roman" w:hAnsi="Times New Roman" w:cs="Times New Roman"/>
          <w:iCs/>
          <w:color w:val="222222"/>
          <w:shd w:val="clear" w:color="auto" w:fill="FFFFFF"/>
        </w:rPr>
        <w:t xml:space="preserve"> </w:t>
      </w:r>
      <w:r w:rsidR="007F331A" w:rsidRPr="00547986">
        <w:rPr>
          <w:rFonts w:ascii="Times New Roman" w:eastAsia="Times New Roman" w:hAnsi="Times New Roman" w:cs="Times New Roman"/>
          <w:iCs/>
          <w:color w:val="222222"/>
          <w:shd w:val="clear" w:color="auto" w:fill="FFFFFF"/>
        </w:rPr>
        <w:t xml:space="preserve">anche </w:t>
      </w:r>
      <w:r w:rsidR="002E546F" w:rsidRPr="00547986">
        <w:rPr>
          <w:rFonts w:ascii="Times New Roman" w:eastAsia="Times New Roman" w:hAnsi="Times New Roman" w:cs="Times New Roman"/>
          <w:iCs/>
          <w:color w:val="222222"/>
          <w:shd w:val="clear" w:color="auto" w:fill="FFFFFF"/>
        </w:rPr>
        <w:t>dell’idealismo fichtiano.</w:t>
      </w:r>
      <w:r w:rsidR="002E546F">
        <w:rPr>
          <w:rFonts w:ascii="Times New Roman" w:eastAsia="Times New Roman" w:hAnsi="Times New Roman" w:cs="Times New Roman"/>
          <w:iCs/>
          <w:color w:val="222222"/>
          <w:shd w:val="clear" w:color="auto" w:fill="FFFFFF"/>
        </w:rPr>
        <w:t xml:space="preserve"> </w:t>
      </w:r>
    </w:p>
    <w:p w14:paraId="77ABA1CA" w14:textId="7EBFB439" w:rsidR="00005C8B" w:rsidRPr="00D620C3" w:rsidRDefault="00553117" w:rsidP="00E04388">
      <w:pPr>
        <w:spacing w:line="360" w:lineRule="auto"/>
        <w:ind w:firstLine="567"/>
        <w:jc w:val="both"/>
        <w:rPr>
          <w:rFonts w:ascii="Times New Roman" w:eastAsia="Times New Roman" w:hAnsi="Times New Roman" w:cs="Times New Roman"/>
          <w:iCs/>
          <w:color w:val="222222"/>
          <w:shd w:val="clear" w:color="auto" w:fill="FFFFFF"/>
        </w:rPr>
      </w:pPr>
      <w:r>
        <w:rPr>
          <w:rFonts w:ascii="Times New Roman" w:eastAsia="Times New Roman" w:hAnsi="Times New Roman" w:cs="Times New Roman"/>
          <w:iCs/>
          <w:color w:val="222222"/>
          <w:shd w:val="clear" w:color="auto" w:fill="FFFFFF"/>
        </w:rPr>
        <w:t>N</w:t>
      </w:r>
      <w:r w:rsidR="007F331A">
        <w:rPr>
          <w:rFonts w:ascii="Times New Roman" w:eastAsia="Times New Roman" w:hAnsi="Times New Roman" w:cs="Times New Roman"/>
          <w:iCs/>
          <w:color w:val="222222"/>
          <w:shd w:val="clear" w:color="auto" w:fill="FFFFFF"/>
        </w:rPr>
        <w:t xml:space="preserve">el caso di Spinoza, </w:t>
      </w:r>
      <w:r w:rsidR="004E5CCA">
        <w:rPr>
          <w:rFonts w:ascii="Times New Roman" w:eastAsia="Times New Roman" w:hAnsi="Times New Roman" w:cs="Times New Roman"/>
          <w:iCs/>
          <w:color w:val="222222"/>
          <w:shd w:val="clear" w:color="auto" w:fill="FFFFFF"/>
        </w:rPr>
        <w:t>i</w:t>
      </w:r>
      <w:r w:rsidR="00D92501">
        <w:rPr>
          <w:rFonts w:ascii="Times New Roman" w:eastAsia="Times New Roman" w:hAnsi="Times New Roman" w:cs="Times New Roman"/>
          <w:iCs/>
          <w:color w:val="222222"/>
          <w:shd w:val="clear" w:color="auto" w:fill="FFFFFF"/>
        </w:rPr>
        <w:t xml:space="preserve">l </w:t>
      </w:r>
      <w:r w:rsidR="00DF4ACD">
        <w:rPr>
          <w:rFonts w:ascii="Times New Roman" w:eastAsia="Times New Roman" w:hAnsi="Times New Roman" w:cs="Times New Roman"/>
          <w:iCs/>
          <w:color w:val="222222"/>
          <w:shd w:val="clear" w:color="auto" w:fill="FFFFFF"/>
        </w:rPr>
        <w:t xml:space="preserve">muoversi </w:t>
      </w:r>
      <w:r w:rsidR="004F086D" w:rsidRPr="00B24F82">
        <w:rPr>
          <w:rFonts w:ascii="Times New Roman" w:eastAsia="Times New Roman" w:hAnsi="Times New Roman" w:cs="Times New Roman"/>
          <w:color w:val="000000"/>
        </w:rPr>
        <w:t>«aus Nichts, zu Nichts, für Nichts, in Nichts»</w:t>
      </w:r>
      <w:r w:rsidR="004E5CCA">
        <w:rPr>
          <w:rFonts w:ascii="Times New Roman" w:eastAsia="Times New Roman" w:hAnsi="Times New Roman" w:cs="Times New Roman"/>
          <w:color w:val="000000"/>
        </w:rPr>
        <w:t xml:space="preserve"> </w:t>
      </w:r>
      <w:r w:rsidR="004F086D">
        <w:rPr>
          <w:rFonts w:ascii="Times New Roman" w:eastAsia="Times New Roman" w:hAnsi="Times New Roman" w:cs="Times New Roman"/>
          <w:color w:val="000000"/>
        </w:rPr>
        <w:t>è determinato dall’applicazione del principio cab</w:t>
      </w:r>
      <w:r w:rsidR="00431567">
        <w:rPr>
          <w:rFonts w:ascii="Times New Roman" w:eastAsia="Times New Roman" w:hAnsi="Times New Roman" w:cs="Times New Roman"/>
          <w:color w:val="000000"/>
        </w:rPr>
        <w:t>b</w:t>
      </w:r>
      <w:r w:rsidR="004F086D">
        <w:rPr>
          <w:rFonts w:ascii="Times New Roman" w:eastAsia="Times New Roman" w:hAnsi="Times New Roman" w:cs="Times New Roman"/>
          <w:color w:val="000000"/>
        </w:rPr>
        <w:t xml:space="preserve">alistico </w:t>
      </w:r>
      <w:r w:rsidR="004F086D" w:rsidRPr="004F086D">
        <w:rPr>
          <w:rFonts w:ascii="Times New Roman" w:eastAsia="Times New Roman" w:hAnsi="Times New Roman" w:cs="Times New Roman"/>
          <w:i/>
          <w:color w:val="000000"/>
        </w:rPr>
        <w:t>a nihilo nihil fit</w:t>
      </w:r>
      <w:r w:rsidR="004F086D">
        <w:rPr>
          <w:rFonts w:ascii="Times New Roman" w:eastAsia="Times New Roman" w:hAnsi="Times New Roman" w:cs="Times New Roman"/>
          <w:color w:val="000000"/>
        </w:rPr>
        <w:t xml:space="preserve">, in forza del quale non può essere ascritta nessuna attività causale alla sostanza e, in conseguenza di </w:t>
      </w:r>
      <w:r w:rsidR="004F086D" w:rsidRPr="004E5CCA">
        <w:rPr>
          <w:rFonts w:ascii="Times New Roman" w:eastAsia="Times New Roman" w:hAnsi="Times New Roman" w:cs="Times New Roman"/>
          <w:color w:val="000000"/>
        </w:rPr>
        <w:t>ciò, nessun essere</w:t>
      </w:r>
      <w:r w:rsidR="00F632CC" w:rsidRPr="004E5CCA">
        <w:rPr>
          <w:rFonts w:ascii="Times New Roman" w:eastAsia="Times New Roman" w:hAnsi="Times New Roman" w:cs="Times New Roman"/>
          <w:color w:val="000000"/>
        </w:rPr>
        <w:t xml:space="preserve"> per </w:t>
      </w:r>
      <w:r w:rsidR="00F632CC" w:rsidRPr="00C005C5">
        <w:rPr>
          <w:rFonts w:ascii="Times New Roman" w:eastAsia="Times New Roman" w:hAnsi="Times New Roman" w:cs="Times New Roman"/>
          <w:color w:val="000000"/>
        </w:rPr>
        <w:t xml:space="preserve">sé </w:t>
      </w:r>
      <w:r w:rsidR="00C07186" w:rsidRPr="00C005C5">
        <w:rPr>
          <w:rFonts w:ascii="Times New Roman" w:eastAsia="Times New Roman" w:hAnsi="Times New Roman" w:cs="Times New Roman"/>
          <w:color w:val="000000"/>
        </w:rPr>
        <w:t>al mondo</w:t>
      </w:r>
      <w:r w:rsidR="004F086D" w:rsidRPr="00C005C5">
        <w:rPr>
          <w:rFonts w:ascii="Times New Roman" w:eastAsia="Times New Roman" w:hAnsi="Times New Roman" w:cs="Times New Roman"/>
          <w:color w:val="000000"/>
        </w:rPr>
        <w:t>.</w:t>
      </w:r>
      <w:r w:rsidR="004F086D">
        <w:rPr>
          <w:rFonts w:ascii="Times New Roman" w:eastAsia="Times New Roman" w:hAnsi="Times New Roman" w:cs="Times New Roman"/>
          <w:color w:val="000000"/>
        </w:rPr>
        <w:t xml:space="preserve"> Un sostrato indeterminato</w:t>
      </w:r>
      <w:r w:rsidR="00C005C5">
        <w:rPr>
          <w:rFonts w:ascii="Times New Roman" w:eastAsia="Times New Roman" w:hAnsi="Times New Roman" w:cs="Times New Roman"/>
          <w:color w:val="000000"/>
        </w:rPr>
        <w:t xml:space="preserve"> </w:t>
      </w:r>
      <w:r w:rsidR="004F086D">
        <w:rPr>
          <w:rFonts w:ascii="Times New Roman" w:eastAsia="Times New Roman" w:hAnsi="Times New Roman" w:cs="Times New Roman"/>
          <w:color w:val="000000"/>
        </w:rPr>
        <w:t xml:space="preserve">è il principio portante di questa forma razionalistica della mistica ebraica. </w:t>
      </w:r>
      <w:r w:rsidR="007E220D">
        <w:rPr>
          <w:rFonts w:ascii="Times New Roman" w:eastAsia="Times New Roman" w:hAnsi="Times New Roman" w:cs="Times New Roman"/>
          <w:color w:val="000000"/>
        </w:rPr>
        <w:t>Al nulla, che la sostanza ontologicamente è, consegue anche il nulla che essa, da un punto di vista concettuale, è: l’essere fondamento dell’altro da sé</w:t>
      </w:r>
      <w:r w:rsidR="002070CB">
        <w:rPr>
          <w:rFonts w:ascii="Times New Roman" w:eastAsia="Times New Roman" w:hAnsi="Times New Roman" w:cs="Times New Roman"/>
          <w:color w:val="000000"/>
        </w:rPr>
        <w:t xml:space="preserve"> si riduce ad un mero risultato</w:t>
      </w:r>
      <w:r w:rsidR="007E220D">
        <w:rPr>
          <w:rFonts w:ascii="Times New Roman" w:eastAsia="Times New Roman" w:hAnsi="Times New Roman" w:cs="Times New Roman"/>
          <w:color w:val="000000"/>
        </w:rPr>
        <w:t xml:space="preserve"> </w:t>
      </w:r>
      <w:r w:rsidR="00547986">
        <w:rPr>
          <w:rFonts w:ascii="Times New Roman" w:eastAsia="Times New Roman" w:hAnsi="Times New Roman" w:cs="Times New Roman"/>
          <w:color w:val="000000"/>
        </w:rPr>
        <w:t>della ragione</w:t>
      </w:r>
      <w:r w:rsidR="007E220D">
        <w:rPr>
          <w:rFonts w:ascii="Times New Roman" w:eastAsia="Times New Roman" w:hAnsi="Times New Roman" w:cs="Times New Roman"/>
          <w:color w:val="000000"/>
        </w:rPr>
        <w:t xml:space="preserve">, che </w:t>
      </w:r>
      <w:r w:rsidR="002070CB">
        <w:rPr>
          <w:rFonts w:ascii="Times New Roman" w:eastAsia="Times New Roman" w:hAnsi="Times New Roman" w:cs="Times New Roman"/>
          <w:color w:val="000000"/>
        </w:rPr>
        <w:t>attribuisce legittimità e coerenza logica</w:t>
      </w:r>
      <w:r w:rsidR="004E503E">
        <w:rPr>
          <w:rFonts w:ascii="Times New Roman" w:eastAsia="Times New Roman" w:hAnsi="Times New Roman" w:cs="Times New Roman"/>
          <w:color w:val="000000"/>
        </w:rPr>
        <w:t xml:space="preserve"> </w:t>
      </w:r>
      <w:r w:rsidR="007E220D">
        <w:rPr>
          <w:rFonts w:ascii="Times New Roman" w:eastAsia="Times New Roman" w:hAnsi="Times New Roman" w:cs="Times New Roman"/>
          <w:color w:val="000000"/>
        </w:rPr>
        <w:t xml:space="preserve">all’attività del </w:t>
      </w:r>
      <w:r w:rsidR="004E503E">
        <w:rPr>
          <w:rFonts w:ascii="Times New Roman" w:eastAsia="Times New Roman" w:hAnsi="Times New Roman" w:cs="Times New Roman"/>
          <w:color w:val="000000"/>
        </w:rPr>
        <w:t>fondare e de</w:t>
      </w:r>
      <w:r w:rsidR="007E220D">
        <w:rPr>
          <w:rFonts w:ascii="Times New Roman" w:eastAsia="Times New Roman" w:hAnsi="Times New Roman" w:cs="Times New Roman"/>
          <w:color w:val="000000"/>
        </w:rPr>
        <w:t xml:space="preserve">ll’essere fondato. Il chimerismo, o il </w:t>
      </w:r>
      <w:r w:rsidR="007E220D" w:rsidRPr="00D1151C">
        <w:rPr>
          <w:rFonts w:ascii="Times New Roman" w:eastAsia="Times New Roman" w:hAnsi="Times New Roman" w:cs="Times New Roman"/>
          <w:i/>
          <w:color w:val="000000"/>
        </w:rPr>
        <w:t>nichilismo</w:t>
      </w:r>
      <w:r w:rsidR="007E220D">
        <w:rPr>
          <w:rFonts w:ascii="Times New Roman" w:eastAsia="Times New Roman" w:hAnsi="Times New Roman" w:cs="Times New Roman"/>
          <w:color w:val="000000"/>
        </w:rPr>
        <w:t xml:space="preserve">, nulla ci dice su ciò che è vero </w:t>
      </w:r>
      <w:r w:rsidR="002070CB">
        <w:rPr>
          <w:rFonts w:ascii="Times New Roman" w:eastAsia="Times New Roman" w:hAnsi="Times New Roman" w:cs="Times New Roman"/>
          <w:color w:val="000000"/>
        </w:rPr>
        <w:t>(</w:t>
      </w:r>
      <w:r w:rsidR="002070CB" w:rsidRPr="002070CB">
        <w:rPr>
          <w:rFonts w:ascii="Times New Roman" w:eastAsia="Times New Roman" w:hAnsi="Times New Roman" w:cs="Times New Roman"/>
          <w:i/>
          <w:color w:val="000000"/>
        </w:rPr>
        <w:t>das Wahre</w:t>
      </w:r>
      <w:r w:rsidR="002070CB">
        <w:rPr>
          <w:rFonts w:ascii="Times New Roman" w:eastAsia="Times New Roman" w:hAnsi="Times New Roman" w:cs="Times New Roman"/>
          <w:color w:val="000000"/>
        </w:rPr>
        <w:t xml:space="preserve">) </w:t>
      </w:r>
      <w:r w:rsidR="007E220D">
        <w:rPr>
          <w:rFonts w:ascii="Times New Roman" w:eastAsia="Times New Roman" w:hAnsi="Times New Roman" w:cs="Times New Roman"/>
          <w:color w:val="000000"/>
        </w:rPr>
        <w:t>e su</w:t>
      </w:r>
      <w:r w:rsidR="00D1151C">
        <w:rPr>
          <w:rFonts w:ascii="Times New Roman" w:eastAsia="Times New Roman" w:hAnsi="Times New Roman" w:cs="Times New Roman"/>
          <w:color w:val="000000"/>
        </w:rPr>
        <w:t>l rapport</w:t>
      </w:r>
      <w:r w:rsidR="00CC22CE">
        <w:rPr>
          <w:rFonts w:ascii="Times New Roman" w:eastAsia="Times New Roman" w:hAnsi="Times New Roman" w:cs="Times New Roman"/>
          <w:color w:val="000000"/>
        </w:rPr>
        <w:t>o</w:t>
      </w:r>
      <w:r w:rsidR="00D1151C">
        <w:rPr>
          <w:rFonts w:ascii="Times New Roman" w:eastAsia="Times New Roman" w:hAnsi="Times New Roman" w:cs="Times New Roman"/>
          <w:color w:val="000000"/>
        </w:rPr>
        <w:t xml:space="preserve"> </w:t>
      </w:r>
      <w:r w:rsidR="007726F3">
        <w:rPr>
          <w:rFonts w:ascii="Times New Roman" w:eastAsia="Times New Roman" w:hAnsi="Times New Roman" w:cs="Times New Roman"/>
          <w:color w:val="000000"/>
        </w:rPr>
        <w:t xml:space="preserve">da esso intrattenuto con </w:t>
      </w:r>
      <w:r w:rsidR="00E576AD">
        <w:rPr>
          <w:rFonts w:ascii="Times New Roman" w:eastAsia="Times New Roman" w:hAnsi="Times New Roman" w:cs="Times New Roman"/>
          <w:color w:val="000000"/>
        </w:rPr>
        <w:t>le sue modificazioni</w:t>
      </w:r>
      <w:r w:rsidR="002070CB">
        <w:rPr>
          <w:rFonts w:ascii="Times New Roman" w:eastAsia="Times New Roman" w:hAnsi="Times New Roman" w:cs="Times New Roman"/>
          <w:color w:val="000000"/>
        </w:rPr>
        <w:t xml:space="preserve">. </w:t>
      </w:r>
      <w:r w:rsidR="00D92501">
        <w:rPr>
          <w:rFonts w:ascii="Times New Roman" w:eastAsia="Times New Roman" w:hAnsi="Times New Roman" w:cs="Times New Roman"/>
          <w:color w:val="000000"/>
        </w:rPr>
        <w:t>Quell</w:t>
      </w:r>
      <w:r w:rsidR="00CC22CE">
        <w:rPr>
          <w:rFonts w:ascii="Times New Roman" w:eastAsia="Times New Roman" w:hAnsi="Times New Roman" w:cs="Times New Roman"/>
          <w:color w:val="000000"/>
        </w:rPr>
        <w:t xml:space="preserve">a volontà </w:t>
      </w:r>
      <w:r w:rsidR="00D92501">
        <w:rPr>
          <w:rFonts w:ascii="Times New Roman" w:eastAsia="Times New Roman" w:hAnsi="Times New Roman" w:cs="Times New Roman"/>
          <w:color w:val="000000"/>
        </w:rPr>
        <w:t>c</w:t>
      </w:r>
      <w:r w:rsidR="004E5CCA">
        <w:rPr>
          <w:rFonts w:ascii="Times New Roman" w:eastAsia="Times New Roman" w:hAnsi="Times New Roman" w:cs="Times New Roman"/>
          <w:color w:val="000000"/>
        </w:rPr>
        <w:t>he Jacobi attribuisce a Spinoza</w:t>
      </w:r>
      <w:r w:rsidR="00D92501">
        <w:rPr>
          <w:rFonts w:ascii="Times New Roman" w:eastAsia="Times New Roman" w:hAnsi="Times New Roman" w:cs="Times New Roman"/>
          <w:color w:val="000000"/>
        </w:rPr>
        <w:t xml:space="preserve"> di voler </w:t>
      </w:r>
      <w:r w:rsidR="00CC22CE">
        <w:rPr>
          <w:rFonts w:ascii="Times New Roman" w:eastAsia="Times New Roman" w:hAnsi="Times New Roman" w:cs="Times New Roman"/>
          <w:color w:val="000000"/>
        </w:rPr>
        <w:t xml:space="preserve">effettuare, nel proprio sistema, </w:t>
      </w:r>
      <w:r w:rsidR="00D1151C" w:rsidRPr="00B24F82">
        <w:rPr>
          <w:rFonts w:ascii="Times New Roman" w:eastAsia="Times New Roman" w:hAnsi="Times New Roman" w:cs="Times New Roman"/>
          <w:color w:val="000000"/>
        </w:rPr>
        <w:t>«eine natürliche Erklärung des Daseyns endlicher und successiver Dinge</w:t>
      </w:r>
      <w:r w:rsidR="00D1151C" w:rsidRPr="00B24F82">
        <w:rPr>
          <w:rFonts w:ascii="Times New Roman" w:hAnsi="Times New Roman" w:cs="Times New Roman"/>
        </w:rPr>
        <w:t>»</w:t>
      </w:r>
      <w:r w:rsidR="00D1151C" w:rsidRPr="00B24F82">
        <w:rPr>
          <w:rStyle w:val="Rimandonotaapidipagina"/>
          <w:rFonts w:ascii="Times New Roman" w:hAnsi="Times New Roman" w:cs="Times New Roman"/>
        </w:rPr>
        <w:footnoteReference w:id="124"/>
      </w:r>
      <w:r w:rsidR="00D92501" w:rsidRPr="00B24F82">
        <w:rPr>
          <w:rFonts w:ascii="Times New Roman" w:hAnsi="Times New Roman" w:cs="Times New Roman"/>
        </w:rPr>
        <w:t>,</w:t>
      </w:r>
      <w:r w:rsidR="00D92501" w:rsidRPr="003C2751">
        <w:rPr>
          <w:rFonts w:ascii="Times New Roman" w:hAnsi="Times New Roman" w:cs="Times New Roman"/>
        </w:rPr>
        <w:t xml:space="preserve"> viene meno nell’istante in cui la sostanza è privata dalla sua attività causale e la fondazione di una serie infinita di </w:t>
      </w:r>
      <w:r w:rsidR="007726F3" w:rsidRPr="00D620C3">
        <w:rPr>
          <w:rFonts w:ascii="Times New Roman" w:hAnsi="Times New Roman" w:cs="Times New Roman"/>
        </w:rPr>
        <w:t xml:space="preserve">enti finiti </w:t>
      </w:r>
      <w:r w:rsidR="00D92501" w:rsidRPr="00D620C3">
        <w:rPr>
          <w:rFonts w:ascii="Times New Roman" w:hAnsi="Times New Roman" w:cs="Times New Roman"/>
        </w:rPr>
        <w:t>si riduce ad un</w:t>
      </w:r>
      <w:r w:rsidR="00B5297F" w:rsidRPr="00D620C3">
        <w:rPr>
          <w:rFonts w:ascii="Times New Roman" w:hAnsi="Times New Roman" w:cs="Times New Roman"/>
        </w:rPr>
        <w:t xml:space="preserve">a </w:t>
      </w:r>
      <w:r w:rsidR="003C2751" w:rsidRPr="00D620C3">
        <w:rPr>
          <w:rFonts w:ascii="Times New Roman" w:hAnsi="Times New Roman" w:cs="Times New Roman"/>
        </w:rPr>
        <w:t xml:space="preserve">semplice </w:t>
      </w:r>
      <w:r w:rsidR="00B5297F" w:rsidRPr="00D620C3">
        <w:rPr>
          <w:rFonts w:ascii="Times New Roman" w:hAnsi="Times New Roman" w:cs="Times New Roman"/>
        </w:rPr>
        <w:t>relazione</w:t>
      </w:r>
      <w:r w:rsidR="004E5CCA" w:rsidRPr="00D620C3">
        <w:rPr>
          <w:rFonts w:ascii="Times New Roman" w:hAnsi="Times New Roman" w:cs="Times New Roman"/>
        </w:rPr>
        <w:t xml:space="preserve"> logico-</w:t>
      </w:r>
      <w:r w:rsidR="00D92501" w:rsidRPr="00D620C3">
        <w:rPr>
          <w:rFonts w:ascii="Times New Roman" w:hAnsi="Times New Roman" w:cs="Times New Roman"/>
        </w:rPr>
        <w:t xml:space="preserve">formale. </w:t>
      </w:r>
    </w:p>
    <w:p w14:paraId="37A92119" w14:textId="713B0C04" w:rsidR="002207C8" w:rsidRDefault="002207C8" w:rsidP="002A0A2F">
      <w:pPr>
        <w:spacing w:line="360" w:lineRule="auto"/>
        <w:ind w:firstLine="567"/>
        <w:jc w:val="both"/>
        <w:rPr>
          <w:rFonts w:ascii="Times New Roman" w:hAnsi="Times New Roman" w:cs="Times New Roman"/>
        </w:rPr>
      </w:pPr>
      <w:r w:rsidRPr="00D620C3">
        <w:rPr>
          <w:rFonts w:ascii="Times New Roman" w:hAnsi="Times New Roman" w:cs="Times New Roman"/>
        </w:rPr>
        <w:t xml:space="preserve">Nichilismo spinoziano e fichtiano sono accezioni diverse, e per certi versi anche simili, di quell’uso spregiudicato della ragione che Jacobi attribuisce alla filosofia moderna e alla filosofia d’ispirazione kantiana. </w:t>
      </w:r>
      <w:r w:rsidR="00090F5C" w:rsidRPr="00D620C3">
        <w:rPr>
          <w:rFonts w:ascii="Times New Roman" w:hAnsi="Times New Roman" w:cs="Times New Roman"/>
        </w:rPr>
        <w:t>Al di là dell’interesse che quest</w:t>
      </w:r>
      <w:r w:rsidR="009808EE" w:rsidRPr="00D620C3">
        <w:rPr>
          <w:rFonts w:ascii="Times New Roman" w:hAnsi="Times New Roman" w:cs="Times New Roman"/>
        </w:rPr>
        <w:t>’interpreta</w:t>
      </w:r>
      <w:r w:rsidRPr="00D620C3">
        <w:rPr>
          <w:rFonts w:ascii="Times New Roman" w:hAnsi="Times New Roman" w:cs="Times New Roman"/>
        </w:rPr>
        <w:t xml:space="preserve">zione possiede </w:t>
      </w:r>
      <w:r w:rsidR="006E6FA8" w:rsidRPr="00D620C3">
        <w:rPr>
          <w:rFonts w:ascii="Times New Roman" w:hAnsi="Times New Roman" w:cs="Times New Roman"/>
        </w:rPr>
        <w:t xml:space="preserve">di </w:t>
      </w:r>
      <w:r w:rsidRPr="00D620C3">
        <w:rPr>
          <w:rFonts w:ascii="Times New Roman" w:hAnsi="Times New Roman" w:cs="Times New Roman"/>
        </w:rPr>
        <w:t xml:space="preserve">per sé, si deve notare che quanto discusso </w:t>
      </w:r>
      <w:r w:rsidR="00EC3D2E" w:rsidRPr="00D620C3">
        <w:rPr>
          <w:rFonts w:ascii="Times New Roman" w:hAnsi="Times New Roman" w:cs="Times New Roman"/>
        </w:rPr>
        <w:t xml:space="preserve">è funzionale </w:t>
      </w:r>
      <w:r w:rsidR="00EC3D2E" w:rsidRPr="00AF1FC6">
        <w:rPr>
          <w:rFonts w:ascii="Times New Roman" w:hAnsi="Times New Roman" w:cs="Times New Roman"/>
        </w:rPr>
        <w:t>ad introdurr</w:t>
      </w:r>
      <w:r w:rsidRPr="00AF1FC6">
        <w:rPr>
          <w:rFonts w:ascii="Times New Roman" w:hAnsi="Times New Roman" w:cs="Times New Roman"/>
        </w:rPr>
        <w:t>e</w:t>
      </w:r>
      <w:r w:rsidR="00AF510A" w:rsidRPr="00AF1FC6">
        <w:rPr>
          <w:rFonts w:ascii="Times New Roman" w:hAnsi="Times New Roman" w:cs="Times New Roman"/>
        </w:rPr>
        <w:t xml:space="preserve"> </w:t>
      </w:r>
      <w:r w:rsidR="009808EE" w:rsidRPr="00AF1FC6">
        <w:rPr>
          <w:rFonts w:ascii="Times New Roman" w:hAnsi="Times New Roman" w:cs="Times New Roman"/>
        </w:rPr>
        <w:t>l’interrogarsi</w:t>
      </w:r>
      <w:r w:rsidR="00EC3D2E" w:rsidRPr="00AF1FC6">
        <w:rPr>
          <w:rFonts w:ascii="Times New Roman" w:hAnsi="Times New Roman" w:cs="Times New Roman"/>
        </w:rPr>
        <w:t xml:space="preserve"> </w:t>
      </w:r>
      <w:r w:rsidR="00041D19" w:rsidRPr="00AF1FC6">
        <w:rPr>
          <w:rFonts w:ascii="Times New Roman" w:hAnsi="Times New Roman" w:cs="Times New Roman"/>
        </w:rPr>
        <w:t xml:space="preserve">hegeliano </w:t>
      </w:r>
      <w:r w:rsidR="009808EE" w:rsidRPr="00AF1FC6">
        <w:rPr>
          <w:rFonts w:ascii="Times New Roman" w:hAnsi="Times New Roman" w:cs="Times New Roman"/>
        </w:rPr>
        <w:t xml:space="preserve">sul </w:t>
      </w:r>
      <w:r w:rsidR="00AF510A" w:rsidRPr="00AF1FC6">
        <w:rPr>
          <w:rFonts w:ascii="Times New Roman" w:hAnsi="Times New Roman" w:cs="Times New Roman"/>
        </w:rPr>
        <w:t>nichilismo</w:t>
      </w:r>
      <w:r w:rsidR="009E42F9" w:rsidRPr="00AF1FC6">
        <w:rPr>
          <w:rFonts w:ascii="Times New Roman" w:hAnsi="Times New Roman" w:cs="Times New Roman"/>
        </w:rPr>
        <w:t xml:space="preserve"> </w:t>
      </w:r>
      <w:r w:rsidR="00AF510A" w:rsidRPr="00AF1FC6">
        <w:rPr>
          <w:rFonts w:ascii="Times New Roman" w:hAnsi="Times New Roman" w:cs="Times New Roman"/>
        </w:rPr>
        <w:t>condotto</w:t>
      </w:r>
      <w:r w:rsidR="009808EE" w:rsidRPr="00AF1FC6">
        <w:rPr>
          <w:rFonts w:ascii="Times New Roman" w:hAnsi="Times New Roman" w:cs="Times New Roman"/>
        </w:rPr>
        <w:t xml:space="preserve"> </w:t>
      </w:r>
      <w:r w:rsidR="00F95B78" w:rsidRPr="00AF1FC6">
        <w:rPr>
          <w:rFonts w:ascii="Times New Roman" w:hAnsi="Times New Roman" w:cs="Times New Roman"/>
        </w:rPr>
        <w:t xml:space="preserve">in </w:t>
      </w:r>
      <w:r w:rsidR="009E42F9" w:rsidRPr="00AF1FC6">
        <w:rPr>
          <w:rFonts w:ascii="Times New Roman" w:hAnsi="Times New Roman" w:cs="Times New Roman"/>
          <w:i/>
        </w:rPr>
        <w:t>Glauben und Wissen</w:t>
      </w:r>
      <w:r w:rsidR="009E42F9" w:rsidRPr="00AF1FC6">
        <w:rPr>
          <w:rFonts w:ascii="Times New Roman" w:hAnsi="Times New Roman" w:cs="Times New Roman"/>
        </w:rPr>
        <w:t>.</w:t>
      </w:r>
      <w:r w:rsidR="006709BC" w:rsidRPr="00AF1FC6">
        <w:rPr>
          <w:rFonts w:ascii="Times New Roman" w:hAnsi="Times New Roman" w:cs="Times New Roman"/>
        </w:rPr>
        <w:t xml:space="preserve"> </w:t>
      </w:r>
      <w:r w:rsidR="00717A5C" w:rsidRPr="00AF1FC6">
        <w:rPr>
          <w:rFonts w:ascii="Times New Roman" w:hAnsi="Times New Roman" w:cs="Times New Roman"/>
        </w:rPr>
        <w:t>N</w:t>
      </w:r>
      <w:r w:rsidR="00F74CB3" w:rsidRPr="00AF1FC6">
        <w:rPr>
          <w:rFonts w:ascii="Times New Roman" w:hAnsi="Times New Roman" w:cs="Times New Roman"/>
        </w:rPr>
        <w:t>ella sezione dedicata alla</w:t>
      </w:r>
      <w:r w:rsidR="00EC3D2E" w:rsidRPr="00AF1FC6">
        <w:rPr>
          <w:rFonts w:ascii="Times New Roman" w:hAnsi="Times New Roman" w:cs="Times New Roman"/>
        </w:rPr>
        <w:t xml:space="preserve"> discussione del pensiero fichtiano</w:t>
      </w:r>
      <w:r w:rsidR="006E6FA8" w:rsidRPr="00AF1FC6">
        <w:rPr>
          <w:rFonts w:ascii="Times New Roman" w:hAnsi="Times New Roman" w:cs="Times New Roman"/>
        </w:rPr>
        <w:t xml:space="preserve">, </w:t>
      </w:r>
      <w:r w:rsidR="00F74CB3" w:rsidRPr="00AF1FC6">
        <w:rPr>
          <w:rFonts w:ascii="Times New Roman" w:hAnsi="Times New Roman" w:cs="Times New Roman"/>
        </w:rPr>
        <w:t>Hegel</w:t>
      </w:r>
      <w:r w:rsidR="00F74CB3" w:rsidRPr="00303D9B">
        <w:rPr>
          <w:rFonts w:ascii="Times New Roman" w:hAnsi="Times New Roman" w:cs="Times New Roman"/>
        </w:rPr>
        <w:t xml:space="preserve"> </w:t>
      </w:r>
      <w:r w:rsidR="00AD4E55" w:rsidRPr="006C47EC">
        <w:rPr>
          <w:rFonts w:ascii="Times New Roman" w:hAnsi="Times New Roman" w:cs="Times New Roman"/>
        </w:rPr>
        <w:t xml:space="preserve">osserva che </w:t>
      </w:r>
      <w:r w:rsidR="00F95B78" w:rsidRPr="006C47EC">
        <w:rPr>
          <w:rFonts w:ascii="Times New Roman" w:hAnsi="Times New Roman" w:cs="Times New Roman"/>
        </w:rPr>
        <w:t xml:space="preserve">Jacobi ha descritto </w:t>
      </w:r>
      <w:r w:rsidR="00EC3D2E" w:rsidRPr="006C47EC">
        <w:rPr>
          <w:rFonts w:ascii="Times New Roman" w:hAnsi="Times New Roman" w:cs="Times New Roman"/>
        </w:rPr>
        <w:t xml:space="preserve">la filosofia di Fichte </w:t>
      </w:r>
      <w:r w:rsidR="007726F3" w:rsidRPr="006C47EC">
        <w:rPr>
          <w:rFonts w:ascii="Times New Roman" w:hAnsi="Times New Roman" w:cs="Times New Roman"/>
        </w:rPr>
        <w:t xml:space="preserve">in termini </w:t>
      </w:r>
      <w:r w:rsidR="00B926D4" w:rsidRPr="006C47EC">
        <w:rPr>
          <w:rFonts w:ascii="Times New Roman" w:hAnsi="Times New Roman" w:cs="Times New Roman"/>
        </w:rPr>
        <w:t>nichi</w:t>
      </w:r>
      <w:r w:rsidR="00F74CB3" w:rsidRPr="006C47EC">
        <w:rPr>
          <w:rFonts w:ascii="Times New Roman" w:hAnsi="Times New Roman" w:cs="Times New Roman"/>
        </w:rPr>
        <w:t>lis</w:t>
      </w:r>
      <w:r w:rsidR="007726F3" w:rsidRPr="006C47EC">
        <w:rPr>
          <w:rFonts w:ascii="Times New Roman" w:hAnsi="Times New Roman" w:cs="Times New Roman"/>
        </w:rPr>
        <w:t>tici</w:t>
      </w:r>
      <w:r w:rsidR="00F74CB3" w:rsidRPr="006C47EC">
        <w:rPr>
          <w:rStyle w:val="Rimandonotaapidipagina"/>
          <w:rFonts w:ascii="Times New Roman" w:hAnsi="Times New Roman" w:cs="Times New Roman"/>
        </w:rPr>
        <w:footnoteReference w:id="125"/>
      </w:r>
      <w:r w:rsidR="001633B8" w:rsidRPr="006C47EC">
        <w:rPr>
          <w:rFonts w:ascii="Times New Roman" w:hAnsi="Times New Roman" w:cs="Times New Roman"/>
        </w:rPr>
        <w:t xml:space="preserve">. </w:t>
      </w:r>
      <w:r w:rsidR="00A57A9D" w:rsidRPr="006C47EC">
        <w:rPr>
          <w:rFonts w:ascii="Times New Roman" w:hAnsi="Times New Roman" w:cs="Times New Roman"/>
        </w:rPr>
        <w:t>Secondo la prospettiva hegeliana,</w:t>
      </w:r>
      <w:r w:rsidR="000D787A" w:rsidRPr="006C47EC">
        <w:rPr>
          <w:rFonts w:ascii="Times New Roman" w:hAnsi="Times New Roman" w:cs="Times New Roman"/>
        </w:rPr>
        <w:t xml:space="preserve"> però,</w:t>
      </w:r>
      <w:r w:rsidR="00A57A9D" w:rsidRPr="006C47EC">
        <w:rPr>
          <w:rFonts w:ascii="Times New Roman" w:hAnsi="Times New Roman" w:cs="Times New Roman"/>
        </w:rPr>
        <w:t xml:space="preserve"> </w:t>
      </w:r>
      <w:r w:rsidR="00A57A9D" w:rsidRPr="006C47EC">
        <w:rPr>
          <w:rFonts w:ascii="Times New Roman" w:hAnsi="Times New Roman" w:cs="Times New Roman"/>
          <w:i/>
        </w:rPr>
        <w:t>nichilismo</w:t>
      </w:r>
      <w:r w:rsidR="00A57A9D" w:rsidRPr="006C47EC">
        <w:rPr>
          <w:rFonts w:ascii="Times New Roman" w:hAnsi="Times New Roman" w:cs="Times New Roman"/>
        </w:rPr>
        <w:t xml:space="preserve"> non significa soltanto </w:t>
      </w:r>
      <w:r w:rsidR="00A57A9D" w:rsidRPr="006C47EC">
        <w:rPr>
          <w:rFonts w:ascii="Times New Roman" w:hAnsi="Times New Roman" w:cs="Times New Roman"/>
          <w:i/>
        </w:rPr>
        <w:t>chimerismo</w:t>
      </w:r>
      <w:r w:rsidR="00A57A9D" w:rsidRPr="006C47EC">
        <w:rPr>
          <w:rFonts w:ascii="Times New Roman" w:hAnsi="Times New Roman" w:cs="Times New Roman"/>
        </w:rPr>
        <w:t xml:space="preserve">, o </w:t>
      </w:r>
      <w:r w:rsidR="00AF4420" w:rsidRPr="006C47EC">
        <w:rPr>
          <w:rFonts w:ascii="Times New Roman" w:hAnsi="Times New Roman" w:cs="Times New Roman"/>
        </w:rPr>
        <w:t>annullamento</w:t>
      </w:r>
      <w:r w:rsidR="00AF4420">
        <w:rPr>
          <w:rFonts w:ascii="Times New Roman" w:hAnsi="Times New Roman" w:cs="Times New Roman"/>
        </w:rPr>
        <w:t xml:space="preserve"> </w:t>
      </w:r>
      <w:r w:rsidR="00A57A9D" w:rsidRPr="003C2751">
        <w:rPr>
          <w:rFonts w:ascii="Times New Roman" w:hAnsi="Times New Roman" w:cs="Times New Roman"/>
        </w:rPr>
        <w:t xml:space="preserve">dell’oggetto nelle trame fanstamatiche della ragione, ma anche produzione </w:t>
      </w:r>
      <w:r w:rsidR="00717A5C">
        <w:rPr>
          <w:rFonts w:ascii="Times New Roman" w:hAnsi="Times New Roman" w:cs="Times New Roman"/>
        </w:rPr>
        <w:t>della differenza fra soggetto e</w:t>
      </w:r>
      <w:r w:rsidR="00A57A9D" w:rsidRPr="003C2751">
        <w:rPr>
          <w:rFonts w:ascii="Times New Roman" w:hAnsi="Times New Roman" w:cs="Times New Roman"/>
        </w:rPr>
        <w:t xml:space="preserve"> oggetto a partire dalla loro nientificazione</w:t>
      </w:r>
      <w:r w:rsidR="00AB13C6" w:rsidRPr="003C2751">
        <w:rPr>
          <w:rFonts w:ascii="Times New Roman" w:hAnsi="Times New Roman" w:cs="Times New Roman"/>
        </w:rPr>
        <w:t xml:space="preserve"> –</w:t>
      </w:r>
      <w:r w:rsidR="008126E9">
        <w:rPr>
          <w:rFonts w:ascii="Times New Roman" w:hAnsi="Times New Roman" w:cs="Times New Roman"/>
        </w:rPr>
        <w:t xml:space="preserve"> </w:t>
      </w:r>
      <w:r w:rsidR="003C2751">
        <w:rPr>
          <w:rFonts w:ascii="Times New Roman" w:hAnsi="Times New Roman" w:cs="Times New Roman"/>
        </w:rPr>
        <w:t xml:space="preserve">che è </w:t>
      </w:r>
      <w:r w:rsidR="00582E5D" w:rsidRPr="003C2751">
        <w:rPr>
          <w:rFonts w:ascii="Times New Roman" w:hAnsi="Times New Roman" w:cs="Times New Roman"/>
        </w:rPr>
        <w:t>superamento del</w:t>
      </w:r>
      <w:r w:rsidR="00AB13C6" w:rsidRPr="003C2751">
        <w:rPr>
          <w:rFonts w:ascii="Times New Roman" w:hAnsi="Times New Roman" w:cs="Times New Roman"/>
        </w:rPr>
        <w:t>la loro opposizione determinata –</w:t>
      </w:r>
      <w:r w:rsidR="00A57A9D" w:rsidRPr="003C2751">
        <w:rPr>
          <w:rFonts w:ascii="Times New Roman" w:hAnsi="Times New Roman" w:cs="Times New Roman"/>
        </w:rPr>
        <w:t xml:space="preserve"> nell’identità assoluta.</w:t>
      </w:r>
      <w:r w:rsidR="00A57A9D">
        <w:rPr>
          <w:rFonts w:ascii="Times New Roman" w:hAnsi="Times New Roman" w:cs="Times New Roman"/>
        </w:rPr>
        <w:t xml:space="preserve"> </w:t>
      </w:r>
      <w:r w:rsidR="00B926D4">
        <w:rPr>
          <w:rFonts w:ascii="Times New Roman" w:hAnsi="Times New Roman" w:cs="Times New Roman"/>
        </w:rPr>
        <w:t>Se da</w:t>
      </w:r>
      <w:r w:rsidR="00AB23A2">
        <w:rPr>
          <w:rFonts w:ascii="Times New Roman" w:hAnsi="Times New Roman" w:cs="Times New Roman"/>
        </w:rPr>
        <w:t xml:space="preserve"> u</w:t>
      </w:r>
      <w:r w:rsidR="00A57A9D">
        <w:rPr>
          <w:rFonts w:ascii="Times New Roman" w:hAnsi="Times New Roman" w:cs="Times New Roman"/>
        </w:rPr>
        <w:t>n lato la filosofia di Fichte sembra offrirci</w:t>
      </w:r>
      <w:r w:rsidR="00AB23A2">
        <w:rPr>
          <w:rFonts w:ascii="Times New Roman" w:hAnsi="Times New Roman" w:cs="Times New Roman"/>
        </w:rPr>
        <w:t xml:space="preserve"> </w:t>
      </w:r>
      <w:r w:rsidR="00B926D4" w:rsidRPr="00B24F82">
        <w:rPr>
          <w:rFonts w:ascii="Times New Roman" w:hAnsi="Times New Roman" w:cs="Times New Roman"/>
        </w:rPr>
        <w:t>«</w:t>
      </w:r>
      <w:r w:rsidR="002A0A2F" w:rsidRPr="00B24F82">
        <w:rPr>
          <w:rFonts w:ascii="Times New Roman" w:hAnsi="Times New Roman" w:cs="Times New Roman"/>
        </w:rPr>
        <w:t xml:space="preserve">das </w:t>
      </w:r>
      <w:r w:rsidR="00B926D4" w:rsidRPr="00B24F82">
        <w:rPr>
          <w:rFonts w:ascii="Times New Roman" w:hAnsi="Times New Roman" w:cs="Times New Roman"/>
        </w:rPr>
        <w:t>Nichts als +A–A […], seinem Wesen nach Unendlichkeit, Denken, absoluter Begriff, absolute reine Affirmation</w:t>
      </w:r>
      <w:r w:rsidR="002A0A2F" w:rsidRPr="00B24F82">
        <w:rPr>
          <w:rFonts w:ascii="Times New Roman" w:hAnsi="Times New Roman" w:cs="Times New Roman"/>
        </w:rPr>
        <w:t>»</w:t>
      </w:r>
      <w:r w:rsidR="00B926D4" w:rsidRPr="00B24F82">
        <w:rPr>
          <w:rFonts w:ascii="Times New Roman" w:hAnsi="Times New Roman" w:cs="Times New Roman"/>
        </w:rPr>
        <w:t xml:space="preserve">, ossia </w:t>
      </w:r>
      <w:r w:rsidR="002A0A2F" w:rsidRPr="00B24F82">
        <w:rPr>
          <w:rFonts w:ascii="Times New Roman" w:hAnsi="Times New Roman" w:cs="Times New Roman"/>
        </w:rPr>
        <w:t>«</w:t>
      </w:r>
      <w:r w:rsidR="00B926D4" w:rsidRPr="00B24F82">
        <w:rPr>
          <w:rFonts w:ascii="Times New Roman" w:hAnsi="Times New Roman" w:cs="Times New Roman"/>
        </w:rPr>
        <w:t>Ich oder reines Selbstbewußtsein, reines Denken, nemlich als das ewige Thun, oder Produzieren der Differen</w:t>
      </w:r>
      <w:r w:rsidR="00C331CA" w:rsidRPr="00B24F82">
        <w:rPr>
          <w:rFonts w:ascii="Times New Roman" w:hAnsi="Times New Roman" w:cs="Times New Roman"/>
        </w:rPr>
        <w:t>z</w:t>
      </w:r>
      <w:r w:rsidR="00B926D4" w:rsidRPr="00B24F82">
        <w:rPr>
          <w:rFonts w:ascii="Times New Roman" w:hAnsi="Times New Roman" w:cs="Times New Roman"/>
        </w:rPr>
        <w:t>»</w:t>
      </w:r>
      <w:r w:rsidR="002A0A2F" w:rsidRPr="00B24F82">
        <w:rPr>
          <w:rStyle w:val="Rimandonotaapidipagina"/>
          <w:rFonts w:ascii="Times New Roman" w:hAnsi="Times New Roman" w:cs="Times New Roman"/>
        </w:rPr>
        <w:footnoteReference w:id="126"/>
      </w:r>
      <w:r w:rsidR="002A0A2F" w:rsidRPr="00B24F82">
        <w:rPr>
          <w:rFonts w:ascii="Times New Roman" w:hAnsi="Times New Roman" w:cs="Times New Roman"/>
        </w:rPr>
        <w:t>,</w:t>
      </w:r>
      <w:r w:rsidR="002A0A2F">
        <w:rPr>
          <w:rFonts w:ascii="Times New Roman" w:hAnsi="Times New Roman" w:cs="Times New Roman"/>
        </w:rPr>
        <w:t xml:space="preserve"> dall’altro</w:t>
      </w:r>
      <w:r w:rsidR="007726F3">
        <w:rPr>
          <w:rFonts w:ascii="Times New Roman" w:hAnsi="Times New Roman" w:cs="Times New Roman"/>
        </w:rPr>
        <w:t xml:space="preserve"> lato, </w:t>
      </w:r>
      <w:r w:rsidR="00AB23A2">
        <w:rPr>
          <w:rFonts w:ascii="Times New Roman" w:hAnsi="Times New Roman" w:cs="Times New Roman"/>
        </w:rPr>
        <w:t xml:space="preserve">nel </w:t>
      </w:r>
      <w:r w:rsidR="0068453B">
        <w:rPr>
          <w:rFonts w:ascii="Times New Roman" w:hAnsi="Times New Roman" w:cs="Times New Roman"/>
        </w:rPr>
        <w:t xml:space="preserve">suo </w:t>
      </w:r>
      <w:r w:rsidR="002A0A2F">
        <w:rPr>
          <w:rFonts w:ascii="Times New Roman" w:hAnsi="Times New Roman" w:cs="Times New Roman"/>
        </w:rPr>
        <w:t>svolgimento effettivo, l’Io</w:t>
      </w:r>
      <w:r w:rsidR="00AB23A2">
        <w:rPr>
          <w:rFonts w:ascii="Times New Roman" w:hAnsi="Times New Roman" w:cs="Times New Roman"/>
        </w:rPr>
        <w:t xml:space="preserve"> puro</w:t>
      </w:r>
      <w:r w:rsidR="002A0A2F">
        <w:rPr>
          <w:rFonts w:ascii="Times New Roman" w:hAnsi="Times New Roman" w:cs="Times New Roman"/>
        </w:rPr>
        <w:t xml:space="preserve"> rimane costantemente affetto dal suo correlato, dal non-Io. </w:t>
      </w:r>
      <w:r w:rsidR="00151C5D">
        <w:rPr>
          <w:rFonts w:ascii="Times New Roman" w:hAnsi="Times New Roman" w:cs="Times New Roman"/>
        </w:rPr>
        <w:t>Su</w:t>
      </w:r>
      <w:r w:rsidR="00A57A9D" w:rsidRPr="00151C5D">
        <w:rPr>
          <w:rFonts w:ascii="Times New Roman" w:hAnsi="Times New Roman" w:cs="Times New Roman"/>
        </w:rPr>
        <w:t xml:space="preserve">ll’incapacità del pensiero fichtiano d’essere una </w:t>
      </w:r>
      <w:r w:rsidR="001B2D4F" w:rsidRPr="00151C5D">
        <w:rPr>
          <w:rFonts w:ascii="Times New Roman" w:hAnsi="Times New Roman" w:cs="Times New Roman"/>
        </w:rPr>
        <w:t>forma</w:t>
      </w:r>
      <w:r w:rsidR="00A57A9D" w:rsidRPr="00151C5D">
        <w:rPr>
          <w:rFonts w:ascii="Times New Roman" w:hAnsi="Times New Roman" w:cs="Times New Roman"/>
        </w:rPr>
        <w:t xml:space="preserve"> pienamente sviluppata di </w:t>
      </w:r>
      <w:r w:rsidR="00A57A9D" w:rsidRPr="00151C5D">
        <w:rPr>
          <w:rFonts w:ascii="Times New Roman" w:hAnsi="Times New Roman" w:cs="Times New Roman"/>
          <w:i/>
        </w:rPr>
        <w:t>nichilismo</w:t>
      </w:r>
      <w:r w:rsidR="007726F3" w:rsidRPr="00151C5D">
        <w:rPr>
          <w:rFonts w:ascii="Times New Roman" w:hAnsi="Times New Roman" w:cs="Times New Roman"/>
        </w:rPr>
        <w:t xml:space="preserve">, </w:t>
      </w:r>
      <w:r w:rsidR="00A57A9D" w:rsidRPr="00151C5D">
        <w:rPr>
          <w:rFonts w:ascii="Times New Roman" w:hAnsi="Times New Roman" w:cs="Times New Roman"/>
        </w:rPr>
        <w:t xml:space="preserve">scrive </w:t>
      </w:r>
      <w:r w:rsidR="007726F3" w:rsidRPr="00151C5D">
        <w:rPr>
          <w:rFonts w:ascii="Times New Roman" w:hAnsi="Times New Roman" w:cs="Times New Roman"/>
        </w:rPr>
        <w:t>Hegel</w:t>
      </w:r>
      <w:r w:rsidR="00A57A9D" w:rsidRPr="00151C5D">
        <w:rPr>
          <w:rFonts w:ascii="Times New Roman" w:hAnsi="Times New Roman" w:cs="Times New Roman"/>
        </w:rPr>
        <w:t>:</w:t>
      </w:r>
    </w:p>
    <w:p w14:paraId="148B1AE6" w14:textId="77777777" w:rsidR="002A0A2F" w:rsidRPr="0054129F" w:rsidRDefault="002A0A2F" w:rsidP="002A0A2F">
      <w:pPr>
        <w:spacing w:line="360" w:lineRule="auto"/>
        <w:ind w:firstLine="567"/>
        <w:jc w:val="both"/>
        <w:rPr>
          <w:rFonts w:ascii="Times New Roman" w:hAnsi="Times New Roman" w:cs="Times New Roman"/>
          <w:i/>
          <w:sz w:val="20"/>
          <w:szCs w:val="20"/>
        </w:rPr>
      </w:pPr>
    </w:p>
    <w:p w14:paraId="37F5CB4F" w14:textId="72F2AD31" w:rsidR="002A0A2F" w:rsidRPr="00B24F82" w:rsidRDefault="0054129F" w:rsidP="007617F5">
      <w:pPr>
        <w:spacing w:line="360" w:lineRule="auto"/>
        <w:ind w:left="567" w:firstLine="567"/>
        <w:jc w:val="both"/>
        <w:rPr>
          <w:rFonts w:ascii="Times New Roman" w:hAnsi="Times New Roman" w:cs="Times New Roman"/>
          <w:sz w:val="20"/>
          <w:szCs w:val="20"/>
        </w:rPr>
      </w:pPr>
      <w:r w:rsidRPr="00B24F82">
        <w:rPr>
          <w:rFonts w:ascii="Times New Roman" w:hAnsi="Times New Roman" w:cs="Times New Roman"/>
          <w:sz w:val="20"/>
          <w:szCs w:val="20"/>
        </w:rPr>
        <w:t>«</w:t>
      </w:r>
      <w:r w:rsidR="002A0A2F" w:rsidRPr="00B24F82">
        <w:rPr>
          <w:rFonts w:ascii="Times New Roman" w:hAnsi="Times New Roman" w:cs="Times New Roman"/>
          <w:sz w:val="20"/>
          <w:szCs w:val="20"/>
        </w:rPr>
        <w:t>Und so ist das Ich schlectin in die Unendlichkeit hinaus von einem Nicht-Ich affiziert, wie es sein muß, da die Unendlichkeit, Denken, das nur ein Glied des Gegensatzes ist, als Ansich seiend gesetzt sein soll; aber darum kann sein correlatum schlechtin</w:t>
      </w:r>
      <w:r w:rsidRPr="00B24F82">
        <w:rPr>
          <w:rFonts w:ascii="Times New Roman" w:hAnsi="Times New Roman" w:cs="Times New Roman"/>
          <w:sz w:val="20"/>
          <w:szCs w:val="20"/>
        </w:rPr>
        <w:t xml:space="preserve"> nicht vernichtet werden, sondern springt mit unüberwindlicher Elasticität hervor, denn beyde sind durch das höchste Schicksal mit diamantenen Ketten zusammengeschmiedet. Das erste der Philosophie aber ist, das absolute Nichts zu erkennen, wozu es die Fichtesche Philosophie so wenig bringt, so sehr die Jakobische sie darum verabscheuet»</w:t>
      </w:r>
      <w:r w:rsidRPr="00B24F82">
        <w:rPr>
          <w:rStyle w:val="Rimandonotaapidipagina"/>
          <w:rFonts w:ascii="Times New Roman" w:hAnsi="Times New Roman" w:cs="Times New Roman"/>
          <w:sz w:val="20"/>
          <w:szCs w:val="20"/>
        </w:rPr>
        <w:footnoteReference w:id="127"/>
      </w:r>
      <w:r w:rsidR="00064E2E">
        <w:rPr>
          <w:rFonts w:ascii="Times New Roman" w:hAnsi="Times New Roman" w:cs="Times New Roman"/>
          <w:sz w:val="20"/>
          <w:szCs w:val="20"/>
        </w:rPr>
        <w:t>.</w:t>
      </w:r>
    </w:p>
    <w:p w14:paraId="66172545" w14:textId="77777777" w:rsidR="00867A90" w:rsidRDefault="00867A90" w:rsidP="002E546F">
      <w:pPr>
        <w:spacing w:line="360" w:lineRule="auto"/>
        <w:ind w:firstLine="567"/>
        <w:jc w:val="both"/>
        <w:rPr>
          <w:rFonts w:ascii="Times New Roman" w:eastAsia="Times New Roman" w:hAnsi="Times New Roman" w:cs="Times New Roman"/>
          <w:color w:val="000000"/>
        </w:rPr>
      </w:pPr>
    </w:p>
    <w:p w14:paraId="1D48D213" w14:textId="0E42E6D2" w:rsidR="0086296A" w:rsidRDefault="00F80BEB" w:rsidP="0086296A">
      <w:pPr>
        <w:spacing w:line="360" w:lineRule="auto"/>
        <w:ind w:firstLine="567"/>
        <w:jc w:val="both"/>
        <w:rPr>
          <w:rFonts w:ascii="Times New Roman" w:hAnsi="Times New Roman" w:cs="Times New Roman"/>
        </w:rPr>
      </w:pPr>
      <w:r w:rsidRPr="00683499">
        <w:rPr>
          <w:rFonts w:ascii="Times New Roman" w:eastAsia="Times New Roman" w:hAnsi="Times New Roman" w:cs="Times New Roman"/>
          <w:color w:val="000000"/>
        </w:rPr>
        <w:t>Il nulla assoluto</w:t>
      </w:r>
      <w:r w:rsidR="00E04388">
        <w:rPr>
          <w:rFonts w:ascii="Times New Roman" w:eastAsia="Times New Roman" w:hAnsi="Times New Roman" w:cs="Times New Roman"/>
          <w:color w:val="000000"/>
        </w:rPr>
        <w:t xml:space="preserve"> (</w:t>
      </w:r>
      <w:r w:rsidR="00E04388">
        <w:rPr>
          <w:rFonts w:ascii="Times New Roman" w:eastAsia="Times New Roman" w:hAnsi="Times New Roman" w:cs="Times New Roman"/>
          <w:i/>
          <w:color w:val="000000"/>
        </w:rPr>
        <w:t xml:space="preserve">das </w:t>
      </w:r>
      <w:r w:rsidR="00E04388" w:rsidRPr="00E04388">
        <w:rPr>
          <w:rFonts w:ascii="Times New Roman" w:hAnsi="Times New Roman" w:cs="Times New Roman"/>
          <w:i/>
        </w:rPr>
        <w:t>absolute Nichts</w:t>
      </w:r>
      <w:r w:rsidR="00E04388">
        <w:rPr>
          <w:rFonts w:ascii="Times New Roman" w:eastAsia="Times New Roman" w:hAnsi="Times New Roman" w:cs="Times New Roman"/>
          <w:color w:val="000000"/>
        </w:rPr>
        <w:t>)</w:t>
      </w:r>
      <w:r w:rsidRPr="00683499">
        <w:rPr>
          <w:rFonts w:ascii="Times New Roman" w:eastAsia="Times New Roman" w:hAnsi="Times New Roman" w:cs="Times New Roman"/>
          <w:color w:val="000000"/>
        </w:rPr>
        <w:t>, quel primo che la filosofia deve conoscere, rimane p</w:t>
      </w:r>
      <w:r w:rsidR="002B7F19">
        <w:rPr>
          <w:rFonts w:ascii="Times New Roman" w:eastAsia="Times New Roman" w:hAnsi="Times New Roman" w:cs="Times New Roman"/>
          <w:color w:val="000000"/>
        </w:rPr>
        <w:t>recluso all’idealismo di Fichte</w:t>
      </w:r>
      <w:r w:rsidRPr="00683499">
        <w:rPr>
          <w:rFonts w:ascii="Times New Roman" w:eastAsia="Times New Roman" w:hAnsi="Times New Roman" w:cs="Times New Roman"/>
          <w:color w:val="000000"/>
        </w:rPr>
        <w:t xml:space="preserve"> che, a causa dell’irrigid</w:t>
      </w:r>
      <w:r w:rsidR="004648A9" w:rsidRPr="00683499">
        <w:rPr>
          <w:rFonts w:ascii="Times New Roman" w:eastAsia="Times New Roman" w:hAnsi="Times New Roman" w:cs="Times New Roman"/>
          <w:color w:val="000000"/>
        </w:rPr>
        <w:t xml:space="preserve">imento in un’opposizione inesauribile </w:t>
      </w:r>
      <w:r w:rsidR="007726F3" w:rsidRPr="00683499">
        <w:rPr>
          <w:rFonts w:ascii="Times New Roman" w:eastAsia="Times New Roman" w:hAnsi="Times New Roman" w:cs="Times New Roman"/>
          <w:color w:val="000000"/>
        </w:rPr>
        <w:t>fra</w:t>
      </w:r>
      <w:r w:rsidRPr="00683499">
        <w:rPr>
          <w:rFonts w:ascii="Times New Roman" w:eastAsia="Times New Roman" w:hAnsi="Times New Roman" w:cs="Times New Roman"/>
          <w:color w:val="000000"/>
        </w:rPr>
        <w:t xml:space="preserve"> Io e non-Io, non riesce a sviluppare in maniera coerente quanto</w:t>
      </w:r>
      <w:r w:rsidR="006709BC" w:rsidRPr="00683499">
        <w:rPr>
          <w:rFonts w:ascii="Times New Roman" w:eastAsia="Times New Roman" w:hAnsi="Times New Roman" w:cs="Times New Roman"/>
          <w:color w:val="000000"/>
        </w:rPr>
        <w:t xml:space="preserve"> gli</w:t>
      </w:r>
      <w:r w:rsidR="00AB23A2" w:rsidRPr="00683499">
        <w:rPr>
          <w:rFonts w:ascii="Times New Roman" w:eastAsia="Times New Roman" w:hAnsi="Times New Roman" w:cs="Times New Roman"/>
          <w:color w:val="000000"/>
        </w:rPr>
        <w:t xml:space="preserve"> è rimproverato da Jacobi.</w:t>
      </w:r>
      <w:r>
        <w:rPr>
          <w:rFonts w:ascii="Times New Roman" w:eastAsia="Times New Roman" w:hAnsi="Times New Roman" w:cs="Times New Roman"/>
          <w:color w:val="000000"/>
        </w:rPr>
        <w:t xml:space="preserve"> </w:t>
      </w:r>
      <w:r w:rsidR="00634549">
        <w:rPr>
          <w:rFonts w:ascii="Times New Roman" w:eastAsia="Times New Roman" w:hAnsi="Times New Roman" w:cs="Times New Roman"/>
          <w:color w:val="000000"/>
        </w:rPr>
        <w:t xml:space="preserve">La </w:t>
      </w:r>
      <w:r w:rsidR="00A7087D" w:rsidRPr="00B24F82">
        <w:rPr>
          <w:rFonts w:ascii="Times New Roman" w:eastAsia="Times New Roman" w:hAnsi="Times New Roman" w:cs="Times New Roman"/>
          <w:color w:val="000000"/>
        </w:rPr>
        <w:t>«</w:t>
      </w:r>
      <w:r w:rsidR="002635D6" w:rsidRPr="00B24F82">
        <w:rPr>
          <w:rFonts w:ascii="Times New Roman" w:eastAsia="Times New Roman" w:hAnsi="Times New Roman" w:cs="Times New Roman"/>
          <w:color w:val="000000"/>
        </w:rPr>
        <w:t xml:space="preserve">absolute </w:t>
      </w:r>
      <w:r w:rsidR="00A7087D" w:rsidRPr="00B24F82">
        <w:rPr>
          <w:rFonts w:ascii="Times New Roman" w:eastAsia="Times New Roman" w:hAnsi="Times New Roman" w:cs="Times New Roman"/>
          <w:color w:val="000000"/>
        </w:rPr>
        <w:t>reine Affermation</w:t>
      </w:r>
      <w:r w:rsidR="00A7087D" w:rsidRPr="00B24F82">
        <w:rPr>
          <w:rFonts w:ascii="Times New Roman" w:hAnsi="Times New Roman" w:cs="Times New Roman"/>
        </w:rPr>
        <w:t>»</w:t>
      </w:r>
      <w:r w:rsidR="00634549">
        <w:rPr>
          <w:rFonts w:ascii="Times New Roman" w:hAnsi="Times New Roman" w:cs="Times New Roman"/>
        </w:rPr>
        <w:t>,</w:t>
      </w:r>
      <w:r w:rsidR="00634549">
        <w:rPr>
          <w:rFonts w:ascii="Times New Roman" w:hAnsi="Times New Roman" w:cs="Times New Roman"/>
          <w:i/>
        </w:rPr>
        <w:t xml:space="preserve"> </w:t>
      </w:r>
      <w:r w:rsidR="0086296A">
        <w:rPr>
          <w:rFonts w:ascii="Times New Roman" w:hAnsi="Times New Roman" w:cs="Times New Roman"/>
        </w:rPr>
        <w:t xml:space="preserve">a cui </w:t>
      </w:r>
      <w:r w:rsidR="0086296A" w:rsidRPr="005435AC">
        <w:rPr>
          <w:rFonts w:ascii="Times New Roman" w:hAnsi="Times New Roman" w:cs="Times New Roman"/>
        </w:rPr>
        <w:t>perviene</w:t>
      </w:r>
      <w:r w:rsidR="00634549" w:rsidRPr="005435AC">
        <w:rPr>
          <w:rFonts w:ascii="Times New Roman" w:hAnsi="Times New Roman" w:cs="Times New Roman"/>
        </w:rPr>
        <w:t xml:space="preserve"> i</w:t>
      </w:r>
      <w:r w:rsidR="00634549">
        <w:rPr>
          <w:rFonts w:ascii="Times New Roman" w:hAnsi="Times New Roman" w:cs="Times New Roman"/>
        </w:rPr>
        <w:t xml:space="preserve">l </w:t>
      </w:r>
      <w:r w:rsidR="00634549" w:rsidRPr="00B24F82">
        <w:rPr>
          <w:rFonts w:ascii="Times New Roman" w:hAnsi="Times New Roman" w:cs="Times New Roman"/>
        </w:rPr>
        <w:t>«Nichts als +A –A»</w:t>
      </w:r>
      <w:r w:rsidR="00AB23A2">
        <w:rPr>
          <w:rFonts w:ascii="Times New Roman" w:hAnsi="Times New Roman" w:cs="Times New Roman"/>
        </w:rPr>
        <w:t xml:space="preserve">, essendo </w:t>
      </w:r>
      <w:r w:rsidR="002635D6">
        <w:rPr>
          <w:rFonts w:ascii="Times New Roman" w:hAnsi="Times New Roman" w:cs="Times New Roman"/>
        </w:rPr>
        <w:t>asso</w:t>
      </w:r>
      <w:r w:rsidR="007726F3">
        <w:rPr>
          <w:rFonts w:ascii="Times New Roman" w:hAnsi="Times New Roman" w:cs="Times New Roman"/>
        </w:rPr>
        <w:t xml:space="preserve">luta e </w:t>
      </w:r>
      <w:r w:rsidR="002635D6">
        <w:rPr>
          <w:rFonts w:ascii="Times New Roman" w:hAnsi="Times New Roman" w:cs="Times New Roman"/>
        </w:rPr>
        <w:t>pura</w:t>
      </w:r>
      <w:r w:rsidR="007726F3">
        <w:rPr>
          <w:rFonts w:ascii="Times New Roman" w:hAnsi="Times New Roman" w:cs="Times New Roman"/>
        </w:rPr>
        <w:t xml:space="preserve">, </w:t>
      </w:r>
      <w:r w:rsidR="00AB23A2">
        <w:rPr>
          <w:rFonts w:ascii="Times New Roman" w:hAnsi="Times New Roman" w:cs="Times New Roman"/>
        </w:rPr>
        <w:t>non assoluta</w:t>
      </w:r>
      <w:r w:rsidR="002635D6">
        <w:rPr>
          <w:rFonts w:ascii="Times New Roman" w:hAnsi="Times New Roman" w:cs="Times New Roman"/>
        </w:rPr>
        <w:t xml:space="preserve"> </w:t>
      </w:r>
      <w:r w:rsidR="002635D6" w:rsidRPr="002635D6">
        <w:rPr>
          <w:rFonts w:ascii="Times New Roman" w:hAnsi="Times New Roman" w:cs="Times New Roman"/>
          <w:i/>
        </w:rPr>
        <w:t>tout court</w:t>
      </w:r>
      <w:r w:rsidR="00634549">
        <w:rPr>
          <w:rFonts w:ascii="Times New Roman" w:hAnsi="Times New Roman" w:cs="Times New Roman"/>
        </w:rPr>
        <w:t xml:space="preserve">, </w:t>
      </w:r>
      <w:r w:rsidR="006C47EC">
        <w:rPr>
          <w:rFonts w:ascii="Times New Roman" w:hAnsi="Times New Roman" w:cs="Times New Roman"/>
        </w:rPr>
        <w:t xml:space="preserve">non toglie </w:t>
      </w:r>
      <w:r w:rsidR="001B2D4F" w:rsidRPr="001B2D4F">
        <w:rPr>
          <w:rFonts w:ascii="Times New Roman" w:hAnsi="Times New Roman" w:cs="Times New Roman"/>
        </w:rPr>
        <w:t xml:space="preserve">l’opposizione </w:t>
      </w:r>
      <w:r w:rsidR="004648A9" w:rsidRPr="001B2D4F">
        <w:rPr>
          <w:rFonts w:ascii="Times New Roman" w:hAnsi="Times New Roman" w:cs="Times New Roman"/>
        </w:rPr>
        <w:t>dei termini relazionali</w:t>
      </w:r>
      <w:r w:rsidR="00AB23A2" w:rsidRPr="001B2D4F">
        <w:rPr>
          <w:rFonts w:ascii="Times New Roman" w:hAnsi="Times New Roman" w:cs="Times New Roman"/>
        </w:rPr>
        <w:t xml:space="preserve"> e si rivela,</w:t>
      </w:r>
      <w:r w:rsidR="00AB23A2">
        <w:rPr>
          <w:rFonts w:ascii="Times New Roman" w:hAnsi="Times New Roman" w:cs="Times New Roman"/>
        </w:rPr>
        <w:t xml:space="preserve"> così, </w:t>
      </w:r>
      <w:r w:rsidR="00A57A9D" w:rsidRPr="00B24F82">
        <w:rPr>
          <w:rFonts w:ascii="Times New Roman" w:hAnsi="Times New Roman" w:cs="Times New Roman"/>
        </w:rPr>
        <w:t>«</w:t>
      </w:r>
      <w:r w:rsidR="00AB23A2" w:rsidRPr="00B24F82">
        <w:rPr>
          <w:rFonts w:ascii="Times New Roman" w:hAnsi="Times New Roman" w:cs="Times New Roman"/>
        </w:rPr>
        <w:t>ein leerer Begriff</w:t>
      </w:r>
      <w:r w:rsidR="00A57A9D" w:rsidRPr="00B24F82">
        <w:rPr>
          <w:rFonts w:ascii="Times New Roman" w:hAnsi="Times New Roman" w:cs="Times New Roman"/>
        </w:rPr>
        <w:t>»</w:t>
      </w:r>
      <w:r w:rsidR="00727925" w:rsidRPr="008E4B2C">
        <w:rPr>
          <w:rFonts w:ascii="Times New Roman" w:hAnsi="Times New Roman" w:cs="Times New Roman"/>
        </w:rPr>
        <w:t>, ossia</w:t>
      </w:r>
      <w:r w:rsidR="00AB23A2" w:rsidRPr="008E4B2C">
        <w:rPr>
          <w:rFonts w:ascii="Times New Roman" w:hAnsi="Times New Roman" w:cs="Times New Roman"/>
        </w:rPr>
        <w:t xml:space="preserve"> una semplice </w:t>
      </w:r>
      <w:r w:rsidR="00727925" w:rsidRPr="00B24F82">
        <w:rPr>
          <w:rFonts w:ascii="Times New Roman" w:hAnsi="Times New Roman" w:cs="Times New Roman"/>
        </w:rPr>
        <w:t>«</w:t>
      </w:r>
      <w:r w:rsidR="00AB23A2" w:rsidRPr="00B24F82">
        <w:rPr>
          <w:rFonts w:ascii="Times New Roman" w:hAnsi="Times New Roman" w:cs="Times New Roman"/>
        </w:rPr>
        <w:t>Unendlichkeit der Abstraktion</w:t>
      </w:r>
      <w:r w:rsidR="00727925" w:rsidRPr="00B24F82">
        <w:rPr>
          <w:rFonts w:ascii="Times New Roman" w:hAnsi="Times New Roman" w:cs="Times New Roman"/>
        </w:rPr>
        <w:t>»</w:t>
      </w:r>
      <w:r w:rsidR="00727925" w:rsidRPr="00B24F82">
        <w:rPr>
          <w:rStyle w:val="Rimandonotaapidipagina"/>
          <w:rFonts w:ascii="Times New Roman" w:hAnsi="Times New Roman" w:cs="Times New Roman"/>
        </w:rPr>
        <w:footnoteReference w:id="128"/>
      </w:r>
      <w:r w:rsidR="00AB23A2" w:rsidRPr="00B24F82">
        <w:rPr>
          <w:rFonts w:ascii="Times New Roman" w:hAnsi="Times New Roman" w:cs="Times New Roman"/>
        </w:rPr>
        <w:t>.</w:t>
      </w:r>
      <w:r w:rsidR="00040A0D" w:rsidRPr="005435AC">
        <w:rPr>
          <w:rFonts w:ascii="Times New Roman" w:hAnsi="Times New Roman" w:cs="Times New Roman"/>
        </w:rPr>
        <w:t xml:space="preserve"> </w:t>
      </w:r>
      <w:r w:rsidR="00040A0D" w:rsidRPr="00F33559">
        <w:rPr>
          <w:rFonts w:ascii="Times New Roman" w:hAnsi="Times New Roman" w:cs="Times New Roman"/>
        </w:rPr>
        <w:t>Ri</w:t>
      </w:r>
      <w:r w:rsidR="00534DA6" w:rsidRPr="00F33559">
        <w:rPr>
          <w:rFonts w:ascii="Times New Roman" w:hAnsi="Times New Roman" w:cs="Times New Roman"/>
        </w:rPr>
        <w:t xml:space="preserve">elaborando </w:t>
      </w:r>
      <w:r w:rsidR="006C47EC" w:rsidRPr="00F33559">
        <w:rPr>
          <w:rFonts w:ascii="Times New Roman" w:hAnsi="Times New Roman" w:cs="Times New Roman"/>
          <w:i/>
        </w:rPr>
        <w:t>filosoficamente</w:t>
      </w:r>
      <w:r w:rsidR="006C47EC" w:rsidRPr="00F33559">
        <w:rPr>
          <w:rFonts w:ascii="Times New Roman" w:hAnsi="Times New Roman" w:cs="Times New Roman"/>
        </w:rPr>
        <w:t xml:space="preserve"> le riflessioni del periodo francofortese e ricollegandosi al</w:t>
      </w:r>
      <w:r w:rsidR="00534DA6" w:rsidRPr="00F33559">
        <w:rPr>
          <w:rFonts w:ascii="Times New Roman" w:hAnsi="Times New Roman" w:cs="Times New Roman"/>
        </w:rPr>
        <w:t xml:space="preserve">la questione sul </w:t>
      </w:r>
      <w:r w:rsidR="00534DA6" w:rsidRPr="00F33559">
        <w:rPr>
          <w:rFonts w:ascii="Times New Roman" w:hAnsi="Times New Roman" w:cs="Times New Roman"/>
          <w:i/>
        </w:rPr>
        <w:t>nichilismo</w:t>
      </w:r>
      <w:r w:rsidR="002E0323" w:rsidRPr="00F33559">
        <w:rPr>
          <w:rFonts w:ascii="Times New Roman" w:hAnsi="Times New Roman" w:cs="Times New Roman"/>
          <w:i/>
        </w:rPr>
        <w:t xml:space="preserve"> </w:t>
      </w:r>
      <w:r w:rsidR="002E0323" w:rsidRPr="00F33559">
        <w:rPr>
          <w:rFonts w:ascii="Times New Roman" w:hAnsi="Times New Roman" w:cs="Times New Roman"/>
        </w:rPr>
        <w:t xml:space="preserve">sollevata dalle </w:t>
      </w:r>
      <w:r w:rsidR="002E0323" w:rsidRPr="00F33559">
        <w:rPr>
          <w:rFonts w:ascii="Times New Roman" w:hAnsi="Times New Roman" w:cs="Times New Roman"/>
          <w:i/>
        </w:rPr>
        <w:t>Briefe an Fichte</w:t>
      </w:r>
      <w:r w:rsidR="00040A0D" w:rsidRPr="00F33559">
        <w:rPr>
          <w:rFonts w:ascii="Times New Roman" w:hAnsi="Times New Roman" w:cs="Times New Roman"/>
        </w:rPr>
        <w:t xml:space="preserve">, Hegel si muove in direzione di una decostruzione del sistema fichtiano, che risulta incapace di pensare </w:t>
      </w:r>
      <w:r w:rsidR="00A11419" w:rsidRPr="00F33559">
        <w:rPr>
          <w:rFonts w:ascii="Times New Roman" w:hAnsi="Times New Roman" w:cs="Times New Roman"/>
        </w:rPr>
        <w:t xml:space="preserve">speculativamente </w:t>
      </w:r>
      <w:r w:rsidR="00040A0D" w:rsidRPr="00F33559">
        <w:rPr>
          <w:rFonts w:ascii="Times New Roman" w:hAnsi="Times New Roman" w:cs="Times New Roman"/>
        </w:rPr>
        <w:t>il nulla</w:t>
      </w:r>
      <w:r w:rsidR="00A11419" w:rsidRPr="00F33559">
        <w:rPr>
          <w:rFonts w:ascii="Times New Roman" w:hAnsi="Times New Roman" w:cs="Times New Roman"/>
        </w:rPr>
        <w:t xml:space="preserve">, </w:t>
      </w:r>
      <w:r w:rsidR="00040A0D" w:rsidRPr="00F33559">
        <w:rPr>
          <w:rFonts w:ascii="Times New Roman" w:hAnsi="Times New Roman" w:cs="Times New Roman"/>
        </w:rPr>
        <w:t xml:space="preserve">poiché </w:t>
      </w:r>
      <w:r w:rsidR="000D787A" w:rsidRPr="00F33559">
        <w:rPr>
          <w:rFonts w:ascii="Times New Roman" w:hAnsi="Times New Roman" w:cs="Times New Roman"/>
        </w:rPr>
        <w:t>imbrigliat</w:t>
      </w:r>
      <w:r w:rsidR="00040A0D" w:rsidRPr="00F33559">
        <w:rPr>
          <w:rFonts w:ascii="Times New Roman" w:hAnsi="Times New Roman" w:cs="Times New Roman"/>
        </w:rPr>
        <w:t>o nelle aporie del pensiero riflettente</w:t>
      </w:r>
      <w:r w:rsidR="006C47EC" w:rsidRPr="00F33559">
        <w:rPr>
          <w:rFonts w:ascii="Times New Roman" w:hAnsi="Times New Roman" w:cs="Times New Roman"/>
        </w:rPr>
        <w:t xml:space="preserve"> (</w:t>
      </w:r>
      <w:r w:rsidR="00B631F4" w:rsidRPr="00F33559">
        <w:rPr>
          <w:rFonts w:ascii="Times New Roman" w:hAnsi="Times New Roman" w:cs="Times New Roman"/>
        </w:rPr>
        <w:t>del meta</w:t>
      </w:r>
      <w:r w:rsidR="006C47EC" w:rsidRPr="00F33559">
        <w:rPr>
          <w:rFonts w:ascii="Times New Roman" w:hAnsi="Times New Roman" w:cs="Times New Roman"/>
        </w:rPr>
        <w:t>storico spirito</w:t>
      </w:r>
      <w:r w:rsidR="00ED4361">
        <w:rPr>
          <w:rFonts w:ascii="Times New Roman" w:hAnsi="Times New Roman" w:cs="Times New Roman"/>
        </w:rPr>
        <w:t xml:space="preserve"> ebraico</w:t>
      </w:r>
      <w:r w:rsidR="006C47EC" w:rsidRPr="00F33559">
        <w:rPr>
          <w:rFonts w:ascii="Times New Roman" w:hAnsi="Times New Roman" w:cs="Times New Roman"/>
        </w:rPr>
        <w:t>)</w:t>
      </w:r>
      <w:r w:rsidR="00040A0D" w:rsidRPr="00F33559">
        <w:rPr>
          <w:rFonts w:ascii="Times New Roman" w:hAnsi="Times New Roman" w:cs="Times New Roman"/>
        </w:rPr>
        <w:t>. Ripensare il nulla, pervenendo ad una formulazione di ciò che Hegel definisce come nulla assoluto</w:t>
      </w:r>
      <w:r w:rsidR="009A1454" w:rsidRPr="00F33559">
        <w:rPr>
          <w:rFonts w:ascii="Times New Roman" w:hAnsi="Times New Roman" w:cs="Times New Roman"/>
        </w:rPr>
        <w:t>,</w:t>
      </w:r>
      <w:r w:rsidR="004E52E2" w:rsidRPr="00F33559">
        <w:rPr>
          <w:rFonts w:ascii="Times New Roman" w:hAnsi="Times New Roman" w:cs="Times New Roman"/>
        </w:rPr>
        <w:t xml:space="preserve"> è </w:t>
      </w:r>
      <w:r w:rsidR="009A1454" w:rsidRPr="00F33559">
        <w:rPr>
          <w:rFonts w:ascii="Times New Roman" w:hAnsi="Times New Roman" w:cs="Times New Roman"/>
        </w:rPr>
        <w:t xml:space="preserve">un compito impellente che </w:t>
      </w:r>
      <w:r w:rsidR="004E52E2" w:rsidRPr="00F33559">
        <w:rPr>
          <w:rFonts w:ascii="Times New Roman" w:hAnsi="Times New Roman" w:cs="Times New Roman"/>
        </w:rPr>
        <w:t>la filosofia dev</w:t>
      </w:r>
      <w:r w:rsidR="009A1454" w:rsidRPr="00F33559">
        <w:rPr>
          <w:rFonts w:ascii="Times New Roman" w:hAnsi="Times New Roman" w:cs="Times New Roman"/>
        </w:rPr>
        <w:t>e fare proprio</w:t>
      </w:r>
      <w:r w:rsidR="004E52E2" w:rsidRPr="00F33559">
        <w:rPr>
          <w:rFonts w:ascii="Times New Roman" w:hAnsi="Times New Roman" w:cs="Times New Roman"/>
        </w:rPr>
        <w:t>.</w:t>
      </w:r>
      <w:r w:rsidR="004E52E2">
        <w:rPr>
          <w:rFonts w:ascii="Times New Roman" w:hAnsi="Times New Roman" w:cs="Times New Roman"/>
        </w:rPr>
        <w:t xml:space="preserve"> </w:t>
      </w:r>
    </w:p>
    <w:p w14:paraId="10354823" w14:textId="07BB5CF5" w:rsidR="00AB2550" w:rsidRPr="0086296A" w:rsidRDefault="007A3B2B" w:rsidP="0086296A">
      <w:pPr>
        <w:spacing w:line="360" w:lineRule="auto"/>
        <w:ind w:firstLine="567"/>
        <w:jc w:val="both"/>
        <w:rPr>
          <w:rFonts w:ascii="Times New Roman" w:hAnsi="Times New Roman" w:cs="Times New Roman"/>
          <w:highlight w:val="yellow"/>
        </w:rPr>
      </w:pPr>
      <w:r w:rsidRPr="00AF1FC6">
        <w:rPr>
          <w:rFonts w:ascii="Times New Roman" w:hAnsi="Times New Roman" w:cs="Times New Roman"/>
        </w:rPr>
        <w:t>I</w:t>
      </w:r>
      <w:r w:rsidR="00E330E2" w:rsidRPr="00AF1FC6">
        <w:rPr>
          <w:rFonts w:ascii="Times New Roman" w:hAnsi="Times New Roman" w:cs="Times New Roman"/>
        </w:rPr>
        <w:t>l nulla assoluto</w:t>
      </w:r>
      <w:r w:rsidR="004E52E2" w:rsidRPr="00AF1FC6">
        <w:rPr>
          <w:rFonts w:ascii="Times New Roman" w:hAnsi="Times New Roman" w:cs="Times New Roman"/>
        </w:rPr>
        <w:t xml:space="preserve">, oltre ad essere un </w:t>
      </w:r>
      <w:r w:rsidRPr="00AF1FC6">
        <w:rPr>
          <w:rFonts w:ascii="Times New Roman" w:hAnsi="Times New Roman" w:cs="Times New Roman"/>
        </w:rPr>
        <w:t xml:space="preserve">punto fermo di </w:t>
      </w:r>
      <w:r w:rsidRPr="00AF1FC6">
        <w:rPr>
          <w:rFonts w:ascii="Times New Roman" w:hAnsi="Times New Roman" w:cs="Times New Roman"/>
          <w:i/>
        </w:rPr>
        <w:t>Glauben und Wissen</w:t>
      </w:r>
      <w:r w:rsidR="004E52E2" w:rsidRPr="00AF1FC6">
        <w:rPr>
          <w:rFonts w:ascii="Times New Roman" w:hAnsi="Times New Roman" w:cs="Times New Roman"/>
        </w:rPr>
        <w:t xml:space="preserve">, </w:t>
      </w:r>
      <w:r w:rsidR="005E7AD5" w:rsidRPr="00AF1FC6">
        <w:rPr>
          <w:rFonts w:ascii="Times New Roman" w:hAnsi="Times New Roman" w:cs="Times New Roman"/>
        </w:rPr>
        <w:t>costituisce</w:t>
      </w:r>
      <w:r w:rsidRPr="00AF1FC6">
        <w:rPr>
          <w:rFonts w:ascii="Times New Roman" w:hAnsi="Times New Roman" w:cs="Times New Roman"/>
        </w:rPr>
        <w:t>,</w:t>
      </w:r>
      <w:r w:rsidR="005E7AD5" w:rsidRPr="00AF1FC6">
        <w:rPr>
          <w:rFonts w:ascii="Times New Roman" w:hAnsi="Times New Roman" w:cs="Times New Roman"/>
        </w:rPr>
        <w:t xml:space="preserve"> a detta di Hegel, l’asse portante dello spinozismo, di</w:t>
      </w:r>
      <w:r w:rsidR="004E52E2" w:rsidRPr="00AF1FC6">
        <w:rPr>
          <w:rFonts w:ascii="Times New Roman" w:hAnsi="Times New Roman" w:cs="Times New Roman"/>
        </w:rPr>
        <w:t xml:space="preserve"> </w:t>
      </w:r>
      <w:r w:rsidR="005E7AD5" w:rsidRPr="00AF1FC6">
        <w:rPr>
          <w:rFonts w:ascii="Times New Roman" w:hAnsi="Times New Roman" w:cs="Times New Roman"/>
        </w:rPr>
        <w:t xml:space="preserve">un </w:t>
      </w:r>
      <w:r w:rsidR="004E52E2" w:rsidRPr="00AF1FC6">
        <w:rPr>
          <w:rFonts w:ascii="Times New Roman" w:hAnsi="Times New Roman" w:cs="Times New Roman"/>
        </w:rPr>
        <w:t>sistema filos</w:t>
      </w:r>
      <w:r w:rsidR="005E7AD5" w:rsidRPr="00AF1FC6">
        <w:rPr>
          <w:rFonts w:ascii="Times New Roman" w:hAnsi="Times New Roman" w:cs="Times New Roman"/>
        </w:rPr>
        <w:t>ofico che il filosofo di Stoccarda</w:t>
      </w:r>
      <w:r w:rsidR="004E52E2" w:rsidRPr="00AF1FC6">
        <w:rPr>
          <w:rFonts w:ascii="Times New Roman" w:hAnsi="Times New Roman" w:cs="Times New Roman"/>
        </w:rPr>
        <w:t xml:space="preserve">, almeno nella prima parte </w:t>
      </w:r>
      <w:r w:rsidR="009A1454" w:rsidRPr="00AF1FC6">
        <w:rPr>
          <w:rFonts w:ascii="Times New Roman" w:hAnsi="Times New Roman" w:cs="Times New Roman"/>
        </w:rPr>
        <w:t>del soggiorno jenese, sposa appieno</w:t>
      </w:r>
      <w:r w:rsidR="005E7AD5" w:rsidRPr="00AF1FC6">
        <w:rPr>
          <w:rFonts w:ascii="Times New Roman" w:hAnsi="Times New Roman" w:cs="Times New Roman"/>
        </w:rPr>
        <w:t>.</w:t>
      </w:r>
      <w:r w:rsidR="005E7AD5">
        <w:rPr>
          <w:rFonts w:ascii="Times New Roman" w:hAnsi="Times New Roman" w:cs="Times New Roman"/>
        </w:rPr>
        <w:t xml:space="preserve"> La filosofia di Spinoza, reinterpretata</w:t>
      </w:r>
      <w:r w:rsidR="009A1454" w:rsidRPr="00303D9B">
        <w:rPr>
          <w:rFonts w:ascii="Times New Roman" w:hAnsi="Times New Roman" w:cs="Times New Roman"/>
        </w:rPr>
        <w:t xml:space="preserve"> </w:t>
      </w:r>
      <w:r w:rsidR="00A11419" w:rsidRPr="00303D9B">
        <w:rPr>
          <w:rFonts w:ascii="Times New Roman" w:hAnsi="Times New Roman" w:cs="Times New Roman"/>
        </w:rPr>
        <w:t xml:space="preserve">alla luce </w:t>
      </w:r>
      <w:r w:rsidR="009A1454" w:rsidRPr="00303D9B">
        <w:rPr>
          <w:rFonts w:ascii="Times New Roman" w:hAnsi="Times New Roman" w:cs="Times New Roman"/>
        </w:rPr>
        <w:t>delle analisi schellinghiane, rappresenta</w:t>
      </w:r>
      <w:r w:rsidR="008A46ED" w:rsidRPr="00303D9B">
        <w:rPr>
          <w:rFonts w:ascii="Times New Roman" w:hAnsi="Times New Roman" w:cs="Times New Roman"/>
        </w:rPr>
        <w:t xml:space="preserve"> </w:t>
      </w:r>
      <w:r w:rsidR="009A1454" w:rsidRPr="00303D9B">
        <w:rPr>
          <w:rFonts w:ascii="Times New Roman" w:hAnsi="Times New Roman" w:cs="Times New Roman"/>
        </w:rPr>
        <w:t>quella forma del pen</w:t>
      </w:r>
      <w:r w:rsidR="00A11419" w:rsidRPr="00303D9B">
        <w:rPr>
          <w:rFonts w:ascii="Times New Roman" w:hAnsi="Times New Roman" w:cs="Times New Roman"/>
        </w:rPr>
        <w:t>si</w:t>
      </w:r>
      <w:r w:rsidR="002470EB" w:rsidRPr="00303D9B">
        <w:rPr>
          <w:rFonts w:ascii="Times New Roman" w:hAnsi="Times New Roman" w:cs="Times New Roman"/>
        </w:rPr>
        <w:t xml:space="preserve">ero moderno in grado di conferire uno </w:t>
      </w:r>
      <w:r w:rsidR="009A1454" w:rsidRPr="00303D9B">
        <w:rPr>
          <w:rFonts w:ascii="Times New Roman" w:hAnsi="Times New Roman" w:cs="Times New Roman"/>
        </w:rPr>
        <w:t xml:space="preserve">svolgimento </w:t>
      </w:r>
      <w:r w:rsidR="002470EB" w:rsidRPr="00303D9B">
        <w:rPr>
          <w:rFonts w:ascii="Times New Roman" w:hAnsi="Times New Roman" w:cs="Times New Roman"/>
        </w:rPr>
        <w:t xml:space="preserve">organico </w:t>
      </w:r>
      <w:r w:rsidR="009A1454" w:rsidRPr="00303D9B">
        <w:rPr>
          <w:rFonts w:ascii="Times New Roman" w:hAnsi="Times New Roman" w:cs="Times New Roman"/>
        </w:rPr>
        <w:t>al concetto dell’</w:t>
      </w:r>
      <w:r w:rsidR="009A1454" w:rsidRPr="00303D9B">
        <w:rPr>
          <w:rFonts w:ascii="Times New Roman" w:hAnsi="Times New Roman" w:cs="Times New Roman"/>
          <w:i/>
        </w:rPr>
        <w:t>absolute Nichts</w:t>
      </w:r>
      <w:r w:rsidR="009A1454" w:rsidRPr="00303D9B">
        <w:rPr>
          <w:rFonts w:ascii="Times New Roman" w:hAnsi="Times New Roman" w:cs="Times New Roman"/>
        </w:rPr>
        <w:t>.</w:t>
      </w:r>
      <w:r w:rsidR="001B7C59" w:rsidRPr="00303D9B">
        <w:rPr>
          <w:rFonts w:ascii="Times New Roman" w:hAnsi="Times New Roman" w:cs="Times New Roman"/>
        </w:rPr>
        <w:t xml:space="preserve"> Lo spunto, che consente ad Hegel di p</w:t>
      </w:r>
      <w:r w:rsidR="008A46ED" w:rsidRPr="00303D9B">
        <w:rPr>
          <w:rFonts w:ascii="Times New Roman" w:hAnsi="Times New Roman" w:cs="Times New Roman"/>
        </w:rPr>
        <w:t>ensare</w:t>
      </w:r>
      <w:r w:rsidR="001B7C59" w:rsidRPr="00303D9B">
        <w:rPr>
          <w:rFonts w:ascii="Times New Roman" w:hAnsi="Times New Roman" w:cs="Times New Roman"/>
        </w:rPr>
        <w:t xml:space="preserve"> lo spinozismo in questa veste specifica, è </w:t>
      </w:r>
      <w:r w:rsidR="00724BFB" w:rsidRPr="00303D9B">
        <w:rPr>
          <w:rFonts w:ascii="Times New Roman" w:hAnsi="Times New Roman" w:cs="Times New Roman"/>
        </w:rPr>
        <w:t xml:space="preserve">dato </w:t>
      </w:r>
      <w:r w:rsidR="001B7C59" w:rsidRPr="00303D9B">
        <w:rPr>
          <w:rFonts w:ascii="Times New Roman" w:hAnsi="Times New Roman" w:cs="Times New Roman"/>
        </w:rPr>
        <w:t>ancora una volta da Jacobi</w:t>
      </w:r>
      <w:r w:rsidR="005360D4" w:rsidRPr="00303D9B">
        <w:rPr>
          <w:rFonts w:ascii="Times New Roman" w:hAnsi="Times New Roman" w:cs="Times New Roman"/>
        </w:rPr>
        <w:t>. Come</w:t>
      </w:r>
      <w:r w:rsidR="008A46ED" w:rsidRPr="00303D9B">
        <w:rPr>
          <w:rFonts w:ascii="Times New Roman" w:hAnsi="Times New Roman" w:cs="Times New Roman"/>
        </w:rPr>
        <w:t xml:space="preserve"> sappiamo</w:t>
      </w:r>
      <w:r w:rsidR="005360D4" w:rsidRPr="00303D9B">
        <w:rPr>
          <w:rFonts w:ascii="Times New Roman" w:hAnsi="Times New Roman" w:cs="Times New Roman"/>
        </w:rPr>
        <w:t xml:space="preserve">, le </w:t>
      </w:r>
      <w:r w:rsidR="005360D4" w:rsidRPr="00303D9B">
        <w:rPr>
          <w:rFonts w:ascii="Times New Roman" w:hAnsi="Times New Roman" w:cs="Times New Roman"/>
          <w:i/>
        </w:rPr>
        <w:t xml:space="preserve">Spinozabriefe </w:t>
      </w:r>
      <w:r w:rsidR="005360D4" w:rsidRPr="00303D9B">
        <w:rPr>
          <w:rFonts w:ascii="Times New Roman" w:hAnsi="Times New Roman" w:cs="Times New Roman"/>
        </w:rPr>
        <w:t>offrono un’interpretazione nichilistica dello spinozismo. Neg</w:t>
      </w:r>
      <w:r w:rsidR="00967339">
        <w:rPr>
          <w:rFonts w:ascii="Times New Roman" w:hAnsi="Times New Roman" w:cs="Times New Roman"/>
        </w:rPr>
        <w:t>ando il concetto di causalità e</w:t>
      </w:r>
      <w:r w:rsidR="005360D4" w:rsidRPr="00303D9B">
        <w:rPr>
          <w:rFonts w:ascii="Times New Roman" w:hAnsi="Times New Roman" w:cs="Times New Roman"/>
        </w:rPr>
        <w:t xml:space="preserve"> adoperando il concetto di fondamento </w:t>
      </w:r>
      <w:r w:rsidR="0026384D" w:rsidRPr="00303D9B">
        <w:rPr>
          <w:rFonts w:ascii="Times New Roman" w:hAnsi="Times New Roman" w:cs="Times New Roman"/>
        </w:rPr>
        <w:t>impropriamente</w:t>
      </w:r>
      <w:r w:rsidR="005360D4" w:rsidRPr="00303D9B">
        <w:rPr>
          <w:rFonts w:ascii="Times New Roman" w:hAnsi="Times New Roman" w:cs="Times New Roman"/>
        </w:rPr>
        <w:t xml:space="preserve">, Spinoza </w:t>
      </w:r>
      <w:r w:rsidR="00AB2550" w:rsidRPr="00303D9B">
        <w:rPr>
          <w:rFonts w:ascii="Times New Roman" w:hAnsi="Times New Roman" w:cs="Times New Roman"/>
        </w:rPr>
        <w:t>non perverrebbe</w:t>
      </w:r>
      <w:r w:rsidR="0026384D" w:rsidRPr="00303D9B">
        <w:rPr>
          <w:rFonts w:ascii="Times New Roman" w:hAnsi="Times New Roman" w:cs="Times New Roman"/>
        </w:rPr>
        <w:t xml:space="preserve"> ad </w:t>
      </w:r>
      <w:r w:rsidR="00AB2550" w:rsidRPr="00303D9B">
        <w:rPr>
          <w:rFonts w:ascii="Times New Roman" w:hAnsi="Times New Roman" w:cs="Times New Roman"/>
        </w:rPr>
        <w:t xml:space="preserve">una </w:t>
      </w:r>
      <w:r w:rsidR="00091F84" w:rsidRPr="00B24F82">
        <w:rPr>
          <w:rFonts w:ascii="Times New Roman" w:eastAsia="Times New Roman" w:hAnsi="Times New Roman" w:cs="Times New Roman"/>
          <w:color w:val="000000"/>
        </w:rPr>
        <w:t>«</w:t>
      </w:r>
      <w:r w:rsidR="005360D4" w:rsidRPr="00B24F82">
        <w:rPr>
          <w:rFonts w:ascii="Times New Roman" w:eastAsia="Times New Roman" w:hAnsi="Times New Roman" w:cs="Times New Roman"/>
          <w:color w:val="000000"/>
        </w:rPr>
        <w:t>natürliche Erklärung des Daseyns endlicher und successiver Dinge</w:t>
      </w:r>
      <w:r w:rsidR="005360D4" w:rsidRPr="00B24F82">
        <w:rPr>
          <w:rFonts w:ascii="Times New Roman" w:hAnsi="Times New Roman" w:cs="Times New Roman"/>
        </w:rPr>
        <w:t>».</w:t>
      </w:r>
      <w:r w:rsidR="00EE4975" w:rsidRPr="00303D9B">
        <w:rPr>
          <w:rFonts w:ascii="Times New Roman" w:hAnsi="Times New Roman" w:cs="Times New Roman"/>
        </w:rPr>
        <w:t xml:space="preserve"> </w:t>
      </w:r>
      <w:r w:rsidR="002470EB" w:rsidRPr="00303D9B">
        <w:rPr>
          <w:rFonts w:ascii="Times New Roman" w:hAnsi="Times New Roman" w:cs="Times New Roman"/>
        </w:rPr>
        <w:t>A</w:t>
      </w:r>
      <w:r w:rsidR="00091F84" w:rsidRPr="00303D9B">
        <w:rPr>
          <w:rFonts w:ascii="Times New Roman" w:hAnsi="Times New Roman" w:cs="Times New Roman"/>
        </w:rPr>
        <w:t xml:space="preserve"> partire da questa lettura critica dello spinozismo, </w:t>
      </w:r>
      <w:r w:rsidR="00A22784" w:rsidRPr="00303D9B">
        <w:rPr>
          <w:rFonts w:ascii="Times New Roman" w:hAnsi="Times New Roman" w:cs="Times New Roman"/>
        </w:rPr>
        <w:t>una domanda</w:t>
      </w:r>
      <w:r w:rsidR="00397E04" w:rsidRPr="00303D9B">
        <w:rPr>
          <w:rFonts w:ascii="Times New Roman" w:hAnsi="Times New Roman" w:cs="Times New Roman"/>
        </w:rPr>
        <w:t xml:space="preserve"> </w:t>
      </w:r>
      <w:r w:rsidR="009C3834" w:rsidRPr="00303D9B">
        <w:rPr>
          <w:rFonts w:ascii="Times New Roman" w:hAnsi="Times New Roman" w:cs="Times New Roman"/>
        </w:rPr>
        <w:t xml:space="preserve">ben precisa </w:t>
      </w:r>
      <w:r w:rsidR="00397E04" w:rsidRPr="00303D9B">
        <w:rPr>
          <w:rFonts w:ascii="Times New Roman" w:hAnsi="Times New Roman" w:cs="Times New Roman"/>
        </w:rPr>
        <w:t>s’impone all’attenzione di Hegel</w:t>
      </w:r>
      <w:r w:rsidR="008A46ED" w:rsidRPr="00303D9B">
        <w:rPr>
          <w:rFonts w:ascii="Times New Roman" w:hAnsi="Times New Roman" w:cs="Times New Roman"/>
        </w:rPr>
        <w:t xml:space="preserve">: </w:t>
      </w:r>
      <w:r w:rsidR="00A22784" w:rsidRPr="00303D9B">
        <w:rPr>
          <w:rFonts w:ascii="Times New Roman" w:hAnsi="Times New Roman" w:cs="Times New Roman"/>
        </w:rPr>
        <w:t xml:space="preserve">fornire </w:t>
      </w:r>
      <w:r w:rsidR="00091F84" w:rsidRPr="00303D9B">
        <w:rPr>
          <w:rFonts w:ascii="Times New Roman" w:hAnsi="Times New Roman" w:cs="Times New Roman"/>
        </w:rPr>
        <w:t>una spiegazione naturale (</w:t>
      </w:r>
      <w:r w:rsidR="00091F84" w:rsidRPr="00303D9B">
        <w:rPr>
          <w:rFonts w:ascii="Times New Roman" w:eastAsia="Times New Roman" w:hAnsi="Times New Roman" w:cs="Times New Roman"/>
          <w:i/>
          <w:color w:val="000000"/>
        </w:rPr>
        <w:t>eine natürliche Erklärung</w:t>
      </w:r>
      <w:r w:rsidR="00091F84" w:rsidRPr="00303D9B">
        <w:rPr>
          <w:rFonts w:ascii="Times New Roman" w:hAnsi="Times New Roman" w:cs="Times New Roman"/>
        </w:rPr>
        <w:t xml:space="preserve">) della formazione e distruzione del finito </w:t>
      </w:r>
      <w:r w:rsidR="00A22784" w:rsidRPr="00303D9B">
        <w:rPr>
          <w:rFonts w:ascii="Times New Roman" w:hAnsi="Times New Roman" w:cs="Times New Roman"/>
        </w:rPr>
        <w:t xml:space="preserve">rappresenta davvero </w:t>
      </w:r>
      <w:r w:rsidR="00091F84" w:rsidRPr="00303D9B">
        <w:rPr>
          <w:rFonts w:ascii="Times New Roman" w:hAnsi="Times New Roman" w:cs="Times New Roman"/>
        </w:rPr>
        <w:t>l’obiettivo perseguito da</w:t>
      </w:r>
      <w:r w:rsidR="003746BF" w:rsidRPr="00303D9B">
        <w:rPr>
          <w:rFonts w:ascii="Times New Roman" w:hAnsi="Times New Roman" w:cs="Times New Roman"/>
        </w:rPr>
        <w:t>lla</w:t>
      </w:r>
      <w:r w:rsidR="00A22784" w:rsidRPr="00303D9B">
        <w:rPr>
          <w:rFonts w:ascii="Times New Roman" w:hAnsi="Times New Roman" w:cs="Times New Roman"/>
        </w:rPr>
        <w:t xml:space="preserve"> metafisica</w:t>
      </w:r>
      <w:r w:rsidR="003746BF" w:rsidRPr="00303D9B">
        <w:rPr>
          <w:rFonts w:ascii="Times New Roman" w:hAnsi="Times New Roman" w:cs="Times New Roman"/>
        </w:rPr>
        <w:t xml:space="preserve"> di Spinoza</w:t>
      </w:r>
      <w:r w:rsidR="00724BFB" w:rsidRPr="00303D9B">
        <w:rPr>
          <w:rFonts w:ascii="Times New Roman" w:hAnsi="Times New Roman" w:cs="Times New Roman"/>
        </w:rPr>
        <w:t xml:space="preserve">? </w:t>
      </w:r>
      <w:r w:rsidR="009C3834" w:rsidRPr="00303D9B">
        <w:rPr>
          <w:rFonts w:ascii="Times New Roman" w:hAnsi="Times New Roman" w:cs="Times New Roman"/>
        </w:rPr>
        <w:t>Risposta: l</w:t>
      </w:r>
      <w:r w:rsidR="00A22784" w:rsidRPr="00303D9B">
        <w:rPr>
          <w:rFonts w:ascii="Times New Roman" w:hAnsi="Times New Roman" w:cs="Times New Roman"/>
        </w:rPr>
        <w:t xml:space="preserve">o statuto ontologico dell’essere finito è un problema teorico </w:t>
      </w:r>
      <w:r w:rsidR="003746BF" w:rsidRPr="00303D9B">
        <w:rPr>
          <w:rFonts w:ascii="Times New Roman" w:hAnsi="Times New Roman" w:cs="Times New Roman"/>
        </w:rPr>
        <w:t xml:space="preserve">ascrivibile </w:t>
      </w:r>
      <w:r w:rsidR="00A22784" w:rsidRPr="00303D9B">
        <w:rPr>
          <w:rFonts w:ascii="Times New Roman" w:hAnsi="Times New Roman" w:cs="Times New Roman"/>
        </w:rPr>
        <w:t>non tanto allo spinozism</w:t>
      </w:r>
      <w:r w:rsidR="00774B74" w:rsidRPr="00303D9B">
        <w:rPr>
          <w:rFonts w:ascii="Times New Roman" w:hAnsi="Times New Roman" w:cs="Times New Roman"/>
        </w:rPr>
        <w:t>o, quanto al pensiero di Jacobi</w:t>
      </w:r>
      <w:r w:rsidR="00A22784" w:rsidRPr="00303D9B">
        <w:rPr>
          <w:rFonts w:ascii="Times New Roman" w:hAnsi="Times New Roman" w:cs="Times New Roman"/>
        </w:rPr>
        <w:t xml:space="preserve"> </w:t>
      </w:r>
      <w:r w:rsidR="003746BF" w:rsidRPr="00303D9B">
        <w:rPr>
          <w:rFonts w:ascii="Times New Roman" w:hAnsi="Times New Roman" w:cs="Times New Roman"/>
        </w:rPr>
        <w:t>che, con un’operazion</w:t>
      </w:r>
      <w:r w:rsidR="00A22784" w:rsidRPr="00303D9B">
        <w:rPr>
          <w:rFonts w:ascii="Times New Roman" w:hAnsi="Times New Roman" w:cs="Times New Roman"/>
        </w:rPr>
        <w:t xml:space="preserve">e interpretativa da rigettare, ha introdotto </w:t>
      </w:r>
      <w:r w:rsidR="003746BF" w:rsidRPr="00B24F82">
        <w:rPr>
          <w:rFonts w:ascii="Times New Roman" w:hAnsi="Times New Roman" w:cs="Times New Roman"/>
        </w:rPr>
        <w:t>«das Einzelne und die Zeit in</w:t>
      </w:r>
      <w:r w:rsidR="00A22784" w:rsidRPr="00B24F82">
        <w:rPr>
          <w:rFonts w:ascii="Times New Roman" w:hAnsi="Times New Roman" w:cs="Times New Roman"/>
        </w:rPr>
        <w:t xml:space="preserve"> die Unendlichkeit des Spinozas</w:t>
      </w:r>
      <w:r w:rsidR="003746BF" w:rsidRPr="00B24F82">
        <w:rPr>
          <w:rFonts w:ascii="Times New Roman" w:hAnsi="Times New Roman" w:cs="Times New Roman"/>
        </w:rPr>
        <w:t>»</w:t>
      </w:r>
      <w:r w:rsidR="003746BF" w:rsidRPr="00B24F82">
        <w:rPr>
          <w:rStyle w:val="Rimandonotaapidipagina"/>
          <w:rFonts w:ascii="Times New Roman" w:hAnsi="Times New Roman" w:cs="Times New Roman"/>
        </w:rPr>
        <w:footnoteReference w:id="129"/>
      </w:r>
      <w:r w:rsidR="00170B23" w:rsidRPr="00303D9B">
        <w:rPr>
          <w:rFonts w:ascii="Times New Roman" w:hAnsi="Times New Roman" w:cs="Times New Roman"/>
        </w:rPr>
        <w:t>.</w:t>
      </w:r>
      <w:r w:rsidR="00170B23">
        <w:rPr>
          <w:rFonts w:ascii="Times New Roman" w:hAnsi="Times New Roman" w:cs="Times New Roman"/>
        </w:rPr>
        <w:t xml:space="preserve"> Pur conoscendo </w:t>
      </w:r>
      <w:r w:rsidR="00170B23" w:rsidRPr="00B24F82">
        <w:rPr>
          <w:rFonts w:ascii="Times New Roman" w:hAnsi="Times New Roman" w:cs="Times New Roman"/>
        </w:rPr>
        <w:t>«der Spinozische Unterschied zwischen intellectus und imaginatio»</w:t>
      </w:r>
      <w:r w:rsidR="00170B23" w:rsidRPr="00B24F82">
        <w:rPr>
          <w:rStyle w:val="Rimandonotaapidipagina"/>
          <w:rFonts w:ascii="Times New Roman" w:hAnsi="Times New Roman" w:cs="Times New Roman"/>
        </w:rPr>
        <w:footnoteReference w:id="130"/>
      </w:r>
      <w:r w:rsidR="00686BAA" w:rsidRPr="00345C27">
        <w:rPr>
          <w:rFonts w:ascii="Times New Roman" w:hAnsi="Times New Roman" w:cs="Times New Roman"/>
        </w:rPr>
        <w:t xml:space="preserve">, </w:t>
      </w:r>
      <w:r w:rsidR="00170B23" w:rsidRPr="00345C27">
        <w:rPr>
          <w:rFonts w:ascii="Times New Roman" w:hAnsi="Times New Roman" w:cs="Times New Roman"/>
        </w:rPr>
        <w:t>e quindi avendo chiara anche la distinzione</w:t>
      </w:r>
      <w:r w:rsidR="00217FF0">
        <w:rPr>
          <w:rFonts w:ascii="Times New Roman" w:hAnsi="Times New Roman" w:cs="Times New Roman"/>
        </w:rPr>
        <w:t xml:space="preserve"> fra</w:t>
      </w:r>
      <w:r w:rsidR="00170B23" w:rsidRPr="00345C27">
        <w:rPr>
          <w:rFonts w:ascii="Times New Roman" w:hAnsi="Times New Roman" w:cs="Times New Roman"/>
        </w:rPr>
        <w:t xml:space="preserve"> l’</w:t>
      </w:r>
      <w:r w:rsidR="00170B23" w:rsidRPr="00345C27">
        <w:rPr>
          <w:rFonts w:ascii="Times New Roman" w:hAnsi="Times New Roman" w:cs="Times New Roman"/>
          <w:i/>
        </w:rPr>
        <w:t>infinitum actu</w:t>
      </w:r>
      <w:r w:rsidR="00170B23" w:rsidRPr="00345C27">
        <w:rPr>
          <w:rFonts w:ascii="Times New Roman" w:hAnsi="Times New Roman" w:cs="Times New Roman"/>
        </w:rPr>
        <w:t xml:space="preserve"> e l’infinitezza empirica (</w:t>
      </w:r>
      <w:r w:rsidR="00170B23" w:rsidRPr="00345C27">
        <w:rPr>
          <w:rFonts w:ascii="Times New Roman" w:hAnsi="Times New Roman" w:cs="Times New Roman"/>
          <w:i/>
        </w:rPr>
        <w:t>die empirische</w:t>
      </w:r>
      <w:r w:rsidR="00170B23" w:rsidRPr="00170B23">
        <w:rPr>
          <w:rFonts w:ascii="Times New Roman" w:hAnsi="Times New Roman" w:cs="Times New Roman"/>
          <w:i/>
        </w:rPr>
        <w:t xml:space="preserve"> Unendlichkeit</w:t>
      </w:r>
      <w:r w:rsidR="009E49D2">
        <w:rPr>
          <w:rFonts w:ascii="Times New Roman" w:hAnsi="Times New Roman" w:cs="Times New Roman"/>
        </w:rPr>
        <w:t>), Jacobi ha visto nello spinozismo</w:t>
      </w:r>
      <w:r w:rsidR="00170B23">
        <w:rPr>
          <w:rFonts w:ascii="Times New Roman" w:hAnsi="Times New Roman" w:cs="Times New Roman"/>
        </w:rPr>
        <w:t xml:space="preserve"> il tentativo di pensare</w:t>
      </w:r>
      <w:r w:rsidR="00DD261C">
        <w:rPr>
          <w:rFonts w:ascii="Times New Roman" w:hAnsi="Times New Roman" w:cs="Times New Roman"/>
        </w:rPr>
        <w:t xml:space="preserve"> </w:t>
      </w:r>
      <w:r w:rsidR="00170B23">
        <w:rPr>
          <w:rFonts w:ascii="Times New Roman" w:hAnsi="Times New Roman" w:cs="Times New Roman"/>
        </w:rPr>
        <w:t>il tempo</w:t>
      </w:r>
      <w:r w:rsidR="00DD261C">
        <w:rPr>
          <w:rFonts w:ascii="Times New Roman" w:hAnsi="Times New Roman" w:cs="Times New Roman"/>
        </w:rPr>
        <w:t>,</w:t>
      </w:r>
      <w:r w:rsidR="00170B23">
        <w:rPr>
          <w:rFonts w:ascii="Times New Roman" w:hAnsi="Times New Roman" w:cs="Times New Roman"/>
        </w:rPr>
        <w:t xml:space="preserve"> e c</w:t>
      </w:r>
      <w:r w:rsidR="00101E9C">
        <w:rPr>
          <w:rFonts w:ascii="Times New Roman" w:hAnsi="Times New Roman" w:cs="Times New Roman"/>
        </w:rPr>
        <w:t>on esso una successione infinita</w:t>
      </w:r>
      <w:r w:rsidR="00170B23">
        <w:rPr>
          <w:rFonts w:ascii="Times New Roman" w:hAnsi="Times New Roman" w:cs="Times New Roman"/>
        </w:rPr>
        <w:t xml:space="preserve"> di cose finite</w:t>
      </w:r>
      <w:r w:rsidR="00967339">
        <w:rPr>
          <w:rFonts w:ascii="Times New Roman" w:hAnsi="Times New Roman" w:cs="Times New Roman"/>
        </w:rPr>
        <w:t>, in ciò che è eterno,</w:t>
      </w:r>
      <w:r w:rsidR="00DD261C">
        <w:rPr>
          <w:rFonts w:ascii="Times New Roman" w:hAnsi="Times New Roman" w:cs="Times New Roman"/>
        </w:rPr>
        <w:t xml:space="preserve"> </w:t>
      </w:r>
      <w:r w:rsidR="00506AE7">
        <w:rPr>
          <w:rFonts w:ascii="Times New Roman" w:hAnsi="Times New Roman" w:cs="Times New Roman"/>
        </w:rPr>
        <w:t>nel</w:t>
      </w:r>
      <w:r w:rsidR="00DD261C">
        <w:rPr>
          <w:rFonts w:ascii="Times New Roman" w:hAnsi="Times New Roman" w:cs="Times New Roman"/>
        </w:rPr>
        <w:t>la sostanza intesa come infinito attuale.</w:t>
      </w:r>
      <w:r w:rsidR="008A46ED">
        <w:rPr>
          <w:rFonts w:ascii="Times New Roman" w:hAnsi="Times New Roman" w:cs="Times New Roman"/>
        </w:rPr>
        <w:t xml:space="preserve"> </w:t>
      </w:r>
      <w:r w:rsidR="008A46ED" w:rsidRPr="00303D9B">
        <w:rPr>
          <w:rFonts w:ascii="Times New Roman" w:hAnsi="Times New Roman" w:cs="Times New Roman"/>
        </w:rPr>
        <w:t>S</w:t>
      </w:r>
      <w:r w:rsidR="00170B23" w:rsidRPr="00303D9B">
        <w:rPr>
          <w:rFonts w:ascii="Times New Roman" w:hAnsi="Times New Roman" w:cs="Times New Roman"/>
        </w:rPr>
        <w:t>e così stessero le cose,</w:t>
      </w:r>
      <w:r w:rsidR="008A46ED" w:rsidRPr="00303D9B">
        <w:rPr>
          <w:rFonts w:ascii="Times New Roman" w:hAnsi="Times New Roman" w:cs="Times New Roman"/>
        </w:rPr>
        <w:t xml:space="preserve"> </w:t>
      </w:r>
      <w:r w:rsidR="00170B23" w:rsidRPr="00303D9B">
        <w:rPr>
          <w:rFonts w:ascii="Times New Roman" w:hAnsi="Times New Roman" w:cs="Times New Roman"/>
        </w:rPr>
        <w:t xml:space="preserve">Spinoza cadrebbe in contraddizione, </w:t>
      </w:r>
      <w:r w:rsidR="008A46ED" w:rsidRPr="00303D9B">
        <w:rPr>
          <w:rFonts w:ascii="Times New Roman" w:hAnsi="Times New Roman" w:cs="Times New Roman"/>
        </w:rPr>
        <w:t>poiché negherebbe</w:t>
      </w:r>
      <w:r w:rsidR="00967339">
        <w:rPr>
          <w:rFonts w:ascii="Times New Roman" w:hAnsi="Times New Roman" w:cs="Times New Roman"/>
        </w:rPr>
        <w:t xml:space="preserve"> e</w:t>
      </w:r>
      <w:r w:rsidR="004E078B" w:rsidRPr="00303D9B">
        <w:rPr>
          <w:rFonts w:ascii="Times New Roman" w:hAnsi="Times New Roman" w:cs="Times New Roman"/>
        </w:rPr>
        <w:t xml:space="preserve"> introdurrebbe ad un tempo </w:t>
      </w:r>
      <w:r w:rsidR="008A46ED" w:rsidRPr="00303D9B">
        <w:rPr>
          <w:rFonts w:ascii="Times New Roman" w:hAnsi="Times New Roman" w:cs="Times New Roman"/>
        </w:rPr>
        <w:t xml:space="preserve">la successione </w:t>
      </w:r>
      <w:r w:rsidR="00170B23" w:rsidRPr="00303D9B">
        <w:rPr>
          <w:rFonts w:ascii="Times New Roman" w:hAnsi="Times New Roman" w:cs="Times New Roman"/>
        </w:rPr>
        <w:t>in ciò che non</w:t>
      </w:r>
      <w:r w:rsidR="007E4EE6" w:rsidRPr="00303D9B">
        <w:rPr>
          <w:rFonts w:ascii="Times New Roman" w:hAnsi="Times New Roman" w:cs="Times New Roman"/>
        </w:rPr>
        <w:t xml:space="preserve"> contiene successione alcuna</w:t>
      </w:r>
      <w:r w:rsidR="00170B23" w:rsidRPr="00303D9B">
        <w:rPr>
          <w:rFonts w:ascii="Times New Roman" w:hAnsi="Times New Roman" w:cs="Times New Roman"/>
        </w:rPr>
        <w:t>.</w:t>
      </w:r>
      <w:r w:rsidR="00DD261C" w:rsidRPr="00303D9B">
        <w:rPr>
          <w:rFonts w:ascii="Times New Roman" w:hAnsi="Times New Roman" w:cs="Times New Roman"/>
        </w:rPr>
        <w:t xml:space="preserve"> Ma Hegel, </w:t>
      </w:r>
      <w:r w:rsidR="00ED3627" w:rsidRPr="00303D9B">
        <w:rPr>
          <w:rFonts w:ascii="Times New Roman" w:hAnsi="Times New Roman" w:cs="Times New Roman"/>
        </w:rPr>
        <w:t xml:space="preserve">che non fa sconto alcuno a Jacobi, </w:t>
      </w:r>
      <w:r w:rsidR="00ED283E" w:rsidRPr="00303D9B">
        <w:rPr>
          <w:rFonts w:ascii="Times New Roman" w:hAnsi="Times New Roman" w:cs="Times New Roman"/>
        </w:rPr>
        <w:t xml:space="preserve">sostiene </w:t>
      </w:r>
      <w:r w:rsidR="00ED3627" w:rsidRPr="00303D9B">
        <w:rPr>
          <w:rFonts w:ascii="Times New Roman" w:hAnsi="Times New Roman" w:cs="Times New Roman"/>
        </w:rPr>
        <w:t xml:space="preserve">che </w:t>
      </w:r>
      <w:r w:rsidR="00101E9C" w:rsidRPr="00303D9B">
        <w:rPr>
          <w:rFonts w:ascii="Times New Roman" w:hAnsi="Times New Roman" w:cs="Times New Roman"/>
        </w:rPr>
        <w:t>quest’analisi</w:t>
      </w:r>
      <w:r w:rsidR="00F83371">
        <w:rPr>
          <w:rFonts w:ascii="Times New Roman" w:hAnsi="Times New Roman" w:cs="Times New Roman"/>
        </w:rPr>
        <w:t xml:space="preserve"> è</w:t>
      </w:r>
      <w:r w:rsidR="00506AE7" w:rsidRPr="00303D9B">
        <w:rPr>
          <w:rFonts w:ascii="Times New Roman" w:hAnsi="Times New Roman" w:cs="Times New Roman"/>
        </w:rPr>
        <w:t xml:space="preserve"> da rifiut</w:t>
      </w:r>
      <w:r w:rsidR="00ED3627" w:rsidRPr="00303D9B">
        <w:rPr>
          <w:rFonts w:ascii="Times New Roman" w:hAnsi="Times New Roman" w:cs="Times New Roman"/>
        </w:rPr>
        <w:t xml:space="preserve">are in </w:t>
      </w:r>
      <w:r w:rsidR="00506AE7" w:rsidRPr="00303D9B">
        <w:rPr>
          <w:rFonts w:ascii="Times New Roman" w:hAnsi="Times New Roman" w:cs="Times New Roman"/>
        </w:rPr>
        <w:t xml:space="preserve">blocco, </w:t>
      </w:r>
      <w:r w:rsidR="00247413" w:rsidRPr="00303D9B">
        <w:rPr>
          <w:rFonts w:ascii="Times New Roman" w:hAnsi="Times New Roman" w:cs="Times New Roman"/>
        </w:rPr>
        <w:t>poi</w:t>
      </w:r>
      <w:r w:rsidR="00506AE7" w:rsidRPr="00303D9B">
        <w:rPr>
          <w:rFonts w:ascii="Times New Roman" w:hAnsi="Times New Roman" w:cs="Times New Roman"/>
        </w:rPr>
        <w:t xml:space="preserve">ché </w:t>
      </w:r>
      <w:r w:rsidR="00247413" w:rsidRPr="00303D9B">
        <w:rPr>
          <w:rFonts w:ascii="Times New Roman" w:hAnsi="Times New Roman" w:cs="Times New Roman"/>
        </w:rPr>
        <w:t xml:space="preserve">confonde l’infinitezza empirica con </w:t>
      </w:r>
      <w:r w:rsidR="00ED3627" w:rsidRPr="00303D9B">
        <w:rPr>
          <w:rFonts w:ascii="Times New Roman" w:hAnsi="Times New Roman" w:cs="Times New Roman"/>
        </w:rPr>
        <w:t>ciò che per Spinoza</w:t>
      </w:r>
      <w:r w:rsidR="00993B0B" w:rsidRPr="00303D9B">
        <w:rPr>
          <w:rFonts w:ascii="Times New Roman" w:hAnsi="Times New Roman" w:cs="Times New Roman"/>
        </w:rPr>
        <w:t xml:space="preserve"> è infinita attuosità. Rifacendosi</w:t>
      </w:r>
      <w:r w:rsidR="00B631F4">
        <w:rPr>
          <w:rFonts w:ascii="Times New Roman" w:hAnsi="Times New Roman" w:cs="Times New Roman"/>
        </w:rPr>
        <w:t xml:space="preserve"> all’ottava</w:t>
      </w:r>
      <w:r w:rsidR="00993B0B">
        <w:rPr>
          <w:rFonts w:ascii="Times New Roman" w:hAnsi="Times New Roman" w:cs="Times New Roman"/>
        </w:rPr>
        <w:t xml:space="preserve"> </w:t>
      </w:r>
      <w:r w:rsidR="008A75C0">
        <w:rPr>
          <w:rFonts w:ascii="Times New Roman" w:hAnsi="Times New Roman" w:cs="Times New Roman"/>
        </w:rPr>
        <w:t xml:space="preserve">proposizione </w:t>
      </w:r>
      <w:r w:rsidR="00993B0B">
        <w:rPr>
          <w:rFonts w:ascii="Times New Roman" w:hAnsi="Times New Roman" w:cs="Times New Roman"/>
        </w:rPr>
        <w:t xml:space="preserve">del </w:t>
      </w:r>
      <w:r w:rsidR="00993B0B" w:rsidRPr="00993B0B">
        <w:rPr>
          <w:rFonts w:ascii="Times New Roman" w:hAnsi="Times New Roman" w:cs="Times New Roman"/>
          <w:i/>
        </w:rPr>
        <w:t>De Deo</w:t>
      </w:r>
      <w:r w:rsidR="00993B0B">
        <w:rPr>
          <w:rStyle w:val="Rimandonotaapidipagina"/>
          <w:rFonts w:ascii="Times New Roman" w:hAnsi="Times New Roman" w:cs="Times New Roman"/>
          <w:i/>
        </w:rPr>
        <w:footnoteReference w:id="131"/>
      </w:r>
      <w:r w:rsidR="00F268B9">
        <w:rPr>
          <w:rFonts w:ascii="Times New Roman" w:hAnsi="Times New Roman" w:cs="Times New Roman"/>
        </w:rPr>
        <w:t>, Hegel nota che</w:t>
      </w:r>
    </w:p>
    <w:p w14:paraId="67287D31" w14:textId="77777777" w:rsidR="005A1814" w:rsidRDefault="005A1814" w:rsidP="00634549">
      <w:pPr>
        <w:spacing w:line="360" w:lineRule="auto"/>
        <w:ind w:firstLine="567"/>
        <w:jc w:val="both"/>
        <w:rPr>
          <w:rFonts w:ascii="Times New Roman" w:hAnsi="Times New Roman" w:cs="Times New Roman"/>
        </w:rPr>
      </w:pPr>
    </w:p>
    <w:p w14:paraId="24290BB3" w14:textId="3C9C3088" w:rsidR="005A1814" w:rsidRPr="00B24F82" w:rsidRDefault="00E95B2D" w:rsidP="00ED283E">
      <w:pPr>
        <w:spacing w:line="360" w:lineRule="auto"/>
        <w:ind w:left="567" w:firstLine="567"/>
        <w:jc w:val="both"/>
        <w:rPr>
          <w:rFonts w:ascii="Times New Roman" w:hAnsi="Times New Roman" w:cs="Times New Roman"/>
          <w:sz w:val="20"/>
          <w:szCs w:val="20"/>
        </w:rPr>
      </w:pPr>
      <w:r w:rsidRPr="00B24F82">
        <w:rPr>
          <w:rFonts w:ascii="Times New Roman" w:hAnsi="Times New Roman" w:cs="Times New Roman"/>
          <w:sz w:val="20"/>
          <w:szCs w:val="20"/>
        </w:rPr>
        <w:t>«</w:t>
      </w:r>
      <w:r w:rsidR="005A1814" w:rsidRPr="00B24F82">
        <w:rPr>
          <w:rFonts w:ascii="Times New Roman" w:hAnsi="Times New Roman" w:cs="Times New Roman"/>
          <w:sz w:val="20"/>
          <w:szCs w:val="20"/>
        </w:rPr>
        <w:t>Das Unendliche definiert Spinoza (Ethik, P</w:t>
      </w:r>
      <w:r w:rsidR="00015D04" w:rsidRPr="00B24F82">
        <w:rPr>
          <w:rFonts w:ascii="Times New Roman" w:hAnsi="Times New Roman" w:cs="Times New Roman"/>
          <w:sz w:val="20"/>
          <w:szCs w:val="20"/>
        </w:rPr>
        <w:t>. I, Pr. VIII, Sch. I</w:t>
      </w:r>
      <w:r w:rsidR="005A1814" w:rsidRPr="00B24F82">
        <w:rPr>
          <w:rFonts w:ascii="Times New Roman" w:hAnsi="Times New Roman" w:cs="Times New Roman"/>
          <w:sz w:val="20"/>
          <w:szCs w:val="20"/>
        </w:rPr>
        <w:t>)</w:t>
      </w:r>
      <w:r w:rsidR="00A87849" w:rsidRPr="00B24F82">
        <w:rPr>
          <w:rFonts w:ascii="Times New Roman" w:hAnsi="Times New Roman" w:cs="Times New Roman"/>
          <w:sz w:val="20"/>
          <w:szCs w:val="20"/>
        </w:rPr>
        <w:t xml:space="preserve"> als die absolute Affirmation der Existenz irgend einer Natur; das Endliche im Gegentheil als eine theilweise Verneinung. Diese einfache Bestimmung macht also das Unendliche zum absoluten sich selbst gleichen untheilbaren wahrhaften Begriff, welcher das Besondere oder Endliche seinem Wesen nach zugleich in sich schließt, und einzig und untheilbar ist, und diese Unendlichkeit, in welcher nichts verneint und bestimmt ist, nennt Spinoza die Unendlichkeit des Verstands; es ist die Unendlichkeit der Substanz, und ihr Erkennen die intellectuelle Anschauung, in welcher als der intuitiven Erkentniß, nicht, wie im leeren Begriff</w:t>
      </w:r>
      <w:r w:rsidRPr="00B24F82">
        <w:rPr>
          <w:rFonts w:ascii="Times New Roman" w:hAnsi="Times New Roman" w:cs="Times New Roman"/>
          <w:sz w:val="20"/>
          <w:szCs w:val="20"/>
        </w:rPr>
        <w:t>, und der Unendlichkeit der Abstraction, das Besondere und Endliche ausgeschlossen und entgegengesetzt ist; und dieses Unendliche ist die Idee selbst»</w:t>
      </w:r>
      <w:r w:rsidRPr="00B24F82">
        <w:rPr>
          <w:rStyle w:val="Rimandonotaapidipagina"/>
          <w:rFonts w:ascii="Times New Roman" w:hAnsi="Times New Roman" w:cs="Times New Roman"/>
          <w:sz w:val="20"/>
          <w:szCs w:val="20"/>
        </w:rPr>
        <w:footnoteReference w:id="132"/>
      </w:r>
      <w:r w:rsidR="008B383D" w:rsidRPr="00B24F82">
        <w:rPr>
          <w:rFonts w:ascii="Times New Roman" w:hAnsi="Times New Roman" w:cs="Times New Roman"/>
          <w:sz w:val="20"/>
          <w:szCs w:val="20"/>
        </w:rPr>
        <w:t>.</w:t>
      </w:r>
    </w:p>
    <w:p w14:paraId="47FFD506" w14:textId="77777777" w:rsidR="008B383D" w:rsidRPr="00F268B9" w:rsidRDefault="008B383D" w:rsidP="00634549">
      <w:pPr>
        <w:spacing w:line="360" w:lineRule="auto"/>
        <w:ind w:firstLine="567"/>
        <w:jc w:val="both"/>
        <w:rPr>
          <w:rFonts w:ascii="Times New Roman" w:hAnsi="Times New Roman" w:cs="Times New Roman"/>
        </w:rPr>
      </w:pPr>
    </w:p>
    <w:p w14:paraId="49910AE4" w14:textId="0159F31F" w:rsidR="009B61E6" w:rsidRPr="00F93409" w:rsidRDefault="0046021C" w:rsidP="00EF2DA7">
      <w:pPr>
        <w:spacing w:line="360" w:lineRule="auto"/>
        <w:ind w:firstLine="567"/>
        <w:jc w:val="both"/>
        <w:rPr>
          <w:rFonts w:ascii="Times New Roman" w:eastAsia="Times New Roman" w:hAnsi="Times New Roman" w:cs="Times New Roman"/>
          <w:color w:val="000000"/>
        </w:rPr>
      </w:pPr>
      <w:r>
        <w:rPr>
          <w:rFonts w:ascii="Times New Roman" w:hAnsi="Times New Roman" w:cs="Times New Roman"/>
        </w:rPr>
        <w:t xml:space="preserve">L’infinito </w:t>
      </w:r>
      <w:r w:rsidR="00CE6357">
        <w:rPr>
          <w:rFonts w:ascii="Times New Roman" w:hAnsi="Times New Roman" w:cs="Times New Roman"/>
        </w:rPr>
        <w:t xml:space="preserve">dell’intelletto, che non ha niente in comune con l’infinito empirico, </w:t>
      </w:r>
      <w:r>
        <w:rPr>
          <w:rFonts w:ascii="Times New Roman" w:hAnsi="Times New Roman" w:cs="Times New Roman"/>
        </w:rPr>
        <w:t>è definito da Spinoza come l’assoluta affermazione di sé</w:t>
      </w:r>
      <w:r w:rsidR="006348CB">
        <w:rPr>
          <w:rFonts w:ascii="Times New Roman" w:hAnsi="Times New Roman" w:cs="Times New Roman"/>
        </w:rPr>
        <w:t>. Assoluta, se ben si osserva,</w:t>
      </w:r>
      <w:r>
        <w:rPr>
          <w:rFonts w:ascii="Times New Roman" w:hAnsi="Times New Roman" w:cs="Times New Roman"/>
        </w:rPr>
        <w:t xml:space="preserve"> non</w:t>
      </w:r>
      <w:r w:rsidR="002635D6">
        <w:rPr>
          <w:rFonts w:ascii="Times New Roman" w:hAnsi="Times New Roman" w:cs="Times New Roman"/>
        </w:rPr>
        <w:t xml:space="preserve"> assoluta</w:t>
      </w:r>
      <w:r w:rsidR="006348CB">
        <w:rPr>
          <w:rFonts w:ascii="Times New Roman" w:hAnsi="Times New Roman" w:cs="Times New Roman"/>
        </w:rPr>
        <w:t xml:space="preserve"> e </w:t>
      </w:r>
      <w:r w:rsidR="006348CB" w:rsidRPr="006348CB">
        <w:rPr>
          <w:rFonts w:ascii="Times New Roman" w:hAnsi="Times New Roman" w:cs="Times New Roman"/>
          <w:i/>
        </w:rPr>
        <w:t>pura</w:t>
      </w:r>
      <w:r>
        <w:rPr>
          <w:rFonts w:ascii="Times New Roman" w:hAnsi="Times New Roman" w:cs="Times New Roman"/>
        </w:rPr>
        <w:t>, come nel caso dell’Io fichtiano. In forz</w:t>
      </w:r>
      <w:r w:rsidR="00CE6357">
        <w:rPr>
          <w:rFonts w:ascii="Times New Roman" w:hAnsi="Times New Roman" w:cs="Times New Roman"/>
        </w:rPr>
        <w:t>a d</w:t>
      </w:r>
      <w:r w:rsidR="0062450B">
        <w:rPr>
          <w:rFonts w:ascii="Times New Roman" w:hAnsi="Times New Roman" w:cs="Times New Roman"/>
        </w:rPr>
        <w:t>el</w:t>
      </w:r>
      <w:r w:rsidR="00CE6357">
        <w:rPr>
          <w:rFonts w:ascii="Times New Roman" w:hAnsi="Times New Roman" w:cs="Times New Roman"/>
        </w:rPr>
        <w:t xml:space="preserve"> carattere </w:t>
      </w:r>
      <w:r w:rsidR="00784DE7">
        <w:rPr>
          <w:rFonts w:ascii="Times New Roman" w:hAnsi="Times New Roman" w:cs="Times New Roman"/>
          <w:i/>
        </w:rPr>
        <w:t xml:space="preserve">assoluto </w:t>
      </w:r>
      <w:r w:rsidR="00CE6357">
        <w:rPr>
          <w:rFonts w:ascii="Times New Roman" w:hAnsi="Times New Roman" w:cs="Times New Roman"/>
        </w:rPr>
        <w:t>dell’affermarsi</w:t>
      </w:r>
      <w:r>
        <w:rPr>
          <w:rFonts w:ascii="Times New Roman" w:hAnsi="Times New Roman" w:cs="Times New Roman"/>
        </w:rPr>
        <w:t xml:space="preserve"> della sostanza, nulla viene negato</w:t>
      </w:r>
      <w:r w:rsidR="00CE6357">
        <w:rPr>
          <w:rFonts w:ascii="Times New Roman" w:hAnsi="Times New Roman" w:cs="Times New Roman"/>
        </w:rPr>
        <w:t>, nulla viene escluso o determinato come un</w:t>
      </w:r>
      <w:r w:rsidR="004F37B5">
        <w:rPr>
          <w:rFonts w:ascii="Times New Roman" w:hAnsi="Times New Roman" w:cs="Times New Roman"/>
        </w:rPr>
        <w:t xml:space="preserve"> mero</w:t>
      </w:r>
      <w:r w:rsidR="00CE6357">
        <w:rPr>
          <w:rFonts w:ascii="Times New Roman" w:hAnsi="Times New Roman" w:cs="Times New Roman"/>
        </w:rPr>
        <w:t xml:space="preserve"> essere per sé, ma tanto l’opposizione fra infinito e finito – nella quale si di</w:t>
      </w:r>
      <w:r w:rsidR="00D278D9">
        <w:rPr>
          <w:rFonts w:ascii="Times New Roman" w:hAnsi="Times New Roman" w:cs="Times New Roman"/>
        </w:rPr>
        <w:t>batte il pensiero riflettente e</w:t>
      </w:r>
      <w:r w:rsidR="00CE6357">
        <w:rPr>
          <w:rFonts w:ascii="Times New Roman" w:hAnsi="Times New Roman" w:cs="Times New Roman"/>
        </w:rPr>
        <w:t xml:space="preserve"> oltre la quale </w:t>
      </w:r>
      <w:r w:rsidR="002B7F19">
        <w:rPr>
          <w:rFonts w:ascii="Times New Roman" w:hAnsi="Times New Roman" w:cs="Times New Roman"/>
        </w:rPr>
        <w:t>procedono</w:t>
      </w:r>
      <w:r w:rsidR="00951183">
        <w:rPr>
          <w:rFonts w:ascii="Times New Roman" w:hAnsi="Times New Roman" w:cs="Times New Roman"/>
        </w:rPr>
        <w:t xml:space="preserve"> </w:t>
      </w:r>
      <w:r w:rsidR="0049717B">
        <w:rPr>
          <w:rFonts w:ascii="Times New Roman" w:hAnsi="Times New Roman" w:cs="Times New Roman"/>
        </w:rPr>
        <w:t>l’intuizione intellettuale</w:t>
      </w:r>
      <w:r w:rsidR="002B7F19">
        <w:rPr>
          <w:rFonts w:ascii="Times New Roman" w:hAnsi="Times New Roman" w:cs="Times New Roman"/>
        </w:rPr>
        <w:t xml:space="preserve"> e la conoscenza intuitiva</w:t>
      </w:r>
      <w:r w:rsidR="0049717B">
        <w:rPr>
          <w:rStyle w:val="Rimandonotaapidipagina"/>
          <w:rFonts w:ascii="Times New Roman" w:hAnsi="Times New Roman" w:cs="Times New Roman"/>
        </w:rPr>
        <w:footnoteReference w:id="133"/>
      </w:r>
      <w:r w:rsidR="0049717B">
        <w:rPr>
          <w:rFonts w:ascii="Times New Roman" w:hAnsi="Times New Roman" w:cs="Times New Roman"/>
        </w:rPr>
        <w:t xml:space="preserve"> </w:t>
      </w:r>
      <w:r w:rsidR="00CE6357">
        <w:rPr>
          <w:rFonts w:ascii="Times New Roman" w:hAnsi="Times New Roman" w:cs="Times New Roman"/>
        </w:rPr>
        <w:t xml:space="preserve">–, quanto la sua risoluzione è mantenuta nell’unità concreta dell’Assoluto. </w:t>
      </w:r>
      <w:r w:rsidR="00462B8A" w:rsidRPr="00303D9B">
        <w:rPr>
          <w:rFonts w:ascii="Times New Roman" w:hAnsi="Times New Roman" w:cs="Times New Roman"/>
        </w:rPr>
        <w:t>Utilizzando una formula</w:t>
      </w:r>
      <w:r w:rsidR="004F37B5" w:rsidRPr="00303D9B">
        <w:rPr>
          <w:rFonts w:ascii="Times New Roman" w:hAnsi="Times New Roman" w:cs="Times New Roman"/>
        </w:rPr>
        <w:t xml:space="preserve"> </w:t>
      </w:r>
      <w:r w:rsidR="00A144A8" w:rsidRPr="00303D9B">
        <w:rPr>
          <w:rFonts w:ascii="Times New Roman" w:hAnsi="Times New Roman" w:cs="Times New Roman"/>
        </w:rPr>
        <w:t xml:space="preserve">già </w:t>
      </w:r>
      <w:r w:rsidR="004F37B5" w:rsidRPr="00303D9B">
        <w:rPr>
          <w:rFonts w:ascii="Times New Roman" w:hAnsi="Times New Roman" w:cs="Times New Roman"/>
        </w:rPr>
        <w:t xml:space="preserve">impiegata per descrivere la </w:t>
      </w:r>
      <w:r w:rsidR="006348CB" w:rsidRPr="00303D9B">
        <w:rPr>
          <w:rFonts w:ascii="Times New Roman" w:hAnsi="Times New Roman" w:cs="Times New Roman"/>
        </w:rPr>
        <w:t>natura speculativa dell’Incondizionato</w:t>
      </w:r>
      <w:r w:rsidR="004F37B5" w:rsidRPr="00303D9B">
        <w:rPr>
          <w:rFonts w:ascii="Times New Roman" w:hAnsi="Times New Roman" w:cs="Times New Roman"/>
        </w:rPr>
        <w:t xml:space="preserve"> schellinghiano, possiamo dire, anche in questo contesto, che l’</w:t>
      </w:r>
      <w:r w:rsidR="004F37B5" w:rsidRPr="00303D9B">
        <w:rPr>
          <w:rFonts w:ascii="Times New Roman" w:hAnsi="Times New Roman" w:cs="Times New Roman"/>
          <w:i/>
        </w:rPr>
        <w:t xml:space="preserve">infinitum actu </w:t>
      </w:r>
      <w:r w:rsidR="004F37B5" w:rsidRPr="00303D9B">
        <w:rPr>
          <w:rFonts w:ascii="Times New Roman" w:hAnsi="Times New Roman" w:cs="Times New Roman"/>
        </w:rPr>
        <w:t>di Spinoza</w:t>
      </w:r>
      <w:r w:rsidR="002F1F35" w:rsidRPr="00303D9B">
        <w:rPr>
          <w:rFonts w:ascii="Times New Roman" w:hAnsi="Times New Roman" w:cs="Times New Roman"/>
        </w:rPr>
        <w:t xml:space="preserve"> </w:t>
      </w:r>
      <w:r w:rsidR="004F37B5" w:rsidRPr="00303D9B">
        <w:rPr>
          <w:rFonts w:ascii="Times New Roman" w:hAnsi="Times New Roman" w:cs="Times New Roman"/>
        </w:rPr>
        <w:t>è</w:t>
      </w:r>
      <w:r w:rsidR="004F37B5">
        <w:rPr>
          <w:rFonts w:ascii="Times New Roman" w:hAnsi="Times New Roman" w:cs="Times New Roman"/>
        </w:rPr>
        <w:t xml:space="preserve"> </w:t>
      </w:r>
      <w:r w:rsidR="004F37B5" w:rsidRPr="00B26148">
        <w:rPr>
          <w:rFonts w:ascii="Times New Roman" w:eastAsia="Times New Roman" w:hAnsi="Times New Roman" w:cs="Times New Roman"/>
          <w:color w:val="000000"/>
        </w:rPr>
        <w:t>«die Identität der Identität und der Nichtidentität; Entgegensetzen und Einseyn ist zugleich in ihm»</w:t>
      </w:r>
      <w:r w:rsidR="004F37B5" w:rsidRPr="00B26148">
        <w:rPr>
          <w:rStyle w:val="Rimandonotaapidipagina"/>
          <w:rFonts w:ascii="Times New Roman" w:eastAsia="Times New Roman" w:hAnsi="Times New Roman" w:cs="Times New Roman"/>
          <w:color w:val="000000"/>
        </w:rPr>
        <w:footnoteReference w:id="134"/>
      </w:r>
      <w:r w:rsidR="004F37B5" w:rsidRPr="00B26148">
        <w:rPr>
          <w:rFonts w:ascii="Times New Roman" w:eastAsia="Times New Roman" w:hAnsi="Times New Roman" w:cs="Times New Roman"/>
          <w:color w:val="000000"/>
        </w:rPr>
        <w:t>.</w:t>
      </w:r>
      <w:r w:rsidR="006348CB">
        <w:rPr>
          <w:rFonts w:ascii="Times New Roman" w:eastAsia="Times New Roman" w:hAnsi="Times New Roman" w:cs="Times New Roman"/>
          <w:color w:val="000000"/>
        </w:rPr>
        <w:t xml:space="preserve"> In quanto capace d’esibire</w:t>
      </w:r>
      <w:r w:rsidR="00462B8A">
        <w:rPr>
          <w:rFonts w:ascii="Times New Roman" w:eastAsia="Times New Roman" w:hAnsi="Times New Roman" w:cs="Times New Roman"/>
          <w:color w:val="000000"/>
        </w:rPr>
        <w:t xml:space="preserve">, </w:t>
      </w:r>
      <w:r w:rsidR="00077817">
        <w:rPr>
          <w:rFonts w:ascii="Times New Roman" w:eastAsia="Times New Roman" w:hAnsi="Times New Roman" w:cs="Times New Roman"/>
          <w:color w:val="000000"/>
        </w:rPr>
        <w:t xml:space="preserve">ricorrendo ad </w:t>
      </w:r>
      <w:r w:rsidR="00A144A8">
        <w:rPr>
          <w:rFonts w:ascii="Times New Roman" w:eastAsia="Times New Roman" w:hAnsi="Times New Roman" w:cs="Times New Roman"/>
          <w:color w:val="000000"/>
        </w:rPr>
        <w:t xml:space="preserve">una terminologia tratta </w:t>
      </w:r>
      <w:r w:rsidR="00462B8A">
        <w:rPr>
          <w:rFonts w:ascii="Times New Roman" w:eastAsia="Times New Roman" w:hAnsi="Times New Roman" w:cs="Times New Roman"/>
          <w:color w:val="000000"/>
        </w:rPr>
        <w:t xml:space="preserve">dal </w:t>
      </w:r>
      <w:r w:rsidR="00462B8A">
        <w:rPr>
          <w:rFonts w:ascii="Times New Roman" w:eastAsia="Times New Roman" w:hAnsi="Times New Roman" w:cs="Times New Roman"/>
          <w:i/>
          <w:color w:val="000000"/>
        </w:rPr>
        <w:t xml:space="preserve">Darstellung </w:t>
      </w:r>
      <w:r w:rsidR="00C331CA">
        <w:rPr>
          <w:rFonts w:ascii="Times New Roman" w:eastAsia="Times New Roman" w:hAnsi="Times New Roman" w:cs="Times New Roman"/>
          <w:i/>
          <w:color w:val="000000"/>
        </w:rPr>
        <w:t>meines Systems</w:t>
      </w:r>
      <w:r w:rsidR="0049717B">
        <w:rPr>
          <w:rFonts w:ascii="Times New Roman" w:eastAsia="Times New Roman" w:hAnsi="Times New Roman" w:cs="Times New Roman"/>
          <w:i/>
          <w:color w:val="000000"/>
        </w:rPr>
        <w:t xml:space="preserve"> </w:t>
      </w:r>
      <w:r w:rsidR="0049717B">
        <w:rPr>
          <w:rFonts w:ascii="Times New Roman" w:eastAsia="Times New Roman" w:hAnsi="Times New Roman" w:cs="Times New Roman"/>
          <w:color w:val="000000"/>
        </w:rPr>
        <w:t>di Schelling</w:t>
      </w:r>
      <w:r w:rsidR="00C331CA">
        <w:rPr>
          <w:rFonts w:ascii="Times New Roman" w:eastAsia="Times New Roman" w:hAnsi="Times New Roman" w:cs="Times New Roman"/>
          <w:color w:val="000000"/>
        </w:rPr>
        <w:t xml:space="preserve">, </w:t>
      </w:r>
      <w:r w:rsidR="00C331CA" w:rsidRPr="00E3796C">
        <w:rPr>
          <w:rFonts w:ascii="Times New Roman" w:eastAsia="Times New Roman" w:hAnsi="Times New Roman" w:cs="Times New Roman"/>
          <w:color w:val="000000"/>
        </w:rPr>
        <w:t xml:space="preserve">l’indifferenza </w:t>
      </w:r>
      <w:r w:rsidR="00E931EF">
        <w:rPr>
          <w:rFonts w:ascii="Times New Roman" w:eastAsia="Times New Roman" w:hAnsi="Times New Roman" w:cs="Times New Roman"/>
          <w:color w:val="000000"/>
        </w:rPr>
        <w:t xml:space="preserve">qualitativa </w:t>
      </w:r>
      <w:r w:rsidR="00C331CA" w:rsidRPr="00E3796C">
        <w:rPr>
          <w:rFonts w:ascii="Times New Roman" w:eastAsia="Times New Roman" w:hAnsi="Times New Roman" w:cs="Times New Roman"/>
          <w:color w:val="000000"/>
        </w:rPr>
        <w:t xml:space="preserve">e </w:t>
      </w:r>
      <w:r w:rsidR="00A144A8" w:rsidRPr="00E3796C">
        <w:rPr>
          <w:rFonts w:ascii="Times New Roman" w:eastAsia="Times New Roman" w:hAnsi="Times New Roman" w:cs="Times New Roman"/>
          <w:color w:val="000000"/>
        </w:rPr>
        <w:t>la differenza quantitativa</w:t>
      </w:r>
      <w:r w:rsidR="0049717B" w:rsidRPr="00E3796C">
        <w:rPr>
          <w:rStyle w:val="Rimandonotaapidipagina"/>
          <w:rFonts w:ascii="Times New Roman" w:eastAsia="Times New Roman" w:hAnsi="Times New Roman" w:cs="Times New Roman"/>
          <w:color w:val="000000"/>
        </w:rPr>
        <w:footnoteReference w:id="135"/>
      </w:r>
      <w:r w:rsidR="00A144A8" w:rsidRPr="00E3796C">
        <w:rPr>
          <w:rFonts w:ascii="Times New Roman" w:eastAsia="Times New Roman" w:hAnsi="Times New Roman" w:cs="Times New Roman"/>
          <w:color w:val="000000"/>
        </w:rPr>
        <w:t>, la</w:t>
      </w:r>
      <w:r w:rsidR="00A144A8">
        <w:rPr>
          <w:rFonts w:ascii="Times New Roman" w:eastAsia="Times New Roman" w:hAnsi="Times New Roman" w:cs="Times New Roman"/>
          <w:color w:val="000000"/>
        </w:rPr>
        <w:t xml:space="preserve"> sostanza spinoziana s</w:t>
      </w:r>
      <w:r w:rsidR="00C331CA">
        <w:rPr>
          <w:rFonts w:ascii="Times New Roman" w:eastAsia="Times New Roman" w:hAnsi="Times New Roman" w:cs="Times New Roman"/>
          <w:color w:val="000000"/>
        </w:rPr>
        <w:t>i identifica con quell’</w:t>
      </w:r>
      <w:r w:rsidR="00C331CA" w:rsidRPr="00C331CA">
        <w:rPr>
          <w:rFonts w:ascii="Times New Roman" w:eastAsia="Times New Roman" w:hAnsi="Times New Roman" w:cs="Times New Roman"/>
          <w:i/>
          <w:color w:val="000000"/>
        </w:rPr>
        <w:t xml:space="preserve">absolutes Nichts </w:t>
      </w:r>
      <w:r w:rsidR="00C331CA">
        <w:rPr>
          <w:rFonts w:ascii="Times New Roman" w:eastAsia="Times New Roman" w:hAnsi="Times New Roman" w:cs="Times New Roman"/>
          <w:color w:val="000000"/>
        </w:rPr>
        <w:t>che</w:t>
      </w:r>
      <w:r w:rsidR="00A144A8">
        <w:rPr>
          <w:rFonts w:ascii="Times New Roman" w:eastAsia="Times New Roman" w:hAnsi="Times New Roman" w:cs="Times New Roman"/>
          <w:color w:val="000000"/>
        </w:rPr>
        <w:t xml:space="preserve"> è il punto di partenza </w:t>
      </w:r>
      <w:r w:rsidR="00C331CA">
        <w:rPr>
          <w:rFonts w:ascii="Times New Roman" w:eastAsia="Times New Roman" w:hAnsi="Times New Roman" w:cs="Times New Roman"/>
          <w:color w:val="000000"/>
        </w:rPr>
        <w:t>(</w:t>
      </w:r>
      <w:r w:rsidR="00C331CA" w:rsidRPr="00C331CA">
        <w:rPr>
          <w:rFonts w:ascii="Times New Roman" w:eastAsia="Times New Roman" w:hAnsi="Times New Roman" w:cs="Times New Roman"/>
          <w:i/>
          <w:color w:val="000000"/>
        </w:rPr>
        <w:t>das Erste</w:t>
      </w:r>
      <w:r w:rsidR="00C331CA">
        <w:rPr>
          <w:rFonts w:ascii="Times New Roman" w:eastAsia="Times New Roman" w:hAnsi="Times New Roman" w:cs="Times New Roman"/>
          <w:color w:val="000000"/>
        </w:rPr>
        <w:t xml:space="preserve">) della filosofia. Secondo </w:t>
      </w:r>
      <w:r w:rsidR="00A144A8">
        <w:rPr>
          <w:rFonts w:ascii="Times New Roman" w:eastAsia="Times New Roman" w:hAnsi="Times New Roman" w:cs="Times New Roman"/>
          <w:color w:val="000000"/>
        </w:rPr>
        <w:t>Hegel</w:t>
      </w:r>
      <w:r w:rsidR="00C331CA">
        <w:rPr>
          <w:rFonts w:ascii="Times New Roman" w:eastAsia="Times New Roman" w:hAnsi="Times New Roman" w:cs="Times New Roman"/>
          <w:color w:val="000000"/>
        </w:rPr>
        <w:t>, quel sistema filosofi</w:t>
      </w:r>
      <w:r w:rsidR="00A144A8">
        <w:rPr>
          <w:rFonts w:ascii="Times New Roman" w:eastAsia="Times New Roman" w:hAnsi="Times New Roman" w:cs="Times New Roman"/>
          <w:color w:val="000000"/>
        </w:rPr>
        <w:t>co che afferra il nulla assoluto</w:t>
      </w:r>
      <w:r w:rsidR="00C331CA">
        <w:rPr>
          <w:rFonts w:ascii="Times New Roman" w:eastAsia="Times New Roman" w:hAnsi="Times New Roman" w:cs="Times New Roman"/>
          <w:color w:val="000000"/>
        </w:rPr>
        <w:t>, ergendosi al di là delle aporie ri</w:t>
      </w:r>
      <w:r w:rsidR="00077817">
        <w:rPr>
          <w:rFonts w:ascii="Times New Roman" w:eastAsia="Times New Roman" w:hAnsi="Times New Roman" w:cs="Times New Roman"/>
          <w:color w:val="000000"/>
        </w:rPr>
        <w:t>flessive, è lo spinozismo: a</w:t>
      </w:r>
      <w:r w:rsidR="00A144A8">
        <w:rPr>
          <w:rFonts w:ascii="Times New Roman" w:eastAsia="Times New Roman" w:hAnsi="Times New Roman" w:cs="Times New Roman"/>
          <w:color w:val="000000"/>
        </w:rPr>
        <w:t>ll’</w:t>
      </w:r>
      <w:r w:rsidR="002635D6">
        <w:rPr>
          <w:rFonts w:ascii="Times New Roman" w:eastAsia="Times New Roman" w:hAnsi="Times New Roman" w:cs="Times New Roman"/>
          <w:color w:val="000000"/>
        </w:rPr>
        <w:t xml:space="preserve">assoluta e </w:t>
      </w:r>
      <w:r w:rsidR="00C331CA">
        <w:rPr>
          <w:rFonts w:ascii="Times New Roman" w:eastAsia="Times New Roman" w:hAnsi="Times New Roman" w:cs="Times New Roman"/>
          <w:color w:val="000000"/>
        </w:rPr>
        <w:t xml:space="preserve">pura affermazione dell’Io di Fichte, è contrapposta l’affermazione assoluta dell’infinito di </w:t>
      </w:r>
      <w:r w:rsidR="00C331CA" w:rsidRPr="00303D9B">
        <w:rPr>
          <w:rFonts w:ascii="Times New Roman" w:eastAsia="Times New Roman" w:hAnsi="Times New Roman" w:cs="Times New Roman"/>
          <w:color w:val="000000"/>
        </w:rPr>
        <w:t>Spinoza; al nulla dell’Io fichtiano, si oppone il nulla as</w:t>
      </w:r>
      <w:r w:rsidR="00774B74" w:rsidRPr="00303D9B">
        <w:rPr>
          <w:rFonts w:ascii="Times New Roman" w:eastAsia="Times New Roman" w:hAnsi="Times New Roman" w:cs="Times New Roman"/>
          <w:color w:val="000000"/>
        </w:rPr>
        <w:t xml:space="preserve">soluto spinoziano, che </w:t>
      </w:r>
      <w:r w:rsidR="0067179C">
        <w:rPr>
          <w:rFonts w:ascii="Times New Roman" w:eastAsia="Times New Roman" w:hAnsi="Times New Roman" w:cs="Times New Roman"/>
          <w:color w:val="000000"/>
        </w:rPr>
        <w:t xml:space="preserve">fonda </w:t>
      </w:r>
      <w:r w:rsidR="00774B74" w:rsidRPr="00303D9B">
        <w:rPr>
          <w:rFonts w:ascii="Times New Roman" w:eastAsia="Times New Roman" w:hAnsi="Times New Roman" w:cs="Times New Roman"/>
          <w:color w:val="000000"/>
        </w:rPr>
        <w:t>compiut</w:t>
      </w:r>
      <w:r w:rsidR="002635D6" w:rsidRPr="00303D9B">
        <w:rPr>
          <w:rFonts w:ascii="Times New Roman" w:eastAsia="Times New Roman" w:hAnsi="Times New Roman" w:cs="Times New Roman"/>
          <w:color w:val="000000"/>
        </w:rPr>
        <w:t>amente l’identità</w:t>
      </w:r>
      <w:r w:rsidR="002635D6">
        <w:rPr>
          <w:rFonts w:ascii="Times New Roman" w:eastAsia="Times New Roman" w:hAnsi="Times New Roman" w:cs="Times New Roman"/>
          <w:color w:val="000000"/>
        </w:rPr>
        <w:t xml:space="preserve"> e l’opposizione d</w:t>
      </w:r>
      <w:r w:rsidR="00077817">
        <w:rPr>
          <w:rFonts w:ascii="Times New Roman" w:eastAsia="Times New Roman" w:hAnsi="Times New Roman" w:cs="Times New Roman"/>
          <w:color w:val="000000"/>
        </w:rPr>
        <w:t>ell</w:t>
      </w:r>
      <w:r w:rsidR="002635D6">
        <w:rPr>
          <w:rFonts w:ascii="Times New Roman" w:eastAsia="Times New Roman" w:hAnsi="Times New Roman" w:cs="Times New Roman"/>
          <w:color w:val="000000"/>
        </w:rPr>
        <w:t xml:space="preserve">’infinito e </w:t>
      </w:r>
      <w:r w:rsidR="00E931EF">
        <w:rPr>
          <w:rFonts w:ascii="Times New Roman" w:eastAsia="Times New Roman" w:hAnsi="Times New Roman" w:cs="Times New Roman"/>
          <w:color w:val="000000"/>
        </w:rPr>
        <w:t xml:space="preserve">del </w:t>
      </w:r>
      <w:r w:rsidR="002635D6">
        <w:rPr>
          <w:rFonts w:ascii="Times New Roman" w:eastAsia="Times New Roman" w:hAnsi="Times New Roman" w:cs="Times New Roman"/>
          <w:color w:val="000000"/>
        </w:rPr>
        <w:t>finito</w:t>
      </w:r>
      <w:r w:rsidR="00790C07">
        <w:rPr>
          <w:rStyle w:val="Rimandonotaapidipagina"/>
          <w:rFonts w:ascii="Times New Roman" w:eastAsia="Times New Roman" w:hAnsi="Times New Roman" w:cs="Times New Roman"/>
          <w:color w:val="000000"/>
        </w:rPr>
        <w:footnoteReference w:id="136"/>
      </w:r>
      <w:r w:rsidR="002635D6">
        <w:rPr>
          <w:rFonts w:ascii="Times New Roman" w:eastAsia="Times New Roman" w:hAnsi="Times New Roman" w:cs="Times New Roman"/>
          <w:color w:val="000000"/>
        </w:rPr>
        <w:t xml:space="preserve">. </w:t>
      </w:r>
      <w:r w:rsidR="002635D6" w:rsidRPr="00303D9B">
        <w:rPr>
          <w:rFonts w:ascii="Times New Roman" w:eastAsia="Times New Roman" w:hAnsi="Times New Roman" w:cs="Times New Roman"/>
          <w:color w:val="000000"/>
        </w:rPr>
        <w:t xml:space="preserve">È Spinoza, non Fichte, che ha </w:t>
      </w:r>
      <w:r w:rsidR="00B411EA" w:rsidRPr="00303D9B">
        <w:rPr>
          <w:rFonts w:ascii="Times New Roman" w:eastAsia="Times New Roman" w:hAnsi="Times New Roman" w:cs="Times New Roman"/>
          <w:color w:val="000000"/>
        </w:rPr>
        <w:t>sviluppato appieno le potenzialità speculative del nichilismo</w:t>
      </w:r>
      <w:r w:rsidR="002635D6" w:rsidRPr="00303D9B">
        <w:rPr>
          <w:rFonts w:ascii="Times New Roman" w:eastAsia="Times New Roman" w:hAnsi="Times New Roman" w:cs="Times New Roman"/>
          <w:color w:val="000000"/>
        </w:rPr>
        <w:t xml:space="preserve">: </w:t>
      </w:r>
      <w:r w:rsidR="00A144A8" w:rsidRPr="00303D9B">
        <w:rPr>
          <w:rFonts w:ascii="Times New Roman" w:eastAsia="Times New Roman" w:hAnsi="Times New Roman" w:cs="Times New Roman"/>
          <w:color w:val="000000"/>
        </w:rPr>
        <w:t xml:space="preserve">il </w:t>
      </w:r>
      <w:r w:rsidR="002635D6" w:rsidRPr="00303D9B">
        <w:rPr>
          <w:rFonts w:ascii="Times New Roman" w:eastAsia="Times New Roman" w:hAnsi="Times New Roman" w:cs="Times New Roman"/>
          <w:color w:val="000000"/>
        </w:rPr>
        <w:t xml:space="preserve">nulla </w:t>
      </w:r>
      <w:r w:rsidR="00A144A8" w:rsidRPr="00303D9B">
        <w:rPr>
          <w:rFonts w:ascii="Times New Roman" w:eastAsia="Times New Roman" w:hAnsi="Times New Roman" w:cs="Times New Roman"/>
          <w:color w:val="000000"/>
        </w:rPr>
        <w:t xml:space="preserve">non </w:t>
      </w:r>
      <w:r w:rsidR="002635D6" w:rsidRPr="00303D9B">
        <w:rPr>
          <w:rFonts w:ascii="Times New Roman" w:eastAsia="Times New Roman" w:hAnsi="Times New Roman" w:cs="Times New Roman"/>
          <w:color w:val="000000"/>
        </w:rPr>
        <w:t xml:space="preserve">è mera astrazione, </w:t>
      </w:r>
      <w:r w:rsidR="0087577A" w:rsidRPr="00303D9B">
        <w:rPr>
          <w:rFonts w:ascii="Times New Roman" w:eastAsia="Times New Roman" w:hAnsi="Times New Roman" w:cs="Times New Roman"/>
          <w:color w:val="000000"/>
        </w:rPr>
        <w:t xml:space="preserve">o </w:t>
      </w:r>
      <w:r w:rsidR="002635D6" w:rsidRPr="00303D9B">
        <w:rPr>
          <w:rFonts w:ascii="Times New Roman" w:eastAsia="Times New Roman" w:hAnsi="Times New Roman" w:cs="Times New Roman"/>
          <w:color w:val="000000"/>
        </w:rPr>
        <w:t>un vuoto concetto</w:t>
      </w:r>
      <w:r w:rsidR="00A144A8" w:rsidRPr="00303D9B">
        <w:rPr>
          <w:rStyle w:val="Rimandonotaapidipagina"/>
          <w:rFonts w:ascii="Times New Roman" w:eastAsia="Times New Roman" w:hAnsi="Times New Roman" w:cs="Times New Roman"/>
          <w:color w:val="000000"/>
        </w:rPr>
        <w:footnoteReference w:id="137"/>
      </w:r>
      <w:r w:rsidR="00A144A8" w:rsidRPr="00303D9B">
        <w:rPr>
          <w:rFonts w:ascii="Times New Roman" w:eastAsia="Times New Roman" w:hAnsi="Times New Roman" w:cs="Times New Roman"/>
          <w:color w:val="000000"/>
        </w:rPr>
        <w:t>,</w:t>
      </w:r>
      <w:r w:rsidR="002635D6" w:rsidRPr="00303D9B">
        <w:rPr>
          <w:rFonts w:ascii="Times New Roman" w:eastAsia="Times New Roman" w:hAnsi="Times New Roman" w:cs="Times New Roman"/>
          <w:color w:val="000000"/>
        </w:rPr>
        <w:t xml:space="preserve"> incapace di fare i conti con l’altro da sé, ma un nulla in cui è </w:t>
      </w:r>
      <w:r w:rsidR="00C4460C">
        <w:rPr>
          <w:rFonts w:ascii="Times New Roman" w:eastAsia="Times New Roman" w:hAnsi="Times New Roman" w:cs="Times New Roman"/>
          <w:color w:val="000000"/>
        </w:rPr>
        <w:t xml:space="preserve">risolta e da cui si articola </w:t>
      </w:r>
      <w:r w:rsidR="002635D6" w:rsidRPr="00303D9B">
        <w:rPr>
          <w:rFonts w:ascii="Times New Roman" w:eastAsia="Times New Roman" w:hAnsi="Times New Roman" w:cs="Times New Roman"/>
          <w:color w:val="000000"/>
        </w:rPr>
        <w:t>tutta la pienezza dell’essere</w:t>
      </w:r>
      <w:r w:rsidR="002635D6">
        <w:rPr>
          <w:rFonts w:ascii="Times New Roman" w:eastAsia="Times New Roman" w:hAnsi="Times New Roman" w:cs="Times New Roman"/>
          <w:color w:val="000000"/>
        </w:rPr>
        <w:t>. Il nulla a</w:t>
      </w:r>
      <w:r w:rsidR="00A144A8">
        <w:rPr>
          <w:rFonts w:ascii="Times New Roman" w:eastAsia="Times New Roman" w:hAnsi="Times New Roman" w:cs="Times New Roman"/>
          <w:color w:val="000000"/>
        </w:rPr>
        <w:t>ssoluto è affermazione assoluta,</w:t>
      </w:r>
      <w:r w:rsidR="002635D6">
        <w:rPr>
          <w:rFonts w:ascii="Times New Roman" w:eastAsia="Times New Roman" w:hAnsi="Times New Roman" w:cs="Times New Roman"/>
          <w:color w:val="000000"/>
        </w:rPr>
        <w:t xml:space="preserve"> ed è in forza di questo suo carattere che esso è</w:t>
      </w:r>
      <w:r w:rsidR="00A144A8">
        <w:rPr>
          <w:rFonts w:ascii="Times New Roman" w:eastAsia="Times New Roman" w:hAnsi="Times New Roman" w:cs="Times New Roman"/>
          <w:color w:val="000000"/>
        </w:rPr>
        <w:t xml:space="preserve"> </w:t>
      </w:r>
      <w:r w:rsidR="000555D9">
        <w:rPr>
          <w:rFonts w:ascii="Times New Roman" w:eastAsia="Times New Roman" w:hAnsi="Times New Roman" w:cs="Times New Roman"/>
          <w:color w:val="000000"/>
        </w:rPr>
        <w:t xml:space="preserve">incondizionata </w:t>
      </w:r>
      <w:r w:rsidR="00A144A8">
        <w:rPr>
          <w:rFonts w:ascii="Times New Roman" w:eastAsia="Times New Roman" w:hAnsi="Times New Roman" w:cs="Times New Roman"/>
          <w:color w:val="000000"/>
        </w:rPr>
        <w:t>realizzazione di sé</w:t>
      </w:r>
      <w:r w:rsidR="00EF2DA7">
        <w:rPr>
          <w:rFonts w:ascii="Times New Roman" w:eastAsia="Times New Roman" w:hAnsi="Times New Roman" w:cs="Times New Roman"/>
          <w:color w:val="000000"/>
        </w:rPr>
        <w:t xml:space="preserve"> e dell’altro da sé</w:t>
      </w:r>
      <w:r w:rsidR="00A144A8">
        <w:rPr>
          <w:rFonts w:ascii="Times New Roman" w:eastAsia="Times New Roman" w:hAnsi="Times New Roman" w:cs="Times New Roman"/>
          <w:color w:val="000000"/>
        </w:rPr>
        <w:t>, ossia</w:t>
      </w:r>
      <w:r w:rsidR="002635D6">
        <w:rPr>
          <w:rFonts w:ascii="Times New Roman" w:eastAsia="Times New Roman" w:hAnsi="Times New Roman" w:cs="Times New Roman"/>
          <w:color w:val="000000"/>
        </w:rPr>
        <w:t xml:space="preserve"> </w:t>
      </w:r>
      <w:r w:rsidR="002635D6" w:rsidRPr="00F93409">
        <w:rPr>
          <w:rFonts w:ascii="Times New Roman" w:eastAsia="Times New Roman" w:hAnsi="Times New Roman" w:cs="Times New Roman"/>
          <w:color w:val="000000"/>
        </w:rPr>
        <w:t>«das Erste, worauf alles Sein, alle Mannigfaltigkeit des Endlichen hervorgegan ist».</w:t>
      </w:r>
      <w:r w:rsidR="00A144A8" w:rsidRPr="00F93409">
        <w:rPr>
          <w:rFonts w:ascii="Times New Roman" w:eastAsia="Times New Roman" w:hAnsi="Times New Roman" w:cs="Times New Roman"/>
          <w:color w:val="000000"/>
        </w:rPr>
        <w:t xml:space="preserve"> </w:t>
      </w:r>
    </w:p>
    <w:p w14:paraId="7ECE1D06" w14:textId="758C34F1" w:rsidR="00B15E0A" w:rsidRPr="00A93A46" w:rsidRDefault="00EF2DA7" w:rsidP="004C552D">
      <w:pPr>
        <w:spacing w:line="360" w:lineRule="auto"/>
        <w:ind w:firstLine="567"/>
        <w:jc w:val="both"/>
        <w:rPr>
          <w:rFonts w:ascii="Times New Roman" w:eastAsia="Times New Roman" w:hAnsi="Times New Roman" w:cs="Times New Roman"/>
          <w:color w:val="000000"/>
        </w:rPr>
      </w:pPr>
      <w:r w:rsidRPr="00F33559">
        <w:rPr>
          <w:rFonts w:ascii="Times New Roman" w:eastAsia="Times New Roman" w:hAnsi="Times New Roman" w:cs="Times New Roman"/>
          <w:color w:val="000000"/>
        </w:rPr>
        <w:t xml:space="preserve">Decostruendo la </w:t>
      </w:r>
      <w:r w:rsidRPr="00F33559">
        <w:rPr>
          <w:rFonts w:ascii="Times New Roman" w:eastAsia="Times New Roman" w:hAnsi="Times New Roman" w:cs="Times New Roman"/>
          <w:i/>
          <w:color w:val="000000"/>
        </w:rPr>
        <w:t>Reflexionsphilosophie</w:t>
      </w:r>
      <w:r w:rsidRPr="00F33559">
        <w:rPr>
          <w:rFonts w:ascii="Times New Roman" w:eastAsia="Times New Roman" w:hAnsi="Times New Roman" w:cs="Times New Roman"/>
          <w:color w:val="000000"/>
        </w:rPr>
        <w:t>, Hegel adotta una teoria dell’Assoluto che riflette una vicinanza e congruenza di posizioni con Spinoza che mai come in questo momento sarà così generale e cap</w:t>
      </w:r>
      <w:r w:rsidR="009B61E6" w:rsidRPr="00F33559">
        <w:rPr>
          <w:rFonts w:ascii="Times New Roman" w:eastAsia="Times New Roman" w:hAnsi="Times New Roman" w:cs="Times New Roman"/>
          <w:color w:val="000000"/>
        </w:rPr>
        <w:t>illare</w:t>
      </w:r>
      <w:r w:rsidR="00937599" w:rsidRPr="00F33559">
        <w:rPr>
          <w:rStyle w:val="Rimandonotaapidipagina"/>
          <w:rFonts w:ascii="Times New Roman" w:eastAsia="Times New Roman" w:hAnsi="Times New Roman" w:cs="Times New Roman"/>
          <w:color w:val="000000"/>
        </w:rPr>
        <w:footnoteReference w:id="138"/>
      </w:r>
      <w:r w:rsidR="009B61E6" w:rsidRPr="00F33559">
        <w:rPr>
          <w:rFonts w:ascii="Times New Roman" w:eastAsia="Times New Roman" w:hAnsi="Times New Roman" w:cs="Times New Roman"/>
          <w:color w:val="000000"/>
        </w:rPr>
        <w:t xml:space="preserve">. La posizione speculativa spinoziana permette ad </w:t>
      </w:r>
      <w:r w:rsidR="009B61E6" w:rsidRPr="00AF1FC6">
        <w:rPr>
          <w:rFonts w:ascii="Times New Roman" w:eastAsia="Times New Roman" w:hAnsi="Times New Roman" w:cs="Times New Roman"/>
          <w:color w:val="000000"/>
        </w:rPr>
        <w:t xml:space="preserve">Hegel </w:t>
      </w:r>
      <w:r w:rsidR="00132CB3" w:rsidRPr="00AF1FC6">
        <w:rPr>
          <w:rFonts w:ascii="Times New Roman" w:eastAsia="Times New Roman" w:hAnsi="Times New Roman" w:cs="Times New Roman"/>
          <w:color w:val="000000"/>
        </w:rPr>
        <w:t xml:space="preserve">d’avanzare </w:t>
      </w:r>
      <w:r w:rsidR="009B61E6" w:rsidRPr="00AF1FC6">
        <w:rPr>
          <w:rFonts w:ascii="Times New Roman" w:eastAsia="Times New Roman" w:hAnsi="Times New Roman" w:cs="Times New Roman"/>
          <w:color w:val="000000"/>
        </w:rPr>
        <w:t>una prima risposta a quel problema dell’</w:t>
      </w:r>
      <w:r w:rsidR="00132CB3" w:rsidRPr="00AF1FC6">
        <w:rPr>
          <w:rFonts w:ascii="Times New Roman" w:eastAsia="Times New Roman" w:hAnsi="Times New Roman" w:cs="Times New Roman"/>
          <w:i/>
          <w:color w:val="000000"/>
        </w:rPr>
        <w:t>Entgegensetzung</w:t>
      </w:r>
      <w:r w:rsidR="009B61E6" w:rsidRPr="00AF1FC6">
        <w:rPr>
          <w:rFonts w:ascii="Times New Roman" w:eastAsia="Times New Roman" w:hAnsi="Times New Roman" w:cs="Times New Roman"/>
          <w:color w:val="000000"/>
        </w:rPr>
        <w:t xml:space="preserve"> </w:t>
      </w:r>
      <w:r w:rsidR="008620D3" w:rsidRPr="00AF1FC6">
        <w:rPr>
          <w:rFonts w:ascii="Times New Roman" w:eastAsia="Times New Roman" w:hAnsi="Times New Roman" w:cs="Times New Roman"/>
          <w:color w:val="000000"/>
        </w:rPr>
        <w:t xml:space="preserve">problematicamente messo a fuoco durante il </w:t>
      </w:r>
      <w:r w:rsidR="009B61E6" w:rsidRPr="00AF1FC6">
        <w:rPr>
          <w:rFonts w:ascii="Times New Roman" w:eastAsia="Times New Roman" w:hAnsi="Times New Roman" w:cs="Times New Roman"/>
          <w:color w:val="000000"/>
        </w:rPr>
        <w:t xml:space="preserve">soggiorno francofortese. </w:t>
      </w:r>
      <w:r w:rsidR="00093791" w:rsidRPr="00AF1FC6">
        <w:rPr>
          <w:rFonts w:ascii="Times New Roman" w:eastAsia="Times New Roman" w:hAnsi="Times New Roman" w:cs="Times New Roman"/>
          <w:color w:val="000000"/>
        </w:rPr>
        <w:t>Andando</w:t>
      </w:r>
      <w:r w:rsidR="00111293" w:rsidRPr="00AF1FC6">
        <w:rPr>
          <w:rFonts w:ascii="Times New Roman" w:eastAsia="Times New Roman" w:hAnsi="Times New Roman" w:cs="Times New Roman"/>
          <w:color w:val="000000"/>
        </w:rPr>
        <w:t xml:space="preserve"> a </w:t>
      </w:r>
      <w:r w:rsidR="00F33559" w:rsidRPr="00AF1FC6">
        <w:rPr>
          <w:rFonts w:ascii="Times New Roman" w:eastAsia="Times New Roman" w:hAnsi="Times New Roman" w:cs="Times New Roman"/>
          <w:color w:val="000000"/>
        </w:rPr>
        <w:t xml:space="preserve">fondo </w:t>
      </w:r>
      <w:r w:rsidR="00093791" w:rsidRPr="00AF1FC6">
        <w:rPr>
          <w:rFonts w:ascii="Times New Roman" w:eastAsia="Times New Roman" w:hAnsi="Times New Roman" w:cs="Times New Roman"/>
          <w:color w:val="000000"/>
        </w:rPr>
        <w:t>nell</w:t>
      </w:r>
      <w:r w:rsidR="00F33559" w:rsidRPr="00AF1FC6">
        <w:rPr>
          <w:rFonts w:ascii="Times New Roman" w:eastAsia="Times New Roman" w:hAnsi="Times New Roman" w:cs="Times New Roman"/>
          <w:color w:val="000000"/>
        </w:rPr>
        <w:t>’identità assoluta</w:t>
      </w:r>
      <w:r w:rsidR="00402318" w:rsidRPr="00AF1FC6">
        <w:rPr>
          <w:rFonts w:ascii="Times New Roman" w:eastAsia="Times New Roman" w:hAnsi="Times New Roman" w:cs="Times New Roman"/>
          <w:color w:val="000000"/>
        </w:rPr>
        <w:t xml:space="preserve"> e riemergendo da </w:t>
      </w:r>
      <w:r w:rsidR="00093791" w:rsidRPr="00AF1FC6">
        <w:rPr>
          <w:rFonts w:ascii="Times New Roman" w:eastAsia="Times New Roman" w:hAnsi="Times New Roman" w:cs="Times New Roman"/>
          <w:color w:val="000000"/>
        </w:rPr>
        <w:t>essa</w:t>
      </w:r>
      <w:r w:rsidR="00F33559" w:rsidRPr="00AF1FC6">
        <w:rPr>
          <w:rFonts w:ascii="Times New Roman" w:eastAsia="Times New Roman" w:hAnsi="Times New Roman" w:cs="Times New Roman"/>
          <w:color w:val="000000"/>
        </w:rPr>
        <w:t xml:space="preserve">, </w:t>
      </w:r>
      <w:r w:rsidR="00093791" w:rsidRPr="00AF1FC6">
        <w:rPr>
          <w:rFonts w:ascii="Times New Roman" w:eastAsia="Times New Roman" w:hAnsi="Times New Roman" w:cs="Times New Roman"/>
          <w:color w:val="000000"/>
        </w:rPr>
        <w:t xml:space="preserve">l’opposizione </w:t>
      </w:r>
      <w:r w:rsidR="009B61E6" w:rsidRPr="00AF1FC6">
        <w:rPr>
          <w:rFonts w:ascii="Times New Roman" w:eastAsia="Times New Roman" w:hAnsi="Times New Roman" w:cs="Times New Roman"/>
          <w:color w:val="000000"/>
        </w:rPr>
        <w:t>è adesso determinazione essenziale della vita</w:t>
      </w:r>
      <w:r w:rsidR="00C23C85" w:rsidRPr="00AF1FC6">
        <w:rPr>
          <w:rFonts w:ascii="Times New Roman" w:eastAsia="Times New Roman" w:hAnsi="Times New Roman" w:cs="Times New Roman"/>
          <w:color w:val="000000"/>
        </w:rPr>
        <w:t>.</w:t>
      </w:r>
      <w:r w:rsidR="00C23C85" w:rsidRPr="00F33559">
        <w:rPr>
          <w:rFonts w:ascii="Times New Roman" w:eastAsia="Times New Roman" w:hAnsi="Times New Roman" w:cs="Times New Roman"/>
          <w:color w:val="000000"/>
        </w:rPr>
        <w:t xml:space="preserve"> N</w:t>
      </w:r>
      <w:r w:rsidR="0087577A" w:rsidRPr="00F33559">
        <w:rPr>
          <w:rFonts w:ascii="Times New Roman" w:eastAsia="Times New Roman" w:hAnsi="Times New Roman" w:cs="Times New Roman"/>
          <w:color w:val="000000"/>
        </w:rPr>
        <w:t>el suo essere</w:t>
      </w:r>
      <w:r w:rsidR="001C3D9F" w:rsidRPr="00F33559">
        <w:rPr>
          <w:rFonts w:ascii="Times New Roman" w:eastAsia="Times New Roman" w:hAnsi="Times New Roman" w:cs="Times New Roman"/>
          <w:color w:val="000000"/>
        </w:rPr>
        <w:t xml:space="preserve"> </w:t>
      </w:r>
      <w:r w:rsidR="00895C3B" w:rsidRPr="00F33559">
        <w:rPr>
          <w:rFonts w:ascii="Times New Roman" w:eastAsia="Times New Roman" w:hAnsi="Times New Roman" w:cs="Times New Roman"/>
          <w:color w:val="000000"/>
        </w:rPr>
        <w:t>nulla assoluto</w:t>
      </w:r>
      <w:r w:rsidR="009B61E6" w:rsidRPr="00F33559">
        <w:rPr>
          <w:rFonts w:ascii="Times New Roman" w:eastAsia="Times New Roman" w:hAnsi="Times New Roman" w:cs="Times New Roman"/>
          <w:color w:val="000000"/>
        </w:rPr>
        <w:t xml:space="preserve"> e </w:t>
      </w:r>
      <w:r w:rsidR="0087577A" w:rsidRPr="00F33559">
        <w:rPr>
          <w:rFonts w:ascii="Times New Roman" w:eastAsia="Times New Roman" w:hAnsi="Times New Roman" w:cs="Times New Roman"/>
          <w:color w:val="000000"/>
        </w:rPr>
        <w:t xml:space="preserve">affermanzione </w:t>
      </w:r>
      <w:r w:rsidR="00B95240" w:rsidRPr="00F33559">
        <w:rPr>
          <w:rFonts w:ascii="Times New Roman" w:eastAsia="Times New Roman" w:hAnsi="Times New Roman" w:cs="Times New Roman"/>
          <w:color w:val="000000"/>
        </w:rPr>
        <w:t xml:space="preserve">assoluta </w:t>
      </w:r>
      <w:r w:rsidR="0087573F" w:rsidRPr="00F33559">
        <w:rPr>
          <w:rFonts w:ascii="Times New Roman" w:eastAsia="Times New Roman" w:hAnsi="Times New Roman" w:cs="Times New Roman"/>
          <w:color w:val="000000"/>
        </w:rPr>
        <w:t>di sé</w:t>
      </w:r>
      <w:r w:rsidR="009B61E6" w:rsidRPr="00F33559">
        <w:rPr>
          <w:rFonts w:ascii="Times New Roman" w:eastAsia="Times New Roman" w:hAnsi="Times New Roman" w:cs="Times New Roman"/>
          <w:color w:val="000000"/>
        </w:rPr>
        <w:t xml:space="preserve">, </w:t>
      </w:r>
      <w:r w:rsidR="00C23C85" w:rsidRPr="00F33559">
        <w:rPr>
          <w:rFonts w:ascii="Times New Roman" w:eastAsia="Times New Roman" w:hAnsi="Times New Roman" w:cs="Times New Roman"/>
          <w:color w:val="000000"/>
        </w:rPr>
        <w:t>l’</w:t>
      </w:r>
      <w:r w:rsidR="00F33559" w:rsidRPr="00F33559">
        <w:rPr>
          <w:rFonts w:ascii="Times New Roman" w:eastAsia="Times New Roman" w:hAnsi="Times New Roman" w:cs="Times New Roman"/>
          <w:color w:val="000000"/>
        </w:rPr>
        <w:t>Assoluto</w:t>
      </w:r>
      <w:r w:rsidR="00C23C85" w:rsidRPr="00F33559">
        <w:rPr>
          <w:rFonts w:ascii="Times New Roman" w:eastAsia="Times New Roman" w:hAnsi="Times New Roman" w:cs="Times New Roman"/>
          <w:color w:val="000000"/>
        </w:rPr>
        <w:t xml:space="preserve"> </w:t>
      </w:r>
      <w:r w:rsidR="009B61E6" w:rsidRPr="00F33559">
        <w:rPr>
          <w:rFonts w:ascii="Times New Roman" w:eastAsia="Times New Roman" w:hAnsi="Times New Roman" w:cs="Times New Roman"/>
          <w:color w:val="000000"/>
        </w:rPr>
        <w:t xml:space="preserve">esibisce e </w:t>
      </w:r>
      <w:r w:rsidR="00C23C85" w:rsidRPr="00F8191F">
        <w:rPr>
          <w:rFonts w:ascii="Times New Roman" w:eastAsia="Times New Roman" w:hAnsi="Times New Roman" w:cs="Times New Roman"/>
          <w:color w:val="000000"/>
        </w:rPr>
        <w:t xml:space="preserve">toglie </w:t>
      </w:r>
      <w:r w:rsidR="009B61E6" w:rsidRPr="00F8191F">
        <w:rPr>
          <w:rFonts w:ascii="Times New Roman" w:eastAsia="Times New Roman" w:hAnsi="Times New Roman" w:cs="Times New Roman"/>
          <w:color w:val="000000"/>
        </w:rPr>
        <w:t>l</w:t>
      </w:r>
      <w:r w:rsidR="00F33559" w:rsidRPr="00F8191F">
        <w:rPr>
          <w:rFonts w:ascii="Times New Roman" w:eastAsia="Times New Roman" w:hAnsi="Times New Roman" w:cs="Times New Roman"/>
          <w:color w:val="000000"/>
        </w:rPr>
        <w:t xml:space="preserve">’opposizione </w:t>
      </w:r>
      <w:r w:rsidR="008620D3" w:rsidRPr="00F8191F">
        <w:rPr>
          <w:rFonts w:ascii="Times New Roman" w:eastAsia="Times New Roman" w:hAnsi="Times New Roman" w:cs="Times New Roman"/>
          <w:color w:val="000000"/>
        </w:rPr>
        <w:t xml:space="preserve">di </w:t>
      </w:r>
      <w:r w:rsidR="00132CB3" w:rsidRPr="00F8191F">
        <w:rPr>
          <w:rFonts w:ascii="Times New Roman" w:eastAsia="Times New Roman" w:hAnsi="Times New Roman" w:cs="Times New Roman"/>
          <w:color w:val="000000"/>
        </w:rPr>
        <w:t>ideale e reale, di possibile e necessario, della parte e del tutto, della causa e dell’effetto.</w:t>
      </w:r>
      <w:r w:rsidR="00D620C3" w:rsidRPr="00F8191F">
        <w:rPr>
          <w:rFonts w:ascii="Times New Roman" w:eastAsia="Times New Roman" w:hAnsi="Times New Roman" w:cs="Times New Roman"/>
          <w:color w:val="000000"/>
        </w:rPr>
        <w:t xml:space="preserve"> La tradizione giudaico-cristiana</w:t>
      </w:r>
      <w:r w:rsidR="00146DDF" w:rsidRPr="00F8191F">
        <w:rPr>
          <w:rFonts w:ascii="Times New Roman" w:eastAsia="Times New Roman" w:hAnsi="Times New Roman" w:cs="Times New Roman"/>
          <w:color w:val="000000"/>
        </w:rPr>
        <w:t>,</w:t>
      </w:r>
      <w:r w:rsidR="00197E17" w:rsidRPr="00F8191F">
        <w:rPr>
          <w:rFonts w:ascii="Times New Roman" w:eastAsia="Times New Roman" w:hAnsi="Times New Roman" w:cs="Times New Roman"/>
          <w:color w:val="000000"/>
        </w:rPr>
        <w:t xml:space="preserve"> </w:t>
      </w:r>
      <w:r w:rsidR="00D620C3" w:rsidRPr="00F8191F">
        <w:rPr>
          <w:rFonts w:ascii="Times New Roman" w:eastAsia="Times New Roman" w:hAnsi="Times New Roman" w:cs="Times New Roman"/>
          <w:color w:val="000000"/>
        </w:rPr>
        <w:t>intesa</w:t>
      </w:r>
      <w:r w:rsidR="00B95240" w:rsidRPr="00F8191F">
        <w:rPr>
          <w:rFonts w:ascii="Times New Roman" w:eastAsia="Times New Roman" w:hAnsi="Times New Roman" w:cs="Times New Roman"/>
          <w:color w:val="000000"/>
        </w:rPr>
        <w:t xml:space="preserve"> </w:t>
      </w:r>
      <w:r w:rsidR="003D2BF6" w:rsidRPr="00F8191F">
        <w:rPr>
          <w:rFonts w:ascii="Times New Roman" w:eastAsia="Times New Roman" w:hAnsi="Times New Roman" w:cs="Times New Roman"/>
          <w:color w:val="000000"/>
        </w:rPr>
        <w:t>come</w:t>
      </w:r>
      <w:r w:rsidR="001D1EAE" w:rsidRPr="00F8191F">
        <w:rPr>
          <w:rFonts w:ascii="Times New Roman" w:eastAsia="Times New Roman" w:hAnsi="Times New Roman" w:cs="Times New Roman"/>
          <w:color w:val="000000"/>
        </w:rPr>
        <w:t xml:space="preserve"> forma metastorica</w:t>
      </w:r>
      <w:r w:rsidR="00E941E7" w:rsidRPr="00F8191F">
        <w:rPr>
          <w:rFonts w:ascii="Times New Roman" w:eastAsia="Times New Roman" w:hAnsi="Times New Roman" w:cs="Times New Roman"/>
          <w:color w:val="000000"/>
        </w:rPr>
        <w:t xml:space="preserve"> </w:t>
      </w:r>
      <w:r w:rsidR="00093791" w:rsidRPr="00F8191F">
        <w:rPr>
          <w:rFonts w:ascii="Times New Roman" w:eastAsia="Times New Roman" w:hAnsi="Times New Roman" w:cs="Times New Roman"/>
          <w:color w:val="000000"/>
        </w:rPr>
        <w:t xml:space="preserve">dell’annullamento astratto </w:t>
      </w:r>
      <w:r w:rsidR="001D1EAE" w:rsidRPr="00F8191F">
        <w:rPr>
          <w:rFonts w:ascii="Times New Roman" w:eastAsia="Times New Roman" w:hAnsi="Times New Roman" w:cs="Times New Roman"/>
          <w:color w:val="000000"/>
        </w:rPr>
        <w:t>degli</w:t>
      </w:r>
      <w:r w:rsidR="001D1EAE" w:rsidRPr="00B2264E">
        <w:rPr>
          <w:rFonts w:ascii="Times New Roman" w:eastAsia="Times New Roman" w:hAnsi="Times New Roman" w:cs="Times New Roman"/>
          <w:color w:val="000000"/>
        </w:rPr>
        <w:t xml:space="preserve"> opposti e</w:t>
      </w:r>
      <w:r w:rsidR="001D1EAE" w:rsidRPr="00F33559">
        <w:rPr>
          <w:rFonts w:ascii="Times New Roman" w:eastAsia="Times New Roman" w:hAnsi="Times New Roman" w:cs="Times New Roman"/>
          <w:color w:val="000000"/>
        </w:rPr>
        <w:t xml:space="preserve"> reiterazione reale dell’</w:t>
      </w:r>
      <w:r w:rsidR="003D2BF6" w:rsidRPr="00F33559">
        <w:rPr>
          <w:rFonts w:ascii="Times New Roman" w:eastAsia="Times New Roman" w:hAnsi="Times New Roman" w:cs="Times New Roman"/>
          <w:color w:val="000000"/>
        </w:rPr>
        <w:t xml:space="preserve">opposizione </w:t>
      </w:r>
      <w:r w:rsidR="001D1EAE" w:rsidRPr="00F33559">
        <w:rPr>
          <w:rFonts w:ascii="Times New Roman" w:eastAsia="Times New Roman" w:hAnsi="Times New Roman" w:cs="Times New Roman"/>
          <w:color w:val="000000"/>
        </w:rPr>
        <w:t xml:space="preserve">fra i </w:t>
      </w:r>
      <w:r w:rsidR="00146DDF" w:rsidRPr="00F33559">
        <w:rPr>
          <w:rFonts w:ascii="Times New Roman" w:eastAsia="Times New Roman" w:hAnsi="Times New Roman" w:cs="Times New Roman"/>
          <w:color w:val="000000"/>
        </w:rPr>
        <w:t>termini relazionali</w:t>
      </w:r>
      <w:r w:rsidR="003D2BF6" w:rsidRPr="00F33559">
        <w:rPr>
          <w:rFonts w:ascii="Times New Roman" w:eastAsia="Times New Roman" w:hAnsi="Times New Roman" w:cs="Times New Roman"/>
          <w:color w:val="000000"/>
        </w:rPr>
        <w:t xml:space="preserve">, </w:t>
      </w:r>
      <w:r w:rsidR="00146DDF" w:rsidRPr="00F33559">
        <w:rPr>
          <w:rFonts w:ascii="Times New Roman" w:eastAsia="Times New Roman" w:hAnsi="Times New Roman" w:cs="Times New Roman"/>
          <w:color w:val="000000"/>
        </w:rPr>
        <w:t>è scalzato dalla concezione dell’</w:t>
      </w:r>
      <w:r w:rsidR="00146DDF" w:rsidRPr="00F33559">
        <w:rPr>
          <w:rFonts w:ascii="Times New Roman" w:eastAsia="Times New Roman" w:hAnsi="Times New Roman" w:cs="Times New Roman"/>
          <w:i/>
          <w:color w:val="000000"/>
        </w:rPr>
        <w:t>absolutes Nichts</w:t>
      </w:r>
      <w:r w:rsidR="00146DDF" w:rsidRPr="00F33559">
        <w:rPr>
          <w:rFonts w:ascii="Times New Roman" w:eastAsia="Times New Roman" w:hAnsi="Times New Roman" w:cs="Times New Roman"/>
          <w:color w:val="000000"/>
        </w:rPr>
        <w:t xml:space="preserve"> quale si presenta in </w:t>
      </w:r>
      <w:r w:rsidR="00146DDF" w:rsidRPr="00F33559">
        <w:rPr>
          <w:rFonts w:ascii="Times New Roman" w:eastAsia="Times New Roman" w:hAnsi="Times New Roman" w:cs="Times New Roman"/>
          <w:i/>
          <w:color w:val="000000"/>
        </w:rPr>
        <w:t>Glauben und Wissen</w:t>
      </w:r>
      <w:r w:rsidR="003A7495" w:rsidRPr="00F33559">
        <w:rPr>
          <w:rFonts w:ascii="Times New Roman" w:eastAsia="Times New Roman" w:hAnsi="Times New Roman" w:cs="Times New Roman"/>
          <w:color w:val="000000"/>
        </w:rPr>
        <w:t>.</w:t>
      </w:r>
      <w:r w:rsidR="00D6148C" w:rsidRPr="00A93A46">
        <w:rPr>
          <w:rFonts w:ascii="Times New Roman" w:eastAsia="Times New Roman" w:hAnsi="Times New Roman" w:cs="Times New Roman"/>
          <w:color w:val="000000"/>
        </w:rPr>
        <w:t xml:space="preserve"> </w:t>
      </w:r>
      <w:r w:rsidR="00F61433" w:rsidRPr="00A93A46">
        <w:rPr>
          <w:rFonts w:ascii="Times New Roman" w:eastAsia="Times New Roman" w:hAnsi="Times New Roman" w:cs="Times New Roman"/>
          <w:color w:val="000000"/>
        </w:rPr>
        <w:t xml:space="preserve">Spinoza </w:t>
      </w:r>
      <w:r w:rsidR="00D6148C" w:rsidRPr="00A93A46">
        <w:rPr>
          <w:rFonts w:ascii="Times New Roman" w:eastAsia="Times New Roman" w:hAnsi="Times New Roman" w:cs="Times New Roman"/>
          <w:color w:val="000000"/>
        </w:rPr>
        <w:t>è la risposta speculativa a quelle opposizioni esibite dalla filosofia kantiana, jacobiana e fichtiana.</w:t>
      </w:r>
      <w:r w:rsidR="00F61433" w:rsidRPr="00A93A46">
        <w:rPr>
          <w:rFonts w:ascii="Times New Roman" w:eastAsia="Times New Roman" w:hAnsi="Times New Roman" w:cs="Times New Roman"/>
          <w:color w:val="000000"/>
        </w:rPr>
        <w:t xml:space="preserve"> Il presunto cab</w:t>
      </w:r>
      <w:r w:rsidR="009D2C7B" w:rsidRPr="00A93A46">
        <w:rPr>
          <w:rFonts w:ascii="Times New Roman" w:eastAsia="Times New Roman" w:hAnsi="Times New Roman" w:cs="Times New Roman"/>
          <w:color w:val="000000"/>
        </w:rPr>
        <w:t>b</w:t>
      </w:r>
      <w:r w:rsidR="00F61433" w:rsidRPr="00A93A46">
        <w:rPr>
          <w:rFonts w:ascii="Times New Roman" w:eastAsia="Times New Roman" w:hAnsi="Times New Roman" w:cs="Times New Roman"/>
          <w:color w:val="000000"/>
        </w:rPr>
        <w:t xml:space="preserve">alismo di Spinoza, così come il </w:t>
      </w:r>
      <w:r w:rsidR="001B0C7B" w:rsidRPr="00A93A46">
        <w:rPr>
          <w:rFonts w:ascii="Times New Roman" w:eastAsia="Times New Roman" w:hAnsi="Times New Roman" w:cs="Times New Roman"/>
          <w:i/>
          <w:color w:val="000000"/>
        </w:rPr>
        <w:t xml:space="preserve">chimerismo </w:t>
      </w:r>
      <w:r w:rsidR="00F61433" w:rsidRPr="00A93A46">
        <w:rPr>
          <w:rFonts w:ascii="Times New Roman" w:eastAsia="Times New Roman" w:hAnsi="Times New Roman" w:cs="Times New Roman"/>
          <w:color w:val="000000"/>
        </w:rPr>
        <w:t>so</w:t>
      </w:r>
      <w:r w:rsidR="00056C2E" w:rsidRPr="00A93A46">
        <w:rPr>
          <w:rFonts w:ascii="Times New Roman" w:eastAsia="Times New Roman" w:hAnsi="Times New Roman" w:cs="Times New Roman"/>
          <w:color w:val="000000"/>
        </w:rPr>
        <w:t>ggiacente al</w:t>
      </w:r>
      <w:r w:rsidR="00F61433" w:rsidRPr="00A93A46">
        <w:rPr>
          <w:rFonts w:ascii="Times New Roman" w:eastAsia="Times New Roman" w:hAnsi="Times New Roman" w:cs="Times New Roman"/>
          <w:color w:val="000000"/>
        </w:rPr>
        <w:t xml:space="preserve">l’unità </w:t>
      </w:r>
      <w:r w:rsidR="00056C2E" w:rsidRPr="00A93A46">
        <w:rPr>
          <w:rFonts w:ascii="Times New Roman" w:eastAsia="Times New Roman" w:hAnsi="Times New Roman" w:cs="Times New Roman"/>
          <w:color w:val="000000"/>
        </w:rPr>
        <w:t xml:space="preserve">logica </w:t>
      </w:r>
      <w:r w:rsidR="00F61433" w:rsidRPr="00A93A46">
        <w:rPr>
          <w:rFonts w:ascii="Times New Roman" w:eastAsia="Times New Roman" w:hAnsi="Times New Roman" w:cs="Times New Roman"/>
          <w:color w:val="000000"/>
        </w:rPr>
        <w:t>della sostanza</w:t>
      </w:r>
      <w:r w:rsidR="00056C2E" w:rsidRPr="00A93A46">
        <w:rPr>
          <w:rFonts w:ascii="Times New Roman" w:eastAsia="Times New Roman" w:hAnsi="Times New Roman" w:cs="Times New Roman"/>
          <w:color w:val="000000"/>
        </w:rPr>
        <w:t xml:space="preserve"> (il suo essere </w:t>
      </w:r>
      <w:r w:rsidR="00056C2E" w:rsidRPr="00A93A46">
        <w:rPr>
          <w:rFonts w:ascii="Times New Roman" w:eastAsia="Times New Roman" w:hAnsi="Times New Roman" w:cs="Times New Roman"/>
          <w:i/>
          <w:color w:val="000000"/>
        </w:rPr>
        <w:t>Grund</w:t>
      </w:r>
      <w:r w:rsidR="00056C2E" w:rsidRPr="00A93A46">
        <w:rPr>
          <w:rFonts w:ascii="Times New Roman" w:eastAsia="Times New Roman" w:hAnsi="Times New Roman" w:cs="Times New Roman"/>
          <w:color w:val="000000"/>
        </w:rPr>
        <w:t>)</w:t>
      </w:r>
      <w:r w:rsidR="00784DE7">
        <w:rPr>
          <w:rFonts w:ascii="Times New Roman" w:eastAsia="Times New Roman" w:hAnsi="Times New Roman" w:cs="Times New Roman"/>
          <w:color w:val="000000"/>
        </w:rPr>
        <w:t>, sono il frutto di un’</w:t>
      </w:r>
      <w:r w:rsidR="00F61433" w:rsidRPr="00A93A46">
        <w:rPr>
          <w:rFonts w:ascii="Times New Roman" w:eastAsia="Times New Roman" w:hAnsi="Times New Roman" w:cs="Times New Roman"/>
          <w:color w:val="000000"/>
        </w:rPr>
        <w:t>interpre</w:t>
      </w:r>
      <w:r w:rsidR="009D2C7B" w:rsidRPr="00A93A46">
        <w:rPr>
          <w:rFonts w:ascii="Times New Roman" w:eastAsia="Times New Roman" w:hAnsi="Times New Roman" w:cs="Times New Roman"/>
          <w:color w:val="000000"/>
        </w:rPr>
        <w:t>tazione –</w:t>
      </w:r>
      <w:r w:rsidR="00E70A14" w:rsidRPr="00A93A46">
        <w:rPr>
          <w:rFonts w:ascii="Times New Roman" w:eastAsia="Times New Roman" w:hAnsi="Times New Roman" w:cs="Times New Roman"/>
          <w:color w:val="000000"/>
        </w:rPr>
        <w:t xml:space="preserve"> quella di Jacobi </w:t>
      </w:r>
      <w:r w:rsidR="00F61433" w:rsidRPr="00A93A46">
        <w:rPr>
          <w:rFonts w:ascii="Times New Roman" w:eastAsia="Times New Roman" w:hAnsi="Times New Roman" w:cs="Times New Roman"/>
          <w:color w:val="000000"/>
        </w:rPr>
        <w:t>a</w:t>
      </w:r>
      <w:r w:rsidR="009D2C7B" w:rsidRPr="00A93A46">
        <w:rPr>
          <w:rFonts w:ascii="Times New Roman" w:eastAsia="Times New Roman" w:hAnsi="Times New Roman" w:cs="Times New Roman"/>
          <w:color w:val="000000"/>
        </w:rPr>
        <w:t xml:space="preserve">ppunto – </w:t>
      </w:r>
      <w:r w:rsidR="004524F7" w:rsidRPr="00A93A46">
        <w:rPr>
          <w:rFonts w:ascii="Times New Roman" w:eastAsia="Times New Roman" w:hAnsi="Times New Roman" w:cs="Times New Roman"/>
          <w:color w:val="000000"/>
        </w:rPr>
        <w:t>che Hegel</w:t>
      </w:r>
      <w:r w:rsidR="00AF4420">
        <w:rPr>
          <w:rFonts w:ascii="Times New Roman" w:eastAsia="Times New Roman" w:hAnsi="Times New Roman" w:cs="Times New Roman"/>
          <w:color w:val="000000"/>
        </w:rPr>
        <w:t xml:space="preserve"> per il momento</w:t>
      </w:r>
      <w:r w:rsidR="00F61433" w:rsidRPr="00A93A46">
        <w:rPr>
          <w:rFonts w:ascii="Times New Roman" w:eastAsia="Times New Roman" w:hAnsi="Times New Roman" w:cs="Times New Roman"/>
          <w:color w:val="000000"/>
        </w:rPr>
        <w:t xml:space="preserve"> confut</w:t>
      </w:r>
      <w:r w:rsidR="004524F7" w:rsidRPr="00A93A46">
        <w:rPr>
          <w:rFonts w:ascii="Times New Roman" w:eastAsia="Times New Roman" w:hAnsi="Times New Roman" w:cs="Times New Roman"/>
          <w:color w:val="000000"/>
        </w:rPr>
        <w:t>a</w:t>
      </w:r>
      <w:r w:rsidR="00E73B26" w:rsidRPr="00A93A46">
        <w:rPr>
          <w:rFonts w:ascii="Times New Roman" w:eastAsia="Times New Roman" w:hAnsi="Times New Roman" w:cs="Times New Roman"/>
          <w:color w:val="000000"/>
        </w:rPr>
        <w:t xml:space="preserve"> </w:t>
      </w:r>
      <w:r w:rsidR="004524F7" w:rsidRPr="00A93A46">
        <w:rPr>
          <w:rFonts w:ascii="Times New Roman" w:eastAsia="Times New Roman" w:hAnsi="Times New Roman" w:cs="Times New Roman"/>
          <w:color w:val="000000"/>
        </w:rPr>
        <w:t>e respinge</w:t>
      </w:r>
      <w:r w:rsidR="00E70A14" w:rsidRPr="00A93A46">
        <w:rPr>
          <w:rFonts w:ascii="Times New Roman" w:eastAsia="Times New Roman" w:hAnsi="Times New Roman" w:cs="Times New Roman"/>
          <w:color w:val="000000"/>
        </w:rPr>
        <w:t xml:space="preserve"> energicamente</w:t>
      </w:r>
      <w:r w:rsidR="00F61433" w:rsidRPr="00A93A46">
        <w:rPr>
          <w:rFonts w:ascii="Times New Roman" w:eastAsia="Times New Roman" w:hAnsi="Times New Roman" w:cs="Times New Roman"/>
          <w:color w:val="000000"/>
        </w:rPr>
        <w:t>.</w:t>
      </w:r>
      <w:r w:rsidR="00ED06E7" w:rsidRPr="00A93A46">
        <w:rPr>
          <w:rFonts w:ascii="Times New Roman" w:eastAsia="Times New Roman" w:hAnsi="Times New Roman" w:cs="Times New Roman"/>
          <w:color w:val="000000"/>
        </w:rPr>
        <w:t xml:space="preserve"> </w:t>
      </w:r>
    </w:p>
    <w:p w14:paraId="70CFB703" w14:textId="044ED44E" w:rsidR="002635D6" w:rsidRDefault="00ED06E7" w:rsidP="004C552D">
      <w:pPr>
        <w:spacing w:line="360" w:lineRule="auto"/>
        <w:ind w:firstLine="567"/>
        <w:jc w:val="both"/>
        <w:rPr>
          <w:rFonts w:ascii="Times New Roman" w:eastAsia="Times New Roman" w:hAnsi="Times New Roman" w:cs="Times New Roman"/>
          <w:color w:val="000000"/>
        </w:rPr>
      </w:pPr>
      <w:r w:rsidRPr="00A93A46">
        <w:rPr>
          <w:rFonts w:ascii="Times New Roman" w:eastAsia="Times New Roman" w:hAnsi="Times New Roman" w:cs="Times New Roman"/>
          <w:color w:val="000000"/>
        </w:rPr>
        <w:t>Tutto qu</w:t>
      </w:r>
      <w:r w:rsidR="00C42DEE" w:rsidRPr="00A93A46">
        <w:rPr>
          <w:rFonts w:ascii="Times New Roman" w:eastAsia="Times New Roman" w:hAnsi="Times New Roman" w:cs="Times New Roman"/>
          <w:color w:val="000000"/>
        </w:rPr>
        <w:t>ello che è stato</w:t>
      </w:r>
      <w:r w:rsidRPr="00A93A46">
        <w:rPr>
          <w:rFonts w:ascii="Times New Roman" w:eastAsia="Times New Roman" w:hAnsi="Times New Roman" w:cs="Times New Roman"/>
          <w:color w:val="000000"/>
        </w:rPr>
        <w:t xml:space="preserve"> acquisito</w:t>
      </w:r>
      <w:r w:rsidR="00C42DEE" w:rsidRPr="00A93A46">
        <w:rPr>
          <w:rFonts w:ascii="Times New Roman" w:eastAsia="Times New Roman" w:hAnsi="Times New Roman" w:cs="Times New Roman"/>
          <w:color w:val="000000"/>
        </w:rPr>
        <w:t>, critic</w:t>
      </w:r>
      <w:r w:rsidR="00783664" w:rsidRPr="00A93A46">
        <w:rPr>
          <w:rFonts w:ascii="Times New Roman" w:eastAsia="Times New Roman" w:hAnsi="Times New Roman" w:cs="Times New Roman"/>
          <w:color w:val="000000"/>
        </w:rPr>
        <w:t>at</w:t>
      </w:r>
      <w:r w:rsidR="00C42DEE" w:rsidRPr="00A93A46">
        <w:rPr>
          <w:rFonts w:ascii="Times New Roman" w:eastAsia="Times New Roman" w:hAnsi="Times New Roman" w:cs="Times New Roman"/>
          <w:color w:val="000000"/>
        </w:rPr>
        <w:t>o, interpretato e rigettato</w:t>
      </w:r>
      <w:r w:rsidRPr="00A93A46">
        <w:rPr>
          <w:rFonts w:ascii="Times New Roman" w:eastAsia="Times New Roman" w:hAnsi="Times New Roman" w:cs="Times New Roman"/>
          <w:color w:val="000000"/>
        </w:rPr>
        <w:t xml:space="preserve"> </w:t>
      </w:r>
      <w:r w:rsidR="00A93A46" w:rsidRPr="00A93A46">
        <w:rPr>
          <w:rFonts w:ascii="Times New Roman" w:eastAsia="Times New Roman" w:hAnsi="Times New Roman" w:cs="Times New Roman"/>
          <w:color w:val="000000"/>
        </w:rPr>
        <w:t>i</w:t>
      </w:r>
      <w:r w:rsidR="006374F1" w:rsidRPr="00A93A46">
        <w:rPr>
          <w:rFonts w:ascii="Times New Roman" w:eastAsia="Times New Roman" w:hAnsi="Times New Roman" w:cs="Times New Roman"/>
          <w:color w:val="000000"/>
        </w:rPr>
        <w:t xml:space="preserve">n </w:t>
      </w:r>
      <w:r w:rsidR="006374F1" w:rsidRPr="00A93A46">
        <w:rPr>
          <w:rFonts w:ascii="Times New Roman" w:eastAsia="Times New Roman" w:hAnsi="Times New Roman" w:cs="Times New Roman"/>
          <w:i/>
          <w:color w:val="000000"/>
        </w:rPr>
        <w:t>Glauben und Wissen</w:t>
      </w:r>
      <w:r w:rsidR="006374F1">
        <w:rPr>
          <w:rFonts w:ascii="Times New Roman" w:eastAsia="Times New Roman" w:hAnsi="Times New Roman" w:cs="Times New Roman"/>
          <w:i/>
          <w:color w:val="000000"/>
        </w:rPr>
        <w:t xml:space="preserve"> </w:t>
      </w:r>
      <w:r>
        <w:rPr>
          <w:rFonts w:ascii="Times New Roman" w:eastAsia="Times New Roman" w:hAnsi="Times New Roman" w:cs="Times New Roman"/>
          <w:color w:val="000000"/>
        </w:rPr>
        <w:t xml:space="preserve">sarà oggetto di una profonda revisione in quegli scritti che condurranno Hegel alla stesura della </w:t>
      </w:r>
      <w:r w:rsidRPr="00ED06E7">
        <w:rPr>
          <w:rFonts w:ascii="Times New Roman" w:eastAsia="Times New Roman" w:hAnsi="Times New Roman" w:cs="Times New Roman"/>
          <w:i/>
          <w:color w:val="000000"/>
        </w:rPr>
        <w:t>Phänomenologie des Geistes</w:t>
      </w:r>
      <w:r>
        <w:rPr>
          <w:rFonts w:ascii="Times New Roman" w:eastAsia="Times New Roman" w:hAnsi="Times New Roman" w:cs="Times New Roman"/>
          <w:color w:val="000000"/>
        </w:rPr>
        <w:t>. Lo spinozismo e la conoscenza intuitiv</w:t>
      </w:r>
      <w:r w:rsidR="009D2C7B">
        <w:rPr>
          <w:rFonts w:ascii="Times New Roman" w:eastAsia="Times New Roman" w:hAnsi="Times New Roman" w:cs="Times New Roman"/>
          <w:color w:val="000000"/>
        </w:rPr>
        <w:t>a</w:t>
      </w:r>
      <w:r>
        <w:rPr>
          <w:rFonts w:ascii="Times New Roman" w:eastAsia="Times New Roman" w:hAnsi="Times New Roman" w:cs="Times New Roman"/>
          <w:color w:val="000000"/>
        </w:rPr>
        <w:t xml:space="preserve"> dell’Assoluto perderanno la loro centralità dinnanzi ad un</w:t>
      </w:r>
      <w:r w:rsidR="00784DE7">
        <w:rPr>
          <w:rFonts w:ascii="Times New Roman" w:eastAsia="Times New Roman" w:hAnsi="Times New Roman" w:cs="Times New Roman"/>
          <w:color w:val="000000"/>
        </w:rPr>
        <w:t>a</w:t>
      </w:r>
      <w:r>
        <w:rPr>
          <w:rFonts w:ascii="Times New Roman" w:eastAsia="Times New Roman" w:hAnsi="Times New Roman" w:cs="Times New Roman"/>
          <w:color w:val="000000"/>
        </w:rPr>
        <w:t xml:space="preserve"> </w:t>
      </w:r>
      <w:r w:rsidR="001B69CD">
        <w:rPr>
          <w:rFonts w:ascii="Times New Roman" w:eastAsia="Times New Roman" w:hAnsi="Times New Roman" w:cs="Times New Roman"/>
          <w:color w:val="000000"/>
        </w:rPr>
        <w:t>modalità dinamica</w:t>
      </w:r>
      <w:r>
        <w:rPr>
          <w:rFonts w:ascii="Times New Roman" w:eastAsia="Times New Roman" w:hAnsi="Times New Roman" w:cs="Times New Roman"/>
          <w:color w:val="000000"/>
        </w:rPr>
        <w:t>,</w:t>
      </w:r>
      <w:r w:rsidR="001B69CD">
        <w:rPr>
          <w:rFonts w:ascii="Times New Roman" w:eastAsia="Times New Roman" w:hAnsi="Times New Roman" w:cs="Times New Roman"/>
          <w:color w:val="000000"/>
        </w:rPr>
        <w:t xml:space="preserve"> non più statica</w:t>
      </w:r>
      <w:r>
        <w:rPr>
          <w:rFonts w:ascii="Times New Roman" w:eastAsia="Times New Roman" w:hAnsi="Times New Roman" w:cs="Times New Roman"/>
          <w:color w:val="000000"/>
        </w:rPr>
        <w:t>, di concepire, fo</w:t>
      </w:r>
      <w:r w:rsidR="009D2C7B">
        <w:rPr>
          <w:rFonts w:ascii="Times New Roman" w:eastAsia="Times New Roman" w:hAnsi="Times New Roman" w:cs="Times New Roman"/>
          <w:color w:val="000000"/>
        </w:rPr>
        <w:t>rmalmente e contenutistiche, l’Incondizionato</w:t>
      </w:r>
      <w:r>
        <w:rPr>
          <w:rFonts w:ascii="Times New Roman" w:eastAsia="Times New Roman" w:hAnsi="Times New Roman" w:cs="Times New Roman"/>
          <w:color w:val="000000"/>
        </w:rPr>
        <w:t xml:space="preserve">. </w:t>
      </w:r>
      <w:r w:rsidR="008825E7">
        <w:rPr>
          <w:rFonts w:ascii="Times New Roman" w:eastAsia="Times New Roman" w:hAnsi="Times New Roman" w:cs="Times New Roman"/>
          <w:color w:val="000000"/>
        </w:rPr>
        <w:t xml:space="preserve">In questa cornice </w:t>
      </w:r>
      <w:r w:rsidR="009D2C7B">
        <w:rPr>
          <w:rFonts w:ascii="Times New Roman" w:eastAsia="Times New Roman" w:hAnsi="Times New Roman" w:cs="Times New Roman"/>
          <w:color w:val="000000"/>
        </w:rPr>
        <w:t>speculativa</w:t>
      </w:r>
      <w:r w:rsidR="008825E7">
        <w:rPr>
          <w:rFonts w:ascii="Times New Roman" w:eastAsia="Times New Roman" w:hAnsi="Times New Roman" w:cs="Times New Roman"/>
          <w:color w:val="000000"/>
        </w:rPr>
        <w:t xml:space="preserve">, </w:t>
      </w:r>
      <w:r w:rsidR="009D2C7B">
        <w:rPr>
          <w:rFonts w:ascii="Times New Roman" w:eastAsia="Times New Roman" w:hAnsi="Times New Roman" w:cs="Times New Roman"/>
          <w:color w:val="000000"/>
        </w:rPr>
        <w:t xml:space="preserve">il </w:t>
      </w:r>
      <w:r w:rsidR="008825E7">
        <w:rPr>
          <w:rFonts w:ascii="Times New Roman" w:eastAsia="Times New Roman" w:hAnsi="Times New Roman" w:cs="Times New Roman"/>
          <w:color w:val="000000"/>
        </w:rPr>
        <w:t>nulla</w:t>
      </w:r>
      <w:r w:rsidR="004524F7">
        <w:rPr>
          <w:rFonts w:ascii="Times New Roman" w:eastAsia="Times New Roman" w:hAnsi="Times New Roman" w:cs="Times New Roman"/>
          <w:color w:val="000000"/>
        </w:rPr>
        <w:t xml:space="preserve"> assoluto</w:t>
      </w:r>
      <w:r w:rsidR="00AB00A0">
        <w:rPr>
          <w:rFonts w:ascii="Times New Roman" w:eastAsia="Times New Roman" w:hAnsi="Times New Roman" w:cs="Times New Roman"/>
          <w:color w:val="000000"/>
        </w:rPr>
        <w:t xml:space="preserve"> non perderà l</w:t>
      </w:r>
      <w:r w:rsidR="004C552D">
        <w:rPr>
          <w:rFonts w:ascii="Times New Roman" w:eastAsia="Times New Roman" w:hAnsi="Times New Roman" w:cs="Times New Roman"/>
          <w:color w:val="000000"/>
        </w:rPr>
        <w:t>a sua preponderanza</w:t>
      </w:r>
      <w:r w:rsidR="008825E7">
        <w:rPr>
          <w:rFonts w:ascii="Times New Roman" w:eastAsia="Times New Roman" w:hAnsi="Times New Roman" w:cs="Times New Roman"/>
          <w:color w:val="000000"/>
        </w:rPr>
        <w:t>,</w:t>
      </w:r>
      <w:r w:rsidR="00AB00A0">
        <w:rPr>
          <w:rFonts w:ascii="Times New Roman" w:eastAsia="Times New Roman" w:hAnsi="Times New Roman" w:cs="Times New Roman"/>
          <w:color w:val="000000"/>
        </w:rPr>
        <w:t xml:space="preserve"> ma, al posto del pensiero spinoziano come suo </w:t>
      </w:r>
      <w:r w:rsidR="00AB00A0" w:rsidRPr="00AB00A0">
        <w:rPr>
          <w:rFonts w:ascii="Times New Roman" w:eastAsia="Times New Roman" w:hAnsi="Times New Roman" w:cs="Times New Roman"/>
          <w:i/>
          <w:color w:val="000000"/>
        </w:rPr>
        <w:t>locus</w:t>
      </w:r>
      <w:r w:rsidR="004C552D">
        <w:rPr>
          <w:rFonts w:ascii="Times New Roman" w:eastAsia="Times New Roman" w:hAnsi="Times New Roman" w:cs="Times New Roman"/>
          <w:i/>
          <w:color w:val="000000"/>
        </w:rPr>
        <w:t xml:space="preserve"> </w:t>
      </w:r>
      <w:r w:rsidR="004524F7">
        <w:rPr>
          <w:rFonts w:ascii="Times New Roman" w:eastAsia="Times New Roman" w:hAnsi="Times New Roman" w:cs="Times New Roman"/>
          <w:color w:val="000000"/>
        </w:rPr>
        <w:t>generativo</w:t>
      </w:r>
      <w:r w:rsidR="004C552D">
        <w:rPr>
          <w:rStyle w:val="Rimandonotaapidipagina"/>
          <w:rFonts w:ascii="Times New Roman" w:eastAsia="Times New Roman" w:hAnsi="Times New Roman" w:cs="Times New Roman"/>
          <w:color w:val="000000"/>
        </w:rPr>
        <w:footnoteReference w:id="139"/>
      </w:r>
      <w:r w:rsidR="00AB00A0">
        <w:rPr>
          <w:rFonts w:ascii="Times New Roman" w:eastAsia="Times New Roman" w:hAnsi="Times New Roman" w:cs="Times New Roman"/>
          <w:color w:val="000000"/>
        </w:rPr>
        <w:t xml:space="preserve">, </w:t>
      </w:r>
      <w:r w:rsidR="009D2C7B">
        <w:rPr>
          <w:rFonts w:ascii="Times New Roman" w:eastAsia="Times New Roman" w:hAnsi="Times New Roman" w:cs="Times New Roman"/>
          <w:color w:val="000000"/>
        </w:rPr>
        <w:t xml:space="preserve">gli </w:t>
      </w:r>
      <w:r w:rsidR="00AB00A0">
        <w:rPr>
          <w:rFonts w:ascii="Times New Roman" w:eastAsia="Times New Roman" w:hAnsi="Times New Roman" w:cs="Times New Roman"/>
          <w:color w:val="000000"/>
        </w:rPr>
        <w:t xml:space="preserve">sarà accostata un’altra forma di pensiero lontanissima dalla chiarezza intellettuale del </w:t>
      </w:r>
      <w:r w:rsidR="00AB00A0" w:rsidRPr="007B7827">
        <w:rPr>
          <w:rFonts w:ascii="Times New Roman" w:eastAsia="Times New Roman" w:hAnsi="Times New Roman" w:cs="Times New Roman"/>
          <w:i/>
          <w:color w:val="000000"/>
        </w:rPr>
        <w:t>more geometrico</w:t>
      </w:r>
      <w:r w:rsidR="00AB00A0">
        <w:rPr>
          <w:rFonts w:ascii="Times New Roman" w:eastAsia="Times New Roman" w:hAnsi="Times New Roman" w:cs="Times New Roman"/>
          <w:color w:val="000000"/>
        </w:rPr>
        <w:t xml:space="preserve"> spinoziano e, nonostante ciò, atta a dispiegare </w:t>
      </w:r>
      <w:r w:rsidR="004C552D">
        <w:rPr>
          <w:rFonts w:ascii="Times New Roman" w:eastAsia="Times New Roman" w:hAnsi="Times New Roman" w:cs="Times New Roman"/>
          <w:color w:val="000000"/>
        </w:rPr>
        <w:t>l’immane</w:t>
      </w:r>
      <w:r w:rsidR="002D4D90">
        <w:rPr>
          <w:rFonts w:ascii="Times New Roman" w:eastAsia="Times New Roman" w:hAnsi="Times New Roman" w:cs="Times New Roman"/>
          <w:color w:val="000000"/>
        </w:rPr>
        <w:t xml:space="preserve"> – che è anche immanente e riflessiva –</w:t>
      </w:r>
      <w:r w:rsidR="004C552D">
        <w:rPr>
          <w:rFonts w:ascii="Times New Roman" w:eastAsia="Times New Roman" w:hAnsi="Times New Roman" w:cs="Times New Roman"/>
          <w:color w:val="000000"/>
        </w:rPr>
        <w:t xml:space="preserve"> potenza del negativ</w:t>
      </w:r>
      <w:r w:rsidR="004C552D" w:rsidRPr="0053222A">
        <w:rPr>
          <w:rFonts w:ascii="Times New Roman" w:eastAsia="Times New Roman" w:hAnsi="Times New Roman" w:cs="Times New Roman"/>
          <w:color w:val="000000"/>
        </w:rPr>
        <w:t>o</w:t>
      </w:r>
      <w:r w:rsidR="00AB00A0" w:rsidRPr="0053222A">
        <w:rPr>
          <w:rFonts w:ascii="Times New Roman" w:eastAsia="Times New Roman" w:hAnsi="Times New Roman" w:cs="Times New Roman"/>
          <w:color w:val="000000"/>
        </w:rPr>
        <w:t>.</w:t>
      </w:r>
      <w:r w:rsidR="00AB00A0">
        <w:rPr>
          <w:rFonts w:ascii="Times New Roman" w:eastAsia="Times New Roman" w:hAnsi="Times New Roman" w:cs="Times New Roman"/>
          <w:color w:val="000000"/>
        </w:rPr>
        <w:t xml:space="preserve"> </w:t>
      </w:r>
    </w:p>
    <w:p w14:paraId="38D4ABDF" w14:textId="77777777" w:rsidR="00BB501D" w:rsidRDefault="00BB501D" w:rsidP="00290B71">
      <w:pPr>
        <w:spacing w:line="360" w:lineRule="auto"/>
        <w:jc w:val="both"/>
        <w:rPr>
          <w:rFonts w:ascii="Times New Roman" w:eastAsia="Times New Roman" w:hAnsi="Times New Roman" w:cs="Times New Roman"/>
          <w:color w:val="000000"/>
        </w:rPr>
      </w:pPr>
    </w:p>
    <w:p w14:paraId="0C8D4A8F" w14:textId="7F6DD750" w:rsidR="00BB501D" w:rsidRPr="00E941E7" w:rsidRDefault="008747A3" w:rsidP="00290B71">
      <w:pPr>
        <w:spacing w:line="360" w:lineRule="auto"/>
        <w:jc w:val="both"/>
        <w:rPr>
          <w:rFonts w:ascii="Times New Roman" w:hAnsi="Times New Roman" w:cs="Times New Roman"/>
          <w:i/>
        </w:rPr>
      </w:pPr>
      <w:r>
        <w:rPr>
          <w:rFonts w:ascii="Times New Roman" w:hAnsi="Times New Roman" w:cs="Times New Roman"/>
          <w:i/>
        </w:rPr>
        <w:t>1.4</w:t>
      </w:r>
      <w:r w:rsidR="00D937BA">
        <w:rPr>
          <w:rFonts w:ascii="Times New Roman" w:hAnsi="Times New Roman" w:cs="Times New Roman"/>
          <w:i/>
        </w:rPr>
        <w:t>.</w:t>
      </w:r>
      <w:r w:rsidR="00DC33AD" w:rsidRPr="00DC33AD">
        <w:rPr>
          <w:rFonts w:ascii="Times New Roman" w:hAnsi="Times New Roman" w:cs="Times New Roman"/>
          <w:i/>
        </w:rPr>
        <w:t xml:space="preserve"> </w:t>
      </w:r>
      <w:r w:rsidR="00DC33AD" w:rsidRPr="00EF06BA">
        <w:rPr>
          <w:rFonts w:ascii="Times New Roman" w:hAnsi="Times New Roman" w:cs="Times New Roman"/>
          <w:i/>
        </w:rPr>
        <w:t>Barbarei</w:t>
      </w:r>
      <w:r w:rsidR="00DC33AD">
        <w:rPr>
          <w:rFonts w:ascii="Times New Roman" w:hAnsi="Times New Roman" w:cs="Times New Roman"/>
        </w:rPr>
        <w:t xml:space="preserve"> </w:t>
      </w:r>
      <w:r w:rsidR="00DC33AD" w:rsidRPr="00DC33AD">
        <w:rPr>
          <w:rFonts w:ascii="Times New Roman" w:hAnsi="Times New Roman" w:cs="Times New Roman"/>
          <w:i/>
        </w:rPr>
        <w:t>e</w:t>
      </w:r>
      <w:r w:rsidR="00DC33AD">
        <w:rPr>
          <w:rFonts w:ascii="Times New Roman" w:hAnsi="Times New Roman" w:cs="Times New Roman"/>
        </w:rPr>
        <w:t xml:space="preserve"> </w:t>
      </w:r>
      <w:r w:rsidR="00DC33AD" w:rsidRPr="00EF06BA">
        <w:rPr>
          <w:rFonts w:ascii="Times New Roman" w:hAnsi="Times New Roman" w:cs="Times New Roman"/>
          <w:i/>
        </w:rPr>
        <w:t>Lebenslauf Gottes</w:t>
      </w:r>
      <w:r w:rsidR="00251651">
        <w:rPr>
          <w:rFonts w:ascii="Times New Roman" w:hAnsi="Times New Roman" w:cs="Times New Roman"/>
          <w:i/>
        </w:rPr>
        <w:t>: l’incidenza del</w:t>
      </w:r>
      <w:r w:rsidR="00BB501D" w:rsidRPr="00E941E7">
        <w:rPr>
          <w:rFonts w:ascii="Times New Roman" w:hAnsi="Times New Roman" w:cs="Times New Roman"/>
          <w:i/>
        </w:rPr>
        <w:t xml:space="preserve"> </w:t>
      </w:r>
      <w:r w:rsidR="00BB501D" w:rsidRPr="003B60F2">
        <w:rPr>
          <w:rFonts w:ascii="Times New Roman" w:hAnsi="Times New Roman" w:cs="Times New Roman"/>
        </w:rPr>
        <w:t>Fragment 49</w:t>
      </w:r>
      <w:r w:rsidR="00BB501D" w:rsidRPr="00E941E7">
        <w:rPr>
          <w:rFonts w:ascii="Times New Roman" w:hAnsi="Times New Roman" w:cs="Times New Roman"/>
          <w:i/>
        </w:rPr>
        <w:t xml:space="preserve"> sulla teoria hegeliana de</w:t>
      </w:r>
      <w:r w:rsidR="00290B71">
        <w:rPr>
          <w:rFonts w:ascii="Times New Roman" w:hAnsi="Times New Roman" w:cs="Times New Roman"/>
          <w:i/>
        </w:rPr>
        <w:t>lla processualità dell’Assoluto</w:t>
      </w:r>
    </w:p>
    <w:p w14:paraId="374CD352" w14:textId="77777777" w:rsidR="00BB501D" w:rsidRDefault="00BB501D" w:rsidP="00290B71">
      <w:pPr>
        <w:spacing w:line="360" w:lineRule="auto"/>
        <w:jc w:val="both"/>
        <w:rPr>
          <w:rFonts w:ascii="Times New Roman" w:hAnsi="Times New Roman" w:cs="Times New Roman"/>
        </w:rPr>
      </w:pPr>
    </w:p>
    <w:p w14:paraId="442873DC" w14:textId="01712251" w:rsidR="002832D4" w:rsidRPr="002832D4" w:rsidRDefault="00BB501D" w:rsidP="00290B71">
      <w:pPr>
        <w:spacing w:line="360" w:lineRule="auto"/>
        <w:ind w:firstLine="567"/>
        <w:jc w:val="both"/>
        <w:rPr>
          <w:rFonts w:ascii="Times New Roman" w:eastAsia="Times New Roman" w:hAnsi="Times New Roman" w:cs="Times New Roman"/>
          <w:color w:val="000000"/>
        </w:rPr>
      </w:pPr>
      <w:r w:rsidRPr="00A93A46">
        <w:rPr>
          <w:rFonts w:ascii="Times New Roman" w:hAnsi="Times New Roman" w:cs="Times New Roman"/>
        </w:rPr>
        <w:t>Sono anni decisivi della formazione filosofica hegeliana.</w:t>
      </w:r>
      <w:r w:rsidR="0006524C" w:rsidRPr="00A93A46">
        <w:rPr>
          <w:rFonts w:ascii="Times New Roman" w:hAnsi="Times New Roman" w:cs="Times New Roman"/>
        </w:rPr>
        <w:t xml:space="preserve"> Schelling, chiamato </w:t>
      </w:r>
      <w:r w:rsidR="00982162">
        <w:rPr>
          <w:rFonts w:ascii="Times New Roman" w:hAnsi="Times New Roman" w:cs="Times New Roman"/>
        </w:rPr>
        <w:t>a Würzburg, lascia Jena nel 1803</w:t>
      </w:r>
      <w:r w:rsidR="0006524C" w:rsidRPr="00A93A46">
        <w:rPr>
          <w:rFonts w:ascii="Times New Roman" w:hAnsi="Times New Roman" w:cs="Times New Roman"/>
        </w:rPr>
        <w:t>.</w:t>
      </w:r>
      <w:r w:rsidR="00E926B0" w:rsidRPr="00A93A46">
        <w:rPr>
          <w:rFonts w:ascii="Times New Roman" w:hAnsi="Times New Roman" w:cs="Times New Roman"/>
        </w:rPr>
        <w:t xml:space="preserve"> Il sodalizio intellettuale con l’ex compagno dello </w:t>
      </w:r>
      <w:r w:rsidR="00E926B0" w:rsidRPr="00A93A46">
        <w:rPr>
          <w:rFonts w:ascii="Times New Roman" w:hAnsi="Times New Roman" w:cs="Times New Roman"/>
          <w:i/>
        </w:rPr>
        <w:t xml:space="preserve">Stift, </w:t>
      </w:r>
      <w:r w:rsidR="00E926B0" w:rsidRPr="00A93A46">
        <w:rPr>
          <w:rFonts w:ascii="Times New Roman" w:hAnsi="Times New Roman" w:cs="Times New Roman"/>
        </w:rPr>
        <w:t xml:space="preserve">che aveva contraddistinto i primi anni </w:t>
      </w:r>
      <w:r w:rsidR="00B72A6C" w:rsidRPr="00A93A46">
        <w:rPr>
          <w:rFonts w:ascii="Times New Roman" w:hAnsi="Times New Roman" w:cs="Times New Roman"/>
        </w:rPr>
        <w:t xml:space="preserve">del soggiorno </w:t>
      </w:r>
      <w:r w:rsidR="00E926B0" w:rsidRPr="00A93A46">
        <w:rPr>
          <w:rFonts w:ascii="Times New Roman" w:hAnsi="Times New Roman" w:cs="Times New Roman"/>
        </w:rPr>
        <w:t>jenes</w:t>
      </w:r>
      <w:r w:rsidR="00B72A6C" w:rsidRPr="00A93A46">
        <w:rPr>
          <w:rFonts w:ascii="Times New Roman" w:hAnsi="Times New Roman" w:cs="Times New Roman"/>
        </w:rPr>
        <w:t>e</w:t>
      </w:r>
      <w:r w:rsidR="00420C54" w:rsidRPr="00A93A46">
        <w:rPr>
          <w:rFonts w:ascii="Times New Roman" w:hAnsi="Times New Roman" w:cs="Times New Roman"/>
        </w:rPr>
        <w:t>, s’affievolisce progressiv</w:t>
      </w:r>
      <w:r w:rsidR="00E926B0" w:rsidRPr="00A93A46">
        <w:rPr>
          <w:rFonts w:ascii="Times New Roman" w:hAnsi="Times New Roman" w:cs="Times New Roman"/>
        </w:rPr>
        <w:t xml:space="preserve">amente. La distanza fisica, in una certa misura, </w:t>
      </w:r>
      <w:r w:rsidR="004C22E8" w:rsidRPr="00A93A46">
        <w:rPr>
          <w:rFonts w:ascii="Times New Roman" w:hAnsi="Times New Roman" w:cs="Times New Roman"/>
        </w:rPr>
        <w:t xml:space="preserve">riflette </w:t>
      </w:r>
      <w:r w:rsidR="00E926B0" w:rsidRPr="00A93A46">
        <w:rPr>
          <w:rFonts w:ascii="Times New Roman" w:hAnsi="Times New Roman" w:cs="Times New Roman"/>
        </w:rPr>
        <w:t xml:space="preserve">anche </w:t>
      </w:r>
      <w:r w:rsidR="004C22E8" w:rsidRPr="00A93A46">
        <w:rPr>
          <w:rFonts w:ascii="Times New Roman" w:hAnsi="Times New Roman" w:cs="Times New Roman"/>
        </w:rPr>
        <w:t>quel</w:t>
      </w:r>
      <w:r w:rsidR="00E926B0" w:rsidRPr="00A93A46">
        <w:rPr>
          <w:rFonts w:ascii="Times New Roman" w:hAnsi="Times New Roman" w:cs="Times New Roman"/>
        </w:rPr>
        <w:t>la distanza intellettual</w:t>
      </w:r>
      <w:r w:rsidR="004C22E8" w:rsidRPr="00A93A46">
        <w:rPr>
          <w:rFonts w:ascii="Times New Roman" w:hAnsi="Times New Roman" w:cs="Times New Roman"/>
        </w:rPr>
        <w:t>e che segnerà l’ascesa hegeliana e l’eclissi schellinghiana nel panorama filosofico tedesco della prima metà del XIX secolo. O</w:t>
      </w:r>
      <w:r w:rsidR="0006524C" w:rsidRPr="00A93A46">
        <w:rPr>
          <w:rFonts w:ascii="Times New Roman" w:hAnsi="Times New Roman" w:cs="Times New Roman"/>
        </w:rPr>
        <w:t xml:space="preserve">ccupato nella sua attività di </w:t>
      </w:r>
      <w:r w:rsidR="0006524C" w:rsidRPr="00A93A46">
        <w:rPr>
          <w:rFonts w:ascii="Times New Roman" w:hAnsi="Times New Roman" w:cs="Times New Roman"/>
          <w:i/>
        </w:rPr>
        <w:t>Privatdozent</w:t>
      </w:r>
      <w:r w:rsidR="0006524C" w:rsidRPr="00A93A46">
        <w:rPr>
          <w:rFonts w:ascii="Times New Roman" w:hAnsi="Times New Roman" w:cs="Times New Roman"/>
        </w:rPr>
        <w:t xml:space="preserve">, </w:t>
      </w:r>
      <w:r w:rsidR="00C167FE">
        <w:rPr>
          <w:rFonts w:ascii="Times New Roman" w:hAnsi="Times New Roman" w:cs="Times New Roman"/>
        </w:rPr>
        <w:t>Hegel forgia, nel biennio 1804/06</w:t>
      </w:r>
      <w:r w:rsidR="004C22E8" w:rsidRPr="00A93A46">
        <w:rPr>
          <w:rFonts w:ascii="Times New Roman" w:hAnsi="Times New Roman" w:cs="Times New Roman"/>
        </w:rPr>
        <w:t xml:space="preserve">, </w:t>
      </w:r>
      <w:r w:rsidR="0006524C" w:rsidRPr="00A93A46">
        <w:rPr>
          <w:rFonts w:ascii="Times New Roman" w:hAnsi="Times New Roman" w:cs="Times New Roman"/>
        </w:rPr>
        <w:t>quegli strumenti c</w:t>
      </w:r>
      <w:r w:rsidR="000C0981" w:rsidRPr="00A93A46">
        <w:rPr>
          <w:rFonts w:ascii="Times New Roman" w:hAnsi="Times New Roman" w:cs="Times New Roman"/>
        </w:rPr>
        <w:t>oncettuali che gli consentono</w:t>
      </w:r>
      <w:r w:rsidR="00AF1411" w:rsidRPr="00A93A46">
        <w:rPr>
          <w:rFonts w:ascii="Times New Roman" w:hAnsi="Times New Roman" w:cs="Times New Roman"/>
        </w:rPr>
        <w:t xml:space="preserve"> d’</w:t>
      </w:r>
      <w:r w:rsidR="0006524C" w:rsidRPr="00A93A46">
        <w:rPr>
          <w:rFonts w:ascii="Times New Roman" w:hAnsi="Times New Roman" w:cs="Times New Roman"/>
        </w:rPr>
        <w:t>assumere</w:t>
      </w:r>
      <w:r w:rsidR="004C22E8" w:rsidRPr="00A93A46">
        <w:rPr>
          <w:rFonts w:ascii="Times New Roman" w:hAnsi="Times New Roman" w:cs="Times New Roman"/>
        </w:rPr>
        <w:t xml:space="preserve"> </w:t>
      </w:r>
      <w:r w:rsidR="0006524C" w:rsidRPr="00A93A46">
        <w:rPr>
          <w:rFonts w:ascii="Times New Roman" w:hAnsi="Times New Roman" w:cs="Times New Roman"/>
        </w:rPr>
        <w:t>una</w:t>
      </w:r>
      <w:r w:rsidR="004C22E8" w:rsidRPr="00A93A46">
        <w:rPr>
          <w:rFonts w:ascii="Times New Roman" w:hAnsi="Times New Roman" w:cs="Times New Roman"/>
        </w:rPr>
        <w:t xml:space="preserve"> propri</w:t>
      </w:r>
      <w:r w:rsidR="009C0703">
        <w:rPr>
          <w:rFonts w:ascii="Times New Roman" w:hAnsi="Times New Roman" w:cs="Times New Roman"/>
        </w:rPr>
        <w:t>a e</w:t>
      </w:r>
      <w:r w:rsidR="00A97953" w:rsidRPr="00A93A46">
        <w:rPr>
          <w:rFonts w:ascii="Times New Roman" w:hAnsi="Times New Roman" w:cs="Times New Roman"/>
        </w:rPr>
        <w:t xml:space="preserve"> originale posizione teorico-speculativa</w:t>
      </w:r>
      <w:r w:rsidR="0006524C" w:rsidRPr="00A93A46">
        <w:rPr>
          <w:rFonts w:ascii="Times New Roman" w:hAnsi="Times New Roman" w:cs="Times New Roman"/>
        </w:rPr>
        <w:t>.</w:t>
      </w:r>
      <w:r w:rsidR="00EE73B7" w:rsidRPr="00A93A46">
        <w:rPr>
          <w:rFonts w:ascii="Times New Roman" w:hAnsi="Times New Roman" w:cs="Times New Roman"/>
        </w:rPr>
        <w:t xml:space="preserve"> </w:t>
      </w:r>
      <w:r w:rsidR="00A37330" w:rsidRPr="00A93A46">
        <w:rPr>
          <w:rFonts w:ascii="Times New Roman" w:hAnsi="Times New Roman" w:cs="Times New Roman"/>
        </w:rPr>
        <w:t>Da questo punto di vi</w:t>
      </w:r>
      <w:r w:rsidR="00A97953" w:rsidRPr="00A93A46">
        <w:rPr>
          <w:rFonts w:ascii="Times New Roman" w:hAnsi="Times New Roman" w:cs="Times New Roman"/>
        </w:rPr>
        <w:t>s</w:t>
      </w:r>
      <w:r w:rsidR="00A37330" w:rsidRPr="00A93A46">
        <w:rPr>
          <w:rFonts w:ascii="Times New Roman" w:hAnsi="Times New Roman" w:cs="Times New Roman"/>
        </w:rPr>
        <w:t>t</w:t>
      </w:r>
      <w:r w:rsidR="00A97953" w:rsidRPr="00A93A46">
        <w:rPr>
          <w:rFonts w:ascii="Times New Roman" w:hAnsi="Times New Roman" w:cs="Times New Roman"/>
        </w:rPr>
        <w:t xml:space="preserve">a, </w:t>
      </w:r>
      <w:r w:rsidR="004C22E8" w:rsidRPr="00A93A46">
        <w:rPr>
          <w:rFonts w:ascii="Times New Roman" w:hAnsi="Times New Roman" w:cs="Times New Roman"/>
        </w:rPr>
        <w:t xml:space="preserve">la </w:t>
      </w:r>
      <w:r w:rsidR="004C22E8" w:rsidRPr="00A93A46">
        <w:rPr>
          <w:rFonts w:ascii="Times New Roman" w:hAnsi="Times New Roman" w:cs="Times New Roman"/>
          <w:i/>
        </w:rPr>
        <w:t>Phänomenologie des Geistes</w:t>
      </w:r>
      <w:r w:rsidR="009F504B" w:rsidRPr="00A93A46">
        <w:rPr>
          <w:rFonts w:ascii="Times New Roman" w:hAnsi="Times New Roman" w:cs="Times New Roman"/>
        </w:rPr>
        <w:t xml:space="preserve"> </w:t>
      </w:r>
      <w:r w:rsidR="00E3796C" w:rsidRPr="00A93A46">
        <w:rPr>
          <w:rFonts w:ascii="Times New Roman" w:hAnsi="Times New Roman" w:cs="Times New Roman"/>
        </w:rPr>
        <w:t>rappresenta</w:t>
      </w:r>
      <w:r w:rsidR="00A97953" w:rsidRPr="00A93A46">
        <w:rPr>
          <w:rFonts w:ascii="Times New Roman" w:hAnsi="Times New Roman" w:cs="Times New Roman"/>
        </w:rPr>
        <w:t xml:space="preserve"> il </w:t>
      </w:r>
      <w:r w:rsidR="009F504B" w:rsidRPr="00A93A46">
        <w:rPr>
          <w:rFonts w:ascii="Times New Roman" w:hAnsi="Times New Roman" w:cs="Times New Roman"/>
        </w:rPr>
        <w:t>punto d’arrivo della riflessione jenese e</w:t>
      </w:r>
      <w:r w:rsidR="00A97953" w:rsidRPr="00A93A46">
        <w:rPr>
          <w:rFonts w:ascii="Times New Roman" w:hAnsi="Times New Roman" w:cs="Times New Roman"/>
        </w:rPr>
        <w:t xml:space="preserve"> </w:t>
      </w:r>
      <w:r w:rsidR="00E3796C" w:rsidRPr="00A93A46">
        <w:rPr>
          <w:rFonts w:ascii="Times New Roman" w:hAnsi="Times New Roman" w:cs="Times New Roman"/>
        </w:rPr>
        <w:t xml:space="preserve">una svolta </w:t>
      </w:r>
      <w:r w:rsidR="00E24538" w:rsidRPr="00A93A46">
        <w:rPr>
          <w:rFonts w:ascii="Times New Roman" w:hAnsi="Times New Roman" w:cs="Times New Roman"/>
        </w:rPr>
        <w:t xml:space="preserve">metodologica decisiva ai fini </w:t>
      </w:r>
      <w:r w:rsidR="00E3796C" w:rsidRPr="00A93A46">
        <w:rPr>
          <w:rFonts w:ascii="Times New Roman" w:hAnsi="Times New Roman" w:cs="Times New Roman"/>
        </w:rPr>
        <w:t xml:space="preserve">della produzione </w:t>
      </w:r>
      <w:r w:rsidR="00E24538" w:rsidRPr="00A93A46">
        <w:rPr>
          <w:rFonts w:ascii="Times New Roman" w:hAnsi="Times New Roman" w:cs="Times New Roman"/>
        </w:rPr>
        <w:t xml:space="preserve">sistematica </w:t>
      </w:r>
      <w:r w:rsidR="00E3796C" w:rsidRPr="00A93A46">
        <w:rPr>
          <w:rFonts w:ascii="Times New Roman" w:hAnsi="Times New Roman" w:cs="Times New Roman"/>
        </w:rPr>
        <w:t>hegeliana</w:t>
      </w:r>
      <w:r w:rsidR="009F504B" w:rsidRPr="00A93A46">
        <w:rPr>
          <w:rFonts w:ascii="Times New Roman" w:hAnsi="Times New Roman" w:cs="Times New Roman"/>
        </w:rPr>
        <w:t xml:space="preserve">. </w:t>
      </w:r>
      <w:r w:rsidR="00A97953" w:rsidRPr="00A93A46">
        <w:rPr>
          <w:rFonts w:ascii="Times New Roman" w:hAnsi="Times New Roman" w:cs="Times New Roman"/>
        </w:rPr>
        <w:t>Un punto d’arrivo</w:t>
      </w:r>
      <w:r w:rsidR="006277BD" w:rsidRPr="00A93A46">
        <w:rPr>
          <w:rFonts w:ascii="Times New Roman" w:hAnsi="Times New Roman" w:cs="Times New Roman"/>
        </w:rPr>
        <w:t xml:space="preserve"> della </w:t>
      </w:r>
      <w:r w:rsidR="006277BD" w:rsidRPr="00A93A46">
        <w:rPr>
          <w:rFonts w:ascii="Times New Roman" w:hAnsi="Times New Roman" w:cs="Times New Roman"/>
          <w:i/>
        </w:rPr>
        <w:t>Denkentwicklung</w:t>
      </w:r>
      <w:r w:rsidR="00AA748E" w:rsidRPr="00A93A46">
        <w:rPr>
          <w:rFonts w:ascii="Times New Roman" w:hAnsi="Times New Roman" w:cs="Times New Roman"/>
        </w:rPr>
        <w:t xml:space="preserve"> di Hegel</w:t>
      </w:r>
      <w:r w:rsidR="002832D4" w:rsidRPr="00A93A46">
        <w:rPr>
          <w:rFonts w:ascii="Times New Roman" w:hAnsi="Times New Roman" w:cs="Times New Roman"/>
        </w:rPr>
        <w:t>, come vedremo,</w:t>
      </w:r>
      <w:r w:rsidR="00A97953" w:rsidRPr="00A93A46">
        <w:rPr>
          <w:rFonts w:ascii="Times New Roman" w:hAnsi="Times New Roman" w:cs="Times New Roman"/>
        </w:rPr>
        <w:t xml:space="preserve"> </w:t>
      </w:r>
      <w:r w:rsidR="006277BD" w:rsidRPr="00A93A46">
        <w:rPr>
          <w:rFonts w:ascii="Times New Roman" w:hAnsi="Times New Roman" w:cs="Times New Roman"/>
        </w:rPr>
        <w:t xml:space="preserve">che sarà </w:t>
      </w:r>
      <w:r w:rsidR="00A97953" w:rsidRPr="00A93A46">
        <w:rPr>
          <w:rFonts w:ascii="Times New Roman" w:hAnsi="Times New Roman" w:cs="Times New Roman"/>
        </w:rPr>
        <w:t xml:space="preserve">conseguito grazie a tutti quei tentativi, editi ed inediti, che caratterizzano </w:t>
      </w:r>
      <w:r w:rsidR="002832D4" w:rsidRPr="00A93A46">
        <w:rPr>
          <w:rFonts w:ascii="Times New Roman" w:hAnsi="Times New Roman" w:cs="Times New Roman"/>
        </w:rPr>
        <w:t xml:space="preserve">un </w:t>
      </w:r>
      <w:r w:rsidR="00A97953" w:rsidRPr="00A93A46">
        <w:rPr>
          <w:rFonts w:ascii="Times New Roman" w:hAnsi="Times New Roman" w:cs="Times New Roman"/>
        </w:rPr>
        <w:t xml:space="preserve">periodo del pensiero </w:t>
      </w:r>
      <w:r w:rsidR="00CE3322" w:rsidRPr="00A93A46">
        <w:rPr>
          <w:rFonts w:ascii="Times New Roman" w:hAnsi="Times New Roman" w:cs="Times New Roman"/>
        </w:rPr>
        <w:t>dell’</w:t>
      </w:r>
      <w:r w:rsidR="00021560">
        <w:rPr>
          <w:rFonts w:ascii="Times New Roman" w:hAnsi="Times New Roman" w:cs="Times New Roman"/>
        </w:rPr>
        <w:t>autore</w:t>
      </w:r>
      <w:r w:rsidR="00AA748E" w:rsidRPr="00A93A46">
        <w:rPr>
          <w:rFonts w:ascii="Times New Roman" w:hAnsi="Times New Roman" w:cs="Times New Roman"/>
        </w:rPr>
        <w:t xml:space="preserve"> </w:t>
      </w:r>
      <w:r w:rsidR="002832D4" w:rsidRPr="00A93A46">
        <w:rPr>
          <w:rFonts w:ascii="Times New Roman" w:hAnsi="Times New Roman" w:cs="Times New Roman"/>
        </w:rPr>
        <w:t xml:space="preserve">giustamente </w:t>
      </w:r>
      <w:r w:rsidR="006277BD" w:rsidRPr="00A93A46">
        <w:rPr>
          <w:rFonts w:ascii="Times New Roman" w:hAnsi="Times New Roman" w:cs="Times New Roman"/>
        </w:rPr>
        <w:t xml:space="preserve">definito da </w:t>
      </w:r>
      <w:r w:rsidR="002832D4" w:rsidRPr="00A93A46">
        <w:rPr>
          <w:rFonts w:ascii="Times New Roman" w:hAnsi="Times New Roman" w:cs="Times New Roman"/>
        </w:rPr>
        <w:t xml:space="preserve">Eugenio Garin </w:t>
      </w:r>
      <w:r w:rsidR="00A97953" w:rsidRPr="00A93A46">
        <w:rPr>
          <w:rFonts w:ascii="Times New Roman" w:hAnsi="Times New Roman" w:cs="Times New Roman"/>
        </w:rPr>
        <w:t>come «il più vivo ed il più drammatico</w:t>
      </w:r>
      <w:r w:rsidR="00B538D9" w:rsidRPr="00A93A46">
        <w:rPr>
          <w:rFonts w:ascii="Times New Roman" w:hAnsi="Times New Roman" w:cs="Times New Roman"/>
        </w:rPr>
        <w:t xml:space="preserve"> della sua vita</w:t>
      </w:r>
      <w:r w:rsidR="00A97953" w:rsidRPr="00A93A46">
        <w:rPr>
          <w:rFonts w:ascii="Times New Roman" w:eastAsia="Times New Roman" w:hAnsi="Times New Roman" w:cs="Times New Roman"/>
          <w:color w:val="000000"/>
        </w:rPr>
        <w:t>»</w:t>
      </w:r>
      <w:r w:rsidR="00A97953" w:rsidRPr="00A93A46">
        <w:rPr>
          <w:rStyle w:val="Rimandonotaapidipagina"/>
          <w:rFonts w:ascii="Times New Roman" w:eastAsia="Times New Roman" w:hAnsi="Times New Roman" w:cs="Times New Roman"/>
          <w:color w:val="000000"/>
        </w:rPr>
        <w:footnoteReference w:id="140"/>
      </w:r>
      <w:r w:rsidR="009C0703">
        <w:rPr>
          <w:rFonts w:ascii="Times New Roman" w:eastAsia="Times New Roman" w:hAnsi="Times New Roman" w:cs="Times New Roman"/>
          <w:color w:val="000000"/>
        </w:rPr>
        <w:t xml:space="preserve">. </w:t>
      </w:r>
      <w:r w:rsidR="00CE5E04" w:rsidRPr="00A93A46">
        <w:rPr>
          <w:rFonts w:ascii="Times New Roman" w:eastAsia="Times New Roman" w:hAnsi="Times New Roman" w:cs="Times New Roman"/>
          <w:color w:val="000000"/>
        </w:rPr>
        <w:t xml:space="preserve">Abbiamo </w:t>
      </w:r>
      <w:r w:rsidR="002832D4" w:rsidRPr="00A93A46">
        <w:rPr>
          <w:rFonts w:ascii="Times New Roman" w:eastAsia="Times New Roman" w:hAnsi="Times New Roman" w:cs="Times New Roman"/>
          <w:color w:val="000000"/>
        </w:rPr>
        <w:t xml:space="preserve">già </w:t>
      </w:r>
      <w:r w:rsidR="00A93A46" w:rsidRPr="00A93A46">
        <w:rPr>
          <w:rFonts w:ascii="Times New Roman" w:eastAsia="Times New Roman" w:hAnsi="Times New Roman" w:cs="Times New Roman"/>
          <w:color w:val="000000"/>
        </w:rPr>
        <w:t>appur</w:t>
      </w:r>
      <w:r w:rsidR="000C0981" w:rsidRPr="00A93A46">
        <w:rPr>
          <w:rFonts w:ascii="Times New Roman" w:eastAsia="Times New Roman" w:hAnsi="Times New Roman" w:cs="Times New Roman"/>
          <w:color w:val="000000"/>
        </w:rPr>
        <w:t>ato</w:t>
      </w:r>
      <w:r w:rsidR="00A97953" w:rsidRPr="00A93A46">
        <w:rPr>
          <w:rFonts w:ascii="Times New Roman" w:eastAsia="Times New Roman" w:hAnsi="Times New Roman" w:cs="Times New Roman"/>
          <w:color w:val="000000"/>
        </w:rPr>
        <w:t xml:space="preserve"> l’originalità di Hegel in </w:t>
      </w:r>
      <w:r w:rsidR="00AD4C9B" w:rsidRPr="00A93A46">
        <w:rPr>
          <w:rFonts w:ascii="Times New Roman" w:hAnsi="Times New Roman" w:cs="Times New Roman"/>
          <w:i/>
        </w:rPr>
        <w:t>Glauben und Wissen</w:t>
      </w:r>
      <w:r w:rsidR="00085494" w:rsidRPr="00A93A46">
        <w:rPr>
          <w:rFonts w:ascii="Times New Roman" w:hAnsi="Times New Roman" w:cs="Times New Roman"/>
        </w:rPr>
        <w:t>, che</w:t>
      </w:r>
      <w:r w:rsidR="00CE3322" w:rsidRPr="00A93A46">
        <w:rPr>
          <w:rFonts w:ascii="Times New Roman" w:hAnsi="Times New Roman" w:cs="Times New Roman"/>
        </w:rPr>
        <w:t xml:space="preserve"> </w:t>
      </w:r>
      <w:r w:rsidR="00085494" w:rsidRPr="00A93A46">
        <w:rPr>
          <w:rFonts w:ascii="Times New Roman" w:hAnsi="Times New Roman" w:cs="Times New Roman"/>
        </w:rPr>
        <w:t>mostra</w:t>
      </w:r>
      <w:r w:rsidR="000E4ED5" w:rsidRPr="00A93A46">
        <w:rPr>
          <w:rFonts w:ascii="Times New Roman" w:hAnsi="Times New Roman" w:cs="Times New Roman"/>
        </w:rPr>
        <w:t xml:space="preserve"> </w:t>
      </w:r>
      <w:r w:rsidR="00A374BD" w:rsidRPr="00A93A46">
        <w:rPr>
          <w:rFonts w:ascii="Times New Roman" w:hAnsi="Times New Roman" w:cs="Times New Roman"/>
        </w:rPr>
        <w:t>un pensatore</w:t>
      </w:r>
      <w:r w:rsidR="00A97953" w:rsidRPr="00A93A46">
        <w:rPr>
          <w:rFonts w:ascii="Times New Roman" w:hAnsi="Times New Roman" w:cs="Times New Roman"/>
        </w:rPr>
        <w:t xml:space="preserve"> capace</w:t>
      </w:r>
      <w:r w:rsidR="00A374BD" w:rsidRPr="00A93A46">
        <w:rPr>
          <w:rFonts w:ascii="Times New Roman" w:hAnsi="Times New Roman" w:cs="Times New Roman"/>
        </w:rPr>
        <w:t>, attraverso le armi taglienti della cri</w:t>
      </w:r>
      <w:r w:rsidR="00C03B69" w:rsidRPr="00A93A46">
        <w:rPr>
          <w:rFonts w:ascii="Times New Roman" w:hAnsi="Times New Roman" w:cs="Times New Roman"/>
        </w:rPr>
        <w:t>tica, d’avanzare delle posizioni</w:t>
      </w:r>
      <w:r w:rsidR="00A374BD" w:rsidRPr="00A93A46">
        <w:rPr>
          <w:rFonts w:ascii="Times New Roman" w:hAnsi="Times New Roman" w:cs="Times New Roman"/>
        </w:rPr>
        <w:t xml:space="preserve"> speculative indipendenti e personali</w:t>
      </w:r>
      <w:r w:rsidR="004C4F79" w:rsidRPr="00A93A46">
        <w:rPr>
          <w:rFonts w:ascii="Times New Roman" w:hAnsi="Times New Roman" w:cs="Times New Roman"/>
        </w:rPr>
        <w:t>.</w:t>
      </w:r>
      <w:r w:rsidR="00B8289F" w:rsidRPr="00A93A46">
        <w:rPr>
          <w:rFonts w:ascii="Times New Roman" w:hAnsi="Times New Roman" w:cs="Times New Roman"/>
        </w:rPr>
        <w:t xml:space="preserve"> </w:t>
      </w:r>
      <w:r w:rsidR="00A97953" w:rsidRPr="00A93A46">
        <w:rPr>
          <w:rFonts w:ascii="Times New Roman" w:hAnsi="Times New Roman" w:cs="Times New Roman"/>
        </w:rPr>
        <w:t xml:space="preserve">Prendendo spunto </w:t>
      </w:r>
      <w:r w:rsidR="00635F45" w:rsidRPr="00A93A46">
        <w:rPr>
          <w:rFonts w:ascii="Times New Roman" w:hAnsi="Times New Roman" w:cs="Times New Roman"/>
        </w:rPr>
        <w:t xml:space="preserve">dalla </w:t>
      </w:r>
      <w:r w:rsidR="00A374BD" w:rsidRPr="00A93A46">
        <w:rPr>
          <w:rFonts w:ascii="Times New Roman" w:hAnsi="Times New Roman" w:cs="Times New Roman"/>
          <w:i/>
        </w:rPr>
        <w:t>querelle</w:t>
      </w:r>
      <w:r w:rsidR="00A374BD" w:rsidRPr="00A93A46">
        <w:rPr>
          <w:rFonts w:ascii="Times New Roman" w:hAnsi="Times New Roman" w:cs="Times New Roman"/>
        </w:rPr>
        <w:t xml:space="preserve"> sul </w:t>
      </w:r>
      <w:r w:rsidR="00A374BD" w:rsidRPr="00A93A46">
        <w:rPr>
          <w:rFonts w:ascii="Times New Roman" w:hAnsi="Times New Roman" w:cs="Times New Roman"/>
          <w:i/>
        </w:rPr>
        <w:t>nichilismo</w:t>
      </w:r>
      <w:r w:rsidR="00A374BD" w:rsidRPr="00A93A46">
        <w:rPr>
          <w:rFonts w:ascii="Times New Roman" w:hAnsi="Times New Roman" w:cs="Times New Roman"/>
        </w:rPr>
        <w:t>,</w:t>
      </w:r>
      <w:r w:rsidR="00A374BD">
        <w:rPr>
          <w:rFonts w:ascii="Times New Roman" w:hAnsi="Times New Roman" w:cs="Times New Roman"/>
        </w:rPr>
        <w:t xml:space="preserve"> </w:t>
      </w:r>
      <w:r w:rsidR="00635F45">
        <w:rPr>
          <w:rFonts w:ascii="Times New Roman" w:hAnsi="Times New Roman" w:cs="Times New Roman"/>
        </w:rPr>
        <w:t>Hegel ha formulato una teoria dell’</w:t>
      </w:r>
      <w:r w:rsidR="00635F45" w:rsidRPr="0006524C">
        <w:rPr>
          <w:rFonts w:ascii="Times New Roman" w:hAnsi="Times New Roman" w:cs="Times New Roman"/>
          <w:i/>
        </w:rPr>
        <w:t>absolutes Nichts</w:t>
      </w:r>
      <w:r w:rsidR="004C4F79">
        <w:rPr>
          <w:rStyle w:val="Rimandonotaapidipagina"/>
          <w:rFonts w:ascii="Times New Roman" w:hAnsi="Times New Roman" w:cs="Times New Roman"/>
        </w:rPr>
        <w:footnoteReference w:id="141"/>
      </w:r>
      <w:r w:rsidR="003F7691">
        <w:rPr>
          <w:rFonts w:ascii="Times New Roman" w:hAnsi="Times New Roman" w:cs="Times New Roman"/>
          <w:i/>
        </w:rPr>
        <w:t xml:space="preserve"> </w:t>
      </w:r>
      <w:r w:rsidR="00AE6785">
        <w:rPr>
          <w:rFonts w:ascii="Times New Roman" w:hAnsi="Times New Roman" w:cs="Times New Roman"/>
        </w:rPr>
        <w:t>e</w:t>
      </w:r>
      <w:r w:rsidR="003F7691">
        <w:rPr>
          <w:rFonts w:ascii="Times New Roman" w:hAnsi="Times New Roman" w:cs="Times New Roman"/>
        </w:rPr>
        <w:t xml:space="preserve"> un’interpretazione dello spinozismo dall’ampia portata speculativa</w:t>
      </w:r>
      <w:r w:rsidR="00B66092">
        <w:rPr>
          <w:rFonts w:ascii="Times New Roman" w:hAnsi="Times New Roman" w:cs="Times New Roman"/>
        </w:rPr>
        <w:t>.</w:t>
      </w:r>
      <w:r w:rsidR="005645E0">
        <w:rPr>
          <w:rFonts w:ascii="Times New Roman" w:hAnsi="Times New Roman" w:cs="Times New Roman"/>
        </w:rPr>
        <w:t xml:space="preserve"> </w:t>
      </w:r>
      <w:r w:rsidR="00947C83">
        <w:rPr>
          <w:rFonts w:ascii="Times New Roman" w:hAnsi="Times New Roman" w:cs="Times New Roman"/>
        </w:rPr>
        <w:t>L</w:t>
      </w:r>
      <w:r w:rsidR="0034724A">
        <w:rPr>
          <w:rFonts w:ascii="Times New Roman" w:hAnsi="Times New Roman" w:cs="Times New Roman"/>
        </w:rPr>
        <w:t>a filosofia di Spinoza</w:t>
      </w:r>
      <w:r w:rsidR="00947C83">
        <w:rPr>
          <w:rFonts w:ascii="Times New Roman" w:hAnsi="Times New Roman" w:cs="Times New Roman"/>
        </w:rPr>
        <w:t xml:space="preserve"> restituisce </w:t>
      </w:r>
      <w:r w:rsidR="00B66092">
        <w:rPr>
          <w:rFonts w:ascii="Times New Roman" w:hAnsi="Times New Roman" w:cs="Times New Roman"/>
        </w:rPr>
        <w:t>un modello d’Assoluto che</w:t>
      </w:r>
      <w:r w:rsidR="00947C83">
        <w:rPr>
          <w:rFonts w:ascii="Times New Roman" w:hAnsi="Times New Roman" w:cs="Times New Roman"/>
        </w:rPr>
        <w:t xml:space="preserve"> coglie</w:t>
      </w:r>
      <w:r w:rsidR="005D1659">
        <w:rPr>
          <w:rFonts w:ascii="Times New Roman" w:hAnsi="Times New Roman" w:cs="Times New Roman"/>
        </w:rPr>
        <w:t xml:space="preserve"> </w:t>
      </w:r>
      <w:r w:rsidR="00B66092">
        <w:rPr>
          <w:rFonts w:ascii="Times New Roman" w:hAnsi="Times New Roman" w:cs="Times New Roman"/>
        </w:rPr>
        <w:t>l’identità e l</w:t>
      </w:r>
      <w:r w:rsidR="00514B45">
        <w:rPr>
          <w:rFonts w:ascii="Times New Roman" w:hAnsi="Times New Roman" w:cs="Times New Roman"/>
        </w:rPr>
        <w:t>’opposizione</w:t>
      </w:r>
      <w:r w:rsidR="005645E0">
        <w:rPr>
          <w:rFonts w:ascii="Times New Roman" w:hAnsi="Times New Roman" w:cs="Times New Roman"/>
        </w:rPr>
        <w:t xml:space="preserve"> dell’infinito e del finito, dell’</w:t>
      </w:r>
      <w:r w:rsidR="00B66092">
        <w:rPr>
          <w:rFonts w:ascii="Times New Roman" w:hAnsi="Times New Roman" w:cs="Times New Roman"/>
        </w:rPr>
        <w:t>i</w:t>
      </w:r>
      <w:r w:rsidR="005645E0">
        <w:rPr>
          <w:rFonts w:ascii="Times New Roman" w:hAnsi="Times New Roman" w:cs="Times New Roman"/>
        </w:rPr>
        <w:t>deale e del reale</w:t>
      </w:r>
      <w:r w:rsidR="00B66092">
        <w:rPr>
          <w:rFonts w:ascii="Times New Roman" w:hAnsi="Times New Roman" w:cs="Times New Roman"/>
        </w:rPr>
        <w:t xml:space="preserve">. </w:t>
      </w:r>
      <w:r w:rsidR="006D2CB2">
        <w:rPr>
          <w:rFonts w:ascii="Times New Roman" w:hAnsi="Times New Roman" w:cs="Times New Roman"/>
        </w:rPr>
        <w:t xml:space="preserve">Ciò </w:t>
      </w:r>
      <w:r w:rsidR="009C0703">
        <w:rPr>
          <w:rFonts w:ascii="Times New Roman" w:hAnsi="Times New Roman" w:cs="Times New Roman"/>
        </w:rPr>
        <w:t>che consente di definire</w:t>
      </w:r>
      <w:r w:rsidR="00694121">
        <w:rPr>
          <w:rFonts w:ascii="Times New Roman" w:hAnsi="Times New Roman" w:cs="Times New Roman"/>
        </w:rPr>
        <w:t xml:space="preserve"> </w:t>
      </w:r>
      <w:r w:rsidR="00F92411">
        <w:rPr>
          <w:rFonts w:ascii="Times New Roman" w:hAnsi="Times New Roman" w:cs="Times New Roman"/>
        </w:rPr>
        <w:t>l’Incondizionato come l’</w:t>
      </w:r>
      <w:r w:rsidR="001C5814" w:rsidRPr="007707CF">
        <w:rPr>
          <w:rFonts w:ascii="Times New Roman" w:hAnsi="Times New Roman" w:cs="Times New Roman"/>
        </w:rPr>
        <w:t>«</w:t>
      </w:r>
      <w:r w:rsidR="005D1659">
        <w:rPr>
          <w:rFonts w:ascii="Times New Roman" w:eastAsia="Times New Roman" w:hAnsi="Times New Roman" w:cs="Times New Roman"/>
          <w:color w:val="000000"/>
        </w:rPr>
        <w:t>Identität des Subjects und des Objects</w:t>
      </w:r>
      <w:r w:rsidR="001C5814" w:rsidRPr="007707CF">
        <w:rPr>
          <w:rFonts w:ascii="Times New Roman" w:eastAsia="Times New Roman" w:hAnsi="Times New Roman" w:cs="Times New Roman"/>
          <w:color w:val="000000"/>
        </w:rPr>
        <w:t>»</w:t>
      </w:r>
      <w:r w:rsidR="005D1659">
        <w:rPr>
          <w:rStyle w:val="Rimandonotaapidipagina"/>
          <w:rFonts w:ascii="Times New Roman" w:eastAsia="Times New Roman" w:hAnsi="Times New Roman" w:cs="Times New Roman"/>
          <w:color w:val="000000"/>
        </w:rPr>
        <w:footnoteReference w:id="142"/>
      </w:r>
      <w:r w:rsidR="00F92411" w:rsidRPr="007707CF">
        <w:rPr>
          <w:rFonts w:ascii="Times New Roman" w:eastAsia="Times New Roman" w:hAnsi="Times New Roman" w:cs="Times New Roman"/>
          <w:color w:val="000000"/>
        </w:rPr>
        <w:t xml:space="preserve"> è</w:t>
      </w:r>
      <w:r w:rsidR="00F92411">
        <w:rPr>
          <w:rFonts w:ascii="Times New Roman" w:eastAsia="Times New Roman" w:hAnsi="Times New Roman" w:cs="Times New Roman"/>
          <w:color w:val="000000"/>
        </w:rPr>
        <w:t xml:space="preserve"> </w:t>
      </w:r>
      <w:r w:rsidR="00C66020" w:rsidRPr="00E3796C">
        <w:rPr>
          <w:rFonts w:ascii="Times New Roman" w:eastAsia="Times New Roman" w:hAnsi="Times New Roman" w:cs="Times New Roman"/>
          <w:color w:val="000000"/>
        </w:rPr>
        <w:t xml:space="preserve">l’intuizione </w:t>
      </w:r>
      <w:r w:rsidR="00E3796C" w:rsidRPr="00E3796C">
        <w:rPr>
          <w:rFonts w:ascii="Times New Roman" w:eastAsia="Times New Roman" w:hAnsi="Times New Roman" w:cs="Times New Roman"/>
          <w:color w:val="000000"/>
        </w:rPr>
        <w:t>intellettu</w:t>
      </w:r>
      <w:r w:rsidR="00F92411" w:rsidRPr="00E3796C">
        <w:rPr>
          <w:rFonts w:ascii="Times New Roman" w:eastAsia="Times New Roman" w:hAnsi="Times New Roman" w:cs="Times New Roman"/>
          <w:color w:val="000000"/>
        </w:rPr>
        <w:t>ale, che arriva là dove l’i</w:t>
      </w:r>
      <w:r w:rsidR="00AD4C9B" w:rsidRPr="00E3796C">
        <w:rPr>
          <w:rFonts w:ascii="Times New Roman" w:eastAsia="Times New Roman" w:hAnsi="Times New Roman" w:cs="Times New Roman"/>
          <w:color w:val="000000"/>
        </w:rPr>
        <w:t xml:space="preserve">ntelletto </w:t>
      </w:r>
      <w:r w:rsidR="006D2CB2" w:rsidRPr="00E3796C">
        <w:rPr>
          <w:rFonts w:ascii="Times New Roman" w:eastAsia="Times New Roman" w:hAnsi="Times New Roman" w:cs="Times New Roman"/>
          <w:color w:val="000000"/>
        </w:rPr>
        <w:t>(</w:t>
      </w:r>
      <w:r w:rsidR="006D2CB2" w:rsidRPr="00E3796C">
        <w:rPr>
          <w:rFonts w:ascii="Times New Roman" w:eastAsia="Times New Roman" w:hAnsi="Times New Roman" w:cs="Times New Roman"/>
          <w:i/>
          <w:color w:val="000000"/>
        </w:rPr>
        <w:t>der Verstand</w:t>
      </w:r>
      <w:r w:rsidR="006D2CB2" w:rsidRPr="00E3796C">
        <w:rPr>
          <w:rFonts w:ascii="Times New Roman" w:eastAsia="Times New Roman" w:hAnsi="Times New Roman" w:cs="Times New Roman"/>
          <w:color w:val="000000"/>
        </w:rPr>
        <w:t xml:space="preserve">) </w:t>
      </w:r>
      <w:r w:rsidR="00AD4C9B" w:rsidRPr="00E3796C">
        <w:rPr>
          <w:rFonts w:ascii="Times New Roman" w:eastAsia="Times New Roman" w:hAnsi="Times New Roman" w:cs="Times New Roman"/>
          <w:color w:val="000000"/>
        </w:rPr>
        <w:t>si arresta, ossia a comprendere l</w:t>
      </w:r>
      <w:r w:rsidR="00F92411" w:rsidRPr="00E3796C">
        <w:rPr>
          <w:rFonts w:ascii="Times New Roman" w:eastAsia="Times New Roman" w:hAnsi="Times New Roman" w:cs="Times New Roman"/>
          <w:color w:val="000000"/>
        </w:rPr>
        <w:t xml:space="preserve">a funzione </w:t>
      </w:r>
      <w:r w:rsidR="00B8289F" w:rsidRPr="00E3796C">
        <w:rPr>
          <w:rFonts w:ascii="Times New Roman" w:eastAsia="Times New Roman" w:hAnsi="Times New Roman" w:cs="Times New Roman"/>
          <w:color w:val="000000"/>
        </w:rPr>
        <w:t xml:space="preserve">speculativamente </w:t>
      </w:r>
      <w:r w:rsidR="00F92411" w:rsidRPr="00B2264E">
        <w:rPr>
          <w:rFonts w:ascii="Times New Roman" w:eastAsia="Times New Roman" w:hAnsi="Times New Roman" w:cs="Times New Roman"/>
          <w:color w:val="000000"/>
        </w:rPr>
        <w:t>fondante</w:t>
      </w:r>
      <w:r w:rsidR="00AE6785" w:rsidRPr="00B2264E">
        <w:rPr>
          <w:rFonts w:ascii="Times New Roman" w:eastAsia="Times New Roman" w:hAnsi="Times New Roman" w:cs="Times New Roman"/>
          <w:color w:val="000000"/>
        </w:rPr>
        <w:t xml:space="preserve"> e</w:t>
      </w:r>
      <w:r w:rsidR="00F52627" w:rsidRPr="00B2264E">
        <w:rPr>
          <w:rFonts w:ascii="Times New Roman" w:eastAsia="Times New Roman" w:hAnsi="Times New Roman" w:cs="Times New Roman"/>
          <w:color w:val="000000"/>
        </w:rPr>
        <w:t xml:space="preserve"> il superamento </w:t>
      </w:r>
      <w:r w:rsidR="00F92411" w:rsidRPr="00B2264E">
        <w:rPr>
          <w:rFonts w:ascii="Times New Roman" w:eastAsia="Times New Roman" w:hAnsi="Times New Roman" w:cs="Times New Roman"/>
          <w:color w:val="000000"/>
        </w:rPr>
        <w:t xml:space="preserve">dell’opposizione nella </w:t>
      </w:r>
      <w:r w:rsidR="00B8289F" w:rsidRPr="00B2264E">
        <w:rPr>
          <w:rFonts w:ascii="Times New Roman" w:eastAsia="Times New Roman" w:hAnsi="Times New Roman" w:cs="Times New Roman"/>
          <w:color w:val="000000"/>
        </w:rPr>
        <w:t>vita dell’Intero</w:t>
      </w:r>
      <w:r w:rsidR="00F92411" w:rsidRPr="00B2264E">
        <w:rPr>
          <w:rFonts w:ascii="Times New Roman" w:eastAsia="Times New Roman" w:hAnsi="Times New Roman" w:cs="Times New Roman"/>
          <w:color w:val="000000"/>
        </w:rPr>
        <w:t>.</w:t>
      </w:r>
      <w:r w:rsidR="00F92411" w:rsidRPr="00B2264E">
        <w:rPr>
          <w:rFonts w:ascii="Times New Roman" w:hAnsi="Times New Roman" w:cs="Times New Roman"/>
        </w:rPr>
        <w:t xml:space="preserve"> </w:t>
      </w:r>
      <w:r w:rsidR="006D2CB2" w:rsidRPr="00B2264E">
        <w:rPr>
          <w:rFonts w:ascii="Times New Roman" w:hAnsi="Times New Roman" w:cs="Times New Roman"/>
        </w:rPr>
        <w:t>L’</w:t>
      </w:r>
      <w:r w:rsidR="006D2CB2" w:rsidRPr="00B2264E">
        <w:rPr>
          <w:rFonts w:ascii="Times New Roman" w:hAnsi="Times New Roman" w:cs="Times New Roman"/>
          <w:i/>
        </w:rPr>
        <w:t>a</w:t>
      </w:r>
      <w:r w:rsidR="005645E0" w:rsidRPr="00B2264E">
        <w:rPr>
          <w:rFonts w:ascii="Times New Roman" w:hAnsi="Times New Roman" w:cs="Times New Roman"/>
          <w:i/>
        </w:rPr>
        <w:t>bsolutes Nichts</w:t>
      </w:r>
      <w:r w:rsidR="005645E0" w:rsidRPr="00B2264E">
        <w:rPr>
          <w:rFonts w:ascii="Times New Roman" w:hAnsi="Times New Roman" w:cs="Times New Roman"/>
        </w:rPr>
        <w:t xml:space="preserve">, </w:t>
      </w:r>
      <w:r w:rsidR="006D2CB2" w:rsidRPr="00B2264E">
        <w:rPr>
          <w:rFonts w:ascii="Times New Roman" w:hAnsi="Times New Roman" w:cs="Times New Roman"/>
        </w:rPr>
        <w:t>l’</w:t>
      </w:r>
      <w:r w:rsidR="005645E0" w:rsidRPr="00B2264E">
        <w:rPr>
          <w:rFonts w:ascii="Times New Roman" w:hAnsi="Times New Roman" w:cs="Times New Roman"/>
          <w:i/>
        </w:rPr>
        <w:t>absolute Affermation</w:t>
      </w:r>
      <w:r w:rsidR="00D45881" w:rsidRPr="00B2264E">
        <w:rPr>
          <w:rFonts w:ascii="Times New Roman" w:hAnsi="Times New Roman" w:cs="Times New Roman"/>
          <w:i/>
        </w:rPr>
        <w:t xml:space="preserve">, </w:t>
      </w:r>
      <w:r w:rsidR="00D45881" w:rsidRPr="00B2264E">
        <w:rPr>
          <w:rFonts w:ascii="Times New Roman" w:hAnsi="Times New Roman" w:cs="Times New Roman"/>
        </w:rPr>
        <w:t>l</w:t>
      </w:r>
      <w:r w:rsidR="00C03B69" w:rsidRPr="00B2264E">
        <w:rPr>
          <w:rFonts w:ascii="Times New Roman" w:hAnsi="Times New Roman" w:cs="Times New Roman"/>
        </w:rPr>
        <w:t>’</w:t>
      </w:r>
      <w:r w:rsidR="00D45881" w:rsidRPr="009D7D18">
        <w:rPr>
          <w:rFonts w:ascii="Times New Roman" w:eastAsia="Times New Roman" w:hAnsi="Times New Roman" w:cs="Times New Roman"/>
          <w:i/>
          <w:color w:val="000000"/>
        </w:rPr>
        <w:t xml:space="preserve">Identität </w:t>
      </w:r>
      <w:r w:rsidR="009D7D18" w:rsidRPr="009D7D18">
        <w:rPr>
          <w:rFonts w:ascii="Times New Roman" w:eastAsia="Times New Roman" w:hAnsi="Times New Roman" w:cs="Times New Roman"/>
          <w:i/>
          <w:color w:val="000000"/>
        </w:rPr>
        <w:t xml:space="preserve">des Subjects und des Objects </w:t>
      </w:r>
      <w:r w:rsidR="009D7D18">
        <w:rPr>
          <w:rFonts w:ascii="Times New Roman" w:eastAsia="Times New Roman" w:hAnsi="Times New Roman" w:cs="Times New Roman"/>
          <w:color w:val="000000"/>
        </w:rPr>
        <w:t>e</w:t>
      </w:r>
      <w:r w:rsidR="007852AF" w:rsidRPr="00B2264E">
        <w:rPr>
          <w:rFonts w:ascii="Times New Roman" w:eastAsia="Times New Roman" w:hAnsi="Times New Roman" w:cs="Times New Roman"/>
          <w:i/>
          <w:color w:val="000000"/>
        </w:rPr>
        <w:t xml:space="preserve"> </w:t>
      </w:r>
      <w:r w:rsidR="006D2CB2" w:rsidRPr="00B2264E">
        <w:rPr>
          <w:rFonts w:ascii="Times New Roman" w:hAnsi="Times New Roman" w:cs="Times New Roman"/>
        </w:rPr>
        <w:t>l</w:t>
      </w:r>
      <w:r w:rsidR="00493CFD" w:rsidRPr="00B2264E">
        <w:rPr>
          <w:rFonts w:ascii="Times New Roman" w:hAnsi="Times New Roman" w:cs="Times New Roman"/>
        </w:rPr>
        <w:t>a</w:t>
      </w:r>
      <w:r w:rsidR="00E3796C" w:rsidRPr="00B2264E">
        <w:rPr>
          <w:rFonts w:ascii="Times New Roman" w:hAnsi="Times New Roman" w:cs="Times New Roman"/>
          <w:i/>
        </w:rPr>
        <w:t xml:space="preserve"> intellectuelle Anschauung</w:t>
      </w:r>
      <w:r w:rsidR="00E3796C">
        <w:rPr>
          <w:rFonts w:ascii="Times New Roman" w:hAnsi="Times New Roman" w:cs="Times New Roman"/>
        </w:rPr>
        <w:t xml:space="preserve"> </w:t>
      </w:r>
      <w:r w:rsidR="00F92411">
        <w:rPr>
          <w:rFonts w:ascii="Times New Roman" w:hAnsi="Times New Roman" w:cs="Times New Roman"/>
        </w:rPr>
        <w:t xml:space="preserve">– forma </w:t>
      </w:r>
      <w:r w:rsidR="00CD6480">
        <w:rPr>
          <w:rFonts w:ascii="Times New Roman" w:hAnsi="Times New Roman" w:cs="Times New Roman"/>
        </w:rPr>
        <w:t>conoscitiva</w:t>
      </w:r>
      <w:r w:rsidR="00F92411">
        <w:rPr>
          <w:rFonts w:ascii="Times New Roman" w:hAnsi="Times New Roman" w:cs="Times New Roman"/>
        </w:rPr>
        <w:t xml:space="preserve"> aderente</w:t>
      </w:r>
      <w:r w:rsidR="00174F46">
        <w:rPr>
          <w:rFonts w:ascii="Times New Roman" w:hAnsi="Times New Roman" w:cs="Times New Roman"/>
        </w:rPr>
        <w:t xml:space="preserve"> e congrua</w:t>
      </w:r>
      <w:r w:rsidR="003F7691">
        <w:rPr>
          <w:rFonts w:ascii="Times New Roman" w:hAnsi="Times New Roman" w:cs="Times New Roman"/>
        </w:rPr>
        <w:t xml:space="preserve"> al</w:t>
      </w:r>
      <w:r w:rsidR="00F92411">
        <w:rPr>
          <w:rFonts w:ascii="Times New Roman" w:hAnsi="Times New Roman" w:cs="Times New Roman"/>
        </w:rPr>
        <w:t xml:space="preserve"> contenuto </w:t>
      </w:r>
      <w:r w:rsidR="003F7691">
        <w:rPr>
          <w:rFonts w:ascii="Times New Roman" w:hAnsi="Times New Roman" w:cs="Times New Roman"/>
        </w:rPr>
        <w:t xml:space="preserve">assoluto </w:t>
      </w:r>
      <w:r w:rsidR="00F92411">
        <w:rPr>
          <w:rFonts w:ascii="Times New Roman" w:hAnsi="Times New Roman" w:cs="Times New Roman"/>
        </w:rPr>
        <w:t>–</w:t>
      </w:r>
      <w:r w:rsidR="00B8289F">
        <w:rPr>
          <w:rFonts w:ascii="Times New Roman" w:hAnsi="Times New Roman" w:cs="Times New Roman"/>
        </w:rPr>
        <w:t xml:space="preserve"> </w:t>
      </w:r>
      <w:r w:rsidR="006D2CB2">
        <w:rPr>
          <w:rFonts w:ascii="Times New Roman" w:hAnsi="Times New Roman" w:cs="Times New Roman"/>
        </w:rPr>
        <w:t>costituiscono quegli strumenti critico-concettu</w:t>
      </w:r>
      <w:r w:rsidR="00162402">
        <w:rPr>
          <w:rFonts w:ascii="Times New Roman" w:hAnsi="Times New Roman" w:cs="Times New Roman"/>
        </w:rPr>
        <w:t xml:space="preserve">ali attraverso </w:t>
      </w:r>
      <w:r w:rsidR="006D2CB2">
        <w:rPr>
          <w:rFonts w:ascii="Times New Roman" w:hAnsi="Times New Roman" w:cs="Times New Roman"/>
        </w:rPr>
        <w:t xml:space="preserve">cui </w:t>
      </w:r>
      <w:r w:rsidR="00162402">
        <w:rPr>
          <w:rFonts w:ascii="Times New Roman" w:hAnsi="Times New Roman" w:cs="Times New Roman"/>
        </w:rPr>
        <w:t xml:space="preserve">Hegel decostruisce la </w:t>
      </w:r>
      <w:r w:rsidR="00514B45" w:rsidRPr="00514B45">
        <w:rPr>
          <w:rFonts w:ascii="Times New Roman" w:hAnsi="Times New Roman" w:cs="Times New Roman"/>
          <w:i/>
        </w:rPr>
        <w:t>Reflexionsphilosophie</w:t>
      </w:r>
      <w:r w:rsidR="003F7691">
        <w:rPr>
          <w:rFonts w:ascii="Times New Roman" w:hAnsi="Times New Roman" w:cs="Times New Roman"/>
        </w:rPr>
        <w:t xml:space="preserve"> e fa propria</w:t>
      </w:r>
      <w:r w:rsidR="00162402">
        <w:rPr>
          <w:rFonts w:ascii="Times New Roman" w:hAnsi="Times New Roman" w:cs="Times New Roman"/>
        </w:rPr>
        <w:t xml:space="preserve"> </w:t>
      </w:r>
      <w:r w:rsidR="006D2CB2">
        <w:rPr>
          <w:rFonts w:ascii="Times New Roman" w:hAnsi="Times New Roman" w:cs="Times New Roman"/>
        </w:rPr>
        <w:t>una teoria dell</w:t>
      </w:r>
      <w:r w:rsidR="00162402">
        <w:rPr>
          <w:rFonts w:ascii="Times New Roman" w:hAnsi="Times New Roman" w:cs="Times New Roman"/>
        </w:rPr>
        <w:t>’</w:t>
      </w:r>
      <w:r w:rsidR="00162402" w:rsidRPr="00162402">
        <w:rPr>
          <w:rFonts w:ascii="Times New Roman" w:hAnsi="Times New Roman" w:cs="Times New Roman"/>
          <w:i/>
        </w:rPr>
        <w:t>Unendlichkeit</w:t>
      </w:r>
      <w:r w:rsidR="006D2CB2" w:rsidRPr="006D2CB2">
        <w:rPr>
          <w:rFonts w:ascii="Times New Roman" w:hAnsi="Times New Roman" w:cs="Times New Roman"/>
          <w:i/>
        </w:rPr>
        <w:t xml:space="preserve"> </w:t>
      </w:r>
      <w:r w:rsidR="00B8289F">
        <w:rPr>
          <w:rFonts w:ascii="Times New Roman" w:hAnsi="Times New Roman" w:cs="Times New Roman"/>
        </w:rPr>
        <w:t>risultante</w:t>
      </w:r>
      <w:r w:rsidR="00162402">
        <w:rPr>
          <w:rFonts w:ascii="Times New Roman" w:hAnsi="Times New Roman" w:cs="Times New Roman"/>
        </w:rPr>
        <w:t xml:space="preserve"> </w:t>
      </w:r>
      <w:r w:rsidR="00B8289F">
        <w:rPr>
          <w:rFonts w:ascii="Times New Roman" w:hAnsi="Times New Roman" w:cs="Times New Roman"/>
        </w:rPr>
        <w:t>dall</w:t>
      </w:r>
      <w:r w:rsidR="00130610">
        <w:rPr>
          <w:rFonts w:ascii="Times New Roman" w:hAnsi="Times New Roman" w:cs="Times New Roman"/>
        </w:rPr>
        <w:t xml:space="preserve">a </w:t>
      </w:r>
      <w:r w:rsidR="00CD6480">
        <w:rPr>
          <w:rFonts w:ascii="Times New Roman" w:hAnsi="Times New Roman" w:cs="Times New Roman"/>
        </w:rPr>
        <w:t xml:space="preserve">combinazione </w:t>
      </w:r>
      <w:r w:rsidR="00130610">
        <w:rPr>
          <w:rFonts w:ascii="Times New Roman" w:hAnsi="Times New Roman" w:cs="Times New Roman"/>
        </w:rPr>
        <w:t>di</w:t>
      </w:r>
      <w:r w:rsidR="00F90E2E">
        <w:rPr>
          <w:rFonts w:ascii="Times New Roman" w:hAnsi="Times New Roman" w:cs="Times New Roman"/>
        </w:rPr>
        <w:t xml:space="preserve"> </w:t>
      </w:r>
      <w:r w:rsidR="002832D4">
        <w:rPr>
          <w:rFonts w:ascii="Times New Roman" w:hAnsi="Times New Roman" w:cs="Times New Roman"/>
        </w:rPr>
        <w:t xml:space="preserve">tematiche </w:t>
      </w:r>
      <w:r w:rsidR="00E37344">
        <w:rPr>
          <w:rFonts w:ascii="Times New Roman" w:hAnsi="Times New Roman" w:cs="Times New Roman"/>
        </w:rPr>
        <w:t>schellinghiane</w:t>
      </w:r>
      <w:r w:rsidR="00CD6480">
        <w:rPr>
          <w:rFonts w:ascii="Times New Roman" w:hAnsi="Times New Roman" w:cs="Times New Roman"/>
        </w:rPr>
        <w:t xml:space="preserve"> con </w:t>
      </w:r>
      <w:r w:rsidR="002A7BCB">
        <w:rPr>
          <w:rFonts w:ascii="Times New Roman" w:hAnsi="Times New Roman" w:cs="Times New Roman"/>
        </w:rPr>
        <w:t>categorie spinoziane</w:t>
      </w:r>
      <w:r w:rsidR="005645E0">
        <w:rPr>
          <w:rFonts w:ascii="Times New Roman" w:hAnsi="Times New Roman" w:cs="Times New Roman"/>
        </w:rPr>
        <w:t xml:space="preserve">. </w:t>
      </w:r>
    </w:p>
    <w:p w14:paraId="3D888C53" w14:textId="27C0982B" w:rsidR="007852AF" w:rsidRDefault="00C03B69" w:rsidP="00B62ADD">
      <w:pPr>
        <w:spacing w:line="360" w:lineRule="auto"/>
        <w:ind w:firstLine="567"/>
        <w:jc w:val="both"/>
        <w:rPr>
          <w:rFonts w:ascii="Times New Roman" w:eastAsia="Times New Roman" w:hAnsi="Times New Roman" w:cs="Times New Roman"/>
          <w:color w:val="000000"/>
        </w:rPr>
      </w:pPr>
      <w:r w:rsidRPr="00A93A46">
        <w:rPr>
          <w:rFonts w:ascii="Times New Roman" w:hAnsi="Times New Roman" w:cs="Times New Roman"/>
        </w:rPr>
        <w:t>Queste posizioni teorico-speculative</w:t>
      </w:r>
      <w:r w:rsidR="0084343B">
        <w:rPr>
          <w:rFonts w:ascii="Times New Roman" w:hAnsi="Times New Roman" w:cs="Times New Roman"/>
        </w:rPr>
        <w:t xml:space="preserve">, </w:t>
      </w:r>
      <w:r w:rsidR="003F7691" w:rsidRPr="00A93A46">
        <w:rPr>
          <w:rFonts w:ascii="Times New Roman" w:hAnsi="Times New Roman" w:cs="Times New Roman"/>
        </w:rPr>
        <w:t>così come l’armamentario concettuale ottenuto dal confronto con la f</w:t>
      </w:r>
      <w:r w:rsidR="00A37330" w:rsidRPr="00A93A46">
        <w:rPr>
          <w:rFonts w:ascii="Times New Roman" w:hAnsi="Times New Roman" w:cs="Times New Roman"/>
        </w:rPr>
        <w:t>ilosofia</w:t>
      </w:r>
      <w:r w:rsidR="00E5475D" w:rsidRPr="00A93A46">
        <w:rPr>
          <w:rFonts w:ascii="Times New Roman" w:hAnsi="Times New Roman" w:cs="Times New Roman"/>
        </w:rPr>
        <w:t xml:space="preserve"> post-kantiana</w:t>
      </w:r>
      <w:r w:rsidR="000044B8" w:rsidRPr="0084343B">
        <w:rPr>
          <w:rFonts w:ascii="Times New Roman" w:hAnsi="Times New Roman" w:cs="Times New Roman"/>
        </w:rPr>
        <w:t>, vengono</w:t>
      </w:r>
      <w:r w:rsidR="001409B6" w:rsidRPr="0084343B">
        <w:rPr>
          <w:rFonts w:ascii="Times New Roman" w:hAnsi="Times New Roman" w:cs="Times New Roman"/>
        </w:rPr>
        <w:t xml:space="preserve"> sottoposte</w:t>
      </w:r>
      <w:r w:rsidR="003F7691" w:rsidRPr="0084343B">
        <w:rPr>
          <w:rFonts w:ascii="Times New Roman" w:hAnsi="Times New Roman" w:cs="Times New Roman"/>
        </w:rPr>
        <w:t xml:space="preserve"> ad una radicale revisione in quel lasso di tempo che va dalla parte</w:t>
      </w:r>
      <w:r w:rsidR="00AE6785" w:rsidRPr="0084343B">
        <w:rPr>
          <w:rFonts w:ascii="Times New Roman" w:hAnsi="Times New Roman" w:cs="Times New Roman"/>
        </w:rPr>
        <w:t>nza di Schelling per Würzburg e</w:t>
      </w:r>
      <w:r w:rsidR="003F7691" w:rsidRPr="0084343B">
        <w:rPr>
          <w:rFonts w:ascii="Times New Roman" w:hAnsi="Times New Roman" w:cs="Times New Roman"/>
        </w:rPr>
        <w:t xml:space="preserve"> arriva alla pubblicazione della </w:t>
      </w:r>
      <w:r w:rsidR="003F7691" w:rsidRPr="0084343B">
        <w:rPr>
          <w:rFonts w:ascii="Times New Roman" w:hAnsi="Times New Roman" w:cs="Times New Roman"/>
          <w:i/>
        </w:rPr>
        <w:t>Phänomenologie</w:t>
      </w:r>
      <w:r w:rsidR="000953A0" w:rsidRPr="0084343B">
        <w:rPr>
          <w:rFonts w:ascii="Times New Roman" w:hAnsi="Times New Roman" w:cs="Times New Roman"/>
          <w:i/>
        </w:rPr>
        <w:t xml:space="preserve"> des Geistes</w:t>
      </w:r>
      <w:r w:rsidR="000953A0" w:rsidRPr="00A93A46">
        <w:rPr>
          <w:rFonts w:ascii="Times New Roman" w:hAnsi="Times New Roman" w:cs="Times New Roman"/>
        </w:rPr>
        <w:t>. Al centro della discussione hegeliana</w:t>
      </w:r>
      <w:r w:rsidRPr="00A93A46">
        <w:rPr>
          <w:rFonts w:ascii="Times New Roman" w:hAnsi="Times New Roman" w:cs="Times New Roman"/>
        </w:rPr>
        <w:t xml:space="preserve"> </w:t>
      </w:r>
      <w:r w:rsidR="00660C72">
        <w:rPr>
          <w:rFonts w:ascii="Times New Roman" w:hAnsi="Times New Roman" w:cs="Times New Roman"/>
        </w:rPr>
        <w:t>rimangono</w:t>
      </w:r>
      <w:r w:rsidR="000953A0" w:rsidRPr="00A93A46">
        <w:rPr>
          <w:rFonts w:ascii="Times New Roman" w:hAnsi="Times New Roman" w:cs="Times New Roman"/>
        </w:rPr>
        <w:t xml:space="preserve"> quei contenuti </w:t>
      </w:r>
      <w:r w:rsidR="005B39FA" w:rsidRPr="00A93A46">
        <w:rPr>
          <w:rFonts w:ascii="Times New Roman" w:hAnsi="Times New Roman" w:cs="Times New Roman"/>
        </w:rPr>
        <w:t xml:space="preserve">discussi </w:t>
      </w:r>
      <w:r w:rsidR="00085494" w:rsidRPr="00A93A46">
        <w:rPr>
          <w:rFonts w:ascii="Times New Roman" w:hAnsi="Times New Roman" w:cs="Times New Roman"/>
        </w:rPr>
        <w:t>nel precedente sottocapitolo</w:t>
      </w:r>
      <w:r w:rsidR="00660C72" w:rsidRPr="00B2264E">
        <w:rPr>
          <w:rFonts w:ascii="Times New Roman" w:hAnsi="Times New Roman" w:cs="Times New Roman"/>
        </w:rPr>
        <w:t>, che sono</w:t>
      </w:r>
      <w:r w:rsidR="00A37330" w:rsidRPr="00B2264E">
        <w:rPr>
          <w:rFonts w:ascii="Times New Roman" w:hAnsi="Times New Roman" w:cs="Times New Roman"/>
        </w:rPr>
        <w:t xml:space="preserve"> inseriti</w:t>
      </w:r>
      <w:r w:rsidR="001409B6" w:rsidRPr="00B2264E">
        <w:rPr>
          <w:rFonts w:ascii="Times New Roman" w:hAnsi="Times New Roman" w:cs="Times New Roman"/>
        </w:rPr>
        <w:t xml:space="preserve"> </w:t>
      </w:r>
      <w:r w:rsidR="00D60A91" w:rsidRPr="00B2264E">
        <w:rPr>
          <w:rFonts w:ascii="Times New Roman" w:hAnsi="Times New Roman" w:cs="Times New Roman"/>
        </w:rPr>
        <w:t>in una mutata</w:t>
      </w:r>
      <w:r w:rsidR="00A37330" w:rsidRPr="00A93A46">
        <w:rPr>
          <w:rFonts w:ascii="Times New Roman" w:hAnsi="Times New Roman" w:cs="Times New Roman"/>
        </w:rPr>
        <w:t xml:space="preserve"> cornice di senso</w:t>
      </w:r>
      <w:r w:rsidR="00D60A91" w:rsidRPr="00A93A46">
        <w:rPr>
          <w:rFonts w:ascii="Times New Roman" w:hAnsi="Times New Roman" w:cs="Times New Roman"/>
        </w:rPr>
        <w:t>,</w:t>
      </w:r>
      <w:r w:rsidR="005B39FA" w:rsidRPr="00A93A46">
        <w:rPr>
          <w:rFonts w:ascii="Times New Roman" w:hAnsi="Times New Roman" w:cs="Times New Roman"/>
        </w:rPr>
        <w:t xml:space="preserve"> </w:t>
      </w:r>
      <w:r w:rsidR="00A37330" w:rsidRPr="00A93A46">
        <w:rPr>
          <w:rFonts w:ascii="Times New Roman" w:hAnsi="Times New Roman" w:cs="Times New Roman"/>
        </w:rPr>
        <w:t xml:space="preserve">riassumibile </w:t>
      </w:r>
      <w:r w:rsidR="007C52A1" w:rsidRPr="00A93A46">
        <w:rPr>
          <w:rFonts w:ascii="Times New Roman" w:hAnsi="Times New Roman" w:cs="Times New Roman"/>
        </w:rPr>
        <w:t>dal</w:t>
      </w:r>
      <w:r w:rsidR="005B39FA" w:rsidRPr="00A93A46">
        <w:rPr>
          <w:rFonts w:ascii="Times New Roman" w:hAnsi="Times New Roman" w:cs="Times New Roman"/>
        </w:rPr>
        <w:t xml:space="preserve"> </w:t>
      </w:r>
      <w:r w:rsidR="001409B6" w:rsidRPr="00A93A46">
        <w:rPr>
          <w:rFonts w:ascii="Times New Roman" w:hAnsi="Times New Roman" w:cs="Times New Roman"/>
        </w:rPr>
        <w:t xml:space="preserve">celeberrimo </w:t>
      </w:r>
      <w:r w:rsidR="007C52A1" w:rsidRPr="00A93A46">
        <w:rPr>
          <w:rFonts w:ascii="Times New Roman" w:hAnsi="Times New Roman" w:cs="Times New Roman"/>
        </w:rPr>
        <w:t xml:space="preserve">proposito </w:t>
      </w:r>
      <w:r w:rsidR="007C52A1" w:rsidRPr="00A93A46">
        <w:rPr>
          <w:rFonts w:ascii="Times New Roman" w:hAnsi="Times New Roman" w:cs="Times New Roman"/>
          <w:i/>
        </w:rPr>
        <w:t>fenomenologico</w:t>
      </w:r>
      <w:r w:rsidR="005B39FA" w:rsidRPr="00A93A46">
        <w:rPr>
          <w:rFonts w:ascii="Times New Roman" w:hAnsi="Times New Roman" w:cs="Times New Roman"/>
        </w:rPr>
        <w:t xml:space="preserve"> di </w:t>
      </w:r>
      <w:r w:rsidR="00A37330" w:rsidRPr="00A93A46">
        <w:rPr>
          <w:rFonts w:ascii="Times New Roman" w:hAnsi="Times New Roman" w:cs="Times New Roman"/>
        </w:rPr>
        <w:t>pensare</w:t>
      </w:r>
      <w:r w:rsidR="007C52A1" w:rsidRPr="00A93A46">
        <w:rPr>
          <w:rFonts w:ascii="Times New Roman" w:hAnsi="Times New Roman" w:cs="Times New Roman"/>
        </w:rPr>
        <w:t xml:space="preserve"> </w:t>
      </w:r>
      <w:r w:rsidR="007C52A1" w:rsidRPr="007707CF">
        <w:rPr>
          <w:rFonts w:ascii="Times New Roman" w:hAnsi="Times New Roman" w:cs="Times New Roman"/>
        </w:rPr>
        <w:t>«das Wahre nicht als Substanz, sondern ebe</w:t>
      </w:r>
      <w:r w:rsidR="0027478F" w:rsidRPr="007707CF">
        <w:rPr>
          <w:rFonts w:ascii="Times New Roman" w:hAnsi="Times New Roman" w:cs="Times New Roman"/>
        </w:rPr>
        <w:t>n</w:t>
      </w:r>
      <w:r w:rsidR="007C52A1" w:rsidRPr="007707CF">
        <w:rPr>
          <w:rFonts w:ascii="Times New Roman" w:hAnsi="Times New Roman" w:cs="Times New Roman"/>
        </w:rPr>
        <w:t xml:space="preserve"> so sehr als </w:t>
      </w:r>
      <w:r w:rsidR="007C52A1" w:rsidRPr="00F1465F">
        <w:rPr>
          <w:rFonts w:ascii="Times New Roman" w:hAnsi="Times New Roman" w:cs="Times New Roman"/>
        </w:rPr>
        <w:t>Subjekt</w:t>
      </w:r>
      <w:r w:rsidR="007C52A1" w:rsidRPr="00F1465F">
        <w:rPr>
          <w:rFonts w:ascii="Times New Roman" w:eastAsia="Times New Roman" w:hAnsi="Times New Roman" w:cs="Times New Roman"/>
          <w:color w:val="000000"/>
        </w:rPr>
        <w:t>»</w:t>
      </w:r>
      <w:r w:rsidR="007C52A1" w:rsidRPr="00F1465F">
        <w:rPr>
          <w:rStyle w:val="Rimandonotaapidipagina"/>
          <w:rFonts w:ascii="Times New Roman" w:eastAsia="Times New Roman" w:hAnsi="Times New Roman" w:cs="Times New Roman"/>
          <w:color w:val="000000"/>
        </w:rPr>
        <w:footnoteReference w:id="143"/>
      </w:r>
      <w:r w:rsidR="007C52A1" w:rsidRPr="00F1465F">
        <w:rPr>
          <w:rFonts w:ascii="Times New Roman" w:eastAsia="Times New Roman" w:hAnsi="Times New Roman" w:cs="Times New Roman"/>
          <w:color w:val="000000"/>
        </w:rPr>
        <w:t xml:space="preserve">. </w:t>
      </w:r>
      <w:r w:rsidR="0027478F" w:rsidRPr="00282BBA">
        <w:rPr>
          <w:rFonts w:ascii="Times New Roman" w:eastAsia="Times New Roman" w:hAnsi="Times New Roman" w:cs="Times New Roman"/>
          <w:color w:val="000000"/>
        </w:rPr>
        <w:t xml:space="preserve">Il vero </w:t>
      </w:r>
      <w:r w:rsidR="007C52A1" w:rsidRPr="00282BBA">
        <w:rPr>
          <w:rFonts w:ascii="Times New Roman" w:eastAsia="Times New Roman" w:hAnsi="Times New Roman" w:cs="Times New Roman"/>
          <w:color w:val="000000"/>
        </w:rPr>
        <w:t>com</w:t>
      </w:r>
      <w:r w:rsidR="004F10D8" w:rsidRPr="00282BBA">
        <w:rPr>
          <w:rFonts w:ascii="Times New Roman" w:eastAsia="Times New Roman" w:hAnsi="Times New Roman" w:cs="Times New Roman"/>
          <w:color w:val="000000"/>
        </w:rPr>
        <w:t xml:space="preserve">e soggetto, o come processo in </w:t>
      </w:r>
      <w:r w:rsidR="007506A2" w:rsidRPr="00282BBA">
        <w:rPr>
          <w:rFonts w:ascii="Times New Roman" w:eastAsia="Times New Roman" w:hAnsi="Times New Roman" w:cs="Times New Roman"/>
          <w:color w:val="000000"/>
        </w:rPr>
        <w:t>sé</w:t>
      </w:r>
      <w:r w:rsidR="002C14D2">
        <w:rPr>
          <w:rFonts w:ascii="Times New Roman" w:eastAsia="Times New Roman" w:hAnsi="Times New Roman" w:cs="Times New Roman"/>
          <w:color w:val="000000"/>
        </w:rPr>
        <w:t xml:space="preserve"> e per sé </w:t>
      </w:r>
      <w:r w:rsidR="007506A2" w:rsidRPr="00282BBA">
        <w:rPr>
          <w:rFonts w:ascii="Times New Roman" w:eastAsia="Times New Roman" w:hAnsi="Times New Roman" w:cs="Times New Roman"/>
          <w:color w:val="000000"/>
        </w:rPr>
        <w:t xml:space="preserve">fondato, </w:t>
      </w:r>
      <w:r w:rsidR="002F568D" w:rsidRPr="00282BBA">
        <w:rPr>
          <w:rFonts w:ascii="Times New Roman" w:eastAsia="Times New Roman" w:hAnsi="Times New Roman" w:cs="Times New Roman"/>
          <w:color w:val="000000"/>
        </w:rPr>
        <w:t xml:space="preserve">che </w:t>
      </w:r>
      <w:r w:rsidR="00BC1B54" w:rsidRPr="00282BBA">
        <w:rPr>
          <w:rFonts w:ascii="Times New Roman" w:eastAsia="Times New Roman" w:hAnsi="Times New Roman" w:cs="Times New Roman"/>
          <w:color w:val="000000"/>
        </w:rPr>
        <w:t>1.</w:t>
      </w:r>
      <w:r w:rsidR="0027478F" w:rsidRPr="00282BBA">
        <w:rPr>
          <w:rFonts w:ascii="Times New Roman" w:eastAsia="Times New Roman" w:hAnsi="Times New Roman" w:cs="Times New Roman"/>
          <w:color w:val="000000"/>
        </w:rPr>
        <w:t xml:space="preserve"> </w:t>
      </w:r>
      <w:r w:rsidR="004F10D8" w:rsidRPr="00282BBA">
        <w:rPr>
          <w:rFonts w:ascii="Times New Roman" w:eastAsia="Times New Roman" w:hAnsi="Times New Roman" w:cs="Times New Roman"/>
          <w:color w:val="000000"/>
        </w:rPr>
        <w:t>procede oltre</w:t>
      </w:r>
      <w:r w:rsidR="002F568D" w:rsidRPr="00282BBA">
        <w:rPr>
          <w:rFonts w:ascii="Times New Roman" w:eastAsia="Times New Roman" w:hAnsi="Times New Roman" w:cs="Times New Roman"/>
          <w:color w:val="000000"/>
        </w:rPr>
        <w:t xml:space="preserve"> </w:t>
      </w:r>
      <w:r w:rsidR="009D7D18" w:rsidRPr="00282BBA">
        <w:rPr>
          <w:rFonts w:ascii="Times New Roman" w:eastAsia="Times New Roman" w:hAnsi="Times New Roman" w:cs="Times New Roman"/>
          <w:color w:val="000000"/>
        </w:rPr>
        <w:t>l’</w:t>
      </w:r>
      <w:r w:rsidR="00407A84" w:rsidRPr="00282BBA">
        <w:rPr>
          <w:rFonts w:ascii="Times New Roman" w:eastAsia="Times New Roman" w:hAnsi="Times New Roman" w:cs="Times New Roman"/>
          <w:color w:val="000000"/>
        </w:rPr>
        <w:t>indetermina</w:t>
      </w:r>
      <w:r w:rsidR="009D7D18" w:rsidRPr="00282BBA">
        <w:rPr>
          <w:rFonts w:ascii="Times New Roman" w:eastAsia="Times New Roman" w:hAnsi="Times New Roman" w:cs="Times New Roman"/>
          <w:color w:val="000000"/>
        </w:rPr>
        <w:t>tezza</w:t>
      </w:r>
      <w:r w:rsidR="007C52A1" w:rsidRPr="00282BBA">
        <w:rPr>
          <w:rFonts w:ascii="Times New Roman" w:eastAsia="Times New Roman" w:hAnsi="Times New Roman" w:cs="Times New Roman"/>
          <w:color w:val="000000"/>
        </w:rPr>
        <w:t xml:space="preserve"> </w:t>
      </w:r>
      <w:r w:rsidR="00914BF8" w:rsidRPr="00282BBA">
        <w:rPr>
          <w:rFonts w:ascii="Times New Roman" w:eastAsia="Times New Roman" w:hAnsi="Times New Roman" w:cs="Times New Roman"/>
          <w:color w:val="000000"/>
        </w:rPr>
        <w:t xml:space="preserve">che esso </w:t>
      </w:r>
      <w:r w:rsidR="008E5E09" w:rsidRPr="00282BBA">
        <w:rPr>
          <w:rFonts w:ascii="Times New Roman" w:eastAsia="Times New Roman" w:hAnsi="Times New Roman" w:cs="Times New Roman"/>
          <w:color w:val="000000"/>
        </w:rPr>
        <w:t>è da principio</w:t>
      </w:r>
      <w:r w:rsidR="00BC1B54" w:rsidRPr="00282BBA">
        <w:rPr>
          <w:rFonts w:ascii="Times New Roman" w:eastAsia="Times New Roman" w:hAnsi="Times New Roman" w:cs="Times New Roman"/>
          <w:color w:val="000000"/>
        </w:rPr>
        <w:t>, 2.</w:t>
      </w:r>
      <w:r w:rsidR="0027478F" w:rsidRPr="00282BBA">
        <w:rPr>
          <w:rFonts w:ascii="Times New Roman" w:eastAsia="Times New Roman" w:hAnsi="Times New Roman" w:cs="Times New Roman"/>
          <w:color w:val="000000"/>
        </w:rPr>
        <w:t xml:space="preserve"> </w:t>
      </w:r>
      <w:r w:rsidR="007C52A1" w:rsidRPr="00282BBA">
        <w:rPr>
          <w:rFonts w:ascii="Times New Roman" w:eastAsia="Times New Roman" w:hAnsi="Times New Roman" w:cs="Times New Roman"/>
          <w:color w:val="000000"/>
        </w:rPr>
        <w:t>sprigiona, a partire dal rapporto semplice</w:t>
      </w:r>
      <w:r w:rsidR="007506A2" w:rsidRPr="00282BBA">
        <w:rPr>
          <w:rFonts w:ascii="Times New Roman" w:eastAsia="Times New Roman" w:hAnsi="Times New Roman" w:cs="Times New Roman"/>
          <w:color w:val="000000"/>
        </w:rPr>
        <w:t xml:space="preserve"> e</w:t>
      </w:r>
      <w:r w:rsidR="008E696C" w:rsidRPr="00282BBA">
        <w:rPr>
          <w:rFonts w:ascii="Times New Roman" w:eastAsia="Times New Roman" w:hAnsi="Times New Roman" w:cs="Times New Roman"/>
          <w:color w:val="000000"/>
        </w:rPr>
        <w:t xml:space="preserve"> negativo</w:t>
      </w:r>
      <w:r w:rsidR="002832D4" w:rsidRPr="00282BBA">
        <w:rPr>
          <w:rFonts w:ascii="Times New Roman" w:eastAsia="Times New Roman" w:hAnsi="Times New Roman" w:cs="Times New Roman"/>
          <w:color w:val="000000"/>
        </w:rPr>
        <w:t xml:space="preserve"> a sé,</w:t>
      </w:r>
      <w:r w:rsidR="007C52A1" w:rsidRPr="00282BBA">
        <w:rPr>
          <w:rFonts w:ascii="Times New Roman" w:eastAsia="Times New Roman" w:hAnsi="Times New Roman" w:cs="Times New Roman"/>
          <w:color w:val="000000"/>
        </w:rPr>
        <w:t xml:space="preserve"> l’opposizione con il proprio </w:t>
      </w:r>
      <w:r w:rsidR="007506A2" w:rsidRPr="00282BBA">
        <w:rPr>
          <w:rFonts w:ascii="Times New Roman" w:eastAsia="Times New Roman" w:hAnsi="Times New Roman" w:cs="Times New Roman"/>
          <w:i/>
          <w:color w:val="000000"/>
        </w:rPr>
        <w:t>Anderseyn</w:t>
      </w:r>
      <w:r w:rsidR="007506A2" w:rsidRPr="00282BBA">
        <w:rPr>
          <w:rFonts w:ascii="Times New Roman" w:eastAsia="Times New Roman" w:hAnsi="Times New Roman" w:cs="Times New Roman"/>
          <w:color w:val="000000"/>
        </w:rPr>
        <w:t xml:space="preserve"> </w:t>
      </w:r>
      <w:r w:rsidR="00E404C1" w:rsidRPr="00282BBA">
        <w:rPr>
          <w:rFonts w:ascii="Times New Roman" w:eastAsia="Times New Roman" w:hAnsi="Times New Roman" w:cs="Times New Roman"/>
          <w:color w:val="000000"/>
        </w:rPr>
        <w:t xml:space="preserve">e </w:t>
      </w:r>
      <w:r w:rsidR="00BC1B54" w:rsidRPr="00282BBA">
        <w:rPr>
          <w:rFonts w:ascii="Times New Roman" w:eastAsia="Times New Roman" w:hAnsi="Times New Roman" w:cs="Times New Roman"/>
          <w:color w:val="000000"/>
        </w:rPr>
        <w:t>3.</w:t>
      </w:r>
      <w:r w:rsidR="0027478F" w:rsidRPr="00282BBA">
        <w:rPr>
          <w:rFonts w:ascii="Times New Roman" w:eastAsia="Times New Roman" w:hAnsi="Times New Roman" w:cs="Times New Roman"/>
          <w:color w:val="000000"/>
        </w:rPr>
        <w:t xml:space="preserve"> </w:t>
      </w:r>
      <w:r w:rsidR="00E404C1" w:rsidRPr="00282BBA">
        <w:rPr>
          <w:rFonts w:ascii="Times New Roman" w:eastAsia="Times New Roman" w:hAnsi="Times New Roman" w:cs="Times New Roman"/>
          <w:color w:val="000000"/>
        </w:rPr>
        <w:t xml:space="preserve">ritorna a sé </w:t>
      </w:r>
      <w:r w:rsidR="007506A2" w:rsidRPr="00282BBA">
        <w:rPr>
          <w:rFonts w:ascii="Times New Roman" w:eastAsia="Times New Roman" w:hAnsi="Times New Roman" w:cs="Times New Roman"/>
          <w:color w:val="000000"/>
        </w:rPr>
        <w:t xml:space="preserve">assimilando come suo momento organico </w:t>
      </w:r>
      <w:r w:rsidR="009D7D18" w:rsidRPr="00282BBA">
        <w:rPr>
          <w:rFonts w:ascii="Times New Roman" w:eastAsia="Times New Roman" w:hAnsi="Times New Roman" w:cs="Times New Roman"/>
          <w:color w:val="000000"/>
        </w:rPr>
        <w:t>l’alterità</w:t>
      </w:r>
      <w:r w:rsidR="00E5475D" w:rsidRPr="00282BBA">
        <w:rPr>
          <w:rFonts w:ascii="Times New Roman" w:eastAsia="Times New Roman" w:hAnsi="Times New Roman" w:cs="Times New Roman"/>
          <w:color w:val="000000"/>
        </w:rPr>
        <w:t xml:space="preserve"> </w:t>
      </w:r>
      <w:r w:rsidR="00E5475D" w:rsidRPr="00FE24E4">
        <w:rPr>
          <w:rFonts w:ascii="Times New Roman" w:eastAsia="Times New Roman" w:hAnsi="Times New Roman" w:cs="Times New Roman"/>
          <w:color w:val="000000"/>
        </w:rPr>
        <w:t>che</w:t>
      </w:r>
      <w:r w:rsidR="00F8191F" w:rsidRPr="00FE24E4">
        <w:rPr>
          <w:rFonts w:ascii="Times New Roman" w:eastAsia="Times New Roman" w:hAnsi="Times New Roman" w:cs="Times New Roman"/>
          <w:color w:val="000000"/>
        </w:rPr>
        <w:t xml:space="preserve"> ha opposto a sé</w:t>
      </w:r>
      <w:r w:rsidR="00E5475D" w:rsidRPr="00FE24E4">
        <w:rPr>
          <w:rFonts w:ascii="Times New Roman" w:eastAsia="Times New Roman" w:hAnsi="Times New Roman" w:cs="Times New Roman"/>
          <w:color w:val="000000"/>
        </w:rPr>
        <w:t>.</w:t>
      </w:r>
      <w:r w:rsidR="00E5475D" w:rsidRPr="00A93A46">
        <w:rPr>
          <w:rFonts w:ascii="Times New Roman" w:eastAsia="Times New Roman" w:hAnsi="Times New Roman" w:cs="Times New Roman"/>
          <w:color w:val="000000"/>
        </w:rPr>
        <w:t xml:space="preserve"> </w:t>
      </w:r>
      <w:r w:rsidR="00540E0E" w:rsidRPr="00A93A46">
        <w:rPr>
          <w:rFonts w:ascii="Times New Roman" w:eastAsia="Times New Roman" w:hAnsi="Times New Roman" w:cs="Times New Roman"/>
          <w:color w:val="000000"/>
        </w:rPr>
        <w:t xml:space="preserve">Il vero, che </w:t>
      </w:r>
      <w:r w:rsidR="00CF223B" w:rsidRPr="00A93A46">
        <w:rPr>
          <w:rFonts w:ascii="Times New Roman" w:eastAsia="Times New Roman" w:hAnsi="Times New Roman" w:cs="Times New Roman"/>
          <w:color w:val="000000"/>
        </w:rPr>
        <w:t xml:space="preserve">è </w:t>
      </w:r>
      <w:r w:rsidR="00540E0E" w:rsidRPr="007707CF">
        <w:rPr>
          <w:rFonts w:ascii="Times New Roman" w:eastAsia="Times New Roman" w:hAnsi="Times New Roman" w:cs="Times New Roman"/>
          <w:color w:val="000000"/>
        </w:rPr>
        <w:t>«das Werden seiner selbst, der Kreis, der sein Ende als seinen Zweck voraussetzt und zum Anfange hat</w:t>
      </w:r>
      <w:r w:rsidR="00540E0E" w:rsidRPr="007707CF">
        <w:rPr>
          <w:rStyle w:val="Rimandonotaapidipagina"/>
          <w:rFonts w:ascii="Times New Roman" w:eastAsia="Times New Roman" w:hAnsi="Times New Roman" w:cs="Times New Roman"/>
          <w:color w:val="000000"/>
        </w:rPr>
        <w:footnoteReference w:id="144"/>
      </w:r>
      <w:r w:rsidR="00540E0E" w:rsidRPr="007707CF">
        <w:rPr>
          <w:rFonts w:ascii="Times New Roman" w:eastAsia="Times New Roman" w:hAnsi="Times New Roman" w:cs="Times New Roman"/>
          <w:color w:val="000000"/>
        </w:rPr>
        <w:t>»</w:t>
      </w:r>
      <w:r w:rsidR="00CF223B" w:rsidRPr="007707CF">
        <w:rPr>
          <w:rFonts w:ascii="Times New Roman" w:eastAsia="Times New Roman" w:hAnsi="Times New Roman" w:cs="Times New Roman"/>
          <w:color w:val="000000"/>
        </w:rPr>
        <w:t>,</w:t>
      </w:r>
      <w:r w:rsidR="00CF223B" w:rsidRPr="00A93A46">
        <w:rPr>
          <w:rFonts w:ascii="Times New Roman" w:eastAsia="Times New Roman" w:hAnsi="Times New Roman" w:cs="Times New Roman"/>
          <w:color w:val="000000"/>
        </w:rPr>
        <w:t xml:space="preserve"> costituisce</w:t>
      </w:r>
      <w:r w:rsidR="00E404C1" w:rsidRPr="00A93A46">
        <w:rPr>
          <w:rFonts w:ascii="Times New Roman" w:eastAsia="Times New Roman" w:hAnsi="Times New Roman" w:cs="Times New Roman"/>
          <w:color w:val="000000"/>
        </w:rPr>
        <w:t xml:space="preserve"> </w:t>
      </w:r>
      <w:r w:rsidR="00A37330" w:rsidRPr="00A93A46">
        <w:rPr>
          <w:rFonts w:ascii="Times New Roman" w:eastAsia="Times New Roman" w:hAnsi="Times New Roman" w:cs="Times New Roman"/>
          <w:color w:val="000000"/>
        </w:rPr>
        <w:t>la posta in gioco e l’esito</w:t>
      </w:r>
      <w:r w:rsidR="00591A5C" w:rsidRPr="00A93A46">
        <w:rPr>
          <w:rFonts w:ascii="Times New Roman" w:eastAsia="Times New Roman" w:hAnsi="Times New Roman" w:cs="Times New Roman"/>
          <w:color w:val="000000"/>
        </w:rPr>
        <w:t xml:space="preserve"> </w:t>
      </w:r>
      <w:r w:rsidR="00E404C1" w:rsidRPr="00A93A46">
        <w:rPr>
          <w:rFonts w:ascii="Times New Roman" w:eastAsia="Times New Roman" w:hAnsi="Times New Roman" w:cs="Times New Roman"/>
          <w:color w:val="000000"/>
        </w:rPr>
        <w:t xml:space="preserve">del ripensamento di quella posizione speculativa accolta in </w:t>
      </w:r>
      <w:r w:rsidR="00E404C1" w:rsidRPr="00A93A46">
        <w:rPr>
          <w:rFonts w:ascii="Times New Roman" w:eastAsia="Times New Roman" w:hAnsi="Times New Roman" w:cs="Times New Roman"/>
          <w:i/>
          <w:color w:val="000000"/>
        </w:rPr>
        <w:t>Glauben und Wissen</w:t>
      </w:r>
      <w:r w:rsidR="00E404C1" w:rsidRPr="00A93A46">
        <w:rPr>
          <w:rFonts w:ascii="Times New Roman" w:eastAsia="Times New Roman" w:hAnsi="Times New Roman" w:cs="Times New Roman"/>
          <w:color w:val="000000"/>
        </w:rPr>
        <w:t>.</w:t>
      </w:r>
      <w:r w:rsidR="00E404C1">
        <w:rPr>
          <w:rFonts w:ascii="Times New Roman" w:eastAsia="Times New Roman" w:hAnsi="Times New Roman" w:cs="Times New Roman"/>
          <w:color w:val="000000"/>
        </w:rPr>
        <w:t xml:space="preserve"> </w:t>
      </w:r>
      <w:r w:rsidR="00B63B63" w:rsidRPr="004125BE">
        <w:rPr>
          <w:rFonts w:ascii="Times New Roman" w:eastAsia="Times New Roman" w:hAnsi="Times New Roman" w:cs="Times New Roman"/>
          <w:color w:val="000000"/>
        </w:rPr>
        <w:t xml:space="preserve">Ma per ottenere questo </w:t>
      </w:r>
      <w:r w:rsidR="00EC3ED7" w:rsidRPr="004125BE">
        <w:rPr>
          <w:rFonts w:ascii="Times New Roman" w:eastAsia="Times New Roman" w:hAnsi="Times New Roman" w:cs="Times New Roman"/>
          <w:color w:val="000000"/>
        </w:rPr>
        <w:t xml:space="preserve">risultato, che è </w:t>
      </w:r>
      <w:r w:rsidR="009315D6" w:rsidRPr="004125BE">
        <w:rPr>
          <w:rFonts w:ascii="Times New Roman" w:eastAsia="Times New Roman" w:hAnsi="Times New Roman" w:cs="Times New Roman"/>
          <w:color w:val="000000"/>
        </w:rPr>
        <w:t>pietra angolare</w:t>
      </w:r>
      <w:r w:rsidR="00EC3ED7" w:rsidRPr="004125BE">
        <w:rPr>
          <w:rFonts w:ascii="Times New Roman" w:eastAsia="Times New Roman" w:hAnsi="Times New Roman" w:cs="Times New Roman"/>
          <w:color w:val="000000"/>
        </w:rPr>
        <w:t xml:space="preserve"> del sistema filosofico hegeliano, </w:t>
      </w:r>
      <w:r w:rsidR="0096519C">
        <w:rPr>
          <w:rFonts w:ascii="Times New Roman" w:eastAsia="Times New Roman" w:hAnsi="Times New Roman" w:cs="Times New Roman"/>
          <w:color w:val="000000"/>
        </w:rPr>
        <w:t xml:space="preserve">è necessario </w:t>
      </w:r>
      <w:r w:rsidR="00B63B63" w:rsidRPr="004125BE">
        <w:rPr>
          <w:rFonts w:ascii="Times New Roman" w:eastAsia="Times New Roman" w:hAnsi="Times New Roman" w:cs="Times New Roman"/>
          <w:color w:val="000000"/>
        </w:rPr>
        <w:t>ripensare</w:t>
      </w:r>
      <w:r w:rsidR="00EC3ED7" w:rsidRPr="004125BE">
        <w:rPr>
          <w:rFonts w:ascii="Times New Roman" w:eastAsia="Times New Roman" w:hAnsi="Times New Roman" w:cs="Times New Roman"/>
          <w:color w:val="000000"/>
        </w:rPr>
        <w:t xml:space="preserve"> </w:t>
      </w:r>
      <w:r w:rsidR="00B63B63" w:rsidRPr="004125BE">
        <w:rPr>
          <w:rFonts w:ascii="Times New Roman" w:eastAsia="Times New Roman" w:hAnsi="Times New Roman" w:cs="Times New Roman"/>
          <w:color w:val="000000"/>
        </w:rPr>
        <w:t xml:space="preserve">è </w:t>
      </w:r>
      <w:r w:rsidR="001B3F23" w:rsidRPr="004125BE">
        <w:rPr>
          <w:rFonts w:ascii="Times New Roman" w:eastAsia="Times New Roman" w:hAnsi="Times New Roman" w:cs="Times New Roman"/>
          <w:color w:val="000000"/>
        </w:rPr>
        <w:t xml:space="preserve">la </w:t>
      </w:r>
      <w:r w:rsidR="00EC3ED7" w:rsidRPr="004125BE">
        <w:rPr>
          <w:rFonts w:ascii="Times New Roman" w:eastAsia="Times New Roman" w:hAnsi="Times New Roman" w:cs="Times New Roman"/>
          <w:color w:val="000000"/>
        </w:rPr>
        <w:t xml:space="preserve">forma </w:t>
      </w:r>
      <w:r w:rsidR="00EC3ED7" w:rsidRPr="00FE24E4">
        <w:rPr>
          <w:rFonts w:ascii="Times New Roman" w:eastAsia="Times New Roman" w:hAnsi="Times New Roman" w:cs="Times New Roman"/>
          <w:color w:val="000000"/>
        </w:rPr>
        <w:t>espositiva dell’Assoluto</w:t>
      </w:r>
      <w:r w:rsidR="00B63B63" w:rsidRPr="00FE24E4">
        <w:rPr>
          <w:rFonts w:ascii="Times New Roman" w:eastAsia="Times New Roman" w:hAnsi="Times New Roman" w:cs="Times New Roman"/>
          <w:color w:val="000000"/>
        </w:rPr>
        <w:t>. Non si</w:t>
      </w:r>
      <w:r w:rsidR="001B3F23" w:rsidRPr="00FE24E4">
        <w:rPr>
          <w:rFonts w:ascii="Times New Roman" w:eastAsia="Times New Roman" w:hAnsi="Times New Roman" w:cs="Times New Roman"/>
          <w:color w:val="000000"/>
        </w:rPr>
        <w:t xml:space="preserve"> può liquidare la questione come inessenziale o come </w:t>
      </w:r>
      <w:r w:rsidR="001B3F23" w:rsidRPr="007F5DD9">
        <w:rPr>
          <w:rFonts w:ascii="Times New Roman" w:eastAsia="Times New Roman" w:hAnsi="Times New Roman" w:cs="Times New Roman"/>
          <w:color w:val="000000"/>
        </w:rPr>
        <w:t>superflua ai fini della comprensione dell’</w:t>
      </w:r>
      <w:r w:rsidR="005D2478" w:rsidRPr="007F5DD9">
        <w:rPr>
          <w:rFonts w:ascii="Times New Roman" w:eastAsia="Times New Roman" w:hAnsi="Times New Roman" w:cs="Times New Roman"/>
          <w:color w:val="000000"/>
        </w:rPr>
        <w:t>Incondizionato</w:t>
      </w:r>
      <w:r w:rsidR="001B3F23" w:rsidRPr="007F5DD9">
        <w:rPr>
          <w:rStyle w:val="Rimandonotaapidipagina"/>
          <w:rFonts w:ascii="Times New Roman" w:eastAsia="Times New Roman" w:hAnsi="Times New Roman" w:cs="Times New Roman"/>
          <w:color w:val="000000"/>
        </w:rPr>
        <w:footnoteReference w:id="145"/>
      </w:r>
      <w:r w:rsidR="00914BF8" w:rsidRPr="007F5DD9">
        <w:rPr>
          <w:rFonts w:ascii="Times New Roman" w:eastAsia="Times New Roman" w:hAnsi="Times New Roman" w:cs="Times New Roman"/>
          <w:color w:val="000000"/>
        </w:rPr>
        <w:t>.</w:t>
      </w:r>
      <w:r w:rsidR="001B3F23" w:rsidRPr="007F5DD9">
        <w:rPr>
          <w:rFonts w:ascii="Times New Roman" w:eastAsia="Times New Roman" w:hAnsi="Times New Roman" w:cs="Times New Roman"/>
          <w:color w:val="000000"/>
        </w:rPr>
        <w:t xml:space="preserve"> </w:t>
      </w:r>
      <w:r w:rsidR="00914BF8" w:rsidRPr="007F5DD9">
        <w:rPr>
          <w:rFonts w:ascii="Times New Roman" w:eastAsia="Times New Roman" w:hAnsi="Times New Roman" w:cs="Times New Roman"/>
          <w:color w:val="000000"/>
        </w:rPr>
        <w:t>T</w:t>
      </w:r>
      <w:r w:rsidR="002832D4" w:rsidRPr="007F5DD9">
        <w:rPr>
          <w:rFonts w:ascii="Times New Roman" w:eastAsia="Times New Roman" w:hAnsi="Times New Roman" w:cs="Times New Roman"/>
          <w:color w:val="000000"/>
        </w:rPr>
        <w:t xml:space="preserve">antomeno </w:t>
      </w:r>
      <w:r w:rsidR="001B3F23" w:rsidRPr="007F5DD9">
        <w:rPr>
          <w:rFonts w:ascii="Times New Roman" w:eastAsia="Times New Roman" w:hAnsi="Times New Roman" w:cs="Times New Roman"/>
          <w:color w:val="000000"/>
        </w:rPr>
        <w:t>è teoreticamente adeguato</w:t>
      </w:r>
      <w:r w:rsidR="00B63B63" w:rsidRPr="007F5DD9">
        <w:rPr>
          <w:rFonts w:ascii="Times New Roman" w:eastAsia="Times New Roman" w:hAnsi="Times New Roman" w:cs="Times New Roman"/>
          <w:color w:val="000000"/>
        </w:rPr>
        <w:t xml:space="preserve"> afferrare </w:t>
      </w:r>
      <w:r w:rsidR="005D2478" w:rsidRPr="007F5DD9">
        <w:rPr>
          <w:rFonts w:ascii="Times New Roman" w:eastAsia="Times New Roman" w:hAnsi="Times New Roman" w:cs="Times New Roman"/>
          <w:color w:val="000000"/>
        </w:rPr>
        <w:t>il divino</w:t>
      </w:r>
      <w:r w:rsidR="00F8191F" w:rsidRPr="007F5DD9">
        <w:rPr>
          <w:rFonts w:ascii="Times New Roman" w:eastAsia="Times New Roman" w:hAnsi="Times New Roman" w:cs="Times New Roman"/>
          <w:color w:val="000000"/>
        </w:rPr>
        <w:t xml:space="preserve"> per mezzo di un</w:t>
      </w:r>
      <w:r w:rsidR="00EE1A6E" w:rsidRPr="007F5DD9">
        <w:rPr>
          <w:rFonts w:ascii="Times New Roman" w:eastAsia="Times New Roman" w:hAnsi="Times New Roman" w:cs="Times New Roman"/>
          <w:color w:val="000000"/>
        </w:rPr>
        <w:t>a «</w:t>
      </w:r>
      <w:r w:rsidR="00AE48A4" w:rsidRPr="007F5DD9">
        <w:rPr>
          <w:rFonts w:ascii="Times New Roman" w:eastAsia="Times New Roman" w:hAnsi="Times New Roman" w:cs="Times New Roman"/>
          <w:color w:val="000000"/>
        </w:rPr>
        <w:t>intellektuelle</w:t>
      </w:r>
      <w:r w:rsidR="00EE1A6E" w:rsidRPr="007F5DD9">
        <w:rPr>
          <w:rFonts w:ascii="Times New Roman" w:eastAsia="Times New Roman" w:hAnsi="Times New Roman" w:cs="Times New Roman"/>
          <w:color w:val="000000"/>
        </w:rPr>
        <w:t xml:space="preserve"> Anschau</w:t>
      </w:r>
      <w:r w:rsidR="00153E3F" w:rsidRPr="007F5DD9">
        <w:rPr>
          <w:rFonts w:ascii="Times New Roman" w:eastAsia="Times New Roman" w:hAnsi="Times New Roman" w:cs="Times New Roman"/>
          <w:color w:val="000000"/>
        </w:rPr>
        <w:t>un</w:t>
      </w:r>
      <w:r w:rsidR="00EE1A6E" w:rsidRPr="007F5DD9">
        <w:rPr>
          <w:rFonts w:ascii="Times New Roman" w:eastAsia="Times New Roman" w:hAnsi="Times New Roman" w:cs="Times New Roman"/>
          <w:color w:val="000000"/>
        </w:rPr>
        <w:t>g</w:t>
      </w:r>
      <w:r w:rsidR="00153E3F" w:rsidRPr="007F5DD9">
        <w:rPr>
          <w:rFonts w:ascii="Times New Roman" w:eastAsia="Times New Roman" w:hAnsi="Times New Roman" w:cs="Times New Roman"/>
          <w:color w:val="000000"/>
        </w:rPr>
        <w:t>»</w:t>
      </w:r>
      <w:r w:rsidR="00153E3F" w:rsidRPr="007F5DD9">
        <w:rPr>
          <w:rStyle w:val="Rimandonotaapidipagina"/>
          <w:rFonts w:ascii="Times New Roman" w:eastAsia="Times New Roman" w:hAnsi="Times New Roman" w:cs="Times New Roman"/>
          <w:color w:val="000000"/>
        </w:rPr>
        <w:footnoteReference w:id="146"/>
      </w:r>
      <w:r w:rsidR="001B3F23" w:rsidRPr="007F5DD9">
        <w:rPr>
          <w:rFonts w:ascii="Times New Roman" w:eastAsia="Times New Roman" w:hAnsi="Times New Roman" w:cs="Times New Roman"/>
          <w:color w:val="000000"/>
        </w:rPr>
        <w:t>,</w:t>
      </w:r>
      <w:r w:rsidR="00B63B63" w:rsidRPr="007F5DD9">
        <w:rPr>
          <w:rFonts w:ascii="Times New Roman" w:eastAsia="Times New Roman" w:hAnsi="Times New Roman" w:cs="Times New Roman"/>
          <w:color w:val="000000"/>
        </w:rPr>
        <w:t xml:space="preserve"> che </w:t>
      </w:r>
      <w:r w:rsidR="007F5DD9" w:rsidRPr="007F5DD9">
        <w:rPr>
          <w:rFonts w:ascii="Times New Roman" w:eastAsia="Times New Roman" w:hAnsi="Times New Roman" w:cs="Times New Roman"/>
          <w:color w:val="000000"/>
        </w:rPr>
        <w:t>cristallizza</w:t>
      </w:r>
      <w:r w:rsidR="00B63B63">
        <w:rPr>
          <w:rFonts w:ascii="Times New Roman" w:eastAsia="Times New Roman" w:hAnsi="Times New Roman" w:cs="Times New Roman"/>
          <w:color w:val="000000"/>
        </w:rPr>
        <w:t xml:space="preserve"> </w:t>
      </w:r>
      <w:r w:rsidR="005D2478">
        <w:rPr>
          <w:rFonts w:ascii="Times New Roman" w:eastAsia="Times New Roman" w:hAnsi="Times New Roman" w:cs="Times New Roman"/>
          <w:color w:val="000000"/>
        </w:rPr>
        <w:t>l’</w:t>
      </w:r>
      <w:r w:rsidR="005D2478" w:rsidRPr="005D2478">
        <w:rPr>
          <w:rFonts w:ascii="Times New Roman" w:eastAsia="Times New Roman" w:hAnsi="Times New Roman" w:cs="Times New Roman"/>
          <w:i/>
          <w:color w:val="000000"/>
        </w:rPr>
        <w:t xml:space="preserve">absoluter Inhalt </w:t>
      </w:r>
      <w:r w:rsidR="00B63B63">
        <w:rPr>
          <w:rFonts w:ascii="Times New Roman" w:eastAsia="Times New Roman" w:hAnsi="Times New Roman" w:cs="Times New Roman"/>
          <w:color w:val="000000"/>
        </w:rPr>
        <w:t xml:space="preserve">in un’immagine, gettandolo </w:t>
      </w:r>
      <w:r w:rsidR="00B63B63" w:rsidRPr="007707CF">
        <w:rPr>
          <w:rFonts w:ascii="Times New Roman" w:eastAsia="Times New Roman" w:hAnsi="Times New Roman" w:cs="Times New Roman"/>
          <w:color w:val="000000"/>
        </w:rPr>
        <w:t>«in die träge Einfachheit» e rappresentando</w:t>
      </w:r>
      <w:r w:rsidR="00EC3ED7" w:rsidRPr="007707CF">
        <w:rPr>
          <w:rFonts w:ascii="Times New Roman" w:eastAsia="Times New Roman" w:hAnsi="Times New Roman" w:cs="Times New Roman"/>
          <w:color w:val="000000"/>
        </w:rPr>
        <w:t>lo</w:t>
      </w:r>
      <w:r w:rsidR="00B63B63" w:rsidRPr="007707CF">
        <w:rPr>
          <w:rFonts w:ascii="Times New Roman" w:eastAsia="Times New Roman" w:hAnsi="Times New Roman" w:cs="Times New Roman"/>
          <w:color w:val="000000"/>
        </w:rPr>
        <w:t xml:space="preserve"> «auf eine unwirkliche Weise»</w:t>
      </w:r>
      <w:r w:rsidR="00EC3ED7" w:rsidRPr="007707CF">
        <w:rPr>
          <w:rStyle w:val="Rimandonotaapidipagina"/>
          <w:rFonts w:ascii="Times New Roman" w:eastAsia="Times New Roman" w:hAnsi="Times New Roman" w:cs="Times New Roman"/>
          <w:color w:val="000000"/>
        </w:rPr>
        <w:footnoteReference w:id="147"/>
      </w:r>
      <w:r w:rsidR="00EC3ED7" w:rsidRPr="007707CF">
        <w:rPr>
          <w:rFonts w:ascii="Times New Roman" w:eastAsia="Times New Roman" w:hAnsi="Times New Roman" w:cs="Times New Roman"/>
          <w:color w:val="000000"/>
        </w:rPr>
        <w:t xml:space="preserve">. Cogliere la forma come </w:t>
      </w:r>
      <w:r w:rsidR="001B3F23" w:rsidRPr="007707CF">
        <w:rPr>
          <w:rFonts w:ascii="Times New Roman" w:eastAsia="Times New Roman" w:hAnsi="Times New Roman" w:cs="Times New Roman"/>
          <w:color w:val="000000"/>
        </w:rPr>
        <w:t>«</w:t>
      </w:r>
      <w:r w:rsidR="00EC3ED7" w:rsidRPr="007707CF">
        <w:rPr>
          <w:rFonts w:ascii="Times New Roman" w:eastAsia="Times New Roman" w:hAnsi="Times New Roman" w:cs="Times New Roman"/>
          <w:color w:val="000000"/>
        </w:rPr>
        <w:t>entwickelte For</w:t>
      </w:r>
      <w:r w:rsidR="001B3F23" w:rsidRPr="007707CF">
        <w:rPr>
          <w:rFonts w:ascii="Times New Roman" w:eastAsia="Times New Roman" w:hAnsi="Times New Roman" w:cs="Times New Roman"/>
          <w:color w:val="000000"/>
        </w:rPr>
        <w:t>m»</w:t>
      </w:r>
      <w:r w:rsidR="001B3F23" w:rsidRPr="007707CF">
        <w:rPr>
          <w:rStyle w:val="Rimandonotaapidipagina"/>
          <w:rFonts w:ascii="Times New Roman" w:eastAsia="Times New Roman" w:hAnsi="Times New Roman" w:cs="Times New Roman"/>
          <w:color w:val="000000"/>
        </w:rPr>
        <w:footnoteReference w:id="148"/>
      </w:r>
      <w:r w:rsidR="00EC3ED7" w:rsidRPr="007707CF">
        <w:rPr>
          <w:rFonts w:ascii="Times New Roman" w:eastAsia="Times New Roman" w:hAnsi="Times New Roman" w:cs="Times New Roman"/>
          <w:color w:val="000000"/>
        </w:rPr>
        <w:t xml:space="preserve"> significa</w:t>
      </w:r>
      <w:r w:rsidR="00EC3ED7" w:rsidRPr="00A93A46">
        <w:rPr>
          <w:rFonts w:ascii="Times New Roman" w:eastAsia="Times New Roman" w:hAnsi="Times New Roman" w:cs="Times New Roman"/>
          <w:color w:val="000000"/>
        </w:rPr>
        <w:t xml:space="preserve"> esprimere quella ricchezza </w:t>
      </w:r>
      <w:r w:rsidR="009140B3" w:rsidRPr="00A93A46">
        <w:rPr>
          <w:rFonts w:ascii="Times New Roman" w:eastAsia="Times New Roman" w:hAnsi="Times New Roman" w:cs="Times New Roman"/>
          <w:color w:val="000000"/>
        </w:rPr>
        <w:t xml:space="preserve">del </w:t>
      </w:r>
      <w:r w:rsidR="00981B5A" w:rsidRPr="00A93A46">
        <w:rPr>
          <w:rFonts w:ascii="Times New Roman" w:eastAsia="Times New Roman" w:hAnsi="Times New Roman" w:cs="Times New Roman"/>
          <w:color w:val="000000"/>
        </w:rPr>
        <w:t>contenuto che</w:t>
      </w:r>
      <w:r w:rsidR="002832D4" w:rsidRPr="00A93A46">
        <w:rPr>
          <w:rFonts w:ascii="Times New Roman" w:eastAsia="Times New Roman" w:hAnsi="Times New Roman" w:cs="Times New Roman"/>
          <w:color w:val="000000"/>
        </w:rPr>
        <w:t xml:space="preserve"> </w:t>
      </w:r>
      <w:r w:rsidR="00633D1B" w:rsidRPr="00A93A46">
        <w:rPr>
          <w:rFonts w:ascii="Times New Roman" w:eastAsia="Times New Roman" w:hAnsi="Times New Roman" w:cs="Times New Roman"/>
          <w:color w:val="000000"/>
        </w:rPr>
        <w:t>porta l’Assoluto</w:t>
      </w:r>
      <w:r w:rsidR="00EC3ED7" w:rsidRPr="00A93A46">
        <w:rPr>
          <w:rFonts w:ascii="Times New Roman" w:eastAsia="Times New Roman" w:hAnsi="Times New Roman" w:cs="Times New Roman"/>
          <w:color w:val="000000"/>
        </w:rPr>
        <w:t xml:space="preserve"> ad essere </w:t>
      </w:r>
      <w:r w:rsidR="00BD3FD5" w:rsidRPr="00A93A46">
        <w:rPr>
          <w:rFonts w:ascii="Times New Roman" w:eastAsia="Times New Roman" w:hAnsi="Times New Roman" w:cs="Times New Roman"/>
          <w:color w:val="000000"/>
        </w:rPr>
        <w:t>effettualità incondizionata</w:t>
      </w:r>
      <w:r w:rsidR="00FA6A19" w:rsidRPr="00A93A46">
        <w:rPr>
          <w:rFonts w:ascii="Times New Roman" w:eastAsia="Times New Roman" w:hAnsi="Times New Roman" w:cs="Times New Roman"/>
          <w:color w:val="000000"/>
        </w:rPr>
        <w:t xml:space="preserve">: </w:t>
      </w:r>
      <w:r w:rsidR="0063669A" w:rsidRPr="00A93A46">
        <w:rPr>
          <w:rFonts w:ascii="Times New Roman" w:eastAsia="Times New Roman" w:hAnsi="Times New Roman" w:cs="Times New Roman"/>
          <w:color w:val="000000"/>
        </w:rPr>
        <w:t>al dispiegame</w:t>
      </w:r>
      <w:r w:rsidR="009E2B98" w:rsidRPr="00A93A46">
        <w:rPr>
          <w:rFonts w:ascii="Times New Roman" w:eastAsia="Times New Roman" w:hAnsi="Times New Roman" w:cs="Times New Roman"/>
          <w:color w:val="000000"/>
        </w:rPr>
        <w:t>nto del contenuto</w:t>
      </w:r>
      <w:r w:rsidR="0063669A" w:rsidRPr="00A93A46">
        <w:rPr>
          <w:rFonts w:ascii="Times New Roman" w:eastAsia="Times New Roman" w:hAnsi="Times New Roman" w:cs="Times New Roman"/>
          <w:color w:val="000000"/>
        </w:rPr>
        <w:t>, che a partire da sé,</w:t>
      </w:r>
      <w:r w:rsidR="0033558E" w:rsidRPr="00A93A46">
        <w:rPr>
          <w:rFonts w:ascii="Times New Roman" w:eastAsia="Times New Roman" w:hAnsi="Times New Roman" w:cs="Times New Roman"/>
          <w:color w:val="000000"/>
        </w:rPr>
        <w:t xml:space="preserve"> non da </w:t>
      </w:r>
      <w:r w:rsidR="009E2B98" w:rsidRPr="00A93A46">
        <w:rPr>
          <w:rFonts w:ascii="Times New Roman" w:eastAsia="Times New Roman" w:hAnsi="Times New Roman" w:cs="Times New Roman"/>
          <w:color w:val="000000"/>
        </w:rPr>
        <w:t>altro</w:t>
      </w:r>
      <w:r w:rsidR="009E2B98" w:rsidRPr="00FE24E4">
        <w:rPr>
          <w:rFonts w:ascii="Times New Roman" w:eastAsia="Times New Roman" w:hAnsi="Times New Roman" w:cs="Times New Roman"/>
          <w:color w:val="000000"/>
        </w:rPr>
        <w:t>,</w:t>
      </w:r>
      <w:r w:rsidR="009140B3" w:rsidRPr="00FE24E4">
        <w:rPr>
          <w:rFonts w:ascii="Times New Roman" w:eastAsia="Times New Roman" w:hAnsi="Times New Roman" w:cs="Times New Roman"/>
          <w:color w:val="000000"/>
        </w:rPr>
        <w:t xml:space="preserve"> si</w:t>
      </w:r>
      <w:r w:rsidR="00F8191F" w:rsidRPr="00FE24E4">
        <w:rPr>
          <w:rFonts w:ascii="Times New Roman" w:eastAsia="Times New Roman" w:hAnsi="Times New Roman" w:cs="Times New Roman"/>
          <w:color w:val="000000"/>
        </w:rPr>
        <w:t xml:space="preserve"> concretizza</w:t>
      </w:r>
      <w:r w:rsidR="008E4FC7" w:rsidRPr="00FE24E4">
        <w:rPr>
          <w:rFonts w:ascii="Times New Roman" w:eastAsia="Times New Roman" w:hAnsi="Times New Roman" w:cs="Times New Roman"/>
          <w:color w:val="000000"/>
        </w:rPr>
        <w:t xml:space="preserve"> e determina</w:t>
      </w:r>
      <w:r w:rsidR="009E2B98" w:rsidRPr="00FE24E4">
        <w:rPr>
          <w:rFonts w:ascii="Times New Roman" w:eastAsia="Times New Roman" w:hAnsi="Times New Roman" w:cs="Times New Roman"/>
          <w:color w:val="000000"/>
        </w:rPr>
        <w:t>,</w:t>
      </w:r>
      <w:r w:rsidR="005D2478" w:rsidRPr="00FE24E4">
        <w:rPr>
          <w:rFonts w:ascii="Times New Roman" w:eastAsia="Times New Roman" w:hAnsi="Times New Roman" w:cs="Times New Roman"/>
          <w:color w:val="000000"/>
        </w:rPr>
        <w:t xml:space="preserve"> consegue una forma</w:t>
      </w:r>
      <w:r w:rsidR="008E4FC7" w:rsidRPr="00FE24E4">
        <w:rPr>
          <w:rFonts w:ascii="Times New Roman" w:eastAsia="Times New Roman" w:hAnsi="Times New Roman" w:cs="Times New Roman"/>
          <w:color w:val="000000"/>
        </w:rPr>
        <w:t xml:space="preserve"> </w:t>
      </w:r>
      <w:r w:rsidR="00EE1A6E" w:rsidRPr="00FE24E4">
        <w:rPr>
          <w:rFonts w:ascii="Times New Roman" w:eastAsia="Times New Roman" w:hAnsi="Times New Roman" w:cs="Times New Roman"/>
          <w:color w:val="000000"/>
        </w:rPr>
        <w:t xml:space="preserve">espositiva </w:t>
      </w:r>
      <w:r w:rsidR="008E4FC7" w:rsidRPr="00FE24E4">
        <w:rPr>
          <w:rFonts w:ascii="Times New Roman" w:eastAsia="Times New Roman" w:hAnsi="Times New Roman" w:cs="Times New Roman"/>
          <w:color w:val="000000"/>
        </w:rPr>
        <w:t>dell’</w:t>
      </w:r>
      <w:r w:rsidR="008E4FC7" w:rsidRPr="00FE24E4">
        <w:rPr>
          <w:rFonts w:ascii="Times New Roman" w:eastAsia="Times New Roman" w:hAnsi="Times New Roman" w:cs="Times New Roman"/>
          <w:i/>
          <w:color w:val="000000"/>
        </w:rPr>
        <w:t>Inhalt</w:t>
      </w:r>
      <w:r w:rsidR="008E4FC7" w:rsidRPr="00FE24E4">
        <w:rPr>
          <w:rFonts w:ascii="Times New Roman" w:eastAsia="Times New Roman" w:hAnsi="Times New Roman" w:cs="Times New Roman"/>
          <w:color w:val="000000"/>
        </w:rPr>
        <w:t xml:space="preserve"> </w:t>
      </w:r>
      <w:r w:rsidR="00F8191F" w:rsidRPr="00FE24E4">
        <w:rPr>
          <w:rFonts w:ascii="Times New Roman" w:eastAsia="Times New Roman" w:hAnsi="Times New Roman" w:cs="Times New Roman"/>
          <w:color w:val="000000"/>
        </w:rPr>
        <w:t>aderente al</w:t>
      </w:r>
      <w:r w:rsidR="009140B3" w:rsidRPr="00FE24E4">
        <w:rPr>
          <w:rFonts w:ascii="Times New Roman" w:eastAsia="Times New Roman" w:hAnsi="Times New Roman" w:cs="Times New Roman"/>
          <w:color w:val="000000"/>
        </w:rPr>
        <w:t xml:space="preserve">la </w:t>
      </w:r>
      <w:r w:rsidR="008E4FC7" w:rsidRPr="00FE24E4">
        <w:rPr>
          <w:rFonts w:ascii="Times New Roman" w:eastAsia="Times New Roman" w:hAnsi="Times New Roman" w:cs="Times New Roman"/>
          <w:color w:val="000000"/>
        </w:rPr>
        <w:t xml:space="preserve">sua </w:t>
      </w:r>
      <w:r w:rsidR="009140B3" w:rsidRPr="00FE24E4">
        <w:rPr>
          <w:rFonts w:ascii="Times New Roman" w:eastAsia="Times New Roman" w:hAnsi="Times New Roman" w:cs="Times New Roman"/>
          <w:color w:val="000000"/>
        </w:rPr>
        <w:t xml:space="preserve">processualità </w:t>
      </w:r>
      <w:r w:rsidR="009E2B98" w:rsidRPr="00FE24E4">
        <w:rPr>
          <w:rFonts w:ascii="Times New Roman" w:eastAsia="Times New Roman" w:hAnsi="Times New Roman" w:cs="Times New Roman"/>
          <w:color w:val="000000"/>
        </w:rPr>
        <w:t>priva di presupposti.</w:t>
      </w:r>
      <w:r w:rsidR="009E2B98" w:rsidRPr="00A93A46">
        <w:rPr>
          <w:rFonts w:ascii="Times New Roman" w:eastAsia="Times New Roman" w:hAnsi="Times New Roman" w:cs="Times New Roman"/>
          <w:color w:val="000000"/>
        </w:rPr>
        <w:t xml:space="preserve"> </w:t>
      </w:r>
      <w:r w:rsidR="009E2B98" w:rsidRPr="004F10D8">
        <w:rPr>
          <w:rFonts w:ascii="Times New Roman" w:eastAsia="Times New Roman" w:hAnsi="Times New Roman" w:cs="Times New Roman"/>
          <w:color w:val="000000"/>
        </w:rPr>
        <w:t>Quell</w:t>
      </w:r>
      <w:r w:rsidR="00981B5A" w:rsidRPr="004F10D8">
        <w:rPr>
          <w:rFonts w:ascii="Times New Roman" w:eastAsia="Times New Roman" w:hAnsi="Times New Roman" w:cs="Times New Roman"/>
          <w:color w:val="000000"/>
        </w:rPr>
        <w:t>a forma, che è</w:t>
      </w:r>
      <w:r w:rsidR="009140B3" w:rsidRPr="004F10D8">
        <w:rPr>
          <w:rFonts w:ascii="Times New Roman" w:eastAsia="Times New Roman" w:hAnsi="Times New Roman" w:cs="Times New Roman"/>
          <w:color w:val="000000"/>
        </w:rPr>
        <w:t xml:space="preserve"> oggetto delle ricerche </w:t>
      </w:r>
      <w:r w:rsidR="009E2B98" w:rsidRPr="004F10D8">
        <w:rPr>
          <w:rFonts w:ascii="Times New Roman" w:eastAsia="Times New Roman" w:hAnsi="Times New Roman" w:cs="Times New Roman"/>
          <w:color w:val="000000"/>
        </w:rPr>
        <w:t xml:space="preserve">hegeliane negli inediti jenesi e che </w:t>
      </w:r>
      <w:r w:rsidR="007506A2" w:rsidRPr="004F10D8">
        <w:rPr>
          <w:rFonts w:ascii="Times New Roman" w:eastAsia="Times New Roman" w:hAnsi="Times New Roman" w:cs="Times New Roman"/>
          <w:color w:val="000000"/>
        </w:rPr>
        <w:t xml:space="preserve">costituisce lo </w:t>
      </w:r>
      <w:r w:rsidR="00BA0250" w:rsidRPr="004F10D8">
        <w:rPr>
          <w:rFonts w:ascii="Times New Roman" w:eastAsia="Times New Roman" w:hAnsi="Times New Roman" w:cs="Times New Roman"/>
          <w:color w:val="000000"/>
        </w:rPr>
        <w:t xml:space="preserve">strumento </w:t>
      </w:r>
      <w:r w:rsidR="00BA0250" w:rsidRPr="007E216E">
        <w:rPr>
          <w:rFonts w:ascii="Times New Roman" w:eastAsia="Times New Roman" w:hAnsi="Times New Roman" w:cs="Times New Roman"/>
          <w:color w:val="000000"/>
        </w:rPr>
        <w:t>teorico</w:t>
      </w:r>
      <w:r w:rsidR="00B24686" w:rsidRPr="007E216E">
        <w:rPr>
          <w:rFonts w:ascii="Times New Roman" w:eastAsia="Times New Roman" w:hAnsi="Times New Roman" w:cs="Times New Roman"/>
          <w:color w:val="000000"/>
        </w:rPr>
        <w:t xml:space="preserve"> </w:t>
      </w:r>
      <w:r w:rsidR="000468ED" w:rsidRPr="007E216E">
        <w:rPr>
          <w:rFonts w:ascii="Times New Roman" w:eastAsia="Times New Roman" w:hAnsi="Times New Roman" w:cs="Times New Roman"/>
          <w:color w:val="000000"/>
        </w:rPr>
        <w:t>impiegato da</w:t>
      </w:r>
      <w:r w:rsidR="009E2B98" w:rsidRPr="007E216E">
        <w:rPr>
          <w:rFonts w:ascii="Times New Roman" w:eastAsia="Times New Roman" w:hAnsi="Times New Roman" w:cs="Times New Roman"/>
          <w:color w:val="000000"/>
        </w:rPr>
        <w:t xml:space="preserve">lla </w:t>
      </w:r>
      <w:r w:rsidR="009E2B98" w:rsidRPr="007E216E">
        <w:rPr>
          <w:rFonts w:ascii="Times New Roman" w:hAnsi="Times New Roman" w:cs="Times New Roman"/>
          <w:i/>
        </w:rPr>
        <w:t>Phänomenologie des Geistes</w:t>
      </w:r>
      <w:r w:rsidR="000468ED" w:rsidRPr="007E216E">
        <w:rPr>
          <w:rFonts w:ascii="Times New Roman" w:hAnsi="Times New Roman" w:cs="Times New Roman"/>
          <w:i/>
        </w:rPr>
        <w:t xml:space="preserve"> </w:t>
      </w:r>
      <w:r w:rsidR="000468ED" w:rsidRPr="007E216E">
        <w:rPr>
          <w:rFonts w:ascii="Times New Roman" w:hAnsi="Times New Roman" w:cs="Times New Roman"/>
        </w:rPr>
        <w:t>in poi</w:t>
      </w:r>
      <w:r w:rsidR="009E2B98" w:rsidRPr="007E216E">
        <w:rPr>
          <w:rFonts w:ascii="Times New Roman" w:hAnsi="Times New Roman" w:cs="Times New Roman"/>
        </w:rPr>
        <w:t>,</w:t>
      </w:r>
      <w:r w:rsidR="009E2B98" w:rsidRPr="007E216E">
        <w:rPr>
          <w:rFonts w:ascii="Times New Roman" w:eastAsia="Times New Roman" w:hAnsi="Times New Roman" w:cs="Times New Roman"/>
          <w:color w:val="000000"/>
        </w:rPr>
        <w:t xml:space="preserve"> è la </w:t>
      </w:r>
      <w:r w:rsidR="00A75E32" w:rsidRPr="007E216E">
        <w:rPr>
          <w:rFonts w:ascii="Times New Roman" w:eastAsia="Times New Roman" w:hAnsi="Times New Roman" w:cs="Times New Roman"/>
          <w:i/>
          <w:color w:val="000000"/>
        </w:rPr>
        <w:t>dialettica</w:t>
      </w:r>
      <w:r w:rsidR="005B4ED4" w:rsidRPr="007E216E">
        <w:rPr>
          <w:rFonts w:ascii="Times New Roman" w:eastAsia="Times New Roman" w:hAnsi="Times New Roman" w:cs="Times New Roman"/>
          <w:color w:val="000000"/>
        </w:rPr>
        <w:t xml:space="preserve">, ossia un </w:t>
      </w:r>
      <w:r w:rsidR="005B4ED4" w:rsidRPr="007E216E">
        <w:rPr>
          <w:rFonts w:ascii="Times New Roman" w:eastAsia="Times New Roman" w:hAnsi="Times New Roman" w:cs="Times New Roman"/>
          <w:i/>
          <w:color w:val="000000"/>
        </w:rPr>
        <w:t>metodo</w:t>
      </w:r>
      <w:r w:rsidR="005B4ED4" w:rsidRPr="007E216E">
        <w:rPr>
          <w:rFonts w:ascii="Times New Roman" w:eastAsia="Times New Roman" w:hAnsi="Times New Roman" w:cs="Times New Roman"/>
          <w:color w:val="000000"/>
        </w:rPr>
        <w:t>, non altro</w:t>
      </w:r>
      <w:r w:rsidR="009E2B98" w:rsidRPr="007E216E">
        <w:rPr>
          <w:rFonts w:ascii="Times New Roman" w:eastAsia="Times New Roman" w:hAnsi="Times New Roman" w:cs="Times New Roman"/>
          <w:color w:val="000000"/>
        </w:rPr>
        <w:t xml:space="preserve"> dal contenuto stesso</w:t>
      </w:r>
      <w:r w:rsidR="005D2478" w:rsidRPr="007E216E">
        <w:rPr>
          <w:rFonts w:ascii="Times New Roman" w:eastAsia="Times New Roman" w:hAnsi="Times New Roman" w:cs="Times New Roman"/>
          <w:color w:val="000000"/>
        </w:rPr>
        <w:t>, che</w:t>
      </w:r>
      <w:r w:rsidR="00060019" w:rsidRPr="007E216E">
        <w:rPr>
          <w:rFonts w:ascii="Times New Roman" w:eastAsia="Times New Roman" w:hAnsi="Times New Roman" w:cs="Times New Roman"/>
          <w:color w:val="000000"/>
        </w:rPr>
        <w:t xml:space="preserve"> coglie</w:t>
      </w:r>
      <w:r w:rsidR="008E4FC7" w:rsidRPr="007E216E">
        <w:rPr>
          <w:rFonts w:ascii="Times New Roman" w:eastAsia="Times New Roman" w:hAnsi="Times New Roman" w:cs="Times New Roman"/>
          <w:color w:val="000000"/>
        </w:rPr>
        <w:t xml:space="preserve"> ed esprime</w:t>
      </w:r>
      <w:r w:rsidR="00A75E32" w:rsidRPr="007E216E">
        <w:rPr>
          <w:rFonts w:ascii="Times New Roman" w:eastAsia="Times New Roman" w:hAnsi="Times New Roman" w:cs="Times New Roman"/>
          <w:color w:val="000000"/>
        </w:rPr>
        <w:t xml:space="preserve">, </w:t>
      </w:r>
      <w:r w:rsidR="00EB0755" w:rsidRPr="007E216E">
        <w:rPr>
          <w:rFonts w:ascii="Times New Roman" w:eastAsia="Times New Roman" w:hAnsi="Times New Roman" w:cs="Times New Roman"/>
          <w:color w:val="000000"/>
        </w:rPr>
        <w:t xml:space="preserve">grazie </w:t>
      </w:r>
      <w:r w:rsidR="00F7057C" w:rsidRPr="007E216E">
        <w:rPr>
          <w:rFonts w:ascii="Times New Roman" w:eastAsia="Times New Roman" w:hAnsi="Times New Roman" w:cs="Times New Roman"/>
          <w:color w:val="000000"/>
        </w:rPr>
        <w:t>all</w:t>
      </w:r>
      <w:r w:rsidR="0024250E">
        <w:rPr>
          <w:rFonts w:ascii="Times New Roman" w:eastAsia="Times New Roman" w:hAnsi="Times New Roman" w:cs="Times New Roman"/>
          <w:color w:val="000000"/>
        </w:rPr>
        <w:t xml:space="preserve">a natura autoreferenziale, </w:t>
      </w:r>
      <w:r w:rsidR="00AA4FDB" w:rsidRPr="007E216E">
        <w:rPr>
          <w:rFonts w:ascii="Times New Roman" w:eastAsia="Times New Roman" w:hAnsi="Times New Roman" w:cs="Times New Roman"/>
          <w:color w:val="000000"/>
        </w:rPr>
        <w:t>determinata</w:t>
      </w:r>
      <w:r w:rsidR="00F7057C" w:rsidRPr="007E216E">
        <w:rPr>
          <w:rFonts w:ascii="Times New Roman" w:eastAsia="Times New Roman" w:hAnsi="Times New Roman" w:cs="Times New Roman"/>
          <w:color w:val="000000"/>
        </w:rPr>
        <w:t xml:space="preserve"> </w:t>
      </w:r>
      <w:r w:rsidR="0024250E">
        <w:rPr>
          <w:rFonts w:ascii="Times New Roman" w:eastAsia="Times New Roman" w:hAnsi="Times New Roman" w:cs="Times New Roman"/>
          <w:color w:val="000000"/>
        </w:rPr>
        <w:t xml:space="preserve">e produttiva </w:t>
      </w:r>
      <w:r w:rsidR="00F7057C" w:rsidRPr="007E216E">
        <w:rPr>
          <w:rFonts w:ascii="Times New Roman" w:eastAsia="Times New Roman" w:hAnsi="Times New Roman" w:cs="Times New Roman"/>
          <w:color w:val="000000"/>
        </w:rPr>
        <w:t>della negazione</w:t>
      </w:r>
      <w:r w:rsidR="009E07D3" w:rsidRPr="007E216E">
        <w:rPr>
          <w:rFonts w:ascii="Times New Roman" w:eastAsia="Times New Roman" w:hAnsi="Times New Roman" w:cs="Times New Roman"/>
          <w:color w:val="000000"/>
        </w:rPr>
        <w:t>,</w:t>
      </w:r>
      <w:r w:rsidR="00981B5A" w:rsidRPr="007E216E">
        <w:rPr>
          <w:rFonts w:ascii="Times New Roman" w:eastAsia="Times New Roman" w:hAnsi="Times New Roman" w:cs="Times New Roman"/>
          <w:color w:val="000000"/>
        </w:rPr>
        <w:t xml:space="preserve"> l’I</w:t>
      </w:r>
      <w:r w:rsidR="008068ED" w:rsidRPr="007E216E">
        <w:rPr>
          <w:rFonts w:ascii="Times New Roman" w:eastAsia="Times New Roman" w:hAnsi="Times New Roman" w:cs="Times New Roman"/>
          <w:color w:val="000000"/>
        </w:rPr>
        <w:t>n</w:t>
      </w:r>
      <w:r w:rsidR="00981B5A" w:rsidRPr="007E216E">
        <w:rPr>
          <w:rFonts w:ascii="Times New Roman" w:eastAsia="Times New Roman" w:hAnsi="Times New Roman" w:cs="Times New Roman"/>
          <w:color w:val="000000"/>
        </w:rPr>
        <w:t>condizionato</w:t>
      </w:r>
      <w:r w:rsidR="009E2B98" w:rsidRPr="007E216E">
        <w:rPr>
          <w:rFonts w:ascii="Times New Roman" w:eastAsia="Times New Roman" w:hAnsi="Times New Roman" w:cs="Times New Roman"/>
          <w:color w:val="000000"/>
        </w:rPr>
        <w:t xml:space="preserve"> nel</w:t>
      </w:r>
      <w:r w:rsidR="004F10D8" w:rsidRPr="007E216E">
        <w:rPr>
          <w:rFonts w:ascii="Times New Roman" w:eastAsia="Times New Roman" w:hAnsi="Times New Roman" w:cs="Times New Roman"/>
          <w:color w:val="000000"/>
        </w:rPr>
        <w:t>la sua effettualità</w:t>
      </w:r>
      <w:r w:rsidR="005D2478" w:rsidRPr="007E216E">
        <w:rPr>
          <w:rFonts w:ascii="Times New Roman" w:eastAsia="Times New Roman" w:hAnsi="Times New Roman" w:cs="Times New Roman"/>
          <w:color w:val="000000"/>
        </w:rPr>
        <w:t>.</w:t>
      </w:r>
      <w:r w:rsidR="005D2478">
        <w:rPr>
          <w:rFonts w:ascii="Times New Roman" w:eastAsia="Times New Roman" w:hAnsi="Times New Roman" w:cs="Times New Roman"/>
          <w:color w:val="000000"/>
        </w:rPr>
        <w:t xml:space="preserve"> </w:t>
      </w:r>
    </w:p>
    <w:p w14:paraId="7C26B7C0" w14:textId="16E1A145" w:rsidR="00D36767" w:rsidRDefault="005D2478" w:rsidP="00B62ADD">
      <w:pPr>
        <w:spacing w:line="360" w:lineRule="auto"/>
        <w:ind w:firstLine="567"/>
        <w:jc w:val="both"/>
        <w:rPr>
          <w:rFonts w:ascii="Times New Roman" w:eastAsia="Times New Roman" w:hAnsi="Times New Roman" w:cs="Times New Roman"/>
          <w:color w:val="000000"/>
        </w:rPr>
      </w:pPr>
      <w:r w:rsidRPr="00F85B0C">
        <w:rPr>
          <w:rFonts w:ascii="Times New Roman" w:eastAsia="Times New Roman" w:hAnsi="Times New Roman" w:cs="Times New Roman"/>
          <w:color w:val="000000"/>
        </w:rPr>
        <w:t xml:space="preserve">Nel </w:t>
      </w:r>
      <w:r w:rsidR="001E44B7" w:rsidRPr="00F85B0C">
        <w:rPr>
          <w:rFonts w:ascii="Times New Roman" w:eastAsia="Times New Roman" w:hAnsi="Times New Roman" w:cs="Times New Roman"/>
          <w:color w:val="000000"/>
        </w:rPr>
        <w:t xml:space="preserve">dismettere </w:t>
      </w:r>
      <w:r w:rsidRPr="00F85B0C">
        <w:rPr>
          <w:rFonts w:ascii="Times New Roman" w:eastAsia="Times New Roman" w:hAnsi="Times New Roman" w:cs="Times New Roman"/>
          <w:color w:val="000000"/>
        </w:rPr>
        <w:t>una conoscenza intuitiva dell’</w:t>
      </w:r>
      <w:r w:rsidR="00981B5A" w:rsidRPr="00F85B0C">
        <w:rPr>
          <w:rFonts w:ascii="Times New Roman" w:eastAsia="Times New Roman" w:hAnsi="Times New Roman" w:cs="Times New Roman"/>
          <w:color w:val="000000"/>
        </w:rPr>
        <w:t>Assoluto</w:t>
      </w:r>
      <w:r w:rsidR="00361CFC" w:rsidRPr="00F85B0C">
        <w:rPr>
          <w:rFonts w:ascii="Times New Roman" w:eastAsia="Times New Roman" w:hAnsi="Times New Roman" w:cs="Times New Roman"/>
          <w:color w:val="000000"/>
        </w:rPr>
        <w:t>, Hegel non rinuncia</w:t>
      </w:r>
      <w:r w:rsidR="0084343B" w:rsidRPr="00F85B0C">
        <w:rPr>
          <w:rFonts w:ascii="Times New Roman" w:eastAsia="Times New Roman" w:hAnsi="Times New Roman" w:cs="Times New Roman"/>
          <w:color w:val="000000"/>
        </w:rPr>
        <w:t xml:space="preserve"> a</w:t>
      </w:r>
      <w:r w:rsidRPr="00F85B0C">
        <w:rPr>
          <w:rFonts w:ascii="Times New Roman" w:eastAsia="Times New Roman" w:hAnsi="Times New Roman" w:cs="Times New Roman"/>
          <w:color w:val="000000"/>
        </w:rPr>
        <w:t>ll’</w:t>
      </w:r>
      <w:r w:rsidRPr="00F85B0C">
        <w:rPr>
          <w:rFonts w:ascii="Times New Roman" w:eastAsia="Times New Roman" w:hAnsi="Times New Roman" w:cs="Times New Roman"/>
          <w:i/>
          <w:color w:val="000000"/>
        </w:rPr>
        <w:t>absolutes Nichts</w:t>
      </w:r>
      <w:r w:rsidRPr="00F85B0C">
        <w:rPr>
          <w:rFonts w:ascii="Times New Roman" w:eastAsia="Times New Roman" w:hAnsi="Times New Roman" w:cs="Times New Roman"/>
          <w:color w:val="000000"/>
        </w:rPr>
        <w:t xml:space="preserve">, che è </w:t>
      </w:r>
      <w:r w:rsidR="001667B2" w:rsidRPr="00F85B0C">
        <w:rPr>
          <w:rFonts w:ascii="Times New Roman" w:eastAsia="Times New Roman" w:hAnsi="Times New Roman" w:cs="Times New Roman"/>
          <w:i/>
          <w:color w:val="000000"/>
        </w:rPr>
        <w:t>absolute Affirmation</w:t>
      </w:r>
      <w:r w:rsidR="001667B2" w:rsidRPr="00F85B0C">
        <w:rPr>
          <w:rFonts w:ascii="Times New Roman" w:eastAsia="Times New Roman" w:hAnsi="Times New Roman" w:cs="Times New Roman"/>
          <w:color w:val="000000"/>
        </w:rPr>
        <w:t xml:space="preserve"> e </w:t>
      </w:r>
      <w:r w:rsidR="004229EA" w:rsidRPr="00F85B0C">
        <w:rPr>
          <w:rFonts w:ascii="Times New Roman" w:eastAsia="Times New Roman" w:hAnsi="Times New Roman" w:cs="Times New Roman"/>
          <w:i/>
          <w:color w:val="000000"/>
        </w:rPr>
        <w:t xml:space="preserve">Produzieren </w:t>
      </w:r>
      <w:r w:rsidR="001667B2" w:rsidRPr="00F85B0C">
        <w:rPr>
          <w:rFonts w:ascii="Times New Roman" w:eastAsia="Times New Roman" w:hAnsi="Times New Roman" w:cs="Times New Roman"/>
          <w:i/>
          <w:color w:val="000000"/>
        </w:rPr>
        <w:t xml:space="preserve">der </w:t>
      </w:r>
      <w:r w:rsidR="004229EA" w:rsidRPr="00F85B0C">
        <w:rPr>
          <w:rFonts w:ascii="Times New Roman" w:eastAsia="Times New Roman" w:hAnsi="Times New Roman" w:cs="Times New Roman"/>
          <w:i/>
          <w:color w:val="000000"/>
        </w:rPr>
        <w:t>Differenz</w:t>
      </w:r>
      <w:r w:rsidR="001667B2" w:rsidRPr="00F85B0C">
        <w:rPr>
          <w:rFonts w:ascii="Times New Roman" w:eastAsia="Times New Roman" w:hAnsi="Times New Roman" w:cs="Times New Roman"/>
          <w:color w:val="000000"/>
        </w:rPr>
        <w:t>, espresso</w:t>
      </w:r>
      <w:r w:rsidR="001667B2" w:rsidRPr="00F85B0C">
        <w:rPr>
          <w:rFonts w:ascii="Times New Roman" w:eastAsia="Times New Roman" w:hAnsi="Times New Roman" w:cs="Times New Roman"/>
          <w:i/>
          <w:color w:val="000000"/>
        </w:rPr>
        <w:t xml:space="preserve"> </w:t>
      </w:r>
      <w:r w:rsidR="001667B2" w:rsidRPr="00F85B0C">
        <w:rPr>
          <w:rFonts w:ascii="Times New Roman" w:eastAsia="Times New Roman" w:hAnsi="Times New Roman" w:cs="Times New Roman"/>
          <w:color w:val="000000"/>
        </w:rPr>
        <w:t>dall’</w:t>
      </w:r>
      <w:r w:rsidRPr="00F85B0C">
        <w:rPr>
          <w:rFonts w:ascii="Times New Roman" w:eastAsia="Times New Roman" w:hAnsi="Times New Roman" w:cs="Times New Roman"/>
          <w:i/>
          <w:color w:val="000000"/>
        </w:rPr>
        <w:t xml:space="preserve">infinitum actu </w:t>
      </w:r>
      <w:r w:rsidR="001667B2" w:rsidRPr="00F85B0C">
        <w:rPr>
          <w:rFonts w:ascii="Times New Roman" w:eastAsia="Times New Roman" w:hAnsi="Times New Roman" w:cs="Times New Roman"/>
          <w:color w:val="000000"/>
        </w:rPr>
        <w:t xml:space="preserve">di Spinoza. Al contrario, </w:t>
      </w:r>
      <w:r w:rsidR="009140B3" w:rsidRPr="00F85B0C">
        <w:rPr>
          <w:rFonts w:ascii="Times New Roman" w:eastAsia="Times New Roman" w:hAnsi="Times New Roman" w:cs="Times New Roman"/>
          <w:color w:val="000000"/>
        </w:rPr>
        <w:t>rigettata</w:t>
      </w:r>
      <w:r w:rsidR="001667B2" w:rsidRPr="00F85B0C">
        <w:rPr>
          <w:rFonts w:ascii="Times New Roman" w:eastAsia="Times New Roman" w:hAnsi="Times New Roman" w:cs="Times New Roman"/>
          <w:color w:val="000000"/>
        </w:rPr>
        <w:t xml:space="preserve"> </w:t>
      </w:r>
      <w:r w:rsidR="009140B3" w:rsidRPr="00F85B0C">
        <w:rPr>
          <w:rFonts w:ascii="Times New Roman" w:eastAsia="Times New Roman" w:hAnsi="Times New Roman" w:cs="Times New Roman"/>
          <w:color w:val="000000"/>
        </w:rPr>
        <w:t>la conoscenza intuitiva</w:t>
      </w:r>
      <w:r w:rsidR="001667B2" w:rsidRPr="00F85B0C">
        <w:rPr>
          <w:rFonts w:ascii="Times New Roman" w:eastAsia="Times New Roman" w:hAnsi="Times New Roman" w:cs="Times New Roman"/>
          <w:color w:val="000000"/>
        </w:rPr>
        <w:t xml:space="preserve"> dell’</w:t>
      </w:r>
      <w:r w:rsidR="001667B2" w:rsidRPr="00F85B0C">
        <w:rPr>
          <w:rFonts w:ascii="Times New Roman" w:eastAsia="Times New Roman" w:hAnsi="Times New Roman" w:cs="Times New Roman"/>
          <w:i/>
          <w:color w:val="000000"/>
        </w:rPr>
        <w:t>Unendlichkeit</w:t>
      </w:r>
      <w:r w:rsidR="00CE5E04" w:rsidRPr="00F85B0C">
        <w:rPr>
          <w:rFonts w:ascii="Times New Roman" w:eastAsia="Times New Roman" w:hAnsi="Times New Roman" w:cs="Times New Roman"/>
          <w:color w:val="000000"/>
        </w:rPr>
        <w:t>,</w:t>
      </w:r>
      <w:r w:rsidR="00361CFC" w:rsidRPr="00F85B0C">
        <w:rPr>
          <w:rFonts w:ascii="Times New Roman" w:eastAsia="Times New Roman" w:hAnsi="Times New Roman" w:cs="Times New Roman"/>
          <w:color w:val="000000"/>
        </w:rPr>
        <w:t xml:space="preserve"> Hegel si sforza</w:t>
      </w:r>
      <w:r w:rsidR="009140B3" w:rsidRPr="00F85B0C">
        <w:rPr>
          <w:rFonts w:ascii="Times New Roman" w:eastAsia="Times New Roman" w:hAnsi="Times New Roman" w:cs="Times New Roman"/>
          <w:color w:val="000000"/>
        </w:rPr>
        <w:t xml:space="preserve"> di mantenere que</w:t>
      </w:r>
      <w:r w:rsidR="002D31BA" w:rsidRPr="00F85B0C">
        <w:rPr>
          <w:rFonts w:ascii="Times New Roman" w:eastAsia="Times New Roman" w:hAnsi="Times New Roman" w:cs="Times New Roman"/>
          <w:color w:val="000000"/>
        </w:rPr>
        <w:t>l nucleo speculativo dello spino</w:t>
      </w:r>
      <w:r w:rsidR="0033558E" w:rsidRPr="00F85B0C">
        <w:rPr>
          <w:rFonts w:ascii="Times New Roman" w:eastAsia="Times New Roman" w:hAnsi="Times New Roman" w:cs="Times New Roman"/>
          <w:color w:val="000000"/>
        </w:rPr>
        <w:t>zismo</w:t>
      </w:r>
      <w:r w:rsidR="009140B3" w:rsidRPr="00F85B0C">
        <w:rPr>
          <w:rFonts w:ascii="Times New Roman" w:eastAsia="Times New Roman" w:hAnsi="Times New Roman" w:cs="Times New Roman"/>
          <w:color w:val="000000"/>
        </w:rPr>
        <w:t xml:space="preserve"> innescandovi</w:t>
      </w:r>
      <w:r w:rsidR="00BF3EDE" w:rsidRPr="00F85B0C">
        <w:rPr>
          <w:rFonts w:ascii="Times New Roman" w:eastAsia="Times New Roman" w:hAnsi="Times New Roman" w:cs="Times New Roman"/>
          <w:color w:val="000000"/>
        </w:rPr>
        <w:t xml:space="preserve">, </w:t>
      </w:r>
      <w:r w:rsidR="001409B6" w:rsidRPr="00F85B0C">
        <w:rPr>
          <w:rFonts w:ascii="Times New Roman" w:eastAsia="Times New Roman" w:hAnsi="Times New Roman" w:cs="Times New Roman"/>
          <w:color w:val="000000"/>
        </w:rPr>
        <w:t>al contempo</w:t>
      </w:r>
      <w:r w:rsidR="00BF3EDE" w:rsidRPr="00F85B0C">
        <w:rPr>
          <w:rFonts w:ascii="Times New Roman" w:eastAsia="Times New Roman" w:hAnsi="Times New Roman" w:cs="Times New Roman"/>
          <w:color w:val="000000"/>
        </w:rPr>
        <w:t>,</w:t>
      </w:r>
      <w:r w:rsidR="009140B3" w:rsidRPr="0097536A">
        <w:rPr>
          <w:rFonts w:ascii="Times New Roman" w:eastAsia="Times New Roman" w:hAnsi="Times New Roman" w:cs="Times New Roman"/>
          <w:color w:val="000000"/>
        </w:rPr>
        <w:t xml:space="preserve"> </w:t>
      </w:r>
      <w:r w:rsidR="001667B2" w:rsidRPr="0097536A">
        <w:rPr>
          <w:rFonts w:ascii="Times New Roman" w:eastAsia="Times New Roman" w:hAnsi="Times New Roman" w:cs="Times New Roman"/>
          <w:color w:val="000000"/>
        </w:rPr>
        <w:t xml:space="preserve">un movimento </w:t>
      </w:r>
      <w:r w:rsidR="002D31BA" w:rsidRPr="0097536A">
        <w:rPr>
          <w:rFonts w:ascii="Times New Roman" w:eastAsia="Times New Roman" w:hAnsi="Times New Roman" w:cs="Times New Roman"/>
          <w:color w:val="000000"/>
        </w:rPr>
        <w:t>che trovi la sua origine al</w:t>
      </w:r>
      <w:r w:rsidR="00BF3EDE" w:rsidRPr="0097536A">
        <w:rPr>
          <w:rFonts w:ascii="Times New Roman" w:eastAsia="Times New Roman" w:hAnsi="Times New Roman" w:cs="Times New Roman"/>
          <w:color w:val="000000"/>
        </w:rPr>
        <w:t>l’interno del contenuto stesso</w:t>
      </w:r>
      <w:r w:rsidR="001667B2" w:rsidRPr="0097536A">
        <w:rPr>
          <w:rFonts w:ascii="Times New Roman" w:eastAsia="Times New Roman" w:hAnsi="Times New Roman" w:cs="Times New Roman"/>
          <w:color w:val="000000"/>
        </w:rPr>
        <w:t>.</w:t>
      </w:r>
      <w:r w:rsidR="00C51AEE" w:rsidRPr="0097536A">
        <w:rPr>
          <w:rFonts w:ascii="Times New Roman" w:eastAsia="Times New Roman" w:hAnsi="Times New Roman" w:cs="Times New Roman"/>
          <w:color w:val="000000"/>
        </w:rPr>
        <w:t xml:space="preserve"> Nei contributi successivi all’attività editoriale e pubblicistica del </w:t>
      </w:r>
      <w:r w:rsidR="00C51AEE" w:rsidRPr="0097536A">
        <w:rPr>
          <w:rFonts w:ascii="Times New Roman" w:eastAsia="Times New Roman" w:hAnsi="Times New Roman" w:cs="Times New Roman"/>
          <w:i/>
          <w:color w:val="000000"/>
        </w:rPr>
        <w:t>Kritisches Journal der Philosophie</w:t>
      </w:r>
      <w:r w:rsidR="002D31BA" w:rsidRPr="0097536A">
        <w:rPr>
          <w:rFonts w:ascii="Times New Roman" w:eastAsia="Times New Roman" w:hAnsi="Times New Roman" w:cs="Times New Roman"/>
          <w:color w:val="000000"/>
        </w:rPr>
        <w:t>,</w:t>
      </w:r>
      <w:r w:rsidR="00361CFC" w:rsidRPr="0097536A">
        <w:rPr>
          <w:rFonts w:ascii="Times New Roman" w:eastAsia="Times New Roman" w:hAnsi="Times New Roman" w:cs="Times New Roman"/>
          <w:color w:val="000000"/>
        </w:rPr>
        <w:t xml:space="preserve"> </w:t>
      </w:r>
      <w:r w:rsidR="00C51AEE" w:rsidRPr="0097536A">
        <w:rPr>
          <w:rFonts w:ascii="Times New Roman" w:eastAsia="Times New Roman" w:hAnsi="Times New Roman" w:cs="Times New Roman"/>
          <w:color w:val="000000"/>
        </w:rPr>
        <w:t xml:space="preserve">sarà proprio </w:t>
      </w:r>
      <w:r w:rsidR="002D31BA" w:rsidRPr="0097536A">
        <w:rPr>
          <w:rFonts w:ascii="Times New Roman" w:eastAsia="Times New Roman" w:hAnsi="Times New Roman" w:cs="Times New Roman"/>
          <w:color w:val="000000"/>
        </w:rPr>
        <w:t>l</w:t>
      </w:r>
      <w:r w:rsidR="00691A6B" w:rsidRPr="0097536A">
        <w:rPr>
          <w:rFonts w:ascii="Times New Roman" w:eastAsia="Times New Roman" w:hAnsi="Times New Roman" w:cs="Times New Roman"/>
          <w:color w:val="000000"/>
        </w:rPr>
        <w:t>’elaborazione</w:t>
      </w:r>
      <w:r w:rsidR="00C51AEE" w:rsidRPr="0097536A">
        <w:rPr>
          <w:rFonts w:ascii="Times New Roman" w:eastAsia="Times New Roman" w:hAnsi="Times New Roman" w:cs="Times New Roman"/>
          <w:color w:val="000000"/>
        </w:rPr>
        <w:t xml:space="preserve"> hegeliana della</w:t>
      </w:r>
      <w:r w:rsidR="001667B2" w:rsidRPr="0097536A">
        <w:rPr>
          <w:rFonts w:ascii="Times New Roman" w:eastAsia="Times New Roman" w:hAnsi="Times New Roman" w:cs="Times New Roman"/>
          <w:color w:val="000000"/>
        </w:rPr>
        <w:t xml:space="preserve"> </w:t>
      </w:r>
      <w:r w:rsidR="002D31BA" w:rsidRPr="0097536A">
        <w:rPr>
          <w:rFonts w:ascii="Times New Roman" w:eastAsia="Times New Roman" w:hAnsi="Times New Roman" w:cs="Times New Roman"/>
          <w:color w:val="000000"/>
        </w:rPr>
        <w:t>teoria dell</w:t>
      </w:r>
      <w:r w:rsidR="00C51AEE" w:rsidRPr="0097536A">
        <w:rPr>
          <w:rFonts w:ascii="Times New Roman" w:eastAsia="Times New Roman" w:hAnsi="Times New Roman" w:cs="Times New Roman"/>
          <w:color w:val="000000"/>
        </w:rPr>
        <w:t>’</w:t>
      </w:r>
      <w:r w:rsidR="00162EFB" w:rsidRPr="0097536A">
        <w:rPr>
          <w:rFonts w:ascii="Times New Roman" w:eastAsia="Times New Roman" w:hAnsi="Times New Roman" w:cs="Times New Roman"/>
          <w:i/>
          <w:color w:val="000000"/>
        </w:rPr>
        <w:t>absolute Negativität</w:t>
      </w:r>
      <w:r w:rsidR="00361CFC" w:rsidRPr="0097536A">
        <w:rPr>
          <w:rFonts w:ascii="Times New Roman" w:eastAsia="Times New Roman" w:hAnsi="Times New Roman" w:cs="Times New Roman"/>
          <w:color w:val="000000"/>
        </w:rPr>
        <w:t xml:space="preserve"> </w:t>
      </w:r>
      <w:r w:rsidR="00C51AEE" w:rsidRPr="0097536A">
        <w:rPr>
          <w:rFonts w:ascii="Times New Roman" w:eastAsia="Times New Roman" w:hAnsi="Times New Roman" w:cs="Times New Roman"/>
          <w:color w:val="000000"/>
        </w:rPr>
        <w:t xml:space="preserve">a favorire un superamento di </w:t>
      </w:r>
      <w:r w:rsidR="009140B3" w:rsidRPr="0097536A">
        <w:rPr>
          <w:rFonts w:ascii="Times New Roman" w:eastAsia="Times New Roman" w:hAnsi="Times New Roman" w:cs="Times New Roman"/>
          <w:color w:val="000000"/>
        </w:rPr>
        <w:t xml:space="preserve">quell’aporia della forma </w:t>
      </w:r>
      <w:r w:rsidR="00221DC4" w:rsidRPr="0097536A">
        <w:rPr>
          <w:rFonts w:ascii="Times New Roman" w:eastAsia="Times New Roman" w:hAnsi="Times New Roman" w:cs="Times New Roman"/>
          <w:color w:val="000000"/>
        </w:rPr>
        <w:t>esibita da</w:t>
      </w:r>
      <w:r w:rsidR="004F10D8" w:rsidRPr="0097536A">
        <w:rPr>
          <w:rFonts w:ascii="Times New Roman" w:eastAsia="Times New Roman" w:hAnsi="Times New Roman" w:cs="Times New Roman"/>
          <w:color w:val="000000"/>
        </w:rPr>
        <w:t>llo spinozismo</w:t>
      </w:r>
      <w:r w:rsidR="009140B3" w:rsidRPr="0097536A">
        <w:rPr>
          <w:rFonts w:ascii="Times New Roman" w:eastAsia="Times New Roman" w:hAnsi="Times New Roman" w:cs="Times New Roman"/>
          <w:color w:val="000000"/>
        </w:rPr>
        <w:t xml:space="preserve"> </w:t>
      </w:r>
      <w:r w:rsidR="00221DC4" w:rsidRPr="0097536A">
        <w:rPr>
          <w:rFonts w:ascii="Times New Roman" w:eastAsia="Times New Roman" w:hAnsi="Times New Roman" w:cs="Times New Roman"/>
          <w:color w:val="000000"/>
        </w:rPr>
        <w:t xml:space="preserve">e mutuata anche </w:t>
      </w:r>
      <w:r w:rsidR="009140B3" w:rsidRPr="0097536A">
        <w:rPr>
          <w:rFonts w:ascii="Times New Roman" w:eastAsia="Times New Roman" w:hAnsi="Times New Roman" w:cs="Times New Roman"/>
          <w:color w:val="000000"/>
        </w:rPr>
        <w:t>dalla</w:t>
      </w:r>
      <w:r w:rsidR="00C51AEE" w:rsidRPr="0097536A">
        <w:rPr>
          <w:rFonts w:ascii="Times New Roman" w:eastAsia="Times New Roman" w:hAnsi="Times New Roman" w:cs="Times New Roman"/>
          <w:color w:val="000000"/>
        </w:rPr>
        <w:t xml:space="preserve"> </w:t>
      </w:r>
      <w:r w:rsidR="009140B3" w:rsidRPr="0097536A">
        <w:rPr>
          <w:rFonts w:ascii="Times New Roman" w:eastAsia="Times New Roman" w:hAnsi="Times New Roman" w:cs="Times New Roman"/>
          <w:i/>
          <w:color w:val="000000"/>
        </w:rPr>
        <w:t>Identität</w:t>
      </w:r>
      <w:r w:rsidR="004B3598">
        <w:rPr>
          <w:rFonts w:ascii="Times New Roman" w:eastAsia="Times New Roman" w:hAnsi="Times New Roman" w:cs="Times New Roman"/>
          <w:i/>
          <w:color w:val="000000"/>
        </w:rPr>
        <w:t>s</w:t>
      </w:r>
      <w:r w:rsidR="009140B3" w:rsidRPr="0097536A">
        <w:rPr>
          <w:rFonts w:ascii="Times New Roman" w:eastAsia="Times New Roman" w:hAnsi="Times New Roman" w:cs="Times New Roman"/>
          <w:i/>
          <w:color w:val="000000"/>
        </w:rPr>
        <w:t>philosophie</w:t>
      </w:r>
      <w:r w:rsidR="00221DC4" w:rsidRPr="0097536A">
        <w:rPr>
          <w:rFonts w:ascii="Times New Roman" w:eastAsia="Times New Roman" w:hAnsi="Times New Roman" w:cs="Times New Roman"/>
          <w:color w:val="000000"/>
        </w:rPr>
        <w:t xml:space="preserve"> schellinghiana.</w:t>
      </w:r>
      <w:r w:rsidR="001667B2" w:rsidRPr="00A93A46">
        <w:rPr>
          <w:rFonts w:ascii="Times New Roman" w:eastAsia="Times New Roman" w:hAnsi="Times New Roman" w:cs="Times New Roman"/>
          <w:color w:val="000000"/>
        </w:rPr>
        <w:t xml:space="preserve"> </w:t>
      </w:r>
      <w:r w:rsidR="00221DC4" w:rsidRPr="0097536A">
        <w:rPr>
          <w:rFonts w:ascii="Times New Roman" w:eastAsia="Times New Roman" w:hAnsi="Times New Roman" w:cs="Times New Roman"/>
          <w:color w:val="000000"/>
        </w:rPr>
        <w:t>A</w:t>
      </w:r>
      <w:r w:rsidR="00E036AB" w:rsidRPr="0097536A">
        <w:rPr>
          <w:rFonts w:ascii="Times New Roman" w:eastAsia="Times New Roman" w:hAnsi="Times New Roman" w:cs="Times New Roman"/>
          <w:color w:val="000000"/>
        </w:rPr>
        <w:t xml:space="preserve"> </w:t>
      </w:r>
      <w:r w:rsidR="00691A6B" w:rsidRPr="0097536A">
        <w:rPr>
          <w:rFonts w:ascii="Times New Roman" w:eastAsia="Times New Roman" w:hAnsi="Times New Roman" w:cs="Times New Roman"/>
          <w:color w:val="000000"/>
        </w:rPr>
        <w:t xml:space="preserve">seguito del </w:t>
      </w:r>
      <w:r w:rsidR="00B62ADD" w:rsidRPr="0097536A">
        <w:rPr>
          <w:rFonts w:ascii="Times New Roman" w:eastAsia="Times New Roman" w:hAnsi="Times New Roman" w:cs="Times New Roman"/>
          <w:color w:val="000000"/>
        </w:rPr>
        <w:t>ric</w:t>
      </w:r>
      <w:r w:rsidR="004229EA" w:rsidRPr="0097536A">
        <w:rPr>
          <w:rFonts w:ascii="Times New Roman" w:eastAsia="Times New Roman" w:hAnsi="Times New Roman" w:cs="Times New Roman"/>
          <w:color w:val="000000"/>
        </w:rPr>
        <w:t xml:space="preserve">oniscimento di </w:t>
      </w:r>
      <w:r w:rsidR="00901C79" w:rsidRPr="0097536A">
        <w:rPr>
          <w:rFonts w:ascii="Times New Roman" w:eastAsia="Times New Roman" w:hAnsi="Times New Roman" w:cs="Times New Roman"/>
          <w:color w:val="000000"/>
        </w:rPr>
        <w:t>quest</w:t>
      </w:r>
      <w:r w:rsidR="00F374F8" w:rsidRPr="0097536A">
        <w:rPr>
          <w:rFonts w:ascii="Times New Roman" w:eastAsia="Times New Roman" w:hAnsi="Times New Roman" w:cs="Times New Roman"/>
          <w:color w:val="000000"/>
        </w:rPr>
        <w:t xml:space="preserve">’aporia </w:t>
      </w:r>
      <w:r w:rsidR="00F374F8" w:rsidRPr="000302B7">
        <w:rPr>
          <w:rFonts w:ascii="Times New Roman" w:eastAsia="Times New Roman" w:hAnsi="Times New Roman" w:cs="Times New Roman"/>
          <w:color w:val="000000"/>
        </w:rPr>
        <w:t>formale</w:t>
      </w:r>
      <w:r w:rsidR="002676BE" w:rsidRPr="000302B7">
        <w:rPr>
          <w:rFonts w:ascii="Times New Roman" w:eastAsia="Times New Roman" w:hAnsi="Times New Roman" w:cs="Times New Roman"/>
          <w:color w:val="000000"/>
        </w:rPr>
        <w:t>,</w:t>
      </w:r>
      <w:r w:rsidR="00E036AB" w:rsidRPr="000302B7">
        <w:rPr>
          <w:rFonts w:ascii="Times New Roman" w:eastAsia="Times New Roman" w:hAnsi="Times New Roman" w:cs="Times New Roman"/>
          <w:color w:val="000000"/>
        </w:rPr>
        <w:t xml:space="preserve"> </w:t>
      </w:r>
      <w:r w:rsidR="002676BE" w:rsidRPr="000302B7">
        <w:rPr>
          <w:rFonts w:ascii="Times New Roman" w:eastAsia="Times New Roman" w:hAnsi="Times New Roman" w:cs="Times New Roman"/>
          <w:color w:val="000000"/>
        </w:rPr>
        <w:t>seguirà</w:t>
      </w:r>
      <w:r w:rsidR="00901C79" w:rsidRPr="000302B7">
        <w:rPr>
          <w:rFonts w:ascii="Times New Roman" w:eastAsia="Times New Roman" w:hAnsi="Times New Roman" w:cs="Times New Roman"/>
          <w:color w:val="000000"/>
        </w:rPr>
        <w:t xml:space="preserve"> </w:t>
      </w:r>
      <w:r w:rsidR="00162EFB" w:rsidRPr="000302B7">
        <w:rPr>
          <w:rFonts w:ascii="Times New Roman" w:eastAsia="Times New Roman" w:hAnsi="Times New Roman" w:cs="Times New Roman"/>
          <w:color w:val="000000"/>
        </w:rPr>
        <w:t>una rivalutazione complessiva</w:t>
      </w:r>
      <w:r w:rsidR="00221DC4" w:rsidRPr="000302B7">
        <w:rPr>
          <w:rFonts w:ascii="Times New Roman" w:eastAsia="Times New Roman" w:hAnsi="Times New Roman" w:cs="Times New Roman"/>
          <w:color w:val="000000"/>
        </w:rPr>
        <w:t xml:space="preserve"> della portata speculativa dell’opera di Spinoza</w:t>
      </w:r>
      <w:r w:rsidR="005435AC" w:rsidRPr="000302B7">
        <w:rPr>
          <w:rFonts w:ascii="Times New Roman" w:eastAsia="Times New Roman" w:hAnsi="Times New Roman" w:cs="Times New Roman"/>
          <w:color w:val="000000"/>
        </w:rPr>
        <w:t xml:space="preserve">: tenuta </w:t>
      </w:r>
      <w:r w:rsidR="00B62ADD" w:rsidRPr="000302B7">
        <w:rPr>
          <w:rFonts w:ascii="Times New Roman" w:eastAsia="Times New Roman" w:hAnsi="Times New Roman" w:cs="Times New Roman"/>
          <w:color w:val="000000"/>
        </w:rPr>
        <w:t xml:space="preserve">ferma </w:t>
      </w:r>
      <w:r w:rsidR="005435AC" w:rsidRPr="000302B7">
        <w:rPr>
          <w:rFonts w:ascii="Times New Roman" w:eastAsia="Times New Roman" w:hAnsi="Times New Roman" w:cs="Times New Roman"/>
          <w:color w:val="000000"/>
        </w:rPr>
        <w:t xml:space="preserve">la liberazione </w:t>
      </w:r>
      <w:r w:rsidR="00125764" w:rsidRPr="000302B7">
        <w:rPr>
          <w:rFonts w:ascii="Times New Roman" w:eastAsia="Times New Roman" w:hAnsi="Times New Roman" w:cs="Times New Roman"/>
          <w:color w:val="000000"/>
        </w:rPr>
        <w:t>dall’intellettualismo (</w:t>
      </w:r>
      <w:r w:rsidR="00125764" w:rsidRPr="000302B7">
        <w:rPr>
          <w:rFonts w:ascii="Times New Roman" w:eastAsia="Times New Roman" w:hAnsi="Times New Roman" w:cs="Times New Roman"/>
          <w:i/>
          <w:color w:val="000000"/>
        </w:rPr>
        <w:t>Reflexionsphilosophie</w:t>
      </w:r>
      <w:r w:rsidR="00125764" w:rsidRPr="000302B7">
        <w:rPr>
          <w:rFonts w:ascii="Times New Roman" w:eastAsia="Times New Roman" w:hAnsi="Times New Roman" w:cs="Times New Roman"/>
          <w:color w:val="000000"/>
        </w:rPr>
        <w:t xml:space="preserve">) </w:t>
      </w:r>
      <w:r w:rsidR="00B62ADD" w:rsidRPr="000302B7">
        <w:rPr>
          <w:rFonts w:ascii="Times New Roman" w:eastAsia="Times New Roman" w:hAnsi="Times New Roman" w:cs="Times New Roman"/>
          <w:color w:val="000000"/>
        </w:rPr>
        <w:t>insita ne</w:t>
      </w:r>
      <w:r w:rsidR="00162EFB" w:rsidRPr="000302B7">
        <w:rPr>
          <w:rFonts w:ascii="Times New Roman" w:eastAsia="Times New Roman" w:hAnsi="Times New Roman" w:cs="Times New Roman"/>
          <w:color w:val="000000"/>
        </w:rPr>
        <w:t>l</w:t>
      </w:r>
      <w:r w:rsidR="00125764" w:rsidRPr="000302B7">
        <w:rPr>
          <w:rFonts w:ascii="Times New Roman" w:eastAsia="Times New Roman" w:hAnsi="Times New Roman" w:cs="Times New Roman"/>
          <w:color w:val="000000"/>
        </w:rPr>
        <w:t>lo spinozismo</w:t>
      </w:r>
      <w:r w:rsidR="00CE5E04" w:rsidRPr="000302B7">
        <w:rPr>
          <w:rFonts w:ascii="Times New Roman" w:eastAsia="Times New Roman" w:hAnsi="Times New Roman" w:cs="Times New Roman"/>
          <w:color w:val="000000"/>
        </w:rPr>
        <w:t>,</w:t>
      </w:r>
      <w:r w:rsidR="00CE5E04" w:rsidRPr="0097536A">
        <w:rPr>
          <w:rFonts w:ascii="Times New Roman" w:eastAsia="Times New Roman" w:hAnsi="Times New Roman" w:cs="Times New Roman"/>
          <w:color w:val="000000"/>
        </w:rPr>
        <w:t xml:space="preserve"> </w:t>
      </w:r>
      <w:r w:rsidR="00F1465F" w:rsidRPr="0097536A">
        <w:rPr>
          <w:rFonts w:ascii="Times New Roman" w:eastAsia="Times New Roman" w:hAnsi="Times New Roman" w:cs="Times New Roman"/>
          <w:color w:val="000000"/>
        </w:rPr>
        <w:t>Hegel fa</w:t>
      </w:r>
      <w:r w:rsidR="005D1659" w:rsidRPr="0097536A">
        <w:rPr>
          <w:rFonts w:ascii="Times New Roman" w:eastAsia="Times New Roman" w:hAnsi="Times New Roman" w:cs="Times New Roman"/>
          <w:color w:val="000000"/>
        </w:rPr>
        <w:t>rà</w:t>
      </w:r>
      <w:r w:rsidR="00596FF4" w:rsidRPr="0097536A">
        <w:rPr>
          <w:rFonts w:ascii="Times New Roman" w:eastAsia="Times New Roman" w:hAnsi="Times New Roman" w:cs="Times New Roman"/>
          <w:color w:val="000000"/>
        </w:rPr>
        <w:t xml:space="preserve"> slittare l</w:t>
      </w:r>
      <w:r w:rsidR="00B62ADD" w:rsidRPr="0097536A">
        <w:rPr>
          <w:rFonts w:ascii="Times New Roman" w:eastAsia="Times New Roman" w:hAnsi="Times New Roman" w:cs="Times New Roman"/>
          <w:color w:val="000000"/>
        </w:rPr>
        <w:t>’ontologia</w:t>
      </w:r>
      <w:r w:rsidR="00596FF4" w:rsidRPr="0097536A">
        <w:rPr>
          <w:rFonts w:ascii="Times New Roman" w:eastAsia="Times New Roman" w:hAnsi="Times New Roman" w:cs="Times New Roman"/>
          <w:color w:val="000000"/>
        </w:rPr>
        <w:t xml:space="preserve"> </w:t>
      </w:r>
      <w:r w:rsidR="00221DC4" w:rsidRPr="0097536A">
        <w:rPr>
          <w:rFonts w:ascii="Times New Roman" w:eastAsia="Times New Roman" w:hAnsi="Times New Roman" w:cs="Times New Roman"/>
          <w:color w:val="000000"/>
        </w:rPr>
        <w:t xml:space="preserve">del </w:t>
      </w:r>
      <w:r w:rsidR="00221DC4" w:rsidRPr="0097536A">
        <w:rPr>
          <w:rFonts w:ascii="Times New Roman" w:eastAsia="Times New Roman" w:hAnsi="Times New Roman" w:cs="Times New Roman"/>
          <w:i/>
          <w:color w:val="000000"/>
        </w:rPr>
        <w:t>De Deo</w:t>
      </w:r>
      <w:r w:rsidR="0003541D" w:rsidRPr="0097536A">
        <w:rPr>
          <w:rFonts w:ascii="Times New Roman" w:eastAsia="Times New Roman" w:hAnsi="Times New Roman" w:cs="Times New Roman"/>
          <w:color w:val="000000"/>
        </w:rPr>
        <w:t xml:space="preserve"> </w:t>
      </w:r>
      <w:r w:rsidR="00596FF4" w:rsidRPr="0097536A">
        <w:rPr>
          <w:rFonts w:ascii="Times New Roman" w:eastAsia="Times New Roman" w:hAnsi="Times New Roman" w:cs="Times New Roman"/>
          <w:color w:val="000000"/>
        </w:rPr>
        <w:t xml:space="preserve">dal piano del </w:t>
      </w:r>
      <w:r w:rsidR="00596FF4" w:rsidRPr="0097536A">
        <w:rPr>
          <w:rFonts w:ascii="Times New Roman" w:eastAsia="Times New Roman" w:hAnsi="Times New Roman" w:cs="Times New Roman"/>
          <w:i/>
          <w:color w:val="000000"/>
        </w:rPr>
        <w:t>nulla assoluto</w:t>
      </w:r>
      <w:r w:rsidR="00596FF4" w:rsidRPr="0097536A">
        <w:rPr>
          <w:rFonts w:ascii="Times New Roman" w:eastAsia="Times New Roman" w:hAnsi="Times New Roman" w:cs="Times New Roman"/>
          <w:color w:val="000000"/>
        </w:rPr>
        <w:t xml:space="preserve"> </w:t>
      </w:r>
      <w:r w:rsidR="00DB1A01" w:rsidRPr="0097536A">
        <w:rPr>
          <w:rFonts w:ascii="Times New Roman" w:eastAsia="Times New Roman" w:hAnsi="Times New Roman" w:cs="Times New Roman"/>
          <w:color w:val="000000"/>
        </w:rPr>
        <w:t xml:space="preserve">a quello </w:t>
      </w:r>
      <w:r w:rsidR="00596FF4" w:rsidRPr="0097536A">
        <w:rPr>
          <w:rFonts w:ascii="Times New Roman" w:eastAsia="Times New Roman" w:hAnsi="Times New Roman" w:cs="Times New Roman"/>
          <w:color w:val="000000"/>
        </w:rPr>
        <w:t xml:space="preserve">del </w:t>
      </w:r>
      <w:r w:rsidR="00596FF4" w:rsidRPr="0097536A">
        <w:rPr>
          <w:rFonts w:ascii="Times New Roman" w:eastAsia="Times New Roman" w:hAnsi="Times New Roman" w:cs="Times New Roman"/>
          <w:i/>
          <w:color w:val="000000"/>
        </w:rPr>
        <w:t>nulla inde</w:t>
      </w:r>
      <w:r w:rsidR="00AF1411" w:rsidRPr="0097536A">
        <w:rPr>
          <w:rFonts w:ascii="Times New Roman" w:eastAsia="Times New Roman" w:hAnsi="Times New Roman" w:cs="Times New Roman"/>
          <w:i/>
          <w:color w:val="000000"/>
        </w:rPr>
        <w:t>terminato</w:t>
      </w:r>
      <w:r w:rsidR="00D31879" w:rsidRPr="0097536A">
        <w:rPr>
          <w:rStyle w:val="Rimandonotaapidipagina"/>
          <w:rFonts w:ascii="Times New Roman" w:eastAsia="Times New Roman" w:hAnsi="Times New Roman" w:cs="Times New Roman"/>
          <w:color w:val="000000"/>
        </w:rPr>
        <w:footnoteReference w:id="149"/>
      </w:r>
      <w:r w:rsidR="00AF1411" w:rsidRPr="0097536A">
        <w:rPr>
          <w:rFonts w:ascii="Times New Roman" w:eastAsia="Times New Roman" w:hAnsi="Times New Roman" w:cs="Times New Roman"/>
          <w:color w:val="000000"/>
        </w:rPr>
        <w:t>.</w:t>
      </w:r>
      <w:r w:rsidR="00F1465F" w:rsidRPr="0097536A">
        <w:rPr>
          <w:rFonts w:ascii="Times New Roman" w:eastAsia="Times New Roman" w:hAnsi="Times New Roman" w:cs="Times New Roman"/>
          <w:color w:val="000000"/>
        </w:rPr>
        <w:t xml:space="preserve"> </w:t>
      </w:r>
      <w:r w:rsidR="0097536A" w:rsidRPr="0097536A">
        <w:rPr>
          <w:rFonts w:ascii="Times New Roman" w:eastAsia="Times New Roman" w:hAnsi="Times New Roman" w:cs="Times New Roman"/>
          <w:color w:val="000000"/>
        </w:rPr>
        <w:t>Dal 1804 in poi</w:t>
      </w:r>
      <w:r w:rsidR="00454755">
        <w:rPr>
          <w:rFonts w:ascii="Times New Roman" w:eastAsia="Times New Roman" w:hAnsi="Times New Roman" w:cs="Times New Roman"/>
          <w:color w:val="000000"/>
        </w:rPr>
        <w:t>,</w:t>
      </w:r>
      <w:r w:rsidR="00C51AEE" w:rsidRPr="0097536A">
        <w:rPr>
          <w:rFonts w:ascii="Times New Roman" w:eastAsia="Times New Roman" w:hAnsi="Times New Roman" w:cs="Times New Roman"/>
          <w:color w:val="000000"/>
        </w:rPr>
        <w:t xml:space="preserve"> tutte </w:t>
      </w:r>
      <w:r w:rsidR="00D95990" w:rsidRPr="0097536A">
        <w:rPr>
          <w:rFonts w:ascii="Times New Roman" w:eastAsia="Times New Roman" w:hAnsi="Times New Roman" w:cs="Times New Roman"/>
          <w:color w:val="000000"/>
        </w:rPr>
        <w:t>q</w:t>
      </w:r>
      <w:r w:rsidR="00596FF4" w:rsidRPr="0097536A">
        <w:rPr>
          <w:rFonts w:ascii="Times New Roman" w:eastAsia="Times New Roman" w:hAnsi="Times New Roman" w:cs="Times New Roman"/>
          <w:color w:val="000000"/>
        </w:rPr>
        <w:t xml:space="preserve">uelle determinazioni astratte, già </w:t>
      </w:r>
      <w:r w:rsidR="004A5EAD" w:rsidRPr="0097536A">
        <w:rPr>
          <w:rFonts w:ascii="Times New Roman" w:eastAsia="Times New Roman" w:hAnsi="Times New Roman" w:cs="Times New Roman"/>
          <w:color w:val="000000"/>
        </w:rPr>
        <w:t>attribuite</w:t>
      </w:r>
      <w:r w:rsidR="00596FF4" w:rsidRPr="0097536A">
        <w:rPr>
          <w:rFonts w:ascii="Times New Roman" w:eastAsia="Times New Roman" w:hAnsi="Times New Roman" w:cs="Times New Roman"/>
          <w:color w:val="000000"/>
        </w:rPr>
        <w:t xml:space="preserve"> da Jacobi</w:t>
      </w:r>
      <w:r w:rsidR="0033558E" w:rsidRPr="0097536A">
        <w:rPr>
          <w:rFonts w:ascii="Times New Roman" w:eastAsia="Times New Roman" w:hAnsi="Times New Roman" w:cs="Times New Roman"/>
          <w:color w:val="000000"/>
        </w:rPr>
        <w:t xml:space="preserve"> al cab</w:t>
      </w:r>
      <w:r w:rsidR="00AF1411" w:rsidRPr="0097536A">
        <w:rPr>
          <w:rFonts w:ascii="Times New Roman" w:eastAsia="Times New Roman" w:hAnsi="Times New Roman" w:cs="Times New Roman"/>
          <w:color w:val="000000"/>
        </w:rPr>
        <w:t>b</w:t>
      </w:r>
      <w:r w:rsidR="0033558E" w:rsidRPr="0097536A">
        <w:rPr>
          <w:rFonts w:ascii="Times New Roman" w:eastAsia="Times New Roman" w:hAnsi="Times New Roman" w:cs="Times New Roman"/>
          <w:color w:val="000000"/>
        </w:rPr>
        <w:t>alismo razionalistico spinoziano</w:t>
      </w:r>
      <w:r w:rsidR="00D95990" w:rsidRPr="0097536A">
        <w:rPr>
          <w:rFonts w:ascii="Times New Roman" w:eastAsia="Times New Roman" w:hAnsi="Times New Roman" w:cs="Times New Roman"/>
          <w:color w:val="000000"/>
        </w:rPr>
        <w:t>,</w:t>
      </w:r>
      <w:r w:rsidR="00B62ADD" w:rsidRPr="0097536A">
        <w:rPr>
          <w:rFonts w:ascii="Times New Roman" w:eastAsia="Times New Roman" w:hAnsi="Times New Roman" w:cs="Times New Roman"/>
          <w:color w:val="000000"/>
        </w:rPr>
        <w:t xml:space="preserve"> saranno asso</w:t>
      </w:r>
      <w:r w:rsidR="004A5EAD" w:rsidRPr="0097536A">
        <w:rPr>
          <w:rFonts w:ascii="Times New Roman" w:eastAsia="Times New Roman" w:hAnsi="Times New Roman" w:cs="Times New Roman"/>
          <w:color w:val="000000"/>
        </w:rPr>
        <w:t>ciate</w:t>
      </w:r>
      <w:r w:rsidR="00F1465F" w:rsidRPr="0097536A">
        <w:rPr>
          <w:rFonts w:ascii="Times New Roman" w:eastAsia="Times New Roman" w:hAnsi="Times New Roman" w:cs="Times New Roman"/>
          <w:color w:val="000000"/>
        </w:rPr>
        <w:t xml:space="preserve"> a quel pensiero</w:t>
      </w:r>
      <w:r w:rsidR="00596FF4" w:rsidRPr="0097536A">
        <w:rPr>
          <w:rFonts w:ascii="Times New Roman" w:eastAsia="Times New Roman" w:hAnsi="Times New Roman" w:cs="Times New Roman"/>
          <w:color w:val="000000"/>
        </w:rPr>
        <w:t xml:space="preserve"> che </w:t>
      </w:r>
      <w:r w:rsidR="00596FF4" w:rsidRPr="0097536A">
        <w:rPr>
          <w:rFonts w:ascii="Times New Roman" w:eastAsia="Times New Roman" w:hAnsi="Times New Roman" w:cs="Times New Roman"/>
          <w:i/>
          <w:color w:val="000000"/>
        </w:rPr>
        <w:t>Glauben und Wissen</w:t>
      </w:r>
      <w:r w:rsidR="00596FF4" w:rsidRPr="0097536A">
        <w:rPr>
          <w:rFonts w:ascii="Times New Roman" w:eastAsia="Times New Roman" w:hAnsi="Times New Roman" w:cs="Times New Roman"/>
          <w:color w:val="000000"/>
        </w:rPr>
        <w:t xml:space="preserve"> aveva celebrato </w:t>
      </w:r>
      <w:r w:rsidR="00AF1411" w:rsidRPr="0097536A">
        <w:rPr>
          <w:rFonts w:ascii="Times New Roman" w:eastAsia="Times New Roman" w:hAnsi="Times New Roman" w:cs="Times New Roman"/>
          <w:color w:val="000000"/>
        </w:rPr>
        <w:t>come espressione del</w:t>
      </w:r>
      <w:r w:rsidR="00596FF4" w:rsidRPr="0097536A">
        <w:rPr>
          <w:rFonts w:ascii="Times New Roman" w:eastAsia="Times New Roman" w:hAnsi="Times New Roman" w:cs="Times New Roman"/>
          <w:color w:val="000000"/>
        </w:rPr>
        <w:t>l’</w:t>
      </w:r>
      <w:r w:rsidR="00596FF4" w:rsidRPr="0097536A">
        <w:rPr>
          <w:rFonts w:ascii="Times New Roman" w:eastAsia="Times New Roman" w:hAnsi="Times New Roman" w:cs="Times New Roman"/>
          <w:i/>
          <w:color w:val="000000"/>
        </w:rPr>
        <w:t>absolutes Nichts</w:t>
      </w:r>
      <w:r w:rsidR="00AA570C" w:rsidRPr="0097536A">
        <w:rPr>
          <w:rFonts w:ascii="Times New Roman" w:eastAsia="Times New Roman" w:hAnsi="Times New Roman" w:cs="Times New Roman"/>
          <w:color w:val="000000"/>
        </w:rPr>
        <w:t xml:space="preserve">. Superare </w:t>
      </w:r>
      <w:r w:rsidR="00106FC5" w:rsidRPr="0097536A">
        <w:rPr>
          <w:rFonts w:ascii="Times New Roman" w:eastAsia="Times New Roman" w:hAnsi="Times New Roman" w:cs="Times New Roman"/>
          <w:color w:val="000000"/>
        </w:rPr>
        <w:t>l’opera di Spinoza, determinando</w:t>
      </w:r>
      <w:r w:rsidR="00F1465F" w:rsidRPr="0097536A">
        <w:rPr>
          <w:rFonts w:ascii="Times New Roman" w:eastAsia="Times New Roman" w:hAnsi="Times New Roman" w:cs="Times New Roman"/>
          <w:color w:val="000000"/>
        </w:rPr>
        <w:t xml:space="preserve"> </w:t>
      </w:r>
      <w:r w:rsidR="00106FC5" w:rsidRPr="0097536A">
        <w:rPr>
          <w:rFonts w:ascii="Times New Roman" w:eastAsia="Times New Roman" w:hAnsi="Times New Roman" w:cs="Times New Roman"/>
          <w:color w:val="000000"/>
        </w:rPr>
        <w:t>un avveramento dei suoi contenuti</w:t>
      </w:r>
      <w:r w:rsidR="00397E4A" w:rsidRPr="0097536A">
        <w:rPr>
          <w:rFonts w:ascii="Times New Roman" w:eastAsia="Times New Roman" w:hAnsi="Times New Roman" w:cs="Times New Roman"/>
          <w:color w:val="000000"/>
        </w:rPr>
        <w:t xml:space="preserve"> e</w:t>
      </w:r>
      <w:r w:rsidR="00D8635A" w:rsidRPr="0097536A">
        <w:rPr>
          <w:rFonts w:ascii="Times New Roman" w:eastAsia="Times New Roman" w:hAnsi="Times New Roman" w:cs="Times New Roman"/>
          <w:color w:val="000000"/>
        </w:rPr>
        <w:t xml:space="preserve"> un superamento della sua forma</w:t>
      </w:r>
      <w:r w:rsidR="00361CFC" w:rsidRPr="0097536A">
        <w:rPr>
          <w:rFonts w:ascii="Times New Roman" w:eastAsia="Times New Roman" w:hAnsi="Times New Roman" w:cs="Times New Roman"/>
          <w:color w:val="000000"/>
        </w:rPr>
        <w:t xml:space="preserve">, è interesse precipuo di </w:t>
      </w:r>
      <w:r w:rsidR="00106FC5" w:rsidRPr="0097536A">
        <w:rPr>
          <w:rFonts w:ascii="Times New Roman" w:eastAsia="Times New Roman" w:hAnsi="Times New Roman" w:cs="Times New Roman"/>
          <w:color w:val="000000"/>
        </w:rPr>
        <w:t xml:space="preserve">Hegel </w:t>
      </w:r>
      <w:r w:rsidR="007067F0" w:rsidRPr="0097536A">
        <w:rPr>
          <w:rFonts w:ascii="Times New Roman" w:eastAsia="Times New Roman" w:hAnsi="Times New Roman" w:cs="Times New Roman"/>
          <w:color w:val="000000"/>
        </w:rPr>
        <w:t xml:space="preserve">in questa seconda fase della produzione jenese. </w:t>
      </w:r>
      <w:r w:rsidR="00C51AEE" w:rsidRPr="0097536A">
        <w:rPr>
          <w:rFonts w:ascii="Times New Roman" w:eastAsia="Times New Roman" w:hAnsi="Times New Roman" w:cs="Times New Roman"/>
          <w:color w:val="000000"/>
        </w:rPr>
        <w:t xml:space="preserve">Nelle </w:t>
      </w:r>
      <w:r w:rsidR="007067F0" w:rsidRPr="0097536A">
        <w:rPr>
          <w:rFonts w:ascii="Times New Roman" w:eastAsia="Times New Roman" w:hAnsi="Times New Roman" w:cs="Times New Roman"/>
          <w:color w:val="000000"/>
        </w:rPr>
        <w:t xml:space="preserve">pagine a seguire, </w:t>
      </w:r>
      <w:r w:rsidR="00C51AEE" w:rsidRPr="0097536A">
        <w:rPr>
          <w:rFonts w:ascii="Times New Roman" w:eastAsia="Times New Roman" w:hAnsi="Times New Roman" w:cs="Times New Roman"/>
          <w:color w:val="000000"/>
        </w:rPr>
        <w:t xml:space="preserve">si vedrà come </w:t>
      </w:r>
      <w:r w:rsidR="00695EAB" w:rsidRPr="0097536A">
        <w:rPr>
          <w:rFonts w:ascii="Times New Roman" w:eastAsia="Times New Roman" w:hAnsi="Times New Roman" w:cs="Times New Roman"/>
          <w:color w:val="000000"/>
        </w:rPr>
        <w:t xml:space="preserve">questo proposito speculativo </w:t>
      </w:r>
      <w:r w:rsidR="00C51AEE" w:rsidRPr="0097536A">
        <w:rPr>
          <w:rFonts w:ascii="Times New Roman" w:eastAsia="Times New Roman" w:hAnsi="Times New Roman" w:cs="Times New Roman"/>
          <w:color w:val="000000"/>
        </w:rPr>
        <w:t>sia</w:t>
      </w:r>
      <w:r w:rsidR="009315D6" w:rsidRPr="0097536A">
        <w:rPr>
          <w:rFonts w:ascii="Times New Roman" w:eastAsia="Times New Roman" w:hAnsi="Times New Roman" w:cs="Times New Roman"/>
          <w:color w:val="000000"/>
        </w:rPr>
        <w:t xml:space="preserve"> </w:t>
      </w:r>
      <w:r w:rsidR="00292C1C" w:rsidRPr="0097536A">
        <w:rPr>
          <w:rFonts w:ascii="Times New Roman" w:eastAsia="Times New Roman" w:hAnsi="Times New Roman" w:cs="Times New Roman"/>
          <w:color w:val="000000"/>
        </w:rPr>
        <w:t>conseguito</w:t>
      </w:r>
      <w:r w:rsidR="009315D6" w:rsidRPr="0097536A">
        <w:rPr>
          <w:rFonts w:ascii="Times New Roman" w:eastAsia="Times New Roman" w:hAnsi="Times New Roman" w:cs="Times New Roman"/>
          <w:color w:val="000000"/>
        </w:rPr>
        <w:t xml:space="preserve"> </w:t>
      </w:r>
      <w:r w:rsidR="004C695F">
        <w:rPr>
          <w:rFonts w:ascii="Times New Roman" w:eastAsia="Times New Roman" w:hAnsi="Times New Roman" w:cs="Times New Roman"/>
          <w:color w:val="000000"/>
        </w:rPr>
        <w:t xml:space="preserve">anche </w:t>
      </w:r>
      <w:r w:rsidR="00292C1C" w:rsidRPr="0097536A">
        <w:rPr>
          <w:rFonts w:ascii="Times New Roman" w:eastAsia="Times New Roman" w:hAnsi="Times New Roman" w:cs="Times New Roman"/>
          <w:color w:val="000000"/>
        </w:rPr>
        <w:t xml:space="preserve">grazie </w:t>
      </w:r>
      <w:r w:rsidR="00D8635A" w:rsidRPr="0097536A">
        <w:rPr>
          <w:rFonts w:ascii="Times New Roman" w:eastAsia="Times New Roman" w:hAnsi="Times New Roman" w:cs="Times New Roman"/>
          <w:color w:val="000000"/>
        </w:rPr>
        <w:t>al</w:t>
      </w:r>
      <w:r w:rsidR="00292C1C" w:rsidRPr="0097536A">
        <w:rPr>
          <w:rFonts w:ascii="Times New Roman" w:eastAsia="Times New Roman" w:hAnsi="Times New Roman" w:cs="Times New Roman"/>
          <w:color w:val="000000"/>
        </w:rPr>
        <w:t>la mediazione d</w:t>
      </w:r>
      <w:r w:rsidR="00695EAB" w:rsidRPr="0097536A">
        <w:rPr>
          <w:rFonts w:ascii="Times New Roman" w:eastAsia="Times New Roman" w:hAnsi="Times New Roman" w:cs="Times New Roman"/>
          <w:color w:val="000000"/>
        </w:rPr>
        <w:t>i Jakob Böhme</w:t>
      </w:r>
      <w:r w:rsidR="007067F0" w:rsidRPr="0097536A">
        <w:rPr>
          <w:rFonts w:ascii="Times New Roman" w:eastAsia="Times New Roman" w:hAnsi="Times New Roman" w:cs="Times New Roman"/>
          <w:color w:val="000000"/>
        </w:rPr>
        <w:t xml:space="preserve">. </w:t>
      </w:r>
      <w:r w:rsidR="00292C1C" w:rsidRPr="0097536A">
        <w:rPr>
          <w:rFonts w:ascii="Times New Roman" w:eastAsia="Times New Roman" w:hAnsi="Times New Roman" w:cs="Times New Roman"/>
          <w:color w:val="000000"/>
        </w:rPr>
        <w:t>Come</w:t>
      </w:r>
      <w:r w:rsidR="00C51AEE" w:rsidRPr="0097536A">
        <w:rPr>
          <w:rFonts w:ascii="Times New Roman" w:eastAsia="Times New Roman" w:hAnsi="Times New Roman" w:cs="Times New Roman"/>
          <w:color w:val="000000"/>
        </w:rPr>
        <w:t xml:space="preserve"> </w:t>
      </w:r>
      <w:r w:rsidR="00C51AEE" w:rsidRPr="000302B7">
        <w:rPr>
          <w:rFonts w:ascii="Times New Roman" w:eastAsia="Times New Roman" w:hAnsi="Times New Roman" w:cs="Times New Roman"/>
          <w:color w:val="000000"/>
        </w:rPr>
        <w:t>osservato in precedenza</w:t>
      </w:r>
      <w:r w:rsidR="00AA2217" w:rsidRPr="000302B7">
        <w:rPr>
          <w:rStyle w:val="Rimandonotaapidipagina"/>
          <w:rFonts w:ascii="Times New Roman" w:eastAsia="Times New Roman" w:hAnsi="Times New Roman" w:cs="Times New Roman"/>
          <w:color w:val="000000"/>
        </w:rPr>
        <w:footnoteReference w:id="150"/>
      </w:r>
      <w:r w:rsidR="00C51AEE" w:rsidRPr="000302B7">
        <w:rPr>
          <w:rFonts w:ascii="Times New Roman" w:eastAsia="Times New Roman" w:hAnsi="Times New Roman" w:cs="Times New Roman"/>
          <w:color w:val="000000"/>
        </w:rPr>
        <w:t>, escludere</w:t>
      </w:r>
      <w:r w:rsidR="00695EAB" w:rsidRPr="000302B7">
        <w:rPr>
          <w:rFonts w:ascii="Times New Roman" w:eastAsia="Times New Roman" w:hAnsi="Times New Roman" w:cs="Times New Roman"/>
          <w:color w:val="000000"/>
        </w:rPr>
        <w:t xml:space="preserve"> </w:t>
      </w:r>
      <w:r w:rsidR="00292C1C" w:rsidRPr="000302B7">
        <w:rPr>
          <w:rFonts w:ascii="Times New Roman" w:eastAsia="Times New Roman" w:hAnsi="Times New Roman" w:cs="Times New Roman"/>
          <w:color w:val="000000"/>
        </w:rPr>
        <w:t xml:space="preserve">l’incidenza </w:t>
      </w:r>
      <w:r w:rsidR="00695EAB" w:rsidRPr="000302B7">
        <w:rPr>
          <w:rFonts w:ascii="Times New Roman" w:eastAsia="Times New Roman" w:hAnsi="Times New Roman" w:cs="Times New Roman"/>
          <w:color w:val="000000"/>
        </w:rPr>
        <w:t>del ciabattino di G</w:t>
      </w:r>
      <w:r w:rsidR="00292C1C" w:rsidRPr="000302B7">
        <w:rPr>
          <w:rFonts w:ascii="Times New Roman" w:eastAsia="Times New Roman" w:hAnsi="Times New Roman" w:cs="Times New Roman"/>
          <w:color w:val="000000"/>
        </w:rPr>
        <w:t>ö</w:t>
      </w:r>
      <w:r w:rsidR="00695EAB" w:rsidRPr="000302B7">
        <w:rPr>
          <w:rFonts w:ascii="Times New Roman" w:eastAsia="Times New Roman" w:hAnsi="Times New Roman" w:cs="Times New Roman"/>
          <w:color w:val="000000"/>
        </w:rPr>
        <w:t xml:space="preserve">rlitz </w:t>
      </w:r>
      <w:r w:rsidR="00292C1C" w:rsidRPr="000302B7">
        <w:rPr>
          <w:rFonts w:ascii="Times New Roman" w:eastAsia="Times New Roman" w:hAnsi="Times New Roman" w:cs="Times New Roman"/>
          <w:color w:val="000000"/>
        </w:rPr>
        <w:t xml:space="preserve">su questo </w:t>
      </w:r>
      <w:r w:rsidR="00C51AEE" w:rsidRPr="00A978E3">
        <w:rPr>
          <w:rFonts w:ascii="Times New Roman" w:eastAsia="Times New Roman" w:hAnsi="Times New Roman" w:cs="Times New Roman"/>
          <w:color w:val="000000"/>
        </w:rPr>
        <w:t xml:space="preserve">plesso teorico </w:t>
      </w:r>
      <w:r w:rsidR="00695EAB" w:rsidRPr="00A978E3">
        <w:rPr>
          <w:rFonts w:ascii="Times New Roman" w:eastAsia="Times New Roman" w:hAnsi="Times New Roman" w:cs="Times New Roman"/>
          <w:color w:val="000000"/>
        </w:rPr>
        <w:t xml:space="preserve">significa </w:t>
      </w:r>
      <w:r w:rsidR="004B6E3C" w:rsidRPr="00A978E3">
        <w:rPr>
          <w:rFonts w:ascii="Times New Roman" w:eastAsia="Times New Roman" w:hAnsi="Times New Roman" w:cs="Times New Roman"/>
          <w:color w:val="000000"/>
        </w:rPr>
        <w:t>trascurar</w:t>
      </w:r>
      <w:r w:rsidR="00695EAB" w:rsidRPr="00A978E3">
        <w:rPr>
          <w:rFonts w:ascii="Times New Roman" w:eastAsia="Times New Roman" w:hAnsi="Times New Roman" w:cs="Times New Roman"/>
          <w:color w:val="000000"/>
        </w:rPr>
        <w:t>e quelle testimonianze in cui Hegel introduce</w:t>
      </w:r>
      <w:r w:rsidR="00AA2217" w:rsidRPr="00A978E3">
        <w:rPr>
          <w:rFonts w:ascii="Times New Roman" w:eastAsia="Times New Roman" w:hAnsi="Times New Roman" w:cs="Times New Roman"/>
          <w:color w:val="000000"/>
        </w:rPr>
        <w:t xml:space="preserve"> </w:t>
      </w:r>
      <w:r w:rsidR="00695EAB" w:rsidRPr="00A978E3">
        <w:rPr>
          <w:rFonts w:ascii="Times New Roman" w:eastAsia="Times New Roman" w:hAnsi="Times New Roman" w:cs="Times New Roman"/>
          <w:color w:val="000000"/>
        </w:rPr>
        <w:t>temati</w:t>
      </w:r>
      <w:r w:rsidR="00D31879" w:rsidRPr="00A978E3">
        <w:rPr>
          <w:rFonts w:ascii="Times New Roman" w:eastAsia="Times New Roman" w:hAnsi="Times New Roman" w:cs="Times New Roman"/>
          <w:color w:val="000000"/>
        </w:rPr>
        <w:t>che böhmiane come prefigurazioni</w:t>
      </w:r>
      <w:r w:rsidR="00695EAB" w:rsidRPr="00A978E3">
        <w:rPr>
          <w:rFonts w:ascii="Times New Roman" w:eastAsia="Times New Roman" w:hAnsi="Times New Roman" w:cs="Times New Roman"/>
          <w:color w:val="000000"/>
        </w:rPr>
        <w:t xml:space="preserve"> </w:t>
      </w:r>
      <w:r w:rsidR="00695EAB" w:rsidRPr="00A978E3">
        <w:rPr>
          <w:rFonts w:ascii="Times New Roman" w:eastAsia="Times New Roman" w:hAnsi="Times New Roman" w:cs="Times New Roman"/>
          <w:i/>
          <w:color w:val="000000"/>
        </w:rPr>
        <w:t>formalmente inadeguat</w:t>
      </w:r>
      <w:r w:rsidR="00D31879" w:rsidRPr="00A978E3">
        <w:rPr>
          <w:rFonts w:ascii="Times New Roman" w:eastAsia="Times New Roman" w:hAnsi="Times New Roman" w:cs="Times New Roman"/>
          <w:i/>
          <w:color w:val="000000"/>
        </w:rPr>
        <w:t>e</w:t>
      </w:r>
      <w:r w:rsidR="00D31879" w:rsidRPr="00A978E3">
        <w:rPr>
          <w:rFonts w:ascii="Times New Roman" w:eastAsia="Times New Roman" w:hAnsi="Times New Roman" w:cs="Times New Roman"/>
          <w:color w:val="000000"/>
        </w:rPr>
        <w:t xml:space="preserve"> e supporti</w:t>
      </w:r>
      <w:r w:rsidR="00695EAB" w:rsidRPr="00A978E3">
        <w:rPr>
          <w:rFonts w:ascii="Times New Roman" w:eastAsia="Times New Roman" w:hAnsi="Times New Roman" w:cs="Times New Roman"/>
          <w:color w:val="000000"/>
        </w:rPr>
        <w:t xml:space="preserve"> </w:t>
      </w:r>
      <w:r w:rsidR="00695EAB" w:rsidRPr="00A978E3">
        <w:rPr>
          <w:rFonts w:ascii="Times New Roman" w:eastAsia="Times New Roman" w:hAnsi="Times New Roman" w:cs="Times New Roman"/>
          <w:i/>
          <w:color w:val="000000"/>
        </w:rPr>
        <w:t>contenutisticamente adeguat</w:t>
      </w:r>
      <w:r w:rsidR="00D31879" w:rsidRPr="00A978E3">
        <w:rPr>
          <w:rFonts w:ascii="Times New Roman" w:eastAsia="Times New Roman" w:hAnsi="Times New Roman" w:cs="Times New Roman"/>
          <w:i/>
          <w:color w:val="000000"/>
        </w:rPr>
        <w:t>i</w:t>
      </w:r>
      <w:r w:rsidR="00695EAB" w:rsidRPr="00A978E3">
        <w:rPr>
          <w:rFonts w:ascii="Times New Roman" w:eastAsia="Times New Roman" w:hAnsi="Times New Roman" w:cs="Times New Roman"/>
          <w:color w:val="000000"/>
        </w:rPr>
        <w:t xml:space="preserve"> </w:t>
      </w:r>
      <w:r w:rsidR="000302B7" w:rsidRPr="00A978E3">
        <w:rPr>
          <w:rFonts w:ascii="Times New Roman" w:eastAsia="Times New Roman" w:hAnsi="Times New Roman" w:cs="Times New Roman"/>
          <w:color w:val="000000"/>
        </w:rPr>
        <w:t>del proprio ripensamento dell’</w:t>
      </w:r>
      <w:r w:rsidR="000302B7" w:rsidRPr="00A978E3">
        <w:rPr>
          <w:rFonts w:ascii="Times New Roman" w:eastAsia="Times New Roman" w:hAnsi="Times New Roman" w:cs="Times New Roman"/>
          <w:i/>
          <w:color w:val="000000"/>
        </w:rPr>
        <w:t>Identitätsphilosophie</w:t>
      </w:r>
      <w:r w:rsidR="000302B7" w:rsidRPr="00A978E3">
        <w:rPr>
          <w:rFonts w:ascii="Times New Roman" w:eastAsia="Times New Roman" w:hAnsi="Times New Roman" w:cs="Times New Roman"/>
          <w:color w:val="000000"/>
        </w:rPr>
        <w:t>.</w:t>
      </w:r>
      <w:r w:rsidR="00695EAB" w:rsidRPr="000302B7">
        <w:rPr>
          <w:rFonts w:ascii="Times New Roman" w:eastAsia="Times New Roman" w:hAnsi="Times New Roman" w:cs="Times New Roman"/>
          <w:color w:val="000000"/>
        </w:rPr>
        <w:t xml:space="preserve"> </w:t>
      </w:r>
    </w:p>
    <w:p w14:paraId="78329FF0" w14:textId="6D1B8545" w:rsidR="00FC673A" w:rsidRDefault="008E40E7" w:rsidP="00EE76A1">
      <w:pPr>
        <w:spacing w:line="360" w:lineRule="auto"/>
        <w:ind w:firstLine="567"/>
        <w:jc w:val="both"/>
        <w:rPr>
          <w:rFonts w:ascii="Times New Roman" w:eastAsia="Times New Roman" w:hAnsi="Times New Roman" w:cs="Times New Roman"/>
          <w:color w:val="000000"/>
        </w:rPr>
      </w:pPr>
      <w:r w:rsidRPr="000302B7">
        <w:rPr>
          <w:rFonts w:ascii="Times New Roman" w:eastAsia="Times New Roman" w:hAnsi="Times New Roman" w:cs="Times New Roman"/>
          <w:color w:val="000000"/>
        </w:rPr>
        <w:t>Sulla base di queste</w:t>
      </w:r>
      <w:r w:rsidR="0012131A" w:rsidRPr="000302B7">
        <w:rPr>
          <w:rFonts w:ascii="Times New Roman" w:eastAsia="Times New Roman" w:hAnsi="Times New Roman" w:cs="Times New Roman"/>
          <w:color w:val="000000"/>
        </w:rPr>
        <w:t xml:space="preserve"> dire</w:t>
      </w:r>
      <w:r w:rsidRPr="000302B7">
        <w:rPr>
          <w:rFonts w:ascii="Times New Roman" w:eastAsia="Times New Roman" w:hAnsi="Times New Roman" w:cs="Times New Roman"/>
          <w:color w:val="000000"/>
        </w:rPr>
        <w:t>ttrici critico-interpretati</w:t>
      </w:r>
      <w:r w:rsidR="008604DD" w:rsidRPr="000302B7">
        <w:rPr>
          <w:rFonts w:ascii="Times New Roman" w:eastAsia="Times New Roman" w:hAnsi="Times New Roman" w:cs="Times New Roman"/>
          <w:color w:val="000000"/>
        </w:rPr>
        <w:t>v</w:t>
      </w:r>
      <w:r w:rsidRPr="000302B7">
        <w:rPr>
          <w:rFonts w:ascii="Times New Roman" w:eastAsia="Times New Roman" w:hAnsi="Times New Roman" w:cs="Times New Roman"/>
          <w:color w:val="000000"/>
        </w:rPr>
        <w:t>e</w:t>
      </w:r>
      <w:r w:rsidR="00112134" w:rsidRPr="000302B7">
        <w:rPr>
          <w:rFonts w:ascii="Times New Roman" w:eastAsia="Times New Roman" w:hAnsi="Times New Roman" w:cs="Times New Roman"/>
          <w:color w:val="000000"/>
        </w:rPr>
        <w:t xml:space="preserve">, </w:t>
      </w:r>
      <w:r w:rsidR="00A93A46" w:rsidRPr="000302B7">
        <w:rPr>
          <w:rFonts w:ascii="Times New Roman" w:eastAsia="Times New Roman" w:hAnsi="Times New Roman" w:cs="Times New Roman"/>
          <w:color w:val="000000"/>
        </w:rPr>
        <w:t xml:space="preserve">analizzerò </w:t>
      </w:r>
      <w:r w:rsidR="00112134" w:rsidRPr="000302B7">
        <w:rPr>
          <w:rFonts w:ascii="Times New Roman" w:eastAsia="Times New Roman" w:hAnsi="Times New Roman" w:cs="Times New Roman"/>
          <w:color w:val="000000"/>
        </w:rPr>
        <w:t xml:space="preserve">un </w:t>
      </w:r>
      <w:r w:rsidR="002954F5" w:rsidRPr="000302B7">
        <w:rPr>
          <w:rFonts w:ascii="Times New Roman" w:eastAsia="Times New Roman" w:hAnsi="Times New Roman" w:cs="Times New Roman"/>
          <w:color w:val="000000"/>
        </w:rPr>
        <w:t xml:space="preserve">appunto </w:t>
      </w:r>
      <w:r w:rsidR="00A93A46" w:rsidRPr="000302B7">
        <w:rPr>
          <w:rFonts w:ascii="Times New Roman" w:eastAsia="Times New Roman" w:hAnsi="Times New Roman" w:cs="Times New Roman"/>
          <w:color w:val="000000"/>
        </w:rPr>
        <w:t>d</w:t>
      </w:r>
      <w:r w:rsidR="00A112EF" w:rsidRPr="000302B7">
        <w:rPr>
          <w:rFonts w:ascii="Times New Roman" w:eastAsia="Times New Roman" w:hAnsi="Times New Roman" w:cs="Times New Roman"/>
          <w:color w:val="000000"/>
        </w:rPr>
        <w:t>el 1804/</w:t>
      </w:r>
      <w:r w:rsidR="00A93A46" w:rsidRPr="000302B7">
        <w:rPr>
          <w:rFonts w:ascii="Times New Roman" w:eastAsia="Times New Roman" w:hAnsi="Times New Roman" w:cs="Times New Roman"/>
          <w:color w:val="000000"/>
        </w:rPr>
        <w:t>05, i</w:t>
      </w:r>
      <w:r w:rsidR="00112134" w:rsidRPr="000302B7">
        <w:rPr>
          <w:rFonts w:ascii="Times New Roman" w:eastAsia="Times New Roman" w:hAnsi="Times New Roman" w:cs="Times New Roman"/>
          <w:color w:val="000000"/>
        </w:rPr>
        <w:t xml:space="preserve">l </w:t>
      </w:r>
      <w:r w:rsidR="00112134" w:rsidRPr="000302B7">
        <w:rPr>
          <w:rFonts w:ascii="Times New Roman" w:eastAsia="Times New Roman" w:hAnsi="Times New Roman" w:cs="Times New Roman"/>
          <w:i/>
          <w:color w:val="000000"/>
        </w:rPr>
        <w:t>Fragment 49</w:t>
      </w:r>
      <w:r w:rsidR="00292C1C" w:rsidRPr="000302B7">
        <w:rPr>
          <w:rFonts w:ascii="Times New Roman" w:eastAsia="Times New Roman" w:hAnsi="Times New Roman" w:cs="Times New Roman"/>
          <w:color w:val="000000"/>
        </w:rPr>
        <w:t xml:space="preserve">, che espone </w:t>
      </w:r>
      <w:r w:rsidR="00CF309F" w:rsidRPr="000302B7">
        <w:rPr>
          <w:rFonts w:ascii="Times New Roman" w:eastAsia="Times New Roman" w:hAnsi="Times New Roman" w:cs="Times New Roman"/>
          <w:color w:val="000000"/>
        </w:rPr>
        <w:t>alcuni</w:t>
      </w:r>
      <w:r w:rsidR="00292C1C" w:rsidRPr="000302B7">
        <w:rPr>
          <w:rFonts w:ascii="Times New Roman" w:eastAsia="Times New Roman" w:hAnsi="Times New Roman" w:cs="Times New Roman"/>
          <w:color w:val="000000"/>
        </w:rPr>
        <w:t xml:space="preserve"> punti chiave</w:t>
      </w:r>
      <w:r w:rsidR="00CF309F" w:rsidRPr="000302B7">
        <w:rPr>
          <w:rFonts w:ascii="Times New Roman" w:eastAsia="Times New Roman" w:hAnsi="Times New Roman" w:cs="Times New Roman"/>
          <w:color w:val="000000"/>
        </w:rPr>
        <w:t xml:space="preserve"> del</w:t>
      </w:r>
      <w:r w:rsidR="004A26C7" w:rsidRPr="000302B7">
        <w:rPr>
          <w:rFonts w:ascii="Times New Roman" w:eastAsia="Times New Roman" w:hAnsi="Times New Roman" w:cs="Times New Roman"/>
          <w:color w:val="000000"/>
        </w:rPr>
        <w:t xml:space="preserve"> </w:t>
      </w:r>
      <w:r w:rsidR="00CF309F" w:rsidRPr="000302B7">
        <w:rPr>
          <w:rFonts w:ascii="Times New Roman" w:eastAsia="Times New Roman" w:hAnsi="Times New Roman" w:cs="Times New Roman"/>
          <w:color w:val="000000"/>
        </w:rPr>
        <w:t xml:space="preserve">pensiero </w:t>
      </w:r>
      <w:r w:rsidR="004A26C7" w:rsidRPr="000302B7">
        <w:rPr>
          <w:rFonts w:ascii="Times New Roman" w:eastAsia="Times New Roman" w:hAnsi="Times New Roman" w:cs="Times New Roman"/>
          <w:color w:val="000000"/>
        </w:rPr>
        <w:t xml:space="preserve">di Böhme, inserendoli, al contempo, in </w:t>
      </w:r>
      <w:r w:rsidR="0012131A" w:rsidRPr="000302B7">
        <w:rPr>
          <w:rFonts w:ascii="Times New Roman" w:eastAsia="Times New Roman" w:hAnsi="Times New Roman" w:cs="Times New Roman"/>
          <w:color w:val="000000"/>
        </w:rPr>
        <w:t xml:space="preserve">una discussione più ampia sul ruolo dell’opposizione nel </w:t>
      </w:r>
      <w:r w:rsidR="0012131A" w:rsidRPr="000302B7">
        <w:rPr>
          <w:rFonts w:ascii="Times New Roman" w:eastAsia="Times New Roman" w:hAnsi="Times New Roman" w:cs="Times New Roman"/>
          <w:i/>
          <w:color w:val="000000"/>
        </w:rPr>
        <w:t xml:space="preserve">Lebenslauf Gottes </w:t>
      </w:r>
      <w:r w:rsidR="00ED0E67" w:rsidRPr="000302B7">
        <w:rPr>
          <w:rFonts w:ascii="Times New Roman" w:eastAsia="Times New Roman" w:hAnsi="Times New Roman" w:cs="Times New Roman"/>
          <w:color w:val="000000"/>
        </w:rPr>
        <w:t>e sul</w:t>
      </w:r>
      <w:r w:rsidR="0012131A" w:rsidRPr="000302B7">
        <w:rPr>
          <w:rFonts w:ascii="Times New Roman" w:eastAsia="Times New Roman" w:hAnsi="Times New Roman" w:cs="Times New Roman"/>
          <w:color w:val="000000"/>
        </w:rPr>
        <w:t xml:space="preserve"> rapp</w:t>
      </w:r>
      <w:r w:rsidR="002954F5" w:rsidRPr="000302B7">
        <w:rPr>
          <w:rFonts w:ascii="Times New Roman" w:eastAsia="Times New Roman" w:hAnsi="Times New Roman" w:cs="Times New Roman"/>
          <w:color w:val="000000"/>
        </w:rPr>
        <w:t>or</w:t>
      </w:r>
      <w:r w:rsidR="00ED0E67" w:rsidRPr="000302B7">
        <w:rPr>
          <w:rFonts w:ascii="Times New Roman" w:eastAsia="Times New Roman" w:hAnsi="Times New Roman" w:cs="Times New Roman"/>
          <w:color w:val="000000"/>
        </w:rPr>
        <w:t>to intrattenuto dalla scienza con la</w:t>
      </w:r>
      <w:r w:rsidR="004A26C7" w:rsidRPr="000302B7">
        <w:rPr>
          <w:rFonts w:ascii="Times New Roman" w:eastAsia="Times New Roman" w:hAnsi="Times New Roman" w:cs="Times New Roman"/>
          <w:color w:val="000000"/>
        </w:rPr>
        <w:t xml:space="preserve"> </w:t>
      </w:r>
      <w:r w:rsidR="002954F5" w:rsidRPr="000302B7">
        <w:rPr>
          <w:rFonts w:ascii="Times New Roman" w:eastAsia="Times New Roman" w:hAnsi="Times New Roman" w:cs="Times New Roman"/>
          <w:color w:val="000000"/>
        </w:rPr>
        <w:t>religione</w:t>
      </w:r>
      <w:r w:rsidR="0012131A" w:rsidRPr="000302B7">
        <w:rPr>
          <w:rFonts w:ascii="Times New Roman" w:eastAsia="Times New Roman" w:hAnsi="Times New Roman" w:cs="Times New Roman"/>
          <w:color w:val="000000"/>
        </w:rPr>
        <w:t>.</w:t>
      </w:r>
      <w:r w:rsidR="0012131A" w:rsidRPr="00A93A46">
        <w:rPr>
          <w:rFonts w:ascii="Times New Roman" w:eastAsia="Times New Roman" w:hAnsi="Times New Roman" w:cs="Times New Roman"/>
          <w:color w:val="000000"/>
        </w:rPr>
        <w:t xml:space="preserve"> Questa testimonianza</w:t>
      </w:r>
      <w:r w:rsidR="00E05DB7" w:rsidRPr="00A93A46">
        <w:rPr>
          <w:rFonts w:ascii="Times New Roman" w:eastAsia="Times New Roman" w:hAnsi="Times New Roman" w:cs="Times New Roman"/>
          <w:color w:val="000000"/>
        </w:rPr>
        <w:t xml:space="preserve"> restituisce, non senza poche difficoltà per il lettore, quella che </w:t>
      </w:r>
      <w:r w:rsidR="00794142" w:rsidRPr="00A93A46">
        <w:rPr>
          <w:rFonts w:ascii="Times New Roman" w:eastAsia="Times New Roman" w:hAnsi="Times New Roman" w:cs="Times New Roman"/>
          <w:color w:val="000000"/>
        </w:rPr>
        <w:t xml:space="preserve">Hegel considera come </w:t>
      </w:r>
      <w:r w:rsidR="00E05DB7" w:rsidRPr="00A93A46">
        <w:rPr>
          <w:rFonts w:ascii="Times New Roman" w:eastAsia="Times New Roman" w:hAnsi="Times New Roman" w:cs="Times New Roman"/>
          <w:color w:val="000000"/>
        </w:rPr>
        <w:t xml:space="preserve">la dinamica realizzativa dello spirito. </w:t>
      </w:r>
      <w:r w:rsidR="00794142" w:rsidRPr="00A93A46">
        <w:rPr>
          <w:rFonts w:ascii="Times New Roman" w:eastAsia="Times New Roman" w:hAnsi="Times New Roman" w:cs="Times New Roman"/>
          <w:color w:val="000000"/>
        </w:rPr>
        <w:t xml:space="preserve">Rielaborando in chiave </w:t>
      </w:r>
      <w:r w:rsidR="00D31879">
        <w:rPr>
          <w:rFonts w:ascii="Times New Roman" w:eastAsia="Times New Roman" w:hAnsi="Times New Roman" w:cs="Times New Roman"/>
          <w:color w:val="000000"/>
        </w:rPr>
        <w:t>böhmiana</w:t>
      </w:r>
      <w:r w:rsidR="00794142" w:rsidRPr="00A93A46">
        <w:rPr>
          <w:rFonts w:ascii="Times New Roman" w:eastAsia="Times New Roman" w:hAnsi="Times New Roman" w:cs="Times New Roman"/>
          <w:color w:val="000000"/>
        </w:rPr>
        <w:t xml:space="preserve"> un frammento del 1803 intitolato </w:t>
      </w:r>
      <w:r w:rsidR="00794142" w:rsidRPr="00A93A46">
        <w:rPr>
          <w:rFonts w:ascii="Times New Roman" w:eastAsia="Times New Roman" w:hAnsi="Times New Roman" w:cs="Times New Roman"/>
          <w:i/>
          <w:color w:val="000000"/>
        </w:rPr>
        <w:t>Das Wesen des Geistes</w:t>
      </w:r>
      <w:r w:rsidR="00794142" w:rsidRPr="00A93A46">
        <w:rPr>
          <w:rStyle w:val="Rimandonotaapidipagina"/>
          <w:rFonts w:ascii="Times New Roman" w:eastAsia="Times New Roman" w:hAnsi="Times New Roman" w:cs="Times New Roman"/>
          <w:i/>
          <w:color w:val="000000"/>
        </w:rPr>
        <w:footnoteReference w:id="151"/>
      </w:r>
      <w:r w:rsidR="008E39D1" w:rsidRPr="00A93A46">
        <w:rPr>
          <w:rFonts w:ascii="Times New Roman" w:eastAsia="Times New Roman" w:hAnsi="Times New Roman" w:cs="Times New Roman"/>
          <w:color w:val="000000"/>
        </w:rPr>
        <w:t>, Hegel</w:t>
      </w:r>
      <w:r w:rsidR="001F1608" w:rsidRPr="00A93A46">
        <w:rPr>
          <w:rFonts w:ascii="Times New Roman" w:eastAsia="Times New Roman" w:hAnsi="Times New Roman" w:cs="Times New Roman"/>
          <w:color w:val="000000"/>
        </w:rPr>
        <w:t xml:space="preserve"> descrive</w:t>
      </w:r>
      <w:r w:rsidR="00767249" w:rsidRPr="00A93A46">
        <w:rPr>
          <w:rFonts w:ascii="Times New Roman" w:eastAsia="Times New Roman" w:hAnsi="Times New Roman" w:cs="Times New Roman"/>
          <w:color w:val="000000"/>
        </w:rPr>
        <w:t xml:space="preserve">, nel </w:t>
      </w:r>
      <w:r w:rsidR="00767249" w:rsidRPr="00A93A46">
        <w:rPr>
          <w:rFonts w:ascii="Times New Roman" w:eastAsia="Times New Roman" w:hAnsi="Times New Roman" w:cs="Times New Roman"/>
          <w:i/>
          <w:color w:val="000000"/>
        </w:rPr>
        <w:t>Fragment 49</w:t>
      </w:r>
      <w:r w:rsidR="00767249" w:rsidRPr="00A93A46">
        <w:rPr>
          <w:rFonts w:ascii="Times New Roman" w:eastAsia="Times New Roman" w:hAnsi="Times New Roman" w:cs="Times New Roman"/>
          <w:color w:val="000000"/>
        </w:rPr>
        <w:t xml:space="preserve">, </w:t>
      </w:r>
      <w:r w:rsidR="00160A89" w:rsidRPr="00A93A46">
        <w:rPr>
          <w:rFonts w:ascii="Times New Roman" w:eastAsia="Times New Roman" w:hAnsi="Times New Roman" w:cs="Times New Roman"/>
          <w:color w:val="000000"/>
        </w:rPr>
        <w:t xml:space="preserve">il seguente </w:t>
      </w:r>
      <w:r w:rsidR="008E39D1" w:rsidRPr="00A93A46">
        <w:rPr>
          <w:rFonts w:ascii="Times New Roman" w:eastAsia="Times New Roman" w:hAnsi="Times New Roman" w:cs="Times New Roman"/>
          <w:i/>
          <w:color w:val="000000"/>
        </w:rPr>
        <w:t>Lebenslauf Gottes</w:t>
      </w:r>
      <w:r w:rsidR="00EE76A1" w:rsidRPr="00A93A46">
        <w:rPr>
          <w:rFonts w:ascii="Times New Roman" w:eastAsia="Times New Roman" w:hAnsi="Times New Roman" w:cs="Times New Roman"/>
          <w:color w:val="000000"/>
        </w:rPr>
        <w:t>:</w:t>
      </w:r>
    </w:p>
    <w:p w14:paraId="376AF021" w14:textId="77777777" w:rsidR="00136EF3" w:rsidRDefault="00136EF3" w:rsidP="00EE76A1">
      <w:pPr>
        <w:spacing w:line="360" w:lineRule="auto"/>
        <w:ind w:firstLine="567"/>
        <w:jc w:val="both"/>
        <w:rPr>
          <w:rFonts w:ascii="Times New Roman" w:eastAsia="Times New Roman" w:hAnsi="Times New Roman" w:cs="Times New Roman"/>
          <w:color w:val="000000"/>
        </w:rPr>
      </w:pPr>
    </w:p>
    <w:p w14:paraId="0BBBDE75" w14:textId="45BE56DE" w:rsidR="00FC673A" w:rsidRPr="00D91B89" w:rsidRDefault="00FC673A" w:rsidP="00FC673A">
      <w:pPr>
        <w:spacing w:line="360" w:lineRule="auto"/>
        <w:ind w:left="708" w:firstLine="567"/>
        <w:jc w:val="both"/>
        <w:rPr>
          <w:rFonts w:ascii="Times New Roman" w:eastAsia="Times New Roman" w:hAnsi="Times New Roman" w:cs="Times New Roman"/>
          <w:color w:val="000000"/>
          <w:sz w:val="20"/>
          <w:szCs w:val="20"/>
        </w:rPr>
      </w:pPr>
      <w:r w:rsidRPr="005507C8">
        <w:rPr>
          <w:rFonts w:ascii="Times New Roman" w:eastAsia="Times New Roman" w:hAnsi="Times New Roman" w:cs="Times New Roman"/>
          <w:color w:val="000000"/>
          <w:sz w:val="20"/>
          <w:szCs w:val="20"/>
        </w:rPr>
        <w:t xml:space="preserve">«Gott, zur Natur geworden, hat sich ausgebreitet in die Pracht und den stummen Kreislauf der Gestaltungen, wird sich der Expansion, der verlorenen Punctualität bewußt und ergrimmt darüber […] </w:t>
      </w:r>
      <w:r w:rsidR="005542BB" w:rsidRPr="005507C8">
        <w:rPr>
          <w:rFonts w:ascii="Times New Roman" w:eastAsia="Times New Roman" w:hAnsi="Times New Roman" w:cs="Times New Roman"/>
          <w:color w:val="000000"/>
          <w:sz w:val="20"/>
          <w:szCs w:val="20"/>
        </w:rPr>
        <w:t>Dieser Grimm, indem er dies Hinausfahren ist, ist die Zerstörung der Natur. Das über die Gestaltungen Hinausgehen ist ebenso ein absolutes Gehen in sich selbst, ein Werden zum Mittelpunkt. In diesem fri</w:t>
      </w:r>
      <w:r w:rsidR="00A97CBF" w:rsidRPr="005507C8">
        <w:rPr>
          <w:rFonts w:ascii="Times New Roman" w:eastAsia="Times New Roman" w:hAnsi="Times New Roman" w:cs="Times New Roman"/>
          <w:color w:val="000000"/>
          <w:sz w:val="20"/>
          <w:szCs w:val="20"/>
        </w:rPr>
        <w:t xml:space="preserve">ßt der Grimm seine Gestaltungen in sich hinein […] </w:t>
      </w:r>
      <w:r w:rsidRPr="005507C8">
        <w:rPr>
          <w:rFonts w:ascii="Times New Roman" w:eastAsia="Times New Roman" w:hAnsi="Times New Roman" w:cs="Times New Roman"/>
          <w:color w:val="000000"/>
          <w:sz w:val="20"/>
          <w:szCs w:val="20"/>
        </w:rPr>
        <w:t>Der Zorn Gottes über sich selbst in seinem Anderssein, der gefallene Luzifer, hier fixirt, empört sich gegen</w:t>
      </w:r>
      <w:r w:rsidR="00A97CBF" w:rsidRPr="005507C8">
        <w:rPr>
          <w:rFonts w:ascii="Times New Roman" w:eastAsia="Times New Roman" w:hAnsi="Times New Roman" w:cs="Times New Roman"/>
          <w:color w:val="000000"/>
          <w:sz w:val="20"/>
          <w:szCs w:val="20"/>
        </w:rPr>
        <w:t xml:space="preserve"> </w:t>
      </w:r>
      <w:r w:rsidRPr="005507C8">
        <w:rPr>
          <w:rFonts w:ascii="Times New Roman" w:eastAsia="Times New Roman" w:hAnsi="Times New Roman" w:cs="Times New Roman"/>
          <w:color w:val="000000"/>
          <w:sz w:val="20"/>
          <w:szCs w:val="20"/>
        </w:rPr>
        <w:t>Gott und seine Sc</w:t>
      </w:r>
      <w:r w:rsidR="00150B91">
        <w:rPr>
          <w:rFonts w:ascii="Times New Roman" w:eastAsia="Times New Roman" w:hAnsi="Times New Roman" w:cs="Times New Roman"/>
          <w:color w:val="000000"/>
          <w:sz w:val="20"/>
          <w:szCs w:val="20"/>
        </w:rPr>
        <w:t>hönheit macht ihn hoffä</w:t>
      </w:r>
      <w:r w:rsidR="002B081E" w:rsidRPr="005507C8">
        <w:rPr>
          <w:rFonts w:ascii="Times New Roman" w:eastAsia="Times New Roman" w:hAnsi="Times New Roman" w:cs="Times New Roman"/>
          <w:color w:val="000000"/>
          <w:sz w:val="20"/>
          <w:szCs w:val="20"/>
        </w:rPr>
        <w:t>rtig</w:t>
      </w:r>
      <w:r w:rsidRPr="005507C8">
        <w:rPr>
          <w:rFonts w:ascii="Times New Roman" w:eastAsia="Times New Roman" w:hAnsi="Times New Roman" w:cs="Times New Roman"/>
          <w:color w:val="000000"/>
          <w:sz w:val="20"/>
          <w:szCs w:val="20"/>
        </w:rPr>
        <w:t>.</w:t>
      </w:r>
      <w:r w:rsidR="002B081E" w:rsidRPr="005507C8">
        <w:rPr>
          <w:rFonts w:ascii="Times New Roman" w:eastAsia="Times New Roman" w:hAnsi="Times New Roman" w:cs="Times New Roman"/>
          <w:color w:val="000000"/>
          <w:sz w:val="20"/>
          <w:szCs w:val="20"/>
        </w:rPr>
        <w:t xml:space="preserve"> Die Natur mit dem Bewußtseyn über ihre Gestalt</w:t>
      </w:r>
      <w:r w:rsidR="00382E48" w:rsidRPr="005507C8">
        <w:rPr>
          <w:rFonts w:ascii="Times New Roman" w:eastAsia="Times New Roman" w:hAnsi="Times New Roman" w:cs="Times New Roman"/>
          <w:color w:val="000000"/>
          <w:sz w:val="20"/>
          <w:szCs w:val="20"/>
        </w:rPr>
        <w:t xml:space="preserve"> trägt sich zur Schau und gefällt sich selbst in sich</w:t>
      </w:r>
      <w:r w:rsidR="00093561">
        <w:rPr>
          <w:rFonts w:ascii="Times New Roman" w:eastAsia="Times New Roman" w:hAnsi="Times New Roman" w:cs="Times New Roman"/>
          <w:color w:val="000000"/>
          <w:sz w:val="20"/>
          <w:szCs w:val="20"/>
        </w:rPr>
        <w:t>. Aber dies ihr F</w:t>
      </w:r>
      <w:r w:rsidR="00093561" w:rsidRPr="00D91B89">
        <w:rPr>
          <w:rFonts w:ascii="Times New Roman" w:eastAsia="Times New Roman" w:hAnsi="Times New Roman" w:cs="Times New Roman"/>
          <w:color w:val="000000"/>
          <w:sz w:val="20"/>
          <w:szCs w:val="20"/>
        </w:rPr>
        <w:t>ü</w:t>
      </w:r>
      <w:r w:rsidR="00093561">
        <w:rPr>
          <w:rFonts w:ascii="Times New Roman" w:eastAsia="Times New Roman" w:hAnsi="Times New Roman" w:cs="Times New Roman"/>
          <w:color w:val="000000"/>
          <w:sz w:val="20"/>
          <w:szCs w:val="20"/>
        </w:rPr>
        <w:t>r-sich-Seyn oder ihr Seyn als Bewußtseyn ist nicht ihr Seyn in immer ruhiger Vorstellung ihrer selbst […]</w:t>
      </w:r>
      <w:r w:rsidR="00382E48" w:rsidRPr="00D91B89">
        <w:rPr>
          <w:rFonts w:ascii="Times New Roman" w:eastAsia="Times New Roman" w:hAnsi="Times New Roman" w:cs="Times New Roman"/>
          <w:color w:val="000000"/>
          <w:sz w:val="20"/>
          <w:szCs w:val="20"/>
        </w:rPr>
        <w:t xml:space="preserve"> Es ist Zorn selbst, die Entzündung des Grimmes in ihm, der sich aufreibt und seine hoffärtige Pracht verzehrt. </w:t>
      </w:r>
      <w:r w:rsidRPr="00D91B89">
        <w:rPr>
          <w:rFonts w:ascii="Times New Roman" w:eastAsia="Times New Roman" w:hAnsi="Times New Roman" w:cs="Times New Roman"/>
          <w:color w:val="000000"/>
          <w:sz w:val="20"/>
          <w:szCs w:val="20"/>
        </w:rPr>
        <w:t>Die verzehrte Natur steigt in neuer idealer Gestalt als ein Schattenreich empor, das jenes erste Leben verloren hat […]. Diese neue Gestalt ist die Ueberwindung des Bösen […]. Solche Mythen, solche Anschauungen sind die Anschauungen der Barbarei […] Jene An</w:t>
      </w:r>
      <w:r w:rsidR="00B271F3">
        <w:rPr>
          <w:rFonts w:ascii="Times New Roman" w:eastAsia="Times New Roman" w:hAnsi="Times New Roman" w:cs="Times New Roman"/>
          <w:color w:val="000000"/>
          <w:sz w:val="20"/>
          <w:szCs w:val="20"/>
        </w:rPr>
        <w:t>s</w:t>
      </w:r>
      <w:r w:rsidRPr="00D91B89">
        <w:rPr>
          <w:rFonts w:ascii="Times New Roman" w:eastAsia="Times New Roman" w:hAnsi="Times New Roman" w:cs="Times New Roman"/>
          <w:color w:val="000000"/>
          <w:sz w:val="20"/>
          <w:szCs w:val="20"/>
        </w:rPr>
        <w:t>chauung muß noch einen zweiten Prozeß durchgehen, um absolut zu sein. Dieser ist die Wissenschaft oder das Erkennen, daß jenes sich in sich hinein Imaginieren, jener Lebenslauf Gottes, aus dem Erkennen selbst hervorgeht […]. Jene Anschauung der Religion ist allgemeine Religion und sie ist dies nur als Wissenschaft. Die Bildung, wissenschaftliche Entwicklung jener Anchauung ist dies, daß sie immer Geist bleibt, den Geist nicht verliert und als dieser sich nicht verlierende Geist sich ein anderes wird und sich wiederfindet»</w:t>
      </w:r>
      <w:r w:rsidRPr="00D91B89">
        <w:rPr>
          <w:rStyle w:val="Rimandonotaapidipagina"/>
          <w:rFonts w:ascii="Times New Roman" w:eastAsia="Times New Roman" w:hAnsi="Times New Roman" w:cs="Times New Roman"/>
          <w:color w:val="000000"/>
          <w:sz w:val="20"/>
          <w:szCs w:val="20"/>
        </w:rPr>
        <w:footnoteReference w:id="152"/>
      </w:r>
      <w:r w:rsidRPr="00D91B89">
        <w:rPr>
          <w:rFonts w:ascii="Times New Roman" w:eastAsia="Times New Roman" w:hAnsi="Times New Roman" w:cs="Times New Roman"/>
          <w:color w:val="000000"/>
          <w:sz w:val="20"/>
          <w:szCs w:val="20"/>
        </w:rPr>
        <w:t>.</w:t>
      </w:r>
    </w:p>
    <w:p w14:paraId="2D17F218" w14:textId="77777777" w:rsidR="00767249" w:rsidRPr="00D91B89" w:rsidRDefault="00767249" w:rsidP="00FC673A">
      <w:pPr>
        <w:spacing w:line="360" w:lineRule="auto"/>
        <w:ind w:left="708" w:firstLine="567"/>
        <w:jc w:val="both"/>
        <w:rPr>
          <w:rFonts w:ascii="Times New Roman" w:eastAsia="Times New Roman" w:hAnsi="Times New Roman" w:cs="Times New Roman"/>
          <w:color w:val="000000"/>
        </w:rPr>
      </w:pPr>
    </w:p>
    <w:p w14:paraId="4EB541B8" w14:textId="6FB25C2C" w:rsidR="00754731" w:rsidRDefault="001F675D" w:rsidP="00754731">
      <w:pPr>
        <w:spacing w:line="360" w:lineRule="auto"/>
        <w:ind w:firstLine="567"/>
        <w:jc w:val="both"/>
        <w:rPr>
          <w:rFonts w:ascii="Times New Roman" w:eastAsia="Times New Roman" w:hAnsi="Times New Roman" w:cs="Times New Roman"/>
          <w:color w:val="000000"/>
        </w:rPr>
      </w:pPr>
      <w:r w:rsidRPr="00CE329B">
        <w:rPr>
          <w:rFonts w:ascii="Times New Roman" w:eastAsia="Times New Roman" w:hAnsi="Times New Roman" w:cs="Times New Roman"/>
          <w:color w:val="000000"/>
        </w:rPr>
        <w:t>Dio si realizza come l’altro da sé</w:t>
      </w:r>
      <w:r w:rsidR="00442426">
        <w:rPr>
          <w:rFonts w:ascii="Times New Roman" w:eastAsia="Times New Roman" w:hAnsi="Times New Roman" w:cs="Times New Roman"/>
          <w:color w:val="000000"/>
        </w:rPr>
        <w:t xml:space="preserve"> </w:t>
      </w:r>
      <w:r w:rsidR="00442426" w:rsidRPr="007B582E">
        <w:rPr>
          <w:rFonts w:ascii="Times New Roman" w:eastAsia="Times New Roman" w:hAnsi="Times New Roman" w:cs="Times New Roman"/>
          <w:color w:val="000000"/>
        </w:rPr>
        <w:t>e diviene natura</w:t>
      </w:r>
      <w:r w:rsidRPr="007B582E">
        <w:rPr>
          <w:rFonts w:ascii="Times New Roman" w:eastAsia="Times New Roman" w:hAnsi="Times New Roman" w:cs="Times New Roman"/>
          <w:color w:val="000000"/>
        </w:rPr>
        <w:t>.</w:t>
      </w:r>
      <w:r w:rsidRPr="00CE329B">
        <w:rPr>
          <w:rFonts w:ascii="Times New Roman" w:eastAsia="Times New Roman" w:hAnsi="Times New Roman" w:cs="Times New Roman"/>
          <w:color w:val="000000"/>
        </w:rPr>
        <w:t xml:space="preserve"> </w:t>
      </w:r>
      <w:r w:rsidR="0037013F">
        <w:rPr>
          <w:rFonts w:ascii="Times New Roman" w:eastAsia="Times New Roman" w:hAnsi="Times New Roman" w:cs="Times New Roman"/>
          <w:color w:val="000000"/>
        </w:rPr>
        <w:t>Per Hegel, l</w:t>
      </w:r>
      <w:r w:rsidR="007D14C1">
        <w:rPr>
          <w:rFonts w:ascii="Times New Roman" w:eastAsia="Times New Roman" w:hAnsi="Times New Roman" w:cs="Times New Roman"/>
          <w:color w:val="000000"/>
        </w:rPr>
        <w:t>a contrazione –</w:t>
      </w:r>
      <w:r w:rsidR="00620582">
        <w:rPr>
          <w:rFonts w:ascii="Times New Roman" w:eastAsia="Times New Roman" w:hAnsi="Times New Roman" w:cs="Times New Roman"/>
          <w:color w:val="000000"/>
        </w:rPr>
        <w:t xml:space="preserve"> </w:t>
      </w:r>
      <w:r w:rsidRPr="00CE329B">
        <w:rPr>
          <w:rFonts w:ascii="Times New Roman" w:eastAsia="Times New Roman" w:hAnsi="Times New Roman" w:cs="Times New Roman"/>
          <w:color w:val="000000"/>
        </w:rPr>
        <w:t xml:space="preserve">qui definita come </w:t>
      </w:r>
      <w:r w:rsidRPr="00CE329B">
        <w:rPr>
          <w:rFonts w:ascii="Times New Roman" w:eastAsia="Times New Roman" w:hAnsi="Times New Roman" w:cs="Times New Roman"/>
          <w:i/>
          <w:color w:val="000000"/>
        </w:rPr>
        <w:t>Punctualität</w:t>
      </w:r>
      <w:r w:rsidR="0097536A">
        <w:rPr>
          <w:rStyle w:val="Rimandonotaapidipagina"/>
          <w:rFonts w:ascii="Times New Roman" w:eastAsia="Times New Roman" w:hAnsi="Times New Roman" w:cs="Times New Roman"/>
          <w:i/>
          <w:color w:val="000000"/>
        </w:rPr>
        <w:footnoteReference w:id="153"/>
      </w:r>
      <w:r w:rsidR="007D14C1">
        <w:rPr>
          <w:rFonts w:ascii="Times New Roman" w:eastAsia="Times New Roman" w:hAnsi="Times New Roman" w:cs="Times New Roman"/>
          <w:color w:val="000000"/>
        </w:rPr>
        <w:t xml:space="preserve"> </w:t>
      </w:r>
      <w:r w:rsidR="007D14C1">
        <w:rPr>
          <w:rFonts w:ascii="Times New Roman" w:eastAsia="Times New Roman" w:hAnsi="Times New Roman" w:cs="Times New Roman"/>
          <w:color w:val="000000"/>
        </w:rPr>
        <w:softHyphen/>
        <w:t>–</w:t>
      </w:r>
      <w:r w:rsidRPr="00CE329B">
        <w:rPr>
          <w:rFonts w:ascii="Times New Roman" w:eastAsia="Times New Roman" w:hAnsi="Times New Roman" w:cs="Times New Roman"/>
          <w:color w:val="000000"/>
        </w:rPr>
        <w:t xml:space="preserve"> e l’espansione, che rappresentano delle determinazioni concettuali comuni tanto alla filosofia romantica della natura, quanto alla tradizione ca</w:t>
      </w:r>
      <w:r w:rsidR="007812BC">
        <w:rPr>
          <w:rFonts w:ascii="Times New Roman" w:eastAsia="Times New Roman" w:hAnsi="Times New Roman" w:cs="Times New Roman"/>
          <w:color w:val="000000"/>
        </w:rPr>
        <w:t>b</w:t>
      </w:r>
      <w:r w:rsidR="0003541D">
        <w:rPr>
          <w:rFonts w:ascii="Times New Roman" w:eastAsia="Times New Roman" w:hAnsi="Times New Roman" w:cs="Times New Roman"/>
          <w:color w:val="000000"/>
        </w:rPr>
        <w:t>b</w:t>
      </w:r>
      <w:r w:rsidR="00C167FE">
        <w:rPr>
          <w:rFonts w:ascii="Times New Roman" w:eastAsia="Times New Roman" w:hAnsi="Times New Roman" w:cs="Times New Roman"/>
          <w:color w:val="000000"/>
        </w:rPr>
        <w:t>alistica,</w:t>
      </w:r>
      <w:r w:rsidRPr="00CE329B">
        <w:rPr>
          <w:rFonts w:ascii="Times New Roman" w:eastAsia="Times New Roman" w:hAnsi="Times New Roman" w:cs="Times New Roman"/>
          <w:color w:val="000000"/>
        </w:rPr>
        <w:t xml:space="preserve"> attiva e percepibile anche nell’opera di </w:t>
      </w:r>
      <w:r w:rsidR="00B77E60">
        <w:rPr>
          <w:rFonts w:ascii="Times New Roman" w:eastAsia="Times New Roman" w:hAnsi="Times New Roman" w:cs="Times New Roman"/>
          <w:color w:val="000000"/>
        </w:rPr>
        <w:t xml:space="preserve">Jakob </w:t>
      </w:r>
      <w:r w:rsidRPr="00CE329B">
        <w:rPr>
          <w:rFonts w:ascii="Times New Roman" w:eastAsia="Times New Roman" w:hAnsi="Times New Roman" w:cs="Times New Roman"/>
          <w:color w:val="000000"/>
        </w:rPr>
        <w:t>Böhme</w:t>
      </w:r>
      <w:r w:rsidRPr="00CE329B">
        <w:rPr>
          <w:rStyle w:val="Rimandonotaapidipagina"/>
          <w:rFonts w:ascii="Times New Roman" w:eastAsia="Times New Roman" w:hAnsi="Times New Roman" w:cs="Times New Roman"/>
          <w:color w:val="000000"/>
        </w:rPr>
        <w:footnoteReference w:id="154"/>
      </w:r>
      <w:r w:rsidRPr="00CE329B">
        <w:rPr>
          <w:rFonts w:ascii="Times New Roman" w:eastAsia="Times New Roman" w:hAnsi="Times New Roman" w:cs="Times New Roman"/>
          <w:color w:val="000000"/>
        </w:rPr>
        <w:t xml:space="preserve">, scandiscono i momenti dell’attività creatrice </w:t>
      </w:r>
      <w:r w:rsidR="004229EA">
        <w:rPr>
          <w:rFonts w:ascii="Times New Roman" w:eastAsia="Times New Roman" w:hAnsi="Times New Roman" w:cs="Times New Roman"/>
          <w:color w:val="000000"/>
        </w:rPr>
        <w:t>di Dio</w:t>
      </w:r>
      <w:r w:rsidRPr="00CE329B">
        <w:rPr>
          <w:rFonts w:ascii="Times New Roman" w:eastAsia="Times New Roman" w:hAnsi="Times New Roman" w:cs="Times New Roman"/>
          <w:color w:val="000000"/>
        </w:rPr>
        <w:t xml:space="preserve">. </w:t>
      </w:r>
      <w:r w:rsidR="0037013F">
        <w:rPr>
          <w:rFonts w:ascii="Times New Roman" w:eastAsia="Times New Roman" w:hAnsi="Times New Roman" w:cs="Times New Roman"/>
          <w:color w:val="000000"/>
        </w:rPr>
        <w:t xml:space="preserve">Nella </w:t>
      </w:r>
      <w:r w:rsidRPr="00CE329B">
        <w:rPr>
          <w:rFonts w:ascii="Times New Roman" w:eastAsia="Times New Roman" w:hAnsi="Times New Roman" w:cs="Times New Roman"/>
          <w:color w:val="000000"/>
        </w:rPr>
        <w:t xml:space="preserve">prima fase del </w:t>
      </w:r>
      <w:r w:rsidR="0037013F">
        <w:rPr>
          <w:rFonts w:ascii="Times New Roman" w:eastAsia="Times New Roman" w:hAnsi="Times New Roman" w:cs="Times New Roman"/>
          <w:color w:val="000000"/>
        </w:rPr>
        <w:t xml:space="preserve">cosiddetto </w:t>
      </w:r>
      <w:r w:rsidRPr="00CE329B">
        <w:rPr>
          <w:rFonts w:ascii="Times New Roman" w:eastAsia="Times New Roman" w:hAnsi="Times New Roman" w:cs="Times New Roman"/>
          <w:i/>
          <w:color w:val="000000"/>
        </w:rPr>
        <w:t>Lebenslauf</w:t>
      </w:r>
      <w:r w:rsidRPr="00CE329B">
        <w:rPr>
          <w:rFonts w:ascii="Times New Roman" w:eastAsia="Times New Roman" w:hAnsi="Times New Roman" w:cs="Times New Roman"/>
          <w:color w:val="000000"/>
        </w:rPr>
        <w:t xml:space="preserve"> </w:t>
      </w:r>
      <w:r w:rsidRPr="00CE329B">
        <w:rPr>
          <w:rFonts w:ascii="Times New Roman" w:eastAsia="Times New Roman" w:hAnsi="Times New Roman" w:cs="Times New Roman"/>
          <w:i/>
          <w:color w:val="000000"/>
        </w:rPr>
        <w:t>Gottes</w:t>
      </w:r>
      <w:r w:rsidRPr="00CE329B">
        <w:rPr>
          <w:rFonts w:ascii="Times New Roman" w:eastAsia="Times New Roman" w:hAnsi="Times New Roman" w:cs="Times New Roman"/>
          <w:color w:val="000000"/>
        </w:rPr>
        <w:t xml:space="preserve">, lo spirito non </w:t>
      </w:r>
      <w:r w:rsidR="004229EA" w:rsidRPr="00800BDA">
        <w:rPr>
          <w:rFonts w:ascii="Times New Roman" w:eastAsia="Times New Roman" w:hAnsi="Times New Roman" w:cs="Times New Roman"/>
          <w:color w:val="000000"/>
        </w:rPr>
        <w:t xml:space="preserve">abbandona </w:t>
      </w:r>
      <w:r w:rsidR="008C6CCD">
        <w:rPr>
          <w:rFonts w:ascii="Times New Roman" w:eastAsia="Times New Roman" w:hAnsi="Times New Roman" w:cs="Times New Roman"/>
          <w:color w:val="000000"/>
        </w:rPr>
        <w:t xml:space="preserve">la </w:t>
      </w:r>
      <w:r w:rsidRPr="00800BDA">
        <w:rPr>
          <w:rFonts w:ascii="Times New Roman" w:eastAsia="Times New Roman" w:hAnsi="Times New Roman" w:cs="Times New Roman"/>
          <w:color w:val="000000"/>
        </w:rPr>
        <w:t xml:space="preserve">sfera naturale, ma si mantiene attivo in essa come </w:t>
      </w:r>
      <w:r w:rsidRPr="00F11FEA">
        <w:rPr>
          <w:rFonts w:ascii="Times New Roman" w:eastAsia="Times New Roman" w:hAnsi="Times New Roman" w:cs="Times New Roman"/>
          <w:color w:val="000000"/>
        </w:rPr>
        <w:t>«verborgener Geist»</w:t>
      </w:r>
      <w:r w:rsidRPr="00F11FEA">
        <w:rPr>
          <w:rStyle w:val="Rimandonotaapidipagina"/>
          <w:rFonts w:ascii="Times New Roman" w:eastAsia="Times New Roman" w:hAnsi="Times New Roman" w:cs="Times New Roman"/>
          <w:color w:val="000000"/>
        </w:rPr>
        <w:footnoteReference w:id="155"/>
      </w:r>
      <w:r w:rsidRPr="00F11FEA">
        <w:rPr>
          <w:rFonts w:ascii="Times New Roman" w:eastAsia="Times New Roman" w:hAnsi="Times New Roman" w:cs="Times New Roman"/>
          <w:color w:val="000000"/>
        </w:rPr>
        <w:t>:</w:t>
      </w:r>
      <w:r w:rsidRPr="00800BDA">
        <w:rPr>
          <w:rFonts w:ascii="Times New Roman" w:eastAsia="Times New Roman" w:hAnsi="Times New Roman" w:cs="Times New Roman"/>
          <w:color w:val="000000"/>
        </w:rPr>
        <w:t xml:space="preserve"> l’equilibrio fra un</w:t>
      </w:r>
      <w:r w:rsidR="00E02BFC">
        <w:rPr>
          <w:rFonts w:ascii="Times New Roman" w:eastAsia="Times New Roman" w:hAnsi="Times New Roman" w:cs="Times New Roman"/>
          <w:color w:val="000000"/>
        </w:rPr>
        <w:t xml:space="preserve">a forza </w:t>
      </w:r>
      <w:r w:rsidR="00641AD6">
        <w:rPr>
          <w:rFonts w:ascii="Times New Roman" w:eastAsia="Times New Roman" w:hAnsi="Times New Roman" w:cs="Times New Roman"/>
          <w:color w:val="000000"/>
        </w:rPr>
        <w:t xml:space="preserve">contrattiva </w:t>
      </w:r>
      <w:r w:rsidR="00E02BFC">
        <w:rPr>
          <w:rFonts w:ascii="Times New Roman" w:eastAsia="Times New Roman" w:hAnsi="Times New Roman" w:cs="Times New Roman"/>
          <w:color w:val="000000"/>
        </w:rPr>
        <w:t>e</w:t>
      </w:r>
      <w:r w:rsidRPr="00800BDA">
        <w:rPr>
          <w:rFonts w:ascii="Times New Roman" w:eastAsia="Times New Roman" w:hAnsi="Times New Roman" w:cs="Times New Roman"/>
          <w:color w:val="000000"/>
        </w:rPr>
        <w:t xml:space="preserve"> una forza espansiva </w:t>
      </w:r>
      <w:r w:rsidR="00127F5B" w:rsidRPr="00800BDA">
        <w:rPr>
          <w:rFonts w:ascii="Times New Roman" w:eastAsia="Times New Roman" w:hAnsi="Times New Roman" w:cs="Times New Roman"/>
          <w:color w:val="000000"/>
        </w:rPr>
        <w:t xml:space="preserve">è ciò che </w:t>
      </w:r>
      <w:r w:rsidRPr="00800BDA">
        <w:rPr>
          <w:rFonts w:ascii="Times New Roman" w:eastAsia="Times New Roman" w:hAnsi="Times New Roman" w:cs="Times New Roman"/>
          <w:color w:val="000000"/>
        </w:rPr>
        <w:t>conferisce presenzialità al divino nella se</w:t>
      </w:r>
      <w:r w:rsidR="00127F5B" w:rsidRPr="00800BDA">
        <w:rPr>
          <w:rFonts w:ascii="Times New Roman" w:eastAsia="Times New Roman" w:hAnsi="Times New Roman" w:cs="Times New Roman"/>
          <w:color w:val="000000"/>
        </w:rPr>
        <w:t xml:space="preserve">rie delle </w:t>
      </w:r>
      <w:r w:rsidR="00BD5C8E" w:rsidRPr="00800BDA">
        <w:rPr>
          <w:rFonts w:ascii="Times New Roman" w:eastAsia="Times New Roman" w:hAnsi="Times New Roman" w:cs="Times New Roman"/>
          <w:color w:val="000000"/>
        </w:rPr>
        <w:t xml:space="preserve">sue </w:t>
      </w:r>
      <w:r w:rsidR="00127F5B" w:rsidRPr="00800BDA">
        <w:rPr>
          <w:rFonts w:ascii="Times New Roman" w:eastAsia="Times New Roman" w:hAnsi="Times New Roman" w:cs="Times New Roman"/>
          <w:color w:val="000000"/>
        </w:rPr>
        <w:t>figurazioni, poiché la pura espansione</w:t>
      </w:r>
      <w:r w:rsidR="003F65A4" w:rsidRPr="00800BDA">
        <w:rPr>
          <w:rFonts w:ascii="Times New Roman" w:eastAsia="Times New Roman" w:hAnsi="Times New Roman" w:cs="Times New Roman"/>
          <w:color w:val="000000"/>
        </w:rPr>
        <w:t xml:space="preserve">, se non </w:t>
      </w:r>
      <w:r w:rsidR="00127F5B" w:rsidRPr="00800BDA">
        <w:rPr>
          <w:rFonts w:ascii="Times New Roman" w:eastAsia="Times New Roman" w:hAnsi="Times New Roman" w:cs="Times New Roman"/>
          <w:color w:val="000000"/>
        </w:rPr>
        <w:t xml:space="preserve">fosse </w:t>
      </w:r>
      <w:r w:rsidR="003F65A4" w:rsidRPr="00800BDA">
        <w:rPr>
          <w:rFonts w:ascii="Times New Roman" w:eastAsia="Times New Roman" w:hAnsi="Times New Roman" w:cs="Times New Roman"/>
          <w:color w:val="000000"/>
        </w:rPr>
        <w:t>controbilanciata da un principio opposto</w:t>
      </w:r>
      <w:r w:rsidR="00CA6A91">
        <w:rPr>
          <w:rFonts w:ascii="Times New Roman" w:eastAsia="Times New Roman" w:hAnsi="Times New Roman" w:cs="Times New Roman"/>
          <w:color w:val="000000"/>
        </w:rPr>
        <w:t xml:space="preserve"> e </w:t>
      </w:r>
      <w:r w:rsidR="00127F5B" w:rsidRPr="00800BDA">
        <w:rPr>
          <w:rFonts w:ascii="Times New Roman" w:eastAsia="Times New Roman" w:hAnsi="Times New Roman" w:cs="Times New Roman"/>
          <w:color w:val="000000"/>
        </w:rPr>
        <w:t>contrario</w:t>
      </w:r>
      <w:r w:rsidR="00BD5C8E" w:rsidRPr="00800BDA">
        <w:rPr>
          <w:rFonts w:ascii="Times New Roman" w:eastAsia="Times New Roman" w:hAnsi="Times New Roman" w:cs="Times New Roman"/>
          <w:color w:val="000000"/>
        </w:rPr>
        <w:t>, qual</w:t>
      </w:r>
      <w:r w:rsidR="003F65A4" w:rsidRPr="00800BDA">
        <w:rPr>
          <w:rFonts w:ascii="Times New Roman" w:eastAsia="Times New Roman" w:hAnsi="Times New Roman" w:cs="Times New Roman"/>
          <w:color w:val="000000"/>
        </w:rPr>
        <w:t xml:space="preserve"> è la puntualità, non perverrebbe</w:t>
      </w:r>
      <w:r w:rsidR="00127F5B" w:rsidRPr="00800BDA">
        <w:rPr>
          <w:rFonts w:ascii="Times New Roman" w:eastAsia="Times New Roman" w:hAnsi="Times New Roman" w:cs="Times New Roman"/>
          <w:color w:val="000000"/>
        </w:rPr>
        <w:t xml:space="preserve"> a determinazione alcuna, ma sarebbe un comu</w:t>
      </w:r>
      <w:r w:rsidR="00506DD4" w:rsidRPr="00800BDA">
        <w:rPr>
          <w:rFonts w:ascii="Times New Roman" w:eastAsia="Times New Roman" w:hAnsi="Times New Roman" w:cs="Times New Roman"/>
          <w:color w:val="000000"/>
        </w:rPr>
        <w:t xml:space="preserve">nicarsi privo di fondamento e </w:t>
      </w:r>
      <w:r w:rsidR="00030EAB" w:rsidRPr="00800BDA">
        <w:rPr>
          <w:rFonts w:ascii="Times New Roman" w:eastAsia="Times New Roman" w:hAnsi="Times New Roman" w:cs="Times New Roman"/>
          <w:color w:val="000000"/>
        </w:rPr>
        <w:t>forma</w:t>
      </w:r>
      <w:r w:rsidR="003F65A4" w:rsidRPr="00800BDA">
        <w:rPr>
          <w:rFonts w:ascii="Times New Roman" w:eastAsia="Times New Roman" w:hAnsi="Times New Roman" w:cs="Times New Roman"/>
          <w:color w:val="000000"/>
        </w:rPr>
        <w:t xml:space="preserve">. </w:t>
      </w:r>
      <w:r w:rsidR="004229EA" w:rsidRPr="00800BDA">
        <w:rPr>
          <w:rFonts w:ascii="Times New Roman" w:eastAsia="Times New Roman" w:hAnsi="Times New Roman" w:cs="Times New Roman"/>
          <w:color w:val="000000"/>
        </w:rPr>
        <w:t xml:space="preserve">In linea con </w:t>
      </w:r>
      <w:r w:rsidR="00754731" w:rsidRPr="00800BDA">
        <w:rPr>
          <w:rFonts w:ascii="Times New Roman" w:eastAsia="Times New Roman" w:hAnsi="Times New Roman" w:cs="Times New Roman"/>
          <w:color w:val="000000"/>
        </w:rPr>
        <w:t xml:space="preserve">quanto </w:t>
      </w:r>
      <w:r w:rsidR="00A035F1" w:rsidRPr="00800BDA">
        <w:rPr>
          <w:rFonts w:ascii="Times New Roman" w:eastAsia="Times New Roman" w:hAnsi="Times New Roman" w:cs="Times New Roman"/>
          <w:color w:val="000000"/>
        </w:rPr>
        <w:t xml:space="preserve">sostenuto da </w:t>
      </w:r>
      <w:r w:rsidR="00127F5B" w:rsidRPr="00800BDA">
        <w:rPr>
          <w:rFonts w:ascii="Times New Roman" w:eastAsia="Times New Roman" w:hAnsi="Times New Roman" w:cs="Times New Roman"/>
          <w:color w:val="000000"/>
        </w:rPr>
        <w:t>Böhm</w:t>
      </w:r>
      <w:r w:rsidR="00974841" w:rsidRPr="00800BDA">
        <w:rPr>
          <w:rFonts w:ascii="Times New Roman" w:eastAsia="Times New Roman" w:hAnsi="Times New Roman" w:cs="Times New Roman"/>
          <w:color w:val="000000"/>
        </w:rPr>
        <w:t xml:space="preserve">e nelle </w:t>
      </w:r>
      <w:r w:rsidR="00974841" w:rsidRPr="00800BDA">
        <w:rPr>
          <w:rFonts w:ascii="Times New Roman" w:eastAsia="Times New Roman" w:hAnsi="Times New Roman" w:cs="Times New Roman"/>
          <w:i/>
          <w:color w:val="000000"/>
        </w:rPr>
        <w:t>Quaestiones Theosophicae</w:t>
      </w:r>
      <w:r w:rsidR="00974841" w:rsidRPr="00800BDA">
        <w:rPr>
          <w:rFonts w:ascii="Times New Roman" w:eastAsia="Times New Roman" w:hAnsi="Times New Roman" w:cs="Times New Roman"/>
          <w:color w:val="000000"/>
        </w:rPr>
        <w:t xml:space="preserve">, </w:t>
      </w:r>
      <w:r w:rsidR="00E91891" w:rsidRPr="00800BDA">
        <w:rPr>
          <w:rFonts w:ascii="Times New Roman" w:eastAsia="Times New Roman" w:hAnsi="Times New Roman" w:cs="Times New Roman"/>
          <w:color w:val="000000"/>
        </w:rPr>
        <w:t>Hegel sembra far</w:t>
      </w:r>
      <w:r w:rsidR="00754731" w:rsidRPr="00800BDA">
        <w:rPr>
          <w:rFonts w:ascii="Times New Roman" w:eastAsia="Times New Roman" w:hAnsi="Times New Roman" w:cs="Times New Roman"/>
          <w:color w:val="000000"/>
        </w:rPr>
        <w:t xml:space="preserve"> proprio l’assunto </w:t>
      </w:r>
      <w:r w:rsidR="00E91891" w:rsidRPr="00800BDA">
        <w:rPr>
          <w:rFonts w:ascii="Times New Roman" w:eastAsia="Times New Roman" w:hAnsi="Times New Roman" w:cs="Times New Roman"/>
          <w:color w:val="000000"/>
        </w:rPr>
        <w:t xml:space="preserve">teorico </w:t>
      </w:r>
      <w:r w:rsidR="00754731" w:rsidRPr="00800BDA">
        <w:rPr>
          <w:rFonts w:ascii="Times New Roman" w:eastAsia="Times New Roman" w:hAnsi="Times New Roman" w:cs="Times New Roman"/>
          <w:color w:val="000000"/>
        </w:rPr>
        <w:t>in forza del quale</w:t>
      </w:r>
      <w:r w:rsidR="00A035F1" w:rsidRPr="00800BDA">
        <w:rPr>
          <w:rFonts w:ascii="Times New Roman" w:eastAsia="Times New Roman" w:hAnsi="Times New Roman" w:cs="Times New Roman"/>
          <w:color w:val="000000"/>
        </w:rPr>
        <w:t xml:space="preserve"> </w:t>
      </w:r>
      <w:r w:rsidR="0003541D">
        <w:rPr>
          <w:rFonts w:ascii="Times New Roman" w:eastAsia="Times New Roman" w:hAnsi="Times New Roman" w:cs="Times New Roman"/>
          <w:color w:val="000000"/>
        </w:rPr>
        <w:t xml:space="preserve">lo </w:t>
      </w:r>
      <w:r w:rsidR="0003541D" w:rsidRPr="0003541D">
        <w:rPr>
          <w:rFonts w:ascii="Times New Roman" w:eastAsia="Times New Roman" w:hAnsi="Times New Roman" w:cs="Times New Roman"/>
          <w:i/>
          <w:color w:val="000000"/>
        </w:rPr>
        <w:t>Jah</w:t>
      </w:r>
      <w:r w:rsidR="00506DD4" w:rsidRPr="00800BDA">
        <w:rPr>
          <w:rFonts w:ascii="Times New Roman" w:eastAsia="Times New Roman" w:hAnsi="Times New Roman" w:cs="Times New Roman"/>
          <w:color w:val="000000"/>
        </w:rPr>
        <w:t xml:space="preserve"> </w:t>
      </w:r>
      <w:r w:rsidR="0003541D">
        <w:rPr>
          <w:rFonts w:ascii="Times New Roman" w:eastAsia="Times New Roman" w:hAnsi="Times New Roman" w:cs="Times New Roman"/>
          <w:color w:val="000000"/>
        </w:rPr>
        <w:t xml:space="preserve">non può sussistere senza il </w:t>
      </w:r>
      <w:r w:rsidR="0003541D" w:rsidRPr="0003541D">
        <w:rPr>
          <w:rFonts w:ascii="Times New Roman" w:eastAsia="Times New Roman" w:hAnsi="Times New Roman" w:cs="Times New Roman"/>
          <w:i/>
          <w:color w:val="000000"/>
        </w:rPr>
        <w:t>Nein</w:t>
      </w:r>
      <w:r w:rsidR="00A035F1" w:rsidRPr="00800BDA">
        <w:rPr>
          <w:rFonts w:ascii="Times New Roman" w:eastAsia="Times New Roman" w:hAnsi="Times New Roman" w:cs="Times New Roman"/>
          <w:color w:val="000000"/>
        </w:rPr>
        <w:t>:</w:t>
      </w:r>
      <w:r w:rsidR="00127F5B">
        <w:rPr>
          <w:rFonts w:ascii="Times New Roman" w:eastAsia="Times New Roman" w:hAnsi="Times New Roman" w:cs="Times New Roman"/>
          <w:color w:val="000000"/>
        </w:rPr>
        <w:t xml:space="preserve"> </w:t>
      </w:r>
    </w:p>
    <w:p w14:paraId="1786F517" w14:textId="77777777" w:rsidR="00754731" w:rsidRDefault="00754731" w:rsidP="00754731">
      <w:pPr>
        <w:spacing w:line="360" w:lineRule="auto"/>
        <w:ind w:firstLine="567"/>
        <w:jc w:val="both"/>
        <w:rPr>
          <w:rFonts w:ascii="Times New Roman" w:eastAsia="Times New Roman" w:hAnsi="Times New Roman" w:cs="Times New Roman"/>
          <w:color w:val="000000"/>
        </w:rPr>
      </w:pPr>
    </w:p>
    <w:p w14:paraId="77D53A33" w14:textId="1AA7196C" w:rsidR="00974841" w:rsidRPr="00F11FEA" w:rsidRDefault="00974841" w:rsidP="00F3626C">
      <w:pPr>
        <w:spacing w:line="360" w:lineRule="auto"/>
        <w:ind w:left="567" w:firstLine="567"/>
        <w:jc w:val="both"/>
        <w:rPr>
          <w:rFonts w:ascii="Times New Roman" w:eastAsia="Times New Roman" w:hAnsi="Times New Roman" w:cs="Times New Roman"/>
          <w:color w:val="000000"/>
        </w:rPr>
      </w:pPr>
      <w:r w:rsidRPr="00F11FEA">
        <w:rPr>
          <w:rFonts w:ascii="Times New Roman" w:eastAsia="Times New Roman" w:hAnsi="Times New Roman" w:cs="Times New Roman"/>
          <w:color w:val="000000"/>
          <w:sz w:val="20"/>
          <w:szCs w:val="20"/>
        </w:rPr>
        <w:t>«Der Leser soll wissen, daß in Jah und Nein alle Dinge bestehen, es sey Göttlich, Teuflich, Irdisch, oder was genant mag werden. Das Eine, als das Jah ist eitel Kraft und Leben, und ist die Wahrheit Gottes oder Gott selber. Dieser wäre in sich selbst unerkennlich, und wäre darinnen keine Freude oder Ehrlichkeit, noch Empfindlichkeit ohne das Nein. Das Nein ist ein Gegenwurf des Jah, oder der Wahrheit, auf daß die Wahrheit offenbar, und etwas sey, darinnen ein Contratium sey, darinnen die ewige Liebe wirckend, empfindlich, wollende, und das zu lieben sey. Und können nicht sagen, daß Jah vom Nein absondert […], sondern sie sind nur ein Ding, scheiden sich aber selber in 2 Anfänge, (Principia) und machen zwei Centra, da ein jedes in sich selber wircket»</w:t>
      </w:r>
      <w:r w:rsidR="00030EAB" w:rsidRPr="00F11FEA">
        <w:rPr>
          <w:rStyle w:val="Rimandonotaapidipagina"/>
          <w:rFonts w:ascii="Times New Roman" w:eastAsia="Times New Roman" w:hAnsi="Times New Roman" w:cs="Times New Roman"/>
          <w:color w:val="000000"/>
          <w:sz w:val="20"/>
          <w:szCs w:val="20"/>
        </w:rPr>
        <w:footnoteReference w:id="156"/>
      </w:r>
      <w:r w:rsidR="00030EAB" w:rsidRPr="00F11FEA">
        <w:rPr>
          <w:rFonts w:ascii="Times New Roman" w:eastAsia="Times New Roman" w:hAnsi="Times New Roman" w:cs="Times New Roman"/>
          <w:color w:val="000000"/>
          <w:sz w:val="20"/>
          <w:szCs w:val="20"/>
        </w:rPr>
        <w:t>.</w:t>
      </w:r>
    </w:p>
    <w:p w14:paraId="2ACF9008" w14:textId="77777777" w:rsidR="00974841" w:rsidRDefault="00974841" w:rsidP="005E6821">
      <w:pPr>
        <w:spacing w:line="360" w:lineRule="auto"/>
        <w:ind w:firstLine="567"/>
        <w:jc w:val="both"/>
        <w:rPr>
          <w:rFonts w:ascii="Times New Roman" w:eastAsia="Times New Roman" w:hAnsi="Times New Roman" w:cs="Times New Roman"/>
          <w:color w:val="000000"/>
        </w:rPr>
      </w:pPr>
    </w:p>
    <w:p w14:paraId="71427D80" w14:textId="5BFF4B21" w:rsidR="001F1608" w:rsidRPr="00F11FEA" w:rsidRDefault="00745C61" w:rsidP="00F11FEA">
      <w:pPr>
        <w:spacing w:line="360" w:lineRule="auto"/>
        <w:ind w:firstLine="567"/>
        <w:jc w:val="both"/>
        <w:rPr>
          <w:rFonts w:ascii="Times New Roman" w:eastAsia="Times New Roman" w:hAnsi="Times New Roman" w:cs="Times New Roman"/>
          <w:i/>
          <w:color w:val="000000"/>
        </w:rPr>
      </w:pPr>
      <w:r w:rsidRPr="000302B7">
        <w:rPr>
          <w:rFonts w:ascii="Times New Roman" w:eastAsia="Times New Roman" w:hAnsi="Times New Roman" w:cs="Times New Roman"/>
          <w:color w:val="000000"/>
        </w:rPr>
        <w:t>Rielaborando in modo del tutto personale la teoria cab</w:t>
      </w:r>
      <w:r w:rsidR="002356DE" w:rsidRPr="000302B7">
        <w:rPr>
          <w:rFonts w:ascii="Times New Roman" w:eastAsia="Times New Roman" w:hAnsi="Times New Roman" w:cs="Times New Roman"/>
          <w:color w:val="000000"/>
        </w:rPr>
        <w:t>b</w:t>
      </w:r>
      <w:r w:rsidRPr="000302B7">
        <w:rPr>
          <w:rFonts w:ascii="Times New Roman" w:eastAsia="Times New Roman" w:hAnsi="Times New Roman" w:cs="Times New Roman"/>
          <w:color w:val="000000"/>
        </w:rPr>
        <w:t xml:space="preserve">alistica dello </w:t>
      </w:r>
      <w:r w:rsidRPr="000302B7">
        <w:rPr>
          <w:rFonts w:ascii="Times New Roman" w:eastAsia="Times New Roman" w:hAnsi="Times New Roman" w:cs="Times New Roman"/>
          <w:i/>
          <w:color w:val="000000"/>
        </w:rPr>
        <w:t>tzimtzum</w:t>
      </w:r>
      <w:r w:rsidR="00B4050D" w:rsidRPr="000302B7">
        <w:rPr>
          <w:rStyle w:val="Rimandonotaapidipagina"/>
          <w:rFonts w:ascii="Times New Roman" w:eastAsia="Times New Roman" w:hAnsi="Times New Roman" w:cs="Times New Roman"/>
          <w:i/>
          <w:color w:val="000000"/>
        </w:rPr>
        <w:footnoteReference w:id="157"/>
      </w:r>
      <w:r w:rsidRPr="000302B7">
        <w:rPr>
          <w:rFonts w:ascii="Times New Roman" w:eastAsia="Times New Roman" w:hAnsi="Times New Roman" w:cs="Times New Roman"/>
          <w:color w:val="000000"/>
        </w:rPr>
        <w:t xml:space="preserve">, Böhme sostiene che lo </w:t>
      </w:r>
      <w:r w:rsidRPr="000302B7">
        <w:rPr>
          <w:rFonts w:ascii="Times New Roman" w:eastAsia="Times New Roman" w:hAnsi="Times New Roman" w:cs="Times New Roman"/>
          <w:i/>
          <w:color w:val="000000"/>
        </w:rPr>
        <w:t>Jah</w:t>
      </w:r>
      <w:r w:rsidR="009843AD" w:rsidRPr="000302B7">
        <w:rPr>
          <w:rFonts w:ascii="Times New Roman" w:eastAsia="Times New Roman" w:hAnsi="Times New Roman" w:cs="Times New Roman"/>
          <w:color w:val="000000"/>
        </w:rPr>
        <w:t xml:space="preserve"> e</w:t>
      </w:r>
      <w:r w:rsidRPr="000302B7">
        <w:rPr>
          <w:rFonts w:ascii="Times New Roman" w:eastAsia="Times New Roman" w:hAnsi="Times New Roman" w:cs="Times New Roman"/>
          <w:color w:val="000000"/>
        </w:rPr>
        <w:t xml:space="preserve"> il </w:t>
      </w:r>
      <w:r w:rsidRPr="000302B7">
        <w:rPr>
          <w:rFonts w:ascii="Times New Roman" w:eastAsia="Times New Roman" w:hAnsi="Times New Roman" w:cs="Times New Roman"/>
          <w:i/>
          <w:color w:val="000000"/>
        </w:rPr>
        <w:t>Nein</w:t>
      </w:r>
      <w:r w:rsidRPr="000302B7">
        <w:rPr>
          <w:rFonts w:ascii="Times New Roman" w:eastAsia="Times New Roman" w:hAnsi="Times New Roman" w:cs="Times New Roman"/>
          <w:color w:val="000000"/>
        </w:rPr>
        <w:t>, l’espansione e l</w:t>
      </w:r>
      <w:r w:rsidR="006676CF" w:rsidRPr="000302B7">
        <w:rPr>
          <w:rFonts w:ascii="Times New Roman" w:eastAsia="Times New Roman" w:hAnsi="Times New Roman" w:cs="Times New Roman"/>
          <w:color w:val="000000"/>
        </w:rPr>
        <w:t>a contr</w:t>
      </w:r>
      <w:r w:rsidR="00C167FE" w:rsidRPr="000302B7">
        <w:rPr>
          <w:rFonts w:ascii="Times New Roman" w:eastAsia="Times New Roman" w:hAnsi="Times New Roman" w:cs="Times New Roman"/>
          <w:color w:val="000000"/>
        </w:rPr>
        <w:t xml:space="preserve">azione, </w:t>
      </w:r>
      <w:r w:rsidR="00A978E3" w:rsidRPr="00A978E3">
        <w:rPr>
          <w:rFonts w:ascii="Times New Roman" w:eastAsia="Times New Roman" w:hAnsi="Times New Roman" w:cs="Times New Roman"/>
          <w:color w:val="000000"/>
        </w:rPr>
        <w:t>so</w:t>
      </w:r>
      <w:r w:rsidR="00C167FE" w:rsidRPr="00A978E3">
        <w:rPr>
          <w:rFonts w:ascii="Times New Roman" w:eastAsia="Times New Roman" w:hAnsi="Times New Roman" w:cs="Times New Roman"/>
          <w:color w:val="000000"/>
        </w:rPr>
        <w:t>no</w:t>
      </w:r>
      <w:r w:rsidRPr="000302B7">
        <w:rPr>
          <w:rFonts w:ascii="Times New Roman" w:eastAsia="Times New Roman" w:hAnsi="Times New Roman" w:cs="Times New Roman"/>
          <w:color w:val="000000"/>
        </w:rPr>
        <w:t xml:space="preserve"> </w:t>
      </w:r>
      <w:r w:rsidR="00030EAB" w:rsidRPr="000302B7">
        <w:rPr>
          <w:rFonts w:ascii="Times New Roman" w:eastAsia="Times New Roman" w:hAnsi="Times New Roman" w:cs="Times New Roman"/>
          <w:color w:val="000000"/>
        </w:rPr>
        <w:t>due</w:t>
      </w:r>
      <w:r w:rsidRPr="000302B7">
        <w:rPr>
          <w:rFonts w:ascii="Times New Roman" w:eastAsia="Times New Roman" w:hAnsi="Times New Roman" w:cs="Times New Roman"/>
          <w:color w:val="000000"/>
        </w:rPr>
        <w:t xml:space="preserve"> </w:t>
      </w:r>
      <w:r w:rsidRPr="000302B7">
        <w:rPr>
          <w:rFonts w:ascii="Times New Roman" w:eastAsia="Times New Roman" w:hAnsi="Times New Roman" w:cs="Times New Roman"/>
          <w:i/>
          <w:color w:val="000000"/>
        </w:rPr>
        <w:t>Centra</w:t>
      </w:r>
      <w:r w:rsidR="00030EAB" w:rsidRPr="000302B7">
        <w:rPr>
          <w:rFonts w:ascii="Times New Roman" w:eastAsia="Times New Roman" w:hAnsi="Times New Roman" w:cs="Times New Roman"/>
          <w:color w:val="000000"/>
        </w:rPr>
        <w:t>,</w:t>
      </w:r>
      <w:r w:rsidR="00030EAB" w:rsidRPr="00D03AD3">
        <w:rPr>
          <w:rFonts w:ascii="Times New Roman" w:eastAsia="Times New Roman" w:hAnsi="Times New Roman" w:cs="Times New Roman"/>
          <w:color w:val="000000"/>
        </w:rPr>
        <w:t xml:space="preserve"> </w:t>
      </w:r>
      <w:r w:rsidR="00030EAB" w:rsidRPr="00F11FEA">
        <w:rPr>
          <w:rFonts w:ascii="Times New Roman" w:eastAsia="Times New Roman" w:hAnsi="Times New Roman" w:cs="Times New Roman"/>
          <w:color w:val="000000"/>
        </w:rPr>
        <w:t>che trovano il loro «Grund»</w:t>
      </w:r>
      <w:r w:rsidR="00030EAB" w:rsidRPr="00F11FEA">
        <w:rPr>
          <w:rStyle w:val="Rimandonotaapidipagina"/>
          <w:rFonts w:ascii="Times New Roman" w:eastAsia="Times New Roman" w:hAnsi="Times New Roman" w:cs="Times New Roman"/>
          <w:color w:val="000000"/>
        </w:rPr>
        <w:footnoteReference w:id="158"/>
      </w:r>
      <w:r w:rsidRPr="00F11FEA">
        <w:rPr>
          <w:rFonts w:ascii="Times New Roman" w:eastAsia="Times New Roman" w:hAnsi="Times New Roman" w:cs="Times New Roman"/>
          <w:color w:val="000000"/>
        </w:rPr>
        <w:t xml:space="preserve"> comune ne</w:t>
      </w:r>
      <w:r w:rsidR="00030EAB" w:rsidRPr="00F11FEA">
        <w:rPr>
          <w:rFonts w:ascii="Times New Roman" w:eastAsia="Times New Roman" w:hAnsi="Times New Roman" w:cs="Times New Roman"/>
          <w:color w:val="000000"/>
        </w:rPr>
        <w:t xml:space="preserve">ll’unità priva di </w:t>
      </w:r>
      <w:r w:rsidR="00506DD4" w:rsidRPr="00F11FEA">
        <w:rPr>
          <w:rFonts w:ascii="Times New Roman" w:eastAsia="Times New Roman" w:hAnsi="Times New Roman" w:cs="Times New Roman"/>
          <w:color w:val="000000"/>
        </w:rPr>
        <w:t xml:space="preserve">fondamento </w:t>
      </w:r>
      <w:r w:rsidR="000224EB" w:rsidRPr="00F11FEA">
        <w:rPr>
          <w:rFonts w:ascii="Times New Roman" w:eastAsia="Times New Roman" w:hAnsi="Times New Roman" w:cs="Times New Roman"/>
          <w:color w:val="000000"/>
        </w:rPr>
        <w:t>(</w:t>
      </w:r>
      <w:r w:rsidR="000224EB" w:rsidRPr="0082029B">
        <w:rPr>
          <w:rFonts w:ascii="Times New Roman" w:eastAsia="Times New Roman" w:hAnsi="Times New Roman" w:cs="Times New Roman"/>
          <w:i/>
          <w:color w:val="000000"/>
        </w:rPr>
        <w:t>ungründlich</w:t>
      </w:r>
      <w:r w:rsidR="000224EB" w:rsidRPr="00F11FEA">
        <w:rPr>
          <w:rFonts w:ascii="Times New Roman" w:eastAsia="Times New Roman" w:hAnsi="Times New Roman" w:cs="Times New Roman"/>
          <w:color w:val="000000"/>
        </w:rPr>
        <w:t xml:space="preserve">) </w:t>
      </w:r>
      <w:r w:rsidR="00030EAB" w:rsidRPr="00F11FEA">
        <w:rPr>
          <w:rFonts w:ascii="Times New Roman" w:eastAsia="Times New Roman" w:hAnsi="Times New Roman" w:cs="Times New Roman"/>
          <w:color w:val="000000"/>
        </w:rPr>
        <w:t>della divinità</w:t>
      </w:r>
      <w:r w:rsidRPr="00F11FEA">
        <w:rPr>
          <w:rFonts w:ascii="Times New Roman" w:eastAsia="Times New Roman" w:hAnsi="Times New Roman" w:cs="Times New Roman"/>
          <w:color w:val="000000"/>
        </w:rPr>
        <w:t xml:space="preserve"> e che esprimono in concreto l’attività creatrice d</w:t>
      </w:r>
      <w:r w:rsidR="00783FAA" w:rsidRPr="00F11FEA">
        <w:rPr>
          <w:rFonts w:ascii="Times New Roman" w:eastAsia="Times New Roman" w:hAnsi="Times New Roman" w:cs="Times New Roman"/>
          <w:color w:val="000000"/>
        </w:rPr>
        <w:t>i Di</w:t>
      </w:r>
      <w:r w:rsidR="006676CF" w:rsidRPr="00F11FEA">
        <w:rPr>
          <w:rFonts w:ascii="Times New Roman" w:eastAsia="Times New Roman" w:hAnsi="Times New Roman" w:cs="Times New Roman"/>
          <w:color w:val="000000"/>
        </w:rPr>
        <w:t xml:space="preserve">o. </w:t>
      </w:r>
      <w:r w:rsidR="00E95D3C" w:rsidRPr="00D855BF">
        <w:rPr>
          <w:rFonts w:ascii="Times New Roman" w:eastAsia="Times New Roman" w:hAnsi="Times New Roman" w:cs="Times New Roman"/>
          <w:color w:val="000000"/>
        </w:rPr>
        <w:t xml:space="preserve">Per </w:t>
      </w:r>
      <w:r w:rsidR="006676CF" w:rsidRPr="00D855BF">
        <w:rPr>
          <w:rFonts w:ascii="Times New Roman" w:eastAsia="Times New Roman" w:hAnsi="Times New Roman" w:cs="Times New Roman"/>
          <w:color w:val="000000"/>
        </w:rPr>
        <w:t>Böhme</w:t>
      </w:r>
      <w:r w:rsidR="00754731" w:rsidRPr="00D855BF">
        <w:rPr>
          <w:rFonts w:ascii="Times New Roman" w:eastAsia="Times New Roman" w:hAnsi="Times New Roman" w:cs="Times New Roman"/>
          <w:color w:val="000000"/>
        </w:rPr>
        <w:t>,</w:t>
      </w:r>
      <w:r w:rsidR="006676CF" w:rsidRPr="00D855BF">
        <w:rPr>
          <w:rFonts w:ascii="Times New Roman" w:eastAsia="Times New Roman" w:hAnsi="Times New Roman" w:cs="Times New Roman"/>
          <w:color w:val="000000"/>
        </w:rPr>
        <w:t xml:space="preserve"> </w:t>
      </w:r>
      <w:r w:rsidR="00A0323F" w:rsidRPr="00D855BF">
        <w:rPr>
          <w:rFonts w:ascii="Times New Roman" w:eastAsia="Times New Roman" w:hAnsi="Times New Roman" w:cs="Times New Roman"/>
          <w:color w:val="000000"/>
        </w:rPr>
        <w:t>t</w:t>
      </w:r>
      <w:r w:rsidR="00E95D3C" w:rsidRPr="00D855BF">
        <w:rPr>
          <w:rFonts w:ascii="Times New Roman" w:eastAsia="Times New Roman" w:hAnsi="Times New Roman" w:cs="Times New Roman"/>
          <w:color w:val="000000"/>
        </w:rPr>
        <w:t xml:space="preserve">utto ciò che è, </w:t>
      </w:r>
      <w:r w:rsidR="006676CF" w:rsidRPr="00D855BF">
        <w:rPr>
          <w:rFonts w:ascii="Times New Roman" w:eastAsia="Times New Roman" w:hAnsi="Times New Roman" w:cs="Times New Roman"/>
          <w:color w:val="000000"/>
        </w:rPr>
        <w:t>è in virtù del compenetrarsi ed esplicarsi di questi due principi</w:t>
      </w:r>
      <w:r w:rsidR="002C0971" w:rsidRPr="00D855BF">
        <w:rPr>
          <w:rStyle w:val="Rimandonotaapidipagina"/>
          <w:rFonts w:ascii="Times New Roman" w:eastAsia="Times New Roman" w:hAnsi="Times New Roman" w:cs="Times New Roman"/>
          <w:color w:val="000000"/>
        </w:rPr>
        <w:footnoteReference w:id="159"/>
      </w:r>
      <w:r w:rsidR="006676CF" w:rsidRPr="00D855BF">
        <w:rPr>
          <w:rFonts w:ascii="Times New Roman" w:eastAsia="Times New Roman" w:hAnsi="Times New Roman" w:cs="Times New Roman"/>
          <w:color w:val="000000"/>
        </w:rPr>
        <w:t xml:space="preserve">. Anche le schiere angeliche non sono </w:t>
      </w:r>
      <w:r w:rsidR="00B4050D" w:rsidRPr="00D855BF">
        <w:rPr>
          <w:rFonts w:ascii="Times New Roman" w:eastAsia="Times New Roman" w:hAnsi="Times New Roman" w:cs="Times New Roman"/>
          <w:color w:val="000000"/>
        </w:rPr>
        <w:t xml:space="preserve">altro che </w:t>
      </w:r>
      <w:r w:rsidR="006676CF" w:rsidRPr="00D855BF">
        <w:rPr>
          <w:rFonts w:ascii="Times New Roman" w:eastAsia="Times New Roman" w:hAnsi="Times New Roman" w:cs="Times New Roman"/>
          <w:color w:val="000000"/>
        </w:rPr>
        <w:t>«Gedanken Gottes, nach Liebe und Zorn»</w:t>
      </w:r>
      <w:r w:rsidR="006676CF" w:rsidRPr="00D855BF">
        <w:rPr>
          <w:rStyle w:val="Rimandonotaapidipagina"/>
          <w:rFonts w:ascii="Times New Roman" w:eastAsia="Times New Roman" w:hAnsi="Times New Roman" w:cs="Times New Roman"/>
          <w:color w:val="000000"/>
        </w:rPr>
        <w:footnoteReference w:id="160"/>
      </w:r>
      <w:r w:rsidR="00620582" w:rsidRPr="00D855BF">
        <w:rPr>
          <w:rFonts w:ascii="Times New Roman" w:eastAsia="Times New Roman" w:hAnsi="Times New Roman" w:cs="Times New Roman"/>
          <w:color w:val="000000"/>
        </w:rPr>
        <w:t xml:space="preserve">, </w:t>
      </w:r>
      <w:r w:rsidR="00B4050D" w:rsidRPr="00D855BF">
        <w:rPr>
          <w:rFonts w:ascii="Times New Roman" w:eastAsia="Times New Roman" w:hAnsi="Times New Roman" w:cs="Times New Roman"/>
          <w:color w:val="000000"/>
        </w:rPr>
        <w:t xml:space="preserve">ossia modificazioni della natura </w:t>
      </w:r>
      <w:r w:rsidR="007535E2" w:rsidRPr="00D855BF">
        <w:rPr>
          <w:rFonts w:ascii="Times New Roman" w:eastAsia="Times New Roman" w:hAnsi="Times New Roman" w:cs="Times New Roman"/>
          <w:color w:val="000000"/>
        </w:rPr>
        <w:t>(</w:t>
      </w:r>
      <w:r w:rsidR="008A56F9" w:rsidRPr="00D855BF">
        <w:rPr>
          <w:rFonts w:ascii="Times New Roman" w:eastAsia="Times New Roman" w:hAnsi="Times New Roman" w:cs="Times New Roman"/>
          <w:i/>
          <w:color w:val="000000"/>
        </w:rPr>
        <w:t>Nein</w:t>
      </w:r>
      <w:r w:rsidR="008A56F9" w:rsidRPr="00D855BF">
        <w:rPr>
          <w:rFonts w:ascii="Times New Roman" w:eastAsia="Times New Roman" w:hAnsi="Times New Roman" w:cs="Times New Roman"/>
          <w:color w:val="000000"/>
        </w:rPr>
        <w:t>)</w:t>
      </w:r>
      <w:r w:rsidR="0048185A" w:rsidRPr="00D855BF">
        <w:rPr>
          <w:rFonts w:ascii="Times New Roman" w:eastAsia="Times New Roman" w:hAnsi="Times New Roman" w:cs="Times New Roman"/>
          <w:color w:val="000000"/>
        </w:rPr>
        <w:t xml:space="preserve"> </w:t>
      </w:r>
      <w:r w:rsidR="00B4050D" w:rsidRPr="00D855BF">
        <w:rPr>
          <w:rFonts w:ascii="Times New Roman" w:eastAsia="Times New Roman" w:hAnsi="Times New Roman" w:cs="Times New Roman"/>
          <w:color w:val="000000"/>
        </w:rPr>
        <w:t>e dell’amore divino</w:t>
      </w:r>
      <w:r w:rsidR="008A56F9" w:rsidRPr="00D855BF">
        <w:rPr>
          <w:rFonts w:ascii="Times New Roman" w:eastAsia="Times New Roman" w:hAnsi="Times New Roman" w:cs="Times New Roman"/>
          <w:color w:val="000000"/>
        </w:rPr>
        <w:t xml:space="preserve"> (</w:t>
      </w:r>
      <w:r w:rsidR="008A56F9" w:rsidRPr="00D855BF">
        <w:rPr>
          <w:rFonts w:ascii="Times New Roman" w:eastAsia="Times New Roman" w:hAnsi="Times New Roman" w:cs="Times New Roman"/>
          <w:i/>
          <w:color w:val="000000"/>
        </w:rPr>
        <w:t>Jah</w:t>
      </w:r>
      <w:r w:rsidR="008A56F9" w:rsidRPr="00D855BF">
        <w:rPr>
          <w:rFonts w:ascii="Times New Roman" w:eastAsia="Times New Roman" w:hAnsi="Times New Roman" w:cs="Times New Roman"/>
          <w:color w:val="000000"/>
        </w:rPr>
        <w:t>)</w:t>
      </w:r>
      <w:r w:rsidR="00B4050D" w:rsidRPr="00D855BF">
        <w:rPr>
          <w:rFonts w:ascii="Times New Roman" w:eastAsia="Times New Roman" w:hAnsi="Times New Roman" w:cs="Times New Roman"/>
          <w:color w:val="000000"/>
        </w:rPr>
        <w:t xml:space="preserve">. Fintanto che </w:t>
      </w:r>
      <w:r w:rsidR="008541BC" w:rsidRPr="00D855BF">
        <w:rPr>
          <w:rFonts w:ascii="Times New Roman" w:eastAsia="Times New Roman" w:hAnsi="Times New Roman" w:cs="Times New Roman"/>
          <w:color w:val="000000"/>
        </w:rPr>
        <w:t>gli angeli</w:t>
      </w:r>
      <w:r w:rsidR="00B4050D" w:rsidRPr="00D855BF">
        <w:rPr>
          <w:rFonts w:ascii="Times New Roman" w:eastAsia="Times New Roman" w:hAnsi="Times New Roman" w:cs="Times New Roman"/>
          <w:color w:val="000000"/>
        </w:rPr>
        <w:t xml:space="preserve"> mantengono un equilibrio </w:t>
      </w:r>
      <w:r w:rsidR="008A56F9" w:rsidRPr="00D855BF">
        <w:rPr>
          <w:rFonts w:ascii="Times New Roman" w:eastAsia="Times New Roman" w:hAnsi="Times New Roman" w:cs="Times New Roman"/>
          <w:color w:val="000000"/>
        </w:rPr>
        <w:t>fra i due principi, ossia un’interiore</w:t>
      </w:r>
      <w:r w:rsidR="00B4050D" w:rsidRPr="00D855BF">
        <w:rPr>
          <w:rFonts w:ascii="Times New Roman" w:eastAsia="Times New Roman" w:hAnsi="Times New Roman" w:cs="Times New Roman"/>
          <w:color w:val="000000"/>
        </w:rPr>
        <w:t xml:space="preserve"> «Gelassenheit</w:t>
      </w:r>
      <w:r w:rsidR="00B4050D" w:rsidRPr="00065673">
        <w:rPr>
          <w:rFonts w:ascii="Times New Roman" w:eastAsia="Times New Roman" w:hAnsi="Times New Roman" w:cs="Times New Roman"/>
          <w:color w:val="000000"/>
        </w:rPr>
        <w:t>»</w:t>
      </w:r>
      <w:r w:rsidR="008A56F9" w:rsidRPr="00065673">
        <w:rPr>
          <w:rStyle w:val="Rimandonotaapidipagina"/>
          <w:rFonts w:ascii="Times New Roman" w:eastAsia="Times New Roman" w:hAnsi="Times New Roman" w:cs="Times New Roman"/>
          <w:color w:val="000000"/>
        </w:rPr>
        <w:footnoteReference w:id="161"/>
      </w:r>
      <w:r w:rsidR="001F18E3" w:rsidRPr="00065673">
        <w:rPr>
          <w:rFonts w:ascii="Times New Roman" w:eastAsia="Times New Roman" w:hAnsi="Times New Roman" w:cs="Times New Roman"/>
          <w:color w:val="000000"/>
        </w:rPr>
        <w:t xml:space="preserve">, l’armonia e l’ordine sono </w:t>
      </w:r>
      <w:r w:rsidR="004C0739" w:rsidRPr="00065673">
        <w:rPr>
          <w:rFonts w:ascii="Times New Roman" w:eastAsia="Times New Roman" w:hAnsi="Times New Roman" w:cs="Times New Roman"/>
          <w:color w:val="000000"/>
        </w:rPr>
        <w:t xml:space="preserve">preservati </w:t>
      </w:r>
      <w:r w:rsidR="008541BC" w:rsidRPr="00065673">
        <w:rPr>
          <w:rFonts w:ascii="Times New Roman" w:eastAsia="Times New Roman" w:hAnsi="Times New Roman" w:cs="Times New Roman"/>
          <w:color w:val="000000"/>
        </w:rPr>
        <w:t xml:space="preserve">nella prima esplicazione </w:t>
      </w:r>
      <w:r w:rsidR="001F18E3" w:rsidRPr="00065673">
        <w:rPr>
          <w:rFonts w:ascii="Times New Roman" w:eastAsia="Times New Roman" w:hAnsi="Times New Roman" w:cs="Times New Roman"/>
          <w:color w:val="000000"/>
        </w:rPr>
        <w:t xml:space="preserve">della </w:t>
      </w:r>
      <w:r w:rsidR="001F18E3" w:rsidRPr="00065673">
        <w:rPr>
          <w:rFonts w:ascii="Times New Roman" w:eastAsia="Times New Roman" w:hAnsi="Times New Roman" w:cs="Times New Roman"/>
          <w:i/>
          <w:color w:val="000000"/>
        </w:rPr>
        <w:t>vis</w:t>
      </w:r>
      <w:r w:rsidR="008A56F9" w:rsidRPr="00065673">
        <w:rPr>
          <w:rFonts w:ascii="Times New Roman" w:eastAsia="Times New Roman" w:hAnsi="Times New Roman" w:cs="Times New Roman"/>
          <w:color w:val="000000"/>
        </w:rPr>
        <w:t xml:space="preserve"> creatrice</w:t>
      </w:r>
      <w:r w:rsidR="001F18E3" w:rsidRPr="00065673">
        <w:rPr>
          <w:rFonts w:ascii="Times New Roman" w:eastAsia="Times New Roman" w:hAnsi="Times New Roman" w:cs="Times New Roman"/>
          <w:color w:val="000000"/>
        </w:rPr>
        <w:t xml:space="preserve"> d</w:t>
      </w:r>
      <w:r w:rsidR="00783FAA" w:rsidRPr="00065673">
        <w:rPr>
          <w:rFonts w:ascii="Times New Roman" w:eastAsia="Times New Roman" w:hAnsi="Times New Roman" w:cs="Times New Roman"/>
          <w:color w:val="000000"/>
        </w:rPr>
        <w:t>ivina</w:t>
      </w:r>
      <w:r w:rsidR="001F18E3" w:rsidRPr="00065673">
        <w:rPr>
          <w:rFonts w:ascii="Times New Roman" w:eastAsia="Times New Roman" w:hAnsi="Times New Roman" w:cs="Times New Roman"/>
          <w:color w:val="000000"/>
        </w:rPr>
        <w:t>.</w:t>
      </w:r>
      <w:r w:rsidR="008A56F9" w:rsidRPr="00A93A46">
        <w:rPr>
          <w:rFonts w:ascii="Times New Roman" w:eastAsia="Times New Roman" w:hAnsi="Times New Roman" w:cs="Times New Roman"/>
          <w:color w:val="000000"/>
        </w:rPr>
        <w:t xml:space="preserve"> </w:t>
      </w:r>
      <w:r w:rsidR="003F65A4" w:rsidRPr="00A93A46">
        <w:rPr>
          <w:rFonts w:ascii="Times New Roman" w:eastAsia="Times New Roman" w:hAnsi="Times New Roman" w:cs="Times New Roman"/>
          <w:color w:val="000000"/>
        </w:rPr>
        <w:t xml:space="preserve">Il </w:t>
      </w:r>
      <w:r w:rsidR="001F675D" w:rsidRPr="00A93A46">
        <w:rPr>
          <w:rFonts w:ascii="Times New Roman" w:eastAsia="Times New Roman" w:hAnsi="Times New Roman" w:cs="Times New Roman"/>
          <w:color w:val="000000"/>
        </w:rPr>
        <w:t xml:space="preserve">venir meno </w:t>
      </w:r>
      <w:r w:rsidR="001F675D" w:rsidRPr="00144889">
        <w:rPr>
          <w:rFonts w:ascii="Times New Roman" w:eastAsia="Times New Roman" w:hAnsi="Times New Roman" w:cs="Times New Roman"/>
          <w:color w:val="000000"/>
        </w:rPr>
        <w:t>di questo</w:t>
      </w:r>
      <w:r w:rsidR="003519A3" w:rsidRPr="00144889">
        <w:rPr>
          <w:rFonts w:ascii="Times New Roman" w:eastAsia="Times New Roman" w:hAnsi="Times New Roman" w:cs="Times New Roman"/>
          <w:color w:val="000000"/>
        </w:rPr>
        <w:t xml:space="preserve"> equilibrio</w:t>
      </w:r>
      <w:r w:rsidR="002C0971" w:rsidRPr="00144889">
        <w:rPr>
          <w:rFonts w:ascii="Times New Roman" w:eastAsia="Times New Roman" w:hAnsi="Times New Roman" w:cs="Times New Roman"/>
          <w:color w:val="000000"/>
        </w:rPr>
        <w:t>, con la conseguente prevaricazione del principio a</w:t>
      </w:r>
      <w:r w:rsidR="00754731" w:rsidRPr="00144889">
        <w:rPr>
          <w:rFonts w:ascii="Times New Roman" w:eastAsia="Times New Roman" w:hAnsi="Times New Roman" w:cs="Times New Roman"/>
          <w:color w:val="000000"/>
        </w:rPr>
        <w:t>stringente</w:t>
      </w:r>
      <w:r w:rsidR="00E87AFB" w:rsidRPr="00144889">
        <w:rPr>
          <w:rFonts w:ascii="Times New Roman" w:eastAsia="Times New Roman" w:hAnsi="Times New Roman" w:cs="Times New Roman"/>
          <w:color w:val="000000"/>
        </w:rPr>
        <w:t xml:space="preserve"> (dell’ira)</w:t>
      </w:r>
      <w:r w:rsidR="00754731" w:rsidRPr="00144889">
        <w:rPr>
          <w:rFonts w:ascii="Times New Roman" w:eastAsia="Times New Roman" w:hAnsi="Times New Roman" w:cs="Times New Roman"/>
          <w:color w:val="000000"/>
        </w:rPr>
        <w:t xml:space="preserve"> su quello espansivo</w:t>
      </w:r>
      <w:r w:rsidR="00E87AFB" w:rsidRPr="00144889">
        <w:rPr>
          <w:rFonts w:ascii="Times New Roman" w:eastAsia="Times New Roman" w:hAnsi="Times New Roman" w:cs="Times New Roman"/>
          <w:color w:val="000000"/>
        </w:rPr>
        <w:t xml:space="preserve"> (sull’amore)</w:t>
      </w:r>
      <w:r w:rsidR="00754731" w:rsidRPr="00144889">
        <w:rPr>
          <w:rFonts w:ascii="Times New Roman" w:eastAsia="Times New Roman" w:hAnsi="Times New Roman" w:cs="Times New Roman"/>
          <w:color w:val="000000"/>
        </w:rPr>
        <w:t>, spinge</w:t>
      </w:r>
      <w:r w:rsidR="002C0971" w:rsidRPr="00144889">
        <w:rPr>
          <w:rFonts w:ascii="Times New Roman" w:eastAsia="Times New Roman" w:hAnsi="Times New Roman" w:cs="Times New Roman"/>
          <w:color w:val="000000"/>
        </w:rPr>
        <w:t xml:space="preserve"> </w:t>
      </w:r>
      <w:r w:rsidR="0059322C" w:rsidRPr="00144889">
        <w:rPr>
          <w:rFonts w:ascii="Times New Roman" w:eastAsia="Times New Roman" w:hAnsi="Times New Roman" w:cs="Times New Roman"/>
          <w:color w:val="000000"/>
        </w:rPr>
        <w:t>una parte dell</w:t>
      </w:r>
      <w:r w:rsidR="008541BC" w:rsidRPr="00144889">
        <w:rPr>
          <w:rFonts w:ascii="Times New Roman" w:eastAsia="Times New Roman" w:hAnsi="Times New Roman" w:cs="Times New Roman"/>
          <w:color w:val="000000"/>
        </w:rPr>
        <w:t>e creature</w:t>
      </w:r>
      <w:r w:rsidR="00D03AD3" w:rsidRPr="00144889">
        <w:rPr>
          <w:rFonts w:ascii="Times New Roman" w:eastAsia="Times New Roman" w:hAnsi="Times New Roman" w:cs="Times New Roman"/>
          <w:color w:val="000000"/>
        </w:rPr>
        <w:t xml:space="preserve"> </w:t>
      </w:r>
      <w:r w:rsidR="002C0971" w:rsidRPr="00144889">
        <w:rPr>
          <w:rFonts w:ascii="Times New Roman" w:eastAsia="Times New Roman" w:hAnsi="Times New Roman" w:cs="Times New Roman"/>
          <w:color w:val="000000"/>
        </w:rPr>
        <w:t xml:space="preserve">a </w:t>
      </w:r>
      <w:r w:rsidR="002B081E" w:rsidRPr="00144889">
        <w:rPr>
          <w:rFonts w:ascii="Times New Roman" w:eastAsia="Times New Roman" w:hAnsi="Times New Roman" w:cs="Times New Roman"/>
          <w:color w:val="000000"/>
        </w:rPr>
        <w:t xml:space="preserve">far valere il proprio essere per </w:t>
      </w:r>
      <w:r w:rsidR="001F675D" w:rsidRPr="00144889">
        <w:rPr>
          <w:rFonts w:ascii="Times New Roman" w:eastAsia="Times New Roman" w:hAnsi="Times New Roman" w:cs="Times New Roman"/>
          <w:color w:val="000000"/>
        </w:rPr>
        <w:t>sé</w:t>
      </w:r>
      <w:r w:rsidR="003519A3" w:rsidRPr="00144889">
        <w:rPr>
          <w:rFonts w:ascii="Times New Roman" w:eastAsia="Times New Roman" w:hAnsi="Times New Roman" w:cs="Times New Roman"/>
          <w:color w:val="000000"/>
        </w:rPr>
        <w:t xml:space="preserve"> nei confronti d</w:t>
      </w:r>
      <w:r w:rsidR="00D03AD3" w:rsidRPr="00144889">
        <w:rPr>
          <w:rFonts w:ascii="Times New Roman" w:eastAsia="Times New Roman" w:hAnsi="Times New Roman" w:cs="Times New Roman"/>
          <w:color w:val="000000"/>
        </w:rPr>
        <w:t>i Dio</w:t>
      </w:r>
      <w:r w:rsidR="001F675D" w:rsidRPr="00144889">
        <w:rPr>
          <w:rFonts w:ascii="Times New Roman" w:eastAsia="Times New Roman" w:hAnsi="Times New Roman" w:cs="Times New Roman"/>
          <w:color w:val="000000"/>
        </w:rPr>
        <w:t>.</w:t>
      </w:r>
      <w:r w:rsidR="003519A3">
        <w:rPr>
          <w:rFonts w:ascii="Times New Roman" w:eastAsia="Times New Roman" w:hAnsi="Times New Roman" w:cs="Times New Roman"/>
          <w:color w:val="000000"/>
        </w:rPr>
        <w:t xml:space="preserve"> </w:t>
      </w:r>
      <w:r w:rsidR="00CD5D21" w:rsidRPr="00D03AD3">
        <w:rPr>
          <w:rFonts w:ascii="Times New Roman" w:eastAsia="Times New Roman" w:hAnsi="Times New Roman" w:cs="Times New Roman"/>
          <w:color w:val="000000"/>
        </w:rPr>
        <w:t>Per Böhme</w:t>
      </w:r>
      <w:r w:rsidR="00F3626C">
        <w:rPr>
          <w:rFonts w:ascii="Times New Roman" w:eastAsia="Times New Roman" w:hAnsi="Times New Roman" w:cs="Times New Roman"/>
          <w:color w:val="000000"/>
        </w:rPr>
        <w:t>,</w:t>
      </w:r>
      <w:r w:rsidR="00252C74">
        <w:rPr>
          <w:rFonts w:ascii="Times New Roman" w:eastAsia="Times New Roman" w:hAnsi="Times New Roman" w:cs="Times New Roman"/>
          <w:color w:val="000000"/>
        </w:rPr>
        <w:t xml:space="preserve"> </w:t>
      </w:r>
      <w:r w:rsidR="003519A3" w:rsidRPr="00D03AD3">
        <w:rPr>
          <w:rFonts w:ascii="Times New Roman" w:eastAsia="Times New Roman" w:hAnsi="Times New Roman" w:cs="Times New Roman"/>
          <w:color w:val="000000"/>
        </w:rPr>
        <w:t>q</w:t>
      </w:r>
      <w:r w:rsidR="001F675D" w:rsidRPr="00D03AD3">
        <w:rPr>
          <w:rFonts w:ascii="Times New Roman" w:eastAsia="Times New Roman" w:hAnsi="Times New Roman" w:cs="Times New Roman"/>
          <w:color w:val="000000"/>
        </w:rPr>
        <w:t>uesta dinamica di squilibrio è espressa dalla ribellione di Lucifero</w:t>
      </w:r>
      <w:r w:rsidR="003519A3" w:rsidRPr="00D03AD3">
        <w:rPr>
          <w:rFonts w:ascii="Times New Roman" w:eastAsia="Times New Roman" w:hAnsi="Times New Roman" w:cs="Times New Roman"/>
          <w:color w:val="000000"/>
        </w:rPr>
        <w:t xml:space="preserve">, che </w:t>
      </w:r>
      <w:r w:rsidR="003519A3" w:rsidRPr="00F11FEA">
        <w:rPr>
          <w:rFonts w:ascii="Times New Roman" w:eastAsia="Times New Roman" w:hAnsi="Times New Roman" w:cs="Times New Roman"/>
          <w:color w:val="000000"/>
        </w:rPr>
        <w:t>«hat nicht wollen in der Gelassenheit stehen bleiben, sondern wolte über die Thronen herrschen, und hat sich von</w:t>
      </w:r>
      <w:r w:rsidR="00972F00" w:rsidRPr="00F11FEA">
        <w:rPr>
          <w:rFonts w:ascii="Times New Roman" w:eastAsia="Times New Roman" w:hAnsi="Times New Roman" w:cs="Times New Roman"/>
          <w:color w:val="000000"/>
        </w:rPr>
        <w:t xml:space="preserve"> </w:t>
      </w:r>
      <w:r w:rsidR="003519A3" w:rsidRPr="00F11FEA">
        <w:rPr>
          <w:rFonts w:ascii="Times New Roman" w:eastAsia="Times New Roman" w:hAnsi="Times New Roman" w:cs="Times New Roman"/>
          <w:color w:val="000000"/>
        </w:rPr>
        <w:t>der Einheit abgebrochen»</w:t>
      </w:r>
      <w:r w:rsidR="003519A3" w:rsidRPr="00F11FEA">
        <w:rPr>
          <w:rStyle w:val="Rimandonotaapidipagina"/>
          <w:rFonts w:ascii="Times New Roman" w:eastAsia="Times New Roman" w:hAnsi="Times New Roman" w:cs="Times New Roman"/>
          <w:color w:val="000000"/>
        </w:rPr>
        <w:footnoteReference w:id="162"/>
      </w:r>
      <w:r w:rsidR="004125BE" w:rsidRPr="00F11FEA">
        <w:rPr>
          <w:rFonts w:ascii="Times New Roman" w:eastAsia="Times New Roman" w:hAnsi="Times New Roman" w:cs="Times New Roman"/>
          <w:color w:val="000000"/>
        </w:rPr>
        <w:t>.</w:t>
      </w:r>
      <w:r w:rsidR="00671E38" w:rsidRPr="00F11FEA">
        <w:rPr>
          <w:rFonts w:ascii="Times New Roman" w:eastAsia="Times New Roman" w:hAnsi="Times New Roman" w:cs="Times New Roman"/>
          <w:color w:val="000000"/>
        </w:rPr>
        <w:t xml:space="preserve"> </w:t>
      </w:r>
      <w:r w:rsidR="00972F00" w:rsidRPr="00F11FEA">
        <w:rPr>
          <w:rFonts w:ascii="Times New Roman" w:eastAsia="Times New Roman" w:hAnsi="Times New Roman" w:cs="Times New Roman"/>
          <w:color w:val="000000"/>
        </w:rPr>
        <w:t>N</w:t>
      </w:r>
      <w:r w:rsidR="00620582" w:rsidRPr="00F11FEA">
        <w:rPr>
          <w:rFonts w:ascii="Times New Roman" w:eastAsia="Times New Roman" w:hAnsi="Times New Roman" w:cs="Times New Roman"/>
          <w:color w:val="000000"/>
        </w:rPr>
        <w:t xml:space="preserve">el </w:t>
      </w:r>
      <w:r w:rsidR="00620582" w:rsidRPr="00796202">
        <w:rPr>
          <w:rFonts w:ascii="Times New Roman" w:eastAsia="Times New Roman" w:hAnsi="Times New Roman" w:cs="Times New Roman"/>
          <w:i/>
          <w:color w:val="000000"/>
        </w:rPr>
        <w:t>Fragment 49</w:t>
      </w:r>
      <w:r w:rsidR="00972F00" w:rsidRPr="00F11FEA">
        <w:rPr>
          <w:rFonts w:ascii="Times New Roman" w:eastAsia="Times New Roman" w:hAnsi="Times New Roman" w:cs="Times New Roman"/>
          <w:color w:val="000000"/>
        </w:rPr>
        <w:t xml:space="preserve"> </w:t>
      </w:r>
      <w:r w:rsidR="00F3626C" w:rsidRPr="00F11FEA">
        <w:rPr>
          <w:rFonts w:ascii="Times New Roman" w:eastAsia="Times New Roman" w:hAnsi="Times New Roman" w:cs="Times New Roman"/>
          <w:color w:val="000000"/>
        </w:rPr>
        <w:t xml:space="preserve">Hegel </w:t>
      </w:r>
      <w:r w:rsidR="00D84160" w:rsidRPr="00F11FEA">
        <w:rPr>
          <w:rFonts w:ascii="Times New Roman" w:eastAsia="Times New Roman" w:hAnsi="Times New Roman" w:cs="Times New Roman"/>
          <w:color w:val="000000"/>
        </w:rPr>
        <w:t xml:space="preserve">ripropone </w:t>
      </w:r>
      <w:r w:rsidR="00F3626C" w:rsidRPr="00F11FEA">
        <w:rPr>
          <w:rFonts w:ascii="Times New Roman" w:eastAsia="Times New Roman" w:hAnsi="Times New Roman" w:cs="Times New Roman"/>
          <w:color w:val="000000"/>
        </w:rPr>
        <w:t xml:space="preserve">questo stesso conflitto </w:t>
      </w:r>
      <w:r w:rsidR="002B081E" w:rsidRPr="00F11FEA">
        <w:rPr>
          <w:rFonts w:ascii="Times New Roman" w:eastAsia="Times New Roman" w:hAnsi="Times New Roman" w:cs="Times New Roman"/>
          <w:color w:val="000000"/>
        </w:rPr>
        <w:t xml:space="preserve">fra Dio e </w:t>
      </w:r>
      <w:r w:rsidR="00F3626C" w:rsidRPr="00F11FEA">
        <w:rPr>
          <w:rFonts w:ascii="Times New Roman" w:eastAsia="Times New Roman" w:hAnsi="Times New Roman" w:cs="Times New Roman"/>
          <w:color w:val="000000"/>
        </w:rPr>
        <w:t>Lucifero</w:t>
      </w:r>
      <w:r w:rsidR="00D84160" w:rsidRPr="00F11FEA">
        <w:rPr>
          <w:rFonts w:ascii="Times New Roman" w:eastAsia="Times New Roman" w:hAnsi="Times New Roman" w:cs="Times New Roman"/>
          <w:color w:val="000000"/>
        </w:rPr>
        <w:t xml:space="preserve">, descrivendo </w:t>
      </w:r>
      <w:r w:rsidR="00F3626C" w:rsidRPr="00F11FEA">
        <w:rPr>
          <w:rFonts w:ascii="Times New Roman" w:eastAsia="Times New Roman" w:hAnsi="Times New Roman" w:cs="Times New Roman"/>
          <w:color w:val="000000"/>
        </w:rPr>
        <w:t>l’angelo caduto come la figurazione (</w:t>
      </w:r>
      <w:r w:rsidR="001F675D" w:rsidRPr="00796202">
        <w:rPr>
          <w:rFonts w:ascii="Times New Roman" w:eastAsia="Times New Roman" w:hAnsi="Times New Roman" w:cs="Times New Roman"/>
          <w:i/>
          <w:color w:val="000000"/>
        </w:rPr>
        <w:t>Gestalt</w:t>
      </w:r>
      <w:r w:rsidR="00F3626C" w:rsidRPr="00F11FEA">
        <w:rPr>
          <w:rFonts w:ascii="Times New Roman" w:eastAsia="Times New Roman" w:hAnsi="Times New Roman" w:cs="Times New Roman"/>
          <w:color w:val="000000"/>
        </w:rPr>
        <w:t>)</w:t>
      </w:r>
      <w:r w:rsidR="002B081E" w:rsidRPr="00F11FEA">
        <w:rPr>
          <w:rFonts w:ascii="Times New Roman" w:eastAsia="Times New Roman" w:hAnsi="Times New Roman" w:cs="Times New Roman"/>
          <w:color w:val="000000"/>
        </w:rPr>
        <w:t xml:space="preserve"> </w:t>
      </w:r>
      <w:r w:rsidR="001F675D" w:rsidRPr="00F11FEA">
        <w:rPr>
          <w:rFonts w:ascii="Times New Roman" w:eastAsia="Times New Roman" w:hAnsi="Times New Roman" w:cs="Times New Roman"/>
          <w:color w:val="000000"/>
        </w:rPr>
        <w:t>più</w:t>
      </w:r>
      <w:r w:rsidR="004C2040" w:rsidRPr="00F11FEA">
        <w:rPr>
          <w:rFonts w:ascii="Times New Roman" w:eastAsia="Times New Roman" w:hAnsi="Times New Roman" w:cs="Times New Roman"/>
          <w:color w:val="000000"/>
        </w:rPr>
        <w:t xml:space="preserve"> alta </w:t>
      </w:r>
      <w:r w:rsidR="00CD5D21" w:rsidRPr="00F11FEA">
        <w:rPr>
          <w:rFonts w:ascii="Times New Roman" w:eastAsia="Times New Roman" w:hAnsi="Times New Roman" w:cs="Times New Roman"/>
          <w:color w:val="000000"/>
        </w:rPr>
        <w:t>della natura</w:t>
      </w:r>
      <w:r w:rsidR="00E100E8">
        <w:rPr>
          <w:rFonts w:ascii="Times New Roman" w:eastAsia="Times New Roman" w:hAnsi="Times New Roman" w:cs="Times New Roman"/>
          <w:color w:val="000000"/>
        </w:rPr>
        <w:t xml:space="preserve">, </w:t>
      </w:r>
      <w:r w:rsidR="00916DF4">
        <w:rPr>
          <w:rFonts w:ascii="Times New Roman" w:eastAsia="Times New Roman" w:hAnsi="Times New Roman" w:cs="Times New Roman"/>
          <w:color w:val="000000"/>
        </w:rPr>
        <w:t>resa superba dalla propria bellezza</w:t>
      </w:r>
      <w:r w:rsidR="00916DF4">
        <w:rPr>
          <w:rStyle w:val="Rimandonotaapidipagina"/>
          <w:rFonts w:ascii="Times New Roman" w:eastAsia="Times New Roman" w:hAnsi="Times New Roman" w:cs="Times New Roman"/>
          <w:color w:val="000000"/>
        </w:rPr>
        <w:footnoteReference w:id="163"/>
      </w:r>
      <w:r w:rsidR="008E52D1">
        <w:rPr>
          <w:rFonts w:ascii="Times New Roman" w:eastAsia="Times New Roman" w:hAnsi="Times New Roman" w:cs="Times New Roman"/>
          <w:color w:val="000000"/>
        </w:rPr>
        <w:t>. A mio modo di vedere, le</w:t>
      </w:r>
      <w:r w:rsidR="00972F00" w:rsidRPr="00F11FEA">
        <w:rPr>
          <w:rFonts w:ascii="Times New Roman" w:eastAsia="Times New Roman" w:hAnsi="Times New Roman" w:cs="Times New Roman"/>
          <w:color w:val="000000"/>
        </w:rPr>
        <w:t xml:space="preserve"> scelt</w:t>
      </w:r>
      <w:r w:rsidR="008E52D1">
        <w:rPr>
          <w:rFonts w:ascii="Times New Roman" w:eastAsia="Times New Roman" w:hAnsi="Times New Roman" w:cs="Times New Roman"/>
          <w:color w:val="000000"/>
        </w:rPr>
        <w:t xml:space="preserve">e lessicali </w:t>
      </w:r>
      <w:r w:rsidR="008E52D1" w:rsidRPr="006B7256">
        <w:rPr>
          <w:rFonts w:ascii="Times New Roman" w:eastAsia="Times New Roman" w:hAnsi="Times New Roman" w:cs="Times New Roman"/>
          <w:color w:val="000000"/>
        </w:rPr>
        <w:t>hegeliane</w:t>
      </w:r>
      <w:r w:rsidR="001F675D" w:rsidRPr="006B7256">
        <w:rPr>
          <w:rFonts w:ascii="Times New Roman" w:eastAsia="Times New Roman" w:hAnsi="Times New Roman" w:cs="Times New Roman"/>
          <w:color w:val="000000"/>
        </w:rPr>
        <w:t xml:space="preserve"> </w:t>
      </w:r>
      <w:r w:rsidR="008E52D1" w:rsidRPr="006B7256">
        <w:rPr>
          <w:rFonts w:ascii="Times New Roman" w:eastAsia="Times New Roman" w:hAnsi="Times New Roman" w:cs="Times New Roman"/>
          <w:color w:val="000000"/>
        </w:rPr>
        <w:t>potrebbero rimandare</w:t>
      </w:r>
      <w:r w:rsidR="008E52D1">
        <w:rPr>
          <w:rFonts w:ascii="Times New Roman" w:eastAsia="Times New Roman" w:hAnsi="Times New Roman" w:cs="Times New Roman"/>
          <w:color w:val="000000"/>
        </w:rPr>
        <w:t xml:space="preserve"> ad </w:t>
      </w:r>
      <w:r w:rsidR="001F675D" w:rsidRPr="00F11FEA">
        <w:rPr>
          <w:rFonts w:ascii="Times New Roman" w:eastAsia="Times New Roman" w:hAnsi="Times New Roman" w:cs="Times New Roman"/>
          <w:color w:val="000000"/>
        </w:rPr>
        <w:t xml:space="preserve">un paragrafo di </w:t>
      </w:r>
      <w:r w:rsidR="00F11FEA">
        <w:rPr>
          <w:rFonts w:ascii="Times New Roman" w:eastAsia="Times New Roman" w:hAnsi="Times New Roman" w:cs="Times New Roman"/>
          <w:i/>
          <w:color w:val="000000"/>
        </w:rPr>
        <w:t>Morgenrö</w:t>
      </w:r>
      <w:r w:rsidR="001F675D" w:rsidRPr="00F11FEA">
        <w:rPr>
          <w:rFonts w:ascii="Times New Roman" w:eastAsia="Times New Roman" w:hAnsi="Times New Roman" w:cs="Times New Roman"/>
          <w:i/>
          <w:color w:val="000000"/>
        </w:rPr>
        <w:t>te</w:t>
      </w:r>
      <w:r w:rsidR="0030653D">
        <w:rPr>
          <w:rFonts w:ascii="Times New Roman" w:eastAsia="Times New Roman" w:hAnsi="Times New Roman" w:cs="Times New Roman"/>
          <w:i/>
          <w:color w:val="000000"/>
        </w:rPr>
        <w:t xml:space="preserve"> im Aufgang</w:t>
      </w:r>
      <w:r w:rsidR="001F675D" w:rsidRPr="00F11FEA">
        <w:rPr>
          <w:rFonts w:ascii="Times New Roman" w:eastAsia="Times New Roman" w:hAnsi="Times New Roman" w:cs="Times New Roman"/>
          <w:color w:val="000000"/>
        </w:rPr>
        <w:t>, nel quale</w:t>
      </w:r>
      <w:r w:rsidR="00D84160" w:rsidRPr="00F11FEA">
        <w:rPr>
          <w:rFonts w:ascii="Times New Roman" w:eastAsia="Times New Roman" w:hAnsi="Times New Roman" w:cs="Times New Roman"/>
          <w:color w:val="000000"/>
        </w:rPr>
        <w:t xml:space="preserve"> Lucifero</w:t>
      </w:r>
      <w:r w:rsidR="001F675D" w:rsidRPr="00F11FEA">
        <w:rPr>
          <w:rFonts w:ascii="Times New Roman" w:eastAsia="Times New Roman" w:hAnsi="Times New Roman" w:cs="Times New Roman"/>
          <w:color w:val="000000"/>
        </w:rPr>
        <w:t xml:space="preserve">, </w:t>
      </w:r>
      <w:r w:rsidR="00936A07" w:rsidRPr="00F11FEA">
        <w:rPr>
          <w:rFonts w:ascii="Times New Roman" w:eastAsia="Times New Roman" w:hAnsi="Times New Roman" w:cs="Times New Roman"/>
          <w:color w:val="000000"/>
        </w:rPr>
        <w:t>in vi</w:t>
      </w:r>
      <w:r w:rsidR="001F1608" w:rsidRPr="00F11FEA">
        <w:rPr>
          <w:rFonts w:ascii="Times New Roman" w:eastAsia="Times New Roman" w:hAnsi="Times New Roman" w:cs="Times New Roman"/>
          <w:color w:val="000000"/>
        </w:rPr>
        <w:t xml:space="preserve">rtù </w:t>
      </w:r>
      <w:r w:rsidR="001F675D" w:rsidRPr="00F11FEA">
        <w:rPr>
          <w:rFonts w:ascii="Times New Roman" w:eastAsia="Times New Roman" w:hAnsi="Times New Roman" w:cs="Times New Roman"/>
          <w:color w:val="000000"/>
        </w:rPr>
        <w:t>della sua «</w:t>
      </w:r>
      <w:r w:rsidR="001F675D" w:rsidRPr="00F11FEA">
        <w:rPr>
          <w:rFonts w:ascii="Times New Roman" w:hAnsi="Times New Roman" w:cs="Times New Roman"/>
          <w:lang w:val="de-DE"/>
        </w:rPr>
        <w:t>schöne Gestalt</w:t>
      </w:r>
      <w:r w:rsidR="001F675D" w:rsidRPr="00F11FEA">
        <w:rPr>
          <w:rFonts w:ascii="Times New Roman" w:eastAsia="Times New Roman" w:hAnsi="Times New Roman" w:cs="Times New Roman"/>
          <w:color w:val="000000"/>
        </w:rPr>
        <w:t>», è de</w:t>
      </w:r>
      <w:r w:rsidR="00D84160" w:rsidRPr="00F11FEA">
        <w:rPr>
          <w:rFonts w:ascii="Times New Roman" w:eastAsia="Times New Roman" w:hAnsi="Times New Roman" w:cs="Times New Roman"/>
          <w:color w:val="000000"/>
        </w:rPr>
        <w:t>finito</w:t>
      </w:r>
      <w:r w:rsidR="001F675D" w:rsidRPr="00F11FEA">
        <w:rPr>
          <w:rFonts w:ascii="Times New Roman" w:eastAsia="Times New Roman" w:hAnsi="Times New Roman" w:cs="Times New Roman"/>
          <w:color w:val="000000"/>
        </w:rPr>
        <w:t xml:space="preserve"> come «</w:t>
      </w:r>
      <w:r w:rsidR="001F675D" w:rsidRPr="00F11FEA">
        <w:rPr>
          <w:rFonts w:ascii="Times New Roman" w:hAnsi="Times New Roman" w:cs="Times New Roman"/>
          <w:lang w:val="de-DE"/>
        </w:rPr>
        <w:t>König in der Natur</w:t>
      </w:r>
      <w:r w:rsidR="001F675D" w:rsidRPr="00F11FEA">
        <w:rPr>
          <w:rFonts w:ascii="Times New Roman" w:eastAsia="Times New Roman" w:hAnsi="Times New Roman" w:cs="Times New Roman"/>
          <w:color w:val="000000"/>
        </w:rPr>
        <w:t>»</w:t>
      </w:r>
      <w:r w:rsidR="00936A07" w:rsidRPr="00F11FEA">
        <w:rPr>
          <w:rFonts w:ascii="Times New Roman" w:eastAsia="Times New Roman" w:hAnsi="Times New Roman" w:cs="Times New Roman"/>
          <w:color w:val="000000"/>
        </w:rPr>
        <w:t>:</w:t>
      </w:r>
    </w:p>
    <w:p w14:paraId="09D1AFC9" w14:textId="77777777" w:rsidR="001F675D" w:rsidRDefault="001F675D" w:rsidP="001F675D">
      <w:pPr>
        <w:spacing w:line="360" w:lineRule="auto"/>
        <w:jc w:val="both"/>
        <w:rPr>
          <w:rFonts w:ascii="Times New Roman" w:eastAsia="Times New Roman" w:hAnsi="Times New Roman" w:cs="Times New Roman"/>
          <w:color w:val="000000"/>
        </w:rPr>
      </w:pPr>
    </w:p>
    <w:p w14:paraId="4C5158D5" w14:textId="0009DD3E" w:rsidR="001F675D" w:rsidRPr="00F11FEA" w:rsidRDefault="001F675D" w:rsidP="00D84160">
      <w:pPr>
        <w:spacing w:line="360" w:lineRule="auto"/>
        <w:ind w:left="567" w:firstLine="567"/>
        <w:jc w:val="both"/>
        <w:rPr>
          <w:rFonts w:ascii="Times New Roman" w:eastAsia="Times New Roman" w:hAnsi="Times New Roman" w:cs="Times New Roman"/>
          <w:color w:val="000000"/>
          <w:sz w:val="20"/>
          <w:szCs w:val="20"/>
        </w:rPr>
      </w:pPr>
      <w:r w:rsidRPr="00F11FEA">
        <w:rPr>
          <w:rFonts w:ascii="Times New Roman" w:hAnsi="Times New Roman" w:cs="Times New Roman"/>
          <w:sz w:val="20"/>
          <w:szCs w:val="20"/>
          <w:lang w:val="de-DE"/>
        </w:rPr>
        <w:t>«Weil er aber ietzo also schön und herrlich war gebildet, als ein König in der Natur, so stach ihn seine schöne Gestalt, und vermeinte, Ich bin nun in Gott und aus Gott formiert, wer will mir obsiegen, oder wer will mich verändern? Ich will selber Herr sein, und mit meiner Schärfe in allem herrschen, und mein Corpus soll das Bild seyn, das man ehren soll, ich will mir ein neu Reich zurichten; denn das ganze Revier ist mein, ich bin allein Gott, und kein ander</w:t>
      </w:r>
      <w:r w:rsidR="00FB1630" w:rsidRPr="00F11FEA">
        <w:rPr>
          <w:rFonts w:ascii="Times New Roman" w:hAnsi="Times New Roman" w:cs="Times New Roman"/>
          <w:sz w:val="20"/>
          <w:szCs w:val="20"/>
          <w:lang w:val="de-DE"/>
        </w:rPr>
        <w:t xml:space="preserve"> [...]Nun siehe: als König Lucifers mit seinen Engeln also herrlich, schön und görrlich erschawwen worden war, als ein Cherubin und König in Gott, so ließ er sich seine Gestalt bethören, indem er sahe, was für ein edler schöner und herrlicher Geist in ihm aufging: da memeten seine 7 Quell-Geister, sie wolten sich erheben und anzünden, so würden sie auch also schöne, herrlich und mächtig seyn wie der animalische Geist, damit wolten Sie in dem gantzen Revier mit eigener Kraft und Gewalt herrschen als ein neuer Gott</w:t>
      </w:r>
      <w:r w:rsidRPr="00F11FEA">
        <w:rPr>
          <w:rFonts w:ascii="Times New Roman" w:eastAsia="Times New Roman" w:hAnsi="Times New Roman" w:cs="Times New Roman"/>
          <w:color w:val="000000"/>
          <w:sz w:val="20"/>
          <w:szCs w:val="20"/>
        </w:rPr>
        <w:t>»</w:t>
      </w:r>
      <w:r w:rsidRPr="00F11FEA">
        <w:rPr>
          <w:rStyle w:val="Rimandonotaapidipagina"/>
          <w:rFonts w:ascii="Times New Roman" w:eastAsia="Times New Roman" w:hAnsi="Times New Roman" w:cs="Times New Roman"/>
          <w:color w:val="000000"/>
          <w:sz w:val="20"/>
          <w:szCs w:val="20"/>
        </w:rPr>
        <w:footnoteReference w:id="164"/>
      </w:r>
      <w:r w:rsidRPr="00F11FEA">
        <w:rPr>
          <w:rFonts w:ascii="Times New Roman" w:eastAsia="Times New Roman" w:hAnsi="Times New Roman" w:cs="Times New Roman"/>
          <w:color w:val="000000"/>
          <w:sz w:val="20"/>
          <w:szCs w:val="20"/>
        </w:rPr>
        <w:t>.</w:t>
      </w:r>
    </w:p>
    <w:p w14:paraId="67C9C0AA" w14:textId="77777777" w:rsidR="001F675D" w:rsidRDefault="001F675D" w:rsidP="001F675D">
      <w:pPr>
        <w:spacing w:line="360" w:lineRule="auto"/>
        <w:ind w:firstLine="567"/>
        <w:jc w:val="both"/>
        <w:rPr>
          <w:rFonts w:ascii="Times New Roman" w:eastAsia="Times New Roman" w:hAnsi="Times New Roman" w:cs="Times New Roman"/>
          <w:color w:val="000000"/>
          <w:sz w:val="20"/>
          <w:szCs w:val="20"/>
        </w:rPr>
      </w:pPr>
    </w:p>
    <w:p w14:paraId="1390A517" w14:textId="68B81B8E" w:rsidR="0057216D" w:rsidRDefault="00D84160" w:rsidP="001F675D">
      <w:pPr>
        <w:spacing w:line="360" w:lineRule="auto"/>
        <w:ind w:firstLine="567"/>
        <w:jc w:val="both"/>
        <w:rPr>
          <w:rFonts w:ascii="Times New Roman" w:eastAsia="Times New Roman" w:hAnsi="Times New Roman" w:cs="Times New Roman"/>
          <w:color w:val="000000"/>
        </w:rPr>
      </w:pPr>
      <w:r>
        <w:rPr>
          <w:rFonts w:ascii="Times New Roman" w:hAnsi="Times New Roman" w:cs="Times New Roman"/>
        </w:rPr>
        <w:t xml:space="preserve">Riprendendo </w:t>
      </w:r>
      <w:r w:rsidR="001F675D">
        <w:rPr>
          <w:rFonts w:ascii="Times New Roman" w:hAnsi="Times New Roman" w:cs="Times New Roman"/>
        </w:rPr>
        <w:t>con tutta probabilità questo passo, Hegel coglie nelle espressioni di Böhme quegli elementi che, a suo</w:t>
      </w:r>
      <w:r w:rsidR="001C7409">
        <w:rPr>
          <w:rFonts w:ascii="Times New Roman" w:hAnsi="Times New Roman" w:cs="Times New Roman"/>
        </w:rPr>
        <w:t xml:space="preserve"> dire</w:t>
      </w:r>
      <w:r w:rsidR="003213B3">
        <w:rPr>
          <w:rFonts w:ascii="Times New Roman" w:hAnsi="Times New Roman" w:cs="Times New Roman"/>
        </w:rPr>
        <w:t>, consentono d’esprim</w:t>
      </w:r>
      <w:r w:rsidR="001F675D">
        <w:rPr>
          <w:rFonts w:ascii="Times New Roman" w:hAnsi="Times New Roman" w:cs="Times New Roman"/>
        </w:rPr>
        <w:t xml:space="preserve">ere il processo circolare, il cosiddetto </w:t>
      </w:r>
      <w:r w:rsidR="001F675D" w:rsidRPr="00EF0365">
        <w:rPr>
          <w:rFonts w:ascii="Times New Roman" w:hAnsi="Times New Roman" w:cs="Times New Roman"/>
          <w:i/>
        </w:rPr>
        <w:t>Kreislauf</w:t>
      </w:r>
      <w:r w:rsidR="001F675D">
        <w:rPr>
          <w:rStyle w:val="Rimandonotaapidipagina"/>
          <w:rFonts w:ascii="Times New Roman" w:hAnsi="Times New Roman" w:cs="Times New Roman"/>
          <w:i/>
        </w:rPr>
        <w:footnoteReference w:id="165"/>
      </w:r>
      <w:r w:rsidR="001F675D">
        <w:rPr>
          <w:rFonts w:ascii="Times New Roman" w:hAnsi="Times New Roman" w:cs="Times New Roman"/>
        </w:rPr>
        <w:t>, dello spirito. La regalità di Lucifero, che corrisponde allo specc</w:t>
      </w:r>
      <w:r w:rsidR="00BD5C8E">
        <w:rPr>
          <w:rFonts w:ascii="Times New Roman" w:hAnsi="Times New Roman" w:cs="Times New Roman"/>
        </w:rPr>
        <w:t xml:space="preserve">hiarsi della natura nell’angelo </w:t>
      </w:r>
      <w:r w:rsidR="001F675D">
        <w:rPr>
          <w:rFonts w:ascii="Times New Roman" w:hAnsi="Times New Roman" w:cs="Times New Roman"/>
        </w:rPr>
        <w:t>caduto, è vista come un momento drammatico dell’</w:t>
      </w:r>
      <w:r w:rsidR="001F675D" w:rsidRPr="009A0B8E">
        <w:rPr>
          <w:rFonts w:ascii="Times New Roman" w:hAnsi="Times New Roman" w:cs="Times New Roman"/>
          <w:i/>
        </w:rPr>
        <w:t>Anderswerden</w:t>
      </w:r>
      <w:r w:rsidR="001F675D">
        <w:rPr>
          <w:rFonts w:ascii="Times New Roman" w:hAnsi="Times New Roman" w:cs="Times New Roman"/>
        </w:rPr>
        <w:t xml:space="preserve"> del divino, poiché </w:t>
      </w:r>
      <w:r w:rsidR="000A2D75">
        <w:rPr>
          <w:rFonts w:ascii="Times New Roman" w:eastAsia="Times New Roman" w:hAnsi="Times New Roman" w:cs="Times New Roman"/>
          <w:color w:val="000000"/>
        </w:rPr>
        <w:t xml:space="preserve">il voler essere per </w:t>
      </w:r>
      <w:r w:rsidR="001F675D" w:rsidRPr="005E6821">
        <w:rPr>
          <w:rFonts w:ascii="Times New Roman" w:eastAsia="Times New Roman" w:hAnsi="Times New Roman" w:cs="Times New Roman"/>
          <w:color w:val="000000"/>
        </w:rPr>
        <w:t xml:space="preserve">sé dell’altro da sé è ciò che viene definito </w:t>
      </w:r>
      <w:r w:rsidR="001F675D" w:rsidRPr="005E6821">
        <w:rPr>
          <w:rFonts w:ascii="Times New Roman" w:hAnsi="Times New Roman" w:cs="Times New Roman"/>
        </w:rPr>
        <w:t xml:space="preserve">nel </w:t>
      </w:r>
      <w:r w:rsidR="001F675D" w:rsidRPr="005E6821">
        <w:rPr>
          <w:rFonts w:ascii="Times New Roman" w:hAnsi="Times New Roman" w:cs="Times New Roman"/>
          <w:i/>
        </w:rPr>
        <w:t>Fragment 49</w:t>
      </w:r>
      <w:r w:rsidR="001F675D" w:rsidRPr="005E6821">
        <w:rPr>
          <w:rFonts w:ascii="Times New Roman" w:hAnsi="Times New Roman" w:cs="Times New Roman"/>
        </w:rPr>
        <w:t xml:space="preserve"> </w:t>
      </w:r>
      <w:r w:rsidR="001F675D" w:rsidRPr="005E6821">
        <w:rPr>
          <w:rFonts w:ascii="Times New Roman" w:eastAsia="Times New Roman" w:hAnsi="Times New Roman" w:cs="Times New Roman"/>
          <w:color w:val="000000"/>
        </w:rPr>
        <w:t>come il male</w:t>
      </w:r>
      <w:r w:rsidR="00B317F8">
        <w:rPr>
          <w:rFonts w:ascii="Times New Roman" w:eastAsia="Times New Roman" w:hAnsi="Times New Roman" w:cs="Times New Roman"/>
          <w:color w:val="000000"/>
        </w:rPr>
        <w:t xml:space="preserve"> (</w:t>
      </w:r>
      <w:r w:rsidR="00B317F8" w:rsidRPr="00B317F8">
        <w:rPr>
          <w:rFonts w:ascii="Times New Roman" w:eastAsia="Times New Roman" w:hAnsi="Times New Roman" w:cs="Times New Roman"/>
          <w:i/>
          <w:color w:val="000000"/>
        </w:rPr>
        <w:t>das Böse</w:t>
      </w:r>
      <w:r w:rsidR="00B317F8">
        <w:rPr>
          <w:rFonts w:ascii="Times New Roman" w:eastAsia="Times New Roman" w:hAnsi="Times New Roman" w:cs="Times New Roman"/>
          <w:color w:val="000000"/>
        </w:rPr>
        <w:t>)</w:t>
      </w:r>
      <w:r w:rsidR="001F675D" w:rsidRPr="00A93A46">
        <w:rPr>
          <w:rFonts w:ascii="Times New Roman" w:eastAsia="Times New Roman" w:hAnsi="Times New Roman" w:cs="Times New Roman"/>
          <w:color w:val="000000"/>
        </w:rPr>
        <w:t>. La volontà del te</w:t>
      </w:r>
      <w:r w:rsidR="004958CF" w:rsidRPr="00A93A46">
        <w:rPr>
          <w:rFonts w:ascii="Times New Roman" w:eastAsia="Times New Roman" w:hAnsi="Times New Roman" w:cs="Times New Roman"/>
          <w:color w:val="000000"/>
        </w:rPr>
        <w:t xml:space="preserve">rmine posto </w:t>
      </w:r>
      <w:r w:rsidR="00AC4211" w:rsidRPr="00A93A46">
        <w:rPr>
          <w:rFonts w:ascii="Times New Roman" w:eastAsia="Times New Roman" w:hAnsi="Times New Roman" w:cs="Times New Roman"/>
          <w:color w:val="000000"/>
        </w:rPr>
        <w:t xml:space="preserve">da </w:t>
      </w:r>
      <w:r w:rsidR="00385EF1">
        <w:rPr>
          <w:rFonts w:ascii="Times New Roman" w:eastAsia="Times New Roman" w:hAnsi="Times New Roman" w:cs="Times New Roman"/>
          <w:color w:val="000000"/>
        </w:rPr>
        <w:t>e</w:t>
      </w:r>
      <w:r w:rsidR="004958CF" w:rsidRPr="00A93A46">
        <w:rPr>
          <w:rFonts w:ascii="Times New Roman" w:eastAsia="Times New Roman" w:hAnsi="Times New Roman" w:cs="Times New Roman"/>
          <w:color w:val="000000"/>
        </w:rPr>
        <w:t xml:space="preserve"> opposto a Dio</w:t>
      </w:r>
      <w:r w:rsidR="001F675D" w:rsidRPr="00A93A46">
        <w:rPr>
          <w:rFonts w:ascii="Times New Roman" w:eastAsia="Times New Roman" w:hAnsi="Times New Roman" w:cs="Times New Roman"/>
          <w:color w:val="000000"/>
        </w:rPr>
        <w:t xml:space="preserve"> di guadagnare una propria indipendenza è superata dalla </w:t>
      </w:r>
      <w:r w:rsidR="0010308C" w:rsidRPr="00A93A46">
        <w:rPr>
          <w:rFonts w:ascii="Times New Roman" w:eastAsia="Times New Roman" w:hAnsi="Times New Roman" w:cs="Times New Roman"/>
          <w:color w:val="000000"/>
        </w:rPr>
        <w:t>cosiddetta ira di Dio (</w:t>
      </w:r>
      <w:r w:rsidR="001F675D" w:rsidRPr="00A93A46">
        <w:rPr>
          <w:rFonts w:ascii="Times New Roman" w:eastAsia="Times New Roman" w:hAnsi="Times New Roman" w:cs="Times New Roman"/>
          <w:i/>
          <w:color w:val="000000"/>
        </w:rPr>
        <w:t>Zorn Gottes</w:t>
      </w:r>
      <w:r w:rsidR="001F675D" w:rsidRPr="00A93A46">
        <w:rPr>
          <w:rFonts w:ascii="Times New Roman" w:eastAsia="Times New Roman" w:hAnsi="Times New Roman" w:cs="Times New Roman"/>
          <w:color w:val="000000"/>
        </w:rPr>
        <w:t xml:space="preserve">), </w:t>
      </w:r>
      <w:r w:rsidR="0037013F" w:rsidRPr="00A93A46">
        <w:rPr>
          <w:rFonts w:ascii="Times New Roman" w:eastAsia="Times New Roman" w:hAnsi="Times New Roman" w:cs="Times New Roman"/>
          <w:color w:val="000000"/>
        </w:rPr>
        <w:t xml:space="preserve">ossia </w:t>
      </w:r>
      <w:r w:rsidR="00EA78C3" w:rsidRPr="00A93A46">
        <w:rPr>
          <w:rFonts w:ascii="Times New Roman" w:eastAsia="Times New Roman" w:hAnsi="Times New Roman" w:cs="Times New Roman"/>
          <w:color w:val="000000"/>
        </w:rPr>
        <w:t xml:space="preserve">dalla presa di coscienza </w:t>
      </w:r>
      <w:r w:rsidRPr="00A93A46">
        <w:rPr>
          <w:rFonts w:ascii="Times New Roman" w:eastAsia="Times New Roman" w:hAnsi="Times New Roman" w:cs="Times New Roman"/>
          <w:color w:val="000000"/>
        </w:rPr>
        <w:t xml:space="preserve">da parte del divino </w:t>
      </w:r>
      <w:r w:rsidR="0037013F" w:rsidRPr="00A93A46">
        <w:rPr>
          <w:rFonts w:ascii="Times New Roman" w:eastAsia="Times New Roman" w:hAnsi="Times New Roman" w:cs="Times New Roman"/>
          <w:color w:val="000000"/>
        </w:rPr>
        <w:t xml:space="preserve">della </w:t>
      </w:r>
      <w:r w:rsidRPr="00A93A46">
        <w:rPr>
          <w:rFonts w:ascii="Times New Roman" w:eastAsia="Times New Roman" w:hAnsi="Times New Roman" w:cs="Times New Roman"/>
          <w:color w:val="000000"/>
        </w:rPr>
        <w:t>perdita</w:t>
      </w:r>
      <w:r w:rsidR="00E56423" w:rsidRPr="00A93A46">
        <w:rPr>
          <w:rFonts w:ascii="Times New Roman" w:eastAsia="Times New Roman" w:hAnsi="Times New Roman" w:cs="Times New Roman"/>
          <w:color w:val="000000"/>
        </w:rPr>
        <w:t xml:space="preserve"> della propria</w:t>
      </w:r>
      <w:r w:rsidR="0037013F" w:rsidRPr="00A93A46">
        <w:rPr>
          <w:rFonts w:ascii="Times New Roman" w:eastAsia="Times New Roman" w:hAnsi="Times New Roman" w:cs="Times New Roman"/>
          <w:color w:val="000000"/>
        </w:rPr>
        <w:t xml:space="preserve"> puntualità (</w:t>
      </w:r>
      <w:r w:rsidR="0037013F" w:rsidRPr="00A93A46">
        <w:rPr>
          <w:rFonts w:ascii="Times New Roman" w:eastAsia="Times New Roman" w:hAnsi="Times New Roman" w:cs="Times New Roman"/>
          <w:i/>
          <w:color w:val="000000"/>
        </w:rPr>
        <w:t>verlorene Pünktlichkeit</w:t>
      </w:r>
      <w:r w:rsidR="0037013F" w:rsidRPr="00A93A46">
        <w:rPr>
          <w:rFonts w:ascii="Times New Roman" w:eastAsia="Times New Roman" w:hAnsi="Times New Roman" w:cs="Times New Roman"/>
          <w:color w:val="000000"/>
        </w:rPr>
        <w:t>) nel</w:t>
      </w:r>
      <w:r w:rsidR="0010308C" w:rsidRPr="00A93A46">
        <w:rPr>
          <w:rFonts w:ascii="Times New Roman" w:eastAsia="Times New Roman" w:hAnsi="Times New Roman" w:cs="Times New Roman"/>
          <w:color w:val="000000"/>
        </w:rPr>
        <w:t>la</w:t>
      </w:r>
      <w:r w:rsidRPr="00A93A46">
        <w:rPr>
          <w:rFonts w:ascii="Times New Roman" w:eastAsia="Times New Roman" w:hAnsi="Times New Roman" w:cs="Times New Roman"/>
          <w:color w:val="000000"/>
        </w:rPr>
        <w:t xml:space="preserve"> sfera creaturale.</w:t>
      </w:r>
      <w:r w:rsidR="0037013F" w:rsidRPr="00A93A46">
        <w:rPr>
          <w:rFonts w:ascii="Times New Roman" w:eastAsia="Times New Roman" w:hAnsi="Times New Roman" w:cs="Times New Roman"/>
          <w:color w:val="000000"/>
        </w:rPr>
        <w:t xml:space="preserve"> </w:t>
      </w:r>
      <w:r w:rsidRPr="00A93A46">
        <w:rPr>
          <w:rFonts w:ascii="Times New Roman" w:eastAsia="Times New Roman" w:hAnsi="Times New Roman" w:cs="Times New Roman"/>
          <w:color w:val="000000"/>
        </w:rPr>
        <w:t>Il consumarsi dell’</w:t>
      </w:r>
      <w:r w:rsidR="000A2D75" w:rsidRPr="00A93A46">
        <w:rPr>
          <w:rFonts w:ascii="Times New Roman" w:eastAsia="Times New Roman" w:hAnsi="Times New Roman" w:cs="Times New Roman"/>
          <w:color w:val="000000"/>
        </w:rPr>
        <w:t xml:space="preserve">essere per </w:t>
      </w:r>
      <w:r w:rsidRPr="00A93A46">
        <w:rPr>
          <w:rFonts w:ascii="Times New Roman" w:eastAsia="Times New Roman" w:hAnsi="Times New Roman" w:cs="Times New Roman"/>
          <w:color w:val="000000"/>
        </w:rPr>
        <w:t>sé della natura determina</w:t>
      </w:r>
      <w:r w:rsidR="001F675D" w:rsidRPr="00A93A46">
        <w:rPr>
          <w:rFonts w:ascii="Times New Roman" w:eastAsia="Times New Roman" w:hAnsi="Times New Roman" w:cs="Times New Roman"/>
          <w:color w:val="000000"/>
        </w:rPr>
        <w:t xml:space="preserve"> </w:t>
      </w:r>
      <w:r w:rsidRPr="00A93A46">
        <w:rPr>
          <w:rFonts w:ascii="Times New Roman" w:eastAsia="Times New Roman" w:hAnsi="Times New Roman" w:cs="Times New Roman"/>
          <w:color w:val="000000"/>
        </w:rPr>
        <w:t xml:space="preserve">ciò </w:t>
      </w:r>
      <w:r w:rsidR="001F675D" w:rsidRPr="00A93A46">
        <w:rPr>
          <w:rFonts w:ascii="Times New Roman" w:eastAsia="Times New Roman" w:hAnsi="Times New Roman" w:cs="Times New Roman"/>
          <w:color w:val="000000"/>
        </w:rPr>
        <w:t>che B</w:t>
      </w:r>
      <w:r w:rsidRPr="00A93A46">
        <w:rPr>
          <w:rFonts w:ascii="Times New Roman" w:eastAsia="Times New Roman" w:hAnsi="Times New Roman" w:cs="Times New Roman"/>
          <w:color w:val="000000"/>
        </w:rPr>
        <w:t>öhme definisce come</w:t>
      </w:r>
      <w:r w:rsidR="001F675D" w:rsidRPr="00A93A46">
        <w:rPr>
          <w:rFonts w:ascii="Times New Roman" w:eastAsia="Times New Roman" w:hAnsi="Times New Roman" w:cs="Times New Roman"/>
          <w:color w:val="000000"/>
        </w:rPr>
        <w:t xml:space="preserve"> l’</w:t>
      </w:r>
      <w:r w:rsidR="001F675D" w:rsidRPr="00A93A46">
        <w:rPr>
          <w:rFonts w:ascii="Times New Roman" w:eastAsia="Times New Roman" w:hAnsi="Times New Roman" w:cs="Times New Roman"/>
          <w:i/>
          <w:color w:val="000000"/>
        </w:rPr>
        <w:t>Abfall Lucifers</w:t>
      </w:r>
      <w:r w:rsidR="001F675D" w:rsidRPr="00A93A46">
        <w:rPr>
          <w:rFonts w:ascii="Times New Roman" w:eastAsia="Times New Roman" w:hAnsi="Times New Roman" w:cs="Times New Roman"/>
          <w:color w:val="000000"/>
        </w:rPr>
        <w:t>.</w:t>
      </w:r>
      <w:r w:rsidR="001F675D" w:rsidRPr="005E6821">
        <w:rPr>
          <w:rFonts w:ascii="Times New Roman" w:eastAsia="Times New Roman" w:hAnsi="Times New Roman" w:cs="Times New Roman"/>
          <w:color w:val="000000"/>
        </w:rPr>
        <w:t xml:space="preserve"> </w:t>
      </w:r>
      <w:r w:rsidR="005435AC" w:rsidRPr="005435AC">
        <w:rPr>
          <w:rFonts w:ascii="Times New Roman" w:eastAsia="Times New Roman" w:hAnsi="Times New Roman" w:cs="Times New Roman"/>
          <w:color w:val="000000"/>
        </w:rPr>
        <w:t>Anda</w:t>
      </w:r>
      <w:r w:rsidR="002B1250" w:rsidRPr="005435AC">
        <w:rPr>
          <w:rFonts w:ascii="Times New Roman" w:eastAsia="Times New Roman" w:hAnsi="Times New Roman" w:cs="Times New Roman"/>
          <w:color w:val="000000"/>
        </w:rPr>
        <w:t>ndo</w:t>
      </w:r>
      <w:r w:rsidR="0010308C" w:rsidRPr="005435AC">
        <w:rPr>
          <w:rFonts w:ascii="Times New Roman" w:eastAsia="Times New Roman" w:hAnsi="Times New Roman" w:cs="Times New Roman"/>
          <w:color w:val="000000"/>
        </w:rPr>
        <w:t xml:space="preserve"> oltre </w:t>
      </w:r>
      <w:r w:rsidR="00EA78C3" w:rsidRPr="005435AC">
        <w:rPr>
          <w:rFonts w:ascii="Times New Roman" w:eastAsia="Times New Roman" w:hAnsi="Times New Roman" w:cs="Times New Roman"/>
          <w:color w:val="000000"/>
        </w:rPr>
        <w:t xml:space="preserve">la </w:t>
      </w:r>
      <w:r w:rsidR="00083FA4" w:rsidRPr="005435AC">
        <w:rPr>
          <w:rFonts w:ascii="Times New Roman" w:eastAsia="Times New Roman" w:hAnsi="Times New Roman" w:cs="Times New Roman"/>
          <w:color w:val="000000"/>
        </w:rPr>
        <w:t>cosmogonia</w:t>
      </w:r>
      <w:r w:rsidR="00EA78C3" w:rsidRPr="005435AC">
        <w:rPr>
          <w:rFonts w:ascii="Times New Roman" w:eastAsia="Times New Roman" w:hAnsi="Times New Roman" w:cs="Times New Roman"/>
          <w:color w:val="000000"/>
        </w:rPr>
        <w:t xml:space="preserve"> bö</w:t>
      </w:r>
      <w:r w:rsidR="00083FA4" w:rsidRPr="005435AC">
        <w:rPr>
          <w:rFonts w:ascii="Times New Roman" w:eastAsia="Times New Roman" w:hAnsi="Times New Roman" w:cs="Times New Roman"/>
          <w:color w:val="000000"/>
        </w:rPr>
        <w:t>hmiana</w:t>
      </w:r>
      <w:r w:rsidR="00083FA4" w:rsidRPr="005435AC">
        <w:rPr>
          <w:rStyle w:val="Rimandonotaapidipagina"/>
          <w:rFonts w:ascii="Times New Roman" w:eastAsia="Times New Roman" w:hAnsi="Times New Roman" w:cs="Times New Roman"/>
          <w:color w:val="000000"/>
        </w:rPr>
        <w:footnoteReference w:id="166"/>
      </w:r>
      <w:r w:rsidR="00EA78C3" w:rsidRPr="005435AC">
        <w:rPr>
          <w:rFonts w:ascii="Times New Roman" w:eastAsia="Times New Roman" w:hAnsi="Times New Roman" w:cs="Times New Roman"/>
          <w:color w:val="000000"/>
        </w:rPr>
        <w:t>,</w:t>
      </w:r>
      <w:r w:rsidR="0037013F">
        <w:rPr>
          <w:rFonts w:ascii="Times New Roman" w:eastAsia="Times New Roman" w:hAnsi="Times New Roman" w:cs="Times New Roman"/>
          <w:color w:val="000000"/>
        </w:rPr>
        <w:t xml:space="preserve"> </w:t>
      </w:r>
      <w:r w:rsidR="002B1250">
        <w:rPr>
          <w:rFonts w:ascii="Times New Roman" w:eastAsia="Times New Roman" w:hAnsi="Times New Roman" w:cs="Times New Roman"/>
          <w:color w:val="000000"/>
        </w:rPr>
        <w:t xml:space="preserve">Hegel ritiene che </w:t>
      </w:r>
      <w:r w:rsidR="0037013F">
        <w:rPr>
          <w:rFonts w:ascii="Times New Roman" w:eastAsia="Times New Roman" w:hAnsi="Times New Roman" w:cs="Times New Roman"/>
          <w:color w:val="000000"/>
        </w:rPr>
        <w:t>i</w:t>
      </w:r>
      <w:r w:rsidR="001F675D" w:rsidRPr="005E6821">
        <w:rPr>
          <w:rFonts w:ascii="Times New Roman" w:eastAsia="Times New Roman" w:hAnsi="Times New Roman" w:cs="Times New Roman"/>
          <w:color w:val="000000"/>
        </w:rPr>
        <w:t xml:space="preserve">l </w:t>
      </w:r>
      <w:r w:rsidR="001F675D" w:rsidRPr="005E6821">
        <w:rPr>
          <w:rFonts w:ascii="Times New Roman" w:eastAsia="Times New Roman" w:hAnsi="Times New Roman" w:cs="Times New Roman"/>
          <w:i/>
          <w:color w:val="000000"/>
        </w:rPr>
        <w:t>gefallener Lucifer</w:t>
      </w:r>
      <w:r>
        <w:rPr>
          <w:rFonts w:ascii="Times New Roman" w:eastAsia="Times New Roman" w:hAnsi="Times New Roman" w:cs="Times New Roman"/>
          <w:color w:val="000000"/>
        </w:rPr>
        <w:t xml:space="preserve"> – o </w:t>
      </w:r>
      <w:r w:rsidR="002E2736">
        <w:rPr>
          <w:rFonts w:ascii="Times New Roman" w:eastAsia="Times New Roman" w:hAnsi="Times New Roman" w:cs="Times New Roman"/>
          <w:color w:val="000000"/>
        </w:rPr>
        <w:t>la natura</w:t>
      </w:r>
      <w:r w:rsidR="00E761B1">
        <w:rPr>
          <w:rFonts w:ascii="Times New Roman" w:eastAsia="Times New Roman" w:hAnsi="Times New Roman" w:cs="Times New Roman"/>
          <w:i/>
          <w:color w:val="000000"/>
        </w:rPr>
        <w:t xml:space="preserve"> </w:t>
      </w:r>
      <w:r w:rsidR="00E761B1">
        <w:rPr>
          <w:rFonts w:ascii="Times New Roman" w:eastAsia="Times New Roman" w:hAnsi="Times New Roman" w:cs="Times New Roman"/>
          <w:color w:val="000000"/>
        </w:rPr>
        <w:t xml:space="preserve">nel suo complesso </w:t>
      </w:r>
      <w:r>
        <w:rPr>
          <w:rFonts w:ascii="Times New Roman" w:eastAsia="Times New Roman" w:hAnsi="Times New Roman" w:cs="Times New Roman"/>
          <w:color w:val="000000"/>
        </w:rPr>
        <w:t xml:space="preserve">– </w:t>
      </w:r>
      <w:r w:rsidR="002B1250">
        <w:rPr>
          <w:rFonts w:ascii="Times New Roman" w:eastAsia="Times New Roman" w:hAnsi="Times New Roman" w:cs="Times New Roman"/>
          <w:color w:val="000000"/>
        </w:rPr>
        <w:t>sia</w:t>
      </w:r>
      <w:r w:rsidR="001F675D" w:rsidRPr="005E6821">
        <w:rPr>
          <w:rFonts w:ascii="Times New Roman" w:eastAsia="Times New Roman" w:hAnsi="Times New Roman" w:cs="Times New Roman"/>
          <w:color w:val="000000"/>
        </w:rPr>
        <w:t xml:space="preserve"> poi elevato in una </w:t>
      </w:r>
      <w:r w:rsidR="003213B3">
        <w:rPr>
          <w:rFonts w:ascii="Times New Roman" w:eastAsia="Times New Roman" w:hAnsi="Times New Roman" w:cs="Times New Roman"/>
          <w:color w:val="000000"/>
        </w:rPr>
        <w:t xml:space="preserve">nuova </w:t>
      </w:r>
      <w:r w:rsidR="001F675D" w:rsidRPr="005E6821">
        <w:rPr>
          <w:rFonts w:ascii="Times New Roman" w:eastAsia="Times New Roman" w:hAnsi="Times New Roman" w:cs="Times New Roman"/>
          <w:color w:val="000000"/>
        </w:rPr>
        <w:t>forma ideale (</w:t>
      </w:r>
      <w:r w:rsidR="001F675D" w:rsidRPr="005E6821">
        <w:rPr>
          <w:rFonts w:ascii="Times New Roman" w:eastAsia="Times New Roman" w:hAnsi="Times New Roman" w:cs="Times New Roman"/>
          <w:i/>
          <w:color w:val="000000"/>
        </w:rPr>
        <w:t>in neuer idealer Form</w:t>
      </w:r>
      <w:r w:rsidR="001F675D" w:rsidRPr="005E6821">
        <w:rPr>
          <w:rFonts w:ascii="Times New Roman" w:eastAsia="Times New Roman" w:hAnsi="Times New Roman" w:cs="Times New Roman"/>
          <w:color w:val="000000"/>
        </w:rPr>
        <w:t xml:space="preserve">), dalla quale </w:t>
      </w:r>
      <w:r w:rsidR="002B1250">
        <w:rPr>
          <w:rFonts w:ascii="Times New Roman" w:eastAsia="Times New Roman" w:hAnsi="Times New Roman" w:cs="Times New Roman"/>
          <w:color w:val="000000"/>
        </w:rPr>
        <w:t xml:space="preserve">è </w:t>
      </w:r>
      <w:r w:rsidR="001F675D" w:rsidRPr="005E6821">
        <w:rPr>
          <w:rFonts w:ascii="Times New Roman" w:eastAsia="Times New Roman" w:hAnsi="Times New Roman" w:cs="Times New Roman"/>
          <w:color w:val="000000"/>
        </w:rPr>
        <w:t xml:space="preserve">perduta quella </w:t>
      </w:r>
      <w:r w:rsidR="00AA570C">
        <w:rPr>
          <w:rFonts w:ascii="Times New Roman" w:eastAsia="Times New Roman" w:hAnsi="Times New Roman" w:cs="Times New Roman"/>
          <w:color w:val="000000"/>
        </w:rPr>
        <w:t xml:space="preserve">prima </w:t>
      </w:r>
      <w:r w:rsidR="001F675D" w:rsidRPr="005E6821">
        <w:rPr>
          <w:rFonts w:ascii="Times New Roman" w:eastAsia="Times New Roman" w:hAnsi="Times New Roman" w:cs="Times New Roman"/>
          <w:color w:val="000000"/>
        </w:rPr>
        <w:t>vitalità (</w:t>
      </w:r>
      <w:r w:rsidR="001F675D" w:rsidRPr="005E6821">
        <w:rPr>
          <w:rFonts w:ascii="Times New Roman" w:eastAsia="Times New Roman" w:hAnsi="Times New Roman" w:cs="Times New Roman"/>
          <w:i/>
          <w:color w:val="000000"/>
        </w:rPr>
        <w:t>jenes erste Leben</w:t>
      </w:r>
      <w:r w:rsidR="001F675D" w:rsidRPr="005E6821">
        <w:rPr>
          <w:rFonts w:ascii="Times New Roman" w:eastAsia="Times New Roman" w:hAnsi="Times New Roman" w:cs="Times New Roman"/>
          <w:color w:val="000000"/>
        </w:rPr>
        <w:t xml:space="preserve">) che aveva caratterizzato l’ostilità della </w:t>
      </w:r>
      <w:r w:rsidR="00083FA4">
        <w:rPr>
          <w:rFonts w:ascii="Times New Roman" w:eastAsia="Times New Roman" w:hAnsi="Times New Roman" w:cs="Times New Roman"/>
          <w:color w:val="000000"/>
        </w:rPr>
        <w:t>creatura nei confronti del C</w:t>
      </w:r>
      <w:r w:rsidR="001F675D" w:rsidRPr="005E6821">
        <w:rPr>
          <w:rFonts w:ascii="Times New Roman" w:eastAsia="Times New Roman" w:hAnsi="Times New Roman" w:cs="Times New Roman"/>
          <w:color w:val="000000"/>
        </w:rPr>
        <w:t>reatore.</w:t>
      </w:r>
      <w:r w:rsidR="001F675D" w:rsidRPr="005E6821">
        <w:rPr>
          <w:rFonts w:ascii="Times New Roman" w:hAnsi="Times New Roman" w:cs="Times New Roman"/>
        </w:rPr>
        <w:t xml:space="preserve"> </w:t>
      </w:r>
      <w:r w:rsidR="00E77939">
        <w:rPr>
          <w:rFonts w:ascii="Times New Roman" w:eastAsia="Times New Roman" w:hAnsi="Times New Roman" w:cs="Times New Roman"/>
          <w:color w:val="000000"/>
        </w:rPr>
        <w:t>Tutte q</w:t>
      </w:r>
      <w:r w:rsidR="004A3CFB" w:rsidRPr="005E6821">
        <w:rPr>
          <w:rFonts w:ascii="Times New Roman" w:eastAsia="Times New Roman" w:hAnsi="Times New Roman" w:cs="Times New Roman"/>
          <w:color w:val="000000"/>
        </w:rPr>
        <w:t xml:space="preserve">ueste immagini, tratte dalla teoria </w:t>
      </w:r>
      <w:r w:rsidR="004A3CFB">
        <w:rPr>
          <w:rFonts w:ascii="Times New Roman" w:eastAsia="Times New Roman" w:hAnsi="Times New Roman" w:cs="Times New Roman"/>
          <w:color w:val="000000"/>
        </w:rPr>
        <w:t>della caduta di Lucifero</w:t>
      </w:r>
      <w:r w:rsidR="007A4940" w:rsidRPr="00385EF1">
        <w:rPr>
          <w:rStyle w:val="Rimandonotaapidipagina"/>
          <w:rFonts w:ascii="Times New Roman" w:eastAsia="Times New Roman" w:hAnsi="Times New Roman" w:cs="Times New Roman"/>
          <w:color w:val="000000"/>
        </w:rPr>
        <w:footnoteReference w:id="167"/>
      </w:r>
      <w:r w:rsidR="000E5A64" w:rsidRPr="00385EF1">
        <w:rPr>
          <w:rFonts w:ascii="Times New Roman" w:eastAsia="Times New Roman" w:hAnsi="Times New Roman" w:cs="Times New Roman"/>
          <w:color w:val="000000"/>
        </w:rPr>
        <w:t>,</w:t>
      </w:r>
      <w:r w:rsidR="005167BE">
        <w:rPr>
          <w:rFonts w:ascii="Times New Roman" w:eastAsia="Times New Roman" w:hAnsi="Times New Roman" w:cs="Times New Roman"/>
          <w:color w:val="000000"/>
        </w:rPr>
        <w:t xml:space="preserve"> esprimono</w:t>
      </w:r>
      <w:r w:rsidR="000E5A64">
        <w:rPr>
          <w:rFonts w:ascii="Times New Roman" w:eastAsia="Times New Roman" w:hAnsi="Times New Roman" w:cs="Times New Roman"/>
          <w:color w:val="000000"/>
        </w:rPr>
        <w:t>,</w:t>
      </w:r>
      <w:r w:rsidR="004A3CFB">
        <w:rPr>
          <w:rFonts w:ascii="Times New Roman" w:eastAsia="Times New Roman" w:hAnsi="Times New Roman" w:cs="Times New Roman"/>
          <w:color w:val="000000"/>
        </w:rPr>
        <w:t xml:space="preserve"> in termini metaforici </w:t>
      </w:r>
      <w:r w:rsidR="000E5A64">
        <w:rPr>
          <w:rFonts w:ascii="Times New Roman" w:eastAsia="Times New Roman" w:hAnsi="Times New Roman" w:cs="Times New Roman"/>
          <w:color w:val="000000"/>
        </w:rPr>
        <w:t xml:space="preserve">e barbarici, </w:t>
      </w:r>
      <w:r w:rsidR="004A3CFB">
        <w:rPr>
          <w:rFonts w:ascii="Times New Roman" w:eastAsia="Times New Roman" w:hAnsi="Times New Roman" w:cs="Times New Roman"/>
          <w:color w:val="000000"/>
        </w:rPr>
        <w:t xml:space="preserve">quella </w:t>
      </w:r>
      <w:r w:rsidR="000E5A64">
        <w:rPr>
          <w:rFonts w:ascii="Times New Roman" w:eastAsia="Times New Roman" w:hAnsi="Times New Roman" w:cs="Times New Roman"/>
          <w:color w:val="000000"/>
        </w:rPr>
        <w:t xml:space="preserve">medesima </w:t>
      </w:r>
      <w:r w:rsidR="004A3CFB">
        <w:rPr>
          <w:rFonts w:ascii="Times New Roman" w:eastAsia="Times New Roman" w:hAnsi="Times New Roman" w:cs="Times New Roman"/>
          <w:color w:val="000000"/>
        </w:rPr>
        <w:t>processualità del</w:t>
      </w:r>
      <w:r w:rsidR="000E5A64">
        <w:rPr>
          <w:rFonts w:ascii="Times New Roman" w:eastAsia="Times New Roman" w:hAnsi="Times New Roman" w:cs="Times New Roman"/>
          <w:color w:val="000000"/>
        </w:rPr>
        <w:t>l’Assoluto</w:t>
      </w:r>
      <w:r w:rsidR="00D36E88">
        <w:rPr>
          <w:rFonts w:ascii="Times New Roman" w:eastAsia="Times New Roman" w:hAnsi="Times New Roman" w:cs="Times New Roman"/>
          <w:color w:val="000000"/>
        </w:rPr>
        <w:t xml:space="preserve">, </w:t>
      </w:r>
      <w:r w:rsidR="000E5A64">
        <w:rPr>
          <w:rFonts w:ascii="Times New Roman" w:eastAsia="Times New Roman" w:hAnsi="Times New Roman" w:cs="Times New Roman"/>
          <w:color w:val="000000"/>
        </w:rPr>
        <w:t>che è al centro della riflessione filosofica.</w:t>
      </w:r>
      <w:r w:rsidR="004A3CFB">
        <w:rPr>
          <w:rFonts w:ascii="Times New Roman" w:eastAsia="Times New Roman" w:hAnsi="Times New Roman" w:cs="Times New Roman"/>
          <w:color w:val="000000"/>
        </w:rPr>
        <w:t xml:space="preserve"> </w:t>
      </w:r>
      <w:r w:rsidR="004A3CFB" w:rsidRPr="000A6ACD">
        <w:rPr>
          <w:rFonts w:ascii="Times New Roman" w:eastAsia="Times New Roman" w:hAnsi="Times New Roman" w:cs="Times New Roman"/>
          <w:color w:val="000000"/>
        </w:rPr>
        <w:t>Perché la reli</w:t>
      </w:r>
      <w:r w:rsidR="00634260" w:rsidRPr="000A6ACD">
        <w:rPr>
          <w:rFonts w:ascii="Times New Roman" w:eastAsia="Times New Roman" w:hAnsi="Times New Roman" w:cs="Times New Roman"/>
          <w:color w:val="000000"/>
        </w:rPr>
        <w:t xml:space="preserve">gione e la filosofia </w:t>
      </w:r>
      <w:r w:rsidR="004A3CFB" w:rsidRPr="000A6ACD">
        <w:rPr>
          <w:rFonts w:ascii="Times New Roman" w:eastAsia="Times New Roman" w:hAnsi="Times New Roman" w:cs="Times New Roman"/>
          <w:color w:val="000000"/>
        </w:rPr>
        <w:t>condividono</w:t>
      </w:r>
      <w:r w:rsidR="00AA570C" w:rsidRPr="000A6ACD">
        <w:rPr>
          <w:rFonts w:ascii="Times New Roman" w:eastAsia="Times New Roman" w:hAnsi="Times New Roman" w:cs="Times New Roman"/>
          <w:color w:val="000000"/>
        </w:rPr>
        <w:t>, s</w:t>
      </w:r>
      <w:r w:rsidR="0043295E" w:rsidRPr="000A6ACD">
        <w:rPr>
          <w:rFonts w:ascii="Times New Roman" w:eastAsia="Times New Roman" w:hAnsi="Times New Roman" w:cs="Times New Roman"/>
          <w:color w:val="000000"/>
        </w:rPr>
        <w:t>econdo la prospettiva hegeliana</w:t>
      </w:r>
      <w:r w:rsidR="00AA570C" w:rsidRPr="000A6ACD">
        <w:rPr>
          <w:rFonts w:ascii="Times New Roman" w:eastAsia="Times New Roman" w:hAnsi="Times New Roman" w:cs="Times New Roman"/>
          <w:color w:val="000000"/>
        </w:rPr>
        <w:t>,</w:t>
      </w:r>
      <w:r w:rsidR="004A3CFB" w:rsidRPr="000A6ACD">
        <w:rPr>
          <w:rFonts w:ascii="Times New Roman" w:eastAsia="Times New Roman" w:hAnsi="Times New Roman" w:cs="Times New Roman"/>
          <w:color w:val="000000"/>
        </w:rPr>
        <w:t xml:space="preserve"> un medesimo contenuto </w:t>
      </w:r>
      <w:r w:rsidR="00BF3FBF" w:rsidRPr="006B7256">
        <w:rPr>
          <w:rFonts w:ascii="Times New Roman" w:eastAsia="Times New Roman" w:hAnsi="Times New Roman" w:cs="Times New Roman"/>
          <w:color w:val="000000"/>
        </w:rPr>
        <w:t>delineato se</w:t>
      </w:r>
      <w:r w:rsidR="00065673" w:rsidRPr="006B7256">
        <w:rPr>
          <w:rFonts w:ascii="Times New Roman" w:eastAsia="Times New Roman" w:hAnsi="Times New Roman" w:cs="Times New Roman"/>
          <w:color w:val="000000"/>
        </w:rPr>
        <w:t xml:space="preserve">condo </w:t>
      </w:r>
      <w:r w:rsidR="006B7256" w:rsidRPr="006B7256">
        <w:rPr>
          <w:rFonts w:ascii="Times New Roman" w:eastAsia="Times New Roman" w:hAnsi="Times New Roman" w:cs="Times New Roman"/>
          <w:color w:val="000000"/>
        </w:rPr>
        <w:t>eterogen</w:t>
      </w:r>
      <w:r w:rsidR="00065673" w:rsidRPr="006B7256">
        <w:rPr>
          <w:rFonts w:ascii="Times New Roman" w:eastAsia="Times New Roman" w:hAnsi="Times New Roman" w:cs="Times New Roman"/>
          <w:color w:val="000000"/>
        </w:rPr>
        <w:t xml:space="preserve">i </w:t>
      </w:r>
      <w:r w:rsidR="00BF3FBF" w:rsidRPr="006B7256">
        <w:rPr>
          <w:rFonts w:ascii="Times New Roman" w:eastAsia="Times New Roman" w:hAnsi="Times New Roman" w:cs="Times New Roman"/>
          <w:color w:val="000000"/>
        </w:rPr>
        <w:t>canoni formali</w:t>
      </w:r>
      <w:r w:rsidR="004A3CFB" w:rsidRPr="006B7256">
        <w:rPr>
          <w:rFonts w:ascii="Times New Roman" w:eastAsia="Times New Roman" w:hAnsi="Times New Roman" w:cs="Times New Roman"/>
          <w:color w:val="000000"/>
        </w:rPr>
        <w:t>:</w:t>
      </w:r>
      <w:r w:rsidR="004A3CFB" w:rsidRPr="00A93A46">
        <w:rPr>
          <w:rFonts w:ascii="Times New Roman" w:eastAsia="Times New Roman" w:hAnsi="Times New Roman" w:cs="Times New Roman"/>
          <w:color w:val="000000"/>
        </w:rPr>
        <w:t xml:space="preserve"> </w:t>
      </w:r>
      <w:r w:rsidR="000E5A64" w:rsidRPr="00A93A46">
        <w:rPr>
          <w:rFonts w:ascii="Times New Roman" w:eastAsia="Times New Roman" w:hAnsi="Times New Roman" w:cs="Times New Roman"/>
          <w:color w:val="000000"/>
        </w:rPr>
        <w:t>ciò che per la</w:t>
      </w:r>
      <w:r w:rsidR="00385EF1">
        <w:rPr>
          <w:rFonts w:ascii="Times New Roman" w:eastAsia="Times New Roman" w:hAnsi="Times New Roman" w:cs="Times New Roman"/>
          <w:color w:val="000000"/>
        </w:rPr>
        <w:t xml:space="preserve"> religione è rappresentazione e</w:t>
      </w:r>
      <w:r w:rsidR="000E5A64" w:rsidRPr="00A93A46">
        <w:rPr>
          <w:rFonts w:ascii="Times New Roman" w:eastAsia="Times New Roman" w:hAnsi="Times New Roman" w:cs="Times New Roman"/>
          <w:color w:val="000000"/>
        </w:rPr>
        <w:t xml:space="preserve"> i</w:t>
      </w:r>
      <w:r w:rsidR="00E17851" w:rsidRPr="00A93A46">
        <w:rPr>
          <w:rFonts w:ascii="Times New Roman" w:eastAsia="Times New Roman" w:hAnsi="Times New Roman" w:cs="Times New Roman"/>
          <w:color w:val="000000"/>
        </w:rPr>
        <w:t>mmagine è per la filosofia speculazione e concetto</w:t>
      </w:r>
      <w:r w:rsidR="000E5A64" w:rsidRPr="00A93A46">
        <w:rPr>
          <w:rFonts w:ascii="Times New Roman" w:eastAsia="Times New Roman" w:hAnsi="Times New Roman" w:cs="Times New Roman"/>
          <w:color w:val="000000"/>
        </w:rPr>
        <w:t>. La necessità di far diventare assolute queste intuizioni, inserendole, cioè</w:t>
      </w:r>
      <w:r w:rsidR="00A577D4" w:rsidRPr="00A93A46">
        <w:rPr>
          <w:rFonts w:ascii="Times New Roman" w:eastAsia="Times New Roman" w:hAnsi="Times New Roman" w:cs="Times New Roman"/>
          <w:color w:val="000000"/>
        </w:rPr>
        <w:t>,</w:t>
      </w:r>
      <w:r w:rsidR="000E5A64" w:rsidRPr="00A93A46">
        <w:rPr>
          <w:rFonts w:ascii="Times New Roman" w:eastAsia="Times New Roman" w:hAnsi="Times New Roman" w:cs="Times New Roman"/>
          <w:color w:val="000000"/>
        </w:rPr>
        <w:t xml:space="preserve"> all’interno di una cornice di senso </w:t>
      </w:r>
      <w:r w:rsidR="00E17851" w:rsidRPr="00A93A46">
        <w:rPr>
          <w:rFonts w:ascii="Times New Roman" w:eastAsia="Times New Roman" w:hAnsi="Times New Roman" w:cs="Times New Roman"/>
          <w:color w:val="000000"/>
        </w:rPr>
        <w:t>filosofica</w:t>
      </w:r>
      <w:r w:rsidR="000E5A64" w:rsidRPr="00A93A46">
        <w:rPr>
          <w:rFonts w:ascii="Times New Roman" w:eastAsia="Times New Roman" w:hAnsi="Times New Roman" w:cs="Times New Roman"/>
          <w:color w:val="000000"/>
        </w:rPr>
        <w:t xml:space="preserve">, è </w:t>
      </w:r>
      <w:r w:rsidR="007E3846" w:rsidRPr="00A93A46">
        <w:rPr>
          <w:rFonts w:ascii="Times New Roman" w:eastAsia="Times New Roman" w:hAnsi="Times New Roman" w:cs="Times New Roman"/>
          <w:color w:val="000000"/>
        </w:rPr>
        <w:t xml:space="preserve">il fulcro di quell’ermeneutica religiosa che </w:t>
      </w:r>
      <w:r w:rsidR="00385EF1">
        <w:rPr>
          <w:rFonts w:ascii="Times New Roman" w:eastAsia="Times New Roman" w:hAnsi="Times New Roman" w:cs="Times New Roman"/>
          <w:color w:val="000000"/>
        </w:rPr>
        <w:t>sarà ulteriormente sviluppata e</w:t>
      </w:r>
      <w:r w:rsidR="007E3846" w:rsidRPr="00A93A46">
        <w:rPr>
          <w:rFonts w:ascii="Times New Roman" w:eastAsia="Times New Roman" w:hAnsi="Times New Roman" w:cs="Times New Roman"/>
          <w:color w:val="000000"/>
        </w:rPr>
        <w:t xml:space="preserve"> approfondita da Hegel nelle </w:t>
      </w:r>
      <w:r w:rsidR="007E3846" w:rsidRPr="00A93A46">
        <w:rPr>
          <w:rFonts w:ascii="Times New Roman" w:eastAsia="Times New Roman" w:hAnsi="Times New Roman" w:cs="Times New Roman"/>
          <w:i/>
          <w:color w:val="000000"/>
        </w:rPr>
        <w:t xml:space="preserve">Vorlesungen über die </w:t>
      </w:r>
      <w:r w:rsidR="00A112EF">
        <w:rPr>
          <w:rFonts w:ascii="Times New Roman" w:eastAsia="Times New Roman" w:hAnsi="Times New Roman" w:cs="Times New Roman"/>
          <w:i/>
          <w:color w:val="000000"/>
        </w:rPr>
        <w:t>Philosophie des Geistes (1805/</w:t>
      </w:r>
      <w:r w:rsidR="007E3846" w:rsidRPr="00A93A46">
        <w:rPr>
          <w:rFonts w:ascii="Times New Roman" w:eastAsia="Times New Roman" w:hAnsi="Times New Roman" w:cs="Times New Roman"/>
          <w:i/>
          <w:color w:val="000000"/>
        </w:rPr>
        <w:t xml:space="preserve">06) </w:t>
      </w:r>
      <w:r w:rsidR="007E3846" w:rsidRPr="00A93A46">
        <w:rPr>
          <w:rFonts w:ascii="Times New Roman" w:eastAsia="Times New Roman" w:hAnsi="Times New Roman" w:cs="Times New Roman"/>
          <w:color w:val="000000"/>
        </w:rPr>
        <w:t xml:space="preserve">e nella </w:t>
      </w:r>
      <w:r w:rsidR="007E3846" w:rsidRPr="00A93A46">
        <w:rPr>
          <w:rFonts w:ascii="Times New Roman" w:eastAsia="Times New Roman" w:hAnsi="Times New Roman" w:cs="Times New Roman"/>
          <w:i/>
          <w:color w:val="000000"/>
        </w:rPr>
        <w:t>Phänomenologie des Geistes</w:t>
      </w:r>
      <w:r w:rsidR="007E3846" w:rsidRPr="00A93A46">
        <w:rPr>
          <w:rStyle w:val="Rimandonotaapidipagina"/>
          <w:rFonts w:ascii="Times New Roman" w:eastAsia="Times New Roman" w:hAnsi="Times New Roman" w:cs="Times New Roman"/>
          <w:i/>
          <w:color w:val="000000"/>
        </w:rPr>
        <w:footnoteReference w:id="168"/>
      </w:r>
      <w:r w:rsidR="007E3846" w:rsidRPr="00A93A46">
        <w:rPr>
          <w:rFonts w:ascii="Times New Roman" w:eastAsia="Times New Roman" w:hAnsi="Times New Roman" w:cs="Times New Roman"/>
          <w:color w:val="000000"/>
        </w:rPr>
        <w:t>.</w:t>
      </w:r>
      <w:r w:rsidR="00A577D4" w:rsidRPr="00A93A46">
        <w:rPr>
          <w:rFonts w:ascii="Times New Roman" w:eastAsia="Times New Roman" w:hAnsi="Times New Roman" w:cs="Times New Roman"/>
          <w:color w:val="000000"/>
        </w:rPr>
        <w:t xml:space="preserve"> </w:t>
      </w:r>
      <w:r w:rsidR="000D3011" w:rsidRPr="00A93A46">
        <w:rPr>
          <w:rFonts w:ascii="Times New Roman" w:eastAsia="Times New Roman" w:hAnsi="Times New Roman" w:cs="Times New Roman"/>
          <w:color w:val="000000"/>
        </w:rPr>
        <w:t xml:space="preserve">Lo sviluppo </w:t>
      </w:r>
      <w:r w:rsidR="001837AA" w:rsidRPr="00A93A46">
        <w:rPr>
          <w:rFonts w:ascii="Times New Roman" w:eastAsia="Times New Roman" w:hAnsi="Times New Roman" w:cs="Times New Roman"/>
          <w:color w:val="000000"/>
        </w:rPr>
        <w:t xml:space="preserve">scientifico </w:t>
      </w:r>
      <w:r w:rsidR="00CC1149" w:rsidRPr="00A93A46">
        <w:rPr>
          <w:rFonts w:ascii="Times New Roman" w:eastAsia="Times New Roman" w:hAnsi="Times New Roman" w:cs="Times New Roman"/>
          <w:color w:val="000000"/>
        </w:rPr>
        <w:t>(</w:t>
      </w:r>
      <w:r w:rsidR="00CC1149" w:rsidRPr="00A93A46">
        <w:rPr>
          <w:rFonts w:ascii="Times New Roman" w:eastAsia="Times New Roman" w:hAnsi="Times New Roman" w:cs="Times New Roman"/>
          <w:i/>
          <w:color w:val="000000"/>
        </w:rPr>
        <w:t xml:space="preserve">die wissenschaftliche </w:t>
      </w:r>
      <w:r w:rsidR="00CC1149" w:rsidRPr="006B52B8">
        <w:rPr>
          <w:rFonts w:ascii="Times New Roman" w:eastAsia="Times New Roman" w:hAnsi="Times New Roman" w:cs="Times New Roman"/>
          <w:i/>
          <w:color w:val="000000"/>
        </w:rPr>
        <w:t>Entwicklung</w:t>
      </w:r>
      <w:r w:rsidR="00CC1149" w:rsidRPr="006B52B8">
        <w:rPr>
          <w:rFonts w:ascii="Times New Roman" w:eastAsia="Times New Roman" w:hAnsi="Times New Roman" w:cs="Times New Roman"/>
          <w:color w:val="000000"/>
        </w:rPr>
        <w:t xml:space="preserve">) </w:t>
      </w:r>
      <w:r w:rsidR="000D3011" w:rsidRPr="006B52B8">
        <w:rPr>
          <w:rFonts w:ascii="Times New Roman" w:eastAsia="Times New Roman" w:hAnsi="Times New Roman" w:cs="Times New Roman"/>
          <w:color w:val="000000"/>
        </w:rPr>
        <w:t xml:space="preserve">di queste </w:t>
      </w:r>
      <w:r w:rsidR="00616BF1" w:rsidRPr="006B52B8">
        <w:rPr>
          <w:rFonts w:ascii="Times New Roman" w:eastAsia="Times New Roman" w:hAnsi="Times New Roman" w:cs="Times New Roman"/>
          <w:color w:val="000000"/>
        </w:rPr>
        <w:t>intuizioni</w:t>
      </w:r>
      <w:r w:rsidR="000D3011" w:rsidRPr="006B52B8">
        <w:rPr>
          <w:rFonts w:ascii="Times New Roman" w:eastAsia="Times New Roman" w:hAnsi="Times New Roman" w:cs="Times New Roman"/>
          <w:color w:val="000000"/>
        </w:rPr>
        <w:t xml:space="preserve"> restituisce un </w:t>
      </w:r>
      <w:r w:rsidR="007C1DBC" w:rsidRPr="006B52B8">
        <w:rPr>
          <w:rFonts w:ascii="Times New Roman" w:eastAsia="Times New Roman" w:hAnsi="Times New Roman" w:cs="Times New Roman"/>
          <w:i/>
          <w:color w:val="000000"/>
        </w:rPr>
        <w:t xml:space="preserve">Lebenslauf </w:t>
      </w:r>
      <w:r w:rsidR="000D3011" w:rsidRPr="006B52B8">
        <w:rPr>
          <w:rFonts w:ascii="Times New Roman" w:eastAsia="Times New Roman" w:hAnsi="Times New Roman" w:cs="Times New Roman"/>
          <w:i/>
          <w:color w:val="000000"/>
        </w:rPr>
        <w:t>Gottes</w:t>
      </w:r>
      <w:r w:rsidR="00CC1149" w:rsidRPr="006B52B8">
        <w:rPr>
          <w:rFonts w:ascii="Times New Roman" w:eastAsia="Times New Roman" w:hAnsi="Times New Roman" w:cs="Times New Roman"/>
          <w:color w:val="000000"/>
        </w:rPr>
        <w:t xml:space="preserve"> in cui lo spirito</w:t>
      </w:r>
      <w:r w:rsidR="00B36F6C" w:rsidRPr="006B52B8">
        <w:rPr>
          <w:rFonts w:ascii="Times New Roman" w:eastAsia="Times New Roman" w:hAnsi="Times New Roman" w:cs="Times New Roman"/>
          <w:color w:val="000000"/>
        </w:rPr>
        <w:t xml:space="preserve"> </w:t>
      </w:r>
      <w:r w:rsidR="00CC1149" w:rsidRPr="006B52B8">
        <w:rPr>
          <w:rFonts w:ascii="Times New Roman" w:eastAsia="Times New Roman" w:hAnsi="Times New Roman" w:cs="Times New Roman"/>
          <w:color w:val="000000"/>
        </w:rPr>
        <w:t xml:space="preserve">è l’unico </w:t>
      </w:r>
      <w:r w:rsidR="000D3011" w:rsidRPr="006B52B8">
        <w:rPr>
          <w:rFonts w:ascii="Times New Roman" w:eastAsia="Times New Roman" w:hAnsi="Times New Roman" w:cs="Times New Roman"/>
          <w:color w:val="000000"/>
        </w:rPr>
        <w:t xml:space="preserve">soggetto che </w:t>
      </w:r>
      <w:r w:rsidR="00CC1149" w:rsidRPr="006B52B8">
        <w:rPr>
          <w:rFonts w:ascii="Times New Roman" w:eastAsia="Times New Roman" w:hAnsi="Times New Roman" w:cs="Times New Roman"/>
          <w:color w:val="000000"/>
        </w:rPr>
        <w:t>si mantiene in ogni fase del suo svilu</w:t>
      </w:r>
      <w:r w:rsidR="001837AA" w:rsidRPr="006B52B8">
        <w:rPr>
          <w:rFonts w:ascii="Times New Roman" w:eastAsia="Times New Roman" w:hAnsi="Times New Roman" w:cs="Times New Roman"/>
          <w:color w:val="000000"/>
        </w:rPr>
        <w:t xml:space="preserve">ppo e che </w:t>
      </w:r>
      <w:r w:rsidR="003B1E72" w:rsidRPr="006B52B8">
        <w:rPr>
          <w:rFonts w:ascii="Times New Roman" w:eastAsia="Times New Roman" w:hAnsi="Times New Roman" w:cs="Times New Roman"/>
          <w:color w:val="000000"/>
        </w:rPr>
        <w:t xml:space="preserve">risolve in </w:t>
      </w:r>
      <w:r w:rsidR="001837AA" w:rsidRPr="006B52B8">
        <w:rPr>
          <w:rFonts w:ascii="Times New Roman" w:eastAsia="Times New Roman" w:hAnsi="Times New Roman" w:cs="Times New Roman"/>
          <w:color w:val="000000"/>
        </w:rPr>
        <w:t xml:space="preserve">sé </w:t>
      </w:r>
      <w:r w:rsidR="00CC1149" w:rsidRPr="006B52B8">
        <w:rPr>
          <w:rFonts w:ascii="Times New Roman" w:eastAsia="Times New Roman" w:hAnsi="Times New Roman" w:cs="Times New Roman"/>
          <w:color w:val="000000"/>
        </w:rPr>
        <w:t xml:space="preserve">l’opposizione. Il porsi come l’altro da sé, il riconoscersi </w:t>
      </w:r>
      <w:r w:rsidR="00B66C44" w:rsidRPr="006B52B8">
        <w:rPr>
          <w:rFonts w:ascii="Times New Roman" w:eastAsia="Times New Roman" w:hAnsi="Times New Roman" w:cs="Times New Roman"/>
          <w:color w:val="000000"/>
        </w:rPr>
        <w:t>nell’</w:t>
      </w:r>
      <w:r w:rsidR="00B66C44" w:rsidRPr="006B52B8">
        <w:rPr>
          <w:rFonts w:ascii="Times New Roman" w:eastAsia="Times New Roman" w:hAnsi="Times New Roman" w:cs="Times New Roman"/>
          <w:i/>
          <w:color w:val="000000"/>
        </w:rPr>
        <w:t>Andersseyn</w:t>
      </w:r>
      <w:r w:rsidR="00B66C44" w:rsidRPr="006B52B8">
        <w:rPr>
          <w:rFonts w:ascii="Times New Roman" w:eastAsia="Times New Roman" w:hAnsi="Times New Roman" w:cs="Times New Roman"/>
          <w:color w:val="000000"/>
        </w:rPr>
        <w:t xml:space="preserve"> </w:t>
      </w:r>
      <w:r w:rsidR="00E22450" w:rsidRPr="006B52B8">
        <w:rPr>
          <w:rFonts w:ascii="Times New Roman" w:eastAsia="Times New Roman" w:hAnsi="Times New Roman" w:cs="Times New Roman"/>
          <w:color w:val="000000"/>
        </w:rPr>
        <w:t xml:space="preserve">e il </w:t>
      </w:r>
      <w:r w:rsidR="00CC1149" w:rsidRPr="006B52B8">
        <w:rPr>
          <w:rFonts w:ascii="Times New Roman" w:eastAsia="Times New Roman" w:hAnsi="Times New Roman" w:cs="Times New Roman"/>
          <w:color w:val="000000"/>
        </w:rPr>
        <w:t xml:space="preserve">tornare a sé come </w:t>
      </w:r>
      <w:r w:rsidR="001452FA" w:rsidRPr="006B52B8">
        <w:rPr>
          <w:rFonts w:ascii="Times New Roman" w:eastAsia="Times New Roman" w:hAnsi="Times New Roman" w:cs="Times New Roman"/>
          <w:color w:val="000000"/>
        </w:rPr>
        <w:t xml:space="preserve">mediata </w:t>
      </w:r>
      <w:r w:rsidR="00CC1149" w:rsidRPr="006B52B8">
        <w:rPr>
          <w:rFonts w:ascii="Times New Roman" w:eastAsia="Times New Roman" w:hAnsi="Times New Roman" w:cs="Times New Roman"/>
          <w:i/>
          <w:color w:val="000000"/>
        </w:rPr>
        <w:t xml:space="preserve">Sichselbstgleichheit </w:t>
      </w:r>
      <w:r w:rsidR="00B317F8" w:rsidRPr="006B52B8">
        <w:rPr>
          <w:rFonts w:ascii="Times New Roman" w:eastAsia="Times New Roman" w:hAnsi="Times New Roman" w:cs="Times New Roman"/>
          <w:color w:val="000000"/>
        </w:rPr>
        <w:t xml:space="preserve">sono </w:t>
      </w:r>
      <w:r w:rsidR="00B66C44" w:rsidRPr="006B52B8">
        <w:rPr>
          <w:rFonts w:ascii="Times New Roman" w:eastAsia="Times New Roman" w:hAnsi="Times New Roman" w:cs="Times New Roman"/>
          <w:color w:val="000000"/>
        </w:rPr>
        <w:t xml:space="preserve">i </w:t>
      </w:r>
      <w:r w:rsidR="00B317F8" w:rsidRPr="006B52B8">
        <w:rPr>
          <w:rFonts w:ascii="Times New Roman" w:eastAsia="Times New Roman" w:hAnsi="Times New Roman" w:cs="Times New Roman"/>
          <w:color w:val="000000"/>
        </w:rPr>
        <w:t xml:space="preserve">momenti </w:t>
      </w:r>
      <w:r w:rsidR="00B66C44" w:rsidRPr="006B52B8">
        <w:rPr>
          <w:rFonts w:ascii="Times New Roman" w:eastAsia="Times New Roman" w:hAnsi="Times New Roman" w:cs="Times New Roman"/>
          <w:color w:val="000000"/>
        </w:rPr>
        <w:t xml:space="preserve">definitori </w:t>
      </w:r>
      <w:r w:rsidR="00B317F8" w:rsidRPr="006B52B8">
        <w:rPr>
          <w:rFonts w:ascii="Times New Roman" w:eastAsia="Times New Roman" w:hAnsi="Times New Roman" w:cs="Times New Roman"/>
          <w:color w:val="000000"/>
        </w:rPr>
        <w:t>di qu</w:t>
      </w:r>
      <w:r w:rsidR="00CC1149" w:rsidRPr="006B52B8">
        <w:rPr>
          <w:rFonts w:ascii="Times New Roman" w:eastAsia="Times New Roman" w:hAnsi="Times New Roman" w:cs="Times New Roman"/>
          <w:color w:val="000000"/>
        </w:rPr>
        <w:t>ella processualità circolare dell’Assoluto che trova nel</w:t>
      </w:r>
      <w:r w:rsidR="00B317F8" w:rsidRPr="006B52B8">
        <w:rPr>
          <w:rFonts w:ascii="Times New Roman" w:eastAsia="Times New Roman" w:hAnsi="Times New Roman" w:cs="Times New Roman"/>
          <w:color w:val="000000"/>
        </w:rPr>
        <w:t xml:space="preserve"> barbarico</w:t>
      </w:r>
      <w:r w:rsidR="00FE6F30" w:rsidRPr="006B52B8">
        <w:rPr>
          <w:rFonts w:ascii="Times New Roman" w:eastAsia="Times New Roman" w:hAnsi="Times New Roman" w:cs="Times New Roman"/>
          <w:color w:val="000000"/>
        </w:rPr>
        <w:t xml:space="preserve"> </w:t>
      </w:r>
      <w:r w:rsidR="00FE6F30" w:rsidRPr="006B52B8">
        <w:rPr>
          <w:rFonts w:ascii="Times New Roman" w:eastAsia="Times New Roman" w:hAnsi="Times New Roman" w:cs="Times New Roman"/>
          <w:i/>
          <w:color w:val="000000"/>
        </w:rPr>
        <w:t>sich in sich hinein Imaginieren</w:t>
      </w:r>
      <w:r w:rsidR="00EF53BF" w:rsidRPr="006B52B8">
        <w:rPr>
          <w:rFonts w:ascii="Times New Roman" w:eastAsia="Times New Roman" w:hAnsi="Times New Roman" w:cs="Times New Roman"/>
          <w:color w:val="000000"/>
        </w:rPr>
        <w:t xml:space="preserve"> b</w:t>
      </w:r>
      <w:r w:rsidR="00B317F8" w:rsidRPr="006B52B8">
        <w:rPr>
          <w:rFonts w:ascii="Times New Roman" w:eastAsia="Times New Roman" w:hAnsi="Times New Roman" w:cs="Times New Roman"/>
          <w:color w:val="000000"/>
        </w:rPr>
        <w:t>öhmiano</w:t>
      </w:r>
      <w:r w:rsidR="00E22450" w:rsidRPr="006B52B8">
        <w:rPr>
          <w:rFonts w:ascii="Times New Roman" w:eastAsia="Times New Roman" w:hAnsi="Times New Roman" w:cs="Times New Roman"/>
          <w:color w:val="000000"/>
        </w:rPr>
        <w:t xml:space="preserve"> un’anticipazione formalmente</w:t>
      </w:r>
      <w:r w:rsidR="00CC1149" w:rsidRPr="006B52B8">
        <w:rPr>
          <w:rFonts w:ascii="Times New Roman" w:eastAsia="Times New Roman" w:hAnsi="Times New Roman" w:cs="Times New Roman"/>
          <w:color w:val="000000"/>
        </w:rPr>
        <w:t xml:space="preserve"> inadeguata</w:t>
      </w:r>
      <w:r w:rsidR="00CC1149" w:rsidRPr="006B52B8">
        <w:rPr>
          <w:rStyle w:val="Rimandonotaapidipagina"/>
          <w:rFonts w:ascii="Times New Roman" w:eastAsia="Times New Roman" w:hAnsi="Times New Roman" w:cs="Times New Roman"/>
          <w:color w:val="000000"/>
        </w:rPr>
        <w:footnoteReference w:id="169"/>
      </w:r>
      <w:r w:rsidR="00B929F3" w:rsidRPr="006B52B8">
        <w:rPr>
          <w:rFonts w:ascii="Times New Roman" w:eastAsia="Times New Roman" w:hAnsi="Times New Roman" w:cs="Times New Roman"/>
          <w:color w:val="000000"/>
        </w:rPr>
        <w:t>.</w:t>
      </w:r>
      <w:r w:rsidR="00CC1149" w:rsidRPr="006B52B8">
        <w:rPr>
          <w:rFonts w:ascii="Times New Roman" w:eastAsia="Times New Roman" w:hAnsi="Times New Roman" w:cs="Times New Roman"/>
          <w:color w:val="000000"/>
        </w:rPr>
        <w:t xml:space="preserve"> </w:t>
      </w:r>
    </w:p>
    <w:p w14:paraId="7718FD48" w14:textId="4299BAA6" w:rsidR="00E45DEB" w:rsidRPr="00126EB5" w:rsidRDefault="0057216D" w:rsidP="00126EB5">
      <w:pPr>
        <w:spacing w:line="360" w:lineRule="auto"/>
        <w:ind w:firstLine="567"/>
        <w:jc w:val="both"/>
        <w:rPr>
          <w:rFonts w:ascii="Times New Roman" w:eastAsia="Times New Roman" w:hAnsi="Times New Roman" w:cs="Times New Roman"/>
          <w:color w:val="000000"/>
        </w:rPr>
      </w:pPr>
      <w:r w:rsidRPr="008C1734">
        <w:rPr>
          <w:rFonts w:ascii="Times New Roman" w:eastAsia="Times New Roman" w:hAnsi="Times New Roman" w:cs="Times New Roman"/>
          <w:color w:val="000000"/>
        </w:rPr>
        <w:t xml:space="preserve">A questo punto, si </w:t>
      </w:r>
      <w:r w:rsidR="00FD0590" w:rsidRPr="008C1734">
        <w:rPr>
          <w:rFonts w:ascii="Times New Roman" w:eastAsia="Times New Roman" w:hAnsi="Times New Roman" w:cs="Times New Roman"/>
          <w:color w:val="000000"/>
        </w:rPr>
        <w:t>può osservare</w:t>
      </w:r>
      <w:r w:rsidR="001111BD" w:rsidRPr="008C1734">
        <w:rPr>
          <w:rFonts w:ascii="Times New Roman" w:eastAsia="Times New Roman" w:hAnsi="Times New Roman" w:cs="Times New Roman"/>
          <w:color w:val="000000"/>
        </w:rPr>
        <w:t xml:space="preserve"> </w:t>
      </w:r>
      <w:r w:rsidR="003E1F35" w:rsidRPr="008C1734">
        <w:rPr>
          <w:rFonts w:ascii="Times New Roman" w:eastAsia="Times New Roman" w:hAnsi="Times New Roman" w:cs="Times New Roman"/>
          <w:color w:val="000000"/>
        </w:rPr>
        <w:t>che a</w:t>
      </w:r>
      <w:r w:rsidR="007C40A4" w:rsidRPr="008C1734">
        <w:rPr>
          <w:rFonts w:ascii="Times New Roman" w:eastAsia="Times New Roman" w:hAnsi="Times New Roman" w:cs="Times New Roman"/>
          <w:color w:val="000000"/>
        </w:rPr>
        <w:t>ll’auto</w:t>
      </w:r>
      <w:r w:rsidR="00E67ABB" w:rsidRPr="008C1734">
        <w:rPr>
          <w:rFonts w:ascii="Times New Roman" w:eastAsia="Times New Roman" w:hAnsi="Times New Roman" w:cs="Times New Roman"/>
          <w:color w:val="000000"/>
        </w:rPr>
        <w:t>movimento del contenuto</w:t>
      </w:r>
      <w:r w:rsidR="001837AA" w:rsidRPr="008C1734">
        <w:rPr>
          <w:rFonts w:ascii="Times New Roman" w:eastAsia="Times New Roman" w:hAnsi="Times New Roman" w:cs="Times New Roman"/>
          <w:color w:val="000000"/>
        </w:rPr>
        <w:t xml:space="preserve"> assoluto</w:t>
      </w:r>
      <w:r w:rsidR="00E67ABB" w:rsidRPr="008C1734">
        <w:rPr>
          <w:rFonts w:ascii="Times New Roman" w:eastAsia="Times New Roman" w:hAnsi="Times New Roman" w:cs="Times New Roman"/>
          <w:color w:val="000000"/>
        </w:rPr>
        <w:t xml:space="preserve">, quale </w:t>
      </w:r>
      <w:r w:rsidR="00524B11" w:rsidRPr="008C1734">
        <w:rPr>
          <w:rFonts w:ascii="Times New Roman" w:eastAsia="Times New Roman" w:hAnsi="Times New Roman" w:cs="Times New Roman"/>
          <w:color w:val="000000"/>
        </w:rPr>
        <w:t xml:space="preserve">è tematizzato </w:t>
      </w:r>
      <w:r w:rsidRPr="008C1734">
        <w:rPr>
          <w:rFonts w:ascii="Times New Roman" w:eastAsia="Times New Roman" w:hAnsi="Times New Roman" w:cs="Times New Roman"/>
          <w:color w:val="000000"/>
        </w:rPr>
        <w:t xml:space="preserve">nel </w:t>
      </w:r>
      <w:r w:rsidR="007C1DBC" w:rsidRPr="008C1734">
        <w:rPr>
          <w:rFonts w:ascii="Times New Roman" w:eastAsia="Times New Roman" w:hAnsi="Times New Roman" w:cs="Times New Roman"/>
          <w:i/>
          <w:color w:val="000000"/>
          <w:lang w:val="de-DE"/>
        </w:rPr>
        <w:t>Fragmen</w:t>
      </w:r>
      <w:r w:rsidR="00E67ABB" w:rsidRPr="008C1734">
        <w:rPr>
          <w:rFonts w:ascii="Times New Roman" w:eastAsia="Times New Roman" w:hAnsi="Times New Roman" w:cs="Times New Roman"/>
          <w:i/>
          <w:color w:val="000000"/>
          <w:lang w:val="de-DE"/>
        </w:rPr>
        <w:t>t</w:t>
      </w:r>
      <w:r w:rsidRPr="008C1734">
        <w:rPr>
          <w:rFonts w:ascii="Times New Roman" w:eastAsia="Times New Roman" w:hAnsi="Times New Roman" w:cs="Times New Roman"/>
          <w:i/>
          <w:color w:val="000000"/>
          <w:lang w:val="de-DE"/>
        </w:rPr>
        <w:t xml:space="preserve"> 49</w:t>
      </w:r>
      <w:r w:rsidR="00E67ABB" w:rsidRPr="008C1734">
        <w:rPr>
          <w:rFonts w:ascii="Times New Roman" w:eastAsia="Times New Roman" w:hAnsi="Times New Roman" w:cs="Times New Roman"/>
          <w:color w:val="000000"/>
        </w:rPr>
        <w:t xml:space="preserve">, non si accompagna ancora una </w:t>
      </w:r>
      <w:r w:rsidR="00F03190" w:rsidRPr="008C1734">
        <w:rPr>
          <w:rFonts w:ascii="Times New Roman" w:eastAsia="Times New Roman" w:hAnsi="Times New Roman" w:cs="Times New Roman"/>
          <w:color w:val="000000"/>
        </w:rPr>
        <w:t xml:space="preserve">messa a punto della forma </w:t>
      </w:r>
      <w:r w:rsidR="008C1734" w:rsidRPr="008C1734">
        <w:rPr>
          <w:rFonts w:ascii="Times New Roman" w:eastAsia="Times New Roman" w:hAnsi="Times New Roman" w:cs="Times New Roman"/>
          <w:color w:val="000000"/>
        </w:rPr>
        <w:t>espositiva dell’Incondizionato</w:t>
      </w:r>
      <w:r w:rsidR="00E67ABB" w:rsidRPr="008C1734">
        <w:rPr>
          <w:rFonts w:ascii="Times New Roman" w:eastAsia="Times New Roman" w:hAnsi="Times New Roman" w:cs="Times New Roman"/>
          <w:color w:val="000000"/>
        </w:rPr>
        <w:t>.</w:t>
      </w:r>
      <w:r w:rsidR="00E67ABB" w:rsidRPr="000302B7">
        <w:rPr>
          <w:rFonts w:ascii="Times New Roman" w:eastAsia="Times New Roman" w:hAnsi="Times New Roman" w:cs="Times New Roman"/>
          <w:color w:val="000000"/>
        </w:rPr>
        <w:t xml:space="preserve"> </w:t>
      </w:r>
      <w:r w:rsidR="00C65B5A" w:rsidRPr="000302B7">
        <w:rPr>
          <w:rFonts w:ascii="Times New Roman" w:eastAsia="Times New Roman" w:hAnsi="Times New Roman" w:cs="Times New Roman"/>
          <w:color w:val="000000"/>
        </w:rPr>
        <w:t>Il divenire natura di Dio –</w:t>
      </w:r>
      <w:r w:rsidR="0098641D" w:rsidRPr="000302B7">
        <w:rPr>
          <w:rFonts w:ascii="Times New Roman" w:eastAsia="Times New Roman" w:hAnsi="Times New Roman" w:cs="Times New Roman"/>
          <w:color w:val="000000"/>
        </w:rPr>
        <w:t xml:space="preserve"> il suo </w:t>
      </w:r>
      <w:r w:rsidR="007C40A4" w:rsidRPr="000302B7">
        <w:rPr>
          <w:rFonts w:ascii="Times New Roman" w:eastAsia="Times New Roman" w:hAnsi="Times New Roman" w:cs="Times New Roman"/>
          <w:color w:val="000000"/>
        </w:rPr>
        <w:t xml:space="preserve">movimento </w:t>
      </w:r>
      <w:r w:rsidR="00616BF1" w:rsidRPr="000302B7">
        <w:rPr>
          <w:rFonts w:ascii="Times New Roman" w:eastAsia="Times New Roman" w:hAnsi="Times New Roman" w:cs="Times New Roman"/>
          <w:color w:val="000000"/>
        </w:rPr>
        <w:t>espansivo</w:t>
      </w:r>
      <w:r w:rsidR="00C65B5A" w:rsidRPr="000302B7">
        <w:rPr>
          <w:rFonts w:ascii="Times New Roman" w:eastAsia="Times New Roman" w:hAnsi="Times New Roman" w:cs="Times New Roman"/>
          <w:color w:val="000000"/>
        </w:rPr>
        <w:t xml:space="preserve"> –</w:t>
      </w:r>
      <w:r w:rsidR="00A62CB3" w:rsidRPr="000302B7">
        <w:rPr>
          <w:rFonts w:ascii="Times New Roman" w:eastAsia="Times New Roman" w:hAnsi="Times New Roman" w:cs="Times New Roman"/>
          <w:color w:val="000000"/>
        </w:rPr>
        <w:t xml:space="preserve"> </w:t>
      </w:r>
      <w:r w:rsidR="00E73D0D" w:rsidRPr="000302B7">
        <w:rPr>
          <w:rFonts w:ascii="Times New Roman" w:eastAsia="Times New Roman" w:hAnsi="Times New Roman" w:cs="Times New Roman"/>
          <w:color w:val="000000"/>
        </w:rPr>
        <w:t>resta, nonostante tutto,</w:t>
      </w:r>
      <w:r w:rsidR="00AC37BD" w:rsidRPr="000302B7">
        <w:rPr>
          <w:rFonts w:ascii="Times New Roman" w:eastAsia="Times New Roman" w:hAnsi="Times New Roman" w:cs="Times New Roman"/>
          <w:color w:val="000000"/>
        </w:rPr>
        <w:t xml:space="preserve"> una dinamica</w:t>
      </w:r>
      <w:r w:rsidR="00E73D0D" w:rsidRPr="000302B7">
        <w:rPr>
          <w:rFonts w:ascii="Times New Roman" w:eastAsia="Times New Roman" w:hAnsi="Times New Roman" w:cs="Times New Roman"/>
          <w:color w:val="000000"/>
        </w:rPr>
        <w:t xml:space="preserve"> processuale</w:t>
      </w:r>
      <w:r w:rsidR="00AC37BD" w:rsidRPr="000302B7">
        <w:rPr>
          <w:rFonts w:ascii="Times New Roman" w:eastAsia="Times New Roman" w:hAnsi="Times New Roman" w:cs="Times New Roman"/>
          <w:color w:val="000000"/>
        </w:rPr>
        <w:t xml:space="preserve"> </w:t>
      </w:r>
      <w:r w:rsidR="007C40A4" w:rsidRPr="000302B7">
        <w:rPr>
          <w:rFonts w:ascii="Times New Roman" w:eastAsia="Times New Roman" w:hAnsi="Times New Roman" w:cs="Times New Roman"/>
          <w:color w:val="000000"/>
        </w:rPr>
        <w:t xml:space="preserve">non esplicitamente </w:t>
      </w:r>
      <w:r w:rsidR="0098641D" w:rsidRPr="000302B7">
        <w:rPr>
          <w:rFonts w:ascii="Times New Roman" w:eastAsia="Times New Roman" w:hAnsi="Times New Roman" w:cs="Times New Roman"/>
          <w:color w:val="000000"/>
        </w:rPr>
        <w:t>tematizzata: i</w:t>
      </w:r>
      <w:r w:rsidR="00AC37BD" w:rsidRPr="000302B7">
        <w:rPr>
          <w:rFonts w:ascii="Times New Roman" w:eastAsia="Times New Roman" w:hAnsi="Times New Roman" w:cs="Times New Roman"/>
          <w:color w:val="000000"/>
        </w:rPr>
        <w:t>l passaggio dall’essere indeterminato all</w:t>
      </w:r>
      <w:r w:rsidR="007E216E">
        <w:rPr>
          <w:rFonts w:ascii="Times New Roman" w:eastAsia="Times New Roman" w:hAnsi="Times New Roman" w:cs="Times New Roman"/>
          <w:color w:val="000000"/>
        </w:rPr>
        <w:t>’essere determinato, dall’</w:t>
      </w:r>
      <w:r w:rsidR="00E45DEB" w:rsidRPr="000302B7">
        <w:rPr>
          <w:rFonts w:ascii="Times New Roman" w:eastAsia="Times New Roman" w:hAnsi="Times New Roman" w:cs="Times New Roman"/>
          <w:color w:val="000000"/>
        </w:rPr>
        <w:t xml:space="preserve">essere in </w:t>
      </w:r>
      <w:r w:rsidR="008C5AF5" w:rsidRPr="000302B7">
        <w:rPr>
          <w:rFonts w:ascii="Times New Roman" w:eastAsia="Times New Roman" w:hAnsi="Times New Roman" w:cs="Times New Roman"/>
          <w:color w:val="000000"/>
        </w:rPr>
        <w:t xml:space="preserve">sé </w:t>
      </w:r>
      <w:r w:rsidR="00C65B5A" w:rsidRPr="000302B7">
        <w:rPr>
          <w:rFonts w:ascii="Times New Roman" w:eastAsia="Times New Roman" w:hAnsi="Times New Roman" w:cs="Times New Roman"/>
          <w:color w:val="000000"/>
        </w:rPr>
        <w:t xml:space="preserve">all’essere per </w:t>
      </w:r>
      <w:r w:rsidR="00AC37BD" w:rsidRPr="000302B7">
        <w:rPr>
          <w:rFonts w:ascii="Times New Roman" w:eastAsia="Times New Roman" w:hAnsi="Times New Roman" w:cs="Times New Roman"/>
          <w:color w:val="000000"/>
        </w:rPr>
        <w:t xml:space="preserve">sé, non </w:t>
      </w:r>
      <w:r w:rsidR="00CA3851" w:rsidRPr="000302B7">
        <w:rPr>
          <w:rFonts w:ascii="Times New Roman" w:eastAsia="Times New Roman" w:hAnsi="Times New Roman" w:cs="Times New Roman"/>
          <w:color w:val="000000"/>
        </w:rPr>
        <w:t xml:space="preserve">possiede </w:t>
      </w:r>
      <w:r w:rsidR="00F549ED" w:rsidRPr="000302B7">
        <w:rPr>
          <w:rFonts w:ascii="Times New Roman" w:eastAsia="Times New Roman" w:hAnsi="Times New Roman" w:cs="Times New Roman"/>
          <w:color w:val="000000"/>
        </w:rPr>
        <w:t xml:space="preserve">ancora </w:t>
      </w:r>
      <w:r w:rsidR="007C40A4" w:rsidRPr="000302B7">
        <w:rPr>
          <w:rFonts w:ascii="Times New Roman" w:eastAsia="Times New Roman" w:hAnsi="Times New Roman" w:cs="Times New Roman"/>
          <w:color w:val="000000"/>
        </w:rPr>
        <w:t>saldi fondamenti teor</w:t>
      </w:r>
      <w:r w:rsidR="00871A23" w:rsidRPr="000302B7">
        <w:rPr>
          <w:rFonts w:ascii="Times New Roman" w:eastAsia="Times New Roman" w:hAnsi="Times New Roman" w:cs="Times New Roman"/>
          <w:color w:val="000000"/>
        </w:rPr>
        <w:t>i</w:t>
      </w:r>
      <w:r w:rsidR="002B4080" w:rsidRPr="000302B7">
        <w:rPr>
          <w:rFonts w:ascii="Times New Roman" w:eastAsia="Times New Roman" w:hAnsi="Times New Roman" w:cs="Times New Roman"/>
          <w:color w:val="000000"/>
        </w:rPr>
        <w:t>ci</w:t>
      </w:r>
      <w:r w:rsidR="00FE721F" w:rsidRPr="000302B7">
        <w:rPr>
          <w:rFonts w:ascii="Times New Roman" w:eastAsia="Times New Roman" w:hAnsi="Times New Roman" w:cs="Times New Roman"/>
          <w:color w:val="000000"/>
        </w:rPr>
        <w:t>. Se l’idea di una</w:t>
      </w:r>
      <w:r w:rsidR="00053737" w:rsidRPr="000302B7">
        <w:rPr>
          <w:rFonts w:ascii="Times New Roman" w:eastAsia="Times New Roman" w:hAnsi="Times New Roman" w:cs="Times New Roman"/>
          <w:color w:val="000000"/>
        </w:rPr>
        <w:t xml:space="preserve"> processualità </w:t>
      </w:r>
      <w:r w:rsidR="000302B7" w:rsidRPr="000302B7">
        <w:rPr>
          <w:rFonts w:ascii="Times New Roman" w:eastAsia="Times New Roman" w:hAnsi="Times New Roman" w:cs="Times New Roman"/>
          <w:color w:val="000000"/>
        </w:rPr>
        <w:t xml:space="preserve">circolare </w:t>
      </w:r>
      <w:r w:rsidR="00FE721F" w:rsidRPr="000302B7">
        <w:rPr>
          <w:rFonts w:ascii="Times New Roman" w:eastAsia="Times New Roman" w:hAnsi="Times New Roman" w:cs="Times New Roman"/>
          <w:color w:val="000000"/>
        </w:rPr>
        <w:t xml:space="preserve">dell’Assoluto </w:t>
      </w:r>
      <w:r w:rsidR="00053737" w:rsidRPr="000302B7">
        <w:rPr>
          <w:rFonts w:ascii="Times New Roman" w:eastAsia="Times New Roman" w:hAnsi="Times New Roman" w:cs="Times New Roman"/>
          <w:color w:val="000000"/>
        </w:rPr>
        <w:t>si fa strada nella mente di Hegel, altrettanto non si può dire di quella forma che dovrebbe riflettere il farsi dell’</w:t>
      </w:r>
      <w:r w:rsidR="00053737" w:rsidRPr="000302B7">
        <w:rPr>
          <w:rFonts w:ascii="Times New Roman" w:eastAsia="Times New Roman" w:hAnsi="Times New Roman" w:cs="Times New Roman"/>
          <w:i/>
          <w:color w:val="000000"/>
        </w:rPr>
        <w:t>absoluter Inhalt</w:t>
      </w:r>
      <w:r w:rsidR="00053737" w:rsidRPr="000302B7">
        <w:rPr>
          <w:rFonts w:ascii="Times New Roman" w:eastAsia="Times New Roman" w:hAnsi="Times New Roman" w:cs="Times New Roman"/>
          <w:color w:val="000000"/>
        </w:rPr>
        <w:t xml:space="preserve">. </w:t>
      </w:r>
      <w:r w:rsidR="00D7412F" w:rsidRPr="000302B7">
        <w:rPr>
          <w:rFonts w:ascii="Times New Roman" w:eastAsia="Times New Roman" w:hAnsi="Times New Roman" w:cs="Times New Roman"/>
          <w:color w:val="000000"/>
        </w:rPr>
        <w:t xml:space="preserve">La </w:t>
      </w:r>
      <w:r w:rsidR="00BC7223" w:rsidRPr="000302B7">
        <w:rPr>
          <w:rFonts w:ascii="Times New Roman" w:eastAsia="Times New Roman" w:hAnsi="Times New Roman" w:cs="Times New Roman"/>
          <w:color w:val="000000"/>
        </w:rPr>
        <w:t xml:space="preserve">contrazione </w:t>
      </w:r>
      <w:r w:rsidR="00D7412F" w:rsidRPr="000302B7">
        <w:rPr>
          <w:rFonts w:ascii="Times New Roman" w:eastAsia="Times New Roman" w:hAnsi="Times New Roman" w:cs="Times New Roman"/>
          <w:color w:val="000000"/>
        </w:rPr>
        <w:t xml:space="preserve">e </w:t>
      </w:r>
      <w:r w:rsidR="00BC7223" w:rsidRPr="000302B7">
        <w:rPr>
          <w:rFonts w:ascii="Times New Roman" w:eastAsia="Times New Roman" w:hAnsi="Times New Roman" w:cs="Times New Roman"/>
          <w:color w:val="000000"/>
        </w:rPr>
        <w:t>l’</w:t>
      </w:r>
      <w:r w:rsidR="00053737" w:rsidRPr="000302B7">
        <w:rPr>
          <w:rFonts w:ascii="Times New Roman" w:eastAsia="Times New Roman" w:hAnsi="Times New Roman" w:cs="Times New Roman"/>
          <w:color w:val="000000"/>
        </w:rPr>
        <w:t>espansione</w:t>
      </w:r>
      <w:r w:rsidR="00BC7223" w:rsidRPr="000302B7">
        <w:rPr>
          <w:rFonts w:ascii="Times New Roman" w:eastAsia="Times New Roman" w:hAnsi="Times New Roman" w:cs="Times New Roman"/>
          <w:color w:val="000000"/>
        </w:rPr>
        <w:t xml:space="preserve"> semplicemente</w:t>
      </w:r>
      <w:r w:rsidR="00D7412F" w:rsidRPr="000302B7">
        <w:rPr>
          <w:rFonts w:ascii="Times New Roman" w:eastAsia="Times New Roman" w:hAnsi="Times New Roman" w:cs="Times New Roman"/>
          <w:color w:val="000000"/>
        </w:rPr>
        <w:t xml:space="preserve"> accadono</w:t>
      </w:r>
      <w:r w:rsidR="008C5AF5" w:rsidRPr="000302B7">
        <w:rPr>
          <w:rFonts w:ascii="Times New Roman" w:eastAsia="Times New Roman" w:hAnsi="Times New Roman" w:cs="Times New Roman"/>
          <w:color w:val="000000"/>
        </w:rPr>
        <w:t>. Il perché di questo accad</w:t>
      </w:r>
      <w:r w:rsidR="00C65B5A" w:rsidRPr="000302B7">
        <w:rPr>
          <w:rFonts w:ascii="Times New Roman" w:eastAsia="Times New Roman" w:hAnsi="Times New Roman" w:cs="Times New Roman"/>
          <w:color w:val="000000"/>
        </w:rPr>
        <w:t>ere</w:t>
      </w:r>
      <w:r w:rsidR="008C5AF5" w:rsidRPr="000302B7">
        <w:rPr>
          <w:rFonts w:ascii="Times New Roman" w:eastAsia="Times New Roman" w:hAnsi="Times New Roman" w:cs="Times New Roman"/>
          <w:color w:val="000000"/>
        </w:rPr>
        <w:t xml:space="preserve"> non ci viene mostrato in modo</w:t>
      </w:r>
      <w:r w:rsidR="00C65B5A" w:rsidRPr="000302B7">
        <w:rPr>
          <w:rFonts w:ascii="Times New Roman" w:eastAsia="Times New Roman" w:hAnsi="Times New Roman" w:cs="Times New Roman"/>
          <w:color w:val="000000"/>
        </w:rPr>
        <w:t xml:space="preserve"> alcuno</w:t>
      </w:r>
      <w:r w:rsidR="00053737" w:rsidRPr="000302B7">
        <w:rPr>
          <w:rFonts w:ascii="Times New Roman" w:eastAsia="Times New Roman" w:hAnsi="Times New Roman" w:cs="Times New Roman"/>
          <w:color w:val="000000"/>
        </w:rPr>
        <w:t>.</w:t>
      </w:r>
      <w:r w:rsidR="00053737" w:rsidRPr="00A93A46">
        <w:rPr>
          <w:rFonts w:ascii="Times New Roman" w:eastAsia="Times New Roman" w:hAnsi="Times New Roman" w:cs="Times New Roman"/>
          <w:color w:val="000000"/>
        </w:rPr>
        <w:t xml:space="preserve"> </w:t>
      </w:r>
      <w:r w:rsidR="003958A4" w:rsidRPr="00A93A46">
        <w:rPr>
          <w:rFonts w:ascii="Times New Roman" w:eastAsia="Times New Roman" w:hAnsi="Times New Roman" w:cs="Times New Roman"/>
          <w:color w:val="000000"/>
        </w:rPr>
        <w:t xml:space="preserve">Riprendendo una critica mossa da Schelling a Spinoza nella </w:t>
      </w:r>
      <w:r w:rsidR="00871A23" w:rsidRPr="00A93A46">
        <w:rPr>
          <w:rFonts w:ascii="Times New Roman" w:eastAsia="Times New Roman" w:hAnsi="Times New Roman" w:cs="Times New Roman"/>
          <w:color w:val="000000"/>
        </w:rPr>
        <w:t>prefazione</w:t>
      </w:r>
      <w:r w:rsidR="00BF20AF" w:rsidRPr="00A93A46">
        <w:rPr>
          <w:rFonts w:ascii="Times New Roman" w:eastAsia="Times New Roman" w:hAnsi="Times New Roman" w:cs="Times New Roman"/>
          <w:color w:val="000000"/>
        </w:rPr>
        <w:t xml:space="preserve"> del 1834</w:t>
      </w:r>
      <w:r w:rsidR="00871A23" w:rsidRPr="00A93A46">
        <w:rPr>
          <w:rFonts w:ascii="Times New Roman" w:eastAsia="Times New Roman" w:hAnsi="Times New Roman" w:cs="Times New Roman"/>
          <w:color w:val="000000"/>
        </w:rPr>
        <w:t xml:space="preserve"> </w:t>
      </w:r>
      <w:r w:rsidR="00BF20AF" w:rsidRPr="00A93A46">
        <w:rPr>
          <w:rFonts w:ascii="Times New Roman" w:eastAsia="Times New Roman" w:hAnsi="Times New Roman" w:cs="Times New Roman"/>
          <w:color w:val="000000"/>
        </w:rPr>
        <w:t xml:space="preserve">all’opera </w:t>
      </w:r>
      <w:r w:rsidR="00BF20AF" w:rsidRPr="00A93A46">
        <w:rPr>
          <w:rFonts w:ascii="Times New Roman" w:eastAsia="Times New Roman" w:hAnsi="Times New Roman" w:cs="Times New Roman"/>
          <w:i/>
          <w:color w:val="000000"/>
        </w:rPr>
        <w:t>Über die französische und deutsche Philosophie</w:t>
      </w:r>
      <w:r w:rsidR="003958A4" w:rsidRPr="00A93A46">
        <w:rPr>
          <w:rFonts w:ascii="Times New Roman" w:eastAsia="Times New Roman" w:hAnsi="Times New Roman" w:cs="Times New Roman"/>
          <w:color w:val="000000"/>
        </w:rPr>
        <w:t xml:space="preserve"> di Victor Cousin, </w:t>
      </w:r>
      <w:r w:rsidR="00CA3851" w:rsidRPr="00A93A46">
        <w:rPr>
          <w:rFonts w:ascii="Times New Roman" w:eastAsia="Times New Roman" w:hAnsi="Times New Roman" w:cs="Times New Roman"/>
          <w:color w:val="000000"/>
        </w:rPr>
        <w:t>si può dire</w:t>
      </w:r>
      <w:r w:rsidR="00764212" w:rsidRPr="00A93A46">
        <w:rPr>
          <w:rFonts w:ascii="Times New Roman" w:eastAsia="Times New Roman" w:hAnsi="Times New Roman" w:cs="Times New Roman"/>
          <w:color w:val="000000"/>
        </w:rPr>
        <w:t xml:space="preserve"> </w:t>
      </w:r>
      <w:r w:rsidR="00D4292E" w:rsidRPr="00A93A46">
        <w:rPr>
          <w:rFonts w:ascii="Times New Roman" w:eastAsia="Times New Roman" w:hAnsi="Times New Roman" w:cs="Times New Roman"/>
          <w:color w:val="000000"/>
        </w:rPr>
        <w:t xml:space="preserve">che Hegel non spiega </w:t>
      </w:r>
      <w:r w:rsidR="00764212" w:rsidRPr="00A93A46">
        <w:rPr>
          <w:rFonts w:ascii="Times New Roman" w:eastAsia="Times New Roman" w:hAnsi="Times New Roman" w:cs="Times New Roman"/>
          <w:color w:val="000000"/>
        </w:rPr>
        <w:t xml:space="preserve">né il dischiudersi dell’Assoluto, né </w:t>
      </w:r>
      <w:r w:rsidR="00540A9D">
        <w:rPr>
          <w:rFonts w:ascii="Times New Roman" w:eastAsia="Times New Roman" w:hAnsi="Times New Roman" w:cs="Times New Roman"/>
          <w:color w:val="000000"/>
        </w:rPr>
        <w:t>il prodursi e</w:t>
      </w:r>
      <w:r w:rsidR="00E73D0D" w:rsidRPr="00A93A46">
        <w:rPr>
          <w:rFonts w:ascii="Times New Roman" w:eastAsia="Times New Roman" w:hAnsi="Times New Roman" w:cs="Times New Roman"/>
          <w:color w:val="000000"/>
        </w:rPr>
        <w:t xml:space="preserve"> il superarsi </w:t>
      </w:r>
      <w:r w:rsidR="004E4122" w:rsidRPr="00A93A46">
        <w:rPr>
          <w:rFonts w:ascii="Times New Roman" w:eastAsia="Times New Roman" w:hAnsi="Times New Roman" w:cs="Times New Roman"/>
          <w:color w:val="000000"/>
        </w:rPr>
        <w:t xml:space="preserve">dell’opposizione </w:t>
      </w:r>
      <w:r w:rsidR="00764212" w:rsidRPr="00A93A46">
        <w:rPr>
          <w:rFonts w:ascii="Times New Roman" w:eastAsia="Times New Roman" w:hAnsi="Times New Roman" w:cs="Times New Roman"/>
          <w:color w:val="000000"/>
        </w:rPr>
        <w:t xml:space="preserve">nel </w:t>
      </w:r>
      <w:r w:rsidR="004E4122" w:rsidRPr="00A93A46">
        <w:rPr>
          <w:rFonts w:ascii="Times New Roman" w:eastAsia="Times New Roman" w:hAnsi="Times New Roman" w:cs="Times New Roman"/>
          <w:i/>
          <w:color w:val="000000"/>
        </w:rPr>
        <w:t>Lebenslauf Gottes</w:t>
      </w:r>
      <w:r w:rsidR="00E73D0D" w:rsidRPr="00A93A46">
        <w:rPr>
          <w:rFonts w:ascii="Times New Roman" w:eastAsia="Times New Roman" w:hAnsi="Times New Roman" w:cs="Times New Roman"/>
          <w:color w:val="000000"/>
        </w:rPr>
        <w:t xml:space="preserve">. </w:t>
      </w:r>
      <w:r w:rsidR="00A52650" w:rsidRPr="00A93A46">
        <w:rPr>
          <w:rFonts w:ascii="Times New Roman" w:eastAsia="Times New Roman" w:hAnsi="Times New Roman" w:cs="Times New Roman"/>
          <w:color w:val="000000"/>
        </w:rPr>
        <w:t xml:space="preserve">In altre parole, </w:t>
      </w:r>
      <w:r w:rsidR="00E73D0D" w:rsidRPr="00A93A46">
        <w:rPr>
          <w:rFonts w:ascii="Times New Roman" w:eastAsia="Times New Roman" w:hAnsi="Times New Roman" w:cs="Times New Roman"/>
          <w:color w:val="000000"/>
        </w:rPr>
        <w:t>Hegel</w:t>
      </w:r>
      <w:r w:rsidR="00A52650" w:rsidRPr="00A93A46">
        <w:rPr>
          <w:rFonts w:ascii="Times New Roman" w:eastAsia="Times New Roman" w:hAnsi="Times New Roman" w:cs="Times New Roman"/>
          <w:color w:val="000000"/>
        </w:rPr>
        <w:t xml:space="preserve"> </w:t>
      </w:r>
      <w:r w:rsidR="004E4122" w:rsidRPr="007E216E">
        <w:rPr>
          <w:rFonts w:ascii="Times New Roman" w:eastAsia="Times New Roman" w:hAnsi="Times New Roman" w:cs="Times New Roman"/>
          <w:color w:val="000000"/>
        </w:rPr>
        <w:t>«</w:t>
      </w:r>
      <w:r w:rsidR="00E23784" w:rsidRPr="007E216E">
        <w:rPr>
          <w:rFonts w:ascii="Times New Roman" w:eastAsia="Times New Roman" w:hAnsi="Times New Roman" w:cs="Times New Roman"/>
          <w:color w:val="000000"/>
        </w:rPr>
        <w:t>zeigt das nicht, er versichert’s</w:t>
      </w:r>
      <w:r w:rsidR="004E4122" w:rsidRPr="007E216E">
        <w:rPr>
          <w:rFonts w:ascii="Times New Roman" w:eastAsia="Times New Roman" w:hAnsi="Times New Roman" w:cs="Times New Roman"/>
          <w:color w:val="000000"/>
        </w:rPr>
        <w:t xml:space="preserve"> bloß»</w:t>
      </w:r>
      <w:r w:rsidR="004E4122" w:rsidRPr="007E216E">
        <w:rPr>
          <w:rStyle w:val="Rimandonotaapidipagina"/>
          <w:rFonts w:ascii="Times New Roman" w:eastAsia="Times New Roman" w:hAnsi="Times New Roman" w:cs="Times New Roman"/>
          <w:color w:val="000000"/>
        </w:rPr>
        <w:footnoteReference w:id="170"/>
      </w:r>
      <w:r w:rsidR="004E4122" w:rsidRPr="007E216E">
        <w:rPr>
          <w:rFonts w:ascii="Times New Roman" w:eastAsia="Times New Roman" w:hAnsi="Times New Roman" w:cs="Times New Roman"/>
          <w:color w:val="000000"/>
        </w:rPr>
        <w:t>.</w:t>
      </w:r>
      <w:r w:rsidR="00E73D0D" w:rsidRPr="007E216E">
        <w:rPr>
          <w:rFonts w:ascii="Times New Roman" w:eastAsia="Times New Roman" w:hAnsi="Times New Roman" w:cs="Times New Roman"/>
          <w:color w:val="000000"/>
        </w:rPr>
        <w:t xml:space="preserve"> </w:t>
      </w:r>
      <w:r w:rsidR="00764212" w:rsidRPr="007E216E">
        <w:rPr>
          <w:rFonts w:ascii="Times New Roman" w:eastAsia="Times New Roman" w:hAnsi="Times New Roman" w:cs="Times New Roman"/>
          <w:color w:val="000000"/>
        </w:rPr>
        <w:t>La necessità hegeliana di d</w:t>
      </w:r>
      <w:r w:rsidR="00834631" w:rsidRPr="007E216E">
        <w:rPr>
          <w:rFonts w:ascii="Times New Roman" w:eastAsia="Times New Roman" w:hAnsi="Times New Roman" w:cs="Times New Roman"/>
          <w:color w:val="000000"/>
        </w:rPr>
        <w:t>efini</w:t>
      </w:r>
      <w:r w:rsidR="00EF53BF" w:rsidRPr="007E216E">
        <w:rPr>
          <w:rFonts w:ascii="Times New Roman" w:eastAsia="Times New Roman" w:hAnsi="Times New Roman" w:cs="Times New Roman"/>
          <w:color w:val="000000"/>
        </w:rPr>
        <w:t xml:space="preserve">re quella forma </w:t>
      </w:r>
      <w:r w:rsidR="002B4080" w:rsidRPr="007E216E">
        <w:rPr>
          <w:rFonts w:ascii="Times New Roman" w:eastAsia="Times New Roman" w:hAnsi="Times New Roman" w:cs="Times New Roman"/>
          <w:color w:val="000000"/>
        </w:rPr>
        <w:t>–</w:t>
      </w:r>
      <w:r w:rsidR="007E216E" w:rsidRPr="007E216E">
        <w:rPr>
          <w:rFonts w:ascii="Times New Roman" w:eastAsia="Times New Roman" w:hAnsi="Times New Roman" w:cs="Times New Roman"/>
          <w:color w:val="000000"/>
        </w:rPr>
        <w:t xml:space="preserve"> la dialettica </w:t>
      </w:r>
      <w:r w:rsidR="00D55F3D" w:rsidRPr="007E216E">
        <w:rPr>
          <w:rFonts w:ascii="Times New Roman" w:eastAsia="Times New Roman" w:hAnsi="Times New Roman" w:cs="Times New Roman"/>
          <w:color w:val="000000"/>
        </w:rPr>
        <w:t>–</w:t>
      </w:r>
      <w:r w:rsidR="00FE721F" w:rsidRPr="00A93A46">
        <w:rPr>
          <w:rFonts w:ascii="Times New Roman" w:eastAsia="Times New Roman" w:hAnsi="Times New Roman" w:cs="Times New Roman"/>
          <w:color w:val="000000"/>
        </w:rPr>
        <w:t xml:space="preserve"> adeguata al contenuto assoluto </w:t>
      </w:r>
      <w:r w:rsidR="00D55F3D" w:rsidRPr="00A93A46">
        <w:rPr>
          <w:rFonts w:ascii="Times New Roman" w:eastAsia="Times New Roman" w:hAnsi="Times New Roman" w:cs="Times New Roman"/>
          <w:color w:val="000000"/>
        </w:rPr>
        <w:t xml:space="preserve">– </w:t>
      </w:r>
      <w:r w:rsidR="00834631" w:rsidRPr="00A93A46">
        <w:rPr>
          <w:rFonts w:ascii="Times New Roman" w:eastAsia="Times New Roman" w:hAnsi="Times New Roman" w:cs="Times New Roman"/>
          <w:color w:val="000000"/>
        </w:rPr>
        <w:t>la processualità dell’</w:t>
      </w:r>
      <w:r w:rsidR="00C65B5A" w:rsidRPr="00A93A46">
        <w:rPr>
          <w:rFonts w:ascii="Times New Roman" w:eastAsia="Times New Roman" w:hAnsi="Times New Roman" w:cs="Times New Roman"/>
          <w:color w:val="000000"/>
        </w:rPr>
        <w:t>Assoluto</w:t>
      </w:r>
      <w:r w:rsidR="00834631" w:rsidRPr="00A93A46">
        <w:rPr>
          <w:rFonts w:ascii="Times New Roman" w:eastAsia="Times New Roman" w:hAnsi="Times New Roman" w:cs="Times New Roman"/>
          <w:color w:val="000000"/>
        </w:rPr>
        <w:t xml:space="preserve"> </w:t>
      </w:r>
      <w:r w:rsidR="003F276D" w:rsidRPr="00A93A46">
        <w:rPr>
          <w:rFonts w:ascii="Times New Roman" w:eastAsia="Times New Roman" w:hAnsi="Times New Roman" w:cs="Times New Roman"/>
          <w:color w:val="000000"/>
        </w:rPr>
        <w:t>– trover</w:t>
      </w:r>
      <w:r w:rsidR="00D55F3D" w:rsidRPr="00A93A46">
        <w:rPr>
          <w:rFonts w:ascii="Times New Roman" w:eastAsia="Times New Roman" w:hAnsi="Times New Roman" w:cs="Times New Roman"/>
          <w:color w:val="000000"/>
        </w:rPr>
        <w:t xml:space="preserve">à </w:t>
      </w:r>
      <w:r w:rsidR="003F276D" w:rsidRPr="00A93A46">
        <w:rPr>
          <w:rFonts w:ascii="Times New Roman" w:eastAsia="Times New Roman" w:hAnsi="Times New Roman" w:cs="Times New Roman"/>
          <w:color w:val="000000"/>
        </w:rPr>
        <w:t xml:space="preserve">spazio nella </w:t>
      </w:r>
      <w:r w:rsidR="00834631" w:rsidRPr="00A93A46">
        <w:rPr>
          <w:rFonts w:ascii="Times New Roman" w:eastAsia="Times New Roman" w:hAnsi="Times New Roman" w:cs="Times New Roman"/>
          <w:i/>
          <w:color w:val="000000"/>
        </w:rPr>
        <w:t>Jenaer Logik und Metaphysik</w:t>
      </w:r>
      <w:r w:rsidR="00764212" w:rsidRPr="00A93A46">
        <w:rPr>
          <w:rFonts w:ascii="Times New Roman" w:eastAsia="Times New Roman" w:hAnsi="Times New Roman" w:cs="Times New Roman"/>
          <w:i/>
          <w:color w:val="000000"/>
        </w:rPr>
        <w:t>,</w:t>
      </w:r>
      <w:r w:rsidR="00EF53BF" w:rsidRPr="00A93A46">
        <w:rPr>
          <w:rFonts w:ascii="Times New Roman" w:eastAsia="Times New Roman" w:hAnsi="Times New Roman" w:cs="Times New Roman"/>
          <w:color w:val="000000"/>
        </w:rPr>
        <w:t xml:space="preserve"> dove </w:t>
      </w:r>
      <w:r w:rsidR="00A80C95" w:rsidRPr="00A93A46">
        <w:rPr>
          <w:rFonts w:ascii="Times New Roman" w:eastAsia="Times New Roman" w:hAnsi="Times New Roman" w:cs="Times New Roman"/>
          <w:color w:val="000000"/>
        </w:rPr>
        <w:t xml:space="preserve">sarà </w:t>
      </w:r>
      <w:r w:rsidR="00E45DEB">
        <w:rPr>
          <w:rFonts w:ascii="Times New Roman" w:eastAsia="Times New Roman" w:hAnsi="Times New Roman" w:cs="Times New Roman"/>
          <w:color w:val="000000"/>
        </w:rPr>
        <w:t xml:space="preserve">tematizzata </w:t>
      </w:r>
      <w:r w:rsidR="003F276D" w:rsidRPr="00A93A46">
        <w:rPr>
          <w:rFonts w:ascii="Times New Roman" w:eastAsia="Times New Roman" w:hAnsi="Times New Roman" w:cs="Times New Roman"/>
          <w:color w:val="000000"/>
        </w:rPr>
        <w:t xml:space="preserve">quella teoria della </w:t>
      </w:r>
      <w:r w:rsidR="003C32B8" w:rsidRPr="00A93A46">
        <w:rPr>
          <w:rFonts w:ascii="Times New Roman" w:eastAsia="Times New Roman" w:hAnsi="Times New Roman" w:cs="Times New Roman"/>
          <w:color w:val="000000"/>
        </w:rPr>
        <w:t>ne</w:t>
      </w:r>
      <w:r w:rsidR="00764212" w:rsidRPr="00A93A46">
        <w:rPr>
          <w:rFonts w:ascii="Times New Roman" w:eastAsia="Times New Roman" w:hAnsi="Times New Roman" w:cs="Times New Roman"/>
          <w:color w:val="000000"/>
        </w:rPr>
        <w:t>gati</w:t>
      </w:r>
      <w:r w:rsidR="003F276D" w:rsidRPr="00A93A46">
        <w:rPr>
          <w:rFonts w:ascii="Times New Roman" w:eastAsia="Times New Roman" w:hAnsi="Times New Roman" w:cs="Times New Roman"/>
          <w:color w:val="000000"/>
        </w:rPr>
        <w:t>vità</w:t>
      </w:r>
      <w:r w:rsidR="00764212" w:rsidRPr="00A93A46">
        <w:rPr>
          <w:rFonts w:ascii="Times New Roman" w:eastAsia="Times New Roman" w:hAnsi="Times New Roman" w:cs="Times New Roman"/>
          <w:color w:val="000000"/>
        </w:rPr>
        <w:t xml:space="preserve"> </w:t>
      </w:r>
      <w:r w:rsidR="00A80C95" w:rsidRPr="00A93A46">
        <w:rPr>
          <w:rFonts w:ascii="Times New Roman" w:eastAsia="Times New Roman" w:hAnsi="Times New Roman" w:cs="Times New Roman"/>
          <w:color w:val="000000"/>
        </w:rPr>
        <w:t>esplicativa del</w:t>
      </w:r>
      <w:r w:rsidR="003F276D" w:rsidRPr="00A93A46">
        <w:rPr>
          <w:rFonts w:ascii="Times New Roman" w:eastAsia="Times New Roman" w:hAnsi="Times New Roman" w:cs="Times New Roman"/>
          <w:color w:val="000000"/>
        </w:rPr>
        <w:t xml:space="preserve">l’automovimento </w:t>
      </w:r>
      <w:r w:rsidR="004B00F7" w:rsidRPr="00A93A46">
        <w:rPr>
          <w:rFonts w:ascii="Times New Roman" w:eastAsia="Times New Roman" w:hAnsi="Times New Roman" w:cs="Times New Roman"/>
          <w:color w:val="000000"/>
        </w:rPr>
        <w:t>del</w:t>
      </w:r>
      <w:r w:rsidR="00712C1A">
        <w:rPr>
          <w:rFonts w:ascii="Times New Roman" w:eastAsia="Times New Roman" w:hAnsi="Times New Roman" w:cs="Times New Roman"/>
          <w:color w:val="000000"/>
        </w:rPr>
        <w:t xml:space="preserve"> contenuto</w:t>
      </w:r>
      <w:r w:rsidR="003C32B8" w:rsidRPr="00A93A46">
        <w:rPr>
          <w:rFonts w:ascii="Times New Roman" w:eastAsia="Times New Roman" w:hAnsi="Times New Roman" w:cs="Times New Roman"/>
          <w:color w:val="000000"/>
        </w:rPr>
        <w:t>.</w:t>
      </w:r>
      <w:r w:rsidR="00764212">
        <w:rPr>
          <w:rFonts w:ascii="Times New Roman" w:eastAsia="Times New Roman" w:hAnsi="Times New Roman" w:cs="Times New Roman"/>
          <w:color w:val="000000"/>
        </w:rPr>
        <w:t xml:space="preserve"> </w:t>
      </w:r>
    </w:p>
    <w:p w14:paraId="6E71AB76" w14:textId="77777777" w:rsidR="00F64E92" w:rsidRPr="0070633A" w:rsidRDefault="00F64E92" w:rsidP="00654608">
      <w:pPr>
        <w:spacing w:line="360" w:lineRule="auto"/>
        <w:jc w:val="both"/>
        <w:rPr>
          <w:rFonts w:ascii="Times New Roman" w:hAnsi="Times New Roman" w:cs="Times New Roman"/>
        </w:rPr>
      </w:pPr>
    </w:p>
    <w:p w14:paraId="4D1320FB" w14:textId="3458BAB5" w:rsidR="008F2D07" w:rsidRPr="00DE136F" w:rsidRDefault="00596031" w:rsidP="00654608">
      <w:pPr>
        <w:spacing w:line="360" w:lineRule="auto"/>
        <w:jc w:val="both"/>
        <w:rPr>
          <w:rFonts w:ascii="Times New Roman" w:hAnsi="Times New Roman" w:cs="Times New Roman"/>
        </w:rPr>
      </w:pPr>
      <w:r>
        <w:rPr>
          <w:rFonts w:ascii="Times New Roman" w:hAnsi="Times New Roman" w:cs="Times New Roman"/>
          <w:i/>
        </w:rPr>
        <w:t>1.5</w:t>
      </w:r>
      <w:r w:rsidR="008F2D07" w:rsidRPr="00C74993">
        <w:rPr>
          <w:rFonts w:ascii="Times New Roman" w:hAnsi="Times New Roman" w:cs="Times New Roman"/>
          <w:i/>
        </w:rPr>
        <w:t xml:space="preserve"> La luce e la tenebra: la confutazione dello spinozismo nella </w:t>
      </w:r>
      <w:r w:rsidR="008F2D07" w:rsidRPr="00DE136F">
        <w:rPr>
          <w:rFonts w:ascii="Times New Roman" w:hAnsi="Times New Roman" w:cs="Times New Roman"/>
        </w:rPr>
        <w:t>Jenaer</w:t>
      </w:r>
      <w:r w:rsidR="002B437F" w:rsidRPr="00DE136F">
        <w:rPr>
          <w:rFonts w:ascii="Times New Roman" w:hAnsi="Times New Roman" w:cs="Times New Roman"/>
        </w:rPr>
        <w:t xml:space="preserve"> Logik und</w:t>
      </w:r>
      <w:r w:rsidR="008F2D07" w:rsidRPr="00DE136F">
        <w:rPr>
          <w:rFonts w:ascii="Times New Roman" w:hAnsi="Times New Roman" w:cs="Times New Roman"/>
        </w:rPr>
        <w:t xml:space="preserve"> Metaphysik</w:t>
      </w:r>
    </w:p>
    <w:p w14:paraId="4EDFCCA2" w14:textId="77777777" w:rsidR="00654608" w:rsidRPr="00FB2390" w:rsidRDefault="00654608" w:rsidP="00654608">
      <w:pPr>
        <w:spacing w:line="360" w:lineRule="auto"/>
        <w:jc w:val="both"/>
        <w:rPr>
          <w:rFonts w:ascii="Times New Roman" w:hAnsi="Times New Roman" w:cs="Times New Roman"/>
        </w:rPr>
      </w:pPr>
    </w:p>
    <w:p w14:paraId="52ED3471" w14:textId="142D9BC2" w:rsidR="00B233CC" w:rsidRDefault="00B66C44" w:rsidP="00B233CC">
      <w:pPr>
        <w:spacing w:line="360" w:lineRule="auto"/>
        <w:ind w:firstLine="567"/>
        <w:jc w:val="both"/>
        <w:rPr>
          <w:rFonts w:ascii="Times New Roman" w:hAnsi="Times New Roman" w:cs="Times New Roman"/>
        </w:rPr>
      </w:pPr>
      <w:r w:rsidRPr="00A40048">
        <w:rPr>
          <w:rFonts w:ascii="Times New Roman" w:hAnsi="Times New Roman" w:cs="Times New Roman"/>
        </w:rPr>
        <w:t>Dall’analisi d</w:t>
      </w:r>
      <w:r w:rsidR="00D06FFA" w:rsidRPr="00A40048">
        <w:rPr>
          <w:rFonts w:ascii="Times New Roman" w:hAnsi="Times New Roman" w:cs="Times New Roman"/>
        </w:rPr>
        <w:t xml:space="preserve">el </w:t>
      </w:r>
      <w:r w:rsidR="00D06FFA" w:rsidRPr="00A40048">
        <w:rPr>
          <w:rFonts w:ascii="Times New Roman" w:hAnsi="Times New Roman" w:cs="Times New Roman"/>
          <w:i/>
        </w:rPr>
        <w:t>Fragment 49</w:t>
      </w:r>
      <w:r w:rsidR="00AD27FC" w:rsidRPr="00A40048">
        <w:rPr>
          <w:rFonts w:ascii="Times New Roman" w:hAnsi="Times New Roman" w:cs="Times New Roman"/>
        </w:rPr>
        <w:t xml:space="preserve">, è </w:t>
      </w:r>
      <w:r w:rsidRPr="00A40048">
        <w:rPr>
          <w:rFonts w:ascii="Times New Roman" w:hAnsi="Times New Roman" w:cs="Times New Roman"/>
        </w:rPr>
        <w:t xml:space="preserve">emerso </w:t>
      </w:r>
      <w:r w:rsidR="007F2DFC" w:rsidRPr="00A40048">
        <w:rPr>
          <w:rFonts w:ascii="Times New Roman" w:hAnsi="Times New Roman" w:cs="Times New Roman"/>
        </w:rPr>
        <w:t>i</w:t>
      </w:r>
      <w:r w:rsidR="00AD27FC" w:rsidRPr="00A40048">
        <w:rPr>
          <w:rFonts w:ascii="Times New Roman" w:hAnsi="Times New Roman" w:cs="Times New Roman"/>
        </w:rPr>
        <w:t>l proposit</w:t>
      </w:r>
      <w:r w:rsidR="00D06FFA" w:rsidRPr="00A40048">
        <w:rPr>
          <w:rFonts w:ascii="Times New Roman" w:hAnsi="Times New Roman" w:cs="Times New Roman"/>
        </w:rPr>
        <w:t xml:space="preserve">o </w:t>
      </w:r>
      <w:r w:rsidRPr="00A40048">
        <w:rPr>
          <w:rFonts w:ascii="Times New Roman" w:hAnsi="Times New Roman" w:cs="Times New Roman"/>
        </w:rPr>
        <w:t xml:space="preserve">hegeliano </w:t>
      </w:r>
      <w:r w:rsidR="00D06FFA" w:rsidRPr="00A40048">
        <w:rPr>
          <w:rFonts w:ascii="Times New Roman" w:hAnsi="Times New Roman" w:cs="Times New Roman"/>
        </w:rPr>
        <w:t>di pensare l’A</w:t>
      </w:r>
      <w:r w:rsidR="00D3794E" w:rsidRPr="00A40048">
        <w:rPr>
          <w:rFonts w:ascii="Times New Roman" w:hAnsi="Times New Roman" w:cs="Times New Roman"/>
        </w:rPr>
        <w:t xml:space="preserve">ssoluto come affermazione di sé, </w:t>
      </w:r>
      <w:r w:rsidR="00A40048" w:rsidRPr="00A40048">
        <w:rPr>
          <w:rFonts w:ascii="Times New Roman" w:hAnsi="Times New Roman" w:cs="Times New Roman"/>
        </w:rPr>
        <w:t xml:space="preserve">ossia </w:t>
      </w:r>
      <w:r w:rsidR="00D3794E" w:rsidRPr="00A40048">
        <w:rPr>
          <w:rFonts w:ascii="Times New Roman" w:hAnsi="Times New Roman" w:cs="Times New Roman"/>
        </w:rPr>
        <w:t>come</w:t>
      </w:r>
      <w:r w:rsidR="00D06FFA" w:rsidRPr="00A40048">
        <w:rPr>
          <w:rFonts w:ascii="Times New Roman" w:hAnsi="Times New Roman" w:cs="Times New Roman"/>
        </w:rPr>
        <w:t xml:space="preserve"> posizionamento</w:t>
      </w:r>
      <w:r w:rsidR="00F20073" w:rsidRPr="00A40048">
        <w:rPr>
          <w:rFonts w:ascii="Times New Roman" w:hAnsi="Times New Roman" w:cs="Times New Roman"/>
        </w:rPr>
        <w:t xml:space="preserve">, scontro e riconciliazione </w:t>
      </w:r>
      <w:r w:rsidR="00D06FFA" w:rsidRPr="00A40048">
        <w:rPr>
          <w:rFonts w:ascii="Times New Roman" w:hAnsi="Times New Roman" w:cs="Times New Roman"/>
        </w:rPr>
        <w:t xml:space="preserve">degli </w:t>
      </w:r>
      <w:r w:rsidR="00D3794E" w:rsidRPr="00A40048">
        <w:rPr>
          <w:rFonts w:ascii="Times New Roman" w:hAnsi="Times New Roman" w:cs="Times New Roman"/>
        </w:rPr>
        <w:t>opposti</w:t>
      </w:r>
      <w:r w:rsidR="009468C5" w:rsidRPr="00A40048">
        <w:rPr>
          <w:rFonts w:ascii="Times New Roman" w:hAnsi="Times New Roman" w:cs="Times New Roman"/>
        </w:rPr>
        <w:t xml:space="preserve"> nell’identità assoluta</w:t>
      </w:r>
      <w:r w:rsidR="00D3794E" w:rsidRPr="00A40048">
        <w:rPr>
          <w:rFonts w:ascii="Times New Roman" w:hAnsi="Times New Roman" w:cs="Times New Roman"/>
        </w:rPr>
        <w:t>. L’</w:t>
      </w:r>
      <w:r w:rsidR="00D3794E" w:rsidRPr="00A40048">
        <w:rPr>
          <w:rFonts w:ascii="Times New Roman" w:hAnsi="Times New Roman" w:cs="Times New Roman"/>
          <w:i/>
        </w:rPr>
        <w:t>absolute Affirmation</w:t>
      </w:r>
      <w:r w:rsidR="00D3794E" w:rsidRPr="00A40048">
        <w:rPr>
          <w:rFonts w:ascii="Times New Roman" w:hAnsi="Times New Roman" w:cs="Times New Roman"/>
        </w:rPr>
        <w:t xml:space="preserve"> – lo ripetiamo ancora una volta – </w:t>
      </w:r>
      <w:r w:rsidR="00D06FFA" w:rsidRPr="00A40048">
        <w:rPr>
          <w:rFonts w:ascii="Times New Roman" w:hAnsi="Times New Roman" w:cs="Times New Roman"/>
        </w:rPr>
        <w:t xml:space="preserve">è </w:t>
      </w:r>
      <w:r w:rsidR="00012BEE" w:rsidRPr="00A40048">
        <w:rPr>
          <w:rFonts w:ascii="Times New Roman" w:hAnsi="Times New Roman" w:cs="Times New Roman"/>
        </w:rPr>
        <w:t>dinamica esplicativa</w:t>
      </w:r>
      <w:r w:rsidR="003E187A" w:rsidRPr="00A40048">
        <w:rPr>
          <w:rFonts w:ascii="Times New Roman" w:hAnsi="Times New Roman" w:cs="Times New Roman"/>
        </w:rPr>
        <w:t xml:space="preserve"> </w:t>
      </w:r>
      <w:r w:rsidR="00D06FFA" w:rsidRPr="00A40048">
        <w:rPr>
          <w:rFonts w:ascii="Times New Roman" w:hAnsi="Times New Roman" w:cs="Times New Roman"/>
        </w:rPr>
        <w:t>dell’</w:t>
      </w:r>
      <w:r w:rsidR="00D06FFA" w:rsidRPr="00A40048">
        <w:rPr>
          <w:rFonts w:ascii="Times New Roman" w:hAnsi="Times New Roman" w:cs="Times New Roman"/>
          <w:i/>
        </w:rPr>
        <w:t>absolutes Nichts</w:t>
      </w:r>
      <w:r w:rsidR="002B0349" w:rsidRPr="00A40048">
        <w:rPr>
          <w:rFonts w:ascii="Times New Roman" w:hAnsi="Times New Roman" w:cs="Times New Roman"/>
        </w:rPr>
        <w:t>, d</w:t>
      </w:r>
      <w:r w:rsidR="00F20073" w:rsidRPr="00A40048">
        <w:rPr>
          <w:rFonts w:ascii="Times New Roman" w:hAnsi="Times New Roman" w:cs="Times New Roman"/>
        </w:rPr>
        <w:t>ella</w:t>
      </w:r>
      <w:r w:rsidR="00012BEE" w:rsidRPr="00A40048">
        <w:rPr>
          <w:rFonts w:ascii="Times New Roman" w:hAnsi="Times New Roman" w:cs="Times New Roman"/>
        </w:rPr>
        <w:t xml:space="preserve"> radice</w:t>
      </w:r>
      <w:r w:rsidR="00D3794E" w:rsidRPr="00A40048">
        <w:rPr>
          <w:rFonts w:ascii="Times New Roman" w:hAnsi="Times New Roman" w:cs="Times New Roman"/>
          <w:i/>
        </w:rPr>
        <w:t xml:space="preserve"> </w:t>
      </w:r>
      <w:r w:rsidR="002B0349" w:rsidRPr="00A40048">
        <w:rPr>
          <w:rFonts w:ascii="Times New Roman" w:hAnsi="Times New Roman" w:cs="Times New Roman"/>
        </w:rPr>
        <w:t>di</w:t>
      </w:r>
      <w:r w:rsidR="00D06FFA" w:rsidRPr="00A40048">
        <w:rPr>
          <w:rFonts w:ascii="Times New Roman" w:hAnsi="Times New Roman" w:cs="Times New Roman"/>
        </w:rPr>
        <w:t xml:space="preserve"> tutto ciò che è. </w:t>
      </w:r>
      <w:r w:rsidR="001630B3" w:rsidRPr="00A40048">
        <w:rPr>
          <w:rFonts w:ascii="Times New Roman" w:hAnsi="Times New Roman" w:cs="Times New Roman"/>
        </w:rPr>
        <w:t>Rigettata l’intuizione intellettuale</w:t>
      </w:r>
      <w:r w:rsidR="001630B3" w:rsidRPr="00A15F4A">
        <w:rPr>
          <w:rFonts w:ascii="Times New Roman" w:hAnsi="Times New Roman" w:cs="Times New Roman"/>
        </w:rPr>
        <w:t xml:space="preserve"> come forma conoscitiva dell’</w:t>
      </w:r>
      <w:r w:rsidR="001630B3" w:rsidRPr="00A15F4A">
        <w:rPr>
          <w:rFonts w:ascii="Times New Roman" w:hAnsi="Times New Roman" w:cs="Times New Roman"/>
          <w:i/>
        </w:rPr>
        <w:t>infinitum actu</w:t>
      </w:r>
      <w:r w:rsidR="001630B3" w:rsidRPr="00A15F4A">
        <w:rPr>
          <w:rFonts w:ascii="Times New Roman" w:hAnsi="Times New Roman" w:cs="Times New Roman"/>
        </w:rPr>
        <w:t>, che risulterebbe, proprio in virtù della forma, un’inerte astrazione, Hegel</w:t>
      </w:r>
      <w:r w:rsidR="00D06FFA" w:rsidRPr="00A15F4A">
        <w:rPr>
          <w:rFonts w:ascii="Times New Roman" w:hAnsi="Times New Roman" w:cs="Times New Roman"/>
          <w:i/>
        </w:rPr>
        <w:t xml:space="preserve"> </w:t>
      </w:r>
      <w:r w:rsidR="001630B3" w:rsidRPr="00A15F4A">
        <w:rPr>
          <w:rFonts w:ascii="Times New Roman" w:hAnsi="Times New Roman" w:cs="Times New Roman"/>
        </w:rPr>
        <w:t xml:space="preserve">ha abbozzato, proprio in questo frammento dello </w:t>
      </w:r>
      <w:r w:rsidR="001630B3" w:rsidRPr="00A15F4A">
        <w:rPr>
          <w:rFonts w:ascii="Times New Roman" w:hAnsi="Times New Roman" w:cs="Times New Roman"/>
          <w:i/>
        </w:rPr>
        <w:t>Jena Wastebook</w:t>
      </w:r>
      <w:r>
        <w:rPr>
          <w:rFonts w:ascii="Times New Roman" w:hAnsi="Times New Roman" w:cs="Times New Roman"/>
        </w:rPr>
        <w:t>, un auto</w:t>
      </w:r>
      <w:r w:rsidR="00AB017E" w:rsidRPr="00A15F4A">
        <w:rPr>
          <w:rFonts w:ascii="Times New Roman" w:hAnsi="Times New Roman" w:cs="Times New Roman"/>
        </w:rPr>
        <w:t>movimento del contenuto</w:t>
      </w:r>
      <w:r w:rsidR="00473C05" w:rsidRPr="00A15F4A">
        <w:rPr>
          <w:rFonts w:ascii="Times New Roman" w:hAnsi="Times New Roman" w:cs="Times New Roman"/>
        </w:rPr>
        <w:t>,</w:t>
      </w:r>
      <w:r w:rsidR="001630B3" w:rsidRPr="00A15F4A">
        <w:rPr>
          <w:rFonts w:ascii="Times New Roman" w:hAnsi="Times New Roman" w:cs="Times New Roman"/>
        </w:rPr>
        <w:t xml:space="preserve"> liberamente ispirato a fonti cab</w:t>
      </w:r>
      <w:r w:rsidR="00260F44" w:rsidRPr="00A15F4A">
        <w:rPr>
          <w:rFonts w:ascii="Times New Roman" w:hAnsi="Times New Roman" w:cs="Times New Roman"/>
        </w:rPr>
        <w:t xml:space="preserve">balistiche e </w:t>
      </w:r>
      <w:r w:rsidR="00C82AFC">
        <w:rPr>
          <w:rFonts w:ascii="Times New Roman" w:hAnsi="Times New Roman" w:cs="Times New Roman"/>
        </w:rPr>
        <w:t>böhmian</w:t>
      </w:r>
      <w:r w:rsidR="00260F44" w:rsidRPr="00A15F4A">
        <w:rPr>
          <w:rFonts w:ascii="Times New Roman" w:hAnsi="Times New Roman" w:cs="Times New Roman"/>
        </w:rPr>
        <w:t>e</w:t>
      </w:r>
      <w:r w:rsidR="001630B3" w:rsidRPr="00A15F4A">
        <w:rPr>
          <w:rFonts w:ascii="Times New Roman" w:hAnsi="Times New Roman" w:cs="Times New Roman"/>
        </w:rPr>
        <w:t>,</w:t>
      </w:r>
      <w:r w:rsidR="00AB017E" w:rsidRPr="00A15F4A">
        <w:rPr>
          <w:rFonts w:ascii="Times New Roman" w:hAnsi="Times New Roman" w:cs="Times New Roman"/>
        </w:rPr>
        <w:t xml:space="preserve"> capace</w:t>
      </w:r>
      <w:r w:rsidR="00C82AFC">
        <w:rPr>
          <w:rFonts w:ascii="Times New Roman" w:hAnsi="Times New Roman" w:cs="Times New Roman"/>
        </w:rPr>
        <w:t xml:space="preserve"> di spezzare le rigide e</w:t>
      </w:r>
      <w:r w:rsidR="00AB017E" w:rsidRPr="00A15F4A">
        <w:rPr>
          <w:rFonts w:ascii="Times New Roman" w:hAnsi="Times New Roman" w:cs="Times New Roman"/>
        </w:rPr>
        <w:t xml:space="preserve"> immobilizzanti </w:t>
      </w:r>
      <w:r w:rsidR="00483672">
        <w:rPr>
          <w:rFonts w:ascii="Times New Roman" w:hAnsi="Times New Roman" w:cs="Times New Roman"/>
        </w:rPr>
        <w:t xml:space="preserve">maglie </w:t>
      </w:r>
      <w:r w:rsidR="00AB017E" w:rsidRPr="00A15F4A">
        <w:rPr>
          <w:rFonts w:ascii="Times New Roman" w:hAnsi="Times New Roman" w:cs="Times New Roman"/>
        </w:rPr>
        <w:t>dell’intuizione</w:t>
      </w:r>
      <w:r w:rsidR="00AB017E" w:rsidRPr="00A40048">
        <w:rPr>
          <w:rFonts w:ascii="Times New Roman" w:hAnsi="Times New Roman" w:cs="Times New Roman"/>
        </w:rPr>
        <w:t>.</w:t>
      </w:r>
      <w:r w:rsidR="00260F44" w:rsidRPr="00A40048">
        <w:rPr>
          <w:rFonts w:ascii="Times New Roman" w:hAnsi="Times New Roman" w:cs="Times New Roman"/>
        </w:rPr>
        <w:t xml:space="preserve"> </w:t>
      </w:r>
      <w:r w:rsidR="00483672" w:rsidRPr="00A40048">
        <w:rPr>
          <w:rFonts w:ascii="Times New Roman" w:hAnsi="Times New Roman" w:cs="Times New Roman"/>
        </w:rPr>
        <w:t xml:space="preserve">Alla definizione barbarica e alla traduzione scientifica del cosiddetto </w:t>
      </w:r>
      <w:r w:rsidR="00483672" w:rsidRPr="00A40048">
        <w:rPr>
          <w:rFonts w:ascii="Times New Roman" w:hAnsi="Times New Roman" w:cs="Times New Roman"/>
          <w:i/>
        </w:rPr>
        <w:t>Lebenslauf Gottes</w:t>
      </w:r>
      <w:r w:rsidR="00483672" w:rsidRPr="00A40048">
        <w:rPr>
          <w:rFonts w:ascii="Times New Roman" w:hAnsi="Times New Roman" w:cs="Times New Roman"/>
        </w:rPr>
        <w:t xml:space="preserve">, tuttavia, non segue </w:t>
      </w:r>
      <w:r w:rsidR="00B233CC" w:rsidRPr="00A40048">
        <w:rPr>
          <w:rFonts w:ascii="Times New Roman" w:hAnsi="Times New Roman" w:cs="Times New Roman"/>
        </w:rPr>
        <w:t xml:space="preserve">ancora </w:t>
      </w:r>
      <w:r w:rsidR="003F3A5B" w:rsidRPr="00A40048">
        <w:rPr>
          <w:rFonts w:ascii="Times New Roman" w:hAnsi="Times New Roman" w:cs="Times New Roman"/>
        </w:rPr>
        <w:t>la definizione</w:t>
      </w:r>
      <w:r w:rsidR="00260F44" w:rsidRPr="00A40048">
        <w:rPr>
          <w:rFonts w:ascii="Times New Roman" w:hAnsi="Times New Roman" w:cs="Times New Roman"/>
        </w:rPr>
        <w:t xml:space="preserve"> </w:t>
      </w:r>
      <w:r w:rsidR="00483672" w:rsidRPr="00A40048">
        <w:rPr>
          <w:rFonts w:ascii="Times New Roman" w:hAnsi="Times New Roman" w:cs="Times New Roman"/>
        </w:rPr>
        <w:t xml:space="preserve">di </w:t>
      </w:r>
      <w:r w:rsidR="002F1774" w:rsidRPr="00A40048">
        <w:rPr>
          <w:rFonts w:ascii="Times New Roman" w:hAnsi="Times New Roman" w:cs="Times New Roman"/>
        </w:rPr>
        <w:t xml:space="preserve">una forma del conoscere che </w:t>
      </w:r>
      <w:r w:rsidR="00B233CC" w:rsidRPr="00A40048">
        <w:rPr>
          <w:rFonts w:ascii="Times New Roman" w:hAnsi="Times New Roman" w:cs="Times New Roman"/>
        </w:rPr>
        <w:t xml:space="preserve">colga e </w:t>
      </w:r>
      <w:r w:rsidR="00260F44" w:rsidRPr="00A40048">
        <w:rPr>
          <w:rFonts w:ascii="Times New Roman" w:hAnsi="Times New Roman" w:cs="Times New Roman"/>
        </w:rPr>
        <w:t xml:space="preserve">rifletta </w:t>
      </w:r>
      <w:r w:rsidR="002F1774" w:rsidRPr="00A40048">
        <w:rPr>
          <w:rFonts w:ascii="Times New Roman" w:hAnsi="Times New Roman" w:cs="Times New Roman"/>
        </w:rPr>
        <w:t xml:space="preserve">il dischiudersi </w:t>
      </w:r>
      <w:r w:rsidR="00483672" w:rsidRPr="00A40048">
        <w:rPr>
          <w:rFonts w:ascii="Times New Roman" w:hAnsi="Times New Roman" w:cs="Times New Roman"/>
        </w:rPr>
        <w:t xml:space="preserve">e il formarsi </w:t>
      </w:r>
      <w:r w:rsidR="002F1774" w:rsidRPr="00A40048">
        <w:rPr>
          <w:rFonts w:ascii="Times New Roman" w:hAnsi="Times New Roman" w:cs="Times New Roman"/>
        </w:rPr>
        <w:t>del contenuto</w:t>
      </w:r>
      <w:r w:rsidR="00483672" w:rsidRPr="00A40048">
        <w:rPr>
          <w:rFonts w:ascii="Times New Roman" w:hAnsi="Times New Roman" w:cs="Times New Roman"/>
        </w:rPr>
        <w:t xml:space="preserve"> assoluto</w:t>
      </w:r>
      <w:r w:rsidR="002F1774" w:rsidRPr="00A40048">
        <w:rPr>
          <w:rFonts w:ascii="Times New Roman" w:hAnsi="Times New Roman" w:cs="Times New Roman"/>
        </w:rPr>
        <w:t xml:space="preserve"> nelle proprie</w:t>
      </w:r>
      <w:r w:rsidR="00B233CC" w:rsidRPr="00A40048">
        <w:rPr>
          <w:rFonts w:ascii="Times New Roman" w:hAnsi="Times New Roman" w:cs="Times New Roman"/>
        </w:rPr>
        <w:t xml:space="preserve"> articolazioni reali e</w:t>
      </w:r>
      <w:r w:rsidR="00F736DA" w:rsidRPr="00A40048">
        <w:rPr>
          <w:rFonts w:ascii="Times New Roman" w:hAnsi="Times New Roman" w:cs="Times New Roman"/>
        </w:rPr>
        <w:t xml:space="preserve"> ideali.</w:t>
      </w:r>
      <w:r w:rsidR="00012BEE" w:rsidRPr="00A40048">
        <w:rPr>
          <w:rFonts w:ascii="Times New Roman" w:hAnsi="Times New Roman" w:cs="Times New Roman"/>
        </w:rPr>
        <w:t xml:space="preserve"> </w:t>
      </w:r>
      <w:r w:rsidR="00681B7F" w:rsidRPr="00A40048">
        <w:rPr>
          <w:rFonts w:ascii="Times New Roman" w:hAnsi="Times New Roman" w:cs="Times New Roman"/>
        </w:rPr>
        <w:t>Tutti quest</w:t>
      </w:r>
      <w:r w:rsidR="007906B6" w:rsidRPr="00A40048">
        <w:rPr>
          <w:rFonts w:ascii="Times New Roman" w:hAnsi="Times New Roman" w:cs="Times New Roman"/>
        </w:rPr>
        <w:t>i</w:t>
      </w:r>
      <w:r w:rsidR="00681B7F" w:rsidRPr="00A40048">
        <w:rPr>
          <w:rFonts w:ascii="Times New Roman" w:hAnsi="Times New Roman" w:cs="Times New Roman"/>
        </w:rPr>
        <w:t xml:space="preserve"> </w:t>
      </w:r>
      <w:r w:rsidR="0051093E" w:rsidRPr="00A40048">
        <w:rPr>
          <w:rFonts w:ascii="Times New Roman" w:hAnsi="Times New Roman" w:cs="Times New Roman"/>
        </w:rPr>
        <w:t xml:space="preserve">elementi </w:t>
      </w:r>
      <w:r w:rsidR="00F119FF" w:rsidRPr="00A40048">
        <w:rPr>
          <w:rFonts w:ascii="Times New Roman" w:hAnsi="Times New Roman" w:cs="Times New Roman"/>
        </w:rPr>
        <w:t xml:space="preserve">teorici </w:t>
      </w:r>
      <w:r w:rsidR="009350A3" w:rsidRPr="00A40048">
        <w:rPr>
          <w:rFonts w:ascii="Times New Roman" w:hAnsi="Times New Roman" w:cs="Times New Roman"/>
        </w:rPr>
        <w:t>e</w:t>
      </w:r>
      <w:r w:rsidR="009C1832" w:rsidRPr="00A40048">
        <w:rPr>
          <w:rFonts w:ascii="Times New Roman" w:hAnsi="Times New Roman" w:cs="Times New Roman"/>
        </w:rPr>
        <w:t xml:space="preserve"> l’interrogativo su</w:t>
      </w:r>
      <w:r w:rsidR="00F119FF" w:rsidRPr="00A40048">
        <w:rPr>
          <w:rFonts w:ascii="Times New Roman" w:hAnsi="Times New Roman" w:cs="Times New Roman"/>
        </w:rPr>
        <w:t>lla forma</w:t>
      </w:r>
      <w:r w:rsidR="009350A3" w:rsidRPr="00A40048">
        <w:rPr>
          <w:rFonts w:ascii="Times New Roman" w:hAnsi="Times New Roman" w:cs="Times New Roman"/>
        </w:rPr>
        <w:t xml:space="preserve"> </w:t>
      </w:r>
      <w:r w:rsidR="007F2DFC" w:rsidRPr="00A40048">
        <w:rPr>
          <w:rFonts w:ascii="Times New Roman" w:hAnsi="Times New Roman" w:cs="Times New Roman"/>
        </w:rPr>
        <w:t xml:space="preserve">si </w:t>
      </w:r>
      <w:r w:rsidR="004A5E4C" w:rsidRPr="00A40048">
        <w:rPr>
          <w:rFonts w:ascii="Times New Roman" w:hAnsi="Times New Roman" w:cs="Times New Roman"/>
        </w:rPr>
        <w:t>ri</w:t>
      </w:r>
      <w:r w:rsidR="006B52B8">
        <w:rPr>
          <w:rFonts w:ascii="Times New Roman" w:hAnsi="Times New Roman" w:cs="Times New Roman"/>
        </w:rPr>
        <w:t>trovano</w:t>
      </w:r>
      <w:r w:rsidR="007F2DFC" w:rsidRPr="00A40048">
        <w:rPr>
          <w:rFonts w:ascii="Times New Roman" w:hAnsi="Times New Roman" w:cs="Times New Roman"/>
        </w:rPr>
        <w:t xml:space="preserve"> </w:t>
      </w:r>
      <w:r w:rsidR="0006313F" w:rsidRPr="00A40048">
        <w:rPr>
          <w:rFonts w:ascii="Times New Roman" w:hAnsi="Times New Roman" w:cs="Times New Roman"/>
        </w:rPr>
        <w:t>n</w:t>
      </w:r>
      <w:r w:rsidR="00F736DA" w:rsidRPr="00A40048">
        <w:rPr>
          <w:rFonts w:ascii="Times New Roman" w:hAnsi="Times New Roman" w:cs="Times New Roman"/>
        </w:rPr>
        <w:t>ella</w:t>
      </w:r>
      <w:r w:rsidR="007906B6" w:rsidRPr="00A40048">
        <w:rPr>
          <w:rFonts w:ascii="Times New Roman" w:hAnsi="Times New Roman" w:cs="Times New Roman"/>
        </w:rPr>
        <w:t xml:space="preserve"> </w:t>
      </w:r>
      <w:r w:rsidR="007906B6" w:rsidRPr="00A40048">
        <w:rPr>
          <w:rFonts w:ascii="Times New Roman" w:hAnsi="Times New Roman" w:cs="Times New Roman"/>
          <w:i/>
        </w:rPr>
        <w:t xml:space="preserve">Jenaer Logik </w:t>
      </w:r>
      <w:r w:rsidR="00510935" w:rsidRPr="00A40048">
        <w:rPr>
          <w:rFonts w:ascii="Times New Roman" w:hAnsi="Times New Roman" w:cs="Times New Roman"/>
          <w:i/>
        </w:rPr>
        <w:t xml:space="preserve">und </w:t>
      </w:r>
      <w:r w:rsidR="007906B6" w:rsidRPr="00A40048">
        <w:rPr>
          <w:rFonts w:ascii="Times New Roman" w:hAnsi="Times New Roman" w:cs="Times New Roman"/>
          <w:i/>
        </w:rPr>
        <w:t>Metaphysik</w:t>
      </w:r>
      <w:r w:rsidR="00A112EF">
        <w:rPr>
          <w:rFonts w:ascii="Times New Roman" w:hAnsi="Times New Roman" w:cs="Times New Roman"/>
        </w:rPr>
        <w:t xml:space="preserve"> del 1804/</w:t>
      </w:r>
      <w:r w:rsidR="006B52B8">
        <w:rPr>
          <w:rFonts w:ascii="Times New Roman" w:hAnsi="Times New Roman" w:cs="Times New Roman"/>
        </w:rPr>
        <w:t>05,</w:t>
      </w:r>
      <w:r w:rsidR="00483672" w:rsidRPr="00A40048">
        <w:rPr>
          <w:rFonts w:ascii="Times New Roman" w:hAnsi="Times New Roman" w:cs="Times New Roman"/>
        </w:rPr>
        <w:t xml:space="preserve"> dove </w:t>
      </w:r>
      <w:r w:rsidR="00510935" w:rsidRPr="00A40048">
        <w:rPr>
          <w:rFonts w:ascii="Times New Roman" w:hAnsi="Times New Roman" w:cs="Times New Roman"/>
        </w:rPr>
        <w:t>il problema del</w:t>
      </w:r>
      <w:r w:rsidR="007F2DFC" w:rsidRPr="00A40048">
        <w:rPr>
          <w:rFonts w:ascii="Times New Roman" w:hAnsi="Times New Roman" w:cs="Times New Roman"/>
        </w:rPr>
        <w:t xml:space="preserve"> nulla, dell’auto</w:t>
      </w:r>
      <w:r w:rsidR="004F6642" w:rsidRPr="00A40048">
        <w:rPr>
          <w:rFonts w:ascii="Times New Roman" w:hAnsi="Times New Roman" w:cs="Times New Roman"/>
        </w:rPr>
        <w:t>movimento del contenuto</w:t>
      </w:r>
      <w:r w:rsidR="007F2DFC" w:rsidRPr="00A40048">
        <w:rPr>
          <w:rFonts w:ascii="Times New Roman" w:hAnsi="Times New Roman" w:cs="Times New Roman"/>
        </w:rPr>
        <w:t xml:space="preserve"> assoluto</w:t>
      </w:r>
      <w:r w:rsidR="004F6642" w:rsidRPr="00A40048">
        <w:rPr>
          <w:rFonts w:ascii="Times New Roman" w:hAnsi="Times New Roman" w:cs="Times New Roman"/>
        </w:rPr>
        <w:t xml:space="preserve"> </w:t>
      </w:r>
      <w:r w:rsidR="00510935" w:rsidRPr="00A40048">
        <w:rPr>
          <w:rFonts w:ascii="Times New Roman" w:hAnsi="Times New Roman" w:cs="Times New Roman"/>
        </w:rPr>
        <w:t xml:space="preserve">e della forma </w:t>
      </w:r>
      <w:r w:rsidR="00A62CB3" w:rsidRPr="00A40048">
        <w:rPr>
          <w:rFonts w:ascii="Times New Roman" w:hAnsi="Times New Roman" w:cs="Times New Roman"/>
        </w:rPr>
        <w:t xml:space="preserve">aderente al </w:t>
      </w:r>
      <w:r w:rsidR="004F6642" w:rsidRPr="00A40048">
        <w:rPr>
          <w:rFonts w:ascii="Times New Roman" w:hAnsi="Times New Roman" w:cs="Times New Roman"/>
        </w:rPr>
        <w:t xml:space="preserve">farsi </w:t>
      </w:r>
      <w:r w:rsidR="00F736DA" w:rsidRPr="00A40048">
        <w:rPr>
          <w:rFonts w:ascii="Times New Roman" w:hAnsi="Times New Roman" w:cs="Times New Roman"/>
        </w:rPr>
        <w:t xml:space="preserve">incondizionato </w:t>
      </w:r>
      <w:r w:rsidR="004F6642" w:rsidRPr="00A40048">
        <w:rPr>
          <w:rFonts w:ascii="Times New Roman" w:hAnsi="Times New Roman" w:cs="Times New Roman"/>
        </w:rPr>
        <w:t>dell</w:t>
      </w:r>
      <w:r w:rsidR="007F2DFC" w:rsidRPr="00A40048">
        <w:rPr>
          <w:rFonts w:ascii="Times New Roman" w:hAnsi="Times New Roman" w:cs="Times New Roman"/>
        </w:rPr>
        <w:t>o stesso</w:t>
      </w:r>
      <w:r w:rsidR="00B233CC" w:rsidRPr="00A40048">
        <w:rPr>
          <w:rFonts w:ascii="Times New Roman" w:hAnsi="Times New Roman" w:cs="Times New Roman"/>
        </w:rPr>
        <w:t xml:space="preserve"> </w:t>
      </w:r>
      <w:r w:rsidR="00A40048" w:rsidRPr="00A40048">
        <w:rPr>
          <w:rFonts w:ascii="Times New Roman" w:hAnsi="Times New Roman" w:cs="Times New Roman"/>
        </w:rPr>
        <w:t xml:space="preserve">ricevono </w:t>
      </w:r>
      <w:r w:rsidR="00510935" w:rsidRPr="00A40048">
        <w:rPr>
          <w:rFonts w:ascii="Times New Roman" w:hAnsi="Times New Roman" w:cs="Times New Roman"/>
        </w:rPr>
        <w:t xml:space="preserve">una nuova </w:t>
      </w:r>
      <w:r w:rsidR="00F736DA" w:rsidRPr="00A40048">
        <w:rPr>
          <w:rFonts w:ascii="Times New Roman" w:hAnsi="Times New Roman" w:cs="Times New Roman"/>
        </w:rPr>
        <w:t>impostazione e</w:t>
      </w:r>
      <w:r w:rsidR="0051093E" w:rsidRPr="00A40048">
        <w:rPr>
          <w:rFonts w:ascii="Times New Roman" w:hAnsi="Times New Roman" w:cs="Times New Roman"/>
        </w:rPr>
        <w:t xml:space="preserve"> un’</w:t>
      </w:r>
      <w:r w:rsidR="00F736DA" w:rsidRPr="00A40048">
        <w:rPr>
          <w:rFonts w:ascii="Times New Roman" w:hAnsi="Times New Roman" w:cs="Times New Roman"/>
        </w:rPr>
        <w:t>ulteriore</w:t>
      </w:r>
      <w:r w:rsidR="0051093E" w:rsidRPr="00A40048">
        <w:rPr>
          <w:rFonts w:ascii="Times New Roman" w:hAnsi="Times New Roman" w:cs="Times New Roman"/>
        </w:rPr>
        <w:t xml:space="preserve"> </w:t>
      </w:r>
      <w:r w:rsidR="0051093E" w:rsidRPr="006B52B8">
        <w:rPr>
          <w:rFonts w:ascii="Times New Roman" w:hAnsi="Times New Roman" w:cs="Times New Roman"/>
        </w:rPr>
        <w:t xml:space="preserve">disamina. </w:t>
      </w:r>
      <w:r w:rsidR="00B233CC" w:rsidRPr="006B52B8">
        <w:rPr>
          <w:rFonts w:ascii="Times New Roman" w:hAnsi="Times New Roman" w:cs="Times New Roman"/>
        </w:rPr>
        <w:t>Al pari</w:t>
      </w:r>
      <w:r w:rsidR="00B233CC" w:rsidRPr="00A40048">
        <w:rPr>
          <w:rFonts w:ascii="Times New Roman" w:hAnsi="Times New Roman" w:cs="Times New Roman"/>
        </w:rPr>
        <w:t xml:space="preserve"> del </w:t>
      </w:r>
      <w:r w:rsidR="00B233CC" w:rsidRPr="00A40048">
        <w:rPr>
          <w:rFonts w:ascii="Times New Roman" w:hAnsi="Times New Roman" w:cs="Times New Roman"/>
          <w:i/>
        </w:rPr>
        <w:t>Fragment 49</w:t>
      </w:r>
      <w:r w:rsidR="00B233CC" w:rsidRPr="00A40048">
        <w:rPr>
          <w:rFonts w:ascii="Times New Roman" w:hAnsi="Times New Roman" w:cs="Times New Roman"/>
        </w:rPr>
        <w:t xml:space="preserve"> s</w:t>
      </w:r>
      <w:r w:rsidR="00BE5775" w:rsidRPr="00A40048">
        <w:rPr>
          <w:rFonts w:ascii="Times New Roman" w:hAnsi="Times New Roman" w:cs="Times New Roman"/>
        </w:rPr>
        <w:t xml:space="preserve">arà nostro </w:t>
      </w:r>
      <w:r w:rsidR="00C87F78" w:rsidRPr="00A40048">
        <w:rPr>
          <w:rFonts w:ascii="Times New Roman" w:hAnsi="Times New Roman" w:cs="Times New Roman"/>
        </w:rPr>
        <w:t>compito</w:t>
      </w:r>
      <w:r w:rsidR="00301C3C" w:rsidRPr="00A40048">
        <w:rPr>
          <w:rFonts w:ascii="Times New Roman" w:hAnsi="Times New Roman" w:cs="Times New Roman"/>
        </w:rPr>
        <w:t xml:space="preserve"> </w:t>
      </w:r>
      <w:r w:rsidR="008F1068" w:rsidRPr="00A40048">
        <w:rPr>
          <w:rFonts w:ascii="Times New Roman" w:hAnsi="Times New Roman" w:cs="Times New Roman"/>
        </w:rPr>
        <w:t>sottolineare</w:t>
      </w:r>
      <w:r w:rsidR="00B233CC" w:rsidRPr="00A40048">
        <w:rPr>
          <w:rFonts w:ascii="Times New Roman" w:hAnsi="Times New Roman" w:cs="Times New Roman"/>
        </w:rPr>
        <w:t xml:space="preserve"> </w:t>
      </w:r>
      <w:r w:rsidR="003F3A5B" w:rsidRPr="00A40048">
        <w:rPr>
          <w:rFonts w:ascii="Times New Roman" w:hAnsi="Times New Roman" w:cs="Times New Roman"/>
        </w:rPr>
        <w:t xml:space="preserve">l’intrecciarsi </w:t>
      </w:r>
      <w:r w:rsidR="003F3A5B" w:rsidRPr="000302B7">
        <w:rPr>
          <w:rFonts w:ascii="Times New Roman" w:hAnsi="Times New Roman" w:cs="Times New Roman"/>
        </w:rPr>
        <w:t>del</w:t>
      </w:r>
      <w:r w:rsidR="004A5E4C" w:rsidRPr="000302B7">
        <w:rPr>
          <w:rFonts w:ascii="Times New Roman" w:hAnsi="Times New Roman" w:cs="Times New Roman"/>
        </w:rPr>
        <w:t xml:space="preserve">lo svolgimento logico-metafisico </w:t>
      </w:r>
      <w:r w:rsidR="008F1068" w:rsidRPr="000302B7">
        <w:rPr>
          <w:rFonts w:ascii="Times New Roman" w:hAnsi="Times New Roman" w:cs="Times New Roman"/>
        </w:rPr>
        <w:t xml:space="preserve">con </w:t>
      </w:r>
      <w:r w:rsidR="001C5D04" w:rsidRPr="000302B7">
        <w:rPr>
          <w:rFonts w:ascii="Times New Roman" w:hAnsi="Times New Roman" w:cs="Times New Roman"/>
        </w:rPr>
        <w:t>alcun</w:t>
      </w:r>
      <w:r w:rsidR="00DB1C10" w:rsidRPr="000302B7">
        <w:rPr>
          <w:rFonts w:ascii="Times New Roman" w:hAnsi="Times New Roman" w:cs="Times New Roman"/>
        </w:rPr>
        <w:t xml:space="preserve">e nozioni </w:t>
      </w:r>
      <w:r w:rsidR="004A5E4C" w:rsidRPr="000302B7">
        <w:rPr>
          <w:rFonts w:ascii="Times New Roman" w:hAnsi="Times New Roman" w:cs="Times New Roman"/>
        </w:rPr>
        <w:t xml:space="preserve">tratte </w:t>
      </w:r>
      <w:r w:rsidR="00DB1C10" w:rsidRPr="000302B7">
        <w:rPr>
          <w:rFonts w:ascii="Times New Roman" w:hAnsi="Times New Roman" w:cs="Times New Roman"/>
        </w:rPr>
        <w:t>da</w:t>
      </w:r>
      <w:r w:rsidR="008F1068" w:rsidRPr="000302B7">
        <w:rPr>
          <w:rFonts w:ascii="Times New Roman" w:hAnsi="Times New Roman" w:cs="Times New Roman"/>
        </w:rPr>
        <w:t>l</w:t>
      </w:r>
      <w:r w:rsidR="003E2FC0" w:rsidRPr="000302B7">
        <w:rPr>
          <w:rFonts w:ascii="Times New Roman" w:hAnsi="Times New Roman" w:cs="Times New Roman"/>
        </w:rPr>
        <w:t xml:space="preserve"> pensiero</w:t>
      </w:r>
      <w:r w:rsidR="008F1068" w:rsidRPr="000302B7">
        <w:rPr>
          <w:rFonts w:ascii="Times New Roman" w:hAnsi="Times New Roman" w:cs="Times New Roman"/>
        </w:rPr>
        <w:t xml:space="preserve"> </w:t>
      </w:r>
      <w:r w:rsidR="004A5E4C" w:rsidRPr="000302B7">
        <w:rPr>
          <w:rFonts w:ascii="Times New Roman" w:hAnsi="Times New Roman" w:cs="Times New Roman"/>
        </w:rPr>
        <w:t>böhmi</w:t>
      </w:r>
      <w:r w:rsidR="003E2FC0" w:rsidRPr="000302B7">
        <w:rPr>
          <w:rFonts w:ascii="Times New Roman" w:hAnsi="Times New Roman" w:cs="Times New Roman"/>
        </w:rPr>
        <w:t>ano</w:t>
      </w:r>
      <w:r w:rsidR="008F1068" w:rsidRPr="000302B7">
        <w:rPr>
          <w:rFonts w:ascii="Times New Roman" w:hAnsi="Times New Roman" w:cs="Times New Roman"/>
        </w:rPr>
        <w:t>.</w:t>
      </w:r>
      <w:r w:rsidR="0006313F" w:rsidRPr="000302B7">
        <w:rPr>
          <w:rFonts w:ascii="Times New Roman" w:hAnsi="Times New Roman" w:cs="Times New Roman"/>
        </w:rPr>
        <w:t xml:space="preserve"> </w:t>
      </w:r>
      <w:r w:rsidR="00B233CC" w:rsidRPr="000302B7">
        <w:rPr>
          <w:rFonts w:ascii="Times New Roman" w:hAnsi="Times New Roman" w:cs="Times New Roman"/>
        </w:rPr>
        <w:t>Anche in questa cornice teorica – per molte ragio</w:t>
      </w:r>
      <w:r w:rsidR="00B233CC" w:rsidRPr="007F5DD9">
        <w:rPr>
          <w:rFonts w:ascii="Times New Roman" w:hAnsi="Times New Roman" w:cs="Times New Roman"/>
        </w:rPr>
        <w:t>ni contigua alla bö</w:t>
      </w:r>
      <w:r w:rsidR="00642BF3" w:rsidRPr="007F5DD9">
        <w:rPr>
          <w:rFonts w:ascii="Times New Roman" w:hAnsi="Times New Roman" w:cs="Times New Roman"/>
        </w:rPr>
        <w:t xml:space="preserve">hmiana </w:t>
      </w:r>
      <w:r w:rsidR="002C503D" w:rsidRPr="007F5DD9">
        <w:rPr>
          <w:rFonts w:ascii="Times New Roman" w:hAnsi="Times New Roman" w:cs="Times New Roman"/>
        </w:rPr>
        <w:t>“</w:t>
      </w:r>
      <w:r w:rsidR="00642BF3" w:rsidRPr="007F5DD9">
        <w:rPr>
          <w:rFonts w:ascii="Times New Roman" w:hAnsi="Times New Roman" w:cs="Times New Roman"/>
        </w:rPr>
        <w:t>immagine di sistema</w:t>
      </w:r>
      <w:r w:rsidR="002C503D" w:rsidRPr="007F5DD9">
        <w:rPr>
          <w:rFonts w:ascii="Times New Roman" w:hAnsi="Times New Roman" w:cs="Times New Roman"/>
        </w:rPr>
        <w:t>”</w:t>
      </w:r>
      <w:r w:rsidR="00642BF3" w:rsidRPr="007F5DD9">
        <w:rPr>
          <w:rFonts w:ascii="Times New Roman" w:hAnsi="Times New Roman" w:cs="Times New Roman"/>
        </w:rPr>
        <w:t xml:space="preserve"> dello </w:t>
      </w:r>
      <w:r w:rsidR="00642BF3" w:rsidRPr="007F5DD9">
        <w:rPr>
          <w:rFonts w:ascii="Times New Roman" w:hAnsi="Times New Roman" w:cs="Times New Roman"/>
          <w:i/>
        </w:rPr>
        <w:t>Jena Wastebook</w:t>
      </w:r>
      <w:r w:rsidR="00642BF3" w:rsidRPr="007F5DD9">
        <w:rPr>
          <w:rFonts w:ascii="Times New Roman" w:hAnsi="Times New Roman" w:cs="Times New Roman"/>
        </w:rPr>
        <w:t xml:space="preserve"> </w:t>
      </w:r>
      <w:r w:rsidR="00B233CC" w:rsidRPr="007F5DD9">
        <w:rPr>
          <w:rFonts w:ascii="Times New Roman" w:hAnsi="Times New Roman" w:cs="Times New Roman"/>
        </w:rPr>
        <w:t>– sarà possibile saggiare l’apporto del ciabattino di Görlitz nella formulazione hegeliana di una teoria dell’Assoluto</w:t>
      </w:r>
      <w:r w:rsidR="007077F2" w:rsidRPr="007F5DD9">
        <w:rPr>
          <w:rFonts w:ascii="Times New Roman" w:hAnsi="Times New Roman" w:cs="Times New Roman"/>
        </w:rPr>
        <w:t xml:space="preserve"> </w:t>
      </w:r>
      <w:r w:rsidR="008C1734" w:rsidRPr="007F5DD9">
        <w:rPr>
          <w:rFonts w:ascii="Times New Roman" w:hAnsi="Times New Roman" w:cs="Times New Roman"/>
        </w:rPr>
        <w:t xml:space="preserve">ad un tempo </w:t>
      </w:r>
      <w:r w:rsidR="007F5DD9" w:rsidRPr="007F5DD9">
        <w:rPr>
          <w:rFonts w:ascii="Times New Roman" w:hAnsi="Times New Roman" w:cs="Times New Roman"/>
        </w:rPr>
        <w:t>alterna</w:t>
      </w:r>
      <w:r w:rsidR="007077F2" w:rsidRPr="007F5DD9">
        <w:rPr>
          <w:rFonts w:ascii="Times New Roman" w:hAnsi="Times New Roman" w:cs="Times New Roman"/>
        </w:rPr>
        <w:t>tiva e complementare all’</w:t>
      </w:r>
      <w:r w:rsidR="007077F2" w:rsidRPr="007F5DD9">
        <w:rPr>
          <w:rFonts w:ascii="Times New Roman" w:hAnsi="Times New Roman" w:cs="Times New Roman"/>
          <w:i/>
        </w:rPr>
        <w:t>Identit</w:t>
      </w:r>
      <w:r w:rsidR="00F03190" w:rsidRPr="007F5DD9">
        <w:rPr>
          <w:rFonts w:ascii="Times New Roman" w:hAnsi="Times New Roman" w:cs="Times New Roman"/>
          <w:i/>
        </w:rPr>
        <w:t>ätsphilosophie</w:t>
      </w:r>
      <w:r w:rsidR="00B233CC" w:rsidRPr="007F5DD9">
        <w:rPr>
          <w:rFonts w:ascii="Times New Roman" w:hAnsi="Times New Roman" w:cs="Times New Roman"/>
        </w:rPr>
        <w:t>.</w:t>
      </w:r>
      <w:r w:rsidR="00B233CC">
        <w:rPr>
          <w:rFonts w:ascii="Times New Roman" w:hAnsi="Times New Roman" w:cs="Times New Roman"/>
        </w:rPr>
        <w:t xml:space="preserve"> </w:t>
      </w:r>
    </w:p>
    <w:p w14:paraId="3A8B4117" w14:textId="7E83528F" w:rsidR="002D3FD0" w:rsidRPr="002B0349" w:rsidRDefault="008F1068" w:rsidP="002C503D">
      <w:pPr>
        <w:spacing w:line="360" w:lineRule="auto"/>
        <w:ind w:firstLine="567"/>
        <w:jc w:val="both"/>
        <w:rPr>
          <w:rFonts w:ascii="Times New Roman" w:hAnsi="Times New Roman" w:cs="Times New Roman"/>
        </w:rPr>
      </w:pPr>
      <w:r w:rsidRPr="009D28CE">
        <w:rPr>
          <w:rFonts w:ascii="Times New Roman" w:hAnsi="Times New Roman" w:cs="Times New Roman"/>
        </w:rPr>
        <w:t>Ma partiamo con ordine e vediamo dapprima l’analisi ricevuta dal nulla nella</w:t>
      </w:r>
      <w:r w:rsidR="00642BF3">
        <w:rPr>
          <w:rFonts w:ascii="Times New Roman" w:hAnsi="Times New Roman" w:cs="Times New Roman"/>
          <w:i/>
        </w:rPr>
        <w:t xml:space="preserve"> </w:t>
      </w:r>
      <w:r w:rsidR="00642BF3">
        <w:rPr>
          <w:rFonts w:ascii="Times New Roman" w:hAnsi="Times New Roman" w:cs="Times New Roman"/>
        </w:rPr>
        <w:t>logica di Jena</w:t>
      </w:r>
      <w:r w:rsidRPr="009D28CE">
        <w:rPr>
          <w:rFonts w:ascii="Times New Roman" w:hAnsi="Times New Roman" w:cs="Times New Roman"/>
        </w:rPr>
        <w:t>, precisamente nell</w:t>
      </w:r>
      <w:r w:rsidR="00F736DA" w:rsidRPr="009D28CE">
        <w:rPr>
          <w:rFonts w:ascii="Times New Roman" w:hAnsi="Times New Roman" w:cs="Times New Roman"/>
        </w:rPr>
        <w:t>a sezione dedicata al</w:t>
      </w:r>
      <w:r w:rsidRPr="009D28CE">
        <w:rPr>
          <w:rFonts w:ascii="Times New Roman" w:hAnsi="Times New Roman" w:cs="Times New Roman"/>
        </w:rPr>
        <w:t>l’</w:t>
      </w:r>
      <w:r w:rsidRPr="009D28CE">
        <w:rPr>
          <w:rFonts w:ascii="Times New Roman" w:hAnsi="Times New Roman" w:cs="Times New Roman"/>
          <w:i/>
        </w:rPr>
        <w:t>einfache Beziehung</w:t>
      </w:r>
      <w:r w:rsidRPr="009D28CE">
        <w:rPr>
          <w:rFonts w:ascii="Times New Roman" w:hAnsi="Times New Roman" w:cs="Times New Roman"/>
        </w:rPr>
        <w:t>. Dopo aver criticato la concezione d</w:t>
      </w:r>
      <w:r w:rsidR="00642BF3">
        <w:rPr>
          <w:rFonts w:ascii="Times New Roman" w:hAnsi="Times New Roman" w:cs="Times New Roman"/>
        </w:rPr>
        <w:t>ell</w:t>
      </w:r>
      <w:r w:rsidRPr="009D28CE">
        <w:rPr>
          <w:rFonts w:ascii="Times New Roman" w:hAnsi="Times New Roman" w:cs="Times New Roman"/>
        </w:rPr>
        <w:t xml:space="preserve">’infinito di matrice fichtiana, che ha </w:t>
      </w:r>
      <w:r w:rsidRPr="00C74993">
        <w:rPr>
          <w:rFonts w:ascii="Times New Roman" w:hAnsi="Times New Roman" w:cs="Times New Roman"/>
        </w:rPr>
        <w:t xml:space="preserve">«ihre Vervollständigung </w:t>
      </w:r>
      <w:r w:rsidR="00304F9A" w:rsidRPr="00C74993">
        <w:rPr>
          <w:rFonts w:ascii="Times New Roman" w:hAnsi="Times New Roman" w:cs="Times New Roman"/>
        </w:rPr>
        <w:t>in einem anderen aber diß andere immer ausser sich</w:t>
      </w:r>
      <w:r w:rsidR="00304F9A" w:rsidRPr="00C74993">
        <w:rPr>
          <w:rFonts w:ascii="Times New Roman" w:eastAsia="Times New Roman" w:hAnsi="Times New Roman" w:cs="Times New Roman"/>
          <w:color w:val="000000"/>
        </w:rPr>
        <w:t>»</w:t>
      </w:r>
      <w:r w:rsidR="00304F9A" w:rsidRPr="009D28CE">
        <w:rPr>
          <w:rStyle w:val="Rimandonotaapidipagina"/>
          <w:rFonts w:ascii="Times New Roman" w:hAnsi="Times New Roman" w:cs="Times New Roman"/>
        </w:rPr>
        <w:footnoteReference w:id="171"/>
      </w:r>
      <w:r w:rsidR="00304F9A" w:rsidRPr="009D28CE">
        <w:rPr>
          <w:rFonts w:ascii="Times New Roman" w:eastAsia="Times New Roman" w:hAnsi="Times New Roman" w:cs="Times New Roman"/>
          <w:color w:val="000000"/>
        </w:rPr>
        <w:t xml:space="preserve">, </w:t>
      </w:r>
      <w:r w:rsidR="00304F9A" w:rsidRPr="009D28CE">
        <w:rPr>
          <w:rFonts w:ascii="Times New Roman" w:hAnsi="Times New Roman" w:cs="Times New Roman"/>
        </w:rPr>
        <w:t>Hegel introduce una nozione d’</w:t>
      </w:r>
      <w:r w:rsidR="00304F9A" w:rsidRPr="009D28CE">
        <w:rPr>
          <w:rFonts w:ascii="Times New Roman" w:hAnsi="Times New Roman" w:cs="Times New Roman"/>
          <w:i/>
        </w:rPr>
        <w:t>Unendlichkeit</w:t>
      </w:r>
      <w:r w:rsidR="0051093E" w:rsidRPr="009D28CE">
        <w:rPr>
          <w:rFonts w:ascii="Times New Roman" w:hAnsi="Times New Roman" w:cs="Times New Roman"/>
        </w:rPr>
        <w:t xml:space="preserve"> in grado </w:t>
      </w:r>
      <w:r w:rsidR="00E46383" w:rsidRPr="009D28CE">
        <w:rPr>
          <w:rFonts w:ascii="Times New Roman" w:hAnsi="Times New Roman" w:cs="Times New Roman"/>
        </w:rPr>
        <w:t>di togliere l’</w:t>
      </w:r>
      <w:r w:rsidR="00F93037" w:rsidRPr="009D28CE">
        <w:rPr>
          <w:rFonts w:ascii="Times New Roman" w:hAnsi="Times New Roman" w:cs="Times New Roman"/>
        </w:rPr>
        <w:t>esteriorità dell’</w:t>
      </w:r>
      <w:r w:rsidR="00E46383" w:rsidRPr="009D28CE">
        <w:rPr>
          <w:rFonts w:ascii="Times New Roman" w:hAnsi="Times New Roman" w:cs="Times New Roman"/>
        </w:rPr>
        <w:t xml:space="preserve">opposizione e </w:t>
      </w:r>
      <w:r w:rsidR="002C503D">
        <w:rPr>
          <w:rFonts w:ascii="Times New Roman" w:hAnsi="Times New Roman" w:cs="Times New Roman"/>
        </w:rPr>
        <w:t xml:space="preserve">d’esprimere </w:t>
      </w:r>
      <w:r w:rsidR="00304F9A" w:rsidRPr="009D28CE">
        <w:rPr>
          <w:rFonts w:ascii="Times New Roman" w:hAnsi="Times New Roman" w:cs="Times New Roman"/>
        </w:rPr>
        <w:t>la funzione</w:t>
      </w:r>
      <w:r w:rsidR="00593480" w:rsidRPr="009D28CE">
        <w:rPr>
          <w:rFonts w:ascii="Times New Roman" w:hAnsi="Times New Roman" w:cs="Times New Roman"/>
        </w:rPr>
        <w:t xml:space="preserve"> speculativa</w:t>
      </w:r>
      <w:r w:rsidR="00304F9A" w:rsidRPr="009D28CE">
        <w:rPr>
          <w:rFonts w:ascii="Times New Roman" w:hAnsi="Times New Roman" w:cs="Times New Roman"/>
        </w:rPr>
        <w:t xml:space="preserve"> dell’opposizione assoluta. In forza dell’</w:t>
      </w:r>
      <w:r w:rsidR="00304F9A" w:rsidRPr="009D28CE">
        <w:rPr>
          <w:rFonts w:ascii="Times New Roman" w:hAnsi="Times New Roman" w:cs="Times New Roman"/>
          <w:i/>
        </w:rPr>
        <w:t>absoluter Gegensatz</w:t>
      </w:r>
      <w:r w:rsidR="00304F9A" w:rsidRPr="009D28CE">
        <w:rPr>
          <w:rFonts w:ascii="Times New Roman" w:hAnsi="Times New Roman" w:cs="Times New Roman"/>
        </w:rPr>
        <w:t>, l’opposizi</w:t>
      </w:r>
      <w:r w:rsidR="00FE7EE1" w:rsidRPr="009D28CE">
        <w:rPr>
          <w:rFonts w:ascii="Times New Roman" w:hAnsi="Times New Roman" w:cs="Times New Roman"/>
        </w:rPr>
        <w:t>one</w:t>
      </w:r>
      <w:r w:rsidR="001F5447" w:rsidRPr="009D28CE">
        <w:rPr>
          <w:rFonts w:ascii="Times New Roman" w:hAnsi="Times New Roman" w:cs="Times New Roman"/>
        </w:rPr>
        <w:t xml:space="preserve"> d’</w:t>
      </w:r>
      <w:r w:rsidR="00304F9A" w:rsidRPr="009D28CE">
        <w:rPr>
          <w:rFonts w:ascii="Times New Roman" w:hAnsi="Times New Roman" w:cs="Times New Roman"/>
        </w:rPr>
        <w:t xml:space="preserve">infinito e finito, d’indeterminato </w:t>
      </w:r>
      <w:r w:rsidR="00593480" w:rsidRPr="009D28CE">
        <w:rPr>
          <w:rFonts w:ascii="Times New Roman" w:hAnsi="Times New Roman" w:cs="Times New Roman"/>
        </w:rPr>
        <w:t>e determinato sono superate</w:t>
      </w:r>
      <w:r w:rsidR="00642BF3">
        <w:rPr>
          <w:rFonts w:ascii="Times New Roman" w:hAnsi="Times New Roman" w:cs="Times New Roman"/>
        </w:rPr>
        <w:t>:</w:t>
      </w:r>
      <w:r w:rsidR="00E822D6" w:rsidRPr="009D28CE">
        <w:rPr>
          <w:rFonts w:ascii="Times New Roman" w:hAnsi="Times New Roman" w:cs="Times New Roman"/>
        </w:rPr>
        <w:t xml:space="preserve"> </w:t>
      </w:r>
      <w:r w:rsidR="00642BF3">
        <w:rPr>
          <w:rFonts w:ascii="Times New Roman" w:hAnsi="Times New Roman" w:cs="Times New Roman"/>
        </w:rPr>
        <w:t>l</w:t>
      </w:r>
      <w:r w:rsidR="00E46383" w:rsidRPr="009D28CE">
        <w:rPr>
          <w:rFonts w:ascii="Times New Roman" w:hAnsi="Times New Roman" w:cs="Times New Roman"/>
        </w:rPr>
        <w:t>’essere del</w:t>
      </w:r>
      <w:r w:rsidR="00413A13" w:rsidRPr="009D28CE">
        <w:rPr>
          <w:rFonts w:ascii="Times New Roman" w:hAnsi="Times New Roman" w:cs="Times New Roman"/>
        </w:rPr>
        <w:t xml:space="preserve"> </w:t>
      </w:r>
      <w:r w:rsidR="00304F9A" w:rsidRPr="009D28CE">
        <w:rPr>
          <w:rFonts w:ascii="Times New Roman" w:hAnsi="Times New Roman" w:cs="Times New Roman"/>
        </w:rPr>
        <w:t xml:space="preserve">finito è </w:t>
      </w:r>
      <w:r w:rsidR="00593480" w:rsidRPr="009D28CE">
        <w:rPr>
          <w:rFonts w:ascii="Times New Roman" w:hAnsi="Times New Roman" w:cs="Times New Roman"/>
        </w:rPr>
        <w:t>il</w:t>
      </w:r>
      <w:r w:rsidR="00E822D6" w:rsidRPr="009D28CE">
        <w:rPr>
          <w:rFonts w:ascii="Times New Roman" w:hAnsi="Times New Roman" w:cs="Times New Roman"/>
        </w:rPr>
        <w:t xml:space="preserve"> suo</w:t>
      </w:r>
      <w:r w:rsidR="00593480" w:rsidRPr="009D28CE">
        <w:rPr>
          <w:rFonts w:ascii="Times New Roman" w:hAnsi="Times New Roman" w:cs="Times New Roman"/>
        </w:rPr>
        <w:t xml:space="preserve"> togliersi </w:t>
      </w:r>
      <w:r w:rsidR="002D3FD0" w:rsidRPr="009D28CE">
        <w:rPr>
          <w:rFonts w:ascii="Times New Roman" w:hAnsi="Times New Roman" w:cs="Times New Roman"/>
        </w:rPr>
        <w:t>e</w:t>
      </w:r>
      <w:r w:rsidR="00593480" w:rsidRPr="009D28CE">
        <w:rPr>
          <w:rFonts w:ascii="Times New Roman" w:hAnsi="Times New Roman" w:cs="Times New Roman"/>
        </w:rPr>
        <w:t xml:space="preserve"> il suo </w:t>
      </w:r>
      <w:r w:rsidR="00C703CE" w:rsidRPr="009D28CE">
        <w:rPr>
          <w:rFonts w:ascii="Times New Roman" w:hAnsi="Times New Roman" w:cs="Times New Roman"/>
        </w:rPr>
        <w:t>diventare</w:t>
      </w:r>
      <w:r w:rsidR="00E46383" w:rsidRPr="009D28CE">
        <w:rPr>
          <w:rFonts w:ascii="Times New Roman" w:hAnsi="Times New Roman" w:cs="Times New Roman"/>
        </w:rPr>
        <w:t xml:space="preserve"> </w:t>
      </w:r>
      <w:r w:rsidR="00413A13" w:rsidRPr="009D28CE">
        <w:rPr>
          <w:rFonts w:ascii="Times New Roman" w:hAnsi="Times New Roman" w:cs="Times New Roman"/>
        </w:rPr>
        <w:t>infinito; i</w:t>
      </w:r>
      <w:r w:rsidR="00304F9A" w:rsidRPr="009D28CE">
        <w:rPr>
          <w:rFonts w:ascii="Times New Roman" w:hAnsi="Times New Roman" w:cs="Times New Roman"/>
        </w:rPr>
        <w:t>n egual modo</w:t>
      </w:r>
      <w:r w:rsidR="002D3FD0" w:rsidRPr="009D28CE">
        <w:rPr>
          <w:rFonts w:ascii="Times New Roman" w:hAnsi="Times New Roman" w:cs="Times New Roman"/>
        </w:rPr>
        <w:t xml:space="preserve">, l’infinito è </w:t>
      </w:r>
      <w:r w:rsidR="002D3FD0" w:rsidRPr="00C74993">
        <w:rPr>
          <w:rFonts w:ascii="Times New Roman" w:hAnsi="Times New Roman" w:cs="Times New Roman"/>
        </w:rPr>
        <w:t>«das Nichts oder das Seyn, die Leerheit überhaupt</w:t>
      </w:r>
      <w:r w:rsidR="002D3FD0" w:rsidRPr="00C74993">
        <w:rPr>
          <w:rFonts w:ascii="Times New Roman" w:eastAsia="Times New Roman" w:hAnsi="Times New Roman" w:cs="Times New Roman"/>
          <w:color w:val="000000"/>
        </w:rPr>
        <w:t>»</w:t>
      </w:r>
      <w:r w:rsidR="002D3FD0" w:rsidRPr="00C74993">
        <w:rPr>
          <w:rFonts w:ascii="Times New Roman" w:hAnsi="Times New Roman" w:cs="Times New Roman"/>
        </w:rPr>
        <w:t>, «das Gegentheil seiner selbst</w:t>
      </w:r>
      <w:r w:rsidR="002D3FD0" w:rsidRPr="00C74993">
        <w:rPr>
          <w:rFonts w:ascii="Times New Roman" w:eastAsia="Times New Roman" w:hAnsi="Times New Roman" w:cs="Times New Roman"/>
          <w:color w:val="000000"/>
        </w:rPr>
        <w:t>»</w:t>
      </w:r>
      <w:r w:rsidR="002D3FD0" w:rsidRPr="00C74993">
        <w:rPr>
          <w:rStyle w:val="Rimandonotaapidipagina"/>
          <w:rFonts w:ascii="Times New Roman" w:eastAsia="Times New Roman" w:hAnsi="Times New Roman" w:cs="Times New Roman"/>
          <w:color w:val="000000"/>
        </w:rPr>
        <w:footnoteReference w:id="172"/>
      </w:r>
      <w:r w:rsidR="00413A13" w:rsidRPr="00C74993">
        <w:rPr>
          <w:rFonts w:ascii="Times New Roman" w:eastAsia="Times New Roman" w:hAnsi="Times New Roman" w:cs="Times New Roman"/>
          <w:color w:val="000000"/>
        </w:rPr>
        <w:t>,</w:t>
      </w:r>
      <w:r w:rsidR="00413A13" w:rsidRPr="009D28CE">
        <w:rPr>
          <w:rFonts w:ascii="Times New Roman" w:eastAsia="Times New Roman" w:hAnsi="Times New Roman" w:cs="Times New Roman"/>
          <w:color w:val="000000"/>
        </w:rPr>
        <w:t xml:space="preserve"> ossia finito</w:t>
      </w:r>
      <w:r w:rsidR="003554E9" w:rsidRPr="009D28CE">
        <w:rPr>
          <w:rFonts w:ascii="Times New Roman" w:eastAsia="Times New Roman" w:hAnsi="Times New Roman" w:cs="Times New Roman"/>
          <w:color w:val="000000"/>
        </w:rPr>
        <w:t>. In questo essere il c</w:t>
      </w:r>
      <w:r w:rsidR="00565DCF" w:rsidRPr="009D28CE">
        <w:rPr>
          <w:rFonts w:ascii="Times New Roman" w:eastAsia="Times New Roman" w:hAnsi="Times New Roman" w:cs="Times New Roman"/>
          <w:color w:val="000000"/>
        </w:rPr>
        <w:t xml:space="preserve">ontrario di se stesso, il nulla, </w:t>
      </w:r>
      <w:r w:rsidR="00413A13" w:rsidRPr="009D28CE">
        <w:rPr>
          <w:rFonts w:ascii="Times New Roman" w:eastAsia="Times New Roman" w:hAnsi="Times New Roman" w:cs="Times New Roman"/>
          <w:color w:val="000000"/>
        </w:rPr>
        <w:t>o l’essere</w:t>
      </w:r>
      <w:r w:rsidR="00565DCF" w:rsidRPr="009D28CE">
        <w:rPr>
          <w:rFonts w:ascii="Times New Roman" w:eastAsia="Times New Roman" w:hAnsi="Times New Roman" w:cs="Times New Roman"/>
          <w:color w:val="000000"/>
        </w:rPr>
        <w:t>,</w:t>
      </w:r>
      <w:r w:rsidR="00413A13" w:rsidRPr="009D28CE">
        <w:rPr>
          <w:rFonts w:ascii="Times New Roman" w:eastAsia="Times New Roman" w:hAnsi="Times New Roman" w:cs="Times New Roman"/>
          <w:color w:val="000000"/>
        </w:rPr>
        <w:t xml:space="preserve"> </w:t>
      </w:r>
      <w:r w:rsidR="003554E9" w:rsidRPr="009D28CE">
        <w:rPr>
          <w:rFonts w:ascii="Times New Roman" w:eastAsia="Times New Roman" w:hAnsi="Times New Roman" w:cs="Times New Roman"/>
          <w:color w:val="000000"/>
        </w:rPr>
        <w:t xml:space="preserve">è determinatezza che, a sua volta, </w:t>
      </w:r>
      <w:r w:rsidR="001F5447" w:rsidRPr="009D28CE">
        <w:rPr>
          <w:rFonts w:ascii="Times New Roman" w:eastAsia="Times New Roman" w:hAnsi="Times New Roman" w:cs="Times New Roman"/>
          <w:color w:val="000000"/>
        </w:rPr>
        <w:t xml:space="preserve">è </w:t>
      </w:r>
      <w:r w:rsidR="003554E9" w:rsidRPr="009D28CE">
        <w:rPr>
          <w:rFonts w:ascii="Times New Roman" w:eastAsia="Times New Roman" w:hAnsi="Times New Roman" w:cs="Times New Roman"/>
          <w:color w:val="000000"/>
        </w:rPr>
        <w:t>l’altro di se</w:t>
      </w:r>
      <w:r w:rsidR="00E822D6" w:rsidRPr="009D28CE">
        <w:rPr>
          <w:rFonts w:ascii="Times New Roman" w:eastAsia="Times New Roman" w:hAnsi="Times New Roman" w:cs="Times New Roman"/>
          <w:color w:val="000000"/>
        </w:rPr>
        <w:t xml:space="preserve"> stessa, </w:t>
      </w:r>
      <w:r w:rsidR="00FE7EE1" w:rsidRPr="00C74993">
        <w:rPr>
          <w:rFonts w:ascii="Times New Roman" w:eastAsia="Times New Roman" w:hAnsi="Times New Roman" w:cs="Times New Roman"/>
          <w:color w:val="000000"/>
        </w:rPr>
        <w:t>«das Nichts»</w:t>
      </w:r>
      <w:r w:rsidR="00FE7EE1" w:rsidRPr="00C74993">
        <w:rPr>
          <w:rStyle w:val="Rimandonotaapidipagina"/>
          <w:rFonts w:ascii="Times New Roman" w:eastAsia="Times New Roman" w:hAnsi="Times New Roman" w:cs="Times New Roman"/>
          <w:color w:val="000000"/>
        </w:rPr>
        <w:footnoteReference w:id="173"/>
      </w:r>
      <w:r w:rsidR="003554E9" w:rsidRPr="00C74993">
        <w:rPr>
          <w:rFonts w:ascii="Times New Roman" w:eastAsia="Times New Roman" w:hAnsi="Times New Roman" w:cs="Times New Roman"/>
          <w:color w:val="000000"/>
        </w:rPr>
        <w:t>:</w:t>
      </w:r>
      <w:r w:rsidR="003554E9">
        <w:rPr>
          <w:rFonts w:ascii="Times New Roman" w:eastAsia="Times New Roman" w:hAnsi="Times New Roman" w:cs="Times New Roman"/>
          <w:color w:val="000000"/>
        </w:rPr>
        <w:t xml:space="preserve"> </w:t>
      </w:r>
    </w:p>
    <w:p w14:paraId="5089366E" w14:textId="77777777" w:rsidR="003554E9" w:rsidRDefault="003554E9" w:rsidP="00654608">
      <w:pPr>
        <w:spacing w:line="360" w:lineRule="auto"/>
        <w:ind w:firstLine="567"/>
        <w:jc w:val="both"/>
        <w:rPr>
          <w:rFonts w:ascii="Times New Roman" w:eastAsia="Times New Roman" w:hAnsi="Times New Roman" w:cs="Times New Roman"/>
          <w:color w:val="000000"/>
        </w:rPr>
      </w:pPr>
    </w:p>
    <w:p w14:paraId="21FF51AA" w14:textId="1B7C4F64" w:rsidR="003554E9" w:rsidRPr="00570FAB" w:rsidRDefault="00891D80" w:rsidP="00375940">
      <w:pPr>
        <w:spacing w:line="360" w:lineRule="auto"/>
        <w:ind w:left="708" w:firstLine="567"/>
        <w:jc w:val="both"/>
        <w:rPr>
          <w:rFonts w:ascii="Times New Roman" w:hAnsi="Times New Roman" w:cs="Times New Roman"/>
          <w:sz w:val="20"/>
          <w:szCs w:val="20"/>
        </w:rPr>
      </w:pPr>
      <w:r w:rsidRPr="00570FAB">
        <w:rPr>
          <w:rFonts w:ascii="Times New Roman" w:eastAsia="Times New Roman" w:hAnsi="Times New Roman" w:cs="Times New Roman"/>
          <w:color w:val="000000"/>
          <w:sz w:val="20"/>
          <w:szCs w:val="20"/>
        </w:rPr>
        <w:t>«</w:t>
      </w:r>
      <w:r w:rsidR="003554E9" w:rsidRPr="00570FAB">
        <w:rPr>
          <w:rFonts w:ascii="Times New Roman" w:eastAsia="Times New Roman" w:hAnsi="Times New Roman" w:cs="Times New Roman"/>
          <w:color w:val="000000"/>
          <w:sz w:val="20"/>
          <w:szCs w:val="20"/>
        </w:rPr>
        <w:t xml:space="preserve">Die Unendlichkeit ist in dieser Unmittelbarkeit, des anderssein und des andersseyns </w:t>
      </w:r>
      <w:r w:rsidRPr="00570FAB">
        <w:rPr>
          <w:rFonts w:ascii="Times New Roman" w:eastAsia="Times New Roman" w:hAnsi="Times New Roman" w:cs="Times New Roman"/>
          <w:color w:val="000000"/>
          <w:sz w:val="20"/>
          <w:szCs w:val="20"/>
        </w:rPr>
        <w:t>dieses anders, oder wieder das erste seyn, der duplicis negationis, die wieder affirmatio ist, einfache Beziehung, in ihrer absolute Ungleichheit sich selbst gleich; denn das ungleiche, oder das andere</w:t>
      </w:r>
      <w:r w:rsidR="00E822D6" w:rsidRPr="00570FAB">
        <w:rPr>
          <w:rFonts w:ascii="Times New Roman" w:eastAsia="Times New Roman" w:hAnsi="Times New Roman" w:cs="Times New Roman"/>
          <w:color w:val="000000"/>
          <w:sz w:val="20"/>
          <w:szCs w:val="20"/>
        </w:rPr>
        <w:t xml:space="preserve"> i</w:t>
      </w:r>
      <w:r w:rsidRPr="00570FAB">
        <w:rPr>
          <w:rFonts w:ascii="Times New Roman" w:eastAsia="Times New Roman" w:hAnsi="Times New Roman" w:cs="Times New Roman"/>
          <w:color w:val="000000"/>
          <w:sz w:val="20"/>
          <w:szCs w:val="20"/>
        </w:rPr>
        <w:t>st ebenso unmittelbar als seinem Wesen nach ein anderes das andere seiner selbst»</w:t>
      </w:r>
      <w:r w:rsidRPr="00570FAB">
        <w:rPr>
          <w:rStyle w:val="Rimandonotaapidipagina"/>
          <w:rFonts w:ascii="Times New Roman" w:eastAsia="Times New Roman" w:hAnsi="Times New Roman" w:cs="Times New Roman"/>
          <w:color w:val="000000"/>
          <w:sz w:val="20"/>
          <w:szCs w:val="20"/>
        </w:rPr>
        <w:footnoteReference w:id="174"/>
      </w:r>
      <w:r w:rsidR="00156F6E" w:rsidRPr="00570FAB">
        <w:rPr>
          <w:rFonts w:ascii="Times New Roman" w:eastAsia="Times New Roman" w:hAnsi="Times New Roman" w:cs="Times New Roman"/>
          <w:color w:val="000000"/>
          <w:sz w:val="20"/>
          <w:szCs w:val="20"/>
        </w:rPr>
        <w:t>.</w:t>
      </w:r>
    </w:p>
    <w:p w14:paraId="225880CB" w14:textId="77777777" w:rsidR="002D3FD0" w:rsidRPr="00570FAB" w:rsidRDefault="002D3FD0" w:rsidP="00654608">
      <w:pPr>
        <w:spacing w:line="360" w:lineRule="auto"/>
        <w:ind w:firstLine="567"/>
        <w:jc w:val="both"/>
        <w:rPr>
          <w:rFonts w:ascii="Times New Roman" w:hAnsi="Times New Roman" w:cs="Times New Roman"/>
        </w:rPr>
      </w:pPr>
    </w:p>
    <w:p w14:paraId="22487FAF" w14:textId="77178E73" w:rsidR="00AC6AE4" w:rsidRDefault="00304F9A" w:rsidP="00C74993">
      <w:pPr>
        <w:spacing w:line="360" w:lineRule="auto"/>
        <w:ind w:firstLine="567"/>
        <w:jc w:val="both"/>
        <w:rPr>
          <w:rFonts w:ascii="Times New Roman" w:eastAsia="Times New Roman" w:hAnsi="Times New Roman" w:cs="Times New Roman"/>
          <w:color w:val="000000"/>
        </w:rPr>
      </w:pPr>
      <w:r>
        <w:rPr>
          <w:rFonts w:ascii="Times New Roman" w:hAnsi="Times New Roman" w:cs="Times New Roman"/>
        </w:rPr>
        <w:t xml:space="preserve"> </w:t>
      </w:r>
      <w:r w:rsidR="00891D80" w:rsidRPr="00BB796B">
        <w:rPr>
          <w:rFonts w:ascii="Times New Roman" w:hAnsi="Times New Roman" w:cs="Times New Roman"/>
        </w:rPr>
        <w:t xml:space="preserve">L’infinità torna a sé, </w:t>
      </w:r>
      <w:r w:rsidR="00413A13" w:rsidRPr="00BB796B">
        <w:rPr>
          <w:rFonts w:ascii="Times New Roman" w:hAnsi="Times New Roman" w:cs="Times New Roman"/>
        </w:rPr>
        <w:t xml:space="preserve">o </w:t>
      </w:r>
      <w:r w:rsidR="00891D80" w:rsidRPr="00BB796B">
        <w:rPr>
          <w:rFonts w:ascii="Times New Roman" w:hAnsi="Times New Roman" w:cs="Times New Roman"/>
        </w:rPr>
        <w:t>al suo primo essere, passando per l’immediata negazione di sé –</w:t>
      </w:r>
      <w:r w:rsidR="00A9681F" w:rsidRPr="00BB796B">
        <w:rPr>
          <w:rFonts w:ascii="Times New Roman" w:hAnsi="Times New Roman" w:cs="Times New Roman"/>
        </w:rPr>
        <w:t xml:space="preserve"> </w:t>
      </w:r>
      <w:r w:rsidR="00891D80" w:rsidRPr="00BB796B">
        <w:rPr>
          <w:rFonts w:ascii="Times New Roman" w:hAnsi="Times New Roman" w:cs="Times New Roman"/>
          <w:i/>
        </w:rPr>
        <w:t>das Gegenteil seiner selbst</w:t>
      </w:r>
      <w:r w:rsidR="00891D80" w:rsidRPr="00BB796B">
        <w:rPr>
          <w:rFonts w:ascii="Times New Roman" w:hAnsi="Times New Roman" w:cs="Times New Roman"/>
        </w:rPr>
        <w:t xml:space="preserve"> – e superando, tramite una seconda negazione, l</w:t>
      </w:r>
      <w:r w:rsidR="00642BF3" w:rsidRPr="00BB796B">
        <w:rPr>
          <w:rFonts w:ascii="Times New Roman" w:hAnsi="Times New Roman" w:cs="Times New Roman"/>
        </w:rPr>
        <w:t xml:space="preserve">’alterità </w:t>
      </w:r>
      <w:r w:rsidR="00891D80" w:rsidRPr="00BB796B">
        <w:rPr>
          <w:rFonts w:ascii="Times New Roman" w:hAnsi="Times New Roman" w:cs="Times New Roman"/>
        </w:rPr>
        <w:t>risultante dalla sua prima</w:t>
      </w:r>
      <w:r w:rsidR="00A9681F" w:rsidRPr="00BB796B">
        <w:rPr>
          <w:rFonts w:ascii="Times New Roman" w:hAnsi="Times New Roman" w:cs="Times New Roman"/>
        </w:rPr>
        <w:t xml:space="preserve"> negazione</w:t>
      </w:r>
      <w:r w:rsidR="00891D80" w:rsidRPr="00BB796B">
        <w:rPr>
          <w:rFonts w:ascii="Times New Roman" w:hAnsi="Times New Roman" w:cs="Times New Roman"/>
        </w:rPr>
        <w:t xml:space="preserve">. </w:t>
      </w:r>
      <w:r w:rsidR="00642BF3" w:rsidRPr="00BB796B">
        <w:rPr>
          <w:rFonts w:ascii="Times New Roman" w:hAnsi="Times New Roman" w:cs="Times New Roman"/>
        </w:rPr>
        <w:t xml:space="preserve">Recuperando </w:t>
      </w:r>
      <w:r w:rsidR="00A9681F" w:rsidRPr="00BB796B">
        <w:rPr>
          <w:rFonts w:ascii="Times New Roman" w:hAnsi="Times New Roman" w:cs="Times New Roman"/>
        </w:rPr>
        <w:t xml:space="preserve">una </w:t>
      </w:r>
      <w:r w:rsidR="00891D80" w:rsidRPr="00BB796B">
        <w:rPr>
          <w:rFonts w:ascii="Times New Roman" w:hAnsi="Times New Roman" w:cs="Times New Roman"/>
        </w:rPr>
        <w:t xml:space="preserve">formula </w:t>
      </w:r>
      <w:r w:rsidR="00A9681F" w:rsidRPr="00BB796B">
        <w:rPr>
          <w:rFonts w:ascii="Times New Roman" w:hAnsi="Times New Roman" w:cs="Times New Roman"/>
        </w:rPr>
        <w:t xml:space="preserve">già incontrata in </w:t>
      </w:r>
      <w:r w:rsidR="00891D80" w:rsidRPr="00BB796B">
        <w:rPr>
          <w:rFonts w:ascii="Times New Roman" w:hAnsi="Times New Roman" w:cs="Times New Roman"/>
          <w:i/>
        </w:rPr>
        <w:t>Glauben und Wissen</w:t>
      </w:r>
      <w:r w:rsidR="00891D80" w:rsidRPr="00BB796B">
        <w:rPr>
          <w:rFonts w:ascii="Times New Roman" w:hAnsi="Times New Roman" w:cs="Times New Roman"/>
        </w:rPr>
        <w:t xml:space="preserve">, </w:t>
      </w:r>
      <w:r w:rsidR="00C703CE" w:rsidRPr="00BB796B">
        <w:rPr>
          <w:rFonts w:ascii="Times New Roman" w:hAnsi="Times New Roman" w:cs="Times New Roman"/>
        </w:rPr>
        <w:t>l’infinitità</w:t>
      </w:r>
      <w:r w:rsidR="00AD27FC" w:rsidRPr="00BB796B">
        <w:rPr>
          <w:rFonts w:ascii="Times New Roman" w:hAnsi="Times New Roman" w:cs="Times New Roman"/>
        </w:rPr>
        <w:t xml:space="preserve"> </w:t>
      </w:r>
      <w:r w:rsidR="00891D80" w:rsidRPr="00BB796B">
        <w:rPr>
          <w:rFonts w:ascii="Times New Roman" w:hAnsi="Times New Roman" w:cs="Times New Roman"/>
        </w:rPr>
        <w:t xml:space="preserve">è </w:t>
      </w:r>
      <w:r w:rsidR="00891D80" w:rsidRPr="00BB796B">
        <w:rPr>
          <w:rFonts w:ascii="Times New Roman" w:hAnsi="Times New Roman" w:cs="Times New Roman"/>
          <w:i/>
        </w:rPr>
        <w:t xml:space="preserve">absolutes Nichts </w:t>
      </w:r>
      <w:r w:rsidR="00A9681F" w:rsidRPr="00BB796B">
        <w:rPr>
          <w:rFonts w:ascii="Times New Roman" w:hAnsi="Times New Roman" w:cs="Times New Roman"/>
        </w:rPr>
        <w:t xml:space="preserve">nella misura in cui consuma l’esteriorità del proprio </w:t>
      </w:r>
      <w:r w:rsidR="00A9681F" w:rsidRPr="00BB796B">
        <w:rPr>
          <w:rFonts w:ascii="Times New Roman" w:hAnsi="Times New Roman" w:cs="Times New Roman"/>
          <w:i/>
        </w:rPr>
        <w:t>Andersseyn</w:t>
      </w:r>
      <w:r w:rsidR="00642BF3" w:rsidRPr="00BB796B">
        <w:rPr>
          <w:rFonts w:ascii="Times New Roman" w:hAnsi="Times New Roman" w:cs="Times New Roman"/>
        </w:rPr>
        <w:t xml:space="preserve"> e</w:t>
      </w:r>
      <w:r w:rsidR="00A9681F" w:rsidRPr="00BB796B">
        <w:rPr>
          <w:rFonts w:ascii="Times New Roman" w:hAnsi="Times New Roman" w:cs="Times New Roman"/>
        </w:rPr>
        <w:t xml:space="preserve"> </w:t>
      </w:r>
      <w:r w:rsidR="00891D80" w:rsidRPr="00BB796B">
        <w:rPr>
          <w:rFonts w:ascii="Times New Roman" w:hAnsi="Times New Roman" w:cs="Times New Roman"/>
        </w:rPr>
        <w:t xml:space="preserve">afferma </w:t>
      </w:r>
      <w:r w:rsidR="00A9681F" w:rsidRPr="00BB796B">
        <w:rPr>
          <w:rFonts w:ascii="Times New Roman" w:hAnsi="Times New Roman" w:cs="Times New Roman"/>
        </w:rPr>
        <w:t>sé ponendo e togliendo</w:t>
      </w:r>
      <w:r w:rsidR="0004690D" w:rsidRPr="00BB796B">
        <w:rPr>
          <w:rFonts w:ascii="Times New Roman" w:hAnsi="Times New Roman" w:cs="Times New Roman"/>
        </w:rPr>
        <w:t xml:space="preserve"> </w:t>
      </w:r>
      <w:r w:rsidR="00CC0458" w:rsidRPr="00BB796B">
        <w:rPr>
          <w:rFonts w:ascii="Times New Roman" w:hAnsi="Times New Roman" w:cs="Times New Roman"/>
        </w:rPr>
        <w:t>l’opposizione</w:t>
      </w:r>
      <w:r w:rsidR="00593480" w:rsidRPr="00BB796B">
        <w:rPr>
          <w:rFonts w:ascii="Times New Roman" w:hAnsi="Times New Roman" w:cs="Times New Roman"/>
        </w:rPr>
        <w:t xml:space="preserve"> </w:t>
      </w:r>
      <w:r w:rsidR="002F1634" w:rsidRPr="00BB796B">
        <w:rPr>
          <w:rFonts w:ascii="Times New Roman" w:hAnsi="Times New Roman" w:cs="Times New Roman"/>
        </w:rPr>
        <w:t>con l’altro da sé</w:t>
      </w:r>
      <w:r w:rsidR="00AD27FC" w:rsidRPr="00BB796B">
        <w:rPr>
          <w:rFonts w:ascii="Times New Roman" w:hAnsi="Times New Roman" w:cs="Times New Roman"/>
        </w:rPr>
        <w:t xml:space="preserve">. </w:t>
      </w:r>
      <w:r w:rsidR="00454FE7" w:rsidRPr="00BB796B">
        <w:rPr>
          <w:rFonts w:ascii="Times New Roman" w:hAnsi="Times New Roman" w:cs="Times New Roman"/>
        </w:rPr>
        <w:t>Essere tolto</w:t>
      </w:r>
      <w:r w:rsidR="0004690D" w:rsidRPr="00BB796B">
        <w:rPr>
          <w:rFonts w:ascii="Times New Roman" w:hAnsi="Times New Roman" w:cs="Times New Roman"/>
        </w:rPr>
        <w:t xml:space="preserve"> (</w:t>
      </w:r>
      <w:r w:rsidR="0004690D" w:rsidRPr="00BB796B">
        <w:rPr>
          <w:rFonts w:ascii="Times New Roman" w:hAnsi="Times New Roman" w:cs="Times New Roman"/>
          <w:i/>
        </w:rPr>
        <w:t>aufgehoben sein</w:t>
      </w:r>
      <w:r w:rsidR="0004690D" w:rsidRPr="00BB796B">
        <w:rPr>
          <w:rFonts w:ascii="Times New Roman" w:hAnsi="Times New Roman" w:cs="Times New Roman"/>
        </w:rPr>
        <w:t>)</w:t>
      </w:r>
      <w:r w:rsidR="00454FE7" w:rsidRPr="00BB796B">
        <w:rPr>
          <w:rFonts w:ascii="Times New Roman" w:hAnsi="Times New Roman" w:cs="Times New Roman"/>
        </w:rPr>
        <w:t xml:space="preserve"> che non </w:t>
      </w:r>
      <w:r w:rsidR="003A413D" w:rsidRPr="00BB796B">
        <w:rPr>
          <w:rFonts w:ascii="Times New Roman" w:hAnsi="Times New Roman" w:cs="Times New Roman"/>
        </w:rPr>
        <w:t xml:space="preserve">sopprime </w:t>
      </w:r>
      <w:r w:rsidR="00454FE7" w:rsidRPr="00BB796B">
        <w:rPr>
          <w:rFonts w:ascii="Times New Roman" w:hAnsi="Times New Roman" w:cs="Times New Roman"/>
        </w:rPr>
        <w:t>la dis</w:t>
      </w:r>
      <w:r w:rsidR="0004690D" w:rsidRPr="00BB796B">
        <w:rPr>
          <w:rFonts w:ascii="Times New Roman" w:hAnsi="Times New Roman" w:cs="Times New Roman"/>
        </w:rPr>
        <w:t>tinzione dei termini relazionali</w:t>
      </w:r>
      <w:r w:rsidR="003A413D" w:rsidRPr="00BB796B">
        <w:rPr>
          <w:rFonts w:ascii="Times New Roman" w:hAnsi="Times New Roman" w:cs="Times New Roman"/>
        </w:rPr>
        <w:t>, ma che, nella loro identità</w:t>
      </w:r>
      <w:r w:rsidR="00454FE7" w:rsidRPr="00BB796B">
        <w:rPr>
          <w:rFonts w:ascii="Times New Roman" w:hAnsi="Times New Roman" w:cs="Times New Roman"/>
        </w:rPr>
        <w:t xml:space="preserve">, mantiene anche la </w:t>
      </w:r>
      <w:r w:rsidR="004F4CA8" w:rsidRPr="00BB796B">
        <w:rPr>
          <w:rFonts w:ascii="Times New Roman" w:hAnsi="Times New Roman" w:cs="Times New Roman"/>
        </w:rPr>
        <w:t>loro non-</w:t>
      </w:r>
      <w:r w:rsidR="00454FE7" w:rsidRPr="00BB796B">
        <w:rPr>
          <w:rFonts w:ascii="Times New Roman" w:hAnsi="Times New Roman" w:cs="Times New Roman"/>
        </w:rPr>
        <w:t>identità</w:t>
      </w:r>
      <w:r w:rsidR="00642BF3" w:rsidRPr="00BB796B">
        <w:rPr>
          <w:rFonts w:ascii="Times New Roman" w:hAnsi="Times New Roman" w:cs="Times New Roman"/>
        </w:rPr>
        <w:t>:</w:t>
      </w:r>
      <w:r w:rsidR="00642BF3">
        <w:rPr>
          <w:rFonts w:ascii="Times New Roman" w:hAnsi="Times New Roman" w:cs="Times New Roman"/>
        </w:rPr>
        <w:t xml:space="preserve"> </w:t>
      </w:r>
      <w:r w:rsidR="0004690D" w:rsidRPr="00C74993">
        <w:rPr>
          <w:rFonts w:ascii="Times New Roman" w:hAnsi="Times New Roman" w:cs="Times New Roman"/>
        </w:rPr>
        <w:t>«an dem Unendlichen unterscheidet sich seine Einheit, und sein Getrenntseyn, sein absolutes sich selbstgleichseyn, und sein sich absolut ungleichseyn; beydes ist in ihm gesezt worden</w:t>
      </w:r>
      <w:r w:rsidR="0004690D" w:rsidRPr="00C74993">
        <w:rPr>
          <w:rFonts w:ascii="Times New Roman" w:eastAsia="Times New Roman" w:hAnsi="Times New Roman" w:cs="Times New Roman"/>
          <w:color w:val="000000"/>
        </w:rPr>
        <w:t>»</w:t>
      </w:r>
      <w:r w:rsidR="0004690D" w:rsidRPr="00C74993">
        <w:rPr>
          <w:rStyle w:val="Rimandonotaapidipagina"/>
          <w:rFonts w:ascii="Times New Roman" w:eastAsia="Times New Roman" w:hAnsi="Times New Roman" w:cs="Times New Roman"/>
          <w:color w:val="000000"/>
        </w:rPr>
        <w:footnoteReference w:id="175"/>
      </w:r>
      <w:r w:rsidR="00016CD5" w:rsidRPr="00C74993">
        <w:rPr>
          <w:rFonts w:ascii="Times New Roman" w:eastAsia="Times New Roman" w:hAnsi="Times New Roman" w:cs="Times New Roman"/>
          <w:color w:val="000000"/>
        </w:rPr>
        <w:t>.</w:t>
      </w:r>
      <w:r w:rsidR="00016CD5" w:rsidRPr="009D28CE">
        <w:rPr>
          <w:rFonts w:ascii="Times New Roman" w:eastAsia="Times New Roman" w:hAnsi="Times New Roman" w:cs="Times New Roman"/>
          <w:color w:val="000000"/>
        </w:rPr>
        <w:t xml:space="preserve"> </w:t>
      </w:r>
      <w:r w:rsidR="00373DAA" w:rsidRPr="009D28CE">
        <w:rPr>
          <w:rFonts w:ascii="Times New Roman" w:eastAsia="Times New Roman" w:hAnsi="Times New Roman" w:cs="Times New Roman"/>
          <w:color w:val="000000"/>
        </w:rPr>
        <w:t xml:space="preserve">Nella </w:t>
      </w:r>
      <w:r w:rsidR="00233D19" w:rsidRPr="009D28CE">
        <w:rPr>
          <w:rFonts w:ascii="Times New Roman" w:eastAsia="Times New Roman" w:hAnsi="Times New Roman" w:cs="Times New Roman"/>
          <w:color w:val="000000"/>
        </w:rPr>
        <w:t>dinamica realizzativa del</w:t>
      </w:r>
      <w:r w:rsidR="00F129E7" w:rsidRPr="009D28CE">
        <w:rPr>
          <w:rFonts w:ascii="Times New Roman" w:eastAsia="Times New Roman" w:hAnsi="Times New Roman" w:cs="Times New Roman"/>
          <w:color w:val="000000"/>
        </w:rPr>
        <w:t>l’</w:t>
      </w:r>
      <w:r w:rsidR="00F129E7" w:rsidRPr="009D28CE">
        <w:rPr>
          <w:rFonts w:ascii="Times New Roman" w:eastAsia="Times New Roman" w:hAnsi="Times New Roman" w:cs="Times New Roman"/>
          <w:i/>
          <w:color w:val="000000"/>
        </w:rPr>
        <w:t>Unendlichkeit</w:t>
      </w:r>
      <w:r w:rsidR="00373DAA" w:rsidRPr="009D28CE">
        <w:rPr>
          <w:rFonts w:ascii="Times New Roman" w:eastAsia="Times New Roman" w:hAnsi="Times New Roman" w:cs="Times New Roman"/>
          <w:color w:val="000000"/>
        </w:rPr>
        <w:t xml:space="preserve"> fin qui analizzata</w:t>
      </w:r>
      <w:r w:rsidR="00233D19" w:rsidRPr="009D28CE">
        <w:rPr>
          <w:rFonts w:ascii="Times New Roman" w:eastAsia="Times New Roman" w:hAnsi="Times New Roman" w:cs="Times New Roman"/>
          <w:color w:val="000000"/>
        </w:rPr>
        <w:t>, si fa strada l’idea di una forma espositiva del contenu</w:t>
      </w:r>
      <w:r w:rsidR="00413A13" w:rsidRPr="009D28CE">
        <w:rPr>
          <w:rFonts w:ascii="Times New Roman" w:eastAsia="Times New Roman" w:hAnsi="Times New Roman" w:cs="Times New Roman"/>
          <w:color w:val="000000"/>
        </w:rPr>
        <w:t>to conforme all’auto</w:t>
      </w:r>
      <w:r w:rsidR="00233D19" w:rsidRPr="009D28CE">
        <w:rPr>
          <w:rFonts w:ascii="Times New Roman" w:eastAsia="Times New Roman" w:hAnsi="Times New Roman" w:cs="Times New Roman"/>
          <w:color w:val="000000"/>
        </w:rPr>
        <w:t>sviluppo del</w:t>
      </w:r>
      <w:r w:rsidR="00A9681F" w:rsidRPr="009D28CE">
        <w:rPr>
          <w:rFonts w:ascii="Times New Roman" w:eastAsia="Times New Roman" w:hAnsi="Times New Roman" w:cs="Times New Roman"/>
          <w:color w:val="000000"/>
        </w:rPr>
        <w:t xml:space="preserve"> medesimo</w:t>
      </w:r>
      <w:r w:rsidR="007E2CEB" w:rsidRPr="009D28CE">
        <w:rPr>
          <w:rFonts w:ascii="Times New Roman" w:eastAsia="Times New Roman" w:hAnsi="Times New Roman" w:cs="Times New Roman"/>
          <w:color w:val="000000"/>
        </w:rPr>
        <w:t>. La negatività</w:t>
      </w:r>
      <w:r w:rsidR="00233D19" w:rsidRPr="009D28CE">
        <w:rPr>
          <w:rFonts w:ascii="Times New Roman" w:eastAsia="Times New Roman" w:hAnsi="Times New Roman" w:cs="Times New Roman"/>
          <w:color w:val="000000"/>
        </w:rPr>
        <w:t>, ch</w:t>
      </w:r>
      <w:r w:rsidR="00CC0458" w:rsidRPr="009D28CE">
        <w:rPr>
          <w:rFonts w:ascii="Times New Roman" w:eastAsia="Times New Roman" w:hAnsi="Times New Roman" w:cs="Times New Roman"/>
          <w:color w:val="000000"/>
        </w:rPr>
        <w:t>e è anima del</w:t>
      </w:r>
      <w:r w:rsidR="00157E87" w:rsidRPr="009D28CE">
        <w:rPr>
          <w:rFonts w:ascii="Times New Roman" w:eastAsia="Times New Roman" w:hAnsi="Times New Roman" w:cs="Times New Roman"/>
          <w:color w:val="000000"/>
        </w:rPr>
        <w:t>l’incedere</w:t>
      </w:r>
      <w:r w:rsidR="00CC0458" w:rsidRPr="009D28CE">
        <w:rPr>
          <w:rFonts w:ascii="Times New Roman" w:eastAsia="Times New Roman" w:hAnsi="Times New Roman" w:cs="Times New Roman"/>
          <w:color w:val="000000"/>
        </w:rPr>
        <w:t xml:space="preserve"> dialettico</w:t>
      </w:r>
      <w:r w:rsidR="00BE77E8" w:rsidRPr="009D28CE">
        <w:rPr>
          <w:rFonts w:ascii="Times New Roman" w:eastAsia="Times New Roman" w:hAnsi="Times New Roman" w:cs="Times New Roman"/>
          <w:color w:val="000000"/>
        </w:rPr>
        <w:t xml:space="preserve">, è </w:t>
      </w:r>
      <w:r w:rsidR="00F4505D" w:rsidRPr="009D28CE">
        <w:rPr>
          <w:rFonts w:ascii="Times New Roman" w:eastAsia="Times New Roman" w:hAnsi="Times New Roman" w:cs="Times New Roman"/>
          <w:color w:val="000000"/>
        </w:rPr>
        <w:t>forma</w:t>
      </w:r>
      <w:r w:rsidR="00BE77E8" w:rsidRPr="009D28CE">
        <w:rPr>
          <w:rFonts w:ascii="Times New Roman" w:eastAsia="Times New Roman" w:hAnsi="Times New Roman" w:cs="Times New Roman"/>
          <w:color w:val="000000"/>
        </w:rPr>
        <w:t xml:space="preserve"> </w:t>
      </w:r>
      <w:r w:rsidR="00301C3C" w:rsidRPr="009D28CE">
        <w:rPr>
          <w:rFonts w:ascii="Times New Roman" w:eastAsia="Times New Roman" w:hAnsi="Times New Roman" w:cs="Times New Roman"/>
          <w:color w:val="000000"/>
        </w:rPr>
        <w:t xml:space="preserve">espositiva del </w:t>
      </w:r>
      <w:r w:rsidR="00233D19" w:rsidRPr="009D28CE">
        <w:rPr>
          <w:rFonts w:ascii="Times New Roman" w:eastAsia="Times New Roman" w:hAnsi="Times New Roman" w:cs="Times New Roman"/>
          <w:color w:val="000000"/>
        </w:rPr>
        <w:t>contenuto</w:t>
      </w:r>
      <w:r w:rsidR="00301C3C" w:rsidRPr="009D28CE">
        <w:rPr>
          <w:rFonts w:ascii="Times New Roman" w:eastAsia="Times New Roman" w:hAnsi="Times New Roman" w:cs="Times New Roman"/>
          <w:color w:val="000000"/>
        </w:rPr>
        <w:t xml:space="preserve"> ad esso perfettamente aderente</w:t>
      </w:r>
      <w:r w:rsidR="00233D19" w:rsidRPr="009D28CE">
        <w:rPr>
          <w:rFonts w:ascii="Times New Roman" w:eastAsia="Times New Roman" w:hAnsi="Times New Roman" w:cs="Times New Roman"/>
          <w:color w:val="000000"/>
        </w:rPr>
        <w:t>.</w:t>
      </w:r>
      <w:r w:rsidR="00B72511" w:rsidRPr="009D28CE">
        <w:rPr>
          <w:rFonts w:ascii="Times New Roman" w:eastAsia="Times New Roman" w:hAnsi="Times New Roman" w:cs="Times New Roman"/>
          <w:color w:val="000000"/>
        </w:rPr>
        <w:t xml:space="preserve"> </w:t>
      </w:r>
      <w:r w:rsidR="00EC53AB" w:rsidRPr="009D28CE">
        <w:rPr>
          <w:rFonts w:ascii="Times New Roman" w:eastAsia="Times New Roman" w:hAnsi="Times New Roman" w:cs="Times New Roman"/>
          <w:color w:val="000000"/>
        </w:rPr>
        <w:t>L</w:t>
      </w:r>
      <w:r w:rsidR="00157E87" w:rsidRPr="009D28CE">
        <w:rPr>
          <w:rFonts w:ascii="Times New Roman" w:eastAsia="Times New Roman" w:hAnsi="Times New Roman" w:cs="Times New Roman"/>
          <w:color w:val="000000"/>
        </w:rPr>
        <w:t>’infinità del</w:t>
      </w:r>
      <w:r w:rsidR="00B72511" w:rsidRPr="009D28CE">
        <w:rPr>
          <w:rFonts w:ascii="Times New Roman" w:eastAsia="Times New Roman" w:hAnsi="Times New Roman" w:cs="Times New Roman"/>
          <w:color w:val="000000"/>
        </w:rPr>
        <w:t>l’</w:t>
      </w:r>
      <w:r w:rsidR="00B72511" w:rsidRPr="009D28CE">
        <w:rPr>
          <w:rFonts w:ascii="Times New Roman" w:eastAsia="Times New Roman" w:hAnsi="Times New Roman" w:cs="Times New Roman"/>
          <w:i/>
          <w:color w:val="000000"/>
        </w:rPr>
        <w:t>einfache Beziehung</w:t>
      </w:r>
      <w:r w:rsidR="00B72511" w:rsidRPr="009D28CE">
        <w:rPr>
          <w:rFonts w:ascii="Times New Roman" w:eastAsia="Times New Roman" w:hAnsi="Times New Roman" w:cs="Times New Roman"/>
          <w:color w:val="000000"/>
        </w:rPr>
        <w:t xml:space="preserve"> esibisce</w:t>
      </w:r>
      <w:r w:rsidR="00157E87" w:rsidRPr="009D28CE">
        <w:rPr>
          <w:rFonts w:ascii="Times New Roman" w:eastAsia="Times New Roman" w:hAnsi="Times New Roman" w:cs="Times New Roman"/>
          <w:color w:val="000000"/>
        </w:rPr>
        <w:t xml:space="preserve"> </w:t>
      </w:r>
      <w:r w:rsidR="00B72511" w:rsidRPr="009D28CE">
        <w:rPr>
          <w:rFonts w:ascii="Times New Roman" w:eastAsia="Times New Roman" w:hAnsi="Times New Roman" w:cs="Times New Roman"/>
          <w:color w:val="000000"/>
        </w:rPr>
        <w:t>quell’acquisizione metodologica</w:t>
      </w:r>
      <w:r w:rsidR="00157E87" w:rsidRPr="009D28CE">
        <w:rPr>
          <w:rFonts w:ascii="Times New Roman" w:eastAsia="Times New Roman" w:hAnsi="Times New Roman" w:cs="Times New Roman"/>
          <w:color w:val="000000"/>
        </w:rPr>
        <w:t xml:space="preserve"> – la </w:t>
      </w:r>
      <w:r w:rsidR="00157E87" w:rsidRPr="009D28CE">
        <w:rPr>
          <w:rFonts w:ascii="Times New Roman" w:eastAsia="Times New Roman" w:hAnsi="Times New Roman" w:cs="Times New Roman"/>
          <w:i/>
          <w:color w:val="000000"/>
        </w:rPr>
        <w:t>duplicis negationis</w:t>
      </w:r>
      <w:r w:rsidR="00157E87" w:rsidRPr="009D28CE">
        <w:rPr>
          <w:rFonts w:ascii="Times New Roman" w:eastAsia="Times New Roman" w:hAnsi="Times New Roman" w:cs="Times New Roman"/>
          <w:color w:val="000000"/>
        </w:rPr>
        <w:t xml:space="preserve"> – </w:t>
      </w:r>
      <w:r w:rsidR="00B72511" w:rsidRPr="009D28CE">
        <w:rPr>
          <w:rFonts w:ascii="Times New Roman" w:eastAsia="Times New Roman" w:hAnsi="Times New Roman" w:cs="Times New Roman"/>
          <w:color w:val="000000"/>
        </w:rPr>
        <w:t xml:space="preserve">che </w:t>
      </w:r>
      <w:r w:rsidR="00157E87" w:rsidRPr="009D28CE">
        <w:rPr>
          <w:rFonts w:ascii="Times New Roman" w:eastAsia="Times New Roman" w:hAnsi="Times New Roman" w:cs="Times New Roman"/>
          <w:color w:val="000000"/>
        </w:rPr>
        <w:t>contraddistingue la rifondazione hegeliana della dialettica</w:t>
      </w:r>
      <w:r w:rsidR="00A4617B" w:rsidRPr="009D28CE">
        <w:rPr>
          <w:rFonts w:ascii="Times New Roman" w:eastAsia="Times New Roman" w:hAnsi="Times New Roman" w:cs="Times New Roman"/>
          <w:color w:val="000000"/>
        </w:rPr>
        <w:t xml:space="preserve">. </w:t>
      </w:r>
      <w:r w:rsidR="000837F4">
        <w:rPr>
          <w:rFonts w:ascii="Times New Roman" w:eastAsia="Times New Roman" w:hAnsi="Times New Roman" w:cs="Times New Roman"/>
          <w:color w:val="000000"/>
        </w:rPr>
        <w:t>Tuttavia, q</w:t>
      </w:r>
      <w:r w:rsidR="00A4617B" w:rsidRPr="009D28CE">
        <w:rPr>
          <w:rFonts w:ascii="Times New Roman" w:eastAsia="Times New Roman" w:hAnsi="Times New Roman" w:cs="Times New Roman"/>
          <w:color w:val="000000"/>
        </w:rPr>
        <w:t>uella</w:t>
      </w:r>
      <w:r w:rsidR="000837F4">
        <w:rPr>
          <w:rFonts w:ascii="Times New Roman" w:eastAsia="Times New Roman" w:hAnsi="Times New Roman" w:cs="Times New Roman"/>
          <w:color w:val="000000"/>
        </w:rPr>
        <w:t xml:space="preserve"> che Hegel ci mostra </w:t>
      </w:r>
      <w:r w:rsidR="00EF214D" w:rsidRPr="009D28CE">
        <w:rPr>
          <w:rFonts w:ascii="Times New Roman" w:eastAsia="Times New Roman" w:hAnsi="Times New Roman" w:cs="Times New Roman"/>
          <w:color w:val="000000"/>
        </w:rPr>
        <w:t xml:space="preserve">non </w:t>
      </w:r>
      <w:r w:rsidR="00F26AB2" w:rsidRPr="009D28CE">
        <w:rPr>
          <w:rFonts w:ascii="Times New Roman" w:eastAsia="Times New Roman" w:hAnsi="Times New Roman" w:cs="Times New Roman"/>
          <w:color w:val="000000"/>
        </w:rPr>
        <w:t xml:space="preserve">è </w:t>
      </w:r>
      <w:r w:rsidR="00EF214D" w:rsidRPr="009D28CE">
        <w:rPr>
          <w:rFonts w:ascii="Times New Roman" w:eastAsia="Times New Roman" w:hAnsi="Times New Roman" w:cs="Times New Roman"/>
          <w:color w:val="000000"/>
        </w:rPr>
        <w:t>l</w:t>
      </w:r>
      <w:r w:rsidR="006A5000" w:rsidRPr="009D28CE">
        <w:rPr>
          <w:rFonts w:ascii="Times New Roman" w:eastAsia="Times New Roman" w:hAnsi="Times New Roman" w:cs="Times New Roman"/>
          <w:color w:val="000000"/>
        </w:rPr>
        <w:t xml:space="preserve">’infinità </w:t>
      </w:r>
      <w:r w:rsidR="00A4617B" w:rsidRPr="009D28CE">
        <w:rPr>
          <w:rFonts w:ascii="Times New Roman" w:eastAsia="Times New Roman" w:hAnsi="Times New Roman" w:cs="Times New Roman"/>
          <w:color w:val="000000"/>
        </w:rPr>
        <w:t xml:space="preserve">come essa è </w:t>
      </w:r>
      <w:r w:rsidR="00EF214D" w:rsidRPr="009D28CE">
        <w:rPr>
          <w:rFonts w:ascii="Times New Roman" w:eastAsia="Times New Roman" w:hAnsi="Times New Roman" w:cs="Times New Roman"/>
          <w:color w:val="000000"/>
        </w:rPr>
        <w:t>in-sé-e-per-s</w:t>
      </w:r>
      <w:r w:rsidR="00642BF3">
        <w:rPr>
          <w:rFonts w:ascii="Times New Roman" w:eastAsia="Times New Roman" w:hAnsi="Times New Roman" w:cs="Times New Roman"/>
          <w:color w:val="000000"/>
        </w:rPr>
        <w:t>é, ma l</w:t>
      </w:r>
      <w:r w:rsidR="00EF214D" w:rsidRPr="009D28CE">
        <w:rPr>
          <w:rFonts w:ascii="Times New Roman" w:eastAsia="Times New Roman" w:hAnsi="Times New Roman" w:cs="Times New Roman"/>
          <w:color w:val="000000"/>
        </w:rPr>
        <w:t>’</w:t>
      </w:r>
      <w:r w:rsidR="00EF214D" w:rsidRPr="009D28CE">
        <w:rPr>
          <w:rFonts w:ascii="Times New Roman" w:eastAsia="Times New Roman" w:hAnsi="Times New Roman" w:cs="Times New Roman"/>
          <w:i/>
          <w:color w:val="000000"/>
        </w:rPr>
        <w:t>Unendlichkeit</w:t>
      </w:r>
      <w:r w:rsidR="00EF214D" w:rsidRPr="009D28CE">
        <w:rPr>
          <w:rFonts w:ascii="Times New Roman" w:eastAsia="Times New Roman" w:hAnsi="Times New Roman" w:cs="Times New Roman"/>
          <w:color w:val="000000"/>
        </w:rPr>
        <w:t xml:space="preserve"> </w:t>
      </w:r>
      <w:r w:rsidR="006A5000" w:rsidRPr="009D28CE">
        <w:rPr>
          <w:rFonts w:ascii="Times New Roman" w:eastAsia="Times New Roman" w:hAnsi="Times New Roman" w:cs="Times New Roman"/>
          <w:color w:val="000000"/>
        </w:rPr>
        <w:t>che diviene</w:t>
      </w:r>
      <w:r w:rsidR="00A4617B" w:rsidRPr="009D28CE">
        <w:rPr>
          <w:rFonts w:ascii="Times New Roman" w:eastAsia="Times New Roman" w:hAnsi="Times New Roman" w:cs="Times New Roman"/>
          <w:color w:val="000000"/>
        </w:rPr>
        <w:t xml:space="preserve"> semplicemente</w:t>
      </w:r>
      <w:r w:rsidR="006A5000" w:rsidRPr="009D28CE">
        <w:rPr>
          <w:rFonts w:ascii="Times New Roman" w:eastAsia="Times New Roman" w:hAnsi="Times New Roman" w:cs="Times New Roman"/>
          <w:color w:val="000000"/>
        </w:rPr>
        <w:t xml:space="preserve"> </w:t>
      </w:r>
      <w:r w:rsidR="006A5000" w:rsidRPr="009D28CE">
        <w:rPr>
          <w:rFonts w:ascii="Times New Roman" w:eastAsia="Times New Roman" w:hAnsi="Times New Roman" w:cs="Times New Roman"/>
          <w:i/>
          <w:color w:val="000000"/>
        </w:rPr>
        <w:t>per noi</w:t>
      </w:r>
      <w:r w:rsidR="00EF214D" w:rsidRPr="009D28CE">
        <w:rPr>
          <w:rFonts w:ascii="Times New Roman" w:eastAsia="Times New Roman" w:hAnsi="Times New Roman" w:cs="Times New Roman"/>
          <w:color w:val="000000"/>
        </w:rPr>
        <w:t>.</w:t>
      </w:r>
      <w:r w:rsidR="00A4617B" w:rsidRPr="009D28CE">
        <w:rPr>
          <w:rFonts w:ascii="Times New Roman" w:eastAsia="Times New Roman" w:hAnsi="Times New Roman" w:cs="Times New Roman"/>
          <w:color w:val="000000"/>
        </w:rPr>
        <w:t xml:space="preserve"> </w:t>
      </w:r>
      <w:r w:rsidR="00A9681F" w:rsidRPr="009D28CE">
        <w:rPr>
          <w:rFonts w:ascii="Times New Roman" w:eastAsia="Times New Roman" w:hAnsi="Times New Roman" w:cs="Times New Roman"/>
          <w:color w:val="000000"/>
        </w:rPr>
        <w:t xml:space="preserve">All’interno della logica, </w:t>
      </w:r>
      <w:r w:rsidR="00157E87" w:rsidRPr="009D28CE">
        <w:rPr>
          <w:rFonts w:ascii="Times New Roman" w:eastAsia="Times New Roman" w:hAnsi="Times New Roman" w:cs="Times New Roman"/>
          <w:color w:val="000000"/>
        </w:rPr>
        <w:t xml:space="preserve">infatti, </w:t>
      </w:r>
      <w:r w:rsidR="000837F4">
        <w:rPr>
          <w:rFonts w:ascii="Times New Roman" w:eastAsia="Times New Roman" w:hAnsi="Times New Roman" w:cs="Times New Roman"/>
          <w:color w:val="000000"/>
        </w:rPr>
        <w:t>non s’assiste ad un auto</w:t>
      </w:r>
      <w:r w:rsidR="00F26AB2" w:rsidRPr="009D28CE">
        <w:rPr>
          <w:rFonts w:ascii="Times New Roman" w:eastAsia="Times New Roman" w:hAnsi="Times New Roman" w:cs="Times New Roman"/>
          <w:color w:val="000000"/>
        </w:rPr>
        <w:t>movimento dei concetti, ad una loro in</w:t>
      </w:r>
      <w:r w:rsidR="00613844" w:rsidRPr="009D28CE">
        <w:rPr>
          <w:rFonts w:ascii="Times New Roman" w:eastAsia="Times New Roman" w:hAnsi="Times New Roman" w:cs="Times New Roman"/>
          <w:color w:val="000000"/>
        </w:rPr>
        <w:t xml:space="preserve">trinseca riflessività, che ne </w:t>
      </w:r>
      <w:r w:rsidR="004B00F7" w:rsidRPr="009D28CE">
        <w:rPr>
          <w:rFonts w:ascii="Times New Roman" w:eastAsia="Times New Roman" w:hAnsi="Times New Roman" w:cs="Times New Roman"/>
          <w:color w:val="000000"/>
        </w:rPr>
        <w:t xml:space="preserve">scandisce </w:t>
      </w:r>
      <w:r w:rsidR="00F26AB2" w:rsidRPr="009D28CE">
        <w:rPr>
          <w:rFonts w:ascii="Times New Roman" w:eastAsia="Times New Roman" w:hAnsi="Times New Roman" w:cs="Times New Roman"/>
          <w:color w:val="000000"/>
        </w:rPr>
        <w:t>le relazioni reciproche</w:t>
      </w:r>
      <w:r w:rsidR="00BE77E8" w:rsidRPr="009D28CE">
        <w:rPr>
          <w:rStyle w:val="Rimandonotaapidipagina"/>
          <w:rFonts w:ascii="Times New Roman" w:eastAsia="Times New Roman" w:hAnsi="Times New Roman" w:cs="Times New Roman"/>
          <w:color w:val="000000"/>
        </w:rPr>
        <w:footnoteReference w:id="176"/>
      </w:r>
      <w:r w:rsidR="00F26AB2" w:rsidRPr="009D28CE">
        <w:rPr>
          <w:rFonts w:ascii="Times New Roman" w:eastAsia="Times New Roman" w:hAnsi="Times New Roman" w:cs="Times New Roman"/>
          <w:color w:val="000000"/>
        </w:rPr>
        <w:t>. Ciò che muove l</w:t>
      </w:r>
      <w:r w:rsidR="00157E87" w:rsidRPr="009D28CE">
        <w:rPr>
          <w:rFonts w:ascii="Times New Roman" w:eastAsia="Times New Roman" w:hAnsi="Times New Roman" w:cs="Times New Roman"/>
          <w:color w:val="000000"/>
        </w:rPr>
        <w:t>’elemento logico</w:t>
      </w:r>
      <w:r w:rsidR="00F26AB2" w:rsidRPr="009D28CE">
        <w:rPr>
          <w:rFonts w:ascii="Times New Roman" w:eastAsia="Times New Roman" w:hAnsi="Times New Roman" w:cs="Times New Roman"/>
          <w:color w:val="000000"/>
        </w:rPr>
        <w:t xml:space="preserve"> non è </w:t>
      </w:r>
      <w:r w:rsidR="0078237E" w:rsidRPr="009D28CE">
        <w:rPr>
          <w:rFonts w:ascii="Times New Roman" w:eastAsia="Times New Roman" w:hAnsi="Times New Roman" w:cs="Times New Roman"/>
          <w:color w:val="000000"/>
        </w:rPr>
        <w:t>un</w:t>
      </w:r>
      <w:r w:rsidR="00F26AB2" w:rsidRPr="009D28CE">
        <w:rPr>
          <w:rFonts w:ascii="Times New Roman" w:eastAsia="Times New Roman" w:hAnsi="Times New Roman" w:cs="Times New Roman"/>
          <w:color w:val="000000"/>
        </w:rPr>
        <w:t xml:space="preserve">a negatività </w:t>
      </w:r>
      <w:r w:rsidR="00B72511" w:rsidRPr="009D28CE">
        <w:rPr>
          <w:rFonts w:ascii="Times New Roman" w:eastAsia="Times New Roman" w:hAnsi="Times New Roman" w:cs="Times New Roman"/>
          <w:color w:val="000000"/>
        </w:rPr>
        <w:t>immanente</w:t>
      </w:r>
      <w:r w:rsidR="00F26AB2" w:rsidRPr="009D28CE">
        <w:rPr>
          <w:rFonts w:ascii="Times New Roman" w:eastAsia="Times New Roman" w:hAnsi="Times New Roman" w:cs="Times New Roman"/>
          <w:color w:val="000000"/>
        </w:rPr>
        <w:t>, ma un pensiero</w:t>
      </w:r>
      <w:r w:rsidR="00157E87" w:rsidRPr="009D28CE">
        <w:rPr>
          <w:rFonts w:ascii="Times New Roman" w:eastAsia="Times New Roman" w:hAnsi="Times New Roman" w:cs="Times New Roman"/>
          <w:color w:val="000000"/>
        </w:rPr>
        <w:t xml:space="preserve"> </w:t>
      </w:r>
      <w:r w:rsidR="00F26AB2" w:rsidRPr="009D28CE">
        <w:rPr>
          <w:rFonts w:ascii="Times New Roman" w:eastAsia="Times New Roman" w:hAnsi="Times New Roman" w:cs="Times New Roman"/>
          <w:color w:val="000000"/>
        </w:rPr>
        <w:t>esterno</w:t>
      </w:r>
      <w:r w:rsidR="00EF214D" w:rsidRPr="009D28CE">
        <w:rPr>
          <w:rFonts w:ascii="Times New Roman" w:eastAsia="Times New Roman" w:hAnsi="Times New Roman" w:cs="Times New Roman"/>
          <w:color w:val="000000"/>
        </w:rPr>
        <w:t xml:space="preserve"> alla cosa</w:t>
      </w:r>
      <w:r w:rsidR="00F26AB2" w:rsidRPr="009D28CE">
        <w:rPr>
          <w:rFonts w:ascii="Times New Roman" w:eastAsia="Times New Roman" w:hAnsi="Times New Roman" w:cs="Times New Roman"/>
          <w:color w:val="000000"/>
        </w:rPr>
        <w:t>, che innes</w:t>
      </w:r>
      <w:r w:rsidR="00BE77E8" w:rsidRPr="009D28CE">
        <w:rPr>
          <w:rFonts w:ascii="Times New Roman" w:eastAsia="Times New Roman" w:hAnsi="Times New Roman" w:cs="Times New Roman"/>
          <w:color w:val="000000"/>
        </w:rPr>
        <w:t xml:space="preserve">ca un movimento </w:t>
      </w:r>
      <w:r w:rsidR="00F26AB2" w:rsidRPr="009D28CE">
        <w:rPr>
          <w:rFonts w:ascii="Times New Roman" w:eastAsia="Times New Roman" w:hAnsi="Times New Roman" w:cs="Times New Roman"/>
          <w:color w:val="000000"/>
        </w:rPr>
        <w:t xml:space="preserve">là dove, altrimenti, sussisterebbe un quieto </w:t>
      </w:r>
      <w:r w:rsidR="00B72511" w:rsidRPr="009D28CE">
        <w:rPr>
          <w:rFonts w:ascii="Times New Roman" w:eastAsia="Times New Roman" w:hAnsi="Times New Roman" w:cs="Times New Roman"/>
          <w:color w:val="000000"/>
        </w:rPr>
        <w:t xml:space="preserve">essere in </w:t>
      </w:r>
      <w:r w:rsidR="00AC6AE4">
        <w:rPr>
          <w:rFonts w:ascii="Times New Roman" w:eastAsia="Times New Roman" w:hAnsi="Times New Roman" w:cs="Times New Roman"/>
          <w:color w:val="000000"/>
        </w:rPr>
        <w:t>sé.</w:t>
      </w:r>
    </w:p>
    <w:p w14:paraId="3A6D6EF8" w14:textId="52572C72" w:rsidR="00F26AB2" w:rsidRPr="00D15A17" w:rsidRDefault="00F26AB2" w:rsidP="00CB4F07">
      <w:pPr>
        <w:spacing w:line="360" w:lineRule="auto"/>
        <w:jc w:val="both"/>
        <w:rPr>
          <w:rFonts w:ascii="Times New Roman" w:eastAsia="Times New Roman" w:hAnsi="Times New Roman" w:cs="Times New Roman"/>
          <w:color w:val="000000"/>
        </w:rPr>
      </w:pPr>
      <w:r w:rsidRPr="009D28CE">
        <w:rPr>
          <w:rFonts w:ascii="Times New Roman" w:eastAsia="Times New Roman" w:hAnsi="Times New Roman" w:cs="Times New Roman"/>
          <w:color w:val="000000"/>
        </w:rPr>
        <w:t xml:space="preserve">In </w:t>
      </w:r>
      <w:r w:rsidR="00D15A17" w:rsidRPr="009D28CE">
        <w:rPr>
          <w:rFonts w:ascii="Times New Roman" w:eastAsia="Times New Roman" w:hAnsi="Times New Roman" w:cs="Times New Roman"/>
          <w:color w:val="000000"/>
        </w:rPr>
        <w:t xml:space="preserve">principio </w:t>
      </w:r>
      <w:r w:rsidRPr="009D28CE">
        <w:rPr>
          <w:rFonts w:ascii="Times New Roman" w:eastAsia="Times New Roman" w:hAnsi="Times New Roman" w:cs="Times New Roman"/>
          <w:color w:val="000000"/>
        </w:rPr>
        <w:t>della</w:t>
      </w:r>
      <w:r w:rsidR="007E2CEB" w:rsidRPr="009D28CE">
        <w:rPr>
          <w:rFonts w:ascii="Times New Roman" w:eastAsia="Times New Roman" w:hAnsi="Times New Roman" w:cs="Times New Roman"/>
          <w:color w:val="000000"/>
        </w:rPr>
        <w:t xml:space="preserve"> </w:t>
      </w:r>
      <w:r w:rsidR="007E2CEB" w:rsidRPr="009D28CE">
        <w:rPr>
          <w:rFonts w:ascii="Times New Roman" w:eastAsia="Times New Roman" w:hAnsi="Times New Roman" w:cs="Times New Roman"/>
          <w:i/>
          <w:color w:val="000000"/>
        </w:rPr>
        <w:t>Metaphysik</w:t>
      </w:r>
      <w:r w:rsidR="00D15A17" w:rsidRPr="009D28CE">
        <w:rPr>
          <w:rFonts w:ascii="Times New Roman" w:eastAsia="Times New Roman" w:hAnsi="Times New Roman" w:cs="Times New Roman"/>
          <w:color w:val="000000"/>
        </w:rPr>
        <w:t xml:space="preserve">, </w:t>
      </w:r>
      <w:r w:rsidRPr="009D28CE">
        <w:rPr>
          <w:rFonts w:ascii="Times New Roman" w:eastAsia="Times New Roman" w:hAnsi="Times New Roman" w:cs="Times New Roman"/>
          <w:color w:val="000000"/>
        </w:rPr>
        <w:t>scrive Hegel</w:t>
      </w:r>
      <w:r w:rsidR="00473408" w:rsidRPr="009D28CE">
        <w:rPr>
          <w:rFonts w:ascii="Times New Roman" w:eastAsia="Times New Roman" w:hAnsi="Times New Roman" w:cs="Times New Roman"/>
          <w:color w:val="000000"/>
        </w:rPr>
        <w:t xml:space="preserve"> </w:t>
      </w:r>
      <w:r w:rsidR="00D359D9" w:rsidRPr="009D28CE">
        <w:rPr>
          <w:rFonts w:ascii="Times New Roman" w:eastAsia="Times New Roman" w:hAnsi="Times New Roman" w:cs="Times New Roman"/>
          <w:color w:val="000000"/>
        </w:rPr>
        <w:t>riguardo a</w:t>
      </w:r>
      <w:r w:rsidR="00D15A17" w:rsidRPr="009D28CE">
        <w:rPr>
          <w:rFonts w:ascii="Times New Roman" w:eastAsia="Times New Roman" w:hAnsi="Times New Roman" w:cs="Times New Roman"/>
          <w:color w:val="000000"/>
        </w:rPr>
        <w:t xml:space="preserve">lla </w:t>
      </w:r>
      <w:r w:rsidR="00D15A17" w:rsidRPr="009D28CE">
        <w:rPr>
          <w:rFonts w:ascii="Times New Roman" w:eastAsia="Times New Roman" w:hAnsi="Times New Roman" w:cs="Times New Roman"/>
          <w:i/>
          <w:color w:val="000000"/>
        </w:rPr>
        <w:t>Logik</w:t>
      </w:r>
      <w:r w:rsidR="00D15A17" w:rsidRPr="009D28CE">
        <w:rPr>
          <w:rFonts w:ascii="Times New Roman" w:eastAsia="Times New Roman" w:hAnsi="Times New Roman" w:cs="Times New Roman"/>
          <w:color w:val="000000"/>
        </w:rPr>
        <w:t>:</w:t>
      </w:r>
    </w:p>
    <w:p w14:paraId="22B8D0FA" w14:textId="77777777" w:rsidR="00F26AB2" w:rsidRDefault="00F26AB2" w:rsidP="00654608">
      <w:pPr>
        <w:spacing w:line="360" w:lineRule="auto"/>
        <w:ind w:firstLine="567"/>
        <w:jc w:val="both"/>
        <w:rPr>
          <w:rFonts w:ascii="Times New Roman" w:eastAsia="Times New Roman" w:hAnsi="Times New Roman" w:cs="Times New Roman"/>
          <w:color w:val="000000"/>
        </w:rPr>
      </w:pPr>
    </w:p>
    <w:p w14:paraId="728E91F6" w14:textId="4BBE84FC" w:rsidR="002959D7" w:rsidRPr="00570FAB" w:rsidRDefault="00156F6E" w:rsidP="004B00F7">
      <w:pPr>
        <w:spacing w:line="360" w:lineRule="auto"/>
        <w:ind w:left="567" w:firstLine="567"/>
        <w:jc w:val="both"/>
        <w:rPr>
          <w:rFonts w:ascii="Times New Roman" w:eastAsia="Times New Roman" w:hAnsi="Times New Roman" w:cs="Times New Roman"/>
          <w:color w:val="000000"/>
        </w:rPr>
      </w:pPr>
      <w:r w:rsidRPr="00570FAB">
        <w:rPr>
          <w:rFonts w:ascii="Times New Roman" w:eastAsia="Times New Roman" w:hAnsi="Times New Roman" w:cs="Times New Roman"/>
          <w:color w:val="000000"/>
          <w:sz w:val="20"/>
          <w:szCs w:val="20"/>
        </w:rPr>
        <w:t>«</w:t>
      </w:r>
      <w:r w:rsidR="007E2CEB" w:rsidRPr="00570FAB">
        <w:rPr>
          <w:rFonts w:ascii="Times New Roman" w:eastAsia="Times New Roman" w:hAnsi="Times New Roman" w:cs="Times New Roman"/>
          <w:color w:val="000000"/>
          <w:sz w:val="20"/>
          <w:szCs w:val="20"/>
        </w:rPr>
        <w:t xml:space="preserve">Das Erkennen ist als in die Metaphysik übergehend das Aufheben der Logik selbst, als der Dialektik, oder des Idealismus […] </w:t>
      </w:r>
      <w:r w:rsidR="00F26AB2" w:rsidRPr="00570FAB">
        <w:rPr>
          <w:rFonts w:ascii="Times New Roman" w:eastAsia="Times New Roman" w:hAnsi="Times New Roman" w:cs="Times New Roman"/>
          <w:color w:val="000000"/>
          <w:sz w:val="20"/>
          <w:szCs w:val="20"/>
        </w:rPr>
        <w:t>Das Erkennen, als das sich selbstgleiche</w:t>
      </w:r>
      <w:r w:rsidRPr="00570FAB">
        <w:rPr>
          <w:rFonts w:ascii="Times New Roman" w:eastAsia="Times New Roman" w:hAnsi="Times New Roman" w:cs="Times New Roman"/>
          <w:color w:val="000000"/>
          <w:sz w:val="20"/>
          <w:szCs w:val="20"/>
        </w:rPr>
        <w:t xml:space="preserve"> reflectieren, reflectiert die ganze Logik, diesen Fortgang in sich, setzt ihn sich gleich, hebt das Anderswerden der Momente auf, und setzt sie als</w:t>
      </w:r>
      <w:r w:rsidR="007E2CEB" w:rsidRPr="00570FAB">
        <w:rPr>
          <w:rFonts w:ascii="Times New Roman" w:eastAsia="Times New Roman" w:hAnsi="Times New Roman" w:cs="Times New Roman"/>
          <w:color w:val="000000"/>
          <w:sz w:val="20"/>
          <w:szCs w:val="20"/>
        </w:rPr>
        <w:t xml:space="preserve"> e</w:t>
      </w:r>
      <w:r w:rsidRPr="00570FAB">
        <w:rPr>
          <w:rFonts w:ascii="Times New Roman" w:eastAsia="Times New Roman" w:hAnsi="Times New Roman" w:cs="Times New Roman"/>
          <w:color w:val="000000"/>
          <w:sz w:val="20"/>
          <w:szCs w:val="20"/>
        </w:rPr>
        <w:t>in System des absoluten für sichseyn […] Es war bisher ein Moment unserer Betrachtungsart, jedes Resultat, oder jede Bestimmtheit überhaupt zunächst als etwas positives zu nehmen, und sie dann aufzuheben; jenes positives nehmen, galt als eine Seite, wodurch über die Bestimmtheit noch nichts entschieden würde; es war überhaupt ein Gedanke, ein uns angehöriges»</w:t>
      </w:r>
      <w:r w:rsidRPr="00570FAB">
        <w:rPr>
          <w:rStyle w:val="Rimandonotaapidipagina"/>
          <w:rFonts w:ascii="Times New Roman" w:eastAsia="Times New Roman" w:hAnsi="Times New Roman" w:cs="Times New Roman"/>
          <w:color w:val="000000"/>
        </w:rPr>
        <w:footnoteReference w:id="177"/>
      </w:r>
      <w:r w:rsidR="00F26AB2" w:rsidRPr="00570FAB">
        <w:rPr>
          <w:rFonts w:ascii="Times New Roman" w:eastAsia="Times New Roman" w:hAnsi="Times New Roman" w:cs="Times New Roman"/>
          <w:color w:val="000000"/>
        </w:rPr>
        <w:t xml:space="preserve"> </w:t>
      </w:r>
      <w:r w:rsidRPr="00570FAB">
        <w:rPr>
          <w:rFonts w:ascii="Times New Roman" w:eastAsia="Times New Roman" w:hAnsi="Times New Roman" w:cs="Times New Roman"/>
          <w:color w:val="000000"/>
        </w:rPr>
        <w:t>.</w:t>
      </w:r>
      <w:r w:rsidR="00233D19" w:rsidRPr="00570FAB">
        <w:rPr>
          <w:rFonts w:ascii="Times New Roman" w:eastAsia="Times New Roman" w:hAnsi="Times New Roman" w:cs="Times New Roman"/>
          <w:color w:val="000000"/>
        </w:rPr>
        <w:t xml:space="preserve">  </w:t>
      </w:r>
    </w:p>
    <w:p w14:paraId="7D9126A3" w14:textId="77777777" w:rsidR="00156F6E" w:rsidRPr="00D359D9" w:rsidRDefault="00156F6E" w:rsidP="00654608">
      <w:pPr>
        <w:spacing w:line="360" w:lineRule="auto"/>
        <w:ind w:firstLine="567"/>
        <w:jc w:val="both"/>
        <w:rPr>
          <w:rFonts w:ascii="Times New Roman" w:eastAsia="Times New Roman" w:hAnsi="Times New Roman" w:cs="Times New Roman"/>
          <w:color w:val="000000"/>
        </w:rPr>
      </w:pPr>
    </w:p>
    <w:p w14:paraId="44843F50" w14:textId="5B292C6E" w:rsidR="00156F6E" w:rsidRDefault="007E2CEB" w:rsidP="00654608">
      <w:pPr>
        <w:spacing w:line="360" w:lineRule="auto"/>
        <w:ind w:firstLine="567"/>
        <w:jc w:val="both"/>
        <w:rPr>
          <w:rFonts w:ascii="Times New Roman" w:hAnsi="Times New Roman" w:cs="Times New Roman"/>
        </w:rPr>
      </w:pPr>
      <w:r>
        <w:rPr>
          <w:rFonts w:ascii="Times New Roman" w:hAnsi="Times New Roman" w:cs="Times New Roman"/>
        </w:rPr>
        <w:t>La metafisica offre un superamento della logica e di quella forma del p</w:t>
      </w:r>
      <w:r w:rsidR="003E2FC0">
        <w:rPr>
          <w:rFonts w:ascii="Times New Roman" w:hAnsi="Times New Roman" w:cs="Times New Roman"/>
        </w:rPr>
        <w:t>ensiero, la dialettica, che con</w:t>
      </w:r>
      <w:r w:rsidR="00C74993">
        <w:rPr>
          <w:rFonts w:ascii="Times New Roman" w:hAnsi="Times New Roman" w:cs="Times New Roman"/>
        </w:rPr>
        <w:t>feriva</w:t>
      </w:r>
      <w:r>
        <w:rPr>
          <w:rFonts w:ascii="Times New Roman" w:hAnsi="Times New Roman" w:cs="Times New Roman"/>
        </w:rPr>
        <w:t xml:space="preserve"> un movimento a </w:t>
      </w:r>
      <w:r w:rsidR="00EB67E8">
        <w:rPr>
          <w:rFonts w:ascii="Times New Roman" w:hAnsi="Times New Roman" w:cs="Times New Roman"/>
        </w:rPr>
        <w:t xml:space="preserve">ciò </w:t>
      </w:r>
      <w:r>
        <w:rPr>
          <w:rFonts w:ascii="Times New Roman" w:hAnsi="Times New Roman" w:cs="Times New Roman"/>
        </w:rPr>
        <w:t xml:space="preserve">che, </w:t>
      </w:r>
      <w:r w:rsidR="00613844">
        <w:rPr>
          <w:rFonts w:ascii="Times New Roman" w:hAnsi="Times New Roman" w:cs="Times New Roman"/>
        </w:rPr>
        <w:t xml:space="preserve">con una terminologia tratta dalla </w:t>
      </w:r>
      <w:r w:rsidRPr="007E2CEB">
        <w:rPr>
          <w:rFonts w:ascii="Times New Roman" w:hAnsi="Times New Roman" w:cs="Times New Roman"/>
          <w:i/>
        </w:rPr>
        <w:t>Wissenschaft der Logik</w:t>
      </w:r>
      <w:r w:rsidR="00664C5F">
        <w:rPr>
          <w:rFonts w:ascii="Times New Roman" w:hAnsi="Times New Roman" w:cs="Times New Roman"/>
        </w:rPr>
        <w:t xml:space="preserve">, </w:t>
      </w:r>
      <w:r w:rsidR="00EB67E8">
        <w:rPr>
          <w:rFonts w:ascii="Times New Roman" w:hAnsi="Times New Roman" w:cs="Times New Roman"/>
        </w:rPr>
        <w:t xml:space="preserve">possiamo </w:t>
      </w:r>
      <w:r w:rsidR="00C74993">
        <w:rPr>
          <w:rFonts w:ascii="Times New Roman" w:hAnsi="Times New Roman" w:cs="Times New Roman"/>
        </w:rPr>
        <w:t>defini</w:t>
      </w:r>
      <w:r w:rsidR="00B80213" w:rsidRPr="009D28CE">
        <w:rPr>
          <w:rFonts w:ascii="Times New Roman" w:hAnsi="Times New Roman" w:cs="Times New Roman"/>
        </w:rPr>
        <w:t>re</w:t>
      </w:r>
      <w:r w:rsidR="00C74993">
        <w:rPr>
          <w:rFonts w:ascii="Times New Roman" w:hAnsi="Times New Roman" w:cs="Times New Roman"/>
        </w:rPr>
        <w:t xml:space="preserve"> come</w:t>
      </w:r>
      <w:r w:rsidR="00B80213" w:rsidRPr="009D28CE">
        <w:rPr>
          <w:rFonts w:ascii="Times New Roman" w:hAnsi="Times New Roman" w:cs="Times New Roman"/>
        </w:rPr>
        <w:t xml:space="preserve"> </w:t>
      </w:r>
      <w:r w:rsidRPr="009D28CE">
        <w:rPr>
          <w:rFonts w:ascii="Times New Roman" w:hAnsi="Times New Roman" w:cs="Times New Roman"/>
          <w:i/>
        </w:rPr>
        <w:t>Denkbestimmungen</w:t>
      </w:r>
      <w:r w:rsidR="005322A5" w:rsidRPr="009D28CE">
        <w:rPr>
          <w:rFonts w:ascii="Times New Roman" w:hAnsi="Times New Roman" w:cs="Times New Roman"/>
        </w:rPr>
        <w:t xml:space="preserve">. </w:t>
      </w:r>
      <w:r w:rsidR="00B80213" w:rsidRPr="009D28CE">
        <w:rPr>
          <w:rFonts w:ascii="Times New Roman" w:hAnsi="Times New Roman" w:cs="Times New Roman"/>
        </w:rPr>
        <w:t xml:space="preserve">Ma non solo. </w:t>
      </w:r>
      <w:r w:rsidR="00FD0551" w:rsidRPr="009D28CE">
        <w:rPr>
          <w:rFonts w:ascii="Times New Roman" w:hAnsi="Times New Roman" w:cs="Times New Roman"/>
        </w:rPr>
        <w:t xml:space="preserve">Di fatti, </w:t>
      </w:r>
      <w:r w:rsidR="00C011C7" w:rsidRPr="009D28CE">
        <w:rPr>
          <w:rFonts w:ascii="Times New Roman" w:hAnsi="Times New Roman" w:cs="Times New Roman"/>
        </w:rPr>
        <w:t>ne</w:t>
      </w:r>
      <w:r w:rsidR="00FD0551" w:rsidRPr="009D28CE">
        <w:rPr>
          <w:rFonts w:ascii="Times New Roman" w:hAnsi="Times New Roman" w:cs="Times New Roman"/>
        </w:rPr>
        <w:t>ll’</w:t>
      </w:r>
      <w:r w:rsidR="00613844" w:rsidRPr="009D28CE">
        <w:rPr>
          <w:rFonts w:ascii="Times New Roman" w:hAnsi="Times New Roman" w:cs="Times New Roman"/>
        </w:rPr>
        <w:t>esposizione</w:t>
      </w:r>
      <w:r w:rsidR="00613844" w:rsidRPr="009D28CE">
        <w:rPr>
          <w:rFonts w:ascii="Times New Roman" w:hAnsi="Times New Roman" w:cs="Times New Roman"/>
          <w:i/>
        </w:rPr>
        <w:t xml:space="preserve"> metafisica</w:t>
      </w:r>
      <w:r w:rsidR="00613844" w:rsidRPr="009D28CE">
        <w:rPr>
          <w:rFonts w:ascii="Times New Roman" w:hAnsi="Times New Roman" w:cs="Times New Roman"/>
        </w:rPr>
        <w:t xml:space="preserve"> </w:t>
      </w:r>
      <w:r w:rsidR="00FD0551" w:rsidRPr="009D28CE">
        <w:rPr>
          <w:rFonts w:ascii="Times New Roman" w:hAnsi="Times New Roman" w:cs="Times New Roman"/>
        </w:rPr>
        <w:t xml:space="preserve">del contenuto </w:t>
      </w:r>
      <w:r w:rsidR="00FD0551" w:rsidRPr="009D28CE">
        <w:rPr>
          <w:rFonts w:ascii="Times New Roman" w:hAnsi="Times New Roman" w:cs="Times New Roman"/>
          <w:i/>
        </w:rPr>
        <w:t>logico</w:t>
      </w:r>
      <w:r w:rsidR="00C011C7" w:rsidRPr="009D28CE">
        <w:rPr>
          <w:rFonts w:ascii="Times New Roman" w:hAnsi="Times New Roman" w:cs="Times New Roman"/>
        </w:rPr>
        <w:t>, s’assiste</w:t>
      </w:r>
      <w:r w:rsidR="000C6C81" w:rsidRPr="009D28CE">
        <w:rPr>
          <w:rFonts w:ascii="Times New Roman" w:hAnsi="Times New Roman" w:cs="Times New Roman"/>
        </w:rPr>
        <w:t xml:space="preserve"> </w:t>
      </w:r>
      <w:r w:rsidR="00664C5F" w:rsidRPr="009D28CE">
        <w:rPr>
          <w:rFonts w:ascii="Times New Roman" w:hAnsi="Times New Roman" w:cs="Times New Roman"/>
        </w:rPr>
        <w:t xml:space="preserve">anche </w:t>
      </w:r>
      <w:r w:rsidR="00C011C7" w:rsidRPr="009D28CE">
        <w:rPr>
          <w:rFonts w:ascii="Times New Roman" w:hAnsi="Times New Roman" w:cs="Times New Roman"/>
        </w:rPr>
        <w:t xml:space="preserve">ad </w:t>
      </w:r>
      <w:r w:rsidRPr="009D28CE">
        <w:rPr>
          <w:rFonts w:ascii="Times New Roman" w:hAnsi="Times New Roman" w:cs="Times New Roman"/>
        </w:rPr>
        <w:t xml:space="preserve">una </w:t>
      </w:r>
      <w:r w:rsidR="00613844" w:rsidRPr="009D28CE">
        <w:rPr>
          <w:rFonts w:ascii="Times New Roman" w:hAnsi="Times New Roman" w:cs="Times New Roman"/>
        </w:rPr>
        <w:t>riorganizzazione di</w:t>
      </w:r>
      <w:r w:rsidRPr="009D28CE">
        <w:rPr>
          <w:rFonts w:ascii="Times New Roman" w:hAnsi="Times New Roman" w:cs="Times New Roman"/>
        </w:rPr>
        <w:t xml:space="preserve"> </w:t>
      </w:r>
      <w:r w:rsidR="00FD0551" w:rsidRPr="009D28CE">
        <w:rPr>
          <w:rFonts w:ascii="Times New Roman" w:hAnsi="Times New Roman" w:cs="Times New Roman"/>
        </w:rPr>
        <w:t xml:space="preserve">tutti </w:t>
      </w:r>
      <w:r w:rsidRPr="009D28CE">
        <w:rPr>
          <w:rFonts w:ascii="Times New Roman" w:hAnsi="Times New Roman" w:cs="Times New Roman"/>
        </w:rPr>
        <w:t>quei movimenti indott</w:t>
      </w:r>
      <w:r w:rsidR="00F90BEE" w:rsidRPr="009D28CE">
        <w:rPr>
          <w:rFonts w:ascii="Times New Roman" w:hAnsi="Times New Roman" w:cs="Times New Roman"/>
        </w:rPr>
        <w:t xml:space="preserve">i dalla </w:t>
      </w:r>
      <w:r w:rsidR="00FD0551" w:rsidRPr="009D28CE">
        <w:rPr>
          <w:rFonts w:ascii="Times New Roman" w:hAnsi="Times New Roman" w:cs="Times New Roman"/>
        </w:rPr>
        <w:t xml:space="preserve">nostra riflessione nella sfera della </w:t>
      </w:r>
      <w:r w:rsidR="004B00F7" w:rsidRPr="009D28CE">
        <w:rPr>
          <w:rFonts w:ascii="Times New Roman" w:hAnsi="Times New Roman" w:cs="Times New Roman"/>
          <w:i/>
        </w:rPr>
        <w:t>Logik</w:t>
      </w:r>
      <w:r w:rsidRPr="009D28CE">
        <w:rPr>
          <w:rFonts w:ascii="Times New Roman" w:hAnsi="Times New Roman" w:cs="Times New Roman"/>
        </w:rPr>
        <w:t>.</w:t>
      </w:r>
      <w:r w:rsidR="00085494" w:rsidRPr="009D28CE">
        <w:rPr>
          <w:rFonts w:ascii="Times New Roman" w:hAnsi="Times New Roman" w:cs="Times New Roman"/>
        </w:rPr>
        <w:t xml:space="preserve"> </w:t>
      </w:r>
      <w:r w:rsidR="005F4F8B" w:rsidRPr="009D28CE">
        <w:rPr>
          <w:rFonts w:ascii="Times New Roman" w:hAnsi="Times New Roman" w:cs="Times New Roman"/>
        </w:rPr>
        <w:t>Superato</w:t>
      </w:r>
      <w:r w:rsidRPr="009D28CE">
        <w:rPr>
          <w:rFonts w:ascii="Times New Roman" w:hAnsi="Times New Roman" w:cs="Times New Roman"/>
        </w:rPr>
        <w:t xml:space="preserve"> l’</w:t>
      </w:r>
      <w:r w:rsidR="005F4F8B" w:rsidRPr="009D28CE">
        <w:rPr>
          <w:rFonts w:ascii="Times New Roman" w:hAnsi="Times New Roman" w:cs="Times New Roman"/>
          <w:i/>
        </w:rPr>
        <w:t>uns angehöriger Gedanke</w:t>
      </w:r>
      <w:r w:rsidR="005F4F8B" w:rsidRPr="009D28CE">
        <w:rPr>
          <w:rFonts w:ascii="Times New Roman" w:hAnsi="Times New Roman" w:cs="Times New Roman"/>
        </w:rPr>
        <w:t xml:space="preserve"> </w:t>
      </w:r>
      <w:r w:rsidR="00F90BEE" w:rsidRPr="009D28CE">
        <w:rPr>
          <w:rFonts w:ascii="Times New Roman" w:hAnsi="Times New Roman" w:cs="Times New Roman"/>
        </w:rPr>
        <w:t xml:space="preserve">e conferita una </w:t>
      </w:r>
      <w:r w:rsidR="000C6C81" w:rsidRPr="009D28CE">
        <w:rPr>
          <w:rFonts w:ascii="Times New Roman" w:hAnsi="Times New Roman" w:cs="Times New Roman"/>
        </w:rPr>
        <w:t xml:space="preserve">natura </w:t>
      </w:r>
      <w:r w:rsidR="00AE0D69" w:rsidRPr="009D28CE">
        <w:rPr>
          <w:rFonts w:ascii="Times New Roman" w:hAnsi="Times New Roman" w:cs="Times New Roman"/>
        </w:rPr>
        <w:t xml:space="preserve">dinamica </w:t>
      </w:r>
      <w:r w:rsidRPr="009D28CE">
        <w:rPr>
          <w:rFonts w:ascii="Times New Roman" w:hAnsi="Times New Roman" w:cs="Times New Roman"/>
        </w:rPr>
        <w:t>all’</w:t>
      </w:r>
      <w:r w:rsidR="00613844" w:rsidRPr="009D28CE">
        <w:rPr>
          <w:rFonts w:ascii="Times New Roman" w:hAnsi="Times New Roman" w:cs="Times New Roman"/>
        </w:rPr>
        <w:t>elemento</w:t>
      </w:r>
      <w:r w:rsidRPr="009D28CE">
        <w:rPr>
          <w:rFonts w:ascii="Times New Roman" w:hAnsi="Times New Roman" w:cs="Times New Roman"/>
        </w:rPr>
        <w:t xml:space="preserve"> logico</w:t>
      </w:r>
      <w:r w:rsidR="00F90BEE" w:rsidRPr="009D28CE">
        <w:rPr>
          <w:rFonts w:ascii="Times New Roman" w:hAnsi="Times New Roman" w:cs="Times New Roman"/>
        </w:rPr>
        <w:t xml:space="preserve">, </w:t>
      </w:r>
      <w:r w:rsidR="000C6C81" w:rsidRPr="009D28CE">
        <w:rPr>
          <w:rFonts w:ascii="Times New Roman" w:hAnsi="Times New Roman" w:cs="Times New Roman"/>
        </w:rPr>
        <w:t xml:space="preserve">Hegel </w:t>
      </w:r>
      <w:r w:rsidR="0078105A" w:rsidRPr="009D28CE">
        <w:rPr>
          <w:rFonts w:ascii="Times New Roman" w:hAnsi="Times New Roman" w:cs="Times New Roman"/>
        </w:rPr>
        <w:t xml:space="preserve">introietta il </w:t>
      </w:r>
      <w:r w:rsidR="0078105A" w:rsidRPr="009D28CE">
        <w:rPr>
          <w:rFonts w:ascii="Times New Roman" w:hAnsi="Times New Roman" w:cs="Times New Roman"/>
          <w:i/>
        </w:rPr>
        <w:t>per noi</w:t>
      </w:r>
      <w:r w:rsidR="0091216C" w:rsidRPr="009D28CE">
        <w:rPr>
          <w:rFonts w:ascii="Times New Roman" w:hAnsi="Times New Roman" w:cs="Times New Roman"/>
        </w:rPr>
        <w:t xml:space="preserve"> nelle determinazioni di pensiero stesse</w:t>
      </w:r>
      <w:r w:rsidR="00FD0551" w:rsidRPr="009D28CE">
        <w:rPr>
          <w:rFonts w:ascii="Times New Roman" w:hAnsi="Times New Roman" w:cs="Times New Roman"/>
        </w:rPr>
        <w:t xml:space="preserve">: ciò che </w:t>
      </w:r>
      <w:r w:rsidR="0091216C" w:rsidRPr="009D28CE">
        <w:rPr>
          <w:rFonts w:ascii="Times New Roman" w:hAnsi="Times New Roman" w:cs="Times New Roman"/>
        </w:rPr>
        <w:t xml:space="preserve">precedentemente </w:t>
      </w:r>
      <w:r w:rsidR="00FD0551" w:rsidRPr="009D28CE">
        <w:rPr>
          <w:rFonts w:ascii="Times New Roman" w:hAnsi="Times New Roman" w:cs="Times New Roman"/>
        </w:rPr>
        <w:t>e</w:t>
      </w:r>
      <w:r w:rsidR="0078105A" w:rsidRPr="009D28CE">
        <w:rPr>
          <w:rFonts w:ascii="Times New Roman" w:hAnsi="Times New Roman" w:cs="Times New Roman"/>
        </w:rPr>
        <w:t>ra mo</w:t>
      </w:r>
      <w:r w:rsidR="00FD0551" w:rsidRPr="009D28CE">
        <w:rPr>
          <w:rFonts w:ascii="Times New Roman" w:hAnsi="Times New Roman" w:cs="Times New Roman"/>
        </w:rPr>
        <w:t xml:space="preserve">sso da </w:t>
      </w:r>
      <w:r w:rsidR="00E03520" w:rsidRPr="009D28CE">
        <w:rPr>
          <w:rFonts w:ascii="Times New Roman" w:hAnsi="Times New Roman" w:cs="Times New Roman"/>
        </w:rPr>
        <w:t>un pensare estern</w:t>
      </w:r>
      <w:r w:rsidR="0091216C" w:rsidRPr="009D28CE">
        <w:rPr>
          <w:rFonts w:ascii="Times New Roman" w:hAnsi="Times New Roman" w:cs="Times New Roman"/>
        </w:rPr>
        <w:t>o alla cosa</w:t>
      </w:r>
      <w:r w:rsidR="00C011C7" w:rsidRPr="009D28CE">
        <w:rPr>
          <w:rFonts w:ascii="Times New Roman" w:hAnsi="Times New Roman" w:cs="Times New Roman"/>
        </w:rPr>
        <w:t xml:space="preserve"> guadagna</w:t>
      </w:r>
      <w:r w:rsidR="00F32B01" w:rsidRPr="009D28CE">
        <w:rPr>
          <w:rFonts w:ascii="Times New Roman" w:hAnsi="Times New Roman" w:cs="Times New Roman"/>
        </w:rPr>
        <w:t>, adesso,</w:t>
      </w:r>
      <w:r w:rsidRPr="009D28CE">
        <w:rPr>
          <w:rFonts w:ascii="Times New Roman" w:hAnsi="Times New Roman" w:cs="Times New Roman"/>
        </w:rPr>
        <w:t xml:space="preserve"> un movimento</w:t>
      </w:r>
      <w:r w:rsidR="00C011C7" w:rsidRPr="009D28CE">
        <w:rPr>
          <w:rFonts w:ascii="Times New Roman" w:hAnsi="Times New Roman" w:cs="Times New Roman"/>
        </w:rPr>
        <w:t xml:space="preserve"> interi</w:t>
      </w:r>
      <w:r w:rsidR="00E03520" w:rsidRPr="009D28CE">
        <w:rPr>
          <w:rFonts w:ascii="Times New Roman" w:hAnsi="Times New Roman" w:cs="Times New Roman"/>
        </w:rPr>
        <w:t>o</w:t>
      </w:r>
      <w:r w:rsidR="00C011C7" w:rsidRPr="009D28CE">
        <w:rPr>
          <w:rFonts w:ascii="Times New Roman" w:hAnsi="Times New Roman" w:cs="Times New Roman"/>
        </w:rPr>
        <w:t>re</w:t>
      </w:r>
      <w:r w:rsidR="00F32B01" w:rsidRPr="009D28CE">
        <w:rPr>
          <w:rFonts w:ascii="Times New Roman" w:hAnsi="Times New Roman" w:cs="Times New Roman"/>
        </w:rPr>
        <w:t>, che riflette</w:t>
      </w:r>
      <w:r w:rsidRPr="009D28CE">
        <w:rPr>
          <w:rFonts w:ascii="Times New Roman" w:hAnsi="Times New Roman" w:cs="Times New Roman"/>
        </w:rPr>
        <w:t xml:space="preserve"> </w:t>
      </w:r>
      <w:r w:rsidR="00F32B01" w:rsidRPr="009D28CE">
        <w:rPr>
          <w:rFonts w:ascii="Times New Roman" w:hAnsi="Times New Roman" w:cs="Times New Roman"/>
        </w:rPr>
        <w:t>i</w:t>
      </w:r>
      <w:r w:rsidRPr="009D28CE">
        <w:rPr>
          <w:rFonts w:ascii="Times New Roman" w:hAnsi="Times New Roman" w:cs="Times New Roman"/>
        </w:rPr>
        <w:t>l caratt</w:t>
      </w:r>
      <w:r w:rsidR="006D6FF5" w:rsidRPr="009D28CE">
        <w:rPr>
          <w:rFonts w:ascii="Times New Roman" w:hAnsi="Times New Roman" w:cs="Times New Roman"/>
        </w:rPr>
        <w:t xml:space="preserve">ere </w:t>
      </w:r>
      <w:r w:rsidR="00570FAB">
        <w:rPr>
          <w:rFonts w:ascii="Times New Roman" w:hAnsi="Times New Roman" w:cs="Times New Roman"/>
        </w:rPr>
        <w:t xml:space="preserve">in sé </w:t>
      </w:r>
      <w:r w:rsidR="006D6FF5" w:rsidRPr="009D28CE">
        <w:rPr>
          <w:rFonts w:ascii="Times New Roman" w:hAnsi="Times New Roman" w:cs="Times New Roman"/>
        </w:rPr>
        <w:t xml:space="preserve">negativo </w:t>
      </w:r>
      <w:r w:rsidRPr="009D28CE">
        <w:rPr>
          <w:rFonts w:ascii="Times New Roman" w:hAnsi="Times New Roman" w:cs="Times New Roman"/>
        </w:rPr>
        <w:t>delle</w:t>
      </w:r>
      <w:r w:rsidR="00F32B01" w:rsidRPr="009D28CE">
        <w:rPr>
          <w:rFonts w:ascii="Times New Roman" w:hAnsi="Times New Roman" w:cs="Times New Roman"/>
        </w:rPr>
        <w:t xml:space="preserve"> determinazioni di pensiero</w:t>
      </w:r>
      <w:r w:rsidR="00F90BEE" w:rsidRPr="009D28CE">
        <w:rPr>
          <w:rFonts w:ascii="Times New Roman" w:hAnsi="Times New Roman" w:cs="Times New Roman"/>
        </w:rPr>
        <w:t xml:space="preserve">, </w:t>
      </w:r>
      <w:r w:rsidR="00C011C7" w:rsidRPr="009D28CE">
        <w:rPr>
          <w:rFonts w:ascii="Times New Roman" w:hAnsi="Times New Roman" w:cs="Times New Roman"/>
        </w:rPr>
        <w:t xml:space="preserve">il loro essere </w:t>
      </w:r>
      <w:r w:rsidR="00AC6AE4">
        <w:rPr>
          <w:rFonts w:ascii="Times New Roman" w:hAnsi="Times New Roman" w:cs="Times New Roman"/>
        </w:rPr>
        <w:t>soggetto e</w:t>
      </w:r>
      <w:r w:rsidR="00F90BEE" w:rsidRPr="009D28CE">
        <w:rPr>
          <w:rFonts w:ascii="Times New Roman" w:hAnsi="Times New Roman" w:cs="Times New Roman"/>
        </w:rPr>
        <w:t xml:space="preserve"> oggetto </w:t>
      </w:r>
      <w:r w:rsidR="00C011C7" w:rsidRPr="009D28CE">
        <w:rPr>
          <w:rFonts w:ascii="Times New Roman" w:hAnsi="Times New Roman" w:cs="Times New Roman"/>
        </w:rPr>
        <w:t>del proprio</w:t>
      </w:r>
      <w:r w:rsidRPr="009D28CE">
        <w:rPr>
          <w:rFonts w:ascii="Times New Roman" w:hAnsi="Times New Roman" w:cs="Times New Roman"/>
        </w:rPr>
        <w:t xml:space="preserve"> sviluppo.</w:t>
      </w:r>
      <w:r w:rsidR="000C6C81" w:rsidRPr="0078237E">
        <w:rPr>
          <w:rFonts w:ascii="Times New Roman" w:hAnsi="Times New Roman" w:cs="Times New Roman"/>
        </w:rPr>
        <w:t xml:space="preserve"> </w:t>
      </w:r>
      <w:r w:rsidR="00760389" w:rsidRPr="00715F28">
        <w:rPr>
          <w:rFonts w:ascii="Times New Roman" w:hAnsi="Times New Roman" w:cs="Times New Roman"/>
        </w:rPr>
        <w:t xml:space="preserve">Riguardo </w:t>
      </w:r>
      <w:r w:rsidR="000C6C81" w:rsidRPr="00715F28">
        <w:rPr>
          <w:rFonts w:ascii="Times New Roman" w:hAnsi="Times New Roman" w:cs="Times New Roman"/>
        </w:rPr>
        <w:t>a</w:t>
      </w:r>
      <w:r w:rsidR="005F4F8B" w:rsidRPr="00715F28">
        <w:rPr>
          <w:rFonts w:ascii="Times New Roman" w:hAnsi="Times New Roman" w:cs="Times New Roman"/>
        </w:rPr>
        <w:t>ll’</w:t>
      </w:r>
      <w:r w:rsidR="005F4F8B" w:rsidRPr="00715F28">
        <w:rPr>
          <w:rFonts w:ascii="Times New Roman" w:hAnsi="Times New Roman" w:cs="Times New Roman"/>
          <w:i/>
        </w:rPr>
        <w:t>einfache Beziehung</w:t>
      </w:r>
      <w:r w:rsidR="003E2FC0" w:rsidRPr="00715F28">
        <w:rPr>
          <w:rFonts w:ascii="Times New Roman" w:hAnsi="Times New Roman" w:cs="Times New Roman"/>
        </w:rPr>
        <w:t>, si può</w:t>
      </w:r>
      <w:r w:rsidR="00760389" w:rsidRPr="00715F28">
        <w:rPr>
          <w:rFonts w:ascii="Times New Roman" w:hAnsi="Times New Roman" w:cs="Times New Roman"/>
        </w:rPr>
        <w:t xml:space="preserve"> dire</w:t>
      </w:r>
      <w:r w:rsidRPr="00715F28">
        <w:rPr>
          <w:rFonts w:ascii="Times New Roman" w:hAnsi="Times New Roman" w:cs="Times New Roman"/>
        </w:rPr>
        <w:t xml:space="preserve"> che il rapporto fra infinito e finito, fra uno e molto, </w:t>
      </w:r>
      <w:r w:rsidR="00613844" w:rsidRPr="00715F28">
        <w:rPr>
          <w:rFonts w:ascii="Times New Roman" w:hAnsi="Times New Roman" w:cs="Times New Roman"/>
        </w:rPr>
        <w:t xml:space="preserve">fra nulla e determinato, </w:t>
      </w:r>
      <w:r w:rsidR="00760389" w:rsidRPr="00715F28">
        <w:rPr>
          <w:rFonts w:ascii="Times New Roman" w:hAnsi="Times New Roman" w:cs="Times New Roman"/>
        </w:rPr>
        <w:t>viene</w:t>
      </w:r>
      <w:r w:rsidR="005F4F8B" w:rsidRPr="00715F28">
        <w:rPr>
          <w:rFonts w:ascii="Times New Roman" w:hAnsi="Times New Roman" w:cs="Times New Roman"/>
        </w:rPr>
        <w:t xml:space="preserve"> </w:t>
      </w:r>
      <w:r w:rsidR="00A33E19" w:rsidRPr="00715F28">
        <w:rPr>
          <w:rFonts w:ascii="Times New Roman" w:hAnsi="Times New Roman" w:cs="Times New Roman"/>
          <w:i/>
        </w:rPr>
        <w:t>metafisicamente</w:t>
      </w:r>
      <w:r w:rsidR="00A33E19" w:rsidRPr="00715F28">
        <w:rPr>
          <w:rFonts w:ascii="Times New Roman" w:hAnsi="Times New Roman" w:cs="Times New Roman"/>
        </w:rPr>
        <w:t xml:space="preserve"> </w:t>
      </w:r>
      <w:r w:rsidR="00C011C7" w:rsidRPr="00715F28">
        <w:rPr>
          <w:rFonts w:ascii="Times New Roman" w:hAnsi="Times New Roman" w:cs="Times New Roman"/>
        </w:rPr>
        <w:t xml:space="preserve">ripreso </w:t>
      </w:r>
      <w:r w:rsidRPr="00715F28">
        <w:rPr>
          <w:rFonts w:ascii="Times New Roman" w:hAnsi="Times New Roman" w:cs="Times New Roman"/>
        </w:rPr>
        <w:t>nella sez</w:t>
      </w:r>
      <w:r w:rsidR="00664C5F" w:rsidRPr="00715F28">
        <w:rPr>
          <w:rFonts w:ascii="Times New Roman" w:hAnsi="Times New Roman" w:cs="Times New Roman"/>
        </w:rPr>
        <w:t xml:space="preserve">ione </w:t>
      </w:r>
      <w:r w:rsidR="004B00F7" w:rsidRPr="00715F28">
        <w:rPr>
          <w:rFonts w:ascii="Times New Roman" w:hAnsi="Times New Roman" w:cs="Times New Roman"/>
        </w:rPr>
        <w:t>su</w:t>
      </w:r>
      <w:r w:rsidR="000C6C81" w:rsidRPr="00715F28">
        <w:rPr>
          <w:rFonts w:ascii="Times New Roman" w:hAnsi="Times New Roman" w:cs="Times New Roman"/>
        </w:rPr>
        <w:t>ll</w:t>
      </w:r>
      <w:r w:rsidRPr="00715F28">
        <w:rPr>
          <w:rFonts w:ascii="Times New Roman" w:hAnsi="Times New Roman" w:cs="Times New Roman"/>
        </w:rPr>
        <w:t>’</w:t>
      </w:r>
      <w:r w:rsidR="0026014E" w:rsidRPr="00715F28">
        <w:rPr>
          <w:rFonts w:ascii="Times New Roman" w:hAnsi="Times New Roman" w:cs="Times New Roman"/>
          <w:i/>
        </w:rPr>
        <w:t>Höchstes</w:t>
      </w:r>
      <w:r w:rsidR="00085494" w:rsidRPr="00715F28">
        <w:rPr>
          <w:rFonts w:ascii="Times New Roman" w:hAnsi="Times New Roman" w:cs="Times New Roman"/>
          <w:i/>
        </w:rPr>
        <w:t xml:space="preserve"> </w:t>
      </w:r>
      <w:r w:rsidRPr="00715F28">
        <w:rPr>
          <w:rFonts w:ascii="Times New Roman" w:hAnsi="Times New Roman" w:cs="Times New Roman"/>
          <w:i/>
        </w:rPr>
        <w:t>Wesen</w:t>
      </w:r>
      <w:r w:rsidR="008974F6" w:rsidRPr="00715F28">
        <w:rPr>
          <w:rFonts w:ascii="Times New Roman" w:hAnsi="Times New Roman" w:cs="Times New Roman"/>
        </w:rPr>
        <w:t xml:space="preserve">, dove </w:t>
      </w:r>
      <w:r w:rsidR="00197220" w:rsidRPr="00715F28">
        <w:rPr>
          <w:rFonts w:ascii="Times New Roman" w:hAnsi="Times New Roman" w:cs="Times New Roman"/>
        </w:rPr>
        <w:t>s’</w:t>
      </w:r>
      <w:r w:rsidR="005F4F8B" w:rsidRPr="00715F28">
        <w:rPr>
          <w:rFonts w:ascii="Times New Roman" w:hAnsi="Times New Roman" w:cs="Times New Roman"/>
        </w:rPr>
        <w:t>assiste</w:t>
      </w:r>
      <w:r w:rsidR="00613844" w:rsidRPr="00715F28">
        <w:rPr>
          <w:rFonts w:ascii="Times New Roman" w:hAnsi="Times New Roman" w:cs="Times New Roman"/>
        </w:rPr>
        <w:t xml:space="preserve"> ad </w:t>
      </w:r>
      <w:r w:rsidRPr="00715F28">
        <w:rPr>
          <w:rFonts w:ascii="Times New Roman" w:hAnsi="Times New Roman" w:cs="Times New Roman"/>
        </w:rPr>
        <w:t>un</w:t>
      </w:r>
      <w:r w:rsidR="00A40048" w:rsidRPr="00715F28">
        <w:rPr>
          <w:rFonts w:ascii="Times New Roman" w:hAnsi="Times New Roman" w:cs="Times New Roman"/>
        </w:rPr>
        <w:t xml:space="preserve"> approfondimento</w:t>
      </w:r>
      <w:r w:rsidR="000D4972" w:rsidRPr="00715F28">
        <w:rPr>
          <w:rFonts w:ascii="Times New Roman" w:hAnsi="Times New Roman" w:cs="Times New Roman"/>
        </w:rPr>
        <w:t xml:space="preserve"> e una riorganizzazione</w:t>
      </w:r>
      <w:r w:rsidR="00A40048" w:rsidRPr="00715F28">
        <w:rPr>
          <w:rFonts w:ascii="Times New Roman" w:hAnsi="Times New Roman" w:cs="Times New Roman"/>
        </w:rPr>
        <w:t xml:space="preserve"> </w:t>
      </w:r>
      <w:r w:rsidR="006D6FF5" w:rsidRPr="00715F28">
        <w:rPr>
          <w:rFonts w:ascii="Times New Roman" w:hAnsi="Times New Roman" w:cs="Times New Roman"/>
        </w:rPr>
        <w:t>dell’</w:t>
      </w:r>
      <w:r w:rsidR="006D6FF5" w:rsidRPr="00715F28">
        <w:rPr>
          <w:rFonts w:ascii="Times New Roman" w:hAnsi="Times New Roman" w:cs="Times New Roman"/>
          <w:i/>
        </w:rPr>
        <w:t>Unendlichkeit</w:t>
      </w:r>
      <w:r w:rsidR="000C6C81" w:rsidRPr="00715F28">
        <w:rPr>
          <w:rFonts w:ascii="Times New Roman" w:hAnsi="Times New Roman" w:cs="Times New Roman"/>
        </w:rPr>
        <w:t xml:space="preserve"> </w:t>
      </w:r>
      <w:r w:rsidR="00B0701A" w:rsidRPr="00715F28">
        <w:rPr>
          <w:rFonts w:ascii="Times New Roman" w:hAnsi="Times New Roman" w:cs="Times New Roman"/>
        </w:rPr>
        <w:t xml:space="preserve">tramite </w:t>
      </w:r>
      <w:r w:rsidR="00A40048" w:rsidRPr="00715F28">
        <w:rPr>
          <w:rFonts w:ascii="Times New Roman" w:hAnsi="Times New Roman" w:cs="Times New Roman"/>
        </w:rPr>
        <w:t>l’innesto di</w:t>
      </w:r>
      <w:r w:rsidR="00760389" w:rsidRPr="00715F28">
        <w:rPr>
          <w:rFonts w:ascii="Times New Roman" w:hAnsi="Times New Roman" w:cs="Times New Roman"/>
        </w:rPr>
        <w:t xml:space="preserve"> </w:t>
      </w:r>
      <w:r w:rsidRPr="00715F28">
        <w:rPr>
          <w:rFonts w:ascii="Times New Roman" w:hAnsi="Times New Roman" w:cs="Times New Roman"/>
        </w:rPr>
        <w:t>el</w:t>
      </w:r>
      <w:r w:rsidR="00F90BEE" w:rsidRPr="00715F28">
        <w:rPr>
          <w:rFonts w:ascii="Times New Roman" w:hAnsi="Times New Roman" w:cs="Times New Roman"/>
        </w:rPr>
        <w:t xml:space="preserve">ementi </w:t>
      </w:r>
      <w:r w:rsidR="00760389" w:rsidRPr="00715F28">
        <w:rPr>
          <w:rFonts w:ascii="Times New Roman" w:hAnsi="Times New Roman" w:cs="Times New Roman"/>
        </w:rPr>
        <w:t xml:space="preserve">teorici </w:t>
      </w:r>
      <w:r w:rsidR="000D4972" w:rsidRPr="00715F28">
        <w:rPr>
          <w:rFonts w:ascii="Times New Roman" w:hAnsi="Times New Roman" w:cs="Times New Roman"/>
        </w:rPr>
        <w:t>kanti</w:t>
      </w:r>
      <w:r w:rsidR="004006A1">
        <w:rPr>
          <w:rFonts w:ascii="Times New Roman" w:hAnsi="Times New Roman" w:cs="Times New Roman"/>
        </w:rPr>
        <w:t>a</w:t>
      </w:r>
      <w:r w:rsidR="000D4972" w:rsidRPr="00715F28">
        <w:rPr>
          <w:rFonts w:ascii="Times New Roman" w:hAnsi="Times New Roman" w:cs="Times New Roman"/>
        </w:rPr>
        <w:t>ni</w:t>
      </w:r>
      <w:r w:rsidR="00A40048" w:rsidRPr="00715F28">
        <w:rPr>
          <w:rFonts w:ascii="Times New Roman" w:hAnsi="Times New Roman" w:cs="Times New Roman"/>
        </w:rPr>
        <w:t xml:space="preserve"> e </w:t>
      </w:r>
      <w:r w:rsidR="00B0701A" w:rsidRPr="00715F28">
        <w:rPr>
          <w:rFonts w:ascii="Times New Roman" w:hAnsi="Times New Roman" w:cs="Times New Roman"/>
        </w:rPr>
        <w:t>böhmiani su un</w:t>
      </w:r>
      <w:r w:rsidR="004006A1">
        <w:rPr>
          <w:rFonts w:ascii="Times New Roman" w:hAnsi="Times New Roman" w:cs="Times New Roman"/>
        </w:rPr>
        <w:t>a base</w:t>
      </w:r>
      <w:r w:rsidR="00B0701A" w:rsidRPr="00715F28">
        <w:rPr>
          <w:rFonts w:ascii="Times New Roman" w:hAnsi="Times New Roman" w:cs="Times New Roman"/>
        </w:rPr>
        <w:t xml:space="preserve"> </w:t>
      </w:r>
      <w:r w:rsidR="004006A1">
        <w:rPr>
          <w:rFonts w:ascii="Times New Roman" w:hAnsi="Times New Roman" w:cs="Times New Roman"/>
        </w:rPr>
        <w:t>argomentativa</w:t>
      </w:r>
      <w:r w:rsidR="000D4972" w:rsidRPr="00715F28">
        <w:rPr>
          <w:rFonts w:ascii="Times New Roman" w:hAnsi="Times New Roman" w:cs="Times New Roman"/>
        </w:rPr>
        <w:t xml:space="preserve"> </w:t>
      </w:r>
      <w:r w:rsidR="00B0701A" w:rsidRPr="00715F28">
        <w:rPr>
          <w:rFonts w:ascii="Times New Roman" w:hAnsi="Times New Roman" w:cs="Times New Roman"/>
        </w:rPr>
        <w:t>spi</w:t>
      </w:r>
      <w:r w:rsidR="004006A1">
        <w:rPr>
          <w:rFonts w:ascii="Times New Roman" w:hAnsi="Times New Roman" w:cs="Times New Roman"/>
        </w:rPr>
        <w:t>noziana</w:t>
      </w:r>
      <w:r w:rsidR="009C35CC" w:rsidRPr="00715F28">
        <w:rPr>
          <w:rFonts w:ascii="Times New Roman" w:hAnsi="Times New Roman" w:cs="Times New Roman"/>
        </w:rPr>
        <w:t>.</w:t>
      </w:r>
    </w:p>
    <w:p w14:paraId="5FE5FDE6" w14:textId="56510810" w:rsidR="00B666F6" w:rsidRPr="00BB6C62" w:rsidRDefault="00305C73" w:rsidP="00654608">
      <w:pPr>
        <w:spacing w:line="360" w:lineRule="auto"/>
        <w:ind w:firstLine="567"/>
        <w:jc w:val="both"/>
        <w:rPr>
          <w:rFonts w:ascii="Times New Roman" w:hAnsi="Times New Roman" w:cs="Times New Roman"/>
        </w:rPr>
      </w:pPr>
      <w:r>
        <w:rPr>
          <w:rFonts w:ascii="Times New Roman" w:hAnsi="Times New Roman" w:cs="Times New Roman"/>
        </w:rPr>
        <w:t>C</w:t>
      </w:r>
      <w:r w:rsidR="00CE0FEF">
        <w:rPr>
          <w:rFonts w:ascii="Times New Roman" w:hAnsi="Times New Roman" w:cs="Times New Roman"/>
        </w:rPr>
        <w:t xml:space="preserve">ome </w:t>
      </w:r>
      <w:r w:rsidR="003E6E79">
        <w:rPr>
          <w:rFonts w:ascii="Times New Roman" w:hAnsi="Times New Roman" w:cs="Times New Roman"/>
        </w:rPr>
        <w:t xml:space="preserve">s’evince </w:t>
      </w:r>
      <w:r w:rsidR="00897715">
        <w:rPr>
          <w:rFonts w:ascii="Times New Roman" w:hAnsi="Times New Roman" w:cs="Times New Roman"/>
        </w:rPr>
        <w:t xml:space="preserve">dal titolo della sezione conclusiva della </w:t>
      </w:r>
      <w:r w:rsidR="00897715" w:rsidRPr="00897715">
        <w:rPr>
          <w:rFonts w:ascii="Times New Roman" w:hAnsi="Times New Roman" w:cs="Times New Roman"/>
          <w:i/>
        </w:rPr>
        <w:t>Metaphysik der Objectivität</w:t>
      </w:r>
      <w:r w:rsidR="00CE0FEF" w:rsidRPr="00760389">
        <w:rPr>
          <w:rFonts w:ascii="Times New Roman" w:hAnsi="Times New Roman" w:cs="Times New Roman"/>
        </w:rPr>
        <w:t>,</w:t>
      </w:r>
      <w:r w:rsidR="00CE0FEF">
        <w:rPr>
          <w:rFonts w:ascii="Times New Roman" w:hAnsi="Times New Roman" w:cs="Times New Roman"/>
        </w:rPr>
        <w:t xml:space="preserve"> </w:t>
      </w:r>
      <w:r>
        <w:rPr>
          <w:rFonts w:ascii="Times New Roman" w:hAnsi="Times New Roman" w:cs="Times New Roman"/>
        </w:rPr>
        <w:t xml:space="preserve">discussa </w:t>
      </w:r>
      <w:r w:rsidR="00CE0FEF">
        <w:rPr>
          <w:rFonts w:ascii="Times New Roman" w:hAnsi="Times New Roman" w:cs="Times New Roman"/>
        </w:rPr>
        <w:t>è la natura dell’essenza</w:t>
      </w:r>
      <w:r w:rsidR="002063C9">
        <w:rPr>
          <w:rFonts w:ascii="Times New Roman" w:hAnsi="Times New Roman" w:cs="Times New Roman"/>
        </w:rPr>
        <w:t xml:space="preserve"> suprema</w:t>
      </w:r>
      <w:r w:rsidR="00CE0FEF">
        <w:rPr>
          <w:rFonts w:ascii="Times New Roman" w:hAnsi="Times New Roman" w:cs="Times New Roman"/>
        </w:rPr>
        <w:t>, della sostanza intesa come realtà onnicomprensiva.</w:t>
      </w:r>
      <w:r w:rsidR="00715F28">
        <w:rPr>
          <w:rFonts w:ascii="Times New Roman" w:hAnsi="Times New Roman" w:cs="Times New Roman"/>
        </w:rPr>
        <w:t xml:space="preserve"> S</w:t>
      </w:r>
      <w:r w:rsidR="00C95EC3">
        <w:rPr>
          <w:rFonts w:ascii="Times New Roman" w:hAnsi="Times New Roman" w:cs="Times New Roman"/>
        </w:rPr>
        <w:t xml:space="preserve">ebbene </w:t>
      </w:r>
      <w:r w:rsidR="00760389">
        <w:rPr>
          <w:rFonts w:ascii="Times New Roman" w:hAnsi="Times New Roman" w:cs="Times New Roman"/>
        </w:rPr>
        <w:t xml:space="preserve">sia impostato a partire </w:t>
      </w:r>
      <w:r w:rsidR="00715F28">
        <w:rPr>
          <w:rFonts w:ascii="Times New Roman" w:hAnsi="Times New Roman" w:cs="Times New Roman"/>
        </w:rPr>
        <w:t>dal recupero de</w:t>
      </w:r>
      <w:r w:rsidR="00760389">
        <w:rPr>
          <w:rFonts w:ascii="Times New Roman" w:hAnsi="Times New Roman" w:cs="Times New Roman"/>
        </w:rPr>
        <w:t>l</w:t>
      </w:r>
      <w:r w:rsidR="00C95EC3">
        <w:rPr>
          <w:rFonts w:ascii="Times New Roman" w:hAnsi="Times New Roman" w:cs="Times New Roman"/>
        </w:rPr>
        <w:t>l</w:t>
      </w:r>
      <w:r w:rsidR="002B21B0">
        <w:rPr>
          <w:rFonts w:ascii="Times New Roman" w:hAnsi="Times New Roman" w:cs="Times New Roman"/>
        </w:rPr>
        <w:t>’espressione kantiana</w:t>
      </w:r>
      <w:r w:rsidR="00C95EC3">
        <w:rPr>
          <w:rFonts w:ascii="Times New Roman" w:hAnsi="Times New Roman" w:cs="Times New Roman"/>
        </w:rPr>
        <w:t xml:space="preserve"> «das </w:t>
      </w:r>
      <w:r w:rsidR="00C95EC3" w:rsidRPr="00CD634B">
        <w:rPr>
          <w:rFonts w:ascii="Times New Roman" w:hAnsi="Times New Roman" w:cs="Times New Roman"/>
        </w:rPr>
        <w:t>höchste Wese</w:t>
      </w:r>
      <w:r w:rsidR="00CD634B" w:rsidRPr="00CD634B">
        <w:rPr>
          <w:rFonts w:ascii="Times New Roman" w:hAnsi="Times New Roman" w:cs="Times New Roman"/>
        </w:rPr>
        <w:t>n</w:t>
      </w:r>
      <w:r w:rsidR="00CD634B" w:rsidRPr="00CD634B">
        <w:rPr>
          <w:rFonts w:ascii="Times New Roman" w:eastAsia="Times New Roman" w:hAnsi="Times New Roman" w:cs="Times New Roman"/>
          <w:color w:val="000000"/>
        </w:rPr>
        <w:t>»</w:t>
      </w:r>
      <w:r w:rsidR="002B21B0" w:rsidRPr="00CD634B">
        <w:rPr>
          <w:rStyle w:val="Rimandonotaapidipagina"/>
          <w:rFonts w:ascii="Times New Roman" w:hAnsi="Times New Roman" w:cs="Times New Roman"/>
        </w:rPr>
        <w:footnoteReference w:id="178"/>
      </w:r>
      <w:r w:rsidR="002B21B0" w:rsidRPr="00CD634B">
        <w:rPr>
          <w:rFonts w:ascii="Times New Roman" w:hAnsi="Times New Roman" w:cs="Times New Roman"/>
        </w:rPr>
        <w:t>,</w:t>
      </w:r>
      <w:r w:rsidR="00715F28">
        <w:rPr>
          <w:rFonts w:ascii="Times New Roman" w:hAnsi="Times New Roman" w:cs="Times New Roman"/>
        </w:rPr>
        <w:t xml:space="preserve"> il discorso hegeliano</w:t>
      </w:r>
      <w:r w:rsidR="00CE0FEF">
        <w:rPr>
          <w:rFonts w:ascii="Times New Roman" w:hAnsi="Times New Roman" w:cs="Times New Roman"/>
        </w:rPr>
        <w:t xml:space="preserve"> verte su un’esp</w:t>
      </w:r>
      <w:r w:rsidR="00664C5F">
        <w:rPr>
          <w:rFonts w:ascii="Times New Roman" w:hAnsi="Times New Roman" w:cs="Times New Roman"/>
        </w:rPr>
        <w:t xml:space="preserve">osizione critica dell’ontologia </w:t>
      </w:r>
      <w:r w:rsidR="00CE0FEF">
        <w:rPr>
          <w:rFonts w:ascii="Times New Roman" w:hAnsi="Times New Roman" w:cs="Times New Roman"/>
        </w:rPr>
        <w:t xml:space="preserve">spinoziana. </w:t>
      </w:r>
      <w:r w:rsidR="00CE4C34">
        <w:rPr>
          <w:rFonts w:ascii="Times New Roman" w:hAnsi="Times New Roman" w:cs="Times New Roman"/>
        </w:rPr>
        <w:t xml:space="preserve">È già </w:t>
      </w:r>
      <w:r w:rsidR="00664C5F">
        <w:rPr>
          <w:rFonts w:ascii="Times New Roman" w:hAnsi="Times New Roman" w:cs="Times New Roman"/>
        </w:rPr>
        <w:t xml:space="preserve">stato </w:t>
      </w:r>
      <w:r w:rsidR="00CE4C34">
        <w:rPr>
          <w:rFonts w:ascii="Times New Roman" w:hAnsi="Times New Roman" w:cs="Times New Roman"/>
        </w:rPr>
        <w:t xml:space="preserve">notato come il contenuto speculativo dello spinozismo </w:t>
      </w:r>
      <w:r w:rsidR="005322A5">
        <w:rPr>
          <w:rFonts w:ascii="Times New Roman" w:hAnsi="Times New Roman" w:cs="Times New Roman"/>
        </w:rPr>
        <w:t xml:space="preserve">sia oggetto di </w:t>
      </w:r>
      <w:r w:rsidR="00CE4C34">
        <w:rPr>
          <w:rFonts w:ascii="Times New Roman" w:hAnsi="Times New Roman" w:cs="Times New Roman"/>
        </w:rPr>
        <w:t xml:space="preserve">una decisa </w:t>
      </w:r>
      <w:r w:rsidR="005322A5">
        <w:rPr>
          <w:rFonts w:ascii="Times New Roman" w:hAnsi="Times New Roman" w:cs="Times New Roman"/>
        </w:rPr>
        <w:t xml:space="preserve">critica </w:t>
      </w:r>
      <w:r w:rsidR="00CE4C34" w:rsidRPr="005322A5">
        <w:rPr>
          <w:rFonts w:ascii="Times New Roman" w:hAnsi="Times New Roman" w:cs="Times New Roman"/>
          <w:i/>
        </w:rPr>
        <w:t>formale</w:t>
      </w:r>
      <w:r w:rsidR="00E036AB">
        <w:rPr>
          <w:rStyle w:val="Rimandonotaapidipagina"/>
          <w:rFonts w:ascii="Times New Roman" w:hAnsi="Times New Roman" w:cs="Times New Roman"/>
          <w:i/>
        </w:rPr>
        <w:footnoteReference w:id="179"/>
      </w:r>
      <w:r w:rsidR="00CE4C34">
        <w:rPr>
          <w:rFonts w:ascii="Times New Roman" w:hAnsi="Times New Roman" w:cs="Times New Roman"/>
        </w:rPr>
        <w:t xml:space="preserve">: </w:t>
      </w:r>
      <w:r w:rsidR="005322A5">
        <w:rPr>
          <w:rFonts w:ascii="Times New Roman" w:hAnsi="Times New Roman" w:cs="Times New Roman"/>
        </w:rPr>
        <w:t>al</w:t>
      </w:r>
      <w:r w:rsidR="009D626C">
        <w:rPr>
          <w:rFonts w:ascii="Times New Roman" w:hAnsi="Times New Roman" w:cs="Times New Roman"/>
        </w:rPr>
        <w:t xml:space="preserve"> superamento</w:t>
      </w:r>
      <w:r w:rsidR="00E71B1F">
        <w:rPr>
          <w:rFonts w:ascii="Times New Roman" w:hAnsi="Times New Roman" w:cs="Times New Roman"/>
        </w:rPr>
        <w:t xml:space="preserve"> di una</w:t>
      </w:r>
      <w:r w:rsidR="005322A5">
        <w:rPr>
          <w:rFonts w:ascii="Times New Roman" w:hAnsi="Times New Roman" w:cs="Times New Roman"/>
        </w:rPr>
        <w:t xml:space="preserve"> </w:t>
      </w:r>
      <w:r w:rsidR="00CE4C34">
        <w:rPr>
          <w:rFonts w:ascii="Times New Roman" w:hAnsi="Times New Roman" w:cs="Times New Roman"/>
        </w:rPr>
        <w:t xml:space="preserve">forma </w:t>
      </w:r>
      <w:r w:rsidR="00E71B1F">
        <w:rPr>
          <w:rFonts w:ascii="Times New Roman" w:hAnsi="Times New Roman" w:cs="Times New Roman"/>
        </w:rPr>
        <w:t xml:space="preserve">inadeguata </w:t>
      </w:r>
      <w:r w:rsidR="00CE4C34">
        <w:rPr>
          <w:rFonts w:ascii="Times New Roman" w:hAnsi="Times New Roman" w:cs="Times New Roman"/>
        </w:rPr>
        <w:t xml:space="preserve">del conoscere, </w:t>
      </w:r>
      <w:r w:rsidR="009D626C">
        <w:rPr>
          <w:rFonts w:ascii="Times New Roman" w:hAnsi="Times New Roman" w:cs="Times New Roman"/>
        </w:rPr>
        <w:t>segue un</w:t>
      </w:r>
      <w:r w:rsidR="005322A5">
        <w:rPr>
          <w:rFonts w:ascii="Times New Roman" w:hAnsi="Times New Roman" w:cs="Times New Roman"/>
        </w:rPr>
        <w:t>a realizzazione de</w:t>
      </w:r>
      <w:r w:rsidR="00CE4C34">
        <w:rPr>
          <w:rFonts w:ascii="Times New Roman" w:hAnsi="Times New Roman" w:cs="Times New Roman"/>
        </w:rPr>
        <w:t>l contento come s</w:t>
      </w:r>
      <w:r w:rsidR="00197220">
        <w:rPr>
          <w:rFonts w:ascii="Times New Roman" w:hAnsi="Times New Roman" w:cs="Times New Roman"/>
        </w:rPr>
        <w:t>oggetto dotato</w:t>
      </w:r>
      <w:r w:rsidR="00CE4C34">
        <w:rPr>
          <w:rFonts w:ascii="Times New Roman" w:hAnsi="Times New Roman" w:cs="Times New Roman"/>
        </w:rPr>
        <w:t xml:space="preserve"> d</w:t>
      </w:r>
      <w:r w:rsidR="00820608">
        <w:rPr>
          <w:rFonts w:ascii="Times New Roman" w:hAnsi="Times New Roman" w:cs="Times New Roman"/>
        </w:rPr>
        <w:t>i auto</w:t>
      </w:r>
      <w:r w:rsidR="00CE4C34">
        <w:rPr>
          <w:rFonts w:ascii="Times New Roman" w:hAnsi="Times New Roman" w:cs="Times New Roman"/>
        </w:rPr>
        <w:t xml:space="preserve">riflessività, </w:t>
      </w:r>
      <w:r w:rsidR="005322A5">
        <w:rPr>
          <w:rFonts w:ascii="Times New Roman" w:hAnsi="Times New Roman" w:cs="Times New Roman"/>
        </w:rPr>
        <w:t xml:space="preserve">ossia di una </w:t>
      </w:r>
      <w:r w:rsidR="00E71B1F">
        <w:rPr>
          <w:rFonts w:ascii="Times New Roman" w:hAnsi="Times New Roman" w:cs="Times New Roman"/>
        </w:rPr>
        <w:t xml:space="preserve">propria </w:t>
      </w:r>
      <w:r w:rsidR="00CE4C34">
        <w:rPr>
          <w:rFonts w:ascii="Times New Roman" w:hAnsi="Times New Roman" w:cs="Times New Roman"/>
        </w:rPr>
        <w:t xml:space="preserve">negatività interiore, che lo fa essere soggetto ed oggetto del proprio sviluppo. </w:t>
      </w:r>
      <w:r w:rsidR="00CE4C34" w:rsidRPr="005435AC">
        <w:rPr>
          <w:rFonts w:ascii="Times New Roman" w:hAnsi="Times New Roman" w:cs="Times New Roman"/>
        </w:rPr>
        <w:t>Questo piano programmatico hegeliano, che</w:t>
      </w:r>
      <w:r w:rsidR="0088448D" w:rsidRPr="005435AC">
        <w:rPr>
          <w:rFonts w:ascii="Times New Roman" w:hAnsi="Times New Roman" w:cs="Times New Roman"/>
        </w:rPr>
        <w:t xml:space="preserve"> si concretizza</w:t>
      </w:r>
      <w:r w:rsidR="00850C0F" w:rsidRPr="005435AC">
        <w:rPr>
          <w:rFonts w:ascii="Times New Roman" w:hAnsi="Times New Roman" w:cs="Times New Roman"/>
        </w:rPr>
        <w:t xml:space="preserve">, </w:t>
      </w:r>
      <w:r w:rsidR="00BB6DF2" w:rsidRPr="005435AC">
        <w:rPr>
          <w:rFonts w:ascii="Times New Roman" w:hAnsi="Times New Roman" w:cs="Times New Roman"/>
        </w:rPr>
        <w:t xml:space="preserve">seguendo </w:t>
      </w:r>
      <w:r w:rsidR="00DA4B24" w:rsidRPr="005435AC">
        <w:rPr>
          <w:rFonts w:ascii="Times New Roman" w:hAnsi="Times New Roman" w:cs="Times New Roman"/>
        </w:rPr>
        <w:t xml:space="preserve">la </w:t>
      </w:r>
      <w:r w:rsidR="00DA4B24" w:rsidRPr="005435AC">
        <w:rPr>
          <w:rFonts w:ascii="Times New Roman" w:hAnsi="Times New Roman" w:cs="Times New Roman"/>
          <w:i/>
        </w:rPr>
        <w:t>Vorrede</w:t>
      </w:r>
      <w:r w:rsidR="00DA4B24" w:rsidRPr="005435AC">
        <w:rPr>
          <w:rFonts w:ascii="Times New Roman" w:hAnsi="Times New Roman" w:cs="Times New Roman"/>
        </w:rPr>
        <w:t xml:space="preserve"> a</w:t>
      </w:r>
      <w:r w:rsidR="00CE4C34" w:rsidRPr="005435AC">
        <w:rPr>
          <w:rFonts w:ascii="Times New Roman" w:hAnsi="Times New Roman" w:cs="Times New Roman"/>
        </w:rPr>
        <w:t>ll</w:t>
      </w:r>
      <w:r w:rsidR="0058111F" w:rsidRPr="005435AC">
        <w:rPr>
          <w:rFonts w:ascii="Times New Roman" w:hAnsi="Times New Roman" w:cs="Times New Roman"/>
        </w:rPr>
        <w:t xml:space="preserve">a </w:t>
      </w:r>
      <w:r w:rsidR="0058111F" w:rsidRPr="005435AC">
        <w:rPr>
          <w:rFonts w:ascii="Times New Roman" w:hAnsi="Times New Roman" w:cs="Times New Roman"/>
          <w:i/>
        </w:rPr>
        <w:t>Phänomenologie</w:t>
      </w:r>
      <w:r w:rsidR="00CE4C34">
        <w:rPr>
          <w:rFonts w:ascii="Times New Roman" w:hAnsi="Times New Roman" w:cs="Times New Roman"/>
        </w:rPr>
        <w:t>,</w:t>
      </w:r>
      <w:r w:rsidR="0058111F">
        <w:rPr>
          <w:rFonts w:ascii="Times New Roman" w:hAnsi="Times New Roman" w:cs="Times New Roman"/>
        </w:rPr>
        <w:t xml:space="preserve"> nel pensare</w:t>
      </w:r>
      <w:r w:rsidR="00850C0F">
        <w:rPr>
          <w:rFonts w:ascii="Times New Roman" w:hAnsi="Times New Roman" w:cs="Times New Roman"/>
        </w:rPr>
        <w:t xml:space="preserve"> </w:t>
      </w:r>
      <w:r w:rsidR="0088448D" w:rsidRPr="00570FAB">
        <w:rPr>
          <w:rFonts w:ascii="Times New Roman" w:hAnsi="Times New Roman" w:cs="Times New Roman"/>
        </w:rPr>
        <w:t>«</w:t>
      </w:r>
      <w:r w:rsidR="00850C0F" w:rsidRPr="00570FAB">
        <w:rPr>
          <w:rFonts w:ascii="Times New Roman" w:hAnsi="Times New Roman" w:cs="Times New Roman"/>
        </w:rPr>
        <w:t>die Substanz ebenso sehr als Subject</w:t>
      </w:r>
      <w:r w:rsidR="0088448D" w:rsidRPr="00570FAB">
        <w:rPr>
          <w:rFonts w:ascii="Times New Roman" w:eastAsia="Times New Roman" w:hAnsi="Times New Roman" w:cs="Times New Roman"/>
          <w:color w:val="000000"/>
        </w:rPr>
        <w:t>»</w:t>
      </w:r>
      <w:r w:rsidR="005322A5" w:rsidRPr="00570FAB">
        <w:rPr>
          <w:rFonts w:ascii="Times New Roman" w:eastAsia="Times New Roman" w:hAnsi="Times New Roman" w:cs="Times New Roman"/>
          <w:color w:val="000000"/>
        </w:rPr>
        <w:t xml:space="preserve">, cioè </w:t>
      </w:r>
      <w:r w:rsidR="00850C0F" w:rsidRPr="00570FAB">
        <w:rPr>
          <w:rFonts w:ascii="Times New Roman" w:eastAsia="Times New Roman" w:hAnsi="Times New Roman" w:cs="Times New Roman"/>
          <w:color w:val="000000"/>
        </w:rPr>
        <w:t>nel</w:t>
      </w:r>
      <w:r w:rsidR="005322A5" w:rsidRPr="00570FAB">
        <w:rPr>
          <w:rFonts w:ascii="Times New Roman" w:eastAsia="Times New Roman" w:hAnsi="Times New Roman" w:cs="Times New Roman"/>
          <w:color w:val="000000"/>
        </w:rPr>
        <w:t xml:space="preserve">l’unica e </w:t>
      </w:r>
      <w:r w:rsidR="0088448D" w:rsidRPr="00570FAB">
        <w:rPr>
          <w:rFonts w:ascii="Times New Roman" w:eastAsia="Times New Roman" w:hAnsi="Times New Roman" w:cs="Times New Roman"/>
          <w:color w:val="000000"/>
        </w:rPr>
        <w:t>«</w:t>
      </w:r>
      <w:r w:rsidR="0088448D" w:rsidRPr="00570FAB">
        <w:rPr>
          <w:rFonts w:ascii="Times New Roman" w:hAnsi="Times New Roman" w:cs="Times New Roman"/>
        </w:rPr>
        <w:t>wahrhafte Widerlegung des Spinozismus</w:t>
      </w:r>
      <w:r w:rsidR="0088448D" w:rsidRPr="00570FAB">
        <w:rPr>
          <w:rFonts w:ascii="Times New Roman" w:eastAsia="Times New Roman" w:hAnsi="Times New Roman" w:cs="Times New Roman"/>
          <w:color w:val="000000"/>
        </w:rPr>
        <w:t>»</w:t>
      </w:r>
      <w:r w:rsidR="0088448D" w:rsidRPr="00570FAB">
        <w:rPr>
          <w:rStyle w:val="Rimandonotaapidipagina"/>
          <w:rFonts w:ascii="Times New Roman" w:eastAsia="Times New Roman" w:hAnsi="Times New Roman" w:cs="Times New Roman"/>
          <w:color w:val="000000"/>
        </w:rPr>
        <w:footnoteReference w:id="180"/>
      </w:r>
      <w:r w:rsidR="00850C0F" w:rsidRPr="00570FAB">
        <w:rPr>
          <w:rFonts w:ascii="Times New Roman" w:hAnsi="Times New Roman" w:cs="Times New Roman"/>
        </w:rPr>
        <w:t>,</w:t>
      </w:r>
      <w:r w:rsidR="00850C0F">
        <w:rPr>
          <w:rFonts w:ascii="Times New Roman" w:hAnsi="Times New Roman" w:cs="Times New Roman"/>
        </w:rPr>
        <w:t xml:space="preserve"> </w:t>
      </w:r>
      <w:r w:rsidR="00CE4C34">
        <w:rPr>
          <w:rFonts w:ascii="Times New Roman" w:hAnsi="Times New Roman" w:cs="Times New Roman"/>
        </w:rPr>
        <w:t xml:space="preserve">è intrinsecamente legato ad una rivalutazione critica </w:t>
      </w:r>
      <w:r w:rsidR="005322A5">
        <w:rPr>
          <w:rFonts w:ascii="Times New Roman" w:hAnsi="Times New Roman" w:cs="Times New Roman"/>
        </w:rPr>
        <w:t>del ruolo svolto da</w:t>
      </w:r>
      <w:r w:rsidR="00CE4C34">
        <w:rPr>
          <w:rFonts w:ascii="Times New Roman" w:hAnsi="Times New Roman" w:cs="Times New Roman"/>
        </w:rPr>
        <w:t>llo spinozismo nel costit</w:t>
      </w:r>
      <w:r w:rsidR="00246F13">
        <w:rPr>
          <w:rFonts w:ascii="Times New Roman" w:hAnsi="Times New Roman" w:cs="Times New Roman"/>
        </w:rPr>
        <w:t xml:space="preserve">uirsi del pensiero speculativo. </w:t>
      </w:r>
      <w:r w:rsidR="005322A5">
        <w:rPr>
          <w:rFonts w:ascii="Times New Roman" w:hAnsi="Times New Roman" w:cs="Times New Roman"/>
        </w:rPr>
        <w:t>All’inadeguatezz</w:t>
      </w:r>
      <w:r w:rsidR="00CE4C34">
        <w:rPr>
          <w:rFonts w:ascii="Times New Roman" w:hAnsi="Times New Roman" w:cs="Times New Roman"/>
        </w:rPr>
        <w:t xml:space="preserve">a </w:t>
      </w:r>
      <w:r w:rsidR="005322A5">
        <w:rPr>
          <w:rFonts w:ascii="Times New Roman" w:hAnsi="Times New Roman" w:cs="Times New Roman"/>
        </w:rPr>
        <w:t xml:space="preserve">della </w:t>
      </w:r>
      <w:r w:rsidR="00CE4C34">
        <w:rPr>
          <w:rFonts w:ascii="Times New Roman" w:hAnsi="Times New Roman" w:cs="Times New Roman"/>
        </w:rPr>
        <w:t xml:space="preserve">forma, che schellinghianamente può essere l’intuizione </w:t>
      </w:r>
      <w:r w:rsidR="0088448D">
        <w:rPr>
          <w:rFonts w:ascii="Times New Roman" w:hAnsi="Times New Roman" w:cs="Times New Roman"/>
        </w:rPr>
        <w:t xml:space="preserve">intellettuale </w:t>
      </w:r>
      <w:r w:rsidR="00CE4C34">
        <w:rPr>
          <w:rFonts w:ascii="Times New Roman" w:hAnsi="Times New Roman" w:cs="Times New Roman"/>
        </w:rPr>
        <w:t xml:space="preserve">e spinozianamente il definizionismo d’ispirazione geometrico-matematica, </w:t>
      </w:r>
      <w:r w:rsidR="005322A5">
        <w:rPr>
          <w:rFonts w:ascii="Times New Roman" w:hAnsi="Times New Roman" w:cs="Times New Roman"/>
        </w:rPr>
        <w:t>corrisponde un’insufficienza d</w:t>
      </w:r>
      <w:r w:rsidR="00B012F0">
        <w:rPr>
          <w:rFonts w:ascii="Times New Roman" w:hAnsi="Times New Roman" w:cs="Times New Roman"/>
        </w:rPr>
        <w:t>el</w:t>
      </w:r>
      <w:r>
        <w:rPr>
          <w:rFonts w:ascii="Times New Roman" w:hAnsi="Times New Roman" w:cs="Times New Roman"/>
        </w:rPr>
        <w:t xml:space="preserve"> </w:t>
      </w:r>
      <w:r w:rsidR="00CE4C34" w:rsidRPr="00CF09D2">
        <w:rPr>
          <w:rFonts w:ascii="Times New Roman" w:hAnsi="Times New Roman" w:cs="Times New Roman"/>
        </w:rPr>
        <w:t xml:space="preserve">contenuto, che perde la sua prerogativa d’essere identità e non-identità d’ideale e reale, di spirito e natura, </w:t>
      </w:r>
      <w:r w:rsidR="00820608" w:rsidRPr="00CF09D2">
        <w:rPr>
          <w:rFonts w:ascii="Times New Roman" w:hAnsi="Times New Roman" w:cs="Times New Roman"/>
        </w:rPr>
        <w:t>d’infinito e finito,</w:t>
      </w:r>
      <w:r w:rsidR="00CE4C34" w:rsidRPr="00CF09D2">
        <w:rPr>
          <w:rFonts w:ascii="Times New Roman" w:hAnsi="Times New Roman" w:cs="Times New Roman"/>
        </w:rPr>
        <w:t xml:space="preserve"> dell’uno e del molto.</w:t>
      </w:r>
      <w:r w:rsidR="00B666F6" w:rsidRPr="00CF09D2">
        <w:rPr>
          <w:rFonts w:ascii="Times New Roman" w:hAnsi="Times New Roman" w:cs="Times New Roman"/>
        </w:rPr>
        <w:t xml:space="preserve"> </w:t>
      </w:r>
      <w:r w:rsidR="00592A66" w:rsidRPr="00CF09D2">
        <w:rPr>
          <w:rFonts w:ascii="Times New Roman" w:hAnsi="Times New Roman" w:cs="Times New Roman"/>
        </w:rPr>
        <w:t xml:space="preserve">La negatività astratta </w:t>
      </w:r>
      <w:r w:rsidR="00B666F6" w:rsidRPr="00CF09D2">
        <w:rPr>
          <w:rFonts w:ascii="Times New Roman" w:hAnsi="Times New Roman" w:cs="Times New Roman"/>
        </w:rPr>
        <w:t>del</w:t>
      </w:r>
      <w:r w:rsidR="00ED4361">
        <w:rPr>
          <w:rFonts w:ascii="Times New Roman" w:hAnsi="Times New Roman" w:cs="Times New Roman"/>
        </w:rPr>
        <w:t>l’ebraismo</w:t>
      </w:r>
      <w:r w:rsidR="00B666F6" w:rsidRPr="00CF09D2">
        <w:rPr>
          <w:rFonts w:ascii="Times New Roman" w:hAnsi="Times New Roman" w:cs="Times New Roman"/>
        </w:rPr>
        <w:t xml:space="preserve"> e</w:t>
      </w:r>
      <w:r w:rsidR="0088448D" w:rsidRPr="00CF09D2">
        <w:rPr>
          <w:rFonts w:ascii="Times New Roman" w:hAnsi="Times New Roman" w:cs="Times New Roman"/>
        </w:rPr>
        <w:t xml:space="preserve"> </w:t>
      </w:r>
      <w:r w:rsidR="00B666F6" w:rsidRPr="00CF09D2">
        <w:rPr>
          <w:rFonts w:ascii="Times New Roman" w:hAnsi="Times New Roman" w:cs="Times New Roman"/>
        </w:rPr>
        <w:t>l’i</w:t>
      </w:r>
      <w:r w:rsidR="00E71B1F" w:rsidRPr="00CF09D2">
        <w:rPr>
          <w:rFonts w:ascii="Times New Roman" w:hAnsi="Times New Roman" w:cs="Times New Roman"/>
        </w:rPr>
        <w:t>ndeterminatezza cab</w:t>
      </w:r>
      <w:r w:rsidR="004C6EA7" w:rsidRPr="00CF09D2">
        <w:rPr>
          <w:rFonts w:ascii="Times New Roman" w:hAnsi="Times New Roman" w:cs="Times New Roman"/>
        </w:rPr>
        <w:t>b</w:t>
      </w:r>
      <w:r w:rsidR="00E71B1F" w:rsidRPr="00CF09D2">
        <w:rPr>
          <w:rFonts w:ascii="Times New Roman" w:hAnsi="Times New Roman" w:cs="Times New Roman"/>
        </w:rPr>
        <w:t>alistica saranno</w:t>
      </w:r>
      <w:r w:rsidR="00B666F6" w:rsidRPr="00CF09D2">
        <w:rPr>
          <w:rFonts w:ascii="Times New Roman" w:hAnsi="Times New Roman" w:cs="Times New Roman"/>
        </w:rPr>
        <w:t xml:space="preserve"> quelle determinazioni</w:t>
      </w:r>
      <w:r w:rsidR="00E71B1F" w:rsidRPr="00CF09D2">
        <w:rPr>
          <w:rFonts w:ascii="Times New Roman" w:hAnsi="Times New Roman" w:cs="Times New Roman"/>
        </w:rPr>
        <w:t xml:space="preserve"> di pensiero</w:t>
      </w:r>
      <w:r w:rsidR="00B666F6" w:rsidRPr="00CF09D2">
        <w:rPr>
          <w:rFonts w:ascii="Times New Roman" w:hAnsi="Times New Roman" w:cs="Times New Roman"/>
        </w:rPr>
        <w:t xml:space="preserve"> alle quali Hegel, </w:t>
      </w:r>
      <w:r w:rsidR="00E71B1F" w:rsidRPr="00CF09D2">
        <w:rPr>
          <w:rFonts w:ascii="Times New Roman" w:hAnsi="Times New Roman" w:cs="Times New Roman"/>
        </w:rPr>
        <w:t xml:space="preserve">sempre più consapevolmente, legherà la sostanza spinoziana. </w:t>
      </w:r>
      <w:r w:rsidR="00592A66" w:rsidRPr="00CF09D2">
        <w:rPr>
          <w:rFonts w:ascii="Times New Roman" w:hAnsi="Times New Roman" w:cs="Times New Roman"/>
        </w:rPr>
        <w:t>Di questo declassame</w:t>
      </w:r>
      <w:r w:rsidR="00715F28" w:rsidRPr="00CF09D2">
        <w:rPr>
          <w:rFonts w:ascii="Times New Roman" w:hAnsi="Times New Roman" w:cs="Times New Roman"/>
        </w:rPr>
        <w:t>nto speculativo,</w:t>
      </w:r>
      <w:r w:rsidR="00592A66" w:rsidRPr="00CF09D2">
        <w:rPr>
          <w:rFonts w:ascii="Times New Roman" w:hAnsi="Times New Roman" w:cs="Times New Roman"/>
        </w:rPr>
        <w:t xml:space="preserve"> </w:t>
      </w:r>
      <w:r w:rsidR="009D626C" w:rsidRPr="00CF09D2">
        <w:rPr>
          <w:rFonts w:ascii="Times New Roman" w:hAnsi="Times New Roman" w:cs="Times New Roman"/>
        </w:rPr>
        <w:t xml:space="preserve">la </w:t>
      </w:r>
      <w:r w:rsidR="00BB6C62" w:rsidRPr="00CF09D2">
        <w:rPr>
          <w:rFonts w:ascii="Times New Roman" w:hAnsi="Times New Roman" w:cs="Times New Roman"/>
        </w:rPr>
        <w:t xml:space="preserve">metafisica di Jena </w:t>
      </w:r>
      <w:r w:rsidR="00B06312" w:rsidRPr="00CF09D2">
        <w:rPr>
          <w:rFonts w:ascii="Times New Roman" w:hAnsi="Times New Roman" w:cs="Times New Roman"/>
        </w:rPr>
        <w:t xml:space="preserve">offre già </w:t>
      </w:r>
      <w:r w:rsidR="00715F28" w:rsidRPr="00CF09D2">
        <w:rPr>
          <w:rFonts w:ascii="Times New Roman" w:hAnsi="Times New Roman" w:cs="Times New Roman"/>
        </w:rPr>
        <w:t xml:space="preserve">una </w:t>
      </w:r>
      <w:r w:rsidR="00BB6C62" w:rsidRPr="00CF09D2">
        <w:rPr>
          <w:rFonts w:ascii="Times New Roman" w:hAnsi="Times New Roman" w:cs="Times New Roman"/>
        </w:rPr>
        <w:t>testimonianza</w:t>
      </w:r>
      <w:r w:rsidR="00715F28" w:rsidRPr="00CF09D2">
        <w:rPr>
          <w:rFonts w:ascii="Times New Roman" w:hAnsi="Times New Roman" w:cs="Times New Roman"/>
        </w:rPr>
        <w:t xml:space="preserve"> significativa</w:t>
      </w:r>
      <w:r w:rsidR="00BB6C62" w:rsidRPr="00CF09D2">
        <w:rPr>
          <w:rFonts w:ascii="Times New Roman" w:hAnsi="Times New Roman" w:cs="Times New Roman"/>
        </w:rPr>
        <w:t>:</w:t>
      </w:r>
    </w:p>
    <w:p w14:paraId="0BF5EFF3" w14:textId="77777777" w:rsidR="005435AC" w:rsidRDefault="005435AC" w:rsidP="00654608">
      <w:pPr>
        <w:spacing w:line="360" w:lineRule="auto"/>
        <w:ind w:firstLine="567"/>
        <w:jc w:val="both"/>
        <w:rPr>
          <w:rFonts w:ascii="Times New Roman" w:hAnsi="Times New Roman" w:cs="Times New Roman"/>
        </w:rPr>
      </w:pPr>
    </w:p>
    <w:p w14:paraId="75B8C37A" w14:textId="25E26166" w:rsidR="00CE0FEF" w:rsidRPr="00570FAB" w:rsidRDefault="00B666F6" w:rsidP="004B00F7">
      <w:pPr>
        <w:spacing w:line="360" w:lineRule="auto"/>
        <w:ind w:left="567" w:firstLine="567"/>
        <w:jc w:val="both"/>
        <w:rPr>
          <w:rFonts w:ascii="Times New Roman" w:eastAsia="Times New Roman" w:hAnsi="Times New Roman" w:cs="Times New Roman"/>
          <w:color w:val="000000"/>
          <w:sz w:val="20"/>
          <w:szCs w:val="20"/>
        </w:rPr>
      </w:pPr>
      <w:r w:rsidRPr="00570FAB">
        <w:rPr>
          <w:rFonts w:ascii="Times New Roman" w:hAnsi="Times New Roman" w:cs="Times New Roman"/>
          <w:sz w:val="20"/>
          <w:szCs w:val="20"/>
        </w:rPr>
        <w:t>«Aber diß höchste Wesen ist sich darin sich selbst gleich, daß es selbst die absolute Negation und diese absoluteinfach ist; es ist um nichts zu thun, als diese selbst als das einfache darzustellen; und sie ist nur diß einfache</w:t>
      </w:r>
      <w:r w:rsidRPr="00570FAB">
        <w:rPr>
          <w:rFonts w:ascii="Times New Roman" w:eastAsia="Times New Roman" w:hAnsi="Times New Roman" w:cs="Times New Roman"/>
          <w:color w:val="000000"/>
          <w:sz w:val="20"/>
          <w:szCs w:val="20"/>
        </w:rPr>
        <w:t>»</w:t>
      </w:r>
      <w:r w:rsidRPr="00570FAB">
        <w:rPr>
          <w:rStyle w:val="Rimandonotaapidipagina"/>
          <w:rFonts w:ascii="Times New Roman" w:eastAsia="Times New Roman" w:hAnsi="Times New Roman" w:cs="Times New Roman"/>
          <w:color w:val="000000"/>
          <w:sz w:val="20"/>
          <w:szCs w:val="20"/>
        </w:rPr>
        <w:footnoteReference w:id="181"/>
      </w:r>
      <w:r w:rsidR="00EC6665" w:rsidRPr="00570FAB">
        <w:rPr>
          <w:rFonts w:ascii="Times New Roman" w:eastAsia="Times New Roman" w:hAnsi="Times New Roman" w:cs="Times New Roman"/>
          <w:color w:val="000000"/>
          <w:sz w:val="20"/>
          <w:szCs w:val="20"/>
        </w:rPr>
        <w:t>.</w:t>
      </w:r>
    </w:p>
    <w:p w14:paraId="1462C400" w14:textId="77777777" w:rsidR="00EC6665" w:rsidRPr="00FA283B" w:rsidRDefault="00EC6665" w:rsidP="00654608">
      <w:pPr>
        <w:spacing w:line="360" w:lineRule="auto"/>
        <w:ind w:firstLine="567"/>
        <w:jc w:val="both"/>
        <w:rPr>
          <w:rFonts w:ascii="Times New Roman" w:eastAsia="Times New Roman" w:hAnsi="Times New Roman" w:cs="Times New Roman"/>
          <w:color w:val="000000"/>
        </w:rPr>
      </w:pPr>
    </w:p>
    <w:p w14:paraId="23FD6CB2" w14:textId="56BAC1AF" w:rsidR="00A374DD" w:rsidRDefault="00305C73" w:rsidP="004C6EA7">
      <w:pPr>
        <w:spacing w:line="360" w:lineRule="auto"/>
        <w:ind w:firstLine="567"/>
        <w:jc w:val="both"/>
        <w:rPr>
          <w:rFonts w:ascii="Times New Roman" w:eastAsia="Times New Roman" w:hAnsi="Times New Roman" w:cs="Times New Roman"/>
          <w:color w:val="000000"/>
        </w:rPr>
      </w:pPr>
      <w:r w:rsidRPr="005435AC">
        <w:rPr>
          <w:rFonts w:ascii="Times New Roman" w:eastAsia="Times New Roman" w:hAnsi="Times New Roman" w:cs="Times New Roman"/>
          <w:color w:val="000000"/>
        </w:rPr>
        <w:t xml:space="preserve">Quest’estratto, che chiude la sezione </w:t>
      </w:r>
      <w:r w:rsidR="00E71B1F" w:rsidRPr="005435AC">
        <w:rPr>
          <w:rFonts w:ascii="Times New Roman" w:eastAsia="Times New Roman" w:hAnsi="Times New Roman" w:cs="Times New Roman"/>
          <w:color w:val="000000"/>
        </w:rPr>
        <w:t>d</w:t>
      </w:r>
      <w:r w:rsidR="00D52B62" w:rsidRPr="005435AC">
        <w:rPr>
          <w:rFonts w:ascii="Times New Roman" w:eastAsia="Times New Roman" w:hAnsi="Times New Roman" w:cs="Times New Roman"/>
          <w:color w:val="000000"/>
        </w:rPr>
        <w:t>ell’</w:t>
      </w:r>
      <w:r w:rsidR="00D52B62" w:rsidRPr="005435AC">
        <w:rPr>
          <w:rFonts w:ascii="Times New Roman" w:hAnsi="Times New Roman" w:cs="Times New Roman"/>
          <w:i/>
        </w:rPr>
        <w:t>Höchstes Wesen</w:t>
      </w:r>
      <w:r w:rsidR="004C6EA7">
        <w:rPr>
          <w:rFonts w:ascii="Times New Roman" w:eastAsia="Times New Roman" w:hAnsi="Times New Roman" w:cs="Times New Roman"/>
          <w:color w:val="000000"/>
        </w:rPr>
        <w:t xml:space="preserve"> e</w:t>
      </w:r>
      <w:r w:rsidRPr="005435AC">
        <w:rPr>
          <w:rFonts w:ascii="Times New Roman" w:eastAsia="Times New Roman" w:hAnsi="Times New Roman" w:cs="Times New Roman"/>
          <w:color w:val="000000"/>
        </w:rPr>
        <w:t xml:space="preserve"> introduce la </w:t>
      </w:r>
      <w:r w:rsidR="00EC6665" w:rsidRPr="005435AC">
        <w:rPr>
          <w:rFonts w:ascii="Times New Roman" w:eastAsia="Times New Roman" w:hAnsi="Times New Roman" w:cs="Times New Roman"/>
          <w:i/>
          <w:color w:val="000000"/>
        </w:rPr>
        <w:t>Metaphysik der Subjectivität</w:t>
      </w:r>
      <w:r w:rsidRPr="005435AC">
        <w:rPr>
          <w:rFonts w:ascii="Times New Roman" w:eastAsia="Times New Roman" w:hAnsi="Times New Roman" w:cs="Times New Roman"/>
          <w:color w:val="000000"/>
        </w:rPr>
        <w:t xml:space="preserve">, rappresenta sia </w:t>
      </w:r>
      <w:r w:rsidR="00EC6665" w:rsidRPr="005435AC">
        <w:rPr>
          <w:rFonts w:ascii="Times New Roman" w:eastAsia="Times New Roman" w:hAnsi="Times New Roman" w:cs="Times New Roman"/>
          <w:color w:val="000000"/>
        </w:rPr>
        <w:t xml:space="preserve">il punto d’arrivo della critica </w:t>
      </w:r>
      <w:r w:rsidR="00535159" w:rsidRPr="005435AC">
        <w:rPr>
          <w:rFonts w:ascii="Times New Roman" w:eastAsia="Times New Roman" w:hAnsi="Times New Roman" w:cs="Times New Roman"/>
          <w:color w:val="000000"/>
        </w:rPr>
        <w:t>mossa da Hegel all’astrattismo</w:t>
      </w:r>
      <w:r w:rsidR="004473A2">
        <w:rPr>
          <w:rFonts w:ascii="Times New Roman" w:eastAsia="Times New Roman" w:hAnsi="Times New Roman" w:cs="Times New Roman"/>
          <w:color w:val="000000"/>
        </w:rPr>
        <w:t xml:space="preserve"> spinozian</w:t>
      </w:r>
      <w:r w:rsidR="00EC6665" w:rsidRPr="005435AC">
        <w:rPr>
          <w:rFonts w:ascii="Times New Roman" w:eastAsia="Times New Roman" w:hAnsi="Times New Roman" w:cs="Times New Roman"/>
          <w:color w:val="000000"/>
        </w:rPr>
        <w:t>o</w:t>
      </w:r>
      <w:r w:rsidR="009D626C" w:rsidRPr="005435AC">
        <w:rPr>
          <w:rFonts w:ascii="Times New Roman" w:eastAsia="Times New Roman" w:hAnsi="Times New Roman" w:cs="Times New Roman"/>
          <w:color w:val="000000"/>
        </w:rPr>
        <w:t>, che</w:t>
      </w:r>
      <w:r w:rsidRPr="005435AC">
        <w:rPr>
          <w:rFonts w:ascii="Times New Roman" w:eastAsia="Times New Roman" w:hAnsi="Times New Roman" w:cs="Times New Roman"/>
          <w:color w:val="000000"/>
        </w:rPr>
        <w:t xml:space="preserve"> il punto di partenza di </w:t>
      </w:r>
      <w:r w:rsidR="00166591">
        <w:rPr>
          <w:rFonts w:ascii="Times New Roman" w:eastAsia="Times New Roman" w:hAnsi="Times New Roman" w:cs="Times New Roman"/>
          <w:color w:val="000000"/>
        </w:rPr>
        <w:t>una ricostruzione retrospettiva</w:t>
      </w:r>
      <w:r w:rsidR="00535159" w:rsidRPr="005435AC">
        <w:rPr>
          <w:rFonts w:ascii="Times New Roman" w:eastAsia="Times New Roman" w:hAnsi="Times New Roman" w:cs="Times New Roman"/>
          <w:color w:val="000000"/>
        </w:rPr>
        <w:t xml:space="preserve"> </w:t>
      </w:r>
      <w:r w:rsidRPr="005435AC">
        <w:rPr>
          <w:rFonts w:ascii="Times New Roman" w:eastAsia="Times New Roman" w:hAnsi="Times New Roman" w:cs="Times New Roman"/>
          <w:color w:val="000000"/>
        </w:rPr>
        <w:t>dei passaggi intermedi</w:t>
      </w:r>
      <w:r w:rsidR="00EC6665" w:rsidRPr="005435AC">
        <w:rPr>
          <w:rFonts w:ascii="Times New Roman" w:eastAsia="Times New Roman" w:hAnsi="Times New Roman" w:cs="Times New Roman"/>
          <w:color w:val="000000"/>
        </w:rPr>
        <w:t xml:space="preserve"> che</w:t>
      </w:r>
      <w:r w:rsidR="009D626C" w:rsidRPr="005435AC">
        <w:rPr>
          <w:rFonts w:ascii="Times New Roman" w:eastAsia="Times New Roman" w:hAnsi="Times New Roman" w:cs="Times New Roman"/>
          <w:color w:val="000000"/>
        </w:rPr>
        <w:t xml:space="preserve"> ne</w:t>
      </w:r>
      <w:r w:rsidR="00EC6665" w:rsidRPr="005435AC">
        <w:rPr>
          <w:rFonts w:ascii="Times New Roman" w:eastAsia="Times New Roman" w:hAnsi="Times New Roman" w:cs="Times New Roman"/>
          <w:color w:val="000000"/>
        </w:rPr>
        <w:t xml:space="preserve"> </w:t>
      </w:r>
      <w:r w:rsidR="009D626C" w:rsidRPr="005435AC">
        <w:rPr>
          <w:rFonts w:ascii="Times New Roman" w:eastAsia="Times New Roman" w:hAnsi="Times New Roman" w:cs="Times New Roman"/>
          <w:color w:val="000000"/>
        </w:rPr>
        <w:t>hanno scandito la</w:t>
      </w:r>
      <w:r w:rsidRPr="005435AC">
        <w:rPr>
          <w:rFonts w:ascii="Times New Roman" w:eastAsia="Times New Roman" w:hAnsi="Times New Roman" w:cs="Times New Roman"/>
          <w:color w:val="000000"/>
        </w:rPr>
        <w:t xml:space="preserve"> formulazione</w:t>
      </w:r>
      <w:r w:rsidR="00EC6665" w:rsidRPr="005435AC">
        <w:rPr>
          <w:rFonts w:ascii="Times New Roman" w:eastAsia="Times New Roman" w:hAnsi="Times New Roman" w:cs="Times New Roman"/>
          <w:color w:val="000000"/>
        </w:rPr>
        <w:t>.</w:t>
      </w:r>
      <w:r w:rsidR="00EC6665">
        <w:rPr>
          <w:rFonts w:ascii="Times New Roman" w:eastAsia="Times New Roman" w:hAnsi="Times New Roman" w:cs="Times New Roman"/>
          <w:color w:val="000000"/>
        </w:rPr>
        <w:t xml:space="preserve"> </w:t>
      </w:r>
      <w:r w:rsidR="00771C60">
        <w:rPr>
          <w:rFonts w:ascii="Times New Roman" w:eastAsia="Times New Roman" w:hAnsi="Times New Roman" w:cs="Times New Roman"/>
          <w:color w:val="000000"/>
        </w:rPr>
        <w:t xml:space="preserve">Affermando </w:t>
      </w:r>
      <w:r w:rsidR="00166591">
        <w:rPr>
          <w:rFonts w:ascii="Times New Roman" w:eastAsia="Times New Roman" w:hAnsi="Times New Roman" w:cs="Times New Roman"/>
          <w:color w:val="000000"/>
        </w:rPr>
        <w:t xml:space="preserve">che l’essenza </w:t>
      </w:r>
      <w:r w:rsidR="006C008E">
        <w:rPr>
          <w:rFonts w:ascii="Times New Roman" w:eastAsia="Times New Roman" w:hAnsi="Times New Roman" w:cs="Times New Roman"/>
          <w:color w:val="000000"/>
        </w:rPr>
        <w:t>suprem</w:t>
      </w:r>
      <w:r w:rsidR="00166591">
        <w:rPr>
          <w:rFonts w:ascii="Times New Roman" w:eastAsia="Times New Roman" w:hAnsi="Times New Roman" w:cs="Times New Roman"/>
          <w:color w:val="000000"/>
        </w:rPr>
        <w:t xml:space="preserve">a è </w:t>
      </w:r>
      <w:r w:rsidR="00EC6665">
        <w:rPr>
          <w:rFonts w:ascii="Times New Roman" w:eastAsia="Times New Roman" w:hAnsi="Times New Roman" w:cs="Times New Roman"/>
          <w:color w:val="000000"/>
        </w:rPr>
        <w:t xml:space="preserve">negazione assolutamente semplice, Hegel vuole dirci che nel suo essere </w:t>
      </w:r>
      <w:r w:rsidR="00EC6665" w:rsidRPr="00EC6665">
        <w:rPr>
          <w:rFonts w:ascii="Times New Roman" w:eastAsia="Times New Roman" w:hAnsi="Times New Roman" w:cs="Times New Roman"/>
          <w:i/>
          <w:color w:val="000000"/>
        </w:rPr>
        <w:t>absoluteinfach</w:t>
      </w:r>
      <w:r w:rsidR="00EC6665">
        <w:rPr>
          <w:rFonts w:ascii="Times New Roman" w:eastAsia="Times New Roman" w:hAnsi="Times New Roman" w:cs="Times New Roman"/>
          <w:color w:val="000000"/>
        </w:rPr>
        <w:t xml:space="preserve"> la sostanza spinoziana non è capace di determinare, a partire dal rapporto semplice a sé, </w:t>
      </w:r>
      <w:r w:rsidR="00534025">
        <w:rPr>
          <w:rFonts w:ascii="Times New Roman" w:eastAsia="Times New Roman" w:hAnsi="Times New Roman" w:cs="Times New Roman"/>
          <w:color w:val="000000"/>
        </w:rPr>
        <w:t xml:space="preserve">né </w:t>
      </w:r>
      <w:r w:rsidR="00EC6665">
        <w:rPr>
          <w:rFonts w:ascii="Times New Roman" w:eastAsia="Times New Roman" w:hAnsi="Times New Roman" w:cs="Times New Roman"/>
          <w:color w:val="000000"/>
        </w:rPr>
        <w:t>il generarsi dell’altro da sé</w:t>
      </w:r>
      <w:r w:rsidR="004C6EA7">
        <w:rPr>
          <w:rFonts w:ascii="Times New Roman" w:eastAsia="Times New Roman" w:hAnsi="Times New Roman" w:cs="Times New Roman"/>
          <w:color w:val="000000"/>
        </w:rPr>
        <w:t xml:space="preserve"> in sé</w:t>
      </w:r>
      <w:r w:rsidR="00534025">
        <w:rPr>
          <w:rFonts w:ascii="Times New Roman" w:eastAsia="Times New Roman" w:hAnsi="Times New Roman" w:cs="Times New Roman"/>
          <w:color w:val="000000"/>
        </w:rPr>
        <w:t xml:space="preserve">, né </w:t>
      </w:r>
      <w:r w:rsidR="00EC6665">
        <w:rPr>
          <w:rFonts w:ascii="Times New Roman" w:eastAsia="Times New Roman" w:hAnsi="Times New Roman" w:cs="Times New Roman"/>
          <w:color w:val="000000"/>
        </w:rPr>
        <w:t xml:space="preserve">il mantenersi </w:t>
      </w:r>
      <w:r w:rsidR="00850C0F">
        <w:rPr>
          <w:rFonts w:ascii="Times New Roman" w:eastAsia="Times New Roman" w:hAnsi="Times New Roman" w:cs="Times New Roman"/>
          <w:color w:val="000000"/>
        </w:rPr>
        <w:t>e superarsi dell’opposizione</w:t>
      </w:r>
      <w:r w:rsidR="00EC6665">
        <w:rPr>
          <w:rFonts w:ascii="Times New Roman" w:eastAsia="Times New Roman" w:hAnsi="Times New Roman" w:cs="Times New Roman"/>
          <w:color w:val="000000"/>
        </w:rPr>
        <w:t xml:space="preserve"> nell’</w:t>
      </w:r>
      <w:r w:rsidR="00534025">
        <w:rPr>
          <w:rFonts w:ascii="Times New Roman" w:eastAsia="Times New Roman" w:hAnsi="Times New Roman" w:cs="Times New Roman"/>
          <w:color w:val="000000"/>
        </w:rPr>
        <w:t xml:space="preserve">identità </w:t>
      </w:r>
      <w:r w:rsidR="00623722">
        <w:rPr>
          <w:rFonts w:ascii="Times New Roman" w:eastAsia="Times New Roman" w:hAnsi="Times New Roman" w:cs="Times New Roman"/>
          <w:color w:val="000000"/>
        </w:rPr>
        <w:t>assoluta</w:t>
      </w:r>
      <w:r w:rsidR="00EC6665">
        <w:rPr>
          <w:rFonts w:ascii="Times New Roman" w:eastAsia="Times New Roman" w:hAnsi="Times New Roman" w:cs="Times New Roman"/>
          <w:color w:val="000000"/>
        </w:rPr>
        <w:t xml:space="preserve">. </w:t>
      </w:r>
      <w:r w:rsidR="00BB6C62">
        <w:rPr>
          <w:rFonts w:ascii="Times New Roman" w:eastAsia="Times New Roman" w:hAnsi="Times New Roman" w:cs="Times New Roman"/>
          <w:color w:val="000000"/>
        </w:rPr>
        <w:t>E</w:t>
      </w:r>
      <w:r w:rsidR="00534025" w:rsidRPr="005435AC">
        <w:rPr>
          <w:rFonts w:ascii="Times New Roman" w:eastAsia="Times New Roman" w:hAnsi="Times New Roman" w:cs="Times New Roman"/>
          <w:color w:val="000000"/>
        </w:rPr>
        <w:t>ssendo riflessione assolutamente semplice,</w:t>
      </w:r>
      <w:r w:rsidR="00BB6C62" w:rsidRPr="00BB6C62">
        <w:rPr>
          <w:rFonts w:ascii="Times New Roman" w:eastAsia="Times New Roman" w:hAnsi="Times New Roman" w:cs="Times New Roman"/>
          <w:color w:val="000000"/>
        </w:rPr>
        <w:t xml:space="preserve"> </w:t>
      </w:r>
      <w:r w:rsidR="00BB6C62">
        <w:rPr>
          <w:rFonts w:ascii="Times New Roman" w:eastAsia="Times New Roman" w:hAnsi="Times New Roman" w:cs="Times New Roman"/>
          <w:color w:val="000000"/>
        </w:rPr>
        <w:t>la sostanza spinoziana</w:t>
      </w:r>
      <w:r w:rsidR="00534025" w:rsidRPr="005435AC">
        <w:rPr>
          <w:rFonts w:ascii="Times New Roman" w:eastAsia="Times New Roman" w:hAnsi="Times New Roman" w:cs="Times New Roman"/>
          <w:color w:val="000000"/>
        </w:rPr>
        <w:t xml:space="preserve"> non </w:t>
      </w:r>
      <w:r w:rsidR="00BB6C62">
        <w:rPr>
          <w:rFonts w:ascii="Times New Roman" w:eastAsia="Times New Roman" w:hAnsi="Times New Roman" w:cs="Times New Roman"/>
          <w:color w:val="000000"/>
        </w:rPr>
        <w:t>può</w:t>
      </w:r>
      <w:r w:rsidR="009B3A99">
        <w:rPr>
          <w:rFonts w:ascii="Times New Roman" w:eastAsia="Times New Roman" w:hAnsi="Times New Roman" w:cs="Times New Roman"/>
          <w:color w:val="000000"/>
        </w:rPr>
        <w:t xml:space="preserve"> attualizzare, né tanto</w:t>
      </w:r>
      <w:r w:rsidR="00535159" w:rsidRPr="005435AC">
        <w:rPr>
          <w:rFonts w:ascii="Times New Roman" w:eastAsia="Times New Roman" w:hAnsi="Times New Roman" w:cs="Times New Roman"/>
          <w:color w:val="000000"/>
        </w:rPr>
        <w:t xml:space="preserve">meno esprimere, la </w:t>
      </w:r>
      <w:r w:rsidR="00A374DD" w:rsidRPr="005435AC">
        <w:rPr>
          <w:rFonts w:ascii="Times New Roman" w:eastAsia="Times New Roman" w:hAnsi="Times New Roman" w:cs="Times New Roman"/>
          <w:color w:val="000000"/>
        </w:rPr>
        <w:t>propria essenza</w:t>
      </w:r>
      <w:r w:rsidR="002A2D4E" w:rsidRPr="005435AC">
        <w:rPr>
          <w:rFonts w:ascii="Times New Roman" w:eastAsia="Times New Roman" w:hAnsi="Times New Roman" w:cs="Times New Roman"/>
          <w:color w:val="000000"/>
        </w:rPr>
        <w:t>:</w:t>
      </w:r>
      <w:r w:rsidR="00A374DD">
        <w:rPr>
          <w:rFonts w:ascii="Times New Roman" w:eastAsia="Times New Roman" w:hAnsi="Times New Roman" w:cs="Times New Roman"/>
          <w:color w:val="000000"/>
        </w:rPr>
        <w:t xml:space="preserve"> </w:t>
      </w:r>
    </w:p>
    <w:p w14:paraId="2C05EFF2" w14:textId="68AF68D7" w:rsidR="00EC6665" w:rsidRDefault="00EC6665" w:rsidP="00654608">
      <w:pPr>
        <w:spacing w:line="360" w:lineRule="auto"/>
        <w:ind w:firstLine="567"/>
        <w:jc w:val="both"/>
        <w:rPr>
          <w:rFonts w:ascii="Times New Roman" w:eastAsia="Times New Roman" w:hAnsi="Times New Roman" w:cs="Times New Roman"/>
          <w:color w:val="000000"/>
        </w:rPr>
      </w:pPr>
    </w:p>
    <w:p w14:paraId="2C55FC90" w14:textId="2631B4F6" w:rsidR="00A374DD" w:rsidRPr="004473A2" w:rsidRDefault="00A374DD" w:rsidP="00166591">
      <w:pPr>
        <w:spacing w:line="360" w:lineRule="auto"/>
        <w:ind w:left="567" w:firstLine="567"/>
        <w:jc w:val="both"/>
        <w:rPr>
          <w:rFonts w:ascii="Times New Roman" w:eastAsia="Times New Roman" w:hAnsi="Times New Roman" w:cs="Times New Roman"/>
          <w:color w:val="000000"/>
          <w:sz w:val="20"/>
          <w:szCs w:val="20"/>
        </w:rPr>
      </w:pPr>
      <w:r w:rsidRPr="004473A2">
        <w:rPr>
          <w:rFonts w:ascii="Times New Roman" w:hAnsi="Times New Roman" w:cs="Times New Roman"/>
          <w:sz w:val="20"/>
          <w:szCs w:val="20"/>
        </w:rPr>
        <w:t>«Diß höchste Wesen hat den Gegensatz des sich selbsterhaltenden oder des Denken, und des Seyns, oder der Ausdehnung, schlechtin nur als ein Attribut, als Moment, als ideelles in sich, nicht als Substanz, ansichseyendes, sondern es ist vielmehr dessen An sich seyn, und die Unterschiede gehören nur der Idealität, dem Nichts an sich an</w:t>
      </w:r>
      <w:r w:rsidRPr="004473A2">
        <w:rPr>
          <w:rFonts w:ascii="Times New Roman" w:eastAsia="Times New Roman" w:hAnsi="Times New Roman" w:cs="Times New Roman"/>
          <w:color w:val="000000"/>
          <w:sz w:val="20"/>
          <w:szCs w:val="20"/>
        </w:rPr>
        <w:t>»</w:t>
      </w:r>
      <w:r w:rsidRPr="004473A2">
        <w:rPr>
          <w:rStyle w:val="Rimandonotaapidipagina"/>
          <w:rFonts w:ascii="Times New Roman" w:eastAsia="Times New Roman" w:hAnsi="Times New Roman" w:cs="Times New Roman"/>
          <w:color w:val="000000"/>
          <w:sz w:val="20"/>
          <w:szCs w:val="20"/>
        </w:rPr>
        <w:footnoteReference w:id="182"/>
      </w:r>
      <w:r w:rsidRPr="004473A2">
        <w:rPr>
          <w:rFonts w:ascii="Times New Roman" w:eastAsia="Times New Roman" w:hAnsi="Times New Roman" w:cs="Times New Roman"/>
          <w:color w:val="000000"/>
          <w:sz w:val="20"/>
          <w:szCs w:val="20"/>
        </w:rPr>
        <w:t>.</w:t>
      </w:r>
    </w:p>
    <w:p w14:paraId="5BF80088" w14:textId="77777777" w:rsidR="00A374DD" w:rsidRPr="00A34037" w:rsidRDefault="00A374DD" w:rsidP="00A374DD">
      <w:pPr>
        <w:spacing w:line="360" w:lineRule="auto"/>
        <w:ind w:firstLine="567"/>
        <w:jc w:val="both"/>
        <w:rPr>
          <w:rFonts w:ascii="Times New Roman" w:eastAsia="Times New Roman" w:hAnsi="Times New Roman" w:cs="Times New Roman"/>
          <w:color w:val="000000"/>
        </w:rPr>
      </w:pPr>
    </w:p>
    <w:p w14:paraId="7B09640B" w14:textId="1B691934" w:rsidR="002959D7" w:rsidRDefault="00D52B62" w:rsidP="00EF03B8">
      <w:pPr>
        <w:spacing w:line="360" w:lineRule="auto"/>
        <w:ind w:firstLine="567"/>
        <w:jc w:val="both"/>
        <w:rPr>
          <w:rFonts w:ascii="Times New Roman" w:eastAsia="Times New Roman" w:hAnsi="Times New Roman" w:cs="Times New Roman"/>
          <w:color w:val="000000"/>
        </w:rPr>
      </w:pPr>
      <w:r>
        <w:rPr>
          <w:rFonts w:ascii="Times New Roman" w:hAnsi="Times New Roman" w:cs="Times New Roman"/>
        </w:rPr>
        <w:t xml:space="preserve">Utilizzando un linguaggio </w:t>
      </w:r>
      <w:r w:rsidR="00535159">
        <w:rPr>
          <w:rFonts w:ascii="Times New Roman" w:hAnsi="Times New Roman" w:cs="Times New Roman"/>
        </w:rPr>
        <w:t>per certi versi affine a quello della</w:t>
      </w:r>
      <w:r>
        <w:rPr>
          <w:rFonts w:ascii="Times New Roman" w:hAnsi="Times New Roman" w:cs="Times New Roman"/>
        </w:rPr>
        <w:t xml:space="preserve"> logica della maturità, Hegel </w:t>
      </w:r>
      <w:r w:rsidR="004473A2">
        <w:rPr>
          <w:rFonts w:ascii="Times New Roman" w:hAnsi="Times New Roman" w:cs="Times New Roman"/>
        </w:rPr>
        <w:t>scrive</w:t>
      </w:r>
      <w:r w:rsidR="00535159">
        <w:rPr>
          <w:rFonts w:ascii="Times New Roman" w:hAnsi="Times New Roman" w:cs="Times New Roman"/>
        </w:rPr>
        <w:t xml:space="preserve"> </w:t>
      </w:r>
      <w:r>
        <w:rPr>
          <w:rFonts w:ascii="Times New Roman" w:hAnsi="Times New Roman" w:cs="Times New Roman"/>
        </w:rPr>
        <w:t>che per Spinoza gli a</w:t>
      </w:r>
      <w:r w:rsidR="0063497B">
        <w:rPr>
          <w:rFonts w:ascii="Times New Roman" w:hAnsi="Times New Roman" w:cs="Times New Roman"/>
        </w:rPr>
        <w:t>ttributi non sono delle sostanze</w:t>
      </w:r>
      <w:r>
        <w:rPr>
          <w:rFonts w:ascii="Times New Roman" w:hAnsi="Times New Roman" w:cs="Times New Roman"/>
        </w:rPr>
        <w:t xml:space="preserve">, non sono determinazioni per sé sussistenti, ma delle semplici </w:t>
      </w:r>
      <w:r w:rsidRPr="00535159">
        <w:rPr>
          <w:rFonts w:ascii="Times New Roman" w:hAnsi="Times New Roman" w:cs="Times New Roman"/>
        </w:rPr>
        <w:t>idealità, ossia un nulla</w:t>
      </w:r>
      <w:r w:rsidR="00535159">
        <w:rPr>
          <w:rFonts w:ascii="Times New Roman" w:hAnsi="Times New Roman" w:cs="Times New Roman"/>
        </w:rPr>
        <w:t xml:space="preserve"> in-</w:t>
      </w:r>
      <w:r w:rsidRPr="00535159">
        <w:rPr>
          <w:rFonts w:ascii="Times New Roman" w:hAnsi="Times New Roman" w:cs="Times New Roman"/>
        </w:rPr>
        <w:t>sé</w:t>
      </w:r>
      <w:r w:rsidR="00535159">
        <w:rPr>
          <w:rFonts w:ascii="Times New Roman" w:hAnsi="Times New Roman" w:cs="Times New Roman"/>
        </w:rPr>
        <w:t>-e-per-</w:t>
      </w:r>
      <w:r w:rsidR="00535159" w:rsidRPr="009D28CE">
        <w:rPr>
          <w:rFonts w:ascii="Times New Roman" w:hAnsi="Times New Roman" w:cs="Times New Roman"/>
        </w:rPr>
        <w:t>sé</w:t>
      </w:r>
      <w:r w:rsidRPr="009D28CE">
        <w:rPr>
          <w:rFonts w:ascii="Times New Roman" w:hAnsi="Times New Roman" w:cs="Times New Roman"/>
        </w:rPr>
        <w:t xml:space="preserve">. </w:t>
      </w:r>
      <w:r w:rsidR="00166591" w:rsidRPr="009D28CE">
        <w:rPr>
          <w:rFonts w:ascii="Times New Roman" w:hAnsi="Times New Roman" w:cs="Times New Roman"/>
        </w:rPr>
        <w:t xml:space="preserve">Gli attributi </w:t>
      </w:r>
      <w:r w:rsidRPr="009D28CE">
        <w:rPr>
          <w:rFonts w:ascii="Times New Roman" w:hAnsi="Times New Roman" w:cs="Times New Roman"/>
        </w:rPr>
        <w:t xml:space="preserve">del pensiero </w:t>
      </w:r>
      <w:r w:rsidR="00F531B4" w:rsidRPr="009D28CE">
        <w:rPr>
          <w:rFonts w:ascii="Times New Roman" w:hAnsi="Times New Roman" w:cs="Times New Roman"/>
        </w:rPr>
        <w:t>(</w:t>
      </w:r>
      <w:r w:rsidR="00F531B4" w:rsidRPr="009D28CE">
        <w:rPr>
          <w:rFonts w:ascii="Times New Roman" w:hAnsi="Times New Roman" w:cs="Times New Roman"/>
          <w:i/>
        </w:rPr>
        <w:t>res cogitans</w:t>
      </w:r>
      <w:r w:rsidR="00F531B4" w:rsidRPr="009D28CE">
        <w:rPr>
          <w:rFonts w:ascii="Times New Roman" w:hAnsi="Times New Roman" w:cs="Times New Roman"/>
        </w:rPr>
        <w:t xml:space="preserve">) </w:t>
      </w:r>
      <w:r w:rsidR="00166591" w:rsidRPr="009D28CE">
        <w:rPr>
          <w:rFonts w:ascii="Times New Roman" w:hAnsi="Times New Roman" w:cs="Times New Roman"/>
        </w:rPr>
        <w:t>e dell’estensione</w:t>
      </w:r>
      <w:r w:rsidRPr="009D28CE">
        <w:rPr>
          <w:rFonts w:ascii="Times New Roman" w:hAnsi="Times New Roman" w:cs="Times New Roman"/>
        </w:rPr>
        <w:t xml:space="preserve"> </w:t>
      </w:r>
      <w:r w:rsidR="00F531B4" w:rsidRPr="009D28CE">
        <w:rPr>
          <w:rFonts w:ascii="Times New Roman" w:hAnsi="Times New Roman" w:cs="Times New Roman"/>
        </w:rPr>
        <w:t>(</w:t>
      </w:r>
      <w:r w:rsidR="00F531B4" w:rsidRPr="009D28CE">
        <w:rPr>
          <w:rFonts w:ascii="Times New Roman" w:hAnsi="Times New Roman" w:cs="Times New Roman"/>
          <w:i/>
        </w:rPr>
        <w:t>res extensa</w:t>
      </w:r>
      <w:r w:rsidR="00F531B4" w:rsidRPr="009D28CE">
        <w:rPr>
          <w:rFonts w:ascii="Times New Roman" w:hAnsi="Times New Roman" w:cs="Times New Roman"/>
        </w:rPr>
        <w:t xml:space="preserve">) </w:t>
      </w:r>
      <w:r w:rsidRPr="009D28CE">
        <w:rPr>
          <w:rFonts w:ascii="Times New Roman" w:hAnsi="Times New Roman" w:cs="Times New Roman"/>
        </w:rPr>
        <w:t xml:space="preserve">sono </w:t>
      </w:r>
      <w:r w:rsidR="00F531B4" w:rsidRPr="009D28CE">
        <w:rPr>
          <w:rFonts w:ascii="Times New Roman" w:hAnsi="Times New Roman" w:cs="Times New Roman"/>
        </w:rPr>
        <w:t xml:space="preserve">delle </w:t>
      </w:r>
      <w:r w:rsidR="006C008E">
        <w:rPr>
          <w:rFonts w:ascii="Times New Roman" w:hAnsi="Times New Roman" w:cs="Times New Roman"/>
        </w:rPr>
        <w:t>espressioni dell’essenza suprem</w:t>
      </w:r>
      <w:r w:rsidRPr="009D28CE">
        <w:rPr>
          <w:rFonts w:ascii="Times New Roman" w:hAnsi="Times New Roman" w:cs="Times New Roman"/>
        </w:rPr>
        <w:t xml:space="preserve">a che non </w:t>
      </w:r>
      <w:r w:rsidR="00165E92" w:rsidRPr="009D28CE">
        <w:rPr>
          <w:rFonts w:ascii="Times New Roman" w:hAnsi="Times New Roman" w:cs="Times New Roman"/>
        </w:rPr>
        <w:t>pervengono ad uno sviluppo autonomo</w:t>
      </w:r>
      <w:r w:rsidRPr="009D28CE">
        <w:rPr>
          <w:rFonts w:ascii="Times New Roman" w:hAnsi="Times New Roman" w:cs="Times New Roman"/>
        </w:rPr>
        <w:t>. L’inconsistenza dei medesimi, il loro e</w:t>
      </w:r>
      <w:r w:rsidR="004473A2">
        <w:rPr>
          <w:rFonts w:ascii="Times New Roman" w:hAnsi="Times New Roman" w:cs="Times New Roman"/>
        </w:rPr>
        <w:t xml:space="preserve">ssere </w:t>
      </w:r>
      <w:r w:rsidRPr="009D28CE">
        <w:rPr>
          <w:rFonts w:ascii="Times New Roman" w:hAnsi="Times New Roman" w:cs="Times New Roman"/>
        </w:rPr>
        <w:t xml:space="preserve">annientati dalla </w:t>
      </w:r>
      <w:r w:rsidRPr="009D28CE">
        <w:rPr>
          <w:rFonts w:ascii="Times New Roman" w:hAnsi="Times New Roman" w:cs="Times New Roman"/>
          <w:i/>
        </w:rPr>
        <w:t>substantia</w:t>
      </w:r>
      <w:r w:rsidR="00F531B4" w:rsidRPr="009D28CE">
        <w:rPr>
          <w:rFonts w:ascii="Times New Roman" w:hAnsi="Times New Roman" w:cs="Times New Roman"/>
        </w:rPr>
        <w:t>,</w:t>
      </w:r>
      <w:r w:rsidR="00F531B4">
        <w:rPr>
          <w:rFonts w:ascii="Times New Roman" w:hAnsi="Times New Roman" w:cs="Times New Roman"/>
        </w:rPr>
        <w:t xml:space="preserve"> </w:t>
      </w:r>
      <w:r w:rsidR="00535159">
        <w:rPr>
          <w:rFonts w:ascii="Times New Roman" w:hAnsi="Times New Roman" w:cs="Times New Roman"/>
        </w:rPr>
        <w:t xml:space="preserve">anticipa </w:t>
      </w:r>
      <w:r w:rsidR="0024759E">
        <w:rPr>
          <w:rFonts w:ascii="Times New Roman" w:hAnsi="Times New Roman" w:cs="Times New Roman"/>
        </w:rPr>
        <w:t xml:space="preserve">quella critica mossa da Hegel nella </w:t>
      </w:r>
      <w:r w:rsidR="0024759E" w:rsidRPr="0024759E">
        <w:rPr>
          <w:rFonts w:ascii="Times New Roman" w:hAnsi="Times New Roman" w:cs="Times New Roman"/>
          <w:i/>
        </w:rPr>
        <w:t>Logik</w:t>
      </w:r>
      <w:r w:rsidR="001B05A8">
        <w:rPr>
          <w:rFonts w:ascii="Times New Roman" w:hAnsi="Times New Roman" w:cs="Times New Roman"/>
          <w:i/>
        </w:rPr>
        <w:t xml:space="preserve"> des Seyns</w:t>
      </w:r>
      <w:r w:rsidR="0024759E">
        <w:rPr>
          <w:rFonts w:ascii="Times New Roman" w:hAnsi="Times New Roman" w:cs="Times New Roman"/>
        </w:rPr>
        <w:t xml:space="preserve"> </w:t>
      </w:r>
      <w:r w:rsidR="004151A6" w:rsidRPr="00395AC2">
        <w:rPr>
          <w:rFonts w:ascii="Times New Roman" w:hAnsi="Times New Roman" w:cs="Times New Roman"/>
        </w:rPr>
        <w:t>(</w:t>
      </w:r>
      <w:r w:rsidR="004151A6">
        <w:rPr>
          <w:rFonts w:ascii="Times New Roman" w:hAnsi="Times New Roman" w:cs="Times New Roman"/>
        </w:rPr>
        <w:t xml:space="preserve">1812 e </w:t>
      </w:r>
      <w:r w:rsidR="00623722" w:rsidRPr="004151A6">
        <w:rPr>
          <w:rFonts w:ascii="Times New Roman" w:hAnsi="Times New Roman" w:cs="Times New Roman"/>
        </w:rPr>
        <w:t>1832</w:t>
      </w:r>
      <w:r w:rsidR="00623722" w:rsidRPr="00395AC2">
        <w:rPr>
          <w:rFonts w:ascii="Times New Roman" w:hAnsi="Times New Roman" w:cs="Times New Roman"/>
        </w:rPr>
        <w:t>)</w:t>
      </w:r>
      <w:r w:rsidR="00623722" w:rsidRPr="005435AC">
        <w:rPr>
          <w:rFonts w:ascii="Times New Roman" w:hAnsi="Times New Roman" w:cs="Times New Roman"/>
          <w:i/>
        </w:rPr>
        <w:t xml:space="preserve"> </w:t>
      </w:r>
      <w:r w:rsidR="0024759E" w:rsidRPr="005435AC">
        <w:rPr>
          <w:rFonts w:ascii="Times New Roman" w:hAnsi="Times New Roman" w:cs="Times New Roman"/>
        </w:rPr>
        <w:t>proprio all’ontologia</w:t>
      </w:r>
      <w:r w:rsidR="00535159" w:rsidRPr="005435AC">
        <w:rPr>
          <w:rFonts w:ascii="Times New Roman" w:hAnsi="Times New Roman" w:cs="Times New Roman"/>
        </w:rPr>
        <w:t xml:space="preserve"> </w:t>
      </w:r>
      <w:r w:rsidR="001B05A8" w:rsidRPr="005435AC">
        <w:rPr>
          <w:rFonts w:ascii="Times New Roman" w:hAnsi="Times New Roman" w:cs="Times New Roman"/>
        </w:rPr>
        <w:t>spinoziana</w:t>
      </w:r>
      <w:r w:rsidR="0024759E" w:rsidRPr="005435AC">
        <w:rPr>
          <w:rFonts w:ascii="Times New Roman" w:hAnsi="Times New Roman" w:cs="Times New Roman"/>
        </w:rPr>
        <w:t xml:space="preserve">. Nella cornice della </w:t>
      </w:r>
      <w:r w:rsidR="0024759E" w:rsidRPr="005435AC">
        <w:rPr>
          <w:rFonts w:ascii="Times New Roman" w:hAnsi="Times New Roman" w:cs="Times New Roman"/>
          <w:i/>
        </w:rPr>
        <w:t>Wissenschaft der Logik</w:t>
      </w:r>
      <w:r w:rsidR="0024759E" w:rsidRPr="005435AC">
        <w:rPr>
          <w:rFonts w:ascii="Times New Roman" w:hAnsi="Times New Roman" w:cs="Times New Roman"/>
        </w:rPr>
        <w:t xml:space="preserve">, </w:t>
      </w:r>
      <w:r w:rsidR="00C6199B" w:rsidRPr="005435AC">
        <w:rPr>
          <w:rFonts w:ascii="Times New Roman" w:hAnsi="Times New Roman" w:cs="Times New Roman"/>
        </w:rPr>
        <w:t xml:space="preserve">in effetti, </w:t>
      </w:r>
      <w:r w:rsidR="0024759E" w:rsidRPr="005435AC">
        <w:rPr>
          <w:rFonts w:ascii="Times New Roman" w:hAnsi="Times New Roman" w:cs="Times New Roman"/>
        </w:rPr>
        <w:t xml:space="preserve">riconosciuto il valore speculativo della proposizione </w:t>
      </w:r>
      <w:r w:rsidR="0024759E" w:rsidRPr="005435AC">
        <w:rPr>
          <w:rFonts w:ascii="Times New Roman" w:hAnsi="Times New Roman" w:cs="Times New Roman"/>
          <w:i/>
        </w:rPr>
        <w:t>determinatio est negatio</w:t>
      </w:r>
      <w:r w:rsidR="00BB6DF2" w:rsidRPr="005435AC">
        <w:rPr>
          <w:rStyle w:val="Rimandonotaapidipagina"/>
          <w:rFonts w:ascii="Times New Roman" w:hAnsi="Times New Roman" w:cs="Times New Roman"/>
          <w:i/>
        </w:rPr>
        <w:footnoteReference w:id="183"/>
      </w:r>
      <w:r w:rsidR="00C6199B" w:rsidRPr="005435AC">
        <w:rPr>
          <w:rFonts w:ascii="Times New Roman" w:hAnsi="Times New Roman" w:cs="Times New Roman"/>
        </w:rPr>
        <w:t xml:space="preserve">, Hegel </w:t>
      </w:r>
      <w:r w:rsidR="004C6EA7">
        <w:rPr>
          <w:rFonts w:ascii="Times New Roman" w:hAnsi="Times New Roman" w:cs="Times New Roman"/>
        </w:rPr>
        <w:t>ne problematizza</w:t>
      </w:r>
      <w:r w:rsidR="00C6199B" w:rsidRPr="005435AC">
        <w:rPr>
          <w:rFonts w:ascii="Times New Roman" w:hAnsi="Times New Roman" w:cs="Times New Roman"/>
        </w:rPr>
        <w:t xml:space="preserve"> l’</w:t>
      </w:r>
      <w:r w:rsidR="0024759E" w:rsidRPr="005435AC">
        <w:rPr>
          <w:rFonts w:ascii="Times New Roman" w:hAnsi="Times New Roman" w:cs="Times New Roman"/>
        </w:rPr>
        <w:t>applicazione ontologica:</w:t>
      </w:r>
      <w:r w:rsidR="0024759E">
        <w:rPr>
          <w:rFonts w:ascii="Times New Roman" w:hAnsi="Times New Roman" w:cs="Times New Roman"/>
        </w:rPr>
        <w:t xml:space="preserve"> ciò </w:t>
      </w:r>
      <w:r w:rsidR="0024759E" w:rsidRPr="00CF09D2">
        <w:rPr>
          <w:rFonts w:ascii="Times New Roman" w:hAnsi="Times New Roman" w:cs="Times New Roman"/>
        </w:rPr>
        <w:t>che esprime l’essenza della sostanza, l’attributo, non può aver</w:t>
      </w:r>
      <w:r w:rsidR="004151A6" w:rsidRPr="00CF09D2">
        <w:rPr>
          <w:rFonts w:ascii="Times New Roman" w:hAnsi="Times New Roman" w:cs="Times New Roman"/>
        </w:rPr>
        <w:t xml:space="preserve">e un esser per </w:t>
      </w:r>
      <w:r w:rsidR="0024759E" w:rsidRPr="00CF09D2">
        <w:rPr>
          <w:rFonts w:ascii="Times New Roman" w:hAnsi="Times New Roman" w:cs="Times New Roman"/>
        </w:rPr>
        <w:t>sé, perché se così fosse</w:t>
      </w:r>
      <w:r w:rsidR="00CF09D2">
        <w:rPr>
          <w:rFonts w:ascii="Times New Roman" w:hAnsi="Times New Roman" w:cs="Times New Roman"/>
        </w:rPr>
        <w:t xml:space="preserve"> </w:t>
      </w:r>
      <w:r w:rsidR="00CF09D2" w:rsidRPr="00126EB5">
        <w:rPr>
          <w:rFonts w:ascii="Times New Roman" w:hAnsi="Times New Roman" w:cs="Times New Roman"/>
        </w:rPr>
        <w:t>verrebbe introdotta</w:t>
      </w:r>
      <w:r w:rsidR="001B05A8">
        <w:rPr>
          <w:rFonts w:ascii="Times New Roman" w:hAnsi="Times New Roman" w:cs="Times New Roman"/>
        </w:rPr>
        <w:t xml:space="preserve"> una negazione, o</w:t>
      </w:r>
      <w:r w:rsidR="0024759E">
        <w:rPr>
          <w:rFonts w:ascii="Times New Roman" w:hAnsi="Times New Roman" w:cs="Times New Roman"/>
        </w:rPr>
        <w:t xml:space="preserve"> una </w:t>
      </w:r>
      <w:r w:rsidR="0024759E" w:rsidRPr="006E3C29">
        <w:rPr>
          <w:rFonts w:ascii="Times New Roman" w:hAnsi="Times New Roman" w:cs="Times New Roman"/>
        </w:rPr>
        <w:t>determinazione, in ciò che è pura affermazione di sé</w:t>
      </w:r>
      <w:r w:rsidR="00177A38" w:rsidRPr="006E3C29">
        <w:rPr>
          <w:rStyle w:val="Rimandonotaapidipagina"/>
          <w:rFonts w:ascii="Times New Roman" w:hAnsi="Times New Roman" w:cs="Times New Roman"/>
        </w:rPr>
        <w:footnoteReference w:id="184"/>
      </w:r>
      <w:r w:rsidR="0024759E" w:rsidRPr="006E3C29">
        <w:rPr>
          <w:rFonts w:ascii="Times New Roman" w:hAnsi="Times New Roman" w:cs="Times New Roman"/>
        </w:rPr>
        <w:t xml:space="preserve">. Venuto meno l’essere </w:t>
      </w:r>
      <w:r w:rsidR="004151A6" w:rsidRPr="006E3C29">
        <w:rPr>
          <w:rFonts w:ascii="Times New Roman" w:hAnsi="Times New Roman" w:cs="Times New Roman"/>
        </w:rPr>
        <w:t xml:space="preserve">per </w:t>
      </w:r>
      <w:r w:rsidR="001B05A8" w:rsidRPr="006E3C29">
        <w:rPr>
          <w:rFonts w:ascii="Times New Roman" w:hAnsi="Times New Roman" w:cs="Times New Roman"/>
        </w:rPr>
        <w:t>sé degli attributi</w:t>
      </w:r>
      <w:r w:rsidR="0024759E" w:rsidRPr="006E3C29">
        <w:rPr>
          <w:rFonts w:ascii="Times New Roman" w:hAnsi="Times New Roman" w:cs="Times New Roman"/>
        </w:rPr>
        <w:t xml:space="preserve">, ancor più facilmente </w:t>
      </w:r>
      <w:r w:rsidR="005435AC" w:rsidRPr="006E3C29">
        <w:rPr>
          <w:rFonts w:ascii="Times New Roman" w:hAnsi="Times New Roman" w:cs="Times New Roman"/>
        </w:rPr>
        <w:t xml:space="preserve">viene meno l’esistenza </w:t>
      </w:r>
      <w:r w:rsidR="0024759E" w:rsidRPr="006E3C29">
        <w:rPr>
          <w:rFonts w:ascii="Times New Roman" w:hAnsi="Times New Roman" w:cs="Times New Roman"/>
        </w:rPr>
        <w:t>degli individui, che sono «nach alles Rücksichten beschrä</w:t>
      </w:r>
      <w:r w:rsidR="00177A38" w:rsidRPr="006E3C29">
        <w:rPr>
          <w:rFonts w:ascii="Times New Roman" w:hAnsi="Times New Roman" w:cs="Times New Roman"/>
        </w:rPr>
        <w:t>nktes</w:t>
      </w:r>
      <w:r w:rsidR="00177A38" w:rsidRPr="006E3C29">
        <w:rPr>
          <w:rFonts w:ascii="Times New Roman" w:eastAsia="Times New Roman" w:hAnsi="Times New Roman" w:cs="Times New Roman"/>
          <w:color w:val="000000"/>
        </w:rPr>
        <w:t>»</w:t>
      </w:r>
      <w:r w:rsidR="00177A38" w:rsidRPr="006E3C29">
        <w:rPr>
          <w:rStyle w:val="Rimandonotaapidipagina"/>
          <w:rFonts w:ascii="Times New Roman" w:eastAsia="Times New Roman" w:hAnsi="Times New Roman" w:cs="Times New Roman"/>
          <w:color w:val="000000"/>
        </w:rPr>
        <w:footnoteReference w:id="185"/>
      </w:r>
      <w:r w:rsidR="00766FEA" w:rsidRPr="006E3C29">
        <w:rPr>
          <w:rFonts w:ascii="Times New Roman" w:eastAsia="Times New Roman" w:hAnsi="Times New Roman" w:cs="Times New Roman"/>
          <w:color w:val="000000"/>
        </w:rPr>
        <w:t>.</w:t>
      </w:r>
      <w:r w:rsidR="00FF0B46" w:rsidRPr="006E3C29">
        <w:rPr>
          <w:rFonts w:ascii="Times New Roman" w:eastAsia="Times New Roman" w:hAnsi="Times New Roman" w:cs="Times New Roman"/>
          <w:color w:val="000000"/>
        </w:rPr>
        <w:t xml:space="preserve"> Questa breve digressione </w:t>
      </w:r>
      <w:r w:rsidR="00EF03B8" w:rsidRPr="006E3C29">
        <w:rPr>
          <w:rFonts w:ascii="Times New Roman" w:eastAsia="Times New Roman" w:hAnsi="Times New Roman" w:cs="Times New Roman"/>
          <w:color w:val="000000"/>
        </w:rPr>
        <w:t xml:space="preserve">sulla logica </w:t>
      </w:r>
      <w:r w:rsidR="004473A2" w:rsidRPr="006E3C29">
        <w:rPr>
          <w:rFonts w:ascii="Times New Roman" w:eastAsia="Times New Roman" w:hAnsi="Times New Roman" w:cs="Times New Roman"/>
          <w:color w:val="000000"/>
        </w:rPr>
        <w:t xml:space="preserve">dell’essere </w:t>
      </w:r>
      <w:r w:rsidR="002E658A" w:rsidRPr="006E3C29">
        <w:rPr>
          <w:rFonts w:ascii="Times New Roman" w:eastAsia="Times New Roman" w:hAnsi="Times New Roman" w:cs="Times New Roman"/>
          <w:color w:val="000000"/>
        </w:rPr>
        <w:t>norimberghese</w:t>
      </w:r>
      <w:r w:rsidR="002E658A">
        <w:rPr>
          <w:rFonts w:ascii="Times New Roman" w:eastAsia="Times New Roman" w:hAnsi="Times New Roman" w:cs="Times New Roman"/>
          <w:color w:val="000000"/>
        </w:rPr>
        <w:t xml:space="preserve"> </w:t>
      </w:r>
      <w:r w:rsidR="00FF0B46">
        <w:rPr>
          <w:rFonts w:ascii="Times New Roman" w:eastAsia="Times New Roman" w:hAnsi="Times New Roman" w:cs="Times New Roman"/>
          <w:color w:val="000000"/>
        </w:rPr>
        <w:t xml:space="preserve">è </w:t>
      </w:r>
      <w:r w:rsidR="00EF03B8">
        <w:rPr>
          <w:rFonts w:ascii="Times New Roman" w:eastAsia="Times New Roman" w:hAnsi="Times New Roman" w:cs="Times New Roman"/>
          <w:color w:val="000000"/>
        </w:rPr>
        <w:t xml:space="preserve">concettualmente </w:t>
      </w:r>
      <w:r w:rsidR="00FF0B46">
        <w:rPr>
          <w:rFonts w:ascii="Times New Roman" w:eastAsia="Times New Roman" w:hAnsi="Times New Roman" w:cs="Times New Roman"/>
          <w:color w:val="000000"/>
        </w:rPr>
        <w:t>pertinente a quanto osservato</w:t>
      </w:r>
      <w:r w:rsidR="00623722">
        <w:rPr>
          <w:rFonts w:ascii="Times New Roman" w:eastAsia="Times New Roman" w:hAnsi="Times New Roman" w:cs="Times New Roman"/>
          <w:color w:val="000000"/>
        </w:rPr>
        <w:t xml:space="preserve"> nell’</w:t>
      </w:r>
      <w:r w:rsidR="00623722" w:rsidRPr="00BF2862">
        <w:rPr>
          <w:rFonts w:ascii="Times New Roman" w:eastAsia="Times New Roman" w:hAnsi="Times New Roman" w:cs="Times New Roman"/>
          <w:i/>
          <w:color w:val="000000"/>
        </w:rPr>
        <w:t>Höchstes Wesen</w:t>
      </w:r>
      <w:r w:rsidR="00EF03B8">
        <w:rPr>
          <w:rFonts w:ascii="Times New Roman" w:eastAsia="Times New Roman" w:hAnsi="Times New Roman" w:cs="Times New Roman"/>
          <w:color w:val="000000"/>
        </w:rPr>
        <w:t xml:space="preserve">. </w:t>
      </w:r>
      <w:r w:rsidR="00741D74">
        <w:rPr>
          <w:rFonts w:ascii="Times New Roman" w:eastAsia="Times New Roman" w:hAnsi="Times New Roman" w:cs="Times New Roman"/>
          <w:color w:val="000000"/>
        </w:rPr>
        <w:t>I</w:t>
      </w:r>
      <w:r w:rsidR="00EF03B8">
        <w:rPr>
          <w:rFonts w:ascii="Times New Roman" w:eastAsia="Times New Roman" w:hAnsi="Times New Roman" w:cs="Times New Roman"/>
          <w:color w:val="000000"/>
        </w:rPr>
        <w:t xml:space="preserve">n un caso e nell’altro, </w:t>
      </w:r>
      <w:r w:rsidR="00741D74">
        <w:rPr>
          <w:rFonts w:ascii="Times New Roman" w:eastAsia="Times New Roman" w:hAnsi="Times New Roman" w:cs="Times New Roman"/>
          <w:color w:val="000000"/>
        </w:rPr>
        <w:t xml:space="preserve">gli attributi </w:t>
      </w:r>
      <w:r w:rsidR="00BF2862">
        <w:rPr>
          <w:rFonts w:ascii="Times New Roman" w:eastAsia="Times New Roman" w:hAnsi="Times New Roman" w:cs="Times New Roman"/>
          <w:color w:val="000000"/>
        </w:rPr>
        <w:t xml:space="preserve">dileguano </w:t>
      </w:r>
      <w:r w:rsidR="004151A6">
        <w:rPr>
          <w:rFonts w:ascii="Times New Roman" w:hAnsi="Times New Roman" w:cs="Times New Roman"/>
        </w:rPr>
        <w:t>nella pura auto</w:t>
      </w:r>
      <w:r w:rsidR="00EF03B8">
        <w:rPr>
          <w:rFonts w:ascii="Times New Roman" w:hAnsi="Times New Roman" w:cs="Times New Roman"/>
        </w:rPr>
        <w:t>eguaglianza della sostanza.</w:t>
      </w:r>
      <w:r w:rsidR="004151A6">
        <w:rPr>
          <w:rFonts w:ascii="Times New Roman" w:hAnsi="Times New Roman" w:cs="Times New Roman"/>
        </w:rPr>
        <w:t xml:space="preserve"> </w:t>
      </w:r>
      <w:r w:rsidR="009D28CE" w:rsidRPr="009D28CE">
        <w:rPr>
          <w:rFonts w:ascii="Times New Roman" w:hAnsi="Times New Roman" w:cs="Times New Roman"/>
        </w:rPr>
        <w:t>Anche su</w:t>
      </w:r>
      <w:r w:rsidR="00B3376C" w:rsidRPr="009D28CE">
        <w:rPr>
          <w:rFonts w:ascii="Times New Roman" w:hAnsi="Times New Roman" w:cs="Times New Roman"/>
        </w:rPr>
        <w:t xml:space="preserve">llo </w:t>
      </w:r>
      <w:r w:rsidR="004151A6" w:rsidRPr="009D28CE">
        <w:rPr>
          <w:rFonts w:ascii="Times New Roman" w:hAnsi="Times New Roman" w:cs="Times New Roman"/>
        </w:rPr>
        <w:t>statuto ontologico dei modi</w:t>
      </w:r>
      <w:r w:rsidR="00EF03B8" w:rsidRPr="009D28CE">
        <w:rPr>
          <w:rFonts w:ascii="Times New Roman" w:hAnsi="Times New Roman" w:cs="Times New Roman"/>
        </w:rPr>
        <w:t xml:space="preserve">, </w:t>
      </w:r>
      <w:r w:rsidR="004151A6" w:rsidRPr="009D28CE">
        <w:rPr>
          <w:rFonts w:ascii="Times New Roman" w:hAnsi="Times New Roman" w:cs="Times New Roman"/>
        </w:rPr>
        <w:t xml:space="preserve">si </w:t>
      </w:r>
      <w:r w:rsidR="00624756">
        <w:rPr>
          <w:rFonts w:ascii="Times New Roman" w:hAnsi="Times New Roman" w:cs="Times New Roman"/>
        </w:rPr>
        <w:t xml:space="preserve">riscontra </w:t>
      </w:r>
      <w:r w:rsidR="00EF03B8" w:rsidRPr="009D28CE">
        <w:rPr>
          <w:rFonts w:ascii="Times New Roman" w:hAnsi="Times New Roman" w:cs="Times New Roman"/>
        </w:rPr>
        <w:t xml:space="preserve">una concordanza tematica fra </w:t>
      </w:r>
      <w:r w:rsidR="00EF03B8" w:rsidRPr="009D28CE">
        <w:rPr>
          <w:rFonts w:ascii="Times New Roman" w:hAnsi="Times New Roman" w:cs="Times New Roman"/>
          <w:i/>
        </w:rPr>
        <w:t>Wissenschaft der Logik</w:t>
      </w:r>
      <w:r w:rsidR="00EF03B8" w:rsidRPr="009D28CE">
        <w:rPr>
          <w:rFonts w:ascii="Times New Roman" w:hAnsi="Times New Roman" w:cs="Times New Roman"/>
        </w:rPr>
        <w:t xml:space="preserve"> </w:t>
      </w:r>
      <w:r w:rsidR="004151A6" w:rsidRPr="009D28CE">
        <w:rPr>
          <w:rFonts w:ascii="Times New Roman" w:eastAsia="Times New Roman" w:hAnsi="Times New Roman" w:cs="Times New Roman"/>
          <w:color w:val="000000"/>
        </w:rPr>
        <w:t xml:space="preserve">e </w:t>
      </w:r>
      <w:r w:rsidR="00EF03B8" w:rsidRPr="009D28CE">
        <w:rPr>
          <w:rFonts w:ascii="Times New Roman" w:eastAsia="Times New Roman" w:hAnsi="Times New Roman" w:cs="Times New Roman"/>
          <w:i/>
          <w:color w:val="000000"/>
        </w:rPr>
        <w:t>Jenaer Metaphysik</w:t>
      </w:r>
      <w:r w:rsidR="00741D74">
        <w:rPr>
          <w:rFonts w:ascii="Times New Roman" w:eastAsia="Times New Roman" w:hAnsi="Times New Roman" w:cs="Times New Roman"/>
          <w:color w:val="000000"/>
        </w:rPr>
        <w:t xml:space="preserve">: </w:t>
      </w:r>
    </w:p>
    <w:p w14:paraId="36A1FAF6" w14:textId="77777777" w:rsidR="00986A8F" w:rsidRDefault="00986A8F" w:rsidP="00EF03B8">
      <w:pPr>
        <w:spacing w:line="360" w:lineRule="auto"/>
        <w:ind w:firstLine="567"/>
        <w:jc w:val="both"/>
        <w:rPr>
          <w:rFonts w:ascii="Times New Roman" w:eastAsia="Times New Roman" w:hAnsi="Times New Roman" w:cs="Times New Roman"/>
          <w:color w:val="000000"/>
        </w:rPr>
      </w:pPr>
    </w:p>
    <w:p w14:paraId="7F257EDD" w14:textId="6CAEFC41" w:rsidR="00986A8F" w:rsidRPr="004473A2" w:rsidRDefault="00986A8F" w:rsidP="009351BA">
      <w:pPr>
        <w:spacing w:line="360" w:lineRule="auto"/>
        <w:ind w:left="567" w:firstLine="567"/>
        <w:jc w:val="both"/>
        <w:rPr>
          <w:rFonts w:ascii="Times New Roman" w:eastAsia="Times New Roman" w:hAnsi="Times New Roman" w:cs="Times New Roman"/>
          <w:color w:val="000000"/>
          <w:sz w:val="20"/>
          <w:szCs w:val="20"/>
        </w:rPr>
      </w:pPr>
      <w:r w:rsidRPr="004473A2">
        <w:rPr>
          <w:rFonts w:ascii="Times New Roman" w:eastAsia="Times New Roman" w:hAnsi="Times New Roman" w:cs="Times New Roman"/>
          <w:color w:val="000000"/>
          <w:sz w:val="20"/>
          <w:szCs w:val="20"/>
        </w:rPr>
        <w:t>«Es ist erwiesen, daß das höchste Wesen das einzige und allein, das Ansich ist. Es ist unendlich herausgekehrtes, das unendlich erschaffen hat, aber dessen Schöpfung insofern in ihr sich das einzelne als individuelles absondert, in der That nur die Negation ist; dieses was so negiert, hat allein den Widerspruch in sich, sich als Negation zu erhalten, und doch, da es nur Negation ist, als sich erhaltend, zurückzukehren in die Nichtexistenz und in das höchste Wesen»</w:t>
      </w:r>
      <w:r w:rsidRPr="004473A2">
        <w:rPr>
          <w:rStyle w:val="Rimandonotaapidipagina"/>
          <w:rFonts w:ascii="Times New Roman" w:eastAsia="Times New Roman" w:hAnsi="Times New Roman" w:cs="Times New Roman"/>
          <w:color w:val="000000"/>
          <w:sz w:val="20"/>
          <w:szCs w:val="20"/>
        </w:rPr>
        <w:footnoteReference w:id="186"/>
      </w:r>
      <w:r w:rsidRPr="004473A2">
        <w:rPr>
          <w:rFonts w:ascii="Times New Roman" w:eastAsia="Times New Roman" w:hAnsi="Times New Roman" w:cs="Times New Roman"/>
          <w:color w:val="000000"/>
          <w:sz w:val="20"/>
          <w:szCs w:val="20"/>
        </w:rPr>
        <w:t>.</w:t>
      </w:r>
    </w:p>
    <w:p w14:paraId="5B3C3542" w14:textId="77777777" w:rsidR="00986A8F" w:rsidRPr="0034431B" w:rsidRDefault="00986A8F" w:rsidP="00EF03B8">
      <w:pPr>
        <w:spacing w:line="360" w:lineRule="auto"/>
        <w:ind w:firstLine="567"/>
        <w:jc w:val="both"/>
        <w:rPr>
          <w:rFonts w:ascii="Times New Roman" w:eastAsia="Times New Roman" w:hAnsi="Times New Roman" w:cs="Times New Roman"/>
          <w:color w:val="000000"/>
        </w:rPr>
      </w:pPr>
    </w:p>
    <w:p w14:paraId="581D0DE9" w14:textId="788BFD70" w:rsidR="00F06299" w:rsidRPr="00061081" w:rsidRDefault="00BE1DD8" w:rsidP="00061081">
      <w:pPr>
        <w:spacing w:line="360" w:lineRule="auto"/>
        <w:ind w:firstLine="567"/>
        <w:jc w:val="both"/>
        <w:rPr>
          <w:rFonts w:ascii="Times New Roman" w:eastAsia="Times New Roman" w:hAnsi="Times New Roman" w:cs="Times New Roman"/>
          <w:color w:val="000000"/>
        </w:rPr>
      </w:pPr>
      <w:r>
        <w:rPr>
          <w:rFonts w:ascii="Times New Roman" w:eastAsia="Times New Roman" w:hAnsi="Times New Roman" w:cs="Times New Roman"/>
          <w:color w:val="000000"/>
        </w:rPr>
        <w:t>L’essenza suprem</w:t>
      </w:r>
      <w:r w:rsidR="00986A8F" w:rsidRPr="00986A8F">
        <w:rPr>
          <w:rFonts w:ascii="Times New Roman" w:eastAsia="Times New Roman" w:hAnsi="Times New Roman" w:cs="Times New Roman"/>
          <w:color w:val="000000"/>
        </w:rPr>
        <w:t>a</w:t>
      </w:r>
      <w:r w:rsidR="00986A8F">
        <w:rPr>
          <w:rFonts w:ascii="Times New Roman" w:eastAsia="Times New Roman" w:hAnsi="Times New Roman" w:cs="Times New Roman"/>
          <w:color w:val="000000"/>
        </w:rPr>
        <w:t xml:space="preserve"> è l’</w:t>
      </w:r>
      <w:r w:rsidR="00986A8F" w:rsidRPr="00D35050">
        <w:rPr>
          <w:rFonts w:ascii="Times New Roman" w:eastAsia="Times New Roman" w:hAnsi="Times New Roman" w:cs="Times New Roman"/>
          <w:i/>
          <w:color w:val="000000"/>
        </w:rPr>
        <w:t>essere in sé</w:t>
      </w:r>
      <w:r w:rsidR="001B05A8" w:rsidRPr="00D35050">
        <w:rPr>
          <w:rFonts w:ascii="Times New Roman" w:eastAsia="Times New Roman" w:hAnsi="Times New Roman" w:cs="Times New Roman"/>
          <w:i/>
          <w:color w:val="000000"/>
        </w:rPr>
        <w:t xml:space="preserve"> </w:t>
      </w:r>
      <w:r w:rsidR="001B05A8">
        <w:rPr>
          <w:rFonts w:ascii="Times New Roman" w:eastAsia="Times New Roman" w:hAnsi="Times New Roman" w:cs="Times New Roman"/>
          <w:color w:val="000000"/>
        </w:rPr>
        <w:t>che compenetra il tutto</w:t>
      </w:r>
      <w:r w:rsidR="00986A8F">
        <w:rPr>
          <w:rFonts w:ascii="Times New Roman" w:eastAsia="Times New Roman" w:hAnsi="Times New Roman" w:cs="Times New Roman"/>
          <w:color w:val="000000"/>
        </w:rPr>
        <w:t>. Essa</w:t>
      </w:r>
      <w:r w:rsidR="00B0701A">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è</w:t>
      </w:r>
      <w:r w:rsidR="00496B15">
        <w:rPr>
          <w:rFonts w:ascii="Times New Roman" w:eastAsia="Times New Roman" w:hAnsi="Times New Roman" w:cs="Times New Roman"/>
          <w:color w:val="000000"/>
        </w:rPr>
        <w:t xml:space="preserve"> uscita </w:t>
      </w:r>
      <w:r>
        <w:rPr>
          <w:rFonts w:ascii="Times New Roman" w:eastAsia="Times New Roman" w:hAnsi="Times New Roman" w:cs="Times New Roman"/>
          <w:color w:val="000000"/>
        </w:rPr>
        <w:t xml:space="preserve">infinitamente </w:t>
      </w:r>
      <w:r w:rsidR="004473A2">
        <w:rPr>
          <w:rFonts w:ascii="Times New Roman" w:eastAsia="Times New Roman" w:hAnsi="Times New Roman" w:cs="Times New Roman"/>
          <w:color w:val="000000"/>
        </w:rPr>
        <w:t>fuori di sé e</w:t>
      </w:r>
      <w:r w:rsidR="00986A8F">
        <w:rPr>
          <w:rFonts w:ascii="Times New Roman" w:eastAsia="Times New Roman" w:hAnsi="Times New Roman" w:cs="Times New Roman"/>
          <w:color w:val="000000"/>
        </w:rPr>
        <w:t xml:space="preserve"> ha infinitamente creato. Ciò che risulta dalla sua attività creativa è ricomp</w:t>
      </w:r>
      <w:r w:rsidR="00D35050">
        <w:rPr>
          <w:rFonts w:ascii="Times New Roman" w:eastAsia="Times New Roman" w:hAnsi="Times New Roman" w:cs="Times New Roman"/>
          <w:color w:val="000000"/>
        </w:rPr>
        <w:t>reso all’interno della sua auto</w:t>
      </w:r>
      <w:r w:rsidR="00986A8F">
        <w:rPr>
          <w:rFonts w:ascii="Times New Roman" w:eastAsia="Times New Roman" w:hAnsi="Times New Roman" w:cs="Times New Roman"/>
          <w:color w:val="000000"/>
        </w:rPr>
        <w:t>uguaglianza. Se</w:t>
      </w:r>
      <w:r w:rsidR="00A72F68">
        <w:rPr>
          <w:rFonts w:ascii="Times New Roman" w:eastAsia="Times New Roman" w:hAnsi="Times New Roman" w:cs="Times New Roman"/>
          <w:color w:val="000000"/>
        </w:rPr>
        <w:t xml:space="preserve"> anche</w:t>
      </w:r>
      <w:r w:rsidR="00986A8F">
        <w:rPr>
          <w:rFonts w:ascii="Times New Roman" w:eastAsia="Times New Roman" w:hAnsi="Times New Roman" w:cs="Times New Roman"/>
          <w:color w:val="000000"/>
        </w:rPr>
        <w:t xml:space="preserve"> il modo fosse in grado di rivendicare un </w:t>
      </w:r>
      <w:r w:rsidR="00F64367">
        <w:rPr>
          <w:rFonts w:ascii="Times New Roman" w:eastAsia="Times New Roman" w:hAnsi="Times New Roman" w:cs="Times New Roman"/>
          <w:color w:val="000000"/>
        </w:rPr>
        <w:t xml:space="preserve">proprio </w:t>
      </w:r>
      <w:r w:rsidR="00D35050">
        <w:rPr>
          <w:rFonts w:ascii="Times New Roman" w:eastAsia="Times New Roman" w:hAnsi="Times New Roman" w:cs="Times New Roman"/>
          <w:color w:val="000000"/>
        </w:rPr>
        <w:t xml:space="preserve">essere per </w:t>
      </w:r>
      <w:r w:rsidR="00986A8F">
        <w:rPr>
          <w:rFonts w:ascii="Times New Roman" w:eastAsia="Times New Roman" w:hAnsi="Times New Roman" w:cs="Times New Roman"/>
          <w:color w:val="000000"/>
        </w:rPr>
        <w:t>sé, esso sarebbe un semplice n</w:t>
      </w:r>
      <w:r w:rsidR="009351BA">
        <w:rPr>
          <w:rFonts w:ascii="Times New Roman" w:eastAsia="Times New Roman" w:hAnsi="Times New Roman" w:cs="Times New Roman"/>
          <w:color w:val="000000"/>
        </w:rPr>
        <w:t>on-</w:t>
      </w:r>
      <w:r w:rsidR="00986A8F">
        <w:rPr>
          <w:rFonts w:ascii="Times New Roman" w:eastAsia="Times New Roman" w:hAnsi="Times New Roman" w:cs="Times New Roman"/>
          <w:color w:val="000000"/>
        </w:rPr>
        <w:t xml:space="preserve">essere, una semplice negazione, poiché </w:t>
      </w:r>
      <w:r w:rsidR="00986A8F" w:rsidRPr="004473A2">
        <w:rPr>
          <w:rFonts w:ascii="Times New Roman" w:eastAsia="Times New Roman" w:hAnsi="Times New Roman" w:cs="Times New Roman"/>
          <w:color w:val="000000"/>
        </w:rPr>
        <w:t>«das h</w:t>
      </w:r>
      <w:r w:rsidR="001F2ABB" w:rsidRPr="004473A2">
        <w:rPr>
          <w:rFonts w:ascii="Times New Roman" w:eastAsia="Times New Roman" w:hAnsi="Times New Roman" w:cs="Times New Roman"/>
          <w:color w:val="000000"/>
        </w:rPr>
        <w:t>öchste Wesen ist sich so gleich, daß es das schlechthin in sich reflectierte, in ihm nicht diese Bewegung des reflectierens, sondern in seiner Emanation in der Erscheinung als Vielheit dasselbe ist»</w:t>
      </w:r>
      <w:r w:rsidR="001F2ABB" w:rsidRPr="004473A2">
        <w:rPr>
          <w:rStyle w:val="Rimandonotaapidipagina"/>
          <w:rFonts w:ascii="Times New Roman" w:eastAsia="Times New Roman" w:hAnsi="Times New Roman" w:cs="Times New Roman"/>
          <w:color w:val="000000"/>
        </w:rPr>
        <w:footnoteReference w:id="187"/>
      </w:r>
      <w:r w:rsidR="001F2ABB" w:rsidRPr="004473A2">
        <w:rPr>
          <w:rFonts w:ascii="Times New Roman" w:eastAsia="Times New Roman" w:hAnsi="Times New Roman" w:cs="Times New Roman"/>
          <w:color w:val="000000"/>
        </w:rPr>
        <w:t>.</w:t>
      </w:r>
      <w:r w:rsidR="00F64367">
        <w:rPr>
          <w:rFonts w:ascii="Times New Roman" w:eastAsia="Times New Roman" w:hAnsi="Times New Roman" w:cs="Times New Roman"/>
          <w:color w:val="000000"/>
        </w:rPr>
        <w:t xml:space="preserve"> </w:t>
      </w:r>
      <w:r w:rsidR="00B012F0" w:rsidRPr="00A72707">
        <w:rPr>
          <w:rFonts w:ascii="Times New Roman" w:eastAsia="Times New Roman" w:hAnsi="Times New Roman" w:cs="Times New Roman"/>
          <w:color w:val="000000"/>
        </w:rPr>
        <w:t xml:space="preserve">Il </w:t>
      </w:r>
      <w:r w:rsidR="00E927A8" w:rsidRPr="00A72707">
        <w:rPr>
          <w:rFonts w:ascii="Times New Roman" w:eastAsia="Times New Roman" w:hAnsi="Times New Roman" w:cs="Times New Roman"/>
          <w:color w:val="000000"/>
        </w:rPr>
        <w:t>riferimento all’emanazionismo</w:t>
      </w:r>
      <w:r w:rsidR="00BF2862" w:rsidRPr="00A72707">
        <w:rPr>
          <w:rFonts w:ascii="Times New Roman" w:eastAsia="Times New Roman" w:hAnsi="Times New Roman" w:cs="Times New Roman"/>
          <w:color w:val="000000"/>
        </w:rPr>
        <w:t xml:space="preserve"> riconferma il carattere onnicomprensivo dell’essenza </w:t>
      </w:r>
      <w:r w:rsidR="006C008E">
        <w:rPr>
          <w:rFonts w:ascii="Times New Roman" w:eastAsia="Times New Roman" w:hAnsi="Times New Roman" w:cs="Times New Roman"/>
          <w:color w:val="000000"/>
        </w:rPr>
        <w:t>suprem</w:t>
      </w:r>
      <w:r w:rsidR="00F64367" w:rsidRPr="00A72707">
        <w:rPr>
          <w:rFonts w:ascii="Times New Roman" w:eastAsia="Times New Roman" w:hAnsi="Times New Roman" w:cs="Times New Roman"/>
          <w:color w:val="000000"/>
        </w:rPr>
        <w:t>a</w:t>
      </w:r>
      <w:r w:rsidR="00BF2862" w:rsidRPr="00A72707">
        <w:rPr>
          <w:rFonts w:ascii="Times New Roman" w:eastAsia="Times New Roman" w:hAnsi="Times New Roman" w:cs="Times New Roman"/>
          <w:color w:val="000000"/>
        </w:rPr>
        <w:t xml:space="preserve"> che</w:t>
      </w:r>
      <w:r w:rsidR="00F64367" w:rsidRPr="00A72707">
        <w:rPr>
          <w:rFonts w:ascii="Times New Roman" w:eastAsia="Times New Roman" w:hAnsi="Times New Roman" w:cs="Times New Roman"/>
          <w:color w:val="000000"/>
        </w:rPr>
        <w:t xml:space="preserve">, irradiandosi dal suo centro, getta la sua luce </w:t>
      </w:r>
      <w:r w:rsidR="00D32BB6" w:rsidRPr="00A72707">
        <w:rPr>
          <w:rFonts w:ascii="Times New Roman" w:eastAsia="Times New Roman" w:hAnsi="Times New Roman" w:cs="Times New Roman"/>
          <w:color w:val="000000"/>
        </w:rPr>
        <w:t>su tutto ciò che è</w:t>
      </w:r>
      <w:r w:rsidR="00BF2862" w:rsidRPr="00A72707">
        <w:rPr>
          <w:rFonts w:ascii="Times New Roman" w:eastAsia="Times New Roman" w:hAnsi="Times New Roman" w:cs="Times New Roman"/>
          <w:color w:val="000000"/>
        </w:rPr>
        <w:t>.</w:t>
      </w:r>
      <w:r w:rsidR="00E927A8" w:rsidRPr="00A72707">
        <w:rPr>
          <w:rFonts w:ascii="Times New Roman" w:eastAsia="Times New Roman" w:hAnsi="Times New Roman" w:cs="Times New Roman"/>
          <w:color w:val="000000"/>
        </w:rPr>
        <w:t xml:space="preserve"> Al contempo, l’associazione d’</w:t>
      </w:r>
      <w:r w:rsidR="00061081" w:rsidRPr="00A72707">
        <w:rPr>
          <w:rFonts w:ascii="Times New Roman" w:eastAsia="Times New Roman" w:hAnsi="Times New Roman" w:cs="Times New Roman"/>
          <w:color w:val="000000"/>
        </w:rPr>
        <w:t>eman</w:t>
      </w:r>
      <w:r w:rsidR="00E927A8" w:rsidRPr="00A72707">
        <w:rPr>
          <w:rFonts w:ascii="Times New Roman" w:eastAsia="Times New Roman" w:hAnsi="Times New Roman" w:cs="Times New Roman"/>
          <w:color w:val="000000"/>
        </w:rPr>
        <w:t xml:space="preserve">azionismo e spinozismo </w:t>
      </w:r>
      <w:r w:rsidR="001C7F37" w:rsidRPr="00A72707">
        <w:rPr>
          <w:rFonts w:ascii="Times New Roman" w:eastAsia="Times New Roman" w:hAnsi="Times New Roman" w:cs="Times New Roman"/>
          <w:color w:val="000000"/>
        </w:rPr>
        <w:t>consente ad Hegel d’introdurre</w:t>
      </w:r>
      <w:r w:rsidR="00E927A8" w:rsidRPr="00A72707">
        <w:rPr>
          <w:rFonts w:ascii="Times New Roman" w:eastAsia="Times New Roman" w:hAnsi="Times New Roman" w:cs="Times New Roman"/>
          <w:color w:val="000000"/>
        </w:rPr>
        <w:t xml:space="preserve"> </w:t>
      </w:r>
      <w:r w:rsidR="001C7F37" w:rsidRPr="00A72707">
        <w:rPr>
          <w:rFonts w:ascii="Times New Roman" w:eastAsia="Times New Roman" w:hAnsi="Times New Roman" w:cs="Times New Roman"/>
          <w:color w:val="000000"/>
        </w:rPr>
        <w:t>una questione cruci</w:t>
      </w:r>
      <w:r w:rsidR="00061081" w:rsidRPr="00A72707">
        <w:rPr>
          <w:rFonts w:ascii="Times New Roman" w:eastAsia="Times New Roman" w:hAnsi="Times New Roman" w:cs="Times New Roman"/>
          <w:color w:val="000000"/>
        </w:rPr>
        <w:t>ale</w:t>
      </w:r>
      <w:r w:rsidR="00D73B3C" w:rsidRPr="00A72707">
        <w:rPr>
          <w:rFonts w:ascii="Times New Roman" w:eastAsia="Times New Roman" w:hAnsi="Times New Roman" w:cs="Times New Roman"/>
          <w:color w:val="000000"/>
        </w:rPr>
        <w:t xml:space="preserve"> ai </w:t>
      </w:r>
      <w:r w:rsidR="00D73B3C" w:rsidRPr="009D28CE">
        <w:rPr>
          <w:rFonts w:ascii="Times New Roman" w:eastAsia="Times New Roman" w:hAnsi="Times New Roman" w:cs="Times New Roman"/>
          <w:color w:val="000000"/>
        </w:rPr>
        <w:t>fini de</w:t>
      </w:r>
      <w:r w:rsidR="009351BA" w:rsidRPr="009D28CE">
        <w:rPr>
          <w:rFonts w:ascii="Times New Roman" w:eastAsia="Times New Roman" w:hAnsi="Times New Roman" w:cs="Times New Roman"/>
          <w:color w:val="000000"/>
        </w:rPr>
        <w:t>llo sviluppo ulteriore</w:t>
      </w:r>
      <w:r w:rsidR="00E927A8" w:rsidRPr="009D28CE">
        <w:rPr>
          <w:rFonts w:ascii="Times New Roman" w:eastAsia="Times New Roman" w:hAnsi="Times New Roman" w:cs="Times New Roman"/>
          <w:color w:val="000000"/>
        </w:rPr>
        <w:t xml:space="preserve"> </w:t>
      </w:r>
      <w:r w:rsidR="00D73B3C" w:rsidRPr="009D28CE">
        <w:rPr>
          <w:rFonts w:ascii="Times New Roman" w:eastAsia="Times New Roman" w:hAnsi="Times New Roman" w:cs="Times New Roman"/>
          <w:color w:val="000000"/>
        </w:rPr>
        <w:t>dell’</w:t>
      </w:r>
      <w:r w:rsidR="00D73B3C" w:rsidRPr="009D28CE">
        <w:rPr>
          <w:rFonts w:ascii="Times New Roman" w:eastAsia="Times New Roman" w:hAnsi="Times New Roman" w:cs="Times New Roman"/>
          <w:i/>
          <w:color w:val="000000"/>
        </w:rPr>
        <w:t>Höchstes Wesen</w:t>
      </w:r>
      <w:r w:rsidR="00061081" w:rsidRPr="009D28CE">
        <w:rPr>
          <w:rFonts w:ascii="Times New Roman" w:eastAsia="Times New Roman" w:hAnsi="Times New Roman" w:cs="Times New Roman"/>
          <w:color w:val="000000"/>
        </w:rPr>
        <w:t xml:space="preserve">. L’affievoliersi </w:t>
      </w:r>
      <w:r w:rsidR="00061081" w:rsidRPr="006C053A">
        <w:rPr>
          <w:rFonts w:ascii="Times New Roman" w:eastAsia="Times New Roman" w:hAnsi="Times New Roman" w:cs="Times New Roman"/>
          <w:color w:val="000000"/>
        </w:rPr>
        <w:t xml:space="preserve">del fascio luminoso nella serie </w:t>
      </w:r>
      <w:r w:rsidR="004D081F" w:rsidRPr="006C053A">
        <w:rPr>
          <w:rFonts w:ascii="Times New Roman" w:eastAsia="Times New Roman" w:hAnsi="Times New Roman" w:cs="Times New Roman"/>
          <w:color w:val="000000"/>
        </w:rPr>
        <w:t xml:space="preserve">discendente </w:t>
      </w:r>
      <w:r w:rsidR="00496B15">
        <w:rPr>
          <w:rFonts w:ascii="Times New Roman" w:eastAsia="Times New Roman" w:hAnsi="Times New Roman" w:cs="Times New Roman"/>
          <w:color w:val="000000"/>
        </w:rPr>
        <w:t>delle sue figurazioni</w:t>
      </w:r>
      <w:r w:rsidR="00061081" w:rsidRPr="006C053A">
        <w:rPr>
          <w:rFonts w:ascii="Times New Roman" w:eastAsia="Times New Roman" w:hAnsi="Times New Roman" w:cs="Times New Roman"/>
          <w:color w:val="000000"/>
        </w:rPr>
        <w:t xml:space="preserve"> fa si che </w:t>
      </w:r>
      <w:r w:rsidR="008B3784" w:rsidRPr="006C053A">
        <w:rPr>
          <w:rFonts w:ascii="Times New Roman" w:eastAsia="Times New Roman" w:hAnsi="Times New Roman" w:cs="Times New Roman"/>
          <w:color w:val="000000"/>
        </w:rPr>
        <w:t>la materia</w:t>
      </w:r>
      <w:r w:rsidR="00061081" w:rsidRPr="006C053A">
        <w:rPr>
          <w:rFonts w:ascii="Times New Roman" w:eastAsia="Times New Roman" w:hAnsi="Times New Roman" w:cs="Times New Roman"/>
          <w:color w:val="000000"/>
        </w:rPr>
        <w:t>,</w:t>
      </w:r>
      <w:r w:rsidR="008B3784" w:rsidRPr="006C053A">
        <w:rPr>
          <w:rFonts w:ascii="Times New Roman" w:eastAsia="Times New Roman" w:hAnsi="Times New Roman" w:cs="Times New Roman"/>
          <w:color w:val="000000"/>
        </w:rPr>
        <w:t xml:space="preserve"> o la sfera del finito,</w:t>
      </w:r>
      <w:r w:rsidR="00061081" w:rsidRPr="006C053A">
        <w:rPr>
          <w:rFonts w:ascii="Times New Roman" w:eastAsia="Times New Roman" w:hAnsi="Times New Roman" w:cs="Times New Roman"/>
          <w:color w:val="000000"/>
        </w:rPr>
        <w:t xml:space="preserve"> </w:t>
      </w:r>
      <w:r w:rsidR="009351BA" w:rsidRPr="006C053A">
        <w:rPr>
          <w:rFonts w:ascii="Times New Roman" w:eastAsia="Times New Roman" w:hAnsi="Times New Roman" w:cs="Times New Roman"/>
          <w:color w:val="000000"/>
        </w:rPr>
        <w:t xml:space="preserve">che è </w:t>
      </w:r>
      <w:r w:rsidR="00061081" w:rsidRPr="006C053A">
        <w:rPr>
          <w:rFonts w:ascii="Times New Roman" w:eastAsia="Times New Roman" w:hAnsi="Times New Roman" w:cs="Times New Roman"/>
          <w:color w:val="000000"/>
        </w:rPr>
        <w:t xml:space="preserve">l’ultima tappa del processo emanativo, </w:t>
      </w:r>
      <w:r w:rsidR="00D84C74" w:rsidRPr="006C053A">
        <w:rPr>
          <w:rFonts w:ascii="Times New Roman" w:eastAsia="Times New Roman" w:hAnsi="Times New Roman" w:cs="Times New Roman"/>
          <w:color w:val="000000"/>
        </w:rPr>
        <w:t>veng</w:t>
      </w:r>
      <w:r w:rsidR="00051B5A" w:rsidRPr="006C053A">
        <w:rPr>
          <w:rFonts w:ascii="Times New Roman" w:eastAsia="Times New Roman" w:hAnsi="Times New Roman" w:cs="Times New Roman"/>
          <w:color w:val="000000"/>
        </w:rPr>
        <w:t xml:space="preserve">a associata </w:t>
      </w:r>
      <w:r w:rsidR="009351BA" w:rsidRPr="006C053A">
        <w:rPr>
          <w:rFonts w:ascii="Times New Roman" w:eastAsia="Times New Roman" w:hAnsi="Times New Roman" w:cs="Times New Roman"/>
          <w:color w:val="000000"/>
        </w:rPr>
        <w:t xml:space="preserve">con </w:t>
      </w:r>
      <w:r w:rsidR="00B0701A" w:rsidRPr="006C053A">
        <w:rPr>
          <w:rFonts w:ascii="Times New Roman" w:eastAsia="Times New Roman" w:hAnsi="Times New Roman" w:cs="Times New Roman"/>
          <w:color w:val="000000"/>
        </w:rPr>
        <w:t xml:space="preserve">il </w:t>
      </w:r>
      <w:r w:rsidR="00061081" w:rsidRPr="006C053A">
        <w:rPr>
          <w:rFonts w:ascii="Times New Roman" w:eastAsia="Times New Roman" w:hAnsi="Times New Roman" w:cs="Times New Roman"/>
          <w:color w:val="000000"/>
        </w:rPr>
        <w:t>male</w:t>
      </w:r>
      <w:r w:rsidR="00B0701A" w:rsidRPr="006C053A">
        <w:rPr>
          <w:rFonts w:ascii="Times New Roman" w:eastAsia="Times New Roman" w:hAnsi="Times New Roman" w:cs="Times New Roman"/>
          <w:color w:val="000000"/>
        </w:rPr>
        <w:t xml:space="preserve"> e il negativo</w:t>
      </w:r>
      <w:r w:rsidR="00061081" w:rsidRPr="006C053A">
        <w:rPr>
          <w:rFonts w:ascii="Times New Roman" w:eastAsia="Times New Roman" w:hAnsi="Times New Roman" w:cs="Times New Roman"/>
          <w:color w:val="000000"/>
        </w:rPr>
        <w:t>.</w:t>
      </w:r>
      <w:r w:rsidR="00061081" w:rsidRPr="009D28CE">
        <w:rPr>
          <w:rFonts w:ascii="Times New Roman" w:eastAsia="Times New Roman" w:hAnsi="Times New Roman" w:cs="Times New Roman"/>
          <w:color w:val="000000"/>
        </w:rPr>
        <w:t xml:space="preserve"> </w:t>
      </w:r>
      <w:r w:rsidR="00E927A8" w:rsidRPr="009D28CE">
        <w:rPr>
          <w:rFonts w:ascii="Times New Roman" w:eastAsia="Times New Roman" w:hAnsi="Times New Roman" w:cs="Times New Roman"/>
          <w:color w:val="000000"/>
        </w:rPr>
        <w:t>Il sottrarsi al</w:t>
      </w:r>
      <w:r w:rsidR="007B1FAD" w:rsidRPr="009D28CE">
        <w:rPr>
          <w:rFonts w:ascii="Times New Roman" w:eastAsia="Times New Roman" w:hAnsi="Times New Roman" w:cs="Times New Roman"/>
          <w:color w:val="000000"/>
        </w:rPr>
        <w:t xml:space="preserve">la luce </w:t>
      </w:r>
      <w:r w:rsidR="00035A50">
        <w:rPr>
          <w:rFonts w:ascii="Times New Roman" w:eastAsia="Times New Roman" w:hAnsi="Times New Roman" w:cs="Times New Roman"/>
          <w:color w:val="000000"/>
        </w:rPr>
        <w:t>pro</w:t>
      </w:r>
      <w:r w:rsidR="003D4B44" w:rsidRPr="009D28CE">
        <w:rPr>
          <w:rFonts w:ascii="Times New Roman" w:eastAsia="Times New Roman" w:hAnsi="Times New Roman" w:cs="Times New Roman"/>
          <w:color w:val="000000"/>
        </w:rPr>
        <w:t xml:space="preserve">pagatasi </w:t>
      </w:r>
      <w:r w:rsidR="007B1FAD" w:rsidRPr="009D28CE">
        <w:rPr>
          <w:rFonts w:ascii="Times New Roman" w:eastAsia="Times New Roman" w:hAnsi="Times New Roman" w:cs="Times New Roman"/>
          <w:color w:val="000000"/>
        </w:rPr>
        <w:t>dall’</w:t>
      </w:r>
      <w:r w:rsidR="00EA5C5E" w:rsidRPr="009D28CE">
        <w:rPr>
          <w:rFonts w:ascii="Times New Roman" w:eastAsia="Times New Roman" w:hAnsi="Times New Roman" w:cs="Times New Roman"/>
          <w:color w:val="000000"/>
        </w:rPr>
        <w:t>U</w:t>
      </w:r>
      <w:r w:rsidR="00061081" w:rsidRPr="009D28CE">
        <w:rPr>
          <w:rFonts w:ascii="Times New Roman" w:eastAsia="Times New Roman" w:hAnsi="Times New Roman" w:cs="Times New Roman"/>
          <w:color w:val="000000"/>
        </w:rPr>
        <w:t xml:space="preserve">no </w:t>
      </w:r>
      <w:r w:rsidR="00E927A8" w:rsidRPr="009D28CE">
        <w:rPr>
          <w:rFonts w:ascii="Times New Roman" w:eastAsia="Times New Roman" w:hAnsi="Times New Roman" w:cs="Times New Roman"/>
          <w:color w:val="000000"/>
        </w:rPr>
        <w:t>conferisce</w:t>
      </w:r>
      <w:r w:rsidR="00D32BB6" w:rsidRPr="009D28CE">
        <w:rPr>
          <w:rFonts w:ascii="Times New Roman" w:eastAsia="Times New Roman" w:hAnsi="Times New Roman" w:cs="Times New Roman"/>
          <w:color w:val="000000"/>
        </w:rPr>
        <w:t xml:space="preserve"> a</w:t>
      </w:r>
      <w:r w:rsidR="00F06299" w:rsidRPr="009D28CE">
        <w:rPr>
          <w:rFonts w:ascii="Times New Roman" w:eastAsia="Times New Roman" w:hAnsi="Times New Roman" w:cs="Times New Roman"/>
          <w:color w:val="000000"/>
        </w:rPr>
        <w:t>uton</w:t>
      </w:r>
      <w:r w:rsidR="00624756">
        <w:rPr>
          <w:rFonts w:ascii="Times New Roman" w:eastAsia="Times New Roman" w:hAnsi="Times New Roman" w:cs="Times New Roman"/>
          <w:color w:val="000000"/>
        </w:rPr>
        <w:t>omia e</w:t>
      </w:r>
      <w:r w:rsidR="00061081" w:rsidRPr="009D28CE">
        <w:rPr>
          <w:rFonts w:ascii="Times New Roman" w:eastAsia="Times New Roman" w:hAnsi="Times New Roman" w:cs="Times New Roman"/>
          <w:color w:val="000000"/>
        </w:rPr>
        <w:t xml:space="preserve"> </w:t>
      </w:r>
      <w:r w:rsidR="00F06299" w:rsidRPr="009D28CE">
        <w:rPr>
          <w:rFonts w:ascii="Times New Roman" w:eastAsia="Times New Roman" w:hAnsi="Times New Roman" w:cs="Times New Roman"/>
          <w:color w:val="000000"/>
        </w:rPr>
        <w:t>indipendenza alla</w:t>
      </w:r>
      <w:r w:rsidR="008B3784" w:rsidRPr="009D28CE">
        <w:rPr>
          <w:rFonts w:ascii="Times New Roman" w:eastAsia="Times New Roman" w:hAnsi="Times New Roman" w:cs="Times New Roman"/>
          <w:color w:val="000000"/>
        </w:rPr>
        <w:t xml:space="preserve"> finitezza</w:t>
      </w:r>
      <w:r w:rsidR="00D32BB6" w:rsidRPr="009D28CE">
        <w:rPr>
          <w:rFonts w:ascii="Times New Roman" w:eastAsia="Times New Roman" w:hAnsi="Times New Roman" w:cs="Times New Roman"/>
          <w:color w:val="000000"/>
        </w:rPr>
        <w:t xml:space="preserve">, che </w:t>
      </w:r>
      <w:r w:rsidR="00F06299" w:rsidRPr="009D28CE">
        <w:rPr>
          <w:rFonts w:ascii="Times New Roman" w:eastAsia="Times New Roman" w:hAnsi="Times New Roman" w:cs="Times New Roman"/>
          <w:color w:val="000000"/>
        </w:rPr>
        <w:t xml:space="preserve">conserva un </w:t>
      </w:r>
      <w:r w:rsidR="009351BA" w:rsidRPr="009D28CE">
        <w:rPr>
          <w:rFonts w:ascii="Times New Roman" w:eastAsia="Times New Roman" w:hAnsi="Times New Roman" w:cs="Times New Roman"/>
          <w:color w:val="000000"/>
        </w:rPr>
        <w:t>non-essere non ricompreso nell’auto</w:t>
      </w:r>
      <w:r w:rsidR="00061081" w:rsidRPr="009D28CE">
        <w:rPr>
          <w:rFonts w:ascii="Times New Roman" w:eastAsia="Times New Roman" w:hAnsi="Times New Roman" w:cs="Times New Roman"/>
          <w:color w:val="000000"/>
        </w:rPr>
        <w:t>eguaglianza dell’essenza suprema</w:t>
      </w:r>
      <w:r w:rsidR="007B1FAD" w:rsidRPr="009D28CE">
        <w:rPr>
          <w:rFonts w:ascii="Times New Roman" w:eastAsia="Times New Roman" w:hAnsi="Times New Roman" w:cs="Times New Roman"/>
          <w:color w:val="000000"/>
        </w:rPr>
        <w:t>.</w:t>
      </w:r>
      <w:r w:rsidR="00EA5C5E" w:rsidRPr="009D28CE">
        <w:rPr>
          <w:rFonts w:ascii="Times New Roman" w:eastAsia="Times New Roman" w:hAnsi="Times New Roman" w:cs="Times New Roman"/>
          <w:color w:val="000000"/>
        </w:rPr>
        <w:t xml:space="preserve"> </w:t>
      </w:r>
      <w:r w:rsidR="009351BA" w:rsidRPr="009D28CE">
        <w:rPr>
          <w:rFonts w:ascii="Times New Roman" w:eastAsia="Times New Roman" w:hAnsi="Times New Roman" w:cs="Times New Roman"/>
          <w:color w:val="000000"/>
        </w:rPr>
        <w:t>Questo non-</w:t>
      </w:r>
      <w:r w:rsidR="00F06299" w:rsidRPr="009D28CE">
        <w:rPr>
          <w:rFonts w:ascii="Times New Roman" w:eastAsia="Times New Roman" w:hAnsi="Times New Roman" w:cs="Times New Roman"/>
          <w:color w:val="000000"/>
        </w:rPr>
        <w:t>essere, l’altro dalla luce, è un qualco</w:t>
      </w:r>
      <w:r w:rsidR="00E927A8" w:rsidRPr="009D28CE">
        <w:rPr>
          <w:rFonts w:ascii="Times New Roman" w:eastAsia="Times New Roman" w:hAnsi="Times New Roman" w:cs="Times New Roman"/>
          <w:color w:val="000000"/>
        </w:rPr>
        <w:t>sa che la sostanza</w:t>
      </w:r>
      <w:r w:rsidR="00F06299" w:rsidRPr="009D28CE">
        <w:rPr>
          <w:rFonts w:ascii="Times New Roman" w:eastAsia="Times New Roman" w:hAnsi="Times New Roman" w:cs="Times New Roman"/>
          <w:color w:val="000000"/>
        </w:rPr>
        <w:t xml:space="preserve"> non riesce a trattenere in sé</w:t>
      </w:r>
      <w:r w:rsidRPr="009D28CE">
        <w:rPr>
          <w:rStyle w:val="Rimandonotaapidipagina"/>
          <w:rFonts w:ascii="Times New Roman" w:eastAsia="Times New Roman" w:hAnsi="Times New Roman" w:cs="Times New Roman"/>
          <w:color w:val="000000"/>
        </w:rPr>
        <w:footnoteReference w:id="188"/>
      </w:r>
      <w:r w:rsidR="00F06299" w:rsidRPr="009D28CE">
        <w:rPr>
          <w:rFonts w:ascii="Times New Roman" w:eastAsia="Times New Roman" w:hAnsi="Times New Roman" w:cs="Times New Roman"/>
          <w:color w:val="000000"/>
        </w:rPr>
        <w:t xml:space="preserve">. Da un lato </w:t>
      </w:r>
      <w:r w:rsidR="00F06299" w:rsidRPr="009D28CE">
        <w:rPr>
          <w:rFonts w:ascii="Times New Roman" w:hAnsi="Times New Roman" w:cs="Times New Roman"/>
        </w:rPr>
        <w:t xml:space="preserve">la </w:t>
      </w:r>
      <w:r w:rsidR="00F06299" w:rsidRPr="009D28CE">
        <w:rPr>
          <w:rFonts w:ascii="Times New Roman" w:eastAsia="Times New Roman" w:hAnsi="Times New Roman" w:cs="Times New Roman"/>
          <w:i/>
          <w:color w:val="000000"/>
        </w:rPr>
        <w:t>höchstes Wesen</w:t>
      </w:r>
      <w:r w:rsidR="00693D73" w:rsidRPr="009D28CE">
        <w:rPr>
          <w:rFonts w:ascii="Times New Roman" w:hAnsi="Times New Roman" w:cs="Times New Roman"/>
        </w:rPr>
        <w:t xml:space="preserve"> pone in unità con sé i modi, privandoli</w:t>
      </w:r>
      <w:r w:rsidR="00F06299" w:rsidRPr="009D28CE">
        <w:rPr>
          <w:rFonts w:ascii="Times New Roman" w:hAnsi="Times New Roman" w:cs="Times New Roman"/>
        </w:rPr>
        <w:t>,</w:t>
      </w:r>
      <w:r w:rsidR="00BF2862" w:rsidRPr="009D28CE">
        <w:rPr>
          <w:rFonts w:ascii="Times New Roman" w:hAnsi="Times New Roman" w:cs="Times New Roman"/>
        </w:rPr>
        <w:t xml:space="preserve"> come </w:t>
      </w:r>
      <w:r w:rsidR="009D28CE" w:rsidRPr="009D28CE">
        <w:rPr>
          <w:rFonts w:ascii="Times New Roman" w:hAnsi="Times New Roman" w:cs="Times New Roman"/>
        </w:rPr>
        <w:t>gli attributi</w:t>
      </w:r>
      <w:r w:rsidR="000E4914" w:rsidRPr="009D28CE">
        <w:rPr>
          <w:rFonts w:ascii="Times New Roman" w:hAnsi="Times New Roman" w:cs="Times New Roman"/>
        </w:rPr>
        <w:t xml:space="preserve"> del resto</w:t>
      </w:r>
      <w:r w:rsidR="00F06299" w:rsidRPr="009D28CE">
        <w:rPr>
          <w:rFonts w:ascii="Times New Roman" w:hAnsi="Times New Roman" w:cs="Times New Roman"/>
        </w:rPr>
        <w:t xml:space="preserve">, del </w:t>
      </w:r>
      <w:r w:rsidR="009351BA" w:rsidRPr="009D28CE">
        <w:rPr>
          <w:rFonts w:ascii="Times New Roman" w:eastAsia="Times New Roman" w:hAnsi="Times New Roman" w:cs="Times New Roman"/>
          <w:color w:val="000000"/>
        </w:rPr>
        <w:t>proprio essere per sé</w:t>
      </w:r>
      <w:r w:rsidR="00A021BB">
        <w:rPr>
          <w:rFonts w:ascii="Times New Roman" w:eastAsia="Times New Roman" w:hAnsi="Times New Roman" w:cs="Times New Roman"/>
          <w:color w:val="000000"/>
        </w:rPr>
        <w:t>,</w:t>
      </w:r>
      <w:r w:rsidR="00F06299" w:rsidRPr="009D28CE">
        <w:rPr>
          <w:rFonts w:ascii="Times New Roman" w:eastAsia="Times New Roman" w:hAnsi="Times New Roman" w:cs="Times New Roman"/>
          <w:color w:val="000000"/>
        </w:rPr>
        <w:t xml:space="preserve"> </w:t>
      </w:r>
      <w:r w:rsidR="00F06299" w:rsidRPr="00CF09D2">
        <w:rPr>
          <w:rFonts w:ascii="Times New Roman" w:eastAsia="Times New Roman" w:hAnsi="Times New Roman" w:cs="Times New Roman"/>
          <w:color w:val="000000"/>
        </w:rPr>
        <w:t xml:space="preserve">che, se </w:t>
      </w:r>
      <w:r w:rsidR="009351BA" w:rsidRPr="00CF09D2">
        <w:rPr>
          <w:rFonts w:ascii="Times New Roman" w:eastAsia="Times New Roman" w:hAnsi="Times New Roman" w:cs="Times New Roman"/>
          <w:color w:val="000000"/>
        </w:rPr>
        <w:t>conserva</w:t>
      </w:r>
      <w:r w:rsidR="00F06299" w:rsidRPr="00CF09D2">
        <w:rPr>
          <w:rFonts w:ascii="Times New Roman" w:eastAsia="Times New Roman" w:hAnsi="Times New Roman" w:cs="Times New Roman"/>
          <w:color w:val="000000"/>
        </w:rPr>
        <w:t>to, introdurrebbe determinazione e negazione là dove sussiste</w:t>
      </w:r>
      <w:r w:rsidR="001B1771" w:rsidRPr="00CF09D2">
        <w:rPr>
          <w:rFonts w:ascii="Times New Roman" w:eastAsia="Times New Roman" w:hAnsi="Times New Roman" w:cs="Times New Roman"/>
          <w:color w:val="000000"/>
        </w:rPr>
        <w:t>, invece,</w:t>
      </w:r>
      <w:r w:rsidR="00F06299" w:rsidRPr="00CF09D2">
        <w:rPr>
          <w:rFonts w:ascii="Times New Roman" w:eastAsia="Times New Roman" w:hAnsi="Times New Roman" w:cs="Times New Roman"/>
          <w:color w:val="000000"/>
        </w:rPr>
        <w:t xml:space="preserve"> una </w:t>
      </w:r>
      <w:r w:rsidR="00F06299" w:rsidRPr="00CF09D2">
        <w:rPr>
          <w:rFonts w:ascii="Times New Roman" w:hAnsi="Times New Roman" w:cs="Times New Roman"/>
          <w:i/>
        </w:rPr>
        <w:t>absoluteinfache Reflexion</w:t>
      </w:r>
      <w:r w:rsidR="009351BA" w:rsidRPr="00CF09D2">
        <w:rPr>
          <w:rFonts w:ascii="Times New Roman" w:hAnsi="Times New Roman" w:cs="Times New Roman"/>
        </w:rPr>
        <w:t>; dall’altro lato</w:t>
      </w:r>
      <w:r w:rsidR="00F06299" w:rsidRPr="00CF09D2">
        <w:rPr>
          <w:rFonts w:ascii="Times New Roman" w:hAnsi="Times New Roman" w:cs="Times New Roman"/>
        </w:rPr>
        <w:t xml:space="preserve"> l’essere del</w:t>
      </w:r>
      <w:r w:rsidR="00AA04BF" w:rsidRPr="00CF09D2">
        <w:rPr>
          <w:rFonts w:ascii="Times New Roman" w:hAnsi="Times New Roman" w:cs="Times New Roman"/>
        </w:rPr>
        <w:t xml:space="preserve"> non-essere</w:t>
      </w:r>
      <w:r w:rsidR="00E77D37" w:rsidRPr="00CF09D2">
        <w:rPr>
          <w:rFonts w:ascii="Times New Roman" w:hAnsi="Times New Roman" w:cs="Times New Roman"/>
        </w:rPr>
        <w:t>,</w:t>
      </w:r>
      <w:r w:rsidR="00F06299" w:rsidRPr="00CF09D2">
        <w:rPr>
          <w:rFonts w:ascii="Times New Roman" w:hAnsi="Times New Roman" w:cs="Times New Roman"/>
        </w:rPr>
        <w:t xml:space="preserve"> </w:t>
      </w:r>
      <w:r w:rsidR="00E927A8" w:rsidRPr="00CF09D2">
        <w:rPr>
          <w:rFonts w:ascii="Times New Roman" w:hAnsi="Times New Roman" w:cs="Times New Roman"/>
        </w:rPr>
        <w:t>la negatività del finito</w:t>
      </w:r>
      <w:r w:rsidR="00CE75B3" w:rsidRPr="00CF09D2">
        <w:rPr>
          <w:rFonts w:ascii="Times New Roman" w:hAnsi="Times New Roman" w:cs="Times New Roman"/>
        </w:rPr>
        <w:t>,</w:t>
      </w:r>
      <w:r w:rsidR="00E927A8" w:rsidRPr="009D28CE">
        <w:rPr>
          <w:rFonts w:ascii="Times New Roman" w:hAnsi="Times New Roman" w:cs="Times New Roman"/>
        </w:rPr>
        <w:t xml:space="preserve"> do</w:t>
      </w:r>
      <w:r w:rsidR="00F06299" w:rsidRPr="009D28CE">
        <w:rPr>
          <w:rFonts w:ascii="Times New Roman" w:hAnsi="Times New Roman" w:cs="Times New Roman"/>
        </w:rPr>
        <w:t xml:space="preserve">tata </w:t>
      </w:r>
      <w:r w:rsidR="009351BA" w:rsidRPr="009D28CE">
        <w:rPr>
          <w:rFonts w:ascii="Times New Roman" w:hAnsi="Times New Roman" w:cs="Times New Roman"/>
        </w:rPr>
        <w:t xml:space="preserve">di </w:t>
      </w:r>
      <w:r w:rsidR="00AA04BF" w:rsidRPr="009D28CE">
        <w:rPr>
          <w:rFonts w:ascii="Times New Roman" w:hAnsi="Times New Roman" w:cs="Times New Roman"/>
          <w:i/>
        </w:rPr>
        <w:t xml:space="preserve">esserci </w:t>
      </w:r>
      <w:r w:rsidR="00F06299" w:rsidRPr="009D28CE">
        <w:rPr>
          <w:rFonts w:ascii="Times New Roman" w:hAnsi="Times New Roman" w:cs="Times New Roman"/>
        </w:rPr>
        <w:t xml:space="preserve">e non riassorbita </w:t>
      </w:r>
      <w:r w:rsidR="000E4914" w:rsidRPr="009D28CE">
        <w:rPr>
          <w:rFonts w:ascii="Times New Roman" w:hAnsi="Times New Roman" w:cs="Times New Roman"/>
        </w:rPr>
        <w:t>all’interno della sostanza, si struttura</w:t>
      </w:r>
      <w:r w:rsidR="00E927A8" w:rsidRPr="009D28CE">
        <w:rPr>
          <w:rFonts w:ascii="Times New Roman" w:hAnsi="Times New Roman" w:cs="Times New Roman"/>
        </w:rPr>
        <w:t xml:space="preserve"> come </w:t>
      </w:r>
      <w:r w:rsidR="00C46946" w:rsidRPr="009D28CE">
        <w:rPr>
          <w:rFonts w:ascii="Times New Roman" w:hAnsi="Times New Roman" w:cs="Times New Roman"/>
        </w:rPr>
        <w:t>una sfera opposta</w:t>
      </w:r>
      <w:r w:rsidR="00F06299" w:rsidRPr="009D28CE">
        <w:rPr>
          <w:rFonts w:ascii="Times New Roman" w:hAnsi="Times New Roman" w:cs="Times New Roman"/>
        </w:rPr>
        <w:t xml:space="preserve"> </w:t>
      </w:r>
      <w:r w:rsidR="00C46946" w:rsidRPr="009D28CE">
        <w:rPr>
          <w:rFonts w:ascii="Times New Roman" w:hAnsi="Times New Roman" w:cs="Times New Roman"/>
        </w:rPr>
        <w:t xml:space="preserve">alla sostanza. </w:t>
      </w:r>
      <w:r w:rsidR="008A2492" w:rsidRPr="005C6289">
        <w:rPr>
          <w:rFonts w:ascii="Times New Roman" w:hAnsi="Times New Roman" w:cs="Times New Roman"/>
        </w:rPr>
        <w:t>S</w:t>
      </w:r>
      <w:r w:rsidR="00051346" w:rsidRPr="005C6289">
        <w:rPr>
          <w:rFonts w:ascii="Times New Roman" w:hAnsi="Times New Roman" w:cs="Times New Roman"/>
        </w:rPr>
        <w:t xml:space="preserve">ulla necessità di superare la scissione </w:t>
      </w:r>
      <w:r w:rsidR="006841E7" w:rsidRPr="005C6289">
        <w:rPr>
          <w:rFonts w:ascii="Times New Roman" w:hAnsi="Times New Roman" w:cs="Times New Roman"/>
        </w:rPr>
        <w:t xml:space="preserve">fra </w:t>
      </w:r>
      <w:r w:rsidR="00051346" w:rsidRPr="005C6289">
        <w:rPr>
          <w:rFonts w:ascii="Times New Roman" w:hAnsi="Times New Roman" w:cs="Times New Roman"/>
        </w:rPr>
        <w:t>essenza suprema e modificazioni</w:t>
      </w:r>
      <w:r w:rsidR="002A2D4E" w:rsidRPr="005C6289">
        <w:rPr>
          <w:rFonts w:ascii="Times New Roman" w:hAnsi="Times New Roman" w:cs="Times New Roman"/>
        </w:rPr>
        <w:t>,</w:t>
      </w:r>
      <w:r w:rsidR="00051346" w:rsidRPr="005C6289">
        <w:rPr>
          <w:rFonts w:ascii="Times New Roman" w:hAnsi="Times New Roman" w:cs="Times New Roman"/>
        </w:rPr>
        <w:t xml:space="preserve"> scrive</w:t>
      </w:r>
      <w:r w:rsidR="002A2D4E" w:rsidRPr="005C6289">
        <w:rPr>
          <w:rFonts w:ascii="Times New Roman" w:hAnsi="Times New Roman" w:cs="Times New Roman"/>
        </w:rPr>
        <w:t xml:space="preserve"> </w:t>
      </w:r>
      <w:r w:rsidR="006C053A" w:rsidRPr="005C6289">
        <w:rPr>
          <w:rFonts w:ascii="Times New Roman" w:hAnsi="Times New Roman" w:cs="Times New Roman"/>
        </w:rPr>
        <w:t>Hegel</w:t>
      </w:r>
      <w:r w:rsidR="006C053A">
        <w:rPr>
          <w:rFonts w:ascii="Times New Roman" w:hAnsi="Times New Roman" w:cs="Times New Roman"/>
        </w:rPr>
        <w:t>:</w:t>
      </w:r>
    </w:p>
    <w:p w14:paraId="096A6833" w14:textId="77777777" w:rsidR="002A2D4E" w:rsidRDefault="002A2D4E" w:rsidP="00F06299">
      <w:pPr>
        <w:spacing w:line="360" w:lineRule="auto"/>
        <w:ind w:firstLine="567"/>
        <w:jc w:val="both"/>
        <w:rPr>
          <w:rFonts w:ascii="Times New Roman" w:hAnsi="Times New Roman" w:cs="Times New Roman"/>
        </w:rPr>
      </w:pPr>
    </w:p>
    <w:p w14:paraId="04CB75E6" w14:textId="6EADACB1" w:rsidR="002A2D4E" w:rsidRPr="001B1771" w:rsidRDefault="002A2D4E" w:rsidP="009351BA">
      <w:pPr>
        <w:spacing w:line="360" w:lineRule="auto"/>
        <w:ind w:left="567" w:firstLine="567"/>
        <w:jc w:val="both"/>
        <w:rPr>
          <w:rFonts w:ascii="Times New Roman" w:eastAsia="Times New Roman" w:hAnsi="Times New Roman" w:cs="Times New Roman"/>
          <w:color w:val="000000"/>
          <w:sz w:val="20"/>
          <w:szCs w:val="20"/>
        </w:rPr>
      </w:pPr>
      <w:r w:rsidRPr="00CF09D2">
        <w:rPr>
          <w:rFonts w:ascii="Times New Roman" w:eastAsia="Times New Roman" w:hAnsi="Times New Roman" w:cs="Times New Roman"/>
          <w:color w:val="000000"/>
          <w:sz w:val="20"/>
          <w:szCs w:val="20"/>
        </w:rPr>
        <w:t xml:space="preserve">«Diesem [dem höchsten Wesen] steht in seiner Sichselbstgleichheit schlechthin die Negation, als das böse Prinzip, das sich in sich einbildet gegenüber; in seiner </w:t>
      </w:r>
      <w:r w:rsidR="007A0D2C" w:rsidRPr="00CF09D2">
        <w:rPr>
          <w:rFonts w:ascii="Times New Roman" w:eastAsia="Times New Roman" w:hAnsi="Times New Roman" w:cs="Times New Roman"/>
          <w:color w:val="000000"/>
          <w:sz w:val="20"/>
          <w:szCs w:val="20"/>
        </w:rPr>
        <w:t xml:space="preserve">reinen </w:t>
      </w:r>
      <w:r w:rsidRPr="00CF09D2">
        <w:rPr>
          <w:rFonts w:ascii="Times New Roman" w:eastAsia="Times New Roman" w:hAnsi="Times New Roman" w:cs="Times New Roman"/>
          <w:color w:val="000000"/>
          <w:sz w:val="20"/>
          <w:szCs w:val="20"/>
        </w:rPr>
        <w:t>Klarheit ist diese Finsterniß nicht; denn diese ist das Nichts für das Licht, und jene ist diesem schlechthin, als sich gleich, aber ebenso ist das Licht nicht ohne Finsterniß, als diese ohne das Licht ist.</w:t>
      </w:r>
      <w:r w:rsidRPr="001B1771">
        <w:rPr>
          <w:rFonts w:ascii="Times New Roman" w:eastAsia="Times New Roman" w:hAnsi="Times New Roman" w:cs="Times New Roman"/>
          <w:color w:val="000000"/>
          <w:sz w:val="20"/>
          <w:szCs w:val="20"/>
        </w:rPr>
        <w:t xml:space="preserve"> Das höchste Wesen hat die Welt geshaffen, die für dasselbe von ätherheller Durchsichtigkeit und Klahreit ist; aber diese ist für sich selbst finster. Es ist erwiesen, daß nur die höchste Wesen an sich ist; aber dieses für sichseyn der Welt steht dieser Notwendigkeit schlecht</w:t>
      </w:r>
      <w:r w:rsidR="004C695F">
        <w:rPr>
          <w:rFonts w:ascii="Times New Roman" w:eastAsia="Times New Roman" w:hAnsi="Times New Roman" w:cs="Times New Roman"/>
          <w:color w:val="000000"/>
          <w:sz w:val="20"/>
          <w:szCs w:val="20"/>
        </w:rPr>
        <w:t>h</w:t>
      </w:r>
      <w:r w:rsidRPr="001B1771">
        <w:rPr>
          <w:rFonts w:ascii="Times New Roman" w:eastAsia="Times New Roman" w:hAnsi="Times New Roman" w:cs="Times New Roman"/>
          <w:color w:val="000000"/>
          <w:sz w:val="20"/>
          <w:szCs w:val="20"/>
        </w:rPr>
        <w:t>in gegenüber; sein Sein ist ein Nichtseyn; aber diß Nichtseyn ist selbst ist jenem absoluten Seyn gegenüber»</w:t>
      </w:r>
      <w:r w:rsidRPr="001B1771">
        <w:rPr>
          <w:rStyle w:val="Rimandonotaapidipagina"/>
          <w:rFonts w:ascii="Times New Roman" w:eastAsia="Times New Roman" w:hAnsi="Times New Roman" w:cs="Times New Roman"/>
          <w:color w:val="000000"/>
          <w:sz w:val="20"/>
          <w:szCs w:val="20"/>
        </w:rPr>
        <w:footnoteReference w:id="189"/>
      </w:r>
      <w:r w:rsidR="0055106B" w:rsidRPr="001B1771">
        <w:rPr>
          <w:rFonts w:ascii="Times New Roman" w:eastAsia="Times New Roman" w:hAnsi="Times New Roman" w:cs="Times New Roman"/>
          <w:color w:val="000000"/>
          <w:sz w:val="20"/>
          <w:szCs w:val="20"/>
        </w:rPr>
        <w:t>.</w:t>
      </w:r>
    </w:p>
    <w:p w14:paraId="122B2A5B" w14:textId="77777777" w:rsidR="0055106B" w:rsidRPr="00764373" w:rsidRDefault="0055106B" w:rsidP="00F06299">
      <w:pPr>
        <w:spacing w:line="360" w:lineRule="auto"/>
        <w:ind w:firstLine="567"/>
        <w:jc w:val="both"/>
        <w:rPr>
          <w:rFonts w:ascii="Times New Roman" w:eastAsia="Times New Roman" w:hAnsi="Times New Roman" w:cs="Times New Roman"/>
          <w:color w:val="000000"/>
        </w:rPr>
      </w:pPr>
    </w:p>
    <w:p w14:paraId="602C2311" w14:textId="22283D97" w:rsidR="000D5DF9" w:rsidRDefault="006D5011" w:rsidP="008A2492">
      <w:pPr>
        <w:spacing w:line="360" w:lineRule="auto"/>
        <w:ind w:firstLine="567"/>
        <w:jc w:val="both"/>
        <w:rPr>
          <w:rFonts w:ascii="Times New Roman" w:eastAsia="Times New Roman" w:hAnsi="Times New Roman" w:cs="Times New Roman"/>
          <w:color w:val="000000"/>
        </w:rPr>
      </w:pPr>
      <w:r>
        <w:rPr>
          <w:rFonts w:ascii="Times New Roman" w:eastAsia="Times New Roman" w:hAnsi="Times New Roman" w:cs="Times New Roman"/>
          <w:color w:val="000000"/>
        </w:rPr>
        <w:t>L’essenza</w:t>
      </w:r>
      <w:r w:rsidR="006C008E">
        <w:rPr>
          <w:rFonts w:ascii="Times New Roman" w:eastAsia="Times New Roman" w:hAnsi="Times New Roman" w:cs="Times New Roman"/>
          <w:color w:val="000000"/>
        </w:rPr>
        <w:t xml:space="preserve"> suprema</w:t>
      </w:r>
      <w:r w:rsidR="0055106B">
        <w:rPr>
          <w:rFonts w:ascii="Times New Roman" w:eastAsia="Times New Roman" w:hAnsi="Times New Roman" w:cs="Times New Roman"/>
          <w:color w:val="000000"/>
        </w:rPr>
        <w:t>, la pura luce</w:t>
      </w:r>
      <w:r>
        <w:rPr>
          <w:rFonts w:ascii="Times New Roman" w:eastAsia="Times New Roman" w:hAnsi="Times New Roman" w:cs="Times New Roman"/>
          <w:color w:val="000000"/>
        </w:rPr>
        <w:t>, non accoglie in sé la tenebra. A</w:t>
      </w:r>
      <w:r w:rsidR="0055106B">
        <w:rPr>
          <w:rFonts w:ascii="Times New Roman" w:eastAsia="Times New Roman" w:hAnsi="Times New Roman" w:cs="Times New Roman"/>
          <w:color w:val="000000"/>
        </w:rPr>
        <w:t xml:space="preserve"> sua volta,</w:t>
      </w:r>
      <w:r>
        <w:rPr>
          <w:rFonts w:ascii="Times New Roman" w:eastAsia="Times New Roman" w:hAnsi="Times New Roman" w:cs="Times New Roman"/>
          <w:color w:val="000000"/>
        </w:rPr>
        <w:t xml:space="preserve"> la tenebra </w:t>
      </w:r>
      <w:r w:rsidR="00344E92">
        <w:rPr>
          <w:rFonts w:ascii="Times New Roman" w:eastAsia="Times New Roman" w:hAnsi="Times New Roman" w:cs="Times New Roman"/>
          <w:color w:val="000000"/>
        </w:rPr>
        <w:t>rifugge la luce, rimane</w:t>
      </w:r>
      <w:r w:rsidR="0055106B">
        <w:rPr>
          <w:rFonts w:ascii="Times New Roman" w:eastAsia="Times New Roman" w:hAnsi="Times New Roman" w:cs="Times New Roman"/>
          <w:color w:val="000000"/>
        </w:rPr>
        <w:t xml:space="preserve"> ad essa opposta (</w:t>
      </w:r>
      <w:r w:rsidR="0055106B" w:rsidRPr="0055106B">
        <w:rPr>
          <w:rFonts w:ascii="Times New Roman" w:eastAsia="Times New Roman" w:hAnsi="Times New Roman" w:cs="Times New Roman"/>
          <w:i/>
          <w:color w:val="000000"/>
        </w:rPr>
        <w:t>diß Nichtseyn ist jenem absoluten Seyn gegenüber</w:t>
      </w:r>
      <w:r w:rsidR="0055106B">
        <w:rPr>
          <w:rFonts w:ascii="Times New Roman" w:eastAsia="Times New Roman" w:hAnsi="Times New Roman" w:cs="Times New Roman"/>
          <w:color w:val="000000"/>
        </w:rPr>
        <w:t xml:space="preserve">) </w:t>
      </w:r>
      <w:r w:rsidR="00344E92">
        <w:rPr>
          <w:rFonts w:ascii="Times New Roman" w:eastAsia="Times New Roman" w:hAnsi="Times New Roman" w:cs="Times New Roman"/>
          <w:color w:val="000000"/>
        </w:rPr>
        <w:t>e si configura</w:t>
      </w:r>
      <w:r w:rsidR="00CD634B">
        <w:rPr>
          <w:rFonts w:ascii="Times New Roman" w:eastAsia="Times New Roman" w:hAnsi="Times New Roman" w:cs="Times New Roman"/>
          <w:color w:val="000000"/>
        </w:rPr>
        <w:t xml:space="preserve"> (</w:t>
      </w:r>
      <w:r w:rsidR="00CD634B" w:rsidRPr="00CD634B">
        <w:rPr>
          <w:rFonts w:ascii="Times New Roman" w:eastAsia="Times New Roman" w:hAnsi="Times New Roman" w:cs="Times New Roman"/>
          <w:i/>
          <w:color w:val="000000"/>
        </w:rPr>
        <w:t>sich in sich einbilden</w:t>
      </w:r>
      <w:r w:rsidR="00CD634B">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come un essere per </w:t>
      </w:r>
      <w:r w:rsidR="0055106B">
        <w:rPr>
          <w:rFonts w:ascii="Times New Roman" w:eastAsia="Times New Roman" w:hAnsi="Times New Roman" w:cs="Times New Roman"/>
          <w:color w:val="000000"/>
        </w:rPr>
        <w:t>sé (</w:t>
      </w:r>
      <w:r w:rsidR="00CD634B" w:rsidRPr="00CD634B">
        <w:rPr>
          <w:rFonts w:ascii="Times New Roman" w:eastAsia="Times New Roman" w:hAnsi="Times New Roman" w:cs="Times New Roman"/>
          <w:i/>
          <w:color w:val="000000"/>
        </w:rPr>
        <w:t>dies für sichseyn und das absolute Wesen bleiben getrennt</w:t>
      </w:r>
      <w:r w:rsidR="00CD634B">
        <w:rPr>
          <w:rFonts w:ascii="Times New Roman" w:eastAsia="Times New Roman" w:hAnsi="Times New Roman" w:cs="Times New Roman"/>
          <w:color w:val="000000"/>
        </w:rPr>
        <w:t>). Pensare l’essere uno</w:t>
      </w:r>
      <w:r w:rsidR="0055106B">
        <w:rPr>
          <w:rFonts w:ascii="Times New Roman" w:eastAsia="Times New Roman" w:hAnsi="Times New Roman" w:cs="Times New Roman"/>
          <w:color w:val="000000"/>
        </w:rPr>
        <w:t xml:space="preserve"> di luce e </w:t>
      </w:r>
      <w:r w:rsidR="0055106B" w:rsidRPr="007F5DD9">
        <w:rPr>
          <w:rFonts w:ascii="Times New Roman" w:eastAsia="Times New Roman" w:hAnsi="Times New Roman" w:cs="Times New Roman"/>
          <w:color w:val="000000"/>
        </w:rPr>
        <w:t xml:space="preserve">tenebra, del </w:t>
      </w:r>
      <w:r w:rsidR="008E444E" w:rsidRPr="007F5DD9">
        <w:rPr>
          <w:rFonts w:ascii="Times New Roman" w:eastAsia="Times New Roman" w:hAnsi="Times New Roman" w:cs="Times New Roman"/>
          <w:color w:val="000000"/>
        </w:rPr>
        <w:t>principi</w:t>
      </w:r>
      <w:r w:rsidR="0055106B" w:rsidRPr="007F5DD9">
        <w:rPr>
          <w:rFonts w:ascii="Times New Roman" w:eastAsia="Times New Roman" w:hAnsi="Times New Roman" w:cs="Times New Roman"/>
          <w:color w:val="000000"/>
        </w:rPr>
        <w:t xml:space="preserve">o buono </w:t>
      </w:r>
      <w:r w:rsidR="00725B67" w:rsidRPr="007F5DD9">
        <w:rPr>
          <w:rFonts w:ascii="Times New Roman" w:eastAsia="Times New Roman" w:hAnsi="Times New Roman" w:cs="Times New Roman"/>
          <w:color w:val="000000"/>
        </w:rPr>
        <w:t>(richiamato</w:t>
      </w:r>
      <w:r w:rsidR="0050590A" w:rsidRPr="007F5DD9">
        <w:rPr>
          <w:rFonts w:ascii="Times New Roman" w:eastAsia="Times New Roman" w:hAnsi="Times New Roman" w:cs="Times New Roman"/>
          <w:color w:val="000000"/>
        </w:rPr>
        <w:t>, tramite il riferimento al suo opposto, da Hegel</w:t>
      </w:r>
      <w:r w:rsidR="00725B67" w:rsidRPr="007F5DD9">
        <w:rPr>
          <w:rFonts w:ascii="Times New Roman" w:eastAsia="Times New Roman" w:hAnsi="Times New Roman" w:cs="Times New Roman"/>
          <w:color w:val="000000"/>
        </w:rPr>
        <w:t>)</w:t>
      </w:r>
      <w:r w:rsidR="00725B67">
        <w:rPr>
          <w:rFonts w:ascii="Times New Roman" w:eastAsia="Times New Roman" w:hAnsi="Times New Roman" w:cs="Times New Roman"/>
          <w:color w:val="000000"/>
        </w:rPr>
        <w:t xml:space="preserve"> </w:t>
      </w:r>
      <w:r w:rsidR="0055106B" w:rsidRPr="006E3C29">
        <w:rPr>
          <w:rFonts w:ascii="Times New Roman" w:eastAsia="Times New Roman" w:hAnsi="Times New Roman" w:cs="Times New Roman"/>
          <w:color w:val="000000"/>
        </w:rPr>
        <w:t>e del principio cattivo, dell’infinito e del f</w:t>
      </w:r>
      <w:r w:rsidR="002E3986" w:rsidRPr="006E3C29">
        <w:rPr>
          <w:rFonts w:ascii="Times New Roman" w:eastAsia="Times New Roman" w:hAnsi="Times New Roman" w:cs="Times New Roman"/>
          <w:color w:val="000000"/>
        </w:rPr>
        <w:t>inito, significa procedere oltre</w:t>
      </w:r>
      <w:r w:rsidR="0055106B" w:rsidRPr="006E3C29">
        <w:rPr>
          <w:rFonts w:ascii="Times New Roman" w:eastAsia="Times New Roman" w:hAnsi="Times New Roman" w:cs="Times New Roman"/>
          <w:color w:val="000000"/>
        </w:rPr>
        <w:t xml:space="preserve"> le aporie latenti nel modello </w:t>
      </w:r>
      <w:r w:rsidR="00BC1618" w:rsidRPr="006E3C29">
        <w:rPr>
          <w:rFonts w:ascii="Times New Roman" w:eastAsia="Times New Roman" w:hAnsi="Times New Roman" w:cs="Times New Roman"/>
          <w:color w:val="000000"/>
        </w:rPr>
        <w:t xml:space="preserve">spinoziano </w:t>
      </w:r>
      <w:r w:rsidR="0055106B" w:rsidRPr="006E3C29">
        <w:rPr>
          <w:rFonts w:ascii="Times New Roman" w:eastAsia="Times New Roman" w:hAnsi="Times New Roman" w:cs="Times New Roman"/>
          <w:color w:val="000000"/>
        </w:rPr>
        <w:t>di sostanza</w:t>
      </w:r>
      <w:r w:rsidR="0055106B" w:rsidRPr="00CF09D2">
        <w:rPr>
          <w:rFonts w:ascii="Times New Roman" w:eastAsia="Times New Roman" w:hAnsi="Times New Roman" w:cs="Times New Roman"/>
          <w:color w:val="000000"/>
        </w:rPr>
        <w:t>. Cogliere l’Assoluto come l’identità dei due principi</w:t>
      </w:r>
      <w:r w:rsidR="002E3986" w:rsidRPr="00CF09D2">
        <w:rPr>
          <w:rStyle w:val="Rimandonotaapidipagina"/>
          <w:rFonts w:ascii="Times New Roman" w:eastAsia="Times New Roman" w:hAnsi="Times New Roman" w:cs="Times New Roman"/>
          <w:color w:val="000000"/>
        </w:rPr>
        <w:footnoteReference w:id="190"/>
      </w:r>
      <w:r w:rsidR="002E3986" w:rsidRPr="00CF09D2">
        <w:rPr>
          <w:rFonts w:ascii="Times New Roman" w:eastAsia="Times New Roman" w:hAnsi="Times New Roman" w:cs="Times New Roman"/>
          <w:color w:val="000000"/>
        </w:rPr>
        <w:t xml:space="preserve"> </w:t>
      </w:r>
      <w:r w:rsidR="00202095" w:rsidRPr="00CF09D2">
        <w:rPr>
          <w:rFonts w:ascii="Times New Roman" w:eastAsia="Times New Roman" w:hAnsi="Times New Roman" w:cs="Times New Roman"/>
          <w:color w:val="000000"/>
        </w:rPr>
        <w:t xml:space="preserve">è necessità teorica, </w:t>
      </w:r>
      <w:r w:rsidR="00DD1A3E" w:rsidRPr="00CF09D2">
        <w:rPr>
          <w:rFonts w:ascii="Times New Roman" w:eastAsia="Times New Roman" w:hAnsi="Times New Roman" w:cs="Times New Roman"/>
          <w:color w:val="000000"/>
        </w:rPr>
        <w:t xml:space="preserve">introdotta </w:t>
      </w:r>
      <w:r w:rsidR="006C053A" w:rsidRPr="00CF09D2">
        <w:rPr>
          <w:rFonts w:ascii="Times New Roman" w:eastAsia="Times New Roman" w:hAnsi="Times New Roman" w:cs="Times New Roman"/>
          <w:color w:val="000000"/>
        </w:rPr>
        <w:t xml:space="preserve">in chiusura </w:t>
      </w:r>
      <w:r w:rsidR="00202095" w:rsidRPr="00CF09D2">
        <w:rPr>
          <w:rFonts w:ascii="Times New Roman" w:eastAsia="Times New Roman" w:hAnsi="Times New Roman" w:cs="Times New Roman"/>
          <w:color w:val="000000"/>
        </w:rPr>
        <w:t>dell’</w:t>
      </w:r>
      <w:r w:rsidR="00202095" w:rsidRPr="00CF09D2">
        <w:rPr>
          <w:rFonts w:ascii="Times New Roman" w:eastAsia="Times New Roman" w:hAnsi="Times New Roman" w:cs="Times New Roman"/>
          <w:i/>
          <w:color w:val="000000"/>
          <w:lang w:val="de-DE"/>
        </w:rPr>
        <w:t>Höchstes Wesen</w:t>
      </w:r>
      <w:r w:rsidR="00202095" w:rsidRPr="00CF09D2">
        <w:rPr>
          <w:rFonts w:ascii="Times New Roman" w:eastAsia="Times New Roman" w:hAnsi="Times New Roman" w:cs="Times New Roman"/>
          <w:color w:val="000000"/>
        </w:rPr>
        <w:t xml:space="preserve">, che consentirà ad Hegel di </w:t>
      </w:r>
      <w:r w:rsidR="008E5D55" w:rsidRPr="00CF09D2">
        <w:rPr>
          <w:rFonts w:ascii="Times New Roman" w:eastAsia="Times New Roman" w:hAnsi="Times New Roman" w:cs="Times New Roman"/>
          <w:color w:val="000000"/>
        </w:rPr>
        <w:t>definire</w:t>
      </w:r>
      <w:r w:rsidR="004E0617" w:rsidRPr="00CF09D2">
        <w:rPr>
          <w:rFonts w:ascii="Times New Roman" w:eastAsia="Times New Roman" w:hAnsi="Times New Roman" w:cs="Times New Roman"/>
          <w:color w:val="000000"/>
        </w:rPr>
        <w:t>,</w:t>
      </w:r>
      <w:r w:rsidR="008E5D55" w:rsidRPr="00CF09D2">
        <w:rPr>
          <w:rFonts w:ascii="Times New Roman" w:eastAsia="Times New Roman" w:hAnsi="Times New Roman" w:cs="Times New Roman"/>
          <w:color w:val="000000"/>
        </w:rPr>
        <w:t xml:space="preserve"> </w:t>
      </w:r>
      <w:r w:rsidR="00202095" w:rsidRPr="00CF09D2">
        <w:rPr>
          <w:rFonts w:ascii="Times New Roman" w:eastAsia="Times New Roman" w:hAnsi="Times New Roman" w:cs="Times New Roman"/>
          <w:color w:val="000000"/>
        </w:rPr>
        <w:t>nella sezione dell’</w:t>
      </w:r>
      <w:r w:rsidR="00202095" w:rsidRPr="00CF09D2">
        <w:rPr>
          <w:rFonts w:ascii="Times New Roman" w:eastAsia="Times New Roman" w:hAnsi="Times New Roman" w:cs="Times New Roman"/>
          <w:i/>
          <w:color w:val="000000"/>
        </w:rPr>
        <w:t>absoluter Geist</w:t>
      </w:r>
      <w:r w:rsidR="004E0617" w:rsidRPr="00CF09D2">
        <w:rPr>
          <w:rFonts w:ascii="Times New Roman" w:eastAsia="Times New Roman" w:hAnsi="Times New Roman" w:cs="Times New Roman"/>
          <w:color w:val="000000"/>
        </w:rPr>
        <w:t xml:space="preserve">, </w:t>
      </w:r>
      <w:r w:rsidR="002E3986" w:rsidRPr="00CF09D2">
        <w:rPr>
          <w:rFonts w:ascii="Times New Roman" w:eastAsia="Times New Roman" w:hAnsi="Times New Roman" w:cs="Times New Roman"/>
          <w:color w:val="000000"/>
        </w:rPr>
        <w:t xml:space="preserve">quanto </w:t>
      </w:r>
      <w:r w:rsidR="006E3C29" w:rsidRPr="00CF09D2">
        <w:rPr>
          <w:rFonts w:ascii="Times New Roman" w:eastAsia="Times New Roman" w:hAnsi="Times New Roman" w:cs="Times New Roman"/>
          <w:color w:val="000000"/>
        </w:rPr>
        <w:t>precedentemente tematizzato</w:t>
      </w:r>
      <w:r w:rsidR="0079767F" w:rsidRPr="00CF09D2">
        <w:rPr>
          <w:rFonts w:ascii="Times New Roman" w:eastAsia="Times New Roman" w:hAnsi="Times New Roman" w:cs="Times New Roman"/>
          <w:i/>
          <w:color w:val="000000"/>
        </w:rPr>
        <w:t xml:space="preserve"> </w:t>
      </w:r>
      <w:r w:rsidR="002E3986" w:rsidRPr="00CF09D2">
        <w:rPr>
          <w:rFonts w:ascii="Times New Roman" w:eastAsia="Times New Roman" w:hAnsi="Times New Roman" w:cs="Times New Roman"/>
          <w:color w:val="000000"/>
        </w:rPr>
        <w:t>nell’</w:t>
      </w:r>
      <w:r w:rsidR="002E3986" w:rsidRPr="00CF09D2">
        <w:rPr>
          <w:rFonts w:ascii="Times New Roman" w:eastAsia="Times New Roman" w:hAnsi="Times New Roman" w:cs="Times New Roman"/>
          <w:i/>
          <w:color w:val="000000"/>
        </w:rPr>
        <w:t>einfache Beziehung</w:t>
      </w:r>
      <w:r w:rsidR="00073763" w:rsidRPr="00CF09D2">
        <w:rPr>
          <w:rFonts w:ascii="Times New Roman" w:eastAsia="Times New Roman" w:hAnsi="Times New Roman" w:cs="Times New Roman"/>
          <w:color w:val="000000"/>
        </w:rPr>
        <w:t>.</w:t>
      </w:r>
      <w:r w:rsidR="00073763">
        <w:rPr>
          <w:rFonts w:ascii="Times New Roman" w:eastAsia="Times New Roman" w:hAnsi="Times New Roman" w:cs="Times New Roman"/>
          <w:color w:val="000000"/>
        </w:rPr>
        <w:t xml:space="preserve"> </w:t>
      </w:r>
    </w:p>
    <w:p w14:paraId="6A21B84F" w14:textId="77777777" w:rsidR="00CD634B" w:rsidRDefault="00CD634B" w:rsidP="006C053A">
      <w:pPr>
        <w:spacing w:line="360" w:lineRule="auto"/>
        <w:jc w:val="both"/>
        <w:rPr>
          <w:rFonts w:ascii="Times New Roman" w:eastAsia="Times New Roman" w:hAnsi="Times New Roman" w:cs="Times New Roman"/>
          <w:color w:val="000000"/>
        </w:rPr>
      </w:pPr>
    </w:p>
    <w:p w14:paraId="46F38BD2" w14:textId="5438F8E4" w:rsidR="00DE136F" w:rsidRPr="00AA07E7" w:rsidRDefault="00596031" w:rsidP="00DE136F">
      <w:pP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i/>
          <w:color w:val="000000"/>
        </w:rPr>
        <w:t>1</w:t>
      </w:r>
      <w:r w:rsidR="00DE136F" w:rsidRPr="00A8223A">
        <w:rPr>
          <w:rFonts w:ascii="Times New Roman" w:eastAsia="Times New Roman" w:hAnsi="Times New Roman" w:cs="Times New Roman"/>
          <w:i/>
          <w:color w:val="000000"/>
        </w:rPr>
        <w:t>.</w:t>
      </w:r>
      <w:r>
        <w:rPr>
          <w:rFonts w:ascii="Times New Roman" w:eastAsia="Times New Roman" w:hAnsi="Times New Roman" w:cs="Times New Roman"/>
          <w:i/>
          <w:color w:val="000000"/>
        </w:rPr>
        <w:t>6</w:t>
      </w:r>
      <w:r w:rsidR="00DE136F" w:rsidRPr="00A8223A">
        <w:rPr>
          <w:rFonts w:ascii="Times New Roman" w:eastAsia="Times New Roman" w:hAnsi="Times New Roman" w:cs="Times New Roman"/>
          <w:i/>
          <w:color w:val="000000"/>
        </w:rPr>
        <w:t xml:space="preserve"> </w:t>
      </w:r>
      <w:r w:rsidR="00AA3820" w:rsidRPr="00A8223A">
        <w:rPr>
          <w:rFonts w:ascii="Times New Roman" w:eastAsia="Times New Roman" w:hAnsi="Times New Roman" w:cs="Times New Roman"/>
          <w:i/>
          <w:color w:val="000000"/>
        </w:rPr>
        <w:t>F</w:t>
      </w:r>
      <w:r w:rsidR="005420AC" w:rsidRPr="00A8223A">
        <w:rPr>
          <w:rFonts w:ascii="Times New Roman" w:eastAsia="Times New Roman" w:hAnsi="Times New Roman" w:cs="Times New Roman"/>
          <w:i/>
          <w:color w:val="000000"/>
        </w:rPr>
        <w:t>ra Kant e Böhme</w:t>
      </w:r>
      <w:r w:rsidR="00AA3820" w:rsidRPr="00A8223A">
        <w:rPr>
          <w:rFonts w:ascii="Times New Roman" w:eastAsia="Times New Roman" w:hAnsi="Times New Roman" w:cs="Times New Roman"/>
          <w:i/>
          <w:color w:val="000000"/>
        </w:rPr>
        <w:t>:</w:t>
      </w:r>
      <w:r w:rsidR="00AA3820" w:rsidRPr="00AA3820">
        <w:rPr>
          <w:rFonts w:ascii="Times New Roman" w:eastAsia="Times New Roman" w:hAnsi="Times New Roman" w:cs="Times New Roman"/>
          <w:i/>
          <w:color w:val="000000"/>
        </w:rPr>
        <w:t xml:space="preserve"> la teoria dei due principi nella</w:t>
      </w:r>
      <w:r w:rsidR="00AA3820" w:rsidRPr="00AA3820">
        <w:rPr>
          <w:rFonts w:ascii="Times New Roman" w:eastAsia="Times New Roman" w:hAnsi="Times New Roman" w:cs="Times New Roman"/>
          <w:color w:val="000000"/>
        </w:rPr>
        <w:t xml:space="preserve"> </w:t>
      </w:r>
      <w:r w:rsidR="00AA3820" w:rsidRPr="00AA07E7">
        <w:rPr>
          <w:rFonts w:ascii="Times New Roman" w:eastAsia="Times New Roman" w:hAnsi="Times New Roman" w:cs="Times New Roman"/>
          <w:color w:val="000000"/>
        </w:rPr>
        <w:t>Metaphysik der Objectivit</w:t>
      </w:r>
      <w:r w:rsidR="00AA3820" w:rsidRPr="00AA07E7">
        <w:rPr>
          <w:rFonts w:ascii="Times New Roman" w:eastAsia="Times New Roman" w:hAnsi="Times New Roman" w:cs="Times New Roman"/>
          <w:color w:val="000000"/>
          <w:lang w:val="de-DE"/>
        </w:rPr>
        <w:t>ät</w:t>
      </w:r>
    </w:p>
    <w:p w14:paraId="7FA26328" w14:textId="77777777" w:rsidR="004D6F02" w:rsidRPr="00AA07E7" w:rsidRDefault="004D6F02" w:rsidP="00DE136F">
      <w:pPr>
        <w:spacing w:line="360" w:lineRule="auto"/>
        <w:jc w:val="both"/>
        <w:rPr>
          <w:rFonts w:ascii="Times New Roman" w:eastAsia="Times New Roman" w:hAnsi="Times New Roman" w:cs="Times New Roman"/>
          <w:color w:val="000000"/>
        </w:rPr>
      </w:pPr>
    </w:p>
    <w:p w14:paraId="139C9808" w14:textId="7E1D9B79" w:rsidR="008A2492" w:rsidRPr="00CF09D2" w:rsidRDefault="00436569" w:rsidP="000E5A98">
      <w:pPr>
        <w:spacing w:line="360" w:lineRule="auto"/>
        <w:ind w:firstLine="567"/>
        <w:jc w:val="both"/>
        <w:rPr>
          <w:rFonts w:ascii="Times New Roman" w:eastAsia="Times New Roman" w:hAnsi="Times New Roman" w:cs="Times New Roman"/>
          <w:color w:val="000000"/>
        </w:rPr>
      </w:pPr>
      <w:r w:rsidRPr="00725B67">
        <w:rPr>
          <w:rFonts w:ascii="Times New Roman" w:eastAsia="Times New Roman" w:hAnsi="Times New Roman" w:cs="Times New Roman"/>
          <w:color w:val="000000"/>
        </w:rPr>
        <w:t xml:space="preserve">Evidenziato il cuore problematico e </w:t>
      </w:r>
      <w:r w:rsidR="00012615" w:rsidRPr="00725B67">
        <w:rPr>
          <w:rFonts w:ascii="Times New Roman" w:eastAsia="Times New Roman" w:hAnsi="Times New Roman" w:cs="Times New Roman"/>
          <w:color w:val="000000"/>
        </w:rPr>
        <w:t xml:space="preserve">l’intento </w:t>
      </w:r>
      <w:r w:rsidRPr="00725B67">
        <w:rPr>
          <w:rFonts w:ascii="Times New Roman" w:eastAsia="Times New Roman" w:hAnsi="Times New Roman" w:cs="Times New Roman"/>
          <w:color w:val="000000"/>
        </w:rPr>
        <w:t>programmtico dell’</w:t>
      </w:r>
      <w:r w:rsidRPr="00725B67">
        <w:rPr>
          <w:rFonts w:ascii="Times New Roman" w:eastAsia="Times New Roman" w:hAnsi="Times New Roman" w:cs="Times New Roman"/>
          <w:i/>
          <w:color w:val="000000"/>
          <w:lang w:val="de-DE"/>
        </w:rPr>
        <w:t>Höchstes Wesen</w:t>
      </w:r>
      <w:r w:rsidR="00A8235B" w:rsidRPr="00725B67">
        <w:rPr>
          <w:rFonts w:ascii="Times New Roman" w:eastAsia="Times New Roman" w:hAnsi="Times New Roman" w:cs="Times New Roman"/>
          <w:color w:val="000000"/>
          <w:lang w:val="de-DE"/>
        </w:rPr>
        <w:t xml:space="preserve">, non resta che </w:t>
      </w:r>
      <w:r w:rsidRPr="00725B67">
        <w:rPr>
          <w:rFonts w:ascii="Times New Roman" w:eastAsia="Times New Roman" w:hAnsi="Times New Roman" w:cs="Times New Roman"/>
          <w:color w:val="000000"/>
          <w:lang w:val="de-DE"/>
        </w:rPr>
        <w:t>interrogarsi</w:t>
      </w:r>
      <w:r w:rsidRPr="00725B67">
        <w:rPr>
          <w:rFonts w:ascii="Times New Roman" w:eastAsia="Times New Roman" w:hAnsi="Times New Roman" w:cs="Times New Roman"/>
          <w:i/>
          <w:color w:val="000000"/>
          <w:lang w:val="de-DE"/>
        </w:rPr>
        <w:t xml:space="preserve"> </w:t>
      </w:r>
      <w:r w:rsidRPr="00725B67">
        <w:rPr>
          <w:rFonts w:ascii="Times New Roman" w:eastAsia="Times New Roman" w:hAnsi="Times New Roman" w:cs="Times New Roman"/>
          <w:color w:val="000000"/>
          <w:lang w:val="de-DE"/>
        </w:rPr>
        <w:t xml:space="preserve">sulle </w:t>
      </w:r>
      <w:r w:rsidR="006C0DF0" w:rsidRPr="00725B67">
        <w:rPr>
          <w:rFonts w:ascii="Times New Roman" w:eastAsia="Times New Roman" w:hAnsi="Times New Roman" w:cs="Times New Roman"/>
          <w:color w:val="000000"/>
          <w:lang w:val="de-DE"/>
        </w:rPr>
        <w:t xml:space="preserve">altre </w:t>
      </w:r>
      <w:r w:rsidRPr="00725B67">
        <w:rPr>
          <w:rFonts w:ascii="Times New Roman" w:eastAsia="Times New Roman" w:hAnsi="Times New Roman" w:cs="Times New Roman"/>
          <w:color w:val="000000"/>
          <w:lang w:val="de-DE"/>
        </w:rPr>
        <w:t>fonti</w:t>
      </w:r>
      <w:r w:rsidR="007C0D97" w:rsidRPr="00725B67">
        <w:rPr>
          <w:rFonts w:ascii="Times New Roman" w:eastAsia="Times New Roman" w:hAnsi="Times New Roman" w:cs="Times New Roman"/>
          <w:color w:val="000000"/>
          <w:lang w:val="de-DE"/>
        </w:rPr>
        <w:t xml:space="preserve"> </w:t>
      </w:r>
      <w:r w:rsidR="007D07E1" w:rsidRPr="00725B67">
        <w:rPr>
          <w:rFonts w:ascii="Times New Roman" w:eastAsia="Times New Roman" w:hAnsi="Times New Roman" w:cs="Times New Roman"/>
          <w:color w:val="000000"/>
          <w:lang w:val="de-DE"/>
        </w:rPr>
        <w:t xml:space="preserve">che vanno a definire la </w:t>
      </w:r>
      <w:r w:rsidR="007C0D97" w:rsidRPr="00725B67">
        <w:rPr>
          <w:rFonts w:ascii="Times New Roman" w:eastAsia="Times New Roman" w:hAnsi="Times New Roman" w:cs="Times New Roman"/>
          <w:color w:val="000000"/>
          <w:lang w:val="de-DE"/>
        </w:rPr>
        <w:t>cornice storico-filosofica di questa</w:t>
      </w:r>
      <w:r w:rsidR="007D07E1" w:rsidRPr="00725B67">
        <w:rPr>
          <w:rFonts w:ascii="Times New Roman" w:eastAsia="Times New Roman" w:hAnsi="Times New Roman" w:cs="Times New Roman"/>
          <w:color w:val="000000"/>
          <w:lang w:val="de-DE"/>
        </w:rPr>
        <w:t xml:space="preserve"> sezione della </w:t>
      </w:r>
      <w:r w:rsidR="007D07E1" w:rsidRPr="00725B67">
        <w:rPr>
          <w:rFonts w:ascii="Times New Roman" w:eastAsia="Times New Roman" w:hAnsi="Times New Roman" w:cs="Times New Roman"/>
          <w:i/>
          <w:color w:val="000000"/>
          <w:lang w:val="de-DE"/>
        </w:rPr>
        <w:t>Metaphysik der Objectivität</w:t>
      </w:r>
      <w:r w:rsidR="00714819" w:rsidRPr="00725B67">
        <w:rPr>
          <w:rFonts w:ascii="Times New Roman" w:eastAsia="Times New Roman" w:hAnsi="Times New Roman" w:cs="Times New Roman"/>
          <w:color w:val="000000"/>
        </w:rPr>
        <w:t xml:space="preserve">. </w:t>
      </w:r>
      <w:r w:rsidRPr="00725B67">
        <w:rPr>
          <w:rFonts w:ascii="Times New Roman" w:eastAsia="Times New Roman" w:hAnsi="Times New Roman" w:cs="Times New Roman"/>
          <w:color w:val="000000"/>
        </w:rPr>
        <w:t xml:space="preserve">In prima battuta, si </w:t>
      </w:r>
      <w:r w:rsidR="00CF09D2" w:rsidRPr="00725B67">
        <w:rPr>
          <w:rFonts w:ascii="Times New Roman" w:eastAsia="Times New Roman" w:hAnsi="Times New Roman" w:cs="Times New Roman"/>
          <w:color w:val="000000"/>
        </w:rPr>
        <w:t>può osservare</w:t>
      </w:r>
      <w:r w:rsidR="00B60DDF" w:rsidRPr="00725B67">
        <w:rPr>
          <w:rFonts w:ascii="Times New Roman" w:eastAsia="Times New Roman" w:hAnsi="Times New Roman" w:cs="Times New Roman"/>
          <w:color w:val="000000"/>
        </w:rPr>
        <w:t xml:space="preserve"> </w:t>
      </w:r>
      <w:r w:rsidRPr="00725B67">
        <w:rPr>
          <w:rFonts w:ascii="Times New Roman" w:eastAsia="Times New Roman" w:hAnsi="Times New Roman" w:cs="Times New Roman"/>
          <w:color w:val="000000"/>
        </w:rPr>
        <w:t>che Hegel esprime</w:t>
      </w:r>
      <w:r w:rsidR="00596031" w:rsidRPr="00725B67">
        <w:rPr>
          <w:rFonts w:ascii="Times New Roman" w:eastAsia="Times New Roman" w:hAnsi="Times New Roman" w:cs="Times New Roman"/>
          <w:color w:val="000000"/>
        </w:rPr>
        <w:t xml:space="preserve"> </w:t>
      </w:r>
      <w:r w:rsidRPr="00725B67">
        <w:rPr>
          <w:rFonts w:ascii="Times New Roman" w:eastAsia="Times New Roman" w:hAnsi="Times New Roman" w:cs="Times New Roman"/>
          <w:color w:val="000000"/>
        </w:rPr>
        <w:t>la necessità di pensar</w:t>
      </w:r>
      <w:r w:rsidR="00B60DDF" w:rsidRPr="00725B67">
        <w:rPr>
          <w:rFonts w:ascii="Times New Roman" w:eastAsia="Times New Roman" w:hAnsi="Times New Roman" w:cs="Times New Roman"/>
          <w:color w:val="000000"/>
        </w:rPr>
        <w:t xml:space="preserve">e </w:t>
      </w:r>
      <w:r w:rsidR="001542AB" w:rsidRPr="00725B67">
        <w:rPr>
          <w:rFonts w:ascii="Times New Roman" w:eastAsia="Times New Roman" w:hAnsi="Times New Roman" w:cs="Times New Roman"/>
          <w:color w:val="000000"/>
        </w:rPr>
        <w:t>l’identità dei due principi</w:t>
      </w:r>
      <w:r w:rsidR="00725B67" w:rsidRPr="00725B67">
        <w:rPr>
          <w:rFonts w:ascii="Times New Roman" w:eastAsia="Times New Roman" w:hAnsi="Times New Roman" w:cs="Times New Roman"/>
          <w:color w:val="000000"/>
        </w:rPr>
        <w:t xml:space="preserve"> (luce-tenebra)</w:t>
      </w:r>
      <w:r w:rsidR="001542AB" w:rsidRPr="00725B67">
        <w:rPr>
          <w:rFonts w:ascii="Times New Roman" w:eastAsia="Times New Roman" w:hAnsi="Times New Roman" w:cs="Times New Roman"/>
          <w:color w:val="000000"/>
        </w:rPr>
        <w:t xml:space="preserve"> ric</w:t>
      </w:r>
      <w:r w:rsidR="00B60DDF" w:rsidRPr="00725B67">
        <w:rPr>
          <w:rFonts w:ascii="Times New Roman" w:eastAsia="Times New Roman" w:hAnsi="Times New Roman" w:cs="Times New Roman"/>
          <w:color w:val="000000"/>
        </w:rPr>
        <w:t xml:space="preserve">orrendo ad un lessico </w:t>
      </w:r>
      <w:r w:rsidRPr="00725B67">
        <w:rPr>
          <w:rFonts w:ascii="Times New Roman" w:eastAsia="Times New Roman" w:hAnsi="Times New Roman" w:cs="Times New Roman"/>
          <w:color w:val="000000"/>
        </w:rPr>
        <w:t>kantiano:</w:t>
      </w:r>
      <w:r w:rsidRPr="00CF09D2">
        <w:rPr>
          <w:rFonts w:ascii="Times New Roman" w:eastAsia="Times New Roman" w:hAnsi="Times New Roman" w:cs="Times New Roman"/>
          <w:color w:val="000000"/>
        </w:rPr>
        <w:t xml:space="preserve"> </w:t>
      </w:r>
      <w:r w:rsidR="00827F25" w:rsidRPr="00CF09D2">
        <w:rPr>
          <w:rFonts w:ascii="Times New Roman" w:eastAsia="Times New Roman" w:hAnsi="Times New Roman" w:cs="Times New Roman"/>
          <w:color w:val="000000"/>
        </w:rPr>
        <w:t xml:space="preserve">in effetti, </w:t>
      </w:r>
      <w:r w:rsidRPr="00CF09D2">
        <w:rPr>
          <w:rFonts w:ascii="Times New Roman" w:eastAsia="Times New Roman" w:hAnsi="Times New Roman" w:cs="Times New Roman"/>
          <w:color w:val="000000"/>
        </w:rPr>
        <w:t>n</w:t>
      </w:r>
      <w:r w:rsidR="008A2492" w:rsidRPr="00CF09D2">
        <w:rPr>
          <w:rFonts w:ascii="Times New Roman" w:eastAsia="Times New Roman" w:hAnsi="Times New Roman" w:cs="Times New Roman"/>
          <w:color w:val="000000"/>
        </w:rPr>
        <w:t xml:space="preserve">ella </w:t>
      </w:r>
      <w:r w:rsidR="008A2492" w:rsidRPr="00CF09D2">
        <w:rPr>
          <w:rFonts w:ascii="Times New Roman" w:eastAsia="Times New Roman" w:hAnsi="Times New Roman" w:cs="Times New Roman"/>
          <w:i/>
          <w:color w:val="000000"/>
        </w:rPr>
        <w:t>Religion in</w:t>
      </w:r>
      <w:r w:rsidR="00A527B1" w:rsidRPr="00CF09D2">
        <w:rPr>
          <w:rFonts w:ascii="Times New Roman" w:eastAsia="Times New Roman" w:hAnsi="Times New Roman" w:cs="Times New Roman"/>
          <w:i/>
          <w:color w:val="000000"/>
        </w:rPr>
        <w:t>nerhalb</w:t>
      </w:r>
      <w:r w:rsidR="008A2492" w:rsidRPr="00CF09D2">
        <w:rPr>
          <w:rFonts w:ascii="Times New Roman" w:eastAsia="Times New Roman" w:hAnsi="Times New Roman" w:cs="Times New Roman"/>
          <w:i/>
          <w:color w:val="000000"/>
        </w:rPr>
        <w:t xml:space="preserve"> der Grenzen der bloßen Vernunft</w:t>
      </w:r>
      <w:r w:rsidR="008A2492" w:rsidRPr="00CF09D2">
        <w:rPr>
          <w:rFonts w:ascii="Times New Roman" w:eastAsia="Times New Roman" w:hAnsi="Times New Roman" w:cs="Times New Roman"/>
          <w:color w:val="000000"/>
        </w:rPr>
        <w:t>,</w:t>
      </w:r>
      <w:r w:rsidR="008A2492" w:rsidRPr="007C0D97">
        <w:rPr>
          <w:rFonts w:ascii="Times New Roman" w:eastAsia="Times New Roman" w:hAnsi="Times New Roman" w:cs="Times New Roman"/>
          <w:color w:val="000000"/>
        </w:rPr>
        <w:t xml:space="preserve"> </w:t>
      </w:r>
      <w:r w:rsidR="008A2492" w:rsidRPr="00596031">
        <w:rPr>
          <w:rFonts w:ascii="Times New Roman" w:eastAsia="Times New Roman" w:hAnsi="Times New Roman" w:cs="Times New Roman"/>
          <w:color w:val="000000"/>
        </w:rPr>
        <w:t>Kant introduce la distinzione fra il principio buono (</w:t>
      </w:r>
      <w:r w:rsidR="008A2492" w:rsidRPr="00596031">
        <w:rPr>
          <w:rFonts w:ascii="Times New Roman" w:eastAsia="Times New Roman" w:hAnsi="Times New Roman" w:cs="Times New Roman"/>
          <w:i/>
          <w:color w:val="000000"/>
        </w:rPr>
        <w:t>das gute Princip</w:t>
      </w:r>
      <w:r w:rsidR="008A2492" w:rsidRPr="00596031">
        <w:rPr>
          <w:rFonts w:ascii="Times New Roman" w:eastAsia="Times New Roman" w:hAnsi="Times New Roman" w:cs="Times New Roman"/>
          <w:color w:val="000000"/>
        </w:rPr>
        <w:t>) e il principio cattivo (</w:t>
      </w:r>
      <w:r w:rsidR="008A2492" w:rsidRPr="00596031">
        <w:rPr>
          <w:rFonts w:ascii="Times New Roman" w:eastAsia="Times New Roman" w:hAnsi="Times New Roman" w:cs="Times New Roman"/>
          <w:i/>
          <w:color w:val="000000"/>
        </w:rPr>
        <w:t>das böse Princip</w:t>
      </w:r>
      <w:r w:rsidR="00B271F3" w:rsidRPr="00596031">
        <w:rPr>
          <w:rFonts w:ascii="Times New Roman" w:eastAsia="Times New Roman" w:hAnsi="Times New Roman" w:cs="Times New Roman"/>
          <w:color w:val="000000"/>
        </w:rPr>
        <w:t xml:space="preserve">), </w:t>
      </w:r>
      <w:r w:rsidR="008A2492" w:rsidRPr="00596031">
        <w:rPr>
          <w:rFonts w:ascii="Times New Roman" w:eastAsia="Times New Roman" w:hAnsi="Times New Roman" w:cs="Times New Roman"/>
          <w:color w:val="000000"/>
        </w:rPr>
        <w:t>indica</w:t>
      </w:r>
      <w:r w:rsidR="00B271F3" w:rsidRPr="00596031">
        <w:rPr>
          <w:rFonts w:ascii="Times New Roman" w:eastAsia="Times New Roman" w:hAnsi="Times New Roman" w:cs="Times New Roman"/>
          <w:color w:val="000000"/>
        </w:rPr>
        <w:t>ndo</w:t>
      </w:r>
      <w:r w:rsidR="008A2492" w:rsidRPr="00596031">
        <w:rPr>
          <w:rFonts w:ascii="Times New Roman" w:eastAsia="Times New Roman" w:hAnsi="Times New Roman" w:cs="Times New Roman"/>
          <w:color w:val="000000"/>
        </w:rPr>
        <w:t xml:space="preserve"> le modalità attraverso cui l’uomo, preso come singolo e specie, può </w:t>
      </w:r>
      <w:r w:rsidR="00627D85" w:rsidRPr="00596031">
        <w:rPr>
          <w:rFonts w:ascii="Times New Roman" w:eastAsia="Times New Roman" w:hAnsi="Times New Roman" w:cs="Times New Roman"/>
          <w:color w:val="000000"/>
        </w:rPr>
        <w:t xml:space="preserve">realizzare </w:t>
      </w:r>
      <w:r w:rsidR="00627D85" w:rsidRPr="00596031">
        <w:rPr>
          <w:rFonts w:ascii="Times New Roman" w:eastAsia="Times New Roman" w:hAnsi="Times New Roman" w:cs="Times New Roman"/>
          <w:i/>
          <w:color w:val="000000"/>
        </w:rPr>
        <w:t>progressivamente</w:t>
      </w:r>
      <w:r w:rsidR="00627D85" w:rsidRPr="00596031">
        <w:rPr>
          <w:rFonts w:ascii="Times New Roman" w:eastAsia="Times New Roman" w:hAnsi="Times New Roman" w:cs="Times New Roman"/>
          <w:color w:val="000000"/>
        </w:rPr>
        <w:t xml:space="preserve"> </w:t>
      </w:r>
      <w:r w:rsidR="00F130D4" w:rsidRPr="00596031">
        <w:rPr>
          <w:rFonts w:ascii="Times New Roman" w:eastAsia="Times New Roman" w:hAnsi="Times New Roman" w:cs="Times New Roman"/>
          <w:color w:val="000000"/>
        </w:rPr>
        <w:t xml:space="preserve">la </w:t>
      </w:r>
      <w:r w:rsidR="008A2492" w:rsidRPr="00596031">
        <w:rPr>
          <w:rFonts w:ascii="Times New Roman" w:eastAsia="Times New Roman" w:hAnsi="Times New Roman" w:cs="Times New Roman"/>
          <w:color w:val="000000"/>
        </w:rPr>
        <w:t xml:space="preserve">vittoria dell’intenzione morale al bene su quella rivolta al male. </w:t>
      </w:r>
      <w:r w:rsidR="0063123A" w:rsidRPr="00D907AE">
        <w:rPr>
          <w:rFonts w:ascii="Times New Roman" w:eastAsia="Times New Roman" w:hAnsi="Times New Roman" w:cs="Times New Roman"/>
          <w:color w:val="000000"/>
        </w:rPr>
        <w:t>Sempre nel testo del ’</w:t>
      </w:r>
      <w:r w:rsidR="00FD0030" w:rsidRPr="00D907AE">
        <w:rPr>
          <w:rFonts w:ascii="Times New Roman" w:eastAsia="Times New Roman" w:hAnsi="Times New Roman" w:cs="Times New Roman"/>
          <w:color w:val="000000"/>
        </w:rPr>
        <w:t xml:space="preserve">93, </w:t>
      </w:r>
      <w:r w:rsidR="00285159" w:rsidRPr="00D907AE">
        <w:rPr>
          <w:rFonts w:ascii="Times New Roman" w:eastAsia="Times New Roman" w:hAnsi="Times New Roman" w:cs="Times New Roman"/>
          <w:color w:val="000000"/>
        </w:rPr>
        <w:t>a</w:t>
      </w:r>
      <w:r w:rsidR="008A2492" w:rsidRPr="00D907AE">
        <w:rPr>
          <w:rFonts w:ascii="Times New Roman" w:eastAsia="Times New Roman" w:hAnsi="Times New Roman" w:cs="Times New Roman"/>
          <w:color w:val="000000"/>
        </w:rPr>
        <w:t>l principio della seconda sezione del secondo capitolo, Kant</w:t>
      </w:r>
      <w:r w:rsidR="007B29C6" w:rsidRPr="00D907AE">
        <w:rPr>
          <w:rFonts w:ascii="Times New Roman" w:eastAsia="Times New Roman" w:hAnsi="Times New Roman" w:cs="Times New Roman"/>
          <w:color w:val="000000"/>
        </w:rPr>
        <w:t xml:space="preserve">, </w:t>
      </w:r>
      <w:r w:rsidR="00596031" w:rsidRPr="00D907AE">
        <w:rPr>
          <w:rFonts w:ascii="Times New Roman" w:eastAsia="Times New Roman" w:hAnsi="Times New Roman" w:cs="Times New Roman"/>
          <w:color w:val="000000"/>
        </w:rPr>
        <w:t xml:space="preserve">che </w:t>
      </w:r>
      <w:r w:rsidR="00FD0030" w:rsidRPr="00D907AE">
        <w:rPr>
          <w:rFonts w:ascii="Times New Roman" w:eastAsia="Times New Roman" w:hAnsi="Times New Roman" w:cs="Times New Roman"/>
          <w:color w:val="000000"/>
        </w:rPr>
        <w:t xml:space="preserve">vuole </w:t>
      </w:r>
      <w:r w:rsidR="00596031" w:rsidRPr="00D907AE">
        <w:rPr>
          <w:rFonts w:ascii="Times New Roman" w:eastAsia="Times New Roman" w:hAnsi="Times New Roman" w:cs="Times New Roman"/>
          <w:color w:val="000000"/>
        </w:rPr>
        <w:t xml:space="preserve">definire </w:t>
      </w:r>
      <w:r w:rsidR="00285159" w:rsidRPr="00D907AE">
        <w:rPr>
          <w:rFonts w:ascii="Times New Roman" w:eastAsia="Times New Roman" w:hAnsi="Times New Roman" w:cs="Times New Roman"/>
          <w:color w:val="000000"/>
        </w:rPr>
        <w:t>i punti di contatto fra rivelazione</w:t>
      </w:r>
      <w:r w:rsidR="000E5A98" w:rsidRPr="00D907AE">
        <w:rPr>
          <w:rFonts w:ascii="Times New Roman" w:eastAsia="Times New Roman" w:hAnsi="Times New Roman" w:cs="Times New Roman"/>
          <w:color w:val="000000"/>
        </w:rPr>
        <w:t xml:space="preserve"> </w:t>
      </w:r>
      <w:r w:rsidR="00285159" w:rsidRPr="00D907AE">
        <w:rPr>
          <w:rFonts w:ascii="Times New Roman" w:eastAsia="Times New Roman" w:hAnsi="Times New Roman" w:cs="Times New Roman"/>
          <w:color w:val="000000"/>
        </w:rPr>
        <w:t>e pura religione razionale</w:t>
      </w:r>
      <w:r w:rsidR="00285159" w:rsidRPr="00D907AE">
        <w:rPr>
          <w:rStyle w:val="Rimandonotaapidipagina"/>
          <w:rFonts w:ascii="Times New Roman" w:eastAsia="Times New Roman" w:hAnsi="Times New Roman" w:cs="Times New Roman"/>
          <w:color w:val="000000"/>
        </w:rPr>
        <w:footnoteReference w:id="191"/>
      </w:r>
      <w:r w:rsidR="007B29C6" w:rsidRPr="00D907AE">
        <w:rPr>
          <w:rFonts w:ascii="Times New Roman" w:eastAsia="Times New Roman" w:hAnsi="Times New Roman" w:cs="Times New Roman"/>
          <w:color w:val="000000"/>
        </w:rPr>
        <w:t>, s’interroga</w:t>
      </w:r>
      <w:r w:rsidR="008A2492" w:rsidRPr="00596031">
        <w:rPr>
          <w:rFonts w:ascii="Times New Roman" w:eastAsia="Times New Roman" w:hAnsi="Times New Roman" w:cs="Times New Roman"/>
          <w:color w:val="000000"/>
        </w:rPr>
        <w:t xml:space="preserve"> </w:t>
      </w:r>
      <w:r w:rsidR="00285159" w:rsidRPr="00596031">
        <w:rPr>
          <w:rFonts w:ascii="Times New Roman" w:eastAsia="Times New Roman" w:hAnsi="Times New Roman" w:cs="Times New Roman"/>
          <w:color w:val="000000"/>
        </w:rPr>
        <w:t xml:space="preserve">sull’interpretazione </w:t>
      </w:r>
      <w:r w:rsidR="000E5A98" w:rsidRPr="00596031">
        <w:rPr>
          <w:rFonts w:ascii="Times New Roman" w:eastAsia="Times New Roman" w:hAnsi="Times New Roman" w:cs="Times New Roman"/>
          <w:color w:val="000000"/>
        </w:rPr>
        <w:t>cristiana</w:t>
      </w:r>
      <w:r w:rsidR="007B29C6" w:rsidRPr="00596031">
        <w:rPr>
          <w:rFonts w:ascii="Times New Roman" w:eastAsia="Times New Roman" w:hAnsi="Times New Roman" w:cs="Times New Roman"/>
          <w:color w:val="000000"/>
        </w:rPr>
        <w:t xml:space="preserve"> </w:t>
      </w:r>
      <w:r w:rsidR="00B03DAA" w:rsidRPr="00596031">
        <w:rPr>
          <w:rFonts w:ascii="Times New Roman" w:eastAsia="Times New Roman" w:hAnsi="Times New Roman" w:cs="Times New Roman"/>
          <w:color w:val="000000"/>
        </w:rPr>
        <w:t>della teoria dei</w:t>
      </w:r>
      <w:r w:rsidR="007B29C6" w:rsidRPr="00596031">
        <w:rPr>
          <w:rFonts w:ascii="Times New Roman" w:eastAsia="Times New Roman" w:hAnsi="Times New Roman" w:cs="Times New Roman"/>
          <w:color w:val="000000"/>
        </w:rPr>
        <w:t xml:space="preserve"> due principi: </w:t>
      </w:r>
      <w:r w:rsidR="008A2492" w:rsidRPr="00FF2458">
        <w:rPr>
          <w:rFonts w:ascii="Times New Roman" w:eastAsia="Times New Roman" w:hAnsi="Times New Roman" w:cs="Times New Roman"/>
          <w:color w:val="000000"/>
          <w:lang w:val="de-DE"/>
        </w:rPr>
        <w:t>«die Heilige Schrift (christlichen Anteils) trägt dieses intelligible moralische Verhältniß in der Form einer Geschichte vor, da zwei wie Himmel und Hölle einander entgegengesetzte Principien in Menschen, als Personen außer ihm vorgestellt»</w:t>
      </w:r>
      <w:r w:rsidR="008A2492" w:rsidRPr="00FF2458">
        <w:rPr>
          <w:rStyle w:val="Rimandonotaapidipagina"/>
          <w:rFonts w:ascii="Times New Roman" w:eastAsia="Times New Roman" w:hAnsi="Times New Roman" w:cs="Times New Roman"/>
          <w:color w:val="000000"/>
          <w:lang w:val="de-DE"/>
        </w:rPr>
        <w:footnoteReference w:id="192"/>
      </w:r>
      <w:r w:rsidR="008A2492" w:rsidRPr="00FF2458">
        <w:rPr>
          <w:rFonts w:ascii="Times New Roman" w:eastAsia="Times New Roman" w:hAnsi="Times New Roman" w:cs="Times New Roman"/>
          <w:color w:val="000000"/>
          <w:lang w:val="de-DE"/>
        </w:rPr>
        <w:t xml:space="preserve">. </w:t>
      </w:r>
      <w:r w:rsidR="008A2492" w:rsidRPr="00FF2458">
        <w:rPr>
          <w:rFonts w:ascii="Times New Roman" w:eastAsia="Times New Roman" w:hAnsi="Times New Roman" w:cs="Times New Roman"/>
          <w:color w:val="000000"/>
        </w:rPr>
        <w:t xml:space="preserve">L’elemento d’interesse di questo breve estratto è costituito dalla possibilità di concepire il rapporto fra i due principi, </w:t>
      </w:r>
      <w:r w:rsidR="00893231">
        <w:rPr>
          <w:rFonts w:ascii="Times New Roman" w:eastAsia="Times New Roman" w:hAnsi="Times New Roman" w:cs="Times New Roman"/>
          <w:i/>
          <w:color w:val="000000"/>
        </w:rPr>
        <w:t>oppost</w:t>
      </w:r>
      <w:r w:rsidR="00893231" w:rsidRPr="00893231">
        <w:rPr>
          <w:rFonts w:ascii="Times New Roman" w:eastAsia="Times New Roman" w:hAnsi="Times New Roman" w:cs="Times New Roman"/>
          <w:i/>
          <w:color w:val="000000"/>
        </w:rPr>
        <w:t>i</w:t>
      </w:r>
      <w:r w:rsidR="00893231">
        <w:rPr>
          <w:rFonts w:ascii="Times New Roman" w:eastAsia="Times New Roman" w:hAnsi="Times New Roman" w:cs="Times New Roman"/>
          <w:color w:val="000000"/>
        </w:rPr>
        <w:t xml:space="preserve"> </w:t>
      </w:r>
      <w:r w:rsidR="008A2492" w:rsidRPr="00FF2458">
        <w:rPr>
          <w:rFonts w:ascii="Times New Roman" w:eastAsia="Times New Roman" w:hAnsi="Times New Roman" w:cs="Times New Roman"/>
          <w:color w:val="000000"/>
        </w:rPr>
        <w:t>come il cielo e l’inferno</w:t>
      </w:r>
      <w:r w:rsidR="009458FA">
        <w:rPr>
          <w:rStyle w:val="Rimandonotaapidipagina"/>
          <w:rFonts w:ascii="Times New Roman" w:eastAsia="Times New Roman" w:hAnsi="Times New Roman" w:cs="Times New Roman"/>
          <w:color w:val="000000"/>
        </w:rPr>
        <w:footnoteReference w:id="193"/>
      </w:r>
      <w:r w:rsidR="008A2492" w:rsidRPr="00FF2458">
        <w:rPr>
          <w:rFonts w:ascii="Times New Roman" w:eastAsia="Times New Roman" w:hAnsi="Times New Roman" w:cs="Times New Roman"/>
          <w:color w:val="000000"/>
        </w:rPr>
        <w:t xml:space="preserve">, </w:t>
      </w:r>
      <w:r w:rsidR="0089250A" w:rsidRPr="00FF2458">
        <w:rPr>
          <w:rFonts w:ascii="Times New Roman" w:eastAsia="Times New Roman" w:hAnsi="Times New Roman" w:cs="Times New Roman"/>
          <w:color w:val="000000"/>
        </w:rPr>
        <w:t xml:space="preserve">nei termini </w:t>
      </w:r>
      <w:r w:rsidR="008A2492" w:rsidRPr="00FF2458">
        <w:rPr>
          <w:rFonts w:ascii="Times New Roman" w:eastAsia="Times New Roman" w:hAnsi="Times New Roman" w:cs="Times New Roman"/>
          <w:color w:val="000000"/>
        </w:rPr>
        <w:t xml:space="preserve">di uno scontro fra due persone distinte dall’uomo, che </w:t>
      </w:r>
      <w:r w:rsidR="008A2492" w:rsidRPr="00FF2458">
        <w:rPr>
          <w:rFonts w:ascii="Times New Roman" w:eastAsia="Times New Roman" w:hAnsi="Times New Roman" w:cs="Times New Roman"/>
          <w:color w:val="000000"/>
          <w:lang w:val="de-DE"/>
        </w:rPr>
        <w:t>«ihre Macht gegen einander versuchen»</w:t>
      </w:r>
      <w:r w:rsidR="008A2492" w:rsidRPr="00FF2458">
        <w:rPr>
          <w:rStyle w:val="Rimandonotaapidipagina"/>
          <w:rFonts w:ascii="Times New Roman" w:eastAsia="Times New Roman" w:hAnsi="Times New Roman" w:cs="Times New Roman"/>
          <w:color w:val="000000"/>
          <w:lang w:val="de-DE"/>
        </w:rPr>
        <w:footnoteReference w:id="194"/>
      </w:r>
      <w:r w:rsidR="008A2492" w:rsidRPr="00FF2458">
        <w:rPr>
          <w:rFonts w:ascii="Times New Roman" w:eastAsia="Times New Roman" w:hAnsi="Times New Roman" w:cs="Times New Roman"/>
          <w:color w:val="000000"/>
          <w:lang w:val="de-DE"/>
        </w:rPr>
        <w:t xml:space="preserve">. </w:t>
      </w:r>
      <w:r w:rsidR="008A2492" w:rsidRPr="00FF2458">
        <w:rPr>
          <w:rFonts w:ascii="Times New Roman" w:eastAsia="Times New Roman" w:hAnsi="Times New Roman" w:cs="Times New Roman"/>
          <w:color w:val="000000"/>
        </w:rPr>
        <w:t xml:space="preserve">Ricorrendo al </w:t>
      </w:r>
      <w:r w:rsidR="008A2492" w:rsidRPr="00FF2458">
        <w:rPr>
          <w:rFonts w:ascii="Times New Roman" w:eastAsia="Times New Roman" w:hAnsi="Times New Roman" w:cs="Times New Roman"/>
          <w:i/>
          <w:color w:val="000000"/>
        </w:rPr>
        <w:t>Nuovo Testamento</w:t>
      </w:r>
      <w:r w:rsidR="000C5E9A">
        <w:rPr>
          <w:rFonts w:ascii="Times New Roman" w:eastAsia="Times New Roman" w:hAnsi="Times New Roman" w:cs="Times New Roman"/>
          <w:color w:val="000000"/>
        </w:rPr>
        <w:t>, Kant indica ne</w:t>
      </w:r>
      <w:r w:rsidR="008A2492" w:rsidRPr="00FF2458">
        <w:rPr>
          <w:rFonts w:ascii="Times New Roman" w:eastAsia="Times New Roman" w:hAnsi="Times New Roman" w:cs="Times New Roman"/>
          <w:color w:val="000000"/>
        </w:rPr>
        <w:t xml:space="preserve">l Figlio di Dio, o </w:t>
      </w:r>
      <w:r w:rsidR="000C5E9A">
        <w:rPr>
          <w:rFonts w:ascii="Times New Roman" w:eastAsia="Times New Roman" w:hAnsi="Times New Roman" w:cs="Times New Roman"/>
          <w:color w:val="000000"/>
        </w:rPr>
        <w:t>nel</w:t>
      </w:r>
      <w:r w:rsidR="008A2492" w:rsidRPr="00FF2458">
        <w:rPr>
          <w:rFonts w:ascii="Times New Roman" w:eastAsia="Times New Roman" w:hAnsi="Times New Roman" w:cs="Times New Roman"/>
          <w:color w:val="000000"/>
          <w:lang w:val="de-DE"/>
        </w:rPr>
        <w:t>la «personifizierte Idee des guten Princips»</w:t>
      </w:r>
      <w:r w:rsidR="008A2492" w:rsidRPr="00FF2458">
        <w:rPr>
          <w:rStyle w:val="Rimandonotaapidipagina"/>
          <w:rFonts w:ascii="Times New Roman" w:eastAsia="Times New Roman" w:hAnsi="Times New Roman" w:cs="Times New Roman"/>
          <w:color w:val="000000"/>
          <w:lang w:val="de-DE"/>
        </w:rPr>
        <w:footnoteReference w:id="195"/>
      </w:r>
      <w:r w:rsidR="008A2492" w:rsidRPr="00FF2458">
        <w:rPr>
          <w:rFonts w:ascii="Times New Roman" w:eastAsia="Times New Roman" w:hAnsi="Times New Roman" w:cs="Times New Roman"/>
          <w:color w:val="000000"/>
          <w:lang w:val="de-DE"/>
        </w:rPr>
        <w:t xml:space="preserve">, </w:t>
      </w:r>
      <w:r w:rsidR="000C5E9A">
        <w:rPr>
          <w:rFonts w:ascii="Times New Roman" w:eastAsia="Times New Roman" w:hAnsi="Times New Roman" w:cs="Times New Roman"/>
          <w:color w:val="000000"/>
        </w:rPr>
        <w:t>il</w:t>
      </w:r>
      <w:r w:rsidR="008A2492" w:rsidRPr="00FF2458">
        <w:rPr>
          <w:rFonts w:ascii="Times New Roman" w:eastAsia="Times New Roman" w:hAnsi="Times New Roman" w:cs="Times New Roman"/>
          <w:color w:val="000000"/>
        </w:rPr>
        <w:t xml:space="preserve"> rappresentante del principio buono, </w:t>
      </w:r>
      <w:r w:rsidR="008A2492" w:rsidRPr="00FF2458">
        <w:rPr>
          <w:rFonts w:ascii="Times New Roman" w:eastAsia="Times New Roman" w:hAnsi="Times New Roman" w:cs="Times New Roman"/>
          <w:color w:val="000000"/>
          <w:lang w:val="de-DE"/>
        </w:rPr>
        <w:t>e</w:t>
      </w:r>
      <w:r w:rsidR="00A8235B">
        <w:rPr>
          <w:rFonts w:ascii="Times New Roman" w:eastAsia="Times New Roman" w:hAnsi="Times New Roman" w:cs="Times New Roman"/>
          <w:color w:val="000000"/>
          <w:lang w:val="de-DE"/>
        </w:rPr>
        <w:t xml:space="preserve"> nel diavolo</w:t>
      </w:r>
      <w:r w:rsidR="008A2492" w:rsidRPr="00FF2458">
        <w:rPr>
          <w:rFonts w:ascii="Times New Roman" w:eastAsia="Times New Roman" w:hAnsi="Times New Roman" w:cs="Times New Roman"/>
          <w:color w:val="000000"/>
        </w:rPr>
        <w:t>,</w:t>
      </w:r>
      <w:r w:rsidR="008A2492" w:rsidRPr="00FF2458">
        <w:rPr>
          <w:rFonts w:ascii="Times New Roman" w:eastAsia="Times New Roman" w:hAnsi="Times New Roman" w:cs="Times New Roman"/>
          <w:color w:val="000000"/>
          <w:lang w:val="de-DE"/>
        </w:rPr>
        <w:t xml:space="preserve"> o</w:t>
      </w:r>
      <w:r w:rsidR="008A2492" w:rsidRPr="00FF2458">
        <w:rPr>
          <w:rFonts w:ascii="Times New Roman" w:eastAsia="Times New Roman" w:hAnsi="Times New Roman" w:cs="Times New Roman"/>
          <w:color w:val="000000"/>
        </w:rPr>
        <w:t xml:space="preserve"> </w:t>
      </w:r>
      <w:r w:rsidR="000C5E9A">
        <w:rPr>
          <w:rFonts w:ascii="Times New Roman" w:eastAsia="Times New Roman" w:hAnsi="Times New Roman" w:cs="Times New Roman"/>
          <w:color w:val="000000"/>
        </w:rPr>
        <w:t xml:space="preserve">in </w:t>
      </w:r>
      <w:r w:rsidR="008A2492" w:rsidRPr="00FF2458">
        <w:rPr>
          <w:rFonts w:ascii="Times New Roman" w:eastAsia="Times New Roman" w:hAnsi="Times New Roman" w:cs="Times New Roman"/>
          <w:color w:val="000000"/>
        </w:rPr>
        <w:t>uno spirito (</w:t>
      </w:r>
      <w:r w:rsidR="008A2492" w:rsidRPr="00FF2458">
        <w:rPr>
          <w:rFonts w:ascii="Times New Roman" w:eastAsia="Times New Roman" w:hAnsi="Times New Roman" w:cs="Times New Roman"/>
          <w:i/>
          <w:color w:val="000000"/>
          <w:lang w:val="de-DE"/>
        </w:rPr>
        <w:t>Geist</w:t>
      </w:r>
      <w:r w:rsidR="008A2492" w:rsidRPr="00FF2458">
        <w:rPr>
          <w:rFonts w:ascii="Times New Roman" w:eastAsia="Times New Roman" w:hAnsi="Times New Roman" w:cs="Times New Roman"/>
          <w:color w:val="000000"/>
        </w:rPr>
        <w:t xml:space="preserve">) </w:t>
      </w:r>
      <w:r w:rsidR="008A2492" w:rsidRPr="00FF2458">
        <w:rPr>
          <w:rFonts w:ascii="Times New Roman" w:eastAsia="Times New Roman" w:hAnsi="Times New Roman" w:cs="Times New Roman"/>
          <w:color w:val="000000"/>
          <w:lang w:val="de-DE"/>
        </w:rPr>
        <w:t>«von ursprünglich erhabener Bestimmung voranschickt»</w:t>
      </w:r>
      <w:r w:rsidR="008A2492" w:rsidRPr="00FF2458">
        <w:rPr>
          <w:rStyle w:val="Rimandonotaapidipagina"/>
          <w:rFonts w:ascii="Times New Roman" w:eastAsia="Times New Roman" w:hAnsi="Times New Roman" w:cs="Times New Roman"/>
          <w:color w:val="000000"/>
          <w:lang w:val="de-DE"/>
        </w:rPr>
        <w:footnoteReference w:id="196"/>
      </w:r>
      <w:r w:rsidR="008A2492" w:rsidRPr="00FF2458">
        <w:rPr>
          <w:rFonts w:ascii="Times New Roman" w:eastAsia="Times New Roman" w:hAnsi="Times New Roman" w:cs="Times New Roman"/>
          <w:color w:val="000000"/>
          <w:lang w:val="de-DE"/>
        </w:rPr>
        <w:t xml:space="preserve">, </w:t>
      </w:r>
      <w:r w:rsidR="000C5E9A">
        <w:rPr>
          <w:rFonts w:ascii="Times New Roman" w:eastAsia="Times New Roman" w:hAnsi="Times New Roman" w:cs="Times New Roman"/>
          <w:color w:val="000000"/>
        </w:rPr>
        <w:t xml:space="preserve">il </w:t>
      </w:r>
      <w:r w:rsidR="008A2492" w:rsidRPr="00FF2458">
        <w:rPr>
          <w:rFonts w:ascii="Times New Roman" w:eastAsia="Times New Roman" w:hAnsi="Times New Roman" w:cs="Times New Roman"/>
          <w:color w:val="000000"/>
        </w:rPr>
        <w:t>rappresentante del principio cattivo</w:t>
      </w:r>
      <w:r w:rsidR="00A357E9">
        <w:rPr>
          <w:rFonts w:ascii="Times New Roman" w:eastAsia="Times New Roman" w:hAnsi="Times New Roman" w:cs="Times New Roman"/>
          <w:color w:val="000000"/>
          <w:lang w:val="de-DE"/>
        </w:rPr>
        <w:t xml:space="preserve">. </w:t>
      </w:r>
      <w:r w:rsidR="00D03202" w:rsidRPr="00CF09D2">
        <w:rPr>
          <w:rFonts w:ascii="Times New Roman" w:eastAsia="Times New Roman" w:hAnsi="Times New Roman" w:cs="Times New Roman"/>
          <w:color w:val="000000"/>
        </w:rPr>
        <w:t xml:space="preserve">Di </w:t>
      </w:r>
      <w:r w:rsidR="008A2492" w:rsidRPr="00CF09D2">
        <w:rPr>
          <w:rFonts w:ascii="Times New Roman" w:eastAsia="Times New Roman" w:hAnsi="Times New Roman" w:cs="Times New Roman"/>
          <w:color w:val="000000"/>
        </w:rPr>
        <w:t>questo spirito maligno, a cui sarebbe spettata una destinazione più sublime (</w:t>
      </w:r>
      <w:r w:rsidR="008A2492" w:rsidRPr="00CF09D2">
        <w:rPr>
          <w:rFonts w:ascii="Times New Roman" w:eastAsia="Times New Roman" w:hAnsi="Times New Roman" w:cs="Times New Roman"/>
          <w:i/>
          <w:color w:val="000000"/>
          <w:lang w:val="de-DE"/>
        </w:rPr>
        <w:t>erhabene Bestimmung</w:t>
      </w:r>
      <w:r w:rsidR="00D03202" w:rsidRPr="00CF09D2">
        <w:rPr>
          <w:rFonts w:ascii="Times New Roman" w:eastAsia="Times New Roman" w:hAnsi="Times New Roman" w:cs="Times New Roman"/>
          <w:color w:val="000000"/>
        </w:rPr>
        <w:t>), si legge</w:t>
      </w:r>
      <w:r w:rsidR="008A2492" w:rsidRPr="00CF09D2">
        <w:rPr>
          <w:rFonts w:ascii="Times New Roman" w:eastAsia="Times New Roman" w:hAnsi="Times New Roman" w:cs="Times New Roman"/>
          <w:color w:val="000000"/>
        </w:rPr>
        <w:t>:</w:t>
      </w:r>
    </w:p>
    <w:p w14:paraId="798134B5" w14:textId="77777777" w:rsidR="008A2492" w:rsidRPr="00FF2458" w:rsidRDefault="008A2492" w:rsidP="008A2492">
      <w:pPr>
        <w:spacing w:line="360" w:lineRule="auto"/>
        <w:ind w:firstLine="567"/>
        <w:jc w:val="both"/>
        <w:rPr>
          <w:rFonts w:ascii="Times New Roman" w:eastAsia="Times New Roman" w:hAnsi="Times New Roman" w:cs="Times New Roman"/>
          <w:color w:val="000000"/>
          <w:lang w:val="de-DE"/>
        </w:rPr>
      </w:pPr>
    </w:p>
    <w:p w14:paraId="6CD000BB" w14:textId="77777777" w:rsidR="008A2492" w:rsidRPr="00FF2458" w:rsidRDefault="008A2492" w:rsidP="008A2492">
      <w:pPr>
        <w:spacing w:line="360" w:lineRule="auto"/>
        <w:ind w:left="567" w:firstLine="567"/>
        <w:jc w:val="both"/>
        <w:rPr>
          <w:rFonts w:ascii="Times New Roman" w:eastAsia="Times New Roman" w:hAnsi="Times New Roman" w:cs="Times New Roman"/>
          <w:color w:val="000000"/>
          <w:sz w:val="20"/>
          <w:szCs w:val="20"/>
          <w:lang w:val="de-DE"/>
        </w:rPr>
      </w:pPr>
      <w:r w:rsidRPr="00FF2458">
        <w:rPr>
          <w:rFonts w:ascii="Times New Roman" w:eastAsia="Times New Roman" w:hAnsi="Times New Roman" w:cs="Times New Roman"/>
          <w:color w:val="000000"/>
          <w:sz w:val="20"/>
          <w:szCs w:val="20"/>
          <w:lang w:val="de-DE"/>
        </w:rPr>
        <w:t>«Zugleich wird ein böses Wesen (wie es so böse geworden, um seinen Herrn untreue zu werden, da es dich uranfänglich gut war, ist nicht bekannt) aufgestellt, welches durch seinen Abfall alles Eigenthums, das es in Himmel besessen haben mochte, verlustig geworden und sich nun ein anderes auf Erden erwerben will. Da ihm nun als ein Wesen höhere Art – als einem Geist – irdische und körperliche Gegenstände keinen Genuß gewähren können, so sucht er seine Herrschaft über die Gemüther zu erwerben, daß er die Stammältern aller Menschen von ihrem Oberherrn abtrünnig und ihm anhängig macht, da es ihm dann gelingt, sich so zum Obereigenthümer aller Güter der Erde, d. i. zum Fürsten dieser Welt, aufzuwerfen»</w:t>
      </w:r>
      <w:r w:rsidRPr="00FF2458">
        <w:rPr>
          <w:rStyle w:val="Rimandonotaapidipagina"/>
          <w:rFonts w:ascii="Times New Roman" w:eastAsia="Times New Roman" w:hAnsi="Times New Roman" w:cs="Times New Roman"/>
          <w:color w:val="000000"/>
          <w:sz w:val="20"/>
          <w:szCs w:val="20"/>
          <w:lang w:val="de-DE"/>
        </w:rPr>
        <w:footnoteReference w:id="197"/>
      </w:r>
      <w:r w:rsidRPr="00FF2458">
        <w:rPr>
          <w:rFonts w:ascii="Times New Roman" w:eastAsia="Times New Roman" w:hAnsi="Times New Roman" w:cs="Times New Roman"/>
          <w:color w:val="000000"/>
          <w:sz w:val="20"/>
          <w:szCs w:val="20"/>
          <w:lang w:val="de-DE"/>
        </w:rPr>
        <w:t>.</w:t>
      </w:r>
    </w:p>
    <w:p w14:paraId="02B9053E" w14:textId="77777777" w:rsidR="008A2492" w:rsidRPr="0050548A" w:rsidRDefault="008A2492" w:rsidP="008A2492">
      <w:pPr>
        <w:spacing w:line="360" w:lineRule="auto"/>
        <w:ind w:left="567" w:firstLine="567"/>
        <w:jc w:val="both"/>
        <w:rPr>
          <w:rFonts w:ascii="Times New Roman" w:eastAsia="Times New Roman" w:hAnsi="Times New Roman" w:cs="Times New Roman"/>
          <w:color w:val="000000"/>
          <w:highlight w:val="yellow"/>
          <w:lang w:val="de-DE"/>
        </w:rPr>
      </w:pPr>
    </w:p>
    <w:p w14:paraId="1B7E254C" w14:textId="3E0F6420" w:rsidR="00FC611F" w:rsidRDefault="008A2492" w:rsidP="00FC611F">
      <w:pPr>
        <w:spacing w:line="360" w:lineRule="auto"/>
        <w:ind w:firstLine="567"/>
        <w:jc w:val="both"/>
        <w:rPr>
          <w:rFonts w:ascii="Times New Roman" w:eastAsia="Times New Roman" w:hAnsi="Times New Roman" w:cs="Times New Roman"/>
          <w:color w:val="000000"/>
          <w:lang w:val="de-DE"/>
        </w:rPr>
      </w:pPr>
      <w:r w:rsidRPr="008164B4">
        <w:rPr>
          <w:rFonts w:ascii="Times New Roman" w:eastAsia="Times New Roman" w:hAnsi="Times New Roman" w:cs="Times New Roman"/>
          <w:color w:val="000000"/>
        </w:rPr>
        <w:t>Ribe</w:t>
      </w:r>
      <w:r w:rsidR="00FC5259">
        <w:rPr>
          <w:rFonts w:ascii="Times New Roman" w:eastAsia="Times New Roman" w:hAnsi="Times New Roman" w:cs="Times New Roman"/>
          <w:color w:val="000000"/>
        </w:rPr>
        <w:t xml:space="preserve">llandosi al suo Signore, </w:t>
      </w:r>
      <w:r w:rsidR="00373C41">
        <w:rPr>
          <w:rFonts w:ascii="Times New Roman" w:eastAsia="Times New Roman" w:hAnsi="Times New Roman" w:cs="Times New Roman"/>
          <w:color w:val="000000"/>
        </w:rPr>
        <w:t>il d</w:t>
      </w:r>
      <w:r w:rsidR="005047A2">
        <w:rPr>
          <w:rFonts w:ascii="Times New Roman" w:eastAsia="Times New Roman" w:hAnsi="Times New Roman" w:cs="Times New Roman"/>
          <w:color w:val="000000"/>
        </w:rPr>
        <w:t>iavolo</w:t>
      </w:r>
      <w:r w:rsidRPr="008164B4">
        <w:rPr>
          <w:rFonts w:ascii="Times New Roman" w:eastAsia="Times New Roman" w:hAnsi="Times New Roman" w:cs="Times New Roman"/>
          <w:color w:val="000000"/>
        </w:rPr>
        <w:t xml:space="preserve"> cade e perde tutti i beni posseduti in cielo. A causa della caduta (</w:t>
      </w:r>
      <w:r w:rsidRPr="008164B4">
        <w:rPr>
          <w:rFonts w:ascii="Times New Roman" w:eastAsia="Times New Roman" w:hAnsi="Times New Roman" w:cs="Times New Roman"/>
          <w:i/>
          <w:color w:val="000000"/>
          <w:lang w:val="de-DE"/>
        </w:rPr>
        <w:t>Abfall</w:t>
      </w:r>
      <w:r w:rsidRPr="008164B4">
        <w:rPr>
          <w:rFonts w:ascii="Times New Roman" w:eastAsia="Times New Roman" w:hAnsi="Times New Roman" w:cs="Times New Roman"/>
          <w:color w:val="000000"/>
        </w:rPr>
        <w:t>), la sua brama di dominio</w:t>
      </w:r>
      <w:r w:rsidR="0050548A" w:rsidRPr="008164B4">
        <w:rPr>
          <w:rFonts w:ascii="Times New Roman" w:eastAsia="Times New Roman" w:hAnsi="Times New Roman" w:cs="Times New Roman"/>
          <w:color w:val="000000"/>
        </w:rPr>
        <w:t>, non</w:t>
      </w:r>
      <w:r w:rsidRPr="008164B4">
        <w:rPr>
          <w:rFonts w:ascii="Times New Roman" w:eastAsia="Times New Roman" w:hAnsi="Times New Roman" w:cs="Times New Roman"/>
          <w:color w:val="000000"/>
        </w:rPr>
        <w:t xml:space="preserve"> paga del possesso di </w:t>
      </w:r>
      <w:r w:rsidR="00F130D4">
        <w:rPr>
          <w:rFonts w:ascii="Times New Roman" w:eastAsia="Times New Roman" w:hAnsi="Times New Roman" w:cs="Times New Roman"/>
          <w:color w:val="000000"/>
        </w:rPr>
        <w:t xml:space="preserve">cose </w:t>
      </w:r>
      <w:r w:rsidRPr="008164B4">
        <w:rPr>
          <w:rFonts w:ascii="Times New Roman" w:eastAsia="Times New Roman" w:hAnsi="Times New Roman" w:cs="Times New Roman"/>
          <w:color w:val="000000"/>
        </w:rPr>
        <w:t>materiali, si rivolge all’uomo, ad uno spirito «</w:t>
      </w:r>
      <w:r w:rsidRPr="008164B4">
        <w:rPr>
          <w:rFonts w:ascii="Times New Roman" w:eastAsia="Times New Roman" w:hAnsi="Times New Roman" w:cs="Times New Roman"/>
          <w:color w:val="000000"/>
          <w:lang w:val="de-DE"/>
        </w:rPr>
        <w:t>ursprünglich zum Eigenthümer aller Güter der Erde eingesetzt»</w:t>
      </w:r>
      <w:r w:rsidRPr="008164B4">
        <w:rPr>
          <w:rStyle w:val="Rimandonotaapidipagina"/>
          <w:rFonts w:ascii="Times New Roman" w:eastAsia="Times New Roman" w:hAnsi="Times New Roman" w:cs="Times New Roman"/>
          <w:color w:val="000000"/>
          <w:lang w:val="de-DE"/>
        </w:rPr>
        <w:footnoteReference w:id="198"/>
      </w:r>
      <w:r w:rsidRPr="008164B4">
        <w:rPr>
          <w:rFonts w:ascii="Times New Roman" w:eastAsia="Times New Roman" w:hAnsi="Times New Roman" w:cs="Times New Roman"/>
          <w:color w:val="000000"/>
          <w:lang w:val="de-DE"/>
        </w:rPr>
        <w:t xml:space="preserve">. </w:t>
      </w:r>
      <w:r w:rsidRPr="008164B4">
        <w:rPr>
          <w:rFonts w:ascii="Times New Roman" w:eastAsia="Times New Roman" w:hAnsi="Times New Roman" w:cs="Times New Roman"/>
          <w:color w:val="000000"/>
        </w:rPr>
        <w:t xml:space="preserve">Attraverso </w:t>
      </w:r>
      <w:r w:rsidR="008C431A">
        <w:rPr>
          <w:rFonts w:ascii="Times New Roman" w:eastAsia="Times New Roman" w:hAnsi="Times New Roman" w:cs="Times New Roman"/>
          <w:color w:val="000000"/>
        </w:rPr>
        <w:t>il soggiogamento de</w:t>
      </w:r>
      <w:r w:rsidRPr="008164B4">
        <w:rPr>
          <w:rFonts w:ascii="Times New Roman" w:eastAsia="Times New Roman" w:hAnsi="Times New Roman" w:cs="Times New Roman"/>
          <w:color w:val="000000"/>
        </w:rPr>
        <w:t>ll’uomo, ottenuto con la corr</w:t>
      </w:r>
      <w:r w:rsidR="00B60DDF">
        <w:rPr>
          <w:rFonts w:ascii="Times New Roman" w:eastAsia="Times New Roman" w:hAnsi="Times New Roman" w:cs="Times New Roman"/>
          <w:color w:val="000000"/>
        </w:rPr>
        <w:t>uzione dei progenitori degli</w:t>
      </w:r>
      <w:r w:rsidRPr="008164B4">
        <w:rPr>
          <w:rFonts w:ascii="Times New Roman" w:eastAsia="Times New Roman" w:hAnsi="Times New Roman" w:cs="Times New Roman"/>
          <w:color w:val="000000"/>
        </w:rPr>
        <w:t xml:space="preserve"> esseri umani,</w:t>
      </w:r>
      <w:r w:rsidRPr="008164B4">
        <w:rPr>
          <w:rFonts w:ascii="Times New Roman" w:eastAsia="Times New Roman" w:hAnsi="Times New Roman" w:cs="Times New Roman"/>
          <w:color w:val="000000"/>
          <w:lang w:val="de-DE"/>
        </w:rPr>
        <w:t xml:space="preserve"> </w:t>
      </w:r>
      <w:r w:rsidR="00373C41">
        <w:rPr>
          <w:rFonts w:ascii="Times New Roman" w:eastAsia="Times New Roman" w:hAnsi="Times New Roman" w:cs="Times New Roman"/>
          <w:color w:val="000000"/>
        </w:rPr>
        <w:t>il m</w:t>
      </w:r>
      <w:r w:rsidRPr="008164B4">
        <w:rPr>
          <w:rFonts w:ascii="Times New Roman" w:eastAsia="Times New Roman" w:hAnsi="Times New Roman" w:cs="Times New Roman"/>
          <w:color w:val="000000"/>
        </w:rPr>
        <w:t xml:space="preserve">aligno instaura un dominio su tutto ciò che è terreno e divine principe del mondo. </w:t>
      </w:r>
      <w:r w:rsidR="002A077D" w:rsidRPr="000B5852">
        <w:rPr>
          <w:rFonts w:ascii="Times New Roman" w:eastAsia="Times New Roman" w:hAnsi="Times New Roman" w:cs="Times New Roman"/>
          <w:color w:val="000000"/>
        </w:rPr>
        <w:t>Riguardo a</w:t>
      </w:r>
      <w:r w:rsidR="0099598E" w:rsidRPr="000B5852">
        <w:rPr>
          <w:rFonts w:ascii="Times New Roman" w:eastAsia="Times New Roman" w:hAnsi="Times New Roman" w:cs="Times New Roman"/>
          <w:color w:val="000000"/>
        </w:rPr>
        <w:t xml:space="preserve">lla caduta dell’uomo, Kant osserva che «nur als </w:t>
      </w:r>
      <w:r w:rsidR="0099598E" w:rsidRPr="004811D6">
        <w:rPr>
          <w:rFonts w:ascii="Times New Roman" w:eastAsia="Times New Roman" w:hAnsi="Times New Roman" w:cs="Times New Roman"/>
          <w:color w:val="000000"/>
        </w:rPr>
        <w:t xml:space="preserve">durch </w:t>
      </w:r>
      <w:r w:rsidR="00407384" w:rsidRPr="004811D6">
        <w:rPr>
          <w:rFonts w:ascii="Times New Roman" w:eastAsia="Times New Roman" w:hAnsi="Times New Roman" w:cs="Times New Roman"/>
          <w:color w:val="000000"/>
        </w:rPr>
        <w:t>Verführung in Böse gefallen, also nicht von Grund aus verderbt</w:t>
      </w:r>
      <w:r w:rsidR="00407384" w:rsidRPr="004811D6">
        <w:rPr>
          <w:rFonts w:ascii="Times New Roman" w:eastAsia="Times New Roman" w:hAnsi="Times New Roman" w:cs="Times New Roman"/>
          <w:color w:val="000000"/>
          <w:lang w:val="de-DE"/>
        </w:rPr>
        <w:t>»</w:t>
      </w:r>
      <w:r w:rsidR="0099598E" w:rsidRPr="004811D6">
        <w:rPr>
          <w:rFonts w:ascii="Times New Roman" w:eastAsia="Times New Roman" w:hAnsi="Times New Roman" w:cs="Times New Roman"/>
          <w:color w:val="000000"/>
        </w:rPr>
        <w:t xml:space="preserve">, ossia </w:t>
      </w:r>
      <w:r w:rsidR="00407384" w:rsidRPr="004811D6">
        <w:rPr>
          <w:rFonts w:ascii="Times New Roman" w:eastAsia="Times New Roman" w:hAnsi="Times New Roman" w:cs="Times New Roman"/>
          <w:color w:val="000000"/>
        </w:rPr>
        <w:t xml:space="preserve">che </w:t>
      </w:r>
      <w:r w:rsidR="0099598E" w:rsidRPr="004811D6">
        <w:rPr>
          <w:rFonts w:ascii="Times New Roman" w:eastAsia="Times New Roman" w:hAnsi="Times New Roman" w:cs="Times New Roman"/>
          <w:color w:val="000000"/>
        </w:rPr>
        <w:t>il male, per l’uomo, «</w:t>
      </w:r>
      <w:r w:rsidR="00407384" w:rsidRPr="004811D6">
        <w:rPr>
          <w:rFonts w:ascii="Times New Roman" w:eastAsia="Times New Roman" w:hAnsi="Times New Roman" w:cs="Times New Roman"/>
          <w:color w:val="000000"/>
        </w:rPr>
        <w:t>nur a</w:t>
      </w:r>
      <w:r w:rsidR="00345DDC" w:rsidRPr="004811D6">
        <w:rPr>
          <w:rFonts w:ascii="Times New Roman" w:eastAsia="Times New Roman" w:hAnsi="Times New Roman" w:cs="Times New Roman"/>
          <w:color w:val="000000"/>
        </w:rPr>
        <w:t>us dem Moralisch-Bösen […] ents</w:t>
      </w:r>
      <w:r w:rsidR="00407384" w:rsidRPr="004811D6">
        <w:rPr>
          <w:rFonts w:ascii="Times New Roman" w:eastAsia="Times New Roman" w:hAnsi="Times New Roman" w:cs="Times New Roman"/>
          <w:color w:val="000000"/>
        </w:rPr>
        <w:t>p</w:t>
      </w:r>
      <w:r w:rsidR="00345DDC" w:rsidRPr="004811D6">
        <w:rPr>
          <w:rFonts w:ascii="Times New Roman" w:eastAsia="Times New Roman" w:hAnsi="Times New Roman" w:cs="Times New Roman"/>
          <w:color w:val="000000"/>
        </w:rPr>
        <w:t>r</w:t>
      </w:r>
      <w:r w:rsidR="00407384" w:rsidRPr="004811D6">
        <w:rPr>
          <w:rFonts w:ascii="Times New Roman" w:eastAsia="Times New Roman" w:hAnsi="Times New Roman" w:cs="Times New Roman"/>
          <w:color w:val="000000"/>
        </w:rPr>
        <w:t>ingen können, und doch ist die ursprüngliche Anlage […] eine Anlage zum Guten</w:t>
      </w:r>
      <w:r w:rsidR="00407384" w:rsidRPr="004811D6">
        <w:rPr>
          <w:rFonts w:ascii="Times New Roman" w:eastAsia="Times New Roman" w:hAnsi="Times New Roman" w:cs="Times New Roman"/>
          <w:color w:val="000000"/>
          <w:lang w:val="de-DE"/>
        </w:rPr>
        <w:t>»</w:t>
      </w:r>
      <w:r w:rsidR="00407384" w:rsidRPr="004811D6">
        <w:rPr>
          <w:rStyle w:val="Rimandonotaapidipagina"/>
          <w:rFonts w:ascii="Times New Roman" w:eastAsia="Times New Roman" w:hAnsi="Times New Roman" w:cs="Times New Roman"/>
          <w:color w:val="000000"/>
          <w:lang w:val="de-DE"/>
        </w:rPr>
        <w:footnoteReference w:id="199"/>
      </w:r>
      <w:r w:rsidR="00407384" w:rsidRPr="004811D6">
        <w:rPr>
          <w:rFonts w:ascii="Times New Roman" w:eastAsia="Times New Roman" w:hAnsi="Times New Roman" w:cs="Times New Roman"/>
          <w:color w:val="000000"/>
        </w:rPr>
        <w:t>.</w:t>
      </w:r>
      <w:r w:rsidR="002A077D" w:rsidRPr="004811D6">
        <w:rPr>
          <w:rFonts w:ascii="Times New Roman" w:eastAsia="Times New Roman" w:hAnsi="Times New Roman" w:cs="Times New Roman"/>
          <w:color w:val="000000"/>
        </w:rPr>
        <w:t xml:space="preserve"> Rispetto</w:t>
      </w:r>
      <w:r w:rsidR="0099598E" w:rsidRPr="004811D6">
        <w:rPr>
          <w:rFonts w:ascii="Times New Roman" w:eastAsia="Times New Roman" w:hAnsi="Times New Roman" w:cs="Times New Roman"/>
          <w:color w:val="000000"/>
        </w:rPr>
        <w:t xml:space="preserve"> a</w:t>
      </w:r>
      <w:r w:rsidR="00FC5259" w:rsidRPr="004811D6">
        <w:rPr>
          <w:rFonts w:ascii="Times New Roman" w:eastAsia="Times New Roman" w:hAnsi="Times New Roman" w:cs="Times New Roman"/>
          <w:color w:val="000000"/>
        </w:rPr>
        <w:t>lla caduta</w:t>
      </w:r>
      <w:r w:rsidR="00373C41" w:rsidRPr="004811D6">
        <w:rPr>
          <w:rFonts w:ascii="Times New Roman" w:eastAsia="Times New Roman" w:hAnsi="Times New Roman" w:cs="Times New Roman"/>
          <w:color w:val="000000"/>
        </w:rPr>
        <w:t xml:space="preserve"> diabolica</w:t>
      </w:r>
      <w:r w:rsidR="00407384" w:rsidRPr="004811D6">
        <w:rPr>
          <w:rFonts w:ascii="Times New Roman" w:eastAsia="Times New Roman" w:hAnsi="Times New Roman" w:cs="Times New Roman"/>
          <w:color w:val="000000"/>
        </w:rPr>
        <w:t>, che</w:t>
      </w:r>
      <w:r w:rsidR="00407384" w:rsidRPr="000B5852">
        <w:rPr>
          <w:rFonts w:ascii="Times New Roman" w:eastAsia="Times New Roman" w:hAnsi="Times New Roman" w:cs="Times New Roman"/>
          <w:color w:val="000000"/>
        </w:rPr>
        <w:t xml:space="preserve"> non è frutto di una tentazione, ma di un pervertimento </w:t>
      </w:r>
      <w:r w:rsidR="00407384" w:rsidRPr="00126501">
        <w:rPr>
          <w:rFonts w:ascii="Times New Roman" w:eastAsia="Times New Roman" w:hAnsi="Times New Roman" w:cs="Times New Roman"/>
          <w:i/>
          <w:color w:val="000000"/>
        </w:rPr>
        <w:t>radicale</w:t>
      </w:r>
      <w:r w:rsidR="00407384" w:rsidRPr="000B5852">
        <w:rPr>
          <w:rFonts w:ascii="Times New Roman" w:eastAsia="Times New Roman" w:hAnsi="Times New Roman" w:cs="Times New Roman"/>
          <w:color w:val="000000"/>
        </w:rPr>
        <w:t xml:space="preserve"> della sua natura</w:t>
      </w:r>
      <w:r w:rsidR="00012615">
        <w:rPr>
          <w:rFonts w:ascii="Times New Roman" w:eastAsia="Times New Roman" w:hAnsi="Times New Roman" w:cs="Times New Roman"/>
          <w:color w:val="000000"/>
        </w:rPr>
        <w:t xml:space="preserve"> (estraneo al genere umano)</w:t>
      </w:r>
      <w:r w:rsidR="00012615">
        <w:rPr>
          <w:rStyle w:val="Rimandonotaapidipagina"/>
          <w:rFonts w:ascii="Times New Roman" w:eastAsia="Times New Roman" w:hAnsi="Times New Roman" w:cs="Times New Roman"/>
          <w:color w:val="000000"/>
        </w:rPr>
        <w:footnoteReference w:id="200"/>
      </w:r>
      <w:r w:rsidR="0099598E" w:rsidRPr="000B5852">
        <w:rPr>
          <w:rFonts w:ascii="Times New Roman" w:eastAsia="Times New Roman" w:hAnsi="Times New Roman" w:cs="Times New Roman"/>
          <w:color w:val="000000"/>
        </w:rPr>
        <w:t xml:space="preserve">, </w:t>
      </w:r>
      <w:r w:rsidR="002A077D" w:rsidRPr="000B5852">
        <w:rPr>
          <w:rFonts w:ascii="Times New Roman" w:eastAsia="Times New Roman" w:hAnsi="Times New Roman" w:cs="Times New Roman"/>
          <w:color w:val="000000"/>
        </w:rPr>
        <w:t>da cui viene estirpata</w:t>
      </w:r>
      <w:r w:rsidR="001F1DE0" w:rsidRPr="000B5852">
        <w:rPr>
          <w:rFonts w:ascii="Times New Roman" w:eastAsia="Times New Roman" w:hAnsi="Times New Roman" w:cs="Times New Roman"/>
          <w:color w:val="000000"/>
        </w:rPr>
        <w:t xml:space="preserve"> la </w:t>
      </w:r>
      <w:r w:rsidR="002D241C" w:rsidRPr="000B5852">
        <w:rPr>
          <w:rFonts w:ascii="Times New Roman" w:eastAsia="Times New Roman" w:hAnsi="Times New Roman" w:cs="Times New Roman"/>
          <w:color w:val="000000"/>
        </w:rPr>
        <w:t>«</w:t>
      </w:r>
      <w:r w:rsidR="00C57241" w:rsidRPr="000B5852">
        <w:rPr>
          <w:rFonts w:ascii="Times New Roman" w:eastAsia="Times New Roman" w:hAnsi="Times New Roman" w:cs="Times New Roman"/>
          <w:color w:val="000000"/>
        </w:rPr>
        <w:t>Hoffnung einer Wiederkehr zu dem Guten</w:t>
      </w:r>
      <w:r w:rsidR="00C57241" w:rsidRPr="000B5852">
        <w:rPr>
          <w:rFonts w:ascii="Times New Roman" w:eastAsia="Times New Roman" w:hAnsi="Times New Roman" w:cs="Times New Roman"/>
          <w:color w:val="000000"/>
          <w:lang w:val="de-DE"/>
        </w:rPr>
        <w:t>»</w:t>
      </w:r>
      <w:r w:rsidR="00C57241" w:rsidRPr="000B5852">
        <w:rPr>
          <w:rStyle w:val="Rimandonotaapidipagina"/>
          <w:rFonts w:ascii="Times New Roman" w:eastAsia="Times New Roman" w:hAnsi="Times New Roman" w:cs="Times New Roman"/>
          <w:color w:val="000000"/>
          <w:lang w:val="de-DE"/>
        </w:rPr>
        <w:footnoteReference w:id="201"/>
      </w:r>
      <w:r w:rsidR="00C57241" w:rsidRPr="000B5852">
        <w:rPr>
          <w:rFonts w:ascii="Times New Roman" w:eastAsia="Times New Roman" w:hAnsi="Times New Roman" w:cs="Times New Roman"/>
          <w:color w:val="000000"/>
        </w:rPr>
        <w:t xml:space="preserve">, </w:t>
      </w:r>
      <w:r w:rsidRPr="000B5852">
        <w:rPr>
          <w:rFonts w:ascii="Times New Roman" w:eastAsia="Times New Roman" w:hAnsi="Times New Roman" w:cs="Times New Roman"/>
          <w:color w:val="000000"/>
        </w:rPr>
        <w:t xml:space="preserve">Kant non offre </w:t>
      </w:r>
      <w:r w:rsidR="0099598E" w:rsidRPr="000B5852">
        <w:rPr>
          <w:rFonts w:ascii="Times New Roman" w:eastAsia="Times New Roman" w:hAnsi="Times New Roman" w:cs="Times New Roman"/>
          <w:color w:val="000000"/>
        </w:rPr>
        <w:t>alcuna spiegazione plausibile: il perché del</w:t>
      </w:r>
      <w:r w:rsidR="001F1DE0" w:rsidRPr="000B5852">
        <w:rPr>
          <w:rFonts w:ascii="Times New Roman" w:eastAsia="Times New Roman" w:hAnsi="Times New Roman" w:cs="Times New Roman"/>
          <w:color w:val="000000"/>
        </w:rPr>
        <w:t>l’origine</w:t>
      </w:r>
      <w:r w:rsidRPr="000B5852">
        <w:rPr>
          <w:rFonts w:ascii="Times New Roman" w:eastAsia="Times New Roman" w:hAnsi="Times New Roman" w:cs="Times New Roman"/>
          <w:color w:val="000000"/>
        </w:rPr>
        <w:t xml:space="preserve"> del male in un essere</w:t>
      </w:r>
      <w:r w:rsidR="00B271F3">
        <w:rPr>
          <w:rFonts w:ascii="Times New Roman" w:eastAsia="Times New Roman" w:hAnsi="Times New Roman" w:cs="Times New Roman"/>
          <w:color w:val="000000"/>
        </w:rPr>
        <w:t xml:space="preserve"> </w:t>
      </w:r>
      <w:r w:rsidR="00B271F3" w:rsidRPr="00201B86">
        <w:rPr>
          <w:rFonts w:ascii="Times New Roman" w:eastAsia="Times New Roman" w:hAnsi="Times New Roman" w:cs="Times New Roman"/>
          <w:i/>
          <w:color w:val="000000"/>
        </w:rPr>
        <w:t>originariamente</w:t>
      </w:r>
      <w:r w:rsidRPr="00201B86">
        <w:rPr>
          <w:rFonts w:ascii="Times New Roman" w:eastAsia="Times New Roman" w:hAnsi="Times New Roman" w:cs="Times New Roman"/>
          <w:i/>
          <w:color w:val="000000"/>
        </w:rPr>
        <w:t xml:space="preserve"> </w:t>
      </w:r>
      <w:r w:rsidRPr="000B5852">
        <w:rPr>
          <w:rFonts w:ascii="Times New Roman" w:eastAsia="Times New Roman" w:hAnsi="Times New Roman" w:cs="Times New Roman"/>
          <w:color w:val="000000"/>
        </w:rPr>
        <w:t>buono resta «</w:t>
      </w:r>
      <w:r w:rsidRPr="000B5852">
        <w:rPr>
          <w:rFonts w:ascii="Times New Roman" w:eastAsia="Times New Roman" w:hAnsi="Times New Roman" w:cs="Times New Roman"/>
          <w:color w:val="000000"/>
          <w:lang w:val="de-DE"/>
        </w:rPr>
        <w:t>für uns unbegreiflich (denn woher bei jenem Geist das Böse?)»</w:t>
      </w:r>
      <w:r w:rsidRPr="000B5852">
        <w:rPr>
          <w:rStyle w:val="Rimandonotaapidipagina"/>
          <w:rFonts w:ascii="Times New Roman" w:eastAsia="Times New Roman" w:hAnsi="Times New Roman" w:cs="Times New Roman"/>
          <w:color w:val="000000"/>
          <w:lang w:val="de-DE"/>
        </w:rPr>
        <w:footnoteReference w:id="202"/>
      </w:r>
      <w:r w:rsidRPr="000B5852">
        <w:rPr>
          <w:rFonts w:ascii="Times New Roman" w:eastAsia="Times New Roman" w:hAnsi="Times New Roman" w:cs="Times New Roman"/>
          <w:color w:val="000000"/>
          <w:lang w:val="de-DE"/>
        </w:rPr>
        <w:t xml:space="preserve">. </w:t>
      </w:r>
      <w:r w:rsidR="00B271F3">
        <w:rPr>
          <w:rFonts w:ascii="Times New Roman" w:eastAsia="Times New Roman" w:hAnsi="Times New Roman" w:cs="Times New Roman"/>
          <w:color w:val="000000"/>
          <w:lang w:val="de-DE"/>
        </w:rPr>
        <w:t>In altre parole, n</w:t>
      </w:r>
      <w:r w:rsidR="00627D85" w:rsidRPr="000B5852">
        <w:rPr>
          <w:rFonts w:ascii="Times New Roman" w:eastAsia="Times New Roman" w:hAnsi="Times New Roman" w:cs="Times New Roman"/>
          <w:color w:val="000000"/>
          <w:lang w:val="de-DE"/>
        </w:rPr>
        <w:t>on può e</w:t>
      </w:r>
      <w:r w:rsidR="00B271F3">
        <w:rPr>
          <w:rFonts w:ascii="Times New Roman" w:eastAsia="Times New Roman" w:hAnsi="Times New Roman" w:cs="Times New Roman"/>
          <w:color w:val="000000"/>
          <w:lang w:val="de-DE"/>
        </w:rPr>
        <w:t xml:space="preserve">ssere spiegato </w:t>
      </w:r>
      <w:r w:rsidR="00627D85" w:rsidRPr="000B5852">
        <w:rPr>
          <w:rFonts w:ascii="Times New Roman" w:eastAsia="Times New Roman" w:hAnsi="Times New Roman" w:cs="Times New Roman"/>
          <w:color w:val="000000"/>
          <w:lang w:val="de-DE"/>
        </w:rPr>
        <w:t xml:space="preserve">come il bene </w:t>
      </w:r>
      <w:r w:rsidR="00290E2A">
        <w:rPr>
          <w:rFonts w:ascii="Times New Roman" w:eastAsia="Times New Roman" w:hAnsi="Times New Roman" w:cs="Times New Roman"/>
          <w:color w:val="000000"/>
          <w:lang w:val="de-DE"/>
        </w:rPr>
        <w:t xml:space="preserve">venga </w:t>
      </w:r>
      <w:r w:rsidR="00FC5259">
        <w:rPr>
          <w:rFonts w:ascii="Times New Roman" w:eastAsia="Times New Roman" w:hAnsi="Times New Roman" w:cs="Times New Roman"/>
          <w:color w:val="000000"/>
          <w:lang w:val="de-DE"/>
        </w:rPr>
        <w:t>sopraff</w:t>
      </w:r>
      <w:r w:rsidR="00290E2A">
        <w:rPr>
          <w:rFonts w:ascii="Times New Roman" w:eastAsia="Times New Roman" w:hAnsi="Times New Roman" w:cs="Times New Roman"/>
          <w:color w:val="000000"/>
          <w:lang w:val="de-DE"/>
        </w:rPr>
        <w:t>a</w:t>
      </w:r>
      <w:r w:rsidR="00FC5259">
        <w:rPr>
          <w:rFonts w:ascii="Times New Roman" w:eastAsia="Times New Roman" w:hAnsi="Times New Roman" w:cs="Times New Roman"/>
          <w:color w:val="000000"/>
          <w:lang w:val="de-DE"/>
        </w:rPr>
        <w:t>t</w:t>
      </w:r>
      <w:r w:rsidR="00290E2A">
        <w:rPr>
          <w:rFonts w:ascii="Times New Roman" w:eastAsia="Times New Roman" w:hAnsi="Times New Roman" w:cs="Times New Roman"/>
          <w:color w:val="000000"/>
          <w:lang w:val="de-DE"/>
        </w:rPr>
        <w:t>to da</w:t>
      </w:r>
      <w:r w:rsidR="00627D85" w:rsidRPr="000B5852">
        <w:rPr>
          <w:rFonts w:ascii="Times New Roman" w:eastAsia="Times New Roman" w:hAnsi="Times New Roman" w:cs="Times New Roman"/>
          <w:color w:val="000000"/>
          <w:lang w:val="de-DE"/>
        </w:rPr>
        <w:t xml:space="preserve">l male e come il male possa </w:t>
      </w:r>
      <w:r w:rsidR="006D1080" w:rsidRPr="000B5852">
        <w:rPr>
          <w:rFonts w:ascii="Times New Roman" w:eastAsia="Times New Roman" w:hAnsi="Times New Roman" w:cs="Times New Roman"/>
          <w:color w:val="000000"/>
          <w:lang w:val="de-DE"/>
        </w:rPr>
        <w:t xml:space="preserve">assumere la funzione di </w:t>
      </w:r>
      <w:r w:rsidR="006D1080" w:rsidRPr="00201B86">
        <w:rPr>
          <w:rFonts w:ascii="Times New Roman" w:eastAsia="Times New Roman" w:hAnsi="Times New Roman" w:cs="Times New Roman"/>
          <w:i/>
          <w:color w:val="000000"/>
          <w:lang w:val="de-DE"/>
        </w:rPr>
        <w:t xml:space="preserve">disposizione </w:t>
      </w:r>
      <w:r w:rsidR="006D1080" w:rsidRPr="000B5852">
        <w:rPr>
          <w:rFonts w:ascii="Times New Roman" w:eastAsia="Times New Roman" w:hAnsi="Times New Roman" w:cs="Times New Roman"/>
          <w:i/>
          <w:color w:val="000000"/>
          <w:lang w:val="de-DE"/>
        </w:rPr>
        <w:t>fondamentale</w:t>
      </w:r>
      <w:r w:rsidR="006D1080" w:rsidRPr="000B5852">
        <w:rPr>
          <w:rFonts w:ascii="Times New Roman" w:eastAsia="Times New Roman" w:hAnsi="Times New Roman" w:cs="Times New Roman"/>
          <w:color w:val="000000"/>
          <w:lang w:val="de-DE"/>
        </w:rPr>
        <w:t xml:space="preserve"> di un essere razionale e libero.</w:t>
      </w:r>
    </w:p>
    <w:p w14:paraId="0F0AC004" w14:textId="16C12210" w:rsidR="008A2492" w:rsidRPr="00F24635" w:rsidRDefault="006E46E5" w:rsidP="00FC611F">
      <w:pPr>
        <w:spacing w:line="360" w:lineRule="auto"/>
        <w:ind w:firstLine="567"/>
        <w:jc w:val="both"/>
        <w:rPr>
          <w:rFonts w:ascii="Times New Roman" w:eastAsia="Times New Roman" w:hAnsi="Times New Roman" w:cs="Times New Roman"/>
          <w:color w:val="000000"/>
          <w:lang w:val="de-DE"/>
        </w:rPr>
      </w:pPr>
      <w:r w:rsidRPr="004811D6">
        <w:rPr>
          <w:rFonts w:ascii="Times New Roman" w:eastAsia="Times New Roman" w:hAnsi="Times New Roman" w:cs="Times New Roman"/>
          <w:color w:val="000000"/>
        </w:rPr>
        <w:t>Q</w:t>
      </w:r>
      <w:r w:rsidR="008A2492" w:rsidRPr="004811D6">
        <w:rPr>
          <w:rFonts w:ascii="Times New Roman" w:eastAsia="Times New Roman" w:hAnsi="Times New Roman" w:cs="Times New Roman"/>
          <w:color w:val="000000"/>
        </w:rPr>
        <w:t xml:space="preserve">uesti nodi concettuali, problematicamente sollevati dalla </w:t>
      </w:r>
      <w:r w:rsidR="008A2492" w:rsidRPr="004811D6">
        <w:rPr>
          <w:rFonts w:ascii="Times New Roman" w:eastAsia="Times New Roman" w:hAnsi="Times New Roman" w:cs="Times New Roman"/>
          <w:i/>
          <w:color w:val="000000"/>
          <w:lang w:val="de-DE"/>
        </w:rPr>
        <w:t>Religion innerhalb der Grenzen der bloßen Vernunft</w:t>
      </w:r>
      <w:r w:rsidR="008A2492" w:rsidRPr="004811D6">
        <w:rPr>
          <w:rFonts w:ascii="Times New Roman" w:eastAsia="Times New Roman" w:hAnsi="Times New Roman" w:cs="Times New Roman"/>
          <w:color w:val="000000"/>
        </w:rPr>
        <w:t>, vanno a definire il</w:t>
      </w:r>
      <w:r w:rsidR="008A2492" w:rsidRPr="004811D6">
        <w:rPr>
          <w:rFonts w:ascii="Times New Roman" w:eastAsia="Times New Roman" w:hAnsi="Times New Roman" w:cs="Times New Roman"/>
          <w:i/>
          <w:color w:val="000000"/>
        </w:rPr>
        <w:t xml:space="preserve"> focus </w:t>
      </w:r>
      <w:r w:rsidR="008A2492" w:rsidRPr="004811D6">
        <w:rPr>
          <w:rFonts w:ascii="Times New Roman" w:eastAsia="Times New Roman" w:hAnsi="Times New Roman" w:cs="Times New Roman"/>
          <w:color w:val="000000"/>
        </w:rPr>
        <w:t xml:space="preserve">dell’argomentazione </w:t>
      </w:r>
      <w:r w:rsidR="008164B4" w:rsidRPr="004811D6">
        <w:rPr>
          <w:rFonts w:ascii="Times New Roman" w:eastAsia="Times New Roman" w:hAnsi="Times New Roman" w:cs="Times New Roman"/>
          <w:color w:val="000000"/>
        </w:rPr>
        <w:t xml:space="preserve">hegeliana </w:t>
      </w:r>
      <w:r w:rsidR="00E23875" w:rsidRPr="004811D6">
        <w:rPr>
          <w:rFonts w:ascii="Times New Roman" w:eastAsia="Times New Roman" w:hAnsi="Times New Roman" w:cs="Times New Roman"/>
          <w:color w:val="000000"/>
        </w:rPr>
        <w:t>n</w:t>
      </w:r>
      <w:r w:rsidR="008A2492" w:rsidRPr="004811D6">
        <w:rPr>
          <w:rFonts w:ascii="Times New Roman" w:eastAsia="Times New Roman" w:hAnsi="Times New Roman" w:cs="Times New Roman"/>
          <w:color w:val="000000"/>
        </w:rPr>
        <w:t>ell</w:t>
      </w:r>
      <w:r w:rsidR="00E23875" w:rsidRPr="004811D6">
        <w:rPr>
          <w:rFonts w:ascii="Times New Roman" w:eastAsia="Times New Roman" w:hAnsi="Times New Roman" w:cs="Times New Roman"/>
          <w:color w:val="000000"/>
        </w:rPr>
        <w:t>a sezione dell’</w:t>
      </w:r>
      <w:r w:rsidR="008A2492" w:rsidRPr="004811D6">
        <w:rPr>
          <w:rFonts w:ascii="Times New Roman" w:eastAsia="Times New Roman" w:hAnsi="Times New Roman" w:cs="Times New Roman"/>
          <w:i/>
          <w:color w:val="000000"/>
          <w:lang w:val="de-DE"/>
        </w:rPr>
        <w:t>Höchstes Wesen</w:t>
      </w:r>
      <w:r w:rsidR="00E23875" w:rsidRPr="004811D6">
        <w:rPr>
          <w:rFonts w:ascii="Times New Roman" w:eastAsia="Times New Roman" w:hAnsi="Times New Roman" w:cs="Times New Roman"/>
          <w:color w:val="000000"/>
        </w:rPr>
        <w:t xml:space="preserve"> e nella successiva </w:t>
      </w:r>
      <w:r w:rsidR="00E23875" w:rsidRPr="004811D6">
        <w:rPr>
          <w:rFonts w:ascii="Times New Roman" w:eastAsia="Times New Roman" w:hAnsi="Times New Roman" w:cs="Times New Roman"/>
          <w:i/>
          <w:color w:val="000000"/>
        </w:rPr>
        <w:t>Metaphysik des Subjectivität</w:t>
      </w:r>
      <w:r w:rsidR="00E23875" w:rsidRPr="004811D6">
        <w:rPr>
          <w:rFonts w:ascii="Times New Roman" w:eastAsia="Times New Roman" w:hAnsi="Times New Roman" w:cs="Times New Roman"/>
          <w:color w:val="000000"/>
        </w:rPr>
        <w:t>.</w:t>
      </w:r>
      <w:r w:rsidR="008A2492" w:rsidRPr="004811D6">
        <w:rPr>
          <w:rFonts w:ascii="Times New Roman" w:eastAsia="Times New Roman" w:hAnsi="Times New Roman" w:cs="Times New Roman"/>
          <w:color w:val="000000"/>
        </w:rPr>
        <w:t xml:space="preserve"> Nonostante le eviden</w:t>
      </w:r>
      <w:r w:rsidR="00FF2458" w:rsidRPr="004811D6">
        <w:rPr>
          <w:rFonts w:ascii="Times New Roman" w:eastAsia="Times New Roman" w:hAnsi="Times New Roman" w:cs="Times New Roman"/>
          <w:color w:val="000000"/>
        </w:rPr>
        <w:t>ti congruenze terminologiche, l</w:t>
      </w:r>
      <w:r w:rsidR="00C07A3D" w:rsidRPr="004811D6">
        <w:rPr>
          <w:rFonts w:ascii="Times New Roman" w:eastAsia="Times New Roman" w:hAnsi="Times New Roman" w:cs="Times New Roman"/>
          <w:color w:val="000000"/>
        </w:rPr>
        <w:t>a risposta</w:t>
      </w:r>
      <w:r w:rsidR="00E23875" w:rsidRPr="004811D6">
        <w:rPr>
          <w:rFonts w:ascii="Times New Roman" w:eastAsia="Times New Roman" w:hAnsi="Times New Roman" w:cs="Times New Roman"/>
          <w:color w:val="000000"/>
        </w:rPr>
        <w:t xml:space="preserve"> di Hegel</w:t>
      </w:r>
      <w:r w:rsidR="008A2492" w:rsidRPr="004811D6">
        <w:rPr>
          <w:rFonts w:ascii="Times New Roman" w:eastAsia="Times New Roman" w:hAnsi="Times New Roman" w:cs="Times New Roman"/>
          <w:color w:val="000000"/>
        </w:rPr>
        <w:t xml:space="preserve"> </w:t>
      </w:r>
      <w:r w:rsidR="000E7F8D" w:rsidRPr="004811D6">
        <w:rPr>
          <w:rFonts w:ascii="Times New Roman" w:eastAsia="Times New Roman" w:hAnsi="Times New Roman" w:cs="Times New Roman"/>
          <w:color w:val="000000"/>
        </w:rPr>
        <w:t>relativa</w:t>
      </w:r>
      <w:r w:rsidR="006D1080" w:rsidRPr="004811D6">
        <w:rPr>
          <w:rFonts w:ascii="Times New Roman" w:eastAsia="Times New Roman" w:hAnsi="Times New Roman" w:cs="Times New Roman"/>
          <w:color w:val="000000"/>
        </w:rPr>
        <w:t xml:space="preserve"> alla </w:t>
      </w:r>
      <w:r w:rsidR="00407384" w:rsidRPr="004811D6">
        <w:rPr>
          <w:rFonts w:ascii="Times New Roman" w:eastAsia="Times New Roman" w:hAnsi="Times New Roman" w:cs="Times New Roman"/>
          <w:color w:val="000000"/>
        </w:rPr>
        <w:t xml:space="preserve">costituzione </w:t>
      </w:r>
      <w:r w:rsidR="008A2492" w:rsidRPr="004811D6">
        <w:rPr>
          <w:rFonts w:ascii="Times New Roman" w:eastAsia="Times New Roman" w:hAnsi="Times New Roman" w:cs="Times New Roman"/>
          <w:color w:val="000000"/>
        </w:rPr>
        <w:t>dell’</w:t>
      </w:r>
      <w:r w:rsidR="00126501" w:rsidRPr="004811D6">
        <w:rPr>
          <w:rFonts w:ascii="Times New Roman" w:eastAsia="Times New Roman" w:hAnsi="Times New Roman" w:cs="Times New Roman"/>
          <w:i/>
          <w:color w:val="000000"/>
        </w:rPr>
        <w:t>Höchstes Wesen</w:t>
      </w:r>
      <w:r w:rsidR="00C07A3D" w:rsidRPr="004811D6">
        <w:rPr>
          <w:rFonts w:ascii="Times New Roman" w:eastAsia="Times New Roman" w:hAnsi="Times New Roman" w:cs="Times New Roman"/>
          <w:i/>
          <w:color w:val="000000"/>
        </w:rPr>
        <w:t xml:space="preserve"> </w:t>
      </w:r>
      <w:r w:rsidR="00C07A3D" w:rsidRPr="004811D6">
        <w:rPr>
          <w:rFonts w:ascii="Times New Roman" w:eastAsia="Times New Roman" w:hAnsi="Times New Roman" w:cs="Times New Roman"/>
          <w:color w:val="000000"/>
        </w:rPr>
        <w:t>si distanzierà</w:t>
      </w:r>
      <w:r w:rsidR="00883E92" w:rsidRPr="004811D6">
        <w:rPr>
          <w:rFonts w:ascii="Times New Roman" w:eastAsia="Times New Roman" w:hAnsi="Times New Roman" w:cs="Times New Roman"/>
          <w:color w:val="000000"/>
        </w:rPr>
        <w:t xml:space="preserve"> </w:t>
      </w:r>
      <w:r w:rsidR="008A2492" w:rsidRPr="004811D6">
        <w:rPr>
          <w:rFonts w:ascii="Times New Roman" w:eastAsia="Times New Roman" w:hAnsi="Times New Roman" w:cs="Times New Roman"/>
          <w:color w:val="000000"/>
        </w:rPr>
        <w:t>dall</w:t>
      </w:r>
      <w:r w:rsidR="00266481" w:rsidRPr="004811D6">
        <w:rPr>
          <w:rFonts w:ascii="Times New Roman" w:eastAsia="Times New Roman" w:hAnsi="Times New Roman" w:cs="Times New Roman"/>
          <w:color w:val="000000"/>
        </w:rPr>
        <w:t>’insegnamento</w:t>
      </w:r>
      <w:r w:rsidR="008A2492" w:rsidRPr="004811D6">
        <w:rPr>
          <w:rFonts w:ascii="Times New Roman" w:eastAsia="Times New Roman" w:hAnsi="Times New Roman" w:cs="Times New Roman"/>
          <w:color w:val="000000"/>
        </w:rPr>
        <w:t xml:space="preserve"> </w:t>
      </w:r>
      <w:r w:rsidR="00266481" w:rsidRPr="004811D6">
        <w:rPr>
          <w:rFonts w:ascii="Times New Roman" w:eastAsia="Times New Roman" w:hAnsi="Times New Roman" w:cs="Times New Roman"/>
          <w:color w:val="000000"/>
        </w:rPr>
        <w:t xml:space="preserve">di </w:t>
      </w:r>
      <w:r w:rsidR="008A2492" w:rsidRPr="004811D6">
        <w:rPr>
          <w:rFonts w:ascii="Times New Roman" w:eastAsia="Times New Roman" w:hAnsi="Times New Roman" w:cs="Times New Roman"/>
          <w:color w:val="000000"/>
        </w:rPr>
        <w:t xml:space="preserve">Kant per almeno due </w:t>
      </w:r>
      <w:r w:rsidR="00D03202" w:rsidRPr="004811D6">
        <w:rPr>
          <w:rFonts w:ascii="Times New Roman" w:eastAsia="Times New Roman" w:hAnsi="Times New Roman" w:cs="Times New Roman"/>
          <w:color w:val="000000"/>
        </w:rPr>
        <w:t>ragion</w:t>
      </w:r>
      <w:r w:rsidR="00C07A3D" w:rsidRPr="004811D6">
        <w:rPr>
          <w:rFonts w:ascii="Times New Roman" w:eastAsia="Times New Roman" w:hAnsi="Times New Roman" w:cs="Times New Roman"/>
          <w:color w:val="000000"/>
        </w:rPr>
        <w:t>i</w:t>
      </w:r>
      <w:r w:rsidR="008A2492" w:rsidRPr="004811D6">
        <w:rPr>
          <w:rFonts w:ascii="Times New Roman" w:eastAsia="Times New Roman" w:hAnsi="Times New Roman" w:cs="Times New Roman"/>
          <w:color w:val="000000"/>
        </w:rPr>
        <w:t>:</w:t>
      </w:r>
      <w:r w:rsidR="008A2492" w:rsidRPr="008164B4">
        <w:rPr>
          <w:rFonts w:ascii="Times New Roman" w:eastAsia="Times New Roman" w:hAnsi="Times New Roman" w:cs="Times New Roman"/>
          <w:color w:val="000000"/>
        </w:rPr>
        <w:t xml:space="preserve"> </w:t>
      </w:r>
      <w:r w:rsidR="008A2492" w:rsidRPr="006C0DF0">
        <w:rPr>
          <w:rFonts w:ascii="Times New Roman" w:eastAsia="Times New Roman" w:hAnsi="Times New Roman" w:cs="Times New Roman"/>
          <w:color w:val="000000"/>
        </w:rPr>
        <w:t>1. la teoria kan</w:t>
      </w:r>
      <w:r w:rsidR="00883E92" w:rsidRPr="006C0DF0">
        <w:rPr>
          <w:rFonts w:ascii="Times New Roman" w:eastAsia="Times New Roman" w:hAnsi="Times New Roman" w:cs="Times New Roman"/>
          <w:color w:val="000000"/>
        </w:rPr>
        <w:t xml:space="preserve">tiana dei </w:t>
      </w:r>
      <w:r w:rsidR="00407384" w:rsidRPr="006C0DF0">
        <w:rPr>
          <w:rFonts w:ascii="Times New Roman" w:eastAsia="Times New Roman" w:hAnsi="Times New Roman" w:cs="Times New Roman"/>
          <w:i/>
          <w:color w:val="000000"/>
        </w:rPr>
        <w:t xml:space="preserve">Principien </w:t>
      </w:r>
      <w:r w:rsidR="00883E92" w:rsidRPr="006C0DF0">
        <w:rPr>
          <w:rFonts w:ascii="Times New Roman" w:eastAsia="Times New Roman" w:hAnsi="Times New Roman" w:cs="Times New Roman"/>
          <w:color w:val="000000"/>
        </w:rPr>
        <w:t>non rappresenta</w:t>
      </w:r>
      <w:r w:rsidR="008A2492" w:rsidRPr="006C0DF0">
        <w:rPr>
          <w:rFonts w:ascii="Times New Roman" w:eastAsia="Times New Roman" w:hAnsi="Times New Roman" w:cs="Times New Roman"/>
          <w:color w:val="000000"/>
        </w:rPr>
        <w:t xml:space="preserve"> un superamento dell’ontologia spinoziana, ma ricade all’interno di una prospettiva intellettualistica,</w:t>
      </w:r>
      <w:r w:rsidR="0050548A" w:rsidRPr="006C0DF0">
        <w:rPr>
          <w:rFonts w:ascii="Times New Roman" w:eastAsia="Times New Roman" w:hAnsi="Times New Roman" w:cs="Times New Roman"/>
          <w:color w:val="000000"/>
        </w:rPr>
        <w:t xml:space="preserve"> </w:t>
      </w:r>
      <w:r w:rsidR="008A2492" w:rsidRPr="006C0DF0">
        <w:rPr>
          <w:rFonts w:ascii="Times New Roman" w:eastAsia="Times New Roman" w:hAnsi="Times New Roman" w:cs="Times New Roman"/>
          <w:color w:val="000000"/>
        </w:rPr>
        <w:t xml:space="preserve">che </w:t>
      </w:r>
      <w:r w:rsidR="00BF7BC7" w:rsidRPr="006C0DF0">
        <w:rPr>
          <w:rFonts w:ascii="Times New Roman" w:eastAsia="Times New Roman" w:hAnsi="Times New Roman" w:cs="Times New Roman"/>
          <w:color w:val="000000"/>
        </w:rPr>
        <w:t>tiene distinto ciò che la ragione</w:t>
      </w:r>
      <w:r w:rsidR="00396DCF" w:rsidRPr="006C0DF0">
        <w:rPr>
          <w:rFonts w:ascii="Times New Roman" w:eastAsia="Times New Roman" w:hAnsi="Times New Roman" w:cs="Times New Roman"/>
          <w:color w:val="000000"/>
        </w:rPr>
        <w:t xml:space="preserve"> deve</w:t>
      </w:r>
      <w:r w:rsidR="00BF7BC7" w:rsidRPr="006C0DF0">
        <w:rPr>
          <w:rFonts w:ascii="Times New Roman" w:eastAsia="Times New Roman" w:hAnsi="Times New Roman" w:cs="Times New Roman"/>
          <w:color w:val="000000"/>
        </w:rPr>
        <w:t xml:space="preserve"> </w:t>
      </w:r>
      <w:r w:rsidR="00437D18" w:rsidRPr="006C0DF0">
        <w:rPr>
          <w:rFonts w:ascii="Times New Roman" w:eastAsia="Times New Roman" w:hAnsi="Times New Roman" w:cs="Times New Roman"/>
          <w:color w:val="000000"/>
        </w:rPr>
        <w:t>pensa</w:t>
      </w:r>
      <w:r w:rsidR="00396DCF" w:rsidRPr="006C0DF0">
        <w:rPr>
          <w:rFonts w:ascii="Times New Roman" w:eastAsia="Times New Roman" w:hAnsi="Times New Roman" w:cs="Times New Roman"/>
          <w:color w:val="000000"/>
        </w:rPr>
        <w:t>re</w:t>
      </w:r>
      <w:r w:rsidR="00437D18" w:rsidRPr="006C0DF0">
        <w:rPr>
          <w:rFonts w:ascii="Times New Roman" w:eastAsia="Times New Roman" w:hAnsi="Times New Roman" w:cs="Times New Roman"/>
          <w:color w:val="000000"/>
        </w:rPr>
        <w:t xml:space="preserve"> </w:t>
      </w:r>
      <w:r w:rsidR="00F6443E" w:rsidRPr="006C0DF0">
        <w:rPr>
          <w:rFonts w:ascii="Times New Roman" w:eastAsia="Times New Roman" w:hAnsi="Times New Roman" w:cs="Times New Roman"/>
          <w:color w:val="000000"/>
        </w:rPr>
        <w:t xml:space="preserve">in unità </w:t>
      </w:r>
      <w:r w:rsidR="002A077D" w:rsidRPr="006C0DF0">
        <w:rPr>
          <w:rFonts w:ascii="Times New Roman" w:eastAsia="Times New Roman" w:hAnsi="Times New Roman" w:cs="Times New Roman"/>
          <w:color w:val="000000"/>
        </w:rPr>
        <w:t>(</w:t>
      </w:r>
      <w:r w:rsidR="004E26B4">
        <w:rPr>
          <w:rFonts w:ascii="Times New Roman" w:eastAsia="Times New Roman" w:hAnsi="Times New Roman" w:cs="Times New Roman"/>
          <w:color w:val="000000"/>
        </w:rPr>
        <w:t xml:space="preserve">il principio buono e il principio cattivo, </w:t>
      </w:r>
      <w:r w:rsidR="002A077D" w:rsidRPr="006C0DF0">
        <w:rPr>
          <w:rFonts w:ascii="Times New Roman" w:eastAsia="Times New Roman" w:hAnsi="Times New Roman" w:cs="Times New Roman"/>
          <w:color w:val="000000"/>
        </w:rPr>
        <w:t xml:space="preserve">la luce e la tenebra) e </w:t>
      </w:r>
      <w:r w:rsidR="008A2492" w:rsidRPr="006C0DF0">
        <w:rPr>
          <w:rFonts w:ascii="Times New Roman" w:eastAsia="Times New Roman" w:hAnsi="Times New Roman" w:cs="Times New Roman"/>
          <w:color w:val="000000"/>
        </w:rPr>
        <w:t>2. rompere il silenzio sulla caduta e interrogarsi sul suo significato filosofico permette di definire la funzione svolta dal negativo all’interno del positivo</w:t>
      </w:r>
      <w:r w:rsidR="00EC6251" w:rsidRPr="006C0DF0">
        <w:rPr>
          <w:rFonts w:ascii="Times New Roman" w:eastAsia="Times New Roman" w:hAnsi="Times New Roman" w:cs="Times New Roman"/>
          <w:color w:val="000000"/>
        </w:rPr>
        <w:t xml:space="preserve"> </w:t>
      </w:r>
      <w:r w:rsidR="00F6443E" w:rsidRPr="006C0DF0">
        <w:rPr>
          <w:rFonts w:ascii="Times New Roman" w:eastAsia="Times New Roman" w:hAnsi="Times New Roman" w:cs="Times New Roman"/>
          <w:color w:val="000000"/>
        </w:rPr>
        <w:t>(</w:t>
      </w:r>
      <w:r w:rsidR="00524604" w:rsidRPr="006C0DF0">
        <w:rPr>
          <w:rFonts w:ascii="Times New Roman" w:eastAsia="Times New Roman" w:hAnsi="Times New Roman" w:cs="Times New Roman"/>
          <w:color w:val="000000"/>
        </w:rPr>
        <w:t>un interrogarsi</w:t>
      </w:r>
      <w:r w:rsidR="00FC5259">
        <w:rPr>
          <w:rFonts w:ascii="Times New Roman" w:eastAsia="Times New Roman" w:hAnsi="Times New Roman" w:cs="Times New Roman"/>
          <w:color w:val="000000"/>
        </w:rPr>
        <w:t xml:space="preserve"> che</w:t>
      </w:r>
      <w:r w:rsidR="00EC6251" w:rsidRPr="006C0DF0">
        <w:rPr>
          <w:rFonts w:ascii="Times New Roman" w:eastAsia="Times New Roman" w:hAnsi="Times New Roman" w:cs="Times New Roman"/>
          <w:color w:val="000000"/>
        </w:rPr>
        <w:t xml:space="preserve"> </w:t>
      </w:r>
      <w:r w:rsidR="00FC5259">
        <w:rPr>
          <w:rFonts w:ascii="Times New Roman" w:eastAsia="Times New Roman" w:hAnsi="Times New Roman" w:cs="Times New Roman"/>
          <w:color w:val="000000"/>
        </w:rPr>
        <w:t>porte</w:t>
      </w:r>
      <w:r w:rsidR="00EC6251" w:rsidRPr="006C0DF0">
        <w:rPr>
          <w:rFonts w:ascii="Times New Roman" w:eastAsia="Times New Roman" w:hAnsi="Times New Roman" w:cs="Times New Roman"/>
          <w:color w:val="000000"/>
        </w:rPr>
        <w:t xml:space="preserve">rà </w:t>
      </w:r>
      <w:r w:rsidR="00FC5259">
        <w:rPr>
          <w:rFonts w:ascii="Times New Roman" w:eastAsia="Times New Roman" w:hAnsi="Times New Roman" w:cs="Times New Roman"/>
          <w:color w:val="000000"/>
        </w:rPr>
        <w:t>a Hegel</w:t>
      </w:r>
      <w:r w:rsidR="00EC6251" w:rsidRPr="006C0DF0">
        <w:rPr>
          <w:rFonts w:ascii="Times New Roman" w:eastAsia="Times New Roman" w:hAnsi="Times New Roman" w:cs="Times New Roman"/>
          <w:color w:val="000000"/>
        </w:rPr>
        <w:t xml:space="preserve"> </w:t>
      </w:r>
      <w:r w:rsidR="00FC5259">
        <w:rPr>
          <w:rFonts w:ascii="Times New Roman" w:eastAsia="Times New Roman" w:hAnsi="Times New Roman" w:cs="Times New Roman"/>
          <w:color w:val="000000"/>
        </w:rPr>
        <w:t>a pensare l</w:t>
      </w:r>
      <w:r w:rsidR="00EC6251" w:rsidRPr="006C0DF0">
        <w:rPr>
          <w:rFonts w:ascii="Times New Roman" w:eastAsia="Times New Roman" w:hAnsi="Times New Roman" w:cs="Times New Roman"/>
          <w:color w:val="000000"/>
        </w:rPr>
        <w:t xml:space="preserve">a caduta </w:t>
      </w:r>
      <w:r w:rsidR="004E26B4">
        <w:rPr>
          <w:rFonts w:ascii="Times New Roman" w:eastAsia="Times New Roman" w:hAnsi="Times New Roman" w:cs="Times New Roman"/>
          <w:color w:val="000000"/>
        </w:rPr>
        <w:t>come dinamica interna</w:t>
      </w:r>
      <w:r w:rsidR="00FC5259">
        <w:rPr>
          <w:rFonts w:ascii="Times New Roman" w:eastAsia="Times New Roman" w:hAnsi="Times New Roman" w:cs="Times New Roman"/>
          <w:color w:val="000000"/>
        </w:rPr>
        <w:t xml:space="preserve"> </w:t>
      </w:r>
      <w:r w:rsidR="004E26B4" w:rsidRPr="00F24635">
        <w:rPr>
          <w:rFonts w:ascii="Times New Roman" w:eastAsia="Times New Roman" w:hAnsi="Times New Roman" w:cs="Times New Roman"/>
          <w:color w:val="000000"/>
        </w:rPr>
        <w:t>all’</w:t>
      </w:r>
      <w:r w:rsidR="00241948" w:rsidRPr="00F24635">
        <w:rPr>
          <w:rFonts w:ascii="Times New Roman" w:eastAsia="Times New Roman" w:hAnsi="Times New Roman" w:cs="Times New Roman"/>
          <w:color w:val="000000"/>
        </w:rPr>
        <w:t>Assoluto</w:t>
      </w:r>
      <w:r w:rsidR="00F6443E" w:rsidRPr="00F24635">
        <w:rPr>
          <w:rFonts w:ascii="Times New Roman" w:eastAsia="Times New Roman" w:hAnsi="Times New Roman" w:cs="Times New Roman"/>
          <w:color w:val="000000"/>
        </w:rPr>
        <w:t>)</w:t>
      </w:r>
      <w:r w:rsidR="008A2492" w:rsidRPr="00F24635">
        <w:rPr>
          <w:rStyle w:val="Rimandonotaapidipagina"/>
          <w:rFonts w:ascii="Times New Roman" w:eastAsia="Times New Roman" w:hAnsi="Times New Roman" w:cs="Times New Roman"/>
          <w:color w:val="000000"/>
        </w:rPr>
        <w:footnoteReference w:id="203"/>
      </w:r>
      <w:r w:rsidR="008A2492" w:rsidRPr="00F24635">
        <w:rPr>
          <w:rFonts w:ascii="Times New Roman" w:eastAsia="Times New Roman" w:hAnsi="Times New Roman" w:cs="Times New Roman"/>
          <w:color w:val="000000"/>
        </w:rPr>
        <w:t xml:space="preserve">. </w:t>
      </w:r>
    </w:p>
    <w:p w14:paraId="46B4EBFC" w14:textId="40F5D082" w:rsidR="00120850" w:rsidRPr="0063123A" w:rsidRDefault="008A2492" w:rsidP="00120850">
      <w:pPr>
        <w:spacing w:line="360" w:lineRule="auto"/>
        <w:ind w:firstLine="567"/>
        <w:jc w:val="both"/>
        <w:rPr>
          <w:rFonts w:ascii="Times New Roman" w:eastAsia="Times New Roman" w:hAnsi="Times New Roman" w:cs="Times New Roman"/>
          <w:color w:val="000000"/>
          <w:lang w:val="de-DE"/>
        </w:rPr>
      </w:pPr>
      <w:r w:rsidRPr="00A96F49">
        <w:rPr>
          <w:rFonts w:ascii="Times New Roman" w:eastAsia="Times New Roman" w:hAnsi="Times New Roman" w:cs="Times New Roman"/>
          <w:color w:val="000000"/>
        </w:rPr>
        <w:t xml:space="preserve">Appurate le criticità </w:t>
      </w:r>
      <w:r w:rsidR="00BF7BC7" w:rsidRPr="00A96F49">
        <w:rPr>
          <w:rFonts w:ascii="Times New Roman" w:eastAsia="Times New Roman" w:hAnsi="Times New Roman" w:cs="Times New Roman"/>
          <w:color w:val="000000"/>
        </w:rPr>
        <w:t>insite n</w:t>
      </w:r>
      <w:r w:rsidRPr="00A96F49">
        <w:rPr>
          <w:rFonts w:ascii="Times New Roman" w:eastAsia="Times New Roman" w:hAnsi="Times New Roman" w:cs="Times New Roman"/>
          <w:color w:val="000000"/>
        </w:rPr>
        <w:t>ella</w:t>
      </w:r>
      <w:r w:rsidR="004F4EDA" w:rsidRPr="00A96F49">
        <w:rPr>
          <w:rFonts w:ascii="Times New Roman" w:eastAsia="Times New Roman" w:hAnsi="Times New Roman" w:cs="Times New Roman"/>
          <w:color w:val="000000"/>
        </w:rPr>
        <w:t xml:space="preserve"> proposta di Kant</w:t>
      </w:r>
      <w:r w:rsidRPr="00A96F49">
        <w:rPr>
          <w:rFonts w:ascii="Times New Roman" w:eastAsia="Times New Roman" w:hAnsi="Times New Roman" w:cs="Times New Roman"/>
          <w:color w:val="000000"/>
        </w:rPr>
        <w:t>, non r</w:t>
      </w:r>
      <w:r w:rsidR="00A2723D" w:rsidRPr="00A96F49">
        <w:rPr>
          <w:rFonts w:ascii="Times New Roman" w:eastAsia="Times New Roman" w:hAnsi="Times New Roman" w:cs="Times New Roman"/>
          <w:color w:val="000000"/>
        </w:rPr>
        <w:t>esta che</w:t>
      </w:r>
      <w:r w:rsidR="00F130D4" w:rsidRPr="00A96F49">
        <w:rPr>
          <w:rFonts w:ascii="Times New Roman" w:eastAsia="Times New Roman" w:hAnsi="Times New Roman" w:cs="Times New Roman"/>
          <w:color w:val="000000"/>
        </w:rPr>
        <w:t xml:space="preserve"> chiedersi quale </w:t>
      </w:r>
      <w:r w:rsidRPr="00A96F49">
        <w:rPr>
          <w:rFonts w:ascii="Times New Roman" w:eastAsia="Times New Roman" w:hAnsi="Times New Roman" w:cs="Times New Roman"/>
          <w:color w:val="000000"/>
        </w:rPr>
        <w:t xml:space="preserve">riferimento teorico </w:t>
      </w:r>
      <w:r w:rsidR="006C0DF0" w:rsidRPr="00A96F49">
        <w:rPr>
          <w:rFonts w:ascii="Times New Roman" w:eastAsia="Times New Roman" w:hAnsi="Times New Roman" w:cs="Times New Roman"/>
          <w:color w:val="000000"/>
        </w:rPr>
        <w:t>sia adottato da Hegel</w:t>
      </w:r>
      <w:r w:rsidR="00A2723D" w:rsidRPr="00A96F49">
        <w:rPr>
          <w:rFonts w:ascii="Times New Roman" w:eastAsia="Times New Roman" w:hAnsi="Times New Roman" w:cs="Times New Roman"/>
          <w:color w:val="000000"/>
        </w:rPr>
        <w:t xml:space="preserve"> </w:t>
      </w:r>
      <w:r w:rsidR="00B41870" w:rsidRPr="00A96F49">
        <w:rPr>
          <w:rFonts w:ascii="Times New Roman" w:eastAsia="Times New Roman" w:hAnsi="Times New Roman" w:cs="Times New Roman"/>
          <w:color w:val="000000"/>
        </w:rPr>
        <w:t>al fine di</w:t>
      </w:r>
      <w:r w:rsidRPr="00A96F49">
        <w:rPr>
          <w:rFonts w:ascii="Times New Roman" w:eastAsia="Times New Roman" w:hAnsi="Times New Roman" w:cs="Times New Roman"/>
          <w:color w:val="000000"/>
        </w:rPr>
        <w:t xml:space="preserve"> </w:t>
      </w:r>
      <w:r w:rsidR="00F130D4" w:rsidRPr="00A96F49">
        <w:rPr>
          <w:rFonts w:ascii="Times New Roman" w:eastAsia="Times New Roman" w:hAnsi="Times New Roman" w:cs="Times New Roman"/>
          <w:color w:val="000000"/>
        </w:rPr>
        <w:t xml:space="preserve">superare </w:t>
      </w:r>
      <w:r w:rsidRPr="00A96F49">
        <w:rPr>
          <w:rFonts w:ascii="Times New Roman" w:eastAsia="Times New Roman" w:hAnsi="Times New Roman" w:cs="Times New Roman"/>
          <w:color w:val="000000"/>
        </w:rPr>
        <w:t>l</w:t>
      </w:r>
      <w:r w:rsidR="00437D18" w:rsidRPr="00A96F49">
        <w:rPr>
          <w:rFonts w:ascii="Times New Roman" w:eastAsia="Times New Roman" w:hAnsi="Times New Roman" w:cs="Times New Roman"/>
          <w:color w:val="000000"/>
        </w:rPr>
        <w:t>’indeterminatezza</w:t>
      </w:r>
      <w:r w:rsidR="00BF7BC7" w:rsidRPr="00A96F49">
        <w:rPr>
          <w:rFonts w:ascii="Times New Roman" w:eastAsia="Times New Roman" w:hAnsi="Times New Roman" w:cs="Times New Roman"/>
          <w:color w:val="000000"/>
        </w:rPr>
        <w:t xml:space="preserve"> d</w:t>
      </w:r>
      <w:r w:rsidR="00437D18" w:rsidRPr="00A96F49">
        <w:rPr>
          <w:rFonts w:ascii="Times New Roman" w:eastAsia="Times New Roman" w:hAnsi="Times New Roman" w:cs="Times New Roman"/>
          <w:color w:val="000000"/>
        </w:rPr>
        <w:t>ell’</w:t>
      </w:r>
      <w:r w:rsidRPr="00A96F49">
        <w:rPr>
          <w:rFonts w:ascii="Times New Roman" w:eastAsia="Times New Roman" w:hAnsi="Times New Roman" w:cs="Times New Roman"/>
          <w:color w:val="000000"/>
        </w:rPr>
        <w:t>essenza suprema</w:t>
      </w:r>
      <w:r w:rsidR="00C27678" w:rsidRPr="00A96F49">
        <w:rPr>
          <w:rFonts w:ascii="Times New Roman" w:eastAsia="Times New Roman" w:hAnsi="Times New Roman" w:cs="Times New Roman"/>
          <w:color w:val="000000"/>
        </w:rPr>
        <w:t xml:space="preserve">. </w:t>
      </w:r>
      <w:r w:rsidRPr="00A96F49">
        <w:rPr>
          <w:rFonts w:ascii="Times New Roman" w:eastAsia="Times New Roman" w:hAnsi="Times New Roman" w:cs="Times New Roman"/>
          <w:color w:val="000000"/>
        </w:rPr>
        <w:t xml:space="preserve">Vista la </w:t>
      </w:r>
      <w:r w:rsidR="006C0DF0" w:rsidRPr="00A96F49">
        <w:rPr>
          <w:rFonts w:ascii="Times New Roman" w:eastAsia="Times New Roman" w:hAnsi="Times New Roman" w:cs="Times New Roman"/>
          <w:color w:val="000000"/>
        </w:rPr>
        <w:t xml:space="preserve">prossimità </w:t>
      </w:r>
      <w:r w:rsidR="00EB14BA" w:rsidRPr="00A96F49">
        <w:rPr>
          <w:rFonts w:ascii="Times New Roman" w:eastAsia="Times New Roman" w:hAnsi="Times New Roman" w:cs="Times New Roman"/>
          <w:color w:val="000000"/>
        </w:rPr>
        <w:t>cronologica</w:t>
      </w:r>
      <w:r w:rsidR="00026D08" w:rsidRPr="00A96F49">
        <w:rPr>
          <w:rFonts w:ascii="Times New Roman" w:eastAsia="Times New Roman" w:hAnsi="Times New Roman" w:cs="Times New Roman"/>
          <w:color w:val="000000"/>
        </w:rPr>
        <w:t xml:space="preserve"> </w:t>
      </w:r>
      <w:r w:rsidR="004C1330" w:rsidRPr="00A96F49">
        <w:rPr>
          <w:rFonts w:ascii="Times New Roman" w:eastAsia="Times New Roman" w:hAnsi="Times New Roman" w:cs="Times New Roman"/>
          <w:color w:val="000000"/>
        </w:rPr>
        <w:t>e tema</w:t>
      </w:r>
      <w:r w:rsidR="0063123A" w:rsidRPr="00A96F49">
        <w:rPr>
          <w:rFonts w:ascii="Times New Roman" w:eastAsia="Times New Roman" w:hAnsi="Times New Roman" w:cs="Times New Roman"/>
          <w:color w:val="000000"/>
        </w:rPr>
        <w:t xml:space="preserve">tica </w:t>
      </w:r>
      <w:r w:rsidRPr="00A96F49">
        <w:rPr>
          <w:rFonts w:ascii="Times New Roman" w:eastAsia="Times New Roman" w:hAnsi="Times New Roman" w:cs="Times New Roman"/>
          <w:color w:val="000000"/>
        </w:rPr>
        <w:t xml:space="preserve">della </w:t>
      </w:r>
      <w:r w:rsidR="00026D08" w:rsidRPr="00A96F49">
        <w:rPr>
          <w:rFonts w:ascii="Times New Roman" w:eastAsia="Times New Roman" w:hAnsi="Times New Roman" w:cs="Times New Roman"/>
          <w:color w:val="000000"/>
        </w:rPr>
        <w:t>sezione dell’</w:t>
      </w:r>
      <w:r w:rsidR="00026D08" w:rsidRPr="00A96F49">
        <w:rPr>
          <w:rFonts w:ascii="Times New Roman" w:eastAsia="Times New Roman" w:hAnsi="Times New Roman" w:cs="Times New Roman"/>
          <w:i/>
          <w:color w:val="000000"/>
          <w:lang w:val="de-DE"/>
        </w:rPr>
        <w:t>Höchstes Wesen</w:t>
      </w:r>
      <w:r w:rsidR="00026D08" w:rsidRPr="00A96F49">
        <w:rPr>
          <w:rFonts w:ascii="Times New Roman" w:eastAsia="Times New Roman" w:hAnsi="Times New Roman" w:cs="Times New Roman"/>
          <w:color w:val="000000"/>
        </w:rPr>
        <w:t xml:space="preserve"> </w:t>
      </w:r>
      <w:r w:rsidR="0063123A" w:rsidRPr="00A96F49">
        <w:rPr>
          <w:rFonts w:ascii="Times New Roman" w:eastAsia="Times New Roman" w:hAnsi="Times New Roman" w:cs="Times New Roman"/>
          <w:color w:val="000000"/>
        </w:rPr>
        <w:t>e de</w:t>
      </w:r>
      <w:r w:rsidR="006C0DF0" w:rsidRPr="00A96F49">
        <w:rPr>
          <w:rFonts w:ascii="Times New Roman" w:eastAsia="Times New Roman" w:hAnsi="Times New Roman" w:cs="Times New Roman"/>
          <w:color w:val="000000"/>
        </w:rPr>
        <w:t>l</w:t>
      </w:r>
      <w:r w:rsidRPr="00A96F49">
        <w:rPr>
          <w:rFonts w:ascii="Times New Roman" w:eastAsia="Times New Roman" w:hAnsi="Times New Roman" w:cs="Times New Roman"/>
          <w:color w:val="000000"/>
        </w:rPr>
        <w:t xml:space="preserve"> </w:t>
      </w:r>
      <w:r w:rsidRPr="00A96F49">
        <w:rPr>
          <w:rFonts w:ascii="Times New Roman" w:eastAsia="Times New Roman" w:hAnsi="Times New Roman" w:cs="Times New Roman"/>
          <w:i/>
          <w:color w:val="000000"/>
          <w:lang w:val="de-DE"/>
        </w:rPr>
        <w:t>Fragment 49</w:t>
      </w:r>
      <w:r w:rsidRPr="00A96F49">
        <w:rPr>
          <w:rFonts w:ascii="Times New Roman" w:eastAsia="Times New Roman" w:hAnsi="Times New Roman" w:cs="Times New Roman"/>
          <w:color w:val="000000"/>
        </w:rPr>
        <w:t xml:space="preserve">, </w:t>
      </w:r>
      <w:r w:rsidR="0063123A" w:rsidRPr="00A96F49">
        <w:rPr>
          <w:rFonts w:ascii="Times New Roman" w:eastAsia="Times New Roman" w:hAnsi="Times New Roman" w:cs="Times New Roman"/>
          <w:color w:val="000000"/>
        </w:rPr>
        <w:t>che s’interrogano su</w:t>
      </w:r>
      <w:r w:rsidR="0063123A" w:rsidRPr="00A96F49">
        <w:rPr>
          <w:rFonts w:ascii="Times New Roman" w:eastAsia="Times New Roman" w:hAnsi="Times New Roman" w:cs="Times New Roman"/>
          <w:color w:val="000000"/>
          <w:lang w:val="de-DE"/>
        </w:rPr>
        <w:t>lla funzione svolta dall’essere per sè nello sviluppo circolare (</w:t>
      </w:r>
      <w:r w:rsidR="0063123A" w:rsidRPr="00A96F49">
        <w:rPr>
          <w:rFonts w:ascii="Times New Roman" w:eastAsia="Times New Roman" w:hAnsi="Times New Roman" w:cs="Times New Roman"/>
          <w:i/>
          <w:color w:val="000000"/>
          <w:lang w:val="de-DE"/>
        </w:rPr>
        <w:t>Kreislauf</w:t>
      </w:r>
      <w:r w:rsidR="0063123A" w:rsidRPr="00A96F49">
        <w:rPr>
          <w:rFonts w:ascii="Times New Roman" w:eastAsia="Times New Roman" w:hAnsi="Times New Roman" w:cs="Times New Roman"/>
          <w:color w:val="000000"/>
          <w:lang w:val="de-DE"/>
        </w:rPr>
        <w:t xml:space="preserve">) dell’Assoluto, </w:t>
      </w:r>
      <w:r w:rsidRPr="00A96F49">
        <w:rPr>
          <w:rFonts w:ascii="Times New Roman" w:eastAsia="Times New Roman" w:hAnsi="Times New Roman" w:cs="Times New Roman"/>
          <w:color w:val="000000"/>
        </w:rPr>
        <w:t xml:space="preserve">ritengo che Jakob </w:t>
      </w:r>
      <w:r w:rsidR="00725D70" w:rsidRPr="00A96F49">
        <w:rPr>
          <w:rFonts w:ascii="Times New Roman" w:eastAsia="Times New Roman" w:hAnsi="Times New Roman" w:cs="Times New Roman"/>
          <w:color w:val="000000"/>
        </w:rPr>
        <w:t>Böhme</w:t>
      </w:r>
      <w:r w:rsidR="002F5B3E" w:rsidRPr="00A96F49">
        <w:rPr>
          <w:rFonts w:ascii="Times New Roman" w:eastAsia="Times New Roman" w:hAnsi="Times New Roman" w:cs="Times New Roman"/>
          <w:color w:val="000000"/>
        </w:rPr>
        <w:t xml:space="preserve"> </w:t>
      </w:r>
      <w:r w:rsidR="00310D55" w:rsidRPr="00A96F49">
        <w:rPr>
          <w:rFonts w:ascii="Times New Roman" w:eastAsia="Times New Roman" w:hAnsi="Times New Roman" w:cs="Times New Roman"/>
          <w:color w:val="000000"/>
        </w:rPr>
        <w:t>s</w:t>
      </w:r>
      <w:r w:rsidR="00F130D4" w:rsidRPr="00A96F49">
        <w:rPr>
          <w:rFonts w:ascii="Times New Roman" w:eastAsia="Times New Roman" w:hAnsi="Times New Roman" w:cs="Times New Roman"/>
          <w:color w:val="000000"/>
        </w:rPr>
        <w:t>i</w:t>
      </w:r>
      <w:r w:rsidR="00310D55" w:rsidRPr="00A96F49">
        <w:rPr>
          <w:rFonts w:ascii="Times New Roman" w:eastAsia="Times New Roman" w:hAnsi="Times New Roman" w:cs="Times New Roman"/>
          <w:color w:val="000000"/>
        </w:rPr>
        <w:t xml:space="preserve">a </w:t>
      </w:r>
      <w:r w:rsidR="00F24635" w:rsidRPr="00A96F49">
        <w:rPr>
          <w:rFonts w:ascii="Times New Roman" w:eastAsia="Times New Roman" w:hAnsi="Times New Roman" w:cs="Times New Roman"/>
          <w:color w:val="000000"/>
        </w:rPr>
        <w:t xml:space="preserve">l’interlocutore </w:t>
      </w:r>
      <w:r w:rsidR="00026D08" w:rsidRPr="00A96F49">
        <w:rPr>
          <w:rFonts w:ascii="Times New Roman" w:eastAsia="Times New Roman" w:hAnsi="Times New Roman" w:cs="Times New Roman"/>
          <w:color w:val="000000"/>
        </w:rPr>
        <w:t>di queste</w:t>
      </w:r>
      <w:r w:rsidR="00247A3B" w:rsidRPr="00A96F49">
        <w:rPr>
          <w:rFonts w:ascii="Times New Roman" w:eastAsia="Times New Roman" w:hAnsi="Times New Roman" w:cs="Times New Roman"/>
          <w:color w:val="000000"/>
        </w:rPr>
        <w:t xml:space="preserve"> pagine della</w:t>
      </w:r>
      <w:r w:rsidR="00310D55" w:rsidRPr="00A96F49">
        <w:rPr>
          <w:rFonts w:ascii="Times New Roman" w:eastAsia="Times New Roman" w:hAnsi="Times New Roman" w:cs="Times New Roman"/>
          <w:i/>
          <w:color w:val="000000"/>
        </w:rPr>
        <w:t xml:space="preserve"> </w:t>
      </w:r>
      <w:r w:rsidR="00310D55" w:rsidRPr="00A96F49">
        <w:rPr>
          <w:rFonts w:ascii="Times New Roman" w:eastAsia="Times New Roman" w:hAnsi="Times New Roman" w:cs="Times New Roman"/>
          <w:color w:val="000000"/>
        </w:rPr>
        <w:t>metafisica di Jena</w:t>
      </w:r>
      <w:r w:rsidR="00247A3B" w:rsidRPr="00A96F49">
        <w:rPr>
          <w:rFonts w:ascii="Times New Roman" w:eastAsia="Times New Roman" w:hAnsi="Times New Roman" w:cs="Times New Roman"/>
          <w:color w:val="000000"/>
          <w:lang w:val="de-DE"/>
        </w:rPr>
        <w:t>.</w:t>
      </w:r>
      <w:r w:rsidR="00A33910" w:rsidRPr="00A96F49">
        <w:rPr>
          <w:rFonts w:ascii="Times New Roman" w:eastAsia="Times New Roman" w:hAnsi="Times New Roman" w:cs="Times New Roman"/>
          <w:color w:val="000000"/>
          <w:lang w:val="de-DE"/>
        </w:rPr>
        <w:t xml:space="preserve"> </w:t>
      </w:r>
      <w:r w:rsidR="00B40DE7" w:rsidRPr="00A96F49">
        <w:rPr>
          <w:rFonts w:ascii="Times New Roman" w:eastAsia="Times New Roman" w:hAnsi="Times New Roman" w:cs="Times New Roman"/>
          <w:color w:val="000000"/>
          <w:lang w:val="de-DE"/>
        </w:rPr>
        <w:t xml:space="preserve">A </w:t>
      </w:r>
      <w:r w:rsidR="009812F8" w:rsidRPr="00A96F49">
        <w:rPr>
          <w:rFonts w:ascii="Times New Roman" w:eastAsia="Times New Roman" w:hAnsi="Times New Roman" w:cs="Times New Roman"/>
          <w:color w:val="000000"/>
          <w:lang w:val="de-DE"/>
        </w:rPr>
        <w:t>differenza del</w:t>
      </w:r>
      <w:r w:rsidR="009812F8" w:rsidRPr="00A96F49">
        <w:rPr>
          <w:rFonts w:ascii="Times New Roman" w:eastAsia="Times New Roman" w:hAnsi="Times New Roman" w:cs="Times New Roman"/>
          <w:i/>
          <w:color w:val="000000"/>
          <w:lang w:val="de-DE"/>
        </w:rPr>
        <w:t xml:space="preserve"> Fragment 49</w:t>
      </w:r>
      <w:r w:rsidR="008407F2" w:rsidRPr="00A96F49">
        <w:rPr>
          <w:rFonts w:ascii="Times New Roman" w:eastAsia="Times New Roman" w:hAnsi="Times New Roman" w:cs="Times New Roman"/>
          <w:color w:val="000000"/>
          <w:lang w:val="de-DE"/>
        </w:rPr>
        <w:t>,</w:t>
      </w:r>
      <w:r w:rsidR="0063123A" w:rsidRPr="00A96F49">
        <w:rPr>
          <w:rFonts w:ascii="Times New Roman" w:eastAsia="Times New Roman" w:hAnsi="Times New Roman" w:cs="Times New Roman"/>
          <w:color w:val="000000"/>
          <w:lang w:val="de-DE"/>
        </w:rPr>
        <w:t xml:space="preserve"> </w:t>
      </w:r>
      <w:r w:rsidR="00B40DE7" w:rsidRPr="00A96F49">
        <w:rPr>
          <w:rFonts w:ascii="Times New Roman" w:eastAsia="Times New Roman" w:hAnsi="Times New Roman" w:cs="Times New Roman"/>
          <w:color w:val="000000"/>
          <w:lang w:val="de-DE"/>
        </w:rPr>
        <w:t>e questa non è una precisazione di poco conto,</w:t>
      </w:r>
      <w:r w:rsidR="00B40DE7" w:rsidRPr="004F43D6">
        <w:rPr>
          <w:rFonts w:ascii="Times New Roman" w:eastAsia="Times New Roman" w:hAnsi="Times New Roman" w:cs="Times New Roman"/>
          <w:color w:val="000000"/>
          <w:lang w:val="de-DE"/>
        </w:rPr>
        <w:t xml:space="preserve"> </w:t>
      </w:r>
      <w:r w:rsidR="00195E5B" w:rsidRPr="004F43D6">
        <w:rPr>
          <w:rFonts w:ascii="Times New Roman" w:eastAsia="Times New Roman" w:hAnsi="Times New Roman" w:cs="Times New Roman"/>
          <w:color w:val="000000"/>
          <w:lang w:val="de-DE"/>
        </w:rPr>
        <w:t xml:space="preserve">Hegel </w:t>
      </w:r>
      <w:r w:rsidR="00B40DE7" w:rsidRPr="004F43D6">
        <w:rPr>
          <w:rFonts w:ascii="Times New Roman" w:eastAsia="Times New Roman" w:hAnsi="Times New Roman" w:cs="Times New Roman"/>
          <w:color w:val="000000"/>
          <w:lang w:val="de-DE"/>
        </w:rPr>
        <w:t>rimanda la discussione</w:t>
      </w:r>
      <w:r w:rsidR="00C07A3D" w:rsidRPr="004F43D6">
        <w:rPr>
          <w:rFonts w:ascii="Times New Roman" w:eastAsia="Times New Roman" w:hAnsi="Times New Roman" w:cs="Times New Roman"/>
          <w:color w:val="000000"/>
          <w:lang w:val="de-DE"/>
        </w:rPr>
        <w:t xml:space="preserve"> </w:t>
      </w:r>
      <w:r w:rsidR="00B40DE7" w:rsidRPr="004F43D6">
        <w:rPr>
          <w:rFonts w:ascii="Times New Roman" w:eastAsia="Times New Roman" w:hAnsi="Times New Roman" w:cs="Times New Roman"/>
          <w:color w:val="000000"/>
          <w:lang w:val="de-DE"/>
        </w:rPr>
        <w:t>del</w:t>
      </w:r>
      <w:r w:rsidR="00883E92" w:rsidRPr="004F43D6">
        <w:rPr>
          <w:rFonts w:ascii="Times New Roman" w:eastAsia="Times New Roman" w:hAnsi="Times New Roman" w:cs="Times New Roman"/>
          <w:color w:val="000000"/>
          <w:lang w:val="de-DE"/>
        </w:rPr>
        <w:t>l</w:t>
      </w:r>
      <w:r w:rsidR="00B40DE7" w:rsidRPr="004F43D6">
        <w:rPr>
          <w:rFonts w:ascii="Times New Roman" w:eastAsia="Times New Roman" w:hAnsi="Times New Roman" w:cs="Times New Roman"/>
          <w:color w:val="000000"/>
          <w:lang w:val="de-DE"/>
        </w:rPr>
        <w:t>’</w:t>
      </w:r>
      <w:r w:rsidR="00B40DE7" w:rsidRPr="004F43D6">
        <w:rPr>
          <w:rFonts w:ascii="Times New Roman" w:eastAsia="Times New Roman" w:hAnsi="Times New Roman" w:cs="Times New Roman"/>
          <w:i/>
          <w:color w:val="000000"/>
          <w:lang w:val="de-DE"/>
        </w:rPr>
        <w:t>Abfall</w:t>
      </w:r>
      <w:r w:rsidR="00B40DE7" w:rsidRPr="004F43D6">
        <w:rPr>
          <w:rFonts w:ascii="Times New Roman" w:eastAsia="Times New Roman" w:hAnsi="Times New Roman" w:cs="Times New Roman"/>
          <w:color w:val="000000"/>
          <w:lang w:val="de-DE"/>
        </w:rPr>
        <w:t xml:space="preserve"> – </w:t>
      </w:r>
      <w:r w:rsidR="0063123A" w:rsidRPr="004F43D6">
        <w:rPr>
          <w:rFonts w:ascii="Times New Roman" w:eastAsia="Times New Roman" w:hAnsi="Times New Roman" w:cs="Times New Roman"/>
          <w:color w:val="000000"/>
          <w:lang w:val="de-DE"/>
        </w:rPr>
        <w:t>centr</w:t>
      </w:r>
      <w:r w:rsidR="00B40DE7" w:rsidRPr="004F43D6">
        <w:rPr>
          <w:rFonts w:ascii="Times New Roman" w:eastAsia="Times New Roman" w:hAnsi="Times New Roman" w:cs="Times New Roman"/>
          <w:color w:val="000000"/>
          <w:lang w:val="de-DE"/>
        </w:rPr>
        <w:t>ale nell’economia del frammento – a</w:t>
      </w:r>
      <w:r w:rsidR="009812F8" w:rsidRPr="004F43D6">
        <w:rPr>
          <w:rFonts w:ascii="Times New Roman" w:eastAsia="Times New Roman" w:hAnsi="Times New Roman" w:cs="Times New Roman"/>
          <w:color w:val="000000"/>
          <w:lang w:val="de-DE"/>
        </w:rPr>
        <w:t xml:space="preserve">lla </w:t>
      </w:r>
      <w:r w:rsidR="009812F8" w:rsidRPr="004F43D6">
        <w:rPr>
          <w:rFonts w:ascii="Times New Roman" w:eastAsia="Times New Roman" w:hAnsi="Times New Roman" w:cs="Times New Roman"/>
          <w:i/>
          <w:color w:val="000000"/>
          <w:lang w:val="de-DE"/>
        </w:rPr>
        <w:t>Metaphysik der Subjectivität</w:t>
      </w:r>
      <w:r w:rsidR="00D907AE" w:rsidRPr="004F43D6">
        <w:rPr>
          <w:rFonts w:ascii="Times New Roman" w:eastAsia="Times New Roman" w:hAnsi="Times New Roman" w:cs="Times New Roman"/>
          <w:color w:val="000000"/>
          <w:lang w:val="de-DE"/>
        </w:rPr>
        <w:t xml:space="preserve">: </w:t>
      </w:r>
      <w:r w:rsidR="00537949" w:rsidRPr="004F43D6">
        <w:rPr>
          <w:rFonts w:ascii="Times New Roman" w:eastAsia="Times New Roman" w:hAnsi="Times New Roman" w:cs="Times New Roman"/>
          <w:color w:val="000000"/>
          <w:lang w:val="de-DE"/>
        </w:rPr>
        <w:t>l’</w:t>
      </w:r>
      <w:r w:rsidR="00537949" w:rsidRPr="004F43D6">
        <w:rPr>
          <w:rFonts w:ascii="Times New Roman" w:eastAsia="Times New Roman" w:hAnsi="Times New Roman" w:cs="Times New Roman"/>
          <w:i/>
          <w:color w:val="000000"/>
          <w:lang w:val="de-DE"/>
        </w:rPr>
        <w:t>Höchstes Wesen</w:t>
      </w:r>
      <w:r w:rsidR="00CA210A" w:rsidRPr="004F43D6">
        <w:rPr>
          <w:rFonts w:ascii="Times New Roman" w:eastAsia="Times New Roman" w:hAnsi="Times New Roman" w:cs="Times New Roman"/>
          <w:color w:val="000000"/>
          <w:lang w:val="de-DE"/>
        </w:rPr>
        <w:t xml:space="preserve">, a ben vedere, </w:t>
      </w:r>
      <w:r w:rsidR="00537949" w:rsidRPr="004F43D6">
        <w:rPr>
          <w:rFonts w:ascii="Times New Roman" w:eastAsia="Times New Roman" w:hAnsi="Times New Roman" w:cs="Times New Roman"/>
          <w:color w:val="000000"/>
          <w:lang w:val="de-DE"/>
        </w:rPr>
        <w:t xml:space="preserve">costituisce un momento di raccordo della </w:t>
      </w:r>
      <w:r w:rsidR="00537949" w:rsidRPr="004F43D6">
        <w:rPr>
          <w:rFonts w:ascii="Times New Roman" w:eastAsia="Times New Roman" w:hAnsi="Times New Roman" w:cs="Times New Roman"/>
          <w:i/>
          <w:color w:val="000000"/>
          <w:lang w:val="de-DE"/>
        </w:rPr>
        <w:t>Metaphysik</w:t>
      </w:r>
      <w:r w:rsidR="009812F8" w:rsidRPr="004F43D6">
        <w:rPr>
          <w:rFonts w:ascii="Times New Roman" w:eastAsia="Times New Roman" w:hAnsi="Times New Roman" w:cs="Times New Roman"/>
          <w:i/>
          <w:color w:val="000000"/>
          <w:lang w:val="de-DE"/>
        </w:rPr>
        <w:t xml:space="preserve"> der Objectivität</w:t>
      </w:r>
      <w:r w:rsidR="00537949" w:rsidRPr="004F43D6">
        <w:rPr>
          <w:rFonts w:ascii="Times New Roman" w:eastAsia="Times New Roman" w:hAnsi="Times New Roman" w:cs="Times New Roman"/>
          <w:i/>
          <w:color w:val="000000"/>
          <w:lang w:val="de-DE"/>
        </w:rPr>
        <w:t xml:space="preserve"> </w:t>
      </w:r>
      <w:r w:rsidR="00537949" w:rsidRPr="004F43D6">
        <w:rPr>
          <w:rFonts w:ascii="Times New Roman" w:eastAsia="Times New Roman" w:hAnsi="Times New Roman" w:cs="Times New Roman"/>
          <w:color w:val="000000"/>
          <w:lang w:val="de-DE"/>
        </w:rPr>
        <w:t>e la base teorica su cui sarà</w:t>
      </w:r>
      <w:r w:rsidR="00576BCE" w:rsidRPr="004F43D6">
        <w:rPr>
          <w:rFonts w:ascii="Times New Roman" w:eastAsia="Times New Roman" w:hAnsi="Times New Roman" w:cs="Times New Roman"/>
          <w:color w:val="000000"/>
          <w:lang w:val="de-DE"/>
        </w:rPr>
        <w:t xml:space="preserve"> pensata</w:t>
      </w:r>
      <w:r w:rsidR="00537949" w:rsidRPr="004F43D6">
        <w:rPr>
          <w:rFonts w:ascii="Times New Roman" w:eastAsia="Times New Roman" w:hAnsi="Times New Roman" w:cs="Times New Roman"/>
          <w:color w:val="000000"/>
          <w:lang w:val="de-DE"/>
        </w:rPr>
        <w:t>, nell’</w:t>
      </w:r>
      <w:r w:rsidR="00537949" w:rsidRPr="004F43D6">
        <w:rPr>
          <w:rFonts w:ascii="Times New Roman" w:eastAsia="Times New Roman" w:hAnsi="Times New Roman" w:cs="Times New Roman"/>
          <w:i/>
          <w:color w:val="000000"/>
          <w:lang w:val="de-DE"/>
        </w:rPr>
        <w:t>absoluter Geist</w:t>
      </w:r>
      <w:r w:rsidR="00537949" w:rsidRPr="004F43D6">
        <w:rPr>
          <w:rFonts w:ascii="Times New Roman" w:eastAsia="Times New Roman" w:hAnsi="Times New Roman" w:cs="Times New Roman"/>
          <w:color w:val="000000"/>
          <w:lang w:val="de-DE"/>
        </w:rPr>
        <w:t>, «die Idee des höchsten Wesens</w:t>
      </w:r>
      <w:r w:rsidR="00576BCE" w:rsidRPr="004F43D6">
        <w:rPr>
          <w:rFonts w:ascii="Times New Roman" w:eastAsia="Times New Roman" w:hAnsi="Times New Roman" w:cs="Times New Roman"/>
          <w:color w:val="000000"/>
        </w:rPr>
        <w:t>»</w:t>
      </w:r>
      <w:r w:rsidR="00537949" w:rsidRPr="004F43D6">
        <w:rPr>
          <w:rStyle w:val="Rimandonotaapidipagina"/>
          <w:rFonts w:ascii="Times New Roman" w:eastAsia="Times New Roman" w:hAnsi="Times New Roman" w:cs="Times New Roman"/>
          <w:color w:val="000000"/>
          <w:lang w:val="de-DE"/>
        </w:rPr>
        <w:footnoteReference w:id="204"/>
      </w:r>
      <w:r w:rsidR="00195E5B" w:rsidRPr="004F43D6">
        <w:rPr>
          <w:rFonts w:ascii="Times New Roman" w:eastAsia="Times New Roman" w:hAnsi="Times New Roman" w:cs="Times New Roman"/>
          <w:color w:val="000000"/>
        </w:rPr>
        <w:t>. Sarà</w:t>
      </w:r>
      <w:r w:rsidR="00C27678" w:rsidRPr="004F43D6">
        <w:rPr>
          <w:rFonts w:ascii="Times New Roman" w:eastAsia="Times New Roman" w:hAnsi="Times New Roman" w:cs="Times New Roman"/>
          <w:color w:val="000000"/>
        </w:rPr>
        <w:t xml:space="preserve"> nella metafisica della soggettività</w:t>
      </w:r>
      <w:r w:rsidR="00120850" w:rsidRPr="004F43D6">
        <w:rPr>
          <w:rFonts w:ascii="Times New Roman" w:eastAsia="Times New Roman" w:hAnsi="Times New Roman" w:cs="Times New Roman"/>
          <w:color w:val="000000"/>
        </w:rPr>
        <w:t xml:space="preserve">, non prima, </w:t>
      </w:r>
      <w:r w:rsidR="00F13735" w:rsidRPr="004F43D6">
        <w:rPr>
          <w:rFonts w:ascii="Times New Roman" w:eastAsia="Times New Roman" w:hAnsi="Times New Roman" w:cs="Times New Roman"/>
          <w:color w:val="000000"/>
        </w:rPr>
        <w:t>che la caduta, assieme alle dense stratificazioni di significato (b</w:t>
      </w:r>
      <w:r w:rsidR="00F13735" w:rsidRPr="004F43D6">
        <w:rPr>
          <w:rFonts w:ascii="Times New Roman" w:eastAsia="Times New Roman" w:hAnsi="Times New Roman" w:cs="Times New Roman"/>
          <w:color w:val="000000"/>
          <w:lang w:val="de-DE"/>
        </w:rPr>
        <w:t>öhmiane</w:t>
      </w:r>
      <w:r w:rsidR="00F13735" w:rsidRPr="004F43D6">
        <w:rPr>
          <w:rFonts w:ascii="Times New Roman" w:eastAsia="Times New Roman" w:hAnsi="Times New Roman" w:cs="Times New Roman"/>
          <w:color w:val="000000"/>
        </w:rPr>
        <w:t>, kantiane, platoniche e schellinghiane)</w:t>
      </w:r>
      <w:r w:rsidR="00883E92" w:rsidRPr="004F43D6">
        <w:rPr>
          <w:rFonts w:ascii="Times New Roman" w:eastAsia="Times New Roman" w:hAnsi="Times New Roman" w:cs="Times New Roman"/>
          <w:color w:val="000000"/>
        </w:rPr>
        <w:t xml:space="preserve"> su di essa depositate</w:t>
      </w:r>
      <w:r w:rsidR="00120850" w:rsidRPr="004F43D6">
        <w:rPr>
          <w:rFonts w:ascii="Times New Roman" w:eastAsia="Times New Roman" w:hAnsi="Times New Roman" w:cs="Times New Roman"/>
          <w:color w:val="000000"/>
        </w:rPr>
        <w:t xml:space="preserve">, esprimerà la negazione dell’uguale a sé (il positivo) e </w:t>
      </w:r>
      <w:r w:rsidR="009A4776" w:rsidRPr="004F43D6">
        <w:rPr>
          <w:rFonts w:ascii="Times New Roman" w:eastAsia="Times New Roman" w:hAnsi="Times New Roman" w:cs="Times New Roman"/>
          <w:color w:val="000000"/>
        </w:rPr>
        <w:t xml:space="preserve">la radice </w:t>
      </w:r>
      <w:r w:rsidR="004F43D6" w:rsidRPr="004F43D6">
        <w:rPr>
          <w:rFonts w:ascii="Times New Roman" w:eastAsia="Times New Roman" w:hAnsi="Times New Roman" w:cs="Times New Roman"/>
          <w:color w:val="000000"/>
        </w:rPr>
        <w:t xml:space="preserve">negativa </w:t>
      </w:r>
      <w:r w:rsidR="00924F7A" w:rsidRPr="004F43D6">
        <w:rPr>
          <w:rFonts w:ascii="Times New Roman" w:eastAsia="Times New Roman" w:hAnsi="Times New Roman" w:cs="Times New Roman"/>
          <w:color w:val="000000"/>
        </w:rPr>
        <w:t>della pr</w:t>
      </w:r>
      <w:r w:rsidR="007D677E" w:rsidRPr="004F43D6">
        <w:rPr>
          <w:rFonts w:ascii="Times New Roman" w:eastAsia="Times New Roman" w:hAnsi="Times New Roman" w:cs="Times New Roman"/>
          <w:color w:val="000000"/>
        </w:rPr>
        <w:t>o</w:t>
      </w:r>
      <w:r w:rsidR="00924F7A" w:rsidRPr="004F43D6">
        <w:rPr>
          <w:rFonts w:ascii="Times New Roman" w:eastAsia="Times New Roman" w:hAnsi="Times New Roman" w:cs="Times New Roman"/>
          <w:color w:val="000000"/>
        </w:rPr>
        <w:t>cessualità</w:t>
      </w:r>
      <w:r w:rsidR="00B226B1" w:rsidRPr="004F43D6">
        <w:rPr>
          <w:rFonts w:ascii="Times New Roman" w:eastAsia="Times New Roman" w:hAnsi="Times New Roman" w:cs="Times New Roman"/>
          <w:color w:val="000000"/>
        </w:rPr>
        <w:t xml:space="preserve"> </w:t>
      </w:r>
      <w:r w:rsidR="00120850" w:rsidRPr="004F43D6">
        <w:rPr>
          <w:rFonts w:ascii="Times New Roman" w:eastAsia="Times New Roman" w:hAnsi="Times New Roman" w:cs="Times New Roman"/>
          <w:color w:val="000000"/>
        </w:rPr>
        <w:t xml:space="preserve">circolare </w:t>
      </w:r>
      <w:r w:rsidR="00A33910" w:rsidRPr="004F43D6">
        <w:rPr>
          <w:rFonts w:ascii="Times New Roman" w:eastAsia="Times New Roman" w:hAnsi="Times New Roman" w:cs="Times New Roman"/>
          <w:color w:val="000000"/>
        </w:rPr>
        <w:t>«</w:t>
      </w:r>
      <w:r w:rsidR="00924F7A" w:rsidRPr="004F43D6">
        <w:rPr>
          <w:rFonts w:ascii="Times New Roman" w:eastAsia="Times New Roman" w:hAnsi="Times New Roman" w:cs="Times New Roman"/>
          <w:color w:val="000000"/>
        </w:rPr>
        <w:t>daß der Geist ist</w:t>
      </w:r>
      <w:r w:rsidR="00A33910" w:rsidRPr="004F43D6">
        <w:rPr>
          <w:rFonts w:ascii="Times New Roman" w:eastAsia="Times New Roman" w:hAnsi="Times New Roman" w:cs="Times New Roman"/>
          <w:color w:val="000000"/>
        </w:rPr>
        <w:t>»</w:t>
      </w:r>
      <w:r w:rsidRPr="004F43D6">
        <w:rPr>
          <w:rStyle w:val="Rimandonotaapidipagina"/>
          <w:rFonts w:ascii="Times New Roman" w:eastAsia="Times New Roman" w:hAnsi="Times New Roman" w:cs="Times New Roman"/>
          <w:color w:val="000000"/>
          <w:lang w:val="de-DE"/>
        </w:rPr>
        <w:footnoteReference w:id="205"/>
      </w:r>
      <w:r w:rsidRPr="004F43D6">
        <w:rPr>
          <w:rFonts w:ascii="Times New Roman" w:eastAsia="Times New Roman" w:hAnsi="Times New Roman" w:cs="Times New Roman"/>
          <w:color w:val="000000"/>
          <w:lang w:val="de-DE"/>
        </w:rPr>
        <w:t>.</w:t>
      </w:r>
      <w:r w:rsidRPr="0063123A">
        <w:rPr>
          <w:rFonts w:ascii="Times New Roman" w:eastAsia="Times New Roman" w:hAnsi="Times New Roman" w:cs="Times New Roman"/>
          <w:color w:val="000000"/>
          <w:lang w:val="de-DE"/>
        </w:rPr>
        <w:t xml:space="preserve"> </w:t>
      </w:r>
      <w:r w:rsidR="00725D70" w:rsidRPr="0063123A">
        <w:rPr>
          <w:rFonts w:ascii="Times New Roman" w:eastAsia="Times New Roman" w:hAnsi="Times New Roman" w:cs="Times New Roman"/>
          <w:color w:val="000000"/>
          <w:lang w:val="de-DE"/>
        </w:rPr>
        <w:t xml:space="preserve"> </w:t>
      </w:r>
    </w:p>
    <w:p w14:paraId="69E1DDAF" w14:textId="3400857A" w:rsidR="00DA1E0B" w:rsidRDefault="00026D08" w:rsidP="00DA1E0B">
      <w:pPr>
        <w:spacing w:line="360" w:lineRule="auto"/>
        <w:ind w:firstLine="567"/>
        <w:jc w:val="both"/>
        <w:rPr>
          <w:rFonts w:ascii="Times New Roman" w:eastAsia="Times New Roman" w:hAnsi="Times New Roman" w:cs="Times New Roman"/>
          <w:color w:val="000000"/>
        </w:rPr>
      </w:pPr>
      <w:r w:rsidRPr="0063123A">
        <w:rPr>
          <w:rFonts w:ascii="Times New Roman" w:eastAsia="Times New Roman" w:hAnsi="Times New Roman" w:cs="Times New Roman"/>
          <w:color w:val="000000"/>
        </w:rPr>
        <w:t xml:space="preserve">Sul fatto </w:t>
      </w:r>
      <w:r w:rsidRPr="00A96F49">
        <w:rPr>
          <w:rFonts w:ascii="Times New Roman" w:eastAsia="Times New Roman" w:hAnsi="Times New Roman" w:cs="Times New Roman"/>
          <w:color w:val="000000"/>
        </w:rPr>
        <w:t>c</w:t>
      </w:r>
      <w:r w:rsidR="008A2492" w:rsidRPr="00A96F49">
        <w:rPr>
          <w:rFonts w:ascii="Times New Roman" w:eastAsia="Times New Roman" w:hAnsi="Times New Roman" w:cs="Times New Roman"/>
          <w:color w:val="000000"/>
        </w:rPr>
        <w:t>he</w:t>
      </w:r>
      <w:r w:rsidR="0035591F" w:rsidRPr="00A96F49">
        <w:rPr>
          <w:rFonts w:ascii="Times New Roman" w:eastAsia="Times New Roman" w:hAnsi="Times New Roman" w:cs="Times New Roman"/>
          <w:color w:val="000000"/>
        </w:rPr>
        <w:t xml:space="preserve"> Hegel</w:t>
      </w:r>
      <w:r w:rsidR="00237024" w:rsidRPr="00A96F49">
        <w:rPr>
          <w:rFonts w:ascii="Times New Roman" w:eastAsia="Times New Roman" w:hAnsi="Times New Roman" w:cs="Times New Roman"/>
          <w:color w:val="000000"/>
        </w:rPr>
        <w:t xml:space="preserve">, </w:t>
      </w:r>
      <w:r w:rsidR="009812F8" w:rsidRPr="00A96F49">
        <w:rPr>
          <w:rFonts w:ascii="Times New Roman" w:eastAsia="Times New Roman" w:hAnsi="Times New Roman" w:cs="Times New Roman"/>
          <w:color w:val="000000"/>
        </w:rPr>
        <w:t xml:space="preserve">già </w:t>
      </w:r>
      <w:r w:rsidR="002F5B3E" w:rsidRPr="00A96F49">
        <w:rPr>
          <w:rFonts w:ascii="Times New Roman" w:eastAsia="Times New Roman" w:hAnsi="Times New Roman" w:cs="Times New Roman"/>
          <w:color w:val="000000"/>
        </w:rPr>
        <w:t>nella metafisica oggettiva</w:t>
      </w:r>
      <w:r w:rsidR="00237024" w:rsidRPr="00A96F49">
        <w:rPr>
          <w:rFonts w:ascii="Times New Roman" w:eastAsia="Times New Roman" w:hAnsi="Times New Roman" w:cs="Times New Roman"/>
          <w:color w:val="000000"/>
        </w:rPr>
        <w:t>, si riferisca</w:t>
      </w:r>
      <w:r w:rsidR="00102D80" w:rsidRPr="00A96F49">
        <w:rPr>
          <w:rFonts w:ascii="Times New Roman" w:eastAsia="Times New Roman" w:hAnsi="Times New Roman" w:cs="Times New Roman"/>
          <w:color w:val="000000"/>
        </w:rPr>
        <w:t xml:space="preserve"> </w:t>
      </w:r>
      <w:r w:rsidRPr="00A96F49">
        <w:rPr>
          <w:rFonts w:ascii="Times New Roman" w:eastAsia="Times New Roman" w:hAnsi="Times New Roman" w:cs="Times New Roman"/>
          <w:color w:val="000000"/>
        </w:rPr>
        <w:t xml:space="preserve">al </w:t>
      </w:r>
      <w:r w:rsidR="0035591F" w:rsidRPr="00A96F49">
        <w:rPr>
          <w:rFonts w:ascii="Times New Roman" w:eastAsia="Times New Roman" w:hAnsi="Times New Roman" w:cs="Times New Roman"/>
          <w:color w:val="000000"/>
        </w:rPr>
        <w:t xml:space="preserve">pensiero </w:t>
      </w:r>
      <w:r w:rsidR="00102D80" w:rsidRPr="00A96F49">
        <w:rPr>
          <w:rFonts w:ascii="Times New Roman" w:eastAsia="Times New Roman" w:hAnsi="Times New Roman" w:cs="Times New Roman"/>
          <w:color w:val="000000"/>
        </w:rPr>
        <w:t>di Böhme</w:t>
      </w:r>
      <w:r w:rsidRPr="00A96F49">
        <w:rPr>
          <w:rFonts w:ascii="Times New Roman" w:eastAsia="Times New Roman" w:hAnsi="Times New Roman" w:cs="Times New Roman"/>
          <w:color w:val="000000"/>
        </w:rPr>
        <w:t xml:space="preserve"> </w:t>
      </w:r>
      <w:r w:rsidR="00B41870" w:rsidRPr="00A96F49">
        <w:rPr>
          <w:rFonts w:ascii="Times New Roman" w:eastAsia="Times New Roman" w:hAnsi="Times New Roman" w:cs="Times New Roman"/>
          <w:color w:val="000000"/>
        </w:rPr>
        <w:t xml:space="preserve">risulta chiarificatore </w:t>
      </w:r>
      <w:r w:rsidR="008A2492" w:rsidRPr="00A96F49">
        <w:rPr>
          <w:rFonts w:ascii="Times New Roman" w:eastAsia="Times New Roman" w:hAnsi="Times New Roman" w:cs="Times New Roman"/>
          <w:color w:val="000000"/>
        </w:rPr>
        <w:t>un passaggio</w:t>
      </w:r>
      <w:r w:rsidR="008A2492" w:rsidRPr="0063123A">
        <w:rPr>
          <w:rFonts w:ascii="Times New Roman" w:eastAsia="Times New Roman" w:hAnsi="Times New Roman" w:cs="Times New Roman"/>
          <w:color w:val="000000"/>
        </w:rPr>
        <w:t xml:space="preserve"> </w:t>
      </w:r>
      <w:r w:rsidRPr="0063123A">
        <w:rPr>
          <w:rFonts w:ascii="Times New Roman" w:eastAsia="Times New Roman" w:hAnsi="Times New Roman" w:cs="Times New Roman"/>
          <w:color w:val="000000"/>
        </w:rPr>
        <w:t xml:space="preserve">delle </w:t>
      </w:r>
      <w:r w:rsidRPr="0063123A">
        <w:rPr>
          <w:rFonts w:ascii="Times New Roman" w:eastAsia="Times New Roman" w:hAnsi="Times New Roman" w:cs="Times New Roman"/>
          <w:i/>
          <w:color w:val="000000"/>
        </w:rPr>
        <w:t>Vorlesungen über die Geschichte der Philosophie</w:t>
      </w:r>
      <w:r w:rsidR="005C5947" w:rsidRPr="0063123A">
        <w:rPr>
          <w:rFonts w:ascii="Times New Roman" w:eastAsia="Times New Roman" w:hAnsi="Times New Roman" w:cs="Times New Roman"/>
          <w:color w:val="000000"/>
        </w:rPr>
        <w:t xml:space="preserve"> </w:t>
      </w:r>
      <w:r w:rsidRPr="0063123A">
        <w:rPr>
          <w:rFonts w:ascii="Times New Roman" w:eastAsia="Times New Roman" w:hAnsi="Times New Roman" w:cs="Times New Roman"/>
          <w:color w:val="000000"/>
        </w:rPr>
        <w:t xml:space="preserve">edite da Michelet </w:t>
      </w:r>
      <w:r w:rsidR="0035591F" w:rsidRPr="0063123A">
        <w:rPr>
          <w:rFonts w:ascii="Times New Roman" w:eastAsia="Times New Roman" w:hAnsi="Times New Roman" w:cs="Times New Roman"/>
          <w:color w:val="000000"/>
        </w:rPr>
        <w:t xml:space="preserve">(ed. del </w:t>
      </w:r>
      <w:r w:rsidRPr="0063123A">
        <w:rPr>
          <w:rFonts w:ascii="Times New Roman" w:eastAsia="Times New Roman" w:hAnsi="Times New Roman" w:cs="Times New Roman"/>
          <w:color w:val="000000"/>
        </w:rPr>
        <w:t>1833</w:t>
      </w:r>
      <w:r w:rsidR="00241A6D">
        <w:rPr>
          <w:rFonts w:ascii="Times New Roman" w:eastAsia="Times New Roman" w:hAnsi="Times New Roman" w:cs="Times New Roman"/>
          <w:color w:val="000000"/>
        </w:rPr>
        <w:t>/36</w:t>
      </w:r>
      <w:r w:rsidR="0035591F" w:rsidRPr="0063123A">
        <w:rPr>
          <w:rFonts w:ascii="Times New Roman" w:eastAsia="Times New Roman" w:hAnsi="Times New Roman" w:cs="Times New Roman"/>
          <w:color w:val="000000"/>
        </w:rPr>
        <w:t>)</w:t>
      </w:r>
      <w:r w:rsidRPr="0063123A">
        <w:rPr>
          <w:rFonts w:ascii="Times New Roman" w:eastAsia="Times New Roman" w:hAnsi="Times New Roman" w:cs="Times New Roman"/>
          <w:color w:val="000000"/>
        </w:rPr>
        <w:t>, nel quale</w:t>
      </w:r>
      <w:r w:rsidR="005C5947" w:rsidRPr="0063123A">
        <w:rPr>
          <w:rFonts w:ascii="Times New Roman" w:eastAsia="Times New Roman" w:hAnsi="Times New Roman" w:cs="Times New Roman"/>
          <w:color w:val="000000"/>
        </w:rPr>
        <w:t xml:space="preserve"> si legge che «Böhme ist unendlich erhaben über das leere Abstraktum des höchsten Wesen»</w:t>
      </w:r>
      <w:r w:rsidR="005C5947" w:rsidRPr="0063123A">
        <w:rPr>
          <w:rStyle w:val="Rimandonotaapidipagina"/>
          <w:rFonts w:ascii="Times New Roman" w:eastAsia="Times New Roman" w:hAnsi="Times New Roman" w:cs="Times New Roman"/>
          <w:color w:val="000000"/>
        </w:rPr>
        <w:footnoteReference w:id="206"/>
      </w:r>
      <w:r w:rsidR="003D5DD9" w:rsidRPr="0063123A">
        <w:rPr>
          <w:rFonts w:ascii="Times New Roman" w:eastAsia="Times New Roman" w:hAnsi="Times New Roman" w:cs="Times New Roman"/>
          <w:color w:val="000000"/>
        </w:rPr>
        <w:t>.</w:t>
      </w:r>
      <w:r w:rsidR="003D5DD9" w:rsidRPr="00A85951">
        <w:rPr>
          <w:rFonts w:ascii="Times New Roman" w:eastAsia="Times New Roman" w:hAnsi="Times New Roman" w:cs="Times New Roman"/>
          <w:color w:val="000000"/>
        </w:rPr>
        <w:t xml:space="preserve"> Sebbene sia difficoltoso</w:t>
      </w:r>
      <w:r w:rsidR="006E4FE6">
        <w:rPr>
          <w:rFonts w:ascii="Times New Roman" w:eastAsia="Times New Roman" w:hAnsi="Times New Roman" w:cs="Times New Roman"/>
          <w:color w:val="000000"/>
        </w:rPr>
        <w:t xml:space="preserve"> distingue</w:t>
      </w:r>
      <w:r w:rsidR="003B123B" w:rsidRPr="00A85951">
        <w:rPr>
          <w:rFonts w:ascii="Times New Roman" w:eastAsia="Times New Roman" w:hAnsi="Times New Roman" w:cs="Times New Roman"/>
          <w:color w:val="000000"/>
        </w:rPr>
        <w:t>re quali stralci dell’argomentazione hegeliana siano riconducibil</w:t>
      </w:r>
      <w:r w:rsidR="008C3C9E" w:rsidRPr="00A85951">
        <w:rPr>
          <w:rFonts w:ascii="Times New Roman" w:eastAsia="Times New Roman" w:hAnsi="Times New Roman" w:cs="Times New Roman"/>
          <w:color w:val="000000"/>
        </w:rPr>
        <w:t>i ai</w:t>
      </w:r>
      <w:r w:rsidR="003B123B" w:rsidRPr="00A85951">
        <w:rPr>
          <w:rFonts w:ascii="Times New Roman" w:eastAsia="Times New Roman" w:hAnsi="Times New Roman" w:cs="Times New Roman"/>
          <w:color w:val="000000"/>
        </w:rPr>
        <w:t xml:space="preserve"> </w:t>
      </w:r>
      <w:r w:rsidR="008C3C9E" w:rsidRPr="00A85951">
        <w:rPr>
          <w:rFonts w:ascii="Times New Roman" w:eastAsia="Times New Roman" w:hAnsi="Times New Roman" w:cs="Times New Roman"/>
          <w:color w:val="000000"/>
        </w:rPr>
        <w:t>perduti</w:t>
      </w:r>
      <w:r w:rsidR="00E37807" w:rsidRPr="00A85951">
        <w:rPr>
          <w:rFonts w:ascii="Times New Roman" w:eastAsia="Times New Roman" w:hAnsi="Times New Roman" w:cs="Times New Roman"/>
          <w:color w:val="000000"/>
        </w:rPr>
        <w:t xml:space="preserve"> </w:t>
      </w:r>
      <w:r w:rsidR="00376C65">
        <w:rPr>
          <w:rFonts w:ascii="Times New Roman" w:eastAsia="Times New Roman" w:hAnsi="Times New Roman" w:cs="Times New Roman"/>
          <w:color w:val="000000"/>
        </w:rPr>
        <w:t xml:space="preserve">quaderni </w:t>
      </w:r>
      <w:r w:rsidR="008C3C9E" w:rsidRPr="00A85951">
        <w:rPr>
          <w:rFonts w:ascii="Times New Roman" w:eastAsia="Times New Roman" w:hAnsi="Times New Roman" w:cs="Times New Roman"/>
          <w:color w:val="000000"/>
        </w:rPr>
        <w:t>jenesi</w:t>
      </w:r>
      <w:r w:rsidR="00431352" w:rsidRPr="00A85951">
        <w:rPr>
          <w:rFonts w:ascii="Times New Roman" w:eastAsia="Times New Roman" w:hAnsi="Times New Roman" w:cs="Times New Roman"/>
          <w:color w:val="000000"/>
        </w:rPr>
        <w:t xml:space="preserve"> </w:t>
      </w:r>
      <w:r w:rsidR="00134260">
        <w:rPr>
          <w:rFonts w:ascii="Times New Roman" w:eastAsia="Times New Roman" w:hAnsi="Times New Roman" w:cs="Times New Roman"/>
          <w:color w:val="000000"/>
        </w:rPr>
        <w:t xml:space="preserve">dedicati </w:t>
      </w:r>
      <w:r w:rsidR="00BC6107" w:rsidRPr="00A85951">
        <w:rPr>
          <w:rFonts w:ascii="Times New Roman" w:eastAsia="Times New Roman" w:hAnsi="Times New Roman" w:cs="Times New Roman"/>
          <w:color w:val="000000"/>
        </w:rPr>
        <w:t>all</w:t>
      </w:r>
      <w:r w:rsidR="003B123B" w:rsidRPr="00A85951">
        <w:rPr>
          <w:rFonts w:ascii="Times New Roman" w:eastAsia="Times New Roman" w:hAnsi="Times New Roman" w:cs="Times New Roman"/>
          <w:color w:val="000000"/>
        </w:rPr>
        <w:t>a storia della filosofia</w:t>
      </w:r>
      <w:r w:rsidR="00431352" w:rsidRPr="00A85951">
        <w:rPr>
          <w:rStyle w:val="Rimandonotaapidipagina"/>
          <w:rFonts w:ascii="Times New Roman" w:eastAsia="Times New Roman" w:hAnsi="Times New Roman" w:cs="Times New Roman"/>
          <w:color w:val="000000"/>
        </w:rPr>
        <w:footnoteReference w:id="207"/>
      </w:r>
      <w:r w:rsidR="00EF3A70" w:rsidRPr="00A85951">
        <w:rPr>
          <w:rFonts w:ascii="Times New Roman" w:eastAsia="Times New Roman" w:hAnsi="Times New Roman" w:cs="Times New Roman"/>
          <w:color w:val="000000"/>
        </w:rPr>
        <w:t>, ritengo che questo pass</w:t>
      </w:r>
      <w:r w:rsidR="003B123B" w:rsidRPr="00A85951">
        <w:rPr>
          <w:rFonts w:ascii="Times New Roman" w:eastAsia="Times New Roman" w:hAnsi="Times New Roman" w:cs="Times New Roman"/>
          <w:color w:val="000000"/>
        </w:rPr>
        <w:t xml:space="preserve">o, da un punto di vista concettuale e terminologico, </w:t>
      </w:r>
      <w:r w:rsidR="00F932EA" w:rsidRPr="00A85951">
        <w:rPr>
          <w:rFonts w:ascii="Times New Roman" w:eastAsia="Times New Roman" w:hAnsi="Times New Roman" w:cs="Times New Roman"/>
          <w:color w:val="000000"/>
        </w:rPr>
        <w:t xml:space="preserve">aderisca perfettamente </w:t>
      </w:r>
      <w:r w:rsidR="006E4FE6">
        <w:rPr>
          <w:rFonts w:ascii="Times New Roman" w:eastAsia="Times New Roman" w:hAnsi="Times New Roman" w:cs="Times New Roman"/>
          <w:color w:val="000000"/>
        </w:rPr>
        <w:t>all’u</w:t>
      </w:r>
      <w:r w:rsidR="00431352" w:rsidRPr="00A85951">
        <w:rPr>
          <w:rFonts w:ascii="Times New Roman" w:eastAsia="Times New Roman" w:hAnsi="Times New Roman" w:cs="Times New Roman"/>
          <w:color w:val="000000"/>
        </w:rPr>
        <w:t>l</w:t>
      </w:r>
      <w:r w:rsidR="006E4FE6">
        <w:rPr>
          <w:rFonts w:ascii="Times New Roman" w:eastAsia="Times New Roman" w:hAnsi="Times New Roman" w:cs="Times New Roman"/>
          <w:color w:val="000000"/>
        </w:rPr>
        <w:t>t</w:t>
      </w:r>
      <w:r w:rsidR="00431352" w:rsidRPr="00A85951">
        <w:rPr>
          <w:rFonts w:ascii="Times New Roman" w:eastAsia="Times New Roman" w:hAnsi="Times New Roman" w:cs="Times New Roman"/>
          <w:color w:val="000000"/>
        </w:rPr>
        <w:t xml:space="preserve">ima sezione della </w:t>
      </w:r>
      <w:r w:rsidR="00431352" w:rsidRPr="00A85951">
        <w:rPr>
          <w:rFonts w:ascii="Times New Roman" w:eastAsia="Times New Roman" w:hAnsi="Times New Roman" w:cs="Times New Roman"/>
          <w:i/>
          <w:color w:val="000000"/>
        </w:rPr>
        <w:t>Metaphysik der Objectivität</w:t>
      </w:r>
      <w:r w:rsidR="00F932EA" w:rsidRPr="00A85951">
        <w:rPr>
          <w:rFonts w:ascii="Times New Roman" w:eastAsia="Times New Roman" w:hAnsi="Times New Roman" w:cs="Times New Roman"/>
          <w:color w:val="000000"/>
        </w:rPr>
        <w:t xml:space="preserve">. </w:t>
      </w:r>
      <w:r w:rsidR="00FC277B" w:rsidRPr="00A85951">
        <w:rPr>
          <w:rFonts w:ascii="Times New Roman" w:eastAsia="Times New Roman" w:hAnsi="Times New Roman" w:cs="Times New Roman"/>
          <w:color w:val="000000"/>
        </w:rPr>
        <w:t xml:space="preserve">Non è consuetudine </w:t>
      </w:r>
      <w:r w:rsidR="00C45D9D" w:rsidRPr="00A85951">
        <w:rPr>
          <w:rFonts w:ascii="Times New Roman" w:eastAsia="Times New Roman" w:hAnsi="Times New Roman" w:cs="Times New Roman"/>
          <w:color w:val="000000"/>
        </w:rPr>
        <w:t>d</w:t>
      </w:r>
      <w:r w:rsidR="00FC277B" w:rsidRPr="00A85951">
        <w:rPr>
          <w:rFonts w:ascii="Times New Roman" w:eastAsia="Times New Roman" w:hAnsi="Times New Roman" w:cs="Times New Roman"/>
          <w:color w:val="000000"/>
        </w:rPr>
        <w:t>ella produzione hegeliana matura definire la sostanza spinoziana come essenza suprem</w:t>
      </w:r>
      <w:r w:rsidR="00C45D9D" w:rsidRPr="00A85951">
        <w:rPr>
          <w:rFonts w:ascii="Times New Roman" w:eastAsia="Times New Roman" w:hAnsi="Times New Roman" w:cs="Times New Roman"/>
          <w:color w:val="000000"/>
        </w:rPr>
        <w:t xml:space="preserve">a. </w:t>
      </w:r>
      <w:r w:rsidR="00476E24" w:rsidRPr="00A85951">
        <w:rPr>
          <w:rFonts w:ascii="Times New Roman" w:eastAsia="Times New Roman" w:hAnsi="Times New Roman" w:cs="Times New Roman"/>
          <w:color w:val="000000"/>
        </w:rPr>
        <w:t>S</w:t>
      </w:r>
      <w:r w:rsidR="00C45D9D" w:rsidRPr="00A85951">
        <w:rPr>
          <w:rFonts w:ascii="Times New Roman" w:eastAsia="Times New Roman" w:hAnsi="Times New Roman" w:cs="Times New Roman"/>
          <w:color w:val="000000"/>
        </w:rPr>
        <w:t xml:space="preserve">i pensi alla </w:t>
      </w:r>
      <w:r w:rsidR="00C45D9D" w:rsidRPr="00A85951">
        <w:rPr>
          <w:rFonts w:ascii="Times New Roman" w:eastAsia="Times New Roman" w:hAnsi="Times New Roman" w:cs="Times New Roman"/>
          <w:i/>
          <w:color w:val="000000"/>
        </w:rPr>
        <w:t>Wissenschaft der Logik</w:t>
      </w:r>
      <w:r w:rsidR="00476E24" w:rsidRPr="00A85951">
        <w:rPr>
          <w:rFonts w:ascii="Times New Roman" w:eastAsia="Times New Roman" w:hAnsi="Times New Roman" w:cs="Times New Roman"/>
          <w:color w:val="000000"/>
        </w:rPr>
        <w:t>:</w:t>
      </w:r>
      <w:r w:rsidR="00C45D9D" w:rsidRPr="00A85951">
        <w:rPr>
          <w:rFonts w:ascii="Times New Roman" w:eastAsia="Times New Roman" w:hAnsi="Times New Roman" w:cs="Times New Roman"/>
          <w:color w:val="000000"/>
        </w:rPr>
        <w:t xml:space="preserve"> il principio dell’ontologia spinoziana è espresso da categorie che coprono uno spazio logico esteso dalla nozione d</w:t>
      </w:r>
      <w:r w:rsidR="00511D68" w:rsidRPr="00A85951">
        <w:rPr>
          <w:rFonts w:ascii="Times New Roman" w:eastAsia="Times New Roman" w:hAnsi="Times New Roman" w:cs="Times New Roman"/>
          <w:color w:val="000000"/>
        </w:rPr>
        <w:t>ell</w:t>
      </w:r>
      <w:r w:rsidR="00C45D9D" w:rsidRPr="00A85951">
        <w:rPr>
          <w:rFonts w:ascii="Times New Roman" w:eastAsia="Times New Roman" w:hAnsi="Times New Roman" w:cs="Times New Roman"/>
          <w:color w:val="000000"/>
        </w:rPr>
        <w:t>’essere</w:t>
      </w:r>
      <w:r w:rsidR="00511D68" w:rsidRPr="00A85951">
        <w:rPr>
          <w:rFonts w:ascii="Times New Roman" w:eastAsia="Times New Roman" w:hAnsi="Times New Roman" w:cs="Times New Roman"/>
          <w:color w:val="000000"/>
        </w:rPr>
        <w:t xml:space="preserve"> (</w:t>
      </w:r>
      <w:r w:rsidR="00511D68" w:rsidRPr="00A85951">
        <w:rPr>
          <w:rFonts w:ascii="Times New Roman" w:eastAsia="Times New Roman" w:hAnsi="Times New Roman" w:cs="Times New Roman"/>
          <w:i/>
          <w:color w:val="000000"/>
        </w:rPr>
        <w:t>das Seyn</w:t>
      </w:r>
      <w:r w:rsidR="00511D68" w:rsidRPr="00A85951">
        <w:rPr>
          <w:rFonts w:ascii="Times New Roman" w:eastAsia="Times New Roman" w:hAnsi="Times New Roman" w:cs="Times New Roman"/>
          <w:color w:val="000000"/>
        </w:rPr>
        <w:t>)</w:t>
      </w:r>
      <w:r w:rsidR="00C45D9D" w:rsidRPr="00A85951">
        <w:rPr>
          <w:rFonts w:ascii="Times New Roman" w:eastAsia="Times New Roman" w:hAnsi="Times New Roman" w:cs="Times New Roman"/>
          <w:color w:val="000000"/>
        </w:rPr>
        <w:t xml:space="preserve"> fino a quella dell’Assoluto</w:t>
      </w:r>
      <w:r w:rsidR="00511D68" w:rsidRPr="00A85951">
        <w:rPr>
          <w:rFonts w:ascii="Times New Roman" w:eastAsia="Times New Roman" w:hAnsi="Times New Roman" w:cs="Times New Roman"/>
          <w:color w:val="000000"/>
        </w:rPr>
        <w:t xml:space="preserve"> (</w:t>
      </w:r>
      <w:r w:rsidR="00511D68" w:rsidRPr="00A85951">
        <w:rPr>
          <w:rFonts w:ascii="Times New Roman" w:eastAsia="Times New Roman" w:hAnsi="Times New Roman" w:cs="Times New Roman"/>
          <w:i/>
          <w:color w:val="000000"/>
        </w:rPr>
        <w:t>das Absolute</w:t>
      </w:r>
      <w:r w:rsidR="00511D68" w:rsidRPr="00A85951">
        <w:rPr>
          <w:rFonts w:ascii="Times New Roman" w:eastAsia="Times New Roman" w:hAnsi="Times New Roman" w:cs="Times New Roman"/>
          <w:color w:val="000000"/>
        </w:rPr>
        <w:t>)</w:t>
      </w:r>
      <w:r w:rsidR="004D6946" w:rsidRPr="00A85951">
        <w:rPr>
          <w:rFonts w:ascii="Times New Roman" w:eastAsia="Times New Roman" w:hAnsi="Times New Roman" w:cs="Times New Roman"/>
          <w:color w:val="000000"/>
        </w:rPr>
        <w:t xml:space="preserve">. </w:t>
      </w:r>
      <w:r w:rsidR="00C45D9D" w:rsidRPr="00A85951">
        <w:rPr>
          <w:rFonts w:ascii="Times New Roman" w:eastAsia="Times New Roman" w:hAnsi="Times New Roman" w:cs="Times New Roman"/>
          <w:color w:val="000000"/>
        </w:rPr>
        <w:t>Nella sezione dell’</w:t>
      </w:r>
      <w:r w:rsidR="00C45D9D" w:rsidRPr="00A85951">
        <w:rPr>
          <w:rFonts w:ascii="Times New Roman" w:eastAsia="Times New Roman" w:hAnsi="Times New Roman" w:cs="Times New Roman"/>
          <w:i/>
          <w:color w:val="000000"/>
        </w:rPr>
        <w:t>Absolute</w:t>
      </w:r>
      <w:r w:rsidR="00C45D9D" w:rsidRPr="00A85951">
        <w:rPr>
          <w:rFonts w:ascii="Times New Roman" w:eastAsia="Times New Roman" w:hAnsi="Times New Roman" w:cs="Times New Roman"/>
          <w:color w:val="000000"/>
        </w:rPr>
        <w:t xml:space="preserve">, che </w:t>
      </w:r>
      <w:r w:rsidR="00511D68" w:rsidRPr="00A85951">
        <w:rPr>
          <w:rFonts w:ascii="Times New Roman" w:eastAsia="Times New Roman" w:hAnsi="Times New Roman" w:cs="Times New Roman"/>
          <w:color w:val="000000"/>
        </w:rPr>
        <w:t xml:space="preserve">è </w:t>
      </w:r>
      <w:r w:rsidR="00872313" w:rsidRPr="00A85951">
        <w:rPr>
          <w:rFonts w:ascii="Times New Roman" w:eastAsia="Times New Roman" w:hAnsi="Times New Roman" w:cs="Times New Roman"/>
          <w:color w:val="000000"/>
        </w:rPr>
        <w:t>temati</w:t>
      </w:r>
      <w:r w:rsidR="00511D68" w:rsidRPr="00A85951">
        <w:rPr>
          <w:rFonts w:ascii="Times New Roman" w:eastAsia="Times New Roman" w:hAnsi="Times New Roman" w:cs="Times New Roman"/>
          <w:color w:val="000000"/>
        </w:rPr>
        <w:t xml:space="preserve">camente </w:t>
      </w:r>
      <w:r w:rsidR="00476E24" w:rsidRPr="00A85951">
        <w:rPr>
          <w:rFonts w:ascii="Times New Roman" w:eastAsia="Times New Roman" w:hAnsi="Times New Roman" w:cs="Times New Roman"/>
          <w:color w:val="000000"/>
        </w:rPr>
        <w:t xml:space="preserve">contigua </w:t>
      </w:r>
      <w:r w:rsidR="00C45D9D" w:rsidRPr="0050590A">
        <w:rPr>
          <w:rFonts w:ascii="Times New Roman" w:eastAsia="Times New Roman" w:hAnsi="Times New Roman" w:cs="Times New Roman"/>
          <w:color w:val="000000"/>
        </w:rPr>
        <w:t>all’</w:t>
      </w:r>
      <w:r w:rsidR="00C45D9D" w:rsidRPr="0050590A">
        <w:rPr>
          <w:rFonts w:ascii="Times New Roman" w:eastAsia="Times New Roman" w:hAnsi="Times New Roman" w:cs="Times New Roman"/>
          <w:i/>
          <w:color w:val="000000"/>
        </w:rPr>
        <w:t>Höchstes Wesen</w:t>
      </w:r>
      <w:r w:rsidR="00C45D9D" w:rsidRPr="0050590A">
        <w:rPr>
          <w:rFonts w:ascii="Times New Roman" w:eastAsia="Times New Roman" w:hAnsi="Times New Roman" w:cs="Times New Roman"/>
          <w:color w:val="000000"/>
        </w:rPr>
        <w:t>, Hegel non si riferis</w:t>
      </w:r>
      <w:r w:rsidR="00676EE6" w:rsidRPr="0050590A">
        <w:rPr>
          <w:rFonts w:ascii="Times New Roman" w:eastAsia="Times New Roman" w:hAnsi="Times New Roman" w:cs="Times New Roman"/>
          <w:color w:val="000000"/>
        </w:rPr>
        <w:t>ce mai all</w:t>
      </w:r>
      <w:r w:rsidR="00511D68" w:rsidRPr="0050590A">
        <w:rPr>
          <w:rFonts w:ascii="Times New Roman" w:eastAsia="Times New Roman" w:hAnsi="Times New Roman" w:cs="Times New Roman"/>
          <w:color w:val="000000"/>
        </w:rPr>
        <w:t>’</w:t>
      </w:r>
      <w:r w:rsidR="00676EE6" w:rsidRPr="0050590A">
        <w:rPr>
          <w:rFonts w:ascii="Times New Roman" w:eastAsia="Times New Roman" w:hAnsi="Times New Roman" w:cs="Times New Roman"/>
          <w:color w:val="000000"/>
        </w:rPr>
        <w:t>essenza suprema, ma all</w:t>
      </w:r>
      <w:r w:rsidR="00511D68" w:rsidRPr="0050590A">
        <w:rPr>
          <w:rFonts w:ascii="Times New Roman" w:eastAsia="Times New Roman" w:hAnsi="Times New Roman" w:cs="Times New Roman"/>
          <w:color w:val="000000"/>
        </w:rPr>
        <w:t>’</w:t>
      </w:r>
      <w:r w:rsidR="00AC0804" w:rsidRPr="0050590A">
        <w:rPr>
          <w:rFonts w:ascii="Times New Roman" w:eastAsia="Times New Roman" w:hAnsi="Times New Roman" w:cs="Times New Roman"/>
          <w:color w:val="000000"/>
        </w:rPr>
        <w:t>i</w:t>
      </w:r>
      <w:r w:rsidR="00511D68" w:rsidRPr="0050590A">
        <w:rPr>
          <w:rFonts w:ascii="Times New Roman" w:eastAsia="Times New Roman" w:hAnsi="Times New Roman" w:cs="Times New Roman"/>
          <w:color w:val="000000"/>
        </w:rPr>
        <w:t>dentità assoluta</w:t>
      </w:r>
      <w:r w:rsidR="00872313" w:rsidRPr="0050590A">
        <w:rPr>
          <w:rFonts w:ascii="Times New Roman" w:eastAsia="Times New Roman" w:hAnsi="Times New Roman" w:cs="Times New Roman"/>
          <w:color w:val="000000"/>
        </w:rPr>
        <w:t xml:space="preserve"> (</w:t>
      </w:r>
      <w:r w:rsidR="00872313" w:rsidRPr="0050590A">
        <w:rPr>
          <w:rFonts w:ascii="Times New Roman" w:eastAsia="Times New Roman" w:hAnsi="Times New Roman" w:cs="Times New Roman"/>
          <w:i/>
          <w:color w:val="000000"/>
        </w:rPr>
        <w:t>absolute Identität</w:t>
      </w:r>
      <w:r w:rsidR="00872313" w:rsidRPr="0050590A">
        <w:rPr>
          <w:rFonts w:ascii="Times New Roman" w:eastAsia="Times New Roman" w:hAnsi="Times New Roman" w:cs="Times New Roman"/>
          <w:color w:val="000000"/>
        </w:rPr>
        <w:t>)</w:t>
      </w:r>
      <w:r w:rsidR="00511D68" w:rsidRPr="0050590A">
        <w:rPr>
          <w:rFonts w:ascii="Times New Roman" w:eastAsia="Times New Roman" w:hAnsi="Times New Roman" w:cs="Times New Roman"/>
          <w:color w:val="000000"/>
        </w:rPr>
        <w:t xml:space="preserve">, </w:t>
      </w:r>
      <w:r w:rsidR="00E37807" w:rsidRPr="0050590A">
        <w:rPr>
          <w:rFonts w:ascii="Times New Roman" w:eastAsia="Times New Roman" w:hAnsi="Times New Roman" w:cs="Times New Roman"/>
          <w:color w:val="000000"/>
        </w:rPr>
        <w:t xml:space="preserve">o all’Assoluto </w:t>
      </w:r>
      <w:r w:rsidR="00E37807" w:rsidRPr="0050590A">
        <w:rPr>
          <w:rFonts w:ascii="Times New Roman" w:eastAsia="Times New Roman" w:hAnsi="Times New Roman" w:cs="Times New Roman"/>
          <w:i/>
          <w:color w:val="000000"/>
        </w:rPr>
        <w:t>tout court</w:t>
      </w:r>
      <w:r w:rsidR="00E37807" w:rsidRPr="0050590A">
        <w:rPr>
          <w:rFonts w:ascii="Times New Roman" w:eastAsia="Times New Roman" w:hAnsi="Times New Roman" w:cs="Times New Roman"/>
          <w:color w:val="000000"/>
        </w:rPr>
        <w:t xml:space="preserve">, </w:t>
      </w:r>
      <w:r w:rsidR="00511D68" w:rsidRPr="0050590A">
        <w:rPr>
          <w:rFonts w:ascii="Times New Roman" w:eastAsia="Times New Roman" w:hAnsi="Times New Roman" w:cs="Times New Roman"/>
          <w:color w:val="000000"/>
        </w:rPr>
        <w:t>da cui d</w:t>
      </w:r>
      <w:r w:rsidR="0005212B" w:rsidRPr="0050590A">
        <w:rPr>
          <w:rFonts w:ascii="Times New Roman" w:eastAsia="Times New Roman" w:hAnsi="Times New Roman" w:cs="Times New Roman"/>
          <w:color w:val="000000"/>
        </w:rPr>
        <w:t>eve</w:t>
      </w:r>
      <w:r w:rsidR="00511D68" w:rsidRPr="0050590A">
        <w:rPr>
          <w:rFonts w:ascii="Times New Roman" w:eastAsia="Times New Roman" w:hAnsi="Times New Roman" w:cs="Times New Roman"/>
          <w:color w:val="000000"/>
        </w:rPr>
        <w:t xml:space="preserve"> scaturire un movimento logico in grado d’eccedere </w:t>
      </w:r>
      <w:r w:rsidR="0063690B" w:rsidRPr="0050590A">
        <w:rPr>
          <w:rFonts w:ascii="Times New Roman" w:eastAsia="Times New Roman" w:hAnsi="Times New Roman" w:cs="Times New Roman"/>
          <w:color w:val="000000"/>
        </w:rPr>
        <w:t>lo sfaldamento</w:t>
      </w:r>
      <w:r w:rsidR="008C3C9E" w:rsidRPr="0050590A">
        <w:rPr>
          <w:rFonts w:ascii="Times New Roman" w:eastAsia="Times New Roman" w:hAnsi="Times New Roman" w:cs="Times New Roman"/>
          <w:color w:val="000000"/>
        </w:rPr>
        <w:t xml:space="preserve"> </w:t>
      </w:r>
      <w:r w:rsidR="00511D68" w:rsidRPr="0050590A">
        <w:rPr>
          <w:rFonts w:ascii="Times New Roman" w:eastAsia="Times New Roman" w:hAnsi="Times New Roman" w:cs="Times New Roman"/>
          <w:color w:val="000000"/>
        </w:rPr>
        <w:t xml:space="preserve">che </w:t>
      </w:r>
      <w:r w:rsidR="0050590A" w:rsidRPr="0050590A">
        <w:rPr>
          <w:rFonts w:ascii="Times New Roman" w:eastAsia="Times New Roman" w:hAnsi="Times New Roman" w:cs="Times New Roman"/>
          <w:color w:val="000000"/>
        </w:rPr>
        <w:t>le</w:t>
      </w:r>
      <w:r w:rsidR="005B7317">
        <w:rPr>
          <w:rFonts w:ascii="Times New Roman" w:eastAsia="Times New Roman" w:hAnsi="Times New Roman" w:cs="Times New Roman"/>
          <w:i/>
          <w:color w:val="000000"/>
        </w:rPr>
        <w:t xml:space="preserve"> </w:t>
      </w:r>
      <w:r w:rsidR="005B7317">
        <w:rPr>
          <w:rFonts w:ascii="Times New Roman" w:eastAsia="Times New Roman" w:hAnsi="Times New Roman" w:cs="Times New Roman"/>
          <w:color w:val="000000"/>
        </w:rPr>
        <w:t>determinazioni riflessive</w:t>
      </w:r>
      <w:r w:rsidR="000B1741" w:rsidRPr="0050590A">
        <w:rPr>
          <w:rFonts w:ascii="Times New Roman" w:eastAsia="Times New Roman" w:hAnsi="Times New Roman" w:cs="Times New Roman"/>
          <w:color w:val="000000"/>
        </w:rPr>
        <w:t xml:space="preserve">, </w:t>
      </w:r>
      <w:r w:rsidR="0050590A" w:rsidRPr="0050590A">
        <w:rPr>
          <w:rFonts w:ascii="Times New Roman" w:eastAsia="Times New Roman" w:hAnsi="Times New Roman" w:cs="Times New Roman"/>
          <w:color w:val="000000"/>
        </w:rPr>
        <w:t xml:space="preserve">in forza del </w:t>
      </w:r>
      <w:r w:rsidR="000B1741" w:rsidRPr="0050590A">
        <w:rPr>
          <w:rFonts w:ascii="Times New Roman" w:eastAsia="Times New Roman" w:hAnsi="Times New Roman" w:cs="Times New Roman"/>
          <w:color w:val="000000"/>
        </w:rPr>
        <w:t xml:space="preserve">riferimento a sé </w:t>
      </w:r>
      <w:r w:rsidR="0050590A" w:rsidRPr="0050590A">
        <w:rPr>
          <w:rFonts w:ascii="Times New Roman" w:eastAsia="Times New Roman" w:hAnsi="Times New Roman" w:cs="Times New Roman"/>
          <w:color w:val="000000"/>
        </w:rPr>
        <w:t>e d</w:t>
      </w:r>
      <w:r w:rsidR="00E6085F" w:rsidRPr="0050590A">
        <w:rPr>
          <w:rFonts w:ascii="Times New Roman" w:eastAsia="Times New Roman" w:hAnsi="Times New Roman" w:cs="Times New Roman"/>
          <w:color w:val="000000"/>
        </w:rPr>
        <w:t>el</w:t>
      </w:r>
      <w:r w:rsidR="000B1741" w:rsidRPr="0050590A">
        <w:rPr>
          <w:rFonts w:ascii="Times New Roman" w:eastAsia="Times New Roman" w:hAnsi="Times New Roman" w:cs="Times New Roman"/>
          <w:color w:val="000000"/>
        </w:rPr>
        <w:t>l</w:t>
      </w:r>
      <w:r w:rsidR="00E6085F" w:rsidRPr="0050590A">
        <w:rPr>
          <w:rFonts w:ascii="Times New Roman" w:eastAsia="Times New Roman" w:hAnsi="Times New Roman" w:cs="Times New Roman"/>
          <w:color w:val="000000"/>
        </w:rPr>
        <w:t>’esclusione (in verità includente) del</w:t>
      </w:r>
      <w:r w:rsidR="000B1741" w:rsidRPr="0050590A">
        <w:rPr>
          <w:rFonts w:ascii="Times New Roman" w:eastAsia="Times New Roman" w:hAnsi="Times New Roman" w:cs="Times New Roman"/>
          <w:color w:val="000000"/>
        </w:rPr>
        <w:t xml:space="preserve"> proprio </w:t>
      </w:r>
      <w:r w:rsidR="00E6085F" w:rsidRPr="0050590A">
        <w:rPr>
          <w:rFonts w:ascii="Times New Roman" w:eastAsia="Times New Roman" w:hAnsi="Times New Roman" w:cs="Times New Roman"/>
          <w:color w:val="000000"/>
        </w:rPr>
        <w:t xml:space="preserve">essere </w:t>
      </w:r>
      <w:r w:rsidR="0050590A" w:rsidRPr="0050590A">
        <w:rPr>
          <w:rFonts w:ascii="Times New Roman" w:eastAsia="Times New Roman" w:hAnsi="Times New Roman" w:cs="Times New Roman"/>
          <w:color w:val="000000"/>
        </w:rPr>
        <w:t xml:space="preserve">altro, </w:t>
      </w:r>
      <w:r w:rsidR="0063690B" w:rsidRPr="0050590A">
        <w:rPr>
          <w:rFonts w:ascii="Times New Roman" w:eastAsia="Times New Roman" w:hAnsi="Times New Roman" w:cs="Times New Roman"/>
          <w:color w:val="000000"/>
        </w:rPr>
        <w:t>cerca</w:t>
      </w:r>
      <w:r w:rsidR="0050590A" w:rsidRPr="0050590A">
        <w:rPr>
          <w:rFonts w:ascii="Times New Roman" w:eastAsia="Times New Roman" w:hAnsi="Times New Roman" w:cs="Times New Roman"/>
          <w:color w:val="000000"/>
        </w:rPr>
        <w:t>no</w:t>
      </w:r>
      <w:r w:rsidR="0063690B" w:rsidRPr="0050590A">
        <w:rPr>
          <w:rFonts w:ascii="Times New Roman" w:eastAsia="Times New Roman" w:hAnsi="Times New Roman" w:cs="Times New Roman"/>
          <w:color w:val="000000"/>
        </w:rPr>
        <w:t xml:space="preserve"> di</w:t>
      </w:r>
      <w:r w:rsidR="000B1741" w:rsidRPr="0050590A">
        <w:rPr>
          <w:rFonts w:ascii="Times New Roman" w:eastAsia="Times New Roman" w:hAnsi="Times New Roman" w:cs="Times New Roman"/>
          <w:color w:val="000000"/>
        </w:rPr>
        <w:t xml:space="preserve"> mettere in atto</w:t>
      </w:r>
      <w:r w:rsidR="00511D68" w:rsidRPr="0050590A">
        <w:rPr>
          <w:rStyle w:val="Rimandonotaapidipagina"/>
          <w:rFonts w:ascii="Times New Roman" w:eastAsia="Times New Roman" w:hAnsi="Times New Roman" w:cs="Times New Roman"/>
          <w:color w:val="000000"/>
        </w:rPr>
        <w:footnoteReference w:id="208"/>
      </w:r>
      <w:r w:rsidR="00511D68" w:rsidRPr="0050590A">
        <w:rPr>
          <w:rFonts w:ascii="Times New Roman" w:eastAsia="Times New Roman" w:hAnsi="Times New Roman" w:cs="Times New Roman"/>
          <w:color w:val="000000"/>
        </w:rPr>
        <w:t>.</w:t>
      </w:r>
      <w:r w:rsidR="00DF5EB3" w:rsidRPr="00A85951">
        <w:rPr>
          <w:rFonts w:ascii="Times New Roman" w:eastAsia="Times New Roman" w:hAnsi="Times New Roman" w:cs="Times New Roman"/>
          <w:color w:val="000000"/>
        </w:rPr>
        <w:t xml:space="preserve"> </w:t>
      </w:r>
      <w:r w:rsidR="00133F05" w:rsidRPr="00A85951">
        <w:rPr>
          <w:rFonts w:ascii="Times New Roman" w:eastAsia="Times New Roman" w:hAnsi="Times New Roman" w:cs="Times New Roman"/>
          <w:color w:val="000000"/>
        </w:rPr>
        <w:t xml:space="preserve">Seguendo </w:t>
      </w:r>
      <w:r w:rsidR="006924CE" w:rsidRPr="00A85951">
        <w:rPr>
          <w:rFonts w:ascii="Times New Roman" w:eastAsia="Times New Roman" w:hAnsi="Times New Roman" w:cs="Times New Roman"/>
          <w:color w:val="000000"/>
        </w:rPr>
        <w:t>l</w:t>
      </w:r>
      <w:r w:rsidR="00BE2D88" w:rsidRPr="00A85951">
        <w:rPr>
          <w:rFonts w:ascii="Times New Roman" w:eastAsia="Times New Roman" w:hAnsi="Times New Roman" w:cs="Times New Roman"/>
          <w:color w:val="000000"/>
        </w:rPr>
        <w:t>a</w:t>
      </w:r>
      <w:r w:rsidR="00134260">
        <w:rPr>
          <w:rFonts w:ascii="Times New Roman" w:eastAsia="Times New Roman" w:hAnsi="Times New Roman" w:cs="Times New Roman"/>
          <w:i/>
          <w:color w:val="000000"/>
        </w:rPr>
        <w:t xml:space="preserve"> </w:t>
      </w:r>
      <w:r w:rsidR="00134260" w:rsidRPr="00134260">
        <w:rPr>
          <w:rFonts w:ascii="Times New Roman" w:eastAsia="Times New Roman" w:hAnsi="Times New Roman" w:cs="Times New Roman"/>
          <w:color w:val="000000"/>
        </w:rPr>
        <w:t>metafisica jenese</w:t>
      </w:r>
      <w:r w:rsidR="006924CE" w:rsidRPr="00A85951">
        <w:rPr>
          <w:rFonts w:ascii="Times New Roman" w:eastAsia="Times New Roman" w:hAnsi="Times New Roman" w:cs="Times New Roman"/>
          <w:color w:val="000000"/>
        </w:rPr>
        <w:t xml:space="preserve">, </w:t>
      </w:r>
      <w:r w:rsidR="007D2627" w:rsidRPr="00A85951">
        <w:rPr>
          <w:rFonts w:ascii="Times New Roman" w:eastAsia="Times New Roman" w:hAnsi="Times New Roman" w:cs="Times New Roman"/>
          <w:color w:val="000000"/>
        </w:rPr>
        <w:t>l</w:t>
      </w:r>
      <w:r w:rsidR="00476E24" w:rsidRPr="00A85951">
        <w:rPr>
          <w:rFonts w:ascii="Times New Roman" w:eastAsia="Times New Roman" w:hAnsi="Times New Roman" w:cs="Times New Roman"/>
          <w:color w:val="000000"/>
        </w:rPr>
        <w:t xml:space="preserve">a </w:t>
      </w:r>
      <w:r w:rsidR="00476E24" w:rsidRPr="00A85951">
        <w:rPr>
          <w:rFonts w:ascii="Times New Roman" w:eastAsia="Times New Roman" w:hAnsi="Times New Roman" w:cs="Times New Roman"/>
          <w:i/>
          <w:color w:val="000000"/>
        </w:rPr>
        <w:t>Wesenslogik</w:t>
      </w:r>
      <w:r w:rsidR="007D2627" w:rsidRPr="00A85951">
        <w:rPr>
          <w:rFonts w:ascii="Times New Roman" w:eastAsia="Times New Roman" w:hAnsi="Times New Roman" w:cs="Times New Roman"/>
          <w:color w:val="000000"/>
        </w:rPr>
        <w:t xml:space="preserve"> </w:t>
      </w:r>
      <w:r w:rsidR="006924CE" w:rsidRPr="00A85951">
        <w:rPr>
          <w:rFonts w:ascii="Times New Roman" w:eastAsia="Times New Roman" w:hAnsi="Times New Roman" w:cs="Times New Roman"/>
          <w:color w:val="000000"/>
        </w:rPr>
        <w:t>proble</w:t>
      </w:r>
      <w:r w:rsidR="00396DCF">
        <w:rPr>
          <w:rFonts w:ascii="Times New Roman" w:eastAsia="Times New Roman" w:hAnsi="Times New Roman" w:cs="Times New Roman"/>
          <w:color w:val="000000"/>
        </w:rPr>
        <w:t>ma</w:t>
      </w:r>
      <w:r w:rsidR="006924CE" w:rsidRPr="00A85951">
        <w:rPr>
          <w:rFonts w:ascii="Times New Roman" w:eastAsia="Times New Roman" w:hAnsi="Times New Roman" w:cs="Times New Roman"/>
          <w:color w:val="000000"/>
        </w:rPr>
        <w:t xml:space="preserve">tizza la nozione di sostanza e </w:t>
      </w:r>
      <w:r w:rsidR="00F662ED" w:rsidRPr="00A85951">
        <w:rPr>
          <w:rFonts w:ascii="Times New Roman" w:eastAsia="Times New Roman" w:hAnsi="Times New Roman" w:cs="Times New Roman"/>
          <w:color w:val="000000"/>
        </w:rPr>
        <w:t xml:space="preserve">individua </w:t>
      </w:r>
      <w:r w:rsidR="00BE2D88" w:rsidRPr="00A85951">
        <w:rPr>
          <w:rFonts w:ascii="Times New Roman" w:eastAsia="Times New Roman" w:hAnsi="Times New Roman" w:cs="Times New Roman"/>
          <w:color w:val="000000"/>
        </w:rPr>
        <w:t xml:space="preserve">nella </w:t>
      </w:r>
      <w:r w:rsidR="006924CE" w:rsidRPr="00A85951">
        <w:rPr>
          <w:rFonts w:ascii="Times New Roman" w:eastAsia="Times New Roman" w:hAnsi="Times New Roman" w:cs="Times New Roman"/>
          <w:color w:val="000000"/>
        </w:rPr>
        <w:t>s</w:t>
      </w:r>
      <w:r w:rsidR="005D7718">
        <w:rPr>
          <w:rFonts w:ascii="Times New Roman" w:eastAsia="Times New Roman" w:hAnsi="Times New Roman" w:cs="Times New Roman"/>
          <w:color w:val="000000"/>
        </w:rPr>
        <w:t xml:space="preserve">oggettivizzazione dell’Assoluto </w:t>
      </w:r>
      <w:r w:rsidR="006924CE" w:rsidRPr="00A85951">
        <w:rPr>
          <w:rFonts w:ascii="Times New Roman" w:eastAsia="Times New Roman" w:hAnsi="Times New Roman" w:cs="Times New Roman"/>
          <w:color w:val="000000"/>
        </w:rPr>
        <w:t>(</w:t>
      </w:r>
      <w:r w:rsidR="005D7718">
        <w:rPr>
          <w:rFonts w:ascii="Times New Roman" w:eastAsia="Times New Roman" w:hAnsi="Times New Roman" w:cs="Times New Roman"/>
          <w:color w:val="000000"/>
        </w:rPr>
        <w:t>l’</w:t>
      </w:r>
      <w:r w:rsidR="006924CE" w:rsidRPr="00A85951">
        <w:rPr>
          <w:rFonts w:ascii="Times New Roman" w:eastAsia="Times New Roman" w:hAnsi="Times New Roman" w:cs="Times New Roman"/>
          <w:color w:val="000000"/>
        </w:rPr>
        <w:t xml:space="preserve">opposizione </w:t>
      </w:r>
      <w:r w:rsidR="003D5DD9" w:rsidRPr="00A85951">
        <w:rPr>
          <w:rFonts w:ascii="Times New Roman" w:eastAsia="Times New Roman" w:hAnsi="Times New Roman" w:cs="Times New Roman"/>
          <w:color w:val="000000"/>
        </w:rPr>
        <w:t xml:space="preserve">pienamente </w:t>
      </w:r>
      <w:r w:rsidR="006924CE" w:rsidRPr="00A85951">
        <w:rPr>
          <w:rFonts w:ascii="Times New Roman" w:eastAsia="Times New Roman" w:hAnsi="Times New Roman" w:cs="Times New Roman"/>
          <w:color w:val="000000"/>
        </w:rPr>
        <w:t>sviluppata di positi</w:t>
      </w:r>
      <w:r w:rsidR="00DF5EB3" w:rsidRPr="00A85951">
        <w:rPr>
          <w:rFonts w:ascii="Times New Roman" w:eastAsia="Times New Roman" w:hAnsi="Times New Roman" w:cs="Times New Roman"/>
          <w:color w:val="000000"/>
        </w:rPr>
        <w:t xml:space="preserve">vo e negativo) la via d’uscita </w:t>
      </w:r>
      <w:r w:rsidR="009D3DD6" w:rsidRPr="00A85951">
        <w:rPr>
          <w:rFonts w:ascii="Times New Roman" w:eastAsia="Times New Roman" w:hAnsi="Times New Roman" w:cs="Times New Roman"/>
          <w:color w:val="000000"/>
        </w:rPr>
        <w:t>d</w:t>
      </w:r>
      <w:r w:rsidR="006924CE" w:rsidRPr="00A85951">
        <w:rPr>
          <w:rFonts w:ascii="Times New Roman" w:eastAsia="Times New Roman" w:hAnsi="Times New Roman" w:cs="Times New Roman"/>
          <w:color w:val="000000"/>
        </w:rPr>
        <w:t>all’</w:t>
      </w:r>
      <w:r w:rsidR="006924CE" w:rsidRPr="00A85951">
        <w:rPr>
          <w:rFonts w:ascii="Times New Roman" w:eastAsia="Times New Roman" w:hAnsi="Times New Roman" w:cs="Times New Roman"/>
          <w:i/>
          <w:color w:val="000000"/>
        </w:rPr>
        <w:t>impasse</w:t>
      </w:r>
      <w:r w:rsidR="009D3DD6" w:rsidRPr="00A85951">
        <w:rPr>
          <w:rFonts w:ascii="Times New Roman" w:eastAsia="Times New Roman" w:hAnsi="Times New Roman" w:cs="Times New Roman"/>
          <w:color w:val="000000"/>
        </w:rPr>
        <w:t xml:space="preserve"> teorica a cui va incontro i</w:t>
      </w:r>
      <w:r w:rsidR="006924CE" w:rsidRPr="00A85951">
        <w:rPr>
          <w:rFonts w:ascii="Times New Roman" w:eastAsia="Times New Roman" w:hAnsi="Times New Roman" w:cs="Times New Roman"/>
          <w:color w:val="000000"/>
        </w:rPr>
        <w:t xml:space="preserve">l </w:t>
      </w:r>
      <w:r w:rsidR="006924CE" w:rsidRPr="00A85951">
        <w:rPr>
          <w:rFonts w:ascii="Times New Roman" w:eastAsia="Times New Roman" w:hAnsi="Times New Roman" w:cs="Times New Roman"/>
          <w:i/>
          <w:color w:val="000000"/>
        </w:rPr>
        <w:t>De Deo</w:t>
      </w:r>
      <w:r w:rsidR="005215D3" w:rsidRPr="00A85951">
        <w:rPr>
          <w:rFonts w:ascii="Times New Roman" w:eastAsia="Times New Roman" w:hAnsi="Times New Roman" w:cs="Times New Roman"/>
          <w:i/>
          <w:color w:val="000000"/>
        </w:rPr>
        <w:t xml:space="preserve"> </w:t>
      </w:r>
      <w:r w:rsidR="005215D3" w:rsidRPr="00A85951">
        <w:rPr>
          <w:rFonts w:ascii="Times New Roman" w:eastAsia="Times New Roman" w:hAnsi="Times New Roman" w:cs="Times New Roman"/>
          <w:color w:val="000000"/>
        </w:rPr>
        <w:t>spinoziano</w:t>
      </w:r>
      <w:r w:rsidR="006924CE" w:rsidRPr="00A85951">
        <w:rPr>
          <w:rStyle w:val="Rimandonotaapidipagina"/>
          <w:rFonts w:ascii="Times New Roman" w:eastAsia="Times New Roman" w:hAnsi="Times New Roman" w:cs="Times New Roman"/>
          <w:color w:val="000000"/>
        </w:rPr>
        <w:footnoteReference w:id="209"/>
      </w:r>
      <w:r w:rsidR="00BE2D88" w:rsidRPr="00A85951">
        <w:rPr>
          <w:rFonts w:ascii="Times New Roman" w:eastAsia="Times New Roman" w:hAnsi="Times New Roman" w:cs="Times New Roman"/>
          <w:color w:val="000000"/>
        </w:rPr>
        <w:t>.</w:t>
      </w:r>
      <w:r w:rsidR="003035AC" w:rsidRPr="00A85951">
        <w:rPr>
          <w:rFonts w:ascii="Times New Roman" w:eastAsia="Times New Roman" w:hAnsi="Times New Roman" w:cs="Times New Roman"/>
          <w:color w:val="000000"/>
        </w:rPr>
        <w:t xml:space="preserve"> </w:t>
      </w:r>
      <w:r w:rsidR="00782524" w:rsidRPr="00A85951">
        <w:rPr>
          <w:rFonts w:ascii="Times New Roman" w:eastAsia="Times New Roman" w:hAnsi="Times New Roman" w:cs="Times New Roman"/>
          <w:color w:val="000000"/>
        </w:rPr>
        <w:t>In un caso e nell’altro, con specificità che saranno prese in considerazione nel proseguo di questo sottocapitolo e nel prossimo capitolo</w:t>
      </w:r>
      <w:r w:rsidR="00EF4890" w:rsidRPr="00A85951">
        <w:rPr>
          <w:rStyle w:val="Rimandonotaapidipagina"/>
          <w:rFonts w:ascii="Times New Roman" w:eastAsia="Times New Roman" w:hAnsi="Times New Roman" w:cs="Times New Roman"/>
          <w:color w:val="000000"/>
        </w:rPr>
        <w:footnoteReference w:id="210"/>
      </w:r>
      <w:r w:rsidR="00782524" w:rsidRPr="00A85951">
        <w:rPr>
          <w:rFonts w:ascii="Times New Roman" w:eastAsia="Times New Roman" w:hAnsi="Times New Roman" w:cs="Times New Roman"/>
          <w:color w:val="000000"/>
        </w:rPr>
        <w:t>, Hegel r</w:t>
      </w:r>
      <w:r w:rsidR="003D5DD9" w:rsidRPr="00A85951">
        <w:rPr>
          <w:rFonts w:ascii="Times New Roman" w:eastAsia="Times New Roman" w:hAnsi="Times New Roman" w:cs="Times New Roman"/>
          <w:color w:val="000000"/>
        </w:rPr>
        <w:t>iconosce al pensiero böhmiano l</w:t>
      </w:r>
      <w:r w:rsidR="00782524" w:rsidRPr="00A85951">
        <w:rPr>
          <w:rFonts w:ascii="Times New Roman" w:eastAsia="Times New Roman" w:hAnsi="Times New Roman" w:cs="Times New Roman"/>
          <w:color w:val="000000"/>
        </w:rPr>
        <w:t>a capacità di superare le aporie della forma inerenti allo spinozismo</w:t>
      </w:r>
      <w:r w:rsidR="00EF4890" w:rsidRPr="00A85951">
        <w:rPr>
          <w:rFonts w:ascii="Times New Roman" w:eastAsia="Times New Roman" w:hAnsi="Times New Roman" w:cs="Times New Roman"/>
          <w:color w:val="000000"/>
        </w:rPr>
        <w:t>, gettando</w:t>
      </w:r>
      <w:r w:rsidR="00782524" w:rsidRPr="00A85951">
        <w:rPr>
          <w:rFonts w:ascii="Times New Roman" w:eastAsia="Times New Roman" w:hAnsi="Times New Roman" w:cs="Times New Roman"/>
          <w:color w:val="000000"/>
        </w:rPr>
        <w:t xml:space="preserve"> </w:t>
      </w:r>
      <w:r w:rsidR="00EF4890" w:rsidRPr="00A85951">
        <w:rPr>
          <w:rFonts w:ascii="Times New Roman" w:eastAsia="Times New Roman" w:hAnsi="Times New Roman" w:cs="Times New Roman"/>
          <w:color w:val="000000"/>
        </w:rPr>
        <w:t>un’ombra su un contenuto che</w:t>
      </w:r>
      <w:r w:rsidR="0070149C" w:rsidRPr="00A85951">
        <w:rPr>
          <w:rFonts w:ascii="Times New Roman" w:eastAsia="Times New Roman" w:hAnsi="Times New Roman" w:cs="Times New Roman"/>
          <w:color w:val="000000"/>
        </w:rPr>
        <w:t xml:space="preserve"> </w:t>
      </w:r>
      <w:r w:rsidR="00EF4890" w:rsidRPr="00A85951">
        <w:rPr>
          <w:rFonts w:ascii="Times New Roman" w:eastAsia="Times New Roman" w:hAnsi="Times New Roman" w:cs="Times New Roman"/>
          <w:color w:val="000000"/>
        </w:rPr>
        <w:t xml:space="preserve">rimarrebbe </w:t>
      </w:r>
      <w:r w:rsidR="0070149C" w:rsidRPr="00A85951">
        <w:rPr>
          <w:rFonts w:ascii="Times New Roman" w:eastAsia="Times New Roman" w:hAnsi="Times New Roman" w:cs="Times New Roman"/>
          <w:color w:val="000000"/>
        </w:rPr>
        <w:t xml:space="preserve">altrimenti </w:t>
      </w:r>
      <w:r w:rsidR="00EF4890" w:rsidRPr="00A85951">
        <w:rPr>
          <w:rFonts w:ascii="Times New Roman" w:eastAsia="Times New Roman" w:hAnsi="Times New Roman" w:cs="Times New Roman"/>
          <w:color w:val="000000"/>
        </w:rPr>
        <w:t>ammantato nella sua imperturbata chiarezza.</w:t>
      </w:r>
      <w:r w:rsidR="0070149C" w:rsidRPr="00A85951">
        <w:rPr>
          <w:rFonts w:ascii="Times New Roman" w:eastAsia="Times New Roman" w:hAnsi="Times New Roman" w:cs="Times New Roman"/>
          <w:color w:val="000000"/>
        </w:rPr>
        <w:t xml:space="preserve"> </w:t>
      </w:r>
      <w:r w:rsidR="003D5DD9" w:rsidRPr="00303674">
        <w:rPr>
          <w:rFonts w:ascii="Times New Roman" w:eastAsia="Times New Roman" w:hAnsi="Times New Roman" w:cs="Times New Roman"/>
          <w:color w:val="000000"/>
        </w:rPr>
        <w:t>Q</w:t>
      </w:r>
      <w:r w:rsidR="00BE2D88" w:rsidRPr="00303674">
        <w:rPr>
          <w:rFonts w:ascii="Times New Roman" w:eastAsia="Times New Roman" w:hAnsi="Times New Roman" w:cs="Times New Roman"/>
          <w:color w:val="000000"/>
        </w:rPr>
        <w:t xml:space="preserve">uando </w:t>
      </w:r>
      <w:r w:rsidR="00782524" w:rsidRPr="00303674">
        <w:rPr>
          <w:rFonts w:ascii="Times New Roman" w:eastAsia="Times New Roman" w:hAnsi="Times New Roman" w:cs="Times New Roman"/>
          <w:color w:val="000000"/>
        </w:rPr>
        <w:t xml:space="preserve">nelle lezioni edite </w:t>
      </w:r>
      <w:r w:rsidR="00BD692E" w:rsidRPr="00303674">
        <w:rPr>
          <w:rFonts w:ascii="Times New Roman" w:eastAsia="Times New Roman" w:hAnsi="Times New Roman" w:cs="Times New Roman"/>
          <w:color w:val="000000"/>
        </w:rPr>
        <w:t xml:space="preserve">da </w:t>
      </w:r>
      <w:r w:rsidR="00BE2D88" w:rsidRPr="00303674">
        <w:rPr>
          <w:rFonts w:ascii="Times New Roman" w:eastAsia="Times New Roman" w:hAnsi="Times New Roman" w:cs="Times New Roman"/>
          <w:color w:val="000000"/>
        </w:rPr>
        <w:t xml:space="preserve">Michelet </w:t>
      </w:r>
      <w:r w:rsidR="00782524" w:rsidRPr="00303674">
        <w:rPr>
          <w:rFonts w:ascii="Times New Roman" w:eastAsia="Times New Roman" w:hAnsi="Times New Roman" w:cs="Times New Roman"/>
          <w:color w:val="000000"/>
        </w:rPr>
        <w:t xml:space="preserve">si legge che </w:t>
      </w:r>
      <w:r w:rsidR="00BE2D88" w:rsidRPr="00303674">
        <w:rPr>
          <w:rFonts w:ascii="Times New Roman" w:eastAsia="Times New Roman" w:hAnsi="Times New Roman" w:cs="Times New Roman"/>
          <w:color w:val="000000"/>
        </w:rPr>
        <w:t xml:space="preserve">Jakob Böhme </w:t>
      </w:r>
      <w:r w:rsidR="00782524" w:rsidRPr="00303674">
        <w:rPr>
          <w:rFonts w:ascii="Times New Roman" w:eastAsia="Times New Roman" w:hAnsi="Times New Roman" w:cs="Times New Roman"/>
          <w:color w:val="000000"/>
        </w:rPr>
        <w:t xml:space="preserve">supera la vuota </w:t>
      </w:r>
      <w:r w:rsidR="00643608" w:rsidRPr="00303674">
        <w:rPr>
          <w:rFonts w:ascii="Times New Roman" w:eastAsia="Times New Roman" w:hAnsi="Times New Roman" w:cs="Times New Roman"/>
          <w:color w:val="000000"/>
        </w:rPr>
        <w:t>astrattezza</w:t>
      </w:r>
      <w:r w:rsidR="005F165F" w:rsidRPr="00303674">
        <w:rPr>
          <w:rFonts w:ascii="Times New Roman" w:eastAsia="Times New Roman" w:hAnsi="Times New Roman" w:cs="Times New Roman"/>
          <w:color w:val="000000"/>
        </w:rPr>
        <w:t xml:space="preserve"> dell’</w:t>
      </w:r>
      <w:r w:rsidR="005F165F" w:rsidRPr="00303674">
        <w:rPr>
          <w:rFonts w:ascii="Times New Roman" w:eastAsia="Times New Roman" w:hAnsi="Times New Roman" w:cs="Times New Roman"/>
          <w:i/>
          <w:color w:val="000000"/>
        </w:rPr>
        <w:t>Höchstes Wesen</w:t>
      </w:r>
      <w:r w:rsidR="003B0440" w:rsidRPr="00303674">
        <w:rPr>
          <w:rFonts w:ascii="Times New Roman" w:eastAsia="Times New Roman" w:hAnsi="Times New Roman" w:cs="Times New Roman"/>
          <w:color w:val="000000"/>
        </w:rPr>
        <w:t xml:space="preserve">, esaminiano, con </w:t>
      </w:r>
      <w:r w:rsidR="0098346B" w:rsidRPr="00303674">
        <w:rPr>
          <w:rFonts w:ascii="Times New Roman" w:eastAsia="Times New Roman" w:hAnsi="Times New Roman" w:cs="Times New Roman"/>
          <w:color w:val="000000"/>
        </w:rPr>
        <w:t xml:space="preserve">tutta </w:t>
      </w:r>
      <w:r w:rsidR="003B0440" w:rsidRPr="00303674">
        <w:rPr>
          <w:rFonts w:ascii="Times New Roman" w:eastAsia="Times New Roman" w:hAnsi="Times New Roman" w:cs="Times New Roman"/>
          <w:color w:val="000000"/>
        </w:rPr>
        <w:t xml:space="preserve">probabilità, </w:t>
      </w:r>
      <w:r w:rsidR="00C442A7" w:rsidRPr="00303674">
        <w:rPr>
          <w:rFonts w:ascii="Times New Roman" w:eastAsia="Times New Roman" w:hAnsi="Times New Roman" w:cs="Times New Roman"/>
          <w:color w:val="000000"/>
        </w:rPr>
        <w:t xml:space="preserve">un estratto di </w:t>
      </w:r>
      <w:r w:rsidR="005F165F" w:rsidRPr="00303674">
        <w:rPr>
          <w:rFonts w:ascii="Times New Roman" w:eastAsia="Times New Roman" w:hAnsi="Times New Roman" w:cs="Times New Roman"/>
          <w:color w:val="000000"/>
        </w:rPr>
        <w:t>quei</w:t>
      </w:r>
      <w:r w:rsidR="000B165C" w:rsidRPr="00303674">
        <w:rPr>
          <w:rFonts w:ascii="Times New Roman" w:eastAsia="Times New Roman" w:hAnsi="Times New Roman" w:cs="Times New Roman"/>
          <w:color w:val="000000"/>
        </w:rPr>
        <w:t xml:space="preserve"> manosc</w:t>
      </w:r>
      <w:r w:rsidR="00597718" w:rsidRPr="00303674">
        <w:rPr>
          <w:rFonts w:ascii="Times New Roman" w:eastAsia="Times New Roman" w:hAnsi="Times New Roman" w:cs="Times New Roman"/>
          <w:color w:val="000000"/>
        </w:rPr>
        <w:t>ritti jenesi su cui Hegel</w:t>
      </w:r>
      <w:r w:rsidR="003B0440" w:rsidRPr="00303674">
        <w:rPr>
          <w:rFonts w:ascii="Times New Roman" w:eastAsia="Times New Roman" w:hAnsi="Times New Roman" w:cs="Times New Roman"/>
          <w:color w:val="000000"/>
        </w:rPr>
        <w:t xml:space="preserve"> </w:t>
      </w:r>
      <w:r w:rsidR="005F165F" w:rsidRPr="00303674">
        <w:rPr>
          <w:rFonts w:ascii="Times New Roman" w:eastAsia="Times New Roman" w:hAnsi="Times New Roman" w:cs="Times New Roman"/>
          <w:color w:val="000000"/>
        </w:rPr>
        <w:t>continuava ad impostare</w:t>
      </w:r>
      <w:r w:rsidR="000B165C" w:rsidRPr="00303674">
        <w:rPr>
          <w:rFonts w:ascii="Times New Roman" w:eastAsia="Times New Roman" w:hAnsi="Times New Roman" w:cs="Times New Roman"/>
          <w:color w:val="000000"/>
        </w:rPr>
        <w:t xml:space="preserve"> </w:t>
      </w:r>
      <w:r w:rsidR="00597718" w:rsidRPr="00303674">
        <w:rPr>
          <w:rFonts w:ascii="Times New Roman" w:eastAsia="Times New Roman" w:hAnsi="Times New Roman" w:cs="Times New Roman"/>
          <w:color w:val="000000"/>
        </w:rPr>
        <w:t xml:space="preserve">a Berlino </w:t>
      </w:r>
      <w:r w:rsidR="001B5AA9" w:rsidRPr="00303674">
        <w:rPr>
          <w:rFonts w:ascii="Times New Roman" w:eastAsia="Times New Roman" w:hAnsi="Times New Roman" w:cs="Times New Roman"/>
          <w:color w:val="000000"/>
        </w:rPr>
        <w:t xml:space="preserve">le </w:t>
      </w:r>
      <w:r w:rsidR="00D9695A" w:rsidRPr="00303674">
        <w:rPr>
          <w:rFonts w:ascii="Times New Roman" w:eastAsia="Times New Roman" w:hAnsi="Times New Roman" w:cs="Times New Roman"/>
          <w:color w:val="000000"/>
        </w:rPr>
        <w:t xml:space="preserve">sue </w:t>
      </w:r>
      <w:r w:rsidR="001B5AA9" w:rsidRPr="00303674">
        <w:rPr>
          <w:rFonts w:ascii="Times New Roman" w:eastAsia="Times New Roman" w:hAnsi="Times New Roman" w:cs="Times New Roman"/>
          <w:color w:val="000000"/>
        </w:rPr>
        <w:t xml:space="preserve">lezioni </w:t>
      </w:r>
      <w:r w:rsidR="004D6946" w:rsidRPr="00303674">
        <w:rPr>
          <w:rFonts w:ascii="Times New Roman" w:eastAsia="Times New Roman" w:hAnsi="Times New Roman" w:cs="Times New Roman"/>
          <w:color w:val="000000"/>
        </w:rPr>
        <w:t>sulla</w:t>
      </w:r>
      <w:r w:rsidR="000B165C" w:rsidRPr="00303674">
        <w:rPr>
          <w:rFonts w:ascii="Times New Roman" w:eastAsia="Times New Roman" w:hAnsi="Times New Roman" w:cs="Times New Roman"/>
          <w:color w:val="000000"/>
        </w:rPr>
        <w:t xml:space="preserve"> storia della filosofia</w:t>
      </w:r>
      <w:r w:rsidR="00560854" w:rsidRPr="00303674">
        <w:rPr>
          <w:rFonts w:ascii="Times New Roman" w:eastAsia="Times New Roman" w:hAnsi="Times New Roman" w:cs="Times New Roman"/>
          <w:color w:val="000000"/>
        </w:rPr>
        <w:t>.</w:t>
      </w:r>
      <w:r w:rsidR="00A85951" w:rsidRPr="00A85951">
        <w:rPr>
          <w:rFonts w:ascii="Times New Roman" w:eastAsia="Times New Roman" w:hAnsi="Times New Roman" w:cs="Times New Roman"/>
          <w:color w:val="000000"/>
        </w:rPr>
        <w:t xml:space="preserve"> </w:t>
      </w:r>
      <w:r w:rsidR="00BD4DDB" w:rsidRPr="002A077D">
        <w:rPr>
          <w:rFonts w:ascii="Times New Roman" w:eastAsia="Times New Roman" w:hAnsi="Times New Roman" w:cs="Times New Roman"/>
          <w:color w:val="000000"/>
        </w:rPr>
        <w:t>Sebbene sia un taglio argomentativo adottato</w:t>
      </w:r>
      <w:r w:rsidR="000F5655" w:rsidRPr="002A077D">
        <w:rPr>
          <w:rFonts w:ascii="Times New Roman" w:eastAsia="Times New Roman" w:hAnsi="Times New Roman" w:cs="Times New Roman"/>
          <w:color w:val="000000"/>
        </w:rPr>
        <w:t xml:space="preserve"> </w:t>
      </w:r>
      <w:r w:rsidR="004D6946" w:rsidRPr="002A077D">
        <w:rPr>
          <w:rFonts w:ascii="Times New Roman" w:eastAsia="Times New Roman" w:hAnsi="Times New Roman" w:cs="Times New Roman"/>
          <w:color w:val="000000"/>
        </w:rPr>
        <w:t>anche n</w:t>
      </w:r>
      <w:r w:rsidR="005F165F" w:rsidRPr="002A077D">
        <w:rPr>
          <w:rFonts w:ascii="Times New Roman" w:eastAsia="Times New Roman" w:hAnsi="Times New Roman" w:cs="Times New Roman"/>
          <w:color w:val="000000"/>
        </w:rPr>
        <w:t>ella</w:t>
      </w:r>
      <w:r w:rsidR="0087446C" w:rsidRPr="002A077D">
        <w:rPr>
          <w:rFonts w:ascii="Times New Roman" w:eastAsia="Times New Roman" w:hAnsi="Times New Roman" w:cs="Times New Roman"/>
          <w:color w:val="000000"/>
        </w:rPr>
        <w:t xml:space="preserve"> successiva logica norimberghese</w:t>
      </w:r>
      <w:r w:rsidR="005F165F" w:rsidRPr="002A077D">
        <w:rPr>
          <w:rStyle w:val="Rimandonotaapidipagina"/>
          <w:rFonts w:ascii="Times New Roman" w:eastAsia="Times New Roman" w:hAnsi="Times New Roman" w:cs="Times New Roman"/>
          <w:color w:val="000000"/>
        </w:rPr>
        <w:footnoteReference w:id="211"/>
      </w:r>
      <w:r w:rsidR="0087446C" w:rsidRPr="002A077D">
        <w:rPr>
          <w:rFonts w:ascii="Times New Roman" w:eastAsia="Times New Roman" w:hAnsi="Times New Roman" w:cs="Times New Roman"/>
          <w:color w:val="000000"/>
        </w:rPr>
        <w:t xml:space="preserve">, </w:t>
      </w:r>
      <w:r w:rsidR="003B0440" w:rsidRPr="002A077D">
        <w:rPr>
          <w:rFonts w:ascii="Times New Roman" w:eastAsia="Times New Roman" w:hAnsi="Times New Roman" w:cs="Times New Roman"/>
          <w:color w:val="000000"/>
        </w:rPr>
        <w:t>penso che già</w:t>
      </w:r>
      <w:r w:rsidR="00815106" w:rsidRPr="002A077D">
        <w:rPr>
          <w:rFonts w:ascii="Times New Roman" w:eastAsia="Times New Roman" w:hAnsi="Times New Roman" w:cs="Times New Roman"/>
          <w:color w:val="000000"/>
        </w:rPr>
        <w:t xml:space="preserve"> nell</w:t>
      </w:r>
      <w:r w:rsidR="00BD4DDB" w:rsidRPr="002A077D">
        <w:rPr>
          <w:rFonts w:ascii="Times New Roman" w:eastAsia="Times New Roman" w:hAnsi="Times New Roman" w:cs="Times New Roman"/>
          <w:color w:val="000000"/>
        </w:rPr>
        <w:t>a</w:t>
      </w:r>
      <w:r w:rsidR="00E37807" w:rsidRPr="002A077D">
        <w:rPr>
          <w:rFonts w:ascii="Times New Roman" w:eastAsia="Times New Roman" w:hAnsi="Times New Roman" w:cs="Times New Roman"/>
          <w:color w:val="000000"/>
        </w:rPr>
        <w:t xml:space="preserve"> </w:t>
      </w:r>
      <w:r w:rsidR="00BD4DDB" w:rsidRPr="002A077D">
        <w:rPr>
          <w:rFonts w:ascii="Times New Roman" w:eastAsia="Times New Roman" w:hAnsi="Times New Roman" w:cs="Times New Roman"/>
          <w:i/>
          <w:color w:val="000000"/>
        </w:rPr>
        <w:t>Jenaer Logik und Metaphysik</w:t>
      </w:r>
      <w:r w:rsidR="004D2629" w:rsidRPr="002A077D">
        <w:rPr>
          <w:rFonts w:ascii="Times New Roman" w:eastAsia="Times New Roman" w:hAnsi="Times New Roman" w:cs="Times New Roman"/>
          <w:color w:val="000000"/>
        </w:rPr>
        <w:t xml:space="preserve"> si possa indicare in</w:t>
      </w:r>
      <w:r w:rsidR="003D5DD9" w:rsidRPr="002A077D">
        <w:rPr>
          <w:rFonts w:ascii="Times New Roman" w:eastAsia="Times New Roman" w:hAnsi="Times New Roman" w:cs="Times New Roman"/>
          <w:color w:val="000000"/>
        </w:rPr>
        <w:t xml:space="preserve"> </w:t>
      </w:r>
      <w:r w:rsidR="00AB4B43" w:rsidRPr="002A077D">
        <w:rPr>
          <w:rFonts w:ascii="Times New Roman" w:eastAsia="Times New Roman" w:hAnsi="Times New Roman" w:cs="Times New Roman"/>
          <w:color w:val="000000"/>
        </w:rPr>
        <w:t>Böhme</w:t>
      </w:r>
      <w:r w:rsidR="00815106" w:rsidRPr="002A077D">
        <w:rPr>
          <w:rFonts w:ascii="Times New Roman" w:eastAsia="Times New Roman" w:hAnsi="Times New Roman" w:cs="Times New Roman"/>
          <w:color w:val="000000"/>
        </w:rPr>
        <w:t xml:space="preserve"> </w:t>
      </w:r>
      <w:r w:rsidR="003D5DD9" w:rsidRPr="002A077D">
        <w:rPr>
          <w:rFonts w:ascii="Times New Roman" w:eastAsia="Times New Roman" w:hAnsi="Times New Roman" w:cs="Times New Roman"/>
          <w:color w:val="000000"/>
        </w:rPr>
        <w:t>un riferimento teorico</w:t>
      </w:r>
      <w:r w:rsidR="00E0315F" w:rsidRPr="002A077D">
        <w:rPr>
          <w:rFonts w:ascii="Times New Roman" w:eastAsia="Times New Roman" w:hAnsi="Times New Roman" w:cs="Times New Roman"/>
          <w:color w:val="000000"/>
        </w:rPr>
        <w:t xml:space="preserve"> </w:t>
      </w:r>
      <w:r w:rsidR="00BD4DDB" w:rsidRPr="002A077D">
        <w:rPr>
          <w:rFonts w:ascii="Times New Roman" w:eastAsia="Times New Roman" w:hAnsi="Times New Roman" w:cs="Times New Roman"/>
          <w:color w:val="000000"/>
        </w:rPr>
        <w:t xml:space="preserve">con </w:t>
      </w:r>
      <w:r w:rsidR="00AB4ACB" w:rsidRPr="002A077D">
        <w:rPr>
          <w:rFonts w:ascii="Times New Roman" w:eastAsia="Times New Roman" w:hAnsi="Times New Roman" w:cs="Times New Roman"/>
          <w:color w:val="000000"/>
        </w:rPr>
        <w:t>cui</w:t>
      </w:r>
      <w:r w:rsidR="00AB4B43" w:rsidRPr="002A077D">
        <w:rPr>
          <w:rFonts w:ascii="Times New Roman" w:eastAsia="Times New Roman" w:hAnsi="Times New Roman" w:cs="Times New Roman"/>
          <w:color w:val="000000"/>
        </w:rPr>
        <w:t xml:space="preserve"> </w:t>
      </w:r>
      <w:r w:rsidR="003D5DD9" w:rsidRPr="002A077D">
        <w:rPr>
          <w:rFonts w:ascii="Times New Roman" w:eastAsia="Times New Roman" w:hAnsi="Times New Roman" w:cs="Times New Roman"/>
          <w:color w:val="000000"/>
        </w:rPr>
        <w:t xml:space="preserve">Hegel </w:t>
      </w:r>
      <w:r w:rsidR="00396DCF" w:rsidRPr="002A077D">
        <w:rPr>
          <w:rFonts w:ascii="Times New Roman" w:eastAsia="Times New Roman" w:hAnsi="Times New Roman" w:cs="Times New Roman"/>
          <w:color w:val="000000"/>
        </w:rPr>
        <w:t xml:space="preserve">scardina </w:t>
      </w:r>
      <w:r w:rsidR="00F662ED" w:rsidRPr="002A077D">
        <w:rPr>
          <w:rFonts w:ascii="Times New Roman" w:eastAsia="Times New Roman" w:hAnsi="Times New Roman" w:cs="Times New Roman"/>
          <w:color w:val="000000"/>
        </w:rPr>
        <w:t>l’indeterminatezza del punto di vista di Spinoza</w:t>
      </w:r>
      <w:r w:rsidR="00A85951" w:rsidRPr="002A077D">
        <w:rPr>
          <w:rFonts w:ascii="Times New Roman" w:eastAsia="Times New Roman" w:hAnsi="Times New Roman" w:cs="Times New Roman"/>
          <w:color w:val="000000"/>
        </w:rPr>
        <w:t xml:space="preserve">, </w:t>
      </w:r>
      <w:r w:rsidR="00396DCF" w:rsidRPr="002A077D">
        <w:rPr>
          <w:rFonts w:ascii="Times New Roman" w:eastAsia="Times New Roman" w:hAnsi="Times New Roman" w:cs="Times New Roman"/>
          <w:color w:val="000000"/>
        </w:rPr>
        <w:t xml:space="preserve">attacca </w:t>
      </w:r>
      <w:r w:rsidR="00A85951" w:rsidRPr="002A077D">
        <w:rPr>
          <w:rFonts w:ascii="Times New Roman" w:eastAsia="Times New Roman" w:hAnsi="Times New Roman" w:cs="Times New Roman"/>
          <w:color w:val="000000"/>
        </w:rPr>
        <w:t>l’intellettualismo della filosofia della religione di Kant</w:t>
      </w:r>
      <w:r w:rsidR="00F662ED" w:rsidRPr="002A077D">
        <w:rPr>
          <w:rFonts w:ascii="Times New Roman" w:eastAsia="Times New Roman" w:hAnsi="Times New Roman" w:cs="Times New Roman"/>
          <w:color w:val="000000"/>
        </w:rPr>
        <w:t xml:space="preserve"> e</w:t>
      </w:r>
      <w:r w:rsidR="00BD4DDB" w:rsidRPr="002A077D">
        <w:rPr>
          <w:rFonts w:ascii="Times New Roman" w:eastAsia="Times New Roman" w:hAnsi="Times New Roman" w:cs="Times New Roman"/>
          <w:color w:val="000000"/>
        </w:rPr>
        <w:t xml:space="preserve"> </w:t>
      </w:r>
      <w:r w:rsidR="004E19DC" w:rsidRPr="002A077D">
        <w:rPr>
          <w:rFonts w:ascii="Times New Roman" w:eastAsia="Times New Roman" w:hAnsi="Times New Roman" w:cs="Times New Roman"/>
          <w:color w:val="000000"/>
        </w:rPr>
        <w:t>prop</w:t>
      </w:r>
      <w:r w:rsidR="003D5DD9" w:rsidRPr="002A077D">
        <w:rPr>
          <w:rFonts w:ascii="Times New Roman" w:eastAsia="Times New Roman" w:hAnsi="Times New Roman" w:cs="Times New Roman"/>
          <w:color w:val="000000"/>
        </w:rPr>
        <w:t>one</w:t>
      </w:r>
      <w:r w:rsidR="00876750" w:rsidRPr="002A077D">
        <w:rPr>
          <w:rFonts w:ascii="Times New Roman" w:eastAsia="Times New Roman" w:hAnsi="Times New Roman" w:cs="Times New Roman"/>
          <w:color w:val="000000"/>
        </w:rPr>
        <w:t xml:space="preserve">, </w:t>
      </w:r>
      <w:r w:rsidR="00396DCF" w:rsidRPr="002A077D">
        <w:rPr>
          <w:rFonts w:ascii="Times New Roman" w:eastAsia="Times New Roman" w:hAnsi="Times New Roman" w:cs="Times New Roman"/>
          <w:color w:val="000000"/>
        </w:rPr>
        <w:t xml:space="preserve">al termine della </w:t>
      </w:r>
      <w:r w:rsidR="00876750" w:rsidRPr="002A077D">
        <w:rPr>
          <w:rFonts w:ascii="Times New Roman" w:eastAsia="Times New Roman" w:hAnsi="Times New Roman" w:cs="Times New Roman"/>
          <w:i/>
          <w:color w:val="000000"/>
          <w:lang w:val="de-DE"/>
        </w:rPr>
        <w:t>Metaphysik der Subjectivität</w:t>
      </w:r>
      <w:r w:rsidR="00876750" w:rsidRPr="002A077D">
        <w:rPr>
          <w:rFonts w:ascii="Times New Roman" w:eastAsia="Times New Roman" w:hAnsi="Times New Roman" w:cs="Times New Roman"/>
          <w:color w:val="000000"/>
          <w:lang w:val="de-DE"/>
        </w:rPr>
        <w:t xml:space="preserve">, </w:t>
      </w:r>
      <w:r w:rsidR="006C202B" w:rsidRPr="002A077D">
        <w:rPr>
          <w:rFonts w:ascii="Times New Roman" w:eastAsia="Times New Roman" w:hAnsi="Times New Roman" w:cs="Times New Roman"/>
          <w:color w:val="000000"/>
        </w:rPr>
        <w:t>una comprensione dinamica</w:t>
      </w:r>
      <w:r w:rsidR="00F662ED" w:rsidRPr="002A077D">
        <w:rPr>
          <w:rFonts w:ascii="Times New Roman" w:eastAsia="Times New Roman" w:hAnsi="Times New Roman" w:cs="Times New Roman"/>
          <w:color w:val="000000"/>
        </w:rPr>
        <w:t xml:space="preserve"> </w:t>
      </w:r>
      <w:r w:rsidR="00E37807" w:rsidRPr="002A077D">
        <w:rPr>
          <w:rFonts w:ascii="Times New Roman" w:eastAsia="Times New Roman" w:hAnsi="Times New Roman" w:cs="Times New Roman"/>
          <w:color w:val="000000"/>
        </w:rPr>
        <w:t xml:space="preserve">e </w:t>
      </w:r>
      <w:r w:rsidR="006C202B" w:rsidRPr="002A077D">
        <w:rPr>
          <w:rFonts w:ascii="Times New Roman" w:eastAsia="Times New Roman" w:hAnsi="Times New Roman" w:cs="Times New Roman"/>
          <w:color w:val="000000"/>
        </w:rPr>
        <w:t>soggettiva</w:t>
      </w:r>
      <w:r w:rsidR="00F662ED" w:rsidRPr="002A077D">
        <w:rPr>
          <w:rFonts w:ascii="Times New Roman" w:eastAsia="Times New Roman" w:hAnsi="Times New Roman" w:cs="Times New Roman"/>
          <w:color w:val="000000"/>
        </w:rPr>
        <w:t xml:space="preserve"> d</w:t>
      </w:r>
      <w:r w:rsidR="006C202B" w:rsidRPr="002A077D">
        <w:rPr>
          <w:rFonts w:ascii="Times New Roman" w:eastAsia="Times New Roman" w:hAnsi="Times New Roman" w:cs="Times New Roman"/>
          <w:color w:val="000000"/>
        </w:rPr>
        <w:t>ell</w:t>
      </w:r>
      <w:r w:rsidR="00F662ED" w:rsidRPr="002A077D">
        <w:rPr>
          <w:rFonts w:ascii="Times New Roman" w:eastAsia="Times New Roman" w:hAnsi="Times New Roman" w:cs="Times New Roman"/>
          <w:color w:val="000000"/>
        </w:rPr>
        <w:t>’Assoluto.</w:t>
      </w:r>
      <w:r w:rsidR="00F55CAE">
        <w:rPr>
          <w:rFonts w:ascii="Times New Roman" w:eastAsia="Times New Roman" w:hAnsi="Times New Roman" w:cs="Times New Roman"/>
          <w:color w:val="000000"/>
        </w:rPr>
        <w:t xml:space="preserve"> </w:t>
      </w:r>
    </w:p>
    <w:p w14:paraId="72A7FFC9" w14:textId="59F10BEB" w:rsidR="00B6081D" w:rsidRPr="00E56805" w:rsidRDefault="00DA1E0B" w:rsidP="00E56805">
      <w:pPr>
        <w:spacing w:line="360" w:lineRule="auto"/>
        <w:ind w:firstLine="567"/>
        <w:jc w:val="both"/>
        <w:rPr>
          <w:rFonts w:ascii="Times New Roman" w:hAnsi="Times New Roman" w:cs="Times New Roman"/>
        </w:rPr>
      </w:pPr>
      <w:r w:rsidRPr="00ED1668">
        <w:rPr>
          <w:rFonts w:ascii="Times New Roman" w:hAnsi="Times New Roman" w:cs="Times New Roman"/>
        </w:rPr>
        <w:t xml:space="preserve">Dopo questa osservazione di carattere generale, è opportuno prendere in esame alcune scelte </w:t>
      </w:r>
      <w:r w:rsidRPr="00A96F49">
        <w:rPr>
          <w:rFonts w:ascii="Times New Roman" w:hAnsi="Times New Roman" w:cs="Times New Roman"/>
        </w:rPr>
        <w:t>terminologiche operate da Hegel nella sezione dell’</w:t>
      </w:r>
      <w:r w:rsidRPr="00A96F49">
        <w:rPr>
          <w:rFonts w:ascii="Times New Roman" w:hAnsi="Times New Roman" w:cs="Times New Roman"/>
          <w:i/>
        </w:rPr>
        <w:t>Höchstes Wesen</w:t>
      </w:r>
      <w:r w:rsidRPr="00A96F49">
        <w:rPr>
          <w:rFonts w:ascii="Times New Roman" w:hAnsi="Times New Roman" w:cs="Times New Roman"/>
        </w:rPr>
        <w:t xml:space="preserve">. </w:t>
      </w:r>
      <w:r w:rsidR="00ED1668" w:rsidRPr="00A96F49">
        <w:rPr>
          <w:rFonts w:ascii="Times New Roman" w:hAnsi="Times New Roman" w:cs="Times New Roman"/>
        </w:rPr>
        <w:t>G</w:t>
      </w:r>
      <w:r w:rsidRPr="00A96F49">
        <w:rPr>
          <w:rFonts w:ascii="Times New Roman" w:hAnsi="Times New Roman" w:cs="Times New Roman"/>
        </w:rPr>
        <w:t xml:space="preserve">ià la descrizione hegeliana dell’essere per sé </w:t>
      </w:r>
      <w:r w:rsidR="00303674" w:rsidRPr="00A96F49">
        <w:rPr>
          <w:rFonts w:ascii="Times New Roman" w:hAnsi="Times New Roman" w:cs="Times New Roman"/>
        </w:rPr>
        <w:t>(</w:t>
      </w:r>
      <w:r w:rsidRPr="00A96F49">
        <w:rPr>
          <w:rFonts w:ascii="Times New Roman" w:hAnsi="Times New Roman" w:cs="Times New Roman"/>
        </w:rPr>
        <w:t>del principio cattivo</w:t>
      </w:r>
      <w:r w:rsidR="00303674" w:rsidRPr="00A96F49">
        <w:rPr>
          <w:rFonts w:ascii="Times New Roman" w:hAnsi="Times New Roman" w:cs="Times New Roman"/>
        </w:rPr>
        <w:t>)</w:t>
      </w:r>
      <w:r w:rsidRPr="00ED1668">
        <w:rPr>
          <w:rFonts w:ascii="Times New Roman" w:hAnsi="Times New Roman" w:cs="Times New Roman"/>
        </w:rPr>
        <w:t xml:space="preserve"> lascia pensare ad una sovrapposizione di schemi b</w:t>
      </w:r>
      <w:r w:rsidRPr="00ED1668">
        <w:rPr>
          <w:rFonts w:ascii="Times New Roman" w:hAnsi="Times New Roman" w:cs="Times New Roman"/>
          <w:lang w:val="de-DE"/>
        </w:rPr>
        <w:t>ö</w:t>
      </w:r>
      <w:r w:rsidRPr="00ED1668">
        <w:rPr>
          <w:rFonts w:ascii="Times New Roman" w:hAnsi="Times New Roman" w:cs="Times New Roman"/>
        </w:rPr>
        <w:t xml:space="preserve">hmiani sulla filosofia della religione di Kant. Il processo, attraverso cui la tenebra si autonomizza dalla luce, è definito da Hegel come un configurarsi, un </w:t>
      </w:r>
      <w:r w:rsidRPr="00ED1668">
        <w:rPr>
          <w:rFonts w:ascii="Times New Roman" w:hAnsi="Times New Roman" w:cs="Times New Roman"/>
          <w:i/>
          <w:lang w:val="de-DE"/>
        </w:rPr>
        <w:t>sich in sich einbilden</w:t>
      </w:r>
      <w:r w:rsidRPr="00303674">
        <w:rPr>
          <w:rStyle w:val="Rimandonotaapidipagina"/>
          <w:rFonts w:ascii="Times New Roman" w:hAnsi="Times New Roman" w:cs="Times New Roman"/>
          <w:lang w:val="de-DE"/>
        </w:rPr>
        <w:footnoteReference w:id="212"/>
      </w:r>
      <w:r w:rsidRPr="00303674">
        <w:rPr>
          <w:rFonts w:ascii="Times New Roman" w:hAnsi="Times New Roman" w:cs="Times New Roman"/>
        </w:rPr>
        <w:t>.</w:t>
      </w:r>
      <w:r w:rsidRPr="00ED1668">
        <w:rPr>
          <w:rFonts w:ascii="Times New Roman" w:hAnsi="Times New Roman" w:cs="Times New Roman"/>
        </w:rPr>
        <w:t xml:space="preserve"> Quest’espressione denota non soltanto l’attività del darsi concretamente una figura, ma anche del produrre un’immagine di sé nel pensiero (un sapere di sé). Grazie alla duplicità, che in questo caso è ricchezza, del termine </w:t>
      </w:r>
      <w:r w:rsidRPr="00ED1668">
        <w:rPr>
          <w:rFonts w:ascii="Times New Roman" w:hAnsi="Times New Roman" w:cs="Times New Roman"/>
          <w:i/>
          <w:lang w:val="de-DE"/>
        </w:rPr>
        <w:t>einbilden</w:t>
      </w:r>
      <w:r w:rsidRPr="00ED1668">
        <w:rPr>
          <w:rFonts w:ascii="Times New Roman" w:hAnsi="Times New Roman" w:cs="Times New Roman"/>
        </w:rPr>
        <w:t>, Hegel esprime il formarsi dell’essere per sé (</w:t>
      </w:r>
      <w:r w:rsidRPr="00ED1668">
        <w:rPr>
          <w:rFonts w:ascii="Times New Roman" w:hAnsi="Times New Roman" w:cs="Times New Roman"/>
          <w:i/>
        </w:rPr>
        <w:t>Fürsichseyn</w:t>
      </w:r>
      <w:r w:rsidRPr="00ED1668">
        <w:rPr>
          <w:rFonts w:ascii="Times New Roman" w:hAnsi="Times New Roman" w:cs="Times New Roman"/>
        </w:rPr>
        <w:t>) del principio cattivo</w:t>
      </w:r>
      <w:r w:rsidRPr="00ED1668">
        <w:rPr>
          <w:rStyle w:val="Rimandonotaapidipagina"/>
          <w:rFonts w:ascii="Times New Roman" w:hAnsi="Times New Roman" w:cs="Times New Roman"/>
        </w:rPr>
        <w:footnoteReference w:id="213"/>
      </w:r>
      <w:r w:rsidRPr="00ED1668">
        <w:rPr>
          <w:rFonts w:ascii="Times New Roman" w:hAnsi="Times New Roman" w:cs="Times New Roman"/>
        </w:rPr>
        <w:t xml:space="preserve"> e il suo opporsi all’essenza suprema. </w:t>
      </w:r>
      <w:r w:rsidRPr="00582E41">
        <w:rPr>
          <w:rFonts w:ascii="Times New Roman" w:hAnsi="Times New Roman" w:cs="Times New Roman"/>
        </w:rPr>
        <w:t xml:space="preserve">Se si presta attenzione al lessico </w:t>
      </w:r>
      <w:r w:rsidRPr="00783C37">
        <w:rPr>
          <w:rFonts w:ascii="Times New Roman" w:hAnsi="Times New Roman" w:cs="Times New Roman"/>
        </w:rPr>
        <w:t xml:space="preserve">hegeliano, possiamo constatare la convergenza di questa dinamica con quanto descritto nel </w:t>
      </w:r>
      <w:r w:rsidRPr="00783C37">
        <w:rPr>
          <w:rFonts w:ascii="Times New Roman" w:hAnsi="Times New Roman" w:cs="Times New Roman"/>
          <w:i/>
          <w:lang w:val="de-DE"/>
        </w:rPr>
        <w:t xml:space="preserve">Fragment </w:t>
      </w:r>
      <w:r w:rsidRPr="00783C37">
        <w:rPr>
          <w:rFonts w:ascii="Times New Roman" w:hAnsi="Times New Roman" w:cs="Times New Roman"/>
          <w:lang w:val="de-DE"/>
        </w:rPr>
        <w:t>49</w:t>
      </w:r>
      <w:r w:rsidRPr="00783C37">
        <w:rPr>
          <w:rFonts w:ascii="Times New Roman" w:hAnsi="Times New Roman" w:cs="Times New Roman"/>
        </w:rPr>
        <w:t xml:space="preserve">. </w:t>
      </w:r>
      <w:r w:rsidR="00787426" w:rsidRPr="00783C37">
        <w:rPr>
          <w:rFonts w:ascii="Times New Roman" w:hAnsi="Times New Roman" w:cs="Times New Roman"/>
        </w:rPr>
        <w:t xml:space="preserve">Secondo Hegel, </w:t>
      </w:r>
      <w:r w:rsidRPr="00783C37">
        <w:rPr>
          <w:rFonts w:ascii="Times New Roman" w:hAnsi="Times New Roman" w:cs="Times New Roman"/>
        </w:rPr>
        <w:t xml:space="preserve">il </w:t>
      </w:r>
      <w:r w:rsidR="0046284C" w:rsidRPr="00783C37">
        <w:rPr>
          <w:rFonts w:ascii="Times New Roman" w:hAnsi="Times New Roman" w:cs="Times New Roman"/>
        </w:rPr>
        <w:t xml:space="preserve">böhmiano </w:t>
      </w:r>
      <w:r w:rsidRPr="00783C37">
        <w:rPr>
          <w:rFonts w:ascii="Times New Roman" w:hAnsi="Times New Roman" w:cs="Times New Roman"/>
          <w:i/>
          <w:lang w:val="de-DE"/>
        </w:rPr>
        <w:t>Lebenslauf Gottes</w:t>
      </w:r>
      <w:r w:rsidRPr="00783C37">
        <w:rPr>
          <w:rFonts w:ascii="Times New Roman" w:hAnsi="Times New Roman" w:cs="Times New Roman"/>
          <w:i/>
        </w:rPr>
        <w:t xml:space="preserve"> </w:t>
      </w:r>
      <w:r w:rsidRPr="00783C37">
        <w:rPr>
          <w:rFonts w:ascii="Times New Roman" w:hAnsi="Times New Roman" w:cs="Times New Roman"/>
        </w:rPr>
        <w:t>altro non è che un</w:t>
      </w:r>
      <w:r w:rsidR="00787426" w:rsidRPr="00783C37">
        <w:rPr>
          <w:rFonts w:ascii="Times New Roman" w:hAnsi="Times New Roman" w:cs="Times New Roman"/>
        </w:rPr>
        <w:t xml:space="preserve"> </w:t>
      </w:r>
      <w:r w:rsidRPr="00783C37">
        <w:rPr>
          <w:rFonts w:ascii="Times New Roman" w:hAnsi="Times New Roman" w:cs="Times New Roman"/>
          <w:i/>
          <w:lang w:val="de-DE"/>
        </w:rPr>
        <w:t>sich in sich hinein Imaginieren</w:t>
      </w:r>
      <w:r w:rsidR="00582E41" w:rsidRPr="00783C37">
        <w:rPr>
          <w:rFonts w:ascii="Times New Roman" w:hAnsi="Times New Roman" w:cs="Times New Roman"/>
        </w:rPr>
        <w:t xml:space="preserve">: 1. </w:t>
      </w:r>
      <w:r w:rsidRPr="00783C37">
        <w:rPr>
          <w:rFonts w:ascii="Times New Roman" w:hAnsi="Times New Roman" w:cs="Times New Roman"/>
        </w:rPr>
        <w:t xml:space="preserve">Dio diviene natura, </w:t>
      </w:r>
      <w:r w:rsidR="00582E41" w:rsidRPr="00783C37">
        <w:rPr>
          <w:rFonts w:ascii="Times New Roman" w:hAnsi="Times New Roman" w:cs="Times New Roman"/>
        </w:rPr>
        <w:t xml:space="preserve">2. </w:t>
      </w:r>
      <w:r w:rsidRPr="00783C37">
        <w:rPr>
          <w:rFonts w:ascii="Times New Roman" w:hAnsi="Times New Roman" w:cs="Times New Roman"/>
        </w:rPr>
        <w:t xml:space="preserve">la natura, presa coscienza della sua </w:t>
      </w:r>
      <w:r w:rsidRPr="00783C37">
        <w:rPr>
          <w:rFonts w:ascii="Times New Roman" w:hAnsi="Times New Roman" w:cs="Times New Roman"/>
          <w:i/>
          <w:lang w:val="de-DE"/>
        </w:rPr>
        <w:t>schöne Gestalt</w:t>
      </w:r>
      <w:r w:rsidR="00ED1668" w:rsidRPr="00783C37">
        <w:rPr>
          <w:rFonts w:ascii="Times New Roman" w:hAnsi="Times New Roman" w:cs="Times New Roman"/>
        </w:rPr>
        <w:t xml:space="preserve">, cerca d’affermare </w:t>
      </w:r>
      <w:r w:rsidRPr="00783C37">
        <w:rPr>
          <w:rFonts w:ascii="Times New Roman" w:hAnsi="Times New Roman" w:cs="Times New Roman"/>
        </w:rPr>
        <w:t xml:space="preserve">il proprio </w:t>
      </w:r>
      <w:r w:rsidRPr="000E56B9">
        <w:rPr>
          <w:rFonts w:ascii="Times New Roman" w:hAnsi="Times New Roman" w:cs="Times New Roman"/>
        </w:rPr>
        <w:t>essere per sé</w:t>
      </w:r>
      <w:r w:rsidRPr="00783C37">
        <w:rPr>
          <w:rFonts w:ascii="Times New Roman" w:hAnsi="Times New Roman" w:cs="Times New Roman"/>
        </w:rPr>
        <w:t xml:space="preserve">, e </w:t>
      </w:r>
      <w:r w:rsidR="00582E41" w:rsidRPr="00783C37">
        <w:rPr>
          <w:rFonts w:ascii="Times New Roman" w:hAnsi="Times New Roman" w:cs="Times New Roman"/>
        </w:rPr>
        <w:t xml:space="preserve">3. </w:t>
      </w:r>
      <w:r w:rsidRPr="00783C37">
        <w:rPr>
          <w:rFonts w:ascii="Times New Roman" w:hAnsi="Times New Roman" w:cs="Times New Roman"/>
        </w:rPr>
        <w:t>l’ira di Dio consuma questa pretesa del proprio essere altro, dimostrando che lo spirito (</w:t>
      </w:r>
      <w:r w:rsidRPr="00783C37">
        <w:rPr>
          <w:rFonts w:ascii="Times New Roman" w:hAnsi="Times New Roman" w:cs="Times New Roman"/>
          <w:i/>
          <w:lang w:val="de-DE"/>
        </w:rPr>
        <w:t>Geist</w:t>
      </w:r>
      <w:r w:rsidRPr="00783C37">
        <w:rPr>
          <w:rFonts w:ascii="Times New Roman" w:hAnsi="Times New Roman" w:cs="Times New Roman"/>
        </w:rPr>
        <w:t>) è presso di sé anche nell’altro da sé</w:t>
      </w:r>
      <w:r w:rsidRPr="00783C37">
        <w:rPr>
          <w:rStyle w:val="Rimandonotaapidipagina"/>
          <w:rFonts w:ascii="Times New Roman" w:hAnsi="Times New Roman" w:cs="Times New Roman"/>
        </w:rPr>
        <w:footnoteReference w:id="214"/>
      </w:r>
      <w:r w:rsidR="00787426" w:rsidRPr="00783C37">
        <w:rPr>
          <w:rFonts w:ascii="Times New Roman" w:hAnsi="Times New Roman" w:cs="Times New Roman"/>
        </w:rPr>
        <w:t>. L’ago della bilancia dell’interpretazione hegeliana</w:t>
      </w:r>
      <w:r w:rsidRPr="00783C37">
        <w:rPr>
          <w:rFonts w:ascii="Times New Roman" w:hAnsi="Times New Roman" w:cs="Times New Roman"/>
        </w:rPr>
        <w:t xml:space="preserve"> è rappresentato dall’essere per sé della natura,</w:t>
      </w:r>
      <w:r w:rsidRPr="00582E41">
        <w:rPr>
          <w:rFonts w:ascii="Times New Roman" w:hAnsi="Times New Roman" w:cs="Times New Roman"/>
        </w:rPr>
        <w:t xml:space="preserve"> </w:t>
      </w:r>
      <w:r w:rsidR="00582E41">
        <w:rPr>
          <w:rFonts w:ascii="Times New Roman" w:hAnsi="Times New Roman" w:cs="Times New Roman"/>
        </w:rPr>
        <w:t>dall’autonomia che Lucifero vorrebbe</w:t>
      </w:r>
      <w:r w:rsidRPr="00582E41">
        <w:rPr>
          <w:rFonts w:ascii="Times New Roman" w:hAnsi="Times New Roman" w:cs="Times New Roman"/>
        </w:rPr>
        <w:t xml:space="preserve"> far valere nei confronti del su</w:t>
      </w:r>
      <w:r w:rsidRPr="00BA6912">
        <w:rPr>
          <w:rFonts w:ascii="Times New Roman" w:hAnsi="Times New Roman" w:cs="Times New Roman"/>
        </w:rPr>
        <w:t xml:space="preserve">o Creatore. </w:t>
      </w:r>
      <w:r w:rsidR="001E7C42">
        <w:rPr>
          <w:rFonts w:ascii="Times New Roman" w:hAnsi="Times New Roman" w:cs="Times New Roman"/>
        </w:rPr>
        <w:t>A mio avviso, questa</w:t>
      </w:r>
      <w:r w:rsidRPr="00BA6912">
        <w:rPr>
          <w:rFonts w:ascii="Times New Roman" w:hAnsi="Times New Roman" w:cs="Times New Roman"/>
        </w:rPr>
        <w:t xml:space="preserve"> </w:t>
      </w:r>
      <w:r w:rsidR="008F0DF6" w:rsidRPr="00BA6912">
        <w:rPr>
          <w:rFonts w:ascii="Times New Roman" w:hAnsi="Times New Roman" w:cs="Times New Roman"/>
        </w:rPr>
        <w:t>conflittuale ricerca dell’autonomia</w:t>
      </w:r>
      <w:r w:rsidRPr="00BA6912">
        <w:rPr>
          <w:rFonts w:ascii="Times New Roman" w:hAnsi="Times New Roman" w:cs="Times New Roman"/>
        </w:rPr>
        <w:t xml:space="preserve">, a cui segue l’annichilimento dell’essere per sé della natura (la </w:t>
      </w:r>
      <w:r w:rsidRPr="00BA6912">
        <w:rPr>
          <w:rFonts w:ascii="Times New Roman" w:hAnsi="Times New Roman" w:cs="Times New Roman"/>
          <w:i/>
          <w:lang w:val="de-DE"/>
        </w:rPr>
        <w:t>Zorn Gottes</w:t>
      </w:r>
      <w:r w:rsidRPr="00BA6912">
        <w:rPr>
          <w:rFonts w:ascii="Times New Roman" w:hAnsi="Times New Roman" w:cs="Times New Roman"/>
        </w:rPr>
        <w:t xml:space="preserve">), corrisponde a quel </w:t>
      </w:r>
      <w:r w:rsidRPr="00BA6912">
        <w:rPr>
          <w:rFonts w:ascii="Times New Roman" w:hAnsi="Times New Roman" w:cs="Times New Roman"/>
          <w:i/>
          <w:lang w:val="de-DE"/>
        </w:rPr>
        <w:t>sich in sich einbilde</w:t>
      </w:r>
      <w:r w:rsidRPr="00BA6912">
        <w:rPr>
          <w:rFonts w:ascii="Times New Roman" w:hAnsi="Times New Roman" w:cs="Times New Roman"/>
          <w:i/>
        </w:rPr>
        <w:t>n</w:t>
      </w:r>
      <w:r w:rsidRPr="00BA6912">
        <w:rPr>
          <w:rFonts w:ascii="Times New Roman" w:hAnsi="Times New Roman" w:cs="Times New Roman"/>
        </w:rPr>
        <w:t xml:space="preserve"> del </w:t>
      </w:r>
      <w:r w:rsidRPr="00BA6912">
        <w:rPr>
          <w:rFonts w:ascii="Times New Roman" w:hAnsi="Times New Roman" w:cs="Times New Roman"/>
          <w:i/>
          <w:lang w:val="de-DE"/>
        </w:rPr>
        <w:t>böses Princip</w:t>
      </w:r>
      <w:r w:rsidRPr="00BA6912">
        <w:rPr>
          <w:rFonts w:ascii="Times New Roman" w:hAnsi="Times New Roman" w:cs="Times New Roman"/>
        </w:rPr>
        <w:t xml:space="preserve"> incontrato nella </w:t>
      </w:r>
      <w:r w:rsidRPr="00BA6912">
        <w:rPr>
          <w:rFonts w:ascii="Times New Roman" w:hAnsi="Times New Roman" w:cs="Times New Roman"/>
          <w:i/>
          <w:lang w:val="de-DE"/>
        </w:rPr>
        <w:t>Jenaer Metaphysik</w:t>
      </w:r>
      <w:r w:rsidRPr="00BA6912">
        <w:rPr>
          <w:rFonts w:ascii="Times New Roman" w:hAnsi="Times New Roman" w:cs="Times New Roman"/>
        </w:rPr>
        <w:t>.</w:t>
      </w:r>
      <w:r w:rsidR="00F24635">
        <w:rPr>
          <w:rFonts w:ascii="Times New Roman" w:hAnsi="Times New Roman" w:cs="Times New Roman"/>
        </w:rPr>
        <w:t xml:space="preserve"> </w:t>
      </w:r>
      <w:r w:rsidRPr="00582E41">
        <w:rPr>
          <w:rFonts w:ascii="Times New Roman" w:hAnsi="Times New Roman" w:cs="Times New Roman"/>
        </w:rPr>
        <w:t xml:space="preserve">Che per Hegel le dinamiche del </w:t>
      </w:r>
      <w:r w:rsidRPr="00582E41">
        <w:rPr>
          <w:rFonts w:ascii="Times New Roman" w:hAnsi="Times New Roman" w:cs="Times New Roman"/>
          <w:i/>
          <w:lang w:val="de-DE"/>
        </w:rPr>
        <w:t>sich in sich hinein Imaginieren</w:t>
      </w:r>
      <w:r w:rsidRPr="00582E41">
        <w:rPr>
          <w:rFonts w:ascii="Times New Roman" w:hAnsi="Times New Roman" w:cs="Times New Roman"/>
        </w:rPr>
        <w:t xml:space="preserve"> e del </w:t>
      </w:r>
      <w:r w:rsidR="00ED1668" w:rsidRPr="00582E41">
        <w:rPr>
          <w:rFonts w:ascii="Times New Roman" w:hAnsi="Times New Roman" w:cs="Times New Roman"/>
          <w:i/>
          <w:lang w:val="de-DE"/>
        </w:rPr>
        <w:t>sich in sich e</w:t>
      </w:r>
      <w:r w:rsidRPr="00582E41">
        <w:rPr>
          <w:rFonts w:ascii="Times New Roman" w:hAnsi="Times New Roman" w:cs="Times New Roman"/>
          <w:i/>
          <w:lang w:val="de-DE"/>
        </w:rPr>
        <w:t>inbilde</w:t>
      </w:r>
      <w:r w:rsidRPr="00582E41">
        <w:rPr>
          <w:rFonts w:ascii="Times New Roman" w:hAnsi="Times New Roman" w:cs="Times New Roman"/>
          <w:i/>
        </w:rPr>
        <w:t xml:space="preserve">n </w:t>
      </w:r>
      <w:r w:rsidRPr="00582E41">
        <w:rPr>
          <w:rFonts w:ascii="Times New Roman" w:hAnsi="Times New Roman" w:cs="Times New Roman"/>
        </w:rPr>
        <w:t xml:space="preserve">denotino lo stesso processo </w:t>
      </w:r>
      <w:r w:rsidR="00ED1668" w:rsidRPr="00582E41">
        <w:rPr>
          <w:rFonts w:ascii="Times New Roman" w:hAnsi="Times New Roman" w:cs="Times New Roman"/>
        </w:rPr>
        <w:t>è suggerito sia</w:t>
      </w:r>
      <w:r w:rsidRPr="00582E41">
        <w:rPr>
          <w:rFonts w:ascii="Times New Roman" w:hAnsi="Times New Roman" w:cs="Times New Roman"/>
        </w:rPr>
        <w:t xml:space="preserve"> dalla sinonimia di “</w:t>
      </w:r>
      <w:r w:rsidRPr="00582E41">
        <w:rPr>
          <w:rFonts w:ascii="Times New Roman" w:hAnsi="Times New Roman" w:cs="Times New Roman"/>
          <w:i/>
          <w:lang w:val="de-DE"/>
        </w:rPr>
        <w:t>imaginieren</w:t>
      </w:r>
      <w:r w:rsidRPr="00582E41">
        <w:rPr>
          <w:rFonts w:ascii="Times New Roman" w:hAnsi="Times New Roman" w:cs="Times New Roman"/>
        </w:rPr>
        <w:t>” e “</w:t>
      </w:r>
      <w:r w:rsidRPr="00582E41">
        <w:rPr>
          <w:rFonts w:ascii="Times New Roman" w:hAnsi="Times New Roman" w:cs="Times New Roman"/>
          <w:i/>
          <w:lang w:val="de-DE"/>
        </w:rPr>
        <w:t>einbilden</w:t>
      </w:r>
      <w:r w:rsidRPr="00582E41">
        <w:rPr>
          <w:rFonts w:ascii="Times New Roman" w:hAnsi="Times New Roman" w:cs="Times New Roman"/>
        </w:rPr>
        <w:t xml:space="preserve">”, </w:t>
      </w:r>
      <w:r w:rsidR="00ED1668" w:rsidRPr="00582E41">
        <w:rPr>
          <w:rFonts w:ascii="Times New Roman" w:hAnsi="Times New Roman" w:cs="Times New Roman"/>
        </w:rPr>
        <w:t xml:space="preserve">che </w:t>
      </w:r>
      <w:r w:rsidRPr="00582E41">
        <w:rPr>
          <w:rFonts w:ascii="Times New Roman" w:hAnsi="Times New Roman" w:cs="Times New Roman"/>
        </w:rPr>
        <w:t xml:space="preserve">da un passaggio della </w:t>
      </w:r>
      <w:r w:rsidRPr="00582E41">
        <w:rPr>
          <w:rFonts w:ascii="Times New Roman" w:hAnsi="Times New Roman" w:cs="Times New Roman"/>
          <w:i/>
          <w:lang w:val="de-DE"/>
        </w:rPr>
        <w:t>Vorlesungen</w:t>
      </w:r>
      <w:r w:rsidRPr="00582E41">
        <w:rPr>
          <w:rFonts w:ascii="Times New Roman" w:hAnsi="Times New Roman" w:cs="Times New Roman"/>
          <w:i/>
        </w:rPr>
        <w:t xml:space="preserve"> </w:t>
      </w:r>
      <w:r w:rsidR="009174FB" w:rsidRPr="009174FB">
        <w:rPr>
          <w:rFonts w:ascii="Times New Roman" w:hAnsi="Times New Roman" w:cs="Times New Roman"/>
          <w:i/>
        </w:rPr>
        <w:t>über die Geschichte der Philosophie</w:t>
      </w:r>
      <w:r w:rsidRPr="00582E41">
        <w:rPr>
          <w:rFonts w:ascii="Times New Roman" w:hAnsi="Times New Roman" w:cs="Times New Roman"/>
        </w:rPr>
        <w:t xml:space="preserve"> </w:t>
      </w:r>
      <w:r w:rsidR="00B6081D" w:rsidRPr="00582E41">
        <w:rPr>
          <w:rFonts w:ascii="Times New Roman" w:hAnsi="Times New Roman" w:cs="Times New Roman"/>
        </w:rPr>
        <w:t xml:space="preserve">(edizione </w:t>
      </w:r>
      <w:r w:rsidRPr="00582E41">
        <w:rPr>
          <w:rFonts w:ascii="Times New Roman" w:hAnsi="Times New Roman" w:cs="Times New Roman"/>
        </w:rPr>
        <w:t>Michelet</w:t>
      </w:r>
      <w:r w:rsidR="00B6081D" w:rsidRPr="00582E41">
        <w:rPr>
          <w:rFonts w:ascii="Times New Roman" w:hAnsi="Times New Roman" w:cs="Times New Roman"/>
        </w:rPr>
        <w:t>)</w:t>
      </w:r>
      <w:r w:rsidRPr="00582E41">
        <w:rPr>
          <w:rFonts w:ascii="Times New Roman" w:hAnsi="Times New Roman" w:cs="Times New Roman"/>
        </w:rPr>
        <w:t>, dove si legge: «</w:t>
      </w:r>
      <w:r w:rsidR="000E56B9">
        <w:rPr>
          <w:rFonts w:ascii="Times New Roman" w:hAnsi="Times New Roman" w:cs="Times New Roman"/>
          <w:lang w:val="de-DE"/>
        </w:rPr>
        <w:t>d</w:t>
      </w:r>
      <w:r w:rsidRPr="00582E41">
        <w:rPr>
          <w:rFonts w:ascii="Times New Roman" w:hAnsi="Times New Roman" w:cs="Times New Roman"/>
          <w:lang w:val="de-DE"/>
        </w:rPr>
        <w:t xml:space="preserve">ieser Luzifer ist abgefallen. Denn das Ichts – das Sichselbstwissen, Ichheit (ein Wort, das bei ihm vorkommt) – ist das </w:t>
      </w:r>
      <w:r w:rsidRPr="008F0DF6">
        <w:rPr>
          <w:rFonts w:ascii="Times New Roman" w:hAnsi="Times New Roman" w:cs="Times New Roman"/>
          <w:lang w:val="de-DE"/>
        </w:rPr>
        <w:t>Sich-in-sich-Hineinbilden, das Sich-in-sich-Hineinimaginieren, das Fürsichsein</w:t>
      </w:r>
      <w:r w:rsidRPr="008F0DF6">
        <w:rPr>
          <w:rFonts w:ascii="Times New Roman" w:eastAsia="Times New Roman" w:hAnsi="Times New Roman" w:cs="Times New Roman"/>
          <w:color w:val="000000"/>
        </w:rPr>
        <w:t>»</w:t>
      </w:r>
      <w:r w:rsidRPr="008F0DF6">
        <w:rPr>
          <w:rStyle w:val="Rimandonotaapidipagina"/>
          <w:rFonts w:ascii="Times New Roman" w:hAnsi="Times New Roman" w:cs="Times New Roman"/>
          <w:lang w:val="de-DE"/>
        </w:rPr>
        <w:footnoteReference w:id="215"/>
      </w:r>
      <w:r w:rsidRPr="008F0DF6">
        <w:rPr>
          <w:rFonts w:ascii="Times New Roman" w:eastAsia="Times New Roman" w:hAnsi="Times New Roman" w:cs="Times New Roman"/>
          <w:color w:val="000000"/>
        </w:rPr>
        <w:t>. L’immaginare sé in sé, il configurare sé in sé e l’essere</w:t>
      </w:r>
      <w:r w:rsidR="008F0DF6" w:rsidRPr="008F0DF6">
        <w:rPr>
          <w:rFonts w:ascii="Times New Roman" w:eastAsia="Times New Roman" w:hAnsi="Times New Roman" w:cs="Times New Roman"/>
          <w:color w:val="000000"/>
        </w:rPr>
        <w:t xml:space="preserve"> per sé sono aspetti dell’</w:t>
      </w:r>
      <w:r w:rsidRPr="008F0DF6">
        <w:rPr>
          <w:rFonts w:ascii="Times New Roman" w:eastAsia="Times New Roman" w:hAnsi="Times New Roman" w:cs="Times New Roman"/>
          <w:color w:val="000000"/>
        </w:rPr>
        <w:t>allontanamento</w:t>
      </w:r>
      <w:r w:rsidR="008F0DF6" w:rsidRPr="008F0DF6">
        <w:rPr>
          <w:rFonts w:ascii="Times New Roman" w:eastAsia="Times New Roman" w:hAnsi="Times New Roman" w:cs="Times New Roman"/>
          <w:color w:val="000000"/>
        </w:rPr>
        <w:t xml:space="preserve"> e del ritorno</w:t>
      </w:r>
      <w:r w:rsidRPr="008F0DF6">
        <w:rPr>
          <w:rFonts w:ascii="Times New Roman" w:eastAsia="Times New Roman" w:hAnsi="Times New Roman" w:cs="Times New Roman"/>
          <w:color w:val="000000"/>
        </w:rPr>
        <w:t xml:space="preserve"> della n</w:t>
      </w:r>
      <w:r w:rsidR="008F0DF6" w:rsidRPr="008F0DF6">
        <w:rPr>
          <w:rFonts w:ascii="Times New Roman" w:eastAsia="Times New Roman" w:hAnsi="Times New Roman" w:cs="Times New Roman"/>
          <w:color w:val="000000"/>
        </w:rPr>
        <w:t>atura (</w:t>
      </w:r>
      <w:r w:rsidR="00C45812">
        <w:rPr>
          <w:rFonts w:ascii="Times New Roman" w:eastAsia="Times New Roman" w:hAnsi="Times New Roman" w:cs="Times New Roman"/>
          <w:color w:val="000000"/>
        </w:rPr>
        <w:t xml:space="preserve">secondo la prospettiva hegeliana, non </w:t>
      </w:r>
      <w:r w:rsidR="00C45812">
        <w:rPr>
          <w:rFonts w:ascii="Times New Roman" w:hAnsi="Times New Roman" w:cs="Times New Roman"/>
        </w:rPr>
        <w:t>böhmiana</w:t>
      </w:r>
      <w:r w:rsidR="00783C37">
        <w:rPr>
          <w:rFonts w:ascii="Times New Roman" w:hAnsi="Times New Roman" w:cs="Times New Roman"/>
        </w:rPr>
        <w:t xml:space="preserve"> naturalmente</w:t>
      </w:r>
      <w:r w:rsidR="00C45812">
        <w:rPr>
          <w:rStyle w:val="Rimandonotaapidipagina"/>
          <w:rFonts w:ascii="Times New Roman" w:hAnsi="Times New Roman" w:cs="Times New Roman"/>
        </w:rPr>
        <w:footnoteReference w:id="216"/>
      </w:r>
      <w:r w:rsidR="008F0DF6" w:rsidRPr="008F0DF6">
        <w:rPr>
          <w:rFonts w:ascii="Times New Roman" w:eastAsia="Times New Roman" w:hAnsi="Times New Roman" w:cs="Times New Roman"/>
          <w:color w:val="000000"/>
        </w:rPr>
        <w:t>) in</w:t>
      </w:r>
      <w:r w:rsidRPr="008F0DF6">
        <w:rPr>
          <w:rFonts w:ascii="Times New Roman" w:eastAsia="Times New Roman" w:hAnsi="Times New Roman" w:cs="Times New Roman"/>
          <w:color w:val="000000"/>
        </w:rPr>
        <w:t xml:space="preserve"> Dio (dall’essenza suprema).</w:t>
      </w:r>
      <w:r w:rsidRPr="00582E41">
        <w:rPr>
          <w:rFonts w:ascii="Times New Roman" w:eastAsia="Times New Roman" w:hAnsi="Times New Roman" w:cs="Times New Roman"/>
          <w:color w:val="000000"/>
        </w:rPr>
        <w:t xml:space="preserve"> </w:t>
      </w:r>
      <w:r w:rsidRPr="00310D55">
        <w:rPr>
          <w:rFonts w:ascii="Times New Roman" w:eastAsia="Times New Roman" w:hAnsi="Times New Roman" w:cs="Times New Roman"/>
          <w:color w:val="000000"/>
        </w:rPr>
        <w:t xml:space="preserve">Anche in questo </w:t>
      </w:r>
      <w:r w:rsidR="00B6081D" w:rsidRPr="00310D55">
        <w:rPr>
          <w:rFonts w:ascii="Times New Roman" w:eastAsia="Times New Roman" w:hAnsi="Times New Roman" w:cs="Times New Roman"/>
          <w:color w:val="000000"/>
        </w:rPr>
        <w:t xml:space="preserve">caso, le </w:t>
      </w:r>
      <w:r w:rsidR="00310D55" w:rsidRPr="00310D55">
        <w:rPr>
          <w:rFonts w:ascii="Times New Roman" w:eastAsia="Times New Roman" w:hAnsi="Times New Roman" w:cs="Times New Roman"/>
          <w:color w:val="000000"/>
        </w:rPr>
        <w:t>coincidenze</w:t>
      </w:r>
      <w:r w:rsidR="00BA6912" w:rsidRPr="00310D55">
        <w:rPr>
          <w:rFonts w:ascii="Times New Roman" w:eastAsia="Times New Roman" w:hAnsi="Times New Roman" w:cs="Times New Roman"/>
          <w:color w:val="000000"/>
        </w:rPr>
        <w:t xml:space="preserve"> terminologico-concettuali delle lezioni </w:t>
      </w:r>
      <w:r w:rsidR="00A112EF">
        <w:rPr>
          <w:rFonts w:ascii="Times New Roman" w:eastAsia="Times New Roman" w:hAnsi="Times New Roman" w:cs="Times New Roman"/>
          <w:color w:val="000000"/>
        </w:rPr>
        <w:t>con gli inediti del 1804/</w:t>
      </w:r>
      <w:r w:rsidR="00A02458" w:rsidRPr="00310D55">
        <w:rPr>
          <w:rFonts w:ascii="Times New Roman" w:eastAsia="Times New Roman" w:hAnsi="Times New Roman" w:cs="Times New Roman"/>
          <w:color w:val="000000"/>
        </w:rPr>
        <w:t>05 sono</w:t>
      </w:r>
      <w:r w:rsidR="00BA6912" w:rsidRPr="00310D55">
        <w:rPr>
          <w:rFonts w:ascii="Times New Roman" w:eastAsia="Times New Roman" w:hAnsi="Times New Roman" w:cs="Times New Roman"/>
          <w:color w:val="000000"/>
        </w:rPr>
        <w:t xml:space="preserve"> prova</w:t>
      </w:r>
      <w:r w:rsidR="00A02458" w:rsidRPr="00310D55">
        <w:rPr>
          <w:rFonts w:ascii="Times New Roman" w:eastAsia="Times New Roman" w:hAnsi="Times New Roman" w:cs="Times New Roman"/>
          <w:color w:val="000000"/>
        </w:rPr>
        <w:t xml:space="preserve"> </w:t>
      </w:r>
      <w:r w:rsidR="00BA6912" w:rsidRPr="00310D55">
        <w:rPr>
          <w:rFonts w:ascii="Times New Roman" w:eastAsia="Times New Roman" w:hAnsi="Times New Roman" w:cs="Times New Roman"/>
          <w:color w:val="000000"/>
        </w:rPr>
        <w:t>della preco</w:t>
      </w:r>
      <w:r w:rsidR="00A02458" w:rsidRPr="00310D55">
        <w:rPr>
          <w:rFonts w:ascii="Times New Roman" w:eastAsia="Times New Roman" w:hAnsi="Times New Roman" w:cs="Times New Roman"/>
          <w:color w:val="000000"/>
        </w:rPr>
        <w:t>c</w:t>
      </w:r>
      <w:r w:rsidR="00BA6912" w:rsidRPr="00310D55">
        <w:rPr>
          <w:rFonts w:ascii="Times New Roman" w:eastAsia="Times New Roman" w:hAnsi="Times New Roman" w:cs="Times New Roman"/>
          <w:color w:val="000000"/>
        </w:rPr>
        <w:t>e</w:t>
      </w:r>
      <w:r w:rsidR="009174FB" w:rsidRPr="00310D55">
        <w:rPr>
          <w:rFonts w:ascii="Times New Roman" w:eastAsia="Times New Roman" w:hAnsi="Times New Roman" w:cs="Times New Roman"/>
          <w:color w:val="000000"/>
        </w:rPr>
        <w:t xml:space="preserve"> (jenese)</w:t>
      </w:r>
      <w:r w:rsidR="00BA6912" w:rsidRPr="00310D55">
        <w:rPr>
          <w:rFonts w:ascii="Times New Roman" w:eastAsia="Times New Roman" w:hAnsi="Times New Roman" w:cs="Times New Roman"/>
          <w:color w:val="000000"/>
        </w:rPr>
        <w:t xml:space="preserve"> </w:t>
      </w:r>
      <w:r w:rsidRPr="00310D55">
        <w:rPr>
          <w:rFonts w:ascii="Times New Roman" w:eastAsia="Times New Roman" w:hAnsi="Times New Roman" w:cs="Times New Roman"/>
          <w:color w:val="000000"/>
        </w:rPr>
        <w:t xml:space="preserve">attenzione hegeliana alla tematica böhmiana della </w:t>
      </w:r>
      <w:r w:rsidR="00A02458" w:rsidRPr="00310D55">
        <w:rPr>
          <w:rFonts w:ascii="Times New Roman" w:eastAsia="Times New Roman" w:hAnsi="Times New Roman" w:cs="Times New Roman"/>
          <w:color w:val="000000"/>
        </w:rPr>
        <w:t>(immaginifica) ribellione di Lucifero, o dello (scientifico)</w:t>
      </w:r>
      <w:r w:rsidRPr="00310D55">
        <w:rPr>
          <w:rFonts w:ascii="Times New Roman" w:eastAsia="Times New Roman" w:hAnsi="Times New Roman" w:cs="Times New Roman"/>
          <w:color w:val="000000"/>
        </w:rPr>
        <w:t xml:space="preserve"> </w:t>
      </w:r>
      <w:r w:rsidR="00A02458" w:rsidRPr="00310D55">
        <w:rPr>
          <w:rFonts w:ascii="Times New Roman" w:eastAsia="Times New Roman" w:hAnsi="Times New Roman" w:cs="Times New Roman"/>
          <w:color w:val="000000"/>
        </w:rPr>
        <w:t xml:space="preserve">togliersi della distinzione </w:t>
      </w:r>
      <w:r w:rsidRPr="00310D55">
        <w:rPr>
          <w:rFonts w:ascii="Times New Roman" w:eastAsia="Times New Roman" w:hAnsi="Times New Roman" w:cs="Times New Roman"/>
          <w:color w:val="000000"/>
        </w:rPr>
        <w:t xml:space="preserve">dell’essere per sé </w:t>
      </w:r>
      <w:r w:rsidR="003C5C68" w:rsidRPr="00310D55">
        <w:rPr>
          <w:rFonts w:ascii="Times New Roman" w:eastAsia="Times New Roman" w:hAnsi="Times New Roman" w:cs="Times New Roman"/>
          <w:color w:val="000000"/>
        </w:rPr>
        <w:t xml:space="preserve">(natura) </w:t>
      </w:r>
      <w:r w:rsidR="00A02458" w:rsidRPr="00310D55">
        <w:rPr>
          <w:rFonts w:ascii="Times New Roman" w:eastAsia="Times New Roman" w:hAnsi="Times New Roman" w:cs="Times New Roman"/>
          <w:color w:val="000000"/>
        </w:rPr>
        <w:t>ne</w:t>
      </w:r>
      <w:r w:rsidR="00BA6912" w:rsidRPr="00310D55">
        <w:rPr>
          <w:rFonts w:ascii="Times New Roman" w:eastAsia="Times New Roman" w:hAnsi="Times New Roman" w:cs="Times New Roman"/>
          <w:color w:val="000000"/>
        </w:rPr>
        <w:t>ll’essere in sé</w:t>
      </w:r>
      <w:r w:rsidR="003C5C68" w:rsidRPr="00310D55">
        <w:rPr>
          <w:rFonts w:ascii="Times New Roman" w:eastAsia="Times New Roman" w:hAnsi="Times New Roman" w:cs="Times New Roman"/>
          <w:color w:val="000000"/>
        </w:rPr>
        <w:t xml:space="preserve"> (Dio)</w:t>
      </w:r>
      <w:r w:rsidRPr="00310D55">
        <w:rPr>
          <w:rFonts w:ascii="Times New Roman" w:eastAsia="Times New Roman" w:hAnsi="Times New Roman" w:cs="Times New Roman"/>
          <w:color w:val="000000"/>
        </w:rPr>
        <w:t xml:space="preserve">. </w:t>
      </w:r>
    </w:p>
    <w:p w14:paraId="00544583" w14:textId="1F9A0013" w:rsidR="00797232" w:rsidRDefault="00DA1E0B" w:rsidP="004854B4">
      <w:pPr>
        <w:spacing w:line="360" w:lineRule="auto"/>
        <w:ind w:firstLine="567"/>
        <w:jc w:val="both"/>
        <w:rPr>
          <w:rFonts w:ascii="Times New Roman" w:eastAsia="Times New Roman" w:hAnsi="Times New Roman" w:cs="Times New Roman"/>
          <w:color w:val="000000"/>
          <w:lang w:val="de-DE"/>
        </w:rPr>
      </w:pPr>
      <w:r w:rsidRPr="00A96F49">
        <w:rPr>
          <w:rFonts w:ascii="Times New Roman" w:eastAsia="Times New Roman" w:hAnsi="Times New Roman" w:cs="Times New Roman"/>
          <w:color w:val="000000"/>
        </w:rPr>
        <w:t xml:space="preserve">Il </w:t>
      </w:r>
      <w:r w:rsidRPr="00A96F49">
        <w:rPr>
          <w:rFonts w:ascii="Times New Roman" w:hAnsi="Times New Roman" w:cs="Times New Roman"/>
          <w:i/>
          <w:lang w:val="de-DE"/>
        </w:rPr>
        <w:t>sich in sich hinein Imaginieren</w:t>
      </w:r>
      <w:r w:rsidRPr="00A96F49">
        <w:rPr>
          <w:rFonts w:ascii="Times New Roman" w:hAnsi="Times New Roman" w:cs="Times New Roman"/>
        </w:rPr>
        <w:t xml:space="preserve"> </w:t>
      </w:r>
      <w:r w:rsidRPr="00A96F49">
        <w:rPr>
          <w:rFonts w:ascii="Times New Roman" w:eastAsia="Times New Roman" w:hAnsi="Times New Roman" w:cs="Times New Roman"/>
          <w:color w:val="000000"/>
        </w:rPr>
        <w:t xml:space="preserve">del </w:t>
      </w:r>
      <w:r w:rsidRPr="00A96F49">
        <w:rPr>
          <w:rFonts w:ascii="Times New Roman" w:eastAsia="Times New Roman" w:hAnsi="Times New Roman" w:cs="Times New Roman"/>
          <w:i/>
          <w:color w:val="000000"/>
        </w:rPr>
        <w:t>Fragment 49</w:t>
      </w:r>
      <w:r w:rsidRPr="00A96F49">
        <w:rPr>
          <w:rFonts w:ascii="Times New Roman" w:eastAsia="Times New Roman" w:hAnsi="Times New Roman" w:cs="Times New Roman"/>
          <w:color w:val="000000"/>
        </w:rPr>
        <w:t>, che descrive in termini barbarici, e quindi formal</w:t>
      </w:r>
      <w:r w:rsidR="00572F7D" w:rsidRPr="00A96F49">
        <w:rPr>
          <w:rFonts w:ascii="Times New Roman" w:eastAsia="Times New Roman" w:hAnsi="Times New Roman" w:cs="Times New Roman"/>
          <w:color w:val="000000"/>
        </w:rPr>
        <w:t>m</w:t>
      </w:r>
      <w:r w:rsidRPr="00A96F49">
        <w:rPr>
          <w:rFonts w:ascii="Times New Roman" w:eastAsia="Times New Roman" w:hAnsi="Times New Roman" w:cs="Times New Roman"/>
          <w:color w:val="000000"/>
        </w:rPr>
        <w:t>e</w:t>
      </w:r>
      <w:r w:rsidR="00572F7D" w:rsidRPr="00A96F49">
        <w:rPr>
          <w:rFonts w:ascii="Times New Roman" w:eastAsia="Times New Roman" w:hAnsi="Times New Roman" w:cs="Times New Roman"/>
          <w:color w:val="000000"/>
        </w:rPr>
        <w:t>nte inadeguati</w:t>
      </w:r>
      <w:r w:rsidRPr="00A96F49">
        <w:rPr>
          <w:rFonts w:ascii="Times New Roman" w:eastAsia="Times New Roman" w:hAnsi="Times New Roman" w:cs="Times New Roman"/>
          <w:color w:val="000000"/>
        </w:rPr>
        <w:t xml:space="preserve">, il </w:t>
      </w:r>
      <w:r w:rsidRPr="00A96F49">
        <w:rPr>
          <w:rFonts w:ascii="Times New Roman" w:eastAsia="Times New Roman" w:hAnsi="Times New Roman" w:cs="Times New Roman"/>
          <w:i/>
          <w:color w:val="000000"/>
          <w:lang w:val="de-DE"/>
        </w:rPr>
        <w:t>Lebenslauf Gottes</w:t>
      </w:r>
      <w:r w:rsidRPr="00A96F49">
        <w:rPr>
          <w:rFonts w:ascii="Times New Roman" w:eastAsia="Times New Roman" w:hAnsi="Times New Roman" w:cs="Times New Roman"/>
          <w:color w:val="000000"/>
          <w:lang w:val="de-DE"/>
        </w:rPr>
        <w:t xml:space="preserve">, </w:t>
      </w:r>
      <w:r w:rsidR="00E13332" w:rsidRPr="00A96F49">
        <w:rPr>
          <w:rFonts w:ascii="Times New Roman" w:eastAsia="Times New Roman" w:hAnsi="Times New Roman" w:cs="Times New Roman"/>
          <w:color w:val="000000"/>
        </w:rPr>
        <w:t>s’intreccia con</w:t>
      </w:r>
      <w:r w:rsidRPr="00A96F49">
        <w:rPr>
          <w:rFonts w:ascii="Times New Roman" w:eastAsia="Times New Roman" w:hAnsi="Times New Roman" w:cs="Times New Roman"/>
          <w:color w:val="000000"/>
        </w:rPr>
        <w:t xml:space="preserve"> quei passaggi della metafisica di Jena in cu</w:t>
      </w:r>
      <w:r w:rsidR="00B11F93" w:rsidRPr="00A96F49">
        <w:rPr>
          <w:rFonts w:ascii="Times New Roman" w:eastAsia="Times New Roman" w:hAnsi="Times New Roman" w:cs="Times New Roman"/>
          <w:color w:val="000000"/>
        </w:rPr>
        <w:t>i è tematizzata l’opposizione fra i</w:t>
      </w:r>
      <w:r w:rsidRPr="00A96F49">
        <w:rPr>
          <w:rFonts w:ascii="Times New Roman" w:eastAsia="Times New Roman" w:hAnsi="Times New Roman" w:cs="Times New Roman"/>
          <w:color w:val="000000"/>
        </w:rPr>
        <w:t xml:space="preserve">l principio cattivo </w:t>
      </w:r>
      <w:r w:rsidR="00B11F93" w:rsidRPr="00A96F49">
        <w:rPr>
          <w:rFonts w:ascii="Times New Roman" w:eastAsia="Times New Roman" w:hAnsi="Times New Roman" w:cs="Times New Roman"/>
          <w:color w:val="000000"/>
        </w:rPr>
        <w:t xml:space="preserve">e </w:t>
      </w:r>
      <w:r w:rsidR="008F0DF6" w:rsidRPr="00A96F49">
        <w:rPr>
          <w:rFonts w:ascii="Times New Roman" w:eastAsia="Times New Roman" w:hAnsi="Times New Roman" w:cs="Times New Roman"/>
          <w:color w:val="000000"/>
        </w:rPr>
        <w:t>l’essenza suprema. L</w:t>
      </w:r>
      <w:r w:rsidR="00E13332" w:rsidRPr="00A96F49">
        <w:rPr>
          <w:rFonts w:ascii="Times New Roman" w:eastAsia="Times New Roman" w:hAnsi="Times New Roman" w:cs="Times New Roman"/>
          <w:color w:val="000000"/>
        </w:rPr>
        <w:t>a combinazione</w:t>
      </w:r>
      <w:r w:rsidRPr="00A96F49">
        <w:rPr>
          <w:rFonts w:ascii="Times New Roman" w:eastAsia="Times New Roman" w:hAnsi="Times New Roman" w:cs="Times New Roman"/>
          <w:color w:val="000000"/>
        </w:rPr>
        <w:t xml:space="preserve"> di nozioni böhmiane e kantiane, q</w:t>
      </w:r>
      <w:r w:rsidR="00E13332" w:rsidRPr="00A96F49">
        <w:rPr>
          <w:rFonts w:ascii="Times New Roman" w:eastAsia="Times New Roman" w:hAnsi="Times New Roman" w:cs="Times New Roman"/>
          <w:color w:val="000000"/>
        </w:rPr>
        <w:t>uale è restituita</w:t>
      </w:r>
      <w:r w:rsidRPr="008F0DF6">
        <w:rPr>
          <w:rFonts w:ascii="Times New Roman" w:eastAsia="Times New Roman" w:hAnsi="Times New Roman" w:cs="Times New Roman"/>
          <w:color w:val="000000"/>
        </w:rPr>
        <w:t xml:space="preserve"> dalla sezione dell’</w:t>
      </w:r>
      <w:r w:rsidRPr="008F0DF6">
        <w:rPr>
          <w:rFonts w:ascii="Times New Roman" w:eastAsia="Times New Roman" w:hAnsi="Times New Roman" w:cs="Times New Roman"/>
          <w:i/>
          <w:color w:val="000000"/>
          <w:lang w:val="de-DE"/>
        </w:rPr>
        <w:t>Höchstes Wesen</w:t>
      </w:r>
      <w:r w:rsidRPr="008F0DF6">
        <w:rPr>
          <w:rFonts w:ascii="Times New Roman" w:eastAsia="Times New Roman" w:hAnsi="Times New Roman" w:cs="Times New Roman"/>
          <w:color w:val="000000"/>
        </w:rPr>
        <w:t xml:space="preserve">, non costituisce un fatto curioso, ma risponde ad una precisa logica argomentativa perseguita nella </w:t>
      </w:r>
      <w:r w:rsidRPr="008F0DF6">
        <w:rPr>
          <w:rFonts w:ascii="Times New Roman" w:eastAsia="Times New Roman" w:hAnsi="Times New Roman" w:cs="Times New Roman"/>
          <w:i/>
          <w:color w:val="000000"/>
          <w:lang w:val="de-DE"/>
        </w:rPr>
        <w:t>Metaphysik der Objectivität</w:t>
      </w:r>
      <w:r w:rsidRPr="008F0DF6">
        <w:rPr>
          <w:rFonts w:ascii="Times New Roman" w:eastAsia="Times New Roman" w:hAnsi="Times New Roman" w:cs="Times New Roman"/>
          <w:color w:val="000000"/>
          <w:lang w:val="de-DE"/>
        </w:rPr>
        <w:t xml:space="preserve">. </w:t>
      </w:r>
      <w:r w:rsidRPr="00882E79">
        <w:rPr>
          <w:rFonts w:ascii="Times New Roman" w:eastAsia="Times New Roman" w:hAnsi="Times New Roman" w:cs="Times New Roman"/>
          <w:color w:val="000000"/>
        </w:rPr>
        <w:t>Abbiamo visto c</w:t>
      </w:r>
      <w:r w:rsidR="00882E79" w:rsidRPr="00882E79">
        <w:rPr>
          <w:rFonts w:ascii="Times New Roman" w:eastAsia="Times New Roman" w:hAnsi="Times New Roman" w:cs="Times New Roman"/>
          <w:color w:val="000000"/>
        </w:rPr>
        <w:t>ome Kant si sia interrogato sull’opposizione dei due principi</w:t>
      </w:r>
      <w:r w:rsidRPr="00882E79">
        <w:rPr>
          <w:rFonts w:ascii="Times New Roman" w:eastAsia="Times New Roman" w:hAnsi="Times New Roman" w:cs="Times New Roman"/>
          <w:color w:val="000000"/>
        </w:rPr>
        <w:t xml:space="preserve">. Riprendendo il </w:t>
      </w:r>
      <w:r w:rsidRPr="00882E79">
        <w:rPr>
          <w:rFonts w:ascii="Times New Roman" w:eastAsia="Times New Roman" w:hAnsi="Times New Roman" w:cs="Times New Roman"/>
          <w:i/>
          <w:color w:val="000000"/>
        </w:rPr>
        <w:t>Nuovo Testamento</w:t>
      </w:r>
      <w:r w:rsidRPr="00882E79">
        <w:rPr>
          <w:rFonts w:ascii="Times New Roman" w:eastAsia="Times New Roman" w:hAnsi="Times New Roman" w:cs="Times New Roman"/>
          <w:color w:val="000000"/>
        </w:rPr>
        <w:t xml:space="preserve">, la </w:t>
      </w:r>
      <w:r w:rsidRPr="00882E79">
        <w:rPr>
          <w:rFonts w:ascii="Times New Roman" w:eastAsia="Times New Roman" w:hAnsi="Times New Roman" w:cs="Times New Roman"/>
          <w:i/>
          <w:color w:val="000000"/>
        </w:rPr>
        <w:t>Religion</w:t>
      </w:r>
      <w:r w:rsidRPr="00882E79">
        <w:rPr>
          <w:rFonts w:ascii="Times New Roman" w:eastAsia="Times New Roman" w:hAnsi="Times New Roman" w:cs="Times New Roman"/>
          <w:color w:val="000000"/>
        </w:rPr>
        <w:t xml:space="preserve"> osserva che questo scontro può essere visto come il collidere di due persone poste al di fuori dell’animo umano. Di </w:t>
      </w:r>
      <w:r w:rsidRPr="00A96F49">
        <w:rPr>
          <w:rFonts w:ascii="Times New Roman" w:eastAsia="Times New Roman" w:hAnsi="Times New Roman" w:cs="Times New Roman"/>
          <w:color w:val="000000"/>
        </w:rPr>
        <w:t>particolare interesse son</w:t>
      </w:r>
      <w:r w:rsidR="00A96F49" w:rsidRPr="00A96F49">
        <w:rPr>
          <w:rFonts w:ascii="Times New Roman" w:eastAsia="Times New Roman" w:hAnsi="Times New Roman" w:cs="Times New Roman"/>
          <w:color w:val="000000"/>
        </w:rPr>
        <w:t>o le osservazioni kantiane sul d</w:t>
      </w:r>
      <w:r w:rsidRPr="00A96F49">
        <w:rPr>
          <w:rFonts w:ascii="Times New Roman" w:eastAsia="Times New Roman" w:hAnsi="Times New Roman" w:cs="Times New Roman"/>
          <w:color w:val="000000"/>
        </w:rPr>
        <w:t xml:space="preserve">iavolo: </w:t>
      </w:r>
      <w:r w:rsidR="004854B4" w:rsidRPr="00A96F49">
        <w:rPr>
          <w:rFonts w:ascii="Times New Roman" w:eastAsia="Times New Roman" w:hAnsi="Times New Roman" w:cs="Times New Roman"/>
          <w:color w:val="000000"/>
        </w:rPr>
        <w:t>i</w:t>
      </w:r>
      <w:r w:rsidRPr="00A96F49">
        <w:rPr>
          <w:rFonts w:ascii="Times New Roman" w:eastAsia="Times New Roman" w:hAnsi="Times New Roman" w:cs="Times New Roman"/>
          <w:color w:val="000000"/>
        </w:rPr>
        <w:t>l perverti</w:t>
      </w:r>
      <w:r w:rsidR="004854B4" w:rsidRPr="00A96F49">
        <w:rPr>
          <w:rFonts w:ascii="Times New Roman" w:eastAsia="Times New Roman" w:hAnsi="Times New Roman" w:cs="Times New Roman"/>
          <w:color w:val="000000"/>
        </w:rPr>
        <w:t>mento radicale della sua natura</w:t>
      </w:r>
      <w:r w:rsidR="00882E79" w:rsidRPr="00A96F49">
        <w:rPr>
          <w:rFonts w:ascii="Times New Roman" w:eastAsia="Times New Roman" w:hAnsi="Times New Roman" w:cs="Times New Roman"/>
          <w:color w:val="000000"/>
        </w:rPr>
        <w:t xml:space="preserve"> </w:t>
      </w:r>
      <w:r w:rsidRPr="00A96F49">
        <w:rPr>
          <w:rFonts w:ascii="Times New Roman" w:eastAsia="Times New Roman" w:hAnsi="Times New Roman" w:cs="Times New Roman"/>
          <w:color w:val="000000"/>
        </w:rPr>
        <w:t>resta</w:t>
      </w:r>
      <w:r w:rsidR="00882E79" w:rsidRPr="00A96F49">
        <w:rPr>
          <w:rFonts w:ascii="Times New Roman" w:eastAsia="Times New Roman" w:hAnsi="Times New Roman" w:cs="Times New Roman"/>
          <w:color w:val="000000"/>
        </w:rPr>
        <w:t xml:space="preserve"> i</w:t>
      </w:r>
      <w:r w:rsidR="004854B4" w:rsidRPr="00A96F49">
        <w:rPr>
          <w:rFonts w:ascii="Times New Roman" w:eastAsia="Times New Roman" w:hAnsi="Times New Roman" w:cs="Times New Roman"/>
          <w:color w:val="000000"/>
        </w:rPr>
        <w:t>nsondabile</w:t>
      </w:r>
      <w:r w:rsidR="006B350C" w:rsidRPr="00A96F49">
        <w:rPr>
          <w:rFonts w:ascii="Times New Roman" w:eastAsia="Times New Roman" w:hAnsi="Times New Roman" w:cs="Times New Roman"/>
          <w:color w:val="000000"/>
        </w:rPr>
        <w:t xml:space="preserve"> pe</w:t>
      </w:r>
      <w:r w:rsidR="009174FB" w:rsidRPr="00A96F49">
        <w:rPr>
          <w:rFonts w:ascii="Times New Roman" w:eastAsia="Times New Roman" w:hAnsi="Times New Roman" w:cs="Times New Roman"/>
          <w:color w:val="000000"/>
        </w:rPr>
        <w:t xml:space="preserve">r la ragione umana, che </w:t>
      </w:r>
      <w:r w:rsidR="00310D55" w:rsidRPr="00A96F49">
        <w:rPr>
          <w:rFonts w:ascii="Times New Roman" w:eastAsia="Times New Roman" w:hAnsi="Times New Roman" w:cs="Times New Roman"/>
          <w:color w:val="000000"/>
        </w:rPr>
        <w:t xml:space="preserve">è </w:t>
      </w:r>
      <w:r w:rsidR="009174FB" w:rsidRPr="00A96F49">
        <w:rPr>
          <w:rFonts w:ascii="Times New Roman" w:eastAsia="Times New Roman" w:hAnsi="Times New Roman" w:cs="Times New Roman"/>
          <w:color w:val="000000"/>
        </w:rPr>
        <w:t>incap</w:t>
      </w:r>
      <w:r w:rsidR="006B350C" w:rsidRPr="00A96F49">
        <w:rPr>
          <w:rFonts w:ascii="Times New Roman" w:eastAsia="Times New Roman" w:hAnsi="Times New Roman" w:cs="Times New Roman"/>
          <w:color w:val="000000"/>
        </w:rPr>
        <w:t>a</w:t>
      </w:r>
      <w:r w:rsidR="009174FB" w:rsidRPr="00A96F49">
        <w:rPr>
          <w:rFonts w:ascii="Times New Roman" w:eastAsia="Times New Roman" w:hAnsi="Times New Roman" w:cs="Times New Roman"/>
          <w:color w:val="000000"/>
        </w:rPr>
        <w:t>ce</w:t>
      </w:r>
      <w:r w:rsidR="006B350C" w:rsidRPr="00A96F49">
        <w:rPr>
          <w:rFonts w:ascii="Times New Roman" w:eastAsia="Times New Roman" w:hAnsi="Times New Roman" w:cs="Times New Roman"/>
          <w:color w:val="000000"/>
        </w:rPr>
        <w:t xml:space="preserve"> </w:t>
      </w:r>
      <w:r w:rsidR="00FE2ACF" w:rsidRPr="00A96F49">
        <w:rPr>
          <w:rFonts w:ascii="Times New Roman" w:eastAsia="Times New Roman" w:hAnsi="Times New Roman" w:cs="Times New Roman"/>
          <w:color w:val="000000"/>
        </w:rPr>
        <w:t xml:space="preserve">di definire </w:t>
      </w:r>
      <w:r w:rsidR="00882E79" w:rsidRPr="00A96F49">
        <w:rPr>
          <w:rFonts w:ascii="Times New Roman" w:eastAsia="Times New Roman" w:hAnsi="Times New Roman" w:cs="Times New Roman"/>
          <w:color w:val="000000"/>
        </w:rPr>
        <w:t xml:space="preserve">che cosa abbia spinto </w:t>
      </w:r>
      <w:r w:rsidRPr="00A96F49">
        <w:rPr>
          <w:rFonts w:ascii="Times New Roman" w:eastAsia="Times New Roman" w:hAnsi="Times New Roman" w:cs="Times New Roman"/>
          <w:color w:val="000000"/>
        </w:rPr>
        <w:t xml:space="preserve">un essere originariamente </w:t>
      </w:r>
      <w:r w:rsidR="0039270E" w:rsidRPr="00A96F49">
        <w:rPr>
          <w:rFonts w:ascii="Times New Roman" w:eastAsia="Times New Roman" w:hAnsi="Times New Roman" w:cs="Times New Roman"/>
          <w:color w:val="000000"/>
        </w:rPr>
        <w:t xml:space="preserve">buono a fondare </w:t>
      </w:r>
      <w:r w:rsidR="009174FB" w:rsidRPr="00A96F49">
        <w:rPr>
          <w:rFonts w:ascii="Times New Roman" w:eastAsia="Times New Roman" w:hAnsi="Times New Roman" w:cs="Times New Roman"/>
          <w:color w:val="000000"/>
        </w:rPr>
        <w:t xml:space="preserve">la propria persona </w:t>
      </w:r>
      <w:r w:rsidR="00FE2ACF" w:rsidRPr="00A96F49">
        <w:rPr>
          <w:rFonts w:ascii="Times New Roman" w:eastAsia="Times New Roman" w:hAnsi="Times New Roman" w:cs="Times New Roman"/>
          <w:color w:val="000000"/>
        </w:rPr>
        <w:t>su</w:t>
      </w:r>
      <w:r w:rsidR="009174FB" w:rsidRPr="00A96F49">
        <w:rPr>
          <w:rFonts w:ascii="Times New Roman" w:eastAsia="Times New Roman" w:hAnsi="Times New Roman" w:cs="Times New Roman"/>
          <w:color w:val="000000"/>
        </w:rPr>
        <w:t xml:space="preserve">lla </w:t>
      </w:r>
      <w:r w:rsidRPr="00A96F49">
        <w:rPr>
          <w:rFonts w:ascii="Times New Roman" w:eastAsia="Times New Roman" w:hAnsi="Times New Roman" w:cs="Times New Roman"/>
          <w:color w:val="000000"/>
        </w:rPr>
        <w:t>disposizione malvagia</w:t>
      </w:r>
      <w:r w:rsidRPr="00A96F49">
        <w:rPr>
          <w:rStyle w:val="Rimandonotaapidipagina"/>
          <w:rFonts w:ascii="Times New Roman" w:eastAsia="Times New Roman" w:hAnsi="Times New Roman" w:cs="Times New Roman"/>
          <w:color w:val="000000"/>
        </w:rPr>
        <w:footnoteReference w:id="217"/>
      </w:r>
      <w:r w:rsidRPr="00A96F49">
        <w:rPr>
          <w:rFonts w:ascii="Times New Roman" w:eastAsia="Times New Roman" w:hAnsi="Times New Roman" w:cs="Times New Roman"/>
          <w:color w:val="000000"/>
        </w:rPr>
        <w:t>.</w:t>
      </w:r>
      <w:r w:rsidRPr="009174FB">
        <w:rPr>
          <w:rFonts w:ascii="Times New Roman" w:eastAsia="Times New Roman" w:hAnsi="Times New Roman" w:cs="Times New Roman"/>
          <w:color w:val="000000"/>
        </w:rPr>
        <w:t xml:space="preserve"> </w:t>
      </w:r>
      <w:r w:rsidRPr="00987513">
        <w:rPr>
          <w:rFonts w:ascii="Times New Roman" w:eastAsia="Times New Roman" w:hAnsi="Times New Roman" w:cs="Times New Roman"/>
          <w:color w:val="000000"/>
        </w:rPr>
        <w:t xml:space="preserve">Agli occhi di Hegel, questo soprassedere legittima il ricorso a </w:t>
      </w:r>
      <w:r w:rsidRPr="00A96F49">
        <w:rPr>
          <w:rFonts w:ascii="Times New Roman" w:eastAsia="Times New Roman" w:hAnsi="Times New Roman" w:cs="Times New Roman"/>
          <w:color w:val="000000"/>
        </w:rPr>
        <w:t xml:space="preserve">quelle fonti che si spingono oltre i confini rigidamente </w:t>
      </w:r>
      <w:r w:rsidR="000C74B3" w:rsidRPr="00A96F49">
        <w:rPr>
          <w:rFonts w:ascii="Times New Roman" w:eastAsia="Times New Roman" w:hAnsi="Times New Roman" w:cs="Times New Roman"/>
          <w:color w:val="000000"/>
        </w:rPr>
        <w:t xml:space="preserve">tracciati </w:t>
      </w:r>
      <w:r w:rsidRPr="00A96F49">
        <w:rPr>
          <w:rFonts w:ascii="Times New Roman" w:eastAsia="Times New Roman" w:hAnsi="Times New Roman" w:cs="Times New Roman"/>
          <w:color w:val="000000"/>
        </w:rPr>
        <w:t xml:space="preserve">dal criticismo. </w:t>
      </w:r>
      <w:r w:rsidR="00DA5544" w:rsidRPr="00A96F49">
        <w:rPr>
          <w:rFonts w:ascii="Times New Roman" w:eastAsia="Times New Roman" w:hAnsi="Times New Roman" w:cs="Times New Roman"/>
          <w:color w:val="000000"/>
        </w:rPr>
        <w:t>Pertanto</w:t>
      </w:r>
      <w:r w:rsidR="0099506D" w:rsidRPr="00A96F49">
        <w:rPr>
          <w:rFonts w:ascii="Times New Roman" w:eastAsia="Times New Roman" w:hAnsi="Times New Roman" w:cs="Times New Roman"/>
          <w:color w:val="000000"/>
        </w:rPr>
        <w:t>,</w:t>
      </w:r>
      <w:r w:rsidR="00DA5544" w:rsidRPr="00A96F49">
        <w:rPr>
          <w:rFonts w:ascii="Times New Roman" w:eastAsia="Times New Roman" w:hAnsi="Times New Roman" w:cs="Times New Roman"/>
          <w:color w:val="000000"/>
        </w:rPr>
        <w:t xml:space="preserve"> assumono</w:t>
      </w:r>
      <w:r w:rsidR="001464CD" w:rsidRPr="00A96F49">
        <w:rPr>
          <w:rFonts w:ascii="Times New Roman" w:eastAsia="Times New Roman" w:hAnsi="Times New Roman" w:cs="Times New Roman"/>
          <w:color w:val="000000"/>
        </w:rPr>
        <w:t xml:space="preserve"> piena legittimità</w:t>
      </w:r>
      <w:r w:rsidRPr="00A96F49">
        <w:rPr>
          <w:rFonts w:ascii="Times New Roman" w:eastAsia="Times New Roman" w:hAnsi="Times New Roman" w:cs="Times New Roman"/>
          <w:color w:val="000000"/>
        </w:rPr>
        <w:t xml:space="preserve"> i</w:t>
      </w:r>
      <w:r w:rsidR="00DA5544" w:rsidRPr="00A96F49">
        <w:rPr>
          <w:rFonts w:ascii="Times New Roman" w:eastAsia="Times New Roman" w:hAnsi="Times New Roman" w:cs="Times New Roman"/>
          <w:color w:val="000000"/>
        </w:rPr>
        <w:t xml:space="preserve"> riferimenti al</w:t>
      </w:r>
      <w:r w:rsidR="0080416D" w:rsidRPr="00A96F49">
        <w:rPr>
          <w:rFonts w:ascii="Times New Roman" w:eastAsia="Times New Roman" w:hAnsi="Times New Roman" w:cs="Times New Roman"/>
          <w:color w:val="000000"/>
        </w:rPr>
        <w:t xml:space="preserve"> pensiero böhmiano</w:t>
      </w:r>
      <w:r w:rsidR="002E1147">
        <w:rPr>
          <w:rFonts w:ascii="Times New Roman" w:eastAsia="Times New Roman" w:hAnsi="Times New Roman" w:cs="Times New Roman"/>
          <w:color w:val="000000"/>
        </w:rPr>
        <w:t>, che descrive</w:t>
      </w:r>
      <w:r w:rsidRPr="00A96F49">
        <w:rPr>
          <w:rFonts w:ascii="Times New Roman" w:eastAsia="Times New Roman" w:hAnsi="Times New Roman" w:cs="Times New Roman"/>
          <w:color w:val="000000"/>
        </w:rPr>
        <w:t xml:space="preserve"> il processo attraverso cui si realizza e consuma l’opposi</w:t>
      </w:r>
      <w:r w:rsidR="00310D55" w:rsidRPr="00A96F49">
        <w:rPr>
          <w:rFonts w:ascii="Times New Roman" w:eastAsia="Times New Roman" w:hAnsi="Times New Roman" w:cs="Times New Roman"/>
          <w:color w:val="000000"/>
        </w:rPr>
        <w:t>zione radicale di Lucifero</w:t>
      </w:r>
      <w:r w:rsidRPr="00A96F49">
        <w:rPr>
          <w:rFonts w:ascii="Times New Roman" w:eastAsia="Times New Roman" w:hAnsi="Times New Roman" w:cs="Times New Roman"/>
          <w:color w:val="000000"/>
        </w:rPr>
        <w:t xml:space="preserve"> </w:t>
      </w:r>
      <w:r w:rsidR="0099506D" w:rsidRPr="00A96F49">
        <w:rPr>
          <w:rFonts w:ascii="Times New Roman" w:eastAsia="Times New Roman" w:hAnsi="Times New Roman" w:cs="Times New Roman"/>
          <w:color w:val="000000"/>
        </w:rPr>
        <w:t xml:space="preserve">– </w:t>
      </w:r>
      <w:r w:rsidRPr="00A96F49">
        <w:rPr>
          <w:rFonts w:ascii="Times New Roman" w:eastAsia="Times New Roman" w:hAnsi="Times New Roman" w:cs="Times New Roman"/>
          <w:color w:val="000000"/>
        </w:rPr>
        <w:t xml:space="preserve">il </w:t>
      </w:r>
      <w:r w:rsidRPr="00A96F49">
        <w:rPr>
          <w:rFonts w:ascii="Times New Roman" w:eastAsia="Times New Roman" w:hAnsi="Times New Roman" w:cs="Times New Roman"/>
          <w:i/>
          <w:color w:val="000000"/>
        </w:rPr>
        <w:t xml:space="preserve">böses Princip </w:t>
      </w:r>
      <w:r w:rsidRPr="00A96F49">
        <w:rPr>
          <w:rFonts w:ascii="Times New Roman" w:eastAsia="Times New Roman" w:hAnsi="Times New Roman" w:cs="Times New Roman"/>
          <w:color w:val="000000"/>
        </w:rPr>
        <w:t>dell’</w:t>
      </w:r>
      <w:r w:rsidRPr="00A96F49">
        <w:rPr>
          <w:rFonts w:ascii="Times New Roman" w:eastAsia="Times New Roman" w:hAnsi="Times New Roman" w:cs="Times New Roman"/>
          <w:i/>
          <w:color w:val="000000"/>
        </w:rPr>
        <w:t>Höchstes Wesen</w:t>
      </w:r>
      <w:r w:rsidR="004854B4" w:rsidRPr="00A96F49">
        <w:rPr>
          <w:rFonts w:ascii="Times New Roman" w:eastAsia="Times New Roman" w:hAnsi="Times New Roman" w:cs="Times New Roman"/>
          <w:i/>
          <w:color w:val="000000"/>
        </w:rPr>
        <w:t xml:space="preserve"> </w:t>
      </w:r>
      <w:r w:rsidRPr="00A96F49">
        <w:rPr>
          <w:rFonts w:ascii="Times New Roman" w:eastAsia="Times New Roman" w:hAnsi="Times New Roman" w:cs="Times New Roman"/>
          <w:color w:val="000000"/>
        </w:rPr>
        <w:t xml:space="preserve">– al suo Creatore. Il </w:t>
      </w:r>
      <w:r w:rsidRPr="00A96F49">
        <w:rPr>
          <w:rFonts w:ascii="Times New Roman" w:eastAsia="Times New Roman" w:hAnsi="Times New Roman" w:cs="Times New Roman"/>
          <w:i/>
          <w:color w:val="000000"/>
          <w:lang w:val="de-DE"/>
        </w:rPr>
        <w:t>sich in sich hinein Imaginieren</w:t>
      </w:r>
      <w:r w:rsidRPr="00A96F49">
        <w:rPr>
          <w:rFonts w:ascii="Times New Roman" w:eastAsia="Times New Roman" w:hAnsi="Times New Roman" w:cs="Times New Roman"/>
          <w:color w:val="000000"/>
          <w:lang w:val="de-DE"/>
        </w:rPr>
        <w:t xml:space="preserve"> e il </w:t>
      </w:r>
      <w:r w:rsidRPr="00A96F49">
        <w:rPr>
          <w:rFonts w:ascii="Times New Roman" w:eastAsia="Times New Roman" w:hAnsi="Times New Roman" w:cs="Times New Roman"/>
          <w:i/>
          <w:color w:val="000000"/>
          <w:lang w:val="de-DE"/>
        </w:rPr>
        <w:t>sich in sich einbilden</w:t>
      </w:r>
      <w:r w:rsidRPr="00A96F49">
        <w:rPr>
          <w:rFonts w:ascii="Times New Roman" w:eastAsia="Times New Roman" w:hAnsi="Times New Roman" w:cs="Times New Roman"/>
          <w:color w:val="000000"/>
          <w:lang w:val="de-DE"/>
        </w:rPr>
        <w:t xml:space="preserve"> sono</w:t>
      </w:r>
      <w:r w:rsidRPr="00A96F49">
        <w:rPr>
          <w:rFonts w:ascii="Times New Roman" w:eastAsia="Times New Roman" w:hAnsi="Times New Roman" w:cs="Times New Roman"/>
          <w:color w:val="000000"/>
        </w:rPr>
        <w:t xml:space="preserve"> tentativi, seppur</w:t>
      </w:r>
      <w:r w:rsidR="004854B4" w:rsidRPr="00A96F49">
        <w:rPr>
          <w:rFonts w:ascii="Times New Roman" w:eastAsia="Times New Roman" w:hAnsi="Times New Roman" w:cs="Times New Roman"/>
          <w:color w:val="000000"/>
        </w:rPr>
        <w:t xml:space="preserve"> formalmente inadeguati</w:t>
      </w:r>
      <w:r w:rsidRPr="00A96F49">
        <w:rPr>
          <w:rFonts w:ascii="Times New Roman" w:eastAsia="Times New Roman" w:hAnsi="Times New Roman" w:cs="Times New Roman"/>
          <w:color w:val="000000"/>
        </w:rPr>
        <w:t>,</w:t>
      </w:r>
      <w:r w:rsidRPr="00A96F49">
        <w:rPr>
          <w:rFonts w:ascii="Times New Roman" w:eastAsia="Times New Roman" w:hAnsi="Times New Roman" w:cs="Times New Roman"/>
          <w:color w:val="000000"/>
          <w:lang w:val="de-DE"/>
        </w:rPr>
        <w:t xml:space="preserve"> </w:t>
      </w:r>
      <w:r w:rsidRPr="00A96F49">
        <w:rPr>
          <w:rFonts w:ascii="Times New Roman" w:eastAsia="Times New Roman" w:hAnsi="Times New Roman" w:cs="Times New Roman"/>
          <w:color w:val="000000"/>
        </w:rPr>
        <w:t xml:space="preserve">di definire come </w:t>
      </w:r>
      <w:r w:rsidRPr="00A96F49">
        <w:rPr>
          <w:rFonts w:ascii="Times New Roman" w:eastAsia="Times New Roman" w:hAnsi="Times New Roman" w:cs="Times New Roman"/>
          <w:color w:val="000000"/>
          <w:lang w:val="de-DE"/>
        </w:rPr>
        <w:t>«der Geist der Selbstheit in die Imagination, als eine Begierde nach dem Zentrum eingegangen, sich zu erheben groß und machtig […] über Gottes Liebe und alles engelische Heer zu regieren»</w:t>
      </w:r>
      <w:r w:rsidRPr="00A96F49">
        <w:rPr>
          <w:rStyle w:val="Rimandonotaapidipagina"/>
          <w:rFonts w:ascii="Times New Roman" w:eastAsia="Times New Roman" w:hAnsi="Times New Roman" w:cs="Times New Roman"/>
          <w:color w:val="000000"/>
          <w:lang w:val="de-DE"/>
        </w:rPr>
        <w:footnoteReference w:id="218"/>
      </w:r>
      <w:r w:rsidRPr="00A96F49">
        <w:rPr>
          <w:rFonts w:ascii="Times New Roman" w:eastAsia="Times New Roman" w:hAnsi="Times New Roman" w:cs="Times New Roman"/>
          <w:color w:val="000000"/>
          <w:lang w:val="de-DE"/>
        </w:rPr>
        <w:t>.</w:t>
      </w:r>
      <w:r w:rsidRPr="00882E79">
        <w:rPr>
          <w:rFonts w:ascii="Times New Roman" w:eastAsia="Times New Roman" w:hAnsi="Times New Roman" w:cs="Times New Roman"/>
          <w:color w:val="000000"/>
          <w:lang w:val="de-DE"/>
        </w:rPr>
        <w:t xml:space="preserve"> </w:t>
      </w:r>
    </w:p>
    <w:p w14:paraId="043CC7C6" w14:textId="5182ABC2" w:rsidR="007D5796" w:rsidRPr="000C74B3" w:rsidRDefault="00DA1E0B" w:rsidP="004854B4">
      <w:pPr>
        <w:spacing w:line="360" w:lineRule="auto"/>
        <w:ind w:firstLine="567"/>
        <w:jc w:val="both"/>
        <w:rPr>
          <w:rFonts w:ascii="Times New Roman" w:eastAsia="Times New Roman" w:hAnsi="Times New Roman" w:cs="Times New Roman"/>
          <w:color w:val="000000"/>
        </w:rPr>
      </w:pPr>
      <w:r w:rsidRPr="00AE2205">
        <w:rPr>
          <w:rFonts w:ascii="Times New Roman" w:eastAsia="Times New Roman" w:hAnsi="Times New Roman" w:cs="Times New Roman"/>
          <w:color w:val="000000"/>
        </w:rPr>
        <w:t>Nell</w:t>
      </w:r>
      <w:r w:rsidR="008514D8" w:rsidRPr="00AE2205">
        <w:rPr>
          <w:rFonts w:ascii="Times New Roman" w:eastAsia="Times New Roman" w:hAnsi="Times New Roman" w:cs="Times New Roman"/>
          <w:color w:val="000000"/>
        </w:rPr>
        <w:t>a sezione dell’</w:t>
      </w:r>
      <w:r w:rsidRPr="00AE2205">
        <w:rPr>
          <w:rFonts w:ascii="Times New Roman" w:eastAsia="Times New Roman" w:hAnsi="Times New Roman" w:cs="Times New Roman"/>
          <w:i/>
          <w:color w:val="000000"/>
        </w:rPr>
        <w:t xml:space="preserve">Höchstes Wesen, </w:t>
      </w:r>
      <w:r w:rsidRPr="00AE2205">
        <w:rPr>
          <w:rFonts w:ascii="Times New Roman" w:eastAsia="Times New Roman" w:hAnsi="Times New Roman" w:cs="Times New Roman"/>
          <w:color w:val="000000"/>
        </w:rPr>
        <w:t xml:space="preserve">il principio cattivo consta di due momenti distinti e complementari ad un tempo: da un lato, il </w:t>
      </w:r>
      <w:r w:rsidRPr="00AE2205">
        <w:rPr>
          <w:rFonts w:ascii="Times New Roman" w:eastAsia="Times New Roman" w:hAnsi="Times New Roman" w:cs="Times New Roman"/>
          <w:i/>
          <w:color w:val="000000"/>
        </w:rPr>
        <w:t>böses Princip</w:t>
      </w:r>
      <w:r w:rsidRPr="00AE2205">
        <w:rPr>
          <w:rFonts w:ascii="Times New Roman" w:eastAsia="Times New Roman" w:hAnsi="Times New Roman" w:cs="Times New Roman"/>
          <w:color w:val="000000"/>
        </w:rPr>
        <w:t xml:space="preserve">, configurandosi in sé e sviluppando una precisa immagine di sé, tende ad opporsi all’essenza suprema; dall’altro lato, </w:t>
      </w:r>
      <w:r w:rsidR="0099506D" w:rsidRPr="00AE2205">
        <w:rPr>
          <w:rFonts w:ascii="Times New Roman" w:eastAsia="Times New Roman" w:hAnsi="Times New Roman" w:cs="Times New Roman"/>
          <w:color w:val="000000"/>
        </w:rPr>
        <w:t>il principio cattivo</w:t>
      </w:r>
      <w:r w:rsidR="00EC3C98" w:rsidRPr="00AE2205">
        <w:rPr>
          <w:rFonts w:ascii="Times New Roman" w:eastAsia="Times New Roman" w:hAnsi="Times New Roman" w:cs="Times New Roman"/>
          <w:color w:val="000000"/>
        </w:rPr>
        <w:t>, al pari della tenebra,</w:t>
      </w:r>
      <w:r w:rsidRPr="00AE2205">
        <w:rPr>
          <w:rFonts w:ascii="Times New Roman" w:eastAsia="Times New Roman" w:hAnsi="Times New Roman" w:cs="Times New Roman"/>
          <w:color w:val="000000"/>
        </w:rPr>
        <w:t xml:space="preserve"> </w:t>
      </w:r>
      <w:r w:rsidR="00DB3FDA" w:rsidRPr="00AE2205">
        <w:rPr>
          <w:rFonts w:ascii="Times New Roman" w:eastAsia="Times New Roman" w:hAnsi="Times New Roman" w:cs="Times New Roman"/>
          <w:color w:val="000000"/>
        </w:rPr>
        <w:t xml:space="preserve">si </w:t>
      </w:r>
      <w:r w:rsidR="00EC3C98" w:rsidRPr="00AE2205">
        <w:rPr>
          <w:rFonts w:ascii="Times New Roman" w:eastAsia="Times New Roman" w:hAnsi="Times New Roman" w:cs="Times New Roman"/>
          <w:color w:val="000000"/>
        </w:rPr>
        <w:t xml:space="preserve">definisce in relazione e in unità con </w:t>
      </w:r>
      <w:r w:rsidRPr="00AE2205">
        <w:rPr>
          <w:rFonts w:ascii="Times New Roman" w:eastAsia="Times New Roman" w:hAnsi="Times New Roman" w:cs="Times New Roman"/>
          <w:color w:val="000000"/>
        </w:rPr>
        <w:t xml:space="preserve">l’imperturbata semplicità dell’essere assoluto. </w:t>
      </w:r>
      <w:r w:rsidR="00C401AA" w:rsidRPr="00AE2205">
        <w:rPr>
          <w:rFonts w:ascii="Times New Roman" w:eastAsia="Times New Roman" w:hAnsi="Times New Roman" w:cs="Times New Roman"/>
          <w:color w:val="000000"/>
        </w:rPr>
        <w:t>Da un punto di vista concettuale e terminologico, i</w:t>
      </w:r>
      <w:r w:rsidRPr="00AE2205">
        <w:rPr>
          <w:rFonts w:ascii="Times New Roman" w:eastAsia="Times New Roman" w:hAnsi="Times New Roman" w:cs="Times New Roman"/>
          <w:color w:val="000000"/>
        </w:rPr>
        <w:t>l moto centrifugo</w:t>
      </w:r>
      <w:r w:rsidR="007D677E" w:rsidRPr="00AE2205">
        <w:rPr>
          <w:rFonts w:ascii="Times New Roman" w:eastAsia="Times New Roman" w:hAnsi="Times New Roman" w:cs="Times New Roman"/>
          <w:color w:val="000000"/>
        </w:rPr>
        <w:t xml:space="preserve"> e centripeto</w:t>
      </w:r>
      <w:r w:rsidR="00C401AA" w:rsidRPr="00AE2205">
        <w:rPr>
          <w:rFonts w:ascii="Times New Roman" w:eastAsia="Times New Roman" w:hAnsi="Times New Roman" w:cs="Times New Roman"/>
          <w:color w:val="000000"/>
        </w:rPr>
        <w:t xml:space="preserve"> del principio cattivo collima con lo sviluppo dell’</w:t>
      </w:r>
      <w:r w:rsidRPr="00AE2205">
        <w:rPr>
          <w:rFonts w:ascii="Times New Roman" w:eastAsia="Times New Roman" w:hAnsi="Times New Roman" w:cs="Times New Roman"/>
          <w:color w:val="000000"/>
        </w:rPr>
        <w:t xml:space="preserve">essere per sé </w:t>
      </w:r>
      <w:r w:rsidR="007D677E" w:rsidRPr="00AE2205">
        <w:rPr>
          <w:rFonts w:ascii="Times New Roman" w:eastAsia="Times New Roman" w:hAnsi="Times New Roman" w:cs="Times New Roman"/>
          <w:color w:val="000000"/>
        </w:rPr>
        <w:t>descritto n</w:t>
      </w:r>
      <w:r w:rsidRPr="00AE2205">
        <w:rPr>
          <w:rFonts w:ascii="Times New Roman" w:eastAsia="Times New Roman" w:hAnsi="Times New Roman" w:cs="Times New Roman"/>
          <w:color w:val="000000"/>
        </w:rPr>
        <w:t xml:space="preserve">el </w:t>
      </w:r>
      <w:r w:rsidRPr="00AE2205">
        <w:rPr>
          <w:rFonts w:ascii="Times New Roman" w:eastAsia="Times New Roman" w:hAnsi="Times New Roman" w:cs="Times New Roman"/>
          <w:i/>
          <w:color w:val="000000"/>
        </w:rPr>
        <w:t>Fragment 49</w:t>
      </w:r>
      <w:r w:rsidR="007D677E" w:rsidRPr="00AE2205">
        <w:rPr>
          <w:rFonts w:ascii="Times New Roman" w:eastAsia="Times New Roman" w:hAnsi="Times New Roman" w:cs="Times New Roman"/>
          <w:i/>
          <w:color w:val="000000"/>
        </w:rPr>
        <w:t xml:space="preserve">. </w:t>
      </w:r>
      <w:r w:rsidR="008514D8" w:rsidRPr="00AE2205">
        <w:rPr>
          <w:rFonts w:ascii="Times New Roman" w:eastAsia="Times New Roman" w:hAnsi="Times New Roman" w:cs="Times New Roman"/>
          <w:color w:val="000000"/>
        </w:rPr>
        <w:t>L</w:t>
      </w:r>
      <w:r w:rsidR="007D677E" w:rsidRPr="00AE2205">
        <w:rPr>
          <w:rFonts w:ascii="Times New Roman" w:eastAsia="Times New Roman" w:hAnsi="Times New Roman" w:cs="Times New Roman"/>
          <w:color w:val="000000"/>
        </w:rPr>
        <w:t xml:space="preserve">o scarto </w:t>
      </w:r>
      <w:r w:rsidR="008514D8" w:rsidRPr="00AE2205">
        <w:rPr>
          <w:rFonts w:ascii="Times New Roman" w:eastAsia="Times New Roman" w:hAnsi="Times New Roman" w:cs="Times New Roman"/>
          <w:color w:val="000000"/>
        </w:rPr>
        <w:t xml:space="preserve">teorico </w:t>
      </w:r>
      <w:r w:rsidR="007D677E" w:rsidRPr="00AE2205">
        <w:rPr>
          <w:rFonts w:ascii="Times New Roman" w:eastAsia="Times New Roman" w:hAnsi="Times New Roman" w:cs="Times New Roman"/>
          <w:color w:val="000000"/>
        </w:rPr>
        <w:t xml:space="preserve">fra </w:t>
      </w:r>
      <w:r w:rsidR="00660974" w:rsidRPr="00AE2205">
        <w:rPr>
          <w:rFonts w:ascii="Times New Roman" w:eastAsia="Times New Roman" w:hAnsi="Times New Roman" w:cs="Times New Roman"/>
          <w:color w:val="000000"/>
        </w:rPr>
        <w:t xml:space="preserve">questa testimonianza dello </w:t>
      </w:r>
      <w:r w:rsidR="00660974" w:rsidRPr="00AE2205">
        <w:rPr>
          <w:rFonts w:ascii="Times New Roman" w:eastAsia="Times New Roman" w:hAnsi="Times New Roman" w:cs="Times New Roman"/>
          <w:i/>
          <w:color w:val="000000"/>
        </w:rPr>
        <w:t>Jena Wastebook</w:t>
      </w:r>
      <w:r w:rsidR="008514D8" w:rsidRPr="00AE2205">
        <w:rPr>
          <w:rFonts w:ascii="Times New Roman" w:eastAsia="Times New Roman" w:hAnsi="Times New Roman" w:cs="Times New Roman"/>
          <w:color w:val="000000"/>
        </w:rPr>
        <w:t xml:space="preserve"> e la metafisica jenese </w:t>
      </w:r>
      <w:r w:rsidR="00F24635" w:rsidRPr="00AE2205">
        <w:rPr>
          <w:rFonts w:ascii="Times New Roman" w:eastAsia="Times New Roman" w:hAnsi="Times New Roman" w:cs="Times New Roman"/>
          <w:color w:val="000000"/>
        </w:rPr>
        <w:t xml:space="preserve">è </w:t>
      </w:r>
      <w:r w:rsidR="008514D8" w:rsidRPr="00AE2205">
        <w:rPr>
          <w:rFonts w:ascii="Times New Roman" w:eastAsia="Times New Roman" w:hAnsi="Times New Roman" w:cs="Times New Roman"/>
          <w:color w:val="000000"/>
        </w:rPr>
        <w:t xml:space="preserve">rappresentato dall’interpretazione della negatività nella </w:t>
      </w:r>
      <w:r w:rsidR="008514D8" w:rsidRPr="00AE2205">
        <w:rPr>
          <w:rFonts w:ascii="Times New Roman" w:eastAsia="Times New Roman" w:hAnsi="Times New Roman" w:cs="Times New Roman"/>
          <w:i/>
          <w:color w:val="000000"/>
        </w:rPr>
        <w:t>Metaphysik der Subjectivität</w:t>
      </w:r>
      <w:r w:rsidR="008514D8" w:rsidRPr="00AE2205">
        <w:rPr>
          <w:rFonts w:ascii="Times New Roman" w:eastAsia="Times New Roman" w:hAnsi="Times New Roman" w:cs="Times New Roman"/>
          <w:color w:val="000000"/>
        </w:rPr>
        <w:t>:</w:t>
      </w:r>
      <w:r w:rsidR="00660974" w:rsidRPr="00AE2205">
        <w:rPr>
          <w:rFonts w:ascii="Times New Roman" w:eastAsia="Times New Roman" w:hAnsi="Times New Roman" w:cs="Times New Roman"/>
          <w:color w:val="000000"/>
        </w:rPr>
        <w:t xml:space="preserve"> </w:t>
      </w:r>
      <w:r w:rsidR="0099506D" w:rsidRPr="00AE2205">
        <w:rPr>
          <w:rFonts w:ascii="Times New Roman" w:eastAsia="Times New Roman" w:hAnsi="Times New Roman" w:cs="Times New Roman"/>
          <w:color w:val="000000"/>
        </w:rPr>
        <w:t>il super</w:t>
      </w:r>
      <w:r w:rsidR="00AC19F6" w:rsidRPr="00AE2205">
        <w:rPr>
          <w:rFonts w:ascii="Times New Roman" w:eastAsia="Times New Roman" w:hAnsi="Times New Roman" w:cs="Times New Roman"/>
          <w:color w:val="000000"/>
        </w:rPr>
        <w:t>a</w:t>
      </w:r>
      <w:r w:rsidR="0099506D" w:rsidRPr="00AE2205">
        <w:rPr>
          <w:rFonts w:ascii="Times New Roman" w:eastAsia="Times New Roman" w:hAnsi="Times New Roman" w:cs="Times New Roman"/>
          <w:color w:val="000000"/>
        </w:rPr>
        <w:t>me</w:t>
      </w:r>
      <w:r w:rsidR="00AC19F6" w:rsidRPr="00AE2205">
        <w:rPr>
          <w:rFonts w:ascii="Times New Roman" w:eastAsia="Times New Roman" w:hAnsi="Times New Roman" w:cs="Times New Roman"/>
          <w:color w:val="000000"/>
        </w:rPr>
        <w:t xml:space="preserve">nto </w:t>
      </w:r>
      <w:r w:rsidRPr="00AE2205">
        <w:rPr>
          <w:rFonts w:ascii="Times New Roman" w:eastAsia="Times New Roman" w:hAnsi="Times New Roman" w:cs="Times New Roman"/>
          <w:color w:val="000000"/>
        </w:rPr>
        <w:t>d</w:t>
      </w:r>
      <w:r w:rsidR="008514D8" w:rsidRPr="00AE2205">
        <w:rPr>
          <w:rFonts w:ascii="Times New Roman" w:eastAsia="Times New Roman" w:hAnsi="Times New Roman" w:cs="Times New Roman"/>
          <w:color w:val="000000"/>
        </w:rPr>
        <w:t>ell’</w:t>
      </w:r>
      <w:r w:rsidR="00782DE5" w:rsidRPr="00AE2205">
        <w:rPr>
          <w:rFonts w:ascii="Times New Roman" w:eastAsia="Times New Roman" w:hAnsi="Times New Roman" w:cs="Times New Roman"/>
          <w:color w:val="000000"/>
        </w:rPr>
        <w:t xml:space="preserve">essere per sé </w:t>
      </w:r>
      <w:r w:rsidR="008514D8" w:rsidRPr="00AE2205">
        <w:rPr>
          <w:rFonts w:ascii="Times New Roman" w:eastAsia="Times New Roman" w:hAnsi="Times New Roman" w:cs="Times New Roman"/>
          <w:color w:val="000000"/>
        </w:rPr>
        <w:t xml:space="preserve">e il trasparire del divino nella natura saranno </w:t>
      </w:r>
      <w:r w:rsidR="00C401AA" w:rsidRPr="00AE2205">
        <w:rPr>
          <w:rFonts w:ascii="Times New Roman" w:eastAsia="Times New Roman" w:hAnsi="Times New Roman" w:cs="Times New Roman"/>
          <w:color w:val="000000"/>
        </w:rPr>
        <w:t>ridefini</w:t>
      </w:r>
      <w:r w:rsidR="008514D8" w:rsidRPr="00AE2205">
        <w:rPr>
          <w:rFonts w:ascii="Times New Roman" w:eastAsia="Times New Roman" w:hAnsi="Times New Roman" w:cs="Times New Roman"/>
          <w:color w:val="000000"/>
        </w:rPr>
        <w:t>ti</w:t>
      </w:r>
      <w:r w:rsidR="00C401AA" w:rsidRPr="00AE2205">
        <w:rPr>
          <w:rFonts w:ascii="Times New Roman" w:eastAsia="Times New Roman" w:hAnsi="Times New Roman" w:cs="Times New Roman"/>
          <w:color w:val="000000"/>
        </w:rPr>
        <w:t xml:space="preserve"> a partire</w:t>
      </w:r>
      <w:r w:rsidR="00660974" w:rsidRPr="00AE2205">
        <w:rPr>
          <w:rFonts w:ascii="Times New Roman" w:eastAsia="Times New Roman" w:hAnsi="Times New Roman" w:cs="Times New Roman"/>
          <w:color w:val="000000"/>
        </w:rPr>
        <w:t xml:space="preserve"> dall’</w:t>
      </w:r>
      <w:r w:rsidR="00660974" w:rsidRPr="00AE2205">
        <w:rPr>
          <w:rFonts w:ascii="Times New Roman" w:eastAsia="Times New Roman" w:hAnsi="Times New Roman" w:cs="Times New Roman"/>
          <w:i/>
          <w:color w:val="000000"/>
        </w:rPr>
        <w:t>introiezione</w:t>
      </w:r>
      <w:r w:rsidR="00782DE5" w:rsidRPr="00AE2205">
        <w:rPr>
          <w:rFonts w:ascii="Times New Roman" w:eastAsia="Times New Roman" w:hAnsi="Times New Roman" w:cs="Times New Roman"/>
          <w:color w:val="000000"/>
        </w:rPr>
        <w:t xml:space="preserve"> </w:t>
      </w:r>
      <w:r w:rsidR="00310D55" w:rsidRPr="00AE2205">
        <w:rPr>
          <w:rFonts w:ascii="Times New Roman" w:eastAsia="Times New Roman" w:hAnsi="Times New Roman" w:cs="Times New Roman"/>
          <w:color w:val="000000"/>
        </w:rPr>
        <w:t>de</w:t>
      </w:r>
      <w:r w:rsidRPr="00AE2205">
        <w:rPr>
          <w:rFonts w:ascii="Times New Roman" w:eastAsia="Times New Roman" w:hAnsi="Times New Roman" w:cs="Times New Roman"/>
          <w:color w:val="000000"/>
        </w:rPr>
        <w:t>l principio cattivo</w:t>
      </w:r>
      <w:r w:rsidR="0023652E" w:rsidRPr="00AE2205">
        <w:rPr>
          <w:rFonts w:ascii="Times New Roman" w:eastAsia="Times New Roman" w:hAnsi="Times New Roman" w:cs="Times New Roman"/>
          <w:color w:val="000000"/>
        </w:rPr>
        <w:t xml:space="preserve"> – che nel </w:t>
      </w:r>
      <w:r w:rsidR="0023652E" w:rsidRPr="00AE2205">
        <w:rPr>
          <w:rFonts w:ascii="Times New Roman" w:eastAsia="Times New Roman" w:hAnsi="Times New Roman" w:cs="Times New Roman"/>
          <w:i/>
          <w:color w:val="000000"/>
        </w:rPr>
        <w:t>Fragment 49</w:t>
      </w:r>
      <w:r w:rsidR="0023652E" w:rsidRPr="00AE2205">
        <w:rPr>
          <w:rFonts w:ascii="Times New Roman" w:eastAsia="Times New Roman" w:hAnsi="Times New Roman" w:cs="Times New Roman"/>
          <w:color w:val="000000"/>
        </w:rPr>
        <w:t xml:space="preserve"> è oggetto di una negatività (la </w:t>
      </w:r>
      <w:r w:rsidR="0023652E" w:rsidRPr="00AE2205">
        <w:rPr>
          <w:rFonts w:ascii="Times New Roman" w:eastAsia="Times New Roman" w:hAnsi="Times New Roman" w:cs="Times New Roman"/>
          <w:i/>
          <w:color w:val="000000"/>
        </w:rPr>
        <w:t>Zorn Gottes</w:t>
      </w:r>
      <w:r w:rsidR="0023652E" w:rsidRPr="00AE2205">
        <w:rPr>
          <w:rFonts w:ascii="Times New Roman" w:eastAsia="Times New Roman" w:hAnsi="Times New Roman" w:cs="Times New Roman"/>
          <w:color w:val="000000"/>
        </w:rPr>
        <w:t xml:space="preserve">) rivolta verso l’esterno – </w:t>
      </w:r>
      <w:r w:rsidR="00782DE5" w:rsidRPr="00AE2205">
        <w:rPr>
          <w:rFonts w:ascii="Times New Roman" w:eastAsia="Times New Roman" w:hAnsi="Times New Roman" w:cs="Times New Roman"/>
          <w:color w:val="000000"/>
        </w:rPr>
        <w:t>ne</w:t>
      </w:r>
      <w:r w:rsidRPr="00AE2205">
        <w:rPr>
          <w:rFonts w:ascii="Times New Roman" w:eastAsia="Times New Roman" w:hAnsi="Times New Roman" w:cs="Times New Roman"/>
          <w:color w:val="000000"/>
        </w:rPr>
        <w:t>ll’essenza suprema</w:t>
      </w:r>
      <w:r w:rsidR="00782DE5" w:rsidRPr="00AE2205">
        <w:rPr>
          <w:rFonts w:ascii="Times New Roman" w:eastAsia="Times New Roman" w:hAnsi="Times New Roman" w:cs="Times New Roman"/>
          <w:color w:val="000000"/>
        </w:rPr>
        <w:t xml:space="preserve"> stessa</w:t>
      </w:r>
      <w:r w:rsidRPr="00AE2205">
        <w:rPr>
          <w:rFonts w:ascii="Times New Roman" w:eastAsia="Times New Roman" w:hAnsi="Times New Roman" w:cs="Times New Roman"/>
          <w:color w:val="000000"/>
        </w:rPr>
        <w:t xml:space="preserve">. </w:t>
      </w:r>
      <w:r w:rsidR="004854B4" w:rsidRPr="00AE2205">
        <w:rPr>
          <w:rFonts w:ascii="Times New Roman" w:eastAsia="Times New Roman" w:hAnsi="Times New Roman" w:cs="Times New Roman"/>
          <w:color w:val="000000"/>
        </w:rPr>
        <w:t>In questo caso</w:t>
      </w:r>
      <w:r w:rsidR="00C401AA" w:rsidRPr="00AE2205">
        <w:rPr>
          <w:rFonts w:ascii="Times New Roman" w:eastAsia="Times New Roman" w:hAnsi="Times New Roman" w:cs="Times New Roman"/>
          <w:color w:val="000000"/>
        </w:rPr>
        <w:t>, l</w:t>
      </w:r>
      <w:r w:rsidRPr="00AE2205">
        <w:rPr>
          <w:rFonts w:ascii="Times New Roman" w:eastAsia="Times New Roman" w:hAnsi="Times New Roman" w:cs="Times New Roman"/>
          <w:color w:val="000000"/>
        </w:rPr>
        <w:t>’immagine della luce e della tenebra</w:t>
      </w:r>
      <w:r w:rsidR="00660974" w:rsidRPr="00AE2205">
        <w:rPr>
          <w:rFonts w:ascii="Times New Roman" w:eastAsia="Times New Roman" w:hAnsi="Times New Roman" w:cs="Times New Roman"/>
          <w:color w:val="000000"/>
        </w:rPr>
        <w:t xml:space="preserve">, </w:t>
      </w:r>
      <w:r w:rsidR="00C401AA" w:rsidRPr="00AE2205">
        <w:rPr>
          <w:rFonts w:ascii="Times New Roman" w:eastAsia="Times New Roman" w:hAnsi="Times New Roman" w:cs="Times New Roman"/>
          <w:color w:val="000000"/>
        </w:rPr>
        <w:t xml:space="preserve">anticipata </w:t>
      </w:r>
      <w:r w:rsidR="00660974" w:rsidRPr="00AE2205">
        <w:rPr>
          <w:rFonts w:ascii="Times New Roman" w:eastAsia="Times New Roman" w:hAnsi="Times New Roman" w:cs="Times New Roman"/>
          <w:color w:val="000000"/>
        </w:rPr>
        <w:t>in chiusura dell’</w:t>
      </w:r>
      <w:r w:rsidR="00660974" w:rsidRPr="00AE2205">
        <w:rPr>
          <w:rFonts w:ascii="Times New Roman" w:eastAsia="Times New Roman" w:hAnsi="Times New Roman" w:cs="Times New Roman"/>
          <w:i/>
          <w:color w:val="000000"/>
        </w:rPr>
        <w:t>Höchstes Wesen</w:t>
      </w:r>
      <w:r w:rsidR="00397966" w:rsidRPr="00AE2205">
        <w:rPr>
          <w:rFonts w:ascii="Times New Roman" w:eastAsia="Times New Roman" w:hAnsi="Times New Roman" w:cs="Times New Roman"/>
          <w:color w:val="000000"/>
        </w:rPr>
        <w:t xml:space="preserve"> </w:t>
      </w:r>
      <w:r w:rsidR="00C401AA" w:rsidRPr="00AE2205">
        <w:rPr>
          <w:rFonts w:ascii="Times New Roman" w:eastAsia="Times New Roman" w:hAnsi="Times New Roman" w:cs="Times New Roman"/>
          <w:color w:val="000000"/>
        </w:rPr>
        <w:t>come prefigurazione del</w:t>
      </w:r>
      <w:r w:rsidR="00397966" w:rsidRPr="00AE2205">
        <w:rPr>
          <w:rFonts w:ascii="Times New Roman" w:eastAsia="Times New Roman" w:hAnsi="Times New Roman" w:cs="Times New Roman"/>
          <w:color w:val="000000"/>
        </w:rPr>
        <w:t xml:space="preserve">l’itinerario speculativo della metafisica </w:t>
      </w:r>
      <w:r w:rsidR="00A32401" w:rsidRPr="00AE2205">
        <w:rPr>
          <w:rFonts w:ascii="Times New Roman" w:eastAsia="Times New Roman" w:hAnsi="Times New Roman" w:cs="Times New Roman"/>
          <w:color w:val="000000"/>
        </w:rPr>
        <w:t xml:space="preserve">della </w:t>
      </w:r>
      <w:r w:rsidR="00397966" w:rsidRPr="00AE2205">
        <w:rPr>
          <w:rFonts w:ascii="Times New Roman" w:eastAsia="Times New Roman" w:hAnsi="Times New Roman" w:cs="Times New Roman"/>
          <w:color w:val="000000"/>
        </w:rPr>
        <w:t>soggetti</w:t>
      </w:r>
      <w:r w:rsidR="00A32401" w:rsidRPr="00AE2205">
        <w:rPr>
          <w:rFonts w:ascii="Times New Roman" w:eastAsia="Times New Roman" w:hAnsi="Times New Roman" w:cs="Times New Roman"/>
          <w:color w:val="000000"/>
        </w:rPr>
        <w:t>vità</w:t>
      </w:r>
      <w:r w:rsidR="00397966" w:rsidRPr="00AE2205">
        <w:rPr>
          <w:rFonts w:ascii="Times New Roman" w:eastAsia="Times New Roman" w:hAnsi="Times New Roman" w:cs="Times New Roman"/>
          <w:color w:val="000000"/>
        </w:rPr>
        <w:t>, denoterà</w:t>
      </w:r>
      <w:r w:rsidR="00660974" w:rsidRPr="00AE2205">
        <w:rPr>
          <w:rFonts w:ascii="Times New Roman" w:eastAsia="Times New Roman" w:hAnsi="Times New Roman" w:cs="Times New Roman"/>
          <w:color w:val="000000"/>
        </w:rPr>
        <w:t xml:space="preserve"> </w:t>
      </w:r>
      <w:r w:rsidR="00397966" w:rsidRPr="00AE2205">
        <w:rPr>
          <w:rFonts w:ascii="Times New Roman" w:eastAsia="Times New Roman" w:hAnsi="Times New Roman" w:cs="Times New Roman"/>
          <w:color w:val="000000"/>
        </w:rPr>
        <w:t xml:space="preserve">sia </w:t>
      </w:r>
      <w:r w:rsidRPr="00AE2205">
        <w:rPr>
          <w:rFonts w:ascii="Times New Roman" w:eastAsia="Times New Roman" w:hAnsi="Times New Roman" w:cs="Times New Roman"/>
          <w:color w:val="000000"/>
        </w:rPr>
        <w:t>l’i</w:t>
      </w:r>
      <w:r w:rsidR="00C401AA" w:rsidRPr="00AE2205">
        <w:rPr>
          <w:rFonts w:ascii="Times New Roman" w:eastAsia="Times New Roman" w:hAnsi="Times New Roman" w:cs="Times New Roman"/>
          <w:color w:val="000000"/>
        </w:rPr>
        <w:t>nseparabilità dei due</w:t>
      </w:r>
      <w:r w:rsidR="00C401AA" w:rsidRPr="000C74B3">
        <w:rPr>
          <w:rFonts w:ascii="Times New Roman" w:eastAsia="Times New Roman" w:hAnsi="Times New Roman" w:cs="Times New Roman"/>
          <w:color w:val="000000"/>
        </w:rPr>
        <w:t xml:space="preserve"> principi</w:t>
      </w:r>
      <w:r w:rsidR="000C74B3" w:rsidRPr="000C74B3">
        <w:rPr>
          <w:rFonts w:ascii="Times New Roman" w:eastAsia="Times New Roman" w:hAnsi="Times New Roman" w:cs="Times New Roman"/>
          <w:color w:val="000000"/>
        </w:rPr>
        <w:t>,</w:t>
      </w:r>
      <w:r w:rsidR="00397966" w:rsidRPr="000C74B3">
        <w:rPr>
          <w:rFonts w:ascii="Times New Roman" w:eastAsia="Times New Roman" w:hAnsi="Times New Roman" w:cs="Times New Roman"/>
          <w:color w:val="000000"/>
        </w:rPr>
        <w:t xml:space="preserve"> che </w:t>
      </w:r>
      <w:r w:rsidR="00AC19F6" w:rsidRPr="000C74B3">
        <w:rPr>
          <w:rFonts w:ascii="Times New Roman" w:eastAsia="Times New Roman" w:hAnsi="Times New Roman" w:cs="Times New Roman"/>
          <w:color w:val="000000"/>
        </w:rPr>
        <w:t>la funzione produttiva</w:t>
      </w:r>
      <w:r w:rsidRPr="000C74B3">
        <w:rPr>
          <w:rFonts w:ascii="Times New Roman" w:eastAsia="Times New Roman" w:hAnsi="Times New Roman" w:cs="Times New Roman"/>
          <w:color w:val="000000"/>
        </w:rPr>
        <w:t xml:space="preserve"> svolta dal ne</w:t>
      </w:r>
      <w:r w:rsidR="00AC19F6" w:rsidRPr="000C74B3">
        <w:rPr>
          <w:rFonts w:ascii="Times New Roman" w:eastAsia="Times New Roman" w:hAnsi="Times New Roman" w:cs="Times New Roman"/>
          <w:color w:val="000000"/>
        </w:rPr>
        <w:t>gativo all’interno del positivo</w:t>
      </w:r>
      <w:r w:rsidRPr="000C74B3">
        <w:rPr>
          <w:rFonts w:ascii="Times New Roman" w:eastAsia="Times New Roman" w:hAnsi="Times New Roman" w:cs="Times New Roman"/>
          <w:color w:val="000000"/>
        </w:rPr>
        <w:t xml:space="preserve">. </w:t>
      </w:r>
    </w:p>
    <w:p w14:paraId="732BD54F" w14:textId="179CF8BE" w:rsidR="00073763" w:rsidRPr="00A2109A" w:rsidRDefault="00DA1E0B" w:rsidP="00B6081D">
      <w:pPr>
        <w:spacing w:line="360" w:lineRule="auto"/>
        <w:ind w:firstLine="567"/>
        <w:jc w:val="both"/>
        <w:rPr>
          <w:rFonts w:ascii="Times New Roman" w:eastAsia="Times New Roman" w:hAnsi="Times New Roman" w:cs="Times New Roman"/>
          <w:color w:val="000000"/>
        </w:rPr>
      </w:pPr>
      <w:r w:rsidRPr="008514D8">
        <w:rPr>
          <w:rFonts w:ascii="Times New Roman" w:eastAsia="Times New Roman" w:hAnsi="Times New Roman" w:cs="Times New Roman"/>
          <w:color w:val="000000"/>
        </w:rPr>
        <w:t>Su questo punto</w:t>
      </w:r>
      <w:r w:rsidR="007D5796" w:rsidRPr="008514D8">
        <w:rPr>
          <w:rFonts w:ascii="Times New Roman" w:eastAsia="Times New Roman" w:hAnsi="Times New Roman" w:cs="Times New Roman"/>
          <w:color w:val="000000"/>
        </w:rPr>
        <w:t>, che reputo decisivo ai fini del superamento hegeliano di una concezione sostanzialistica dell’Assoluto,</w:t>
      </w:r>
      <w:r w:rsidRPr="008514D8">
        <w:rPr>
          <w:rFonts w:ascii="Times New Roman" w:eastAsia="Times New Roman" w:hAnsi="Times New Roman" w:cs="Times New Roman"/>
          <w:color w:val="000000"/>
        </w:rPr>
        <w:t xml:space="preserve"> to</w:t>
      </w:r>
      <w:r w:rsidR="007D5796" w:rsidRPr="008514D8">
        <w:rPr>
          <w:rFonts w:ascii="Times New Roman" w:eastAsia="Times New Roman" w:hAnsi="Times New Roman" w:cs="Times New Roman"/>
          <w:color w:val="000000"/>
        </w:rPr>
        <w:t>rnerò nei prossimi sottocapitoli</w:t>
      </w:r>
      <w:r w:rsidR="00B84F76">
        <w:rPr>
          <w:rStyle w:val="Rimandonotaapidipagina"/>
          <w:rFonts w:ascii="Times New Roman" w:eastAsia="Times New Roman" w:hAnsi="Times New Roman" w:cs="Times New Roman"/>
          <w:color w:val="000000"/>
        </w:rPr>
        <w:footnoteReference w:id="219"/>
      </w:r>
      <w:r w:rsidRPr="008514D8">
        <w:rPr>
          <w:rFonts w:ascii="Times New Roman" w:eastAsia="Times New Roman" w:hAnsi="Times New Roman" w:cs="Times New Roman"/>
          <w:color w:val="000000"/>
        </w:rPr>
        <w:t>. Per il momento, mi limiterò ad indagare il retroterra speculativo chiamato in causa dalla coppia luce-tenebra.</w:t>
      </w:r>
      <w:r w:rsidRPr="00BA4365">
        <w:rPr>
          <w:rFonts w:ascii="Times New Roman" w:eastAsia="Times New Roman" w:hAnsi="Times New Roman" w:cs="Times New Roman"/>
          <w:color w:val="000000"/>
        </w:rPr>
        <w:t xml:space="preserve"> Dal momento che le coppie luce-tenebra e principio buono-principio denotano lo stesso oggetto e che nozioni böhmiane sono sovrapposte sul principio cattivo kantiano, sarebbe logico aspettarsi, anche in questo caso, un riferimento hegeliano al pensiero di Jakob Böhme. Quest’aspettativa, a mio modo di vedere, non viene disattesa da Hegel: in accordo con la logica interna all’</w:t>
      </w:r>
      <w:r w:rsidRPr="00BA4365">
        <w:rPr>
          <w:rFonts w:ascii="Times New Roman" w:eastAsia="Times New Roman" w:hAnsi="Times New Roman" w:cs="Times New Roman"/>
          <w:i/>
          <w:color w:val="000000"/>
        </w:rPr>
        <w:t xml:space="preserve">Höchstes Wesen </w:t>
      </w:r>
      <w:r w:rsidRPr="00BA4365">
        <w:rPr>
          <w:rFonts w:ascii="Times New Roman" w:eastAsia="Times New Roman" w:hAnsi="Times New Roman" w:cs="Times New Roman"/>
          <w:color w:val="000000"/>
        </w:rPr>
        <w:t xml:space="preserve">e con i riferimenti storico-filosofici in essa coinvolti, gli opposti luce–tenebra vanno in direzione della teoria böhmiana delle </w:t>
      </w:r>
      <w:r w:rsidRPr="00BA4365">
        <w:rPr>
          <w:rFonts w:ascii="Times New Roman" w:eastAsia="Times New Roman" w:hAnsi="Times New Roman" w:cs="Times New Roman"/>
          <w:i/>
          <w:color w:val="000000"/>
        </w:rPr>
        <w:t>Qualitäten</w:t>
      </w:r>
      <w:r w:rsidRPr="00BA4365">
        <w:rPr>
          <w:rFonts w:ascii="Times New Roman" w:eastAsia="Times New Roman" w:hAnsi="Times New Roman" w:cs="Times New Roman"/>
          <w:color w:val="000000"/>
        </w:rPr>
        <w:t>, che rappresenta un antecedente congruo alla volontà hegeliana di pensare concretamente l’essenza suprema (la riconduzione dei due principi, o della luce e della tenebra, ad un unico fondamento).</w:t>
      </w:r>
      <w:r w:rsidR="00B6081D" w:rsidRPr="00BA4365">
        <w:rPr>
          <w:rFonts w:ascii="Times New Roman" w:eastAsia="Times New Roman" w:hAnsi="Times New Roman" w:cs="Times New Roman"/>
          <w:color w:val="000000"/>
        </w:rPr>
        <w:t xml:space="preserve"> </w:t>
      </w:r>
      <w:r w:rsidR="00F662ED" w:rsidRPr="00BA4365">
        <w:rPr>
          <w:rFonts w:ascii="Times New Roman" w:eastAsia="Times New Roman" w:hAnsi="Times New Roman" w:cs="Times New Roman"/>
          <w:color w:val="000000"/>
        </w:rPr>
        <w:t>Ne</w:t>
      </w:r>
      <w:r w:rsidR="00241C20" w:rsidRPr="00BA4365">
        <w:rPr>
          <w:rFonts w:ascii="Times New Roman" w:eastAsia="Times New Roman" w:hAnsi="Times New Roman" w:cs="Times New Roman"/>
          <w:color w:val="000000"/>
        </w:rPr>
        <w:t>l primo capitolo</w:t>
      </w:r>
      <w:r w:rsidR="00B5050C" w:rsidRPr="00BA4365">
        <w:rPr>
          <w:rFonts w:ascii="Times New Roman" w:eastAsia="Times New Roman" w:hAnsi="Times New Roman" w:cs="Times New Roman"/>
          <w:color w:val="000000"/>
        </w:rPr>
        <w:t xml:space="preserve"> di </w:t>
      </w:r>
      <w:r w:rsidR="00C95933" w:rsidRPr="00BA4365">
        <w:rPr>
          <w:rFonts w:ascii="Times New Roman" w:eastAsia="Times New Roman" w:hAnsi="Times New Roman" w:cs="Times New Roman"/>
          <w:i/>
          <w:color w:val="000000"/>
        </w:rPr>
        <w:t>Morgenrö</w:t>
      </w:r>
      <w:r w:rsidR="00B5050C" w:rsidRPr="00BA4365">
        <w:rPr>
          <w:rFonts w:ascii="Times New Roman" w:eastAsia="Times New Roman" w:hAnsi="Times New Roman" w:cs="Times New Roman"/>
          <w:i/>
          <w:color w:val="000000"/>
        </w:rPr>
        <w:t>te</w:t>
      </w:r>
      <w:r w:rsidR="00DC19D4" w:rsidRPr="00BA4365">
        <w:rPr>
          <w:rFonts w:ascii="Times New Roman" w:eastAsia="Times New Roman" w:hAnsi="Times New Roman" w:cs="Times New Roman"/>
          <w:i/>
          <w:color w:val="000000"/>
        </w:rPr>
        <w:t xml:space="preserve"> im Aufgang</w:t>
      </w:r>
      <w:r w:rsidR="00F662ED" w:rsidRPr="00BA4365">
        <w:rPr>
          <w:rFonts w:ascii="Times New Roman" w:eastAsia="Times New Roman" w:hAnsi="Times New Roman" w:cs="Times New Roman"/>
          <w:color w:val="000000"/>
        </w:rPr>
        <w:t>, si legge che:</w:t>
      </w:r>
      <w:r w:rsidR="00B5050C" w:rsidRPr="00A2109A">
        <w:rPr>
          <w:rFonts w:ascii="Times New Roman" w:eastAsia="Times New Roman" w:hAnsi="Times New Roman" w:cs="Times New Roman"/>
          <w:color w:val="000000"/>
        </w:rPr>
        <w:t xml:space="preserve"> </w:t>
      </w:r>
    </w:p>
    <w:p w14:paraId="5793BFF5" w14:textId="77777777" w:rsidR="00F0501B" w:rsidRDefault="00F0501B" w:rsidP="002E3986">
      <w:pPr>
        <w:spacing w:line="360" w:lineRule="auto"/>
        <w:ind w:firstLine="567"/>
        <w:jc w:val="both"/>
        <w:rPr>
          <w:rFonts w:ascii="Times New Roman" w:eastAsia="Times New Roman" w:hAnsi="Times New Roman" w:cs="Times New Roman"/>
          <w:color w:val="000000"/>
        </w:rPr>
      </w:pPr>
    </w:p>
    <w:p w14:paraId="5A37F21E" w14:textId="23A15040" w:rsidR="00F0501B" w:rsidRPr="00D60CFC" w:rsidRDefault="00F0501B" w:rsidP="00D746AE">
      <w:pPr>
        <w:spacing w:line="360" w:lineRule="auto"/>
        <w:ind w:left="708" w:firstLine="567"/>
        <w:jc w:val="both"/>
        <w:rPr>
          <w:rFonts w:ascii="Times New Roman" w:eastAsia="Times New Roman" w:hAnsi="Times New Roman" w:cs="Times New Roman"/>
          <w:color w:val="000000"/>
          <w:sz w:val="20"/>
          <w:szCs w:val="20"/>
        </w:rPr>
      </w:pPr>
      <w:r w:rsidRPr="00D60CFC">
        <w:rPr>
          <w:rFonts w:ascii="Times New Roman" w:eastAsia="Times New Roman" w:hAnsi="Times New Roman" w:cs="Times New Roman"/>
          <w:color w:val="000000"/>
          <w:sz w:val="20"/>
          <w:szCs w:val="20"/>
        </w:rPr>
        <w:t>«In solcher Betrachtung findet man 2 Qualitäten, eine gute und eine böse, die in dieser Welt in allen Kräften, in Sternen und Elementen, sowol in allen Creaturen in einander sind wie ein Ding, und bestehet auch keine Creatur im Fleische in dem natürlichen Leben, sie habe denn beyde Qualitäten an sich</w:t>
      </w:r>
      <w:r w:rsidR="009D6245" w:rsidRPr="00D60CFC">
        <w:rPr>
          <w:rFonts w:ascii="Times New Roman" w:eastAsia="Times New Roman" w:hAnsi="Times New Roman" w:cs="Times New Roman"/>
          <w:color w:val="000000"/>
          <w:sz w:val="20"/>
          <w:szCs w:val="20"/>
        </w:rPr>
        <w:t xml:space="preserve"> […] Es ist in allen Creaturen dieser Welt ein guter und böser Wille und Quell, in Menschen, Thieren, Vögeln, Fischen, Würmen […</w:t>
      </w:r>
      <w:r w:rsidR="00A20AA9" w:rsidRPr="00D60CFC">
        <w:rPr>
          <w:rFonts w:ascii="Times New Roman" w:eastAsia="Times New Roman" w:hAnsi="Times New Roman" w:cs="Times New Roman"/>
          <w:color w:val="000000"/>
          <w:sz w:val="20"/>
          <w:szCs w:val="20"/>
        </w:rPr>
        <w:t>] Es ist nichts in der Natur, da nicht Gutes und Böses innen ist, es wallet und lebet alles in diesem zweyfachen Trieb</w:t>
      </w:r>
      <w:r w:rsidRPr="00D60CFC">
        <w:rPr>
          <w:rFonts w:ascii="Times New Roman" w:eastAsia="Times New Roman" w:hAnsi="Times New Roman" w:cs="Times New Roman"/>
          <w:color w:val="000000"/>
          <w:sz w:val="20"/>
          <w:szCs w:val="20"/>
        </w:rPr>
        <w:t>»</w:t>
      </w:r>
      <w:r w:rsidRPr="00D60CFC">
        <w:rPr>
          <w:rStyle w:val="Rimandonotaapidipagina"/>
          <w:rFonts w:ascii="Times New Roman" w:eastAsia="Times New Roman" w:hAnsi="Times New Roman" w:cs="Times New Roman"/>
          <w:color w:val="000000"/>
          <w:sz w:val="20"/>
          <w:szCs w:val="20"/>
        </w:rPr>
        <w:footnoteReference w:id="220"/>
      </w:r>
      <w:r w:rsidRPr="00D60CFC">
        <w:rPr>
          <w:rFonts w:ascii="Times New Roman" w:eastAsia="Times New Roman" w:hAnsi="Times New Roman" w:cs="Times New Roman"/>
          <w:color w:val="000000"/>
          <w:sz w:val="20"/>
          <w:szCs w:val="20"/>
        </w:rPr>
        <w:t>.</w:t>
      </w:r>
    </w:p>
    <w:p w14:paraId="35EAA943" w14:textId="77777777" w:rsidR="009D6245" w:rsidRPr="000E4914" w:rsidRDefault="009D6245" w:rsidP="002E3986">
      <w:pPr>
        <w:spacing w:line="360" w:lineRule="auto"/>
        <w:ind w:firstLine="567"/>
        <w:jc w:val="both"/>
        <w:rPr>
          <w:rFonts w:ascii="Times New Roman" w:eastAsia="Times New Roman" w:hAnsi="Times New Roman" w:cs="Times New Roman"/>
          <w:color w:val="000000"/>
        </w:rPr>
      </w:pPr>
    </w:p>
    <w:p w14:paraId="576DA972" w14:textId="5E4780B2" w:rsidR="00DF6B7F" w:rsidRDefault="009D6245" w:rsidP="00C740FE">
      <w:pPr>
        <w:spacing w:line="360" w:lineRule="auto"/>
        <w:ind w:firstLine="567"/>
        <w:jc w:val="both"/>
        <w:rPr>
          <w:rFonts w:ascii="Times New Roman" w:eastAsia="Times New Roman" w:hAnsi="Times New Roman" w:cs="Times New Roman"/>
          <w:color w:val="000000"/>
        </w:rPr>
      </w:pPr>
      <w:r>
        <w:rPr>
          <w:rFonts w:ascii="Times New Roman" w:eastAsia="Times New Roman" w:hAnsi="Times New Roman" w:cs="Times New Roman"/>
          <w:color w:val="000000"/>
        </w:rPr>
        <w:t>Per Böhme, il mondo, le stelle, gli elementi e tutte le creature</w:t>
      </w:r>
      <w:r w:rsidR="00A20AA9">
        <w:rPr>
          <w:rFonts w:ascii="Times New Roman" w:eastAsia="Times New Roman" w:hAnsi="Times New Roman" w:cs="Times New Roman"/>
          <w:color w:val="000000"/>
        </w:rPr>
        <w:t xml:space="preserve"> (dalla più nobile, l’uomo, fino alla meno nobile, il verme)</w:t>
      </w:r>
      <w:r w:rsidR="00805A04">
        <w:rPr>
          <w:rFonts w:ascii="Times New Roman" w:eastAsia="Times New Roman" w:hAnsi="Times New Roman" w:cs="Times New Roman"/>
          <w:color w:val="000000"/>
        </w:rPr>
        <w:t xml:space="preserve"> hanno in sé queste due qualità e</w:t>
      </w:r>
      <w:r>
        <w:rPr>
          <w:rFonts w:ascii="Times New Roman" w:eastAsia="Times New Roman" w:hAnsi="Times New Roman" w:cs="Times New Roman"/>
          <w:color w:val="000000"/>
        </w:rPr>
        <w:t xml:space="preserve"> sono animate e mosse da questa duplicità </w:t>
      </w:r>
      <w:r w:rsidR="0013547D">
        <w:rPr>
          <w:rFonts w:ascii="Times New Roman" w:eastAsia="Times New Roman" w:hAnsi="Times New Roman" w:cs="Times New Roman"/>
          <w:color w:val="000000"/>
        </w:rPr>
        <w:t>d</w:t>
      </w:r>
      <w:r w:rsidRPr="00A72707">
        <w:rPr>
          <w:rFonts w:ascii="Times New Roman" w:eastAsia="Times New Roman" w:hAnsi="Times New Roman" w:cs="Times New Roman"/>
          <w:color w:val="000000"/>
        </w:rPr>
        <w:t xml:space="preserve">ei principi, </w:t>
      </w:r>
      <w:r w:rsidR="00777848">
        <w:rPr>
          <w:rFonts w:ascii="Times New Roman" w:eastAsia="Times New Roman" w:hAnsi="Times New Roman" w:cs="Times New Roman"/>
          <w:color w:val="000000"/>
        </w:rPr>
        <w:t>che si radica</w:t>
      </w:r>
      <w:r w:rsidRPr="00A72707">
        <w:rPr>
          <w:rFonts w:ascii="Times New Roman" w:eastAsia="Times New Roman" w:hAnsi="Times New Roman" w:cs="Times New Roman"/>
          <w:color w:val="000000"/>
        </w:rPr>
        <w:t xml:space="preserve"> </w:t>
      </w:r>
      <w:r w:rsidR="00603F09">
        <w:rPr>
          <w:rFonts w:ascii="Times New Roman" w:eastAsia="Times New Roman" w:hAnsi="Times New Roman" w:cs="Times New Roman"/>
          <w:color w:val="000000"/>
        </w:rPr>
        <w:t xml:space="preserve">nella creazione </w:t>
      </w:r>
      <w:r w:rsidR="00777848">
        <w:rPr>
          <w:rFonts w:ascii="Times New Roman" w:eastAsia="Times New Roman" w:hAnsi="Times New Roman" w:cs="Times New Roman"/>
          <w:color w:val="000000"/>
        </w:rPr>
        <w:t xml:space="preserve">a seguito della </w:t>
      </w:r>
      <w:r w:rsidR="00247119" w:rsidRPr="00A72707">
        <w:rPr>
          <w:rFonts w:ascii="Times New Roman" w:eastAsia="Times New Roman" w:hAnsi="Times New Roman" w:cs="Times New Roman"/>
          <w:color w:val="000000"/>
        </w:rPr>
        <w:t>caduta d</w:t>
      </w:r>
      <w:r w:rsidR="00AD20DA" w:rsidRPr="00A72707">
        <w:rPr>
          <w:rFonts w:ascii="Times New Roman" w:eastAsia="Times New Roman" w:hAnsi="Times New Roman" w:cs="Times New Roman"/>
          <w:color w:val="000000"/>
        </w:rPr>
        <w:t>i</w:t>
      </w:r>
      <w:r w:rsidR="00DF6B7F" w:rsidRPr="00A72707">
        <w:rPr>
          <w:rFonts w:ascii="Times New Roman" w:eastAsia="Times New Roman" w:hAnsi="Times New Roman" w:cs="Times New Roman"/>
          <w:color w:val="000000"/>
        </w:rPr>
        <w:t xml:space="preserve"> Lucifero:</w:t>
      </w:r>
      <w:r w:rsidR="00AD20DA">
        <w:rPr>
          <w:rFonts w:ascii="Times New Roman" w:eastAsia="Times New Roman" w:hAnsi="Times New Roman" w:cs="Times New Roman"/>
          <w:color w:val="000000"/>
        </w:rPr>
        <w:t xml:space="preserve"> </w:t>
      </w:r>
    </w:p>
    <w:p w14:paraId="387406E1" w14:textId="77777777" w:rsidR="00C740FE" w:rsidRDefault="00C740FE" w:rsidP="00C740FE">
      <w:pPr>
        <w:spacing w:line="360" w:lineRule="auto"/>
        <w:ind w:firstLine="567"/>
        <w:jc w:val="both"/>
        <w:rPr>
          <w:rFonts w:ascii="Times New Roman" w:eastAsia="Times New Roman" w:hAnsi="Times New Roman" w:cs="Times New Roman"/>
          <w:color w:val="000000"/>
        </w:rPr>
      </w:pPr>
    </w:p>
    <w:p w14:paraId="7E247941" w14:textId="6626586E" w:rsidR="00AD20DA" w:rsidRPr="00D60CFC" w:rsidRDefault="00AD20DA" w:rsidP="00D746AE">
      <w:pPr>
        <w:spacing w:line="360" w:lineRule="auto"/>
        <w:ind w:left="567" w:firstLine="567"/>
        <w:jc w:val="both"/>
        <w:rPr>
          <w:rFonts w:ascii="Times New Roman" w:eastAsia="Times New Roman" w:hAnsi="Times New Roman" w:cs="Times New Roman"/>
          <w:color w:val="000000"/>
        </w:rPr>
      </w:pPr>
      <w:r w:rsidRPr="00D60CFC">
        <w:rPr>
          <w:rFonts w:ascii="Times New Roman" w:eastAsia="Times New Roman" w:hAnsi="Times New Roman" w:cs="Times New Roman"/>
          <w:color w:val="000000"/>
          <w:sz w:val="20"/>
          <w:szCs w:val="20"/>
        </w:rPr>
        <w:t>«Also ist König Luzifer ein Anfang der Sünden, und ein Stachel des Todes, und eine Anzündung des Zorns Gottes, und Anfang alles Bösen, eine Ver</w:t>
      </w:r>
      <w:r w:rsidR="00C740FE" w:rsidRPr="00D60CFC">
        <w:rPr>
          <w:rFonts w:ascii="Times New Roman" w:eastAsia="Times New Roman" w:hAnsi="Times New Roman" w:cs="Times New Roman"/>
          <w:color w:val="000000"/>
          <w:sz w:val="20"/>
          <w:szCs w:val="20"/>
        </w:rPr>
        <w:t>derbung dieser Welt; und das ist</w:t>
      </w:r>
      <w:r w:rsidRPr="00D60CFC">
        <w:rPr>
          <w:rFonts w:ascii="Times New Roman" w:eastAsia="Times New Roman" w:hAnsi="Times New Roman" w:cs="Times New Roman"/>
          <w:color w:val="000000"/>
          <w:sz w:val="20"/>
          <w:szCs w:val="20"/>
        </w:rPr>
        <w:t xml:space="preserve"> ja Böses geschicht, da ist er der erste Ursache dran»</w:t>
      </w:r>
      <w:r w:rsidRPr="00D60CFC">
        <w:rPr>
          <w:rStyle w:val="Rimandonotaapidipagina"/>
          <w:rFonts w:ascii="Times New Roman" w:eastAsia="Times New Roman" w:hAnsi="Times New Roman" w:cs="Times New Roman"/>
          <w:color w:val="000000"/>
          <w:sz w:val="20"/>
          <w:szCs w:val="20"/>
        </w:rPr>
        <w:footnoteReference w:id="221"/>
      </w:r>
      <w:r w:rsidRPr="00D60CFC">
        <w:rPr>
          <w:rFonts w:ascii="Times New Roman" w:eastAsia="Times New Roman" w:hAnsi="Times New Roman" w:cs="Times New Roman"/>
          <w:color w:val="000000"/>
          <w:sz w:val="20"/>
          <w:szCs w:val="20"/>
        </w:rPr>
        <w:t>.</w:t>
      </w:r>
    </w:p>
    <w:p w14:paraId="5B083CDF" w14:textId="77777777" w:rsidR="00AD20DA" w:rsidRPr="000E4914" w:rsidRDefault="00AD20DA" w:rsidP="002E3986">
      <w:pPr>
        <w:spacing w:line="360" w:lineRule="auto"/>
        <w:ind w:firstLine="567"/>
        <w:jc w:val="both"/>
        <w:rPr>
          <w:rFonts w:ascii="Times New Roman" w:eastAsia="Times New Roman" w:hAnsi="Times New Roman" w:cs="Times New Roman"/>
          <w:color w:val="000000"/>
        </w:rPr>
      </w:pPr>
    </w:p>
    <w:p w14:paraId="2A064787" w14:textId="23AF887C" w:rsidR="003357BA" w:rsidRDefault="00DF6B7F" w:rsidP="002E3986">
      <w:pPr>
        <w:spacing w:line="360" w:lineRule="auto"/>
        <w:ind w:firstLine="567"/>
        <w:jc w:val="both"/>
        <w:rPr>
          <w:rFonts w:ascii="Times New Roman" w:eastAsia="Times New Roman" w:hAnsi="Times New Roman" w:cs="Times New Roman"/>
          <w:color w:val="000000"/>
        </w:rPr>
      </w:pPr>
      <w:r>
        <w:rPr>
          <w:rFonts w:ascii="Times New Roman" w:eastAsia="Times New Roman" w:hAnsi="Times New Roman" w:cs="Times New Roman"/>
          <w:color w:val="000000"/>
        </w:rPr>
        <w:t>La ribelli</w:t>
      </w:r>
      <w:r w:rsidR="00D80C15">
        <w:rPr>
          <w:rFonts w:ascii="Times New Roman" w:eastAsia="Times New Roman" w:hAnsi="Times New Roman" w:cs="Times New Roman"/>
          <w:color w:val="000000"/>
        </w:rPr>
        <w:t>one di Lucifero e l</w:t>
      </w:r>
      <w:r w:rsidR="00B81515">
        <w:rPr>
          <w:rFonts w:ascii="Times New Roman" w:eastAsia="Times New Roman" w:hAnsi="Times New Roman" w:cs="Times New Roman"/>
          <w:color w:val="000000"/>
        </w:rPr>
        <w:t xml:space="preserve">’origine </w:t>
      </w:r>
      <w:r w:rsidR="003357BA">
        <w:rPr>
          <w:rFonts w:ascii="Times New Roman" w:eastAsia="Times New Roman" w:hAnsi="Times New Roman" w:cs="Times New Roman"/>
          <w:color w:val="000000"/>
        </w:rPr>
        <w:t>del male e del pecca</w:t>
      </w:r>
      <w:r w:rsidR="00F17FA2">
        <w:rPr>
          <w:rFonts w:ascii="Times New Roman" w:eastAsia="Times New Roman" w:hAnsi="Times New Roman" w:cs="Times New Roman"/>
          <w:color w:val="000000"/>
        </w:rPr>
        <w:t xml:space="preserve">to risultano dallo scontro fra </w:t>
      </w:r>
      <w:r>
        <w:rPr>
          <w:rFonts w:ascii="Times New Roman" w:eastAsia="Times New Roman" w:hAnsi="Times New Roman" w:cs="Times New Roman"/>
          <w:color w:val="000000"/>
        </w:rPr>
        <w:t xml:space="preserve">creatura </w:t>
      </w:r>
      <w:r w:rsidR="003357BA">
        <w:rPr>
          <w:rFonts w:ascii="Times New Roman" w:eastAsia="Times New Roman" w:hAnsi="Times New Roman" w:cs="Times New Roman"/>
          <w:color w:val="000000"/>
        </w:rPr>
        <w:t xml:space="preserve">e </w:t>
      </w:r>
      <w:r>
        <w:rPr>
          <w:rFonts w:ascii="Times New Roman" w:eastAsia="Times New Roman" w:hAnsi="Times New Roman" w:cs="Times New Roman"/>
          <w:color w:val="000000"/>
        </w:rPr>
        <w:t>Creatore</w:t>
      </w:r>
      <w:r w:rsidR="00AE53BC">
        <w:rPr>
          <w:rStyle w:val="Rimandonotaapidipagina"/>
          <w:rFonts w:ascii="Times New Roman" w:eastAsia="Times New Roman" w:hAnsi="Times New Roman" w:cs="Times New Roman"/>
          <w:color w:val="000000"/>
        </w:rPr>
        <w:footnoteReference w:id="222"/>
      </w:r>
      <w:r>
        <w:rPr>
          <w:rFonts w:ascii="Times New Roman" w:eastAsia="Times New Roman" w:hAnsi="Times New Roman" w:cs="Times New Roman"/>
          <w:color w:val="000000"/>
        </w:rPr>
        <w:t xml:space="preserve">. Lucifero, perduta la sua luce, alimentato da un </w:t>
      </w:r>
      <w:r w:rsidR="00FE254C">
        <w:rPr>
          <w:rFonts w:ascii="Times New Roman" w:eastAsia="Times New Roman" w:hAnsi="Times New Roman" w:cs="Times New Roman"/>
          <w:color w:val="000000"/>
        </w:rPr>
        <w:t xml:space="preserve">furore </w:t>
      </w:r>
      <w:r>
        <w:rPr>
          <w:rFonts w:ascii="Times New Roman" w:eastAsia="Times New Roman" w:hAnsi="Times New Roman" w:cs="Times New Roman"/>
          <w:color w:val="000000"/>
        </w:rPr>
        <w:t>astringente e dominato inter</w:t>
      </w:r>
      <w:r w:rsidR="003357BA">
        <w:rPr>
          <w:rFonts w:ascii="Times New Roman" w:eastAsia="Times New Roman" w:hAnsi="Times New Roman" w:cs="Times New Roman"/>
          <w:color w:val="000000"/>
        </w:rPr>
        <w:t xml:space="preserve">amente dall’ira </w:t>
      </w:r>
      <w:r w:rsidR="00FE254C">
        <w:rPr>
          <w:rFonts w:ascii="Times New Roman" w:eastAsia="Times New Roman" w:hAnsi="Times New Roman" w:cs="Times New Roman"/>
          <w:color w:val="000000"/>
        </w:rPr>
        <w:t>(</w:t>
      </w:r>
      <w:r w:rsidR="00FE254C" w:rsidRPr="00FE254C">
        <w:rPr>
          <w:rFonts w:ascii="Times New Roman" w:eastAsia="Times New Roman" w:hAnsi="Times New Roman" w:cs="Times New Roman"/>
          <w:i/>
          <w:color w:val="000000"/>
        </w:rPr>
        <w:t>Zorn</w:t>
      </w:r>
      <w:r w:rsidR="00FE254C">
        <w:rPr>
          <w:rFonts w:ascii="Times New Roman" w:eastAsia="Times New Roman" w:hAnsi="Times New Roman" w:cs="Times New Roman"/>
          <w:color w:val="000000"/>
        </w:rPr>
        <w:t>)</w:t>
      </w:r>
      <w:r w:rsidR="00ED25A3">
        <w:rPr>
          <w:rFonts w:ascii="Times New Roman" w:eastAsia="Times New Roman" w:hAnsi="Times New Roman" w:cs="Times New Roman"/>
          <w:color w:val="000000"/>
        </w:rPr>
        <w:t xml:space="preserve"> </w:t>
      </w:r>
      <w:r w:rsidR="003357BA">
        <w:rPr>
          <w:rFonts w:ascii="Times New Roman" w:eastAsia="Times New Roman" w:hAnsi="Times New Roman" w:cs="Times New Roman"/>
          <w:color w:val="000000"/>
        </w:rPr>
        <w:t>–</w:t>
      </w:r>
      <w:r w:rsidR="006B36A7">
        <w:rPr>
          <w:rFonts w:ascii="Times New Roman" w:eastAsia="Times New Roman" w:hAnsi="Times New Roman" w:cs="Times New Roman"/>
          <w:color w:val="000000"/>
        </w:rPr>
        <w:t xml:space="preserve"> alimentata </w:t>
      </w:r>
      <w:r w:rsidR="00C740FE">
        <w:rPr>
          <w:rFonts w:ascii="Times New Roman" w:eastAsia="Times New Roman" w:hAnsi="Times New Roman" w:cs="Times New Roman"/>
          <w:color w:val="000000"/>
        </w:rPr>
        <w:t>da</w:t>
      </w:r>
      <w:r>
        <w:rPr>
          <w:rFonts w:ascii="Times New Roman" w:eastAsia="Times New Roman" w:hAnsi="Times New Roman" w:cs="Times New Roman"/>
          <w:color w:val="000000"/>
        </w:rPr>
        <w:t xml:space="preserve">lla </w:t>
      </w:r>
      <w:r w:rsidR="003357BA">
        <w:rPr>
          <w:rFonts w:ascii="Times New Roman" w:eastAsia="Times New Roman" w:hAnsi="Times New Roman" w:cs="Times New Roman"/>
          <w:color w:val="000000"/>
        </w:rPr>
        <w:t>superbia</w:t>
      </w:r>
      <w:r w:rsidR="00FE254C">
        <w:rPr>
          <w:rFonts w:ascii="Times New Roman" w:eastAsia="Times New Roman" w:hAnsi="Times New Roman" w:cs="Times New Roman"/>
          <w:color w:val="000000"/>
        </w:rPr>
        <w:t xml:space="preserve"> (</w:t>
      </w:r>
      <w:r w:rsidR="00FE254C" w:rsidRPr="00FE254C">
        <w:rPr>
          <w:rFonts w:ascii="Times New Roman" w:eastAsia="Times New Roman" w:hAnsi="Times New Roman" w:cs="Times New Roman"/>
          <w:i/>
          <w:color w:val="000000"/>
        </w:rPr>
        <w:t>Hoffart</w:t>
      </w:r>
      <w:r w:rsidR="00FE254C">
        <w:rPr>
          <w:rFonts w:ascii="Times New Roman" w:eastAsia="Times New Roman" w:hAnsi="Times New Roman" w:cs="Times New Roman"/>
          <w:color w:val="000000"/>
        </w:rPr>
        <w:t>)</w:t>
      </w:r>
      <w:r w:rsidR="003357BA">
        <w:rPr>
          <w:rFonts w:ascii="Times New Roman" w:eastAsia="Times New Roman" w:hAnsi="Times New Roman" w:cs="Times New Roman"/>
          <w:color w:val="000000"/>
        </w:rPr>
        <w:t xml:space="preserve">, </w:t>
      </w:r>
      <w:r w:rsidR="006B36A7">
        <w:rPr>
          <w:rFonts w:ascii="Times New Roman" w:eastAsia="Times New Roman" w:hAnsi="Times New Roman" w:cs="Times New Roman"/>
          <w:color w:val="000000"/>
        </w:rPr>
        <w:t>dall’</w:t>
      </w:r>
      <w:r w:rsidR="003357BA">
        <w:rPr>
          <w:rFonts w:ascii="Times New Roman" w:eastAsia="Times New Roman" w:hAnsi="Times New Roman" w:cs="Times New Roman"/>
          <w:color w:val="000000"/>
        </w:rPr>
        <w:t>avarizia</w:t>
      </w:r>
      <w:r w:rsidR="00FE254C">
        <w:rPr>
          <w:rFonts w:ascii="Times New Roman" w:eastAsia="Times New Roman" w:hAnsi="Times New Roman" w:cs="Times New Roman"/>
          <w:color w:val="000000"/>
        </w:rPr>
        <w:t xml:space="preserve"> (</w:t>
      </w:r>
      <w:r w:rsidR="00FE254C" w:rsidRPr="00FE254C">
        <w:rPr>
          <w:rFonts w:ascii="Times New Roman" w:eastAsia="Times New Roman" w:hAnsi="Times New Roman" w:cs="Times New Roman"/>
          <w:i/>
          <w:color w:val="000000"/>
        </w:rPr>
        <w:t>Geitze</w:t>
      </w:r>
      <w:r w:rsidR="00FE254C">
        <w:rPr>
          <w:rFonts w:ascii="Times New Roman" w:eastAsia="Times New Roman" w:hAnsi="Times New Roman" w:cs="Times New Roman"/>
          <w:color w:val="000000"/>
        </w:rPr>
        <w:t>)</w:t>
      </w:r>
      <w:r w:rsidR="003357BA">
        <w:rPr>
          <w:rFonts w:ascii="Times New Roman" w:eastAsia="Times New Roman" w:hAnsi="Times New Roman" w:cs="Times New Roman"/>
          <w:color w:val="000000"/>
        </w:rPr>
        <w:t xml:space="preserve"> e</w:t>
      </w:r>
      <w:r w:rsidR="006B36A7">
        <w:rPr>
          <w:rFonts w:ascii="Times New Roman" w:eastAsia="Times New Roman" w:hAnsi="Times New Roman" w:cs="Times New Roman"/>
          <w:color w:val="000000"/>
        </w:rPr>
        <w:t xml:space="preserve"> </w:t>
      </w:r>
      <w:r w:rsidR="003357BA">
        <w:rPr>
          <w:rFonts w:ascii="Times New Roman" w:eastAsia="Times New Roman" w:hAnsi="Times New Roman" w:cs="Times New Roman"/>
          <w:color w:val="000000"/>
        </w:rPr>
        <w:t>d</w:t>
      </w:r>
      <w:r w:rsidR="006B36A7">
        <w:rPr>
          <w:rFonts w:ascii="Times New Roman" w:eastAsia="Times New Roman" w:hAnsi="Times New Roman" w:cs="Times New Roman"/>
          <w:color w:val="000000"/>
        </w:rPr>
        <w:t>all’</w:t>
      </w:r>
      <w:r w:rsidR="003357BA">
        <w:rPr>
          <w:rFonts w:ascii="Times New Roman" w:eastAsia="Times New Roman" w:hAnsi="Times New Roman" w:cs="Times New Roman"/>
          <w:color w:val="000000"/>
        </w:rPr>
        <w:t xml:space="preserve">invidia </w:t>
      </w:r>
      <w:r w:rsidR="00FE254C">
        <w:rPr>
          <w:rFonts w:ascii="Times New Roman" w:eastAsia="Times New Roman" w:hAnsi="Times New Roman" w:cs="Times New Roman"/>
          <w:color w:val="000000"/>
        </w:rPr>
        <w:t>(</w:t>
      </w:r>
      <w:r w:rsidR="00FE254C" w:rsidRPr="00FE254C">
        <w:rPr>
          <w:rFonts w:ascii="Times New Roman" w:eastAsia="Times New Roman" w:hAnsi="Times New Roman" w:cs="Times New Roman"/>
          <w:i/>
          <w:color w:val="000000"/>
        </w:rPr>
        <w:t>Neid</w:t>
      </w:r>
      <w:r w:rsidR="00FE254C">
        <w:rPr>
          <w:rFonts w:ascii="Times New Roman" w:eastAsia="Times New Roman" w:hAnsi="Times New Roman" w:cs="Times New Roman"/>
          <w:color w:val="000000"/>
        </w:rPr>
        <w:t>)</w:t>
      </w:r>
      <w:r w:rsidR="00C72FED">
        <w:rPr>
          <w:rStyle w:val="Rimandonotaapidipagina"/>
          <w:rFonts w:ascii="Times New Roman" w:eastAsia="Times New Roman" w:hAnsi="Times New Roman" w:cs="Times New Roman"/>
          <w:color w:val="000000"/>
        </w:rPr>
        <w:footnoteReference w:id="223"/>
      </w:r>
      <w:r w:rsidR="0039750A">
        <w:rPr>
          <w:rFonts w:ascii="Times New Roman" w:eastAsia="Times New Roman" w:hAnsi="Times New Roman" w:cs="Times New Roman"/>
          <w:color w:val="000000"/>
        </w:rPr>
        <w:t xml:space="preserve"> </w:t>
      </w:r>
      <w:r w:rsidR="003357BA">
        <w:rPr>
          <w:rFonts w:ascii="Times New Roman" w:eastAsia="Times New Roman" w:hAnsi="Times New Roman" w:cs="Times New Roman"/>
          <w:color w:val="000000"/>
        </w:rPr>
        <w:t>– si solleva con le schiere angeliche a lui subordinate cont</w:t>
      </w:r>
      <w:r w:rsidR="00C95933">
        <w:rPr>
          <w:rFonts w:ascii="Times New Roman" w:eastAsia="Times New Roman" w:hAnsi="Times New Roman" w:cs="Times New Roman"/>
          <w:color w:val="000000"/>
        </w:rPr>
        <w:t xml:space="preserve">ro Dio, ambendo non soltanto a </w:t>
      </w:r>
      <w:r w:rsidR="003357BA">
        <w:rPr>
          <w:rFonts w:ascii="Times New Roman" w:eastAsia="Times New Roman" w:hAnsi="Times New Roman" w:cs="Times New Roman"/>
          <w:color w:val="000000"/>
        </w:rPr>
        <w:t xml:space="preserve">prenderne il posto, ma anche a dominare </w:t>
      </w:r>
      <w:r w:rsidR="003357BA" w:rsidRPr="00B81148">
        <w:rPr>
          <w:rFonts w:ascii="Times New Roman" w:eastAsia="Times New Roman" w:hAnsi="Times New Roman" w:cs="Times New Roman"/>
          <w:color w:val="000000"/>
        </w:rPr>
        <w:t>«über den Sohn Gottes und über alle engelische Heere</w:t>
      </w:r>
      <w:r w:rsidR="003357BA" w:rsidRPr="003357BA">
        <w:rPr>
          <w:rFonts w:ascii="Times New Roman" w:eastAsia="Times New Roman" w:hAnsi="Times New Roman" w:cs="Times New Roman"/>
          <w:i/>
          <w:color w:val="000000"/>
        </w:rPr>
        <w:t>»</w:t>
      </w:r>
      <w:r w:rsidR="003357BA" w:rsidRPr="003357BA">
        <w:rPr>
          <w:rStyle w:val="Rimandonotaapidipagina"/>
          <w:rFonts w:ascii="Times New Roman" w:eastAsia="Times New Roman" w:hAnsi="Times New Roman" w:cs="Times New Roman"/>
          <w:color w:val="000000"/>
        </w:rPr>
        <w:footnoteReference w:id="224"/>
      </w:r>
      <w:r w:rsidR="003357BA">
        <w:rPr>
          <w:rFonts w:ascii="Times New Roman" w:eastAsia="Times New Roman" w:hAnsi="Times New Roman" w:cs="Times New Roman"/>
          <w:color w:val="000000"/>
        </w:rPr>
        <w:t>.</w:t>
      </w:r>
      <w:r w:rsidR="003357BA">
        <w:rPr>
          <w:rFonts w:ascii="Times New Roman" w:eastAsia="Times New Roman" w:hAnsi="Times New Roman" w:cs="Times New Roman"/>
          <w:i/>
          <w:color w:val="000000"/>
        </w:rPr>
        <w:t xml:space="preserve"> </w:t>
      </w:r>
      <w:r w:rsidR="003357BA">
        <w:rPr>
          <w:rFonts w:ascii="Times New Roman" w:eastAsia="Times New Roman" w:hAnsi="Times New Roman" w:cs="Times New Roman"/>
          <w:color w:val="000000"/>
        </w:rPr>
        <w:t>All’ira di L</w:t>
      </w:r>
      <w:r w:rsidR="002A7DBD">
        <w:rPr>
          <w:rFonts w:ascii="Times New Roman" w:eastAsia="Times New Roman" w:hAnsi="Times New Roman" w:cs="Times New Roman"/>
          <w:color w:val="000000"/>
        </w:rPr>
        <w:t>ucifero</w:t>
      </w:r>
      <w:r w:rsidR="00402818">
        <w:rPr>
          <w:rFonts w:ascii="Times New Roman" w:eastAsia="Times New Roman" w:hAnsi="Times New Roman" w:cs="Times New Roman"/>
          <w:color w:val="000000"/>
        </w:rPr>
        <w:t>,</w:t>
      </w:r>
      <w:r w:rsidR="003357BA">
        <w:rPr>
          <w:rFonts w:ascii="Times New Roman" w:eastAsia="Times New Roman" w:hAnsi="Times New Roman" w:cs="Times New Roman"/>
          <w:color w:val="000000"/>
        </w:rPr>
        <w:t xml:space="preserve"> Dio risponde</w:t>
      </w:r>
      <w:r w:rsidR="00CD3200">
        <w:rPr>
          <w:rFonts w:ascii="Times New Roman" w:eastAsia="Times New Roman" w:hAnsi="Times New Roman" w:cs="Times New Roman"/>
          <w:color w:val="000000"/>
        </w:rPr>
        <w:t xml:space="preserve"> con altrettanta ira e ferocia, perché alla violenza </w:t>
      </w:r>
      <w:r w:rsidR="005E4CEC" w:rsidRPr="00E41113">
        <w:rPr>
          <w:rFonts w:ascii="Times New Roman" w:eastAsia="Times New Roman" w:hAnsi="Times New Roman" w:cs="Times New Roman"/>
          <w:color w:val="000000"/>
        </w:rPr>
        <w:t xml:space="preserve">non </w:t>
      </w:r>
      <w:r w:rsidR="00CD3200" w:rsidRPr="00E41113">
        <w:rPr>
          <w:rFonts w:ascii="Times New Roman" w:eastAsia="Times New Roman" w:hAnsi="Times New Roman" w:cs="Times New Roman"/>
          <w:color w:val="000000"/>
        </w:rPr>
        <w:t>si può rispondere con l’amore</w:t>
      </w:r>
      <w:r w:rsidR="00C740FE" w:rsidRPr="00E41113">
        <w:rPr>
          <w:rFonts w:ascii="Times New Roman" w:eastAsia="Times New Roman" w:hAnsi="Times New Roman" w:cs="Times New Roman"/>
          <w:color w:val="000000"/>
        </w:rPr>
        <w:t xml:space="preserve">, ma soltanto con </w:t>
      </w:r>
      <w:r w:rsidR="0013547D">
        <w:rPr>
          <w:rFonts w:ascii="Times New Roman" w:eastAsia="Times New Roman" w:hAnsi="Times New Roman" w:cs="Times New Roman"/>
          <w:color w:val="000000"/>
        </w:rPr>
        <w:t xml:space="preserve">la </w:t>
      </w:r>
      <w:r w:rsidR="00C740FE" w:rsidRPr="00E41113">
        <w:rPr>
          <w:rFonts w:ascii="Times New Roman" w:eastAsia="Times New Roman" w:hAnsi="Times New Roman" w:cs="Times New Roman"/>
          <w:color w:val="000000"/>
        </w:rPr>
        <w:t>violenza</w:t>
      </w:r>
      <w:r w:rsidR="00C740FE">
        <w:rPr>
          <w:rFonts w:ascii="Times New Roman" w:eastAsia="Times New Roman" w:hAnsi="Times New Roman" w:cs="Times New Roman"/>
          <w:color w:val="000000"/>
        </w:rPr>
        <w:t xml:space="preserve"> </w:t>
      </w:r>
      <w:r w:rsidR="00CD3200">
        <w:rPr>
          <w:rStyle w:val="Rimandonotaapidipagina"/>
          <w:rFonts w:ascii="Times New Roman" w:eastAsia="Times New Roman" w:hAnsi="Times New Roman" w:cs="Times New Roman"/>
          <w:color w:val="000000"/>
        </w:rPr>
        <w:footnoteReference w:id="225"/>
      </w:r>
      <w:r w:rsidR="00CD3200">
        <w:rPr>
          <w:rFonts w:ascii="Times New Roman" w:eastAsia="Times New Roman" w:hAnsi="Times New Roman" w:cs="Times New Roman"/>
          <w:color w:val="000000"/>
        </w:rPr>
        <w:t>.</w:t>
      </w:r>
      <w:r w:rsidR="00FE254C">
        <w:rPr>
          <w:rFonts w:ascii="Times New Roman" w:eastAsia="Times New Roman" w:hAnsi="Times New Roman" w:cs="Times New Roman"/>
          <w:color w:val="000000"/>
        </w:rPr>
        <w:t xml:space="preserve"> </w:t>
      </w:r>
      <w:r w:rsidR="00ED25A3">
        <w:rPr>
          <w:rFonts w:ascii="Times New Roman" w:eastAsia="Times New Roman" w:hAnsi="Times New Roman" w:cs="Times New Roman"/>
          <w:color w:val="000000"/>
        </w:rPr>
        <w:t xml:space="preserve">La </w:t>
      </w:r>
      <w:r w:rsidR="00ED25A3" w:rsidRPr="00ED25A3">
        <w:rPr>
          <w:rFonts w:ascii="Times New Roman" w:eastAsia="Times New Roman" w:hAnsi="Times New Roman" w:cs="Times New Roman"/>
          <w:i/>
          <w:color w:val="000000"/>
        </w:rPr>
        <w:t>Zorn Gottes</w:t>
      </w:r>
      <w:r w:rsidR="00CD3200">
        <w:rPr>
          <w:rFonts w:ascii="Times New Roman" w:eastAsia="Times New Roman" w:hAnsi="Times New Roman" w:cs="Times New Roman"/>
          <w:color w:val="000000"/>
        </w:rPr>
        <w:t xml:space="preserve">, e questo risulta particolarmente importante ai fini del </w:t>
      </w:r>
      <w:r w:rsidR="006B5231">
        <w:rPr>
          <w:rFonts w:ascii="Times New Roman" w:eastAsia="Times New Roman" w:hAnsi="Times New Roman" w:cs="Times New Roman"/>
          <w:color w:val="000000"/>
        </w:rPr>
        <w:t xml:space="preserve">nostro </w:t>
      </w:r>
      <w:r w:rsidR="00CD3200">
        <w:rPr>
          <w:rFonts w:ascii="Times New Roman" w:eastAsia="Times New Roman" w:hAnsi="Times New Roman" w:cs="Times New Roman"/>
          <w:color w:val="000000"/>
        </w:rPr>
        <w:t xml:space="preserve">discorso, rivela </w:t>
      </w:r>
      <w:r w:rsidR="002A7DBD">
        <w:rPr>
          <w:rFonts w:ascii="Times New Roman" w:eastAsia="Times New Roman" w:hAnsi="Times New Roman" w:cs="Times New Roman"/>
          <w:color w:val="000000"/>
        </w:rPr>
        <w:t xml:space="preserve">la </w:t>
      </w:r>
      <w:r w:rsidR="002A7DBD" w:rsidRPr="00B81148">
        <w:rPr>
          <w:rFonts w:ascii="Times New Roman" w:eastAsia="Times New Roman" w:hAnsi="Times New Roman" w:cs="Times New Roman"/>
          <w:color w:val="000000"/>
        </w:rPr>
        <w:t>«allertieffeste und innerliche, verborgene Geburt Gottes»</w:t>
      </w:r>
      <w:r w:rsidR="002A7DBD" w:rsidRPr="00B81148">
        <w:rPr>
          <w:rStyle w:val="Rimandonotaapidipagina"/>
          <w:rFonts w:ascii="Times New Roman" w:eastAsia="Times New Roman" w:hAnsi="Times New Roman" w:cs="Times New Roman"/>
          <w:color w:val="000000"/>
        </w:rPr>
        <w:footnoteReference w:id="226"/>
      </w:r>
      <w:r w:rsidR="00564508">
        <w:rPr>
          <w:rFonts w:ascii="Times New Roman" w:eastAsia="Times New Roman" w:hAnsi="Times New Roman" w:cs="Times New Roman"/>
          <w:color w:val="000000"/>
        </w:rPr>
        <w:t>:</w:t>
      </w:r>
    </w:p>
    <w:p w14:paraId="0A90D6EB" w14:textId="77777777" w:rsidR="002A7DBD" w:rsidRDefault="002A7DBD" w:rsidP="002E3986">
      <w:pPr>
        <w:spacing w:line="360" w:lineRule="auto"/>
        <w:ind w:firstLine="567"/>
        <w:jc w:val="both"/>
        <w:rPr>
          <w:rFonts w:ascii="Times New Roman" w:eastAsia="Times New Roman" w:hAnsi="Times New Roman" w:cs="Times New Roman"/>
          <w:color w:val="000000"/>
        </w:rPr>
      </w:pPr>
    </w:p>
    <w:p w14:paraId="7C469BA8" w14:textId="0D78F0C7" w:rsidR="002A7DBD" w:rsidRPr="00B81148" w:rsidRDefault="002A7DBD" w:rsidP="0013547D">
      <w:pPr>
        <w:spacing w:line="360" w:lineRule="auto"/>
        <w:ind w:left="567" w:firstLine="567"/>
        <w:jc w:val="both"/>
        <w:rPr>
          <w:rFonts w:ascii="Times New Roman" w:eastAsia="Times New Roman" w:hAnsi="Times New Roman" w:cs="Times New Roman"/>
          <w:color w:val="000000"/>
          <w:sz w:val="20"/>
          <w:szCs w:val="20"/>
        </w:rPr>
      </w:pPr>
      <w:r w:rsidRPr="00B81148">
        <w:rPr>
          <w:rFonts w:ascii="Times New Roman" w:eastAsia="Times New Roman" w:hAnsi="Times New Roman" w:cs="Times New Roman"/>
          <w:color w:val="000000"/>
          <w:sz w:val="20"/>
          <w:szCs w:val="20"/>
        </w:rPr>
        <w:t>«</w:t>
      </w:r>
      <w:r w:rsidR="0013547D" w:rsidRPr="00B81148">
        <w:rPr>
          <w:rFonts w:ascii="Times New Roman" w:eastAsia="Times New Roman" w:hAnsi="Times New Roman" w:cs="Times New Roman"/>
          <w:color w:val="000000"/>
          <w:sz w:val="20"/>
          <w:szCs w:val="20"/>
        </w:rPr>
        <w:t>Die gantze Gottheit hat</w:t>
      </w:r>
      <w:r w:rsidRPr="00B81148">
        <w:rPr>
          <w:rFonts w:ascii="Times New Roman" w:eastAsia="Times New Roman" w:hAnsi="Times New Roman" w:cs="Times New Roman"/>
          <w:color w:val="000000"/>
          <w:sz w:val="20"/>
          <w:szCs w:val="20"/>
        </w:rPr>
        <w:t xml:space="preserve"> in ihrer innerlichsten oder anfänglichsten Geburt im Kern gar</w:t>
      </w:r>
      <w:r w:rsidR="00A72707" w:rsidRPr="00B81148">
        <w:rPr>
          <w:rFonts w:ascii="Times New Roman" w:eastAsia="Times New Roman" w:hAnsi="Times New Roman" w:cs="Times New Roman"/>
          <w:color w:val="000000"/>
          <w:sz w:val="20"/>
          <w:szCs w:val="20"/>
        </w:rPr>
        <w:t xml:space="preserve"> e</w:t>
      </w:r>
      <w:r w:rsidRPr="00B81148">
        <w:rPr>
          <w:rFonts w:ascii="Times New Roman" w:eastAsia="Times New Roman" w:hAnsi="Times New Roman" w:cs="Times New Roman"/>
          <w:color w:val="000000"/>
          <w:sz w:val="20"/>
          <w:szCs w:val="20"/>
        </w:rPr>
        <w:t>ine scharfe, erschreckliche Schärfe, indem die herbe Qualität gar</w:t>
      </w:r>
      <w:r w:rsidR="0038341D" w:rsidRPr="00B81148">
        <w:rPr>
          <w:rFonts w:ascii="Times New Roman" w:eastAsia="Times New Roman" w:hAnsi="Times New Roman" w:cs="Times New Roman"/>
          <w:color w:val="000000"/>
          <w:sz w:val="20"/>
          <w:szCs w:val="20"/>
        </w:rPr>
        <w:t xml:space="preserve"> e</w:t>
      </w:r>
      <w:r w:rsidRPr="00B81148">
        <w:rPr>
          <w:rFonts w:ascii="Times New Roman" w:eastAsia="Times New Roman" w:hAnsi="Times New Roman" w:cs="Times New Roman"/>
          <w:color w:val="000000"/>
          <w:sz w:val="20"/>
          <w:szCs w:val="20"/>
        </w:rPr>
        <w:t>in erschrecklich, herb, hart, finster und kalt Zusammenziehen ist, gleich dem Winter, wenn es grimming kalt ist, daß aus dem Wasser Eis wird, und dazu ganz unerträglich»</w:t>
      </w:r>
      <w:r w:rsidRPr="00B81148">
        <w:rPr>
          <w:rStyle w:val="Rimandonotaapidipagina"/>
          <w:rFonts w:ascii="Times New Roman" w:eastAsia="Times New Roman" w:hAnsi="Times New Roman" w:cs="Times New Roman"/>
          <w:color w:val="000000"/>
          <w:sz w:val="20"/>
          <w:szCs w:val="20"/>
        </w:rPr>
        <w:footnoteReference w:id="227"/>
      </w:r>
      <w:r w:rsidRPr="00B81148">
        <w:rPr>
          <w:rFonts w:ascii="Times New Roman" w:eastAsia="Times New Roman" w:hAnsi="Times New Roman" w:cs="Times New Roman"/>
          <w:color w:val="000000"/>
          <w:sz w:val="20"/>
          <w:szCs w:val="20"/>
        </w:rPr>
        <w:t>.</w:t>
      </w:r>
    </w:p>
    <w:p w14:paraId="0FDBF9B7" w14:textId="77777777" w:rsidR="002A7DBD" w:rsidRDefault="002A7DBD" w:rsidP="002E3986">
      <w:pPr>
        <w:spacing w:line="360" w:lineRule="auto"/>
        <w:ind w:firstLine="567"/>
        <w:jc w:val="both"/>
        <w:rPr>
          <w:rFonts w:ascii="Times New Roman" w:eastAsia="Times New Roman" w:hAnsi="Times New Roman" w:cs="Times New Roman"/>
          <w:color w:val="000000"/>
        </w:rPr>
      </w:pPr>
    </w:p>
    <w:p w14:paraId="385528FA" w14:textId="15667F18" w:rsidR="00F6251B" w:rsidRDefault="001A4906" w:rsidP="00DE342C">
      <w:pPr>
        <w:spacing w:line="360" w:lineRule="auto"/>
        <w:ind w:firstLine="567"/>
        <w:jc w:val="both"/>
        <w:rPr>
          <w:rFonts w:ascii="Times New Roman" w:eastAsia="Times New Roman" w:hAnsi="Times New Roman" w:cs="Times New Roman"/>
          <w:color w:val="000000"/>
        </w:rPr>
      </w:pPr>
      <w:r w:rsidRPr="00B81515">
        <w:rPr>
          <w:rFonts w:ascii="Times New Roman" w:eastAsia="Times New Roman" w:hAnsi="Times New Roman" w:cs="Times New Roman"/>
          <w:color w:val="000000"/>
        </w:rPr>
        <w:t>Nella divinità</w:t>
      </w:r>
      <w:r w:rsidR="007A1587" w:rsidRPr="00B81515">
        <w:rPr>
          <w:rFonts w:ascii="Times New Roman" w:eastAsia="Times New Roman" w:hAnsi="Times New Roman" w:cs="Times New Roman"/>
          <w:color w:val="000000"/>
        </w:rPr>
        <w:t xml:space="preserve"> </w:t>
      </w:r>
      <w:r w:rsidRPr="00B81515">
        <w:rPr>
          <w:rFonts w:ascii="Times New Roman" w:eastAsia="Times New Roman" w:hAnsi="Times New Roman" w:cs="Times New Roman"/>
          <w:color w:val="000000"/>
        </w:rPr>
        <w:t>è presente un principio</w:t>
      </w:r>
      <w:r w:rsidR="00CC1B5B" w:rsidRPr="00B81515">
        <w:rPr>
          <w:rFonts w:ascii="Times New Roman" w:eastAsia="Times New Roman" w:hAnsi="Times New Roman" w:cs="Times New Roman"/>
          <w:color w:val="000000"/>
        </w:rPr>
        <w:t xml:space="preserve"> tenebroso</w:t>
      </w:r>
      <w:r w:rsidR="00ED25A3" w:rsidRPr="00B81515">
        <w:rPr>
          <w:rFonts w:ascii="Times New Roman" w:eastAsia="Times New Roman" w:hAnsi="Times New Roman" w:cs="Times New Roman"/>
          <w:color w:val="000000"/>
        </w:rPr>
        <w:t>,</w:t>
      </w:r>
      <w:r w:rsidR="007A1587" w:rsidRPr="00B81515">
        <w:rPr>
          <w:rFonts w:ascii="Times New Roman" w:eastAsia="Times New Roman" w:hAnsi="Times New Roman" w:cs="Times New Roman"/>
          <w:color w:val="000000"/>
        </w:rPr>
        <w:t xml:space="preserve"> identico a</w:t>
      </w:r>
      <w:r w:rsidR="00BF1AB4" w:rsidRPr="00B81515">
        <w:rPr>
          <w:rFonts w:ascii="Times New Roman" w:eastAsia="Times New Roman" w:hAnsi="Times New Roman" w:cs="Times New Roman"/>
          <w:color w:val="000000"/>
        </w:rPr>
        <w:t xml:space="preserve">ll’oscurità da cui </w:t>
      </w:r>
      <w:r w:rsidR="00CC1B5B" w:rsidRPr="00B81515">
        <w:rPr>
          <w:rFonts w:ascii="Times New Roman" w:eastAsia="Times New Roman" w:hAnsi="Times New Roman" w:cs="Times New Roman"/>
          <w:color w:val="000000"/>
        </w:rPr>
        <w:t xml:space="preserve">è posseduto </w:t>
      </w:r>
      <w:r w:rsidR="00BF1AB4" w:rsidRPr="00B81515">
        <w:rPr>
          <w:rFonts w:ascii="Times New Roman" w:eastAsia="Times New Roman" w:hAnsi="Times New Roman" w:cs="Times New Roman"/>
          <w:color w:val="000000"/>
        </w:rPr>
        <w:t>Lucifero,</w:t>
      </w:r>
      <w:r w:rsidR="00ED25A3" w:rsidRPr="00B81515">
        <w:rPr>
          <w:rFonts w:ascii="Times New Roman" w:eastAsia="Times New Roman" w:hAnsi="Times New Roman" w:cs="Times New Roman"/>
          <w:color w:val="000000"/>
        </w:rPr>
        <w:t xml:space="preserve"> che costituisce la natura </w:t>
      </w:r>
      <w:r w:rsidR="00CC1B5B" w:rsidRPr="00B81515">
        <w:rPr>
          <w:rFonts w:ascii="Times New Roman" w:eastAsia="Times New Roman" w:hAnsi="Times New Roman" w:cs="Times New Roman"/>
          <w:color w:val="000000"/>
        </w:rPr>
        <w:t xml:space="preserve">profonda e recondita </w:t>
      </w:r>
      <w:r w:rsidRPr="00B81515">
        <w:rPr>
          <w:rFonts w:ascii="Times New Roman" w:eastAsia="Times New Roman" w:hAnsi="Times New Roman" w:cs="Times New Roman"/>
          <w:color w:val="000000"/>
        </w:rPr>
        <w:t>di Dio, ed un principio luminoso, che addolcisce, mitiga e smorza l</w:t>
      </w:r>
      <w:r w:rsidR="00ED25A3" w:rsidRPr="00B81515">
        <w:rPr>
          <w:rFonts w:ascii="Times New Roman" w:eastAsia="Times New Roman" w:hAnsi="Times New Roman" w:cs="Times New Roman"/>
          <w:color w:val="000000"/>
        </w:rPr>
        <w:t>’astringenza</w:t>
      </w:r>
      <w:r w:rsidRPr="00B81515">
        <w:rPr>
          <w:rFonts w:ascii="Times New Roman" w:eastAsia="Times New Roman" w:hAnsi="Times New Roman" w:cs="Times New Roman"/>
          <w:color w:val="000000"/>
        </w:rPr>
        <w:t xml:space="preserve"> interiore e nascosta del divino</w:t>
      </w:r>
      <w:r w:rsidR="008E7D5E" w:rsidRPr="00B81515">
        <w:rPr>
          <w:rStyle w:val="Rimandonotaapidipagina"/>
          <w:rFonts w:ascii="Times New Roman" w:eastAsia="Times New Roman" w:hAnsi="Times New Roman" w:cs="Times New Roman"/>
          <w:color w:val="000000"/>
        </w:rPr>
        <w:footnoteReference w:id="228"/>
      </w:r>
      <w:r w:rsidR="00F81D76" w:rsidRPr="00B81515">
        <w:rPr>
          <w:rFonts w:ascii="Times New Roman" w:eastAsia="Times New Roman" w:hAnsi="Times New Roman" w:cs="Times New Roman"/>
          <w:color w:val="000000"/>
        </w:rPr>
        <w:t>. Usando le parola di Böhme:</w:t>
      </w:r>
      <w:r w:rsidR="00B779B5" w:rsidRPr="00B81515">
        <w:rPr>
          <w:rFonts w:ascii="Times New Roman" w:eastAsia="Times New Roman" w:hAnsi="Times New Roman" w:cs="Times New Roman"/>
          <w:color w:val="000000"/>
        </w:rPr>
        <w:t xml:space="preserve"> «Gott ist alles. Er ist Finsternis und Licht, Liebe und Zorn, Feuer und Licht</w:t>
      </w:r>
      <w:r w:rsidRPr="00B81515">
        <w:rPr>
          <w:rFonts w:ascii="Times New Roman" w:eastAsia="Times New Roman" w:hAnsi="Times New Roman" w:cs="Times New Roman"/>
          <w:color w:val="000000"/>
        </w:rPr>
        <w:t>.</w:t>
      </w:r>
      <w:r w:rsidR="00B779B5" w:rsidRPr="00B81515">
        <w:rPr>
          <w:rFonts w:ascii="Times New Roman" w:eastAsia="Times New Roman" w:hAnsi="Times New Roman" w:cs="Times New Roman"/>
          <w:color w:val="000000"/>
        </w:rPr>
        <w:t xml:space="preserve"> Aber er nennet sich alleine Gott nach dem Licht seiner Liebe»</w:t>
      </w:r>
      <w:r w:rsidR="00B779B5" w:rsidRPr="00B81515">
        <w:rPr>
          <w:rStyle w:val="Rimandonotaapidipagina"/>
          <w:rFonts w:ascii="Times New Roman" w:eastAsia="Times New Roman" w:hAnsi="Times New Roman" w:cs="Times New Roman"/>
          <w:color w:val="000000"/>
        </w:rPr>
        <w:footnoteReference w:id="229"/>
      </w:r>
      <w:r w:rsidR="00C01752" w:rsidRPr="00B81515">
        <w:rPr>
          <w:rFonts w:ascii="Times New Roman" w:eastAsia="Times New Roman" w:hAnsi="Times New Roman" w:cs="Times New Roman"/>
          <w:color w:val="000000"/>
        </w:rPr>
        <w:t>.</w:t>
      </w:r>
      <w:r w:rsidRPr="00B81515">
        <w:rPr>
          <w:rFonts w:ascii="Times New Roman" w:eastAsia="Times New Roman" w:hAnsi="Times New Roman" w:cs="Times New Roman"/>
          <w:color w:val="000000"/>
        </w:rPr>
        <w:t xml:space="preserve"> </w:t>
      </w:r>
      <w:r w:rsidR="000048DE" w:rsidRPr="00B81515">
        <w:rPr>
          <w:rFonts w:ascii="Times New Roman" w:eastAsia="Times New Roman" w:hAnsi="Times New Roman" w:cs="Times New Roman"/>
          <w:color w:val="000000"/>
        </w:rPr>
        <w:t xml:space="preserve">Fintanto che le qualità </w:t>
      </w:r>
      <w:r w:rsidR="00265F0E" w:rsidRPr="00B81515">
        <w:rPr>
          <w:rFonts w:ascii="Times New Roman" w:eastAsia="Times New Roman" w:hAnsi="Times New Roman" w:cs="Times New Roman"/>
          <w:color w:val="000000"/>
        </w:rPr>
        <w:t>contrattive sono bilanciate dall’amorevole luce del Figlio</w:t>
      </w:r>
      <w:r w:rsidR="000048DE" w:rsidRPr="00B81515">
        <w:rPr>
          <w:rFonts w:ascii="Times New Roman" w:eastAsia="Times New Roman" w:hAnsi="Times New Roman" w:cs="Times New Roman"/>
          <w:color w:val="000000"/>
        </w:rPr>
        <w:t>,</w:t>
      </w:r>
      <w:r w:rsidR="00703637" w:rsidRPr="00B81515">
        <w:rPr>
          <w:rFonts w:ascii="Times New Roman" w:eastAsia="Times New Roman" w:hAnsi="Times New Roman" w:cs="Times New Roman"/>
          <w:color w:val="000000"/>
        </w:rPr>
        <w:t xml:space="preserve"> l’essenza profonda del Padre</w:t>
      </w:r>
      <w:r w:rsidR="000048DE" w:rsidRPr="00B81515">
        <w:rPr>
          <w:rFonts w:ascii="Times New Roman" w:eastAsia="Times New Roman" w:hAnsi="Times New Roman" w:cs="Times New Roman"/>
          <w:color w:val="000000"/>
        </w:rPr>
        <w:t xml:space="preserve"> non viene alla luce</w:t>
      </w:r>
      <w:r w:rsidR="00C84B8E" w:rsidRPr="00B81515">
        <w:rPr>
          <w:rFonts w:ascii="Times New Roman" w:eastAsia="Times New Roman" w:hAnsi="Times New Roman" w:cs="Times New Roman"/>
          <w:color w:val="000000"/>
        </w:rPr>
        <w:t xml:space="preserve">. </w:t>
      </w:r>
      <w:r w:rsidR="0068506B" w:rsidRPr="00B81515">
        <w:rPr>
          <w:rFonts w:ascii="Times New Roman" w:eastAsia="Times New Roman" w:hAnsi="Times New Roman" w:cs="Times New Roman"/>
          <w:color w:val="000000"/>
        </w:rPr>
        <w:t xml:space="preserve">I due principi, così come la compresenza </w:t>
      </w:r>
      <w:r w:rsidR="000048DE" w:rsidRPr="00B81515">
        <w:rPr>
          <w:rFonts w:ascii="Times New Roman" w:eastAsia="Times New Roman" w:hAnsi="Times New Roman" w:cs="Times New Roman"/>
          <w:color w:val="000000"/>
        </w:rPr>
        <w:t>di bene e male ravvisabile nella creazione, emergono nel momento in cui Lucifero, ribellandosi, rompe l’essere riconciliato del divino con se stesso e fa emergere ciò che di prof</w:t>
      </w:r>
      <w:r w:rsidR="00C740FE" w:rsidRPr="00B81515">
        <w:rPr>
          <w:rFonts w:ascii="Times New Roman" w:eastAsia="Times New Roman" w:hAnsi="Times New Roman" w:cs="Times New Roman"/>
          <w:color w:val="000000"/>
        </w:rPr>
        <w:t xml:space="preserve">ondo e tenebroso </w:t>
      </w:r>
      <w:r w:rsidR="00792A65" w:rsidRPr="00B81515">
        <w:rPr>
          <w:rFonts w:ascii="Times New Roman" w:eastAsia="Times New Roman" w:hAnsi="Times New Roman" w:cs="Times New Roman"/>
          <w:color w:val="000000"/>
        </w:rPr>
        <w:t xml:space="preserve">in esso </w:t>
      </w:r>
      <w:r w:rsidR="00C740FE" w:rsidRPr="00B81515">
        <w:rPr>
          <w:rFonts w:ascii="Times New Roman" w:eastAsia="Times New Roman" w:hAnsi="Times New Roman" w:cs="Times New Roman"/>
          <w:color w:val="000000"/>
        </w:rPr>
        <w:t>si annida</w:t>
      </w:r>
      <w:r w:rsidR="000048DE" w:rsidRPr="00B81515">
        <w:rPr>
          <w:rFonts w:ascii="Times New Roman" w:eastAsia="Times New Roman" w:hAnsi="Times New Roman" w:cs="Times New Roman"/>
          <w:color w:val="000000"/>
        </w:rPr>
        <w:t xml:space="preserve">. </w:t>
      </w:r>
      <w:r w:rsidR="0039750A" w:rsidRPr="00B81515">
        <w:rPr>
          <w:rFonts w:ascii="Times New Roman" w:eastAsia="Times New Roman" w:hAnsi="Times New Roman" w:cs="Times New Roman"/>
          <w:color w:val="000000"/>
        </w:rPr>
        <w:t>L</w:t>
      </w:r>
      <w:r w:rsidR="007D1734" w:rsidRPr="00B81515">
        <w:rPr>
          <w:rFonts w:ascii="Times New Roman" w:eastAsia="Times New Roman" w:hAnsi="Times New Roman" w:cs="Times New Roman"/>
          <w:color w:val="000000"/>
        </w:rPr>
        <w:t>uce e tenebra, ira e amore</w:t>
      </w:r>
      <w:r w:rsidR="0039750A" w:rsidRPr="00B81515">
        <w:rPr>
          <w:rFonts w:ascii="Times New Roman" w:eastAsia="Times New Roman" w:hAnsi="Times New Roman" w:cs="Times New Roman"/>
          <w:color w:val="000000"/>
        </w:rPr>
        <w:t>, bene e male</w:t>
      </w:r>
      <w:r w:rsidR="009B0997" w:rsidRPr="00B81515">
        <w:rPr>
          <w:rFonts w:ascii="Times New Roman" w:eastAsia="Times New Roman" w:hAnsi="Times New Roman" w:cs="Times New Roman"/>
          <w:color w:val="000000"/>
        </w:rPr>
        <w:t xml:space="preserve"> </w:t>
      </w:r>
      <w:r w:rsidR="000048DE" w:rsidRPr="00B81515">
        <w:rPr>
          <w:rFonts w:ascii="Times New Roman" w:eastAsia="Times New Roman" w:hAnsi="Times New Roman" w:cs="Times New Roman"/>
          <w:color w:val="000000"/>
        </w:rPr>
        <w:t>sono quelle co</w:t>
      </w:r>
      <w:r w:rsidR="00351CB3" w:rsidRPr="00B81515">
        <w:rPr>
          <w:rFonts w:ascii="Times New Roman" w:eastAsia="Times New Roman" w:hAnsi="Times New Roman" w:cs="Times New Roman"/>
          <w:color w:val="000000"/>
        </w:rPr>
        <w:t>ppie d’opposti che</w:t>
      </w:r>
      <w:r w:rsidR="00F17FA2">
        <w:rPr>
          <w:rFonts w:ascii="Times New Roman" w:eastAsia="Times New Roman" w:hAnsi="Times New Roman" w:cs="Times New Roman"/>
          <w:color w:val="000000"/>
        </w:rPr>
        <w:t xml:space="preserve"> </w:t>
      </w:r>
      <w:r w:rsidR="00351CB3" w:rsidRPr="00B81515">
        <w:rPr>
          <w:rFonts w:ascii="Times New Roman" w:eastAsia="Times New Roman" w:hAnsi="Times New Roman" w:cs="Times New Roman"/>
          <w:color w:val="000000"/>
        </w:rPr>
        <w:t>restituiscono la struttura auten</w:t>
      </w:r>
      <w:r w:rsidR="00A8223A" w:rsidRPr="00B81515">
        <w:rPr>
          <w:rFonts w:ascii="Times New Roman" w:eastAsia="Times New Roman" w:hAnsi="Times New Roman" w:cs="Times New Roman"/>
          <w:color w:val="000000"/>
        </w:rPr>
        <w:t>tica tanto dell’essere infinito</w:t>
      </w:r>
      <w:r w:rsidR="00351CB3" w:rsidRPr="00B81515">
        <w:rPr>
          <w:rFonts w:ascii="Times New Roman" w:eastAsia="Times New Roman" w:hAnsi="Times New Roman" w:cs="Times New Roman"/>
          <w:color w:val="000000"/>
        </w:rPr>
        <w:t xml:space="preserve"> quanto d</w:t>
      </w:r>
      <w:r w:rsidR="007D1734" w:rsidRPr="00B81515">
        <w:rPr>
          <w:rFonts w:ascii="Times New Roman" w:eastAsia="Times New Roman" w:hAnsi="Times New Roman" w:cs="Times New Roman"/>
          <w:color w:val="000000"/>
        </w:rPr>
        <w:t>ell’essere finito.</w:t>
      </w:r>
      <w:r w:rsidR="007D1734">
        <w:rPr>
          <w:rFonts w:ascii="Times New Roman" w:eastAsia="Times New Roman" w:hAnsi="Times New Roman" w:cs="Times New Roman"/>
          <w:color w:val="000000"/>
        </w:rPr>
        <w:t xml:space="preserve"> </w:t>
      </w:r>
    </w:p>
    <w:p w14:paraId="14BBCCDA" w14:textId="101D2956" w:rsidR="005B5D6E" w:rsidRPr="009D28CE" w:rsidRDefault="005B5D6E" w:rsidP="00F6251B">
      <w:pPr>
        <w:spacing w:line="360" w:lineRule="auto"/>
        <w:ind w:firstLine="567"/>
        <w:jc w:val="both"/>
        <w:rPr>
          <w:rFonts w:ascii="Times New Roman" w:eastAsia="Times New Roman" w:hAnsi="Times New Roman" w:cs="Times New Roman"/>
          <w:color w:val="000000"/>
        </w:rPr>
      </w:pPr>
      <w:r w:rsidRPr="00AE2205">
        <w:rPr>
          <w:rFonts w:ascii="Times New Roman" w:eastAsia="Times New Roman" w:hAnsi="Times New Roman" w:cs="Times New Roman"/>
          <w:color w:val="000000"/>
        </w:rPr>
        <w:t>Sul</w:t>
      </w:r>
      <w:r w:rsidR="00F6251B" w:rsidRPr="00AE2205">
        <w:rPr>
          <w:rFonts w:ascii="Times New Roman" w:eastAsia="Times New Roman" w:hAnsi="Times New Roman" w:cs="Times New Roman"/>
          <w:color w:val="000000"/>
        </w:rPr>
        <w:t>la storia e sull’evoluzione filosofica e religiosa</w:t>
      </w:r>
      <w:r w:rsidRPr="00AE2205">
        <w:rPr>
          <w:rFonts w:ascii="Times New Roman" w:eastAsia="Times New Roman" w:hAnsi="Times New Roman" w:cs="Times New Roman"/>
          <w:color w:val="000000"/>
        </w:rPr>
        <w:t xml:space="preserve"> di queste coppie d’opposti si potrebbero dire molte cos</w:t>
      </w:r>
      <w:r w:rsidR="00B22282" w:rsidRPr="00AE2205">
        <w:rPr>
          <w:rFonts w:ascii="Times New Roman" w:eastAsia="Times New Roman" w:hAnsi="Times New Roman" w:cs="Times New Roman"/>
          <w:color w:val="000000"/>
        </w:rPr>
        <w:t xml:space="preserve">e. Dall’Oriente all’Occidente, </w:t>
      </w:r>
      <w:r w:rsidRPr="00AE2205">
        <w:rPr>
          <w:rFonts w:ascii="Times New Roman" w:eastAsia="Times New Roman" w:hAnsi="Times New Roman" w:cs="Times New Roman"/>
          <w:color w:val="000000"/>
        </w:rPr>
        <w:t xml:space="preserve">da Zoroastro a Pitagora, dal mondo ebraico a quello arabo e cristiano, si ripetono gli schemi </w:t>
      </w:r>
      <w:r w:rsidR="00C95933" w:rsidRPr="00AE2205">
        <w:rPr>
          <w:rFonts w:ascii="Times New Roman" w:eastAsia="Times New Roman" w:hAnsi="Times New Roman" w:cs="Times New Roman"/>
          <w:color w:val="000000"/>
        </w:rPr>
        <w:t xml:space="preserve">antagonistici </w:t>
      </w:r>
      <w:r w:rsidR="005F745E" w:rsidRPr="00AE2205">
        <w:rPr>
          <w:rFonts w:ascii="Times New Roman" w:eastAsia="Times New Roman" w:hAnsi="Times New Roman" w:cs="Times New Roman"/>
          <w:color w:val="000000"/>
        </w:rPr>
        <w:t>incontrati nell’opera</w:t>
      </w:r>
      <w:r w:rsidRPr="00AE2205">
        <w:rPr>
          <w:rFonts w:ascii="Times New Roman" w:eastAsia="Times New Roman" w:hAnsi="Times New Roman" w:cs="Times New Roman"/>
          <w:color w:val="000000"/>
        </w:rPr>
        <w:t xml:space="preserve"> d</w:t>
      </w:r>
      <w:r w:rsidR="003119D2" w:rsidRPr="00AE2205">
        <w:rPr>
          <w:rFonts w:ascii="Times New Roman" w:eastAsia="Times New Roman" w:hAnsi="Times New Roman" w:cs="Times New Roman"/>
          <w:color w:val="000000"/>
        </w:rPr>
        <w:t>i Jakob Böhme.</w:t>
      </w:r>
      <w:r w:rsidR="003119D2" w:rsidRPr="009D28CE">
        <w:rPr>
          <w:rFonts w:ascii="Times New Roman" w:eastAsia="Times New Roman" w:hAnsi="Times New Roman" w:cs="Times New Roman"/>
          <w:color w:val="000000"/>
        </w:rPr>
        <w:t xml:space="preserve"> L’opposizione d’</w:t>
      </w:r>
      <w:r w:rsidRPr="009D28CE">
        <w:rPr>
          <w:rFonts w:ascii="Times New Roman" w:eastAsia="Times New Roman" w:hAnsi="Times New Roman" w:cs="Times New Roman"/>
          <w:color w:val="000000"/>
        </w:rPr>
        <w:t xml:space="preserve">ira e amore, di luce e tenebra, di bene e male potrebbe far pensare ad una ripresa </w:t>
      </w:r>
      <w:r w:rsidR="004C1E05" w:rsidRPr="009D28CE">
        <w:rPr>
          <w:rFonts w:ascii="Times New Roman" w:eastAsia="Times New Roman" w:hAnsi="Times New Roman" w:cs="Times New Roman"/>
          <w:color w:val="000000"/>
        </w:rPr>
        <w:t xml:space="preserve">böhmiana </w:t>
      </w:r>
      <w:r w:rsidRPr="009D28CE">
        <w:rPr>
          <w:rFonts w:ascii="Times New Roman" w:eastAsia="Times New Roman" w:hAnsi="Times New Roman" w:cs="Times New Roman"/>
          <w:color w:val="000000"/>
        </w:rPr>
        <w:t xml:space="preserve">di alcuni insegnamenti che già Aristotele, nel </w:t>
      </w:r>
      <w:r w:rsidR="00FF306D">
        <w:rPr>
          <w:rFonts w:ascii="Times New Roman" w:eastAsia="Times New Roman" w:hAnsi="Times New Roman" w:cs="Times New Roman"/>
          <w:color w:val="000000"/>
        </w:rPr>
        <w:t xml:space="preserve">primo </w:t>
      </w:r>
      <w:r w:rsidRPr="009D28CE">
        <w:rPr>
          <w:rFonts w:ascii="Times New Roman" w:eastAsia="Times New Roman" w:hAnsi="Times New Roman" w:cs="Times New Roman"/>
          <w:color w:val="000000"/>
        </w:rPr>
        <w:t xml:space="preserve">libro della </w:t>
      </w:r>
      <w:r w:rsidRPr="009D28CE">
        <w:rPr>
          <w:rFonts w:ascii="Times New Roman" w:eastAsia="Times New Roman" w:hAnsi="Times New Roman" w:cs="Times New Roman"/>
          <w:i/>
          <w:color w:val="000000"/>
        </w:rPr>
        <w:t>Metafisica</w:t>
      </w:r>
      <w:r w:rsidRPr="009D28CE">
        <w:rPr>
          <w:rFonts w:ascii="Times New Roman" w:eastAsia="Times New Roman" w:hAnsi="Times New Roman" w:cs="Times New Roman"/>
          <w:color w:val="000000"/>
        </w:rPr>
        <w:t>, attribuiva alla scuola pitagorica</w:t>
      </w:r>
      <w:r w:rsidRPr="009D28CE">
        <w:rPr>
          <w:rStyle w:val="Rimandonotaapidipagina"/>
          <w:rFonts w:ascii="Times New Roman" w:eastAsia="Times New Roman" w:hAnsi="Times New Roman" w:cs="Times New Roman"/>
          <w:color w:val="000000"/>
        </w:rPr>
        <w:footnoteReference w:id="230"/>
      </w:r>
      <w:r w:rsidRPr="009D28CE">
        <w:rPr>
          <w:rFonts w:ascii="Times New Roman" w:eastAsia="Times New Roman" w:hAnsi="Times New Roman" w:cs="Times New Roman"/>
          <w:color w:val="000000"/>
        </w:rPr>
        <w:t xml:space="preserve">. Secondo una </w:t>
      </w:r>
      <w:r w:rsidRPr="009D28CE">
        <w:rPr>
          <w:rFonts w:ascii="Times New Roman" w:eastAsia="Times New Roman" w:hAnsi="Times New Roman" w:cs="Times New Roman"/>
          <w:i/>
          <w:color w:val="000000"/>
        </w:rPr>
        <w:t>vulgata</w:t>
      </w:r>
      <w:r w:rsidRPr="009D28CE">
        <w:rPr>
          <w:rFonts w:ascii="Times New Roman" w:eastAsia="Times New Roman" w:hAnsi="Times New Roman" w:cs="Times New Roman"/>
          <w:color w:val="000000"/>
        </w:rPr>
        <w:t xml:space="preserve"> diffusa all’interno della Qabbalah cristiana, queste coppie d’opposti sarebbero state mutuate dalla Qabbalah</w:t>
      </w:r>
      <w:r w:rsidR="00233072">
        <w:rPr>
          <w:rFonts w:ascii="Times New Roman" w:eastAsia="Times New Roman" w:hAnsi="Times New Roman" w:cs="Times New Roman"/>
          <w:color w:val="000000"/>
        </w:rPr>
        <w:t xml:space="preserve"> ebraica</w:t>
      </w:r>
      <w:r w:rsidRPr="009D28CE">
        <w:rPr>
          <w:rFonts w:ascii="Times New Roman" w:eastAsia="Times New Roman" w:hAnsi="Times New Roman" w:cs="Times New Roman"/>
          <w:color w:val="000000"/>
        </w:rPr>
        <w:t xml:space="preserve">. Nel </w:t>
      </w:r>
      <w:r w:rsidRPr="009D28CE">
        <w:rPr>
          <w:rFonts w:ascii="Times New Roman" w:eastAsia="Times New Roman" w:hAnsi="Times New Roman" w:cs="Times New Roman"/>
          <w:i/>
          <w:color w:val="000000"/>
        </w:rPr>
        <w:t>De Arte Cabalistica</w:t>
      </w:r>
      <w:r w:rsidRPr="009D28CE">
        <w:rPr>
          <w:rFonts w:ascii="Times New Roman" w:eastAsia="Times New Roman" w:hAnsi="Times New Roman" w:cs="Times New Roman"/>
          <w:color w:val="000000"/>
        </w:rPr>
        <w:t xml:space="preserve"> (1517), ad esempio, Johannes Reuchlin sostiene che Pitagora ha tratto i principi della propria filosofia dalla tradizione mistica ebraica. Lo stesso concetto di filosofia, reso fruibile da Pitagora nel mondo greco, altro non sarebbe altro che una traduzione del termine ebraico tradizione (</w:t>
      </w:r>
      <w:r w:rsidRPr="009D28CE">
        <w:rPr>
          <w:rFonts w:ascii="Times New Roman" w:eastAsia="Times New Roman" w:hAnsi="Times New Roman" w:cs="Times New Roman"/>
          <w:color w:val="222222"/>
          <w:sz w:val="21"/>
          <w:szCs w:val="21"/>
          <w:shd w:val="clear" w:color="auto" w:fill="FFFFFF"/>
          <w:lang w:val="he-IL" w:bidi="he-IL"/>
        </w:rPr>
        <w:t>קַבָּלָה</w:t>
      </w:r>
      <w:r w:rsidRPr="009D28CE">
        <w:rPr>
          <w:rFonts w:ascii="Helvetica" w:eastAsia="Times New Roman" w:hAnsi="Helvetica" w:cs="Times New Roman"/>
          <w:color w:val="222222"/>
          <w:sz w:val="21"/>
          <w:szCs w:val="21"/>
          <w:shd w:val="clear" w:color="auto" w:fill="FFFFFF"/>
        </w:rPr>
        <w:t>‎</w:t>
      </w:r>
      <w:r w:rsidRPr="009D28CE">
        <w:rPr>
          <w:rFonts w:ascii="Times New Roman" w:eastAsia="Times New Roman" w:hAnsi="Times New Roman" w:cs="Times New Roman"/>
          <w:color w:val="000000"/>
        </w:rPr>
        <w:t>)</w:t>
      </w:r>
      <w:r w:rsidRPr="009D28CE">
        <w:rPr>
          <w:rStyle w:val="Rimandonotaapidipagina"/>
          <w:rFonts w:ascii="Times New Roman" w:eastAsia="Times New Roman" w:hAnsi="Times New Roman" w:cs="Times New Roman"/>
          <w:color w:val="000000"/>
        </w:rPr>
        <w:footnoteReference w:id="231"/>
      </w:r>
      <w:r w:rsidRPr="009D28CE">
        <w:rPr>
          <w:rFonts w:ascii="Times New Roman" w:eastAsia="Times New Roman" w:hAnsi="Times New Roman" w:cs="Times New Roman"/>
          <w:color w:val="000000"/>
        </w:rPr>
        <w:t xml:space="preserve">. È opinione della critica che il </w:t>
      </w:r>
      <w:r w:rsidRPr="009D28CE">
        <w:rPr>
          <w:rFonts w:ascii="Times New Roman" w:eastAsia="Times New Roman" w:hAnsi="Times New Roman" w:cs="Times New Roman"/>
          <w:i/>
          <w:color w:val="000000"/>
        </w:rPr>
        <w:t xml:space="preserve">De arte cabalistica </w:t>
      </w:r>
      <w:r w:rsidR="00C95933">
        <w:rPr>
          <w:rFonts w:ascii="Times New Roman" w:eastAsia="Times New Roman" w:hAnsi="Times New Roman" w:cs="Times New Roman"/>
          <w:color w:val="000000"/>
        </w:rPr>
        <w:t xml:space="preserve">costituisca per Böhme una possibile </w:t>
      </w:r>
      <w:r w:rsidRPr="009D28CE">
        <w:rPr>
          <w:rFonts w:ascii="Times New Roman" w:eastAsia="Times New Roman" w:hAnsi="Times New Roman" w:cs="Times New Roman"/>
          <w:color w:val="000000"/>
        </w:rPr>
        <w:t>occasione d’incontro con la Qabbalah</w:t>
      </w:r>
      <w:r w:rsidRPr="009D28CE">
        <w:rPr>
          <w:rStyle w:val="Rimandonotaapidipagina"/>
          <w:rFonts w:ascii="Times New Roman" w:eastAsia="Times New Roman" w:hAnsi="Times New Roman" w:cs="Times New Roman"/>
          <w:color w:val="000000"/>
        </w:rPr>
        <w:footnoteReference w:id="232"/>
      </w:r>
      <w:r w:rsidRPr="009D28CE">
        <w:rPr>
          <w:rFonts w:ascii="Times New Roman" w:eastAsia="Times New Roman" w:hAnsi="Times New Roman" w:cs="Times New Roman"/>
          <w:color w:val="000000"/>
        </w:rPr>
        <w:t>. Al</w:t>
      </w:r>
      <w:r w:rsidR="00597718">
        <w:rPr>
          <w:rFonts w:ascii="Times New Roman" w:eastAsia="Times New Roman" w:hAnsi="Times New Roman" w:cs="Times New Roman"/>
          <w:color w:val="000000"/>
        </w:rPr>
        <w:t>trettanto condivisa è l’idea di un’</w:t>
      </w:r>
      <w:r w:rsidRPr="009D28CE">
        <w:rPr>
          <w:rFonts w:ascii="Times New Roman" w:eastAsia="Times New Roman" w:hAnsi="Times New Roman" w:cs="Times New Roman"/>
          <w:color w:val="000000"/>
        </w:rPr>
        <w:t>influenza più diretta della mistica eb</w:t>
      </w:r>
      <w:r w:rsidR="003119D2" w:rsidRPr="009D28CE">
        <w:rPr>
          <w:rFonts w:ascii="Times New Roman" w:eastAsia="Times New Roman" w:hAnsi="Times New Roman" w:cs="Times New Roman"/>
          <w:color w:val="000000"/>
        </w:rPr>
        <w:t>raica sul</w:t>
      </w:r>
      <w:r w:rsidR="009D28CE" w:rsidRPr="009D28CE">
        <w:rPr>
          <w:rFonts w:ascii="Times New Roman" w:eastAsia="Times New Roman" w:hAnsi="Times New Roman" w:cs="Times New Roman"/>
          <w:color w:val="000000"/>
        </w:rPr>
        <w:t xml:space="preserve"> pensiero</w:t>
      </w:r>
      <w:r w:rsidR="00C95933">
        <w:rPr>
          <w:rFonts w:ascii="Times New Roman" w:eastAsia="Times New Roman" w:hAnsi="Times New Roman" w:cs="Times New Roman"/>
          <w:color w:val="000000"/>
        </w:rPr>
        <w:t xml:space="preserve"> böhmiano</w:t>
      </w:r>
      <w:r w:rsidR="003119D2" w:rsidRPr="009D28CE">
        <w:rPr>
          <w:rFonts w:ascii="Times New Roman" w:eastAsia="Times New Roman" w:hAnsi="Times New Roman" w:cs="Times New Roman"/>
          <w:color w:val="000000"/>
        </w:rPr>
        <w:t xml:space="preserve">: </w:t>
      </w:r>
      <w:r w:rsidRPr="009D28CE">
        <w:rPr>
          <w:rFonts w:ascii="Times New Roman" w:eastAsia="Times New Roman" w:hAnsi="Times New Roman" w:cs="Times New Roman"/>
          <w:color w:val="000000"/>
        </w:rPr>
        <w:t>che Dio si manifesti secondo la sua ira e il suo amore</w:t>
      </w:r>
      <w:r w:rsidR="002F36A4">
        <w:rPr>
          <w:rFonts w:ascii="Times New Roman" w:eastAsia="Times New Roman" w:hAnsi="Times New Roman" w:cs="Times New Roman"/>
          <w:color w:val="000000"/>
        </w:rPr>
        <w:t xml:space="preserve">, secondo la sua natura oscura </w:t>
      </w:r>
      <w:r w:rsidRPr="009D28CE">
        <w:rPr>
          <w:rFonts w:ascii="Times New Roman" w:eastAsia="Times New Roman" w:hAnsi="Times New Roman" w:cs="Times New Roman"/>
          <w:color w:val="000000"/>
        </w:rPr>
        <w:t>e luminosa, secondo le sue qualità contrattive</w:t>
      </w:r>
      <w:r w:rsidR="009B5729">
        <w:rPr>
          <w:rFonts w:ascii="Times New Roman" w:eastAsia="Times New Roman" w:hAnsi="Times New Roman" w:cs="Times New Roman"/>
          <w:color w:val="000000"/>
        </w:rPr>
        <w:t xml:space="preserve"> </w:t>
      </w:r>
      <w:r w:rsidRPr="009D28CE">
        <w:rPr>
          <w:rFonts w:ascii="Times New Roman" w:eastAsia="Times New Roman" w:hAnsi="Times New Roman" w:cs="Times New Roman"/>
          <w:color w:val="000000"/>
        </w:rPr>
        <w:t>ed espansive, costituisce una libera e personale ripresa di te</w:t>
      </w:r>
      <w:r w:rsidR="004C1E05" w:rsidRPr="009D28CE">
        <w:rPr>
          <w:rFonts w:ascii="Times New Roman" w:eastAsia="Times New Roman" w:hAnsi="Times New Roman" w:cs="Times New Roman"/>
          <w:color w:val="000000"/>
        </w:rPr>
        <w:t>matiche ampiamente diffuse all’interno della</w:t>
      </w:r>
      <w:r w:rsidRPr="009D28CE">
        <w:rPr>
          <w:rFonts w:ascii="Times New Roman" w:eastAsia="Times New Roman" w:hAnsi="Times New Roman" w:cs="Times New Roman"/>
          <w:color w:val="000000"/>
        </w:rPr>
        <w:t xml:space="preserve"> letteratura cabbalistica</w:t>
      </w:r>
      <w:r w:rsidRPr="009D28CE">
        <w:rPr>
          <w:rStyle w:val="Rimandonotaapidipagina"/>
          <w:rFonts w:ascii="Times New Roman" w:eastAsia="Times New Roman" w:hAnsi="Times New Roman" w:cs="Times New Roman"/>
          <w:color w:val="000000"/>
        </w:rPr>
        <w:footnoteReference w:id="233"/>
      </w:r>
      <w:r w:rsidRPr="009D28CE">
        <w:rPr>
          <w:rFonts w:ascii="Times New Roman" w:eastAsia="Times New Roman" w:hAnsi="Times New Roman" w:cs="Times New Roman"/>
          <w:color w:val="000000"/>
        </w:rPr>
        <w:t>. Visto il mistero che aleggia</w:t>
      </w:r>
      <w:r w:rsidR="00C95933">
        <w:rPr>
          <w:rFonts w:ascii="Times New Roman" w:eastAsia="Times New Roman" w:hAnsi="Times New Roman" w:cs="Times New Roman"/>
          <w:color w:val="000000"/>
        </w:rPr>
        <w:t xml:space="preserve"> sulla formazione filosofica e </w:t>
      </w:r>
      <w:r w:rsidRPr="009D28CE">
        <w:rPr>
          <w:rFonts w:ascii="Times New Roman" w:eastAsia="Times New Roman" w:hAnsi="Times New Roman" w:cs="Times New Roman"/>
          <w:color w:val="000000"/>
        </w:rPr>
        <w:t>teologica di Böhme,</w:t>
      </w:r>
      <w:r w:rsidRPr="009D28CE">
        <w:rPr>
          <w:rStyle w:val="Rimandonotaapidipagina"/>
          <w:rFonts w:ascii="Times New Roman" w:eastAsia="Times New Roman" w:hAnsi="Times New Roman" w:cs="Times New Roman"/>
          <w:color w:val="000000"/>
        </w:rPr>
        <w:footnoteReference w:id="234"/>
      </w:r>
      <w:r w:rsidRPr="009D28CE">
        <w:rPr>
          <w:rFonts w:ascii="Times New Roman" w:eastAsia="Times New Roman" w:hAnsi="Times New Roman" w:cs="Times New Roman"/>
          <w:color w:val="000000"/>
        </w:rPr>
        <w:t xml:space="preserve"> non si può indicare con assoluta certezza un testo cabbalistico particolarmente significativo per la definizione böhmiana della natura divina e dello scontro fra Creatore e Lucifero. Nonostante </w:t>
      </w:r>
      <w:r w:rsidRPr="00AE2205">
        <w:rPr>
          <w:rFonts w:ascii="Times New Roman" w:eastAsia="Times New Roman" w:hAnsi="Times New Roman" w:cs="Times New Roman"/>
          <w:color w:val="000000"/>
        </w:rPr>
        <w:t xml:space="preserve">queste chiare – e probabilmente insolubili – difficoltà, ritengo che vi sia un passaggio dello </w:t>
      </w:r>
      <w:r w:rsidRPr="00AE2205">
        <w:rPr>
          <w:rFonts w:ascii="Times New Roman" w:eastAsia="Times New Roman" w:hAnsi="Times New Roman" w:cs="Times New Roman"/>
          <w:i/>
          <w:color w:val="000000"/>
        </w:rPr>
        <w:t>Zohar</w:t>
      </w:r>
      <w:r w:rsidRPr="00AE2205">
        <w:rPr>
          <w:rFonts w:ascii="Times New Roman" w:eastAsia="Times New Roman" w:hAnsi="Times New Roman" w:cs="Times New Roman"/>
          <w:color w:val="000000"/>
        </w:rPr>
        <w:t>,</w:t>
      </w:r>
      <w:r w:rsidR="006832CC" w:rsidRPr="00AE2205">
        <w:rPr>
          <w:rFonts w:ascii="Times New Roman" w:eastAsia="Times New Roman" w:hAnsi="Times New Roman" w:cs="Times New Roman"/>
          <w:color w:val="000000"/>
        </w:rPr>
        <w:t xml:space="preserve"> contenutisticamente affine al </w:t>
      </w:r>
      <w:r w:rsidRPr="00AE2205">
        <w:rPr>
          <w:rFonts w:ascii="Times New Roman" w:eastAsia="Times New Roman" w:hAnsi="Times New Roman" w:cs="Times New Roman"/>
          <w:color w:val="000000"/>
        </w:rPr>
        <w:t xml:space="preserve">pensiero di Böhme, in cui è descritto lo scontro fra lato sinistro e lato destro della divinità (il principio oscuro e luminoso per Böhme), il divampare dell’ira </w:t>
      </w:r>
      <w:r w:rsidR="00233072" w:rsidRPr="00AE2205">
        <w:rPr>
          <w:rFonts w:ascii="Times New Roman" w:eastAsia="Times New Roman" w:hAnsi="Times New Roman" w:cs="Times New Roman"/>
          <w:color w:val="000000"/>
        </w:rPr>
        <w:t xml:space="preserve">divina </w:t>
      </w:r>
      <w:r w:rsidRPr="00AE2205">
        <w:rPr>
          <w:rFonts w:ascii="Times New Roman" w:eastAsia="Times New Roman" w:hAnsi="Times New Roman" w:cs="Times New Roman"/>
          <w:color w:val="000000"/>
        </w:rPr>
        <w:t xml:space="preserve">e la caduta degli </w:t>
      </w:r>
      <w:r w:rsidR="000F2C99" w:rsidRPr="00AE2205">
        <w:rPr>
          <w:rFonts w:ascii="Times New Roman" w:eastAsia="Times New Roman" w:hAnsi="Times New Roman" w:cs="Times New Roman"/>
          <w:color w:val="000000"/>
        </w:rPr>
        <w:t>angeli sopraffatti dall’ira</w:t>
      </w:r>
      <w:r w:rsidRPr="00AE2205">
        <w:rPr>
          <w:rFonts w:ascii="Times New Roman" w:eastAsia="Times New Roman" w:hAnsi="Times New Roman" w:cs="Times New Roman"/>
          <w:color w:val="000000"/>
        </w:rPr>
        <w:t xml:space="preserve"> del</w:t>
      </w:r>
      <w:r w:rsidR="000F2C99" w:rsidRPr="00AE2205">
        <w:rPr>
          <w:rFonts w:ascii="Times New Roman" w:eastAsia="Times New Roman" w:hAnsi="Times New Roman" w:cs="Times New Roman"/>
          <w:color w:val="000000"/>
        </w:rPr>
        <w:t>la parte sinistra</w:t>
      </w:r>
      <w:r w:rsidRPr="00AE2205">
        <w:rPr>
          <w:rFonts w:ascii="Times New Roman" w:eastAsia="Times New Roman" w:hAnsi="Times New Roman" w:cs="Times New Roman"/>
          <w:color w:val="000000"/>
        </w:rPr>
        <w:t>.</w:t>
      </w:r>
      <w:r w:rsidRPr="008A3BCA">
        <w:rPr>
          <w:rFonts w:ascii="Times New Roman" w:eastAsia="Times New Roman" w:hAnsi="Times New Roman" w:cs="Times New Roman"/>
          <w:color w:val="000000"/>
        </w:rPr>
        <w:t xml:space="preserve"> Il secondo giorno della creazione è il lato sinistro di Dio, </w:t>
      </w:r>
      <w:r w:rsidR="00B22282" w:rsidRPr="008A3BCA">
        <w:rPr>
          <w:rFonts w:ascii="Times New Roman" w:eastAsia="Times New Roman" w:hAnsi="Times New Roman" w:cs="Times New Roman"/>
          <w:color w:val="000000"/>
        </w:rPr>
        <w:t>non più il destro, che dirige</w:t>
      </w:r>
      <w:r w:rsidRPr="008A3BCA">
        <w:rPr>
          <w:rFonts w:ascii="Times New Roman" w:eastAsia="Times New Roman" w:hAnsi="Times New Roman" w:cs="Times New Roman"/>
          <w:color w:val="000000"/>
        </w:rPr>
        <w:t xml:space="preserve"> il processo creativo. Nella sua attività creatrice, la sinistra non persegue obiettivi determinati, ma ambisce a nienti</w:t>
      </w:r>
      <w:r w:rsidR="00BA507E" w:rsidRPr="008A3BCA">
        <w:rPr>
          <w:rFonts w:ascii="Times New Roman" w:eastAsia="Times New Roman" w:hAnsi="Times New Roman" w:cs="Times New Roman"/>
          <w:color w:val="000000"/>
        </w:rPr>
        <w:t>ficare la destra e la sua opera:</w:t>
      </w:r>
      <w:r w:rsidRPr="008A3BCA">
        <w:rPr>
          <w:rFonts w:ascii="Times New Roman" w:eastAsia="Times New Roman" w:hAnsi="Times New Roman" w:cs="Times New Roman"/>
          <w:color w:val="000000"/>
        </w:rPr>
        <w:t xml:space="preserve"> </w:t>
      </w:r>
      <w:r w:rsidR="00AF3E54" w:rsidRPr="008A3BCA">
        <w:rPr>
          <w:rFonts w:ascii="Times New Roman" w:eastAsia="Times New Roman" w:hAnsi="Times New Roman" w:cs="Times New Roman"/>
          <w:color w:val="000000"/>
        </w:rPr>
        <w:t>«when the left aroused, conflict aroused, and through that conflict blazed the fire of wrath</w:t>
      </w:r>
      <w:r w:rsidR="00AF3E54" w:rsidRPr="008A3BCA">
        <w:rPr>
          <w:rFonts w:ascii="Times New Roman" w:eastAsia="Times New Roman" w:hAnsi="Times New Roman" w:cs="Times New Roman"/>
          <w:color w:val="000000"/>
          <w:lang w:val="en-GB"/>
        </w:rPr>
        <w:t>»</w:t>
      </w:r>
      <w:r w:rsidRPr="008A3BCA">
        <w:rPr>
          <w:rStyle w:val="Rimandonotaapidipagina"/>
          <w:rFonts w:ascii="Times New Roman" w:eastAsia="Times New Roman" w:hAnsi="Times New Roman" w:cs="Times New Roman"/>
          <w:color w:val="000000"/>
        </w:rPr>
        <w:footnoteReference w:id="235"/>
      </w:r>
      <w:r w:rsidRPr="008A3BCA">
        <w:rPr>
          <w:rFonts w:ascii="Times New Roman" w:eastAsia="Times New Roman" w:hAnsi="Times New Roman" w:cs="Times New Roman"/>
          <w:color w:val="000000"/>
        </w:rPr>
        <w:t>.</w:t>
      </w:r>
      <w:r w:rsidR="00AF3E54">
        <w:rPr>
          <w:rFonts w:ascii="Times New Roman" w:eastAsia="Times New Roman" w:hAnsi="Times New Roman" w:cs="Times New Roman"/>
          <w:color w:val="000000"/>
        </w:rPr>
        <w:t xml:space="preserve"> Il fuoco dell’ira, che è suscitato</w:t>
      </w:r>
      <w:r w:rsidRPr="009D28CE">
        <w:rPr>
          <w:rFonts w:ascii="Times New Roman" w:eastAsia="Times New Roman" w:hAnsi="Times New Roman" w:cs="Times New Roman"/>
          <w:color w:val="000000"/>
        </w:rPr>
        <w:t xml:space="preserve"> dall’aggr</w:t>
      </w:r>
      <w:r w:rsidR="00BA507E">
        <w:rPr>
          <w:rFonts w:ascii="Times New Roman" w:eastAsia="Times New Roman" w:hAnsi="Times New Roman" w:cs="Times New Roman"/>
          <w:color w:val="000000"/>
        </w:rPr>
        <w:t>essività dell’elemento femminile, s’impossessa di quell</w:t>
      </w:r>
      <w:r w:rsidRPr="009D28CE">
        <w:rPr>
          <w:rFonts w:ascii="Times New Roman" w:eastAsia="Times New Roman" w:hAnsi="Times New Roman" w:cs="Times New Roman"/>
          <w:color w:val="000000"/>
        </w:rPr>
        <w:t>a parte delle schie</w:t>
      </w:r>
      <w:r w:rsidR="00B22282" w:rsidRPr="009D28CE">
        <w:rPr>
          <w:rFonts w:ascii="Times New Roman" w:eastAsia="Times New Roman" w:hAnsi="Times New Roman" w:cs="Times New Roman"/>
          <w:color w:val="000000"/>
        </w:rPr>
        <w:t>re angeliche</w:t>
      </w:r>
      <w:r w:rsidR="00BA507E">
        <w:rPr>
          <w:rFonts w:ascii="Times New Roman" w:eastAsia="Times New Roman" w:hAnsi="Times New Roman" w:cs="Times New Roman"/>
          <w:color w:val="000000"/>
        </w:rPr>
        <w:t xml:space="preserve"> create nel corso del secondo giorno</w:t>
      </w:r>
      <w:r w:rsidRPr="009D28CE">
        <w:rPr>
          <w:rFonts w:ascii="Times New Roman" w:eastAsia="Times New Roman" w:hAnsi="Times New Roman" w:cs="Times New Roman"/>
          <w:color w:val="000000"/>
        </w:rPr>
        <w:t xml:space="preserve">: </w:t>
      </w:r>
    </w:p>
    <w:p w14:paraId="03AE8551" w14:textId="77777777" w:rsidR="005B5D6E" w:rsidRPr="009D28CE" w:rsidRDefault="005B5D6E" w:rsidP="005B5D6E">
      <w:pPr>
        <w:spacing w:line="360" w:lineRule="auto"/>
        <w:jc w:val="both"/>
        <w:rPr>
          <w:rFonts w:ascii="Times New Roman" w:eastAsia="Times New Roman" w:hAnsi="Times New Roman" w:cs="Times New Roman"/>
          <w:color w:val="000000"/>
        </w:rPr>
      </w:pPr>
    </w:p>
    <w:p w14:paraId="17C69666" w14:textId="67B19D1D" w:rsidR="005B5D6E" w:rsidRDefault="005B5D6E" w:rsidP="0026589F">
      <w:pPr>
        <w:spacing w:line="360" w:lineRule="auto"/>
        <w:ind w:left="567" w:firstLine="567"/>
        <w:jc w:val="both"/>
        <w:rPr>
          <w:rFonts w:ascii="Times New Roman" w:eastAsia="Times New Roman" w:hAnsi="Times New Roman" w:cs="Times New Roman"/>
          <w:color w:val="000000"/>
          <w:sz w:val="20"/>
          <w:szCs w:val="20"/>
        </w:rPr>
      </w:pPr>
      <w:r w:rsidRPr="00B81148">
        <w:rPr>
          <w:rFonts w:ascii="Times New Roman" w:eastAsia="Times New Roman" w:hAnsi="Times New Roman" w:cs="Times New Roman"/>
          <w:color w:val="000000"/>
          <w:sz w:val="20"/>
          <w:szCs w:val="20"/>
        </w:rPr>
        <w:t>«</w:t>
      </w:r>
      <w:r w:rsidR="00BA507E">
        <w:rPr>
          <w:rFonts w:ascii="Times New Roman" w:eastAsia="Times New Roman" w:hAnsi="Times New Roman" w:cs="Times New Roman"/>
          <w:color w:val="000000"/>
          <w:sz w:val="20"/>
          <w:szCs w:val="20"/>
        </w:rPr>
        <w:t>So separation is always on the second, which is the left, at the outbreak of intense fury aroused by the left in the conflict, before it subsides into calm. On it, Hell was created, and the all those angels who denounce their Master above and are burned, consumed by fire; and all those others who vanish</w:t>
      </w:r>
      <w:r w:rsidR="001D5EBA">
        <w:rPr>
          <w:rFonts w:ascii="Times New Roman" w:eastAsia="Times New Roman" w:hAnsi="Times New Roman" w:cs="Times New Roman"/>
          <w:color w:val="000000"/>
          <w:sz w:val="20"/>
          <w:szCs w:val="20"/>
        </w:rPr>
        <w:t>, unenduring, devoured by fire</w:t>
      </w:r>
      <w:r w:rsidRPr="00B81148">
        <w:rPr>
          <w:rFonts w:ascii="Times New Roman" w:eastAsia="Times New Roman" w:hAnsi="Times New Roman" w:cs="Times New Roman"/>
          <w:color w:val="000000"/>
          <w:sz w:val="20"/>
          <w:szCs w:val="20"/>
        </w:rPr>
        <w:t>»</w:t>
      </w:r>
      <w:r w:rsidRPr="00B81148">
        <w:rPr>
          <w:rStyle w:val="Rimandonotaapidipagina"/>
          <w:rFonts w:ascii="Times New Roman" w:eastAsia="Times New Roman" w:hAnsi="Times New Roman" w:cs="Times New Roman"/>
          <w:color w:val="000000"/>
          <w:sz w:val="20"/>
          <w:szCs w:val="20"/>
        </w:rPr>
        <w:footnoteReference w:id="236"/>
      </w:r>
      <w:r w:rsidRPr="00B81148">
        <w:rPr>
          <w:rFonts w:ascii="Times New Roman" w:eastAsia="Times New Roman" w:hAnsi="Times New Roman" w:cs="Times New Roman"/>
          <w:color w:val="000000"/>
          <w:sz w:val="20"/>
          <w:szCs w:val="20"/>
        </w:rPr>
        <w:t>.</w:t>
      </w:r>
    </w:p>
    <w:p w14:paraId="23E55DB2" w14:textId="77777777" w:rsidR="0026589F" w:rsidRPr="00B81515" w:rsidRDefault="0026589F" w:rsidP="0026589F">
      <w:pPr>
        <w:spacing w:line="360" w:lineRule="auto"/>
        <w:ind w:left="567" w:firstLine="567"/>
        <w:jc w:val="both"/>
        <w:rPr>
          <w:rFonts w:ascii="Times New Roman" w:eastAsia="Times New Roman" w:hAnsi="Times New Roman" w:cs="Times New Roman"/>
          <w:color w:val="000000"/>
        </w:rPr>
      </w:pPr>
    </w:p>
    <w:p w14:paraId="0ECEAF22" w14:textId="77777777" w:rsidR="00576DEF" w:rsidRDefault="00F6251B" w:rsidP="00576DEF">
      <w:pPr>
        <w:widowControl w:val="0"/>
        <w:autoSpaceDE w:val="0"/>
        <w:autoSpaceDN w:val="0"/>
        <w:adjustRightInd w:val="0"/>
        <w:spacing w:after="240" w:line="360" w:lineRule="auto"/>
        <w:ind w:firstLine="567"/>
        <w:jc w:val="both"/>
        <w:rPr>
          <w:rFonts w:ascii="Times New Roman" w:eastAsia="Times New Roman" w:hAnsi="Times New Roman" w:cs="Times New Roman"/>
          <w:color w:val="000000"/>
        </w:rPr>
      </w:pPr>
      <w:r w:rsidRPr="009D28CE">
        <w:rPr>
          <w:rFonts w:ascii="Times New Roman" w:eastAsia="Times New Roman" w:hAnsi="Times New Roman" w:cs="Times New Roman"/>
          <w:color w:val="000000"/>
        </w:rPr>
        <w:t>Posseduti da</w:t>
      </w:r>
      <w:r w:rsidR="005B5D6E" w:rsidRPr="009D28CE">
        <w:rPr>
          <w:rFonts w:ascii="Times New Roman" w:eastAsia="Times New Roman" w:hAnsi="Times New Roman" w:cs="Times New Roman"/>
          <w:color w:val="000000"/>
        </w:rPr>
        <w:t>l principio</w:t>
      </w:r>
      <w:r w:rsidR="00BA507E">
        <w:rPr>
          <w:rFonts w:ascii="Times New Roman" w:eastAsia="Times New Roman" w:hAnsi="Times New Roman" w:cs="Times New Roman"/>
          <w:color w:val="000000"/>
        </w:rPr>
        <w:t xml:space="preserve"> sinistro</w:t>
      </w:r>
      <w:r w:rsidR="005B5D6E" w:rsidRPr="009D28CE">
        <w:rPr>
          <w:rFonts w:ascii="Times New Roman" w:eastAsia="Times New Roman" w:hAnsi="Times New Roman" w:cs="Times New Roman"/>
          <w:color w:val="000000"/>
        </w:rPr>
        <w:t xml:space="preserve">, questi angeli sono arsi e consumati da quella stessa </w:t>
      </w:r>
      <w:r w:rsidR="00B22282" w:rsidRPr="009D28CE">
        <w:rPr>
          <w:rFonts w:ascii="Times New Roman" w:eastAsia="Times New Roman" w:hAnsi="Times New Roman" w:cs="Times New Roman"/>
          <w:color w:val="000000"/>
        </w:rPr>
        <w:t xml:space="preserve">aggressività </w:t>
      </w:r>
      <w:r w:rsidR="005B5D6E" w:rsidRPr="009D28CE">
        <w:rPr>
          <w:rFonts w:ascii="Times New Roman" w:eastAsia="Times New Roman" w:hAnsi="Times New Roman" w:cs="Times New Roman"/>
          <w:color w:val="000000"/>
        </w:rPr>
        <w:t xml:space="preserve">originatesi dall’opposizione fra lato sinistro e lato destro. Il conflitto fra queste due polarità si risolve nel terzo giorno: è </w:t>
      </w:r>
      <w:r w:rsidR="005B5D6E" w:rsidRPr="009D28CE">
        <w:rPr>
          <w:rFonts w:ascii="Times New Roman" w:eastAsia="Times New Roman" w:hAnsi="Times New Roman" w:cs="Times New Roman"/>
          <w:i/>
          <w:color w:val="000000"/>
        </w:rPr>
        <w:t>Tieferet</w:t>
      </w:r>
      <w:r w:rsidR="005B5D6E" w:rsidRPr="009D28CE">
        <w:rPr>
          <w:rFonts w:ascii="Times New Roman" w:eastAsia="Times New Roman" w:hAnsi="Times New Roman" w:cs="Times New Roman"/>
          <w:color w:val="000000"/>
        </w:rPr>
        <w:t xml:space="preserve">, una </w:t>
      </w:r>
      <w:r w:rsidR="005B5D6E" w:rsidRPr="009D28CE">
        <w:rPr>
          <w:rFonts w:ascii="Times New Roman" w:eastAsia="Times New Roman" w:hAnsi="Times New Roman" w:cs="Times New Roman"/>
          <w:i/>
          <w:color w:val="000000"/>
        </w:rPr>
        <w:t>sefirah</w:t>
      </w:r>
      <w:r w:rsidR="005B5D6E" w:rsidRPr="009D28CE">
        <w:rPr>
          <w:rFonts w:ascii="Times New Roman" w:eastAsia="Times New Roman" w:hAnsi="Times New Roman" w:cs="Times New Roman"/>
          <w:color w:val="000000"/>
        </w:rPr>
        <w:t xml:space="preserve"> mediana, che ricompone la lacerazione </w:t>
      </w:r>
      <w:r w:rsidR="004C1E05" w:rsidRPr="009D28CE">
        <w:rPr>
          <w:rFonts w:ascii="Times New Roman" w:eastAsia="Times New Roman" w:hAnsi="Times New Roman" w:cs="Times New Roman"/>
          <w:color w:val="000000"/>
        </w:rPr>
        <w:t xml:space="preserve">avvenuta fra destra e sinistra, </w:t>
      </w:r>
      <w:r w:rsidR="005B5D6E" w:rsidRPr="009D28CE">
        <w:rPr>
          <w:rFonts w:ascii="Times New Roman" w:eastAsia="Times New Roman" w:hAnsi="Times New Roman" w:cs="Times New Roman"/>
          <w:color w:val="000000"/>
        </w:rPr>
        <w:t>risolvendo l’opposizione del secondo giorno</w:t>
      </w:r>
      <w:r w:rsidR="00576DEF">
        <w:rPr>
          <w:rFonts w:ascii="Times New Roman" w:eastAsia="Times New Roman" w:hAnsi="Times New Roman" w:cs="Times New Roman"/>
          <w:color w:val="000000"/>
        </w:rPr>
        <w:t xml:space="preserve">: </w:t>
      </w:r>
    </w:p>
    <w:p w14:paraId="383F7D2C" w14:textId="77777777" w:rsidR="0026589F" w:rsidRDefault="00576DEF" w:rsidP="0026589F">
      <w:pPr>
        <w:widowControl w:val="0"/>
        <w:autoSpaceDE w:val="0"/>
        <w:autoSpaceDN w:val="0"/>
        <w:adjustRightInd w:val="0"/>
        <w:spacing w:after="240" w:line="360" w:lineRule="auto"/>
        <w:ind w:left="567" w:firstLine="567"/>
        <w:jc w:val="both"/>
        <w:rPr>
          <w:rFonts w:ascii="Times New Roman" w:eastAsia="Times New Roman" w:hAnsi="Times New Roman" w:cs="Times New Roman"/>
          <w:color w:val="000000"/>
        </w:rPr>
      </w:pPr>
      <w:r w:rsidRPr="008A3BCA">
        <w:rPr>
          <w:rFonts w:ascii="Times New Roman" w:hAnsi="Times New Roman" w:cs="Times New Roman"/>
          <w:sz w:val="20"/>
          <w:szCs w:val="20"/>
        </w:rPr>
        <w:t>«In the act of Creation a conflict arose between left and right, and in that conflict aroused by the left, Hell emerged, clinging there. The central pillar, who is the third day, entered between them, mediating the conflict, reconciling the two sides. Hell descended, left merged in right, and peace prevailed over all</w:t>
      </w:r>
      <w:r w:rsidRPr="008A3BCA">
        <w:rPr>
          <w:rFonts w:ascii="Times New Roman" w:eastAsia="Times New Roman" w:hAnsi="Times New Roman" w:cs="Times New Roman"/>
          <w:color w:val="000000"/>
          <w:sz w:val="20"/>
          <w:szCs w:val="20"/>
        </w:rPr>
        <w:t>»</w:t>
      </w:r>
      <w:r w:rsidR="001D5EBA" w:rsidRPr="008A3BCA">
        <w:rPr>
          <w:rStyle w:val="Rimandonotaapidipagina"/>
          <w:rFonts w:ascii="Times New Roman" w:eastAsia="Times New Roman" w:hAnsi="Times New Roman" w:cs="Times New Roman"/>
          <w:color w:val="000000"/>
        </w:rPr>
        <w:footnoteReference w:id="237"/>
      </w:r>
      <w:r w:rsidR="005B5D6E" w:rsidRPr="008A3BCA">
        <w:rPr>
          <w:rFonts w:ascii="Times New Roman" w:eastAsia="Times New Roman" w:hAnsi="Times New Roman" w:cs="Times New Roman"/>
          <w:color w:val="000000"/>
        </w:rPr>
        <w:t>.</w:t>
      </w:r>
      <w:r w:rsidR="005B5D6E" w:rsidRPr="009D28CE">
        <w:rPr>
          <w:rFonts w:ascii="Times New Roman" w:eastAsia="Times New Roman" w:hAnsi="Times New Roman" w:cs="Times New Roman"/>
          <w:color w:val="000000"/>
        </w:rPr>
        <w:t xml:space="preserve"> </w:t>
      </w:r>
    </w:p>
    <w:p w14:paraId="48D3D2F2" w14:textId="50DCDF61" w:rsidR="003962F1" w:rsidRPr="00A45125" w:rsidRDefault="005B5D6E" w:rsidP="003962F1">
      <w:pPr>
        <w:widowControl w:val="0"/>
        <w:autoSpaceDE w:val="0"/>
        <w:autoSpaceDN w:val="0"/>
        <w:adjustRightInd w:val="0"/>
        <w:spacing w:after="240" w:line="360" w:lineRule="auto"/>
        <w:ind w:firstLine="567"/>
        <w:jc w:val="both"/>
        <w:rPr>
          <w:rFonts w:ascii="Times New Roman" w:eastAsia="Times New Roman" w:hAnsi="Times New Roman" w:cs="Times New Roman"/>
          <w:color w:val="000000"/>
        </w:rPr>
      </w:pPr>
      <w:r w:rsidRPr="005A2060">
        <w:rPr>
          <w:rFonts w:ascii="Times New Roman" w:eastAsia="Times New Roman" w:hAnsi="Times New Roman" w:cs="Times New Roman"/>
          <w:color w:val="000000"/>
        </w:rPr>
        <w:t xml:space="preserve">Questi estratti dello </w:t>
      </w:r>
      <w:r w:rsidRPr="005A2060">
        <w:rPr>
          <w:rFonts w:ascii="Times New Roman" w:eastAsia="Times New Roman" w:hAnsi="Times New Roman" w:cs="Times New Roman"/>
          <w:i/>
          <w:color w:val="000000"/>
        </w:rPr>
        <w:t xml:space="preserve">Zohar </w:t>
      </w:r>
      <w:r w:rsidR="009351A8" w:rsidRPr="005A2060">
        <w:rPr>
          <w:rFonts w:ascii="Times New Roman" w:eastAsia="Times New Roman" w:hAnsi="Times New Roman" w:cs="Times New Roman"/>
          <w:color w:val="000000"/>
        </w:rPr>
        <w:t xml:space="preserve">trovano </w:t>
      </w:r>
      <w:r w:rsidR="004C1E05" w:rsidRPr="005A2060">
        <w:rPr>
          <w:rFonts w:ascii="Times New Roman" w:eastAsia="Times New Roman" w:hAnsi="Times New Roman" w:cs="Times New Roman"/>
          <w:color w:val="000000"/>
        </w:rPr>
        <w:t>delle</w:t>
      </w:r>
      <w:r w:rsidRPr="005A2060">
        <w:rPr>
          <w:rFonts w:ascii="Times New Roman" w:eastAsia="Times New Roman" w:hAnsi="Times New Roman" w:cs="Times New Roman"/>
          <w:color w:val="000000"/>
        </w:rPr>
        <w:t xml:space="preserve"> corrispondenze</w:t>
      </w:r>
      <w:r w:rsidR="00576DEF" w:rsidRPr="005A2060">
        <w:rPr>
          <w:rFonts w:ascii="Times New Roman" w:eastAsia="Times New Roman" w:hAnsi="Times New Roman" w:cs="Times New Roman"/>
          <w:color w:val="000000"/>
        </w:rPr>
        <w:t xml:space="preserve"> – senza che con ciò vengano meno le </w:t>
      </w:r>
      <w:r w:rsidR="0061492C" w:rsidRPr="005A2060">
        <w:rPr>
          <w:rFonts w:ascii="Times New Roman" w:eastAsia="Times New Roman" w:hAnsi="Times New Roman" w:cs="Times New Roman"/>
          <w:color w:val="000000"/>
        </w:rPr>
        <w:t xml:space="preserve">loro </w:t>
      </w:r>
      <w:r w:rsidR="00576DEF" w:rsidRPr="005A2060">
        <w:rPr>
          <w:rFonts w:ascii="Times New Roman" w:eastAsia="Times New Roman" w:hAnsi="Times New Roman" w:cs="Times New Roman"/>
          <w:color w:val="000000"/>
        </w:rPr>
        <w:t>differenze</w:t>
      </w:r>
      <w:r w:rsidR="0061492C" w:rsidRPr="005A2060">
        <w:rPr>
          <w:rFonts w:ascii="Times New Roman" w:eastAsia="Times New Roman" w:hAnsi="Times New Roman" w:cs="Times New Roman"/>
          <w:color w:val="000000"/>
        </w:rPr>
        <w:t xml:space="preserve"> specifiche</w:t>
      </w:r>
      <w:r w:rsidR="00576DEF" w:rsidRPr="005A2060">
        <w:rPr>
          <w:rFonts w:ascii="Times New Roman" w:eastAsia="Times New Roman" w:hAnsi="Times New Roman" w:cs="Times New Roman"/>
          <w:color w:val="000000"/>
        </w:rPr>
        <w:t xml:space="preserve"> –</w:t>
      </w:r>
      <w:r w:rsidRPr="009D28CE">
        <w:rPr>
          <w:rFonts w:ascii="Times New Roman" w:eastAsia="Times New Roman" w:hAnsi="Times New Roman" w:cs="Times New Roman"/>
          <w:color w:val="000000"/>
        </w:rPr>
        <w:t xml:space="preserve"> con quanto analizzato del pensiero di Böhme</w:t>
      </w:r>
      <w:r w:rsidR="00EE1FB0">
        <w:rPr>
          <w:rStyle w:val="Rimandonotaapidipagina"/>
          <w:rFonts w:ascii="Times New Roman" w:eastAsia="Times New Roman" w:hAnsi="Times New Roman" w:cs="Times New Roman"/>
          <w:color w:val="000000"/>
        </w:rPr>
        <w:footnoteReference w:id="238"/>
      </w:r>
      <w:r w:rsidRPr="009D28CE">
        <w:rPr>
          <w:rFonts w:ascii="Times New Roman" w:eastAsia="Times New Roman" w:hAnsi="Times New Roman" w:cs="Times New Roman"/>
          <w:color w:val="000000"/>
        </w:rPr>
        <w:t>. A ben vedere, il c</w:t>
      </w:r>
      <w:r w:rsidR="009D5ECA">
        <w:rPr>
          <w:rFonts w:ascii="Times New Roman" w:eastAsia="Times New Roman" w:hAnsi="Times New Roman" w:cs="Times New Roman"/>
          <w:color w:val="000000"/>
        </w:rPr>
        <w:t xml:space="preserve">iabattino di Görlitz parla della </w:t>
      </w:r>
      <w:r w:rsidR="009D5ECA" w:rsidRPr="009D5ECA">
        <w:rPr>
          <w:rFonts w:ascii="Times New Roman" w:eastAsia="Times New Roman" w:hAnsi="Times New Roman" w:cs="Times New Roman"/>
          <w:i/>
          <w:color w:val="000000"/>
        </w:rPr>
        <w:t>Zorn Gottes</w:t>
      </w:r>
      <w:r w:rsidRPr="009D28CE">
        <w:rPr>
          <w:rFonts w:ascii="Times New Roman" w:eastAsia="Times New Roman" w:hAnsi="Times New Roman" w:cs="Times New Roman"/>
          <w:color w:val="000000"/>
        </w:rPr>
        <w:t xml:space="preserve">, connettendola con </w:t>
      </w:r>
      <w:r w:rsidR="00F6251B" w:rsidRPr="009D28CE">
        <w:rPr>
          <w:rFonts w:ascii="Times New Roman" w:eastAsia="Times New Roman" w:hAnsi="Times New Roman" w:cs="Times New Roman"/>
          <w:color w:val="000000"/>
        </w:rPr>
        <w:t>quel principio oscuro</w:t>
      </w:r>
      <w:r w:rsidR="00416E3B">
        <w:rPr>
          <w:rFonts w:ascii="Times New Roman" w:eastAsia="Times New Roman" w:hAnsi="Times New Roman" w:cs="Times New Roman"/>
          <w:color w:val="000000"/>
        </w:rPr>
        <w:t>, il lato sinistro d</w:t>
      </w:r>
      <w:r w:rsidR="00F6251B" w:rsidRPr="009D28CE">
        <w:rPr>
          <w:rFonts w:ascii="Times New Roman" w:eastAsia="Times New Roman" w:hAnsi="Times New Roman" w:cs="Times New Roman"/>
          <w:color w:val="000000"/>
        </w:rPr>
        <w:t xml:space="preserve">ello </w:t>
      </w:r>
      <w:r w:rsidR="00F6251B" w:rsidRPr="009D28CE">
        <w:rPr>
          <w:rFonts w:ascii="Times New Roman" w:eastAsia="Times New Roman" w:hAnsi="Times New Roman" w:cs="Times New Roman"/>
          <w:i/>
          <w:color w:val="000000"/>
        </w:rPr>
        <w:t>Zohar</w:t>
      </w:r>
      <w:r w:rsidR="00F6251B" w:rsidRPr="009D28CE">
        <w:rPr>
          <w:rFonts w:ascii="Times New Roman" w:eastAsia="Times New Roman" w:hAnsi="Times New Roman" w:cs="Times New Roman"/>
          <w:color w:val="000000"/>
        </w:rPr>
        <w:t>,</w:t>
      </w:r>
      <w:r w:rsidRPr="009D28CE">
        <w:rPr>
          <w:rFonts w:ascii="Times New Roman" w:eastAsia="Times New Roman" w:hAnsi="Times New Roman" w:cs="Times New Roman"/>
          <w:color w:val="000000"/>
        </w:rPr>
        <w:t xml:space="preserve"> che descrive la natura profonda del Padre. Inoltre, la ribellione di Lucifero e delle schiere angeliche a lui subordinate si verifica nel momento in cui il Cherubino dismette la propria </w:t>
      </w:r>
      <w:r w:rsidRPr="009D28CE">
        <w:rPr>
          <w:rFonts w:ascii="Times New Roman" w:eastAsia="Times New Roman" w:hAnsi="Times New Roman" w:cs="Times New Roman"/>
          <w:i/>
          <w:color w:val="000000"/>
          <w:lang w:val="de-DE"/>
        </w:rPr>
        <w:t>Gelassenheit</w:t>
      </w:r>
      <w:r w:rsidR="00BA026E" w:rsidRPr="009D28CE">
        <w:rPr>
          <w:rFonts w:ascii="Times New Roman" w:eastAsia="Times New Roman" w:hAnsi="Times New Roman" w:cs="Times New Roman"/>
          <w:color w:val="000000"/>
          <w:lang w:val="de-DE"/>
        </w:rPr>
        <w:t xml:space="preserve"> </w:t>
      </w:r>
      <w:r w:rsidRPr="009D28CE">
        <w:rPr>
          <w:rFonts w:ascii="Times New Roman" w:eastAsia="Times New Roman" w:hAnsi="Times New Roman" w:cs="Times New Roman"/>
          <w:color w:val="000000"/>
        </w:rPr>
        <w:t>e si lascia dominare dal principio oscuro</w:t>
      </w:r>
      <w:r w:rsidR="00AF1B28">
        <w:rPr>
          <w:rFonts w:ascii="Times New Roman" w:eastAsia="Times New Roman" w:hAnsi="Times New Roman" w:cs="Times New Roman"/>
          <w:color w:val="000000"/>
        </w:rPr>
        <w:t xml:space="preserve"> (</w:t>
      </w:r>
      <w:r w:rsidR="00AF1B28">
        <w:rPr>
          <w:rFonts w:ascii="Times New Roman" w:eastAsia="Times New Roman" w:hAnsi="Times New Roman" w:cs="Times New Roman"/>
          <w:i/>
          <w:color w:val="000000"/>
        </w:rPr>
        <w:t xml:space="preserve">die </w:t>
      </w:r>
      <w:r w:rsidR="006832CC" w:rsidRPr="009D28CE">
        <w:rPr>
          <w:rFonts w:ascii="Times New Roman" w:eastAsia="Times New Roman" w:hAnsi="Times New Roman" w:cs="Times New Roman"/>
          <w:i/>
          <w:color w:val="000000"/>
        </w:rPr>
        <w:t>allertieffeste Geburt</w:t>
      </w:r>
      <w:r w:rsidR="00E421F0">
        <w:rPr>
          <w:rFonts w:ascii="Times New Roman" w:eastAsia="Times New Roman" w:hAnsi="Times New Roman" w:cs="Times New Roman"/>
          <w:color w:val="000000"/>
        </w:rPr>
        <w:t xml:space="preserve"> </w:t>
      </w:r>
      <w:r w:rsidR="00E421F0">
        <w:rPr>
          <w:rFonts w:ascii="Times New Roman" w:eastAsia="Times New Roman" w:hAnsi="Times New Roman" w:cs="Times New Roman"/>
          <w:i/>
          <w:color w:val="000000"/>
        </w:rPr>
        <w:t>Gottes</w:t>
      </w:r>
      <w:r w:rsidR="006832CC" w:rsidRPr="009D28CE">
        <w:rPr>
          <w:rFonts w:ascii="Times New Roman" w:eastAsia="Times New Roman" w:hAnsi="Times New Roman" w:cs="Times New Roman"/>
          <w:color w:val="000000"/>
        </w:rPr>
        <w:t>)</w:t>
      </w:r>
      <w:r w:rsidRPr="009D28CE">
        <w:rPr>
          <w:rFonts w:ascii="Times New Roman" w:eastAsia="Times New Roman" w:hAnsi="Times New Roman" w:cs="Times New Roman"/>
          <w:color w:val="000000"/>
        </w:rPr>
        <w:t xml:space="preserve">. </w:t>
      </w:r>
      <w:r w:rsidR="003F6896" w:rsidRPr="0008544A">
        <w:rPr>
          <w:rFonts w:ascii="Times New Roman" w:eastAsia="Times New Roman" w:hAnsi="Times New Roman" w:cs="Times New Roman"/>
          <w:color w:val="000000"/>
        </w:rPr>
        <w:t xml:space="preserve">Sebbene </w:t>
      </w:r>
      <w:r w:rsidR="006F77E8" w:rsidRPr="0008544A">
        <w:rPr>
          <w:rFonts w:ascii="Times New Roman" w:eastAsia="Times New Roman" w:hAnsi="Times New Roman" w:cs="Times New Roman"/>
          <w:color w:val="000000"/>
        </w:rPr>
        <w:t xml:space="preserve">formato </w:t>
      </w:r>
      <w:r w:rsidR="00A463E7" w:rsidRPr="0008544A">
        <w:rPr>
          <w:rFonts w:ascii="Times New Roman" w:eastAsia="Times New Roman" w:hAnsi="Times New Roman" w:cs="Times New Roman"/>
          <w:color w:val="000000"/>
        </w:rPr>
        <w:t>secondo tutte le «Kräften Gottes»</w:t>
      </w:r>
      <w:r w:rsidR="00A463E7" w:rsidRPr="0008544A">
        <w:rPr>
          <w:rStyle w:val="Rimandonotaapidipagina"/>
          <w:rFonts w:ascii="Times New Roman" w:eastAsia="Times New Roman" w:hAnsi="Times New Roman" w:cs="Times New Roman"/>
          <w:color w:val="000000"/>
        </w:rPr>
        <w:footnoteReference w:id="239"/>
      </w:r>
      <w:r w:rsidR="0008544A" w:rsidRPr="0008544A">
        <w:rPr>
          <w:rFonts w:ascii="Times New Roman" w:eastAsia="Times New Roman" w:hAnsi="Times New Roman" w:cs="Times New Roman"/>
          <w:color w:val="000000"/>
        </w:rPr>
        <w:t xml:space="preserve"> , </w:t>
      </w:r>
      <w:r w:rsidR="00A463E7" w:rsidRPr="0008544A">
        <w:rPr>
          <w:rFonts w:ascii="Times New Roman" w:eastAsia="Times New Roman" w:hAnsi="Times New Roman" w:cs="Times New Roman"/>
          <w:color w:val="000000"/>
        </w:rPr>
        <w:t>e non soltanto dall’</w:t>
      </w:r>
      <w:r w:rsidR="00B07501" w:rsidRPr="0008544A">
        <w:rPr>
          <w:rFonts w:ascii="Times New Roman" w:eastAsia="Times New Roman" w:hAnsi="Times New Roman" w:cs="Times New Roman"/>
          <w:color w:val="000000"/>
        </w:rPr>
        <w:t>amore o dall’ira, come insegna</w:t>
      </w:r>
      <w:r w:rsidR="003F6896" w:rsidRPr="0008544A">
        <w:rPr>
          <w:rFonts w:ascii="Times New Roman" w:eastAsia="Times New Roman" w:hAnsi="Times New Roman" w:cs="Times New Roman"/>
          <w:color w:val="000000"/>
        </w:rPr>
        <w:t>, ad esempio,</w:t>
      </w:r>
      <w:r w:rsidR="009B5729" w:rsidRPr="0008544A">
        <w:rPr>
          <w:rFonts w:ascii="Times New Roman" w:eastAsia="Times New Roman" w:hAnsi="Times New Roman" w:cs="Times New Roman"/>
          <w:color w:val="000000"/>
        </w:rPr>
        <w:t xml:space="preserve"> </w:t>
      </w:r>
      <w:r w:rsidR="006F77E8" w:rsidRPr="0008544A">
        <w:rPr>
          <w:rFonts w:ascii="Times New Roman" w:eastAsia="Times New Roman" w:hAnsi="Times New Roman" w:cs="Times New Roman"/>
          <w:color w:val="000000"/>
        </w:rPr>
        <w:t>il primo libro dello</w:t>
      </w:r>
      <w:r w:rsidR="00A463E7" w:rsidRPr="0008544A">
        <w:rPr>
          <w:rFonts w:ascii="Times New Roman" w:eastAsia="Times New Roman" w:hAnsi="Times New Roman" w:cs="Times New Roman"/>
          <w:color w:val="000000"/>
        </w:rPr>
        <w:t xml:space="preserve"> Zohar</w:t>
      </w:r>
      <w:r w:rsidR="006F77E8" w:rsidRPr="0008544A">
        <w:rPr>
          <w:rFonts w:ascii="Times New Roman" w:eastAsia="Times New Roman" w:hAnsi="Times New Roman" w:cs="Times New Roman"/>
          <w:color w:val="000000"/>
        </w:rPr>
        <w:t xml:space="preserve"> </w:t>
      </w:r>
      <w:r w:rsidR="00B07501" w:rsidRPr="0008544A">
        <w:rPr>
          <w:rStyle w:val="Rimandonotaapidipagina"/>
          <w:rFonts w:ascii="Times New Roman" w:eastAsia="Times New Roman" w:hAnsi="Times New Roman" w:cs="Times New Roman"/>
          <w:color w:val="000000"/>
        </w:rPr>
        <w:footnoteReference w:id="240"/>
      </w:r>
      <w:r w:rsidR="006F77E8" w:rsidRPr="0008544A">
        <w:rPr>
          <w:rFonts w:ascii="Times New Roman" w:eastAsia="Times New Roman" w:hAnsi="Times New Roman" w:cs="Times New Roman"/>
          <w:color w:val="000000"/>
        </w:rPr>
        <w:t xml:space="preserve">, </w:t>
      </w:r>
      <w:r w:rsidRPr="0008544A">
        <w:rPr>
          <w:rFonts w:ascii="Times New Roman" w:eastAsia="Times New Roman" w:hAnsi="Times New Roman" w:cs="Times New Roman"/>
          <w:color w:val="000000"/>
        </w:rPr>
        <w:t>Lucifero</w:t>
      </w:r>
      <w:r w:rsidR="006F77E8" w:rsidRPr="0008544A">
        <w:rPr>
          <w:rFonts w:ascii="Times New Roman" w:eastAsia="Times New Roman" w:hAnsi="Times New Roman" w:cs="Times New Roman"/>
          <w:color w:val="000000"/>
        </w:rPr>
        <w:t xml:space="preserve"> si tramuta, essendo dominato </w:t>
      </w:r>
      <w:r w:rsidR="003F6896" w:rsidRPr="0008544A">
        <w:rPr>
          <w:rFonts w:ascii="Times New Roman" w:eastAsia="Times New Roman" w:hAnsi="Times New Roman" w:cs="Times New Roman"/>
          <w:color w:val="000000"/>
        </w:rPr>
        <w:t xml:space="preserve">interamente </w:t>
      </w:r>
      <w:r w:rsidR="006F77E8" w:rsidRPr="0008544A">
        <w:rPr>
          <w:rFonts w:ascii="Times New Roman" w:eastAsia="Times New Roman" w:hAnsi="Times New Roman" w:cs="Times New Roman"/>
          <w:color w:val="000000"/>
        </w:rPr>
        <w:t>dal principio tenebroso,</w:t>
      </w:r>
      <w:r w:rsidRPr="0008544A">
        <w:rPr>
          <w:rFonts w:ascii="Times New Roman" w:eastAsia="Times New Roman" w:hAnsi="Times New Roman" w:cs="Times New Roman"/>
          <w:color w:val="000000"/>
        </w:rPr>
        <w:t xml:space="preserve"> in un essere oscuro, alimentato e consumato da un fuoco interiore, che rende il suo corpo una valle tenebrosa (</w:t>
      </w:r>
      <w:r w:rsidRPr="0008544A">
        <w:rPr>
          <w:rFonts w:ascii="Times New Roman" w:eastAsia="Times New Roman" w:hAnsi="Times New Roman" w:cs="Times New Roman"/>
          <w:i/>
          <w:color w:val="000000"/>
          <w:lang w:val="de-DE"/>
        </w:rPr>
        <w:t>Finsterthal</w:t>
      </w:r>
      <w:r w:rsidRPr="0008544A">
        <w:rPr>
          <w:rFonts w:ascii="Times New Roman" w:eastAsia="Times New Roman" w:hAnsi="Times New Roman" w:cs="Times New Roman"/>
          <w:color w:val="000000"/>
          <w:lang w:val="de-DE"/>
        </w:rPr>
        <w:t>)</w:t>
      </w:r>
      <w:r w:rsidRPr="0008544A">
        <w:rPr>
          <w:rStyle w:val="Rimandonotaapidipagina"/>
          <w:rFonts w:ascii="Times New Roman" w:eastAsia="Times New Roman" w:hAnsi="Times New Roman" w:cs="Times New Roman"/>
          <w:color w:val="000000"/>
        </w:rPr>
        <w:footnoteReference w:id="241"/>
      </w:r>
      <w:r w:rsidRPr="0008544A">
        <w:rPr>
          <w:rFonts w:ascii="Times New Roman" w:eastAsia="Times New Roman" w:hAnsi="Times New Roman" w:cs="Times New Roman"/>
          <w:color w:val="000000"/>
        </w:rPr>
        <w:t>.</w:t>
      </w:r>
      <w:r w:rsidRPr="005A2060">
        <w:rPr>
          <w:rFonts w:ascii="Times New Roman" w:eastAsia="Times New Roman" w:hAnsi="Times New Roman" w:cs="Times New Roman"/>
          <w:color w:val="000000"/>
        </w:rPr>
        <w:t xml:space="preserve"> Una sorte analoga è riservata agli angeli che stanno sotto il suo</w:t>
      </w:r>
      <w:r w:rsidRPr="009D28CE">
        <w:rPr>
          <w:rFonts w:ascii="Times New Roman" w:eastAsia="Times New Roman" w:hAnsi="Times New Roman" w:cs="Times New Roman"/>
          <w:color w:val="000000"/>
        </w:rPr>
        <w:t xml:space="preserve"> comando: queste creature pensano ed agiscono in accordo con quanto l’</w:t>
      </w:r>
      <w:r w:rsidRPr="009D28CE">
        <w:rPr>
          <w:rFonts w:ascii="Times New Roman" w:eastAsia="Times New Roman" w:hAnsi="Times New Roman" w:cs="Times New Roman"/>
          <w:i/>
          <w:color w:val="000000"/>
        </w:rPr>
        <w:t>Heerführer</w:t>
      </w:r>
      <w:r w:rsidRPr="009D28CE">
        <w:rPr>
          <w:rFonts w:ascii="Times New Roman" w:eastAsia="Times New Roman" w:hAnsi="Times New Roman" w:cs="Times New Roman"/>
          <w:color w:val="000000"/>
        </w:rPr>
        <w:t xml:space="preserve"> comunica loro</w:t>
      </w:r>
      <w:r w:rsidRPr="009D28CE">
        <w:rPr>
          <w:rStyle w:val="Rimandonotaapidipagina"/>
          <w:rFonts w:ascii="Times New Roman" w:eastAsia="Times New Roman" w:hAnsi="Times New Roman" w:cs="Times New Roman"/>
          <w:color w:val="000000"/>
        </w:rPr>
        <w:footnoteReference w:id="242"/>
      </w:r>
      <w:r w:rsidRPr="009D28CE">
        <w:rPr>
          <w:rFonts w:ascii="Times New Roman" w:eastAsia="Times New Roman" w:hAnsi="Times New Roman" w:cs="Times New Roman"/>
          <w:color w:val="000000"/>
        </w:rPr>
        <w:t xml:space="preserve">. Alla ribellione di Lucifero, che è signore del suo mondo, segue la </w:t>
      </w:r>
      <w:r w:rsidRPr="005A2060">
        <w:rPr>
          <w:rFonts w:ascii="Times New Roman" w:eastAsia="Times New Roman" w:hAnsi="Times New Roman" w:cs="Times New Roman"/>
          <w:color w:val="000000"/>
        </w:rPr>
        <w:t xml:space="preserve">rivolta di quegli esseri a lui sottoposti; alla caduta </w:t>
      </w:r>
      <w:r w:rsidR="00A8223A" w:rsidRPr="005A2060">
        <w:rPr>
          <w:rFonts w:ascii="Times New Roman" w:eastAsia="Times New Roman" w:hAnsi="Times New Roman" w:cs="Times New Roman"/>
          <w:color w:val="000000"/>
        </w:rPr>
        <w:t>del più splendente degli angeli</w:t>
      </w:r>
      <w:r w:rsidRPr="005A2060">
        <w:rPr>
          <w:rFonts w:ascii="Times New Roman" w:eastAsia="Times New Roman" w:hAnsi="Times New Roman" w:cs="Times New Roman"/>
          <w:color w:val="000000"/>
        </w:rPr>
        <w:t>, segue la rovina delle sc</w:t>
      </w:r>
      <w:r w:rsidR="00012047" w:rsidRPr="005A2060">
        <w:rPr>
          <w:rFonts w:ascii="Times New Roman" w:eastAsia="Times New Roman" w:hAnsi="Times New Roman" w:cs="Times New Roman"/>
          <w:color w:val="000000"/>
        </w:rPr>
        <w:t>hiere angeliche a lui sottoposte</w:t>
      </w:r>
      <w:r w:rsidRPr="005A2060">
        <w:rPr>
          <w:rFonts w:ascii="Times New Roman" w:eastAsia="Times New Roman" w:hAnsi="Times New Roman" w:cs="Times New Roman"/>
          <w:color w:val="000000"/>
        </w:rPr>
        <w:t>.</w:t>
      </w:r>
      <w:r w:rsidR="00416E3B" w:rsidRPr="005A2060">
        <w:rPr>
          <w:rFonts w:ascii="Times New Roman" w:eastAsia="Times New Roman" w:hAnsi="Times New Roman" w:cs="Times New Roman"/>
          <w:color w:val="000000"/>
        </w:rPr>
        <w:t xml:space="preserve"> </w:t>
      </w:r>
      <w:r w:rsidRPr="005A2060">
        <w:rPr>
          <w:rFonts w:ascii="Times New Roman" w:eastAsia="Times New Roman" w:hAnsi="Times New Roman" w:cs="Times New Roman"/>
          <w:color w:val="000000"/>
        </w:rPr>
        <w:t>Il fatto che non si possano individuare con certezza le fonti im</w:t>
      </w:r>
      <w:r w:rsidR="00012047" w:rsidRPr="005A2060">
        <w:rPr>
          <w:rFonts w:ascii="Times New Roman" w:eastAsia="Times New Roman" w:hAnsi="Times New Roman" w:cs="Times New Roman"/>
          <w:color w:val="000000"/>
        </w:rPr>
        <w:t>piegate</w:t>
      </w:r>
      <w:r w:rsidR="005F745E" w:rsidRPr="005A2060">
        <w:rPr>
          <w:rFonts w:ascii="Times New Roman" w:eastAsia="Times New Roman" w:hAnsi="Times New Roman" w:cs="Times New Roman"/>
          <w:color w:val="000000"/>
        </w:rPr>
        <w:t xml:space="preserve"> da Böhme </w:t>
      </w:r>
      <w:r w:rsidR="00B77807" w:rsidRPr="005A2060">
        <w:rPr>
          <w:rFonts w:ascii="Times New Roman" w:eastAsia="Times New Roman" w:hAnsi="Times New Roman" w:cs="Times New Roman"/>
          <w:color w:val="000000"/>
        </w:rPr>
        <w:t>e che non si possa</w:t>
      </w:r>
      <w:r w:rsidR="005F745E" w:rsidRPr="005A2060">
        <w:rPr>
          <w:rFonts w:ascii="Times New Roman" w:eastAsia="Times New Roman" w:hAnsi="Times New Roman" w:cs="Times New Roman"/>
          <w:color w:val="000000"/>
        </w:rPr>
        <w:t xml:space="preserve"> indicare con precisione </w:t>
      </w:r>
      <w:r w:rsidR="00B77807" w:rsidRPr="005A2060">
        <w:rPr>
          <w:rFonts w:ascii="Times New Roman" w:eastAsia="Times New Roman" w:hAnsi="Times New Roman" w:cs="Times New Roman"/>
          <w:color w:val="000000"/>
        </w:rPr>
        <w:t xml:space="preserve">l’occasione </w:t>
      </w:r>
      <w:r w:rsidR="005F745E" w:rsidRPr="005A2060">
        <w:rPr>
          <w:rFonts w:ascii="Times New Roman" w:eastAsia="Times New Roman" w:hAnsi="Times New Roman" w:cs="Times New Roman"/>
          <w:color w:val="000000"/>
        </w:rPr>
        <w:t>dell’incontro b</w:t>
      </w:r>
      <w:r w:rsidR="00B77807" w:rsidRPr="005A2060">
        <w:rPr>
          <w:rFonts w:ascii="Times New Roman" w:eastAsia="Times New Roman" w:hAnsi="Times New Roman" w:cs="Times New Roman"/>
          <w:color w:val="000000"/>
        </w:rPr>
        <w:t xml:space="preserve">öhmiano con la </w:t>
      </w:r>
      <w:r w:rsidR="00301A4F" w:rsidRPr="005A2060">
        <w:rPr>
          <w:rFonts w:ascii="Times New Roman" w:eastAsia="Times New Roman" w:hAnsi="Times New Roman" w:cs="Times New Roman"/>
          <w:color w:val="000000"/>
        </w:rPr>
        <w:t xml:space="preserve">Qabbalah </w:t>
      </w:r>
      <w:r w:rsidR="00A45125">
        <w:rPr>
          <w:rFonts w:ascii="Times New Roman" w:eastAsia="Times New Roman" w:hAnsi="Times New Roman" w:cs="Times New Roman"/>
          <w:color w:val="000000"/>
        </w:rPr>
        <w:t xml:space="preserve">ebraica </w:t>
      </w:r>
      <w:r w:rsidR="00012047" w:rsidRPr="005A2060">
        <w:rPr>
          <w:rFonts w:ascii="Times New Roman" w:eastAsia="Times New Roman" w:hAnsi="Times New Roman" w:cs="Times New Roman"/>
          <w:color w:val="000000"/>
        </w:rPr>
        <w:t>non preclude l</w:t>
      </w:r>
      <w:r w:rsidRPr="005A2060">
        <w:rPr>
          <w:rFonts w:ascii="Times New Roman" w:eastAsia="Times New Roman" w:hAnsi="Times New Roman" w:cs="Times New Roman"/>
          <w:color w:val="000000"/>
        </w:rPr>
        <w:t xml:space="preserve">a presenza di tematiche cabbalistiche nel </w:t>
      </w:r>
      <w:r w:rsidRPr="005A2060">
        <w:rPr>
          <w:rFonts w:ascii="Times New Roman" w:eastAsia="Times New Roman" w:hAnsi="Times New Roman" w:cs="Times New Roman"/>
          <w:i/>
          <w:color w:val="000000"/>
        </w:rPr>
        <w:t>corpus</w:t>
      </w:r>
      <w:r w:rsidRPr="005A2060">
        <w:rPr>
          <w:rFonts w:ascii="Times New Roman" w:eastAsia="Times New Roman" w:hAnsi="Times New Roman" w:cs="Times New Roman"/>
          <w:color w:val="000000"/>
        </w:rPr>
        <w:t xml:space="preserve"> del ciabattino di Görlitz. L</w:t>
      </w:r>
      <w:r w:rsidR="009351A8" w:rsidRPr="005A2060">
        <w:rPr>
          <w:rFonts w:ascii="Times New Roman" w:eastAsia="Times New Roman" w:hAnsi="Times New Roman" w:cs="Times New Roman"/>
          <w:color w:val="000000"/>
        </w:rPr>
        <w:t>a compresenza nel divino di</w:t>
      </w:r>
      <w:r w:rsidR="00F75E91" w:rsidRPr="005A2060">
        <w:rPr>
          <w:rFonts w:ascii="Times New Roman" w:eastAsia="Times New Roman" w:hAnsi="Times New Roman" w:cs="Times New Roman"/>
          <w:color w:val="000000"/>
        </w:rPr>
        <w:t xml:space="preserve"> un principio oscuro e</w:t>
      </w:r>
      <w:r w:rsidR="009351A8" w:rsidRPr="005A2060">
        <w:rPr>
          <w:rFonts w:ascii="Times New Roman" w:eastAsia="Times New Roman" w:hAnsi="Times New Roman" w:cs="Times New Roman"/>
          <w:color w:val="000000"/>
        </w:rPr>
        <w:t xml:space="preserve"> luminoso, </w:t>
      </w:r>
      <w:r w:rsidRPr="005A2060">
        <w:rPr>
          <w:rFonts w:ascii="Times New Roman" w:eastAsia="Times New Roman" w:hAnsi="Times New Roman" w:cs="Times New Roman"/>
          <w:color w:val="000000"/>
        </w:rPr>
        <w:t xml:space="preserve">l’associazione </w:t>
      </w:r>
      <w:r w:rsidR="000F2C99" w:rsidRPr="005A2060">
        <w:rPr>
          <w:rFonts w:ascii="Times New Roman" w:eastAsia="Times New Roman" w:hAnsi="Times New Roman" w:cs="Times New Roman"/>
          <w:color w:val="000000"/>
        </w:rPr>
        <w:t xml:space="preserve">del fuoco e </w:t>
      </w:r>
      <w:r w:rsidR="00512909" w:rsidRPr="005A2060">
        <w:rPr>
          <w:rFonts w:ascii="Times New Roman" w:eastAsia="Times New Roman" w:hAnsi="Times New Roman" w:cs="Times New Roman"/>
          <w:color w:val="000000"/>
        </w:rPr>
        <w:t>della tenebra</w:t>
      </w:r>
      <w:r w:rsidR="00EC6DC1" w:rsidRPr="005A2060">
        <w:rPr>
          <w:rFonts w:ascii="Times New Roman" w:eastAsia="Times New Roman" w:hAnsi="Times New Roman" w:cs="Times New Roman"/>
          <w:color w:val="000000"/>
        </w:rPr>
        <w:t xml:space="preserve"> </w:t>
      </w:r>
      <w:r w:rsidR="00512909" w:rsidRPr="005A2060">
        <w:rPr>
          <w:rFonts w:ascii="Times New Roman" w:eastAsia="Times New Roman" w:hAnsi="Times New Roman" w:cs="Times New Roman"/>
          <w:color w:val="000000"/>
        </w:rPr>
        <w:t xml:space="preserve">con </w:t>
      </w:r>
      <w:r w:rsidRPr="005A2060">
        <w:rPr>
          <w:rFonts w:ascii="Times New Roman" w:eastAsia="Times New Roman" w:hAnsi="Times New Roman" w:cs="Times New Roman"/>
          <w:color w:val="000000"/>
        </w:rPr>
        <w:t>l</w:t>
      </w:r>
      <w:r w:rsidR="00966433" w:rsidRPr="005A2060">
        <w:rPr>
          <w:rFonts w:ascii="Times New Roman" w:eastAsia="Times New Roman" w:hAnsi="Times New Roman" w:cs="Times New Roman"/>
          <w:color w:val="000000"/>
        </w:rPr>
        <w:t>’ira di Dio</w:t>
      </w:r>
      <w:r w:rsidR="00512909" w:rsidRPr="005A2060">
        <w:rPr>
          <w:rStyle w:val="Rimandonotaapidipagina"/>
          <w:rFonts w:ascii="Times New Roman" w:eastAsia="Times New Roman" w:hAnsi="Times New Roman" w:cs="Times New Roman"/>
          <w:color w:val="000000"/>
        </w:rPr>
        <w:footnoteReference w:id="243"/>
      </w:r>
      <w:r w:rsidRPr="005A2060">
        <w:rPr>
          <w:rFonts w:ascii="Times New Roman" w:eastAsia="Times New Roman" w:hAnsi="Times New Roman" w:cs="Times New Roman"/>
          <w:color w:val="000000"/>
        </w:rPr>
        <w:t xml:space="preserve"> e l’ottenebrarsi delle cre</w:t>
      </w:r>
      <w:r w:rsidR="00512909" w:rsidRPr="005A2060">
        <w:rPr>
          <w:rFonts w:ascii="Times New Roman" w:eastAsia="Times New Roman" w:hAnsi="Times New Roman" w:cs="Times New Roman"/>
          <w:color w:val="000000"/>
        </w:rPr>
        <w:t xml:space="preserve">ature possedute dall’ira divina rimandano </w:t>
      </w:r>
      <w:r w:rsidR="0047298E" w:rsidRPr="005A2060">
        <w:rPr>
          <w:rFonts w:ascii="Times New Roman" w:eastAsia="Times New Roman" w:hAnsi="Times New Roman" w:cs="Times New Roman"/>
          <w:color w:val="000000"/>
        </w:rPr>
        <w:t>a</w:t>
      </w:r>
      <w:r w:rsidR="00512909" w:rsidRPr="005A2060">
        <w:rPr>
          <w:rFonts w:ascii="Times New Roman" w:eastAsia="Times New Roman" w:hAnsi="Times New Roman" w:cs="Times New Roman"/>
          <w:color w:val="000000"/>
        </w:rPr>
        <w:t>d</w:t>
      </w:r>
      <w:r w:rsidR="009B0A00" w:rsidRPr="005A2060">
        <w:rPr>
          <w:rFonts w:ascii="Times New Roman" w:eastAsia="Times New Roman" w:hAnsi="Times New Roman" w:cs="Times New Roman"/>
          <w:color w:val="000000"/>
        </w:rPr>
        <w:t xml:space="preserve"> una costellazione simbolica cabbalistica </w:t>
      </w:r>
      <w:r w:rsidR="001C0023" w:rsidRPr="005A2060">
        <w:rPr>
          <w:rFonts w:ascii="Times New Roman" w:eastAsia="Times New Roman" w:hAnsi="Times New Roman" w:cs="Times New Roman"/>
          <w:color w:val="000000"/>
        </w:rPr>
        <w:t xml:space="preserve">percepibile </w:t>
      </w:r>
      <w:r w:rsidR="005A2060" w:rsidRPr="005A2060">
        <w:rPr>
          <w:rFonts w:ascii="Times New Roman" w:eastAsia="Times New Roman" w:hAnsi="Times New Roman" w:cs="Times New Roman"/>
          <w:color w:val="000000"/>
        </w:rPr>
        <w:t xml:space="preserve">anche </w:t>
      </w:r>
      <w:r w:rsidR="00991079" w:rsidRPr="005A2060">
        <w:rPr>
          <w:rFonts w:ascii="Times New Roman" w:eastAsia="Times New Roman" w:hAnsi="Times New Roman" w:cs="Times New Roman"/>
          <w:color w:val="000000"/>
        </w:rPr>
        <w:t xml:space="preserve">all’interno della </w:t>
      </w:r>
      <w:r w:rsidR="00EC6DC1" w:rsidRPr="00A45125">
        <w:rPr>
          <w:rFonts w:ascii="Times New Roman" w:eastAsia="Times New Roman" w:hAnsi="Times New Roman" w:cs="Times New Roman"/>
          <w:color w:val="000000"/>
        </w:rPr>
        <w:t>teogonia</w:t>
      </w:r>
      <w:r w:rsidR="00D63025" w:rsidRPr="00A45125">
        <w:rPr>
          <w:rFonts w:ascii="Times New Roman" w:eastAsia="Times New Roman" w:hAnsi="Times New Roman" w:cs="Times New Roman"/>
          <w:color w:val="000000"/>
        </w:rPr>
        <w:t xml:space="preserve"> </w:t>
      </w:r>
      <w:r w:rsidR="00512909" w:rsidRPr="00A45125">
        <w:rPr>
          <w:rFonts w:ascii="Times New Roman" w:eastAsia="Times New Roman" w:hAnsi="Times New Roman" w:cs="Times New Roman"/>
          <w:color w:val="000000"/>
        </w:rPr>
        <w:t>böhmiana</w:t>
      </w:r>
      <w:r w:rsidRPr="00A45125">
        <w:rPr>
          <w:rFonts w:ascii="Times New Roman" w:eastAsia="Times New Roman" w:hAnsi="Times New Roman" w:cs="Times New Roman"/>
          <w:color w:val="000000"/>
        </w:rPr>
        <w:t>.</w:t>
      </w:r>
      <w:r w:rsidR="003962F1" w:rsidRPr="00A45125">
        <w:rPr>
          <w:rFonts w:ascii="Times New Roman" w:eastAsia="Times New Roman" w:hAnsi="Times New Roman" w:cs="Times New Roman"/>
          <w:color w:val="000000"/>
        </w:rPr>
        <w:t xml:space="preserve"> </w:t>
      </w:r>
    </w:p>
    <w:p w14:paraId="3A53EF4D" w14:textId="095C2A1D" w:rsidR="006D1EE6" w:rsidRDefault="00512909" w:rsidP="00D855BF">
      <w:pPr>
        <w:widowControl w:val="0"/>
        <w:autoSpaceDE w:val="0"/>
        <w:autoSpaceDN w:val="0"/>
        <w:adjustRightInd w:val="0"/>
        <w:spacing w:after="240" w:line="360" w:lineRule="auto"/>
        <w:ind w:firstLine="567"/>
        <w:jc w:val="both"/>
        <w:rPr>
          <w:rFonts w:ascii="Times New Roman" w:eastAsia="Times New Roman" w:hAnsi="Times New Roman" w:cs="Times New Roman"/>
          <w:color w:val="000000"/>
        </w:rPr>
      </w:pPr>
      <w:r w:rsidRPr="0094786E">
        <w:rPr>
          <w:rFonts w:ascii="Times New Roman" w:eastAsia="Times New Roman" w:hAnsi="Times New Roman" w:cs="Times New Roman"/>
          <w:color w:val="000000"/>
        </w:rPr>
        <w:t xml:space="preserve">Tornando </w:t>
      </w:r>
      <w:r w:rsidR="001C0023" w:rsidRPr="0094786E">
        <w:rPr>
          <w:rFonts w:ascii="Times New Roman" w:eastAsia="Times New Roman" w:hAnsi="Times New Roman" w:cs="Times New Roman"/>
          <w:color w:val="000000"/>
        </w:rPr>
        <w:t xml:space="preserve">adesso </w:t>
      </w:r>
      <w:r w:rsidR="0080416D">
        <w:rPr>
          <w:rFonts w:ascii="Times New Roman" w:eastAsia="Times New Roman" w:hAnsi="Times New Roman" w:cs="Times New Roman"/>
          <w:color w:val="000000"/>
        </w:rPr>
        <w:t>alla chiusura</w:t>
      </w:r>
      <w:r w:rsidRPr="0094786E">
        <w:rPr>
          <w:rFonts w:ascii="Times New Roman" w:eastAsia="Times New Roman" w:hAnsi="Times New Roman" w:cs="Times New Roman"/>
          <w:color w:val="000000"/>
        </w:rPr>
        <w:t xml:space="preserve"> de</w:t>
      </w:r>
      <w:r w:rsidR="0047298E" w:rsidRPr="0094786E">
        <w:rPr>
          <w:rFonts w:ascii="Times New Roman" w:eastAsia="Times New Roman" w:hAnsi="Times New Roman" w:cs="Times New Roman"/>
          <w:color w:val="000000"/>
        </w:rPr>
        <w:t>ll’</w:t>
      </w:r>
      <w:r w:rsidR="0047298E" w:rsidRPr="0094786E">
        <w:rPr>
          <w:rFonts w:ascii="Times New Roman" w:eastAsia="Times New Roman" w:hAnsi="Times New Roman" w:cs="Times New Roman"/>
          <w:i/>
          <w:color w:val="000000"/>
        </w:rPr>
        <w:t>Höchstes Wesen</w:t>
      </w:r>
      <w:r w:rsidR="0047298E" w:rsidRPr="0094786E">
        <w:rPr>
          <w:rFonts w:ascii="Times New Roman" w:eastAsia="Times New Roman" w:hAnsi="Times New Roman" w:cs="Times New Roman"/>
          <w:color w:val="000000"/>
        </w:rPr>
        <w:t xml:space="preserve">, </w:t>
      </w:r>
      <w:r w:rsidRPr="0094786E">
        <w:rPr>
          <w:rFonts w:ascii="Times New Roman" w:eastAsia="Times New Roman" w:hAnsi="Times New Roman" w:cs="Times New Roman"/>
          <w:color w:val="000000"/>
        </w:rPr>
        <w:t xml:space="preserve">si può dire che </w:t>
      </w:r>
      <w:r w:rsidR="0047298E" w:rsidRPr="0094786E">
        <w:rPr>
          <w:rFonts w:ascii="Times New Roman" w:eastAsia="Times New Roman" w:hAnsi="Times New Roman" w:cs="Times New Roman"/>
          <w:color w:val="000000"/>
        </w:rPr>
        <w:t>è l</w:t>
      </w:r>
      <w:r w:rsidR="0034529D" w:rsidRPr="0094786E">
        <w:rPr>
          <w:rFonts w:ascii="Times New Roman" w:eastAsia="Times New Roman" w:hAnsi="Times New Roman" w:cs="Times New Roman"/>
          <w:color w:val="000000"/>
        </w:rPr>
        <w:t>a</w:t>
      </w:r>
      <w:r w:rsidR="009351A8" w:rsidRPr="0094786E">
        <w:rPr>
          <w:rFonts w:ascii="Times New Roman" w:eastAsia="Times New Roman" w:hAnsi="Times New Roman" w:cs="Times New Roman"/>
          <w:color w:val="000000"/>
        </w:rPr>
        <w:t xml:space="preserve"> </w:t>
      </w:r>
      <w:r w:rsidR="0034529D" w:rsidRPr="0094786E">
        <w:rPr>
          <w:rFonts w:ascii="Times New Roman" w:eastAsia="Times New Roman" w:hAnsi="Times New Roman" w:cs="Times New Roman"/>
          <w:color w:val="000000"/>
        </w:rPr>
        <w:t>riconduzione dei due principi</w:t>
      </w:r>
      <w:r w:rsidR="008B20D8" w:rsidRPr="0094786E">
        <w:rPr>
          <w:rFonts w:ascii="Times New Roman" w:eastAsia="Times New Roman" w:hAnsi="Times New Roman" w:cs="Times New Roman"/>
          <w:color w:val="000000"/>
        </w:rPr>
        <w:t xml:space="preserve"> </w:t>
      </w:r>
      <w:r w:rsidR="002A3555">
        <w:rPr>
          <w:rFonts w:ascii="Times New Roman" w:eastAsia="Times New Roman" w:hAnsi="Times New Roman" w:cs="Times New Roman"/>
          <w:color w:val="000000"/>
        </w:rPr>
        <w:t xml:space="preserve">– </w:t>
      </w:r>
      <w:r w:rsidR="0034529D" w:rsidRPr="0094786E">
        <w:rPr>
          <w:rFonts w:ascii="Times New Roman" w:eastAsia="Times New Roman" w:hAnsi="Times New Roman" w:cs="Times New Roman"/>
          <w:color w:val="000000"/>
        </w:rPr>
        <w:t xml:space="preserve">della luce e della tenebra – all’unità divina </w:t>
      </w:r>
      <w:r w:rsidR="005B5D6E" w:rsidRPr="0094786E">
        <w:rPr>
          <w:rFonts w:ascii="Times New Roman" w:eastAsia="Times New Roman" w:hAnsi="Times New Roman" w:cs="Times New Roman"/>
          <w:color w:val="000000"/>
        </w:rPr>
        <w:t xml:space="preserve">ciò che </w:t>
      </w:r>
      <w:r w:rsidR="00042540" w:rsidRPr="0094786E">
        <w:rPr>
          <w:rFonts w:ascii="Times New Roman" w:eastAsia="Times New Roman" w:hAnsi="Times New Roman" w:cs="Times New Roman"/>
          <w:color w:val="000000"/>
        </w:rPr>
        <w:t>legittima</w:t>
      </w:r>
      <w:r w:rsidR="0034529D" w:rsidRPr="0094786E">
        <w:rPr>
          <w:rFonts w:ascii="Times New Roman" w:eastAsia="Times New Roman" w:hAnsi="Times New Roman" w:cs="Times New Roman"/>
          <w:color w:val="000000"/>
        </w:rPr>
        <w:t xml:space="preserve"> </w:t>
      </w:r>
      <w:r w:rsidR="00042540" w:rsidRPr="0094786E">
        <w:rPr>
          <w:rFonts w:ascii="Times New Roman" w:eastAsia="Times New Roman" w:hAnsi="Times New Roman" w:cs="Times New Roman"/>
          <w:color w:val="000000"/>
        </w:rPr>
        <w:t>i</w:t>
      </w:r>
      <w:r w:rsidR="0034529D" w:rsidRPr="0094786E">
        <w:rPr>
          <w:rFonts w:ascii="Times New Roman" w:eastAsia="Times New Roman" w:hAnsi="Times New Roman" w:cs="Times New Roman"/>
          <w:color w:val="000000"/>
        </w:rPr>
        <w:t xml:space="preserve">l </w:t>
      </w:r>
      <w:r w:rsidR="00012615" w:rsidRPr="0094786E">
        <w:rPr>
          <w:rFonts w:ascii="Times New Roman" w:eastAsia="Times New Roman" w:hAnsi="Times New Roman" w:cs="Times New Roman"/>
          <w:color w:val="000000"/>
        </w:rPr>
        <w:t xml:space="preserve">recupero del pensiero di böhmiano in vista del </w:t>
      </w:r>
      <w:r w:rsidR="00EB5069" w:rsidRPr="0094786E">
        <w:rPr>
          <w:rFonts w:ascii="Times New Roman" w:eastAsia="Times New Roman" w:hAnsi="Times New Roman" w:cs="Times New Roman"/>
          <w:color w:val="000000"/>
        </w:rPr>
        <w:t xml:space="preserve">superamento dell’indeterminatezza spinoziana e delle </w:t>
      </w:r>
      <w:r w:rsidR="002807AA" w:rsidRPr="0094786E">
        <w:rPr>
          <w:rFonts w:ascii="Times New Roman" w:eastAsia="Times New Roman" w:hAnsi="Times New Roman" w:cs="Times New Roman"/>
          <w:color w:val="000000"/>
        </w:rPr>
        <w:t xml:space="preserve">irrosolte </w:t>
      </w:r>
      <w:r w:rsidR="00EB5069" w:rsidRPr="0094786E">
        <w:rPr>
          <w:rFonts w:ascii="Times New Roman" w:eastAsia="Times New Roman" w:hAnsi="Times New Roman" w:cs="Times New Roman"/>
          <w:color w:val="000000"/>
        </w:rPr>
        <w:t>dicotomie kantiane</w:t>
      </w:r>
      <w:r w:rsidR="0094786E" w:rsidRPr="0094786E">
        <w:rPr>
          <w:rFonts w:ascii="Times New Roman" w:eastAsia="Times New Roman" w:hAnsi="Times New Roman" w:cs="Times New Roman"/>
          <w:color w:val="000000"/>
        </w:rPr>
        <w:t xml:space="preserve">. </w:t>
      </w:r>
      <w:r w:rsidR="00840EA5" w:rsidRPr="009D28CE">
        <w:rPr>
          <w:rFonts w:ascii="Times New Roman" w:eastAsia="Times New Roman" w:hAnsi="Times New Roman" w:cs="Times New Roman"/>
          <w:color w:val="000000"/>
        </w:rPr>
        <w:t>Un</w:t>
      </w:r>
      <w:r w:rsidR="00BA026E" w:rsidRPr="009D28CE">
        <w:rPr>
          <w:rFonts w:ascii="Times New Roman" w:eastAsia="Times New Roman" w:hAnsi="Times New Roman" w:cs="Times New Roman"/>
          <w:color w:val="000000"/>
        </w:rPr>
        <w:t xml:space="preserve"> dato veramente sorprendente dell</w:t>
      </w:r>
      <w:r w:rsidR="00F6251B" w:rsidRPr="009D28CE">
        <w:rPr>
          <w:rFonts w:ascii="Times New Roman" w:eastAsia="Times New Roman" w:hAnsi="Times New Roman" w:cs="Times New Roman"/>
          <w:color w:val="000000"/>
        </w:rPr>
        <w:t xml:space="preserve">’interpretazione hegeliana è la valorizzazione di quegli </w:t>
      </w:r>
      <w:r w:rsidR="00F6251B" w:rsidRPr="00F677D6">
        <w:rPr>
          <w:rFonts w:ascii="Times New Roman" w:eastAsia="Times New Roman" w:hAnsi="Times New Roman" w:cs="Times New Roman"/>
          <w:color w:val="000000"/>
        </w:rPr>
        <w:t xml:space="preserve">elementi </w:t>
      </w:r>
      <w:r w:rsidR="00F677D6" w:rsidRPr="00F677D6">
        <w:rPr>
          <w:rFonts w:ascii="Times New Roman" w:eastAsia="Times New Roman" w:hAnsi="Times New Roman" w:cs="Times New Roman"/>
          <w:color w:val="000000"/>
        </w:rPr>
        <w:t xml:space="preserve">teorici che </w:t>
      </w:r>
      <w:r w:rsidR="00F677D6">
        <w:rPr>
          <w:rFonts w:ascii="Times New Roman" w:eastAsia="Times New Roman" w:hAnsi="Times New Roman" w:cs="Times New Roman"/>
          <w:color w:val="000000"/>
        </w:rPr>
        <w:t xml:space="preserve">approssimano </w:t>
      </w:r>
      <w:r w:rsidR="00154644" w:rsidRPr="00F677D6">
        <w:rPr>
          <w:rFonts w:ascii="Times New Roman" w:eastAsia="Times New Roman" w:hAnsi="Times New Roman" w:cs="Times New Roman"/>
          <w:color w:val="000000"/>
        </w:rPr>
        <w:t>Böhme</w:t>
      </w:r>
      <w:r w:rsidR="00154644" w:rsidRPr="009D28CE">
        <w:rPr>
          <w:rFonts w:ascii="Times New Roman" w:eastAsia="Times New Roman" w:hAnsi="Times New Roman" w:cs="Times New Roman"/>
          <w:color w:val="000000"/>
        </w:rPr>
        <w:t xml:space="preserve"> </w:t>
      </w:r>
      <w:r w:rsidR="00F677D6">
        <w:rPr>
          <w:rFonts w:ascii="Times New Roman" w:eastAsia="Times New Roman" w:hAnsi="Times New Roman" w:cs="Times New Roman"/>
          <w:color w:val="000000"/>
        </w:rPr>
        <w:t>alla Qabbalah</w:t>
      </w:r>
      <w:r w:rsidR="00F6251B" w:rsidRPr="009D28CE">
        <w:rPr>
          <w:rFonts w:ascii="Times New Roman" w:eastAsia="Times New Roman" w:hAnsi="Times New Roman" w:cs="Times New Roman"/>
          <w:color w:val="000000"/>
        </w:rPr>
        <w:t xml:space="preserve">. </w:t>
      </w:r>
      <w:r w:rsidR="00A45125">
        <w:rPr>
          <w:rFonts w:ascii="Times New Roman" w:eastAsia="Times New Roman" w:hAnsi="Times New Roman" w:cs="Times New Roman"/>
          <w:color w:val="000000"/>
        </w:rPr>
        <w:t>Sono</w:t>
      </w:r>
      <w:r w:rsidR="00EC28AE" w:rsidRPr="009B0A00">
        <w:rPr>
          <w:rFonts w:ascii="Times New Roman" w:eastAsia="Times New Roman" w:hAnsi="Times New Roman" w:cs="Times New Roman"/>
          <w:color w:val="000000"/>
        </w:rPr>
        <w:t xml:space="preserve"> </w:t>
      </w:r>
      <w:r w:rsidR="0080416D">
        <w:rPr>
          <w:rFonts w:ascii="Times New Roman" w:eastAsia="Times New Roman" w:hAnsi="Times New Roman" w:cs="Times New Roman"/>
          <w:color w:val="000000"/>
        </w:rPr>
        <w:t>queste tematiche</w:t>
      </w:r>
      <w:r w:rsidR="00A45125">
        <w:rPr>
          <w:rFonts w:ascii="Times New Roman" w:eastAsia="Times New Roman" w:hAnsi="Times New Roman" w:cs="Times New Roman"/>
          <w:color w:val="000000"/>
        </w:rPr>
        <w:t xml:space="preserve"> </w:t>
      </w:r>
      <w:r w:rsidR="00EC28AE" w:rsidRPr="00E31B80">
        <w:rPr>
          <w:rFonts w:ascii="Times New Roman" w:eastAsia="Times New Roman" w:hAnsi="Times New Roman" w:cs="Times New Roman"/>
          <w:color w:val="000000"/>
        </w:rPr>
        <w:t xml:space="preserve">d’ispirazione </w:t>
      </w:r>
      <w:r w:rsidR="00F6251B" w:rsidRPr="00E31B80">
        <w:rPr>
          <w:rFonts w:ascii="Times New Roman" w:eastAsia="Times New Roman" w:hAnsi="Times New Roman" w:cs="Times New Roman"/>
          <w:color w:val="000000"/>
        </w:rPr>
        <w:t>cabbalistica</w:t>
      </w:r>
      <w:r w:rsidR="00180181" w:rsidRPr="00E31B80">
        <w:rPr>
          <w:rFonts w:ascii="Times New Roman" w:eastAsia="Times New Roman" w:hAnsi="Times New Roman" w:cs="Times New Roman"/>
          <w:color w:val="000000"/>
        </w:rPr>
        <w:t xml:space="preserve"> </w:t>
      </w:r>
      <w:r w:rsidR="00A45125" w:rsidRPr="00E31B80">
        <w:rPr>
          <w:rFonts w:ascii="Times New Roman" w:eastAsia="Times New Roman" w:hAnsi="Times New Roman" w:cs="Times New Roman"/>
          <w:color w:val="000000"/>
        </w:rPr>
        <w:t>che consentono</w:t>
      </w:r>
      <w:r w:rsidR="00180181" w:rsidRPr="00E31B80">
        <w:rPr>
          <w:rFonts w:ascii="Times New Roman" w:eastAsia="Times New Roman" w:hAnsi="Times New Roman" w:cs="Times New Roman"/>
          <w:color w:val="000000"/>
        </w:rPr>
        <w:t xml:space="preserve"> ad Hegel d’individuare, nell’opera </w:t>
      </w:r>
      <w:r w:rsidR="009033A0" w:rsidRPr="00E31B80">
        <w:rPr>
          <w:rFonts w:ascii="Times New Roman" w:eastAsia="Times New Roman" w:hAnsi="Times New Roman" w:cs="Times New Roman"/>
          <w:color w:val="000000"/>
        </w:rPr>
        <w:t>del ciabattino di G</w:t>
      </w:r>
      <w:r w:rsidR="00180181" w:rsidRPr="00E31B80">
        <w:rPr>
          <w:rFonts w:ascii="Times New Roman" w:eastAsia="Times New Roman" w:hAnsi="Times New Roman" w:cs="Times New Roman"/>
          <w:color w:val="000000"/>
        </w:rPr>
        <w:t>ö</w:t>
      </w:r>
      <w:r w:rsidR="009033A0" w:rsidRPr="00E31B80">
        <w:rPr>
          <w:rFonts w:ascii="Times New Roman" w:eastAsia="Times New Roman" w:hAnsi="Times New Roman" w:cs="Times New Roman"/>
          <w:color w:val="000000"/>
        </w:rPr>
        <w:t>rlitz</w:t>
      </w:r>
      <w:r w:rsidR="00180181" w:rsidRPr="00E31B80">
        <w:rPr>
          <w:rFonts w:ascii="Times New Roman" w:eastAsia="Times New Roman" w:hAnsi="Times New Roman" w:cs="Times New Roman"/>
          <w:color w:val="000000"/>
        </w:rPr>
        <w:t xml:space="preserve">, quelle strutture di pensiero che </w:t>
      </w:r>
      <w:r w:rsidR="00012CE8" w:rsidRPr="00E31B80">
        <w:rPr>
          <w:rFonts w:ascii="Times New Roman" w:eastAsia="Times New Roman" w:hAnsi="Times New Roman" w:cs="Times New Roman"/>
          <w:color w:val="000000"/>
        </w:rPr>
        <w:t>prefigurano</w:t>
      </w:r>
      <w:r w:rsidR="00A45125" w:rsidRPr="00E31B80">
        <w:rPr>
          <w:rFonts w:ascii="Times New Roman" w:eastAsia="Times New Roman" w:hAnsi="Times New Roman" w:cs="Times New Roman"/>
          <w:color w:val="000000"/>
        </w:rPr>
        <w:t xml:space="preserve"> </w:t>
      </w:r>
      <w:r w:rsidR="00012CE8" w:rsidRPr="00E31B80">
        <w:rPr>
          <w:rFonts w:ascii="Times New Roman" w:eastAsia="Times New Roman" w:hAnsi="Times New Roman" w:cs="Times New Roman"/>
          <w:color w:val="000000"/>
        </w:rPr>
        <w:t>una teoria soggettivistica dell’Assoluto</w:t>
      </w:r>
      <w:r w:rsidR="00180181" w:rsidRPr="00E31B80">
        <w:rPr>
          <w:rFonts w:ascii="Times New Roman" w:eastAsia="Times New Roman" w:hAnsi="Times New Roman" w:cs="Times New Roman"/>
          <w:color w:val="000000"/>
        </w:rPr>
        <w:t>.</w:t>
      </w:r>
      <w:r w:rsidR="001E433E" w:rsidRPr="00E367AD">
        <w:rPr>
          <w:rFonts w:ascii="Times New Roman" w:eastAsia="Times New Roman" w:hAnsi="Times New Roman" w:cs="Times New Roman"/>
          <w:color w:val="000000"/>
        </w:rPr>
        <w:t xml:space="preserve"> </w:t>
      </w:r>
      <w:r w:rsidR="001B3014" w:rsidRPr="00E367AD">
        <w:rPr>
          <w:rFonts w:ascii="Times New Roman" w:eastAsia="Times New Roman" w:hAnsi="Times New Roman" w:cs="Times New Roman"/>
          <w:color w:val="000000"/>
        </w:rPr>
        <w:t xml:space="preserve">Sul fatto che Hegel </w:t>
      </w:r>
      <w:r w:rsidR="001E433E" w:rsidRPr="00E367AD">
        <w:rPr>
          <w:rFonts w:ascii="Times New Roman" w:eastAsia="Times New Roman" w:hAnsi="Times New Roman" w:cs="Times New Roman"/>
          <w:color w:val="000000"/>
        </w:rPr>
        <w:t xml:space="preserve">non potesse attingere direttamente dalla letteratura cabbalistica e </w:t>
      </w:r>
      <w:r w:rsidR="00F677D6" w:rsidRPr="00E367AD">
        <w:rPr>
          <w:rFonts w:ascii="Times New Roman" w:eastAsia="Times New Roman" w:hAnsi="Times New Roman" w:cs="Times New Roman"/>
          <w:color w:val="000000"/>
        </w:rPr>
        <w:t xml:space="preserve">ignorasse </w:t>
      </w:r>
      <w:r w:rsidR="001B3014" w:rsidRPr="00E367AD">
        <w:rPr>
          <w:rFonts w:ascii="Times New Roman" w:eastAsia="Times New Roman" w:hAnsi="Times New Roman" w:cs="Times New Roman"/>
          <w:color w:val="000000"/>
        </w:rPr>
        <w:t>l</w:t>
      </w:r>
      <w:r w:rsidR="00D00B05" w:rsidRPr="00E367AD">
        <w:rPr>
          <w:rFonts w:ascii="Times New Roman" w:eastAsia="Times New Roman" w:hAnsi="Times New Roman" w:cs="Times New Roman"/>
          <w:color w:val="000000"/>
        </w:rPr>
        <w:t>e potenzialità speculative</w:t>
      </w:r>
      <w:r w:rsidR="00BC01D6" w:rsidRPr="00E367AD">
        <w:rPr>
          <w:rFonts w:ascii="Times New Roman" w:eastAsia="Times New Roman" w:hAnsi="Times New Roman" w:cs="Times New Roman"/>
          <w:color w:val="000000"/>
        </w:rPr>
        <w:t xml:space="preserve"> </w:t>
      </w:r>
      <w:r w:rsidR="001E433E" w:rsidRPr="00E367AD">
        <w:rPr>
          <w:rFonts w:ascii="Times New Roman" w:eastAsia="Times New Roman" w:hAnsi="Times New Roman" w:cs="Times New Roman"/>
          <w:color w:val="000000"/>
        </w:rPr>
        <w:t>del misticismo ebraico</w:t>
      </w:r>
      <w:r w:rsidR="00B66506" w:rsidRPr="00E367AD">
        <w:rPr>
          <w:rFonts w:ascii="Times New Roman" w:eastAsia="Times New Roman" w:hAnsi="Times New Roman" w:cs="Times New Roman"/>
          <w:color w:val="000000"/>
        </w:rPr>
        <w:t>, tornerò nel terzo</w:t>
      </w:r>
      <w:r w:rsidR="001B3014" w:rsidRPr="00E367AD">
        <w:rPr>
          <w:rFonts w:ascii="Times New Roman" w:eastAsia="Times New Roman" w:hAnsi="Times New Roman" w:cs="Times New Roman"/>
          <w:color w:val="000000"/>
        </w:rPr>
        <w:t xml:space="preserve"> capitolo</w:t>
      </w:r>
      <w:r w:rsidR="00BC01D6" w:rsidRPr="00E367AD">
        <w:rPr>
          <w:rStyle w:val="Rimandonotaapidipagina"/>
          <w:rFonts w:ascii="Times New Roman" w:eastAsia="Times New Roman" w:hAnsi="Times New Roman" w:cs="Times New Roman"/>
          <w:color w:val="000000"/>
        </w:rPr>
        <w:footnoteReference w:id="244"/>
      </w:r>
      <w:r w:rsidR="001B3014" w:rsidRPr="00E367AD">
        <w:rPr>
          <w:rFonts w:ascii="Times New Roman" w:eastAsia="Times New Roman" w:hAnsi="Times New Roman" w:cs="Times New Roman"/>
          <w:color w:val="000000"/>
        </w:rPr>
        <w:t>.</w:t>
      </w:r>
      <w:r w:rsidR="001B3014" w:rsidRPr="009D28CE">
        <w:rPr>
          <w:rFonts w:ascii="Times New Roman" w:eastAsia="Times New Roman" w:hAnsi="Times New Roman" w:cs="Times New Roman"/>
          <w:color w:val="000000"/>
        </w:rPr>
        <w:t xml:space="preserve"> </w:t>
      </w:r>
      <w:r w:rsidR="00A45125">
        <w:rPr>
          <w:rFonts w:ascii="Times New Roman" w:eastAsia="Times New Roman" w:hAnsi="Times New Roman" w:cs="Times New Roman"/>
          <w:color w:val="000000"/>
        </w:rPr>
        <w:t>Con un’anticipazione</w:t>
      </w:r>
      <w:r w:rsidR="005B04DA">
        <w:rPr>
          <w:rFonts w:ascii="Times New Roman" w:eastAsia="Times New Roman" w:hAnsi="Times New Roman" w:cs="Times New Roman"/>
          <w:color w:val="000000"/>
        </w:rPr>
        <w:t>,</w:t>
      </w:r>
      <w:r w:rsidR="00EE40E6" w:rsidRPr="009D28CE">
        <w:rPr>
          <w:rFonts w:ascii="Times New Roman" w:eastAsia="Times New Roman" w:hAnsi="Times New Roman" w:cs="Times New Roman"/>
          <w:color w:val="000000"/>
        </w:rPr>
        <w:t xml:space="preserve"> si può dire che Hegel non </w:t>
      </w:r>
      <w:r w:rsidR="00EC28AE">
        <w:rPr>
          <w:rFonts w:ascii="Times New Roman" w:eastAsia="Times New Roman" w:hAnsi="Times New Roman" w:cs="Times New Roman"/>
          <w:color w:val="000000"/>
        </w:rPr>
        <w:t xml:space="preserve">ha </w:t>
      </w:r>
      <w:r w:rsidR="00F677D6">
        <w:rPr>
          <w:rFonts w:ascii="Times New Roman" w:eastAsia="Times New Roman" w:hAnsi="Times New Roman" w:cs="Times New Roman"/>
          <w:color w:val="000000"/>
        </w:rPr>
        <w:t xml:space="preserve">mai </w:t>
      </w:r>
      <w:r w:rsidR="00EC28AE">
        <w:rPr>
          <w:rFonts w:ascii="Times New Roman" w:eastAsia="Times New Roman" w:hAnsi="Times New Roman" w:cs="Times New Roman"/>
          <w:color w:val="000000"/>
        </w:rPr>
        <w:t xml:space="preserve">sviluppato </w:t>
      </w:r>
      <w:r w:rsidR="00F677D6">
        <w:rPr>
          <w:rFonts w:ascii="Times New Roman" w:eastAsia="Times New Roman" w:hAnsi="Times New Roman" w:cs="Times New Roman"/>
          <w:color w:val="000000"/>
        </w:rPr>
        <w:t>un vero interesse per il misticismo ebraico</w:t>
      </w:r>
      <w:r w:rsidR="00EE40E6" w:rsidRPr="009D28CE">
        <w:rPr>
          <w:rFonts w:ascii="Times New Roman" w:eastAsia="Times New Roman" w:hAnsi="Times New Roman" w:cs="Times New Roman"/>
          <w:color w:val="000000"/>
        </w:rPr>
        <w:t xml:space="preserve">, </w:t>
      </w:r>
      <w:r w:rsidR="00EE40E6" w:rsidRPr="007249B7">
        <w:rPr>
          <w:rFonts w:ascii="Times New Roman" w:eastAsia="Times New Roman" w:hAnsi="Times New Roman" w:cs="Times New Roman"/>
          <w:color w:val="000000"/>
        </w:rPr>
        <w:t xml:space="preserve">perché nella Germania del XVIII e XIX secolo </w:t>
      </w:r>
      <w:r w:rsidR="00462824" w:rsidRPr="007249B7">
        <w:rPr>
          <w:rFonts w:ascii="Times New Roman" w:eastAsia="Times New Roman" w:hAnsi="Times New Roman" w:cs="Times New Roman"/>
          <w:color w:val="000000"/>
        </w:rPr>
        <w:t xml:space="preserve">era diffusa </w:t>
      </w:r>
      <w:r w:rsidR="00D00B05">
        <w:rPr>
          <w:rFonts w:ascii="Times New Roman" w:eastAsia="Times New Roman" w:hAnsi="Times New Roman" w:cs="Times New Roman"/>
          <w:color w:val="000000"/>
        </w:rPr>
        <w:t xml:space="preserve">e dominante </w:t>
      </w:r>
      <w:r w:rsidR="00D72B66" w:rsidRPr="007249B7">
        <w:rPr>
          <w:rFonts w:ascii="Times New Roman" w:eastAsia="Times New Roman" w:hAnsi="Times New Roman" w:cs="Times New Roman"/>
          <w:color w:val="000000"/>
        </w:rPr>
        <w:t xml:space="preserve">un’interpretazione </w:t>
      </w:r>
      <w:r w:rsidR="00D72B66" w:rsidRPr="00D00B05">
        <w:rPr>
          <w:rFonts w:ascii="Times New Roman" w:eastAsia="Times New Roman" w:hAnsi="Times New Roman" w:cs="Times New Roman"/>
          <w:i/>
          <w:color w:val="000000"/>
        </w:rPr>
        <w:t>orientaleggiante</w:t>
      </w:r>
      <w:r w:rsidR="00D72B66" w:rsidRPr="007249B7">
        <w:rPr>
          <w:rFonts w:ascii="Times New Roman" w:eastAsia="Times New Roman" w:hAnsi="Times New Roman" w:cs="Times New Roman"/>
          <w:color w:val="000000"/>
        </w:rPr>
        <w:t xml:space="preserve"> e </w:t>
      </w:r>
      <w:r w:rsidR="00D72B66" w:rsidRPr="00966433">
        <w:rPr>
          <w:rFonts w:ascii="Times New Roman" w:eastAsia="Times New Roman" w:hAnsi="Times New Roman" w:cs="Times New Roman"/>
          <w:i/>
          <w:color w:val="000000"/>
        </w:rPr>
        <w:t>neoplatonizzante</w:t>
      </w:r>
      <w:r w:rsidR="009D28CE" w:rsidRPr="00966433">
        <w:rPr>
          <w:rFonts w:ascii="Times New Roman" w:eastAsia="Times New Roman" w:hAnsi="Times New Roman" w:cs="Times New Roman"/>
          <w:color w:val="000000"/>
        </w:rPr>
        <w:t xml:space="preserve"> </w:t>
      </w:r>
      <w:r w:rsidR="00462824" w:rsidRPr="00966433">
        <w:rPr>
          <w:rFonts w:ascii="Times New Roman" w:eastAsia="Times New Roman" w:hAnsi="Times New Roman" w:cs="Times New Roman"/>
          <w:color w:val="000000"/>
        </w:rPr>
        <w:t>della Qabbalah</w:t>
      </w:r>
      <w:r w:rsidR="00A45125">
        <w:rPr>
          <w:rFonts w:ascii="Times New Roman" w:eastAsia="Times New Roman" w:hAnsi="Times New Roman" w:cs="Times New Roman"/>
          <w:color w:val="000000"/>
        </w:rPr>
        <w:t xml:space="preserve"> ebraica</w:t>
      </w:r>
      <w:r w:rsidR="00EE40E6" w:rsidRPr="00966433">
        <w:rPr>
          <w:rFonts w:ascii="Times New Roman" w:eastAsia="Times New Roman" w:hAnsi="Times New Roman" w:cs="Times New Roman"/>
          <w:color w:val="000000"/>
        </w:rPr>
        <w:t xml:space="preserve">. </w:t>
      </w:r>
      <w:r w:rsidR="0094786E" w:rsidRPr="00E31B80">
        <w:rPr>
          <w:rFonts w:ascii="Times New Roman" w:eastAsia="Times New Roman" w:hAnsi="Times New Roman" w:cs="Times New Roman"/>
          <w:color w:val="000000"/>
        </w:rPr>
        <w:t>L’analisi delle</w:t>
      </w:r>
      <w:r w:rsidR="00D00B05" w:rsidRPr="00E31B80">
        <w:rPr>
          <w:rFonts w:ascii="Times New Roman" w:eastAsia="Times New Roman" w:hAnsi="Times New Roman" w:cs="Times New Roman"/>
          <w:color w:val="000000"/>
        </w:rPr>
        <w:t xml:space="preserve"> </w:t>
      </w:r>
      <w:r w:rsidR="00D00B05" w:rsidRPr="00E31B80">
        <w:rPr>
          <w:rFonts w:ascii="Times New Roman" w:eastAsia="Times New Roman" w:hAnsi="Times New Roman" w:cs="Times New Roman"/>
          <w:i/>
          <w:color w:val="000000"/>
        </w:rPr>
        <w:t>Vorlesungen über die Geschichte der Philosophie</w:t>
      </w:r>
      <w:r w:rsidR="0094786E" w:rsidRPr="00E31B80">
        <w:rPr>
          <w:rFonts w:ascii="Times New Roman" w:eastAsia="Times New Roman" w:hAnsi="Times New Roman" w:cs="Times New Roman"/>
          <w:color w:val="000000"/>
        </w:rPr>
        <w:t xml:space="preserve"> darà piena </w:t>
      </w:r>
      <w:r w:rsidR="009033A0" w:rsidRPr="00E31B80">
        <w:rPr>
          <w:rFonts w:ascii="Times New Roman" w:eastAsia="Times New Roman" w:hAnsi="Times New Roman" w:cs="Times New Roman"/>
          <w:color w:val="000000"/>
        </w:rPr>
        <w:t>testimonia</w:t>
      </w:r>
      <w:r w:rsidR="0094786E" w:rsidRPr="00E31B80">
        <w:rPr>
          <w:rFonts w:ascii="Times New Roman" w:eastAsia="Times New Roman" w:hAnsi="Times New Roman" w:cs="Times New Roman"/>
          <w:color w:val="000000"/>
        </w:rPr>
        <w:t>nza di ciò</w:t>
      </w:r>
      <w:r w:rsidR="00BC01D6" w:rsidRPr="00E31B80">
        <w:rPr>
          <w:rFonts w:ascii="Times New Roman" w:eastAsia="Times New Roman" w:hAnsi="Times New Roman" w:cs="Times New Roman"/>
          <w:color w:val="000000"/>
        </w:rPr>
        <w:t>:</w:t>
      </w:r>
      <w:r w:rsidR="0014656C" w:rsidRPr="00E31B80">
        <w:rPr>
          <w:rFonts w:ascii="Times New Roman" w:eastAsia="Times New Roman" w:hAnsi="Times New Roman" w:cs="Times New Roman"/>
          <w:color w:val="000000"/>
        </w:rPr>
        <w:t xml:space="preserve"> la</w:t>
      </w:r>
      <w:r w:rsidR="00BC01D6" w:rsidRPr="00E31B80">
        <w:rPr>
          <w:rFonts w:ascii="Times New Roman" w:eastAsia="Times New Roman" w:hAnsi="Times New Roman" w:cs="Times New Roman"/>
          <w:color w:val="000000"/>
        </w:rPr>
        <w:t xml:space="preserve"> sez</w:t>
      </w:r>
      <w:r w:rsidR="0014656C" w:rsidRPr="00E31B80">
        <w:rPr>
          <w:rFonts w:ascii="Times New Roman" w:eastAsia="Times New Roman" w:hAnsi="Times New Roman" w:cs="Times New Roman"/>
          <w:color w:val="000000"/>
        </w:rPr>
        <w:t>ione dedicata</w:t>
      </w:r>
      <w:r w:rsidR="00D72B66" w:rsidRPr="00E31B80">
        <w:rPr>
          <w:rFonts w:ascii="Times New Roman" w:eastAsia="Times New Roman" w:hAnsi="Times New Roman" w:cs="Times New Roman"/>
          <w:color w:val="000000"/>
        </w:rPr>
        <w:t xml:space="preserve"> alla </w:t>
      </w:r>
      <w:r w:rsidR="0014656C" w:rsidRPr="00E31B80">
        <w:rPr>
          <w:rFonts w:ascii="Times New Roman" w:eastAsia="Times New Roman" w:hAnsi="Times New Roman" w:cs="Times New Roman"/>
          <w:i/>
          <w:color w:val="000000"/>
        </w:rPr>
        <w:t xml:space="preserve">kabbalistische Philosophie </w:t>
      </w:r>
      <w:r w:rsidR="0014656C" w:rsidRPr="00E31B80">
        <w:rPr>
          <w:rFonts w:ascii="Times New Roman" w:eastAsia="Times New Roman" w:hAnsi="Times New Roman" w:cs="Times New Roman"/>
          <w:color w:val="000000"/>
        </w:rPr>
        <w:t>si riduce</w:t>
      </w:r>
      <w:r w:rsidR="00D72B66" w:rsidRPr="00E31B80">
        <w:rPr>
          <w:rFonts w:ascii="Times New Roman" w:eastAsia="Times New Roman" w:hAnsi="Times New Roman" w:cs="Times New Roman"/>
          <w:color w:val="000000"/>
        </w:rPr>
        <w:t xml:space="preserve"> ad</w:t>
      </w:r>
      <w:r w:rsidR="00BC01D6" w:rsidRPr="00E31B80">
        <w:rPr>
          <w:rFonts w:ascii="Times New Roman" w:eastAsia="Times New Roman" w:hAnsi="Times New Roman" w:cs="Times New Roman"/>
          <w:color w:val="000000"/>
        </w:rPr>
        <w:t xml:space="preserve"> una raccolta d’informazioni</w:t>
      </w:r>
      <w:r w:rsidR="00962030" w:rsidRPr="00E31B80">
        <w:rPr>
          <w:rFonts w:ascii="Times New Roman" w:eastAsia="Times New Roman" w:hAnsi="Times New Roman" w:cs="Times New Roman"/>
          <w:color w:val="000000"/>
        </w:rPr>
        <w:t>,</w:t>
      </w:r>
      <w:r w:rsidR="00BC01D6" w:rsidRPr="00E31B80">
        <w:rPr>
          <w:rFonts w:ascii="Times New Roman" w:eastAsia="Times New Roman" w:hAnsi="Times New Roman" w:cs="Times New Roman"/>
          <w:color w:val="000000"/>
        </w:rPr>
        <w:t xml:space="preserve"> </w:t>
      </w:r>
      <w:r w:rsidR="002A3555" w:rsidRPr="00E31B80">
        <w:rPr>
          <w:rFonts w:ascii="Times New Roman" w:eastAsia="Times New Roman" w:hAnsi="Times New Roman" w:cs="Times New Roman"/>
          <w:color w:val="000000"/>
        </w:rPr>
        <w:t>tratte</w:t>
      </w:r>
      <w:r w:rsidR="00B86FCC">
        <w:rPr>
          <w:rFonts w:ascii="Times New Roman" w:eastAsia="Times New Roman" w:hAnsi="Times New Roman" w:cs="Times New Roman"/>
          <w:color w:val="000000"/>
        </w:rPr>
        <w:t xml:space="preserve"> </w:t>
      </w:r>
      <w:r w:rsidR="00C12681" w:rsidRPr="00FC277B">
        <w:rPr>
          <w:rFonts w:ascii="Times New Roman" w:eastAsia="Times New Roman" w:hAnsi="Times New Roman" w:cs="Times New Roman"/>
          <w:color w:val="000000"/>
        </w:rPr>
        <w:t>p</w:t>
      </w:r>
      <w:r w:rsidR="00C12681" w:rsidRPr="009D28CE">
        <w:rPr>
          <w:rFonts w:ascii="Times New Roman" w:eastAsia="Times New Roman" w:hAnsi="Times New Roman" w:cs="Times New Roman"/>
          <w:color w:val="000000"/>
        </w:rPr>
        <w:t xml:space="preserve">erlopiù </w:t>
      </w:r>
      <w:r w:rsidR="00BC01D6" w:rsidRPr="009D28CE">
        <w:rPr>
          <w:rFonts w:ascii="Times New Roman" w:eastAsia="Times New Roman" w:hAnsi="Times New Roman" w:cs="Times New Roman"/>
          <w:color w:val="000000"/>
        </w:rPr>
        <w:t>da</w:t>
      </w:r>
      <w:r w:rsidR="001C7D47">
        <w:rPr>
          <w:rFonts w:ascii="Times New Roman" w:eastAsia="Times New Roman" w:hAnsi="Times New Roman" w:cs="Times New Roman"/>
          <w:color w:val="000000"/>
        </w:rPr>
        <w:t>lla manualistica tedesca tardo s</w:t>
      </w:r>
      <w:r w:rsidR="0094786E">
        <w:rPr>
          <w:rFonts w:ascii="Times New Roman" w:eastAsia="Times New Roman" w:hAnsi="Times New Roman" w:cs="Times New Roman"/>
          <w:color w:val="000000"/>
        </w:rPr>
        <w:t>ettecentesca</w:t>
      </w:r>
      <w:r w:rsidR="00BC01D6" w:rsidRPr="009D28CE">
        <w:rPr>
          <w:rFonts w:ascii="Times New Roman" w:eastAsia="Times New Roman" w:hAnsi="Times New Roman" w:cs="Times New Roman"/>
          <w:color w:val="000000"/>
        </w:rPr>
        <w:t xml:space="preserve"> </w:t>
      </w:r>
      <w:r w:rsidR="00EC28AE">
        <w:rPr>
          <w:rFonts w:ascii="Times New Roman" w:eastAsia="Times New Roman" w:hAnsi="Times New Roman" w:cs="Times New Roman"/>
          <w:color w:val="000000"/>
        </w:rPr>
        <w:t>(</w:t>
      </w:r>
      <w:r w:rsidR="00C12681" w:rsidRPr="009D28CE">
        <w:rPr>
          <w:rFonts w:ascii="Times New Roman" w:eastAsia="Times New Roman" w:hAnsi="Times New Roman" w:cs="Times New Roman"/>
          <w:color w:val="000000"/>
        </w:rPr>
        <w:t xml:space="preserve">il </w:t>
      </w:r>
      <w:r w:rsidR="00C12681" w:rsidRPr="009D28CE">
        <w:rPr>
          <w:rFonts w:ascii="Times New Roman" w:eastAsia="Times New Roman" w:hAnsi="Times New Roman" w:cs="Times New Roman"/>
          <w:i/>
          <w:color w:val="000000"/>
        </w:rPr>
        <w:t>Geist der spekulativen Philosophie</w:t>
      </w:r>
      <w:r w:rsidR="00C12681" w:rsidRPr="009D28CE">
        <w:rPr>
          <w:rFonts w:ascii="Times New Roman" w:eastAsia="Times New Roman" w:hAnsi="Times New Roman" w:cs="Times New Roman"/>
          <w:color w:val="000000"/>
        </w:rPr>
        <w:t xml:space="preserve"> </w:t>
      </w:r>
      <w:r w:rsidR="00CA756C">
        <w:rPr>
          <w:rFonts w:ascii="Times New Roman" w:eastAsia="Times New Roman" w:hAnsi="Times New Roman" w:cs="Times New Roman"/>
          <w:color w:val="000000"/>
        </w:rPr>
        <w:t>Tiedemann e</w:t>
      </w:r>
      <w:r w:rsidR="007F6326" w:rsidRPr="009D28CE">
        <w:rPr>
          <w:rFonts w:ascii="Times New Roman" w:eastAsia="Times New Roman" w:hAnsi="Times New Roman" w:cs="Times New Roman"/>
          <w:color w:val="000000"/>
        </w:rPr>
        <w:t xml:space="preserve"> </w:t>
      </w:r>
      <w:r w:rsidR="00C12681" w:rsidRPr="009D28CE">
        <w:rPr>
          <w:rFonts w:ascii="Times New Roman" w:eastAsia="Times New Roman" w:hAnsi="Times New Roman" w:cs="Times New Roman"/>
          <w:color w:val="000000"/>
        </w:rPr>
        <w:t xml:space="preserve">il </w:t>
      </w:r>
      <w:r w:rsidR="00C12681" w:rsidRPr="009D28CE">
        <w:rPr>
          <w:rFonts w:ascii="Times New Roman" w:eastAsia="Times New Roman" w:hAnsi="Times New Roman" w:cs="Times New Roman"/>
          <w:i/>
          <w:color w:val="000000"/>
        </w:rPr>
        <w:t xml:space="preserve">Lehrbuch der Geschichte der Philosophie </w:t>
      </w:r>
      <w:r w:rsidR="00C12681" w:rsidRPr="009D28CE">
        <w:rPr>
          <w:rFonts w:ascii="Times New Roman" w:eastAsia="Times New Roman" w:hAnsi="Times New Roman" w:cs="Times New Roman"/>
          <w:color w:val="000000"/>
        </w:rPr>
        <w:t>Buhle</w:t>
      </w:r>
      <w:r w:rsidR="00EC28AE">
        <w:rPr>
          <w:rFonts w:ascii="Times New Roman" w:eastAsia="Times New Roman" w:hAnsi="Times New Roman" w:cs="Times New Roman"/>
          <w:color w:val="000000"/>
        </w:rPr>
        <w:t>)</w:t>
      </w:r>
      <w:r w:rsidR="00C12681" w:rsidRPr="009D28CE">
        <w:rPr>
          <w:rFonts w:ascii="Times New Roman" w:eastAsia="Times New Roman" w:hAnsi="Times New Roman" w:cs="Times New Roman"/>
          <w:color w:val="000000"/>
        </w:rPr>
        <w:t>,</w:t>
      </w:r>
      <w:r w:rsidR="008C55DD">
        <w:rPr>
          <w:rFonts w:ascii="Times New Roman" w:eastAsia="Times New Roman" w:hAnsi="Times New Roman" w:cs="Times New Roman"/>
          <w:color w:val="000000"/>
        </w:rPr>
        <w:t xml:space="preserve"> che </w:t>
      </w:r>
      <w:r w:rsidR="008914D0">
        <w:rPr>
          <w:rFonts w:ascii="Times New Roman" w:eastAsia="Times New Roman" w:hAnsi="Times New Roman" w:cs="Times New Roman"/>
          <w:color w:val="000000"/>
        </w:rPr>
        <w:t>appiattiscono</w:t>
      </w:r>
      <w:r w:rsidR="00B22282" w:rsidRPr="009D28CE">
        <w:rPr>
          <w:rFonts w:ascii="Times New Roman" w:eastAsia="Times New Roman" w:hAnsi="Times New Roman" w:cs="Times New Roman"/>
          <w:color w:val="000000"/>
        </w:rPr>
        <w:t xml:space="preserve"> </w:t>
      </w:r>
      <w:r w:rsidR="00D72B66">
        <w:rPr>
          <w:rFonts w:ascii="Times New Roman" w:eastAsia="Times New Roman" w:hAnsi="Times New Roman" w:cs="Times New Roman"/>
          <w:color w:val="000000"/>
        </w:rPr>
        <w:t>la tradizione ebraica sulla filosofia alessandrina</w:t>
      </w:r>
      <w:r w:rsidR="00BC01D6" w:rsidRPr="009D28CE">
        <w:rPr>
          <w:rFonts w:ascii="Times New Roman" w:eastAsia="Times New Roman" w:hAnsi="Times New Roman" w:cs="Times New Roman"/>
          <w:color w:val="000000"/>
        </w:rPr>
        <w:t xml:space="preserve">. Se </w:t>
      </w:r>
      <w:r w:rsidR="00EC28AE">
        <w:rPr>
          <w:rFonts w:ascii="Times New Roman" w:eastAsia="Times New Roman" w:hAnsi="Times New Roman" w:cs="Times New Roman"/>
          <w:color w:val="000000"/>
        </w:rPr>
        <w:t xml:space="preserve">è legittimo </w:t>
      </w:r>
      <w:r w:rsidR="002A7F93" w:rsidRPr="009D28CE">
        <w:rPr>
          <w:rFonts w:ascii="Times New Roman" w:eastAsia="Times New Roman" w:hAnsi="Times New Roman" w:cs="Times New Roman"/>
          <w:color w:val="000000"/>
        </w:rPr>
        <w:t>parlare di una matrice</w:t>
      </w:r>
      <w:r w:rsidR="00C12681" w:rsidRPr="009D28CE">
        <w:rPr>
          <w:rFonts w:ascii="Times New Roman" w:eastAsia="Times New Roman" w:hAnsi="Times New Roman" w:cs="Times New Roman"/>
          <w:color w:val="000000"/>
        </w:rPr>
        <w:t xml:space="preserve"> cabbalistica attiva nel</w:t>
      </w:r>
      <w:r w:rsidR="00DA6507" w:rsidRPr="009D28CE">
        <w:rPr>
          <w:rFonts w:ascii="Times New Roman" w:eastAsia="Times New Roman" w:hAnsi="Times New Roman" w:cs="Times New Roman"/>
          <w:color w:val="000000"/>
        </w:rPr>
        <w:t xml:space="preserve"> pensiero di Hegel</w:t>
      </w:r>
      <w:r w:rsidR="00C12681" w:rsidRPr="009D28CE">
        <w:rPr>
          <w:rFonts w:ascii="Times New Roman" w:eastAsia="Times New Roman" w:hAnsi="Times New Roman" w:cs="Times New Roman"/>
          <w:color w:val="000000"/>
        </w:rPr>
        <w:t xml:space="preserve">, ciò </w:t>
      </w:r>
      <w:r w:rsidR="00C12681" w:rsidRPr="00E367AD">
        <w:rPr>
          <w:rFonts w:ascii="Times New Roman" w:eastAsia="Times New Roman" w:hAnsi="Times New Roman" w:cs="Times New Roman"/>
          <w:color w:val="000000"/>
        </w:rPr>
        <w:t>può essere fatto tenendo presente il contesto storico</w:t>
      </w:r>
      <w:r w:rsidR="00565E78" w:rsidRPr="00E367AD">
        <w:rPr>
          <w:rFonts w:ascii="Times New Roman" w:eastAsia="Times New Roman" w:hAnsi="Times New Roman" w:cs="Times New Roman"/>
          <w:color w:val="000000"/>
        </w:rPr>
        <w:t xml:space="preserve"> in cui </w:t>
      </w:r>
      <w:r w:rsidR="00D72B66" w:rsidRPr="00E367AD">
        <w:rPr>
          <w:rFonts w:ascii="Times New Roman" w:eastAsia="Times New Roman" w:hAnsi="Times New Roman" w:cs="Times New Roman"/>
          <w:color w:val="000000"/>
        </w:rPr>
        <w:t>si è formato e</w:t>
      </w:r>
      <w:r w:rsidR="00C12681" w:rsidRPr="00E367AD">
        <w:rPr>
          <w:rFonts w:ascii="Times New Roman" w:eastAsia="Times New Roman" w:hAnsi="Times New Roman" w:cs="Times New Roman"/>
          <w:color w:val="000000"/>
        </w:rPr>
        <w:t xml:space="preserve"> ha operato</w:t>
      </w:r>
      <w:r w:rsidR="00AE2205">
        <w:rPr>
          <w:rFonts w:ascii="Times New Roman" w:eastAsia="Times New Roman" w:hAnsi="Times New Roman" w:cs="Times New Roman"/>
          <w:color w:val="000000"/>
        </w:rPr>
        <w:t xml:space="preserve"> l’</w:t>
      </w:r>
      <w:r w:rsidR="00021560">
        <w:rPr>
          <w:rFonts w:ascii="Times New Roman" w:eastAsia="Times New Roman" w:hAnsi="Times New Roman" w:cs="Times New Roman"/>
          <w:color w:val="000000"/>
        </w:rPr>
        <w:t>autore</w:t>
      </w:r>
      <w:r w:rsidR="00EC28AE" w:rsidRPr="00E367AD">
        <w:rPr>
          <w:rStyle w:val="Rimandonotaapidipagina"/>
          <w:rFonts w:ascii="Times New Roman" w:eastAsia="Times New Roman" w:hAnsi="Times New Roman" w:cs="Times New Roman"/>
          <w:color w:val="000000"/>
        </w:rPr>
        <w:t xml:space="preserve"> </w:t>
      </w:r>
      <w:r w:rsidR="0087369B" w:rsidRPr="00E367AD">
        <w:rPr>
          <w:rStyle w:val="Rimandonotaapidipagina"/>
          <w:rFonts w:ascii="Times New Roman" w:eastAsia="Times New Roman" w:hAnsi="Times New Roman" w:cs="Times New Roman"/>
          <w:color w:val="000000"/>
        </w:rPr>
        <w:footnoteReference w:id="245"/>
      </w:r>
      <w:r w:rsidR="001E433E" w:rsidRPr="00E367AD">
        <w:rPr>
          <w:rFonts w:ascii="Times New Roman" w:eastAsia="Times New Roman" w:hAnsi="Times New Roman" w:cs="Times New Roman"/>
          <w:color w:val="000000"/>
        </w:rPr>
        <w:t xml:space="preserve">. Grazie </w:t>
      </w:r>
      <w:r w:rsidR="001C7D47" w:rsidRPr="00E367AD">
        <w:rPr>
          <w:rFonts w:ascii="Times New Roman" w:eastAsia="Times New Roman" w:hAnsi="Times New Roman" w:cs="Times New Roman"/>
          <w:color w:val="000000"/>
        </w:rPr>
        <w:t xml:space="preserve">all’analisi del </w:t>
      </w:r>
      <w:r w:rsidR="00DA6507" w:rsidRPr="00E367AD">
        <w:rPr>
          <w:rFonts w:ascii="Times New Roman" w:eastAsia="Times New Roman" w:hAnsi="Times New Roman" w:cs="Times New Roman"/>
          <w:color w:val="000000"/>
        </w:rPr>
        <w:t>contesto</w:t>
      </w:r>
      <w:r w:rsidR="001C7D47" w:rsidRPr="00E367AD">
        <w:rPr>
          <w:rFonts w:ascii="Times New Roman" w:eastAsia="Times New Roman" w:hAnsi="Times New Roman" w:cs="Times New Roman"/>
          <w:color w:val="000000"/>
        </w:rPr>
        <w:t xml:space="preserve"> storico</w:t>
      </w:r>
      <w:r w:rsidR="00DA6507" w:rsidRPr="00E367AD">
        <w:rPr>
          <w:rFonts w:ascii="Times New Roman" w:eastAsia="Times New Roman" w:hAnsi="Times New Roman" w:cs="Times New Roman"/>
          <w:color w:val="000000"/>
        </w:rPr>
        <w:t>,</w:t>
      </w:r>
      <w:r w:rsidR="002A7F93" w:rsidRPr="00E367AD">
        <w:rPr>
          <w:rFonts w:ascii="Times New Roman" w:eastAsia="Times New Roman" w:hAnsi="Times New Roman" w:cs="Times New Roman"/>
          <w:color w:val="000000"/>
        </w:rPr>
        <w:t xml:space="preserve"> infatti, </w:t>
      </w:r>
      <w:r w:rsidR="00E367AD">
        <w:rPr>
          <w:rFonts w:ascii="Times New Roman" w:eastAsia="Times New Roman" w:hAnsi="Times New Roman" w:cs="Times New Roman"/>
          <w:color w:val="000000"/>
        </w:rPr>
        <w:t>si può chiarire</w:t>
      </w:r>
      <w:r w:rsidR="001C7D47" w:rsidRPr="00E367AD">
        <w:rPr>
          <w:rFonts w:ascii="Times New Roman" w:eastAsia="Times New Roman" w:hAnsi="Times New Roman" w:cs="Times New Roman"/>
          <w:color w:val="000000"/>
        </w:rPr>
        <w:t xml:space="preserve"> </w:t>
      </w:r>
      <w:r w:rsidR="00EA474D" w:rsidRPr="00E367AD">
        <w:rPr>
          <w:rFonts w:ascii="Times New Roman" w:eastAsia="Times New Roman" w:hAnsi="Times New Roman" w:cs="Times New Roman"/>
          <w:color w:val="000000"/>
        </w:rPr>
        <w:t>la conoscenza</w:t>
      </w:r>
      <w:r w:rsidR="00DA6507" w:rsidRPr="00E367AD">
        <w:rPr>
          <w:rFonts w:ascii="Times New Roman" w:eastAsia="Times New Roman" w:hAnsi="Times New Roman" w:cs="Times New Roman"/>
          <w:color w:val="000000"/>
        </w:rPr>
        <w:t xml:space="preserve"> del tutto inadeguata</w:t>
      </w:r>
      <w:r w:rsidR="00EA474D" w:rsidRPr="00E367AD">
        <w:rPr>
          <w:rFonts w:ascii="Times New Roman" w:eastAsia="Times New Roman" w:hAnsi="Times New Roman" w:cs="Times New Roman"/>
          <w:color w:val="000000"/>
        </w:rPr>
        <w:t xml:space="preserve"> </w:t>
      </w:r>
      <w:r w:rsidR="00DA6507" w:rsidRPr="00E367AD">
        <w:rPr>
          <w:rFonts w:ascii="Times New Roman" w:eastAsia="Times New Roman" w:hAnsi="Times New Roman" w:cs="Times New Roman"/>
          <w:color w:val="000000"/>
        </w:rPr>
        <w:t xml:space="preserve">che Hegel aveva della Qabbalah e </w:t>
      </w:r>
      <w:r w:rsidR="00E367AD">
        <w:rPr>
          <w:rFonts w:ascii="Times New Roman" w:eastAsia="Times New Roman" w:hAnsi="Times New Roman" w:cs="Times New Roman"/>
          <w:color w:val="000000"/>
        </w:rPr>
        <w:t xml:space="preserve">si </w:t>
      </w:r>
      <w:r w:rsidR="001E433E" w:rsidRPr="00E367AD">
        <w:rPr>
          <w:rFonts w:ascii="Times New Roman" w:eastAsia="Times New Roman" w:hAnsi="Times New Roman" w:cs="Times New Roman"/>
          <w:color w:val="000000"/>
        </w:rPr>
        <w:t xml:space="preserve">può </w:t>
      </w:r>
      <w:r w:rsidR="00E367AD">
        <w:rPr>
          <w:rFonts w:ascii="Times New Roman" w:eastAsia="Times New Roman" w:hAnsi="Times New Roman" w:cs="Times New Roman"/>
          <w:color w:val="000000"/>
        </w:rPr>
        <w:t>mostrare</w:t>
      </w:r>
      <w:r w:rsidR="001C7D47" w:rsidRPr="00E367AD">
        <w:rPr>
          <w:rFonts w:ascii="Times New Roman" w:eastAsia="Times New Roman" w:hAnsi="Times New Roman" w:cs="Times New Roman"/>
          <w:color w:val="000000"/>
        </w:rPr>
        <w:t xml:space="preserve"> </w:t>
      </w:r>
      <w:r w:rsidR="00DA6507" w:rsidRPr="00E367AD">
        <w:rPr>
          <w:rFonts w:ascii="Times New Roman" w:eastAsia="Times New Roman" w:hAnsi="Times New Roman" w:cs="Times New Roman"/>
          <w:color w:val="000000"/>
        </w:rPr>
        <w:t>la natura mediata</w:t>
      </w:r>
      <w:r w:rsidR="007F3D25" w:rsidRPr="00E367AD">
        <w:rPr>
          <w:rFonts w:ascii="Times New Roman" w:eastAsia="Times New Roman" w:hAnsi="Times New Roman" w:cs="Times New Roman"/>
          <w:color w:val="000000"/>
        </w:rPr>
        <w:t xml:space="preserve"> </w:t>
      </w:r>
      <w:r w:rsidR="00DA6507" w:rsidRPr="00E367AD">
        <w:rPr>
          <w:rFonts w:ascii="Times New Roman" w:eastAsia="Times New Roman" w:hAnsi="Times New Roman" w:cs="Times New Roman"/>
          <w:color w:val="000000"/>
        </w:rPr>
        <w:t>del</w:t>
      </w:r>
      <w:r w:rsidR="001E433E" w:rsidRPr="00E367AD">
        <w:rPr>
          <w:rFonts w:ascii="Times New Roman" w:eastAsia="Times New Roman" w:hAnsi="Times New Roman" w:cs="Times New Roman"/>
          <w:color w:val="000000"/>
        </w:rPr>
        <w:t xml:space="preserve"> recupero</w:t>
      </w:r>
      <w:r w:rsidR="00DA6507" w:rsidRPr="00E367AD">
        <w:rPr>
          <w:rFonts w:ascii="Times New Roman" w:eastAsia="Times New Roman" w:hAnsi="Times New Roman" w:cs="Times New Roman"/>
          <w:color w:val="000000"/>
        </w:rPr>
        <w:t xml:space="preserve"> </w:t>
      </w:r>
      <w:r w:rsidR="0087369B" w:rsidRPr="00E367AD">
        <w:rPr>
          <w:rFonts w:ascii="Times New Roman" w:eastAsia="Times New Roman" w:hAnsi="Times New Roman" w:cs="Times New Roman"/>
          <w:color w:val="000000"/>
        </w:rPr>
        <w:t xml:space="preserve">di certe </w:t>
      </w:r>
      <w:r w:rsidR="0087369B" w:rsidRPr="00E367AD">
        <w:rPr>
          <w:rFonts w:ascii="Times New Roman" w:eastAsia="Times New Roman" w:hAnsi="Times New Roman" w:cs="Times New Roman"/>
          <w:i/>
          <w:color w:val="000000"/>
        </w:rPr>
        <w:t xml:space="preserve">rappresentazioni </w:t>
      </w:r>
      <w:r w:rsidR="00186821" w:rsidRPr="00E367AD">
        <w:rPr>
          <w:rFonts w:ascii="Times New Roman" w:eastAsia="Times New Roman" w:hAnsi="Times New Roman" w:cs="Times New Roman"/>
          <w:color w:val="000000"/>
        </w:rPr>
        <w:t xml:space="preserve">d’ispirazione </w:t>
      </w:r>
      <w:r w:rsidR="00DA6507" w:rsidRPr="00E367AD">
        <w:rPr>
          <w:rFonts w:ascii="Times New Roman" w:eastAsia="Times New Roman" w:hAnsi="Times New Roman" w:cs="Times New Roman"/>
          <w:color w:val="000000"/>
        </w:rPr>
        <w:t>ebrai</w:t>
      </w:r>
      <w:r w:rsidR="00186821" w:rsidRPr="00E367AD">
        <w:rPr>
          <w:rFonts w:ascii="Times New Roman" w:eastAsia="Times New Roman" w:hAnsi="Times New Roman" w:cs="Times New Roman"/>
          <w:color w:val="000000"/>
        </w:rPr>
        <w:t>ca</w:t>
      </w:r>
      <w:r w:rsidR="001C7D47" w:rsidRPr="00E367AD">
        <w:rPr>
          <w:rFonts w:ascii="Times New Roman" w:eastAsia="Times New Roman" w:hAnsi="Times New Roman" w:cs="Times New Roman"/>
          <w:color w:val="000000"/>
        </w:rPr>
        <w:t xml:space="preserve"> nel</w:t>
      </w:r>
      <w:r w:rsidR="001E433E" w:rsidRPr="00E367AD">
        <w:rPr>
          <w:rFonts w:ascii="Times New Roman" w:eastAsia="Times New Roman" w:hAnsi="Times New Roman" w:cs="Times New Roman"/>
          <w:color w:val="000000"/>
        </w:rPr>
        <w:t>l’architettonica</w:t>
      </w:r>
      <w:r w:rsidR="001C7D47" w:rsidRPr="00E367AD">
        <w:rPr>
          <w:rFonts w:ascii="Times New Roman" w:eastAsia="Times New Roman" w:hAnsi="Times New Roman" w:cs="Times New Roman"/>
          <w:color w:val="000000"/>
        </w:rPr>
        <w:t xml:space="preserve"> heg</w:t>
      </w:r>
      <w:r w:rsidR="001E433E" w:rsidRPr="00E367AD">
        <w:rPr>
          <w:rFonts w:ascii="Times New Roman" w:eastAsia="Times New Roman" w:hAnsi="Times New Roman" w:cs="Times New Roman"/>
          <w:color w:val="000000"/>
        </w:rPr>
        <w:t>eliana</w:t>
      </w:r>
      <w:r w:rsidR="00EA474D" w:rsidRPr="00E367AD">
        <w:rPr>
          <w:rFonts w:ascii="Times New Roman" w:eastAsia="Times New Roman" w:hAnsi="Times New Roman" w:cs="Times New Roman"/>
          <w:color w:val="000000"/>
        </w:rPr>
        <w:t>.</w:t>
      </w:r>
    </w:p>
    <w:p w14:paraId="6F94CC3F" w14:textId="1544460D" w:rsidR="00F6251B" w:rsidRPr="00915812" w:rsidRDefault="00F7273C" w:rsidP="00290B71">
      <w:pPr>
        <w:widowControl w:val="0"/>
        <w:autoSpaceDE w:val="0"/>
        <w:autoSpaceDN w:val="0"/>
        <w:adjustRightInd w:val="0"/>
        <w:spacing w:after="240" w:line="360" w:lineRule="auto"/>
        <w:jc w:val="both"/>
        <w:rPr>
          <w:rFonts w:ascii="Times New Roman" w:eastAsia="Times New Roman" w:hAnsi="Times New Roman" w:cs="Times New Roman"/>
          <w:color w:val="000000"/>
        </w:rPr>
      </w:pPr>
      <w:r>
        <w:rPr>
          <w:rFonts w:ascii="Times New Roman" w:eastAsia="Times New Roman" w:hAnsi="Times New Roman" w:cs="Times New Roman"/>
          <w:i/>
          <w:color w:val="000000"/>
        </w:rPr>
        <w:t>1</w:t>
      </w:r>
      <w:r w:rsidR="00D937BA">
        <w:rPr>
          <w:rFonts w:ascii="Times New Roman" w:eastAsia="Times New Roman" w:hAnsi="Times New Roman" w:cs="Times New Roman"/>
          <w:i/>
          <w:color w:val="000000"/>
        </w:rPr>
        <w:t>.</w:t>
      </w:r>
      <w:r w:rsidR="00AA07E7">
        <w:rPr>
          <w:rFonts w:ascii="Times New Roman" w:eastAsia="Times New Roman" w:hAnsi="Times New Roman" w:cs="Times New Roman"/>
          <w:i/>
          <w:color w:val="000000"/>
        </w:rPr>
        <w:t>7</w:t>
      </w:r>
      <w:r w:rsidR="00DE5BA9">
        <w:rPr>
          <w:rFonts w:ascii="Times New Roman" w:eastAsia="Times New Roman" w:hAnsi="Times New Roman" w:cs="Times New Roman"/>
          <w:i/>
          <w:color w:val="000000"/>
        </w:rPr>
        <w:t xml:space="preserve"> Il </w:t>
      </w:r>
      <w:r w:rsidR="005E4A40" w:rsidRPr="00B81148">
        <w:rPr>
          <w:rFonts w:ascii="Times New Roman" w:eastAsia="Times New Roman" w:hAnsi="Times New Roman" w:cs="Times New Roman"/>
          <w:i/>
          <w:color w:val="000000"/>
        </w:rPr>
        <w:t>principio buono e cattivo. L</w:t>
      </w:r>
      <w:r w:rsidR="003A0C47">
        <w:rPr>
          <w:rFonts w:ascii="Times New Roman" w:eastAsia="Times New Roman" w:hAnsi="Times New Roman" w:cs="Times New Roman"/>
          <w:i/>
          <w:color w:val="000000"/>
        </w:rPr>
        <w:t>’epica cosmico-storica in</w:t>
      </w:r>
      <w:r w:rsidR="00DA6507" w:rsidRPr="00B81148">
        <w:rPr>
          <w:rFonts w:ascii="Times New Roman" w:eastAsia="Times New Roman" w:hAnsi="Times New Roman" w:cs="Times New Roman"/>
          <w:i/>
          <w:color w:val="000000"/>
        </w:rPr>
        <w:t xml:space="preserve"> </w:t>
      </w:r>
      <w:r w:rsidR="00DA6507" w:rsidRPr="00DE136F">
        <w:rPr>
          <w:rFonts w:ascii="Times New Roman" w:eastAsia="Times New Roman" w:hAnsi="Times New Roman" w:cs="Times New Roman"/>
          <w:color w:val="000000"/>
        </w:rPr>
        <w:t>Philosophie und Religion</w:t>
      </w:r>
      <w:r w:rsidR="00DA6507" w:rsidRPr="00B81148">
        <w:rPr>
          <w:rFonts w:ascii="Times New Roman" w:eastAsia="Times New Roman" w:hAnsi="Times New Roman" w:cs="Times New Roman"/>
          <w:i/>
          <w:color w:val="000000"/>
        </w:rPr>
        <w:t xml:space="preserve"> di Schelling</w:t>
      </w:r>
    </w:p>
    <w:p w14:paraId="7F5BD0E3" w14:textId="231234FD" w:rsidR="0046746B" w:rsidRPr="00736C23" w:rsidRDefault="00DA6507" w:rsidP="0046746B">
      <w:pPr>
        <w:widowControl w:val="0"/>
        <w:autoSpaceDE w:val="0"/>
        <w:autoSpaceDN w:val="0"/>
        <w:adjustRightInd w:val="0"/>
        <w:spacing w:after="240" w:line="360" w:lineRule="auto"/>
        <w:ind w:firstLine="567"/>
        <w:jc w:val="both"/>
        <w:rPr>
          <w:rFonts w:ascii="Times New Roman" w:eastAsia="Times New Roman" w:hAnsi="Times New Roman" w:cs="Times New Roman"/>
          <w:color w:val="000000"/>
        </w:rPr>
      </w:pPr>
      <w:r w:rsidRPr="0023643E">
        <w:rPr>
          <w:rFonts w:ascii="Times New Roman" w:eastAsia="Times New Roman" w:hAnsi="Times New Roman" w:cs="Times New Roman"/>
          <w:color w:val="000000"/>
        </w:rPr>
        <w:t>Nella sezione dedicata all’</w:t>
      </w:r>
      <w:r w:rsidRPr="0023643E">
        <w:rPr>
          <w:rFonts w:ascii="Times New Roman" w:eastAsia="Times New Roman" w:hAnsi="Times New Roman" w:cs="Times New Roman"/>
          <w:i/>
          <w:color w:val="000000"/>
        </w:rPr>
        <w:t>Höchstes Wesen</w:t>
      </w:r>
      <w:r w:rsidRPr="0023643E">
        <w:rPr>
          <w:rFonts w:ascii="Times New Roman" w:eastAsia="Times New Roman" w:hAnsi="Times New Roman" w:cs="Times New Roman"/>
          <w:color w:val="000000"/>
        </w:rPr>
        <w:t xml:space="preserve">, </w:t>
      </w:r>
      <w:r w:rsidR="00BF6F0D" w:rsidRPr="0023643E">
        <w:rPr>
          <w:rFonts w:ascii="Times New Roman" w:eastAsia="Times New Roman" w:hAnsi="Times New Roman" w:cs="Times New Roman"/>
          <w:color w:val="000000"/>
        </w:rPr>
        <w:t xml:space="preserve">è stato </w:t>
      </w:r>
      <w:r w:rsidRPr="0023643E">
        <w:rPr>
          <w:rFonts w:ascii="Times New Roman" w:eastAsia="Times New Roman" w:hAnsi="Times New Roman" w:cs="Times New Roman"/>
          <w:color w:val="000000"/>
        </w:rPr>
        <w:t xml:space="preserve">evidenziato il </w:t>
      </w:r>
      <w:r w:rsidR="00520F79" w:rsidRPr="0023643E">
        <w:rPr>
          <w:rFonts w:ascii="Times New Roman" w:eastAsia="Times New Roman" w:hAnsi="Times New Roman" w:cs="Times New Roman"/>
          <w:color w:val="000000"/>
        </w:rPr>
        <w:t xml:space="preserve">riferimento hegeliano alla teoria </w:t>
      </w:r>
      <w:r w:rsidR="00DE136F">
        <w:rPr>
          <w:rFonts w:ascii="Times New Roman" w:eastAsia="Times New Roman" w:hAnsi="Times New Roman" w:cs="Times New Roman"/>
          <w:color w:val="000000"/>
        </w:rPr>
        <w:t xml:space="preserve">kantiana </w:t>
      </w:r>
      <w:r w:rsidR="00520F79" w:rsidRPr="0023643E">
        <w:rPr>
          <w:rFonts w:ascii="Times New Roman" w:eastAsia="Times New Roman" w:hAnsi="Times New Roman" w:cs="Times New Roman"/>
          <w:color w:val="000000"/>
        </w:rPr>
        <w:t xml:space="preserve">dei due principi e </w:t>
      </w:r>
      <w:r w:rsidR="006C272A">
        <w:rPr>
          <w:rFonts w:ascii="Times New Roman" w:eastAsia="Times New Roman" w:hAnsi="Times New Roman" w:cs="Times New Roman"/>
          <w:color w:val="000000"/>
        </w:rPr>
        <w:t xml:space="preserve">alla dottrina böhmiana </w:t>
      </w:r>
      <w:r w:rsidR="007653A7">
        <w:rPr>
          <w:rFonts w:ascii="Times New Roman" w:eastAsia="Times New Roman" w:hAnsi="Times New Roman" w:cs="Times New Roman"/>
          <w:color w:val="000000"/>
        </w:rPr>
        <w:t xml:space="preserve">delle </w:t>
      </w:r>
      <w:r w:rsidR="00520F79" w:rsidRPr="0023643E">
        <w:rPr>
          <w:rFonts w:ascii="Times New Roman" w:eastAsia="Times New Roman" w:hAnsi="Times New Roman" w:cs="Times New Roman"/>
          <w:color w:val="000000"/>
        </w:rPr>
        <w:t xml:space="preserve">qualità. </w:t>
      </w:r>
      <w:r w:rsidR="00BF6F0D" w:rsidRPr="0023643E">
        <w:rPr>
          <w:rFonts w:ascii="Times New Roman" w:eastAsia="Times New Roman" w:hAnsi="Times New Roman" w:cs="Times New Roman"/>
          <w:color w:val="000000"/>
        </w:rPr>
        <w:t xml:space="preserve">In </w:t>
      </w:r>
      <w:r w:rsidR="00BF6F0D" w:rsidRPr="00736C23">
        <w:rPr>
          <w:rFonts w:ascii="Times New Roman" w:eastAsia="Times New Roman" w:hAnsi="Times New Roman" w:cs="Times New Roman"/>
          <w:color w:val="000000"/>
        </w:rPr>
        <w:t>continuità con quell’</w:t>
      </w:r>
      <w:r w:rsidR="0034290F" w:rsidRPr="00736C23">
        <w:rPr>
          <w:rFonts w:ascii="Times New Roman" w:eastAsia="Times New Roman" w:hAnsi="Times New Roman" w:cs="Times New Roman"/>
          <w:color w:val="000000"/>
        </w:rPr>
        <w:t>approccio ermeneutico</w:t>
      </w:r>
      <w:r w:rsidR="00BF6F0D" w:rsidRPr="00736C23">
        <w:rPr>
          <w:rFonts w:ascii="Times New Roman" w:eastAsia="Times New Roman" w:hAnsi="Times New Roman" w:cs="Times New Roman"/>
          <w:color w:val="000000"/>
        </w:rPr>
        <w:t xml:space="preserve"> </w:t>
      </w:r>
      <w:r w:rsidR="0034290F" w:rsidRPr="00736C23">
        <w:rPr>
          <w:rFonts w:ascii="Times New Roman" w:eastAsia="Times New Roman" w:hAnsi="Times New Roman" w:cs="Times New Roman"/>
          <w:color w:val="000000"/>
        </w:rPr>
        <w:t xml:space="preserve">messo a punto </w:t>
      </w:r>
      <w:r w:rsidR="00520F79" w:rsidRPr="00736C23">
        <w:rPr>
          <w:rFonts w:ascii="Times New Roman" w:eastAsia="Times New Roman" w:hAnsi="Times New Roman" w:cs="Times New Roman"/>
          <w:color w:val="000000"/>
        </w:rPr>
        <w:t xml:space="preserve">nel </w:t>
      </w:r>
      <w:r w:rsidR="00520F79" w:rsidRPr="00736C23">
        <w:rPr>
          <w:rFonts w:ascii="Times New Roman" w:eastAsia="Times New Roman" w:hAnsi="Times New Roman" w:cs="Times New Roman"/>
          <w:i/>
          <w:color w:val="000000"/>
        </w:rPr>
        <w:t>Fragment 49</w:t>
      </w:r>
      <w:r w:rsidR="00E0642A" w:rsidRPr="00736C23">
        <w:rPr>
          <w:rFonts w:ascii="Times New Roman" w:eastAsia="Times New Roman" w:hAnsi="Times New Roman" w:cs="Times New Roman"/>
          <w:color w:val="000000"/>
        </w:rPr>
        <w:t xml:space="preserve">, Hegel </w:t>
      </w:r>
      <w:r w:rsidR="00A77664" w:rsidRPr="00736C23">
        <w:rPr>
          <w:rFonts w:ascii="Times New Roman" w:eastAsia="Times New Roman" w:hAnsi="Times New Roman" w:cs="Times New Roman"/>
          <w:color w:val="000000"/>
        </w:rPr>
        <w:t>intraprende un confronto con</w:t>
      </w:r>
      <w:r w:rsidR="00E92DD0" w:rsidRPr="00736C23">
        <w:rPr>
          <w:rFonts w:ascii="Times New Roman" w:eastAsia="Times New Roman" w:hAnsi="Times New Roman" w:cs="Times New Roman"/>
          <w:color w:val="000000"/>
        </w:rPr>
        <w:t xml:space="preserve"> </w:t>
      </w:r>
      <w:r w:rsidR="00A77664" w:rsidRPr="00736C23">
        <w:rPr>
          <w:rFonts w:ascii="Times New Roman" w:eastAsia="Times New Roman" w:hAnsi="Times New Roman" w:cs="Times New Roman"/>
          <w:color w:val="000000"/>
        </w:rPr>
        <w:t>Böhme</w:t>
      </w:r>
      <w:r w:rsidR="00BF6F0D" w:rsidRPr="00736C23">
        <w:rPr>
          <w:rFonts w:ascii="Times New Roman" w:eastAsia="Times New Roman" w:hAnsi="Times New Roman" w:cs="Times New Roman"/>
          <w:color w:val="000000"/>
        </w:rPr>
        <w:t xml:space="preserve"> nella </w:t>
      </w:r>
      <w:r w:rsidR="00BF6F0D" w:rsidRPr="00736C23">
        <w:rPr>
          <w:rFonts w:ascii="Times New Roman" w:eastAsia="Times New Roman" w:hAnsi="Times New Roman" w:cs="Times New Roman"/>
          <w:i/>
          <w:color w:val="000000"/>
        </w:rPr>
        <w:t>Metaphysik der Objectivität</w:t>
      </w:r>
      <w:r w:rsidR="00E0642A" w:rsidRPr="00736C23">
        <w:rPr>
          <w:rFonts w:ascii="Times New Roman" w:eastAsia="Times New Roman" w:hAnsi="Times New Roman" w:cs="Times New Roman"/>
          <w:color w:val="000000"/>
        </w:rPr>
        <w:t xml:space="preserve">, </w:t>
      </w:r>
      <w:r w:rsidR="009B0997" w:rsidRPr="00736C23">
        <w:rPr>
          <w:rFonts w:ascii="Times New Roman" w:eastAsia="Times New Roman" w:hAnsi="Times New Roman" w:cs="Times New Roman"/>
          <w:color w:val="000000"/>
        </w:rPr>
        <w:t>sostenendo la necessità</w:t>
      </w:r>
      <w:r w:rsidR="00BF6F0D" w:rsidRPr="00736C23">
        <w:rPr>
          <w:rFonts w:ascii="Times New Roman" w:eastAsia="Times New Roman" w:hAnsi="Times New Roman" w:cs="Times New Roman"/>
          <w:color w:val="000000"/>
        </w:rPr>
        <w:t xml:space="preserve"> teor</w:t>
      </w:r>
      <w:r w:rsidR="006B5231" w:rsidRPr="00736C23">
        <w:rPr>
          <w:rFonts w:ascii="Times New Roman" w:eastAsia="Times New Roman" w:hAnsi="Times New Roman" w:cs="Times New Roman"/>
          <w:color w:val="000000"/>
        </w:rPr>
        <w:t>ica</w:t>
      </w:r>
      <w:r w:rsidR="009B0997" w:rsidRPr="00736C23">
        <w:rPr>
          <w:rFonts w:ascii="Times New Roman" w:eastAsia="Times New Roman" w:hAnsi="Times New Roman" w:cs="Times New Roman"/>
          <w:color w:val="000000"/>
        </w:rPr>
        <w:t xml:space="preserve"> di </w:t>
      </w:r>
      <w:r w:rsidR="006B5231" w:rsidRPr="00736C23">
        <w:rPr>
          <w:rFonts w:ascii="Times New Roman" w:eastAsia="Times New Roman" w:hAnsi="Times New Roman" w:cs="Times New Roman"/>
          <w:color w:val="000000"/>
        </w:rPr>
        <w:t xml:space="preserve">pensare </w:t>
      </w:r>
      <w:r w:rsidR="00E0642A" w:rsidRPr="00736C23">
        <w:rPr>
          <w:rFonts w:ascii="Times New Roman" w:eastAsia="Times New Roman" w:hAnsi="Times New Roman" w:cs="Times New Roman"/>
          <w:color w:val="000000"/>
        </w:rPr>
        <w:t>l’ess</w:t>
      </w:r>
      <w:r w:rsidR="0013547D" w:rsidRPr="00736C23">
        <w:rPr>
          <w:rFonts w:ascii="Times New Roman" w:eastAsia="Times New Roman" w:hAnsi="Times New Roman" w:cs="Times New Roman"/>
          <w:color w:val="000000"/>
        </w:rPr>
        <w:t xml:space="preserve">enza suprema come l’identità </w:t>
      </w:r>
      <w:r w:rsidR="00E0642A" w:rsidRPr="00736C23">
        <w:rPr>
          <w:rFonts w:ascii="Times New Roman" w:eastAsia="Times New Roman" w:hAnsi="Times New Roman" w:cs="Times New Roman"/>
          <w:color w:val="000000"/>
        </w:rPr>
        <w:t>del principio buono e del principio cattivo</w:t>
      </w:r>
      <w:r w:rsidR="00E92DD0" w:rsidRPr="00736C23">
        <w:rPr>
          <w:rFonts w:ascii="Times New Roman" w:eastAsia="Times New Roman" w:hAnsi="Times New Roman" w:cs="Times New Roman"/>
          <w:color w:val="000000"/>
        </w:rPr>
        <w:t>, della luce e della tenebra</w:t>
      </w:r>
      <w:r w:rsidR="00E0642A" w:rsidRPr="00736C23">
        <w:rPr>
          <w:rFonts w:ascii="Times New Roman" w:eastAsia="Times New Roman" w:hAnsi="Times New Roman" w:cs="Times New Roman"/>
          <w:color w:val="000000"/>
        </w:rPr>
        <w:t xml:space="preserve">. </w:t>
      </w:r>
      <w:r w:rsidR="003E5EF8" w:rsidRPr="00736C23">
        <w:rPr>
          <w:rFonts w:ascii="Times New Roman" w:eastAsia="Times New Roman" w:hAnsi="Times New Roman" w:cs="Times New Roman"/>
          <w:color w:val="000000"/>
        </w:rPr>
        <w:t xml:space="preserve">Attingere </w:t>
      </w:r>
      <w:r w:rsidR="00626E89" w:rsidRPr="00736C23">
        <w:rPr>
          <w:rFonts w:ascii="Times New Roman" w:eastAsia="Times New Roman" w:hAnsi="Times New Roman" w:cs="Times New Roman"/>
          <w:color w:val="000000"/>
        </w:rPr>
        <w:t>d</w:t>
      </w:r>
      <w:r w:rsidR="00F60054" w:rsidRPr="00736C23">
        <w:rPr>
          <w:rFonts w:ascii="Times New Roman" w:eastAsia="Times New Roman" w:hAnsi="Times New Roman" w:cs="Times New Roman"/>
          <w:color w:val="000000"/>
        </w:rPr>
        <w:t>a</w:t>
      </w:r>
      <w:r w:rsidR="0013547D" w:rsidRPr="00736C23">
        <w:rPr>
          <w:rFonts w:ascii="Times New Roman" w:eastAsia="Times New Roman" w:hAnsi="Times New Roman" w:cs="Times New Roman"/>
          <w:color w:val="000000"/>
        </w:rPr>
        <w:t>l pensiero di Jakob Böhme</w:t>
      </w:r>
      <w:r w:rsidR="00F60054" w:rsidRPr="00736C23">
        <w:rPr>
          <w:rFonts w:ascii="Times New Roman" w:eastAsia="Times New Roman" w:hAnsi="Times New Roman" w:cs="Times New Roman"/>
          <w:color w:val="000000"/>
        </w:rPr>
        <w:t xml:space="preserve">, lo abbiamo visto </w:t>
      </w:r>
      <w:r w:rsidR="00CA6FD4" w:rsidRPr="00736C23">
        <w:rPr>
          <w:rFonts w:ascii="Times New Roman" w:eastAsia="Times New Roman" w:hAnsi="Times New Roman" w:cs="Times New Roman"/>
          <w:color w:val="000000"/>
        </w:rPr>
        <w:t xml:space="preserve">in parte </w:t>
      </w:r>
      <w:r w:rsidR="00F60054" w:rsidRPr="00736C23">
        <w:rPr>
          <w:rFonts w:ascii="Times New Roman" w:eastAsia="Times New Roman" w:hAnsi="Times New Roman" w:cs="Times New Roman"/>
          <w:color w:val="000000"/>
        </w:rPr>
        <w:t xml:space="preserve">e lo vedremo ancor più da vicino nei prossimi </w:t>
      </w:r>
      <w:r w:rsidR="002B78C5" w:rsidRPr="00736C23">
        <w:rPr>
          <w:rFonts w:ascii="Times New Roman" w:eastAsia="Times New Roman" w:hAnsi="Times New Roman" w:cs="Times New Roman"/>
          <w:color w:val="000000"/>
        </w:rPr>
        <w:t>sotto</w:t>
      </w:r>
      <w:r w:rsidR="00F60054" w:rsidRPr="00736C23">
        <w:rPr>
          <w:rFonts w:ascii="Times New Roman" w:eastAsia="Times New Roman" w:hAnsi="Times New Roman" w:cs="Times New Roman"/>
          <w:color w:val="000000"/>
        </w:rPr>
        <w:t>capitoli, significa riprendere, epurandoli da un</w:t>
      </w:r>
      <w:r w:rsidR="00D8615B">
        <w:rPr>
          <w:rFonts w:ascii="Times New Roman" w:eastAsia="Times New Roman" w:hAnsi="Times New Roman" w:cs="Times New Roman"/>
          <w:color w:val="000000"/>
        </w:rPr>
        <w:t>a</w:t>
      </w:r>
      <w:r w:rsidR="00F60054" w:rsidRPr="00736C23">
        <w:rPr>
          <w:rFonts w:ascii="Times New Roman" w:eastAsia="Times New Roman" w:hAnsi="Times New Roman" w:cs="Times New Roman"/>
          <w:color w:val="000000"/>
        </w:rPr>
        <w:t xml:space="preserve"> forma conoscitiva inadeguata, quei concetti che gravitano int</w:t>
      </w:r>
      <w:r w:rsidR="0034290F" w:rsidRPr="00736C23">
        <w:rPr>
          <w:rFonts w:ascii="Times New Roman" w:eastAsia="Times New Roman" w:hAnsi="Times New Roman" w:cs="Times New Roman"/>
          <w:color w:val="000000"/>
        </w:rPr>
        <w:t xml:space="preserve">orno alle nozioni di negatività, </w:t>
      </w:r>
      <w:r w:rsidR="00F60054" w:rsidRPr="00736C23">
        <w:rPr>
          <w:rFonts w:ascii="Times New Roman" w:eastAsia="Times New Roman" w:hAnsi="Times New Roman" w:cs="Times New Roman"/>
          <w:color w:val="000000"/>
        </w:rPr>
        <w:t>di personalità</w:t>
      </w:r>
      <w:r w:rsidR="0034290F" w:rsidRPr="00736C23">
        <w:rPr>
          <w:rFonts w:ascii="Times New Roman" w:eastAsia="Times New Roman" w:hAnsi="Times New Roman" w:cs="Times New Roman"/>
          <w:color w:val="000000"/>
        </w:rPr>
        <w:t xml:space="preserve"> e soggettività</w:t>
      </w:r>
      <w:r w:rsidR="00F60054" w:rsidRPr="00736C23">
        <w:rPr>
          <w:rFonts w:ascii="Times New Roman" w:eastAsia="Times New Roman" w:hAnsi="Times New Roman" w:cs="Times New Roman"/>
          <w:color w:val="000000"/>
        </w:rPr>
        <w:t>.</w:t>
      </w:r>
      <w:r w:rsidR="00750CBE" w:rsidRPr="00736C23">
        <w:rPr>
          <w:rFonts w:ascii="Times New Roman" w:eastAsia="Times New Roman" w:hAnsi="Times New Roman" w:cs="Times New Roman"/>
          <w:color w:val="000000"/>
        </w:rPr>
        <w:t xml:space="preserve"> A</w:t>
      </w:r>
      <w:r w:rsidR="003E5EF8" w:rsidRPr="00736C23">
        <w:rPr>
          <w:rFonts w:ascii="Times New Roman" w:eastAsia="Times New Roman" w:hAnsi="Times New Roman" w:cs="Times New Roman"/>
          <w:color w:val="000000"/>
        </w:rPr>
        <w:t xml:space="preserve"> conclusione del processo metafisico, vedremo come l’infinità</w:t>
      </w:r>
      <w:r w:rsidR="00626E89" w:rsidRPr="00736C23">
        <w:rPr>
          <w:rFonts w:ascii="Times New Roman" w:eastAsia="Times New Roman" w:hAnsi="Times New Roman" w:cs="Times New Roman"/>
          <w:color w:val="000000"/>
        </w:rPr>
        <w:t xml:space="preserve"> </w:t>
      </w:r>
      <w:r w:rsidR="003E5EF8" w:rsidRPr="00736C23">
        <w:rPr>
          <w:rFonts w:ascii="Times New Roman" w:eastAsia="Times New Roman" w:hAnsi="Times New Roman" w:cs="Times New Roman"/>
          <w:color w:val="000000"/>
        </w:rPr>
        <w:t>sia capace di disp</w:t>
      </w:r>
      <w:r w:rsidR="00A97025" w:rsidRPr="00736C23">
        <w:rPr>
          <w:rFonts w:ascii="Times New Roman" w:eastAsia="Times New Roman" w:hAnsi="Times New Roman" w:cs="Times New Roman"/>
          <w:color w:val="000000"/>
        </w:rPr>
        <w:t>iegare, a partire da un’</w:t>
      </w:r>
      <w:r w:rsidR="00F5119C" w:rsidRPr="00736C23">
        <w:rPr>
          <w:rFonts w:ascii="Times New Roman" w:eastAsia="Times New Roman" w:hAnsi="Times New Roman" w:cs="Times New Roman"/>
          <w:color w:val="000000"/>
        </w:rPr>
        <w:t>interiore</w:t>
      </w:r>
      <w:r w:rsidR="00A97025" w:rsidRPr="00736C23">
        <w:rPr>
          <w:rFonts w:ascii="Times New Roman" w:eastAsia="Times New Roman" w:hAnsi="Times New Roman" w:cs="Times New Roman"/>
          <w:color w:val="000000"/>
        </w:rPr>
        <w:t xml:space="preserve"> </w:t>
      </w:r>
      <w:r w:rsidR="00124CB6" w:rsidRPr="00736C23">
        <w:rPr>
          <w:rFonts w:ascii="Times New Roman" w:eastAsia="Times New Roman" w:hAnsi="Times New Roman" w:cs="Times New Roman"/>
          <w:color w:val="000000"/>
        </w:rPr>
        <w:t xml:space="preserve">negatività, la dialettica </w:t>
      </w:r>
      <w:r w:rsidR="006C272A" w:rsidRPr="00736C23">
        <w:rPr>
          <w:rFonts w:ascii="Times New Roman" w:eastAsia="Times New Roman" w:hAnsi="Times New Roman" w:cs="Times New Roman"/>
          <w:color w:val="000000"/>
        </w:rPr>
        <w:t>immanente</w:t>
      </w:r>
      <w:r w:rsidR="00124CB6" w:rsidRPr="00736C23">
        <w:rPr>
          <w:rFonts w:ascii="Times New Roman" w:eastAsia="Times New Roman" w:hAnsi="Times New Roman" w:cs="Times New Roman"/>
          <w:color w:val="000000"/>
        </w:rPr>
        <w:t xml:space="preserve"> a</w:t>
      </w:r>
      <w:r w:rsidR="003E5EF8" w:rsidRPr="00736C23">
        <w:rPr>
          <w:rFonts w:ascii="Times New Roman" w:eastAsia="Times New Roman" w:hAnsi="Times New Roman" w:cs="Times New Roman"/>
          <w:color w:val="000000"/>
        </w:rPr>
        <w:t>l</w:t>
      </w:r>
      <w:r w:rsidR="00A32401" w:rsidRPr="00736C23">
        <w:rPr>
          <w:rFonts w:ascii="Times New Roman" w:eastAsia="Times New Roman" w:hAnsi="Times New Roman" w:cs="Times New Roman"/>
          <w:color w:val="000000"/>
        </w:rPr>
        <w:t xml:space="preserve"> principio buono e</w:t>
      </w:r>
      <w:r w:rsidR="00613AB6" w:rsidRPr="00736C23">
        <w:rPr>
          <w:rFonts w:ascii="Times New Roman" w:eastAsia="Times New Roman" w:hAnsi="Times New Roman" w:cs="Times New Roman"/>
          <w:color w:val="000000"/>
        </w:rPr>
        <w:t xml:space="preserve"> a</w:t>
      </w:r>
      <w:r w:rsidR="0000352C" w:rsidRPr="00736C23">
        <w:rPr>
          <w:rFonts w:ascii="Times New Roman" w:eastAsia="Times New Roman" w:hAnsi="Times New Roman" w:cs="Times New Roman"/>
          <w:color w:val="000000"/>
        </w:rPr>
        <w:t>l principio cattivo. L’idea della</w:t>
      </w:r>
      <w:r w:rsidR="003E5EF8" w:rsidRPr="00736C23">
        <w:rPr>
          <w:rFonts w:ascii="Times New Roman" w:eastAsia="Times New Roman" w:hAnsi="Times New Roman" w:cs="Times New Roman"/>
          <w:color w:val="000000"/>
        </w:rPr>
        <w:t xml:space="preserve"> caduta, </w:t>
      </w:r>
      <w:r w:rsidR="0000352C" w:rsidRPr="00736C23">
        <w:rPr>
          <w:rFonts w:ascii="Times New Roman" w:eastAsia="Times New Roman" w:hAnsi="Times New Roman" w:cs="Times New Roman"/>
          <w:color w:val="000000"/>
        </w:rPr>
        <w:t xml:space="preserve">alla quale Hegel </w:t>
      </w:r>
      <w:r w:rsidR="003E5EF8" w:rsidRPr="00736C23">
        <w:rPr>
          <w:rFonts w:ascii="Times New Roman" w:eastAsia="Times New Roman" w:hAnsi="Times New Roman" w:cs="Times New Roman"/>
          <w:color w:val="000000"/>
        </w:rPr>
        <w:t>a</w:t>
      </w:r>
      <w:r w:rsidR="0000352C" w:rsidRPr="00736C23">
        <w:rPr>
          <w:rFonts w:ascii="Times New Roman" w:eastAsia="Times New Roman" w:hAnsi="Times New Roman" w:cs="Times New Roman"/>
          <w:color w:val="000000"/>
        </w:rPr>
        <w:t>veva</w:t>
      </w:r>
      <w:r w:rsidR="003E5EF8" w:rsidRPr="00736C23">
        <w:rPr>
          <w:rFonts w:ascii="Times New Roman" w:eastAsia="Times New Roman" w:hAnsi="Times New Roman" w:cs="Times New Roman"/>
          <w:color w:val="000000"/>
        </w:rPr>
        <w:t xml:space="preserve"> </w:t>
      </w:r>
      <w:r w:rsidR="00F5119C" w:rsidRPr="00736C23">
        <w:rPr>
          <w:rFonts w:ascii="Times New Roman" w:eastAsia="Times New Roman" w:hAnsi="Times New Roman" w:cs="Times New Roman"/>
          <w:color w:val="000000"/>
        </w:rPr>
        <w:t xml:space="preserve">dedicato uno spazio considerevole </w:t>
      </w:r>
      <w:r w:rsidR="003E5EF8" w:rsidRPr="00736C23">
        <w:rPr>
          <w:rFonts w:ascii="Times New Roman" w:eastAsia="Times New Roman" w:hAnsi="Times New Roman" w:cs="Times New Roman"/>
          <w:color w:val="000000"/>
        </w:rPr>
        <w:t xml:space="preserve">nel </w:t>
      </w:r>
      <w:r w:rsidR="003E5EF8" w:rsidRPr="00736C23">
        <w:rPr>
          <w:rFonts w:ascii="Times New Roman" w:eastAsia="Times New Roman" w:hAnsi="Times New Roman" w:cs="Times New Roman"/>
          <w:i/>
          <w:color w:val="000000"/>
        </w:rPr>
        <w:t>Fragment 49</w:t>
      </w:r>
      <w:r w:rsidR="003E5EF8" w:rsidRPr="00736C23">
        <w:rPr>
          <w:rFonts w:ascii="Times New Roman" w:eastAsia="Times New Roman" w:hAnsi="Times New Roman" w:cs="Times New Roman"/>
          <w:color w:val="000000"/>
        </w:rPr>
        <w:t xml:space="preserve">, sarà </w:t>
      </w:r>
      <w:r w:rsidR="00A97025" w:rsidRPr="00736C23">
        <w:rPr>
          <w:rFonts w:ascii="Times New Roman" w:eastAsia="Times New Roman" w:hAnsi="Times New Roman" w:cs="Times New Roman"/>
          <w:color w:val="000000"/>
        </w:rPr>
        <w:t>re</w:t>
      </w:r>
      <w:r w:rsidR="003E5EF8" w:rsidRPr="00736C23">
        <w:rPr>
          <w:rFonts w:ascii="Times New Roman" w:eastAsia="Times New Roman" w:hAnsi="Times New Roman" w:cs="Times New Roman"/>
          <w:color w:val="000000"/>
        </w:rPr>
        <w:t>interpretata</w:t>
      </w:r>
      <w:r w:rsidR="00750CBE" w:rsidRPr="00736C23">
        <w:rPr>
          <w:rFonts w:ascii="Times New Roman" w:eastAsia="Times New Roman" w:hAnsi="Times New Roman" w:cs="Times New Roman"/>
          <w:color w:val="000000"/>
        </w:rPr>
        <w:t xml:space="preserve">, nella </w:t>
      </w:r>
      <w:r w:rsidR="00750CBE" w:rsidRPr="00736C23">
        <w:rPr>
          <w:rFonts w:ascii="Times New Roman" w:eastAsia="Times New Roman" w:hAnsi="Times New Roman" w:cs="Times New Roman"/>
          <w:i/>
          <w:color w:val="000000"/>
        </w:rPr>
        <w:t>Metaphysik der Subjectivität</w:t>
      </w:r>
      <w:r w:rsidR="00750CBE" w:rsidRPr="00736C23">
        <w:rPr>
          <w:rFonts w:ascii="Times New Roman" w:eastAsia="Times New Roman" w:hAnsi="Times New Roman" w:cs="Times New Roman"/>
          <w:color w:val="000000"/>
        </w:rPr>
        <w:t>,</w:t>
      </w:r>
      <w:r w:rsidR="003E5EF8" w:rsidRPr="00736C23">
        <w:rPr>
          <w:rFonts w:ascii="Times New Roman" w:eastAsia="Times New Roman" w:hAnsi="Times New Roman" w:cs="Times New Roman"/>
          <w:color w:val="000000"/>
        </w:rPr>
        <w:t xml:space="preserve"> alla luce di quella forma espositiva del c</w:t>
      </w:r>
      <w:r w:rsidR="00A97025" w:rsidRPr="00736C23">
        <w:rPr>
          <w:rFonts w:ascii="Times New Roman" w:eastAsia="Times New Roman" w:hAnsi="Times New Roman" w:cs="Times New Roman"/>
          <w:color w:val="000000"/>
        </w:rPr>
        <w:t xml:space="preserve">ontenuto – la negatività </w:t>
      </w:r>
      <w:r w:rsidR="00764A61" w:rsidRPr="00736C23">
        <w:rPr>
          <w:rFonts w:ascii="Times New Roman" w:eastAsia="Times New Roman" w:hAnsi="Times New Roman" w:cs="Times New Roman"/>
          <w:color w:val="000000"/>
        </w:rPr>
        <w:t xml:space="preserve">assoluta </w:t>
      </w:r>
      <w:r w:rsidR="00A97025" w:rsidRPr="00736C23">
        <w:rPr>
          <w:rFonts w:ascii="Times New Roman" w:eastAsia="Times New Roman" w:hAnsi="Times New Roman" w:cs="Times New Roman"/>
          <w:color w:val="000000"/>
        </w:rPr>
        <w:t xml:space="preserve">– che ritengo essere il problema centrale e la conquista teorica fondamentale degli </w:t>
      </w:r>
      <w:r w:rsidR="00C512A1" w:rsidRPr="00736C23">
        <w:rPr>
          <w:rFonts w:ascii="Times New Roman" w:eastAsia="Times New Roman" w:hAnsi="Times New Roman" w:cs="Times New Roman"/>
          <w:color w:val="000000"/>
        </w:rPr>
        <w:t xml:space="preserve">scritti del periodo jenese. </w:t>
      </w:r>
      <w:r w:rsidR="00A97025" w:rsidRPr="00736C23">
        <w:rPr>
          <w:rFonts w:ascii="Times New Roman" w:eastAsia="Times New Roman" w:hAnsi="Times New Roman" w:cs="Times New Roman"/>
          <w:color w:val="000000"/>
        </w:rPr>
        <w:t xml:space="preserve">Prima di </w:t>
      </w:r>
      <w:r w:rsidR="006C272A" w:rsidRPr="00736C23">
        <w:rPr>
          <w:rFonts w:ascii="Times New Roman" w:eastAsia="Times New Roman" w:hAnsi="Times New Roman" w:cs="Times New Roman"/>
          <w:color w:val="000000"/>
        </w:rPr>
        <w:t>p</w:t>
      </w:r>
      <w:r w:rsidR="005A536F" w:rsidRPr="00736C23">
        <w:rPr>
          <w:rFonts w:ascii="Times New Roman" w:eastAsia="Times New Roman" w:hAnsi="Times New Roman" w:cs="Times New Roman"/>
          <w:color w:val="000000"/>
        </w:rPr>
        <w:t>rocedere ad un</w:t>
      </w:r>
      <w:r w:rsidR="006C272A" w:rsidRPr="00736C23">
        <w:rPr>
          <w:rFonts w:ascii="Times New Roman" w:eastAsia="Times New Roman" w:hAnsi="Times New Roman" w:cs="Times New Roman"/>
          <w:color w:val="000000"/>
        </w:rPr>
        <w:t xml:space="preserve">’analisi delle ultime sezioni </w:t>
      </w:r>
      <w:r w:rsidR="00A97025" w:rsidRPr="00736C23">
        <w:rPr>
          <w:rFonts w:ascii="Times New Roman" w:eastAsia="Times New Roman" w:hAnsi="Times New Roman" w:cs="Times New Roman"/>
          <w:color w:val="000000"/>
        </w:rPr>
        <w:t>della</w:t>
      </w:r>
      <w:r w:rsidR="00750CBE" w:rsidRPr="00736C23">
        <w:rPr>
          <w:rFonts w:ascii="Times New Roman" w:eastAsia="Times New Roman" w:hAnsi="Times New Roman" w:cs="Times New Roman"/>
          <w:color w:val="000000"/>
        </w:rPr>
        <w:t xml:space="preserve"> metafisica di Jena</w:t>
      </w:r>
      <w:r w:rsidR="00A97025" w:rsidRPr="00736C23">
        <w:rPr>
          <w:rFonts w:ascii="Times New Roman" w:eastAsia="Times New Roman" w:hAnsi="Times New Roman" w:cs="Times New Roman"/>
          <w:color w:val="000000"/>
        </w:rPr>
        <w:t xml:space="preserve">, </w:t>
      </w:r>
      <w:r w:rsidR="006D37F6" w:rsidRPr="00736C23">
        <w:rPr>
          <w:rFonts w:ascii="Times New Roman" w:eastAsia="Times New Roman" w:hAnsi="Times New Roman" w:cs="Times New Roman"/>
          <w:color w:val="000000"/>
        </w:rPr>
        <w:t xml:space="preserve">mi sembra </w:t>
      </w:r>
      <w:r w:rsidR="00A97025" w:rsidRPr="00736C23">
        <w:rPr>
          <w:rFonts w:ascii="Times New Roman" w:eastAsia="Times New Roman" w:hAnsi="Times New Roman" w:cs="Times New Roman"/>
          <w:color w:val="000000"/>
        </w:rPr>
        <w:t xml:space="preserve">utile </w:t>
      </w:r>
      <w:r w:rsidR="005A536F" w:rsidRPr="00736C23">
        <w:rPr>
          <w:rFonts w:ascii="Times New Roman" w:eastAsia="Times New Roman" w:hAnsi="Times New Roman" w:cs="Times New Roman"/>
          <w:color w:val="000000"/>
        </w:rPr>
        <w:t xml:space="preserve">aprire un’ulteriore parentesi </w:t>
      </w:r>
      <w:r w:rsidR="00DE136F" w:rsidRPr="00736C23">
        <w:rPr>
          <w:rFonts w:ascii="Times New Roman" w:eastAsia="Times New Roman" w:hAnsi="Times New Roman" w:cs="Times New Roman"/>
          <w:color w:val="000000"/>
        </w:rPr>
        <w:t xml:space="preserve">sulle </w:t>
      </w:r>
      <w:r w:rsidR="00A97025" w:rsidRPr="00736C23">
        <w:rPr>
          <w:rFonts w:ascii="Times New Roman" w:eastAsia="Times New Roman" w:hAnsi="Times New Roman" w:cs="Times New Roman"/>
          <w:color w:val="000000"/>
        </w:rPr>
        <w:t xml:space="preserve">fonti </w:t>
      </w:r>
      <w:r w:rsidR="007653A7" w:rsidRPr="00736C23">
        <w:rPr>
          <w:rFonts w:ascii="Times New Roman" w:eastAsia="Times New Roman" w:hAnsi="Times New Roman" w:cs="Times New Roman"/>
          <w:color w:val="000000"/>
        </w:rPr>
        <w:t xml:space="preserve">a cui </w:t>
      </w:r>
      <w:r w:rsidR="00A97025" w:rsidRPr="00736C23">
        <w:rPr>
          <w:rFonts w:ascii="Times New Roman" w:eastAsia="Times New Roman" w:hAnsi="Times New Roman" w:cs="Times New Roman"/>
          <w:color w:val="000000"/>
        </w:rPr>
        <w:t xml:space="preserve">Hegel </w:t>
      </w:r>
      <w:r w:rsidR="007653A7" w:rsidRPr="00736C23">
        <w:rPr>
          <w:rFonts w:ascii="Times New Roman" w:eastAsia="Times New Roman" w:hAnsi="Times New Roman" w:cs="Times New Roman"/>
          <w:color w:val="000000"/>
        </w:rPr>
        <w:t xml:space="preserve">si è richiamato </w:t>
      </w:r>
      <w:r w:rsidR="00613AB6" w:rsidRPr="00736C23">
        <w:rPr>
          <w:rFonts w:ascii="Times New Roman" w:eastAsia="Times New Roman" w:hAnsi="Times New Roman" w:cs="Times New Roman"/>
          <w:color w:val="000000"/>
        </w:rPr>
        <w:t>n</w:t>
      </w:r>
      <w:r w:rsidR="00A97025" w:rsidRPr="00736C23">
        <w:rPr>
          <w:rFonts w:ascii="Times New Roman" w:eastAsia="Times New Roman" w:hAnsi="Times New Roman" w:cs="Times New Roman"/>
          <w:color w:val="000000"/>
        </w:rPr>
        <w:t>ell</w:t>
      </w:r>
      <w:r w:rsidR="0066065B" w:rsidRPr="00736C23">
        <w:rPr>
          <w:rFonts w:ascii="Times New Roman" w:eastAsia="Times New Roman" w:hAnsi="Times New Roman" w:cs="Times New Roman"/>
          <w:color w:val="000000"/>
        </w:rPr>
        <w:t>a sezione dell’</w:t>
      </w:r>
      <w:r w:rsidR="00F5119C" w:rsidRPr="00736C23">
        <w:rPr>
          <w:rFonts w:ascii="Times New Roman" w:eastAsia="Times New Roman" w:hAnsi="Times New Roman" w:cs="Times New Roman"/>
          <w:i/>
          <w:color w:val="000000"/>
        </w:rPr>
        <w:t>Höchstes Wesen</w:t>
      </w:r>
      <w:r w:rsidR="00A97025" w:rsidRPr="00736C23">
        <w:rPr>
          <w:rFonts w:ascii="Times New Roman" w:eastAsia="Times New Roman" w:hAnsi="Times New Roman" w:cs="Times New Roman"/>
          <w:color w:val="000000"/>
        </w:rPr>
        <w:t>.</w:t>
      </w:r>
      <w:r w:rsidR="00E35B27" w:rsidRPr="00736C23">
        <w:rPr>
          <w:rFonts w:ascii="Times New Roman" w:eastAsia="Times New Roman" w:hAnsi="Times New Roman" w:cs="Times New Roman"/>
          <w:color w:val="000000"/>
        </w:rPr>
        <w:t xml:space="preserve"> </w:t>
      </w:r>
    </w:p>
    <w:p w14:paraId="3FF6CD3E" w14:textId="35075A06" w:rsidR="00E0164B" w:rsidRPr="006C272A" w:rsidRDefault="006C272A" w:rsidP="0046746B">
      <w:pPr>
        <w:widowControl w:val="0"/>
        <w:autoSpaceDE w:val="0"/>
        <w:autoSpaceDN w:val="0"/>
        <w:adjustRightInd w:val="0"/>
        <w:spacing w:after="240" w:line="360" w:lineRule="auto"/>
        <w:ind w:firstLine="567"/>
        <w:jc w:val="both"/>
        <w:rPr>
          <w:rFonts w:ascii="Times New Roman" w:eastAsia="Times New Roman" w:hAnsi="Times New Roman" w:cs="Times New Roman"/>
          <w:color w:val="000000"/>
        </w:rPr>
      </w:pPr>
      <w:r w:rsidRPr="00736C23">
        <w:rPr>
          <w:rFonts w:ascii="Times New Roman" w:eastAsia="Times New Roman" w:hAnsi="Times New Roman" w:cs="Times New Roman"/>
          <w:color w:val="000000"/>
        </w:rPr>
        <w:t>Il recupero hegelian</w:t>
      </w:r>
      <w:r w:rsidR="005A536F" w:rsidRPr="00736C23">
        <w:rPr>
          <w:rFonts w:ascii="Times New Roman" w:eastAsia="Times New Roman" w:hAnsi="Times New Roman" w:cs="Times New Roman"/>
          <w:color w:val="000000"/>
        </w:rPr>
        <w:t>o</w:t>
      </w:r>
      <w:r w:rsidRPr="00736C23">
        <w:rPr>
          <w:rFonts w:ascii="Times New Roman" w:eastAsia="Times New Roman" w:hAnsi="Times New Roman" w:cs="Times New Roman"/>
          <w:color w:val="000000"/>
        </w:rPr>
        <w:t xml:space="preserve"> della teoria böhmiana delle </w:t>
      </w:r>
      <w:r w:rsidRPr="00736C23">
        <w:rPr>
          <w:rFonts w:ascii="Times New Roman" w:eastAsia="Times New Roman" w:hAnsi="Times New Roman" w:cs="Times New Roman"/>
          <w:i/>
          <w:color w:val="000000"/>
        </w:rPr>
        <w:t>Qualitäten</w:t>
      </w:r>
      <w:r w:rsidR="003B5059" w:rsidRPr="00736C23">
        <w:rPr>
          <w:rFonts w:ascii="Times New Roman" w:eastAsia="Times New Roman" w:hAnsi="Times New Roman" w:cs="Times New Roman"/>
          <w:color w:val="000000"/>
        </w:rPr>
        <w:t xml:space="preserve"> </w:t>
      </w:r>
      <w:r w:rsidRPr="00736C23">
        <w:rPr>
          <w:rFonts w:ascii="Times New Roman" w:eastAsia="Times New Roman" w:hAnsi="Times New Roman" w:cs="Times New Roman"/>
          <w:color w:val="000000"/>
        </w:rPr>
        <w:t>non è un episodio casuale</w:t>
      </w:r>
      <w:r w:rsidR="00DD2CE8" w:rsidRPr="00736C23">
        <w:rPr>
          <w:rFonts w:ascii="Times New Roman" w:eastAsia="Times New Roman" w:hAnsi="Times New Roman" w:cs="Times New Roman"/>
          <w:color w:val="000000"/>
        </w:rPr>
        <w:t>,</w:t>
      </w:r>
      <w:r w:rsidRPr="00736C23">
        <w:rPr>
          <w:rFonts w:ascii="Times New Roman" w:eastAsia="Times New Roman" w:hAnsi="Times New Roman" w:cs="Times New Roman"/>
          <w:color w:val="000000"/>
        </w:rPr>
        <w:t xml:space="preserve"> né storicamente isolato</w:t>
      </w:r>
      <w:r w:rsidR="00DD2CE8" w:rsidRPr="00736C23">
        <w:rPr>
          <w:rFonts w:ascii="Times New Roman" w:eastAsia="Times New Roman" w:hAnsi="Times New Roman" w:cs="Times New Roman"/>
          <w:color w:val="000000"/>
        </w:rPr>
        <w:t>, nella Germania del XIX secolo</w:t>
      </w:r>
      <w:r w:rsidRPr="00736C23">
        <w:rPr>
          <w:rFonts w:ascii="Times New Roman" w:eastAsia="Times New Roman" w:hAnsi="Times New Roman" w:cs="Times New Roman"/>
          <w:color w:val="000000"/>
        </w:rPr>
        <w:t xml:space="preserve">. </w:t>
      </w:r>
      <w:r w:rsidR="00377C4E" w:rsidRPr="00736C23">
        <w:rPr>
          <w:rFonts w:ascii="Times New Roman" w:eastAsia="Times New Roman" w:hAnsi="Times New Roman" w:cs="Times New Roman"/>
          <w:color w:val="000000"/>
        </w:rPr>
        <w:t>Una riscoperta della teosofia di Böhme</w:t>
      </w:r>
      <w:r w:rsidR="001814F3" w:rsidRPr="00736C23">
        <w:rPr>
          <w:rFonts w:ascii="Times New Roman" w:eastAsia="Times New Roman" w:hAnsi="Times New Roman" w:cs="Times New Roman"/>
          <w:color w:val="000000"/>
        </w:rPr>
        <w:t>, in effetti,</w:t>
      </w:r>
      <w:r w:rsidR="00377C4E" w:rsidRPr="00736C23">
        <w:rPr>
          <w:rFonts w:ascii="Times New Roman" w:eastAsia="Times New Roman" w:hAnsi="Times New Roman" w:cs="Times New Roman"/>
          <w:color w:val="000000"/>
        </w:rPr>
        <w:t xml:space="preserve"> divampa </w:t>
      </w:r>
      <w:r w:rsidR="00736C23" w:rsidRPr="00736C23">
        <w:rPr>
          <w:rFonts w:ascii="Times New Roman" w:eastAsia="Times New Roman" w:hAnsi="Times New Roman" w:cs="Times New Roman"/>
          <w:color w:val="000000"/>
        </w:rPr>
        <w:t xml:space="preserve">a fine </w:t>
      </w:r>
      <w:r w:rsidR="00DD2CE8" w:rsidRPr="00736C23">
        <w:rPr>
          <w:rFonts w:ascii="Times New Roman" w:eastAsia="Times New Roman" w:hAnsi="Times New Roman" w:cs="Times New Roman"/>
          <w:color w:val="000000"/>
        </w:rPr>
        <w:t>’700 e</w:t>
      </w:r>
      <w:r w:rsidR="00736C23" w:rsidRPr="00736C23">
        <w:rPr>
          <w:rFonts w:ascii="Times New Roman" w:eastAsia="Times New Roman" w:hAnsi="Times New Roman" w:cs="Times New Roman"/>
          <w:color w:val="000000"/>
        </w:rPr>
        <w:t xml:space="preserve"> inizio </w:t>
      </w:r>
      <w:r w:rsidR="00DD2CE8" w:rsidRPr="00736C23">
        <w:rPr>
          <w:rFonts w:ascii="Times New Roman" w:eastAsia="Times New Roman" w:hAnsi="Times New Roman" w:cs="Times New Roman"/>
          <w:color w:val="000000"/>
        </w:rPr>
        <w:t>’800</w:t>
      </w:r>
      <w:r w:rsidR="00377C4E" w:rsidRPr="00736C23">
        <w:rPr>
          <w:rFonts w:ascii="Times New Roman" w:eastAsia="Times New Roman" w:hAnsi="Times New Roman" w:cs="Times New Roman"/>
          <w:color w:val="000000"/>
        </w:rPr>
        <w:t xml:space="preserve"> </w:t>
      </w:r>
      <w:r w:rsidR="001814F3" w:rsidRPr="00736C23">
        <w:rPr>
          <w:rFonts w:ascii="Times New Roman" w:eastAsia="Times New Roman" w:hAnsi="Times New Roman" w:cs="Times New Roman"/>
          <w:color w:val="000000"/>
        </w:rPr>
        <w:t xml:space="preserve">a Jena, dove s’assiste ad una vera a propria </w:t>
      </w:r>
      <w:r w:rsidR="001814F3" w:rsidRPr="00736C23">
        <w:rPr>
          <w:rFonts w:ascii="Times New Roman" w:eastAsia="Times New Roman" w:hAnsi="Times New Roman" w:cs="Times New Roman"/>
          <w:i/>
          <w:color w:val="000000"/>
        </w:rPr>
        <w:t>Böhme-Renaissance</w:t>
      </w:r>
      <w:r w:rsidR="00A9027D" w:rsidRPr="00736C23">
        <w:rPr>
          <w:rStyle w:val="Rimandonotaapidipagina"/>
          <w:rFonts w:ascii="Times New Roman" w:eastAsia="Times New Roman" w:hAnsi="Times New Roman" w:cs="Times New Roman"/>
          <w:color w:val="000000"/>
        </w:rPr>
        <w:footnoteReference w:id="246"/>
      </w:r>
      <w:r w:rsidR="00E17083" w:rsidRPr="00736C23">
        <w:rPr>
          <w:rFonts w:ascii="Times New Roman" w:eastAsia="Times New Roman" w:hAnsi="Times New Roman" w:cs="Times New Roman"/>
          <w:color w:val="000000"/>
        </w:rPr>
        <w:t>.</w:t>
      </w:r>
      <w:r w:rsidR="001814F3">
        <w:rPr>
          <w:rFonts w:ascii="Times New Roman" w:eastAsia="Times New Roman" w:hAnsi="Times New Roman" w:cs="Times New Roman"/>
          <w:color w:val="000000"/>
        </w:rPr>
        <w:t xml:space="preserve"> </w:t>
      </w:r>
      <w:r w:rsidR="001814F3" w:rsidRPr="0000352C">
        <w:rPr>
          <w:rFonts w:ascii="Times New Roman" w:eastAsia="Times New Roman" w:hAnsi="Times New Roman" w:cs="Times New Roman"/>
          <w:color w:val="000000"/>
        </w:rPr>
        <w:t>Tutte le personalità di spicco del circolo romantico –</w:t>
      </w:r>
      <w:r w:rsidR="00DF207A" w:rsidRPr="0000352C">
        <w:rPr>
          <w:rFonts w:ascii="Times New Roman" w:eastAsia="Times New Roman" w:hAnsi="Times New Roman" w:cs="Times New Roman"/>
          <w:color w:val="000000"/>
        </w:rPr>
        <w:t xml:space="preserve"> </w:t>
      </w:r>
      <w:r w:rsidR="00563F7B">
        <w:rPr>
          <w:rFonts w:ascii="Times New Roman" w:eastAsia="Times New Roman" w:hAnsi="Times New Roman" w:cs="Times New Roman"/>
          <w:color w:val="000000"/>
        </w:rPr>
        <w:t>Tieck, Novalis e</w:t>
      </w:r>
      <w:r w:rsidR="001814F3" w:rsidRPr="0000352C">
        <w:rPr>
          <w:rFonts w:ascii="Times New Roman" w:eastAsia="Times New Roman" w:hAnsi="Times New Roman" w:cs="Times New Roman"/>
          <w:color w:val="000000"/>
        </w:rPr>
        <w:t xml:space="preserve"> i fratelli Schlegel – si p</w:t>
      </w:r>
      <w:r w:rsidR="00952B12" w:rsidRPr="0000352C">
        <w:rPr>
          <w:rFonts w:ascii="Times New Roman" w:eastAsia="Times New Roman" w:hAnsi="Times New Roman" w:cs="Times New Roman"/>
          <w:color w:val="000000"/>
        </w:rPr>
        <w:t xml:space="preserve">ronunciano sull’opera böhmiana, </w:t>
      </w:r>
      <w:r w:rsidR="001814F3" w:rsidRPr="0000352C">
        <w:rPr>
          <w:rFonts w:ascii="Times New Roman" w:eastAsia="Times New Roman" w:hAnsi="Times New Roman" w:cs="Times New Roman"/>
          <w:color w:val="000000"/>
        </w:rPr>
        <w:t xml:space="preserve">offrendone interpretazioni </w:t>
      </w:r>
      <w:r w:rsidR="00952B12" w:rsidRPr="0000352C">
        <w:rPr>
          <w:rFonts w:ascii="Times New Roman" w:eastAsia="Times New Roman" w:hAnsi="Times New Roman" w:cs="Times New Roman"/>
          <w:color w:val="000000"/>
        </w:rPr>
        <w:t>eterogenee</w:t>
      </w:r>
      <w:r w:rsidR="001814F3" w:rsidRPr="0000352C">
        <w:rPr>
          <w:rFonts w:ascii="Times New Roman" w:eastAsia="Times New Roman" w:hAnsi="Times New Roman" w:cs="Times New Roman"/>
          <w:color w:val="000000"/>
        </w:rPr>
        <w:t>.</w:t>
      </w:r>
      <w:r w:rsidR="001814F3">
        <w:rPr>
          <w:rFonts w:ascii="Times New Roman" w:eastAsia="Times New Roman" w:hAnsi="Times New Roman" w:cs="Times New Roman"/>
          <w:color w:val="000000"/>
        </w:rPr>
        <w:t xml:space="preserve"> Non da ultimo,</w:t>
      </w:r>
      <w:r w:rsidR="00466A47">
        <w:rPr>
          <w:rFonts w:ascii="Times New Roman" w:eastAsia="Times New Roman" w:hAnsi="Times New Roman" w:cs="Times New Roman"/>
          <w:color w:val="000000"/>
        </w:rPr>
        <w:t xml:space="preserve"> anche Schelling mostr</w:t>
      </w:r>
      <w:r w:rsidR="001814F3">
        <w:rPr>
          <w:rFonts w:ascii="Times New Roman" w:eastAsia="Times New Roman" w:hAnsi="Times New Roman" w:cs="Times New Roman"/>
          <w:color w:val="000000"/>
        </w:rPr>
        <w:t>a un interesse non di circostanza, ma dettato da esigenze teoriche prof</w:t>
      </w:r>
      <w:r w:rsidR="00726D06">
        <w:rPr>
          <w:rFonts w:ascii="Times New Roman" w:eastAsia="Times New Roman" w:hAnsi="Times New Roman" w:cs="Times New Roman"/>
          <w:color w:val="000000"/>
        </w:rPr>
        <w:t>onde, per il pensiero</w:t>
      </w:r>
      <w:r w:rsidR="001814F3">
        <w:rPr>
          <w:rFonts w:ascii="Times New Roman" w:eastAsia="Times New Roman" w:hAnsi="Times New Roman" w:cs="Times New Roman"/>
          <w:color w:val="000000"/>
        </w:rPr>
        <w:t xml:space="preserve"> del </w:t>
      </w:r>
      <w:r w:rsidR="00726D06">
        <w:rPr>
          <w:rFonts w:ascii="Times New Roman" w:eastAsia="Times New Roman" w:hAnsi="Times New Roman" w:cs="Times New Roman"/>
          <w:color w:val="000000"/>
        </w:rPr>
        <w:t xml:space="preserve">mistico </w:t>
      </w:r>
      <w:r w:rsidR="00A87322">
        <w:rPr>
          <w:rFonts w:ascii="Times New Roman" w:eastAsia="Times New Roman" w:hAnsi="Times New Roman" w:cs="Times New Roman"/>
          <w:color w:val="000000"/>
        </w:rPr>
        <w:t xml:space="preserve">di Görlitz. </w:t>
      </w:r>
      <w:r w:rsidR="00E70022" w:rsidRPr="00E31B80">
        <w:rPr>
          <w:rFonts w:ascii="Times New Roman" w:eastAsia="Times New Roman" w:hAnsi="Times New Roman" w:cs="Times New Roman"/>
          <w:color w:val="000000"/>
        </w:rPr>
        <w:t>N</w:t>
      </w:r>
      <w:r w:rsidR="00726D06" w:rsidRPr="00E31B80">
        <w:rPr>
          <w:rFonts w:ascii="Times New Roman" w:eastAsia="Times New Roman" w:hAnsi="Times New Roman" w:cs="Times New Roman"/>
          <w:color w:val="000000"/>
        </w:rPr>
        <w:t>el 1804</w:t>
      </w:r>
      <w:r w:rsidR="0016040A" w:rsidRPr="00E31B80">
        <w:rPr>
          <w:rFonts w:ascii="Times New Roman" w:eastAsia="Times New Roman" w:hAnsi="Times New Roman" w:cs="Times New Roman"/>
          <w:color w:val="000000"/>
        </w:rPr>
        <w:t xml:space="preserve"> </w:t>
      </w:r>
      <w:r w:rsidR="00726D06" w:rsidRPr="00E31B80">
        <w:rPr>
          <w:rFonts w:ascii="Times New Roman" w:eastAsia="Times New Roman" w:hAnsi="Times New Roman" w:cs="Times New Roman"/>
          <w:color w:val="000000"/>
        </w:rPr>
        <w:t>Schelling</w:t>
      </w:r>
      <w:r w:rsidR="00726D06" w:rsidRPr="0023643E">
        <w:rPr>
          <w:rFonts w:ascii="Times New Roman" w:eastAsia="Times New Roman" w:hAnsi="Times New Roman" w:cs="Times New Roman"/>
          <w:color w:val="000000"/>
        </w:rPr>
        <w:t xml:space="preserve"> dà alle stampe</w:t>
      </w:r>
      <w:r w:rsidR="00A87322" w:rsidRPr="0023643E">
        <w:rPr>
          <w:rFonts w:ascii="Times New Roman" w:eastAsia="Times New Roman" w:hAnsi="Times New Roman" w:cs="Times New Roman"/>
          <w:color w:val="000000"/>
        </w:rPr>
        <w:t xml:space="preserve"> </w:t>
      </w:r>
      <w:r w:rsidR="00A87322" w:rsidRPr="0023643E">
        <w:rPr>
          <w:rFonts w:ascii="Times New Roman" w:eastAsia="Times New Roman" w:hAnsi="Times New Roman" w:cs="Times New Roman"/>
          <w:i/>
          <w:color w:val="000000"/>
        </w:rPr>
        <w:t>Philosophie und Religion</w:t>
      </w:r>
      <w:r w:rsidR="00A87322" w:rsidRPr="0023643E">
        <w:rPr>
          <w:rFonts w:ascii="Times New Roman" w:eastAsia="Times New Roman" w:hAnsi="Times New Roman" w:cs="Times New Roman"/>
          <w:color w:val="000000"/>
        </w:rPr>
        <w:t xml:space="preserve">, </w:t>
      </w:r>
      <w:r w:rsidR="001F3929" w:rsidRPr="0023643E">
        <w:rPr>
          <w:rFonts w:ascii="Times New Roman" w:eastAsia="Times New Roman" w:hAnsi="Times New Roman" w:cs="Times New Roman"/>
          <w:color w:val="000000"/>
        </w:rPr>
        <w:t>un’opera che problematizza il</w:t>
      </w:r>
      <w:r w:rsidR="00A87322" w:rsidRPr="0023643E">
        <w:rPr>
          <w:rFonts w:ascii="Times New Roman" w:eastAsia="Times New Roman" w:hAnsi="Times New Roman" w:cs="Times New Roman"/>
          <w:color w:val="000000"/>
        </w:rPr>
        <w:t xml:space="preserve"> passaggio dall’infinito al finito. Il concetto cardine dell’argomentazione schellinghiana è quello d</w:t>
      </w:r>
      <w:r w:rsidR="00DD2CE8">
        <w:rPr>
          <w:rFonts w:ascii="Times New Roman" w:eastAsia="Times New Roman" w:hAnsi="Times New Roman" w:cs="Times New Roman"/>
          <w:color w:val="000000"/>
        </w:rPr>
        <w:t>ell</w:t>
      </w:r>
      <w:r w:rsidR="00726D06" w:rsidRPr="0023643E">
        <w:rPr>
          <w:rFonts w:ascii="Times New Roman" w:eastAsia="Times New Roman" w:hAnsi="Times New Roman" w:cs="Times New Roman"/>
          <w:i/>
          <w:color w:val="000000"/>
        </w:rPr>
        <w:t>’</w:t>
      </w:r>
      <w:r w:rsidR="00A87322" w:rsidRPr="0023643E">
        <w:rPr>
          <w:rFonts w:ascii="Times New Roman" w:eastAsia="Times New Roman" w:hAnsi="Times New Roman" w:cs="Times New Roman"/>
          <w:i/>
          <w:color w:val="000000"/>
        </w:rPr>
        <w:t>Abfall</w:t>
      </w:r>
      <w:r w:rsidR="00A87322" w:rsidRPr="0023643E">
        <w:rPr>
          <w:rFonts w:ascii="Times New Roman" w:eastAsia="Times New Roman" w:hAnsi="Times New Roman" w:cs="Times New Roman"/>
          <w:color w:val="000000"/>
        </w:rPr>
        <w:t xml:space="preserve">: non potendo </w:t>
      </w:r>
      <w:r w:rsidR="003707A9">
        <w:rPr>
          <w:rFonts w:ascii="Times New Roman" w:eastAsia="Times New Roman" w:hAnsi="Times New Roman" w:cs="Times New Roman"/>
          <w:color w:val="000000"/>
        </w:rPr>
        <w:t>argomentare</w:t>
      </w:r>
      <w:r w:rsidR="00A87322" w:rsidRPr="0023643E">
        <w:rPr>
          <w:rFonts w:ascii="Times New Roman" w:eastAsia="Times New Roman" w:hAnsi="Times New Roman" w:cs="Times New Roman"/>
          <w:color w:val="000000"/>
        </w:rPr>
        <w:t xml:space="preserve"> il passaggio dalla sfera infinita a quella finita, Schelling adopera l’immagine della caduta</w:t>
      </w:r>
      <w:r w:rsidR="00563F7B">
        <w:rPr>
          <w:rFonts w:ascii="Times New Roman" w:eastAsia="Times New Roman" w:hAnsi="Times New Roman" w:cs="Times New Roman"/>
          <w:color w:val="000000"/>
        </w:rPr>
        <w:t xml:space="preserve"> per</w:t>
      </w:r>
      <w:r w:rsidR="00A87322" w:rsidRPr="0023643E">
        <w:rPr>
          <w:rFonts w:ascii="Times New Roman" w:eastAsia="Times New Roman" w:hAnsi="Times New Roman" w:cs="Times New Roman"/>
          <w:color w:val="000000"/>
        </w:rPr>
        <w:t xml:space="preserve"> </w:t>
      </w:r>
      <w:r w:rsidR="00726D06" w:rsidRPr="0023643E">
        <w:rPr>
          <w:rFonts w:ascii="Times New Roman" w:eastAsia="Times New Roman" w:hAnsi="Times New Roman" w:cs="Times New Roman"/>
          <w:color w:val="000000"/>
        </w:rPr>
        <w:t>giustifica</w:t>
      </w:r>
      <w:r w:rsidR="00563F7B">
        <w:rPr>
          <w:rFonts w:ascii="Times New Roman" w:eastAsia="Times New Roman" w:hAnsi="Times New Roman" w:cs="Times New Roman"/>
          <w:color w:val="000000"/>
        </w:rPr>
        <w:t>re</w:t>
      </w:r>
      <w:r w:rsidR="008C0756" w:rsidRPr="0023643E">
        <w:rPr>
          <w:rFonts w:ascii="Times New Roman" w:eastAsia="Times New Roman" w:hAnsi="Times New Roman" w:cs="Times New Roman"/>
          <w:color w:val="000000"/>
        </w:rPr>
        <w:t xml:space="preserve"> il rovinare</w:t>
      </w:r>
      <w:r w:rsidR="00A87322" w:rsidRPr="0023643E">
        <w:rPr>
          <w:rFonts w:ascii="Times New Roman" w:eastAsia="Times New Roman" w:hAnsi="Times New Roman" w:cs="Times New Roman"/>
          <w:color w:val="000000"/>
        </w:rPr>
        <w:t xml:space="preserve"> della copia </w:t>
      </w:r>
      <w:r w:rsidR="008C0756" w:rsidRPr="0023643E">
        <w:rPr>
          <w:rFonts w:ascii="Times New Roman" w:eastAsia="Times New Roman" w:hAnsi="Times New Roman" w:cs="Times New Roman"/>
          <w:color w:val="000000"/>
        </w:rPr>
        <w:t xml:space="preserve">dell’Assoluto </w:t>
      </w:r>
      <w:r w:rsidR="00A87322" w:rsidRPr="0023643E">
        <w:rPr>
          <w:rFonts w:ascii="Times New Roman" w:eastAsia="Times New Roman" w:hAnsi="Times New Roman" w:cs="Times New Roman"/>
          <w:color w:val="000000"/>
        </w:rPr>
        <w:t>dalla dimensione atemporale</w:t>
      </w:r>
      <w:r w:rsidR="00726D06" w:rsidRPr="0023643E">
        <w:rPr>
          <w:rFonts w:ascii="Times New Roman" w:eastAsia="Times New Roman" w:hAnsi="Times New Roman" w:cs="Times New Roman"/>
          <w:color w:val="000000"/>
        </w:rPr>
        <w:t xml:space="preserve"> </w:t>
      </w:r>
      <w:r w:rsidR="006A6C58" w:rsidRPr="0023643E">
        <w:rPr>
          <w:rFonts w:ascii="Times New Roman" w:eastAsia="Times New Roman" w:hAnsi="Times New Roman" w:cs="Times New Roman"/>
          <w:color w:val="000000"/>
        </w:rPr>
        <w:t>in</w:t>
      </w:r>
      <w:r w:rsidR="00466A47" w:rsidRPr="0023643E">
        <w:rPr>
          <w:rFonts w:ascii="Times New Roman" w:eastAsia="Times New Roman" w:hAnsi="Times New Roman" w:cs="Times New Roman"/>
          <w:color w:val="000000"/>
        </w:rPr>
        <w:t xml:space="preserve"> quella temporale</w:t>
      </w:r>
      <w:r w:rsidR="00A87322" w:rsidRPr="0023643E">
        <w:rPr>
          <w:rFonts w:ascii="Times New Roman" w:eastAsia="Times New Roman" w:hAnsi="Times New Roman" w:cs="Times New Roman"/>
          <w:color w:val="000000"/>
        </w:rPr>
        <w:t>. L’Assoluto</w:t>
      </w:r>
      <w:r w:rsidR="00DC776F" w:rsidRPr="0023643E">
        <w:rPr>
          <w:rFonts w:ascii="Times New Roman" w:eastAsia="Times New Roman" w:hAnsi="Times New Roman" w:cs="Times New Roman"/>
          <w:color w:val="000000"/>
        </w:rPr>
        <w:t xml:space="preserve">, proprio perché tale, non può avere altro oggetto </w:t>
      </w:r>
      <w:r w:rsidR="0031048C" w:rsidRPr="0023643E">
        <w:rPr>
          <w:rFonts w:ascii="Times New Roman" w:eastAsia="Times New Roman" w:hAnsi="Times New Roman" w:cs="Times New Roman"/>
          <w:color w:val="000000"/>
        </w:rPr>
        <w:t xml:space="preserve">all’infuori di sé. In </w:t>
      </w:r>
      <w:r w:rsidR="00C21F3E" w:rsidRPr="0023643E">
        <w:rPr>
          <w:rFonts w:ascii="Times New Roman" w:eastAsia="Times New Roman" w:hAnsi="Times New Roman" w:cs="Times New Roman"/>
          <w:color w:val="000000"/>
        </w:rPr>
        <w:t>quanto oggetto del proprio pensiero</w:t>
      </w:r>
      <w:r w:rsidR="008C0756" w:rsidRPr="0023643E">
        <w:rPr>
          <w:rFonts w:ascii="Times New Roman" w:eastAsia="Times New Roman" w:hAnsi="Times New Roman" w:cs="Times New Roman"/>
          <w:color w:val="000000"/>
        </w:rPr>
        <w:t xml:space="preserve">, </w:t>
      </w:r>
      <w:r w:rsidR="0031048C" w:rsidRPr="0023643E">
        <w:rPr>
          <w:rFonts w:ascii="Times New Roman" w:eastAsia="Times New Roman" w:hAnsi="Times New Roman" w:cs="Times New Roman"/>
          <w:color w:val="000000"/>
        </w:rPr>
        <w:t>l’infinito</w:t>
      </w:r>
      <w:r w:rsidR="001B2924" w:rsidRPr="0023643E">
        <w:rPr>
          <w:rFonts w:ascii="Times New Roman" w:eastAsia="Times New Roman" w:hAnsi="Times New Roman" w:cs="Times New Roman"/>
          <w:color w:val="000000"/>
        </w:rPr>
        <w:t xml:space="preserve"> dà</w:t>
      </w:r>
      <w:r w:rsidR="000D1FC6" w:rsidRPr="0023643E">
        <w:rPr>
          <w:rFonts w:ascii="Times New Roman" w:eastAsia="Times New Roman" w:hAnsi="Times New Roman" w:cs="Times New Roman"/>
          <w:color w:val="000000"/>
        </w:rPr>
        <w:t xml:space="preserve"> origine ad una </w:t>
      </w:r>
      <w:r w:rsidR="00DC776F" w:rsidRPr="0023643E">
        <w:rPr>
          <w:rFonts w:ascii="Times New Roman" w:eastAsia="Times New Roman" w:hAnsi="Times New Roman" w:cs="Times New Roman"/>
          <w:color w:val="000000"/>
        </w:rPr>
        <w:t>copia (</w:t>
      </w:r>
      <w:r w:rsidR="00DC776F" w:rsidRPr="0023643E">
        <w:rPr>
          <w:rFonts w:ascii="Times New Roman" w:eastAsia="Times New Roman" w:hAnsi="Times New Roman" w:cs="Times New Roman"/>
          <w:i/>
          <w:color w:val="000000"/>
        </w:rPr>
        <w:t>das Gegenbild</w:t>
      </w:r>
      <w:r w:rsidR="000D1FC6" w:rsidRPr="0023643E">
        <w:rPr>
          <w:rFonts w:ascii="Times New Roman" w:eastAsia="Times New Roman" w:hAnsi="Times New Roman" w:cs="Times New Roman"/>
          <w:color w:val="000000"/>
        </w:rPr>
        <w:t>) dotata d’autonomia e</w:t>
      </w:r>
      <w:r w:rsidR="00DC776F" w:rsidRPr="0023643E">
        <w:rPr>
          <w:rFonts w:ascii="Times New Roman" w:eastAsia="Times New Roman" w:hAnsi="Times New Roman" w:cs="Times New Roman"/>
          <w:color w:val="000000"/>
        </w:rPr>
        <w:t xml:space="preserve"> indipendenza:</w:t>
      </w:r>
    </w:p>
    <w:p w14:paraId="472614D4" w14:textId="1AF9D299" w:rsidR="00DF207A" w:rsidRPr="00B81148" w:rsidRDefault="00DC776F" w:rsidP="00726D06">
      <w:pPr>
        <w:spacing w:line="360" w:lineRule="auto"/>
        <w:ind w:left="708" w:firstLine="567"/>
        <w:jc w:val="both"/>
        <w:rPr>
          <w:rFonts w:ascii="Times New Roman" w:eastAsia="Times New Roman" w:hAnsi="Times New Roman" w:cs="Times New Roman"/>
          <w:color w:val="000000"/>
          <w:sz w:val="20"/>
          <w:szCs w:val="20"/>
        </w:rPr>
      </w:pPr>
      <w:r w:rsidRPr="00B81148">
        <w:rPr>
          <w:rFonts w:ascii="Times New Roman" w:eastAsia="Times New Roman" w:hAnsi="Times New Roman" w:cs="Times New Roman"/>
          <w:color w:val="000000"/>
          <w:sz w:val="20"/>
          <w:szCs w:val="20"/>
        </w:rPr>
        <w:t>«Wir gehen auf den Punkt zurück, den wir erst verließen –. Durch dieselbe stille und ewige Wirkung der Form, durch welche die Wesenheit des Absoluten sich im Objekt ab- und einbildet, ist dieses auch, gleich jenem, absolut in sich selbst […] Das ausschließend Eigenthümliche der Absolutheit ist, daß sie ihrem Gegenbild mit dem Wesen von ihr selbst auch die Selbständigkeit verleiht»</w:t>
      </w:r>
      <w:r w:rsidRPr="00B81148">
        <w:rPr>
          <w:rStyle w:val="Rimandonotaapidipagina"/>
          <w:rFonts w:ascii="Times New Roman" w:eastAsia="Times New Roman" w:hAnsi="Times New Roman" w:cs="Times New Roman"/>
          <w:color w:val="000000"/>
          <w:sz w:val="20"/>
          <w:szCs w:val="20"/>
        </w:rPr>
        <w:footnoteReference w:id="247"/>
      </w:r>
      <w:r w:rsidRPr="00B81148">
        <w:rPr>
          <w:rFonts w:ascii="Times New Roman" w:eastAsia="Times New Roman" w:hAnsi="Times New Roman" w:cs="Times New Roman"/>
          <w:color w:val="000000"/>
          <w:sz w:val="20"/>
          <w:szCs w:val="20"/>
        </w:rPr>
        <w:t>.</w:t>
      </w:r>
    </w:p>
    <w:p w14:paraId="010914B3" w14:textId="77777777" w:rsidR="00DF207A" w:rsidRPr="00442276" w:rsidRDefault="00DF207A" w:rsidP="00DF207A">
      <w:pPr>
        <w:spacing w:line="360" w:lineRule="auto"/>
        <w:ind w:firstLine="567"/>
        <w:jc w:val="both"/>
        <w:rPr>
          <w:rFonts w:ascii="Times New Roman" w:eastAsia="Times New Roman" w:hAnsi="Times New Roman" w:cs="Times New Roman"/>
          <w:color w:val="000000"/>
        </w:rPr>
      </w:pPr>
    </w:p>
    <w:p w14:paraId="587FA7F3" w14:textId="2564E134" w:rsidR="004157AA" w:rsidRDefault="004157AA" w:rsidP="007422A4">
      <w:pPr>
        <w:spacing w:line="360" w:lineRule="auto"/>
        <w:ind w:firstLine="567"/>
        <w:jc w:val="both"/>
        <w:rPr>
          <w:rFonts w:ascii="Times New Roman" w:eastAsia="Times New Roman" w:hAnsi="Times New Roman" w:cs="Times New Roman"/>
          <w:color w:val="000000"/>
        </w:rPr>
      </w:pPr>
      <w:r w:rsidRPr="007F6B21">
        <w:rPr>
          <w:rFonts w:ascii="Times New Roman" w:eastAsia="Times New Roman" w:hAnsi="Times New Roman" w:cs="Times New Roman"/>
          <w:color w:val="000000"/>
        </w:rPr>
        <w:t xml:space="preserve">Per essere indipendente e libera dall’Assoluto, per poter diventare quello che Schelling definisce come </w:t>
      </w:r>
      <w:r w:rsidR="00CA65C9" w:rsidRPr="007F6B21">
        <w:rPr>
          <w:rFonts w:ascii="Times New Roman" w:eastAsia="Times New Roman" w:hAnsi="Times New Roman" w:cs="Times New Roman"/>
          <w:color w:val="000000"/>
        </w:rPr>
        <w:t>«das andere Absolute»</w:t>
      </w:r>
      <w:r w:rsidR="00CA65C9" w:rsidRPr="007F6B21">
        <w:rPr>
          <w:rStyle w:val="Rimandonotaapidipagina"/>
          <w:rFonts w:ascii="Times New Roman" w:eastAsia="Times New Roman" w:hAnsi="Times New Roman" w:cs="Times New Roman"/>
          <w:color w:val="000000"/>
        </w:rPr>
        <w:footnoteReference w:id="248"/>
      </w:r>
      <w:r w:rsidR="00CA65C9" w:rsidRPr="007F6B21">
        <w:rPr>
          <w:rFonts w:ascii="Times New Roman" w:eastAsia="Times New Roman" w:hAnsi="Times New Roman" w:cs="Times New Roman"/>
          <w:color w:val="000000"/>
        </w:rPr>
        <w:t xml:space="preserve">, la copia </w:t>
      </w:r>
      <w:r w:rsidR="004720FD">
        <w:rPr>
          <w:rFonts w:ascii="Times New Roman" w:eastAsia="Times New Roman" w:hAnsi="Times New Roman" w:cs="Times New Roman"/>
          <w:color w:val="000000"/>
        </w:rPr>
        <w:t>(</w:t>
      </w:r>
      <w:r w:rsidR="004720FD" w:rsidRPr="004720FD">
        <w:rPr>
          <w:rFonts w:ascii="Times New Roman" w:eastAsia="Times New Roman" w:hAnsi="Times New Roman" w:cs="Times New Roman"/>
          <w:i/>
          <w:color w:val="000000"/>
        </w:rPr>
        <w:t>das Gegenbild</w:t>
      </w:r>
      <w:r w:rsidR="004720FD">
        <w:rPr>
          <w:rFonts w:ascii="Times New Roman" w:eastAsia="Times New Roman" w:hAnsi="Times New Roman" w:cs="Times New Roman"/>
          <w:color w:val="000000"/>
        </w:rPr>
        <w:t xml:space="preserve">) </w:t>
      </w:r>
      <w:r w:rsidR="00CA65C9" w:rsidRPr="007F6B21">
        <w:rPr>
          <w:rFonts w:ascii="Times New Roman" w:eastAsia="Times New Roman" w:hAnsi="Times New Roman" w:cs="Times New Roman"/>
          <w:color w:val="000000"/>
        </w:rPr>
        <w:t xml:space="preserve">deve </w:t>
      </w:r>
      <w:r w:rsidR="007F6B21" w:rsidRPr="007F6B21">
        <w:rPr>
          <w:rFonts w:ascii="Times New Roman" w:eastAsia="Times New Roman" w:hAnsi="Times New Roman" w:cs="Times New Roman"/>
          <w:color w:val="000000"/>
        </w:rPr>
        <w:t>realizzare la propria libertà</w:t>
      </w:r>
      <w:r w:rsidR="0031048C" w:rsidRPr="007F6B21">
        <w:rPr>
          <w:rFonts w:ascii="Times New Roman" w:eastAsia="Times New Roman" w:hAnsi="Times New Roman" w:cs="Times New Roman"/>
          <w:color w:val="000000"/>
        </w:rPr>
        <w:t xml:space="preserve">, deve sprigionare </w:t>
      </w:r>
      <w:r w:rsidR="00CA65C9" w:rsidRPr="007F6B21">
        <w:rPr>
          <w:rFonts w:ascii="Times New Roman" w:eastAsia="Times New Roman" w:hAnsi="Times New Roman" w:cs="Times New Roman"/>
          <w:color w:val="000000"/>
        </w:rPr>
        <w:t>attraverso un atto (</w:t>
      </w:r>
      <w:r w:rsidR="00CA65C9" w:rsidRPr="007F6B21">
        <w:rPr>
          <w:rFonts w:ascii="Times New Roman" w:eastAsia="Times New Roman" w:hAnsi="Times New Roman" w:cs="Times New Roman"/>
          <w:i/>
          <w:color w:val="000000"/>
        </w:rPr>
        <w:t>That-handlung</w:t>
      </w:r>
      <w:r w:rsidR="00CA65C9" w:rsidRPr="007F6B21">
        <w:rPr>
          <w:rFonts w:ascii="Times New Roman" w:eastAsia="Times New Roman" w:hAnsi="Times New Roman" w:cs="Times New Roman"/>
          <w:color w:val="000000"/>
        </w:rPr>
        <w:t>),</w:t>
      </w:r>
      <w:r w:rsidR="00A6131D" w:rsidRPr="007F6B21">
        <w:rPr>
          <w:rFonts w:ascii="Times New Roman" w:eastAsia="Times New Roman" w:hAnsi="Times New Roman" w:cs="Times New Roman"/>
          <w:color w:val="000000"/>
        </w:rPr>
        <w:t xml:space="preserve"> non un fatto (</w:t>
      </w:r>
      <w:r w:rsidR="00A6131D" w:rsidRPr="007F6B21">
        <w:rPr>
          <w:rFonts w:ascii="Times New Roman" w:eastAsia="Times New Roman" w:hAnsi="Times New Roman" w:cs="Times New Roman"/>
          <w:i/>
          <w:color w:val="000000"/>
        </w:rPr>
        <w:t>Tathsache</w:t>
      </w:r>
      <w:r w:rsidR="00A6131D" w:rsidRPr="007F6B21">
        <w:rPr>
          <w:rFonts w:ascii="Times New Roman" w:eastAsia="Times New Roman" w:hAnsi="Times New Roman" w:cs="Times New Roman"/>
          <w:color w:val="000000"/>
        </w:rPr>
        <w:t>)</w:t>
      </w:r>
      <w:r w:rsidR="007422A4" w:rsidRPr="007F6B21">
        <w:rPr>
          <w:rFonts w:ascii="Times New Roman" w:eastAsia="Times New Roman" w:hAnsi="Times New Roman" w:cs="Times New Roman"/>
          <w:color w:val="000000"/>
        </w:rPr>
        <w:t>, la</w:t>
      </w:r>
      <w:r w:rsidR="00CA65C9" w:rsidRPr="007F6B21">
        <w:rPr>
          <w:rFonts w:ascii="Times New Roman" w:eastAsia="Times New Roman" w:hAnsi="Times New Roman" w:cs="Times New Roman"/>
          <w:color w:val="000000"/>
        </w:rPr>
        <w:t xml:space="preserve"> propria egoità (</w:t>
      </w:r>
      <w:r w:rsidR="00CA65C9" w:rsidRPr="007F6B21">
        <w:rPr>
          <w:rFonts w:ascii="Times New Roman" w:eastAsia="Times New Roman" w:hAnsi="Times New Roman" w:cs="Times New Roman"/>
          <w:i/>
          <w:color w:val="000000"/>
        </w:rPr>
        <w:t>Ichheit</w:t>
      </w:r>
      <w:r w:rsidR="00CA65C9" w:rsidRPr="007F6B21">
        <w:rPr>
          <w:rFonts w:ascii="Times New Roman" w:eastAsia="Times New Roman" w:hAnsi="Times New Roman" w:cs="Times New Roman"/>
          <w:color w:val="000000"/>
        </w:rPr>
        <w:t>)</w:t>
      </w:r>
      <w:r w:rsidR="00597574" w:rsidRPr="007F6B21">
        <w:rPr>
          <w:rStyle w:val="Rimandonotaapidipagina"/>
          <w:rFonts w:ascii="Times New Roman" w:eastAsia="Times New Roman" w:hAnsi="Times New Roman" w:cs="Times New Roman"/>
          <w:color w:val="000000"/>
        </w:rPr>
        <w:footnoteReference w:id="249"/>
      </w:r>
      <w:r w:rsidR="00CA65C9" w:rsidRPr="007F6B21">
        <w:rPr>
          <w:rFonts w:ascii="Times New Roman" w:eastAsia="Times New Roman" w:hAnsi="Times New Roman" w:cs="Times New Roman"/>
          <w:color w:val="000000"/>
        </w:rPr>
        <w:t>.</w:t>
      </w:r>
      <w:r w:rsidR="001E55A6">
        <w:rPr>
          <w:rFonts w:ascii="Times New Roman" w:eastAsia="Times New Roman" w:hAnsi="Times New Roman" w:cs="Times New Roman"/>
          <w:color w:val="000000"/>
        </w:rPr>
        <w:t xml:space="preserve"> </w:t>
      </w:r>
      <w:r w:rsidR="00CA65C9">
        <w:rPr>
          <w:rFonts w:ascii="Times New Roman" w:eastAsia="Times New Roman" w:hAnsi="Times New Roman" w:cs="Times New Roman"/>
          <w:color w:val="000000"/>
        </w:rPr>
        <w:t xml:space="preserve">Superando </w:t>
      </w:r>
      <w:r w:rsidR="00BD644D">
        <w:rPr>
          <w:rFonts w:ascii="Times New Roman" w:eastAsia="Times New Roman" w:hAnsi="Times New Roman" w:cs="Times New Roman"/>
          <w:color w:val="000000"/>
        </w:rPr>
        <w:t xml:space="preserve">l’astratta possibilità d’essere l’altro Assoluto e </w:t>
      </w:r>
      <w:r w:rsidR="00CA65C9">
        <w:rPr>
          <w:rFonts w:ascii="Times New Roman" w:eastAsia="Times New Roman" w:hAnsi="Times New Roman" w:cs="Times New Roman"/>
          <w:color w:val="000000"/>
        </w:rPr>
        <w:t xml:space="preserve">dando effettualità alla propria egoità, la copia sperimenta su </w:t>
      </w:r>
      <w:r w:rsidR="00CA65C9" w:rsidRPr="00FF445C">
        <w:rPr>
          <w:rFonts w:ascii="Times New Roman" w:eastAsia="Times New Roman" w:hAnsi="Times New Roman" w:cs="Times New Roman"/>
          <w:color w:val="000000"/>
        </w:rPr>
        <w:t>di sé</w:t>
      </w:r>
      <w:r w:rsidR="00A6131D" w:rsidRPr="00FF445C">
        <w:rPr>
          <w:rFonts w:ascii="Times New Roman" w:eastAsia="Times New Roman" w:hAnsi="Times New Roman" w:cs="Times New Roman"/>
          <w:color w:val="000000"/>
        </w:rPr>
        <w:t xml:space="preserve"> «</w:t>
      </w:r>
      <w:r w:rsidR="00CA65C9" w:rsidRPr="00FF445C">
        <w:rPr>
          <w:rFonts w:ascii="Times New Roman" w:eastAsia="Times New Roman" w:hAnsi="Times New Roman" w:cs="Times New Roman"/>
          <w:color w:val="000000"/>
        </w:rPr>
        <w:t>die Strafe</w:t>
      </w:r>
      <w:r w:rsidR="00A6131D" w:rsidRPr="00FF445C">
        <w:rPr>
          <w:rFonts w:ascii="Times New Roman" w:eastAsia="Times New Roman" w:hAnsi="Times New Roman" w:cs="Times New Roman"/>
          <w:color w:val="000000"/>
        </w:rPr>
        <w:t>»</w:t>
      </w:r>
      <w:r w:rsidR="00CA65C9" w:rsidRPr="00FF445C">
        <w:rPr>
          <w:rFonts w:ascii="Times New Roman" w:eastAsia="Times New Roman" w:hAnsi="Times New Roman" w:cs="Times New Roman"/>
          <w:color w:val="000000"/>
        </w:rPr>
        <w:t>, che consiste «in der Verwicklung mit dem Endlichen</w:t>
      </w:r>
      <w:r w:rsidR="00744D3C" w:rsidRPr="00FF445C">
        <w:rPr>
          <w:rFonts w:ascii="Times New Roman" w:eastAsia="Times New Roman" w:hAnsi="Times New Roman" w:cs="Times New Roman"/>
          <w:color w:val="000000"/>
        </w:rPr>
        <w:t>»</w:t>
      </w:r>
      <w:r w:rsidR="00744D3C" w:rsidRPr="00FF445C">
        <w:rPr>
          <w:rStyle w:val="Rimandonotaapidipagina"/>
          <w:rFonts w:ascii="Times New Roman" w:eastAsia="Times New Roman" w:hAnsi="Times New Roman" w:cs="Times New Roman"/>
          <w:color w:val="000000"/>
        </w:rPr>
        <w:footnoteReference w:id="250"/>
      </w:r>
      <w:r w:rsidR="00BD644D" w:rsidRPr="00FF445C">
        <w:rPr>
          <w:rFonts w:ascii="Times New Roman" w:eastAsia="Times New Roman" w:hAnsi="Times New Roman" w:cs="Times New Roman"/>
          <w:color w:val="000000"/>
        </w:rPr>
        <w:t>.</w:t>
      </w:r>
      <w:r w:rsidR="006E5B68" w:rsidRPr="00FF445C">
        <w:rPr>
          <w:rFonts w:ascii="Times New Roman" w:eastAsia="Times New Roman" w:hAnsi="Times New Roman" w:cs="Times New Roman"/>
          <w:color w:val="000000"/>
        </w:rPr>
        <w:t xml:space="preserve"> </w:t>
      </w:r>
      <w:r w:rsidR="007422A4" w:rsidRPr="00FF445C">
        <w:rPr>
          <w:rFonts w:ascii="Times New Roman" w:eastAsia="Times New Roman" w:hAnsi="Times New Roman" w:cs="Times New Roman"/>
          <w:color w:val="000000"/>
        </w:rPr>
        <w:t xml:space="preserve">L’egoità, quindi, </w:t>
      </w:r>
      <w:r w:rsidR="00E57DE5" w:rsidRPr="00FF445C">
        <w:rPr>
          <w:rFonts w:ascii="Times New Roman" w:eastAsia="Times New Roman" w:hAnsi="Times New Roman" w:cs="Times New Roman"/>
          <w:color w:val="000000"/>
        </w:rPr>
        <w:t xml:space="preserve">è la </w:t>
      </w:r>
      <w:r w:rsidR="007422A4" w:rsidRPr="00FF445C">
        <w:rPr>
          <w:rFonts w:ascii="Times New Roman" w:eastAsia="Times New Roman" w:hAnsi="Times New Roman" w:cs="Times New Roman"/>
          <w:color w:val="000000"/>
        </w:rPr>
        <w:t>radice dell’</w:t>
      </w:r>
      <w:r w:rsidR="0031048C">
        <w:rPr>
          <w:rFonts w:ascii="Times New Roman" w:eastAsia="Times New Roman" w:hAnsi="Times New Roman" w:cs="Times New Roman"/>
          <w:color w:val="000000"/>
        </w:rPr>
        <w:t xml:space="preserve">allontanamento </w:t>
      </w:r>
      <w:r w:rsidR="004720FD">
        <w:rPr>
          <w:rFonts w:ascii="Times New Roman" w:eastAsia="Times New Roman" w:hAnsi="Times New Roman" w:cs="Times New Roman"/>
          <w:color w:val="000000"/>
        </w:rPr>
        <w:t xml:space="preserve">della </w:t>
      </w:r>
      <w:r w:rsidR="004720FD" w:rsidRPr="00D432DE">
        <w:rPr>
          <w:rFonts w:ascii="Times New Roman" w:eastAsia="Times New Roman" w:hAnsi="Times New Roman" w:cs="Times New Roman"/>
          <w:i/>
          <w:color w:val="000000"/>
        </w:rPr>
        <w:t>Gegenbild</w:t>
      </w:r>
      <w:r w:rsidR="004720FD">
        <w:rPr>
          <w:rFonts w:ascii="Times New Roman" w:eastAsia="Times New Roman" w:hAnsi="Times New Roman" w:cs="Times New Roman"/>
          <w:color w:val="000000"/>
        </w:rPr>
        <w:t xml:space="preserve"> </w:t>
      </w:r>
      <w:r w:rsidR="0031048C" w:rsidRPr="007F6B21">
        <w:rPr>
          <w:rFonts w:ascii="Times New Roman" w:eastAsia="Times New Roman" w:hAnsi="Times New Roman" w:cs="Times New Roman"/>
          <w:color w:val="000000"/>
        </w:rPr>
        <w:t>dall’A</w:t>
      </w:r>
      <w:r w:rsidR="007422A4" w:rsidRPr="007F6B21">
        <w:rPr>
          <w:rFonts w:ascii="Times New Roman" w:eastAsia="Times New Roman" w:hAnsi="Times New Roman" w:cs="Times New Roman"/>
          <w:color w:val="000000"/>
        </w:rPr>
        <w:t xml:space="preserve">ssoluto. </w:t>
      </w:r>
      <w:r w:rsidR="00D432DE" w:rsidRPr="007F6B21">
        <w:rPr>
          <w:rFonts w:ascii="Times New Roman" w:eastAsia="Times New Roman" w:hAnsi="Times New Roman" w:cs="Times New Roman"/>
          <w:color w:val="000000"/>
        </w:rPr>
        <w:t>Il mondo ideale cade e s’impiglia nella finitezza: questa è la colpa e la pena a cui va incontro l’oggetto riprodotto dalla forma assoluta.</w:t>
      </w:r>
      <w:r w:rsidR="00E10E7B" w:rsidRPr="007F6B21">
        <w:rPr>
          <w:rFonts w:ascii="Times New Roman" w:eastAsia="Times New Roman" w:hAnsi="Times New Roman" w:cs="Times New Roman"/>
          <w:color w:val="000000"/>
        </w:rPr>
        <w:t xml:space="preserve"> Ma senza la colpa, senza l’allo</w:t>
      </w:r>
      <w:r w:rsidR="00D432DE" w:rsidRPr="007F6B21">
        <w:rPr>
          <w:rFonts w:ascii="Times New Roman" w:eastAsia="Times New Roman" w:hAnsi="Times New Roman" w:cs="Times New Roman"/>
          <w:color w:val="000000"/>
        </w:rPr>
        <w:t>ntamento, senza il distacco non potrebbe esservi né</w:t>
      </w:r>
      <w:r w:rsidR="001B2924" w:rsidRPr="007F6B21">
        <w:rPr>
          <w:rFonts w:ascii="Times New Roman" w:eastAsia="Times New Roman" w:hAnsi="Times New Roman" w:cs="Times New Roman"/>
          <w:color w:val="000000"/>
        </w:rPr>
        <w:t xml:space="preserve"> a</w:t>
      </w:r>
      <w:r w:rsidR="00D14FA6" w:rsidRPr="007F6B21">
        <w:rPr>
          <w:rFonts w:ascii="Times New Roman" w:eastAsia="Times New Roman" w:hAnsi="Times New Roman" w:cs="Times New Roman"/>
          <w:color w:val="000000"/>
        </w:rPr>
        <w:t>lterità né ritorno</w:t>
      </w:r>
      <w:r w:rsidR="001B2924" w:rsidRPr="007F6B21">
        <w:rPr>
          <w:rFonts w:ascii="Times New Roman" w:eastAsia="Times New Roman" w:hAnsi="Times New Roman" w:cs="Times New Roman"/>
          <w:color w:val="000000"/>
        </w:rPr>
        <w:t xml:space="preserve"> dell</w:t>
      </w:r>
      <w:r w:rsidR="00D14FA6" w:rsidRPr="007F6B21">
        <w:rPr>
          <w:rFonts w:ascii="Times New Roman" w:eastAsia="Times New Roman" w:hAnsi="Times New Roman" w:cs="Times New Roman"/>
          <w:color w:val="000000"/>
        </w:rPr>
        <w:t xml:space="preserve">a </w:t>
      </w:r>
      <w:r w:rsidR="00D14FA6" w:rsidRPr="007F6B21">
        <w:rPr>
          <w:rFonts w:ascii="Times New Roman" w:eastAsia="Times New Roman" w:hAnsi="Times New Roman" w:cs="Times New Roman"/>
          <w:i/>
          <w:color w:val="000000"/>
        </w:rPr>
        <w:t>Gegenbild</w:t>
      </w:r>
      <w:r w:rsidR="00D14FA6" w:rsidRPr="007F6B21">
        <w:rPr>
          <w:rFonts w:ascii="Times New Roman" w:eastAsia="Times New Roman" w:hAnsi="Times New Roman" w:cs="Times New Roman"/>
          <w:color w:val="000000"/>
        </w:rPr>
        <w:t xml:space="preserve"> </w:t>
      </w:r>
      <w:r w:rsidR="00E57DE5" w:rsidRPr="007F6B21">
        <w:rPr>
          <w:rFonts w:ascii="Times New Roman" w:eastAsia="Times New Roman" w:hAnsi="Times New Roman" w:cs="Times New Roman"/>
          <w:color w:val="000000"/>
        </w:rPr>
        <w:t>ne</w:t>
      </w:r>
      <w:r w:rsidR="00D432DE" w:rsidRPr="007F6B21">
        <w:rPr>
          <w:rFonts w:ascii="Times New Roman" w:eastAsia="Times New Roman" w:hAnsi="Times New Roman" w:cs="Times New Roman"/>
          <w:color w:val="000000"/>
        </w:rPr>
        <w:t>ll’</w:t>
      </w:r>
      <w:r w:rsidR="007F6B21">
        <w:rPr>
          <w:rFonts w:ascii="Times New Roman" w:eastAsia="Times New Roman" w:hAnsi="Times New Roman" w:cs="Times New Roman"/>
          <w:color w:val="000000"/>
        </w:rPr>
        <w:t>infini</w:t>
      </w:r>
      <w:r w:rsidR="00D432DE" w:rsidRPr="007F6B21">
        <w:rPr>
          <w:rFonts w:ascii="Times New Roman" w:eastAsia="Times New Roman" w:hAnsi="Times New Roman" w:cs="Times New Roman"/>
          <w:color w:val="000000"/>
        </w:rPr>
        <w:t>tezza.</w:t>
      </w:r>
      <w:r w:rsidR="00D432DE" w:rsidRPr="001B2924">
        <w:rPr>
          <w:rFonts w:ascii="Times New Roman" w:eastAsia="Times New Roman" w:hAnsi="Times New Roman" w:cs="Times New Roman"/>
          <w:color w:val="000000"/>
        </w:rPr>
        <w:t xml:space="preserve"> </w:t>
      </w:r>
      <w:r w:rsidR="00D432DE" w:rsidRPr="00E31B80">
        <w:rPr>
          <w:rFonts w:ascii="Times New Roman" w:eastAsia="Times New Roman" w:hAnsi="Times New Roman" w:cs="Times New Roman"/>
          <w:color w:val="000000"/>
        </w:rPr>
        <w:t>L’</w:t>
      </w:r>
      <w:r w:rsidR="00D432DE" w:rsidRPr="00E31B80">
        <w:rPr>
          <w:rFonts w:ascii="Times New Roman" w:eastAsia="Times New Roman" w:hAnsi="Times New Roman" w:cs="Times New Roman"/>
          <w:i/>
          <w:color w:val="000000"/>
        </w:rPr>
        <w:t xml:space="preserve">Abfall </w:t>
      </w:r>
      <w:r w:rsidR="00D432DE" w:rsidRPr="00E31B80">
        <w:rPr>
          <w:rFonts w:ascii="Times New Roman" w:eastAsia="Times New Roman" w:hAnsi="Times New Roman" w:cs="Times New Roman"/>
          <w:color w:val="000000"/>
        </w:rPr>
        <w:t xml:space="preserve">è necessario nella misura in cui </w:t>
      </w:r>
      <w:r w:rsidR="0031048C" w:rsidRPr="00E31B80">
        <w:rPr>
          <w:rFonts w:ascii="Times New Roman" w:eastAsia="Times New Roman" w:hAnsi="Times New Roman" w:cs="Times New Roman"/>
          <w:color w:val="000000"/>
        </w:rPr>
        <w:t xml:space="preserve">dà </w:t>
      </w:r>
      <w:r w:rsidR="00D432DE" w:rsidRPr="00E31B80">
        <w:rPr>
          <w:rFonts w:ascii="Times New Roman" w:eastAsia="Times New Roman" w:hAnsi="Times New Roman" w:cs="Times New Roman"/>
          <w:color w:val="000000"/>
        </w:rPr>
        <w:t xml:space="preserve">avvio </w:t>
      </w:r>
      <w:r w:rsidR="0031048C" w:rsidRPr="00E31B80">
        <w:rPr>
          <w:rFonts w:ascii="Times New Roman" w:eastAsia="Times New Roman" w:hAnsi="Times New Roman" w:cs="Times New Roman"/>
          <w:color w:val="000000"/>
        </w:rPr>
        <w:t xml:space="preserve">a </w:t>
      </w:r>
      <w:r w:rsidR="00D432DE" w:rsidRPr="00E31B80">
        <w:rPr>
          <w:rFonts w:ascii="Times New Roman" w:eastAsia="Times New Roman" w:hAnsi="Times New Roman" w:cs="Times New Roman"/>
          <w:color w:val="000000"/>
        </w:rPr>
        <w:t xml:space="preserve">quel processo </w:t>
      </w:r>
      <w:r w:rsidR="00D432DE" w:rsidRPr="00E31B80">
        <w:rPr>
          <w:rFonts w:ascii="Times New Roman" w:eastAsia="Times New Roman" w:hAnsi="Times New Roman" w:cs="Times New Roman"/>
          <w:i/>
          <w:color w:val="000000"/>
        </w:rPr>
        <w:t>cosmico-storico</w:t>
      </w:r>
      <w:r w:rsidR="0031048C" w:rsidRPr="00E31B80">
        <w:rPr>
          <w:rFonts w:ascii="Times New Roman" w:eastAsia="Times New Roman" w:hAnsi="Times New Roman" w:cs="Times New Roman"/>
          <w:color w:val="000000"/>
        </w:rPr>
        <w:t xml:space="preserve"> che </w:t>
      </w:r>
      <w:r w:rsidR="002B78C5" w:rsidRPr="00E31B80">
        <w:rPr>
          <w:rFonts w:ascii="Times New Roman" w:eastAsia="Times New Roman" w:hAnsi="Times New Roman" w:cs="Times New Roman"/>
          <w:color w:val="000000"/>
        </w:rPr>
        <w:t>port</w:t>
      </w:r>
      <w:r w:rsidR="0031048C" w:rsidRPr="00E31B80">
        <w:rPr>
          <w:rFonts w:ascii="Times New Roman" w:eastAsia="Times New Roman" w:hAnsi="Times New Roman" w:cs="Times New Roman"/>
          <w:color w:val="000000"/>
        </w:rPr>
        <w:t>erà</w:t>
      </w:r>
      <w:r w:rsidR="00D432DE" w:rsidRPr="00E31B80">
        <w:rPr>
          <w:rFonts w:ascii="Times New Roman" w:eastAsia="Times New Roman" w:hAnsi="Times New Roman" w:cs="Times New Roman"/>
          <w:color w:val="000000"/>
        </w:rPr>
        <w:t xml:space="preserve"> ciò che è caduto ad essere nuovamente uno con l’Assoluto</w:t>
      </w:r>
      <w:r w:rsidR="00D432DE" w:rsidRPr="00E31B80">
        <w:rPr>
          <w:rStyle w:val="Rimandonotaapidipagina"/>
          <w:rFonts w:ascii="Times New Roman" w:eastAsia="Times New Roman" w:hAnsi="Times New Roman" w:cs="Times New Roman"/>
          <w:color w:val="000000"/>
        </w:rPr>
        <w:footnoteReference w:id="251"/>
      </w:r>
      <w:r w:rsidR="00D432DE" w:rsidRPr="00E31B80">
        <w:rPr>
          <w:rFonts w:ascii="Times New Roman" w:eastAsia="Times New Roman" w:hAnsi="Times New Roman" w:cs="Times New Roman"/>
          <w:color w:val="000000"/>
        </w:rPr>
        <w:t>. Il rompersi dell’infinitezza</w:t>
      </w:r>
      <w:r w:rsidR="00563F7B" w:rsidRPr="00E31B80">
        <w:rPr>
          <w:rFonts w:ascii="Times New Roman" w:eastAsia="Times New Roman" w:hAnsi="Times New Roman" w:cs="Times New Roman"/>
          <w:color w:val="000000"/>
        </w:rPr>
        <w:t>, il suo darsi alla finitezza e</w:t>
      </w:r>
      <w:r w:rsidR="00143053" w:rsidRPr="00E31B80">
        <w:rPr>
          <w:rFonts w:ascii="Times New Roman" w:eastAsia="Times New Roman" w:hAnsi="Times New Roman" w:cs="Times New Roman"/>
          <w:color w:val="000000"/>
        </w:rPr>
        <w:t xml:space="preserve"> il suo ritornare</w:t>
      </w:r>
      <w:r w:rsidR="00D432DE" w:rsidRPr="00E31B80">
        <w:rPr>
          <w:rFonts w:ascii="Times New Roman" w:eastAsia="Times New Roman" w:hAnsi="Times New Roman" w:cs="Times New Roman"/>
          <w:color w:val="000000"/>
        </w:rPr>
        <w:t xml:space="preserve"> nell’indifferenza assoluta sono le fasi dell’</w:t>
      </w:r>
      <w:r w:rsidR="00D432DE" w:rsidRPr="00E31B80">
        <w:rPr>
          <w:rFonts w:ascii="Times New Roman" w:eastAsia="Times New Roman" w:hAnsi="Times New Roman" w:cs="Times New Roman"/>
          <w:i/>
          <w:color w:val="000000"/>
        </w:rPr>
        <w:t>epos</w:t>
      </w:r>
      <w:r w:rsidR="00D432DE" w:rsidRPr="00E31B80">
        <w:rPr>
          <w:rFonts w:ascii="Times New Roman" w:eastAsia="Times New Roman" w:hAnsi="Times New Roman" w:cs="Times New Roman"/>
          <w:color w:val="000000"/>
        </w:rPr>
        <w:t xml:space="preserve"> descritto dallo spirito</w:t>
      </w:r>
      <w:r w:rsidR="002E14A9" w:rsidRPr="00E31B80">
        <w:rPr>
          <w:rFonts w:ascii="Times New Roman" w:eastAsia="Times New Roman" w:hAnsi="Times New Roman" w:cs="Times New Roman"/>
          <w:color w:val="000000"/>
        </w:rPr>
        <w:t>:</w:t>
      </w:r>
      <w:r w:rsidR="00D432DE" w:rsidRPr="0023643E">
        <w:rPr>
          <w:rFonts w:ascii="Times New Roman" w:eastAsia="Times New Roman" w:hAnsi="Times New Roman" w:cs="Times New Roman"/>
          <w:color w:val="000000"/>
        </w:rPr>
        <w:t xml:space="preserve"> </w:t>
      </w:r>
    </w:p>
    <w:p w14:paraId="3A44E2E2" w14:textId="77777777" w:rsidR="003D6AD5" w:rsidRDefault="003D6AD5" w:rsidP="007422A4">
      <w:pPr>
        <w:spacing w:line="360" w:lineRule="auto"/>
        <w:ind w:firstLine="567"/>
        <w:jc w:val="both"/>
        <w:rPr>
          <w:rFonts w:ascii="Times New Roman" w:eastAsia="Times New Roman" w:hAnsi="Times New Roman" w:cs="Times New Roman"/>
          <w:color w:val="000000"/>
        </w:rPr>
      </w:pPr>
    </w:p>
    <w:p w14:paraId="23DE153E" w14:textId="549D7F51" w:rsidR="003D6AD5" w:rsidRPr="00B81148" w:rsidRDefault="003D6AD5" w:rsidP="0031048C">
      <w:pPr>
        <w:spacing w:line="360" w:lineRule="auto"/>
        <w:ind w:left="708" w:firstLine="567"/>
        <w:jc w:val="both"/>
        <w:rPr>
          <w:rFonts w:ascii="Times New Roman" w:eastAsia="Times New Roman" w:hAnsi="Times New Roman" w:cs="Times New Roman"/>
          <w:color w:val="000000"/>
          <w:sz w:val="20"/>
          <w:szCs w:val="20"/>
        </w:rPr>
      </w:pPr>
      <w:r w:rsidRPr="00B81148">
        <w:rPr>
          <w:rFonts w:ascii="Times New Roman" w:eastAsia="Times New Roman" w:hAnsi="Times New Roman" w:cs="Times New Roman"/>
          <w:color w:val="000000"/>
          <w:sz w:val="20"/>
          <w:szCs w:val="20"/>
        </w:rPr>
        <w:t>«Die Geschichte ist ein Epos, im Geiste Gottes gedichtet; seine zwei Hauptpartien sind: die, welche den Ausgang der Menschheit von ihrem Centro bis zur höchsten Entfernung von ihm darstellt, die andere welche die Rückkehr. Jene Seite</w:t>
      </w:r>
      <w:r w:rsidR="000D143B" w:rsidRPr="00B81148">
        <w:rPr>
          <w:rFonts w:ascii="Times New Roman" w:eastAsia="Times New Roman" w:hAnsi="Times New Roman" w:cs="Times New Roman"/>
          <w:color w:val="000000"/>
          <w:sz w:val="20"/>
          <w:szCs w:val="20"/>
        </w:rPr>
        <w:t xml:space="preserve"> ist gleichsam die Ilias, diese di Odyssee der Geschichte. In jener war die Richtung centrifugal, in dieser wird sie centripetal. Die große Absicht der gesammten Welterschaffung drückt sich auf diese Art in der Geschichte aus. Die Ideen, die Geister mu</w:t>
      </w:r>
      <w:r w:rsidR="002C5DF6" w:rsidRPr="00B81148">
        <w:rPr>
          <w:rFonts w:ascii="Times New Roman" w:eastAsia="Times New Roman" w:hAnsi="Times New Roman" w:cs="Times New Roman"/>
          <w:color w:val="000000"/>
          <w:sz w:val="20"/>
          <w:szCs w:val="20"/>
        </w:rPr>
        <w:t>ßten von ihrem Centro abfallen, in die Besonderheit einführen, damit sie nachher, als besondere, in die Indifferenz zurückkehren und, ihr versöhnt, in ihr seyn könnten, ohne sie zu stören»</w:t>
      </w:r>
      <w:r w:rsidR="002C5DF6" w:rsidRPr="00B81148">
        <w:rPr>
          <w:rStyle w:val="Rimandonotaapidipagina"/>
          <w:rFonts w:ascii="Times New Roman" w:eastAsia="Times New Roman" w:hAnsi="Times New Roman" w:cs="Times New Roman"/>
          <w:color w:val="000000"/>
          <w:sz w:val="20"/>
          <w:szCs w:val="20"/>
        </w:rPr>
        <w:footnoteReference w:id="252"/>
      </w:r>
      <w:r w:rsidR="00563F7B">
        <w:rPr>
          <w:rFonts w:ascii="Times New Roman" w:eastAsia="Times New Roman" w:hAnsi="Times New Roman" w:cs="Times New Roman"/>
          <w:color w:val="000000"/>
          <w:sz w:val="20"/>
          <w:szCs w:val="20"/>
        </w:rPr>
        <w:t>.</w:t>
      </w:r>
    </w:p>
    <w:p w14:paraId="19704F8B" w14:textId="77777777" w:rsidR="00CA65C9" w:rsidRPr="00B81148" w:rsidRDefault="00CA65C9" w:rsidP="00A87322">
      <w:pPr>
        <w:spacing w:line="360" w:lineRule="auto"/>
        <w:ind w:firstLine="567"/>
        <w:jc w:val="both"/>
        <w:rPr>
          <w:rFonts w:ascii="Times New Roman" w:eastAsia="Times New Roman" w:hAnsi="Times New Roman" w:cs="Times New Roman"/>
          <w:color w:val="000000"/>
        </w:rPr>
      </w:pPr>
    </w:p>
    <w:p w14:paraId="6FE9EBA6" w14:textId="3B8A807B" w:rsidR="00FA45A5" w:rsidRPr="003E6975" w:rsidRDefault="00326EA0" w:rsidP="003E6975">
      <w:pPr>
        <w:spacing w:line="360" w:lineRule="auto"/>
        <w:ind w:firstLine="567"/>
        <w:jc w:val="both"/>
        <w:rPr>
          <w:rFonts w:ascii="Times New Roman" w:eastAsia="Times New Roman" w:hAnsi="Times New Roman" w:cs="Times New Roman"/>
          <w:color w:val="000000"/>
          <w:highlight w:val="yellow"/>
        </w:rPr>
      </w:pPr>
      <w:r w:rsidRPr="00D14FA6">
        <w:rPr>
          <w:rFonts w:ascii="Times New Roman" w:eastAsia="Times New Roman" w:hAnsi="Times New Roman" w:cs="Times New Roman"/>
          <w:color w:val="000000"/>
        </w:rPr>
        <w:t>Nel</w:t>
      </w:r>
      <w:r w:rsidR="005435AC" w:rsidRPr="00D14FA6">
        <w:rPr>
          <w:rFonts w:ascii="Times New Roman" w:eastAsia="Times New Roman" w:hAnsi="Times New Roman" w:cs="Times New Roman"/>
          <w:color w:val="000000"/>
        </w:rPr>
        <w:t xml:space="preserve"> corso</w:t>
      </w:r>
      <w:r w:rsidR="00E41113" w:rsidRPr="00D14FA6">
        <w:rPr>
          <w:rFonts w:ascii="Times New Roman" w:eastAsia="Times New Roman" w:hAnsi="Times New Roman" w:cs="Times New Roman"/>
          <w:color w:val="000000"/>
        </w:rPr>
        <w:t xml:space="preserve"> dell’Iliade e</w:t>
      </w:r>
      <w:r w:rsidRPr="00D14FA6">
        <w:rPr>
          <w:rFonts w:ascii="Times New Roman" w:eastAsia="Times New Roman" w:hAnsi="Times New Roman" w:cs="Times New Roman"/>
          <w:color w:val="000000"/>
        </w:rPr>
        <w:t xml:space="preserve"> </w:t>
      </w:r>
      <w:r w:rsidR="00216038" w:rsidRPr="00D14FA6">
        <w:rPr>
          <w:rFonts w:ascii="Times New Roman" w:eastAsia="Times New Roman" w:hAnsi="Times New Roman" w:cs="Times New Roman"/>
          <w:color w:val="000000"/>
        </w:rPr>
        <w:t>dell’</w:t>
      </w:r>
      <w:r w:rsidRPr="00D14FA6">
        <w:rPr>
          <w:rFonts w:ascii="Times New Roman" w:eastAsia="Times New Roman" w:hAnsi="Times New Roman" w:cs="Times New Roman"/>
          <w:color w:val="000000"/>
        </w:rPr>
        <w:t>Odissea</w:t>
      </w:r>
      <w:r w:rsidR="001140D6" w:rsidRPr="00D14FA6">
        <w:rPr>
          <w:rFonts w:ascii="Times New Roman" w:eastAsia="Times New Roman" w:hAnsi="Times New Roman" w:cs="Times New Roman"/>
          <w:color w:val="000000"/>
        </w:rPr>
        <w:t xml:space="preserve"> compiuta da</w:t>
      </w:r>
      <w:r w:rsidRPr="00D14FA6">
        <w:rPr>
          <w:rFonts w:ascii="Times New Roman" w:eastAsia="Times New Roman" w:hAnsi="Times New Roman" w:cs="Times New Roman"/>
          <w:color w:val="000000"/>
        </w:rPr>
        <w:t xml:space="preserve">ll’Assoluto, </w:t>
      </w:r>
      <w:r w:rsidR="0024313D" w:rsidRPr="00D14FA6">
        <w:rPr>
          <w:rFonts w:ascii="Times New Roman" w:eastAsia="Times New Roman" w:hAnsi="Times New Roman" w:cs="Times New Roman"/>
          <w:color w:val="000000"/>
        </w:rPr>
        <w:t>riceve</w:t>
      </w:r>
      <w:r w:rsidR="00684528" w:rsidRPr="00D14FA6">
        <w:rPr>
          <w:rFonts w:ascii="Times New Roman" w:eastAsia="Times New Roman" w:hAnsi="Times New Roman" w:cs="Times New Roman"/>
          <w:color w:val="000000"/>
        </w:rPr>
        <w:t xml:space="preserve"> </w:t>
      </w:r>
      <w:r w:rsidRPr="00D14FA6">
        <w:rPr>
          <w:rFonts w:ascii="Times New Roman" w:eastAsia="Times New Roman" w:hAnsi="Times New Roman" w:cs="Times New Roman"/>
          <w:color w:val="000000"/>
        </w:rPr>
        <w:t>un</w:t>
      </w:r>
      <w:r w:rsidR="00655ECD" w:rsidRPr="00D14FA6">
        <w:rPr>
          <w:rFonts w:ascii="Times New Roman" w:eastAsia="Times New Roman" w:hAnsi="Times New Roman" w:cs="Times New Roman"/>
          <w:color w:val="000000"/>
        </w:rPr>
        <w:t>’</w:t>
      </w:r>
      <w:r w:rsidRPr="00D14FA6">
        <w:rPr>
          <w:rFonts w:ascii="Times New Roman" w:eastAsia="Times New Roman" w:hAnsi="Times New Roman" w:cs="Times New Roman"/>
          <w:color w:val="000000"/>
        </w:rPr>
        <w:t>importanza specifica</w:t>
      </w:r>
      <w:r w:rsidR="008C1B5C" w:rsidRPr="00D14FA6">
        <w:rPr>
          <w:rFonts w:ascii="Times New Roman" w:eastAsia="Times New Roman" w:hAnsi="Times New Roman" w:cs="Times New Roman"/>
          <w:color w:val="000000"/>
        </w:rPr>
        <w:t xml:space="preserve"> «das Princip des Sündenfalls»</w:t>
      </w:r>
      <w:r w:rsidR="008C1B5C" w:rsidRPr="00D14FA6">
        <w:rPr>
          <w:rStyle w:val="Rimandonotaapidipagina"/>
          <w:rFonts w:ascii="Times New Roman" w:eastAsia="Times New Roman" w:hAnsi="Times New Roman" w:cs="Times New Roman"/>
          <w:color w:val="000000"/>
        </w:rPr>
        <w:footnoteReference w:id="253"/>
      </w:r>
      <w:r w:rsidR="00901CCC" w:rsidRPr="00D14FA6">
        <w:rPr>
          <w:rFonts w:ascii="Times New Roman" w:eastAsia="Times New Roman" w:hAnsi="Times New Roman" w:cs="Times New Roman"/>
          <w:color w:val="000000"/>
        </w:rPr>
        <w:t>. Colto nel suo significato filosofico, esso permette di c</w:t>
      </w:r>
      <w:r w:rsidR="00C57BF4" w:rsidRPr="00D14FA6">
        <w:rPr>
          <w:rFonts w:ascii="Times New Roman" w:eastAsia="Times New Roman" w:hAnsi="Times New Roman" w:cs="Times New Roman"/>
          <w:color w:val="000000"/>
        </w:rPr>
        <w:t xml:space="preserve">apire </w:t>
      </w:r>
      <w:r w:rsidR="00B62895" w:rsidRPr="00D14FA6">
        <w:rPr>
          <w:rFonts w:ascii="Times New Roman" w:eastAsia="Times New Roman" w:hAnsi="Times New Roman" w:cs="Times New Roman"/>
          <w:color w:val="000000"/>
        </w:rPr>
        <w:t>la separazione del regno del nulla da</w:t>
      </w:r>
      <w:r w:rsidR="00901CCC" w:rsidRPr="00D14FA6">
        <w:rPr>
          <w:rFonts w:ascii="Times New Roman" w:eastAsia="Times New Roman" w:hAnsi="Times New Roman" w:cs="Times New Roman"/>
          <w:color w:val="000000"/>
        </w:rPr>
        <w:t xml:space="preserve">l regno della realtà e </w:t>
      </w:r>
      <w:r w:rsidR="00C8017B" w:rsidRPr="00D14FA6">
        <w:rPr>
          <w:rFonts w:ascii="Times New Roman" w:eastAsia="Times New Roman" w:hAnsi="Times New Roman" w:cs="Times New Roman"/>
          <w:color w:val="000000"/>
        </w:rPr>
        <w:t>la funzione del negativo nel processo di ricostituzione</w:t>
      </w:r>
      <w:r w:rsidR="008C1B5C" w:rsidRPr="00D14FA6">
        <w:rPr>
          <w:rFonts w:ascii="Times New Roman" w:eastAsia="Times New Roman" w:hAnsi="Times New Roman" w:cs="Times New Roman"/>
          <w:color w:val="000000"/>
        </w:rPr>
        <w:t xml:space="preserve"> della luce</w:t>
      </w:r>
      <w:r w:rsidR="00C8017B" w:rsidRPr="00D14FA6">
        <w:rPr>
          <w:rFonts w:ascii="Times New Roman" w:eastAsia="Times New Roman" w:hAnsi="Times New Roman" w:cs="Times New Roman"/>
          <w:color w:val="000000"/>
        </w:rPr>
        <w:t xml:space="preserve"> (Indifferenza assoluta)</w:t>
      </w:r>
      <w:r w:rsidR="008C1B5C" w:rsidRPr="00D14FA6">
        <w:rPr>
          <w:rFonts w:ascii="Times New Roman" w:eastAsia="Times New Roman" w:hAnsi="Times New Roman" w:cs="Times New Roman"/>
          <w:color w:val="000000"/>
        </w:rPr>
        <w:t xml:space="preserve"> per mezzo della</w:t>
      </w:r>
      <w:r w:rsidR="00B363E2" w:rsidRPr="00D14FA6">
        <w:rPr>
          <w:rFonts w:ascii="Times New Roman" w:eastAsia="Times New Roman" w:hAnsi="Times New Roman" w:cs="Times New Roman"/>
          <w:color w:val="000000"/>
        </w:rPr>
        <w:t xml:space="preserve"> tenebr</w:t>
      </w:r>
      <w:r w:rsidR="00CF3328" w:rsidRPr="00D14FA6">
        <w:rPr>
          <w:rFonts w:ascii="Times New Roman" w:eastAsia="Times New Roman" w:hAnsi="Times New Roman" w:cs="Times New Roman"/>
          <w:color w:val="000000"/>
        </w:rPr>
        <w:t>a</w:t>
      </w:r>
      <w:r w:rsidR="009E22D0" w:rsidRPr="00D14FA6">
        <w:rPr>
          <w:rStyle w:val="Rimandonotaapidipagina"/>
          <w:rFonts w:ascii="Times New Roman" w:eastAsia="Times New Roman" w:hAnsi="Times New Roman" w:cs="Times New Roman"/>
          <w:color w:val="000000"/>
        </w:rPr>
        <w:footnoteReference w:id="254"/>
      </w:r>
      <w:r w:rsidR="00901CCC" w:rsidRPr="00D14FA6">
        <w:rPr>
          <w:rFonts w:ascii="Times New Roman" w:eastAsia="Times New Roman" w:hAnsi="Times New Roman" w:cs="Times New Roman"/>
          <w:color w:val="000000"/>
        </w:rPr>
        <w:t>.</w:t>
      </w:r>
      <w:r w:rsidR="00901CCC">
        <w:rPr>
          <w:rFonts w:ascii="Times New Roman" w:eastAsia="Times New Roman" w:hAnsi="Times New Roman" w:cs="Times New Roman"/>
          <w:color w:val="000000"/>
        </w:rPr>
        <w:t xml:space="preserve"> </w:t>
      </w:r>
      <w:r w:rsidR="00A0433B" w:rsidRPr="00F45854">
        <w:rPr>
          <w:rFonts w:ascii="Times New Roman" w:eastAsia="Times New Roman" w:hAnsi="Times New Roman" w:cs="Times New Roman"/>
          <w:color w:val="000000"/>
        </w:rPr>
        <w:t xml:space="preserve">Utilizzando una terminologia </w:t>
      </w:r>
      <w:r w:rsidR="00F046B2" w:rsidRPr="00F45854">
        <w:rPr>
          <w:rFonts w:ascii="Times New Roman" w:eastAsia="Times New Roman" w:hAnsi="Times New Roman" w:cs="Times New Roman"/>
          <w:color w:val="000000"/>
        </w:rPr>
        <w:t xml:space="preserve">affine </w:t>
      </w:r>
      <w:r w:rsidR="00A0433B" w:rsidRPr="00F45854">
        <w:rPr>
          <w:rFonts w:ascii="Times New Roman" w:eastAsia="Times New Roman" w:hAnsi="Times New Roman" w:cs="Times New Roman"/>
          <w:color w:val="000000"/>
        </w:rPr>
        <w:t>a quella hegeliana</w:t>
      </w:r>
      <w:r w:rsidR="00901CCC" w:rsidRPr="00F45854">
        <w:rPr>
          <w:rFonts w:ascii="Times New Roman" w:eastAsia="Times New Roman" w:hAnsi="Times New Roman" w:cs="Times New Roman"/>
          <w:color w:val="000000"/>
        </w:rPr>
        <w:t xml:space="preserve">, Schelling sostiene che </w:t>
      </w:r>
      <w:r w:rsidR="001C7409">
        <w:rPr>
          <w:rFonts w:ascii="Times New Roman" w:eastAsia="Times New Roman" w:hAnsi="Times New Roman" w:cs="Times New Roman"/>
          <w:color w:val="000000"/>
        </w:rPr>
        <w:t>è</w:t>
      </w:r>
      <w:r w:rsidR="00952B12" w:rsidRPr="00F45854">
        <w:rPr>
          <w:rFonts w:ascii="Times New Roman" w:eastAsia="Times New Roman" w:hAnsi="Times New Roman" w:cs="Times New Roman"/>
          <w:color w:val="000000"/>
        </w:rPr>
        <w:t xml:space="preserve"> </w:t>
      </w:r>
      <w:r w:rsidR="00901CCC" w:rsidRPr="00F45854">
        <w:rPr>
          <w:rFonts w:ascii="Times New Roman" w:eastAsia="Times New Roman" w:hAnsi="Times New Roman" w:cs="Times New Roman"/>
          <w:color w:val="000000"/>
        </w:rPr>
        <w:t>un grave errore pensare di conoscere «das gute Prinzip ohne das böse»</w:t>
      </w:r>
      <w:r w:rsidR="00901CCC" w:rsidRPr="00F45854">
        <w:rPr>
          <w:rStyle w:val="Rimandonotaapidipagina"/>
          <w:rFonts w:ascii="Times New Roman" w:eastAsia="Times New Roman" w:hAnsi="Times New Roman" w:cs="Times New Roman"/>
          <w:color w:val="000000"/>
        </w:rPr>
        <w:footnoteReference w:id="255"/>
      </w:r>
      <w:r w:rsidR="00901CCC" w:rsidRPr="00F45854">
        <w:rPr>
          <w:rFonts w:ascii="Times New Roman" w:eastAsia="Times New Roman" w:hAnsi="Times New Roman" w:cs="Times New Roman"/>
          <w:color w:val="000000"/>
        </w:rPr>
        <w:t xml:space="preserve">, poiché essi </w:t>
      </w:r>
      <w:r w:rsidR="00655ECD" w:rsidRPr="00F45854">
        <w:rPr>
          <w:rFonts w:ascii="Times New Roman" w:eastAsia="Times New Roman" w:hAnsi="Times New Roman" w:cs="Times New Roman"/>
          <w:color w:val="000000"/>
        </w:rPr>
        <w:t xml:space="preserve">esplicano </w:t>
      </w:r>
      <w:r w:rsidR="00901CCC" w:rsidRPr="00F45854">
        <w:rPr>
          <w:rFonts w:ascii="Times New Roman" w:eastAsia="Times New Roman" w:hAnsi="Times New Roman" w:cs="Times New Roman"/>
          <w:color w:val="000000"/>
        </w:rPr>
        <w:t xml:space="preserve">quelle fasi del processo cosmico-storico in cui l’Assoluto, inteso alla stregua </w:t>
      </w:r>
      <w:r w:rsidR="00952B12" w:rsidRPr="00F45854">
        <w:rPr>
          <w:rFonts w:ascii="Times New Roman" w:eastAsia="Times New Roman" w:hAnsi="Times New Roman" w:cs="Times New Roman"/>
          <w:color w:val="000000"/>
        </w:rPr>
        <w:t xml:space="preserve">di </w:t>
      </w:r>
      <w:r w:rsidR="00901CCC" w:rsidRPr="00F45854">
        <w:rPr>
          <w:rFonts w:ascii="Times New Roman" w:eastAsia="Times New Roman" w:hAnsi="Times New Roman" w:cs="Times New Roman"/>
          <w:color w:val="000000"/>
        </w:rPr>
        <w:t>un Dio vivente, si allontana dal proprio centro e ritorna, passando per la ricchezza delle man</w:t>
      </w:r>
      <w:r w:rsidR="00655ECD" w:rsidRPr="00F45854">
        <w:rPr>
          <w:rFonts w:ascii="Times New Roman" w:eastAsia="Times New Roman" w:hAnsi="Times New Roman" w:cs="Times New Roman"/>
          <w:color w:val="000000"/>
        </w:rPr>
        <w:t>ifestazioni finite e molteplici</w:t>
      </w:r>
      <w:r w:rsidR="00901CCC" w:rsidRPr="00F45854">
        <w:rPr>
          <w:rFonts w:ascii="Times New Roman" w:eastAsia="Times New Roman" w:hAnsi="Times New Roman" w:cs="Times New Roman"/>
          <w:color w:val="000000"/>
        </w:rPr>
        <w:t>, al proprio</w:t>
      </w:r>
      <w:r w:rsidR="004349A8" w:rsidRPr="00F45854">
        <w:rPr>
          <w:rFonts w:ascii="Times New Roman" w:eastAsia="Times New Roman" w:hAnsi="Times New Roman" w:cs="Times New Roman"/>
          <w:color w:val="000000"/>
        </w:rPr>
        <w:t xml:space="preserve"> </w:t>
      </w:r>
      <w:r w:rsidR="004349A8" w:rsidRPr="00F45854">
        <w:rPr>
          <w:rFonts w:ascii="Times New Roman" w:eastAsia="Times New Roman" w:hAnsi="Times New Roman" w:cs="Times New Roman"/>
          <w:i/>
          <w:color w:val="000000"/>
        </w:rPr>
        <w:t>Indiffernzpunkt</w:t>
      </w:r>
      <w:r w:rsidR="00E31B80">
        <w:rPr>
          <w:rFonts w:ascii="Times New Roman" w:eastAsia="Times New Roman" w:hAnsi="Times New Roman" w:cs="Times New Roman"/>
          <w:color w:val="000000"/>
        </w:rPr>
        <w:t>.</w:t>
      </w:r>
      <w:r w:rsidR="00594886" w:rsidRPr="00F45854">
        <w:rPr>
          <w:rFonts w:ascii="Times New Roman" w:eastAsia="Times New Roman" w:hAnsi="Times New Roman" w:cs="Times New Roman"/>
          <w:color w:val="000000"/>
        </w:rPr>
        <w:t xml:space="preserve"> </w:t>
      </w:r>
      <w:r w:rsidR="00B363E2" w:rsidRPr="00F45854">
        <w:rPr>
          <w:rFonts w:ascii="Times New Roman" w:eastAsia="Times New Roman" w:hAnsi="Times New Roman" w:cs="Times New Roman"/>
          <w:color w:val="000000"/>
        </w:rPr>
        <w:t>Da un punto di vista terminologico,</w:t>
      </w:r>
      <w:r w:rsidR="00655ECD" w:rsidRPr="00F45854">
        <w:rPr>
          <w:rFonts w:ascii="Times New Roman" w:eastAsia="Times New Roman" w:hAnsi="Times New Roman" w:cs="Times New Roman"/>
          <w:color w:val="000000"/>
        </w:rPr>
        <w:t xml:space="preserve"> </w:t>
      </w:r>
      <w:r w:rsidR="00646753" w:rsidRPr="00F45854">
        <w:rPr>
          <w:rFonts w:ascii="Times New Roman" w:eastAsia="Times New Roman" w:hAnsi="Times New Roman" w:cs="Times New Roman"/>
          <w:color w:val="000000"/>
        </w:rPr>
        <w:t>questi due concetti</w:t>
      </w:r>
      <w:r w:rsidR="00A33910" w:rsidRPr="00F45854">
        <w:rPr>
          <w:rFonts w:ascii="Times New Roman" w:eastAsia="Times New Roman" w:hAnsi="Times New Roman" w:cs="Times New Roman"/>
          <w:color w:val="000000"/>
        </w:rPr>
        <w:t xml:space="preserve"> –</w:t>
      </w:r>
      <w:r w:rsidR="00417F5F" w:rsidRPr="00F45854">
        <w:rPr>
          <w:rFonts w:ascii="Times New Roman" w:eastAsia="Times New Roman" w:hAnsi="Times New Roman" w:cs="Times New Roman"/>
          <w:color w:val="000000"/>
        </w:rPr>
        <w:t xml:space="preserve"> come </w:t>
      </w:r>
      <w:r w:rsidR="00CF3328" w:rsidRPr="00F45854">
        <w:rPr>
          <w:rFonts w:ascii="Times New Roman" w:eastAsia="Times New Roman" w:hAnsi="Times New Roman" w:cs="Times New Roman"/>
          <w:color w:val="000000"/>
        </w:rPr>
        <w:t>per</w:t>
      </w:r>
      <w:r w:rsidR="00CF3328">
        <w:rPr>
          <w:rFonts w:ascii="Times New Roman" w:eastAsia="Times New Roman" w:hAnsi="Times New Roman" w:cs="Times New Roman"/>
          <w:color w:val="000000"/>
        </w:rPr>
        <w:t xml:space="preserve"> </w:t>
      </w:r>
      <w:r w:rsidR="00A33910">
        <w:rPr>
          <w:rFonts w:ascii="Times New Roman" w:eastAsia="Times New Roman" w:hAnsi="Times New Roman" w:cs="Times New Roman"/>
          <w:color w:val="000000"/>
        </w:rPr>
        <w:t>Hegel del resto –</w:t>
      </w:r>
      <w:r w:rsidR="00417F5F">
        <w:rPr>
          <w:rFonts w:ascii="Times New Roman" w:eastAsia="Times New Roman" w:hAnsi="Times New Roman" w:cs="Times New Roman"/>
          <w:color w:val="000000"/>
        </w:rPr>
        <w:t xml:space="preserve"> </w:t>
      </w:r>
      <w:r w:rsidR="00967386">
        <w:rPr>
          <w:rFonts w:ascii="Times New Roman" w:eastAsia="Times New Roman" w:hAnsi="Times New Roman" w:cs="Times New Roman"/>
          <w:color w:val="000000"/>
        </w:rPr>
        <w:t xml:space="preserve">denotano </w:t>
      </w:r>
      <w:r w:rsidR="005A7E84" w:rsidRPr="00FF0AA0">
        <w:rPr>
          <w:rFonts w:ascii="Times New Roman" w:eastAsia="Times New Roman" w:hAnsi="Times New Roman" w:cs="Times New Roman"/>
          <w:color w:val="000000"/>
        </w:rPr>
        <w:t>un’</w:t>
      </w:r>
      <w:r w:rsidR="00236ECF" w:rsidRPr="00FF0AA0">
        <w:rPr>
          <w:rFonts w:ascii="Times New Roman" w:eastAsia="Times New Roman" w:hAnsi="Times New Roman" w:cs="Times New Roman"/>
          <w:color w:val="000000"/>
        </w:rPr>
        <w:t>origine</w:t>
      </w:r>
      <w:r w:rsidR="001D0E41" w:rsidRPr="00FF0AA0">
        <w:rPr>
          <w:rFonts w:ascii="Times New Roman" w:eastAsia="Times New Roman" w:hAnsi="Times New Roman" w:cs="Times New Roman"/>
          <w:color w:val="000000"/>
        </w:rPr>
        <w:t xml:space="preserve"> kantiana</w:t>
      </w:r>
      <w:r w:rsidR="00E41B34" w:rsidRPr="00FF0AA0">
        <w:rPr>
          <w:rStyle w:val="Rimandonotaapidipagina"/>
          <w:rFonts w:ascii="Times New Roman" w:eastAsia="Times New Roman" w:hAnsi="Times New Roman" w:cs="Times New Roman"/>
          <w:color w:val="000000"/>
        </w:rPr>
        <w:footnoteReference w:id="256"/>
      </w:r>
      <w:r w:rsidR="00594886" w:rsidRPr="00FF0AA0">
        <w:rPr>
          <w:rFonts w:ascii="Times New Roman" w:eastAsia="Times New Roman" w:hAnsi="Times New Roman" w:cs="Times New Roman"/>
          <w:color w:val="000000"/>
        </w:rPr>
        <w:t xml:space="preserve">. Ciò </w:t>
      </w:r>
      <w:r w:rsidR="00655ECD" w:rsidRPr="00FF0AA0">
        <w:rPr>
          <w:rFonts w:ascii="Times New Roman" w:eastAsia="Times New Roman" w:hAnsi="Times New Roman" w:cs="Times New Roman"/>
          <w:color w:val="000000"/>
        </w:rPr>
        <w:t xml:space="preserve">che </w:t>
      </w:r>
      <w:r w:rsidR="007F5D46">
        <w:rPr>
          <w:rFonts w:ascii="Times New Roman" w:eastAsia="Times New Roman" w:hAnsi="Times New Roman" w:cs="Times New Roman"/>
          <w:color w:val="000000"/>
        </w:rPr>
        <w:t xml:space="preserve">discosta </w:t>
      </w:r>
      <w:r w:rsidR="007F5D46" w:rsidRPr="007F5D46">
        <w:rPr>
          <w:rFonts w:ascii="Times New Roman" w:eastAsia="Times New Roman" w:hAnsi="Times New Roman" w:cs="Times New Roman"/>
          <w:i/>
          <w:color w:val="000000"/>
        </w:rPr>
        <w:t>Philosophie und Religion</w:t>
      </w:r>
      <w:r w:rsidR="00655ECD" w:rsidRPr="00FF0AA0">
        <w:rPr>
          <w:rFonts w:ascii="Times New Roman" w:eastAsia="Times New Roman" w:hAnsi="Times New Roman" w:cs="Times New Roman"/>
          <w:color w:val="000000"/>
        </w:rPr>
        <w:t xml:space="preserve"> </w:t>
      </w:r>
      <w:r w:rsidR="00A31830" w:rsidRPr="00FF0AA0">
        <w:rPr>
          <w:rFonts w:ascii="Times New Roman" w:eastAsia="Times New Roman" w:hAnsi="Times New Roman" w:cs="Times New Roman"/>
          <w:color w:val="000000"/>
        </w:rPr>
        <w:t>dalla</w:t>
      </w:r>
      <w:r w:rsidR="00A31830" w:rsidRPr="00FF0AA0">
        <w:rPr>
          <w:rFonts w:ascii="Times New Roman" w:hAnsi="Times New Roman" w:cs="Times New Roman"/>
          <w:i/>
          <w:sz w:val="20"/>
          <w:szCs w:val="20"/>
        </w:rPr>
        <w:t xml:space="preserve"> </w:t>
      </w:r>
      <w:r w:rsidR="00A31830" w:rsidRPr="00FF0AA0">
        <w:rPr>
          <w:rFonts w:ascii="Times New Roman" w:hAnsi="Times New Roman" w:cs="Times New Roman"/>
          <w:i/>
        </w:rPr>
        <w:t>Religion innerhalb der Grenzen der bloßen Vernunft</w:t>
      </w:r>
      <w:r w:rsidR="00A31830" w:rsidRPr="00FF0AA0">
        <w:rPr>
          <w:rFonts w:ascii="Times New Roman" w:eastAsia="Times New Roman" w:hAnsi="Times New Roman" w:cs="Times New Roman"/>
          <w:color w:val="000000"/>
        </w:rPr>
        <w:t xml:space="preserve"> </w:t>
      </w:r>
      <w:r w:rsidR="00594886" w:rsidRPr="00FF0AA0">
        <w:rPr>
          <w:rFonts w:ascii="Times New Roman" w:eastAsia="Times New Roman" w:hAnsi="Times New Roman" w:cs="Times New Roman"/>
          <w:color w:val="000000"/>
        </w:rPr>
        <w:t>è l’ontologizzazione dei due princi</w:t>
      </w:r>
      <w:r w:rsidR="009D773C" w:rsidRPr="00FF0AA0">
        <w:rPr>
          <w:rFonts w:ascii="Times New Roman" w:eastAsia="Times New Roman" w:hAnsi="Times New Roman" w:cs="Times New Roman"/>
          <w:color w:val="000000"/>
        </w:rPr>
        <w:t>pi e</w:t>
      </w:r>
      <w:r w:rsidR="00655ECD" w:rsidRPr="00FF0AA0">
        <w:rPr>
          <w:rFonts w:ascii="Times New Roman" w:eastAsia="Times New Roman" w:hAnsi="Times New Roman" w:cs="Times New Roman"/>
          <w:color w:val="000000"/>
        </w:rPr>
        <w:t xml:space="preserve"> il loro essere espressione</w:t>
      </w:r>
      <w:r w:rsidR="00594886" w:rsidRPr="00FF0AA0">
        <w:rPr>
          <w:rFonts w:ascii="Times New Roman" w:eastAsia="Times New Roman" w:hAnsi="Times New Roman" w:cs="Times New Roman"/>
          <w:color w:val="000000"/>
        </w:rPr>
        <w:t xml:space="preserve"> d</w:t>
      </w:r>
      <w:r w:rsidR="00655ECD" w:rsidRPr="00FF0AA0">
        <w:rPr>
          <w:rFonts w:ascii="Times New Roman" w:eastAsia="Times New Roman" w:hAnsi="Times New Roman" w:cs="Times New Roman"/>
          <w:color w:val="000000"/>
        </w:rPr>
        <w:t>el</w:t>
      </w:r>
      <w:r w:rsidR="00594886" w:rsidRPr="00FF0AA0">
        <w:rPr>
          <w:rFonts w:ascii="Times New Roman" w:eastAsia="Times New Roman" w:hAnsi="Times New Roman" w:cs="Times New Roman"/>
          <w:color w:val="000000"/>
        </w:rPr>
        <w:t xml:space="preserve"> movimen</w:t>
      </w:r>
      <w:r w:rsidR="001B643F" w:rsidRPr="00FF0AA0">
        <w:rPr>
          <w:rFonts w:ascii="Times New Roman" w:eastAsia="Times New Roman" w:hAnsi="Times New Roman" w:cs="Times New Roman"/>
          <w:color w:val="000000"/>
        </w:rPr>
        <w:t>to centripeto e centrifugo dell’</w:t>
      </w:r>
      <w:r w:rsidR="00594886" w:rsidRPr="00FF0AA0">
        <w:rPr>
          <w:rFonts w:ascii="Times New Roman" w:eastAsia="Times New Roman" w:hAnsi="Times New Roman" w:cs="Times New Roman"/>
          <w:color w:val="000000"/>
        </w:rPr>
        <w:t>Assoluto</w:t>
      </w:r>
      <w:r w:rsidR="00417F5F">
        <w:rPr>
          <w:rFonts w:ascii="Times New Roman" w:eastAsia="Times New Roman" w:hAnsi="Times New Roman" w:cs="Times New Roman"/>
          <w:color w:val="000000"/>
        </w:rPr>
        <w:t xml:space="preserve">. </w:t>
      </w:r>
      <w:r w:rsidR="007F5D46" w:rsidRPr="007954D0">
        <w:rPr>
          <w:rFonts w:ascii="Times New Roman" w:eastAsia="Times New Roman" w:hAnsi="Times New Roman" w:cs="Times New Roman"/>
          <w:color w:val="000000"/>
        </w:rPr>
        <w:t xml:space="preserve">È come se </w:t>
      </w:r>
      <w:r w:rsidR="001B643F" w:rsidRPr="007954D0">
        <w:rPr>
          <w:rFonts w:ascii="Times New Roman" w:eastAsia="Times New Roman" w:hAnsi="Times New Roman" w:cs="Times New Roman"/>
          <w:color w:val="000000"/>
        </w:rPr>
        <w:t>Schel</w:t>
      </w:r>
      <w:r w:rsidR="009E22D0" w:rsidRPr="007954D0">
        <w:rPr>
          <w:rFonts w:ascii="Times New Roman" w:eastAsia="Times New Roman" w:hAnsi="Times New Roman" w:cs="Times New Roman"/>
          <w:color w:val="000000"/>
        </w:rPr>
        <w:t xml:space="preserve">ling </w:t>
      </w:r>
      <w:r w:rsidR="00D50F2E" w:rsidRPr="007954D0">
        <w:rPr>
          <w:rFonts w:ascii="Times New Roman" w:eastAsia="Times New Roman" w:hAnsi="Times New Roman" w:cs="Times New Roman"/>
          <w:color w:val="000000"/>
        </w:rPr>
        <w:t xml:space="preserve">si </w:t>
      </w:r>
      <w:r w:rsidR="007F5D46" w:rsidRPr="007954D0">
        <w:rPr>
          <w:rFonts w:ascii="Times New Roman" w:eastAsia="Times New Roman" w:hAnsi="Times New Roman" w:cs="Times New Roman"/>
          <w:color w:val="000000"/>
        </w:rPr>
        <w:t xml:space="preserve">riferisse ad un altro retroterra speculativo </w:t>
      </w:r>
      <w:r w:rsidR="00A31830" w:rsidRPr="007954D0">
        <w:rPr>
          <w:rFonts w:ascii="Times New Roman" w:eastAsia="Times New Roman" w:hAnsi="Times New Roman" w:cs="Times New Roman"/>
          <w:color w:val="000000"/>
        </w:rPr>
        <w:t xml:space="preserve">per dare forma a </w:t>
      </w:r>
      <w:r w:rsidR="001B643F" w:rsidRPr="007954D0">
        <w:rPr>
          <w:rFonts w:ascii="Times New Roman" w:eastAsia="Times New Roman" w:hAnsi="Times New Roman" w:cs="Times New Roman"/>
          <w:color w:val="000000"/>
        </w:rPr>
        <w:t>quel «Projekt der Welt»</w:t>
      </w:r>
      <w:r w:rsidR="001B643F" w:rsidRPr="007954D0">
        <w:rPr>
          <w:rStyle w:val="Rimandonotaapidipagina"/>
          <w:rFonts w:ascii="Times New Roman" w:eastAsia="Times New Roman" w:hAnsi="Times New Roman" w:cs="Times New Roman"/>
          <w:color w:val="000000"/>
        </w:rPr>
        <w:footnoteReference w:id="257"/>
      </w:r>
      <w:r w:rsidR="00E949C7" w:rsidRPr="007954D0">
        <w:rPr>
          <w:rFonts w:ascii="Times New Roman" w:eastAsia="Times New Roman" w:hAnsi="Times New Roman" w:cs="Times New Roman"/>
          <w:i/>
          <w:color w:val="000000"/>
        </w:rPr>
        <w:t xml:space="preserve"> </w:t>
      </w:r>
      <w:r w:rsidR="007F5D46" w:rsidRPr="007954D0">
        <w:rPr>
          <w:rFonts w:ascii="Times New Roman" w:eastAsia="Times New Roman" w:hAnsi="Times New Roman" w:cs="Times New Roman"/>
          <w:color w:val="000000"/>
        </w:rPr>
        <w:t>già</w:t>
      </w:r>
      <w:r w:rsidR="003F7F51" w:rsidRPr="007954D0">
        <w:rPr>
          <w:rFonts w:ascii="Times New Roman" w:eastAsia="Times New Roman" w:hAnsi="Times New Roman" w:cs="Times New Roman"/>
          <w:color w:val="000000"/>
        </w:rPr>
        <w:t xml:space="preserve"> </w:t>
      </w:r>
      <w:r w:rsidR="006516F2" w:rsidRPr="007954D0">
        <w:rPr>
          <w:rFonts w:ascii="Times New Roman" w:eastAsia="Times New Roman" w:hAnsi="Times New Roman" w:cs="Times New Roman"/>
          <w:color w:val="000000"/>
        </w:rPr>
        <w:t>contenuto</w:t>
      </w:r>
      <w:r w:rsidR="007F5D46" w:rsidRPr="007954D0">
        <w:rPr>
          <w:rFonts w:ascii="Times New Roman" w:eastAsia="Times New Roman" w:hAnsi="Times New Roman" w:cs="Times New Roman"/>
          <w:color w:val="000000"/>
        </w:rPr>
        <w:t xml:space="preserve"> in potenza nello scritto del 1804</w:t>
      </w:r>
      <w:r w:rsidR="00631762" w:rsidRPr="007954D0">
        <w:rPr>
          <w:rFonts w:ascii="Times New Roman" w:eastAsia="Times New Roman" w:hAnsi="Times New Roman" w:cs="Times New Roman"/>
          <w:color w:val="000000"/>
        </w:rPr>
        <w:t>.</w:t>
      </w:r>
      <w:r w:rsidR="007F5D46" w:rsidRPr="007954D0">
        <w:rPr>
          <w:rFonts w:ascii="Times New Roman" w:eastAsia="Times New Roman" w:hAnsi="Times New Roman" w:cs="Times New Roman"/>
          <w:color w:val="000000"/>
        </w:rPr>
        <w:t xml:space="preserve"> E i</w:t>
      </w:r>
      <w:r w:rsidR="00FF445C" w:rsidRPr="007954D0">
        <w:rPr>
          <w:rFonts w:ascii="Times New Roman" w:eastAsia="Times New Roman" w:hAnsi="Times New Roman" w:cs="Times New Roman"/>
          <w:color w:val="000000"/>
        </w:rPr>
        <w:t>n effetti,</w:t>
      </w:r>
      <w:r w:rsidR="00B75D58" w:rsidRPr="007954D0">
        <w:rPr>
          <w:rFonts w:ascii="Times New Roman" w:eastAsia="Times New Roman" w:hAnsi="Times New Roman" w:cs="Times New Roman"/>
          <w:color w:val="000000"/>
        </w:rPr>
        <w:t xml:space="preserve"> </w:t>
      </w:r>
      <w:r w:rsidR="00604BBC" w:rsidRPr="007954D0">
        <w:rPr>
          <w:rFonts w:ascii="Times New Roman" w:eastAsia="Times New Roman" w:hAnsi="Times New Roman" w:cs="Times New Roman"/>
          <w:color w:val="000000"/>
        </w:rPr>
        <w:t xml:space="preserve">questo testo, </w:t>
      </w:r>
      <w:r w:rsidR="000469B1" w:rsidRPr="007954D0">
        <w:rPr>
          <w:rFonts w:ascii="Times New Roman" w:eastAsia="Times New Roman" w:hAnsi="Times New Roman" w:cs="Times New Roman"/>
          <w:color w:val="000000"/>
        </w:rPr>
        <w:t xml:space="preserve">in cui </w:t>
      </w:r>
      <w:r w:rsidR="000469B1" w:rsidRPr="00F22C73">
        <w:rPr>
          <w:rFonts w:ascii="Times New Roman" w:eastAsia="Times New Roman" w:hAnsi="Times New Roman" w:cs="Times New Roman"/>
          <w:color w:val="000000"/>
        </w:rPr>
        <w:t xml:space="preserve">Schelling stesso </w:t>
      </w:r>
      <w:r w:rsidR="00604BBC" w:rsidRPr="00F22C73">
        <w:rPr>
          <w:rFonts w:ascii="Times New Roman" w:eastAsia="Times New Roman" w:hAnsi="Times New Roman" w:cs="Times New Roman"/>
          <w:color w:val="000000"/>
        </w:rPr>
        <w:t>me</w:t>
      </w:r>
      <w:r w:rsidR="00F45854" w:rsidRPr="00F22C73">
        <w:rPr>
          <w:rFonts w:ascii="Times New Roman" w:eastAsia="Times New Roman" w:hAnsi="Times New Roman" w:cs="Times New Roman"/>
          <w:color w:val="000000"/>
        </w:rPr>
        <w:t>tte in discussione l’idea della</w:t>
      </w:r>
      <w:r w:rsidR="00604BBC" w:rsidRPr="00F22C73">
        <w:rPr>
          <w:rFonts w:ascii="Times New Roman" w:eastAsia="Times New Roman" w:hAnsi="Times New Roman" w:cs="Times New Roman"/>
          <w:color w:val="000000"/>
        </w:rPr>
        <w:t xml:space="preserve"> filosofia dell’identità, </w:t>
      </w:r>
      <w:r w:rsidR="00B62895" w:rsidRPr="00F22C73">
        <w:rPr>
          <w:rFonts w:ascii="Times New Roman" w:eastAsia="Times New Roman" w:hAnsi="Times New Roman" w:cs="Times New Roman"/>
          <w:color w:val="000000"/>
        </w:rPr>
        <w:t xml:space="preserve">può essere </w:t>
      </w:r>
      <w:r w:rsidR="00417F5F" w:rsidRPr="00F22C73">
        <w:rPr>
          <w:rFonts w:ascii="Times New Roman" w:eastAsia="Times New Roman" w:hAnsi="Times New Roman" w:cs="Times New Roman"/>
          <w:color w:val="000000"/>
        </w:rPr>
        <w:t>visto come</w:t>
      </w:r>
      <w:r w:rsidR="007B4D37" w:rsidRPr="00F22C73">
        <w:rPr>
          <w:rFonts w:ascii="Times New Roman" w:eastAsia="Times New Roman" w:hAnsi="Times New Roman" w:cs="Times New Roman"/>
          <w:color w:val="000000"/>
        </w:rPr>
        <w:t xml:space="preserve"> </w:t>
      </w:r>
      <w:r w:rsidR="00F22C73" w:rsidRPr="00F22C73">
        <w:rPr>
          <w:rFonts w:ascii="Times New Roman" w:eastAsia="Times New Roman" w:hAnsi="Times New Roman" w:cs="Times New Roman"/>
          <w:color w:val="000000"/>
        </w:rPr>
        <w:t>un’</w:t>
      </w:r>
      <w:r w:rsidR="00F45854" w:rsidRPr="00F22C73">
        <w:rPr>
          <w:rFonts w:ascii="Times New Roman" w:eastAsia="Times New Roman" w:hAnsi="Times New Roman" w:cs="Times New Roman"/>
          <w:color w:val="000000"/>
        </w:rPr>
        <w:t xml:space="preserve">occasione </w:t>
      </w:r>
      <w:r w:rsidR="00D7508B" w:rsidRPr="00F22C73">
        <w:rPr>
          <w:rFonts w:ascii="Times New Roman" w:eastAsia="Times New Roman" w:hAnsi="Times New Roman" w:cs="Times New Roman"/>
          <w:color w:val="000000"/>
        </w:rPr>
        <w:t xml:space="preserve">di quel </w:t>
      </w:r>
      <w:r w:rsidR="00604BBC" w:rsidRPr="00F22C73">
        <w:rPr>
          <w:rFonts w:ascii="Times New Roman" w:eastAsia="Times New Roman" w:hAnsi="Times New Roman" w:cs="Times New Roman"/>
          <w:color w:val="000000"/>
        </w:rPr>
        <w:t xml:space="preserve">confronto </w:t>
      </w:r>
      <w:r w:rsidR="00D7508B" w:rsidRPr="00F22C73">
        <w:rPr>
          <w:rFonts w:ascii="Times New Roman" w:eastAsia="Times New Roman" w:hAnsi="Times New Roman" w:cs="Times New Roman"/>
          <w:color w:val="000000"/>
        </w:rPr>
        <w:t>con il pensiero böhmiano</w:t>
      </w:r>
      <w:r w:rsidR="00B75D58" w:rsidRPr="00F22C73">
        <w:rPr>
          <w:rFonts w:ascii="Times New Roman" w:eastAsia="Times New Roman" w:hAnsi="Times New Roman" w:cs="Times New Roman"/>
          <w:color w:val="000000"/>
        </w:rPr>
        <w:t xml:space="preserve"> decisivo ai fini della</w:t>
      </w:r>
      <w:r w:rsidR="00E57DE5" w:rsidRPr="00F22C73">
        <w:rPr>
          <w:rFonts w:ascii="Times New Roman" w:eastAsia="Times New Roman" w:hAnsi="Times New Roman" w:cs="Times New Roman"/>
          <w:color w:val="000000"/>
        </w:rPr>
        <w:t xml:space="preserve"> successiva</w:t>
      </w:r>
      <w:r w:rsidR="00B75D58" w:rsidRPr="00F22C73">
        <w:rPr>
          <w:rFonts w:ascii="Times New Roman" w:eastAsia="Times New Roman" w:hAnsi="Times New Roman" w:cs="Times New Roman"/>
          <w:color w:val="000000"/>
        </w:rPr>
        <w:t xml:space="preserve"> </w:t>
      </w:r>
      <w:r w:rsidR="00B75D58" w:rsidRPr="00F22C73">
        <w:rPr>
          <w:rFonts w:ascii="Times New Roman" w:eastAsia="Times New Roman" w:hAnsi="Times New Roman" w:cs="Times New Roman"/>
          <w:i/>
          <w:color w:val="000000"/>
        </w:rPr>
        <w:t>Denkentwicklung</w:t>
      </w:r>
      <w:r w:rsidR="00604BBC" w:rsidRPr="00F22C73">
        <w:rPr>
          <w:rFonts w:ascii="Times New Roman" w:eastAsia="Times New Roman" w:hAnsi="Times New Roman" w:cs="Times New Roman"/>
          <w:color w:val="000000"/>
        </w:rPr>
        <w:t xml:space="preserve"> dell’</w:t>
      </w:r>
      <w:r w:rsidR="00021560">
        <w:rPr>
          <w:rFonts w:ascii="Times New Roman" w:eastAsia="Times New Roman" w:hAnsi="Times New Roman" w:cs="Times New Roman"/>
          <w:color w:val="000000"/>
        </w:rPr>
        <w:t>autore</w:t>
      </w:r>
      <w:r w:rsidR="00C66073" w:rsidRPr="00F22C73">
        <w:rPr>
          <w:rStyle w:val="Rimandonotaapidipagina"/>
          <w:rFonts w:ascii="Times New Roman" w:eastAsia="Times New Roman" w:hAnsi="Times New Roman" w:cs="Times New Roman"/>
          <w:color w:val="000000"/>
        </w:rPr>
        <w:footnoteReference w:id="258"/>
      </w:r>
      <w:r w:rsidR="00D10621" w:rsidRPr="00F22C73">
        <w:rPr>
          <w:rFonts w:ascii="Times New Roman" w:eastAsia="Times New Roman" w:hAnsi="Times New Roman" w:cs="Times New Roman"/>
          <w:color w:val="000000"/>
        </w:rPr>
        <w:t>.</w:t>
      </w:r>
      <w:r w:rsidR="00D10621" w:rsidRPr="007954D0">
        <w:rPr>
          <w:rFonts w:ascii="Times New Roman" w:eastAsia="Times New Roman" w:hAnsi="Times New Roman" w:cs="Times New Roman"/>
          <w:color w:val="000000"/>
        </w:rPr>
        <w:t xml:space="preserve"> </w:t>
      </w:r>
      <w:r w:rsidR="009634F2" w:rsidRPr="007954D0">
        <w:rPr>
          <w:rFonts w:ascii="Times New Roman" w:eastAsia="Times New Roman" w:hAnsi="Times New Roman" w:cs="Times New Roman"/>
          <w:color w:val="000000"/>
        </w:rPr>
        <w:t>A</w:t>
      </w:r>
      <w:r w:rsidR="00C66073" w:rsidRPr="007954D0">
        <w:rPr>
          <w:rFonts w:ascii="Times New Roman" w:eastAsia="Times New Roman" w:hAnsi="Times New Roman" w:cs="Times New Roman"/>
          <w:color w:val="000000"/>
        </w:rPr>
        <w:t>pplicata</w:t>
      </w:r>
      <w:r w:rsidR="00E53419" w:rsidRPr="007954D0">
        <w:rPr>
          <w:rFonts w:ascii="Times New Roman" w:eastAsia="Times New Roman" w:hAnsi="Times New Roman" w:cs="Times New Roman"/>
          <w:color w:val="000000"/>
        </w:rPr>
        <w:t xml:space="preserve"> </w:t>
      </w:r>
      <w:r w:rsidR="00C66073" w:rsidRPr="007954D0">
        <w:rPr>
          <w:rFonts w:ascii="Times New Roman" w:eastAsia="Times New Roman" w:hAnsi="Times New Roman" w:cs="Times New Roman"/>
          <w:color w:val="000000"/>
        </w:rPr>
        <w:t xml:space="preserve">in chiave ontologica e </w:t>
      </w:r>
      <w:r w:rsidR="009634F2" w:rsidRPr="007954D0">
        <w:rPr>
          <w:rFonts w:ascii="Times New Roman" w:eastAsia="Times New Roman" w:hAnsi="Times New Roman" w:cs="Times New Roman"/>
          <w:color w:val="000000"/>
        </w:rPr>
        <w:t>colta come cifra della processualità dell’Assoluto,</w:t>
      </w:r>
      <w:r w:rsidR="00045603" w:rsidRPr="007954D0">
        <w:rPr>
          <w:rFonts w:ascii="Times New Roman" w:eastAsia="Times New Roman" w:hAnsi="Times New Roman" w:cs="Times New Roman"/>
          <w:color w:val="000000"/>
        </w:rPr>
        <w:t xml:space="preserve"> </w:t>
      </w:r>
      <w:r w:rsidR="009634F2" w:rsidRPr="007954D0">
        <w:rPr>
          <w:rFonts w:ascii="Times New Roman" w:eastAsia="Times New Roman" w:hAnsi="Times New Roman" w:cs="Times New Roman"/>
          <w:color w:val="000000"/>
        </w:rPr>
        <w:t xml:space="preserve">la teoria </w:t>
      </w:r>
      <w:r w:rsidR="009634F2" w:rsidRPr="008039A3">
        <w:rPr>
          <w:rFonts w:ascii="Times New Roman" w:eastAsia="Times New Roman" w:hAnsi="Times New Roman" w:cs="Times New Roman"/>
          <w:color w:val="000000"/>
        </w:rPr>
        <w:t xml:space="preserve">schellinghiana dei due principi </w:t>
      </w:r>
      <w:r w:rsidR="005841AA" w:rsidRPr="008039A3">
        <w:rPr>
          <w:rFonts w:ascii="Times New Roman" w:eastAsia="Times New Roman" w:hAnsi="Times New Roman" w:cs="Times New Roman"/>
          <w:color w:val="000000"/>
        </w:rPr>
        <w:t>va in direzione di</w:t>
      </w:r>
      <w:r w:rsidR="00841CDB" w:rsidRPr="008039A3">
        <w:rPr>
          <w:rFonts w:ascii="Times New Roman" w:eastAsia="Times New Roman" w:hAnsi="Times New Roman" w:cs="Times New Roman"/>
          <w:color w:val="000000"/>
        </w:rPr>
        <w:t xml:space="preserve"> </w:t>
      </w:r>
      <w:r w:rsidR="006847D9" w:rsidRPr="008039A3">
        <w:rPr>
          <w:rFonts w:ascii="Times New Roman" w:eastAsia="Times New Roman" w:hAnsi="Times New Roman" w:cs="Times New Roman"/>
          <w:color w:val="000000"/>
        </w:rPr>
        <w:t>qu</w:t>
      </w:r>
      <w:r w:rsidR="00674BDD" w:rsidRPr="008039A3">
        <w:rPr>
          <w:rFonts w:ascii="Times New Roman" w:eastAsia="Times New Roman" w:hAnsi="Times New Roman" w:cs="Times New Roman"/>
          <w:color w:val="000000"/>
        </w:rPr>
        <w:t>ella</w:t>
      </w:r>
      <w:r w:rsidR="00CF139B" w:rsidRPr="008039A3">
        <w:rPr>
          <w:rFonts w:ascii="Times New Roman" w:eastAsia="Times New Roman" w:hAnsi="Times New Roman" w:cs="Times New Roman"/>
          <w:color w:val="000000"/>
        </w:rPr>
        <w:t xml:space="preserve"> </w:t>
      </w:r>
      <w:r w:rsidR="009634F2" w:rsidRPr="008039A3">
        <w:rPr>
          <w:rFonts w:ascii="Times New Roman" w:eastAsia="Times New Roman" w:hAnsi="Times New Roman" w:cs="Times New Roman"/>
          <w:color w:val="000000"/>
        </w:rPr>
        <w:t>diade qualitativa che</w:t>
      </w:r>
      <w:r w:rsidR="006D7526" w:rsidRPr="008039A3">
        <w:rPr>
          <w:rFonts w:ascii="Times New Roman" w:eastAsia="Times New Roman" w:hAnsi="Times New Roman" w:cs="Times New Roman"/>
          <w:color w:val="000000"/>
        </w:rPr>
        <w:t xml:space="preserve"> </w:t>
      </w:r>
      <w:r w:rsidR="00E53419" w:rsidRPr="008039A3">
        <w:rPr>
          <w:rFonts w:ascii="Times New Roman" w:eastAsia="Times New Roman" w:hAnsi="Times New Roman" w:cs="Times New Roman"/>
          <w:color w:val="000000"/>
        </w:rPr>
        <w:t xml:space="preserve">per Böhme </w:t>
      </w:r>
      <w:r w:rsidR="002A72CC" w:rsidRPr="008039A3">
        <w:rPr>
          <w:rFonts w:ascii="Times New Roman" w:eastAsia="Times New Roman" w:hAnsi="Times New Roman" w:cs="Times New Roman"/>
          <w:color w:val="000000"/>
        </w:rPr>
        <w:t>esplica</w:t>
      </w:r>
      <w:r w:rsidR="009634F2" w:rsidRPr="008039A3">
        <w:rPr>
          <w:rFonts w:ascii="Times New Roman" w:eastAsia="Times New Roman" w:hAnsi="Times New Roman" w:cs="Times New Roman"/>
          <w:color w:val="000000"/>
        </w:rPr>
        <w:t xml:space="preserve"> la </w:t>
      </w:r>
      <w:r w:rsidR="00E53419" w:rsidRPr="008039A3">
        <w:rPr>
          <w:rFonts w:ascii="Times New Roman" w:eastAsia="Times New Roman" w:hAnsi="Times New Roman" w:cs="Times New Roman"/>
          <w:color w:val="000000"/>
        </w:rPr>
        <w:t xml:space="preserve">struttura </w:t>
      </w:r>
      <w:r w:rsidR="00E57DE5" w:rsidRPr="008039A3">
        <w:rPr>
          <w:rFonts w:ascii="Times New Roman" w:eastAsia="Times New Roman" w:hAnsi="Times New Roman" w:cs="Times New Roman"/>
          <w:color w:val="000000"/>
        </w:rPr>
        <w:t xml:space="preserve">ontologica </w:t>
      </w:r>
      <w:r w:rsidR="00D10621" w:rsidRPr="008039A3">
        <w:rPr>
          <w:rFonts w:ascii="Times New Roman" w:eastAsia="Times New Roman" w:hAnsi="Times New Roman" w:cs="Times New Roman"/>
          <w:color w:val="000000"/>
        </w:rPr>
        <w:t>divino</w:t>
      </w:r>
      <w:r w:rsidR="00674BDD" w:rsidRPr="008039A3">
        <w:rPr>
          <w:rFonts w:ascii="Times New Roman" w:eastAsia="Times New Roman" w:hAnsi="Times New Roman" w:cs="Times New Roman"/>
          <w:color w:val="000000"/>
        </w:rPr>
        <w:t>-</w:t>
      </w:r>
      <w:r w:rsidR="00E53419" w:rsidRPr="008039A3">
        <w:rPr>
          <w:rFonts w:ascii="Times New Roman" w:eastAsia="Times New Roman" w:hAnsi="Times New Roman" w:cs="Times New Roman"/>
          <w:color w:val="000000"/>
        </w:rPr>
        <w:t>creaturale.</w:t>
      </w:r>
      <w:r w:rsidR="005E3D75" w:rsidRPr="008039A3">
        <w:rPr>
          <w:rFonts w:ascii="Times New Roman" w:eastAsia="Times New Roman" w:hAnsi="Times New Roman" w:cs="Times New Roman"/>
          <w:color w:val="000000"/>
        </w:rPr>
        <w:t xml:space="preserve"> Il fatto c</w:t>
      </w:r>
      <w:r w:rsidR="00CF139B" w:rsidRPr="008039A3">
        <w:rPr>
          <w:rFonts w:ascii="Times New Roman" w:eastAsia="Times New Roman" w:hAnsi="Times New Roman" w:cs="Times New Roman"/>
          <w:color w:val="000000"/>
        </w:rPr>
        <w:t xml:space="preserve">he Schelling </w:t>
      </w:r>
      <w:r w:rsidR="00D50F2E" w:rsidRPr="008039A3">
        <w:rPr>
          <w:rFonts w:ascii="Times New Roman" w:eastAsia="Times New Roman" w:hAnsi="Times New Roman" w:cs="Times New Roman"/>
          <w:color w:val="000000"/>
        </w:rPr>
        <w:t xml:space="preserve">si sia </w:t>
      </w:r>
      <w:r w:rsidR="002A72CC" w:rsidRPr="008039A3">
        <w:rPr>
          <w:rFonts w:ascii="Times New Roman" w:eastAsia="Times New Roman" w:hAnsi="Times New Roman" w:cs="Times New Roman"/>
          <w:color w:val="000000"/>
        </w:rPr>
        <w:t>potuto richiamare</w:t>
      </w:r>
      <w:r w:rsidR="00600FA2" w:rsidRPr="008039A3">
        <w:rPr>
          <w:rFonts w:ascii="Times New Roman" w:eastAsia="Times New Roman" w:hAnsi="Times New Roman" w:cs="Times New Roman"/>
          <w:color w:val="000000"/>
        </w:rPr>
        <w:t xml:space="preserve"> </w:t>
      </w:r>
      <w:r w:rsidR="009B51C7" w:rsidRPr="008039A3">
        <w:rPr>
          <w:rFonts w:ascii="Times New Roman" w:eastAsia="Times New Roman" w:hAnsi="Times New Roman" w:cs="Times New Roman"/>
          <w:color w:val="000000"/>
        </w:rPr>
        <w:t>a</w:t>
      </w:r>
      <w:r w:rsidR="00D50F2E" w:rsidRPr="008039A3">
        <w:rPr>
          <w:rFonts w:ascii="Times New Roman" w:eastAsia="Times New Roman" w:hAnsi="Times New Roman" w:cs="Times New Roman"/>
          <w:color w:val="000000"/>
        </w:rPr>
        <w:t>d</w:t>
      </w:r>
      <w:r w:rsidR="00FC277B" w:rsidRPr="008039A3">
        <w:rPr>
          <w:rFonts w:ascii="Times New Roman" w:eastAsia="Times New Roman" w:hAnsi="Times New Roman" w:cs="Times New Roman"/>
          <w:color w:val="000000"/>
        </w:rPr>
        <w:t xml:space="preserve"> alcune</w:t>
      </w:r>
      <w:r w:rsidR="005E3D75" w:rsidRPr="008039A3">
        <w:rPr>
          <w:rFonts w:ascii="Times New Roman" w:eastAsia="Times New Roman" w:hAnsi="Times New Roman" w:cs="Times New Roman"/>
          <w:color w:val="000000"/>
        </w:rPr>
        <w:t xml:space="preserve"> categorie böhmian</w:t>
      </w:r>
      <w:r w:rsidR="009634F2" w:rsidRPr="008039A3">
        <w:rPr>
          <w:rFonts w:ascii="Times New Roman" w:eastAsia="Times New Roman" w:hAnsi="Times New Roman" w:cs="Times New Roman"/>
          <w:color w:val="000000"/>
        </w:rPr>
        <w:t>e</w:t>
      </w:r>
      <w:r w:rsidR="00600FA2" w:rsidRPr="008039A3">
        <w:rPr>
          <w:rFonts w:ascii="Times New Roman" w:eastAsia="Times New Roman" w:hAnsi="Times New Roman" w:cs="Times New Roman"/>
          <w:color w:val="000000"/>
        </w:rPr>
        <w:t>, inserendole</w:t>
      </w:r>
      <w:r w:rsidR="009634F2" w:rsidRPr="008039A3">
        <w:rPr>
          <w:rFonts w:ascii="Times New Roman" w:eastAsia="Times New Roman" w:hAnsi="Times New Roman" w:cs="Times New Roman"/>
          <w:color w:val="000000"/>
        </w:rPr>
        <w:t xml:space="preserve"> in un intreccio</w:t>
      </w:r>
      <w:r w:rsidR="005E3D75" w:rsidRPr="008039A3">
        <w:rPr>
          <w:rFonts w:ascii="Times New Roman" w:eastAsia="Times New Roman" w:hAnsi="Times New Roman" w:cs="Times New Roman"/>
          <w:color w:val="000000"/>
        </w:rPr>
        <w:t xml:space="preserve"> </w:t>
      </w:r>
      <w:r w:rsidR="009634F2" w:rsidRPr="008039A3">
        <w:rPr>
          <w:rFonts w:ascii="Times New Roman" w:eastAsia="Times New Roman" w:hAnsi="Times New Roman" w:cs="Times New Roman"/>
          <w:color w:val="000000"/>
        </w:rPr>
        <w:t xml:space="preserve">argomentativo capace </w:t>
      </w:r>
      <w:r w:rsidR="005E3D75" w:rsidRPr="008039A3">
        <w:rPr>
          <w:rFonts w:ascii="Times New Roman" w:eastAsia="Times New Roman" w:hAnsi="Times New Roman" w:cs="Times New Roman"/>
          <w:color w:val="000000"/>
        </w:rPr>
        <w:t>di far coesistere tradizioni di pensie</w:t>
      </w:r>
      <w:r w:rsidR="008637AA" w:rsidRPr="008039A3">
        <w:rPr>
          <w:rFonts w:ascii="Times New Roman" w:eastAsia="Times New Roman" w:hAnsi="Times New Roman" w:cs="Times New Roman"/>
          <w:color w:val="000000"/>
        </w:rPr>
        <w:t xml:space="preserve">ro eterogenee, sembra </w:t>
      </w:r>
      <w:r w:rsidR="00417F5F" w:rsidRPr="008039A3">
        <w:rPr>
          <w:rFonts w:ascii="Times New Roman" w:eastAsia="Times New Roman" w:hAnsi="Times New Roman" w:cs="Times New Roman"/>
          <w:color w:val="000000"/>
        </w:rPr>
        <w:t xml:space="preserve">essere </w:t>
      </w:r>
      <w:r w:rsidR="008637AA" w:rsidRPr="008039A3">
        <w:rPr>
          <w:rFonts w:ascii="Times New Roman" w:eastAsia="Times New Roman" w:hAnsi="Times New Roman" w:cs="Times New Roman"/>
          <w:color w:val="000000"/>
        </w:rPr>
        <w:t>con</w:t>
      </w:r>
      <w:r w:rsidR="001A7C7D" w:rsidRPr="008039A3">
        <w:rPr>
          <w:rFonts w:ascii="Times New Roman" w:eastAsia="Times New Roman" w:hAnsi="Times New Roman" w:cs="Times New Roman"/>
          <w:color w:val="000000"/>
        </w:rPr>
        <w:t xml:space="preserve">fermato da alcune </w:t>
      </w:r>
      <w:r w:rsidR="00E32558" w:rsidRPr="008039A3">
        <w:rPr>
          <w:rFonts w:ascii="Times New Roman" w:eastAsia="Times New Roman" w:hAnsi="Times New Roman" w:cs="Times New Roman"/>
          <w:color w:val="000000"/>
        </w:rPr>
        <w:t xml:space="preserve">testimonianze </w:t>
      </w:r>
      <w:r w:rsidR="008637AA" w:rsidRPr="008039A3">
        <w:rPr>
          <w:rFonts w:ascii="Times New Roman" w:eastAsia="Times New Roman" w:hAnsi="Times New Roman" w:cs="Times New Roman"/>
          <w:color w:val="000000"/>
        </w:rPr>
        <w:t>collocabili fra il 1802 ed il 1804.</w:t>
      </w:r>
      <w:r w:rsidR="008637AA">
        <w:rPr>
          <w:rFonts w:ascii="Times New Roman" w:eastAsia="Times New Roman" w:hAnsi="Times New Roman" w:cs="Times New Roman"/>
          <w:color w:val="000000"/>
        </w:rPr>
        <w:t xml:space="preserve"> </w:t>
      </w:r>
      <w:r w:rsidR="000D3F30" w:rsidRPr="0099450C">
        <w:rPr>
          <w:rFonts w:ascii="Times New Roman" w:eastAsia="Times New Roman" w:hAnsi="Times New Roman" w:cs="Times New Roman"/>
          <w:color w:val="000000"/>
        </w:rPr>
        <w:t>Dal</w:t>
      </w:r>
      <w:r w:rsidR="00995E95" w:rsidRPr="0099450C">
        <w:rPr>
          <w:rFonts w:ascii="Times New Roman" w:eastAsia="Times New Roman" w:hAnsi="Times New Roman" w:cs="Times New Roman"/>
          <w:color w:val="000000"/>
        </w:rPr>
        <w:t xml:space="preserve">le </w:t>
      </w:r>
      <w:r w:rsidR="00E32558">
        <w:rPr>
          <w:rFonts w:ascii="Times New Roman" w:eastAsia="Times New Roman" w:hAnsi="Times New Roman" w:cs="Times New Roman"/>
          <w:color w:val="000000"/>
        </w:rPr>
        <w:t xml:space="preserve">lettere </w:t>
      </w:r>
      <w:r w:rsidR="00DE5BA9">
        <w:rPr>
          <w:rFonts w:ascii="Times New Roman" w:eastAsia="Times New Roman" w:hAnsi="Times New Roman" w:cs="Times New Roman"/>
          <w:color w:val="000000"/>
        </w:rPr>
        <w:t xml:space="preserve">di Preziger, </w:t>
      </w:r>
      <w:r w:rsidR="00D123F5" w:rsidRPr="0099450C">
        <w:rPr>
          <w:rFonts w:ascii="Times New Roman" w:eastAsia="Times New Roman" w:hAnsi="Times New Roman" w:cs="Times New Roman"/>
          <w:color w:val="000000"/>
        </w:rPr>
        <w:t>c</w:t>
      </w:r>
      <w:r w:rsidR="00DE5BA9">
        <w:rPr>
          <w:rFonts w:ascii="Times New Roman" w:eastAsia="Times New Roman" w:hAnsi="Times New Roman" w:cs="Times New Roman"/>
          <w:color w:val="000000"/>
        </w:rPr>
        <w:t>onoscente di Schelling dal 1803,</w:t>
      </w:r>
      <w:r w:rsidR="00D123F5" w:rsidRPr="0099450C">
        <w:rPr>
          <w:rFonts w:ascii="Times New Roman" w:eastAsia="Times New Roman" w:hAnsi="Times New Roman" w:cs="Times New Roman"/>
          <w:color w:val="000000"/>
        </w:rPr>
        <w:t xml:space="preserve"> </w:t>
      </w:r>
      <w:r w:rsidR="00995E95" w:rsidRPr="0099450C">
        <w:rPr>
          <w:rFonts w:ascii="Times New Roman" w:eastAsia="Times New Roman" w:hAnsi="Times New Roman" w:cs="Times New Roman"/>
          <w:color w:val="000000"/>
        </w:rPr>
        <w:t xml:space="preserve">e </w:t>
      </w:r>
      <w:r w:rsidR="00417F5F">
        <w:rPr>
          <w:rFonts w:ascii="Times New Roman" w:eastAsia="Times New Roman" w:hAnsi="Times New Roman" w:cs="Times New Roman"/>
          <w:color w:val="000000"/>
        </w:rPr>
        <w:t xml:space="preserve">di </w:t>
      </w:r>
      <w:r w:rsidR="00995E95" w:rsidRPr="0099450C">
        <w:rPr>
          <w:rFonts w:ascii="Times New Roman" w:eastAsia="Times New Roman" w:hAnsi="Times New Roman" w:cs="Times New Roman"/>
          <w:color w:val="000000"/>
        </w:rPr>
        <w:t>Schubert</w:t>
      </w:r>
      <w:r w:rsidR="00DE5BA9">
        <w:rPr>
          <w:rFonts w:ascii="Times New Roman" w:eastAsia="Times New Roman" w:hAnsi="Times New Roman" w:cs="Times New Roman"/>
          <w:color w:val="000000"/>
        </w:rPr>
        <w:t xml:space="preserve">, </w:t>
      </w:r>
      <w:r w:rsidR="004B13FC" w:rsidRPr="0099450C">
        <w:rPr>
          <w:rFonts w:ascii="Times New Roman" w:eastAsia="Times New Roman" w:hAnsi="Times New Roman" w:cs="Times New Roman"/>
          <w:color w:val="000000"/>
        </w:rPr>
        <w:t>allievo</w:t>
      </w:r>
      <w:r w:rsidR="00995E95" w:rsidRPr="0099450C">
        <w:rPr>
          <w:rFonts w:ascii="Times New Roman" w:eastAsia="Times New Roman" w:hAnsi="Times New Roman" w:cs="Times New Roman"/>
          <w:color w:val="000000"/>
        </w:rPr>
        <w:t xml:space="preserve"> di Schelling </w:t>
      </w:r>
      <w:r w:rsidR="00417F5F">
        <w:rPr>
          <w:rFonts w:ascii="Times New Roman" w:eastAsia="Times New Roman" w:hAnsi="Times New Roman" w:cs="Times New Roman"/>
          <w:color w:val="000000"/>
        </w:rPr>
        <w:t xml:space="preserve">all’Università di </w:t>
      </w:r>
      <w:r w:rsidR="00995E95" w:rsidRPr="0099450C">
        <w:rPr>
          <w:rFonts w:ascii="Times New Roman" w:eastAsia="Times New Roman" w:hAnsi="Times New Roman" w:cs="Times New Roman"/>
          <w:color w:val="000000"/>
        </w:rPr>
        <w:t xml:space="preserve">Jena, </w:t>
      </w:r>
      <w:r w:rsidR="000D3F30" w:rsidRPr="0099450C">
        <w:rPr>
          <w:rFonts w:ascii="Times New Roman" w:eastAsia="Times New Roman" w:hAnsi="Times New Roman" w:cs="Times New Roman"/>
          <w:color w:val="000000"/>
        </w:rPr>
        <w:t xml:space="preserve">che </w:t>
      </w:r>
      <w:r w:rsidR="00E32558">
        <w:rPr>
          <w:rFonts w:ascii="Times New Roman" w:eastAsia="Times New Roman" w:hAnsi="Times New Roman" w:cs="Times New Roman"/>
          <w:color w:val="000000"/>
        </w:rPr>
        <w:t>danno notizia di una precoce</w:t>
      </w:r>
      <w:r w:rsidR="000D3F30" w:rsidRPr="0099450C">
        <w:rPr>
          <w:rFonts w:ascii="Times New Roman" w:eastAsia="Times New Roman" w:hAnsi="Times New Roman" w:cs="Times New Roman"/>
          <w:color w:val="000000"/>
        </w:rPr>
        <w:t xml:space="preserve"> dimestichezza schellinghiana </w:t>
      </w:r>
      <w:r w:rsidR="000D3F30" w:rsidRPr="00330029">
        <w:rPr>
          <w:rFonts w:ascii="Times New Roman" w:eastAsia="Times New Roman" w:hAnsi="Times New Roman" w:cs="Times New Roman"/>
          <w:color w:val="000000"/>
        </w:rPr>
        <w:t>con il pensiero di Jakob Böhme e di Fr</w:t>
      </w:r>
      <w:r w:rsidR="00E32558" w:rsidRPr="00330029">
        <w:rPr>
          <w:rFonts w:ascii="Times New Roman" w:eastAsia="Times New Roman" w:hAnsi="Times New Roman" w:cs="Times New Roman"/>
          <w:color w:val="000000"/>
        </w:rPr>
        <w:t>iedrich Christoph Oettinger</w:t>
      </w:r>
      <w:r w:rsidR="000D3F30" w:rsidRPr="00330029">
        <w:rPr>
          <w:rStyle w:val="Rimandonotaapidipagina"/>
          <w:rFonts w:ascii="Times New Roman" w:eastAsia="Times New Roman" w:hAnsi="Times New Roman" w:cs="Times New Roman"/>
          <w:color w:val="000000"/>
        </w:rPr>
        <w:footnoteReference w:id="259"/>
      </w:r>
      <w:r w:rsidR="000D3F30" w:rsidRPr="00330029">
        <w:rPr>
          <w:rFonts w:ascii="Times New Roman" w:eastAsia="Times New Roman" w:hAnsi="Times New Roman" w:cs="Times New Roman"/>
          <w:color w:val="000000"/>
        </w:rPr>
        <w:t xml:space="preserve">, </w:t>
      </w:r>
      <w:r w:rsidR="00995E95" w:rsidRPr="00330029">
        <w:rPr>
          <w:rFonts w:ascii="Times New Roman" w:eastAsia="Times New Roman" w:hAnsi="Times New Roman" w:cs="Times New Roman"/>
          <w:color w:val="000000"/>
        </w:rPr>
        <w:t>si pass</w:t>
      </w:r>
      <w:r w:rsidR="000D3F30" w:rsidRPr="00330029">
        <w:rPr>
          <w:rFonts w:ascii="Times New Roman" w:eastAsia="Times New Roman" w:hAnsi="Times New Roman" w:cs="Times New Roman"/>
          <w:color w:val="000000"/>
        </w:rPr>
        <w:t xml:space="preserve">a ad un </w:t>
      </w:r>
      <w:r w:rsidR="0099450C" w:rsidRPr="00330029">
        <w:rPr>
          <w:rFonts w:ascii="Times New Roman" w:eastAsia="Times New Roman" w:hAnsi="Times New Roman" w:cs="Times New Roman"/>
          <w:color w:val="000000"/>
        </w:rPr>
        <w:t>documento autografo</w:t>
      </w:r>
      <w:r w:rsidR="00E32558">
        <w:rPr>
          <w:rFonts w:ascii="Times New Roman" w:eastAsia="Times New Roman" w:hAnsi="Times New Roman" w:cs="Times New Roman"/>
          <w:color w:val="000000"/>
        </w:rPr>
        <w:t xml:space="preserve"> dello stesso Schelli</w:t>
      </w:r>
      <w:r w:rsidR="000D3F30" w:rsidRPr="0099450C">
        <w:rPr>
          <w:rFonts w:ascii="Times New Roman" w:eastAsia="Times New Roman" w:hAnsi="Times New Roman" w:cs="Times New Roman"/>
          <w:color w:val="000000"/>
        </w:rPr>
        <w:t>ng</w:t>
      </w:r>
      <w:r w:rsidR="00995E95" w:rsidRPr="0099450C">
        <w:rPr>
          <w:rFonts w:ascii="Times New Roman" w:eastAsia="Times New Roman" w:hAnsi="Times New Roman" w:cs="Times New Roman"/>
          <w:color w:val="000000"/>
        </w:rPr>
        <w:t>,</w:t>
      </w:r>
      <w:r w:rsidR="0099450C">
        <w:rPr>
          <w:rFonts w:ascii="Times New Roman" w:eastAsia="Times New Roman" w:hAnsi="Times New Roman" w:cs="Times New Roman"/>
          <w:color w:val="000000"/>
        </w:rPr>
        <w:t xml:space="preserve"> </w:t>
      </w:r>
      <w:r w:rsidR="00E32558">
        <w:rPr>
          <w:rFonts w:ascii="Times New Roman" w:eastAsia="Times New Roman" w:hAnsi="Times New Roman" w:cs="Times New Roman"/>
          <w:color w:val="000000"/>
        </w:rPr>
        <w:t xml:space="preserve">inviato </w:t>
      </w:r>
      <w:r w:rsidR="000D3F30" w:rsidRPr="0099450C">
        <w:rPr>
          <w:rFonts w:ascii="Times New Roman" w:eastAsia="Times New Roman" w:hAnsi="Times New Roman" w:cs="Times New Roman"/>
          <w:color w:val="000000"/>
        </w:rPr>
        <w:t xml:space="preserve">nel luglio del 1802 </w:t>
      </w:r>
      <w:r w:rsidR="00995E95" w:rsidRPr="0099450C">
        <w:rPr>
          <w:rFonts w:ascii="Times New Roman" w:eastAsia="Times New Roman" w:hAnsi="Times New Roman" w:cs="Times New Roman"/>
          <w:color w:val="000000"/>
        </w:rPr>
        <w:t xml:space="preserve">a </w:t>
      </w:r>
      <w:r w:rsidR="004B2D52" w:rsidRPr="0099450C">
        <w:rPr>
          <w:rFonts w:ascii="Times New Roman" w:eastAsia="Times New Roman" w:hAnsi="Times New Roman" w:cs="Times New Roman"/>
          <w:color w:val="000000"/>
        </w:rPr>
        <w:t>Arthur Wilhelm Schlegel</w:t>
      </w:r>
      <w:r w:rsidR="001A7C7D" w:rsidRPr="0099450C">
        <w:rPr>
          <w:rFonts w:ascii="Times New Roman" w:eastAsia="Times New Roman" w:hAnsi="Times New Roman" w:cs="Times New Roman"/>
          <w:color w:val="000000"/>
        </w:rPr>
        <w:t>, in cui il fil</w:t>
      </w:r>
      <w:r w:rsidR="00D2318A">
        <w:rPr>
          <w:rFonts w:ascii="Times New Roman" w:eastAsia="Times New Roman" w:hAnsi="Times New Roman" w:cs="Times New Roman"/>
          <w:color w:val="000000"/>
        </w:rPr>
        <w:t>o</w:t>
      </w:r>
      <w:r w:rsidR="001A7C7D" w:rsidRPr="0099450C">
        <w:rPr>
          <w:rFonts w:ascii="Times New Roman" w:eastAsia="Times New Roman" w:hAnsi="Times New Roman" w:cs="Times New Roman"/>
          <w:color w:val="000000"/>
        </w:rPr>
        <w:t>sofo si lamenta dell’</w:t>
      </w:r>
      <w:r w:rsidR="00DD23AB" w:rsidRPr="0099450C">
        <w:rPr>
          <w:rFonts w:ascii="Times New Roman" w:eastAsia="Times New Roman" w:hAnsi="Times New Roman" w:cs="Times New Roman"/>
          <w:color w:val="000000"/>
        </w:rPr>
        <w:t>edizione in ottavo del</w:t>
      </w:r>
      <w:r w:rsidR="00D70EA7">
        <w:rPr>
          <w:rFonts w:ascii="Times New Roman" w:eastAsia="Times New Roman" w:hAnsi="Times New Roman" w:cs="Times New Roman"/>
          <w:color w:val="000000"/>
        </w:rPr>
        <w:t xml:space="preserve">le opere </w:t>
      </w:r>
      <w:r w:rsidR="00DB7AF8">
        <w:rPr>
          <w:rFonts w:ascii="Times New Roman" w:eastAsia="Times New Roman" w:hAnsi="Times New Roman" w:cs="Times New Roman"/>
          <w:color w:val="000000"/>
        </w:rPr>
        <w:t>di Böhme</w:t>
      </w:r>
      <w:r w:rsidR="001A7C7D" w:rsidRPr="0099450C">
        <w:rPr>
          <w:rFonts w:ascii="Times New Roman" w:eastAsia="Times New Roman" w:hAnsi="Times New Roman" w:cs="Times New Roman"/>
          <w:color w:val="000000"/>
        </w:rPr>
        <w:t>:</w:t>
      </w:r>
      <w:r w:rsidR="00DD23AB">
        <w:rPr>
          <w:rFonts w:ascii="Times New Roman" w:eastAsia="Times New Roman" w:hAnsi="Times New Roman" w:cs="Times New Roman"/>
          <w:color w:val="000000"/>
        </w:rPr>
        <w:t xml:space="preserve"> </w:t>
      </w:r>
    </w:p>
    <w:p w14:paraId="787CE752" w14:textId="77777777" w:rsidR="00FA45A5" w:rsidRDefault="00FA45A5" w:rsidP="00E53419">
      <w:pPr>
        <w:spacing w:line="360" w:lineRule="auto"/>
        <w:ind w:firstLine="567"/>
        <w:jc w:val="both"/>
        <w:rPr>
          <w:rFonts w:ascii="Times New Roman" w:eastAsia="Times New Roman" w:hAnsi="Times New Roman" w:cs="Times New Roman"/>
          <w:color w:val="000000"/>
        </w:rPr>
      </w:pPr>
    </w:p>
    <w:p w14:paraId="6AC33AAF" w14:textId="77777777" w:rsidR="00FA45A5" w:rsidRPr="00B81148" w:rsidRDefault="00DD23AB" w:rsidP="002A7F93">
      <w:pPr>
        <w:spacing w:line="360" w:lineRule="auto"/>
        <w:ind w:left="567" w:firstLine="567"/>
        <w:jc w:val="both"/>
        <w:rPr>
          <w:rFonts w:ascii="Times New Roman" w:eastAsia="Times New Roman" w:hAnsi="Times New Roman" w:cs="Times New Roman"/>
          <w:color w:val="000000"/>
          <w:sz w:val="20"/>
          <w:szCs w:val="20"/>
        </w:rPr>
      </w:pPr>
      <w:r w:rsidRPr="00FA45A5">
        <w:rPr>
          <w:rFonts w:ascii="Times New Roman" w:eastAsia="Times New Roman" w:hAnsi="Times New Roman" w:cs="Times New Roman"/>
          <w:i/>
          <w:color w:val="000000"/>
          <w:sz w:val="20"/>
          <w:szCs w:val="20"/>
        </w:rPr>
        <w:t>«</w:t>
      </w:r>
      <w:r w:rsidRPr="00B81148">
        <w:rPr>
          <w:rFonts w:ascii="Times New Roman" w:eastAsia="Times New Roman" w:hAnsi="Times New Roman" w:cs="Times New Roman"/>
          <w:color w:val="000000"/>
          <w:sz w:val="20"/>
          <w:szCs w:val="20"/>
        </w:rPr>
        <w:t>Sie errinern viellecht meiner Neigung zu den Quartenausgaben; seit ich die von Jakob Böhme gesehen habe, ist mir die in 8to wirklich unlieb geworden. Sollten Sie oder Ihre Freunde Gelegenheit haben, die Ausgabe in 4to jetzt oder künftig für mich in Berlin zu kaufen, so würde ich dafür höchst verbunden sein»</w:t>
      </w:r>
      <w:r w:rsidRPr="00B81148">
        <w:rPr>
          <w:rStyle w:val="Rimandonotaapidipagina"/>
          <w:rFonts w:ascii="Times New Roman" w:eastAsia="Times New Roman" w:hAnsi="Times New Roman" w:cs="Times New Roman"/>
          <w:color w:val="000000"/>
          <w:sz w:val="20"/>
          <w:szCs w:val="20"/>
        </w:rPr>
        <w:footnoteReference w:id="260"/>
      </w:r>
      <w:r w:rsidR="00121220" w:rsidRPr="00B81148">
        <w:rPr>
          <w:rFonts w:ascii="Times New Roman" w:eastAsia="Times New Roman" w:hAnsi="Times New Roman" w:cs="Times New Roman"/>
          <w:color w:val="000000"/>
          <w:sz w:val="20"/>
          <w:szCs w:val="20"/>
        </w:rPr>
        <w:t xml:space="preserve">. </w:t>
      </w:r>
    </w:p>
    <w:p w14:paraId="03A4FDDE" w14:textId="77777777" w:rsidR="00FA45A5" w:rsidRDefault="00FA45A5" w:rsidP="00E53419">
      <w:pPr>
        <w:spacing w:line="360" w:lineRule="auto"/>
        <w:ind w:firstLine="567"/>
        <w:jc w:val="both"/>
        <w:rPr>
          <w:rFonts w:ascii="Times New Roman" w:eastAsia="Times New Roman" w:hAnsi="Times New Roman" w:cs="Times New Roman"/>
          <w:color w:val="000000"/>
        </w:rPr>
      </w:pPr>
    </w:p>
    <w:p w14:paraId="666AA64F" w14:textId="21F2BBDE" w:rsidR="00A513E6" w:rsidRPr="00F21058" w:rsidRDefault="00417F5F" w:rsidP="00A513E6">
      <w:pPr>
        <w:spacing w:line="360" w:lineRule="auto"/>
        <w:ind w:firstLine="567"/>
        <w:jc w:val="both"/>
        <w:rPr>
          <w:rFonts w:ascii="Times New Roman" w:eastAsia="Times New Roman" w:hAnsi="Times New Roman" w:cs="Times New Roman"/>
          <w:color w:val="000000"/>
        </w:rPr>
      </w:pPr>
      <w:r w:rsidRPr="007954D0">
        <w:rPr>
          <w:rFonts w:ascii="Times New Roman" w:eastAsia="Times New Roman" w:hAnsi="Times New Roman" w:cs="Times New Roman"/>
          <w:color w:val="000000"/>
        </w:rPr>
        <w:t xml:space="preserve">Nella </w:t>
      </w:r>
      <w:r w:rsidR="00453B3E" w:rsidRPr="007954D0">
        <w:rPr>
          <w:rFonts w:ascii="Times New Roman" w:eastAsia="Times New Roman" w:hAnsi="Times New Roman" w:cs="Times New Roman"/>
          <w:color w:val="000000"/>
        </w:rPr>
        <w:t xml:space="preserve">lettera </w:t>
      </w:r>
      <w:r w:rsidRPr="007954D0">
        <w:rPr>
          <w:rFonts w:ascii="Times New Roman" w:eastAsia="Times New Roman" w:hAnsi="Times New Roman" w:cs="Times New Roman"/>
          <w:color w:val="000000"/>
        </w:rPr>
        <w:t xml:space="preserve">del </w:t>
      </w:r>
      <w:r w:rsidR="00516F28" w:rsidRPr="007954D0">
        <w:rPr>
          <w:rFonts w:ascii="Times New Roman" w:eastAsia="Times New Roman" w:hAnsi="Times New Roman" w:cs="Times New Roman"/>
          <w:color w:val="000000"/>
        </w:rPr>
        <w:t xml:space="preserve">25 </w:t>
      </w:r>
      <w:r w:rsidR="00CC7755" w:rsidRPr="007954D0">
        <w:rPr>
          <w:rFonts w:ascii="Times New Roman" w:eastAsia="Times New Roman" w:hAnsi="Times New Roman" w:cs="Times New Roman"/>
          <w:color w:val="000000"/>
        </w:rPr>
        <w:t xml:space="preserve">febbraio </w:t>
      </w:r>
      <w:r w:rsidR="002452B9" w:rsidRPr="007954D0">
        <w:rPr>
          <w:rFonts w:ascii="Times New Roman" w:eastAsia="Times New Roman" w:hAnsi="Times New Roman" w:cs="Times New Roman"/>
          <w:color w:val="000000"/>
        </w:rPr>
        <w:t xml:space="preserve">1804 </w:t>
      </w:r>
      <w:r w:rsidR="009634F2" w:rsidRPr="007954D0">
        <w:rPr>
          <w:rFonts w:ascii="Times New Roman" w:eastAsia="Times New Roman" w:hAnsi="Times New Roman" w:cs="Times New Roman"/>
          <w:color w:val="000000"/>
        </w:rPr>
        <w:t xml:space="preserve">a Windschmann, Schelling </w:t>
      </w:r>
      <w:r w:rsidR="002452B9" w:rsidRPr="007954D0">
        <w:rPr>
          <w:rFonts w:ascii="Times New Roman" w:eastAsia="Times New Roman" w:hAnsi="Times New Roman" w:cs="Times New Roman"/>
          <w:color w:val="000000"/>
        </w:rPr>
        <w:t xml:space="preserve">dà notizia di </w:t>
      </w:r>
      <w:r w:rsidR="00453B3E" w:rsidRPr="007954D0">
        <w:rPr>
          <w:rFonts w:ascii="Times New Roman" w:eastAsia="Times New Roman" w:hAnsi="Times New Roman" w:cs="Times New Roman"/>
          <w:color w:val="000000"/>
        </w:rPr>
        <w:t xml:space="preserve">essere </w:t>
      </w:r>
      <w:r w:rsidR="009634F2" w:rsidRPr="007954D0">
        <w:rPr>
          <w:rFonts w:ascii="Times New Roman" w:eastAsia="Times New Roman" w:hAnsi="Times New Roman" w:cs="Times New Roman"/>
          <w:color w:val="000000"/>
        </w:rPr>
        <w:t>entra</w:t>
      </w:r>
      <w:r w:rsidR="00453B3E" w:rsidRPr="007954D0">
        <w:rPr>
          <w:rFonts w:ascii="Times New Roman" w:eastAsia="Times New Roman" w:hAnsi="Times New Roman" w:cs="Times New Roman"/>
          <w:color w:val="000000"/>
        </w:rPr>
        <w:t>to</w:t>
      </w:r>
      <w:r w:rsidR="00121220" w:rsidRPr="007954D0">
        <w:rPr>
          <w:rFonts w:ascii="Times New Roman" w:eastAsia="Times New Roman" w:hAnsi="Times New Roman" w:cs="Times New Roman"/>
          <w:color w:val="000000"/>
        </w:rPr>
        <w:t xml:space="preserve"> </w:t>
      </w:r>
      <w:r w:rsidR="002452B9" w:rsidRPr="007954D0">
        <w:rPr>
          <w:rFonts w:ascii="Times New Roman" w:eastAsia="Times New Roman" w:hAnsi="Times New Roman" w:cs="Times New Roman"/>
          <w:color w:val="000000"/>
        </w:rPr>
        <w:t xml:space="preserve">finalmente </w:t>
      </w:r>
      <w:r w:rsidR="00121220" w:rsidRPr="007954D0">
        <w:rPr>
          <w:rFonts w:ascii="Times New Roman" w:eastAsia="Times New Roman" w:hAnsi="Times New Roman" w:cs="Times New Roman"/>
          <w:color w:val="000000"/>
        </w:rPr>
        <w:t>in possesso dell’edizione in quarto delle opere del ciabattino di Görlitz</w:t>
      </w:r>
      <w:r w:rsidR="00306BF7" w:rsidRPr="007954D0">
        <w:rPr>
          <w:rFonts w:ascii="Times New Roman" w:eastAsia="Times New Roman" w:hAnsi="Times New Roman" w:cs="Times New Roman"/>
          <w:color w:val="000000"/>
        </w:rPr>
        <w:t>: «Sie haben mir in der That mit Uebersendung der herrlichen Ausgabe Jokob Böhme ein sehr großes Vergnügen, aber zugleich eine nicht geringe Beschämung gemacht</w:t>
      </w:r>
      <w:r w:rsidR="00306BF7" w:rsidRPr="00F22C73">
        <w:rPr>
          <w:rFonts w:ascii="Times New Roman" w:eastAsia="Times New Roman" w:hAnsi="Times New Roman" w:cs="Times New Roman"/>
          <w:color w:val="000000"/>
          <w:sz w:val="20"/>
          <w:szCs w:val="20"/>
        </w:rPr>
        <w:t>»</w:t>
      </w:r>
      <w:r w:rsidR="00306BF7" w:rsidRPr="00F22C73">
        <w:rPr>
          <w:rStyle w:val="Rimandonotaapidipagina"/>
          <w:rFonts w:ascii="Times New Roman" w:eastAsia="Times New Roman" w:hAnsi="Times New Roman" w:cs="Times New Roman"/>
          <w:color w:val="000000"/>
          <w:sz w:val="20"/>
          <w:szCs w:val="20"/>
        </w:rPr>
        <w:footnoteReference w:id="261"/>
      </w:r>
      <w:r w:rsidR="00121220" w:rsidRPr="00F22C73">
        <w:rPr>
          <w:rFonts w:ascii="Times New Roman" w:eastAsia="Times New Roman" w:hAnsi="Times New Roman" w:cs="Times New Roman"/>
          <w:color w:val="000000"/>
        </w:rPr>
        <w:t xml:space="preserve">. </w:t>
      </w:r>
      <w:r w:rsidR="00D50F2E" w:rsidRPr="00F22C73">
        <w:rPr>
          <w:rFonts w:ascii="Times New Roman" w:eastAsia="Times New Roman" w:hAnsi="Times New Roman" w:cs="Times New Roman"/>
          <w:color w:val="000000"/>
        </w:rPr>
        <w:t>Q</w:t>
      </w:r>
      <w:r w:rsidR="004A4763" w:rsidRPr="00F22C73">
        <w:rPr>
          <w:rFonts w:ascii="Times New Roman" w:eastAsia="Times New Roman" w:hAnsi="Times New Roman" w:cs="Times New Roman"/>
          <w:color w:val="000000"/>
        </w:rPr>
        <w:t>uesto fatto</w:t>
      </w:r>
      <w:r w:rsidR="0099450C" w:rsidRPr="00F22C73">
        <w:rPr>
          <w:rFonts w:ascii="Times New Roman" w:eastAsia="Times New Roman" w:hAnsi="Times New Roman" w:cs="Times New Roman"/>
          <w:color w:val="000000"/>
        </w:rPr>
        <w:t>,</w:t>
      </w:r>
      <w:r w:rsidR="00121220" w:rsidRPr="00F22C73">
        <w:rPr>
          <w:rFonts w:ascii="Times New Roman" w:eastAsia="Times New Roman" w:hAnsi="Times New Roman" w:cs="Times New Roman"/>
          <w:color w:val="000000"/>
        </w:rPr>
        <w:t xml:space="preserve"> </w:t>
      </w:r>
      <w:r w:rsidR="00303EEA" w:rsidRPr="00F22C73">
        <w:rPr>
          <w:rFonts w:ascii="Times New Roman" w:eastAsia="Times New Roman" w:hAnsi="Times New Roman" w:cs="Times New Roman"/>
          <w:color w:val="000000"/>
        </w:rPr>
        <w:t xml:space="preserve">esaminato </w:t>
      </w:r>
      <w:r w:rsidR="004F221C" w:rsidRPr="00F22C73">
        <w:rPr>
          <w:rFonts w:ascii="Times New Roman" w:eastAsia="Times New Roman" w:hAnsi="Times New Roman" w:cs="Times New Roman"/>
          <w:color w:val="000000"/>
        </w:rPr>
        <w:t xml:space="preserve">alla luce delle </w:t>
      </w:r>
      <w:r w:rsidR="00A65707" w:rsidRPr="00F22C73">
        <w:rPr>
          <w:rFonts w:ascii="Times New Roman" w:eastAsia="Times New Roman" w:hAnsi="Times New Roman" w:cs="Times New Roman"/>
          <w:color w:val="000000"/>
        </w:rPr>
        <w:t xml:space="preserve">epistole </w:t>
      </w:r>
      <w:r w:rsidR="004A4763" w:rsidRPr="00F22C73">
        <w:rPr>
          <w:rFonts w:ascii="Times New Roman" w:eastAsia="Times New Roman" w:hAnsi="Times New Roman" w:cs="Times New Roman"/>
          <w:color w:val="000000"/>
        </w:rPr>
        <w:t>di</w:t>
      </w:r>
      <w:r w:rsidR="00400DC2" w:rsidRPr="00F22C73">
        <w:rPr>
          <w:rFonts w:ascii="Times New Roman" w:eastAsia="Times New Roman" w:hAnsi="Times New Roman" w:cs="Times New Roman"/>
          <w:color w:val="000000"/>
        </w:rPr>
        <w:t xml:space="preserve"> P</w:t>
      </w:r>
      <w:r w:rsidR="00175F3A" w:rsidRPr="00F22C73">
        <w:rPr>
          <w:rFonts w:ascii="Times New Roman" w:eastAsia="Times New Roman" w:hAnsi="Times New Roman" w:cs="Times New Roman"/>
          <w:color w:val="000000"/>
        </w:rPr>
        <w:t xml:space="preserve">reziger, </w:t>
      </w:r>
      <w:r w:rsidR="00400DC2" w:rsidRPr="00F22C73">
        <w:rPr>
          <w:rFonts w:ascii="Times New Roman" w:eastAsia="Times New Roman" w:hAnsi="Times New Roman" w:cs="Times New Roman"/>
          <w:color w:val="000000"/>
        </w:rPr>
        <w:t xml:space="preserve">Schubert </w:t>
      </w:r>
      <w:r w:rsidR="00175F3A" w:rsidRPr="00F22C73">
        <w:rPr>
          <w:rFonts w:ascii="Times New Roman" w:eastAsia="Times New Roman" w:hAnsi="Times New Roman" w:cs="Times New Roman"/>
          <w:color w:val="000000"/>
        </w:rPr>
        <w:t xml:space="preserve">e </w:t>
      </w:r>
      <w:r w:rsidR="009634F2" w:rsidRPr="00F22C73">
        <w:rPr>
          <w:rFonts w:ascii="Times New Roman" w:eastAsia="Times New Roman" w:hAnsi="Times New Roman" w:cs="Times New Roman"/>
          <w:color w:val="000000"/>
        </w:rPr>
        <w:t>Schlegel</w:t>
      </w:r>
      <w:r w:rsidR="00D50F2E" w:rsidRPr="00F22C73">
        <w:rPr>
          <w:rFonts w:ascii="Times New Roman" w:eastAsia="Times New Roman" w:hAnsi="Times New Roman" w:cs="Times New Roman"/>
          <w:color w:val="000000"/>
        </w:rPr>
        <w:t>,</w:t>
      </w:r>
      <w:r w:rsidR="002452B9" w:rsidRPr="00F22C73">
        <w:rPr>
          <w:rFonts w:ascii="Times New Roman" w:eastAsia="Times New Roman" w:hAnsi="Times New Roman" w:cs="Times New Roman"/>
          <w:color w:val="000000"/>
        </w:rPr>
        <w:t xml:space="preserve"> </w:t>
      </w:r>
      <w:r w:rsidR="00D50F2E" w:rsidRPr="00F22C73">
        <w:rPr>
          <w:rFonts w:ascii="Times New Roman" w:eastAsia="Times New Roman" w:hAnsi="Times New Roman" w:cs="Times New Roman"/>
          <w:color w:val="000000"/>
        </w:rPr>
        <w:t xml:space="preserve">attesta </w:t>
      </w:r>
      <w:r w:rsidR="00121220" w:rsidRPr="00F22C73">
        <w:rPr>
          <w:rFonts w:ascii="Times New Roman" w:eastAsia="Times New Roman" w:hAnsi="Times New Roman" w:cs="Times New Roman"/>
          <w:color w:val="000000"/>
        </w:rPr>
        <w:t xml:space="preserve">una conoscenza non superficiale, ma fondata </w:t>
      </w:r>
      <w:r w:rsidR="005F3E68" w:rsidRPr="00F22C73">
        <w:rPr>
          <w:rFonts w:ascii="Times New Roman" w:eastAsia="Times New Roman" w:hAnsi="Times New Roman" w:cs="Times New Roman"/>
          <w:color w:val="000000"/>
        </w:rPr>
        <w:t>sul</w:t>
      </w:r>
      <w:r w:rsidR="00600FA2" w:rsidRPr="00F22C73">
        <w:rPr>
          <w:rFonts w:ascii="Times New Roman" w:eastAsia="Times New Roman" w:hAnsi="Times New Roman" w:cs="Times New Roman"/>
          <w:color w:val="000000"/>
        </w:rPr>
        <w:t>l’</w:t>
      </w:r>
      <w:r w:rsidR="00311EEA" w:rsidRPr="00F22C73">
        <w:rPr>
          <w:rFonts w:ascii="Times New Roman" w:eastAsia="Times New Roman" w:hAnsi="Times New Roman" w:cs="Times New Roman"/>
          <w:color w:val="000000"/>
        </w:rPr>
        <w:t>accessibilità a</w:t>
      </w:r>
      <w:r w:rsidR="00121220" w:rsidRPr="00F22C73">
        <w:rPr>
          <w:rFonts w:ascii="Times New Roman" w:eastAsia="Times New Roman" w:hAnsi="Times New Roman" w:cs="Times New Roman"/>
          <w:color w:val="000000"/>
        </w:rPr>
        <w:t xml:space="preserve">lle fonti primarie, del pensiero di Jakob Böhme. </w:t>
      </w:r>
      <w:r w:rsidR="00FA45A5" w:rsidRPr="00F22C73">
        <w:rPr>
          <w:rFonts w:ascii="Times New Roman" w:eastAsia="Times New Roman" w:hAnsi="Times New Roman" w:cs="Times New Roman"/>
          <w:color w:val="000000"/>
        </w:rPr>
        <w:t>A mio modo di vedere, q</w:t>
      </w:r>
      <w:r w:rsidR="00121220" w:rsidRPr="00F22C73">
        <w:rPr>
          <w:rFonts w:ascii="Times New Roman" w:eastAsia="Times New Roman" w:hAnsi="Times New Roman" w:cs="Times New Roman"/>
          <w:color w:val="000000"/>
        </w:rPr>
        <w:t xml:space="preserve">uesta ragioni </w:t>
      </w:r>
      <w:r w:rsidR="00B9587D" w:rsidRPr="00F22C73">
        <w:rPr>
          <w:rFonts w:ascii="Times New Roman" w:eastAsia="Times New Roman" w:hAnsi="Times New Roman" w:cs="Times New Roman"/>
          <w:color w:val="000000"/>
        </w:rPr>
        <w:t>di carattere biografico</w:t>
      </w:r>
      <w:r w:rsidR="00121220" w:rsidRPr="00F22C73">
        <w:rPr>
          <w:rFonts w:ascii="Times New Roman" w:eastAsia="Times New Roman" w:hAnsi="Times New Roman" w:cs="Times New Roman"/>
          <w:color w:val="000000"/>
        </w:rPr>
        <w:t xml:space="preserve">, </w:t>
      </w:r>
      <w:r w:rsidR="00FA45A5" w:rsidRPr="00F22C73">
        <w:rPr>
          <w:rFonts w:ascii="Times New Roman" w:eastAsia="Times New Roman" w:hAnsi="Times New Roman" w:cs="Times New Roman"/>
          <w:color w:val="000000"/>
        </w:rPr>
        <w:t xml:space="preserve">intrinsecamente </w:t>
      </w:r>
      <w:r w:rsidR="00532820" w:rsidRPr="00F22C73">
        <w:rPr>
          <w:rFonts w:ascii="Times New Roman" w:eastAsia="Times New Roman" w:hAnsi="Times New Roman" w:cs="Times New Roman"/>
          <w:color w:val="000000"/>
        </w:rPr>
        <w:t>collegat</w:t>
      </w:r>
      <w:r w:rsidR="00FA45A5" w:rsidRPr="00F22C73">
        <w:rPr>
          <w:rFonts w:ascii="Times New Roman" w:eastAsia="Times New Roman" w:hAnsi="Times New Roman" w:cs="Times New Roman"/>
          <w:color w:val="000000"/>
        </w:rPr>
        <w:t xml:space="preserve">e </w:t>
      </w:r>
      <w:r w:rsidR="00303EEA" w:rsidRPr="00F22C73">
        <w:rPr>
          <w:rFonts w:ascii="Times New Roman" w:eastAsia="Times New Roman" w:hAnsi="Times New Roman" w:cs="Times New Roman"/>
          <w:color w:val="000000"/>
        </w:rPr>
        <w:t>con ragion</w:t>
      </w:r>
      <w:r w:rsidR="00FA45A5" w:rsidRPr="00F22C73">
        <w:rPr>
          <w:rFonts w:ascii="Times New Roman" w:eastAsia="Times New Roman" w:hAnsi="Times New Roman" w:cs="Times New Roman"/>
          <w:color w:val="000000"/>
        </w:rPr>
        <w:t>i d’ordine teorico</w:t>
      </w:r>
      <w:r w:rsidR="00121220" w:rsidRPr="00F22C73">
        <w:rPr>
          <w:rFonts w:ascii="Times New Roman" w:eastAsia="Times New Roman" w:hAnsi="Times New Roman" w:cs="Times New Roman"/>
          <w:color w:val="000000"/>
        </w:rPr>
        <w:t xml:space="preserve">, </w:t>
      </w:r>
      <w:r w:rsidR="00600FA2" w:rsidRPr="00F22C73">
        <w:rPr>
          <w:rFonts w:ascii="Times New Roman" w:eastAsia="Times New Roman" w:hAnsi="Times New Roman" w:cs="Times New Roman"/>
          <w:color w:val="000000"/>
        </w:rPr>
        <w:t xml:space="preserve">danno </w:t>
      </w:r>
      <w:r w:rsidR="00F45854" w:rsidRPr="00F22C73">
        <w:rPr>
          <w:rFonts w:ascii="Times New Roman" w:eastAsia="Times New Roman" w:hAnsi="Times New Roman" w:cs="Times New Roman"/>
          <w:color w:val="000000"/>
        </w:rPr>
        <w:t>ragione delle reminiscenze böhmiane</w:t>
      </w:r>
      <w:r w:rsidR="00490994" w:rsidRPr="00F22C73">
        <w:rPr>
          <w:rFonts w:ascii="Times New Roman" w:eastAsia="Times New Roman" w:hAnsi="Times New Roman" w:cs="Times New Roman"/>
          <w:color w:val="000000"/>
        </w:rPr>
        <w:t xml:space="preserve"> in </w:t>
      </w:r>
      <w:r w:rsidR="00490994" w:rsidRPr="00F22C73">
        <w:rPr>
          <w:rFonts w:ascii="Times New Roman" w:eastAsia="Times New Roman" w:hAnsi="Times New Roman" w:cs="Times New Roman"/>
          <w:i/>
          <w:color w:val="000000"/>
        </w:rPr>
        <w:t>Philosophie und Religion</w:t>
      </w:r>
      <w:r w:rsidR="00A513E6" w:rsidRPr="00F22C73">
        <w:rPr>
          <w:rFonts w:ascii="Times New Roman" w:eastAsia="Times New Roman" w:hAnsi="Times New Roman" w:cs="Times New Roman"/>
          <w:color w:val="000000"/>
        </w:rPr>
        <w:t>.</w:t>
      </w:r>
      <w:r w:rsidR="0063397C" w:rsidRPr="00F22C73">
        <w:rPr>
          <w:rFonts w:ascii="Times New Roman" w:eastAsia="Times New Roman" w:hAnsi="Times New Roman" w:cs="Times New Roman"/>
          <w:color w:val="000000"/>
        </w:rPr>
        <w:t xml:space="preserve"> L’ontologizzazione </w:t>
      </w:r>
      <w:r w:rsidR="003D18D1" w:rsidRPr="00F22C73">
        <w:rPr>
          <w:rFonts w:ascii="Times New Roman" w:eastAsia="Times New Roman" w:hAnsi="Times New Roman" w:cs="Times New Roman"/>
          <w:color w:val="000000"/>
        </w:rPr>
        <w:t xml:space="preserve">schellinghiana </w:t>
      </w:r>
      <w:r w:rsidR="0063397C" w:rsidRPr="00F22C73">
        <w:rPr>
          <w:rFonts w:ascii="Times New Roman" w:eastAsia="Times New Roman" w:hAnsi="Times New Roman" w:cs="Times New Roman"/>
          <w:color w:val="000000"/>
        </w:rPr>
        <w:t xml:space="preserve">della </w:t>
      </w:r>
      <w:r w:rsidR="00490994" w:rsidRPr="00F22C73">
        <w:rPr>
          <w:rFonts w:ascii="Times New Roman" w:eastAsia="Times New Roman" w:hAnsi="Times New Roman" w:cs="Times New Roman"/>
          <w:color w:val="000000"/>
        </w:rPr>
        <w:t>teoria dei</w:t>
      </w:r>
      <w:r w:rsidR="009634F2" w:rsidRPr="00F22C73">
        <w:rPr>
          <w:rFonts w:ascii="Times New Roman" w:eastAsia="Times New Roman" w:hAnsi="Times New Roman" w:cs="Times New Roman"/>
          <w:color w:val="000000"/>
        </w:rPr>
        <w:t xml:space="preserve"> due principi</w:t>
      </w:r>
      <w:r w:rsidR="00490994" w:rsidRPr="00F22C73">
        <w:rPr>
          <w:rFonts w:ascii="Times New Roman" w:eastAsia="Times New Roman" w:hAnsi="Times New Roman" w:cs="Times New Roman"/>
          <w:color w:val="000000"/>
        </w:rPr>
        <w:t xml:space="preserve">, </w:t>
      </w:r>
      <w:r w:rsidR="009634F2" w:rsidRPr="00F22C73">
        <w:rPr>
          <w:rFonts w:ascii="Times New Roman" w:eastAsia="Times New Roman" w:hAnsi="Times New Roman" w:cs="Times New Roman"/>
          <w:color w:val="000000"/>
        </w:rPr>
        <w:t xml:space="preserve">che </w:t>
      </w:r>
      <w:r w:rsidR="00D50F2E" w:rsidRPr="00F22C73">
        <w:rPr>
          <w:rFonts w:ascii="Times New Roman" w:eastAsia="Times New Roman" w:hAnsi="Times New Roman" w:cs="Times New Roman"/>
          <w:color w:val="000000"/>
        </w:rPr>
        <w:t xml:space="preserve">restituisce </w:t>
      </w:r>
      <w:r w:rsidR="00490994" w:rsidRPr="00F22C73">
        <w:rPr>
          <w:rFonts w:ascii="Times New Roman" w:eastAsia="Times New Roman" w:hAnsi="Times New Roman" w:cs="Times New Roman"/>
          <w:color w:val="000000"/>
        </w:rPr>
        <w:t xml:space="preserve">l’epica cosmico-storica dell’Assoluto, </w:t>
      </w:r>
      <w:r w:rsidR="0063397C" w:rsidRPr="00F22C73">
        <w:rPr>
          <w:rFonts w:ascii="Times New Roman" w:eastAsia="Times New Roman" w:hAnsi="Times New Roman" w:cs="Times New Roman"/>
          <w:color w:val="000000"/>
        </w:rPr>
        <w:t>affonda</w:t>
      </w:r>
      <w:r w:rsidR="002F7FE2" w:rsidRPr="00F22C73">
        <w:rPr>
          <w:rFonts w:ascii="Times New Roman" w:eastAsia="Times New Roman" w:hAnsi="Times New Roman" w:cs="Times New Roman"/>
          <w:color w:val="000000"/>
        </w:rPr>
        <w:t xml:space="preserve"> </w:t>
      </w:r>
      <w:r w:rsidR="009634F2" w:rsidRPr="00F22C73">
        <w:rPr>
          <w:rFonts w:ascii="Times New Roman" w:eastAsia="Times New Roman" w:hAnsi="Times New Roman" w:cs="Times New Roman"/>
          <w:color w:val="000000"/>
        </w:rPr>
        <w:t xml:space="preserve">le </w:t>
      </w:r>
      <w:r w:rsidR="0063397C" w:rsidRPr="00F22C73">
        <w:rPr>
          <w:rFonts w:ascii="Times New Roman" w:eastAsia="Times New Roman" w:hAnsi="Times New Roman" w:cs="Times New Roman"/>
          <w:color w:val="000000"/>
        </w:rPr>
        <w:t>sue</w:t>
      </w:r>
      <w:r w:rsidR="00124720" w:rsidRPr="00F22C73">
        <w:rPr>
          <w:rFonts w:ascii="Times New Roman" w:eastAsia="Times New Roman" w:hAnsi="Times New Roman" w:cs="Times New Roman"/>
          <w:color w:val="000000"/>
        </w:rPr>
        <w:t xml:space="preserve"> </w:t>
      </w:r>
      <w:r w:rsidR="00490994" w:rsidRPr="00F22C73">
        <w:rPr>
          <w:rFonts w:ascii="Times New Roman" w:eastAsia="Times New Roman" w:hAnsi="Times New Roman" w:cs="Times New Roman"/>
          <w:color w:val="000000"/>
        </w:rPr>
        <w:t>radici</w:t>
      </w:r>
      <w:r w:rsidR="00881790" w:rsidRPr="00F22C73">
        <w:rPr>
          <w:rFonts w:ascii="Times New Roman" w:eastAsia="Times New Roman" w:hAnsi="Times New Roman" w:cs="Times New Roman"/>
          <w:color w:val="000000"/>
        </w:rPr>
        <w:t xml:space="preserve"> </w:t>
      </w:r>
      <w:r w:rsidR="00EB36B8" w:rsidRPr="00F22C73">
        <w:rPr>
          <w:rFonts w:ascii="Times New Roman" w:eastAsia="Times New Roman" w:hAnsi="Times New Roman" w:cs="Times New Roman"/>
          <w:color w:val="000000"/>
        </w:rPr>
        <w:t>in un</w:t>
      </w:r>
      <w:r w:rsidR="00492654" w:rsidRPr="00F22C73">
        <w:rPr>
          <w:rFonts w:ascii="Times New Roman" w:eastAsia="Times New Roman" w:hAnsi="Times New Roman" w:cs="Times New Roman"/>
          <w:color w:val="000000"/>
        </w:rPr>
        <w:t xml:space="preserve">a cornice teorica ampia, condivisa da esperienza filosofiche assai distanti fra di loro, </w:t>
      </w:r>
      <w:r w:rsidR="00DB524F">
        <w:rPr>
          <w:rFonts w:ascii="Times New Roman" w:eastAsia="Times New Roman" w:hAnsi="Times New Roman" w:cs="Times New Roman"/>
          <w:color w:val="000000"/>
        </w:rPr>
        <w:t xml:space="preserve">che non esclude, anzi sembra </w:t>
      </w:r>
      <w:r w:rsidR="00DB524F" w:rsidRPr="00F21058">
        <w:rPr>
          <w:rFonts w:ascii="Times New Roman" w:eastAsia="Times New Roman" w:hAnsi="Times New Roman" w:cs="Times New Roman"/>
          <w:color w:val="000000"/>
        </w:rPr>
        <w:t>le</w:t>
      </w:r>
      <w:r w:rsidR="00EB36B8" w:rsidRPr="00F21058">
        <w:rPr>
          <w:rFonts w:ascii="Times New Roman" w:eastAsia="Times New Roman" w:hAnsi="Times New Roman" w:cs="Times New Roman"/>
          <w:color w:val="000000"/>
        </w:rPr>
        <w:t>git</w:t>
      </w:r>
      <w:r w:rsidR="00DB524F" w:rsidRPr="00F21058">
        <w:rPr>
          <w:rFonts w:ascii="Times New Roman" w:eastAsia="Times New Roman" w:hAnsi="Times New Roman" w:cs="Times New Roman"/>
          <w:color w:val="000000"/>
        </w:rPr>
        <w:t>t</w:t>
      </w:r>
      <w:r w:rsidR="00EB36B8" w:rsidRPr="00F21058">
        <w:rPr>
          <w:rFonts w:ascii="Times New Roman" w:eastAsia="Times New Roman" w:hAnsi="Times New Roman" w:cs="Times New Roman"/>
          <w:color w:val="000000"/>
        </w:rPr>
        <w:t xml:space="preserve">imare, </w:t>
      </w:r>
      <w:r w:rsidR="00492654" w:rsidRPr="00F21058">
        <w:rPr>
          <w:rFonts w:ascii="Times New Roman" w:eastAsia="Times New Roman" w:hAnsi="Times New Roman" w:cs="Times New Roman"/>
          <w:color w:val="000000"/>
        </w:rPr>
        <w:t>vista la contiguità di certe posizioni del</w:t>
      </w:r>
      <w:r w:rsidR="00EB36B8" w:rsidRPr="00F21058">
        <w:rPr>
          <w:rFonts w:ascii="Times New Roman" w:eastAsia="Times New Roman" w:hAnsi="Times New Roman" w:cs="Times New Roman"/>
          <w:color w:val="000000"/>
        </w:rPr>
        <w:t>l’</w:t>
      </w:r>
      <w:r w:rsidR="00021560" w:rsidRPr="00F21058">
        <w:rPr>
          <w:rFonts w:ascii="Times New Roman" w:eastAsia="Times New Roman" w:hAnsi="Times New Roman" w:cs="Times New Roman"/>
          <w:color w:val="000000"/>
        </w:rPr>
        <w:t>autore</w:t>
      </w:r>
      <w:r w:rsidR="00EB36B8" w:rsidRPr="00F21058">
        <w:rPr>
          <w:rFonts w:ascii="Times New Roman" w:eastAsia="Times New Roman" w:hAnsi="Times New Roman" w:cs="Times New Roman"/>
          <w:color w:val="000000"/>
        </w:rPr>
        <w:t xml:space="preserve"> </w:t>
      </w:r>
      <w:r w:rsidR="00492654" w:rsidRPr="00F21058">
        <w:rPr>
          <w:rFonts w:ascii="Times New Roman" w:eastAsia="Times New Roman" w:hAnsi="Times New Roman" w:cs="Times New Roman"/>
          <w:color w:val="000000"/>
        </w:rPr>
        <w:t xml:space="preserve">con quanto </w:t>
      </w:r>
      <w:r w:rsidR="007A4A58" w:rsidRPr="00F21058">
        <w:rPr>
          <w:rFonts w:ascii="Times New Roman" w:eastAsia="Times New Roman" w:hAnsi="Times New Roman" w:cs="Times New Roman"/>
          <w:color w:val="000000"/>
        </w:rPr>
        <w:t xml:space="preserve">sarà </w:t>
      </w:r>
      <w:r w:rsidR="00492654" w:rsidRPr="00F21058">
        <w:rPr>
          <w:rFonts w:ascii="Times New Roman" w:eastAsia="Times New Roman" w:hAnsi="Times New Roman" w:cs="Times New Roman"/>
          <w:color w:val="000000"/>
        </w:rPr>
        <w:t xml:space="preserve">sostenuto nelle successive </w:t>
      </w:r>
      <w:r w:rsidR="00492654" w:rsidRPr="00F21058">
        <w:rPr>
          <w:rFonts w:ascii="Times New Roman" w:eastAsia="Times New Roman" w:hAnsi="Times New Roman" w:cs="Times New Roman"/>
          <w:i/>
          <w:color w:val="000000"/>
        </w:rPr>
        <w:t>Stuttgarter Privatvorlesungen</w:t>
      </w:r>
      <w:r w:rsidR="00492654" w:rsidRPr="00F21058">
        <w:rPr>
          <w:rStyle w:val="Rimandonotaapidipagina"/>
          <w:rFonts w:ascii="Times New Roman" w:eastAsia="Times New Roman" w:hAnsi="Times New Roman" w:cs="Times New Roman"/>
          <w:color w:val="000000"/>
        </w:rPr>
        <w:footnoteReference w:id="262"/>
      </w:r>
      <w:r w:rsidR="00EB36B8" w:rsidRPr="00F21058">
        <w:rPr>
          <w:rFonts w:ascii="Times New Roman" w:eastAsia="Times New Roman" w:hAnsi="Times New Roman" w:cs="Times New Roman"/>
          <w:color w:val="000000"/>
        </w:rPr>
        <w:t xml:space="preserve">, </w:t>
      </w:r>
      <w:r w:rsidR="00492654" w:rsidRPr="00F21058">
        <w:rPr>
          <w:rFonts w:ascii="Times New Roman" w:eastAsia="Times New Roman" w:hAnsi="Times New Roman" w:cs="Times New Roman"/>
          <w:color w:val="000000"/>
        </w:rPr>
        <w:t xml:space="preserve">la presenza di quel </w:t>
      </w:r>
      <w:r w:rsidR="00220E64" w:rsidRPr="00F21058">
        <w:rPr>
          <w:rFonts w:ascii="Times New Roman" w:eastAsia="Times New Roman" w:hAnsi="Times New Roman" w:cs="Times New Roman"/>
          <w:color w:val="000000"/>
        </w:rPr>
        <w:t xml:space="preserve">retroterra </w:t>
      </w:r>
      <w:r w:rsidR="005C25F5" w:rsidRPr="00F21058">
        <w:rPr>
          <w:rFonts w:ascii="Times New Roman" w:eastAsia="Times New Roman" w:hAnsi="Times New Roman" w:cs="Times New Roman"/>
          <w:color w:val="000000"/>
        </w:rPr>
        <w:t xml:space="preserve">speculativo </w:t>
      </w:r>
      <w:r w:rsidR="00492654" w:rsidRPr="00F21058">
        <w:rPr>
          <w:rFonts w:ascii="Times New Roman" w:eastAsia="Times New Roman" w:hAnsi="Times New Roman" w:cs="Times New Roman"/>
          <w:color w:val="000000"/>
        </w:rPr>
        <w:t>–</w:t>
      </w:r>
      <w:r w:rsidRPr="00F21058">
        <w:rPr>
          <w:rFonts w:ascii="Times New Roman" w:eastAsia="Times New Roman" w:hAnsi="Times New Roman" w:cs="Times New Roman"/>
          <w:color w:val="000000"/>
        </w:rPr>
        <w:t xml:space="preserve"> </w:t>
      </w:r>
      <w:r w:rsidR="00E37C66" w:rsidRPr="00F21058">
        <w:rPr>
          <w:rFonts w:ascii="Times New Roman" w:eastAsia="Times New Roman" w:hAnsi="Times New Roman" w:cs="Times New Roman"/>
          <w:color w:val="000000"/>
        </w:rPr>
        <w:t xml:space="preserve">böhmiano </w:t>
      </w:r>
      <w:r w:rsidR="00492654" w:rsidRPr="00F21058">
        <w:rPr>
          <w:rFonts w:ascii="Times New Roman" w:eastAsia="Times New Roman" w:hAnsi="Times New Roman" w:cs="Times New Roman"/>
          <w:color w:val="000000"/>
        </w:rPr>
        <w:t xml:space="preserve">– </w:t>
      </w:r>
      <w:r w:rsidR="00884D0A" w:rsidRPr="00F21058">
        <w:rPr>
          <w:rFonts w:ascii="Times New Roman" w:eastAsia="Times New Roman" w:hAnsi="Times New Roman" w:cs="Times New Roman"/>
          <w:color w:val="000000"/>
        </w:rPr>
        <w:t xml:space="preserve">indicato </w:t>
      </w:r>
      <w:r w:rsidR="00490994" w:rsidRPr="00F21058">
        <w:rPr>
          <w:rFonts w:ascii="Times New Roman" w:eastAsia="Times New Roman" w:hAnsi="Times New Roman" w:cs="Times New Roman"/>
          <w:color w:val="000000"/>
        </w:rPr>
        <w:t>n</w:t>
      </w:r>
      <w:r w:rsidR="00220E64" w:rsidRPr="00F21058">
        <w:rPr>
          <w:rFonts w:ascii="Times New Roman" w:eastAsia="Times New Roman" w:hAnsi="Times New Roman" w:cs="Times New Roman"/>
          <w:color w:val="000000"/>
        </w:rPr>
        <w:t>el precedente sotto</w:t>
      </w:r>
      <w:r w:rsidR="00490994" w:rsidRPr="00F21058">
        <w:rPr>
          <w:rFonts w:ascii="Times New Roman" w:eastAsia="Times New Roman" w:hAnsi="Times New Roman" w:cs="Times New Roman"/>
          <w:color w:val="000000"/>
        </w:rPr>
        <w:t>capitolo</w:t>
      </w:r>
      <w:r w:rsidR="00DA00DB" w:rsidRPr="00F21058">
        <w:rPr>
          <w:rFonts w:ascii="Times New Roman" w:eastAsia="Times New Roman" w:hAnsi="Times New Roman" w:cs="Times New Roman"/>
          <w:color w:val="000000"/>
        </w:rPr>
        <w:t>.</w:t>
      </w:r>
    </w:p>
    <w:p w14:paraId="2747DDA5" w14:textId="34BD2E34" w:rsidR="00E4297E" w:rsidRPr="00C1528A" w:rsidRDefault="005F45F4" w:rsidP="002268CE">
      <w:pPr>
        <w:spacing w:line="360" w:lineRule="auto"/>
        <w:ind w:firstLine="567"/>
        <w:jc w:val="both"/>
        <w:rPr>
          <w:rFonts w:ascii="Times New Roman" w:eastAsia="Times New Roman" w:hAnsi="Times New Roman" w:cs="Times New Roman"/>
          <w:color w:val="000000"/>
        </w:rPr>
      </w:pPr>
      <w:r w:rsidRPr="00F21058">
        <w:rPr>
          <w:rFonts w:ascii="Times New Roman" w:eastAsia="Times New Roman" w:hAnsi="Times New Roman" w:cs="Times New Roman"/>
          <w:color w:val="000000"/>
        </w:rPr>
        <w:t>È chiaro che la rifless</w:t>
      </w:r>
      <w:r w:rsidR="00FE7EC6" w:rsidRPr="00F21058">
        <w:rPr>
          <w:rFonts w:ascii="Times New Roman" w:eastAsia="Times New Roman" w:hAnsi="Times New Roman" w:cs="Times New Roman"/>
          <w:color w:val="000000"/>
        </w:rPr>
        <w:t>ione hegeliana del biennio 1804/</w:t>
      </w:r>
      <w:r w:rsidR="00C1528A" w:rsidRPr="00F21058">
        <w:rPr>
          <w:rFonts w:ascii="Times New Roman" w:eastAsia="Times New Roman" w:hAnsi="Times New Roman" w:cs="Times New Roman"/>
          <w:color w:val="000000"/>
        </w:rPr>
        <w:t xml:space="preserve">05 </w:t>
      </w:r>
      <w:r w:rsidR="00297C95" w:rsidRPr="00F21058">
        <w:rPr>
          <w:rFonts w:ascii="Times New Roman" w:eastAsia="Times New Roman" w:hAnsi="Times New Roman" w:cs="Times New Roman"/>
          <w:color w:val="000000"/>
        </w:rPr>
        <w:t>h</w:t>
      </w:r>
      <w:r w:rsidR="00C1528A" w:rsidRPr="00F21058">
        <w:rPr>
          <w:rFonts w:ascii="Times New Roman" w:eastAsia="Times New Roman" w:hAnsi="Times New Roman" w:cs="Times New Roman"/>
          <w:color w:val="000000"/>
        </w:rPr>
        <w:t>a</w:t>
      </w:r>
      <w:r w:rsidRPr="00F21058">
        <w:rPr>
          <w:rFonts w:ascii="Times New Roman" w:eastAsia="Times New Roman" w:hAnsi="Times New Roman" w:cs="Times New Roman"/>
          <w:color w:val="000000"/>
        </w:rPr>
        <w:t xml:space="preserve"> </w:t>
      </w:r>
      <w:r w:rsidR="00490994" w:rsidRPr="00F21058">
        <w:rPr>
          <w:rFonts w:ascii="Times New Roman" w:eastAsia="Times New Roman" w:hAnsi="Times New Roman" w:cs="Times New Roman"/>
          <w:color w:val="000000"/>
        </w:rPr>
        <w:t>ricevuto uno stimolo</w:t>
      </w:r>
      <w:r w:rsidR="00D74F8B" w:rsidRPr="007954D0">
        <w:rPr>
          <w:rFonts w:ascii="Times New Roman" w:eastAsia="Times New Roman" w:hAnsi="Times New Roman" w:cs="Times New Roman"/>
          <w:color w:val="000000"/>
        </w:rPr>
        <w:t xml:space="preserve"> </w:t>
      </w:r>
      <w:r w:rsidR="006A1943" w:rsidRPr="007954D0">
        <w:rPr>
          <w:rFonts w:ascii="Times New Roman" w:eastAsia="Times New Roman" w:hAnsi="Times New Roman" w:cs="Times New Roman"/>
          <w:color w:val="000000"/>
        </w:rPr>
        <w:t xml:space="preserve">decisivo </w:t>
      </w:r>
      <w:r w:rsidR="00F10C84" w:rsidRPr="007954D0">
        <w:rPr>
          <w:rFonts w:ascii="Times New Roman" w:eastAsia="Times New Roman" w:hAnsi="Times New Roman" w:cs="Times New Roman"/>
          <w:color w:val="000000"/>
        </w:rPr>
        <w:t>da</w:t>
      </w:r>
      <w:r w:rsidR="00490994" w:rsidRPr="007954D0">
        <w:rPr>
          <w:rFonts w:ascii="Times New Roman" w:eastAsia="Times New Roman" w:hAnsi="Times New Roman" w:cs="Times New Roman"/>
          <w:color w:val="000000"/>
        </w:rPr>
        <w:t>l coevo</w:t>
      </w:r>
      <w:r w:rsidR="00FA45A5" w:rsidRPr="007954D0">
        <w:rPr>
          <w:rFonts w:ascii="Times New Roman" w:eastAsia="Times New Roman" w:hAnsi="Times New Roman" w:cs="Times New Roman"/>
          <w:color w:val="000000"/>
        </w:rPr>
        <w:t xml:space="preserve"> </w:t>
      </w:r>
      <w:r w:rsidR="00F12B2B" w:rsidRPr="007954D0">
        <w:rPr>
          <w:rFonts w:ascii="Times New Roman" w:eastAsia="Times New Roman" w:hAnsi="Times New Roman" w:cs="Times New Roman"/>
          <w:i/>
          <w:color w:val="000000"/>
        </w:rPr>
        <w:t>Philosophie und Religion</w:t>
      </w:r>
      <w:r w:rsidR="00503EC7" w:rsidRPr="007954D0">
        <w:rPr>
          <w:rFonts w:ascii="Times New Roman" w:eastAsia="Times New Roman" w:hAnsi="Times New Roman" w:cs="Times New Roman"/>
          <w:color w:val="000000"/>
        </w:rPr>
        <w:t>, che tratta</w:t>
      </w:r>
      <w:r w:rsidR="00490994" w:rsidRPr="007954D0">
        <w:rPr>
          <w:rFonts w:ascii="Times New Roman" w:eastAsia="Times New Roman" w:hAnsi="Times New Roman" w:cs="Times New Roman"/>
          <w:color w:val="000000"/>
        </w:rPr>
        <w:t xml:space="preserve"> tematiche affini a</w:t>
      </w:r>
      <w:r w:rsidR="004B2D52" w:rsidRPr="007954D0">
        <w:rPr>
          <w:rFonts w:ascii="Times New Roman" w:eastAsia="Times New Roman" w:hAnsi="Times New Roman" w:cs="Times New Roman"/>
          <w:color w:val="000000"/>
        </w:rPr>
        <w:t xml:space="preserve">l </w:t>
      </w:r>
      <w:r w:rsidR="00490994" w:rsidRPr="007954D0">
        <w:rPr>
          <w:rFonts w:ascii="Times New Roman" w:eastAsia="Times New Roman" w:hAnsi="Times New Roman" w:cs="Times New Roman"/>
          <w:i/>
          <w:color w:val="000000"/>
        </w:rPr>
        <w:t>Fragment 49</w:t>
      </w:r>
      <w:r w:rsidR="009B51C7" w:rsidRPr="007954D0">
        <w:rPr>
          <w:rFonts w:ascii="Times New Roman" w:eastAsia="Times New Roman" w:hAnsi="Times New Roman" w:cs="Times New Roman"/>
          <w:color w:val="000000"/>
        </w:rPr>
        <w:t xml:space="preserve"> e a</w:t>
      </w:r>
      <w:r w:rsidR="004B2D52" w:rsidRPr="007954D0">
        <w:rPr>
          <w:rFonts w:ascii="Times New Roman" w:eastAsia="Times New Roman" w:hAnsi="Times New Roman" w:cs="Times New Roman"/>
          <w:color w:val="000000"/>
        </w:rPr>
        <w:t>ll</w:t>
      </w:r>
      <w:r w:rsidR="00D50F2E" w:rsidRPr="007954D0">
        <w:rPr>
          <w:rFonts w:ascii="Times New Roman" w:eastAsia="Times New Roman" w:hAnsi="Times New Roman" w:cs="Times New Roman"/>
          <w:color w:val="000000"/>
        </w:rPr>
        <w:t>a sezione dell</w:t>
      </w:r>
      <w:r w:rsidR="004B2D52" w:rsidRPr="007954D0">
        <w:rPr>
          <w:rFonts w:ascii="Times New Roman" w:eastAsia="Times New Roman" w:hAnsi="Times New Roman" w:cs="Times New Roman"/>
          <w:color w:val="000000"/>
        </w:rPr>
        <w:t>’</w:t>
      </w:r>
      <w:r w:rsidR="002A72CC">
        <w:rPr>
          <w:rFonts w:ascii="Times New Roman" w:eastAsia="Times New Roman" w:hAnsi="Times New Roman" w:cs="Times New Roman"/>
          <w:i/>
          <w:color w:val="000000"/>
        </w:rPr>
        <w:t xml:space="preserve">Höchstes </w:t>
      </w:r>
      <w:r w:rsidR="00490994" w:rsidRPr="007954D0">
        <w:rPr>
          <w:rFonts w:ascii="Times New Roman" w:eastAsia="Times New Roman" w:hAnsi="Times New Roman" w:cs="Times New Roman"/>
          <w:i/>
          <w:color w:val="000000"/>
        </w:rPr>
        <w:t>Wesen</w:t>
      </w:r>
      <w:r w:rsidR="00490994" w:rsidRPr="007954D0">
        <w:rPr>
          <w:rFonts w:ascii="Times New Roman" w:eastAsia="Times New Roman" w:hAnsi="Times New Roman" w:cs="Times New Roman"/>
          <w:color w:val="000000"/>
        </w:rPr>
        <w:t>.</w:t>
      </w:r>
      <w:r w:rsidR="00490994" w:rsidRPr="00424F1C">
        <w:rPr>
          <w:rFonts w:ascii="Times New Roman" w:eastAsia="Times New Roman" w:hAnsi="Times New Roman" w:cs="Times New Roman"/>
          <w:color w:val="000000"/>
        </w:rPr>
        <w:t xml:space="preserve"> </w:t>
      </w:r>
      <w:r w:rsidR="006464C2" w:rsidRPr="000F4EA5">
        <w:rPr>
          <w:rFonts w:ascii="Times New Roman" w:eastAsia="Times New Roman" w:hAnsi="Times New Roman" w:cs="Times New Roman"/>
          <w:color w:val="000000"/>
        </w:rPr>
        <w:t>Anche</w:t>
      </w:r>
      <w:r w:rsidR="00F12B2B">
        <w:rPr>
          <w:rFonts w:ascii="Times New Roman" w:eastAsia="Times New Roman" w:hAnsi="Times New Roman" w:cs="Times New Roman"/>
          <w:color w:val="000000"/>
        </w:rPr>
        <w:t xml:space="preserve"> Schelling</w:t>
      </w:r>
      <w:r w:rsidR="002F7FE2" w:rsidRPr="000F4EA5">
        <w:rPr>
          <w:rFonts w:ascii="Times New Roman" w:eastAsia="Times New Roman" w:hAnsi="Times New Roman" w:cs="Times New Roman"/>
          <w:color w:val="000000"/>
        </w:rPr>
        <w:t xml:space="preserve">, </w:t>
      </w:r>
      <w:r w:rsidR="00A513E6" w:rsidRPr="000F4EA5">
        <w:rPr>
          <w:rFonts w:ascii="Times New Roman" w:eastAsia="Times New Roman" w:hAnsi="Times New Roman" w:cs="Times New Roman"/>
          <w:color w:val="000000"/>
        </w:rPr>
        <w:t>pertanto</w:t>
      </w:r>
      <w:r w:rsidR="005F3E68" w:rsidRPr="000F4EA5">
        <w:rPr>
          <w:rFonts w:ascii="Times New Roman" w:eastAsia="Times New Roman" w:hAnsi="Times New Roman" w:cs="Times New Roman"/>
          <w:color w:val="000000"/>
        </w:rPr>
        <w:t>,</w:t>
      </w:r>
      <w:r w:rsidR="00206E55" w:rsidRPr="000F4EA5">
        <w:rPr>
          <w:rFonts w:ascii="Times New Roman" w:eastAsia="Times New Roman" w:hAnsi="Times New Roman" w:cs="Times New Roman"/>
          <w:color w:val="000000"/>
        </w:rPr>
        <w:t xml:space="preserve"> </w:t>
      </w:r>
      <w:r w:rsidR="00DB53A6" w:rsidRPr="000F4EA5">
        <w:rPr>
          <w:rFonts w:ascii="Times New Roman" w:eastAsia="Times New Roman" w:hAnsi="Times New Roman" w:cs="Times New Roman"/>
          <w:color w:val="000000"/>
        </w:rPr>
        <w:t xml:space="preserve">costituisce </w:t>
      </w:r>
      <w:r w:rsidR="00206E55" w:rsidRPr="000F4EA5">
        <w:rPr>
          <w:rFonts w:ascii="Times New Roman" w:eastAsia="Times New Roman" w:hAnsi="Times New Roman" w:cs="Times New Roman"/>
          <w:color w:val="000000"/>
        </w:rPr>
        <w:t>un</w:t>
      </w:r>
      <w:r w:rsidR="00DB53A6" w:rsidRPr="000F4EA5">
        <w:rPr>
          <w:rFonts w:ascii="Times New Roman" w:eastAsia="Times New Roman" w:hAnsi="Times New Roman" w:cs="Times New Roman"/>
          <w:color w:val="000000"/>
        </w:rPr>
        <w:t xml:space="preserve"> </w:t>
      </w:r>
      <w:r w:rsidR="00BF2558" w:rsidRPr="000F4EA5">
        <w:rPr>
          <w:rFonts w:ascii="Times New Roman" w:eastAsia="Times New Roman" w:hAnsi="Times New Roman" w:cs="Times New Roman"/>
          <w:color w:val="000000"/>
        </w:rPr>
        <w:t xml:space="preserve">riferimento </w:t>
      </w:r>
      <w:r w:rsidR="006464C2" w:rsidRPr="000F4EA5">
        <w:rPr>
          <w:rFonts w:ascii="Times New Roman" w:eastAsia="Times New Roman" w:hAnsi="Times New Roman" w:cs="Times New Roman"/>
          <w:color w:val="000000"/>
        </w:rPr>
        <w:t>di quella costellazione di senso che guida Hegel nel superamento del</w:t>
      </w:r>
      <w:r w:rsidR="00311142" w:rsidRPr="000F4EA5">
        <w:rPr>
          <w:rFonts w:ascii="Times New Roman" w:eastAsia="Times New Roman" w:hAnsi="Times New Roman" w:cs="Times New Roman"/>
          <w:color w:val="000000"/>
        </w:rPr>
        <w:t xml:space="preserve">l’immobilismo </w:t>
      </w:r>
      <w:r w:rsidR="00206E55" w:rsidRPr="000F4EA5">
        <w:rPr>
          <w:rFonts w:ascii="Times New Roman" w:eastAsia="Times New Roman" w:hAnsi="Times New Roman" w:cs="Times New Roman"/>
          <w:color w:val="000000"/>
        </w:rPr>
        <w:t xml:space="preserve">formale e </w:t>
      </w:r>
      <w:r w:rsidR="00532820" w:rsidRPr="000F4EA5">
        <w:rPr>
          <w:rFonts w:ascii="Times New Roman" w:eastAsia="Times New Roman" w:hAnsi="Times New Roman" w:cs="Times New Roman"/>
          <w:color w:val="000000"/>
        </w:rPr>
        <w:t xml:space="preserve">contenutistico </w:t>
      </w:r>
      <w:r w:rsidR="002F7FE2" w:rsidRPr="000F4EA5">
        <w:rPr>
          <w:rFonts w:ascii="Times New Roman" w:eastAsia="Times New Roman" w:hAnsi="Times New Roman" w:cs="Times New Roman"/>
          <w:color w:val="000000"/>
        </w:rPr>
        <w:t xml:space="preserve">dello </w:t>
      </w:r>
      <w:r w:rsidR="00206E55" w:rsidRPr="000F4EA5">
        <w:rPr>
          <w:rFonts w:ascii="Times New Roman" w:eastAsia="Times New Roman" w:hAnsi="Times New Roman" w:cs="Times New Roman"/>
          <w:color w:val="000000"/>
        </w:rPr>
        <w:t>spinozismo</w:t>
      </w:r>
      <w:r w:rsidR="00E4438B" w:rsidRPr="000F4EA5">
        <w:rPr>
          <w:rFonts w:ascii="Times New Roman" w:eastAsia="Times New Roman" w:hAnsi="Times New Roman" w:cs="Times New Roman"/>
          <w:color w:val="000000"/>
        </w:rPr>
        <w:t>.</w:t>
      </w:r>
      <w:r w:rsidR="005F5D1F" w:rsidRPr="000F4EA5">
        <w:rPr>
          <w:rFonts w:ascii="Times New Roman" w:eastAsia="Times New Roman" w:hAnsi="Times New Roman" w:cs="Times New Roman"/>
          <w:color w:val="000000"/>
        </w:rPr>
        <w:t xml:space="preserve"> Nell’autonomia della sua proposta s</w:t>
      </w:r>
      <w:r w:rsidR="00864E38" w:rsidRPr="000F4EA5">
        <w:rPr>
          <w:rFonts w:ascii="Times New Roman" w:eastAsia="Times New Roman" w:hAnsi="Times New Roman" w:cs="Times New Roman"/>
          <w:color w:val="000000"/>
        </w:rPr>
        <w:t xml:space="preserve">peculativa, Hegel </w:t>
      </w:r>
      <w:r w:rsidR="006464C2" w:rsidRPr="000F4EA5">
        <w:rPr>
          <w:rFonts w:ascii="Times New Roman" w:eastAsia="Times New Roman" w:hAnsi="Times New Roman" w:cs="Times New Roman"/>
          <w:color w:val="000000"/>
        </w:rPr>
        <w:t>abbraccia tradizioni di pensiero</w:t>
      </w:r>
      <w:r w:rsidR="00B61C9A" w:rsidRPr="000F4EA5">
        <w:rPr>
          <w:rFonts w:ascii="Times New Roman" w:eastAsia="Times New Roman" w:hAnsi="Times New Roman" w:cs="Times New Roman"/>
          <w:color w:val="000000"/>
        </w:rPr>
        <w:t xml:space="preserve"> </w:t>
      </w:r>
      <w:r w:rsidR="00A97E9F" w:rsidRPr="000F4EA5">
        <w:rPr>
          <w:rFonts w:ascii="Times New Roman" w:eastAsia="Times New Roman" w:hAnsi="Times New Roman" w:cs="Times New Roman"/>
          <w:color w:val="000000"/>
        </w:rPr>
        <w:t xml:space="preserve">eterogenee e, nonostante ciò, </w:t>
      </w:r>
      <w:r w:rsidR="009710E6" w:rsidRPr="000F4EA5">
        <w:rPr>
          <w:rFonts w:ascii="Times New Roman" w:eastAsia="Times New Roman" w:hAnsi="Times New Roman" w:cs="Times New Roman"/>
          <w:color w:val="000000"/>
        </w:rPr>
        <w:t>tenute assieme dalla</w:t>
      </w:r>
      <w:r w:rsidR="009710E6" w:rsidRPr="003445A4">
        <w:rPr>
          <w:rFonts w:ascii="Times New Roman" w:eastAsia="Times New Roman" w:hAnsi="Times New Roman" w:cs="Times New Roman"/>
          <w:color w:val="000000"/>
        </w:rPr>
        <w:t xml:space="preserve"> capacità d’imprimere un </w:t>
      </w:r>
      <w:r w:rsidR="00B61C9A" w:rsidRPr="003445A4">
        <w:rPr>
          <w:rFonts w:ascii="Times New Roman" w:eastAsia="Times New Roman" w:hAnsi="Times New Roman" w:cs="Times New Roman"/>
          <w:color w:val="000000"/>
        </w:rPr>
        <w:t xml:space="preserve">nuovo slancio </w:t>
      </w:r>
      <w:r w:rsidR="005F5D1F" w:rsidRPr="003445A4">
        <w:rPr>
          <w:rFonts w:ascii="Times New Roman" w:eastAsia="Times New Roman" w:hAnsi="Times New Roman" w:cs="Times New Roman"/>
          <w:color w:val="000000"/>
        </w:rPr>
        <w:t>all’</w:t>
      </w:r>
      <w:r w:rsidR="005F5D1F" w:rsidRPr="003445A4">
        <w:rPr>
          <w:rFonts w:ascii="Times New Roman" w:eastAsia="Times New Roman" w:hAnsi="Times New Roman" w:cs="Times New Roman"/>
          <w:i/>
          <w:color w:val="000000"/>
        </w:rPr>
        <w:t>infinitu</w:t>
      </w:r>
      <w:r w:rsidR="00C8349E" w:rsidRPr="003445A4">
        <w:rPr>
          <w:rFonts w:ascii="Times New Roman" w:eastAsia="Times New Roman" w:hAnsi="Times New Roman" w:cs="Times New Roman"/>
          <w:i/>
          <w:color w:val="000000"/>
        </w:rPr>
        <w:t>m</w:t>
      </w:r>
      <w:r w:rsidR="005F5D1F" w:rsidRPr="003445A4">
        <w:rPr>
          <w:rFonts w:ascii="Times New Roman" w:eastAsia="Times New Roman" w:hAnsi="Times New Roman" w:cs="Times New Roman"/>
          <w:i/>
          <w:color w:val="000000"/>
        </w:rPr>
        <w:t xml:space="preserve"> actu </w:t>
      </w:r>
      <w:r w:rsidR="005F5D1F" w:rsidRPr="003445A4">
        <w:rPr>
          <w:rFonts w:ascii="Times New Roman" w:eastAsia="Times New Roman" w:hAnsi="Times New Roman" w:cs="Times New Roman"/>
          <w:color w:val="000000"/>
        </w:rPr>
        <w:t xml:space="preserve">spinoziano. </w:t>
      </w:r>
      <w:r w:rsidR="00CD18D2">
        <w:rPr>
          <w:rFonts w:ascii="Times New Roman" w:eastAsia="Times New Roman" w:hAnsi="Times New Roman" w:cs="Times New Roman"/>
          <w:color w:val="000000"/>
        </w:rPr>
        <w:t xml:space="preserve">Definire </w:t>
      </w:r>
      <w:r w:rsidR="001F6B2F" w:rsidRPr="003445A4">
        <w:rPr>
          <w:rFonts w:ascii="Times New Roman" w:eastAsia="Times New Roman" w:hAnsi="Times New Roman" w:cs="Times New Roman"/>
          <w:color w:val="000000"/>
        </w:rPr>
        <w:t xml:space="preserve">l’Assoluto come </w:t>
      </w:r>
      <w:r w:rsidR="00390823" w:rsidRPr="003445A4">
        <w:rPr>
          <w:rFonts w:ascii="Times New Roman" w:eastAsia="Times New Roman" w:hAnsi="Times New Roman" w:cs="Times New Roman"/>
          <w:i/>
          <w:color w:val="000000"/>
        </w:rPr>
        <w:t>absolutes Nichts</w:t>
      </w:r>
      <w:r w:rsidR="001F6B2F" w:rsidRPr="003445A4">
        <w:rPr>
          <w:rFonts w:ascii="Times New Roman" w:eastAsia="Times New Roman" w:hAnsi="Times New Roman" w:cs="Times New Roman"/>
          <w:color w:val="000000"/>
        </w:rPr>
        <w:t xml:space="preserve"> e</w:t>
      </w:r>
      <w:r w:rsidR="005F5D1F" w:rsidRPr="003445A4">
        <w:rPr>
          <w:rFonts w:ascii="Times New Roman" w:eastAsia="Times New Roman" w:hAnsi="Times New Roman" w:cs="Times New Roman"/>
          <w:color w:val="000000"/>
        </w:rPr>
        <w:t xml:space="preserve"> assoluta affermazione di sé</w:t>
      </w:r>
      <w:r w:rsidR="001F6B2F" w:rsidRPr="003445A4">
        <w:rPr>
          <w:rFonts w:ascii="Times New Roman" w:eastAsia="Times New Roman" w:hAnsi="Times New Roman" w:cs="Times New Roman"/>
          <w:color w:val="000000"/>
        </w:rPr>
        <w:t xml:space="preserve"> </w:t>
      </w:r>
      <w:r w:rsidR="00390823" w:rsidRPr="003445A4">
        <w:rPr>
          <w:rFonts w:ascii="Times New Roman" w:eastAsia="Times New Roman" w:hAnsi="Times New Roman" w:cs="Times New Roman"/>
          <w:color w:val="000000"/>
        </w:rPr>
        <w:t xml:space="preserve">è </w:t>
      </w:r>
      <w:r w:rsidR="001F6B2F" w:rsidRPr="003445A4">
        <w:rPr>
          <w:rFonts w:ascii="Times New Roman" w:eastAsia="Times New Roman" w:hAnsi="Times New Roman" w:cs="Times New Roman"/>
          <w:color w:val="000000"/>
        </w:rPr>
        <w:t xml:space="preserve">finalità perseguita da Hegel non soltanto nei </w:t>
      </w:r>
      <w:r w:rsidR="007954D0">
        <w:rPr>
          <w:rFonts w:ascii="Times New Roman" w:eastAsia="Times New Roman" w:hAnsi="Times New Roman" w:cs="Times New Roman"/>
          <w:color w:val="000000"/>
        </w:rPr>
        <w:t xml:space="preserve">cosiddetti </w:t>
      </w:r>
      <w:r w:rsidR="001F6B2F" w:rsidRPr="003445A4">
        <w:rPr>
          <w:rFonts w:ascii="Times New Roman" w:eastAsia="Times New Roman" w:hAnsi="Times New Roman" w:cs="Times New Roman"/>
          <w:i/>
          <w:color w:val="000000"/>
        </w:rPr>
        <w:t xml:space="preserve">Kritische </w:t>
      </w:r>
      <w:r w:rsidR="001F6B2F" w:rsidRPr="00BE06B5">
        <w:rPr>
          <w:rFonts w:ascii="Times New Roman" w:eastAsia="Times New Roman" w:hAnsi="Times New Roman" w:cs="Times New Roman"/>
          <w:i/>
          <w:color w:val="000000"/>
        </w:rPr>
        <w:t>Schriften</w:t>
      </w:r>
      <w:r w:rsidR="001F6B2F" w:rsidRPr="00BE06B5">
        <w:rPr>
          <w:rFonts w:ascii="Times New Roman" w:eastAsia="Times New Roman" w:hAnsi="Times New Roman" w:cs="Times New Roman"/>
          <w:color w:val="000000"/>
        </w:rPr>
        <w:t xml:space="preserve">, ma anche </w:t>
      </w:r>
      <w:r w:rsidR="00390823" w:rsidRPr="00BE06B5">
        <w:rPr>
          <w:rFonts w:ascii="Times New Roman" w:eastAsia="Times New Roman" w:hAnsi="Times New Roman" w:cs="Times New Roman"/>
          <w:color w:val="000000"/>
        </w:rPr>
        <w:t xml:space="preserve">nella </w:t>
      </w:r>
      <w:r w:rsidR="00390823" w:rsidRPr="00BE06B5">
        <w:rPr>
          <w:rFonts w:ascii="Times New Roman" w:eastAsia="Times New Roman" w:hAnsi="Times New Roman" w:cs="Times New Roman"/>
          <w:i/>
          <w:color w:val="000000"/>
        </w:rPr>
        <w:t>Jenaer Logik und Metaphysik</w:t>
      </w:r>
      <w:r w:rsidR="001F6B2F" w:rsidRPr="00BE06B5">
        <w:rPr>
          <w:rFonts w:ascii="Times New Roman" w:eastAsia="Times New Roman" w:hAnsi="Times New Roman" w:cs="Times New Roman"/>
          <w:color w:val="000000"/>
        </w:rPr>
        <w:t>.</w:t>
      </w:r>
      <w:r w:rsidR="00D966B7" w:rsidRPr="00BE06B5">
        <w:rPr>
          <w:rFonts w:ascii="Times New Roman" w:eastAsia="Times New Roman" w:hAnsi="Times New Roman" w:cs="Times New Roman"/>
          <w:color w:val="000000"/>
        </w:rPr>
        <w:t xml:space="preserve"> </w:t>
      </w:r>
      <w:r w:rsidR="006D70B4" w:rsidRPr="00BE06B5">
        <w:rPr>
          <w:rFonts w:ascii="Times New Roman" w:eastAsia="Times New Roman" w:hAnsi="Times New Roman" w:cs="Times New Roman"/>
          <w:color w:val="000000"/>
        </w:rPr>
        <w:t>Abbiamo visto c</w:t>
      </w:r>
      <w:r w:rsidR="0065046E">
        <w:rPr>
          <w:rFonts w:ascii="Times New Roman" w:eastAsia="Times New Roman" w:hAnsi="Times New Roman" w:cs="Times New Roman"/>
          <w:color w:val="000000"/>
        </w:rPr>
        <w:t>he</w:t>
      </w:r>
      <w:r w:rsidR="00390823" w:rsidRPr="00BE06B5">
        <w:rPr>
          <w:rFonts w:ascii="Times New Roman" w:eastAsia="Times New Roman" w:hAnsi="Times New Roman" w:cs="Times New Roman"/>
          <w:color w:val="000000"/>
        </w:rPr>
        <w:t xml:space="preserve"> l’</w:t>
      </w:r>
      <w:r w:rsidR="00390823" w:rsidRPr="00BE06B5">
        <w:rPr>
          <w:rFonts w:ascii="Times New Roman" w:eastAsia="Times New Roman" w:hAnsi="Times New Roman" w:cs="Times New Roman"/>
          <w:i/>
          <w:color w:val="000000"/>
        </w:rPr>
        <w:t xml:space="preserve">einfache Beziehung </w:t>
      </w:r>
      <w:r w:rsidR="00A61D30">
        <w:rPr>
          <w:rFonts w:ascii="Times New Roman" w:eastAsia="Times New Roman" w:hAnsi="Times New Roman" w:cs="Times New Roman"/>
          <w:color w:val="000000"/>
        </w:rPr>
        <w:t xml:space="preserve">manifesta ciò che </w:t>
      </w:r>
      <w:r w:rsidR="001F6B2F" w:rsidRPr="00BE06B5">
        <w:rPr>
          <w:rFonts w:ascii="Times New Roman" w:eastAsia="Times New Roman" w:hAnsi="Times New Roman" w:cs="Times New Roman"/>
          <w:color w:val="000000"/>
        </w:rPr>
        <w:t>l’</w:t>
      </w:r>
      <w:r w:rsidR="00390823" w:rsidRPr="00BE06B5">
        <w:rPr>
          <w:rFonts w:ascii="Times New Roman" w:eastAsia="Times New Roman" w:hAnsi="Times New Roman" w:cs="Times New Roman"/>
          <w:i/>
          <w:color w:val="000000"/>
        </w:rPr>
        <w:t>Unendlichkeit</w:t>
      </w:r>
      <w:r w:rsidR="00A61D30">
        <w:rPr>
          <w:rFonts w:ascii="Times New Roman" w:eastAsia="Times New Roman" w:hAnsi="Times New Roman" w:cs="Times New Roman"/>
          <w:color w:val="000000"/>
        </w:rPr>
        <w:t xml:space="preserve"> è </w:t>
      </w:r>
      <w:r w:rsidR="00A61D30" w:rsidRPr="00F12B2B">
        <w:rPr>
          <w:rFonts w:ascii="Times New Roman" w:eastAsia="Times New Roman" w:hAnsi="Times New Roman" w:cs="Times New Roman"/>
          <w:i/>
          <w:color w:val="000000"/>
        </w:rPr>
        <w:t>per noi</w:t>
      </w:r>
      <w:r w:rsidR="00A61D30">
        <w:rPr>
          <w:rFonts w:ascii="Times New Roman" w:eastAsia="Times New Roman" w:hAnsi="Times New Roman" w:cs="Times New Roman"/>
          <w:color w:val="000000"/>
        </w:rPr>
        <w:t>.</w:t>
      </w:r>
      <w:r w:rsidR="00390823" w:rsidRPr="00BE06B5">
        <w:rPr>
          <w:rFonts w:ascii="Times New Roman" w:eastAsia="Times New Roman" w:hAnsi="Times New Roman" w:cs="Times New Roman"/>
          <w:color w:val="000000"/>
        </w:rPr>
        <w:t xml:space="preserve"> </w:t>
      </w:r>
      <w:r w:rsidR="001F6B2F" w:rsidRPr="00BE06B5">
        <w:rPr>
          <w:rFonts w:ascii="Times New Roman" w:eastAsia="Times New Roman" w:hAnsi="Times New Roman" w:cs="Times New Roman"/>
          <w:color w:val="000000"/>
        </w:rPr>
        <w:t xml:space="preserve">A </w:t>
      </w:r>
      <w:r w:rsidR="00D966B7" w:rsidRPr="00BE06B5">
        <w:rPr>
          <w:rFonts w:ascii="Times New Roman" w:eastAsia="Times New Roman" w:hAnsi="Times New Roman" w:cs="Times New Roman"/>
          <w:color w:val="000000"/>
        </w:rPr>
        <w:t xml:space="preserve">sua </w:t>
      </w:r>
      <w:r w:rsidR="00733AE4" w:rsidRPr="00BE06B5">
        <w:rPr>
          <w:rFonts w:ascii="Times New Roman" w:eastAsia="Times New Roman" w:hAnsi="Times New Roman" w:cs="Times New Roman"/>
          <w:color w:val="000000"/>
        </w:rPr>
        <w:t>volta</w:t>
      </w:r>
      <w:r w:rsidR="00124720" w:rsidRPr="00BE06B5">
        <w:rPr>
          <w:rFonts w:ascii="Times New Roman" w:eastAsia="Times New Roman" w:hAnsi="Times New Roman" w:cs="Times New Roman"/>
          <w:color w:val="000000"/>
        </w:rPr>
        <w:t>, l’</w:t>
      </w:r>
      <w:r w:rsidR="00124720" w:rsidRPr="00BE06B5">
        <w:rPr>
          <w:rFonts w:ascii="Times New Roman" w:eastAsia="Times New Roman" w:hAnsi="Times New Roman" w:cs="Times New Roman"/>
          <w:i/>
          <w:color w:val="000000"/>
        </w:rPr>
        <w:t>Höchstes Wesen</w:t>
      </w:r>
      <w:r w:rsidR="003E1CF5" w:rsidRPr="00BE06B5">
        <w:rPr>
          <w:rFonts w:ascii="Times New Roman" w:eastAsia="Times New Roman" w:hAnsi="Times New Roman" w:cs="Times New Roman"/>
          <w:color w:val="000000"/>
        </w:rPr>
        <w:t xml:space="preserve"> </w:t>
      </w:r>
      <w:r w:rsidR="00AF622B" w:rsidRPr="00BE06B5">
        <w:rPr>
          <w:rFonts w:ascii="Times New Roman" w:eastAsia="Times New Roman" w:hAnsi="Times New Roman" w:cs="Times New Roman"/>
          <w:color w:val="000000"/>
        </w:rPr>
        <w:t xml:space="preserve">esprime </w:t>
      </w:r>
      <w:r w:rsidR="00D966B7" w:rsidRPr="00BE06B5">
        <w:rPr>
          <w:rFonts w:ascii="Times New Roman" w:eastAsia="Times New Roman" w:hAnsi="Times New Roman" w:cs="Times New Roman"/>
          <w:color w:val="000000"/>
        </w:rPr>
        <w:t>uno sviluppo de</w:t>
      </w:r>
      <w:r w:rsidR="00A61D30">
        <w:rPr>
          <w:rFonts w:ascii="Times New Roman" w:eastAsia="Times New Roman" w:hAnsi="Times New Roman" w:cs="Times New Roman"/>
          <w:color w:val="000000"/>
        </w:rPr>
        <w:t>ll’infinitezza</w:t>
      </w:r>
      <w:r w:rsidR="00390823" w:rsidRPr="00BE06B5">
        <w:rPr>
          <w:rFonts w:ascii="Times New Roman" w:eastAsia="Times New Roman" w:hAnsi="Times New Roman" w:cs="Times New Roman"/>
          <w:color w:val="000000"/>
        </w:rPr>
        <w:t xml:space="preserve"> c</w:t>
      </w:r>
      <w:r w:rsidR="00672778" w:rsidRPr="00BE06B5">
        <w:rPr>
          <w:rFonts w:ascii="Times New Roman" w:eastAsia="Times New Roman" w:hAnsi="Times New Roman" w:cs="Times New Roman"/>
          <w:color w:val="000000"/>
        </w:rPr>
        <w:t>he culmina</w:t>
      </w:r>
      <w:r w:rsidR="00172C69" w:rsidRPr="00BE06B5">
        <w:rPr>
          <w:rFonts w:ascii="Times New Roman" w:eastAsia="Times New Roman" w:hAnsi="Times New Roman" w:cs="Times New Roman"/>
          <w:color w:val="000000"/>
        </w:rPr>
        <w:t xml:space="preserve">, </w:t>
      </w:r>
      <w:r w:rsidR="00672778" w:rsidRPr="00BE06B5">
        <w:rPr>
          <w:rFonts w:ascii="Times New Roman" w:eastAsia="Times New Roman" w:hAnsi="Times New Roman" w:cs="Times New Roman"/>
          <w:color w:val="000000"/>
        </w:rPr>
        <w:t>paradossalmente,</w:t>
      </w:r>
      <w:r w:rsidR="00FF445C">
        <w:rPr>
          <w:rFonts w:ascii="Times New Roman" w:eastAsia="Times New Roman" w:hAnsi="Times New Roman" w:cs="Times New Roman"/>
          <w:color w:val="000000"/>
        </w:rPr>
        <w:t xml:space="preserve"> </w:t>
      </w:r>
      <w:r w:rsidR="00124720" w:rsidRPr="00BE06B5">
        <w:rPr>
          <w:rFonts w:ascii="Times New Roman" w:eastAsia="Times New Roman" w:hAnsi="Times New Roman" w:cs="Times New Roman"/>
          <w:color w:val="000000"/>
        </w:rPr>
        <w:t>con</w:t>
      </w:r>
      <w:r w:rsidR="00672778" w:rsidRPr="00BE06B5">
        <w:rPr>
          <w:rFonts w:ascii="Times New Roman" w:eastAsia="Times New Roman" w:hAnsi="Times New Roman" w:cs="Times New Roman"/>
          <w:color w:val="000000"/>
        </w:rPr>
        <w:t xml:space="preserve"> una </w:t>
      </w:r>
      <w:r w:rsidR="00503EC7" w:rsidRPr="00BE06B5">
        <w:rPr>
          <w:rFonts w:ascii="Times New Roman" w:eastAsia="Times New Roman" w:hAnsi="Times New Roman" w:cs="Times New Roman"/>
          <w:color w:val="000000"/>
        </w:rPr>
        <w:t>mancanza di sviluppo</w:t>
      </w:r>
      <w:r w:rsidR="00F12B2B">
        <w:rPr>
          <w:rFonts w:ascii="Times New Roman" w:eastAsia="Times New Roman" w:hAnsi="Times New Roman" w:cs="Times New Roman"/>
          <w:color w:val="000000"/>
        </w:rPr>
        <w:t>. Senza la tenebra,</w:t>
      </w:r>
      <w:r w:rsidR="00390823" w:rsidRPr="00BE06B5">
        <w:rPr>
          <w:rFonts w:ascii="Times New Roman" w:eastAsia="Times New Roman" w:hAnsi="Times New Roman" w:cs="Times New Roman"/>
          <w:color w:val="000000"/>
        </w:rPr>
        <w:t xml:space="preserve"> </w:t>
      </w:r>
      <w:r w:rsidR="009E48CA" w:rsidRPr="00BE06B5">
        <w:rPr>
          <w:rFonts w:ascii="Times New Roman" w:eastAsia="Times New Roman" w:hAnsi="Times New Roman" w:cs="Times New Roman"/>
          <w:color w:val="000000"/>
        </w:rPr>
        <w:t xml:space="preserve">o il principio cattivo, </w:t>
      </w:r>
      <w:r w:rsidR="001F6B2F" w:rsidRPr="00BE06B5">
        <w:rPr>
          <w:rFonts w:ascii="Times New Roman" w:eastAsia="Times New Roman" w:hAnsi="Times New Roman" w:cs="Times New Roman"/>
          <w:color w:val="000000"/>
        </w:rPr>
        <w:t>la luce</w:t>
      </w:r>
      <w:r w:rsidR="00D966B7" w:rsidRPr="00BE06B5">
        <w:rPr>
          <w:rFonts w:ascii="Times New Roman" w:eastAsia="Times New Roman" w:hAnsi="Times New Roman" w:cs="Times New Roman"/>
          <w:color w:val="000000"/>
        </w:rPr>
        <w:t>, o il principio buono,</w:t>
      </w:r>
      <w:r w:rsidR="001F6B2F" w:rsidRPr="00BE06B5">
        <w:rPr>
          <w:rFonts w:ascii="Times New Roman" w:eastAsia="Times New Roman" w:hAnsi="Times New Roman" w:cs="Times New Roman"/>
          <w:color w:val="000000"/>
        </w:rPr>
        <w:t xml:space="preserve"> è destinata a </w:t>
      </w:r>
      <w:r w:rsidR="00124720" w:rsidRPr="00BE06B5">
        <w:rPr>
          <w:rFonts w:ascii="Times New Roman" w:eastAsia="Times New Roman" w:hAnsi="Times New Roman" w:cs="Times New Roman"/>
          <w:color w:val="000000"/>
        </w:rPr>
        <w:t xml:space="preserve">risolvere </w:t>
      </w:r>
      <w:r w:rsidR="009E48CA" w:rsidRPr="00BE06B5">
        <w:rPr>
          <w:rFonts w:ascii="Times New Roman" w:eastAsia="Times New Roman" w:hAnsi="Times New Roman" w:cs="Times New Roman"/>
          <w:color w:val="000000"/>
        </w:rPr>
        <w:t>solamente</w:t>
      </w:r>
      <w:r w:rsidR="00124720" w:rsidRPr="00BE06B5">
        <w:rPr>
          <w:rFonts w:ascii="Times New Roman" w:eastAsia="Times New Roman" w:hAnsi="Times New Roman" w:cs="Times New Roman"/>
          <w:color w:val="000000"/>
        </w:rPr>
        <w:t xml:space="preserve"> in </w:t>
      </w:r>
      <w:r w:rsidR="00F12B2B">
        <w:rPr>
          <w:rFonts w:ascii="Times New Roman" w:eastAsia="Times New Roman" w:hAnsi="Times New Roman" w:cs="Times New Roman"/>
          <w:color w:val="000000"/>
        </w:rPr>
        <w:t xml:space="preserve">sé, </w:t>
      </w:r>
      <w:r w:rsidR="00390823" w:rsidRPr="00BE06B5">
        <w:rPr>
          <w:rFonts w:ascii="Times New Roman" w:eastAsia="Times New Roman" w:hAnsi="Times New Roman" w:cs="Times New Roman"/>
          <w:color w:val="000000"/>
        </w:rPr>
        <w:t xml:space="preserve">non in-sé-e-per-sé, tutto ciò che è. </w:t>
      </w:r>
      <w:r w:rsidR="00DA00DB" w:rsidRPr="00BE06B5">
        <w:rPr>
          <w:rFonts w:ascii="Times New Roman" w:eastAsia="Times New Roman" w:hAnsi="Times New Roman" w:cs="Times New Roman"/>
          <w:color w:val="000000"/>
        </w:rPr>
        <w:t>La ne</w:t>
      </w:r>
      <w:r w:rsidR="008560A2" w:rsidRPr="00BE06B5">
        <w:rPr>
          <w:rFonts w:ascii="Times New Roman" w:eastAsia="Times New Roman" w:hAnsi="Times New Roman" w:cs="Times New Roman"/>
          <w:color w:val="000000"/>
        </w:rPr>
        <w:t>ccessità di pensa</w:t>
      </w:r>
      <w:r w:rsidR="00124720" w:rsidRPr="00BE06B5">
        <w:rPr>
          <w:rFonts w:ascii="Times New Roman" w:eastAsia="Times New Roman" w:hAnsi="Times New Roman" w:cs="Times New Roman"/>
          <w:color w:val="000000"/>
        </w:rPr>
        <w:t xml:space="preserve">re l’Assoluto </w:t>
      </w:r>
      <w:r w:rsidR="00124720" w:rsidRPr="00F47DA2">
        <w:rPr>
          <w:rFonts w:ascii="Times New Roman" w:eastAsia="Times New Roman" w:hAnsi="Times New Roman" w:cs="Times New Roman"/>
          <w:color w:val="000000"/>
        </w:rPr>
        <w:t xml:space="preserve">come </w:t>
      </w:r>
      <w:r w:rsidR="00382052" w:rsidRPr="00F47DA2">
        <w:rPr>
          <w:rFonts w:ascii="Times New Roman" w:eastAsia="Times New Roman" w:hAnsi="Times New Roman" w:cs="Times New Roman"/>
          <w:color w:val="000000"/>
        </w:rPr>
        <w:t xml:space="preserve">identità </w:t>
      </w:r>
      <w:r w:rsidR="008560A2" w:rsidRPr="00F47DA2">
        <w:rPr>
          <w:rFonts w:ascii="Times New Roman" w:eastAsia="Times New Roman" w:hAnsi="Times New Roman" w:cs="Times New Roman"/>
          <w:color w:val="000000"/>
        </w:rPr>
        <w:t xml:space="preserve">dei due principi </w:t>
      </w:r>
      <w:r w:rsidR="00124720" w:rsidRPr="00F47DA2">
        <w:rPr>
          <w:rFonts w:ascii="Times New Roman" w:eastAsia="Times New Roman" w:hAnsi="Times New Roman" w:cs="Times New Roman"/>
          <w:color w:val="000000"/>
        </w:rPr>
        <w:t xml:space="preserve">spinge </w:t>
      </w:r>
      <w:r w:rsidR="008560A2" w:rsidRPr="00F47DA2">
        <w:rPr>
          <w:rFonts w:ascii="Times New Roman" w:eastAsia="Times New Roman" w:hAnsi="Times New Roman" w:cs="Times New Roman"/>
          <w:color w:val="000000"/>
        </w:rPr>
        <w:t xml:space="preserve">Hegel </w:t>
      </w:r>
      <w:r w:rsidR="00382052" w:rsidRPr="00F47DA2">
        <w:rPr>
          <w:rFonts w:ascii="Times New Roman" w:eastAsia="Times New Roman" w:hAnsi="Times New Roman" w:cs="Times New Roman"/>
          <w:color w:val="000000"/>
        </w:rPr>
        <w:t>ad ampliare il raggio dei suoi riferimenti</w:t>
      </w:r>
      <w:r w:rsidR="008C2286" w:rsidRPr="00F47DA2">
        <w:rPr>
          <w:rFonts w:ascii="Times New Roman" w:eastAsia="Times New Roman" w:hAnsi="Times New Roman" w:cs="Times New Roman"/>
          <w:color w:val="000000"/>
        </w:rPr>
        <w:t xml:space="preserve"> e a chiamare</w:t>
      </w:r>
      <w:r w:rsidR="00382052" w:rsidRPr="00F47DA2">
        <w:rPr>
          <w:rFonts w:ascii="Times New Roman" w:eastAsia="Times New Roman" w:hAnsi="Times New Roman" w:cs="Times New Roman"/>
          <w:color w:val="000000"/>
        </w:rPr>
        <w:t xml:space="preserve"> in causa</w:t>
      </w:r>
      <w:r w:rsidR="00ED62D8" w:rsidRPr="00F47DA2">
        <w:rPr>
          <w:rFonts w:ascii="Times New Roman" w:eastAsia="Times New Roman" w:hAnsi="Times New Roman" w:cs="Times New Roman"/>
          <w:color w:val="000000"/>
        </w:rPr>
        <w:t xml:space="preserve"> </w:t>
      </w:r>
      <w:r w:rsidR="00382052" w:rsidRPr="00F47DA2">
        <w:rPr>
          <w:rFonts w:ascii="Times New Roman" w:eastAsia="Times New Roman" w:hAnsi="Times New Roman" w:cs="Times New Roman"/>
          <w:color w:val="000000"/>
        </w:rPr>
        <w:t xml:space="preserve">quel </w:t>
      </w:r>
      <w:r w:rsidR="008560A2" w:rsidRPr="00F47DA2">
        <w:rPr>
          <w:rFonts w:ascii="Times New Roman" w:eastAsia="Times New Roman" w:hAnsi="Times New Roman" w:cs="Times New Roman"/>
          <w:color w:val="000000"/>
        </w:rPr>
        <w:t>pensiero</w:t>
      </w:r>
      <w:r w:rsidR="00A84BAA" w:rsidRPr="00F47DA2">
        <w:rPr>
          <w:rFonts w:ascii="Times New Roman" w:eastAsia="Times New Roman" w:hAnsi="Times New Roman" w:cs="Times New Roman"/>
          <w:color w:val="000000"/>
        </w:rPr>
        <w:t xml:space="preserve"> – la filosofia di </w:t>
      </w:r>
      <w:r w:rsidR="00FE6E64" w:rsidRPr="00F47DA2">
        <w:rPr>
          <w:rFonts w:ascii="Times New Roman" w:eastAsia="Times New Roman" w:hAnsi="Times New Roman" w:cs="Times New Roman"/>
          <w:color w:val="000000"/>
        </w:rPr>
        <w:t xml:space="preserve">Jakob </w:t>
      </w:r>
      <w:r w:rsidR="00A84BAA" w:rsidRPr="00F47DA2">
        <w:rPr>
          <w:rFonts w:ascii="Times New Roman" w:eastAsia="Times New Roman" w:hAnsi="Times New Roman" w:cs="Times New Roman"/>
          <w:color w:val="000000"/>
        </w:rPr>
        <w:t>Böhme –</w:t>
      </w:r>
      <w:r w:rsidR="008560A2" w:rsidRPr="00F47DA2">
        <w:rPr>
          <w:rFonts w:ascii="Times New Roman" w:eastAsia="Times New Roman" w:hAnsi="Times New Roman" w:cs="Times New Roman"/>
          <w:color w:val="000000"/>
        </w:rPr>
        <w:t xml:space="preserve"> </w:t>
      </w:r>
      <w:r w:rsidR="00DB53A6" w:rsidRPr="00F47DA2">
        <w:rPr>
          <w:rFonts w:ascii="Times New Roman" w:eastAsia="Times New Roman" w:hAnsi="Times New Roman" w:cs="Times New Roman"/>
          <w:color w:val="000000"/>
        </w:rPr>
        <w:t xml:space="preserve">capace </w:t>
      </w:r>
      <w:r w:rsidR="00382052" w:rsidRPr="00F47DA2">
        <w:rPr>
          <w:rFonts w:ascii="Times New Roman" w:eastAsia="Times New Roman" w:hAnsi="Times New Roman" w:cs="Times New Roman"/>
          <w:color w:val="000000"/>
        </w:rPr>
        <w:t>di superare «das leere Abstraktum des höchsten Wesen»</w:t>
      </w:r>
      <w:r w:rsidR="008560A2" w:rsidRPr="00F47DA2">
        <w:rPr>
          <w:rFonts w:ascii="Times New Roman" w:eastAsia="Times New Roman" w:hAnsi="Times New Roman" w:cs="Times New Roman"/>
          <w:color w:val="000000"/>
        </w:rPr>
        <w:t>.</w:t>
      </w:r>
      <w:r w:rsidR="00124720" w:rsidRPr="00F47DA2">
        <w:rPr>
          <w:rFonts w:ascii="Times New Roman" w:eastAsia="Times New Roman" w:hAnsi="Times New Roman" w:cs="Times New Roman"/>
          <w:color w:val="000000"/>
        </w:rPr>
        <w:t xml:space="preserve"> </w:t>
      </w:r>
      <w:r w:rsidR="005841AA" w:rsidRPr="00F47DA2">
        <w:rPr>
          <w:rFonts w:ascii="Times New Roman" w:eastAsia="Times New Roman" w:hAnsi="Times New Roman" w:cs="Times New Roman"/>
          <w:color w:val="000000"/>
        </w:rPr>
        <w:t xml:space="preserve">Ai fini della </w:t>
      </w:r>
      <w:r w:rsidR="00841CDB" w:rsidRPr="00F47DA2">
        <w:rPr>
          <w:rFonts w:ascii="Times New Roman" w:eastAsia="Times New Roman" w:hAnsi="Times New Roman" w:cs="Times New Roman"/>
          <w:i/>
          <w:color w:val="000000"/>
        </w:rPr>
        <w:t>Denkentwicklung</w:t>
      </w:r>
      <w:r w:rsidR="00841CDB" w:rsidRPr="00F47DA2">
        <w:rPr>
          <w:rFonts w:ascii="Times New Roman" w:eastAsia="Times New Roman" w:hAnsi="Times New Roman" w:cs="Times New Roman"/>
          <w:color w:val="000000"/>
        </w:rPr>
        <w:t xml:space="preserve"> hegeliana, </w:t>
      </w:r>
      <w:r w:rsidR="00382052" w:rsidRPr="00F47DA2">
        <w:rPr>
          <w:rFonts w:ascii="Times New Roman" w:eastAsia="Times New Roman" w:hAnsi="Times New Roman" w:cs="Times New Roman"/>
          <w:i/>
          <w:color w:val="000000"/>
        </w:rPr>
        <w:t>Philosophie und Religion</w:t>
      </w:r>
      <w:r w:rsidR="00F12B2B" w:rsidRPr="00F47DA2">
        <w:rPr>
          <w:rFonts w:ascii="Times New Roman" w:eastAsia="Times New Roman" w:hAnsi="Times New Roman" w:cs="Times New Roman"/>
          <w:i/>
          <w:color w:val="000000"/>
        </w:rPr>
        <w:t xml:space="preserve"> </w:t>
      </w:r>
      <w:r w:rsidR="00841CDB" w:rsidRPr="00F47DA2">
        <w:rPr>
          <w:rFonts w:ascii="Times New Roman" w:eastAsia="Times New Roman" w:hAnsi="Times New Roman" w:cs="Times New Roman"/>
          <w:color w:val="000000"/>
        </w:rPr>
        <w:t>assolve</w:t>
      </w:r>
      <w:r w:rsidR="00382052" w:rsidRPr="00F47DA2">
        <w:rPr>
          <w:rFonts w:ascii="Times New Roman" w:eastAsia="Times New Roman" w:hAnsi="Times New Roman" w:cs="Times New Roman"/>
          <w:color w:val="000000"/>
        </w:rPr>
        <w:t xml:space="preserve"> una </w:t>
      </w:r>
      <w:r w:rsidR="002268CE" w:rsidRPr="00F47DA2">
        <w:rPr>
          <w:rFonts w:ascii="Times New Roman" w:eastAsia="Times New Roman" w:hAnsi="Times New Roman" w:cs="Times New Roman"/>
          <w:color w:val="000000"/>
        </w:rPr>
        <w:t xml:space="preserve">duplice </w:t>
      </w:r>
      <w:r w:rsidR="00382052" w:rsidRPr="00F47DA2">
        <w:rPr>
          <w:rFonts w:ascii="Times New Roman" w:eastAsia="Times New Roman" w:hAnsi="Times New Roman" w:cs="Times New Roman"/>
          <w:color w:val="000000"/>
        </w:rPr>
        <w:t>funzione:</w:t>
      </w:r>
      <w:r w:rsidR="001D437B" w:rsidRPr="00F47DA2">
        <w:rPr>
          <w:rFonts w:ascii="Times New Roman" w:eastAsia="Times New Roman" w:hAnsi="Times New Roman" w:cs="Times New Roman"/>
          <w:color w:val="000000"/>
        </w:rPr>
        <w:t xml:space="preserve"> da un lato</w:t>
      </w:r>
      <w:r w:rsidR="00841CDB" w:rsidRPr="00F47DA2">
        <w:rPr>
          <w:rFonts w:ascii="Times New Roman" w:eastAsia="Times New Roman" w:hAnsi="Times New Roman" w:cs="Times New Roman"/>
          <w:color w:val="000000"/>
        </w:rPr>
        <w:t xml:space="preserve">, </w:t>
      </w:r>
      <w:r w:rsidR="00A726EC" w:rsidRPr="00F47DA2">
        <w:rPr>
          <w:rFonts w:ascii="Times New Roman" w:eastAsia="Times New Roman" w:hAnsi="Times New Roman" w:cs="Times New Roman"/>
          <w:color w:val="000000"/>
        </w:rPr>
        <w:t>essa</w:t>
      </w:r>
      <w:r w:rsidR="006B2A42" w:rsidRPr="00F47DA2">
        <w:rPr>
          <w:rFonts w:ascii="Times New Roman" w:eastAsia="Times New Roman" w:hAnsi="Times New Roman" w:cs="Times New Roman"/>
          <w:color w:val="000000"/>
        </w:rPr>
        <w:t xml:space="preserve"> </w:t>
      </w:r>
      <w:r w:rsidR="00050FF6" w:rsidRPr="00F47DA2">
        <w:rPr>
          <w:rFonts w:ascii="Times New Roman" w:eastAsia="Times New Roman" w:hAnsi="Times New Roman" w:cs="Times New Roman"/>
          <w:color w:val="000000"/>
        </w:rPr>
        <w:t xml:space="preserve">costituisce </w:t>
      </w:r>
      <w:r w:rsidR="001D437B" w:rsidRPr="00F47DA2">
        <w:rPr>
          <w:rFonts w:ascii="Times New Roman" w:eastAsia="Times New Roman" w:hAnsi="Times New Roman" w:cs="Times New Roman"/>
          <w:color w:val="000000"/>
        </w:rPr>
        <w:t xml:space="preserve">un </w:t>
      </w:r>
      <w:r w:rsidR="00841CDB" w:rsidRPr="00F47DA2">
        <w:rPr>
          <w:rFonts w:ascii="Times New Roman" w:eastAsia="Times New Roman" w:hAnsi="Times New Roman" w:cs="Times New Roman"/>
          <w:color w:val="000000"/>
        </w:rPr>
        <w:t xml:space="preserve">tassello </w:t>
      </w:r>
      <w:r w:rsidR="006B2A42" w:rsidRPr="00F47DA2">
        <w:rPr>
          <w:rFonts w:ascii="Times New Roman" w:eastAsia="Times New Roman" w:hAnsi="Times New Roman" w:cs="Times New Roman"/>
          <w:color w:val="000000"/>
        </w:rPr>
        <w:t>del</w:t>
      </w:r>
      <w:r w:rsidR="00841CDB" w:rsidRPr="00F47DA2">
        <w:rPr>
          <w:rFonts w:ascii="Times New Roman" w:eastAsia="Times New Roman" w:hAnsi="Times New Roman" w:cs="Times New Roman"/>
          <w:color w:val="000000"/>
        </w:rPr>
        <w:t>la sincretica attività di ricerca hegeliana</w:t>
      </w:r>
      <w:r w:rsidR="002A72CC" w:rsidRPr="00F47DA2">
        <w:rPr>
          <w:rFonts w:ascii="Times New Roman" w:eastAsia="Times New Roman" w:hAnsi="Times New Roman" w:cs="Times New Roman"/>
          <w:color w:val="000000"/>
        </w:rPr>
        <w:t>, che combina nozioni b</w:t>
      </w:r>
      <w:r w:rsidR="005841AA" w:rsidRPr="00F47DA2">
        <w:rPr>
          <w:rFonts w:ascii="Times New Roman" w:eastAsia="Times New Roman" w:hAnsi="Times New Roman" w:cs="Times New Roman"/>
          <w:color w:val="000000"/>
        </w:rPr>
        <w:t>öhmian</w:t>
      </w:r>
      <w:r w:rsidR="002A72CC" w:rsidRPr="00F47DA2">
        <w:rPr>
          <w:rFonts w:ascii="Times New Roman" w:eastAsia="Times New Roman" w:hAnsi="Times New Roman" w:cs="Times New Roman"/>
          <w:color w:val="000000"/>
        </w:rPr>
        <w:t xml:space="preserve">e, kantiane e </w:t>
      </w:r>
      <w:r w:rsidR="006B2A42" w:rsidRPr="00F47DA2">
        <w:rPr>
          <w:rFonts w:ascii="Times New Roman" w:eastAsia="Times New Roman" w:hAnsi="Times New Roman" w:cs="Times New Roman"/>
          <w:color w:val="000000"/>
        </w:rPr>
        <w:t>schellinghiane al fine di ripensare in chiave dinamica</w:t>
      </w:r>
      <w:r w:rsidR="002A72CC" w:rsidRPr="00F47DA2">
        <w:rPr>
          <w:rFonts w:ascii="Times New Roman" w:eastAsia="Times New Roman" w:hAnsi="Times New Roman" w:cs="Times New Roman"/>
          <w:color w:val="000000"/>
        </w:rPr>
        <w:t xml:space="preserve"> l’ontologia di Spinoza</w:t>
      </w:r>
      <w:r w:rsidR="00841CDB" w:rsidRPr="00F47DA2">
        <w:rPr>
          <w:rFonts w:ascii="Times New Roman" w:eastAsia="Times New Roman" w:hAnsi="Times New Roman" w:cs="Times New Roman"/>
          <w:color w:val="000000"/>
        </w:rPr>
        <w:t>;</w:t>
      </w:r>
      <w:r w:rsidR="008B3AF7" w:rsidRPr="00F47DA2">
        <w:rPr>
          <w:rFonts w:ascii="Times New Roman" w:eastAsia="Times New Roman" w:hAnsi="Times New Roman" w:cs="Times New Roman"/>
          <w:color w:val="000000"/>
        </w:rPr>
        <w:t xml:space="preserve"> </w:t>
      </w:r>
      <w:r w:rsidR="00094A90" w:rsidRPr="00C1528A">
        <w:rPr>
          <w:rFonts w:ascii="Times New Roman" w:eastAsia="Times New Roman" w:hAnsi="Times New Roman" w:cs="Times New Roman"/>
          <w:color w:val="000000"/>
        </w:rPr>
        <w:t xml:space="preserve">dall’altro lato, essa </w:t>
      </w:r>
      <w:r w:rsidR="007461EB" w:rsidRPr="00C1528A">
        <w:rPr>
          <w:rFonts w:ascii="Times New Roman" w:eastAsia="Times New Roman" w:hAnsi="Times New Roman" w:cs="Times New Roman"/>
          <w:color w:val="000000"/>
        </w:rPr>
        <w:t>risponde alla volontà –</w:t>
      </w:r>
      <w:r w:rsidR="00094A90" w:rsidRPr="00C1528A">
        <w:rPr>
          <w:rFonts w:ascii="Times New Roman" w:eastAsia="Times New Roman" w:hAnsi="Times New Roman" w:cs="Times New Roman"/>
          <w:color w:val="000000"/>
        </w:rPr>
        <w:t xml:space="preserve"> condivisa da </w:t>
      </w:r>
      <w:r w:rsidR="007461EB" w:rsidRPr="00C1528A">
        <w:rPr>
          <w:rFonts w:ascii="Times New Roman" w:eastAsia="Times New Roman" w:hAnsi="Times New Roman" w:cs="Times New Roman"/>
          <w:color w:val="000000"/>
        </w:rPr>
        <w:t>Hegel e Schelling –</w:t>
      </w:r>
      <w:r w:rsidR="00FE7EC6" w:rsidRPr="00C1528A">
        <w:rPr>
          <w:rFonts w:ascii="Times New Roman" w:eastAsia="Times New Roman" w:hAnsi="Times New Roman" w:cs="Times New Roman"/>
          <w:color w:val="000000"/>
        </w:rPr>
        <w:t xml:space="preserve"> </w:t>
      </w:r>
      <w:r w:rsidR="00094A90" w:rsidRPr="00C1528A">
        <w:rPr>
          <w:rFonts w:ascii="Times New Roman" w:eastAsia="Times New Roman" w:hAnsi="Times New Roman" w:cs="Times New Roman"/>
          <w:color w:val="000000"/>
        </w:rPr>
        <w:t xml:space="preserve">di ripensare la filosofia dell’identità attraverso </w:t>
      </w:r>
      <w:r w:rsidR="00C1528A" w:rsidRPr="00C1528A">
        <w:rPr>
          <w:rFonts w:ascii="Times New Roman" w:eastAsia="Times New Roman" w:hAnsi="Times New Roman" w:cs="Times New Roman"/>
          <w:color w:val="000000"/>
        </w:rPr>
        <w:t xml:space="preserve">il recupero non soltanto di fonti classiche (Platone </w:t>
      </w:r>
      <w:r w:rsidR="00C1528A" w:rsidRPr="00C1528A">
        <w:rPr>
          <w:rFonts w:ascii="Times New Roman" w:eastAsia="Times New Roman" w:hAnsi="Times New Roman" w:cs="Times New Roman"/>
          <w:i/>
          <w:color w:val="000000"/>
        </w:rPr>
        <w:t xml:space="preserve">in </w:t>
      </w:r>
      <w:r w:rsidR="00C1528A" w:rsidRPr="007F5DD9">
        <w:rPr>
          <w:rFonts w:ascii="Times New Roman" w:eastAsia="Times New Roman" w:hAnsi="Times New Roman" w:cs="Times New Roman"/>
          <w:i/>
          <w:color w:val="000000"/>
        </w:rPr>
        <w:t>primis</w:t>
      </w:r>
      <w:r w:rsidR="00C1528A" w:rsidRPr="007F5DD9">
        <w:rPr>
          <w:rFonts w:ascii="Times New Roman" w:eastAsia="Times New Roman" w:hAnsi="Times New Roman" w:cs="Times New Roman"/>
          <w:color w:val="000000"/>
        </w:rPr>
        <w:t>)</w:t>
      </w:r>
      <w:r w:rsidR="00094A90" w:rsidRPr="007F5DD9">
        <w:rPr>
          <w:rFonts w:ascii="Times New Roman" w:eastAsia="Times New Roman" w:hAnsi="Times New Roman" w:cs="Times New Roman"/>
          <w:color w:val="000000"/>
        </w:rPr>
        <w:t>, ma anche del</w:t>
      </w:r>
      <w:r w:rsidR="00C1528A" w:rsidRPr="007F5DD9">
        <w:rPr>
          <w:rFonts w:ascii="Times New Roman" w:eastAsia="Times New Roman" w:hAnsi="Times New Roman" w:cs="Times New Roman"/>
          <w:color w:val="000000"/>
        </w:rPr>
        <w:t xml:space="preserve"> pensiero</w:t>
      </w:r>
      <w:r w:rsidR="00094A90" w:rsidRPr="007F5DD9">
        <w:rPr>
          <w:rFonts w:ascii="Times New Roman" w:eastAsia="Times New Roman" w:hAnsi="Times New Roman" w:cs="Times New Roman"/>
          <w:color w:val="000000"/>
        </w:rPr>
        <w:t xml:space="preserve"> </w:t>
      </w:r>
      <w:r w:rsidR="00C1528A" w:rsidRPr="007F5DD9">
        <w:rPr>
          <w:rFonts w:ascii="Times New Roman" w:eastAsia="Times New Roman" w:hAnsi="Times New Roman" w:cs="Times New Roman"/>
          <w:color w:val="000000"/>
        </w:rPr>
        <w:t>böhmiano</w:t>
      </w:r>
      <w:r w:rsidR="00094A90" w:rsidRPr="007F5DD9">
        <w:rPr>
          <w:rFonts w:ascii="Times New Roman" w:eastAsia="Times New Roman" w:hAnsi="Times New Roman" w:cs="Times New Roman"/>
          <w:color w:val="000000"/>
        </w:rPr>
        <w:t xml:space="preserve">, che si ritaglia uno spazio </w:t>
      </w:r>
      <w:r w:rsidR="00E83F65" w:rsidRPr="007F5DD9">
        <w:rPr>
          <w:rFonts w:ascii="Times New Roman" w:eastAsia="Times New Roman" w:hAnsi="Times New Roman" w:cs="Times New Roman"/>
          <w:color w:val="000000"/>
        </w:rPr>
        <w:t xml:space="preserve">crescente </w:t>
      </w:r>
      <w:r w:rsidR="00094A90" w:rsidRPr="007F5DD9">
        <w:rPr>
          <w:rFonts w:ascii="Times New Roman" w:eastAsia="Times New Roman" w:hAnsi="Times New Roman" w:cs="Times New Roman"/>
          <w:color w:val="000000"/>
        </w:rPr>
        <w:t>negli abbozzi sistematici del periodo di Jena.</w:t>
      </w:r>
    </w:p>
    <w:p w14:paraId="5BBD62A0" w14:textId="31BD66D8" w:rsidR="00805002" w:rsidRPr="00B36953" w:rsidRDefault="00A84BAA" w:rsidP="007810A9">
      <w:pPr>
        <w:spacing w:line="360" w:lineRule="auto"/>
        <w:ind w:firstLine="567"/>
        <w:jc w:val="both"/>
        <w:rPr>
          <w:rFonts w:ascii="Times New Roman" w:eastAsia="Times New Roman" w:hAnsi="Times New Roman" w:cs="Times New Roman"/>
          <w:color w:val="000000"/>
        </w:rPr>
      </w:pPr>
      <w:r w:rsidRPr="008852B4">
        <w:rPr>
          <w:rFonts w:ascii="Times New Roman" w:eastAsia="Times New Roman" w:hAnsi="Times New Roman" w:cs="Times New Roman"/>
          <w:color w:val="000000"/>
        </w:rPr>
        <w:t xml:space="preserve">Un approfondimento </w:t>
      </w:r>
      <w:r w:rsidR="00421A2E" w:rsidRPr="008852B4">
        <w:rPr>
          <w:rFonts w:ascii="Times New Roman" w:eastAsia="Times New Roman" w:hAnsi="Times New Roman" w:cs="Times New Roman"/>
          <w:color w:val="000000"/>
        </w:rPr>
        <w:t xml:space="preserve">ulteriore </w:t>
      </w:r>
      <w:r w:rsidRPr="008852B4">
        <w:rPr>
          <w:rFonts w:ascii="Times New Roman" w:eastAsia="Times New Roman" w:hAnsi="Times New Roman" w:cs="Times New Roman"/>
          <w:color w:val="000000"/>
        </w:rPr>
        <w:t xml:space="preserve">di questo tema seguirà </w:t>
      </w:r>
      <w:r w:rsidR="0097258B" w:rsidRPr="008852B4">
        <w:rPr>
          <w:rFonts w:ascii="Times New Roman" w:eastAsia="Times New Roman" w:hAnsi="Times New Roman" w:cs="Times New Roman"/>
          <w:color w:val="000000"/>
        </w:rPr>
        <w:t xml:space="preserve">nel prossimo </w:t>
      </w:r>
      <w:r w:rsidR="003F7507" w:rsidRPr="008852B4">
        <w:rPr>
          <w:rFonts w:ascii="Times New Roman" w:eastAsia="Times New Roman" w:hAnsi="Times New Roman" w:cs="Times New Roman"/>
          <w:color w:val="000000"/>
        </w:rPr>
        <w:t>sotto</w:t>
      </w:r>
      <w:r w:rsidR="0097258B" w:rsidRPr="008852B4">
        <w:rPr>
          <w:rFonts w:ascii="Times New Roman" w:eastAsia="Times New Roman" w:hAnsi="Times New Roman" w:cs="Times New Roman"/>
          <w:color w:val="000000"/>
        </w:rPr>
        <w:t xml:space="preserve">capitolo, dove </w:t>
      </w:r>
      <w:r w:rsidR="00345F7C" w:rsidRPr="008852B4">
        <w:rPr>
          <w:rFonts w:ascii="Times New Roman" w:eastAsia="Times New Roman" w:hAnsi="Times New Roman" w:cs="Times New Roman"/>
          <w:color w:val="000000"/>
        </w:rPr>
        <w:t xml:space="preserve">sarà </w:t>
      </w:r>
      <w:r w:rsidR="001A05DD">
        <w:rPr>
          <w:rFonts w:ascii="Times New Roman" w:eastAsia="Times New Roman" w:hAnsi="Times New Roman" w:cs="Times New Roman"/>
          <w:color w:val="000000"/>
        </w:rPr>
        <w:t xml:space="preserve">presa in esame </w:t>
      </w:r>
      <w:r w:rsidR="00124720" w:rsidRPr="008852B4">
        <w:rPr>
          <w:rFonts w:ascii="Times New Roman" w:eastAsia="Times New Roman" w:hAnsi="Times New Roman" w:cs="Times New Roman"/>
          <w:color w:val="000000"/>
        </w:rPr>
        <w:t xml:space="preserve">la nozione </w:t>
      </w:r>
      <w:r w:rsidR="00345F7C" w:rsidRPr="008852B4">
        <w:rPr>
          <w:rFonts w:ascii="Times New Roman" w:eastAsia="Times New Roman" w:hAnsi="Times New Roman" w:cs="Times New Roman"/>
          <w:color w:val="000000"/>
        </w:rPr>
        <w:t>d</w:t>
      </w:r>
      <w:r w:rsidR="0065046E" w:rsidRPr="008852B4">
        <w:rPr>
          <w:rFonts w:ascii="Times New Roman" w:eastAsia="Times New Roman" w:hAnsi="Times New Roman" w:cs="Times New Roman"/>
          <w:color w:val="000000"/>
        </w:rPr>
        <w:t>ell</w:t>
      </w:r>
      <w:r w:rsidR="00C1528A">
        <w:rPr>
          <w:rFonts w:ascii="Times New Roman" w:eastAsia="Times New Roman" w:hAnsi="Times New Roman" w:cs="Times New Roman"/>
          <w:color w:val="000000"/>
        </w:rPr>
        <w:t>a caduta (</w:t>
      </w:r>
      <w:r w:rsidR="0097258B" w:rsidRPr="008852B4">
        <w:rPr>
          <w:rFonts w:ascii="Times New Roman" w:eastAsia="Times New Roman" w:hAnsi="Times New Roman" w:cs="Times New Roman"/>
          <w:i/>
          <w:color w:val="000000"/>
        </w:rPr>
        <w:t>Abfall</w:t>
      </w:r>
      <w:r w:rsidR="00C1528A">
        <w:rPr>
          <w:rFonts w:ascii="Times New Roman" w:eastAsia="Times New Roman" w:hAnsi="Times New Roman" w:cs="Times New Roman"/>
          <w:color w:val="000000"/>
        </w:rPr>
        <w:t>).</w:t>
      </w:r>
      <w:r w:rsidR="0097258B" w:rsidRPr="008852B4">
        <w:rPr>
          <w:rFonts w:ascii="Times New Roman" w:eastAsia="Times New Roman" w:hAnsi="Times New Roman" w:cs="Times New Roman"/>
          <w:color w:val="000000"/>
        </w:rPr>
        <w:t xml:space="preserve"> Impiegata da Schelling per giustificare la caduta dell’</w:t>
      </w:r>
      <w:r w:rsidR="0097258B" w:rsidRPr="008852B4">
        <w:rPr>
          <w:rFonts w:ascii="Times New Roman" w:eastAsia="Times New Roman" w:hAnsi="Times New Roman" w:cs="Times New Roman"/>
          <w:i/>
          <w:color w:val="000000"/>
        </w:rPr>
        <w:t>Ideenwelt</w:t>
      </w:r>
      <w:r w:rsidR="0097258B" w:rsidRPr="008852B4">
        <w:rPr>
          <w:rFonts w:ascii="Times New Roman" w:eastAsia="Times New Roman" w:hAnsi="Times New Roman" w:cs="Times New Roman"/>
          <w:color w:val="000000"/>
        </w:rPr>
        <w:t xml:space="preserve"> nella </w:t>
      </w:r>
      <w:r w:rsidR="0097258B" w:rsidRPr="008852B4">
        <w:rPr>
          <w:rFonts w:ascii="Times New Roman" w:eastAsia="Times New Roman" w:hAnsi="Times New Roman" w:cs="Times New Roman"/>
          <w:i/>
          <w:color w:val="000000"/>
        </w:rPr>
        <w:t>Endlichkeit</w:t>
      </w:r>
      <w:r w:rsidR="0097258B" w:rsidRPr="008852B4">
        <w:rPr>
          <w:rFonts w:ascii="Times New Roman" w:eastAsia="Times New Roman" w:hAnsi="Times New Roman" w:cs="Times New Roman"/>
          <w:color w:val="000000"/>
        </w:rPr>
        <w:t xml:space="preserve">, </w:t>
      </w:r>
      <w:r w:rsidR="00345F7C" w:rsidRPr="008852B4">
        <w:rPr>
          <w:rFonts w:ascii="Times New Roman" w:eastAsia="Times New Roman" w:hAnsi="Times New Roman" w:cs="Times New Roman"/>
          <w:color w:val="000000"/>
        </w:rPr>
        <w:t xml:space="preserve">la </w:t>
      </w:r>
      <w:r w:rsidR="00345F7C" w:rsidRPr="008852B4">
        <w:rPr>
          <w:rFonts w:ascii="Times New Roman" w:eastAsia="Times New Roman" w:hAnsi="Times New Roman" w:cs="Times New Roman"/>
          <w:i/>
          <w:color w:val="000000"/>
        </w:rPr>
        <w:t>caduta</w:t>
      </w:r>
      <w:r w:rsidR="00345F7C" w:rsidRPr="008852B4">
        <w:rPr>
          <w:rFonts w:ascii="Times New Roman" w:eastAsia="Times New Roman" w:hAnsi="Times New Roman" w:cs="Times New Roman"/>
          <w:color w:val="000000"/>
        </w:rPr>
        <w:t xml:space="preserve"> troverà un</w:t>
      </w:r>
      <w:r w:rsidR="009E147C">
        <w:rPr>
          <w:rFonts w:ascii="Times New Roman" w:eastAsia="Times New Roman" w:hAnsi="Times New Roman" w:cs="Times New Roman"/>
          <w:color w:val="000000"/>
        </w:rPr>
        <w:t>a</w:t>
      </w:r>
      <w:r w:rsidR="00345F7C" w:rsidRPr="008852B4">
        <w:rPr>
          <w:rFonts w:ascii="Times New Roman" w:eastAsia="Times New Roman" w:hAnsi="Times New Roman" w:cs="Times New Roman"/>
          <w:color w:val="000000"/>
        </w:rPr>
        <w:t xml:space="preserve"> sua collocazione teorica</w:t>
      </w:r>
      <w:r w:rsidR="0097258B" w:rsidRPr="008852B4">
        <w:rPr>
          <w:rFonts w:ascii="Times New Roman" w:eastAsia="Times New Roman" w:hAnsi="Times New Roman" w:cs="Times New Roman"/>
          <w:color w:val="000000"/>
        </w:rPr>
        <w:t xml:space="preserve"> nella metafisica</w:t>
      </w:r>
      <w:r w:rsidR="00B36953" w:rsidRPr="008852B4">
        <w:rPr>
          <w:rFonts w:ascii="Times New Roman" w:eastAsia="Times New Roman" w:hAnsi="Times New Roman" w:cs="Times New Roman"/>
          <w:color w:val="000000"/>
        </w:rPr>
        <w:t xml:space="preserve"> di Jena</w:t>
      </w:r>
      <w:r w:rsidR="00F11819" w:rsidRPr="008852B4">
        <w:rPr>
          <w:rFonts w:ascii="Times New Roman" w:eastAsia="Times New Roman" w:hAnsi="Times New Roman" w:cs="Times New Roman"/>
          <w:color w:val="000000"/>
        </w:rPr>
        <w:t>, precisamente n</w:t>
      </w:r>
      <w:r w:rsidR="0097258B" w:rsidRPr="008852B4">
        <w:rPr>
          <w:rFonts w:ascii="Times New Roman" w:eastAsia="Times New Roman" w:hAnsi="Times New Roman" w:cs="Times New Roman"/>
          <w:color w:val="000000"/>
        </w:rPr>
        <w:t>ell’</w:t>
      </w:r>
      <w:r w:rsidR="0097258B" w:rsidRPr="008852B4">
        <w:rPr>
          <w:rFonts w:ascii="Times New Roman" w:eastAsia="Times New Roman" w:hAnsi="Times New Roman" w:cs="Times New Roman"/>
          <w:i/>
          <w:color w:val="000000"/>
        </w:rPr>
        <w:t>Absoluter Geist</w:t>
      </w:r>
      <w:r w:rsidR="0097258B" w:rsidRPr="008852B4">
        <w:rPr>
          <w:rFonts w:ascii="Times New Roman" w:eastAsia="Times New Roman" w:hAnsi="Times New Roman" w:cs="Times New Roman"/>
          <w:color w:val="000000"/>
        </w:rPr>
        <w:t xml:space="preserve">. </w:t>
      </w:r>
      <w:r w:rsidR="00B36953" w:rsidRPr="008852B4">
        <w:rPr>
          <w:rFonts w:ascii="Times New Roman" w:eastAsia="Times New Roman" w:hAnsi="Times New Roman" w:cs="Times New Roman"/>
          <w:color w:val="000000"/>
        </w:rPr>
        <w:t xml:space="preserve">Come si può immaginare, la gamma di riferimenti che la </w:t>
      </w:r>
      <w:r w:rsidR="00B36953" w:rsidRPr="008852B4">
        <w:rPr>
          <w:rFonts w:ascii="Times New Roman" w:eastAsia="Times New Roman" w:hAnsi="Times New Roman" w:cs="Times New Roman"/>
          <w:i/>
          <w:color w:val="000000"/>
        </w:rPr>
        <w:t xml:space="preserve">caduta </w:t>
      </w:r>
      <w:r w:rsidR="00B36953" w:rsidRPr="008852B4">
        <w:rPr>
          <w:rFonts w:ascii="Times New Roman" w:eastAsia="Times New Roman" w:hAnsi="Times New Roman" w:cs="Times New Roman"/>
          <w:color w:val="000000"/>
        </w:rPr>
        <w:t>chiama in causa è ricchissima. Fra di essi spicca anche la riflessione böhmiana, della quale si cercherà di sottolineare l’incidenza sull’ultimo e decisivo passaggio della metafisica della soggettività.</w:t>
      </w:r>
    </w:p>
    <w:p w14:paraId="2252F649" w14:textId="77777777" w:rsidR="0008653D" w:rsidRDefault="0008653D" w:rsidP="007810A9">
      <w:pPr>
        <w:spacing w:line="360" w:lineRule="auto"/>
        <w:jc w:val="both"/>
        <w:rPr>
          <w:rFonts w:ascii="Times New Roman" w:eastAsia="Times New Roman" w:hAnsi="Times New Roman" w:cs="Times New Roman"/>
          <w:color w:val="000000"/>
        </w:rPr>
      </w:pPr>
    </w:p>
    <w:p w14:paraId="15E29277" w14:textId="33EA0EC0" w:rsidR="008F2D07" w:rsidRPr="00B81148" w:rsidRDefault="005603B2" w:rsidP="007810A9">
      <w:pPr>
        <w:spacing w:line="360" w:lineRule="auto"/>
        <w:jc w:val="both"/>
        <w:rPr>
          <w:rFonts w:ascii="Times New Roman" w:hAnsi="Times New Roman" w:cs="Times New Roman"/>
          <w:i/>
        </w:rPr>
      </w:pPr>
      <w:r>
        <w:rPr>
          <w:rFonts w:ascii="Times New Roman" w:hAnsi="Times New Roman" w:cs="Times New Roman"/>
          <w:i/>
        </w:rPr>
        <w:t>1</w:t>
      </w:r>
      <w:r w:rsidR="00D937BA">
        <w:rPr>
          <w:rFonts w:ascii="Times New Roman" w:hAnsi="Times New Roman" w:cs="Times New Roman"/>
          <w:i/>
        </w:rPr>
        <w:t>.</w:t>
      </w:r>
      <w:r w:rsidR="00C66060">
        <w:rPr>
          <w:rFonts w:ascii="Times New Roman" w:hAnsi="Times New Roman" w:cs="Times New Roman"/>
          <w:i/>
        </w:rPr>
        <w:t>8</w:t>
      </w:r>
      <w:r w:rsidR="00722A80" w:rsidRPr="00B81148">
        <w:rPr>
          <w:rFonts w:ascii="Times New Roman" w:hAnsi="Times New Roman" w:cs="Times New Roman"/>
          <w:i/>
        </w:rPr>
        <w:t xml:space="preserve"> La caduta</w:t>
      </w:r>
      <w:r w:rsidR="00420587">
        <w:rPr>
          <w:rFonts w:ascii="Times New Roman" w:hAnsi="Times New Roman" w:cs="Times New Roman"/>
          <w:i/>
        </w:rPr>
        <w:t>,</w:t>
      </w:r>
      <w:r w:rsidR="00722A80" w:rsidRPr="00B81148">
        <w:rPr>
          <w:rFonts w:ascii="Times New Roman" w:hAnsi="Times New Roman" w:cs="Times New Roman"/>
          <w:i/>
        </w:rPr>
        <w:t xml:space="preserve"> o</w:t>
      </w:r>
      <w:r w:rsidR="008F2D07" w:rsidRPr="00B81148">
        <w:rPr>
          <w:rFonts w:ascii="Times New Roman" w:hAnsi="Times New Roman" w:cs="Times New Roman"/>
          <w:i/>
        </w:rPr>
        <w:t xml:space="preserve"> la riflessività dello spirito</w:t>
      </w:r>
      <w:r w:rsidR="00420587">
        <w:rPr>
          <w:rFonts w:ascii="Times New Roman" w:hAnsi="Times New Roman" w:cs="Times New Roman"/>
          <w:i/>
        </w:rPr>
        <w:t>,</w:t>
      </w:r>
      <w:r w:rsidR="008F2D07" w:rsidRPr="00B81148">
        <w:rPr>
          <w:rFonts w:ascii="Times New Roman" w:hAnsi="Times New Roman" w:cs="Times New Roman"/>
          <w:i/>
        </w:rPr>
        <w:t xml:space="preserve"> nella sezione dell’Absoluter Geist </w:t>
      </w:r>
      <w:r w:rsidR="00290B71">
        <w:rPr>
          <w:rFonts w:ascii="Times New Roman" w:hAnsi="Times New Roman" w:cs="Times New Roman"/>
          <w:i/>
        </w:rPr>
        <w:t xml:space="preserve">della </w:t>
      </w:r>
      <w:r w:rsidR="00290B71" w:rsidRPr="00290B71">
        <w:rPr>
          <w:rFonts w:ascii="Times New Roman" w:hAnsi="Times New Roman" w:cs="Times New Roman"/>
        </w:rPr>
        <w:t>Jenaer Metaphysik</w:t>
      </w:r>
    </w:p>
    <w:p w14:paraId="09C50F5D" w14:textId="77777777" w:rsidR="008F2D07" w:rsidRPr="00B81148" w:rsidRDefault="008F2D07" w:rsidP="007810A9">
      <w:pPr>
        <w:spacing w:line="360" w:lineRule="auto"/>
        <w:jc w:val="both"/>
        <w:rPr>
          <w:rFonts w:ascii="Times New Roman" w:eastAsia="Times New Roman" w:hAnsi="Times New Roman" w:cs="Times New Roman"/>
          <w:color w:val="000000"/>
        </w:rPr>
      </w:pPr>
    </w:p>
    <w:p w14:paraId="2082680D" w14:textId="3A869EC0" w:rsidR="008852B4" w:rsidRPr="008852B4" w:rsidRDefault="00ED62D8" w:rsidP="007810A9">
      <w:pPr>
        <w:spacing w:line="360" w:lineRule="auto"/>
        <w:ind w:firstLine="567"/>
        <w:jc w:val="both"/>
        <w:rPr>
          <w:rFonts w:ascii="Times New Roman" w:eastAsia="Times New Roman" w:hAnsi="Times New Roman" w:cs="Times New Roman"/>
          <w:color w:val="000000"/>
        </w:rPr>
      </w:pPr>
      <w:r w:rsidRPr="008852B4">
        <w:rPr>
          <w:rFonts w:ascii="Times New Roman" w:eastAsia="Times New Roman" w:hAnsi="Times New Roman" w:cs="Times New Roman"/>
          <w:color w:val="000000"/>
        </w:rPr>
        <w:t>I</w:t>
      </w:r>
      <w:r w:rsidR="005135AF" w:rsidRPr="008852B4">
        <w:rPr>
          <w:rFonts w:ascii="Times New Roman" w:eastAsia="Times New Roman" w:hAnsi="Times New Roman" w:cs="Times New Roman"/>
          <w:color w:val="000000"/>
        </w:rPr>
        <w:t>l super</w:t>
      </w:r>
      <w:r w:rsidR="00096804" w:rsidRPr="008852B4">
        <w:rPr>
          <w:rFonts w:ascii="Times New Roman" w:eastAsia="Times New Roman" w:hAnsi="Times New Roman" w:cs="Times New Roman"/>
          <w:color w:val="000000"/>
        </w:rPr>
        <w:t>a</w:t>
      </w:r>
      <w:r w:rsidR="005135AF" w:rsidRPr="008852B4">
        <w:rPr>
          <w:rFonts w:ascii="Times New Roman" w:eastAsia="Times New Roman" w:hAnsi="Times New Roman" w:cs="Times New Roman"/>
          <w:color w:val="000000"/>
        </w:rPr>
        <w:t>mento d</w:t>
      </w:r>
      <w:r w:rsidR="00D74F8B" w:rsidRPr="008852B4">
        <w:rPr>
          <w:rFonts w:ascii="Times New Roman" w:eastAsia="Times New Roman" w:hAnsi="Times New Roman" w:cs="Times New Roman"/>
          <w:color w:val="000000"/>
        </w:rPr>
        <w:t>el</w:t>
      </w:r>
      <w:r w:rsidR="00290DF7" w:rsidRPr="008852B4">
        <w:rPr>
          <w:rFonts w:ascii="Times New Roman" w:eastAsia="Times New Roman" w:hAnsi="Times New Roman" w:cs="Times New Roman"/>
          <w:color w:val="000000"/>
        </w:rPr>
        <w:t>l</w:t>
      </w:r>
      <w:r w:rsidR="00BB7B4E" w:rsidRPr="008852B4">
        <w:rPr>
          <w:rFonts w:ascii="Times New Roman" w:eastAsia="Times New Roman" w:hAnsi="Times New Roman" w:cs="Times New Roman"/>
          <w:color w:val="000000"/>
        </w:rPr>
        <w:t>a filosofia della religione</w:t>
      </w:r>
      <w:r w:rsidR="00D74F8B" w:rsidRPr="008852B4">
        <w:rPr>
          <w:rFonts w:ascii="Times New Roman" w:eastAsia="Times New Roman" w:hAnsi="Times New Roman" w:cs="Times New Roman"/>
          <w:color w:val="000000"/>
        </w:rPr>
        <w:t xml:space="preserve"> </w:t>
      </w:r>
      <w:r w:rsidR="00912E4C" w:rsidRPr="008852B4">
        <w:rPr>
          <w:rFonts w:ascii="Times New Roman" w:eastAsia="Times New Roman" w:hAnsi="Times New Roman" w:cs="Times New Roman"/>
          <w:color w:val="000000"/>
        </w:rPr>
        <w:t xml:space="preserve">kantiana </w:t>
      </w:r>
      <w:r w:rsidR="00D74F8B" w:rsidRPr="008852B4">
        <w:rPr>
          <w:rFonts w:ascii="Times New Roman" w:eastAsia="Times New Roman" w:hAnsi="Times New Roman" w:cs="Times New Roman"/>
          <w:color w:val="000000"/>
        </w:rPr>
        <w:t>e d</w:t>
      </w:r>
      <w:r w:rsidR="005135AF" w:rsidRPr="008852B4">
        <w:rPr>
          <w:rFonts w:ascii="Times New Roman" w:eastAsia="Times New Roman" w:hAnsi="Times New Roman" w:cs="Times New Roman"/>
          <w:color w:val="000000"/>
        </w:rPr>
        <w:t xml:space="preserve">ello spinozismo </w:t>
      </w:r>
      <w:r w:rsidR="00D74F8B" w:rsidRPr="008852B4">
        <w:rPr>
          <w:rFonts w:ascii="Times New Roman" w:eastAsia="Times New Roman" w:hAnsi="Times New Roman" w:cs="Times New Roman"/>
          <w:color w:val="000000"/>
        </w:rPr>
        <w:t>è</w:t>
      </w:r>
      <w:r w:rsidRPr="008852B4">
        <w:rPr>
          <w:rFonts w:ascii="Times New Roman" w:eastAsia="Times New Roman" w:hAnsi="Times New Roman" w:cs="Times New Roman"/>
          <w:color w:val="000000"/>
        </w:rPr>
        <w:t xml:space="preserve"> </w:t>
      </w:r>
      <w:r w:rsidR="00D74F8B" w:rsidRPr="008852B4">
        <w:rPr>
          <w:rFonts w:ascii="Times New Roman" w:eastAsia="Times New Roman" w:hAnsi="Times New Roman" w:cs="Times New Roman"/>
          <w:color w:val="000000"/>
        </w:rPr>
        <w:t>l’obiettivo perseguito</w:t>
      </w:r>
      <w:r w:rsidR="0092131F" w:rsidRPr="008852B4">
        <w:rPr>
          <w:rFonts w:ascii="Times New Roman" w:eastAsia="Times New Roman" w:hAnsi="Times New Roman" w:cs="Times New Roman"/>
          <w:color w:val="000000"/>
        </w:rPr>
        <w:t xml:space="preserve"> da Hegel nella sezione dell</w:t>
      </w:r>
      <w:r w:rsidR="005135AF" w:rsidRPr="008852B4">
        <w:rPr>
          <w:rFonts w:ascii="Times New Roman" w:eastAsia="Times New Roman" w:hAnsi="Times New Roman" w:cs="Times New Roman"/>
          <w:color w:val="000000"/>
        </w:rPr>
        <w:t>’</w:t>
      </w:r>
      <w:r w:rsidR="005135AF" w:rsidRPr="008852B4">
        <w:rPr>
          <w:rFonts w:ascii="Times New Roman" w:eastAsia="Times New Roman" w:hAnsi="Times New Roman" w:cs="Times New Roman"/>
          <w:i/>
          <w:color w:val="000000"/>
        </w:rPr>
        <w:t>Höchstes Wesen</w:t>
      </w:r>
      <w:r w:rsidR="005135AF" w:rsidRPr="008852B4">
        <w:rPr>
          <w:rFonts w:ascii="Times New Roman" w:eastAsia="Times New Roman" w:hAnsi="Times New Roman" w:cs="Times New Roman"/>
          <w:color w:val="000000"/>
        </w:rPr>
        <w:t>. Più che con un risultato, questa sezione si chiude con un proposito:</w:t>
      </w:r>
      <w:r w:rsidR="00722A80" w:rsidRPr="008852B4">
        <w:rPr>
          <w:rFonts w:ascii="Times New Roman" w:eastAsia="Times New Roman" w:hAnsi="Times New Roman" w:cs="Times New Roman"/>
          <w:color w:val="000000"/>
        </w:rPr>
        <w:t xml:space="preserve"> l’Assoluto non può ridursi ad un astratto essere in </w:t>
      </w:r>
      <w:r w:rsidR="005135AF" w:rsidRPr="008852B4">
        <w:rPr>
          <w:rFonts w:ascii="Times New Roman" w:eastAsia="Times New Roman" w:hAnsi="Times New Roman" w:cs="Times New Roman"/>
          <w:color w:val="000000"/>
        </w:rPr>
        <w:t xml:space="preserve">sé, ma deve essere </w:t>
      </w:r>
      <w:r w:rsidR="00722A80" w:rsidRPr="008852B4">
        <w:rPr>
          <w:rFonts w:ascii="Times New Roman" w:eastAsia="Times New Roman" w:hAnsi="Times New Roman" w:cs="Times New Roman"/>
          <w:color w:val="000000"/>
        </w:rPr>
        <w:t>colt</w:t>
      </w:r>
      <w:r w:rsidR="005135AF" w:rsidRPr="008852B4">
        <w:rPr>
          <w:rFonts w:ascii="Times New Roman" w:eastAsia="Times New Roman" w:hAnsi="Times New Roman" w:cs="Times New Roman"/>
          <w:color w:val="000000"/>
        </w:rPr>
        <w:t xml:space="preserve">o </w:t>
      </w:r>
      <w:r w:rsidR="00722A80" w:rsidRPr="008852B4">
        <w:rPr>
          <w:rFonts w:ascii="Times New Roman" w:eastAsia="Times New Roman" w:hAnsi="Times New Roman" w:cs="Times New Roman"/>
          <w:color w:val="000000"/>
        </w:rPr>
        <w:t>i</w:t>
      </w:r>
      <w:r w:rsidR="005135AF" w:rsidRPr="008852B4">
        <w:rPr>
          <w:rFonts w:ascii="Times New Roman" w:eastAsia="Times New Roman" w:hAnsi="Times New Roman" w:cs="Times New Roman"/>
          <w:color w:val="000000"/>
        </w:rPr>
        <w:t>n</w:t>
      </w:r>
      <w:r w:rsidR="00EA3EDA" w:rsidRPr="008852B4">
        <w:rPr>
          <w:rFonts w:ascii="Times New Roman" w:eastAsia="Times New Roman" w:hAnsi="Times New Roman" w:cs="Times New Roman"/>
          <w:color w:val="000000"/>
        </w:rPr>
        <w:t>-</w:t>
      </w:r>
      <w:r w:rsidR="005135AF" w:rsidRPr="008852B4">
        <w:rPr>
          <w:rFonts w:ascii="Times New Roman" w:eastAsia="Times New Roman" w:hAnsi="Times New Roman" w:cs="Times New Roman"/>
          <w:color w:val="000000"/>
        </w:rPr>
        <w:t>sè-e-pe</w:t>
      </w:r>
      <w:r w:rsidR="00722A80" w:rsidRPr="008852B4">
        <w:rPr>
          <w:rFonts w:ascii="Times New Roman" w:eastAsia="Times New Roman" w:hAnsi="Times New Roman" w:cs="Times New Roman"/>
          <w:color w:val="000000"/>
        </w:rPr>
        <w:t xml:space="preserve">r-sé, ossia come </w:t>
      </w:r>
      <w:r w:rsidR="008816D3" w:rsidRPr="008852B4">
        <w:rPr>
          <w:rFonts w:ascii="Times New Roman" w:eastAsia="Times New Roman" w:hAnsi="Times New Roman" w:cs="Times New Roman"/>
          <w:i/>
          <w:color w:val="000000"/>
        </w:rPr>
        <w:t>fondamento</w:t>
      </w:r>
      <w:r w:rsidR="008816D3" w:rsidRPr="008852B4">
        <w:rPr>
          <w:rFonts w:ascii="Times New Roman" w:eastAsia="Times New Roman" w:hAnsi="Times New Roman" w:cs="Times New Roman"/>
          <w:color w:val="000000"/>
        </w:rPr>
        <w:t xml:space="preserve"> </w:t>
      </w:r>
      <w:r w:rsidR="005135AF" w:rsidRPr="008852B4">
        <w:rPr>
          <w:rFonts w:ascii="Times New Roman" w:eastAsia="Times New Roman" w:hAnsi="Times New Roman" w:cs="Times New Roman"/>
          <w:color w:val="000000"/>
        </w:rPr>
        <w:t>del principio</w:t>
      </w:r>
      <w:r w:rsidR="00581750" w:rsidRPr="008852B4">
        <w:rPr>
          <w:rFonts w:ascii="Times New Roman" w:eastAsia="Times New Roman" w:hAnsi="Times New Roman" w:cs="Times New Roman"/>
          <w:color w:val="000000"/>
        </w:rPr>
        <w:t xml:space="preserve"> buono</w:t>
      </w:r>
      <w:r w:rsidR="00135616">
        <w:rPr>
          <w:rFonts w:ascii="Times New Roman" w:eastAsia="Times New Roman" w:hAnsi="Times New Roman" w:cs="Times New Roman"/>
          <w:color w:val="000000"/>
        </w:rPr>
        <w:t xml:space="preserve"> (luce)</w:t>
      </w:r>
      <w:r w:rsidR="00581750" w:rsidRPr="008852B4">
        <w:rPr>
          <w:rFonts w:ascii="Times New Roman" w:eastAsia="Times New Roman" w:hAnsi="Times New Roman" w:cs="Times New Roman"/>
          <w:color w:val="000000"/>
        </w:rPr>
        <w:t xml:space="preserve"> e del principio cattivo</w:t>
      </w:r>
      <w:r w:rsidR="00135616">
        <w:rPr>
          <w:rFonts w:ascii="Times New Roman" w:eastAsia="Times New Roman" w:hAnsi="Times New Roman" w:cs="Times New Roman"/>
          <w:color w:val="000000"/>
        </w:rPr>
        <w:t xml:space="preserve"> (tenebra)</w:t>
      </w:r>
      <w:r w:rsidR="00581750" w:rsidRPr="008852B4">
        <w:rPr>
          <w:rFonts w:ascii="Times New Roman" w:eastAsia="Times New Roman" w:hAnsi="Times New Roman" w:cs="Times New Roman"/>
          <w:color w:val="000000"/>
        </w:rPr>
        <w:t xml:space="preserve">. </w:t>
      </w:r>
      <w:r w:rsidR="009E4DD8" w:rsidRPr="008852B4">
        <w:rPr>
          <w:rFonts w:ascii="Times New Roman" w:eastAsia="Times New Roman" w:hAnsi="Times New Roman" w:cs="Times New Roman"/>
          <w:color w:val="000000"/>
        </w:rPr>
        <w:t>Nella metafisica della soggettività, d</w:t>
      </w:r>
      <w:r w:rsidR="00722A80" w:rsidRPr="008852B4">
        <w:rPr>
          <w:rFonts w:ascii="Times New Roman" w:eastAsia="Times New Roman" w:hAnsi="Times New Roman" w:cs="Times New Roman"/>
          <w:color w:val="000000"/>
        </w:rPr>
        <w:t>efinire il ruolo dell’opposizione –</w:t>
      </w:r>
      <w:r w:rsidR="005135AF" w:rsidRPr="008852B4">
        <w:rPr>
          <w:rFonts w:ascii="Times New Roman" w:eastAsia="Times New Roman" w:hAnsi="Times New Roman" w:cs="Times New Roman"/>
          <w:color w:val="000000"/>
        </w:rPr>
        <w:t xml:space="preserve"> dell’essere </w:t>
      </w:r>
      <w:r w:rsidR="00876430" w:rsidRPr="008852B4">
        <w:rPr>
          <w:rFonts w:ascii="Times New Roman" w:eastAsia="Times New Roman" w:hAnsi="Times New Roman" w:cs="Times New Roman"/>
          <w:color w:val="000000"/>
        </w:rPr>
        <w:t xml:space="preserve">per sé </w:t>
      </w:r>
      <w:r w:rsidR="005135AF" w:rsidRPr="008852B4">
        <w:rPr>
          <w:rFonts w:ascii="Times New Roman" w:eastAsia="Times New Roman" w:hAnsi="Times New Roman" w:cs="Times New Roman"/>
          <w:color w:val="000000"/>
        </w:rPr>
        <w:t xml:space="preserve">o del </w:t>
      </w:r>
      <w:r w:rsidR="005135AF" w:rsidRPr="008852B4">
        <w:rPr>
          <w:rFonts w:ascii="Times New Roman" w:eastAsia="Times New Roman" w:hAnsi="Times New Roman" w:cs="Times New Roman"/>
          <w:i/>
          <w:color w:val="000000"/>
        </w:rPr>
        <w:t>böses Prinzip</w:t>
      </w:r>
      <w:r w:rsidR="00722A80" w:rsidRPr="008852B4">
        <w:rPr>
          <w:rFonts w:ascii="Times New Roman" w:eastAsia="Times New Roman" w:hAnsi="Times New Roman" w:cs="Times New Roman"/>
          <w:color w:val="000000"/>
        </w:rPr>
        <w:t xml:space="preserve"> – </w:t>
      </w:r>
      <w:r w:rsidR="005135AF" w:rsidRPr="008852B4">
        <w:rPr>
          <w:rFonts w:ascii="Times New Roman" w:eastAsia="Times New Roman" w:hAnsi="Times New Roman" w:cs="Times New Roman"/>
          <w:color w:val="000000"/>
        </w:rPr>
        <w:t xml:space="preserve">nel </w:t>
      </w:r>
      <w:r w:rsidR="005135AF" w:rsidRPr="008852B4">
        <w:rPr>
          <w:rFonts w:ascii="Times New Roman" w:eastAsia="Times New Roman" w:hAnsi="Times New Roman" w:cs="Times New Roman"/>
          <w:i/>
          <w:color w:val="000000"/>
        </w:rPr>
        <w:t>Lebenslauf Gottes</w:t>
      </w:r>
      <w:r w:rsidR="00DB4889" w:rsidRPr="008852B4">
        <w:rPr>
          <w:rFonts w:ascii="Times New Roman" w:eastAsia="Times New Roman" w:hAnsi="Times New Roman" w:cs="Times New Roman"/>
          <w:color w:val="000000"/>
        </w:rPr>
        <w:t xml:space="preserve"> significa </w:t>
      </w:r>
      <w:r w:rsidR="008816D3" w:rsidRPr="008852B4">
        <w:rPr>
          <w:rFonts w:ascii="Times New Roman" w:eastAsia="Times New Roman" w:hAnsi="Times New Roman" w:cs="Times New Roman"/>
          <w:color w:val="000000"/>
        </w:rPr>
        <w:t>determina</w:t>
      </w:r>
      <w:r w:rsidR="00722A80" w:rsidRPr="008852B4">
        <w:rPr>
          <w:rFonts w:ascii="Times New Roman" w:eastAsia="Times New Roman" w:hAnsi="Times New Roman" w:cs="Times New Roman"/>
          <w:color w:val="000000"/>
        </w:rPr>
        <w:t xml:space="preserve">re </w:t>
      </w:r>
      <w:r w:rsidR="005135AF" w:rsidRPr="008852B4">
        <w:rPr>
          <w:rFonts w:ascii="Times New Roman" w:eastAsia="Times New Roman" w:hAnsi="Times New Roman" w:cs="Times New Roman"/>
          <w:color w:val="000000"/>
        </w:rPr>
        <w:t>le condi</w:t>
      </w:r>
      <w:r w:rsidR="009E4DD8" w:rsidRPr="008852B4">
        <w:rPr>
          <w:rFonts w:ascii="Times New Roman" w:eastAsia="Times New Roman" w:hAnsi="Times New Roman" w:cs="Times New Roman"/>
          <w:color w:val="000000"/>
        </w:rPr>
        <w:t>zioni a</w:t>
      </w:r>
      <w:r w:rsidR="008852B4" w:rsidRPr="008852B4">
        <w:rPr>
          <w:rFonts w:ascii="Times New Roman" w:eastAsia="Times New Roman" w:hAnsi="Times New Roman" w:cs="Times New Roman"/>
          <w:color w:val="000000"/>
        </w:rPr>
        <w:t xml:space="preserve"> partire dalle quali l’Assoluto, </w:t>
      </w:r>
      <w:r w:rsidR="009E4DD8" w:rsidRPr="008852B4">
        <w:rPr>
          <w:rFonts w:ascii="Times New Roman" w:eastAsia="Times New Roman" w:hAnsi="Times New Roman" w:cs="Times New Roman"/>
          <w:color w:val="000000"/>
        </w:rPr>
        <w:t xml:space="preserve">in sé negativo, </w:t>
      </w:r>
      <w:r w:rsidR="008D3D63" w:rsidRPr="008852B4">
        <w:rPr>
          <w:rFonts w:ascii="Times New Roman" w:eastAsia="Times New Roman" w:hAnsi="Times New Roman" w:cs="Times New Roman"/>
          <w:color w:val="000000"/>
        </w:rPr>
        <w:t>pone sé come l’altro da sé e torna</w:t>
      </w:r>
      <w:r w:rsidR="009E4DD8" w:rsidRPr="008852B4">
        <w:rPr>
          <w:rFonts w:ascii="Times New Roman" w:eastAsia="Times New Roman" w:hAnsi="Times New Roman" w:cs="Times New Roman"/>
          <w:color w:val="000000"/>
        </w:rPr>
        <w:t xml:space="preserve"> a sé da</w:t>
      </w:r>
      <w:r w:rsidR="008816D3" w:rsidRPr="008852B4">
        <w:rPr>
          <w:rFonts w:ascii="Times New Roman" w:eastAsia="Times New Roman" w:hAnsi="Times New Roman" w:cs="Times New Roman"/>
          <w:color w:val="000000"/>
        </w:rPr>
        <w:t xml:space="preserve">l proprio </w:t>
      </w:r>
      <w:r w:rsidR="008816D3" w:rsidRPr="008852B4">
        <w:rPr>
          <w:rFonts w:ascii="Times New Roman" w:eastAsia="Times New Roman" w:hAnsi="Times New Roman" w:cs="Times New Roman"/>
          <w:i/>
          <w:color w:val="000000"/>
        </w:rPr>
        <w:t>Andersseyn</w:t>
      </w:r>
      <w:r w:rsidR="005135AF" w:rsidRPr="008852B4">
        <w:rPr>
          <w:rFonts w:ascii="Times New Roman" w:eastAsia="Times New Roman" w:hAnsi="Times New Roman" w:cs="Times New Roman"/>
          <w:color w:val="000000"/>
        </w:rPr>
        <w:t>.</w:t>
      </w:r>
      <w:r w:rsidR="00722A80" w:rsidRPr="008852B4">
        <w:rPr>
          <w:rFonts w:ascii="Times New Roman" w:eastAsia="Times New Roman" w:hAnsi="Times New Roman" w:cs="Times New Roman"/>
          <w:color w:val="000000"/>
        </w:rPr>
        <w:t xml:space="preserve"> </w:t>
      </w:r>
    </w:p>
    <w:p w14:paraId="0DE795C3" w14:textId="46330E5F" w:rsidR="006E6749" w:rsidRPr="00F84BC5" w:rsidRDefault="00722A80" w:rsidP="008852B4">
      <w:pPr>
        <w:spacing w:line="360" w:lineRule="auto"/>
        <w:ind w:firstLine="567"/>
        <w:jc w:val="both"/>
        <w:rPr>
          <w:rFonts w:ascii="Times New Roman" w:eastAsia="Times New Roman" w:hAnsi="Times New Roman" w:cs="Times New Roman"/>
          <w:color w:val="000000"/>
        </w:rPr>
      </w:pPr>
      <w:r w:rsidRPr="008852B4">
        <w:rPr>
          <w:rFonts w:ascii="Times New Roman" w:eastAsia="Times New Roman" w:hAnsi="Times New Roman" w:cs="Times New Roman"/>
          <w:color w:val="000000"/>
        </w:rPr>
        <w:t>In un primo momento</w:t>
      </w:r>
      <w:r w:rsidR="005135AF" w:rsidRPr="008852B4">
        <w:rPr>
          <w:rFonts w:ascii="Times New Roman" w:eastAsia="Times New Roman" w:hAnsi="Times New Roman" w:cs="Times New Roman"/>
          <w:color w:val="000000"/>
        </w:rPr>
        <w:t xml:space="preserve">, </w:t>
      </w:r>
      <w:r w:rsidR="00F80F24" w:rsidRPr="008852B4">
        <w:rPr>
          <w:rFonts w:ascii="Times New Roman" w:eastAsia="Times New Roman" w:hAnsi="Times New Roman" w:cs="Times New Roman"/>
          <w:color w:val="000000"/>
        </w:rPr>
        <w:t>Hegel sembra individuare nel</w:t>
      </w:r>
      <w:r w:rsidRPr="008852B4">
        <w:rPr>
          <w:rFonts w:ascii="Times New Roman" w:eastAsia="Times New Roman" w:hAnsi="Times New Roman" w:cs="Times New Roman"/>
          <w:color w:val="000000"/>
        </w:rPr>
        <w:t xml:space="preserve">l’Io </w:t>
      </w:r>
      <w:r w:rsidR="005135AF" w:rsidRPr="008852B4">
        <w:rPr>
          <w:rFonts w:ascii="Times New Roman" w:eastAsia="Times New Roman" w:hAnsi="Times New Roman" w:cs="Times New Roman"/>
          <w:color w:val="000000"/>
        </w:rPr>
        <w:t>quella struttura teoretico-relazional</w:t>
      </w:r>
      <w:r w:rsidR="001839E3">
        <w:rPr>
          <w:rFonts w:ascii="Times New Roman" w:eastAsia="Times New Roman" w:hAnsi="Times New Roman" w:cs="Times New Roman"/>
          <w:color w:val="000000"/>
        </w:rPr>
        <w:t>e capace di dispiegare e</w:t>
      </w:r>
      <w:r w:rsidR="008816D3" w:rsidRPr="008852B4">
        <w:rPr>
          <w:rFonts w:ascii="Times New Roman" w:eastAsia="Times New Roman" w:hAnsi="Times New Roman" w:cs="Times New Roman"/>
          <w:color w:val="000000"/>
        </w:rPr>
        <w:t xml:space="preserve"> riassorbire</w:t>
      </w:r>
      <w:r w:rsidR="005135AF" w:rsidRPr="008852B4">
        <w:rPr>
          <w:rFonts w:ascii="Times New Roman" w:eastAsia="Times New Roman" w:hAnsi="Times New Roman" w:cs="Times New Roman"/>
          <w:color w:val="000000"/>
        </w:rPr>
        <w:t xml:space="preserve"> in sé</w:t>
      </w:r>
      <w:r w:rsidR="007245C7" w:rsidRPr="008852B4">
        <w:rPr>
          <w:rFonts w:ascii="Times New Roman" w:eastAsia="Times New Roman" w:hAnsi="Times New Roman" w:cs="Times New Roman"/>
          <w:color w:val="000000"/>
        </w:rPr>
        <w:t xml:space="preserve"> l’opposizione</w:t>
      </w:r>
      <w:r w:rsidR="004D6BDE" w:rsidRPr="008852B4">
        <w:rPr>
          <w:rFonts w:ascii="Times New Roman" w:eastAsia="Times New Roman" w:hAnsi="Times New Roman" w:cs="Times New Roman"/>
          <w:color w:val="000000"/>
        </w:rPr>
        <w:t>.</w:t>
      </w:r>
      <w:r w:rsidR="00955AF1" w:rsidRPr="00DB4889">
        <w:rPr>
          <w:rFonts w:ascii="Times New Roman" w:eastAsia="Times New Roman" w:hAnsi="Times New Roman" w:cs="Times New Roman"/>
          <w:color w:val="000000"/>
        </w:rPr>
        <w:t xml:space="preserve"> </w:t>
      </w:r>
      <w:r w:rsidR="00AF622B" w:rsidRPr="00F84BC5">
        <w:rPr>
          <w:rFonts w:ascii="Times New Roman" w:eastAsia="Times New Roman" w:hAnsi="Times New Roman" w:cs="Times New Roman"/>
          <w:color w:val="000000"/>
        </w:rPr>
        <w:t xml:space="preserve">A differenza dell’essenza suprema, </w:t>
      </w:r>
      <w:r w:rsidR="00955AF1" w:rsidRPr="00F84BC5">
        <w:rPr>
          <w:rFonts w:ascii="Times New Roman" w:eastAsia="Times New Roman" w:hAnsi="Times New Roman" w:cs="Times New Roman"/>
          <w:color w:val="000000"/>
        </w:rPr>
        <w:t>l’assoluta uguaglianza del</w:t>
      </w:r>
      <w:r w:rsidR="00632F32" w:rsidRPr="00F84BC5">
        <w:rPr>
          <w:rFonts w:ascii="Times New Roman" w:eastAsia="Times New Roman" w:hAnsi="Times New Roman" w:cs="Times New Roman"/>
          <w:color w:val="000000"/>
        </w:rPr>
        <w:t>l’I</w:t>
      </w:r>
      <w:r w:rsidR="004D6BDE" w:rsidRPr="00F84BC5">
        <w:rPr>
          <w:rFonts w:ascii="Times New Roman" w:eastAsia="Times New Roman" w:hAnsi="Times New Roman" w:cs="Times New Roman"/>
          <w:color w:val="000000"/>
        </w:rPr>
        <w:t xml:space="preserve">o </w:t>
      </w:r>
      <w:r w:rsidR="00226CB3" w:rsidRPr="00F84BC5">
        <w:rPr>
          <w:rFonts w:ascii="Times New Roman" w:eastAsia="Times New Roman" w:hAnsi="Times New Roman" w:cs="Times New Roman"/>
          <w:color w:val="000000"/>
        </w:rPr>
        <w:t xml:space="preserve">si </w:t>
      </w:r>
      <w:r w:rsidR="004D6BDE" w:rsidRPr="00F84BC5">
        <w:rPr>
          <w:rFonts w:ascii="Times New Roman" w:eastAsia="Times New Roman" w:hAnsi="Times New Roman" w:cs="Times New Roman"/>
          <w:color w:val="000000"/>
        </w:rPr>
        <w:t>relaziona a quell’essere oscuro non toccato d</w:t>
      </w:r>
      <w:r w:rsidR="00FD6FEB">
        <w:rPr>
          <w:rFonts w:ascii="Times New Roman" w:eastAsia="Times New Roman" w:hAnsi="Times New Roman" w:cs="Times New Roman"/>
          <w:color w:val="000000"/>
        </w:rPr>
        <w:t>alla luce dell</w:t>
      </w:r>
      <w:r w:rsidR="00226CB3" w:rsidRPr="00F84BC5">
        <w:rPr>
          <w:rFonts w:ascii="Times New Roman" w:eastAsia="Times New Roman" w:hAnsi="Times New Roman" w:cs="Times New Roman"/>
          <w:color w:val="000000"/>
        </w:rPr>
        <w:t>’</w:t>
      </w:r>
      <w:r w:rsidR="00226CB3" w:rsidRPr="00F84BC5">
        <w:rPr>
          <w:rFonts w:ascii="Times New Roman" w:eastAsia="Times New Roman" w:hAnsi="Times New Roman" w:cs="Times New Roman"/>
          <w:i/>
          <w:color w:val="000000"/>
        </w:rPr>
        <w:t>Höchstes Wesen</w:t>
      </w:r>
      <w:r w:rsidR="004D6BDE" w:rsidRPr="00F84BC5">
        <w:rPr>
          <w:rFonts w:ascii="Times New Roman" w:eastAsia="Times New Roman" w:hAnsi="Times New Roman" w:cs="Times New Roman"/>
          <w:color w:val="000000"/>
        </w:rPr>
        <w:t>: nella sua attività teoretica</w:t>
      </w:r>
      <w:r w:rsidR="00632F32" w:rsidRPr="00F84BC5">
        <w:rPr>
          <w:rFonts w:ascii="Times New Roman" w:eastAsia="Times New Roman" w:hAnsi="Times New Roman" w:cs="Times New Roman"/>
          <w:color w:val="000000"/>
        </w:rPr>
        <w:t xml:space="preserve">, l’Io trova l’estraneo da sé, </w:t>
      </w:r>
      <w:r w:rsidR="004D6BDE" w:rsidRPr="00F84BC5">
        <w:rPr>
          <w:rFonts w:ascii="Times New Roman" w:eastAsia="Times New Roman" w:hAnsi="Times New Roman" w:cs="Times New Roman"/>
          <w:color w:val="000000"/>
        </w:rPr>
        <w:t xml:space="preserve">lo </w:t>
      </w:r>
      <w:r w:rsidR="00632F32" w:rsidRPr="00F84BC5">
        <w:rPr>
          <w:rFonts w:ascii="Times New Roman" w:eastAsia="Times New Roman" w:hAnsi="Times New Roman" w:cs="Times New Roman"/>
          <w:color w:val="000000"/>
        </w:rPr>
        <w:t xml:space="preserve">toglie e </w:t>
      </w:r>
      <w:r w:rsidR="008D3D63">
        <w:rPr>
          <w:rFonts w:ascii="Times New Roman" w:eastAsia="Times New Roman" w:hAnsi="Times New Roman" w:cs="Times New Roman"/>
          <w:color w:val="000000"/>
        </w:rPr>
        <w:t xml:space="preserve">lo </w:t>
      </w:r>
      <w:r w:rsidR="00632F32" w:rsidRPr="00F84BC5">
        <w:rPr>
          <w:rFonts w:ascii="Times New Roman" w:eastAsia="Times New Roman" w:hAnsi="Times New Roman" w:cs="Times New Roman"/>
          <w:color w:val="000000"/>
        </w:rPr>
        <w:t xml:space="preserve">ricomprende in sé come suo </w:t>
      </w:r>
      <w:r w:rsidR="006178D5" w:rsidRPr="00F84BC5">
        <w:rPr>
          <w:rFonts w:ascii="Times New Roman" w:eastAsia="Times New Roman" w:hAnsi="Times New Roman" w:cs="Times New Roman"/>
          <w:color w:val="000000"/>
        </w:rPr>
        <w:t>momento</w:t>
      </w:r>
      <w:r w:rsidR="004D6BDE" w:rsidRPr="00F84BC5">
        <w:rPr>
          <w:rFonts w:ascii="Times New Roman" w:eastAsia="Times New Roman" w:hAnsi="Times New Roman" w:cs="Times New Roman"/>
          <w:color w:val="000000"/>
        </w:rPr>
        <w:t xml:space="preserve">. </w:t>
      </w:r>
      <w:r w:rsidR="006178D5" w:rsidRPr="00F84BC5">
        <w:rPr>
          <w:rFonts w:ascii="Times New Roman" w:eastAsia="Times New Roman" w:hAnsi="Times New Roman" w:cs="Times New Roman"/>
          <w:color w:val="000000"/>
        </w:rPr>
        <w:t>In</w:t>
      </w:r>
      <w:r w:rsidR="007F491F" w:rsidRPr="00F84BC5">
        <w:rPr>
          <w:rFonts w:ascii="Times New Roman" w:eastAsia="Times New Roman" w:hAnsi="Times New Roman" w:cs="Times New Roman"/>
          <w:color w:val="000000"/>
        </w:rPr>
        <w:t xml:space="preserve"> questo modo</w:t>
      </w:r>
      <w:r w:rsidR="006178D5" w:rsidRPr="00F84BC5">
        <w:rPr>
          <w:rFonts w:ascii="Times New Roman" w:eastAsia="Times New Roman" w:hAnsi="Times New Roman" w:cs="Times New Roman"/>
          <w:color w:val="000000"/>
        </w:rPr>
        <w:t xml:space="preserve">, il </w:t>
      </w:r>
      <w:r w:rsidR="006178D5" w:rsidRPr="00F84BC5">
        <w:rPr>
          <w:rFonts w:ascii="Times New Roman" w:eastAsia="Times New Roman" w:hAnsi="Times New Roman" w:cs="Times New Roman"/>
          <w:i/>
          <w:color w:val="000000"/>
        </w:rPr>
        <w:t>theoretisches Ich</w:t>
      </w:r>
      <w:r w:rsidR="006178D5" w:rsidRPr="00F84BC5">
        <w:rPr>
          <w:rFonts w:ascii="Times New Roman" w:eastAsia="Times New Roman" w:hAnsi="Times New Roman" w:cs="Times New Roman"/>
          <w:color w:val="000000"/>
        </w:rPr>
        <w:t xml:space="preserve"> riconosce </w:t>
      </w:r>
      <w:r w:rsidR="006178D5" w:rsidRPr="00B81148">
        <w:rPr>
          <w:rFonts w:ascii="Times New Roman" w:eastAsia="Times New Roman" w:hAnsi="Times New Roman" w:cs="Times New Roman"/>
          <w:color w:val="000000"/>
        </w:rPr>
        <w:t>«</w:t>
      </w:r>
      <w:r w:rsidR="007F491F" w:rsidRPr="00B81148">
        <w:rPr>
          <w:rFonts w:ascii="Times New Roman" w:eastAsia="Times New Roman" w:hAnsi="Times New Roman" w:cs="Times New Roman"/>
          <w:color w:val="000000"/>
        </w:rPr>
        <w:t>das Moment der Differenz […] der sich gewordenen Selbstgleichheit, die Zurücknahme der Bestimmtheit in das Wesen des Ichs, das Anerkennen, als seine Bestimmtheit, und das Fremde als nur ein sich Gleiches</w:t>
      </w:r>
      <w:r w:rsidR="006178D5" w:rsidRPr="00B81148">
        <w:rPr>
          <w:rFonts w:ascii="Times New Roman" w:eastAsia="Times New Roman" w:hAnsi="Times New Roman" w:cs="Times New Roman"/>
          <w:color w:val="000000"/>
        </w:rPr>
        <w:t>»</w:t>
      </w:r>
      <w:r w:rsidR="006178D5" w:rsidRPr="00B81148">
        <w:rPr>
          <w:rStyle w:val="Rimandonotaapidipagina"/>
          <w:rFonts w:ascii="Times New Roman" w:eastAsia="Times New Roman" w:hAnsi="Times New Roman" w:cs="Times New Roman"/>
          <w:color w:val="000000"/>
        </w:rPr>
        <w:footnoteReference w:id="263"/>
      </w:r>
      <w:r w:rsidR="006178D5" w:rsidRPr="00B81148">
        <w:rPr>
          <w:rFonts w:ascii="Times New Roman" w:eastAsia="Times New Roman" w:hAnsi="Times New Roman" w:cs="Times New Roman"/>
          <w:color w:val="000000"/>
        </w:rPr>
        <w:t>.</w:t>
      </w:r>
      <w:r w:rsidR="006178D5" w:rsidRPr="00F84BC5">
        <w:rPr>
          <w:rFonts w:ascii="Times New Roman" w:eastAsia="Times New Roman" w:hAnsi="Times New Roman" w:cs="Times New Roman"/>
          <w:color w:val="000000"/>
        </w:rPr>
        <w:t xml:space="preserve"> </w:t>
      </w:r>
      <w:r w:rsidR="00114D1E" w:rsidRPr="00F84BC5">
        <w:rPr>
          <w:rFonts w:ascii="Times New Roman" w:eastAsia="Times New Roman" w:hAnsi="Times New Roman" w:cs="Times New Roman"/>
          <w:color w:val="000000"/>
        </w:rPr>
        <w:t>In veri</w:t>
      </w:r>
      <w:r w:rsidR="00AA77C3" w:rsidRPr="00F84BC5">
        <w:rPr>
          <w:rFonts w:ascii="Times New Roman" w:eastAsia="Times New Roman" w:hAnsi="Times New Roman" w:cs="Times New Roman"/>
          <w:color w:val="000000"/>
        </w:rPr>
        <w:t>tà, l</w:t>
      </w:r>
      <w:r w:rsidR="00632F32" w:rsidRPr="00F84BC5">
        <w:rPr>
          <w:rFonts w:ascii="Times New Roman" w:eastAsia="Times New Roman" w:hAnsi="Times New Roman" w:cs="Times New Roman"/>
          <w:color w:val="000000"/>
        </w:rPr>
        <w:t>’essere per s</w:t>
      </w:r>
      <w:r w:rsidR="004D6BDE" w:rsidRPr="00F84BC5">
        <w:rPr>
          <w:rFonts w:ascii="Times New Roman" w:eastAsia="Times New Roman" w:hAnsi="Times New Roman" w:cs="Times New Roman"/>
          <w:color w:val="000000"/>
        </w:rPr>
        <w:t xml:space="preserve">é, la </w:t>
      </w:r>
      <w:r w:rsidR="00114D1E" w:rsidRPr="00F84BC5">
        <w:rPr>
          <w:rFonts w:ascii="Times New Roman" w:eastAsia="Times New Roman" w:hAnsi="Times New Roman" w:cs="Times New Roman"/>
          <w:color w:val="000000"/>
        </w:rPr>
        <w:t>determinatezza opposta all’I</w:t>
      </w:r>
      <w:r w:rsidR="006178D5" w:rsidRPr="00F84BC5">
        <w:rPr>
          <w:rFonts w:ascii="Times New Roman" w:eastAsia="Times New Roman" w:hAnsi="Times New Roman" w:cs="Times New Roman"/>
          <w:color w:val="000000"/>
        </w:rPr>
        <w:t xml:space="preserve">o, proprio perché </w:t>
      </w:r>
      <w:r w:rsidR="00D87398" w:rsidRPr="00F84BC5">
        <w:rPr>
          <w:rFonts w:ascii="Times New Roman" w:eastAsia="Times New Roman" w:hAnsi="Times New Roman" w:cs="Times New Roman"/>
          <w:color w:val="000000"/>
        </w:rPr>
        <w:t xml:space="preserve">trovata </w:t>
      </w:r>
      <w:r w:rsidR="006178D5" w:rsidRPr="00F84BC5">
        <w:rPr>
          <w:rFonts w:ascii="Times New Roman" w:eastAsia="Times New Roman" w:hAnsi="Times New Roman" w:cs="Times New Roman"/>
          <w:color w:val="000000"/>
        </w:rPr>
        <w:t xml:space="preserve">e </w:t>
      </w:r>
      <w:r w:rsidR="004D6BDE" w:rsidRPr="00F84BC5">
        <w:rPr>
          <w:rFonts w:ascii="Times New Roman" w:eastAsia="Times New Roman" w:hAnsi="Times New Roman" w:cs="Times New Roman"/>
          <w:color w:val="000000"/>
        </w:rPr>
        <w:t>per sé sussiste</w:t>
      </w:r>
      <w:r w:rsidR="00DD7FCD" w:rsidRPr="00F84BC5">
        <w:rPr>
          <w:rFonts w:ascii="Times New Roman" w:eastAsia="Times New Roman" w:hAnsi="Times New Roman" w:cs="Times New Roman"/>
          <w:color w:val="000000"/>
        </w:rPr>
        <w:t>nte</w:t>
      </w:r>
      <w:r w:rsidR="004D6BDE" w:rsidRPr="00F84BC5">
        <w:rPr>
          <w:rFonts w:ascii="Times New Roman" w:eastAsia="Times New Roman" w:hAnsi="Times New Roman" w:cs="Times New Roman"/>
          <w:color w:val="000000"/>
        </w:rPr>
        <w:t xml:space="preserve">, </w:t>
      </w:r>
      <w:r w:rsidR="006178D5" w:rsidRPr="00F84BC5">
        <w:rPr>
          <w:rFonts w:ascii="Times New Roman" w:eastAsia="Times New Roman" w:hAnsi="Times New Roman" w:cs="Times New Roman"/>
          <w:color w:val="000000"/>
        </w:rPr>
        <w:t>sfugge e si sottrare all’attività</w:t>
      </w:r>
      <w:r w:rsidR="00114D1E" w:rsidRPr="00F84BC5">
        <w:rPr>
          <w:rFonts w:ascii="Times New Roman" w:eastAsia="Times New Roman" w:hAnsi="Times New Roman" w:cs="Times New Roman"/>
          <w:color w:val="000000"/>
        </w:rPr>
        <w:t xml:space="preserve"> determinante dell’I</w:t>
      </w:r>
      <w:r w:rsidR="004D6BDE" w:rsidRPr="00F84BC5">
        <w:rPr>
          <w:rFonts w:ascii="Times New Roman" w:eastAsia="Times New Roman" w:hAnsi="Times New Roman" w:cs="Times New Roman"/>
          <w:color w:val="000000"/>
        </w:rPr>
        <w:t xml:space="preserve">o. </w:t>
      </w:r>
      <w:r w:rsidR="006178D5" w:rsidRPr="00F84BC5">
        <w:rPr>
          <w:rFonts w:ascii="Times New Roman" w:eastAsia="Times New Roman" w:hAnsi="Times New Roman" w:cs="Times New Roman"/>
          <w:color w:val="000000"/>
        </w:rPr>
        <w:t xml:space="preserve">Piena risoluzione della </w:t>
      </w:r>
      <w:r w:rsidR="006178D5" w:rsidRPr="00F84BC5">
        <w:rPr>
          <w:rFonts w:ascii="Times New Roman" w:eastAsia="Times New Roman" w:hAnsi="Times New Roman" w:cs="Times New Roman"/>
          <w:i/>
          <w:color w:val="000000"/>
        </w:rPr>
        <w:t>Bestimmtheit</w:t>
      </w:r>
      <w:r w:rsidR="006178D5" w:rsidRPr="00F84BC5">
        <w:rPr>
          <w:rFonts w:ascii="Times New Roman" w:eastAsia="Times New Roman" w:hAnsi="Times New Roman" w:cs="Times New Roman"/>
          <w:color w:val="000000"/>
        </w:rPr>
        <w:t>, quindi, non si ha nella sfera teoretica, perché</w:t>
      </w:r>
      <w:r w:rsidR="00114D1E" w:rsidRPr="00F84BC5">
        <w:rPr>
          <w:rFonts w:ascii="Times New Roman" w:eastAsia="Times New Roman" w:hAnsi="Times New Roman" w:cs="Times New Roman"/>
          <w:color w:val="000000"/>
        </w:rPr>
        <w:t xml:space="preserve"> la determinatezza (il </w:t>
      </w:r>
      <w:r w:rsidR="00114D1E" w:rsidRPr="00F84BC5">
        <w:rPr>
          <w:rFonts w:ascii="Times New Roman" w:eastAsia="Times New Roman" w:hAnsi="Times New Roman" w:cs="Times New Roman"/>
          <w:i/>
          <w:color w:val="000000"/>
        </w:rPr>
        <w:t>böses Prinzip</w:t>
      </w:r>
      <w:r w:rsidR="00114D1E" w:rsidRPr="00F84BC5">
        <w:rPr>
          <w:rFonts w:ascii="Times New Roman" w:eastAsia="Times New Roman" w:hAnsi="Times New Roman" w:cs="Times New Roman"/>
          <w:color w:val="000000"/>
        </w:rPr>
        <w:t>)</w:t>
      </w:r>
      <w:r w:rsidR="006178D5" w:rsidRPr="00F84BC5">
        <w:rPr>
          <w:rFonts w:ascii="Times New Roman" w:eastAsia="Times New Roman" w:hAnsi="Times New Roman" w:cs="Times New Roman"/>
          <w:color w:val="000000"/>
        </w:rPr>
        <w:t xml:space="preserve">, in quanto </w:t>
      </w:r>
      <w:r w:rsidR="00114D1E" w:rsidRPr="00F84BC5">
        <w:rPr>
          <w:rFonts w:ascii="Times New Roman" w:eastAsia="Times New Roman" w:hAnsi="Times New Roman" w:cs="Times New Roman"/>
          <w:color w:val="000000"/>
        </w:rPr>
        <w:t>autonoma e non posta dall’I</w:t>
      </w:r>
      <w:r w:rsidR="006178D5" w:rsidRPr="00F84BC5">
        <w:rPr>
          <w:rFonts w:ascii="Times New Roman" w:eastAsia="Times New Roman" w:hAnsi="Times New Roman" w:cs="Times New Roman"/>
          <w:color w:val="000000"/>
        </w:rPr>
        <w:t xml:space="preserve">o, </w:t>
      </w:r>
      <w:r w:rsidR="00D87398" w:rsidRPr="00F84BC5">
        <w:rPr>
          <w:rFonts w:ascii="Times New Roman" w:eastAsia="Times New Roman" w:hAnsi="Times New Roman" w:cs="Times New Roman"/>
          <w:color w:val="000000"/>
        </w:rPr>
        <w:t xml:space="preserve">si rende ad esso irriducibile. </w:t>
      </w:r>
      <w:r w:rsidR="00114D1E" w:rsidRPr="00F84BC5">
        <w:rPr>
          <w:rFonts w:ascii="Times New Roman" w:eastAsia="Times New Roman" w:hAnsi="Times New Roman" w:cs="Times New Roman"/>
          <w:color w:val="000000"/>
        </w:rPr>
        <w:t xml:space="preserve">Nel sottrarsi </w:t>
      </w:r>
      <w:r w:rsidR="00DB4889" w:rsidRPr="00F84BC5">
        <w:rPr>
          <w:rFonts w:ascii="Times New Roman" w:eastAsia="Times New Roman" w:hAnsi="Times New Roman" w:cs="Times New Roman"/>
          <w:color w:val="000000"/>
        </w:rPr>
        <w:t>all’attività teoretica del soggetto</w:t>
      </w:r>
      <w:r w:rsidR="00771E85" w:rsidRPr="00F84BC5">
        <w:rPr>
          <w:rFonts w:ascii="Times New Roman" w:eastAsia="Times New Roman" w:hAnsi="Times New Roman" w:cs="Times New Roman"/>
          <w:color w:val="000000"/>
        </w:rPr>
        <w:t xml:space="preserve">, </w:t>
      </w:r>
      <w:r w:rsidR="00D87398" w:rsidRPr="00F84BC5">
        <w:rPr>
          <w:rFonts w:ascii="Times New Roman" w:eastAsia="Times New Roman" w:hAnsi="Times New Roman" w:cs="Times New Roman"/>
          <w:color w:val="000000"/>
        </w:rPr>
        <w:t xml:space="preserve">l’oggetto si </w:t>
      </w:r>
      <w:r w:rsidR="00114D1E" w:rsidRPr="00F84BC5">
        <w:rPr>
          <w:rFonts w:ascii="Times New Roman" w:eastAsia="Times New Roman" w:hAnsi="Times New Roman" w:cs="Times New Roman"/>
          <w:color w:val="000000"/>
        </w:rPr>
        <w:t xml:space="preserve">delinea </w:t>
      </w:r>
      <w:r w:rsidR="00D87398" w:rsidRPr="00F84BC5">
        <w:rPr>
          <w:rFonts w:ascii="Times New Roman" w:eastAsia="Times New Roman" w:hAnsi="Times New Roman" w:cs="Times New Roman"/>
          <w:color w:val="000000"/>
        </w:rPr>
        <w:t>come forza trainante dell’intera dinamica relaz</w:t>
      </w:r>
      <w:r w:rsidR="00AA77C3" w:rsidRPr="00F84BC5">
        <w:rPr>
          <w:rFonts w:ascii="Times New Roman" w:eastAsia="Times New Roman" w:hAnsi="Times New Roman" w:cs="Times New Roman"/>
          <w:color w:val="000000"/>
        </w:rPr>
        <w:t>ionale: è quest’ultimo, non l</w:t>
      </w:r>
      <w:r w:rsidR="00114D1E" w:rsidRPr="00F84BC5">
        <w:rPr>
          <w:rFonts w:ascii="Times New Roman" w:eastAsia="Times New Roman" w:hAnsi="Times New Roman" w:cs="Times New Roman"/>
          <w:color w:val="000000"/>
        </w:rPr>
        <w:t>’Io</w:t>
      </w:r>
      <w:r w:rsidR="00D87398" w:rsidRPr="00F84BC5">
        <w:rPr>
          <w:rFonts w:ascii="Times New Roman" w:eastAsia="Times New Roman" w:hAnsi="Times New Roman" w:cs="Times New Roman"/>
          <w:color w:val="000000"/>
        </w:rPr>
        <w:t>, ad</w:t>
      </w:r>
      <w:r w:rsidR="00DD7FCD" w:rsidRPr="00F84BC5">
        <w:rPr>
          <w:rFonts w:ascii="Times New Roman" w:eastAsia="Times New Roman" w:hAnsi="Times New Roman" w:cs="Times New Roman"/>
          <w:color w:val="000000"/>
        </w:rPr>
        <w:t xml:space="preserve"> essere lo</w:t>
      </w:r>
      <w:r w:rsidR="00D87398" w:rsidRPr="00F84BC5">
        <w:rPr>
          <w:rFonts w:ascii="Times New Roman" w:eastAsia="Times New Roman" w:hAnsi="Times New Roman" w:cs="Times New Roman"/>
          <w:color w:val="000000"/>
        </w:rPr>
        <w:t xml:space="preserve"> stimolo dell’attività te</w:t>
      </w:r>
      <w:r w:rsidR="00DD7FCD" w:rsidRPr="00F84BC5">
        <w:rPr>
          <w:rFonts w:ascii="Times New Roman" w:eastAsia="Times New Roman" w:hAnsi="Times New Roman" w:cs="Times New Roman"/>
          <w:color w:val="000000"/>
        </w:rPr>
        <w:t>oretica che, continuamen</w:t>
      </w:r>
      <w:r w:rsidR="00F80F24" w:rsidRPr="00F84BC5">
        <w:rPr>
          <w:rFonts w:ascii="Times New Roman" w:eastAsia="Times New Roman" w:hAnsi="Times New Roman" w:cs="Times New Roman"/>
          <w:color w:val="000000"/>
        </w:rPr>
        <w:t>te sollecitata dall’altro da sé</w:t>
      </w:r>
      <w:r w:rsidR="00D87398" w:rsidRPr="00F84BC5">
        <w:rPr>
          <w:rFonts w:ascii="Times New Roman" w:eastAsia="Times New Roman" w:hAnsi="Times New Roman" w:cs="Times New Roman"/>
          <w:color w:val="000000"/>
        </w:rPr>
        <w:t xml:space="preserve">, si riduce ad una mera reazione. Il </w:t>
      </w:r>
      <w:r w:rsidR="00D87398" w:rsidRPr="00F84BC5">
        <w:rPr>
          <w:rFonts w:ascii="Times New Roman" w:eastAsia="Times New Roman" w:hAnsi="Times New Roman" w:cs="Times New Roman"/>
          <w:i/>
          <w:color w:val="000000"/>
        </w:rPr>
        <w:t>theoretisches Ich</w:t>
      </w:r>
      <w:r w:rsidR="0097154E" w:rsidRPr="00F84BC5">
        <w:rPr>
          <w:rFonts w:ascii="Times New Roman" w:eastAsia="Times New Roman" w:hAnsi="Times New Roman" w:cs="Times New Roman"/>
          <w:color w:val="000000"/>
        </w:rPr>
        <w:t>, scrive</w:t>
      </w:r>
      <w:r w:rsidR="00D87398" w:rsidRPr="00F84BC5">
        <w:rPr>
          <w:rFonts w:ascii="Times New Roman" w:eastAsia="Times New Roman" w:hAnsi="Times New Roman" w:cs="Times New Roman"/>
          <w:color w:val="000000"/>
        </w:rPr>
        <w:t xml:space="preserve"> Hegel, </w:t>
      </w:r>
      <w:r w:rsidR="00D87398" w:rsidRPr="00B81148">
        <w:rPr>
          <w:rFonts w:ascii="Times New Roman" w:eastAsia="Times New Roman" w:hAnsi="Times New Roman" w:cs="Times New Roman"/>
          <w:color w:val="000000"/>
        </w:rPr>
        <w:t>«</w:t>
      </w:r>
      <w:r w:rsidR="00F80F24" w:rsidRPr="00B81148">
        <w:rPr>
          <w:rFonts w:ascii="Times New Roman" w:eastAsia="Times New Roman" w:hAnsi="Times New Roman" w:cs="Times New Roman"/>
          <w:color w:val="000000"/>
        </w:rPr>
        <w:t>die Bestimmtheit setzt es nur auf die einfache unreflektierte Weise als ein</w:t>
      </w:r>
      <w:r w:rsidR="008D3D63">
        <w:rPr>
          <w:rFonts w:ascii="Times New Roman" w:eastAsia="Times New Roman" w:hAnsi="Times New Roman" w:cs="Times New Roman"/>
          <w:color w:val="000000"/>
        </w:rPr>
        <w:t>s</w:t>
      </w:r>
      <w:r w:rsidR="00F80F24" w:rsidRPr="00B81148">
        <w:rPr>
          <w:rFonts w:ascii="Times New Roman" w:eastAsia="Times New Roman" w:hAnsi="Times New Roman" w:cs="Times New Roman"/>
          <w:color w:val="000000"/>
        </w:rPr>
        <w:t xml:space="preserve"> mit sich; sie ist sich in der Entgegensetzung nicht das Andere ihrer selbst geworden, sondern als ursprüngliche Bestimmtheit sich selbst gleich geblieben</w:t>
      </w:r>
      <w:r w:rsidR="00D87398" w:rsidRPr="00B81148">
        <w:rPr>
          <w:rFonts w:ascii="Times New Roman" w:eastAsia="Times New Roman" w:hAnsi="Times New Roman" w:cs="Times New Roman"/>
          <w:color w:val="000000"/>
        </w:rPr>
        <w:t>»</w:t>
      </w:r>
      <w:r w:rsidR="00D87398" w:rsidRPr="00B81148">
        <w:rPr>
          <w:rStyle w:val="Rimandonotaapidipagina"/>
          <w:rFonts w:ascii="Times New Roman" w:eastAsia="Times New Roman" w:hAnsi="Times New Roman" w:cs="Times New Roman"/>
          <w:color w:val="000000"/>
        </w:rPr>
        <w:footnoteReference w:id="264"/>
      </w:r>
      <w:r w:rsidR="006D0CEF" w:rsidRPr="00F84BC5">
        <w:rPr>
          <w:rFonts w:ascii="Times New Roman" w:eastAsia="Times New Roman" w:hAnsi="Times New Roman" w:cs="Times New Roman"/>
          <w:color w:val="000000"/>
        </w:rPr>
        <w:t xml:space="preserve">. </w:t>
      </w:r>
      <w:r w:rsidR="00AA77C3" w:rsidRPr="00F84BC5">
        <w:rPr>
          <w:rFonts w:ascii="Times New Roman" w:eastAsia="Times New Roman" w:hAnsi="Times New Roman" w:cs="Times New Roman"/>
          <w:color w:val="000000"/>
        </w:rPr>
        <w:t xml:space="preserve">Alla stregua </w:t>
      </w:r>
      <w:r w:rsidR="00F80F24" w:rsidRPr="00F84BC5">
        <w:rPr>
          <w:rFonts w:ascii="Times New Roman" w:eastAsia="Times New Roman" w:hAnsi="Times New Roman" w:cs="Times New Roman"/>
          <w:color w:val="000000"/>
        </w:rPr>
        <w:t>dell’essenza suprema, irretita</w:t>
      </w:r>
      <w:r w:rsidR="00AA77C3" w:rsidRPr="00F84BC5">
        <w:rPr>
          <w:rFonts w:ascii="Times New Roman" w:eastAsia="Times New Roman" w:hAnsi="Times New Roman" w:cs="Times New Roman"/>
          <w:color w:val="000000"/>
        </w:rPr>
        <w:t xml:space="preserve"> nell’</w:t>
      </w:r>
      <w:r w:rsidR="00A82950" w:rsidRPr="00F84BC5">
        <w:rPr>
          <w:rFonts w:ascii="Times New Roman" w:eastAsia="Times New Roman" w:hAnsi="Times New Roman" w:cs="Times New Roman"/>
          <w:color w:val="000000"/>
        </w:rPr>
        <w:t>opposizione irri</w:t>
      </w:r>
      <w:r w:rsidR="00F80F24" w:rsidRPr="00F84BC5">
        <w:rPr>
          <w:rFonts w:ascii="Times New Roman" w:eastAsia="Times New Roman" w:hAnsi="Times New Roman" w:cs="Times New Roman"/>
          <w:color w:val="000000"/>
        </w:rPr>
        <w:t xml:space="preserve">solta fra essere in </w:t>
      </w:r>
      <w:r w:rsidR="00AA77C3" w:rsidRPr="00F84BC5">
        <w:rPr>
          <w:rFonts w:ascii="Times New Roman" w:eastAsia="Times New Roman" w:hAnsi="Times New Roman" w:cs="Times New Roman"/>
          <w:color w:val="000000"/>
        </w:rPr>
        <w:t xml:space="preserve">sé </w:t>
      </w:r>
      <w:r w:rsidR="00730392" w:rsidRPr="00F84BC5">
        <w:rPr>
          <w:rFonts w:ascii="Times New Roman" w:eastAsia="Times New Roman" w:hAnsi="Times New Roman" w:cs="Times New Roman"/>
          <w:color w:val="000000"/>
        </w:rPr>
        <w:t>e</w:t>
      </w:r>
      <w:r w:rsidR="00F80F24" w:rsidRPr="00F84BC5">
        <w:rPr>
          <w:rFonts w:ascii="Times New Roman" w:eastAsia="Times New Roman" w:hAnsi="Times New Roman" w:cs="Times New Roman"/>
          <w:color w:val="000000"/>
        </w:rPr>
        <w:t>d</w:t>
      </w:r>
      <w:r w:rsidR="00AA77C3" w:rsidRPr="00F84BC5">
        <w:rPr>
          <w:rFonts w:ascii="Times New Roman" w:eastAsia="Times New Roman" w:hAnsi="Times New Roman" w:cs="Times New Roman"/>
          <w:color w:val="000000"/>
        </w:rPr>
        <w:t xml:space="preserve"> </w:t>
      </w:r>
      <w:r w:rsidR="00F80F24" w:rsidRPr="00F84BC5">
        <w:rPr>
          <w:rFonts w:ascii="Times New Roman" w:eastAsia="Times New Roman" w:hAnsi="Times New Roman" w:cs="Times New Roman"/>
          <w:color w:val="000000"/>
        </w:rPr>
        <w:t>essere per sé, l’I</w:t>
      </w:r>
      <w:r w:rsidR="00AA77C3" w:rsidRPr="00F84BC5">
        <w:rPr>
          <w:rFonts w:ascii="Times New Roman" w:eastAsia="Times New Roman" w:hAnsi="Times New Roman" w:cs="Times New Roman"/>
          <w:color w:val="000000"/>
        </w:rPr>
        <w:t xml:space="preserve">o teoretico si </w:t>
      </w:r>
      <w:r w:rsidR="00F80F24" w:rsidRPr="00F84BC5">
        <w:rPr>
          <w:rFonts w:ascii="Times New Roman" w:eastAsia="Times New Roman" w:hAnsi="Times New Roman" w:cs="Times New Roman"/>
          <w:color w:val="000000"/>
        </w:rPr>
        <w:t>rive</w:t>
      </w:r>
      <w:r w:rsidR="00535D18" w:rsidRPr="00F84BC5">
        <w:rPr>
          <w:rFonts w:ascii="Times New Roman" w:eastAsia="Times New Roman" w:hAnsi="Times New Roman" w:cs="Times New Roman"/>
          <w:color w:val="000000"/>
        </w:rPr>
        <w:t xml:space="preserve">la </w:t>
      </w:r>
      <w:r w:rsidR="00AA77C3" w:rsidRPr="00F84BC5">
        <w:rPr>
          <w:rFonts w:ascii="Times New Roman" w:eastAsia="Times New Roman" w:hAnsi="Times New Roman" w:cs="Times New Roman"/>
          <w:color w:val="000000"/>
        </w:rPr>
        <w:t xml:space="preserve">originariamente determinato da un’alterità </w:t>
      </w:r>
      <w:r w:rsidR="00535D18" w:rsidRPr="00F84BC5">
        <w:rPr>
          <w:rFonts w:ascii="Times New Roman" w:eastAsia="Times New Roman" w:hAnsi="Times New Roman" w:cs="Times New Roman"/>
          <w:color w:val="000000"/>
        </w:rPr>
        <w:t xml:space="preserve">che sollecita </w:t>
      </w:r>
      <w:r w:rsidR="00AA77C3" w:rsidRPr="00F84BC5">
        <w:rPr>
          <w:rFonts w:ascii="Times New Roman" w:eastAsia="Times New Roman" w:hAnsi="Times New Roman" w:cs="Times New Roman"/>
          <w:color w:val="000000"/>
        </w:rPr>
        <w:t>l’</w:t>
      </w:r>
      <w:r w:rsidR="00270D1B" w:rsidRPr="00F84BC5">
        <w:rPr>
          <w:rFonts w:ascii="Times New Roman" w:eastAsia="Times New Roman" w:hAnsi="Times New Roman" w:cs="Times New Roman"/>
          <w:color w:val="000000"/>
        </w:rPr>
        <w:t>attività re</w:t>
      </w:r>
      <w:r w:rsidR="00DD7FCD" w:rsidRPr="00F84BC5">
        <w:rPr>
          <w:rFonts w:ascii="Times New Roman" w:eastAsia="Times New Roman" w:hAnsi="Times New Roman" w:cs="Times New Roman"/>
          <w:color w:val="000000"/>
        </w:rPr>
        <w:t>agente</w:t>
      </w:r>
      <w:r w:rsidR="005801E2" w:rsidRPr="00F84BC5">
        <w:rPr>
          <w:rFonts w:ascii="Times New Roman" w:eastAsia="Times New Roman" w:hAnsi="Times New Roman" w:cs="Times New Roman"/>
          <w:color w:val="000000"/>
        </w:rPr>
        <w:t xml:space="preserve"> del</w:t>
      </w:r>
      <w:r w:rsidR="00EA20FF" w:rsidRPr="00F84BC5">
        <w:rPr>
          <w:rFonts w:ascii="Times New Roman" w:eastAsia="Times New Roman" w:hAnsi="Times New Roman" w:cs="Times New Roman"/>
          <w:i/>
          <w:color w:val="000000"/>
        </w:rPr>
        <w:t xml:space="preserve"> </w:t>
      </w:r>
      <w:r w:rsidR="00EA20FF" w:rsidRPr="00F84BC5">
        <w:rPr>
          <w:rFonts w:ascii="Times New Roman" w:eastAsia="Times New Roman" w:hAnsi="Times New Roman" w:cs="Times New Roman"/>
          <w:color w:val="000000"/>
        </w:rPr>
        <w:t>soggetto</w:t>
      </w:r>
      <w:r w:rsidR="00AA77C3" w:rsidRPr="00F84BC5">
        <w:rPr>
          <w:rFonts w:ascii="Times New Roman" w:eastAsia="Times New Roman" w:hAnsi="Times New Roman" w:cs="Times New Roman"/>
          <w:color w:val="000000"/>
        </w:rPr>
        <w:t xml:space="preserve">. </w:t>
      </w:r>
    </w:p>
    <w:p w14:paraId="02B551C1" w14:textId="76A62B3A" w:rsidR="00D468AD" w:rsidRDefault="0097154E" w:rsidP="006E6749">
      <w:pPr>
        <w:spacing w:line="360" w:lineRule="auto"/>
        <w:ind w:firstLine="567"/>
        <w:jc w:val="both"/>
        <w:rPr>
          <w:rFonts w:ascii="Times New Roman" w:eastAsia="Times New Roman" w:hAnsi="Times New Roman" w:cs="Times New Roman"/>
          <w:color w:val="000000"/>
        </w:rPr>
      </w:pPr>
      <w:r w:rsidRPr="00F84BC5">
        <w:rPr>
          <w:rFonts w:ascii="Times New Roman" w:eastAsia="Times New Roman" w:hAnsi="Times New Roman" w:cs="Times New Roman"/>
          <w:color w:val="000000"/>
        </w:rPr>
        <w:t xml:space="preserve">La dinamica relazionale, venutasi a delineare nella sfera teoretica, trova un approfondimento </w:t>
      </w:r>
      <w:r w:rsidR="00355BD2">
        <w:rPr>
          <w:rFonts w:ascii="Times New Roman" w:eastAsia="Times New Roman" w:hAnsi="Times New Roman" w:cs="Times New Roman"/>
          <w:color w:val="000000"/>
        </w:rPr>
        <w:t>e</w:t>
      </w:r>
      <w:r w:rsidR="006A7260" w:rsidRPr="00F84BC5">
        <w:rPr>
          <w:rFonts w:ascii="Times New Roman" w:eastAsia="Times New Roman" w:hAnsi="Times New Roman" w:cs="Times New Roman"/>
          <w:color w:val="000000"/>
        </w:rPr>
        <w:t xml:space="preserve"> un</w:t>
      </w:r>
      <w:r w:rsidR="008D3D63">
        <w:rPr>
          <w:rFonts w:ascii="Times New Roman" w:eastAsia="Times New Roman" w:hAnsi="Times New Roman" w:cs="Times New Roman"/>
          <w:color w:val="000000"/>
        </w:rPr>
        <w:t>’ulteriore</w:t>
      </w:r>
      <w:r w:rsidR="003D1504" w:rsidRPr="00F84BC5">
        <w:rPr>
          <w:rFonts w:ascii="Times New Roman" w:eastAsia="Times New Roman" w:hAnsi="Times New Roman" w:cs="Times New Roman"/>
          <w:color w:val="000000"/>
        </w:rPr>
        <w:t xml:space="preserve"> disamina </w:t>
      </w:r>
      <w:r w:rsidRPr="00F84BC5">
        <w:rPr>
          <w:rFonts w:ascii="Times New Roman" w:eastAsia="Times New Roman" w:hAnsi="Times New Roman" w:cs="Times New Roman"/>
          <w:color w:val="000000"/>
        </w:rPr>
        <w:t>n</w:t>
      </w:r>
      <w:r w:rsidR="00CF071F" w:rsidRPr="00F84BC5">
        <w:rPr>
          <w:rFonts w:ascii="Times New Roman" w:eastAsia="Times New Roman" w:hAnsi="Times New Roman" w:cs="Times New Roman"/>
          <w:color w:val="000000"/>
        </w:rPr>
        <w:t>e</w:t>
      </w:r>
      <w:r w:rsidR="004119D1" w:rsidRPr="00F84BC5">
        <w:rPr>
          <w:rFonts w:ascii="Times New Roman" w:eastAsia="Times New Roman" w:hAnsi="Times New Roman" w:cs="Times New Roman"/>
          <w:color w:val="000000"/>
        </w:rPr>
        <w:t xml:space="preserve">lla sezione dedicata al </w:t>
      </w:r>
      <w:r w:rsidR="004119D1" w:rsidRPr="00F84BC5">
        <w:rPr>
          <w:rFonts w:ascii="Times New Roman" w:eastAsia="Times New Roman" w:hAnsi="Times New Roman" w:cs="Times New Roman"/>
          <w:i/>
          <w:color w:val="000000"/>
        </w:rPr>
        <w:t>praktisches Ich</w:t>
      </w:r>
      <w:r w:rsidR="00B7406E" w:rsidRPr="00F84BC5">
        <w:rPr>
          <w:rFonts w:ascii="Times New Roman" w:eastAsia="Times New Roman" w:hAnsi="Times New Roman" w:cs="Times New Roman"/>
          <w:color w:val="000000"/>
        </w:rPr>
        <w:t xml:space="preserve">. </w:t>
      </w:r>
      <w:r w:rsidR="00F654D5">
        <w:rPr>
          <w:rFonts w:ascii="Times New Roman" w:eastAsia="Times New Roman" w:hAnsi="Times New Roman" w:cs="Times New Roman"/>
          <w:color w:val="000000"/>
        </w:rPr>
        <w:t xml:space="preserve">In questo momento </w:t>
      </w:r>
      <w:r w:rsidR="00B7406E" w:rsidRPr="00F84BC5">
        <w:rPr>
          <w:rFonts w:ascii="Times New Roman" w:eastAsia="Times New Roman" w:hAnsi="Times New Roman" w:cs="Times New Roman"/>
          <w:color w:val="000000"/>
        </w:rPr>
        <w:t xml:space="preserve">della </w:t>
      </w:r>
      <w:r w:rsidR="00B7406E" w:rsidRPr="00F84BC5">
        <w:rPr>
          <w:rFonts w:ascii="Times New Roman" w:eastAsia="Times New Roman" w:hAnsi="Times New Roman" w:cs="Times New Roman"/>
          <w:i/>
          <w:color w:val="000000"/>
        </w:rPr>
        <w:t>Metaphysik</w:t>
      </w:r>
      <w:r w:rsidR="00F654D5">
        <w:rPr>
          <w:rFonts w:ascii="Times New Roman" w:eastAsia="Times New Roman" w:hAnsi="Times New Roman" w:cs="Times New Roman"/>
          <w:i/>
          <w:color w:val="000000"/>
        </w:rPr>
        <w:t xml:space="preserve"> der Subjectivität</w:t>
      </w:r>
      <w:r w:rsidRPr="00F84BC5">
        <w:rPr>
          <w:rFonts w:ascii="Times New Roman" w:eastAsia="Times New Roman" w:hAnsi="Times New Roman" w:cs="Times New Roman"/>
          <w:color w:val="000000"/>
        </w:rPr>
        <w:t xml:space="preserve">, Hegel cerca di ricondurre </w:t>
      </w:r>
      <w:r w:rsidR="00EA20FF" w:rsidRPr="00F84BC5">
        <w:rPr>
          <w:rFonts w:ascii="Times New Roman" w:eastAsia="Times New Roman" w:hAnsi="Times New Roman" w:cs="Times New Roman"/>
          <w:color w:val="000000"/>
        </w:rPr>
        <w:t>ne</w:t>
      </w:r>
      <w:r w:rsidRPr="00F84BC5">
        <w:rPr>
          <w:rFonts w:ascii="Times New Roman" w:eastAsia="Times New Roman" w:hAnsi="Times New Roman" w:cs="Times New Roman"/>
          <w:color w:val="000000"/>
        </w:rPr>
        <w:t>ll’I</w:t>
      </w:r>
      <w:r w:rsidR="00B7406E" w:rsidRPr="00F84BC5">
        <w:rPr>
          <w:rFonts w:ascii="Times New Roman" w:eastAsia="Times New Roman" w:hAnsi="Times New Roman" w:cs="Times New Roman"/>
          <w:color w:val="000000"/>
        </w:rPr>
        <w:t xml:space="preserve">o </w:t>
      </w:r>
      <w:r w:rsidRPr="00F84BC5">
        <w:rPr>
          <w:rFonts w:ascii="Times New Roman" w:eastAsia="Times New Roman" w:hAnsi="Times New Roman" w:cs="Times New Roman"/>
          <w:color w:val="000000"/>
        </w:rPr>
        <w:t>la determinazione esteriore</w:t>
      </w:r>
      <w:r w:rsidR="00B7406E" w:rsidRPr="00F84BC5">
        <w:rPr>
          <w:rFonts w:ascii="Times New Roman" w:eastAsia="Times New Roman" w:hAnsi="Times New Roman" w:cs="Times New Roman"/>
          <w:color w:val="000000"/>
        </w:rPr>
        <w:t>. L’assoluta inf</w:t>
      </w:r>
      <w:r w:rsidR="003D1504" w:rsidRPr="00F84BC5">
        <w:rPr>
          <w:rFonts w:ascii="Times New Roman" w:eastAsia="Times New Roman" w:hAnsi="Times New Roman" w:cs="Times New Roman"/>
          <w:color w:val="000000"/>
        </w:rPr>
        <w:t>inità dell’I</w:t>
      </w:r>
      <w:r w:rsidR="00270D1B" w:rsidRPr="00F84BC5">
        <w:rPr>
          <w:rFonts w:ascii="Times New Roman" w:eastAsia="Times New Roman" w:hAnsi="Times New Roman" w:cs="Times New Roman"/>
          <w:color w:val="000000"/>
        </w:rPr>
        <w:t>o pratico</w:t>
      </w:r>
      <w:r w:rsidR="00C760E3" w:rsidRPr="00F84BC5">
        <w:rPr>
          <w:rFonts w:ascii="Times New Roman" w:eastAsia="Times New Roman" w:hAnsi="Times New Roman" w:cs="Times New Roman"/>
          <w:color w:val="000000"/>
        </w:rPr>
        <w:t xml:space="preserve"> </w:t>
      </w:r>
      <w:r w:rsidR="00B7406E" w:rsidRPr="00F84BC5">
        <w:rPr>
          <w:rFonts w:ascii="Times New Roman" w:eastAsia="Times New Roman" w:hAnsi="Times New Roman" w:cs="Times New Roman"/>
          <w:color w:val="000000"/>
        </w:rPr>
        <w:t>consiste nella capacità di trovare se stesso (</w:t>
      </w:r>
      <w:r w:rsidR="00B7406E" w:rsidRPr="00F84BC5">
        <w:rPr>
          <w:rFonts w:ascii="Times New Roman" w:eastAsia="Times New Roman" w:hAnsi="Times New Roman" w:cs="Times New Roman"/>
          <w:i/>
          <w:color w:val="000000"/>
        </w:rPr>
        <w:t>sich-selbst-finden</w:t>
      </w:r>
      <w:r w:rsidR="006A7260" w:rsidRPr="00F84BC5">
        <w:rPr>
          <w:rFonts w:ascii="Times New Roman" w:eastAsia="Times New Roman" w:hAnsi="Times New Roman" w:cs="Times New Roman"/>
          <w:color w:val="000000"/>
        </w:rPr>
        <w:t xml:space="preserve">) nel proprio </w:t>
      </w:r>
      <w:r w:rsidR="00B7406E" w:rsidRPr="00F84BC5">
        <w:rPr>
          <w:rFonts w:ascii="Times New Roman" w:eastAsia="Times New Roman" w:hAnsi="Times New Roman" w:cs="Times New Roman"/>
          <w:color w:val="000000"/>
        </w:rPr>
        <w:t>essere altro</w:t>
      </w:r>
      <w:r w:rsidR="00162FDA" w:rsidRPr="00F84BC5">
        <w:rPr>
          <w:rStyle w:val="Rimandonotaapidipagina"/>
          <w:rFonts w:ascii="Times New Roman" w:eastAsia="Times New Roman" w:hAnsi="Times New Roman" w:cs="Times New Roman"/>
          <w:color w:val="000000"/>
        </w:rPr>
        <w:footnoteReference w:id="265"/>
      </w:r>
      <w:r w:rsidR="00B7406E" w:rsidRPr="00F84BC5">
        <w:rPr>
          <w:rFonts w:ascii="Times New Roman" w:eastAsia="Times New Roman" w:hAnsi="Times New Roman" w:cs="Times New Roman"/>
          <w:color w:val="000000"/>
        </w:rPr>
        <w:t xml:space="preserve">. </w:t>
      </w:r>
      <w:r w:rsidR="003D1504" w:rsidRPr="00F84BC5">
        <w:rPr>
          <w:rFonts w:ascii="Times New Roman" w:eastAsia="Times New Roman" w:hAnsi="Times New Roman" w:cs="Times New Roman"/>
          <w:color w:val="000000"/>
        </w:rPr>
        <w:t xml:space="preserve">In quanto </w:t>
      </w:r>
      <w:r w:rsidR="00034974" w:rsidRPr="00F84BC5">
        <w:rPr>
          <w:rFonts w:ascii="Times New Roman" w:eastAsia="Times New Roman" w:hAnsi="Times New Roman" w:cs="Times New Roman"/>
          <w:color w:val="000000"/>
        </w:rPr>
        <w:t>ricondotta</w:t>
      </w:r>
      <w:r w:rsidR="003D1504" w:rsidRPr="00F84BC5">
        <w:rPr>
          <w:rFonts w:ascii="Times New Roman" w:eastAsia="Times New Roman" w:hAnsi="Times New Roman" w:cs="Times New Roman"/>
          <w:color w:val="000000"/>
        </w:rPr>
        <w:t xml:space="preserve"> nell’Io, la determinatezza non è più </w:t>
      </w:r>
      <w:r w:rsidR="003D1504" w:rsidRPr="00E83F65">
        <w:rPr>
          <w:rFonts w:ascii="Times New Roman" w:eastAsia="Times New Roman" w:hAnsi="Times New Roman" w:cs="Times New Roman"/>
          <w:color w:val="000000"/>
        </w:rPr>
        <w:t>data, ma</w:t>
      </w:r>
      <w:r w:rsidR="00B7406E" w:rsidRPr="00E83F65">
        <w:rPr>
          <w:rFonts w:ascii="Times New Roman" w:eastAsia="Times New Roman" w:hAnsi="Times New Roman" w:cs="Times New Roman"/>
          <w:color w:val="000000"/>
        </w:rPr>
        <w:t xml:space="preserve"> è assoluta</w:t>
      </w:r>
      <w:r w:rsidR="00000ED8" w:rsidRPr="00E83F65">
        <w:rPr>
          <w:rFonts w:ascii="Times New Roman" w:eastAsia="Times New Roman" w:hAnsi="Times New Roman" w:cs="Times New Roman"/>
          <w:color w:val="000000"/>
        </w:rPr>
        <w:t xml:space="preserve"> e</w:t>
      </w:r>
      <w:r w:rsidR="003D1504" w:rsidRPr="00E83F65">
        <w:rPr>
          <w:rFonts w:ascii="Times New Roman" w:eastAsia="Times New Roman" w:hAnsi="Times New Roman" w:cs="Times New Roman"/>
          <w:color w:val="000000"/>
        </w:rPr>
        <w:t xml:space="preserve"> </w:t>
      </w:r>
      <w:r w:rsidR="00B7406E" w:rsidRPr="00E83F65">
        <w:rPr>
          <w:rFonts w:ascii="Times New Roman" w:eastAsia="Times New Roman" w:hAnsi="Times New Roman" w:cs="Times New Roman"/>
          <w:color w:val="000000"/>
        </w:rPr>
        <w:t>infinita</w:t>
      </w:r>
      <w:r w:rsidR="003D1504" w:rsidRPr="00E83F65">
        <w:rPr>
          <w:rFonts w:ascii="Times New Roman" w:eastAsia="Times New Roman" w:hAnsi="Times New Roman" w:cs="Times New Roman"/>
          <w:color w:val="000000"/>
        </w:rPr>
        <w:t>,</w:t>
      </w:r>
      <w:r w:rsidR="003D1504" w:rsidRPr="00F84BC5">
        <w:rPr>
          <w:rFonts w:ascii="Times New Roman" w:eastAsia="Times New Roman" w:hAnsi="Times New Roman" w:cs="Times New Roman"/>
          <w:color w:val="000000"/>
        </w:rPr>
        <w:t xml:space="preserve"> ossia</w:t>
      </w:r>
      <w:r w:rsidR="00B7406E" w:rsidRPr="00F84BC5">
        <w:rPr>
          <w:rFonts w:ascii="Times New Roman" w:eastAsia="Times New Roman" w:hAnsi="Times New Roman" w:cs="Times New Roman"/>
          <w:color w:val="000000"/>
        </w:rPr>
        <w:t xml:space="preserve"> </w:t>
      </w:r>
      <w:r w:rsidR="00F45758" w:rsidRPr="00F84BC5">
        <w:rPr>
          <w:rFonts w:ascii="Times New Roman" w:eastAsia="Times New Roman" w:hAnsi="Times New Roman" w:cs="Times New Roman"/>
          <w:color w:val="000000"/>
        </w:rPr>
        <w:t>esplicazione</w:t>
      </w:r>
      <w:r w:rsidR="003D1504" w:rsidRPr="00F84BC5">
        <w:rPr>
          <w:rFonts w:ascii="Times New Roman" w:eastAsia="Times New Roman" w:hAnsi="Times New Roman" w:cs="Times New Roman"/>
          <w:color w:val="000000"/>
        </w:rPr>
        <w:t xml:space="preserve"> </w:t>
      </w:r>
      <w:r w:rsidR="00B7406E" w:rsidRPr="00F84BC5">
        <w:rPr>
          <w:rFonts w:ascii="Times New Roman" w:eastAsia="Times New Roman" w:hAnsi="Times New Roman" w:cs="Times New Roman"/>
          <w:color w:val="000000"/>
        </w:rPr>
        <w:t>dell’a</w:t>
      </w:r>
      <w:r w:rsidR="00C84D7B" w:rsidRPr="00F84BC5">
        <w:rPr>
          <w:rFonts w:ascii="Times New Roman" w:eastAsia="Times New Roman" w:hAnsi="Times New Roman" w:cs="Times New Roman"/>
          <w:color w:val="000000"/>
        </w:rPr>
        <w:t>ttività</w:t>
      </w:r>
      <w:r w:rsidR="00B7406E" w:rsidRPr="00F84BC5">
        <w:rPr>
          <w:rFonts w:ascii="Times New Roman" w:eastAsia="Times New Roman" w:hAnsi="Times New Roman" w:cs="Times New Roman"/>
          <w:color w:val="000000"/>
        </w:rPr>
        <w:t xml:space="preserve"> </w:t>
      </w:r>
      <w:r w:rsidR="003D1504" w:rsidRPr="00F84BC5">
        <w:rPr>
          <w:rFonts w:ascii="Times New Roman" w:eastAsia="Times New Roman" w:hAnsi="Times New Roman" w:cs="Times New Roman"/>
          <w:color w:val="000000"/>
        </w:rPr>
        <w:t>dell’I</w:t>
      </w:r>
      <w:r w:rsidR="00034974" w:rsidRPr="00F84BC5">
        <w:rPr>
          <w:rFonts w:ascii="Times New Roman" w:eastAsia="Times New Roman" w:hAnsi="Times New Roman" w:cs="Times New Roman"/>
          <w:color w:val="000000"/>
        </w:rPr>
        <w:t>o pratico. Risolta in sé la determinatezza, tolta l’estrane</w:t>
      </w:r>
      <w:r w:rsidR="001F73E1" w:rsidRPr="00F84BC5">
        <w:rPr>
          <w:rFonts w:ascii="Times New Roman" w:eastAsia="Times New Roman" w:hAnsi="Times New Roman" w:cs="Times New Roman"/>
          <w:color w:val="000000"/>
        </w:rPr>
        <w:t xml:space="preserve">ità dell’opposizione, emerso il </w:t>
      </w:r>
      <w:r w:rsidR="00034974" w:rsidRPr="00F84BC5">
        <w:rPr>
          <w:rFonts w:ascii="Times New Roman" w:eastAsia="Times New Roman" w:hAnsi="Times New Roman" w:cs="Times New Roman"/>
          <w:color w:val="000000"/>
        </w:rPr>
        <w:t>carattere assoluto, non relativo</w:t>
      </w:r>
      <w:r w:rsidR="001F73E1" w:rsidRPr="00F84BC5">
        <w:rPr>
          <w:rFonts w:ascii="Times New Roman" w:eastAsia="Times New Roman" w:hAnsi="Times New Roman" w:cs="Times New Roman"/>
          <w:color w:val="000000"/>
        </w:rPr>
        <w:t>,</w:t>
      </w:r>
      <w:r w:rsidR="003D1504" w:rsidRPr="00F84BC5">
        <w:rPr>
          <w:rFonts w:ascii="Times New Roman" w:eastAsia="Times New Roman" w:hAnsi="Times New Roman" w:cs="Times New Roman"/>
          <w:color w:val="000000"/>
        </w:rPr>
        <w:t xml:space="preserve"> della </w:t>
      </w:r>
      <w:r w:rsidR="003D1504" w:rsidRPr="00F84BC5">
        <w:rPr>
          <w:rFonts w:ascii="Times New Roman" w:eastAsia="Times New Roman" w:hAnsi="Times New Roman" w:cs="Times New Roman"/>
          <w:i/>
          <w:color w:val="000000"/>
        </w:rPr>
        <w:t>Bestimmtheit</w:t>
      </w:r>
      <w:r w:rsidR="00034974" w:rsidRPr="00F84BC5">
        <w:rPr>
          <w:rFonts w:ascii="Times New Roman" w:eastAsia="Times New Roman" w:hAnsi="Times New Roman" w:cs="Times New Roman"/>
          <w:color w:val="000000"/>
        </w:rPr>
        <w:t xml:space="preserve">, si realizza quell’unità </w:t>
      </w:r>
      <w:r w:rsidR="003D1504" w:rsidRPr="00F84BC5">
        <w:rPr>
          <w:rFonts w:ascii="Times New Roman" w:eastAsia="Times New Roman" w:hAnsi="Times New Roman" w:cs="Times New Roman"/>
          <w:i/>
          <w:color w:val="000000"/>
        </w:rPr>
        <w:t xml:space="preserve">teoretica </w:t>
      </w:r>
      <w:r w:rsidR="003D1504" w:rsidRPr="00F84BC5">
        <w:rPr>
          <w:rFonts w:ascii="Times New Roman" w:eastAsia="Times New Roman" w:hAnsi="Times New Roman" w:cs="Times New Roman"/>
          <w:color w:val="000000"/>
        </w:rPr>
        <w:t xml:space="preserve">e </w:t>
      </w:r>
      <w:r w:rsidRPr="00F84BC5">
        <w:rPr>
          <w:rFonts w:ascii="Times New Roman" w:eastAsia="Times New Roman" w:hAnsi="Times New Roman" w:cs="Times New Roman"/>
          <w:i/>
          <w:color w:val="000000"/>
        </w:rPr>
        <w:t>pratica</w:t>
      </w:r>
      <w:r w:rsidRPr="00F84BC5">
        <w:rPr>
          <w:rFonts w:ascii="Times New Roman" w:eastAsia="Times New Roman" w:hAnsi="Times New Roman" w:cs="Times New Roman"/>
          <w:color w:val="000000"/>
        </w:rPr>
        <w:t xml:space="preserve"> </w:t>
      </w:r>
      <w:r w:rsidR="00034974" w:rsidRPr="00F84BC5">
        <w:rPr>
          <w:rFonts w:ascii="Times New Roman" w:eastAsia="Times New Roman" w:hAnsi="Times New Roman" w:cs="Times New Roman"/>
          <w:color w:val="000000"/>
        </w:rPr>
        <w:t xml:space="preserve">che sancisce il passaggio dalla soggettività finita alla soggettività assoluta. </w:t>
      </w:r>
      <w:r w:rsidR="00034974" w:rsidRPr="008852B4">
        <w:rPr>
          <w:rFonts w:ascii="Times New Roman" w:eastAsia="Times New Roman" w:hAnsi="Times New Roman" w:cs="Times New Roman"/>
          <w:color w:val="000000"/>
        </w:rPr>
        <w:t>Lo</w:t>
      </w:r>
      <w:r w:rsidR="001975D2" w:rsidRPr="008852B4">
        <w:rPr>
          <w:rFonts w:ascii="Times New Roman" w:eastAsia="Times New Roman" w:hAnsi="Times New Roman" w:cs="Times New Roman"/>
          <w:i/>
          <w:color w:val="000000"/>
        </w:rPr>
        <w:t xml:space="preserve"> spirito assoluto</w:t>
      </w:r>
      <w:r w:rsidR="001975D2" w:rsidRPr="008852B4">
        <w:rPr>
          <w:rFonts w:ascii="Times New Roman" w:eastAsia="Times New Roman" w:hAnsi="Times New Roman" w:cs="Times New Roman"/>
          <w:color w:val="000000"/>
        </w:rPr>
        <w:t xml:space="preserve"> (</w:t>
      </w:r>
      <w:r w:rsidR="00F654D5" w:rsidRPr="008852B4">
        <w:rPr>
          <w:rFonts w:ascii="Times New Roman" w:eastAsia="Times New Roman" w:hAnsi="Times New Roman" w:cs="Times New Roman"/>
          <w:i/>
          <w:color w:val="000000"/>
        </w:rPr>
        <w:t>der absolute</w:t>
      </w:r>
      <w:r w:rsidR="001975D2" w:rsidRPr="008852B4">
        <w:rPr>
          <w:rFonts w:ascii="Times New Roman" w:eastAsia="Times New Roman" w:hAnsi="Times New Roman" w:cs="Times New Roman"/>
          <w:i/>
          <w:color w:val="000000"/>
        </w:rPr>
        <w:t xml:space="preserve"> Geist</w:t>
      </w:r>
      <w:r w:rsidR="001975D2" w:rsidRPr="008852B4">
        <w:rPr>
          <w:rFonts w:ascii="Times New Roman" w:eastAsia="Times New Roman" w:hAnsi="Times New Roman" w:cs="Times New Roman"/>
          <w:color w:val="000000"/>
        </w:rPr>
        <w:t xml:space="preserve">) </w:t>
      </w:r>
      <w:r w:rsidR="003D1504" w:rsidRPr="008852B4">
        <w:rPr>
          <w:rFonts w:ascii="Times New Roman" w:eastAsia="Times New Roman" w:hAnsi="Times New Roman" w:cs="Times New Roman"/>
          <w:color w:val="000000"/>
        </w:rPr>
        <w:t>emerge come</w:t>
      </w:r>
      <w:r w:rsidR="00034974" w:rsidRPr="008852B4">
        <w:rPr>
          <w:rFonts w:ascii="Times New Roman" w:eastAsia="Times New Roman" w:hAnsi="Times New Roman" w:cs="Times New Roman"/>
          <w:color w:val="000000"/>
        </w:rPr>
        <w:t xml:space="preserve"> autouguaglianza assoluta</w:t>
      </w:r>
      <w:r w:rsidR="003D1504" w:rsidRPr="008852B4">
        <w:rPr>
          <w:rFonts w:ascii="Times New Roman" w:eastAsia="Times New Roman" w:hAnsi="Times New Roman" w:cs="Times New Roman"/>
          <w:color w:val="000000"/>
        </w:rPr>
        <w:t>,</w:t>
      </w:r>
      <w:r w:rsidR="00034974" w:rsidRPr="008852B4">
        <w:rPr>
          <w:rFonts w:ascii="Times New Roman" w:eastAsia="Times New Roman" w:hAnsi="Times New Roman" w:cs="Times New Roman"/>
          <w:color w:val="000000"/>
        </w:rPr>
        <w:t xml:space="preserve"> che può dispiegarsi nell’opposizione assoluta e nel superamento della medesima. </w:t>
      </w:r>
      <w:r w:rsidR="00F654D5" w:rsidRPr="008852B4">
        <w:rPr>
          <w:rFonts w:ascii="Times New Roman" w:eastAsia="Times New Roman" w:hAnsi="Times New Roman" w:cs="Times New Roman"/>
          <w:color w:val="000000"/>
        </w:rPr>
        <w:t>L’</w:t>
      </w:r>
      <w:r w:rsidR="00F654D5" w:rsidRPr="008852B4">
        <w:rPr>
          <w:rFonts w:ascii="Times New Roman" w:eastAsia="Times New Roman" w:hAnsi="Times New Roman" w:cs="Times New Roman"/>
          <w:i/>
          <w:color w:val="000000"/>
        </w:rPr>
        <w:t>absoluter Geist</w:t>
      </w:r>
      <w:r w:rsidR="00F654D5" w:rsidRPr="008852B4">
        <w:rPr>
          <w:rFonts w:ascii="Times New Roman" w:eastAsia="Times New Roman" w:hAnsi="Times New Roman" w:cs="Times New Roman"/>
          <w:color w:val="000000"/>
        </w:rPr>
        <w:t xml:space="preserve"> </w:t>
      </w:r>
      <w:r w:rsidR="00034974" w:rsidRPr="008852B4">
        <w:rPr>
          <w:rFonts w:ascii="Times New Roman" w:eastAsia="Times New Roman" w:hAnsi="Times New Roman" w:cs="Times New Roman"/>
          <w:color w:val="000000"/>
        </w:rPr>
        <w:t>è</w:t>
      </w:r>
      <w:r w:rsidR="003B5AEC">
        <w:rPr>
          <w:rFonts w:ascii="Times New Roman" w:eastAsia="Times New Roman" w:hAnsi="Times New Roman" w:cs="Times New Roman"/>
          <w:color w:val="000000"/>
        </w:rPr>
        <w:t xml:space="preserve"> «die Idee des höchsten Wesens</w:t>
      </w:r>
      <w:r w:rsidR="003B5AEC" w:rsidRPr="003B5AEC">
        <w:rPr>
          <w:rFonts w:ascii="Times New Roman" w:eastAsia="Times New Roman" w:hAnsi="Times New Roman" w:cs="Times New Roman"/>
          <w:color w:val="000000"/>
        </w:rPr>
        <w:t>»</w:t>
      </w:r>
      <w:r w:rsidR="003B5AEC">
        <w:rPr>
          <w:rStyle w:val="Rimandonotaapidipagina"/>
          <w:rFonts w:ascii="Times New Roman" w:eastAsia="Times New Roman" w:hAnsi="Times New Roman" w:cs="Times New Roman"/>
          <w:color w:val="000000"/>
        </w:rPr>
        <w:footnoteReference w:id="266"/>
      </w:r>
      <w:r w:rsidR="003B5AEC" w:rsidRPr="003B5AEC">
        <w:rPr>
          <w:rFonts w:ascii="Times New Roman" w:eastAsia="Times New Roman" w:hAnsi="Times New Roman" w:cs="Times New Roman"/>
          <w:color w:val="000000"/>
        </w:rPr>
        <w:t>,</w:t>
      </w:r>
      <w:r w:rsidR="003B5AEC">
        <w:rPr>
          <w:rFonts w:ascii="Times New Roman" w:eastAsia="Times New Roman" w:hAnsi="Times New Roman" w:cs="Times New Roman"/>
          <w:color w:val="000000"/>
        </w:rPr>
        <w:t xml:space="preserve"> </w:t>
      </w:r>
      <w:r w:rsidR="00034974" w:rsidRPr="008852B4">
        <w:rPr>
          <w:rFonts w:ascii="Times New Roman" w:eastAsia="Times New Roman" w:hAnsi="Times New Roman" w:cs="Times New Roman"/>
          <w:color w:val="000000"/>
        </w:rPr>
        <w:t xml:space="preserve">l’identità del principio buono </w:t>
      </w:r>
      <w:r w:rsidR="003D1504" w:rsidRPr="008852B4">
        <w:rPr>
          <w:rFonts w:ascii="Times New Roman" w:eastAsia="Times New Roman" w:hAnsi="Times New Roman" w:cs="Times New Roman"/>
          <w:color w:val="000000"/>
        </w:rPr>
        <w:t xml:space="preserve">e del principio cattivo: essere in </w:t>
      </w:r>
      <w:r w:rsidR="00034974" w:rsidRPr="008852B4">
        <w:rPr>
          <w:rFonts w:ascii="Times New Roman" w:eastAsia="Times New Roman" w:hAnsi="Times New Roman" w:cs="Times New Roman"/>
          <w:color w:val="000000"/>
        </w:rPr>
        <w:t xml:space="preserve">sé ed </w:t>
      </w:r>
      <w:r w:rsidR="003D1504" w:rsidRPr="008852B4">
        <w:rPr>
          <w:rFonts w:ascii="Times New Roman" w:eastAsia="Times New Roman" w:hAnsi="Times New Roman" w:cs="Times New Roman"/>
          <w:color w:val="000000"/>
        </w:rPr>
        <w:t xml:space="preserve">essere per </w:t>
      </w:r>
      <w:r w:rsidR="00034974" w:rsidRPr="008852B4">
        <w:rPr>
          <w:rFonts w:ascii="Times New Roman" w:eastAsia="Times New Roman" w:hAnsi="Times New Roman" w:cs="Times New Roman"/>
          <w:color w:val="000000"/>
        </w:rPr>
        <w:t>sé</w:t>
      </w:r>
      <w:r w:rsidR="00DB728B" w:rsidRPr="008852B4">
        <w:rPr>
          <w:rFonts w:ascii="Times New Roman" w:eastAsia="Times New Roman" w:hAnsi="Times New Roman" w:cs="Times New Roman"/>
          <w:color w:val="000000"/>
        </w:rPr>
        <w:t xml:space="preserve"> sono </w:t>
      </w:r>
      <w:r w:rsidR="00F654D5" w:rsidRPr="008852B4">
        <w:rPr>
          <w:rFonts w:ascii="Times New Roman" w:eastAsia="Times New Roman" w:hAnsi="Times New Roman" w:cs="Times New Roman"/>
          <w:color w:val="000000"/>
        </w:rPr>
        <w:t>in ess</w:t>
      </w:r>
      <w:r w:rsidR="00DB728B" w:rsidRPr="008852B4">
        <w:rPr>
          <w:rFonts w:ascii="Times New Roman" w:eastAsia="Times New Roman" w:hAnsi="Times New Roman" w:cs="Times New Roman"/>
          <w:color w:val="000000"/>
        </w:rPr>
        <w:t>o</w:t>
      </w:r>
      <w:r w:rsidR="00355BD2" w:rsidRPr="008852B4">
        <w:rPr>
          <w:rFonts w:ascii="Times New Roman" w:eastAsia="Times New Roman" w:hAnsi="Times New Roman" w:cs="Times New Roman"/>
          <w:color w:val="000000"/>
        </w:rPr>
        <w:t xml:space="preserve"> l’uguale e</w:t>
      </w:r>
      <w:r w:rsidR="00E36F55" w:rsidRPr="008852B4">
        <w:rPr>
          <w:rFonts w:ascii="Times New Roman" w:eastAsia="Times New Roman" w:hAnsi="Times New Roman" w:cs="Times New Roman"/>
          <w:color w:val="000000"/>
        </w:rPr>
        <w:t xml:space="preserve"> il diseguale in loro stessi</w:t>
      </w:r>
      <w:r w:rsidR="00034974" w:rsidRPr="008852B4">
        <w:rPr>
          <w:rFonts w:ascii="Times New Roman" w:eastAsia="Times New Roman" w:hAnsi="Times New Roman" w:cs="Times New Roman"/>
          <w:color w:val="000000"/>
        </w:rPr>
        <w:t xml:space="preserve">. </w:t>
      </w:r>
      <w:r w:rsidR="00B14E00" w:rsidRPr="008852B4">
        <w:rPr>
          <w:rFonts w:ascii="Times New Roman" w:eastAsia="Times New Roman" w:hAnsi="Times New Roman" w:cs="Times New Roman"/>
          <w:color w:val="000000"/>
        </w:rPr>
        <w:t>N</w:t>
      </w:r>
      <w:r w:rsidR="00E36F55" w:rsidRPr="008852B4">
        <w:rPr>
          <w:rFonts w:ascii="Times New Roman" w:eastAsia="Times New Roman" w:hAnsi="Times New Roman" w:cs="Times New Roman"/>
          <w:color w:val="000000"/>
        </w:rPr>
        <w:t>ell</w:t>
      </w:r>
      <w:r w:rsidR="001975D2" w:rsidRPr="008852B4">
        <w:rPr>
          <w:rFonts w:ascii="Times New Roman" w:eastAsia="Times New Roman" w:hAnsi="Times New Roman" w:cs="Times New Roman"/>
          <w:color w:val="000000"/>
        </w:rPr>
        <w:t>’</w:t>
      </w:r>
      <w:r w:rsidR="001975D2" w:rsidRPr="008852B4">
        <w:rPr>
          <w:rFonts w:ascii="Times New Roman" w:eastAsia="Times New Roman" w:hAnsi="Times New Roman" w:cs="Times New Roman"/>
          <w:i/>
          <w:color w:val="000000"/>
        </w:rPr>
        <w:t>a</w:t>
      </w:r>
      <w:r w:rsidR="00E36F55" w:rsidRPr="008852B4">
        <w:rPr>
          <w:rFonts w:ascii="Times New Roman" w:eastAsia="Times New Roman" w:hAnsi="Times New Roman" w:cs="Times New Roman"/>
          <w:i/>
          <w:color w:val="000000"/>
        </w:rPr>
        <w:t>bsoluter Geist</w:t>
      </w:r>
      <w:r w:rsidR="00E36F55" w:rsidRPr="008852B4">
        <w:rPr>
          <w:rFonts w:ascii="Times New Roman" w:eastAsia="Times New Roman" w:hAnsi="Times New Roman" w:cs="Times New Roman"/>
          <w:color w:val="000000"/>
        </w:rPr>
        <w:t xml:space="preserve">, </w:t>
      </w:r>
      <w:r w:rsidR="00E16DDD" w:rsidRPr="008852B4">
        <w:rPr>
          <w:rFonts w:ascii="Times New Roman" w:eastAsia="Times New Roman" w:hAnsi="Times New Roman" w:cs="Times New Roman"/>
          <w:color w:val="000000"/>
        </w:rPr>
        <w:t xml:space="preserve">quindi, </w:t>
      </w:r>
      <w:r w:rsidR="00B14E00" w:rsidRPr="008852B4">
        <w:rPr>
          <w:rFonts w:ascii="Times New Roman" w:eastAsia="Times New Roman" w:hAnsi="Times New Roman" w:cs="Times New Roman"/>
          <w:color w:val="000000"/>
        </w:rPr>
        <w:t>l’infinito</w:t>
      </w:r>
      <w:r w:rsidR="00B14E00" w:rsidRPr="00956CF9">
        <w:rPr>
          <w:rFonts w:ascii="Times New Roman" w:eastAsia="Times New Roman" w:hAnsi="Times New Roman" w:cs="Times New Roman"/>
          <w:color w:val="000000"/>
        </w:rPr>
        <w:t xml:space="preserve"> dell’</w:t>
      </w:r>
      <w:r w:rsidR="00B14E00" w:rsidRPr="00956CF9">
        <w:rPr>
          <w:rFonts w:ascii="Times New Roman" w:eastAsia="Times New Roman" w:hAnsi="Times New Roman" w:cs="Times New Roman"/>
          <w:i/>
          <w:color w:val="000000"/>
        </w:rPr>
        <w:t>einfache Beziehun</w:t>
      </w:r>
      <w:r w:rsidR="00E52BA2" w:rsidRPr="00956CF9">
        <w:rPr>
          <w:rFonts w:ascii="Times New Roman" w:eastAsia="Times New Roman" w:hAnsi="Times New Roman" w:cs="Times New Roman"/>
          <w:i/>
          <w:color w:val="000000"/>
        </w:rPr>
        <w:t>g</w:t>
      </w:r>
      <w:r w:rsidR="00B14E00" w:rsidRPr="00956CF9">
        <w:rPr>
          <w:rFonts w:ascii="Times New Roman" w:eastAsia="Times New Roman" w:hAnsi="Times New Roman" w:cs="Times New Roman"/>
          <w:color w:val="000000"/>
        </w:rPr>
        <w:t xml:space="preserve"> trova </w:t>
      </w:r>
      <w:r w:rsidR="00F654D5">
        <w:rPr>
          <w:rFonts w:ascii="Times New Roman" w:eastAsia="Times New Roman" w:hAnsi="Times New Roman" w:cs="Times New Roman"/>
          <w:color w:val="000000"/>
        </w:rPr>
        <w:t xml:space="preserve">piena </w:t>
      </w:r>
      <w:r w:rsidR="00606A85" w:rsidRPr="00956CF9">
        <w:rPr>
          <w:rFonts w:ascii="Times New Roman" w:eastAsia="Times New Roman" w:hAnsi="Times New Roman" w:cs="Times New Roman"/>
          <w:color w:val="000000"/>
        </w:rPr>
        <w:t xml:space="preserve">realizzazione: lo spirito, o </w:t>
      </w:r>
      <w:r w:rsidR="00F77043" w:rsidRPr="00956CF9">
        <w:rPr>
          <w:rFonts w:ascii="Times New Roman" w:eastAsia="Times New Roman" w:hAnsi="Times New Roman" w:cs="Times New Roman"/>
          <w:color w:val="000000"/>
        </w:rPr>
        <w:t>l’uguale a sé</w:t>
      </w:r>
      <w:r w:rsidR="00606A85" w:rsidRPr="00956CF9">
        <w:rPr>
          <w:rFonts w:ascii="Times New Roman" w:eastAsia="Times New Roman" w:hAnsi="Times New Roman" w:cs="Times New Roman"/>
          <w:color w:val="000000"/>
        </w:rPr>
        <w:t>, si rovescia nel</w:t>
      </w:r>
      <w:r w:rsidR="00F77043" w:rsidRPr="00956CF9">
        <w:rPr>
          <w:rFonts w:ascii="Times New Roman" w:eastAsia="Times New Roman" w:hAnsi="Times New Roman" w:cs="Times New Roman"/>
          <w:color w:val="000000"/>
        </w:rPr>
        <w:t xml:space="preserve">la propria diseguaglianza che, a </w:t>
      </w:r>
      <w:r w:rsidR="00606A85" w:rsidRPr="00956CF9">
        <w:rPr>
          <w:rFonts w:ascii="Times New Roman" w:eastAsia="Times New Roman" w:hAnsi="Times New Roman" w:cs="Times New Roman"/>
          <w:color w:val="000000"/>
        </w:rPr>
        <w:t>propria volta, è in sé diseguale</w:t>
      </w:r>
      <w:r w:rsidR="00F45758" w:rsidRPr="00956CF9">
        <w:rPr>
          <w:rFonts w:ascii="Times New Roman" w:eastAsia="Times New Roman" w:hAnsi="Times New Roman" w:cs="Times New Roman"/>
          <w:color w:val="000000"/>
        </w:rPr>
        <w:t>, ossia</w:t>
      </w:r>
      <w:r w:rsidR="00606A85" w:rsidRPr="00956CF9">
        <w:rPr>
          <w:rFonts w:ascii="Times New Roman" w:eastAsia="Times New Roman" w:hAnsi="Times New Roman" w:cs="Times New Roman"/>
          <w:color w:val="000000"/>
        </w:rPr>
        <w:t xml:space="preserve"> </w:t>
      </w:r>
      <w:r w:rsidR="00F77043" w:rsidRPr="00956CF9">
        <w:rPr>
          <w:rFonts w:ascii="Times New Roman" w:eastAsia="Times New Roman" w:hAnsi="Times New Roman" w:cs="Times New Roman"/>
          <w:color w:val="000000"/>
        </w:rPr>
        <w:t xml:space="preserve">l’uguale a sé. Lo spirito assoluto </w:t>
      </w:r>
      <w:r w:rsidR="00606A85" w:rsidRPr="00956CF9">
        <w:rPr>
          <w:rFonts w:ascii="Times New Roman" w:eastAsia="Times New Roman" w:hAnsi="Times New Roman" w:cs="Times New Roman"/>
          <w:color w:val="000000"/>
        </w:rPr>
        <w:t>divi</w:t>
      </w:r>
      <w:r w:rsidR="00F84BC5" w:rsidRPr="00956CF9">
        <w:rPr>
          <w:rFonts w:ascii="Times New Roman" w:eastAsia="Times New Roman" w:hAnsi="Times New Roman" w:cs="Times New Roman"/>
          <w:color w:val="000000"/>
        </w:rPr>
        <w:t>e</w:t>
      </w:r>
      <w:r w:rsidR="00606A85" w:rsidRPr="00956CF9">
        <w:rPr>
          <w:rFonts w:ascii="Times New Roman" w:eastAsia="Times New Roman" w:hAnsi="Times New Roman" w:cs="Times New Roman"/>
          <w:color w:val="000000"/>
        </w:rPr>
        <w:t xml:space="preserve">ne a sé un </w:t>
      </w:r>
      <w:r w:rsidR="00F77043" w:rsidRPr="00956CF9">
        <w:rPr>
          <w:rFonts w:ascii="Times New Roman" w:eastAsia="Times New Roman" w:hAnsi="Times New Roman" w:cs="Times New Roman"/>
          <w:color w:val="000000"/>
        </w:rPr>
        <w:t>estraneo</w:t>
      </w:r>
      <w:r w:rsidR="00606A85" w:rsidRPr="00956CF9">
        <w:rPr>
          <w:rFonts w:ascii="Times New Roman" w:eastAsia="Times New Roman" w:hAnsi="Times New Roman" w:cs="Times New Roman"/>
          <w:color w:val="000000"/>
        </w:rPr>
        <w:t xml:space="preserve"> e, in questa perdita di sé, ritrova</w:t>
      </w:r>
      <w:r w:rsidR="00D52D57" w:rsidRPr="00956CF9">
        <w:rPr>
          <w:rFonts w:ascii="Times New Roman" w:eastAsia="Times New Roman" w:hAnsi="Times New Roman" w:cs="Times New Roman"/>
          <w:color w:val="000000"/>
        </w:rPr>
        <w:t xml:space="preserve"> </w:t>
      </w:r>
      <w:r w:rsidR="00606A85" w:rsidRPr="00956CF9">
        <w:rPr>
          <w:rFonts w:ascii="Times New Roman" w:eastAsia="Times New Roman" w:hAnsi="Times New Roman" w:cs="Times New Roman"/>
          <w:color w:val="000000"/>
        </w:rPr>
        <w:t xml:space="preserve">se stesso: </w:t>
      </w:r>
      <w:r w:rsidR="00F77043" w:rsidRPr="00355BD2">
        <w:rPr>
          <w:rFonts w:ascii="Times New Roman" w:eastAsia="Times New Roman" w:hAnsi="Times New Roman" w:cs="Times New Roman"/>
          <w:color w:val="000000"/>
        </w:rPr>
        <w:t>«</w:t>
      </w:r>
      <w:r w:rsidR="00606A85" w:rsidRPr="00355BD2">
        <w:rPr>
          <w:rFonts w:ascii="Times New Roman" w:eastAsia="Times New Roman" w:hAnsi="Times New Roman" w:cs="Times New Roman"/>
          <w:color w:val="000000"/>
        </w:rPr>
        <w:t xml:space="preserve">Es ist </w:t>
      </w:r>
      <w:r w:rsidR="00270D1B" w:rsidRPr="00355BD2">
        <w:rPr>
          <w:rFonts w:ascii="Times New Roman" w:eastAsia="Times New Roman" w:hAnsi="Times New Roman" w:cs="Times New Roman"/>
          <w:color w:val="000000"/>
        </w:rPr>
        <w:t>das Nichts; ode</w:t>
      </w:r>
      <w:r w:rsidR="000154B6">
        <w:rPr>
          <w:rFonts w:ascii="Times New Roman" w:eastAsia="Times New Roman" w:hAnsi="Times New Roman" w:cs="Times New Roman"/>
          <w:color w:val="000000"/>
        </w:rPr>
        <w:t>r es ist als das absolute Gege</w:t>
      </w:r>
      <w:r w:rsidR="00270D1B" w:rsidRPr="00355BD2">
        <w:rPr>
          <w:rFonts w:ascii="Times New Roman" w:eastAsia="Times New Roman" w:hAnsi="Times New Roman" w:cs="Times New Roman"/>
          <w:color w:val="000000"/>
        </w:rPr>
        <w:t xml:space="preserve">ntheil seiner selbst, und als diß Gegentheil seiner selbst wieder das Gegentheil, die absolute Unruhe, es ist der absolute Begriff, </w:t>
      </w:r>
      <w:r w:rsidR="00270D1B" w:rsidRPr="00E83F65">
        <w:rPr>
          <w:rFonts w:ascii="Times New Roman" w:eastAsia="Times New Roman" w:hAnsi="Times New Roman" w:cs="Times New Roman"/>
          <w:color w:val="000000"/>
        </w:rPr>
        <w:t>die Unendlichkeit</w:t>
      </w:r>
      <w:r w:rsidR="00F77043" w:rsidRPr="00E83F65">
        <w:rPr>
          <w:rFonts w:ascii="Times New Roman" w:eastAsia="Times New Roman" w:hAnsi="Times New Roman" w:cs="Times New Roman"/>
          <w:color w:val="000000"/>
        </w:rPr>
        <w:t>»</w:t>
      </w:r>
      <w:r w:rsidR="00F77043" w:rsidRPr="00E83F65">
        <w:rPr>
          <w:rStyle w:val="Rimandonotaapidipagina"/>
          <w:rFonts w:ascii="Times New Roman" w:eastAsia="Times New Roman" w:hAnsi="Times New Roman" w:cs="Times New Roman"/>
          <w:color w:val="000000"/>
        </w:rPr>
        <w:footnoteReference w:id="267"/>
      </w:r>
      <w:r w:rsidR="003172AB" w:rsidRPr="00E83F65">
        <w:rPr>
          <w:rFonts w:ascii="Times New Roman" w:eastAsia="Times New Roman" w:hAnsi="Times New Roman" w:cs="Times New Roman"/>
          <w:color w:val="000000"/>
        </w:rPr>
        <w:t>. R</w:t>
      </w:r>
      <w:r w:rsidR="00EF183B" w:rsidRPr="00E83F65">
        <w:rPr>
          <w:rFonts w:ascii="Times New Roman" w:eastAsia="Times New Roman" w:hAnsi="Times New Roman" w:cs="Times New Roman"/>
          <w:color w:val="000000"/>
        </w:rPr>
        <w:t xml:space="preserve">iflettendosi in sé, </w:t>
      </w:r>
      <w:r w:rsidR="009343F1" w:rsidRPr="00E83F65">
        <w:rPr>
          <w:rFonts w:ascii="Times New Roman" w:eastAsia="Times New Roman" w:hAnsi="Times New Roman" w:cs="Times New Roman"/>
          <w:color w:val="000000"/>
        </w:rPr>
        <w:t xml:space="preserve">l’infinità, </w:t>
      </w:r>
      <w:r w:rsidR="003172AB" w:rsidRPr="00E83F65">
        <w:rPr>
          <w:rFonts w:ascii="Times New Roman" w:eastAsia="Times New Roman" w:hAnsi="Times New Roman" w:cs="Times New Roman"/>
          <w:color w:val="000000"/>
        </w:rPr>
        <w:t>il nulla</w:t>
      </w:r>
      <w:r w:rsidR="009343F1" w:rsidRPr="00E83F65">
        <w:rPr>
          <w:rFonts w:ascii="Times New Roman" w:eastAsia="Times New Roman" w:hAnsi="Times New Roman" w:cs="Times New Roman"/>
          <w:color w:val="000000"/>
        </w:rPr>
        <w:t>,</w:t>
      </w:r>
      <w:r w:rsidR="003172AB" w:rsidRPr="00E83F65">
        <w:rPr>
          <w:rFonts w:ascii="Times New Roman" w:eastAsia="Times New Roman" w:hAnsi="Times New Roman" w:cs="Times New Roman"/>
          <w:color w:val="000000"/>
        </w:rPr>
        <w:t xml:space="preserve"> si nega come</w:t>
      </w:r>
      <w:r w:rsidR="00EF183B" w:rsidRPr="00E83F65">
        <w:rPr>
          <w:rFonts w:ascii="Times New Roman" w:eastAsia="Times New Roman" w:hAnsi="Times New Roman" w:cs="Times New Roman"/>
          <w:color w:val="000000"/>
        </w:rPr>
        <w:t xml:space="preserve"> autoegu</w:t>
      </w:r>
      <w:r w:rsidR="003172AB" w:rsidRPr="00E83F65">
        <w:rPr>
          <w:rFonts w:ascii="Times New Roman" w:eastAsia="Times New Roman" w:hAnsi="Times New Roman" w:cs="Times New Roman"/>
          <w:color w:val="000000"/>
        </w:rPr>
        <w:t xml:space="preserve">aglianza astratta, si determina </w:t>
      </w:r>
      <w:r w:rsidR="00EF183B" w:rsidRPr="00E83F65">
        <w:rPr>
          <w:rFonts w:ascii="Times New Roman" w:eastAsia="Times New Roman" w:hAnsi="Times New Roman" w:cs="Times New Roman"/>
          <w:color w:val="000000"/>
        </w:rPr>
        <w:t xml:space="preserve">come </w:t>
      </w:r>
      <w:r w:rsidR="003172AB" w:rsidRPr="00E83F65">
        <w:rPr>
          <w:rFonts w:ascii="Times New Roman" w:eastAsia="Times New Roman" w:hAnsi="Times New Roman" w:cs="Times New Roman"/>
          <w:color w:val="000000"/>
        </w:rPr>
        <w:t>l</w:t>
      </w:r>
      <w:r w:rsidR="00EF183B" w:rsidRPr="00E83F65">
        <w:rPr>
          <w:rFonts w:ascii="Times New Roman" w:eastAsia="Times New Roman" w:hAnsi="Times New Roman" w:cs="Times New Roman"/>
          <w:color w:val="000000"/>
        </w:rPr>
        <w:t xml:space="preserve">’altro da sé </w:t>
      </w:r>
      <w:r w:rsidR="003172AB" w:rsidRPr="00E83F65">
        <w:rPr>
          <w:rFonts w:ascii="Times New Roman" w:eastAsia="Times New Roman" w:hAnsi="Times New Roman" w:cs="Times New Roman"/>
          <w:color w:val="000000"/>
        </w:rPr>
        <w:t xml:space="preserve">e torna a sé come </w:t>
      </w:r>
      <w:r w:rsidR="00EF183B" w:rsidRPr="00E83F65">
        <w:rPr>
          <w:rFonts w:ascii="Times New Roman" w:eastAsia="Times New Roman" w:hAnsi="Times New Roman" w:cs="Times New Roman"/>
          <w:color w:val="000000"/>
        </w:rPr>
        <w:t>autoeguaglianza realizza</w:t>
      </w:r>
      <w:r w:rsidR="00D468AD" w:rsidRPr="00E83F65">
        <w:rPr>
          <w:rFonts w:ascii="Times New Roman" w:eastAsia="Times New Roman" w:hAnsi="Times New Roman" w:cs="Times New Roman"/>
          <w:color w:val="000000"/>
        </w:rPr>
        <w:t>ta</w:t>
      </w:r>
      <w:r w:rsidR="003172AB" w:rsidRPr="00E83F65">
        <w:rPr>
          <w:rFonts w:ascii="Times New Roman" w:eastAsia="Times New Roman" w:hAnsi="Times New Roman" w:cs="Times New Roman"/>
          <w:color w:val="000000"/>
        </w:rPr>
        <w:t>, concetto assoluto</w:t>
      </w:r>
      <w:r w:rsidR="00D468AD" w:rsidRPr="00E83F65">
        <w:rPr>
          <w:rFonts w:ascii="Times New Roman" w:eastAsia="Times New Roman" w:hAnsi="Times New Roman" w:cs="Times New Roman"/>
          <w:color w:val="000000"/>
        </w:rPr>
        <w:t xml:space="preserve">. Un </w:t>
      </w:r>
      <w:r w:rsidR="003172AB" w:rsidRPr="00E83F65">
        <w:rPr>
          <w:rFonts w:ascii="Times New Roman" w:eastAsia="Times New Roman" w:hAnsi="Times New Roman" w:cs="Times New Roman"/>
          <w:color w:val="000000"/>
        </w:rPr>
        <w:t>indiv</w:t>
      </w:r>
      <w:r w:rsidR="00E52BA2" w:rsidRPr="00E83F65">
        <w:rPr>
          <w:rFonts w:ascii="Times New Roman" w:eastAsia="Times New Roman" w:hAnsi="Times New Roman" w:cs="Times New Roman"/>
          <w:color w:val="000000"/>
        </w:rPr>
        <w:t>is</w:t>
      </w:r>
      <w:r w:rsidR="00355BD2" w:rsidRPr="00E83F65">
        <w:rPr>
          <w:rFonts w:ascii="Times New Roman" w:eastAsia="Times New Roman" w:hAnsi="Times New Roman" w:cs="Times New Roman"/>
          <w:color w:val="000000"/>
        </w:rPr>
        <w:t>o e</w:t>
      </w:r>
      <w:r w:rsidR="003172AB" w:rsidRPr="00E83F65">
        <w:rPr>
          <w:rFonts w:ascii="Times New Roman" w:eastAsia="Times New Roman" w:hAnsi="Times New Roman" w:cs="Times New Roman"/>
          <w:color w:val="000000"/>
        </w:rPr>
        <w:t xml:space="preserve"> unico </w:t>
      </w:r>
      <w:r w:rsidR="00342A54" w:rsidRPr="00E83F65">
        <w:rPr>
          <w:rFonts w:ascii="Times New Roman" w:eastAsia="Times New Roman" w:hAnsi="Times New Roman" w:cs="Times New Roman"/>
          <w:color w:val="000000"/>
        </w:rPr>
        <w:t>soggetto</w:t>
      </w:r>
      <w:r w:rsidR="004C27A0" w:rsidRPr="00E83F65">
        <w:rPr>
          <w:rFonts w:ascii="Times New Roman" w:eastAsia="Times New Roman" w:hAnsi="Times New Roman" w:cs="Times New Roman"/>
          <w:color w:val="000000"/>
        </w:rPr>
        <w:t>, animato da un’irrequietezza assoluta</w:t>
      </w:r>
      <w:r w:rsidR="004C27A0">
        <w:rPr>
          <w:rFonts w:ascii="Times New Roman" w:eastAsia="Times New Roman" w:hAnsi="Times New Roman" w:cs="Times New Roman"/>
          <w:color w:val="000000"/>
        </w:rPr>
        <w:t xml:space="preserve"> (</w:t>
      </w:r>
      <w:r w:rsidR="004C27A0" w:rsidRPr="004C27A0">
        <w:rPr>
          <w:rFonts w:ascii="Times New Roman" w:eastAsia="Times New Roman" w:hAnsi="Times New Roman" w:cs="Times New Roman"/>
          <w:i/>
          <w:color w:val="000000"/>
        </w:rPr>
        <w:t>die absolute Unruhe</w:t>
      </w:r>
      <w:r w:rsidR="004C27A0">
        <w:rPr>
          <w:rFonts w:ascii="Times New Roman" w:eastAsia="Times New Roman" w:hAnsi="Times New Roman" w:cs="Times New Roman"/>
          <w:color w:val="000000"/>
        </w:rPr>
        <w:t>),</w:t>
      </w:r>
      <w:r w:rsidR="00342A54" w:rsidRPr="00956CF9">
        <w:rPr>
          <w:rFonts w:ascii="Times New Roman" w:eastAsia="Times New Roman" w:hAnsi="Times New Roman" w:cs="Times New Roman"/>
          <w:color w:val="000000"/>
        </w:rPr>
        <w:t xml:space="preserve"> si dispiega</w:t>
      </w:r>
      <w:r w:rsidR="00D468AD" w:rsidRPr="00956CF9">
        <w:rPr>
          <w:rFonts w:ascii="Times New Roman" w:eastAsia="Times New Roman" w:hAnsi="Times New Roman" w:cs="Times New Roman"/>
          <w:color w:val="000000"/>
        </w:rPr>
        <w:t xml:space="preserve"> in questa dinamica processuale: </w:t>
      </w:r>
      <w:r w:rsidR="00EF183B" w:rsidRPr="00956CF9">
        <w:rPr>
          <w:rFonts w:ascii="Times New Roman" w:eastAsia="Times New Roman" w:hAnsi="Times New Roman" w:cs="Times New Roman"/>
          <w:color w:val="000000"/>
        </w:rPr>
        <w:t>negandosi, pon</w:t>
      </w:r>
      <w:r w:rsidR="00D468AD" w:rsidRPr="00956CF9">
        <w:rPr>
          <w:rFonts w:ascii="Times New Roman" w:eastAsia="Times New Roman" w:hAnsi="Times New Roman" w:cs="Times New Roman"/>
          <w:color w:val="000000"/>
        </w:rPr>
        <w:t xml:space="preserve">endosi e togliendosi come l’altro da sé, lo spirito ha sé come punto di partenza e d’arrivo del proprio </w:t>
      </w:r>
      <w:r w:rsidR="00606A85" w:rsidRPr="00956CF9">
        <w:rPr>
          <w:rFonts w:ascii="Times New Roman" w:eastAsia="Times New Roman" w:hAnsi="Times New Roman" w:cs="Times New Roman"/>
          <w:color w:val="000000"/>
        </w:rPr>
        <w:t>sviluppo</w:t>
      </w:r>
      <w:r w:rsidR="00D511B3" w:rsidRPr="00956CF9">
        <w:rPr>
          <w:rFonts w:ascii="Times New Roman" w:eastAsia="Times New Roman" w:hAnsi="Times New Roman" w:cs="Times New Roman"/>
          <w:color w:val="000000"/>
        </w:rPr>
        <w:t xml:space="preserve"> circolare. Riprendendo </w:t>
      </w:r>
      <w:r w:rsidR="004A6088" w:rsidRPr="00956CF9">
        <w:rPr>
          <w:rFonts w:ascii="Times New Roman" w:eastAsia="Times New Roman" w:hAnsi="Times New Roman" w:cs="Times New Roman"/>
          <w:color w:val="000000"/>
        </w:rPr>
        <w:t>l</w:t>
      </w:r>
      <w:r w:rsidR="00E16DDD">
        <w:rPr>
          <w:rFonts w:ascii="Times New Roman" w:eastAsia="Times New Roman" w:hAnsi="Times New Roman" w:cs="Times New Roman"/>
          <w:color w:val="000000"/>
        </w:rPr>
        <w:t>’immagine</w:t>
      </w:r>
      <w:r w:rsidR="00D511B3" w:rsidRPr="00956CF9">
        <w:rPr>
          <w:rFonts w:ascii="Times New Roman" w:eastAsia="Times New Roman" w:hAnsi="Times New Roman" w:cs="Times New Roman"/>
          <w:color w:val="000000"/>
        </w:rPr>
        <w:t xml:space="preserve"> </w:t>
      </w:r>
      <w:r w:rsidR="004A6088" w:rsidRPr="00956CF9">
        <w:rPr>
          <w:rFonts w:ascii="Times New Roman" w:eastAsia="Times New Roman" w:hAnsi="Times New Roman" w:cs="Times New Roman"/>
          <w:i/>
          <w:color w:val="000000"/>
        </w:rPr>
        <w:t>Kreislauf</w:t>
      </w:r>
      <w:r w:rsidR="004A6088" w:rsidRPr="00956CF9">
        <w:rPr>
          <w:rFonts w:ascii="Times New Roman" w:eastAsia="Times New Roman" w:hAnsi="Times New Roman" w:cs="Times New Roman"/>
          <w:color w:val="000000"/>
        </w:rPr>
        <w:t xml:space="preserve"> </w:t>
      </w:r>
      <w:r w:rsidR="00000ED8">
        <w:rPr>
          <w:rFonts w:ascii="Times New Roman" w:eastAsia="Times New Roman" w:hAnsi="Times New Roman" w:cs="Times New Roman"/>
          <w:color w:val="000000"/>
        </w:rPr>
        <w:t xml:space="preserve">, comune sia alla </w:t>
      </w:r>
      <w:r w:rsidR="00000ED8" w:rsidRPr="00000ED8">
        <w:rPr>
          <w:rFonts w:ascii="Times New Roman" w:eastAsia="Times New Roman" w:hAnsi="Times New Roman" w:cs="Times New Roman"/>
          <w:i/>
          <w:color w:val="000000"/>
        </w:rPr>
        <w:t>Naturphilosophie</w:t>
      </w:r>
      <w:r w:rsidR="00000ED8">
        <w:rPr>
          <w:rFonts w:ascii="Times New Roman" w:eastAsia="Times New Roman" w:hAnsi="Times New Roman" w:cs="Times New Roman"/>
          <w:color w:val="000000"/>
        </w:rPr>
        <w:t xml:space="preserve"> jenese che a</w:t>
      </w:r>
      <w:r w:rsidR="00D511B3" w:rsidRPr="00956CF9">
        <w:rPr>
          <w:rFonts w:ascii="Times New Roman" w:eastAsia="Times New Roman" w:hAnsi="Times New Roman" w:cs="Times New Roman"/>
          <w:color w:val="000000"/>
        </w:rPr>
        <w:t xml:space="preserve">l </w:t>
      </w:r>
      <w:r w:rsidR="00D511B3" w:rsidRPr="00956CF9">
        <w:rPr>
          <w:rFonts w:ascii="Times New Roman" w:eastAsia="Times New Roman" w:hAnsi="Times New Roman" w:cs="Times New Roman"/>
          <w:i/>
          <w:color w:val="000000"/>
        </w:rPr>
        <w:t>Fragment 49</w:t>
      </w:r>
      <w:r w:rsidR="00000ED8" w:rsidRPr="003B5AEC">
        <w:rPr>
          <w:rStyle w:val="Rimandonotaapidipagina"/>
          <w:rFonts w:ascii="Times New Roman" w:eastAsia="Times New Roman" w:hAnsi="Times New Roman" w:cs="Times New Roman"/>
          <w:color w:val="000000"/>
        </w:rPr>
        <w:footnoteReference w:id="268"/>
      </w:r>
      <w:r w:rsidR="004A6088" w:rsidRPr="003B5AEC">
        <w:rPr>
          <w:rFonts w:ascii="Times New Roman" w:eastAsia="Times New Roman" w:hAnsi="Times New Roman" w:cs="Times New Roman"/>
          <w:color w:val="000000"/>
        </w:rPr>
        <w:t>,</w:t>
      </w:r>
      <w:r w:rsidR="004A6088" w:rsidRPr="00956CF9">
        <w:rPr>
          <w:rFonts w:ascii="Times New Roman" w:eastAsia="Times New Roman" w:hAnsi="Times New Roman" w:cs="Times New Roman"/>
          <w:color w:val="000000"/>
        </w:rPr>
        <w:t xml:space="preserve"> Hegel osserva che</w:t>
      </w:r>
      <w:r w:rsidR="00D468AD" w:rsidRPr="00956CF9">
        <w:rPr>
          <w:rFonts w:ascii="Times New Roman" w:eastAsia="Times New Roman" w:hAnsi="Times New Roman" w:cs="Times New Roman"/>
          <w:color w:val="000000"/>
        </w:rPr>
        <w:t>:</w:t>
      </w:r>
    </w:p>
    <w:p w14:paraId="1091BACA" w14:textId="77777777" w:rsidR="00D468AD" w:rsidRPr="00B81148" w:rsidRDefault="00D468AD" w:rsidP="00A82950">
      <w:pPr>
        <w:spacing w:line="360" w:lineRule="auto"/>
        <w:ind w:firstLine="567"/>
        <w:jc w:val="both"/>
        <w:rPr>
          <w:rFonts w:ascii="Times New Roman" w:eastAsia="Times New Roman" w:hAnsi="Times New Roman" w:cs="Times New Roman"/>
          <w:i/>
          <w:color w:val="000000"/>
        </w:rPr>
      </w:pPr>
    </w:p>
    <w:p w14:paraId="68DBE416" w14:textId="56CA15A1" w:rsidR="00B1354C" w:rsidRDefault="00D468AD" w:rsidP="00B1354C">
      <w:pPr>
        <w:spacing w:line="360" w:lineRule="auto"/>
        <w:ind w:left="567" w:firstLine="567"/>
        <w:jc w:val="both"/>
        <w:rPr>
          <w:rFonts w:ascii="Times New Roman" w:eastAsia="Times New Roman" w:hAnsi="Times New Roman" w:cs="Times New Roman"/>
          <w:color w:val="000000"/>
          <w:sz w:val="20"/>
          <w:szCs w:val="20"/>
        </w:rPr>
      </w:pPr>
      <w:r w:rsidRPr="004610E3">
        <w:rPr>
          <w:rFonts w:ascii="Times New Roman" w:eastAsia="Times New Roman" w:hAnsi="Times New Roman" w:cs="Times New Roman"/>
          <w:color w:val="000000"/>
          <w:sz w:val="20"/>
          <w:szCs w:val="20"/>
        </w:rPr>
        <w:t>«</w:t>
      </w:r>
      <w:r w:rsidR="00E52BA2" w:rsidRPr="004610E3">
        <w:rPr>
          <w:rFonts w:ascii="Times New Roman" w:eastAsia="Times New Roman" w:hAnsi="Times New Roman" w:cs="Times New Roman"/>
          <w:color w:val="000000"/>
          <w:sz w:val="20"/>
          <w:szCs w:val="20"/>
        </w:rPr>
        <w:t>Der Kreislauf, welcher der Geist ist, ist das selbst, welches diesen Kreislauf durchläuft; und zwar in Geistgestalt, die in seiner Momenten nie seiner selbst vergiß, und in ihnen nicht als absoluter Geist für sich wäre […</w:t>
      </w:r>
      <w:r w:rsidR="00474434" w:rsidRPr="004610E3">
        <w:rPr>
          <w:rFonts w:ascii="Times New Roman" w:eastAsia="Times New Roman" w:hAnsi="Times New Roman" w:cs="Times New Roman"/>
          <w:color w:val="000000"/>
          <w:sz w:val="20"/>
          <w:szCs w:val="20"/>
        </w:rPr>
        <w:t>] Der Geist ist das Absolute, und es, seine Idee ist absolut realisiert,</w:t>
      </w:r>
      <w:r w:rsidR="006C54DA">
        <w:rPr>
          <w:rFonts w:ascii="Times New Roman" w:eastAsia="Times New Roman" w:hAnsi="Times New Roman" w:cs="Times New Roman"/>
          <w:color w:val="000000"/>
          <w:sz w:val="20"/>
          <w:szCs w:val="20"/>
        </w:rPr>
        <w:t xml:space="preserve"> </w:t>
      </w:r>
      <w:r w:rsidR="00474434" w:rsidRPr="004610E3">
        <w:rPr>
          <w:rFonts w:ascii="Times New Roman" w:eastAsia="Times New Roman" w:hAnsi="Times New Roman" w:cs="Times New Roman"/>
          <w:color w:val="000000"/>
          <w:sz w:val="20"/>
          <w:szCs w:val="20"/>
        </w:rPr>
        <w:t>erst indem die Momente des Geistes selbst dieser Geist sind, aber dann</w:t>
      </w:r>
      <w:r w:rsidR="006C54DA">
        <w:rPr>
          <w:rFonts w:ascii="Times New Roman" w:eastAsia="Times New Roman" w:hAnsi="Times New Roman" w:cs="Times New Roman"/>
          <w:color w:val="000000"/>
          <w:sz w:val="20"/>
          <w:szCs w:val="20"/>
        </w:rPr>
        <w:t xml:space="preserve"> i</w:t>
      </w:r>
      <w:r w:rsidR="00474434" w:rsidRPr="004610E3">
        <w:rPr>
          <w:rFonts w:ascii="Times New Roman" w:eastAsia="Times New Roman" w:hAnsi="Times New Roman" w:cs="Times New Roman"/>
          <w:color w:val="000000"/>
          <w:sz w:val="20"/>
          <w:szCs w:val="20"/>
        </w:rPr>
        <w:t>st auch kein Darüberhinausgehen</w:t>
      </w:r>
      <w:r w:rsidR="00F05682" w:rsidRPr="004610E3">
        <w:rPr>
          <w:rFonts w:ascii="Times New Roman" w:eastAsia="Times New Roman" w:hAnsi="Times New Roman" w:cs="Times New Roman"/>
          <w:color w:val="000000"/>
          <w:sz w:val="20"/>
          <w:szCs w:val="20"/>
        </w:rPr>
        <w:t>»</w:t>
      </w:r>
      <w:r w:rsidR="00F05682" w:rsidRPr="004610E3">
        <w:rPr>
          <w:rStyle w:val="Rimandonotaapidipagina"/>
          <w:rFonts w:ascii="Times New Roman" w:eastAsia="Times New Roman" w:hAnsi="Times New Roman" w:cs="Times New Roman"/>
          <w:color w:val="000000"/>
          <w:sz w:val="20"/>
          <w:szCs w:val="20"/>
        </w:rPr>
        <w:footnoteReference w:id="269"/>
      </w:r>
      <w:r w:rsidR="00DE2F7C" w:rsidRPr="004610E3">
        <w:rPr>
          <w:rFonts w:ascii="Times New Roman" w:eastAsia="Times New Roman" w:hAnsi="Times New Roman" w:cs="Times New Roman"/>
          <w:color w:val="000000"/>
          <w:sz w:val="20"/>
          <w:szCs w:val="20"/>
        </w:rPr>
        <w:t>.</w:t>
      </w:r>
    </w:p>
    <w:p w14:paraId="21ACA213" w14:textId="77777777" w:rsidR="00B1354C" w:rsidRPr="00E16DDD" w:rsidRDefault="00B1354C" w:rsidP="00B1354C">
      <w:pPr>
        <w:spacing w:line="360" w:lineRule="auto"/>
        <w:ind w:left="567" w:firstLine="567"/>
        <w:jc w:val="both"/>
        <w:rPr>
          <w:rFonts w:ascii="Times New Roman" w:eastAsia="Times New Roman" w:hAnsi="Times New Roman" w:cs="Times New Roman"/>
          <w:color w:val="000000"/>
        </w:rPr>
      </w:pPr>
    </w:p>
    <w:p w14:paraId="78E0540C" w14:textId="3798299C" w:rsidR="00F77043" w:rsidRPr="00956CF9" w:rsidRDefault="00474434" w:rsidP="00A82950">
      <w:pPr>
        <w:spacing w:line="360" w:lineRule="auto"/>
        <w:ind w:firstLine="567"/>
        <w:jc w:val="both"/>
        <w:rPr>
          <w:rFonts w:ascii="Times New Roman" w:eastAsia="Times New Roman" w:hAnsi="Times New Roman" w:cs="Times New Roman"/>
          <w:color w:val="000000"/>
        </w:rPr>
      </w:pPr>
      <w:r w:rsidRPr="00DA0A99">
        <w:rPr>
          <w:rFonts w:ascii="Times New Roman" w:eastAsia="Times New Roman" w:hAnsi="Times New Roman" w:cs="Times New Roman"/>
          <w:color w:val="000000"/>
        </w:rPr>
        <w:t>Quest</w:t>
      </w:r>
      <w:r w:rsidR="00535D18" w:rsidRPr="00DA0A99">
        <w:rPr>
          <w:rFonts w:ascii="Times New Roman" w:eastAsia="Times New Roman" w:hAnsi="Times New Roman" w:cs="Times New Roman"/>
          <w:color w:val="000000"/>
        </w:rPr>
        <w:t>a dinamica realizzativa</w:t>
      </w:r>
      <w:r w:rsidRPr="00DA0A99">
        <w:rPr>
          <w:rFonts w:ascii="Times New Roman" w:eastAsia="Times New Roman" w:hAnsi="Times New Roman" w:cs="Times New Roman"/>
          <w:color w:val="000000"/>
        </w:rPr>
        <w:t xml:space="preserve"> dell’infinità, che </w:t>
      </w:r>
      <w:r w:rsidR="00B65CBE" w:rsidRPr="00DA0A99">
        <w:rPr>
          <w:rFonts w:ascii="Times New Roman" w:eastAsia="Times New Roman" w:hAnsi="Times New Roman" w:cs="Times New Roman"/>
          <w:color w:val="000000"/>
        </w:rPr>
        <w:t xml:space="preserve">ruota attorno alla negazione e </w:t>
      </w:r>
      <w:r w:rsidRPr="00DA0A99">
        <w:rPr>
          <w:rFonts w:ascii="Times New Roman" w:eastAsia="Times New Roman" w:hAnsi="Times New Roman" w:cs="Times New Roman"/>
          <w:color w:val="000000"/>
        </w:rPr>
        <w:t xml:space="preserve">affermazione </w:t>
      </w:r>
      <w:r w:rsidR="00535D18" w:rsidRPr="00DA0A99">
        <w:rPr>
          <w:rFonts w:ascii="Times New Roman" w:eastAsia="Times New Roman" w:hAnsi="Times New Roman" w:cs="Times New Roman"/>
          <w:color w:val="000000"/>
        </w:rPr>
        <w:t>assoluta dell’autoeguaglianza astratta, è espressa</w:t>
      </w:r>
      <w:r w:rsidR="001C481A" w:rsidRPr="00DA0A99">
        <w:rPr>
          <w:rFonts w:ascii="Times New Roman" w:eastAsia="Times New Roman" w:hAnsi="Times New Roman" w:cs="Times New Roman"/>
          <w:color w:val="000000"/>
        </w:rPr>
        <w:t>, poco dopo,</w:t>
      </w:r>
      <w:r w:rsidR="00535D18" w:rsidRPr="00DA0A99">
        <w:rPr>
          <w:rFonts w:ascii="Times New Roman" w:eastAsia="Times New Roman" w:hAnsi="Times New Roman" w:cs="Times New Roman"/>
          <w:color w:val="000000"/>
        </w:rPr>
        <w:t xml:space="preserve"> con</w:t>
      </w:r>
      <w:r w:rsidRPr="00DA0A99">
        <w:rPr>
          <w:rFonts w:ascii="Times New Roman" w:eastAsia="Times New Roman" w:hAnsi="Times New Roman" w:cs="Times New Roman"/>
          <w:color w:val="000000"/>
        </w:rPr>
        <w:t xml:space="preserve"> </w:t>
      </w:r>
      <w:r w:rsidR="00EC0246" w:rsidRPr="00DA0A99">
        <w:rPr>
          <w:rFonts w:ascii="Times New Roman" w:eastAsia="Times New Roman" w:hAnsi="Times New Roman" w:cs="Times New Roman"/>
          <w:color w:val="000000"/>
        </w:rPr>
        <w:t xml:space="preserve">un’immagine </w:t>
      </w:r>
      <w:r w:rsidRPr="00DA0A99">
        <w:rPr>
          <w:rFonts w:ascii="Times New Roman" w:eastAsia="Times New Roman" w:hAnsi="Times New Roman" w:cs="Times New Roman"/>
          <w:color w:val="000000"/>
        </w:rPr>
        <w:t xml:space="preserve">chiaramente ripresa da </w:t>
      </w:r>
      <w:r w:rsidR="00EC0246" w:rsidRPr="00DA0A99">
        <w:rPr>
          <w:rFonts w:ascii="Times New Roman" w:eastAsia="Times New Roman" w:hAnsi="Times New Roman" w:cs="Times New Roman"/>
          <w:i/>
          <w:color w:val="000000"/>
        </w:rPr>
        <w:t>Philosophie und Religion</w:t>
      </w:r>
      <w:r w:rsidR="00EC0246" w:rsidRPr="00DA0A99">
        <w:rPr>
          <w:rFonts w:ascii="Times New Roman" w:eastAsia="Times New Roman" w:hAnsi="Times New Roman" w:cs="Times New Roman"/>
          <w:color w:val="000000"/>
        </w:rPr>
        <w:t>:</w:t>
      </w:r>
    </w:p>
    <w:p w14:paraId="09C08EBD" w14:textId="77777777" w:rsidR="00EC0246" w:rsidRPr="00956CF9" w:rsidRDefault="00EC0246" w:rsidP="00A82950">
      <w:pPr>
        <w:spacing w:line="360" w:lineRule="auto"/>
        <w:ind w:firstLine="567"/>
        <w:jc w:val="both"/>
        <w:rPr>
          <w:rFonts w:ascii="Times New Roman" w:eastAsia="Times New Roman" w:hAnsi="Times New Roman" w:cs="Times New Roman"/>
          <w:color w:val="000000"/>
        </w:rPr>
      </w:pPr>
    </w:p>
    <w:p w14:paraId="32EF3147" w14:textId="05F2FA45" w:rsidR="00EC0246" w:rsidRPr="00B81148" w:rsidRDefault="00EC0246" w:rsidP="00BE700C">
      <w:pPr>
        <w:spacing w:line="360" w:lineRule="auto"/>
        <w:ind w:left="567" w:firstLine="567"/>
        <w:jc w:val="both"/>
        <w:rPr>
          <w:rFonts w:ascii="Times New Roman" w:eastAsia="Times New Roman" w:hAnsi="Times New Roman" w:cs="Times New Roman"/>
          <w:color w:val="000000"/>
          <w:sz w:val="20"/>
          <w:szCs w:val="20"/>
        </w:rPr>
      </w:pPr>
      <w:r w:rsidRPr="00B81148">
        <w:rPr>
          <w:rFonts w:ascii="Times New Roman" w:eastAsia="Times New Roman" w:hAnsi="Times New Roman" w:cs="Times New Roman"/>
          <w:color w:val="000000"/>
          <w:sz w:val="20"/>
          <w:szCs w:val="20"/>
        </w:rPr>
        <w:t>«Als Geist der sich gefunden, wieder nur für sich selbst ist; nicht als dieser, der sich gefunden sich ein Anderes ist, nicht als er zu sichselbstkommt, und als</w:t>
      </w:r>
      <w:r w:rsidR="00DE2F7C" w:rsidRPr="00B81148">
        <w:rPr>
          <w:rFonts w:ascii="Times New Roman" w:eastAsia="Times New Roman" w:hAnsi="Times New Roman" w:cs="Times New Roman"/>
          <w:color w:val="000000"/>
          <w:sz w:val="20"/>
          <w:szCs w:val="20"/>
        </w:rPr>
        <w:t xml:space="preserve"> e</w:t>
      </w:r>
      <w:r w:rsidRPr="00B81148">
        <w:rPr>
          <w:rFonts w:ascii="Times New Roman" w:eastAsia="Times New Roman" w:hAnsi="Times New Roman" w:cs="Times New Roman"/>
          <w:color w:val="000000"/>
          <w:sz w:val="20"/>
          <w:szCs w:val="20"/>
        </w:rPr>
        <w:t>in solcher sich gefunden, dem der Geist selbst als Geist gegenübertreten, der aus diesem Abfall der Unendlichkeit</w:t>
      </w:r>
      <w:r w:rsidR="00DE2F7C" w:rsidRPr="00B81148">
        <w:rPr>
          <w:rFonts w:ascii="Times New Roman" w:eastAsia="Times New Roman" w:hAnsi="Times New Roman" w:cs="Times New Roman"/>
          <w:color w:val="000000"/>
          <w:sz w:val="20"/>
          <w:szCs w:val="20"/>
        </w:rPr>
        <w:t xml:space="preserve"> als Sieger über einen Geist zu sich zurückkehrt, und ebenso ewig zurückgekehrt ist. Erst diese Totalität der Rü</w:t>
      </w:r>
      <w:r w:rsidR="002851EC">
        <w:rPr>
          <w:rFonts w:ascii="Times New Roman" w:eastAsia="Times New Roman" w:hAnsi="Times New Roman" w:cs="Times New Roman"/>
          <w:color w:val="000000"/>
          <w:sz w:val="20"/>
          <w:szCs w:val="20"/>
        </w:rPr>
        <w:t>c</w:t>
      </w:r>
      <w:r w:rsidR="00DE2F7C" w:rsidRPr="00B81148">
        <w:rPr>
          <w:rFonts w:ascii="Times New Roman" w:eastAsia="Times New Roman" w:hAnsi="Times New Roman" w:cs="Times New Roman"/>
          <w:color w:val="000000"/>
          <w:sz w:val="20"/>
          <w:szCs w:val="20"/>
        </w:rPr>
        <w:t>kkehr ist an sich, und geht nicht in anders mehr über»</w:t>
      </w:r>
      <w:r w:rsidR="00DE2F7C" w:rsidRPr="00B81148">
        <w:rPr>
          <w:rStyle w:val="Rimandonotaapidipagina"/>
          <w:rFonts w:ascii="Times New Roman" w:eastAsia="Times New Roman" w:hAnsi="Times New Roman" w:cs="Times New Roman"/>
          <w:color w:val="000000"/>
          <w:sz w:val="20"/>
          <w:szCs w:val="20"/>
        </w:rPr>
        <w:footnoteReference w:id="270"/>
      </w:r>
      <w:r w:rsidR="00312211" w:rsidRPr="00B81148">
        <w:rPr>
          <w:rFonts w:ascii="Times New Roman" w:eastAsia="Times New Roman" w:hAnsi="Times New Roman" w:cs="Times New Roman"/>
          <w:color w:val="000000"/>
          <w:sz w:val="20"/>
          <w:szCs w:val="20"/>
        </w:rPr>
        <w:t>.</w:t>
      </w:r>
    </w:p>
    <w:p w14:paraId="0EA6F77C" w14:textId="77777777" w:rsidR="00312211" w:rsidRPr="00956CF9" w:rsidRDefault="00312211" w:rsidP="00A82950">
      <w:pPr>
        <w:spacing w:line="360" w:lineRule="auto"/>
        <w:ind w:firstLine="567"/>
        <w:jc w:val="both"/>
        <w:rPr>
          <w:rFonts w:ascii="Times New Roman" w:eastAsia="Times New Roman" w:hAnsi="Times New Roman" w:cs="Times New Roman"/>
          <w:color w:val="000000"/>
        </w:rPr>
      </w:pPr>
    </w:p>
    <w:p w14:paraId="0E28AF58" w14:textId="7224B1D8" w:rsidR="009F538D" w:rsidRPr="00C844FA" w:rsidRDefault="00312211" w:rsidP="00B65CBE">
      <w:pPr>
        <w:spacing w:line="360" w:lineRule="auto"/>
        <w:ind w:firstLine="567"/>
        <w:jc w:val="both"/>
        <w:rPr>
          <w:rFonts w:ascii="Times New Roman" w:eastAsia="Times New Roman" w:hAnsi="Times New Roman" w:cs="Times New Roman"/>
          <w:color w:val="000000"/>
        </w:rPr>
      </w:pPr>
      <w:r w:rsidRPr="00956CF9">
        <w:rPr>
          <w:rFonts w:ascii="Times New Roman" w:eastAsia="Times New Roman" w:hAnsi="Times New Roman" w:cs="Times New Roman"/>
          <w:color w:val="000000"/>
        </w:rPr>
        <w:t>Analogamente a Schelling, Hegel ritiene che non si possa domandare come mai l’infinito es</w:t>
      </w:r>
      <w:r w:rsidR="00CF1A11" w:rsidRPr="00956CF9">
        <w:rPr>
          <w:rFonts w:ascii="Times New Roman" w:eastAsia="Times New Roman" w:hAnsi="Times New Roman" w:cs="Times New Roman"/>
          <w:color w:val="000000"/>
        </w:rPr>
        <w:t>c</w:t>
      </w:r>
      <w:r w:rsidRPr="00956CF9">
        <w:rPr>
          <w:rFonts w:ascii="Times New Roman" w:eastAsia="Times New Roman" w:hAnsi="Times New Roman" w:cs="Times New Roman"/>
          <w:color w:val="000000"/>
        </w:rPr>
        <w:t>a da sé e diventi finito</w:t>
      </w:r>
      <w:r w:rsidR="00CF1A11" w:rsidRPr="00956CF9">
        <w:rPr>
          <w:rStyle w:val="Rimandonotaapidipagina"/>
          <w:rFonts w:ascii="Times New Roman" w:eastAsia="Times New Roman" w:hAnsi="Times New Roman" w:cs="Times New Roman"/>
          <w:color w:val="000000"/>
        </w:rPr>
        <w:footnoteReference w:id="271"/>
      </w:r>
      <w:r w:rsidRPr="00956CF9">
        <w:rPr>
          <w:rFonts w:ascii="Times New Roman" w:eastAsia="Times New Roman" w:hAnsi="Times New Roman" w:cs="Times New Roman"/>
          <w:color w:val="000000"/>
        </w:rPr>
        <w:t>.</w:t>
      </w:r>
      <w:r w:rsidR="00CF1A11" w:rsidRPr="00956CF9">
        <w:rPr>
          <w:rFonts w:ascii="Times New Roman" w:eastAsia="Times New Roman" w:hAnsi="Times New Roman" w:cs="Times New Roman"/>
          <w:color w:val="000000"/>
        </w:rPr>
        <w:t xml:space="preserve"> </w:t>
      </w:r>
      <w:r w:rsidR="00AE232D" w:rsidRPr="00956CF9">
        <w:rPr>
          <w:rFonts w:ascii="Times New Roman" w:eastAsia="Times New Roman" w:hAnsi="Times New Roman" w:cs="Times New Roman"/>
          <w:color w:val="000000"/>
        </w:rPr>
        <w:t>L’Assoluto è mediazione, o</w:t>
      </w:r>
      <w:r w:rsidRPr="00956CF9">
        <w:rPr>
          <w:rFonts w:ascii="Times New Roman" w:eastAsia="Times New Roman" w:hAnsi="Times New Roman" w:cs="Times New Roman"/>
          <w:color w:val="000000"/>
        </w:rPr>
        <w:t xml:space="preserve"> negazione della </w:t>
      </w:r>
      <w:r w:rsidRPr="00C844FA">
        <w:rPr>
          <w:rFonts w:ascii="Times New Roman" w:eastAsia="Times New Roman" w:hAnsi="Times New Roman" w:cs="Times New Roman"/>
          <w:color w:val="000000"/>
        </w:rPr>
        <w:t>propria auoteguaglianza, posizionament</w:t>
      </w:r>
      <w:r w:rsidR="00820D7C" w:rsidRPr="00C844FA">
        <w:rPr>
          <w:rFonts w:ascii="Times New Roman" w:eastAsia="Times New Roman" w:hAnsi="Times New Roman" w:cs="Times New Roman"/>
          <w:color w:val="000000"/>
        </w:rPr>
        <w:t>o dell</w:t>
      </w:r>
      <w:r w:rsidR="00AE232D" w:rsidRPr="00C844FA">
        <w:rPr>
          <w:rFonts w:ascii="Times New Roman" w:eastAsia="Times New Roman" w:hAnsi="Times New Roman" w:cs="Times New Roman"/>
          <w:color w:val="000000"/>
        </w:rPr>
        <w:t>’alterità e ritorno a sé</w:t>
      </w:r>
      <w:r w:rsidR="00AB1D15" w:rsidRPr="00C844FA">
        <w:rPr>
          <w:rFonts w:ascii="Times New Roman" w:eastAsia="Times New Roman" w:hAnsi="Times New Roman" w:cs="Times New Roman"/>
          <w:color w:val="000000"/>
        </w:rPr>
        <w:t xml:space="preserve"> per mezzo dell’altro da sé</w:t>
      </w:r>
      <w:r w:rsidR="00AE232D" w:rsidRPr="00C844FA">
        <w:rPr>
          <w:rFonts w:ascii="Times New Roman" w:eastAsia="Times New Roman" w:hAnsi="Times New Roman" w:cs="Times New Roman"/>
          <w:color w:val="000000"/>
        </w:rPr>
        <w:t xml:space="preserve">. </w:t>
      </w:r>
      <w:r w:rsidR="00C223B3" w:rsidRPr="001F4393">
        <w:rPr>
          <w:rFonts w:ascii="Times New Roman" w:eastAsia="Times New Roman" w:hAnsi="Times New Roman" w:cs="Times New Roman"/>
          <w:color w:val="000000"/>
        </w:rPr>
        <w:t>All’interno dell’argoment</w:t>
      </w:r>
      <w:r w:rsidR="00742B68" w:rsidRPr="001F4393">
        <w:rPr>
          <w:rFonts w:ascii="Times New Roman" w:eastAsia="Times New Roman" w:hAnsi="Times New Roman" w:cs="Times New Roman"/>
          <w:color w:val="000000"/>
        </w:rPr>
        <w:t>azione hegeliana, l</w:t>
      </w:r>
      <w:r w:rsidR="00E86303" w:rsidRPr="001F4393">
        <w:rPr>
          <w:rFonts w:ascii="Times New Roman" w:eastAsia="Times New Roman" w:hAnsi="Times New Roman" w:cs="Times New Roman"/>
          <w:color w:val="000000"/>
        </w:rPr>
        <w:t>a caduta</w:t>
      </w:r>
      <w:r w:rsidR="00C223B3" w:rsidRPr="001F4393">
        <w:rPr>
          <w:rFonts w:ascii="Times New Roman" w:eastAsia="Times New Roman" w:hAnsi="Times New Roman" w:cs="Times New Roman"/>
          <w:i/>
          <w:color w:val="000000"/>
        </w:rPr>
        <w:t xml:space="preserve"> </w:t>
      </w:r>
      <w:r w:rsidR="00E86303" w:rsidRPr="001F4393">
        <w:rPr>
          <w:rFonts w:ascii="Times New Roman" w:eastAsia="Times New Roman" w:hAnsi="Times New Roman" w:cs="Times New Roman"/>
          <w:color w:val="000000"/>
        </w:rPr>
        <w:t>è connessa</w:t>
      </w:r>
      <w:r w:rsidR="00C223B3" w:rsidRPr="001F4393">
        <w:rPr>
          <w:rFonts w:ascii="Times New Roman" w:eastAsia="Times New Roman" w:hAnsi="Times New Roman" w:cs="Times New Roman"/>
          <w:color w:val="000000"/>
        </w:rPr>
        <w:t xml:space="preserve"> al farsi altro dello spirito, al suo </w:t>
      </w:r>
      <w:r w:rsidR="00CF1A11" w:rsidRPr="001F4393">
        <w:rPr>
          <w:rFonts w:ascii="Times New Roman" w:eastAsia="Times New Roman" w:hAnsi="Times New Roman" w:cs="Times New Roman"/>
          <w:color w:val="000000"/>
        </w:rPr>
        <w:t xml:space="preserve">originario </w:t>
      </w:r>
      <w:r w:rsidR="00C223B3" w:rsidRPr="001F4393">
        <w:rPr>
          <w:rFonts w:ascii="Times New Roman" w:eastAsia="Times New Roman" w:hAnsi="Times New Roman" w:cs="Times New Roman"/>
          <w:color w:val="000000"/>
        </w:rPr>
        <w:t xml:space="preserve">negarsi e </w:t>
      </w:r>
      <w:r w:rsidR="00A02824" w:rsidRPr="001F4393">
        <w:rPr>
          <w:rFonts w:ascii="Times New Roman" w:eastAsia="Times New Roman" w:hAnsi="Times New Roman" w:cs="Times New Roman"/>
          <w:color w:val="000000"/>
        </w:rPr>
        <w:t xml:space="preserve">porsi nella finitezza. </w:t>
      </w:r>
      <w:r w:rsidR="00E86303" w:rsidRPr="001F4393">
        <w:rPr>
          <w:rFonts w:ascii="Times New Roman" w:eastAsia="Times New Roman" w:hAnsi="Times New Roman" w:cs="Times New Roman"/>
          <w:i/>
          <w:color w:val="000000"/>
        </w:rPr>
        <w:t xml:space="preserve">Abfall </w:t>
      </w:r>
      <w:r w:rsidR="00A02824" w:rsidRPr="001F4393">
        <w:rPr>
          <w:rFonts w:ascii="Times New Roman" w:eastAsia="Times New Roman" w:hAnsi="Times New Roman" w:cs="Times New Roman"/>
          <w:color w:val="000000"/>
        </w:rPr>
        <w:t xml:space="preserve">e </w:t>
      </w:r>
      <w:r w:rsidR="00C223B3" w:rsidRPr="001F4393">
        <w:rPr>
          <w:rFonts w:ascii="Times New Roman" w:eastAsia="Times New Roman" w:hAnsi="Times New Roman" w:cs="Times New Roman"/>
          <w:color w:val="000000"/>
        </w:rPr>
        <w:t xml:space="preserve">negatività </w:t>
      </w:r>
      <w:r w:rsidR="00C223B3" w:rsidRPr="00082925">
        <w:rPr>
          <w:rFonts w:ascii="Times New Roman" w:eastAsia="Times New Roman" w:hAnsi="Times New Roman" w:cs="Times New Roman"/>
          <w:color w:val="000000"/>
        </w:rPr>
        <w:t xml:space="preserve">dell’Assoluto sembrano essere </w:t>
      </w:r>
      <w:r w:rsidR="00A02824" w:rsidRPr="00082925">
        <w:rPr>
          <w:rFonts w:ascii="Times New Roman" w:eastAsia="Times New Roman" w:hAnsi="Times New Roman" w:cs="Times New Roman"/>
          <w:color w:val="000000"/>
        </w:rPr>
        <w:t xml:space="preserve">sinonimi per Hegel, che </w:t>
      </w:r>
      <w:r w:rsidR="00C223B3" w:rsidRPr="00082925">
        <w:rPr>
          <w:rFonts w:ascii="Times New Roman" w:eastAsia="Times New Roman" w:hAnsi="Times New Roman" w:cs="Times New Roman"/>
          <w:color w:val="000000"/>
        </w:rPr>
        <w:t>adopera un</w:t>
      </w:r>
      <w:r w:rsidR="00F07DBF" w:rsidRPr="00082925">
        <w:rPr>
          <w:rFonts w:ascii="Times New Roman" w:eastAsia="Times New Roman" w:hAnsi="Times New Roman" w:cs="Times New Roman"/>
          <w:color w:val="000000"/>
        </w:rPr>
        <w:t xml:space="preserve"> concetto </w:t>
      </w:r>
      <w:r w:rsidR="00C223B3" w:rsidRPr="00082925">
        <w:rPr>
          <w:rFonts w:ascii="Times New Roman" w:eastAsia="Times New Roman" w:hAnsi="Times New Roman" w:cs="Times New Roman"/>
          <w:color w:val="000000"/>
        </w:rPr>
        <w:t>canonic</w:t>
      </w:r>
      <w:r w:rsidR="00F07DBF" w:rsidRPr="00082925">
        <w:rPr>
          <w:rFonts w:ascii="Times New Roman" w:eastAsia="Times New Roman" w:hAnsi="Times New Roman" w:cs="Times New Roman"/>
          <w:color w:val="000000"/>
        </w:rPr>
        <w:t>o</w:t>
      </w:r>
      <w:r w:rsidR="00C223B3" w:rsidRPr="00082925">
        <w:rPr>
          <w:rFonts w:ascii="Times New Roman" w:eastAsia="Times New Roman" w:hAnsi="Times New Roman" w:cs="Times New Roman"/>
          <w:color w:val="000000"/>
        </w:rPr>
        <w:t xml:space="preserve">, </w:t>
      </w:r>
      <w:r w:rsidR="00F07DBF" w:rsidRPr="00082925">
        <w:rPr>
          <w:rFonts w:ascii="Times New Roman" w:eastAsia="Times New Roman" w:hAnsi="Times New Roman" w:cs="Times New Roman"/>
          <w:color w:val="000000"/>
        </w:rPr>
        <w:t>discusso</w:t>
      </w:r>
      <w:r w:rsidR="008E6BB5" w:rsidRPr="00082925">
        <w:rPr>
          <w:rFonts w:ascii="Times New Roman" w:eastAsia="Times New Roman" w:hAnsi="Times New Roman" w:cs="Times New Roman"/>
          <w:color w:val="000000"/>
        </w:rPr>
        <w:t xml:space="preserve"> ne</w:t>
      </w:r>
      <w:r w:rsidR="00117D5C" w:rsidRPr="00082925">
        <w:rPr>
          <w:rFonts w:ascii="Times New Roman" w:eastAsia="Times New Roman" w:hAnsi="Times New Roman" w:cs="Times New Roman"/>
          <w:color w:val="000000"/>
        </w:rPr>
        <w:t xml:space="preserve">lla </w:t>
      </w:r>
      <w:r w:rsidR="00AB1D15" w:rsidRPr="00082925">
        <w:rPr>
          <w:rFonts w:ascii="Times New Roman" w:eastAsia="Times New Roman" w:hAnsi="Times New Roman" w:cs="Times New Roman"/>
          <w:i/>
          <w:color w:val="000000"/>
        </w:rPr>
        <w:t xml:space="preserve">Religion </w:t>
      </w:r>
      <w:r w:rsidR="008E6BB5" w:rsidRPr="00082925">
        <w:rPr>
          <w:rFonts w:ascii="Times New Roman" w:eastAsia="Times New Roman" w:hAnsi="Times New Roman" w:cs="Times New Roman"/>
          <w:i/>
          <w:color w:val="000000"/>
        </w:rPr>
        <w:t>innerhalb der Grenzen der bloßen Vernunft</w:t>
      </w:r>
      <w:r w:rsidR="008E6BB5" w:rsidRPr="00082925">
        <w:rPr>
          <w:rFonts w:ascii="Times New Roman" w:eastAsia="Times New Roman" w:hAnsi="Times New Roman" w:cs="Times New Roman"/>
          <w:color w:val="000000"/>
        </w:rPr>
        <w:t xml:space="preserve"> </w:t>
      </w:r>
      <w:r w:rsidR="00117D5C" w:rsidRPr="00082925">
        <w:rPr>
          <w:rFonts w:ascii="Times New Roman" w:eastAsia="Times New Roman" w:hAnsi="Times New Roman" w:cs="Times New Roman"/>
          <w:color w:val="000000"/>
        </w:rPr>
        <w:t>e riattualizz</w:t>
      </w:r>
      <w:r w:rsidR="008E6BB5" w:rsidRPr="00082925">
        <w:rPr>
          <w:rFonts w:ascii="Times New Roman" w:eastAsia="Times New Roman" w:hAnsi="Times New Roman" w:cs="Times New Roman"/>
          <w:color w:val="000000"/>
        </w:rPr>
        <w:t>ato da</w:t>
      </w:r>
      <w:r w:rsidR="00117D5C" w:rsidRPr="00082925">
        <w:rPr>
          <w:rFonts w:ascii="Times New Roman" w:eastAsia="Times New Roman" w:hAnsi="Times New Roman" w:cs="Times New Roman"/>
          <w:color w:val="000000"/>
        </w:rPr>
        <w:t xml:space="preserve"> </w:t>
      </w:r>
      <w:r w:rsidR="00E86303" w:rsidRPr="00082925">
        <w:rPr>
          <w:rFonts w:ascii="Times New Roman" w:eastAsia="Times New Roman" w:hAnsi="Times New Roman" w:cs="Times New Roman"/>
          <w:i/>
          <w:color w:val="000000"/>
        </w:rPr>
        <w:t>Philosophie und Religion</w:t>
      </w:r>
      <w:r w:rsidR="00C223B3" w:rsidRPr="00082925">
        <w:rPr>
          <w:rFonts w:ascii="Times New Roman" w:eastAsia="Times New Roman" w:hAnsi="Times New Roman" w:cs="Times New Roman"/>
          <w:color w:val="000000"/>
        </w:rPr>
        <w:t>,</w:t>
      </w:r>
      <w:r w:rsidR="00C223B3" w:rsidRPr="00023467">
        <w:rPr>
          <w:rFonts w:ascii="Times New Roman" w:eastAsia="Times New Roman" w:hAnsi="Times New Roman" w:cs="Times New Roman"/>
          <w:color w:val="000000"/>
        </w:rPr>
        <w:t xml:space="preserve"> in </w:t>
      </w:r>
      <w:r w:rsidR="00F07DBF" w:rsidRPr="00023467">
        <w:rPr>
          <w:rFonts w:ascii="Times New Roman" w:eastAsia="Times New Roman" w:hAnsi="Times New Roman" w:cs="Times New Roman"/>
          <w:color w:val="000000"/>
        </w:rPr>
        <w:t xml:space="preserve">direzione di quel </w:t>
      </w:r>
      <w:r w:rsidR="00023467" w:rsidRPr="00023467">
        <w:rPr>
          <w:rFonts w:ascii="Times New Roman" w:eastAsia="Times New Roman" w:hAnsi="Times New Roman" w:cs="Times New Roman"/>
          <w:color w:val="000000"/>
        </w:rPr>
        <w:t xml:space="preserve">personale </w:t>
      </w:r>
      <w:r w:rsidR="00F07DBF" w:rsidRPr="00023467">
        <w:rPr>
          <w:rFonts w:ascii="Times New Roman" w:eastAsia="Times New Roman" w:hAnsi="Times New Roman" w:cs="Times New Roman"/>
          <w:color w:val="000000"/>
        </w:rPr>
        <w:t xml:space="preserve">ripensamento della dialettica già </w:t>
      </w:r>
      <w:r w:rsidR="00023467" w:rsidRPr="00023467">
        <w:rPr>
          <w:rFonts w:ascii="Times New Roman" w:eastAsia="Times New Roman" w:hAnsi="Times New Roman" w:cs="Times New Roman"/>
          <w:color w:val="000000"/>
        </w:rPr>
        <w:t>ravvisabile nelle sezioni conclusive della</w:t>
      </w:r>
      <w:r w:rsidR="00F07DBF" w:rsidRPr="00023467">
        <w:rPr>
          <w:rFonts w:ascii="Times New Roman" w:eastAsia="Times New Roman" w:hAnsi="Times New Roman" w:cs="Times New Roman"/>
          <w:color w:val="000000"/>
        </w:rPr>
        <w:t xml:space="preserve"> metafisica di Jena</w:t>
      </w:r>
      <w:r w:rsidR="00C223B3" w:rsidRPr="00023467">
        <w:rPr>
          <w:rFonts w:ascii="Times New Roman" w:eastAsia="Times New Roman" w:hAnsi="Times New Roman" w:cs="Times New Roman"/>
          <w:color w:val="000000"/>
        </w:rPr>
        <w:t>.</w:t>
      </w:r>
      <w:r w:rsidR="00C223B3" w:rsidRPr="00C844FA">
        <w:rPr>
          <w:rFonts w:ascii="Times New Roman" w:eastAsia="Times New Roman" w:hAnsi="Times New Roman" w:cs="Times New Roman"/>
          <w:color w:val="000000"/>
        </w:rPr>
        <w:t xml:space="preserve"> </w:t>
      </w:r>
    </w:p>
    <w:p w14:paraId="32099B47" w14:textId="1DF92FB9" w:rsidR="00420343" w:rsidRPr="006274A1" w:rsidRDefault="00023467" w:rsidP="006274A1">
      <w:pPr>
        <w:spacing w:line="360" w:lineRule="auto"/>
        <w:ind w:firstLine="567"/>
        <w:jc w:val="both"/>
        <w:rPr>
          <w:rFonts w:ascii="Times New Roman" w:eastAsia="Times New Roman" w:hAnsi="Times New Roman" w:cs="Times New Roman"/>
          <w:color w:val="000000"/>
          <w:highlight w:val="yellow"/>
        </w:rPr>
      </w:pPr>
      <w:r w:rsidRPr="00DD1472">
        <w:rPr>
          <w:rFonts w:ascii="Times New Roman" w:eastAsia="Times New Roman" w:hAnsi="Times New Roman" w:cs="Times New Roman"/>
          <w:color w:val="000000"/>
        </w:rPr>
        <w:t>Vista</w:t>
      </w:r>
      <w:r w:rsidR="00D66344" w:rsidRPr="00DD1472">
        <w:rPr>
          <w:rFonts w:ascii="Times New Roman" w:eastAsia="Times New Roman" w:hAnsi="Times New Roman" w:cs="Times New Roman"/>
          <w:color w:val="000000"/>
        </w:rPr>
        <w:t xml:space="preserve"> la centralità di</w:t>
      </w:r>
      <w:r w:rsidRPr="00DD1472">
        <w:rPr>
          <w:rFonts w:ascii="Times New Roman" w:eastAsia="Times New Roman" w:hAnsi="Times New Roman" w:cs="Times New Roman"/>
          <w:color w:val="000000"/>
        </w:rPr>
        <w:t xml:space="preserve"> questa categoria i</w:t>
      </w:r>
      <w:r w:rsidR="00D66344" w:rsidRPr="00DD1472">
        <w:rPr>
          <w:rFonts w:ascii="Times New Roman" w:eastAsia="Times New Roman" w:hAnsi="Times New Roman" w:cs="Times New Roman"/>
          <w:color w:val="000000"/>
        </w:rPr>
        <w:t xml:space="preserve">n </w:t>
      </w:r>
      <w:r w:rsidR="00D66344" w:rsidRPr="00DD1472">
        <w:rPr>
          <w:rFonts w:ascii="Times New Roman" w:eastAsia="Times New Roman" w:hAnsi="Times New Roman" w:cs="Times New Roman"/>
          <w:i/>
          <w:color w:val="000000"/>
        </w:rPr>
        <w:t>Philosophie und Religion</w:t>
      </w:r>
      <w:r w:rsidR="001F4393" w:rsidRPr="00DD1472">
        <w:rPr>
          <w:rFonts w:ascii="Times New Roman" w:eastAsia="Times New Roman" w:hAnsi="Times New Roman" w:cs="Times New Roman"/>
          <w:color w:val="000000"/>
        </w:rPr>
        <w:t xml:space="preserve"> e </w:t>
      </w:r>
      <w:r w:rsidRPr="00DD1472">
        <w:rPr>
          <w:rFonts w:ascii="Times New Roman" w:eastAsia="Times New Roman" w:hAnsi="Times New Roman" w:cs="Times New Roman"/>
          <w:color w:val="000000"/>
        </w:rPr>
        <w:t xml:space="preserve">visto </w:t>
      </w:r>
      <w:r w:rsidR="001F4393" w:rsidRPr="00DD1472">
        <w:rPr>
          <w:rFonts w:ascii="Times New Roman" w:eastAsia="Times New Roman" w:hAnsi="Times New Roman" w:cs="Times New Roman"/>
          <w:color w:val="000000"/>
        </w:rPr>
        <w:t>l’impatto che questo scritto ha avuto nella pr</w:t>
      </w:r>
      <w:r w:rsidR="00A112EF">
        <w:rPr>
          <w:rFonts w:ascii="Times New Roman" w:eastAsia="Times New Roman" w:hAnsi="Times New Roman" w:cs="Times New Roman"/>
          <w:color w:val="000000"/>
        </w:rPr>
        <w:t>oduzione hegeliana del 1804/</w:t>
      </w:r>
      <w:r w:rsidR="0013596B">
        <w:rPr>
          <w:rFonts w:ascii="Times New Roman" w:eastAsia="Times New Roman" w:hAnsi="Times New Roman" w:cs="Times New Roman"/>
          <w:color w:val="000000"/>
        </w:rPr>
        <w:t xml:space="preserve">05, </w:t>
      </w:r>
      <w:r w:rsidR="005841AA">
        <w:rPr>
          <w:rFonts w:ascii="Times New Roman" w:eastAsia="Times New Roman" w:hAnsi="Times New Roman" w:cs="Times New Roman"/>
          <w:color w:val="000000"/>
        </w:rPr>
        <w:t xml:space="preserve">è opportuno chiarire </w:t>
      </w:r>
      <w:r w:rsidRPr="00DD1472">
        <w:rPr>
          <w:rFonts w:ascii="Times New Roman" w:eastAsia="Times New Roman" w:hAnsi="Times New Roman" w:cs="Times New Roman"/>
          <w:color w:val="000000"/>
        </w:rPr>
        <w:t xml:space="preserve">le fonti </w:t>
      </w:r>
      <w:r w:rsidR="006274A1" w:rsidRPr="00DD1472">
        <w:rPr>
          <w:rFonts w:ascii="Times New Roman" w:eastAsia="Times New Roman" w:hAnsi="Times New Roman" w:cs="Times New Roman"/>
          <w:color w:val="000000"/>
        </w:rPr>
        <w:t xml:space="preserve">a cui </w:t>
      </w:r>
      <w:r w:rsidRPr="00DD1472">
        <w:rPr>
          <w:rFonts w:ascii="Times New Roman" w:eastAsia="Times New Roman" w:hAnsi="Times New Roman" w:cs="Times New Roman"/>
          <w:color w:val="000000"/>
        </w:rPr>
        <w:t xml:space="preserve">Schelling </w:t>
      </w:r>
      <w:r w:rsidR="006274A1" w:rsidRPr="00DD1472">
        <w:rPr>
          <w:rFonts w:ascii="Times New Roman" w:eastAsia="Times New Roman" w:hAnsi="Times New Roman" w:cs="Times New Roman"/>
          <w:color w:val="000000"/>
        </w:rPr>
        <w:t xml:space="preserve">si è richiamato nella sua interpretazione filosofica </w:t>
      </w:r>
      <w:r w:rsidRPr="00DD1472">
        <w:rPr>
          <w:rFonts w:ascii="Times New Roman" w:eastAsia="Times New Roman" w:hAnsi="Times New Roman" w:cs="Times New Roman"/>
          <w:color w:val="000000"/>
        </w:rPr>
        <w:t>dell’</w:t>
      </w:r>
      <w:r w:rsidRPr="00DD1472">
        <w:rPr>
          <w:rFonts w:ascii="Times New Roman" w:eastAsia="Times New Roman" w:hAnsi="Times New Roman" w:cs="Times New Roman"/>
          <w:i/>
          <w:color w:val="000000"/>
        </w:rPr>
        <w:t>Abfall</w:t>
      </w:r>
      <w:r w:rsidR="00742B68" w:rsidRPr="00DD1472">
        <w:rPr>
          <w:rFonts w:ascii="Times New Roman" w:eastAsia="Times New Roman" w:hAnsi="Times New Roman" w:cs="Times New Roman"/>
          <w:color w:val="000000"/>
        </w:rPr>
        <w:t xml:space="preserve">. </w:t>
      </w:r>
      <w:r w:rsidR="00F07DBF" w:rsidRPr="00DD1472">
        <w:rPr>
          <w:rFonts w:ascii="Times New Roman" w:eastAsia="Times New Roman" w:hAnsi="Times New Roman" w:cs="Times New Roman"/>
          <w:color w:val="000000"/>
        </w:rPr>
        <w:t>L</w:t>
      </w:r>
      <w:r w:rsidR="00420343" w:rsidRPr="00DD1472">
        <w:rPr>
          <w:rFonts w:ascii="Times New Roman" w:eastAsia="Times New Roman" w:hAnsi="Times New Roman" w:cs="Times New Roman"/>
          <w:color w:val="000000"/>
        </w:rPr>
        <w:t>’idea della caduta</w:t>
      </w:r>
      <w:r w:rsidRPr="00DD1472">
        <w:rPr>
          <w:rFonts w:ascii="Times New Roman" w:eastAsia="Times New Roman" w:hAnsi="Times New Roman" w:cs="Times New Roman"/>
          <w:color w:val="000000"/>
        </w:rPr>
        <w:t>, così com</w:t>
      </w:r>
      <w:r w:rsidR="00413997" w:rsidRPr="00DD1472">
        <w:rPr>
          <w:rFonts w:ascii="Times New Roman" w:eastAsia="Times New Roman" w:hAnsi="Times New Roman" w:cs="Times New Roman"/>
          <w:color w:val="000000"/>
        </w:rPr>
        <w:t xml:space="preserve">e </w:t>
      </w:r>
      <w:r w:rsidR="0013596B">
        <w:rPr>
          <w:rFonts w:ascii="Times New Roman" w:eastAsia="Times New Roman" w:hAnsi="Times New Roman" w:cs="Times New Roman"/>
          <w:color w:val="000000"/>
        </w:rPr>
        <w:t xml:space="preserve">viene introdotta </w:t>
      </w:r>
      <w:r w:rsidR="00F07DBF" w:rsidRPr="00DD1472">
        <w:rPr>
          <w:rFonts w:ascii="Times New Roman" w:eastAsia="Times New Roman" w:hAnsi="Times New Roman" w:cs="Times New Roman"/>
          <w:color w:val="000000"/>
        </w:rPr>
        <w:t>nel testo del 1804,</w:t>
      </w:r>
      <w:r w:rsidR="00420343" w:rsidRPr="00DD1472">
        <w:rPr>
          <w:rFonts w:ascii="Times New Roman" w:eastAsia="Times New Roman" w:hAnsi="Times New Roman" w:cs="Times New Roman"/>
          <w:color w:val="000000"/>
        </w:rPr>
        <w:t xml:space="preserve"> </w:t>
      </w:r>
      <w:r w:rsidR="005841AA">
        <w:rPr>
          <w:rFonts w:ascii="Times New Roman" w:eastAsia="Times New Roman" w:hAnsi="Times New Roman" w:cs="Times New Roman"/>
          <w:color w:val="000000"/>
        </w:rPr>
        <w:t>rimanda a</w:t>
      </w:r>
      <w:r w:rsidR="00E232C2" w:rsidRPr="00DD1472">
        <w:rPr>
          <w:rFonts w:ascii="Times New Roman" w:eastAsia="Times New Roman" w:hAnsi="Times New Roman" w:cs="Times New Roman"/>
          <w:color w:val="000000"/>
        </w:rPr>
        <w:t xml:space="preserve">l </w:t>
      </w:r>
      <w:r w:rsidR="00420343" w:rsidRPr="00DD1472">
        <w:rPr>
          <w:rFonts w:ascii="Times New Roman" w:eastAsia="Times New Roman" w:hAnsi="Times New Roman" w:cs="Times New Roman"/>
          <w:i/>
          <w:color w:val="000000"/>
        </w:rPr>
        <w:t>Timeo</w:t>
      </w:r>
      <w:r w:rsidR="005841AA">
        <w:rPr>
          <w:rFonts w:ascii="Times New Roman" w:eastAsia="Times New Roman" w:hAnsi="Times New Roman" w:cs="Times New Roman"/>
          <w:color w:val="000000"/>
        </w:rPr>
        <w:t xml:space="preserve"> e a</w:t>
      </w:r>
      <w:r w:rsidR="00420343" w:rsidRPr="00DD1472">
        <w:rPr>
          <w:rFonts w:ascii="Times New Roman" w:eastAsia="Times New Roman" w:hAnsi="Times New Roman" w:cs="Times New Roman"/>
          <w:color w:val="000000"/>
        </w:rPr>
        <w:t xml:space="preserve">l </w:t>
      </w:r>
      <w:r w:rsidR="00420343" w:rsidRPr="00DD1472">
        <w:rPr>
          <w:rFonts w:ascii="Times New Roman" w:eastAsia="Times New Roman" w:hAnsi="Times New Roman" w:cs="Times New Roman"/>
          <w:i/>
          <w:color w:val="000000"/>
        </w:rPr>
        <w:t>Fedone</w:t>
      </w:r>
      <w:r w:rsidR="00E232C2" w:rsidRPr="00DD1472">
        <w:rPr>
          <w:rFonts w:ascii="Times New Roman" w:eastAsia="Times New Roman" w:hAnsi="Times New Roman" w:cs="Times New Roman"/>
          <w:color w:val="000000"/>
        </w:rPr>
        <w:t xml:space="preserve"> di Platone</w:t>
      </w:r>
      <w:r w:rsidR="00C223B3" w:rsidRPr="00DD1472">
        <w:rPr>
          <w:rStyle w:val="Rimandonotaapidipagina"/>
          <w:rFonts w:ascii="Times New Roman" w:eastAsia="Times New Roman" w:hAnsi="Times New Roman" w:cs="Times New Roman"/>
          <w:color w:val="000000"/>
        </w:rPr>
        <w:footnoteReference w:id="272"/>
      </w:r>
      <w:r w:rsidR="00420343" w:rsidRPr="00DD1472">
        <w:rPr>
          <w:rFonts w:ascii="Times New Roman" w:eastAsia="Times New Roman" w:hAnsi="Times New Roman" w:cs="Times New Roman"/>
          <w:color w:val="000000"/>
        </w:rPr>
        <w:t>.</w:t>
      </w:r>
      <w:r w:rsidR="00F07DBF">
        <w:rPr>
          <w:rFonts w:ascii="Times New Roman" w:eastAsia="Times New Roman" w:hAnsi="Times New Roman" w:cs="Times New Roman"/>
          <w:color w:val="000000"/>
        </w:rPr>
        <w:t xml:space="preserve"> Su questo punto</w:t>
      </w:r>
      <w:r w:rsidR="00420343" w:rsidRPr="00956CF9">
        <w:rPr>
          <w:rFonts w:ascii="Times New Roman" w:eastAsia="Times New Roman" w:hAnsi="Times New Roman" w:cs="Times New Roman"/>
          <w:color w:val="000000"/>
        </w:rPr>
        <w:t xml:space="preserve"> la critica più recente </w:t>
      </w:r>
      <w:r w:rsidR="00F07DBF">
        <w:rPr>
          <w:rFonts w:ascii="Times New Roman" w:eastAsia="Times New Roman" w:hAnsi="Times New Roman" w:cs="Times New Roman"/>
          <w:color w:val="000000"/>
        </w:rPr>
        <w:t>è</w:t>
      </w:r>
      <w:r w:rsidR="00082925">
        <w:rPr>
          <w:rFonts w:ascii="Times New Roman" w:eastAsia="Times New Roman" w:hAnsi="Times New Roman" w:cs="Times New Roman"/>
          <w:color w:val="000000"/>
        </w:rPr>
        <w:t xml:space="preserve"> unanime</w:t>
      </w:r>
      <w:r w:rsidR="00420343" w:rsidRPr="00956CF9">
        <w:rPr>
          <w:rStyle w:val="Rimandonotaapidipagina"/>
          <w:rFonts w:ascii="Times New Roman" w:eastAsia="Times New Roman" w:hAnsi="Times New Roman" w:cs="Times New Roman"/>
          <w:color w:val="000000"/>
        </w:rPr>
        <w:footnoteReference w:id="273"/>
      </w:r>
      <w:r w:rsidR="00167FFB">
        <w:rPr>
          <w:rFonts w:ascii="Times New Roman" w:eastAsia="Times New Roman" w:hAnsi="Times New Roman" w:cs="Times New Roman"/>
          <w:color w:val="000000"/>
        </w:rPr>
        <w:t xml:space="preserve">. </w:t>
      </w:r>
      <w:r w:rsidR="00167FFB" w:rsidRPr="00A70BEE">
        <w:rPr>
          <w:rFonts w:ascii="Times New Roman" w:eastAsia="Times New Roman" w:hAnsi="Times New Roman" w:cs="Times New Roman"/>
          <w:color w:val="000000"/>
        </w:rPr>
        <w:t>Tuttavia r</w:t>
      </w:r>
      <w:r w:rsidR="00420343" w:rsidRPr="00A70BEE">
        <w:rPr>
          <w:rFonts w:ascii="Times New Roman" w:eastAsia="Times New Roman" w:hAnsi="Times New Roman" w:cs="Times New Roman"/>
          <w:color w:val="000000"/>
        </w:rPr>
        <w:t>itengo utile</w:t>
      </w:r>
      <w:r w:rsidR="00167FFB">
        <w:rPr>
          <w:rFonts w:ascii="Times New Roman" w:eastAsia="Times New Roman" w:hAnsi="Times New Roman" w:cs="Times New Roman"/>
          <w:color w:val="000000"/>
        </w:rPr>
        <w:t xml:space="preserve"> </w:t>
      </w:r>
      <w:r w:rsidR="00420343" w:rsidRPr="00956CF9">
        <w:rPr>
          <w:rFonts w:ascii="Times New Roman" w:eastAsia="Times New Roman" w:hAnsi="Times New Roman" w:cs="Times New Roman"/>
          <w:color w:val="000000"/>
        </w:rPr>
        <w:t xml:space="preserve">ampliare l’orizzonte </w:t>
      </w:r>
      <w:r w:rsidR="00420343" w:rsidRPr="00496C7E">
        <w:rPr>
          <w:rFonts w:ascii="Times New Roman" w:eastAsia="Times New Roman" w:hAnsi="Times New Roman" w:cs="Times New Roman"/>
          <w:color w:val="000000"/>
        </w:rPr>
        <w:t>c</w:t>
      </w:r>
      <w:r w:rsidR="00D5520F" w:rsidRPr="00496C7E">
        <w:rPr>
          <w:rFonts w:ascii="Times New Roman" w:eastAsia="Times New Roman" w:hAnsi="Times New Roman" w:cs="Times New Roman"/>
          <w:color w:val="000000"/>
        </w:rPr>
        <w:t>ritico, chiamando in causa una fonte</w:t>
      </w:r>
      <w:r w:rsidR="00687991" w:rsidRPr="00496C7E">
        <w:rPr>
          <w:rFonts w:ascii="Times New Roman" w:eastAsia="Times New Roman" w:hAnsi="Times New Roman" w:cs="Times New Roman"/>
          <w:color w:val="000000"/>
        </w:rPr>
        <w:t xml:space="preserve"> non allineata con</w:t>
      </w:r>
      <w:r w:rsidR="00D5520F" w:rsidRPr="00496C7E">
        <w:rPr>
          <w:rFonts w:ascii="Times New Roman" w:eastAsia="Times New Roman" w:hAnsi="Times New Roman" w:cs="Times New Roman"/>
          <w:color w:val="000000"/>
        </w:rPr>
        <w:t xml:space="preserve"> i</w:t>
      </w:r>
      <w:r w:rsidR="00420343" w:rsidRPr="00496C7E">
        <w:rPr>
          <w:rFonts w:ascii="Times New Roman" w:eastAsia="Times New Roman" w:hAnsi="Times New Roman" w:cs="Times New Roman"/>
          <w:color w:val="000000"/>
        </w:rPr>
        <w:t>l paradigma interpretativo indicato. Una voce attenta, che si è espressa sul</w:t>
      </w:r>
      <w:r w:rsidR="00AE171E" w:rsidRPr="00496C7E">
        <w:rPr>
          <w:rFonts w:ascii="Times New Roman" w:eastAsia="Times New Roman" w:hAnsi="Times New Roman" w:cs="Times New Roman"/>
          <w:color w:val="000000"/>
        </w:rPr>
        <w:t>l</w:t>
      </w:r>
      <w:r w:rsidR="00420343" w:rsidRPr="00496C7E">
        <w:rPr>
          <w:rFonts w:ascii="Times New Roman" w:eastAsia="Times New Roman" w:hAnsi="Times New Roman" w:cs="Times New Roman"/>
          <w:color w:val="000000"/>
        </w:rPr>
        <w:t>’</w:t>
      </w:r>
      <w:r w:rsidR="00420343" w:rsidRPr="00496C7E">
        <w:rPr>
          <w:rFonts w:ascii="Times New Roman" w:eastAsia="Times New Roman" w:hAnsi="Times New Roman" w:cs="Times New Roman"/>
          <w:i/>
          <w:color w:val="000000"/>
        </w:rPr>
        <w:t>Abfall</w:t>
      </w:r>
      <w:r w:rsidR="00AE171E" w:rsidRPr="00496C7E">
        <w:rPr>
          <w:rFonts w:ascii="Times New Roman" w:eastAsia="Times New Roman" w:hAnsi="Times New Roman" w:cs="Times New Roman"/>
          <w:i/>
          <w:color w:val="000000"/>
        </w:rPr>
        <w:t xml:space="preserve"> </w:t>
      </w:r>
      <w:r w:rsidR="00AE171E" w:rsidRPr="00496C7E">
        <w:rPr>
          <w:rFonts w:ascii="Times New Roman" w:eastAsia="Times New Roman" w:hAnsi="Times New Roman" w:cs="Times New Roman"/>
          <w:color w:val="000000"/>
        </w:rPr>
        <w:t>schellinghiano</w:t>
      </w:r>
      <w:r w:rsidR="00D72D2D" w:rsidRPr="00496C7E">
        <w:rPr>
          <w:rFonts w:ascii="Times New Roman" w:eastAsia="Times New Roman" w:hAnsi="Times New Roman" w:cs="Times New Roman"/>
          <w:color w:val="000000"/>
        </w:rPr>
        <w:t>,</w:t>
      </w:r>
      <w:r w:rsidR="00420343" w:rsidRPr="00496C7E">
        <w:rPr>
          <w:rFonts w:ascii="Times New Roman" w:eastAsia="Times New Roman" w:hAnsi="Times New Roman" w:cs="Times New Roman"/>
          <w:color w:val="000000"/>
        </w:rPr>
        <w:t xml:space="preserve"> con un accento totalmente altro rispetto alla critica attua</w:t>
      </w:r>
      <w:r w:rsidR="003D14F8" w:rsidRPr="00496C7E">
        <w:rPr>
          <w:rFonts w:ascii="Times New Roman" w:eastAsia="Times New Roman" w:hAnsi="Times New Roman" w:cs="Times New Roman"/>
          <w:color w:val="000000"/>
        </w:rPr>
        <w:t>le, è quella di Karl Rosenkranz, che</w:t>
      </w:r>
      <w:r w:rsidR="00AE171E" w:rsidRPr="00496C7E">
        <w:rPr>
          <w:rFonts w:ascii="Times New Roman" w:eastAsia="Times New Roman" w:hAnsi="Times New Roman" w:cs="Times New Roman"/>
          <w:color w:val="000000"/>
        </w:rPr>
        <w:t xml:space="preserve"> </w:t>
      </w:r>
      <w:r w:rsidR="003D14F8" w:rsidRPr="00496C7E">
        <w:rPr>
          <w:rFonts w:ascii="Times New Roman" w:eastAsia="Times New Roman" w:hAnsi="Times New Roman" w:cs="Times New Roman"/>
          <w:color w:val="000000"/>
        </w:rPr>
        <w:t>nel 1842 –</w:t>
      </w:r>
      <w:r w:rsidR="00420343" w:rsidRPr="00496C7E">
        <w:rPr>
          <w:rFonts w:ascii="Times New Roman" w:eastAsia="Times New Roman" w:hAnsi="Times New Roman" w:cs="Times New Roman"/>
          <w:color w:val="000000"/>
        </w:rPr>
        <w:t xml:space="preserve"> due anni prima</w:t>
      </w:r>
      <w:r w:rsidR="00420343" w:rsidRPr="00956CF9">
        <w:rPr>
          <w:rFonts w:ascii="Times New Roman" w:eastAsia="Times New Roman" w:hAnsi="Times New Roman" w:cs="Times New Roman"/>
          <w:color w:val="000000"/>
        </w:rPr>
        <w:t xml:space="preserve"> della pubblicazione della </w:t>
      </w:r>
      <w:r w:rsidR="00420343" w:rsidRPr="00956CF9">
        <w:rPr>
          <w:rFonts w:ascii="Times New Roman" w:eastAsia="Times New Roman" w:hAnsi="Times New Roman" w:cs="Times New Roman"/>
          <w:i/>
          <w:color w:val="000000"/>
        </w:rPr>
        <w:t>Hegel’s Leben</w:t>
      </w:r>
      <w:r w:rsidR="003D14F8" w:rsidRPr="00956CF9">
        <w:rPr>
          <w:rFonts w:ascii="Times New Roman" w:eastAsia="Times New Roman" w:hAnsi="Times New Roman" w:cs="Times New Roman"/>
          <w:color w:val="000000"/>
        </w:rPr>
        <w:t xml:space="preserve"> – </w:t>
      </w:r>
      <w:r w:rsidR="00420343" w:rsidRPr="00956CF9">
        <w:rPr>
          <w:rFonts w:ascii="Times New Roman" w:eastAsia="Times New Roman" w:hAnsi="Times New Roman" w:cs="Times New Roman"/>
          <w:color w:val="000000"/>
        </w:rPr>
        <w:t xml:space="preserve">tenne delle lezioni sulla filosofia di Schelling. </w:t>
      </w:r>
      <w:r w:rsidR="00AC2AE1" w:rsidRPr="00956CF9">
        <w:rPr>
          <w:rFonts w:ascii="Times New Roman" w:eastAsia="Times New Roman" w:hAnsi="Times New Roman" w:cs="Times New Roman"/>
          <w:color w:val="000000"/>
        </w:rPr>
        <w:t xml:space="preserve">Descrivendo i tratti salienti di </w:t>
      </w:r>
      <w:r w:rsidR="00AC2AE1" w:rsidRPr="00956CF9">
        <w:rPr>
          <w:rFonts w:ascii="Times New Roman" w:eastAsia="Times New Roman" w:hAnsi="Times New Roman" w:cs="Times New Roman"/>
          <w:i/>
          <w:color w:val="000000"/>
        </w:rPr>
        <w:t>Philosophie und Religion</w:t>
      </w:r>
      <w:r w:rsidR="00AC2AE1" w:rsidRPr="00956CF9">
        <w:rPr>
          <w:rFonts w:ascii="Times New Roman" w:eastAsia="Times New Roman" w:hAnsi="Times New Roman" w:cs="Times New Roman"/>
          <w:color w:val="000000"/>
        </w:rPr>
        <w:t xml:space="preserve">, </w:t>
      </w:r>
      <w:r w:rsidR="00D72D2D" w:rsidRPr="00956CF9">
        <w:rPr>
          <w:rFonts w:ascii="Times New Roman" w:eastAsia="Times New Roman" w:hAnsi="Times New Roman" w:cs="Times New Roman"/>
          <w:color w:val="000000"/>
        </w:rPr>
        <w:t>Rosenkranz osserva</w:t>
      </w:r>
      <w:r w:rsidR="003D14F8" w:rsidRPr="00956CF9">
        <w:rPr>
          <w:rFonts w:ascii="Times New Roman" w:eastAsia="Times New Roman" w:hAnsi="Times New Roman" w:cs="Times New Roman"/>
          <w:color w:val="000000"/>
        </w:rPr>
        <w:t xml:space="preserve"> che</w:t>
      </w:r>
      <w:r w:rsidR="00820D7C">
        <w:rPr>
          <w:rFonts w:ascii="Times New Roman" w:eastAsia="Times New Roman" w:hAnsi="Times New Roman" w:cs="Times New Roman"/>
          <w:color w:val="000000"/>
        </w:rPr>
        <w:t>:</w:t>
      </w:r>
    </w:p>
    <w:p w14:paraId="1AE959FB" w14:textId="77777777" w:rsidR="00AC2AE1" w:rsidRDefault="00AC2AE1" w:rsidP="00A82950">
      <w:pPr>
        <w:spacing w:line="360" w:lineRule="auto"/>
        <w:ind w:firstLine="567"/>
        <w:jc w:val="both"/>
        <w:rPr>
          <w:rFonts w:ascii="Times New Roman" w:eastAsia="Times New Roman" w:hAnsi="Times New Roman" w:cs="Times New Roman"/>
          <w:color w:val="000000"/>
        </w:rPr>
      </w:pPr>
    </w:p>
    <w:p w14:paraId="052DA956" w14:textId="0590C1AE" w:rsidR="00AC2AE1" w:rsidRPr="00B81148" w:rsidRDefault="00C51B8A" w:rsidP="00AE171E">
      <w:pPr>
        <w:spacing w:line="360" w:lineRule="auto"/>
        <w:ind w:left="567" w:firstLine="567"/>
        <w:jc w:val="both"/>
        <w:rPr>
          <w:rFonts w:ascii="Times New Roman" w:eastAsia="Times New Roman" w:hAnsi="Times New Roman" w:cs="Times New Roman"/>
          <w:color w:val="000000"/>
          <w:sz w:val="20"/>
          <w:szCs w:val="20"/>
        </w:rPr>
      </w:pPr>
      <w:r w:rsidRPr="00B81148">
        <w:rPr>
          <w:rFonts w:ascii="Times New Roman" w:eastAsia="Times New Roman" w:hAnsi="Times New Roman" w:cs="Times New Roman"/>
          <w:color w:val="000000"/>
          <w:sz w:val="20"/>
          <w:szCs w:val="20"/>
        </w:rPr>
        <w:t>«Man muß Schelling zugeben, daß er damals über die Bildlichkeit des Ausdruckes Abfall ein vollkommen philosophisches Bewußtsein hatte. Er erklärte ausdrücklich, daß man die Acte im Absoluten nicht als</w:t>
      </w:r>
      <w:r w:rsidR="00AD7FED" w:rsidRPr="00B81148">
        <w:rPr>
          <w:rFonts w:ascii="Times New Roman" w:eastAsia="Times New Roman" w:hAnsi="Times New Roman" w:cs="Times New Roman"/>
          <w:color w:val="000000"/>
          <w:sz w:val="20"/>
          <w:szCs w:val="20"/>
        </w:rPr>
        <w:t xml:space="preserve"> e</w:t>
      </w:r>
      <w:r w:rsidRPr="00B81148">
        <w:rPr>
          <w:rFonts w:ascii="Times New Roman" w:eastAsia="Times New Roman" w:hAnsi="Times New Roman" w:cs="Times New Roman"/>
          <w:color w:val="000000"/>
          <w:sz w:val="20"/>
          <w:szCs w:val="20"/>
        </w:rPr>
        <w:t>ine Folge sich vorstellen und den Abfall als ein zeitloses, ewiges geschehen denken müsse. Denoch fiel er im weiterem Verlauf seiner Auseinandersetzung von diesen richtigen Bestimmungen ab und ließ sich zu allerlei mystischen Inconsequenzen verleiten. Der Mangel an logischer Präcision rächte sich auch hier von Neuem und die Phantasie fand an der Vorstellung des Falles zu viele Nahrung. Der Fall der Engel, den Lucifer an ihrer Spitze, der Sündenfall der Urmenschen</w:t>
      </w:r>
      <w:r w:rsidR="00641F8C" w:rsidRPr="00B81148">
        <w:rPr>
          <w:rFonts w:ascii="Times New Roman" w:eastAsia="Times New Roman" w:hAnsi="Times New Roman" w:cs="Times New Roman"/>
          <w:color w:val="000000"/>
          <w:sz w:val="20"/>
          <w:szCs w:val="20"/>
        </w:rPr>
        <w:t>, die Labilität des schon äußerlich Getauften, aber noch nicht Wiedergeborenen und ähnliche Vorstellungen können sogleich daran anknüpfen»</w:t>
      </w:r>
      <w:r w:rsidR="00641F8C" w:rsidRPr="00B81148">
        <w:rPr>
          <w:rStyle w:val="Rimandonotaapidipagina"/>
          <w:rFonts w:ascii="Times New Roman" w:eastAsia="Times New Roman" w:hAnsi="Times New Roman" w:cs="Times New Roman"/>
          <w:color w:val="000000"/>
          <w:sz w:val="20"/>
          <w:szCs w:val="20"/>
        </w:rPr>
        <w:footnoteReference w:id="274"/>
      </w:r>
      <w:r w:rsidR="00F159CF">
        <w:rPr>
          <w:rFonts w:ascii="Times New Roman" w:eastAsia="Times New Roman" w:hAnsi="Times New Roman" w:cs="Times New Roman"/>
          <w:color w:val="000000"/>
          <w:sz w:val="20"/>
          <w:szCs w:val="20"/>
        </w:rPr>
        <w:t>.</w:t>
      </w:r>
    </w:p>
    <w:p w14:paraId="73410B06" w14:textId="77777777" w:rsidR="00420343" w:rsidRDefault="00420343" w:rsidP="00A82950">
      <w:pPr>
        <w:spacing w:line="360" w:lineRule="auto"/>
        <w:ind w:firstLine="567"/>
        <w:jc w:val="both"/>
        <w:rPr>
          <w:rFonts w:ascii="Times New Roman" w:eastAsia="Times New Roman" w:hAnsi="Times New Roman" w:cs="Times New Roman"/>
          <w:color w:val="000000"/>
        </w:rPr>
      </w:pPr>
    </w:p>
    <w:p w14:paraId="2471E4D9" w14:textId="0004A6C0" w:rsidR="00CA3BFA" w:rsidRPr="00A70BEE" w:rsidRDefault="00A70BEE" w:rsidP="00C34974">
      <w:pPr>
        <w:tabs>
          <w:tab w:val="left" w:pos="5954"/>
        </w:tabs>
        <w:spacing w:line="360" w:lineRule="auto"/>
        <w:ind w:firstLine="567"/>
        <w:jc w:val="both"/>
        <w:rPr>
          <w:rFonts w:ascii="Times New Roman" w:eastAsia="Times New Roman" w:hAnsi="Times New Roman" w:cs="Times New Roman"/>
          <w:color w:val="000000"/>
        </w:rPr>
      </w:pPr>
      <w:r w:rsidRPr="0046202A">
        <w:rPr>
          <w:rFonts w:ascii="Times New Roman" w:eastAsia="Times New Roman" w:hAnsi="Times New Roman" w:cs="Times New Roman"/>
          <w:color w:val="000000"/>
        </w:rPr>
        <w:t>In prima battuta,</w:t>
      </w:r>
      <w:r>
        <w:rPr>
          <w:rFonts w:ascii="Times New Roman" w:eastAsia="Times New Roman" w:hAnsi="Times New Roman" w:cs="Times New Roman"/>
          <w:color w:val="000000"/>
        </w:rPr>
        <w:t xml:space="preserve"> </w:t>
      </w:r>
      <w:r w:rsidR="004712D9" w:rsidRPr="00956CF9">
        <w:rPr>
          <w:rFonts w:ascii="Times New Roman" w:eastAsia="Times New Roman" w:hAnsi="Times New Roman" w:cs="Times New Roman"/>
          <w:color w:val="000000"/>
        </w:rPr>
        <w:t xml:space="preserve">Rosenkranz nota </w:t>
      </w:r>
      <w:r w:rsidR="00AD7FED" w:rsidRPr="00956CF9">
        <w:rPr>
          <w:rFonts w:ascii="Times New Roman" w:eastAsia="Times New Roman" w:hAnsi="Times New Roman" w:cs="Times New Roman"/>
          <w:color w:val="000000"/>
        </w:rPr>
        <w:t>che per Schelling il passaggio da</w:t>
      </w:r>
      <w:r w:rsidR="004712D9" w:rsidRPr="00956CF9">
        <w:rPr>
          <w:rFonts w:ascii="Times New Roman" w:eastAsia="Times New Roman" w:hAnsi="Times New Roman" w:cs="Times New Roman"/>
          <w:color w:val="000000"/>
        </w:rPr>
        <w:t>ll’</w:t>
      </w:r>
      <w:r w:rsidR="004712D9" w:rsidRPr="00956CF9">
        <w:rPr>
          <w:rFonts w:ascii="Times New Roman" w:eastAsia="Times New Roman" w:hAnsi="Times New Roman" w:cs="Times New Roman"/>
          <w:i/>
          <w:color w:val="000000"/>
        </w:rPr>
        <w:t xml:space="preserve">Unendlichkeit </w:t>
      </w:r>
      <w:r w:rsidR="004712D9" w:rsidRPr="00956CF9">
        <w:rPr>
          <w:rFonts w:ascii="Times New Roman" w:eastAsia="Times New Roman" w:hAnsi="Times New Roman" w:cs="Times New Roman"/>
          <w:color w:val="000000"/>
        </w:rPr>
        <w:t>all’</w:t>
      </w:r>
      <w:r w:rsidR="004712D9" w:rsidRPr="00956CF9">
        <w:rPr>
          <w:rFonts w:ascii="Times New Roman" w:eastAsia="Times New Roman" w:hAnsi="Times New Roman" w:cs="Times New Roman"/>
          <w:i/>
          <w:color w:val="000000"/>
        </w:rPr>
        <w:t>Endlichkeit</w:t>
      </w:r>
      <w:r w:rsidR="004712D9" w:rsidRPr="00956CF9">
        <w:rPr>
          <w:rFonts w:ascii="Times New Roman" w:eastAsia="Times New Roman" w:hAnsi="Times New Roman" w:cs="Times New Roman"/>
          <w:color w:val="000000"/>
        </w:rPr>
        <w:t xml:space="preserve"> non può</w:t>
      </w:r>
      <w:r w:rsidR="00AD7FED" w:rsidRPr="00956CF9">
        <w:rPr>
          <w:rFonts w:ascii="Times New Roman" w:eastAsia="Times New Roman" w:hAnsi="Times New Roman" w:cs="Times New Roman"/>
          <w:color w:val="000000"/>
        </w:rPr>
        <w:t xml:space="preserve"> essere collocato temporalmente</w:t>
      </w:r>
      <w:r w:rsidR="00DB3BB6" w:rsidRPr="00956CF9">
        <w:rPr>
          <w:rFonts w:ascii="Times New Roman" w:eastAsia="Times New Roman" w:hAnsi="Times New Roman" w:cs="Times New Roman"/>
          <w:color w:val="000000"/>
        </w:rPr>
        <w:t>: il realizzarsi dell’Assoluto</w:t>
      </w:r>
      <w:r w:rsidR="004712D9" w:rsidRPr="00956CF9">
        <w:rPr>
          <w:rFonts w:ascii="Times New Roman" w:eastAsia="Times New Roman" w:hAnsi="Times New Roman" w:cs="Times New Roman"/>
          <w:color w:val="000000"/>
        </w:rPr>
        <w:t xml:space="preserve"> è </w:t>
      </w:r>
      <w:r w:rsidR="004712D9" w:rsidRPr="00A70BEE">
        <w:rPr>
          <w:rFonts w:ascii="Times New Roman" w:eastAsia="Times New Roman" w:hAnsi="Times New Roman" w:cs="Times New Roman"/>
          <w:color w:val="000000"/>
        </w:rPr>
        <w:t xml:space="preserve">un </w:t>
      </w:r>
      <w:r w:rsidR="00DD634F" w:rsidRPr="00A70BEE">
        <w:rPr>
          <w:rFonts w:ascii="Times New Roman" w:eastAsia="Times New Roman" w:hAnsi="Times New Roman" w:cs="Times New Roman"/>
          <w:i/>
          <w:color w:val="000000"/>
        </w:rPr>
        <w:t>ewiges G</w:t>
      </w:r>
      <w:r w:rsidR="004712D9" w:rsidRPr="00A70BEE">
        <w:rPr>
          <w:rFonts w:ascii="Times New Roman" w:eastAsia="Times New Roman" w:hAnsi="Times New Roman" w:cs="Times New Roman"/>
          <w:i/>
          <w:color w:val="000000"/>
        </w:rPr>
        <w:t>eschehen</w:t>
      </w:r>
      <w:r w:rsidR="004712D9" w:rsidRPr="00A70BEE">
        <w:rPr>
          <w:rFonts w:ascii="Times New Roman" w:eastAsia="Times New Roman" w:hAnsi="Times New Roman" w:cs="Times New Roman"/>
          <w:color w:val="000000"/>
        </w:rPr>
        <w:t>, un</w:t>
      </w:r>
      <w:r w:rsidR="004712D9" w:rsidRPr="00956CF9">
        <w:rPr>
          <w:rFonts w:ascii="Times New Roman" w:eastAsia="Times New Roman" w:hAnsi="Times New Roman" w:cs="Times New Roman"/>
          <w:color w:val="000000"/>
        </w:rPr>
        <w:t xml:space="preserve"> accadere eterno, che non si può spiegare (</w:t>
      </w:r>
      <w:r w:rsidR="004712D9" w:rsidRPr="00956CF9">
        <w:rPr>
          <w:rFonts w:ascii="Times New Roman" w:eastAsia="Times New Roman" w:hAnsi="Times New Roman" w:cs="Times New Roman"/>
          <w:i/>
          <w:color w:val="000000"/>
        </w:rPr>
        <w:t>erkl</w:t>
      </w:r>
      <w:r w:rsidR="00330F1F" w:rsidRPr="00956CF9">
        <w:rPr>
          <w:rFonts w:ascii="Times New Roman" w:eastAsia="Times New Roman" w:hAnsi="Times New Roman" w:cs="Times New Roman"/>
          <w:i/>
          <w:color w:val="000000"/>
        </w:rPr>
        <w:t>ären</w:t>
      </w:r>
      <w:r w:rsidR="004712D9" w:rsidRPr="00956CF9">
        <w:rPr>
          <w:rFonts w:ascii="Times New Roman" w:eastAsia="Times New Roman" w:hAnsi="Times New Roman" w:cs="Times New Roman"/>
          <w:color w:val="000000"/>
        </w:rPr>
        <w:t>)</w:t>
      </w:r>
      <w:r w:rsidR="00330F1F" w:rsidRPr="00956CF9">
        <w:rPr>
          <w:rFonts w:ascii="Times New Roman" w:eastAsia="Times New Roman" w:hAnsi="Times New Roman" w:cs="Times New Roman"/>
          <w:color w:val="000000"/>
        </w:rPr>
        <w:t>, m</w:t>
      </w:r>
      <w:r w:rsidR="00AD7FED" w:rsidRPr="00956CF9">
        <w:rPr>
          <w:rFonts w:ascii="Times New Roman" w:eastAsia="Times New Roman" w:hAnsi="Times New Roman" w:cs="Times New Roman"/>
          <w:color w:val="000000"/>
        </w:rPr>
        <w:t>a che può essere restituito dal</w:t>
      </w:r>
      <w:r w:rsidR="00D72D2D" w:rsidRPr="00956CF9">
        <w:rPr>
          <w:rFonts w:ascii="Times New Roman" w:eastAsia="Times New Roman" w:hAnsi="Times New Roman" w:cs="Times New Roman"/>
          <w:color w:val="000000"/>
        </w:rPr>
        <w:t>l’idea della</w:t>
      </w:r>
      <w:r w:rsidR="00330F1F" w:rsidRPr="00956CF9">
        <w:rPr>
          <w:rFonts w:ascii="Times New Roman" w:eastAsia="Times New Roman" w:hAnsi="Times New Roman" w:cs="Times New Roman"/>
          <w:color w:val="000000"/>
        </w:rPr>
        <w:t xml:space="preserve"> caduta della copia assoluta. Mettendo nero su bianco quella che sarà una critica riccorente a Schelling, Rosenkranz i</w:t>
      </w:r>
      <w:r w:rsidR="005C4FBB" w:rsidRPr="00956CF9">
        <w:rPr>
          <w:rFonts w:ascii="Times New Roman" w:eastAsia="Times New Roman" w:hAnsi="Times New Roman" w:cs="Times New Roman"/>
          <w:color w:val="000000"/>
        </w:rPr>
        <w:t>ndividua nell’argomentazione s</w:t>
      </w:r>
      <w:r w:rsidR="00330F1F" w:rsidRPr="00956CF9">
        <w:rPr>
          <w:rFonts w:ascii="Times New Roman" w:eastAsia="Times New Roman" w:hAnsi="Times New Roman" w:cs="Times New Roman"/>
          <w:color w:val="000000"/>
        </w:rPr>
        <w:t>chelling</w:t>
      </w:r>
      <w:r w:rsidR="005C4FBB" w:rsidRPr="00956CF9">
        <w:rPr>
          <w:rFonts w:ascii="Times New Roman" w:eastAsia="Times New Roman" w:hAnsi="Times New Roman" w:cs="Times New Roman"/>
          <w:color w:val="000000"/>
        </w:rPr>
        <w:t>hiana</w:t>
      </w:r>
      <w:r w:rsidR="00330F1F" w:rsidRPr="00956CF9">
        <w:rPr>
          <w:rFonts w:ascii="Times New Roman" w:eastAsia="Times New Roman" w:hAnsi="Times New Roman" w:cs="Times New Roman"/>
          <w:color w:val="000000"/>
        </w:rPr>
        <w:t xml:space="preserve"> una mancanza di precisione logica (</w:t>
      </w:r>
      <w:r w:rsidR="00330F1F" w:rsidRPr="00956CF9">
        <w:rPr>
          <w:rFonts w:ascii="Times New Roman" w:eastAsia="Times New Roman" w:hAnsi="Times New Roman" w:cs="Times New Roman"/>
          <w:i/>
          <w:color w:val="000000"/>
        </w:rPr>
        <w:t>Mangel an logischer Präcision</w:t>
      </w:r>
      <w:r w:rsidR="00330F1F" w:rsidRPr="00956CF9">
        <w:rPr>
          <w:rFonts w:ascii="Times New Roman" w:eastAsia="Times New Roman" w:hAnsi="Times New Roman" w:cs="Times New Roman"/>
          <w:color w:val="000000"/>
        </w:rPr>
        <w:t>), che porterebbe a delle mistisc</w:t>
      </w:r>
      <w:r w:rsidR="00520524" w:rsidRPr="00956CF9">
        <w:rPr>
          <w:rFonts w:ascii="Times New Roman" w:eastAsia="Times New Roman" w:hAnsi="Times New Roman" w:cs="Times New Roman"/>
          <w:color w:val="000000"/>
        </w:rPr>
        <w:t>h</w:t>
      </w:r>
      <w:r w:rsidR="00330F1F" w:rsidRPr="00956CF9">
        <w:rPr>
          <w:rFonts w:ascii="Times New Roman" w:eastAsia="Times New Roman" w:hAnsi="Times New Roman" w:cs="Times New Roman"/>
          <w:color w:val="000000"/>
        </w:rPr>
        <w:t xml:space="preserve">e inconsequenze. </w:t>
      </w:r>
      <w:r w:rsidR="00330F1F" w:rsidRPr="00D66344">
        <w:rPr>
          <w:rFonts w:ascii="Times New Roman" w:eastAsia="Times New Roman" w:hAnsi="Times New Roman" w:cs="Times New Roman"/>
          <w:color w:val="000000"/>
        </w:rPr>
        <w:t>La fantasia, resa liber</w:t>
      </w:r>
      <w:r w:rsidR="00A02CDE" w:rsidRPr="00D66344">
        <w:rPr>
          <w:rFonts w:ascii="Times New Roman" w:eastAsia="Times New Roman" w:hAnsi="Times New Roman" w:cs="Times New Roman"/>
          <w:color w:val="000000"/>
        </w:rPr>
        <w:t xml:space="preserve">a dalla mancanza di rigore e </w:t>
      </w:r>
      <w:r w:rsidR="00330F1F" w:rsidRPr="00D66344">
        <w:rPr>
          <w:rFonts w:ascii="Times New Roman" w:eastAsia="Times New Roman" w:hAnsi="Times New Roman" w:cs="Times New Roman"/>
          <w:color w:val="000000"/>
        </w:rPr>
        <w:t>precisione argomentativa, pre</w:t>
      </w:r>
      <w:r w:rsidR="00DB3BB6" w:rsidRPr="00D66344">
        <w:rPr>
          <w:rFonts w:ascii="Times New Roman" w:eastAsia="Times New Roman" w:hAnsi="Times New Roman" w:cs="Times New Roman"/>
          <w:color w:val="000000"/>
        </w:rPr>
        <w:t>nderebbe il volo, connettendo al</w:t>
      </w:r>
      <w:r w:rsidR="00330F1F" w:rsidRPr="00D66344">
        <w:rPr>
          <w:rFonts w:ascii="Times New Roman" w:eastAsia="Times New Roman" w:hAnsi="Times New Roman" w:cs="Times New Roman"/>
          <w:color w:val="000000"/>
        </w:rPr>
        <w:t>l’</w:t>
      </w:r>
      <w:r w:rsidR="00330F1F" w:rsidRPr="00D66344">
        <w:rPr>
          <w:rFonts w:ascii="Times New Roman" w:eastAsia="Times New Roman" w:hAnsi="Times New Roman" w:cs="Times New Roman"/>
          <w:i/>
          <w:color w:val="000000"/>
        </w:rPr>
        <w:t xml:space="preserve">Abfall </w:t>
      </w:r>
      <w:r w:rsidR="00DB3BB6" w:rsidRPr="00D66344">
        <w:rPr>
          <w:rFonts w:ascii="Times New Roman" w:eastAsia="Times New Roman" w:hAnsi="Times New Roman" w:cs="Times New Roman"/>
          <w:color w:val="000000"/>
        </w:rPr>
        <w:t xml:space="preserve">delle </w:t>
      </w:r>
      <w:r w:rsidR="00330F1F" w:rsidRPr="00D66344">
        <w:rPr>
          <w:rFonts w:ascii="Times New Roman" w:eastAsia="Times New Roman" w:hAnsi="Times New Roman" w:cs="Times New Roman"/>
          <w:color w:val="000000"/>
        </w:rPr>
        <w:t>rappresentazioni che sono</w:t>
      </w:r>
      <w:r w:rsidR="00DB3BB6" w:rsidRPr="00D66344">
        <w:rPr>
          <w:rFonts w:ascii="Times New Roman" w:eastAsia="Times New Roman" w:hAnsi="Times New Roman" w:cs="Times New Roman"/>
          <w:color w:val="000000"/>
        </w:rPr>
        <w:t xml:space="preserve"> –</w:t>
      </w:r>
      <w:r w:rsidR="00330F1F" w:rsidRPr="00D66344">
        <w:rPr>
          <w:rFonts w:ascii="Times New Roman" w:eastAsia="Times New Roman" w:hAnsi="Times New Roman" w:cs="Times New Roman"/>
          <w:color w:val="000000"/>
        </w:rPr>
        <w:t xml:space="preserve"> al pari delle</w:t>
      </w:r>
      <w:r w:rsidR="00687991" w:rsidRPr="00956CF9">
        <w:rPr>
          <w:rFonts w:ascii="Times New Roman" w:eastAsia="Times New Roman" w:hAnsi="Times New Roman" w:cs="Times New Roman"/>
          <w:color w:val="000000"/>
        </w:rPr>
        <w:t xml:space="preserve"> </w:t>
      </w:r>
      <w:r w:rsidR="00687991" w:rsidRPr="00956CF9">
        <w:rPr>
          <w:rFonts w:ascii="Times New Roman" w:eastAsia="Times New Roman" w:hAnsi="Times New Roman" w:cs="Times New Roman"/>
          <w:i/>
          <w:color w:val="000000"/>
        </w:rPr>
        <w:t>Inconsequenzen</w:t>
      </w:r>
      <w:r w:rsidR="00DB3BB6" w:rsidRPr="00956CF9">
        <w:rPr>
          <w:rFonts w:ascii="Times New Roman" w:eastAsia="Times New Roman" w:hAnsi="Times New Roman" w:cs="Times New Roman"/>
          <w:color w:val="000000"/>
        </w:rPr>
        <w:t xml:space="preserve"> –</w:t>
      </w:r>
      <w:r w:rsidR="005C4FBB" w:rsidRPr="00956CF9">
        <w:rPr>
          <w:rFonts w:ascii="Times New Roman" w:eastAsia="Times New Roman" w:hAnsi="Times New Roman" w:cs="Times New Roman"/>
          <w:color w:val="000000"/>
        </w:rPr>
        <w:t xml:space="preserve"> di mistica </w:t>
      </w:r>
      <w:r w:rsidR="00330F1F" w:rsidRPr="00956CF9">
        <w:rPr>
          <w:rFonts w:ascii="Times New Roman" w:eastAsia="Times New Roman" w:hAnsi="Times New Roman" w:cs="Times New Roman"/>
          <w:color w:val="000000"/>
        </w:rPr>
        <w:t>ispirazione.</w:t>
      </w:r>
      <w:r w:rsidR="00A74B33" w:rsidRPr="00956CF9">
        <w:rPr>
          <w:rFonts w:ascii="Times New Roman" w:eastAsia="Times New Roman" w:hAnsi="Times New Roman" w:cs="Times New Roman"/>
          <w:color w:val="000000"/>
        </w:rPr>
        <w:t xml:space="preserve"> </w:t>
      </w:r>
      <w:r w:rsidR="00BC3B45" w:rsidRPr="00956CF9">
        <w:rPr>
          <w:rFonts w:ascii="Times New Roman" w:eastAsia="Times New Roman" w:hAnsi="Times New Roman" w:cs="Times New Roman"/>
          <w:color w:val="000000"/>
        </w:rPr>
        <w:t>Fra di esse</w:t>
      </w:r>
      <w:r w:rsidR="0020030A" w:rsidRPr="00956CF9">
        <w:rPr>
          <w:rFonts w:ascii="Times New Roman" w:eastAsia="Times New Roman" w:hAnsi="Times New Roman" w:cs="Times New Roman"/>
          <w:color w:val="000000"/>
        </w:rPr>
        <w:t>, particolarmente interessanti ai fini del nostro discorso, risultano l</w:t>
      </w:r>
      <w:r w:rsidR="00742B68">
        <w:rPr>
          <w:rFonts w:ascii="Times New Roman" w:eastAsia="Times New Roman" w:hAnsi="Times New Roman" w:cs="Times New Roman"/>
          <w:color w:val="000000"/>
        </w:rPr>
        <w:t>’idea della</w:t>
      </w:r>
      <w:r w:rsidR="00A11EEE" w:rsidRPr="00956CF9">
        <w:rPr>
          <w:rFonts w:ascii="Times New Roman" w:eastAsia="Times New Roman" w:hAnsi="Times New Roman" w:cs="Times New Roman"/>
          <w:color w:val="000000"/>
        </w:rPr>
        <w:t xml:space="preserve"> caduta di Lucifero</w:t>
      </w:r>
      <w:r w:rsidR="00A11EEE" w:rsidRPr="002B7E2F">
        <w:rPr>
          <w:rFonts w:ascii="Times New Roman" w:eastAsia="Times New Roman" w:hAnsi="Times New Roman" w:cs="Times New Roman"/>
          <w:color w:val="000000"/>
        </w:rPr>
        <w:t xml:space="preserve">, </w:t>
      </w:r>
      <w:r w:rsidR="0020030A" w:rsidRPr="002B7E2F">
        <w:rPr>
          <w:rFonts w:ascii="Times New Roman" w:eastAsia="Times New Roman" w:hAnsi="Times New Roman" w:cs="Times New Roman"/>
          <w:color w:val="000000"/>
        </w:rPr>
        <w:t>che</w:t>
      </w:r>
      <w:r w:rsidR="005C4FBB" w:rsidRPr="002B7E2F">
        <w:rPr>
          <w:rFonts w:ascii="Times New Roman" w:eastAsia="Times New Roman" w:hAnsi="Times New Roman" w:cs="Times New Roman"/>
          <w:color w:val="000000"/>
        </w:rPr>
        <w:t xml:space="preserve"> </w:t>
      </w:r>
      <w:r w:rsidR="006F392A" w:rsidRPr="002B7E2F">
        <w:rPr>
          <w:rFonts w:ascii="Times New Roman" w:eastAsia="Times New Roman" w:hAnsi="Times New Roman" w:cs="Times New Roman"/>
          <w:color w:val="000000"/>
        </w:rPr>
        <w:t xml:space="preserve">è </w:t>
      </w:r>
      <w:r w:rsidR="0020030A" w:rsidRPr="002B7E2F">
        <w:rPr>
          <w:rFonts w:ascii="Times New Roman" w:eastAsia="Times New Roman" w:hAnsi="Times New Roman" w:cs="Times New Roman"/>
          <w:color w:val="000000"/>
        </w:rPr>
        <w:t>a</w:t>
      </w:r>
      <w:r w:rsidR="00687991" w:rsidRPr="002B7E2F">
        <w:rPr>
          <w:rFonts w:ascii="Times New Roman" w:eastAsia="Times New Roman" w:hAnsi="Times New Roman" w:cs="Times New Roman"/>
          <w:color w:val="000000"/>
        </w:rPr>
        <w:t>s</w:t>
      </w:r>
      <w:r w:rsidR="0020030A" w:rsidRPr="002B7E2F">
        <w:rPr>
          <w:rFonts w:ascii="Times New Roman" w:eastAsia="Times New Roman" w:hAnsi="Times New Roman" w:cs="Times New Roman"/>
          <w:color w:val="000000"/>
        </w:rPr>
        <w:t>petto centrale della teosofia böhmina,</w:t>
      </w:r>
      <w:r w:rsidR="0020030A" w:rsidRPr="00956CF9">
        <w:rPr>
          <w:rFonts w:ascii="Times New Roman" w:eastAsia="Times New Roman" w:hAnsi="Times New Roman" w:cs="Times New Roman"/>
          <w:color w:val="000000"/>
        </w:rPr>
        <w:t xml:space="preserve"> e la</w:t>
      </w:r>
      <w:r w:rsidR="00A11EEE" w:rsidRPr="00956CF9">
        <w:rPr>
          <w:rFonts w:ascii="Times New Roman" w:eastAsia="Times New Roman" w:hAnsi="Times New Roman" w:cs="Times New Roman"/>
          <w:color w:val="000000"/>
        </w:rPr>
        <w:t xml:space="preserve"> dottrina dell’</w:t>
      </w:r>
      <w:r w:rsidR="00A11EEE" w:rsidRPr="00956CF9">
        <w:rPr>
          <w:rFonts w:ascii="Times New Roman" w:eastAsia="Times New Roman" w:hAnsi="Times New Roman" w:cs="Times New Roman"/>
          <w:i/>
          <w:color w:val="000000"/>
        </w:rPr>
        <w:t>Urmensch</w:t>
      </w:r>
      <w:r w:rsidR="00A11EEE" w:rsidRPr="00956CF9">
        <w:rPr>
          <w:rFonts w:ascii="Times New Roman" w:eastAsia="Times New Roman" w:hAnsi="Times New Roman" w:cs="Times New Roman"/>
          <w:color w:val="000000"/>
        </w:rPr>
        <w:t>, presente tanto nel pensiero di Jakob Böhme, quanto nella tradizione cab</w:t>
      </w:r>
      <w:r w:rsidR="00684528" w:rsidRPr="00956CF9">
        <w:rPr>
          <w:rFonts w:ascii="Times New Roman" w:eastAsia="Times New Roman" w:hAnsi="Times New Roman" w:cs="Times New Roman"/>
          <w:color w:val="000000"/>
        </w:rPr>
        <w:t>b</w:t>
      </w:r>
      <w:r w:rsidR="00A11EEE" w:rsidRPr="00956CF9">
        <w:rPr>
          <w:rFonts w:ascii="Times New Roman" w:eastAsia="Times New Roman" w:hAnsi="Times New Roman" w:cs="Times New Roman"/>
          <w:color w:val="000000"/>
        </w:rPr>
        <w:t xml:space="preserve">alistica e, </w:t>
      </w:r>
      <w:r w:rsidR="005C4FBB" w:rsidRPr="00956CF9">
        <w:rPr>
          <w:rFonts w:ascii="Times New Roman" w:eastAsia="Times New Roman" w:hAnsi="Times New Roman" w:cs="Times New Roman"/>
          <w:color w:val="000000"/>
        </w:rPr>
        <w:t xml:space="preserve">spingendoci </w:t>
      </w:r>
      <w:r w:rsidR="00A11EEE" w:rsidRPr="00956CF9">
        <w:rPr>
          <w:rFonts w:ascii="Times New Roman" w:eastAsia="Times New Roman" w:hAnsi="Times New Roman" w:cs="Times New Roman"/>
          <w:color w:val="000000"/>
        </w:rPr>
        <w:t>ancora più a ritroso,</w:t>
      </w:r>
      <w:r w:rsidR="0020030A" w:rsidRPr="00956CF9">
        <w:rPr>
          <w:rFonts w:ascii="Times New Roman" w:eastAsia="Times New Roman" w:hAnsi="Times New Roman" w:cs="Times New Roman"/>
          <w:color w:val="000000"/>
        </w:rPr>
        <w:t xml:space="preserve"> </w:t>
      </w:r>
      <w:r w:rsidR="0020030A" w:rsidRPr="00A70BEE">
        <w:rPr>
          <w:rFonts w:ascii="Times New Roman" w:eastAsia="Times New Roman" w:hAnsi="Times New Roman" w:cs="Times New Roman"/>
          <w:color w:val="000000"/>
        </w:rPr>
        <w:t>gnostica</w:t>
      </w:r>
      <w:r w:rsidR="00A11EEE" w:rsidRPr="00A70BEE">
        <w:rPr>
          <w:rFonts w:ascii="Times New Roman" w:eastAsia="Times New Roman" w:hAnsi="Times New Roman" w:cs="Times New Roman"/>
          <w:color w:val="000000"/>
        </w:rPr>
        <w:t>.</w:t>
      </w:r>
      <w:r w:rsidR="0020030A" w:rsidRPr="00A70BEE">
        <w:rPr>
          <w:rFonts w:ascii="Times New Roman" w:eastAsia="Times New Roman" w:hAnsi="Times New Roman" w:cs="Times New Roman"/>
          <w:color w:val="000000"/>
        </w:rPr>
        <w:t xml:space="preserve"> </w:t>
      </w:r>
      <w:r w:rsidR="008E7490" w:rsidRPr="00A70BEE">
        <w:rPr>
          <w:rFonts w:ascii="Times New Roman" w:eastAsia="Times New Roman" w:hAnsi="Times New Roman" w:cs="Times New Roman"/>
          <w:color w:val="000000"/>
        </w:rPr>
        <w:t>Q</w:t>
      </w:r>
      <w:r w:rsidR="0020030A" w:rsidRPr="00A70BEE">
        <w:rPr>
          <w:rFonts w:ascii="Times New Roman" w:eastAsia="Times New Roman" w:hAnsi="Times New Roman" w:cs="Times New Roman"/>
          <w:color w:val="000000"/>
        </w:rPr>
        <w:t>ueste rappresentazioni e fantasie mistiche</w:t>
      </w:r>
      <w:r w:rsidR="008E7490" w:rsidRPr="00A70BEE">
        <w:rPr>
          <w:rFonts w:ascii="Times New Roman" w:eastAsia="Times New Roman" w:hAnsi="Times New Roman" w:cs="Times New Roman"/>
          <w:color w:val="000000"/>
        </w:rPr>
        <w:t>, proprio in</w:t>
      </w:r>
      <w:r w:rsidR="002A0E86" w:rsidRPr="00A70BEE">
        <w:rPr>
          <w:rFonts w:ascii="Times New Roman" w:eastAsia="Times New Roman" w:hAnsi="Times New Roman" w:cs="Times New Roman"/>
          <w:color w:val="000000"/>
        </w:rPr>
        <w:t xml:space="preserve"> </w:t>
      </w:r>
      <w:r w:rsidR="00D72D2D" w:rsidRPr="00A70BEE">
        <w:rPr>
          <w:rFonts w:ascii="Times New Roman" w:eastAsia="Times New Roman" w:hAnsi="Times New Roman" w:cs="Times New Roman"/>
          <w:color w:val="000000"/>
        </w:rPr>
        <w:t>virtù dell’inconsistenza logica</w:t>
      </w:r>
      <w:r w:rsidR="008E7490" w:rsidRPr="00A70BEE">
        <w:rPr>
          <w:rFonts w:ascii="Times New Roman" w:eastAsia="Times New Roman" w:hAnsi="Times New Roman" w:cs="Times New Roman"/>
          <w:color w:val="000000"/>
        </w:rPr>
        <w:t xml:space="preserve"> dell’argomentazione schellinghiana,</w:t>
      </w:r>
      <w:r w:rsidR="00B964EA" w:rsidRPr="00A70BEE">
        <w:rPr>
          <w:rFonts w:ascii="Times New Roman" w:eastAsia="Times New Roman" w:hAnsi="Times New Roman" w:cs="Times New Roman"/>
          <w:color w:val="000000"/>
        </w:rPr>
        <w:t xml:space="preserve"> possono legarsi</w:t>
      </w:r>
      <w:r w:rsidR="0020030A" w:rsidRPr="00A70BEE">
        <w:rPr>
          <w:rFonts w:ascii="Times New Roman" w:eastAsia="Times New Roman" w:hAnsi="Times New Roman" w:cs="Times New Roman"/>
          <w:color w:val="000000"/>
        </w:rPr>
        <w:t xml:space="preserve"> (</w:t>
      </w:r>
      <w:r w:rsidR="0020030A" w:rsidRPr="00A70BEE">
        <w:rPr>
          <w:rFonts w:ascii="Times New Roman" w:eastAsia="Times New Roman" w:hAnsi="Times New Roman" w:cs="Times New Roman"/>
          <w:i/>
          <w:color w:val="000000"/>
        </w:rPr>
        <w:t>anknüpfen</w:t>
      </w:r>
      <w:r w:rsidR="0020030A" w:rsidRPr="00A70BEE">
        <w:rPr>
          <w:rFonts w:ascii="Times New Roman" w:eastAsia="Times New Roman" w:hAnsi="Times New Roman" w:cs="Times New Roman"/>
          <w:color w:val="000000"/>
        </w:rPr>
        <w:t>)</w:t>
      </w:r>
      <w:r w:rsidR="00DD634F" w:rsidRPr="00A70BEE">
        <w:rPr>
          <w:rFonts w:ascii="Times New Roman" w:eastAsia="Times New Roman" w:hAnsi="Times New Roman" w:cs="Times New Roman"/>
          <w:color w:val="000000"/>
        </w:rPr>
        <w:t xml:space="preserve"> all’immagine</w:t>
      </w:r>
      <w:r w:rsidR="00D72D2D" w:rsidRPr="00A70BEE">
        <w:rPr>
          <w:rFonts w:ascii="Times New Roman" w:eastAsia="Times New Roman" w:hAnsi="Times New Roman" w:cs="Times New Roman"/>
          <w:color w:val="000000"/>
        </w:rPr>
        <w:t xml:space="preserve"> della</w:t>
      </w:r>
      <w:r w:rsidR="008E7490" w:rsidRPr="00A70BEE">
        <w:rPr>
          <w:rFonts w:ascii="Times New Roman" w:eastAsia="Times New Roman" w:hAnsi="Times New Roman" w:cs="Times New Roman"/>
          <w:color w:val="000000"/>
        </w:rPr>
        <w:t xml:space="preserve"> caduta. </w:t>
      </w:r>
      <w:r w:rsidR="002A0E86" w:rsidRPr="00A70BEE">
        <w:rPr>
          <w:rFonts w:ascii="Times New Roman" w:eastAsia="Times New Roman" w:hAnsi="Times New Roman" w:cs="Times New Roman"/>
          <w:color w:val="000000"/>
        </w:rPr>
        <w:t>A mio modo di vedere, u</w:t>
      </w:r>
      <w:r w:rsidR="008E7490" w:rsidRPr="00A70BEE">
        <w:rPr>
          <w:rFonts w:ascii="Times New Roman" w:eastAsia="Times New Roman" w:hAnsi="Times New Roman" w:cs="Times New Roman"/>
          <w:color w:val="000000"/>
        </w:rPr>
        <w:t xml:space="preserve">tilizzando il verbo </w:t>
      </w:r>
      <w:r w:rsidR="00B964EA" w:rsidRPr="00A70BEE">
        <w:rPr>
          <w:rFonts w:ascii="Times New Roman" w:eastAsia="Times New Roman" w:hAnsi="Times New Roman" w:cs="Times New Roman"/>
          <w:i/>
          <w:color w:val="000000"/>
        </w:rPr>
        <w:t>anknüpfen</w:t>
      </w:r>
      <w:r w:rsidR="006931EF" w:rsidRPr="00A70BEE">
        <w:rPr>
          <w:rFonts w:ascii="Times New Roman" w:eastAsia="Times New Roman" w:hAnsi="Times New Roman" w:cs="Times New Roman"/>
          <w:color w:val="000000"/>
        </w:rPr>
        <w:t>, Rosenkranz vuole dirci</w:t>
      </w:r>
      <w:r w:rsidR="002A0E86" w:rsidRPr="00A70BEE">
        <w:rPr>
          <w:rFonts w:ascii="Times New Roman" w:eastAsia="Times New Roman" w:hAnsi="Times New Roman" w:cs="Times New Roman"/>
          <w:color w:val="000000"/>
        </w:rPr>
        <w:t xml:space="preserve"> due cose: </w:t>
      </w:r>
      <w:r w:rsidR="00AF2B58" w:rsidRPr="00A70BEE">
        <w:rPr>
          <w:rFonts w:ascii="Times New Roman" w:eastAsia="Times New Roman" w:hAnsi="Times New Roman" w:cs="Times New Roman"/>
          <w:color w:val="000000"/>
        </w:rPr>
        <w:t xml:space="preserve">1. </w:t>
      </w:r>
      <w:r w:rsidR="002A0E86" w:rsidRPr="00A70BEE">
        <w:rPr>
          <w:rFonts w:ascii="Times New Roman" w:eastAsia="Times New Roman" w:hAnsi="Times New Roman" w:cs="Times New Roman"/>
          <w:color w:val="000000"/>
        </w:rPr>
        <w:t xml:space="preserve">in </w:t>
      </w:r>
      <w:r w:rsidR="002A0E86" w:rsidRPr="00A70BEE">
        <w:rPr>
          <w:rFonts w:ascii="Times New Roman" w:eastAsia="Times New Roman" w:hAnsi="Times New Roman" w:cs="Times New Roman"/>
          <w:i/>
          <w:color w:val="000000"/>
        </w:rPr>
        <w:t>Philosophie und Religion</w:t>
      </w:r>
      <w:r w:rsidR="002A0E86" w:rsidRPr="00A70BEE">
        <w:rPr>
          <w:rFonts w:ascii="Times New Roman" w:eastAsia="Times New Roman" w:hAnsi="Times New Roman" w:cs="Times New Roman"/>
          <w:color w:val="000000"/>
        </w:rPr>
        <w:t xml:space="preserve"> </w:t>
      </w:r>
      <w:r w:rsidR="008E7490" w:rsidRPr="00A70BEE">
        <w:rPr>
          <w:rFonts w:ascii="Times New Roman" w:eastAsia="Times New Roman" w:hAnsi="Times New Roman" w:cs="Times New Roman"/>
          <w:color w:val="000000"/>
        </w:rPr>
        <w:t>sarebbe ravvisabile un intreccio fra filosofia e mistica r</w:t>
      </w:r>
      <w:r w:rsidR="00C963F7" w:rsidRPr="00A70BEE">
        <w:rPr>
          <w:rFonts w:ascii="Times New Roman" w:eastAsia="Times New Roman" w:hAnsi="Times New Roman" w:cs="Times New Roman"/>
          <w:color w:val="000000"/>
        </w:rPr>
        <w:t>eso</w:t>
      </w:r>
      <w:r w:rsidR="002A0E86" w:rsidRPr="00A70BEE">
        <w:rPr>
          <w:rFonts w:ascii="Times New Roman" w:eastAsia="Times New Roman" w:hAnsi="Times New Roman" w:cs="Times New Roman"/>
          <w:color w:val="000000"/>
        </w:rPr>
        <w:t xml:space="preserve"> possibile dalla struttura argo</w:t>
      </w:r>
      <w:r w:rsidR="00C963F7" w:rsidRPr="00A70BEE">
        <w:rPr>
          <w:rFonts w:ascii="Times New Roman" w:eastAsia="Times New Roman" w:hAnsi="Times New Roman" w:cs="Times New Roman"/>
          <w:color w:val="000000"/>
        </w:rPr>
        <w:t>m</w:t>
      </w:r>
      <w:r w:rsidR="002A0E86" w:rsidRPr="00A70BEE">
        <w:rPr>
          <w:rFonts w:ascii="Times New Roman" w:eastAsia="Times New Roman" w:hAnsi="Times New Roman" w:cs="Times New Roman"/>
          <w:color w:val="000000"/>
        </w:rPr>
        <w:t xml:space="preserve">entetativa del testo; </w:t>
      </w:r>
      <w:r w:rsidR="00AF2B58" w:rsidRPr="00A70BEE">
        <w:rPr>
          <w:rFonts w:ascii="Times New Roman" w:eastAsia="Times New Roman" w:hAnsi="Times New Roman" w:cs="Times New Roman"/>
          <w:color w:val="000000"/>
        </w:rPr>
        <w:t xml:space="preserve">2. </w:t>
      </w:r>
      <w:r w:rsidR="002A0E86" w:rsidRPr="00A70BEE">
        <w:rPr>
          <w:rFonts w:ascii="Times New Roman" w:eastAsia="Times New Roman" w:hAnsi="Times New Roman" w:cs="Times New Roman"/>
          <w:color w:val="000000"/>
        </w:rPr>
        <w:t>quest</w:t>
      </w:r>
      <w:r w:rsidR="00C963F7" w:rsidRPr="00A70BEE">
        <w:rPr>
          <w:rFonts w:ascii="Times New Roman" w:eastAsia="Times New Roman" w:hAnsi="Times New Roman" w:cs="Times New Roman"/>
          <w:color w:val="000000"/>
        </w:rPr>
        <w:t>a mancanza di precisione</w:t>
      </w:r>
      <w:r w:rsidR="008E7490" w:rsidRPr="00A70BEE">
        <w:rPr>
          <w:rFonts w:ascii="Times New Roman" w:eastAsia="Times New Roman" w:hAnsi="Times New Roman" w:cs="Times New Roman"/>
          <w:color w:val="000000"/>
        </w:rPr>
        <w:t xml:space="preserve"> potrebbe </w:t>
      </w:r>
      <w:r w:rsidR="002A0E86" w:rsidRPr="00A70BEE">
        <w:rPr>
          <w:rFonts w:ascii="Times New Roman" w:eastAsia="Times New Roman" w:hAnsi="Times New Roman" w:cs="Times New Roman"/>
          <w:color w:val="000000"/>
        </w:rPr>
        <w:t xml:space="preserve">indurre </w:t>
      </w:r>
      <w:r w:rsidR="008E7490" w:rsidRPr="00A70BEE">
        <w:rPr>
          <w:rFonts w:ascii="Times New Roman" w:eastAsia="Times New Roman" w:hAnsi="Times New Roman" w:cs="Times New Roman"/>
          <w:color w:val="000000"/>
        </w:rPr>
        <w:t>nel lettore un libero</w:t>
      </w:r>
      <w:r w:rsidR="00410B53" w:rsidRPr="00A70BEE">
        <w:rPr>
          <w:rFonts w:ascii="Times New Roman" w:eastAsia="Times New Roman" w:hAnsi="Times New Roman" w:cs="Times New Roman"/>
          <w:color w:val="000000"/>
        </w:rPr>
        <w:t xml:space="preserve"> dispiegamento della fantasia e</w:t>
      </w:r>
      <w:r w:rsidR="008E7490" w:rsidRPr="00A70BEE">
        <w:rPr>
          <w:rFonts w:ascii="Times New Roman" w:eastAsia="Times New Roman" w:hAnsi="Times New Roman" w:cs="Times New Roman"/>
          <w:color w:val="000000"/>
        </w:rPr>
        <w:t xml:space="preserve"> una libera </w:t>
      </w:r>
      <w:r w:rsidR="00C963F7" w:rsidRPr="00A70BEE">
        <w:rPr>
          <w:rFonts w:ascii="Times New Roman" w:eastAsia="Times New Roman" w:hAnsi="Times New Roman" w:cs="Times New Roman"/>
          <w:color w:val="000000"/>
        </w:rPr>
        <w:t>associazione</w:t>
      </w:r>
      <w:r w:rsidR="008E7490" w:rsidRPr="00A70BEE">
        <w:rPr>
          <w:rFonts w:ascii="Times New Roman" w:eastAsia="Times New Roman" w:hAnsi="Times New Roman" w:cs="Times New Roman"/>
          <w:color w:val="000000"/>
        </w:rPr>
        <w:t xml:space="preserve"> di </w:t>
      </w:r>
      <w:r w:rsidR="00503044" w:rsidRPr="00A70BEE">
        <w:rPr>
          <w:rFonts w:ascii="Times New Roman" w:eastAsia="Times New Roman" w:hAnsi="Times New Roman" w:cs="Times New Roman"/>
          <w:color w:val="000000"/>
        </w:rPr>
        <w:t>idee e rappresentazioni.</w:t>
      </w:r>
      <w:r w:rsidR="00503044" w:rsidRPr="00956CF9">
        <w:rPr>
          <w:rFonts w:ascii="Times New Roman" w:eastAsia="Times New Roman" w:hAnsi="Times New Roman" w:cs="Times New Roman"/>
          <w:color w:val="000000"/>
        </w:rPr>
        <w:t xml:space="preserve"> Le fantasie</w:t>
      </w:r>
      <w:r w:rsidR="007F5C07" w:rsidRPr="00956CF9">
        <w:rPr>
          <w:rFonts w:ascii="Times New Roman" w:eastAsia="Times New Roman" w:hAnsi="Times New Roman" w:cs="Times New Roman"/>
          <w:color w:val="000000"/>
        </w:rPr>
        <w:t xml:space="preserve"> mis</w:t>
      </w:r>
      <w:r w:rsidR="00503044" w:rsidRPr="00956CF9">
        <w:rPr>
          <w:rFonts w:ascii="Times New Roman" w:eastAsia="Times New Roman" w:hAnsi="Times New Roman" w:cs="Times New Roman"/>
          <w:color w:val="000000"/>
        </w:rPr>
        <w:t xml:space="preserve">tiche, quindi, sono </w:t>
      </w:r>
      <w:r w:rsidR="007F5C07" w:rsidRPr="00956CF9">
        <w:rPr>
          <w:rFonts w:ascii="Times New Roman" w:eastAsia="Times New Roman" w:hAnsi="Times New Roman" w:cs="Times New Roman"/>
          <w:color w:val="000000"/>
        </w:rPr>
        <w:t xml:space="preserve">rinvenibili </w:t>
      </w:r>
      <w:r w:rsidR="00503044" w:rsidRPr="00956CF9">
        <w:rPr>
          <w:rFonts w:ascii="Times New Roman" w:eastAsia="Times New Roman" w:hAnsi="Times New Roman" w:cs="Times New Roman"/>
          <w:color w:val="000000"/>
        </w:rPr>
        <w:t>nell’argomentazione schellinghiana</w:t>
      </w:r>
      <w:r w:rsidR="007F5C07" w:rsidRPr="00956CF9">
        <w:rPr>
          <w:rFonts w:ascii="Times New Roman" w:eastAsia="Times New Roman" w:hAnsi="Times New Roman" w:cs="Times New Roman"/>
          <w:color w:val="000000"/>
        </w:rPr>
        <w:t xml:space="preserve"> e </w:t>
      </w:r>
      <w:r w:rsidR="00503044" w:rsidRPr="00956CF9">
        <w:rPr>
          <w:rFonts w:ascii="Times New Roman" w:eastAsia="Times New Roman" w:hAnsi="Times New Roman" w:cs="Times New Roman"/>
          <w:color w:val="000000"/>
        </w:rPr>
        <w:t xml:space="preserve">sono evocabili in colui che </w:t>
      </w:r>
      <w:r w:rsidR="001541CD" w:rsidRPr="00956CF9">
        <w:rPr>
          <w:rFonts w:ascii="Times New Roman" w:eastAsia="Times New Roman" w:hAnsi="Times New Roman" w:cs="Times New Roman"/>
          <w:color w:val="000000"/>
        </w:rPr>
        <w:t xml:space="preserve">si confronta con </w:t>
      </w:r>
      <w:r w:rsidR="00503044" w:rsidRPr="00956CF9">
        <w:rPr>
          <w:rFonts w:ascii="Times New Roman" w:eastAsia="Times New Roman" w:hAnsi="Times New Roman" w:cs="Times New Roman"/>
          <w:i/>
          <w:color w:val="000000"/>
        </w:rPr>
        <w:t>Philosophie und Religion</w:t>
      </w:r>
      <w:r w:rsidR="00503044" w:rsidRPr="00956CF9">
        <w:rPr>
          <w:rFonts w:ascii="Times New Roman" w:eastAsia="Times New Roman" w:hAnsi="Times New Roman" w:cs="Times New Roman"/>
          <w:color w:val="000000"/>
        </w:rPr>
        <w:t>.</w:t>
      </w:r>
      <w:r w:rsidR="007F5C07" w:rsidRPr="00956CF9">
        <w:rPr>
          <w:rFonts w:ascii="Times New Roman" w:eastAsia="Times New Roman" w:hAnsi="Times New Roman" w:cs="Times New Roman"/>
          <w:color w:val="000000"/>
        </w:rPr>
        <w:t xml:space="preserve"> </w:t>
      </w:r>
      <w:r w:rsidR="007F5C07" w:rsidRPr="009E4F8A">
        <w:rPr>
          <w:rFonts w:ascii="Times New Roman" w:eastAsia="Times New Roman" w:hAnsi="Times New Roman" w:cs="Times New Roman"/>
          <w:color w:val="000000"/>
        </w:rPr>
        <w:t xml:space="preserve">Se si assume questa doppia chiave di </w:t>
      </w:r>
      <w:r w:rsidR="007F5C07" w:rsidRPr="00A70BEE">
        <w:rPr>
          <w:rFonts w:ascii="Times New Roman" w:eastAsia="Times New Roman" w:hAnsi="Times New Roman" w:cs="Times New Roman"/>
          <w:color w:val="000000"/>
        </w:rPr>
        <w:t xml:space="preserve">lettura, allora possono essere sciolti alcuni </w:t>
      </w:r>
      <w:r w:rsidR="0002774D" w:rsidRPr="00A70BEE">
        <w:rPr>
          <w:rFonts w:ascii="Times New Roman" w:eastAsia="Times New Roman" w:hAnsi="Times New Roman" w:cs="Times New Roman"/>
          <w:color w:val="000000"/>
        </w:rPr>
        <w:t>nodi problematici sul rapporto fra</w:t>
      </w:r>
      <w:r w:rsidR="007F5C07" w:rsidRPr="00A70BEE">
        <w:rPr>
          <w:rFonts w:ascii="Times New Roman" w:eastAsia="Times New Roman" w:hAnsi="Times New Roman" w:cs="Times New Roman"/>
          <w:color w:val="000000"/>
        </w:rPr>
        <w:t xml:space="preserve"> Schelling e Hegel </w:t>
      </w:r>
      <w:r w:rsidR="0002774D" w:rsidRPr="00A70BEE">
        <w:rPr>
          <w:rFonts w:ascii="Times New Roman" w:eastAsia="Times New Roman" w:hAnsi="Times New Roman" w:cs="Times New Roman"/>
          <w:color w:val="000000"/>
        </w:rPr>
        <w:t>e dei due</w:t>
      </w:r>
      <w:r>
        <w:rPr>
          <w:rFonts w:ascii="Times New Roman" w:eastAsia="Times New Roman" w:hAnsi="Times New Roman" w:cs="Times New Roman"/>
          <w:color w:val="000000"/>
        </w:rPr>
        <w:t xml:space="preserve"> autori</w:t>
      </w:r>
      <w:r w:rsidR="00DD634F" w:rsidRPr="00A70BEE">
        <w:rPr>
          <w:rFonts w:ascii="Times New Roman" w:eastAsia="Times New Roman" w:hAnsi="Times New Roman" w:cs="Times New Roman"/>
          <w:color w:val="000000"/>
        </w:rPr>
        <w:t xml:space="preserve"> </w:t>
      </w:r>
      <w:r w:rsidR="007F5C07" w:rsidRPr="00A70BEE">
        <w:rPr>
          <w:rFonts w:ascii="Times New Roman" w:eastAsia="Times New Roman" w:hAnsi="Times New Roman" w:cs="Times New Roman"/>
          <w:color w:val="000000"/>
        </w:rPr>
        <w:t xml:space="preserve">con </w:t>
      </w:r>
      <w:r w:rsidR="00D66344" w:rsidRPr="00A70BEE">
        <w:rPr>
          <w:rFonts w:ascii="Times New Roman" w:eastAsia="Times New Roman" w:hAnsi="Times New Roman" w:cs="Times New Roman"/>
          <w:color w:val="000000"/>
        </w:rPr>
        <w:t xml:space="preserve">il pensiero di </w:t>
      </w:r>
      <w:r w:rsidR="007F5C07" w:rsidRPr="00A70BEE">
        <w:rPr>
          <w:rFonts w:ascii="Times New Roman" w:eastAsia="Times New Roman" w:hAnsi="Times New Roman" w:cs="Times New Roman"/>
          <w:color w:val="000000"/>
        </w:rPr>
        <w:t xml:space="preserve">Böhme. </w:t>
      </w:r>
    </w:p>
    <w:p w14:paraId="4D4B6604" w14:textId="22CED8B3" w:rsidR="006F392A" w:rsidRPr="00F159CF" w:rsidRDefault="007F5C07" w:rsidP="00F159CF">
      <w:pPr>
        <w:spacing w:line="360" w:lineRule="auto"/>
        <w:ind w:firstLine="567"/>
        <w:jc w:val="both"/>
        <w:rPr>
          <w:rFonts w:ascii="Times New Roman" w:eastAsia="Times New Roman" w:hAnsi="Times New Roman" w:cs="Times New Roman"/>
          <w:color w:val="000000"/>
          <w:highlight w:val="yellow"/>
        </w:rPr>
      </w:pPr>
      <w:r w:rsidRPr="00A70BEE">
        <w:rPr>
          <w:rFonts w:ascii="Times New Roman" w:eastAsia="Times New Roman" w:hAnsi="Times New Roman" w:cs="Times New Roman"/>
          <w:color w:val="000000"/>
        </w:rPr>
        <w:t>Partend</w:t>
      </w:r>
      <w:r w:rsidR="00940038" w:rsidRPr="00A70BEE">
        <w:rPr>
          <w:rFonts w:ascii="Times New Roman" w:eastAsia="Times New Roman" w:hAnsi="Times New Roman" w:cs="Times New Roman"/>
          <w:color w:val="000000"/>
        </w:rPr>
        <w:t xml:space="preserve">o da Schelling, si può osservare </w:t>
      </w:r>
      <w:r w:rsidRPr="00A70BEE">
        <w:rPr>
          <w:rFonts w:ascii="Times New Roman" w:eastAsia="Times New Roman" w:hAnsi="Times New Roman" w:cs="Times New Roman"/>
          <w:color w:val="000000"/>
        </w:rPr>
        <w:t xml:space="preserve">che la </w:t>
      </w:r>
      <w:r w:rsidR="001541CD" w:rsidRPr="00A70BEE">
        <w:rPr>
          <w:rFonts w:ascii="Times New Roman" w:eastAsia="Times New Roman" w:hAnsi="Times New Roman" w:cs="Times New Roman"/>
          <w:color w:val="000000"/>
        </w:rPr>
        <w:t>nozione d</w:t>
      </w:r>
      <w:r w:rsidR="00FD6814" w:rsidRPr="00A70BEE">
        <w:rPr>
          <w:rFonts w:ascii="Times New Roman" w:eastAsia="Times New Roman" w:hAnsi="Times New Roman" w:cs="Times New Roman"/>
          <w:color w:val="000000"/>
        </w:rPr>
        <w:t>ell</w:t>
      </w:r>
      <w:r w:rsidR="001541CD" w:rsidRPr="00A70BEE">
        <w:rPr>
          <w:rFonts w:ascii="Times New Roman" w:eastAsia="Times New Roman" w:hAnsi="Times New Roman" w:cs="Times New Roman"/>
          <w:color w:val="000000"/>
        </w:rPr>
        <w:t>’</w:t>
      </w:r>
      <w:r w:rsidR="001541CD" w:rsidRPr="00A70BEE">
        <w:rPr>
          <w:rFonts w:ascii="Times New Roman" w:eastAsia="Times New Roman" w:hAnsi="Times New Roman" w:cs="Times New Roman"/>
          <w:i/>
          <w:color w:val="000000"/>
        </w:rPr>
        <w:t>Abfall</w:t>
      </w:r>
      <w:r w:rsidR="001541CD" w:rsidRPr="00A70BEE">
        <w:rPr>
          <w:rFonts w:ascii="Times New Roman" w:eastAsia="Times New Roman" w:hAnsi="Times New Roman" w:cs="Times New Roman"/>
          <w:color w:val="000000"/>
        </w:rPr>
        <w:t xml:space="preserve">, così come </w:t>
      </w:r>
      <w:r w:rsidRPr="00A70BEE">
        <w:rPr>
          <w:rFonts w:ascii="Times New Roman" w:eastAsia="Times New Roman" w:hAnsi="Times New Roman" w:cs="Times New Roman"/>
          <w:color w:val="000000"/>
        </w:rPr>
        <w:t xml:space="preserve">è esposta nello scritto del 1804, </w:t>
      </w:r>
      <w:r w:rsidR="00E00BA2" w:rsidRPr="00A70BEE">
        <w:rPr>
          <w:rFonts w:ascii="Times New Roman" w:eastAsia="Times New Roman" w:hAnsi="Times New Roman" w:cs="Times New Roman"/>
          <w:color w:val="000000"/>
        </w:rPr>
        <w:t>è</w:t>
      </w:r>
      <w:r w:rsidR="00104168" w:rsidRPr="00A70BEE">
        <w:rPr>
          <w:rFonts w:ascii="Times New Roman" w:eastAsia="Times New Roman" w:hAnsi="Times New Roman" w:cs="Times New Roman"/>
          <w:color w:val="000000"/>
        </w:rPr>
        <w:t xml:space="preserve"> riconducibile</w:t>
      </w:r>
      <w:r w:rsidR="00104168" w:rsidRPr="00E00BA2">
        <w:rPr>
          <w:rFonts w:ascii="Times New Roman" w:eastAsia="Times New Roman" w:hAnsi="Times New Roman" w:cs="Times New Roman"/>
          <w:color w:val="000000"/>
        </w:rPr>
        <w:t xml:space="preserve"> all’eredità platonica.</w:t>
      </w:r>
      <w:r w:rsidR="00D66344">
        <w:rPr>
          <w:rFonts w:ascii="Times New Roman" w:eastAsia="Times New Roman" w:hAnsi="Times New Roman" w:cs="Times New Roman"/>
          <w:color w:val="000000"/>
        </w:rPr>
        <w:t xml:space="preserve"> Ciò</w:t>
      </w:r>
      <w:r w:rsidR="00104168" w:rsidRPr="00D404AB">
        <w:rPr>
          <w:rFonts w:ascii="Times New Roman" w:eastAsia="Times New Roman" w:hAnsi="Times New Roman" w:cs="Times New Roman"/>
          <w:color w:val="000000"/>
        </w:rPr>
        <w:t xml:space="preserve"> non esclude, visto </w:t>
      </w:r>
      <w:r w:rsidR="001541CD" w:rsidRPr="00D404AB">
        <w:rPr>
          <w:rFonts w:ascii="Times New Roman" w:eastAsia="Times New Roman" w:hAnsi="Times New Roman" w:cs="Times New Roman"/>
          <w:color w:val="000000"/>
        </w:rPr>
        <w:t>l’</w:t>
      </w:r>
      <w:r w:rsidR="00104168" w:rsidRPr="00D404AB">
        <w:rPr>
          <w:rFonts w:ascii="Times New Roman" w:eastAsia="Times New Roman" w:hAnsi="Times New Roman" w:cs="Times New Roman"/>
          <w:color w:val="000000"/>
        </w:rPr>
        <w:t>interess</w:t>
      </w:r>
      <w:r w:rsidR="005D494E" w:rsidRPr="00D404AB">
        <w:rPr>
          <w:rFonts w:ascii="Times New Roman" w:eastAsia="Times New Roman" w:hAnsi="Times New Roman" w:cs="Times New Roman"/>
          <w:color w:val="000000"/>
        </w:rPr>
        <w:t xml:space="preserve">e schellinghiano per l’opera </w:t>
      </w:r>
      <w:r w:rsidR="00300DB0">
        <w:rPr>
          <w:rFonts w:ascii="Times New Roman" w:eastAsia="Times New Roman" w:hAnsi="Times New Roman" w:cs="Times New Roman"/>
          <w:color w:val="000000"/>
        </w:rPr>
        <w:t>di Böhme</w:t>
      </w:r>
      <w:r w:rsidR="00104168" w:rsidRPr="00D404AB">
        <w:rPr>
          <w:rFonts w:ascii="Times New Roman" w:eastAsia="Times New Roman" w:hAnsi="Times New Roman" w:cs="Times New Roman"/>
          <w:color w:val="000000"/>
        </w:rPr>
        <w:t xml:space="preserve">, l’incidenza </w:t>
      </w:r>
      <w:r w:rsidR="005D494E" w:rsidRPr="00D404AB">
        <w:rPr>
          <w:rFonts w:ascii="Times New Roman" w:eastAsia="Times New Roman" w:hAnsi="Times New Roman" w:cs="Times New Roman"/>
          <w:color w:val="000000"/>
        </w:rPr>
        <w:t>del ciabattino di G</w:t>
      </w:r>
      <w:r w:rsidR="00104168" w:rsidRPr="00D404AB">
        <w:rPr>
          <w:rFonts w:ascii="Times New Roman" w:eastAsia="Times New Roman" w:hAnsi="Times New Roman" w:cs="Times New Roman"/>
          <w:color w:val="000000"/>
        </w:rPr>
        <w:t>ö</w:t>
      </w:r>
      <w:r w:rsidR="005D494E" w:rsidRPr="00D404AB">
        <w:rPr>
          <w:rFonts w:ascii="Times New Roman" w:eastAsia="Times New Roman" w:hAnsi="Times New Roman" w:cs="Times New Roman"/>
          <w:color w:val="000000"/>
        </w:rPr>
        <w:t>rlitz</w:t>
      </w:r>
      <w:r w:rsidR="00104168" w:rsidRPr="00D404AB">
        <w:rPr>
          <w:rFonts w:ascii="Times New Roman" w:eastAsia="Times New Roman" w:hAnsi="Times New Roman" w:cs="Times New Roman"/>
          <w:color w:val="000000"/>
        </w:rPr>
        <w:t xml:space="preserve"> sulla formulazione di un concetto che chiama in causa una costellazione di </w:t>
      </w:r>
      <w:r w:rsidR="00104168" w:rsidRPr="00300DB0">
        <w:rPr>
          <w:rFonts w:ascii="Times New Roman" w:eastAsia="Times New Roman" w:hAnsi="Times New Roman" w:cs="Times New Roman"/>
          <w:color w:val="000000"/>
        </w:rPr>
        <w:t>riferimenti estendibili</w:t>
      </w:r>
      <w:r w:rsidR="001541CD" w:rsidRPr="00300DB0">
        <w:rPr>
          <w:rFonts w:ascii="Times New Roman" w:eastAsia="Times New Roman" w:hAnsi="Times New Roman" w:cs="Times New Roman"/>
          <w:color w:val="000000"/>
        </w:rPr>
        <w:t xml:space="preserve"> </w:t>
      </w:r>
      <w:r w:rsidR="00104168" w:rsidRPr="00300DB0">
        <w:rPr>
          <w:rFonts w:ascii="Times New Roman" w:eastAsia="Times New Roman" w:hAnsi="Times New Roman" w:cs="Times New Roman"/>
          <w:color w:val="000000"/>
        </w:rPr>
        <w:t>al pensiero filosofico</w:t>
      </w:r>
      <w:r w:rsidR="001541CD" w:rsidRPr="00300DB0">
        <w:rPr>
          <w:rFonts w:ascii="Times New Roman" w:eastAsia="Times New Roman" w:hAnsi="Times New Roman" w:cs="Times New Roman"/>
          <w:color w:val="000000"/>
        </w:rPr>
        <w:t>-religioso</w:t>
      </w:r>
      <w:r w:rsidR="00897C56" w:rsidRPr="00300DB0">
        <w:rPr>
          <w:rFonts w:ascii="Times New Roman" w:eastAsia="Times New Roman" w:hAnsi="Times New Roman" w:cs="Times New Roman"/>
          <w:color w:val="000000"/>
        </w:rPr>
        <w:t xml:space="preserve"> di tutti i tempi. </w:t>
      </w:r>
      <w:r w:rsidR="00DF44C2" w:rsidRPr="00300DB0">
        <w:rPr>
          <w:rFonts w:ascii="Times New Roman" w:eastAsia="Times New Roman" w:hAnsi="Times New Roman" w:cs="Times New Roman"/>
          <w:color w:val="000000"/>
        </w:rPr>
        <w:t>Al pari del platonismo, e questo non è elemento da sottovalutare, la riflessione böhmiana attribuisce u</w:t>
      </w:r>
      <w:r w:rsidR="00300DB0" w:rsidRPr="00300DB0">
        <w:rPr>
          <w:rFonts w:ascii="Times New Roman" w:eastAsia="Times New Roman" w:hAnsi="Times New Roman" w:cs="Times New Roman"/>
          <w:color w:val="000000"/>
        </w:rPr>
        <w:t>n adeguato valore speculativo al</w:t>
      </w:r>
      <w:r w:rsidR="00DF44C2" w:rsidRPr="00300DB0">
        <w:rPr>
          <w:rFonts w:ascii="Times New Roman" w:eastAsia="Times New Roman" w:hAnsi="Times New Roman" w:cs="Times New Roman"/>
          <w:color w:val="000000"/>
        </w:rPr>
        <w:t xml:space="preserve"> </w:t>
      </w:r>
      <w:r w:rsidR="00300DB0" w:rsidRPr="00300DB0">
        <w:rPr>
          <w:rFonts w:ascii="Times New Roman" w:eastAsia="Times New Roman" w:hAnsi="Times New Roman" w:cs="Times New Roman"/>
          <w:color w:val="000000"/>
        </w:rPr>
        <w:t>mito</w:t>
      </w:r>
      <w:r w:rsidR="00AE2931" w:rsidRPr="00300DB0">
        <w:rPr>
          <w:rFonts w:ascii="Times New Roman" w:eastAsia="Times New Roman" w:hAnsi="Times New Roman" w:cs="Times New Roman"/>
          <w:color w:val="000000"/>
        </w:rPr>
        <w:t xml:space="preserve"> </w:t>
      </w:r>
      <w:r w:rsidR="00DF44C2" w:rsidRPr="00300DB0">
        <w:rPr>
          <w:rFonts w:ascii="Times New Roman" w:eastAsia="Times New Roman" w:hAnsi="Times New Roman" w:cs="Times New Roman"/>
          <w:color w:val="000000"/>
        </w:rPr>
        <w:t xml:space="preserve">della caduta e del peccato originale, che </w:t>
      </w:r>
      <w:r w:rsidR="00D66344">
        <w:rPr>
          <w:rFonts w:ascii="Times New Roman" w:eastAsia="Times New Roman" w:hAnsi="Times New Roman" w:cs="Times New Roman"/>
          <w:color w:val="000000"/>
        </w:rPr>
        <w:t>possono essere visti –</w:t>
      </w:r>
      <w:r w:rsidR="000E2D22" w:rsidRPr="00300DB0">
        <w:rPr>
          <w:rFonts w:ascii="Times New Roman" w:eastAsia="Times New Roman" w:hAnsi="Times New Roman" w:cs="Times New Roman"/>
          <w:color w:val="000000"/>
        </w:rPr>
        <w:t xml:space="preserve"> sempre che si </w:t>
      </w:r>
      <w:r w:rsidR="00AE2931" w:rsidRPr="00300DB0">
        <w:rPr>
          <w:rFonts w:ascii="Times New Roman" w:eastAsia="Times New Roman" w:hAnsi="Times New Roman" w:cs="Times New Roman"/>
          <w:color w:val="000000"/>
        </w:rPr>
        <w:t xml:space="preserve">tenga ferma </w:t>
      </w:r>
      <w:r w:rsidR="00D66344">
        <w:rPr>
          <w:rFonts w:ascii="Times New Roman" w:eastAsia="Times New Roman" w:hAnsi="Times New Roman" w:cs="Times New Roman"/>
          <w:color w:val="000000"/>
        </w:rPr>
        <w:t>una prospettiva schellinghiana –</w:t>
      </w:r>
      <w:r w:rsidR="000E2D22" w:rsidRPr="00300DB0">
        <w:rPr>
          <w:rFonts w:ascii="Times New Roman" w:eastAsia="Times New Roman" w:hAnsi="Times New Roman" w:cs="Times New Roman"/>
          <w:color w:val="000000"/>
        </w:rPr>
        <w:t xml:space="preserve"> come elementi esplicativi del moto centrifugo e centripeto descritto dalla divinità. </w:t>
      </w:r>
      <w:r w:rsidR="003C3163" w:rsidRPr="00300DB0">
        <w:rPr>
          <w:rFonts w:ascii="Times New Roman" w:eastAsia="Times New Roman" w:hAnsi="Times New Roman" w:cs="Times New Roman"/>
          <w:color w:val="000000"/>
        </w:rPr>
        <w:t xml:space="preserve">Seppur richiamata in </w:t>
      </w:r>
      <w:r w:rsidR="003C3163" w:rsidRPr="00300DB0">
        <w:rPr>
          <w:rFonts w:ascii="Times New Roman" w:eastAsia="Times New Roman" w:hAnsi="Times New Roman" w:cs="Times New Roman"/>
          <w:i/>
          <w:color w:val="000000"/>
        </w:rPr>
        <w:t>Philosophie und Religion</w:t>
      </w:r>
      <w:r w:rsidR="003C3163" w:rsidRPr="00300DB0">
        <w:rPr>
          <w:rFonts w:ascii="Times New Roman" w:eastAsia="Times New Roman" w:hAnsi="Times New Roman" w:cs="Times New Roman"/>
          <w:color w:val="000000"/>
        </w:rPr>
        <w:t>, l</w:t>
      </w:r>
      <w:r w:rsidR="000E2D22" w:rsidRPr="00300DB0">
        <w:rPr>
          <w:rFonts w:ascii="Times New Roman" w:eastAsia="Times New Roman" w:hAnsi="Times New Roman" w:cs="Times New Roman"/>
          <w:color w:val="000000"/>
        </w:rPr>
        <w:t xml:space="preserve">a teoria </w:t>
      </w:r>
      <w:r w:rsidR="00AE2931" w:rsidRPr="00300DB0">
        <w:rPr>
          <w:rFonts w:ascii="Times New Roman" w:eastAsia="Times New Roman" w:hAnsi="Times New Roman" w:cs="Times New Roman"/>
          <w:color w:val="000000"/>
        </w:rPr>
        <w:t xml:space="preserve">kantiana </w:t>
      </w:r>
      <w:r w:rsidR="000E2D22" w:rsidRPr="00300DB0">
        <w:rPr>
          <w:rFonts w:ascii="Times New Roman" w:eastAsia="Times New Roman" w:hAnsi="Times New Roman" w:cs="Times New Roman"/>
          <w:color w:val="000000"/>
        </w:rPr>
        <w:t>dei due principi</w:t>
      </w:r>
      <w:r w:rsidR="003C3163" w:rsidRPr="00300DB0">
        <w:rPr>
          <w:rFonts w:ascii="Times New Roman" w:eastAsia="Times New Roman" w:hAnsi="Times New Roman" w:cs="Times New Roman"/>
          <w:color w:val="000000"/>
        </w:rPr>
        <w:t xml:space="preserve"> non </w:t>
      </w:r>
      <w:r w:rsidR="00F742E6">
        <w:rPr>
          <w:rFonts w:ascii="Times New Roman" w:eastAsia="Times New Roman" w:hAnsi="Times New Roman" w:cs="Times New Roman"/>
          <w:color w:val="000000"/>
        </w:rPr>
        <w:t xml:space="preserve">offre </w:t>
      </w:r>
      <w:r w:rsidR="00300DB0" w:rsidRPr="00300DB0">
        <w:rPr>
          <w:rFonts w:ascii="Times New Roman" w:eastAsia="Times New Roman" w:hAnsi="Times New Roman" w:cs="Times New Roman"/>
          <w:color w:val="000000"/>
        </w:rPr>
        <w:t xml:space="preserve">uno sviluppo esaustivo </w:t>
      </w:r>
      <w:r w:rsidR="00F742E6">
        <w:rPr>
          <w:rFonts w:ascii="Times New Roman" w:eastAsia="Times New Roman" w:hAnsi="Times New Roman" w:cs="Times New Roman"/>
          <w:color w:val="000000"/>
        </w:rPr>
        <w:t>del mito della</w:t>
      </w:r>
      <w:r w:rsidR="003C3163" w:rsidRPr="00300DB0">
        <w:rPr>
          <w:rFonts w:ascii="Times New Roman" w:eastAsia="Times New Roman" w:hAnsi="Times New Roman" w:cs="Times New Roman"/>
          <w:color w:val="000000"/>
        </w:rPr>
        <w:t xml:space="preserve"> caduta, poiché </w:t>
      </w:r>
      <w:r w:rsidR="00653320">
        <w:rPr>
          <w:rFonts w:ascii="Times New Roman" w:eastAsia="Times New Roman" w:hAnsi="Times New Roman" w:cs="Times New Roman"/>
          <w:color w:val="000000"/>
        </w:rPr>
        <w:t xml:space="preserve">non </w:t>
      </w:r>
      <w:r w:rsidR="003C3163" w:rsidRPr="00300DB0">
        <w:rPr>
          <w:rFonts w:ascii="Times New Roman" w:eastAsia="Times New Roman" w:hAnsi="Times New Roman" w:cs="Times New Roman"/>
          <w:color w:val="000000"/>
        </w:rPr>
        <w:t>considera</w:t>
      </w:r>
      <w:r w:rsidR="00C4688B" w:rsidRPr="00300DB0">
        <w:rPr>
          <w:rFonts w:ascii="Times New Roman" w:eastAsia="Times New Roman" w:hAnsi="Times New Roman" w:cs="Times New Roman"/>
          <w:color w:val="000000"/>
        </w:rPr>
        <w:t xml:space="preserve"> </w:t>
      </w:r>
      <w:r w:rsidR="00930F55">
        <w:rPr>
          <w:rFonts w:ascii="Times New Roman" w:eastAsia="Times New Roman" w:hAnsi="Times New Roman" w:cs="Times New Roman"/>
          <w:color w:val="000000"/>
        </w:rPr>
        <w:t xml:space="preserve">questo atto come «das Mittel </w:t>
      </w:r>
      <w:r w:rsidR="001046C4">
        <w:rPr>
          <w:rFonts w:ascii="Times New Roman" w:eastAsia="Times New Roman" w:hAnsi="Times New Roman" w:cs="Times New Roman"/>
          <w:color w:val="000000"/>
        </w:rPr>
        <w:t>der vollendeten Offenbarung Gottes wird</w:t>
      </w:r>
      <w:r w:rsidR="001046C4" w:rsidRPr="007F5DD9">
        <w:rPr>
          <w:rFonts w:ascii="Times New Roman" w:eastAsia="Times New Roman" w:hAnsi="Times New Roman" w:cs="Times New Roman"/>
          <w:color w:val="000000"/>
        </w:rPr>
        <w:t>»</w:t>
      </w:r>
      <w:r w:rsidR="001046C4" w:rsidRPr="007F5DD9">
        <w:rPr>
          <w:rStyle w:val="Rimandonotaapidipagina"/>
          <w:rFonts w:ascii="Times New Roman" w:eastAsia="Times New Roman" w:hAnsi="Times New Roman" w:cs="Times New Roman"/>
          <w:color w:val="000000"/>
        </w:rPr>
        <w:footnoteReference w:id="275"/>
      </w:r>
      <w:r w:rsidR="00C4688B" w:rsidRPr="007F5DD9">
        <w:rPr>
          <w:rFonts w:ascii="Times New Roman" w:eastAsia="Times New Roman" w:hAnsi="Times New Roman" w:cs="Times New Roman"/>
          <w:color w:val="000000"/>
        </w:rPr>
        <w:t xml:space="preserve">. </w:t>
      </w:r>
      <w:r w:rsidR="007F5DD9" w:rsidRPr="007F5DD9">
        <w:rPr>
          <w:rFonts w:ascii="Times New Roman" w:eastAsia="Times New Roman" w:hAnsi="Times New Roman" w:cs="Times New Roman"/>
          <w:color w:val="000000"/>
        </w:rPr>
        <w:t>Il v</w:t>
      </w:r>
      <w:r w:rsidR="00D66344" w:rsidRPr="007F5DD9">
        <w:rPr>
          <w:rFonts w:ascii="Times New Roman" w:eastAsia="Times New Roman" w:hAnsi="Times New Roman" w:cs="Times New Roman"/>
          <w:color w:val="000000"/>
        </w:rPr>
        <w:t xml:space="preserve">oler </w:t>
      </w:r>
      <w:r w:rsidR="0046202A" w:rsidRPr="007F5DD9">
        <w:rPr>
          <w:rFonts w:ascii="Times New Roman" w:eastAsia="Times New Roman" w:hAnsi="Times New Roman" w:cs="Times New Roman"/>
          <w:color w:val="000000"/>
        </w:rPr>
        <w:t xml:space="preserve">trovare risposta </w:t>
      </w:r>
      <w:r w:rsidR="00D66344" w:rsidRPr="007F5DD9">
        <w:rPr>
          <w:rFonts w:ascii="Times New Roman" w:eastAsia="Times New Roman" w:hAnsi="Times New Roman" w:cs="Times New Roman"/>
          <w:color w:val="000000"/>
        </w:rPr>
        <w:t xml:space="preserve">ad un contenuto </w:t>
      </w:r>
      <w:r w:rsidR="004E5841" w:rsidRPr="007F5DD9">
        <w:rPr>
          <w:rFonts w:ascii="Times New Roman" w:eastAsia="Times New Roman" w:hAnsi="Times New Roman" w:cs="Times New Roman"/>
          <w:color w:val="000000"/>
        </w:rPr>
        <w:t xml:space="preserve">ignorato </w:t>
      </w:r>
      <w:r w:rsidR="00653320" w:rsidRPr="007F5DD9">
        <w:rPr>
          <w:rFonts w:ascii="Times New Roman" w:eastAsia="Times New Roman" w:hAnsi="Times New Roman" w:cs="Times New Roman"/>
          <w:color w:val="000000"/>
        </w:rPr>
        <w:t xml:space="preserve">dalla </w:t>
      </w:r>
      <w:r w:rsidR="00653320" w:rsidRPr="007F5DD9">
        <w:rPr>
          <w:rFonts w:ascii="Times New Roman" w:eastAsia="Times New Roman" w:hAnsi="Times New Roman" w:cs="Times New Roman"/>
          <w:i/>
          <w:color w:val="000000"/>
        </w:rPr>
        <w:t>Religion</w:t>
      </w:r>
      <w:r w:rsidR="00653320" w:rsidRPr="007F5DD9">
        <w:rPr>
          <w:rFonts w:ascii="Times New Roman" w:eastAsia="Times New Roman" w:hAnsi="Times New Roman" w:cs="Times New Roman"/>
          <w:color w:val="000000"/>
        </w:rPr>
        <w:t xml:space="preserve"> kantiana</w:t>
      </w:r>
      <w:r w:rsidR="00803CE7" w:rsidRPr="007F5DD9">
        <w:rPr>
          <w:rFonts w:ascii="Times New Roman" w:eastAsia="Times New Roman" w:hAnsi="Times New Roman" w:cs="Times New Roman"/>
          <w:color w:val="000000"/>
        </w:rPr>
        <w:t xml:space="preserve"> </w:t>
      </w:r>
      <w:r w:rsidR="00C4688B" w:rsidRPr="007F5DD9">
        <w:rPr>
          <w:rFonts w:ascii="Times New Roman" w:eastAsia="Times New Roman" w:hAnsi="Times New Roman" w:cs="Times New Roman"/>
          <w:color w:val="000000"/>
        </w:rPr>
        <w:t>può aver spinto Schelling a</w:t>
      </w:r>
      <w:r w:rsidR="0046202A" w:rsidRPr="007F5DD9">
        <w:rPr>
          <w:rFonts w:ascii="Times New Roman" w:eastAsia="Times New Roman" w:hAnsi="Times New Roman" w:cs="Times New Roman"/>
          <w:color w:val="000000"/>
        </w:rPr>
        <w:t xml:space="preserve"> dialogare</w:t>
      </w:r>
      <w:r w:rsidR="00C4688B" w:rsidRPr="007F5DD9">
        <w:rPr>
          <w:rFonts w:ascii="Times New Roman" w:eastAsia="Times New Roman" w:hAnsi="Times New Roman" w:cs="Times New Roman"/>
          <w:color w:val="000000"/>
        </w:rPr>
        <w:t xml:space="preserve"> </w:t>
      </w:r>
      <w:r w:rsidR="00F742E6" w:rsidRPr="007F5DD9">
        <w:rPr>
          <w:rFonts w:ascii="Times New Roman" w:eastAsia="Times New Roman" w:hAnsi="Times New Roman" w:cs="Times New Roman"/>
          <w:color w:val="000000"/>
        </w:rPr>
        <w:t>anche</w:t>
      </w:r>
      <w:r w:rsidR="0046202A" w:rsidRPr="007F5DD9">
        <w:rPr>
          <w:rFonts w:ascii="Times New Roman" w:eastAsia="Times New Roman" w:hAnsi="Times New Roman" w:cs="Times New Roman"/>
          <w:color w:val="000000"/>
        </w:rPr>
        <w:t xml:space="preserve"> co</w:t>
      </w:r>
      <w:r w:rsidR="005603B2" w:rsidRPr="007F5DD9">
        <w:rPr>
          <w:rFonts w:ascii="Times New Roman" w:eastAsia="Times New Roman" w:hAnsi="Times New Roman" w:cs="Times New Roman"/>
          <w:color w:val="000000"/>
        </w:rPr>
        <w:t>n Böhme</w:t>
      </w:r>
      <w:r w:rsidR="00847CB9" w:rsidRPr="007F5DD9">
        <w:rPr>
          <w:rFonts w:ascii="Times New Roman" w:eastAsia="Times New Roman" w:hAnsi="Times New Roman" w:cs="Times New Roman"/>
          <w:color w:val="000000"/>
        </w:rPr>
        <w:t xml:space="preserve"> che,</w:t>
      </w:r>
      <w:r w:rsidR="00C4688B" w:rsidRPr="007F5DD9">
        <w:rPr>
          <w:rFonts w:ascii="Times New Roman" w:eastAsia="Times New Roman" w:hAnsi="Times New Roman" w:cs="Times New Roman"/>
          <w:color w:val="000000"/>
        </w:rPr>
        <w:t xml:space="preserve"> </w:t>
      </w:r>
      <w:r w:rsidR="00847CB9" w:rsidRPr="007F5DD9">
        <w:rPr>
          <w:rFonts w:ascii="Times New Roman" w:eastAsia="Times New Roman" w:hAnsi="Times New Roman" w:cs="Times New Roman"/>
          <w:color w:val="000000"/>
        </w:rPr>
        <w:t>al pari del</w:t>
      </w:r>
      <w:r w:rsidR="00EB3CDC" w:rsidRPr="007F5DD9">
        <w:rPr>
          <w:rFonts w:ascii="Times New Roman" w:eastAsia="Times New Roman" w:hAnsi="Times New Roman" w:cs="Times New Roman"/>
          <w:color w:val="000000"/>
        </w:rPr>
        <w:t>la riflessione platonica</w:t>
      </w:r>
      <w:r w:rsidR="00C4688B" w:rsidRPr="007F5DD9">
        <w:rPr>
          <w:rFonts w:ascii="Times New Roman" w:eastAsia="Times New Roman" w:hAnsi="Times New Roman" w:cs="Times New Roman"/>
          <w:color w:val="000000"/>
        </w:rPr>
        <w:t>,</w:t>
      </w:r>
      <w:r w:rsidR="003321E8" w:rsidRPr="007F5DD9">
        <w:rPr>
          <w:rFonts w:ascii="Times New Roman" w:eastAsia="Times New Roman" w:hAnsi="Times New Roman" w:cs="Times New Roman"/>
          <w:color w:val="000000"/>
        </w:rPr>
        <w:t xml:space="preserve"> </w:t>
      </w:r>
      <w:r w:rsidR="00156753" w:rsidRPr="007F5DD9">
        <w:rPr>
          <w:rFonts w:ascii="Times New Roman" w:eastAsia="Times New Roman" w:hAnsi="Times New Roman" w:cs="Times New Roman"/>
          <w:color w:val="000000"/>
        </w:rPr>
        <w:t xml:space="preserve">ha </w:t>
      </w:r>
      <w:r w:rsidR="00847CB9" w:rsidRPr="007F5DD9">
        <w:rPr>
          <w:rFonts w:ascii="Times New Roman" w:eastAsia="Times New Roman" w:hAnsi="Times New Roman" w:cs="Times New Roman"/>
          <w:color w:val="000000"/>
        </w:rPr>
        <w:t xml:space="preserve">fatto suo </w:t>
      </w:r>
      <w:r w:rsidR="002E642B" w:rsidRPr="007F5DD9">
        <w:rPr>
          <w:rFonts w:ascii="Times New Roman" w:eastAsia="Times New Roman" w:hAnsi="Times New Roman" w:cs="Times New Roman"/>
          <w:color w:val="000000"/>
        </w:rPr>
        <w:t>–utilizzando</w:t>
      </w:r>
      <w:r w:rsidR="00847CB9" w:rsidRPr="007F5DD9">
        <w:rPr>
          <w:rFonts w:ascii="Times New Roman" w:eastAsia="Times New Roman" w:hAnsi="Times New Roman" w:cs="Times New Roman"/>
          <w:color w:val="000000"/>
        </w:rPr>
        <w:t xml:space="preserve"> una celebre espressione di </w:t>
      </w:r>
      <w:r w:rsidR="00847CB9" w:rsidRPr="007F5DD9">
        <w:rPr>
          <w:rFonts w:ascii="Times New Roman" w:eastAsia="Times New Roman" w:hAnsi="Times New Roman" w:cs="Times New Roman"/>
          <w:i/>
          <w:color w:val="000000"/>
        </w:rPr>
        <w:t>P</w:t>
      </w:r>
      <w:r w:rsidR="00847CB9" w:rsidRPr="002E642B">
        <w:rPr>
          <w:rFonts w:ascii="Times New Roman" w:eastAsia="Times New Roman" w:hAnsi="Times New Roman" w:cs="Times New Roman"/>
          <w:i/>
          <w:color w:val="000000"/>
        </w:rPr>
        <w:t>hilsophie und Religion</w:t>
      </w:r>
      <w:r w:rsidR="00847CB9" w:rsidRPr="002E642B">
        <w:rPr>
          <w:rFonts w:ascii="Times New Roman" w:eastAsia="Times New Roman" w:hAnsi="Times New Roman" w:cs="Times New Roman"/>
          <w:color w:val="000000"/>
        </w:rPr>
        <w:t xml:space="preserve"> – </w:t>
      </w:r>
      <w:r w:rsidR="003321E8" w:rsidRPr="002E642B">
        <w:rPr>
          <w:rFonts w:ascii="Times New Roman" w:eastAsia="Times New Roman" w:hAnsi="Times New Roman" w:cs="Times New Roman"/>
          <w:color w:val="000000"/>
        </w:rPr>
        <w:t>«das Princip des Sündenfalls, in der höchsten Allgemeinheit ausgesprochen, wenn auch unbewusst»</w:t>
      </w:r>
      <w:r w:rsidR="003321E8" w:rsidRPr="002E642B">
        <w:rPr>
          <w:rStyle w:val="Rimandonotaapidipagina"/>
          <w:rFonts w:ascii="Times New Roman" w:eastAsia="Times New Roman" w:hAnsi="Times New Roman" w:cs="Times New Roman"/>
          <w:color w:val="000000"/>
        </w:rPr>
        <w:footnoteReference w:id="276"/>
      </w:r>
      <w:r w:rsidR="00C4688B" w:rsidRPr="002E642B">
        <w:rPr>
          <w:rFonts w:ascii="Times New Roman" w:eastAsia="Times New Roman" w:hAnsi="Times New Roman" w:cs="Times New Roman"/>
          <w:color w:val="000000"/>
        </w:rPr>
        <w:t>.</w:t>
      </w:r>
      <w:r w:rsidR="00803CE7" w:rsidRPr="006304D9">
        <w:rPr>
          <w:rFonts w:ascii="Times New Roman" w:eastAsia="Times New Roman" w:hAnsi="Times New Roman" w:cs="Times New Roman"/>
          <w:color w:val="000000"/>
        </w:rPr>
        <w:t xml:space="preserve"> </w:t>
      </w:r>
      <w:r w:rsidR="008B20D8" w:rsidRPr="006304D9">
        <w:rPr>
          <w:rFonts w:ascii="Times New Roman" w:eastAsia="Times New Roman" w:hAnsi="Times New Roman" w:cs="Times New Roman"/>
          <w:color w:val="000000"/>
        </w:rPr>
        <w:t>D</w:t>
      </w:r>
      <w:r w:rsidR="00B1354C" w:rsidRPr="006304D9">
        <w:rPr>
          <w:rFonts w:ascii="Times New Roman" w:eastAsia="Times New Roman" w:hAnsi="Times New Roman" w:cs="Times New Roman"/>
          <w:color w:val="000000"/>
        </w:rPr>
        <w:t xml:space="preserve">all’assunzione di </w:t>
      </w:r>
      <w:r w:rsidR="00BF4979" w:rsidRPr="006304D9">
        <w:rPr>
          <w:rFonts w:ascii="Times New Roman" w:eastAsia="Times New Roman" w:hAnsi="Times New Roman" w:cs="Times New Roman"/>
          <w:color w:val="000000"/>
        </w:rPr>
        <w:t>questo principio</w:t>
      </w:r>
      <w:r w:rsidR="00B1354C" w:rsidRPr="006304D9">
        <w:rPr>
          <w:rFonts w:ascii="Times New Roman" w:eastAsia="Times New Roman" w:hAnsi="Times New Roman" w:cs="Times New Roman"/>
          <w:color w:val="000000"/>
        </w:rPr>
        <w:t xml:space="preserve">, </w:t>
      </w:r>
      <w:r w:rsidR="008B20D8" w:rsidRPr="006304D9">
        <w:rPr>
          <w:rFonts w:ascii="Times New Roman" w:eastAsia="Times New Roman" w:hAnsi="Times New Roman" w:cs="Times New Roman"/>
          <w:color w:val="000000"/>
        </w:rPr>
        <w:t xml:space="preserve">inoltre, segue </w:t>
      </w:r>
      <w:r w:rsidR="00B1354C" w:rsidRPr="006304D9">
        <w:rPr>
          <w:rFonts w:ascii="Times New Roman" w:eastAsia="Times New Roman" w:hAnsi="Times New Roman" w:cs="Times New Roman"/>
          <w:color w:val="000000"/>
        </w:rPr>
        <w:t>la comprensione</w:t>
      </w:r>
      <w:r w:rsidR="00BF4979" w:rsidRPr="006304D9">
        <w:rPr>
          <w:rFonts w:ascii="Times New Roman" w:eastAsia="Times New Roman" w:hAnsi="Times New Roman" w:cs="Times New Roman"/>
          <w:color w:val="000000"/>
        </w:rPr>
        <w:t xml:space="preserve"> </w:t>
      </w:r>
      <w:r w:rsidR="00B1354C" w:rsidRPr="006304D9">
        <w:rPr>
          <w:rFonts w:ascii="Times New Roman" w:eastAsia="Times New Roman" w:hAnsi="Times New Roman" w:cs="Times New Roman"/>
          <w:color w:val="000000"/>
        </w:rPr>
        <w:t>del</w:t>
      </w:r>
      <w:r w:rsidR="00BF4979" w:rsidRPr="006304D9">
        <w:rPr>
          <w:rFonts w:ascii="Times New Roman" w:eastAsia="Times New Roman" w:hAnsi="Times New Roman" w:cs="Times New Roman"/>
          <w:color w:val="000000"/>
        </w:rPr>
        <w:t>la necessità della caduta degli spirit</w:t>
      </w:r>
      <w:r w:rsidR="00B1354C" w:rsidRPr="006304D9">
        <w:rPr>
          <w:rFonts w:ascii="Times New Roman" w:eastAsia="Times New Roman" w:hAnsi="Times New Roman" w:cs="Times New Roman"/>
          <w:color w:val="000000"/>
        </w:rPr>
        <w:t>i</w:t>
      </w:r>
      <w:r w:rsidR="00BF4979" w:rsidRPr="006304D9">
        <w:rPr>
          <w:rFonts w:ascii="Times New Roman" w:eastAsia="Times New Roman" w:hAnsi="Times New Roman" w:cs="Times New Roman"/>
          <w:color w:val="000000"/>
        </w:rPr>
        <w:t xml:space="preserve"> dal loro centro</w:t>
      </w:r>
      <w:r w:rsidR="00F159CF" w:rsidRPr="006304D9">
        <w:rPr>
          <w:rFonts w:ascii="Times New Roman" w:eastAsia="Times New Roman" w:hAnsi="Times New Roman" w:cs="Times New Roman"/>
          <w:color w:val="000000"/>
        </w:rPr>
        <w:t>, della loro sottomissione alla «Macht des bösen Princips»</w:t>
      </w:r>
      <w:r w:rsidR="00F159CF" w:rsidRPr="006304D9">
        <w:rPr>
          <w:rStyle w:val="Rimandonotaapidipagina"/>
          <w:rFonts w:ascii="Times New Roman" w:eastAsia="Times New Roman" w:hAnsi="Times New Roman" w:cs="Times New Roman"/>
          <w:color w:val="000000"/>
        </w:rPr>
        <w:footnoteReference w:id="277"/>
      </w:r>
      <w:r w:rsidR="00F159CF" w:rsidRPr="006304D9">
        <w:rPr>
          <w:rFonts w:ascii="Times New Roman" w:eastAsia="Times New Roman" w:hAnsi="Times New Roman" w:cs="Times New Roman"/>
          <w:color w:val="000000"/>
        </w:rPr>
        <w:t xml:space="preserve"> e del loro ritorno </w:t>
      </w:r>
      <w:r w:rsidR="00F159CF" w:rsidRPr="00BB1321">
        <w:rPr>
          <w:rFonts w:ascii="Times New Roman" w:eastAsia="Times New Roman" w:hAnsi="Times New Roman" w:cs="Times New Roman"/>
          <w:color w:val="000000"/>
        </w:rPr>
        <w:t>nell’Indifferenza assoluta</w:t>
      </w:r>
      <w:r w:rsidR="00F159CF" w:rsidRPr="00BB1321">
        <w:rPr>
          <w:rStyle w:val="Rimandonotaapidipagina"/>
          <w:rFonts w:ascii="Times New Roman" w:eastAsia="Times New Roman" w:hAnsi="Times New Roman" w:cs="Times New Roman"/>
          <w:color w:val="000000"/>
        </w:rPr>
        <w:t xml:space="preserve"> </w:t>
      </w:r>
      <w:r w:rsidR="00B1354C" w:rsidRPr="00BB1321">
        <w:rPr>
          <w:rStyle w:val="Rimandonotaapidipagina"/>
          <w:rFonts w:ascii="Times New Roman" w:eastAsia="Times New Roman" w:hAnsi="Times New Roman" w:cs="Times New Roman"/>
          <w:color w:val="000000"/>
        </w:rPr>
        <w:footnoteReference w:id="278"/>
      </w:r>
      <w:r w:rsidR="00F159CF" w:rsidRPr="00BB1321">
        <w:rPr>
          <w:rFonts w:ascii="Times New Roman" w:eastAsia="Times New Roman" w:hAnsi="Times New Roman" w:cs="Times New Roman"/>
          <w:color w:val="000000"/>
        </w:rPr>
        <w:t xml:space="preserve">. </w:t>
      </w:r>
      <w:r w:rsidR="008B20D8" w:rsidRPr="00BB1321">
        <w:rPr>
          <w:rFonts w:ascii="Times New Roman" w:eastAsia="Times New Roman" w:hAnsi="Times New Roman" w:cs="Times New Roman"/>
          <w:color w:val="000000"/>
        </w:rPr>
        <w:t>Quanto detto mi spinge</w:t>
      </w:r>
      <w:r w:rsidR="00803CE7" w:rsidRPr="00BB1321">
        <w:rPr>
          <w:rFonts w:ascii="Times New Roman" w:eastAsia="Times New Roman" w:hAnsi="Times New Roman" w:cs="Times New Roman"/>
          <w:color w:val="000000"/>
        </w:rPr>
        <w:t xml:space="preserve"> a </w:t>
      </w:r>
      <w:r w:rsidR="00F159CF" w:rsidRPr="00BB1321">
        <w:rPr>
          <w:rFonts w:ascii="Times New Roman" w:eastAsia="Times New Roman" w:hAnsi="Times New Roman" w:cs="Times New Roman"/>
          <w:color w:val="000000"/>
        </w:rPr>
        <w:t>valut</w:t>
      </w:r>
      <w:r w:rsidR="00803CE7" w:rsidRPr="00BB1321">
        <w:rPr>
          <w:rFonts w:ascii="Times New Roman" w:eastAsia="Times New Roman" w:hAnsi="Times New Roman" w:cs="Times New Roman"/>
          <w:color w:val="000000"/>
        </w:rPr>
        <w:t xml:space="preserve">are le osservazioni di </w:t>
      </w:r>
      <w:r w:rsidR="004D5653" w:rsidRPr="00BB1321">
        <w:rPr>
          <w:rFonts w:ascii="Times New Roman" w:eastAsia="Times New Roman" w:hAnsi="Times New Roman" w:cs="Times New Roman"/>
          <w:color w:val="000000"/>
        </w:rPr>
        <w:t>Rosenkranz</w:t>
      </w:r>
      <w:r w:rsidR="00104168" w:rsidRPr="00BB1321">
        <w:rPr>
          <w:rFonts w:ascii="Times New Roman" w:eastAsia="Times New Roman" w:hAnsi="Times New Roman" w:cs="Times New Roman"/>
          <w:color w:val="000000"/>
        </w:rPr>
        <w:t xml:space="preserve"> </w:t>
      </w:r>
      <w:r w:rsidR="00DD3D9A">
        <w:rPr>
          <w:rFonts w:ascii="Times New Roman" w:eastAsia="Times New Roman" w:hAnsi="Times New Roman" w:cs="Times New Roman"/>
          <w:color w:val="000000"/>
        </w:rPr>
        <w:t>in merito alle inconsequenz</w:t>
      </w:r>
      <w:r w:rsidR="00EB3CDC" w:rsidRPr="00BB1321">
        <w:rPr>
          <w:rFonts w:ascii="Times New Roman" w:eastAsia="Times New Roman" w:hAnsi="Times New Roman" w:cs="Times New Roman"/>
          <w:color w:val="000000"/>
        </w:rPr>
        <w:t xml:space="preserve">e mistiche di Schelling </w:t>
      </w:r>
      <w:r w:rsidR="0079433F" w:rsidRPr="00BB1321">
        <w:rPr>
          <w:rFonts w:ascii="Times New Roman" w:eastAsia="Times New Roman" w:hAnsi="Times New Roman" w:cs="Times New Roman"/>
          <w:color w:val="000000"/>
        </w:rPr>
        <w:t>come</w:t>
      </w:r>
      <w:r w:rsidR="00803CE7" w:rsidRPr="00BB1321">
        <w:rPr>
          <w:rFonts w:ascii="Times New Roman" w:eastAsia="Times New Roman" w:hAnsi="Times New Roman" w:cs="Times New Roman"/>
          <w:color w:val="000000"/>
        </w:rPr>
        <w:t xml:space="preserve"> </w:t>
      </w:r>
      <w:r w:rsidR="00DD56BA" w:rsidRPr="00BB1321">
        <w:rPr>
          <w:rFonts w:ascii="Times New Roman" w:eastAsia="Times New Roman" w:hAnsi="Times New Roman" w:cs="Times New Roman"/>
          <w:color w:val="000000"/>
        </w:rPr>
        <w:t>un</w:t>
      </w:r>
      <w:r w:rsidR="00D66344" w:rsidRPr="00BB1321">
        <w:rPr>
          <w:rFonts w:ascii="Times New Roman" w:eastAsia="Times New Roman" w:hAnsi="Times New Roman" w:cs="Times New Roman"/>
          <w:color w:val="000000"/>
        </w:rPr>
        <w:t>a</w:t>
      </w:r>
      <w:r w:rsidR="00DD56BA" w:rsidRPr="00BB1321">
        <w:rPr>
          <w:rFonts w:ascii="Times New Roman" w:eastAsia="Times New Roman" w:hAnsi="Times New Roman" w:cs="Times New Roman"/>
          <w:color w:val="000000"/>
        </w:rPr>
        <w:t xml:space="preserve"> </w:t>
      </w:r>
      <w:r w:rsidR="008634AE" w:rsidRPr="00BB1321">
        <w:rPr>
          <w:rFonts w:ascii="Times New Roman" w:eastAsia="Times New Roman" w:hAnsi="Times New Roman" w:cs="Times New Roman"/>
          <w:color w:val="000000"/>
        </w:rPr>
        <w:t>conferma</w:t>
      </w:r>
      <w:r w:rsidR="004C4FAF" w:rsidRPr="00BB1321">
        <w:rPr>
          <w:rFonts w:ascii="Times New Roman" w:eastAsia="Times New Roman" w:hAnsi="Times New Roman" w:cs="Times New Roman"/>
          <w:color w:val="000000"/>
        </w:rPr>
        <w:t xml:space="preserve"> </w:t>
      </w:r>
      <w:r w:rsidR="00665584" w:rsidRPr="00BB1321">
        <w:rPr>
          <w:rFonts w:ascii="Times New Roman" w:eastAsia="Times New Roman" w:hAnsi="Times New Roman" w:cs="Times New Roman"/>
          <w:color w:val="000000"/>
        </w:rPr>
        <w:t>di una sottotraccia</w:t>
      </w:r>
      <w:r w:rsidR="00540F12" w:rsidRPr="00BB1321">
        <w:rPr>
          <w:rFonts w:ascii="Times New Roman" w:eastAsia="Times New Roman" w:hAnsi="Times New Roman" w:cs="Times New Roman"/>
          <w:color w:val="000000"/>
        </w:rPr>
        <w:t xml:space="preserve"> </w:t>
      </w:r>
      <w:r w:rsidR="00764919" w:rsidRPr="00BB1321">
        <w:rPr>
          <w:rFonts w:ascii="Times New Roman" w:eastAsia="Times New Roman" w:hAnsi="Times New Roman" w:cs="Times New Roman"/>
          <w:color w:val="000000"/>
        </w:rPr>
        <w:t>böhmiana</w:t>
      </w:r>
      <w:r w:rsidR="00803CE7" w:rsidRPr="00BB1321">
        <w:rPr>
          <w:rFonts w:ascii="Times New Roman" w:eastAsia="Times New Roman" w:hAnsi="Times New Roman" w:cs="Times New Roman"/>
          <w:color w:val="000000"/>
        </w:rPr>
        <w:t xml:space="preserve"> </w:t>
      </w:r>
      <w:r w:rsidR="0068685B" w:rsidRPr="00BB1321">
        <w:rPr>
          <w:rFonts w:ascii="Times New Roman" w:eastAsia="Times New Roman" w:hAnsi="Times New Roman" w:cs="Times New Roman"/>
          <w:color w:val="000000"/>
        </w:rPr>
        <w:t>in</w:t>
      </w:r>
      <w:r w:rsidR="0068685B" w:rsidRPr="00BB1321">
        <w:rPr>
          <w:rFonts w:ascii="Times New Roman" w:eastAsia="Times New Roman" w:hAnsi="Times New Roman" w:cs="Times New Roman"/>
          <w:i/>
          <w:color w:val="000000"/>
        </w:rPr>
        <w:t xml:space="preserve"> Philosophie und Religion</w:t>
      </w:r>
      <w:r w:rsidR="004D5653" w:rsidRPr="00BB1321">
        <w:rPr>
          <w:rFonts w:ascii="Times New Roman" w:eastAsia="Times New Roman" w:hAnsi="Times New Roman" w:cs="Times New Roman"/>
          <w:color w:val="000000"/>
        </w:rPr>
        <w:t>. Presenza, lo si tenga bene a mente, che non esclude</w:t>
      </w:r>
      <w:r w:rsidR="006528D5" w:rsidRPr="00BB1321">
        <w:rPr>
          <w:rFonts w:ascii="Times New Roman" w:eastAsia="Times New Roman" w:hAnsi="Times New Roman" w:cs="Times New Roman"/>
          <w:color w:val="000000"/>
        </w:rPr>
        <w:t xml:space="preserve"> altre tradizioni di pensiero</w:t>
      </w:r>
      <w:r w:rsidR="004D5653" w:rsidRPr="00BB1321">
        <w:rPr>
          <w:rFonts w:ascii="Times New Roman" w:eastAsia="Times New Roman" w:hAnsi="Times New Roman" w:cs="Times New Roman"/>
          <w:color w:val="000000"/>
        </w:rPr>
        <w:t>, ma che s’inscrive in un</w:t>
      </w:r>
      <w:r w:rsidR="001541CD" w:rsidRPr="00BB1321">
        <w:rPr>
          <w:rFonts w:ascii="Times New Roman" w:eastAsia="Times New Roman" w:hAnsi="Times New Roman" w:cs="Times New Roman"/>
          <w:color w:val="000000"/>
        </w:rPr>
        <w:t>a</w:t>
      </w:r>
      <w:r w:rsidR="00D72D2D" w:rsidRPr="00BB1321">
        <w:rPr>
          <w:rFonts w:ascii="Times New Roman" w:eastAsia="Times New Roman" w:hAnsi="Times New Roman" w:cs="Times New Roman"/>
          <w:color w:val="000000"/>
        </w:rPr>
        <w:t xml:space="preserve"> cornice filosofica più</w:t>
      </w:r>
      <w:r w:rsidR="001541CD" w:rsidRPr="00BB1321">
        <w:rPr>
          <w:rFonts w:ascii="Times New Roman" w:eastAsia="Times New Roman" w:hAnsi="Times New Roman" w:cs="Times New Roman"/>
          <w:color w:val="000000"/>
        </w:rPr>
        <w:t xml:space="preserve"> eterogenea</w:t>
      </w:r>
      <w:r w:rsidR="00410B53" w:rsidRPr="00BB1321">
        <w:rPr>
          <w:rFonts w:ascii="Times New Roman" w:eastAsia="Times New Roman" w:hAnsi="Times New Roman" w:cs="Times New Roman"/>
          <w:color w:val="000000"/>
        </w:rPr>
        <w:t xml:space="preserve"> e stratificata</w:t>
      </w:r>
      <w:r w:rsidR="004D5653" w:rsidRPr="00BB1321">
        <w:rPr>
          <w:rFonts w:ascii="Times New Roman" w:eastAsia="Times New Roman" w:hAnsi="Times New Roman" w:cs="Times New Roman"/>
          <w:color w:val="000000"/>
        </w:rPr>
        <w:t>.</w:t>
      </w:r>
      <w:r w:rsidR="00D404AB">
        <w:rPr>
          <w:rFonts w:ascii="Times New Roman" w:eastAsia="Times New Roman" w:hAnsi="Times New Roman" w:cs="Times New Roman"/>
          <w:color w:val="000000"/>
        </w:rPr>
        <w:t xml:space="preserve"> </w:t>
      </w:r>
    </w:p>
    <w:p w14:paraId="7CF4C6E6" w14:textId="348AA123" w:rsidR="008A3BCA" w:rsidRPr="002A216F" w:rsidRDefault="00AA297F" w:rsidP="007810A9">
      <w:pPr>
        <w:spacing w:line="360" w:lineRule="auto"/>
        <w:ind w:firstLine="567"/>
        <w:jc w:val="both"/>
        <w:rPr>
          <w:rFonts w:ascii="Times New Roman" w:eastAsia="Times New Roman" w:hAnsi="Times New Roman" w:cs="Times New Roman"/>
          <w:color w:val="000000"/>
        </w:rPr>
      </w:pPr>
      <w:r w:rsidRPr="003D609A">
        <w:rPr>
          <w:rFonts w:ascii="Times New Roman" w:eastAsia="Times New Roman" w:hAnsi="Times New Roman" w:cs="Times New Roman"/>
          <w:color w:val="000000"/>
        </w:rPr>
        <w:t xml:space="preserve">Passando adesso ad </w:t>
      </w:r>
      <w:r w:rsidR="003A0A7E" w:rsidRPr="003D609A">
        <w:rPr>
          <w:rFonts w:ascii="Times New Roman" w:eastAsia="Times New Roman" w:hAnsi="Times New Roman" w:cs="Times New Roman"/>
          <w:color w:val="000000"/>
        </w:rPr>
        <w:t xml:space="preserve">Hegel, </w:t>
      </w:r>
      <w:r w:rsidRPr="003D609A">
        <w:rPr>
          <w:rFonts w:ascii="Times New Roman" w:eastAsia="Times New Roman" w:hAnsi="Times New Roman" w:cs="Times New Roman"/>
          <w:color w:val="000000"/>
        </w:rPr>
        <w:t xml:space="preserve">si possono sviluppare </w:t>
      </w:r>
      <w:r w:rsidR="009E4F8A" w:rsidRPr="003D609A">
        <w:rPr>
          <w:rFonts w:ascii="Times New Roman" w:eastAsia="Times New Roman" w:hAnsi="Times New Roman" w:cs="Times New Roman"/>
          <w:color w:val="000000"/>
        </w:rPr>
        <w:t>almeno</w:t>
      </w:r>
      <w:r w:rsidR="00A70BEE">
        <w:rPr>
          <w:rFonts w:ascii="Times New Roman" w:eastAsia="Times New Roman" w:hAnsi="Times New Roman" w:cs="Times New Roman"/>
          <w:color w:val="000000"/>
        </w:rPr>
        <w:t xml:space="preserve"> tr</w:t>
      </w:r>
      <w:r w:rsidR="002809DF" w:rsidRPr="003D609A">
        <w:rPr>
          <w:rFonts w:ascii="Times New Roman" w:eastAsia="Times New Roman" w:hAnsi="Times New Roman" w:cs="Times New Roman"/>
          <w:color w:val="000000"/>
        </w:rPr>
        <w:t>e considera</w:t>
      </w:r>
      <w:r w:rsidR="009E4F8A" w:rsidRPr="003D609A">
        <w:rPr>
          <w:rFonts w:ascii="Times New Roman" w:eastAsia="Times New Roman" w:hAnsi="Times New Roman" w:cs="Times New Roman"/>
          <w:color w:val="000000"/>
        </w:rPr>
        <w:t xml:space="preserve">zioni: </w:t>
      </w:r>
      <w:r w:rsidR="006007F2" w:rsidRPr="003D609A">
        <w:rPr>
          <w:rFonts w:ascii="Times New Roman" w:eastAsia="Times New Roman" w:hAnsi="Times New Roman" w:cs="Times New Roman"/>
          <w:color w:val="000000"/>
        </w:rPr>
        <w:t>1. l’intreccio argomentativo del</w:t>
      </w:r>
      <w:r w:rsidR="00835313" w:rsidRPr="003D609A">
        <w:rPr>
          <w:rFonts w:ascii="Times New Roman" w:eastAsia="Times New Roman" w:hAnsi="Times New Roman" w:cs="Times New Roman"/>
          <w:color w:val="000000"/>
        </w:rPr>
        <w:t xml:space="preserve"> </w:t>
      </w:r>
      <w:r w:rsidR="00835313" w:rsidRPr="003D609A">
        <w:rPr>
          <w:rFonts w:ascii="Times New Roman" w:eastAsia="Times New Roman" w:hAnsi="Times New Roman" w:cs="Times New Roman"/>
          <w:i/>
          <w:color w:val="000000"/>
        </w:rPr>
        <w:t>Fragment 49</w:t>
      </w:r>
      <w:r w:rsidR="00835313" w:rsidRPr="003D609A">
        <w:rPr>
          <w:rFonts w:ascii="Times New Roman" w:eastAsia="Times New Roman" w:hAnsi="Times New Roman" w:cs="Times New Roman"/>
          <w:color w:val="000000"/>
        </w:rPr>
        <w:t xml:space="preserve"> </w:t>
      </w:r>
      <w:r w:rsidR="002B7E2F" w:rsidRPr="003D609A">
        <w:rPr>
          <w:rFonts w:ascii="Times New Roman" w:eastAsia="Times New Roman" w:hAnsi="Times New Roman" w:cs="Times New Roman"/>
          <w:color w:val="000000"/>
        </w:rPr>
        <w:t xml:space="preserve">e della </w:t>
      </w:r>
      <w:r w:rsidR="002B7E2F" w:rsidRPr="003D609A">
        <w:rPr>
          <w:rFonts w:ascii="Times New Roman" w:eastAsia="Times New Roman" w:hAnsi="Times New Roman" w:cs="Times New Roman"/>
          <w:i/>
          <w:color w:val="000000"/>
        </w:rPr>
        <w:t>Jenaer Logik und Metaphysik</w:t>
      </w:r>
      <w:r w:rsidR="002B7E2F" w:rsidRPr="003D609A">
        <w:rPr>
          <w:rFonts w:ascii="Times New Roman" w:eastAsia="Times New Roman" w:hAnsi="Times New Roman" w:cs="Times New Roman"/>
          <w:color w:val="000000"/>
        </w:rPr>
        <w:t xml:space="preserve"> </w:t>
      </w:r>
      <w:r w:rsidR="006007F2" w:rsidRPr="003D609A">
        <w:rPr>
          <w:rFonts w:ascii="Times New Roman" w:eastAsia="Times New Roman" w:hAnsi="Times New Roman" w:cs="Times New Roman"/>
          <w:color w:val="000000"/>
        </w:rPr>
        <w:t>manifesta</w:t>
      </w:r>
      <w:r w:rsidR="006528D5" w:rsidRPr="003D609A">
        <w:rPr>
          <w:rFonts w:ascii="Times New Roman" w:eastAsia="Times New Roman" w:hAnsi="Times New Roman" w:cs="Times New Roman"/>
          <w:color w:val="000000"/>
        </w:rPr>
        <w:t xml:space="preserve"> </w:t>
      </w:r>
      <w:r w:rsidR="00846918" w:rsidRPr="003D609A">
        <w:rPr>
          <w:rFonts w:ascii="Times New Roman" w:eastAsia="Times New Roman" w:hAnsi="Times New Roman" w:cs="Times New Roman"/>
          <w:color w:val="000000"/>
        </w:rPr>
        <w:t xml:space="preserve">un’esplicita </w:t>
      </w:r>
      <w:r w:rsidR="0051578D" w:rsidRPr="003D609A">
        <w:rPr>
          <w:rFonts w:ascii="Times New Roman" w:eastAsia="Times New Roman" w:hAnsi="Times New Roman" w:cs="Times New Roman"/>
          <w:color w:val="000000"/>
        </w:rPr>
        <w:t xml:space="preserve">ripresa di </w:t>
      </w:r>
      <w:r w:rsidR="006528D5" w:rsidRPr="003D609A">
        <w:rPr>
          <w:rFonts w:ascii="Times New Roman" w:eastAsia="Times New Roman" w:hAnsi="Times New Roman" w:cs="Times New Roman"/>
          <w:i/>
          <w:color w:val="000000"/>
        </w:rPr>
        <w:t>Philosophie und Religion</w:t>
      </w:r>
      <w:r w:rsidR="00A70BEE">
        <w:rPr>
          <w:rFonts w:ascii="Times New Roman" w:eastAsia="Times New Roman" w:hAnsi="Times New Roman" w:cs="Times New Roman"/>
          <w:color w:val="000000"/>
        </w:rPr>
        <w:t>,</w:t>
      </w:r>
      <w:r w:rsidR="001439F4" w:rsidRPr="003D609A">
        <w:rPr>
          <w:rFonts w:ascii="Times New Roman" w:eastAsia="Times New Roman" w:hAnsi="Times New Roman" w:cs="Times New Roman"/>
          <w:color w:val="000000"/>
        </w:rPr>
        <w:t xml:space="preserve"> </w:t>
      </w:r>
      <w:r w:rsidR="009E4F8A" w:rsidRPr="003D609A">
        <w:rPr>
          <w:rFonts w:ascii="Times New Roman" w:eastAsia="Times New Roman" w:hAnsi="Times New Roman" w:cs="Times New Roman"/>
          <w:color w:val="000000"/>
        </w:rPr>
        <w:t>2.</w:t>
      </w:r>
      <w:r w:rsidR="007D320B" w:rsidRPr="003D609A">
        <w:rPr>
          <w:rFonts w:ascii="Times New Roman" w:eastAsia="Times New Roman" w:hAnsi="Times New Roman" w:cs="Times New Roman"/>
          <w:color w:val="000000"/>
        </w:rPr>
        <w:t xml:space="preserve"> </w:t>
      </w:r>
      <w:r w:rsidR="00CA3BFA" w:rsidRPr="003D609A">
        <w:rPr>
          <w:rFonts w:ascii="Times New Roman" w:eastAsia="Times New Roman" w:hAnsi="Times New Roman" w:cs="Times New Roman"/>
          <w:color w:val="000000"/>
        </w:rPr>
        <w:t xml:space="preserve">la concezione di </w:t>
      </w:r>
      <w:r w:rsidR="004F4867" w:rsidRPr="003D609A">
        <w:rPr>
          <w:rFonts w:ascii="Times New Roman" w:eastAsia="Times New Roman" w:hAnsi="Times New Roman" w:cs="Times New Roman"/>
          <w:color w:val="000000"/>
        </w:rPr>
        <w:t xml:space="preserve">un </w:t>
      </w:r>
      <w:r w:rsidR="00CA3BFA" w:rsidRPr="003D609A">
        <w:rPr>
          <w:rFonts w:ascii="Times New Roman" w:eastAsia="Times New Roman" w:hAnsi="Times New Roman" w:cs="Times New Roman"/>
          <w:color w:val="000000"/>
        </w:rPr>
        <w:t>Dio</w:t>
      </w:r>
      <w:r w:rsidR="004F4867" w:rsidRPr="003D609A">
        <w:rPr>
          <w:rFonts w:ascii="Times New Roman" w:eastAsia="Times New Roman" w:hAnsi="Times New Roman" w:cs="Times New Roman"/>
          <w:color w:val="000000"/>
        </w:rPr>
        <w:t xml:space="preserve"> vivente</w:t>
      </w:r>
      <w:r w:rsidR="00CA3BFA" w:rsidRPr="003D609A">
        <w:rPr>
          <w:rFonts w:ascii="Times New Roman" w:eastAsia="Times New Roman" w:hAnsi="Times New Roman" w:cs="Times New Roman"/>
          <w:color w:val="000000"/>
        </w:rPr>
        <w:t>, l’ontologizzazione</w:t>
      </w:r>
      <w:r w:rsidR="009E4F8A" w:rsidRPr="003D609A">
        <w:rPr>
          <w:rFonts w:ascii="Times New Roman" w:eastAsia="Times New Roman" w:hAnsi="Times New Roman" w:cs="Times New Roman"/>
          <w:color w:val="000000"/>
        </w:rPr>
        <w:t xml:space="preserve"> </w:t>
      </w:r>
      <w:r w:rsidR="003A21C5" w:rsidRPr="003D609A">
        <w:rPr>
          <w:rFonts w:ascii="Times New Roman" w:eastAsia="Times New Roman" w:hAnsi="Times New Roman" w:cs="Times New Roman"/>
          <w:color w:val="000000"/>
        </w:rPr>
        <w:t>di luce e tenebra</w:t>
      </w:r>
      <w:r w:rsidR="00713F26" w:rsidRPr="003D609A">
        <w:rPr>
          <w:rFonts w:ascii="Times New Roman" w:eastAsia="Times New Roman" w:hAnsi="Times New Roman" w:cs="Times New Roman"/>
          <w:color w:val="000000"/>
        </w:rPr>
        <w:t xml:space="preserve"> </w:t>
      </w:r>
      <w:r w:rsidR="00E430D8" w:rsidRPr="003D609A">
        <w:rPr>
          <w:rFonts w:ascii="Times New Roman" w:eastAsia="Times New Roman" w:hAnsi="Times New Roman" w:cs="Times New Roman"/>
          <w:color w:val="000000"/>
        </w:rPr>
        <w:t>e il mito</w:t>
      </w:r>
      <w:r w:rsidR="006528D5" w:rsidRPr="003D609A">
        <w:rPr>
          <w:rFonts w:ascii="Times New Roman" w:eastAsia="Times New Roman" w:hAnsi="Times New Roman" w:cs="Times New Roman"/>
          <w:color w:val="000000"/>
        </w:rPr>
        <w:t xml:space="preserve"> della caduta </w:t>
      </w:r>
      <w:r w:rsidR="00713F26" w:rsidRPr="003D609A">
        <w:rPr>
          <w:rFonts w:ascii="Times New Roman" w:eastAsia="Times New Roman" w:hAnsi="Times New Roman" w:cs="Times New Roman"/>
          <w:color w:val="000000"/>
        </w:rPr>
        <w:t>sono</w:t>
      </w:r>
      <w:r w:rsidR="0040253E" w:rsidRPr="003D609A">
        <w:rPr>
          <w:rFonts w:ascii="Times New Roman" w:eastAsia="Times New Roman" w:hAnsi="Times New Roman" w:cs="Times New Roman"/>
          <w:color w:val="000000"/>
        </w:rPr>
        <w:t xml:space="preserve"> </w:t>
      </w:r>
      <w:r w:rsidR="001439F4" w:rsidRPr="003D609A">
        <w:rPr>
          <w:rFonts w:ascii="Times New Roman" w:eastAsia="Times New Roman" w:hAnsi="Times New Roman" w:cs="Times New Roman"/>
          <w:color w:val="000000"/>
        </w:rPr>
        <w:t>r</w:t>
      </w:r>
      <w:r w:rsidR="002D5342" w:rsidRPr="003D609A">
        <w:rPr>
          <w:rFonts w:ascii="Times New Roman" w:eastAsia="Times New Roman" w:hAnsi="Times New Roman" w:cs="Times New Roman"/>
          <w:color w:val="000000"/>
        </w:rPr>
        <w:t xml:space="preserve">appresentazioni </w:t>
      </w:r>
      <w:r w:rsidR="003D609A" w:rsidRPr="003D609A">
        <w:rPr>
          <w:rFonts w:ascii="Times New Roman" w:eastAsia="Times New Roman" w:hAnsi="Times New Roman" w:cs="Times New Roman"/>
          <w:color w:val="000000"/>
        </w:rPr>
        <w:t>böhmiane</w:t>
      </w:r>
      <w:r w:rsidR="004F4867" w:rsidRPr="003D609A">
        <w:rPr>
          <w:rFonts w:ascii="Times New Roman" w:eastAsia="Times New Roman" w:hAnsi="Times New Roman" w:cs="Times New Roman"/>
          <w:color w:val="000000"/>
        </w:rPr>
        <w:t xml:space="preserve">, che </w:t>
      </w:r>
      <w:r w:rsidR="00E7017F" w:rsidRPr="003D609A">
        <w:rPr>
          <w:rFonts w:ascii="Times New Roman" w:eastAsia="Times New Roman" w:hAnsi="Times New Roman" w:cs="Times New Roman"/>
          <w:color w:val="000000"/>
        </w:rPr>
        <w:t>possono scuotere, se</w:t>
      </w:r>
      <w:r w:rsidR="002B7E2F" w:rsidRPr="003D609A">
        <w:rPr>
          <w:rFonts w:ascii="Times New Roman" w:eastAsia="Times New Roman" w:hAnsi="Times New Roman" w:cs="Times New Roman"/>
          <w:color w:val="000000"/>
        </w:rPr>
        <w:t xml:space="preserve"> tradotte in termini concettuali</w:t>
      </w:r>
      <w:r w:rsidR="00E7017F" w:rsidRPr="003D609A">
        <w:rPr>
          <w:rFonts w:ascii="Times New Roman" w:eastAsia="Times New Roman" w:hAnsi="Times New Roman" w:cs="Times New Roman"/>
          <w:color w:val="000000"/>
        </w:rPr>
        <w:t>,</w:t>
      </w:r>
      <w:r w:rsidR="004F4867" w:rsidRPr="003D609A">
        <w:rPr>
          <w:rFonts w:ascii="Times New Roman" w:eastAsia="Times New Roman" w:hAnsi="Times New Roman" w:cs="Times New Roman"/>
          <w:color w:val="000000"/>
        </w:rPr>
        <w:t xml:space="preserve"> </w:t>
      </w:r>
      <w:r w:rsidR="00424F1C" w:rsidRPr="003D609A">
        <w:rPr>
          <w:rFonts w:ascii="Times New Roman" w:eastAsia="Times New Roman" w:hAnsi="Times New Roman" w:cs="Times New Roman"/>
          <w:color w:val="000000"/>
        </w:rPr>
        <w:t xml:space="preserve">l’incapacità kantiana </w:t>
      </w:r>
      <w:r w:rsidR="00156753" w:rsidRPr="003D609A">
        <w:rPr>
          <w:rFonts w:ascii="Times New Roman" w:eastAsia="Times New Roman" w:hAnsi="Times New Roman" w:cs="Times New Roman"/>
          <w:color w:val="000000"/>
        </w:rPr>
        <w:t xml:space="preserve">e spinoziana </w:t>
      </w:r>
      <w:r w:rsidR="00424F1C" w:rsidRPr="003D609A">
        <w:rPr>
          <w:rFonts w:ascii="Times New Roman" w:eastAsia="Times New Roman" w:hAnsi="Times New Roman" w:cs="Times New Roman"/>
          <w:color w:val="000000"/>
        </w:rPr>
        <w:t xml:space="preserve">di pensare l’immanenza del negativo nel </w:t>
      </w:r>
      <w:r w:rsidR="00424F1C" w:rsidRPr="00552FCB">
        <w:rPr>
          <w:rFonts w:ascii="Times New Roman" w:eastAsia="Times New Roman" w:hAnsi="Times New Roman" w:cs="Times New Roman"/>
          <w:color w:val="000000"/>
        </w:rPr>
        <w:t>positivo</w:t>
      </w:r>
      <w:r w:rsidR="00A70BEE" w:rsidRPr="00552FCB">
        <w:rPr>
          <w:rFonts w:ascii="Times New Roman" w:eastAsia="Times New Roman" w:hAnsi="Times New Roman" w:cs="Times New Roman"/>
          <w:color w:val="000000"/>
        </w:rPr>
        <w:t xml:space="preserve"> e</w:t>
      </w:r>
      <w:r w:rsidR="007D320B" w:rsidRPr="00552FCB">
        <w:rPr>
          <w:rFonts w:ascii="Times New Roman" w:eastAsia="Times New Roman" w:hAnsi="Times New Roman" w:cs="Times New Roman"/>
          <w:color w:val="000000"/>
        </w:rPr>
        <w:t xml:space="preserve"> </w:t>
      </w:r>
      <w:r w:rsidR="00A70BEE" w:rsidRPr="00552FCB">
        <w:rPr>
          <w:rFonts w:ascii="Times New Roman" w:eastAsia="Times New Roman" w:hAnsi="Times New Roman" w:cs="Times New Roman"/>
          <w:color w:val="000000"/>
        </w:rPr>
        <w:t>3.</w:t>
      </w:r>
      <w:r w:rsidR="00A70BEE">
        <w:rPr>
          <w:rFonts w:ascii="Times New Roman" w:eastAsia="Times New Roman" w:hAnsi="Times New Roman" w:cs="Times New Roman"/>
          <w:color w:val="000000"/>
        </w:rPr>
        <w:t xml:space="preserve"> l</w:t>
      </w:r>
      <w:r w:rsidR="00B76296">
        <w:rPr>
          <w:rFonts w:ascii="Times New Roman" w:eastAsia="Times New Roman" w:hAnsi="Times New Roman" w:cs="Times New Roman"/>
          <w:color w:val="000000"/>
        </w:rPr>
        <w:t xml:space="preserve">a lettura della </w:t>
      </w:r>
      <w:r w:rsidR="00B76296" w:rsidRPr="00B76296">
        <w:rPr>
          <w:rFonts w:ascii="Times New Roman" w:eastAsia="Times New Roman" w:hAnsi="Times New Roman" w:cs="Times New Roman"/>
          <w:i/>
          <w:color w:val="000000"/>
        </w:rPr>
        <w:t>Religion innerhalb der Grenzen der bloßen Vernunft</w:t>
      </w:r>
      <w:r w:rsidR="00B76296">
        <w:rPr>
          <w:rFonts w:ascii="Times New Roman" w:eastAsia="Times New Roman" w:hAnsi="Times New Roman" w:cs="Times New Roman"/>
          <w:color w:val="000000"/>
        </w:rPr>
        <w:t xml:space="preserve">, il confronto con </w:t>
      </w:r>
      <w:r w:rsidR="007D320B" w:rsidRPr="00956CF9">
        <w:rPr>
          <w:rFonts w:ascii="Times New Roman" w:eastAsia="Times New Roman" w:hAnsi="Times New Roman" w:cs="Times New Roman"/>
          <w:i/>
          <w:color w:val="000000"/>
        </w:rPr>
        <w:t>Philosophie und Religion</w:t>
      </w:r>
      <w:r w:rsidR="00B76296">
        <w:rPr>
          <w:rFonts w:ascii="Times New Roman" w:eastAsia="Times New Roman" w:hAnsi="Times New Roman" w:cs="Times New Roman"/>
          <w:color w:val="000000"/>
        </w:rPr>
        <w:t xml:space="preserve">, </w:t>
      </w:r>
      <w:r w:rsidR="001018E2">
        <w:rPr>
          <w:rFonts w:ascii="Times New Roman" w:eastAsia="Times New Roman" w:hAnsi="Times New Roman" w:cs="Times New Roman"/>
          <w:color w:val="000000"/>
        </w:rPr>
        <w:t xml:space="preserve">l’interesse per l’opera </w:t>
      </w:r>
      <w:r w:rsidR="002D5342">
        <w:rPr>
          <w:rFonts w:ascii="Times New Roman" w:eastAsia="Times New Roman" w:hAnsi="Times New Roman" w:cs="Times New Roman"/>
          <w:color w:val="000000"/>
        </w:rPr>
        <w:t>di Böhme (</w:t>
      </w:r>
      <w:r w:rsidR="007D320B" w:rsidRPr="00956CF9">
        <w:rPr>
          <w:rFonts w:ascii="Times New Roman" w:eastAsia="Times New Roman" w:hAnsi="Times New Roman" w:cs="Times New Roman"/>
          <w:color w:val="000000"/>
        </w:rPr>
        <w:t>indotto dal proprio tempo stori</w:t>
      </w:r>
      <w:r w:rsidR="00CA3BFA">
        <w:rPr>
          <w:rFonts w:ascii="Times New Roman" w:eastAsia="Times New Roman" w:hAnsi="Times New Roman" w:cs="Times New Roman"/>
          <w:color w:val="000000"/>
        </w:rPr>
        <w:t>co</w:t>
      </w:r>
      <w:r w:rsidR="00EE6638" w:rsidRPr="00956CF9">
        <w:rPr>
          <w:rFonts w:ascii="Times New Roman" w:eastAsia="Times New Roman" w:hAnsi="Times New Roman" w:cs="Times New Roman"/>
          <w:color w:val="000000"/>
        </w:rPr>
        <w:t xml:space="preserve"> e frutto</w:t>
      </w:r>
      <w:r w:rsidR="002B4CF7" w:rsidRPr="00956CF9">
        <w:rPr>
          <w:rFonts w:ascii="Times New Roman" w:eastAsia="Times New Roman" w:hAnsi="Times New Roman" w:cs="Times New Roman"/>
          <w:color w:val="000000"/>
        </w:rPr>
        <w:t xml:space="preserve"> </w:t>
      </w:r>
      <w:r w:rsidR="00EE6638" w:rsidRPr="00956CF9">
        <w:rPr>
          <w:rFonts w:ascii="Times New Roman" w:eastAsia="Times New Roman" w:hAnsi="Times New Roman" w:cs="Times New Roman"/>
          <w:color w:val="000000"/>
        </w:rPr>
        <w:t xml:space="preserve">di un desiderio autonomo </w:t>
      </w:r>
      <w:r w:rsidR="00CA3BFA">
        <w:rPr>
          <w:rFonts w:ascii="Times New Roman" w:eastAsia="Times New Roman" w:hAnsi="Times New Roman" w:cs="Times New Roman"/>
          <w:color w:val="000000"/>
        </w:rPr>
        <w:t>e personale dell’</w:t>
      </w:r>
      <w:r w:rsidR="00021560">
        <w:rPr>
          <w:rFonts w:ascii="Times New Roman" w:eastAsia="Times New Roman" w:hAnsi="Times New Roman" w:cs="Times New Roman"/>
          <w:color w:val="000000"/>
        </w:rPr>
        <w:t>autore</w:t>
      </w:r>
      <w:r w:rsidR="002D5342">
        <w:rPr>
          <w:rFonts w:ascii="Times New Roman" w:eastAsia="Times New Roman" w:hAnsi="Times New Roman" w:cs="Times New Roman"/>
          <w:color w:val="000000"/>
        </w:rPr>
        <w:t>)</w:t>
      </w:r>
      <w:r w:rsidR="00D92E80" w:rsidRPr="00956CF9">
        <w:rPr>
          <w:rFonts w:ascii="Times New Roman" w:eastAsia="Times New Roman" w:hAnsi="Times New Roman" w:cs="Times New Roman"/>
          <w:color w:val="000000"/>
        </w:rPr>
        <w:t xml:space="preserve"> e </w:t>
      </w:r>
      <w:r w:rsidR="00EE6638" w:rsidRPr="00956CF9">
        <w:rPr>
          <w:rFonts w:ascii="Times New Roman" w:eastAsia="Times New Roman" w:hAnsi="Times New Roman" w:cs="Times New Roman"/>
          <w:color w:val="000000"/>
        </w:rPr>
        <w:t>l</w:t>
      </w:r>
      <w:r w:rsidR="00096530" w:rsidRPr="00956CF9">
        <w:rPr>
          <w:rFonts w:ascii="Times New Roman" w:eastAsia="Times New Roman" w:hAnsi="Times New Roman" w:cs="Times New Roman"/>
          <w:color w:val="000000"/>
        </w:rPr>
        <w:t xml:space="preserve">a rielaborazione di </w:t>
      </w:r>
      <w:r w:rsidR="002D5342">
        <w:rPr>
          <w:rFonts w:ascii="Times New Roman" w:eastAsia="Times New Roman" w:hAnsi="Times New Roman" w:cs="Times New Roman"/>
          <w:color w:val="000000"/>
        </w:rPr>
        <w:t xml:space="preserve">filosofemi </w:t>
      </w:r>
      <w:r w:rsidR="00EE6638" w:rsidRPr="00956CF9">
        <w:rPr>
          <w:rFonts w:ascii="Times New Roman" w:eastAsia="Times New Roman" w:hAnsi="Times New Roman" w:cs="Times New Roman"/>
          <w:color w:val="000000"/>
        </w:rPr>
        <w:t xml:space="preserve">böhmiani costituiscono </w:t>
      </w:r>
      <w:r w:rsidR="00EE6638" w:rsidRPr="002A216F">
        <w:rPr>
          <w:rFonts w:ascii="Times New Roman" w:eastAsia="Times New Roman" w:hAnsi="Times New Roman" w:cs="Times New Roman"/>
          <w:color w:val="000000"/>
        </w:rPr>
        <w:t xml:space="preserve">un </w:t>
      </w:r>
      <w:r w:rsidR="00ED4A08">
        <w:rPr>
          <w:rFonts w:ascii="Times New Roman" w:eastAsia="Times New Roman" w:hAnsi="Times New Roman" w:cs="Times New Roman"/>
          <w:color w:val="000000"/>
        </w:rPr>
        <w:t xml:space="preserve">unico processo </w:t>
      </w:r>
      <w:r w:rsidR="005E7888" w:rsidRPr="002A216F">
        <w:rPr>
          <w:rFonts w:ascii="Times New Roman" w:eastAsia="Times New Roman" w:hAnsi="Times New Roman" w:cs="Times New Roman"/>
          <w:color w:val="000000"/>
        </w:rPr>
        <w:t>d</w:t>
      </w:r>
      <w:r w:rsidR="003A21C5" w:rsidRPr="002A216F">
        <w:rPr>
          <w:rFonts w:ascii="Times New Roman" w:eastAsia="Times New Roman" w:hAnsi="Times New Roman" w:cs="Times New Roman"/>
          <w:color w:val="000000"/>
        </w:rPr>
        <w:t>ella</w:t>
      </w:r>
      <w:r w:rsidR="003A21C5">
        <w:rPr>
          <w:rFonts w:ascii="Times New Roman" w:eastAsia="Times New Roman" w:hAnsi="Times New Roman" w:cs="Times New Roman"/>
          <w:color w:val="000000"/>
        </w:rPr>
        <w:t xml:space="preserve"> </w:t>
      </w:r>
      <w:r w:rsidR="003A21C5" w:rsidRPr="003A21C5">
        <w:rPr>
          <w:rFonts w:ascii="Times New Roman" w:eastAsia="Times New Roman" w:hAnsi="Times New Roman" w:cs="Times New Roman"/>
          <w:i/>
          <w:color w:val="000000"/>
        </w:rPr>
        <w:t>Denkentwicklung</w:t>
      </w:r>
      <w:r w:rsidR="003A21C5">
        <w:rPr>
          <w:rFonts w:ascii="Times New Roman" w:eastAsia="Times New Roman" w:hAnsi="Times New Roman" w:cs="Times New Roman"/>
          <w:color w:val="000000"/>
        </w:rPr>
        <w:t xml:space="preserve"> hegeliana</w:t>
      </w:r>
      <w:r w:rsidR="00EE6638" w:rsidRPr="00956CF9">
        <w:rPr>
          <w:rFonts w:ascii="Times New Roman" w:eastAsia="Times New Roman" w:hAnsi="Times New Roman" w:cs="Times New Roman"/>
          <w:color w:val="000000"/>
        </w:rPr>
        <w:t>.</w:t>
      </w:r>
      <w:r w:rsidR="005555D3">
        <w:rPr>
          <w:rFonts w:ascii="Times New Roman" w:eastAsia="Times New Roman" w:hAnsi="Times New Roman" w:cs="Times New Roman"/>
          <w:color w:val="000000"/>
        </w:rPr>
        <w:t xml:space="preserve"> </w:t>
      </w:r>
      <w:r w:rsidR="003A21C5" w:rsidRPr="00BB1321">
        <w:rPr>
          <w:rFonts w:ascii="Times New Roman" w:eastAsia="Times New Roman" w:hAnsi="Times New Roman" w:cs="Times New Roman"/>
          <w:color w:val="000000"/>
        </w:rPr>
        <w:t xml:space="preserve">Se </w:t>
      </w:r>
      <w:r w:rsidR="003A0A7E" w:rsidRPr="00BB1321">
        <w:rPr>
          <w:rFonts w:ascii="Times New Roman" w:eastAsia="Times New Roman" w:hAnsi="Times New Roman" w:cs="Times New Roman"/>
          <w:color w:val="000000"/>
        </w:rPr>
        <w:t xml:space="preserve">in </w:t>
      </w:r>
      <w:r w:rsidR="003A0A7E" w:rsidRPr="00BB1321">
        <w:rPr>
          <w:rFonts w:ascii="Times New Roman" w:eastAsia="Times New Roman" w:hAnsi="Times New Roman" w:cs="Times New Roman"/>
          <w:i/>
          <w:color w:val="000000"/>
        </w:rPr>
        <w:t>Philosophie und Religion</w:t>
      </w:r>
      <w:r w:rsidR="00A6151A" w:rsidRPr="00BB1321">
        <w:rPr>
          <w:rFonts w:ascii="Times New Roman" w:eastAsia="Times New Roman" w:hAnsi="Times New Roman" w:cs="Times New Roman"/>
          <w:color w:val="000000"/>
        </w:rPr>
        <w:t xml:space="preserve"> </w:t>
      </w:r>
      <w:r w:rsidR="006402E6" w:rsidRPr="00BB1321">
        <w:rPr>
          <w:rFonts w:ascii="Times New Roman" w:eastAsia="Times New Roman" w:hAnsi="Times New Roman" w:cs="Times New Roman"/>
          <w:color w:val="000000"/>
        </w:rPr>
        <w:t>la tradizione</w:t>
      </w:r>
      <w:r w:rsidR="003A21C5" w:rsidRPr="00BB1321">
        <w:rPr>
          <w:rFonts w:ascii="Times New Roman" w:eastAsia="Times New Roman" w:hAnsi="Times New Roman" w:cs="Times New Roman"/>
          <w:color w:val="000000"/>
        </w:rPr>
        <w:t xml:space="preserve"> platonica </w:t>
      </w:r>
      <w:r w:rsidR="009F79E4" w:rsidRPr="00BB1321">
        <w:rPr>
          <w:rFonts w:ascii="Times New Roman" w:eastAsia="Times New Roman" w:hAnsi="Times New Roman" w:cs="Times New Roman"/>
          <w:color w:val="000000"/>
        </w:rPr>
        <w:t>non esclude</w:t>
      </w:r>
      <w:r w:rsidR="005841AA" w:rsidRPr="00BB1321">
        <w:rPr>
          <w:rFonts w:ascii="Times New Roman" w:eastAsia="Times New Roman" w:hAnsi="Times New Roman" w:cs="Times New Roman"/>
          <w:color w:val="000000"/>
        </w:rPr>
        <w:t xml:space="preserve"> la lezione böhmiana</w:t>
      </w:r>
      <w:r w:rsidR="005D494E" w:rsidRPr="00BB1321">
        <w:rPr>
          <w:rFonts w:ascii="Times New Roman" w:eastAsia="Times New Roman" w:hAnsi="Times New Roman" w:cs="Times New Roman"/>
          <w:color w:val="000000"/>
        </w:rPr>
        <w:t xml:space="preserve">, </w:t>
      </w:r>
      <w:r w:rsidR="003A21C5" w:rsidRPr="00BB1321">
        <w:rPr>
          <w:rFonts w:ascii="Times New Roman" w:eastAsia="Times New Roman" w:hAnsi="Times New Roman" w:cs="Times New Roman"/>
          <w:color w:val="000000"/>
        </w:rPr>
        <w:t xml:space="preserve">stessa cosa può </w:t>
      </w:r>
      <w:r w:rsidR="00AD42AD" w:rsidRPr="00BB1321">
        <w:rPr>
          <w:rFonts w:ascii="Times New Roman" w:eastAsia="Times New Roman" w:hAnsi="Times New Roman" w:cs="Times New Roman"/>
          <w:color w:val="000000"/>
        </w:rPr>
        <w:t xml:space="preserve">dirsi </w:t>
      </w:r>
      <w:r w:rsidR="000B16AC">
        <w:rPr>
          <w:rFonts w:ascii="Times New Roman" w:eastAsia="Times New Roman" w:hAnsi="Times New Roman" w:cs="Times New Roman"/>
          <w:color w:val="000000"/>
        </w:rPr>
        <w:t>anche</w:t>
      </w:r>
      <w:r w:rsidR="00812C8D" w:rsidRPr="00BB1321">
        <w:rPr>
          <w:rFonts w:ascii="Times New Roman" w:eastAsia="Times New Roman" w:hAnsi="Times New Roman" w:cs="Times New Roman"/>
          <w:color w:val="000000"/>
        </w:rPr>
        <w:t xml:space="preserve"> </w:t>
      </w:r>
      <w:r w:rsidR="003D0241" w:rsidRPr="00BB1321">
        <w:rPr>
          <w:rFonts w:ascii="Times New Roman" w:eastAsia="Times New Roman" w:hAnsi="Times New Roman" w:cs="Times New Roman"/>
          <w:color w:val="000000"/>
        </w:rPr>
        <w:t>per</w:t>
      </w:r>
      <w:r w:rsidR="00A70BEE">
        <w:rPr>
          <w:rFonts w:ascii="Times New Roman" w:eastAsia="Times New Roman" w:hAnsi="Times New Roman" w:cs="Times New Roman"/>
          <w:color w:val="000000"/>
        </w:rPr>
        <w:t xml:space="preserve"> la </w:t>
      </w:r>
      <w:r w:rsidR="00A70BEE" w:rsidRPr="00A70BEE">
        <w:rPr>
          <w:rFonts w:ascii="Times New Roman" w:eastAsia="Times New Roman" w:hAnsi="Times New Roman" w:cs="Times New Roman"/>
          <w:i/>
          <w:color w:val="000000"/>
        </w:rPr>
        <w:t>Jenaer Metaphysik</w:t>
      </w:r>
      <w:r w:rsidR="005D494E" w:rsidRPr="00BB1321">
        <w:rPr>
          <w:rFonts w:ascii="Times New Roman" w:eastAsia="Times New Roman" w:hAnsi="Times New Roman" w:cs="Times New Roman"/>
          <w:color w:val="000000"/>
        </w:rPr>
        <w:t>: è</w:t>
      </w:r>
      <w:r w:rsidR="00705395" w:rsidRPr="00BB1321">
        <w:rPr>
          <w:rFonts w:ascii="Times New Roman" w:eastAsia="Times New Roman" w:hAnsi="Times New Roman" w:cs="Times New Roman"/>
          <w:color w:val="000000"/>
        </w:rPr>
        <w:t xml:space="preserve"> vero che l’idea della</w:t>
      </w:r>
      <w:r w:rsidR="005431DA" w:rsidRPr="00BB1321">
        <w:rPr>
          <w:rFonts w:ascii="Times New Roman" w:eastAsia="Times New Roman" w:hAnsi="Times New Roman" w:cs="Times New Roman"/>
          <w:color w:val="000000"/>
        </w:rPr>
        <w:t xml:space="preserve"> </w:t>
      </w:r>
      <w:r w:rsidR="005431DA" w:rsidRPr="00BB1321">
        <w:rPr>
          <w:rFonts w:ascii="Times New Roman" w:eastAsia="Times New Roman" w:hAnsi="Times New Roman" w:cs="Times New Roman"/>
          <w:i/>
          <w:color w:val="000000"/>
        </w:rPr>
        <w:t>caduta</w:t>
      </w:r>
      <w:r w:rsidR="005431DA" w:rsidRPr="00BB1321">
        <w:rPr>
          <w:rFonts w:ascii="Times New Roman" w:eastAsia="Times New Roman" w:hAnsi="Times New Roman" w:cs="Times New Roman"/>
          <w:color w:val="000000"/>
        </w:rPr>
        <w:t xml:space="preserve"> chia</w:t>
      </w:r>
      <w:r w:rsidR="00E6613A" w:rsidRPr="00BB1321">
        <w:rPr>
          <w:rFonts w:ascii="Times New Roman" w:eastAsia="Times New Roman" w:hAnsi="Times New Roman" w:cs="Times New Roman"/>
          <w:color w:val="000000"/>
        </w:rPr>
        <w:t>ma in causa il platonismo,</w:t>
      </w:r>
      <w:r w:rsidR="005431DA" w:rsidRPr="00BB1321">
        <w:rPr>
          <w:rFonts w:ascii="Times New Roman" w:eastAsia="Times New Roman" w:hAnsi="Times New Roman" w:cs="Times New Roman"/>
          <w:color w:val="000000"/>
        </w:rPr>
        <w:t xml:space="preserve"> è</w:t>
      </w:r>
      <w:r w:rsidR="006F484C" w:rsidRPr="00BB1321">
        <w:rPr>
          <w:rFonts w:ascii="Times New Roman" w:eastAsia="Times New Roman" w:hAnsi="Times New Roman" w:cs="Times New Roman"/>
          <w:color w:val="000000"/>
        </w:rPr>
        <w:t xml:space="preserve"> vero</w:t>
      </w:r>
      <w:r w:rsidR="006F484C" w:rsidRPr="00110DD8">
        <w:rPr>
          <w:rFonts w:ascii="Times New Roman" w:eastAsia="Times New Roman" w:hAnsi="Times New Roman" w:cs="Times New Roman"/>
          <w:color w:val="000000"/>
        </w:rPr>
        <w:t xml:space="preserve"> che Hegel scrive</w:t>
      </w:r>
      <w:r w:rsidR="006F484C" w:rsidRPr="009E4F8A">
        <w:rPr>
          <w:rFonts w:ascii="Times New Roman" w:eastAsia="Times New Roman" w:hAnsi="Times New Roman" w:cs="Times New Roman"/>
          <w:color w:val="000000"/>
        </w:rPr>
        <w:t xml:space="preserve"> contemporaneamente a</w:t>
      </w:r>
      <w:r w:rsidR="005431DA" w:rsidRPr="009E4F8A">
        <w:rPr>
          <w:rFonts w:ascii="Times New Roman" w:eastAsia="Times New Roman" w:hAnsi="Times New Roman" w:cs="Times New Roman"/>
          <w:color w:val="000000"/>
        </w:rPr>
        <w:t xml:space="preserve">l </w:t>
      </w:r>
      <w:r w:rsidR="005431DA" w:rsidRPr="009E4F8A">
        <w:rPr>
          <w:rFonts w:ascii="Times New Roman" w:eastAsia="Times New Roman" w:hAnsi="Times New Roman" w:cs="Times New Roman"/>
          <w:i/>
          <w:color w:val="000000"/>
        </w:rPr>
        <w:t>Fragment 49</w:t>
      </w:r>
      <w:r w:rsidR="005431DA" w:rsidRPr="009E4F8A">
        <w:rPr>
          <w:rFonts w:ascii="Times New Roman" w:eastAsia="Times New Roman" w:hAnsi="Times New Roman" w:cs="Times New Roman"/>
          <w:color w:val="000000"/>
        </w:rPr>
        <w:t xml:space="preserve"> il cosiddetto </w:t>
      </w:r>
      <w:r w:rsidR="005431DA" w:rsidRPr="009E4F8A">
        <w:rPr>
          <w:rFonts w:ascii="Times New Roman" w:eastAsia="Times New Roman" w:hAnsi="Times New Roman" w:cs="Times New Roman"/>
          <w:i/>
          <w:color w:val="000000"/>
        </w:rPr>
        <w:t>Dreiec</w:t>
      </w:r>
      <w:r w:rsidR="00A14B4D" w:rsidRPr="009E4F8A">
        <w:rPr>
          <w:rFonts w:ascii="Times New Roman" w:eastAsia="Times New Roman" w:hAnsi="Times New Roman" w:cs="Times New Roman"/>
          <w:i/>
          <w:color w:val="000000"/>
        </w:rPr>
        <w:t>k</w:t>
      </w:r>
      <w:r w:rsidR="005431DA" w:rsidRPr="009E4F8A">
        <w:rPr>
          <w:rFonts w:ascii="Times New Roman" w:eastAsia="Times New Roman" w:hAnsi="Times New Roman" w:cs="Times New Roman"/>
          <w:i/>
          <w:color w:val="000000"/>
        </w:rPr>
        <w:t>fragment</w:t>
      </w:r>
      <w:r w:rsidR="00973B2E" w:rsidRPr="009E4F8A">
        <w:rPr>
          <w:rFonts w:ascii="Times New Roman" w:eastAsia="Times New Roman" w:hAnsi="Times New Roman" w:cs="Times New Roman"/>
          <w:color w:val="000000"/>
        </w:rPr>
        <w:t xml:space="preserve">, </w:t>
      </w:r>
      <w:r w:rsidR="002D5342">
        <w:rPr>
          <w:rFonts w:ascii="Times New Roman" w:eastAsia="Times New Roman" w:hAnsi="Times New Roman" w:cs="Times New Roman"/>
          <w:color w:val="000000"/>
        </w:rPr>
        <w:t xml:space="preserve">in cui è </w:t>
      </w:r>
      <w:r w:rsidR="005D494E" w:rsidRPr="009E4F8A">
        <w:rPr>
          <w:rFonts w:ascii="Times New Roman" w:eastAsia="Times New Roman" w:hAnsi="Times New Roman" w:cs="Times New Roman"/>
          <w:color w:val="000000"/>
        </w:rPr>
        <w:t>abbozza</w:t>
      </w:r>
      <w:r w:rsidR="002D5342">
        <w:rPr>
          <w:rFonts w:ascii="Times New Roman" w:eastAsia="Times New Roman" w:hAnsi="Times New Roman" w:cs="Times New Roman"/>
          <w:color w:val="000000"/>
        </w:rPr>
        <w:t>to</w:t>
      </w:r>
      <w:r w:rsidR="005D494E" w:rsidRPr="009E4F8A">
        <w:rPr>
          <w:rFonts w:ascii="Times New Roman" w:eastAsia="Times New Roman" w:hAnsi="Times New Roman" w:cs="Times New Roman"/>
          <w:color w:val="000000"/>
        </w:rPr>
        <w:t xml:space="preserve"> </w:t>
      </w:r>
      <w:r w:rsidR="00E430D8" w:rsidRPr="009E4F8A">
        <w:rPr>
          <w:rFonts w:ascii="Times New Roman" w:eastAsia="Times New Roman" w:hAnsi="Times New Roman" w:cs="Times New Roman"/>
          <w:color w:val="000000"/>
        </w:rPr>
        <w:t xml:space="preserve">un </w:t>
      </w:r>
      <w:r w:rsidR="00705395" w:rsidRPr="009E4F8A">
        <w:rPr>
          <w:rFonts w:ascii="Times New Roman" w:eastAsia="Times New Roman" w:hAnsi="Times New Roman" w:cs="Times New Roman"/>
          <w:i/>
          <w:color w:val="000000"/>
        </w:rPr>
        <w:t>Lebenslauf</w:t>
      </w:r>
      <w:r w:rsidR="00D511B3" w:rsidRPr="009E4F8A">
        <w:rPr>
          <w:rFonts w:ascii="Times New Roman" w:eastAsia="Times New Roman" w:hAnsi="Times New Roman" w:cs="Times New Roman"/>
          <w:i/>
          <w:color w:val="000000"/>
        </w:rPr>
        <w:t xml:space="preserve"> </w:t>
      </w:r>
      <w:r w:rsidR="00705395" w:rsidRPr="009E4F8A">
        <w:rPr>
          <w:rFonts w:ascii="Times New Roman" w:eastAsia="Times New Roman" w:hAnsi="Times New Roman" w:cs="Times New Roman"/>
          <w:i/>
          <w:color w:val="000000"/>
        </w:rPr>
        <w:t>Gottes</w:t>
      </w:r>
      <w:r w:rsidR="00CA3BFA" w:rsidRPr="009E4F8A">
        <w:rPr>
          <w:rFonts w:ascii="Times New Roman" w:eastAsia="Times New Roman" w:hAnsi="Times New Roman" w:cs="Times New Roman"/>
          <w:color w:val="000000"/>
        </w:rPr>
        <w:t xml:space="preserve"> d</w:t>
      </w:r>
      <w:r w:rsidR="005D494E" w:rsidRPr="009E4F8A">
        <w:rPr>
          <w:rFonts w:ascii="Times New Roman" w:eastAsia="Times New Roman" w:hAnsi="Times New Roman" w:cs="Times New Roman"/>
          <w:color w:val="000000"/>
        </w:rPr>
        <w:t xml:space="preserve">’ispirazione </w:t>
      </w:r>
      <w:r w:rsidR="005431DA" w:rsidRPr="009E4F8A">
        <w:rPr>
          <w:rFonts w:ascii="Times New Roman" w:eastAsia="Times New Roman" w:hAnsi="Times New Roman" w:cs="Times New Roman"/>
          <w:color w:val="000000"/>
        </w:rPr>
        <w:t>platonic</w:t>
      </w:r>
      <w:r w:rsidR="005D494E" w:rsidRPr="009E4F8A">
        <w:rPr>
          <w:rFonts w:ascii="Times New Roman" w:eastAsia="Times New Roman" w:hAnsi="Times New Roman" w:cs="Times New Roman"/>
          <w:color w:val="000000"/>
        </w:rPr>
        <w:t>a</w:t>
      </w:r>
      <w:r w:rsidR="005431DA" w:rsidRPr="009E4F8A">
        <w:rPr>
          <w:rStyle w:val="Rimandonotaapidipagina"/>
          <w:rFonts w:ascii="Times New Roman" w:eastAsia="Times New Roman" w:hAnsi="Times New Roman" w:cs="Times New Roman"/>
          <w:color w:val="000000"/>
        </w:rPr>
        <w:footnoteReference w:id="279"/>
      </w:r>
      <w:r w:rsidR="006E6749" w:rsidRPr="009E4F8A">
        <w:rPr>
          <w:rFonts w:ascii="Times New Roman" w:eastAsia="Times New Roman" w:hAnsi="Times New Roman" w:cs="Times New Roman"/>
          <w:color w:val="000000"/>
        </w:rPr>
        <w:t>,</w:t>
      </w:r>
      <w:r w:rsidR="00705395" w:rsidRPr="009E4F8A">
        <w:rPr>
          <w:rFonts w:ascii="Times New Roman" w:eastAsia="Times New Roman" w:hAnsi="Times New Roman" w:cs="Times New Roman"/>
          <w:color w:val="000000"/>
        </w:rPr>
        <w:t xml:space="preserve"> ma è altrettanto vero che nel </w:t>
      </w:r>
      <w:r w:rsidR="00705395" w:rsidRPr="009E4F8A">
        <w:rPr>
          <w:rFonts w:ascii="Times New Roman" w:eastAsia="Times New Roman" w:hAnsi="Times New Roman" w:cs="Times New Roman"/>
          <w:i/>
          <w:color w:val="000000"/>
        </w:rPr>
        <w:t>Fragment 49</w:t>
      </w:r>
      <w:r w:rsidR="00973B2E" w:rsidRPr="009E4F8A">
        <w:rPr>
          <w:rFonts w:ascii="Times New Roman" w:eastAsia="Times New Roman" w:hAnsi="Times New Roman" w:cs="Times New Roman"/>
          <w:color w:val="000000"/>
        </w:rPr>
        <w:t xml:space="preserve">, </w:t>
      </w:r>
      <w:r w:rsidR="005D494E" w:rsidRPr="009E4F8A">
        <w:rPr>
          <w:rFonts w:ascii="Times New Roman" w:eastAsia="Times New Roman" w:hAnsi="Times New Roman" w:cs="Times New Roman"/>
          <w:color w:val="000000"/>
        </w:rPr>
        <w:t xml:space="preserve">così </w:t>
      </w:r>
      <w:r w:rsidR="00705395" w:rsidRPr="009E4F8A">
        <w:rPr>
          <w:rFonts w:ascii="Times New Roman" w:eastAsia="Times New Roman" w:hAnsi="Times New Roman" w:cs="Times New Roman"/>
          <w:color w:val="000000"/>
        </w:rPr>
        <w:t>come</w:t>
      </w:r>
      <w:r w:rsidR="00973B2E" w:rsidRPr="009E4F8A">
        <w:rPr>
          <w:rFonts w:ascii="Times New Roman" w:eastAsia="Times New Roman" w:hAnsi="Times New Roman" w:cs="Times New Roman"/>
          <w:color w:val="000000"/>
        </w:rPr>
        <w:t xml:space="preserve"> </w:t>
      </w:r>
      <w:r w:rsidR="00705395" w:rsidRPr="009E4F8A">
        <w:rPr>
          <w:rFonts w:ascii="Times New Roman" w:eastAsia="Times New Roman" w:hAnsi="Times New Roman" w:cs="Times New Roman"/>
          <w:color w:val="000000"/>
        </w:rPr>
        <w:t xml:space="preserve">nella </w:t>
      </w:r>
      <w:r w:rsidR="00705395" w:rsidRPr="009E4F8A">
        <w:rPr>
          <w:rFonts w:ascii="Times New Roman" w:eastAsia="Times New Roman" w:hAnsi="Times New Roman" w:cs="Times New Roman"/>
          <w:i/>
          <w:color w:val="000000"/>
        </w:rPr>
        <w:t>Phänomenologie des Geistes</w:t>
      </w:r>
      <w:r w:rsidR="00705395" w:rsidRPr="009E4F8A">
        <w:rPr>
          <w:rFonts w:ascii="Times New Roman" w:eastAsia="Times New Roman" w:hAnsi="Times New Roman" w:cs="Times New Roman"/>
          <w:color w:val="000000"/>
        </w:rPr>
        <w:t>, il riferimento all’</w:t>
      </w:r>
      <w:r w:rsidR="00705395" w:rsidRPr="009E4F8A">
        <w:rPr>
          <w:rFonts w:ascii="Times New Roman" w:eastAsia="Times New Roman" w:hAnsi="Times New Roman" w:cs="Times New Roman"/>
          <w:i/>
          <w:color w:val="000000"/>
        </w:rPr>
        <w:t>Abfall</w:t>
      </w:r>
      <w:r w:rsidR="00705395" w:rsidRPr="009E4F8A">
        <w:rPr>
          <w:rFonts w:ascii="Times New Roman" w:eastAsia="Times New Roman" w:hAnsi="Times New Roman" w:cs="Times New Roman"/>
          <w:color w:val="000000"/>
        </w:rPr>
        <w:t xml:space="preserve"> cade </w:t>
      </w:r>
      <w:r w:rsidR="00592BD3" w:rsidRPr="009E4F8A">
        <w:rPr>
          <w:rFonts w:ascii="Times New Roman" w:eastAsia="Times New Roman" w:hAnsi="Times New Roman" w:cs="Times New Roman"/>
          <w:color w:val="000000"/>
        </w:rPr>
        <w:t xml:space="preserve">sulla produzione </w:t>
      </w:r>
      <w:r w:rsidR="00973B2E" w:rsidRPr="009E4F8A">
        <w:rPr>
          <w:rFonts w:ascii="Times New Roman" w:eastAsia="Times New Roman" w:hAnsi="Times New Roman" w:cs="Times New Roman"/>
          <w:color w:val="000000"/>
        </w:rPr>
        <w:t>böhmiana (</w:t>
      </w:r>
      <w:r w:rsidR="00E6613A" w:rsidRPr="009E4F8A">
        <w:rPr>
          <w:rFonts w:ascii="Times New Roman" w:eastAsia="Times New Roman" w:hAnsi="Times New Roman" w:cs="Times New Roman"/>
          <w:color w:val="000000"/>
        </w:rPr>
        <w:t>c</w:t>
      </w:r>
      <w:r w:rsidR="00705395" w:rsidRPr="009E4F8A">
        <w:rPr>
          <w:rFonts w:ascii="Times New Roman" w:eastAsia="Times New Roman" w:hAnsi="Times New Roman" w:cs="Times New Roman"/>
          <w:color w:val="000000"/>
        </w:rPr>
        <w:t>on delle differenze, ovviamente,</w:t>
      </w:r>
      <w:r w:rsidR="00EC1D34" w:rsidRPr="009E4F8A">
        <w:rPr>
          <w:rFonts w:ascii="Times New Roman" w:eastAsia="Times New Roman" w:hAnsi="Times New Roman" w:cs="Times New Roman"/>
          <w:color w:val="000000"/>
        </w:rPr>
        <w:t xml:space="preserve"> perché è una fase estr</w:t>
      </w:r>
      <w:r w:rsidR="00AD5DDA">
        <w:rPr>
          <w:rFonts w:ascii="Times New Roman" w:eastAsia="Times New Roman" w:hAnsi="Times New Roman" w:cs="Times New Roman"/>
          <w:color w:val="000000"/>
        </w:rPr>
        <w:t>em</w:t>
      </w:r>
      <w:r w:rsidR="00EC1D34" w:rsidRPr="009E4F8A">
        <w:rPr>
          <w:rFonts w:ascii="Times New Roman" w:eastAsia="Times New Roman" w:hAnsi="Times New Roman" w:cs="Times New Roman"/>
          <w:color w:val="000000"/>
        </w:rPr>
        <w:t>amente creativa e dinamica della riflessione hegeliana</w:t>
      </w:r>
      <w:r w:rsidR="00973B2E" w:rsidRPr="009E4F8A">
        <w:rPr>
          <w:rFonts w:ascii="Times New Roman" w:eastAsia="Times New Roman" w:hAnsi="Times New Roman" w:cs="Times New Roman"/>
          <w:color w:val="000000"/>
        </w:rPr>
        <w:t>)</w:t>
      </w:r>
      <w:r w:rsidR="00EC1D34" w:rsidRPr="009E4F8A">
        <w:rPr>
          <w:rFonts w:ascii="Times New Roman" w:eastAsia="Times New Roman" w:hAnsi="Times New Roman" w:cs="Times New Roman"/>
          <w:color w:val="000000"/>
        </w:rPr>
        <w:t xml:space="preserve">. Anticipando un punto cruciale del prossimo </w:t>
      </w:r>
      <w:r w:rsidR="00155C77" w:rsidRPr="009E4F8A">
        <w:rPr>
          <w:rFonts w:ascii="Times New Roman" w:eastAsia="Times New Roman" w:hAnsi="Times New Roman" w:cs="Times New Roman"/>
          <w:color w:val="000000"/>
        </w:rPr>
        <w:t>sotto</w:t>
      </w:r>
      <w:r w:rsidR="00EC1D34" w:rsidRPr="009E4F8A">
        <w:rPr>
          <w:rFonts w:ascii="Times New Roman" w:eastAsia="Times New Roman" w:hAnsi="Times New Roman" w:cs="Times New Roman"/>
          <w:color w:val="000000"/>
        </w:rPr>
        <w:t xml:space="preserve">capitolo, possiamo dire che il passaggio </w:t>
      </w:r>
      <w:r w:rsidR="00155C77" w:rsidRPr="009E4F8A">
        <w:rPr>
          <w:rFonts w:ascii="Times New Roman" w:eastAsia="Times New Roman" w:hAnsi="Times New Roman" w:cs="Times New Roman"/>
          <w:color w:val="000000"/>
        </w:rPr>
        <w:t>dall’</w:t>
      </w:r>
      <w:r w:rsidR="00155C77" w:rsidRPr="009E4F8A">
        <w:rPr>
          <w:rFonts w:ascii="Times New Roman" w:eastAsia="Times New Roman" w:hAnsi="Times New Roman" w:cs="Times New Roman"/>
          <w:i/>
          <w:color w:val="000000"/>
        </w:rPr>
        <w:t xml:space="preserve">Abfall </w:t>
      </w:r>
      <w:r w:rsidR="00F903F9" w:rsidRPr="009E4F8A">
        <w:rPr>
          <w:rFonts w:ascii="Times New Roman" w:eastAsia="Times New Roman" w:hAnsi="Times New Roman" w:cs="Times New Roman"/>
          <w:color w:val="000000"/>
        </w:rPr>
        <w:t>come consumarsi dell</w:t>
      </w:r>
      <w:r w:rsidR="006931EF" w:rsidRPr="009E4F8A">
        <w:rPr>
          <w:rFonts w:ascii="Times New Roman" w:eastAsia="Times New Roman" w:hAnsi="Times New Roman" w:cs="Times New Roman"/>
          <w:color w:val="000000"/>
        </w:rPr>
        <w:t xml:space="preserve">’esser per </w:t>
      </w:r>
      <w:r w:rsidR="00F903F9" w:rsidRPr="009E4F8A">
        <w:rPr>
          <w:rFonts w:ascii="Times New Roman" w:eastAsia="Times New Roman" w:hAnsi="Times New Roman" w:cs="Times New Roman"/>
          <w:color w:val="000000"/>
        </w:rPr>
        <w:t>sé della natura a</w:t>
      </w:r>
      <w:r w:rsidR="00155C77" w:rsidRPr="009E4F8A">
        <w:rPr>
          <w:rFonts w:ascii="Times New Roman" w:eastAsia="Times New Roman" w:hAnsi="Times New Roman" w:cs="Times New Roman"/>
          <w:color w:val="000000"/>
        </w:rPr>
        <w:t>ll’</w:t>
      </w:r>
      <w:r w:rsidR="00155C77" w:rsidRPr="009E4F8A">
        <w:rPr>
          <w:rFonts w:ascii="Times New Roman" w:eastAsia="Times New Roman" w:hAnsi="Times New Roman" w:cs="Times New Roman"/>
          <w:i/>
          <w:color w:val="000000"/>
        </w:rPr>
        <w:t>Abfall</w:t>
      </w:r>
      <w:r w:rsidR="00F903F9" w:rsidRPr="009E4F8A">
        <w:rPr>
          <w:rFonts w:ascii="Times New Roman" w:eastAsia="Times New Roman" w:hAnsi="Times New Roman" w:cs="Times New Roman"/>
          <w:color w:val="000000"/>
        </w:rPr>
        <w:t xml:space="preserve"> </w:t>
      </w:r>
      <w:r w:rsidR="00155C77" w:rsidRPr="009E4F8A">
        <w:rPr>
          <w:rFonts w:ascii="Times New Roman" w:eastAsia="Times New Roman" w:hAnsi="Times New Roman" w:cs="Times New Roman"/>
          <w:color w:val="000000"/>
        </w:rPr>
        <w:t>come negazione de</w:t>
      </w:r>
      <w:r w:rsidR="00F903F9" w:rsidRPr="009E4F8A">
        <w:rPr>
          <w:rFonts w:ascii="Times New Roman" w:eastAsia="Times New Roman" w:hAnsi="Times New Roman" w:cs="Times New Roman"/>
          <w:color w:val="000000"/>
        </w:rPr>
        <w:t>l</w:t>
      </w:r>
      <w:r w:rsidR="00155C77" w:rsidRPr="009E4F8A">
        <w:rPr>
          <w:rFonts w:ascii="Times New Roman" w:eastAsia="Times New Roman" w:hAnsi="Times New Roman" w:cs="Times New Roman"/>
          <w:color w:val="000000"/>
        </w:rPr>
        <w:t>l</w:t>
      </w:r>
      <w:r w:rsidR="00F903F9" w:rsidRPr="009E4F8A">
        <w:rPr>
          <w:rFonts w:ascii="Times New Roman" w:eastAsia="Times New Roman" w:hAnsi="Times New Roman" w:cs="Times New Roman"/>
          <w:color w:val="000000"/>
        </w:rPr>
        <w:t xml:space="preserve">’autoeguaglianza </w:t>
      </w:r>
      <w:r w:rsidR="00155C77" w:rsidRPr="009E4F8A">
        <w:rPr>
          <w:rFonts w:ascii="Times New Roman" w:eastAsia="Times New Roman" w:hAnsi="Times New Roman" w:cs="Times New Roman"/>
          <w:color w:val="000000"/>
        </w:rPr>
        <w:t xml:space="preserve">assoluta </w:t>
      </w:r>
      <w:r w:rsidR="00F903F9" w:rsidRPr="009E4F8A">
        <w:rPr>
          <w:rFonts w:ascii="Times New Roman" w:eastAsia="Times New Roman" w:hAnsi="Times New Roman" w:cs="Times New Roman"/>
          <w:color w:val="000000"/>
        </w:rPr>
        <w:t>è fa</w:t>
      </w:r>
      <w:r w:rsidR="00DD3D9A">
        <w:rPr>
          <w:rFonts w:ascii="Times New Roman" w:eastAsia="Times New Roman" w:hAnsi="Times New Roman" w:cs="Times New Roman"/>
          <w:color w:val="000000"/>
        </w:rPr>
        <w:t>vorito dall’ultima sezione della</w:t>
      </w:r>
      <w:r w:rsidR="00F903F9" w:rsidRPr="009E4F8A">
        <w:rPr>
          <w:rFonts w:ascii="Times New Roman" w:eastAsia="Times New Roman" w:hAnsi="Times New Roman" w:cs="Times New Roman"/>
          <w:color w:val="000000"/>
        </w:rPr>
        <w:t xml:space="preserve"> </w:t>
      </w:r>
      <w:r w:rsidR="00F903F9" w:rsidRPr="009E4F8A">
        <w:rPr>
          <w:rFonts w:ascii="Times New Roman" w:eastAsia="Times New Roman" w:hAnsi="Times New Roman" w:cs="Times New Roman"/>
          <w:i/>
          <w:color w:val="000000"/>
        </w:rPr>
        <w:t xml:space="preserve">Jenaer </w:t>
      </w:r>
      <w:r w:rsidR="00DD3D9A">
        <w:rPr>
          <w:rFonts w:ascii="Times New Roman" w:eastAsia="Times New Roman" w:hAnsi="Times New Roman" w:cs="Times New Roman"/>
          <w:i/>
          <w:color w:val="000000"/>
        </w:rPr>
        <w:t xml:space="preserve">Logik und </w:t>
      </w:r>
      <w:r w:rsidR="00F903F9" w:rsidRPr="009E4F8A">
        <w:rPr>
          <w:rFonts w:ascii="Times New Roman" w:eastAsia="Times New Roman" w:hAnsi="Times New Roman" w:cs="Times New Roman"/>
          <w:i/>
          <w:color w:val="000000"/>
        </w:rPr>
        <w:t>Metaphysik</w:t>
      </w:r>
      <w:r w:rsidR="00F903F9" w:rsidRPr="009E4F8A">
        <w:rPr>
          <w:rFonts w:ascii="Times New Roman" w:eastAsia="Times New Roman" w:hAnsi="Times New Roman" w:cs="Times New Roman"/>
          <w:color w:val="000000"/>
        </w:rPr>
        <w:t>, dove l</w:t>
      </w:r>
      <w:r w:rsidR="00155C77" w:rsidRPr="009E4F8A">
        <w:rPr>
          <w:rFonts w:ascii="Times New Roman" w:eastAsia="Times New Roman" w:hAnsi="Times New Roman" w:cs="Times New Roman"/>
          <w:color w:val="000000"/>
        </w:rPr>
        <w:t>a caduta</w:t>
      </w:r>
      <w:r w:rsidR="00F903F9" w:rsidRPr="009E4F8A">
        <w:rPr>
          <w:rFonts w:ascii="Times New Roman" w:eastAsia="Times New Roman" w:hAnsi="Times New Roman" w:cs="Times New Roman"/>
          <w:i/>
          <w:color w:val="000000"/>
        </w:rPr>
        <w:t xml:space="preserve"> </w:t>
      </w:r>
      <w:r w:rsidR="006E6749" w:rsidRPr="009E4F8A">
        <w:rPr>
          <w:rFonts w:ascii="Times New Roman" w:eastAsia="Times New Roman" w:hAnsi="Times New Roman" w:cs="Times New Roman"/>
          <w:color w:val="000000"/>
        </w:rPr>
        <w:t xml:space="preserve">è </w:t>
      </w:r>
      <w:r w:rsidR="00155C77" w:rsidRPr="009E4F8A">
        <w:rPr>
          <w:rFonts w:ascii="Times New Roman" w:eastAsia="Times New Roman" w:hAnsi="Times New Roman" w:cs="Times New Roman"/>
          <w:color w:val="000000"/>
        </w:rPr>
        <w:t xml:space="preserve">connessa a </w:t>
      </w:r>
      <w:r w:rsidR="006E6749" w:rsidRPr="009E4F8A">
        <w:rPr>
          <w:rFonts w:ascii="Times New Roman" w:eastAsia="Times New Roman" w:hAnsi="Times New Roman" w:cs="Times New Roman"/>
          <w:color w:val="000000"/>
        </w:rPr>
        <w:t>quel</w:t>
      </w:r>
      <w:r w:rsidR="005D494E" w:rsidRPr="009E4F8A">
        <w:rPr>
          <w:rFonts w:ascii="Times New Roman" w:eastAsia="Times New Roman" w:hAnsi="Times New Roman" w:cs="Times New Roman"/>
          <w:color w:val="000000"/>
        </w:rPr>
        <w:t>l</w:t>
      </w:r>
      <w:r w:rsidR="006E6749" w:rsidRPr="009E4F8A">
        <w:rPr>
          <w:rFonts w:ascii="Times New Roman" w:eastAsia="Times New Roman" w:hAnsi="Times New Roman" w:cs="Times New Roman"/>
          <w:color w:val="000000"/>
        </w:rPr>
        <w:t>’</w:t>
      </w:r>
      <w:r w:rsidR="006E6749" w:rsidRPr="009E4F8A">
        <w:rPr>
          <w:rFonts w:ascii="Times New Roman" w:eastAsia="Times New Roman" w:hAnsi="Times New Roman" w:cs="Times New Roman"/>
          <w:i/>
          <w:color w:val="000000"/>
        </w:rPr>
        <w:t xml:space="preserve">absolute Unruhe </w:t>
      </w:r>
      <w:r w:rsidR="006E6749" w:rsidRPr="009E4F8A">
        <w:rPr>
          <w:rFonts w:ascii="Times New Roman" w:eastAsia="Times New Roman" w:hAnsi="Times New Roman" w:cs="Times New Roman"/>
          <w:color w:val="000000"/>
        </w:rPr>
        <w:t>che rende il</w:t>
      </w:r>
      <w:r w:rsidR="00973B2E" w:rsidRPr="009E4F8A">
        <w:rPr>
          <w:rFonts w:ascii="Times New Roman" w:eastAsia="Times New Roman" w:hAnsi="Times New Roman" w:cs="Times New Roman"/>
          <w:color w:val="000000"/>
        </w:rPr>
        <w:t xml:space="preserve"> </w:t>
      </w:r>
      <w:r w:rsidR="00973B2E" w:rsidRPr="009E4F8A">
        <w:rPr>
          <w:rFonts w:ascii="Times New Roman" w:eastAsia="Times New Roman" w:hAnsi="Times New Roman" w:cs="Times New Roman"/>
          <w:i/>
          <w:color w:val="000000"/>
        </w:rPr>
        <w:t>Nichts</w:t>
      </w:r>
      <w:r w:rsidR="001C62F7" w:rsidRPr="009E4F8A">
        <w:rPr>
          <w:rFonts w:ascii="Times New Roman" w:eastAsia="Times New Roman" w:hAnsi="Times New Roman" w:cs="Times New Roman"/>
          <w:color w:val="000000"/>
        </w:rPr>
        <w:t xml:space="preserve">, </w:t>
      </w:r>
      <w:r w:rsidR="00E5379F" w:rsidRPr="009E4F8A">
        <w:rPr>
          <w:rFonts w:ascii="Times New Roman" w:eastAsia="Times New Roman" w:hAnsi="Times New Roman" w:cs="Times New Roman"/>
          <w:color w:val="000000"/>
        </w:rPr>
        <w:t xml:space="preserve">o </w:t>
      </w:r>
      <w:r w:rsidR="001C62F7" w:rsidRPr="009E4F8A">
        <w:rPr>
          <w:rFonts w:ascii="Times New Roman" w:eastAsia="Times New Roman" w:hAnsi="Times New Roman" w:cs="Times New Roman"/>
          <w:color w:val="000000"/>
        </w:rPr>
        <w:t>l’</w:t>
      </w:r>
      <w:r w:rsidR="001C62F7" w:rsidRPr="009E4F8A">
        <w:rPr>
          <w:rFonts w:ascii="Times New Roman" w:eastAsia="Times New Roman" w:hAnsi="Times New Roman" w:cs="Times New Roman"/>
          <w:i/>
          <w:color w:val="000000"/>
        </w:rPr>
        <w:t>Unendlichkeit</w:t>
      </w:r>
      <w:r w:rsidR="001C62F7" w:rsidRPr="009E4F8A">
        <w:rPr>
          <w:rFonts w:ascii="Times New Roman" w:eastAsia="Times New Roman" w:hAnsi="Times New Roman" w:cs="Times New Roman"/>
          <w:color w:val="000000"/>
        </w:rPr>
        <w:t>,</w:t>
      </w:r>
      <w:r w:rsidR="006E6749" w:rsidRPr="009E4F8A">
        <w:rPr>
          <w:rFonts w:ascii="Times New Roman" w:eastAsia="Times New Roman" w:hAnsi="Times New Roman" w:cs="Times New Roman"/>
          <w:color w:val="000000"/>
        </w:rPr>
        <w:t xml:space="preserve"> un </w:t>
      </w:r>
      <w:r w:rsidR="00973B2E" w:rsidRPr="009E4F8A">
        <w:rPr>
          <w:rFonts w:ascii="Times New Roman" w:eastAsia="Times New Roman" w:hAnsi="Times New Roman" w:cs="Times New Roman"/>
          <w:i/>
          <w:color w:val="000000"/>
        </w:rPr>
        <w:t>absoluter Begriff</w:t>
      </w:r>
      <w:r w:rsidR="006E6749" w:rsidRPr="009E4F8A">
        <w:rPr>
          <w:rFonts w:ascii="Times New Roman" w:eastAsia="Times New Roman" w:hAnsi="Times New Roman" w:cs="Times New Roman"/>
          <w:color w:val="000000"/>
        </w:rPr>
        <w:t>.</w:t>
      </w:r>
      <w:r w:rsidR="00765692" w:rsidRPr="009E4F8A">
        <w:rPr>
          <w:rFonts w:ascii="Times New Roman" w:eastAsia="Times New Roman" w:hAnsi="Times New Roman" w:cs="Times New Roman"/>
          <w:color w:val="000000"/>
        </w:rPr>
        <w:t xml:space="preserve"> </w:t>
      </w:r>
      <w:r w:rsidR="00E5379F" w:rsidRPr="00D07A6A">
        <w:rPr>
          <w:rFonts w:ascii="Times New Roman" w:eastAsia="Times New Roman" w:hAnsi="Times New Roman" w:cs="Times New Roman"/>
          <w:color w:val="000000"/>
        </w:rPr>
        <w:t xml:space="preserve">A mio avviso, ciò che Hegel sosterrà nel </w:t>
      </w:r>
      <w:r w:rsidR="00E5379F" w:rsidRPr="00D07A6A">
        <w:rPr>
          <w:rFonts w:ascii="Times New Roman" w:eastAsia="Times New Roman" w:hAnsi="Times New Roman" w:cs="Times New Roman"/>
          <w:i/>
          <w:color w:val="000000"/>
        </w:rPr>
        <w:t xml:space="preserve">Religionskapitel </w:t>
      </w:r>
      <w:r w:rsidR="00E5379F" w:rsidRPr="00D07A6A">
        <w:rPr>
          <w:rFonts w:ascii="Times New Roman" w:eastAsia="Times New Roman" w:hAnsi="Times New Roman" w:cs="Times New Roman"/>
          <w:color w:val="000000"/>
        </w:rPr>
        <w:t xml:space="preserve">della </w:t>
      </w:r>
      <w:r w:rsidR="003C4594" w:rsidRPr="00D07A6A">
        <w:rPr>
          <w:rFonts w:ascii="Times New Roman" w:eastAsia="Times New Roman" w:hAnsi="Times New Roman" w:cs="Times New Roman"/>
          <w:i/>
          <w:color w:val="000000"/>
        </w:rPr>
        <w:t>Phänomenologie des Gesites</w:t>
      </w:r>
      <w:r w:rsidR="003C4594" w:rsidRPr="00D07A6A">
        <w:rPr>
          <w:rFonts w:ascii="Times New Roman" w:eastAsia="Times New Roman" w:hAnsi="Times New Roman" w:cs="Times New Roman"/>
          <w:color w:val="000000"/>
        </w:rPr>
        <w:t xml:space="preserve"> e ciò </w:t>
      </w:r>
      <w:r w:rsidR="00D94C8D" w:rsidRPr="00D07A6A">
        <w:rPr>
          <w:rFonts w:ascii="Times New Roman" w:eastAsia="Times New Roman" w:hAnsi="Times New Roman" w:cs="Times New Roman"/>
          <w:color w:val="000000"/>
        </w:rPr>
        <w:t xml:space="preserve">che </w:t>
      </w:r>
      <w:r w:rsidR="002B2D34" w:rsidRPr="00D07A6A">
        <w:rPr>
          <w:rFonts w:ascii="Times New Roman" w:eastAsia="Times New Roman" w:hAnsi="Times New Roman" w:cs="Times New Roman"/>
          <w:color w:val="000000"/>
        </w:rPr>
        <w:t xml:space="preserve">ha </w:t>
      </w:r>
      <w:r w:rsidR="003C4594" w:rsidRPr="00D07A6A">
        <w:rPr>
          <w:rFonts w:ascii="Times New Roman" w:eastAsia="Times New Roman" w:hAnsi="Times New Roman" w:cs="Times New Roman"/>
          <w:color w:val="000000"/>
        </w:rPr>
        <w:t xml:space="preserve">già </w:t>
      </w:r>
      <w:r w:rsidR="00E5379F" w:rsidRPr="00D07A6A">
        <w:rPr>
          <w:rFonts w:ascii="Times New Roman" w:eastAsia="Times New Roman" w:hAnsi="Times New Roman" w:cs="Times New Roman"/>
          <w:color w:val="000000"/>
        </w:rPr>
        <w:t xml:space="preserve">messo a punto </w:t>
      </w:r>
      <w:r w:rsidR="003C4594" w:rsidRPr="00D07A6A">
        <w:rPr>
          <w:rFonts w:ascii="Times New Roman" w:eastAsia="Times New Roman" w:hAnsi="Times New Roman" w:cs="Times New Roman"/>
          <w:color w:val="000000"/>
        </w:rPr>
        <w:t xml:space="preserve">nel </w:t>
      </w:r>
      <w:r w:rsidR="003C4594" w:rsidRPr="00D07A6A">
        <w:rPr>
          <w:rFonts w:ascii="Times New Roman" w:eastAsia="Times New Roman" w:hAnsi="Times New Roman" w:cs="Times New Roman"/>
          <w:i/>
          <w:color w:val="000000"/>
        </w:rPr>
        <w:t>Fragment 49</w:t>
      </w:r>
      <w:r w:rsidR="003C4594" w:rsidRPr="00D07A6A">
        <w:rPr>
          <w:rFonts w:ascii="Times New Roman" w:eastAsia="Times New Roman" w:hAnsi="Times New Roman" w:cs="Times New Roman"/>
          <w:color w:val="000000"/>
        </w:rPr>
        <w:t xml:space="preserve"> </w:t>
      </w:r>
      <w:r w:rsidR="00096530" w:rsidRPr="00D07A6A">
        <w:rPr>
          <w:rFonts w:ascii="Times New Roman" w:eastAsia="Times New Roman" w:hAnsi="Times New Roman" w:cs="Times New Roman"/>
          <w:color w:val="000000"/>
        </w:rPr>
        <w:t>r</w:t>
      </w:r>
      <w:r w:rsidR="00D94C8D" w:rsidRPr="00D07A6A">
        <w:rPr>
          <w:rFonts w:ascii="Times New Roman" w:eastAsia="Times New Roman" w:hAnsi="Times New Roman" w:cs="Times New Roman"/>
          <w:color w:val="000000"/>
        </w:rPr>
        <w:t>estituisc</w:t>
      </w:r>
      <w:r w:rsidR="0002774D" w:rsidRPr="00D07A6A">
        <w:rPr>
          <w:rFonts w:ascii="Times New Roman" w:eastAsia="Times New Roman" w:hAnsi="Times New Roman" w:cs="Times New Roman"/>
          <w:color w:val="000000"/>
        </w:rPr>
        <w:t>ono</w:t>
      </w:r>
      <w:r w:rsidR="009E4F8A" w:rsidRPr="00D07A6A">
        <w:rPr>
          <w:rFonts w:ascii="Times New Roman" w:eastAsia="Times New Roman" w:hAnsi="Times New Roman" w:cs="Times New Roman"/>
          <w:color w:val="000000"/>
        </w:rPr>
        <w:t xml:space="preserve"> </w:t>
      </w:r>
      <w:r w:rsidR="0069161B" w:rsidRPr="00D07A6A">
        <w:rPr>
          <w:rFonts w:ascii="Times New Roman" w:eastAsia="Times New Roman" w:hAnsi="Times New Roman" w:cs="Times New Roman"/>
          <w:color w:val="000000"/>
        </w:rPr>
        <w:t>l</w:t>
      </w:r>
      <w:r w:rsidR="00255EBA" w:rsidRPr="00D07A6A">
        <w:rPr>
          <w:rFonts w:ascii="Times New Roman" w:eastAsia="Times New Roman" w:hAnsi="Times New Roman" w:cs="Times New Roman"/>
          <w:color w:val="000000"/>
        </w:rPr>
        <w:t xml:space="preserve">a presenza </w:t>
      </w:r>
      <w:r w:rsidR="0069161B" w:rsidRPr="00D07A6A">
        <w:rPr>
          <w:rFonts w:ascii="Times New Roman" w:eastAsia="Times New Roman" w:hAnsi="Times New Roman" w:cs="Times New Roman"/>
          <w:color w:val="000000"/>
        </w:rPr>
        <w:t xml:space="preserve">böhmiana </w:t>
      </w:r>
      <w:r w:rsidR="00255EBA" w:rsidRPr="00D07A6A">
        <w:rPr>
          <w:rFonts w:ascii="Times New Roman" w:eastAsia="Times New Roman" w:hAnsi="Times New Roman" w:cs="Times New Roman"/>
          <w:color w:val="000000"/>
        </w:rPr>
        <w:t>n</w:t>
      </w:r>
      <w:r w:rsidR="003C4594" w:rsidRPr="00D07A6A">
        <w:rPr>
          <w:rFonts w:ascii="Times New Roman" w:eastAsia="Times New Roman" w:hAnsi="Times New Roman" w:cs="Times New Roman"/>
          <w:color w:val="000000"/>
        </w:rPr>
        <w:t>ell</w:t>
      </w:r>
      <w:r w:rsidR="00255EBA" w:rsidRPr="00D07A6A">
        <w:rPr>
          <w:rFonts w:ascii="Times New Roman" w:eastAsia="Times New Roman" w:hAnsi="Times New Roman" w:cs="Times New Roman"/>
          <w:color w:val="000000"/>
        </w:rPr>
        <w:t xml:space="preserve">a sezione </w:t>
      </w:r>
      <w:r w:rsidR="003C4594" w:rsidRPr="00D07A6A">
        <w:rPr>
          <w:rFonts w:ascii="Times New Roman" w:eastAsia="Times New Roman" w:hAnsi="Times New Roman" w:cs="Times New Roman"/>
          <w:i/>
          <w:color w:val="000000"/>
        </w:rPr>
        <w:t>Absoluter Geist</w:t>
      </w:r>
      <w:r w:rsidR="003C4594" w:rsidRPr="00D07A6A">
        <w:rPr>
          <w:rFonts w:ascii="Times New Roman" w:eastAsia="Times New Roman" w:hAnsi="Times New Roman" w:cs="Times New Roman"/>
          <w:color w:val="000000"/>
        </w:rPr>
        <w:t>. Fra l’esteriorità della negazione e la sua interiorizzazione,</w:t>
      </w:r>
      <w:r w:rsidR="00155C77" w:rsidRPr="00D07A6A">
        <w:rPr>
          <w:rFonts w:ascii="Times New Roman" w:eastAsia="Times New Roman" w:hAnsi="Times New Roman" w:cs="Times New Roman"/>
          <w:color w:val="000000"/>
        </w:rPr>
        <w:t xml:space="preserve"> fra il cadere dell’essere per </w:t>
      </w:r>
      <w:r w:rsidR="00E5379F" w:rsidRPr="00D07A6A">
        <w:rPr>
          <w:rFonts w:ascii="Times New Roman" w:eastAsia="Times New Roman" w:hAnsi="Times New Roman" w:cs="Times New Roman"/>
          <w:color w:val="000000"/>
        </w:rPr>
        <w:t>sé e</w:t>
      </w:r>
      <w:r w:rsidR="0069161B" w:rsidRPr="00D07A6A">
        <w:rPr>
          <w:rFonts w:ascii="Times New Roman" w:eastAsia="Times New Roman" w:hAnsi="Times New Roman" w:cs="Times New Roman"/>
          <w:color w:val="000000"/>
        </w:rPr>
        <w:t xml:space="preserve"> il cadere d</w:t>
      </w:r>
      <w:r w:rsidR="00E9602A" w:rsidRPr="00D07A6A">
        <w:rPr>
          <w:rFonts w:ascii="Times New Roman" w:eastAsia="Times New Roman" w:hAnsi="Times New Roman" w:cs="Times New Roman"/>
          <w:color w:val="000000"/>
        </w:rPr>
        <w:t>ell’Assoluto dalla propria autoeguaglianza</w:t>
      </w:r>
      <w:r w:rsidR="00584999" w:rsidRPr="00D07A6A">
        <w:rPr>
          <w:rFonts w:ascii="Times New Roman" w:eastAsia="Times New Roman" w:hAnsi="Times New Roman" w:cs="Times New Roman"/>
          <w:color w:val="000000"/>
        </w:rPr>
        <w:t>,</w:t>
      </w:r>
      <w:r w:rsidR="003C4594" w:rsidRPr="00D07A6A">
        <w:rPr>
          <w:rFonts w:ascii="Times New Roman" w:eastAsia="Times New Roman" w:hAnsi="Times New Roman" w:cs="Times New Roman"/>
          <w:color w:val="000000"/>
        </w:rPr>
        <w:t xml:space="preserve"> si </w:t>
      </w:r>
      <w:r w:rsidR="00385169" w:rsidRPr="00D07A6A">
        <w:rPr>
          <w:rFonts w:ascii="Times New Roman" w:eastAsia="Times New Roman" w:hAnsi="Times New Roman" w:cs="Times New Roman"/>
          <w:color w:val="000000"/>
        </w:rPr>
        <w:t>inter</w:t>
      </w:r>
      <w:r w:rsidR="003C4594" w:rsidRPr="00D07A6A">
        <w:rPr>
          <w:rFonts w:ascii="Times New Roman" w:eastAsia="Times New Roman" w:hAnsi="Times New Roman" w:cs="Times New Roman"/>
          <w:color w:val="000000"/>
        </w:rPr>
        <w:t xml:space="preserve">pone </w:t>
      </w:r>
      <w:r w:rsidR="0069161B" w:rsidRPr="00D07A6A">
        <w:rPr>
          <w:rFonts w:ascii="Times New Roman" w:eastAsia="Times New Roman" w:hAnsi="Times New Roman" w:cs="Times New Roman"/>
          <w:color w:val="000000"/>
        </w:rPr>
        <w:t xml:space="preserve">questo </w:t>
      </w:r>
      <w:r w:rsidR="00E9602A" w:rsidRPr="00D07A6A">
        <w:rPr>
          <w:rFonts w:ascii="Times New Roman" w:eastAsia="Times New Roman" w:hAnsi="Times New Roman" w:cs="Times New Roman"/>
          <w:color w:val="000000"/>
        </w:rPr>
        <w:t xml:space="preserve">momento </w:t>
      </w:r>
      <w:r w:rsidR="0069161B" w:rsidRPr="00D07A6A">
        <w:rPr>
          <w:rFonts w:ascii="Times New Roman" w:eastAsia="Times New Roman" w:hAnsi="Times New Roman" w:cs="Times New Roman"/>
          <w:color w:val="000000"/>
        </w:rPr>
        <w:t>cruciale della</w:t>
      </w:r>
      <w:r w:rsidR="00DD3D9A">
        <w:rPr>
          <w:rFonts w:ascii="Times New Roman" w:eastAsia="Times New Roman" w:hAnsi="Times New Roman" w:cs="Times New Roman"/>
          <w:i/>
          <w:color w:val="000000"/>
        </w:rPr>
        <w:t xml:space="preserve"> </w:t>
      </w:r>
      <w:r w:rsidR="00DD3D9A">
        <w:rPr>
          <w:rFonts w:ascii="Times New Roman" w:eastAsia="Times New Roman" w:hAnsi="Times New Roman" w:cs="Times New Roman"/>
          <w:color w:val="000000"/>
        </w:rPr>
        <w:t>metafisica di Jena</w:t>
      </w:r>
      <w:r w:rsidR="0069161B" w:rsidRPr="00D07A6A">
        <w:rPr>
          <w:rFonts w:ascii="Times New Roman" w:eastAsia="Times New Roman" w:hAnsi="Times New Roman" w:cs="Times New Roman"/>
          <w:color w:val="000000"/>
        </w:rPr>
        <w:t>, che</w:t>
      </w:r>
      <w:r w:rsidR="0069161B" w:rsidRPr="009E4F8A">
        <w:rPr>
          <w:rFonts w:ascii="Times New Roman" w:eastAsia="Times New Roman" w:hAnsi="Times New Roman" w:cs="Times New Roman"/>
          <w:color w:val="000000"/>
        </w:rPr>
        <w:t xml:space="preserve"> rifl</w:t>
      </w:r>
      <w:r w:rsidR="00155C77" w:rsidRPr="009E4F8A">
        <w:rPr>
          <w:rFonts w:ascii="Times New Roman" w:eastAsia="Times New Roman" w:hAnsi="Times New Roman" w:cs="Times New Roman"/>
          <w:color w:val="000000"/>
        </w:rPr>
        <w:t xml:space="preserve">ette, anticipandola, quella </w:t>
      </w:r>
      <w:r w:rsidR="0069161B" w:rsidRPr="009E4F8A">
        <w:rPr>
          <w:rFonts w:ascii="Times New Roman" w:eastAsia="Times New Roman" w:hAnsi="Times New Roman" w:cs="Times New Roman"/>
          <w:color w:val="000000"/>
        </w:rPr>
        <w:t xml:space="preserve">negatività </w:t>
      </w:r>
      <w:r w:rsidR="00E5379F" w:rsidRPr="009E4F8A">
        <w:rPr>
          <w:rFonts w:ascii="Times New Roman" w:eastAsia="Times New Roman" w:hAnsi="Times New Roman" w:cs="Times New Roman"/>
          <w:color w:val="000000"/>
        </w:rPr>
        <w:t>interiore attribuita da</w:t>
      </w:r>
      <w:r w:rsidR="0069161B" w:rsidRPr="009E4F8A">
        <w:rPr>
          <w:rFonts w:ascii="Times New Roman" w:eastAsia="Times New Roman" w:hAnsi="Times New Roman" w:cs="Times New Roman"/>
          <w:color w:val="000000"/>
        </w:rPr>
        <w:t xml:space="preserve"> Hegel</w:t>
      </w:r>
      <w:r w:rsidR="00FC3184">
        <w:rPr>
          <w:rFonts w:ascii="Times New Roman" w:eastAsia="Times New Roman" w:hAnsi="Times New Roman" w:cs="Times New Roman"/>
          <w:color w:val="000000"/>
        </w:rPr>
        <w:t xml:space="preserve">, </w:t>
      </w:r>
      <w:r w:rsidR="00E5379F" w:rsidRPr="009E4F8A">
        <w:rPr>
          <w:rFonts w:ascii="Times New Roman" w:eastAsia="Times New Roman" w:hAnsi="Times New Roman" w:cs="Times New Roman"/>
          <w:color w:val="000000"/>
        </w:rPr>
        <w:t xml:space="preserve">proprio </w:t>
      </w:r>
      <w:r w:rsidR="0069161B" w:rsidRPr="009E4F8A">
        <w:rPr>
          <w:rFonts w:ascii="Times New Roman" w:eastAsia="Times New Roman" w:hAnsi="Times New Roman" w:cs="Times New Roman"/>
          <w:color w:val="000000"/>
        </w:rPr>
        <w:t xml:space="preserve">nel </w:t>
      </w:r>
      <w:r w:rsidR="0069161B" w:rsidRPr="009E4F8A">
        <w:rPr>
          <w:rFonts w:ascii="Times New Roman" w:eastAsia="Times New Roman" w:hAnsi="Times New Roman" w:cs="Times New Roman"/>
          <w:i/>
          <w:color w:val="000000"/>
        </w:rPr>
        <w:t>Religionskapitel</w:t>
      </w:r>
      <w:r w:rsidR="00FC3184">
        <w:rPr>
          <w:rFonts w:ascii="Times New Roman" w:eastAsia="Times New Roman" w:hAnsi="Times New Roman" w:cs="Times New Roman"/>
          <w:color w:val="000000"/>
        </w:rPr>
        <w:t xml:space="preserve">, </w:t>
      </w:r>
      <w:r w:rsidR="0069161B" w:rsidRPr="009E4F8A">
        <w:rPr>
          <w:rFonts w:ascii="Times New Roman" w:eastAsia="Times New Roman" w:hAnsi="Times New Roman" w:cs="Times New Roman"/>
          <w:color w:val="000000"/>
        </w:rPr>
        <w:t>a</w:t>
      </w:r>
      <w:r w:rsidR="00385169" w:rsidRPr="009E4F8A">
        <w:rPr>
          <w:rFonts w:ascii="Times New Roman" w:eastAsia="Times New Roman" w:hAnsi="Times New Roman" w:cs="Times New Roman"/>
          <w:color w:val="000000"/>
        </w:rPr>
        <w:t>ll’</w:t>
      </w:r>
      <w:r w:rsidR="002B7E2F">
        <w:rPr>
          <w:rFonts w:ascii="Times New Roman" w:eastAsia="Times New Roman" w:hAnsi="Times New Roman" w:cs="Times New Roman"/>
          <w:color w:val="000000"/>
        </w:rPr>
        <w:t>essenza divina</w:t>
      </w:r>
      <w:r w:rsidR="0069161B" w:rsidRPr="009E4F8A">
        <w:rPr>
          <w:rFonts w:ascii="Times New Roman" w:eastAsia="Times New Roman" w:hAnsi="Times New Roman" w:cs="Times New Roman"/>
          <w:color w:val="000000"/>
        </w:rPr>
        <w:t>.</w:t>
      </w:r>
      <w:r w:rsidR="00592BD3" w:rsidRPr="009E4F8A">
        <w:rPr>
          <w:rFonts w:ascii="Times New Roman" w:eastAsia="Times New Roman" w:hAnsi="Times New Roman" w:cs="Times New Roman"/>
          <w:color w:val="000000"/>
        </w:rPr>
        <w:t xml:space="preserve"> </w:t>
      </w:r>
      <w:r w:rsidR="00FC3184" w:rsidRPr="009E4F8A">
        <w:rPr>
          <w:rFonts w:ascii="Times New Roman" w:eastAsia="Times New Roman" w:hAnsi="Times New Roman" w:cs="Times New Roman"/>
          <w:color w:val="000000"/>
        </w:rPr>
        <w:t>L’evoluzione dell’interpretazione di Böhme</w:t>
      </w:r>
      <w:r w:rsidR="00FC3184">
        <w:rPr>
          <w:rFonts w:ascii="Times New Roman" w:eastAsia="Times New Roman" w:hAnsi="Times New Roman" w:cs="Times New Roman"/>
          <w:color w:val="000000"/>
        </w:rPr>
        <w:t>,</w:t>
      </w:r>
      <w:r w:rsidR="00FC3184" w:rsidRPr="009E4F8A">
        <w:rPr>
          <w:rFonts w:ascii="Times New Roman" w:eastAsia="Times New Roman" w:hAnsi="Times New Roman" w:cs="Times New Roman"/>
          <w:color w:val="000000"/>
        </w:rPr>
        <w:t xml:space="preserve"> che si </w:t>
      </w:r>
      <w:r w:rsidR="00A169DC">
        <w:rPr>
          <w:rFonts w:ascii="Times New Roman" w:eastAsia="Times New Roman" w:hAnsi="Times New Roman" w:cs="Times New Roman"/>
          <w:color w:val="000000"/>
        </w:rPr>
        <w:t>colloca fra il 1804 e il</w:t>
      </w:r>
      <w:r w:rsidR="00FC3184" w:rsidRPr="009E4F8A">
        <w:rPr>
          <w:rFonts w:ascii="Times New Roman" w:eastAsia="Times New Roman" w:hAnsi="Times New Roman" w:cs="Times New Roman"/>
          <w:color w:val="000000"/>
        </w:rPr>
        <w:t xml:space="preserve"> 1806, s’intreccia con quella fase della riflessione di Hegel che culmina con la definizione di una forma espositiva del contenuto in grado di rispecchiare il farsi privo di presupposti del medesimo.</w:t>
      </w:r>
      <w:r w:rsidR="00FC3184">
        <w:rPr>
          <w:rFonts w:ascii="Times New Roman" w:eastAsia="Times New Roman" w:hAnsi="Times New Roman" w:cs="Times New Roman"/>
          <w:color w:val="000000"/>
        </w:rPr>
        <w:t xml:space="preserve"> </w:t>
      </w:r>
    </w:p>
    <w:p w14:paraId="5DE275BD" w14:textId="77777777" w:rsidR="00740A03" w:rsidRDefault="00740A03" w:rsidP="007810A9">
      <w:pPr>
        <w:spacing w:line="360" w:lineRule="auto"/>
        <w:jc w:val="both"/>
        <w:rPr>
          <w:rFonts w:ascii="Times New Roman" w:hAnsi="Times New Roman" w:cs="Times New Roman"/>
          <w:i/>
        </w:rPr>
      </w:pPr>
    </w:p>
    <w:p w14:paraId="6B55E151" w14:textId="77016C00" w:rsidR="00355D23" w:rsidRPr="00FF09F5" w:rsidRDefault="00C66060" w:rsidP="007810A9">
      <w:pPr>
        <w:spacing w:line="360" w:lineRule="auto"/>
        <w:jc w:val="both"/>
        <w:rPr>
          <w:rFonts w:ascii="Times New Roman" w:hAnsi="Times New Roman" w:cs="Times New Roman"/>
        </w:rPr>
      </w:pPr>
      <w:r>
        <w:rPr>
          <w:rFonts w:ascii="Times New Roman" w:hAnsi="Times New Roman" w:cs="Times New Roman"/>
          <w:i/>
        </w:rPr>
        <w:t>1.9</w:t>
      </w:r>
      <w:r w:rsidR="00355D23" w:rsidRPr="00B81148">
        <w:rPr>
          <w:rFonts w:ascii="Times New Roman" w:hAnsi="Times New Roman" w:cs="Times New Roman"/>
          <w:i/>
        </w:rPr>
        <w:t xml:space="preserve"> Fra </w:t>
      </w:r>
      <w:r w:rsidR="00DF1EC4">
        <w:rPr>
          <w:rFonts w:ascii="Times New Roman" w:hAnsi="Times New Roman" w:cs="Times New Roman"/>
          <w:i/>
        </w:rPr>
        <w:t xml:space="preserve">rappresentazione </w:t>
      </w:r>
      <w:r w:rsidR="00355D23" w:rsidRPr="00B81148">
        <w:rPr>
          <w:rFonts w:ascii="Times New Roman" w:hAnsi="Times New Roman" w:cs="Times New Roman"/>
          <w:i/>
        </w:rPr>
        <w:t xml:space="preserve">e concetto: l’ira di Dio, la caduta di Lucifero e la negatività prima dell’Assoluto nella </w:t>
      </w:r>
      <w:r w:rsidR="00355D23" w:rsidRPr="00FF09F5">
        <w:rPr>
          <w:rFonts w:ascii="Times New Roman" w:hAnsi="Times New Roman" w:cs="Times New Roman"/>
        </w:rPr>
        <w:t>Phänomenologie des Geiste</w:t>
      </w:r>
      <w:r w:rsidR="00FF09F5">
        <w:rPr>
          <w:rFonts w:ascii="Times New Roman" w:hAnsi="Times New Roman" w:cs="Times New Roman"/>
        </w:rPr>
        <w:t>s</w:t>
      </w:r>
    </w:p>
    <w:p w14:paraId="6586340B" w14:textId="77777777" w:rsidR="00355D23" w:rsidRDefault="00355D23" w:rsidP="007810A9">
      <w:pPr>
        <w:spacing w:line="360" w:lineRule="auto"/>
        <w:ind w:firstLine="567"/>
        <w:jc w:val="both"/>
        <w:rPr>
          <w:rFonts w:ascii="Times New Roman" w:eastAsia="Times New Roman" w:hAnsi="Times New Roman" w:cs="Times New Roman"/>
          <w:color w:val="000000"/>
        </w:rPr>
      </w:pPr>
    </w:p>
    <w:p w14:paraId="5D292997" w14:textId="7B41E492" w:rsidR="00283989" w:rsidRDefault="00355D23" w:rsidP="007810A9">
      <w:pPr>
        <w:spacing w:line="360" w:lineRule="auto"/>
        <w:ind w:firstLine="567"/>
        <w:jc w:val="both"/>
        <w:rPr>
          <w:rFonts w:ascii="Times New Roman" w:eastAsia="Times New Roman" w:hAnsi="Times New Roman" w:cs="Times New Roman"/>
          <w:color w:val="000000"/>
        </w:rPr>
      </w:pPr>
      <w:r>
        <w:rPr>
          <w:rFonts w:ascii="Times New Roman" w:eastAsia="Times New Roman" w:hAnsi="Times New Roman" w:cs="Times New Roman"/>
          <w:color w:val="000000"/>
        </w:rPr>
        <w:t>Mostrare l’incidenza böhmiana su</w:t>
      </w:r>
      <w:r w:rsidR="00496D41">
        <w:rPr>
          <w:rFonts w:ascii="Times New Roman" w:eastAsia="Times New Roman" w:hAnsi="Times New Roman" w:cs="Times New Roman"/>
          <w:color w:val="000000"/>
        </w:rPr>
        <w:t>lla nozione hegeliana dell’</w:t>
      </w:r>
      <w:r w:rsidR="00496D41" w:rsidRPr="00496D41">
        <w:rPr>
          <w:rFonts w:ascii="Times New Roman" w:eastAsia="Times New Roman" w:hAnsi="Times New Roman" w:cs="Times New Roman"/>
          <w:i/>
          <w:color w:val="000000"/>
        </w:rPr>
        <w:t>absolute Negativität</w:t>
      </w:r>
      <w:r w:rsidR="00496D41">
        <w:rPr>
          <w:rFonts w:ascii="Times New Roman" w:eastAsia="Times New Roman" w:hAnsi="Times New Roman" w:cs="Times New Roman"/>
          <w:color w:val="000000"/>
        </w:rPr>
        <w:t>, c</w:t>
      </w:r>
      <w:r>
        <w:rPr>
          <w:rFonts w:ascii="Times New Roman" w:eastAsia="Times New Roman" w:hAnsi="Times New Roman" w:cs="Times New Roman"/>
          <w:color w:val="000000"/>
        </w:rPr>
        <w:t>o</w:t>
      </w:r>
      <w:r w:rsidR="00496D41">
        <w:rPr>
          <w:rFonts w:ascii="Times New Roman" w:eastAsia="Times New Roman" w:hAnsi="Times New Roman" w:cs="Times New Roman"/>
          <w:color w:val="000000"/>
        </w:rPr>
        <w:t>me</w:t>
      </w:r>
      <w:r>
        <w:rPr>
          <w:rFonts w:ascii="Times New Roman" w:eastAsia="Times New Roman" w:hAnsi="Times New Roman" w:cs="Times New Roman"/>
          <w:color w:val="000000"/>
        </w:rPr>
        <w:t xml:space="preserve"> abbiamo detto in apertura di questo capitolo, è la posta in gioco del discorso fin qui sviluppato. La metafisica jenese, effe</w:t>
      </w:r>
      <w:r w:rsidR="009B77F0">
        <w:rPr>
          <w:rFonts w:ascii="Times New Roman" w:eastAsia="Times New Roman" w:hAnsi="Times New Roman" w:cs="Times New Roman"/>
          <w:color w:val="000000"/>
        </w:rPr>
        <w:t>ttivamente, associa l’idea dell’</w:t>
      </w:r>
      <w:r w:rsidR="009B77F0" w:rsidRPr="009B77F0">
        <w:rPr>
          <w:rFonts w:ascii="Times New Roman" w:eastAsia="Times New Roman" w:hAnsi="Times New Roman" w:cs="Times New Roman"/>
          <w:i/>
          <w:color w:val="000000"/>
        </w:rPr>
        <w:t>Abfall</w:t>
      </w:r>
      <w:r>
        <w:rPr>
          <w:rFonts w:ascii="Times New Roman" w:eastAsia="Times New Roman" w:hAnsi="Times New Roman" w:cs="Times New Roman"/>
          <w:color w:val="000000"/>
        </w:rPr>
        <w:t xml:space="preserve"> alla negatività interiore, all’</w:t>
      </w:r>
      <w:r w:rsidRPr="00355D23">
        <w:rPr>
          <w:rFonts w:ascii="Times New Roman" w:eastAsia="Times New Roman" w:hAnsi="Times New Roman" w:cs="Times New Roman"/>
          <w:i/>
          <w:color w:val="000000"/>
        </w:rPr>
        <w:t>absolute Unruhe</w:t>
      </w:r>
      <w:r>
        <w:rPr>
          <w:rFonts w:ascii="Times New Roman" w:eastAsia="Times New Roman" w:hAnsi="Times New Roman" w:cs="Times New Roman"/>
          <w:color w:val="000000"/>
        </w:rPr>
        <w:t xml:space="preserve">, che sarà struttura fondante e fondativa dell’automovimeto, o della dialettica interna, dell’Assoluto hegeliano. È un passaggio teoretico cruciale, perché la negatività non </w:t>
      </w:r>
      <w:r w:rsidR="00606BCD">
        <w:rPr>
          <w:rFonts w:ascii="Times New Roman" w:eastAsia="Times New Roman" w:hAnsi="Times New Roman" w:cs="Times New Roman"/>
          <w:color w:val="000000"/>
        </w:rPr>
        <w:t xml:space="preserve">è </w:t>
      </w:r>
      <w:r>
        <w:rPr>
          <w:rFonts w:ascii="Times New Roman" w:eastAsia="Times New Roman" w:hAnsi="Times New Roman" w:cs="Times New Roman"/>
          <w:color w:val="000000"/>
        </w:rPr>
        <w:t>più rivolta verso un opposto</w:t>
      </w:r>
      <w:r w:rsidR="00606BCD">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 xml:space="preserve">come nel </w:t>
      </w:r>
      <w:r w:rsidRPr="00355D23">
        <w:rPr>
          <w:rFonts w:ascii="Times New Roman" w:eastAsia="Times New Roman" w:hAnsi="Times New Roman" w:cs="Times New Roman"/>
          <w:i/>
          <w:color w:val="000000"/>
        </w:rPr>
        <w:t>Fragment 49</w:t>
      </w:r>
      <w:r>
        <w:rPr>
          <w:rFonts w:ascii="Times New Roman" w:eastAsia="Times New Roman" w:hAnsi="Times New Roman" w:cs="Times New Roman"/>
          <w:color w:val="000000"/>
        </w:rPr>
        <w:t xml:space="preserve">, ma </w:t>
      </w:r>
      <w:r w:rsidR="00606BCD">
        <w:rPr>
          <w:rFonts w:ascii="Times New Roman" w:eastAsia="Times New Roman" w:hAnsi="Times New Roman" w:cs="Times New Roman"/>
          <w:color w:val="000000"/>
        </w:rPr>
        <w:t xml:space="preserve">è </w:t>
      </w:r>
      <w:r w:rsidR="00606BCD" w:rsidRPr="00011682">
        <w:rPr>
          <w:rFonts w:ascii="Times New Roman" w:eastAsia="Times New Roman" w:hAnsi="Times New Roman" w:cs="Times New Roman"/>
          <w:color w:val="000000"/>
        </w:rPr>
        <w:t>un’attività autorelazionale</w:t>
      </w:r>
      <w:r w:rsidR="00B652C9" w:rsidRPr="00011682">
        <w:rPr>
          <w:rFonts w:ascii="Times New Roman" w:eastAsia="Times New Roman" w:hAnsi="Times New Roman" w:cs="Times New Roman"/>
          <w:color w:val="000000"/>
        </w:rPr>
        <w:t>,</w:t>
      </w:r>
      <w:r w:rsidR="00B652C9">
        <w:rPr>
          <w:rFonts w:ascii="Times New Roman" w:eastAsia="Times New Roman" w:hAnsi="Times New Roman" w:cs="Times New Roman"/>
          <w:color w:val="000000"/>
        </w:rPr>
        <w:t xml:space="preserve"> come nella </w:t>
      </w:r>
      <w:r w:rsidR="00B652C9" w:rsidRPr="00B652C9">
        <w:rPr>
          <w:rFonts w:ascii="Times New Roman" w:eastAsia="Times New Roman" w:hAnsi="Times New Roman" w:cs="Times New Roman"/>
          <w:i/>
          <w:color w:val="000000"/>
        </w:rPr>
        <w:t>Metaphysik der Subjectivität</w:t>
      </w:r>
      <w:r w:rsidR="00606BCD">
        <w:rPr>
          <w:rFonts w:ascii="Times New Roman" w:eastAsia="Times New Roman" w:hAnsi="Times New Roman" w:cs="Times New Roman"/>
          <w:color w:val="000000"/>
        </w:rPr>
        <w:t xml:space="preserve">. Fin dalle sue battute iniziali, la </w:t>
      </w:r>
      <w:r w:rsidR="00606BCD">
        <w:rPr>
          <w:rFonts w:ascii="Times New Roman" w:eastAsia="Times New Roman" w:hAnsi="Times New Roman" w:cs="Times New Roman"/>
          <w:i/>
          <w:color w:val="000000"/>
        </w:rPr>
        <w:t xml:space="preserve">Phänomenologie des Geistes </w:t>
      </w:r>
      <w:r w:rsidR="00606BCD">
        <w:rPr>
          <w:rFonts w:ascii="Times New Roman" w:eastAsia="Times New Roman" w:hAnsi="Times New Roman" w:cs="Times New Roman"/>
          <w:color w:val="000000"/>
        </w:rPr>
        <w:t>è testimone di questa conquista teorica hegeliana. La volontà di pensare</w:t>
      </w:r>
      <w:r w:rsidR="009B77F0">
        <w:rPr>
          <w:rFonts w:ascii="Times New Roman" w:eastAsia="Times New Roman" w:hAnsi="Times New Roman" w:cs="Times New Roman"/>
          <w:color w:val="000000"/>
        </w:rPr>
        <w:t xml:space="preserve"> </w:t>
      </w:r>
      <w:r w:rsidR="009B77F0" w:rsidRPr="002C6A31">
        <w:rPr>
          <w:rFonts w:ascii="Times New Roman" w:eastAsia="Times New Roman" w:hAnsi="Times New Roman" w:cs="Times New Roman"/>
          <w:color w:val="000000"/>
        </w:rPr>
        <w:t>«das Wahre nicht als Substanz, sondern</w:t>
      </w:r>
      <w:r w:rsidR="00606BCD" w:rsidRPr="002C6A31">
        <w:rPr>
          <w:rFonts w:ascii="Times New Roman" w:eastAsia="Times New Roman" w:hAnsi="Times New Roman" w:cs="Times New Roman"/>
          <w:color w:val="000000"/>
        </w:rPr>
        <w:t xml:space="preserve"> </w:t>
      </w:r>
      <w:r w:rsidR="00606BCD" w:rsidRPr="002C6A31">
        <w:rPr>
          <w:rFonts w:ascii="Times New Roman" w:hAnsi="Times New Roman" w:cs="Times New Roman"/>
        </w:rPr>
        <w:t>eben so sehr als Subjekt</w:t>
      </w:r>
      <w:r w:rsidR="00606BCD" w:rsidRPr="002C6A31">
        <w:rPr>
          <w:rFonts w:ascii="Times New Roman" w:eastAsia="Times New Roman" w:hAnsi="Times New Roman" w:cs="Times New Roman"/>
          <w:color w:val="000000"/>
        </w:rPr>
        <w:t>»</w:t>
      </w:r>
      <w:r w:rsidR="009B77F0">
        <w:rPr>
          <w:rFonts w:ascii="Times New Roman" w:eastAsia="Times New Roman" w:hAnsi="Times New Roman" w:cs="Times New Roman"/>
          <w:color w:val="000000"/>
        </w:rPr>
        <w:t xml:space="preserve"> </w:t>
      </w:r>
      <w:r w:rsidR="00606BCD">
        <w:rPr>
          <w:rFonts w:ascii="Times New Roman" w:eastAsia="Times New Roman" w:hAnsi="Times New Roman" w:cs="Times New Roman"/>
          <w:color w:val="000000"/>
        </w:rPr>
        <w:t>si lega all’idea di un’intrinseca negatività del contenuto assolut</w:t>
      </w:r>
      <w:r w:rsidR="000447A7">
        <w:rPr>
          <w:rFonts w:ascii="Times New Roman" w:eastAsia="Times New Roman" w:hAnsi="Times New Roman" w:cs="Times New Roman"/>
          <w:color w:val="000000"/>
        </w:rPr>
        <w:t>o: non potendo</w:t>
      </w:r>
      <w:r w:rsidR="00496D41">
        <w:rPr>
          <w:rFonts w:ascii="Times New Roman" w:eastAsia="Times New Roman" w:hAnsi="Times New Roman" w:cs="Times New Roman"/>
          <w:color w:val="000000"/>
        </w:rPr>
        <w:t>si</w:t>
      </w:r>
      <w:r w:rsidR="000447A7">
        <w:rPr>
          <w:rFonts w:ascii="Times New Roman" w:eastAsia="Times New Roman" w:hAnsi="Times New Roman" w:cs="Times New Roman"/>
          <w:color w:val="000000"/>
        </w:rPr>
        <w:t xml:space="preserve"> </w:t>
      </w:r>
      <w:r w:rsidR="00496D41">
        <w:rPr>
          <w:rFonts w:ascii="Times New Roman" w:eastAsia="Times New Roman" w:hAnsi="Times New Roman" w:cs="Times New Roman"/>
          <w:color w:val="000000"/>
        </w:rPr>
        <w:t>sviluppare</w:t>
      </w:r>
      <w:r w:rsidR="008A58D7">
        <w:rPr>
          <w:rFonts w:ascii="Times New Roman" w:eastAsia="Times New Roman" w:hAnsi="Times New Roman" w:cs="Times New Roman"/>
          <w:color w:val="000000"/>
        </w:rPr>
        <w:t xml:space="preserve"> a partire dalla sollecitazione di un altro</w:t>
      </w:r>
      <w:r w:rsidR="00606BCD">
        <w:rPr>
          <w:rFonts w:ascii="Times New Roman" w:eastAsia="Times New Roman" w:hAnsi="Times New Roman" w:cs="Times New Roman"/>
          <w:color w:val="000000"/>
        </w:rPr>
        <w:t xml:space="preserve">, perché se così fosse </w:t>
      </w:r>
      <w:r w:rsidR="008A58D7">
        <w:rPr>
          <w:rFonts w:ascii="Times New Roman" w:eastAsia="Times New Roman" w:hAnsi="Times New Roman" w:cs="Times New Roman"/>
          <w:color w:val="000000"/>
        </w:rPr>
        <w:t xml:space="preserve">verrebbe meno il carattere incondizionato del contenuto, </w:t>
      </w:r>
      <w:r w:rsidR="00496D41" w:rsidRPr="00614DCD">
        <w:rPr>
          <w:rFonts w:ascii="Times New Roman" w:eastAsia="Times New Roman" w:hAnsi="Times New Roman" w:cs="Times New Roman"/>
          <w:color w:val="000000"/>
        </w:rPr>
        <w:t>e</w:t>
      </w:r>
      <w:r w:rsidR="008A58D7" w:rsidRPr="00614DCD">
        <w:rPr>
          <w:rFonts w:ascii="Times New Roman" w:eastAsia="Times New Roman" w:hAnsi="Times New Roman" w:cs="Times New Roman"/>
          <w:color w:val="000000"/>
        </w:rPr>
        <w:t xml:space="preserve"> </w:t>
      </w:r>
      <w:r w:rsidR="00670BFA" w:rsidRPr="00614DCD">
        <w:rPr>
          <w:rFonts w:ascii="Times New Roman" w:eastAsia="Times New Roman" w:hAnsi="Times New Roman" w:cs="Times New Roman"/>
          <w:color w:val="000000"/>
        </w:rPr>
        <w:t xml:space="preserve">ponendosi </w:t>
      </w:r>
      <w:r w:rsidR="008A58D7" w:rsidRPr="00614DCD">
        <w:rPr>
          <w:rFonts w:ascii="Times New Roman" w:eastAsia="Times New Roman" w:hAnsi="Times New Roman" w:cs="Times New Roman"/>
          <w:color w:val="000000"/>
        </w:rPr>
        <w:t xml:space="preserve">soltanto in virtù dal rapporto semplice a sé, il soggetto </w:t>
      </w:r>
      <w:r w:rsidR="00496D41" w:rsidRPr="00614DCD">
        <w:rPr>
          <w:rFonts w:ascii="Times New Roman" w:eastAsia="Times New Roman" w:hAnsi="Times New Roman" w:cs="Times New Roman"/>
          <w:color w:val="000000"/>
        </w:rPr>
        <w:t>si nega</w:t>
      </w:r>
      <w:r w:rsidR="008A58D7" w:rsidRPr="00614DCD">
        <w:rPr>
          <w:rFonts w:ascii="Times New Roman" w:eastAsia="Times New Roman" w:hAnsi="Times New Roman" w:cs="Times New Roman"/>
          <w:color w:val="000000"/>
        </w:rPr>
        <w:t xml:space="preserve"> per affermarsi come una totalità concreta</w:t>
      </w:r>
      <w:r w:rsidR="008A58D7" w:rsidRPr="00612F4E">
        <w:rPr>
          <w:rFonts w:ascii="Times New Roman" w:eastAsia="Times New Roman" w:hAnsi="Times New Roman" w:cs="Times New Roman"/>
          <w:color w:val="000000"/>
        </w:rPr>
        <w:t>. La forma espositiva del contenuto</w:t>
      </w:r>
      <w:r w:rsidR="000447A7" w:rsidRPr="00612F4E">
        <w:rPr>
          <w:rFonts w:ascii="Times New Roman" w:eastAsia="Times New Roman" w:hAnsi="Times New Roman" w:cs="Times New Roman"/>
          <w:color w:val="000000"/>
        </w:rPr>
        <w:t>, lo abbiamo ripetuto più volte,</w:t>
      </w:r>
      <w:r w:rsidR="009B77F0" w:rsidRPr="00612F4E">
        <w:rPr>
          <w:rFonts w:ascii="Times New Roman" w:eastAsia="Times New Roman" w:hAnsi="Times New Roman" w:cs="Times New Roman"/>
          <w:color w:val="000000"/>
        </w:rPr>
        <w:t xml:space="preserve"> non è altra da esso, ma aderisce</w:t>
      </w:r>
      <w:r w:rsidR="008A58D7" w:rsidRPr="00612F4E">
        <w:rPr>
          <w:rFonts w:ascii="Times New Roman" w:eastAsia="Times New Roman" w:hAnsi="Times New Roman" w:cs="Times New Roman"/>
          <w:color w:val="000000"/>
        </w:rPr>
        <w:t xml:space="preserve"> perfettamente all’incondizionatezz</w:t>
      </w:r>
      <w:r w:rsidR="00283989" w:rsidRPr="00612F4E">
        <w:rPr>
          <w:rFonts w:ascii="Times New Roman" w:eastAsia="Times New Roman" w:hAnsi="Times New Roman" w:cs="Times New Roman"/>
          <w:color w:val="000000"/>
        </w:rPr>
        <w:t xml:space="preserve">a della </w:t>
      </w:r>
      <w:r w:rsidR="009B77F0" w:rsidRPr="00612F4E">
        <w:rPr>
          <w:rFonts w:ascii="Times New Roman" w:eastAsia="Times New Roman" w:hAnsi="Times New Roman" w:cs="Times New Roman"/>
          <w:color w:val="000000"/>
        </w:rPr>
        <w:t xml:space="preserve">processualità </w:t>
      </w:r>
      <w:r w:rsidR="00FF77BC" w:rsidRPr="00612F4E">
        <w:rPr>
          <w:rFonts w:ascii="Times New Roman" w:eastAsia="Times New Roman" w:hAnsi="Times New Roman" w:cs="Times New Roman"/>
          <w:color w:val="000000"/>
        </w:rPr>
        <w:t>assoluta</w:t>
      </w:r>
      <w:r w:rsidR="008A58D7" w:rsidRPr="00612F4E">
        <w:rPr>
          <w:rFonts w:ascii="Times New Roman" w:eastAsia="Times New Roman" w:hAnsi="Times New Roman" w:cs="Times New Roman"/>
          <w:color w:val="000000"/>
        </w:rPr>
        <w:t xml:space="preserve">. </w:t>
      </w:r>
      <w:r w:rsidR="00283989" w:rsidRPr="00612F4E">
        <w:rPr>
          <w:rFonts w:ascii="Times New Roman" w:eastAsia="Times New Roman" w:hAnsi="Times New Roman" w:cs="Times New Roman"/>
          <w:color w:val="000000"/>
        </w:rPr>
        <w:t>Ripetiamo, perché i</w:t>
      </w:r>
      <w:r w:rsidR="006347AE" w:rsidRPr="00612F4E">
        <w:rPr>
          <w:rFonts w:ascii="Times New Roman" w:eastAsia="Times New Roman" w:hAnsi="Times New Roman" w:cs="Times New Roman"/>
          <w:color w:val="000000"/>
        </w:rPr>
        <w:t>l punto è centrale per q</w:t>
      </w:r>
      <w:r w:rsidR="0060523E" w:rsidRPr="00612F4E">
        <w:rPr>
          <w:rFonts w:ascii="Times New Roman" w:eastAsia="Times New Roman" w:hAnsi="Times New Roman" w:cs="Times New Roman"/>
          <w:color w:val="000000"/>
        </w:rPr>
        <w:t>uanto ver</w:t>
      </w:r>
      <w:r w:rsidR="00283989" w:rsidRPr="00612F4E">
        <w:rPr>
          <w:rFonts w:ascii="Times New Roman" w:eastAsia="Times New Roman" w:hAnsi="Times New Roman" w:cs="Times New Roman"/>
          <w:color w:val="000000"/>
        </w:rPr>
        <w:t xml:space="preserve">rà sostenuto nel </w:t>
      </w:r>
      <w:r w:rsidR="009B77F0" w:rsidRPr="00612F4E">
        <w:rPr>
          <w:rFonts w:ascii="Times New Roman" w:eastAsia="Times New Roman" w:hAnsi="Times New Roman" w:cs="Times New Roman"/>
          <w:color w:val="000000"/>
        </w:rPr>
        <w:t xml:space="preserve">corso </w:t>
      </w:r>
      <w:r w:rsidR="00283989" w:rsidRPr="00612F4E">
        <w:rPr>
          <w:rFonts w:ascii="Times New Roman" w:eastAsia="Times New Roman" w:hAnsi="Times New Roman" w:cs="Times New Roman"/>
          <w:color w:val="000000"/>
        </w:rPr>
        <w:t xml:space="preserve">di questo </w:t>
      </w:r>
      <w:r w:rsidR="009B77F0" w:rsidRPr="00612F4E">
        <w:rPr>
          <w:rFonts w:ascii="Times New Roman" w:eastAsia="Times New Roman" w:hAnsi="Times New Roman" w:cs="Times New Roman"/>
          <w:color w:val="000000"/>
        </w:rPr>
        <w:t>sotto</w:t>
      </w:r>
      <w:r w:rsidR="00283989" w:rsidRPr="00612F4E">
        <w:rPr>
          <w:rFonts w:ascii="Times New Roman" w:eastAsia="Times New Roman" w:hAnsi="Times New Roman" w:cs="Times New Roman"/>
          <w:color w:val="000000"/>
        </w:rPr>
        <w:t>capitolo, il celeberrimo passo hegeliano in cui viene tematizzato l’avveramento del punto di vista sostanzialistico in quello soggettivistico:</w:t>
      </w:r>
    </w:p>
    <w:p w14:paraId="22421833" w14:textId="77777777" w:rsidR="00283989" w:rsidRDefault="00283989" w:rsidP="00355D23">
      <w:pPr>
        <w:spacing w:line="360" w:lineRule="auto"/>
        <w:ind w:firstLine="567"/>
        <w:jc w:val="both"/>
        <w:rPr>
          <w:rFonts w:ascii="Times New Roman" w:eastAsia="Times New Roman" w:hAnsi="Times New Roman" w:cs="Times New Roman"/>
          <w:color w:val="000000"/>
        </w:rPr>
      </w:pPr>
    </w:p>
    <w:p w14:paraId="6C07A9D5" w14:textId="02FC6B6D" w:rsidR="00283989" w:rsidRPr="00B81148" w:rsidRDefault="00283989" w:rsidP="009B77F0">
      <w:pPr>
        <w:spacing w:line="360" w:lineRule="auto"/>
        <w:ind w:left="567" w:firstLine="567"/>
        <w:jc w:val="both"/>
        <w:rPr>
          <w:rFonts w:ascii="Times New Roman" w:eastAsia="Times New Roman" w:hAnsi="Times New Roman" w:cs="Times New Roman"/>
          <w:color w:val="000000"/>
          <w:sz w:val="20"/>
          <w:szCs w:val="20"/>
        </w:rPr>
      </w:pPr>
      <w:r w:rsidRPr="00B81148">
        <w:rPr>
          <w:rFonts w:ascii="Times New Roman" w:eastAsia="Times New Roman" w:hAnsi="Times New Roman" w:cs="Times New Roman"/>
          <w:color w:val="000000"/>
          <w:sz w:val="20"/>
          <w:szCs w:val="20"/>
        </w:rPr>
        <w:t>«Es kommt nach meiner Einsicht, welche sich nur durch Die Darstellung des Systems rechtfertigen muß, alles darauf an, das Wahre nicht als Substanz, sondern eben so sehr als Subjekt aufzufassen und auszudrücken […] Das Wahre ist das Ganze. Das Ganze aber ist nur das durch seine Entwicklung sich vollendende Wesen. Es ist von dem Absoluten zu sagen</w:t>
      </w:r>
      <w:r w:rsidR="00C6424D" w:rsidRPr="00B81148">
        <w:rPr>
          <w:rFonts w:ascii="Times New Roman" w:eastAsia="Times New Roman" w:hAnsi="Times New Roman" w:cs="Times New Roman"/>
          <w:color w:val="000000"/>
          <w:sz w:val="20"/>
          <w:szCs w:val="20"/>
        </w:rPr>
        <w:t>, daß es wesentlich Resultat, daß es am Ende das ist, was es in Wahrheit ist; und hierin eben besteht seine Natur, Wirkliches, Subject, oder Sichselbstwerden zu sein»</w:t>
      </w:r>
      <w:r w:rsidR="00C6424D" w:rsidRPr="00B81148">
        <w:rPr>
          <w:rStyle w:val="Rimandonotaapidipagina"/>
          <w:rFonts w:ascii="Times New Roman" w:eastAsia="Times New Roman" w:hAnsi="Times New Roman" w:cs="Times New Roman"/>
          <w:color w:val="000000"/>
          <w:sz w:val="20"/>
          <w:szCs w:val="20"/>
        </w:rPr>
        <w:footnoteReference w:id="280"/>
      </w:r>
      <w:r w:rsidR="009634A5" w:rsidRPr="00B81148">
        <w:rPr>
          <w:rFonts w:ascii="Times New Roman" w:eastAsia="Times New Roman" w:hAnsi="Times New Roman" w:cs="Times New Roman"/>
          <w:color w:val="000000"/>
          <w:sz w:val="20"/>
          <w:szCs w:val="20"/>
        </w:rPr>
        <w:t>.</w:t>
      </w:r>
    </w:p>
    <w:p w14:paraId="14E09134" w14:textId="77777777" w:rsidR="00283989" w:rsidRDefault="00283989" w:rsidP="00355D23">
      <w:pPr>
        <w:spacing w:line="360" w:lineRule="auto"/>
        <w:ind w:firstLine="567"/>
        <w:jc w:val="both"/>
        <w:rPr>
          <w:rFonts w:ascii="Times New Roman" w:eastAsia="Times New Roman" w:hAnsi="Times New Roman" w:cs="Times New Roman"/>
          <w:color w:val="000000"/>
        </w:rPr>
      </w:pPr>
    </w:p>
    <w:p w14:paraId="4F1E5071" w14:textId="5255C8B2" w:rsidR="00CE1B27" w:rsidRDefault="009B77F0" w:rsidP="00214846">
      <w:pPr>
        <w:spacing w:line="360" w:lineRule="auto"/>
        <w:ind w:firstLine="567"/>
        <w:jc w:val="both"/>
        <w:rPr>
          <w:rFonts w:ascii="Times New Roman" w:eastAsia="Times New Roman" w:hAnsi="Times New Roman" w:cs="Times New Roman"/>
          <w:color w:val="000000"/>
        </w:rPr>
      </w:pPr>
      <w:r w:rsidRPr="00982A37">
        <w:rPr>
          <w:rFonts w:ascii="Times New Roman" w:eastAsia="Times New Roman" w:hAnsi="Times New Roman" w:cs="Times New Roman"/>
          <w:color w:val="000000"/>
        </w:rPr>
        <w:t>I</w:t>
      </w:r>
      <w:r w:rsidR="0010600E" w:rsidRPr="00982A37">
        <w:rPr>
          <w:rFonts w:ascii="Times New Roman" w:eastAsia="Times New Roman" w:hAnsi="Times New Roman" w:cs="Times New Roman"/>
          <w:color w:val="000000"/>
        </w:rPr>
        <w:t>n questo caso specifico,</w:t>
      </w:r>
      <w:r w:rsidR="00E67B72" w:rsidRPr="00982A37">
        <w:rPr>
          <w:rFonts w:ascii="Times New Roman" w:eastAsia="Times New Roman" w:hAnsi="Times New Roman" w:cs="Times New Roman"/>
          <w:color w:val="000000"/>
        </w:rPr>
        <w:t xml:space="preserve"> </w:t>
      </w:r>
      <w:r w:rsidRPr="00982A37">
        <w:rPr>
          <w:rFonts w:ascii="Times New Roman" w:eastAsia="Times New Roman" w:hAnsi="Times New Roman" w:cs="Times New Roman"/>
          <w:color w:val="000000"/>
        </w:rPr>
        <w:t xml:space="preserve">diventare se stesso significa </w:t>
      </w:r>
      <w:r w:rsidR="00E67B72" w:rsidRPr="00982A37">
        <w:rPr>
          <w:rFonts w:ascii="Times New Roman" w:eastAsia="Times New Roman" w:hAnsi="Times New Roman" w:cs="Times New Roman"/>
          <w:color w:val="000000"/>
        </w:rPr>
        <w:t>superare</w:t>
      </w:r>
      <w:r w:rsidR="009634A5" w:rsidRPr="00982A37">
        <w:rPr>
          <w:rFonts w:ascii="Times New Roman" w:eastAsia="Times New Roman" w:hAnsi="Times New Roman" w:cs="Times New Roman"/>
          <w:color w:val="000000"/>
        </w:rPr>
        <w:t xml:space="preserve"> quella concezione sostanzialistica dell’Assoluto per cui esso si riduce ad una «Allgemeinheit, dieselbe Einfachheit oder ununterschiedene, unbewegte Substantialität»</w:t>
      </w:r>
      <w:r w:rsidR="009634A5" w:rsidRPr="00982A37">
        <w:rPr>
          <w:rStyle w:val="Rimandonotaapidipagina"/>
          <w:rFonts w:ascii="Times New Roman" w:eastAsia="Times New Roman" w:hAnsi="Times New Roman" w:cs="Times New Roman"/>
          <w:color w:val="000000"/>
        </w:rPr>
        <w:footnoteReference w:id="281"/>
      </w:r>
      <w:r w:rsidR="009634A5" w:rsidRPr="00982A37">
        <w:rPr>
          <w:rFonts w:ascii="Times New Roman" w:eastAsia="Times New Roman" w:hAnsi="Times New Roman" w:cs="Times New Roman"/>
          <w:color w:val="000000"/>
        </w:rPr>
        <w:t xml:space="preserve">. </w:t>
      </w:r>
      <w:r w:rsidR="00214846" w:rsidRPr="00982A37">
        <w:rPr>
          <w:rFonts w:ascii="Times New Roman" w:eastAsia="Times New Roman" w:hAnsi="Times New Roman" w:cs="Times New Roman"/>
          <w:color w:val="000000"/>
        </w:rPr>
        <w:t>Com’è noto, l</w:t>
      </w:r>
      <w:r w:rsidR="009634A5" w:rsidRPr="00982A37">
        <w:rPr>
          <w:rFonts w:ascii="Times New Roman" w:eastAsia="Times New Roman" w:hAnsi="Times New Roman" w:cs="Times New Roman"/>
          <w:color w:val="000000"/>
        </w:rPr>
        <w:t>o spinozismo</w:t>
      </w:r>
      <w:r w:rsidR="0010600E" w:rsidRPr="00982A37">
        <w:rPr>
          <w:rFonts w:ascii="Times New Roman" w:eastAsia="Times New Roman" w:hAnsi="Times New Roman" w:cs="Times New Roman"/>
          <w:color w:val="000000"/>
        </w:rPr>
        <w:t xml:space="preserve">, che </w:t>
      </w:r>
      <w:r w:rsidR="00982A37" w:rsidRPr="00982A37">
        <w:rPr>
          <w:rFonts w:ascii="Times New Roman" w:eastAsia="Times New Roman" w:hAnsi="Times New Roman" w:cs="Times New Roman"/>
          <w:color w:val="000000"/>
        </w:rPr>
        <w:t>s’irrigidisce in una concezione sostanziale dell’Assoluto</w:t>
      </w:r>
      <w:r w:rsidR="00F430A1" w:rsidRPr="00982A37">
        <w:rPr>
          <w:rFonts w:ascii="Times New Roman" w:eastAsia="Times New Roman" w:hAnsi="Times New Roman" w:cs="Times New Roman"/>
          <w:color w:val="000000"/>
        </w:rPr>
        <w:t>,</w:t>
      </w:r>
      <w:r w:rsidR="0010600E" w:rsidRPr="00982A37">
        <w:rPr>
          <w:rFonts w:ascii="Times New Roman" w:eastAsia="Times New Roman" w:hAnsi="Times New Roman" w:cs="Times New Roman"/>
          <w:color w:val="000000"/>
        </w:rPr>
        <w:t xml:space="preserve"> e </w:t>
      </w:r>
      <w:r w:rsidR="009634A5" w:rsidRPr="00982A37">
        <w:rPr>
          <w:rFonts w:ascii="Times New Roman" w:eastAsia="Times New Roman" w:hAnsi="Times New Roman" w:cs="Times New Roman"/>
          <w:color w:val="000000"/>
        </w:rPr>
        <w:t xml:space="preserve">la </w:t>
      </w:r>
      <w:r w:rsidR="005244A1" w:rsidRPr="00982A37">
        <w:rPr>
          <w:rFonts w:ascii="Times New Roman" w:eastAsia="Times New Roman" w:hAnsi="Times New Roman" w:cs="Times New Roman"/>
          <w:i/>
          <w:color w:val="000000"/>
        </w:rPr>
        <w:t>Identitätphilosophie</w:t>
      </w:r>
      <w:r w:rsidR="005244A1" w:rsidRPr="00982A37">
        <w:rPr>
          <w:rFonts w:ascii="Times New Roman" w:eastAsia="Times New Roman" w:hAnsi="Times New Roman" w:cs="Times New Roman"/>
          <w:color w:val="000000"/>
        </w:rPr>
        <w:t xml:space="preserve"> </w:t>
      </w:r>
      <w:r w:rsidR="009634A5" w:rsidRPr="00982A37">
        <w:rPr>
          <w:rFonts w:ascii="Times New Roman" w:eastAsia="Times New Roman" w:hAnsi="Times New Roman" w:cs="Times New Roman"/>
          <w:color w:val="000000"/>
        </w:rPr>
        <w:t>schellinghiana</w:t>
      </w:r>
      <w:r w:rsidR="00CB16F9" w:rsidRPr="00982A37">
        <w:rPr>
          <w:rFonts w:ascii="Times New Roman" w:eastAsia="Times New Roman" w:hAnsi="Times New Roman" w:cs="Times New Roman"/>
          <w:color w:val="000000"/>
        </w:rPr>
        <w:t>, che</w:t>
      </w:r>
      <w:r w:rsidR="00214846" w:rsidRPr="00982A37">
        <w:rPr>
          <w:rFonts w:ascii="Times New Roman" w:eastAsia="Times New Roman" w:hAnsi="Times New Roman" w:cs="Times New Roman"/>
          <w:color w:val="000000"/>
        </w:rPr>
        <w:t xml:space="preserve"> </w:t>
      </w:r>
      <w:r w:rsidR="00CE1B27" w:rsidRPr="00982A37">
        <w:rPr>
          <w:rFonts w:ascii="Times New Roman" w:eastAsia="Times New Roman" w:hAnsi="Times New Roman" w:cs="Times New Roman"/>
          <w:color w:val="000000"/>
        </w:rPr>
        <w:t xml:space="preserve">non </w:t>
      </w:r>
      <w:r w:rsidR="0066343B" w:rsidRPr="00982A37">
        <w:rPr>
          <w:rFonts w:ascii="Times New Roman" w:eastAsia="Times New Roman" w:hAnsi="Times New Roman" w:cs="Times New Roman"/>
          <w:color w:val="000000"/>
        </w:rPr>
        <w:t xml:space="preserve">argomenta a sufficienza </w:t>
      </w:r>
      <w:r w:rsidR="00CE1B27" w:rsidRPr="00982A37">
        <w:rPr>
          <w:rFonts w:ascii="Times New Roman" w:eastAsia="Times New Roman" w:hAnsi="Times New Roman" w:cs="Times New Roman"/>
          <w:color w:val="000000"/>
        </w:rPr>
        <w:t>la</w:t>
      </w:r>
      <w:r w:rsidR="00CB16F9" w:rsidRPr="00982A37">
        <w:rPr>
          <w:rFonts w:ascii="Times New Roman" w:eastAsia="Times New Roman" w:hAnsi="Times New Roman" w:cs="Times New Roman"/>
          <w:color w:val="000000"/>
        </w:rPr>
        <w:t xml:space="preserve"> differenza quantativa d’ideale e reale</w:t>
      </w:r>
      <w:r w:rsidR="00214846" w:rsidRPr="00982A37">
        <w:rPr>
          <w:rFonts w:ascii="Times New Roman" w:eastAsia="Times New Roman" w:hAnsi="Times New Roman" w:cs="Times New Roman"/>
          <w:color w:val="000000"/>
        </w:rPr>
        <w:t xml:space="preserve">, s’arrestano alle soglie della </w:t>
      </w:r>
      <w:r w:rsidR="00FF77BC" w:rsidRPr="00982A37">
        <w:rPr>
          <w:rFonts w:ascii="Times New Roman" w:eastAsia="Times New Roman" w:hAnsi="Times New Roman" w:cs="Times New Roman"/>
          <w:color w:val="000000"/>
        </w:rPr>
        <w:t>personal</w:t>
      </w:r>
      <w:r w:rsidR="00214846" w:rsidRPr="00982A37">
        <w:rPr>
          <w:rFonts w:ascii="Times New Roman" w:eastAsia="Times New Roman" w:hAnsi="Times New Roman" w:cs="Times New Roman"/>
          <w:color w:val="000000"/>
        </w:rPr>
        <w:t>ità asso</w:t>
      </w:r>
      <w:r w:rsidR="00CE1B27" w:rsidRPr="00982A37">
        <w:rPr>
          <w:rFonts w:ascii="Times New Roman" w:eastAsia="Times New Roman" w:hAnsi="Times New Roman" w:cs="Times New Roman"/>
          <w:color w:val="000000"/>
        </w:rPr>
        <w:t>luta. L</w:t>
      </w:r>
      <w:r w:rsidR="00214846" w:rsidRPr="00982A37">
        <w:rPr>
          <w:rFonts w:ascii="Times New Roman" w:eastAsia="Times New Roman" w:hAnsi="Times New Roman" w:cs="Times New Roman"/>
          <w:color w:val="000000"/>
        </w:rPr>
        <w:t xml:space="preserve">a </w:t>
      </w:r>
      <w:r w:rsidR="0010600E" w:rsidRPr="00982A37">
        <w:rPr>
          <w:rFonts w:ascii="Times New Roman" w:eastAsia="Times New Roman" w:hAnsi="Times New Roman" w:cs="Times New Roman"/>
          <w:color w:val="000000"/>
        </w:rPr>
        <w:t>«lebendige Substanz»</w:t>
      </w:r>
      <w:r w:rsidR="0010600E" w:rsidRPr="00982A37">
        <w:rPr>
          <w:rStyle w:val="Rimandonotaapidipagina"/>
          <w:rFonts w:ascii="Times New Roman" w:eastAsia="Times New Roman" w:hAnsi="Times New Roman" w:cs="Times New Roman"/>
          <w:color w:val="000000"/>
        </w:rPr>
        <w:footnoteReference w:id="282"/>
      </w:r>
      <w:r w:rsidR="00CE1B27" w:rsidRPr="00982A37">
        <w:rPr>
          <w:rFonts w:ascii="Times New Roman" w:eastAsia="Times New Roman" w:hAnsi="Times New Roman" w:cs="Times New Roman"/>
          <w:color w:val="000000"/>
        </w:rPr>
        <w:t>, che è soggetto</w:t>
      </w:r>
      <w:r w:rsidRPr="00982A37">
        <w:rPr>
          <w:rFonts w:ascii="Times New Roman" w:eastAsia="Times New Roman" w:hAnsi="Times New Roman" w:cs="Times New Roman"/>
          <w:color w:val="000000"/>
        </w:rPr>
        <w:t xml:space="preserve"> in verità</w:t>
      </w:r>
      <w:r w:rsidR="00CE1B27" w:rsidRPr="00982A37">
        <w:rPr>
          <w:rFonts w:ascii="Times New Roman" w:eastAsia="Times New Roman" w:hAnsi="Times New Roman" w:cs="Times New Roman"/>
          <w:color w:val="000000"/>
        </w:rPr>
        <w:t>, è tale perché</w:t>
      </w:r>
      <w:r w:rsidR="00CE1B27">
        <w:rPr>
          <w:rFonts w:ascii="Times New Roman" w:eastAsia="Times New Roman" w:hAnsi="Times New Roman" w:cs="Times New Roman"/>
          <w:color w:val="000000"/>
        </w:rPr>
        <w:t xml:space="preserve"> </w:t>
      </w:r>
    </w:p>
    <w:p w14:paraId="48F77C30" w14:textId="77777777" w:rsidR="00CE1B27" w:rsidRDefault="00CE1B27" w:rsidP="00214846">
      <w:pPr>
        <w:spacing w:line="360" w:lineRule="auto"/>
        <w:ind w:firstLine="567"/>
        <w:jc w:val="both"/>
        <w:rPr>
          <w:rFonts w:ascii="Times New Roman" w:eastAsia="Times New Roman" w:hAnsi="Times New Roman" w:cs="Times New Roman"/>
          <w:color w:val="000000"/>
        </w:rPr>
      </w:pPr>
    </w:p>
    <w:p w14:paraId="5964292F" w14:textId="0C8FDECA" w:rsidR="00CE1B27" w:rsidRPr="00B81148" w:rsidRDefault="00CE1B27" w:rsidP="009B77F0">
      <w:pPr>
        <w:spacing w:line="360" w:lineRule="auto"/>
        <w:ind w:left="567" w:firstLine="567"/>
        <w:jc w:val="both"/>
        <w:rPr>
          <w:rFonts w:ascii="Times New Roman" w:eastAsia="Times New Roman" w:hAnsi="Times New Roman" w:cs="Times New Roman"/>
          <w:color w:val="000000"/>
          <w:sz w:val="20"/>
          <w:szCs w:val="20"/>
        </w:rPr>
      </w:pPr>
      <w:r w:rsidRPr="00B81148">
        <w:rPr>
          <w:rFonts w:ascii="Times New Roman" w:eastAsia="Times New Roman" w:hAnsi="Times New Roman" w:cs="Times New Roman"/>
          <w:color w:val="000000"/>
          <w:sz w:val="20"/>
          <w:szCs w:val="20"/>
        </w:rPr>
        <w:t>«Sie die Bewegung des sich selbst Setzens, oder die Vermittlung des sich anders Werdens mit sich selbst ist. Sie ist als Subject die reine einfache Negativität, ebendadurch die Entzweyung des Einfachen, oder die entgegengesetzrende Verdopplung, welche wieder die Negation dieser gleichgültigen Verschiedenheit und ihres Gegensatzes ist; nur diese sich wiedeherstellende Gleichheit oder die Reflexion im Andersseyn in sich selbst – nicht eine ürsprungliche Einheit als solche, oder unmittelbare als solche, das Wahre ist»</w:t>
      </w:r>
      <w:r w:rsidRPr="00B81148">
        <w:rPr>
          <w:rStyle w:val="Rimandonotaapidipagina"/>
          <w:rFonts w:ascii="Times New Roman" w:eastAsia="Times New Roman" w:hAnsi="Times New Roman" w:cs="Times New Roman"/>
          <w:color w:val="000000"/>
          <w:sz w:val="20"/>
          <w:szCs w:val="20"/>
        </w:rPr>
        <w:footnoteReference w:id="283"/>
      </w:r>
      <w:r w:rsidR="00C403F2" w:rsidRPr="00B81148">
        <w:rPr>
          <w:rFonts w:ascii="Times New Roman" w:eastAsia="Times New Roman" w:hAnsi="Times New Roman" w:cs="Times New Roman"/>
          <w:color w:val="000000"/>
          <w:sz w:val="20"/>
          <w:szCs w:val="20"/>
        </w:rPr>
        <w:t>.</w:t>
      </w:r>
    </w:p>
    <w:p w14:paraId="12C0DB28" w14:textId="77777777" w:rsidR="00CE1B27" w:rsidRDefault="00CE1B27" w:rsidP="00214846">
      <w:pPr>
        <w:spacing w:line="360" w:lineRule="auto"/>
        <w:ind w:firstLine="567"/>
        <w:jc w:val="both"/>
        <w:rPr>
          <w:rFonts w:ascii="Times New Roman" w:eastAsia="Times New Roman" w:hAnsi="Times New Roman" w:cs="Times New Roman"/>
          <w:color w:val="000000"/>
        </w:rPr>
      </w:pPr>
    </w:p>
    <w:p w14:paraId="666AD61F" w14:textId="77ADDECD" w:rsidR="005244A1" w:rsidRDefault="005244A1" w:rsidP="00214846">
      <w:pPr>
        <w:spacing w:line="360" w:lineRule="auto"/>
        <w:ind w:firstLine="567"/>
        <w:jc w:val="both"/>
        <w:rPr>
          <w:rFonts w:ascii="Times New Roman" w:eastAsia="Times New Roman" w:hAnsi="Times New Roman" w:cs="Times New Roman"/>
          <w:color w:val="000000"/>
        </w:rPr>
      </w:pPr>
      <w:r>
        <w:rPr>
          <w:rFonts w:ascii="Times New Roman" w:eastAsia="Times New Roman" w:hAnsi="Times New Roman" w:cs="Times New Roman"/>
          <w:color w:val="000000"/>
        </w:rPr>
        <w:t>La sostanza è vivente</w:t>
      </w:r>
      <w:r w:rsidR="00372FCE">
        <w:rPr>
          <w:rFonts w:ascii="Times New Roman" w:eastAsia="Times New Roman" w:hAnsi="Times New Roman" w:cs="Times New Roman"/>
          <w:color w:val="000000"/>
        </w:rPr>
        <w:t>, e quindi soggetto,</w:t>
      </w:r>
      <w:r>
        <w:rPr>
          <w:rFonts w:ascii="Times New Roman" w:eastAsia="Times New Roman" w:hAnsi="Times New Roman" w:cs="Times New Roman"/>
          <w:color w:val="000000"/>
        </w:rPr>
        <w:t xml:space="preserve"> nella misura in cui è pura e semplice negatività</w:t>
      </w:r>
      <w:r w:rsidR="006347AE">
        <w:rPr>
          <w:rFonts w:ascii="Times New Roman" w:eastAsia="Times New Roman" w:hAnsi="Times New Roman" w:cs="Times New Roman"/>
          <w:color w:val="000000"/>
        </w:rPr>
        <w:t xml:space="preserve"> (</w:t>
      </w:r>
      <w:r w:rsidR="006347AE" w:rsidRPr="005244A1">
        <w:rPr>
          <w:rFonts w:ascii="Times New Roman" w:eastAsia="Times New Roman" w:hAnsi="Times New Roman" w:cs="Times New Roman"/>
          <w:i/>
          <w:color w:val="000000"/>
        </w:rPr>
        <w:t>reine einfache Negativität</w:t>
      </w:r>
      <w:r w:rsidR="006347AE">
        <w:rPr>
          <w:rFonts w:ascii="Times New Roman" w:eastAsia="Times New Roman" w:hAnsi="Times New Roman" w:cs="Times New Roman"/>
          <w:color w:val="000000"/>
        </w:rPr>
        <w:t>)</w:t>
      </w:r>
      <w:r>
        <w:rPr>
          <w:rFonts w:ascii="Times New Roman" w:eastAsia="Times New Roman" w:hAnsi="Times New Roman" w:cs="Times New Roman"/>
          <w:color w:val="000000"/>
        </w:rPr>
        <w:t>, ossia mediazione di sé con sé, posizionamento di sé come l’altro da</w:t>
      </w:r>
      <w:r w:rsidR="006347AE">
        <w:rPr>
          <w:rFonts w:ascii="Times New Roman" w:eastAsia="Times New Roman" w:hAnsi="Times New Roman" w:cs="Times New Roman"/>
          <w:color w:val="000000"/>
        </w:rPr>
        <w:t xml:space="preserve"> </w:t>
      </w:r>
      <w:r w:rsidR="00A564AC">
        <w:rPr>
          <w:rFonts w:ascii="Times New Roman" w:eastAsia="Times New Roman" w:hAnsi="Times New Roman" w:cs="Times New Roman"/>
          <w:color w:val="000000"/>
        </w:rPr>
        <w:t>sè</w:t>
      </w:r>
      <w:r>
        <w:rPr>
          <w:rFonts w:ascii="Times New Roman" w:eastAsia="Times New Roman" w:hAnsi="Times New Roman" w:cs="Times New Roman"/>
          <w:color w:val="000000"/>
        </w:rPr>
        <w:t xml:space="preserve"> e ristabilmento della propria </w:t>
      </w:r>
      <w:r w:rsidR="00B652C9">
        <w:rPr>
          <w:rFonts w:ascii="Times New Roman" w:eastAsia="Times New Roman" w:hAnsi="Times New Roman" w:cs="Times New Roman"/>
          <w:color w:val="000000"/>
        </w:rPr>
        <w:t>auto</w:t>
      </w:r>
      <w:r>
        <w:rPr>
          <w:rFonts w:ascii="Times New Roman" w:eastAsia="Times New Roman" w:hAnsi="Times New Roman" w:cs="Times New Roman"/>
          <w:color w:val="000000"/>
        </w:rPr>
        <w:t>eguaglianza. Il vero, che è l’intero, è tale alla fine del suo sviluppo: ciò che è primo</w:t>
      </w:r>
      <w:r w:rsidR="008B09C9">
        <w:rPr>
          <w:rFonts w:ascii="Times New Roman" w:eastAsia="Times New Roman" w:hAnsi="Times New Roman" w:cs="Times New Roman"/>
          <w:color w:val="000000"/>
        </w:rPr>
        <w:t xml:space="preserve"> si nega, si pone e</w:t>
      </w:r>
      <w:r w:rsidR="006347AE">
        <w:rPr>
          <w:rFonts w:ascii="Times New Roman" w:eastAsia="Times New Roman" w:hAnsi="Times New Roman" w:cs="Times New Roman"/>
          <w:color w:val="000000"/>
        </w:rPr>
        <w:t xml:space="preserve"> torna circolarmente a sé</w:t>
      </w:r>
      <w:r>
        <w:rPr>
          <w:rFonts w:ascii="Times New Roman" w:eastAsia="Times New Roman" w:hAnsi="Times New Roman" w:cs="Times New Roman"/>
          <w:color w:val="000000"/>
        </w:rPr>
        <w:t xml:space="preserve">. Ricorrendo alla </w:t>
      </w:r>
      <w:r w:rsidRPr="005244A1">
        <w:rPr>
          <w:rFonts w:ascii="Times New Roman" w:eastAsia="Times New Roman" w:hAnsi="Times New Roman" w:cs="Times New Roman"/>
          <w:i/>
          <w:color w:val="000000"/>
        </w:rPr>
        <w:t>reine einfache Negativität</w:t>
      </w:r>
      <w:r>
        <w:rPr>
          <w:rFonts w:ascii="Times New Roman" w:eastAsia="Times New Roman" w:hAnsi="Times New Roman" w:cs="Times New Roman"/>
          <w:color w:val="000000"/>
        </w:rPr>
        <w:t xml:space="preserve">, Hegel non fa altro </w:t>
      </w:r>
      <w:r w:rsidRPr="00612F4E">
        <w:rPr>
          <w:rFonts w:ascii="Times New Roman" w:eastAsia="Times New Roman" w:hAnsi="Times New Roman" w:cs="Times New Roman"/>
          <w:color w:val="000000"/>
        </w:rPr>
        <w:t xml:space="preserve">che riportare al centro del proprio discorso quanto già messo a punto nella </w:t>
      </w:r>
      <w:r w:rsidRPr="00612F4E">
        <w:rPr>
          <w:rFonts w:ascii="Times New Roman" w:eastAsia="Times New Roman" w:hAnsi="Times New Roman" w:cs="Times New Roman"/>
          <w:i/>
          <w:color w:val="000000"/>
        </w:rPr>
        <w:t>Jenaer Logik und Metaphysik</w:t>
      </w:r>
      <w:r w:rsidRPr="00612F4E">
        <w:rPr>
          <w:rFonts w:ascii="Times New Roman" w:eastAsia="Times New Roman" w:hAnsi="Times New Roman" w:cs="Times New Roman"/>
          <w:color w:val="000000"/>
        </w:rPr>
        <w:t>: l’</w:t>
      </w:r>
      <w:r w:rsidRPr="00612F4E">
        <w:rPr>
          <w:rFonts w:ascii="Times New Roman" w:eastAsia="Times New Roman" w:hAnsi="Times New Roman" w:cs="Times New Roman"/>
          <w:i/>
          <w:color w:val="000000"/>
        </w:rPr>
        <w:t>absolute Unruhe</w:t>
      </w:r>
      <w:r w:rsidRPr="00612F4E">
        <w:rPr>
          <w:rFonts w:ascii="Times New Roman" w:eastAsia="Times New Roman" w:hAnsi="Times New Roman" w:cs="Times New Roman"/>
          <w:color w:val="000000"/>
        </w:rPr>
        <w:t xml:space="preserve">, </w:t>
      </w:r>
      <w:r w:rsidR="00372FCE" w:rsidRPr="00612F4E">
        <w:rPr>
          <w:rFonts w:ascii="Times New Roman" w:eastAsia="Times New Roman" w:hAnsi="Times New Roman" w:cs="Times New Roman"/>
          <w:color w:val="000000"/>
        </w:rPr>
        <w:t xml:space="preserve">trasposto </w:t>
      </w:r>
      <w:r w:rsidRPr="00612F4E">
        <w:rPr>
          <w:rFonts w:ascii="Times New Roman" w:eastAsia="Times New Roman" w:hAnsi="Times New Roman" w:cs="Times New Roman"/>
          <w:color w:val="000000"/>
        </w:rPr>
        <w:t xml:space="preserve">nel contesto della </w:t>
      </w:r>
      <w:r w:rsidRPr="00612F4E">
        <w:rPr>
          <w:rFonts w:ascii="Times New Roman" w:eastAsia="Times New Roman" w:hAnsi="Times New Roman" w:cs="Times New Roman"/>
          <w:i/>
          <w:color w:val="000000"/>
        </w:rPr>
        <w:t>Phä</w:t>
      </w:r>
      <w:r w:rsidR="00372FCE" w:rsidRPr="00612F4E">
        <w:rPr>
          <w:rFonts w:ascii="Times New Roman" w:eastAsia="Times New Roman" w:hAnsi="Times New Roman" w:cs="Times New Roman"/>
          <w:i/>
          <w:color w:val="000000"/>
        </w:rPr>
        <w:t>nomenologie</w:t>
      </w:r>
      <w:r w:rsidR="00372FCE" w:rsidRPr="00612F4E">
        <w:rPr>
          <w:rFonts w:ascii="Times New Roman" w:eastAsia="Times New Roman" w:hAnsi="Times New Roman" w:cs="Times New Roman"/>
          <w:color w:val="000000"/>
        </w:rPr>
        <w:t xml:space="preserve"> </w:t>
      </w:r>
      <w:r w:rsidR="00372FCE" w:rsidRPr="00612F4E">
        <w:rPr>
          <w:rFonts w:ascii="Times New Roman" w:eastAsia="Times New Roman" w:hAnsi="Times New Roman" w:cs="Times New Roman"/>
          <w:i/>
          <w:color w:val="000000"/>
        </w:rPr>
        <w:t>des Geistes</w:t>
      </w:r>
      <w:r w:rsidR="00372FCE" w:rsidRPr="00612F4E">
        <w:rPr>
          <w:rFonts w:ascii="Times New Roman" w:eastAsia="Times New Roman" w:hAnsi="Times New Roman" w:cs="Times New Roman"/>
          <w:color w:val="000000"/>
        </w:rPr>
        <w:t>,</w:t>
      </w:r>
      <w:r w:rsidRPr="00612F4E">
        <w:rPr>
          <w:rFonts w:ascii="Times New Roman" w:eastAsia="Times New Roman" w:hAnsi="Times New Roman" w:cs="Times New Roman"/>
          <w:i/>
          <w:color w:val="000000"/>
        </w:rPr>
        <w:t xml:space="preserve"> </w:t>
      </w:r>
      <w:r w:rsidRPr="00612F4E">
        <w:rPr>
          <w:rFonts w:ascii="Times New Roman" w:eastAsia="Times New Roman" w:hAnsi="Times New Roman" w:cs="Times New Roman"/>
          <w:color w:val="000000"/>
        </w:rPr>
        <w:t xml:space="preserve">è </w:t>
      </w:r>
      <w:r w:rsidR="00372FCE" w:rsidRPr="00612F4E">
        <w:rPr>
          <w:rFonts w:ascii="Times New Roman" w:eastAsia="Times New Roman" w:hAnsi="Times New Roman" w:cs="Times New Roman"/>
          <w:color w:val="000000"/>
        </w:rPr>
        <w:t>il corrispettivo, espresso ancora</w:t>
      </w:r>
      <w:r w:rsidR="00EC5A65" w:rsidRPr="00612F4E">
        <w:rPr>
          <w:rFonts w:ascii="Times New Roman" w:eastAsia="Times New Roman" w:hAnsi="Times New Roman" w:cs="Times New Roman"/>
          <w:color w:val="000000"/>
        </w:rPr>
        <w:t xml:space="preserve"> con</w:t>
      </w:r>
      <w:r w:rsidR="00372FCE" w:rsidRPr="00612F4E">
        <w:rPr>
          <w:rFonts w:ascii="Times New Roman" w:eastAsia="Times New Roman" w:hAnsi="Times New Roman" w:cs="Times New Roman"/>
          <w:color w:val="000000"/>
        </w:rPr>
        <w:t xml:space="preserve"> un linguaggio figurato, di quella negatività </w:t>
      </w:r>
      <w:r w:rsidRPr="00612F4E">
        <w:rPr>
          <w:rFonts w:ascii="Times New Roman" w:eastAsia="Times New Roman" w:hAnsi="Times New Roman" w:cs="Times New Roman"/>
          <w:color w:val="000000"/>
        </w:rPr>
        <w:t>che porta l’autoeguaglianza</w:t>
      </w:r>
      <w:r w:rsidR="006347AE" w:rsidRPr="00612F4E">
        <w:rPr>
          <w:rFonts w:ascii="Times New Roman" w:eastAsia="Times New Roman" w:hAnsi="Times New Roman" w:cs="Times New Roman"/>
          <w:color w:val="000000"/>
        </w:rPr>
        <w:t xml:space="preserve"> indeterminata</w:t>
      </w:r>
      <w:r w:rsidRPr="00612F4E">
        <w:rPr>
          <w:rFonts w:ascii="Times New Roman" w:eastAsia="Times New Roman" w:hAnsi="Times New Roman" w:cs="Times New Roman"/>
          <w:color w:val="000000"/>
        </w:rPr>
        <w:t xml:space="preserve"> a </w:t>
      </w:r>
      <w:r w:rsidR="00D15203" w:rsidRPr="00612F4E">
        <w:rPr>
          <w:rFonts w:ascii="Times New Roman" w:eastAsia="Times New Roman" w:hAnsi="Times New Roman" w:cs="Times New Roman"/>
          <w:color w:val="000000"/>
        </w:rPr>
        <w:t>cadere (</w:t>
      </w:r>
      <w:r w:rsidR="00D15203" w:rsidRPr="00612F4E">
        <w:rPr>
          <w:rFonts w:ascii="Times New Roman" w:eastAsia="Times New Roman" w:hAnsi="Times New Roman" w:cs="Times New Roman"/>
          <w:i/>
          <w:color w:val="000000"/>
        </w:rPr>
        <w:t>Abfall</w:t>
      </w:r>
      <w:r w:rsidR="00D15203" w:rsidRPr="00612F4E">
        <w:rPr>
          <w:rFonts w:ascii="Times New Roman" w:eastAsia="Times New Roman" w:hAnsi="Times New Roman" w:cs="Times New Roman"/>
          <w:color w:val="000000"/>
        </w:rPr>
        <w:t xml:space="preserve">) </w:t>
      </w:r>
      <w:r w:rsidRPr="00612F4E">
        <w:rPr>
          <w:rFonts w:ascii="Times New Roman" w:eastAsia="Times New Roman" w:hAnsi="Times New Roman" w:cs="Times New Roman"/>
          <w:color w:val="000000"/>
        </w:rPr>
        <w:t xml:space="preserve">e a </w:t>
      </w:r>
      <w:r w:rsidR="00B12074" w:rsidRPr="00612F4E">
        <w:rPr>
          <w:rFonts w:ascii="Times New Roman" w:eastAsia="Times New Roman" w:hAnsi="Times New Roman" w:cs="Times New Roman"/>
          <w:i/>
          <w:color w:val="000000"/>
        </w:rPr>
        <w:t xml:space="preserve">svilupparsi circolarmente </w:t>
      </w:r>
      <w:r w:rsidR="00B12074" w:rsidRPr="00612F4E">
        <w:rPr>
          <w:rFonts w:ascii="Times New Roman" w:eastAsia="Times New Roman" w:hAnsi="Times New Roman" w:cs="Times New Roman"/>
          <w:color w:val="000000"/>
        </w:rPr>
        <w:t>(</w:t>
      </w:r>
      <w:r w:rsidR="00B12074" w:rsidRPr="00612F4E">
        <w:rPr>
          <w:rFonts w:ascii="Times New Roman" w:eastAsia="Times New Roman" w:hAnsi="Times New Roman" w:cs="Times New Roman"/>
          <w:i/>
          <w:color w:val="000000"/>
        </w:rPr>
        <w:t>Kreislauf</w:t>
      </w:r>
      <w:r w:rsidR="00B12074" w:rsidRPr="00612F4E">
        <w:rPr>
          <w:rFonts w:ascii="Times New Roman" w:eastAsia="Times New Roman" w:hAnsi="Times New Roman" w:cs="Times New Roman"/>
          <w:color w:val="000000"/>
        </w:rPr>
        <w:t>)</w:t>
      </w:r>
      <w:r w:rsidR="00372FCE" w:rsidRPr="00612F4E">
        <w:rPr>
          <w:rFonts w:ascii="Times New Roman" w:eastAsia="Times New Roman" w:hAnsi="Times New Roman" w:cs="Times New Roman"/>
          <w:color w:val="000000"/>
        </w:rPr>
        <w:t>.</w:t>
      </w:r>
      <w:r w:rsidR="00372FCE">
        <w:rPr>
          <w:rFonts w:ascii="Times New Roman" w:eastAsia="Times New Roman" w:hAnsi="Times New Roman" w:cs="Times New Roman"/>
          <w:color w:val="000000"/>
        </w:rPr>
        <w:t xml:space="preserve"> Ciò che la filosofia di Spinoza, la filosofia dell’identità di Schelling e la filosofia romantica della natura</w:t>
      </w:r>
      <w:r w:rsidR="00CB16F9">
        <w:rPr>
          <w:rStyle w:val="Rimandonotaapidipagina"/>
          <w:rFonts w:ascii="Times New Roman" w:eastAsia="Times New Roman" w:hAnsi="Times New Roman" w:cs="Times New Roman"/>
          <w:color w:val="000000"/>
        </w:rPr>
        <w:footnoteReference w:id="284"/>
      </w:r>
      <w:r w:rsidR="00372FCE">
        <w:rPr>
          <w:rFonts w:ascii="Times New Roman" w:eastAsia="Times New Roman" w:hAnsi="Times New Roman" w:cs="Times New Roman"/>
          <w:color w:val="000000"/>
        </w:rPr>
        <w:t xml:space="preserve"> non hanno compre</w:t>
      </w:r>
      <w:r w:rsidR="005A067B">
        <w:rPr>
          <w:rFonts w:ascii="Times New Roman" w:eastAsia="Times New Roman" w:hAnsi="Times New Roman" w:cs="Times New Roman"/>
          <w:color w:val="000000"/>
        </w:rPr>
        <w:t xml:space="preserve">so a pieno è il ruolo </w:t>
      </w:r>
      <w:r w:rsidR="005A067B" w:rsidRPr="00FE0656">
        <w:rPr>
          <w:rFonts w:ascii="Times New Roman" w:eastAsia="Times New Roman" w:hAnsi="Times New Roman" w:cs="Times New Roman"/>
          <w:color w:val="000000"/>
        </w:rPr>
        <w:t>della neg</w:t>
      </w:r>
      <w:r w:rsidR="00372FCE" w:rsidRPr="00FE0656">
        <w:rPr>
          <w:rFonts w:ascii="Times New Roman" w:eastAsia="Times New Roman" w:hAnsi="Times New Roman" w:cs="Times New Roman"/>
          <w:color w:val="000000"/>
        </w:rPr>
        <w:t>azione nella dinamica processuale appena descritta. È la negatività del contenuto, il suo mediarsi</w:t>
      </w:r>
      <w:r w:rsidR="00EC5A65" w:rsidRPr="00FE0656">
        <w:rPr>
          <w:rFonts w:ascii="Times New Roman" w:eastAsia="Times New Roman" w:hAnsi="Times New Roman" w:cs="Times New Roman"/>
          <w:color w:val="000000"/>
        </w:rPr>
        <w:t xml:space="preserve"> e riflettersi in sé</w:t>
      </w:r>
      <w:r w:rsidR="00372FCE" w:rsidRPr="00FE0656">
        <w:rPr>
          <w:rFonts w:ascii="Times New Roman" w:eastAsia="Times New Roman" w:hAnsi="Times New Roman" w:cs="Times New Roman"/>
          <w:color w:val="000000"/>
        </w:rPr>
        <w:t>, che rendono l’Assoluto una realtà</w:t>
      </w:r>
      <w:r w:rsidR="0066343B" w:rsidRPr="00FE0656">
        <w:rPr>
          <w:rFonts w:ascii="Times New Roman" w:eastAsia="Times New Roman" w:hAnsi="Times New Roman" w:cs="Times New Roman"/>
          <w:color w:val="000000"/>
        </w:rPr>
        <w:t xml:space="preserve"> </w:t>
      </w:r>
      <w:r w:rsidR="00FE0656" w:rsidRPr="00FE0656">
        <w:rPr>
          <w:rFonts w:ascii="Times New Roman" w:eastAsia="Times New Roman" w:hAnsi="Times New Roman" w:cs="Times New Roman"/>
          <w:color w:val="000000"/>
        </w:rPr>
        <w:t>dinamica</w:t>
      </w:r>
      <w:r w:rsidR="00B652C9">
        <w:rPr>
          <w:rFonts w:ascii="Times New Roman" w:eastAsia="Times New Roman" w:hAnsi="Times New Roman" w:cs="Times New Roman"/>
          <w:color w:val="000000"/>
        </w:rPr>
        <w:t xml:space="preserve"> e in movimento</w:t>
      </w:r>
      <w:r w:rsidR="00372FCE" w:rsidRPr="00FE0656">
        <w:rPr>
          <w:rFonts w:ascii="Times New Roman" w:eastAsia="Times New Roman" w:hAnsi="Times New Roman" w:cs="Times New Roman"/>
          <w:color w:val="000000"/>
        </w:rPr>
        <w:t>.</w:t>
      </w:r>
      <w:r w:rsidR="00372FCE">
        <w:rPr>
          <w:rFonts w:ascii="Times New Roman" w:eastAsia="Times New Roman" w:hAnsi="Times New Roman" w:cs="Times New Roman"/>
          <w:color w:val="000000"/>
        </w:rPr>
        <w:t xml:space="preserve"> </w:t>
      </w:r>
      <w:r w:rsidR="00614DCD">
        <w:rPr>
          <w:rFonts w:ascii="Times New Roman" w:eastAsia="Times New Roman" w:hAnsi="Times New Roman" w:cs="Times New Roman"/>
          <w:color w:val="000000"/>
        </w:rPr>
        <w:t>S</w:t>
      </w:r>
      <w:r w:rsidR="00372FCE">
        <w:rPr>
          <w:rFonts w:ascii="Times New Roman" w:eastAsia="Times New Roman" w:hAnsi="Times New Roman" w:cs="Times New Roman"/>
          <w:color w:val="000000"/>
        </w:rPr>
        <w:t xml:space="preserve">crive </w:t>
      </w:r>
      <w:r w:rsidR="00614DCD">
        <w:rPr>
          <w:rFonts w:ascii="Times New Roman" w:eastAsia="Times New Roman" w:hAnsi="Times New Roman" w:cs="Times New Roman"/>
          <w:color w:val="000000"/>
        </w:rPr>
        <w:t xml:space="preserve">ancora </w:t>
      </w:r>
      <w:r w:rsidR="00372FCE">
        <w:rPr>
          <w:rFonts w:ascii="Times New Roman" w:eastAsia="Times New Roman" w:hAnsi="Times New Roman" w:cs="Times New Roman"/>
          <w:color w:val="000000"/>
        </w:rPr>
        <w:t>Hegel:</w:t>
      </w:r>
    </w:p>
    <w:p w14:paraId="38829CD1" w14:textId="77777777" w:rsidR="000D093A" w:rsidRDefault="000D093A" w:rsidP="00214846">
      <w:pPr>
        <w:spacing w:line="360" w:lineRule="auto"/>
        <w:ind w:firstLine="567"/>
        <w:jc w:val="both"/>
        <w:rPr>
          <w:rFonts w:ascii="Times New Roman" w:eastAsia="Times New Roman" w:hAnsi="Times New Roman" w:cs="Times New Roman"/>
          <w:color w:val="000000"/>
        </w:rPr>
      </w:pPr>
    </w:p>
    <w:p w14:paraId="40D21323" w14:textId="0A99B513" w:rsidR="00372FCE" w:rsidRPr="00B81148" w:rsidRDefault="00EC5A65" w:rsidP="00B12074">
      <w:pPr>
        <w:spacing w:line="360" w:lineRule="auto"/>
        <w:ind w:left="567" w:firstLine="567"/>
        <w:jc w:val="both"/>
        <w:rPr>
          <w:rFonts w:ascii="Times New Roman" w:eastAsia="Times New Roman" w:hAnsi="Times New Roman" w:cs="Times New Roman"/>
          <w:color w:val="000000"/>
          <w:sz w:val="20"/>
          <w:szCs w:val="20"/>
        </w:rPr>
      </w:pPr>
      <w:r w:rsidRPr="00B81148">
        <w:rPr>
          <w:rFonts w:ascii="Times New Roman" w:eastAsia="Times New Roman" w:hAnsi="Times New Roman" w:cs="Times New Roman"/>
          <w:color w:val="000000"/>
          <w:sz w:val="20"/>
          <w:szCs w:val="20"/>
        </w:rPr>
        <w:t>«Der Anfang, das Prinzip, oder das Absolute, wie es zuerst und unmittelbar ausgesprochen wird, ist nur das Allgemeine […] Das Perhorreszeiren stammt aber in der That aus der Unbekanntschaft mit der Natur der Vermittlung und des absoluten Erkennens selbst. Denn die Vermittlung ist nichts anders als die sich bewegende Sichselbstgleichheit, oder sie ist die Reflexion in sich selbst, das Moment des fürsichseienden Ich, die reine Negativität oder, auf ihre reine Abstraction herabgesetz, das einfache Werden»</w:t>
      </w:r>
      <w:r w:rsidRPr="00B81148">
        <w:rPr>
          <w:rStyle w:val="Rimandonotaapidipagina"/>
          <w:rFonts w:ascii="Times New Roman" w:eastAsia="Times New Roman" w:hAnsi="Times New Roman" w:cs="Times New Roman"/>
          <w:color w:val="000000"/>
          <w:sz w:val="20"/>
          <w:szCs w:val="20"/>
        </w:rPr>
        <w:footnoteReference w:id="285"/>
      </w:r>
      <w:r w:rsidRPr="00B81148">
        <w:rPr>
          <w:rFonts w:ascii="Times New Roman" w:eastAsia="Times New Roman" w:hAnsi="Times New Roman" w:cs="Times New Roman"/>
          <w:color w:val="000000"/>
          <w:sz w:val="20"/>
          <w:szCs w:val="20"/>
        </w:rPr>
        <w:t>.</w:t>
      </w:r>
    </w:p>
    <w:p w14:paraId="1BB4A1BC" w14:textId="77777777" w:rsidR="00E63556" w:rsidRDefault="00E63556" w:rsidP="00214846">
      <w:pPr>
        <w:spacing w:line="360" w:lineRule="auto"/>
        <w:ind w:firstLine="567"/>
        <w:jc w:val="both"/>
        <w:rPr>
          <w:rFonts w:ascii="Times New Roman" w:eastAsia="Times New Roman" w:hAnsi="Times New Roman" w:cs="Times New Roman"/>
          <w:color w:val="000000"/>
        </w:rPr>
      </w:pPr>
    </w:p>
    <w:p w14:paraId="4D1DF6B1" w14:textId="7BF6C3DA" w:rsidR="008F7EF7" w:rsidRDefault="00E63556" w:rsidP="0010600E">
      <w:pPr>
        <w:spacing w:line="360" w:lineRule="auto"/>
        <w:ind w:firstLine="567"/>
        <w:jc w:val="both"/>
        <w:rPr>
          <w:rFonts w:ascii="Times New Roman" w:eastAsia="Times New Roman" w:hAnsi="Times New Roman" w:cs="Times New Roman"/>
          <w:color w:val="000000"/>
        </w:rPr>
      </w:pPr>
      <w:r w:rsidRPr="00612F4E">
        <w:rPr>
          <w:rFonts w:ascii="Times New Roman" w:eastAsia="Times New Roman" w:hAnsi="Times New Roman" w:cs="Times New Roman"/>
          <w:color w:val="000000"/>
        </w:rPr>
        <w:t>L’Assoluto</w:t>
      </w:r>
      <w:r w:rsidR="00EC5A65" w:rsidRPr="00612F4E">
        <w:rPr>
          <w:rFonts w:ascii="Times New Roman" w:eastAsia="Times New Roman" w:hAnsi="Times New Roman" w:cs="Times New Roman"/>
          <w:color w:val="000000"/>
        </w:rPr>
        <w:t xml:space="preserve">, così come esso è da principio, è il puro e semplice universale. </w:t>
      </w:r>
      <w:r w:rsidR="00733004" w:rsidRPr="00612F4E">
        <w:rPr>
          <w:rFonts w:ascii="Times New Roman" w:eastAsia="Times New Roman" w:hAnsi="Times New Roman" w:cs="Times New Roman"/>
          <w:color w:val="000000"/>
        </w:rPr>
        <w:t xml:space="preserve">Mancanza </w:t>
      </w:r>
      <w:r w:rsidRPr="00612F4E">
        <w:rPr>
          <w:rFonts w:ascii="Times New Roman" w:eastAsia="Times New Roman" w:hAnsi="Times New Roman" w:cs="Times New Roman"/>
          <w:color w:val="000000"/>
        </w:rPr>
        <w:t>di tutte quelle filosofie etichettabili come sistemi dell’identità astratta è fermarsi a quell’inde</w:t>
      </w:r>
      <w:r w:rsidR="0066343B">
        <w:rPr>
          <w:rFonts w:ascii="Times New Roman" w:eastAsia="Times New Roman" w:hAnsi="Times New Roman" w:cs="Times New Roman"/>
          <w:color w:val="000000"/>
        </w:rPr>
        <w:t xml:space="preserve">terminatezza, a </w:t>
      </w:r>
      <w:r w:rsidR="005A067B" w:rsidRPr="00612F4E">
        <w:rPr>
          <w:rFonts w:ascii="Times New Roman" w:eastAsia="Times New Roman" w:hAnsi="Times New Roman" w:cs="Times New Roman"/>
          <w:color w:val="000000"/>
        </w:rPr>
        <w:t>quel</w:t>
      </w:r>
      <w:r w:rsidR="007C0532">
        <w:rPr>
          <w:rFonts w:ascii="Times New Roman" w:eastAsia="Times New Roman" w:hAnsi="Times New Roman" w:cs="Times New Roman"/>
          <w:color w:val="000000"/>
        </w:rPr>
        <w:t>la negatività astratta</w:t>
      </w:r>
      <w:r w:rsidR="00D15203" w:rsidRPr="00612F4E">
        <w:rPr>
          <w:rFonts w:ascii="Times New Roman" w:eastAsia="Times New Roman" w:hAnsi="Times New Roman" w:cs="Times New Roman"/>
          <w:color w:val="000000"/>
        </w:rPr>
        <w:t xml:space="preserve"> che il giovane Hegel </w:t>
      </w:r>
      <w:r w:rsidR="008A164E" w:rsidRPr="00612F4E">
        <w:rPr>
          <w:rFonts w:ascii="Times New Roman" w:eastAsia="Times New Roman" w:hAnsi="Times New Roman" w:cs="Times New Roman"/>
          <w:color w:val="000000"/>
        </w:rPr>
        <w:t>associava al</w:t>
      </w:r>
      <w:r w:rsidR="00ED4361">
        <w:rPr>
          <w:rFonts w:ascii="Times New Roman" w:eastAsia="Times New Roman" w:hAnsi="Times New Roman" w:cs="Times New Roman"/>
          <w:color w:val="000000"/>
        </w:rPr>
        <w:t>l’ebraismo</w:t>
      </w:r>
      <w:r w:rsidRPr="00612F4E">
        <w:rPr>
          <w:rFonts w:ascii="Times New Roman" w:eastAsia="Times New Roman" w:hAnsi="Times New Roman" w:cs="Times New Roman"/>
          <w:color w:val="000000"/>
        </w:rPr>
        <w:t>. Prendere sul serio la mediazione, facendosi carico della</w:t>
      </w:r>
      <w:r w:rsidR="00FD52AE" w:rsidRPr="00612F4E">
        <w:rPr>
          <w:rFonts w:ascii="Times New Roman" w:eastAsia="Times New Roman" w:hAnsi="Times New Roman" w:cs="Times New Roman"/>
          <w:color w:val="000000"/>
        </w:rPr>
        <w:t xml:space="preserve"> sua</w:t>
      </w:r>
      <w:r w:rsidRPr="00612F4E">
        <w:rPr>
          <w:rFonts w:ascii="Times New Roman" w:eastAsia="Times New Roman" w:hAnsi="Times New Roman" w:cs="Times New Roman"/>
          <w:color w:val="000000"/>
        </w:rPr>
        <w:t xml:space="preserve"> funzione</w:t>
      </w:r>
      <w:r>
        <w:rPr>
          <w:rFonts w:ascii="Times New Roman" w:eastAsia="Times New Roman" w:hAnsi="Times New Roman" w:cs="Times New Roman"/>
          <w:color w:val="000000"/>
        </w:rPr>
        <w:t xml:space="preserve"> </w:t>
      </w:r>
      <w:r w:rsidRPr="00612F4E">
        <w:rPr>
          <w:rFonts w:ascii="Times New Roman" w:eastAsia="Times New Roman" w:hAnsi="Times New Roman" w:cs="Times New Roman"/>
          <w:color w:val="000000"/>
        </w:rPr>
        <w:t>speculativa, ossia negati</w:t>
      </w:r>
      <w:r w:rsidR="00BE7E0A">
        <w:rPr>
          <w:rFonts w:ascii="Times New Roman" w:eastAsia="Times New Roman" w:hAnsi="Times New Roman" w:cs="Times New Roman"/>
          <w:color w:val="000000"/>
        </w:rPr>
        <w:t>va e</w:t>
      </w:r>
      <w:r w:rsidR="005A067B" w:rsidRPr="00612F4E">
        <w:rPr>
          <w:rFonts w:ascii="Times New Roman" w:eastAsia="Times New Roman" w:hAnsi="Times New Roman" w:cs="Times New Roman"/>
          <w:color w:val="000000"/>
        </w:rPr>
        <w:t xml:space="preserve"> affermativa ad un tempo, </w:t>
      </w:r>
      <w:r w:rsidRPr="00612F4E">
        <w:rPr>
          <w:rFonts w:ascii="Times New Roman" w:eastAsia="Times New Roman" w:hAnsi="Times New Roman" w:cs="Times New Roman"/>
          <w:color w:val="000000"/>
        </w:rPr>
        <w:t>p</w:t>
      </w:r>
      <w:r w:rsidR="006B1B6E" w:rsidRPr="00612F4E">
        <w:rPr>
          <w:rFonts w:ascii="Times New Roman" w:eastAsia="Times New Roman" w:hAnsi="Times New Roman" w:cs="Times New Roman"/>
          <w:color w:val="000000"/>
        </w:rPr>
        <w:t>orta</w:t>
      </w:r>
      <w:r w:rsidRPr="00612F4E">
        <w:rPr>
          <w:rFonts w:ascii="Times New Roman" w:eastAsia="Times New Roman" w:hAnsi="Times New Roman" w:cs="Times New Roman"/>
          <w:color w:val="000000"/>
        </w:rPr>
        <w:t xml:space="preserve"> Hegel </w:t>
      </w:r>
      <w:r w:rsidR="006B1B6E" w:rsidRPr="00612F4E">
        <w:rPr>
          <w:rFonts w:ascii="Times New Roman" w:eastAsia="Times New Roman" w:hAnsi="Times New Roman" w:cs="Times New Roman"/>
          <w:color w:val="000000"/>
        </w:rPr>
        <w:t xml:space="preserve">ad </w:t>
      </w:r>
      <w:r w:rsidR="00A564AC" w:rsidRPr="00612F4E">
        <w:rPr>
          <w:rFonts w:ascii="Times New Roman" w:eastAsia="Times New Roman" w:hAnsi="Times New Roman" w:cs="Times New Roman"/>
          <w:color w:val="000000"/>
        </w:rPr>
        <w:t>avanzare una teoria del</w:t>
      </w:r>
      <w:r w:rsidRPr="00612F4E">
        <w:rPr>
          <w:rFonts w:ascii="Times New Roman" w:eastAsia="Times New Roman" w:hAnsi="Times New Roman" w:cs="Times New Roman"/>
          <w:color w:val="000000"/>
        </w:rPr>
        <w:t xml:space="preserve"> s</w:t>
      </w:r>
      <w:r w:rsidR="00D15203" w:rsidRPr="00612F4E">
        <w:rPr>
          <w:rFonts w:ascii="Times New Roman" w:eastAsia="Times New Roman" w:hAnsi="Times New Roman" w:cs="Times New Roman"/>
          <w:color w:val="000000"/>
        </w:rPr>
        <w:t>oggett</w:t>
      </w:r>
      <w:r w:rsidR="00A564AC" w:rsidRPr="00612F4E">
        <w:rPr>
          <w:rFonts w:ascii="Times New Roman" w:eastAsia="Times New Roman" w:hAnsi="Times New Roman" w:cs="Times New Roman"/>
          <w:color w:val="000000"/>
        </w:rPr>
        <w:t>o</w:t>
      </w:r>
      <w:r w:rsidR="00D15203" w:rsidRPr="00612F4E">
        <w:rPr>
          <w:rFonts w:ascii="Times New Roman" w:eastAsia="Times New Roman" w:hAnsi="Times New Roman" w:cs="Times New Roman"/>
          <w:color w:val="000000"/>
        </w:rPr>
        <w:t xml:space="preserve"> </w:t>
      </w:r>
      <w:r w:rsidR="008A164E" w:rsidRPr="00612F4E">
        <w:rPr>
          <w:rFonts w:ascii="Times New Roman" w:eastAsia="Times New Roman" w:hAnsi="Times New Roman" w:cs="Times New Roman"/>
          <w:color w:val="000000"/>
        </w:rPr>
        <w:t>che confuta</w:t>
      </w:r>
      <w:r w:rsidR="00612F4E" w:rsidRPr="00612F4E">
        <w:rPr>
          <w:rFonts w:ascii="Times New Roman" w:eastAsia="Times New Roman" w:hAnsi="Times New Roman" w:cs="Times New Roman"/>
          <w:color w:val="000000"/>
        </w:rPr>
        <w:t xml:space="preserve">, </w:t>
      </w:r>
      <w:r w:rsidR="008A164E" w:rsidRPr="00612F4E">
        <w:rPr>
          <w:rFonts w:ascii="Times New Roman" w:eastAsia="Times New Roman" w:hAnsi="Times New Roman" w:cs="Times New Roman"/>
          <w:color w:val="000000"/>
        </w:rPr>
        <w:t>avvera</w:t>
      </w:r>
      <w:r w:rsidR="00612F4E" w:rsidRPr="00612F4E">
        <w:rPr>
          <w:rFonts w:ascii="Times New Roman" w:eastAsia="Times New Roman" w:hAnsi="Times New Roman" w:cs="Times New Roman"/>
          <w:color w:val="000000"/>
        </w:rPr>
        <w:t>ndolo,</w:t>
      </w:r>
      <w:r w:rsidRPr="00612F4E">
        <w:rPr>
          <w:rFonts w:ascii="Times New Roman" w:eastAsia="Times New Roman" w:hAnsi="Times New Roman" w:cs="Times New Roman"/>
          <w:color w:val="000000"/>
        </w:rPr>
        <w:t xml:space="preserve"> </w:t>
      </w:r>
      <w:r w:rsidR="00D15203" w:rsidRPr="00612F4E">
        <w:rPr>
          <w:rFonts w:ascii="Times New Roman" w:eastAsia="Times New Roman" w:hAnsi="Times New Roman" w:cs="Times New Roman"/>
          <w:color w:val="000000"/>
        </w:rPr>
        <w:t>i</w:t>
      </w:r>
      <w:r w:rsidR="006B1B6E" w:rsidRPr="00612F4E">
        <w:rPr>
          <w:rFonts w:ascii="Times New Roman" w:eastAsia="Times New Roman" w:hAnsi="Times New Roman" w:cs="Times New Roman"/>
          <w:color w:val="000000"/>
        </w:rPr>
        <w:t>l pensare astratto</w:t>
      </w:r>
      <w:r w:rsidR="00D15203" w:rsidRPr="00612F4E">
        <w:rPr>
          <w:rFonts w:ascii="Times New Roman" w:eastAsia="Times New Roman" w:hAnsi="Times New Roman" w:cs="Times New Roman"/>
          <w:color w:val="000000"/>
        </w:rPr>
        <w:t xml:space="preserve">. </w:t>
      </w:r>
      <w:r w:rsidR="008A164E" w:rsidRPr="00612F4E">
        <w:rPr>
          <w:rFonts w:ascii="Times New Roman" w:eastAsia="Times New Roman" w:hAnsi="Times New Roman" w:cs="Times New Roman"/>
          <w:color w:val="000000"/>
        </w:rPr>
        <w:t>A</w:t>
      </w:r>
      <w:r w:rsidR="006B1B6E" w:rsidRPr="00612F4E">
        <w:rPr>
          <w:rFonts w:ascii="Times New Roman" w:eastAsia="Times New Roman" w:hAnsi="Times New Roman" w:cs="Times New Roman"/>
          <w:color w:val="000000"/>
        </w:rPr>
        <w:t>lla fine del precedente</w:t>
      </w:r>
      <w:r w:rsidR="008A164E" w:rsidRPr="00612F4E">
        <w:rPr>
          <w:rFonts w:ascii="Times New Roman" w:eastAsia="Times New Roman" w:hAnsi="Times New Roman" w:cs="Times New Roman"/>
          <w:color w:val="000000"/>
        </w:rPr>
        <w:t xml:space="preserve"> sottocapitolo</w:t>
      </w:r>
      <w:r w:rsidR="006B1B6E" w:rsidRPr="00612F4E">
        <w:rPr>
          <w:rFonts w:ascii="Times New Roman" w:eastAsia="Times New Roman" w:hAnsi="Times New Roman" w:cs="Times New Roman"/>
          <w:color w:val="000000"/>
        </w:rPr>
        <w:t xml:space="preserve">, </w:t>
      </w:r>
      <w:r w:rsidR="008A164E" w:rsidRPr="00612F4E">
        <w:rPr>
          <w:rFonts w:ascii="Times New Roman" w:eastAsia="Times New Roman" w:hAnsi="Times New Roman" w:cs="Times New Roman"/>
          <w:color w:val="000000"/>
        </w:rPr>
        <w:t xml:space="preserve">s’è visto che </w:t>
      </w:r>
      <w:r w:rsidR="006B1B6E" w:rsidRPr="00612F4E">
        <w:rPr>
          <w:rFonts w:ascii="Times New Roman" w:eastAsia="Times New Roman" w:hAnsi="Times New Roman" w:cs="Times New Roman"/>
          <w:color w:val="000000"/>
        </w:rPr>
        <w:t>l’idea di una negatività prima dello spirito assoluto viene suggerita ad Hegel dalla nozione d’</w:t>
      </w:r>
      <w:r w:rsidR="006B1B6E" w:rsidRPr="00612F4E">
        <w:rPr>
          <w:rFonts w:ascii="Times New Roman" w:eastAsia="Times New Roman" w:hAnsi="Times New Roman" w:cs="Times New Roman"/>
          <w:i/>
          <w:color w:val="000000"/>
        </w:rPr>
        <w:t>Abfall</w:t>
      </w:r>
      <w:r w:rsidR="006B1B6E" w:rsidRPr="00612F4E">
        <w:rPr>
          <w:rFonts w:ascii="Times New Roman" w:eastAsia="Times New Roman" w:hAnsi="Times New Roman" w:cs="Times New Roman"/>
          <w:color w:val="000000"/>
        </w:rPr>
        <w:t>. Con un’anticipazione</w:t>
      </w:r>
      <w:r w:rsidR="00D7614D" w:rsidRPr="00612F4E">
        <w:rPr>
          <w:rFonts w:ascii="Times New Roman" w:eastAsia="Times New Roman" w:hAnsi="Times New Roman" w:cs="Times New Roman"/>
          <w:color w:val="000000"/>
        </w:rPr>
        <w:t xml:space="preserve"> volta</w:t>
      </w:r>
      <w:r w:rsidR="006B1B6E" w:rsidRPr="00612F4E">
        <w:rPr>
          <w:rFonts w:ascii="Times New Roman" w:eastAsia="Times New Roman" w:hAnsi="Times New Roman" w:cs="Times New Roman"/>
          <w:color w:val="000000"/>
        </w:rPr>
        <w:t xml:space="preserve"> a corrobarare la matrice böhmiana di questo concetto, </w:t>
      </w:r>
      <w:r w:rsidR="008A164E" w:rsidRPr="00612F4E">
        <w:rPr>
          <w:rFonts w:ascii="Times New Roman" w:eastAsia="Times New Roman" w:hAnsi="Times New Roman" w:cs="Times New Roman"/>
          <w:color w:val="000000"/>
        </w:rPr>
        <w:t xml:space="preserve">si era </w:t>
      </w:r>
      <w:r w:rsidR="005A067B" w:rsidRPr="00612F4E">
        <w:rPr>
          <w:rFonts w:ascii="Times New Roman" w:eastAsia="Times New Roman" w:hAnsi="Times New Roman" w:cs="Times New Roman"/>
          <w:color w:val="000000"/>
        </w:rPr>
        <w:t xml:space="preserve">osservato </w:t>
      </w:r>
      <w:r w:rsidR="006B1B6E" w:rsidRPr="00612F4E">
        <w:rPr>
          <w:rFonts w:ascii="Times New Roman" w:eastAsia="Times New Roman" w:hAnsi="Times New Roman" w:cs="Times New Roman"/>
          <w:color w:val="000000"/>
        </w:rPr>
        <w:t>che l’accostamento d</w:t>
      </w:r>
      <w:r w:rsidR="00D15203" w:rsidRPr="00612F4E">
        <w:rPr>
          <w:rFonts w:ascii="Times New Roman" w:eastAsia="Times New Roman" w:hAnsi="Times New Roman" w:cs="Times New Roman"/>
          <w:color w:val="000000"/>
        </w:rPr>
        <w:t>ell</w:t>
      </w:r>
      <w:r w:rsidR="006B1B6E" w:rsidRPr="00612F4E">
        <w:rPr>
          <w:rFonts w:ascii="Times New Roman" w:eastAsia="Times New Roman" w:hAnsi="Times New Roman" w:cs="Times New Roman"/>
          <w:color w:val="000000"/>
        </w:rPr>
        <w:t>’</w:t>
      </w:r>
      <w:r w:rsidR="006B1B6E" w:rsidRPr="00612F4E">
        <w:rPr>
          <w:rFonts w:ascii="Times New Roman" w:eastAsia="Times New Roman" w:hAnsi="Times New Roman" w:cs="Times New Roman"/>
          <w:i/>
          <w:color w:val="000000"/>
        </w:rPr>
        <w:t xml:space="preserve">Abfall </w:t>
      </w:r>
      <w:r w:rsidR="006B1B6E" w:rsidRPr="00612F4E">
        <w:rPr>
          <w:rFonts w:ascii="Times New Roman" w:eastAsia="Times New Roman" w:hAnsi="Times New Roman" w:cs="Times New Roman"/>
          <w:color w:val="000000"/>
        </w:rPr>
        <w:t>e d</w:t>
      </w:r>
      <w:r w:rsidR="00D15203" w:rsidRPr="00612F4E">
        <w:rPr>
          <w:rFonts w:ascii="Times New Roman" w:eastAsia="Times New Roman" w:hAnsi="Times New Roman" w:cs="Times New Roman"/>
          <w:color w:val="000000"/>
        </w:rPr>
        <w:t>ella prima negazione dell’Assoluto</w:t>
      </w:r>
      <w:r w:rsidR="006B1B6E" w:rsidRPr="00612F4E">
        <w:rPr>
          <w:rFonts w:ascii="Times New Roman" w:eastAsia="Times New Roman" w:hAnsi="Times New Roman" w:cs="Times New Roman"/>
          <w:i/>
          <w:color w:val="000000"/>
        </w:rPr>
        <w:t xml:space="preserve"> </w:t>
      </w:r>
      <w:r w:rsidR="006B1B6E" w:rsidRPr="00612F4E">
        <w:rPr>
          <w:rFonts w:ascii="Times New Roman" w:eastAsia="Times New Roman" w:hAnsi="Times New Roman" w:cs="Times New Roman"/>
          <w:color w:val="000000"/>
        </w:rPr>
        <w:t xml:space="preserve">sarebbe stato al centro del </w:t>
      </w:r>
      <w:r w:rsidR="006B1B6E" w:rsidRPr="00612F4E">
        <w:rPr>
          <w:rFonts w:ascii="Times New Roman" w:eastAsia="Times New Roman" w:hAnsi="Times New Roman" w:cs="Times New Roman"/>
          <w:i/>
          <w:color w:val="000000"/>
        </w:rPr>
        <w:t>Religionskapitel</w:t>
      </w:r>
      <w:r w:rsidR="006B1B6E" w:rsidRPr="00612F4E">
        <w:rPr>
          <w:rFonts w:ascii="Times New Roman" w:eastAsia="Times New Roman" w:hAnsi="Times New Roman" w:cs="Times New Roman"/>
          <w:color w:val="000000"/>
        </w:rPr>
        <w:t xml:space="preserve">. </w:t>
      </w:r>
      <w:r w:rsidR="00D15203" w:rsidRPr="00612F4E">
        <w:rPr>
          <w:rFonts w:ascii="Times New Roman" w:eastAsia="Times New Roman" w:hAnsi="Times New Roman" w:cs="Times New Roman"/>
          <w:color w:val="000000"/>
        </w:rPr>
        <w:t>Q</w:t>
      </w:r>
      <w:r w:rsidR="006B1B6E" w:rsidRPr="00612F4E">
        <w:rPr>
          <w:rFonts w:ascii="Times New Roman" w:eastAsia="Times New Roman" w:hAnsi="Times New Roman" w:cs="Times New Roman"/>
          <w:color w:val="000000"/>
        </w:rPr>
        <w:t xml:space="preserve">uanto introdotto </w:t>
      </w:r>
      <w:r w:rsidR="007C0532">
        <w:rPr>
          <w:rFonts w:ascii="Times New Roman" w:eastAsia="Times New Roman" w:hAnsi="Times New Roman" w:cs="Times New Roman"/>
          <w:color w:val="000000"/>
        </w:rPr>
        <w:t xml:space="preserve">nelle </w:t>
      </w:r>
      <w:r w:rsidR="006B1B6E" w:rsidRPr="00612F4E">
        <w:rPr>
          <w:rFonts w:ascii="Times New Roman" w:eastAsia="Times New Roman" w:hAnsi="Times New Roman" w:cs="Times New Roman"/>
          <w:color w:val="000000"/>
        </w:rPr>
        <w:t>pagine</w:t>
      </w:r>
      <w:r w:rsidR="007C0532">
        <w:rPr>
          <w:rFonts w:ascii="Times New Roman" w:eastAsia="Times New Roman" w:hAnsi="Times New Roman" w:cs="Times New Roman"/>
          <w:color w:val="000000"/>
        </w:rPr>
        <w:t xml:space="preserve"> precedenti</w:t>
      </w:r>
      <w:r w:rsidR="006B5B2D" w:rsidRPr="00612F4E">
        <w:rPr>
          <w:rFonts w:ascii="Times New Roman" w:eastAsia="Times New Roman" w:hAnsi="Times New Roman" w:cs="Times New Roman"/>
          <w:color w:val="000000"/>
        </w:rPr>
        <w:t xml:space="preserve"> rappresenta la co</w:t>
      </w:r>
      <w:r w:rsidR="006B1B6E" w:rsidRPr="00612F4E">
        <w:rPr>
          <w:rFonts w:ascii="Times New Roman" w:eastAsia="Times New Roman" w:hAnsi="Times New Roman" w:cs="Times New Roman"/>
          <w:color w:val="000000"/>
        </w:rPr>
        <w:t>r</w:t>
      </w:r>
      <w:r w:rsidR="006B5B2D" w:rsidRPr="00612F4E">
        <w:rPr>
          <w:rFonts w:ascii="Times New Roman" w:eastAsia="Times New Roman" w:hAnsi="Times New Roman" w:cs="Times New Roman"/>
          <w:color w:val="000000"/>
        </w:rPr>
        <w:t>n</w:t>
      </w:r>
      <w:r w:rsidR="006B1B6E" w:rsidRPr="00612F4E">
        <w:rPr>
          <w:rFonts w:ascii="Times New Roman" w:eastAsia="Times New Roman" w:hAnsi="Times New Roman" w:cs="Times New Roman"/>
          <w:color w:val="000000"/>
        </w:rPr>
        <w:t xml:space="preserve">ice </w:t>
      </w:r>
      <w:r w:rsidR="00BE7E0A">
        <w:rPr>
          <w:rFonts w:ascii="Times New Roman" w:eastAsia="Times New Roman" w:hAnsi="Times New Roman" w:cs="Times New Roman"/>
          <w:color w:val="000000"/>
        </w:rPr>
        <w:t xml:space="preserve">teorica </w:t>
      </w:r>
      <w:r w:rsidR="006B1B6E" w:rsidRPr="00612F4E">
        <w:rPr>
          <w:rFonts w:ascii="Times New Roman" w:eastAsia="Times New Roman" w:hAnsi="Times New Roman" w:cs="Times New Roman"/>
          <w:color w:val="000000"/>
        </w:rPr>
        <w:t xml:space="preserve">in cui </w:t>
      </w:r>
      <w:r w:rsidR="0066343B">
        <w:rPr>
          <w:rFonts w:ascii="Times New Roman" w:eastAsia="Times New Roman" w:hAnsi="Times New Roman" w:cs="Times New Roman"/>
          <w:color w:val="000000"/>
        </w:rPr>
        <w:t>si colloca e</w:t>
      </w:r>
      <w:r w:rsidR="00D7614D" w:rsidRPr="00612F4E">
        <w:rPr>
          <w:rFonts w:ascii="Times New Roman" w:eastAsia="Times New Roman" w:hAnsi="Times New Roman" w:cs="Times New Roman"/>
          <w:color w:val="000000"/>
        </w:rPr>
        <w:t xml:space="preserve"> inscrive ciò che </w:t>
      </w:r>
      <w:r w:rsidR="00BE7E0A">
        <w:rPr>
          <w:rFonts w:ascii="Times New Roman" w:eastAsia="Times New Roman" w:hAnsi="Times New Roman" w:cs="Times New Roman"/>
          <w:color w:val="000000"/>
        </w:rPr>
        <w:t>sarà analizzato n</w:t>
      </w:r>
      <w:r w:rsidR="008A164E" w:rsidRPr="00612F4E">
        <w:rPr>
          <w:rFonts w:ascii="Times New Roman" w:eastAsia="Times New Roman" w:hAnsi="Times New Roman" w:cs="Times New Roman"/>
          <w:color w:val="000000"/>
        </w:rPr>
        <w:t xml:space="preserve">ella </w:t>
      </w:r>
      <w:r w:rsidR="00D7614D" w:rsidRPr="00612F4E">
        <w:rPr>
          <w:rFonts w:ascii="Times New Roman" w:eastAsia="Times New Roman" w:hAnsi="Times New Roman" w:cs="Times New Roman"/>
          <w:i/>
          <w:color w:val="000000"/>
        </w:rPr>
        <w:t>geoffenbare Religion</w:t>
      </w:r>
      <w:r w:rsidR="00D7614D" w:rsidRPr="00612F4E">
        <w:rPr>
          <w:rFonts w:ascii="Times New Roman" w:eastAsia="Times New Roman" w:hAnsi="Times New Roman" w:cs="Times New Roman"/>
          <w:color w:val="000000"/>
        </w:rPr>
        <w:t xml:space="preserve">. Data l’identità di contenuto di religione e filosofia, mi è sembrato opportuno fissare le coordinate logiche di una trama argomentativa che andremo </w:t>
      </w:r>
      <w:r w:rsidR="005A067B" w:rsidRPr="00612F4E">
        <w:rPr>
          <w:rFonts w:ascii="Times New Roman" w:eastAsia="Times New Roman" w:hAnsi="Times New Roman" w:cs="Times New Roman"/>
          <w:color w:val="000000"/>
        </w:rPr>
        <w:t>a</w:t>
      </w:r>
      <w:r w:rsidR="00D7614D" w:rsidRPr="00612F4E">
        <w:rPr>
          <w:rFonts w:ascii="Times New Roman" w:eastAsia="Times New Roman" w:hAnsi="Times New Roman" w:cs="Times New Roman"/>
          <w:color w:val="000000"/>
        </w:rPr>
        <w:t xml:space="preserve"> vedere</w:t>
      </w:r>
      <w:r w:rsidR="008A164E" w:rsidRPr="00612F4E">
        <w:rPr>
          <w:rFonts w:ascii="Times New Roman" w:eastAsia="Times New Roman" w:hAnsi="Times New Roman" w:cs="Times New Roman"/>
          <w:color w:val="000000"/>
        </w:rPr>
        <w:t>, adesso,</w:t>
      </w:r>
      <w:r w:rsidR="00D7614D" w:rsidRPr="00612F4E">
        <w:rPr>
          <w:rFonts w:ascii="Times New Roman" w:eastAsia="Times New Roman" w:hAnsi="Times New Roman" w:cs="Times New Roman"/>
          <w:color w:val="000000"/>
        </w:rPr>
        <w:t xml:space="preserve"> nella sua veste rappresentativa.</w:t>
      </w:r>
      <w:r w:rsidR="00D7614D">
        <w:rPr>
          <w:rFonts w:ascii="Times New Roman" w:eastAsia="Times New Roman" w:hAnsi="Times New Roman" w:cs="Times New Roman"/>
          <w:color w:val="000000"/>
        </w:rPr>
        <w:t xml:space="preserve"> </w:t>
      </w:r>
    </w:p>
    <w:p w14:paraId="15C75333" w14:textId="798DB171" w:rsidR="00F20438" w:rsidRDefault="008F7EF7" w:rsidP="00BE6A0E">
      <w:pPr>
        <w:spacing w:line="360" w:lineRule="auto"/>
        <w:ind w:firstLine="567"/>
        <w:jc w:val="both"/>
        <w:rPr>
          <w:rFonts w:ascii="Times New Roman" w:eastAsia="Times New Roman" w:hAnsi="Times New Roman" w:cs="Times New Roman"/>
          <w:color w:val="000000"/>
        </w:rPr>
      </w:pPr>
      <w:r>
        <w:rPr>
          <w:rFonts w:ascii="Times New Roman" w:eastAsia="Times New Roman" w:hAnsi="Times New Roman" w:cs="Times New Roman"/>
          <w:color w:val="000000"/>
        </w:rPr>
        <w:t>Con l’intento di provocare il lettore, Jean Hyppolite si era ch</w:t>
      </w:r>
      <w:r w:rsidR="008F3361">
        <w:rPr>
          <w:rFonts w:ascii="Times New Roman" w:eastAsia="Times New Roman" w:hAnsi="Times New Roman" w:cs="Times New Roman"/>
          <w:color w:val="000000"/>
        </w:rPr>
        <w:t xml:space="preserve">iesto, nel suo volume </w:t>
      </w:r>
      <w:r w:rsidR="008864CC">
        <w:rPr>
          <w:rFonts w:ascii="Times New Roman" w:eastAsia="Times New Roman" w:hAnsi="Times New Roman" w:cs="Times New Roman"/>
          <w:color w:val="000000"/>
        </w:rPr>
        <w:t>su</w:t>
      </w:r>
      <w:r>
        <w:rPr>
          <w:rFonts w:ascii="Times New Roman" w:eastAsia="Times New Roman" w:hAnsi="Times New Roman" w:cs="Times New Roman"/>
          <w:color w:val="000000"/>
        </w:rPr>
        <w:t xml:space="preserve">lla </w:t>
      </w:r>
      <w:r w:rsidRPr="008F7EF7">
        <w:rPr>
          <w:rFonts w:ascii="Times New Roman" w:eastAsia="Times New Roman" w:hAnsi="Times New Roman" w:cs="Times New Roman"/>
          <w:i/>
          <w:color w:val="000000"/>
        </w:rPr>
        <w:t>Phänomenologie des Geistes</w:t>
      </w:r>
      <w:r>
        <w:rPr>
          <w:rFonts w:ascii="Times New Roman" w:eastAsia="Times New Roman" w:hAnsi="Times New Roman" w:cs="Times New Roman"/>
          <w:color w:val="000000"/>
        </w:rPr>
        <w:t xml:space="preserve">, se il capitolo sulla </w:t>
      </w:r>
      <w:r w:rsidRPr="00375C22">
        <w:rPr>
          <w:rFonts w:ascii="Times New Roman" w:eastAsia="Times New Roman" w:hAnsi="Times New Roman" w:cs="Times New Roman"/>
          <w:i/>
          <w:color w:val="000000"/>
        </w:rPr>
        <w:t>religione rivelata</w:t>
      </w:r>
      <w:r w:rsidR="002B6B00">
        <w:rPr>
          <w:rFonts w:ascii="Times New Roman" w:eastAsia="Times New Roman" w:hAnsi="Times New Roman" w:cs="Times New Roman"/>
          <w:color w:val="000000"/>
        </w:rPr>
        <w:t xml:space="preserve"> </w:t>
      </w:r>
      <w:r w:rsidR="00FD52AE" w:rsidRPr="009D6ED0">
        <w:rPr>
          <w:rFonts w:ascii="Times New Roman" w:eastAsia="Times New Roman" w:hAnsi="Times New Roman" w:cs="Times New Roman"/>
          <w:color w:val="000000"/>
        </w:rPr>
        <w:t>dovesse</w:t>
      </w:r>
      <w:r>
        <w:rPr>
          <w:rFonts w:ascii="Times New Roman" w:eastAsia="Times New Roman" w:hAnsi="Times New Roman" w:cs="Times New Roman"/>
          <w:color w:val="000000"/>
        </w:rPr>
        <w:t xml:space="preserve"> essere considerato </w:t>
      </w:r>
      <w:r w:rsidRPr="00233F9B">
        <w:rPr>
          <w:rFonts w:ascii="Times New Roman" w:eastAsia="Times New Roman" w:hAnsi="Times New Roman" w:cs="Times New Roman"/>
          <w:color w:val="000000"/>
        </w:rPr>
        <w:t>come un</w:t>
      </w:r>
      <w:r>
        <w:rPr>
          <w:rFonts w:ascii="Times New Roman" w:eastAsia="Times New Roman" w:hAnsi="Times New Roman" w:cs="Times New Roman"/>
          <w:color w:val="000000"/>
        </w:rPr>
        <w:t xml:space="preserve"> testo d’antropologia o di mistica</w:t>
      </w:r>
      <w:r>
        <w:rPr>
          <w:rStyle w:val="Rimandonotaapidipagina"/>
          <w:rFonts w:ascii="Times New Roman" w:eastAsia="Times New Roman" w:hAnsi="Times New Roman" w:cs="Times New Roman"/>
          <w:color w:val="000000"/>
        </w:rPr>
        <w:footnoteReference w:id="286"/>
      </w:r>
      <w:r>
        <w:rPr>
          <w:rFonts w:ascii="Times New Roman" w:eastAsia="Times New Roman" w:hAnsi="Times New Roman" w:cs="Times New Roman"/>
          <w:color w:val="000000"/>
        </w:rPr>
        <w:t xml:space="preserve">. </w:t>
      </w:r>
      <w:r w:rsidR="00A41D08">
        <w:rPr>
          <w:rFonts w:ascii="Times New Roman" w:eastAsia="Times New Roman" w:hAnsi="Times New Roman" w:cs="Times New Roman"/>
          <w:color w:val="000000"/>
        </w:rPr>
        <w:t xml:space="preserve">Non riuscendo a risolversi per una della due opzione, Hyppolite si era limitato a riportare quegli elementi dell’argomentazione hegeliana </w:t>
      </w:r>
      <w:r w:rsidR="005D73E0">
        <w:rPr>
          <w:rFonts w:ascii="Times New Roman" w:eastAsia="Times New Roman" w:hAnsi="Times New Roman" w:cs="Times New Roman"/>
          <w:color w:val="000000"/>
        </w:rPr>
        <w:t>r</w:t>
      </w:r>
      <w:r w:rsidR="008864CC">
        <w:rPr>
          <w:rFonts w:ascii="Times New Roman" w:eastAsia="Times New Roman" w:hAnsi="Times New Roman" w:cs="Times New Roman"/>
          <w:color w:val="000000"/>
        </w:rPr>
        <w:t>iconducibili all’antropologia e</w:t>
      </w:r>
      <w:r w:rsidR="00A41D08">
        <w:rPr>
          <w:rFonts w:ascii="Times New Roman" w:eastAsia="Times New Roman" w:hAnsi="Times New Roman" w:cs="Times New Roman"/>
          <w:color w:val="000000"/>
        </w:rPr>
        <w:t xml:space="preserve"> alla tradizione misti</w:t>
      </w:r>
      <w:r w:rsidR="0044685C">
        <w:rPr>
          <w:rFonts w:ascii="Times New Roman" w:eastAsia="Times New Roman" w:hAnsi="Times New Roman" w:cs="Times New Roman"/>
          <w:color w:val="000000"/>
        </w:rPr>
        <w:t xml:space="preserve">ca. L’esclusione di un </w:t>
      </w:r>
      <w:r w:rsidR="0044685C" w:rsidRPr="00375C22">
        <w:rPr>
          <w:rFonts w:ascii="Times New Roman" w:eastAsia="Times New Roman" w:hAnsi="Times New Roman" w:cs="Times New Roman"/>
          <w:i/>
          <w:color w:val="000000"/>
        </w:rPr>
        <w:t>out-out</w:t>
      </w:r>
      <w:r w:rsidR="0044685C">
        <w:rPr>
          <w:rFonts w:ascii="Times New Roman" w:eastAsia="Times New Roman" w:hAnsi="Times New Roman" w:cs="Times New Roman"/>
          <w:color w:val="000000"/>
        </w:rPr>
        <w:t xml:space="preserve"> non rappresenta un’eccessiva cautela interpretativa, ma la volontà di rendere giustizia al testo hegeliano, che fa coesistere l’uno accanto all’altro elementi concettuali appartenenti ad orizzonti filosofici lontanissimi fra di loro. </w:t>
      </w:r>
      <w:r w:rsidR="0044685C" w:rsidRPr="005D73E0">
        <w:rPr>
          <w:rFonts w:ascii="Times New Roman" w:eastAsia="Times New Roman" w:hAnsi="Times New Roman" w:cs="Times New Roman"/>
          <w:color w:val="000000"/>
        </w:rPr>
        <w:t>In effet</w:t>
      </w:r>
      <w:r w:rsidR="00172CAE" w:rsidRPr="005D73E0">
        <w:rPr>
          <w:rFonts w:ascii="Times New Roman" w:eastAsia="Times New Roman" w:hAnsi="Times New Roman" w:cs="Times New Roman"/>
          <w:color w:val="000000"/>
        </w:rPr>
        <w:t>t</w:t>
      </w:r>
      <w:r w:rsidR="0044685C" w:rsidRPr="005D73E0">
        <w:rPr>
          <w:rFonts w:ascii="Times New Roman" w:eastAsia="Times New Roman" w:hAnsi="Times New Roman" w:cs="Times New Roman"/>
          <w:color w:val="000000"/>
        </w:rPr>
        <w:t xml:space="preserve">i, credo che non si commetta un errore ad interpretare la prima parte del </w:t>
      </w:r>
      <w:r w:rsidR="0044685C" w:rsidRPr="005D73E0">
        <w:rPr>
          <w:rFonts w:ascii="Times New Roman" w:eastAsia="Times New Roman" w:hAnsi="Times New Roman" w:cs="Times New Roman"/>
          <w:i/>
          <w:color w:val="000000"/>
        </w:rPr>
        <w:t>Religionskapitel</w:t>
      </w:r>
      <w:r w:rsidR="0044685C" w:rsidRPr="005D73E0">
        <w:rPr>
          <w:rFonts w:ascii="Times New Roman" w:eastAsia="Times New Roman" w:hAnsi="Times New Roman" w:cs="Times New Roman"/>
          <w:color w:val="000000"/>
        </w:rPr>
        <w:t xml:space="preserve"> e le ultime pagine della </w:t>
      </w:r>
      <w:r w:rsidR="0044685C" w:rsidRPr="005D73E0">
        <w:rPr>
          <w:rFonts w:ascii="Times New Roman" w:eastAsia="Times New Roman" w:hAnsi="Times New Roman" w:cs="Times New Roman"/>
          <w:i/>
          <w:color w:val="000000"/>
        </w:rPr>
        <w:t>geoffenbarte Religion</w:t>
      </w:r>
      <w:r w:rsidR="0044685C" w:rsidRPr="005D73E0">
        <w:rPr>
          <w:rFonts w:ascii="Times New Roman" w:eastAsia="Times New Roman" w:hAnsi="Times New Roman" w:cs="Times New Roman"/>
          <w:color w:val="000000"/>
        </w:rPr>
        <w:t xml:space="preserve"> </w:t>
      </w:r>
      <w:r w:rsidR="00375C22" w:rsidRPr="005D73E0">
        <w:rPr>
          <w:rFonts w:ascii="Times New Roman" w:eastAsia="Times New Roman" w:hAnsi="Times New Roman" w:cs="Times New Roman"/>
          <w:color w:val="000000"/>
        </w:rPr>
        <w:t>come esempi di u</w:t>
      </w:r>
      <w:r w:rsidR="0044685C" w:rsidRPr="005D73E0">
        <w:rPr>
          <w:rFonts w:ascii="Times New Roman" w:eastAsia="Times New Roman" w:hAnsi="Times New Roman" w:cs="Times New Roman"/>
          <w:color w:val="000000"/>
        </w:rPr>
        <w:t xml:space="preserve">n’antropologia </w:t>
      </w:r>
      <w:r w:rsidR="001C1435" w:rsidRPr="005D73E0">
        <w:rPr>
          <w:rFonts w:ascii="Times New Roman" w:eastAsia="Times New Roman" w:hAnsi="Times New Roman" w:cs="Times New Roman"/>
          <w:color w:val="000000"/>
        </w:rPr>
        <w:t xml:space="preserve">applicata </w:t>
      </w:r>
      <w:r w:rsidR="00375C22" w:rsidRPr="005D73E0">
        <w:rPr>
          <w:rFonts w:ascii="Times New Roman" w:eastAsia="Times New Roman" w:hAnsi="Times New Roman" w:cs="Times New Roman"/>
          <w:color w:val="000000"/>
        </w:rPr>
        <w:t>e la sezione</w:t>
      </w:r>
      <w:r w:rsidR="0044685C" w:rsidRPr="005D73E0">
        <w:rPr>
          <w:rFonts w:ascii="Times New Roman" w:eastAsia="Times New Roman" w:hAnsi="Times New Roman" w:cs="Times New Roman"/>
          <w:color w:val="000000"/>
        </w:rPr>
        <w:t xml:space="preserve"> centrale d</w:t>
      </w:r>
      <w:r w:rsidR="001C1435" w:rsidRPr="005D73E0">
        <w:rPr>
          <w:rFonts w:ascii="Times New Roman" w:eastAsia="Times New Roman" w:hAnsi="Times New Roman" w:cs="Times New Roman"/>
          <w:color w:val="000000"/>
        </w:rPr>
        <w:t>i questo capitolo</w:t>
      </w:r>
      <w:r w:rsidR="001C1435" w:rsidRPr="005D73E0">
        <w:rPr>
          <w:rFonts w:ascii="Times New Roman" w:eastAsia="Times New Roman" w:hAnsi="Times New Roman" w:cs="Times New Roman"/>
          <w:i/>
          <w:color w:val="000000"/>
        </w:rPr>
        <w:t xml:space="preserve"> </w:t>
      </w:r>
      <w:r w:rsidR="00375C22" w:rsidRPr="005D73E0">
        <w:rPr>
          <w:rFonts w:ascii="Times New Roman" w:eastAsia="Times New Roman" w:hAnsi="Times New Roman" w:cs="Times New Roman"/>
          <w:color w:val="000000"/>
        </w:rPr>
        <w:t xml:space="preserve">come una rielaborazione </w:t>
      </w:r>
      <w:r w:rsidR="0044685C" w:rsidRPr="005D73E0">
        <w:rPr>
          <w:rFonts w:ascii="Times New Roman" w:eastAsia="Times New Roman" w:hAnsi="Times New Roman" w:cs="Times New Roman"/>
          <w:color w:val="000000"/>
        </w:rPr>
        <w:t>del</w:t>
      </w:r>
      <w:r w:rsidR="008864CC">
        <w:rPr>
          <w:rFonts w:ascii="Times New Roman" w:eastAsia="Times New Roman" w:hAnsi="Times New Roman" w:cs="Times New Roman"/>
          <w:color w:val="000000"/>
        </w:rPr>
        <w:t xml:space="preserve"> pensiero</w:t>
      </w:r>
      <w:r w:rsidR="0044685C" w:rsidRPr="005D73E0">
        <w:rPr>
          <w:rFonts w:ascii="Times New Roman" w:eastAsia="Times New Roman" w:hAnsi="Times New Roman" w:cs="Times New Roman"/>
          <w:color w:val="000000"/>
        </w:rPr>
        <w:t xml:space="preserve"> di Jakob Böhme.</w:t>
      </w:r>
      <w:r w:rsidR="008864CC">
        <w:rPr>
          <w:rFonts w:ascii="Times New Roman" w:eastAsia="Times New Roman" w:hAnsi="Times New Roman" w:cs="Times New Roman"/>
          <w:color w:val="000000"/>
        </w:rPr>
        <w:t xml:space="preserve"> L’antropologico e </w:t>
      </w:r>
      <w:r w:rsidR="0044685C">
        <w:rPr>
          <w:rFonts w:ascii="Times New Roman" w:eastAsia="Times New Roman" w:hAnsi="Times New Roman" w:cs="Times New Roman"/>
          <w:color w:val="000000"/>
        </w:rPr>
        <w:t>il mi</w:t>
      </w:r>
      <w:r w:rsidR="008864CC">
        <w:rPr>
          <w:rFonts w:ascii="Times New Roman" w:eastAsia="Times New Roman" w:hAnsi="Times New Roman" w:cs="Times New Roman"/>
          <w:color w:val="000000"/>
        </w:rPr>
        <w:t>stico, e</w:t>
      </w:r>
      <w:r w:rsidR="0044685C">
        <w:rPr>
          <w:rFonts w:ascii="Times New Roman" w:eastAsia="Times New Roman" w:hAnsi="Times New Roman" w:cs="Times New Roman"/>
          <w:color w:val="000000"/>
        </w:rPr>
        <w:t xml:space="preserve"> in questo </w:t>
      </w:r>
      <w:r w:rsidR="0044685C" w:rsidRPr="00612F4E">
        <w:rPr>
          <w:rFonts w:ascii="Times New Roman" w:eastAsia="Times New Roman" w:hAnsi="Times New Roman" w:cs="Times New Roman"/>
          <w:color w:val="000000"/>
        </w:rPr>
        <w:t xml:space="preserve">aveva perfettamente ragione Jean Hyppolite, </w:t>
      </w:r>
      <w:r w:rsidR="00375C22" w:rsidRPr="00612F4E">
        <w:rPr>
          <w:rFonts w:ascii="Times New Roman" w:eastAsia="Times New Roman" w:hAnsi="Times New Roman" w:cs="Times New Roman"/>
          <w:color w:val="000000"/>
        </w:rPr>
        <w:t xml:space="preserve">sono </w:t>
      </w:r>
      <w:r w:rsidR="00452D11" w:rsidRPr="00612F4E">
        <w:rPr>
          <w:rFonts w:ascii="Times New Roman" w:eastAsia="Times New Roman" w:hAnsi="Times New Roman" w:cs="Times New Roman"/>
          <w:color w:val="000000"/>
        </w:rPr>
        <w:t xml:space="preserve">gli </w:t>
      </w:r>
      <w:r w:rsidR="00375C22" w:rsidRPr="00612F4E">
        <w:rPr>
          <w:rFonts w:ascii="Times New Roman" w:eastAsia="Times New Roman" w:hAnsi="Times New Roman" w:cs="Times New Roman"/>
          <w:color w:val="000000"/>
        </w:rPr>
        <w:t xml:space="preserve">elementi precipui di questa tappa del cammino </w:t>
      </w:r>
      <w:r w:rsidR="00EF3FD0" w:rsidRPr="00612F4E">
        <w:rPr>
          <w:rFonts w:ascii="Times New Roman" w:eastAsia="Times New Roman" w:hAnsi="Times New Roman" w:cs="Times New Roman"/>
          <w:color w:val="000000"/>
        </w:rPr>
        <w:t>fenomenologico.</w:t>
      </w:r>
      <w:r w:rsidR="003B6E66" w:rsidRPr="00612F4E">
        <w:rPr>
          <w:rFonts w:ascii="Times New Roman" w:eastAsia="Times New Roman" w:hAnsi="Times New Roman" w:cs="Times New Roman"/>
          <w:color w:val="000000"/>
        </w:rPr>
        <w:t xml:space="preserve"> Proprio il mistico è ciò che andremo ad analizzare in quel che segue. Perché la </w:t>
      </w:r>
      <w:r w:rsidR="003B6E66" w:rsidRPr="00612F4E">
        <w:rPr>
          <w:rFonts w:ascii="Times New Roman" w:eastAsia="Times New Roman" w:hAnsi="Times New Roman" w:cs="Times New Roman"/>
          <w:i/>
          <w:color w:val="000000"/>
        </w:rPr>
        <w:t>Ph</w:t>
      </w:r>
      <w:r w:rsidR="00452D11" w:rsidRPr="00612F4E">
        <w:rPr>
          <w:rFonts w:ascii="Times New Roman" w:eastAsia="Times New Roman" w:hAnsi="Times New Roman" w:cs="Times New Roman"/>
          <w:i/>
          <w:color w:val="000000"/>
        </w:rPr>
        <w:t>änomenologie des Geistes</w:t>
      </w:r>
      <w:r w:rsidR="008A164E" w:rsidRPr="00612F4E">
        <w:rPr>
          <w:rFonts w:ascii="Times New Roman" w:eastAsia="Times New Roman" w:hAnsi="Times New Roman" w:cs="Times New Roman"/>
          <w:color w:val="000000"/>
        </w:rPr>
        <w:t xml:space="preserve"> rappresenta </w:t>
      </w:r>
      <w:r w:rsidR="00452D11" w:rsidRPr="00612F4E">
        <w:rPr>
          <w:rFonts w:ascii="Times New Roman" w:eastAsia="Times New Roman" w:hAnsi="Times New Roman" w:cs="Times New Roman"/>
          <w:color w:val="000000"/>
        </w:rPr>
        <w:t>l’acme dell’interpret</w:t>
      </w:r>
      <w:r w:rsidR="004C0234">
        <w:rPr>
          <w:rFonts w:ascii="Times New Roman" w:eastAsia="Times New Roman" w:hAnsi="Times New Roman" w:cs="Times New Roman"/>
          <w:color w:val="000000"/>
        </w:rPr>
        <w:t>azione hegeliana del pensiero</w:t>
      </w:r>
      <w:r w:rsidR="00452D11" w:rsidRPr="00612F4E">
        <w:rPr>
          <w:rFonts w:ascii="Times New Roman" w:eastAsia="Times New Roman" w:hAnsi="Times New Roman" w:cs="Times New Roman"/>
          <w:color w:val="000000"/>
        </w:rPr>
        <w:t xml:space="preserve"> di Jakob Böhme. I concetti </w:t>
      </w:r>
      <w:r w:rsidR="008A164E" w:rsidRPr="00612F4E">
        <w:rPr>
          <w:rFonts w:ascii="Times New Roman" w:eastAsia="Times New Roman" w:hAnsi="Times New Roman" w:cs="Times New Roman"/>
          <w:color w:val="000000"/>
        </w:rPr>
        <w:t xml:space="preserve">della </w:t>
      </w:r>
      <w:r w:rsidR="008A164E" w:rsidRPr="00612F4E">
        <w:rPr>
          <w:rFonts w:ascii="Times New Roman" w:eastAsia="Times New Roman" w:hAnsi="Times New Roman" w:cs="Times New Roman"/>
          <w:i/>
          <w:color w:val="000000"/>
        </w:rPr>
        <w:t>Zorn Gottes</w:t>
      </w:r>
      <w:r w:rsidR="008A164E" w:rsidRPr="00612F4E">
        <w:rPr>
          <w:rFonts w:ascii="Times New Roman" w:eastAsia="Times New Roman" w:hAnsi="Times New Roman" w:cs="Times New Roman"/>
          <w:color w:val="000000"/>
        </w:rPr>
        <w:t xml:space="preserve"> e dell’</w:t>
      </w:r>
      <w:r w:rsidR="008A164E" w:rsidRPr="00612F4E">
        <w:rPr>
          <w:rFonts w:ascii="Times New Roman" w:eastAsia="Times New Roman" w:hAnsi="Times New Roman" w:cs="Times New Roman"/>
          <w:i/>
          <w:color w:val="000000"/>
        </w:rPr>
        <w:t>Abfall</w:t>
      </w:r>
      <w:r w:rsidR="005D73E0" w:rsidRPr="00612F4E">
        <w:rPr>
          <w:rFonts w:ascii="Times New Roman" w:eastAsia="Times New Roman" w:hAnsi="Times New Roman" w:cs="Times New Roman"/>
          <w:color w:val="000000"/>
        </w:rPr>
        <w:t>, già incon</w:t>
      </w:r>
      <w:r w:rsidR="00452D11" w:rsidRPr="00612F4E">
        <w:rPr>
          <w:rFonts w:ascii="Times New Roman" w:eastAsia="Times New Roman" w:hAnsi="Times New Roman" w:cs="Times New Roman"/>
          <w:color w:val="000000"/>
        </w:rPr>
        <w:t xml:space="preserve">trati nel </w:t>
      </w:r>
      <w:r w:rsidR="00452D11" w:rsidRPr="00612F4E">
        <w:rPr>
          <w:rFonts w:ascii="Times New Roman" w:eastAsia="Times New Roman" w:hAnsi="Times New Roman" w:cs="Times New Roman"/>
          <w:i/>
          <w:color w:val="000000"/>
        </w:rPr>
        <w:t>Fragment 49</w:t>
      </w:r>
      <w:r w:rsidR="00452D11" w:rsidRPr="00612F4E">
        <w:rPr>
          <w:rFonts w:ascii="Times New Roman" w:eastAsia="Times New Roman" w:hAnsi="Times New Roman" w:cs="Times New Roman"/>
          <w:color w:val="000000"/>
        </w:rPr>
        <w:t xml:space="preserve"> e nella</w:t>
      </w:r>
      <w:r w:rsidR="004C0234">
        <w:rPr>
          <w:rFonts w:ascii="Times New Roman" w:eastAsia="Times New Roman" w:hAnsi="Times New Roman" w:cs="Times New Roman"/>
          <w:i/>
          <w:color w:val="000000"/>
        </w:rPr>
        <w:t xml:space="preserve"> </w:t>
      </w:r>
      <w:r w:rsidR="004C0234">
        <w:rPr>
          <w:rFonts w:ascii="Times New Roman" w:eastAsia="Times New Roman" w:hAnsi="Times New Roman" w:cs="Times New Roman"/>
          <w:color w:val="000000"/>
        </w:rPr>
        <w:t>logica e metafisica di Jena</w:t>
      </w:r>
      <w:r w:rsidR="00452D11" w:rsidRPr="00612F4E">
        <w:rPr>
          <w:rFonts w:ascii="Times New Roman" w:eastAsia="Times New Roman" w:hAnsi="Times New Roman" w:cs="Times New Roman"/>
          <w:color w:val="000000"/>
        </w:rPr>
        <w:t xml:space="preserve">, troveranno nella </w:t>
      </w:r>
      <w:r w:rsidR="00452D11" w:rsidRPr="00612F4E">
        <w:rPr>
          <w:rFonts w:ascii="Times New Roman" w:eastAsia="Times New Roman" w:hAnsi="Times New Roman" w:cs="Times New Roman"/>
          <w:i/>
          <w:color w:val="000000"/>
        </w:rPr>
        <w:t xml:space="preserve">geoffenbarte Religion </w:t>
      </w:r>
      <w:r w:rsidR="004C0234">
        <w:rPr>
          <w:rFonts w:ascii="Times New Roman" w:eastAsia="Times New Roman" w:hAnsi="Times New Roman" w:cs="Times New Roman"/>
          <w:color w:val="000000"/>
        </w:rPr>
        <w:t>una nuova e</w:t>
      </w:r>
      <w:r w:rsidR="00452D11" w:rsidRPr="00612F4E">
        <w:rPr>
          <w:rFonts w:ascii="Times New Roman" w:eastAsia="Times New Roman" w:hAnsi="Times New Roman" w:cs="Times New Roman"/>
          <w:color w:val="000000"/>
        </w:rPr>
        <w:t xml:space="preserve"> originale interpretazione. </w:t>
      </w:r>
      <w:r w:rsidR="008A164E" w:rsidRPr="00612F4E">
        <w:rPr>
          <w:rFonts w:ascii="Times New Roman" w:eastAsia="Times New Roman" w:hAnsi="Times New Roman" w:cs="Times New Roman"/>
          <w:color w:val="000000"/>
        </w:rPr>
        <w:t>La loro</w:t>
      </w:r>
      <w:r w:rsidR="008864CC">
        <w:rPr>
          <w:rFonts w:ascii="Times New Roman" w:eastAsia="Times New Roman" w:hAnsi="Times New Roman" w:cs="Times New Roman"/>
          <w:color w:val="000000"/>
        </w:rPr>
        <w:t xml:space="preserve"> associazione darà continuità e</w:t>
      </w:r>
      <w:r w:rsidR="008A164E" w:rsidRPr="00612F4E">
        <w:rPr>
          <w:rFonts w:ascii="Times New Roman" w:eastAsia="Times New Roman" w:hAnsi="Times New Roman" w:cs="Times New Roman"/>
          <w:color w:val="000000"/>
        </w:rPr>
        <w:t xml:space="preserve"> ulteriore approfondimento a quelle osservazioni sulla </w:t>
      </w:r>
      <w:r w:rsidR="00452D11" w:rsidRPr="00612F4E">
        <w:rPr>
          <w:rFonts w:ascii="Times New Roman" w:eastAsia="Times New Roman" w:hAnsi="Times New Roman" w:cs="Times New Roman"/>
          <w:color w:val="000000"/>
        </w:rPr>
        <w:t>negatività prima</w:t>
      </w:r>
      <w:r w:rsidR="00DD713E" w:rsidRPr="00612F4E">
        <w:rPr>
          <w:rFonts w:ascii="Times New Roman" w:eastAsia="Times New Roman" w:hAnsi="Times New Roman" w:cs="Times New Roman"/>
          <w:color w:val="000000"/>
        </w:rPr>
        <w:t xml:space="preserve"> </w:t>
      </w:r>
      <w:r w:rsidR="00592A1F" w:rsidRPr="00612F4E">
        <w:rPr>
          <w:rFonts w:ascii="Times New Roman" w:eastAsia="Times New Roman" w:hAnsi="Times New Roman" w:cs="Times New Roman"/>
          <w:color w:val="000000"/>
        </w:rPr>
        <w:t>d</w:t>
      </w:r>
      <w:r w:rsidR="00DD713E" w:rsidRPr="00612F4E">
        <w:rPr>
          <w:rFonts w:ascii="Times New Roman" w:eastAsia="Times New Roman" w:hAnsi="Times New Roman" w:cs="Times New Roman"/>
          <w:color w:val="000000"/>
        </w:rPr>
        <w:t>ell’</w:t>
      </w:r>
      <w:r w:rsidR="008A164E" w:rsidRPr="00612F4E">
        <w:rPr>
          <w:rFonts w:ascii="Times New Roman" w:eastAsia="Times New Roman" w:hAnsi="Times New Roman" w:cs="Times New Roman"/>
          <w:color w:val="000000"/>
        </w:rPr>
        <w:t>autoeguaglianza assoluta svolte nella</w:t>
      </w:r>
      <w:r w:rsidR="00953780" w:rsidRPr="00612F4E">
        <w:rPr>
          <w:rFonts w:ascii="Times New Roman" w:eastAsia="Times New Roman" w:hAnsi="Times New Roman" w:cs="Times New Roman"/>
          <w:color w:val="000000"/>
        </w:rPr>
        <w:t xml:space="preserve"> </w:t>
      </w:r>
      <w:r w:rsidR="00953780" w:rsidRPr="00612F4E">
        <w:rPr>
          <w:rFonts w:ascii="Times New Roman" w:eastAsia="Times New Roman" w:hAnsi="Times New Roman" w:cs="Times New Roman"/>
          <w:i/>
          <w:color w:val="000000"/>
        </w:rPr>
        <w:t>Metaphysik der Subjectivität</w:t>
      </w:r>
      <w:r w:rsidR="00FE3C9F" w:rsidRPr="00612F4E">
        <w:rPr>
          <w:rFonts w:ascii="Times New Roman" w:eastAsia="Times New Roman" w:hAnsi="Times New Roman" w:cs="Times New Roman"/>
          <w:color w:val="000000"/>
        </w:rPr>
        <w:t>.</w:t>
      </w:r>
      <w:r w:rsidR="00FE3C9F">
        <w:rPr>
          <w:rFonts w:ascii="Times New Roman" w:eastAsia="Times New Roman" w:hAnsi="Times New Roman" w:cs="Times New Roman"/>
          <w:color w:val="000000"/>
        </w:rPr>
        <w:t xml:space="preserve"> </w:t>
      </w:r>
    </w:p>
    <w:p w14:paraId="0CFBB204" w14:textId="03E3DD46" w:rsidR="008A432C" w:rsidRDefault="00FE3C9F" w:rsidP="00BE6A0E">
      <w:pPr>
        <w:spacing w:line="360" w:lineRule="auto"/>
        <w:ind w:firstLine="567"/>
        <w:jc w:val="both"/>
        <w:rPr>
          <w:rFonts w:ascii="Times New Roman" w:eastAsia="Times New Roman" w:hAnsi="Times New Roman" w:cs="Times New Roman"/>
          <w:color w:val="000000"/>
        </w:rPr>
      </w:pPr>
      <w:r w:rsidRPr="007755C6">
        <w:rPr>
          <w:rFonts w:ascii="Times New Roman" w:eastAsia="Times New Roman" w:hAnsi="Times New Roman" w:cs="Times New Roman"/>
          <w:color w:val="000000"/>
        </w:rPr>
        <w:t xml:space="preserve">La Grecia classica, </w:t>
      </w:r>
      <w:r w:rsidR="008864CC">
        <w:rPr>
          <w:rFonts w:ascii="Times New Roman" w:eastAsia="Times New Roman" w:hAnsi="Times New Roman" w:cs="Times New Roman"/>
          <w:color w:val="000000"/>
        </w:rPr>
        <w:t>assieme alle sue opere d’arte e</w:t>
      </w:r>
      <w:r w:rsidRPr="007755C6">
        <w:rPr>
          <w:rFonts w:ascii="Times New Roman" w:eastAsia="Times New Roman" w:hAnsi="Times New Roman" w:cs="Times New Roman"/>
          <w:color w:val="000000"/>
        </w:rPr>
        <w:t xml:space="preserve"> alle sue pratiche religiose e sociali, </w:t>
      </w:r>
      <w:r w:rsidR="00915BD1" w:rsidRPr="007755C6">
        <w:rPr>
          <w:rFonts w:ascii="Times New Roman" w:eastAsia="Times New Roman" w:hAnsi="Times New Roman" w:cs="Times New Roman"/>
          <w:color w:val="000000"/>
        </w:rPr>
        <w:t>esaurisce il proprio</w:t>
      </w:r>
      <w:r w:rsidRPr="007755C6">
        <w:rPr>
          <w:rFonts w:ascii="Times New Roman" w:eastAsia="Times New Roman" w:hAnsi="Times New Roman" w:cs="Times New Roman"/>
          <w:color w:val="000000"/>
        </w:rPr>
        <w:t xml:space="preserve"> ciclo cosmico-storico</w:t>
      </w:r>
      <w:r w:rsidR="00280DD0" w:rsidRPr="007755C6">
        <w:rPr>
          <w:rStyle w:val="Rimandonotaapidipagina"/>
          <w:rFonts w:ascii="Times New Roman" w:eastAsia="Times New Roman" w:hAnsi="Times New Roman" w:cs="Times New Roman"/>
          <w:color w:val="000000"/>
        </w:rPr>
        <w:footnoteReference w:id="287"/>
      </w:r>
      <w:r w:rsidRPr="007755C6">
        <w:rPr>
          <w:rFonts w:ascii="Times New Roman" w:eastAsia="Times New Roman" w:hAnsi="Times New Roman" w:cs="Times New Roman"/>
          <w:color w:val="000000"/>
        </w:rPr>
        <w:t xml:space="preserve">: la </w:t>
      </w:r>
      <w:r w:rsidRPr="007755C6">
        <w:rPr>
          <w:rFonts w:ascii="Times New Roman" w:eastAsia="Times New Roman" w:hAnsi="Times New Roman" w:cs="Times New Roman"/>
          <w:i/>
          <w:color w:val="000000"/>
        </w:rPr>
        <w:t>Weltgeschichte</w:t>
      </w:r>
      <w:r w:rsidRPr="007755C6">
        <w:rPr>
          <w:rFonts w:ascii="Times New Roman" w:eastAsia="Times New Roman" w:hAnsi="Times New Roman" w:cs="Times New Roman"/>
          <w:color w:val="000000"/>
        </w:rPr>
        <w:t xml:space="preserve"> vede l’ascesa di Roma e con essa </w:t>
      </w:r>
      <w:r w:rsidR="00294B3D" w:rsidRPr="007755C6">
        <w:rPr>
          <w:rFonts w:ascii="Times New Roman" w:eastAsia="Times New Roman" w:hAnsi="Times New Roman" w:cs="Times New Roman"/>
          <w:color w:val="000000"/>
        </w:rPr>
        <w:t>di una società atomistica</w:t>
      </w:r>
      <w:r w:rsidRPr="007755C6">
        <w:rPr>
          <w:rFonts w:ascii="Times New Roman" w:eastAsia="Times New Roman" w:hAnsi="Times New Roman" w:cs="Times New Roman"/>
          <w:color w:val="000000"/>
        </w:rPr>
        <w:t xml:space="preserve">, dove </w:t>
      </w:r>
      <w:r w:rsidR="003A0CED" w:rsidRPr="007755C6">
        <w:rPr>
          <w:rFonts w:ascii="Times New Roman" w:eastAsia="Times New Roman" w:hAnsi="Times New Roman" w:cs="Times New Roman"/>
          <w:color w:val="000000"/>
        </w:rPr>
        <w:t>assume un valore precipuo</w:t>
      </w:r>
      <w:r w:rsidR="00915BD1" w:rsidRPr="007755C6">
        <w:rPr>
          <w:rFonts w:ascii="Times New Roman" w:eastAsia="Times New Roman" w:hAnsi="Times New Roman" w:cs="Times New Roman"/>
          <w:color w:val="000000"/>
        </w:rPr>
        <w:t xml:space="preserve"> il riconoscimento </w:t>
      </w:r>
      <w:r w:rsidR="0080682F" w:rsidRPr="007755C6">
        <w:rPr>
          <w:rFonts w:ascii="Times New Roman" w:eastAsia="Times New Roman" w:hAnsi="Times New Roman" w:cs="Times New Roman"/>
          <w:color w:val="000000"/>
        </w:rPr>
        <w:t>(</w:t>
      </w:r>
      <w:r w:rsidR="00915BD1" w:rsidRPr="007755C6">
        <w:rPr>
          <w:rFonts w:ascii="Times New Roman" w:eastAsia="Times New Roman" w:hAnsi="Times New Roman" w:cs="Times New Roman"/>
          <w:color w:val="000000"/>
        </w:rPr>
        <w:t>formale</w:t>
      </w:r>
      <w:r w:rsidR="0080682F" w:rsidRPr="007755C6">
        <w:rPr>
          <w:rFonts w:ascii="Times New Roman" w:eastAsia="Times New Roman" w:hAnsi="Times New Roman" w:cs="Times New Roman"/>
          <w:color w:val="000000"/>
        </w:rPr>
        <w:t>)</w:t>
      </w:r>
      <w:r w:rsidR="00915BD1" w:rsidRPr="007755C6">
        <w:rPr>
          <w:rFonts w:ascii="Times New Roman" w:eastAsia="Times New Roman" w:hAnsi="Times New Roman" w:cs="Times New Roman"/>
          <w:color w:val="000000"/>
        </w:rPr>
        <w:t xml:space="preserve"> della personalità giuridica. La religione, che Hegel consi</w:t>
      </w:r>
      <w:r w:rsidR="00F20438" w:rsidRPr="007755C6">
        <w:rPr>
          <w:rFonts w:ascii="Times New Roman" w:eastAsia="Times New Roman" w:hAnsi="Times New Roman" w:cs="Times New Roman"/>
          <w:color w:val="000000"/>
        </w:rPr>
        <w:t xml:space="preserve">dera intrinsecamente connessa con </w:t>
      </w:r>
      <w:r w:rsidR="00915BD1" w:rsidRPr="007755C6">
        <w:rPr>
          <w:rFonts w:ascii="Times New Roman" w:eastAsia="Times New Roman" w:hAnsi="Times New Roman" w:cs="Times New Roman"/>
          <w:color w:val="000000"/>
        </w:rPr>
        <w:t>l’eticità di un popolo, perde la sua centralità e la sua funzione etico-sociale nell’Impero</w:t>
      </w:r>
      <w:r w:rsidR="003A0CED" w:rsidRPr="007755C6">
        <w:rPr>
          <w:rFonts w:ascii="Times New Roman" w:eastAsia="Times New Roman" w:hAnsi="Times New Roman" w:cs="Times New Roman"/>
          <w:color w:val="000000"/>
        </w:rPr>
        <w:t>.</w:t>
      </w:r>
      <w:r w:rsidR="00915BD1" w:rsidRPr="007755C6">
        <w:rPr>
          <w:rFonts w:ascii="Times New Roman" w:eastAsia="Times New Roman" w:hAnsi="Times New Roman" w:cs="Times New Roman"/>
          <w:color w:val="000000"/>
        </w:rPr>
        <w:t xml:space="preserve"> </w:t>
      </w:r>
      <w:r w:rsidR="003A0CED" w:rsidRPr="007755C6">
        <w:rPr>
          <w:rFonts w:ascii="Times New Roman" w:eastAsia="Times New Roman" w:hAnsi="Times New Roman" w:cs="Times New Roman"/>
          <w:color w:val="000000"/>
        </w:rPr>
        <w:t>A</w:t>
      </w:r>
      <w:r w:rsidR="003315F8" w:rsidRPr="007755C6">
        <w:rPr>
          <w:rFonts w:ascii="Times New Roman" w:eastAsia="Times New Roman" w:hAnsi="Times New Roman" w:cs="Times New Roman"/>
          <w:color w:val="000000"/>
        </w:rPr>
        <w:t>l riconoscimento formale della persona</w:t>
      </w:r>
      <w:r w:rsidR="001C1435" w:rsidRPr="007755C6">
        <w:rPr>
          <w:rFonts w:ascii="Times New Roman" w:eastAsia="Times New Roman" w:hAnsi="Times New Roman" w:cs="Times New Roman"/>
          <w:color w:val="000000"/>
        </w:rPr>
        <w:t xml:space="preserve"> giuridica </w:t>
      </w:r>
      <w:r w:rsidR="008864CC">
        <w:rPr>
          <w:rFonts w:ascii="Times New Roman" w:eastAsia="Times New Roman" w:hAnsi="Times New Roman" w:cs="Times New Roman"/>
          <w:color w:val="000000"/>
        </w:rPr>
        <w:t xml:space="preserve">segue </w:t>
      </w:r>
      <w:r w:rsidR="008864CC" w:rsidRPr="000D020D">
        <w:rPr>
          <w:rFonts w:ascii="Times New Roman" w:eastAsia="Times New Roman" w:hAnsi="Times New Roman" w:cs="Times New Roman"/>
          <w:color w:val="000000"/>
        </w:rPr>
        <w:t>il riconoscimento e</w:t>
      </w:r>
      <w:r w:rsidR="003315F8" w:rsidRPr="000D020D">
        <w:rPr>
          <w:rFonts w:ascii="Times New Roman" w:eastAsia="Times New Roman" w:hAnsi="Times New Roman" w:cs="Times New Roman"/>
          <w:color w:val="000000"/>
        </w:rPr>
        <w:t xml:space="preserve"> il raggruppamento di tutti gli</w:t>
      </w:r>
      <w:r w:rsidR="001C1435" w:rsidRPr="000D020D">
        <w:rPr>
          <w:rFonts w:ascii="Times New Roman" w:eastAsia="Times New Roman" w:hAnsi="Times New Roman" w:cs="Times New Roman"/>
          <w:color w:val="000000"/>
        </w:rPr>
        <w:t xml:space="preserve"> dei</w:t>
      </w:r>
      <w:r w:rsidR="003315F8" w:rsidRPr="000D020D">
        <w:rPr>
          <w:rFonts w:ascii="Times New Roman" w:eastAsia="Times New Roman" w:hAnsi="Times New Roman" w:cs="Times New Roman"/>
          <w:color w:val="000000"/>
        </w:rPr>
        <w:t xml:space="preserve"> in un </w:t>
      </w:r>
      <w:r w:rsidR="008A432C" w:rsidRPr="000D020D">
        <w:rPr>
          <w:rFonts w:ascii="Times New Roman" w:eastAsia="Times New Roman" w:hAnsi="Times New Roman" w:cs="Times New Roman"/>
          <w:color w:val="000000"/>
        </w:rPr>
        <w:t xml:space="preserve">unico </w:t>
      </w:r>
      <w:r w:rsidR="00BF05EC" w:rsidRPr="000D020D">
        <w:rPr>
          <w:rFonts w:ascii="Times New Roman" w:eastAsia="Times New Roman" w:hAnsi="Times New Roman" w:cs="Times New Roman"/>
          <w:color w:val="000000"/>
        </w:rPr>
        <w:t>Pantheon</w:t>
      </w:r>
      <w:r w:rsidR="00011682" w:rsidRPr="000D020D">
        <w:rPr>
          <w:rFonts w:ascii="Times New Roman" w:eastAsia="Times New Roman" w:hAnsi="Times New Roman" w:cs="Times New Roman"/>
          <w:color w:val="000000"/>
        </w:rPr>
        <w:t>. Saltati i legami etico-comunitari</w:t>
      </w:r>
      <w:r w:rsidR="00011682">
        <w:rPr>
          <w:rFonts w:ascii="Times New Roman" w:eastAsia="Times New Roman" w:hAnsi="Times New Roman" w:cs="Times New Roman"/>
          <w:color w:val="000000"/>
        </w:rPr>
        <w:t xml:space="preserve">, </w:t>
      </w:r>
      <w:r w:rsidR="003315F8" w:rsidRPr="007755C6">
        <w:rPr>
          <w:rFonts w:ascii="Times New Roman" w:eastAsia="Times New Roman" w:hAnsi="Times New Roman" w:cs="Times New Roman"/>
          <w:color w:val="000000"/>
        </w:rPr>
        <w:t xml:space="preserve">vengono meno anche quelle pratiche rituali e sociali capaci di alimentare e tenere coeso lo spirito </w:t>
      </w:r>
      <w:r w:rsidR="00011682" w:rsidRPr="00011682">
        <w:rPr>
          <w:rFonts w:ascii="Times New Roman" w:eastAsia="Times New Roman" w:hAnsi="Times New Roman" w:cs="Times New Roman"/>
          <w:color w:val="000000"/>
        </w:rPr>
        <w:t>di un popolo</w:t>
      </w:r>
      <w:r w:rsidR="003315F8" w:rsidRPr="00011682">
        <w:rPr>
          <w:rFonts w:ascii="Times New Roman" w:eastAsia="Times New Roman" w:hAnsi="Times New Roman" w:cs="Times New Roman"/>
          <w:color w:val="000000"/>
        </w:rPr>
        <w:t>.</w:t>
      </w:r>
      <w:r w:rsidR="003315F8" w:rsidRPr="007755C6">
        <w:rPr>
          <w:rFonts w:ascii="Times New Roman" w:eastAsia="Times New Roman" w:hAnsi="Times New Roman" w:cs="Times New Roman"/>
          <w:color w:val="000000"/>
        </w:rPr>
        <w:t xml:space="preserve"> È in questa cornice di dispersione</w:t>
      </w:r>
      <w:r w:rsidR="008A432C" w:rsidRPr="007755C6">
        <w:rPr>
          <w:rFonts w:ascii="Times New Roman" w:eastAsia="Times New Roman" w:hAnsi="Times New Roman" w:cs="Times New Roman"/>
          <w:color w:val="000000"/>
        </w:rPr>
        <w:t xml:space="preserve"> etic</w:t>
      </w:r>
      <w:r w:rsidR="003A0CED" w:rsidRPr="007755C6">
        <w:rPr>
          <w:rFonts w:ascii="Times New Roman" w:eastAsia="Times New Roman" w:hAnsi="Times New Roman" w:cs="Times New Roman"/>
          <w:color w:val="000000"/>
        </w:rPr>
        <w:t>o-</w:t>
      </w:r>
      <w:r w:rsidR="008A432C" w:rsidRPr="007755C6">
        <w:rPr>
          <w:rFonts w:ascii="Times New Roman" w:eastAsia="Times New Roman" w:hAnsi="Times New Roman" w:cs="Times New Roman"/>
          <w:color w:val="000000"/>
        </w:rPr>
        <w:t>sociale</w:t>
      </w:r>
      <w:r w:rsidR="00280DD0" w:rsidRPr="007755C6">
        <w:rPr>
          <w:rFonts w:ascii="Times New Roman" w:eastAsia="Times New Roman" w:hAnsi="Times New Roman" w:cs="Times New Roman"/>
          <w:color w:val="000000"/>
        </w:rPr>
        <w:t xml:space="preserve"> che si colloca l’avvento del cristianesimo: </w:t>
      </w:r>
      <w:r w:rsidR="001C1435" w:rsidRPr="007755C6">
        <w:rPr>
          <w:rFonts w:ascii="Times New Roman" w:eastAsia="Times New Roman" w:hAnsi="Times New Roman" w:cs="Times New Roman"/>
          <w:color w:val="000000"/>
        </w:rPr>
        <w:t xml:space="preserve">seconda la </w:t>
      </w:r>
      <w:r w:rsidR="001C1435" w:rsidRPr="007755C6">
        <w:rPr>
          <w:rFonts w:ascii="Times New Roman" w:eastAsia="Times New Roman" w:hAnsi="Times New Roman" w:cs="Times New Roman"/>
          <w:i/>
          <w:color w:val="000000"/>
        </w:rPr>
        <w:t>vulgata</w:t>
      </w:r>
      <w:r w:rsidR="001C1435" w:rsidRPr="007755C6">
        <w:rPr>
          <w:rFonts w:ascii="Times New Roman" w:eastAsia="Times New Roman" w:hAnsi="Times New Roman" w:cs="Times New Roman"/>
          <w:color w:val="000000"/>
        </w:rPr>
        <w:t xml:space="preserve">, </w:t>
      </w:r>
      <w:r w:rsidR="00280DD0" w:rsidRPr="007755C6">
        <w:rPr>
          <w:rFonts w:ascii="Times New Roman" w:eastAsia="Times New Roman" w:hAnsi="Times New Roman" w:cs="Times New Roman"/>
          <w:color w:val="000000"/>
        </w:rPr>
        <w:t xml:space="preserve">Dio si fa uomo, si rivela in un individuo determinato, Gesù, che rende palese il vero contenuto della religione, ossia che </w:t>
      </w:r>
      <w:r w:rsidR="00280DD0" w:rsidRPr="000C1651">
        <w:rPr>
          <w:rFonts w:ascii="Times New Roman" w:eastAsia="Times New Roman" w:hAnsi="Times New Roman" w:cs="Times New Roman"/>
          <w:color w:val="000000"/>
        </w:rPr>
        <w:t>«Gott ist das Selbst – Gott ist Mensch»</w:t>
      </w:r>
      <w:r w:rsidR="00280DD0" w:rsidRPr="007755C6">
        <w:rPr>
          <w:rStyle w:val="Rimandonotaapidipagina"/>
          <w:rFonts w:ascii="Times New Roman" w:eastAsia="Times New Roman" w:hAnsi="Times New Roman" w:cs="Times New Roman"/>
          <w:color w:val="000000"/>
        </w:rPr>
        <w:footnoteReference w:id="288"/>
      </w:r>
      <w:r w:rsidR="00280DD0" w:rsidRPr="007755C6">
        <w:rPr>
          <w:rFonts w:ascii="Times New Roman" w:eastAsia="Times New Roman" w:hAnsi="Times New Roman" w:cs="Times New Roman"/>
          <w:color w:val="000000"/>
        </w:rPr>
        <w:t>.</w:t>
      </w:r>
      <w:r w:rsidR="003A0CED" w:rsidRPr="007755C6">
        <w:rPr>
          <w:rFonts w:ascii="Times New Roman" w:eastAsia="Times New Roman" w:hAnsi="Times New Roman" w:cs="Times New Roman"/>
          <w:color w:val="000000"/>
        </w:rPr>
        <w:t xml:space="preserve"> Dio non è più un’</w:t>
      </w:r>
      <w:r w:rsidR="0084483D" w:rsidRPr="007755C6">
        <w:rPr>
          <w:rFonts w:ascii="Times New Roman" w:eastAsia="Times New Roman" w:hAnsi="Times New Roman" w:cs="Times New Roman"/>
          <w:color w:val="000000"/>
        </w:rPr>
        <w:t xml:space="preserve">essenza astratta, o un mero </w:t>
      </w:r>
      <w:r w:rsidR="0084483D" w:rsidRPr="007755C6">
        <w:rPr>
          <w:rFonts w:ascii="Times New Roman" w:eastAsia="Times New Roman" w:hAnsi="Times New Roman" w:cs="Times New Roman"/>
          <w:i/>
          <w:color w:val="000000"/>
        </w:rPr>
        <w:t>Jenseits</w:t>
      </w:r>
      <w:r w:rsidR="0084483D" w:rsidRPr="007755C6">
        <w:rPr>
          <w:rFonts w:ascii="Times New Roman" w:eastAsia="Times New Roman" w:hAnsi="Times New Roman" w:cs="Times New Roman"/>
          <w:color w:val="000000"/>
        </w:rPr>
        <w:t>, ma è presente come sostanza vivente e particolarizzata, che parla e</w:t>
      </w:r>
      <w:r w:rsidR="001C1435" w:rsidRPr="007755C6">
        <w:rPr>
          <w:rFonts w:ascii="Times New Roman" w:eastAsia="Times New Roman" w:hAnsi="Times New Roman" w:cs="Times New Roman"/>
          <w:color w:val="000000"/>
        </w:rPr>
        <w:t xml:space="preserve"> cammina in mezzo agli </w:t>
      </w:r>
      <w:r w:rsidR="001C1435">
        <w:rPr>
          <w:rFonts w:ascii="Times New Roman" w:eastAsia="Times New Roman" w:hAnsi="Times New Roman" w:cs="Times New Roman"/>
          <w:color w:val="000000"/>
        </w:rPr>
        <w:t xml:space="preserve">uomini. </w:t>
      </w:r>
      <w:r w:rsidR="0084483D">
        <w:rPr>
          <w:rFonts w:ascii="Times New Roman" w:eastAsia="Times New Roman" w:hAnsi="Times New Roman" w:cs="Times New Roman"/>
          <w:color w:val="000000"/>
        </w:rPr>
        <w:t>Il dramma del cristianesimo, il punto focale intor</w:t>
      </w:r>
      <w:r w:rsidR="00F20438">
        <w:rPr>
          <w:rFonts w:ascii="Times New Roman" w:eastAsia="Times New Roman" w:hAnsi="Times New Roman" w:cs="Times New Roman"/>
          <w:color w:val="000000"/>
        </w:rPr>
        <w:t>no a cui ruota tanto la teologi</w:t>
      </w:r>
      <w:r w:rsidR="004C0234">
        <w:rPr>
          <w:rFonts w:ascii="Times New Roman" w:eastAsia="Times New Roman" w:hAnsi="Times New Roman" w:cs="Times New Roman"/>
          <w:color w:val="000000"/>
        </w:rPr>
        <w:t>a</w:t>
      </w:r>
      <w:r w:rsidR="0084483D">
        <w:rPr>
          <w:rFonts w:ascii="Times New Roman" w:eastAsia="Times New Roman" w:hAnsi="Times New Roman" w:cs="Times New Roman"/>
          <w:color w:val="000000"/>
        </w:rPr>
        <w:t xml:space="preserve"> quanto l’etica cristiana, è la morte di Dio. </w:t>
      </w:r>
      <w:r w:rsidR="0084483D" w:rsidRPr="0058562A">
        <w:rPr>
          <w:rFonts w:ascii="Times New Roman" w:eastAsia="Times New Roman" w:hAnsi="Times New Roman" w:cs="Times New Roman"/>
          <w:color w:val="000000"/>
        </w:rPr>
        <w:t>«Gott gestorben ist»</w:t>
      </w:r>
      <w:r w:rsidR="0084483D" w:rsidRPr="0084483D">
        <w:rPr>
          <w:rStyle w:val="Rimandonotaapidipagina"/>
          <w:rFonts w:ascii="Times New Roman" w:eastAsia="Times New Roman" w:hAnsi="Times New Roman" w:cs="Times New Roman"/>
          <w:color w:val="000000"/>
        </w:rPr>
        <w:footnoteReference w:id="289"/>
      </w:r>
      <w:r w:rsidR="0084483D" w:rsidRPr="0084483D">
        <w:rPr>
          <w:rFonts w:ascii="Times New Roman" w:eastAsia="Times New Roman" w:hAnsi="Times New Roman" w:cs="Times New Roman"/>
          <w:color w:val="000000"/>
        </w:rPr>
        <w:t>:</w:t>
      </w:r>
      <w:r w:rsidR="0084483D">
        <w:rPr>
          <w:rFonts w:ascii="Times New Roman" w:eastAsia="Times New Roman" w:hAnsi="Times New Roman" w:cs="Times New Roman"/>
          <w:color w:val="000000"/>
        </w:rPr>
        <w:t xml:space="preserve"> ciò che prima era attuale si trasforma in un oggetto della memoria, ciò che era essere (</w:t>
      </w:r>
      <w:r w:rsidR="0084483D" w:rsidRPr="0084483D">
        <w:rPr>
          <w:rFonts w:ascii="Times New Roman" w:eastAsia="Times New Roman" w:hAnsi="Times New Roman" w:cs="Times New Roman"/>
          <w:i/>
          <w:color w:val="000000"/>
        </w:rPr>
        <w:t>Sein</w:t>
      </w:r>
      <w:r w:rsidR="0084483D">
        <w:rPr>
          <w:rFonts w:ascii="Times New Roman" w:eastAsia="Times New Roman" w:hAnsi="Times New Roman" w:cs="Times New Roman"/>
          <w:color w:val="000000"/>
        </w:rPr>
        <w:t xml:space="preserve">) </w:t>
      </w:r>
      <w:r w:rsidR="00495F98">
        <w:rPr>
          <w:rFonts w:ascii="Times New Roman" w:eastAsia="Times New Roman" w:hAnsi="Times New Roman" w:cs="Times New Roman"/>
          <w:color w:val="000000"/>
        </w:rPr>
        <w:t xml:space="preserve">trapassa in un </w:t>
      </w:r>
      <w:r w:rsidR="0084483D">
        <w:rPr>
          <w:rFonts w:ascii="Times New Roman" w:eastAsia="Times New Roman" w:hAnsi="Times New Roman" w:cs="Times New Roman"/>
          <w:color w:val="000000"/>
        </w:rPr>
        <w:t>essere-stato (</w:t>
      </w:r>
      <w:r w:rsidR="0084483D" w:rsidRPr="0084483D">
        <w:rPr>
          <w:rFonts w:ascii="Times New Roman" w:eastAsia="Times New Roman" w:hAnsi="Times New Roman" w:cs="Times New Roman"/>
          <w:i/>
          <w:color w:val="000000"/>
        </w:rPr>
        <w:t>Gewesensein</w:t>
      </w:r>
      <w:r w:rsidR="0084483D">
        <w:rPr>
          <w:rFonts w:ascii="Times New Roman" w:eastAsia="Times New Roman" w:hAnsi="Times New Roman" w:cs="Times New Roman"/>
          <w:color w:val="000000"/>
        </w:rPr>
        <w:t>)</w:t>
      </w:r>
      <w:r w:rsidR="00A73450">
        <w:rPr>
          <w:rStyle w:val="Rimandonotaapidipagina"/>
          <w:rFonts w:ascii="Times New Roman" w:eastAsia="Times New Roman" w:hAnsi="Times New Roman" w:cs="Times New Roman"/>
          <w:color w:val="000000"/>
        </w:rPr>
        <w:footnoteReference w:id="290"/>
      </w:r>
      <w:r w:rsidR="00495F98">
        <w:rPr>
          <w:rFonts w:ascii="Times New Roman" w:eastAsia="Times New Roman" w:hAnsi="Times New Roman" w:cs="Times New Roman"/>
          <w:color w:val="000000"/>
        </w:rPr>
        <w:t xml:space="preserve">. </w:t>
      </w:r>
      <w:r w:rsidR="00495F98" w:rsidRPr="00B03EE8">
        <w:rPr>
          <w:rFonts w:ascii="Times New Roman" w:eastAsia="Times New Roman" w:hAnsi="Times New Roman" w:cs="Times New Roman"/>
          <w:color w:val="000000"/>
        </w:rPr>
        <w:t>Se questo momento segnava</w:t>
      </w:r>
      <w:r w:rsidR="00495F98" w:rsidRPr="00AB0FAD">
        <w:rPr>
          <w:rFonts w:ascii="Times New Roman" w:eastAsia="Times New Roman" w:hAnsi="Times New Roman" w:cs="Times New Roman"/>
          <w:color w:val="000000"/>
        </w:rPr>
        <w:t xml:space="preserve">, almeno negli </w:t>
      </w:r>
      <w:r w:rsidR="00495F98" w:rsidRPr="00AB0FAD">
        <w:rPr>
          <w:rFonts w:ascii="Times New Roman" w:eastAsia="Times New Roman" w:hAnsi="Times New Roman" w:cs="Times New Roman"/>
          <w:i/>
          <w:color w:val="000000"/>
        </w:rPr>
        <w:t>Jugendschriften</w:t>
      </w:r>
      <w:r w:rsidR="00495F98" w:rsidRPr="00AB0FAD">
        <w:rPr>
          <w:rFonts w:ascii="Times New Roman" w:eastAsia="Times New Roman" w:hAnsi="Times New Roman" w:cs="Times New Roman"/>
          <w:color w:val="000000"/>
        </w:rPr>
        <w:t xml:space="preserve">, un punto di non ritorno per </w:t>
      </w:r>
      <w:r w:rsidR="003A0CED" w:rsidRPr="00AB0FAD">
        <w:rPr>
          <w:rFonts w:ascii="Times New Roman" w:eastAsia="Times New Roman" w:hAnsi="Times New Roman" w:cs="Times New Roman"/>
          <w:color w:val="000000"/>
        </w:rPr>
        <w:t>la comunità cristiana primitiva</w:t>
      </w:r>
      <w:r w:rsidR="00495F98" w:rsidRPr="00AB0FAD">
        <w:rPr>
          <w:rFonts w:ascii="Times New Roman" w:eastAsia="Times New Roman" w:hAnsi="Times New Roman" w:cs="Times New Roman"/>
          <w:color w:val="000000"/>
        </w:rPr>
        <w:t xml:space="preserve"> che, persa la sua guida, ricadeva in una serie d’opposiz</w:t>
      </w:r>
      <w:r w:rsidR="009E309B" w:rsidRPr="00AB0FAD">
        <w:rPr>
          <w:rFonts w:ascii="Times New Roman" w:eastAsia="Times New Roman" w:hAnsi="Times New Roman" w:cs="Times New Roman"/>
          <w:color w:val="000000"/>
        </w:rPr>
        <w:t>ioni riconducibili alla spiritualità ebrai</w:t>
      </w:r>
      <w:r w:rsidR="00787977" w:rsidRPr="00AB0FAD">
        <w:rPr>
          <w:rFonts w:ascii="Times New Roman" w:eastAsia="Times New Roman" w:hAnsi="Times New Roman" w:cs="Times New Roman"/>
          <w:color w:val="000000"/>
        </w:rPr>
        <w:t>c</w:t>
      </w:r>
      <w:r w:rsidR="009E309B" w:rsidRPr="00AB0FAD">
        <w:rPr>
          <w:rFonts w:ascii="Times New Roman" w:eastAsia="Times New Roman" w:hAnsi="Times New Roman" w:cs="Times New Roman"/>
          <w:color w:val="000000"/>
        </w:rPr>
        <w:t>a</w:t>
      </w:r>
      <w:r w:rsidR="004C0234" w:rsidRPr="00AB0FAD">
        <w:rPr>
          <w:rStyle w:val="Rimandonotaapidipagina"/>
          <w:rFonts w:ascii="Times New Roman" w:eastAsia="Times New Roman" w:hAnsi="Times New Roman" w:cs="Times New Roman"/>
          <w:color w:val="000000"/>
        </w:rPr>
        <w:footnoteReference w:id="291"/>
      </w:r>
      <w:r w:rsidR="00787977" w:rsidRPr="00AB0FAD">
        <w:rPr>
          <w:rFonts w:ascii="Times New Roman" w:eastAsia="Times New Roman" w:hAnsi="Times New Roman" w:cs="Times New Roman"/>
          <w:color w:val="000000"/>
        </w:rPr>
        <w:t>,</w:t>
      </w:r>
      <w:r w:rsidR="00787977" w:rsidRPr="00B03EE8">
        <w:rPr>
          <w:rFonts w:ascii="Times New Roman" w:eastAsia="Times New Roman" w:hAnsi="Times New Roman" w:cs="Times New Roman"/>
          <w:color w:val="000000"/>
        </w:rPr>
        <w:t xml:space="preserve"> adesso</w:t>
      </w:r>
      <w:r w:rsidR="00495F98" w:rsidRPr="00B03EE8">
        <w:rPr>
          <w:rFonts w:ascii="Times New Roman" w:eastAsia="Times New Roman" w:hAnsi="Times New Roman" w:cs="Times New Roman"/>
          <w:color w:val="000000"/>
        </w:rPr>
        <w:t xml:space="preserve"> questo passaggio dalla sfera dell’essere a quella </w:t>
      </w:r>
      <w:r w:rsidR="00231CEF" w:rsidRPr="00B03EE8">
        <w:rPr>
          <w:rFonts w:ascii="Times New Roman" w:eastAsia="Times New Roman" w:hAnsi="Times New Roman" w:cs="Times New Roman"/>
          <w:color w:val="000000"/>
        </w:rPr>
        <w:t>dell’esser</w:t>
      </w:r>
      <w:r w:rsidR="00572690" w:rsidRPr="00B03EE8">
        <w:rPr>
          <w:rFonts w:ascii="Times New Roman" w:eastAsia="Times New Roman" w:hAnsi="Times New Roman" w:cs="Times New Roman"/>
          <w:color w:val="000000"/>
        </w:rPr>
        <w:t xml:space="preserve"> </w:t>
      </w:r>
      <w:r w:rsidR="00294B3D" w:rsidRPr="00B03EE8">
        <w:rPr>
          <w:rFonts w:ascii="Times New Roman" w:eastAsia="Times New Roman" w:hAnsi="Times New Roman" w:cs="Times New Roman"/>
          <w:color w:val="000000"/>
        </w:rPr>
        <w:t>sta</w:t>
      </w:r>
      <w:r w:rsidR="00231CEF" w:rsidRPr="00B03EE8">
        <w:rPr>
          <w:rFonts w:ascii="Times New Roman" w:eastAsia="Times New Roman" w:hAnsi="Times New Roman" w:cs="Times New Roman"/>
          <w:color w:val="000000"/>
        </w:rPr>
        <w:t>to viene reinterpretat</w:t>
      </w:r>
      <w:r w:rsidR="00495F98" w:rsidRPr="00B03EE8">
        <w:rPr>
          <w:rFonts w:ascii="Times New Roman" w:eastAsia="Times New Roman" w:hAnsi="Times New Roman" w:cs="Times New Roman"/>
          <w:color w:val="000000"/>
        </w:rPr>
        <w:t>a da Hegel alla luce delle implicazioni teoretiche in essa contenute.</w:t>
      </w:r>
      <w:r w:rsidR="00495F98" w:rsidRPr="007755C6">
        <w:rPr>
          <w:rFonts w:ascii="Times New Roman" w:eastAsia="Times New Roman" w:hAnsi="Times New Roman" w:cs="Times New Roman"/>
          <w:color w:val="000000"/>
        </w:rPr>
        <w:t xml:space="preserve"> </w:t>
      </w:r>
      <w:r w:rsidR="00294B3D" w:rsidRPr="007755C6">
        <w:rPr>
          <w:rFonts w:ascii="Times New Roman" w:eastAsia="Times New Roman" w:hAnsi="Times New Roman" w:cs="Times New Roman"/>
          <w:color w:val="000000"/>
        </w:rPr>
        <w:t>Cosa significa che Dio</w:t>
      </w:r>
      <w:r w:rsidR="00231CEF" w:rsidRPr="007755C6">
        <w:rPr>
          <w:rFonts w:ascii="Times New Roman" w:eastAsia="Times New Roman" w:hAnsi="Times New Roman" w:cs="Times New Roman"/>
          <w:color w:val="000000"/>
        </w:rPr>
        <w:t xml:space="preserve"> diviene</w:t>
      </w:r>
      <w:r w:rsidR="00294B3D" w:rsidRPr="007755C6">
        <w:rPr>
          <w:rFonts w:ascii="Times New Roman" w:eastAsia="Times New Roman" w:hAnsi="Times New Roman" w:cs="Times New Roman"/>
          <w:color w:val="000000"/>
        </w:rPr>
        <w:t>, dismettendo la propria eterna autoeguaglianza, al fine di passare n</w:t>
      </w:r>
      <w:r w:rsidR="00231CEF" w:rsidRPr="007755C6">
        <w:rPr>
          <w:rFonts w:ascii="Times New Roman" w:eastAsia="Times New Roman" w:hAnsi="Times New Roman" w:cs="Times New Roman"/>
          <w:color w:val="000000"/>
        </w:rPr>
        <w:t xml:space="preserve">el </w:t>
      </w:r>
      <w:r w:rsidR="00231CEF" w:rsidRPr="007755C6">
        <w:rPr>
          <w:rFonts w:ascii="Times New Roman" w:eastAsia="Times New Roman" w:hAnsi="Times New Roman" w:cs="Times New Roman"/>
          <w:i/>
          <w:color w:val="000000"/>
        </w:rPr>
        <w:t>Gewesensein</w:t>
      </w:r>
      <w:r w:rsidR="00231CEF" w:rsidRPr="007755C6">
        <w:rPr>
          <w:rFonts w:ascii="Times New Roman" w:eastAsia="Times New Roman" w:hAnsi="Times New Roman" w:cs="Times New Roman"/>
          <w:color w:val="000000"/>
        </w:rPr>
        <w:t>?</w:t>
      </w:r>
      <w:r w:rsidR="00C91F25">
        <w:rPr>
          <w:rFonts w:ascii="Times New Roman" w:eastAsia="Times New Roman" w:hAnsi="Times New Roman" w:cs="Times New Roman"/>
          <w:color w:val="000000"/>
        </w:rPr>
        <w:t xml:space="preserve"> Questa domanda, che si collega</w:t>
      </w:r>
      <w:r w:rsidR="000557CE">
        <w:rPr>
          <w:rFonts w:ascii="Times New Roman" w:eastAsia="Times New Roman" w:hAnsi="Times New Roman" w:cs="Times New Roman"/>
          <w:color w:val="000000"/>
        </w:rPr>
        <w:t xml:space="preserve"> bene o male con la </w:t>
      </w:r>
      <w:r w:rsidR="00C91F25">
        <w:rPr>
          <w:rFonts w:ascii="Times New Roman" w:eastAsia="Times New Roman" w:hAnsi="Times New Roman" w:cs="Times New Roman"/>
          <w:color w:val="000000"/>
        </w:rPr>
        <w:t>morte di Gesù, porta</w:t>
      </w:r>
      <w:r w:rsidR="00231CEF">
        <w:rPr>
          <w:rFonts w:ascii="Times New Roman" w:eastAsia="Times New Roman" w:hAnsi="Times New Roman" w:cs="Times New Roman"/>
          <w:color w:val="000000"/>
        </w:rPr>
        <w:t xml:space="preserve"> Hegel ad introdurre la teoria cristiana della </w:t>
      </w:r>
      <w:r w:rsidR="00C8574F">
        <w:rPr>
          <w:rFonts w:ascii="Times New Roman" w:eastAsia="Times New Roman" w:hAnsi="Times New Roman" w:cs="Times New Roman"/>
          <w:color w:val="000000"/>
        </w:rPr>
        <w:t>Trinità.</w:t>
      </w:r>
      <w:r w:rsidR="00495F98">
        <w:rPr>
          <w:rFonts w:ascii="Times New Roman" w:eastAsia="Times New Roman" w:hAnsi="Times New Roman" w:cs="Times New Roman"/>
          <w:color w:val="000000"/>
        </w:rPr>
        <w:t xml:space="preserve"> </w:t>
      </w:r>
      <w:r w:rsidR="00231CEF">
        <w:rPr>
          <w:rFonts w:ascii="Times New Roman" w:eastAsia="Times New Roman" w:hAnsi="Times New Roman" w:cs="Times New Roman"/>
          <w:color w:val="000000"/>
        </w:rPr>
        <w:t xml:space="preserve">Non dobbiamo aspettarci da Hegel una ricostruzione storicamente </w:t>
      </w:r>
      <w:r w:rsidR="007E4145">
        <w:rPr>
          <w:rFonts w:ascii="Times New Roman" w:eastAsia="Times New Roman" w:hAnsi="Times New Roman" w:cs="Times New Roman"/>
          <w:color w:val="000000"/>
        </w:rPr>
        <w:t xml:space="preserve">puntuale di un problema teorico che </w:t>
      </w:r>
      <w:r w:rsidR="00787977">
        <w:rPr>
          <w:rFonts w:ascii="Times New Roman" w:eastAsia="Times New Roman" w:hAnsi="Times New Roman" w:cs="Times New Roman"/>
          <w:color w:val="000000"/>
        </w:rPr>
        <w:t xml:space="preserve">fu al centro </w:t>
      </w:r>
      <w:r w:rsidR="00C8574F">
        <w:rPr>
          <w:rFonts w:ascii="Times New Roman" w:eastAsia="Times New Roman" w:hAnsi="Times New Roman" w:cs="Times New Roman"/>
          <w:color w:val="000000"/>
        </w:rPr>
        <w:t>della</w:t>
      </w:r>
      <w:r w:rsidR="00495F98">
        <w:rPr>
          <w:rFonts w:ascii="Times New Roman" w:eastAsia="Times New Roman" w:hAnsi="Times New Roman" w:cs="Times New Roman"/>
          <w:color w:val="000000"/>
        </w:rPr>
        <w:t xml:space="preserve"> riflessione </w:t>
      </w:r>
      <w:r w:rsidR="007E4145">
        <w:rPr>
          <w:rFonts w:ascii="Times New Roman" w:eastAsia="Times New Roman" w:hAnsi="Times New Roman" w:cs="Times New Roman"/>
          <w:color w:val="000000"/>
        </w:rPr>
        <w:t xml:space="preserve">patristica e medioevale. La </w:t>
      </w:r>
      <w:r w:rsidR="007E4145" w:rsidRPr="007E4145">
        <w:rPr>
          <w:rFonts w:ascii="Times New Roman" w:eastAsia="Times New Roman" w:hAnsi="Times New Roman" w:cs="Times New Roman"/>
          <w:i/>
          <w:color w:val="000000"/>
        </w:rPr>
        <w:t>Phänomenologie</w:t>
      </w:r>
      <w:r w:rsidR="007E4145">
        <w:rPr>
          <w:rFonts w:ascii="Times New Roman" w:eastAsia="Times New Roman" w:hAnsi="Times New Roman" w:cs="Times New Roman"/>
          <w:i/>
          <w:color w:val="000000"/>
        </w:rPr>
        <w:t xml:space="preserve"> des Geistes</w:t>
      </w:r>
      <w:r w:rsidR="007E4145">
        <w:rPr>
          <w:rFonts w:ascii="Times New Roman" w:eastAsia="Times New Roman" w:hAnsi="Times New Roman" w:cs="Times New Roman"/>
          <w:color w:val="000000"/>
        </w:rPr>
        <w:t xml:space="preserve">, del resto, mira ad essere una </w:t>
      </w:r>
      <w:r w:rsidR="007E4145" w:rsidRPr="000C1651">
        <w:rPr>
          <w:rFonts w:ascii="Times New Roman" w:eastAsia="Times New Roman" w:hAnsi="Times New Roman" w:cs="Times New Roman"/>
          <w:color w:val="000000"/>
        </w:rPr>
        <w:t>«begriffne Geschichte»</w:t>
      </w:r>
      <w:r w:rsidR="007E4145" w:rsidRPr="00E22C09">
        <w:rPr>
          <w:rStyle w:val="Rimandonotaapidipagina"/>
          <w:rFonts w:ascii="Times New Roman" w:eastAsia="Times New Roman" w:hAnsi="Times New Roman" w:cs="Times New Roman"/>
          <w:color w:val="000000"/>
        </w:rPr>
        <w:footnoteReference w:id="292"/>
      </w:r>
      <w:r w:rsidR="000557CE" w:rsidRPr="00E22C09">
        <w:rPr>
          <w:rFonts w:ascii="Times New Roman" w:eastAsia="Times New Roman" w:hAnsi="Times New Roman" w:cs="Times New Roman"/>
          <w:color w:val="000000"/>
        </w:rPr>
        <w:t>, ossia</w:t>
      </w:r>
      <w:r w:rsidR="000557CE">
        <w:rPr>
          <w:rFonts w:ascii="Times New Roman" w:eastAsia="Times New Roman" w:hAnsi="Times New Roman" w:cs="Times New Roman"/>
          <w:color w:val="000000"/>
        </w:rPr>
        <w:t xml:space="preserve"> una conservazione del lato accidentale</w:t>
      </w:r>
      <w:r w:rsidR="00403AAB">
        <w:rPr>
          <w:rFonts w:ascii="Times New Roman" w:eastAsia="Times New Roman" w:hAnsi="Times New Roman" w:cs="Times New Roman"/>
          <w:color w:val="000000"/>
        </w:rPr>
        <w:t xml:space="preserve"> </w:t>
      </w:r>
      <w:r w:rsidR="000557CE">
        <w:rPr>
          <w:rFonts w:ascii="Times New Roman" w:eastAsia="Times New Roman" w:hAnsi="Times New Roman" w:cs="Times New Roman"/>
          <w:color w:val="000000"/>
        </w:rPr>
        <w:t>dei f</w:t>
      </w:r>
      <w:r w:rsidR="00787977">
        <w:rPr>
          <w:rFonts w:ascii="Times New Roman" w:eastAsia="Times New Roman" w:hAnsi="Times New Roman" w:cs="Times New Roman"/>
          <w:color w:val="000000"/>
        </w:rPr>
        <w:t>enomeni e</w:t>
      </w:r>
      <w:r w:rsidR="000557CE">
        <w:rPr>
          <w:rFonts w:ascii="Times New Roman" w:eastAsia="Times New Roman" w:hAnsi="Times New Roman" w:cs="Times New Roman"/>
          <w:color w:val="000000"/>
        </w:rPr>
        <w:t xml:space="preserve"> una organizzazione concettuale del materiale tratto dal divenire </w:t>
      </w:r>
      <w:r w:rsidR="000318EF">
        <w:rPr>
          <w:rFonts w:ascii="Times New Roman" w:eastAsia="Times New Roman" w:hAnsi="Times New Roman" w:cs="Times New Roman"/>
          <w:color w:val="000000"/>
        </w:rPr>
        <w:t>storico. Organizzare concettualmente</w:t>
      </w:r>
      <w:r w:rsidR="000557CE">
        <w:rPr>
          <w:rFonts w:ascii="Times New Roman" w:eastAsia="Times New Roman" w:hAnsi="Times New Roman" w:cs="Times New Roman"/>
          <w:color w:val="000000"/>
        </w:rPr>
        <w:t xml:space="preserve"> sign</w:t>
      </w:r>
      <w:r w:rsidR="008F3361">
        <w:rPr>
          <w:rFonts w:ascii="Times New Roman" w:eastAsia="Times New Roman" w:hAnsi="Times New Roman" w:cs="Times New Roman"/>
          <w:color w:val="000000"/>
        </w:rPr>
        <w:t>ifica fare delle cernite e delle</w:t>
      </w:r>
      <w:r w:rsidR="000557CE">
        <w:rPr>
          <w:rFonts w:ascii="Times New Roman" w:eastAsia="Times New Roman" w:hAnsi="Times New Roman" w:cs="Times New Roman"/>
          <w:color w:val="000000"/>
        </w:rPr>
        <w:t xml:space="preserve"> scelte interpretative ben precise: nel caso in questione, si tratta di condensare una discussione plurisecolare e d’evidenziare ciò che di </w:t>
      </w:r>
      <w:r w:rsidR="000557CE" w:rsidRPr="00563138">
        <w:rPr>
          <w:rFonts w:ascii="Times New Roman" w:eastAsia="Times New Roman" w:hAnsi="Times New Roman" w:cs="Times New Roman"/>
          <w:i/>
          <w:color w:val="000000"/>
        </w:rPr>
        <w:t>speculativo</w:t>
      </w:r>
      <w:r w:rsidR="00C8574F">
        <w:rPr>
          <w:rFonts w:ascii="Times New Roman" w:eastAsia="Times New Roman" w:hAnsi="Times New Roman" w:cs="Times New Roman"/>
          <w:color w:val="000000"/>
        </w:rPr>
        <w:t xml:space="preserve"> è stato raggiunto dal </w:t>
      </w:r>
      <w:r w:rsidR="000557CE">
        <w:rPr>
          <w:rFonts w:ascii="Times New Roman" w:eastAsia="Times New Roman" w:hAnsi="Times New Roman" w:cs="Times New Roman"/>
          <w:color w:val="000000"/>
        </w:rPr>
        <w:t>pensiero cristiano</w:t>
      </w:r>
      <w:r w:rsidR="00C84654">
        <w:rPr>
          <w:rFonts w:ascii="Times New Roman" w:eastAsia="Times New Roman" w:hAnsi="Times New Roman" w:cs="Times New Roman"/>
          <w:color w:val="000000"/>
        </w:rPr>
        <w:t xml:space="preserve">. </w:t>
      </w:r>
    </w:p>
    <w:p w14:paraId="0BCECBA8" w14:textId="4DC4C1C9" w:rsidR="00280DD0" w:rsidRDefault="008A432C" w:rsidP="00DE57F1">
      <w:pPr>
        <w:spacing w:line="360" w:lineRule="auto"/>
        <w:ind w:firstLine="567"/>
        <w:jc w:val="both"/>
        <w:rPr>
          <w:rFonts w:ascii="Times New Roman" w:eastAsia="Times New Roman" w:hAnsi="Times New Roman" w:cs="Times New Roman"/>
          <w:color w:val="000000"/>
        </w:rPr>
      </w:pPr>
      <w:r w:rsidRPr="002559E3">
        <w:rPr>
          <w:rFonts w:ascii="Times New Roman" w:eastAsia="Times New Roman" w:hAnsi="Times New Roman" w:cs="Times New Roman"/>
          <w:color w:val="000000"/>
        </w:rPr>
        <w:t>Entra</w:t>
      </w:r>
      <w:r w:rsidR="00C8574F" w:rsidRPr="002559E3">
        <w:rPr>
          <w:rFonts w:ascii="Times New Roman" w:eastAsia="Times New Roman" w:hAnsi="Times New Roman" w:cs="Times New Roman"/>
          <w:color w:val="000000"/>
        </w:rPr>
        <w:t xml:space="preserve">ndo </w:t>
      </w:r>
      <w:r w:rsidR="00C84654" w:rsidRPr="002559E3">
        <w:rPr>
          <w:rFonts w:ascii="Times New Roman" w:eastAsia="Times New Roman" w:hAnsi="Times New Roman" w:cs="Times New Roman"/>
          <w:color w:val="000000"/>
        </w:rPr>
        <w:t>nel m</w:t>
      </w:r>
      <w:r w:rsidR="007755C6" w:rsidRPr="002559E3">
        <w:rPr>
          <w:rFonts w:ascii="Times New Roman" w:eastAsia="Times New Roman" w:hAnsi="Times New Roman" w:cs="Times New Roman"/>
          <w:color w:val="000000"/>
        </w:rPr>
        <w:t>erito della questione, si può sostene</w:t>
      </w:r>
      <w:r w:rsidR="00C84654" w:rsidRPr="002559E3">
        <w:rPr>
          <w:rFonts w:ascii="Times New Roman" w:eastAsia="Times New Roman" w:hAnsi="Times New Roman" w:cs="Times New Roman"/>
          <w:color w:val="000000"/>
        </w:rPr>
        <w:t>re che</w:t>
      </w:r>
      <w:r w:rsidR="00403AAB" w:rsidRPr="002559E3">
        <w:rPr>
          <w:rFonts w:ascii="Times New Roman" w:eastAsia="Times New Roman" w:hAnsi="Times New Roman" w:cs="Times New Roman"/>
          <w:color w:val="000000"/>
        </w:rPr>
        <w:t xml:space="preserve"> la teoria della Trinità presentataci da Hegel nella parte centrale della </w:t>
      </w:r>
      <w:r w:rsidR="00403AAB" w:rsidRPr="002559E3">
        <w:rPr>
          <w:rFonts w:ascii="Times New Roman" w:eastAsia="Times New Roman" w:hAnsi="Times New Roman" w:cs="Times New Roman"/>
          <w:i/>
          <w:color w:val="000000"/>
        </w:rPr>
        <w:t xml:space="preserve">geoffenbarte Religion </w:t>
      </w:r>
      <w:r w:rsidR="004458FB">
        <w:rPr>
          <w:rFonts w:ascii="Times New Roman" w:eastAsia="Times New Roman" w:hAnsi="Times New Roman" w:cs="Times New Roman"/>
          <w:color w:val="000000"/>
        </w:rPr>
        <w:t>ricalca</w:t>
      </w:r>
      <w:r w:rsidR="00403AAB" w:rsidRPr="002559E3">
        <w:rPr>
          <w:rFonts w:ascii="Times New Roman" w:eastAsia="Times New Roman" w:hAnsi="Times New Roman" w:cs="Times New Roman"/>
          <w:color w:val="000000"/>
        </w:rPr>
        <w:t xml:space="preserve"> quel </w:t>
      </w:r>
      <w:r w:rsidR="009B5EAB" w:rsidRPr="002559E3">
        <w:rPr>
          <w:rFonts w:ascii="Times New Roman" w:eastAsia="Times New Roman" w:hAnsi="Times New Roman" w:cs="Times New Roman"/>
          <w:color w:val="000000"/>
        </w:rPr>
        <w:t xml:space="preserve">modello </w:t>
      </w:r>
      <w:r w:rsidR="00403AAB" w:rsidRPr="002559E3">
        <w:rPr>
          <w:rFonts w:ascii="Times New Roman" w:eastAsia="Times New Roman" w:hAnsi="Times New Roman" w:cs="Times New Roman"/>
          <w:color w:val="000000"/>
        </w:rPr>
        <w:t xml:space="preserve">di soggettività assoluta </w:t>
      </w:r>
      <w:r w:rsidR="00E22C09" w:rsidRPr="002559E3">
        <w:rPr>
          <w:rFonts w:ascii="Times New Roman" w:eastAsia="Times New Roman" w:hAnsi="Times New Roman" w:cs="Times New Roman"/>
          <w:color w:val="000000"/>
        </w:rPr>
        <w:t>discusso</w:t>
      </w:r>
      <w:r w:rsidR="00DE32C5" w:rsidRPr="002559E3">
        <w:rPr>
          <w:rFonts w:ascii="Times New Roman" w:eastAsia="Times New Roman" w:hAnsi="Times New Roman" w:cs="Times New Roman"/>
          <w:color w:val="000000"/>
        </w:rPr>
        <w:t xml:space="preserve"> nei precedenti sottocapitoli</w:t>
      </w:r>
      <w:r w:rsidR="00403AAB" w:rsidRPr="002559E3">
        <w:rPr>
          <w:rFonts w:ascii="Times New Roman" w:eastAsia="Times New Roman" w:hAnsi="Times New Roman" w:cs="Times New Roman"/>
          <w:color w:val="000000"/>
        </w:rPr>
        <w:t xml:space="preserve">. Già nelle </w:t>
      </w:r>
      <w:r w:rsidR="00403AAB" w:rsidRPr="002559E3">
        <w:rPr>
          <w:rFonts w:ascii="Times New Roman" w:eastAsia="Times New Roman" w:hAnsi="Times New Roman" w:cs="Times New Roman"/>
          <w:i/>
          <w:color w:val="000000"/>
        </w:rPr>
        <w:t>Vorlesungen über die Naturphilosohpie</w:t>
      </w:r>
      <w:r w:rsidR="00403AAB" w:rsidRPr="00403AAB">
        <w:rPr>
          <w:rFonts w:ascii="Times New Roman" w:eastAsia="Times New Roman" w:hAnsi="Times New Roman" w:cs="Times New Roman"/>
          <w:i/>
          <w:color w:val="000000"/>
        </w:rPr>
        <w:t xml:space="preserve"> und die Philosophie des Geistes 1805/06</w:t>
      </w:r>
      <w:r w:rsidR="00403AAB">
        <w:rPr>
          <w:rFonts w:ascii="Times New Roman" w:eastAsia="Times New Roman" w:hAnsi="Times New Roman" w:cs="Times New Roman"/>
          <w:color w:val="000000"/>
        </w:rPr>
        <w:t>,</w:t>
      </w:r>
      <w:r w:rsidR="000E08DE">
        <w:rPr>
          <w:rFonts w:ascii="Times New Roman" w:eastAsia="Times New Roman" w:hAnsi="Times New Roman" w:cs="Times New Roman"/>
          <w:color w:val="000000"/>
        </w:rPr>
        <w:t xml:space="preserve"> ed è utile fare questa precisazione,</w:t>
      </w:r>
      <w:r w:rsidR="00403AAB">
        <w:rPr>
          <w:rFonts w:ascii="Times New Roman" w:eastAsia="Times New Roman" w:hAnsi="Times New Roman" w:cs="Times New Roman"/>
          <w:color w:val="000000"/>
        </w:rPr>
        <w:t xml:space="preserve"> Hegel aveva</w:t>
      </w:r>
      <w:r w:rsidR="000E08DE">
        <w:rPr>
          <w:rFonts w:ascii="Times New Roman" w:eastAsia="Times New Roman" w:hAnsi="Times New Roman" w:cs="Times New Roman"/>
          <w:color w:val="000000"/>
        </w:rPr>
        <w:t xml:space="preserve"> </w:t>
      </w:r>
      <w:r w:rsidR="007717DA">
        <w:rPr>
          <w:rFonts w:ascii="Times New Roman" w:eastAsia="Times New Roman" w:hAnsi="Times New Roman" w:cs="Times New Roman"/>
          <w:color w:val="000000"/>
        </w:rPr>
        <w:t>tratteggiato un’immagine della Trinità</w:t>
      </w:r>
      <w:r w:rsidR="00403AAB">
        <w:rPr>
          <w:rFonts w:ascii="Times New Roman" w:eastAsia="Times New Roman" w:hAnsi="Times New Roman" w:cs="Times New Roman"/>
          <w:color w:val="000000"/>
        </w:rPr>
        <w:t xml:space="preserve"> </w:t>
      </w:r>
      <w:r w:rsidR="007717DA">
        <w:rPr>
          <w:rFonts w:ascii="Times New Roman" w:eastAsia="Times New Roman" w:hAnsi="Times New Roman" w:cs="Times New Roman"/>
          <w:color w:val="000000"/>
        </w:rPr>
        <w:t>affine a quella</w:t>
      </w:r>
      <w:r w:rsidR="000E08DE">
        <w:rPr>
          <w:rFonts w:ascii="Times New Roman" w:eastAsia="Times New Roman" w:hAnsi="Times New Roman" w:cs="Times New Roman"/>
          <w:color w:val="000000"/>
        </w:rPr>
        <w:t xml:space="preserve"> del </w:t>
      </w:r>
      <w:r w:rsidR="000E08DE" w:rsidRPr="000E08DE">
        <w:rPr>
          <w:rFonts w:ascii="Times New Roman" w:eastAsia="Times New Roman" w:hAnsi="Times New Roman" w:cs="Times New Roman"/>
          <w:i/>
          <w:color w:val="000000"/>
        </w:rPr>
        <w:t>Religionskapitel</w:t>
      </w:r>
      <w:r w:rsidR="00403AAB">
        <w:rPr>
          <w:rFonts w:ascii="Times New Roman" w:eastAsia="Times New Roman" w:hAnsi="Times New Roman" w:cs="Times New Roman"/>
          <w:color w:val="000000"/>
        </w:rPr>
        <w:t>:</w:t>
      </w:r>
      <w:r w:rsidR="000E08DE">
        <w:rPr>
          <w:rFonts w:ascii="Times New Roman" w:eastAsia="Times New Roman" w:hAnsi="Times New Roman" w:cs="Times New Roman"/>
          <w:color w:val="000000"/>
        </w:rPr>
        <w:t xml:space="preserve"> </w:t>
      </w:r>
      <w:r w:rsidR="000E08DE" w:rsidRPr="00ED161A">
        <w:rPr>
          <w:rFonts w:ascii="Times New Roman" w:eastAsia="Times New Roman" w:hAnsi="Times New Roman" w:cs="Times New Roman"/>
          <w:color w:val="000000"/>
        </w:rPr>
        <w:t>«daß Gott der Geist ist – diß ist der Inhalt der Religion und der Gegenstand der Bewußtsein – α) des reinen Bewußtseins α) ewige Wesen, Sohn, und Gesit, hier alle dasselbe Wesen; nicht der Unterschied, die Gleichgültigkeit des unmittelbaren Seins gesetzt»</w:t>
      </w:r>
      <w:r w:rsidR="000E08DE" w:rsidRPr="00ED161A">
        <w:rPr>
          <w:rStyle w:val="Rimandonotaapidipagina"/>
          <w:rFonts w:ascii="Times New Roman" w:eastAsia="Times New Roman" w:hAnsi="Times New Roman" w:cs="Times New Roman"/>
          <w:color w:val="000000"/>
        </w:rPr>
        <w:footnoteReference w:id="293"/>
      </w:r>
      <w:r w:rsidR="000E08DE" w:rsidRPr="00ED161A">
        <w:rPr>
          <w:rFonts w:ascii="Times New Roman" w:eastAsia="Times New Roman" w:hAnsi="Times New Roman" w:cs="Times New Roman"/>
          <w:color w:val="000000"/>
        </w:rPr>
        <w:t>.</w:t>
      </w:r>
      <w:r w:rsidR="000E08DE" w:rsidRPr="000E08DE">
        <w:rPr>
          <w:rFonts w:ascii="Times New Roman" w:eastAsia="Times New Roman" w:hAnsi="Times New Roman" w:cs="Times New Roman"/>
          <w:i/>
          <w:color w:val="000000"/>
        </w:rPr>
        <w:t xml:space="preserve"> </w:t>
      </w:r>
      <w:r w:rsidR="00BE6A0E">
        <w:rPr>
          <w:rFonts w:ascii="Times New Roman" w:eastAsia="Times New Roman" w:hAnsi="Times New Roman" w:cs="Times New Roman"/>
          <w:color w:val="000000"/>
        </w:rPr>
        <w:t>Lo</w:t>
      </w:r>
      <w:r w:rsidR="007717DA">
        <w:rPr>
          <w:rFonts w:ascii="Times New Roman" w:eastAsia="Times New Roman" w:hAnsi="Times New Roman" w:cs="Times New Roman"/>
          <w:color w:val="000000"/>
        </w:rPr>
        <w:t xml:space="preserve"> sch</w:t>
      </w:r>
      <w:r w:rsidR="004D45EF">
        <w:rPr>
          <w:rFonts w:ascii="Times New Roman" w:eastAsia="Times New Roman" w:hAnsi="Times New Roman" w:cs="Times New Roman"/>
          <w:color w:val="000000"/>
        </w:rPr>
        <w:t>ema trinitar</w:t>
      </w:r>
      <w:r w:rsidR="007717DA">
        <w:rPr>
          <w:rFonts w:ascii="Times New Roman" w:eastAsia="Times New Roman" w:hAnsi="Times New Roman" w:cs="Times New Roman"/>
          <w:color w:val="000000"/>
        </w:rPr>
        <w:t xml:space="preserve">io riportato presenta un’uguaglianza </w:t>
      </w:r>
      <w:r w:rsidR="004D45EF">
        <w:rPr>
          <w:rFonts w:ascii="Times New Roman" w:eastAsia="Times New Roman" w:hAnsi="Times New Roman" w:cs="Times New Roman"/>
          <w:color w:val="000000"/>
        </w:rPr>
        <w:t xml:space="preserve">assoluta </w:t>
      </w:r>
      <w:r w:rsidR="007717DA">
        <w:rPr>
          <w:rFonts w:ascii="Times New Roman" w:eastAsia="Times New Roman" w:hAnsi="Times New Roman" w:cs="Times New Roman"/>
          <w:color w:val="000000"/>
        </w:rPr>
        <w:t>delle tre persone divine</w:t>
      </w:r>
      <w:r w:rsidR="004D45EF">
        <w:rPr>
          <w:rFonts w:ascii="Times New Roman" w:eastAsia="Times New Roman" w:hAnsi="Times New Roman" w:cs="Times New Roman"/>
          <w:color w:val="000000"/>
        </w:rPr>
        <w:t>. In questo passo hegeliano,</w:t>
      </w:r>
      <w:r w:rsidR="00BE6A0E">
        <w:rPr>
          <w:rFonts w:ascii="Times New Roman" w:eastAsia="Times New Roman" w:hAnsi="Times New Roman" w:cs="Times New Roman"/>
          <w:color w:val="000000"/>
        </w:rPr>
        <w:t xml:space="preserve"> però,</w:t>
      </w:r>
      <w:r w:rsidR="004D45EF">
        <w:rPr>
          <w:rFonts w:ascii="Times New Roman" w:eastAsia="Times New Roman" w:hAnsi="Times New Roman" w:cs="Times New Roman"/>
          <w:color w:val="000000"/>
        </w:rPr>
        <w:t xml:space="preserve"> </w:t>
      </w:r>
      <w:r w:rsidR="00872FC9">
        <w:rPr>
          <w:rFonts w:ascii="Times New Roman" w:eastAsia="Times New Roman" w:hAnsi="Times New Roman" w:cs="Times New Roman"/>
          <w:color w:val="000000"/>
        </w:rPr>
        <w:t xml:space="preserve">è omesso </w:t>
      </w:r>
      <w:r w:rsidR="004D45EF">
        <w:rPr>
          <w:rFonts w:ascii="Times New Roman" w:eastAsia="Times New Roman" w:hAnsi="Times New Roman" w:cs="Times New Roman"/>
          <w:color w:val="000000"/>
        </w:rPr>
        <w:t>sia l’</w:t>
      </w:r>
      <w:r w:rsidR="00E22C09">
        <w:rPr>
          <w:rFonts w:ascii="Times New Roman" w:eastAsia="Times New Roman" w:hAnsi="Times New Roman" w:cs="Times New Roman"/>
          <w:color w:val="000000"/>
        </w:rPr>
        <w:t>auto</w:t>
      </w:r>
      <w:r w:rsidR="004D45EF">
        <w:rPr>
          <w:rFonts w:ascii="Times New Roman" w:eastAsia="Times New Roman" w:hAnsi="Times New Roman" w:cs="Times New Roman"/>
          <w:color w:val="000000"/>
        </w:rPr>
        <w:t xml:space="preserve">movimento dell’essenza assoluta, che </w:t>
      </w:r>
      <w:r w:rsidR="007717DA">
        <w:rPr>
          <w:rFonts w:ascii="Times New Roman" w:eastAsia="Times New Roman" w:hAnsi="Times New Roman" w:cs="Times New Roman"/>
          <w:color w:val="000000"/>
        </w:rPr>
        <w:t xml:space="preserve">il </w:t>
      </w:r>
      <w:r w:rsidR="004D45EF">
        <w:rPr>
          <w:rFonts w:ascii="Times New Roman" w:eastAsia="Times New Roman" w:hAnsi="Times New Roman" w:cs="Times New Roman"/>
          <w:color w:val="000000"/>
        </w:rPr>
        <w:t xml:space="preserve">suo </w:t>
      </w:r>
      <w:r w:rsidR="007717DA">
        <w:rPr>
          <w:rFonts w:ascii="Times New Roman" w:eastAsia="Times New Roman" w:hAnsi="Times New Roman" w:cs="Times New Roman"/>
          <w:color w:val="000000"/>
        </w:rPr>
        <w:t>distinguersi</w:t>
      </w:r>
      <w:r w:rsidR="00B03EE8">
        <w:rPr>
          <w:rFonts w:ascii="Times New Roman" w:eastAsia="Times New Roman" w:hAnsi="Times New Roman" w:cs="Times New Roman"/>
          <w:color w:val="000000"/>
        </w:rPr>
        <w:t xml:space="preserve"> in tre persone distinte</w:t>
      </w:r>
      <w:r w:rsidR="004D45EF">
        <w:rPr>
          <w:rFonts w:ascii="Times New Roman" w:eastAsia="Times New Roman" w:hAnsi="Times New Roman" w:cs="Times New Roman"/>
          <w:color w:val="000000"/>
        </w:rPr>
        <w:t xml:space="preserve"> e identiche ad un tempo</w:t>
      </w:r>
      <w:r w:rsidR="007717DA">
        <w:rPr>
          <w:rFonts w:ascii="Times New Roman" w:eastAsia="Times New Roman" w:hAnsi="Times New Roman" w:cs="Times New Roman"/>
          <w:color w:val="000000"/>
        </w:rPr>
        <w:t xml:space="preserve">. Non vi è, in altre parole, dinamica di sviluppo, ma soltanto identità formale. </w:t>
      </w:r>
      <w:r w:rsidR="007717DA" w:rsidRPr="007755C6">
        <w:rPr>
          <w:rFonts w:ascii="Times New Roman" w:eastAsia="Times New Roman" w:hAnsi="Times New Roman" w:cs="Times New Roman"/>
          <w:color w:val="000000"/>
        </w:rPr>
        <w:t xml:space="preserve">A questo livello d’astrazione, </w:t>
      </w:r>
      <w:r w:rsidR="00BE6A0E" w:rsidRPr="007755C6">
        <w:rPr>
          <w:rFonts w:ascii="Times New Roman" w:eastAsia="Times New Roman" w:hAnsi="Times New Roman" w:cs="Times New Roman"/>
          <w:color w:val="000000"/>
        </w:rPr>
        <w:t xml:space="preserve">così </w:t>
      </w:r>
      <w:r w:rsidR="00E22C09" w:rsidRPr="007755C6">
        <w:rPr>
          <w:rFonts w:ascii="Times New Roman" w:eastAsia="Times New Roman" w:hAnsi="Times New Roman" w:cs="Times New Roman"/>
          <w:color w:val="000000"/>
        </w:rPr>
        <w:t>sembra dire</w:t>
      </w:r>
      <w:r w:rsidR="00872FC9" w:rsidRPr="007755C6">
        <w:rPr>
          <w:rFonts w:ascii="Times New Roman" w:eastAsia="Times New Roman" w:hAnsi="Times New Roman" w:cs="Times New Roman"/>
          <w:color w:val="000000"/>
        </w:rPr>
        <w:t xml:space="preserve"> </w:t>
      </w:r>
      <w:r w:rsidR="004D45EF" w:rsidRPr="007755C6">
        <w:rPr>
          <w:rFonts w:ascii="Times New Roman" w:eastAsia="Times New Roman" w:hAnsi="Times New Roman" w:cs="Times New Roman"/>
          <w:color w:val="000000"/>
        </w:rPr>
        <w:t xml:space="preserve">Hegel, è improprio parlare di un’autoeguaglianza </w:t>
      </w:r>
      <w:r w:rsidR="001837A5" w:rsidRPr="007755C6">
        <w:rPr>
          <w:rFonts w:ascii="Times New Roman" w:eastAsia="Times New Roman" w:hAnsi="Times New Roman" w:cs="Times New Roman"/>
          <w:color w:val="000000"/>
        </w:rPr>
        <w:t xml:space="preserve">concretamente realizzata. </w:t>
      </w:r>
      <w:r w:rsidR="00DE57F1" w:rsidRPr="007755C6">
        <w:rPr>
          <w:rFonts w:ascii="Times New Roman" w:eastAsia="Times New Roman" w:hAnsi="Times New Roman" w:cs="Times New Roman"/>
          <w:color w:val="000000"/>
        </w:rPr>
        <w:t>N</w:t>
      </w:r>
      <w:r w:rsidR="001837A5" w:rsidRPr="007755C6">
        <w:rPr>
          <w:rFonts w:ascii="Times New Roman" w:eastAsia="Times New Roman" w:hAnsi="Times New Roman" w:cs="Times New Roman"/>
          <w:color w:val="000000"/>
        </w:rPr>
        <w:t xml:space="preserve">ella </w:t>
      </w:r>
      <w:r w:rsidR="004D45EF" w:rsidRPr="007755C6">
        <w:rPr>
          <w:rFonts w:ascii="Times New Roman" w:eastAsia="Times New Roman" w:hAnsi="Times New Roman" w:cs="Times New Roman"/>
          <w:color w:val="000000"/>
        </w:rPr>
        <w:t xml:space="preserve">sua autogenerazione eterna, la natura divina </w:t>
      </w:r>
      <w:r w:rsidR="006523ED" w:rsidRPr="007755C6">
        <w:rPr>
          <w:rFonts w:ascii="Times New Roman" w:eastAsia="Times New Roman" w:hAnsi="Times New Roman" w:cs="Times New Roman"/>
          <w:color w:val="000000"/>
        </w:rPr>
        <w:t>resta</w:t>
      </w:r>
      <w:r w:rsidR="00E34420" w:rsidRPr="007755C6">
        <w:rPr>
          <w:rFonts w:ascii="Times New Roman" w:eastAsia="Times New Roman" w:hAnsi="Times New Roman" w:cs="Times New Roman"/>
          <w:color w:val="000000"/>
        </w:rPr>
        <w:t xml:space="preserve"> </w:t>
      </w:r>
      <w:r w:rsidR="006523ED" w:rsidRPr="007755C6">
        <w:rPr>
          <w:rFonts w:ascii="Times New Roman" w:eastAsia="Times New Roman" w:hAnsi="Times New Roman" w:cs="Times New Roman"/>
          <w:color w:val="000000"/>
        </w:rPr>
        <w:t>astratta</w:t>
      </w:r>
      <w:r w:rsidR="00BE6A0E" w:rsidRPr="007755C6">
        <w:rPr>
          <w:rFonts w:ascii="Times New Roman" w:eastAsia="Times New Roman" w:hAnsi="Times New Roman" w:cs="Times New Roman"/>
          <w:color w:val="000000"/>
        </w:rPr>
        <w:t xml:space="preserve"> e</w:t>
      </w:r>
      <w:r w:rsidR="006523ED" w:rsidRPr="007755C6">
        <w:rPr>
          <w:rFonts w:ascii="Times New Roman" w:eastAsia="Times New Roman" w:hAnsi="Times New Roman" w:cs="Times New Roman"/>
          <w:color w:val="000000"/>
        </w:rPr>
        <w:t xml:space="preserve"> indeterminata</w:t>
      </w:r>
      <w:r w:rsidR="00BE6A0E" w:rsidRPr="007755C6">
        <w:rPr>
          <w:rFonts w:ascii="Times New Roman" w:eastAsia="Times New Roman" w:hAnsi="Times New Roman" w:cs="Times New Roman"/>
          <w:color w:val="000000"/>
        </w:rPr>
        <w:t>.</w:t>
      </w:r>
      <w:r w:rsidR="00112B7C" w:rsidRPr="007755C6">
        <w:rPr>
          <w:rFonts w:ascii="Times New Roman" w:eastAsia="Times New Roman" w:hAnsi="Times New Roman" w:cs="Times New Roman"/>
          <w:color w:val="000000"/>
        </w:rPr>
        <w:t xml:space="preserve"> </w:t>
      </w:r>
      <w:r w:rsidR="00DE57F1" w:rsidRPr="007755C6">
        <w:rPr>
          <w:rFonts w:ascii="Times New Roman" w:eastAsia="Times New Roman" w:hAnsi="Times New Roman" w:cs="Times New Roman"/>
          <w:color w:val="000000"/>
        </w:rPr>
        <w:t>Contrariamente a questo paradigma relazionale, l</w:t>
      </w:r>
      <w:r w:rsidR="004D45EF" w:rsidRPr="007755C6">
        <w:rPr>
          <w:rFonts w:ascii="Times New Roman" w:eastAsia="Times New Roman" w:hAnsi="Times New Roman" w:cs="Times New Roman"/>
          <w:color w:val="000000"/>
        </w:rPr>
        <w:t>a</w:t>
      </w:r>
      <w:r w:rsidR="004D45EF" w:rsidRPr="006376B8">
        <w:rPr>
          <w:rFonts w:ascii="Times New Roman" w:eastAsia="Times New Roman" w:hAnsi="Times New Roman" w:cs="Times New Roman"/>
          <w:color w:val="000000"/>
        </w:rPr>
        <w:t xml:space="preserve"> </w:t>
      </w:r>
      <w:r w:rsidR="004D45EF" w:rsidRPr="006376B8">
        <w:rPr>
          <w:rFonts w:ascii="Times New Roman" w:eastAsia="Times New Roman" w:hAnsi="Times New Roman" w:cs="Times New Roman"/>
          <w:i/>
          <w:color w:val="000000"/>
        </w:rPr>
        <w:t>geoffenbarte Religion</w:t>
      </w:r>
      <w:r w:rsidR="00E22C09">
        <w:rPr>
          <w:rFonts w:ascii="Times New Roman" w:eastAsia="Times New Roman" w:hAnsi="Times New Roman" w:cs="Times New Roman"/>
          <w:color w:val="000000"/>
        </w:rPr>
        <w:t xml:space="preserve"> </w:t>
      </w:r>
      <w:r w:rsidR="006523ED">
        <w:rPr>
          <w:rFonts w:ascii="Times New Roman" w:eastAsia="Times New Roman" w:hAnsi="Times New Roman" w:cs="Times New Roman"/>
          <w:color w:val="000000"/>
        </w:rPr>
        <w:t>offre</w:t>
      </w:r>
      <w:r w:rsidR="00DE57F1">
        <w:rPr>
          <w:rFonts w:ascii="Times New Roman" w:eastAsia="Times New Roman" w:hAnsi="Times New Roman" w:cs="Times New Roman"/>
          <w:color w:val="000000"/>
        </w:rPr>
        <w:t xml:space="preserve"> </w:t>
      </w:r>
      <w:r w:rsidR="001837A5" w:rsidRPr="006376B8">
        <w:rPr>
          <w:rFonts w:ascii="Times New Roman" w:eastAsia="Times New Roman" w:hAnsi="Times New Roman" w:cs="Times New Roman"/>
          <w:color w:val="000000"/>
        </w:rPr>
        <w:t xml:space="preserve">una </w:t>
      </w:r>
      <w:r w:rsidR="00BE6A0E" w:rsidRPr="006376B8">
        <w:rPr>
          <w:rFonts w:ascii="Times New Roman" w:eastAsia="Times New Roman" w:hAnsi="Times New Roman" w:cs="Times New Roman"/>
          <w:color w:val="000000"/>
        </w:rPr>
        <w:t xml:space="preserve">descrizione </w:t>
      </w:r>
      <w:r w:rsidR="004D45EF" w:rsidRPr="006376B8">
        <w:rPr>
          <w:rFonts w:ascii="Times New Roman" w:eastAsia="Times New Roman" w:hAnsi="Times New Roman" w:cs="Times New Roman"/>
          <w:color w:val="000000"/>
        </w:rPr>
        <w:t>della personalità divina</w:t>
      </w:r>
      <w:r w:rsidRPr="006376B8">
        <w:rPr>
          <w:rFonts w:ascii="Times New Roman" w:eastAsia="Times New Roman" w:hAnsi="Times New Roman" w:cs="Times New Roman"/>
          <w:color w:val="000000"/>
        </w:rPr>
        <w:t xml:space="preserve"> </w:t>
      </w:r>
      <w:r w:rsidR="00C42DB2" w:rsidRPr="006376B8">
        <w:rPr>
          <w:rFonts w:ascii="Times New Roman" w:eastAsia="Times New Roman" w:hAnsi="Times New Roman" w:cs="Times New Roman"/>
          <w:color w:val="000000"/>
        </w:rPr>
        <w:t xml:space="preserve">che procede </w:t>
      </w:r>
      <w:r w:rsidR="006B67A7" w:rsidRPr="006376B8">
        <w:rPr>
          <w:rFonts w:ascii="Times New Roman" w:eastAsia="Times New Roman" w:hAnsi="Times New Roman" w:cs="Times New Roman"/>
          <w:color w:val="000000"/>
        </w:rPr>
        <w:t xml:space="preserve">oltre </w:t>
      </w:r>
      <w:r w:rsidR="00BE6A0E" w:rsidRPr="006376B8">
        <w:rPr>
          <w:rFonts w:ascii="Times New Roman" w:eastAsia="Times New Roman" w:hAnsi="Times New Roman" w:cs="Times New Roman"/>
          <w:color w:val="000000"/>
        </w:rPr>
        <w:t>l’orizzonte teorico dell’identità astratta o dell’universalità semplice:</w:t>
      </w:r>
      <w:r w:rsidR="001837A5">
        <w:rPr>
          <w:rFonts w:ascii="Times New Roman" w:eastAsia="Times New Roman" w:hAnsi="Times New Roman" w:cs="Times New Roman"/>
          <w:color w:val="000000"/>
        </w:rPr>
        <w:t xml:space="preserve"> </w:t>
      </w:r>
    </w:p>
    <w:p w14:paraId="0676FF73" w14:textId="77777777" w:rsidR="00BE6A0E" w:rsidRDefault="00BE6A0E" w:rsidP="00BE6A0E">
      <w:pPr>
        <w:spacing w:line="360" w:lineRule="auto"/>
        <w:ind w:firstLine="567"/>
        <w:jc w:val="both"/>
        <w:rPr>
          <w:rFonts w:ascii="Times New Roman" w:eastAsia="Times New Roman" w:hAnsi="Times New Roman" w:cs="Times New Roman"/>
          <w:color w:val="000000"/>
        </w:rPr>
      </w:pPr>
    </w:p>
    <w:p w14:paraId="1E329AA6" w14:textId="1874C155" w:rsidR="00BE6A0E" w:rsidRPr="00ED161A" w:rsidRDefault="00BE6A0E" w:rsidP="00E22C09">
      <w:pPr>
        <w:spacing w:line="360" w:lineRule="auto"/>
        <w:ind w:left="567" w:firstLine="567"/>
        <w:jc w:val="both"/>
        <w:rPr>
          <w:rFonts w:ascii="Times New Roman" w:eastAsia="Times New Roman" w:hAnsi="Times New Roman" w:cs="Times New Roman"/>
          <w:color w:val="000000"/>
          <w:sz w:val="20"/>
          <w:szCs w:val="20"/>
        </w:rPr>
      </w:pPr>
      <w:r w:rsidRPr="00ED161A">
        <w:rPr>
          <w:rFonts w:ascii="Times New Roman" w:eastAsia="Times New Roman" w:hAnsi="Times New Roman" w:cs="Times New Roman"/>
          <w:color w:val="000000"/>
          <w:sz w:val="20"/>
          <w:szCs w:val="20"/>
        </w:rPr>
        <w:t>«Das einfache</w:t>
      </w:r>
      <w:r w:rsidR="00D07862" w:rsidRPr="00ED161A">
        <w:rPr>
          <w:rFonts w:ascii="Times New Roman" w:eastAsia="Times New Roman" w:hAnsi="Times New Roman" w:cs="Times New Roman"/>
          <w:color w:val="000000"/>
          <w:sz w:val="20"/>
          <w:szCs w:val="20"/>
        </w:rPr>
        <w:t xml:space="preserve"> Wesen aber, weil es die Abstrac</w:t>
      </w:r>
      <w:r w:rsidRPr="00ED161A">
        <w:rPr>
          <w:rFonts w:ascii="Times New Roman" w:eastAsia="Times New Roman" w:hAnsi="Times New Roman" w:cs="Times New Roman"/>
          <w:color w:val="000000"/>
          <w:sz w:val="20"/>
          <w:szCs w:val="20"/>
        </w:rPr>
        <w:t>tion ist</w:t>
      </w:r>
      <w:r w:rsidR="00D07862" w:rsidRPr="00ED161A">
        <w:rPr>
          <w:rFonts w:ascii="Times New Roman" w:eastAsia="Times New Roman" w:hAnsi="Times New Roman" w:cs="Times New Roman"/>
          <w:color w:val="000000"/>
          <w:sz w:val="20"/>
          <w:szCs w:val="20"/>
        </w:rPr>
        <w:t>, ist es in der That das negative an sich selbst, und zwar die Negativität des Denkens oder sie wie sie im Wesen an sich ist; d.h. es ist der absolute Unterschiede von sich, oder sein reines Anderswerden. Als Wesen ist es nur an sich oder für uns; aber indem diese Reinheit eben die Abstraction oder die Negativität ist, ist es f</w:t>
      </w:r>
      <w:r w:rsidR="00EA50DE" w:rsidRPr="00ED161A">
        <w:rPr>
          <w:rFonts w:ascii="Times New Roman" w:eastAsia="Times New Roman" w:hAnsi="Times New Roman" w:cs="Times New Roman"/>
          <w:color w:val="000000"/>
          <w:sz w:val="20"/>
          <w:szCs w:val="20"/>
        </w:rPr>
        <w:t>ür sich selbst, oder das Selbst</w:t>
      </w:r>
      <w:r w:rsidR="00A93054" w:rsidRPr="00ED161A">
        <w:rPr>
          <w:rFonts w:ascii="Times New Roman" w:eastAsia="Times New Roman" w:hAnsi="Times New Roman" w:cs="Times New Roman"/>
          <w:color w:val="000000"/>
          <w:sz w:val="20"/>
          <w:szCs w:val="20"/>
        </w:rPr>
        <w:t>,</w:t>
      </w:r>
      <w:r w:rsidR="00D07862" w:rsidRPr="00ED161A">
        <w:rPr>
          <w:rFonts w:ascii="Times New Roman" w:eastAsia="Times New Roman" w:hAnsi="Times New Roman" w:cs="Times New Roman"/>
          <w:color w:val="000000"/>
          <w:sz w:val="20"/>
          <w:szCs w:val="20"/>
        </w:rPr>
        <w:t xml:space="preserve"> der Begriff. – Es ist also gegenständlich […] Aber in diesem Andersseyn ist es ebenso unmittelbar in sich zurückgekehrt; denn der Unterschied ist Unterschid an sich, d.h. er</w:t>
      </w:r>
      <w:r w:rsidR="00EA50DE" w:rsidRPr="00ED161A">
        <w:rPr>
          <w:rFonts w:ascii="Times New Roman" w:eastAsia="Times New Roman" w:hAnsi="Times New Roman" w:cs="Times New Roman"/>
          <w:color w:val="000000"/>
          <w:sz w:val="20"/>
          <w:szCs w:val="20"/>
        </w:rPr>
        <w:t xml:space="preserve"> i</w:t>
      </w:r>
      <w:r w:rsidR="00D07862" w:rsidRPr="00ED161A">
        <w:rPr>
          <w:rFonts w:ascii="Times New Roman" w:eastAsia="Times New Roman" w:hAnsi="Times New Roman" w:cs="Times New Roman"/>
          <w:color w:val="000000"/>
          <w:sz w:val="20"/>
          <w:szCs w:val="20"/>
        </w:rPr>
        <w:t>st unmittelbar nur von sich selbst unterschieden, er ist also die in sich zurückgekehrte Einheit»</w:t>
      </w:r>
      <w:r w:rsidR="00D07862" w:rsidRPr="00ED161A">
        <w:rPr>
          <w:rStyle w:val="Rimandonotaapidipagina"/>
          <w:rFonts w:ascii="Times New Roman" w:eastAsia="Times New Roman" w:hAnsi="Times New Roman" w:cs="Times New Roman"/>
          <w:color w:val="000000"/>
          <w:sz w:val="20"/>
          <w:szCs w:val="20"/>
        </w:rPr>
        <w:footnoteReference w:id="294"/>
      </w:r>
      <w:r w:rsidR="00D07862" w:rsidRPr="00ED161A">
        <w:rPr>
          <w:rFonts w:ascii="Times New Roman" w:eastAsia="Times New Roman" w:hAnsi="Times New Roman" w:cs="Times New Roman"/>
          <w:color w:val="000000"/>
          <w:sz w:val="20"/>
          <w:szCs w:val="20"/>
        </w:rPr>
        <w:t>.</w:t>
      </w:r>
    </w:p>
    <w:p w14:paraId="3B35970D" w14:textId="77777777" w:rsidR="005F3B5E" w:rsidRPr="00774175" w:rsidRDefault="005F3B5E" w:rsidP="00BE6A0E">
      <w:pPr>
        <w:spacing w:line="360" w:lineRule="auto"/>
        <w:ind w:firstLine="567"/>
        <w:jc w:val="both"/>
        <w:rPr>
          <w:rFonts w:ascii="Times New Roman" w:eastAsia="Times New Roman" w:hAnsi="Times New Roman" w:cs="Times New Roman"/>
          <w:color w:val="000000"/>
        </w:rPr>
      </w:pPr>
    </w:p>
    <w:p w14:paraId="78162877" w14:textId="74BFCFE2" w:rsidR="00160D42" w:rsidRPr="007755C6" w:rsidRDefault="005F3B5E" w:rsidP="00BE6A0E">
      <w:pPr>
        <w:spacing w:line="360" w:lineRule="auto"/>
        <w:ind w:firstLine="567"/>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Riflettendosi in sé, ossia negandonsi e ponendosi ad un tempo, l’essenza </w:t>
      </w:r>
      <w:r w:rsidR="00531B03">
        <w:rPr>
          <w:rFonts w:ascii="Times New Roman" w:eastAsia="Times New Roman" w:hAnsi="Times New Roman" w:cs="Times New Roman"/>
          <w:color w:val="000000"/>
        </w:rPr>
        <w:t xml:space="preserve">semplice </w:t>
      </w:r>
      <w:r>
        <w:rPr>
          <w:rFonts w:ascii="Times New Roman" w:eastAsia="Times New Roman" w:hAnsi="Times New Roman" w:cs="Times New Roman"/>
          <w:color w:val="000000"/>
        </w:rPr>
        <w:t>si realiz</w:t>
      </w:r>
      <w:r w:rsidR="005561AB">
        <w:rPr>
          <w:rFonts w:ascii="Times New Roman" w:eastAsia="Times New Roman" w:hAnsi="Times New Roman" w:cs="Times New Roman"/>
          <w:color w:val="000000"/>
        </w:rPr>
        <w:t xml:space="preserve">za </w:t>
      </w:r>
      <w:r w:rsidR="001837A5">
        <w:rPr>
          <w:rFonts w:ascii="Times New Roman" w:eastAsia="Times New Roman" w:hAnsi="Times New Roman" w:cs="Times New Roman"/>
          <w:color w:val="000000"/>
        </w:rPr>
        <w:t>come l’altro da sé (</w:t>
      </w:r>
      <w:r w:rsidR="001837A5" w:rsidRPr="001837A5">
        <w:rPr>
          <w:rFonts w:ascii="Times New Roman" w:eastAsia="Times New Roman" w:hAnsi="Times New Roman" w:cs="Times New Roman"/>
          <w:i/>
          <w:color w:val="000000"/>
        </w:rPr>
        <w:t>Anderswerden</w:t>
      </w:r>
      <w:r w:rsidR="001837A5">
        <w:rPr>
          <w:rFonts w:ascii="Times New Roman" w:eastAsia="Times New Roman" w:hAnsi="Times New Roman" w:cs="Times New Roman"/>
          <w:color w:val="000000"/>
        </w:rPr>
        <w:t xml:space="preserve">) </w:t>
      </w:r>
      <w:r w:rsidR="005561AB">
        <w:rPr>
          <w:rFonts w:ascii="Times New Roman" w:eastAsia="Times New Roman" w:hAnsi="Times New Roman" w:cs="Times New Roman"/>
          <w:color w:val="000000"/>
        </w:rPr>
        <w:t xml:space="preserve">e torna a sé – </w:t>
      </w:r>
      <w:r>
        <w:rPr>
          <w:rFonts w:ascii="Times New Roman" w:eastAsia="Times New Roman" w:hAnsi="Times New Roman" w:cs="Times New Roman"/>
          <w:color w:val="000000"/>
        </w:rPr>
        <w:t xml:space="preserve">essendo la differenza, a </w:t>
      </w:r>
      <w:r w:rsidR="005561AB">
        <w:rPr>
          <w:rFonts w:ascii="Times New Roman" w:eastAsia="Times New Roman" w:hAnsi="Times New Roman" w:cs="Times New Roman"/>
          <w:color w:val="000000"/>
        </w:rPr>
        <w:t>propria volta, l’inegu</w:t>
      </w:r>
      <w:r w:rsidR="0087515A">
        <w:rPr>
          <w:rFonts w:ascii="Times New Roman" w:eastAsia="Times New Roman" w:hAnsi="Times New Roman" w:cs="Times New Roman"/>
          <w:color w:val="000000"/>
        </w:rPr>
        <w:t>ale in</w:t>
      </w:r>
      <w:r w:rsidR="005561AB">
        <w:rPr>
          <w:rFonts w:ascii="Times New Roman" w:eastAsia="Times New Roman" w:hAnsi="Times New Roman" w:cs="Times New Roman"/>
          <w:color w:val="000000"/>
        </w:rPr>
        <w:t xml:space="preserve"> sé – </w:t>
      </w:r>
      <w:r>
        <w:rPr>
          <w:rFonts w:ascii="Times New Roman" w:eastAsia="Times New Roman" w:hAnsi="Times New Roman" w:cs="Times New Roman"/>
          <w:color w:val="000000"/>
        </w:rPr>
        <w:t xml:space="preserve">ricomponendo la propria autoeguaglianza. </w:t>
      </w:r>
      <w:r w:rsidR="0001670C" w:rsidRPr="00160D42">
        <w:rPr>
          <w:rFonts w:ascii="Times New Roman" w:eastAsia="Times New Roman" w:hAnsi="Times New Roman" w:cs="Times New Roman"/>
          <w:color w:val="000000"/>
        </w:rPr>
        <w:t xml:space="preserve">Ciò che Hegel nelle </w:t>
      </w:r>
      <w:r w:rsidR="0001670C" w:rsidRPr="00160D42">
        <w:rPr>
          <w:rFonts w:ascii="Times New Roman" w:eastAsia="Times New Roman" w:hAnsi="Times New Roman" w:cs="Times New Roman"/>
          <w:i/>
          <w:color w:val="000000"/>
        </w:rPr>
        <w:t>Vorlesungen</w:t>
      </w:r>
      <w:r w:rsidR="0001670C" w:rsidRPr="00160D42">
        <w:rPr>
          <w:rFonts w:ascii="Times New Roman" w:eastAsia="Times New Roman" w:hAnsi="Times New Roman" w:cs="Times New Roman"/>
          <w:color w:val="000000"/>
        </w:rPr>
        <w:t xml:space="preserve"> non aveva esplicitato, ossia il carattere </w:t>
      </w:r>
      <w:r w:rsidR="00B03668" w:rsidRPr="00160D42">
        <w:rPr>
          <w:rFonts w:ascii="Times New Roman" w:eastAsia="Times New Roman" w:hAnsi="Times New Roman" w:cs="Times New Roman"/>
          <w:color w:val="000000"/>
        </w:rPr>
        <w:t>dinamico</w:t>
      </w:r>
      <w:r w:rsidR="00E22C09">
        <w:rPr>
          <w:rFonts w:ascii="Times New Roman" w:eastAsia="Times New Roman" w:hAnsi="Times New Roman" w:cs="Times New Roman"/>
          <w:color w:val="000000"/>
        </w:rPr>
        <w:t xml:space="preserve"> e</w:t>
      </w:r>
      <w:r w:rsidR="001837A5" w:rsidRPr="00160D42">
        <w:rPr>
          <w:rFonts w:ascii="Times New Roman" w:eastAsia="Times New Roman" w:hAnsi="Times New Roman" w:cs="Times New Roman"/>
          <w:color w:val="000000"/>
        </w:rPr>
        <w:t xml:space="preserve"> negativo </w:t>
      </w:r>
      <w:r w:rsidR="0001670C" w:rsidRPr="00160D42">
        <w:rPr>
          <w:rFonts w:ascii="Times New Roman" w:eastAsia="Times New Roman" w:hAnsi="Times New Roman" w:cs="Times New Roman"/>
          <w:color w:val="000000"/>
        </w:rPr>
        <w:t>del</w:t>
      </w:r>
      <w:r w:rsidR="00531B03">
        <w:rPr>
          <w:rFonts w:ascii="Times New Roman" w:eastAsia="Times New Roman" w:hAnsi="Times New Roman" w:cs="Times New Roman"/>
          <w:color w:val="000000"/>
        </w:rPr>
        <w:t>l’essenza divina</w:t>
      </w:r>
      <w:r w:rsidR="00394699" w:rsidRPr="00160D42">
        <w:rPr>
          <w:rFonts w:ascii="Times New Roman" w:eastAsia="Times New Roman" w:hAnsi="Times New Roman" w:cs="Times New Roman"/>
          <w:color w:val="000000"/>
        </w:rPr>
        <w:t xml:space="preserve">, trova nel </w:t>
      </w:r>
      <w:r w:rsidR="00394699" w:rsidRPr="00160D42">
        <w:rPr>
          <w:rFonts w:ascii="Times New Roman" w:eastAsia="Times New Roman" w:hAnsi="Times New Roman" w:cs="Times New Roman"/>
          <w:i/>
          <w:color w:val="000000"/>
        </w:rPr>
        <w:t>Religionskapitel</w:t>
      </w:r>
      <w:r w:rsidR="00394699" w:rsidRPr="00160D42">
        <w:rPr>
          <w:rFonts w:ascii="Times New Roman" w:eastAsia="Times New Roman" w:hAnsi="Times New Roman" w:cs="Times New Roman"/>
          <w:color w:val="000000"/>
        </w:rPr>
        <w:t xml:space="preserve"> uno </w:t>
      </w:r>
      <w:r w:rsidR="0001670C" w:rsidRPr="00160D42">
        <w:rPr>
          <w:rFonts w:ascii="Times New Roman" w:eastAsia="Times New Roman" w:hAnsi="Times New Roman" w:cs="Times New Roman"/>
          <w:color w:val="000000"/>
        </w:rPr>
        <w:t>spazio precipuo.</w:t>
      </w:r>
      <w:r w:rsidR="0001670C">
        <w:rPr>
          <w:rFonts w:ascii="Times New Roman" w:eastAsia="Times New Roman" w:hAnsi="Times New Roman" w:cs="Times New Roman"/>
          <w:color w:val="000000"/>
        </w:rPr>
        <w:t xml:space="preserve"> </w:t>
      </w:r>
      <w:r w:rsidR="00B03EE8">
        <w:rPr>
          <w:rFonts w:ascii="Times New Roman" w:eastAsia="Times New Roman" w:hAnsi="Times New Roman" w:cs="Times New Roman"/>
          <w:color w:val="000000"/>
        </w:rPr>
        <w:t>I</w:t>
      </w:r>
      <w:r w:rsidR="0001670C">
        <w:rPr>
          <w:rFonts w:ascii="Times New Roman" w:eastAsia="Times New Roman" w:hAnsi="Times New Roman" w:cs="Times New Roman"/>
          <w:color w:val="000000"/>
        </w:rPr>
        <w:t>n</w:t>
      </w:r>
      <w:r>
        <w:rPr>
          <w:rFonts w:ascii="Times New Roman" w:eastAsia="Times New Roman" w:hAnsi="Times New Roman" w:cs="Times New Roman"/>
          <w:color w:val="000000"/>
        </w:rPr>
        <w:t xml:space="preserve"> questo schema trinitario, </w:t>
      </w:r>
      <w:r w:rsidR="00B03EE8">
        <w:rPr>
          <w:rFonts w:ascii="Times New Roman" w:eastAsia="Times New Roman" w:hAnsi="Times New Roman" w:cs="Times New Roman"/>
          <w:color w:val="000000"/>
        </w:rPr>
        <w:t xml:space="preserve">in effetti, </w:t>
      </w:r>
      <w:r w:rsidR="0001670C">
        <w:rPr>
          <w:rFonts w:ascii="Times New Roman" w:eastAsia="Times New Roman" w:hAnsi="Times New Roman" w:cs="Times New Roman"/>
          <w:color w:val="000000"/>
        </w:rPr>
        <w:t xml:space="preserve">sono presenti non soltanto </w:t>
      </w:r>
      <w:r w:rsidRPr="00686774">
        <w:rPr>
          <w:rFonts w:ascii="Times New Roman" w:eastAsia="Times New Roman" w:hAnsi="Times New Roman" w:cs="Times New Roman"/>
          <w:color w:val="000000"/>
        </w:rPr>
        <w:t>«die drei Momente des Wesen, des Fürsichsein […] und des sich selbst Wissen im Andern»</w:t>
      </w:r>
      <w:r w:rsidRPr="00686774">
        <w:rPr>
          <w:rStyle w:val="Rimandonotaapidipagina"/>
          <w:rFonts w:ascii="Times New Roman" w:eastAsia="Times New Roman" w:hAnsi="Times New Roman" w:cs="Times New Roman"/>
          <w:color w:val="000000"/>
        </w:rPr>
        <w:footnoteReference w:id="295"/>
      </w:r>
      <w:r w:rsidRPr="00686774">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ma anche quell’</w:t>
      </w:r>
      <w:r w:rsidRPr="00686774">
        <w:rPr>
          <w:rFonts w:ascii="Times New Roman" w:eastAsia="Times New Roman" w:hAnsi="Times New Roman" w:cs="Times New Roman"/>
          <w:color w:val="000000"/>
        </w:rPr>
        <w:t>«in sich kreisende Bewegung» di ciò che è «das Wahre und Wirkliche»</w:t>
      </w:r>
      <w:r w:rsidRPr="00686774">
        <w:rPr>
          <w:rStyle w:val="Rimandonotaapidipagina"/>
          <w:rFonts w:ascii="Times New Roman" w:eastAsia="Times New Roman" w:hAnsi="Times New Roman" w:cs="Times New Roman"/>
          <w:color w:val="000000"/>
        </w:rPr>
        <w:footnoteReference w:id="296"/>
      </w:r>
      <w:r w:rsidRPr="00686774">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Il vero</w:t>
      </w:r>
      <w:r w:rsidR="0001670C">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inteso come un circolo in cui principio e fine coincidono</w:t>
      </w:r>
      <w:r w:rsidR="00E50235">
        <w:rPr>
          <w:rFonts w:ascii="Times New Roman" w:eastAsia="Times New Roman" w:hAnsi="Times New Roman" w:cs="Times New Roman"/>
          <w:color w:val="000000"/>
        </w:rPr>
        <w:t xml:space="preserve"> (</w:t>
      </w:r>
      <w:r w:rsidR="00E50235" w:rsidRPr="00E50235">
        <w:rPr>
          <w:rFonts w:ascii="Times New Roman" w:eastAsia="Times New Roman" w:hAnsi="Times New Roman" w:cs="Times New Roman"/>
          <w:i/>
          <w:color w:val="000000"/>
        </w:rPr>
        <w:t>Kreislauf</w:t>
      </w:r>
      <w:r w:rsidR="00E50235">
        <w:rPr>
          <w:rFonts w:ascii="Times New Roman" w:eastAsia="Times New Roman" w:hAnsi="Times New Roman" w:cs="Times New Roman"/>
          <w:color w:val="000000"/>
        </w:rPr>
        <w:t>)</w:t>
      </w:r>
      <w:r w:rsidR="0001670C">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è il soggetto</w:t>
      </w:r>
      <w:r w:rsidR="007E2654">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o la sostanza vivente</w:t>
      </w:r>
      <w:r w:rsidR="007E2654">
        <w:rPr>
          <w:rFonts w:ascii="Times New Roman" w:eastAsia="Times New Roman" w:hAnsi="Times New Roman" w:cs="Times New Roman"/>
          <w:color w:val="000000"/>
        </w:rPr>
        <w:t>,</w:t>
      </w:r>
      <w:r w:rsidR="00394699">
        <w:rPr>
          <w:rFonts w:ascii="Times New Roman" w:eastAsia="Times New Roman" w:hAnsi="Times New Roman" w:cs="Times New Roman"/>
          <w:color w:val="000000"/>
        </w:rPr>
        <w:t xml:space="preserve"> </w:t>
      </w:r>
      <w:r w:rsidR="000318EF">
        <w:rPr>
          <w:rFonts w:ascii="Times New Roman" w:eastAsia="Times New Roman" w:hAnsi="Times New Roman" w:cs="Times New Roman"/>
          <w:color w:val="000000"/>
        </w:rPr>
        <w:t xml:space="preserve">tematizzata dalla </w:t>
      </w:r>
      <w:r w:rsidRPr="005F3B5E">
        <w:rPr>
          <w:rFonts w:ascii="Times New Roman" w:eastAsia="Times New Roman" w:hAnsi="Times New Roman" w:cs="Times New Roman"/>
          <w:i/>
          <w:color w:val="000000"/>
        </w:rPr>
        <w:t>Vorrede</w:t>
      </w:r>
      <w:r>
        <w:rPr>
          <w:rFonts w:ascii="Times New Roman" w:eastAsia="Times New Roman" w:hAnsi="Times New Roman" w:cs="Times New Roman"/>
          <w:color w:val="000000"/>
        </w:rPr>
        <w:t>. Il divino, nella sua struttura trinit</w:t>
      </w:r>
      <w:r w:rsidR="00E57457">
        <w:rPr>
          <w:rFonts w:ascii="Times New Roman" w:eastAsia="Times New Roman" w:hAnsi="Times New Roman" w:cs="Times New Roman"/>
          <w:color w:val="000000"/>
        </w:rPr>
        <w:t>aria, espone quel medesimo Assoluto oggetto della speculazione filosofica.</w:t>
      </w:r>
      <w:r w:rsidR="0001670C">
        <w:rPr>
          <w:rFonts w:ascii="Times New Roman" w:eastAsia="Times New Roman" w:hAnsi="Times New Roman" w:cs="Times New Roman"/>
          <w:color w:val="000000"/>
        </w:rPr>
        <w:t xml:space="preserve"> Le differenze</w:t>
      </w:r>
      <w:r w:rsidR="00394699">
        <w:rPr>
          <w:rFonts w:ascii="Times New Roman" w:eastAsia="Times New Roman" w:hAnsi="Times New Roman" w:cs="Times New Roman"/>
          <w:color w:val="000000"/>
        </w:rPr>
        <w:t xml:space="preserve"> </w:t>
      </w:r>
      <w:r w:rsidR="0001670C">
        <w:rPr>
          <w:rFonts w:ascii="Times New Roman" w:eastAsia="Times New Roman" w:hAnsi="Times New Roman" w:cs="Times New Roman"/>
          <w:color w:val="000000"/>
        </w:rPr>
        <w:t>fra</w:t>
      </w:r>
      <w:r w:rsidR="00394699">
        <w:rPr>
          <w:rFonts w:ascii="Times New Roman" w:eastAsia="Times New Roman" w:hAnsi="Times New Roman" w:cs="Times New Roman"/>
          <w:color w:val="000000"/>
        </w:rPr>
        <w:t xml:space="preserve"> religione e filosofia</w:t>
      </w:r>
      <w:r w:rsidR="008F494F">
        <w:rPr>
          <w:rFonts w:ascii="Times New Roman" w:eastAsia="Times New Roman" w:hAnsi="Times New Roman" w:cs="Times New Roman"/>
          <w:color w:val="000000"/>
        </w:rPr>
        <w:t xml:space="preserve"> ricado</w:t>
      </w:r>
      <w:r w:rsidR="0001670C">
        <w:rPr>
          <w:rFonts w:ascii="Times New Roman" w:eastAsia="Times New Roman" w:hAnsi="Times New Roman" w:cs="Times New Roman"/>
          <w:color w:val="000000"/>
        </w:rPr>
        <w:t xml:space="preserve">no, com’è noto, nell’ambito della forma, non del contenuto, che è il </w:t>
      </w:r>
      <w:r w:rsidR="0001670C" w:rsidRPr="007755C6">
        <w:rPr>
          <w:rFonts w:ascii="Times New Roman" w:eastAsia="Times New Roman" w:hAnsi="Times New Roman" w:cs="Times New Roman"/>
          <w:color w:val="000000"/>
        </w:rPr>
        <w:t>medesimo in entrambe. Su questo punto</w:t>
      </w:r>
      <w:r w:rsidR="00394699" w:rsidRPr="007755C6">
        <w:rPr>
          <w:rFonts w:ascii="Times New Roman" w:eastAsia="Times New Roman" w:hAnsi="Times New Roman" w:cs="Times New Roman"/>
          <w:color w:val="000000"/>
        </w:rPr>
        <w:t>, però,</w:t>
      </w:r>
      <w:r w:rsidR="0001670C" w:rsidRPr="007755C6">
        <w:rPr>
          <w:rFonts w:ascii="Times New Roman" w:eastAsia="Times New Roman" w:hAnsi="Times New Roman" w:cs="Times New Roman"/>
          <w:color w:val="000000"/>
        </w:rPr>
        <w:t xml:space="preserve"> torneremo nelle prossime</w:t>
      </w:r>
      <w:r w:rsidR="00394699" w:rsidRPr="007755C6">
        <w:rPr>
          <w:rFonts w:ascii="Times New Roman" w:eastAsia="Times New Roman" w:hAnsi="Times New Roman" w:cs="Times New Roman"/>
          <w:color w:val="000000"/>
        </w:rPr>
        <w:t xml:space="preserve"> pagine. Quel che mi preme sottolineare, adesso, sono le implica</w:t>
      </w:r>
      <w:r w:rsidR="00280CDE" w:rsidRPr="007755C6">
        <w:rPr>
          <w:rFonts w:ascii="Times New Roman" w:eastAsia="Times New Roman" w:hAnsi="Times New Roman" w:cs="Times New Roman"/>
          <w:color w:val="000000"/>
        </w:rPr>
        <w:t>zioni teoretiche derivanti da questa prima</w:t>
      </w:r>
      <w:r w:rsidR="00394699" w:rsidRPr="007755C6">
        <w:rPr>
          <w:rFonts w:ascii="Times New Roman" w:eastAsia="Times New Roman" w:hAnsi="Times New Roman" w:cs="Times New Roman"/>
          <w:color w:val="000000"/>
        </w:rPr>
        <w:t xml:space="preserve"> </w:t>
      </w:r>
      <w:r w:rsidR="00E50235" w:rsidRPr="007755C6">
        <w:rPr>
          <w:rFonts w:ascii="Times New Roman" w:eastAsia="Times New Roman" w:hAnsi="Times New Roman" w:cs="Times New Roman"/>
          <w:color w:val="000000"/>
        </w:rPr>
        <w:t xml:space="preserve">tematizzazione </w:t>
      </w:r>
      <w:r w:rsidR="00394699" w:rsidRPr="007755C6">
        <w:rPr>
          <w:rFonts w:ascii="Times New Roman" w:eastAsia="Times New Roman" w:hAnsi="Times New Roman" w:cs="Times New Roman"/>
          <w:color w:val="000000"/>
        </w:rPr>
        <w:t xml:space="preserve">della Trinità. </w:t>
      </w:r>
    </w:p>
    <w:p w14:paraId="303DB557" w14:textId="3C7C25BB" w:rsidR="006A754C" w:rsidRDefault="00394699" w:rsidP="00280CDE">
      <w:pPr>
        <w:spacing w:line="360" w:lineRule="auto"/>
        <w:ind w:firstLine="567"/>
        <w:jc w:val="both"/>
        <w:rPr>
          <w:rFonts w:ascii="Times New Roman" w:eastAsia="Times New Roman" w:hAnsi="Times New Roman" w:cs="Times New Roman"/>
          <w:color w:val="000000"/>
        </w:rPr>
      </w:pPr>
      <w:r w:rsidRPr="007755C6">
        <w:rPr>
          <w:rFonts w:ascii="Times New Roman" w:eastAsia="Times New Roman" w:hAnsi="Times New Roman" w:cs="Times New Roman"/>
          <w:color w:val="000000"/>
        </w:rPr>
        <w:t xml:space="preserve">Già le </w:t>
      </w:r>
      <w:r w:rsidRPr="007755C6">
        <w:rPr>
          <w:rFonts w:ascii="Times New Roman" w:eastAsia="Times New Roman" w:hAnsi="Times New Roman" w:cs="Times New Roman"/>
          <w:i/>
          <w:color w:val="000000"/>
        </w:rPr>
        <w:t>Vorlesungen</w:t>
      </w:r>
      <w:r w:rsidRPr="007755C6">
        <w:rPr>
          <w:rFonts w:ascii="Times New Roman" w:eastAsia="Times New Roman" w:hAnsi="Times New Roman" w:cs="Times New Roman"/>
          <w:color w:val="000000"/>
        </w:rPr>
        <w:t xml:space="preserve"> </w:t>
      </w:r>
      <w:r w:rsidR="007E63F1" w:rsidRPr="007755C6">
        <w:rPr>
          <w:rFonts w:ascii="Times New Roman" w:eastAsia="Times New Roman" w:hAnsi="Times New Roman" w:cs="Times New Roman"/>
          <w:color w:val="000000"/>
        </w:rPr>
        <w:t xml:space="preserve">del 1805/06 </w:t>
      </w:r>
      <w:r w:rsidR="00160D42" w:rsidRPr="007755C6">
        <w:rPr>
          <w:rFonts w:ascii="Times New Roman" w:eastAsia="Times New Roman" w:hAnsi="Times New Roman" w:cs="Times New Roman"/>
          <w:color w:val="000000"/>
        </w:rPr>
        <w:t xml:space="preserve">avevano </w:t>
      </w:r>
      <w:r w:rsidR="00280CDE" w:rsidRPr="007755C6">
        <w:rPr>
          <w:rFonts w:ascii="Times New Roman" w:eastAsia="Times New Roman" w:hAnsi="Times New Roman" w:cs="Times New Roman"/>
          <w:color w:val="000000"/>
        </w:rPr>
        <w:t xml:space="preserve">mostrato </w:t>
      </w:r>
      <w:r w:rsidRPr="007755C6">
        <w:rPr>
          <w:rFonts w:ascii="Times New Roman" w:eastAsia="Times New Roman" w:hAnsi="Times New Roman" w:cs="Times New Roman"/>
          <w:color w:val="000000"/>
        </w:rPr>
        <w:t>che i</w:t>
      </w:r>
      <w:r w:rsidR="007E63F1" w:rsidRPr="007755C6">
        <w:rPr>
          <w:rFonts w:ascii="Times New Roman" w:eastAsia="Times New Roman" w:hAnsi="Times New Roman" w:cs="Times New Roman"/>
          <w:color w:val="000000"/>
        </w:rPr>
        <w:t>l divino, nella sua eterna autogenerazione,</w:t>
      </w:r>
      <w:r w:rsidRPr="007755C6">
        <w:rPr>
          <w:rFonts w:ascii="Times New Roman" w:eastAsia="Times New Roman" w:hAnsi="Times New Roman" w:cs="Times New Roman"/>
          <w:color w:val="000000"/>
        </w:rPr>
        <w:t xml:space="preserve"> non può essere </w:t>
      </w:r>
      <w:r w:rsidR="007E63F1" w:rsidRPr="007755C6">
        <w:rPr>
          <w:rFonts w:ascii="Times New Roman" w:eastAsia="Times New Roman" w:hAnsi="Times New Roman" w:cs="Times New Roman"/>
          <w:color w:val="000000"/>
        </w:rPr>
        <w:t>una sostanza vivente e pienamente realizzata. L’indifferenza</w:t>
      </w:r>
      <w:r w:rsidR="006523ED" w:rsidRPr="007755C6">
        <w:rPr>
          <w:rFonts w:ascii="Times New Roman" w:eastAsia="Times New Roman" w:hAnsi="Times New Roman" w:cs="Times New Roman"/>
          <w:color w:val="000000"/>
        </w:rPr>
        <w:t xml:space="preserve"> </w:t>
      </w:r>
      <w:r w:rsidR="007E63F1" w:rsidRPr="007755C6">
        <w:rPr>
          <w:rFonts w:ascii="Times New Roman" w:eastAsia="Times New Roman" w:hAnsi="Times New Roman" w:cs="Times New Roman"/>
          <w:color w:val="000000"/>
        </w:rPr>
        <w:t xml:space="preserve">sopprime le distinzioni fra le tre persone divine e </w:t>
      </w:r>
      <w:r w:rsidR="006A754C" w:rsidRPr="007755C6">
        <w:rPr>
          <w:rFonts w:ascii="Times New Roman" w:eastAsia="Times New Roman" w:hAnsi="Times New Roman" w:cs="Times New Roman"/>
          <w:color w:val="000000"/>
        </w:rPr>
        <w:t xml:space="preserve">getta </w:t>
      </w:r>
      <w:r w:rsidR="007E63F1" w:rsidRPr="007755C6">
        <w:rPr>
          <w:rFonts w:ascii="Times New Roman" w:eastAsia="Times New Roman" w:hAnsi="Times New Roman" w:cs="Times New Roman"/>
          <w:color w:val="000000"/>
        </w:rPr>
        <w:t>la concretezza del contenuto nel</w:t>
      </w:r>
      <w:r w:rsidR="00C85F02" w:rsidRPr="007755C6">
        <w:rPr>
          <w:rFonts w:ascii="Times New Roman" w:eastAsia="Times New Roman" w:hAnsi="Times New Roman" w:cs="Times New Roman"/>
          <w:color w:val="000000"/>
        </w:rPr>
        <w:t>la pura</w:t>
      </w:r>
      <w:r w:rsidR="000318EF" w:rsidRPr="007755C6">
        <w:rPr>
          <w:rFonts w:ascii="Times New Roman" w:eastAsia="Times New Roman" w:hAnsi="Times New Roman" w:cs="Times New Roman"/>
          <w:color w:val="000000"/>
        </w:rPr>
        <w:t xml:space="preserve"> e semplice astrazione</w:t>
      </w:r>
      <w:r w:rsidR="007E63F1" w:rsidRPr="007755C6">
        <w:rPr>
          <w:rFonts w:ascii="Times New Roman" w:eastAsia="Times New Roman" w:hAnsi="Times New Roman" w:cs="Times New Roman"/>
          <w:color w:val="000000"/>
        </w:rPr>
        <w:t xml:space="preserve">. </w:t>
      </w:r>
      <w:r w:rsidR="00C1370D" w:rsidRPr="007755C6">
        <w:rPr>
          <w:rFonts w:ascii="Times New Roman" w:eastAsia="Times New Roman" w:hAnsi="Times New Roman" w:cs="Times New Roman"/>
          <w:color w:val="000000"/>
        </w:rPr>
        <w:t>N</w:t>
      </w:r>
      <w:r w:rsidR="00C42DB2" w:rsidRPr="007755C6">
        <w:rPr>
          <w:rFonts w:ascii="Times New Roman" w:eastAsia="Times New Roman" w:hAnsi="Times New Roman" w:cs="Times New Roman"/>
          <w:color w:val="000000"/>
        </w:rPr>
        <w:t>el proseguo della</w:t>
      </w:r>
      <w:r w:rsidR="007E63F1" w:rsidRPr="007755C6">
        <w:rPr>
          <w:rFonts w:ascii="Times New Roman" w:eastAsia="Times New Roman" w:hAnsi="Times New Roman" w:cs="Times New Roman"/>
          <w:color w:val="000000"/>
        </w:rPr>
        <w:t xml:space="preserve"> </w:t>
      </w:r>
      <w:r w:rsidR="007E63F1" w:rsidRPr="007755C6">
        <w:rPr>
          <w:rFonts w:ascii="Times New Roman" w:eastAsia="Times New Roman" w:hAnsi="Times New Roman" w:cs="Times New Roman"/>
          <w:i/>
          <w:color w:val="000000"/>
        </w:rPr>
        <w:t>geoffenbarte Religion</w:t>
      </w:r>
      <w:r w:rsidR="007E63F1" w:rsidRPr="007755C6">
        <w:rPr>
          <w:rFonts w:ascii="Times New Roman" w:eastAsia="Times New Roman" w:hAnsi="Times New Roman" w:cs="Times New Roman"/>
          <w:color w:val="000000"/>
        </w:rPr>
        <w:t>, Hegel sostiene</w:t>
      </w:r>
      <w:r w:rsidR="00280CDE" w:rsidRPr="007755C6">
        <w:rPr>
          <w:rFonts w:ascii="Times New Roman" w:eastAsia="Times New Roman" w:hAnsi="Times New Roman" w:cs="Times New Roman"/>
          <w:color w:val="000000"/>
        </w:rPr>
        <w:t xml:space="preserve">, ricollegandosi </w:t>
      </w:r>
      <w:r w:rsidR="00E50235" w:rsidRPr="007755C6">
        <w:rPr>
          <w:rFonts w:ascii="Times New Roman" w:eastAsia="Times New Roman" w:hAnsi="Times New Roman" w:cs="Times New Roman"/>
          <w:color w:val="000000"/>
        </w:rPr>
        <w:t xml:space="preserve">così </w:t>
      </w:r>
      <w:r w:rsidR="00280CDE" w:rsidRPr="007755C6">
        <w:rPr>
          <w:rFonts w:ascii="Times New Roman" w:eastAsia="Times New Roman" w:hAnsi="Times New Roman" w:cs="Times New Roman"/>
          <w:color w:val="000000"/>
        </w:rPr>
        <w:t xml:space="preserve">alle </w:t>
      </w:r>
      <w:r w:rsidR="00280CDE" w:rsidRPr="007755C6">
        <w:rPr>
          <w:rFonts w:ascii="Times New Roman" w:eastAsia="Times New Roman" w:hAnsi="Times New Roman" w:cs="Times New Roman"/>
          <w:i/>
          <w:color w:val="000000"/>
        </w:rPr>
        <w:t>Vorlesungen</w:t>
      </w:r>
      <w:r w:rsidR="00E50235" w:rsidRPr="007755C6">
        <w:rPr>
          <w:rFonts w:ascii="Times New Roman" w:eastAsia="Times New Roman" w:hAnsi="Times New Roman" w:cs="Times New Roman"/>
          <w:color w:val="000000"/>
        </w:rPr>
        <w:t xml:space="preserve"> e </w:t>
      </w:r>
      <w:r w:rsidR="00523B13">
        <w:rPr>
          <w:rFonts w:ascii="Times New Roman" w:eastAsia="Times New Roman" w:hAnsi="Times New Roman" w:cs="Times New Roman"/>
          <w:color w:val="000000"/>
        </w:rPr>
        <w:t>problematizzand</w:t>
      </w:r>
      <w:r w:rsidR="007755C6" w:rsidRPr="007755C6">
        <w:rPr>
          <w:rFonts w:ascii="Times New Roman" w:eastAsia="Times New Roman" w:hAnsi="Times New Roman" w:cs="Times New Roman"/>
          <w:color w:val="000000"/>
        </w:rPr>
        <w:t xml:space="preserve">o </w:t>
      </w:r>
      <w:r w:rsidR="00E50235" w:rsidRPr="007755C6">
        <w:rPr>
          <w:rFonts w:ascii="Times New Roman" w:eastAsia="Times New Roman" w:hAnsi="Times New Roman" w:cs="Times New Roman"/>
          <w:color w:val="000000"/>
        </w:rPr>
        <w:t>quanto sostenuto</w:t>
      </w:r>
      <w:r w:rsidR="007755C6">
        <w:rPr>
          <w:rFonts w:ascii="Times New Roman" w:eastAsia="Times New Roman" w:hAnsi="Times New Roman" w:cs="Times New Roman"/>
          <w:color w:val="000000"/>
        </w:rPr>
        <w:t xml:space="preserve"> in precedenza</w:t>
      </w:r>
      <w:r w:rsidR="00E50235" w:rsidRPr="007755C6">
        <w:rPr>
          <w:rFonts w:ascii="Times New Roman" w:eastAsia="Times New Roman" w:hAnsi="Times New Roman" w:cs="Times New Roman"/>
          <w:color w:val="000000"/>
        </w:rPr>
        <w:t>,</w:t>
      </w:r>
      <w:r w:rsidR="007E63F1" w:rsidRPr="007755C6">
        <w:rPr>
          <w:rFonts w:ascii="Times New Roman" w:eastAsia="Times New Roman" w:hAnsi="Times New Roman" w:cs="Times New Roman"/>
          <w:color w:val="000000"/>
        </w:rPr>
        <w:t xml:space="preserve"> che nell’elemento del puro pensiero</w:t>
      </w:r>
      <w:r w:rsidR="00280CDE" w:rsidRPr="007755C6">
        <w:rPr>
          <w:rFonts w:ascii="Times New Roman" w:eastAsia="Times New Roman" w:hAnsi="Times New Roman" w:cs="Times New Roman"/>
          <w:color w:val="000000"/>
        </w:rPr>
        <w:t xml:space="preserve"> (</w:t>
      </w:r>
      <w:r w:rsidR="00280CDE" w:rsidRPr="007755C6">
        <w:rPr>
          <w:rFonts w:ascii="Times New Roman" w:eastAsia="Times New Roman" w:hAnsi="Times New Roman" w:cs="Times New Roman"/>
          <w:i/>
          <w:color w:val="000000"/>
        </w:rPr>
        <w:t>im Element des reinen Denkens</w:t>
      </w:r>
      <w:r w:rsidR="00280CDE" w:rsidRPr="007755C6">
        <w:rPr>
          <w:rFonts w:ascii="Times New Roman" w:eastAsia="Times New Roman" w:hAnsi="Times New Roman" w:cs="Times New Roman"/>
          <w:color w:val="000000"/>
        </w:rPr>
        <w:t>)</w:t>
      </w:r>
      <w:r w:rsidR="007E63F1" w:rsidRPr="007755C6">
        <w:rPr>
          <w:rFonts w:ascii="Times New Roman" w:eastAsia="Times New Roman" w:hAnsi="Times New Roman" w:cs="Times New Roman"/>
          <w:color w:val="000000"/>
        </w:rPr>
        <w:t xml:space="preserve"> non </w:t>
      </w:r>
      <w:r w:rsidR="0087515A">
        <w:rPr>
          <w:rFonts w:ascii="Times New Roman" w:eastAsia="Times New Roman" w:hAnsi="Times New Roman" w:cs="Times New Roman"/>
          <w:color w:val="000000"/>
        </w:rPr>
        <w:t>ha luogo vera e propria differenziazione del</w:t>
      </w:r>
      <w:r w:rsidR="007E63F1" w:rsidRPr="007755C6">
        <w:rPr>
          <w:rFonts w:ascii="Times New Roman" w:eastAsia="Times New Roman" w:hAnsi="Times New Roman" w:cs="Times New Roman"/>
          <w:color w:val="000000"/>
        </w:rPr>
        <w:t xml:space="preserve">l’essenza assoluta. </w:t>
      </w:r>
      <w:r w:rsidR="00280CDE" w:rsidRPr="007755C6">
        <w:rPr>
          <w:rFonts w:ascii="Times New Roman" w:eastAsia="Times New Roman" w:hAnsi="Times New Roman" w:cs="Times New Roman"/>
          <w:color w:val="000000"/>
        </w:rPr>
        <w:t>Nella prima realizzazione trinitaria del divino, l</w:t>
      </w:r>
      <w:r w:rsidR="006A754C" w:rsidRPr="007755C6">
        <w:rPr>
          <w:rFonts w:ascii="Times New Roman" w:eastAsia="Times New Roman" w:hAnsi="Times New Roman" w:cs="Times New Roman"/>
          <w:color w:val="000000"/>
        </w:rPr>
        <w:t>’opposizione, che risulta dal posizionamento</w:t>
      </w:r>
      <w:r w:rsidR="007E63F1" w:rsidRPr="007755C6">
        <w:rPr>
          <w:rFonts w:ascii="Times New Roman" w:eastAsia="Times New Roman" w:hAnsi="Times New Roman" w:cs="Times New Roman"/>
          <w:color w:val="000000"/>
        </w:rPr>
        <w:t xml:space="preserve"> </w:t>
      </w:r>
      <w:r w:rsidR="007E63F1" w:rsidRPr="00AB0FAD">
        <w:rPr>
          <w:rFonts w:ascii="Times New Roman" w:eastAsia="Times New Roman" w:hAnsi="Times New Roman" w:cs="Times New Roman"/>
          <w:color w:val="000000"/>
        </w:rPr>
        <w:t>dell’assolu</w:t>
      </w:r>
      <w:r w:rsidR="00C1370D" w:rsidRPr="00AB0FAD">
        <w:rPr>
          <w:rFonts w:ascii="Times New Roman" w:eastAsia="Times New Roman" w:hAnsi="Times New Roman" w:cs="Times New Roman"/>
          <w:color w:val="000000"/>
        </w:rPr>
        <w:t>tam</w:t>
      </w:r>
      <w:r w:rsidR="00280CDE" w:rsidRPr="00AB0FAD">
        <w:rPr>
          <w:rFonts w:ascii="Times New Roman" w:eastAsia="Times New Roman" w:hAnsi="Times New Roman" w:cs="Times New Roman"/>
          <w:color w:val="000000"/>
        </w:rPr>
        <w:t>ente semplice come l’essere per</w:t>
      </w:r>
      <w:r w:rsidR="00C1370D" w:rsidRPr="00AB0FAD">
        <w:rPr>
          <w:rFonts w:ascii="Times New Roman" w:eastAsia="Times New Roman" w:hAnsi="Times New Roman" w:cs="Times New Roman"/>
          <w:color w:val="000000"/>
        </w:rPr>
        <w:t xml:space="preserve"> </w:t>
      </w:r>
      <w:r w:rsidR="00280CDE" w:rsidRPr="00AB0FAD">
        <w:rPr>
          <w:rFonts w:ascii="Times New Roman" w:eastAsia="Times New Roman" w:hAnsi="Times New Roman" w:cs="Times New Roman"/>
          <w:color w:val="000000"/>
        </w:rPr>
        <w:t>s</w:t>
      </w:r>
      <w:r w:rsidR="006A754C" w:rsidRPr="00AB0FAD">
        <w:rPr>
          <w:rFonts w:ascii="Times New Roman" w:eastAsia="Times New Roman" w:hAnsi="Times New Roman" w:cs="Times New Roman"/>
          <w:color w:val="000000"/>
        </w:rPr>
        <w:t>é</w:t>
      </w:r>
      <w:r w:rsidR="007E63F1" w:rsidRPr="00AB0FAD">
        <w:rPr>
          <w:rFonts w:ascii="Times New Roman" w:eastAsia="Times New Roman" w:hAnsi="Times New Roman" w:cs="Times New Roman"/>
          <w:color w:val="000000"/>
        </w:rPr>
        <w:t xml:space="preserve">, non </w:t>
      </w:r>
      <w:r w:rsidR="0087515A" w:rsidRPr="00AB0FAD">
        <w:rPr>
          <w:rFonts w:ascii="Times New Roman" w:eastAsia="Times New Roman" w:hAnsi="Times New Roman" w:cs="Times New Roman"/>
          <w:color w:val="000000"/>
        </w:rPr>
        <w:t xml:space="preserve">ha spazio </w:t>
      </w:r>
      <w:r w:rsidR="007E63F1" w:rsidRPr="00AB0FAD">
        <w:rPr>
          <w:rFonts w:ascii="Times New Roman" w:eastAsia="Times New Roman" w:hAnsi="Times New Roman" w:cs="Times New Roman"/>
          <w:color w:val="000000"/>
        </w:rPr>
        <w:t xml:space="preserve">in </w:t>
      </w:r>
      <w:r w:rsidR="00280CDE" w:rsidRPr="00AB0FAD">
        <w:rPr>
          <w:rFonts w:ascii="Times New Roman" w:eastAsia="Times New Roman" w:hAnsi="Times New Roman" w:cs="Times New Roman"/>
          <w:color w:val="000000"/>
        </w:rPr>
        <w:t xml:space="preserve">ciò </w:t>
      </w:r>
      <w:r w:rsidR="007E63F1" w:rsidRPr="00AB0FAD">
        <w:rPr>
          <w:rFonts w:ascii="Times New Roman" w:eastAsia="Times New Roman" w:hAnsi="Times New Roman" w:cs="Times New Roman"/>
          <w:color w:val="000000"/>
        </w:rPr>
        <w:t xml:space="preserve">che </w:t>
      </w:r>
      <w:r w:rsidR="00043A3B" w:rsidRPr="00AB0FAD">
        <w:rPr>
          <w:rFonts w:ascii="Times New Roman" w:eastAsia="Times New Roman" w:hAnsi="Times New Roman" w:cs="Times New Roman"/>
          <w:color w:val="000000"/>
        </w:rPr>
        <w:t>Hegel</w:t>
      </w:r>
      <w:r w:rsidR="006523ED" w:rsidRPr="00AB0FAD">
        <w:rPr>
          <w:rFonts w:ascii="Times New Roman" w:eastAsia="Times New Roman" w:hAnsi="Times New Roman" w:cs="Times New Roman"/>
          <w:color w:val="000000"/>
        </w:rPr>
        <w:t xml:space="preserve"> </w:t>
      </w:r>
      <w:r w:rsidR="00043A3B" w:rsidRPr="00AB0FAD">
        <w:rPr>
          <w:rFonts w:ascii="Times New Roman" w:eastAsia="Times New Roman" w:hAnsi="Times New Roman" w:cs="Times New Roman"/>
          <w:color w:val="000000"/>
        </w:rPr>
        <w:t>de</w:t>
      </w:r>
      <w:r w:rsidR="00C1370D" w:rsidRPr="00AB0FAD">
        <w:rPr>
          <w:rFonts w:ascii="Times New Roman" w:eastAsia="Times New Roman" w:hAnsi="Times New Roman" w:cs="Times New Roman"/>
          <w:color w:val="000000"/>
        </w:rPr>
        <w:t>finisce</w:t>
      </w:r>
      <w:r w:rsidR="00160A78" w:rsidRPr="00AB0FAD">
        <w:rPr>
          <w:rFonts w:ascii="Times New Roman" w:eastAsia="Times New Roman" w:hAnsi="Times New Roman" w:cs="Times New Roman"/>
          <w:color w:val="000000"/>
        </w:rPr>
        <w:t xml:space="preserve">, nella </w:t>
      </w:r>
      <w:r w:rsidR="00160A78" w:rsidRPr="00AB0FAD">
        <w:rPr>
          <w:rFonts w:ascii="Times New Roman" w:eastAsia="Times New Roman" w:hAnsi="Times New Roman" w:cs="Times New Roman"/>
          <w:i/>
          <w:color w:val="000000"/>
        </w:rPr>
        <w:t>Vorrede</w:t>
      </w:r>
      <w:r w:rsidR="00160A78" w:rsidRPr="00AB0FAD">
        <w:rPr>
          <w:rFonts w:ascii="Times New Roman" w:eastAsia="Times New Roman" w:hAnsi="Times New Roman" w:cs="Times New Roman"/>
          <w:color w:val="000000"/>
        </w:rPr>
        <w:t>,</w:t>
      </w:r>
      <w:r w:rsidR="00043A3B" w:rsidRPr="00AB0FAD">
        <w:rPr>
          <w:rFonts w:ascii="Times New Roman" w:eastAsia="Times New Roman" w:hAnsi="Times New Roman" w:cs="Times New Roman"/>
          <w:color w:val="000000"/>
        </w:rPr>
        <w:t xml:space="preserve"> come</w:t>
      </w:r>
      <w:r w:rsidR="00043A3B" w:rsidRPr="007755C6">
        <w:rPr>
          <w:rFonts w:ascii="Times New Roman" w:eastAsia="Times New Roman" w:hAnsi="Times New Roman" w:cs="Times New Roman"/>
          <w:color w:val="000000"/>
        </w:rPr>
        <w:t xml:space="preserve"> </w:t>
      </w:r>
      <w:r w:rsidR="006A754C" w:rsidRPr="00686774">
        <w:rPr>
          <w:rFonts w:ascii="Times New Roman" w:eastAsia="Times New Roman" w:hAnsi="Times New Roman" w:cs="Times New Roman"/>
          <w:color w:val="000000"/>
        </w:rPr>
        <w:t>«ein Spiel der Liebe mit sich selbst»</w:t>
      </w:r>
      <w:r w:rsidR="006A754C" w:rsidRPr="00686774">
        <w:rPr>
          <w:rStyle w:val="Rimandonotaapidipagina"/>
          <w:rFonts w:ascii="Times New Roman" w:eastAsia="Times New Roman" w:hAnsi="Times New Roman" w:cs="Times New Roman"/>
          <w:color w:val="000000"/>
        </w:rPr>
        <w:footnoteReference w:id="297"/>
      </w:r>
      <w:r w:rsidR="004E5D80" w:rsidRPr="007755C6">
        <w:rPr>
          <w:rFonts w:ascii="Times New Roman" w:eastAsia="Times New Roman" w:hAnsi="Times New Roman" w:cs="Times New Roman"/>
          <w:color w:val="000000"/>
        </w:rPr>
        <w:t xml:space="preserve">. </w:t>
      </w:r>
      <w:r w:rsidR="00295C50">
        <w:rPr>
          <w:rFonts w:ascii="Times New Roman" w:eastAsia="Times New Roman" w:hAnsi="Times New Roman" w:cs="Times New Roman"/>
          <w:color w:val="000000"/>
        </w:rPr>
        <w:t>Ricalcando</w:t>
      </w:r>
      <w:r w:rsidR="00660CC0">
        <w:rPr>
          <w:rFonts w:ascii="Times New Roman" w:eastAsia="Times New Roman" w:hAnsi="Times New Roman" w:cs="Times New Roman"/>
          <w:color w:val="000000"/>
        </w:rPr>
        <w:t xml:space="preserve"> probabilmente</w:t>
      </w:r>
      <w:r w:rsidR="00295C50">
        <w:rPr>
          <w:rFonts w:ascii="Times New Roman" w:eastAsia="Times New Roman" w:hAnsi="Times New Roman" w:cs="Times New Roman"/>
          <w:color w:val="000000"/>
        </w:rPr>
        <w:t xml:space="preserve"> </w:t>
      </w:r>
      <w:r w:rsidR="006523ED" w:rsidRPr="007755C6">
        <w:rPr>
          <w:rFonts w:ascii="Times New Roman" w:eastAsia="Times New Roman" w:hAnsi="Times New Roman" w:cs="Times New Roman"/>
          <w:color w:val="000000"/>
        </w:rPr>
        <w:t xml:space="preserve">l’espressione böhmiana </w:t>
      </w:r>
      <w:r w:rsidR="006523ED" w:rsidRPr="00523B13">
        <w:rPr>
          <w:rFonts w:ascii="Times New Roman" w:eastAsia="Times New Roman" w:hAnsi="Times New Roman" w:cs="Times New Roman"/>
          <w:color w:val="000000"/>
        </w:rPr>
        <w:t>«der Geist Gottes mit sich selber gespielt hat»</w:t>
      </w:r>
      <w:r w:rsidR="006523ED" w:rsidRPr="00523B13">
        <w:rPr>
          <w:rStyle w:val="Rimandonotaapidipagina"/>
          <w:rFonts w:ascii="Times New Roman" w:eastAsia="Times New Roman" w:hAnsi="Times New Roman" w:cs="Times New Roman"/>
          <w:color w:val="000000"/>
        </w:rPr>
        <w:footnoteReference w:id="298"/>
      </w:r>
      <w:r w:rsidR="006523ED" w:rsidRPr="007755C6">
        <w:rPr>
          <w:rFonts w:ascii="Times New Roman" w:eastAsia="Times New Roman" w:hAnsi="Times New Roman" w:cs="Times New Roman"/>
          <w:color w:val="000000"/>
        </w:rPr>
        <w:t xml:space="preserve">, Hegel </w:t>
      </w:r>
      <w:r w:rsidR="00C1370D" w:rsidRPr="007755C6">
        <w:rPr>
          <w:rFonts w:ascii="Times New Roman" w:eastAsia="Times New Roman" w:hAnsi="Times New Roman" w:cs="Times New Roman"/>
          <w:color w:val="000000"/>
        </w:rPr>
        <w:t xml:space="preserve">descrive la relazione fra essenza eterna ed essere per sé </w:t>
      </w:r>
      <w:r w:rsidR="00E5592C">
        <w:rPr>
          <w:rFonts w:ascii="Times New Roman" w:eastAsia="Times New Roman" w:hAnsi="Times New Roman" w:cs="Times New Roman"/>
          <w:color w:val="000000"/>
        </w:rPr>
        <w:t xml:space="preserve">(il gioco dell’amore con se stesso) </w:t>
      </w:r>
      <w:r w:rsidR="00E50235" w:rsidRPr="007755C6">
        <w:rPr>
          <w:rFonts w:ascii="Times New Roman" w:eastAsia="Times New Roman" w:hAnsi="Times New Roman" w:cs="Times New Roman"/>
          <w:color w:val="000000"/>
        </w:rPr>
        <w:t xml:space="preserve">come </w:t>
      </w:r>
      <w:r w:rsidR="00C85F02" w:rsidRPr="007755C6">
        <w:rPr>
          <w:rFonts w:ascii="Times New Roman" w:eastAsia="Times New Roman" w:hAnsi="Times New Roman" w:cs="Times New Roman"/>
          <w:color w:val="000000"/>
        </w:rPr>
        <w:t>un</w:t>
      </w:r>
      <w:r w:rsidR="00E50235" w:rsidRPr="007755C6">
        <w:rPr>
          <w:rFonts w:ascii="Times New Roman" w:eastAsia="Times New Roman" w:hAnsi="Times New Roman" w:cs="Times New Roman"/>
          <w:color w:val="000000"/>
        </w:rPr>
        <w:t xml:space="preserve"> </w:t>
      </w:r>
      <w:r w:rsidR="00E50235" w:rsidRPr="007755C6">
        <w:rPr>
          <w:rFonts w:ascii="Times New Roman" w:eastAsia="Times New Roman" w:hAnsi="Times New Roman" w:cs="Times New Roman"/>
          <w:i/>
          <w:color w:val="000000"/>
        </w:rPr>
        <w:t>Anerkennen der Liebe</w:t>
      </w:r>
      <w:r w:rsidR="004E5D80" w:rsidRPr="007755C6">
        <w:rPr>
          <w:rFonts w:ascii="Times New Roman" w:eastAsia="Times New Roman" w:hAnsi="Times New Roman" w:cs="Times New Roman"/>
          <w:color w:val="000000"/>
        </w:rPr>
        <w:t>:</w:t>
      </w:r>
    </w:p>
    <w:p w14:paraId="52BBAFC1" w14:textId="77777777" w:rsidR="004E5D80" w:rsidRDefault="004E5D80" w:rsidP="00BE6A0E">
      <w:pPr>
        <w:spacing w:line="360" w:lineRule="auto"/>
        <w:ind w:firstLine="567"/>
        <w:jc w:val="both"/>
        <w:rPr>
          <w:rFonts w:ascii="Times New Roman" w:eastAsia="Times New Roman" w:hAnsi="Times New Roman" w:cs="Times New Roman"/>
          <w:color w:val="000000"/>
        </w:rPr>
      </w:pPr>
    </w:p>
    <w:p w14:paraId="4378F6D2" w14:textId="06FB728C" w:rsidR="004E5D80" w:rsidRPr="00523B13" w:rsidRDefault="00E22C09" w:rsidP="006523ED">
      <w:pPr>
        <w:spacing w:line="360" w:lineRule="auto"/>
        <w:ind w:left="708" w:firstLine="567"/>
        <w:jc w:val="both"/>
        <w:rPr>
          <w:rFonts w:ascii="Times New Roman" w:eastAsia="Times New Roman" w:hAnsi="Times New Roman" w:cs="Times New Roman"/>
          <w:color w:val="000000"/>
          <w:sz w:val="20"/>
          <w:szCs w:val="20"/>
        </w:rPr>
      </w:pPr>
      <w:r w:rsidRPr="00523B13">
        <w:rPr>
          <w:rFonts w:ascii="Times New Roman" w:eastAsia="Times New Roman" w:hAnsi="Times New Roman" w:cs="Times New Roman"/>
          <w:color w:val="000000"/>
          <w:sz w:val="20"/>
          <w:szCs w:val="20"/>
        </w:rPr>
        <w:t>«</w:t>
      </w:r>
      <w:r w:rsidR="004E5D80" w:rsidRPr="00523B13">
        <w:rPr>
          <w:rFonts w:ascii="Times New Roman" w:eastAsia="Times New Roman" w:hAnsi="Times New Roman" w:cs="Times New Roman"/>
          <w:color w:val="000000"/>
          <w:sz w:val="20"/>
          <w:szCs w:val="20"/>
        </w:rPr>
        <w:t>Oder was dasselbe ist, die Beziehung des ewigen Wesens auf sein Fürsichsein ist die unmittelbar-einfache des reinen Denkens; in diesem einfachen Anschauen seiner selbst im Anderen ist also das Anderssein nicht als solches gesetzt; es ist der Unterschied, wie er im Denken unmittelbar kein Unterschied ist; ein Anerkennen der Liebe, worin beide nicht ihrem Wesen nach sich entgegensetzten»</w:t>
      </w:r>
      <w:r w:rsidR="004E5D80" w:rsidRPr="00523B13">
        <w:rPr>
          <w:rStyle w:val="Rimandonotaapidipagina"/>
          <w:rFonts w:ascii="Times New Roman" w:eastAsia="Times New Roman" w:hAnsi="Times New Roman" w:cs="Times New Roman"/>
          <w:color w:val="000000"/>
          <w:sz w:val="20"/>
          <w:szCs w:val="20"/>
        </w:rPr>
        <w:footnoteReference w:id="299"/>
      </w:r>
      <w:r w:rsidR="004E5D80" w:rsidRPr="00523B13">
        <w:rPr>
          <w:rFonts w:ascii="Times New Roman" w:eastAsia="Times New Roman" w:hAnsi="Times New Roman" w:cs="Times New Roman"/>
          <w:color w:val="000000"/>
          <w:sz w:val="20"/>
          <w:szCs w:val="20"/>
        </w:rPr>
        <w:t>.</w:t>
      </w:r>
    </w:p>
    <w:p w14:paraId="40F02D44" w14:textId="77777777" w:rsidR="006A754C" w:rsidRPr="00E22C09" w:rsidRDefault="006A754C" w:rsidP="00BE6A0E">
      <w:pPr>
        <w:spacing w:line="360" w:lineRule="auto"/>
        <w:ind w:firstLine="567"/>
        <w:jc w:val="both"/>
        <w:rPr>
          <w:rFonts w:ascii="Times New Roman" w:eastAsia="Times New Roman" w:hAnsi="Times New Roman" w:cs="Times New Roman"/>
          <w:color w:val="000000"/>
        </w:rPr>
      </w:pPr>
    </w:p>
    <w:p w14:paraId="069CEE6C" w14:textId="10826A00" w:rsidR="005B09C1" w:rsidRDefault="00D7535B" w:rsidP="00F57276">
      <w:pPr>
        <w:spacing w:line="360" w:lineRule="auto"/>
        <w:ind w:firstLine="567"/>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Il Padre, che immediatamente s’intuisce nel Figlio, </w:t>
      </w:r>
      <w:r w:rsidR="00623E73">
        <w:rPr>
          <w:rFonts w:ascii="Times New Roman" w:eastAsia="Times New Roman" w:hAnsi="Times New Roman" w:cs="Times New Roman"/>
          <w:color w:val="000000"/>
        </w:rPr>
        <w:t xml:space="preserve">si </w:t>
      </w:r>
      <w:r>
        <w:rPr>
          <w:rFonts w:ascii="Times New Roman" w:eastAsia="Times New Roman" w:hAnsi="Times New Roman" w:cs="Times New Roman"/>
          <w:color w:val="000000"/>
        </w:rPr>
        <w:t xml:space="preserve">riflette semplicemente in se stesso. </w:t>
      </w:r>
      <w:r w:rsidR="00623E73">
        <w:rPr>
          <w:rFonts w:ascii="Times New Roman" w:eastAsia="Times New Roman" w:hAnsi="Times New Roman" w:cs="Times New Roman"/>
          <w:color w:val="000000"/>
        </w:rPr>
        <w:t>Nel riconoscimento dell’amore, l</w:t>
      </w:r>
      <w:r>
        <w:rPr>
          <w:rFonts w:ascii="Times New Roman" w:eastAsia="Times New Roman" w:hAnsi="Times New Roman" w:cs="Times New Roman"/>
          <w:color w:val="000000"/>
        </w:rPr>
        <w:t>’altro da sé non rivendica una propria indipe</w:t>
      </w:r>
      <w:r w:rsidR="00523B13">
        <w:rPr>
          <w:rFonts w:ascii="Times New Roman" w:eastAsia="Times New Roman" w:hAnsi="Times New Roman" w:cs="Times New Roman"/>
          <w:color w:val="000000"/>
        </w:rPr>
        <w:t>ndenza e</w:t>
      </w:r>
      <w:r w:rsidR="0083202A">
        <w:rPr>
          <w:rFonts w:ascii="Times New Roman" w:eastAsia="Times New Roman" w:hAnsi="Times New Roman" w:cs="Times New Roman"/>
          <w:color w:val="000000"/>
        </w:rPr>
        <w:t xml:space="preserve"> autonomia: nel legame, che per mezzo dell’a</w:t>
      </w:r>
      <w:r w:rsidR="00743EB9">
        <w:rPr>
          <w:rFonts w:ascii="Times New Roman" w:eastAsia="Times New Roman" w:hAnsi="Times New Roman" w:cs="Times New Roman"/>
          <w:color w:val="000000"/>
        </w:rPr>
        <w:t xml:space="preserve">more </w:t>
      </w:r>
      <w:r w:rsidR="0083202A">
        <w:rPr>
          <w:rFonts w:ascii="Times New Roman" w:eastAsia="Times New Roman" w:hAnsi="Times New Roman" w:cs="Times New Roman"/>
          <w:color w:val="000000"/>
        </w:rPr>
        <w:t>s’instaura,</w:t>
      </w:r>
      <w:r>
        <w:rPr>
          <w:rFonts w:ascii="Times New Roman" w:eastAsia="Times New Roman" w:hAnsi="Times New Roman" w:cs="Times New Roman"/>
          <w:color w:val="000000"/>
        </w:rPr>
        <w:t xml:space="preserve"> l’o</w:t>
      </w:r>
      <w:r w:rsidR="006523ED">
        <w:rPr>
          <w:rFonts w:ascii="Times New Roman" w:eastAsia="Times New Roman" w:hAnsi="Times New Roman" w:cs="Times New Roman"/>
          <w:color w:val="000000"/>
        </w:rPr>
        <w:t>pposizione non trova spazio e la differenza si riduce</w:t>
      </w:r>
      <w:r w:rsidR="00C85F02">
        <w:rPr>
          <w:rFonts w:ascii="Times New Roman" w:eastAsia="Times New Roman" w:hAnsi="Times New Roman" w:cs="Times New Roman"/>
          <w:color w:val="000000"/>
        </w:rPr>
        <w:t xml:space="preserve"> a</w:t>
      </w:r>
      <w:r w:rsidR="004A6641">
        <w:rPr>
          <w:rFonts w:ascii="Times New Roman" w:eastAsia="Times New Roman" w:hAnsi="Times New Roman" w:cs="Times New Roman"/>
          <w:color w:val="000000"/>
        </w:rPr>
        <w:t xml:space="preserve"> nulla</w:t>
      </w:r>
      <w:r>
        <w:rPr>
          <w:rFonts w:ascii="Times New Roman" w:eastAsia="Times New Roman" w:hAnsi="Times New Roman" w:cs="Times New Roman"/>
          <w:color w:val="000000"/>
        </w:rPr>
        <w:t>. Là dove s</w:t>
      </w:r>
      <w:r w:rsidR="0083202A">
        <w:rPr>
          <w:rFonts w:ascii="Times New Roman" w:eastAsia="Times New Roman" w:hAnsi="Times New Roman" w:cs="Times New Roman"/>
          <w:color w:val="000000"/>
        </w:rPr>
        <w:t>ussi</w:t>
      </w:r>
      <w:r w:rsidR="009C5513">
        <w:rPr>
          <w:rFonts w:ascii="Times New Roman" w:eastAsia="Times New Roman" w:hAnsi="Times New Roman" w:cs="Times New Roman"/>
          <w:color w:val="000000"/>
        </w:rPr>
        <w:t>s</w:t>
      </w:r>
      <w:r w:rsidR="0083202A">
        <w:rPr>
          <w:rFonts w:ascii="Times New Roman" w:eastAsia="Times New Roman" w:hAnsi="Times New Roman" w:cs="Times New Roman"/>
          <w:color w:val="000000"/>
        </w:rPr>
        <w:t>te un amore puro</w:t>
      </w:r>
      <w:r w:rsidR="004A6641">
        <w:rPr>
          <w:rFonts w:ascii="Times New Roman" w:eastAsia="Times New Roman" w:hAnsi="Times New Roman" w:cs="Times New Roman"/>
          <w:color w:val="000000"/>
        </w:rPr>
        <w:t xml:space="preserve"> viene a </w:t>
      </w:r>
      <w:r>
        <w:rPr>
          <w:rFonts w:ascii="Times New Roman" w:eastAsia="Times New Roman" w:hAnsi="Times New Roman" w:cs="Times New Roman"/>
          <w:color w:val="000000"/>
        </w:rPr>
        <w:t>manca</w:t>
      </w:r>
      <w:r w:rsidR="004A6641">
        <w:rPr>
          <w:rFonts w:ascii="Times New Roman" w:eastAsia="Times New Roman" w:hAnsi="Times New Roman" w:cs="Times New Roman"/>
          <w:color w:val="000000"/>
        </w:rPr>
        <w:t>re</w:t>
      </w:r>
      <w:r>
        <w:rPr>
          <w:rFonts w:ascii="Times New Roman" w:eastAsia="Times New Roman" w:hAnsi="Times New Roman" w:cs="Times New Roman"/>
          <w:color w:val="000000"/>
        </w:rPr>
        <w:t xml:space="preserve"> </w:t>
      </w:r>
      <w:r w:rsidR="004A6641">
        <w:rPr>
          <w:rFonts w:ascii="Times New Roman" w:eastAsia="Times New Roman" w:hAnsi="Times New Roman" w:cs="Times New Roman"/>
          <w:color w:val="000000"/>
        </w:rPr>
        <w:t>quel</w:t>
      </w:r>
      <w:r>
        <w:rPr>
          <w:rFonts w:ascii="Times New Roman" w:eastAsia="Times New Roman" w:hAnsi="Times New Roman" w:cs="Times New Roman"/>
          <w:color w:val="000000"/>
        </w:rPr>
        <w:t xml:space="preserve">la vitalità che </w:t>
      </w:r>
      <w:r w:rsidR="004A6641">
        <w:rPr>
          <w:rFonts w:ascii="Times New Roman" w:eastAsia="Times New Roman" w:hAnsi="Times New Roman" w:cs="Times New Roman"/>
          <w:color w:val="000000"/>
        </w:rPr>
        <w:t xml:space="preserve">rende </w:t>
      </w:r>
      <w:r>
        <w:rPr>
          <w:rFonts w:ascii="Times New Roman" w:eastAsia="Times New Roman" w:hAnsi="Times New Roman" w:cs="Times New Roman"/>
          <w:color w:val="000000"/>
        </w:rPr>
        <w:t xml:space="preserve">l’essenza </w:t>
      </w:r>
      <w:r w:rsidR="00C1370D">
        <w:rPr>
          <w:rFonts w:ascii="Times New Roman" w:eastAsia="Times New Roman" w:hAnsi="Times New Roman" w:cs="Times New Roman"/>
          <w:color w:val="000000"/>
        </w:rPr>
        <w:t>etern</w:t>
      </w:r>
      <w:r w:rsidR="004A6641">
        <w:rPr>
          <w:rFonts w:ascii="Times New Roman" w:eastAsia="Times New Roman" w:hAnsi="Times New Roman" w:cs="Times New Roman"/>
          <w:color w:val="000000"/>
        </w:rPr>
        <w:t>a</w:t>
      </w:r>
      <w:r>
        <w:rPr>
          <w:rFonts w:ascii="Times New Roman" w:eastAsia="Times New Roman" w:hAnsi="Times New Roman" w:cs="Times New Roman"/>
          <w:color w:val="000000"/>
        </w:rPr>
        <w:t xml:space="preserve"> una sostanza vivente. </w:t>
      </w:r>
      <w:r w:rsidR="0083202A">
        <w:rPr>
          <w:rFonts w:ascii="Times New Roman" w:eastAsia="Times New Roman" w:hAnsi="Times New Roman" w:cs="Times New Roman"/>
          <w:color w:val="000000"/>
        </w:rPr>
        <w:t>La negatività dell’</w:t>
      </w:r>
      <w:r w:rsidR="0083202A" w:rsidRPr="0083202A">
        <w:rPr>
          <w:rFonts w:ascii="Times New Roman" w:eastAsia="Times New Roman" w:hAnsi="Times New Roman" w:cs="Times New Roman"/>
          <w:i/>
          <w:color w:val="000000"/>
        </w:rPr>
        <w:t>ewiges Wesen</w:t>
      </w:r>
      <w:r w:rsidR="0083202A">
        <w:rPr>
          <w:rFonts w:ascii="Times New Roman" w:eastAsia="Times New Roman" w:hAnsi="Times New Roman" w:cs="Times New Roman"/>
          <w:i/>
          <w:color w:val="000000"/>
        </w:rPr>
        <w:t xml:space="preserve"> </w:t>
      </w:r>
      <w:r w:rsidR="0083202A">
        <w:rPr>
          <w:rFonts w:ascii="Times New Roman" w:eastAsia="Times New Roman" w:hAnsi="Times New Roman" w:cs="Times New Roman"/>
          <w:color w:val="000000"/>
        </w:rPr>
        <w:t xml:space="preserve">non è tale da consentirle di posizionare il proprio essere altro </w:t>
      </w:r>
      <w:r w:rsidR="00F57276">
        <w:rPr>
          <w:rFonts w:ascii="Times New Roman" w:eastAsia="Times New Roman" w:hAnsi="Times New Roman" w:cs="Times New Roman"/>
          <w:color w:val="000000"/>
        </w:rPr>
        <w:t>a parti</w:t>
      </w:r>
      <w:r w:rsidR="005012AE">
        <w:rPr>
          <w:rFonts w:ascii="Times New Roman" w:eastAsia="Times New Roman" w:hAnsi="Times New Roman" w:cs="Times New Roman"/>
          <w:color w:val="000000"/>
        </w:rPr>
        <w:t xml:space="preserve">re dalla negazione di sé. La </w:t>
      </w:r>
      <w:r w:rsidR="00F57276">
        <w:rPr>
          <w:rFonts w:ascii="Times New Roman" w:eastAsia="Times New Roman" w:hAnsi="Times New Roman" w:cs="Times New Roman"/>
          <w:color w:val="000000"/>
        </w:rPr>
        <w:t>riflessività del pensiero, che consente all’autoeguaglianza assoluta</w:t>
      </w:r>
      <w:r w:rsidR="00F5421E">
        <w:rPr>
          <w:rFonts w:ascii="Times New Roman" w:eastAsia="Times New Roman" w:hAnsi="Times New Roman" w:cs="Times New Roman"/>
          <w:color w:val="000000"/>
        </w:rPr>
        <w:t xml:space="preserve"> di essere un intero concreto e</w:t>
      </w:r>
      <w:r w:rsidR="00F57276">
        <w:rPr>
          <w:rFonts w:ascii="Times New Roman" w:eastAsia="Times New Roman" w:hAnsi="Times New Roman" w:cs="Times New Roman"/>
          <w:color w:val="000000"/>
        </w:rPr>
        <w:t xml:space="preserve"> in sé articolato, </w:t>
      </w:r>
      <w:r w:rsidR="00C1370D">
        <w:rPr>
          <w:rFonts w:ascii="Times New Roman" w:eastAsia="Times New Roman" w:hAnsi="Times New Roman" w:cs="Times New Roman"/>
          <w:color w:val="000000"/>
        </w:rPr>
        <w:t>esula dall’auto</w:t>
      </w:r>
      <w:r w:rsidR="00C85F02">
        <w:rPr>
          <w:rFonts w:ascii="Times New Roman" w:eastAsia="Times New Roman" w:hAnsi="Times New Roman" w:cs="Times New Roman"/>
          <w:color w:val="000000"/>
        </w:rPr>
        <w:t>generazione eterna della persona</w:t>
      </w:r>
      <w:r w:rsidR="00C1370D">
        <w:rPr>
          <w:rFonts w:ascii="Times New Roman" w:eastAsia="Times New Roman" w:hAnsi="Times New Roman" w:cs="Times New Roman"/>
          <w:color w:val="000000"/>
        </w:rPr>
        <w:t>lità divina. La T</w:t>
      </w:r>
      <w:r w:rsidR="00F57276">
        <w:rPr>
          <w:rFonts w:ascii="Times New Roman" w:eastAsia="Times New Roman" w:hAnsi="Times New Roman" w:cs="Times New Roman"/>
          <w:color w:val="000000"/>
        </w:rPr>
        <w:t>rinità, presa nella sua accezione pri</w:t>
      </w:r>
      <w:r w:rsidR="008F494F">
        <w:rPr>
          <w:rFonts w:ascii="Times New Roman" w:eastAsia="Times New Roman" w:hAnsi="Times New Roman" w:cs="Times New Roman"/>
          <w:color w:val="000000"/>
        </w:rPr>
        <w:t>ma, non ci restituisce un inter</w:t>
      </w:r>
      <w:r w:rsidR="00F57276">
        <w:rPr>
          <w:rFonts w:ascii="Times New Roman" w:eastAsia="Times New Roman" w:hAnsi="Times New Roman" w:cs="Times New Roman"/>
          <w:color w:val="000000"/>
        </w:rPr>
        <w:t>o, ma un’universalità semplice</w:t>
      </w:r>
      <w:r w:rsidR="00872FC9">
        <w:rPr>
          <w:rFonts w:ascii="Times New Roman" w:eastAsia="Times New Roman" w:hAnsi="Times New Roman" w:cs="Times New Roman"/>
          <w:color w:val="000000"/>
        </w:rPr>
        <w:t>, che riposa in sé e che sublima</w:t>
      </w:r>
      <w:r w:rsidR="00F57276">
        <w:rPr>
          <w:rFonts w:ascii="Times New Roman" w:eastAsia="Times New Roman" w:hAnsi="Times New Roman" w:cs="Times New Roman"/>
          <w:color w:val="000000"/>
        </w:rPr>
        <w:t xml:space="preserve"> le differenze in una quieta indifferenza. </w:t>
      </w:r>
    </w:p>
    <w:p w14:paraId="0466F1B5" w14:textId="0DD03596" w:rsidR="0090770D" w:rsidRPr="003B7CA0" w:rsidRDefault="00F57276" w:rsidP="003B7CA0">
      <w:pPr>
        <w:spacing w:line="360" w:lineRule="auto"/>
        <w:ind w:firstLine="567"/>
        <w:jc w:val="both"/>
        <w:rPr>
          <w:rFonts w:ascii="Times New Roman" w:eastAsia="Times New Roman" w:hAnsi="Times New Roman" w:cs="Times New Roman"/>
          <w:color w:val="000000"/>
          <w:highlight w:val="yellow"/>
        </w:rPr>
      </w:pPr>
      <w:r w:rsidRPr="007755C6">
        <w:rPr>
          <w:rFonts w:ascii="Times New Roman" w:eastAsia="Times New Roman" w:hAnsi="Times New Roman" w:cs="Times New Roman"/>
          <w:color w:val="000000"/>
        </w:rPr>
        <w:t>È propri</w:t>
      </w:r>
      <w:r w:rsidR="00572690" w:rsidRPr="007755C6">
        <w:rPr>
          <w:rFonts w:ascii="Times New Roman" w:eastAsia="Times New Roman" w:hAnsi="Times New Roman" w:cs="Times New Roman"/>
          <w:color w:val="000000"/>
        </w:rPr>
        <w:t>o con il fine di superare questa</w:t>
      </w:r>
      <w:r w:rsidRPr="007755C6">
        <w:rPr>
          <w:rFonts w:ascii="Times New Roman" w:eastAsia="Times New Roman" w:hAnsi="Times New Roman" w:cs="Times New Roman"/>
          <w:color w:val="000000"/>
        </w:rPr>
        <w:t xml:space="preserve"> </w:t>
      </w:r>
      <w:r w:rsidRPr="007755C6">
        <w:rPr>
          <w:rFonts w:ascii="Times New Roman" w:eastAsia="Times New Roman" w:hAnsi="Times New Roman" w:cs="Times New Roman"/>
          <w:i/>
          <w:color w:val="000000"/>
        </w:rPr>
        <w:t xml:space="preserve">ewige Ruhe </w:t>
      </w:r>
      <w:r w:rsidRPr="007755C6">
        <w:rPr>
          <w:rFonts w:ascii="Times New Roman" w:eastAsia="Times New Roman" w:hAnsi="Times New Roman" w:cs="Times New Roman"/>
          <w:color w:val="000000"/>
        </w:rPr>
        <w:t>dell’essenza suprema</w:t>
      </w:r>
      <w:r w:rsidRPr="007755C6">
        <w:rPr>
          <w:rFonts w:ascii="Times New Roman" w:eastAsia="Times New Roman" w:hAnsi="Times New Roman" w:cs="Times New Roman"/>
          <w:i/>
          <w:color w:val="000000"/>
        </w:rPr>
        <w:t xml:space="preserve"> </w:t>
      </w:r>
      <w:r w:rsidRPr="007755C6">
        <w:rPr>
          <w:rFonts w:ascii="Times New Roman" w:eastAsia="Times New Roman" w:hAnsi="Times New Roman" w:cs="Times New Roman"/>
          <w:color w:val="000000"/>
        </w:rPr>
        <w:t>che Hegel introduce i</w:t>
      </w:r>
      <w:r w:rsidR="00BA376B" w:rsidRPr="007755C6">
        <w:rPr>
          <w:rFonts w:ascii="Times New Roman" w:eastAsia="Times New Roman" w:hAnsi="Times New Roman" w:cs="Times New Roman"/>
          <w:color w:val="000000"/>
        </w:rPr>
        <w:t xml:space="preserve">l concetto </w:t>
      </w:r>
      <w:r w:rsidR="00EF6886">
        <w:rPr>
          <w:rFonts w:ascii="Times New Roman" w:eastAsia="Times New Roman" w:hAnsi="Times New Roman" w:cs="Times New Roman"/>
          <w:color w:val="000000"/>
        </w:rPr>
        <w:t>della</w:t>
      </w:r>
      <w:r w:rsidRPr="007755C6">
        <w:rPr>
          <w:rFonts w:ascii="Times New Roman" w:eastAsia="Times New Roman" w:hAnsi="Times New Roman" w:cs="Times New Roman"/>
          <w:color w:val="000000"/>
        </w:rPr>
        <w:t xml:space="preserve"> </w:t>
      </w:r>
      <w:r w:rsidRPr="007755C6">
        <w:rPr>
          <w:rFonts w:ascii="Times New Roman" w:eastAsia="Times New Roman" w:hAnsi="Times New Roman" w:cs="Times New Roman"/>
          <w:i/>
          <w:color w:val="000000"/>
        </w:rPr>
        <w:t>Zorn Gottes</w:t>
      </w:r>
      <w:r w:rsidR="00923F6E" w:rsidRPr="007755C6">
        <w:rPr>
          <w:rFonts w:ascii="Times New Roman" w:eastAsia="Times New Roman" w:hAnsi="Times New Roman" w:cs="Times New Roman"/>
          <w:color w:val="000000"/>
        </w:rPr>
        <w:t xml:space="preserve">, </w:t>
      </w:r>
      <w:r w:rsidR="00CE5F20" w:rsidRPr="007755C6">
        <w:rPr>
          <w:rFonts w:ascii="Times New Roman" w:eastAsia="Times New Roman" w:hAnsi="Times New Roman" w:cs="Times New Roman"/>
          <w:color w:val="000000"/>
        </w:rPr>
        <w:t xml:space="preserve">ossia </w:t>
      </w:r>
      <w:r w:rsidR="00040299" w:rsidRPr="007755C6">
        <w:rPr>
          <w:rFonts w:ascii="Times New Roman" w:eastAsia="Times New Roman" w:hAnsi="Times New Roman" w:cs="Times New Roman"/>
          <w:color w:val="000000"/>
        </w:rPr>
        <w:t>que</w:t>
      </w:r>
      <w:r w:rsidR="00BA376B" w:rsidRPr="007755C6">
        <w:rPr>
          <w:rFonts w:ascii="Times New Roman" w:eastAsia="Times New Roman" w:hAnsi="Times New Roman" w:cs="Times New Roman"/>
          <w:color w:val="000000"/>
        </w:rPr>
        <w:t>lla</w:t>
      </w:r>
      <w:r w:rsidR="007F3FEA" w:rsidRPr="007755C6">
        <w:rPr>
          <w:rFonts w:ascii="Times New Roman" w:eastAsia="Times New Roman" w:hAnsi="Times New Roman" w:cs="Times New Roman"/>
          <w:color w:val="000000"/>
        </w:rPr>
        <w:t xml:space="preserve"> </w:t>
      </w:r>
      <w:r w:rsidR="007F3FEA" w:rsidRPr="007755C6">
        <w:rPr>
          <w:rFonts w:ascii="Times New Roman" w:eastAsia="Times New Roman" w:hAnsi="Times New Roman" w:cs="Times New Roman"/>
          <w:i/>
          <w:color w:val="000000"/>
        </w:rPr>
        <w:t>rappresentazion</w:t>
      </w:r>
      <w:r w:rsidR="00BA376B" w:rsidRPr="007755C6">
        <w:rPr>
          <w:rFonts w:ascii="Times New Roman" w:eastAsia="Times New Roman" w:hAnsi="Times New Roman" w:cs="Times New Roman"/>
          <w:i/>
          <w:color w:val="000000"/>
        </w:rPr>
        <w:t>e</w:t>
      </w:r>
      <w:r w:rsidR="005012AE">
        <w:rPr>
          <w:rFonts w:ascii="Times New Roman" w:eastAsia="Times New Roman" w:hAnsi="Times New Roman" w:cs="Times New Roman"/>
          <w:i/>
          <w:color w:val="000000"/>
        </w:rPr>
        <w:t xml:space="preserve"> </w:t>
      </w:r>
      <w:r w:rsidR="005012AE" w:rsidRPr="005012AE">
        <w:rPr>
          <w:rFonts w:ascii="Times New Roman" w:eastAsia="Times New Roman" w:hAnsi="Times New Roman" w:cs="Times New Roman"/>
          <w:color w:val="000000"/>
        </w:rPr>
        <w:t>böhmiana</w:t>
      </w:r>
      <w:r w:rsidR="00026C90">
        <w:rPr>
          <w:rFonts w:ascii="Times New Roman" w:eastAsia="Times New Roman" w:hAnsi="Times New Roman" w:cs="Times New Roman"/>
          <w:color w:val="000000"/>
        </w:rPr>
        <w:t xml:space="preserve">, </w:t>
      </w:r>
      <w:r w:rsidR="00271482" w:rsidRPr="00271482">
        <w:rPr>
          <w:rFonts w:ascii="Times New Roman" w:eastAsia="Times New Roman" w:hAnsi="Times New Roman" w:cs="Times New Roman"/>
          <w:color w:val="000000"/>
        </w:rPr>
        <w:t>prossima</w:t>
      </w:r>
      <w:r w:rsidR="00026C90" w:rsidRPr="00271482">
        <w:rPr>
          <w:rFonts w:ascii="Times New Roman" w:eastAsia="Times New Roman" w:hAnsi="Times New Roman" w:cs="Times New Roman"/>
          <w:color w:val="000000"/>
        </w:rPr>
        <w:t xml:space="preserve"> all’universo simbolico della Qabbalah,</w:t>
      </w:r>
      <w:r w:rsidR="00BA376B" w:rsidRPr="007755C6">
        <w:rPr>
          <w:rFonts w:ascii="Times New Roman" w:eastAsia="Times New Roman" w:hAnsi="Times New Roman" w:cs="Times New Roman"/>
          <w:i/>
          <w:color w:val="000000"/>
        </w:rPr>
        <w:t xml:space="preserve"> </w:t>
      </w:r>
      <w:r w:rsidR="00BA376B" w:rsidRPr="007755C6">
        <w:rPr>
          <w:rFonts w:ascii="Times New Roman" w:eastAsia="Times New Roman" w:hAnsi="Times New Roman" w:cs="Times New Roman"/>
          <w:color w:val="000000"/>
        </w:rPr>
        <w:t xml:space="preserve">in grado d’esprimere </w:t>
      </w:r>
      <w:r w:rsidR="00BA376B" w:rsidRPr="007755C6">
        <w:rPr>
          <w:rFonts w:ascii="Times New Roman" w:eastAsia="Times New Roman" w:hAnsi="Times New Roman" w:cs="Times New Roman"/>
          <w:i/>
          <w:color w:val="000000"/>
        </w:rPr>
        <w:t>fig</w:t>
      </w:r>
      <w:r w:rsidR="00C93EFA" w:rsidRPr="007755C6">
        <w:rPr>
          <w:rFonts w:ascii="Times New Roman" w:eastAsia="Times New Roman" w:hAnsi="Times New Roman" w:cs="Times New Roman"/>
          <w:i/>
          <w:color w:val="000000"/>
        </w:rPr>
        <w:t>uratamente</w:t>
      </w:r>
      <w:r w:rsidR="00BA376B" w:rsidRPr="007755C6">
        <w:rPr>
          <w:rFonts w:ascii="Times New Roman" w:eastAsia="Times New Roman" w:hAnsi="Times New Roman" w:cs="Times New Roman"/>
          <w:color w:val="000000"/>
        </w:rPr>
        <w:t xml:space="preserve"> la conflittualità (</w:t>
      </w:r>
      <w:r w:rsidR="00BA376B" w:rsidRPr="007755C6">
        <w:rPr>
          <w:rFonts w:ascii="Times New Roman" w:eastAsia="Times New Roman" w:hAnsi="Times New Roman" w:cs="Times New Roman"/>
          <w:i/>
          <w:color w:val="000000"/>
        </w:rPr>
        <w:t>negatività</w:t>
      </w:r>
      <w:r w:rsidR="00BA376B" w:rsidRPr="007755C6">
        <w:rPr>
          <w:rFonts w:ascii="Times New Roman" w:eastAsia="Times New Roman" w:hAnsi="Times New Roman" w:cs="Times New Roman"/>
          <w:color w:val="000000"/>
        </w:rPr>
        <w:t>)</w:t>
      </w:r>
      <w:r w:rsidR="007F3FEA" w:rsidRPr="007755C6">
        <w:rPr>
          <w:rFonts w:ascii="Times New Roman" w:eastAsia="Times New Roman" w:hAnsi="Times New Roman" w:cs="Times New Roman"/>
          <w:color w:val="000000"/>
        </w:rPr>
        <w:t xml:space="preserve"> </w:t>
      </w:r>
      <w:r w:rsidR="00BA376B" w:rsidRPr="007755C6">
        <w:rPr>
          <w:rFonts w:ascii="Times New Roman" w:eastAsia="Times New Roman" w:hAnsi="Times New Roman" w:cs="Times New Roman"/>
          <w:color w:val="000000"/>
        </w:rPr>
        <w:t>interiore del divino</w:t>
      </w:r>
      <w:r w:rsidR="00060FA4" w:rsidRPr="007755C6">
        <w:rPr>
          <w:rStyle w:val="Rimandonotaapidipagina"/>
          <w:rFonts w:ascii="Times New Roman" w:eastAsia="Times New Roman" w:hAnsi="Times New Roman" w:cs="Times New Roman"/>
          <w:color w:val="000000"/>
        </w:rPr>
        <w:footnoteReference w:id="300"/>
      </w:r>
      <w:r w:rsidR="005B09C1" w:rsidRPr="007755C6">
        <w:rPr>
          <w:rFonts w:ascii="Times New Roman" w:eastAsia="Times New Roman" w:hAnsi="Times New Roman" w:cs="Times New Roman"/>
          <w:color w:val="000000"/>
        </w:rPr>
        <w:t>.</w:t>
      </w:r>
      <w:r w:rsidR="005B09C1">
        <w:rPr>
          <w:rFonts w:ascii="Times New Roman" w:eastAsia="Times New Roman" w:hAnsi="Times New Roman" w:cs="Times New Roman"/>
          <w:color w:val="000000"/>
        </w:rPr>
        <w:t xml:space="preserve"> </w:t>
      </w:r>
      <w:r w:rsidR="00954FBF">
        <w:rPr>
          <w:rFonts w:ascii="Times New Roman" w:eastAsia="Times New Roman" w:hAnsi="Times New Roman" w:cs="Times New Roman"/>
          <w:color w:val="000000"/>
        </w:rPr>
        <w:t>Prima di discutere questa</w:t>
      </w:r>
      <w:r w:rsidR="00923F6E" w:rsidRPr="007755C6">
        <w:rPr>
          <w:rFonts w:ascii="Times New Roman" w:eastAsia="Times New Roman" w:hAnsi="Times New Roman" w:cs="Times New Roman"/>
          <w:color w:val="000000"/>
        </w:rPr>
        <w:t xml:space="preserve"> im</w:t>
      </w:r>
      <w:r w:rsidR="00954FBF">
        <w:rPr>
          <w:rFonts w:ascii="Times New Roman" w:eastAsia="Times New Roman" w:hAnsi="Times New Roman" w:cs="Times New Roman"/>
          <w:color w:val="000000"/>
        </w:rPr>
        <w:t>magine</w:t>
      </w:r>
      <w:r w:rsidR="005B09C1" w:rsidRPr="007755C6">
        <w:rPr>
          <w:rFonts w:ascii="Times New Roman" w:eastAsia="Times New Roman" w:hAnsi="Times New Roman" w:cs="Times New Roman"/>
          <w:color w:val="000000"/>
        </w:rPr>
        <w:t xml:space="preserve">, </w:t>
      </w:r>
      <w:r w:rsidR="003518B2" w:rsidRPr="007755C6">
        <w:rPr>
          <w:rFonts w:ascii="Times New Roman" w:eastAsia="Times New Roman" w:hAnsi="Times New Roman" w:cs="Times New Roman"/>
          <w:color w:val="000000"/>
        </w:rPr>
        <w:t xml:space="preserve">è opportuno fare una puntualizzazione </w:t>
      </w:r>
      <w:r w:rsidR="005B09C1" w:rsidRPr="007755C6">
        <w:rPr>
          <w:rFonts w:ascii="Times New Roman" w:eastAsia="Times New Roman" w:hAnsi="Times New Roman" w:cs="Times New Roman"/>
          <w:color w:val="000000"/>
        </w:rPr>
        <w:t>sulla natura del puro pensiero: lungi dall’essere qualcosa non affetto da tensione alcuna,</w:t>
      </w:r>
      <w:r w:rsidR="008957A5" w:rsidRPr="007755C6">
        <w:rPr>
          <w:rFonts w:ascii="Times New Roman" w:eastAsia="Times New Roman" w:hAnsi="Times New Roman" w:cs="Times New Roman"/>
          <w:color w:val="000000"/>
        </w:rPr>
        <w:t xml:space="preserve"> il </w:t>
      </w:r>
      <w:r w:rsidR="008957A5" w:rsidRPr="007755C6">
        <w:rPr>
          <w:rFonts w:ascii="Times New Roman" w:eastAsia="Times New Roman" w:hAnsi="Times New Roman" w:cs="Times New Roman"/>
          <w:i/>
          <w:color w:val="000000"/>
        </w:rPr>
        <w:t>reines Denken</w:t>
      </w:r>
      <w:r w:rsidR="005B09C1" w:rsidRPr="007755C6">
        <w:rPr>
          <w:rFonts w:ascii="Times New Roman" w:eastAsia="Times New Roman" w:hAnsi="Times New Roman" w:cs="Times New Roman"/>
          <w:color w:val="000000"/>
        </w:rPr>
        <w:t xml:space="preserve"> è carico di negatività, ossia è capace, riflettendosi in sé, di rovesciarsi nell’altro da sé.</w:t>
      </w:r>
      <w:r w:rsidR="005B09C1" w:rsidRPr="00C85F02">
        <w:rPr>
          <w:rFonts w:ascii="Times New Roman" w:eastAsia="Times New Roman" w:hAnsi="Times New Roman" w:cs="Times New Roman"/>
          <w:color w:val="000000"/>
        </w:rPr>
        <w:t xml:space="preserve"> </w:t>
      </w:r>
      <w:r w:rsidR="005B09C1" w:rsidRPr="00F06973">
        <w:rPr>
          <w:rFonts w:ascii="Times New Roman" w:eastAsia="Times New Roman" w:hAnsi="Times New Roman" w:cs="Times New Roman"/>
          <w:color w:val="000000"/>
        </w:rPr>
        <w:t>Una dinamica analoga, se prestiamo attenzi</w:t>
      </w:r>
      <w:r w:rsidR="008957A5" w:rsidRPr="00F06973">
        <w:rPr>
          <w:rFonts w:ascii="Times New Roman" w:eastAsia="Times New Roman" w:hAnsi="Times New Roman" w:cs="Times New Roman"/>
          <w:color w:val="000000"/>
        </w:rPr>
        <w:t>one, Hegel l’aveva individuata</w:t>
      </w:r>
      <w:r w:rsidR="005B09C1" w:rsidRPr="00F06973">
        <w:rPr>
          <w:rFonts w:ascii="Times New Roman" w:eastAsia="Times New Roman" w:hAnsi="Times New Roman" w:cs="Times New Roman"/>
          <w:color w:val="000000"/>
        </w:rPr>
        <w:t xml:space="preserve"> nel farsi dell’essenza semplice</w:t>
      </w:r>
      <w:r w:rsidR="00763B62" w:rsidRPr="00F06973">
        <w:rPr>
          <w:rFonts w:ascii="Times New Roman" w:eastAsia="Times New Roman" w:hAnsi="Times New Roman" w:cs="Times New Roman"/>
          <w:color w:val="000000"/>
        </w:rPr>
        <w:t xml:space="preserve"> (</w:t>
      </w:r>
      <w:r w:rsidR="00763B62" w:rsidRPr="00F06973">
        <w:rPr>
          <w:rFonts w:ascii="Times New Roman" w:eastAsia="Times New Roman" w:hAnsi="Times New Roman" w:cs="Times New Roman"/>
          <w:i/>
          <w:color w:val="000000"/>
        </w:rPr>
        <w:t>das einfache Wesen</w:t>
      </w:r>
      <w:r w:rsidR="00763B62" w:rsidRPr="00F06973">
        <w:rPr>
          <w:rFonts w:ascii="Times New Roman" w:eastAsia="Times New Roman" w:hAnsi="Times New Roman" w:cs="Times New Roman"/>
          <w:color w:val="000000"/>
        </w:rPr>
        <w:t>)</w:t>
      </w:r>
      <w:r w:rsidR="002826E6">
        <w:rPr>
          <w:rStyle w:val="Rimandonotaapidipagina"/>
          <w:rFonts w:ascii="Times New Roman" w:eastAsia="Times New Roman" w:hAnsi="Times New Roman" w:cs="Times New Roman"/>
          <w:color w:val="000000"/>
        </w:rPr>
        <w:footnoteReference w:id="301"/>
      </w:r>
      <w:r w:rsidR="005B09C1" w:rsidRPr="00F06973">
        <w:rPr>
          <w:rFonts w:ascii="Times New Roman" w:eastAsia="Times New Roman" w:hAnsi="Times New Roman" w:cs="Times New Roman"/>
          <w:color w:val="000000"/>
        </w:rPr>
        <w:t xml:space="preserve">. </w:t>
      </w:r>
      <w:r w:rsidR="00A13698" w:rsidRPr="00F06973">
        <w:rPr>
          <w:rFonts w:ascii="Times New Roman" w:eastAsia="Times New Roman" w:hAnsi="Times New Roman" w:cs="Times New Roman"/>
          <w:color w:val="000000"/>
        </w:rPr>
        <w:t>In quel caso, il</w:t>
      </w:r>
      <w:r w:rsidR="008957A5" w:rsidRPr="00F06973">
        <w:rPr>
          <w:rFonts w:ascii="Times New Roman" w:eastAsia="Times New Roman" w:hAnsi="Times New Roman" w:cs="Times New Roman"/>
          <w:color w:val="000000"/>
        </w:rPr>
        <w:t xml:space="preserve"> </w:t>
      </w:r>
      <w:r w:rsidR="00F06973">
        <w:rPr>
          <w:rFonts w:ascii="Times New Roman" w:eastAsia="Times New Roman" w:hAnsi="Times New Roman" w:cs="Times New Roman"/>
          <w:color w:val="000000"/>
        </w:rPr>
        <w:t>primo realizzar</w:t>
      </w:r>
      <w:r w:rsidR="005B09C1" w:rsidRPr="00F06973">
        <w:rPr>
          <w:rFonts w:ascii="Times New Roman" w:eastAsia="Times New Roman" w:hAnsi="Times New Roman" w:cs="Times New Roman"/>
          <w:color w:val="000000"/>
        </w:rPr>
        <w:t>si</w:t>
      </w:r>
      <w:r w:rsidR="00A13698" w:rsidRPr="00F06973">
        <w:rPr>
          <w:rFonts w:ascii="Times New Roman" w:eastAsia="Times New Roman" w:hAnsi="Times New Roman" w:cs="Times New Roman"/>
          <w:color w:val="000000"/>
        </w:rPr>
        <w:t xml:space="preserve"> del divino </w:t>
      </w:r>
      <w:r w:rsidR="00DA5584" w:rsidRPr="00F06973">
        <w:rPr>
          <w:rFonts w:ascii="Times New Roman" w:eastAsia="Times New Roman" w:hAnsi="Times New Roman" w:cs="Times New Roman"/>
          <w:color w:val="000000"/>
        </w:rPr>
        <w:t>si conclude</w:t>
      </w:r>
      <w:r w:rsidR="008957A5" w:rsidRPr="00F06973">
        <w:rPr>
          <w:rFonts w:ascii="Times New Roman" w:eastAsia="Times New Roman" w:hAnsi="Times New Roman" w:cs="Times New Roman"/>
          <w:color w:val="000000"/>
        </w:rPr>
        <w:t>va</w:t>
      </w:r>
      <w:r w:rsidR="00A13698" w:rsidRPr="00F06973">
        <w:rPr>
          <w:rFonts w:ascii="Times New Roman" w:eastAsia="Times New Roman" w:hAnsi="Times New Roman" w:cs="Times New Roman"/>
          <w:color w:val="000000"/>
        </w:rPr>
        <w:t xml:space="preserve"> circolarmente</w:t>
      </w:r>
      <w:r w:rsidR="00DA5584" w:rsidRPr="00F06973">
        <w:rPr>
          <w:rFonts w:ascii="Times New Roman" w:eastAsia="Times New Roman" w:hAnsi="Times New Roman" w:cs="Times New Roman"/>
          <w:color w:val="000000"/>
        </w:rPr>
        <w:t xml:space="preserve"> nell</w:t>
      </w:r>
      <w:r w:rsidR="005B09C1" w:rsidRPr="00F06973">
        <w:rPr>
          <w:rFonts w:ascii="Times New Roman" w:eastAsia="Times New Roman" w:hAnsi="Times New Roman" w:cs="Times New Roman"/>
          <w:color w:val="000000"/>
        </w:rPr>
        <w:t>’indifferenza assoluta.</w:t>
      </w:r>
      <w:r w:rsidR="00A13698">
        <w:rPr>
          <w:rFonts w:ascii="Times New Roman" w:eastAsia="Times New Roman" w:hAnsi="Times New Roman" w:cs="Times New Roman"/>
          <w:color w:val="000000"/>
        </w:rPr>
        <w:t xml:space="preserve"> Questo</w:t>
      </w:r>
      <w:r w:rsidR="005B09C1" w:rsidRPr="00C85F02">
        <w:rPr>
          <w:rFonts w:ascii="Times New Roman" w:eastAsia="Times New Roman" w:hAnsi="Times New Roman" w:cs="Times New Roman"/>
          <w:color w:val="000000"/>
        </w:rPr>
        <w:t xml:space="preserve"> eterno sviluppo</w:t>
      </w:r>
      <w:r w:rsidR="007B5C82">
        <w:rPr>
          <w:rFonts w:ascii="Times New Roman" w:eastAsia="Times New Roman" w:hAnsi="Times New Roman" w:cs="Times New Roman"/>
          <w:color w:val="000000"/>
        </w:rPr>
        <w:t>, però,</w:t>
      </w:r>
      <w:r w:rsidR="005B09C1" w:rsidRPr="00C85F02">
        <w:rPr>
          <w:rFonts w:ascii="Times New Roman" w:eastAsia="Times New Roman" w:hAnsi="Times New Roman" w:cs="Times New Roman"/>
          <w:color w:val="000000"/>
        </w:rPr>
        <w:t xml:space="preserve"> non </w:t>
      </w:r>
      <w:r w:rsidR="007B5C82">
        <w:rPr>
          <w:rFonts w:ascii="Times New Roman" w:eastAsia="Times New Roman" w:hAnsi="Times New Roman" w:cs="Times New Roman"/>
          <w:color w:val="000000"/>
        </w:rPr>
        <w:t xml:space="preserve">costituisce </w:t>
      </w:r>
      <w:r w:rsidR="005B09C1">
        <w:rPr>
          <w:rFonts w:ascii="Times New Roman" w:eastAsia="Times New Roman" w:hAnsi="Times New Roman" w:cs="Times New Roman"/>
          <w:color w:val="000000"/>
        </w:rPr>
        <w:t>il punto d’arrivo</w:t>
      </w:r>
      <w:r w:rsidR="00DA5584">
        <w:rPr>
          <w:rFonts w:ascii="Times New Roman" w:eastAsia="Times New Roman" w:hAnsi="Times New Roman" w:cs="Times New Roman"/>
          <w:color w:val="000000"/>
        </w:rPr>
        <w:t xml:space="preserve"> (</w:t>
      </w:r>
      <w:r w:rsidR="00DA5584" w:rsidRPr="00DA5584">
        <w:rPr>
          <w:rFonts w:ascii="Times New Roman" w:eastAsia="Times New Roman" w:hAnsi="Times New Roman" w:cs="Times New Roman"/>
          <w:i/>
          <w:color w:val="000000"/>
        </w:rPr>
        <w:t>Endpunkt</w:t>
      </w:r>
      <w:r w:rsidR="00DA5584">
        <w:rPr>
          <w:rFonts w:ascii="Times New Roman" w:eastAsia="Times New Roman" w:hAnsi="Times New Roman" w:cs="Times New Roman"/>
          <w:color w:val="000000"/>
        </w:rPr>
        <w:t>)</w:t>
      </w:r>
      <w:r w:rsidR="005B09C1">
        <w:rPr>
          <w:rFonts w:ascii="Times New Roman" w:eastAsia="Times New Roman" w:hAnsi="Times New Roman" w:cs="Times New Roman"/>
          <w:color w:val="000000"/>
        </w:rPr>
        <w:t xml:space="preserve"> dell</w:t>
      </w:r>
      <w:r w:rsidR="00DA5584">
        <w:rPr>
          <w:rFonts w:ascii="Times New Roman" w:eastAsia="Times New Roman" w:hAnsi="Times New Roman" w:cs="Times New Roman"/>
          <w:color w:val="000000"/>
        </w:rPr>
        <w:t>’Assoluto</w:t>
      </w:r>
      <w:r w:rsidR="00663C9D">
        <w:rPr>
          <w:rFonts w:ascii="Times New Roman" w:eastAsia="Times New Roman" w:hAnsi="Times New Roman" w:cs="Times New Roman"/>
          <w:color w:val="000000"/>
        </w:rPr>
        <w:t xml:space="preserve">. L’indifferenza raggiunta </w:t>
      </w:r>
      <w:r w:rsidR="005E6CD9">
        <w:rPr>
          <w:rFonts w:ascii="Times New Roman" w:eastAsia="Times New Roman" w:hAnsi="Times New Roman" w:cs="Times New Roman"/>
          <w:color w:val="000000"/>
        </w:rPr>
        <w:t>è stabile sol</w:t>
      </w:r>
      <w:r w:rsidR="00365DDE">
        <w:rPr>
          <w:rFonts w:ascii="Times New Roman" w:eastAsia="Times New Roman" w:hAnsi="Times New Roman" w:cs="Times New Roman"/>
          <w:color w:val="000000"/>
        </w:rPr>
        <w:t>tant</w:t>
      </w:r>
      <w:r w:rsidR="005E6CD9">
        <w:rPr>
          <w:rFonts w:ascii="Times New Roman" w:eastAsia="Times New Roman" w:hAnsi="Times New Roman" w:cs="Times New Roman"/>
          <w:color w:val="000000"/>
        </w:rPr>
        <w:t>o in apparenza</w:t>
      </w:r>
      <w:r w:rsidR="00DA5584">
        <w:rPr>
          <w:rFonts w:ascii="Times New Roman" w:eastAsia="Times New Roman" w:hAnsi="Times New Roman" w:cs="Times New Roman"/>
          <w:color w:val="000000"/>
        </w:rPr>
        <w:t xml:space="preserve">. </w:t>
      </w:r>
      <w:r w:rsidR="008957A5" w:rsidRPr="00F06973">
        <w:rPr>
          <w:rFonts w:ascii="Times New Roman" w:eastAsia="Times New Roman" w:hAnsi="Times New Roman" w:cs="Times New Roman"/>
          <w:color w:val="000000"/>
        </w:rPr>
        <w:t>L</w:t>
      </w:r>
      <w:r w:rsidR="00DA5584" w:rsidRPr="00F06973">
        <w:rPr>
          <w:rFonts w:ascii="Times New Roman" w:eastAsia="Times New Roman" w:hAnsi="Times New Roman" w:cs="Times New Roman"/>
          <w:color w:val="000000"/>
        </w:rPr>
        <w:t>a chiusura di questo primo circolo porta con sé la rottura del medesimo.</w:t>
      </w:r>
      <w:r w:rsidR="005E6CD9">
        <w:rPr>
          <w:rFonts w:ascii="Times New Roman" w:eastAsia="Times New Roman" w:hAnsi="Times New Roman" w:cs="Times New Roman"/>
          <w:color w:val="000000"/>
        </w:rPr>
        <w:t xml:space="preserve"> Ciò avviene precisamente quando</w:t>
      </w:r>
      <w:r w:rsidR="00DA5584">
        <w:rPr>
          <w:rFonts w:ascii="Times New Roman" w:eastAsia="Times New Roman" w:hAnsi="Times New Roman" w:cs="Times New Roman"/>
          <w:color w:val="000000"/>
        </w:rPr>
        <w:t xml:space="preserve"> Dio</w:t>
      </w:r>
      <w:r w:rsidR="005E6CD9">
        <w:rPr>
          <w:rFonts w:ascii="Times New Roman" w:eastAsia="Times New Roman" w:hAnsi="Times New Roman" w:cs="Times New Roman"/>
          <w:color w:val="000000"/>
        </w:rPr>
        <w:t xml:space="preserve"> </w:t>
      </w:r>
      <w:r w:rsidR="00DA5584">
        <w:rPr>
          <w:rFonts w:ascii="Times New Roman" w:eastAsia="Times New Roman" w:hAnsi="Times New Roman" w:cs="Times New Roman"/>
          <w:color w:val="000000"/>
        </w:rPr>
        <w:t>crea il mondo e</w:t>
      </w:r>
      <w:r w:rsidR="005E6CD9">
        <w:rPr>
          <w:rFonts w:ascii="Times New Roman" w:eastAsia="Times New Roman" w:hAnsi="Times New Roman" w:cs="Times New Roman"/>
          <w:color w:val="000000"/>
        </w:rPr>
        <w:t xml:space="preserve"> </w:t>
      </w:r>
      <w:r w:rsidR="00DA5584">
        <w:rPr>
          <w:rFonts w:ascii="Times New Roman" w:eastAsia="Times New Roman" w:hAnsi="Times New Roman" w:cs="Times New Roman"/>
          <w:color w:val="000000"/>
        </w:rPr>
        <w:t>l’uomo. È avvenuto</w:t>
      </w:r>
      <w:r w:rsidR="005E6CD9">
        <w:rPr>
          <w:rFonts w:ascii="Times New Roman" w:eastAsia="Times New Roman" w:hAnsi="Times New Roman" w:cs="Times New Roman"/>
          <w:color w:val="000000"/>
        </w:rPr>
        <w:t xml:space="preserve"> il posizionamento eterno di </w:t>
      </w:r>
      <w:r w:rsidR="00DA5584">
        <w:rPr>
          <w:rFonts w:ascii="Times New Roman" w:eastAsia="Times New Roman" w:hAnsi="Times New Roman" w:cs="Times New Roman"/>
          <w:color w:val="000000"/>
        </w:rPr>
        <w:t xml:space="preserve">un oggetto, di un opposto in senso forte. Ciò che la religione esprime con un linguaggio figurato e che definisce come </w:t>
      </w:r>
      <w:r w:rsidR="00DA5584">
        <w:rPr>
          <w:rFonts w:ascii="Times New Roman" w:eastAsia="Times New Roman" w:hAnsi="Times New Roman" w:cs="Times New Roman"/>
          <w:i/>
          <w:color w:val="000000"/>
        </w:rPr>
        <w:t xml:space="preserve">Erschaffen </w:t>
      </w:r>
      <w:r w:rsidR="00DA5584">
        <w:rPr>
          <w:rFonts w:ascii="Times New Roman" w:eastAsia="Times New Roman" w:hAnsi="Times New Roman" w:cs="Times New Roman"/>
          <w:color w:val="000000"/>
        </w:rPr>
        <w:t xml:space="preserve">altro non è che </w:t>
      </w:r>
      <w:r w:rsidR="00B63E29">
        <w:rPr>
          <w:rFonts w:ascii="Times New Roman" w:eastAsia="Times New Roman" w:hAnsi="Times New Roman" w:cs="Times New Roman"/>
          <w:color w:val="000000"/>
        </w:rPr>
        <w:t>«den Begriff selbst nach seiner absoluten Bewegung</w:t>
      </w:r>
      <w:r w:rsidR="00DA5584" w:rsidRPr="008D379D">
        <w:rPr>
          <w:rFonts w:ascii="Times New Roman" w:eastAsia="Times New Roman" w:hAnsi="Times New Roman" w:cs="Times New Roman"/>
          <w:color w:val="000000"/>
        </w:rPr>
        <w:t>»</w:t>
      </w:r>
      <w:r w:rsidR="00DA5584" w:rsidRPr="008D379D">
        <w:rPr>
          <w:rStyle w:val="Rimandonotaapidipagina"/>
          <w:rFonts w:ascii="Times New Roman" w:eastAsia="Times New Roman" w:hAnsi="Times New Roman" w:cs="Times New Roman"/>
          <w:color w:val="000000"/>
        </w:rPr>
        <w:footnoteReference w:id="302"/>
      </w:r>
      <w:r w:rsidR="00734FF7" w:rsidRPr="008D379D">
        <w:rPr>
          <w:rFonts w:ascii="Times New Roman" w:eastAsia="Times New Roman" w:hAnsi="Times New Roman" w:cs="Times New Roman"/>
          <w:color w:val="000000"/>
        </w:rPr>
        <w:t>,</w:t>
      </w:r>
      <w:r w:rsidR="00734FF7">
        <w:rPr>
          <w:rFonts w:ascii="Times New Roman" w:eastAsia="Times New Roman" w:hAnsi="Times New Roman" w:cs="Times New Roman"/>
          <w:color w:val="000000"/>
        </w:rPr>
        <w:t xml:space="preserve"> ossia</w:t>
      </w:r>
      <w:r w:rsidR="00DA5584">
        <w:rPr>
          <w:rFonts w:ascii="Times New Roman" w:eastAsia="Times New Roman" w:hAnsi="Times New Roman" w:cs="Times New Roman"/>
          <w:color w:val="000000"/>
        </w:rPr>
        <w:t xml:space="preserve"> la</w:t>
      </w:r>
      <w:r w:rsidR="00734FF7">
        <w:rPr>
          <w:rFonts w:ascii="Times New Roman" w:eastAsia="Times New Roman" w:hAnsi="Times New Roman" w:cs="Times New Roman"/>
          <w:color w:val="000000"/>
        </w:rPr>
        <w:t xml:space="preserve"> sua</w:t>
      </w:r>
      <w:r w:rsidR="00DA5584" w:rsidRPr="00DA5584">
        <w:rPr>
          <w:rFonts w:ascii="Times New Roman" w:eastAsia="Times New Roman" w:hAnsi="Times New Roman" w:cs="Times New Roman"/>
          <w:i/>
          <w:color w:val="000000"/>
        </w:rPr>
        <w:t xml:space="preserve"> einfache</w:t>
      </w:r>
      <w:r w:rsidR="00734FF7">
        <w:rPr>
          <w:rFonts w:ascii="Times New Roman" w:eastAsia="Times New Roman" w:hAnsi="Times New Roman" w:cs="Times New Roman"/>
          <w:i/>
          <w:color w:val="000000"/>
        </w:rPr>
        <w:t xml:space="preserve"> und reine</w:t>
      </w:r>
      <w:r w:rsidR="00DA5584" w:rsidRPr="00DA5584">
        <w:rPr>
          <w:rFonts w:ascii="Times New Roman" w:eastAsia="Times New Roman" w:hAnsi="Times New Roman" w:cs="Times New Roman"/>
          <w:i/>
          <w:color w:val="000000"/>
        </w:rPr>
        <w:t xml:space="preserve"> Negativität</w:t>
      </w:r>
      <w:r w:rsidR="00DA5584">
        <w:rPr>
          <w:rFonts w:ascii="Times New Roman" w:eastAsia="Times New Roman" w:hAnsi="Times New Roman" w:cs="Times New Roman"/>
          <w:color w:val="000000"/>
        </w:rPr>
        <w:t xml:space="preserve">. </w:t>
      </w:r>
      <w:r w:rsidR="005E6CD9">
        <w:rPr>
          <w:rFonts w:ascii="Times New Roman" w:eastAsia="Times New Roman" w:hAnsi="Times New Roman" w:cs="Times New Roman"/>
          <w:color w:val="000000"/>
        </w:rPr>
        <w:t>Questa negatività, insita nell’</w:t>
      </w:r>
      <w:r w:rsidR="005E6CD9" w:rsidRPr="005E6CD9">
        <w:rPr>
          <w:rFonts w:ascii="Times New Roman" w:eastAsia="Times New Roman" w:hAnsi="Times New Roman" w:cs="Times New Roman"/>
          <w:i/>
          <w:color w:val="000000"/>
        </w:rPr>
        <w:t>abstrakter und ewiger Geist</w:t>
      </w:r>
      <w:r w:rsidR="005E6CD9">
        <w:rPr>
          <w:rFonts w:ascii="Times New Roman" w:eastAsia="Times New Roman" w:hAnsi="Times New Roman" w:cs="Times New Roman"/>
          <w:i/>
          <w:color w:val="000000"/>
        </w:rPr>
        <w:t xml:space="preserve">, </w:t>
      </w:r>
      <w:r w:rsidR="005E6CD9">
        <w:rPr>
          <w:rFonts w:ascii="Times New Roman" w:eastAsia="Times New Roman" w:hAnsi="Times New Roman" w:cs="Times New Roman"/>
          <w:color w:val="000000"/>
        </w:rPr>
        <w:t>è ciò che Hegel, impiegando il linguaggio rappresentativo della religione cristiana, definisce come il male (</w:t>
      </w:r>
      <w:r w:rsidR="005E6CD9" w:rsidRPr="005E6CD9">
        <w:rPr>
          <w:rFonts w:ascii="Times New Roman" w:eastAsia="Times New Roman" w:hAnsi="Times New Roman" w:cs="Times New Roman"/>
          <w:i/>
          <w:color w:val="000000"/>
        </w:rPr>
        <w:t>das Böse</w:t>
      </w:r>
      <w:r w:rsidR="005E6CD9">
        <w:rPr>
          <w:rFonts w:ascii="Times New Roman" w:eastAsia="Times New Roman" w:hAnsi="Times New Roman" w:cs="Times New Roman"/>
          <w:color w:val="000000"/>
        </w:rPr>
        <w:t>).</w:t>
      </w:r>
      <w:r w:rsidR="005F4170">
        <w:rPr>
          <w:rFonts w:ascii="Times New Roman" w:eastAsia="Times New Roman" w:hAnsi="Times New Roman" w:cs="Times New Roman"/>
          <w:color w:val="000000"/>
        </w:rPr>
        <w:t xml:space="preserve"> </w:t>
      </w:r>
      <w:r w:rsidR="005F4170" w:rsidRPr="00141D71">
        <w:rPr>
          <w:rFonts w:ascii="Times New Roman" w:eastAsia="Times New Roman" w:hAnsi="Times New Roman" w:cs="Times New Roman"/>
          <w:color w:val="000000"/>
        </w:rPr>
        <w:t>Reinterpretando in chiave filosofica il mito del peccato originale, Kant aveva detto che la storia dell’umanità inizia con il male, con l’uscita dell’uomo dal grembo della natura e con lo sviluppo di una prima forma d’autonomia dall’istinto naturale</w:t>
      </w:r>
      <w:r w:rsidR="000C513B" w:rsidRPr="00141D71">
        <w:rPr>
          <w:rStyle w:val="Rimandonotaapidipagina"/>
          <w:rFonts w:ascii="Times New Roman" w:eastAsia="Times New Roman" w:hAnsi="Times New Roman" w:cs="Times New Roman"/>
          <w:color w:val="000000"/>
        </w:rPr>
        <w:footnoteReference w:id="303"/>
      </w:r>
      <w:r w:rsidR="005F4170" w:rsidRPr="00141D71">
        <w:rPr>
          <w:rFonts w:ascii="Times New Roman" w:eastAsia="Times New Roman" w:hAnsi="Times New Roman" w:cs="Times New Roman"/>
          <w:color w:val="000000"/>
        </w:rPr>
        <w:t>.</w:t>
      </w:r>
      <w:r w:rsidR="005F4170">
        <w:rPr>
          <w:rFonts w:ascii="Times New Roman" w:eastAsia="Times New Roman" w:hAnsi="Times New Roman" w:cs="Times New Roman"/>
          <w:color w:val="000000"/>
        </w:rPr>
        <w:t xml:space="preserve"> Anche Hegel </w:t>
      </w:r>
      <w:r w:rsidR="00EF0BE4">
        <w:rPr>
          <w:rFonts w:ascii="Times New Roman" w:eastAsia="Times New Roman" w:hAnsi="Times New Roman" w:cs="Times New Roman"/>
          <w:color w:val="000000"/>
        </w:rPr>
        <w:t>sostiene</w:t>
      </w:r>
      <w:r w:rsidR="00C34097">
        <w:rPr>
          <w:rFonts w:ascii="Times New Roman" w:eastAsia="Times New Roman" w:hAnsi="Times New Roman" w:cs="Times New Roman"/>
          <w:color w:val="000000"/>
        </w:rPr>
        <w:t xml:space="preserve"> una posizione analoga</w:t>
      </w:r>
      <w:r w:rsidR="00C34097">
        <w:rPr>
          <w:rStyle w:val="Rimandonotaapidipagina"/>
          <w:rFonts w:ascii="Times New Roman" w:eastAsia="Times New Roman" w:hAnsi="Times New Roman" w:cs="Times New Roman"/>
          <w:color w:val="000000"/>
        </w:rPr>
        <w:footnoteReference w:id="304"/>
      </w:r>
      <w:r w:rsidR="00C34097">
        <w:rPr>
          <w:rFonts w:ascii="Times New Roman" w:eastAsia="Times New Roman" w:hAnsi="Times New Roman" w:cs="Times New Roman"/>
          <w:color w:val="000000"/>
        </w:rPr>
        <w:t>.</w:t>
      </w:r>
      <w:r w:rsidR="00790E48">
        <w:rPr>
          <w:rFonts w:ascii="Times New Roman" w:eastAsia="Times New Roman" w:hAnsi="Times New Roman" w:cs="Times New Roman"/>
          <w:color w:val="000000"/>
        </w:rPr>
        <w:t xml:space="preserve"> R</w:t>
      </w:r>
      <w:r w:rsidR="00C34097">
        <w:rPr>
          <w:rFonts w:ascii="Times New Roman" w:eastAsia="Times New Roman" w:hAnsi="Times New Roman" w:cs="Times New Roman"/>
          <w:color w:val="000000"/>
        </w:rPr>
        <w:t>ispetto a Kant,</w:t>
      </w:r>
      <w:r w:rsidR="00790E48">
        <w:rPr>
          <w:rFonts w:ascii="Times New Roman" w:eastAsia="Times New Roman" w:hAnsi="Times New Roman" w:cs="Times New Roman"/>
          <w:color w:val="000000"/>
        </w:rPr>
        <w:t xml:space="preserve"> </w:t>
      </w:r>
      <w:r w:rsidR="007077C9">
        <w:rPr>
          <w:rFonts w:ascii="Times New Roman" w:eastAsia="Times New Roman" w:hAnsi="Times New Roman" w:cs="Times New Roman"/>
          <w:color w:val="000000"/>
        </w:rPr>
        <w:t>Hegel muove</w:t>
      </w:r>
      <w:r w:rsidR="00140049">
        <w:rPr>
          <w:rFonts w:ascii="Times New Roman" w:eastAsia="Times New Roman" w:hAnsi="Times New Roman" w:cs="Times New Roman"/>
          <w:color w:val="000000"/>
        </w:rPr>
        <w:t xml:space="preserve"> un passo </w:t>
      </w:r>
      <w:r w:rsidR="00141D71">
        <w:rPr>
          <w:rFonts w:ascii="Times New Roman" w:eastAsia="Times New Roman" w:hAnsi="Times New Roman" w:cs="Times New Roman"/>
          <w:color w:val="000000"/>
        </w:rPr>
        <w:t>teoretico</w:t>
      </w:r>
      <w:r w:rsidR="00C34097">
        <w:rPr>
          <w:rFonts w:ascii="Times New Roman" w:eastAsia="Times New Roman" w:hAnsi="Times New Roman" w:cs="Times New Roman"/>
          <w:color w:val="000000"/>
        </w:rPr>
        <w:t xml:space="preserve"> ulteriore</w:t>
      </w:r>
      <w:r w:rsidR="00790E48">
        <w:rPr>
          <w:rFonts w:ascii="Times New Roman" w:eastAsia="Times New Roman" w:hAnsi="Times New Roman" w:cs="Times New Roman"/>
          <w:color w:val="000000"/>
        </w:rPr>
        <w:t>. La prima radice del male non è da individuarsi nella caduta dell’uomo, ma è da retrodatare – sempre che così si possa dire, perché</w:t>
      </w:r>
      <w:r w:rsidR="007077C9">
        <w:rPr>
          <w:rFonts w:ascii="Times New Roman" w:eastAsia="Times New Roman" w:hAnsi="Times New Roman" w:cs="Times New Roman"/>
          <w:color w:val="000000"/>
        </w:rPr>
        <w:t xml:space="preserve"> come si fa a retrodatare </w:t>
      </w:r>
      <w:r w:rsidR="007077C9" w:rsidRPr="00AF49C9">
        <w:rPr>
          <w:rFonts w:ascii="Times New Roman" w:eastAsia="Times New Roman" w:hAnsi="Times New Roman" w:cs="Times New Roman"/>
          <w:color w:val="000000"/>
        </w:rPr>
        <w:t xml:space="preserve">un accadimento </w:t>
      </w:r>
      <w:r w:rsidR="00790E48" w:rsidRPr="00AF49C9">
        <w:rPr>
          <w:rFonts w:ascii="Times New Roman" w:eastAsia="Times New Roman" w:hAnsi="Times New Roman" w:cs="Times New Roman"/>
          <w:color w:val="000000"/>
        </w:rPr>
        <w:t xml:space="preserve">in una </w:t>
      </w:r>
      <w:r w:rsidR="00C85F02" w:rsidRPr="00AF49C9">
        <w:rPr>
          <w:rFonts w:ascii="Times New Roman" w:eastAsia="Times New Roman" w:hAnsi="Times New Roman" w:cs="Times New Roman"/>
          <w:color w:val="000000"/>
        </w:rPr>
        <w:t xml:space="preserve">dimensione </w:t>
      </w:r>
      <w:r w:rsidR="00790E48" w:rsidRPr="00AF49C9">
        <w:rPr>
          <w:rFonts w:ascii="Times New Roman" w:eastAsia="Times New Roman" w:hAnsi="Times New Roman" w:cs="Times New Roman"/>
          <w:color w:val="000000"/>
        </w:rPr>
        <w:t xml:space="preserve">che non conosce tempo alcuno? – in quello che è definito come </w:t>
      </w:r>
      <w:r w:rsidR="00790E48" w:rsidRPr="00803864">
        <w:rPr>
          <w:rFonts w:ascii="Times New Roman" w:eastAsia="Times New Roman" w:hAnsi="Times New Roman" w:cs="Times New Roman"/>
          <w:color w:val="000000"/>
        </w:rPr>
        <w:t xml:space="preserve">«das erste </w:t>
      </w:r>
      <w:r w:rsidR="00790E48" w:rsidRPr="00AB0FAD">
        <w:rPr>
          <w:rFonts w:ascii="Times New Roman" w:eastAsia="Times New Roman" w:hAnsi="Times New Roman" w:cs="Times New Roman"/>
          <w:color w:val="000000"/>
        </w:rPr>
        <w:t>Reich des Denkens»</w:t>
      </w:r>
      <w:r w:rsidR="00790E48" w:rsidRPr="00AB0FAD">
        <w:rPr>
          <w:rStyle w:val="Rimandonotaapidipagina"/>
          <w:rFonts w:ascii="Times New Roman" w:eastAsia="Times New Roman" w:hAnsi="Times New Roman" w:cs="Times New Roman"/>
          <w:color w:val="000000"/>
        </w:rPr>
        <w:footnoteReference w:id="305"/>
      </w:r>
      <w:r w:rsidR="00790E48" w:rsidRPr="00AB0FAD">
        <w:rPr>
          <w:rFonts w:ascii="Times New Roman" w:eastAsia="Times New Roman" w:hAnsi="Times New Roman" w:cs="Times New Roman"/>
          <w:color w:val="000000"/>
        </w:rPr>
        <w:t xml:space="preserve"> </w:t>
      </w:r>
      <w:r w:rsidR="003B51B5" w:rsidRPr="00AB0FAD">
        <w:rPr>
          <w:rFonts w:ascii="Times New Roman" w:eastAsia="Times New Roman" w:hAnsi="Times New Roman" w:cs="Times New Roman"/>
          <w:color w:val="000000"/>
        </w:rPr>
        <w:t>.</w:t>
      </w:r>
      <w:r w:rsidR="007932B5" w:rsidRPr="00AB0FAD">
        <w:rPr>
          <w:rFonts w:ascii="Times New Roman" w:eastAsia="Times New Roman" w:hAnsi="Times New Roman" w:cs="Times New Roman"/>
          <w:color w:val="000000"/>
        </w:rPr>
        <w:t xml:space="preserve"> </w:t>
      </w:r>
      <w:r w:rsidR="00141D71" w:rsidRPr="00AB0FAD">
        <w:rPr>
          <w:rFonts w:ascii="Times New Roman" w:eastAsia="Times New Roman" w:hAnsi="Times New Roman" w:cs="Times New Roman"/>
          <w:color w:val="000000"/>
        </w:rPr>
        <w:t xml:space="preserve">Ciò che Kant aveva sollevato nella </w:t>
      </w:r>
      <w:r w:rsidR="00141D71" w:rsidRPr="00AB0FAD">
        <w:rPr>
          <w:rFonts w:ascii="Times New Roman" w:eastAsia="Times New Roman" w:hAnsi="Times New Roman" w:cs="Times New Roman"/>
          <w:i/>
          <w:color w:val="000000"/>
        </w:rPr>
        <w:t>Religion innerhalb der Grenzen der bloßen Vernunft</w:t>
      </w:r>
      <w:r w:rsidR="00141D71" w:rsidRPr="00AB0FAD">
        <w:rPr>
          <w:rFonts w:ascii="Times New Roman" w:eastAsia="Times New Roman" w:hAnsi="Times New Roman" w:cs="Times New Roman"/>
          <w:color w:val="000000"/>
        </w:rPr>
        <w:t>, oss</w:t>
      </w:r>
      <w:r w:rsidR="00962842" w:rsidRPr="00AB0FAD">
        <w:rPr>
          <w:rFonts w:ascii="Times New Roman" w:eastAsia="Times New Roman" w:hAnsi="Times New Roman" w:cs="Times New Roman"/>
          <w:color w:val="000000"/>
        </w:rPr>
        <w:t xml:space="preserve">ia l’incapacità della </w:t>
      </w:r>
      <w:r w:rsidR="00C92982" w:rsidRPr="00AB0FAD">
        <w:rPr>
          <w:rFonts w:ascii="Times New Roman" w:eastAsia="Times New Roman" w:hAnsi="Times New Roman" w:cs="Times New Roman"/>
          <w:color w:val="000000"/>
        </w:rPr>
        <w:t>ragione</w:t>
      </w:r>
      <w:r w:rsidR="00141D71" w:rsidRPr="00AB0FAD">
        <w:rPr>
          <w:rFonts w:ascii="Times New Roman" w:eastAsia="Times New Roman" w:hAnsi="Times New Roman" w:cs="Times New Roman"/>
          <w:color w:val="000000"/>
        </w:rPr>
        <w:t xml:space="preserve"> umana di </w:t>
      </w:r>
      <w:r w:rsidR="00962842" w:rsidRPr="00AB0FAD">
        <w:rPr>
          <w:rFonts w:ascii="Times New Roman" w:eastAsia="Times New Roman" w:hAnsi="Times New Roman" w:cs="Times New Roman"/>
          <w:color w:val="000000"/>
        </w:rPr>
        <w:t>comprendere il perché del</w:t>
      </w:r>
      <w:r w:rsidR="00141D71" w:rsidRPr="00AB0FAD">
        <w:rPr>
          <w:rFonts w:ascii="Times New Roman" w:eastAsia="Times New Roman" w:hAnsi="Times New Roman" w:cs="Times New Roman"/>
          <w:color w:val="000000"/>
        </w:rPr>
        <w:t>la caduta di uno spirito originariamente buono</w:t>
      </w:r>
      <w:r w:rsidR="00141D71" w:rsidRPr="00AB0FAD">
        <w:rPr>
          <w:rStyle w:val="Rimandonotaapidipagina"/>
          <w:rFonts w:ascii="Times New Roman" w:eastAsia="Times New Roman" w:hAnsi="Times New Roman" w:cs="Times New Roman"/>
          <w:color w:val="000000"/>
        </w:rPr>
        <w:footnoteReference w:id="306"/>
      </w:r>
      <w:r w:rsidR="00141D71" w:rsidRPr="00AB0FAD">
        <w:rPr>
          <w:rFonts w:ascii="Times New Roman" w:eastAsia="Times New Roman" w:hAnsi="Times New Roman" w:cs="Times New Roman"/>
          <w:color w:val="000000"/>
        </w:rPr>
        <w:t>, trova una risposta</w:t>
      </w:r>
      <w:r w:rsidR="00757A7A" w:rsidRPr="00AB0FAD">
        <w:rPr>
          <w:rFonts w:ascii="Times New Roman" w:eastAsia="Times New Roman" w:hAnsi="Times New Roman" w:cs="Times New Roman"/>
          <w:color w:val="000000"/>
        </w:rPr>
        <w:t xml:space="preserve"> nel </w:t>
      </w:r>
      <w:r w:rsidR="00757A7A" w:rsidRPr="00AB0FAD">
        <w:rPr>
          <w:rFonts w:ascii="Times New Roman" w:eastAsia="Times New Roman" w:hAnsi="Times New Roman" w:cs="Times New Roman"/>
          <w:i/>
          <w:color w:val="000000"/>
        </w:rPr>
        <w:t>Religionskapitel</w:t>
      </w:r>
      <w:r w:rsidR="00757A7A" w:rsidRPr="00AB0FAD">
        <w:rPr>
          <w:rFonts w:ascii="Times New Roman" w:eastAsia="Times New Roman" w:hAnsi="Times New Roman" w:cs="Times New Roman"/>
          <w:color w:val="000000"/>
        </w:rPr>
        <w:t>, dove Hegel</w:t>
      </w:r>
      <w:r w:rsidR="003358AA" w:rsidRPr="00AB0FAD">
        <w:rPr>
          <w:rFonts w:ascii="Times New Roman" w:eastAsia="Times New Roman" w:hAnsi="Times New Roman" w:cs="Times New Roman"/>
          <w:color w:val="000000"/>
        </w:rPr>
        <w:t xml:space="preserve">, </w:t>
      </w:r>
      <w:r w:rsidR="003B7CA0" w:rsidRPr="00AB0FAD">
        <w:rPr>
          <w:rFonts w:ascii="Times New Roman" w:eastAsia="Times New Roman" w:hAnsi="Times New Roman" w:cs="Times New Roman"/>
          <w:color w:val="000000"/>
        </w:rPr>
        <w:t>ri</w:t>
      </w:r>
      <w:r w:rsidR="000D79D6" w:rsidRPr="00AB0FAD">
        <w:rPr>
          <w:rFonts w:ascii="Times New Roman" w:eastAsia="Times New Roman" w:hAnsi="Times New Roman" w:cs="Times New Roman"/>
          <w:color w:val="000000"/>
        </w:rPr>
        <w:t>presa la lezione</w:t>
      </w:r>
      <w:r w:rsidR="00757A7A" w:rsidRPr="00AB0FAD">
        <w:rPr>
          <w:rFonts w:ascii="Times New Roman" w:eastAsia="Times New Roman" w:hAnsi="Times New Roman" w:cs="Times New Roman"/>
          <w:color w:val="000000"/>
        </w:rPr>
        <w:t xml:space="preserve"> </w:t>
      </w:r>
      <w:r w:rsidR="000D79D6" w:rsidRPr="00AB0FAD">
        <w:rPr>
          <w:rFonts w:ascii="Times New Roman" w:eastAsia="Times New Roman" w:hAnsi="Times New Roman" w:cs="Times New Roman"/>
          <w:color w:val="000000"/>
        </w:rPr>
        <w:t>böhmiana</w:t>
      </w:r>
      <w:r w:rsidR="003358AA" w:rsidRPr="00AB0FAD">
        <w:rPr>
          <w:rFonts w:ascii="Times New Roman" w:eastAsia="Times New Roman" w:hAnsi="Times New Roman" w:cs="Times New Roman"/>
          <w:color w:val="000000"/>
        </w:rPr>
        <w:t xml:space="preserve">, </w:t>
      </w:r>
      <w:r w:rsidR="00C014D4" w:rsidRPr="00AB0FAD">
        <w:rPr>
          <w:rFonts w:ascii="Times New Roman" w:eastAsia="Times New Roman" w:hAnsi="Times New Roman" w:cs="Times New Roman"/>
          <w:color w:val="000000"/>
        </w:rPr>
        <w:t xml:space="preserve">si spinge </w:t>
      </w:r>
      <w:r w:rsidR="003358AA" w:rsidRPr="00AB0FAD">
        <w:rPr>
          <w:rFonts w:ascii="Times New Roman" w:eastAsia="Times New Roman" w:hAnsi="Times New Roman" w:cs="Times New Roman"/>
          <w:color w:val="000000"/>
        </w:rPr>
        <w:t>al di là de</w:t>
      </w:r>
      <w:r w:rsidR="00916F16" w:rsidRPr="00AB0FAD">
        <w:rPr>
          <w:rFonts w:ascii="Times New Roman" w:eastAsia="Times New Roman" w:hAnsi="Times New Roman" w:cs="Times New Roman"/>
          <w:color w:val="000000"/>
        </w:rPr>
        <w:t>l dettato</w:t>
      </w:r>
      <w:r w:rsidR="00DD0FCB" w:rsidRPr="00AB0FAD">
        <w:rPr>
          <w:rFonts w:ascii="Times New Roman" w:eastAsia="Times New Roman" w:hAnsi="Times New Roman" w:cs="Times New Roman"/>
          <w:color w:val="000000"/>
        </w:rPr>
        <w:t xml:space="preserve"> k</w:t>
      </w:r>
      <w:r w:rsidR="00916F16" w:rsidRPr="00AB0FAD">
        <w:rPr>
          <w:rFonts w:ascii="Times New Roman" w:eastAsia="Times New Roman" w:hAnsi="Times New Roman" w:cs="Times New Roman"/>
          <w:color w:val="000000"/>
        </w:rPr>
        <w:t>antiano</w:t>
      </w:r>
      <w:r w:rsidR="00757A7A" w:rsidRPr="00AB0FAD">
        <w:rPr>
          <w:rFonts w:ascii="Times New Roman" w:eastAsia="Times New Roman" w:hAnsi="Times New Roman" w:cs="Times New Roman"/>
          <w:color w:val="000000"/>
        </w:rPr>
        <w:t>.</w:t>
      </w:r>
      <w:r w:rsidR="00757A7A" w:rsidRPr="000D79D6">
        <w:rPr>
          <w:rFonts w:ascii="Times New Roman" w:eastAsia="Times New Roman" w:hAnsi="Times New Roman" w:cs="Times New Roman"/>
          <w:color w:val="000000"/>
        </w:rPr>
        <w:t xml:space="preserve"> </w:t>
      </w:r>
      <w:r w:rsidR="00D7541C" w:rsidRPr="000D79D6">
        <w:rPr>
          <w:rFonts w:ascii="Times New Roman" w:eastAsia="Times New Roman" w:hAnsi="Times New Roman" w:cs="Times New Roman"/>
          <w:color w:val="000000"/>
        </w:rPr>
        <w:t>Nel primo regno del pensiero, l</w:t>
      </w:r>
      <w:r w:rsidR="007932B5" w:rsidRPr="000D79D6">
        <w:rPr>
          <w:rFonts w:ascii="Times New Roman" w:eastAsia="Times New Roman" w:hAnsi="Times New Roman" w:cs="Times New Roman"/>
          <w:color w:val="000000"/>
        </w:rPr>
        <w:t>à dove non sussi</w:t>
      </w:r>
      <w:r w:rsidR="0039518A">
        <w:rPr>
          <w:rFonts w:ascii="Times New Roman" w:eastAsia="Times New Roman" w:hAnsi="Times New Roman" w:cs="Times New Roman"/>
          <w:color w:val="000000"/>
        </w:rPr>
        <w:t>s</w:t>
      </w:r>
      <w:r w:rsidR="007932B5" w:rsidRPr="000D79D6">
        <w:rPr>
          <w:rFonts w:ascii="Times New Roman" w:eastAsia="Times New Roman" w:hAnsi="Times New Roman" w:cs="Times New Roman"/>
          <w:color w:val="000000"/>
        </w:rPr>
        <w:t xml:space="preserve">te </w:t>
      </w:r>
      <w:r w:rsidR="000D1C05" w:rsidRPr="000D79D6">
        <w:rPr>
          <w:rFonts w:ascii="Times New Roman" w:eastAsia="Times New Roman" w:hAnsi="Times New Roman" w:cs="Times New Roman"/>
          <w:color w:val="000000"/>
        </w:rPr>
        <w:t xml:space="preserve">differenza </w:t>
      </w:r>
      <w:r w:rsidR="00D7541C" w:rsidRPr="000D79D6">
        <w:rPr>
          <w:rFonts w:ascii="Times New Roman" w:eastAsia="Times New Roman" w:hAnsi="Times New Roman" w:cs="Times New Roman"/>
          <w:color w:val="000000"/>
        </w:rPr>
        <w:t xml:space="preserve">alcuna, </w:t>
      </w:r>
      <w:r w:rsidR="000D1C05" w:rsidRPr="000D79D6">
        <w:rPr>
          <w:rFonts w:ascii="Times New Roman" w:eastAsia="Times New Roman" w:hAnsi="Times New Roman" w:cs="Times New Roman"/>
          <w:color w:val="000000"/>
        </w:rPr>
        <w:t xml:space="preserve">emerge </w:t>
      </w:r>
      <w:r w:rsidR="006475F6" w:rsidRPr="000D79D6">
        <w:rPr>
          <w:rFonts w:ascii="Times New Roman" w:eastAsia="Times New Roman" w:hAnsi="Times New Roman" w:cs="Times New Roman"/>
          <w:color w:val="000000"/>
        </w:rPr>
        <w:t>Lucifero,</w:t>
      </w:r>
      <w:r w:rsidR="00803864" w:rsidRPr="00861847">
        <w:rPr>
          <w:rFonts w:ascii="Times New Roman" w:eastAsia="Times New Roman" w:hAnsi="Times New Roman" w:cs="Times New Roman"/>
          <w:color w:val="000000"/>
        </w:rPr>
        <w:t xml:space="preserve"> «</w:t>
      </w:r>
      <w:r w:rsidR="00FD5B47" w:rsidRPr="00861847">
        <w:rPr>
          <w:rFonts w:ascii="Times New Roman" w:eastAsia="Times New Roman" w:hAnsi="Times New Roman" w:cs="Times New Roman"/>
          <w:color w:val="000000"/>
        </w:rPr>
        <w:t>der erstgebor</w:t>
      </w:r>
      <w:r w:rsidR="00803864" w:rsidRPr="00861847">
        <w:rPr>
          <w:rFonts w:ascii="Times New Roman" w:eastAsia="Times New Roman" w:hAnsi="Times New Roman" w:cs="Times New Roman"/>
          <w:color w:val="000000"/>
        </w:rPr>
        <w:t>ne</w:t>
      </w:r>
      <w:r w:rsidR="00803864" w:rsidRPr="003A0C47">
        <w:rPr>
          <w:rFonts w:ascii="Times New Roman" w:eastAsia="Times New Roman" w:hAnsi="Times New Roman" w:cs="Times New Roman"/>
          <w:color w:val="000000"/>
        </w:rPr>
        <w:t xml:space="preserve"> Lichtsoh</w:t>
      </w:r>
      <w:r w:rsidR="00FD5B47" w:rsidRPr="003A0C47">
        <w:rPr>
          <w:rFonts w:ascii="Times New Roman" w:eastAsia="Times New Roman" w:hAnsi="Times New Roman" w:cs="Times New Roman"/>
          <w:color w:val="000000"/>
        </w:rPr>
        <w:t>n</w:t>
      </w:r>
      <w:r w:rsidR="00803864" w:rsidRPr="003A0C47">
        <w:rPr>
          <w:rFonts w:ascii="Times New Roman" w:eastAsia="Times New Roman" w:hAnsi="Times New Roman" w:cs="Times New Roman"/>
          <w:color w:val="000000"/>
        </w:rPr>
        <w:t>»</w:t>
      </w:r>
      <w:r w:rsidR="00803864" w:rsidRPr="003A0C47">
        <w:rPr>
          <w:rStyle w:val="Rimandonotaapidipagina"/>
          <w:rFonts w:ascii="Times New Roman" w:eastAsia="Times New Roman" w:hAnsi="Times New Roman" w:cs="Times New Roman"/>
          <w:color w:val="000000"/>
        </w:rPr>
        <w:footnoteReference w:id="307"/>
      </w:r>
      <w:r w:rsidR="00803864" w:rsidRPr="003A0C47">
        <w:rPr>
          <w:rFonts w:ascii="Times New Roman" w:eastAsia="Times New Roman" w:hAnsi="Times New Roman" w:cs="Times New Roman"/>
          <w:color w:val="000000"/>
        </w:rPr>
        <w:t>,</w:t>
      </w:r>
      <w:r w:rsidR="006475F6" w:rsidRPr="003A0C47">
        <w:rPr>
          <w:rFonts w:ascii="Times New Roman" w:eastAsia="Times New Roman" w:hAnsi="Times New Roman" w:cs="Times New Roman"/>
          <w:color w:val="000000"/>
        </w:rPr>
        <w:t xml:space="preserve"> </w:t>
      </w:r>
      <w:r w:rsidR="00FD5B47" w:rsidRPr="003A0C47">
        <w:rPr>
          <w:rFonts w:ascii="Times New Roman" w:eastAsia="Times New Roman" w:hAnsi="Times New Roman" w:cs="Times New Roman"/>
          <w:color w:val="000000"/>
        </w:rPr>
        <w:t>che, posseduto</w:t>
      </w:r>
      <w:r w:rsidR="000D1C05" w:rsidRPr="003A0C47">
        <w:rPr>
          <w:rFonts w:ascii="Times New Roman" w:eastAsia="Times New Roman" w:hAnsi="Times New Roman" w:cs="Times New Roman"/>
          <w:color w:val="000000"/>
        </w:rPr>
        <w:t xml:space="preserve"> da superbia, avar</w:t>
      </w:r>
      <w:r w:rsidR="00140049" w:rsidRPr="003A0C47">
        <w:rPr>
          <w:rFonts w:ascii="Times New Roman" w:eastAsia="Times New Roman" w:hAnsi="Times New Roman" w:cs="Times New Roman"/>
          <w:color w:val="000000"/>
        </w:rPr>
        <w:t>izia, invidia e</w:t>
      </w:r>
      <w:r w:rsidR="007B5C82" w:rsidRPr="003A0C47">
        <w:rPr>
          <w:rFonts w:ascii="Times New Roman" w:eastAsia="Times New Roman" w:hAnsi="Times New Roman" w:cs="Times New Roman"/>
          <w:color w:val="000000"/>
        </w:rPr>
        <w:t xml:space="preserve"> ira, si ribella</w:t>
      </w:r>
      <w:r w:rsidR="000D1C05" w:rsidRPr="003A0C47">
        <w:rPr>
          <w:rFonts w:ascii="Times New Roman" w:eastAsia="Times New Roman" w:hAnsi="Times New Roman" w:cs="Times New Roman"/>
          <w:color w:val="000000"/>
        </w:rPr>
        <w:t xml:space="preserve"> a Dio e, nel far ciò, ne </w:t>
      </w:r>
      <w:r w:rsidR="007932B5" w:rsidRPr="003A0C47">
        <w:rPr>
          <w:rFonts w:ascii="Times New Roman" w:eastAsia="Times New Roman" w:hAnsi="Times New Roman" w:cs="Times New Roman"/>
          <w:color w:val="000000"/>
        </w:rPr>
        <w:t xml:space="preserve">scatena </w:t>
      </w:r>
      <w:r w:rsidR="000D1C05" w:rsidRPr="003A0C47">
        <w:rPr>
          <w:rFonts w:ascii="Times New Roman" w:eastAsia="Times New Roman" w:hAnsi="Times New Roman" w:cs="Times New Roman"/>
          <w:color w:val="000000"/>
        </w:rPr>
        <w:t>l’ira.</w:t>
      </w:r>
      <w:r w:rsidR="000D1C05">
        <w:rPr>
          <w:rFonts w:ascii="Times New Roman" w:eastAsia="Times New Roman" w:hAnsi="Times New Roman" w:cs="Times New Roman"/>
          <w:color w:val="000000"/>
        </w:rPr>
        <w:t xml:space="preserve"> </w:t>
      </w:r>
      <w:r w:rsidR="007932B5">
        <w:rPr>
          <w:rFonts w:ascii="Times New Roman" w:eastAsia="Times New Roman" w:hAnsi="Times New Roman" w:cs="Times New Roman"/>
          <w:color w:val="000000"/>
        </w:rPr>
        <w:t>Ciò che viene risvegliato in Dio è il principio</w:t>
      </w:r>
      <w:r w:rsidR="00140049">
        <w:rPr>
          <w:rFonts w:ascii="Times New Roman" w:eastAsia="Times New Roman" w:hAnsi="Times New Roman" w:cs="Times New Roman"/>
          <w:color w:val="000000"/>
        </w:rPr>
        <w:t xml:space="preserve"> tenebroso</w:t>
      </w:r>
      <w:r w:rsidR="007932B5">
        <w:rPr>
          <w:rFonts w:ascii="Times New Roman" w:eastAsia="Times New Roman" w:hAnsi="Times New Roman" w:cs="Times New Roman"/>
          <w:color w:val="000000"/>
        </w:rPr>
        <w:t xml:space="preserve">, la </w:t>
      </w:r>
      <w:r w:rsidR="007932B5">
        <w:rPr>
          <w:rFonts w:ascii="Times New Roman" w:eastAsia="Times New Roman" w:hAnsi="Times New Roman" w:cs="Times New Roman"/>
          <w:i/>
          <w:color w:val="000000"/>
        </w:rPr>
        <w:t>allertieffeste Geburt</w:t>
      </w:r>
      <w:r w:rsidR="007932B5" w:rsidRPr="002A7DBD">
        <w:rPr>
          <w:rFonts w:ascii="Times New Roman" w:eastAsia="Times New Roman" w:hAnsi="Times New Roman" w:cs="Times New Roman"/>
          <w:i/>
          <w:color w:val="000000"/>
        </w:rPr>
        <w:t xml:space="preserve"> Gottes</w:t>
      </w:r>
      <w:r w:rsidR="007932B5">
        <w:rPr>
          <w:rFonts w:ascii="Times New Roman" w:eastAsia="Times New Roman" w:hAnsi="Times New Roman" w:cs="Times New Roman"/>
          <w:color w:val="000000"/>
        </w:rPr>
        <w:t xml:space="preserve">. Le qualità contrattive, tanto per usare un’espressione </w:t>
      </w:r>
      <w:r w:rsidR="0090770D">
        <w:rPr>
          <w:rFonts w:ascii="Times New Roman" w:eastAsia="Times New Roman" w:hAnsi="Times New Roman" w:cs="Times New Roman"/>
          <w:color w:val="000000"/>
        </w:rPr>
        <w:t>de</w:t>
      </w:r>
      <w:r w:rsidR="007932B5">
        <w:rPr>
          <w:rFonts w:ascii="Times New Roman" w:eastAsia="Times New Roman" w:hAnsi="Times New Roman" w:cs="Times New Roman"/>
          <w:color w:val="000000"/>
        </w:rPr>
        <w:t xml:space="preserve">l </w:t>
      </w:r>
      <w:r w:rsidR="007932B5" w:rsidRPr="007932B5">
        <w:rPr>
          <w:rFonts w:ascii="Times New Roman" w:eastAsia="Times New Roman" w:hAnsi="Times New Roman" w:cs="Times New Roman"/>
          <w:i/>
          <w:color w:val="000000"/>
        </w:rPr>
        <w:t>Fragment 49</w:t>
      </w:r>
      <w:r w:rsidR="007932B5">
        <w:rPr>
          <w:rFonts w:ascii="Times New Roman" w:eastAsia="Times New Roman" w:hAnsi="Times New Roman" w:cs="Times New Roman"/>
          <w:color w:val="000000"/>
        </w:rPr>
        <w:t xml:space="preserve">, assopite nella natura profonda della divinità, si </w:t>
      </w:r>
      <w:r w:rsidR="0093071B">
        <w:rPr>
          <w:rFonts w:ascii="Times New Roman" w:eastAsia="Times New Roman" w:hAnsi="Times New Roman" w:cs="Times New Roman"/>
          <w:color w:val="000000"/>
        </w:rPr>
        <w:t xml:space="preserve">liberano e scatenano </w:t>
      </w:r>
      <w:r w:rsidR="004A554A">
        <w:rPr>
          <w:rFonts w:ascii="Times New Roman" w:eastAsia="Times New Roman" w:hAnsi="Times New Roman" w:cs="Times New Roman"/>
          <w:color w:val="000000"/>
        </w:rPr>
        <w:t>in occasione della</w:t>
      </w:r>
      <w:r w:rsidR="007932B5">
        <w:rPr>
          <w:rFonts w:ascii="Times New Roman" w:eastAsia="Times New Roman" w:hAnsi="Times New Roman" w:cs="Times New Roman"/>
          <w:color w:val="000000"/>
        </w:rPr>
        <w:t xml:space="preserve"> ribellione di Lucifero. </w:t>
      </w:r>
      <w:r w:rsidR="0090770D">
        <w:rPr>
          <w:rFonts w:ascii="Times New Roman" w:eastAsia="Times New Roman" w:hAnsi="Times New Roman" w:cs="Times New Roman"/>
          <w:color w:val="000000"/>
        </w:rPr>
        <w:t>Questo scontro</w:t>
      </w:r>
      <w:r w:rsidR="008E6C1B">
        <w:rPr>
          <w:rFonts w:ascii="Times New Roman" w:eastAsia="Times New Roman" w:hAnsi="Times New Roman" w:cs="Times New Roman"/>
          <w:color w:val="000000"/>
        </w:rPr>
        <w:t xml:space="preserve"> </w:t>
      </w:r>
      <w:r w:rsidR="0090770D">
        <w:rPr>
          <w:rFonts w:ascii="Times New Roman" w:eastAsia="Times New Roman" w:hAnsi="Times New Roman" w:cs="Times New Roman"/>
          <w:color w:val="000000"/>
        </w:rPr>
        <w:t>è così definito da Böhme nel XVI capitolo di</w:t>
      </w:r>
      <w:r w:rsidR="00267507">
        <w:rPr>
          <w:rFonts w:ascii="Times New Roman" w:eastAsia="Times New Roman" w:hAnsi="Times New Roman" w:cs="Times New Roman"/>
          <w:i/>
          <w:color w:val="000000"/>
        </w:rPr>
        <w:t xml:space="preserve"> Morgenrö</w:t>
      </w:r>
      <w:r w:rsidR="0090770D" w:rsidRPr="0090770D">
        <w:rPr>
          <w:rFonts w:ascii="Times New Roman" w:eastAsia="Times New Roman" w:hAnsi="Times New Roman" w:cs="Times New Roman"/>
          <w:i/>
          <w:color w:val="000000"/>
        </w:rPr>
        <w:t>te</w:t>
      </w:r>
      <w:r w:rsidR="00252B00">
        <w:rPr>
          <w:rFonts w:ascii="Times New Roman" w:eastAsia="Times New Roman" w:hAnsi="Times New Roman" w:cs="Times New Roman"/>
          <w:i/>
          <w:color w:val="000000"/>
        </w:rPr>
        <w:t xml:space="preserve"> im Aufgang</w:t>
      </w:r>
      <w:r w:rsidR="0090770D">
        <w:rPr>
          <w:rFonts w:ascii="Times New Roman" w:eastAsia="Times New Roman" w:hAnsi="Times New Roman" w:cs="Times New Roman"/>
          <w:color w:val="000000"/>
        </w:rPr>
        <w:t>:</w:t>
      </w:r>
    </w:p>
    <w:p w14:paraId="04D00B83" w14:textId="77777777" w:rsidR="0090770D" w:rsidRDefault="0090770D" w:rsidP="00BE6A0E">
      <w:pPr>
        <w:spacing w:line="360" w:lineRule="auto"/>
        <w:ind w:firstLine="567"/>
        <w:jc w:val="both"/>
        <w:rPr>
          <w:rFonts w:ascii="Times New Roman" w:eastAsia="Times New Roman" w:hAnsi="Times New Roman" w:cs="Times New Roman"/>
          <w:color w:val="000000"/>
        </w:rPr>
      </w:pPr>
    </w:p>
    <w:p w14:paraId="57373E19" w14:textId="6DBEEC1E" w:rsidR="0090770D" w:rsidRPr="0084687D" w:rsidRDefault="0090770D" w:rsidP="008957A5">
      <w:pPr>
        <w:spacing w:line="360" w:lineRule="auto"/>
        <w:ind w:left="567" w:firstLine="567"/>
        <w:jc w:val="both"/>
        <w:rPr>
          <w:rFonts w:ascii="Times New Roman" w:eastAsia="Times New Roman" w:hAnsi="Times New Roman" w:cs="Times New Roman"/>
          <w:color w:val="000000"/>
        </w:rPr>
      </w:pPr>
      <w:r w:rsidRPr="0084687D">
        <w:rPr>
          <w:rFonts w:ascii="Times New Roman" w:hAnsi="Times New Roman" w:cs="Times New Roman"/>
          <w:sz w:val="20"/>
          <w:szCs w:val="20"/>
        </w:rPr>
        <w:t>«Sp</w:t>
      </w:r>
      <w:r w:rsidR="00CF52B0">
        <w:rPr>
          <w:rFonts w:ascii="Times New Roman" w:hAnsi="Times New Roman" w:cs="Times New Roman"/>
          <w:sz w:val="20"/>
          <w:szCs w:val="20"/>
        </w:rPr>
        <w:t>r</w:t>
      </w:r>
      <w:r w:rsidRPr="0084687D">
        <w:rPr>
          <w:rFonts w:ascii="Times New Roman" w:hAnsi="Times New Roman" w:cs="Times New Roman"/>
          <w:sz w:val="20"/>
          <w:szCs w:val="20"/>
        </w:rPr>
        <w:t>ichst du nun: Gott hätte ihm [Luzifer] sollen Wiederstand thun, daß so weit nicht wäre kommen. Ja lieber blinder Mensch, es stund nicht ein Mensch oder Thiere vor Gott: sondern es war Gott wieder Gott, ein Stärker wieder einen Starcken: Darzu wie solte ihm Gott Wiederstand thun? mir der freundlichen Liebe wolte es nicht gelten, Lucifer verachtete es nur, und wollte selber Gott seyn</w:t>
      </w:r>
      <w:r w:rsidRPr="0084687D">
        <w:rPr>
          <w:rFonts w:ascii="Times New Roman" w:eastAsia="Times New Roman" w:hAnsi="Times New Roman" w:cs="Times New Roman"/>
          <w:color w:val="000000"/>
          <w:sz w:val="20"/>
          <w:szCs w:val="20"/>
        </w:rPr>
        <w:t>»</w:t>
      </w:r>
      <w:r w:rsidRPr="0084687D">
        <w:rPr>
          <w:rStyle w:val="Rimandonotaapidipagina"/>
          <w:rFonts w:ascii="Times New Roman" w:eastAsia="Times New Roman" w:hAnsi="Times New Roman" w:cs="Times New Roman"/>
          <w:color w:val="000000"/>
          <w:sz w:val="20"/>
          <w:szCs w:val="20"/>
        </w:rPr>
        <w:footnoteReference w:id="308"/>
      </w:r>
      <w:r w:rsidRPr="0084687D">
        <w:rPr>
          <w:rFonts w:ascii="Times New Roman" w:eastAsia="Times New Roman" w:hAnsi="Times New Roman" w:cs="Times New Roman"/>
          <w:color w:val="000000"/>
          <w:sz w:val="20"/>
          <w:szCs w:val="20"/>
        </w:rPr>
        <w:t>.</w:t>
      </w:r>
    </w:p>
    <w:p w14:paraId="25BC47D0" w14:textId="77777777" w:rsidR="0090770D" w:rsidRDefault="0090770D" w:rsidP="00BE6A0E">
      <w:pPr>
        <w:spacing w:line="360" w:lineRule="auto"/>
        <w:ind w:firstLine="567"/>
        <w:jc w:val="both"/>
        <w:rPr>
          <w:rFonts w:ascii="Times New Roman" w:eastAsia="Times New Roman" w:hAnsi="Times New Roman" w:cs="Times New Roman"/>
          <w:color w:val="000000"/>
        </w:rPr>
      </w:pPr>
    </w:p>
    <w:p w14:paraId="69CB98E2" w14:textId="6AA2CDF4" w:rsidR="00075C0E" w:rsidRDefault="0090770D" w:rsidP="00FD5B47">
      <w:pPr>
        <w:spacing w:line="360" w:lineRule="auto"/>
        <w:ind w:firstLine="567"/>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Dio contro Dio, dunque. L’amore nulla può dinnanzi </w:t>
      </w:r>
      <w:r w:rsidR="00FC48E0">
        <w:rPr>
          <w:rFonts w:ascii="Times New Roman" w:eastAsia="Times New Roman" w:hAnsi="Times New Roman" w:cs="Times New Roman"/>
          <w:color w:val="000000"/>
        </w:rPr>
        <w:t>all’ira di Lucifero e</w:t>
      </w:r>
      <w:r w:rsidR="00F10D5A">
        <w:rPr>
          <w:rFonts w:ascii="Times New Roman" w:eastAsia="Times New Roman" w:hAnsi="Times New Roman" w:cs="Times New Roman"/>
          <w:color w:val="000000"/>
        </w:rPr>
        <w:t xml:space="preserve"> alla sua rivolta: il suo spirito è gettato in una valle tenebrosa</w:t>
      </w:r>
      <w:r w:rsidR="00162B0E">
        <w:rPr>
          <w:rFonts w:ascii="Times New Roman" w:eastAsia="Times New Roman" w:hAnsi="Times New Roman" w:cs="Times New Roman"/>
          <w:color w:val="000000"/>
        </w:rPr>
        <w:t xml:space="preserve"> (</w:t>
      </w:r>
      <w:r w:rsidR="00162B0E" w:rsidRPr="00162B0E">
        <w:rPr>
          <w:rFonts w:ascii="Times New Roman" w:eastAsia="Times New Roman" w:hAnsi="Times New Roman" w:cs="Times New Roman"/>
          <w:i/>
          <w:color w:val="000000"/>
        </w:rPr>
        <w:t>Finsterthal</w:t>
      </w:r>
      <w:r w:rsidR="00162B0E">
        <w:rPr>
          <w:rFonts w:ascii="Times New Roman" w:eastAsia="Times New Roman" w:hAnsi="Times New Roman" w:cs="Times New Roman"/>
          <w:color w:val="000000"/>
        </w:rPr>
        <w:t>)</w:t>
      </w:r>
      <w:r w:rsidR="00F10D5A">
        <w:rPr>
          <w:rFonts w:ascii="Times New Roman" w:eastAsia="Times New Roman" w:hAnsi="Times New Roman" w:cs="Times New Roman"/>
          <w:color w:val="000000"/>
        </w:rPr>
        <w:t xml:space="preserve"> e l’amore, che un tempo lo pervadeva, è sosituito da una radicale ostilità</w:t>
      </w:r>
      <w:r w:rsidR="00162B0E">
        <w:rPr>
          <w:rFonts w:ascii="Times New Roman" w:eastAsia="Times New Roman" w:hAnsi="Times New Roman" w:cs="Times New Roman"/>
          <w:color w:val="000000"/>
        </w:rPr>
        <w:t xml:space="preserve"> (</w:t>
      </w:r>
      <w:r w:rsidR="00162B0E" w:rsidRPr="00162B0E">
        <w:rPr>
          <w:rFonts w:ascii="Times New Roman" w:eastAsia="Times New Roman" w:hAnsi="Times New Roman" w:cs="Times New Roman"/>
          <w:i/>
          <w:color w:val="000000"/>
        </w:rPr>
        <w:t>Feindschaft</w:t>
      </w:r>
      <w:r w:rsidR="00162B0E">
        <w:rPr>
          <w:rFonts w:ascii="Times New Roman" w:eastAsia="Times New Roman" w:hAnsi="Times New Roman" w:cs="Times New Roman"/>
          <w:color w:val="000000"/>
        </w:rPr>
        <w:t>)</w:t>
      </w:r>
      <w:r w:rsidR="00F10D5A">
        <w:rPr>
          <w:rStyle w:val="Rimandonotaapidipagina"/>
          <w:rFonts w:ascii="Times New Roman" w:eastAsia="Times New Roman" w:hAnsi="Times New Roman" w:cs="Times New Roman"/>
          <w:color w:val="000000"/>
        </w:rPr>
        <w:footnoteReference w:id="309"/>
      </w:r>
      <w:r w:rsidR="00F10D5A">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 xml:space="preserve">Quella che ha luogo è una lotta fra pari, un collidere di forze equivalenti, un esplodere di due ire </w:t>
      </w:r>
      <w:r w:rsidR="007A66AB">
        <w:rPr>
          <w:rFonts w:ascii="Times New Roman" w:eastAsia="Times New Roman" w:hAnsi="Times New Roman" w:cs="Times New Roman"/>
          <w:color w:val="000000"/>
        </w:rPr>
        <w:t xml:space="preserve">mosse </w:t>
      </w:r>
      <w:r>
        <w:rPr>
          <w:rFonts w:ascii="Times New Roman" w:eastAsia="Times New Roman" w:hAnsi="Times New Roman" w:cs="Times New Roman"/>
          <w:color w:val="000000"/>
        </w:rPr>
        <w:t xml:space="preserve">da una pari intensità. </w:t>
      </w:r>
      <w:r w:rsidR="00803864" w:rsidRPr="00C06152">
        <w:rPr>
          <w:rFonts w:ascii="Times New Roman" w:eastAsia="Times New Roman" w:hAnsi="Times New Roman" w:cs="Times New Roman"/>
          <w:color w:val="000000"/>
        </w:rPr>
        <w:t xml:space="preserve">Sebbene Hegel non </w:t>
      </w:r>
      <w:r w:rsidR="00757A7A" w:rsidRPr="00C06152">
        <w:rPr>
          <w:rFonts w:ascii="Times New Roman" w:eastAsia="Times New Roman" w:hAnsi="Times New Roman" w:cs="Times New Roman"/>
          <w:color w:val="000000"/>
        </w:rPr>
        <w:t>alluda esplicitamente a</w:t>
      </w:r>
      <w:r w:rsidR="00FD5B47" w:rsidRPr="00C06152">
        <w:rPr>
          <w:rFonts w:ascii="Times New Roman" w:eastAsia="Times New Roman" w:hAnsi="Times New Roman" w:cs="Times New Roman"/>
          <w:color w:val="000000"/>
        </w:rPr>
        <w:t xml:space="preserve">l </w:t>
      </w:r>
      <w:r w:rsidR="00016F8D" w:rsidRPr="00C06152">
        <w:rPr>
          <w:rFonts w:ascii="Times New Roman" w:eastAsia="Times New Roman" w:hAnsi="Times New Roman" w:cs="Times New Roman"/>
          <w:i/>
          <w:color w:val="000000"/>
        </w:rPr>
        <w:t>Gott wieder</w:t>
      </w:r>
      <w:r w:rsidR="00AC5E51" w:rsidRPr="00C06152">
        <w:rPr>
          <w:rFonts w:ascii="Times New Roman" w:eastAsia="Times New Roman" w:hAnsi="Times New Roman" w:cs="Times New Roman"/>
          <w:i/>
          <w:color w:val="000000"/>
        </w:rPr>
        <w:t xml:space="preserve"> Gott</w:t>
      </w:r>
      <w:r w:rsidR="00757A7A" w:rsidRPr="00C06152">
        <w:rPr>
          <w:rFonts w:ascii="Times New Roman" w:eastAsia="Times New Roman" w:hAnsi="Times New Roman" w:cs="Times New Roman"/>
          <w:color w:val="000000"/>
        </w:rPr>
        <w:t xml:space="preserve"> böhmiano,</w:t>
      </w:r>
      <w:r w:rsidR="00803864" w:rsidRPr="00C06152">
        <w:rPr>
          <w:rFonts w:ascii="Times New Roman" w:eastAsia="Times New Roman" w:hAnsi="Times New Roman" w:cs="Times New Roman"/>
          <w:color w:val="000000"/>
        </w:rPr>
        <w:t xml:space="preserve"> pens</w:t>
      </w:r>
      <w:r w:rsidR="00FD5B47" w:rsidRPr="00C06152">
        <w:rPr>
          <w:rFonts w:ascii="Times New Roman" w:eastAsia="Times New Roman" w:hAnsi="Times New Roman" w:cs="Times New Roman"/>
          <w:color w:val="000000"/>
        </w:rPr>
        <w:t xml:space="preserve">o che </w:t>
      </w:r>
      <w:r w:rsidR="00FD5B47" w:rsidRPr="009D0D64">
        <w:rPr>
          <w:rFonts w:ascii="Times New Roman" w:eastAsia="Times New Roman" w:hAnsi="Times New Roman" w:cs="Times New Roman"/>
          <w:color w:val="000000"/>
        </w:rPr>
        <w:t>quest’</w:t>
      </w:r>
      <w:r w:rsidR="00D7541C" w:rsidRPr="009D0D64">
        <w:rPr>
          <w:rFonts w:ascii="Times New Roman" w:eastAsia="Times New Roman" w:hAnsi="Times New Roman" w:cs="Times New Roman"/>
          <w:color w:val="000000"/>
        </w:rPr>
        <w:t>espressione abbia suggerito i</w:t>
      </w:r>
      <w:r w:rsidR="00526ABA" w:rsidRPr="009D0D64">
        <w:rPr>
          <w:rFonts w:ascii="Times New Roman" w:eastAsia="Times New Roman" w:hAnsi="Times New Roman" w:cs="Times New Roman"/>
          <w:color w:val="000000"/>
        </w:rPr>
        <w:t xml:space="preserve">l collegamento </w:t>
      </w:r>
      <w:r w:rsidR="00075C0E" w:rsidRPr="009D0D64">
        <w:rPr>
          <w:rFonts w:ascii="Times New Roman" w:eastAsia="Times New Roman" w:hAnsi="Times New Roman" w:cs="Times New Roman"/>
          <w:color w:val="000000"/>
        </w:rPr>
        <w:t>del male con l’ira di Dio e la</w:t>
      </w:r>
      <w:r w:rsidR="00526ABA" w:rsidRPr="009D0D64">
        <w:rPr>
          <w:rFonts w:ascii="Times New Roman" w:eastAsia="Times New Roman" w:hAnsi="Times New Roman" w:cs="Times New Roman"/>
          <w:color w:val="000000"/>
        </w:rPr>
        <w:t xml:space="preserve"> caduta di Lucifero</w:t>
      </w:r>
      <w:r w:rsidR="00580169" w:rsidRPr="009D0D64">
        <w:rPr>
          <w:rFonts w:ascii="Times New Roman" w:eastAsia="Times New Roman" w:hAnsi="Times New Roman" w:cs="Times New Roman"/>
          <w:color w:val="000000"/>
        </w:rPr>
        <w:t xml:space="preserve">, con quelle </w:t>
      </w:r>
      <w:r w:rsidR="00580169" w:rsidRPr="009D0D64">
        <w:rPr>
          <w:rFonts w:ascii="Times New Roman" w:eastAsia="Times New Roman" w:hAnsi="Times New Roman" w:cs="Times New Roman"/>
          <w:i/>
          <w:color w:val="000000"/>
        </w:rPr>
        <w:t>rappresentazioni</w:t>
      </w:r>
      <w:r w:rsidR="00580169" w:rsidRPr="009D0D64">
        <w:rPr>
          <w:rFonts w:ascii="Times New Roman" w:eastAsia="Times New Roman" w:hAnsi="Times New Roman" w:cs="Times New Roman"/>
          <w:color w:val="000000"/>
        </w:rPr>
        <w:t xml:space="preserve"> </w:t>
      </w:r>
      <w:r w:rsidR="00526ABA" w:rsidRPr="009D0D64">
        <w:rPr>
          <w:rFonts w:ascii="Times New Roman" w:eastAsia="Times New Roman" w:hAnsi="Times New Roman" w:cs="Times New Roman"/>
          <w:color w:val="000000"/>
        </w:rPr>
        <w:t xml:space="preserve">che </w:t>
      </w:r>
      <w:r w:rsidR="00A3488B" w:rsidRPr="009D0D64">
        <w:rPr>
          <w:rFonts w:ascii="Times New Roman" w:eastAsia="Times New Roman" w:hAnsi="Times New Roman" w:cs="Times New Roman"/>
          <w:color w:val="000000"/>
        </w:rPr>
        <w:t>Hegel considera</w:t>
      </w:r>
      <w:r w:rsidR="00075C0E" w:rsidRPr="009D0D64">
        <w:rPr>
          <w:rFonts w:ascii="Times New Roman" w:eastAsia="Times New Roman" w:hAnsi="Times New Roman" w:cs="Times New Roman"/>
          <w:color w:val="000000"/>
        </w:rPr>
        <w:t xml:space="preserve"> </w:t>
      </w:r>
      <w:r w:rsidR="00526ABA" w:rsidRPr="009D0D64">
        <w:rPr>
          <w:rFonts w:ascii="Times New Roman" w:eastAsia="Times New Roman" w:hAnsi="Times New Roman" w:cs="Times New Roman"/>
          <w:color w:val="000000"/>
        </w:rPr>
        <w:t>espli</w:t>
      </w:r>
      <w:r w:rsidR="00DD25C0" w:rsidRPr="009D0D64">
        <w:rPr>
          <w:rFonts w:ascii="Times New Roman" w:eastAsia="Times New Roman" w:hAnsi="Times New Roman" w:cs="Times New Roman"/>
          <w:color w:val="000000"/>
        </w:rPr>
        <w:t>cative della negatività prima</w:t>
      </w:r>
      <w:r w:rsidR="00861847" w:rsidRPr="009D0D64">
        <w:rPr>
          <w:rFonts w:ascii="Times New Roman" w:eastAsia="Times New Roman" w:hAnsi="Times New Roman" w:cs="Times New Roman"/>
          <w:color w:val="000000"/>
        </w:rPr>
        <w:t xml:space="preserve"> </w:t>
      </w:r>
      <w:r w:rsidR="00526ABA" w:rsidRPr="009D0D64">
        <w:rPr>
          <w:rFonts w:ascii="Times New Roman" w:eastAsia="Times New Roman" w:hAnsi="Times New Roman" w:cs="Times New Roman"/>
          <w:color w:val="000000"/>
        </w:rPr>
        <w:t xml:space="preserve">dell’essenza </w:t>
      </w:r>
      <w:r w:rsidR="00506042" w:rsidRPr="009D0D64">
        <w:rPr>
          <w:rFonts w:ascii="Times New Roman" w:eastAsia="Times New Roman" w:hAnsi="Times New Roman" w:cs="Times New Roman"/>
          <w:color w:val="000000"/>
        </w:rPr>
        <w:t>e</w:t>
      </w:r>
      <w:r w:rsidR="00526ABA" w:rsidRPr="009D0D64">
        <w:rPr>
          <w:rFonts w:ascii="Times New Roman" w:eastAsia="Times New Roman" w:hAnsi="Times New Roman" w:cs="Times New Roman"/>
          <w:color w:val="000000"/>
        </w:rPr>
        <w:t>t</w:t>
      </w:r>
      <w:r w:rsidR="00506042" w:rsidRPr="009D0D64">
        <w:rPr>
          <w:rFonts w:ascii="Times New Roman" w:eastAsia="Times New Roman" w:hAnsi="Times New Roman" w:cs="Times New Roman"/>
          <w:color w:val="000000"/>
        </w:rPr>
        <w:t>ern</w:t>
      </w:r>
      <w:r w:rsidR="00526ABA" w:rsidRPr="009D0D64">
        <w:rPr>
          <w:rFonts w:ascii="Times New Roman" w:eastAsia="Times New Roman" w:hAnsi="Times New Roman" w:cs="Times New Roman"/>
          <w:color w:val="000000"/>
        </w:rPr>
        <w:t xml:space="preserve">a. Al riguardo, </w:t>
      </w:r>
      <w:r w:rsidR="00FD5B47" w:rsidRPr="009D0D64">
        <w:rPr>
          <w:rFonts w:ascii="Times New Roman" w:eastAsia="Times New Roman" w:hAnsi="Times New Roman" w:cs="Times New Roman"/>
          <w:color w:val="000000"/>
        </w:rPr>
        <w:t xml:space="preserve">si legge </w:t>
      </w:r>
      <w:r w:rsidR="00526ABA" w:rsidRPr="009D0D64">
        <w:rPr>
          <w:rFonts w:ascii="Times New Roman" w:eastAsia="Times New Roman" w:hAnsi="Times New Roman" w:cs="Times New Roman"/>
          <w:color w:val="000000"/>
        </w:rPr>
        <w:t>che il più grande sforzo</w:t>
      </w:r>
      <w:r w:rsidR="00506042" w:rsidRPr="009D0D64">
        <w:rPr>
          <w:rFonts w:ascii="Times New Roman" w:eastAsia="Times New Roman" w:hAnsi="Times New Roman" w:cs="Times New Roman"/>
          <w:color w:val="000000"/>
        </w:rPr>
        <w:t xml:space="preserve"> della rappresentazione </w:t>
      </w:r>
      <w:r w:rsidR="008B0ED2" w:rsidRPr="009D0D64">
        <w:rPr>
          <w:rFonts w:ascii="Times New Roman" w:eastAsia="Times New Roman" w:hAnsi="Times New Roman" w:cs="Times New Roman"/>
          <w:color w:val="000000"/>
        </w:rPr>
        <w:t>consiste</w:t>
      </w:r>
      <w:r w:rsidR="00526ABA" w:rsidRPr="009D0D64">
        <w:rPr>
          <w:rFonts w:ascii="Times New Roman" w:eastAsia="Times New Roman" w:hAnsi="Times New Roman" w:cs="Times New Roman"/>
          <w:color w:val="000000"/>
        </w:rPr>
        <w:t xml:space="preserve"> </w:t>
      </w:r>
      <w:r w:rsidR="0079296B" w:rsidRPr="009D0D64">
        <w:rPr>
          <w:rFonts w:ascii="Times New Roman" w:eastAsia="Times New Roman" w:hAnsi="Times New Roman" w:cs="Times New Roman"/>
          <w:color w:val="000000"/>
        </w:rPr>
        <w:t xml:space="preserve">proprio </w:t>
      </w:r>
      <w:r w:rsidR="00526ABA" w:rsidRPr="009D0D64">
        <w:rPr>
          <w:rFonts w:ascii="Times New Roman" w:eastAsia="Times New Roman" w:hAnsi="Times New Roman" w:cs="Times New Roman"/>
          <w:color w:val="000000"/>
        </w:rPr>
        <w:t>nel</w:t>
      </w:r>
      <w:r w:rsidR="0079296B" w:rsidRPr="009D0D64">
        <w:rPr>
          <w:rFonts w:ascii="Times New Roman" w:eastAsia="Times New Roman" w:hAnsi="Times New Roman" w:cs="Times New Roman"/>
          <w:color w:val="000000"/>
        </w:rPr>
        <w:t>lo</w:t>
      </w:r>
      <w:r w:rsidR="00526ABA" w:rsidRPr="009D0D64">
        <w:rPr>
          <w:rFonts w:ascii="Times New Roman" w:eastAsia="Times New Roman" w:hAnsi="Times New Roman" w:cs="Times New Roman"/>
          <w:color w:val="000000"/>
        </w:rPr>
        <w:t xml:space="preserve"> spiegare il male come </w:t>
      </w:r>
      <w:r w:rsidR="00075C0E" w:rsidRPr="009D0D64">
        <w:rPr>
          <w:rFonts w:ascii="Times New Roman" w:eastAsia="Times New Roman" w:hAnsi="Times New Roman" w:cs="Times New Roman"/>
          <w:color w:val="000000"/>
        </w:rPr>
        <w:t>un</w:t>
      </w:r>
      <w:r w:rsidR="00A3488B" w:rsidRPr="009D0D64">
        <w:rPr>
          <w:rFonts w:ascii="Times New Roman" w:eastAsia="Times New Roman" w:hAnsi="Times New Roman" w:cs="Times New Roman"/>
          <w:color w:val="000000"/>
        </w:rPr>
        <w:t>a struttura</w:t>
      </w:r>
      <w:r w:rsidR="00075C0E" w:rsidRPr="009D0D64">
        <w:rPr>
          <w:rFonts w:ascii="Times New Roman" w:eastAsia="Times New Roman" w:hAnsi="Times New Roman" w:cs="Times New Roman"/>
          <w:color w:val="000000"/>
        </w:rPr>
        <w:t xml:space="preserve"> </w:t>
      </w:r>
      <w:r w:rsidR="00A3488B" w:rsidRPr="009D0D64">
        <w:rPr>
          <w:rFonts w:ascii="Times New Roman" w:eastAsia="Times New Roman" w:hAnsi="Times New Roman" w:cs="Times New Roman"/>
          <w:color w:val="000000"/>
        </w:rPr>
        <w:t xml:space="preserve">interna </w:t>
      </w:r>
      <w:r w:rsidR="00526ABA" w:rsidRPr="009D0D64">
        <w:rPr>
          <w:rFonts w:ascii="Times New Roman" w:eastAsia="Times New Roman" w:hAnsi="Times New Roman" w:cs="Times New Roman"/>
          <w:color w:val="000000"/>
        </w:rPr>
        <w:t>al</w:t>
      </w:r>
      <w:r w:rsidR="00075C0E" w:rsidRPr="009D0D64">
        <w:rPr>
          <w:rFonts w:ascii="Times New Roman" w:eastAsia="Times New Roman" w:hAnsi="Times New Roman" w:cs="Times New Roman"/>
          <w:color w:val="000000"/>
        </w:rPr>
        <w:t>la divinità</w:t>
      </w:r>
      <w:r w:rsidR="00526ABA" w:rsidRPr="009D0D64">
        <w:rPr>
          <w:rFonts w:ascii="Times New Roman" w:eastAsia="Times New Roman" w:hAnsi="Times New Roman" w:cs="Times New Roman"/>
          <w:color w:val="000000"/>
        </w:rPr>
        <w:t>:</w:t>
      </w:r>
    </w:p>
    <w:p w14:paraId="382B3FC0" w14:textId="77777777" w:rsidR="00075C0E" w:rsidRDefault="00075C0E" w:rsidP="00075C0E">
      <w:pPr>
        <w:spacing w:line="360" w:lineRule="auto"/>
        <w:ind w:firstLine="567"/>
        <w:jc w:val="both"/>
        <w:rPr>
          <w:rFonts w:ascii="Times New Roman" w:eastAsia="Times New Roman" w:hAnsi="Times New Roman" w:cs="Times New Roman"/>
          <w:color w:val="000000"/>
        </w:rPr>
      </w:pPr>
    </w:p>
    <w:p w14:paraId="0B417A95" w14:textId="4143D05F" w:rsidR="00526ABA" w:rsidRPr="0084687D" w:rsidRDefault="00075C0E" w:rsidP="00506042">
      <w:pPr>
        <w:spacing w:line="360" w:lineRule="auto"/>
        <w:ind w:left="567" w:firstLine="567"/>
        <w:jc w:val="both"/>
        <w:rPr>
          <w:rFonts w:ascii="Times New Roman" w:eastAsia="Times New Roman" w:hAnsi="Times New Roman" w:cs="Times New Roman"/>
          <w:color w:val="000000"/>
        </w:rPr>
      </w:pPr>
      <w:r w:rsidRPr="0084687D">
        <w:rPr>
          <w:rFonts w:ascii="Times New Roman" w:eastAsia="Times New Roman" w:hAnsi="Times New Roman" w:cs="Times New Roman"/>
          <w:color w:val="000000"/>
          <w:sz w:val="20"/>
          <w:szCs w:val="20"/>
        </w:rPr>
        <w:t>«Was im rein gedachten Geiste als Anderswerden des göttlichen Wesens überhaupt nur angedeutet ist, tritt hier seiner Realisierung für das Vorstellen näher; sie besteht ihm in der Selbsterniedrigung des göttlic</w:t>
      </w:r>
      <w:r w:rsidR="007B010A">
        <w:rPr>
          <w:rFonts w:ascii="Times New Roman" w:eastAsia="Times New Roman" w:hAnsi="Times New Roman" w:cs="Times New Roman"/>
          <w:color w:val="000000"/>
          <w:sz w:val="20"/>
          <w:szCs w:val="20"/>
        </w:rPr>
        <w:t>hen Wesens, das auf seine Abstac</w:t>
      </w:r>
      <w:r w:rsidRPr="0084687D">
        <w:rPr>
          <w:rFonts w:ascii="Times New Roman" w:eastAsia="Times New Roman" w:hAnsi="Times New Roman" w:cs="Times New Roman"/>
          <w:color w:val="000000"/>
          <w:sz w:val="20"/>
          <w:szCs w:val="20"/>
        </w:rPr>
        <w:t>tion und Unwirklichkeit Verzicht thut. – Die andere Seite, das Böse, nimmt das Vorstellen als ein dem göttlichen Wesen fremdes Geschehen; es in demselben selbst, als seinen Zorn zu fassen, ist die höchste, härteste Anstrengung des mit sich selbst ringenden Vorstellens, die, da sie des Begriffes entbehrt, fruchtlos bleibt</w:t>
      </w:r>
      <w:r w:rsidR="00262338" w:rsidRPr="0084687D">
        <w:rPr>
          <w:rFonts w:ascii="Times New Roman" w:eastAsia="Times New Roman" w:hAnsi="Times New Roman" w:cs="Times New Roman"/>
          <w:color w:val="000000"/>
          <w:sz w:val="20"/>
          <w:szCs w:val="20"/>
        </w:rPr>
        <w:t>»</w:t>
      </w:r>
      <w:r w:rsidR="00262338" w:rsidRPr="0084687D">
        <w:rPr>
          <w:rStyle w:val="Rimandonotaapidipagina"/>
          <w:rFonts w:ascii="Times New Roman" w:eastAsia="Times New Roman" w:hAnsi="Times New Roman" w:cs="Times New Roman"/>
          <w:color w:val="000000"/>
          <w:sz w:val="20"/>
          <w:szCs w:val="20"/>
        </w:rPr>
        <w:footnoteReference w:id="310"/>
      </w:r>
      <w:r w:rsidR="0084687D">
        <w:rPr>
          <w:rFonts w:ascii="Times New Roman" w:eastAsia="Times New Roman" w:hAnsi="Times New Roman" w:cs="Times New Roman"/>
          <w:color w:val="000000"/>
          <w:sz w:val="20"/>
          <w:szCs w:val="20"/>
        </w:rPr>
        <w:t>.</w:t>
      </w:r>
    </w:p>
    <w:p w14:paraId="3160FE1D" w14:textId="77777777" w:rsidR="0090770D" w:rsidRDefault="0090770D" w:rsidP="00262338">
      <w:pPr>
        <w:spacing w:line="360" w:lineRule="auto"/>
        <w:jc w:val="both"/>
        <w:rPr>
          <w:rFonts w:ascii="Times New Roman" w:eastAsia="Times New Roman" w:hAnsi="Times New Roman" w:cs="Times New Roman"/>
          <w:color w:val="000000"/>
        </w:rPr>
      </w:pPr>
    </w:p>
    <w:p w14:paraId="37586F42" w14:textId="20CD1A2C" w:rsidR="00504BB6" w:rsidRDefault="00CE021D" w:rsidP="00A74F67">
      <w:pPr>
        <w:spacing w:line="360" w:lineRule="auto"/>
        <w:ind w:firstLine="567"/>
        <w:jc w:val="both"/>
        <w:rPr>
          <w:rFonts w:ascii="Times New Roman" w:eastAsia="Times New Roman" w:hAnsi="Times New Roman" w:cs="Times New Roman"/>
          <w:color w:val="000000"/>
        </w:rPr>
      </w:pPr>
      <w:r w:rsidRPr="00C06152">
        <w:rPr>
          <w:rFonts w:ascii="Times New Roman" w:eastAsia="Times New Roman" w:hAnsi="Times New Roman" w:cs="Times New Roman"/>
          <w:color w:val="000000"/>
        </w:rPr>
        <w:t>Con un’operazione interpretativa aud</w:t>
      </w:r>
      <w:r w:rsidR="00FD5B47" w:rsidRPr="00C06152">
        <w:rPr>
          <w:rFonts w:ascii="Times New Roman" w:eastAsia="Times New Roman" w:hAnsi="Times New Roman" w:cs="Times New Roman"/>
          <w:color w:val="000000"/>
        </w:rPr>
        <w:t>ace e or</w:t>
      </w:r>
      <w:r w:rsidR="009C5513">
        <w:rPr>
          <w:rFonts w:ascii="Times New Roman" w:eastAsia="Times New Roman" w:hAnsi="Times New Roman" w:cs="Times New Roman"/>
          <w:color w:val="000000"/>
        </w:rPr>
        <w:t>i</w:t>
      </w:r>
      <w:r w:rsidR="00FD5B47" w:rsidRPr="00C06152">
        <w:rPr>
          <w:rFonts w:ascii="Times New Roman" w:eastAsia="Times New Roman" w:hAnsi="Times New Roman" w:cs="Times New Roman"/>
          <w:color w:val="000000"/>
        </w:rPr>
        <w:t xml:space="preserve">ginale, Hegel collega la </w:t>
      </w:r>
      <w:r w:rsidR="00FD5B47" w:rsidRPr="00C06152">
        <w:rPr>
          <w:rFonts w:ascii="Times New Roman" w:eastAsia="Times New Roman" w:hAnsi="Times New Roman" w:cs="Times New Roman"/>
          <w:i/>
          <w:color w:val="000000"/>
        </w:rPr>
        <w:t>Zorn Gottes</w:t>
      </w:r>
      <w:r w:rsidR="009D0D64">
        <w:rPr>
          <w:rFonts w:ascii="Times New Roman" w:eastAsia="Times New Roman" w:hAnsi="Times New Roman" w:cs="Times New Roman"/>
          <w:color w:val="000000"/>
        </w:rPr>
        <w:t xml:space="preserve"> </w:t>
      </w:r>
      <w:r w:rsidRPr="00757A7A">
        <w:rPr>
          <w:rFonts w:ascii="Times New Roman" w:eastAsia="Times New Roman" w:hAnsi="Times New Roman" w:cs="Times New Roman"/>
          <w:color w:val="000000"/>
        </w:rPr>
        <w:t xml:space="preserve">alla negatività </w:t>
      </w:r>
      <w:r w:rsidR="00527924" w:rsidRPr="00757A7A">
        <w:rPr>
          <w:rFonts w:ascii="Times New Roman" w:eastAsia="Times New Roman" w:hAnsi="Times New Roman" w:cs="Times New Roman"/>
          <w:color w:val="000000"/>
        </w:rPr>
        <w:t>prima</w:t>
      </w:r>
      <w:r w:rsidR="00062059" w:rsidRPr="00757A7A">
        <w:rPr>
          <w:rFonts w:ascii="Times New Roman" w:eastAsia="Times New Roman" w:hAnsi="Times New Roman" w:cs="Times New Roman"/>
          <w:color w:val="000000"/>
        </w:rPr>
        <w:t xml:space="preserve"> </w:t>
      </w:r>
      <w:r w:rsidR="00527924" w:rsidRPr="00757A7A">
        <w:rPr>
          <w:rFonts w:ascii="Times New Roman" w:eastAsia="Times New Roman" w:hAnsi="Times New Roman" w:cs="Times New Roman"/>
          <w:color w:val="000000"/>
        </w:rPr>
        <w:t>dell’essenza</w:t>
      </w:r>
      <w:r w:rsidR="009E5DC3" w:rsidRPr="00757A7A">
        <w:rPr>
          <w:rFonts w:ascii="Times New Roman" w:eastAsia="Times New Roman" w:hAnsi="Times New Roman" w:cs="Times New Roman"/>
          <w:color w:val="000000"/>
        </w:rPr>
        <w:t xml:space="preserve"> divina</w:t>
      </w:r>
      <w:r w:rsidRPr="00757A7A">
        <w:rPr>
          <w:rFonts w:ascii="Times New Roman" w:eastAsia="Times New Roman" w:hAnsi="Times New Roman" w:cs="Times New Roman"/>
          <w:color w:val="000000"/>
        </w:rPr>
        <w:t>: dove non sussiste differenza</w:t>
      </w:r>
      <w:r w:rsidR="00542EC7" w:rsidRPr="00757A7A">
        <w:rPr>
          <w:rFonts w:ascii="Times New Roman" w:eastAsia="Times New Roman" w:hAnsi="Times New Roman" w:cs="Times New Roman"/>
          <w:color w:val="000000"/>
        </w:rPr>
        <w:t xml:space="preserve"> alcuna</w:t>
      </w:r>
      <w:r w:rsidRPr="00757A7A">
        <w:rPr>
          <w:rFonts w:ascii="Times New Roman" w:eastAsia="Times New Roman" w:hAnsi="Times New Roman" w:cs="Times New Roman"/>
          <w:color w:val="000000"/>
        </w:rPr>
        <w:t xml:space="preserve">, ossia nel primo regno del pensiero, </w:t>
      </w:r>
      <w:r w:rsidR="00757A7A" w:rsidRPr="00757A7A">
        <w:rPr>
          <w:rFonts w:ascii="Times New Roman" w:eastAsia="Times New Roman" w:hAnsi="Times New Roman" w:cs="Times New Roman"/>
          <w:color w:val="000000"/>
        </w:rPr>
        <w:t xml:space="preserve">si </w:t>
      </w:r>
      <w:r w:rsidR="00851875" w:rsidRPr="00757A7A">
        <w:rPr>
          <w:rFonts w:ascii="Times New Roman" w:eastAsia="Times New Roman" w:hAnsi="Times New Roman" w:cs="Times New Roman"/>
          <w:color w:val="000000"/>
        </w:rPr>
        <w:t xml:space="preserve">origina il male, </w:t>
      </w:r>
      <w:r w:rsidR="006475F6" w:rsidRPr="00757A7A">
        <w:rPr>
          <w:rFonts w:ascii="Times New Roman" w:eastAsia="Times New Roman" w:hAnsi="Times New Roman" w:cs="Times New Roman"/>
          <w:color w:val="000000"/>
        </w:rPr>
        <w:t>il</w:t>
      </w:r>
      <w:r w:rsidR="006475F6" w:rsidRPr="00F06973">
        <w:rPr>
          <w:rFonts w:ascii="Times New Roman" w:eastAsia="Times New Roman" w:hAnsi="Times New Roman" w:cs="Times New Roman"/>
          <w:color w:val="000000"/>
        </w:rPr>
        <w:t xml:space="preserve"> negarsi del divino in sé</w:t>
      </w:r>
      <w:r w:rsidR="00851875">
        <w:rPr>
          <w:rFonts w:ascii="Times New Roman" w:eastAsia="Times New Roman" w:hAnsi="Times New Roman" w:cs="Times New Roman"/>
          <w:color w:val="000000"/>
        </w:rPr>
        <w:t xml:space="preserve">, </w:t>
      </w:r>
      <w:r w:rsidR="006475F6" w:rsidRPr="00F06973">
        <w:rPr>
          <w:rFonts w:ascii="Times New Roman" w:eastAsia="Times New Roman" w:hAnsi="Times New Roman" w:cs="Times New Roman"/>
          <w:color w:val="000000"/>
        </w:rPr>
        <w:t>e, in conseguenza di ciò,</w:t>
      </w:r>
      <w:r w:rsidR="008D315C">
        <w:rPr>
          <w:rFonts w:ascii="Times New Roman" w:eastAsia="Times New Roman" w:hAnsi="Times New Roman" w:cs="Times New Roman"/>
          <w:color w:val="000000"/>
        </w:rPr>
        <w:t xml:space="preserve"> il posizionamento di un’</w:t>
      </w:r>
      <w:r w:rsidRPr="00F06973">
        <w:rPr>
          <w:rFonts w:ascii="Times New Roman" w:eastAsia="Times New Roman" w:hAnsi="Times New Roman" w:cs="Times New Roman"/>
          <w:color w:val="000000"/>
        </w:rPr>
        <w:t xml:space="preserve">alterità in senso forte. </w:t>
      </w:r>
      <w:r w:rsidR="00542EC7" w:rsidRPr="00F06973">
        <w:rPr>
          <w:rFonts w:ascii="Times New Roman" w:eastAsia="Times New Roman" w:hAnsi="Times New Roman" w:cs="Times New Roman"/>
          <w:color w:val="000000"/>
        </w:rPr>
        <w:t>A</w:t>
      </w:r>
      <w:r w:rsidR="00C30BDA" w:rsidRPr="00F06973">
        <w:rPr>
          <w:rFonts w:ascii="Times New Roman" w:eastAsia="Times New Roman" w:hAnsi="Times New Roman" w:cs="Times New Roman"/>
          <w:color w:val="000000"/>
        </w:rPr>
        <w:t xml:space="preserve"> differenza del </w:t>
      </w:r>
      <w:r w:rsidR="00C30BDA" w:rsidRPr="00F06973">
        <w:rPr>
          <w:rFonts w:ascii="Times New Roman" w:eastAsia="Times New Roman" w:hAnsi="Times New Roman" w:cs="Times New Roman"/>
          <w:i/>
          <w:color w:val="000000"/>
        </w:rPr>
        <w:t>Fragment 49</w:t>
      </w:r>
      <w:r w:rsidR="00C30BDA" w:rsidRPr="00F06973">
        <w:rPr>
          <w:rFonts w:ascii="Times New Roman" w:eastAsia="Times New Roman" w:hAnsi="Times New Roman" w:cs="Times New Roman"/>
          <w:color w:val="000000"/>
        </w:rPr>
        <w:t>, che attribuis</w:t>
      </w:r>
      <w:r w:rsidR="006475F6" w:rsidRPr="00F06973">
        <w:rPr>
          <w:rFonts w:ascii="Times New Roman" w:eastAsia="Times New Roman" w:hAnsi="Times New Roman" w:cs="Times New Roman"/>
          <w:color w:val="000000"/>
        </w:rPr>
        <w:t xml:space="preserve">ce a Lucifero un proprio essere per </w:t>
      </w:r>
      <w:r w:rsidR="00C30BDA" w:rsidRPr="00F06973">
        <w:rPr>
          <w:rFonts w:ascii="Times New Roman" w:eastAsia="Times New Roman" w:hAnsi="Times New Roman" w:cs="Times New Roman"/>
          <w:color w:val="000000"/>
        </w:rPr>
        <w:t>sé</w:t>
      </w:r>
      <w:r w:rsidR="00542EC7" w:rsidRPr="00F06973">
        <w:rPr>
          <w:rFonts w:ascii="Times New Roman" w:eastAsia="Times New Roman" w:hAnsi="Times New Roman" w:cs="Times New Roman"/>
          <w:color w:val="000000"/>
        </w:rPr>
        <w:t>, questo passo del</w:t>
      </w:r>
      <w:r w:rsidR="00C30BDA" w:rsidRPr="00F06973">
        <w:rPr>
          <w:rFonts w:ascii="Times New Roman" w:eastAsia="Times New Roman" w:hAnsi="Times New Roman" w:cs="Times New Roman"/>
          <w:color w:val="000000"/>
        </w:rPr>
        <w:t xml:space="preserve"> </w:t>
      </w:r>
      <w:r w:rsidR="00C30BDA" w:rsidRPr="00F06973">
        <w:rPr>
          <w:rFonts w:ascii="Times New Roman" w:eastAsia="Times New Roman" w:hAnsi="Times New Roman" w:cs="Times New Roman"/>
          <w:i/>
          <w:color w:val="000000"/>
        </w:rPr>
        <w:t>Religionskapitel</w:t>
      </w:r>
      <w:r w:rsidR="00C30BDA" w:rsidRPr="00F06973">
        <w:rPr>
          <w:rFonts w:ascii="Times New Roman" w:eastAsia="Times New Roman" w:hAnsi="Times New Roman" w:cs="Times New Roman"/>
          <w:color w:val="000000"/>
        </w:rPr>
        <w:t xml:space="preserve">, retrodatando e collocando la ribellione </w:t>
      </w:r>
      <w:r w:rsidR="00542EC7" w:rsidRPr="00F06973">
        <w:rPr>
          <w:rFonts w:ascii="Times New Roman" w:eastAsia="Times New Roman" w:hAnsi="Times New Roman" w:cs="Times New Roman"/>
          <w:color w:val="000000"/>
        </w:rPr>
        <w:t>delle schiere angelic</w:t>
      </w:r>
      <w:r w:rsidR="00420DF2" w:rsidRPr="00F06973">
        <w:rPr>
          <w:rFonts w:ascii="Times New Roman" w:eastAsia="Times New Roman" w:hAnsi="Times New Roman" w:cs="Times New Roman"/>
          <w:color w:val="000000"/>
        </w:rPr>
        <w:t>he in seno all’essenza suprema</w:t>
      </w:r>
      <w:r w:rsidR="00C30BDA" w:rsidRPr="00F06973">
        <w:rPr>
          <w:rFonts w:ascii="Times New Roman" w:eastAsia="Times New Roman" w:hAnsi="Times New Roman" w:cs="Times New Roman"/>
          <w:color w:val="000000"/>
        </w:rPr>
        <w:t>,</w:t>
      </w:r>
      <w:r w:rsidR="00C30BDA" w:rsidRPr="00F06973">
        <w:rPr>
          <w:rFonts w:ascii="Times New Roman" w:eastAsia="Times New Roman" w:hAnsi="Times New Roman" w:cs="Times New Roman"/>
          <w:i/>
          <w:color w:val="000000"/>
        </w:rPr>
        <w:t xml:space="preserve"> </w:t>
      </w:r>
      <w:r w:rsidR="0070256A" w:rsidRPr="00F06973">
        <w:rPr>
          <w:rFonts w:ascii="Times New Roman" w:eastAsia="Times New Roman" w:hAnsi="Times New Roman" w:cs="Times New Roman"/>
          <w:color w:val="000000"/>
        </w:rPr>
        <w:t xml:space="preserve">ci dice </w:t>
      </w:r>
      <w:r w:rsidR="00C30BDA" w:rsidRPr="00F06973">
        <w:rPr>
          <w:rFonts w:ascii="Times New Roman" w:eastAsia="Times New Roman" w:hAnsi="Times New Roman" w:cs="Times New Roman"/>
          <w:color w:val="000000"/>
        </w:rPr>
        <w:t xml:space="preserve">che l’ira di Dio </w:t>
      </w:r>
      <w:r w:rsidR="00542EC7" w:rsidRPr="00F06973">
        <w:rPr>
          <w:rFonts w:ascii="Times New Roman" w:eastAsia="Times New Roman" w:hAnsi="Times New Roman" w:cs="Times New Roman"/>
          <w:color w:val="000000"/>
        </w:rPr>
        <w:t xml:space="preserve">non ha un oggetto ad essa esterno, ma </w:t>
      </w:r>
      <w:r w:rsidR="00C30BDA" w:rsidRPr="00F06973">
        <w:rPr>
          <w:rFonts w:ascii="Times New Roman" w:eastAsia="Times New Roman" w:hAnsi="Times New Roman" w:cs="Times New Roman"/>
          <w:color w:val="000000"/>
        </w:rPr>
        <w:t>si dirige verso Dio medesimo, che è</w:t>
      </w:r>
      <w:r w:rsidR="0070256A" w:rsidRPr="00F06973">
        <w:rPr>
          <w:rFonts w:ascii="Times New Roman" w:eastAsia="Times New Roman" w:hAnsi="Times New Roman" w:cs="Times New Roman"/>
          <w:color w:val="000000"/>
        </w:rPr>
        <w:t xml:space="preserve"> </w:t>
      </w:r>
      <w:r w:rsidR="00E9458B" w:rsidRPr="00F06973">
        <w:rPr>
          <w:rFonts w:ascii="Times New Roman" w:eastAsia="Times New Roman" w:hAnsi="Times New Roman" w:cs="Times New Roman"/>
          <w:color w:val="000000"/>
        </w:rPr>
        <w:t>soggetto e</w:t>
      </w:r>
      <w:r w:rsidR="00C30BDA" w:rsidRPr="00F06973">
        <w:rPr>
          <w:rFonts w:ascii="Times New Roman" w:eastAsia="Times New Roman" w:hAnsi="Times New Roman" w:cs="Times New Roman"/>
          <w:color w:val="000000"/>
        </w:rPr>
        <w:t xml:space="preserve"> oggetto di questa azione</w:t>
      </w:r>
      <w:r w:rsidR="00B21207">
        <w:rPr>
          <w:rFonts w:ascii="Times New Roman" w:eastAsia="Times New Roman" w:hAnsi="Times New Roman" w:cs="Times New Roman"/>
          <w:color w:val="000000"/>
        </w:rPr>
        <w:t>.</w:t>
      </w:r>
      <w:r w:rsidR="008B0ED2">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 xml:space="preserve">La rappresentazione </w:t>
      </w:r>
      <w:r w:rsidRPr="00FC48E0">
        <w:rPr>
          <w:rFonts w:ascii="Times New Roman" w:eastAsia="Times New Roman" w:hAnsi="Times New Roman" w:cs="Times New Roman"/>
          <w:color w:val="000000"/>
        </w:rPr>
        <w:t xml:space="preserve">compie il suo sforzo più grande proprio nel tentativo di cogliere </w:t>
      </w:r>
      <w:r w:rsidR="00E41609">
        <w:rPr>
          <w:rFonts w:ascii="Times New Roman" w:eastAsia="Times New Roman" w:hAnsi="Times New Roman" w:cs="Times New Roman"/>
          <w:color w:val="000000"/>
        </w:rPr>
        <w:t xml:space="preserve">il male, </w:t>
      </w:r>
      <w:r w:rsidRPr="00FC48E0">
        <w:rPr>
          <w:rFonts w:ascii="Times New Roman" w:eastAsia="Times New Roman" w:hAnsi="Times New Roman" w:cs="Times New Roman"/>
          <w:color w:val="000000"/>
        </w:rPr>
        <w:t>il negativo</w:t>
      </w:r>
      <w:r w:rsidR="00E41609">
        <w:rPr>
          <w:rFonts w:ascii="Times New Roman" w:eastAsia="Times New Roman" w:hAnsi="Times New Roman" w:cs="Times New Roman"/>
          <w:color w:val="000000"/>
        </w:rPr>
        <w:t>,</w:t>
      </w:r>
      <w:r w:rsidRPr="00FC48E0">
        <w:rPr>
          <w:rFonts w:ascii="Times New Roman" w:eastAsia="Times New Roman" w:hAnsi="Times New Roman" w:cs="Times New Roman"/>
          <w:color w:val="000000"/>
        </w:rPr>
        <w:t xml:space="preserve"> già in seno al divino. Qui, dice Hegel, risiede il merito del </w:t>
      </w:r>
      <w:r w:rsidRPr="00FC48E0">
        <w:rPr>
          <w:rFonts w:ascii="Times New Roman" w:eastAsia="Times New Roman" w:hAnsi="Times New Roman" w:cs="Times New Roman"/>
          <w:i/>
          <w:color w:val="000000"/>
        </w:rPr>
        <w:t>Vorstellen</w:t>
      </w:r>
      <w:r w:rsidRPr="00FC48E0">
        <w:rPr>
          <w:rFonts w:ascii="Times New Roman" w:eastAsia="Times New Roman" w:hAnsi="Times New Roman" w:cs="Times New Roman"/>
          <w:color w:val="000000"/>
        </w:rPr>
        <w:t>, ma anche il suo limite, poiché il pensiero rappresentativo, privato della guida della ragione, rischierebbe di rima</w:t>
      </w:r>
      <w:r w:rsidR="0070256A" w:rsidRPr="00FC48E0">
        <w:rPr>
          <w:rFonts w:ascii="Times New Roman" w:eastAsia="Times New Roman" w:hAnsi="Times New Roman" w:cs="Times New Roman"/>
          <w:color w:val="000000"/>
        </w:rPr>
        <w:t xml:space="preserve">nere prigioniero delle proprie </w:t>
      </w:r>
      <w:r w:rsidR="00420DF2" w:rsidRPr="00FC48E0">
        <w:rPr>
          <w:rFonts w:ascii="Times New Roman" w:eastAsia="Times New Roman" w:hAnsi="Times New Roman" w:cs="Times New Roman"/>
          <w:color w:val="000000"/>
        </w:rPr>
        <w:t>immagin</w:t>
      </w:r>
      <w:r w:rsidR="0070256A" w:rsidRPr="00FC48E0">
        <w:rPr>
          <w:rFonts w:ascii="Times New Roman" w:eastAsia="Times New Roman" w:hAnsi="Times New Roman" w:cs="Times New Roman"/>
          <w:color w:val="000000"/>
        </w:rPr>
        <w:t>i</w:t>
      </w:r>
      <w:r w:rsidRPr="00FC48E0">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w:t>
      </w:r>
      <w:r w:rsidR="003A2068">
        <w:rPr>
          <w:rFonts w:ascii="Times New Roman" w:eastAsia="Times New Roman" w:hAnsi="Times New Roman" w:cs="Times New Roman"/>
          <w:color w:val="000000"/>
        </w:rPr>
        <w:t>La</w:t>
      </w:r>
      <w:r w:rsidR="009D0D64">
        <w:rPr>
          <w:rFonts w:ascii="Times New Roman" w:eastAsia="Times New Roman" w:hAnsi="Times New Roman" w:cs="Times New Roman"/>
          <w:color w:val="000000"/>
        </w:rPr>
        <w:t xml:space="preserve"> speculazione porta chiarezza e</w:t>
      </w:r>
      <w:r w:rsidR="003A2068">
        <w:rPr>
          <w:rFonts w:ascii="Times New Roman" w:eastAsia="Times New Roman" w:hAnsi="Times New Roman" w:cs="Times New Roman"/>
          <w:color w:val="000000"/>
        </w:rPr>
        <w:t xml:space="preserve"> ordine nelle trame barbariche </w:t>
      </w:r>
      <w:r w:rsidR="003A2068" w:rsidRPr="00916F16">
        <w:rPr>
          <w:rFonts w:ascii="Times New Roman" w:eastAsia="Times New Roman" w:hAnsi="Times New Roman" w:cs="Times New Roman"/>
          <w:color w:val="000000"/>
        </w:rPr>
        <w:t>della</w:t>
      </w:r>
      <w:r w:rsidR="00850CA0" w:rsidRPr="00916F16">
        <w:rPr>
          <w:rFonts w:ascii="Times New Roman" w:eastAsia="Times New Roman" w:hAnsi="Times New Roman" w:cs="Times New Roman"/>
          <w:color w:val="000000"/>
        </w:rPr>
        <w:t xml:space="preserve"> riflessione mistico-religiosa. </w:t>
      </w:r>
      <w:r w:rsidR="00CF566F" w:rsidRPr="00916F16">
        <w:rPr>
          <w:rFonts w:ascii="Times New Roman" w:eastAsia="Times New Roman" w:hAnsi="Times New Roman" w:cs="Times New Roman"/>
          <w:color w:val="000000"/>
        </w:rPr>
        <w:t xml:space="preserve">Andare </w:t>
      </w:r>
      <w:r w:rsidR="003A2068" w:rsidRPr="00916F16">
        <w:rPr>
          <w:rFonts w:ascii="Times New Roman" w:eastAsia="Times New Roman" w:hAnsi="Times New Roman" w:cs="Times New Roman"/>
          <w:color w:val="000000"/>
        </w:rPr>
        <w:t>oltre l’immagine, dismettendo una forma del pensiero in</w:t>
      </w:r>
      <w:r w:rsidR="00FB009D" w:rsidRPr="00916F16">
        <w:rPr>
          <w:rFonts w:ascii="Times New Roman" w:eastAsia="Times New Roman" w:hAnsi="Times New Roman" w:cs="Times New Roman"/>
          <w:color w:val="000000"/>
        </w:rPr>
        <w:t>capace</w:t>
      </w:r>
      <w:r w:rsidR="003A2068" w:rsidRPr="00916F16">
        <w:rPr>
          <w:rFonts w:ascii="Times New Roman" w:eastAsia="Times New Roman" w:hAnsi="Times New Roman" w:cs="Times New Roman"/>
          <w:color w:val="000000"/>
        </w:rPr>
        <w:t xml:space="preserve"> </w:t>
      </w:r>
      <w:r w:rsidR="00FB009D" w:rsidRPr="00916F16">
        <w:rPr>
          <w:rFonts w:ascii="Times New Roman" w:eastAsia="Times New Roman" w:hAnsi="Times New Roman" w:cs="Times New Roman"/>
          <w:color w:val="000000"/>
        </w:rPr>
        <w:t>d’</w:t>
      </w:r>
      <w:r w:rsidR="003A2068" w:rsidRPr="00916F16">
        <w:rPr>
          <w:rFonts w:ascii="Times New Roman" w:eastAsia="Times New Roman" w:hAnsi="Times New Roman" w:cs="Times New Roman"/>
          <w:color w:val="000000"/>
        </w:rPr>
        <w:t xml:space="preserve">esprimere </w:t>
      </w:r>
      <w:r w:rsidR="00CF566F" w:rsidRPr="00916F16">
        <w:rPr>
          <w:rFonts w:ascii="Times New Roman" w:eastAsia="Times New Roman" w:hAnsi="Times New Roman" w:cs="Times New Roman"/>
          <w:color w:val="000000"/>
        </w:rPr>
        <w:t xml:space="preserve">il </w:t>
      </w:r>
      <w:r w:rsidR="003A2068" w:rsidRPr="00916F16">
        <w:rPr>
          <w:rFonts w:ascii="Times New Roman" w:eastAsia="Times New Roman" w:hAnsi="Times New Roman" w:cs="Times New Roman"/>
          <w:color w:val="000000"/>
        </w:rPr>
        <w:t xml:space="preserve">pensiero stesso, è ciò che Hegel si propone nel </w:t>
      </w:r>
      <w:r w:rsidR="003A2068" w:rsidRPr="00916F16">
        <w:rPr>
          <w:rFonts w:ascii="Times New Roman" w:eastAsia="Times New Roman" w:hAnsi="Times New Roman" w:cs="Times New Roman"/>
          <w:i/>
          <w:color w:val="000000"/>
        </w:rPr>
        <w:t>Religionskapitel</w:t>
      </w:r>
      <w:r w:rsidR="003A2068" w:rsidRPr="00916F16">
        <w:rPr>
          <w:rFonts w:ascii="Times New Roman" w:eastAsia="Times New Roman" w:hAnsi="Times New Roman" w:cs="Times New Roman"/>
          <w:color w:val="000000"/>
        </w:rPr>
        <w:t>.</w:t>
      </w:r>
      <w:r w:rsidR="003A2068">
        <w:rPr>
          <w:rFonts w:ascii="Times New Roman" w:eastAsia="Times New Roman" w:hAnsi="Times New Roman" w:cs="Times New Roman"/>
          <w:color w:val="000000"/>
        </w:rPr>
        <w:t xml:space="preserve"> A questo rigurado, </w:t>
      </w:r>
      <w:r w:rsidR="003A2068" w:rsidRPr="000C55AD">
        <w:rPr>
          <w:rFonts w:ascii="Times New Roman" w:eastAsia="Times New Roman" w:hAnsi="Times New Roman" w:cs="Times New Roman"/>
          <w:color w:val="000000"/>
        </w:rPr>
        <w:t>l</w:t>
      </w:r>
      <w:r w:rsidR="00D7245F" w:rsidRPr="000C55AD">
        <w:rPr>
          <w:rFonts w:ascii="Times New Roman" w:eastAsia="Times New Roman" w:hAnsi="Times New Roman" w:cs="Times New Roman"/>
          <w:color w:val="000000"/>
        </w:rPr>
        <w:t>’ira di Dio, la presenza nel divino</w:t>
      </w:r>
      <w:r w:rsidR="003A2068" w:rsidRPr="000C55AD">
        <w:rPr>
          <w:rFonts w:ascii="Times New Roman" w:eastAsia="Times New Roman" w:hAnsi="Times New Roman" w:cs="Times New Roman"/>
          <w:color w:val="000000"/>
        </w:rPr>
        <w:t xml:space="preserve"> di un principio </w:t>
      </w:r>
      <w:r w:rsidR="00FC48E0" w:rsidRPr="000C55AD">
        <w:rPr>
          <w:rFonts w:ascii="Times New Roman" w:eastAsia="Times New Roman" w:hAnsi="Times New Roman" w:cs="Times New Roman"/>
          <w:color w:val="000000"/>
        </w:rPr>
        <w:t>oscur</w:t>
      </w:r>
      <w:r w:rsidR="0070256A" w:rsidRPr="000C55AD">
        <w:rPr>
          <w:rFonts w:ascii="Times New Roman" w:eastAsia="Times New Roman" w:hAnsi="Times New Roman" w:cs="Times New Roman"/>
          <w:color w:val="000000"/>
        </w:rPr>
        <w:t xml:space="preserve">o </w:t>
      </w:r>
      <w:r w:rsidR="00D7245F" w:rsidRPr="000C55AD">
        <w:rPr>
          <w:rFonts w:ascii="Times New Roman" w:eastAsia="Times New Roman" w:hAnsi="Times New Roman" w:cs="Times New Roman"/>
          <w:color w:val="000000"/>
        </w:rPr>
        <w:t>e la cad</w:t>
      </w:r>
      <w:r w:rsidR="0070256A" w:rsidRPr="000C55AD">
        <w:rPr>
          <w:rFonts w:ascii="Times New Roman" w:eastAsia="Times New Roman" w:hAnsi="Times New Roman" w:cs="Times New Roman"/>
          <w:color w:val="000000"/>
        </w:rPr>
        <w:t>uta di Lucifero costituiscono que</w:t>
      </w:r>
      <w:r w:rsidR="00D7245F" w:rsidRPr="000C55AD">
        <w:rPr>
          <w:rFonts w:ascii="Times New Roman" w:eastAsia="Times New Roman" w:hAnsi="Times New Roman" w:cs="Times New Roman"/>
          <w:color w:val="000000"/>
        </w:rPr>
        <w:t xml:space="preserve">lle rappresentazioni che anticipano </w:t>
      </w:r>
      <w:r w:rsidR="00CF566F" w:rsidRPr="000C55AD">
        <w:rPr>
          <w:rFonts w:ascii="Times New Roman" w:eastAsia="Times New Roman" w:hAnsi="Times New Roman" w:cs="Times New Roman"/>
          <w:color w:val="000000"/>
        </w:rPr>
        <w:t>l</w:t>
      </w:r>
      <w:r w:rsidR="00D7245F" w:rsidRPr="000C55AD">
        <w:rPr>
          <w:rFonts w:ascii="Times New Roman" w:eastAsia="Times New Roman" w:hAnsi="Times New Roman" w:cs="Times New Roman"/>
          <w:color w:val="000000"/>
        </w:rPr>
        <w:t>’</w:t>
      </w:r>
      <w:r w:rsidR="009444B4" w:rsidRPr="000C55AD">
        <w:rPr>
          <w:rFonts w:ascii="Times New Roman" w:eastAsia="Times New Roman" w:hAnsi="Times New Roman" w:cs="Times New Roman"/>
          <w:color w:val="000000"/>
        </w:rPr>
        <w:t>acquisizione teorica</w:t>
      </w:r>
      <w:r w:rsidR="00D7245F" w:rsidRPr="000C55AD">
        <w:rPr>
          <w:rFonts w:ascii="Times New Roman" w:eastAsia="Times New Roman" w:hAnsi="Times New Roman" w:cs="Times New Roman"/>
          <w:color w:val="000000"/>
        </w:rPr>
        <w:t xml:space="preserve"> fondamentale</w:t>
      </w:r>
      <w:r w:rsidR="00CF566F" w:rsidRPr="000C55AD">
        <w:rPr>
          <w:rFonts w:ascii="Times New Roman" w:eastAsia="Times New Roman" w:hAnsi="Times New Roman" w:cs="Times New Roman"/>
          <w:color w:val="000000"/>
        </w:rPr>
        <w:t xml:space="preserve"> del </w:t>
      </w:r>
      <w:r w:rsidR="00D7245F" w:rsidRPr="000C55AD">
        <w:rPr>
          <w:rFonts w:ascii="Times New Roman" w:eastAsia="Times New Roman" w:hAnsi="Times New Roman" w:cs="Times New Roman"/>
          <w:i/>
          <w:color w:val="000000"/>
        </w:rPr>
        <w:t>pensiero dialettico-speculativo</w:t>
      </w:r>
      <w:r w:rsidR="00D7245F" w:rsidRPr="000C55AD">
        <w:rPr>
          <w:rFonts w:ascii="Times New Roman" w:eastAsia="Times New Roman" w:hAnsi="Times New Roman" w:cs="Times New Roman"/>
          <w:color w:val="000000"/>
        </w:rPr>
        <w:t>:</w:t>
      </w:r>
      <w:r w:rsidR="00D7245F">
        <w:rPr>
          <w:rFonts w:ascii="Times New Roman" w:eastAsia="Times New Roman" w:hAnsi="Times New Roman" w:cs="Times New Roman"/>
          <w:color w:val="000000"/>
        </w:rPr>
        <w:t xml:space="preserve"> </w:t>
      </w:r>
      <w:r w:rsidR="00D7245F" w:rsidRPr="007C58B5">
        <w:rPr>
          <w:rFonts w:ascii="Times New Roman" w:eastAsia="Times New Roman" w:hAnsi="Times New Roman" w:cs="Times New Roman"/>
          <w:color w:val="000000"/>
        </w:rPr>
        <w:t>l’Assoluto</w:t>
      </w:r>
      <w:r w:rsidR="000C55AD" w:rsidRPr="007C58B5">
        <w:rPr>
          <w:rFonts w:ascii="Times New Roman" w:eastAsia="Times New Roman" w:hAnsi="Times New Roman" w:cs="Times New Roman"/>
          <w:color w:val="000000"/>
        </w:rPr>
        <w:t xml:space="preserve"> </w:t>
      </w:r>
      <w:r w:rsidR="00D7245F" w:rsidRPr="007C58B5">
        <w:rPr>
          <w:rFonts w:ascii="Times New Roman" w:eastAsia="Times New Roman" w:hAnsi="Times New Roman" w:cs="Times New Roman"/>
          <w:color w:val="000000"/>
        </w:rPr>
        <w:t>cont</w:t>
      </w:r>
      <w:r w:rsidR="000C55AD" w:rsidRPr="007C58B5">
        <w:rPr>
          <w:rFonts w:ascii="Times New Roman" w:eastAsia="Times New Roman" w:hAnsi="Times New Roman" w:cs="Times New Roman"/>
          <w:color w:val="000000"/>
        </w:rPr>
        <w:t>i</w:t>
      </w:r>
      <w:r w:rsidR="00D7245F" w:rsidRPr="007C58B5">
        <w:rPr>
          <w:rFonts w:ascii="Times New Roman" w:eastAsia="Times New Roman" w:hAnsi="Times New Roman" w:cs="Times New Roman"/>
          <w:color w:val="000000"/>
        </w:rPr>
        <w:t>en</w:t>
      </w:r>
      <w:r w:rsidR="000C55AD" w:rsidRPr="007C58B5">
        <w:rPr>
          <w:rFonts w:ascii="Times New Roman" w:eastAsia="Times New Roman" w:hAnsi="Times New Roman" w:cs="Times New Roman"/>
          <w:color w:val="000000"/>
        </w:rPr>
        <w:t xml:space="preserve">e </w:t>
      </w:r>
      <w:r w:rsidR="00D7245F" w:rsidRPr="007C58B5">
        <w:rPr>
          <w:rFonts w:ascii="Times New Roman" w:eastAsia="Times New Roman" w:hAnsi="Times New Roman" w:cs="Times New Roman"/>
          <w:color w:val="000000"/>
        </w:rPr>
        <w:t>in sé la radice del propr</w:t>
      </w:r>
      <w:r w:rsidR="000C55AD" w:rsidRPr="007C58B5">
        <w:rPr>
          <w:rFonts w:ascii="Times New Roman" w:eastAsia="Times New Roman" w:hAnsi="Times New Roman" w:cs="Times New Roman"/>
          <w:color w:val="000000"/>
        </w:rPr>
        <w:t>io sviluppo, ossia è</w:t>
      </w:r>
      <w:r w:rsidR="00D7245F" w:rsidRPr="007C58B5">
        <w:rPr>
          <w:rFonts w:ascii="Times New Roman" w:eastAsia="Times New Roman" w:hAnsi="Times New Roman" w:cs="Times New Roman"/>
          <w:color w:val="000000"/>
        </w:rPr>
        <w:t xml:space="preserve"> ad un tempo</w:t>
      </w:r>
      <w:r w:rsidR="000C55AD" w:rsidRPr="007C58B5">
        <w:rPr>
          <w:rFonts w:ascii="Times New Roman" w:eastAsia="Times New Roman" w:hAnsi="Times New Roman" w:cs="Times New Roman"/>
          <w:color w:val="000000"/>
        </w:rPr>
        <w:t xml:space="preserve"> positivo e negativo, immediato e mediato</w:t>
      </w:r>
      <w:r w:rsidR="00D7245F" w:rsidRPr="007C58B5">
        <w:rPr>
          <w:rFonts w:ascii="Times New Roman" w:eastAsia="Times New Roman" w:hAnsi="Times New Roman" w:cs="Times New Roman"/>
          <w:color w:val="000000"/>
        </w:rPr>
        <w:t>.</w:t>
      </w:r>
      <w:r w:rsidR="00D7245F">
        <w:rPr>
          <w:rFonts w:ascii="Times New Roman" w:eastAsia="Times New Roman" w:hAnsi="Times New Roman" w:cs="Times New Roman"/>
          <w:color w:val="000000"/>
        </w:rPr>
        <w:t xml:space="preserve"> </w:t>
      </w:r>
      <w:r w:rsidR="00D7245F" w:rsidRPr="007C58B5">
        <w:rPr>
          <w:rFonts w:ascii="Times New Roman" w:eastAsia="Times New Roman" w:hAnsi="Times New Roman" w:cs="Times New Roman"/>
          <w:color w:val="000000"/>
        </w:rPr>
        <w:t xml:space="preserve">Quell’interpretazione </w:t>
      </w:r>
      <w:r w:rsidR="00850CA0">
        <w:rPr>
          <w:rFonts w:ascii="Times New Roman" w:eastAsia="Times New Roman" w:hAnsi="Times New Roman" w:cs="Times New Roman"/>
          <w:color w:val="000000"/>
        </w:rPr>
        <w:t>del pensiero</w:t>
      </w:r>
      <w:r w:rsidR="007B6F38" w:rsidRPr="007C58B5">
        <w:rPr>
          <w:rFonts w:ascii="Times New Roman" w:eastAsia="Times New Roman" w:hAnsi="Times New Roman" w:cs="Times New Roman"/>
          <w:color w:val="000000"/>
        </w:rPr>
        <w:t xml:space="preserve"> </w:t>
      </w:r>
      <w:r w:rsidR="0070256A" w:rsidRPr="007C58B5">
        <w:rPr>
          <w:rFonts w:ascii="Times New Roman" w:eastAsia="Times New Roman" w:hAnsi="Times New Roman" w:cs="Times New Roman"/>
          <w:color w:val="000000"/>
        </w:rPr>
        <w:t>di Böhme</w:t>
      </w:r>
      <w:r w:rsidR="00850CA0">
        <w:rPr>
          <w:rFonts w:ascii="Times New Roman" w:eastAsia="Times New Roman" w:hAnsi="Times New Roman" w:cs="Times New Roman"/>
          <w:color w:val="000000"/>
        </w:rPr>
        <w:t xml:space="preserve">, </w:t>
      </w:r>
      <w:r w:rsidR="00850CA0" w:rsidRPr="000D79D6">
        <w:rPr>
          <w:rFonts w:ascii="Times New Roman" w:eastAsia="Times New Roman" w:hAnsi="Times New Roman" w:cs="Times New Roman"/>
          <w:color w:val="000000"/>
        </w:rPr>
        <w:t>già incontrata</w:t>
      </w:r>
      <w:r w:rsidR="007B6F38" w:rsidRPr="000D79D6">
        <w:rPr>
          <w:rFonts w:ascii="Times New Roman" w:eastAsia="Times New Roman" w:hAnsi="Times New Roman" w:cs="Times New Roman"/>
          <w:color w:val="000000"/>
        </w:rPr>
        <w:t xml:space="preserve"> alla fine del precedente </w:t>
      </w:r>
      <w:r w:rsidR="0070256A" w:rsidRPr="000D79D6">
        <w:rPr>
          <w:rFonts w:ascii="Times New Roman" w:eastAsia="Times New Roman" w:hAnsi="Times New Roman" w:cs="Times New Roman"/>
          <w:color w:val="000000"/>
        </w:rPr>
        <w:t>sotto</w:t>
      </w:r>
      <w:r w:rsidR="007B6F38" w:rsidRPr="000D79D6">
        <w:rPr>
          <w:rFonts w:ascii="Times New Roman" w:eastAsia="Times New Roman" w:hAnsi="Times New Roman" w:cs="Times New Roman"/>
          <w:color w:val="000000"/>
        </w:rPr>
        <w:t xml:space="preserve">capitolo, </w:t>
      </w:r>
      <w:r w:rsidR="00D7245F" w:rsidRPr="000D79D6">
        <w:rPr>
          <w:rFonts w:ascii="Times New Roman" w:eastAsia="Times New Roman" w:hAnsi="Times New Roman" w:cs="Times New Roman"/>
          <w:color w:val="000000"/>
        </w:rPr>
        <w:t xml:space="preserve">trova nella </w:t>
      </w:r>
      <w:r w:rsidR="00D7245F" w:rsidRPr="000D79D6">
        <w:rPr>
          <w:rFonts w:ascii="Times New Roman" w:eastAsia="Times New Roman" w:hAnsi="Times New Roman" w:cs="Times New Roman"/>
          <w:i/>
          <w:color w:val="000000"/>
        </w:rPr>
        <w:t>Phänomenologie des Geistes</w:t>
      </w:r>
      <w:r w:rsidR="00D7245F" w:rsidRPr="000D79D6">
        <w:rPr>
          <w:rFonts w:ascii="Times New Roman" w:eastAsia="Times New Roman" w:hAnsi="Times New Roman" w:cs="Times New Roman"/>
          <w:color w:val="000000"/>
        </w:rPr>
        <w:t xml:space="preserve"> una conferma </w:t>
      </w:r>
      <w:r w:rsidR="007B6F38" w:rsidRPr="000D79D6">
        <w:rPr>
          <w:rFonts w:ascii="Times New Roman" w:eastAsia="Times New Roman" w:hAnsi="Times New Roman" w:cs="Times New Roman"/>
          <w:color w:val="000000"/>
        </w:rPr>
        <w:t xml:space="preserve">ulteriore. La negatività dell’Assoluto, che rende </w:t>
      </w:r>
      <w:r w:rsidR="009D0D64" w:rsidRPr="000D79D6">
        <w:rPr>
          <w:rFonts w:ascii="Times New Roman" w:eastAsia="Times New Roman" w:hAnsi="Times New Roman" w:cs="Times New Roman"/>
          <w:color w:val="000000"/>
        </w:rPr>
        <w:t xml:space="preserve">vivente </w:t>
      </w:r>
      <w:r w:rsidR="007B6F38" w:rsidRPr="00916F16">
        <w:rPr>
          <w:rFonts w:ascii="Times New Roman" w:eastAsia="Times New Roman" w:hAnsi="Times New Roman" w:cs="Times New Roman"/>
          <w:color w:val="000000"/>
        </w:rPr>
        <w:t xml:space="preserve">l’universalità semplice, è </w:t>
      </w:r>
      <w:r w:rsidR="007F36B6" w:rsidRPr="00916F16">
        <w:rPr>
          <w:rFonts w:ascii="Times New Roman" w:eastAsia="Times New Roman" w:hAnsi="Times New Roman" w:cs="Times New Roman"/>
          <w:color w:val="000000"/>
        </w:rPr>
        <w:t xml:space="preserve">per Hegel </w:t>
      </w:r>
      <w:r w:rsidR="007B6F38" w:rsidRPr="00916F16">
        <w:rPr>
          <w:rFonts w:ascii="Times New Roman" w:eastAsia="Times New Roman" w:hAnsi="Times New Roman" w:cs="Times New Roman"/>
          <w:color w:val="000000"/>
        </w:rPr>
        <w:t>l’elemento veramente speculativo del</w:t>
      </w:r>
      <w:r w:rsidR="002A7FFA" w:rsidRPr="00916F16">
        <w:rPr>
          <w:rFonts w:ascii="Times New Roman" w:eastAsia="Times New Roman" w:hAnsi="Times New Roman" w:cs="Times New Roman"/>
          <w:color w:val="000000"/>
        </w:rPr>
        <w:t>la riflessione</w:t>
      </w:r>
      <w:r w:rsidR="007B6F38" w:rsidRPr="00916F16">
        <w:rPr>
          <w:rFonts w:ascii="Times New Roman" w:eastAsia="Times New Roman" w:hAnsi="Times New Roman" w:cs="Times New Roman"/>
          <w:color w:val="000000"/>
        </w:rPr>
        <w:t xml:space="preserve"> </w:t>
      </w:r>
      <w:r w:rsidR="00F143DD" w:rsidRPr="00916F16">
        <w:rPr>
          <w:rFonts w:ascii="Times New Roman" w:eastAsia="Times New Roman" w:hAnsi="Times New Roman" w:cs="Times New Roman"/>
          <w:color w:val="000000"/>
        </w:rPr>
        <w:t>di Jakob Böhme</w:t>
      </w:r>
      <w:r w:rsidR="00B0544E" w:rsidRPr="00916F16">
        <w:rPr>
          <w:rFonts w:ascii="Times New Roman" w:eastAsia="Times New Roman" w:hAnsi="Times New Roman" w:cs="Times New Roman"/>
          <w:color w:val="000000"/>
        </w:rPr>
        <w:t>, di</w:t>
      </w:r>
      <w:r w:rsidR="007B6F38" w:rsidRPr="00916F16">
        <w:rPr>
          <w:rFonts w:ascii="Times New Roman" w:eastAsia="Times New Roman" w:hAnsi="Times New Roman" w:cs="Times New Roman"/>
          <w:color w:val="000000"/>
        </w:rPr>
        <w:t xml:space="preserve"> </w:t>
      </w:r>
      <w:r w:rsidR="00B0544E" w:rsidRPr="00916F16">
        <w:rPr>
          <w:rFonts w:ascii="Times New Roman" w:eastAsia="Times New Roman" w:hAnsi="Times New Roman" w:cs="Times New Roman"/>
          <w:color w:val="000000"/>
        </w:rPr>
        <w:t>u</w:t>
      </w:r>
      <w:r w:rsidR="00F143DD" w:rsidRPr="00916F16">
        <w:rPr>
          <w:rFonts w:ascii="Times New Roman" w:eastAsia="Times New Roman" w:hAnsi="Times New Roman" w:cs="Times New Roman"/>
          <w:color w:val="000000"/>
        </w:rPr>
        <w:t>n</w:t>
      </w:r>
      <w:r w:rsidR="002A7FFA" w:rsidRPr="00916F16">
        <w:rPr>
          <w:rFonts w:ascii="Times New Roman" w:eastAsia="Times New Roman" w:hAnsi="Times New Roman" w:cs="Times New Roman"/>
          <w:color w:val="000000"/>
        </w:rPr>
        <w:t xml:space="preserve"> pensiero</w:t>
      </w:r>
      <w:r w:rsidR="00B0544E" w:rsidRPr="00916F16">
        <w:rPr>
          <w:rFonts w:ascii="Times New Roman" w:eastAsia="Times New Roman" w:hAnsi="Times New Roman" w:cs="Times New Roman"/>
          <w:color w:val="000000"/>
        </w:rPr>
        <w:t xml:space="preserve"> dalla profonda portata filosofica e tuttavia </w:t>
      </w:r>
      <w:r w:rsidR="00B05F84" w:rsidRPr="00916F16">
        <w:rPr>
          <w:rFonts w:ascii="Times New Roman" w:eastAsia="Times New Roman" w:hAnsi="Times New Roman" w:cs="Times New Roman"/>
          <w:color w:val="000000"/>
        </w:rPr>
        <w:t xml:space="preserve">inadeguato e </w:t>
      </w:r>
      <w:r w:rsidR="00B0544E" w:rsidRPr="00916F16">
        <w:rPr>
          <w:rFonts w:ascii="Times New Roman" w:eastAsia="Times New Roman" w:hAnsi="Times New Roman" w:cs="Times New Roman"/>
          <w:color w:val="000000"/>
        </w:rPr>
        <w:t xml:space="preserve">manchevole nella </w:t>
      </w:r>
      <w:r w:rsidR="00F143DD" w:rsidRPr="00916F16">
        <w:rPr>
          <w:rFonts w:ascii="Times New Roman" w:eastAsia="Times New Roman" w:hAnsi="Times New Roman" w:cs="Times New Roman"/>
          <w:color w:val="000000"/>
        </w:rPr>
        <w:t>forma.</w:t>
      </w:r>
      <w:r w:rsidR="00F143DD" w:rsidRPr="00F06973">
        <w:rPr>
          <w:rFonts w:ascii="Times New Roman" w:eastAsia="Times New Roman" w:hAnsi="Times New Roman" w:cs="Times New Roman"/>
          <w:color w:val="000000"/>
        </w:rPr>
        <w:t xml:space="preserve"> </w:t>
      </w:r>
      <w:r w:rsidR="007B6F38" w:rsidRPr="00F06973">
        <w:rPr>
          <w:rFonts w:ascii="Times New Roman" w:eastAsia="Times New Roman" w:hAnsi="Times New Roman" w:cs="Times New Roman"/>
          <w:color w:val="000000"/>
        </w:rPr>
        <w:t xml:space="preserve">Se nella </w:t>
      </w:r>
      <w:r w:rsidR="007B6F38" w:rsidRPr="00F06973">
        <w:rPr>
          <w:rFonts w:ascii="Times New Roman" w:eastAsia="Times New Roman" w:hAnsi="Times New Roman" w:cs="Times New Roman"/>
          <w:i/>
          <w:color w:val="000000"/>
        </w:rPr>
        <w:t>Jenaer Logik und Metaphysik</w:t>
      </w:r>
      <w:r w:rsidR="00B05F84">
        <w:rPr>
          <w:rFonts w:ascii="Times New Roman" w:eastAsia="Times New Roman" w:hAnsi="Times New Roman" w:cs="Times New Roman"/>
          <w:color w:val="000000"/>
        </w:rPr>
        <w:t xml:space="preserve"> </w:t>
      </w:r>
      <w:r w:rsidR="00E86DF2" w:rsidRPr="00F06973">
        <w:rPr>
          <w:rFonts w:ascii="Times New Roman" w:eastAsia="Times New Roman" w:hAnsi="Times New Roman" w:cs="Times New Roman"/>
          <w:color w:val="000000"/>
        </w:rPr>
        <w:t>l</w:t>
      </w:r>
      <w:r w:rsidR="00F143DD" w:rsidRPr="00F06973">
        <w:rPr>
          <w:rFonts w:ascii="Times New Roman" w:eastAsia="Times New Roman" w:hAnsi="Times New Roman" w:cs="Times New Roman"/>
          <w:color w:val="000000"/>
        </w:rPr>
        <w:t xml:space="preserve">’emancipazione </w:t>
      </w:r>
      <w:r w:rsidR="00E86DF2" w:rsidRPr="00F06973">
        <w:rPr>
          <w:rFonts w:ascii="Times New Roman" w:eastAsia="Times New Roman" w:hAnsi="Times New Roman" w:cs="Times New Roman"/>
          <w:color w:val="000000"/>
        </w:rPr>
        <w:t xml:space="preserve">dall’inadeguatezza </w:t>
      </w:r>
      <w:r w:rsidR="00F143DD" w:rsidRPr="00F06973">
        <w:rPr>
          <w:rFonts w:ascii="Times New Roman" w:eastAsia="Times New Roman" w:hAnsi="Times New Roman" w:cs="Times New Roman"/>
          <w:color w:val="000000"/>
        </w:rPr>
        <w:t>fo</w:t>
      </w:r>
      <w:r w:rsidR="00F06973" w:rsidRPr="00F06973">
        <w:rPr>
          <w:rFonts w:ascii="Times New Roman" w:eastAsia="Times New Roman" w:hAnsi="Times New Roman" w:cs="Times New Roman"/>
          <w:color w:val="000000"/>
        </w:rPr>
        <w:t>r</w:t>
      </w:r>
      <w:r w:rsidR="00F143DD" w:rsidRPr="00F06973">
        <w:rPr>
          <w:rFonts w:ascii="Times New Roman" w:eastAsia="Times New Roman" w:hAnsi="Times New Roman" w:cs="Times New Roman"/>
          <w:color w:val="000000"/>
        </w:rPr>
        <w:t>male non assume</w:t>
      </w:r>
      <w:r w:rsidR="00B0544E" w:rsidRPr="00F06973">
        <w:rPr>
          <w:rFonts w:ascii="Times New Roman" w:eastAsia="Times New Roman" w:hAnsi="Times New Roman" w:cs="Times New Roman"/>
          <w:color w:val="000000"/>
        </w:rPr>
        <w:t>va</w:t>
      </w:r>
      <w:r w:rsidR="00F143DD" w:rsidRPr="00F06973">
        <w:rPr>
          <w:rFonts w:ascii="Times New Roman" w:eastAsia="Times New Roman" w:hAnsi="Times New Roman" w:cs="Times New Roman"/>
          <w:color w:val="000000"/>
        </w:rPr>
        <w:t xml:space="preserve"> ancora un ruolo così preponderante, </w:t>
      </w:r>
      <w:r w:rsidR="00D7245F" w:rsidRPr="00F06973">
        <w:rPr>
          <w:rFonts w:ascii="Times New Roman" w:eastAsia="Times New Roman" w:hAnsi="Times New Roman" w:cs="Times New Roman"/>
          <w:color w:val="000000"/>
        </w:rPr>
        <w:t>nel</w:t>
      </w:r>
      <w:r w:rsidR="00F143DD" w:rsidRPr="00F06973">
        <w:rPr>
          <w:rFonts w:ascii="Times New Roman" w:eastAsia="Times New Roman" w:hAnsi="Times New Roman" w:cs="Times New Roman"/>
          <w:color w:val="000000"/>
        </w:rPr>
        <w:t xml:space="preserve">la </w:t>
      </w:r>
      <w:r w:rsidR="00F143DD" w:rsidRPr="00F06973">
        <w:rPr>
          <w:rFonts w:ascii="Times New Roman" w:eastAsia="Times New Roman" w:hAnsi="Times New Roman" w:cs="Times New Roman"/>
          <w:i/>
          <w:color w:val="000000"/>
        </w:rPr>
        <w:t xml:space="preserve">Phänomenologie des Geistes </w:t>
      </w:r>
      <w:r w:rsidR="004E56E8" w:rsidRPr="00F06973">
        <w:rPr>
          <w:rFonts w:ascii="Times New Roman" w:eastAsia="Times New Roman" w:hAnsi="Times New Roman" w:cs="Times New Roman"/>
          <w:color w:val="000000"/>
        </w:rPr>
        <w:t>essa</w:t>
      </w:r>
      <w:r w:rsidR="00F143DD">
        <w:rPr>
          <w:rFonts w:ascii="Times New Roman" w:eastAsia="Times New Roman" w:hAnsi="Times New Roman" w:cs="Times New Roman"/>
          <w:color w:val="000000"/>
        </w:rPr>
        <w:t xml:space="preserve"> è al centro dell’ermeneutica hegeliana. </w:t>
      </w:r>
      <w:r w:rsidR="00D7245F">
        <w:rPr>
          <w:rFonts w:ascii="Times New Roman" w:eastAsia="Times New Roman" w:hAnsi="Times New Roman" w:cs="Times New Roman"/>
          <w:color w:val="000000"/>
        </w:rPr>
        <w:t xml:space="preserve">Non soltanto la </w:t>
      </w:r>
      <w:r w:rsidR="00D7245F" w:rsidRPr="00D7245F">
        <w:rPr>
          <w:rFonts w:ascii="Times New Roman" w:eastAsia="Times New Roman" w:hAnsi="Times New Roman" w:cs="Times New Roman"/>
          <w:i/>
          <w:color w:val="000000"/>
        </w:rPr>
        <w:t>Zorn Gottes</w:t>
      </w:r>
      <w:r w:rsidR="00D7245F">
        <w:rPr>
          <w:rFonts w:ascii="Times New Roman" w:eastAsia="Times New Roman" w:hAnsi="Times New Roman" w:cs="Times New Roman"/>
          <w:color w:val="000000"/>
        </w:rPr>
        <w:t>,</w:t>
      </w:r>
      <w:r w:rsidR="007B6F38">
        <w:rPr>
          <w:rFonts w:ascii="Times New Roman" w:eastAsia="Times New Roman" w:hAnsi="Times New Roman" w:cs="Times New Roman"/>
          <w:color w:val="000000"/>
        </w:rPr>
        <w:t xml:space="preserve"> ma anche </w:t>
      </w:r>
      <w:r w:rsidR="00F143DD">
        <w:rPr>
          <w:rFonts w:ascii="Times New Roman" w:eastAsia="Times New Roman" w:hAnsi="Times New Roman" w:cs="Times New Roman"/>
          <w:color w:val="000000"/>
        </w:rPr>
        <w:t>l’idea di un’</w:t>
      </w:r>
      <w:r w:rsidR="00F143DD" w:rsidRPr="00F143DD">
        <w:rPr>
          <w:rFonts w:ascii="Times New Roman" w:eastAsia="Times New Roman" w:hAnsi="Times New Roman" w:cs="Times New Roman"/>
          <w:i/>
          <w:color w:val="000000"/>
        </w:rPr>
        <w:t>Abfall</w:t>
      </w:r>
      <w:r w:rsidR="007B6F38">
        <w:rPr>
          <w:rFonts w:ascii="Times New Roman" w:eastAsia="Times New Roman" w:hAnsi="Times New Roman" w:cs="Times New Roman"/>
          <w:color w:val="000000"/>
        </w:rPr>
        <w:t xml:space="preserve"> dell’</w:t>
      </w:r>
      <w:r w:rsidR="007B6F38">
        <w:rPr>
          <w:rFonts w:ascii="Times New Roman" w:eastAsia="Times New Roman" w:hAnsi="Times New Roman" w:cs="Times New Roman"/>
          <w:i/>
          <w:color w:val="000000"/>
        </w:rPr>
        <w:t>Unendlichkeit</w:t>
      </w:r>
      <w:r w:rsidR="00F143DD">
        <w:rPr>
          <w:rFonts w:ascii="Times New Roman" w:eastAsia="Times New Roman" w:hAnsi="Times New Roman" w:cs="Times New Roman"/>
          <w:color w:val="000000"/>
        </w:rPr>
        <w:t xml:space="preserve"> è rigettata nel </w:t>
      </w:r>
      <w:r w:rsidR="00F143DD" w:rsidRPr="00F143DD">
        <w:rPr>
          <w:rFonts w:ascii="Times New Roman" w:eastAsia="Times New Roman" w:hAnsi="Times New Roman" w:cs="Times New Roman"/>
          <w:i/>
          <w:color w:val="000000"/>
        </w:rPr>
        <w:t>Religioskapite</w:t>
      </w:r>
      <w:r w:rsidR="00850CA0">
        <w:rPr>
          <w:rFonts w:ascii="Times New Roman" w:eastAsia="Times New Roman" w:hAnsi="Times New Roman" w:cs="Times New Roman"/>
          <w:i/>
          <w:color w:val="000000"/>
        </w:rPr>
        <w:t>l</w:t>
      </w:r>
      <w:r w:rsidR="00850CA0">
        <w:rPr>
          <w:rFonts w:ascii="Times New Roman" w:eastAsia="Times New Roman" w:hAnsi="Times New Roman" w:cs="Times New Roman"/>
          <w:color w:val="000000"/>
        </w:rPr>
        <w:t>:</w:t>
      </w:r>
      <w:r w:rsidR="00AD7550">
        <w:rPr>
          <w:rFonts w:ascii="Times New Roman" w:eastAsia="Times New Roman" w:hAnsi="Times New Roman" w:cs="Times New Roman"/>
          <w:color w:val="000000"/>
        </w:rPr>
        <w:t xml:space="preserve"> </w:t>
      </w:r>
    </w:p>
    <w:p w14:paraId="609A2236" w14:textId="77777777" w:rsidR="00504BB6" w:rsidRDefault="00504BB6" w:rsidP="00542EC7">
      <w:pPr>
        <w:spacing w:line="360" w:lineRule="auto"/>
        <w:ind w:firstLine="567"/>
        <w:jc w:val="both"/>
        <w:rPr>
          <w:rFonts w:ascii="Times New Roman" w:eastAsia="Times New Roman" w:hAnsi="Times New Roman" w:cs="Times New Roman"/>
          <w:color w:val="000000"/>
        </w:rPr>
      </w:pPr>
    </w:p>
    <w:p w14:paraId="141F5054" w14:textId="4702A1A4" w:rsidR="00504BB6" w:rsidRPr="0084687D" w:rsidRDefault="00584DB0" w:rsidP="0070256A">
      <w:pPr>
        <w:spacing w:line="360" w:lineRule="auto"/>
        <w:ind w:left="567" w:firstLine="567"/>
        <w:jc w:val="both"/>
        <w:rPr>
          <w:rFonts w:ascii="Times New Roman" w:eastAsia="Times New Roman" w:hAnsi="Times New Roman" w:cs="Times New Roman"/>
          <w:color w:val="000000"/>
          <w:sz w:val="20"/>
          <w:szCs w:val="20"/>
        </w:rPr>
      </w:pPr>
      <w:r w:rsidRPr="0084687D">
        <w:rPr>
          <w:rFonts w:ascii="Times New Roman" w:eastAsia="Times New Roman" w:hAnsi="Times New Roman" w:cs="Times New Roman"/>
          <w:color w:val="000000"/>
          <w:sz w:val="20"/>
          <w:szCs w:val="20"/>
        </w:rPr>
        <w:t>«S</w:t>
      </w:r>
      <w:r w:rsidR="00D338E6" w:rsidRPr="0084687D">
        <w:rPr>
          <w:rFonts w:ascii="Times New Roman" w:eastAsia="Times New Roman" w:hAnsi="Times New Roman" w:cs="Times New Roman"/>
          <w:color w:val="000000"/>
          <w:sz w:val="20"/>
          <w:szCs w:val="20"/>
        </w:rPr>
        <w:t xml:space="preserve">olche bloß der Vorstellung nicht der Begriff </w:t>
      </w:r>
      <w:r w:rsidR="00AD7550" w:rsidRPr="0084687D">
        <w:rPr>
          <w:rFonts w:ascii="Times New Roman" w:eastAsia="Times New Roman" w:hAnsi="Times New Roman" w:cs="Times New Roman"/>
          <w:color w:val="000000"/>
          <w:sz w:val="20"/>
          <w:szCs w:val="20"/>
        </w:rPr>
        <w:t>angehörige Form, wie Abfallen; ebenso wie Sohn, setzt übrigens die Momente des Begriffs ebenso umgekehrt in das Vorstellen herab, oder trägt das Vorstellen in das Reich des Gedankens hinüber»</w:t>
      </w:r>
      <w:r w:rsidR="00AD7550" w:rsidRPr="0084687D">
        <w:rPr>
          <w:rStyle w:val="Rimandonotaapidipagina"/>
          <w:rFonts w:ascii="Times New Roman" w:eastAsia="Times New Roman" w:hAnsi="Times New Roman" w:cs="Times New Roman"/>
          <w:color w:val="000000"/>
          <w:sz w:val="20"/>
          <w:szCs w:val="20"/>
        </w:rPr>
        <w:footnoteReference w:id="311"/>
      </w:r>
      <w:r w:rsidR="00C30BDA" w:rsidRPr="0084687D">
        <w:rPr>
          <w:rFonts w:ascii="Times New Roman" w:eastAsia="Times New Roman" w:hAnsi="Times New Roman" w:cs="Times New Roman"/>
          <w:color w:val="000000"/>
          <w:sz w:val="20"/>
          <w:szCs w:val="20"/>
        </w:rPr>
        <w:t xml:space="preserve">. </w:t>
      </w:r>
    </w:p>
    <w:p w14:paraId="52480FA1" w14:textId="77777777" w:rsidR="00504BB6" w:rsidRDefault="00504BB6" w:rsidP="00542EC7">
      <w:pPr>
        <w:spacing w:line="360" w:lineRule="auto"/>
        <w:ind w:firstLine="567"/>
        <w:jc w:val="both"/>
        <w:rPr>
          <w:rFonts w:ascii="Times New Roman" w:eastAsia="Times New Roman" w:hAnsi="Times New Roman" w:cs="Times New Roman"/>
          <w:color w:val="000000"/>
        </w:rPr>
      </w:pPr>
    </w:p>
    <w:p w14:paraId="5118FD0D" w14:textId="53307258" w:rsidR="00055DA0" w:rsidRPr="00055DA0" w:rsidRDefault="004E56E8" w:rsidP="0019495C">
      <w:pPr>
        <w:spacing w:line="360" w:lineRule="auto"/>
        <w:ind w:firstLine="567"/>
        <w:jc w:val="both"/>
        <w:rPr>
          <w:rFonts w:ascii="Times New Roman" w:eastAsia="Times New Roman" w:hAnsi="Times New Roman" w:cs="Times New Roman"/>
          <w:color w:val="000000"/>
        </w:rPr>
      </w:pPr>
      <w:r>
        <w:rPr>
          <w:rFonts w:ascii="Times New Roman" w:eastAsia="Times New Roman" w:hAnsi="Times New Roman" w:cs="Times New Roman"/>
          <w:color w:val="000000"/>
        </w:rPr>
        <w:t>Questa c</w:t>
      </w:r>
      <w:r w:rsidR="00633441" w:rsidRPr="006C539D">
        <w:rPr>
          <w:rFonts w:ascii="Times New Roman" w:eastAsia="Times New Roman" w:hAnsi="Times New Roman" w:cs="Times New Roman"/>
          <w:color w:val="000000"/>
        </w:rPr>
        <w:t>ritica alla forma</w:t>
      </w:r>
      <w:r w:rsidR="00C30BDA" w:rsidRPr="006C539D">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 xml:space="preserve">rappresenta </w:t>
      </w:r>
      <w:r w:rsidR="003D2F47" w:rsidRPr="006C539D">
        <w:rPr>
          <w:rFonts w:ascii="Times New Roman" w:eastAsia="Times New Roman" w:hAnsi="Times New Roman" w:cs="Times New Roman"/>
          <w:color w:val="000000"/>
        </w:rPr>
        <w:t>una r</w:t>
      </w:r>
      <w:r w:rsidR="00504BB6" w:rsidRPr="006C539D">
        <w:rPr>
          <w:rFonts w:ascii="Times New Roman" w:eastAsia="Times New Roman" w:hAnsi="Times New Roman" w:cs="Times New Roman"/>
          <w:color w:val="000000"/>
        </w:rPr>
        <w:t xml:space="preserve">evisione di una posizione sostenuta nella </w:t>
      </w:r>
      <w:r w:rsidR="00504BB6" w:rsidRPr="006C539D">
        <w:rPr>
          <w:rFonts w:ascii="Times New Roman" w:eastAsia="Times New Roman" w:hAnsi="Times New Roman" w:cs="Times New Roman"/>
          <w:i/>
          <w:color w:val="000000"/>
        </w:rPr>
        <w:t>Jenaer Metaphysik</w:t>
      </w:r>
      <w:r w:rsidR="003D2F47" w:rsidRPr="006C539D">
        <w:rPr>
          <w:rFonts w:ascii="Times New Roman" w:eastAsia="Times New Roman" w:hAnsi="Times New Roman" w:cs="Times New Roman"/>
          <w:i/>
          <w:color w:val="000000"/>
        </w:rPr>
        <w:t xml:space="preserve"> </w:t>
      </w:r>
      <w:r w:rsidR="0085412D" w:rsidRPr="006C539D">
        <w:rPr>
          <w:rFonts w:ascii="Times New Roman" w:eastAsia="Times New Roman" w:hAnsi="Times New Roman" w:cs="Times New Roman"/>
          <w:color w:val="000000"/>
        </w:rPr>
        <w:t>e</w:t>
      </w:r>
      <w:r>
        <w:rPr>
          <w:rFonts w:ascii="Times New Roman" w:eastAsia="Times New Roman" w:hAnsi="Times New Roman" w:cs="Times New Roman"/>
          <w:color w:val="000000"/>
        </w:rPr>
        <w:t xml:space="preserve"> riflette</w:t>
      </w:r>
      <w:r w:rsidR="003D2F47" w:rsidRPr="006C539D">
        <w:rPr>
          <w:rFonts w:ascii="Times New Roman" w:eastAsia="Times New Roman" w:hAnsi="Times New Roman" w:cs="Times New Roman"/>
          <w:color w:val="000000"/>
        </w:rPr>
        <w:t>, non è difficile vederlo,</w:t>
      </w:r>
      <w:r w:rsidR="006C539D" w:rsidRPr="006C539D">
        <w:rPr>
          <w:rFonts w:ascii="Times New Roman" w:eastAsia="Times New Roman" w:hAnsi="Times New Roman" w:cs="Times New Roman"/>
          <w:color w:val="000000"/>
        </w:rPr>
        <w:t xml:space="preserve"> anche una critica al testo schellinghiano</w:t>
      </w:r>
      <w:r w:rsidR="00504BB6" w:rsidRPr="006C539D">
        <w:rPr>
          <w:rFonts w:ascii="Times New Roman" w:eastAsia="Times New Roman" w:hAnsi="Times New Roman" w:cs="Times New Roman"/>
          <w:color w:val="000000"/>
        </w:rPr>
        <w:t xml:space="preserve"> </w:t>
      </w:r>
      <w:r w:rsidR="00504BB6" w:rsidRPr="006C539D">
        <w:rPr>
          <w:rFonts w:ascii="Times New Roman" w:eastAsia="Times New Roman" w:hAnsi="Times New Roman" w:cs="Times New Roman"/>
          <w:i/>
          <w:color w:val="000000"/>
        </w:rPr>
        <w:t>Philosophie und Religion</w:t>
      </w:r>
      <w:r w:rsidR="003D2F47" w:rsidRPr="006C539D">
        <w:rPr>
          <w:rFonts w:ascii="Times New Roman" w:eastAsia="Times New Roman" w:hAnsi="Times New Roman" w:cs="Times New Roman"/>
          <w:color w:val="000000"/>
        </w:rPr>
        <w:t>.</w:t>
      </w:r>
      <w:r w:rsidR="003D2F47">
        <w:rPr>
          <w:rFonts w:ascii="Times New Roman" w:eastAsia="Times New Roman" w:hAnsi="Times New Roman" w:cs="Times New Roman"/>
          <w:color w:val="000000"/>
        </w:rPr>
        <w:t xml:space="preserve"> Una volta dismesse tutte queste espressioni </w:t>
      </w:r>
      <w:r w:rsidR="003D2F47" w:rsidRPr="00F06973">
        <w:rPr>
          <w:rFonts w:ascii="Times New Roman" w:eastAsia="Times New Roman" w:hAnsi="Times New Roman" w:cs="Times New Roman"/>
          <w:color w:val="000000"/>
        </w:rPr>
        <w:t xml:space="preserve">immaginifiche e tratte, come nel caso della parola </w:t>
      </w:r>
      <w:r w:rsidR="00594342" w:rsidRPr="00F06973">
        <w:rPr>
          <w:rFonts w:ascii="Times New Roman" w:eastAsia="Times New Roman" w:hAnsi="Times New Roman" w:cs="Times New Roman"/>
          <w:i/>
          <w:color w:val="000000"/>
        </w:rPr>
        <w:t>“</w:t>
      </w:r>
      <w:r w:rsidR="003D2F47" w:rsidRPr="00F06973">
        <w:rPr>
          <w:rFonts w:ascii="Times New Roman" w:eastAsia="Times New Roman" w:hAnsi="Times New Roman" w:cs="Times New Roman"/>
          <w:i/>
          <w:color w:val="000000"/>
        </w:rPr>
        <w:t>Sohn</w:t>
      </w:r>
      <w:r w:rsidR="00594342" w:rsidRPr="00F06973">
        <w:rPr>
          <w:rFonts w:ascii="Times New Roman" w:eastAsia="Times New Roman" w:hAnsi="Times New Roman" w:cs="Times New Roman"/>
          <w:i/>
          <w:color w:val="000000"/>
        </w:rPr>
        <w:t>”</w:t>
      </w:r>
      <w:r w:rsidR="003D2F47" w:rsidRPr="00F06973">
        <w:rPr>
          <w:rFonts w:ascii="Times New Roman" w:eastAsia="Times New Roman" w:hAnsi="Times New Roman" w:cs="Times New Roman"/>
          <w:color w:val="000000"/>
        </w:rPr>
        <w:t xml:space="preserve">, dal lessico familiare, quello che ci resta è un contenuto che rispecchia quella </w:t>
      </w:r>
      <w:r w:rsidR="003D2F47" w:rsidRPr="00F06973">
        <w:rPr>
          <w:rFonts w:ascii="Times New Roman" w:eastAsia="Times New Roman" w:hAnsi="Times New Roman" w:cs="Times New Roman"/>
          <w:i/>
          <w:color w:val="000000"/>
        </w:rPr>
        <w:t xml:space="preserve">reine und einfache Negativität </w:t>
      </w:r>
      <w:r w:rsidR="00257EB9" w:rsidRPr="00F06973">
        <w:rPr>
          <w:rFonts w:ascii="Times New Roman" w:eastAsia="Times New Roman" w:hAnsi="Times New Roman" w:cs="Times New Roman"/>
          <w:color w:val="000000"/>
        </w:rPr>
        <w:t xml:space="preserve">e </w:t>
      </w:r>
      <w:r w:rsidR="00CA045D" w:rsidRPr="00F06973">
        <w:rPr>
          <w:rFonts w:ascii="Times New Roman" w:eastAsia="Times New Roman" w:hAnsi="Times New Roman" w:cs="Times New Roman"/>
          <w:color w:val="000000"/>
        </w:rPr>
        <w:t xml:space="preserve">dispiega il movimento </w:t>
      </w:r>
      <w:r w:rsidR="003D2F47" w:rsidRPr="00F06973">
        <w:rPr>
          <w:rFonts w:ascii="Times New Roman" w:eastAsia="Times New Roman" w:hAnsi="Times New Roman" w:cs="Times New Roman"/>
          <w:i/>
          <w:color w:val="000000"/>
        </w:rPr>
        <w:t>des Wesen, des Fürsichsein</w:t>
      </w:r>
      <w:r w:rsidR="00594342" w:rsidRPr="00F06973">
        <w:rPr>
          <w:rFonts w:ascii="Times New Roman" w:eastAsia="Times New Roman" w:hAnsi="Times New Roman" w:cs="Times New Roman"/>
          <w:i/>
          <w:color w:val="000000"/>
        </w:rPr>
        <w:t>s</w:t>
      </w:r>
      <w:r w:rsidR="003D2F47" w:rsidRPr="00F06973">
        <w:rPr>
          <w:rFonts w:ascii="Times New Roman" w:eastAsia="Times New Roman" w:hAnsi="Times New Roman" w:cs="Times New Roman"/>
          <w:i/>
          <w:color w:val="000000"/>
        </w:rPr>
        <w:t xml:space="preserve"> und des sich selbst Wissen</w:t>
      </w:r>
      <w:r w:rsidR="00594342" w:rsidRPr="00F06973">
        <w:rPr>
          <w:rFonts w:ascii="Times New Roman" w:eastAsia="Times New Roman" w:hAnsi="Times New Roman" w:cs="Times New Roman"/>
          <w:i/>
          <w:color w:val="000000"/>
        </w:rPr>
        <w:t>s</w:t>
      </w:r>
      <w:r w:rsidR="003D2F47" w:rsidRPr="00F06973">
        <w:rPr>
          <w:rFonts w:ascii="Times New Roman" w:eastAsia="Times New Roman" w:hAnsi="Times New Roman" w:cs="Times New Roman"/>
          <w:i/>
          <w:color w:val="000000"/>
        </w:rPr>
        <w:t xml:space="preserve"> im Andern</w:t>
      </w:r>
      <w:r w:rsidR="003D2F47" w:rsidRPr="00F06973">
        <w:rPr>
          <w:rFonts w:ascii="Times New Roman" w:eastAsia="Times New Roman" w:hAnsi="Times New Roman" w:cs="Times New Roman"/>
          <w:color w:val="000000"/>
        </w:rPr>
        <w:t>. Soprattuto, ed è bene ripeterlo ancora una volta, quella negatività prima</w:t>
      </w:r>
      <w:r w:rsidR="00B0544E" w:rsidRPr="00F06973">
        <w:rPr>
          <w:rFonts w:ascii="Times New Roman" w:eastAsia="Times New Roman" w:hAnsi="Times New Roman" w:cs="Times New Roman"/>
          <w:color w:val="000000"/>
        </w:rPr>
        <w:t xml:space="preserve"> dell’essenza etern</w:t>
      </w:r>
      <w:r w:rsidR="003D2F47" w:rsidRPr="00F06973">
        <w:rPr>
          <w:rFonts w:ascii="Times New Roman" w:eastAsia="Times New Roman" w:hAnsi="Times New Roman" w:cs="Times New Roman"/>
          <w:color w:val="000000"/>
        </w:rPr>
        <w:t>a</w:t>
      </w:r>
      <w:r w:rsidR="00575575" w:rsidRPr="00F06973">
        <w:rPr>
          <w:rFonts w:ascii="Times New Roman" w:eastAsia="Times New Roman" w:hAnsi="Times New Roman" w:cs="Times New Roman"/>
          <w:color w:val="000000"/>
        </w:rPr>
        <w:t>,</w:t>
      </w:r>
      <w:r w:rsidR="00527924" w:rsidRPr="00F06973">
        <w:rPr>
          <w:rFonts w:ascii="Times New Roman" w:eastAsia="Times New Roman" w:hAnsi="Times New Roman" w:cs="Times New Roman"/>
          <w:color w:val="000000"/>
        </w:rPr>
        <w:t xml:space="preserve"> o del pensiero</w:t>
      </w:r>
      <w:r w:rsidR="00CA045D" w:rsidRPr="00F06973">
        <w:rPr>
          <w:rFonts w:ascii="Times New Roman" w:eastAsia="Times New Roman" w:hAnsi="Times New Roman" w:cs="Times New Roman"/>
          <w:color w:val="000000"/>
        </w:rPr>
        <w:t xml:space="preserve"> puro</w:t>
      </w:r>
      <w:r w:rsidR="00527924" w:rsidRPr="00F06973">
        <w:rPr>
          <w:rFonts w:ascii="Times New Roman" w:eastAsia="Times New Roman" w:hAnsi="Times New Roman" w:cs="Times New Roman"/>
          <w:color w:val="000000"/>
        </w:rPr>
        <w:t>,</w:t>
      </w:r>
      <w:r w:rsidR="00F3618D" w:rsidRPr="00F06973">
        <w:rPr>
          <w:rFonts w:ascii="Times New Roman" w:eastAsia="Times New Roman" w:hAnsi="Times New Roman" w:cs="Times New Roman"/>
          <w:color w:val="000000"/>
        </w:rPr>
        <w:t xml:space="preserve"> </w:t>
      </w:r>
      <w:r w:rsidR="00575575" w:rsidRPr="00F06973">
        <w:rPr>
          <w:rFonts w:ascii="Times New Roman" w:eastAsia="Times New Roman" w:hAnsi="Times New Roman" w:cs="Times New Roman"/>
          <w:color w:val="000000"/>
        </w:rPr>
        <w:t>che è</w:t>
      </w:r>
      <w:r w:rsidR="00527924" w:rsidRPr="00F06973">
        <w:rPr>
          <w:rFonts w:ascii="Times New Roman" w:eastAsia="Times New Roman" w:hAnsi="Times New Roman" w:cs="Times New Roman"/>
          <w:color w:val="000000"/>
        </w:rPr>
        <w:t xml:space="preserve"> </w:t>
      </w:r>
      <w:r w:rsidR="00B05F84">
        <w:rPr>
          <w:rFonts w:ascii="Times New Roman" w:eastAsia="Times New Roman" w:hAnsi="Times New Roman" w:cs="Times New Roman"/>
          <w:color w:val="000000"/>
        </w:rPr>
        <w:t xml:space="preserve">radice o </w:t>
      </w:r>
      <w:r w:rsidR="00575575" w:rsidRPr="00F06973">
        <w:rPr>
          <w:rFonts w:ascii="Times New Roman" w:eastAsia="Times New Roman" w:hAnsi="Times New Roman" w:cs="Times New Roman"/>
          <w:color w:val="000000"/>
        </w:rPr>
        <w:t>fonte (</w:t>
      </w:r>
      <w:r w:rsidR="00B0544E" w:rsidRPr="00F06973">
        <w:rPr>
          <w:rFonts w:ascii="Times New Roman" w:eastAsia="Times New Roman" w:hAnsi="Times New Roman" w:cs="Times New Roman"/>
          <w:i/>
          <w:color w:val="000000"/>
        </w:rPr>
        <w:t>Que</w:t>
      </w:r>
      <w:r w:rsidR="00575575" w:rsidRPr="00F06973">
        <w:rPr>
          <w:rFonts w:ascii="Times New Roman" w:eastAsia="Times New Roman" w:hAnsi="Times New Roman" w:cs="Times New Roman"/>
          <w:i/>
          <w:color w:val="000000"/>
        </w:rPr>
        <w:t>l</w:t>
      </w:r>
      <w:r w:rsidR="00B0544E" w:rsidRPr="00F06973">
        <w:rPr>
          <w:rFonts w:ascii="Times New Roman" w:eastAsia="Times New Roman" w:hAnsi="Times New Roman" w:cs="Times New Roman"/>
          <w:i/>
          <w:color w:val="000000"/>
        </w:rPr>
        <w:t>le</w:t>
      </w:r>
      <w:r w:rsidR="00575575" w:rsidRPr="00F06973">
        <w:rPr>
          <w:rFonts w:ascii="Times New Roman" w:eastAsia="Times New Roman" w:hAnsi="Times New Roman" w:cs="Times New Roman"/>
          <w:color w:val="000000"/>
        </w:rPr>
        <w:t>)</w:t>
      </w:r>
      <w:r w:rsidR="00656854" w:rsidRPr="00656854">
        <w:rPr>
          <w:rFonts w:ascii="Times New Roman" w:eastAsia="Times New Roman" w:hAnsi="Times New Roman" w:cs="Times New Roman"/>
          <w:color w:val="000000"/>
        </w:rPr>
        <w:t xml:space="preserve"> </w:t>
      </w:r>
      <w:r w:rsidR="00656854" w:rsidRPr="00F06973">
        <w:rPr>
          <w:rFonts w:ascii="Times New Roman" w:eastAsia="Times New Roman" w:hAnsi="Times New Roman" w:cs="Times New Roman"/>
          <w:color w:val="000000"/>
        </w:rPr>
        <w:t>del suo libero sviluppo</w:t>
      </w:r>
      <w:r w:rsidR="00656854" w:rsidRPr="00F06973">
        <w:rPr>
          <w:rStyle w:val="Rimandonotaapidipagina"/>
          <w:rFonts w:ascii="Times New Roman" w:eastAsia="Times New Roman" w:hAnsi="Times New Roman" w:cs="Times New Roman"/>
          <w:color w:val="000000"/>
        </w:rPr>
        <w:t xml:space="preserve"> </w:t>
      </w:r>
      <w:r w:rsidR="00D93B17" w:rsidRPr="00F06973">
        <w:rPr>
          <w:rStyle w:val="Rimandonotaapidipagina"/>
          <w:rFonts w:ascii="Times New Roman" w:eastAsia="Times New Roman" w:hAnsi="Times New Roman" w:cs="Times New Roman"/>
          <w:color w:val="000000"/>
        </w:rPr>
        <w:footnoteReference w:id="312"/>
      </w:r>
      <w:r w:rsidR="00575575" w:rsidRPr="00F06973">
        <w:rPr>
          <w:rFonts w:ascii="Times New Roman" w:eastAsia="Times New Roman" w:hAnsi="Times New Roman" w:cs="Times New Roman"/>
          <w:color w:val="000000"/>
        </w:rPr>
        <w:t>.</w:t>
      </w:r>
      <w:r w:rsidR="00575575">
        <w:rPr>
          <w:rFonts w:ascii="Times New Roman" w:eastAsia="Times New Roman" w:hAnsi="Times New Roman" w:cs="Times New Roman"/>
          <w:color w:val="000000"/>
        </w:rPr>
        <w:t xml:space="preserve"> </w:t>
      </w:r>
    </w:p>
    <w:p w14:paraId="19C3E54F" w14:textId="102A5E4B" w:rsidR="00933FAC" w:rsidRDefault="00983DF9" w:rsidP="00933FAC">
      <w:pPr>
        <w:spacing w:line="360" w:lineRule="auto"/>
        <w:ind w:firstLine="567"/>
        <w:jc w:val="both"/>
        <w:rPr>
          <w:rFonts w:ascii="Times New Roman" w:eastAsia="Times New Roman" w:hAnsi="Times New Roman" w:cs="Times New Roman"/>
          <w:color w:val="000000"/>
        </w:rPr>
      </w:pPr>
      <w:r w:rsidRPr="00E64A29">
        <w:rPr>
          <w:rFonts w:ascii="Times New Roman" w:eastAsia="Times New Roman" w:hAnsi="Times New Roman" w:cs="Times New Roman"/>
          <w:color w:val="000000"/>
        </w:rPr>
        <w:t>La necessità di elaborare una teoria della soggettività assoluta, capace di dispiegare dinamicamente quanto espresso dal concetto d</w:t>
      </w:r>
      <w:r w:rsidR="00633441" w:rsidRPr="00E64A29">
        <w:rPr>
          <w:rFonts w:ascii="Times New Roman" w:eastAsia="Times New Roman" w:hAnsi="Times New Roman" w:cs="Times New Roman"/>
          <w:color w:val="000000"/>
        </w:rPr>
        <w:t>ell</w:t>
      </w:r>
      <w:r w:rsidRPr="00E64A29">
        <w:rPr>
          <w:rFonts w:ascii="Times New Roman" w:eastAsia="Times New Roman" w:hAnsi="Times New Roman" w:cs="Times New Roman"/>
          <w:color w:val="000000"/>
        </w:rPr>
        <w:t>’</w:t>
      </w:r>
      <w:r w:rsidRPr="00E64A29">
        <w:rPr>
          <w:rFonts w:ascii="Times New Roman" w:eastAsia="Times New Roman" w:hAnsi="Times New Roman" w:cs="Times New Roman"/>
          <w:i/>
          <w:color w:val="000000"/>
        </w:rPr>
        <w:t>absolutes Nichts</w:t>
      </w:r>
      <w:r w:rsidRPr="00E64A29">
        <w:rPr>
          <w:rFonts w:ascii="Times New Roman" w:eastAsia="Times New Roman" w:hAnsi="Times New Roman" w:cs="Times New Roman"/>
          <w:color w:val="000000"/>
        </w:rPr>
        <w:t>, ha spinto</w:t>
      </w:r>
      <w:r>
        <w:rPr>
          <w:rFonts w:ascii="Times New Roman" w:eastAsia="Times New Roman" w:hAnsi="Times New Roman" w:cs="Times New Roman"/>
          <w:color w:val="000000"/>
        </w:rPr>
        <w:t xml:space="preserve"> Hegel a volgere la sua attenzione verso fonti di pensiero</w:t>
      </w:r>
      <w:r w:rsidR="007F36B6" w:rsidRPr="00983DF9">
        <w:rPr>
          <w:rFonts w:ascii="Times New Roman" w:eastAsia="Times New Roman" w:hAnsi="Times New Roman" w:cs="Times New Roman"/>
          <w:i/>
          <w:color w:val="000000"/>
        </w:rPr>
        <w:t xml:space="preserve"> </w:t>
      </w:r>
      <w:r>
        <w:rPr>
          <w:rFonts w:ascii="Times New Roman" w:eastAsia="Times New Roman" w:hAnsi="Times New Roman" w:cs="Times New Roman"/>
          <w:color w:val="000000"/>
        </w:rPr>
        <w:t>altre rispetto ai canoni del</w:t>
      </w:r>
      <w:r w:rsidR="00C73195">
        <w:rPr>
          <w:rFonts w:ascii="Times New Roman" w:eastAsia="Times New Roman" w:hAnsi="Times New Roman" w:cs="Times New Roman"/>
          <w:color w:val="000000"/>
        </w:rPr>
        <w:t>la tradizione filosofica. Incoraggiato</w:t>
      </w:r>
      <w:r>
        <w:rPr>
          <w:rFonts w:ascii="Times New Roman" w:eastAsia="Times New Roman" w:hAnsi="Times New Roman" w:cs="Times New Roman"/>
          <w:color w:val="000000"/>
        </w:rPr>
        <w:t xml:space="preserve"> dal contesto storico-culturale del suo tempo, influenzato dalla lettura di </w:t>
      </w:r>
      <w:r w:rsidRPr="00983DF9">
        <w:rPr>
          <w:rFonts w:ascii="Times New Roman" w:eastAsia="Times New Roman" w:hAnsi="Times New Roman" w:cs="Times New Roman"/>
          <w:i/>
          <w:color w:val="000000"/>
        </w:rPr>
        <w:t>Philosophie und Religion</w:t>
      </w:r>
      <w:r w:rsidR="000C55AD">
        <w:rPr>
          <w:rFonts w:ascii="Times New Roman" w:eastAsia="Times New Roman" w:hAnsi="Times New Roman" w:cs="Times New Roman"/>
          <w:color w:val="000000"/>
        </w:rPr>
        <w:t xml:space="preserve"> e</w:t>
      </w:r>
      <w:r>
        <w:rPr>
          <w:rFonts w:ascii="Times New Roman" w:eastAsia="Times New Roman" w:hAnsi="Times New Roman" w:cs="Times New Roman"/>
          <w:color w:val="000000"/>
        </w:rPr>
        <w:t xml:space="preserve"> animato</w:t>
      </w:r>
      <w:r w:rsidR="00C73195">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da un autonomo desiderio di conoscenza, He</w:t>
      </w:r>
      <w:r w:rsidR="000C55AD">
        <w:rPr>
          <w:rFonts w:ascii="Times New Roman" w:eastAsia="Times New Roman" w:hAnsi="Times New Roman" w:cs="Times New Roman"/>
          <w:color w:val="000000"/>
        </w:rPr>
        <w:t xml:space="preserve">gel </w:t>
      </w:r>
      <w:r w:rsidR="000C55AD" w:rsidRPr="00205505">
        <w:rPr>
          <w:rFonts w:ascii="Times New Roman" w:eastAsia="Times New Roman" w:hAnsi="Times New Roman" w:cs="Times New Roman"/>
          <w:color w:val="000000"/>
        </w:rPr>
        <w:t>ha intrapreso una propria e</w:t>
      </w:r>
      <w:r w:rsidRPr="00205505">
        <w:rPr>
          <w:rFonts w:ascii="Times New Roman" w:eastAsia="Times New Roman" w:hAnsi="Times New Roman" w:cs="Times New Roman"/>
          <w:color w:val="000000"/>
        </w:rPr>
        <w:t xml:space="preserve"> originale analisi dell’opera di </w:t>
      </w:r>
      <w:r w:rsidRPr="00BA517B">
        <w:rPr>
          <w:rFonts w:ascii="Times New Roman" w:eastAsia="Times New Roman" w:hAnsi="Times New Roman" w:cs="Times New Roman"/>
          <w:color w:val="000000"/>
        </w:rPr>
        <w:t xml:space="preserve">Böhme. </w:t>
      </w:r>
      <w:r w:rsidR="00FB40BC" w:rsidRPr="00BA517B">
        <w:rPr>
          <w:rFonts w:ascii="Times New Roman" w:eastAsia="Times New Roman" w:hAnsi="Times New Roman" w:cs="Times New Roman"/>
          <w:color w:val="000000"/>
        </w:rPr>
        <w:t>Ne</w:t>
      </w:r>
      <w:r w:rsidR="00846C8F">
        <w:rPr>
          <w:rFonts w:ascii="Times New Roman" w:eastAsia="Times New Roman" w:hAnsi="Times New Roman" w:cs="Times New Roman"/>
          <w:color w:val="000000"/>
        </w:rPr>
        <w:t>l biennio 1804/</w:t>
      </w:r>
      <w:r w:rsidR="00941961" w:rsidRPr="00BA517B">
        <w:rPr>
          <w:rFonts w:ascii="Times New Roman" w:eastAsia="Times New Roman" w:hAnsi="Times New Roman" w:cs="Times New Roman"/>
          <w:color w:val="000000"/>
        </w:rPr>
        <w:t xml:space="preserve">05, </w:t>
      </w:r>
      <w:r w:rsidR="006071B6" w:rsidRPr="00BA517B">
        <w:rPr>
          <w:rFonts w:ascii="Times New Roman" w:eastAsia="Times New Roman" w:hAnsi="Times New Roman" w:cs="Times New Roman"/>
          <w:color w:val="000000"/>
        </w:rPr>
        <w:t xml:space="preserve">nell’arco temporale </w:t>
      </w:r>
      <w:r w:rsidR="00941961" w:rsidRPr="00BA517B">
        <w:rPr>
          <w:rFonts w:ascii="Times New Roman" w:eastAsia="Times New Roman" w:hAnsi="Times New Roman" w:cs="Times New Roman"/>
          <w:color w:val="000000"/>
        </w:rPr>
        <w:t>in cui si collacano le prime riflessioni sull</w:t>
      </w:r>
      <w:r w:rsidR="002A7FFA" w:rsidRPr="00BA517B">
        <w:rPr>
          <w:rFonts w:ascii="Times New Roman" w:eastAsia="Times New Roman" w:hAnsi="Times New Roman" w:cs="Times New Roman"/>
          <w:color w:val="000000"/>
        </w:rPr>
        <w:t>’opera</w:t>
      </w:r>
      <w:r w:rsidR="00257EB9" w:rsidRPr="00BA517B">
        <w:rPr>
          <w:rFonts w:ascii="Times New Roman" w:eastAsia="Times New Roman" w:hAnsi="Times New Roman" w:cs="Times New Roman"/>
          <w:color w:val="000000"/>
        </w:rPr>
        <w:t xml:space="preserve"> böhmiana, Hegel non ha</w:t>
      </w:r>
      <w:r w:rsidR="00941961" w:rsidRPr="00BA517B">
        <w:rPr>
          <w:rFonts w:ascii="Times New Roman" w:eastAsia="Times New Roman" w:hAnsi="Times New Roman" w:cs="Times New Roman"/>
          <w:color w:val="000000"/>
        </w:rPr>
        <w:t xml:space="preserve"> ancora trovato</w:t>
      </w:r>
      <w:r w:rsidR="00584DB0" w:rsidRPr="00BA517B">
        <w:rPr>
          <w:rFonts w:ascii="Times New Roman" w:eastAsia="Times New Roman" w:hAnsi="Times New Roman" w:cs="Times New Roman"/>
          <w:color w:val="000000"/>
        </w:rPr>
        <w:t xml:space="preserve"> una risposta al come e</w:t>
      </w:r>
      <w:r w:rsidR="00941961" w:rsidRPr="00BA517B">
        <w:rPr>
          <w:rFonts w:ascii="Times New Roman" w:eastAsia="Times New Roman" w:hAnsi="Times New Roman" w:cs="Times New Roman"/>
          <w:color w:val="000000"/>
        </w:rPr>
        <w:t xml:space="preserve"> al perché della processualità assoluta: s</w:t>
      </w:r>
      <w:r w:rsidR="00342174" w:rsidRPr="00BA517B">
        <w:rPr>
          <w:rFonts w:ascii="Times New Roman" w:eastAsia="Times New Roman" w:hAnsi="Times New Roman" w:cs="Times New Roman"/>
          <w:color w:val="000000"/>
        </w:rPr>
        <w:t>e da un lato la filosofia dell’I</w:t>
      </w:r>
      <w:r w:rsidR="00941961" w:rsidRPr="00BA517B">
        <w:rPr>
          <w:rFonts w:ascii="Times New Roman" w:eastAsia="Times New Roman" w:hAnsi="Times New Roman" w:cs="Times New Roman"/>
          <w:color w:val="000000"/>
        </w:rPr>
        <w:t>o</w:t>
      </w:r>
      <w:r w:rsidR="00634B4C" w:rsidRPr="00BA517B">
        <w:rPr>
          <w:rFonts w:ascii="Times New Roman" w:eastAsia="Times New Roman" w:hAnsi="Times New Roman" w:cs="Times New Roman"/>
          <w:color w:val="000000"/>
        </w:rPr>
        <w:t xml:space="preserve"> post-kantiana</w:t>
      </w:r>
      <w:r w:rsidR="00941961" w:rsidRPr="00BA517B">
        <w:rPr>
          <w:rFonts w:ascii="Times New Roman" w:eastAsia="Times New Roman" w:hAnsi="Times New Roman" w:cs="Times New Roman"/>
          <w:color w:val="000000"/>
        </w:rPr>
        <w:t xml:space="preserve"> sembra offrire un modello co</w:t>
      </w:r>
      <w:r w:rsidR="00052874" w:rsidRPr="00BA517B">
        <w:rPr>
          <w:rFonts w:ascii="Times New Roman" w:eastAsia="Times New Roman" w:hAnsi="Times New Roman" w:cs="Times New Roman"/>
          <w:color w:val="000000"/>
        </w:rPr>
        <w:t>nvincente di sviluppo in</w:t>
      </w:r>
      <w:r w:rsidR="00941961" w:rsidRPr="00BA517B">
        <w:rPr>
          <w:rFonts w:ascii="Times New Roman" w:eastAsia="Times New Roman" w:hAnsi="Times New Roman" w:cs="Times New Roman"/>
          <w:color w:val="000000"/>
        </w:rPr>
        <w:t>condizionato dell’attività del pensiero, dall’altro lato tutta una serie di problemat</w:t>
      </w:r>
      <w:r w:rsidR="006071B6" w:rsidRPr="00BA517B">
        <w:rPr>
          <w:rFonts w:ascii="Times New Roman" w:eastAsia="Times New Roman" w:hAnsi="Times New Roman" w:cs="Times New Roman"/>
          <w:color w:val="000000"/>
        </w:rPr>
        <w:t xml:space="preserve">icità sono insite </w:t>
      </w:r>
      <w:r w:rsidR="00634B4C" w:rsidRPr="00BA517B">
        <w:rPr>
          <w:rFonts w:ascii="Times New Roman" w:eastAsia="Times New Roman" w:hAnsi="Times New Roman" w:cs="Times New Roman"/>
          <w:color w:val="000000"/>
        </w:rPr>
        <w:t>nel suo sviluppo</w:t>
      </w:r>
      <w:r w:rsidR="006071B6" w:rsidRPr="00BA517B">
        <w:rPr>
          <w:rFonts w:ascii="Times New Roman" w:eastAsia="Times New Roman" w:hAnsi="Times New Roman" w:cs="Times New Roman"/>
          <w:color w:val="000000"/>
        </w:rPr>
        <w:t>. Ass</w:t>
      </w:r>
      <w:r w:rsidR="000C55AD" w:rsidRPr="00BA517B">
        <w:rPr>
          <w:rFonts w:ascii="Times New Roman" w:eastAsia="Times New Roman" w:hAnsi="Times New Roman" w:cs="Times New Roman"/>
          <w:color w:val="000000"/>
        </w:rPr>
        <w:t>olutizzazione della finitezza e</w:t>
      </w:r>
      <w:r w:rsidR="002A7FFA" w:rsidRPr="00BA517B">
        <w:rPr>
          <w:rFonts w:ascii="Times New Roman" w:eastAsia="Times New Roman" w:hAnsi="Times New Roman" w:cs="Times New Roman"/>
          <w:color w:val="000000"/>
        </w:rPr>
        <w:t xml:space="preserve"> irriducibilità dell’oggetto </w:t>
      </w:r>
      <w:r w:rsidR="006071B6" w:rsidRPr="00BA517B">
        <w:rPr>
          <w:rFonts w:ascii="Times New Roman" w:eastAsia="Times New Roman" w:hAnsi="Times New Roman" w:cs="Times New Roman"/>
          <w:color w:val="000000"/>
        </w:rPr>
        <w:t>all’attività della ragione rappresentano le carenze</w:t>
      </w:r>
      <w:r w:rsidR="00634B4C" w:rsidRPr="00BA517B">
        <w:rPr>
          <w:rFonts w:ascii="Times New Roman" w:eastAsia="Times New Roman" w:hAnsi="Times New Roman" w:cs="Times New Roman"/>
          <w:color w:val="000000"/>
        </w:rPr>
        <w:t xml:space="preserve"> strutturali della teoria dell’I</w:t>
      </w:r>
      <w:r w:rsidR="006071B6" w:rsidRPr="00BA517B">
        <w:rPr>
          <w:rFonts w:ascii="Times New Roman" w:eastAsia="Times New Roman" w:hAnsi="Times New Roman" w:cs="Times New Roman"/>
          <w:color w:val="000000"/>
        </w:rPr>
        <w:t xml:space="preserve">o avanzata dall’idealismo soggettivo. </w:t>
      </w:r>
      <w:r w:rsidR="00132D27" w:rsidRPr="00BA517B">
        <w:rPr>
          <w:rFonts w:ascii="Times New Roman" w:eastAsia="Times New Roman" w:hAnsi="Times New Roman" w:cs="Times New Roman"/>
          <w:color w:val="000000"/>
        </w:rPr>
        <w:t>Limiti differenti, ma non per questo meno problematici, sono ravvisati</w:t>
      </w:r>
      <w:r w:rsidR="006071B6" w:rsidRPr="00BA517B">
        <w:rPr>
          <w:rFonts w:ascii="Times New Roman" w:eastAsia="Times New Roman" w:hAnsi="Times New Roman" w:cs="Times New Roman"/>
          <w:color w:val="000000"/>
        </w:rPr>
        <w:t xml:space="preserve"> anche nella filosofia spinoziana e schellinghiana</w:t>
      </w:r>
      <w:r w:rsidR="00342174" w:rsidRPr="00BA517B">
        <w:rPr>
          <w:rFonts w:ascii="Times New Roman" w:eastAsia="Times New Roman" w:hAnsi="Times New Roman" w:cs="Times New Roman"/>
          <w:color w:val="000000"/>
        </w:rPr>
        <w:t xml:space="preserve"> dell’Assoluto</w:t>
      </w:r>
      <w:r w:rsidR="006071B6" w:rsidRPr="00BA517B">
        <w:rPr>
          <w:rFonts w:ascii="Times New Roman" w:eastAsia="Times New Roman" w:hAnsi="Times New Roman" w:cs="Times New Roman"/>
          <w:color w:val="000000"/>
        </w:rPr>
        <w:t xml:space="preserve">: </w:t>
      </w:r>
      <w:r w:rsidR="00132D27" w:rsidRPr="00BA517B">
        <w:rPr>
          <w:rFonts w:ascii="Times New Roman" w:eastAsia="Times New Roman" w:hAnsi="Times New Roman" w:cs="Times New Roman"/>
          <w:color w:val="000000"/>
        </w:rPr>
        <w:t>se questi sistemi filosofici hanno avuto il meri</w:t>
      </w:r>
      <w:r w:rsidR="00A772F2" w:rsidRPr="00BA517B">
        <w:rPr>
          <w:rFonts w:ascii="Times New Roman" w:eastAsia="Times New Roman" w:hAnsi="Times New Roman" w:cs="Times New Roman"/>
          <w:color w:val="000000"/>
        </w:rPr>
        <w:t>to di pensare l’</w:t>
      </w:r>
      <w:r w:rsidR="00342174" w:rsidRPr="00BA517B">
        <w:rPr>
          <w:rFonts w:ascii="Times New Roman" w:eastAsia="Times New Roman" w:hAnsi="Times New Roman" w:cs="Times New Roman"/>
          <w:color w:val="000000"/>
        </w:rPr>
        <w:t>Incondizionato</w:t>
      </w:r>
      <w:r w:rsidR="00A772F2" w:rsidRPr="00BA517B">
        <w:rPr>
          <w:rFonts w:ascii="Times New Roman" w:eastAsia="Times New Roman" w:hAnsi="Times New Roman" w:cs="Times New Roman"/>
          <w:color w:val="000000"/>
        </w:rPr>
        <w:t xml:space="preserve"> come l</w:t>
      </w:r>
      <w:r w:rsidR="00132D27" w:rsidRPr="00BA517B">
        <w:rPr>
          <w:rFonts w:ascii="Times New Roman" w:eastAsia="Times New Roman" w:hAnsi="Times New Roman" w:cs="Times New Roman"/>
          <w:color w:val="000000"/>
        </w:rPr>
        <w:t>’</w:t>
      </w:r>
      <w:r w:rsidR="00132D27" w:rsidRPr="00BA517B">
        <w:rPr>
          <w:rFonts w:ascii="Times New Roman" w:eastAsia="Times New Roman" w:hAnsi="Times New Roman" w:cs="Times New Roman"/>
          <w:i/>
          <w:color w:val="000000"/>
        </w:rPr>
        <w:t>Identit</w:t>
      </w:r>
      <w:r w:rsidR="00594342" w:rsidRPr="00BA517B">
        <w:rPr>
          <w:rFonts w:ascii="Times New Roman" w:eastAsia="Times New Roman" w:hAnsi="Times New Roman" w:cs="Times New Roman"/>
          <w:i/>
          <w:color w:val="000000"/>
        </w:rPr>
        <w:t>ät de</w:t>
      </w:r>
      <w:r w:rsidR="002A7FFA" w:rsidRPr="00BA517B">
        <w:rPr>
          <w:rFonts w:ascii="Times New Roman" w:eastAsia="Times New Roman" w:hAnsi="Times New Roman" w:cs="Times New Roman"/>
          <w:i/>
          <w:color w:val="000000"/>
        </w:rPr>
        <w:t>s Subjects und des Objects</w:t>
      </w:r>
      <w:r w:rsidR="00633441" w:rsidRPr="00BA517B">
        <w:rPr>
          <w:rFonts w:ascii="Times New Roman" w:eastAsia="Times New Roman" w:hAnsi="Times New Roman" w:cs="Times New Roman"/>
          <w:color w:val="000000"/>
        </w:rPr>
        <w:t>, loro</w:t>
      </w:r>
      <w:r w:rsidR="0019495C" w:rsidRPr="00BA517B">
        <w:rPr>
          <w:rFonts w:ascii="Times New Roman" w:eastAsia="Times New Roman" w:hAnsi="Times New Roman" w:cs="Times New Roman"/>
          <w:color w:val="000000"/>
        </w:rPr>
        <w:t xml:space="preserve"> </w:t>
      </w:r>
      <w:r w:rsidR="00342174" w:rsidRPr="00BA517B">
        <w:rPr>
          <w:rFonts w:ascii="Times New Roman" w:eastAsia="Times New Roman" w:hAnsi="Times New Roman" w:cs="Times New Roman"/>
          <w:color w:val="000000"/>
        </w:rPr>
        <w:t xml:space="preserve">demerito </w:t>
      </w:r>
      <w:r w:rsidR="00132D27" w:rsidRPr="00BA517B">
        <w:rPr>
          <w:rFonts w:ascii="Times New Roman" w:eastAsia="Times New Roman" w:hAnsi="Times New Roman" w:cs="Times New Roman"/>
          <w:color w:val="000000"/>
        </w:rPr>
        <w:t xml:space="preserve">è </w:t>
      </w:r>
      <w:r w:rsidR="00342174" w:rsidRPr="00BA517B">
        <w:rPr>
          <w:rFonts w:ascii="Times New Roman" w:eastAsia="Times New Roman" w:hAnsi="Times New Roman" w:cs="Times New Roman"/>
          <w:color w:val="000000"/>
        </w:rPr>
        <w:t>stato</w:t>
      </w:r>
      <w:r w:rsidR="004603B8" w:rsidRPr="00BA517B">
        <w:rPr>
          <w:rFonts w:ascii="Times New Roman" w:eastAsia="Times New Roman" w:hAnsi="Times New Roman" w:cs="Times New Roman"/>
          <w:color w:val="000000"/>
        </w:rPr>
        <w:t xml:space="preserve"> </w:t>
      </w:r>
      <w:r w:rsidR="00342174" w:rsidRPr="00BA517B">
        <w:rPr>
          <w:rFonts w:ascii="Times New Roman" w:eastAsia="Times New Roman" w:hAnsi="Times New Roman" w:cs="Times New Roman"/>
          <w:color w:val="000000"/>
        </w:rPr>
        <w:t>quello</w:t>
      </w:r>
      <w:r w:rsidR="00132D27" w:rsidRPr="00BA517B">
        <w:rPr>
          <w:rFonts w:ascii="Times New Roman" w:eastAsia="Times New Roman" w:hAnsi="Times New Roman" w:cs="Times New Roman"/>
          <w:color w:val="000000"/>
        </w:rPr>
        <w:t xml:space="preserve"> d’aver impiegato una </w:t>
      </w:r>
      <w:r w:rsidR="006071B6" w:rsidRPr="00BA517B">
        <w:rPr>
          <w:rFonts w:ascii="Times New Roman" w:eastAsia="Times New Roman" w:hAnsi="Times New Roman" w:cs="Times New Roman"/>
          <w:color w:val="000000"/>
        </w:rPr>
        <w:t>forma</w:t>
      </w:r>
      <w:r w:rsidR="00B05F84">
        <w:rPr>
          <w:rFonts w:ascii="Times New Roman" w:eastAsia="Times New Roman" w:hAnsi="Times New Roman" w:cs="Times New Roman"/>
          <w:color w:val="000000"/>
        </w:rPr>
        <w:t xml:space="preserve"> estranea al contenuto assoluto</w:t>
      </w:r>
      <w:r w:rsidR="00132D27" w:rsidRPr="00BA517B">
        <w:rPr>
          <w:rFonts w:ascii="Times New Roman" w:eastAsia="Times New Roman" w:hAnsi="Times New Roman" w:cs="Times New Roman"/>
          <w:color w:val="000000"/>
        </w:rPr>
        <w:t>. La</w:t>
      </w:r>
      <w:r w:rsidR="006071B6" w:rsidRPr="00BA517B">
        <w:rPr>
          <w:rFonts w:ascii="Times New Roman" w:eastAsia="Times New Roman" w:hAnsi="Times New Roman" w:cs="Times New Roman"/>
          <w:color w:val="000000"/>
        </w:rPr>
        <w:t xml:space="preserve"> </w:t>
      </w:r>
      <w:r w:rsidR="006071B6" w:rsidRPr="00BA517B">
        <w:rPr>
          <w:rFonts w:ascii="Times New Roman" w:eastAsia="Times New Roman" w:hAnsi="Times New Roman" w:cs="Times New Roman"/>
          <w:i/>
          <w:color w:val="000000"/>
        </w:rPr>
        <w:t>reductio ad abstractum</w:t>
      </w:r>
      <w:r w:rsidR="004603B8" w:rsidRPr="00BA517B">
        <w:rPr>
          <w:rFonts w:ascii="Times New Roman" w:eastAsia="Times New Roman" w:hAnsi="Times New Roman" w:cs="Times New Roman"/>
          <w:color w:val="000000"/>
        </w:rPr>
        <w:t xml:space="preserve"> </w:t>
      </w:r>
      <w:r w:rsidR="00132D27" w:rsidRPr="00BA517B">
        <w:rPr>
          <w:rFonts w:ascii="Times New Roman" w:eastAsia="Times New Roman" w:hAnsi="Times New Roman" w:cs="Times New Roman"/>
          <w:color w:val="000000"/>
        </w:rPr>
        <w:t>dell’Incondizionato</w:t>
      </w:r>
      <w:r w:rsidR="002A7FFA" w:rsidRPr="00BA517B">
        <w:rPr>
          <w:rFonts w:ascii="Times New Roman" w:eastAsia="Times New Roman" w:hAnsi="Times New Roman" w:cs="Times New Roman"/>
          <w:color w:val="000000"/>
        </w:rPr>
        <w:t xml:space="preserve"> </w:t>
      </w:r>
      <w:r w:rsidR="00342174" w:rsidRPr="00BA517B">
        <w:rPr>
          <w:rFonts w:ascii="Times New Roman" w:eastAsia="Times New Roman" w:hAnsi="Times New Roman" w:cs="Times New Roman"/>
          <w:color w:val="000000"/>
        </w:rPr>
        <w:t>segue dall’</w:t>
      </w:r>
      <w:r w:rsidR="0019495C" w:rsidRPr="00BA517B">
        <w:rPr>
          <w:rFonts w:ascii="Times New Roman" w:eastAsia="Times New Roman" w:hAnsi="Times New Roman" w:cs="Times New Roman"/>
          <w:color w:val="000000"/>
        </w:rPr>
        <w:t xml:space="preserve">utilizzo di una forma </w:t>
      </w:r>
      <w:r w:rsidR="002A7FFA" w:rsidRPr="00BA517B">
        <w:rPr>
          <w:rFonts w:ascii="Times New Roman" w:eastAsia="Times New Roman" w:hAnsi="Times New Roman" w:cs="Times New Roman"/>
          <w:color w:val="000000"/>
        </w:rPr>
        <w:t xml:space="preserve">del conoscere </w:t>
      </w:r>
      <w:r w:rsidR="00A772F2" w:rsidRPr="00BA517B">
        <w:rPr>
          <w:rFonts w:ascii="Times New Roman" w:eastAsia="Times New Roman" w:hAnsi="Times New Roman" w:cs="Times New Roman"/>
          <w:color w:val="000000"/>
        </w:rPr>
        <w:t>a</w:t>
      </w:r>
      <w:r w:rsidR="002A7FFA" w:rsidRPr="00BA517B">
        <w:rPr>
          <w:rFonts w:ascii="Times New Roman" w:eastAsia="Times New Roman" w:hAnsi="Times New Roman" w:cs="Times New Roman"/>
          <w:color w:val="000000"/>
        </w:rPr>
        <w:t>ltra d</w:t>
      </w:r>
      <w:r w:rsidR="00342174" w:rsidRPr="00BA517B">
        <w:rPr>
          <w:rFonts w:ascii="Times New Roman" w:eastAsia="Times New Roman" w:hAnsi="Times New Roman" w:cs="Times New Roman"/>
          <w:color w:val="000000"/>
        </w:rPr>
        <w:t>a</w:t>
      </w:r>
      <w:r w:rsidR="00633441" w:rsidRPr="00BA517B">
        <w:rPr>
          <w:rFonts w:ascii="Times New Roman" w:eastAsia="Times New Roman" w:hAnsi="Times New Roman" w:cs="Times New Roman"/>
          <w:color w:val="000000"/>
        </w:rPr>
        <w:t>l</w:t>
      </w:r>
      <w:r w:rsidR="002A7FFA" w:rsidRPr="00BA517B">
        <w:rPr>
          <w:rFonts w:ascii="Times New Roman" w:eastAsia="Times New Roman" w:hAnsi="Times New Roman" w:cs="Times New Roman"/>
          <w:color w:val="000000"/>
        </w:rPr>
        <w:t xml:space="preserve"> contenuto assoluto</w:t>
      </w:r>
      <w:r w:rsidR="00A772F2" w:rsidRPr="00BA517B">
        <w:rPr>
          <w:rFonts w:ascii="Times New Roman" w:eastAsia="Times New Roman" w:hAnsi="Times New Roman" w:cs="Times New Roman"/>
          <w:color w:val="000000"/>
        </w:rPr>
        <w:t>.</w:t>
      </w:r>
      <w:r w:rsidR="00A772F2">
        <w:rPr>
          <w:rFonts w:ascii="Times New Roman" w:eastAsia="Times New Roman" w:hAnsi="Times New Roman" w:cs="Times New Roman"/>
          <w:color w:val="000000"/>
        </w:rPr>
        <w:t xml:space="preserve"> </w:t>
      </w:r>
    </w:p>
    <w:p w14:paraId="6C4550AA" w14:textId="3A3467CB" w:rsidR="000D020D" w:rsidRDefault="006E3AEA" w:rsidP="000D020D">
      <w:pPr>
        <w:spacing w:line="360" w:lineRule="auto"/>
        <w:ind w:firstLine="567"/>
        <w:jc w:val="both"/>
        <w:rPr>
          <w:rFonts w:ascii="Times New Roman" w:eastAsia="Times New Roman" w:hAnsi="Times New Roman" w:cs="Times New Roman"/>
          <w:color w:val="000000"/>
        </w:rPr>
      </w:pPr>
      <w:r w:rsidRPr="00933FAC">
        <w:rPr>
          <w:rFonts w:ascii="Times New Roman" w:eastAsia="Times New Roman" w:hAnsi="Times New Roman" w:cs="Times New Roman"/>
          <w:color w:val="000000"/>
        </w:rPr>
        <w:t>Tutte</w:t>
      </w:r>
      <w:r w:rsidR="00A772F2" w:rsidRPr="00933FAC">
        <w:rPr>
          <w:rFonts w:ascii="Times New Roman" w:eastAsia="Times New Roman" w:hAnsi="Times New Roman" w:cs="Times New Roman"/>
          <w:color w:val="000000"/>
        </w:rPr>
        <w:t xml:space="preserve"> queste osservazioni sono volte a giustificare il carattere sperimentale dei </w:t>
      </w:r>
      <w:r w:rsidR="00A772F2" w:rsidRPr="00F06973">
        <w:rPr>
          <w:rFonts w:ascii="Times New Roman" w:eastAsia="Times New Roman" w:hAnsi="Times New Roman" w:cs="Times New Roman"/>
          <w:color w:val="000000"/>
        </w:rPr>
        <w:t xml:space="preserve">frammenti hegeliani </w:t>
      </w:r>
      <w:r w:rsidR="000C55AD">
        <w:rPr>
          <w:rFonts w:ascii="Times New Roman" w:eastAsia="Times New Roman" w:hAnsi="Times New Roman" w:cs="Times New Roman"/>
          <w:color w:val="000000"/>
        </w:rPr>
        <w:t>dedicati alla filosofia</w:t>
      </w:r>
      <w:r w:rsidR="00BA4C9C" w:rsidRPr="00F06973">
        <w:rPr>
          <w:rFonts w:ascii="Times New Roman" w:eastAsia="Times New Roman" w:hAnsi="Times New Roman" w:cs="Times New Roman"/>
          <w:color w:val="000000"/>
        </w:rPr>
        <w:t xml:space="preserve"> di Böhme. N</w:t>
      </w:r>
      <w:r w:rsidR="00A772F2" w:rsidRPr="00F06973">
        <w:rPr>
          <w:rFonts w:ascii="Times New Roman" w:eastAsia="Times New Roman" w:hAnsi="Times New Roman" w:cs="Times New Roman"/>
          <w:color w:val="000000"/>
        </w:rPr>
        <w:t xml:space="preserve">on avendo delineato </w:t>
      </w:r>
      <w:r w:rsidR="00342174" w:rsidRPr="00F06973">
        <w:rPr>
          <w:rFonts w:ascii="Times New Roman" w:eastAsia="Times New Roman" w:hAnsi="Times New Roman" w:cs="Times New Roman"/>
          <w:color w:val="000000"/>
        </w:rPr>
        <w:t xml:space="preserve">ancora </w:t>
      </w:r>
      <w:r w:rsidR="00052874" w:rsidRPr="00F06973">
        <w:rPr>
          <w:rFonts w:ascii="Times New Roman" w:eastAsia="Times New Roman" w:hAnsi="Times New Roman" w:cs="Times New Roman"/>
          <w:color w:val="000000"/>
        </w:rPr>
        <w:t xml:space="preserve">un modello d’Assoluto </w:t>
      </w:r>
      <w:r w:rsidR="00342174" w:rsidRPr="00F06973">
        <w:rPr>
          <w:rFonts w:ascii="Times New Roman" w:eastAsia="Times New Roman" w:hAnsi="Times New Roman" w:cs="Times New Roman"/>
          <w:color w:val="000000"/>
        </w:rPr>
        <w:t xml:space="preserve">in grado </w:t>
      </w:r>
      <w:r w:rsidR="00DB60CD" w:rsidRPr="00F06973">
        <w:rPr>
          <w:rFonts w:ascii="Times New Roman" w:eastAsia="Times New Roman" w:hAnsi="Times New Roman" w:cs="Times New Roman"/>
          <w:color w:val="000000"/>
        </w:rPr>
        <w:t xml:space="preserve">di superare </w:t>
      </w:r>
      <w:r w:rsidR="00BA4C9C" w:rsidRPr="00F06973">
        <w:rPr>
          <w:rFonts w:ascii="Times New Roman" w:eastAsia="Times New Roman" w:hAnsi="Times New Roman" w:cs="Times New Roman"/>
          <w:color w:val="000000"/>
        </w:rPr>
        <w:t xml:space="preserve">l’intellettualismo dell’Io kantiano-fichtiano e </w:t>
      </w:r>
      <w:r w:rsidR="00DB60CD" w:rsidRPr="00F06973">
        <w:rPr>
          <w:rFonts w:ascii="Times New Roman" w:eastAsia="Times New Roman" w:hAnsi="Times New Roman" w:cs="Times New Roman"/>
          <w:color w:val="000000"/>
        </w:rPr>
        <w:t>l’astrattismo dell’</w:t>
      </w:r>
      <w:r w:rsidR="00385A57" w:rsidRPr="00F06973">
        <w:rPr>
          <w:rFonts w:ascii="Times New Roman" w:eastAsia="Times New Roman" w:hAnsi="Times New Roman" w:cs="Times New Roman"/>
          <w:color w:val="000000"/>
        </w:rPr>
        <w:t>i</w:t>
      </w:r>
      <w:r w:rsidR="00DB60CD" w:rsidRPr="00F06973">
        <w:rPr>
          <w:rFonts w:ascii="Times New Roman" w:eastAsia="Times New Roman" w:hAnsi="Times New Roman" w:cs="Times New Roman"/>
          <w:color w:val="000000"/>
        </w:rPr>
        <w:t>dentità</w:t>
      </w:r>
      <w:r w:rsidR="00BA4C9C" w:rsidRPr="00F06973">
        <w:rPr>
          <w:rFonts w:ascii="Times New Roman" w:eastAsia="Times New Roman" w:hAnsi="Times New Roman" w:cs="Times New Roman"/>
          <w:color w:val="000000"/>
        </w:rPr>
        <w:t xml:space="preserve"> s</w:t>
      </w:r>
      <w:r w:rsidR="00A772F2" w:rsidRPr="00F06973">
        <w:rPr>
          <w:rFonts w:ascii="Times New Roman" w:eastAsia="Times New Roman" w:hAnsi="Times New Roman" w:cs="Times New Roman"/>
          <w:color w:val="000000"/>
        </w:rPr>
        <w:t>pin</w:t>
      </w:r>
      <w:r w:rsidR="00AB6DBB" w:rsidRPr="00F06973">
        <w:rPr>
          <w:rFonts w:ascii="Times New Roman" w:eastAsia="Times New Roman" w:hAnsi="Times New Roman" w:cs="Times New Roman"/>
          <w:color w:val="000000"/>
        </w:rPr>
        <w:t>oziano-schellinghiana, Hegel, da</w:t>
      </w:r>
      <w:r w:rsidR="00A772F2" w:rsidRPr="00F06973">
        <w:rPr>
          <w:rFonts w:ascii="Times New Roman" w:eastAsia="Times New Roman" w:hAnsi="Times New Roman" w:cs="Times New Roman"/>
          <w:color w:val="000000"/>
        </w:rPr>
        <w:t xml:space="preserve">l suo </w:t>
      </w:r>
      <w:r w:rsidR="00EB686E" w:rsidRPr="00F06973">
        <w:rPr>
          <w:rFonts w:ascii="Times New Roman" w:eastAsia="Times New Roman" w:hAnsi="Times New Roman" w:cs="Times New Roman"/>
          <w:color w:val="000000"/>
        </w:rPr>
        <w:t>confronto</w:t>
      </w:r>
      <w:r w:rsidR="00B21207" w:rsidRPr="00F06973">
        <w:rPr>
          <w:rFonts w:ascii="Times New Roman" w:eastAsia="Times New Roman" w:hAnsi="Times New Roman" w:cs="Times New Roman"/>
          <w:color w:val="000000"/>
        </w:rPr>
        <w:t xml:space="preserve"> </w:t>
      </w:r>
      <w:r w:rsidR="00EB686E" w:rsidRPr="00F06973">
        <w:rPr>
          <w:rFonts w:ascii="Times New Roman" w:eastAsia="Times New Roman" w:hAnsi="Times New Roman" w:cs="Times New Roman"/>
          <w:color w:val="000000"/>
        </w:rPr>
        <w:t xml:space="preserve">con </w:t>
      </w:r>
      <w:r w:rsidR="00A772F2" w:rsidRPr="00F06973">
        <w:rPr>
          <w:rFonts w:ascii="Times New Roman" w:eastAsia="Times New Roman" w:hAnsi="Times New Roman" w:cs="Times New Roman"/>
          <w:color w:val="000000"/>
        </w:rPr>
        <w:t xml:space="preserve">il pensiero böhmiano, </w:t>
      </w:r>
      <w:r w:rsidR="00713D15" w:rsidRPr="00F06973">
        <w:rPr>
          <w:rFonts w:ascii="Times New Roman" w:eastAsia="Times New Roman" w:hAnsi="Times New Roman" w:cs="Times New Roman"/>
          <w:color w:val="000000"/>
        </w:rPr>
        <w:t xml:space="preserve">recupera e </w:t>
      </w:r>
      <w:r w:rsidR="00BA4C9C" w:rsidRPr="00F06973">
        <w:rPr>
          <w:rFonts w:ascii="Times New Roman" w:eastAsia="Times New Roman" w:hAnsi="Times New Roman" w:cs="Times New Roman"/>
          <w:color w:val="000000"/>
        </w:rPr>
        <w:t xml:space="preserve">sviluppa </w:t>
      </w:r>
      <w:r w:rsidR="00A772F2" w:rsidRPr="00F06973">
        <w:rPr>
          <w:rFonts w:ascii="Times New Roman" w:eastAsia="Times New Roman" w:hAnsi="Times New Roman" w:cs="Times New Roman"/>
          <w:color w:val="000000"/>
        </w:rPr>
        <w:t xml:space="preserve">quegli strumenti concettuali che, dalla </w:t>
      </w:r>
      <w:r w:rsidR="002A7FFA">
        <w:rPr>
          <w:rFonts w:ascii="Times New Roman" w:eastAsia="Times New Roman" w:hAnsi="Times New Roman" w:cs="Times New Roman"/>
          <w:color w:val="000000"/>
        </w:rPr>
        <w:t xml:space="preserve">logica e metafisica di Jena </w:t>
      </w:r>
      <w:r w:rsidR="00A772F2" w:rsidRPr="00F06973">
        <w:rPr>
          <w:rFonts w:ascii="Times New Roman" w:eastAsia="Times New Roman" w:hAnsi="Times New Roman" w:cs="Times New Roman"/>
          <w:color w:val="000000"/>
        </w:rPr>
        <w:t>in poi</w:t>
      </w:r>
      <w:r w:rsidR="00CC1229" w:rsidRPr="00F06973">
        <w:rPr>
          <w:rFonts w:ascii="Times New Roman" w:eastAsia="Times New Roman" w:hAnsi="Times New Roman" w:cs="Times New Roman"/>
          <w:color w:val="000000"/>
        </w:rPr>
        <w:t xml:space="preserve">, gli consentiranno di </w:t>
      </w:r>
      <w:r w:rsidR="004B47C6" w:rsidRPr="00F06973">
        <w:rPr>
          <w:rFonts w:ascii="Times New Roman" w:eastAsia="Times New Roman" w:hAnsi="Times New Roman" w:cs="Times New Roman"/>
          <w:color w:val="000000"/>
        </w:rPr>
        <w:t xml:space="preserve">delineare </w:t>
      </w:r>
      <w:r w:rsidR="00CC1229" w:rsidRPr="00F06973">
        <w:rPr>
          <w:rFonts w:ascii="Times New Roman" w:eastAsia="Times New Roman" w:hAnsi="Times New Roman" w:cs="Times New Roman"/>
          <w:color w:val="000000"/>
        </w:rPr>
        <w:t>l’auto</w:t>
      </w:r>
      <w:r w:rsidR="00DE36C5" w:rsidRPr="00F06973">
        <w:rPr>
          <w:rFonts w:ascii="Times New Roman" w:eastAsia="Times New Roman" w:hAnsi="Times New Roman" w:cs="Times New Roman"/>
          <w:color w:val="000000"/>
        </w:rPr>
        <w:t>movimento</w:t>
      </w:r>
      <w:r w:rsidR="00CC1229" w:rsidRPr="00F06973">
        <w:rPr>
          <w:rFonts w:ascii="Times New Roman" w:eastAsia="Times New Roman" w:hAnsi="Times New Roman" w:cs="Times New Roman"/>
          <w:color w:val="000000"/>
        </w:rPr>
        <w:t xml:space="preserve"> della cosa stessa (</w:t>
      </w:r>
      <w:r w:rsidR="00CC1229" w:rsidRPr="00F06973">
        <w:rPr>
          <w:rFonts w:ascii="Times New Roman" w:eastAsia="Times New Roman" w:hAnsi="Times New Roman" w:cs="Times New Roman"/>
          <w:i/>
          <w:color w:val="000000"/>
        </w:rPr>
        <w:t>die Sache selbst</w:t>
      </w:r>
      <w:r w:rsidR="00CC1229" w:rsidRPr="00F06973">
        <w:rPr>
          <w:rFonts w:ascii="Times New Roman" w:eastAsia="Times New Roman" w:hAnsi="Times New Roman" w:cs="Times New Roman"/>
          <w:color w:val="000000"/>
        </w:rPr>
        <w:t>).</w:t>
      </w:r>
      <w:r w:rsidR="00B50425">
        <w:rPr>
          <w:rFonts w:ascii="Times New Roman" w:eastAsia="Times New Roman" w:hAnsi="Times New Roman" w:cs="Times New Roman"/>
          <w:color w:val="000000"/>
        </w:rPr>
        <w:t xml:space="preserve"> </w:t>
      </w:r>
      <w:r w:rsidR="00DE36C5" w:rsidRPr="00933FAC">
        <w:rPr>
          <w:rFonts w:ascii="Times New Roman" w:eastAsia="Times New Roman" w:hAnsi="Times New Roman" w:cs="Times New Roman"/>
          <w:color w:val="000000"/>
        </w:rPr>
        <w:t>Per Hegel</w:t>
      </w:r>
      <w:r w:rsidR="00342174">
        <w:rPr>
          <w:rFonts w:ascii="Times New Roman" w:eastAsia="Times New Roman" w:hAnsi="Times New Roman" w:cs="Times New Roman"/>
          <w:color w:val="000000"/>
        </w:rPr>
        <w:t xml:space="preserve"> </w:t>
      </w:r>
      <w:r w:rsidR="004B47C6">
        <w:rPr>
          <w:rFonts w:ascii="Times New Roman" w:eastAsia="Times New Roman" w:hAnsi="Times New Roman" w:cs="Times New Roman"/>
          <w:color w:val="000000"/>
        </w:rPr>
        <w:t xml:space="preserve">interpretare </w:t>
      </w:r>
      <w:r w:rsidR="00B417B2">
        <w:rPr>
          <w:rFonts w:ascii="Times New Roman" w:eastAsia="Times New Roman" w:hAnsi="Times New Roman" w:cs="Times New Roman"/>
          <w:color w:val="000000"/>
        </w:rPr>
        <w:t xml:space="preserve">un </w:t>
      </w:r>
      <w:r w:rsidR="00021560">
        <w:rPr>
          <w:rFonts w:ascii="Times New Roman" w:eastAsia="Times New Roman" w:hAnsi="Times New Roman" w:cs="Times New Roman"/>
          <w:color w:val="000000"/>
        </w:rPr>
        <w:t>autore</w:t>
      </w:r>
      <w:r w:rsidR="00B417B2">
        <w:rPr>
          <w:rFonts w:ascii="Times New Roman" w:eastAsia="Times New Roman" w:hAnsi="Times New Roman" w:cs="Times New Roman"/>
          <w:color w:val="000000"/>
        </w:rPr>
        <w:t xml:space="preserve"> </w:t>
      </w:r>
      <w:r w:rsidR="004B47C6">
        <w:rPr>
          <w:rFonts w:ascii="Times New Roman" w:eastAsia="Times New Roman" w:hAnsi="Times New Roman" w:cs="Times New Roman"/>
          <w:color w:val="000000"/>
        </w:rPr>
        <w:t xml:space="preserve">ed elaborare </w:t>
      </w:r>
      <w:r w:rsidR="00CC1229" w:rsidRPr="00933FAC">
        <w:rPr>
          <w:rFonts w:ascii="Times New Roman" w:eastAsia="Times New Roman" w:hAnsi="Times New Roman" w:cs="Times New Roman"/>
          <w:color w:val="000000"/>
        </w:rPr>
        <w:t xml:space="preserve">delle </w:t>
      </w:r>
      <w:r w:rsidR="00342174" w:rsidRPr="00933FAC">
        <w:rPr>
          <w:rFonts w:ascii="Times New Roman" w:eastAsia="Times New Roman" w:hAnsi="Times New Roman" w:cs="Times New Roman"/>
          <w:color w:val="000000"/>
        </w:rPr>
        <w:t xml:space="preserve">proprie </w:t>
      </w:r>
      <w:r w:rsidR="00CC1229" w:rsidRPr="00933FAC">
        <w:rPr>
          <w:rFonts w:ascii="Times New Roman" w:eastAsia="Times New Roman" w:hAnsi="Times New Roman" w:cs="Times New Roman"/>
          <w:color w:val="000000"/>
        </w:rPr>
        <w:t>posizioni speculative</w:t>
      </w:r>
      <w:r w:rsidR="0019495C" w:rsidRPr="00933FAC">
        <w:rPr>
          <w:rFonts w:ascii="Times New Roman" w:eastAsia="Times New Roman" w:hAnsi="Times New Roman" w:cs="Times New Roman"/>
          <w:color w:val="000000"/>
        </w:rPr>
        <w:t xml:space="preserve"> sono</w:t>
      </w:r>
      <w:r w:rsidR="00CC1229" w:rsidRPr="00933FAC">
        <w:rPr>
          <w:rFonts w:ascii="Times New Roman" w:eastAsia="Times New Roman" w:hAnsi="Times New Roman" w:cs="Times New Roman"/>
          <w:color w:val="000000"/>
        </w:rPr>
        <w:t xml:space="preserve"> </w:t>
      </w:r>
      <w:r w:rsidR="004B47C6">
        <w:rPr>
          <w:rFonts w:ascii="Times New Roman" w:eastAsia="Times New Roman" w:hAnsi="Times New Roman" w:cs="Times New Roman"/>
          <w:color w:val="000000"/>
        </w:rPr>
        <w:t>due attività congruenti</w:t>
      </w:r>
      <w:r w:rsidR="00CC1229" w:rsidRPr="00933FAC">
        <w:rPr>
          <w:rFonts w:ascii="Times New Roman" w:eastAsia="Times New Roman" w:hAnsi="Times New Roman" w:cs="Times New Roman"/>
          <w:color w:val="000000"/>
        </w:rPr>
        <w:t xml:space="preserve">. Colui che interpreta e ciò che è interpretato intrattengono un rapporto d’azione reciproca: </w:t>
      </w:r>
      <w:r w:rsidR="0079161C" w:rsidRPr="00933FAC">
        <w:rPr>
          <w:rFonts w:ascii="Times New Roman" w:eastAsia="Times New Roman" w:hAnsi="Times New Roman" w:cs="Times New Roman"/>
          <w:color w:val="000000"/>
        </w:rPr>
        <w:t xml:space="preserve">in una fase in cui il pensiero hegeliano </w:t>
      </w:r>
      <w:r w:rsidR="0085412D">
        <w:rPr>
          <w:rFonts w:ascii="Times New Roman" w:eastAsia="Times New Roman" w:hAnsi="Times New Roman" w:cs="Times New Roman"/>
          <w:color w:val="000000"/>
        </w:rPr>
        <w:t xml:space="preserve">è </w:t>
      </w:r>
      <w:r w:rsidR="0079161C" w:rsidRPr="00933FAC">
        <w:rPr>
          <w:rFonts w:ascii="Times New Roman" w:eastAsia="Times New Roman" w:hAnsi="Times New Roman" w:cs="Times New Roman"/>
          <w:color w:val="000000"/>
        </w:rPr>
        <w:t xml:space="preserve">ancora </w:t>
      </w:r>
      <w:r w:rsidR="0079161C" w:rsidRPr="00933FAC">
        <w:rPr>
          <w:rFonts w:ascii="Times New Roman" w:eastAsia="Times New Roman" w:hAnsi="Times New Roman" w:cs="Times New Roman"/>
          <w:i/>
          <w:color w:val="000000"/>
        </w:rPr>
        <w:t>in fieri</w:t>
      </w:r>
      <w:r w:rsidR="0079161C" w:rsidRPr="00933FAC">
        <w:rPr>
          <w:rFonts w:ascii="Times New Roman" w:eastAsia="Times New Roman" w:hAnsi="Times New Roman" w:cs="Times New Roman"/>
          <w:color w:val="000000"/>
        </w:rPr>
        <w:t xml:space="preserve">, il termine interpretato retroagisce sul soggetto che </w:t>
      </w:r>
      <w:r w:rsidR="0079161C" w:rsidRPr="00F06973">
        <w:rPr>
          <w:rFonts w:ascii="Times New Roman" w:eastAsia="Times New Roman" w:hAnsi="Times New Roman" w:cs="Times New Roman"/>
          <w:color w:val="000000"/>
        </w:rPr>
        <w:t xml:space="preserve">interpreta, </w:t>
      </w:r>
      <w:r w:rsidR="0098689B" w:rsidRPr="00F06973">
        <w:rPr>
          <w:rFonts w:ascii="Times New Roman" w:eastAsia="Times New Roman" w:hAnsi="Times New Roman" w:cs="Times New Roman"/>
          <w:color w:val="000000"/>
        </w:rPr>
        <w:t>dismettendo la sua passività e ponendo, a propria volta, un effetto su ciò c</w:t>
      </w:r>
      <w:r w:rsidR="0019495C" w:rsidRPr="00F06973">
        <w:rPr>
          <w:rFonts w:ascii="Times New Roman" w:eastAsia="Times New Roman" w:hAnsi="Times New Roman" w:cs="Times New Roman"/>
          <w:color w:val="000000"/>
        </w:rPr>
        <w:t xml:space="preserve">he </w:t>
      </w:r>
      <w:r w:rsidR="00634B4C" w:rsidRPr="00F06973">
        <w:rPr>
          <w:rFonts w:ascii="Times New Roman" w:eastAsia="Times New Roman" w:hAnsi="Times New Roman" w:cs="Times New Roman"/>
          <w:color w:val="000000"/>
        </w:rPr>
        <w:t xml:space="preserve">ha </w:t>
      </w:r>
      <w:r w:rsidR="0019495C" w:rsidRPr="00F06973">
        <w:rPr>
          <w:rFonts w:ascii="Times New Roman" w:eastAsia="Times New Roman" w:hAnsi="Times New Roman" w:cs="Times New Roman"/>
          <w:color w:val="000000"/>
        </w:rPr>
        <w:t>dato il via alla dinamica</w:t>
      </w:r>
      <w:r w:rsidR="009A3ACE" w:rsidRPr="00F06973">
        <w:rPr>
          <w:rFonts w:ascii="Times New Roman" w:eastAsia="Times New Roman" w:hAnsi="Times New Roman" w:cs="Times New Roman"/>
          <w:color w:val="000000"/>
        </w:rPr>
        <w:t xml:space="preserve"> relaziona</w:t>
      </w:r>
      <w:r w:rsidR="0098689B" w:rsidRPr="00F06973">
        <w:rPr>
          <w:rFonts w:ascii="Times New Roman" w:eastAsia="Times New Roman" w:hAnsi="Times New Roman" w:cs="Times New Roman"/>
          <w:color w:val="000000"/>
        </w:rPr>
        <w:t xml:space="preserve">le. </w:t>
      </w:r>
      <w:r w:rsidR="00933FAC" w:rsidRPr="00F06973">
        <w:rPr>
          <w:rFonts w:ascii="Times New Roman" w:eastAsia="Times New Roman" w:hAnsi="Times New Roman" w:cs="Times New Roman"/>
          <w:color w:val="000000"/>
        </w:rPr>
        <w:t>Attività e passività, causa ed effetto, interprete ed oggetto interpre</w:t>
      </w:r>
      <w:r w:rsidR="009A3ACE" w:rsidRPr="00F06973">
        <w:rPr>
          <w:rFonts w:ascii="Times New Roman" w:eastAsia="Times New Roman" w:hAnsi="Times New Roman" w:cs="Times New Roman"/>
          <w:color w:val="000000"/>
        </w:rPr>
        <w:t xml:space="preserve">tato, sono </w:t>
      </w:r>
      <w:r w:rsidR="00634B4C" w:rsidRPr="00F06973">
        <w:rPr>
          <w:rFonts w:ascii="Times New Roman" w:eastAsia="Times New Roman" w:hAnsi="Times New Roman" w:cs="Times New Roman"/>
          <w:color w:val="000000"/>
        </w:rPr>
        <w:t>determinazioni di</w:t>
      </w:r>
      <w:r w:rsidR="009A3ACE" w:rsidRPr="00F06973">
        <w:rPr>
          <w:rFonts w:ascii="Times New Roman" w:eastAsia="Times New Roman" w:hAnsi="Times New Roman" w:cs="Times New Roman"/>
          <w:color w:val="000000"/>
        </w:rPr>
        <w:t xml:space="preserve"> un medesimo rapporto</w:t>
      </w:r>
      <w:r w:rsidR="00933FAC" w:rsidRPr="00F06973">
        <w:rPr>
          <w:rFonts w:ascii="Times New Roman" w:eastAsia="Times New Roman" w:hAnsi="Times New Roman" w:cs="Times New Roman"/>
          <w:color w:val="000000"/>
        </w:rPr>
        <w:t>: nell’essere sé presso l’a</w:t>
      </w:r>
      <w:r w:rsidR="00B417B2">
        <w:rPr>
          <w:rFonts w:ascii="Times New Roman" w:eastAsia="Times New Roman" w:hAnsi="Times New Roman" w:cs="Times New Roman"/>
          <w:color w:val="000000"/>
        </w:rPr>
        <w:t>ltro da sé, il termine agente e</w:t>
      </w:r>
      <w:r w:rsidR="00933FAC" w:rsidRPr="00F06973">
        <w:rPr>
          <w:rFonts w:ascii="Times New Roman" w:eastAsia="Times New Roman" w:hAnsi="Times New Roman" w:cs="Times New Roman"/>
          <w:color w:val="000000"/>
        </w:rPr>
        <w:t xml:space="preserve"> il termine retroagente affermano</w:t>
      </w:r>
      <w:r w:rsidR="00342174" w:rsidRPr="00F06973">
        <w:rPr>
          <w:rFonts w:ascii="Times New Roman" w:eastAsia="Times New Roman" w:hAnsi="Times New Roman" w:cs="Times New Roman"/>
          <w:color w:val="000000"/>
        </w:rPr>
        <w:t xml:space="preserve"> la propria identità</w:t>
      </w:r>
      <w:r w:rsidR="00933FAC" w:rsidRPr="00F06973">
        <w:rPr>
          <w:rFonts w:ascii="Times New Roman" w:eastAsia="Times New Roman" w:hAnsi="Times New Roman" w:cs="Times New Roman"/>
          <w:color w:val="000000"/>
        </w:rPr>
        <w:t xml:space="preserve">. </w:t>
      </w:r>
      <w:r w:rsidR="00342174" w:rsidRPr="00F06973">
        <w:rPr>
          <w:rFonts w:ascii="Times New Roman" w:eastAsia="Times New Roman" w:hAnsi="Times New Roman" w:cs="Times New Roman"/>
          <w:color w:val="000000"/>
        </w:rPr>
        <w:t>F</w:t>
      </w:r>
      <w:r w:rsidR="00933FAC" w:rsidRPr="00F06973">
        <w:rPr>
          <w:rFonts w:ascii="Times New Roman" w:eastAsia="Times New Roman" w:hAnsi="Times New Roman" w:cs="Times New Roman"/>
          <w:color w:val="000000"/>
        </w:rPr>
        <w:t>ra il pensiero barbarico e la speculazione filosofica s’instaura una relazione biunivoca: l’elemento speculativo getta la sua</w:t>
      </w:r>
      <w:r w:rsidR="00933FAC" w:rsidRPr="00933FAC">
        <w:rPr>
          <w:rFonts w:ascii="Times New Roman" w:eastAsia="Times New Roman" w:hAnsi="Times New Roman" w:cs="Times New Roman"/>
          <w:color w:val="000000"/>
        </w:rPr>
        <w:t xml:space="preserve"> luce nell’oscurità dell’elemento barbarico, così come quest’ultimo, nel suo offrirsi alla pura ragione, le restituisce quei materiali di cui essa ha bisogno per ergersi vittoriosa sull’abisso del pensiero.</w:t>
      </w:r>
    </w:p>
    <w:p w14:paraId="077EAF17" w14:textId="77777777" w:rsidR="000D020D" w:rsidRDefault="000D020D" w:rsidP="000D020D">
      <w:pPr>
        <w:spacing w:line="360" w:lineRule="auto"/>
        <w:jc w:val="both"/>
        <w:rPr>
          <w:rFonts w:ascii="Times New Roman" w:eastAsia="Times New Roman" w:hAnsi="Times New Roman" w:cs="Times New Roman"/>
          <w:color w:val="000000"/>
        </w:rPr>
        <w:sectPr w:rsidR="000D020D" w:rsidSect="00226D7D">
          <w:footnotePr>
            <w:numRestart w:val="eachSect"/>
          </w:footnotePr>
          <w:pgSz w:w="11900" w:h="16840"/>
          <w:pgMar w:top="1418" w:right="1418" w:bottom="1418" w:left="1985" w:header="708" w:footer="708" w:gutter="0"/>
          <w:cols w:space="708"/>
          <w:docGrid w:linePitch="360"/>
        </w:sectPr>
      </w:pPr>
    </w:p>
    <w:p w14:paraId="5F3E6112" w14:textId="77777777" w:rsidR="00B63797" w:rsidRDefault="00B63797" w:rsidP="00CD0B8C">
      <w:pPr>
        <w:spacing w:line="360" w:lineRule="auto"/>
        <w:jc w:val="both"/>
        <w:rPr>
          <w:rFonts w:ascii="Times New Roman" w:eastAsia="Times New Roman" w:hAnsi="Times New Roman" w:cs="Times New Roman"/>
          <w:color w:val="000000"/>
        </w:rPr>
      </w:pPr>
    </w:p>
    <w:p w14:paraId="7F5570C0" w14:textId="0BD37A9A" w:rsidR="00CD0B8C" w:rsidRPr="00E41A9B" w:rsidRDefault="00CD0B8C" w:rsidP="00CD0B8C">
      <w:pPr>
        <w:spacing w:line="360" w:lineRule="auto"/>
        <w:jc w:val="both"/>
        <w:rPr>
          <w:rFonts w:ascii="Times New Roman" w:eastAsia="Times New Roman" w:hAnsi="Times New Roman" w:cs="Times New Roman"/>
          <w:b/>
          <w:color w:val="000000"/>
          <w:sz w:val="28"/>
          <w:szCs w:val="28"/>
        </w:rPr>
      </w:pPr>
      <w:r w:rsidRPr="00E41A9B">
        <w:rPr>
          <w:rFonts w:ascii="Times New Roman" w:eastAsia="Times New Roman" w:hAnsi="Times New Roman" w:cs="Times New Roman"/>
          <w:b/>
          <w:color w:val="000000"/>
          <w:sz w:val="28"/>
          <w:szCs w:val="28"/>
        </w:rPr>
        <w:t>Capitolo secondo</w:t>
      </w:r>
    </w:p>
    <w:p w14:paraId="6F2A1F2D" w14:textId="77777777" w:rsidR="001B7751" w:rsidRDefault="001B7751" w:rsidP="009B740D">
      <w:pPr>
        <w:spacing w:line="360" w:lineRule="auto"/>
        <w:jc w:val="both"/>
        <w:rPr>
          <w:rFonts w:ascii="Times New Roman" w:eastAsia="Times New Roman" w:hAnsi="Times New Roman" w:cs="Times New Roman"/>
          <w:color w:val="000000"/>
        </w:rPr>
      </w:pPr>
    </w:p>
    <w:p w14:paraId="19BBFCC9" w14:textId="77777777" w:rsidR="001B7751" w:rsidRPr="00CD0B8C" w:rsidRDefault="001B7751" w:rsidP="001B7751">
      <w:pPr>
        <w:pStyle w:val="Paragrafoelenco"/>
        <w:spacing w:line="360" w:lineRule="auto"/>
        <w:ind w:left="0"/>
        <w:jc w:val="both"/>
        <w:rPr>
          <w:rFonts w:ascii="Times New Roman" w:hAnsi="Times New Roman" w:cs="Times New Roman"/>
        </w:rPr>
        <w:sectPr w:rsidR="001B7751" w:rsidRPr="00CD0B8C" w:rsidSect="009B740D">
          <w:type w:val="continuous"/>
          <w:pgSz w:w="11900" w:h="16840"/>
          <w:pgMar w:top="1418" w:right="1418" w:bottom="1418" w:left="1985" w:header="708" w:footer="708" w:gutter="0"/>
          <w:cols w:space="708"/>
          <w:docGrid w:linePitch="360"/>
        </w:sectPr>
      </w:pPr>
    </w:p>
    <w:p w14:paraId="778576C1" w14:textId="7828E3C2" w:rsidR="001B7751" w:rsidRPr="00276556" w:rsidRDefault="001B7751" w:rsidP="001B7751">
      <w:pPr>
        <w:pStyle w:val="Paragrafoelenco"/>
        <w:spacing w:line="360" w:lineRule="auto"/>
        <w:ind w:left="0"/>
        <w:jc w:val="both"/>
        <w:rPr>
          <w:rFonts w:ascii="Times New Roman" w:hAnsi="Times New Roman" w:cs="Times New Roman"/>
          <w:b/>
        </w:rPr>
      </w:pPr>
      <w:r w:rsidRPr="00D279FF">
        <w:rPr>
          <w:rFonts w:ascii="Times New Roman" w:hAnsi="Times New Roman" w:cs="Times New Roman"/>
          <w:b/>
        </w:rPr>
        <w:t>Negativität e Wissenschaft der Logik.</w:t>
      </w:r>
      <w:r w:rsidRPr="00276556">
        <w:rPr>
          <w:rFonts w:ascii="Times New Roman" w:hAnsi="Times New Roman" w:cs="Times New Roman"/>
          <w:b/>
        </w:rPr>
        <w:t xml:space="preserve"> La sistematizzazione hegeliana delle acquisizioni teoriche del periodo jenese</w:t>
      </w:r>
    </w:p>
    <w:p w14:paraId="5629B110" w14:textId="77777777" w:rsidR="001B7751" w:rsidRPr="008845DA" w:rsidRDefault="001B7751" w:rsidP="001B7751">
      <w:pPr>
        <w:pStyle w:val="Paragrafoelenco"/>
        <w:spacing w:line="360" w:lineRule="auto"/>
        <w:jc w:val="both"/>
        <w:rPr>
          <w:rFonts w:ascii="Times New Roman" w:hAnsi="Times New Roman" w:cs="Times New Roman"/>
        </w:rPr>
      </w:pPr>
    </w:p>
    <w:p w14:paraId="187AA2D5" w14:textId="4DDCA840" w:rsidR="001B7751" w:rsidRDefault="001B7751" w:rsidP="001B7751">
      <w:pPr>
        <w:pStyle w:val="Paragrafoelenco"/>
        <w:spacing w:line="360" w:lineRule="auto"/>
        <w:ind w:left="0"/>
        <w:jc w:val="both"/>
        <w:rPr>
          <w:rFonts w:ascii="Times New Roman" w:hAnsi="Times New Roman" w:cs="Times New Roman"/>
        </w:rPr>
      </w:pPr>
      <w:r>
        <w:rPr>
          <w:rFonts w:ascii="Times New Roman" w:hAnsi="Times New Roman" w:cs="Times New Roman"/>
        </w:rPr>
        <w:t xml:space="preserve">Gli anni di Jena sono giunti ormai al termine. La pubblicazione della </w:t>
      </w:r>
      <w:r w:rsidRPr="00A17D5F">
        <w:rPr>
          <w:rFonts w:ascii="Times New Roman" w:hAnsi="Times New Roman" w:cs="Times New Roman"/>
          <w:i/>
          <w:lang w:val="de-DE"/>
        </w:rPr>
        <w:t>Phänomenologie des Geistes</w:t>
      </w:r>
      <w:r w:rsidRPr="002A0694">
        <w:rPr>
          <w:rFonts w:ascii="Times New Roman" w:hAnsi="Times New Roman" w:cs="Times New Roman"/>
          <w:i/>
        </w:rPr>
        <w:t xml:space="preserve"> </w:t>
      </w:r>
      <w:r>
        <w:rPr>
          <w:rFonts w:ascii="Times New Roman" w:hAnsi="Times New Roman" w:cs="Times New Roman"/>
        </w:rPr>
        <w:t>consacra definitivamente Hegel nel panorama filosofico tedesco ed europeo d’inizio ‘800. Una consacrazione, è bene ricordarlo, che comporta la rottura del rapporto d’amicizia con Schelling. Com’è noto, le critiche rivolte alla filosofia dell’identità, che investono tanto la forma, quanto il contenuto del cosiddetto idealismo oggettivo, determinano la fine di un sodalizio intellettuale più che ventennale. Probabilmente spinto</w:t>
      </w:r>
      <w:r w:rsidRPr="00431A24">
        <w:rPr>
          <w:rFonts w:ascii="Times New Roman" w:hAnsi="Times New Roman" w:cs="Times New Roman"/>
        </w:rPr>
        <w:t xml:space="preserve"> dal bisogno di dare una legittimità pubblica alla propria proposta filosofica, Hegel muove tutta una seria di critiche alla filosofia schellinghiana che, </w:t>
      </w:r>
      <w:r w:rsidRPr="00431A24">
        <w:rPr>
          <w:rFonts w:ascii="Times New Roman" w:hAnsi="Times New Roman" w:cs="Times New Roman"/>
          <w:i/>
        </w:rPr>
        <w:t>prima facie</w:t>
      </w:r>
      <w:r w:rsidRPr="00431A24">
        <w:rPr>
          <w:rFonts w:ascii="Times New Roman" w:hAnsi="Times New Roman" w:cs="Times New Roman"/>
        </w:rPr>
        <w:t xml:space="preserve">, sono cronologicamente fissate agli scritti antecedenti a </w:t>
      </w:r>
      <w:r w:rsidRPr="00431A24">
        <w:rPr>
          <w:rFonts w:ascii="Times New Roman" w:hAnsi="Times New Roman" w:cs="Times New Roman"/>
          <w:i/>
        </w:rPr>
        <w:t>Philosophie und Religion</w:t>
      </w:r>
      <w:r>
        <w:rPr>
          <w:rStyle w:val="Rimandonotaapidipagina"/>
          <w:rFonts w:ascii="Times New Roman" w:hAnsi="Times New Roman" w:cs="Times New Roman"/>
          <w:i/>
        </w:rPr>
        <w:footnoteReference w:id="313"/>
      </w:r>
      <w:r w:rsidRPr="00431A24">
        <w:rPr>
          <w:rFonts w:ascii="Times New Roman" w:hAnsi="Times New Roman" w:cs="Times New Roman"/>
        </w:rPr>
        <w:t xml:space="preserve">. </w:t>
      </w:r>
      <w:r w:rsidRPr="00026421">
        <w:rPr>
          <w:rFonts w:ascii="Times New Roman" w:hAnsi="Times New Roman" w:cs="Times New Roman"/>
        </w:rPr>
        <w:t>È sorprendente questo fatto e, forse ancor più singolare, è il voluto disconoscimento</w:t>
      </w:r>
      <w:r w:rsidRPr="00431A24">
        <w:rPr>
          <w:rFonts w:ascii="Times New Roman" w:hAnsi="Times New Roman" w:cs="Times New Roman"/>
        </w:rPr>
        <w:t xml:space="preserve"> </w:t>
      </w:r>
      <w:r>
        <w:rPr>
          <w:rFonts w:ascii="Times New Roman" w:hAnsi="Times New Roman" w:cs="Times New Roman"/>
        </w:rPr>
        <w:t xml:space="preserve">del valore speculativo </w:t>
      </w:r>
      <w:r w:rsidRPr="00431A24">
        <w:rPr>
          <w:rFonts w:ascii="Times New Roman" w:hAnsi="Times New Roman" w:cs="Times New Roman"/>
        </w:rPr>
        <w:t xml:space="preserve">di quegli elementi </w:t>
      </w:r>
      <w:r>
        <w:rPr>
          <w:rFonts w:ascii="Times New Roman" w:hAnsi="Times New Roman" w:cs="Times New Roman"/>
        </w:rPr>
        <w:t xml:space="preserve">schellinghiani incorporati </w:t>
      </w:r>
      <w:r w:rsidRPr="00431A24">
        <w:rPr>
          <w:rFonts w:ascii="Times New Roman" w:hAnsi="Times New Roman" w:cs="Times New Roman"/>
        </w:rPr>
        <w:t xml:space="preserve">nel </w:t>
      </w:r>
      <w:r w:rsidRPr="00431A24">
        <w:rPr>
          <w:rFonts w:ascii="Times New Roman" w:hAnsi="Times New Roman" w:cs="Times New Roman"/>
          <w:i/>
        </w:rPr>
        <w:t>Fragment 49</w:t>
      </w:r>
      <w:r w:rsidRPr="00431A24">
        <w:rPr>
          <w:rFonts w:ascii="Times New Roman" w:hAnsi="Times New Roman" w:cs="Times New Roman"/>
        </w:rPr>
        <w:t xml:space="preserve"> e</w:t>
      </w:r>
      <w:r>
        <w:rPr>
          <w:rFonts w:ascii="Times New Roman" w:hAnsi="Times New Roman" w:cs="Times New Roman"/>
        </w:rPr>
        <w:t xml:space="preserve"> </w:t>
      </w:r>
      <w:r w:rsidRPr="00431A24">
        <w:rPr>
          <w:rFonts w:ascii="Times New Roman" w:hAnsi="Times New Roman" w:cs="Times New Roman"/>
        </w:rPr>
        <w:t xml:space="preserve">nella </w:t>
      </w:r>
      <w:r w:rsidRPr="00431A24">
        <w:rPr>
          <w:rFonts w:ascii="Times New Roman" w:hAnsi="Times New Roman" w:cs="Times New Roman"/>
          <w:i/>
        </w:rPr>
        <w:t>Jenaer Logik und Metaphysik</w:t>
      </w:r>
      <w:r>
        <w:rPr>
          <w:rFonts w:ascii="Times New Roman" w:hAnsi="Times New Roman" w:cs="Times New Roman"/>
        </w:rPr>
        <w:t xml:space="preserve">. In effetti, pensare l’Assoluto come una soggettività assoluta, come un Dio vivente, che circolarmente è punto d’inizio e </w:t>
      </w:r>
      <w:r w:rsidRPr="00B63DD8">
        <w:rPr>
          <w:rFonts w:ascii="Times New Roman" w:hAnsi="Times New Roman" w:cs="Times New Roman"/>
        </w:rPr>
        <w:t xml:space="preserve">punto d’arrivo del proprio sviluppo, è un risultato teorico che non può fare a meno del confronto a distanza con l’opera di Schelling. E non solo, come sappiamo. Perché la ricezione di </w:t>
      </w:r>
      <w:r w:rsidRPr="00B63DD8">
        <w:rPr>
          <w:rFonts w:ascii="Times New Roman" w:hAnsi="Times New Roman" w:cs="Times New Roman"/>
          <w:i/>
        </w:rPr>
        <w:t>Philosophie und Religion</w:t>
      </w:r>
      <w:r w:rsidRPr="00B63DD8">
        <w:rPr>
          <w:rFonts w:ascii="Times New Roman" w:hAnsi="Times New Roman" w:cs="Times New Roman"/>
        </w:rPr>
        <w:t xml:space="preserve"> è condotta parallelamente ad un approfondimento del pensiero di Jakob Böhme. Un approfondimento dell’opera del ciabattino di Görlitz favorito dal proprio tempo storico, condiviso, in parte, con lo scritto schellinghiano del 1804 e frutto di una curiosità personale: i tre fattori non si escludono a vicenda, anzi costituiscono quell’orizzonte concettuale in cui Hegel recepisce il pensiero di Böhme durante il periodo jenese.</w:t>
      </w:r>
      <w:r>
        <w:rPr>
          <w:rFonts w:ascii="Times New Roman" w:hAnsi="Times New Roman" w:cs="Times New Roman"/>
        </w:rPr>
        <w:t xml:space="preserve"> L’assimilazione critica di certi </w:t>
      </w:r>
      <w:r w:rsidRPr="00C949CA">
        <w:rPr>
          <w:rFonts w:ascii="Times New Roman" w:hAnsi="Times New Roman" w:cs="Times New Roman"/>
        </w:rPr>
        <w:t>elementi böhmiani e lo</w:t>
      </w:r>
      <w:r>
        <w:rPr>
          <w:rFonts w:ascii="Times New Roman" w:hAnsi="Times New Roman" w:cs="Times New Roman"/>
        </w:rPr>
        <w:t xml:space="preserve"> sviluppo di una proposta filosofica autonoma costituiscono, in questo momento della riflessione hegeliana, un tutt’uno, che porta alla definizione di un rapporto fra soggetto interpretante e oggetto interpretato riconducibile alla categoria logica della </w:t>
      </w:r>
      <w:r w:rsidRPr="00916924">
        <w:rPr>
          <w:rFonts w:ascii="Times New Roman" w:hAnsi="Times New Roman" w:cs="Times New Roman"/>
          <w:i/>
        </w:rPr>
        <w:t>Wechselwirkung</w:t>
      </w:r>
      <w:r>
        <w:rPr>
          <w:rFonts w:ascii="Times New Roman" w:hAnsi="Times New Roman" w:cs="Times New Roman"/>
        </w:rPr>
        <w:t xml:space="preserve">. Nel </w:t>
      </w:r>
      <w:r w:rsidRPr="00B63DD8">
        <w:rPr>
          <w:rFonts w:ascii="Times New Roman" w:hAnsi="Times New Roman" w:cs="Times New Roman"/>
        </w:rPr>
        <w:t xml:space="preserve">loro differire e nel loro essere uno, i termini relazionali agiscono e retroagiscono all’interno di una stessa dinamica processuale: al rischiaramento del pensiero barbarico ad opera della ragione speculativa, segue un disvelamento dell’elemento razionale per opera della </w:t>
      </w:r>
      <w:r w:rsidRPr="00B63DD8">
        <w:rPr>
          <w:rFonts w:ascii="Times New Roman" w:hAnsi="Times New Roman" w:cs="Times New Roman"/>
          <w:i/>
          <w:lang w:val="de-DE"/>
        </w:rPr>
        <w:t>Barbarei</w:t>
      </w:r>
      <w:r w:rsidRPr="00B63DD8">
        <w:rPr>
          <w:rFonts w:ascii="Times New Roman" w:hAnsi="Times New Roman" w:cs="Times New Roman"/>
        </w:rPr>
        <w:t>.</w:t>
      </w:r>
      <w:r>
        <w:rPr>
          <w:rFonts w:ascii="Times New Roman" w:hAnsi="Times New Roman" w:cs="Times New Roman"/>
        </w:rPr>
        <w:t xml:space="preserve"> Se l’obiettivo perseguito negli </w:t>
      </w:r>
      <w:r w:rsidRPr="00F9051A">
        <w:rPr>
          <w:rFonts w:ascii="Times New Roman" w:hAnsi="Times New Roman" w:cs="Times New Roman"/>
          <w:i/>
        </w:rPr>
        <w:t>Jenaer Schriften</w:t>
      </w:r>
      <w:r>
        <w:rPr>
          <w:rFonts w:ascii="Times New Roman" w:hAnsi="Times New Roman" w:cs="Times New Roman"/>
        </w:rPr>
        <w:t xml:space="preserve"> è quello di formulare una forma del contenuto non differente </w:t>
      </w:r>
      <w:r w:rsidRPr="00026421">
        <w:rPr>
          <w:rFonts w:ascii="Times New Roman" w:hAnsi="Times New Roman" w:cs="Times New Roman"/>
        </w:rPr>
        <w:t>dal medesimo, ma anzi</w:t>
      </w:r>
      <w:r>
        <w:rPr>
          <w:rFonts w:ascii="Times New Roman" w:hAnsi="Times New Roman" w:cs="Times New Roman"/>
        </w:rPr>
        <w:t xml:space="preserve"> espressione del suo farsi incondizionato, allora il cercare hegeliano </w:t>
      </w:r>
      <w:r w:rsidRPr="001518A4">
        <w:rPr>
          <w:rFonts w:ascii="Times New Roman" w:hAnsi="Times New Roman" w:cs="Times New Roman"/>
        </w:rPr>
        <w:t>può essere visto come la messa a punto di quel metodo «daß sich mit dem Inhalt vereint sey</w:t>
      </w:r>
      <w:r w:rsidRPr="001518A4">
        <w:rPr>
          <w:rFonts w:ascii="Times New Roman" w:eastAsia="Times New Roman" w:hAnsi="Times New Roman" w:cs="Times New Roman"/>
          <w:color w:val="000000"/>
        </w:rPr>
        <w:t>»</w:t>
      </w:r>
      <w:r w:rsidRPr="001518A4">
        <w:rPr>
          <w:rStyle w:val="Rimandonotaapidipagina"/>
          <w:rFonts w:ascii="Times New Roman" w:eastAsia="Times New Roman" w:hAnsi="Times New Roman" w:cs="Times New Roman"/>
          <w:color w:val="000000"/>
        </w:rPr>
        <w:footnoteReference w:id="314"/>
      </w:r>
      <w:r w:rsidRPr="001518A4">
        <w:rPr>
          <w:rFonts w:ascii="Times New Roman" w:hAnsi="Times New Roman" w:cs="Times New Roman"/>
        </w:rPr>
        <w:t>.</w:t>
      </w:r>
      <w:r>
        <w:rPr>
          <w:rFonts w:ascii="Times New Roman" w:hAnsi="Times New Roman" w:cs="Times New Roman"/>
        </w:rPr>
        <w:t xml:space="preserve"> </w:t>
      </w:r>
      <w:r w:rsidRPr="00F877A5">
        <w:rPr>
          <w:rFonts w:ascii="Times New Roman" w:hAnsi="Times New Roman" w:cs="Times New Roman"/>
        </w:rPr>
        <w:t xml:space="preserve">Questo metodo, che Hegel riformula e ripensa a partire dal carattere riflessivo della negazione, è la dialettica. Pensare la negatività come </w:t>
      </w:r>
      <w:r w:rsidRPr="00F877A5">
        <w:rPr>
          <w:rFonts w:ascii="Times New Roman" w:hAnsi="Times New Roman" w:cs="Times New Roman"/>
          <w:i/>
        </w:rPr>
        <w:t>absolute Negativität</w:t>
      </w:r>
      <w:r w:rsidRPr="00F877A5">
        <w:rPr>
          <w:rFonts w:ascii="Times New Roman" w:hAnsi="Times New Roman" w:cs="Times New Roman"/>
        </w:rPr>
        <w:t>, ossia come esposizione della cosa stessa (</w:t>
      </w:r>
      <w:r w:rsidRPr="00F877A5">
        <w:rPr>
          <w:rFonts w:ascii="Times New Roman" w:hAnsi="Times New Roman" w:cs="Times New Roman"/>
          <w:i/>
        </w:rPr>
        <w:t>die Sache selbst</w:t>
      </w:r>
      <w:r w:rsidRPr="00F877A5">
        <w:rPr>
          <w:rFonts w:ascii="Times New Roman" w:hAnsi="Times New Roman" w:cs="Times New Roman"/>
        </w:rPr>
        <w:t xml:space="preserve">), non è soltanto il grande contributo fornito da Hegel al pensiero filosofico, </w:t>
      </w:r>
      <w:r w:rsidRPr="002802AE">
        <w:rPr>
          <w:rFonts w:ascii="Times New Roman" w:hAnsi="Times New Roman" w:cs="Times New Roman"/>
        </w:rPr>
        <w:t>ma anche il risultato precipuo</w:t>
      </w:r>
      <w:r>
        <w:rPr>
          <w:rFonts w:ascii="Times New Roman" w:hAnsi="Times New Roman" w:cs="Times New Roman"/>
        </w:rPr>
        <w:t xml:space="preserve"> </w:t>
      </w:r>
      <w:r w:rsidRPr="00F877A5">
        <w:rPr>
          <w:rFonts w:ascii="Times New Roman" w:hAnsi="Times New Roman" w:cs="Times New Roman"/>
        </w:rPr>
        <w:t>della produzione jenese.</w:t>
      </w:r>
      <w:r>
        <w:rPr>
          <w:rFonts w:ascii="Times New Roman" w:hAnsi="Times New Roman" w:cs="Times New Roman"/>
        </w:rPr>
        <w:t xml:space="preserve"> </w:t>
      </w:r>
      <w:r w:rsidRPr="00026421">
        <w:rPr>
          <w:rFonts w:ascii="Times New Roman" w:hAnsi="Times New Roman" w:cs="Times New Roman"/>
        </w:rPr>
        <w:t>Come abbiamo visto nel precedente capitolo, Hegel ha trovato in Böhme un interlocutore con cui ha intrattenuto una discussione proprio sulla forma espositiva del contenuto assoluto.</w:t>
      </w:r>
      <w:r>
        <w:rPr>
          <w:rFonts w:ascii="Times New Roman" w:hAnsi="Times New Roman" w:cs="Times New Roman"/>
        </w:rPr>
        <w:t xml:space="preserve"> L’idea della caduta di Lucifero e dell’ira di Dio restituiscono, anticipandola, quella medesima negatività dell’Assoluto che consente ad Hegel di pensare, dalla </w:t>
      </w:r>
      <w:r w:rsidRPr="00C85F3E">
        <w:rPr>
          <w:rFonts w:ascii="Times New Roman" w:hAnsi="Times New Roman" w:cs="Times New Roman"/>
          <w:i/>
        </w:rPr>
        <w:t>Jenaer Logik und Metaphysik</w:t>
      </w:r>
      <w:r>
        <w:rPr>
          <w:rFonts w:ascii="Times New Roman" w:hAnsi="Times New Roman" w:cs="Times New Roman"/>
          <w:i/>
        </w:rPr>
        <w:t xml:space="preserve"> </w:t>
      </w:r>
      <w:r>
        <w:rPr>
          <w:rFonts w:ascii="Times New Roman" w:hAnsi="Times New Roman" w:cs="Times New Roman"/>
        </w:rPr>
        <w:t xml:space="preserve">in poi, la sostanza </w:t>
      </w:r>
      <w:r w:rsidRPr="00EA7888">
        <w:rPr>
          <w:rFonts w:ascii="Times New Roman" w:hAnsi="Times New Roman" w:cs="Times New Roman"/>
          <w:i/>
        </w:rPr>
        <w:t>altrettanto decisamente come soggetto</w:t>
      </w:r>
      <w:r>
        <w:rPr>
          <w:rFonts w:ascii="Times New Roman" w:hAnsi="Times New Roman" w:cs="Times New Roman"/>
        </w:rPr>
        <w:t>. In effetti, questa coppia concettuale rispecchia quell’</w:t>
      </w:r>
      <w:r w:rsidRPr="0055112D">
        <w:rPr>
          <w:rFonts w:ascii="Times New Roman" w:hAnsi="Times New Roman" w:cs="Times New Roman"/>
          <w:i/>
        </w:rPr>
        <w:t>Unruhe</w:t>
      </w:r>
      <w:r>
        <w:rPr>
          <w:rFonts w:ascii="Times New Roman" w:hAnsi="Times New Roman" w:cs="Times New Roman"/>
        </w:rPr>
        <w:t>, in un primo momento latente nella divinità e poi messa in moto dalla</w:t>
      </w:r>
      <w:r>
        <w:rPr>
          <w:rFonts w:ascii="Times New Roman" w:hAnsi="Times New Roman" w:cs="Times New Roman"/>
          <w:i/>
        </w:rPr>
        <w:t xml:space="preserve"> </w:t>
      </w:r>
      <w:r>
        <w:rPr>
          <w:rFonts w:ascii="Times New Roman" w:hAnsi="Times New Roman" w:cs="Times New Roman"/>
        </w:rPr>
        <w:t>ribellione di Lucifero, che è radice di ogni vitalità ed è coessenziale tanto alla vita infinita quanto a</w:t>
      </w:r>
      <w:r w:rsidR="00916F16">
        <w:rPr>
          <w:rFonts w:ascii="Times New Roman" w:hAnsi="Times New Roman" w:cs="Times New Roman"/>
        </w:rPr>
        <w:t xml:space="preserve"> quella finita. </w:t>
      </w:r>
      <w:r>
        <w:rPr>
          <w:rFonts w:ascii="Times New Roman" w:hAnsi="Times New Roman" w:cs="Times New Roman"/>
        </w:rPr>
        <w:t xml:space="preserve">Progressivamente, ossia passando da un’assunzione immediata di certe espressioni böhmiane ad una loro traduzione in termini logico-concettuali, Hegel ha accolto quegli aspetti del pensiero böhmiano rispondenti all’esigenza teorica di concepire il </w:t>
      </w:r>
      <w:r w:rsidRPr="00287043">
        <w:rPr>
          <w:rFonts w:ascii="Times New Roman" w:hAnsi="Times New Roman" w:cs="Times New Roman"/>
          <w:i/>
        </w:rPr>
        <w:t>Lebenslauf</w:t>
      </w:r>
      <w:r>
        <w:rPr>
          <w:rFonts w:ascii="Times New Roman" w:hAnsi="Times New Roman" w:cs="Times New Roman"/>
          <w:i/>
        </w:rPr>
        <w:t xml:space="preserve"> Gottes</w:t>
      </w:r>
      <w:r>
        <w:rPr>
          <w:rFonts w:ascii="Times New Roman" w:hAnsi="Times New Roman" w:cs="Times New Roman"/>
        </w:rPr>
        <w:t xml:space="preserve"> come un movimento circolare di posizionamento di sé </w:t>
      </w:r>
      <w:r w:rsidRPr="00C949CA">
        <w:rPr>
          <w:rFonts w:ascii="Times New Roman" w:hAnsi="Times New Roman" w:cs="Times New Roman"/>
        </w:rPr>
        <w:t>come l’altro da sé e di ritorno a sé mediante il superamento del proprio essere altro. A mio modo di vedere, il pensiero di Böhme ha permesso ad Hegel di conferire un nuovo slancio al tema dell’</w:t>
      </w:r>
      <w:r w:rsidRPr="00C949CA">
        <w:rPr>
          <w:rFonts w:ascii="Times New Roman" w:hAnsi="Times New Roman" w:cs="Times New Roman"/>
          <w:i/>
        </w:rPr>
        <w:t xml:space="preserve">absolutes Nichts </w:t>
      </w:r>
      <w:r w:rsidRPr="00C949CA">
        <w:rPr>
          <w:rFonts w:ascii="Times New Roman" w:hAnsi="Times New Roman" w:cs="Times New Roman"/>
        </w:rPr>
        <w:t>e di superare, risolvendole in sé, le aporie latenti nell’</w:t>
      </w:r>
      <w:r w:rsidRPr="00C949CA">
        <w:rPr>
          <w:rFonts w:ascii="Times New Roman" w:hAnsi="Times New Roman" w:cs="Times New Roman"/>
          <w:i/>
          <w:lang w:val="de-DE"/>
        </w:rPr>
        <w:t>Identitätsphilosophie</w:t>
      </w:r>
      <w:r w:rsidRPr="00C949CA">
        <w:rPr>
          <w:rFonts w:ascii="Times New Roman" w:hAnsi="Times New Roman" w:cs="Times New Roman"/>
        </w:rPr>
        <w:t xml:space="preserve"> e nella </w:t>
      </w:r>
      <w:r w:rsidRPr="00C949CA">
        <w:rPr>
          <w:rFonts w:ascii="Times New Roman" w:hAnsi="Times New Roman" w:cs="Times New Roman"/>
          <w:i/>
          <w:lang w:val="de-DE"/>
        </w:rPr>
        <w:t>Reflexionsphilosophie</w:t>
      </w:r>
      <w:r w:rsidRPr="00C949CA">
        <w:rPr>
          <w:rFonts w:ascii="Times New Roman" w:hAnsi="Times New Roman" w:cs="Times New Roman"/>
        </w:rPr>
        <w:t>.</w:t>
      </w:r>
      <w:r>
        <w:rPr>
          <w:rFonts w:ascii="Times New Roman" w:hAnsi="Times New Roman" w:cs="Times New Roman"/>
        </w:rPr>
        <w:t xml:space="preserve"> Nella </w:t>
      </w:r>
      <w:r w:rsidRPr="004245E4">
        <w:rPr>
          <w:rFonts w:ascii="Times New Roman" w:hAnsi="Times New Roman" w:cs="Times New Roman"/>
          <w:i/>
        </w:rPr>
        <w:t>Jenaer Logik und Metaphysik</w:t>
      </w:r>
      <w:r>
        <w:rPr>
          <w:rFonts w:ascii="Times New Roman" w:hAnsi="Times New Roman" w:cs="Times New Roman"/>
        </w:rPr>
        <w:t xml:space="preserve">, ad esempio, l’infinitezza (il nulla), liberata dalle maglie dell’intuizione intellettuale, può </w:t>
      </w:r>
      <w:r w:rsidRPr="008D08A7">
        <w:rPr>
          <w:rFonts w:ascii="Times New Roman" w:hAnsi="Times New Roman" w:cs="Times New Roman"/>
          <w:i/>
        </w:rPr>
        <w:t>svilupparsi</w:t>
      </w:r>
      <w:r>
        <w:rPr>
          <w:rFonts w:ascii="Times New Roman" w:hAnsi="Times New Roman" w:cs="Times New Roman"/>
        </w:rPr>
        <w:t xml:space="preserve"> come identità e posizionamento dell’opposizione, essendo negativa nel rapporto semplice a sé, ossia </w:t>
      </w:r>
      <w:r w:rsidRPr="001955CB">
        <w:rPr>
          <w:rFonts w:ascii="Times New Roman" w:hAnsi="Times New Roman" w:cs="Times New Roman"/>
        </w:rPr>
        <w:t>«das Gegenteil seiner selbst, die absolute Unruhe</w:t>
      </w:r>
      <w:r w:rsidRPr="00DA23EE">
        <w:rPr>
          <w:rFonts w:ascii="Times New Roman" w:eastAsia="Times New Roman" w:hAnsi="Times New Roman" w:cs="Times New Roman"/>
          <w:i/>
          <w:color w:val="000000"/>
        </w:rPr>
        <w:t>»</w:t>
      </w:r>
      <w:r>
        <w:rPr>
          <w:rFonts w:ascii="Times New Roman" w:hAnsi="Times New Roman" w:cs="Times New Roman"/>
        </w:rPr>
        <w:t xml:space="preserve">. Stessa cosa può essere osservata per la riflessività dell’Io fichtiano: </w:t>
      </w:r>
      <w:r w:rsidRPr="00026421">
        <w:rPr>
          <w:rFonts w:ascii="Times New Roman" w:hAnsi="Times New Roman" w:cs="Times New Roman"/>
        </w:rPr>
        <w:t>liberato dall’insuperabilità della determinatezza esterna, l’Io può avverarsi come soggettività assoluta, ossia come attività riflessiva che pone (</w:t>
      </w:r>
      <w:r w:rsidRPr="00026421">
        <w:rPr>
          <w:rFonts w:ascii="Times New Roman" w:hAnsi="Times New Roman" w:cs="Times New Roman"/>
          <w:i/>
        </w:rPr>
        <w:t>setzt</w:t>
      </w:r>
      <w:r w:rsidRPr="00026421">
        <w:rPr>
          <w:rFonts w:ascii="Times New Roman" w:hAnsi="Times New Roman" w:cs="Times New Roman"/>
        </w:rPr>
        <w:t>), negandosi, e toglie (</w:t>
      </w:r>
      <w:r w:rsidRPr="00026421">
        <w:rPr>
          <w:rFonts w:ascii="Times New Roman" w:hAnsi="Times New Roman" w:cs="Times New Roman"/>
          <w:i/>
        </w:rPr>
        <w:t>aufhebt</w:t>
      </w:r>
      <w:r w:rsidRPr="00026421">
        <w:rPr>
          <w:rFonts w:ascii="Times New Roman" w:hAnsi="Times New Roman" w:cs="Times New Roman"/>
        </w:rPr>
        <w:t>), riaffermandosi, il proprio essere altro, dispiegando, in questo modo, la propria auto-eguaglianza assoluta.</w:t>
      </w:r>
      <w:r>
        <w:rPr>
          <w:rFonts w:ascii="Times New Roman" w:hAnsi="Times New Roman" w:cs="Times New Roman"/>
        </w:rPr>
        <w:t xml:space="preserve"> La negatività prima dell’Assoluto, che porta l’indeterminato a dismettere il suo </w:t>
      </w:r>
      <w:r w:rsidRPr="00F877A5">
        <w:rPr>
          <w:rFonts w:ascii="Times New Roman" w:hAnsi="Times New Roman" w:cs="Times New Roman"/>
        </w:rPr>
        <w:t xml:space="preserve">carattere astratto, è </w:t>
      </w:r>
      <w:r w:rsidRPr="00B63DD8">
        <w:rPr>
          <w:rFonts w:ascii="Times New Roman" w:hAnsi="Times New Roman" w:cs="Times New Roman"/>
        </w:rPr>
        <w:t>quella determinazione della dialettica hegeliana riconducibile anche all’</w:t>
      </w:r>
      <w:r w:rsidRPr="00B63DD8">
        <w:rPr>
          <w:rFonts w:ascii="Times New Roman" w:hAnsi="Times New Roman" w:cs="Times New Roman"/>
          <w:i/>
          <w:lang w:val="de-DE"/>
        </w:rPr>
        <w:t>Auseinandersetzung</w:t>
      </w:r>
      <w:r w:rsidRPr="00B63DD8">
        <w:rPr>
          <w:rFonts w:ascii="Times New Roman" w:hAnsi="Times New Roman" w:cs="Times New Roman"/>
          <w:i/>
        </w:rPr>
        <w:t xml:space="preserve"> </w:t>
      </w:r>
      <w:r w:rsidRPr="00B63DD8">
        <w:rPr>
          <w:rFonts w:ascii="Times New Roman" w:hAnsi="Times New Roman" w:cs="Times New Roman"/>
        </w:rPr>
        <w:t xml:space="preserve">con </w:t>
      </w:r>
      <w:r w:rsidRPr="009D7FB5">
        <w:rPr>
          <w:rFonts w:ascii="Times New Roman" w:hAnsi="Times New Roman" w:cs="Times New Roman"/>
        </w:rPr>
        <w:t xml:space="preserve">Böhme. Sia la </w:t>
      </w:r>
      <w:r w:rsidRPr="009D7FB5">
        <w:rPr>
          <w:rFonts w:ascii="Times New Roman" w:hAnsi="Times New Roman" w:cs="Times New Roman"/>
          <w:i/>
          <w:lang w:val="de-DE"/>
        </w:rPr>
        <w:t>Jenaer Logik und Metaphysik</w:t>
      </w:r>
      <w:r w:rsidRPr="009D7FB5">
        <w:rPr>
          <w:rFonts w:ascii="Times New Roman" w:hAnsi="Times New Roman" w:cs="Times New Roman"/>
        </w:rPr>
        <w:t xml:space="preserve"> che la </w:t>
      </w:r>
      <w:r w:rsidRPr="009D7FB5">
        <w:rPr>
          <w:rFonts w:ascii="Times New Roman" w:hAnsi="Times New Roman" w:cs="Times New Roman"/>
          <w:i/>
          <w:lang w:val="de-DE"/>
        </w:rPr>
        <w:t>Phänomenologie des Geistes</w:t>
      </w:r>
      <w:r w:rsidRPr="009D7FB5">
        <w:rPr>
          <w:rFonts w:ascii="Times New Roman" w:hAnsi="Times New Roman" w:cs="Times New Roman"/>
        </w:rPr>
        <w:t xml:space="preserve"> hanno dato conferma di ciò:</w:t>
      </w:r>
      <w:r w:rsidRPr="00B63DD8">
        <w:rPr>
          <w:rFonts w:ascii="Times New Roman" w:hAnsi="Times New Roman" w:cs="Times New Roman"/>
        </w:rPr>
        <w:t xml:space="preserve"> la </w:t>
      </w:r>
      <w:r w:rsidRPr="00B63DD8">
        <w:rPr>
          <w:rFonts w:ascii="Times New Roman" w:hAnsi="Times New Roman" w:cs="Times New Roman"/>
          <w:i/>
          <w:lang w:val="de-DE"/>
        </w:rPr>
        <w:t>Zorn Gottes</w:t>
      </w:r>
      <w:r w:rsidRPr="00B63DD8">
        <w:rPr>
          <w:rFonts w:ascii="Times New Roman" w:hAnsi="Times New Roman" w:cs="Times New Roman"/>
        </w:rPr>
        <w:t xml:space="preserve"> e l’</w:t>
      </w:r>
      <w:r w:rsidRPr="00B63DD8">
        <w:rPr>
          <w:rFonts w:ascii="Times New Roman" w:hAnsi="Times New Roman" w:cs="Times New Roman"/>
          <w:i/>
          <w:lang w:val="de-DE"/>
        </w:rPr>
        <w:t>Abfall Lucifers</w:t>
      </w:r>
      <w:r w:rsidRPr="00B63DD8">
        <w:rPr>
          <w:rFonts w:ascii="Times New Roman" w:hAnsi="Times New Roman" w:cs="Times New Roman"/>
          <w:lang w:val="de-DE"/>
        </w:rPr>
        <w:t xml:space="preserve"> </w:t>
      </w:r>
      <w:r w:rsidRPr="00B63DD8">
        <w:rPr>
          <w:rFonts w:ascii="Times New Roman" w:hAnsi="Times New Roman" w:cs="Times New Roman"/>
        </w:rPr>
        <w:t xml:space="preserve">riflettono quella negatività pura e semplice attraverso cui la sostanza si media con se stessa e diviene </w:t>
      </w:r>
      <w:r w:rsidRPr="00B63DD8">
        <w:rPr>
          <w:rFonts w:ascii="Times New Roman" w:hAnsi="Times New Roman" w:cs="Times New Roman"/>
          <w:i/>
        </w:rPr>
        <w:t>lebendige Substanz</w:t>
      </w:r>
      <w:r w:rsidRPr="00B63DD8">
        <w:rPr>
          <w:rFonts w:ascii="Times New Roman" w:hAnsi="Times New Roman" w:cs="Times New Roman"/>
        </w:rPr>
        <w:t>. La mediazione, intesa come negatività prima, o come interna irrequietezza di ciò che è effettivamente reale, è l’elemento speculativo che Hegel estrae dal pensiero böhmiano.</w:t>
      </w:r>
    </w:p>
    <w:p w14:paraId="33C58E0F" w14:textId="677AA2DB" w:rsidR="001B7751" w:rsidRDefault="001B7751" w:rsidP="001B7751">
      <w:pPr>
        <w:pStyle w:val="Paragrafoelenco"/>
        <w:spacing w:line="360" w:lineRule="auto"/>
        <w:ind w:left="0" w:firstLine="567"/>
        <w:jc w:val="both"/>
        <w:rPr>
          <w:rFonts w:ascii="Times New Roman" w:hAnsi="Times New Roman" w:cs="Times New Roman"/>
        </w:rPr>
      </w:pPr>
      <w:r w:rsidRPr="00934074">
        <w:rPr>
          <w:rFonts w:ascii="Times New Roman" w:hAnsi="Times New Roman" w:cs="Times New Roman"/>
        </w:rPr>
        <w:t xml:space="preserve">Che quest’ultima affermazione non soltanto sia plausibile, ma che abbia anche una controprova testuale, è ulteriormente confermato dalle opere hegeliane successive alla pubblicazione della </w:t>
      </w:r>
      <w:r w:rsidRPr="00934074">
        <w:rPr>
          <w:rFonts w:ascii="Times New Roman" w:hAnsi="Times New Roman" w:cs="Times New Roman"/>
          <w:i/>
        </w:rPr>
        <w:t>Phänomenologie des Geistes</w:t>
      </w:r>
      <w:r w:rsidRPr="00934074">
        <w:rPr>
          <w:rFonts w:ascii="Times New Roman" w:hAnsi="Times New Roman" w:cs="Times New Roman"/>
        </w:rPr>
        <w:t xml:space="preserve">. In un’opera in </w:t>
      </w:r>
      <w:r w:rsidRPr="00B63DD8">
        <w:rPr>
          <w:rFonts w:ascii="Times New Roman" w:hAnsi="Times New Roman" w:cs="Times New Roman"/>
        </w:rPr>
        <w:t xml:space="preserve">particolare, ossia nella </w:t>
      </w:r>
      <w:r w:rsidRPr="00B63DD8">
        <w:rPr>
          <w:rFonts w:ascii="Times New Roman" w:hAnsi="Times New Roman" w:cs="Times New Roman"/>
          <w:i/>
        </w:rPr>
        <w:t>Wissenschaft der Logik</w:t>
      </w:r>
      <w:r w:rsidRPr="00B63DD8">
        <w:rPr>
          <w:rFonts w:ascii="Times New Roman" w:hAnsi="Times New Roman" w:cs="Times New Roman"/>
        </w:rPr>
        <w:t xml:space="preserve">, sono riscontrabili, seppur in una forma che di mistico mantiene molto poco, quegli elementi concettuali che abbiamo già visto al centro della </w:t>
      </w:r>
      <w:r w:rsidRPr="00B63DD8">
        <w:rPr>
          <w:rFonts w:ascii="Times New Roman" w:hAnsi="Times New Roman" w:cs="Times New Roman"/>
          <w:i/>
        </w:rPr>
        <w:t>Böhme-Rezeption</w:t>
      </w:r>
      <w:r w:rsidRPr="00B63DD8">
        <w:rPr>
          <w:rFonts w:ascii="Times New Roman" w:hAnsi="Times New Roman" w:cs="Times New Roman"/>
        </w:rPr>
        <w:t xml:space="preserve"> di Jena. Quello che mi sembra importante sottolineare, e che la critica più recente non è riuscita a cogliere</w:t>
      </w:r>
      <w:r w:rsidRPr="00B63DD8">
        <w:rPr>
          <w:rStyle w:val="Rimandonotaapidipagina"/>
          <w:rFonts w:ascii="Times New Roman" w:hAnsi="Times New Roman" w:cs="Times New Roman"/>
        </w:rPr>
        <w:footnoteReference w:id="315"/>
      </w:r>
      <w:r w:rsidRPr="00B63DD8">
        <w:rPr>
          <w:rFonts w:ascii="Times New Roman" w:hAnsi="Times New Roman" w:cs="Times New Roman"/>
        </w:rPr>
        <w:t>, è il persistere di un’influenza di Böhme che Hegel,</w:t>
      </w:r>
      <w:r>
        <w:rPr>
          <w:rFonts w:ascii="Times New Roman" w:hAnsi="Times New Roman" w:cs="Times New Roman"/>
        </w:rPr>
        <w:t xml:space="preserve"> nei fatti, non disconoscerà nemmeno là dove viene tematizzato l’approfondirsi del pensiero puro (</w:t>
      </w:r>
      <w:r w:rsidRPr="00BB515E">
        <w:rPr>
          <w:rFonts w:ascii="Times New Roman" w:hAnsi="Times New Roman" w:cs="Times New Roman"/>
          <w:i/>
          <w:lang w:val="de-DE"/>
        </w:rPr>
        <w:t>reines Denken</w:t>
      </w:r>
      <w:r>
        <w:rPr>
          <w:rFonts w:ascii="Times New Roman" w:hAnsi="Times New Roman" w:cs="Times New Roman"/>
        </w:rPr>
        <w:t>) nella trasparenza (</w:t>
      </w:r>
      <w:r w:rsidRPr="00BB515E">
        <w:rPr>
          <w:rFonts w:ascii="Times New Roman" w:hAnsi="Times New Roman" w:cs="Times New Roman"/>
          <w:i/>
          <w:lang w:val="de-DE"/>
        </w:rPr>
        <w:t>Durchsichtigkeit</w:t>
      </w:r>
      <w:r>
        <w:rPr>
          <w:rFonts w:ascii="Times New Roman" w:hAnsi="Times New Roman" w:cs="Times New Roman"/>
        </w:rPr>
        <w:t xml:space="preserve">) delle proprie determinazioni. Fin dalle sue battute iniziali, infatti, la </w:t>
      </w:r>
      <w:r w:rsidRPr="007B2710">
        <w:rPr>
          <w:rFonts w:ascii="Times New Roman" w:hAnsi="Times New Roman" w:cs="Times New Roman"/>
          <w:i/>
        </w:rPr>
        <w:t>Wissenschaft der Logik</w:t>
      </w:r>
      <w:r>
        <w:rPr>
          <w:rFonts w:ascii="Times New Roman" w:hAnsi="Times New Roman" w:cs="Times New Roman"/>
        </w:rPr>
        <w:t xml:space="preserve"> restituisce una serie di concetti </w:t>
      </w:r>
      <w:r w:rsidRPr="00B63DD8">
        <w:rPr>
          <w:rFonts w:ascii="Times New Roman" w:hAnsi="Times New Roman" w:cs="Times New Roman"/>
        </w:rPr>
        <w:t>d’ispirazione böhmiana, che tematizzano la funzione centrale del negativo nell’esposizione del contenuto logico.</w:t>
      </w:r>
      <w:r>
        <w:rPr>
          <w:rFonts w:ascii="Times New Roman" w:hAnsi="Times New Roman" w:cs="Times New Roman"/>
        </w:rPr>
        <w:t xml:space="preserve"> </w:t>
      </w:r>
      <w:r w:rsidRPr="007F31B8">
        <w:rPr>
          <w:rFonts w:ascii="Times New Roman" w:hAnsi="Times New Roman" w:cs="Times New Roman"/>
        </w:rPr>
        <w:t>Ancora una volta, ed è bene ripeterlo</w:t>
      </w:r>
      <w:r>
        <w:rPr>
          <w:rFonts w:ascii="Times New Roman" w:hAnsi="Times New Roman" w:cs="Times New Roman"/>
        </w:rPr>
        <w:t xml:space="preserve"> anche in questa sede</w:t>
      </w:r>
      <w:r w:rsidRPr="007F31B8">
        <w:rPr>
          <w:rFonts w:ascii="Times New Roman" w:hAnsi="Times New Roman" w:cs="Times New Roman"/>
        </w:rPr>
        <w:t>, da un punto di vista interpretativo la posta in gioco risulta essere molto alta, perché non è cosa ovvia indicare in Böhme una fonte di rilievo dell</w:t>
      </w:r>
      <w:r>
        <w:rPr>
          <w:rFonts w:ascii="Times New Roman" w:hAnsi="Times New Roman" w:cs="Times New Roman"/>
        </w:rPr>
        <w:t>a logica hegeliana</w:t>
      </w:r>
      <w:r w:rsidRPr="007F31B8">
        <w:rPr>
          <w:rFonts w:ascii="Times New Roman" w:hAnsi="Times New Roman" w:cs="Times New Roman"/>
        </w:rPr>
        <w:t xml:space="preserve">. </w:t>
      </w:r>
      <w:r>
        <w:rPr>
          <w:rFonts w:ascii="Times New Roman" w:hAnsi="Times New Roman" w:cs="Times New Roman"/>
        </w:rPr>
        <w:t>D</w:t>
      </w:r>
      <w:r w:rsidRPr="0065730C">
        <w:rPr>
          <w:rFonts w:ascii="Times New Roman" w:hAnsi="Times New Roman" w:cs="Times New Roman"/>
        </w:rPr>
        <w:t>a un certo punto di vista,</w:t>
      </w:r>
      <w:r>
        <w:rPr>
          <w:rFonts w:ascii="Times New Roman" w:hAnsi="Times New Roman" w:cs="Times New Roman"/>
        </w:rPr>
        <w:t xml:space="preserve"> sarebbe più semplice </w:t>
      </w:r>
      <w:r w:rsidRPr="0065730C">
        <w:rPr>
          <w:rFonts w:ascii="Times New Roman" w:hAnsi="Times New Roman" w:cs="Times New Roman"/>
        </w:rPr>
        <w:t xml:space="preserve">procedere ad un’identificazione delle corrispondenze formali ed esteriori sussistenti fra l’opera böhmiana e la logica hegeliana. Che questa via sia stata battuta da una parte della critica con l’approccio metodologico appena descritto è un fatto ormai assodato dalla </w:t>
      </w:r>
      <w:r w:rsidRPr="0065730C">
        <w:rPr>
          <w:rFonts w:ascii="Times New Roman" w:hAnsi="Times New Roman" w:cs="Times New Roman"/>
          <w:i/>
        </w:rPr>
        <w:t>Hegel-Forschung</w:t>
      </w:r>
      <w:r w:rsidRPr="0065730C">
        <w:rPr>
          <w:rStyle w:val="Rimandonotaapidipagina"/>
          <w:rFonts w:ascii="Times New Roman" w:hAnsi="Times New Roman" w:cs="Times New Roman"/>
        </w:rPr>
        <w:footnoteReference w:id="316"/>
      </w:r>
      <w:r w:rsidRPr="0065730C">
        <w:rPr>
          <w:rFonts w:ascii="Times New Roman" w:hAnsi="Times New Roman" w:cs="Times New Roman"/>
        </w:rPr>
        <w:t>.</w:t>
      </w:r>
      <w:r w:rsidRPr="007F31B8">
        <w:rPr>
          <w:rFonts w:ascii="Times New Roman" w:hAnsi="Times New Roman" w:cs="Times New Roman"/>
        </w:rPr>
        <w:t xml:space="preserve"> Che questo taglio interpretativo debba essere dismesso è un compito impellente di tutti coloro che vogliono restituire spessore teoretico e valore scientifico ad un settore disciplinare su cui aleggia un giustificato scetticismo di fondo. Per far </w:t>
      </w:r>
      <w:r>
        <w:rPr>
          <w:rFonts w:ascii="Times New Roman" w:hAnsi="Times New Roman" w:cs="Times New Roman"/>
        </w:rPr>
        <w:t>ciò</w:t>
      </w:r>
      <w:r w:rsidRPr="007F31B8">
        <w:rPr>
          <w:rFonts w:ascii="Times New Roman" w:hAnsi="Times New Roman" w:cs="Times New Roman"/>
        </w:rPr>
        <w:t>, non ci resta che una strada da percorrere: l’analisi del testo. Perché è il testo, se trattato con rispetto, a conferire legittimità o discr</w:t>
      </w:r>
      <w:r>
        <w:rPr>
          <w:rFonts w:ascii="Times New Roman" w:hAnsi="Times New Roman" w:cs="Times New Roman"/>
        </w:rPr>
        <w:t>ed</w:t>
      </w:r>
      <w:r w:rsidRPr="007F31B8">
        <w:rPr>
          <w:rFonts w:ascii="Times New Roman" w:hAnsi="Times New Roman" w:cs="Times New Roman"/>
        </w:rPr>
        <w:t>ito ad un’analisi particolare o ad una suggestione specifica. Stare ben saldi sull’opera hegeliana</w:t>
      </w:r>
      <w:r>
        <w:rPr>
          <w:rFonts w:ascii="Times New Roman" w:hAnsi="Times New Roman" w:cs="Times New Roman"/>
        </w:rPr>
        <w:t xml:space="preserve"> </w:t>
      </w:r>
      <w:r w:rsidRPr="007F31B8">
        <w:rPr>
          <w:rFonts w:ascii="Times New Roman" w:hAnsi="Times New Roman" w:cs="Times New Roman"/>
        </w:rPr>
        <w:t>permetterà di vedere come nei vari livelli logici – perché l’elemento logico, secondo quanto osservato da Franco Chiereghin, è di sua natura ricorsivo</w:t>
      </w:r>
      <w:r>
        <w:rPr>
          <w:rStyle w:val="Rimandonotaapidipagina"/>
          <w:rFonts w:ascii="Times New Roman" w:hAnsi="Times New Roman" w:cs="Times New Roman"/>
        </w:rPr>
        <w:footnoteReference w:id="317"/>
      </w:r>
      <w:r w:rsidRPr="007F31B8">
        <w:rPr>
          <w:rFonts w:ascii="Times New Roman" w:hAnsi="Times New Roman" w:cs="Times New Roman"/>
        </w:rPr>
        <w:t xml:space="preserve"> – siano riscontrabili le tracce della </w:t>
      </w:r>
      <w:r w:rsidRPr="007F31B8">
        <w:rPr>
          <w:rFonts w:ascii="Times New Roman" w:hAnsi="Times New Roman" w:cs="Times New Roman"/>
          <w:i/>
        </w:rPr>
        <w:t>Böhme-Rezeption</w:t>
      </w:r>
      <w:r w:rsidRPr="007F31B8">
        <w:rPr>
          <w:rFonts w:ascii="Times New Roman" w:hAnsi="Times New Roman" w:cs="Times New Roman"/>
        </w:rPr>
        <w:t xml:space="preserve"> jenese. </w:t>
      </w:r>
    </w:p>
    <w:p w14:paraId="53B66FD4" w14:textId="77777777" w:rsidR="00A32821" w:rsidRPr="00305C40" w:rsidRDefault="00A32821" w:rsidP="001B7751">
      <w:pPr>
        <w:pStyle w:val="Paragrafoelenco"/>
        <w:spacing w:line="360" w:lineRule="auto"/>
        <w:ind w:left="0" w:firstLine="567"/>
        <w:jc w:val="both"/>
        <w:rPr>
          <w:rFonts w:ascii="Times New Roman" w:hAnsi="Times New Roman" w:cs="Times New Roman"/>
        </w:rPr>
      </w:pPr>
    </w:p>
    <w:p w14:paraId="0FC1FB1B" w14:textId="4749650F" w:rsidR="00DD70C7" w:rsidRPr="00A27071" w:rsidRDefault="001B7751" w:rsidP="001B7751">
      <w:pPr>
        <w:pStyle w:val="Paragrafoelenco"/>
        <w:spacing w:line="360" w:lineRule="auto"/>
        <w:ind w:left="0"/>
        <w:jc w:val="both"/>
        <w:rPr>
          <w:rFonts w:ascii="Times New Roman" w:hAnsi="Times New Roman" w:cs="Times New Roman"/>
          <w:i/>
        </w:rPr>
      </w:pPr>
      <w:r>
        <w:rPr>
          <w:rFonts w:ascii="Times New Roman" w:hAnsi="Times New Roman" w:cs="Times New Roman"/>
          <w:i/>
        </w:rPr>
        <w:t>2.</w:t>
      </w:r>
      <w:r w:rsidRPr="00A27071">
        <w:rPr>
          <w:rFonts w:ascii="Times New Roman" w:hAnsi="Times New Roman" w:cs="Times New Roman"/>
          <w:i/>
        </w:rPr>
        <w:t xml:space="preserve">1 “Un nulla da cui deve uscire qualcosa”: il problema del cominciamento nella </w:t>
      </w:r>
      <w:r w:rsidRPr="00DD70C7">
        <w:rPr>
          <w:rFonts w:ascii="Times New Roman" w:hAnsi="Times New Roman" w:cs="Times New Roman"/>
        </w:rPr>
        <w:t>Wissenschaft der Logik</w:t>
      </w:r>
    </w:p>
    <w:p w14:paraId="20562EE2" w14:textId="77777777" w:rsidR="001B7751" w:rsidRDefault="001B7751" w:rsidP="001B7751">
      <w:pPr>
        <w:pStyle w:val="Paragrafoelenco"/>
        <w:spacing w:line="360" w:lineRule="auto"/>
        <w:jc w:val="both"/>
        <w:rPr>
          <w:rFonts w:ascii="Times New Roman" w:hAnsi="Times New Roman" w:cs="Times New Roman"/>
          <w:b/>
        </w:rPr>
      </w:pPr>
    </w:p>
    <w:p w14:paraId="25515943" w14:textId="77777777" w:rsidR="001B7751" w:rsidRDefault="001B7751" w:rsidP="001B7751">
      <w:pPr>
        <w:pStyle w:val="Paragrafoelenco"/>
        <w:spacing w:line="360" w:lineRule="auto"/>
        <w:ind w:left="0" w:firstLine="567"/>
        <w:jc w:val="both"/>
        <w:rPr>
          <w:rFonts w:ascii="Times New Roman" w:eastAsia="Times New Roman" w:hAnsi="Times New Roman" w:cs="Times New Roman"/>
          <w:color w:val="000000"/>
        </w:rPr>
      </w:pPr>
      <w:r>
        <w:rPr>
          <w:rFonts w:ascii="Times New Roman" w:hAnsi="Times New Roman" w:cs="Times New Roman"/>
        </w:rPr>
        <w:t xml:space="preserve">Ne </w:t>
      </w:r>
      <w:r>
        <w:rPr>
          <w:rFonts w:ascii="Times New Roman" w:hAnsi="Times New Roman" w:cs="Times New Roman"/>
          <w:i/>
        </w:rPr>
        <w:t>Il male primordiale nella Qabbalah</w:t>
      </w:r>
      <w:r>
        <w:rPr>
          <w:rFonts w:ascii="Times New Roman" w:hAnsi="Times New Roman" w:cs="Times New Roman"/>
        </w:rPr>
        <w:t xml:space="preserve">, Moshe Idel ha offerto una ricostruzione dettagliata di come la questione teologica </w:t>
      </w:r>
      <w:r w:rsidRPr="00B3125C">
        <w:rPr>
          <w:rFonts w:ascii="Times New Roman" w:hAnsi="Times New Roman" w:cs="Times New Roman"/>
        </w:rPr>
        <w:t>dell’</w:t>
      </w:r>
      <w:r>
        <w:rPr>
          <w:rFonts w:ascii="Times New Roman" w:hAnsi="Times New Roman" w:cs="Times New Roman"/>
          <w:i/>
        </w:rPr>
        <w:t>U</w:t>
      </w:r>
      <w:r w:rsidRPr="00B3125C">
        <w:rPr>
          <w:rFonts w:ascii="Times New Roman" w:hAnsi="Times New Roman" w:cs="Times New Roman"/>
          <w:i/>
        </w:rPr>
        <w:t>nde malum?</w:t>
      </w:r>
      <w:r>
        <w:rPr>
          <w:rFonts w:ascii="Times New Roman" w:hAnsi="Times New Roman" w:cs="Times New Roman"/>
        </w:rPr>
        <w:t xml:space="preserve"> trovi una trattazione specifica nella mistica ebraica. Al di là dell’interesse che il quesito possiede di per sé, </w:t>
      </w:r>
      <w:r w:rsidRPr="00702B61">
        <w:rPr>
          <w:rFonts w:ascii="Times New Roman" w:hAnsi="Times New Roman" w:cs="Times New Roman"/>
        </w:rPr>
        <w:t xml:space="preserve">quello che mi preme sottolineare del testo di Idel è l’attenzione </w:t>
      </w:r>
      <w:r w:rsidRPr="00784BCB">
        <w:rPr>
          <w:rFonts w:ascii="Times New Roman" w:hAnsi="Times New Roman" w:cs="Times New Roman"/>
        </w:rPr>
        <w:t xml:space="preserve">dedicata </w:t>
      </w:r>
      <w:r w:rsidRPr="00854087">
        <w:rPr>
          <w:rFonts w:ascii="Times New Roman" w:hAnsi="Times New Roman" w:cs="Times New Roman"/>
        </w:rPr>
        <w:t xml:space="preserve">ad alcuni </w:t>
      </w:r>
      <w:r>
        <w:rPr>
          <w:rFonts w:ascii="Times New Roman" w:hAnsi="Times New Roman" w:cs="Times New Roman"/>
        </w:rPr>
        <w:t>passi</w:t>
      </w:r>
      <w:r w:rsidRPr="00854087">
        <w:rPr>
          <w:rFonts w:ascii="Times New Roman" w:hAnsi="Times New Roman" w:cs="Times New Roman"/>
        </w:rPr>
        <w:t xml:space="preserve"> dell’opera hegeliana</w:t>
      </w:r>
      <w:r w:rsidRPr="00784BCB">
        <w:rPr>
          <w:rFonts w:ascii="Times New Roman" w:hAnsi="Times New Roman" w:cs="Times New Roman"/>
        </w:rPr>
        <w:t xml:space="preserve">. Parafrasando </w:t>
      </w:r>
      <w:r w:rsidRPr="007060AC">
        <w:rPr>
          <w:rFonts w:ascii="Times New Roman" w:hAnsi="Times New Roman" w:cs="Times New Roman"/>
          <w:i/>
          <w:lang w:val="fr-FR"/>
        </w:rPr>
        <w:t>La Kabbale ou la philosophie religieuse des Hébreux</w:t>
      </w:r>
      <w:r w:rsidRPr="00784BCB">
        <w:rPr>
          <w:rStyle w:val="Rimandonotaapidipagina"/>
          <w:rFonts w:ascii="Times New Roman" w:hAnsi="Times New Roman" w:cs="Times New Roman"/>
          <w:i/>
        </w:rPr>
        <w:footnoteReference w:id="318"/>
      </w:r>
      <w:r w:rsidRPr="00784BCB">
        <w:rPr>
          <w:rFonts w:ascii="Times New Roman" w:hAnsi="Times New Roman" w:cs="Times New Roman"/>
        </w:rPr>
        <w:t xml:space="preserve"> di </w:t>
      </w:r>
      <w:r w:rsidRPr="007060AC">
        <w:rPr>
          <w:rFonts w:ascii="Times New Roman" w:hAnsi="Times New Roman" w:cs="Times New Roman"/>
          <w:lang w:val="fr-FR"/>
        </w:rPr>
        <w:t>Adolphe Franck</w:t>
      </w:r>
      <w:r w:rsidRPr="00784BCB">
        <w:rPr>
          <w:rFonts w:ascii="Times New Roman" w:hAnsi="Times New Roman" w:cs="Times New Roman"/>
        </w:rPr>
        <w:t xml:space="preserve">, Idel nota che </w:t>
      </w:r>
      <w:r w:rsidRPr="00A27071">
        <w:rPr>
          <w:rFonts w:ascii="Times New Roman" w:hAnsi="Times New Roman" w:cs="Times New Roman"/>
        </w:rPr>
        <w:t xml:space="preserve">«alcuni concetti che compaiono nell’Idra Zuta – relativi all’Ayin metafisico, al Nihil da cui è stato emanato </w:t>
      </w:r>
      <w:r>
        <w:rPr>
          <w:rFonts w:ascii="Times New Roman" w:hAnsi="Times New Roman" w:cs="Times New Roman"/>
        </w:rPr>
        <w:t>tutto – e</w:t>
      </w:r>
      <w:r w:rsidRPr="00A27071">
        <w:rPr>
          <w:rFonts w:ascii="Times New Roman" w:hAnsi="Times New Roman" w:cs="Times New Roman"/>
        </w:rPr>
        <w:t xml:space="preserve"> il concetto di tzimtzum appaiano anche in un passo significato di Hegel</w:t>
      </w:r>
      <w:r w:rsidRPr="00A27071">
        <w:rPr>
          <w:rFonts w:ascii="Times New Roman" w:eastAsia="Times New Roman" w:hAnsi="Times New Roman" w:cs="Times New Roman"/>
          <w:color w:val="000000"/>
        </w:rPr>
        <w:t>»</w:t>
      </w:r>
      <w:r w:rsidRPr="00A27071">
        <w:rPr>
          <w:rStyle w:val="Rimandonotaapidipagina"/>
          <w:rFonts w:ascii="Times New Roman" w:eastAsia="Times New Roman" w:hAnsi="Times New Roman" w:cs="Times New Roman"/>
          <w:color w:val="000000"/>
        </w:rPr>
        <w:footnoteReference w:id="319"/>
      </w:r>
      <w:r w:rsidRPr="00A27071">
        <w:rPr>
          <w:rFonts w:ascii="Times New Roman" w:eastAsia="Times New Roman" w:hAnsi="Times New Roman" w:cs="Times New Roman"/>
          <w:color w:val="000000"/>
        </w:rPr>
        <w:t>.</w:t>
      </w:r>
      <w:r w:rsidRPr="00784BCB">
        <w:rPr>
          <w:rFonts w:ascii="Times New Roman" w:eastAsia="Times New Roman" w:hAnsi="Times New Roman" w:cs="Times New Roman"/>
          <w:color w:val="000000"/>
        </w:rPr>
        <w:t xml:space="preserve"> </w:t>
      </w:r>
      <w:r w:rsidRPr="00854087">
        <w:rPr>
          <w:rFonts w:ascii="Times New Roman" w:eastAsia="Times New Roman" w:hAnsi="Times New Roman" w:cs="Times New Roman"/>
          <w:color w:val="000000"/>
        </w:rPr>
        <w:t xml:space="preserve">Per Idel, così come per Franck prima di lui, è ravvisabile una contaminazione </w:t>
      </w:r>
      <w:r w:rsidRPr="008F6E88">
        <w:rPr>
          <w:rFonts w:ascii="Times New Roman" w:eastAsia="Times New Roman" w:hAnsi="Times New Roman" w:cs="Times New Roman"/>
          <w:color w:val="000000"/>
        </w:rPr>
        <w:t xml:space="preserve">cabbalistica del pensiero hegeliano </w:t>
      </w:r>
      <w:r w:rsidRPr="008F6E88">
        <w:rPr>
          <w:rFonts w:ascii="Times New Roman" w:eastAsia="Times New Roman" w:hAnsi="Times New Roman" w:cs="Times New Roman"/>
          <w:color w:val="000000"/>
          <w:lang w:val="de-DE"/>
        </w:rPr>
        <w:t>nell</w:t>
      </w:r>
      <w:r w:rsidRPr="008F6E88">
        <w:rPr>
          <w:rFonts w:ascii="Times New Roman" w:eastAsia="Times New Roman" w:hAnsi="Times New Roman" w:cs="Times New Roman"/>
          <w:i/>
          <w:color w:val="000000"/>
          <w:lang w:val="de-DE"/>
        </w:rPr>
        <w:t>’Enzyklopädie der philosophischen Wissenschaften</w:t>
      </w:r>
      <w:r w:rsidRPr="008F6E88">
        <w:rPr>
          <w:rFonts w:ascii="Times New Roman" w:eastAsia="Times New Roman" w:hAnsi="Times New Roman" w:cs="Times New Roman"/>
          <w:color w:val="000000"/>
        </w:rPr>
        <w:t xml:space="preserve">, soprattutto nei paragrafi dedicati al </w:t>
      </w:r>
      <w:r w:rsidRPr="008F6E88">
        <w:rPr>
          <w:rFonts w:ascii="Times New Roman" w:eastAsia="Times New Roman" w:hAnsi="Times New Roman" w:cs="Times New Roman"/>
          <w:i/>
          <w:color w:val="000000"/>
          <w:lang w:val="de-DE"/>
        </w:rPr>
        <w:t>Seyn</w:t>
      </w:r>
      <w:r w:rsidRPr="008F6E88">
        <w:rPr>
          <w:rFonts w:ascii="Times New Roman" w:eastAsia="Times New Roman" w:hAnsi="Times New Roman" w:cs="Times New Roman"/>
          <w:color w:val="000000"/>
        </w:rPr>
        <w:t xml:space="preserve"> e al </w:t>
      </w:r>
      <w:r w:rsidRPr="008F6E88">
        <w:rPr>
          <w:rFonts w:ascii="Times New Roman" w:eastAsia="Times New Roman" w:hAnsi="Times New Roman" w:cs="Times New Roman"/>
          <w:i/>
          <w:color w:val="000000"/>
          <w:lang w:val="de-DE"/>
        </w:rPr>
        <w:t>Nichts</w:t>
      </w:r>
      <w:r w:rsidRPr="008F6E88">
        <w:rPr>
          <w:rFonts w:ascii="Times New Roman" w:eastAsia="Times New Roman" w:hAnsi="Times New Roman" w:cs="Times New Roman"/>
          <w:color w:val="000000"/>
        </w:rPr>
        <w:t xml:space="preserve">. A questo punto, prima di discutere oltre l’ipotesi interpretativa di Idel, è bene citare il paragrafo </w:t>
      </w:r>
      <w:r w:rsidRPr="008F6E88">
        <w:rPr>
          <w:rFonts w:ascii="Times New Roman" w:eastAsia="Times New Roman" w:hAnsi="Times New Roman" w:cs="Times New Roman"/>
          <w:i/>
          <w:color w:val="000000"/>
        </w:rPr>
        <w:t>enciclopedico</w:t>
      </w:r>
      <w:r w:rsidRPr="008F6E88">
        <w:rPr>
          <w:rFonts w:ascii="Times New Roman" w:eastAsia="Times New Roman" w:hAnsi="Times New Roman" w:cs="Times New Roman"/>
          <w:color w:val="000000"/>
        </w:rPr>
        <w:t xml:space="preserve"> a cui si riferisce:</w:t>
      </w:r>
      <w:r>
        <w:rPr>
          <w:rFonts w:ascii="Times New Roman" w:eastAsia="Times New Roman" w:hAnsi="Times New Roman" w:cs="Times New Roman"/>
          <w:color w:val="000000"/>
        </w:rPr>
        <w:t xml:space="preserve"> </w:t>
      </w:r>
    </w:p>
    <w:p w14:paraId="3CDA2BEB" w14:textId="77777777" w:rsidR="001B7751" w:rsidRDefault="001B7751" w:rsidP="001B7751">
      <w:pPr>
        <w:pStyle w:val="Paragrafoelenco"/>
        <w:spacing w:line="360" w:lineRule="auto"/>
        <w:jc w:val="both"/>
        <w:rPr>
          <w:rFonts w:ascii="Times New Roman" w:hAnsi="Times New Roman" w:cs="Times New Roman"/>
        </w:rPr>
      </w:pPr>
    </w:p>
    <w:p w14:paraId="18D3A247" w14:textId="77777777" w:rsidR="001B7751" w:rsidRPr="00A27071" w:rsidRDefault="001B7751" w:rsidP="001B7751">
      <w:pPr>
        <w:pStyle w:val="Paragrafoelenco"/>
        <w:spacing w:line="360" w:lineRule="auto"/>
        <w:ind w:left="567" w:firstLine="567"/>
        <w:jc w:val="both"/>
        <w:rPr>
          <w:rFonts w:ascii="Times New Roman" w:hAnsi="Times New Roman" w:cs="Times New Roman"/>
          <w:sz w:val="20"/>
          <w:szCs w:val="20"/>
        </w:rPr>
      </w:pPr>
      <w:r w:rsidRPr="00A27071">
        <w:rPr>
          <w:rFonts w:ascii="Times New Roman" w:hAnsi="Times New Roman" w:cs="Times New Roman"/>
          <w:sz w:val="20"/>
          <w:szCs w:val="20"/>
        </w:rPr>
        <w:t>«</w:t>
      </w:r>
      <w:r w:rsidRPr="00A27071">
        <w:rPr>
          <w:rFonts w:ascii="Times New Roman" w:hAnsi="Times New Roman" w:cs="Times New Roman"/>
          <w:sz w:val="20"/>
          <w:szCs w:val="20"/>
          <w:lang w:val="de-DE"/>
        </w:rPr>
        <w:t>Das reine Seyn macht den Anfang, weil es sowohl reiner Gedanke als das unbestimmte, einfache Unmittelbare ist, der erste Anfang aber nichts vermitteltes und weiter bestimmtes seyn kann […] Dieses reine Seyn ist nun die reine Abstracktion, damit das absolut-negatives, welche, gleichfalls unmittelbar genommen, das Nichts ist</w:t>
      </w:r>
      <w:r w:rsidRPr="00A27071">
        <w:rPr>
          <w:rFonts w:ascii="Times New Roman" w:eastAsia="Times New Roman" w:hAnsi="Times New Roman" w:cs="Times New Roman"/>
          <w:color w:val="000000"/>
          <w:sz w:val="20"/>
          <w:szCs w:val="20"/>
        </w:rPr>
        <w:t>»</w:t>
      </w:r>
      <w:r w:rsidRPr="00A27071">
        <w:rPr>
          <w:rStyle w:val="Rimandonotaapidipagina"/>
          <w:rFonts w:ascii="Times New Roman" w:eastAsia="Times New Roman" w:hAnsi="Times New Roman" w:cs="Times New Roman"/>
          <w:color w:val="000000"/>
          <w:sz w:val="20"/>
          <w:szCs w:val="20"/>
        </w:rPr>
        <w:footnoteReference w:id="320"/>
      </w:r>
      <w:r w:rsidRPr="00A27071">
        <w:rPr>
          <w:rFonts w:ascii="Times New Roman" w:eastAsia="Times New Roman" w:hAnsi="Times New Roman" w:cs="Times New Roman"/>
          <w:color w:val="000000"/>
          <w:sz w:val="20"/>
          <w:szCs w:val="20"/>
        </w:rPr>
        <w:t>.</w:t>
      </w:r>
    </w:p>
    <w:p w14:paraId="0A053159" w14:textId="77777777" w:rsidR="001B7751" w:rsidRPr="003A6AD1" w:rsidRDefault="001B7751" w:rsidP="001B7751">
      <w:pPr>
        <w:pStyle w:val="Paragrafoelenco"/>
        <w:spacing w:line="360" w:lineRule="auto"/>
        <w:ind w:firstLine="567"/>
        <w:jc w:val="both"/>
        <w:rPr>
          <w:rFonts w:ascii="Times New Roman" w:eastAsia="Times New Roman" w:hAnsi="Times New Roman" w:cs="Times New Roman"/>
          <w:color w:val="000000"/>
        </w:rPr>
      </w:pPr>
    </w:p>
    <w:p w14:paraId="0442D59D" w14:textId="1ABFEA9B" w:rsidR="001B7751" w:rsidRDefault="001B7751" w:rsidP="001B7751">
      <w:pPr>
        <w:pStyle w:val="Paragrafoelenco"/>
        <w:spacing w:line="360" w:lineRule="auto"/>
        <w:ind w:left="0" w:firstLine="567"/>
        <w:jc w:val="both"/>
        <w:rPr>
          <w:rFonts w:ascii="Times New Roman" w:eastAsia="Times New Roman" w:hAnsi="Times New Roman" w:cs="Times New Roman"/>
          <w:color w:val="000000"/>
        </w:rPr>
      </w:pPr>
      <w:r w:rsidRPr="00160EC6">
        <w:rPr>
          <w:rFonts w:ascii="Times New Roman" w:eastAsia="Times New Roman" w:hAnsi="Times New Roman" w:cs="Times New Roman"/>
          <w:color w:val="000000"/>
        </w:rPr>
        <w:t xml:space="preserve">Moshe Idel </w:t>
      </w:r>
      <w:r>
        <w:rPr>
          <w:rFonts w:ascii="Times New Roman" w:eastAsia="Times New Roman" w:hAnsi="Times New Roman" w:cs="Times New Roman"/>
          <w:color w:val="000000"/>
        </w:rPr>
        <w:t>sostiene</w:t>
      </w:r>
      <w:r w:rsidRPr="00160EC6">
        <w:rPr>
          <w:rFonts w:ascii="Times New Roman" w:eastAsia="Times New Roman" w:hAnsi="Times New Roman" w:cs="Times New Roman"/>
          <w:color w:val="000000"/>
        </w:rPr>
        <w:t xml:space="preserve"> che il compenetrarsi di essere, nulla, pensiero puro e</w:t>
      </w:r>
      <w:r w:rsidR="001C7409">
        <w:rPr>
          <w:rFonts w:ascii="Times New Roman" w:eastAsia="Times New Roman" w:hAnsi="Times New Roman" w:cs="Times New Roman"/>
          <w:color w:val="000000"/>
        </w:rPr>
        <w:t xml:space="preserve"> negatività assoluta rappresenta</w:t>
      </w:r>
      <w:r w:rsidRPr="00160EC6">
        <w:rPr>
          <w:rFonts w:ascii="Times New Roman" w:eastAsia="Times New Roman" w:hAnsi="Times New Roman" w:cs="Times New Roman"/>
          <w:color w:val="000000"/>
        </w:rPr>
        <w:t xml:space="preserve"> il punto di contatto fra </w:t>
      </w:r>
      <w:r>
        <w:rPr>
          <w:rFonts w:ascii="Times New Roman" w:eastAsia="Times New Roman" w:hAnsi="Times New Roman" w:cs="Times New Roman"/>
          <w:color w:val="000000"/>
        </w:rPr>
        <w:t xml:space="preserve">la </w:t>
      </w:r>
      <w:r w:rsidRPr="00160EC6">
        <w:rPr>
          <w:rFonts w:ascii="Times New Roman" w:eastAsia="Times New Roman" w:hAnsi="Times New Roman" w:cs="Times New Roman"/>
          <w:color w:val="000000"/>
        </w:rPr>
        <w:t xml:space="preserve">Qabbalah e </w:t>
      </w:r>
      <w:r>
        <w:rPr>
          <w:rFonts w:ascii="Times New Roman" w:eastAsia="Times New Roman" w:hAnsi="Times New Roman" w:cs="Times New Roman"/>
          <w:color w:val="000000"/>
        </w:rPr>
        <w:t xml:space="preserve">la </w:t>
      </w:r>
      <w:r w:rsidRPr="00160EC6">
        <w:rPr>
          <w:rFonts w:ascii="Times New Roman" w:eastAsia="Times New Roman" w:hAnsi="Times New Roman" w:cs="Times New Roman"/>
          <w:color w:val="000000"/>
        </w:rPr>
        <w:t xml:space="preserve">filosofia hegeliana. Nello specifico, la caratterizzazione </w:t>
      </w:r>
      <w:r w:rsidRPr="00A27071">
        <w:rPr>
          <w:rFonts w:ascii="Times New Roman" w:eastAsia="Times New Roman" w:hAnsi="Times New Roman" w:cs="Times New Roman"/>
          <w:color w:val="000000"/>
        </w:rPr>
        <w:t>«del pensiero puro come luogo di negatività assoluta» restituisce, esplicitandolo, «il nesso tra Hegel e la Qabbalah»</w:t>
      </w:r>
      <w:r w:rsidRPr="00A27071">
        <w:rPr>
          <w:rStyle w:val="Rimandonotaapidipagina"/>
          <w:rFonts w:ascii="Times New Roman" w:eastAsia="Times New Roman" w:hAnsi="Times New Roman" w:cs="Times New Roman"/>
          <w:color w:val="000000"/>
        </w:rPr>
        <w:footnoteReference w:id="321"/>
      </w:r>
      <w:r w:rsidRPr="00A27071">
        <w:rPr>
          <w:rFonts w:ascii="Times New Roman" w:eastAsia="Times New Roman" w:hAnsi="Times New Roman" w:cs="Times New Roman"/>
          <w:color w:val="000000"/>
        </w:rPr>
        <w:t>.</w:t>
      </w:r>
      <w:r w:rsidRPr="00160EC6">
        <w:rPr>
          <w:rFonts w:ascii="Times New Roman" w:eastAsia="Times New Roman" w:hAnsi="Times New Roman" w:cs="Times New Roman"/>
          <w:color w:val="000000"/>
        </w:rPr>
        <w:t xml:space="preserve"> Una volta definita questa convergenza teorica fra logica speculativa e mistica ebraica,</w:t>
      </w:r>
      <w:r w:rsidRPr="00FA1548">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 xml:space="preserve">Idel s’interroga </w:t>
      </w:r>
      <w:r w:rsidRPr="00FA1548">
        <w:rPr>
          <w:rFonts w:ascii="Times New Roman" w:eastAsia="Times New Roman" w:hAnsi="Times New Roman" w:cs="Times New Roman"/>
          <w:color w:val="000000"/>
        </w:rPr>
        <w:t>sulle le fonti cabbalistiche impiegate da Hegel.</w:t>
      </w:r>
      <w:r>
        <w:rPr>
          <w:rFonts w:ascii="Times New Roman" w:eastAsia="Times New Roman" w:hAnsi="Times New Roman" w:cs="Times New Roman"/>
          <w:color w:val="000000"/>
        </w:rPr>
        <w:t xml:space="preserve"> </w:t>
      </w:r>
      <w:r w:rsidRPr="00025B75">
        <w:rPr>
          <w:rFonts w:ascii="Times New Roman" w:eastAsia="Times New Roman" w:hAnsi="Times New Roman" w:cs="Times New Roman"/>
          <w:color w:val="000000"/>
        </w:rPr>
        <w:t>Con una certa sorpresa,</w:t>
      </w:r>
      <w:r w:rsidRPr="005378A4">
        <w:rPr>
          <w:rFonts w:ascii="Times New Roman" w:eastAsia="Times New Roman" w:hAnsi="Times New Roman" w:cs="Times New Roman"/>
          <w:color w:val="000000"/>
        </w:rPr>
        <w:t xml:space="preserve"> è sostenuto, </w:t>
      </w:r>
      <w:r>
        <w:rPr>
          <w:rFonts w:ascii="Times New Roman" w:eastAsia="Times New Roman" w:hAnsi="Times New Roman" w:cs="Times New Roman"/>
          <w:color w:val="000000"/>
        </w:rPr>
        <w:t xml:space="preserve">nelle osservazioni conclusive </w:t>
      </w:r>
      <w:r w:rsidRPr="00854087">
        <w:rPr>
          <w:rFonts w:ascii="Times New Roman" w:eastAsia="Times New Roman" w:hAnsi="Times New Roman" w:cs="Times New Roman"/>
          <w:color w:val="000000"/>
        </w:rPr>
        <w:t xml:space="preserve">del primo capitolo </w:t>
      </w:r>
      <w:r w:rsidRPr="00BF55CC">
        <w:rPr>
          <w:rFonts w:ascii="Times New Roman" w:eastAsia="Times New Roman" w:hAnsi="Times New Roman" w:cs="Times New Roman"/>
          <w:color w:val="000000"/>
        </w:rPr>
        <w:t xml:space="preserve">de </w:t>
      </w:r>
      <w:r w:rsidRPr="00BF55CC">
        <w:rPr>
          <w:rFonts w:ascii="Times New Roman" w:eastAsia="Times New Roman" w:hAnsi="Times New Roman" w:cs="Times New Roman"/>
          <w:i/>
          <w:color w:val="000000"/>
        </w:rPr>
        <w:t>Il Male radicale nella Qabbalah</w:t>
      </w:r>
      <w:r w:rsidRPr="00BF55CC">
        <w:rPr>
          <w:rFonts w:ascii="Times New Roman" w:eastAsia="Times New Roman" w:hAnsi="Times New Roman" w:cs="Times New Roman"/>
          <w:color w:val="000000"/>
        </w:rPr>
        <w:t>, che non è possibile individuare i testi cabbalistici a cui Hegel si sarebbe richiamato nella definizione della negatività assoluta del pensiero puro. Sicuramente, e questa è convinzione di Idel, non si può parlare, come Franck invece faceva</w:t>
      </w:r>
      <w:r>
        <w:rPr>
          <w:rFonts w:ascii="Times New Roman" w:eastAsia="Times New Roman" w:hAnsi="Times New Roman" w:cs="Times New Roman"/>
          <w:color w:val="000000"/>
        </w:rPr>
        <w:t>, di un’influenza dell’</w:t>
      </w:r>
      <w:r w:rsidRPr="007B06A2">
        <w:rPr>
          <w:rFonts w:ascii="Times New Roman" w:eastAsia="Times New Roman" w:hAnsi="Times New Roman" w:cs="Times New Roman"/>
          <w:i/>
          <w:color w:val="000000"/>
        </w:rPr>
        <w:t>Idra Zuta</w:t>
      </w:r>
      <w:r>
        <w:rPr>
          <w:rFonts w:ascii="Times New Roman" w:eastAsia="Times New Roman" w:hAnsi="Times New Roman" w:cs="Times New Roman"/>
          <w:color w:val="000000"/>
        </w:rPr>
        <w:t xml:space="preserve"> sulla logica hegeliana</w:t>
      </w:r>
      <w:r w:rsidRPr="005E369E">
        <w:rPr>
          <w:rStyle w:val="Rimandonotaapidipagina"/>
          <w:rFonts w:ascii="Times New Roman" w:eastAsia="Times New Roman" w:hAnsi="Times New Roman" w:cs="Times New Roman"/>
          <w:color w:val="000000"/>
        </w:rPr>
        <w:footnoteReference w:id="322"/>
      </w:r>
      <w:r w:rsidRPr="005E369E">
        <w:rPr>
          <w:rFonts w:ascii="Times New Roman" w:eastAsia="Times New Roman" w:hAnsi="Times New Roman" w:cs="Times New Roman"/>
          <w:color w:val="000000"/>
        </w:rPr>
        <w:t xml:space="preserve">. </w:t>
      </w:r>
      <w:r w:rsidRPr="00BF55CC">
        <w:rPr>
          <w:rFonts w:ascii="Times New Roman" w:eastAsia="Times New Roman" w:hAnsi="Times New Roman" w:cs="Times New Roman"/>
          <w:color w:val="000000"/>
        </w:rPr>
        <w:t>Non si possono</w:t>
      </w:r>
      <w:r w:rsidRPr="00BF55CC">
        <w:rPr>
          <w:rFonts w:ascii="Times New Roman" w:eastAsia="Times New Roman" w:hAnsi="Times New Roman" w:cs="Times New Roman"/>
          <w:i/>
          <w:color w:val="000000"/>
        </w:rPr>
        <w:t xml:space="preserve"> </w:t>
      </w:r>
      <w:r w:rsidRPr="00BF55CC">
        <w:rPr>
          <w:rFonts w:ascii="Times New Roman" w:eastAsia="Times New Roman" w:hAnsi="Times New Roman" w:cs="Times New Roman"/>
          <w:color w:val="000000"/>
        </w:rPr>
        <w:t xml:space="preserve">individuare con chiarezza le fonti, ma si può essere certi di una reminiscenza cabbalistica nell’opera di </w:t>
      </w:r>
      <w:r w:rsidR="000C0B39">
        <w:rPr>
          <w:rFonts w:ascii="Times New Roman" w:eastAsia="Times New Roman" w:hAnsi="Times New Roman" w:cs="Times New Roman"/>
          <w:color w:val="000000"/>
        </w:rPr>
        <w:t xml:space="preserve">Hegel. </w:t>
      </w:r>
      <w:r w:rsidR="000C0B39" w:rsidRPr="00F62467">
        <w:rPr>
          <w:rFonts w:ascii="Times New Roman" w:eastAsia="Times New Roman" w:hAnsi="Times New Roman" w:cs="Times New Roman"/>
          <w:color w:val="000000"/>
        </w:rPr>
        <w:t>È chiaro che questo livello argomentativo – in parte legittimo, se si pensa all’oggetto dell’indagine di Moshe Idel (il male pirmordiale nella Qabbalahe, non nella filosofia della religione di Hegel) –</w:t>
      </w:r>
      <w:r w:rsidRPr="00BF55CC">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offre</w:t>
      </w:r>
      <w:r w:rsidRPr="00BF55CC">
        <w:rPr>
          <w:rFonts w:ascii="Times New Roman" w:eastAsia="Times New Roman" w:hAnsi="Times New Roman" w:cs="Times New Roman"/>
          <w:color w:val="000000"/>
        </w:rPr>
        <w:t xml:space="preserve"> il fianco a quella stessa critica formulata da Schelling nei riguardi dell’ontologia di Spinoza: essa non può spiegarci come l’infinito diventi finito; tutt’al più essa può assicurarci che ciò accada senza che si possano verificare le ragioni di questo accadere</w:t>
      </w:r>
      <w:r w:rsidRPr="00BF55CC">
        <w:rPr>
          <w:rStyle w:val="Rimandonotaapidipagina"/>
          <w:rFonts w:ascii="Times New Roman" w:eastAsia="Times New Roman" w:hAnsi="Times New Roman" w:cs="Times New Roman"/>
          <w:color w:val="000000"/>
        </w:rPr>
        <w:footnoteReference w:id="323"/>
      </w:r>
      <w:r w:rsidRPr="00BF55CC">
        <w:rPr>
          <w:rFonts w:ascii="Times New Roman" w:eastAsia="Times New Roman" w:hAnsi="Times New Roman" w:cs="Times New Roman"/>
          <w:color w:val="000000"/>
        </w:rPr>
        <w:t>.</w:t>
      </w:r>
      <w:r w:rsidRPr="003A6AD1">
        <w:rPr>
          <w:rFonts w:ascii="Times New Roman" w:eastAsia="Times New Roman" w:hAnsi="Times New Roman" w:cs="Times New Roman"/>
          <w:color w:val="000000"/>
        </w:rPr>
        <w:t xml:space="preserve"> Come si può immaginare</w:t>
      </w:r>
      <w:r w:rsidRPr="000C0C71">
        <w:rPr>
          <w:rFonts w:ascii="Times New Roman" w:eastAsia="Times New Roman" w:hAnsi="Times New Roman" w:cs="Times New Roman"/>
          <w:color w:val="000000"/>
        </w:rPr>
        <w:t xml:space="preserve">, una rassicurazione, a prescindere dall’autorità di colui che la pronuncia, non può essere sufficiente a fondare e legittimare </w:t>
      </w:r>
      <w:r w:rsidRPr="00BF55CC">
        <w:rPr>
          <w:rFonts w:ascii="Times New Roman" w:eastAsia="Times New Roman" w:hAnsi="Times New Roman" w:cs="Times New Roman"/>
          <w:color w:val="000000"/>
        </w:rPr>
        <w:t>una proposta interpretativa dalla portata storico-filosofica così radicale. La suggestione, per quanto legittima, se privata di controprove testuali, rischia di rimanere un’assunzione infondata. Senza l’identificazione delle fonti la proposta interpretativa di Idel rischia d’imboccare un vicolo cieco.</w:t>
      </w:r>
      <w:r w:rsidRPr="000C0C71">
        <w:rPr>
          <w:rFonts w:ascii="Times New Roman" w:eastAsia="Times New Roman" w:hAnsi="Times New Roman" w:cs="Times New Roman"/>
          <w:color w:val="000000"/>
        </w:rPr>
        <w:t xml:space="preserve"> </w:t>
      </w:r>
    </w:p>
    <w:p w14:paraId="130996F1" w14:textId="6F17D080" w:rsidR="001B7751" w:rsidRDefault="001B7751" w:rsidP="001B7751">
      <w:pPr>
        <w:pStyle w:val="Paragrafoelenco"/>
        <w:spacing w:line="360" w:lineRule="auto"/>
        <w:ind w:left="0" w:firstLine="567"/>
        <w:jc w:val="both"/>
        <w:rPr>
          <w:rFonts w:ascii="Times New Roman" w:eastAsia="Times New Roman" w:hAnsi="Times New Roman" w:cs="Times New Roman"/>
          <w:color w:val="000000"/>
        </w:rPr>
      </w:pPr>
      <w:r>
        <w:rPr>
          <w:rFonts w:ascii="Times New Roman" w:eastAsia="Times New Roman" w:hAnsi="Times New Roman" w:cs="Times New Roman"/>
          <w:color w:val="000000"/>
        </w:rPr>
        <w:t>In realtà, u</w:t>
      </w:r>
      <w:r w:rsidRPr="002A5356">
        <w:rPr>
          <w:rFonts w:ascii="Times New Roman" w:eastAsia="Times New Roman" w:hAnsi="Times New Roman" w:cs="Times New Roman"/>
          <w:color w:val="000000"/>
        </w:rPr>
        <w:t xml:space="preserve">na possibile via d’uscita da questa </w:t>
      </w:r>
      <w:r w:rsidRPr="002A5356">
        <w:rPr>
          <w:rFonts w:ascii="Times New Roman" w:eastAsia="Times New Roman" w:hAnsi="Times New Roman" w:cs="Times New Roman"/>
          <w:i/>
          <w:color w:val="000000"/>
          <w:lang w:val="fr-CA"/>
        </w:rPr>
        <w:t>impasse</w:t>
      </w:r>
      <w:r w:rsidRPr="002A5356">
        <w:rPr>
          <w:rFonts w:ascii="Times New Roman" w:eastAsia="Times New Roman" w:hAnsi="Times New Roman" w:cs="Times New Roman"/>
          <w:color w:val="000000"/>
          <w:lang w:val="fr-CA"/>
        </w:rPr>
        <w:t xml:space="preserve"> </w:t>
      </w:r>
      <w:r w:rsidRPr="002A5356">
        <w:rPr>
          <w:rFonts w:ascii="Times New Roman" w:eastAsia="Times New Roman" w:hAnsi="Times New Roman" w:cs="Times New Roman"/>
          <w:color w:val="000000"/>
        </w:rPr>
        <w:t>è offerta</w:t>
      </w:r>
      <w:r>
        <w:rPr>
          <w:rFonts w:ascii="Times New Roman" w:eastAsia="Times New Roman" w:hAnsi="Times New Roman" w:cs="Times New Roman"/>
          <w:color w:val="000000"/>
        </w:rPr>
        <w:t xml:space="preserve"> </w:t>
      </w:r>
      <w:r w:rsidRPr="002A5356">
        <w:rPr>
          <w:rFonts w:ascii="Times New Roman" w:eastAsia="Times New Roman" w:hAnsi="Times New Roman" w:cs="Times New Roman"/>
          <w:color w:val="000000"/>
        </w:rPr>
        <w:t xml:space="preserve">dallo stesso Idel, che muove una serie di osservazioni contigue a quanto è stato discusso nel precedente capitolo. Cercando di corroborare la derivazione cabbalistica di alcuni concetti portanti del </w:t>
      </w:r>
      <w:r w:rsidRPr="002601CE">
        <w:rPr>
          <w:rFonts w:ascii="Times New Roman" w:eastAsia="Times New Roman" w:hAnsi="Times New Roman" w:cs="Times New Roman"/>
          <w:color w:val="000000"/>
        </w:rPr>
        <w:t xml:space="preserve">pensiero di Hegel, Idel afferma </w:t>
      </w:r>
      <w:r w:rsidR="00EB7208">
        <w:rPr>
          <w:rFonts w:ascii="Times New Roman" w:eastAsia="Times New Roman" w:hAnsi="Times New Roman" w:cs="Times New Roman"/>
          <w:color w:val="000000"/>
        </w:rPr>
        <w:t xml:space="preserve">che «la fonti della dialettica </w:t>
      </w:r>
      <w:r w:rsidRPr="002601CE">
        <w:rPr>
          <w:rFonts w:ascii="Times New Roman" w:eastAsia="Times New Roman" w:hAnsi="Times New Roman" w:cs="Times New Roman"/>
          <w:color w:val="000000"/>
        </w:rPr>
        <w:t>hegeliana bene/male in Dio siano state influenzate senz’ombra di dubbio dagli scritti di Jakob Böhme […] e che le fonti stesse di Böhme siano state riferite da altri studiosi alla Qabbalah»</w:t>
      </w:r>
      <w:r w:rsidRPr="002601CE">
        <w:rPr>
          <w:rStyle w:val="Rimandonotaapidipagina"/>
          <w:rFonts w:ascii="Times New Roman" w:eastAsia="Times New Roman" w:hAnsi="Times New Roman" w:cs="Times New Roman"/>
          <w:color w:val="000000"/>
        </w:rPr>
        <w:footnoteReference w:id="324"/>
      </w:r>
      <w:r w:rsidRPr="002601CE">
        <w:rPr>
          <w:rFonts w:ascii="Times New Roman" w:eastAsia="Times New Roman" w:hAnsi="Times New Roman" w:cs="Times New Roman"/>
          <w:color w:val="000000"/>
        </w:rPr>
        <w:t xml:space="preserve">. In questo caso specifico, la ripresa della teoria böhmiana del male costituisce un esempio di ricezione </w:t>
      </w:r>
      <w:r w:rsidRPr="002601CE">
        <w:rPr>
          <w:rFonts w:ascii="Times New Roman" w:eastAsia="Times New Roman" w:hAnsi="Times New Roman" w:cs="Times New Roman"/>
          <w:i/>
          <w:color w:val="000000"/>
        </w:rPr>
        <w:t>mediata</w:t>
      </w:r>
      <w:r w:rsidRPr="002601CE">
        <w:rPr>
          <w:rFonts w:ascii="Times New Roman" w:eastAsia="Times New Roman" w:hAnsi="Times New Roman" w:cs="Times New Roman"/>
          <w:color w:val="000000"/>
        </w:rPr>
        <w:t xml:space="preserve"> di tematiche cabbalistiche nel sistema di Hegel</w:t>
      </w:r>
      <w:r w:rsidRPr="002601CE">
        <w:rPr>
          <w:rStyle w:val="Rimandonotaapidipagina"/>
          <w:rFonts w:ascii="Times New Roman" w:eastAsia="Times New Roman" w:hAnsi="Times New Roman" w:cs="Times New Roman"/>
          <w:color w:val="000000"/>
        </w:rPr>
        <w:footnoteReference w:id="325"/>
      </w:r>
      <w:r w:rsidRPr="002601CE">
        <w:rPr>
          <w:rFonts w:ascii="Times New Roman" w:eastAsia="Times New Roman" w:hAnsi="Times New Roman" w:cs="Times New Roman"/>
          <w:color w:val="000000"/>
        </w:rPr>
        <w:t xml:space="preserve">. Dal momento che Böhme si presta ad essere un </w:t>
      </w:r>
      <w:r w:rsidRPr="002601CE">
        <w:rPr>
          <w:rFonts w:ascii="Times New Roman" w:eastAsia="Times New Roman" w:hAnsi="Times New Roman" w:cs="Times New Roman"/>
          <w:i/>
          <w:color w:val="000000"/>
        </w:rPr>
        <w:t>medium</w:t>
      </w:r>
      <w:r w:rsidRPr="002601CE">
        <w:rPr>
          <w:rFonts w:ascii="Times New Roman" w:eastAsia="Times New Roman" w:hAnsi="Times New Roman" w:cs="Times New Roman"/>
          <w:color w:val="000000"/>
        </w:rPr>
        <w:t xml:space="preserve"> della tradizione mistica ebraica,</w:t>
      </w:r>
      <w:r w:rsidRPr="00B92A05">
        <w:rPr>
          <w:rFonts w:ascii="Times New Roman" w:eastAsia="Times New Roman" w:hAnsi="Times New Roman" w:cs="Times New Roman"/>
          <w:color w:val="000000"/>
        </w:rPr>
        <w:t xml:space="preserve"> </w:t>
      </w:r>
      <w:r w:rsidRPr="00133358">
        <w:rPr>
          <w:rFonts w:ascii="Times New Roman" w:eastAsia="Times New Roman" w:hAnsi="Times New Roman" w:cs="Times New Roman"/>
          <w:color w:val="000000"/>
        </w:rPr>
        <w:t>una domanda più che legittima s’impone all’attenzione del lettore: se il pensiero böhmiano è già veicolo di una concezione bene/male d’ispirazione cabbalistica, perché non può essere anche il medio cristiano dell’unità di negatività assoluta e pensiero puro?</w:t>
      </w:r>
      <w:r>
        <w:rPr>
          <w:rFonts w:ascii="Times New Roman" w:eastAsia="Times New Roman" w:hAnsi="Times New Roman" w:cs="Times New Roman"/>
          <w:color w:val="000000"/>
        </w:rPr>
        <w:t xml:space="preserve"> </w:t>
      </w:r>
      <w:r w:rsidRPr="003B365D">
        <w:rPr>
          <w:rFonts w:ascii="Times New Roman" w:eastAsia="Times New Roman" w:hAnsi="Times New Roman" w:cs="Times New Roman"/>
          <w:color w:val="000000"/>
        </w:rPr>
        <w:t>Idel</w:t>
      </w:r>
      <w:r w:rsidRPr="000033FE">
        <w:rPr>
          <w:rFonts w:ascii="Times New Roman" w:eastAsia="Times New Roman" w:hAnsi="Times New Roman" w:cs="Times New Roman"/>
          <w:color w:val="000000"/>
        </w:rPr>
        <w:t xml:space="preserve"> ritiene che non sia possibile indicare in Böhme il punto di congiunzione fra idealismo hegeliano e misticismo ebraico</w:t>
      </w:r>
      <w:r>
        <w:rPr>
          <w:rFonts w:ascii="Times New Roman" w:eastAsia="Times New Roman" w:hAnsi="Times New Roman" w:cs="Times New Roman"/>
          <w:color w:val="000000"/>
        </w:rPr>
        <w:t>,</w:t>
      </w:r>
      <w:r w:rsidRPr="000033FE">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 xml:space="preserve">perché </w:t>
      </w:r>
      <w:r w:rsidRPr="00A27071">
        <w:rPr>
          <w:rFonts w:ascii="Times New Roman" w:eastAsia="Times New Roman" w:hAnsi="Times New Roman" w:cs="Times New Roman"/>
          <w:color w:val="000000"/>
        </w:rPr>
        <w:t>«nell’opera di Böhme non vi è traccia della connessione fra negatività e pensiero puro»</w:t>
      </w:r>
      <w:r w:rsidRPr="00A27071">
        <w:rPr>
          <w:rStyle w:val="Rimandonotaapidipagina"/>
          <w:rFonts w:ascii="Times New Roman" w:eastAsia="Times New Roman" w:hAnsi="Times New Roman" w:cs="Times New Roman"/>
          <w:color w:val="000000"/>
        </w:rPr>
        <w:footnoteReference w:id="326"/>
      </w:r>
      <w:r w:rsidRPr="00A27071">
        <w:rPr>
          <w:rFonts w:ascii="Times New Roman" w:eastAsia="Times New Roman" w:hAnsi="Times New Roman" w:cs="Times New Roman"/>
          <w:color w:val="000000"/>
        </w:rPr>
        <w:t>.</w:t>
      </w:r>
      <w:r w:rsidRPr="000033FE">
        <w:rPr>
          <w:rFonts w:ascii="Times New Roman" w:eastAsia="Times New Roman" w:hAnsi="Times New Roman" w:cs="Times New Roman"/>
          <w:color w:val="000000"/>
        </w:rPr>
        <w:t xml:space="preserve"> All’esclusione di una mediazione böhmiana sul tema, si può rispondere che il pensiero di Böhme</w:t>
      </w:r>
      <w:r>
        <w:rPr>
          <w:rFonts w:ascii="Times New Roman" w:eastAsia="Times New Roman" w:hAnsi="Times New Roman" w:cs="Times New Roman"/>
          <w:color w:val="000000"/>
        </w:rPr>
        <w:t xml:space="preserve"> </w:t>
      </w:r>
      <w:r w:rsidRPr="000033FE">
        <w:rPr>
          <w:rFonts w:ascii="Times New Roman" w:eastAsia="Times New Roman" w:hAnsi="Times New Roman" w:cs="Times New Roman"/>
          <w:color w:val="000000"/>
        </w:rPr>
        <w:t xml:space="preserve">è stato interpretato da Hegel come una prefigurazione mistica della negatività incondizionata dell’Assoluto. </w:t>
      </w:r>
      <w:r w:rsidRPr="000D3B14">
        <w:rPr>
          <w:rFonts w:ascii="Times New Roman" w:eastAsia="Times New Roman" w:hAnsi="Times New Roman" w:cs="Times New Roman"/>
          <w:color w:val="000000"/>
        </w:rPr>
        <w:t xml:space="preserve">Come si ricorderà, il male è una </w:t>
      </w:r>
      <w:r w:rsidRPr="003003B3">
        <w:rPr>
          <w:rFonts w:ascii="Times New Roman" w:eastAsia="Times New Roman" w:hAnsi="Times New Roman" w:cs="Times New Roman"/>
          <w:i/>
          <w:color w:val="000000"/>
        </w:rPr>
        <w:t xml:space="preserve">rappresentazione </w:t>
      </w:r>
      <w:r w:rsidRPr="000D3B14">
        <w:rPr>
          <w:rFonts w:ascii="Times New Roman" w:eastAsia="Times New Roman" w:hAnsi="Times New Roman" w:cs="Times New Roman"/>
          <w:color w:val="000000"/>
        </w:rPr>
        <w:t xml:space="preserve">che già negli </w:t>
      </w:r>
      <w:r w:rsidRPr="000D3B14">
        <w:rPr>
          <w:rFonts w:ascii="Times New Roman" w:eastAsia="Times New Roman" w:hAnsi="Times New Roman" w:cs="Times New Roman"/>
          <w:i/>
          <w:color w:val="000000"/>
        </w:rPr>
        <w:t>Jenaer Schriften</w:t>
      </w:r>
      <w:r w:rsidRPr="000D3B14">
        <w:rPr>
          <w:rFonts w:ascii="Times New Roman" w:eastAsia="Times New Roman" w:hAnsi="Times New Roman" w:cs="Times New Roman"/>
          <w:color w:val="000000"/>
        </w:rPr>
        <w:t xml:space="preserve"> restituisce la funzione </w:t>
      </w:r>
      <w:r w:rsidRPr="00F62467">
        <w:rPr>
          <w:rFonts w:ascii="Times New Roman" w:eastAsia="Times New Roman" w:hAnsi="Times New Roman" w:cs="Times New Roman"/>
          <w:color w:val="000000"/>
        </w:rPr>
        <w:t xml:space="preserve">positiva del negativo nel </w:t>
      </w:r>
      <w:r w:rsidRPr="00F62467">
        <w:rPr>
          <w:rFonts w:ascii="Times New Roman" w:eastAsia="Times New Roman" w:hAnsi="Times New Roman" w:cs="Times New Roman"/>
          <w:i/>
          <w:color w:val="000000"/>
        </w:rPr>
        <w:t>Lebenslauf Gottes</w:t>
      </w:r>
      <w:r w:rsidRPr="00F62467">
        <w:rPr>
          <w:rFonts w:ascii="Times New Roman" w:eastAsia="Times New Roman" w:hAnsi="Times New Roman" w:cs="Times New Roman"/>
          <w:color w:val="000000"/>
        </w:rPr>
        <w:t>. Se in un primo momento il male descrive il tentativo dell’essere altro del divino di far valere il proprio essere per sé (</w:t>
      </w:r>
      <w:r w:rsidRPr="00F62467">
        <w:rPr>
          <w:rFonts w:ascii="Times New Roman" w:eastAsia="Times New Roman" w:hAnsi="Times New Roman" w:cs="Times New Roman"/>
          <w:i/>
          <w:color w:val="000000"/>
        </w:rPr>
        <w:t>Fragment 49</w:t>
      </w:r>
      <w:r w:rsidR="00BF0026" w:rsidRPr="00F62467">
        <w:rPr>
          <w:rFonts w:ascii="Times New Roman" w:eastAsia="Times New Roman" w:hAnsi="Times New Roman" w:cs="Times New Roman"/>
          <w:i/>
          <w:color w:val="000000"/>
        </w:rPr>
        <w:t xml:space="preserve"> </w:t>
      </w:r>
      <w:r w:rsidR="00BF0026" w:rsidRPr="00F62467">
        <w:rPr>
          <w:rFonts w:ascii="Times New Roman" w:eastAsia="Times New Roman" w:hAnsi="Times New Roman" w:cs="Times New Roman"/>
          <w:color w:val="000000"/>
        </w:rPr>
        <w:t xml:space="preserve">e </w:t>
      </w:r>
      <w:r w:rsidR="00BF0026" w:rsidRPr="00F62467">
        <w:rPr>
          <w:rFonts w:ascii="Times New Roman" w:eastAsia="Times New Roman" w:hAnsi="Times New Roman" w:cs="Times New Roman"/>
          <w:i/>
          <w:color w:val="000000"/>
        </w:rPr>
        <w:t>Höchstes Wesen</w:t>
      </w:r>
      <w:r w:rsidRPr="00F62467">
        <w:rPr>
          <w:rFonts w:ascii="Times New Roman" w:eastAsia="Times New Roman" w:hAnsi="Times New Roman" w:cs="Times New Roman"/>
          <w:color w:val="000000"/>
        </w:rPr>
        <w:t>), in un secondo momento esso esprime la negatività prima e</w:t>
      </w:r>
      <w:r w:rsidR="00BF0026" w:rsidRPr="00F62467">
        <w:rPr>
          <w:rFonts w:ascii="Times New Roman" w:eastAsia="Times New Roman" w:hAnsi="Times New Roman" w:cs="Times New Roman"/>
          <w:color w:val="000000"/>
        </w:rPr>
        <w:t xml:space="preserve"> incondizionata dell’Assoluto </w:t>
      </w:r>
      <w:r w:rsidRPr="00F62467">
        <w:rPr>
          <w:rFonts w:ascii="Times New Roman" w:eastAsia="Times New Roman" w:hAnsi="Times New Roman" w:cs="Times New Roman"/>
          <w:color w:val="000000"/>
        </w:rPr>
        <w:t>(</w:t>
      </w:r>
      <w:r w:rsidRPr="00F62467">
        <w:rPr>
          <w:rFonts w:ascii="Times New Roman" w:eastAsia="Times New Roman" w:hAnsi="Times New Roman" w:cs="Times New Roman"/>
          <w:i/>
          <w:color w:val="000000"/>
          <w:lang w:val="de-DE"/>
        </w:rPr>
        <w:t>Metaphysik</w:t>
      </w:r>
      <w:r w:rsidR="00BF0026" w:rsidRPr="00F62467">
        <w:rPr>
          <w:rFonts w:ascii="Times New Roman" w:eastAsia="Times New Roman" w:hAnsi="Times New Roman" w:cs="Times New Roman"/>
          <w:i/>
          <w:color w:val="000000"/>
          <w:lang w:val="de-DE"/>
        </w:rPr>
        <w:t xml:space="preserve"> der Subjectivität</w:t>
      </w:r>
      <w:r w:rsidRPr="000033FE">
        <w:rPr>
          <w:rFonts w:ascii="Times New Roman" w:eastAsia="Times New Roman" w:hAnsi="Times New Roman" w:cs="Times New Roman"/>
          <w:color w:val="000000"/>
        </w:rPr>
        <w:t xml:space="preserve"> e </w:t>
      </w:r>
      <w:r w:rsidRPr="000033FE">
        <w:rPr>
          <w:rFonts w:ascii="Times New Roman" w:eastAsia="Times New Roman" w:hAnsi="Times New Roman" w:cs="Times New Roman"/>
          <w:i/>
          <w:color w:val="000000"/>
          <w:lang w:val="de-DE"/>
        </w:rPr>
        <w:t>Phänomenologie des Geistes</w:t>
      </w:r>
      <w:r w:rsidRPr="000033FE">
        <w:rPr>
          <w:rFonts w:ascii="Times New Roman" w:eastAsia="Times New Roman" w:hAnsi="Times New Roman" w:cs="Times New Roman"/>
          <w:color w:val="000000"/>
        </w:rPr>
        <w:t>).</w:t>
      </w:r>
      <w:r w:rsidRPr="00E94357">
        <w:rPr>
          <w:rFonts w:ascii="Times New Roman" w:eastAsia="Times New Roman" w:hAnsi="Times New Roman" w:cs="Times New Roman"/>
          <w:color w:val="000000"/>
        </w:rPr>
        <w:t xml:space="preserve"> </w:t>
      </w:r>
      <w:r w:rsidRPr="003A2DD5">
        <w:rPr>
          <w:rFonts w:ascii="Times New Roman" w:eastAsia="Times New Roman" w:hAnsi="Times New Roman" w:cs="Times New Roman"/>
          <w:color w:val="000000"/>
        </w:rPr>
        <w:t xml:space="preserve">In forza della sua intrinseca negatività, l’infinità è un nulla che </w:t>
      </w:r>
      <w:r w:rsidRPr="000D3B14">
        <w:rPr>
          <w:rFonts w:ascii="Times New Roman" w:eastAsia="Times New Roman" w:hAnsi="Times New Roman" w:cs="Times New Roman"/>
          <w:i/>
          <w:color w:val="000000"/>
        </w:rPr>
        <w:t>cade</w:t>
      </w:r>
      <w:r w:rsidRPr="003A2DD5">
        <w:rPr>
          <w:rFonts w:ascii="Times New Roman" w:eastAsia="Times New Roman" w:hAnsi="Times New Roman" w:cs="Times New Roman"/>
          <w:color w:val="000000"/>
        </w:rPr>
        <w:t>, si realizza come natura e torna a sé come spirito (</w:t>
      </w:r>
      <w:r w:rsidRPr="003A2DD5">
        <w:rPr>
          <w:rFonts w:ascii="Times New Roman" w:eastAsia="Times New Roman" w:hAnsi="Times New Roman" w:cs="Times New Roman"/>
          <w:i/>
          <w:color w:val="000000"/>
        </w:rPr>
        <w:t>Metaphysik des Subjecktivität</w:t>
      </w:r>
      <w:r w:rsidRPr="003A2DD5">
        <w:rPr>
          <w:rFonts w:ascii="Times New Roman" w:eastAsia="Times New Roman" w:hAnsi="Times New Roman" w:cs="Times New Roman"/>
          <w:color w:val="000000"/>
        </w:rPr>
        <w:t>)</w:t>
      </w:r>
      <w:r w:rsidRPr="003A2DD5">
        <w:rPr>
          <w:rStyle w:val="Rimandonotaapidipagina"/>
          <w:rFonts w:ascii="Times New Roman" w:eastAsia="Times New Roman" w:hAnsi="Times New Roman" w:cs="Times New Roman"/>
          <w:color w:val="000000"/>
        </w:rPr>
        <w:footnoteReference w:id="327"/>
      </w:r>
      <w:r w:rsidRPr="003A2DD5">
        <w:rPr>
          <w:rFonts w:ascii="Times New Roman" w:eastAsia="Times New Roman" w:hAnsi="Times New Roman" w:cs="Times New Roman"/>
          <w:color w:val="000000"/>
        </w:rPr>
        <w:t xml:space="preserve">. </w:t>
      </w:r>
      <w:r w:rsidRPr="007643FC">
        <w:rPr>
          <w:rFonts w:ascii="Times New Roman" w:eastAsia="Times New Roman" w:hAnsi="Times New Roman" w:cs="Times New Roman"/>
          <w:color w:val="000000"/>
        </w:rPr>
        <w:t xml:space="preserve">Analogamente a ciò, nel </w:t>
      </w:r>
      <w:r w:rsidRPr="00612B57">
        <w:rPr>
          <w:rFonts w:ascii="Times New Roman" w:eastAsia="Times New Roman" w:hAnsi="Times New Roman" w:cs="Times New Roman"/>
          <w:i/>
          <w:color w:val="000000"/>
        </w:rPr>
        <w:t>primo r</w:t>
      </w:r>
      <w:r w:rsidRPr="0012189D">
        <w:rPr>
          <w:rFonts w:ascii="Times New Roman" w:eastAsia="Times New Roman" w:hAnsi="Times New Roman" w:cs="Times New Roman"/>
          <w:i/>
          <w:color w:val="000000"/>
        </w:rPr>
        <w:t>egno del pensiero</w:t>
      </w:r>
      <w:r w:rsidRPr="007643FC">
        <w:rPr>
          <w:rFonts w:ascii="Times New Roman" w:eastAsia="Times New Roman" w:hAnsi="Times New Roman" w:cs="Times New Roman"/>
          <w:color w:val="000000"/>
        </w:rPr>
        <w:t>, in una dimensione in cui il divino è ancora indifferenziato, è</w:t>
      </w:r>
      <w:r w:rsidRPr="003A2DD5">
        <w:rPr>
          <w:rFonts w:ascii="Times New Roman" w:eastAsia="Times New Roman" w:hAnsi="Times New Roman" w:cs="Times New Roman"/>
          <w:color w:val="000000"/>
        </w:rPr>
        <w:t xml:space="preserve"> il male, inteso come negatività pura e semplice, che attiva la dinamica realizzativa dell’</w:t>
      </w:r>
      <w:r>
        <w:rPr>
          <w:rFonts w:ascii="Times New Roman" w:eastAsia="Times New Roman" w:hAnsi="Times New Roman" w:cs="Times New Roman"/>
          <w:color w:val="000000"/>
        </w:rPr>
        <w:t>Assoluto</w:t>
      </w:r>
      <w:r w:rsidRPr="003A2DD5">
        <w:rPr>
          <w:rFonts w:ascii="Times New Roman" w:eastAsia="Times New Roman" w:hAnsi="Times New Roman" w:cs="Times New Roman"/>
          <w:color w:val="000000"/>
        </w:rPr>
        <w:t xml:space="preserve"> (</w:t>
      </w:r>
      <w:r w:rsidRPr="003A2DD5">
        <w:rPr>
          <w:rFonts w:ascii="Times New Roman" w:eastAsia="Times New Roman" w:hAnsi="Times New Roman" w:cs="Times New Roman"/>
          <w:i/>
          <w:color w:val="000000"/>
          <w:lang w:val="de-DE"/>
        </w:rPr>
        <w:t>Religionskapitel</w:t>
      </w:r>
      <w:r w:rsidRPr="003A2DD5">
        <w:rPr>
          <w:rFonts w:ascii="Times New Roman" w:eastAsia="Times New Roman" w:hAnsi="Times New Roman" w:cs="Times New Roman"/>
          <w:color w:val="000000"/>
          <w:lang w:val="de-DE"/>
        </w:rPr>
        <w:t>)</w:t>
      </w:r>
      <w:r w:rsidRPr="003A2DD5">
        <w:rPr>
          <w:rStyle w:val="Rimandonotaapidipagina"/>
          <w:rFonts w:ascii="Times New Roman" w:eastAsia="Times New Roman" w:hAnsi="Times New Roman" w:cs="Times New Roman"/>
          <w:color w:val="000000"/>
        </w:rPr>
        <w:footnoteReference w:id="328"/>
      </w:r>
      <w:r>
        <w:rPr>
          <w:rFonts w:ascii="Times New Roman" w:eastAsia="Times New Roman" w:hAnsi="Times New Roman" w:cs="Times New Roman"/>
          <w:color w:val="000000"/>
        </w:rPr>
        <w:t xml:space="preserve">. </w:t>
      </w:r>
      <w:r w:rsidRPr="003A2DD5">
        <w:rPr>
          <w:rFonts w:ascii="Times New Roman" w:eastAsia="Times New Roman" w:hAnsi="Times New Roman" w:cs="Times New Roman"/>
          <w:color w:val="000000"/>
        </w:rPr>
        <w:t xml:space="preserve">Lo sforzo della </w:t>
      </w:r>
      <w:r w:rsidRPr="00AF0229">
        <w:rPr>
          <w:rFonts w:ascii="Times New Roman" w:eastAsia="Times New Roman" w:hAnsi="Times New Roman" w:cs="Times New Roman"/>
          <w:color w:val="000000"/>
        </w:rPr>
        <w:t xml:space="preserve">rappresentazione di cogliere il male come principio di sviluppo dell’essenza </w:t>
      </w:r>
      <w:r w:rsidRPr="00AF0229">
        <w:rPr>
          <w:rFonts w:ascii="Times New Roman" w:eastAsia="Times New Roman" w:hAnsi="Times New Roman" w:cs="Times New Roman"/>
          <w:i/>
          <w:color w:val="000000"/>
        </w:rPr>
        <w:t>suprema</w:t>
      </w:r>
      <w:r w:rsidRPr="00AF0229">
        <w:rPr>
          <w:rFonts w:ascii="Times New Roman" w:eastAsia="Times New Roman" w:hAnsi="Times New Roman" w:cs="Times New Roman"/>
          <w:color w:val="000000"/>
        </w:rPr>
        <w:t xml:space="preserve"> si raccoglie nelle immagini böhmiane della </w:t>
      </w:r>
      <w:r w:rsidRPr="00AF0229">
        <w:rPr>
          <w:rFonts w:ascii="Times New Roman" w:eastAsia="Times New Roman" w:hAnsi="Times New Roman" w:cs="Times New Roman"/>
          <w:i/>
          <w:color w:val="000000"/>
        </w:rPr>
        <w:t>Zorn Gottes</w:t>
      </w:r>
      <w:r w:rsidRPr="00AF0229">
        <w:rPr>
          <w:rFonts w:ascii="Times New Roman" w:eastAsia="Times New Roman" w:hAnsi="Times New Roman" w:cs="Times New Roman"/>
          <w:color w:val="000000"/>
        </w:rPr>
        <w:t xml:space="preserve"> e dell’</w:t>
      </w:r>
      <w:r w:rsidRPr="00AF0229">
        <w:rPr>
          <w:rFonts w:ascii="Times New Roman" w:eastAsia="Times New Roman" w:hAnsi="Times New Roman" w:cs="Times New Roman"/>
          <w:i/>
          <w:color w:val="000000"/>
        </w:rPr>
        <w:t>Abfall Lucifers</w:t>
      </w:r>
      <w:r w:rsidRPr="00AF0229">
        <w:rPr>
          <w:rFonts w:ascii="Times New Roman" w:eastAsia="Times New Roman" w:hAnsi="Times New Roman" w:cs="Times New Roman"/>
          <w:color w:val="000000"/>
        </w:rPr>
        <w:t>. Il modo in cui Hegel recepisce Böhme a Jena corrisponde al dettato cabbalistico sottolineato da Moshe Idel: la negatività assoluta del pensiero puro è una dinamica coessenziale allo sviluppo dell’Assoluto a cui Hegel perviene anche grazie alla discussione critica dell’opera böhmiana.</w:t>
      </w:r>
      <w:r w:rsidRPr="003A2DD5">
        <w:rPr>
          <w:rFonts w:ascii="Times New Roman" w:eastAsia="Times New Roman" w:hAnsi="Times New Roman" w:cs="Times New Roman"/>
          <w:color w:val="000000"/>
        </w:rPr>
        <w:t xml:space="preserve"> </w:t>
      </w:r>
    </w:p>
    <w:p w14:paraId="71F06A26" w14:textId="6C22F3E4" w:rsidR="001B7751" w:rsidRPr="0071743A" w:rsidRDefault="00007FBC" w:rsidP="004458FB">
      <w:pPr>
        <w:pStyle w:val="Paragrafoelenco"/>
        <w:spacing w:line="360" w:lineRule="auto"/>
        <w:ind w:left="0" w:firstLine="567"/>
        <w:jc w:val="both"/>
        <w:rPr>
          <w:rFonts w:ascii="Times New Roman" w:eastAsia="Times New Roman" w:hAnsi="Times New Roman" w:cs="Times New Roman"/>
          <w:color w:val="000000"/>
        </w:rPr>
      </w:pPr>
      <w:r w:rsidRPr="00797D3C">
        <w:rPr>
          <w:rFonts w:ascii="Times New Roman" w:eastAsia="Times New Roman" w:hAnsi="Times New Roman" w:cs="Times New Roman"/>
          <w:color w:val="000000"/>
        </w:rPr>
        <w:t>V</w:t>
      </w:r>
      <w:r w:rsidR="001B7751" w:rsidRPr="00797D3C">
        <w:rPr>
          <w:rFonts w:ascii="Times New Roman" w:eastAsia="Times New Roman" w:hAnsi="Times New Roman" w:cs="Times New Roman"/>
          <w:color w:val="000000"/>
        </w:rPr>
        <w:t>alorizzando ciò che di contiguo vi è fra il pensiero di Böhme e la Qabbalah</w:t>
      </w:r>
      <w:r w:rsidR="001B7751" w:rsidRPr="00797D3C">
        <w:rPr>
          <w:rStyle w:val="Rimandonotaapidipagina"/>
          <w:rFonts w:ascii="Times New Roman" w:eastAsia="Times New Roman" w:hAnsi="Times New Roman" w:cs="Times New Roman"/>
          <w:color w:val="000000"/>
        </w:rPr>
        <w:footnoteReference w:id="329"/>
      </w:r>
      <w:r w:rsidR="001B7751" w:rsidRPr="00797D3C">
        <w:rPr>
          <w:rFonts w:ascii="Times New Roman" w:eastAsia="Times New Roman" w:hAnsi="Times New Roman" w:cs="Times New Roman"/>
          <w:color w:val="000000"/>
        </w:rPr>
        <w:t xml:space="preserve">, </w:t>
      </w:r>
      <w:r w:rsidRPr="00797D3C">
        <w:rPr>
          <w:rFonts w:ascii="Times New Roman" w:eastAsia="Times New Roman" w:hAnsi="Times New Roman" w:cs="Times New Roman"/>
          <w:color w:val="000000"/>
        </w:rPr>
        <w:t xml:space="preserve">Hegel sviluppa </w:t>
      </w:r>
      <w:r w:rsidR="001B7751" w:rsidRPr="00797D3C">
        <w:rPr>
          <w:rFonts w:ascii="Times New Roman" w:eastAsia="Times New Roman" w:hAnsi="Times New Roman" w:cs="Times New Roman"/>
          <w:color w:val="000000"/>
        </w:rPr>
        <w:t>un’interpretazione dell’opera del ciabattino di Görlitz congruente alla nozione di negatività assoluta del pensiero puro riscontrabile nella tradizione mistica ebraica.</w:t>
      </w:r>
      <w:r w:rsidR="001B7751" w:rsidRPr="0071743A">
        <w:rPr>
          <w:rFonts w:ascii="Times New Roman" w:eastAsia="Times New Roman" w:hAnsi="Times New Roman" w:cs="Times New Roman"/>
          <w:color w:val="000000"/>
        </w:rPr>
        <w:t xml:space="preserve"> </w:t>
      </w:r>
      <w:r w:rsidR="001B7751" w:rsidRPr="00245FD3">
        <w:rPr>
          <w:rFonts w:ascii="Times New Roman" w:eastAsia="Times New Roman" w:hAnsi="Times New Roman" w:cs="Times New Roman"/>
          <w:color w:val="000000"/>
        </w:rPr>
        <w:t>Pertanto, ritengo storicamente valida e filosoficamente legittima</w:t>
      </w:r>
      <w:r w:rsidR="001B7751" w:rsidRPr="00A57DEC">
        <w:rPr>
          <w:rFonts w:ascii="Times New Roman" w:eastAsia="Times New Roman" w:hAnsi="Times New Roman" w:cs="Times New Roman"/>
          <w:color w:val="000000"/>
        </w:rPr>
        <w:t xml:space="preserve"> l’ipotesi interpretativa de </w:t>
      </w:r>
      <w:r w:rsidR="001B7751" w:rsidRPr="00A57DEC">
        <w:rPr>
          <w:rFonts w:ascii="Times New Roman" w:eastAsia="Times New Roman" w:hAnsi="Times New Roman" w:cs="Times New Roman"/>
          <w:i/>
          <w:color w:val="000000"/>
        </w:rPr>
        <w:t xml:space="preserve">Il male </w:t>
      </w:r>
      <w:r w:rsidR="001B7751" w:rsidRPr="006A6EB1">
        <w:rPr>
          <w:rFonts w:ascii="Times New Roman" w:eastAsia="Times New Roman" w:hAnsi="Times New Roman" w:cs="Times New Roman"/>
          <w:i/>
          <w:color w:val="000000"/>
        </w:rPr>
        <w:t>primordiale nella Qabbalah</w:t>
      </w:r>
      <w:r w:rsidR="001B7751" w:rsidRPr="006A6EB1">
        <w:rPr>
          <w:rFonts w:ascii="Times New Roman" w:eastAsia="Times New Roman" w:hAnsi="Times New Roman" w:cs="Times New Roman"/>
          <w:color w:val="000000"/>
        </w:rPr>
        <w:t xml:space="preserve"> sempre che si tenga ferma la ricezione jenese del pensiero di Böhme. Il fatto che Idel non abbia </w:t>
      </w:r>
      <w:r w:rsidR="0084385B">
        <w:rPr>
          <w:rFonts w:ascii="Times New Roman" w:eastAsia="Times New Roman" w:hAnsi="Times New Roman" w:cs="Times New Roman"/>
          <w:color w:val="000000"/>
        </w:rPr>
        <w:t xml:space="preserve">individuato </w:t>
      </w:r>
      <w:r w:rsidR="001B7751" w:rsidRPr="006A6EB1">
        <w:rPr>
          <w:rFonts w:ascii="Times New Roman" w:eastAsia="Times New Roman" w:hAnsi="Times New Roman" w:cs="Times New Roman"/>
          <w:color w:val="000000"/>
        </w:rPr>
        <w:t xml:space="preserve">la radice del </w:t>
      </w:r>
      <w:r w:rsidR="001B7751" w:rsidRPr="006A6EB1">
        <w:rPr>
          <w:rFonts w:ascii="Times New Roman" w:eastAsia="Times New Roman" w:hAnsi="Times New Roman" w:cs="Times New Roman"/>
          <w:i/>
          <w:color w:val="000000"/>
        </w:rPr>
        <w:t>cabbalismo logico</w:t>
      </w:r>
      <w:r w:rsidR="001B7751" w:rsidRPr="006A6EB1">
        <w:rPr>
          <w:rFonts w:ascii="Times New Roman" w:eastAsia="Times New Roman" w:hAnsi="Times New Roman" w:cs="Times New Roman"/>
          <w:color w:val="000000"/>
        </w:rPr>
        <w:t xml:space="preserve"> di Hegel nella riflessione böhmiana</w:t>
      </w:r>
      <w:r w:rsidR="001B7751" w:rsidRPr="0071743A">
        <w:rPr>
          <w:rFonts w:ascii="Times New Roman" w:eastAsia="Times New Roman" w:hAnsi="Times New Roman" w:cs="Times New Roman"/>
          <w:color w:val="000000"/>
        </w:rPr>
        <w:t xml:space="preserve"> deriva dalla mancata inclusione degli </w:t>
      </w:r>
      <w:r w:rsidR="001B7751" w:rsidRPr="00A818B3">
        <w:rPr>
          <w:rFonts w:ascii="Times New Roman" w:hAnsi="Times New Roman" w:cs="Times New Roman"/>
          <w:i/>
          <w:lang w:val="de-DE"/>
        </w:rPr>
        <w:t>Jenaer Schriften</w:t>
      </w:r>
      <w:r w:rsidR="001B7751" w:rsidRPr="0071743A">
        <w:rPr>
          <w:rFonts w:ascii="Times New Roman" w:hAnsi="Times New Roman" w:cs="Times New Roman"/>
        </w:rPr>
        <w:t xml:space="preserve"> nel quadro della </w:t>
      </w:r>
      <w:r w:rsidR="001B7751" w:rsidRPr="00A818B3">
        <w:rPr>
          <w:rFonts w:ascii="Times New Roman" w:hAnsi="Times New Roman" w:cs="Times New Roman"/>
          <w:i/>
          <w:lang w:val="de-DE"/>
        </w:rPr>
        <w:t>Ausein</w:t>
      </w:r>
      <w:r w:rsidR="001B7751">
        <w:rPr>
          <w:rFonts w:ascii="Times New Roman" w:hAnsi="Times New Roman" w:cs="Times New Roman"/>
          <w:i/>
          <w:lang w:val="de-DE"/>
        </w:rPr>
        <w:t>an</w:t>
      </w:r>
      <w:r w:rsidR="001B7751" w:rsidRPr="00A818B3">
        <w:rPr>
          <w:rFonts w:ascii="Times New Roman" w:hAnsi="Times New Roman" w:cs="Times New Roman"/>
          <w:i/>
          <w:lang w:val="de-DE"/>
        </w:rPr>
        <w:t>dersetzung</w:t>
      </w:r>
      <w:r w:rsidR="001B7751" w:rsidRPr="0071743A">
        <w:rPr>
          <w:rFonts w:ascii="Times New Roman" w:hAnsi="Times New Roman" w:cs="Times New Roman"/>
          <w:i/>
        </w:rPr>
        <w:t xml:space="preserve"> </w:t>
      </w:r>
      <w:r w:rsidR="001B7751" w:rsidRPr="0071743A">
        <w:rPr>
          <w:rFonts w:ascii="Times New Roman" w:hAnsi="Times New Roman" w:cs="Times New Roman"/>
        </w:rPr>
        <w:t>hegeliana con l’opera del ciabattino di Görlitz</w:t>
      </w:r>
      <w:r w:rsidR="001B7751" w:rsidRPr="0071743A">
        <w:rPr>
          <w:rFonts w:ascii="Times New Roman" w:eastAsia="Times New Roman" w:hAnsi="Times New Roman" w:cs="Times New Roman"/>
          <w:color w:val="000000"/>
        </w:rPr>
        <w:t xml:space="preserve">. Quest’omissione, soltanto in apparenza marginale, è ciò che preclude, di fatto, la comprensione della natura </w:t>
      </w:r>
      <w:r w:rsidR="001B7751" w:rsidRPr="0071743A">
        <w:rPr>
          <w:rFonts w:ascii="Times New Roman" w:eastAsia="Times New Roman" w:hAnsi="Times New Roman" w:cs="Times New Roman"/>
          <w:i/>
          <w:color w:val="000000"/>
        </w:rPr>
        <w:t xml:space="preserve">cabbalistica </w:t>
      </w:r>
      <w:r w:rsidR="001B7751" w:rsidRPr="0071743A">
        <w:rPr>
          <w:rFonts w:ascii="Times New Roman" w:eastAsia="Times New Roman" w:hAnsi="Times New Roman" w:cs="Times New Roman"/>
          <w:color w:val="000000"/>
        </w:rPr>
        <w:t>del pensiero</w:t>
      </w:r>
      <w:r w:rsidR="001B7751" w:rsidRPr="0071743A">
        <w:rPr>
          <w:rFonts w:ascii="Times New Roman" w:eastAsia="Times New Roman" w:hAnsi="Times New Roman" w:cs="Times New Roman"/>
          <w:i/>
          <w:color w:val="000000"/>
        </w:rPr>
        <w:t xml:space="preserve"> </w:t>
      </w:r>
      <w:r w:rsidR="001B7751" w:rsidRPr="0071743A">
        <w:rPr>
          <w:rFonts w:ascii="Times New Roman" w:eastAsia="Times New Roman" w:hAnsi="Times New Roman" w:cs="Times New Roman"/>
          <w:color w:val="000000"/>
        </w:rPr>
        <w:t xml:space="preserve">hegeliano. Poiché anche a livello della </w:t>
      </w:r>
      <w:r w:rsidR="001B7751" w:rsidRPr="000D3B14">
        <w:rPr>
          <w:rFonts w:ascii="Times New Roman" w:eastAsia="Times New Roman" w:hAnsi="Times New Roman" w:cs="Times New Roman"/>
          <w:i/>
          <w:color w:val="000000"/>
          <w:lang w:val="de-DE"/>
        </w:rPr>
        <w:t>Wissenschaft der Logik</w:t>
      </w:r>
      <w:r w:rsidR="001B7751" w:rsidRPr="000D3B14">
        <w:rPr>
          <w:rFonts w:ascii="Times New Roman" w:eastAsia="Times New Roman" w:hAnsi="Times New Roman" w:cs="Times New Roman"/>
          <w:color w:val="000000"/>
          <w:lang w:val="de-DE"/>
        </w:rPr>
        <w:t>,</w:t>
      </w:r>
      <w:r w:rsidR="001B7751" w:rsidRPr="0071743A">
        <w:rPr>
          <w:rFonts w:ascii="Times New Roman" w:eastAsia="Times New Roman" w:hAnsi="Times New Roman" w:cs="Times New Roman"/>
          <w:color w:val="000000"/>
        </w:rPr>
        <w:t xml:space="preserve"> la </w:t>
      </w:r>
      <w:r w:rsidR="001B7751" w:rsidRPr="003E0DA2">
        <w:rPr>
          <w:rFonts w:ascii="Times New Roman" w:eastAsia="Times New Roman" w:hAnsi="Times New Roman" w:cs="Times New Roman"/>
          <w:color w:val="000000"/>
        </w:rPr>
        <w:t>negatività assoluta del pensiero puro</w:t>
      </w:r>
      <w:r w:rsidR="001B7751">
        <w:rPr>
          <w:rFonts w:ascii="Times New Roman" w:eastAsia="Times New Roman" w:hAnsi="Times New Roman" w:cs="Times New Roman"/>
          <w:color w:val="000000"/>
        </w:rPr>
        <w:t>, ossia il suo negarsi e</w:t>
      </w:r>
      <w:r w:rsidR="001B7751" w:rsidRPr="0071743A">
        <w:rPr>
          <w:rFonts w:ascii="Times New Roman" w:eastAsia="Times New Roman" w:hAnsi="Times New Roman" w:cs="Times New Roman"/>
          <w:color w:val="000000"/>
        </w:rPr>
        <w:t xml:space="preserve"> af</w:t>
      </w:r>
      <w:r w:rsidR="001B7751">
        <w:rPr>
          <w:rFonts w:ascii="Times New Roman" w:eastAsia="Times New Roman" w:hAnsi="Times New Roman" w:cs="Times New Roman"/>
          <w:color w:val="000000"/>
        </w:rPr>
        <w:t>fermarsi in forza di un’intrinseca</w:t>
      </w:r>
      <w:r w:rsidR="001B7751" w:rsidRPr="0071743A">
        <w:rPr>
          <w:rFonts w:ascii="Times New Roman" w:eastAsia="Times New Roman" w:hAnsi="Times New Roman" w:cs="Times New Roman"/>
          <w:color w:val="000000"/>
        </w:rPr>
        <w:t xml:space="preserve"> necessità, si richiama </w:t>
      </w:r>
      <w:r w:rsidR="001B7751">
        <w:rPr>
          <w:rFonts w:ascii="Times New Roman" w:eastAsia="Times New Roman" w:hAnsi="Times New Roman" w:cs="Times New Roman"/>
          <w:color w:val="000000"/>
        </w:rPr>
        <w:t xml:space="preserve">al tentativo </w:t>
      </w:r>
      <w:r w:rsidR="001B7751" w:rsidRPr="00D741CF">
        <w:rPr>
          <w:rFonts w:ascii="Times New Roman" w:eastAsia="Times New Roman" w:hAnsi="Times New Roman" w:cs="Times New Roman"/>
          <w:color w:val="000000"/>
        </w:rPr>
        <w:t xml:space="preserve">formalmente inadeguato, ma contenutisticamente pregnante, di Böhme </w:t>
      </w:r>
      <w:r w:rsidR="001B7751" w:rsidRPr="00D03108">
        <w:rPr>
          <w:rFonts w:ascii="Times New Roman" w:eastAsia="Times New Roman" w:hAnsi="Times New Roman" w:cs="Times New Roman"/>
          <w:color w:val="000000"/>
        </w:rPr>
        <w:t>d’afferrare la natura concreta dell’Assoluto.</w:t>
      </w:r>
      <w:r w:rsidR="001B7751" w:rsidRPr="00D741CF">
        <w:rPr>
          <w:rFonts w:ascii="Times New Roman" w:eastAsia="Times New Roman" w:hAnsi="Times New Roman" w:cs="Times New Roman"/>
          <w:color w:val="000000"/>
        </w:rPr>
        <w:t xml:space="preserve"> Se si può parlare di un’influenza d</w:t>
      </w:r>
      <w:r w:rsidR="001B7751">
        <w:rPr>
          <w:rFonts w:ascii="Times New Roman" w:eastAsia="Times New Roman" w:hAnsi="Times New Roman" w:cs="Times New Roman"/>
          <w:color w:val="000000"/>
        </w:rPr>
        <w:t>ella mistica ebraica sul sistema hegeliano</w:t>
      </w:r>
      <w:r w:rsidR="001B7751" w:rsidRPr="00D741CF">
        <w:rPr>
          <w:rFonts w:ascii="Times New Roman" w:eastAsia="Times New Roman" w:hAnsi="Times New Roman" w:cs="Times New Roman"/>
          <w:color w:val="000000"/>
        </w:rPr>
        <w:t xml:space="preserve"> e, nello specifico, se si può sostenere che la</w:t>
      </w:r>
      <w:r w:rsidR="004458FB">
        <w:rPr>
          <w:rFonts w:ascii="Times New Roman" w:eastAsia="Times New Roman" w:hAnsi="Times New Roman" w:cs="Times New Roman"/>
          <w:color w:val="000000"/>
        </w:rPr>
        <w:t xml:space="preserve"> negatività del pensiero puro è</w:t>
      </w:r>
      <w:r w:rsidR="001B7751" w:rsidRPr="00D741CF">
        <w:rPr>
          <w:rFonts w:ascii="Times New Roman" w:eastAsia="Times New Roman" w:hAnsi="Times New Roman" w:cs="Times New Roman"/>
          <w:color w:val="000000"/>
        </w:rPr>
        <w:t xml:space="preserve"> un assunto della logica mutuato dalla Qabbalah, ciò può essere fatto nella misura in </w:t>
      </w:r>
      <w:r w:rsidR="001B7751" w:rsidRPr="00D03108">
        <w:rPr>
          <w:rFonts w:ascii="Times New Roman" w:eastAsia="Times New Roman" w:hAnsi="Times New Roman" w:cs="Times New Roman"/>
          <w:color w:val="000000"/>
        </w:rPr>
        <w:t xml:space="preserve">cui si riconosce nell’opera di Böhme, e non in qualche fonte imprecisata, il </w:t>
      </w:r>
      <w:r w:rsidR="001B7751" w:rsidRPr="00D03108">
        <w:rPr>
          <w:rFonts w:ascii="Times New Roman" w:eastAsia="Times New Roman" w:hAnsi="Times New Roman" w:cs="Times New Roman"/>
          <w:i/>
          <w:color w:val="000000"/>
        </w:rPr>
        <w:t>locus</w:t>
      </w:r>
      <w:r w:rsidR="001B7751" w:rsidRPr="00D03108">
        <w:rPr>
          <w:rFonts w:ascii="Times New Roman" w:eastAsia="Times New Roman" w:hAnsi="Times New Roman" w:cs="Times New Roman"/>
          <w:color w:val="000000"/>
        </w:rPr>
        <w:t xml:space="preserve"> speculativo da cui è stata </w:t>
      </w:r>
      <w:r w:rsidR="00BF0026" w:rsidRPr="00D03108">
        <w:rPr>
          <w:rFonts w:ascii="Times New Roman" w:eastAsia="Times New Roman" w:hAnsi="Times New Roman" w:cs="Times New Roman"/>
          <w:color w:val="000000"/>
        </w:rPr>
        <w:t>estrapolat</w:t>
      </w:r>
      <w:r w:rsidR="001B7751" w:rsidRPr="00D03108">
        <w:rPr>
          <w:rFonts w:ascii="Times New Roman" w:eastAsia="Times New Roman" w:hAnsi="Times New Roman" w:cs="Times New Roman"/>
          <w:color w:val="000000"/>
        </w:rPr>
        <w:t>a una teoria della negatività consustanziale alla natura del pensiero.</w:t>
      </w:r>
      <w:r w:rsidR="001B7751" w:rsidRPr="0071743A">
        <w:rPr>
          <w:rFonts w:ascii="Times New Roman" w:eastAsia="Times New Roman" w:hAnsi="Times New Roman" w:cs="Times New Roman"/>
          <w:color w:val="000000"/>
        </w:rPr>
        <w:t xml:space="preserve"> </w:t>
      </w:r>
    </w:p>
    <w:p w14:paraId="2F252266" w14:textId="77777777" w:rsidR="001B7751" w:rsidRDefault="001B7751" w:rsidP="001B7751">
      <w:pPr>
        <w:pStyle w:val="Paragrafoelenco"/>
        <w:spacing w:line="360" w:lineRule="auto"/>
        <w:ind w:left="0" w:firstLine="567"/>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Fatta questa lunga premessa, comunque necessaria ai fini della nostra ricostruzione, possiamo iniziare ad addentrarci all’interno della </w:t>
      </w:r>
      <w:r w:rsidRPr="004C34F8">
        <w:rPr>
          <w:rFonts w:ascii="Times New Roman" w:eastAsia="Times New Roman" w:hAnsi="Times New Roman" w:cs="Times New Roman"/>
          <w:i/>
          <w:color w:val="000000"/>
          <w:lang w:val="de-DE"/>
        </w:rPr>
        <w:t>Wissenschaft der Logik</w:t>
      </w:r>
      <w:r>
        <w:rPr>
          <w:rFonts w:ascii="Times New Roman" w:eastAsia="Times New Roman" w:hAnsi="Times New Roman" w:cs="Times New Roman"/>
          <w:color w:val="000000"/>
        </w:rPr>
        <w:t xml:space="preserve">, dove s’assiste all’esposizione del </w:t>
      </w:r>
      <w:r w:rsidRPr="004C34F8">
        <w:rPr>
          <w:rFonts w:ascii="Times New Roman" w:eastAsia="Times New Roman" w:hAnsi="Times New Roman" w:cs="Times New Roman"/>
          <w:i/>
          <w:color w:val="000000"/>
          <w:lang w:val="de-DE"/>
        </w:rPr>
        <w:t>reines Denkens</w:t>
      </w:r>
      <w:r>
        <w:rPr>
          <w:rFonts w:ascii="Times New Roman" w:eastAsia="Times New Roman" w:hAnsi="Times New Roman" w:cs="Times New Roman"/>
          <w:color w:val="000000"/>
        </w:rPr>
        <w:t xml:space="preserve"> su vari e interconnessi livelli di complessità logica. All’interno di questa cornice speculativa, mi preme mostrare come quanto introdotto in queste pagine trovi una collocazione nel cosiddetto</w:t>
      </w:r>
      <w:r w:rsidRPr="0003242A">
        <w:rPr>
          <w:rFonts w:ascii="Times New Roman" w:eastAsia="Times New Roman" w:hAnsi="Times New Roman" w:cs="Times New Roman"/>
          <w:i/>
          <w:color w:val="000000"/>
        </w:rPr>
        <w:t xml:space="preserve"> </w:t>
      </w:r>
      <w:r>
        <w:rPr>
          <w:rFonts w:ascii="Times New Roman" w:eastAsia="Times New Roman" w:hAnsi="Times New Roman" w:cs="Times New Roman"/>
          <w:color w:val="000000"/>
        </w:rPr>
        <w:t>«</w:t>
      </w:r>
      <w:r w:rsidRPr="004C34F8">
        <w:rPr>
          <w:rFonts w:ascii="Times New Roman" w:eastAsia="Times New Roman" w:hAnsi="Times New Roman" w:cs="Times New Roman"/>
          <w:i/>
          <w:color w:val="000000"/>
          <w:lang w:val="de-DE"/>
        </w:rPr>
        <w:t>Reich der Schatten</w:t>
      </w:r>
      <w:r w:rsidRPr="00943834">
        <w:rPr>
          <w:rFonts w:ascii="Times New Roman" w:eastAsia="Times New Roman" w:hAnsi="Times New Roman" w:cs="Times New Roman"/>
          <w:color w:val="000000"/>
        </w:rPr>
        <w:t>»</w:t>
      </w:r>
      <w:r>
        <w:rPr>
          <w:rStyle w:val="Rimandonotaapidipagina"/>
          <w:rFonts w:ascii="Times New Roman" w:eastAsia="Times New Roman" w:hAnsi="Times New Roman" w:cs="Times New Roman"/>
          <w:color w:val="000000"/>
        </w:rPr>
        <w:footnoteReference w:id="330"/>
      </w:r>
      <w:r>
        <w:rPr>
          <w:rFonts w:ascii="Times New Roman" w:eastAsia="Times New Roman" w:hAnsi="Times New Roman" w:cs="Times New Roman"/>
          <w:color w:val="000000"/>
        </w:rPr>
        <w:t xml:space="preserve">. Fin dalle battute inziali dello scritto hegeliano, riemerge un problema che abbiamo visto essere al centro di </w:t>
      </w:r>
      <w:r w:rsidRPr="004C34F8">
        <w:rPr>
          <w:rFonts w:ascii="Times New Roman" w:eastAsia="Times New Roman" w:hAnsi="Times New Roman" w:cs="Times New Roman"/>
          <w:i/>
          <w:color w:val="000000"/>
          <w:lang w:val="de-DE"/>
        </w:rPr>
        <w:t>Glauben und Wissen</w:t>
      </w:r>
      <w:r>
        <w:rPr>
          <w:rFonts w:ascii="Times New Roman" w:eastAsia="Times New Roman" w:hAnsi="Times New Roman" w:cs="Times New Roman"/>
          <w:color w:val="000000"/>
        </w:rPr>
        <w:t xml:space="preserve">. Il nodo concettuale, di cui stiamo parlando, è la </w:t>
      </w:r>
      <w:r w:rsidRPr="00B9168E">
        <w:rPr>
          <w:rFonts w:ascii="Times New Roman" w:eastAsia="Times New Roman" w:hAnsi="Times New Roman" w:cs="Times New Roman"/>
          <w:i/>
          <w:color w:val="000000"/>
        </w:rPr>
        <w:t>qu</w:t>
      </w:r>
      <w:r>
        <w:rPr>
          <w:rFonts w:ascii="Times New Roman" w:eastAsia="Times New Roman" w:hAnsi="Times New Roman" w:cs="Times New Roman"/>
          <w:i/>
          <w:color w:val="000000"/>
        </w:rPr>
        <w:t>a</w:t>
      </w:r>
      <w:r w:rsidRPr="00B9168E">
        <w:rPr>
          <w:rFonts w:ascii="Times New Roman" w:eastAsia="Times New Roman" w:hAnsi="Times New Roman" w:cs="Times New Roman"/>
          <w:i/>
          <w:color w:val="000000"/>
        </w:rPr>
        <w:t>estio</w:t>
      </w:r>
      <w:r w:rsidRPr="00B9168E">
        <w:rPr>
          <w:rFonts w:ascii="Times New Roman" w:eastAsia="Times New Roman" w:hAnsi="Times New Roman" w:cs="Times New Roman"/>
          <w:color w:val="000000"/>
        </w:rPr>
        <w:t xml:space="preserve"> intorno al </w:t>
      </w:r>
      <w:r w:rsidRPr="00A27071">
        <w:rPr>
          <w:rFonts w:ascii="Times New Roman" w:eastAsia="Times New Roman" w:hAnsi="Times New Roman" w:cs="Times New Roman"/>
          <w:color w:val="000000"/>
        </w:rPr>
        <w:t>«</w:t>
      </w:r>
      <w:r w:rsidRPr="00A27071">
        <w:rPr>
          <w:rFonts w:ascii="Times New Roman" w:eastAsia="Times New Roman" w:hAnsi="Times New Roman" w:cs="Times New Roman"/>
          <w:color w:val="000000"/>
          <w:lang w:val="de-DE"/>
        </w:rPr>
        <w:t>das Erste der Philosophie</w:t>
      </w:r>
      <w:r w:rsidRPr="00A27071">
        <w:rPr>
          <w:rFonts w:ascii="Times New Roman" w:eastAsia="Times New Roman" w:hAnsi="Times New Roman" w:cs="Times New Roman"/>
          <w:color w:val="000000"/>
        </w:rPr>
        <w:t>»</w:t>
      </w:r>
      <w:r w:rsidRPr="00A27071">
        <w:rPr>
          <w:rStyle w:val="Rimandonotaapidipagina"/>
          <w:rFonts w:ascii="Times New Roman" w:eastAsia="Times New Roman" w:hAnsi="Times New Roman" w:cs="Times New Roman"/>
          <w:color w:val="000000"/>
        </w:rPr>
        <w:footnoteReference w:id="331"/>
      </w:r>
      <w:r w:rsidRPr="00A27071">
        <w:rPr>
          <w:rFonts w:ascii="Times New Roman" w:eastAsia="Times New Roman" w:hAnsi="Times New Roman" w:cs="Times New Roman"/>
          <w:color w:val="000000"/>
        </w:rPr>
        <w:t>, che si lega alla domanda relativa al «</w:t>
      </w:r>
      <w:r w:rsidRPr="00A27071">
        <w:rPr>
          <w:rFonts w:ascii="Times New Roman" w:eastAsia="Times New Roman" w:hAnsi="Times New Roman" w:cs="Times New Roman"/>
          <w:color w:val="000000"/>
          <w:lang w:val="de-DE"/>
        </w:rPr>
        <w:t>Womit muss man der Anfang der Wissenschaft gemacht werden</w:t>
      </w:r>
      <w:r w:rsidRPr="00A27071">
        <w:rPr>
          <w:rFonts w:ascii="Times New Roman" w:eastAsia="Times New Roman" w:hAnsi="Times New Roman" w:cs="Times New Roman"/>
          <w:color w:val="000000"/>
        </w:rPr>
        <w:t>?»</w:t>
      </w:r>
      <w:r w:rsidRPr="00A27071">
        <w:rPr>
          <w:rStyle w:val="Rimandonotaapidipagina"/>
          <w:rFonts w:ascii="Times New Roman" w:eastAsia="Times New Roman" w:hAnsi="Times New Roman" w:cs="Times New Roman"/>
          <w:color w:val="000000"/>
        </w:rPr>
        <w:footnoteReference w:id="332"/>
      </w:r>
      <w:r w:rsidRPr="00A27071">
        <w:rPr>
          <w:rFonts w:ascii="Times New Roman" w:eastAsia="Times New Roman" w:hAnsi="Times New Roman" w:cs="Times New Roman"/>
          <w:color w:val="000000"/>
        </w:rPr>
        <w:t xml:space="preserve">. </w:t>
      </w:r>
      <w:r w:rsidRPr="002D1071">
        <w:rPr>
          <w:rFonts w:ascii="Times New Roman" w:eastAsia="Times New Roman" w:hAnsi="Times New Roman" w:cs="Times New Roman"/>
          <w:color w:val="000000"/>
        </w:rPr>
        <w:t xml:space="preserve">Contrariamente a quanto sostenuto da Moshe Idel, il pensiero puro, così come lo concepisce Hegel, non è assimilabile ad un’ipostasi </w:t>
      </w:r>
      <w:r>
        <w:rPr>
          <w:rFonts w:ascii="Times New Roman" w:eastAsia="Times New Roman" w:hAnsi="Times New Roman" w:cs="Times New Roman"/>
          <w:color w:val="000000"/>
        </w:rPr>
        <w:t>superna</w:t>
      </w:r>
      <w:r w:rsidRPr="002D1071">
        <w:rPr>
          <w:rFonts w:ascii="Times New Roman" w:eastAsia="Times New Roman" w:hAnsi="Times New Roman" w:cs="Times New Roman"/>
          <w:color w:val="000000"/>
        </w:rPr>
        <w:t xml:space="preserve"> a cui sarebbero ascrivibili ulteriori determinazioni e specificazioni</w:t>
      </w:r>
      <w:r w:rsidRPr="002D1071">
        <w:rPr>
          <w:rStyle w:val="Rimandonotaapidipagina"/>
          <w:rFonts w:ascii="Times New Roman" w:eastAsia="Times New Roman" w:hAnsi="Times New Roman" w:cs="Times New Roman"/>
          <w:color w:val="000000"/>
        </w:rPr>
        <w:footnoteReference w:id="333"/>
      </w:r>
      <w:r w:rsidRPr="002D1071">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w:t>
      </w:r>
      <w:r w:rsidRPr="00885F48">
        <w:rPr>
          <w:rFonts w:ascii="Times New Roman" w:eastAsia="Times New Roman" w:hAnsi="Times New Roman" w:cs="Times New Roman"/>
          <w:color w:val="000000"/>
        </w:rPr>
        <w:t xml:space="preserve">Già a livello della </w:t>
      </w:r>
      <w:r w:rsidRPr="00885F48">
        <w:rPr>
          <w:rFonts w:ascii="Times New Roman" w:eastAsia="Times New Roman" w:hAnsi="Times New Roman" w:cs="Times New Roman"/>
          <w:i/>
          <w:color w:val="000000"/>
          <w:lang w:val="de-DE"/>
        </w:rPr>
        <w:t>Logik des Seyns</w:t>
      </w:r>
      <w:r w:rsidRPr="00885F48">
        <w:rPr>
          <w:rFonts w:ascii="Times New Roman" w:eastAsia="Times New Roman" w:hAnsi="Times New Roman" w:cs="Times New Roman"/>
          <w:color w:val="000000"/>
        </w:rPr>
        <w:t xml:space="preserve"> è possibile parlare</w:t>
      </w:r>
      <w:r>
        <w:rPr>
          <w:rFonts w:ascii="Times New Roman" w:eastAsia="Times New Roman" w:hAnsi="Times New Roman" w:cs="Times New Roman"/>
          <w:color w:val="000000"/>
        </w:rPr>
        <w:t xml:space="preserve">, </w:t>
      </w:r>
      <w:r w:rsidRPr="00B9168E">
        <w:rPr>
          <w:rFonts w:ascii="Times New Roman" w:eastAsia="Times New Roman" w:hAnsi="Times New Roman" w:cs="Times New Roman"/>
          <w:color w:val="000000"/>
        </w:rPr>
        <w:t>seppur problematicamente,</w:t>
      </w:r>
      <w:r w:rsidRPr="00885F48">
        <w:rPr>
          <w:rFonts w:ascii="Times New Roman" w:eastAsia="Times New Roman" w:hAnsi="Times New Roman" w:cs="Times New Roman"/>
          <w:color w:val="000000"/>
        </w:rPr>
        <w:t xml:space="preserve"> di un </w:t>
      </w:r>
      <w:r>
        <w:rPr>
          <w:rFonts w:ascii="Times New Roman" w:eastAsia="Times New Roman" w:hAnsi="Times New Roman" w:cs="Times New Roman"/>
          <w:color w:val="000000"/>
        </w:rPr>
        <w:t xml:space="preserve">cominciamento </w:t>
      </w:r>
      <w:r w:rsidRPr="00885F48">
        <w:rPr>
          <w:rFonts w:ascii="Times New Roman" w:eastAsia="Times New Roman" w:hAnsi="Times New Roman" w:cs="Times New Roman"/>
          <w:color w:val="000000"/>
        </w:rPr>
        <w:t>i</w:t>
      </w:r>
      <w:r>
        <w:rPr>
          <w:rFonts w:ascii="Times New Roman" w:eastAsia="Times New Roman" w:hAnsi="Times New Roman" w:cs="Times New Roman"/>
          <w:color w:val="000000"/>
        </w:rPr>
        <w:t>mmediato</w:t>
      </w:r>
      <w:r w:rsidRPr="00885F48">
        <w:rPr>
          <w:rFonts w:ascii="Times New Roman" w:eastAsia="Times New Roman" w:hAnsi="Times New Roman" w:cs="Times New Roman"/>
          <w:color w:val="000000"/>
        </w:rPr>
        <w:t xml:space="preserve"> e mediato ad un tempo. Nella </w:t>
      </w:r>
      <w:r w:rsidRPr="00885F48">
        <w:rPr>
          <w:rFonts w:ascii="Times New Roman" w:eastAsia="Times New Roman" w:hAnsi="Times New Roman" w:cs="Times New Roman"/>
          <w:i/>
          <w:color w:val="000000"/>
          <w:lang w:val="de-DE"/>
        </w:rPr>
        <w:t>Wesenslogik</w:t>
      </w:r>
      <w:r w:rsidRPr="00885F48">
        <w:rPr>
          <w:rFonts w:ascii="Times New Roman" w:eastAsia="Times New Roman" w:hAnsi="Times New Roman" w:cs="Times New Roman"/>
          <w:color w:val="000000"/>
        </w:rPr>
        <w:t xml:space="preserve">, la questione sarà sviluppata in modo tale da identificare </w:t>
      </w:r>
      <w:r>
        <w:rPr>
          <w:rFonts w:ascii="Times New Roman" w:eastAsia="Times New Roman" w:hAnsi="Times New Roman" w:cs="Times New Roman"/>
          <w:color w:val="000000"/>
        </w:rPr>
        <w:t xml:space="preserve">l’essenza </w:t>
      </w:r>
      <w:r w:rsidRPr="00885F48">
        <w:rPr>
          <w:rFonts w:ascii="Times New Roman" w:eastAsia="Times New Roman" w:hAnsi="Times New Roman" w:cs="Times New Roman"/>
          <w:color w:val="000000"/>
        </w:rPr>
        <w:t xml:space="preserve">con </w:t>
      </w:r>
      <w:r>
        <w:rPr>
          <w:rFonts w:ascii="Times New Roman" w:eastAsia="Times New Roman" w:hAnsi="Times New Roman" w:cs="Times New Roman"/>
          <w:color w:val="000000"/>
        </w:rPr>
        <w:t>quel</w:t>
      </w:r>
      <w:r w:rsidRPr="00885F48">
        <w:rPr>
          <w:rFonts w:ascii="Times New Roman" w:eastAsia="Times New Roman" w:hAnsi="Times New Roman" w:cs="Times New Roman"/>
          <w:color w:val="000000"/>
        </w:rPr>
        <w:t xml:space="preserve">la negatività assoluta che ha alle sua spalle l’annientamento dell’immediatezza dell’essere e che afferma sé mediante il posizionamento </w:t>
      </w:r>
      <w:r>
        <w:rPr>
          <w:rFonts w:ascii="Times New Roman" w:eastAsia="Times New Roman" w:hAnsi="Times New Roman" w:cs="Times New Roman"/>
          <w:color w:val="000000"/>
        </w:rPr>
        <w:t xml:space="preserve">della </w:t>
      </w:r>
      <w:r w:rsidRPr="00885F48">
        <w:rPr>
          <w:rFonts w:ascii="Times New Roman" w:eastAsia="Times New Roman" w:hAnsi="Times New Roman" w:cs="Times New Roman"/>
          <w:color w:val="000000"/>
        </w:rPr>
        <w:t xml:space="preserve">propria differenza. </w:t>
      </w:r>
      <w:r>
        <w:rPr>
          <w:rFonts w:ascii="Times New Roman" w:eastAsia="Times New Roman" w:hAnsi="Times New Roman" w:cs="Times New Roman"/>
          <w:color w:val="000000"/>
        </w:rPr>
        <w:t>Proprio in questa sede, s</w:t>
      </w:r>
      <w:r w:rsidRPr="00885F48">
        <w:rPr>
          <w:rFonts w:ascii="Times New Roman" w:eastAsia="Times New Roman" w:hAnsi="Times New Roman" w:cs="Times New Roman"/>
          <w:color w:val="000000"/>
        </w:rPr>
        <w:t>i vedrà come l’impostazione e la risoluzione te</w:t>
      </w:r>
      <w:r>
        <w:rPr>
          <w:rFonts w:ascii="Times New Roman" w:eastAsia="Times New Roman" w:hAnsi="Times New Roman" w:cs="Times New Roman"/>
          <w:color w:val="000000"/>
        </w:rPr>
        <w:t>orica della</w:t>
      </w:r>
      <w:r w:rsidRPr="00885F48">
        <w:rPr>
          <w:rFonts w:ascii="Times New Roman" w:eastAsia="Times New Roman" w:hAnsi="Times New Roman" w:cs="Times New Roman"/>
          <w:color w:val="000000"/>
        </w:rPr>
        <w:t xml:space="preserve"> domanda</w:t>
      </w:r>
      <w:r>
        <w:rPr>
          <w:rFonts w:ascii="Times New Roman" w:eastAsia="Times New Roman" w:hAnsi="Times New Roman" w:cs="Times New Roman"/>
          <w:color w:val="000000"/>
        </w:rPr>
        <w:t xml:space="preserve"> relativa al cominciamento</w:t>
      </w:r>
      <w:r w:rsidRPr="00885F48">
        <w:rPr>
          <w:rFonts w:ascii="Times New Roman" w:eastAsia="Times New Roman" w:hAnsi="Times New Roman" w:cs="Times New Roman"/>
          <w:color w:val="000000"/>
        </w:rPr>
        <w:t xml:space="preserve"> chiami in causa l’armamentario concettuale </w:t>
      </w:r>
      <w:r w:rsidRPr="00001291">
        <w:rPr>
          <w:rFonts w:ascii="Times New Roman" w:eastAsia="Times New Roman" w:hAnsi="Times New Roman" w:cs="Times New Roman"/>
          <w:color w:val="000000"/>
        </w:rPr>
        <w:t>desunto dall’opera di Böhme.</w:t>
      </w:r>
      <w:r>
        <w:rPr>
          <w:rFonts w:ascii="Times New Roman" w:eastAsia="Times New Roman" w:hAnsi="Times New Roman" w:cs="Times New Roman"/>
          <w:color w:val="000000"/>
        </w:rPr>
        <w:t xml:space="preserve"> </w:t>
      </w:r>
      <w:r w:rsidRPr="004C34F8">
        <w:rPr>
          <w:rFonts w:ascii="Times New Roman" w:eastAsia="Times New Roman" w:hAnsi="Times New Roman" w:cs="Times New Roman"/>
          <w:color w:val="000000"/>
        </w:rPr>
        <w:t xml:space="preserve">Sarà il testo hegeliano, infatti, ad evidenziare la capacità </w:t>
      </w:r>
      <w:r w:rsidRPr="00133358">
        <w:rPr>
          <w:rFonts w:ascii="Times New Roman" w:eastAsia="Times New Roman" w:hAnsi="Times New Roman" w:cs="Times New Roman"/>
          <w:color w:val="000000"/>
        </w:rPr>
        <w:t xml:space="preserve">del pensiero böhmiano di definire l’essenza, il </w:t>
      </w:r>
      <w:r w:rsidRPr="00133358">
        <w:rPr>
          <w:rFonts w:ascii="Times New Roman" w:eastAsia="Times New Roman" w:hAnsi="Times New Roman" w:cs="Times New Roman"/>
          <w:i/>
          <w:color w:val="000000"/>
        </w:rPr>
        <w:t>nulla</w:t>
      </w:r>
      <w:r w:rsidRPr="00133358">
        <w:rPr>
          <w:rFonts w:ascii="Times New Roman" w:eastAsia="Times New Roman" w:hAnsi="Times New Roman" w:cs="Times New Roman"/>
          <w:color w:val="000000"/>
        </w:rPr>
        <w:t xml:space="preserve"> della sfera dell’essere, come ciò da cui «</w:t>
      </w:r>
      <w:r w:rsidRPr="00133358">
        <w:rPr>
          <w:rFonts w:ascii="Times New Roman" w:eastAsia="Times New Roman" w:hAnsi="Times New Roman" w:cs="Times New Roman"/>
          <w:color w:val="000000"/>
          <w:lang w:val="de-DE"/>
        </w:rPr>
        <w:t>alles Sein, alle</w:t>
      </w:r>
      <w:r w:rsidRPr="00A27071">
        <w:rPr>
          <w:rFonts w:ascii="Times New Roman" w:eastAsia="Times New Roman" w:hAnsi="Times New Roman" w:cs="Times New Roman"/>
          <w:color w:val="000000"/>
          <w:lang w:val="de-DE"/>
        </w:rPr>
        <w:t xml:space="preserve"> Mannigfaltigkeit des Endlichen hervorgegangen ist</w:t>
      </w:r>
      <w:r w:rsidRPr="00A27071">
        <w:rPr>
          <w:rFonts w:ascii="Times New Roman" w:eastAsia="Times New Roman" w:hAnsi="Times New Roman" w:cs="Times New Roman"/>
          <w:color w:val="000000"/>
        </w:rPr>
        <w:t xml:space="preserve">» </w:t>
      </w:r>
      <w:r w:rsidRPr="004C34F8">
        <w:rPr>
          <w:rStyle w:val="Rimandonotaapidipagina"/>
          <w:rFonts w:ascii="Times New Roman" w:eastAsia="Times New Roman" w:hAnsi="Times New Roman" w:cs="Times New Roman"/>
          <w:color w:val="000000"/>
        </w:rPr>
        <w:footnoteReference w:id="334"/>
      </w:r>
      <w:r w:rsidRPr="004C34F8">
        <w:rPr>
          <w:rFonts w:ascii="Times New Roman" w:eastAsia="Times New Roman" w:hAnsi="Times New Roman" w:cs="Times New Roman"/>
          <w:color w:val="000000"/>
        </w:rPr>
        <w:t>.</w:t>
      </w:r>
      <w:r w:rsidRPr="00885F48">
        <w:rPr>
          <w:rFonts w:ascii="Times New Roman" w:eastAsia="Times New Roman" w:hAnsi="Times New Roman" w:cs="Times New Roman"/>
          <w:color w:val="000000"/>
        </w:rPr>
        <w:t xml:space="preserve"> E questo in virtù di quella negatività, intesa come </w:t>
      </w:r>
      <w:r w:rsidRPr="00885F48">
        <w:rPr>
          <w:rFonts w:ascii="Times New Roman" w:eastAsia="Times New Roman" w:hAnsi="Times New Roman" w:cs="Times New Roman"/>
          <w:i/>
          <w:color w:val="000000"/>
        </w:rPr>
        <w:t>absolute Unruhe</w:t>
      </w:r>
      <w:r w:rsidRPr="00885F48">
        <w:rPr>
          <w:rFonts w:ascii="Times New Roman" w:eastAsia="Times New Roman" w:hAnsi="Times New Roman" w:cs="Times New Roman"/>
          <w:color w:val="000000"/>
        </w:rPr>
        <w:t>, che determina il dischiudersi dell’indeterminatezza</w:t>
      </w:r>
      <w:r>
        <w:rPr>
          <w:rFonts w:ascii="Times New Roman" w:eastAsia="Times New Roman" w:hAnsi="Times New Roman" w:cs="Times New Roman"/>
          <w:color w:val="000000"/>
        </w:rPr>
        <w:t xml:space="preserve"> alla propria determinatezza, o</w:t>
      </w:r>
      <w:r w:rsidRPr="00885F48">
        <w:rPr>
          <w:rFonts w:ascii="Times New Roman" w:eastAsia="Times New Roman" w:hAnsi="Times New Roman" w:cs="Times New Roman"/>
          <w:color w:val="000000"/>
        </w:rPr>
        <w:t xml:space="preserve"> il negarsi, che è al contempo un affermarsi, </w:t>
      </w:r>
      <w:r>
        <w:rPr>
          <w:rFonts w:ascii="Times New Roman" w:eastAsia="Times New Roman" w:hAnsi="Times New Roman" w:cs="Times New Roman"/>
          <w:color w:val="000000"/>
        </w:rPr>
        <w:t>dell’</w:t>
      </w:r>
      <w:r w:rsidRPr="00E77342">
        <w:rPr>
          <w:rFonts w:ascii="Times New Roman" w:eastAsia="Times New Roman" w:hAnsi="Times New Roman" w:cs="Times New Roman"/>
          <w:i/>
          <w:color w:val="000000"/>
        </w:rPr>
        <w:t>Assoluto</w:t>
      </w:r>
      <w:r w:rsidRPr="00885F48">
        <w:rPr>
          <w:rFonts w:ascii="Times New Roman" w:eastAsia="Times New Roman" w:hAnsi="Times New Roman" w:cs="Times New Roman"/>
          <w:color w:val="000000"/>
        </w:rPr>
        <w:t xml:space="preserve"> nel proprio</w:t>
      </w:r>
      <w:r w:rsidRPr="00885F48">
        <w:rPr>
          <w:rFonts w:ascii="Times New Roman" w:eastAsia="Times New Roman" w:hAnsi="Times New Roman" w:cs="Times New Roman"/>
          <w:i/>
          <w:color w:val="000000"/>
        </w:rPr>
        <w:t xml:space="preserve"> Andersseyn</w:t>
      </w:r>
      <w:r w:rsidRPr="00885F48">
        <w:rPr>
          <w:rFonts w:ascii="Times New Roman" w:eastAsia="Times New Roman" w:hAnsi="Times New Roman" w:cs="Times New Roman"/>
          <w:color w:val="000000"/>
        </w:rPr>
        <w:t>. Inutile dire che la capacità di tradursi e mantenersi nella propria alterità segnerà il passaggio dalla sfera dell’essenza a quella del concetto.</w:t>
      </w:r>
    </w:p>
    <w:p w14:paraId="3EA580CA" w14:textId="77777777" w:rsidR="001B7751" w:rsidRDefault="001B7751" w:rsidP="001B7751">
      <w:pPr>
        <w:pStyle w:val="Paragrafoelenco"/>
        <w:spacing w:line="360" w:lineRule="auto"/>
        <w:ind w:left="0" w:firstLine="567"/>
        <w:jc w:val="both"/>
        <w:rPr>
          <w:rFonts w:ascii="Times New Roman" w:eastAsia="Times New Roman" w:hAnsi="Times New Roman" w:cs="Times New Roman"/>
          <w:color w:val="000000"/>
        </w:rPr>
      </w:pPr>
      <w:r w:rsidRPr="008F6E88">
        <w:rPr>
          <w:rFonts w:ascii="Times New Roman" w:eastAsia="Times New Roman" w:hAnsi="Times New Roman" w:cs="Times New Roman"/>
          <w:color w:val="000000"/>
        </w:rPr>
        <w:t xml:space="preserve">Ma procediamo con ordine e vediamo dapprima in che modo la questione relativa al cominciamento sia affrontata nella </w:t>
      </w:r>
      <w:r w:rsidRPr="008F6E88">
        <w:rPr>
          <w:rFonts w:ascii="Times New Roman" w:eastAsia="Times New Roman" w:hAnsi="Times New Roman" w:cs="Times New Roman"/>
          <w:i/>
          <w:color w:val="000000"/>
          <w:lang w:val="de-DE"/>
        </w:rPr>
        <w:t>Logik des Seyn</w:t>
      </w:r>
      <w:r w:rsidRPr="008F6E88">
        <w:rPr>
          <w:rFonts w:ascii="Times New Roman" w:eastAsia="Times New Roman" w:hAnsi="Times New Roman" w:cs="Times New Roman"/>
          <w:color w:val="000000"/>
        </w:rPr>
        <w:t xml:space="preserve">. Nei tempi più recenti, osserva Hegel, il cominciamento del sapere scientifico </w:t>
      </w:r>
      <w:r w:rsidRPr="00A27071">
        <w:rPr>
          <w:rFonts w:ascii="Times New Roman" w:eastAsia="Times New Roman" w:hAnsi="Times New Roman" w:cs="Times New Roman"/>
          <w:color w:val="000000"/>
        </w:rPr>
        <w:t>«wurde es als eine Schwierigkeit angesehen»</w:t>
      </w:r>
      <w:r w:rsidRPr="00A27071">
        <w:rPr>
          <w:rStyle w:val="Rimandonotaapidipagina"/>
          <w:rFonts w:ascii="Times New Roman" w:eastAsia="Times New Roman" w:hAnsi="Times New Roman" w:cs="Times New Roman"/>
          <w:color w:val="000000"/>
        </w:rPr>
        <w:footnoteReference w:id="335"/>
      </w:r>
      <w:r w:rsidRPr="00A27071">
        <w:rPr>
          <w:rFonts w:ascii="Times New Roman" w:eastAsia="Times New Roman" w:hAnsi="Times New Roman" w:cs="Times New Roman"/>
          <w:color w:val="000000"/>
        </w:rPr>
        <w:t>. Molte sono state le risp</w:t>
      </w:r>
      <w:r w:rsidRPr="00AA6224">
        <w:rPr>
          <w:rFonts w:ascii="Times New Roman" w:eastAsia="Times New Roman" w:hAnsi="Times New Roman" w:cs="Times New Roman"/>
          <w:color w:val="000000"/>
        </w:rPr>
        <w:t xml:space="preserve">oste fornite al quesito. Fra di esse, si segnala per rigore e profondità speculativa l’impostazione fichtiana del problema, che individua nell’Io </w:t>
      </w:r>
      <w:r w:rsidRPr="00A27071">
        <w:rPr>
          <w:rFonts w:ascii="Times New Roman" w:eastAsia="Times New Roman" w:hAnsi="Times New Roman" w:cs="Times New Roman"/>
          <w:color w:val="000000"/>
        </w:rPr>
        <w:t>«der Anfang der Philosophie»</w:t>
      </w:r>
      <w:r w:rsidRPr="00A27071">
        <w:rPr>
          <w:rStyle w:val="Rimandonotaapidipagina"/>
          <w:rFonts w:ascii="Times New Roman" w:eastAsia="Times New Roman" w:hAnsi="Times New Roman" w:cs="Times New Roman"/>
          <w:color w:val="000000"/>
        </w:rPr>
        <w:footnoteReference w:id="336"/>
      </w:r>
      <w:r w:rsidRPr="00A27071">
        <w:rPr>
          <w:rFonts w:ascii="Times New Roman" w:eastAsia="Times New Roman" w:hAnsi="Times New Roman" w:cs="Times New Roman"/>
          <w:color w:val="000000"/>
        </w:rPr>
        <w:t>. Nella sua assoluta immediatezza e semplicità, l’Io è concepibile nei termini di una «</w:t>
      </w:r>
      <w:r w:rsidRPr="00A27071">
        <w:rPr>
          <w:rFonts w:ascii="Times New Roman" w:eastAsia="Times New Roman" w:hAnsi="Times New Roman" w:cs="Times New Roman"/>
          <w:color w:val="000000"/>
          <w:lang w:val="de-DE"/>
        </w:rPr>
        <w:t>einfache Gewißheit seiner selbst</w:t>
      </w:r>
      <w:r w:rsidRPr="00A27071">
        <w:rPr>
          <w:rFonts w:ascii="Times New Roman" w:eastAsia="Times New Roman" w:hAnsi="Times New Roman" w:cs="Times New Roman"/>
          <w:color w:val="000000"/>
        </w:rPr>
        <w:t>»</w:t>
      </w:r>
      <w:r w:rsidRPr="00A27071">
        <w:rPr>
          <w:rStyle w:val="Rimandonotaapidipagina"/>
          <w:rFonts w:ascii="Times New Roman" w:eastAsia="Times New Roman" w:hAnsi="Times New Roman" w:cs="Times New Roman"/>
          <w:color w:val="000000"/>
        </w:rPr>
        <w:footnoteReference w:id="337"/>
      </w:r>
      <w:r w:rsidRPr="00A27071">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La pura e semplice certezza di sé, però, non è un inizio o un fondamento immediato e non ulteriormente determinabile del sapere scientifico. </w:t>
      </w:r>
      <w:r w:rsidRPr="008F6E88">
        <w:rPr>
          <w:rFonts w:ascii="Times New Roman" w:eastAsia="Times New Roman" w:hAnsi="Times New Roman" w:cs="Times New Roman"/>
          <w:color w:val="000000"/>
        </w:rPr>
        <w:t>L’Io risulta da un processo d’astrazione o, per meglio dire, esso è l’atto attraverso cui si astrae dalla concezione ordinaria dell’Io e ci si risolve a pensare in maniera pura. Scrive Hegel</w:t>
      </w:r>
      <w:r w:rsidRPr="00AA6224">
        <w:rPr>
          <w:rFonts w:ascii="Times New Roman" w:eastAsia="Times New Roman" w:hAnsi="Times New Roman" w:cs="Times New Roman"/>
          <w:color w:val="000000"/>
        </w:rPr>
        <w:t>:</w:t>
      </w:r>
    </w:p>
    <w:p w14:paraId="6E4AA823" w14:textId="77777777" w:rsidR="001B7751" w:rsidRDefault="001B7751" w:rsidP="001B7751">
      <w:pPr>
        <w:pStyle w:val="Paragrafoelenco"/>
        <w:spacing w:line="360" w:lineRule="auto"/>
        <w:ind w:firstLine="567"/>
        <w:jc w:val="both"/>
        <w:rPr>
          <w:rFonts w:ascii="Times New Roman" w:eastAsia="Times New Roman" w:hAnsi="Times New Roman" w:cs="Times New Roman"/>
          <w:color w:val="000000"/>
        </w:rPr>
      </w:pPr>
    </w:p>
    <w:p w14:paraId="41212FFD" w14:textId="77777777" w:rsidR="001B7751" w:rsidRPr="00A27071" w:rsidRDefault="001B7751" w:rsidP="001B7751">
      <w:pPr>
        <w:pStyle w:val="Paragrafoelenco"/>
        <w:spacing w:line="360" w:lineRule="auto"/>
        <w:ind w:left="567" w:firstLine="567"/>
        <w:jc w:val="both"/>
        <w:rPr>
          <w:rFonts w:ascii="Times New Roman" w:eastAsia="Times New Roman" w:hAnsi="Times New Roman" w:cs="Times New Roman"/>
          <w:color w:val="000000"/>
          <w:sz w:val="20"/>
          <w:szCs w:val="20"/>
        </w:rPr>
      </w:pPr>
      <w:r w:rsidRPr="00A27071">
        <w:rPr>
          <w:rFonts w:ascii="Times New Roman" w:eastAsia="Times New Roman" w:hAnsi="Times New Roman" w:cs="Times New Roman"/>
          <w:color w:val="000000"/>
          <w:sz w:val="20"/>
          <w:szCs w:val="20"/>
        </w:rPr>
        <w:t>«</w:t>
      </w:r>
      <w:r w:rsidRPr="00A27071">
        <w:rPr>
          <w:rFonts w:ascii="Times New Roman" w:eastAsia="Times New Roman" w:hAnsi="Times New Roman" w:cs="Times New Roman"/>
          <w:color w:val="000000"/>
          <w:sz w:val="20"/>
          <w:szCs w:val="20"/>
          <w:lang w:val="de-DE"/>
        </w:rPr>
        <w:t>Daß aber Ich Anfang und Grund der Philosophie zu seyn, dazu wird vielmehr die Absonderung des Concretes erfördert, – der absolute Akt, wodurch Ich von sich selbst gereinigt wird, und als absolutes Ich in sein Bewußtseyn tritt.</w:t>
      </w:r>
      <w:r w:rsidRPr="00A27071">
        <w:rPr>
          <w:rFonts w:ascii="Times New Roman" w:eastAsia="Times New Roman" w:hAnsi="Times New Roman" w:cs="Times New Roman"/>
          <w:color w:val="000000"/>
          <w:lang w:val="de-DE"/>
        </w:rPr>
        <w:t xml:space="preserve"> </w:t>
      </w:r>
      <w:r w:rsidRPr="00A27071">
        <w:rPr>
          <w:rFonts w:ascii="Times New Roman" w:eastAsia="Times New Roman" w:hAnsi="Times New Roman" w:cs="Times New Roman"/>
          <w:color w:val="000000"/>
          <w:sz w:val="20"/>
          <w:szCs w:val="20"/>
          <w:lang w:val="de-DE"/>
        </w:rPr>
        <w:t>Aber diß reine Ich ist nicht das bekannte, das gewöhnliche Ich unseres Bewußtseyns, woran unmittelbar und für jeden die Wissenschaft angeknüpft werden sollte</w:t>
      </w:r>
      <w:r w:rsidRPr="00A27071">
        <w:rPr>
          <w:rFonts w:ascii="Times New Roman" w:eastAsia="Times New Roman" w:hAnsi="Times New Roman" w:cs="Times New Roman"/>
          <w:color w:val="000000"/>
          <w:sz w:val="20"/>
          <w:szCs w:val="20"/>
        </w:rPr>
        <w:t>»</w:t>
      </w:r>
      <w:r w:rsidRPr="00A27071">
        <w:rPr>
          <w:rStyle w:val="Rimandonotaapidipagina"/>
          <w:rFonts w:ascii="Times New Roman" w:eastAsia="Times New Roman" w:hAnsi="Times New Roman" w:cs="Times New Roman"/>
          <w:color w:val="000000"/>
        </w:rPr>
        <w:footnoteReference w:id="338"/>
      </w:r>
      <w:r w:rsidRPr="00A27071">
        <w:rPr>
          <w:rFonts w:ascii="Times New Roman" w:eastAsia="Times New Roman" w:hAnsi="Times New Roman" w:cs="Times New Roman"/>
          <w:color w:val="000000"/>
        </w:rPr>
        <w:t>.</w:t>
      </w:r>
    </w:p>
    <w:p w14:paraId="313ADEB1" w14:textId="77777777" w:rsidR="001B7751" w:rsidRDefault="001B7751" w:rsidP="001B7751">
      <w:pPr>
        <w:pStyle w:val="Paragrafoelenco"/>
        <w:spacing w:line="360" w:lineRule="auto"/>
        <w:ind w:left="1287" w:firstLine="567"/>
        <w:jc w:val="both"/>
        <w:rPr>
          <w:rFonts w:ascii="Times New Roman" w:eastAsia="Times New Roman" w:hAnsi="Times New Roman" w:cs="Times New Roman"/>
          <w:color w:val="000000"/>
          <w:sz w:val="20"/>
          <w:szCs w:val="20"/>
        </w:rPr>
      </w:pPr>
    </w:p>
    <w:p w14:paraId="3A7E07B7" w14:textId="77777777" w:rsidR="001B7751" w:rsidRPr="00A27071" w:rsidRDefault="001B7751" w:rsidP="001B7751">
      <w:pPr>
        <w:pStyle w:val="Paragrafoelenco"/>
        <w:spacing w:line="360" w:lineRule="auto"/>
        <w:ind w:left="0" w:firstLine="567"/>
        <w:jc w:val="both"/>
        <w:rPr>
          <w:rFonts w:ascii="Times New Roman" w:eastAsia="Times New Roman" w:hAnsi="Times New Roman" w:cs="Times New Roman"/>
          <w:color w:val="000000"/>
        </w:rPr>
      </w:pPr>
      <w:r>
        <w:rPr>
          <w:rFonts w:ascii="Times New Roman" w:eastAsia="Times New Roman" w:hAnsi="Times New Roman" w:cs="Times New Roman"/>
          <w:color w:val="000000"/>
        </w:rPr>
        <w:t>Il cominciamento della scienza è un mediato, che astrae dalla comprensione ordinaria dell’Io, ossia dall’opposizione sussistente fra una sfera soggettiva finita (coscienza) e una sfera oggettiva (mondo). Fichte presuppone il superamento tanto della concezione ordinaria del soggetto, quanto della dicotomia sussistente fra pensiero e mondo.</w:t>
      </w:r>
      <w:r w:rsidRPr="00A27071">
        <w:rPr>
          <w:rFonts w:ascii="Times New Roman" w:eastAsia="Times New Roman" w:hAnsi="Times New Roman" w:cs="Times New Roman"/>
          <w:color w:val="000000"/>
        </w:rPr>
        <w:t xml:space="preserve"> Ma, dice Hegel, nella </w:t>
      </w:r>
      <w:r w:rsidRPr="00255F0D">
        <w:rPr>
          <w:rFonts w:ascii="Times New Roman" w:eastAsia="Times New Roman" w:hAnsi="Times New Roman" w:cs="Times New Roman"/>
          <w:i/>
          <w:color w:val="000000"/>
          <w:lang w:val="de-DE"/>
        </w:rPr>
        <w:t>Wissenschaftslehre</w:t>
      </w:r>
      <w:r w:rsidRPr="00A27071">
        <w:rPr>
          <w:rFonts w:ascii="Times New Roman" w:eastAsia="Times New Roman" w:hAnsi="Times New Roman" w:cs="Times New Roman"/>
          <w:color w:val="000000"/>
        </w:rPr>
        <w:t>, questo presupposto, ossia «</w:t>
      </w:r>
      <w:r w:rsidRPr="00A27071">
        <w:rPr>
          <w:rFonts w:ascii="Times New Roman" w:eastAsia="Times New Roman" w:hAnsi="Times New Roman" w:cs="Times New Roman"/>
          <w:color w:val="000000"/>
          <w:lang w:val="de-DE"/>
        </w:rPr>
        <w:t>die Erhebung auf den Standpunkt des reinen Wissens, auf welchem eben der Unterschied des Subjectiven und des Objectiven verschwunden ist»</w:t>
      </w:r>
      <w:r w:rsidRPr="00A27071">
        <w:rPr>
          <w:rStyle w:val="Rimandonotaapidipagina"/>
          <w:rFonts w:ascii="Times New Roman" w:eastAsia="Times New Roman" w:hAnsi="Times New Roman" w:cs="Times New Roman"/>
          <w:color w:val="000000"/>
          <w:lang w:val="de-DE"/>
        </w:rPr>
        <w:footnoteReference w:id="339"/>
      </w:r>
      <w:r w:rsidRPr="00A27071">
        <w:rPr>
          <w:rFonts w:ascii="Times New Roman" w:eastAsia="Times New Roman" w:hAnsi="Times New Roman" w:cs="Times New Roman"/>
          <w:color w:val="000000"/>
          <w:lang w:val="de-DE"/>
        </w:rPr>
        <w:t xml:space="preserve">, </w:t>
      </w:r>
      <w:r w:rsidRPr="00A27071">
        <w:rPr>
          <w:rFonts w:ascii="Times New Roman" w:eastAsia="Times New Roman" w:hAnsi="Times New Roman" w:cs="Times New Roman"/>
          <w:color w:val="000000"/>
        </w:rPr>
        <w:t>resta soltanto</w:t>
      </w:r>
      <w:r w:rsidRPr="00A27071">
        <w:rPr>
          <w:rFonts w:ascii="Times New Roman" w:eastAsia="Times New Roman" w:hAnsi="Times New Roman" w:cs="Times New Roman"/>
          <w:color w:val="000000"/>
          <w:lang w:val="de-DE"/>
        </w:rPr>
        <w:t xml:space="preserve"> «ein subjectives Postulat</w:t>
      </w:r>
      <w:r w:rsidRPr="00A27071">
        <w:rPr>
          <w:rFonts w:ascii="Times New Roman" w:eastAsia="Times New Roman" w:hAnsi="Times New Roman" w:cs="Times New Roman"/>
          <w:color w:val="000000"/>
        </w:rPr>
        <w:t>»</w:t>
      </w:r>
      <w:r w:rsidRPr="00A27071">
        <w:rPr>
          <w:rStyle w:val="Rimandonotaapidipagina"/>
          <w:rFonts w:ascii="Times New Roman" w:eastAsia="Times New Roman" w:hAnsi="Times New Roman" w:cs="Times New Roman"/>
          <w:color w:val="000000"/>
        </w:rPr>
        <w:footnoteReference w:id="340"/>
      </w:r>
      <w:r w:rsidRPr="00A27071">
        <w:rPr>
          <w:rFonts w:ascii="Times New Roman" w:eastAsia="Times New Roman" w:hAnsi="Times New Roman" w:cs="Times New Roman"/>
          <w:color w:val="000000"/>
        </w:rPr>
        <w:t xml:space="preserve">: </w:t>
      </w:r>
    </w:p>
    <w:p w14:paraId="0FFAC20A" w14:textId="77777777" w:rsidR="001B7751" w:rsidRPr="00A27071" w:rsidRDefault="001B7751" w:rsidP="001B7751">
      <w:pPr>
        <w:pStyle w:val="Paragrafoelenco"/>
        <w:spacing w:line="360" w:lineRule="auto"/>
        <w:ind w:firstLine="567"/>
        <w:jc w:val="both"/>
        <w:rPr>
          <w:rFonts w:ascii="Times New Roman" w:eastAsia="Times New Roman" w:hAnsi="Times New Roman" w:cs="Times New Roman"/>
          <w:color w:val="000000"/>
        </w:rPr>
      </w:pPr>
    </w:p>
    <w:p w14:paraId="21F2A2D8" w14:textId="77777777" w:rsidR="001B7751" w:rsidRPr="00A27071" w:rsidRDefault="001B7751" w:rsidP="001B7751">
      <w:pPr>
        <w:pStyle w:val="Paragrafoelenco"/>
        <w:spacing w:line="360" w:lineRule="auto"/>
        <w:ind w:left="567" w:firstLine="567"/>
        <w:jc w:val="both"/>
        <w:rPr>
          <w:rFonts w:ascii="Times New Roman" w:eastAsia="Times New Roman" w:hAnsi="Times New Roman" w:cs="Times New Roman"/>
          <w:color w:val="000000"/>
          <w:sz w:val="20"/>
          <w:szCs w:val="20"/>
        </w:rPr>
      </w:pPr>
      <w:r w:rsidRPr="00A27071">
        <w:rPr>
          <w:rFonts w:ascii="Times New Roman" w:eastAsia="Times New Roman" w:hAnsi="Times New Roman" w:cs="Times New Roman"/>
          <w:color w:val="000000"/>
          <w:sz w:val="20"/>
          <w:szCs w:val="20"/>
        </w:rPr>
        <w:t>«</w:t>
      </w:r>
      <w:r w:rsidRPr="00A27071">
        <w:rPr>
          <w:rFonts w:ascii="Times New Roman" w:eastAsia="Times New Roman" w:hAnsi="Times New Roman" w:cs="Times New Roman"/>
          <w:color w:val="000000"/>
          <w:sz w:val="20"/>
          <w:szCs w:val="20"/>
          <w:lang w:val="de-DE"/>
        </w:rPr>
        <w:t>Die Fortbewegung des concreten Ichs oder des unmittelbaren Bewußtseyn zum reinen Wissen an ihm selbst, durch seine eigene Notwendigkeit, aufgezeigt und dargestellt worden seyn. Ohne diese objective Bewegung erscheint das reine Wissen, die intellectuelle Anschaung, als ein willkührlicher Standpunkt, oder selbst als einer der empirischen Zustände des Bewußtseyns, in Rücksicht dessesn es darauf ankommt, ob ihn der eine in sich vorfinde oder hervorbringen könne, ein anderer aber nicht</w:t>
      </w:r>
      <w:r w:rsidRPr="00A27071">
        <w:rPr>
          <w:rFonts w:ascii="Times New Roman" w:eastAsia="Times New Roman" w:hAnsi="Times New Roman" w:cs="Times New Roman"/>
          <w:color w:val="000000"/>
          <w:sz w:val="20"/>
          <w:szCs w:val="20"/>
        </w:rPr>
        <w:t>»</w:t>
      </w:r>
      <w:r w:rsidRPr="00A27071">
        <w:rPr>
          <w:rStyle w:val="Rimandonotaapidipagina"/>
          <w:rFonts w:ascii="Times New Roman" w:eastAsia="Times New Roman" w:hAnsi="Times New Roman" w:cs="Times New Roman"/>
          <w:color w:val="000000"/>
          <w:sz w:val="20"/>
          <w:szCs w:val="20"/>
        </w:rPr>
        <w:footnoteReference w:id="341"/>
      </w:r>
      <w:r w:rsidRPr="00A27071">
        <w:rPr>
          <w:rFonts w:ascii="Times New Roman" w:eastAsia="Times New Roman" w:hAnsi="Times New Roman" w:cs="Times New Roman"/>
          <w:color w:val="000000"/>
          <w:sz w:val="20"/>
          <w:szCs w:val="20"/>
        </w:rPr>
        <w:t>.</w:t>
      </w:r>
    </w:p>
    <w:p w14:paraId="745E0E8F" w14:textId="77777777" w:rsidR="001B7751" w:rsidRDefault="001B7751" w:rsidP="001B7751">
      <w:pPr>
        <w:pStyle w:val="Paragrafoelenco"/>
        <w:spacing w:line="360" w:lineRule="auto"/>
        <w:ind w:firstLine="567"/>
        <w:jc w:val="both"/>
        <w:rPr>
          <w:rFonts w:ascii="Times New Roman" w:eastAsia="Times New Roman" w:hAnsi="Times New Roman" w:cs="Times New Roman"/>
          <w:color w:val="000000"/>
        </w:rPr>
      </w:pPr>
    </w:p>
    <w:p w14:paraId="576178D6" w14:textId="3F4FE442" w:rsidR="001B7751" w:rsidRDefault="001B7751" w:rsidP="001B7751">
      <w:pPr>
        <w:pStyle w:val="Paragrafoelenco"/>
        <w:spacing w:line="360" w:lineRule="auto"/>
        <w:ind w:left="0" w:firstLine="567"/>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Senza un movimento oggettivo, che superi l’opposizione determinata fra Io e mondo e che giustifichi il passaggio dall’Io finito a quello infinito, il pensiero non può che decidersi soggettivamente </w:t>
      </w:r>
      <w:r w:rsidRPr="00F131FF">
        <w:rPr>
          <w:rFonts w:ascii="Times New Roman" w:eastAsia="Times New Roman" w:hAnsi="Times New Roman" w:cs="Times New Roman"/>
          <w:color w:val="000000"/>
        </w:rPr>
        <w:t xml:space="preserve">a dismettere una </w:t>
      </w:r>
      <w:r w:rsidRPr="00AA6224">
        <w:rPr>
          <w:rFonts w:ascii="Times New Roman" w:eastAsia="Times New Roman" w:hAnsi="Times New Roman" w:cs="Times New Roman"/>
          <w:color w:val="000000"/>
        </w:rPr>
        <w:t xml:space="preserve">dimensione </w:t>
      </w:r>
      <w:r w:rsidRPr="00AA6224">
        <w:rPr>
          <w:rFonts w:ascii="Times New Roman" w:eastAsia="Times New Roman" w:hAnsi="Times New Roman" w:cs="Times New Roman"/>
          <w:i/>
          <w:color w:val="000000"/>
        </w:rPr>
        <w:t>fenomenologica</w:t>
      </w:r>
      <w:r w:rsidRPr="00AA6224">
        <w:rPr>
          <w:rFonts w:ascii="Times New Roman" w:eastAsia="Times New Roman" w:hAnsi="Times New Roman" w:cs="Times New Roman"/>
          <w:color w:val="000000"/>
        </w:rPr>
        <w:t xml:space="preserve"> a</w:t>
      </w:r>
      <w:r w:rsidRPr="00F131FF">
        <w:rPr>
          <w:rFonts w:ascii="Times New Roman" w:eastAsia="Times New Roman" w:hAnsi="Times New Roman" w:cs="Times New Roman"/>
          <w:color w:val="000000"/>
        </w:rPr>
        <w:t xml:space="preserve"> favore di una prospettiva ontologica assoluta</w:t>
      </w:r>
      <w:r>
        <w:rPr>
          <w:rFonts w:ascii="Times New Roman" w:eastAsia="Times New Roman" w:hAnsi="Times New Roman" w:cs="Times New Roman"/>
          <w:color w:val="000000"/>
        </w:rPr>
        <w:t xml:space="preserve">. Quello che vuole dirci Hegel è che senza una </w:t>
      </w:r>
      <w:r w:rsidRPr="005D0F97">
        <w:rPr>
          <w:rFonts w:ascii="Times New Roman" w:eastAsia="Times New Roman" w:hAnsi="Times New Roman" w:cs="Times New Roman"/>
          <w:i/>
          <w:color w:val="000000"/>
        </w:rPr>
        <w:t>Phänomenologie des Geistes</w:t>
      </w:r>
      <w:r>
        <w:rPr>
          <w:rFonts w:ascii="Times New Roman" w:eastAsia="Times New Roman" w:hAnsi="Times New Roman" w:cs="Times New Roman"/>
          <w:color w:val="000000"/>
        </w:rPr>
        <w:t>, ossia senza il superamento dell’</w:t>
      </w:r>
      <w:r w:rsidRPr="00F131FF">
        <w:rPr>
          <w:rFonts w:ascii="Times New Roman" w:eastAsia="Times New Roman" w:hAnsi="Times New Roman" w:cs="Times New Roman"/>
          <w:i/>
          <w:color w:val="000000"/>
          <w:lang w:val="de-DE"/>
        </w:rPr>
        <w:t>Entgegen</w:t>
      </w:r>
      <w:r>
        <w:rPr>
          <w:rFonts w:ascii="Times New Roman" w:eastAsia="Times New Roman" w:hAnsi="Times New Roman" w:cs="Times New Roman"/>
          <w:i/>
          <w:color w:val="000000"/>
          <w:lang w:val="de-DE"/>
        </w:rPr>
        <w:t>ge</w:t>
      </w:r>
      <w:r w:rsidRPr="00F131FF">
        <w:rPr>
          <w:rFonts w:ascii="Times New Roman" w:eastAsia="Times New Roman" w:hAnsi="Times New Roman" w:cs="Times New Roman"/>
          <w:i/>
          <w:color w:val="000000"/>
          <w:lang w:val="de-DE"/>
        </w:rPr>
        <w:t>setzt</w:t>
      </w:r>
      <w:r>
        <w:rPr>
          <w:rFonts w:ascii="Times New Roman" w:eastAsia="Times New Roman" w:hAnsi="Times New Roman" w:cs="Times New Roman"/>
          <w:i/>
          <w:color w:val="000000"/>
          <w:lang w:val="de-DE"/>
        </w:rPr>
        <w:t>seyn</w:t>
      </w:r>
      <w:r>
        <w:rPr>
          <w:rFonts w:ascii="Times New Roman" w:eastAsia="Times New Roman" w:hAnsi="Times New Roman" w:cs="Times New Roman"/>
          <w:color w:val="000000"/>
        </w:rPr>
        <w:t xml:space="preserve"> di soggettivo e oggettivo, non è possibile colmare lo iato fra coscienza e mondo, fra certezza di sé e verità, fra sapere finito e sapere assoluto. L’operazione teorica di Fichte è da rigettare nella misura in cui </w:t>
      </w:r>
      <w:r w:rsidRPr="007D607B">
        <w:rPr>
          <w:rFonts w:ascii="Times New Roman" w:eastAsia="Times New Roman" w:hAnsi="Times New Roman" w:cs="Times New Roman"/>
          <w:color w:val="000000"/>
        </w:rPr>
        <w:t>conferisce una legittimità teorica prettamente soggettiva a ciò che dovrebbe risultare da un’intrinseca</w:t>
      </w:r>
      <w:r>
        <w:rPr>
          <w:rFonts w:ascii="Times New Roman" w:eastAsia="Times New Roman" w:hAnsi="Times New Roman" w:cs="Times New Roman"/>
          <w:color w:val="000000"/>
        </w:rPr>
        <w:t xml:space="preserve"> e</w:t>
      </w:r>
      <w:r w:rsidRPr="007D607B">
        <w:rPr>
          <w:rFonts w:ascii="Times New Roman" w:eastAsia="Times New Roman" w:hAnsi="Times New Roman" w:cs="Times New Roman"/>
          <w:color w:val="000000"/>
        </w:rPr>
        <w:t xml:space="preserve"> oggettiva necessità (</w:t>
      </w:r>
      <w:r w:rsidRPr="007D607B">
        <w:rPr>
          <w:rFonts w:ascii="Times New Roman" w:eastAsia="Times New Roman" w:hAnsi="Times New Roman" w:cs="Times New Roman"/>
          <w:i/>
          <w:color w:val="000000"/>
          <w:lang w:val="de-DE"/>
        </w:rPr>
        <w:t xml:space="preserve">objective </w:t>
      </w:r>
      <w:r w:rsidRPr="008F6E88">
        <w:rPr>
          <w:rFonts w:ascii="Times New Roman" w:eastAsia="Times New Roman" w:hAnsi="Times New Roman" w:cs="Times New Roman"/>
          <w:i/>
          <w:color w:val="000000"/>
          <w:lang w:val="de-DE"/>
        </w:rPr>
        <w:t>Bewegung</w:t>
      </w:r>
      <w:r w:rsidRPr="008F6E88">
        <w:rPr>
          <w:rFonts w:ascii="Times New Roman" w:eastAsia="Times New Roman" w:hAnsi="Times New Roman" w:cs="Times New Roman"/>
          <w:color w:val="000000"/>
        </w:rPr>
        <w:t>). Solo in apparenza, quindi, l’Io puro è u</w:t>
      </w:r>
      <w:r w:rsidR="00EB7208">
        <w:rPr>
          <w:rFonts w:ascii="Times New Roman" w:eastAsia="Times New Roman" w:hAnsi="Times New Roman" w:cs="Times New Roman"/>
          <w:color w:val="000000"/>
        </w:rPr>
        <w:t xml:space="preserve">n incondizionato immediatamente accessibile </w:t>
      </w:r>
      <w:r w:rsidRPr="008F6E88">
        <w:rPr>
          <w:rFonts w:ascii="Times New Roman" w:eastAsia="Times New Roman" w:hAnsi="Times New Roman" w:cs="Times New Roman"/>
          <w:color w:val="000000"/>
        </w:rPr>
        <w:t>– in forza della sua semplicità ed evidenza – al pensiero.</w:t>
      </w:r>
    </w:p>
    <w:p w14:paraId="5165915E" w14:textId="4BDAB7C4" w:rsidR="001B7751" w:rsidRPr="00145731" w:rsidRDefault="001B7751" w:rsidP="001B7751">
      <w:pPr>
        <w:pStyle w:val="Paragrafoelenco"/>
        <w:spacing w:line="360" w:lineRule="auto"/>
        <w:ind w:left="0" w:firstLine="567"/>
        <w:jc w:val="both"/>
        <w:rPr>
          <w:rFonts w:ascii="Times New Roman" w:eastAsia="Times New Roman" w:hAnsi="Times New Roman" w:cs="Times New Roman"/>
          <w:color w:val="000000"/>
        </w:rPr>
      </w:pPr>
      <w:r>
        <w:rPr>
          <w:rFonts w:ascii="Times New Roman" w:eastAsia="Times New Roman" w:hAnsi="Times New Roman" w:cs="Times New Roman"/>
          <w:color w:val="000000"/>
        </w:rPr>
        <w:t>Ancora una volta, la filosofia di Fichte è oggetto della critica serrata di Hegel, che non risparmia colpo alcuno all’</w:t>
      </w:r>
      <w:r w:rsidR="00021560">
        <w:rPr>
          <w:rFonts w:ascii="Times New Roman" w:eastAsia="Times New Roman" w:hAnsi="Times New Roman" w:cs="Times New Roman"/>
          <w:color w:val="000000"/>
        </w:rPr>
        <w:t>autore</w:t>
      </w:r>
      <w:r>
        <w:rPr>
          <w:rFonts w:ascii="Times New Roman" w:eastAsia="Times New Roman" w:hAnsi="Times New Roman" w:cs="Times New Roman"/>
          <w:color w:val="000000"/>
        </w:rPr>
        <w:t xml:space="preserve"> della </w:t>
      </w:r>
      <w:r w:rsidRPr="00731276">
        <w:rPr>
          <w:rFonts w:ascii="Times New Roman" w:eastAsia="Times New Roman" w:hAnsi="Times New Roman" w:cs="Times New Roman"/>
          <w:i/>
          <w:color w:val="000000"/>
          <w:lang w:val="de-DE"/>
        </w:rPr>
        <w:t>Wissenschaftslehre</w:t>
      </w:r>
      <w:r>
        <w:rPr>
          <w:rFonts w:ascii="Times New Roman" w:eastAsia="Times New Roman" w:hAnsi="Times New Roman" w:cs="Times New Roman"/>
          <w:color w:val="000000"/>
        </w:rPr>
        <w:t>. Se si presta attenzione all’argomentazione hegeliana, non è d</w:t>
      </w:r>
      <w:r w:rsidR="00EB7208">
        <w:rPr>
          <w:rFonts w:ascii="Times New Roman" w:eastAsia="Times New Roman" w:hAnsi="Times New Roman" w:cs="Times New Roman"/>
          <w:color w:val="000000"/>
        </w:rPr>
        <w:t>ifficile rinvenire una eco delle</w:t>
      </w:r>
      <w:r>
        <w:rPr>
          <w:rFonts w:ascii="Times New Roman" w:eastAsia="Times New Roman" w:hAnsi="Times New Roman" w:cs="Times New Roman"/>
          <w:color w:val="000000"/>
        </w:rPr>
        <w:t xml:space="preserve"> critiche jenesi mosse alla concezione fichtiana dell’Io. In </w:t>
      </w:r>
      <w:r w:rsidRPr="00F956FB">
        <w:rPr>
          <w:rFonts w:ascii="Times New Roman" w:eastAsia="Times New Roman" w:hAnsi="Times New Roman" w:cs="Times New Roman"/>
          <w:i/>
          <w:color w:val="000000"/>
        </w:rPr>
        <w:t>Glauben und Wissen</w:t>
      </w:r>
      <w:r>
        <w:rPr>
          <w:rFonts w:ascii="Times New Roman" w:eastAsia="Times New Roman" w:hAnsi="Times New Roman" w:cs="Times New Roman"/>
          <w:color w:val="000000"/>
        </w:rPr>
        <w:t xml:space="preserve">, Hegel aveva sostenuto l’impossibilità dell’Io fichtiano di essere un </w:t>
      </w:r>
      <w:r w:rsidRPr="00F956FB">
        <w:rPr>
          <w:rFonts w:ascii="Times New Roman" w:eastAsia="Times New Roman" w:hAnsi="Times New Roman" w:cs="Times New Roman"/>
          <w:i/>
          <w:color w:val="000000"/>
        </w:rPr>
        <w:t>absolutes Nichts</w:t>
      </w:r>
      <w:r>
        <w:rPr>
          <w:rFonts w:ascii="Times New Roman" w:eastAsia="Times New Roman" w:hAnsi="Times New Roman" w:cs="Times New Roman"/>
          <w:color w:val="000000"/>
        </w:rPr>
        <w:t xml:space="preserve">: </w:t>
      </w:r>
      <w:r w:rsidRPr="00AA6224">
        <w:rPr>
          <w:rFonts w:ascii="Times New Roman" w:eastAsia="Times New Roman" w:hAnsi="Times New Roman" w:cs="Times New Roman"/>
          <w:color w:val="000000"/>
        </w:rPr>
        <w:t xml:space="preserve">la nientificazione dell’opposizione fra Io e non-Io viene meno nel momento in cui l’Io non può liberarsi dalla determinazione, o dalla sollecitazione, di una oggettività ad esso esterna. Nessun superamento delle dicotomie riflessive, nessuna affermazione assoluta di sé e nessuna differenziazione interna ha effettivamente luogo in una struttura ontologico-relazionale che ambisce, senza poterla mai </w:t>
      </w:r>
      <w:r>
        <w:rPr>
          <w:rFonts w:ascii="Times New Roman" w:eastAsia="Times New Roman" w:hAnsi="Times New Roman" w:cs="Times New Roman"/>
          <w:color w:val="000000"/>
        </w:rPr>
        <w:t xml:space="preserve">di fatto </w:t>
      </w:r>
      <w:r w:rsidRPr="00AA6224">
        <w:rPr>
          <w:rFonts w:ascii="Times New Roman" w:eastAsia="Times New Roman" w:hAnsi="Times New Roman" w:cs="Times New Roman"/>
          <w:color w:val="000000"/>
        </w:rPr>
        <w:t>raggiungere, all’assolutezza.</w:t>
      </w:r>
      <w:r w:rsidRPr="00C0616A">
        <w:rPr>
          <w:rFonts w:ascii="Times New Roman" w:eastAsia="Times New Roman" w:hAnsi="Times New Roman" w:cs="Times New Roman"/>
          <w:color w:val="000000"/>
        </w:rPr>
        <w:t xml:space="preserve"> In modo del tutto analogo, l’impossibilità di lasciarsi alle spalle le dicotomie del pensiero finito rappresenta quel limite teorico che inficia la volontà fichtiana di dedurre l’intero edifico del sapere a partire da un principio immediato e per sé evidente. Se negli </w:t>
      </w:r>
      <w:r w:rsidRPr="00C0616A">
        <w:rPr>
          <w:rFonts w:ascii="Times New Roman" w:eastAsia="Times New Roman" w:hAnsi="Times New Roman" w:cs="Times New Roman"/>
          <w:i/>
          <w:color w:val="000000"/>
        </w:rPr>
        <w:t xml:space="preserve">Jenaer </w:t>
      </w:r>
      <w:r w:rsidRPr="00D03108">
        <w:rPr>
          <w:rFonts w:ascii="Times New Roman" w:eastAsia="Times New Roman" w:hAnsi="Times New Roman" w:cs="Times New Roman"/>
          <w:i/>
          <w:color w:val="000000"/>
        </w:rPr>
        <w:t xml:space="preserve">Schriften </w:t>
      </w:r>
      <w:r w:rsidRPr="00D03108">
        <w:rPr>
          <w:rFonts w:ascii="Times New Roman" w:eastAsia="Times New Roman" w:hAnsi="Times New Roman" w:cs="Times New Roman"/>
          <w:color w:val="000000"/>
        </w:rPr>
        <w:t>il superamento del dualismo fichtiano e l’assunzione della prospettiva dell’</w:t>
      </w:r>
      <w:r w:rsidRPr="00D03108">
        <w:rPr>
          <w:rFonts w:ascii="Times New Roman" w:eastAsia="Times New Roman" w:hAnsi="Times New Roman" w:cs="Times New Roman"/>
          <w:i/>
          <w:color w:val="000000"/>
        </w:rPr>
        <w:t xml:space="preserve">Absolutes Nichts </w:t>
      </w:r>
      <w:r w:rsidRPr="00D03108">
        <w:rPr>
          <w:rFonts w:ascii="Times New Roman" w:eastAsia="Times New Roman" w:hAnsi="Times New Roman" w:cs="Times New Roman"/>
          <w:color w:val="000000"/>
        </w:rPr>
        <w:t>erano stati delegati, in un primo momento, all’</w:t>
      </w:r>
      <w:r w:rsidRPr="00D03108">
        <w:rPr>
          <w:rFonts w:ascii="Times New Roman" w:eastAsia="Times New Roman" w:hAnsi="Times New Roman" w:cs="Times New Roman"/>
          <w:i/>
          <w:color w:val="000000"/>
        </w:rPr>
        <w:t xml:space="preserve">infinitum actu </w:t>
      </w:r>
      <w:r w:rsidRPr="00D03108">
        <w:rPr>
          <w:rFonts w:ascii="Times New Roman" w:eastAsia="Times New Roman" w:hAnsi="Times New Roman" w:cs="Times New Roman"/>
          <w:color w:val="000000"/>
        </w:rPr>
        <w:t>spinoziano e, in un secondo momento, ad una nozione di soggettività assoluta dai tratti böhmiani,</w:t>
      </w:r>
      <w:r w:rsidRPr="00C0616A">
        <w:rPr>
          <w:rFonts w:ascii="Times New Roman" w:eastAsia="Times New Roman" w:hAnsi="Times New Roman" w:cs="Times New Roman"/>
          <w:color w:val="000000"/>
        </w:rPr>
        <w:t xml:space="preserve"> nel caso dell’</w:t>
      </w:r>
      <w:r w:rsidRPr="00C0616A">
        <w:rPr>
          <w:rFonts w:ascii="Times New Roman" w:eastAsia="Times New Roman" w:hAnsi="Times New Roman" w:cs="Times New Roman"/>
          <w:i/>
          <w:color w:val="000000"/>
        </w:rPr>
        <w:t xml:space="preserve">Anfang der Wissenschaft </w:t>
      </w:r>
      <w:r w:rsidRPr="00C0616A">
        <w:rPr>
          <w:rFonts w:ascii="Times New Roman" w:eastAsia="Times New Roman" w:hAnsi="Times New Roman" w:cs="Times New Roman"/>
          <w:color w:val="000000"/>
        </w:rPr>
        <w:t xml:space="preserve">è la nozione di </w:t>
      </w:r>
      <w:r w:rsidRPr="00C82D15">
        <w:rPr>
          <w:rFonts w:ascii="Times New Roman" w:eastAsia="Times New Roman" w:hAnsi="Times New Roman" w:cs="Times New Roman"/>
          <w:i/>
          <w:color w:val="000000"/>
        </w:rPr>
        <w:t>essere puro</w:t>
      </w:r>
      <w:r w:rsidRPr="00C0616A">
        <w:rPr>
          <w:rFonts w:ascii="Times New Roman" w:eastAsia="Times New Roman" w:hAnsi="Times New Roman" w:cs="Times New Roman"/>
          <w:color w:val="000000"/>
        </w:rPr>
        <w:t xml:space="preserve"> a rappresentare, ad un tempo, </w:t>
      </w:r>
      <w:r>
        <w:rPr>
          <w:rFonts w:ascii="Times New Roman" w:eastAsia="Times New Roman" w:hAnsi="Times New Roman" w:cs="Times New Roman"/>
          <w:color w:val="000000"/>
        </w:rPr>
        <w:t>la risposta al fichtismo e</w:t>
      </w:r>
      <w:r w:rsidRPr="00C0616A">
        <w:rPr>
          <w:rFonts w:ascii="Times New Roman" w:eastAsia="Times New Roman" w:hAnsi="Times New Roman" w:cs="Times New Roman"/>
          <w:color w:val="000000"/>
        </w:rPr>
        <w:t xml:space="preserve"> il punto di partenza del sapere scientifico</w:t>
      </w:r>
      <w:r>
        <w:rPr>
          <w:rFonts w:ascii="Times New Roman" w:eastAsia="Times New Roman" w:hAnsi="Times New Roman" w:cs="Times New Roman"/>
          <w:color w:val="000000"/>
        </w:rPr>
        <w:t>.</w:t>
      </w:r>
    </w:p>
    <w:p w14:paraId="4086A501" w14:textId="71B0F8BC" w:rsidR="001B7751" w:rsidRPr="009D2EEA" w:rsidRDefault="001B7751" w:rsidP="001B7751">
      <w:pPr>
        <w:pStyle w:val="Paragrafoelenco"/>
        <w:spacing w:line="360" w:lineRule="auto"/>
        <w:ind w:left="0" w:firstLine="567"/>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Contrariamente all’Io puro, l’essere, preso nella sua immediatezza e purezza, sembra soddisfare quei requisiti che un cominciamento del sapere scientifico dovrebbe possedere. Esso non soltanto è </w:t>
      </w:r>
      <w:r w:rsidRPr="00A27071">
        <w:rPr>
          <w:rFonts w:ascii="Times New Roman" w:eastAsia="Times New Roman" w:hAnsi="Times New Roman" w:cs="Times New Roman"/>
          <w:color w:val="000000"/>
        </w:rPr>
        <w:t>«</w:t>
      </w:r>
      <w:r w:rsidRPr="00A27071">
        <w:rPr>
          <w:rFonts w:ascii="Times New Roman" w:eastAsia="Times New Roman" w:hAnsi="Times New Roman" w:cs="Times New Roman"/>
          <w:color w:val="000000"/>
          <w:lang w:val="de-DE"/>
        </w:rPr>
        <w:t>die reine Unbestimmtheit</w:t>
      </w:r>
      <w:r w:rsidRPr="00A27071">
        <w:rPr>
          <w:rFonts w:ascii="Times New Roman" w:eastAsia="Times New Roman" w:hAnsi="Times New Roman" w:cs="Times New Roman"/>
          <w:color w:val="000000"/>
        </w:rPr>
        <w:t>»</w:t>
      </w:r>
      <w:r w:rsidRPr="00A27071">
        <w:rPr>
          <w:rStyle w:val="Rimandonotaapidipagina"/>
          <w:rFonts w:ascii="Times New Roman" w:eastAsia="Times New Roman" w:hAnsi="Times New Roman" w:cs="Times New Roman"/>
          <w:color w:val="000000"/>
        </w:rPr>
        <w:footnoteReference w:id="342"/>
      </w:r>
      <w:r w:rsidRPr="00A27071">
        <w:rPr>
          <w:rFonts w:ascii="Times New Roman" w:eastAsia="Times New Roman" w:hAnsi="Times New Roman" w:cs="Times New Roman"/>
          <w:color w:val="000000"/>
        </w:rPr>
        <w:t>, e quindi non soggetto a forma alcuna di determinazione, ma anche quella categoria semplicissima del pensiero che sembra soddisfare il requisito di “notorietà” che «</w:t>
      </w:r>
      <w:r w:rsidRPr="00A27071">
        <w:rPr>
          <w:rFonts w:ascii="Times New Roman" w:eastAsia="Times New Roman" w:hAnsi="Times New Roman" w:cs="Times New Roman"/>
          <w:color w:val="000000"/>
          <w:lang w:val="de-DE"/>
        </w:rPr>
        <w:t>liegt in der Natur des Anfangs selbst</w:t>
      </w:r>
      <w:r w:rsidRPr="00A27071">
        <w:rPr>
          <w:rFonts w:ascii="Times New Roman" w:eastAsia="Times New Roman" w:hAnsi="Times New Roman" w:cs="Times New Roman"/>
          <w:color w:val="000000"/>
        </w:rPr>
        <w:t>»</w:t>
      </w:r>
      <w:r w:rsidRPr="00A27071">
        <w:rPr>
          <w:rStyle w:val="Rimandonotaapidipagina"/>
          <w:rFonts w:ascii="Times New Roman" w:eastAsia="Times New Roman" w:hAnsi="Times New Roman" w:cs="Times New Roman"/>
          <w:color w:val="000000"/>
        </w:rPr>
        <w:footnoteReference w:id="343"/>
      </w:r>
      <w:r w:rsidRPr="00A27071">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 xml:space="preserve">Questo essere puro, nella sua indeterminatezza, è identico al nulla e il nulla all’essere puro: quando s’intuisce o pensa l’essere puro, s’intuisce e pensa </w:t>
      </w:r>
      <w:r w:rsidRPr="00A27071">
        <w:rPr>
          <w:rFonts w:ascii="Times New Roman" w:eastAsia="Times New Roman" w:hAnsi="Times New Roman" w:cs="Times New Roman"/>
          <w:color w:val="000000"/>
        </w:rPr>
        <w:t>«das unbestimmte Unmittelbare</w:t>
      </w:r>
      <w:r w:rsidRPr="00A27071">
        <w:rPr>
          <w:rFonts w:ascii="Times New Roman" w:eastAsia="Times New Roman" w:hAnsi="Times New Roman" w:cs="Times New Roman"/>
          <w:color w:val="000000"/>
          <w:sz w:val="20"/>
          <w:szCs w:val="20"/>
        </w:rPr>
        <w:t xml:space="preserve">», </w:t>
      </w:r>
      <w:r w:rsidRPr="00A27071">
        <w:rPr>
          <w:rFonts w:ascii="Times New Roman" w:eastAsia="Times New Roman" w:hAnsi="Times New Roman" w:cs="Times New Roman"/>
          <w:color w:val="000000"/>
        </w:rPr>
        <w:t>cioè «das Nichts</w:t>
      </w:r>
      <w:r w:rsidRPr="00A27071">
        <w:rPr>
          <w:rFonts w:ascii="Times New Roman" w:eastAsia="Times New Roman" w:hAnsi="Times New Roman" w:cs="Times New Roman"/>
          <w:color w:val="000000"/>
          <w:sz w:val="20"/>
          <w:szCs w:val="20"/>
        </w:rPr>
        <w:t>»</w:t>
      </w:r>
      <w:r w:rsidRPr="00A27071">
        <w:rPr>
          <w:rFonts w:ascii="Times New Roman" w:eastAsia="Times New Roman" w:hAnsi="Times New Roman" w:cs="Times New Roman"/>
          <w:color w:val="000000"/>
        </w:rPr>
        <w:t xml:space="preserve"> </w:t>
      </w:r>
      <w:r w:rsidRPr="00A27071">
        <w:rPr>
          <w:rStyle w:val="Rimandonotaapidipagina"/>
          <w:rFonts w:ascii="Times New Roman" w:eastAsia="Times New Roman" w:hAnsi="Times New Roman" w:cs="Times New Roman"/>
          <w:color w:val="000000"/>
          <w:sz w:val="20"/>
          <w:szCs w:val="20"/>
        </w:rPr>
        <w:footnoteReference w:id="344"/>
      </w:r>
      <w:r w:rsidRPr="00A27071">
        <w:rPr>
          <w:rFonts w:ascii="Times New Roman" w:eastAsia="Times New Roman" w:hAnsi="Times New Roman" w:cs="Times New Roman"/>
          <w:color w:val="000000"/>
          <w:sz w:val="20"/>
          <w:szCs w:val="20"/>
        </w:rPr>
        <w:t xml:space="preserve"> </w:t>
      </w:r>
      <w:r w:rsidRPr="00A27071">
        <w:rPr>
          <w:rFonts w:ascii="Times New Roman" w:eastAsia="Times New Roman" w:hAnsi="Times New Roman" w:cs="Times New Roman"/>
          <w:color w:val="000000"/>
        </w:rPr>
        <w:t>; similarmente, quando s’intuisce o pensa il nulla, il pensare e l’intuire sono «dasselbe leere Anschauen oder Denken, als das reine Seyn</w:t>
      </w:r>
      <w:r w:rsidRPr="00A27071">
        <w:rPr>
          <w:rFonts w:ascii="Times New Roman" w:eastAsia="Times New Roman" w:hAnsi="Times New Roman" w:cs="Times New Roman"/>
          <w:color w:val="000000"/>
          <w:sz w:val="20"/>
          <w:szCs w:val="20"/>
        </w:rPr>
        <w:t>»</w:t>
      </w:r>
      <w:r w:rsidRPr="00A27071">
        <w:rPr>
          <w:rStyle w:val="Rimandonotaapidipagina"/>
          <w:rFonts w:ascii="Times New Roman" w:eastAsia="Times New Roman" w:hAnsi="Times New Roman" w:cs="Times New Roman"/>
          <w:color w:val="000000"/>
          <w:sz w:val="20"/>
          <w:szCs w:val="20"/>
        </w:rPr>
        <w:footnoteReference w:id="345"/>
      </w:r>
      <w:r w:rsidRPr="00A27071">
        <w:rPr>
          <w:rFonts w:ascii="Times New Roman" w:eastAsia="Times New Roman" w:hAnsi="Times New Roman" w:cs="Times New Roman"/>
          <w:color w:val="000000"/>
          <w:sz w:val="20"/>
          <w:szCs w:val="20"/>
        </w:rPr>
        <w:t>.</w:t>
      </w:r>
      <w:r>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rPr>
        <w:t>Essere e nulla non contengono al loro</w:t>
      </w:r>
      <w:r w:rsidRPr="00363FF2">
        <w:rPr>
          <w:rFonts w:ascii="Times New Roman" w:eastAsia="Times New Roman" w:hAnsi="Times New Roman" w:cs="Times New Roman"/>
          <w:color w:val="000000"/>
        </w:rPr>
        <w:t xml:space="preserve"> int</w:t>
      </w:r>
      <w:r>
        <w:rPr>
          <w:rFonts w:ascii="Times New Roman" w:eastAsia="Times New Roman" w:hAnsi="Times New Roman" w:cs="Times New Roman"/>
          <w:color w:val="000000"/>
        </w:rPr>
        <w:t>erno specificazione alcuna e non sono ulteriormente determinabili da</w:t>
      </w:r>
      <w:r w:rsidRPr="00363FF2">
        <w:rPr>
          <w:rFonts w:ascii="Times New Roman" w:eastAsia="Times New Roman" w:hAnsi="Times New Roman" w:cs="Times New Roman"/>
          <w:color w:val="000000"/>
        </w:rPr>
        <w:t>l pe</w:t>
      </w:r>
      <w:r>
        <w:rPr>
          <w:rFonts w:ascii="Times New Roman" w:eastAsia="Times New Roman" w:hAnsi="Times New Roman" w:cs="Times New Roman"/>
          <w:color w:val="000000"/>
        </w:rPr>
        <w:t xml:space="preserve">nsiero. </w:t>
      </w:r>
      <w:r w:rsidRPr="00F26DCD">
        <w:rPr>
          <w:rFonts w:ascii="Times New Roman" w:eastAsia="Times New Roman" w:hAnsi="Times New Roman" w:cs="Times New Roman"/>
          <w:color w:val="000000"/>
        </w:rPr>
        <w:t>L’indeterminatezza del cominc</w:t>
      </w:r>
      <w:r w:rsidR="00EB7208">
        <w:rPr>
          <w:rFonts w:ascii="Times New Roman" w:eastAsia="Times New Roman" w:hAnsi="Times New Roman" w:cs="Times New Roman"/>
          <w:color w:val="000000"/>
        </w:rPr>
        <w:t xml:space="preserve">iamento, però, non deve essere </w:t>
      </w:r>
      <w:r w:rsidRPr="00F26DCD">
        <w:rPr>
          <w:rFonts w:ascii="Times New Roman" w:eastAsia="Times New Roman" w:hAnsi="Times New Roman" w:cs="Times New Roman"/>
          <w:color w:val="000000"/>
        </w:rPr>
        <w:t>considerata come un’astrazione da cui non possa derivare alcunché.</w:t>
      </w:r>
      <w:r>
        <w:rPr>
          <w:rFonts w:ascii="Times New Roman" w:eastAsia="Times New Roman" w:hAnsi="Times New Roman" w:cs="Times New Roman"/>
          <w:color w:val="000000"/>
        </w:rPr>
        <w:t xml:space="preserve"> </w:t>
      </w:r>
      <w:r w:rsidRPr="00A64E20">
        <w:rPr>
          <w:rFonts w:ascii="Times New Roman" w:eastAsia="Times New Roman" w:hAnsi="Times New Roman" w:cs="Times New Roman"/>
          <w:color w:val="000000"/>
        </w:rPr>
        <w:t xml:space="preserve">Proprio a questo riguardo, scrive Hegel nel </w:t>
      </w:r>
      <w:r w:rsidRPr="00A64E20">
        <w:rPr>
          <w:rFonts w:ascii="Times New Roman" w:eastAsia="Times New Roman" w:hAnsi="Times New Roman" w:cs="Times New Roman"/>
          <w:i/>
          <w:color w:val="000000"/>
        </w:rPr>
        <w:t>Womit muß man der Anfang der Wissenschaft gemacht werdern?</w:t>
      </w:r>
      <w:r w:rsidRPr="00A64E20">
        <w:rPr>
          <w:rFonts w:ascii="Times New Roman" w:eastAsia="Times New Roman" w:hAnsi="Times New Roman" w:cs="Times New Roman"/>
          <w:color w:val="000000"/>
        </w:rPr>
        <w:t>:</w:t>
      </w:r>
    </w:p>
    <w:p w14:paraId="0874F9BF" w14:textId="77777777" w:rsidR="001B7751" w:rsidRDefault="001B7751" w:rsidP="001B7751">
      <w:pPr>
        <w:pStyle w:val="Paragrafoelenco"/>
        <w:spacing w:line="360" w:lineRule="auto"/>
        <w:ind w:firstLine="567"/>
        <w:jc w:val="both"/>
        <w:rPr>
          <w:rFonts w:ascii="Times New Roman" w:eastAsia="Times New Roman" w:hAnsi="Times New Roman" w:cs="Times New Roman"/>
          <w:color w:val="000000"/>
        </w:rPr>
      </w:pPr>
    </w:p>
    <w:p w14:paraId="0A9DDAD3" w14:textId="77777777" w:rsidR="001B7751" w:rsidRPr="00A27071" w:rsidRDefault="001B7751" w:rsidP="001B7751">
      <w:pPr>
        <w:pStyle w:val="Paragrafoelenco"/>
        <w:spacing w:line="360" w:lineRule="auto"/>
        <w:ind w:left="567" w:firstLine="567"/>
        <w:jc w:val="both"/>
        <w:rPr>
          <w:rFonts w:ascii="Times New Roman" w:eastAsia="Times New Roman" w:hAnsi="Times New Roman" w:cs="Times New Roman"/>
          <w:color w:val="000000"/>
          <w:lang w:val="de-DE"/>
        </w:rPr>
      </w:pPr>
      <w:r w:rsidRPr="00A27071">
        <w:rPr>
          <w:rFonts w:ascii="Times New Roman" w:eastAsia="Times New Roman" w:hAnsi="Times New Roman" w:cs="Times New Roman"/>
          <w:color w:val="000000"/>
          <w:sz w:val="20"/>
          <w:szCs w:val="20"/>
          <w:lang w:val="de-DE"/>
        </w:rPr>
        <w:t>«Es ist noch Nichts, und es soll etwas werden. Der Anfang ist nicht das reine Nichts, sondern ein Nichts, von dem etwas ausgehen soll; es ist zugleich das Seyn schon in ihm enthalten […] er [der Anfang] ist ein Nichtseyn, das auf das Seyn als auf ein anderes, bezogen ist; das anfangende ist noch nicht; es geht erst dem Seyn zu»</w:t>
      </w:r>
      <w:r w:rsidRPr="00A27071">
        <w:rPr>
          <w:rStyle w:val="Rimandonotaapidipagina"/>
          <w:rFonts w:ascii="Times New Roman" w:eastAsia="Times New Roman" w:hAnsi="Times New Roman" w:cs="Times New Roman"/>
          <w:color w:val="000000"/>
          <w:sz w:val="20"/>
          <w:szCs w:val="20"/>
          <w:lang w:val="de-DE"/>
        </w:rPr>
        <w:footnoteReference w:id="346"/>
      </w:r>
      <w:r w:rsidRPr="00A27071">
        <w:rPr>
          <w:rFonts w:ascii="Times New Roman" w:eastAsia="Times New Roman" w:hAnsi="Times New Roman" w:cs="Times New Roman"/>
          <w:color w:val="000000"/>
          <w:lang w:val="de-DE"/>
        </w:rPr>
        <w:t>.</w:t>
      </w:r>
    </w:p>
    <w:p w14:paraId="64E07A3C" w14:textId="77777777" w:rsidR="001B7751" w:rsidRDefault="001B7751" w:rsidP="001B7751">
      <w:pPr>
        <w:pStyle w:val="Paragrafoelenco"/>
        <w:spacing w:line="360" w:lineRule="auto"/>
        <w:ind w:left="1287" w:firstLine="567"/>
        <w:jc w:val="both"/>
        <w:rPr>
          <w:rFonts w:ascii="Times New Roman" w:eastAsia="Times New Roman" w:hAnsi="Times New Roman" w:cs="Times New Roman"/>
          <w:color w:val="000000"/>
        </w:rPr>
      </w:pPr>
    </w:p>
    <w:p w14:paraId="12BE48BC" w14:textId="77777777" w:rsidR="001B7751" w:rsidRPr="009318A7" w:rsidRDefault="001B7751" w:rsidP="001B7751">
      <w:pPr>
        <w:pStyle w:val="Paragrafoelenco"/>
        <w:spacing w:line="360" w:lineRule="auto"/>
        <w:ind w:left="0" w:firstLine="567"/>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Un nulla da cui deve </w:t>
      </w:r>
      <w:r>
        <w:rPr>
          <w:rFonts w:ascii="Times New Roman" w:eastAsia="Times New Roman" w:hAnsi="Times New Roman" w:cs="Times New Roman"/>
          <w:i/>
          <w:color w:val="000000"/>
        </w:rPr>
        <w:t>divenire</w:t>
      </w:r>
      <w:r>
        <w:rPr>
          <w:rFonts w:ascii="Times New Roman" w:eastAsia="Times New Roman" w:hAnsi="Times New Roman" w:cs="Times New Roman"/>
          <w:color w:val="000000"/>
        </w:rPr>
        <w:t xml:space="preserve"> il qualcosa: da ciò che è indeterminato deve procedere ciò che è determinato e definibile dal pensiero. L’essere altro del cominciamento </w:t>
      </w:r>
      <w:r w:rsidRPr="001E7245">
        <w:rPr>
          <w:rFonts w:ascii="Times New Roman" w:eastAsia="Times New Roman" w:hAnsi="Times New Roman" w:cs="Times New Roman"/>
          <w:i/>
          <w:color w:val="000000"/>
        </w:rPr>
        <w:t>diviene</w:t>
      </w:r>
      <w:r>
        <w:rPr>
          <w:rFonts w:ascii="Times New Roman" w:eastAsia="Times New Roman" w:hAnsi="Times New Roman" w:cs="Times New Roman"/>
          <w:color w:val="000000"/>
        </w:rPr>
        <w:t xml:space="preserve"> in virtù di una dinamica di sviluppo interna al cominciamento stesso. In un primo </w:t>
      </w:r>
      <w:r w:rsidRPr="00C31CE0">
        <w:rPr>
          <w:rFonts w:ascii="Times New Roman" w:eastAsia="Times New Roman" w:hAnsi="Times New Roman" w:cs="Times New Roman"/>
          <w:color w:val="000000"/>
        </w:rPr>
        <w:t>momento, però, fra</w:t>
      </w:r>
      <w:r w:rsidRPr="00ED17F8">
        <w:rPr>
          <w:rFonts w:ascii="Times New Roman" w:eastAsia="Times New Roman" w:hAnsi="Times New Roman" w:cs="Times New Roman"/>
          <w:color w:val="000000"/>
        </w:rPr>
        <w:t xml:space="preserve"> essere e nulla</w:t>
      </w:r>
      <w:r>
        <w:rPr>
          <w:rFonts w:ascii="Times New Roman" w:eastAsia="Times New Roman" w:hAnsi="Times New Roman" w:cs="Times New Roman"/>
          <w:color w:val="000000"/>
        </w:rPr>
        <w:t xml:space="preserve"> s’instaura</w:t>
      </w:r>
      <w:r w:rsidRPr="00ED17F8">
        <w:rPr>
          <w:rFonts w:ascii="Times New Roman" w:eastAsia="Times New Roman" w:hAnsi="Times New Roman" w:cs="Times New Roman"/>
          <w:color w:val="000000"/>
        </w:rPr>
        <w:t xml:space="preserve"> un rapporto instabile, in cui la mancanza di un’intrinseca negatività delle determinazioni </w:t>
      </w:r>
      <w:r>
        <w:rPr>
          <w:rFonts w:ascii="Times New Roman" w:eastAsia="Times New Roman" w:hAnsi="Times New Roman" w:cs="Times New Roman"/>
          <w:color w:val="000000"/>
        </w:rPr>
        <w:t>delinea un</w:t>
      </w:r>
      <w:r w:rsidRPr="00ED17F8">
        <w:rPr>
          <w:rFonts w:ascii="Times New Roman" w:eastAsia="Times New Roman" w:hAnsi="Times New Roman" w:cs="Times New Roman"/>
          <w:color w:val="000000"/>
        </w:rPr>
        <w:t xml:space="preserve"> mediarsi </w:t>
      </w:r>
      <w:r>
        <w:rPr>
          <w:rFonts w:ascii="Times New Roman" w:eastAsia="Times New Roman" w:hAnsi="Times New Roman" w:cs="Times New Roman"/>
          <w:i/>
          <w:color w:val="000000"/>
        </w:rPr>
        <w:t xml:space="preserve">immediato </w:t>
      </w:r>
      <w:r>
        <w:rPr>
          <w:rFonts w:ascii="Times New Roman" w:eastAsia="Times New Roman" w:hAnsi="Times New Roman" w:cs="Times New Roman"/>
          <w:color w:val="000000"/>
        </w:rPr>
        <w:t xml:space="preserve">delle stesse </w:t>
      </w:r>
      <w:r w:rsidRPr="00ED17F8">
        <w:rPr>
          <w:rFonts w:ascii="Times New Roman" w:eastAsia="Times New Roman" w:hAnsi="Times New Roman" w:cs="Times New Roman"/>
          <w:color w:val="000000"/>
        </w:rPr>
        <w:t xml:space="preserve">l’una nell’altra. </w:t>
      </w:r>
      <w:r>
        <w:rPr>
          <w:rFonts w:ascii="Times New Roman" w:eastAsia="Times New Roman" w:hAnsi="Times New Roman" w:cs="Times New Roman"/>
          <w:color w:val="000000"/>
        </w:rPr>
        <w:t xml:space="preserve">Il mediarsi </w:t>
      </w:r>
      <w:r w:rsidRPr="00ED17F8">
        <w:rPr>
          <w:rFonts w:ascii="Times New Roman" w:eastAsia="Times New Roman" w:hAnsi="Times New Roman" w:cs="Times New Roman"/>
          <w:color w:val="000000"/>
        </w:rPr>
        <w:t>reciproco di essere e nulla, che non è un vero e proprio mediare, bensì un essere già passati l’uno nell’altro</w:t>
      </w:r>
      <w:r>
        <w:rPr>
          <w:rFonts w:ascii="Times New Roman" w:eastAsia="Times New Roman" w:hAnsi="Times New Roman" w:cs="Times New Roman"/>
          <w:color w:val="000000"/>
        </w:rPr>
        <w:t xml:space="preserve"> (</w:t>
      </w:r>
      <w:r w:rsidRPr="00BF55C3">
        <w:rPr>
          <w:rFonts w:ascii="Times New Roman" w:eastAsia="Times New Roman" w:hAnsi="Times New Roman" w:cs="Times New Roman"/>
          <w:i/>
          <w:color w:val="000000"/>
          <w:lang w:val="de-DE"/>
        </w:rPr>
        <w:t>übergegangen sein</w:t>
      </w:r>
      <w:r>
        <w:rPr>
          <w:rFonts w:ascii="Times New Roman" w:eastAsia="Times New Roman" w:hAnsi="Times New Roman" w:cs="Times New Roman"/>
          <w:color w:val="000000"/>
        </w:rPr>
        <w:t>)</w:t>
      </w:r>
      <w:r w:rsidRPr="00ED17F8">
        <w:rPr>
          <w:rFonts w:ascii="Times New Roman" w:eastAsia="Times New Roman" w:hAnsi="Times New Roman" w:cs="Times New Roman"/>
          <w:color w:val="000000"/>
        </w:rPr>
        <w:t>, è ciò che Hegel definisce come il divenire</w:t>
      </w:r>
      <w:r w:rsidRPr="00ED17F8">
        <w:rPr>
          <w:rStyle w:val="Rimandonotaapidipagina"/>
          <w:rFonts w:ascii="Times New Roman" w:eastAsia="Times New Roman" w:hAnsi="Times New Roman" w:cs="Times New Roman"/>
          <w:color w:val="000000"/>
        </w:rPr>
        <w:t xml:space="preserve"> </w:t>
      </w:r>
      <w:r>
        <w:rPr>
          <w:rFonts w:ascii="Times New Roman" w:eastAsia="Times New Roman" w:hAnsi="Times New Roman" w:cs="Times New Roman"/>
          <w:color w:val="000000"/>
        </w:rPr>
        <w:t xml:space="preserve"> (</w:t>
      </w:r>
      <w:r>
        <w:rPr>
          <w:rFonts w:ascii="Times New Roman" w:eastAsia="Times New Roman" w:hAnsi="Times New Roman" w:cs="Times New Roman"/>
          <w:i/>
          <w:color w:val="000000"/>
        </w:rPr>
        <w:t>das Werden</w:t>
      </w:r>
      <w:r>
        <w:rPr>
          <w:rFonts w:ascii="Times New Roman" w:eastAsia="Times New Roman" w:hAnsi="Times New Roman" w:cs="Times New Roman"/>
          <w:color w:val="000000"/>
        </w:rPr>
        <w:t>)</w:t>
      </w:r>
      <w:r>
        <w:rPr>
          <w:rStyle w:val="Rimandonotaapidipagina"/>
          <w:rFonts w:ascii="Times New Roman" w:eastAsia="Times New Roman" w:hAnsi="Times New Roman" w:cs="Times New Roman"/>
          <w:color w:val="000000"/>
        </w:rPr>
        <w:footnoteReference w:id="347"/>
      </w:r>
      <w:r w:rsidRPr="00ED17F8">
        <w:rPr>
          <w:rFonts w:ascii="Times New Roman" w:eastAsia="Times New Roman" w:hAnsi="Times New Roman" w:cs="Times New Roman"/>
          <w:color w:val="000000"/>
        </w:rPr>
        <w:t>. Nel divenire non soltanto è colta l’identità delle due determinazioni, ma anche la loro differenza specifica: il nulla procede verso l’essere e l’essere procede verso il nulla. Un incedere antitetico che rispecchia la dinamica dell’</w:t>
      </w:r>
      <w:r w:rsidRPr="00A27071">
        <w:rPr>
          <w:rFonts w:ascii="Times New Roman" w:eastAsia="Times New Roman" w:hAnsi="Times New Roman" w:cs="Times New Roman"/>
          <w:color w:val="000000"/>
        </w:rPr>
        <w:t>«</w:t>
      </w:r>
      <w:r w:rsidRPr="00A27071">
        <w:rPr>
          <w:rFonts w:ascii="Times New Roman" w:eastAsia="Times New Roman" w:hAnsi="Times New Roman" w:cs="Times New Roman"/>
          <w:color w:val="000000"/>
          <w:lang w:val="de-DE"/>
        </w:rPr>
        <w:t>Entstehen und Vergehen</w:t>
      </w:r>
      <w:r w:rsidRPr="00A27071">
        <w:rPr>
          <w:rFonts w:ascii="Times New Roman" w:eastAsia="Times New Roman" w:hAnsi="Times New Roman" w:cs="Times New Roman"/>
          <w:color w:val="000000"/>
          <w:sz w:val="20"/>
          <w:szCs w:val="20"/>
        </w:rPr>
        <w:t>»</w:t>
      </w:r>
      <w:r w:rsidRPr="00A27071">
        <w:rPr>
          <w:rStyle w:val="Rimandonotaapidipagina"/>
          <w:rFonts w:ascii="Times New Roman" w:eastAsia="Times New Roman" w:hAnsi="Times New Roman" w:cs="Times New Roman"/>
          <w:color w:val="000000"/>
          <w:sz w:val="20"/>
          <w:szCs w:val="20"/>
        </w:rPr>
        <w:footnoteReference w:id="348"/>
      </w:r>
      <w:r w:rsidRPr="00A27071">
        <w:rPr>
          <w:rFonts w:ascii="Times New Roman" w:eastAsia="Times New Roman" w:hAnsi="Times New Roman" w:cs="Times New Roman"/>
          <w:color w:val="000000"/>
        </w:rPr>
        <w:t>. In</w:t>
      </w:r>
      <w:r w:rsidRPr="00ED17F8">
        <w:rPr>
          <w:rFonts w:ascii="Times New Roman" w:eastAsia="Times New Roman" w:hAnsi="Times New Roman" w:cs="Times New Roman"/>
          <w:color w:val="000000"/>
        </w:rPr>
        <w:t xml:space="preserve"> questo nascere e perire, </w:t>
      </w:r>
      <w:r>
        <w:rPr>
          <w:rFonts w:ascii="Times New Roman" w:eastAsia="Times New Roman" w:hAnsi="Times New Roman" w:cs="Times New Roman"/>
          <w:color w:val="000000"/>
        </w:rPr>
        <w:t>v</w:t>
      </w:r>
      <w:r w:rsidRPr="00ED17F8">
        <w:rPr>
          <w:rFonts w:ascii="Times New Roman" w:eastAsia="Times New Roman" w:hAnsi="Times New Roman" w:cs="Times New Roman"/>
          <w:color w:val="000000"/>
        </w:rPr>
        <w:t>a</w:t>
      </w:r>
      <w:r>
        <w:rPr>
          <w:rFonts w:ascii="Times New Roman" w:eastAsia="Times New Roman" w:hAnsi="Times New Roman" w:cs="Times New Roman"/>
          <w:color w:val="000000"/>
        </w:rPr>
        <w:t xml:space="preserve"> perduta </w:t>
      </w:r>
      <w:r w:rsidRPr="00E6091A">
        <w:rPr>
          <w:rFonts w:ascii="Times New Roman" w:eastAsia="Times New Roman" w:hAnsi="Times New Roman" w:cs="Times New Roman"/>
          <w:i/>
          <w:color w:val="000000"/>
        </w:rPr>
        <w:t>immediatamente</w:t>
      </w:r>
      <w:r>
        <w:rPr>
          <w:rFonts w:ascii="Times New Roman" w:eastAsia="Times New Roman" w:hAnsi="Times New Roman" w:cs="Times New Roman"/>
          <w:color w:val="000000"/>
        </w:rPr>
        <w:t xml:space="preserve"> la</w:t>
      </w:r>
      <w:r w:rsidRPr="00ED17F8">
        <w:rPr>
          <w:rFonts w:ascii="Times New Roman" w:eastAsia="Times New Roman" w:hAnsi="Times New Roman" w:cs="Times New Roman"/>
          <w:color w:val="000000"/>
        </w:rPr>
        <w:t xml:space="preserve"> differenza</w:t>
      </w:r>
      <w:r>
        <w:rPr>
          <w:rFonts w:ascii="Times New Roman" w:eastAsia="Times New Roman" w:hAnsi="Times New Roman" w:cs="Times New Roman"/>
          <w:color w:val="000000"/>
        </w:rPr>
        <w:t xml:space="preserve"> specifica</w:t>
      </w:r>
      <w:r w:rsidRPr="00ED17F8">
        <w:rPr>
          <w:rFonts w:ascii="Times New Roman" w:eastAsia="Times New Roman" w:hAnsi="Times New Roman" w:cs="Times New Roman"/>
          <w:color w:val="000000"/>
        </w:rPr>
        <w:t xml:space="preserve"> delle determinazioni: entrambe sono nella misura in cui sono già passate nel proprio altro. La differenza non si stabilizza</w:t>
      </w:r>
      <w:r>
        <w:rPr>
          <w:rFonts w:ascii="Times New Roman" w:eastAsia="Times New Roman" w:hAnsi="Times New Roman" w:cs="Times New Roman"/>
          <w:color w:val="000000"/>
        </w:rPr>
        <w:t>,</w:t>
      </w:r>
      <w:r w:rsidRPr="00ED17F8">
        <w:rPr>
          <w:rFonts w:ascii="Times New Roman" w:eastAsia="Times New Roman" w:hAnsi="Times New Roman" w:cs="Times New Roman"/>
          <w:color w:val="000000"/>
        </w:rPr>
        <w:t xml:space="preserve"> poiché il divenire altro non è che un </w:t>
      </w:r>
      <w:r w:rsidRPr="00A27071">
        <w:rPr>
          <w:rFonts w:ascii="Times New Roman" w:eastAsia="Times New Roman" w:hAnsi="Times New Roman" w:cs="Times New Roman"/>
          <w:color w:val="000000"/>
        </w:rPr>
        <w:t>«</w:t>
      </w:r>
      <w:r w:rsidRPr="00A27071">
        <w:rPr>
          <w:rFonts w:ascii="Times New Roman" w:eastAsia="Times New Roman" w:hAnsi="Times New Roman" w:cs="Times New Roman"/>
          <w:color w:val="000000"/>
          <w:lang w:val="de-DE"/>
        </w:rPr>
        <w:t>haltungslose Unruhe</w:t>
      </w:r>
      <w:r w:rsidRPr="00A27071">
        <w:rPr>
          <w:rFonts w:ascii="Times New Roman" w:eastAsia="Times New Roman" w:hAnsi="Times New Roman" w:cs="Times New Roman"/>
          <w:color w:val="000000"/>
          <w:sz w:val="20"/>
          <w:szCs w:val="20"/>
        </w:rPr>
        <w:t>»</w:t>
      </w:r>
      <w:r w:rsidRPr="00A27071">
        <w:rPr>
          <w:rStyle w:val="Rimandonotaapidipagina"/>
          <w:rFonts w:ascii="Times New Roman" w:eastAsia="Times New Roman" w:hAnsi="Times New Roman" w:cs="Times New Roman"/>
          <w:color w:val="000000"/>
          <w:sz w:val="20"/>
          <w:szCs w:val="20"/>
        </w:rPr>
        <w:footnoteReference w:id="349"/>
      </w:r>
      <w:r w:rsidRPr="00A27071">
        <w:rPr>
          <w:rFonts w:ascii="Times New Roman" w:eastAsia="Times New Roman" w:hAnsi="Times New Roman" w:cs="Times New Roman"/>
          <w:color w:val="000000"/>
          <w:sz w:val="20"/>
          <w:szCs w:val="20"/>
        </w:rPr>
        <w:t>,</w:t>
      </w:r>
      <w:r w:rsidRPr="00ED17F8">
        <w:rPr>
          <w:rFonts w:ascii="Times New Roman" w:eastAsia="Times New Roman" w:hAnsi="Times New Roman" w:cs="Times New Roman"/>
          <w:color w:val="000000"/>
          <w:sz w:val="20"/>
          <w:szCs w:val="20"/>
        </w:rPr>
        <w:t xml:space="preserve"> </w:t>
      </w:r>
      <w:r w:rsidRPr="00ED17F8">
        <w:rPr>
          <w:rFonts w:ascii="Times New Roman" w:eastAsia="Times New Roman" w:hAnsi="Times New Roman" w:cs="Times New Roman"/>
          <w:color w:val="000000"/>
        </w:rPr>
        <w:t>ossia un’inquietudine</w:t>
      </w:r>
      <w:r>
        <w:rPr>
          <w:rFonts w:ascii="Times New Roman" w:eastAsia="Times New Roman" w:hAnsi="Times New Roman" w:cs="Times New Roman"/>
          <w:color w:val="000000"/>
        </w:rPr>
        <w:t xml:space="preserve"> sfrenata</w:t>
      </w:r>
      <w:r w:rsidRPr="00ED17F8">
        <w:rPr>
          <w:rFonts w:ascii="Times New Roman" w:eastAsia="Times New Roman" w:hAnsi="Times New Roman" w:cs="Times New Roman"/>
          <w:color w:val="000000"/>
        </w:rPr>
        <w:t>. Il passaggio del nulla nell’essere e dell’essere nel nulla è instabile nella misura in cui le determinazioni non posseggono un</w:t>
      </w:r>
      <w:r>
        <w:rPr>
          <w:rFonts w:ascii="Times New Roman" w:eastAsia="Times New Roman" w:hAnsi="Times New Roman" w:cs="Times New Roman"/>
          <w:color w:val="000000"/>
        </w:rPr>
        <w:t xml:space="preserve"> vero e proprio carattere </w:t>
      </w:r>
      <w:r w:rsidRPr="001C7F1C">
        <w:rPr>
          <w:rFonts w:ascii="Times New Roman" w:eastAsia="Times New Roman" w:hAnsi="Times New Roman" w:cs="Times New Roman"/>
          <w:i/>
          <w:color w:val="000000"/>
        </w:rPr>
        <w:t>riflessivo</w:t>
      </w:r>
      <w:r w:rsidRPr="00ED17F8">
        <w:rPr>
          <w:rFonts w:ascii="Times New Roman" w:eastAsia="Times New Roman" w:hAnsi="Times New Roman" w:cs="Times New Roman"/>
          <w:color w:val="000000"/>
        </w:rPr>
        <w:t xml:space="preserve">, ed è per questa ragione, non per altre, che il passare, lo </w:t>
      </w:r>
      <w:r w:rsidRPr="00ED17F8">
        <w:rPr>
          <w:rFonts w:ascii="Times New Roman" w:eastAsia="Times New Roman" w:hAnsi="Times New Roman" w:cs="Times New Roman"/>
          <w:i/>
          <w:color w:val="000000"/>
          <w:lang w:val="de-DE"/>
        </w:rPr>
        <w:t>Übergehen</w:t>
      </w:r>
      <w:r w:rsidRPr="00ED17F8">
        <w:rPr>
          <w:rFonts w:ascii="Times New Roman" w:eastAsia="Times New Roman" w:hAnsi="Times New Roman" w:cs="Times New Roman"/>
          <w:color w:val="000000"/>
          <w:lang w:val="de-DE"/>
        </w:rPr>
        <w:t>,</w:t>
      </w:r>
      <w:r w:rsidRPr="00ED17F8">
        <w:rPr>
          <w:rFonts w:ascii="Times New Roman" w:eastAsia="Times New Roman" w:hAnsi="Times New Roman" w:cs="Times New Roman"/>
          <w:color w:val="000000"/>
        </w:rPr>
        <w:t xml:space="preserve"> riflette una negatività priva di</w:t>
      </w:r>
      <w:r>
        <w:rPr>
          <w:rFonts w:ascii="Times New Roman" w:eastAsia="Times New Roman" w:hAnsi="Times New Roman" w:cs="Times New Roman"/>
          <w:color w:val="000000"/>
        </w:rPr>
        <w:t xml:space="preserve"> controllo</w:t>
      </w:r>
      <w:r w:rsidRPr="00ED17F8">
        <w:rPr>
          <w:rFonts w:ascii="Times New Roman" w:eastAsia="Times New Roman" w:hAnsi="Times New Roman" w:cs="Times New Roman"/>
          <w:color w:val="000000"/>
        </w:rPr>
        <w:t xml:space="preserve">, </w:t>
      </w:r>
      <w:r w:rsidRPr="009318A7">
        <w:rPr>
          <w:rFonts w:ascii="Times New Roman" w:eastAsia="Times New Roman" w:hAnsi="Times New Roman" w:cs="Times New Roman"/>
          <w:color w:val="000000"/>
        </w:rPr>
        <w:t>un superarsi nel proprio opposto privo di conservazione</w:t>
      </w:r>
      <w:r>
        <w:rPr>
          <w:rFonts w:ascii="Times New Roman" w:eastAsia="Times New Roman" w:hAnsi="Times New Roman" w:cs="Times New Roman"/>
          <w:color w:val="000000"/>
        </w:rPr>
        <w:t xml:space="preserve"> </w:t>
      </w:r>
      <w:r w:rsidRPr="009318A7">
        <w:rPr>
          <w:rFonts w:ascii="Times New Roman" w:eastAsia="Times New Roman" w:hAnsi="Times New Roman" w:cs="Times New Roman"/>
          <w:color w:val="000000"/>
        </w:rPr>
        <w:t xml:space="preserve">di sé nell’altro da sé. La </w:t>
      </w:r>
      <w:r w:rsidRPr="009318A7">
        <w:rPr>
          <w:rFonts w:ascii="Times New Roman" w:eastAsia="Times New Roman" w:hAnsi="Times New Roman" w:cs="Times New Roman"/>
          <w:i/>
          <w:color w:val="000000"/>
          <w:lang w:val="de-DE"/>
        </w:rPr>
        <w:t>haltungslose Unruhe</w:t>
      </w:r>
      <w:r w:rsidRPr="009318A7">
        <w:rPr>
          <w:rFonts w:ascii="Times New Roman" w:eastAsia="Times New Roman" w:hAnsi="Times New Roman" w:cs="Times New Roman"/>
          <w:color w:val="000000"/>
          <w:lang w:val="de-DE"/>
        </w:rPr>
        <w:t xml:space="preserve">, </w:t>
      </w:r>
      <w:r w:rsidRPr="009318A7">
        <w:rPr>
          <w:rFonts w:ascii="Times New Roman" w:eastAsia="Times New Roman" w:hAnsi="Times New Roman" w:cs="Times New Roman"/>
          <w:color w:val="000000"/>
        </w:rPr>
        <w:t xml:space="preserve">pertanto, rispecchia quel movimento d’annientamento e di continua perdita di sé in ciò che si presenta come il proprio </w:t>
      </w:r>
      <w:r w:rsidRPr="009318A7">
        <w:rPr>
          <w:rFonts w:ascii="Times New Roman" w:eastAsia="Times New Roman" w:hAnsi="Times New Roman" w:cs="Times New Roman"/>
          <w:i/>
          <w:color w:val="000000"/>
          <w:lang w:val="de-DE"/>
        </w:rPr>
        <w:t>Andersseyn</w:t>
      </w:r>
      <w:r w:rsidRPr="009318A7">
        <w:rPr>
          <w:rFonts w:ascii="Times New Roman" w:eastAsia="Times New Roman" w:hAnsi="Times New Roman" w:cs="Times New Roman"/>
          <w:color w:val="000000"/>
        </w:rPr>
        <w:t xml:space="preserve">. </w:t>
      </w:r>
    </w:p>
    <w:p w14:paraId="7CF203FA" w14:textId="64E5B352" w:rsidR="001B7751" w:rsidRDefault="001B7751" w:rsidP="00A32821">
      <w:pPr>
        <w:pStyle w:val="Paragrafoelenco"/>
        <w:spacing w:line="360" w:lineRule="auto"/>
        <w:ind w:left="0" w:firstLine="567"/>
        <w:jc w:val="both"/>
        <w:rPr>
          <w:rFonts w:ascii="Times New Roman" w:eastAsia="Times New Roman" w:hAnsi="Times New Roman" w:cs="Times New Roman"/>
          <w:color w:val="000000"/>
        </w:rPr>
      </w:pPr>
      <w:r w:rsidRPr="009318A7">
        <w:rPr>
          <w:rFonts w:ascii="Times New Roman" w:eastAsia="Times New Roman" w:hAnsi="Times New Roman" w:cs="Times New Roman"/>
          <w:color w:val="000000"/>
        </w:rPr>
        <w:t xml:space="preserve">L’arrestarsi, e con ciò il superarsi, di questa </w:t>
      </w:r>
      <w:r w:rsidRPr="009318A7">
        <w:rPr>
          <w:rFonts w:ascii="Times New Roman" w:eastAsia="Times New Roman" w:hAnsi="Times New Roman" w:cs="Times New Roman"/>
          <w:i/>
          <w:color w:val="000000"/>
          <w:lang w:val="de-DE"/>
        </w:rPr>
        <w:t>Unruhe</w:t>
      </w:r>
      <w:r w:rsidRPr="009318A7">
        <w:rPr>
          <w:rFonts w:ascii="Times New Roman" w:eastAsia="Times New Roman" w:hAnsi="Times New Roman" w:cs="Times New Roman"/>
          <w:i/>
          <w:color w:val="000000"/>
        </w:rPr>
        <w:t xml:space="preserve"> </w:t>
      </w:r>
      <w:r w:rsidRPr="009318A7">
        <w:rPr>
          <w:rFonts w:ascii="Times New Roman" w:eastAsia="Times New Roman" w:hAnsi="Times New Roman" w:cs="Times New Roman"/>
          <w:color w:val="000000"/>
        </w:rPr>
        <w:t>senza fine e senza</w:t>
      </w:r>
      <w:r w:rsidRPr="00E6091A">
        <w:rPr>
          <w:rFonts w:ascii="Times New Roman" w:eastAsia="Times New Roman" w:hAnsi="Times New Roman" w:cs="Times New Roman"/>
          <w:color w:val="000000"/>
        </w:rPr>
        <w:t xml:space="preserve"> meta si attua nel momento in cui avviene un recupero della differenza fra essere e nulla: </w:t>
      </w:r>
      <w:r w:rsidRPr="00E6091A">
        <w:rPr>
          <w:rFonts w:ascii="Times New Roman" w:eastAsia="Times New Roman" w:hAnsi="Times New Roman" w:cs="Times New Roman"/>
          <w:i/>
          <w:color w:val="000000"/>
        </w:rPr>
        <w:t>Seyn</w:t>
      </w:r>
      <w:r w:rsidRPr="00E6091A">
        <w:rPr>
          <w:rFonts w:ascii="Times New Roman" w:eastAsia="Times New Roman" w:hAnsi="Times New Roman" w:cs="Times New Roman"/>
          <w:color w:val="000000"/>
        </w:rPr>
        <w:t xml:space="preserve"> e </w:t>
      </w:r>
      <w:r w:rsidRPr="00E6091A">
        <w:rPr>
          <w:rFonts w:ascii="Times New Roman" w:eastAsia="Times New Roman" w:hAnsi="Times New Roman" w:cs="Times New Roman"/>
          <w:i/>
          <w:color w:val="000000"/>
        </w:rPr>
        <w:t>Nichts</w:t>
      </w:r>
      <w:r w:rsidRPr="00E6091A">
        <w:rPr>
          <w:rFonts w:ascii="Times New Roman" w:eastAsia="Times New Roman" w:hAnsi="Times New Roman" w:cs="Times New Roman"/>
          <w:color w:val="000000"/>
        </w:rPr>
        <w:t xml:space="preserve"> descrivono due t</w:t>
      </w:r>
      <w:r>
        <w:rPr>
          <w:rFonts w:ascii="Times New Roman" w:eastAsia="Times New Roman" w:hAnsi="Times New Roman" w:cs="Times New Roman"/>
          <w:color w:val="000000"/>
        </w:rPr>
        <w:t xml:space="preserve">raiettorie </w:t>
      </w:r>
      <w:r w:rsidRPr="00E6091A">
        <w:rPr>
          <w:rFonts w:ascii="Times New Roman" w:eastAsia="Times New Roman" w:hAnsi="Times New Roman" w:cs="Times New Roman"/>
          <w:color w:val="000000"/>
        </w:rPr>
        <w:t>antitetiche e due movimenti opposti, in forza dei quali fanno valere la loro differenza</w:t>
      </w:r>
      <w:r>
        <w:rPr>
          <w:rFonts w:ascii="Times New Roman" w:eastAsia="Times New Roman" w:hAnsi="Times New Roman" w:cs="Times New Roman"/>
          <w:color w:val="000000"/>
        </w:rPr>
        <w:t xml:space="preserve"> specifica</w:t>
      </w:r>
      <w:r w:rsidRPr="00E6091A">
        <w:rPr>
          <w:rFonts w:ascii="Times New Roman" w:eastAsia="Times New Roman" w:hAnsi="Times New Roman" w:cs="Times New Roman"/>
          <w:color w:val="000000"/>
        </w:rPr>
        <w:t xml:space="preserve">. </w:t>
      </w:r>
      <w:r w:rsidRPr="001C7F1C">
        <w:rPr>
          <w:rFonts w:ascii="Times New Roman" w:eastAsia="Times New Roman" w:hAnsi="Times New Roman" w:cs="Times New Roman"/>
          <w:color w:val="000000"/>
        </w:rPr>
        <w:t>Ciò che riunifica in sé termini opposti (</w:t>
      </w:r>
      <w:r w:rsidRPr="001C7F1C">
        <w:rPr>
          <w:rFonts w:ascii="Times New Roman" w:eastAsia="Times New Roman" w:hAnsi="Times New Roman" w:cs="Times New Roman"/>
          <w:i/>
          <w:color w:val="000000"/>
          <w:lang w:val="de-DE"/>
        </w:rPr>
        <w:t>entgegengesetzt</w:t>
      </w:r>
      <w:r w:rsidRPr="001C7F1C">
        <w:rPr>
          <w:rFonts w:ascii="Times New Roman" w:eastAsia="Times New Roman" w:hAnsi="Times New Roman" w:cs="Times New Roman"/>
          <w:color w:val="000000"/>
        </w:rPr>
        <w:t>) contraddice se stesso:</w:t>
      </w:r>
      <w:r w:rsidRPr="00E6091A">
        <w:rPr>
          <w:rFonts w:ascii="Times New Roman" w:eastAsia="Times New Roman" w:hAnsi="Times New Roman" w:cs="Times New Roman"/>
          <w:color w:val="000000"/>
        </w:rPr>
        <w:t xml:space="preserve"> il divenire è così </w:t>
      </w:r>
      <w:r w:rsidRPr="00F54A65">
        <w:rPr>
          <w:rFonts w:ascii="Times New Roman" w:eastAsia="Times New Roman" w:hAnsi="Times New Roman" w:cs="Times New Roman"/>
          <w:color w:val="000000"/>
        </w:rPr>
        <w:t>«</w:t>
      </w:r>
      <w:r w:rsidRPr="00F54A65">
        <w:rPr>
          <w:rFonts w:ascii="Times New Roman" w:eastAsia="Times New Roman" w:hAnsi="Times New Roman" w:cs="Times New Roman"/>
          <w:color w:val="000000"/>
          <w:lang w:val="de-DE"/>
        </w:rPr>
        <w:t>das Verschwinden des Werdens, oder Verschwinden des Verschwinden</w:t>
      </w:r>
      <w:r w:rsidRPr="00F54A65">
        <w:rPr>
          <w:rFonts w:ascii="Times New Roman" w:eastAsia="Times New Roman" w:hAnsi="Times New Roman" w:cs="Times New Roman"/>
          <w:color w:val="000000"/>
          <w:sz w:val="20"/>
          <w:szCs w:val="20"/>
        </w:rPr>
        <w:t>»</w:t>
      </w:r>
      <w:r w:rsidRPr="00F54A65">
        <w:rPr>
          <w:rStyle w:val="Rimandonotaapidipagina"/>
          <w:rFonts w:ascii="Times New Roman" w:eastAsia="Times New Roman" w:hAnsi="Times New Roman" w:cs="Times New Roman"/>
          <w:color w:val="000000"/>
        </w:rPr>
        <w:footnoteReference w:id="350"/>
      </w:r>
      <w:r w:rsidRPr="00F54A65">
        <w:rPr>
          <w:rFonts w:ascii="Times New Roman" w:eastAsia="Times New Roman" w:hAnsi="Times New Roman" w:cs="Times New Roman"/>
          <w:color w:val="000000"/>
          <w:sz w:val="20"/>
          <w:szCs w:val="20"/>
        </w:rPr>
        <w:t>.</w:t>
      </w:r>
      <w:r w:rsidRPr="00E6091A">
        <w:rPr>
          <w:rFonts w:ascii="Times New Roman" w:eastAsia="Times New Roman" w:hAnsi="Times New Roman" w:cs="Times New Roman"/>
          <w:color w:val="000000"/>
          <w:sz w:val="20"/>
          <w:szCs w:val="20"/>
        </w:rPr>
        <w:t xml:space="preserve"> </w:t>
      </w:r>
      <w:r w:rsidRPr="00E6091A">
        <w:rPr>
          <w:rFonts w:ascii="Times New Roman" w:eastAsia="Times New Roman" w:hAnsi="Times New Roman" w:cs="Times New Roman"/>
          <w:color w:val="000000"/>
        </w:rPr>
        <w:t>La contraddizione toglie un dinamica relazionale instabile e dà vita ad un essere determinato che conserva in sé, come sue determi</w:t>
      </w:r>
      <w:r>
        <w:rPr>
          <w:rFonts w:ascii="Times New Roman" w:eastAsia="Times New Roman" w:hAnsi="Times New Roman" w:cs="Times New Roman"/>
          <w:color w:val="000000"/>
        </w:rPr>
        <w:t>nazioni costitutive, l’essere e</w:t>
      </w:r>
      <w:r w:rsidRPr="00E6091A">
        <w:rPr>
          <w:rFonts w:ascii="Times New Roman" w:eastAsia="Times New Roman" w:hAnsi="Times New Roman" w:cs="Times New Roman"/>
          <w:color w:val="000000"/>
        </w:rPr>
        <w:t xml:space="preserve"> il nulla, in modo da essere un </w:t>
      </w:r>
      <w:r w:rsidRPr="00A27071">
        <w:rPr>
          <w:rFonts w:ascii="Times New Roman" w:eastAsia="Times New Roman" w:hAnsi="Times New Roman" w:cs="Times New Roman"/>
          <w:color w:val="000000"/>
        </w:rPr>
        <w:t>«</w:t>
      </w:r>
      <w:r w:rsidRPr="00A27071">
        <w:rPr>
          <w:rFonts w:ascii="Times New Roman" w:eastAsia="Times New Roman" w:hAnsi="Times New Roman" w:cs="Times New Roman"/>
          <w:color w:val="000000"/>
          <w:lang w:val="de-DE"/>
        </w:rPr>
        <w:t>Seyn mi</w:t>
      </w:r>
      <w:r>
        <w:rPr>
          <w:rFonts w:ascii="Times New Roman" w:eastAsia="Times New Roman" w:hAnsi="Times New Roman" w:cs="Times New Roman"/>
          <w:color w:val="000000"/>
          <w:lang w:val="de-DE"/>
        </w:rPr>
        <w:t>t einem Nichtseyn […]; das Dasey</w:t>
      </w:r>
      <w:r w:rsidRPr="00A27071">
        <w:rPr>
          <w:rFonts w:ascii="Times New Roman" w:eastAsia="Times New Roman" w:hAnsi="Times New Roman" w:cs="Times New Roman"/>
          <w:color w:val="000000"/>
          <w:lang w:val="de-DE"/>
        </w:rPr>
        <w:t>n ist bestimmtes Seyn überhaupt</w:t>
      </w:r>
      <w:r w:rsidRPr="00A27071">
        <w:rPr>
          <w:rFonts w:ascii="Times New Roman" w:eastAsia="Times New Roman" w:hAnsi="Times New Roman" w:cs="Times New Roman"/>
          <w:color w:val="000000"/>
          <w:sz w:val="20"/>
          <w:szCs w:val="20"/>
        </w:rPr>
        <w:t>»</w:t>
      </w:r>
      <w:r w:rsidRPr="00A27071">
        <w:rPr>
          <w:rStyle w:val="Rimandonotaapidipagina"/>
          <w:rFonts w:ascii="Times New Roman" w:eastAsia="Times New Roman" w:hAnsi="Times New Roman" w:cs="Times New Roman"/>
          <w:color w:val="000000"/>
          <w:sz w:val="20"/>
          <w:szCs w:val="20"/>
        </w:rPr>
        <w:footnoteReference w:id="351"/>
      </w:r>
      <w:r w:rsidRPr="00E6091A">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rPr>
        <w:t xml:space="preserve">Assieme a queste </w:t>
      </w:r>
      <w:r w:rsidRPr="00E6091A">
        <w:rPr>
          <w:rFonts w:ascii="Times New Roman" w:eastAsia="Times New Roman" w:hAnsi="Times New Roman" w:cs="Times New Roman"/>
          <w:i/>
          <w:color w:val="000000"/>
          <w:lang w:val="de-DE"/>
        </w:rPr>
        <w:t>Denkbestimmungen</w:t>
      </w:r>
      <w:r w:rsidRPr="00E6091A">
        <w:rPr>
          <w:rFonts w:ascii="Times New Roman" w:eastAsia="Times New Roman" w:hAnsi="Times New Roman" w:cs="Times New Roman"/>
          <w:color w:val="000000"/>
        </w:rPr>
        <w:t xml:space="preserve">, l’essere determinato, così come la </w:t>
      </w:r>
      <w:r w:rsidRPr="00E6091A">
        <w:rPr>
          <w:rFonts w:ascii="Times New Roman" w:eastAsia="Times New Roman" w:hAnsi="Times New Roman" w:cs="Times New Roman"/>
          <w:i/>
          <w:color w:val="000000"/>
          <w:lang w:val="de-DE"/>
        </w:rPr>
        <w:t>Logik des Seyns</w:t>
      </w:r>
      <w:r w:rsidRPr="00E6091A">
        <w:rPr>
          <w:rFonts w:ascii="Times New Roman" w:eastAsia="Times New Roman" w:hAnsi="Times New Roman" w:cs="Times New Roman"/>
          <w:color w:val="000000"/>
          <w:lang w:val="de-DE"/>
        </w:rPr>
        <w:t xml:space="preserve"> </w:t>
      </w:r>
      <w:r w:rsidRPr="00E6091A">
        <w:rPr>
          <w:rFonts w:ascii="Times New Roman" w:eastAsia="Times New Roman" w:hAnsi="Times New Roman" w:cs="Times New Roman"/>
          <w:color w:val="000000"/>
        </w:rPr>
        <w:t xml:space="preserve">in generale, </w:t>
      </w:r>
      <w:r>
        <w:rPr>
          <w:rFonts w:ascii="Times New Roman" w:eastAsia="Times New Roman" w:hAnsi="Times New Roman" w:cs="Times New Roman"/>
          <w:color w:val="000000"/>
        </w:rPr>
        <w:t>mantiene quella natura fluida e</w:t>
      </w:r>
      <w:r w:rsidRPr="00E6091A">
        <w:rPr>
          <w:rFonts w:ascii="Times New Roman" w:eastAsia="Times New Roman" w:hAnsi="Times New Roman" w:cs="Times New Roman"/>
          <w:color w:val="000000"/>
        </w:rPr>
        <w:t xml:space="preserve"> instabile riscontra</w:t>
      </w:r>
      <w:r>
        <w:rPr>
          <w:rFonts w:ascii="Times New Roman" w:eastAsia="Times New Roman" w:hAnsi="Times New Roman" w:cs="Times New Roman"/>
          <w:color w:val="000000"/>
        </w:rPr>
        <w:t>ta nel divenire</w:t>
      </w:r>
      <w:r w:rsidRPr="009318A7">
        <w:rPr>
          <w:rFonts w:ascii="Times New Roman" w:eastAsia="Times New Roman" w:hAnsi="Times New Roman" w:cs="Times New Roman"/>
          <w:color w:val="000000"/>
        </w:rPr>
        <w:t>. L’essere tolto (</w:t>
      </w:r>
      <w:r w:rsidRPr="009318A7">
        <w:rPr>
          <w:rFonts w:ascii="Times New Roman" w:eastAsia="Times New Roman" w:hAnsi="Times New Roman" w:cs="Times New Roman"/>
          <w:i/>
          <w:color w:val="000000"/>
          <w:lang w:val="de-DE"/>
        </w:rPr>
        <w:t>Aufhebung</w:t>
      </w:r>
      <w:r w:rsidRPr="009318A7">
        <w:rPr>
          <w:rFonts w:ascii="Times New Roman" w:eastAsia="Times New Roman" w:hAnsi="Times New Roman" w:cs="Times New Roman"/>
          <w:color w:val="000000"/>
        </w:rPr>
        <w:t>), come è no</w:t>
      </w:r>
      <w:r>
        <w:rPr>
          <w:rFonts w:ascii="Times New Roman" w:eastAsia="Times New Roman" w:hAnsi="Times New Roman" w:cs="Times New Roman"/>
          <w:color w:val="000000"/>
        </w:rPr>
        <w:t>to, implica una conservazione e</w:t>
      </w:r>
      <w:r w:rsidRPr="009318A7">
        <w:rPr>
          <w:rFonts w:ascii="Times New Roman" w:eastAsia="Times New Roman" w:hAnsi="Times New Roman" w:cs="Times New Roman"/>
          <w:color w:val="000000"/>
        </w:rPr>
        <w:t xml:space="preserve"> un innalzamento di ciò che precede in ciò che consegue</w:t>
      </w:r>
      <w:r w:rsidRPr="009318A7">
        <w:rPr>
          <w:rStyle w:val="Rimandonotaapidipagina"/>
          <w:rFonts w:ascii="Times New Roman" w:eastAsia="Times New Roman" w:hAnsi="Times New Roman" w:cs="Times New Roman"/>
          <w:color w:val="000000"/>
        </w:rPr>
        <w:footnoteReference w:id="352"/>
      </w:r>
      <w:r w:rsidRPr="009318A7">
        <w:rPr>
          <w:rFonts w:ascii="Times New Roman" w:eastAsia="Times New Roman" w:hAnsi="Times New Roman" w:cs="Times New Roman"/>
          <w:color w:val="000000"/>
        </w:rPr>
        <w:t>.</w:t>
      </w:r>
      <w:r w:rsidRPr="00E6091A">
        <w:rPr>
          <w:rFonts w:ascii="Times New Roman" w:eastAsia="Times New Roman" w:hAnsi="Times New Roman" w:cs="Times New Roman"/>
          <w:color w:val="000000"/>
        </w:rPr>
        <w:t xml:space="preserve"> La sfrenatezza del divenire, il conflagrare di una determinazione nell’altra, è l’impronta che le determinazioni del cominciamento imprimono all’intera sf</w:t>
      </w:r>
      <w:r w:rsidRPr="000A035E">
        <w:rPr>
          <w:rFonts w:ascii="Times New Roman" w:eastAsia="Times New Roman" w:hAnsi="Times New Roman" w:cs="Times New Roman"/>
          <w:color w:val="000000"/>
        </w:rPr>
        <w:t>era dell’essere</w:t>
      </w:r>
      <w:r w:rsidRPr="000A035E">
        <w:rPr>
          <w:rStyle w:val="Rimandonotaapidipagina"/>
          <w:rFonts w:ascii="Times New Roman" w:eastAsia="Times New Roman" w:hAnsi="Times New Roman" w:cs="Times New Roman"/>
          <w:color w:val="000000"/>
        </w:rPr>
        <w:footnoteReference w:id="353"/>
      </w:r>
      <w:r w:rsidRPr="000A035E">
        <w:rPr>
          <w:rFonts w:ascii="Times New Roman" w:eastAsia="Times New Roman" w:hAnsi="Times New Roman" w:cs="Times New Roman"/>
          <w:color w:val="000000"/>
        </w:rPr>
        <w:t xml:space="preserve">. </w:t>
      </w:r>
      <w:r w:rsidR="00AD0A50" w:rsidRPr="000A035E">
        <w:rPr>
          <w:rFonts w:ascii="Times New Roman" w:eastAsia="Times New Roman" w:hAnsi="Times New Roman" w:cs="Times New Roman"/>
          <w:color w:val="000000"/>
        </w:rPr>
        <w:t xml:space="preserve">Ciò </w:t>
      </w:r>
      <w:r w:rsidRPr="000A035E">
        <w:rPr>
          <w:rFonts w:ascii="Times New Roman" w:eastAsia="Times New Roman" w:hAnsi="Times New Roman" w:cs="Times New Roman"/>
          <w:color w:val="000000"/>
        </w:rPr>
        <w:t>che deriva dall’ind</w:t>
      </w:r>
      <w:r w:rsidR="00AD0A50" w:rsidRPr="000A035E">
        <w:rPr>
          <w:rFonts w:ascii="Times New Roman" w:eastAsia="Times New Roman" w:hAnsi="Times New Roman" w:cs="Times New Roman"/>
          <w:color w:val="000000"/>
        </w:rPr>
        <w:t>eterminatezza del cominciamento</w:t>
      </w:r>
      <w:r w:rsidRPr="000A035E">
        <w:rPr>
          <w:rFonts w:ascii="Times New Roman" w:eastAsia="Times New Roman" w:hAnsi="Times New Roman" w:cs="Times New Roman"/>
          <w:color w:val="000000"/>
        </w:rPr>
        <w:t xml:space="preserve"> mantiene</w:t>
      </w:r>
      <w:r w:rsidRPr="00E6091A">
        <w:rPr>
          <w:rFonts w:ascii="Times New Roman" w:eastAsia="Times New Roman" w:hAnsi="Times New Roman" w:cs="Times New Roman"/>
          <w:color w:val="000000"/>
        </w:rPr>
        <w:t xml:space="preserve"> quel medesimo carattere d’immediatezza e d’irriflessività </w:t>
      </w:r>
      <w:r w:rsidRPr="00385685">
        <w:rPr>
          <w:rFonts w:ascii="Times New Roman" w:eastAsia="Times New Roman" w:hAnsi="Times New Roman" w:cs="Times New Roman"/>
          <w:color w:val="000000"/>
        </w:rPr>
        <w:t>del principio indeterminato.</w:t>
      </w:r>
      <w:r w:rsidRPr="00E6091A">
        <w:rPr>
          <w:rFonts w:ascii="Times New Roman" w:eastAsia="Times New Roman" w:hAnsi="Times New Roman" w:cs="Times New Roman"/>
          <w:color w:val="000000"/>
        </w:rPr>
        <w:t xml:space="preserve"> In egual misura, conservando in sé il movimento dileguante e contraddicentesi di essere e nulla, il qualcosa è animato dalla medesima instabilità che permea le prime determinazioni del pensare puro. E questo proprio perché il primo movimento di derivazione del qualcosa dal cominciamento non è ancora definibile nei termini di una dinamica processuale in cui </w:t>
      </w:r>
      <w:r w:rsidRPr="000A7683">
        <w:rPr>
          <w:rFonts w:ascii="Times New Roman" w:eastAsia="Times New Roman" w:hAnsi="Times New Roman" w:cs="Times New Roman"/>
          <w:color w:val="000000"/>
        </w:rPr>
        <w:t xml:space="preserve">l’indeterminato pone la determinazione, o la differenza, a partire dal rapporto negativo a sé. Il posizionamento di un’alterità e il </w:t>
      </w:r>
      <w:r w:rsidRPr="000A035E">
        <w:rPr>
          <w:rFonts w:ascii="Times New Roman" w:eastAsia="Times New Roman" w:hAnsi="Times New Roman" w:cs="Times New Roman"/>
          <w:color w:val="000000"/>
        </w:rPr>
        <w:t xml:space="preserve">tentativo di mantenersi in unità con essa esulano dalla sfera dell’essere, arrivano ad una prima </w:t>
      </w:r>
      <w:r w:rsidR="001C052D" w:rsidRPr="000A035E">
        <w:rPr>
          <w:rFonts w:ascii="Times New Roman" w:eastAsia="Times New Roman" w:hAnsi="Times New Roman" w:cs="Times New Roman"/>
          <w:color w:val="000000"/>
        </w:rPr>
        <w:t>– per quanto problematica –</w:t>
      </w:r>
      <w:r w:rsidR="001C052D">
        <w:rPr>
          <w:rFonts w:ascii="Times New Roman" w:eastAsia="Times New Roman" w:hAnsi="Times New Roman" w:cs="Times New Roman"/>
          <w:color w:val="000000"/>
        </w:rPr>
        <w:t xml:space="preserve"> </w:t>
      </w:r>
      <w:r w:rsidRPr="000A7683">
        <w:rPr>
          <w:rFonts w:ascii="Times New Roman" w:eastAsia="Times New Roman" w:hAnsi="Times New Roman" w:cs="Times New Roman"/>
          <w:color w:val="000000"/>
        </w:rPr>
        <w:t xml:space="preserve">tematizzazione nella </w:t>
      </w:r>
      <w:r w:rsidRPr="000A7683">
        <w:rPr>
          <w:rFonts w:ascii="Times New Roman" w:eastAsia="Times New Roman" w:hAnsi="Times New Roman" w:cs="Times New Roman"/>
          <w:i/>
          <w:color w:val="000000"/>
          <w:lang w:val="de-DE"/>
        </w:rPr>
        <w:t>Wesenslogik</w:t>
      </w:r>
      <w:r w:rsidRPr="000A7683">
        <w:rPr>
          <w:rFonts w:ascii="Times New Roman" w:eastAsia="Times New Roman" w:hAnsi="Times New Roman" w:cs="Times New Roman"/>
          <w:color w:val="000000"/>
        </w:rPr>
        <w:t xml:space="preserve"> e a un pieno sviluppo nella </w:t>
      </w:r>
      <w:r w:rsidRPr="000A7683">
        <w:rPr>
          <w:rFonts w:ascii="Times New Roman" w:eastAsia="Times New Roman" w:hAnsi="Times New Roman" w:cs="Times New Roman"/>
          <w:i/>
          <w:color w:val="000000"/>
          <w:lang w:val="de-DE"/>
        </w:rPr>
        <w:t>subjective Logik</w:t>
      </w:r>
      <w:r w:rsidRPr="000A7683">
        <w:rPr>
          <w:rFonts w:ascii="Times New Roman" w:eastAsia="Times New Roman" w:hAnsi="Times New Roman" w:cs="Times New Roman"/>
          <w:color w:val="000000"/>
        </w:rPr>
        <w:t>. Il</w:t>
      </w:r>
      <w:r w:rsidRPr="00E6091A">
        <w:rPr>
          <w:rFonts w:ascii="Times New Roman" w:eastAsia="Times New Roman" w:hAnsi="Times New Roman" w:cs="Times New Roman"/>
          <w:color w:val="000000"/>
        </w:rPr>
        <w:t xml:space="preserve"> passaggio sfrenato da una determinazione all’altra sarà tolto da una nozione di mediazione e di negatività non più immediata e irriflessa</w:t>
      </w:r>
      <w:r>
        <w:rPr>
          <w:rFonts w:ascii="Times New Roman" w:eastAsia="Times New Roman" w:hAnsi="Times New Roman" w:cs="Times New Roman"/>
          <w:color w:val="000000"/>
        </w:rPr>
        <w:t>, ma radicata all’interno del</w:t>
      </w:r>
      <w:r w:rsidRPr="00E6091A">
        <w:rPr>
          <w:rFonts w:ascii="Times New Roman" w:eastAsia="Times New Roman" w:hAnsi="Times New Roman" w:cs="Times New Roman"/>
          <w:color w:val="000000"/>
        </w:rPr>
        <w:t xml:space="preserve"> contenuto logico stesso, che sarà in grado di esprimere una dinamica relazionale e processuale in cui l’</w:t>
      </w:r>
      <w:r w:rsidRPr="00A27071">
        <w:rPr>
          <w:rFonts w:ascii="Times New Roman" w:eastAsia="Times New Roman" w:hAnsi="Times New Roman" w:cs="Times New Roman"/>
          <w:color w:val="000000"/>
        </w:rPr>
        <w:t>«</w:t>
      </w:r>
      <w:r w:rsidRPr="00A27071">
        <w:rPr>
          <w:rFonts w:ascii="Times New Roman" w:eastAsia="Times New Roman" w:hAnsi="Times New Roman" w:cs="Times New Roman"/>
          <w:color w:val="000000"/>
          <w:lang w:val="de-DE"/>
        </w:rPr>
        <w:t>innerliches Abstoßen […] ist es Reflexion in sich, unmittelbar sich in sich zurücknehmendes Abstoßen</w:t>
      </w:r>
      <w:r w:rsidRPr="00A27071">
        <w:rPr>
          <w:rFonts w:ascii="Times New Roman" w:eastAsia="Times New Roman" w:hAnsi="Times New Roman" w:cs="Times New Roman"/>
          <w:color w:val="000000"/>
          <w:sz w:val="20"/>
          <w:szCs w:val="20"/>
        </w:rPr>
        <w:t>»</w:t>
      </w:r>
      <w:r w:rsidRPr="00A27071">
        <w:rPr>
          <w:rStyle w:val="Rimandonotaapidipagina"/>
          <w:rFonts w:ascii="Times New Roman" w:eastAsia="Times New Roman" w:hAnsi="Times New Roman" w:cs="Times New Roman"/>
          <w:color w:val="000000"/>
          <w:sz w:val="20"/>
          <w:szCs w:val="20"/>
        </w:rPr>
        <w:footnoteReference w:id="354"/>
      </w:r>
      <w:r w:rsidRPr="00A27071">
        <w:rPr>
          <w:rFonts w:ascii="Times New Roman" w:eastAsia="Times New Roman" w:hAnsi="Times New Roman" w:cs="Times New Roman"/>
          <w:color w:val="000000"/>
          <w:sz w:val="20"/>
          <w:szCs w:val="20"/>
        </w:rPr>
        <w:t>.</w:t>
      </w:r>
    </w:p>
    <w:p w14:paraId="7CD2734D" w14:textId="77777777" w:rsidR="001B7751" w:rsidRPr="00521237" w:rsidRDefault="001B7751" w:rsidP="001B7751">
      <w:pPr>
        <w:spacing w:line="360" w:lineRule="auto"/>
        <w:jc w:val="both"/>
        <w:rPr>
          <w:rFonts w:ascii="Times New Roman" w:eastAsia="Times New Roman" w:hAnsi="Times New Roman" w:cs="Times New Roman"/>
          <w:color w:val="000000"/>
        </w:rPr>
      </w:pPr>
    </w:p>
    <w:p w14:paraId="309E47E3" w14:textId="30A9487D" w:rsidR="001B7751" w:rsidRPr="00271C52" w:rsidRDefault="001B7751" w:rsidP="001B7751">
      <w:pPr>
        <w:pStyle w:val="Paragrafoelenco"/>
        <w:ind w:left="0"/>
        <w:jc w:val="both"/>
        <w:rPr>
          <w:rFonts w:ascii="Times New Roman" w:hAnsi="Times New Roman" w:cs="Times New Roman"/>
          <w:i/>
          <w:lang w:val="de-DE"/>
        </w:rPr>
      </w:pPr>
      <w:r w:rsidRPr="00271C52">
        <w:rPr>
          <w:rFonts w:ascii="Times New Roman" w:hAnsi="Times New Roman" w:cs="Times New Roman"/>
          <w:i/>
        </w:rPr>
        <w:t>2.</w:t>
      </w:r>
      <w:r>
        <w:rPr>
          <w:rFonts w:ascii="Times New Roman" w:hAnsi="Times New Roman" w:cs="Times New Roman"/>
          <w:i/>
        </w:rPr>
        <w:t>2</w:t>
      </w:r>
      <w:r w:rsidRPr="00271C52">
        <w:rPr>
          <w:rFonts w:ascii="Times New Roman" w:hAnsi="Times New Roman" w:cs="Times New Roman"/>
          <w:i/>
        </w:rPr>
        <w:t xml:space="preserve"> Determinatio est negatio ed Inqualierung. Spinoza e Böhme nella </w:t>
      </w:r>
      <w:r w:rsidR="00DD70C7">
        <w:rPr>
          <w:rFonts w:ascii="Times New Roman" w:hAnsi="Times New Roman" w:cs="Times New Roman"/>
          <w:lang w:val="de-DE"/>
        </w:rPr>
        <w:t>Logik des Sey</w:t>
      </w:r>
      <w:r w:rsidRPr="000A7683">
        <w:rPr>
          <w:rFonts w:ascii="Times New Roman" w:hAnsi="Times New Roman" w:cs="Times New Roman"/>
          <w:lang w:val="de-DE"/>
        </w:rPr>
        <w:t>ns</w:t>
      </w:r>
    </w:p>
    <w:p w14:paraId="43388D22" w14:textId="77777777" w:rsidR="001B7751" w:rsidRPr="002C21FD" w:rsidRDefault="001B7751" w:rsidP="001B7751">
      <w:pPr>
        <w:pStyle w:val="Paragrafoelenco"/>
        <w:jc w:val="both"/>
        <w:rPr>
          <w:rFonts w:ascii="Times New Roman" w:hAnsi="Times New Roman" w:cs="Times New Roman"/>
          <w:b/>
          <w:lang w:val="de-DE"/>
        </w:rPr>
      </w:pPr>
    </w:p>
    <w:p w14:paraId="6B8B17A2" w14:textId="77777777" w:rsidR="001B7751" w:rsidRPr="00084359" w:rsidRDefault="001B7751" w:rsidP="001B7751">
      <w:pPr>
        <w:pStyle w:val="Paragrafoelenco"/>
        <w:jc w:val="both"/>
        <w:rPr>
          <w:rFonts w:ascii="Times New Roman" w:hAnsi="Times New Roman" w:cs="Times New Roman"/>
          <w:b/>
        </w:rPr>
      </w:pPr>
    </w:p>
    <w:p w14:paraId="52168A3A" w14:textId="08AF8B01" w:rsidR="001B7751" w:rsidRPr="0079766A" w:rsidRDefault="001B7751" w:rsidP="001B7751">
      <w:pPr>
        <w:pStyle w:val="Paragrafoelenco"/>
        <w:spacing w:line="360" w:lineRule="auto"/>
        <w:ind w:left="0" w:firstLine="567"/>
        <w:jc w:val="both"/>
        <w:rPr>
          <w:rFonts w:ascii="Times New Roman" w:eastAsia="Times New Roman" w:hAnsi="Times New Roman" w:cs="Times New Roman"/>
          <w:color w:val="000000"/>
        </w:rPr>
      </w:pPr>
      <w:r>
        <w:rPr>
          <w:rFonts w:ascii="Times New Roman" w:eastAsia="Times New Roman" w:hAnsi="Times New Roman" w:cs="Times New Roman"/>
          <w:color w:val="000000"/>
        </w:rPr>
        <w:t>Sul finire degli anni ’90, Jean-Luc Nancy ha dato alle stampe un testo dedicato alla teoria hegeliana della negatività:</w:t>
      </w:r>
      <w:r>
        <w:rPr>
          <w:rFonts w:ascii="Times New Roman" w:eastAsia="Times New Roman" w:hAnsi="Times New Roman" w:cs="Times New Roman"/>
          <w:i/>
          <w:color w:val="000000"/>
        </w:rPr>
        <w:t xml:space="preserve"> </w:t>
      </w:r>
      <w:r w:rsidRPr="00EB47FC">
        <w:rPr>
          <w:rFonts w:ascii="Times New Roman" w:eastAsia="Times New Roman" w:hAnsi="Times New Roman" w:cs="Times New Roman"/>
          <w:i/>
          <w:color w:val="000000"/>
          <w:lang w:val="fr-FR"/>
        </w:rPr>
        <w:t xml:space="preserve">Hegel. L’inquiétude du </w:t>
      </w:r>
      <w:r w:rsidRPr="000A035E">
        <w:rPr>
          <w:rFonts w:ascii="Times New Roman" w:eastAsia="Times New Roman" w:hAnsi="Times New Roman" w:cs="Times New Roman"/>
          <w:i/>
          <w:color w:val="000000"/>
          <w:lang w:val="fr-FR"/>
        </w:rPr>
        <w:t>négatif</w:t>
      </w:r>
      <w:r w:rsidRPr="000A035E">
        <w:rPr>
          <w:rStyle w:val="Rimandonotaapidipagina"/>
          <w:rFonts w:ascii="Times New Roman" w:eastAsia="Times New Roman" w:hAnsi="Times New Roman" w:cs="Times New Roman"/>
          <w:color w:val="000000"/>
        </w:rPr>
        <w:footnoteReference w:id="355"/>
      </w:r>
      <w:r w:rsidRPr="000A035E">
        <w:rPr>
          <w:rFonts w:ascii="Times New Roman" w:eastAsia="Times New Roman" w:hAnsi="Times New Roman" w:cs="Times New Roman"/>
          <w:color w:val="000000"/>
        </w:rPr>
        <w:t>.</w:t>
      </w:r>
      <w:r w:rsidRPr="00665113">
        <w:rPr>
          <w:rFonts w:ascii="Times New Roman" w:eastAsia="Times New Roman" w:hAnsi="Times New Roman" w:cs="Times New Roman"/>
          <w:color w:val="000000"/>
        </w:rPr>
        <w:t xml:space="preserve"> </w:t>
      </w:r>
      <w:r w:rsidRPr="00EB47FC">
        <w:rPr>
          <w:rFonts w:ascii="Times New Roman" w:eastAsia="Times New Roman" w:hAnsi="Times New Roman" w:cs="Times New Roman"/>
          <w:color w:val="000000"/>
        </w:rPr>
        <w:t>L’inquietudine del negativo</w:t>
      </w:r>
      <w:r>
        <w:rPr>
          <w:rFonts w:ascii="Times New Roman" w:eastAsia="Times New Roman" w:hAnsi="Times New Roman" w:cs="Times New Roman"/>
          <w:color w:val="000000"/>
        </w:rPr>
        <w:t xml:space="preserve"> e</w:t>
      </w:r>
      <w:r w:rsidRPr="00EB47FC">
        <w:rPr>
          <w:rFonts w:ascii="Times New Roman" w:eastAsia="Times New Roman" w:hAnsi="Times New Roman" w:cs="Times New Roman"/>
          <w:color w:val="000000"/>
        </w:rPr>
        <w:t xml:space="preserve"> il valore positivo della negazione sono quegli aspetti del pensiero di Hegel di cui Nancy cerca di sottolineare il valore e lo spessore</w:t>
      </w:r>
      <w:r>
        <w:rPr>
          <w:rFonts w:ascii="Times New Roman" w:eastAsia="Times New Roman" w:hAnsi="Times New Roman" w:cs="Times New Roman"/>
          <w:color w:val="000000"/>
        </w:rPr>
        <w:t xml:space="preserve"> teoretico</w:t>
      </w:r>
      <w:r w:rsidRPr="00EB47FC">
        <w:rPr>
          <w:rFonts w:ascii="Times New Roman" w:eastAsia="Times New Roman" w:hAnsi="Times New Roman" w:cs="Times New Roman"/>
          <w:color w:val="000000"/>
        </w:rPr>
        <w:t xml:space="preserve">. Chiaro è il tentativo di riprendere l’eredità storico-filosofica di Alexander Koyré, cercando, al contempo, di sviluppare una proposta interpretativa autonoma </w:t>
      </w:r>
      <w:r w:rsidRPr="000A035E">
        <w:rPr>
          <w:rFonts w:ascii="Times New Roman" w:eastAsia="Times New Roman" w:hAnsi="Times New Roman" w:cs="Times New Roman"/>
          <w:color w:val="000000"/>
        </w:rPr>
        <w:t xml:space="preserve">da quella dello </w:t>
      </w:r>
      <w:r w:rsidRPr="000A035E">
        <w:rPr>
          <w:rFonts w:ascii="Times New Roman" w:eastAsia="Times New Roman" w:hAnsi="Times New Roman" w:cs="Times New Roman"/>
          <w:i/>
          <w:color w:val="000000"/>
        </w:rPr>
        <w:t>Hegel à</w:t>
      </w:r>
      <w:r w:rsidRPr="00EB47FC">
        <w:rPr>
          <w:rFonts w:ascii="Times New Roman" w:eastAsia="Times New Roman" w:hAnsi="Times New Roman" w:cs="Times New Roman"/>
          <w:i/>
          <w:color w:val="000000"/>
        </w:rPr>
        <w:t xml:space="preserve"> Ièna</w:t>
      </w:r>
      <w:r w:rsidRPr="00EB47FC">
        <w:rPr>
          <w:rStyle w:val="Rimandonotaapidipagina"/>
          <w:rFonts w:ascii="Times New Roman" w:eastAsia="Times New Roman" w:hAnsi="Times New Roman" w:cs="Times New Roman"/>
          <w:i/>
          <w:color w:val="000000"/>
        </w:rPr>
        <w:footnoteReference w:id="356"/>
      </w:r>
      <w:r w:rsidRPr="00EB47FC">
        <w:rPr>
          <w:rFonts w:ascii="Times New Roman" w:eastAsia="Times New Roman" w:hAnsi="Times New Roman" w:cs="Times New Roman"/>
          <w:color w:val="000000"/>
        </w:rPr>
        <w:t>. E in effetti,</w:t>
      </w:r>
      <w:r>
        <w:rPr>
          <w:rFonts w:ascii="Times New Roman" w:eastAsia="Times New Roman" w:hAnsi="Times New Roman" w:cs="Times New Roman"/>
          <w:color w:val="000000"/>
        </w:rPr>
        <w:t xml:space="preserve"> la filosofia della storia di Hegel, che era al centro della discussione di Koyré, lascia il posto ad una serie di considerazioni che spaziano – molto più generalmente e genericamente – dalla </w:t>
      </w:r>
      <w:r>
        <w:rPr>
          <w:rFonts w:ascii="Times New Roman" w:eastAsia="Times New Roman" w:hAnsi="Times New Roman" w:cs="Times New Roman"/>
          <w:i/>
          <w:color w:val="000000"/>
        </w:rPr>
        <w:t>L</w:t>
      </w:r>
      <w:r w:rsidRPr="0015271A">
        <w:rPr>
          <w:rFonts w:ascii="Times New Roman" w:eastAsia="Times New Roman" w:hAnsi="Times New Roman" w:cs="Times New Roman"/>
          <w:i/>
          <w:color w:val="000000"/>
        </w:rPr>
        <w:t>ogica</w:t>
      </w:r>
      <w:r>
        <w:rPr>
          <w:rFonts w:ascii="Times New Roman" w:eastAsia="Times New Roman" w:hAnsi="Times New Roman" w:cs="Times New Roman"/>
          <w:color w:val="000000"/>
        </w:rPr>
        <w:t xml:space="preserve"> alla </w:t>
      </w:r>
      <w:r>
        <w:rPr>
          <w:rFonts w:ascii="Times New Roman" w:eastAsia="Times New Roman" w:hAnsi="Times New Roman" w:cs="Times New Roman"/>
          <w:i/>
          <w:color w:val="000000"/>
        </w:rPr>
        <w:t>F</w:t>
      </w:r>
      <w:r w:rsidRPr="0015271A">
        <w:rPr>
          <w:rFonts w:ascii="Times New Roman" w:eastAsia="Times New Roman" w:hAnsi="Times New Roman" w:cs="Times New Roman"/>
          <w:i/>
          <w:color w:val="000000"/>
        </w:rPr>
        <w:t>enomenologia</w:t>
      </w:r>
      <w:r>
        <w:rPr>
          <w:rFonts w:ascii="Times New Roman" w:eastAsia="Times New Roman" w:hAnsi="Times New Roman" w:cs="Times New Roman"/>
          <w:color w:val="000000"/>
        </w:rPr>
        <w:t xml:space="preserve">. Del pari, l’idea di </w:t>
      </w:r>
      <w:r w:rsidRPr="00BD6482">
        <w:rPr>
          <w:rFonts w:ascii="Times New Roman" w:eastAsia="Times New Roman" w:hAnsi="Times New Roman" w:cs="Times New Roman"/>
          <w:color w:val="000000"/>
        </w:rPr>
        <w:t>un’influenza böhmiana e paracelsiana sulla nozione hegeliana di negatività lascia il passo ad un’analisi che non presta la benché minima attenzione alle fonti mistico-teosofiche del pensiero hegeliano. Espunte tutte le sugge</w:t>
      </w:r>
      <w:r w:rsidR="00EB7208">
        <w:rPr>
          <w:rFonts w:ascii="Times New Roman" w:eastAsia="Times New Roman" w:hAnsi="Times New Roman" w:cs="Times New Roman"/>
          <w:color w:val="000000"/>
        </w:rPr>
        <w:t>stioni storiche e le conclusioni</w:t>
      </w:r>
      <w:r w:rsidRPr="00BD6482">
        <w:rPr>
          <w:rFonts w:ascii="Times New Roman" w:eastAsia="Times New Roman" w:hAnsi="Times New Roman" w:cs="Times New Roman"/>
          <w:color w:val="000000"/>
        </w:rPr>
        <w:t xml:space="preserve"> teoriche</w:t>
      </w:r>
      <w:r w:rsidRPr="0015271A">
        <w:rPr>
          <w:rFonts w:ascii="Times New Roman" w:eastAsia="Times New Roman" w:hAnsi="Times New Roman" w:cs="Times New Roman"/>
          <w:color w:val="000000"/>
        </w:rPr>
        <w:t xml:space="preserve"> del saggio di Koyré, Nancy offre un’analisi prettamente </w:t>
      </w:r>
      <w:r w:rsidRPr="0015271A">
        <w:rPr>
          <w:rFonts w:ascii="Times New Roman" w:eastAsia="Times New Roman" w:hAnsi="Times New Roman" w:cs="Times New Roman"/>
          <w:i/>
          <w:color w:val="000000"/>
        </w:rPr>
        <w:t>teoretica</w:t>
      </w:r>
      <w:r w:rsidRPr="0015271A">
        <w:rPr>
          <w:rFonts w:ascii="Times New Roman" w:eastAsia="Times New Roman" w:hAnsi="Times New Roman" w:cs="Times New Roman"/>
          <w:color w:val="000000"/>
        </w:rPr>
        <w:t xml:space="preserve"> della funzione e del significato della teoria hegeliana della negatività. Nonostante l’applicazione di questa precisa chiave di lettura all’</w:t>
      </w:r>
      <w:r w:rsidRPr="0015271A">
        <w:rPr>
          <w:rFonts w:ascii="Times New Roman" w:eastAsia="Times New Roman" w:hAnsi="Times New Roman" w:cs="Times New Roman"/>
          <w:i/>
          <w:color w:val="000000"/>
        </w:rPr>
        <w:t>opus</w:t>
      </w:r>
      <w:r w:rsidRPr="0015271A">
        <w:rPr>
          <w:rFonts w:ascii="Times New Roman" w:eastAsia="Times New Roman" w:hAnsi="Times New Roman" w:cs="Times New Roman"/>
          <w:color w:val="000000"/>
        </w:rPr>
        <w:t xml:space="preserve"> hegeliano, si deve notare, con una certa sorpresa a dire il vero, che ne </w:t>
      </w:r>
      <w:r w:rsidRPr="0015271A">
        <w:rPr>
          <w:rFonts w:ascii="Times New Roman" w:eastAsia="Times New Roman" w:hAnsi="Times New Roman" w:cs="Times New Roman"/>
          <w:i/>
          <w:color w:val="000000"/>
          <w:lang w:val="fr-FR"/>
        </w:rPr>
        <w:t>L’inquiétude du négatif</w:t>
      </w:r>
      <w:r w:rsidRPr="0015271A">
        <w:rPr>
          <w:rFonts w:ascii="Times New Roman" w:eastAsia="Times New Roman" w:hAnsi="Times New Roman" w:cs="Times New Roman"/>
          <w:color w:val="000000"/>
        </w:rPr>
        <w:t xml:space="preserve"> non è colta una sfumatura di significato a cui va incontro la nozione hegeliana d’</w:t>
      </w:r>
      <w:r w:rsidRPr="0015271A">
        <w:rPr>
          <w:rFonts w:ascii="Times New Roman" w:eastAsia="Times New Roman" w:hAnsi="Times New Roman" w:cs="Times New Roman"/>
          <w:i/>
          <w:color w:val="000000"/>
        </w:rPr>
        <w:t>Unruhe</w:t>
      </w:r>
      <w:r>
        <w:rPr>
          <w:rFonts w:ascii="Times New Roman" w:eastAsia="Times New Roman" w:hAnsi="Times New Roman" w:cs="Times New Roman"/>
          <w:i/>
          <w:color w:val="000000"/>
        </w:rPr>
        <w:t xml:space="preserve"> </w:t>
      </w:r>
      <w:r>
        <w:rPr>
          <w:rFonts w:ascii="Times New Roman" w:eastAsia="Times New Roman" w:hAnsi="Times New Roman" w:cs="Times New Roman"/>
          <w:color w:val="000000"/>
        </w:rPr>
        <w:t>(</w:t>
      </w:r>
      <w:r w:rsidRPr="00EB47FC">
        <w:rPr>
          <w:rFonts w:ascii="Times New Roman" w:eastAsia="Times New Roman" w:hAnsi="Times New Roman" w:cs="Times New Roman"/>
          <w:i/>
          <w:color w:val="000000"/>
          <w:lang w:val="fr-FR"/>
        </w:rPr>
        <w:t>inquiétud</w:t>
      </w:r>
      <w:r>
        <w:rPr>
          <w:rFonts w:ascii="Times New Roman" w:eastAsia="Times New Roman" w:hAnsi="Times New Roman" w:cs="Times New Roman"/>
          <w:i/>
          <w:color w:val="000000"/>
          <w:lang w:val="fr-FR"/>
        </w:rPr>
        <w:t>e</w:t>
      </w:r>
      <w:r>
        <w:rPr>
          <w:rFonts w:ascii="Times New Roman" w:eastAsia="Times New Roman" w:hAnsi="Times New Roman" w:cs="Times New Roman"/>
          <w:color w:val="000000"/>
        </w:rPr>
        <w:t>)</w:t>
      </w:r>
      <w:r w:rsidRPr="0015271A">
        <w:rPr>
          <w:rFonts w:ascii="Times New Roman" w:eastAsia="Times New Roman" w:hAnsi="Times New Roman" w:cs="Times New Roman"/>
          <w:color w:val="000000"/>
        </w:rPr>
        <w:t xml:space="preserve">. Nel contributo di Nancy, infatti, si parla sempre di </w:t>
      </w:r>
      <w:r w:rsidRPr="0015271A">
        <w:rPr>
          <w:rFonts w:ascii="Times New Roman" w:eastAsia="Times New Roman" w:hAnsi="Times New Roman" w:cs="Times New Roman"/>
          <w:i/>
          <w:color w:val="000000"/>
        </w:rPr>
        <w:t>Unruhe</w:t>
      </w:r>
      <w:r w:rsidRPr="0015271A">
        <w:rPr>
          <w:rFonts w:ascii="Times New Roman" w:eastAsia="Times New Roman" w:hAnsi="Times New Roman" w:cs="Times New Roman"/>
          <w:color w:val="000000"/>
        </w:rPr>
        <w:t xml:space="preserve"> senza che sia mai introdotta la differenza fra </w:t>
      </w:r>
      <w:r w:rsidRPr="0015271A">
        <w:rPr>
          <w:rFonts w:ascii="Times New Roman" w:eastAsia="Times New Roman" w:hAnsi="Times New Roman" w:cs="Times New Roman"/>
          <w:i/>
          <w:color w:val="000000"/>
        </w:rPr>
        <w:t>haltunglose Unruhe</w:t>
      </w:r>
      <w:r w:rsidRPr="0015271A">
        <w:rPr>
          <w:rFonts w:ascii="Times New Roman" w:eastAsia="Times New Roman" w:hAnsi="Times New Roman" w:cs="Times New Roman"/>
          <w:color w:val="000000"/>
        </w:rPr>
        <w:t xml:space="preserve"> e </w:t>
      </w:r>
      <w:r w:rsidRPr="0015271A">
        <w:rPr>
          <w:rFonts w:ascii="Times New Roman" w:eastAsia="Times New Roman" w:hAnsi="Times New Roman" w:cs="Times New Roman"/>
          <w:i/>
          <w:color w:val="000000"/>
        </w:rPr>
        <w:t>Unruhe</w:t>
      </w:r>
      <w:r w:rsidRPr="0015271A">
        <w:rPr>
          <w:rFonts w:ascii="Times New Roman" w:eastAsia="Times New Roman" w:hAnsi="Times New Roman" w:cs="Times New Roman"/>
          <w:color w:val="000000"/>
        </w:rPr>
        <w:t>.</w:t>
      </w:r>
      <w:r w:rsidRPr="00F410E7">
        <w:rPr>
          <w:rFonts w:ascii="Times New Roman" w:eastAsia="Times New Roman" w:hAnsi="Times New Roman" w:cs="Times New Roman"/>
          <w:color w:val="000000"/>
        </w:rPr>
        <w:t xml:space="preserve"> Nel primo caso, siamo di fronte ad un tipo d’inquietudine analoga a quella osservata nella sezione </w:t>
      </w:r>
      <w:r>
        <w:rPr>
          <w:rFonts w:ascii="Times New Roman" w:eastAsia="Times New Roman" w:hAnsi="Times New Roman" w:cs="Times New Roman"/>
          <w:color w:val="000000"/>
        </w:rPr>
        <w:t xml:space="preserve">sul </w:t>
      </w:r>
      <w:r w:rsidRPr="00F410E7">
        <w:rPr>
          <w:rFonts w:ascii="Times New Roman" w:eastAsia="Times New Roman" w:hAnsi="Times New Roman" w:cs="Times New Roman"/>
          <w:color w:val="000000"/>
        </w:rPr>
        <w:t xml:space="preserve">divenire. Nel secondo caso, invece, siamo di fronte ad un tipo di negatività liberata dai suoi esiti </w:t>
      </w:r>
      <w:r>
        <w:rPr>
          <w:rFonts w:ascii="Times New Roman" w:eastAsia="Times New Roman" w:hAnsi="Times New Roman" w:cs="Times New Roman"/>
          <w:color w:val="000000"/>
        </w:rPr>
        <w:t>immediati e</w:t>
      </w:r>
      <w:r w:rsidRPr="00F410E7">
        <w:rPr>
          <w:rFonts w:ascii="Times New Roman" w:eastAsia="Times New Roman" w:hAnsi="Times New Roman" w:cs="Times New Roman"/>
          <w:color w:val="000000"/>
        </w:rPr>
        <w:t xml:space="preserve"> irriflessi e innalzata al grado di negatività interiore. Una concezione </w:t>
      </w:r>
      <w:r>
        <w:rPr>
          <w:rFonts w:ascii="Times New Roman" w:eastAsia="Times New Roman" w:hAnsi="Times New Roman" w:cs="Times New Roman"/>
          <w:color w:val="000000"/>
        </w:rPr>
        <w:t>d</w:t>
      </w:r>
      <w:r w:rsidR="000A035E">
        <w:rPr>
          <w:rFonts w:ascii="Times New Roman" w:eastAsia="Times New Roman" w:hAnsi="Times New Roman" w:cs="Times New Roman"/>
          <w:color w:val="000000"/>
        </w:rPr>
        <w:t>ell</w:t>
      </w:r>
      <w:r>
        <w:rPr>
          <w:rFonts w:ascii="Times New Roman" w:eastAsia="Times New Roman" w:hAnsi="Times New Roman" w:cs="Times New Roman"/>
          <w:color w:val="000000"/>
        </w:rPr>
        <w:t>’</w:t>
      </w:r>
      <w:r w:rsidRPr="00F410E7">
        <w:rPr>
          <w:rFonts w:ascii="Times New Roman" w:eastAsia="Times New Roman" w:hAnsi="Times New Roman" w:cs="Times New Roman"/>
          <w:i/>
          <w:color w:val="000000"/>
        </w:rPr>
        <w:t>Unruhe</w:t>
      </w:r>
      <w:r w:rsidRPr="00F410E7">
        <w:rPr>
          <w:rFonts w:ascii="Times New Roman" w:eastAsia="Times New Roman" w:hAnsi="Times New Roman" w:cs="Times New Roman"/>
          <w:color w:val="000000"/>
        </w:rPr>
        <w:t xml:space="preserve">, </w:t>
      </w:r>
      <w:r w:rsidRPr="0015271A">
        <w:rPr>
          <w:rFonts w:ascii="Times New Roman" w:eastAsia="Times New Roman" w:hAnsi="Times New Roman" w:cs="Times New Roman"/>
          <w:color w:val="000000"/>
        </w:rPr>
        <w:t>quest’ultima, che</w:t>
      </w:r>
      <w:r w:rsidRPr="0015271A">
        <w:rPr>
          <w:rFonts w:ascii="Times New Roman" w:eastAsia="Times New Roman" w:hAnsi="Times New Roman" w:cs="Times New Roman"/>
          <w:i/>
          <w:color w:val="000000"/>
        </w:rPr>
        <w:t xml:space="preserve"> </w:t>
      </w:r>
      <w:r w:rsidRPr="0015271A">
        <w:rPr>
          <w:rFonts w:ascii="Times New Roman" w:eastAsia="Times New Roman" w:hAnsi="Times New Roman" w:cs="Times New Roman"/>
          <w:color w:val="000000"/>
        </w:rPr>
        <w:t xml:space="preserve">abbiamo </w:t>
      </w:r>
      <w:r w:rsidR="000553DB">
        <w:rPr>
          <w:rFonts w:ascii="Times New Roman" w:eastAsia="Times New Roman" w:hAnsi="Times New Roman" w:cs="Times New Roman"/>
          <w:color w:val="000000"/>
        </w:rPr>
        <w:t xml:space="preserve">già incontrato </w:t>
      </w:r>
      <w:r w:rsidRPr="0015271A">
        <w:rPr>
          <w:rFonts w:ascii="Times New Roman" w:eastAsia="Times New Roman" w:hAnsi="Times New Roman" w:cs="Times New Roman"/>
          <w:color w:val="000000"/>
        </w:rPr>
        <w:t xml:space="preserve">nella </w:t>
      </w:r>
      <w:r w:rsidRPr="0015271A">
        <w:rPr>
          <w:rFonts w:ascii="Times New Roman" w:eastAsia="Times New Roman" w:hAnsi="Times New Roman" w:cs="Times New Roman"/>
          <w:i/>
          <w:color w:val="000000"/>
        </w:rPr>
        <w:t>Jenaer Metaphysik</w:t>
      </w:r>
      <w:r w:rsidRPr="0015271A">
        <w:rPr>
          <w:rFonts w:ascii="Times New Roman" w:eastAsia="Times New Roman" w:hAnsi="Times New Roman" w:cs="Times New Roman"/>
          <w:color w:val="000000"/>
        </w:rPr>
        <w:t xml:space="preserve">: il dischiudersi della </w:t>
      </w:r>
      <w:r w:rsidRPr="0015271A">
        <w:rPr>
          <w:rFonts w:ascii="Times New Roman" w:eastAsia="Times New Roman" w:hAnsi="Times New Roman" w:cs="Times New Roman"/>
          <w:i/>
          <w:color w:val="000000"/>
          <w:lang w:val="de-DE"/>
        </w:rPr>
        <w:t>Sichselbstgleichheit</w:t>
      </w:r>
      <w:r w:rsidRPr="0015271A">
        <w:rPr>
          <w:rFonts w:ascii="Times New Roman" w:eastAsia="Times New Roman" w:hAnsi="Times New Roman" w:cs="Times New Roman"/>
          <w:color w:val="000000"/>
          <w:lang w:val="de-DE"/>
        </w:rPr>
        <w:t>,</w:t>
      </w:r>
      <w:r w:rsidRPr="0015271A">
        <w:rPr>
          <w:rFonts w:ascii="Times New Roman" w:eastAsia="Times New Roman" w:hAnsi="Times New Roman" w:cs="Times New Roman"/>
          <w:color w:val="000000"/>
        </w:rPr>
        <w:t xml:space="preserve"> ossia il trasporsi del nulla nella determinazione, accade in virtù di quell’</w:t>
      </w:r>
      <w:r w:rsidRPr="0015271A">
        <w:rPr>
          <w:rFonts w:ascii="Times New Roman" w:eastAsia="Times New Roman" w:hAnsi="Times New Roman" w:cs="Times New Roman"/>
          <w:i/>
          <w:color w:val="000000"/>
          <w:lang w:val="de-DE"/>
        </w:rPr>
        <w:t>absolute Unruhe</w:t>
      </w:r>
      <w:r w:rsidRPr="0015271A">
        <w:rPr>
          <w:rFonts w:ascii="Times New Roman" w:eastAsia="Times New Roman" w:hAnsi="Times New Roman" w:cs="Times New Roman"/>
          <w:color w:val="000000"/>
          <w:lang w:val="de-DE"/>
        </w:rPr>
        <w:t xml:space="preserve">, o di </w:t>
      </w:r>
      <w:r w:rsidRPr="0015271A">
        <w:rPr>
          <w:rFonts w:ascii="Times New Roman" w:eastAsia="Times New Roman" w:hAnsi="Times New Roman" w:cs="Times New Roman"/>
          <w:color w:val="000000"/>
        </w:rPr>
        <w:t>quell’assoluta negatività, che determina il negarsi dell’Assoluto, il suo porsi come l’altro da sé</w:t>
      </w:r>
      <w:r>
        <w:rPr>
          <w:rFonts w:ascii="Times New Roman" w:eastAsia="Times New Roman" w:hAnsi="Times New Roman" w:cs="Times New Roman"/>
          <w:color w:val="000000"/>
        </w:rPr>
        <w:t xml:space="preserve"> e il suo riaffermarsi come autou</w:t>
      </w:r>
      <w:r w:rsidRPr="0015271A">
        <w:rPr>
          <w:rFonts w:ascii="Times New Roman" w:eastAsia="Times New Roman" w:hAnsi="Times New Roman" w:cs="Times New Roman"/>
          <w:color w:val="000000"/>
        </w:rPr>
        <w:t xml:space="preserve">guaglianza assoluta. Sempre </w:t>
      </w:r>
      <w:r w:rsidRPr="00FD60BF">
        <w:rPr>
          <w:rFonts w:ascii="Times New Roman" w:eastAsia="Times New Roman" w:hAnsi="Times New Roman" w:cs="Times New Roman"/>
          <w:color w:val="000000"/>
        </w:rPr>
        <w:t xml:space="preserve">utilizzando il linguaggio della metafisica jenese, si può dire che è questa inquietudine che porta l’infinità a </w:t>
      </w:r>
      <w:r w:rsidRPr="00FD60BF">
        <w:rPr>
          <w:rFonts w:ascii="Times New Roman" w:eastAsia="Times New Roman" w:hAnsi="Times New Roman" w:cs="Times New Roman"/>
          <w:i/>
          <w:color w:val="000000"/>
        </w:rPr>
        <w:t>cadere</w:t>
      </w:r>
      <w:r w:rsidRPr="00FD60BF">
        <w:rPr>
          <w:rFonts w:ascii="Times New Roman" w:eastAsia="Times New Roman" w:hAnsi="Times New Roman" w:cs="Times New Roman"/>
          <w:color w:val="000000"/>
        </w:rPr>
        <w:t>, a porsi come natura e a tornare a sé come spirito</w:t>
      </w:r>
      <w:r w:rsidRPr="00FD60BF">
        <w:rPr>
          <w:rStyle w:val="Rimandonotaapidipagina"/>
          <w:rFonts w:ascii="Times New Roman" w:eastAsia="Times New Roman" w:hAnsi="Times New Roman" w:cs="Times New Roman"/>
          <w:color w:val="000000"/>
        </w:rPr>
        <w:footnoteReference w:id="357"/>
      </w:r>
      <w:r w:rsidRPr="00FD60BF">
        <w:rPr>
          <w:rFonts w:ascii="Times New Roman" w:eastAsia="Times New Roman" w:hAnsi="Times New Roman" w:cs="Times New Roman"/>
          <w:color w:val="000000"/>
        </w:rPr>
        <w:t xml:space="preserve">. Come abbiamo visto nel capitolo precedente, è il pensiero di Böhme, inserito in un’ampia trama di riferimenti a Kant, Schelling e Spinoza, che ha </w:t>
      </w:r>
      <w:r w:rsidR="00351297" w:rsidRPr="00FD60BF">
        <w:rPr>
          <w:rFonts w:ascii="Times New Roman" w:eastAsia="Times New Roman" w:hAnsi="Times New Roman" w:cs="Times New Roman"/>
          <w:color w:val="000000"/>
        </w:rPr>
        <w:t>contribuito alla formulazione hegeliana di</w:t>
      </w:r>
      <w:r w:rsidRPr="00FD60BF">
        <w:rPr>
          <w:rFonts w:ascii="Times New Roman" w:eastAsia="Times New Roman" w:hAnsi="Times New Roman" w:cs="Times New Roman"/>
          <w:color w:val="000000"/>
        </w:rPr>
        <w:t xml:space="preserve"> una teoria della soggettività assoluta libera dalla finitezza del modello fichtiano di Io</w:t>
      </w:r>
      <w:r w:rsidR="00FD60BF" w:rsidRPr="00FD60BF">
        <w:rPr>
          <w:rFonts w:ascii="Times New Roman" w:eastAsia="Times New Roman" w:hAnsi="Times New Roman" w:cs="Times New Roman"/>
          <w:color w:val="000000"/>
        </w:rPr>
        <w:t xml:space="preserve"> (</w:t>
      </w:r>
      <w:r w:rsidR="00FD60BF" w:rsidRPr="00FD60BF">
        <w:rPr>
          <w:rFonts w:ascii="Times New Roman" w:eastAsia="Times New Roman" w:hAnsi="Times New Roman" w:cs="Times New Roman"/>
          <w:i/>
          <w:color w:val="000000"/>
        </w:rPr>
        <w:t>Metaphysik der Subjektivität)</w:t>
      </w:r>
      <w:r w:rsidRPr="00FD60BF">
        <w:rPr>
          <w:rFonts w:ascii="Times New Roman" w:eastAsia="Times New Roman" w:hAnsi="Times New Roman" w:cs="Times New Roman"/>
          <w:color w:val="000000"/>
        </w:rPr>
        <w:t>.</w:t>
      </w:r>
      <w:r w:rsidRPr="0015271A">
        <w:rPr>
          <w:rFonts w:ascii="Times New Roman" w:eastAsia="Times New Roman" w:hAnsi="Times New Roman" w:cs="Times New Roman"/>
          <w:color w:val="000000"/>
        </w:rPr>
        <w:t xml:space="preserve"> </w:t>
      </w:r>
      <w:r w:rsidRPr="00B63DD8">
        <w:rPr>
          <w:rFonts w:ascii="Times New Roman" w:eastAsia="Times New Roman" w:hAnsi="Times New Roman" w:cs="Times New Roman"/>
          <w:color w:val="000000"/>
        </w:rPr>
        <w:t xml:space="preserve">Da questo punto di vista, la </w:t>
      </w:r>
      <w:r w:rsidRPr="00B63DD8">
        <w:rPr>
          <w:rFonts w:ascii="Times New Roman" w:eastAsia="Times New Roman" w:hAnsi="Times New Roman" w:cs="Times New Roman"/>
          <w:i/>
          <w:color w:val="000000"/>
        </w:rPr>
        <w:t>Phänomenologie des Geistes</w:t>
      </w:r>
      <w:r w:rsidRPr="00B63DD8">
        <w:rPr>
          <w:rFonts w:ascii="Times New Roman" w:eastAsia="Times New Roman" w:hAnsi="Times New Roman" w:cs="Times New Roman"/>
          <w:color w:val="000000"/>
        </w:rPr>
        <w:t xml:space="preserve"> non fa altro che testimoniare l’inscindibilità dell’</w:t>
      </w:r>
      <w:r w:rsidRPr="00B63DD8">
        <w:rPr>
          <w:rFonts w:ascii="Times New Roman" w:eastAsia="Times New Roman" w:hAnsi="Times New Roman" w:cs="Times New Roman"/>
          <w:i/>
          <w:color w:val="000000"/>
        </w:rPr>
        <w:t>Unruhe</w:t>
      </w:r>
      <w:r w:rsidRPr="00B63DD8">
        <w:rPr>
          <w:rFonts w:ascii="Times New Roman" w:eastAsia="Times New Roman" w:hAnsi="Times New Roman" w:cs="Times New Roman"/>
          <w:color w:val="000000"/>
        </w:rPr>
        <w:t xml:space="preserve"> (negatività assoluta) con la </w:t>
      </w:r>
      <w:r w:rsidRPr="00B63DD8">
        <w:rPr>
          <w:rFonts w:ascii="Times New Roman" w:eastAsia="Times New Roman" w:hAnsi="Times New Roman" w:cs="Times New Roman"/>
          <w:i/>
          <w:color w:val="000000"/>
        </w:rPr>
        <w:t>Zorn Gottes</w:t>
      </w:r>
      <w:r w:rsidRPr="00B63DD8">
        <w:rPr>
          <w:rFonts w:ascii="Times New Roman" w:eastAsia="Times New Roman" w:hAnsi="Times New Roman" w:cs="Times New Roman"/>
          <w:color w:val="000000"/>
        </w:rPr>
        <w:t xml:space="preserve"> e l’</w:t>
      </w:r>
      <w:r w:rsidRPr="00B63DD8">
        <w:rPr>
          <w:rFonts w:ascii="Times New Roman" w:eastAsia="Times New Roman" w:hAnsi="Times New Roman" w:cs="Times New Roman"/>
          <w:i/>
          <w:color w:val="000000"/>
        </w:rPr>
        <w:t>Abfall</w:t>
      </w:r>
      <w:r w:rsidRPr="00B63DD8">
        <w:rPr>
          <w:rFonts w:ascii="Times New Roman" w:eastAsia="Times New Roman" w:hAnsi="Times New Roman" w:cs="Times New Roman"/>
          <w:color w:val="000000"/>
        </w:rPr>
        <w:t xml:space="preserve"> </w:t>
      </w:r>
      <w:r w:rsidRPr="00B63DD8">
        <w:rPr>
          <w:rFonts w:ascii="Times New Roman" w:eastAsia="Times New Roman" w:hAnsi="Times New Roman" w:cs="Times New Roman"/>
          <w:i/>
          <w:color w:val="000000"/>
        </w:rPr>
        <w:t>Lucifers</w:t>
      </w:r>
      <w:r w:rsidRPr="00B63DD8">
        <w:rPr>
          <w:rFonts w:ascii="Times New Roman" w:eastAsia="Times New Roman" w:hAnsi="Times New Roman" w:cs="Times New Roman"/>
          <w:color w:val="000000"/>
        </w:rPr>
        <w:t>.</w:t>
      </w:r>
      <w:r w:rsidRPr="00F410E7">
        <w:rPr>
          <w:rFonts w:ascii="Times New Roman" w:eastAsia="Times New Roman" w:hAnsi="Times New Roman" w:cs="Times New Roman"/>
          <w:color w:val="000000"/>
        </w:rPr>
        <w:t xml:space="preserve"> </w:t>
      </w:r>
      <w:r w:rsidRPr="0079766A">
        <w:rPr>
          <w:rFonts w:ascii="Times New Roman" w:eastAsia="Times New Roman" w:hAnsi="Times New Roman" w:cs="Times New Roman"/>
          <w:color w:val="000000"/>
        </w:rPr>
        <w:t>Questo specifico modo d’intendere la negatività, ossia come negatività interiore, non esteriore, del pensie</w:t>
      </w:r>
      <w:r>
        <w:rPr>
          <w:rFonts w:ascii="Times New Roman" w:eastAsia="Times New Roman" w:hAnsi="Times New Roman" w:cs="Times New Roman"/>
          <w:color w:val="000000"/>
        </w:rPr>
        <w:t>ro</w:t>
      </w:r>
      <w:r w:rsidRPr="0079766A">
        <w:rPr>
          <w:rFonts w:ascii="Times New Roman" w:eastAsia="Times New Roman" w:hAnsi="Times New Roman" w:cs="Times New Roman"/>
          <w:color w:val="000000"/>
        </w:rPr>
        <w:t>, è ben altra cosa rispetto alla negatività senza requie del divenire. Il testo di Nancy presuppone, senza mostrarne la specificità, proprio quest’ultima accezione d’</w:t>
      </w:r>
      <w:r w:rsidRPr="0079766A">
        <w:rPr>
          <w:rFonts w:ascii="Times New Roman" w:eastAsia="Times New Roman" w:hAnsi="Times New Roman" w:cs="Times New Roman"/>
          <w:i/>
          <w:color w:val="000000"/>
        </w:rPr>
        <w:t>Unruhe</w:t>
      </w:r>
      <w:r w:rsidRPr="0079766A">
        <w:rPr>
          <w:rFonts w:ascii="Times New Roman" w:eastAsia="Times New Roman" w:hAnsi="Times New Roman" w:cs="Times New Roman"/>
          <w:color w:val="000000"/>
        </w:rPr>
        <w:t xml:space="preserve">. Non soltanto la differenza fra le due determinazioni d’irrequietezza, ma anche la genesi storico-concettuale di questa macrocategoria hegeliana, viene del tutto a mancare ne </w:t>
      </w:r>
      <w:r w:rsidRPr="0079766A">
        <w:rPr>
          <w:rFonts w:ascii="Times New Roman" w:eastAsia="Times New Roman" w:hAnsi="Times New Roman" w:cs="Times New Roman"/>
          <w:i/>
          <w:color w:val="000000"/>
        </w:rPr>
        <w:t>L’inquiétude du négatif</w:t>
      </w:r>
      <w:r w:rsidRPr="0079766A">
        <w:rPr>
          <w:rFonts w:ascii="Times New Roman" w:eastAsia="Times New Roman" w:hAnsi="Times New Roman" w:cs="Times New Roman"/>
          <w:color w:val="000000"/>
        </w:rPr>
        <w:t xml:space="preserve">. Nancy non si occupa minimamente degli </w:t>
      </w:r>
      <w:r w:rsidRPr="0079766A">
        <w:rPr>
          <w:rFonts w:ascii="Times New Roman" w:eastAsia="Times New Roman" w:hAnsi="Times New Roman" w:cs="Times New Roman"/>
          <w:i/>
          <w:color w:val="000000"/>
          <w:lang w:val="de-DE"/>
        </w:rPr>
        <w:t>Jenaer Schriften</w:t>
      </w:r>
      <w:r w:rsidRPr="0079766A">
        <w:rPr>
          <w:rFonts w:ascii="Times New Roman" w:eastAsia="Times New Roman" w:hAnsi="Times New Roman" w:cs="Times New Roman"/>
          <w:color w:val="000000"/>
        </w:rPr>
        <w:t xml:space="preserve"> e, così facendo, non mette a fuoco il retroterra speculativo dell’</w:t>
      </w:r>
      <w:r w:rsidRPr="0079766A">
        <w:rPr>
          <w:rFonts w:ascii="Times New Roman" w:eastAsia="Times New Roman" w:hAnsi="Times New Roman" w:cs="Times New Roman"/>
          <w:i/>
          <w:color w:val="000000"/>
        </w:rPr>
        <w:t>Unruhe</w:t>
      </w:r>
      <w:r w:rsidRPr="0079766A">
        <w:rPr>
          <w:rFonts w:ascii="Times New Roman" w:eastAsia="Times New Roman" w:hAnsi="Times New Roman" w:cs="Times New Roman"/>
          <w:color w:val="000000"/>
        </w:rPr>
        <w:t xml:space="preserve"> hegeliano. Oltre a ciò – e questo è, senza ombra di dubbio, l’aspetto più problematico della ricostruzione di Nancy – non si riporta, e tantomeno si commenta, quel passo della </w:t>
      </w:r>
      <w:r w:rsidRPr="0079766A">
        <w:rPr>
          <w:rFonts w:ascii="Times New Roman" w:eastAsia="Times New Roman" w:hAnsi="Times New Roman" w:cs="Times New Roman"/>
          <w:i/>
          <w:color w:val="000000"/>
        </w:rPr>
        <w:t>Wissenschaft der Logik</w:t>
      </w:r>
      <w:r w:rsidRPr="0079766A">
        <w:rPr>
          <w:rFonts w:ascii="Times New Roman" w:eastAsia="Times New Roman" w:hAnsi="Times New Roman" w:cs="Times New Roman"/>
          <w:color w:val="000000"/>
        </w:rPr>
        <w:t xml:space="preserve"> in cui Hegel delinea una nozione d’</w:t>
      </w:r>
      <w:r w:rsidRPr="0079766A">
        <w:rPr>
          <w:rFonts w:ascii="Times New Roman" w:eastAsia="Times New Roman" w:hAnsi="Times New Roman" w:cs="Times New Roman"/>
          <w:i/>
          <w:color w:val="000000"/>
        </w:rPr>
        <w:t>Unruhe</w:t>
      </w:r>
      <w:r w:rsidRPr="0079766A">
        <w:rPr>
          <w:rFonts w:ascii="Times New Roman" w:eastAsia="Times New Roman" w:hAnsi="Times New Roman" w:cs="Times New Roman"/>
          <w:color w:val="000000"/>
        </w:rPr>
        <w:t xml:space="preserve"> contigua all’</w:t>
      </w:r>
      <w:r w:rsidRPr="0079766A">
        <w:rPr>
          <w:rFonts w:ascii="Times New Roman" w:eastAsia="Times New Roman" w:hAnsi="Times New Roman" w:cs="Times New Roman"/>
          <w:i/>
          <w:color w:val="000000"/>
        </w:rPr>
        <w:t xml:space="preserve">absolute Unruhe </w:t>
      </w:r>
      <w:r w:rsidRPr="0079766A">
        <w:rPr>
          <w:rFonts w:ascii="Times New Roman" w:eastAsia="Times New Roman" w:hAnsi="Times New Roman" w:cs="Times New Roman"/>
          <w:color w:val="000000"/>
        </w:rPr>
        <w:t xml:space="preserve">del </w:t>
      </w:r>
      <w:r w:rsidRPr="000A035E">
        <w:rPr>
          <w:rFonts w:ascii="Times New Roman" w:eastAsia="Times New Roman" w:hAnsi="Times New Roman" w:cs="Times New Roman"/>
          <w:color w:val="000000"/>
        </w:rPr>
        <w:t xml:space="preserve">periodo jenese. Se si vuole comprendere appieno la cosiddetta </w:t>
      </w:r>
      <w:r w:rsidRPr="000A035E">
        <w:rPr>
          <w:rFonts w:ascii="Times New Roman" w:eastAsia="Times New Roman" w:hAnsi="Times New Roman" w:cs="Times New Roman"/>
          <w:i/>
          <w:color w:val="000000"/>
        </w:rPr>
        <w:t>inquiétude du négatif</w:t>
      </w:r>
      <w:r w:rsidRPr="000A035E">
        <w:rPr>
          <w:rFonts w:ascii="Times New Roman" w:eastAsia="Times New Roman" w:hAnsi="Times New Roman" w:cs="Times New Roman"/>
          <w:color w:val="000000"/>
        </w:rPr>
        <w:t>, non è sufficiente trattarla come una nozione immediatamente fruibile; piuttosto si deve cercare di ricostruirne l’evoluzione e le oscillazioni più o meno percettibili di significato.</w:t>
      </w:r>
      <w:r w:rsidRPr="0079766A">
        <w:rPr>
          <w:rFonts w:ascii="Times New Roman" w:eastAsia="Times New Roman" w:hAnsi="Times New Roman" w:cs="Times New Roman"/>
          <w:color w:val="000000"/>
        </w:rPr>
        <w:t xml:space="preserve"> </w:t>
      </w:r>
    </w:p>
    <w:p w14:paraId="45C1ADF5" w14:textId="04199FBF" w:rsidR="001B7751" w:rsidRPr="005324D0" w:rsidRDefault="001B7751" w:rsidP="001B7751">
      <w:pPr>
        <w:pStyle w:val="Paragrafoelenco"/>
        <w:spacing w:line="360" w:lineRule="auto"/>
        <w:ind w:left="0" w:firstLine="567"/>
        <w:jc w:val="both"/>
        <w:rPr>
          <w:rFonts w:ascii="Times New Roman" w:eastAsia="Times New Roman" w:hAnsi="Times New Roman" w:cs="Times New Roman"/>
          <w:color w:val="000000"/>
        </w:rPr>
      </w:pPr>
      <w:r w:rsidRPr="00506530">
        <w:rPr>
          <w:rFonts w:ascii="Times New Roman" w:eastAsia="Times New Roman" w:hAnsi="Times New Roman" w:cs="Times New Roman"/>
          <w:color w:val="000000"/>
        </w:rPr>
        <w:t xml:space="preserve">Dal momento che la negazione dismette la propria </w:t>
      </w:r>
      <w:r w:rsidRPr="007A3CC4">
        <w:rPr>
          <w:rFonts w:ascii="Times New Roman" w:eastAsia="Times New Roman" w:hAnsi="Times New Roman" w:cs="Times New Roman"/>
          <w:i/>
          <w:color w:val="000000"/>
        </w:rPr>
        <w:t>immediatezza</w:t>
      </w:r>
      <w:r w:rsidRPr="00506530">
        <w:rPr>
          <w:rFonts w:ascii="Times New Roman" w:eastAsia="Times New Roman" w:hAnsi="Times New Roman" w:cs="Times New Roman"/>
          <w:color w:val="000000"/>
        </w:rPr>
        <w:t xml:space="preserve">, sarebbe legittimo aspettarsi un’introduzione del tema in una sfera logica superiore alla </w:t>
      </w:r>
      <w:r w:rsidRPr="00097A72">
        <w:rPr>
          <w:rFonts w:ascii="Times New Roman" w:eastAsia="Times New Roman" w:hAnsi="Times New Roman" w:cs="Times New Roman"/>
          <w:i/>
          <w:color w:val="000000"/>
          <w:lang w:val="de-DE"/>
        </w:rPr>
        <w:t>Logik des Seyns</w:t>
      </w:r>
      <w:r w:rsidRPr="00097A72">
        <w:rPr>
          <w:rFonts w:ascii="Times New Roman" w:eastAsia="Times New Roman" w:hAnsi="Times New Roman" w:cs="Times New Roman"/>
          <w:color w:val="000000"/>
          <w:lang w:val="de-DE"/>
        </w:rPr>
        <w:t>.</w:t>
      </w:r>
      <w:r w:rsidRPr="00506530">
        <w:rPr>
          <w:rFonts w:ascii="Times New Roman" w:eastAsia="Times New Roman" w:hAnsi="Times New Roman" w:cs="Times New Roman"/>
          <w:color w:val="000000"/>
        </w:rPr>
        <w:t xml:space="preserve"> La </w:t>
      </w:r>
      <w:r w:rsidRPr="00506530">
        <w:rPr>
          <w:rFonts w:ascii="Times New Roman" w:eastAsia="Times New Roman" w:hAnsi="Times New Roman" w:cs="Times New Roman"/>
          <w:i/>
          <w:color w:val="000000"/>
        </w:rPr>
        <w:t>Wesenslogik</w:t>
      </w:r>
      <w:r w:rsidRPr="00506530">
        <w:rPr>
          <w:rFonts w:ascii="Times New Roman" w:eastAsia="Times New Roman" w:hAnsi="Times New Roman" w:cs="Times New Roman"/>
          <w:color w:val="000000"/>
        </w:rPr>
        <w:t>, pertanto, sembrerebbe essere la c</w:t>
      </w:r>
      <w:r w:rsidR="00EB7208">
        <w:rPr>
          <w:rFonts w:ascii="Times New Roman" w:eastAsia="Times New Roman" w:hAnsi="Times New Roman" w:cs="Times New Roman"/>
          <w:color w:val="000000"/>
        </w:rPr>
        <w:t xml:space="preserve">ornice speculativa adeguata per </w:t>
      </w:r>
      <w:r w:rsidRPr="00506530">
        <w:rPr>
          <w:rFonts w:ascii="Times New Roman" w:eastAsia="Times New Roman" w:hAnsi="Times New Roman" w:cs="Times New Roman"/>
          <w:color w:val="000000"/>
        </w:rPr>
        <w:t xml:space="preserve">discutere una nozione d’irrequietezza che toglie la funzione meramente </w:t>
      </w:r>
      <w:r w:rsidRPr="00BC1629">
        <w:rPr>
          <w:rFonts w:ascii="Times New Roman" w:eastAsia="Times New Roman" w:hAnsi="Times New Roman" w:cs="Times New Roman"/>
          <w:i/>
          <w:color w:val="000000"/>
        </w:rPr>
        <w:t>esteriore</w:t>
      </w:r>
      <w:r w:rsidRPr="00BC1629">
        <w:rPr>
          <w:rFonts w:ascii="Times New Roman" w:eastAsia="Times New Roman" w:hAnsi="Times New Roman" w:cs="Times New Roman"/>
          <w:color w:val="000000"/>
        </w:rPr>
        <w:t xml:space="preserve"> e</w:t>
      </w:r>
      <w:r w:rsidRPr="00BC1629">
        <w:rPr>
          <w:rFonts w:ascii="Times New Roman" w:eastAsia="Times New Roman" w:hAnsi="Times New Roman" w:cs="Times New Roman"/>
          <w:i/>
          <w:color w:val="000000"/>
        </w:rPr>
        <w:t xml:space="preserve"> transeunte</w:t>
      </w:r>
      <w:r>
        <w:rPr>
          <w:rFonts w:ascii="Times New Roman" w:eastAsia="Times New Roman" w:hAnsi="Times New Roman" w:cs="Times New Roman"/>
          <w:i/>
          <w:color w:val="000000"/>
        </w:rPr>
        <w:t xml:space="preserve"> </w:t>
      </w:r>
      <w:r w:rsidRPr="00506530">
        <w:rPr>
          <w:rFonts w:ascii="Times New Roman" w:eastAsia="Times New Roman" w:hAnsi="Times New Roman" w:cs="Times New Roman"/>
          <w:color w:val="000000"/>
        </w:rPr>
        <w:t>del negativo. In realtà, Hegel, con una mossa spiazzante, discute questa forma d’</w:t>
      </w:r>
      <w:r w:rsidRPr="00506530">
        <w:rPr>
          <w:rFonts w:ascii="Times New Roman" w:eastAsia="Times New Roman" w:hAnsi="Times New Roman" w:cs="Times New Roman"/>
          <w:i/>
          <w:color w:val="000000"/>
        </w:rPr>
        <w:t>Unruhe</w:t>
      </w:r>
      <w:r w:rsidRPr="00506530">
        <w:rPr>
          <w:rFonts w:ascii="Times New Roman" w:eastAsia="Times New Roman" w:hAnsi="Times New Roman" w:cs="Times New Roman"/>
          <w:color w:val="000000"/>
        </w:rPr>
        <w:t xml:space="preserve"> in chiusura dell’</w:t>
      </w:r>
      <w:r w:rsidRPr="00506530">
        <w:rPr>
          <w:rFonts w:ascii="Times New Roman" w:eastAsia="Times New Roman" w:hAnsi="Times New Roman" w:cs="Times New Roman"/>
          <w:i/>
          <w:color w:val="000000"/>
        </w:rPr>
        <w:t>Anmerkung</w:t>
      </w:r>
      <w:r w:rsidRPr="00506530">
        <w:rPr>
          <w:rFonts w:ascii="Times New Roman" w:eastAsia="Times New Roman" w:hAnsi="Times New Roman" w:cs="Times New Roman"/>
          <w:color w:val="000000"/>
        </w:rPr>
        <w:t xml:space="preserve"> alla </w:t>
      </w:r>
      <w:r w:rsidRPr="00506530">
        <w:rPr>
          <w:rFonts w:ascii="Times New Roman" w:eastAsia="Times New Roman" w:hAnsi="Times New Roman" w:cs="Times New Roman"/>
          <w:i/>
          <w:color w:val="000000"/>
        </w:rPr>
        <w:t>Qualität</w:t>
      </w:r>
      <w:r w:rsidRPr="00506530">
        <w:rPr>
          <w:rFonts w:ascii="Times New Roman" w:eastAsia="Times New Roman" w:hAnsi="Times New Roman" w:cs="Times New Roman"/>
          <w:color w:val="000000"/>
        </w:rPr>
        <w:t>. Vista l’importanza di questo passaggio argomentativo, cito per intero le battute finali dell’annotazione hegeliana:</w:t>
      </w:r>
    </w:p>
    <w:p w14:paraId="323B7682" w14:textId="77777777" w:rsidR="001B7751" w:rsidRDefault="001B7751" w:rsidP="001B7751">
      <w:pPr>
        <w:pStyle w:val="Paragrafoelenco"/>
        <w:spacing w:line="360" w:lineRule="auto"/>
        <w:ind w:left="708" w:firstLine="567"/>
        <w:jc w:val="both"/>
        <w:rPr>
          <w:rFonts w:ascii="Times New Roman" w:eastAsia="Times New Roman" w:hAnsi="Times New Roman" w:cs="Times New Roman"/>
          <w:color w:val="000000"/>
        </w:rPr>
      </w:pPr>
    </w:p>
    <w:p w14:paraId="2E3E1F49" w14:textId="77777777" w:rsidR="001B7751" w:rsidRPr="00A27071" w:rsidRDefault="001B7751" w:rsidP="001B7751">
      <w:pPr>
        <w:pStyle w:val="Paragrafoelenco"/>
        <w:spacing w:line="360" w:lineRule="auto"/>
        <w:ind w:left="567" w:firstLine="567"/>
        <w:jc w:val="both"/>
        <w:rPr>
          <w:rFonts w:ascii="Times New Roman" w:eastAsia="Times New Roman" w:hAnsi="Times New Roman" w:cs="Times New Roman"/>
          <w:color w:val="000000"/>
          <w:sz w:val="20"/>
          <w:szCs w:val="20"/>
        </w:rPr>
      </w:pPr>
      <w:r w:rsidRPr="00A27071">
        <w:rPr>
          <w:rFonts w:ascii="Times New Roman" w:eastAsia="Times New Roman" w:hAnsi="Times New Roman" w:cs="Times New Roman"/>
          <w:color w:val="000000"/>
          <w:sz w:val="20"/>
          <w:szCs w:val="20"/>
        </w:rPr>
        <w:t>«</w:t>
      </w:r>
      <w:r w:rsidRPr="00A27071">
        <w:rPr>
          <w:rFonts w:ascii="Times New Roman" w:eastAsia="Times New Roman" w:hAnsi="Times New Roman" w:cs="Times New Roman"/>
          <w:color w:val="000000"/>
          <w:sz w:val="20"/>
          <w:szCs w:val="20"/>
          <w:lang w:val="de-DE"/>
        </w:rPr>
        <w:t>Die Qualierung oder Inqualierung einer in die Tiefe aber in eine trübe Tiefe gehenden Philosophie, bezieht sich auf die Bestimmtheit, insofern sie an sich, aber zugleich ein Anderes an sich ist; oder auf die nähere Natur des Gegensatzes, wie er im Wesen ist, insofern er die innere Natur der Qualität und wesentlich ihre Selbstbewegung in sich ausmacht. Die Qualierung bedeutet daher in jener Philosophie die Bewegung einer Bestimmtheit in ihr selbst, insofern sie in ihrer negativen Natur (ihr Qual) sich aus anderem setzt und befestigt, überhaupt die Unruhe ihrer an ihr selbst, nach der sie nur im Kampfe sich hervorbringt und erhält</w:t>
      </w:r>
      <w:r w:rsidRPr="00A27071">
        <w:rPr>
          <w:rFonts w:ascii="Times New Roman" w:eastAsia="Times New Roman" w:hAnsi="Times New Roman" w:cs="Times New Roman"/>
          <w:color w:val="000000"/>
          <w:sz w:val="20"/>
          <w:szCs w:val="20"/>
        </w:rPr>
        <w:t>»</w:t>
      </w:r>
      <w:r w:rsidRPr="00A27071">
        <w:rPr>
          <w:rStyle w:val="Rimandonotaapidipagina"/>
          <w:rFonts w:ascii="Times New Roman" w:eastAsia="Times New Roman" w:hAnsi="Times New Roman" w:cs="Times New Roman"/>
          <w:color w:val="000000"/>
          <w:sz w:val="20"/>
          <w:szCs w:val="20"/>
        </w:rPr>
        <w:footnoteReference w:id="358"/>
      </w:r>
      <w:r w:rsidRPr="00A27071">
        <w:rPr>
          <w:rFonts w:ascii="Times New Roman" w:eastAsia="Times New Roman" w:hAnsi="Times New Roman" w:cs="Times New Roman"/>
          <w:color w:val="000000"/>
          <w:sz w:val="20"/>
          <w:szCs w:val="20"/>
        </w:rPr>
        <w:t>.</w:t>
      </w:r>
    </w:p>
    <w:p w14:paraId="204306FE" w14:textId="77777777" w:rsidR="001B7751" w:rsidRPr="00831E68" w:rsidRDefault="001B7751" w:rsidP="001B7751">
      <w:pPr>
        <w:pStyle w:val="Paragrafoelenco"/>
        <w:spacing w:line="360" w:lineRule="auto"/>
        <w:ind w:left="1275" w:firstLine="567"/>
        <w:jc w:val="both"/>
        <w:rPr>
          <w:rFonts w:ascii="Times New Roman" w:eastAsia="Times New Roman" w:hAnsi="Times New Roman" w:cs="Times New Roman"/>
          <w:color w:val="000000"/>
        </w:rPr>
      </w:pPr>
    </w:p>
    <w:p w14:paraId="466FFF16" w14:textId="04188A95" w:rsidR="001B7751" w:rsidRPr="000A035E" w:rsidRDefault="001B7751" w:rsidP="001B7751">
      <w:pPr>
        <w:pStyle w:val="Paragrafoelenco"/>
        <w:spacing w:line="360" w:lineRule="auto"/>
        <w:ind w:left="0" w:firstLine="567"/>
        <w:jc w:val="both"/>
        <w:rPr>
          <w:rFonts w:ascii="Times New Roman" w:eastAsia="Times New Roman" w:hAnsi="Times New Roman" w:cs="Times New Roman"/>
          <w:color w:val="000000"/>
        </w:rPr>
      </w:pPr>
      <w:r w:rsidRPr="0015271A">
        <w:rPr>
          <w:rFonts w:ascii="Times New Roman" w:eastAsia="Times New Roman" w:hAnsi="Times New Roman" w:cs="Times New Roman"/>
          <w:color w:val="000000"/>
        </w:rPr>
        <w:t>L’</w:t>
      </w:r>
      <w:r w:rsidRPr="0015271A">
        <w:rPr>
          <w:rFonts w:ascii="Times New Roman" w:eastAsia="Times New Roman" w:hAnsi="Times New Roman" w:cs="Times New Roman"/>
          <w:i/>
          <w:color w:val="000000"/>
        </w:rPr>
        <w:t>Inqualierung</w:t>
      </w:r>
      <w:r w:rsidRPr="0015271A">
        <w:rPr>
          <w:rFonts w:ascii="Times New Roman" w:eastAsia="Times New Roman" w:hAnsi="Times New Roman" w:cs="Times New Roman"/>
          <w:color w:val="000000"/>
        </w:rPr>
        <w:t xml:space="preserve"> è una determinazione categoriale, frutto di un pensare torbido, non ancora rischiarato dal conc</w:t>
      </w:r>
      <w:r w:rsidR="00351297">
        <w:rPr>
          <w:rFonts w:ascii="Times New Roman" w:eastAsia="Times New Roman" w:hAnsi="Times New Roman" w:cs="Times New Roman"/>
          <w:color w:val="000000"/>
        </w:rPr>
        <w:t>etto, di cui non si dichiara l’</w:t>
      </w:r>
      <w:r w:rsidR="00021560">
        <w:rPr>
          <w:rFonts w:ascii="Times New Roman" w:eastAsia="Times New Roman" w:hAnsi="Times New Roman" w:cs="Times New Roman"/>
          <w:color w:val="000000"/>
        </w:rPr>
        <w:t>autore</w:t>
      </w:r>
      <w:r w:rsidRPr="0015271A">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A quest’omissione, Hegel sopperisce nella riedizione del 1832 della </w:t>
      </w:r>
      <w:r w:rsidRPr="007502E0">
        <w:rPr>
          <w:rFonts w:ascii="Times New Roman" w:eastAsia="Times New Roman" w:hAnsi="Times New Roman" w:cs="Times New Roman"/>
          <w:i/>
          <w:color w:val="000000"/>
        </w:rPr>
        <w:t>Logik des Seyns</w:t>
      </w:r>
      <w:r>
        <w:rPr>
          <w:rFonts w:ascii="Times New Roman" w:eastAsia="Times New Roman" w:hAnsi="Times New Roman" w:cs="Times New Roman"/>
          <w:color w:val="000000"/>
        </w:rPr>
        <w:t xml:space="preserve">: quella filosofia, che getta uno sguardo nelle profondità del pensiero, è la </w:t>
      </w:r>
      <w:r w:rsidRPr="00A27071">
        <w:rPr>
          <w:rFonts w:ascii="Times New Roman" w:eastAsia="Times New Roman" w:hAnsi="Times New Roman" w:cs="Times New Roman"/>
          <w:color w:val="000000"/>
        </w:rPr>
        <w:t>«Jakob-Böhmische Philosophie»</w:t>
      </w:r>
      <w:r w:rsidRPr="00A27071">
        <w:rPr>
          <w:rStyle w:val="Rimandonotaapidipagina"/>
          <w:rFonts w:ascii="Times New Roman" w:eastAsia="Times New Roman" w:hAnsi="Times New Roman" w:cs="Times New Roman"/>
          <w:color w:val="000000"/>
        </w:rPr>
        <w:footnoteReference w:id="359"/>
      </w:r>
      <w:r w:rsidRPr="00A27071">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w:t>
      </w:r>
      <w:r w:rsidRPr="00AD2A79">
        <w:rPr>
          <w:rFonts w:ascii="Times New Roman" w:eastAsia="Times New Roman" w:hAnsi="Times New Roman" w:cs="Times New Roman"/>
          <w:color w:val="000000"/>
        </w:rPr>
        <w:t>Che cosa possiede di speculativamente pregnante la nozione d’</w:t>
      </w:r>
      <w:r w:rsidRPr="00AD2A79">
        <w:rPr>
          <w:rFonts w:ascii="Times New Roman" w:eastAsia="Times New Roman" w:hAnsi="Times New Roman" w:cs="Times New Roman"/>
          <w:i/>
          <w:color w:val="000000"/>
        </w:rPr>
        <w:t>Inqualierung</w:t>
      </w:r>
      <w:r w:rsidRPr="00AD2A79">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Rispetto alla concezione della </w:t>
      </w:r>
      <w:r w:rsidRPr="002D5A3E">
        <w:rPr>
          <w:rFonts w:ascii="Times New Roman" w:eastAsia="Times New Roman" w:hAnsi="Times New Roman" w:cs="Times New Roman"/>
          <w:i/>
          <w:color w:val="000000"/>
          <w:lang w:val="de-DE"/>
        </w:rPr>
        <w:t>Qualität</w:t>
      </w:r>
      <w:r w:rsidRPr="002D5A3E">
        <w:rPr>
          <w:rFonts w:ascii="Times New Roman" w:eastAsia="Times New Roman" w:hAnsi="Times New Roman" w:cs="Times New Roman"/>
          <w:color w:val="000000"/>
          <w:lang w:val="de-DE"/>
        </w:rPr>
        <w:t>,</w:t>
      </w:r>
      <w:r>
        <w:rPr>
          <w:rFonts w:ascii="Times New Roman" w:eastAsia="Times New Roman" w:hAnsi="Times New Roman" w:cs="Times New Roman"/>
          <w:color w:val="000000"/>
        </w:rPr>
        <w:t xml:space="preserve"> la nozione </w:t>
      </w:r>
      <w:r w:rsidRPr="009A58D6">
        <w:rPr>
          <w:rFonts w:ascii="Times New Roman" w:eastAsia="Times New Roman" w:hAnsi="Times New Roman" w:cs="Times New Roman"/>
          <w:i/>
          <w:color w:val="000000"/>
        </w:rPr>
        <w:t>d’</w:t>
      </w:r>
      <w:r>
        <w:rPr>
          <w:rFonts w:ascii="Times New Roman" w:eastAsia="Times New Roman" w:hAnsi="Times New Roman" w:cs="Times New Roman"/>
          <w:i/>
          <w:color w:val="000000"/>
        </w:rPr>
        <w:t>In</w:t>
      </w:r>
      <w:r w:rsidRPr="009A58D6">
        <w:rPr>
          <w:rFonts w:ascii="Times New Roman" w:eastAsia="Times New Roman" w:hAnsi="Times New Roman" w:cs="Times New Roman"/>
          <w:i/>
          <w:color w:val="000000"/>
        </w:rPr>
        <w:t>ualierung</w:t>
      </w:r>
      <w:r>
        <w:rPr>
          <w:rFonts w:ascii="Times New Roman" w:eastAsia="Times New Roman" w:hAnsi="Times New Roman" w:cs="Times New Roman"/>
          <w:i/>
          <w:color w:val="000000"/>
        </w:rPr>
        <w:t xml:space="preserve"> </w:t>
      </w:r>
      <w:r>
        <w:rPr>
          <w:rFonts w:ascii="Times New Roman" w:eastAsia="Times New Roman" w:hAnsi="Times New Roman" w:cs="Times New Roman"/>
          <w:color w:val="000000"/>
        </w:rPr>
        <w:t xml:space="preserve">permette di pensare l’alterità non tanto come </w:t>
      </w:r>
      <w:r w:rsidRPr="002D5A3E">
        <w:rPr>
          <w:rFonts w:ascii="Times New Roman" w:eastAsia="Times New Roman" w:hAnsi="Times New Roman" w:cs="Times New Roman"/>
          <w:i/>
          <w:color w:val="000000"/>
          <w:lang w:val="de-DE"/>
        </w:rPr>
        <w:t>Beschaffenheit</w:t>
      </w:r>
      <w:r>
        <w:rPr>
          <w:rFonts w:ascii="Times New Roman" w:eastAsia="Times New Roman" w:hAnsi="Times New Roman" w:cs="Times New Roman"/>
          <w:color w:val="000000"/>
        </w:rPr>
        <w:t xml:space="preserve">, ossia come rapporto ad un </w:t>
      </w:r>
      <w:r>
        <w:rPr>
          <w:rFonts w:ascii="Times New Roman" w:eastAsia="Times New Roman" w:hAnsi="Times New Roman" w:cs="Times New Roman"/>
          <w:i/>
          <w:color w:val="000000"/>
        </w:rPr>
        <w:t>Anderssey</w:t>
      </w:r>
      <w:r w:rsidRPr="00D47B7B">
        <w:rPr>
          <w:rFonts w:ascii="Times New Roman" w:eastAsia="Times New Roman" w:hAnsi="Times New Roman" w:cs="Times New Roman"/>
          <w:i/>
          <w:color w:val="000000"/>
        </w:rPr>
        <w:t>n</w:t>
      </w:r>
      <w:r>
        <w:rPr>
          <w:rFonts w:ascii="Times New Roman" w:eastAsia="Times New Roman" w:hAnsi="Times New Roman" w:cs="Times New Roman"/>
          <w:color w:val="000000"/>
        </w:rPr>
        <w:t xml:space="preserve"> semplicemente esterno all’essere determinato, quanto come determinazione interna del medesimo. </w:t>
      </w:r>
      <w:r w:rsidRPr="00AD2A79">
        <w:rPr>
          <w:rFonts w:ascii="Times New Roman" w:eastAsia="Times New Roman" w:hAnsi="Times New Roman" w:cs="Times New Roman"/>
          <w:color w:val="000000"/>
        </w:rPr>
        <w:t>Per di più, e questo mi sembra essere fondamentale, Hegel sostiene che questa nozione böhmiana non soltanto esplica l’altro da sé come determinazione interiore, ma precisa anche il carattere dell’opposizione (</w:t>
      </w:r>
      <w:r w:rsidRPr="00AD2A79">
        <w:rPr>
          <w:rFonts w:ascii="Times New Roman" w:eastAsia="Times New Roman" w:hAnsi="Times New Roman" w:cs="Times New Roman"/>
          <w:i/>
          <w:color w:val="000000"/>
        </w:rPr>
        <w:t>Gegensatz</w:t>
      </w:r>
      <w:r w:rsidRPr="00AD2A79">
        <w:rPr>
          <w:rFonts w:ascii="Times New Roman" w:eastAsia="Times New Roman" w:hAnsi="Times New Roman" w:cs="Times New Roman"/>
          <w:color w:val="000000"/>
        </w:rPr>
        <w:t>) in rapporto all’essenza (</w:t>
      </w:r>
      <w:r w:rsidRPr="00AD2A79">
        <w:rPr>
          <w:rFonts w:ascii="Times New Roman" w:eastAsia="Times New Roman" w:hAnsi="Times New Roman" w:cs="Times New Roman"/>
          <w:i/>
          <w:color w:val="000000"/>
        </w:rPr>
        <w:t>Wesen</w:t>
      </w:r>
      <w:r w:rsidRPr="00AD2A79">
        <w:rPr>
          <w:rFonts w:ascii="Times New Roman" w:eastAsia="Times New Roman" w:hAnsi="Times New Roman" w:cs="Times New Roman"/>
          <w:color w:val="000000"/>
        </w:rPr>
        <w:t>). Il movimento innescato dall’opposizione a</w:t>
      </w:r>
      <w:r>
        <w:rPr>
          <w:rFonts w:ascii="Times New Roman" w:eastAsia="Times New Roman" w:hAnsi="Times New Roman" w:cs="Times New Roman"/>
          <w:color w:val="000000"/>
        </w:rPr>
        <w:t>ltro non è che un auto</w:t>
      </w:r>
      <w:r w:rsidRPr="00AD2A79">
        <w:rPr>
          <w:rFonts w:ascii="Times New Roman" w:eastAsia="Times New Roman" w:hAnsi="Times New Roman" w:cs="Times New Roman"/>
          <w:color w:val="000000"/>
        </w:rPr>
        <w:t>movimento (</w:t>
      </w:r>
      <w:r w:rsidRPr="00AD2A79">
        <w:rPr>
          <w:rFonts w:ascii="Times New Roman" w:eastAsia="Times New Roman" w:hAnsi="Times New Roman" w:cs="Times New Roman"/>
          <w:i/>
          <w:color w:val="000000"/>
        </w:rPr>
        <w:t>Selbstbewegung</w:t>
      </w:r>
      <w:r w:rsidRPr="00AD2A79">
        <w:rPr>
          <w:rFonts w:ascii="Times New Roman" w:eastAsia="Times New Roman" w:hAnsi="Times New Roman" w:cs="Times New Roman"/>
          <w:color w:val="000000"/>
        </w:rPr>
        <w:t xml:space="preserve">): ciò permette di afferrare il mediarsi dell’elemento logico come dinamica riflessiva. Intesa in questi termini, la negatività è ciò che riflette quel manifestarsi dell’essenza per cui essa non è un positivo opposto ad un negativo, </w:t>
      </w:r>
      <w:r w:rsidRPr="000A035E">
        <w:rPr>
          <w:rFonts w:ascii="Times New Roman" w:eastAsia="Times New Roman" w:hAnsi="Times New Roman" w:cs="Times New Roman"/>
          <w:color w:val="000000"/>
        </w:rPr>
        <w:t xml:space="preserve">un’interiorità insensibile all’esteriorità, ma una dinamica </w:t>
      </w:r>
      <w:r w:rsidRPr="000A035E">
        <w:rPr>
          <w:rFonts w:ascii="Times New Roman" w:eastAsia="Times New Roman" w:hAnsi="Times New Roman" w:cs="Times New Roman"/>
          <w:i/>
          <w:color w:val="000000"/>
        </w:rPr>
        <w:t>contraddittoria</w:t>
      </w:r>
      <w:r w:rsidRPr="000A035E">
        <w:rPr>
          <w:rFonts w:ascii="Times New Roman" w:eastAsia="Times New Roman" w:hAnsi="Times New Roman" w:cs="Times New Roman"/>
          <w:color w:val="000000"/>
        </w:rPr>
        <w:t xml:space="preserve"> di posizionamento e di </w:t>
      </w:r>
      <w:r w:rsidR="00351297" w:rsidRPr="000A035E">
        <w:rPr>
          <w:rFonts w:ascii="Times New Roman" w:eastAsia="Times New Roman" w:hAnsi="Times New Roman" w:cs="Times New Roman"/>
          <w:color w:val="000000"/>
        </w:rPr>
        <w:t xml:space="preserve">mantenimento </w:t>
      </w:r>
      <w:r w:rsidRPr="000A035E">
        <w:rPr>
          <w:rFonts w:ascii="Times New Roman" w:eastAsia="Times New Roman" w:hAnsi="Times New Roman" w:cs="Times New Roman"/>
          <w:color w:val="000000"/>
        </w:rPr>
        <w:t>di sé nel proprio essere altro. Il prodursi e il mantenersi nell’altro da sé derivano dalla natura positiva e negativa (</w:t>
      </w:r>
      <w:r w:rsidRPr="000A035E">
        <w:rPr>
          <w:rFonts w:ascii="Times New Roman" w:eastAsia="Times New Roman" w:hAnsi="Times New Roman" w:cs="Times New Roman"/>
          <w:i/>
          <w:color w:val="000000"/>
        </w:rPr>
        <w:t>oppositiva</w:t>
      </w:r>
      <w:r w:rsidR="00351297" w:rsidRPr="000A035E">
        <w:rPr>
          <w:rFonts w:ascii="Times New Roman" w:eastAsia="Times New Roman" w:hAnsi="Times New Roman" w:cs="Times New Roman"/>
          <w:i/>
          <w:color w:val="000000"/>
        </w:rPr>
        <w:t xml:space="preserve"> </w:t>
      </w:r>
      <w:r w:rsidR="00351297" w:rsidRPr="000A035E">
        <w:rPr>
          <w:rFonts w:ascii="Times New Roman" w:eastAsia="Times New Roman" w:hAnsi="Times New Roman" w:cs="Times New Roman"/>
          <w:color w:val="000000"/>
        </w:rPr>
        <w:t>appunto</w:t>
      </w:r>
      <w:r w:rsidRPr="000A035E">
        <w:rPr>
          <w:rFonts w:ascii="Times New Roman" w:eastAsia="Times New Roman" w:hAnsi="Times New Roman" w:cs="Times New Roman"/>
          <w:color w:val="000000"/>
        </w:rPr>
        <w:t xml:space="preserve">) che il pensiero puro, a livello della </w:t>
      </w:r>
      <w:r w:rsidRPr="000A035E">
        <w:rPr>
          <w:rFonts w:ascii="Times New Roman" w:eastAsia="Times New Roman" w:hAnsi="Times New Roman" w:cs="Times New Roman"/>
          <w:i/>
          <w:color w:val="000000"/>
        </w:rPr>
        <w:t>Wesenslogik</w:t>
      </w:r>
      <w:r w:rsidRPr="000A035E">
        <w:rPr>
          <w:rFonts w:ascii="Times New Roman" w:eastAsia="Times New Roman" w:hAnsi="Times New Roman" w:cs="Times New Roman"/>
          <w:color w:val="000000"/>
        </w:rPr>
        <w:t xml:space="preserve">, progressivamente assume. E questa negatività non fa altro che rispecchiare quella </w:t>
      </w:r>
      <w:r w:rsidRPr="000A035E">
        <w:rPr>
          <w:rFonts w:ascii="Times New Roman" w:eastAsia="Times New Roman" w:hAnsi="Times New Roman" w:cs="Times New Roman"/>
          <w:i/>
          <w:color w:val="000000"/>
        </w:rPr>
        <w:t>Unruhe</w:t>
      </w:r>
      <w:r w:rsidRPr="000A035E">
        <w:rPr>
          <w:rFonts w:ascii="Times New Roman" w:eastAsia="Times New Roman" w:hAnsi="Times New Roman" w:cs="Times New Roman"/>
          <w:color w:val="000000"/>
        </w:rPr>
        <w:t xml:space="preserve"> – non altra dall’</w:t>
      </w:r>
      <w:r w:rsidRPr="000A035E">
        <w:rPr>
          <w:rFonts w:ascii="Times New Roman" w:eastAsia="Times New Roman" w:hAnsi="Times New Roman" w:cs="Times New Roman"/>
          <w:i/>
          <w:color w:val="000000"/>
        </w:rPr>
        <w:t xml:space="preserve">absolute Unruhe </w:t>
      </w:r>
      <w:r w:rsidRPr="000A035E">
        <w:rPr>
          <w:rFonts w:ascii="Times New Roman" w:eastAsia="Times New Roman" w:hAnsi="Times New Roman" w:cs="Times New Roman"/>
          <w:color w:val="000000"/>
        </w:rPr>
        <w:t>di Jena – animatrice di tutto ciò che è reale.</w:t>
      </w:r>
    </w:p>
    <w:p w14:paraId="5199CD67" w14:textId="27BB0B50" w:rsidR="001B7751" w:rsidRDefault="001B7751" w:rsidP="001B7751">
      <w:pPr>
        <w:pStyle w:val="Paragrafoelenco"/>
        <w:spacing w:line="360" w:lineRule="auto"/>
        <w:ind w:left="0" w:firstLine="567"/>
        <w:jc w:val="both"/>
        <w:rPr>
          <w:rFonts w:ascii="Times New Roman" w:eastAsia="Times New Roman" w:hAnsi="Times New Roman" w:cs="Times New Roman"/>
          <w:color w:val="000000"/>
        </w:rPr>
      </w:pPr>
      <w:r w:rsidRPr="000A035E">
        <w:rPr>
          <w:rFonts w:ascii="Times New Roman" w:eastAsia="Times New Roman" w:hAnsi="Times New Roman" w:cs="Times New Roman"/>
          <w:color w:val="000000"/>
        </w:rPr>
        <w:t>La nozione d’</w:t>
      </w:r>
      <w:r w:rsidRPr="000A035E">
        <w:rPr>
          <w:rFonts w:ascii="Times New Roman" w:eastAsia="Times New Roman" w:hAnsi="Times New Roman" w:cs="Times New Roman"/>
          <w:i/>
          <w:color w:val="000000"/>
        </w:rPr>
        <w:t>Inqualierung</w:t>
      </w:r>
      <w:r w:rsidRPr="000A035E">
        <w:rPr>
          <w:rFonts w:ascii="Times New Roman" w:eastAsia="Times New Roman" w:hAnsi="Times New Roman" w:cs="Times New Roman"/>
          <w:color w:val="000000"/>
        </w:rPr>
        <w:t xml:space="preserve"> propone e chiama in causa un’idea di negativo ben superiore al carattere immediato, irriflesso ed esteriore della negazione quale abbiamo visto nel precedente sottocapitolo. </w:t>
      </w:r>
      <w:r w:rsidRPr="000A035E">
        <w:rPr>
          <w:rFonts w:ascii="Times New Roman" w:eastAsia="Times New Roman" w:hAnsi="Times New Roman" w:cs="Times New Roman"/>
          <w:color w:val="000000"/>
          <w:lang w:val="de-DE"/>
        </w:rPr>
        <w:t>L’</w:t>
      </w:r>
      <w:r w:rsidRPr="000A035E">
        <w:rPr>
          <w:rFonts w:ascii="Times New Roman" w:eastAsia="Times New Roman" w:hAnsi="Times New Roman" w:cs="Times New Roman"/>
          <w:i/>
          <w:color w:val="000000"/>
          <w:lang w:val="de-DE"/>
        </w:rPr>
        <w:t>haltungslose Unruhe</w:t>
      </w:r>
      <w:r w:rsidRPr="000A035E">
        <w:rPr>
          <w:rFonts w:ascii="Times New Roman" w:eastAsia="Times New Roman" w:hAnsi="Times New Roman" w:cs="Times New Roman"/>
          <w:i/>
          <w:color w:val="000000"/>
        </w:rPr>
        <w:t xml:space="preserve"> </w:t>
      </w:r>
      <w:r w:rsidRPr="000A035E">
        <w:rPr>
          <w:rFonts w:ascii="Times New Roman" w:eastAsia="Times New Roman" w:hAnsi="Times New Roman" w:cs="Times New Roman"/>
          <w:color w:val="000000"/>
        </w:rPr>
        <w:t xml:space="preserve">della </w:t>
      </w:r>
      <w:r w:rsidRPr="000A035E">
        <w:rPr>
          <w:rFonts w:ascii="Times New Roman" w:eastAsia="Times New Roman" w:hAnsi="Times New Roman" w:cs="Times New Roman"/>
          <w:i/>
          <w:color w:val="000000"/>
          <w:lang w:val="de-DE"/>
        </w:rPr>
        <w:t>Logik des Seyns</w:t>
      </w:r>
      <w:r w:rsidRPr="000A035E">
        <w:rPr>
          <w:rFonts w:ascii="Times New Roman" w:eastAsia="Times New Roman" w:hAnsi="Times New Roman" w:cs="Times New Roman"/>
          <w:i/>
          <w:color w:val="000000"/>
        </w:rPr>
        <w:t xml:space="preserve"> </w:t>
      </w:r>
      <w:r w:rsidRPr="000A035E">
        <w:rPr>
          <w:rFonts w:ascii="Times New Roman" w:eastAsia="Times New Roman" w:hAnsi="Times New Roman" w:cs="Times New Roman"/>
          <w:color w:val="000000"/>
        </w:rPr>
        <w:t>lascia il passo a quell’</w:t>
      </w:r>
      <w:r w:rsidRPr="000A035E">
        <w:rPr>
          <w:rFonts w:ascii="Times New Roman" w:eastAsia="Times New Roman" w:hAnsi="Times New Roman" w:cs="Times New Roman"/>
          <w:i/>
          <w:color w:val="000000"/>
          <w:lang w:val="de-DE"/>
        </w:rPr>
        <w:t>Unruhe</w:t>
      </w:r>
      <w:r w:rsidR="00351297" w:rsidRPr="000A035E">
        <w:rPr>
          <w:rFonts w:ascii="Times New Roman" w:eastAsia="Times New Roman" w:hAnsi="Times New Roman" w:cs="Times New Roman"/>
          <w:color w:val="000000"/>
        </w:rPr>
        <w:t xml:space="preserve"> capace di cogliere, con alto</w:t>
      </w:r>
      <w:r w:rsidRPr="000A035E">
        <w:rPr>
          <w:rFonts w:ascii="Times New Roman" w:eastAsia="Times New Roman" w:hAnsi="Times New Roman" w:cs="Times New Roman"/>
          <w:color w:val="000000"/>
        </w:rPr>
        <w:t xml:space="preserve"> grado di approssimazione,</w:t>
      </w:r>
      <w:r>
        <w:rPr>
          <w:rFonts w:ascii="Times New Roman" w:eastAsia="Times New Roman" w:hAnsi="Times New Roman" w:cs="Times New Roman"/>
          <w:color w:val="000000"/>
        </w:rPr>
        <w:t xml:space="preserve"> la natura dell’opposizione a livello della </w:t>
      </w:r>
      <w:r w:rsidRPr="00893981">
        <w:rPr>
          <w:rFonts w:ascii="Times New Roman" w:eastAsia="Times New Roman" w:hAnsi="Times New Roman" w:cs="Times New Roman"/>
          <w:i/>
          <w:color w:val="000000"/>
          <w:lang w:val="de-DE"/>
        </w:rPr>
        <w:t>Wesenslogik</w:t>
      </w:r>
      <w:r>
        <w:rPr>
          <w:rFonts w:ascii="Times New Roman" w:eastAsia="Times New Roman" w:hAnsi="Times New Roman" w:cs="Times New Roman"/>
          <w:color w:val="000000"/>
        </w:rPr>
        <w:t xml:space="preserve">. </w:t>
      </w:r>
      <w:r w:rsidR="004F4E93">
        <w:rPr>
          <w:rFonts w:ascii="Times New Roman" w:eastAsia="Times New Roman" w:hAnsi="Times New Roman" w:cs="Times New Roman"/>
          <w:color w:val="000000"/>
        </w:rPr>
        <w:t>È stata usata l’espressione “</w:t>
      </w:r>
      <w:r>
        <w:rPr>
          <w:rFonts w:ascii="Times New Roman" w:eastAsia="Times New Roman" w:hAnsi="Times New Roman" w:cs="Times New Roman"/>
          <w:color w:val="000000"/>
        </w:rPr>
        <w:t xml:space="preserve">alto grado d’approssimazione” per il semplice fatto che questa filosofia coglie torbidamente una dinamica logica che il pensare puro, dal canto suo, afferra in modo formalmente adeguato. Anche in questo contesto, si può dire, </w:t>
      </w:r>
      <w:r w:rsidRPr="00675588">
        <w:rPr>
          <w:rFonts w:ascii="Times New Roman" w:eastAsia="Times New Roman" w:hAnsi="Times New Roman" w:cs="Times New Roman"/>
          <w:color w:val="000000"/>
        </w:rPr>
        <w:t xml:space="preserve">ricordando quanto visto nella </w:t>
      </w:r>
      <w:r w:rsidRPr="00675588">
        <w:rPr>
          <w:rFonts w:ascii="Times New Roman" w:eastAsia="Times New Roman" w:hAnsi="Times New Roman" w:cs="Times New Roman"/>
          <w:i/>
          <w:color w:val="000000"/>
        </w:rPr>
        <w:t>Phänomenologie</w:t>
      </w:r>
      <w:r w:rsidR="00F16160">
        <w:rPr>
          <w:rFonts w:ascii="Times New Roman" w:eastAsia="Times New Roman" w:hAnsi="Times New Roman" w:cs="Times New Roman"/>
          <w:i/>
          <w:color w:val="000000"/>
        </w:rPr>
        <w:t xml:space="preserve"> des Geistes</w:t>
      </w:r>
      <w:r w:rsidRPr="00675588">
        <w:rPr>
          <w:rFonts w:ascii="Times New Roman" w:eastAsia="Times New Roman" w:hAnsi="Times New Roman" w:cs="Times New Roman"/>
          <w:color w:val="000000"/>
        </w:rPr>
        <w:t xml:space="preserve">, che ad un </w:t>
      </w:r>
      <w:r w:rsidRPr="00675588">
        <w:rPr>
          <w:rFonts w:ascii="Times New Roman" w:eastAsia="Times New Roman" w:hAnsi="Times New Roman" w:cs="Times New Roman"/>
          <w:i/>
          <w:color w:val="000000"/>
        </w:rPr>
        <w:t>contenuto</w:t>
      </w:r>
      <w:r w:rsidRPr="00675588">
        <w:rPr>
          <w:rFonts w:ascii="Times New Roman" w:eastAsia="Times New Roman" w:hAnsi="Times New Roman" w:cs="Times New Roman"/>
          <w:color w:val="000000"/>
        </w:rPr>
        <w:t xml:space="preserve"> corrispondono modalità espositive eterogenee del medesimo (l’inadeguatezza della rappresentazione e l’adeguatezza della </w:t>
      </w:r>
      <w:r w:rsidRPr="000C0D15">
        <w:rPr>
          <w:rFonts w:ascii="Times New Roman" w:eastAsia="Times New Roman" w:hAnsi="Times New Roman" w:cs="Times New Roman"/>
          <w:color w:val="000000"/>
        </w:rPr>
        <w:t xml:space="preserve">pura ragione). Al di là delle manchevolezze formali, ciò che emerge dall’interpretazione hegeliana di Böhme è un aspetto della negatività che conferisce un nuovo impulso alla questione del cominciamento nella sfera della </w:t>
      </w:r>
      <w:r w:rsidRPr="000C0D15">
        <w:rPr>
          <w:rFonts w:ascii="Times New Roman" w:eastAsia="Times New Roman" w:hAnsi="Times New Roman" w:cs="Times New Roman"/>
          <w:i/>
          <w:color w:val="000000"/>
        </w:rPr>
        <w:t>Wesenslogik</w:t>
      </w:r>
      <w:r w:rsidRPr="000C0D15">
        <w:rPr>
          <w:rFonts w:ascii="Times New Roman" w:eastAsia="Times New Roman" w:hAnsi="Times New Roman" w:cs="Times New Roman"/>
          <w:color w:val="000000"/>
        </w:rPr>
        <w:t>.</w:t>
      </w:r>
      <w:r w:rsidRPr="000B7142">
        <w:rPr>
          <w:rFonts w:ascii="Times New Roman" w:eastAsia="Times New Roman" w:hAnsi="Times New Roman" w:cs="Times New Roman"/>
          <w:color w:val="000000"/>
        </w:rPr>
        <w:t xml:space="preserve"> La natura ricorsiva dell’elemento logico, infatti, permette di vedere come in livelli differenti di sviluppo del pensiero puro ricorrano strutture speculative analoghe, che offrono, con gradi di complessità crescenti, </w:t>
      </w:r>
      <w:r w:rsidRPr="00AD2A79">
        <w:rPr>
          <w:rFonts w:ascii="Times New Roman" w:eastAsia="Times New Roman" w:hAnsi="Times New Roman" w:cs="Times New Roman"/>
          <w:color w:val="000000"/>
        </w:rPr>
        <w:t>una risposta via via più articolata ad un medesimo quesito teorico</w:t>
      </w:r>
      <w:r w:rsidRPr="000B7142">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La nozione d’</w:t>
      </w:r>
      <w:r>
        <w:rPr>
          <w:rFonts w:ascii="Times New Roman" w:eastAsia="Times New Roman" w:hAnsi="Times New Roman" w:cs="Times New Roman"/>
          <w:i/>
          <w:color w:val="000000"/>
        </w:rPr>
        <w:t>Inq</w:t>
      </w:r>
      <w:r w:rsidRPr="000B7142">
        <w:rPr>
          <w:rFonts w:ascii="Times New Roman" w:eastAsia="Times New Roman" w:hAnsi="Times New Roman" w:cs="Times New Roman"/>
          <w:i/>
          <w:color w:val="000000"/>
        </w:rPr>
        <w:t>ual</w:t>
      </w:r>
      <w:r>
        <w:rPr>
          <w:rFonts w:ascii="Times New Roman" w:eastAsia="Times New Roman" w:hAnsi="Times New Roman" w:cs="Times New Roman"/>
          <w:i/>
          <w:color w:val="000000"/>
        </w:rPr>
        <w:t>ierung</w:t>
      </w:r>
      <w:r w:rsidRPr="000B7142">
        <w:rPr>
          <w:rFonts w:ascii="Times New Roman" w:eastAsia="Times New Roman" w:hAnsi="Times New Roman" w:cs="Times New Roman"/>
          <w:color w:val="000000"/>
        </w:rPr>
        <w:t xml:space="preserve"> esprime</w:t>
      </w:r>
      <w:r>
        <w:rPr>
          <w:rFonts w:ascii="Times New Roman" w:eastAsia="Times New Roman" w:hAnsi="Times New Roman" w:cs="Times New Roman"/>
          <w:color w:val="000000"/>
        </w:rPr>
        <w:t xml:space="preserve"> l’auto</w:t>
      </w:r>
      <w:r w:rsidRPr="000B7142">
        <w:rPr>
          <w:rFonts w:ascii="Times New Roman" w:eastAsia="Times New Roman" w:hAnsi="Times New Roman" w:cs="Times New Roman"/>
          <w:color w:val="000000"/>
        </w:rPr>
        <w:t xml:space="preserve">movimento dell’essenza e, assieme ad esso, la dinamica attraverso cui è posta e tolta l’opposizione con l’altro </w:t>
      </w:r>
      <w:r w:rsidRPr="00AB24BC">
        <w:rPr>
          <w:rFonts w:ascii="Times New Roman" w:eastAsia="Times New Roman" w:hAnsi="Times New Roman" w:cs="Times New Roman"/>
          <w:color w:val="000000"/>
        </w:rPr>
        <w:t>da sé. Da questo punto di vista, il</w:t>
      </w:r>
      <w:r w:rsidRPr="00D04940">
        <w:rPr>
          <w:rFonts w:ascii="Times New Roman" w:eastAsia="Times New Roman" w:hAnsi="Times New Roman" w:cs="Times New Roman"/>
          <w:color w:val="000000"/>
        </w:rPr>
        <w:t xml:space="preserve"> pensiero di Böhme offre</w:t>
      </w:r>
      <w:r>
        <w:rPr>
          <w:rFonts w:ascii="Times New Roman" w:eastAsia="Times New Roman" w:hAnsi="Times New Roman" w:cs="Times New Roman"/>
          <w:color w:val="000000"/>
        </w:rPr>
        <w:t xml:space="preserve"> </w:t>
      </w:r>
      <w:r w:rsidRPr="000B7142">
        <w:rPr>
          <w:rFonts w:ascii="Times New Roman" w:eastAsia="Times New Roman" w:hAnsi="Times New Roman" w:cs="Times New Roman"/>
          <w:color w:val="000000"/>
        </w:rPr>
        <w:t xml:space="preserve">uno </w:t>
      </w:r>
      <w:r w:rsidRPr="00AD2A79">
        <w:rPr>
          <w:rFonts w:ascii="Times New Roman" w:eastAsia="Times New Roman" w:hAnsi="Times New Roman" w:cs="Times New Roman"/>
          <w:color w:val="000000"/>
        </w:rPr>
        <w:t xml:space="preserve">sviluppo particolarmente brillante della relazione intrattenuta fra il cominciamento e la differenza nella </w:t>
      </w:r>
      <w:r w:rsidRPr="00AD2A79">
        <w:rPr>
          <w:rFonts w:ascii="Times New Roman" w:eastAsia="Times New Roman" w:hAnsi="Times New Roman" w:cs="Times New Roman"/>
          <w:i/>
          <w:color w:val="000000"/>
        </w:rPr>
        <w:t>logica dell’essenza</w:t>
      </w:r>
      <w:r w:rsidRPr="00AD2A79">
        <w:rPr>
          <w:rFonts w:ascii="Times New Roman" w:eastAsia="Times New Roman" w:hAnsi="Times New Roman" w:cs="Times New Roman"/>
          <w:color w:val="000000"/>
        </w:rPr>
        <w:t xml:space="preserve">. Ma non solo. Nel progressivo arricchirsi e reiterarsi del problema del cominciamento nei differenti gradi di sviluppo della </w:t>
      </w:r>
      <w:r w:rsidRPr="00AD2A79">
        <w:rPr>
          <w:rFonts w:ascii="Times New Roman" w:eastAsia="Times New Roman" w:hAnsi="Times New Roman" w:cs="Times New Roman"/>
          <w:i/>
          <w:color w:val="000000"/>
        </w:rPr>
        <w:t>Wesenslogik</w:t>
      </w:r>
      <w:r w:rsidRPr="00AD2A79">
        <w:rPr>
          <w:rFonts w:ascii="Times New Roman" w:eastAsia="Times New Roman" w:hAnsi="Times New Roman" w:cs="Times New Roman"/>
          <w:color w:val="000000"/>
        </w:rPr>
        <w:t>, l’</w:t>
      </w:r>
      <w:r w:rsidRPr="00AD2A79">
        <w:rPr>
          <w:rFonts w:ascii="Times New Roman" w:eastAsia="Times New Roman" w:hAnsi="Times New Roman" w:cs="Times New Roman"/>
          <w:i/>
          <w:color w:val="000000"/>
        </w:rPr>
        <w:t>Inqualierung</w:t>
      </w:r>
      <w:r w:rsidRPr="00AD2A79">
        <w:rPr>
          <w:rFonts w:ascii="Times New Roman" w:eastAsia="Times New Roman" w:hAnsi="Times New Roman" w:cs="Times New Roman"/>
          <w:color w:val="000000"/>
        </w:rPr>
        <w:t xml:space="preserve"> assumerà, proprio in chiusura della </w:t>
      </w:r>
      <w:r w:rsidRPr="00AD2A79">
        <w:rPr>
          <w:rFonts w:ascii="Times New Roman" w:eastAsia="Times New Roman" w:hAnsi="Times New Roman" w:cs="Times New Roman"/>
          <w:i/>
          <w:color w:val="000000"/>
        </w:rPr>
        <w:t>objective Logik</w:t>
      </w:r>
      <w:r w:rsidRPr="00AD2A79">
        <w:rPr>
          <w:rFonts w:ascii="Times New Roman" w:eastAsia="Times New Roman" w:hAnsi="Times New Roman" w:cs="Times New Roman"/>
          <w:color w:val="000000"/>
        </w:rPr>
        <w:t xml:space="preserve">, quella funzione di superamento del punto di vista spinoziano già </w:t>
      </w:r>
      <w:r>
        <w:rPr>
          <w:rFonts w:ascii="Times New Roman" w:eastAsia="Times New Roman" w:hAnsi="Times New Roman" w:cs="Times New Roman"/>
          <w:color w:val="000000"/>
        </w:rPr>
        <w:t xml:space="preserve">incontrata </w:t>
      </w:r>
      <w:r w:rsidRPr="00AD2A79">
        <w:rPr>
          <w:rFonts w:ascii="Times New Roman" w:eastAsia="Times New Roman" w:hAnsi="Times New Roman" w:cs="Times New Roman"/>
          <w:color w:val="000000"/>
        </w:rPr>
        <w:t xml:space="preserve">nella </w:t>
      </w:r>
      <w:r w:rsidRPr="00AD2A79">
        <w:rPr>
          <w:rFonts w:ascii="Times New Roman" w:eastAsia="Times New Roman" w:hAnsi="Times New Roman" w:cs="Times New Roman"/>
          <w:i/>
          <w:color w:val="000000"/>
          <w:lang w:val="de-DE"/>
        </w:rPr>
        <w:t>Jenaer Metaphysik</w:t>
      </w:r>
      <w:r w:rsidRPr="00AD2A79">
        <w:rPr>
          <w:rFonts w:ascii="Times New Roman" w:eastAsia="Times New Roman" w:hAnsi="Times New Roman" w:cs="Times New Roman"/>
          <w:color w:val="000000"/>
        </w:rPr>
        <w:t>.</w:t>
      </w:r>
      <w:r w:rsidRPr="000B7142">
        <w:rPr>
          <w:rFonts w:ascii="Times New Roman" w:eastAsia="Times New Roman" w:hAnsi="Times New Roman" w:cs="Times New Roman"/>
          <w:color w:val="000000"/>
        </w:rPr>
        <w:t xml:space="preserve"> </w:t>
      </w:r>
      <w:r w:rsidRPr="002735DA">
        <w:rPr>
          <w:rFonts w:ascii="Times New Roman" w:eastAsia="Times New Roman" w:hAnsi="Times New Roman" w:cs="Times New Roman"/>
          <w:color w:val="000000"/>
        </w:rPr>
        <w:t xml:space="preserve">Anche in questo caso, il terreno su cui Hegel farà interagire i </w:t>
      </w:r>
      <w:r>
        <w:rPr>
          <w:rFonts w:ascii="Times New Roman" w:eastAsia="Times New Roman" w:hAnsi="Times New Roman" w:cs="Times New Roman"/>
          <w:color w:val="000000"/>
        </w:rPr>
        <w:t>due A</w:t>
      </w:r>
      <w:r w:rsidRPr="002735DA">
        <w:rPr>
          <w:rFonts w:ascii="Times New Roman" w:eastAsia="Times New Roman" w:hAnsi="Times New Roman" w:cs="Times New Roman"/>
          <w:color w:val="000000"/>
        </w:rPr>
        <w:t>utori sarà proprio quello della negatività: l’irrigidirsi</w:t>
      </w:r>
      <w:r w:rsidRPr="00AD2A79">
        <w:rPr>
          <w:rFonts w:ascii="Times New Roman" w:eastAsia="Times New Roman" w:hAnsi="Times New Roman" w:cs="Times New Roman"/>
          <w:color w:val="000000"/>
        </w:rPr>
        <w:t xml:space="preserve"> dello spinozismo su una nozione di negativo assimilabile alla </w:t>
      </w:r>
      <w:r w:rsidRPr="00AD2A79">
        <w:rPr>
          <w:rFonts w:ascii="Times New Roman" w:eastAsia="Times New Roman" w:hAnsi="Times New Roman" w:cs="Times New Roman"/>
          <w:i/>
          <w:color w:val="000000"/>
        </w:rPr>
        <w:t>Qualität</w:t>
      </w:r>
      <w:r w:rsidRPr="00AD2A79">
        <w:rPr>
          <w:rFonts w:ascii="Times New Roman" w:eastAsia="Times New Roman" w:hAnsi="Times New Roman" w:cs="Times New Roman"/>
          <w:color w:val="000000"/>
        </w:rPr>
        <w:t xml:space="preserve"> renderà legittimo il ricorso a quel</w:t>
      </w:r>
      <w:r>
        <w:rPr>
          <w:rFonts w:ascii="Times New Roman" w:eastAsia="Times New Roman" w:hAnsi="Times New Roman" w:cs="Times New Roman"/>
          <w:color w:val="000000"/>
        </w:rPr>
        <w:t xml:space="preserve">la determinazione di pensiero, </w:t>
      </w:r>
      <w:r w:rsidRPr="00AD2A79">
        <w:rPr>
          <w:rFonts w:ascii="Times New Roman" w:eastAsia="Times New Roman" w:hAnsi="Times New Roman" w:cs="Times New Roman"/>
          <w:color w:val="000000"/>
        </w:rPr>
        <w:t>l’</w:t>
      </w:r>
      <w:r w:rsidRPr="00AD2A79">
        <w:rPr>
          <w:rFonts w:ascii="Times New Roman" w:eastAsia="Times New Roman" w:hAnsi="Times New Roman" w:cs="Times New Roman"/>
          <w:i/>
          <w:color w:val="000000"/>
        </w:rPr>
        <w:t>Inqualierung</w:t>
      </w:r>
      <w:r>
        <w:rPr>
          <w:rFonts w:ascii="Times New Roman" w:eastAsia="Times New Roman" w:hAnsi="Times New Roman" w:cs="Times New Roman"/>
          <w:color w:val="000000"/>
        </w:rPr>
        <w:t xml:space="preserve">, </w:t>
      </w:r>
      <w:r w:rsidRPr="00AD2A79">
        <w:rPr>
          <w:rFonts w:ascii="Times New Roman" w:eastAsia="Times New Roman" w:hAnsi="Times New Roman" w:cs="Times New Roman"/>
          <w:color w:val="000000"/>
        </w:rPr>
        <w:t xml:space="preserve">che dinamizza, smuovendolo dall’interno, quell’elemento </w:t>
      </w:r>
      <w:r w:rsidRPr="00AD2A79">
        <w:rPr>
          <w:rFonts w:ascii="Times New Roman" w:eastAsia="Times New Roman" w:hAnsi="Times New Roman" w:cs="Times New Roman"/>
          <w:i/>
          <w:color w:val="000000"/>
        </w:rPr>
        <w:t>qualitativo</w:t>
      </w:r>
      <w:r w:rsidRPr="00AD2A79">
        <w:rPr>
          <w:rFonts w:ascii="Times New Roman" w:eastAsia="Times New Roman" w:hAnsi="Times New Roman" w:cs="Times New Roman"/>
          <w:color w:val="000000"/>
        </w:rPr>
        <w:t xml:space="preserve"> che riduce l’infinito spinoziano ad un’identità astratta.</w:t>
      </w:r>
      <w:r>
        <w:rPr>
          <w:rFonts w:ascii="Times New Roman" w:eastAsia="Times New Roman" w:hAnsi="Times New Roman" w:cs="Times New Roman"/>
          <w:color w:val="000000"/>
        </w:rPr>
        <w:t xml:space="preserve"> </w:t>
      </w:r>
    </w:p>
    <w:p w14:paraId="1469BD2A" w14:textId="2CFCF70F" w:rsidR="001B7751" w:rsidRPr="005E130F" w:rsidRDefault="001B7751" w:rsidP="001B7751">
      <w:pPr>
        <w:pStyle w:val="Paragrafoelenco"/>
        <w:spacing w:line="360" w:lineRule="auto"/>
        <w:ind w:left="0" w:firstLine="567"/>
        <w:jc w:val="both"/>
        <w:rPr>
          <w:rFonts w:ascii="Times New Roman" w:eastAsia="Times New Roman" w:hAnsi="Times New Roman" w:cs="Times New Roman"/>
          <w:color w:val="000000"/>
          <w:highlight w:val="cyan"/>
        </w:rPr>
      </w:pPr>
      <w:r w:rsidRPr="007F501F">
        <w:rPr>
          <w:rFonts w:ascii="Times New Roman" w:eastAsia="Times New Roman" w:hAnsi="Times New Roman" w:cs="Times New Roman"/>
          <w:color w:val="000000"/>
        </w:rPr>
        <w:t xml:space="preserve">Sull’arrestarsi del pensiero di Spinoza ad una comprensione puramente </w:t>
      </w:r>
      <w:r w:rsidRPr="007F501F">
        <w:rPr>
          <w:rFonts w:ascii="Times New Roman" w:eastAsia="Times New Roman" w:hAnsi="Times New Roman" w:cs="Times New Roman"/>
          <w:i/>
          <w:color w:val="000000"/>
        </w:rPr>
        <w:t>qualitativa</w:t>
      </w:r>
      <w:r w:rsidRPr="007F501F">
        <w:rPr>
          <w:rFonts w:ascii="Times New Roman" w:eastAsia="Times New Roman" w:hAnsi="Times New Roman" w:cs="Times New Roman"/>
          <w:color w:val="000000"/>
        </w:rPr>
        <w:t xml:space="preserve"> della negazione e sul superamento della </w:t>
      </w:r>
      <w:r w:rsidRPr="007F501F">
        <w:rPr>
          <w:rFonts w:ascii="Times New Roman" w:eastAsia="Times New Roman" w:hAnsi="Times New Roman" w:cs="Times New Roman"/>
          <w:i/>
          <w:color w:val="000000"/>
        </w:rPr>
        <w:t xml:space="preserve">Qualität </w:t>
      </w:r>
      <w:r w:rsidRPr="007F501F">
        <w:rPr>
          <w:rFonts w:ascii="Times New Roman" w:eastAsia="Times New Roman" w:hAnsi="Times New Roman" w:cs="Times New Roman"/>
          <w:color w:val="000000"/>
        </w:rPr>
        <w:t>ad opera dello</w:t>
      </w:r>
      <w:r w:rsidRPr="007F501F">
        <w:rPr>
          <w:rFonts w:ascii="Times New Roman" w:eastAsia="Times New Roman" w:hAnsi="Times New Roman" w:cs="Times New Roman"/>
          <w:i/>
          <w:color w:val="000000"/>
        </w:rPr>
        <w:t xml:space="preserve"> Inqualierung</w:t>
      </w:r>
      <w:r w:rsidRPr="007F501F">
        <w:rPr>
          <w:rFonts w:ascii="Times New Roman" w:eastAsia="Times New Roman" w:hAnsi="Times New Roman" w:cs="Times New Roman"/>
          <w:color w:val="000000"/>
        </w:rPr>
        <w:t xml:space="preserve">, Hegel </w:t>
      </w:r>
      <w:r w:rsidR="004F4E93" w:rsidRPr="007F501F">
        <w:rPr>
          <w:rFonts w:ascii="Times New Roman" w:eastAsia="Times New Roman" w:hAnsi="Times New Roman" w:cs="Times New Roman"/>
          <w:color w:val="000000"/>
        </w:rPr>
        <w:t xml:space="preserve">darà </w:t>
      </w:r>
      <w:r w:rsidR="007F501F" w:rsidRPr="007F501F">
        <w:rPr>
          <w:rFonts w:ascii="Times New Roman" w:eastAsia="Times New Roman" w:hAnsi="Times New Roman" w:cs="Times New Roman"/>
          <w:color w:val="000000"/>
        </w:rPr>
        <w:t xml:space="preserve">un’ulteriore </w:t>
      </w:r>
      <w:r w:rsidR="004F4E93" w:rsidRPr="007F501F">
        <w:rPr>
          <w:rFonts w:ascii="Times New Roman" w:eastAsia="Times New Roman" w:hAnsi="Times New Roman" w:cs="Times New Roman"/>
          <w:color w:val="000000"/>
        </w:rPr>
        <w:t>testimonianza</w:t>
      </w:r>
      <w:r w:rsidR="007F501F" w:rsidRPr="007F501F">
        <w:rPr>
          <w:rFonts w:ascii="Times New Roman" w:eastAsia="Times New Roman" w:hAnsi="Times New Roman" w:cs="Times New Roman"/>
          <w:color w:val="000000"/>
        </w:rPr>
        <w:t xml:space="preserve"> </w:t>
      </w:r>
      <w:r w:rsidRPr="007F501F">
        <w:rPr>
          <w:rFonts w:ascii="Times New Roman" w:eastAsia="Times New Roman" w:hAnsi="Times New Roman" w:cs="Times New Roman"/>
          <w:color w:val="000000"/>
        </w:rPr>
        <w:t xml:space="preserve">nella </w:t>
      </w:r>
      <w:r w:rsidR="000C3DD1" w:rsidRPr="007F501F">
        <w:rPr>
          <w:rFonts w:ascii="Times New Roman" w:eastAsia="Times New Roman" w:hAnsi="Times New Roman" w:cs="Times New Roman"/>
          <w:i/>
          <w:color w:val="000000"/>
        </w:rPr>
        <w:t>Wesenslogik</w:t>
      </w:r>
      <w:r w:rsidRPr="007F501F">
        <w:rPr>
          <w:rFonts w:ascii="Times New Roman" w:eastAsia="Times New Roman" w:hAnsi="Times New Roman" w:cs="Times New Roman"/>
          <w:color w:val="000000"/>
        </w:rPr>
        <w:t>. Pr</w:t>
      </w:r>
      <w:r w:rsidRPr="002735DA">
        <w:rPr>
          <w:rFonts w:ascii="Times New Roman" w:eastAsia="Times New Roman" w:hAnsi="Times New Roman" w:cs="Times New Roman"/>
          <w:color w:val="000000"/>
        </w:rPr>
        <w:t>ima ancora di quelle osservazioni critiche, è bene ricordare e discutere un’</w:t>
      </w:r>
      <w:r w:rsidRPr="002735DA">
        <w:rPr>
          <w:rFonts w:ascii="Times New Roman" w:eastAsia="Times New Roman" w:hAnsi="Times New Roman" w:cs="Times New Roman"/>
          <w:i/>
          <w:color w:val="000000"/>
        </w:rPr>
        <w:t xml:space="preserve">Anmerkung, </w:t>
      </w:r>
      <w:r w:rsidRPr="002735DA">
        <w:rPr>
          <w:rFonts w:ascii="Times New Roman" w:eastAsia="Times New Roman" w:hAnsi="Times New Roman" w:cs="Times New Roman"/>
          <w:color w:val="000000"/>
        </w:rPr>
        <w:t>di poco successiva alle note sull’</w:t>
      </w:r>
      <w:r w:rsidRPr="002735DA">
        <w:rPr>
          <w:rFonts w:ascii="Times New Roman" w:eastAsia="Times New Roman" w:hAnsi="Times New Roman" w:cs="Times New Roman"/>
          <w:i/>
          <w:color w:val="000000"/>
        </w:rPr>
        <w:t>Inqualierung</w:t>
      </w:r>
      <w:r w:rsidRPr="002735DA">
        <w:rPr>
          <w:rFonts w:ascii="Times New Roman" w:eastAsia="Times New Roman" w:hAnsi="Times New Roman" w:cs="Times New Roman"/>
          <w:color w:val="000000"/>
        </w:rPr>
        <w:t xml:space="preserve">, in cui è messo in chiaro il limite speculativo del principio spinoziano </w:t>
      </w:r>
      <w:r w:rsidRPr="002735DA">
        <w:rPr>
          <w:rFonts w:ascii="Times New Roman" w:eastAsia="Times New Roman" w:hAnsi="Times New Roman" w:cs="Times New Roman"/>
          <w:i/>
          <w:color w:val="000000"/>
        </w:rPr>
        <w:t>determinatio est negatio</w:t>
      </w:r>
      <w:r w:rsidRPr="002735DA">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w:t>
      </w:r>
      <w:r w:rsidRPr="005E130F">
        <w:rPr>
          <w:rFonts w:ascii="Times New Roman" w:eastAsia="Times New Roman" w:hAnsi="Times New Roman" w:cs="Times New Roman"/>
          <w:color w:val="000000"/>
        </w:rPr>
        <w:t xml:space="preserve">Applicato all’unica sostanza, quest’assunto </w:t>
      </w:r>
      <w:r>
        <w:rPr>
          <w:rFonts w:ascii="Times New Roman" w:eastAsia="Times New Roman" w:hAnsi="Times New Roman" w:cs="Times New Roman"/>
          <w:color w:val="000000"/>
        </w:rPr>
        <w:t>non può che condur</w:t>
      </w:r>
      <w:r w:rsidRPr="005E130F">
        <w:rPr>
          <w:rFonts w:ascii="Times New Roman" w:eastAsia="Times New Roman" w:hAnsi="Times New Roman" w:cs="Times New Roman"/>
          <w:color w:val="000000"/>
        </w:rPr>
        <w:t xml:space="preserve">re ad un esito speculativo: l’unità sostanziale come </w:t>
      </w:r>
      <w:r w:rsidRPr="004839B3">
        <w:rPr>
          <w:rFonts w:ascii="Times New Roman" w:eastAsia="Times New Roman" w:hAnsi="Times New Roman" w:cs="Times New Roman"/>
          <w:color w:val="000000"/>
        </w:rPr>
        <w:t>«notwendige Consequenz»</w:t>
      </w:r>
      <w:r w:rsidRPr="004839B3">
        <w:rPr>
          <w:rStyle w:val="Rimandonotaapidipagina"/>
          <w:rFonts w:ascii="Times New Roman" w:eastAsia="Times New Roman" w:hAnsi="Times New Roman" w:cs="Times New Roman"/>
          <w:color w:val="000000"/>
        </w:rPr>
        <w:footnoteReference w:id="360"/>
      </w:r>
      <w:r w:rsidRPr="004839B3">
        <w:rPr>
          <w:rFonts w:ascii="Times New Roman" w:eastAsia="Times New Roman" w:hAnsi="Times New Roman" w:cs="Times New Roman"/>
          <w:color w:val="000000"/>
        </w:rPr>
        <w:t>.</w:t>
      </w:r>
      <w:r w:rsidRPr="005E130F">
        <w:rPr>
          <w:rFonts w:ascii="Times New Roman" w:eastAsia="Times New Roman" w:hAnsi="Times New Roman" w:cs="Times New Roman"/>
          <w:color w:val="000000"/>
        </w:rPr>
        <w:t xml:space="preserve"> Essere e pensiero, </w:t>
      </w:r>
      <w:r w:rsidRPr="005E130F">
        <w:rPr>
          <w:rFonts w:ascii="Times New Roman" w:eastAsia="Times New Roman" w:hAnsi="Times New Roman" w:cs="Times New Roman"/>
          <w:i/>
          <w:color w:val="000000"/>
        </w:rPr>
        <w:t>res extensa</w:t>
      </w:r>
      <w:r w:rsidRPr="005E130F">
        <w:rPr>
          <w:rFonts w:ascii="Times New Roman" w:eastAsia="Times New Roman" w:hAnsi="Times New Roman" w:cs="Times New Roman"/>
          <w:color w:val="000000"/>
        </w:rPr>
        <w:t xml:space="preserve"> e </w:t>
      </w:r>
      <w:r w:rsidRPr="005E130F">
        <w:rPr>
          <w:rFonts w:ascii="Times New Roman" w:eastAsia="Times New Roman" w:hAnsi="Times New Roman" w:cs="Times New Roman"/>
          <w:i/>
          <w:color w:val="000000"/>
        </w:rPr>
        <w:t>res cogitans</w:t>
      </w:r>
      <w:r w:rsidRPr="005E130F">
        <w:rPr>
          <w:rFonts w:ascii="Times New Roman" w:eastAsia="Times New Roman" w:hAnsi="Times New Roman" w:cs="Times New Roman"/>
          <w:color w:val="000000"/>
        </w:rPr>
        <w:t>, sono nella misura in cui vengono ricompresi e dissolti nell’unità sostanziale. Gli attributi, se fac</w:t>
      </w:r>
      <w:r>
        <w:rPr>
          <w:rFonts w:ascii="Times New Roman" w:eastAsia="Times New Roman" w:hAnsi="Times New Roman" w:cs="Times New Roman"/>
          <w:color w:val="000000"/>
        </w:rPr>
        <w:t xml:space="preserve">essero valere il proprio essere per </w:t>
      </w:r>
      <w:r w:rsidRPr="005E130F">
        <w:rPr>
          <w:rFonts w:ascii="Times New Roman" w:eastAsia="Times New Roman" w:hAnsi="Times New Roman" w:cs="Times New Roman"/>
          <w:color w:val="000000"/>
        </w:rPr>
        <w:t>sé, sarebbero delle espressioni determinate della sostanza. Così facendo, essi introdurrebbero una determinazione, e assieme ad essa una negazione, in ciò che Spinoza considera –</w:t>
      </w:r>
      <w:r>
        <w:rPr>
          <w:rFonts w:ascii="Times New Roman" w:eastAsia="Times New Roman" w:hAnsi="Times New Roman" w:cs="Times New Roman"/>
          <w:color w:val="000000"/>
        </w:rPr>
        <w:t xml:space="preserve"> </w:t>
      </w:r>
      <w:r w:rsidRPr="005E130F">
        <w:rPr>
          <w:rFonts w:ascii="Times New Roman" w:eastAsia="Times New Roman" w:hAnsi="Times New Roman" w:cs="Times New Roman"/>
          <w:color w:val="000000"/>
        </w:rPr>
        <w:t xml:space="preserve">secondo la </w:t>
      </w:r>
      <w:r w:rsidRPr="005E130F">
        <w:rPr>
          <w:rFonts w:ascii="Times New Roman" w:eastAsia="Times New Roman" w:hAnsi="Times New Roman" w:cs="Times New Roman"/>
          <w:i/>
          <w:color w:val="000000"/>
        </w:rPr>
        <w:t>vulgata</w:t>
      </w:r>
      <w:r w:rsidRPr="005E130F">
        <w:rPr>
          <w:rFonts w:ascii="Times New Roman" w:eastAsia="Times New Roman" w:hAnsi="Times New Roman" w:cs="Times New Roman"/>
          <w:color w:val="000000"/>
        </w:rPr>
        <w:t xml:space="preserve"> ripresa da Hegel – come la pura e semplice affermazione di sé. Al riguardo, si legge che </w:t>
      </w:r>
    </w:p>
    <w:p w14:paraId="378AB872" w14:textId="77777777" w:rsidR="001B7751" w:rsidRDefault="001B7751" w:rsidP="001B7751">
      <w:pPr>
        <w:pStyle w:val="Paragrafoelenco"/>
        <w:spacing w:line="360" w:lineRule="auto"/>
        <w:ind w:left="708" w:firstLine="567"/>
        <w:jc w:val="both"/>
        <w:rPr>
          <w:rFonts w:ascii="Times New Roman" w:eastAsia="Times New Roman" w:hAnsi="Times New Roman" w:cs="Times New Roman"/>
          <w:color w:val="000000"/>
        </w:rPr>
      </w:pPr>
    </w:p>
    <w:p w14:paraId="5FD2AC21" w14:textId="77777777" w:rsidR="001B7751" w:rsidRPr="00A27071" w:rsidRDefault="001B7751" w:rsidP="001B7751">
      <w:pPr>
        <w:pStyle w:val="Paragrafoelenco"/>
        <w:spacing w:line="360" w:lineRule="auto"/>
        <w:ind w:left="567" w:firstLine="567"/>
        <w:jc w:val="both"/>
        <w:rPr>
          <w:rFonts w:ascii="Times New Roman" w:eastAsia="Times New Roman" w:hAnsi="Times New Roman" w:cs="Times New Roman"/>
          <w:color w:val="000000"/>
          <w:sz w:val="20"/>
          <w:szCs w:val="20"/>
        </w:rPr>
      </w:pPr>
      <w:r w:rsidRPr="00A27071">
        <w:rPr>
          <w:rFonts w:ascii="Times New Roman" w:hAnsi="Times New Roman" w:cs="Times New Roman"/>
          <w:sz w:val="20"/>
          <w:szCs w:val="20"/>
        </w:rPr>
        <w:t>«Denken und Seyn mußte er in dieser Einheit in eins setzen, denn alle bestimmte Realit</w:t>
      </w:r>
      <w:r w:rsidRPr="00A27071">
        <w:rPr>
          <w:rFonts w:ascii="Times New Roman" w:eastAsia="Times New Roman" w:hAnsi="Times New Roman" w:cs="Times New Roman"/>
          <w:color w:val="000000"/>
          <w:sz w:val="20"/>
          <w:szCs w:val="20"/>
          <w:lang w:val="de-DE"/>
        </w:rPr>
        <w:t>äten, sind sie als Negationen, deren Unendlichkeit oder Wahrheit nur ihre Einheit ist. Er [Spinoza]</w:t>
      </w:r>
      <w:r>
        <w:rPr>
          <w:rFonts w:ascii="Times New Roman" w:eastAsia="Times New Roman" w:hAnsi="Times New Roman" w:cs="Times New Roman"/>
          <w:color w:val="000000"/>
          <w:sz w:val="20"/>
          <w:szCs w:val="20"/>
          <w:lang w:val="de-DE"/>
        </w:rPr>
        <w:t xml:space="preserve"> </w:t>
      </w:r>
      <w:r w:rsidRPr="00A27071">
        <w:rPr>
          <w:rFonts w:ascii="Times New Roman" w:eastAsia="Times New Roman" w:hAnsi="Times New Roman" w:cs="Times New Roman"/>
          <w:color w:val="000000"/>
          <w:sz w:val="20"/>
          <w:szCs w:val="20"/>
          <w:lang w:val="de-DE"/>
        </w:rPr>
        <w:t>begriff sie daher als Attribute, d.h. als solche, die nicht ein besonderes Bestehen, ein An-und-für-sich-Seyn haben, sondern nur als aufgehobene, als Momente sind</w:t>
      </w:r>
      <w:r w:rsidRPr="00A27071">
        <w:rPr>
          <w:rFonts w:ascii="Times New Roman" w:eastAsia="Times New Roman" w:hAnsi="Times New Roman" w:cs="Times New Roman"/>
          <w:color w:val="000000"/>
          <w:sz w:val="20"/>
          <w:szCs w:val="20"/>
        </w:rPr>
        <w:t>»</w:t>
      </w:r>
      <w:r w:rsidRPr="00A27071">
        <w:rPr>
          <w:rStyle w:val="Rimandonotaapidipagina"/>
          <w:rFonts w:ascii="Times New Roman" w:eastAsia="Times New Roman" w:hAnsi="Times New Roman" w:cs="Times New Roman"/>
          <w:color w:val="000000"/>
          <w:sz w:val="20"/>
          <w:szCs w:val="20"/>
        </w:rPr>
        <w:footnoteReference w:id="361"/>
      </w:r>
      <w:r w:rsidRPr="00A27071">
        <w:rPr>
          <w:rFonts w:ascii="Times New Roman" w:eastAsia="Times New Roman" w:hAnsi="Times New Roman" w:cs="Times New Roman"/>
          <w:color w:val="000000"/>
          <w:sz w:val="20"/>
          <w:szCs w:val="20"/>
        </w:rPr>
        <w:t>.</w:t>
      </w:r>
    </w:p>
    <w:p w14:paraId="3022491A" w14:textId="77777777" w:rsidR="001B7751" w:rsidRDefault="001B7751" w:rsidP="001B7751">
      <w:pPr>
        <w:pStyle w:val="Paragrafoelenco"/>
        <w:spacing w:line="360" w:lineRule="auto"/>
        <w:ind w:left="1275" w:firstLine="567"/>
        <w:jc w:val="both"/>
        <w:rPr>
          <w:rFonts w:ascii="Times New Roman" w:eastAsia="Times New Roman" w:hAnsi="Times New Roman" w:cs="Times New Roman"/>
          <w:color w:val="000000"/>
        </w:rPr>
      </w:pPr>
    </w:p>
    <w:p w14:paraId="2E5B3F7E" w14:textId="411AAF86" w:rsidR="001B7751" w:rsidRPr="00A27071" w:rsidRDefault="001B7751" w:rsidP="001B7751">
      <w:pPr>
        <w:pStyle w:val="Paragrafoelenco"/>
        <w:spacing w:line="360" w:lineRule="auto"/>
        <w:ind w:left="0" w:firstLine="567"/>
        <w:jc w:val="both"/>
        <w:rPr>
          <w:rFonts w:ascii="Times New Roman" w:eastAsia="Times New Roman" w:hAnsi="Times New Roman" w:cs="Times New Roman"/>
          <w:color w:val="000000"/>
        </w:rPr>
      </w:pPr>
      <w:r w:rsidRPr="000A035E">
        <w:rPr>
          <w:rFonts w:ascii="Times New Roman" w:eastAsia="Times New Roman" w:hAnsi="Times New Roman" w:cs="Times New Roman"/>
          <w:color w:val="000000"/>
        </w:rPr>
        <w:t>Momenti privati di una propria particolarità o determinatezza: gli attributi sono nella misura in cui sono u</w:t>
      </w:r>
      <w:r w:rsidR="004F4E93" w:rsidRPr="000A035E">
        <w:rPr>
          <w:rFonts w:ascii="Times New Roman" w:eastAsia="Times New Roman" w:hAnsi="Times New Roman" w:cs="Times New Roman"/>
          <w:color w:val="000000"/>
        </w:rPr>
        <w:t>no con la sostanza e non rivendica</w:t>
      </w:r>
      <w:r w:rsidRPr="000A035E">
        <w:rPr>
          <w:rFonts w:ascii="Times New Roman" w:eastAsia="Times New Roman" w:hAnsi="Times New Roman" w:cs="Times New Roman"/>
          <w:color w:val="000000"/>
        </w:rPr>
        <w:t>no</w:t>
      </w:r>
      <w:r w:rsidR="004F4E93" w:rsidRPr="000A035E">
        <w:rPr>
          <w:rFonts w:ascii="Times New Roman" w:eastAsia="Times New Roman" w:hAnsi="Times New Roman" w:cs="Times New Roman"/>
          <w:color w:val="000000"/>
        </w:rPr>
        <w:t xml:space="preserve"> per sé </w:t>
      </w:r>
      <w:r w:rsidRPr="000A035E">
        <w:rPr>
          <w:rFonts w:ascii="Times New Roman" w:eastAsia="Times New Roman" w:hAnsi="Times New Roman" w:cs="Times New Roman"/>
          <w:color w:val="000000"/>
        </w:rPr>
        <w:t>una sussistenza particolare.</w:t>
      </w:r>
      <w:r w:rsidRPr="008F6E88">
        <w:rPr>
          <w:rFonts w:ascii="Times New Roman" w:eastAsia="Times New Roman" w:hAnsi="Times New Roman" w:cs="Times New Roman"/>
          <w:color w:val="000000"/>
        </w:rPr>
        <w:t xml:space="preserve"> Se si applica questo principio all’individuo, non può che seguire la non-sostanzialità del medesimo. Il modo, infatti, è </w:t>
      </w:r>
      <w:r w:rsidRPr="00A27071">
        <w:rPr>
          <w:rFonts w:ascii="Times New Roman" w:eastAsia="Times New Roman" w:hAnsi="Times New Roman" w:cs="Times New Roman"/>
          <w:color w:val="000000"/>
        </w:rPr>
        <w:t>«nach allen Rücksichten beschränktes»</w:t>
      </w:r>
      <w:r w:rsidRPr="00A27071">
        <w:rPr>
          <w:rStyle w:val="Rimandonotaapidipagina"/>
          <w:rFonts w:ascii="Times New Roman" w:eastAsia="Times New Roman" w:hAnsi="Times New Roman" w:cs="Times New Roman"/>
          <w:color w:val="000000"/>
          <w:lang w:val="de-DE"/>
        </w:rPr>
        <w:footnoteReference w:id="362"/>
      </w:r>
      <w:r w:rsidRPr="00A27071">
        <w:rPr>
          <w:rFonts w:ascii="Times New Roman" w:eastAsia="Times New Roman" w:hAnsi="Times New Roman" w:cs="Times New Roman"/>
          <w:color w:val="000000"/>
        </w:rPr>
        <w:t>:</w:t>
      </w:r>
      <w:r w:rsidRPr="008F6E88">
        <w:rPr>
          <w:rFonts w:ascii="Times New Roman" w:eastAsia="Times New Roman" w:hAnsi="Times New Roman" w:cs="Times New Roman"/>
          <w:color w:val="000000"/>
        </w:rPr>
        <w:t xml:space="preserve"> il suo esistere è determinato da altro ed è in questo altro che esso trova il proprio </w:t>
      </w:r>
      <w:r w:rsidRPr="008F6E88">
        <w:rPr>
          <w:rFonts w:ascii="Times New Roman" w:eastAsia="Times New Roman" w:hAnsi="Times New Roman" w:cs="Times New Roman"/>
          <w:i/>
          <w:color w:val="000000"/>
        </w:rPr>
        <w:t>esserci</w:t>
      </w:r>
      <w:r w:rsidRPr="008F6E88">
        <w:rPr>
          <w:rFonts w:ascii="Times New Roman" w:eastAsia="Times New Roman" w:hAnsi="Times New Roman" w:cs="Times New Roman"/>
          <w:color w:val="000000"/>
        </w:rPr>
        <w:t xml:space="preserve"> negativo.</w:t>
      </w:r>
      <w:r w:rsidRPr="001256DA">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Nella determinazione</w:t>
      </w:r>
      <w:r w:rsidRPr="001256DA">
        <w:rPr>
          <w:rFonts w:ascii="Times New Roman" w:eastAsia="Times New Roman" w:hAnsi="Times New Roman" w:cs="Times New Roman"/>
          <w:color w:val="000000"/>
        </w:rPr>
        <w:t xml:space="preserve"> qualitativa</w:t>
      </w:r>
      <w:r>
        <w:rPr>
          <w:rFonts w:ascii="Times New Roman" w:eastAsia="Times New Roman" w:hAnsi="Times New Roman" w:cs="Times New Roman"/>
          <w:color w:val="000000"/>
        </w:rPr>
        <w:t xml:space="preserve">, lo spinozismo trova il proprio limite: assunta come semplice negazione, essa determina la natura astratta della sostanza che, rigettate tutte le forme di determinatezza, si risolve in un’unità indeterminata. Attributi e modi, in forza del principio </w:t>
      </w:r>
      <w:r w:rsidRPr="0039290B">
        <w:rPr>
          <w:rFonts w:ascii="Times New Roman" w:eastAsia="Times New Roman" w:hAnsi="Times New Roman" w:cs="Times New Roman"/>
          <w:i/>
          <w:color w:val="000000"/>
        </w:rPr>
        <w:t>determinatio est negatio</w:t>
      </w:r>
      <w:r>
        <w:rPr>
          <w:rFonts w:ascii="Times New Roman" w:eastAsia="Times New Roman" w:hAnsi="Times New Roman" w:cs="Times New Roman"/>
          <w:color w:val="000000"/>
        </w:rPr>
        <w:t xml:space="preserve">, sono gettati nell’indifferente trama dell’essenza suprema. La sostanza spinoziana non fa sua, come invece la riflessione böhmiana, la </w:t>
      </w:r>
      <w:r w:rsidRPr="00A27071">
        <w:rPr>
          <w:rFonts w:ascii="Times New Roman" w:eastAsia="Times New Roman" w:hAnsi="Times New Roman" w:cs="Times New Roman"/>
          <w:color w:val="000000"/>
        </w:rPr>
        <w:t>«Gegensatz des Positiven und Negativen […] wie er im Wesen ist»</w:t>
      </w:r>
      <w:r w:rsidRPr="00A27071">
        <w:rPr>
          <w:rStyle w:val="Rimandonotaapidipagina"/>
          <w:rFonts w:ascii="Times New Roman" w:eastAsia="Times New Roman" w:hAnsi="Times New Roman" w:cs="Times New Roman"/>
          <w:color w:val="000000"/>
        </w:rPr>
        <w:footnoteReference w:id="363"/>
      </w:r>
      <w:r w:rsidRPr="00A27071">
        <w:rPr>
          <w:rFonts w:ascii="Times New Roman" w:eastAsia="Times New Roman" w:hAnsi="Times New Roman" w:cs="Times New Roman"/>
          <w:color w:val="000000"/>
        </w:rPr>
        <w:t xml:space="preserve">. </w:t>
      </w:r>
    </w:p>
    <w:p w14:paraId="7D9F7E77" w14:textId="6F7F3EBB" w:rsidR="001B7751" w:rsidRDefault="001B7751" w:rsidP="001B7751">
      <w:pPr>
        <w:pStyle w:val="Paragrafoelenco"/>
        <w:spacing w:line="360" w:lineRule="auto"/>
        <w:ind w:left="0" w:firstLine="567"/>
        <w:jc w:val="both"/>
        <w:rPr>
          <w:rFonts w:ascii="Times New Roman" w:eastAsia="Times New Roman" w:hAnsi="Times New Roman" w:cs="Times New Roman"/>
          <w:color w:val="000000"/>
        </w:rPr>
      </w:pPr>
      <w:r>
        <w:rPr>
          <w:rFonts w:ascii="Times New Roman" w:eastAsia="Times New Roman" w:hAnsi="Times New Roman" w:cs="Times New Roman"/>
          <w:color w:val="000000"/>
        </w:rPr>
        <w:t>A questo punto, potrebbe sorgere spontanea un’osservazione: se Hegel ritiene che la teoria böhmiana dell’</w:t>
      </w:r>
      <w:r>
        <w:rPr>
          <w:rFonts w:ascii="Times New Roman" w:eastAsia="Times New Roman" w:hAnsi="Times New Roman" w:cs="Times New Roman"/>
          <w:i/>
          <w:color w:val="000000"/>
        </w:rPr>
        <w:t>Inq</w:t>
      </w:r>
      <w:r w:rsidRPr="00E55C5E">
        <w:rPr>
          <w:rFonts w:ascii="Times New Roman" w:eastAsia="Times New Roman" w:hAnsi="Times New Roman" w:cs="Times New Roman"/>
          <w:i/>
          <w:color w:val="000000"/>
        </w:rPr>
        <w:t>uali</w:t>
      </w:r>
      <w:r>
        <w:rPr>
          <w:rFonts w:ascii="Times New Roman" w:eastAsia="Times New Roman" w:hAnsi="Times New Roman" w:cs="Times New Roman"/>
          <w:i/>
          <w:color w:val="000000"/>
        </w:rPr>
        <w:t>erung</w:t>
      </w:r>
      <w:r>
        <w:rPr>
          <w:rFonts w:ascii="Times New Roman" w:eastAsia="Times New Roman" w:hAnsi="Times New Roman" w:cs="Times New Roman"/>
          <w:color w:val="000000"/>
        </w:rPr>
        <w:t xml:space="preserve"> rappresenti un passo in avanti – a livello della logica dell’essere e, ricorsivamente, a quello dell’essenza – rispetto alla concezione spinoziana della </w:t>
      </w:r>
      <w:r w:rsidRPr="001778AD">
        <w:rPr>
          <w:rFonts w:ascii="Times New Roman" w:eastAsia="Times New Roman" w:hAnsi="Times New Roman" w:cs="Times New Roman"/>
          <w:i/>
          <w:color w:val="000000"/>
        </w:rPr>
        <w:t>Qualität</w:t>
      </w:r>
      <w:r>
        <w:rPr>
          <w:rFonts w:ascii="Times New Roman" w:eastAsia="Times New Roman" w:hAnsi="Times New Roman" w:cs="Times New Roman"/>
          <w:color w:val="000000"/>
        </w:rPr>
        <w:t xml:space="preserve">, per quale motivo non ha inserito e commentato i due momenti in un’unica annotazione? Perché tenere separato ciò che consente d’evidenziare i limiti teorici di una determinazione di pensiero e, al contempo, la direzione che essa deve prendere al fine d’attuare tutto il suo potenziale speculativo? E ancora: se Böhme risponde a Spinoza, perché discutere prima la nozione di </w:t>
      </w:r>
      <w:r>
        <w:rPr>
          <w:rFonts w:ascii="Times New Roman" w:eastAsia="Times New Roman" w:hAnsi="Times New Roman" w:cs="Times New Roman"/>
          <w:i/>
          <w:color w:val="000000"/>
        </w:rPr>
        <w:t>Inq</w:t>
      </w:r>
      <w:r w:rsidRPr="00924C60">
        <w:rPr>
          <w:rFonts w:ascii="Times New Roman" w:eastAsia="Times New Roman" w:hAnsi="Times New Roman" w:cs="Times New Roman"/>
          <w:i/>
          <w:color w:val="000000"/>
        </w:rPr>
        <w:t>u</w:t>
      </w:r>
      <w:r>
        <w:rPr>
          <w:rFonts w:ascii="Times New Roman" w:eastAsia="Times New Roman" w:hAnsi="Times New Roman" w:cs="Times New Roman"/>
          <w:i/>
          <w:color w:val="000000"/>
        </w:rPr>
        <w:t>a</w:t>
      </w:r>
      <w:r w:rsidRPr="00924C60">
        <w:rPr>
          <w:rFonts w:ascii="Times New Roman" w:eastAsia="Times New Roman" w:hAnsi="Times New Roman" w:cs="Times New Roman"/>
          <w:i/>
          <w:color w:val="000000"/>
        </w:rPr>
        <w:t>lierung</w:t>
      </w:r>
      <w:r>
        <w:rPr>
          <w:rFonts w:ascii="Times New Roman" w:eastAsia="Times New Roman" w:hAnsi="Times New Roman" w:cs="Times New Roman"/>
          <w:color w:val="000000"/>
        </w:rPr>
        <w:t xml:space="preserve"> e poi il principio </w:t>
      </w:r>
      <w:r w:rsidRPr="00924C60">
        <w:rPr>
          <w:rFonts w:ascii="Times New Roman" w:eastAsia="Times New Roman" w:hAnsi="Times New Roman" w:cs="Times New Roman"/>
          <w:i/>
          <w:color w:val="000000"/>
        </w:rPr>
        <w:t>determinatio est negatio</w:t>
      </w:r>
      <w:r>
        <w:rPr>
          <w:rFonts w:ascii="Times New Roman" w:eastAsia="Times New Roman" w:hAnsi="Times New Roman" w:cs="Times New Roman"/>
          <w:color w:val="000000"/>
        </w:rPr>
        <w:t xml:space="preserve">? Tutte queste domande, che sembrano inficiare quanto detto finora, trovano una risposta nella seconda edizione del </w:t>
      </w:r>
      <w:r w:rsidRPr="00924C60">
        <w:rPr>
          <w:rFonts w:ascii="Times New Roman" w:eastAsia="Times New Roman" w:hAnsi="Times New Roman" w:cs="Times New Roman"/>
          <w:i/>
          <w:color w:val="000000"/>
        </w:rPr>
        <w:t>Logik des Seyns</w:t>
      </w:r>
      <w:r>
        <w:rPr>
          <w:rFonts w:ascii="Times New Roman" w:eastAsia="Times New Roman" w:hAnsi="Times New Roman" w:cs="Times New Roman"/>
          <w:color w:val="000000"/>
        </w:rPr>
        <w:t xml:space="preserve"> del 1832. Nessuno degli interpreti di Hegel – neanche coloro che si sono interrogati sulle differenze sussistenti fra le due edizioni del testo – si è accorto dell’accorpamento di queste due posizioni nell’</w:t>
      </w:r>
      <w:r w:rsidRPr="00924C60">
        <w:rPr>
          <w:rFonts w:ascii="Times New Roman" w:eastAsia="Times New Roman" w:hAnsi="Times New Roman" w:cs="Times New Roman"/>
          <w:i/>
          <w:color w:val="000000"/>
        </w:rPr>
        <w:t>Anmerkung</w:t>
      </w:r>
      <w:r>
        <w:rPr>
          <w:rFonts w:ascii="Times New Roman" w:eastAsia="Times New Roman" w:hAnsi="Times New Roman" w:cs="Times New Roman"/>
          <w:color w:val="000000"/>
        </w:rPr>
        <w:t xml:space="preserve"> alla </w:t>
      </w:r>
      <w:r w:rsidRPr="00924C60">
        <w:rPr>
          <w:rFonts w:ascii="Times New Roman" w:eastAsia="Times New Roman" w:hAnsi="Times New Roman" w:cs="Times New Roman"/>
          <w:i/>
          <w:color w:val="000000"/>
        </w:rPr>
        <w:t>Qualität</w:t>
      </w:r>
      <w:r>
        <w:rPr>
          <w:rFonts w:ascii="Times New Roman" w:eastAsia="Times New Roman" w:hAnsi="Times New Roman" w:cs="Times New Roman"/>
          <w:color w:val="000000"/>
        </w:rPr>
        <w:t xml:space="preserve">. Né John Burbidge, né Franco Chiereghin, </w:t>
      </w:r>
      <w:r w:rsidRPr="00185B36">
        <w:rPr>
          <w:rFonts w:ascii="Times New Roman" w:eastAsia="Times New Roman" w:hAnsi="Times New Roman" w:cs="Times New Roman"/>
          <w:color w:val="000000"/>
        </w:rPr>
        <w:t>né</w:t>
      </w:r>
      <w:r>
        <w:rPr>
          <w:rFonts w:ascii="Times New Roman" w:eastAsia="Times New Roman" w:hAnsi="Times New Roman" w:cs="Times New Roman"/>
          <w:color w:val="000000"/>
        </w:rPr>
        <w:t xml:space="preserve"> Stephen Houlgate, né Leo Lugarini, che pur hanno discusso le oscillazioni di significat</w:t>
      </w:r>
      <w:r w:rsidR="00EB7208">
        <w:rPr>
          <w:rFonts w:ascii="Times New Roman" w:eastAsia="Times New Roman" w:hAnsi="Times New Roman" w:cs="Times New Roman"/>
          <w:color w:val="000000"/>
        </w:rPr>
        <w:t>o presenti nelle due esposizioni</w:t>
      </w:r>
      <w:r>
        <w:rPr>
          <w:rFonts w:ascii="Times New Roman" w:eastAsia="Times New Roman" w:hAnsi="Times New Roman" w:cs="Times New Roman"/>
          <w:color w:val="000000"/>
        </w:rPr>
        <w:t xml:space="preserve"> della prima parte della </w:t>
      </w:r>
      <w:r w:rsidRPr="0061350B">
        <w:rPr>
          <w:rFonts w:ascii="Times New Roman" w:eastAsia="Times New Roman" w:hAnsi="Times New Roman" w:cs="Times New Roman"/>
          <w:i/>
          <w:color w:val="000000"/>
        </w:rPr>
        <w:t>objective Logik</w:t>
      </w:r>
      <w:r>
        <w:rPr>
          <w:rFonts w:ascii="Times New Roman" w:eastAsia="Times New Roman" w:hAnsi="Times New Roman" w:cs="Times New Roman"/>
          <w:color w:val="000000"/>
        </w:rPr>
        <w:t>, hanno prestato attenzione a quello che mi sembra essere un cambiamento significativo dell’impianto argomentativo hegeliano</w:t>
      </w:r>
      <w:r>
        <w:rPr>
          <w:rStyle w:val="Rimandonotaapidipagina"/>
          <w:rFonts w:ascii="Times New Roman" w:eastAsia="Times New Roman" w:hAnsi="Times New Roman" w:cs="Times New Roman"/>
          <w:color w:val="000000"/>
        </w:rPr>
        <w:footnoteReference w:id="364"/>
      </w:r>
      <w:r>
        <w:rPr>
          <w:rFonts w:ascii="Times New Roman" w:eastAsia="Times New Roman" w:hAnsi="Times New Roman" w:cs="Times New Roman"/>
          <w:color w:val="000000"/>
        </w:rPr>
        <w:t xml:space="preserve">. Hegel, infatti, si muove proprio nella direzione da noi indicata: esposto il principio spinoziano </w:t>
      </w:r>
      <w:r w:rsidRPr="00980797">
        <w:rPr>
          <w:rFonts w:ascii="Times New Roman" w:eastAsia="Times New Roman" w:hAnsi="Times New Roman" w:cs="Times New Roman"/>
          <w:i/>
          <w:color w:val="000000"/>
        </w:rPr>
        <w:t>determinatio est negatio</w:t>
      </w:r>
      <w:r>
        <w:rPr>
          <w:rFonts w:ascii="Times New Roman" w:eastAsia="Times New Roman" w:hAnsi="Times New Roman" w:cs="Times New Roman"/>
          <w:color w:val="000000"/>
        </w:rPr>
        <w:t xml:space="preserve">, segue una discussione concisa della nozione böhmiana di </w:t>
      </w:r>
      <w:r w:rsidRPr="00C86D2D">
        <w:rPr>
          <w:rFonts w:ascii="Times New Roman" w:eastAsia="Times New Roman" w:hAnsi="Times New Roman" w:cs="Times New Roman"/>
          <w:i/>
          <w:color w:val="000000"/>
        </w:rPr>
        <w:t>Inqualierung</w:t>
      </w:r>
      <w:r w:rsidRPr="00C86D2D">
        <w:rPr>
          <w:rFonts w:ascii="Times New Roman" w:eastAsia="Times New Roman" w:hAnsi="Times New Roman" w:cs="Times New Roman"/>
          <w:color w:val="000000"/>
        </w:rPr>
        <w:t>, ch</w:t>
      </w:r>
      <w:r w:rsidR="009B6BD7" w:rsidRPr="00C86D2D">
        <w:rPr>
          <w:rFonts w:ascii="Times New Roman" w:eastAsia="Times New Roman" w:hAnsi="Times New Roman" w:cs="Times New Roman"/>
          <w:color w:val="000000"/>
        </w:rPr>
        <w:t>e coglie la negazione non più</w:t>
      </w:r>
      <w:r w:rsidRPr="00C86D2D">
        <w:rPr>
          <w:rFonts w:ascii="Times New Roman" w:eastAsia="Times New Roman" w:hAnsi="Times New Roman" w:cs="Times New Roman"/>
          <w:color w:val="000000"/>
        </w:rPr>
        <w:t xml:space="preserve"> come un principio d’indiffer</w:t>
      </w:r>
      <w:r w:rsidR="009027C2" w:rsidRPr="00C86D2D">
        <w:rPr>
          <w:rFonts w:ascii="Times New Roman" w:eastAsia="Times New Roman" w:hAnsi="Times New Roman" w:cs="Times New Roman"/>
          <w:color w:val="000000"/>
        </w:rPr>
        <w:t>enziazione, ma come motor</w:t>
      </w:r>
      <w:r w:rsidR="000C4AFD" w:rsidRPr="00C86D2D">
        <w:rPr>
          <w:rFonts w:ascii="Times New Roman" w:eastAsia="Times New Roman" w:hAnsi="Times New Roman" w:cs="Times New Roman"/>
          <w:color w:val="000000"/>
        </w:rPr>
        <w:t>e d</w:t>
      </w:r>
      <w:r w:rsidR="009027C2" w:rsidRPr="00C86D2D">
        <w:rPr>
          <w:rFonts w:ascii="Times New Roman" w:eastAsia="Times New Roman" w:hAnsi="Times New Roman" w:cs="Times New Roman"/>
          <w:color w:val="000000"/>
        </w:rPr>
        <w:t>’auto-</w:t>
      </w:r>
      <w:r w:rsidR="009B6BD7" w:rsidRPr="00C86D2D">
        <w:rPr>
          <w:rFonts w:ascii="Times New Roman" w:eastAsia="Times New Roman" w:hAnsi="Times New Roman" w:cs="Times New Roman"/>
          <w:color w:val="000000"/>
        </w:rPr>
        <w:t>differenzia</w:t>
      </w:r>
      <w:r w:rsidR="009027C2" w:rsidRPr="00C86D2D">
        <w:rPr>
          <w:rFonts w:ascii="Times New Roman" w:eastAsia="Times New Roman" w:hAnsi="Times New Roman" w:cs="Times New Roman"/>
          <w:color w:val="000000"/>
        </w:rPr>
        <w:t>zione interiore</w:t>
      </w:r>
      <w:r w:rsidRPr="00C86D2D">
        <w:rPr>
          <w:rFonts w:ascii="Times New Roman" w:eastAsia="Times New Roman" w:hAnsi="Times New Roman" w:cs="Times New Roman"/>
          <w:color w:val="000000"/>
        </w:rPr>
        <w:t xml:space="preserve">. Se nei riguardi dell’ontologia spinoziana non si ravvisano cambiamenti argomentativi sostanziali, </w:t>
      </w:r>
      <w:r w:rsidR="009B6BD7" w:rsidRPr="00C86D2D">
        <w:rPr>
          <w:rFonts w:ascii="Times New Roman" w:eastAsia="Times New Roman" w:hAnsi="Times New Roman" w:cs="Times New Roman"/>
          <w:color w:val="000000"/>
        </w:rPr>
        <w:t xml:space="preserve">nei confronti </w:t>
      </w:r>
      <w:r w:rsidRPr="00C86D2D">
        <w:rPr>
          <w:rFonts w:ascii="Times New Roman" w:eastAsia="Times New Roman" w:hAnsi="Times New Roman" w:cs="Times New Roman"/>
          <w:color w:val="000000"/>
        </w:rPr>
        <w:t xml:space="preserve">della nozione di </w:t>
      </w:r>
      <w:r w:rsidRPr="00C86D2D">
        <w:rPr>
          <w:rFonts w:ascii="Times New Roman" w:eastAsia="Times New Roman" w:hAnsi="Times New Roman" w:cs="Times New Roman"/>
          <w:i/>
          <w:color w:val="000000"/>
        </w:rPr>
        <w:t xml:space="preserve">Inqualierung </w:t>
      </w:r>
      <w:r w:rsidR="00EB7208" w:rsidRPr="00C86D2D">
        <w:rPr>
          <w:rFonts w:ascii="Times New Roman" w:eastAsia="Times New Roman" w:hAnsi="Times New Roman" w:cs="Times New Roman"/>
          <w:color w:val="000000"/>
        </w:rPr>
        <w:t>sono risc</w:t>
      </w:r>
      <w:r w:rsidR="009B6BD7" w:rsidRPr="00C86D2D">
        <w:rPr>
          <w:rFonts w:ascii="Times New Roman" w:eastAsia="Times New Roman" w:hAnsi="Times New Roman" w:cs="Times New Roman"/>
          <w:color w:val="000000"/>
        </w:rPr>
        <w:t>ontrabili delle</w:t>
      </w:r>
      <w:r w:rsidRPr="00C86D2D">
        <w:rPr>
          <w:rFonts w:ascii="Times New Roman" w:eastAsia="Times New Roman" w:hAnsi="Times New Roman" w:cs="Times New Roman"/>
          <w:color w:val="000000"/>
        </w:rPr>
        <w:t xml:space="preserve"> evidenti</w:t>
      </w:r>
      <w:r w:rsidR="009B6BD7" w:rsidRPr="00C86D2D">
        <w:rPr>
          <w:rFonts w:ascii="Times New Roman" w:eastAsia="Times New Roman" w:hAnsi="Times New Roman" w:cs="Times New Roman"/>
          <w:color w:val="000000"/>
        </w:rPr>
        <w:t xml:space="preserve"> modifiche</w:t>
      </w:r>
      <w:r w:rsidRPr="00C86D2D">
        <w:rPr>
          <w:rFonts w:ascii="Times New Roman" w:eastAsia="Times New Roman" w:hAnsi="Times New Roman" w:cs="Times New Roman"/>
          <w:color w:val="000000"/>
        </w:rPr>
        <w:t>. Anche in questo caso, cito per intero il passo hegeliano:</w:t>
      </w:r>
    </w:p>
    <w:p w14:paraId="6AC3962F" w14:textId="77777777" w:rsidR="001B7751" w:rsidRDefault="001B7751" w:rsidP="001B7751">
      <w:pPr>
        <w:pStyle w:val="Paragrafoelenco"/>
        <w:spacing w:line="360" w:lineRule="auto"/>
        <w:ind w:left="708" w:firstLine="567"/>
        <w:jc w:val="both"/>
        <w:rPr>
          <w:rFonts w:ascii="Times New Roman" w:eastAsia="Times New Roman" w:hAnsi="Times New Roman" w:cs="Times New Roman"/>
          <w:color w:val="000000"/>
        </w:rPr>
      </w:pPr>
    </w:p>
    <w:p w14:paraId="6C658C1F" w14:textId="77777777" w:rsidR="001B7751" w:rsidRPr="00A27071" w:rsidRDefault="001B7751" w:rsidP="001B7751">
      <w:pPr>
        <w:pStyle w:val="Paragrafoelenco"/>
        <w:spacing w:line="360" w:lineRule="auto"/>
        <w:ind w:left="567" w:firstLine="567"/>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rPr>
        <w:t xml:space="preserve"> </w:t>
      </w:r>
      <w:r w:rsidRPr="00A27071">
        <w:rPr>
          <w:rFonts w:ascii="Times New Roman" w:eastAsia="Times New Roman" w:hAnsi="Times New Roman" w:cs="Times New Roman"/>
          <w:color w:val="000000"/>
          <w:sz w:val="20"/>
          <w:szCs w:val="20"/>
        </w:rPr>
        <w:t>«</w:t>
      </w:r>
      <w:r w:rsidRPr="00A27071">
        <w:rPr>
          <w:rFonts w:ascii="Times New Roman" w:eastAsia="Times New Roman" w:hAnsi="Times New Roman" w:cs="Times New Roman"/>
          <w:color w:val="000000"/>
          <w:sz w:val="20"/>
          <w:szCs w:val="20"/>
          <w:lang w:val="de-DE"/>
        </w:rPr>
        <w:t>Die Qualierung oder Inqualierung, ein Ausdruck</w:t>
      </w:r>
      <w:r>
        <w:rPr>
          <w:rFonts w:ascii="Times New Roman" w:eastAsia="Times New Roman" w:hAnsi="Times New Roman" w:cs="Times New Roman"/>
          <w:color w:val="000000"/>
          <w:sz w:val="20"/>
          <w:szCs w:val="20"/>
          <w:lang w:val="de-DE"/>
        </w:rPr>
        <w:t xml:space="preserve"> </w:t>
      </w:r>
      <w:r w:rsidRPr="00A27071">
        <w:rPr>
          <w:rFonts w:ascii="Times New Roman" w:eastAsia="Times New Roman" w:hAnsi="Times New Roman" w:cs="Times New Roman"/>
          <w:color w:val="000000"/>
          <w:sz w:val="20"/>
          <w:szCs w:val="20"/>
          <w:lang w:val="de-DE"/>
        </w:rPr>
        <w:t>der Jakob Böhmischen, einer in die Tiefe aber in eine trübe Tiefe gehenden Philosophie, bedeutet die Bewegung einer Qualität (der sauren, herben, feurigen usf.) in ihr selbst, insofern sie in ihrer negativen Natur (in ihrer Qual) sich aus anderem setzt und befestigt, überhaupt die Unruhe ihrer an ihr selbst, nach der sie nur im Kampfe sich hervorbringt und erhält</w:t>
      </w:r>
      <w:r w:rsidRPr="00A27071">
        <w:rPr>
          <w:rFonts w:ascii="Times New Roman" w:eastAsia="Times New Roman" w:hAnsi="Times New Roman" w:cs="Times New Roman"/>
          <w:color w:val="000000"/>
          <w:sz w:val="20"/>
          <w:szCs w:val="20"/>
        </w:rPr>
        <w:t>»</w:t>
      </w:r>
      <w:r w:rsidRPr="00A27071">
        <w:rPr>
          <w:rStyle w:val="Rimandonotaapidipagina"/>
          <w:rFonts w:ascii="Times New Roman" w:eastAsia="Times New Roman" w:hAnsi="Times New Roman" w:cs="Times New Roman"/>
          <w:color w:val="000000"/>
          <w:sz w:val="20"/>
          <w:szCs w:val="20"/>
        </w:rPr>
        <w:footnoteReference w:id="365"/>
      </w:r>
      <w:r w:rsidRPr="00A27071">
        <w:rPr>
          <w:rFonts w:ascii="Times New Roman" w:eastAsia="Times New Roman" w:hAnsi="Times New Roman" w:cs="Times New Roman"/>
          <w:color w:val="000000"/>
          <w:sz w:val="20"/>
          <w:szCs w:val="20"/>
        </w:rPr>
        <w:t>.</w:t>
      </w:r>
    </w:p>
    <w:p w14:paraId="0EBD758E" w14:textId="77777777" w:rsidR="001B7751" w:rsidRPr="00A040D1" w:rsidRDefault="001B7751" w:rsidP="001B7751">
      <w:pPr>
        <w:spacing w:line="360" w:lineRule="auto"/>
        <w:jc w:val="both"/>
        <w:rPr>
          <w:rFonts w:ascii="Times New Roman" w:eastAsia="Times New Roman" w:hAnsi="Times New Roman" w:cs="Times New Roman"/>
          <w:color w:val="000000"/>
        </w:rPr>
      </w:pPr>
    </w:p>
    <w:p w14:paraId="15537878" w14:textId="543D53CC" w:rsidR="001B7751" w:rsidRPr="00CA387C" w:rsidRDefault="001B7751" w:rsidP="001B7751">
      <w:pPr>
        <w:pStyle w:val="Paragrafoelenco"/>
        <w:spacing w:line="360" w:lineRule="auto"/>
        <w:ind w:left="0" w:firstLine="567"/>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Assenti sono quelle indicazioni sulla connessione fra </w:t>
      </w:r>
      <w:r>
        <w:rPr>
          <w:rFonts w:ascii="Times New Roman" w:eastAsia="Times New Roman" w:hAnsi="Times New Roman" w:cs="Times New Roman"/>
          <w:i/>
          <w:color w:val="000000"/>
        </w:rPr>
        <w:t>Inq</w:t>
      </w:r>
      <w:r w:rsidRPr="00DD1EF0">
        <w:rPr>
          <w:rFonts w:ascii="Times New Roman" w:eastAsia="Times New Roman" w:hAnsi="Times New Roman" w:cs="Times New Roman"/>
          <w:i/>
          <w:color w:val="000000"/>
        </w:rPr>
        <w:t>ualierung</w:t>
      </w:r>
      <w:r>
        <w:rPr>
          <w:rFonts w:ascii="Times New Roman" w:eastAsia="Times New Roman" w:hAnsi="Times New Roman" w:cs="Times New Roman"/>
          <w:color w:val="000000"/>
        </w:rPr>
        <w:t xml:space="preserve">, </w:t>
      </w:r>
      <w:r w:rsidRPr="00DD1EF0">
        <w:rPr>
          <w:rFonts w:ascii="Times New Roman" w:eastAsia="Times New Roman" w:hAnsi="Times New Roman" w:cs="Times New Roman"/>
          <w:i/>
          <w:color w:val="000000"/>
          <w:lang w:val="de-DE"/>
        </w:rPr>
        <w:t>Gegensatz</w:t>
      </w:r>
      <w:r>
        <w:rPr>
          <w:rFonts w:ascii="Times New Roman" w:eastAsia="Times New Roman" w:hAnsi="Times New Roman" w:cs="Times New Roman"/>
          <w:i/>
          <w:color w:val="000000"/>
          <w:lang w:val="de-DE"/>
        </w:rPr>
        <w:t xml:space="preserve"> </w:t>
      </w:r>
      <w:r>
        <w:rPr>
          <w:rFonts w:ascii="Times New Roman" w:eastAsia="Times New Roman" w:hAnsi="Times New Roman" w:cs="Times New Roman"/>
          <w:color w:val="000000"/>
          <w:lang w:val="de-DE"/>
        </w:rPr>
        <w:t xml:space="preserve">e </w:t>
      </w:r>
      <w:r>
        <w:rPr>
          <w:rFonts w:ascii="Times New Roman" w:eastAsia="Times New Roman" w:hAnsi="Times New Roman" w:cs="Times New Roman"/>
          <w:i/>
          <w:color w:val="000000"/>
          <w:lang w:val="de-DE"/>
        </w:rPr>
        <w:t>Wesen</w:t>
      </w:r>
      <w:r>
        <w:rPr>
          <w:rFonts w:ascii="Times New Roman" w:eastAsia="Times New Roman" w:hAnsi="Times New Roman" w:cs="Times New Roman"/>
          <w:color w:val="000000"/>
        </w:rPr>
        <w:t>. Lo sconfinare della categoria böhmiana n</w:t>
      </w:r>
      <w:r w:rsidR="00EB7208">
        <w:rPr>
          <w:rFonts w:ascii="Times New Roman" w:eastAsia="Times New Roman" w:hAnsi="Times New Roman" w:cs="Times New Roman"/>
          <w:color w:val="000000"/>
        </w:rPr>
        <w:t>ella sfera dell’essenza è omesso</w:t>
      </w:r>
      <w:r>
        <w:rPr>
          <w:rFonts w:ascii="Times New Roman" w:eastAsia="Times New Roman" w:hAnsi="Times New Roman" w:cs="Times New Roman"/>
          <w:color w:val="000000"/>
        </w:rPr>
        <w:t xml:space="preserve"> nella seconda edizione della </w:t>
      </w:r>
      <w:r w:rsidRPr="00DD1EF0">
        <w:rPr>
          <w:rFonts w:ascii="Times New Roman" w:eastAsia="Times New Roman" w:hAnsi="Times New Roman" w:cs="Times New Roman"/>
          <w:i/>
          <w:color w:val="000000"/>
        </w:rPr>
        <w:t>Logik des Seyns</w:t>
      </w:r>
      <w:r>
        <w:rPr>
          <w:rFonts w:ascii="Times New Roman" w:eastAsia="Times New Roman" w:hAnsi="Times New Roman" w:cs="Times New Roman"/>
          <w:color w:val="000000"/>
        </w:rPr>
        <w:t xml:space="preserve">, che si limita a riscontrarne la funzione all’interno della sfera dell’essere. </w:t>
      </w:r>
      <w:r w:rsidRPr="00C86D2D">
        <w:rPr>
          <w:rFonts w:ascii="Times New Roman" w:eastAsia="Times New Roman" w:hAnsi="Times New Roman" w:cs="Times New Roman"/>
          <w:color w:val="000000"/>
        </w:rPr>
        <w:t xml:space="preserve">Anche in questo caso, le modifiche apportate al testo sono state recepite </w:t>
      </w:r>
      <w:r w:rsidR="00D82AF8" w:rsidRPr="00C86D2D">
        <w:rPr>
          <w:rFonts w:ascii="Times New Roman" w:eastAsia="Times New Roman" w:hAnsi="Times New Roman" w:cs="Times New Roman"/>
          <w:color w:val="000000"/>
        </w:rPr>
        <w:t xml:space="preserve">deficitariamente </w:t>
      </w:r>
      <w:r w:rsidRPr="00C86D2D">
        <w:rPr>
          <w:rFonts w:ascii="Times New Roman" w:eastAsia="Times New Roman" w:hAnsi="Times New Roman" w:cs="Times New Roman"/>
          <w:color w:val="000000"/>
        </w:rPr>
        <w:t>dalla critica.</w:t>
      </w:r>
      <w:r>
        <w:rPr>
          <w:rFonts w:ascii="Times New Roman" w:eastAsia="Times New Roman" w:hAnsi="Times New Roman" w:cs="Times New Roman"/>
          <w:color w:val="000000"/>
        </w:rPr>
        <w:t xml:space="preserve"> Alexander Glenn Magee, per esempio, dedica, nel suo </w:t>
      </w:r>
      <w:r>
        <w:rPr>
          <w:rFonts w:ascii="Times New Roman" w:eastAsia="Times New Roman" w:hAnsi="Times New Roman" w:cs="Times New Roman"/>
          <w:i/>
          <w:color w:val="000000"/>
        </w:rPr>
        <w:t>Hegel and the Hermetic Tradition</w:t>
      </w:r>
      <w:r>
        <w:rPr>
          <w:rFonts w:ascii="Times New Roman" w:eastAsia="Times New Roman" w:hAnsi="Times New Roman" w:cs="Times New Roman"/>
          <w:color w:val="000000"/>
        </w:rPr>
        <w:t xml:space="preserve">, un intero capitolo sulle reminiscenze böhmiane nella </w:t>
      </w:r>
      <w:r w:rsidRPr="00DD1EF0">
        <w:rPr>
          <w:rFonts w:ascii="Times New Roman" w:eastAsia="Times New Roman" w:hAnsi="Times New Roman" w:cs="Times New Roman"/>
          <w:i/>
          <w:color w:val="000000"/>
        </w:rPr>
        <w:t>Wissenschaft der Logi</w:t>
      </w:r>
      <w:r w:rsidRPr="002B04D9">
        <w:rPr>
          <w:rFonts w:ascii="Times New Roman" w:eastAsia="Times New Roman" w:hAnsi="Times New Roman" w:cs="Times New Roman"/>
          <w:i/>
          <w:color w:val="000000"/>
        </w:rPr>
        <w:t>k</w:t>
      </w:r>
      <w:r w:rsidRPr="002B04D9">
        <w:rPr>
          <w:rStyle w:val="Rimandonotaapidipagina"/>
          <w:rFonts w:ascii="Times New Roman" w:eastAsia="Times New Roman" w:hAnsi="Times New Roman" w:cs="Times New Roman"/>
          <w:color w:val="000000"/>
        </w:rPr>
        <w:footnoteReference w:id="366"/>
      </w:r>
      <w:r w:rsidRPr="002B04D9">
        <w:rPr>
          <w:rFonts w:ascii="Times New Roman" w:eastAsia="Times New Roman" w:hAnsi="Times New Roman" w:cs="Times New Roman"/>
          <w:color w:val="000000"/>
        </w:rPr>
        <w:t>. Nonostante</w:t>
      </w:r>
      <w:r>
        <w:rPr>
          <w:rFonts w:ascii="Times New Roman" w:eastAsia="Times New Roman" w:hAnsi="Times New Roman" w:cs="Times New Roman"/>
          <w:color w:val="000000"/>
        </w:rPr>
        <w:t xml:space="preserve"> siano riportate entrambe le versioni del testo, viene del tutto a mancare una valorizzazione delle differenze specifiche che intercorrono fra il manoscritto del 1812 e quello del 1832. Addirittura, riportando il passo della seconda versione, Magee sostiene che il t</w:t>
      </w:r>
      <w:r w:rsidR="001C7409">
        <w:rPr>
          <w:rFonts w:ascii="Times New Roman" w:eastAsia="Times New Roman" w:hAnsi="Times New Roman" w:cs="Times New Roman"/>
          <w:color w:val="000000"/>
        </w:rPr>
        <w:t>aglio operato da Hegel non altera o scalfisce</w:t>
      </w:r>
      <w:r>
        <w:rPr>
          <w:rFonts w:ascii="Times New Roman" w:eastAsia="Times New Roman" w:hAnsi="Times New Roman" w:cs="Times New Roman"/>
          <w:color w:val="000000"/>
        </w:rPr>
        <w:t xml:space="preserve"> minimamente il nucleo speculativo di questa </w:t>
      </w:r>
      <w:r w:rsidRPr="008F30B2">
        <w:rPr>
          <w:rFonts w:ascii="Times New Roman" w:eastAsia="Times New Roman" w:hAnsi="Times New Roman" w:cs="Times New Roman"/>
          <w:i/>
          <w:color w:val="000000"/>
        </w:rPr>
        <w:t>Anmerkung</w:t>
      </w:r>
      <w:r>
        <w:rPr>
          <w:rFonts w:ascii="Times New Roman" w:eastAsia="Times New Roman" w:hAnsi="Times New Roman" w:cs="Times New Roman"/>
          <w:color w:val="000000"/>
        </w:rPr>
        <w:t xml:space="preserve">. Quelle linee, che sono state eliminate, sarebbero soltanto </w:t>
      </w:r>
      <w:r w:rsidRPr="00A27071">
        <w:rPr>
          <w:rFonts w:ascii="Times New Roman" w:eastAsia="Times New Roman" w:hAnsi="Times New Roman" w:cs="Times New Roman"/>
          <w:color w:val="000000"/>
        </w:rPr>
        <w:t>«</w:t>
      </w:r>
      <w:r w:rsidRPr="00A27071">
        <w:rPr>
          <w:rFonts w:ascii="Times New Roman" w:eastAsia="Times New Roman" w:hAnsi="Times New Roman" w:cs="Times New Roman"/>
          <w:color w:val="000000"/>
          <w:lang w:val="en-GB"/>
        </w:rPr>
        <w:t>the more opaque lines</w:t>
      </w:r>
      <w:r w:rsidRPr="00A27071">
        <w:rPr>
          <w:rFonts w:ascii="Times New Roman" w:eastAsia="Times New Roman" w:hAnsi="Times New Roman" w:cs="Times New Roman"/>
          <w:color w:val="000000"/>
        </w:rPr>
        <w:t>»</w:t>
      </w:r>
      <w:r w:rsidRPr="00A27071">
        <w:rPr>
          <w:rStyle w:val="Rimandonotaapidipagina"/>
          <w:rFonts w:ascii="Times New Roman" w:eastAsia="Times New Roman" w:hAnsi="Times New Roman" w:cs="Times New Roman"/>
          <w:color w:val="000000"/>
        </w:rPr>
        <w:footnoteReference w:id="367"/>
      </w:r>
      <w:r>
        <w:rPr>
          <w:rFonts w:ascii="Times New Roman" w:eastAsia="Times New Roman" w:hAnsi="Times New Roman" w:cs="Times New Roman"/>
          <w:color w:val="000000"/>
        </w:rPr>
        <w:t xml:space="preserve"> dell’argomentazione hegeliana. Non ritengo plausibile quest’interpretazione </w:t>
      </w:r>
      <w:r w:rsidRPr="00CA387C">
        <w:rPr>
          <w:rFonts w:ascii="Times New Roman" w:eastAsia="Times New Roman" w:hAnsi="Times New Roman" w:cs="Times New Roman"/>
          <w:color w:val="000000"/>
        </w:rPr>
        <w:t xml:space="preserve">dal momento che il contenuto tagliato, lungi dall’essere un qualcosa di opaco, offre una serie di coordinate speculative fondamentali per la comprensione del ruolo </w:t>
      </w:r>
      <w:r>
        <w:rPr>
          <w:rFonts w:ascii="Times New Roman" w:eastAsia="Times New Roman" w:hAnsi="Times New Roman" w:cs="Times New Roman"/>
          <w:color w:val="000000"/>
        </w:rPr>
        <w:t>di Böhme all’intern</w:t>
      </w:r>
      <w:r w:rsidRPr="008F6E88">
        <w:rPr>
          <w:rFonts w:ascii="Times New Roman" w:eastAsia="Times New Roman" w:hAnsi="Times New Roman" w:cs="Times New Roman"/>
          <w:color w:val="000000"/>
        </w:rPr>
        <w:t xml:space="preserve">o della </w:t>
      </w:r>
      <w:r w:rsidRPr="008F6E88">
        <w:rPr>
          <w:rFonts w:ascii="Times New Roman" w:eastAsia="Times New Roman" w:hAnsi="Times New Roman" w:cs="Times New Roman"/>
          <w:i/>
          <w:color w:val="000000"/>
        </w:rPr>
        <w:t>Wesenslogik</w:t>
      </w:r>
      <w:r w:rsidRPr="008F6E88">
        <w:rPr>
          <w:rFonts w:ascii="Times New Roman" w:eastAsia="Times New Roman" w:hAnsi="Times New Roman" w:cs="Times New Roman"/>
          <w:color w:val="000000"/>
        </w:rPr>
        <w:t xml:space="preserve">. Che sia legittimo interrogarsi sul perché di questa modifica è cosa chiara; che non sia lecito liquidare la questione per ragioni arbitrarie e non fondate su un’analisi più ampia della struttura della </w:t>
      </w:r>
      <w:r w:rsidRPr="008F6E88">
        <w:rPr>
          <w:rFonts w:ascii="Times New Roman" w:eastAsia="Times New Roman" w:hAnsi="Times New Roman" w:cs="Times New Roman"/>
          <w:i/>
          <w:color w:val="000000"/>
        </w:rPr>
        <w:t>logica</w:t>
      </w:r>
      <w:r w:rsidRPr="008F6E88">
        <w:rPr>
          <w:rFonts w:ascii="Times New Roman" w:eastAsia="Times New Roman" w:hAnsi="Times New Roman" w:cs="Times New Roman"/>
          <w:color w:val="000000"/>
        </w:rPr>
        <w:t xml:space="preserve"> è cosa altrettanto evidente.</w:t>
      </w:r>
      <w:r w:rsidRPr="00CA387C">
        <w:rPr>
          <w:rFonts w:ascii="Times New Roman" w:eastAsia="Times New Roman" w:hAnsi="Times New Roman" w:cs="Times New Roman"/>
          <w:color w:val="000000"/>
        </w:rPr>
        <w:t xml:space="preserve"> </w:t>
      </w:r>
    </w:p>
    <w:p w14:paraId="3E4149B1" w14:textId="77777777" w:rsidR="001B7751" w:rsidRPr="00D04940" w:rsidRDefault="001B7751" w:rsidP="001B7751">
      <w:pPr>
        <w:pStyle w:val="Paragrafoelenco"/>
        <w:spacing w:line="360" w:lineRule="auto"/>
        <w:ind w:left="0" w:firstLine="567"/>
        <w:jc w:val="both"/>
        <w:rPr>
          <w:rFonts w:ascii="Times New Roman" w:eastAsia="Times New Roman" w:hAnsi="Times New Roman" w:cs="Times New Roman"/>
          <w:color w:val="000000"/>
        </w:rPr>
      </w:pPr>
      <w:r w:rsidRPr="008B7986">
        <w:rPr>
          <w:rFonts w:ascii="Times New Roman" w:eastAsia="Times New Roman" w:hAnsi="Times New Roman" w:cs="Times New Roman"/>
          <w:color w:val="000000"/>
        </w:rPr>
        <w:t>Proprio sul perché, o sulle ragioni speculative, di questa modifica, Cecilia Muratori ha formulato un</w:t>
      </w:r>
      <w:r>
        <w:rPr>
          <w:rFonts w:ascii="Times New Roman" w:eastAsia="Times New Roman" w:hAnsi="Times New Roman" w:cs="Times New Roman"/>
          <w:color w:val="000000"/>
        </w:rPr>
        <w:t>’</w:t>
      </w:r>
      <w:r w:rsidRPr="008B7986">
        <w:rPr>
          <w:rFonts w:ascii="Times New Roman" w:eastAsia="Times New Roman" w:hAnsi="Times New Roman" w:cs="Times New Roman"/>
          <w:color w:val="000000"/>
        </w:rPr>
        <w:t>ipotesi interpretativa</w:t>
      </w:r>
      <w:r>
        <w:rPr>
          <w:rStyle w:val="Rimandonotaapidipagina"/>
          <w:rFonts w:ascii="Times New Roman" w:eastAsia="Times New Roman" w:hAnsi="Times New Roman" w:cs="Times New Roman"/>
          <w:color w:val="000000"/>
        </w:rPr>
        <w:footnoteReference w:id="368"/>
      </w:r>
      <w:r>
        <w:rPr>
          <w:rFonts w:ascii="Times New Roman" w:eastAsia="Times New Roman" w:hAnsi="Times New Roman" w:cs="Times New Roman"/>
          <w:color w:val="000000"/>
        </w:rPr>
        <w:t xml:space="preserve">. </w:t>
      </w:r>
      <w:r w:rsidRPr="0058196B">
        <w:rPr>
          <w:rFonts w:ascii="Times New Roman" w:eastAsia="Times New Roman" w:hAnsi="Times New Roman" w:cs="Times New Roman"/>
          <w:color w:val="000000"/>
        </w:rPr>
        <w:t>In sostanza, è una logica dell’approfondimento a dettare l’</w:t>
      </w:r>
      <w:r w:rsidRPr="0058196B">
        <w:rPr>
          <w:rFonts w:ascii="Times New Roman" w:eastAsia="Times New Roman" w:hAnsi="Times New Roman" w:cs="Times New Roman"/>
          <w:i/>
          <w:color w:val="000000"/>
        </w:rPr>
        <w:t xml:space="preserve">Auseinandersetzung </w:t>
      </w:r>
      <w:r w:rsidRPr="0058196B">
        <w:rPr>
          <w:rFonts w:ascii="Times New Roman" w:eastAsia="Times New Roman" w:hAnsi="Times New Roman" w:cs="Times New Roman"/>
          <w:color w:val="000000"/>
        </w:rPr>
        <w:t xml:space="preserve">di Hegel con </w:t>
      </w:r>
      <w:r>
        <w:rPr>
          <w:rFonts w:ascii="Times New Roman" w:eastAsia="Times New Roman" w:hAnsi="Times New Roman" w:cs="Times New Roman"/>
          <w:color w:val="000000"/>
        </w:rPr>
        <w:t xml:space="preserve">il pensiero </w:t>
      </w:r>
      <w:r w:rsidRPr="0058196B">
        <w:rPr>
          <w:rFonts w:ascii="Times New Roman" w:eastAsia="Times New Roman" w:hAnsi="Times New Roman" w:cs="Times New Roman"/>
          <w:color w:val="000000"/>
        </w:rPr>
        <w:t xml:space="preserve">di Böhme: le modifiche alla </w:t>
      </w:r>
      <w:r w:rsidRPr="0058196B">
        <w:rPr>
          <w:rFonts w:ascii="Times New Roman" w:eastAsia="Times New Roman" w:hAnsi="Times New Roman" w:cs="Times New Roman"/>
          <w:i/>
          <w:color w:val="000000"/>
        </w:rPr>
        <w:t>Logik des Seyns</w:t>
      </w:r>
      <w:r w:rsidRPr="0058196B">
        <w:rPr>
          <w:rFonts w:ascii="Times New Roman" w:eastAsia="Times New Roman" w:hAnsi="Times New Roman" w:cs="Times New Roman"/>
          <w:color w:val="000000"/>
        </w:rPr>
        <w:t xml:space="preserve">, che occorrono nel ventennio che separa la prima e </w:t>
      </w:r>
      <w:r w:rsidRPr="00D04940">
        <w:rPr>
          <w:rFonts w:ascii="Times New Roman" w:eastAsia="Times New Roman" w:hAnsi="Times New Roman" w:cs="Times New Roman"/>
          <w:color w:val="000000"/>
        </w:rPr>
        <w:t>la seconda edizione del testo, attestano un progressivo ampliarsi della conoscenza hegeliana dell’opera di Böhme. Per esempio, il riferimento alla tipologia delle qualità, che è assente nella prima versione dell’</w:t>
      </w:r>
      <w:r w:rsidRPr="00D04940">
        <w:rPr>
          <w:rFonts w:ascii="Times New Roman" w:eastAsia="Times New Roman" w:hAnsi="Times New Roman" w:cs="Times New Roman"/>
          <w:i/>
          <w:color w:val="000000"/>
          <w:lang w:val="de-DE"/>
        </w:rPr>
        <w:t>Anmerkung</w:t>
      </w:r>
      <w:r w:rsidRPr="00D04940">
        <w:rPr>
          <w:rFonts w:ascii="Times New Roman" w:eastAsia="Times New Roman" w:hAnsi="Times New Roman" w:cs="Times New Roman"/>
          <w:color w:val="000000"/>
        </w:rPr>
        <w:t xml:space="preserve"> e presente, invece, nella versione del 1832,</w:t>
      </w:r>
      <w:r>
        <w:rPr>
          <w:rFonts w:ascii="Times New Roman" w:eastAsia="Times New Roman" w:hAnsi="Times New Roman" w:cs="Times New Roman"/>
          <w:color w:val="000000"/>
        </w:rPr>
        <w:t xml:space="preserve"> </w:t>
      </w:r>
      <w:r w:rsidRPr="0058196B">
        <w:rPr>
          <w:rFonts w:ascii="Times New Roman" w:eastAsia="Times New Roman" w:hAnsi="Times New Roman" w:cs="Times New Roman"/>
          <w:color w:val="000000"/>
        </w:rPr>
        <w:t xml:space="preserve">manifesta una ripresa più attenta e puntuale di </w:t>
      </w:r>
      <w:r>
        <w:rPr>
          <w:rFonts w:ascii="Times New Roman" w:eastAsia="Times New Roman" w:hAnsi="Times New Roman" w:cs="Times New Roman"/>
          <w:i/>
          <w:color w:val="000000"/>
          <w:lang w:val="de-DE"/>
        </w:rPr>
        <w:t>Morgenrö</w:t>
      </w:r>
      <w:r w:rsidRPr="0058196B">
        <w:rPr>
          <w:rFonts w:ascii="Times New Roman" w:eastAsia="Times New Roman" w:hAnsi="Times New Roman" w:cs="Times New Roman"/>
          <w:i/>
          <w:color w:val="000000"/>
          <w:lang w:val="de-DE"/>
        </w:rPr>
        <w:t>te</w:t>
      </w:r>
      <w:r w:rsidRPr="0058196B">
        <w:rPr>
          <w:rStyle w:val="Rimandonotaapidipagina"/>
          <w:rFonts w:ascii="Times New Roman" w:eastAsia="Times New Roman" w:hAnsi="Times New Roman" w:cs="Times New Roman"/>
          <w:color w:val="000000"/>
        </w:rPr>
        <w:footnoteReference w:id="369"/>
      </w:r>
      <w:r w:rsidRPr="0058196B">
        <w:rPr>
          <w:rFonts w:ascii="Times New Roman" w:eastAsia="Times New Roman" w:hAnsi="Times New Roman" w:cs="Times New Roman"/>
          <w:color w:val="000000"/>
        </w:rPr>
        <w:t>.</w:t>
      </w:r>
      <w:r w:rsidRPr="0058196B">
        <w:rPr>
          <w:rFonts w:ascii="Times New Roman" w:eastAsia="Times New Roman" w:hAnsi="Times New Roman" w:cs="Times New Roman"/>
          <w:color w:val="000000"/>
          <w:lang w:val="de-DE"/>
        </w:rPr>
        <w:t xml:space="preserve"> </w:t>
      </w:r>
      <w:r w:rsidRPr="008E7FEF">
        <w:rPr>
          <w:rFonts w:ascii="Times New Roman" w:eastAsia="Times New Roman" w:hAnsi="Times New Roman" w:cs="Times New Roman"/>
          <w:color w:val="000000"/>
        </w:rPr>
        <w:t>All’infittirsi dei riferimenti all’opera del ciabattino di Görlitz, non segue, però, un parallelo mutamento contenutistico del testo hegeliano</w:t>
      </w:r>
      <w:r w:rsidRPr="0058196B">
        <w:rPr>
          <w:rFonts w:ascii="Times New Roman" w:eastAsia="Times New Roman" w:hAnsi="Times New Roman" w:cs="Times New Roman"/>
          <w:color w:val="000000"/>
        </w:rPr>
        <w:t>: per Muratori, ciò che preme ad Hegel è il recupero della dinamicità insita nella nozione</w:t>
      </w:r>
      <w:r w:rsidRPr="008B7986">
        <w:rPr>
          <w:rFonts w:ascii="Times New Roman" w:eastAsia="Times New Roman" w:hAnsi="Times New Roman" w:cs="Times New Roman"/>
          <w:color w:val="000000"/>
        </w:rPr>
        <w:t xml:space="preserve"> di </w:t>
      </w:r>
      <w:r w:rsidRPr="008B7986">
        <w:rPr>
          <w:rFonts w:ascii="Times New Roman" w:eastAsia="Times New Roman" w:hAnsi="Times New Roman" w:cs="Times New Roman"/>
          <w:i/>
          <w:color w:val="000000"/>
        </w:rPr>
        <w:t>Qual</w:t>
      </w:r>
      <w:r>
        <w:rPr>
          <w:rStyle w:val="Rimandonotaapidipagina"/>
          <w:rFonts w:ascii="Times New Roman" w:eastAsia="Times New Roman" w:hAnsi="Times New Roman" w:cs="Times New Roman"/>
          <w:color w:val="000000"/>
        </w:rPr>
        <w:footnoteReference w:id="370"/>
      </w:r>
      <w:r w:rsidRPr="008B7986">
        <w:rPr>
          <w:rFonts w:ascii="Times New Roman" w:eastAsia="Times New Roman" w:hAnsi="Times New Roman" w:cs="Times New Roman"/>
          <w:color w:val="000000"/>
        </w:rPr>
        <w:t xml:space="preserve">. </w:t>
      </w:r>
      <w:r w:rsidRPr="005B5476">
        <w:rPr>
          <w:rFonts w:ascii="Times New Roman" w:eastAsia="Times New Roman" w:hAnsi="Times New Roman" w:cs="Times New Roman"/>
          <w:color w:val="000000"/>
        </w:rPr>
        <w:t xml:space="preserve">Nessun accento particolare è posto sulla connessione fra </w:t>
      </w:r>
      <w:r w:rsidRPr="005B5476">
        <w:rPr>
          <w:rFonts w:ascii="Times New Roman" w:eastAsia="Times New Roman" w:hAnsi="Times New Roman" w:cs="Times New Roman"/>
          <w:i/>
          <w:color w:val="000000"/>
          <w:lang w:val="de-DE"/>
        </w:rPr>
        <w:t>Inqualierung</w:t>
      </w:r>
      <w:r w:rsidRPr="005B5476">
        <w:rPr>
          <w:rFonts w:ascii="Times New Roman" w:eastAsia="Times New Roman" w:hAnsi="Times New Roman" w:cs="Times New Roman"/>
          <w:color w:val="000000"/>
          <w:lang w:val="de-DE"/>
        </w:rPr>
        <w:t xml:space="preserve">, </w:t>
      </w:r>
      <w:r w:rsidRPr="005B5476">
        <w:rPr>
          <w:rFonts w:ascii="Times New Roman" w:eastAsia="Times New Roman" w:hAnsi="Times New Roman" w:cs="Times New Roman"/>
          <w:i/>
          <w:color w:val="000000"/>
          <w:lang w:val="de-DE"/>
        </w:rPr>
        <w:t>Gegensatz</w:t>
      </w:r>
      <w:r w:rsidRPr="005B5476">
        <w:rPr>
          <w:rFonts w:ascii="Times New Roman" w:eastAsia="Times New Roman" w:hAnsi="Times New Roman" w:cs="Times New Roman"/>
          <w:color w:val="000000"/>
          <w:lang w:val="de-DE"/>
        </w:rPr>
        <w:t xml:space="preserve"> e </w:t>
      </w:r>
      <w:r w:rsidRPr="005B5476">
        <w:rPr>
          <w:rFonts w:ascii="Times New Roman" w:eastAsia="Times New Roman" w:hAnsi="Times New Roman" w:cs="Times New Roman"/>
          <w:i/>
          <w:color w:val="000000"/>
          <w:lang w:val="de-DE"/>
        </w:rPr>
        <w:t>Wesen</w:t>
      </w:r>
      <w:r w:rsidRPr="005B5476">
        <w:rPr>
          <w:rFonts w:ascii="Times New Roman" w:eastAsia="Times New Roman" w:hAnsi="Times New Roman" w:cs="Times New Roman"/>
          <w:color w:val="000000"/>
          <w:lang w:val="de-DE"/>
        </w:rPr>
        <w:t>.</w:t>
      </w:r>
      <w:r w:rsidRPr="005B5476">
        <w:rPr>
          <w:rFonts w:ascii="Times New Roman" w:eastAsia="Times New Roman" w:hAnsi="Times New Roman" w:cs="Times New Roman"/>
          <w:color w:val="000000"/>
        </w:rPr>
        <w:t xml:space="preserve"> Similarmente, non ci si interroga sulle ragioni che hanno spinto Hegel ad omettere i richiami alla </w:t>
      </w:r>
      <w:r w:rsidRPr="005B5476">
        <w:rPr>
          <w:rFonts w:ascii="Times New Roman" w:eastAsia="Times New Roman" w:hAnsi="Times New Roman" w:cs="Times New Roman"/>
          <w:i/>
          <w:color w:val="000000"/>
          <w:lang w:val="de-DE"/>
        </w:rPr>
        <w:t>Wesenslogik</w:t>
      </w:r>
      <w:r w:rsidRPr="005B5476">
        <w:rPr>
          <w:rFonts w:ascii="Times New Roman" w:eastAsia="Times New Roman" w:hAnsi="Times New Roman" w:cs="Times New Roman"/>
          <w:color w:val="000000"/>
        </w:rPr>
        <w:t xml:space="preserve"> nella seconda edizione della</w:t>
      </w:r>
      <w:r w:rsidRPr="005B5476">
        <w:rPr>
          <w:rFonts w:ascii="Times New Roman" w:eastAsia="Times New Roman" w:hAnsi="Times New Roman" w:cs="Times New Roman"/>
          <w:i/>
          <w:color w:val="000000"/>
        </w:rPr>
        <w:t xml:space="preserve"> </w:t>
      </w:r>
      <w:r w:rsidRPr="005B5476">
        <w:rPr>
          <w:rFonts w:ascii="Times New Roman" w:eastAsia="Times New Roman" w:hAnsi="Times New Roman" w:cs="Times New Roman"/>
          <w:color w:val="000000"/>
        </w:rPr>
        <w:t>logica dell’essere.</w:t>
      </w:r>
      <w:r>
        <w:rPr>
          <w:rFonts w:ascii="Times New Roman" w:eastAsia="Times New Roman" w:hAnsi="Times New Roman" w:cs="Times New Roman"/>
          <w:color w:val="000000"/>
        </w:rPr>
        <w:t xml:space="preserve"> Come si vede le questioni di natura speculativa cadono nella misura in cui s’individua un contenuto circoscritto, determinato e stabile (il movimento in sé della qualità), che si reitererebbe, arricchito da nuovi riferimenti, ma intatto nella sua sostanza, nella revisione del primo </w:t>
      </w:r>
      <w:r w:rsidRPr="00D04940">
        <w:rPr>
          <w:rFonts w:ascii="Times New Roman" w:eastAsia="Times New Roman" w:hAnsi="Times New Roman" w:cs="Times New Roman"/>
          <w:color w:val="000000"/>
        </w:rPr>
        <w:t xml:space="preserve">tomo della </w:t>
      </w:r>
      <w:r w:rsidRPr="00D04940">
        <w:rPr>
          <w:rFonts w:ascii="Times New Roman" w:eastAsia="Times New Roman" w:hAnsi="Times New Roman" w:cs="Times New Roman"/>
          <w:i/>
          <w:color w:val="000000"/>
          <w:lang w:val="de-DE"/>
        </w:rPr>
        <w:t>objective Logik</w:t>
      </w:r>
      <w:r w:rsidRPr="00D04940">
        <w:rPr>
          <w:rFonts w:ascii="Times New Roman" w:eastAsia="Times New Roman" w:hAnsi="Times New Roman" w:cs="Times New Roman"/>
          <w:color w:val="000000"/>
        </w:rPr>
        <w:t xml:space="preserve">. </w:t>
      </w:r>
    </w:p>
    <w:p w14:paraId="37A8CA13" w14:textId="77777777" w:rsidR="008134A2" w:rsidRDefault="001B7751" w:rsidP="001B7751">
      <w:pPr>
        <w:pStyle w:val="Paragrafoelenco"/>
        <w:spacing w:line="360" w:lineRule="auto"/>
        <w:ind w:left="0" w:firstLine="567"/>
        <w:jc w:val="both"/>
        <w:rPr>
          <w:rFonts w:ascii="Times New Roman" w:eastAsia="Times New Roman" w:hAnsi="Times New Roman" w:cs="Times New Roman"/>
          <w:color w:val="000000"/>
        </w:rPr>
      </w:pPr>
      <w:r w:rsidRPr="00D04940">
        <w:rPr>
          <w:rFonts w:ascii="Times New Roman" w:eastAsia="Times New Roman" w:hAnsi="Times New Roman" w:cs="Times New Roman"/>
          <w:color w:val="000000"/>
        </w:rPr>
        <w:t>A questo punto, mi sia permesso d’esprimermi sulle modifiche r</w:t>
      </w:r>
      <w:r w:rsidR="00B36548">
        <w:rPr>
          <w:rFonts w:ascii="Times New Roman" w:eastAsia="Times New Roman" w:hAnsi="Times New Roman" w:cs="Times New Roman"/>
          <w:color w:val="000000"/>
        </w:rPr>
        <w:t>iscontrabili fra le due versioni</w:t>
      </w:r>
      <w:r w:rsidRPr="00D04940">
        <w:rPr>
          <w:rFonts w:ascii="Times New Roman" w:eastAsia="Times New Roman" w:hAnsi="Times New Roman" w:cs="Times New Roman"/>
          <w:color w:val="000000"/>
        </w:rPr>
        <w:t xml:space="preserve"> delle note sull’</w:t>
      </w:r>
      <w:r w:rsidRPr="00D04940">
        <w:rPr>
          <w:rFonts w:ascii="Times New Roman" w:eastAsia="Times New Roman" w:hAnsi="Times New Roman" w:cs="Times New Roman"/>
          <w:i/>
          <w:color w:val="000000"/>
        </w:rPr>
        <w:t>Inqualierung</w:t>
      </w:r>
      <w:r w:rsidRPr="00D04940">
        <w:rPr>
          <w:rFonts w:ascii="Times New Roman" w:eastAsia="Times New Roman" w:hAnsi="Times New Roman" w:cs="Times New Roman"/>
          <w:color w:val="000000"/>
        </w:rPr>
        <w:t>.</w:t>
      </w:r>
      <w:r w:rsidRPr="00397DE7">
        <w:rPr>
          <w:rFonts w:ascii="Times New Roman" w:eastAsia="Times New Roman" w:hAnsi="Times New Roman" w:cs="Times New Roman"/>
          <w:color w:val="000000"/>
        </w:rPr>
        <w:t xml:space="preserve"> Il fatto che il riferimento alla logica dell’essenza vada perduto non mi sembra </w:t>
      </w:r>
      <w:r>
        <w:rPr>
          <w:rFonts w:ascii="Times New Roman" w:eastAsia="Times New Roman" w:hAnsi="Times New Roman" w:cs="Times New Roman"/>
          <w:color w:val="000000"/>
        </w:rPr>
        <w:t xml:space="preserve">precluderne il </w:t>
      </w:r>
      <w:r w:rsidRPr="006B2202">
        <w:rPr>
          <w:rFonts w:ascii="Times New Roman" w:eastAsia="Times New Roman" w:hAnsi="Times New Roman" w:cs="Times New Roman"/>
          <w:i/>
          <w:color w:val="000000"/>
        </w:rPr>
        <w:t>ricorrere</w:t>
      </w:r>
      <w:r>
        <w:rPr>
          <w:rFonts w:ascii="Times New Roman" w:eastAsia="Times New Roman" w:hAnsi="Times New Roman" w:cs="Times New Roman"/>
          <w:color w:val="000000"/>
        </w:rPr>
        <w:t xml:space="preserve"> nella </w:t>
      </w:r>
      <w:r w:rsidRPr="006B2202">
        <w:rPr>
          <w:rFonts w:ascii="Times New Roman" w:eastAsia="Times New Roman" w:hAnsi="Times New Roman" w:cs="Times New Roman"/>
          <w:i/>
          <w:color w:val="000000"/>
          <w:lang w:val="de-DE"/>
        </w:rPr>
        <w:t>Wesenslogik</w:t>
      </w:r>
      <w:r w:rsidRPr="00397DE7">
        <w:rPr>
          <w:rFonts w:ascii="Times New Roman" w:eastAsia="Times New Roman" w:hAnsi="Times New Roman" w:cs="Times New Roman"/>
          <w:color w:val="000000"/>
        </w:rPr>
        <w:t xml:space="preserve">. </w:t>
      </w:r>
      <w:r w:rsidRPr="006B2202">
        <w:rPr>
          <w:rFonts w:ascii="Times New Roman" w:eastAsia="Times New Roman" w:hAnsi="Times New Roman" w:cs="Times New Roman"/>
          <w:color w:val="000000"/>
        </w:rPr>
        <w:t>Anzi, l’aver impostato l’</w:t>
      </w:r>
      <w:r w:rsidRPr="006B2202">
        <w:rPr>
          <w:rFonts w:ascii="Times New Roman" w:eastAsia="Times New Roman" w:hAnsi="Times New Roman" w:cs="Times New Roman"/>
          <w:i/>
          <w:color w:val="000000"/>
          <w:lang w:val="de-DE"/>
        </w:rPr>
        <w:t>Anmerkung</w:t>
      </w:r>
      <w:r w:rsidRPr="006B2202">
        <w:rPr>
          <w:rFonts w:ascii="Times New Roman" w:eastAsia="Times New Roman" w:hAnsi="Times New Roman" w:cs="Times New Roman"/>
          <w:color w:val="000000"/>
        </w:rPr>
        <w:t xml:space="preserve"> alla </w:t>
      </w:r>
      <w:r w:rsidRPr="006B2202">
        <w:rPr>
          <w:rFonts w:ascii="Times New Roman" w:eastAsia="Times New Roman" w:hAnsi="Times New Roman" w:cs="Times New Roman"/>
          <w:i/>
          <w:color w:val="000000"/>
          <w:lang w:val="de-DE"/>
        </w:rPr>
        <w:t>Qualität</w:t>
      </w:r>
      <w:r w:rsidRPr="006B2202">
        <w:rPr>
          <w:rFonts w:ascii="Times New Roman" w:eastAsia="Times New Roman" w:hAnsi="Times New Roman" w:cs="Times New Roman"/>
          <w:color w:val="000000"/>
          <w:lang w:val="de-DE"/>
        </w:rPr>
        <w:t xml:space="preserve"> i</w:t>
      </w:r>
      <w:r w:rsidRPr="006B2202">
        <w:rPr>
          <w:rFonts w:ascii="Times New Roman" w:eastAsia="Times New Roman" w:hAnsi="Times New Roman" w:cs="Times New Roman"/>
          <w:color w:val="000000"/>
        </w:rPr>
        <w:t>n modo tale da delineare, gi</w:t>
      </w:r>
      <w:r w:rsidR="00A0739A">
        <w:rPr>
          <w:rFonts w:ascii="Times New Roman" w:eastAsia="Times New Roman" w:hAnsi="Times New Roman" w:cs="Times New Roman"/>
          <w:color w:val="000000"/>
        </w:rPr>
        <w:t>à a livello delle determinazioni</w:t>
      </w:r>
      <w:r w:rsidRPr="006B2202">
        <w:rPr>
          <w:rFonts w:ascii="Times New Roman" w:eastAsia="Times New Roman" w:hAnsi="Times New Roman" w:cs="Times New Roman"/>
          <w:color w:val="000000"/>
        </w:rPr>
        <w:t xml:space="preserve"> dell’essere, una contrapposizione fra due modelli di negatività e d’Assoluto è coerente con quanto sarà analizzato nel proseguo di questo capitolo.</w:t>
      </w:r>
      <w:r w:rsidRPr="00397DE7">
        <w:rPr>
          <w:rFonts w:ascii="Times New Roman" w:eastAsia="Times New Roman" w:hAnsi="Times New Roman" w:cs="Times New Roman"/>
          <w:color w:val="000000"/>
        </w:rPr>
        <w:t xml:space="preserve"> Abbiamo visto come lo spinozismo faccia propria una nozione di negatività che rinchiude la sostanza in se stessa. </w:t>
      </w:r>
      <w:r w:rsidRPr="00397DE7">
        <w:rPr>
          <w:rFonts w:ascii="Times New Roman" w:eastAsia="Times New Roman" w:hAnsi="Times New Roman" w:cs="Times New Roman"/>
          <w:i/>
          <w:color w:val="000000"/>
        </w:rPr>
        <w:t>Determinatio est negatio</w:t>
      </w:r>
      <w:r w:rsidRPr="00397DE7">
        <w:rPr>
          <w:rFonts w:ascii="Times New Roman" w:eastAsia="Times New Roman" w:hAnsi="Times New Roman" w:cs="Times New Roman"/>
          <w:color w:val="000000"/>
        </w:rPr>
        <w:t xml:space="preserve">, così come è applicato nella metafisica spinoziana, significa incapacità di pensare la </w:t>
      </w:r>
      <w:r w:rsidRPr="00A27071">
        <w:rPr>
          <w:rFonts w:ascii="Times New Roman" w:eastAsia="Times New Roman" w:hAnsi="Times New Roman" w:cs="Times New Roman"/>
          <w:color w:val="000000"/>
        </w:rPr>
        <w:t>«</w:t>
      </w:r>
      <w:r w:rsidRPr="00A27071">
        <w:rPr>
          <w:rFonts w:ascii="Times New Roman" w:eastAsia="Times New Roman" w:hAnsi="Times New Roman" w:cs="Times New Roman"/>
          <w:color w:val="000000"/>
          <w:lang w:val="de-DE"/>
        </w:rPr>
        <w:t>Gegensatz des Positiven und Negativen […] wie er im Wesen ist</w:t>
      </w:r>
      <w:r w:rsidRPr="00A27071">
        <w:rPr>
          <w:rFonts w:ascii="Times New Roman" w:eastAsia="Times New Roman" w:hAnsi="Times New Roman" w:cs="Times New Roman"/>
          <w:color w:val="000000"/>
        </w:rPr>
        <w:t>»</w:t>
      </w:r>
      <w:r w:rsidRPr="00397DE7">
        <w:rPr>
          <w:rFonts w:ascii="Times New Roman" w:eastAsia="Times New Roman" w:hAnsi="Times New Roman" w:cs="Times New Roman"/>
          <w:color w:val="000000"/>
        </w:rPr>
        <w:t xml:space="preserve">. </w:t>
      </w:r>
      <w:r w:rsidRPr="00D04940">
        <w:rPr>
          <w:rFonts w:ascii="Times New Roman" w:eastAsia="Times New Roman" w:hAnsi="Times New Roman" w:cs="Times New Roman"/>
          <w:color w:val="000000"/>
        </w:rPr>
        <w:t xml:space="preserve">Al contrario, Böhme restituisce, con tutte le </w:t>
      </w:r>
      <w:r w:rsidRPr="00C86D2D">
        <w:rPr>
          <w:rFonts w:ascii="Times New Roman" w:eastAsia="Times New Roman" w:hAnsi="Times New Roman" w:cs="Times New Roman"/>
          <w:color w:val="000000"/>
        </w:rPr>
        <w:t xml:space="preserve">difficoltà formali del caso, l’opposizione come essa è nell’essenza, ossia come opposizione di positivo e negativo. Il pieno sviluppo della medesima è ciò che restituisce il valore contradditorio – il </w:t>
      </w:r>
      <w:r w:rsidRPr="00C86D2D">
        <w:rPr>
          <w:rFonts w:ascii="Times New Roman" w:eastAsia="Times New Roman" w:hAnsi="Times New Roman" w:cs="Times New Roman"/>
          <w:i/>
          <w:color w:val="000000"/>
        </w:rPr>
        <w:t>Selbstbewegung</w:t>
      </w:r>
      <w:r w:rsidRPr="00C86D2D">
        <w:rPr>
          <w:rFonts w:ascii="Times New Roman" w:eastAsia="Times New Roman" w:hAnsi="Times New Roman" w:cs="Times New Roman"/>
          <w:color w:val="000000"/>
        </w:rPr>
        <w:t xml:space="preserve"> o l’</w:t>
      </w:r>
      <w:r w:rsidRPr="00C86D2D">
        <w:rPr>
          <w:rFonts w:ascii="Times New Roman" w:eastAsia="Times New Roman" w:hAnsi="Times New Roman" w:cs="Times New Roman"/>
          <w:i/>
          <w:color w:val="000000"/>
        </w:rPr>
        <w:t xml:space="preserve">Unruhe </w:t>
      </w:r>
      <w:r w:rsidRPr="00C86D2D">
        <w:rPr>
          <w:rFonts w:ascii="Times New Roman" w:eastAsia="Times New Roman" w:hAnsi="Times New Roman" w:cs="Times New Roman"/>
          <w:color w:val="000000"/>
        </w:rPr>
        <w:t>–</w:t>
      </w:r>
      <w:r w:rsidRPr="00C86D2D">
        <w:rPr>
          <w:rFonts w:ascii="Times New Roman" w:eastAsia="Times New Roman" w:hAnsi="Times New Roman" w:cs="Times New Roman"/>
          <w:i/>
          <w:color w:val="000000"/>
        </w:rPr>
        <w:t xml:space="preserve"> </w:t>
      </w:r>
      <w:r w:rsidRPr="00C86D2D">
        <w:rPr>
          <w:rFonts w:ascii="Times New Roman" w:eastAsia="Times New Roman" w:hAnsi="Times New Roman" w:cs="Times New Roman"/>
          <w:color w:val="000000"/>
        </w:rPr>
        <w:t>del pensiero e del</w:t>
      </w:r>
      <w:r w:rsidR="008134A2" w:rsidRPr="00C86D2D">
        <w:rPr>
          <w:rFonts w:ascii="Times New Roman" w:eastAsia="Times New Roman" w:hAnsi="Times New Roman" w:cs="Times New Roman"/>
          <w:color w:val="000000"/>
        </w:rPr>
        <w:t>l’effettuale</w:t>
      </w:r>
      <w:r w:rsidRPr="00D04940">
        <w:rPr>
          <w:rFonts w:ascii="Times New Roman" w:eastAsia="Times New Roman" w:hAnsi="Times New Roman" w:cs="Times New Roman"/>
          <w:color w:val="000000"/>
        </w:rPr>
        <w:t>. Così facendo, Hegel non fa altro che riproporre</w:t>
      </w:r>
      <w:r w:rsidRPr="00397DE7">
        <w:rPr>
          <w:rFonts w:ascii="Times New Roman" w:eastAsia="Times New Roman" w:hAnsi="Times New Roman" w:cs="Times New Roman"/>
          <w:color w:val="000000"/>
        </w:rPr>
        <w:t xml:space="preserve"> una categorizzazione che avevamo già visto all’opera nella</w:t>
      </w:r>
      <w:r>
        <w:rPr>
          <w:rFonts w:ascii="Times New Roman" w:eastAsia="Times New Roman" w:hAnsi="Times New Roman" w:cs="Times New Roman"/>
          <w:i/>
          <w:color w:val="000000"/>
        </w:rPr>
        <w:t xml:space="preserve"> </w:t>
      </w:r>
      <w:r>
        <w:rPr>
          <w:rFonts w:ascii="Times New Roman" w:eastAsia="Times New Roman" w:hAnsi="Times New Roman" w:cs="Times New Roman"/>
          <w:color w:val="000000"/>
        </w:rPr>
        <w:t>metafisica di Jena</w:t>
      </w:r>
      <w:r w:rsidRPr="00397DE7">
        <w:rPr>
          <w:rFonts w:ascii="Times New Roman" w:eastAsia="Times New Roman" w:hAnsi="Times New Roman" w:cs="Times New Roman"/>
          <w:color w:val="000000"/>
        </w:rPr>
        <w:t>: la teoria böhmiana della qualità, declinata nei termini di un dualismo di principi, è ciò che consente di superare l’astrattismo formalistico spinoziano</w:t>
      </w:r>
      <w:r>
        <w:rPr>
          <w:rStyle w:val="Rimandonotaapidipagina"/>
          <w:rFonts w:ascii="Times New Roman" w:eastAsia="Times New Roman" w:hAnsi="Times New Roman" w:cs="Times New Roman"/>
          <w:color w:val="000000"/>
        </w:rPr>
        <w:footnoteReference w:id="371"/>
      </w:r>
      <w:r w:rsidRPr="00397DE7">
        <w:rPr>
          <w:rFonts w:ascii="Times New Roman" w:eastAsia="Times New Roman" w:hAnsi="Times New Roman" w:cs="Times New Roman"/>
          <w:color w:val="000000"/>
        </w:rPr>
        <w:t>. Pensare la dialettica di luce e tenebra sembra essere un altro modo per dire che l’</w:t>
      </w:r>
      <w:r w:rsidRPr="00397DE7">
        <w:rPr>
          <w:rFonts w:ascii="Times New Roman" w:eastAsia="Times New Roman" w:hAnsi="Times New Roman" w:cs="Times New Roman"/>
          <w:i/>
          <w:color w:val="000000"/>
        </w:rPr>
        <w:t>Inqualierung</w:t>
      </w:r>
      <w:r w:rsidRPr="00397DE7">
        <w:rPr>
          <w:rFonts w:ascii="Times New Roman" w:eastAsia="Times New Roman" w:hAnsi="Times New Roman" w:cs="Times New Roman"/>
          <w:color w:val="000000"/>
        </w:rPr>
        <w:t xml:space="preserve"> è strumento logico di comprensione dell’opposizione fra positivo e negativo. È proprio in virtù di questo armamentario speculativo</w:t>
      </w:r>
      <w:r>
        <w:rPr>
          <w:rFonts w:ascii="Times New Roman" w:eastAsia="Times New Roman" w:hAnsi="Times New Roman" w:cs="Times New Roman"/>
          <w:color w:val="000000"/>
        </w:rPr>
        <w:t xml:space="preserve"> </w:t>
      </w:r>
      <w:r w:rsidRPr="00397DE7">
        <w:rPr>
          <w:rFonts w:ascii="Times New Roman" w:eastAsia="Times New Roman" w:hAnsi="Times New Roman" w:cs="Times New Roman"/>
          <w:color w:val="000000"/>
        </w:rPr>
        <w:t>che può essere dismesso un punto di vista sostanzialistico a favore di una concezione semovente</w:t>
      </w:r>
      <w:r>
        <w:rPr>
          <w:rFonts w:ascii="Times New Roman" w:eastAsia="Times New Roman" w:hAnsi="Times New Roman" w:cs="Times New Roman"/>
          <w:color w:val="000000"/>
        </w:rPr>
        <w:t xml:space="preserve"> del pensiero</w:t>
      </w:r>
      <w:r w:rsidRPr="00397DE7">
        <w:rPr>
          <w:rFonts w:ascii="Times New Roman" w:eastAsia="Times New Roman" w:hAnsi="Times New Roman" w:cs="Times New Roman"/>
          <w:color w:val="000000"/>
        </w:rPr>
        <w:t xml:space="preserve">. </w:t>
      </w:r>
    </w:p>
    <w:p w14:paraId="69B4EAAF" w14:textId="7BC101CA" w:rsidR="001B7751" w:rsidRPr="00397DE7" w:rsidRDefault="001B7751" w:rsidP="001B7751">
      <w:pPr>
        <w:pStyle w:val="Paragrafoelenco"/>
        <w:spacing w:line="360" w:lineRule="auto"/>
        <w:ind w:left="0" w:firstLine="567"/>
        <w:jc w:val="both"/>
        <w:rPr>
          <w:rFonts w:ascii="Times New Roman" w:eastAsia="Times New Roman" w:hAnsi="Times New Roman" w:cs="Times New Roman"/>
          <w:color w:val="000000"/>
          <w:lang w:val="de-DE"/>
        </w:rPr>
      </w:pPr>
      <w:r w:rsidRPr="00D04940">
        <w:rPr>
          <w:rFonts w:ascii="Times New Roman" w:eastAsia="Times New Roman" w:hAnsi="Times New Roman" w:cs="Times New Roman"/>
          <w:color w:val="000000"/>
        </w:rPr>
        <w:t xml:space="preserve">Nella sezione di transizione dalla </w:t>
      </w:r>
      <w:r w:rsidRPr="00D04940">
        <w:rPr>
          <w:rFonts w:ascii="Times New Roman" w:eastAsia="Times New Roman" w:hAnsi="Times New Roman" w:cs="Times New Roman"/>
          <w:i/>
          <w:color w:val="000000"/>
          <w:lang w:val="de-DE"/>
        </w:rPr>
        <w:t>obejective</w:t>
      </w:r>
      <w:r w:rsidRPr="00D04940">
        <w:rPr>
          <w:rFonts w:ascii="Times New Roman" w:eastAsia="Times New Roman" w:hAnsi="Times New Roman" w:cs="Times New Roman"/>
          <w:i/>
          <w:color w:val="000000"/>
        </w:rPr>
        <w:t xml:space="preserve"> </w:t>
      </w:r>
      <w:r w:rsidRPr="00D04940">
        <w:rPr>
          <w:rFonts w:ascii="Times New Roman" w:eastAsia="Times New Roman" w:hAnsi="Times New Roman" w:cs="Times New Roman"/>
          <w:color w:val="000000"/>
        </w:rPr>
        <w:t xml:space="preserve">alla </w:t>
      </w:r>
      <w:r w:rsidRPr="00D04940">
        <w:rPr>
          <w:rFonts w:ascii="Times New Roman" w:eastAsia="Times New Roman" w:hAnsi="Times New Roman" w:cs="Times New Roman"/>
          <w:i/>
          <w:color w:val="000000"/>
          <w:lang w:val="de-DE"/>
        </w:rPr>
        <w:t>subjective Logik</w:t>
      </w:r>
      <w:r w:rsidRPr="00D04940">
        <w:rPr>
          <w:rFonts w:ascii="Times New Roman" w:eastAsia="Times New Roman" w:hAnsi="Times New Roman" w:cs="Times New Roman"/>
          <w:color w:val="000000"/>
          <w:lang w:val="de-DE"/>
        </w:rPr>
        <w:t xml:space="preserve">, </w:t>
      </w:r>
      <w:r w:rsidRPr="00D04940">
        <w:rPr>
          <w:rFonts w:ascii="Times New Roman" w:eastAsia="Times New Roman" w:hAnsi="Times New Roman" w:cs="Times New Roman"/>
          <w:color w:val="000000"/>
        </w:rPr>
        <w:t>tutti questi elementi si fonderanno insieme per garantire il transito dal regno della necessità a quello della libertà. Vista la centralità</w:t>
      </w:r>
      <w:r w:rsidRPr="00397DE7">
        <w:rPr>
          <w:rFonts w:ascii="Times New Roman" w:eastAsia="Times New Roman" w:hAnsi="Times New Roman" w:cs="Times New Roman"/>
          <w:color w:val="000000"/>
        </w:rPr>
        <w:t xml:space="preserve"> della questione, non mi sembra azzardato sostenere che la riscrittura di questo passo della </w:t>
      </w:r>
      <w:r w:rsidRPr="009D2EEA">
        <w:rPr>
          <w:rFonts w:ascii="Times New Roman" w:eastAsia="Times New Roman" w:hAnsi="Times New Roman" w:cs="Times New Roman"/>
          <w:i/>
          <w:color w:val="000000"/>
          <w:lang w:val="de-DE"/>
        </w:rPr>
        <w:t>Logik des Seyns</w:t>
      </w:r>
      <w:r w:rsidR="004458FB">
        <w:rPr>
          <w:rFonts w:ascii="Times New Roman" w:eastAsia="Times New Roman" w:hAnsi="Times New Roman" w:cs="Times New Roman"/>
          <w:color w:val="000000"/>
        </w:rPr>
        <w:t xml:space="preserve"> del 1832 rappresenta</w:t>
      </w:r>
      <w:r w:rsidRPr="00397DE7">
        <w:rPr>
          <w:rFonts w:ascii="Times New Roman" w:eastAsia="Times New Roman" w:hAnsi="Times New Roman" w:cs="Times New Roman"/>
          <w:color w:val="000000"/>
        </w:rPr>
        <w:t xml:space="preserve"> una messa in ordine – un’attività che prevede anche l’espunzione di categorie logiche afferenti ad una sfera superiore del</w:t>
      </w:r>
      <w:r w:rsidR="00A0739A">
        <w:rPr>
          <w:rFonts w:ascii="Times New Roman" w:eastAsia="Times New Roman" w:hAnsi="Times New Roman" w:cs="Times New Roman"/>
          <w:color w:val="000000"/>
        </w:rPr>
        <w:t>la</w:t>
      </w:r>
      <w:r w:rsidRPr="00397DE7">
        <w:rPr>
          <w:rFonts w:ascii="Times New Roman" w:eastAsia="Times New Roman" w:hAnsi="Times New Roman" w:cs="Times New Roman"/>
          <w:color w:val="000000"/>
        </w:rPr>
        <w:t xml:space="preserve"> logica, quale sono, per esempio, l’opposizione e l’essenza – di un contenuto teorico che avrebbe trovato, con </w:t>
      </w:r>
      <w:r>
        <w:rPr>
          <w:rFonts w:ascii="Times New Roman" w:eastAsia="Times New Roman" w:hAnsi="Times New Roman" w:cs="Times New Roman"/>
          <w:color w:val="000000"/>
        </w:rPr>
        <w:t>un altissimo grado</w:t>
      </w:r>
      <w:r w:rsidRPr="00397DE7">
        <w:rPr>
          <w:rFonts w:ascii="Times New Roman" w:eastAsia="Times New Roman" w:hAnsi="Times New Roman" w:cs="Times New Roman"/>
          <w:color w:val="000000"/>
        </w:rPr>
        <w:t xml:space="preserve"> di probabilità, una collocazione </w:t>
      </w:r>
      <w:r>
        <w:rPr>
          <w:rFonts w:ascii="Times New Roman" w:eastAsia="Times New Roman" w:hAnsi="Times New Roman" w:cs="Times New Roman"/>
          <w:color w:val="000000"/>
        </w:rPr>
        <w:t xml:space="preserve">speculare </w:t>
      </w:r>
      <w:r w:rsidRPr="00397DE7">
        <w:rPr>
          <w:rFonts w:ascii="Times New Roman" w:eastAsia="Times New Roman" w:hAnsi="Times New Roman" w:cs="Times New Roman"/>
          <w:color w:val="000000"/>
        </w:rPr>
        <w:t xml:space="preserve">nella nuova versione della </w:t>
      </w:r>
      <w:r w:rsidRPr="00397DE7">
        <w:rPr>
          <w:rFonts w:ascii="Times New Roman" w:eastAsia="Times New Roman" w:hAnsi="Times New Roman" w:cs="Times New Roman"/>
          <w:i/>
          <w:color w:val="000000"/>
          <w:lang w:val="de-DE"/>
        </w:rPr>
        <w:t>Wesenslogik</w:t>
      </w:r>
      <w:r w:rsidRPr="00397DE7">
        <w:rPr>
          <w:rFonts w:ascii="Times New Roman" w:eastAsia="Times New Roman" w:hAnsi="Times New Roman" w:cs="Times New Roman"/>
          <w:color w:val="000000"/>
          <w:lang w:val="de-DE"/>
        </w:rPr>
        <w:t>.</w:t>
      </w:r>
      <w:r w:rsidRPr="00397DE7">
        <w:rPr>
          <w:rFonts w:ascii="Times New Roman" w:eastAsia="Times New Roman" w:hAnsi="Times New Roman" w:cs="Times New Roman"/>
          <w:color w:val="000000"/>
        </w:rPr>
        <w:t xml:space="preserve"> Il fatto che la riscrittura della </w:t>
      </w:r>
      <w:r w:rsidRPr="00397DE7">
        <w:rPr>
          <w:rFonts w:ascii="Times New Roman" w:eastAsia="Times New Roman" w:hAnsi="Times New Roman" w:cs="Times New Roman"/>
          <w:i/>
          <w:color w:val="000000"/>
          <w:lang w:val="de-DE"/>
        </w:rPr>
        <w:t>Wissenschaft der Logik</w:t>
      </w:r>
      <w:r w:rsidRPr="00397DE7">
        <w:rPr>
          <w:rFonts w:ascii="Times New Roman" w:eastAsia="Times New Roman" w:hAnsi="Times New Roman" w:cs="Times New Roman"/>
          <w:color w:val="000000"/>
        </w:rPr>
        <w:t xml:space="preserve"> si sia arrestata al primo tomo della </w:t>
      </w:r>
      <w:r w:rsidRPr="002E5663">
        <w:rPr>
          <w:rFonts w:ascii="Times New Roman" w:eastAsia="Times New Roman" w:hAnsi="Times New Roman" w:cs="Times New Roman"/>
          <w:color w:val="000000"/>
        </w:rPr>
        <w:t>logica oggettiva</w:t>
      </w:r>
      <w:r w:rsidRPr="00397DE7">
        <w:rPr>
          <w:rFonts w:ascii="Times New Roman" w:eastAsia="Times New Roman" w:hAnsi="Times New Roman" w:cs="Times New Roman"/>
          <w:color w:val="000000"/>
        </w:rPr>
        <w:t xml:space="preserve"> rende congetturale questa posizione interpretativa. </w:t>
      </w:r>
      <w:r w:rsidRPr="0077469E">
        <w:rPr>
          <w:rFonts w:ascii="Times New Roman" w:eastAsia="Times New Roman" w:hAnsi="Times New Roman" w:cs="Times New Roman"/>
          <w:color w:val="000000"/>
        </w:rPr>
        <w:t xml:space="preserve">Dato il carattere ricorsivo della logica, </w:t>
      </w:r>
      <w:r w:rsidRPr="008F6E88">
        <w:rPr>
          <w:rFonts w:ascii="Times New Roman" w:eastAsia="Times New Roman" w:hAnsi="Times New Roman" w:cs="Times New Roman"/>
          <w:color w:val="000000"/>
        </w:rPr>
        <w:t>mi sembra più che probabile che la tematizzazione di</w:t>
      </w:r>
      <w:r w:rsidR="00A0739A">
        <w:rPr>
          <w:rFonts w:ascii="Times New Roman" w:eastAsia="Times New Roman" w:hAnsi="Times New Roman" w:cs="Times New Roman"/>
          <w:color w:val="000000"/>
        </w:rPr>
        <w:t xml:space="preserve"> un contenuto di pensiero ad un</w:t>
      </w:r>
      <w:r w:rsidRPr="008F6E88">
        <w:rPr>
          <w:rFonts w:ascii="Times New Roman" w:eastAsia="Times New Roman" w:hAnsi="Times New Roman" w:cs="Times New Roman"/>
          <w:color w:val="000000"/>
        </w:rPr>
        <w:t xml:space="preserve"> grado inferiore dello sviluppo logico ne determini il ricomparire in un </w:t>
      </w:r>
      <w:r>
        <w:rPr>
          <w:rFonts w:ascii="Times New Roman" w:eastAsia="Times New Roman" w:hAnsi="Times New Roman" w:cs="Times New Roman"/>
          <w:color w:val="000000"/>
        </w:rPr>
        <w:t>superiore e</w:t>
      </w:r>
      <w:r w:rsidRPr="008F6E88">
        <w:rPr>
          <w:rFonts w:ascii="Times New Roman" w:eastAsia="Times New Roman" w:hAnsi="Times New Roman" w:cs="Times New Roman"/>
          <w:color w:val="000000"/>
        </w:rPr>
        <w:t xml:space="preserve"> affine grado di sviluppo.</w:t>
      </w:r>
      <w:r w:rsidRPr="0077469E">
        <w:rPr>
          <w:rFonts w:ascii="Times New Roman" w:eastAsia="Times New Roman" w:hAnsi="Times New Roman" w:cs="Times New Roman"/>
          <w:color w:val="000000"/>
        </w:rPr>
        <w:t xml:space="preserve"> La questione della negatività, posta nei termini di uno scontro fra due concezioni antitetiche della </w:t>
      </w:r>
      <w:r w:rsidRPr="00993414">
        <w:rPr>
          <w:rFonts w:ascii="Times New Roman" w:eastAsia="Times New Roman" w:hAnsi="Times New Roman" w:cs="Times New Roman"/>
          <w:i/>
          <w:color w:val="000000"/>
          <w:lang w:val="de-DE"/>
        </w:rPr>
        <w:t>Bestimmtheit</w:t>
      </w:r>
      <w:r w:rsidRPr="0077469E">
        <w:rPr>
          <w:rFonts w:ascii="Times New Roman" w:eastAsia="Times New Roman" w:hAnsi="Times New Roman" w:cs="Times New Roman"/>
          <w:color w:val="000000"/>
        </w:rPr>
        <w:t xml:space="preserve">, avrebbe così trovato una sistematizzazione analoga a quella che ci è stata trasmessa dalla </w:t>
      </w:r>
      <w:r w:rsidRPr="0077469E">
        <w:rPr>
          <w:rFonts w:ascii="Times New Roman" w:eastAsia="Times New Roman" w:hAnsi="Times New Roman" w:cs="Times New Roman"/>
          <w:i/>
          <w:color w:val="000000"/>
          <w:lang w:val="de-DE"/>
        </w:rPr>
        <w:t>Wesenslogik</w:t>
      </w:r>
      <w:r w:rsidRPr="0077469E">
        <w:rPr>
          <w:rFonts w:ascii="Times New Roman" w:eastAsia="Times New Roman" w:hAnsi="Times New Roman" w:cs="Times New Roman"/>
          <w:i/>
          <w:color w:val="000000"/>
        </w:rPr>
        <w:t xml:space="preserve"> </w:t>
      </w:r>
      <w:r w:rsidRPr="0077469E">
        <w:rPr>
          <w:rFonts w:ascii="Times New Roman" w:eastAsia="Times New Roman" w:hAnsi="Times New Roman" w:cs="Times New Roman"/>
          <w:color w:val="000000"/>
        </w:rPr>
        <w:t>del 1813.</w:t>
      </w:r>
    </w:p>
    <w:p w14:paraId="5C9C1E2E" w14:textId="77777777" w:rsidR="001B7751" w:rsidRPr="008A13DF" w:rsidRDefault="001B7751" w:rsidP="001B7751">
      <w:pPr>
        <w:pStyle w:val="Paragrafoelenco"/>
        <w:spacing w:line="360" w:lineRule="auto"/>
        <w:ind w:left="708" w:firstLine="567"/>
        <w:jc w:val="both"/>
        <w:rPr>
          <w:rFonts w:ascii="Times New Roman" w:eastAsia="Times New Roman" w:hAnsi="Times New Roman" w:cs="Times New Roman"/>
          <w:i/>
          <w:color w:val="000000"/>
        </w:rPr>
      </w:pPr>
    </w:p>
    <w:p w14:paraId="6C3EA60C" w14:textId="77777777" w:rsidR="001B7751" w:rsidRPr="008A13DF" w:rsidRDefault="001B7751" w:rsidP="001B7751">
      <w:pPr>
        <w:pStyle w:val="Paragrafoelenco"/>
        <w:spacing w:line="360" w:lineRule="auto"/>
        <w:ind w:left="0"/>
        <w:jc w:val="both"/>
        <w:rPr>
          <w:rFonts w:ascii="Times New Roman" w:eastAsia="Times New Roman" w:hAnsi="Times New Roman" w:cs="Times New Roman"/>
          <w:i/>
          <w:color w:val="000000"/>
        </w:rPr>
      </w:pPr>
      <w:r>
        <w:rPr>
          <w:rFonts w:ascii="Times New Roman" w:hAnsi="Times New Roman" w:cs="Times New Roman"/>
          <w:i/>
        </w:rPr>
        <w:t>2.3 Indifferenza, negatività e</w:t>
      </w:r>
      <w:r w:rsidRPr="008A13DF">
        <w:rPr>
          <w:rFonts w:ascii="Times New Roman" w:hAnsi="Times New Roman" w:cs="Times New Roman"/>
          <w:i/>
        </w:rPr>
        <w:t xml:space="preserve"> opposizione: dalla logica dell’essere alla logica dell’essenza </w:t>
      </w:r>
      <w:r w:rsidRPr="008A13DF">
        <w:rPr>
          <w:rFonts w:ascii="Times New Roman" w:eastAsia="Times New Roman" w:hAnsi="Times New Roman" w:cs="Times New Roman"/>
          <w:i/>
          <w:color w:val="000000"/>
        </w:rPr>
        <w:t xml:space="preserve"> </w:t>
      </w:r>
    </w:p>
    <w:p w14:paraId="3A75044F" w14:textId="77777777" w:rsidR="001B7751" w:rsidRDefault="001B7751" w:rsidP="001B7751">
      <w:pPr>
        <w:pStyle w:val="Paragrafoelenco"/>
        <w:spacing w:line="360" w:lineRule="auto"/>
        <w:ind w:left="708" w:firstLine="567"/>
        <w:jc w:val="both"/>
        <w:rPr>
          <w:rFonts w:ascii="Times New Roman" w:eastAsia="Times New Roman" w:hAnsi="Times New Roman" w:cs="Times New Roman"/>
          <w:color w:val="000000"/>
        </w:rPr>
      </w:pPr>
    </w:p>
    <w:p w14:paraId="36331E8B" w14:textId="77777777" w:rsidR="001B7751" w:rsidRDefault="001B7751" w:rsidP="001B7751">
      <w:pPr>
        <w:pStyle w:val="Paragrafoelenco"/>
        <w:spacing w:line="360" w:lineRule="auto"/>
        <w:ind w:left="0" w:firstLine="567"/>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In chiusura della </w:t>
      </w:r>
      <w:r w:rsidRPr="00A42327">
        <w:rPr>
          <w:rFonts w:ascii="Times New Roman" w:eastAsia="Times New Roman" w:hAnsi="Times New Roman" w:cs="Times New Roman"/>
          <w:i/>
          <w:color w:val="000000"/>
        </w:rPr>
        <w:t>Logik des Seyns</w:t>
      </w:r>
      <w:r>
        <w:rPr>
          <w:rFonts w:ascii="Times New Roman" w:eastAsia="Times New Roman" w:hAnsi="Times New Roman" w:cs="Times New Roman"/>
          <w:color w:val="000000"/>
        </w:rPr>
        <w:t>, precisamente nella sezione dedicata alla misura (</w:t>
      </w:r>
      <w:r>
        <w:rPr>
          <w:rFonts w:ascii="Times New Roman" w:eastAsia="Times New Roman" w:hAnsi="Times New Roman" w:cs="Times New Roman"/>
          <w:i/>
          <w:color w:val="000000"/>
        </w:rPr>
        <w:t>Maa</w:t>
      </w:r>
      <w:r w:rsidRPr="00C473C2">
        <w:rPr>
          <w:rFonts w:ascii="Times New Roman" w:eastAsia="Times New Roman" w:hAnsi="Times New Roman" w:cs="Times New Roman"/>
          <w:i/>
          <w:color w:val="000000"/>
        </w:rPr>
        <w:t>ß</w:t>
      </w:r>
      <w:r>
        <w:rPr>
          <w:rFonts w:ascii="Times New Roman" w:eastAsia="Times New Roman" w:hAnsi="Times New Roman" w:cs="Times New Roman"/>
          <w:color w:val="000000"/>
        </w:rPr>
        <w:t xml:space="preserve">), Hegel delinea il passaggio dalla sfera dell’essere a quella dell’essenza. La misura, che si presenta come unità </w:t>
      </w:r>
      <w:r w:rsidRPr="00B11EBD">
        <w:rPr>
          <w:rFonts w:ascii="Times New Roman" w:eastAsia="Times New Roman" w:hAnsi="Times New Roman" w:cs="Times New Roman"/>
          <w:color w:val="000000"/>
        </w:rPr>
        <w:t>quieta</w:t>
      </w:r>
      <w:r>
        <w:rPr>
          <w:rFonts w:ascii="Times New Roman" w:eastAsia="Times New Roman" w:hAnsi="Times New Roman" w:cs="Times New Roman"/>
          <w:color w:val="000000"/>
        </w:rPr>
        <w:t xml:space="preserve"> di </w:t>
      </w:r>
      <w:r w:rsidRPr="00291364">
        <w:rPr>
          <w:rFonts w:ascii="Times New Roman" w:eastAsia="Times New Roman" w:hAnsi="Times New Roman" w:cs="Times New Roman"/>
          <w:color w:val="000000"/>
        </w:rPr>
        <w:t>«Qualität und Quantität»</w:t>
      </w:r>
      <w:r w:rsidRPr="00291364">
        <w:rPr>
          <w:rStyle w:val="Rimandonotaapidipagina"/>
          <w:rFonts w:ascii="Times New Roman" w:eastAsia="Times New Roman" w:hAnsi="Times New Roman" w:cs="Times New Roman"/>
          <w:color w:val="000000"/>
        </w:rPr>
        <w:footnoteReference w:id="372"/>
      </w:r>
      <w:r w:rsidRPr="00291364">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 xml:space="preserve">si mostra, nel corso del suo interno sviluppo, come ciò che perviene alla mancanza di misura. La </w:t>
      </w:r>
      <w:r>
        <w:rPr>
          <w:rFonts w:ascii="Times New Roman" w:eastAsia="Times New Roman" w:hAnsi="Times New Roman" w:cs="Times New Roman"/>
          <w:i/>
          <w:color w:val="000000"/>
          <w:lang w:val="de-DE"/>
        </w:rPr>
        <w:t>Maaß</w:t>
      </w:r>
      <w:r w:rsidRPr="002C64BD">
        <w:rPr>
          <w:rFonts w:ascii="Times New Roman" w:eastAsia="Times New Roman" w:hAnsi="Times New Roman" w:cs="Times New Roman"/>
          <w:i/>
          <w:color w:val="000000"/>
          <w:lang w:val="de-DE"/>
        </w:rPr>
        <w:t>losigkeit</w:t>
      </w:r>
      <w:r>
        <w:rPr>
          <w:rFonts w:ascii="Times New Roman" w:eastAsia="Times New Roman" w:hAnsi="Times New Roman" w:cs="Times New Roman"/>
          <w:i/>
          <w:color w:val="000000"/>
        </w:rPr>
        <w:t xml:space="preserve"> </w:t>
      </w:r>
      <w:r>
        <w:rPr>
          <w:rFonts w:ascii="Times New Roman" w:eastAsia="Times New Roman" w:hAnsi="Times New Roman" w:cs="Times New Roman"/>
          <w:color w:val="000000"/>
        </w:rPr>
        <w:t xml:space="preserve">è una determinazione logica risultante dal saldarsi reciproco di qualità e quantità per mezzo del proprio </w:t>
      </w:r>
      <w:r w:rsidRPr="00B11EBD">
        <w:rPr>
          <w:rFonts w:ascii="Times New Roman" w:eastAsia="Times New Roman" w:hAnsi="Times New Roman" w:cs="Times New Roman"/>
          <w:color w:val="000000"/>
        </w:rPr>
        <w:t>essere altro:</w:t>
      </w:r>
    </w:p>
    <w:p w14:paraId="62279E26" w14:textId="77777777" w:rsidR="001B7751" w:rsidRDefault="001B7751" w:rsidP="001B7751">
      <w:pPr>
        <w:pStyle w:val="Paragrafoelenco"/>
        <w:spacing w:line="360" w:lineRule="auto"/>
        <w:ind w:left="708" w:firstLine="567"/>
        <w:jc w:val="both"/>
        <w:rPr>
          <w:rFonts w:ascii="Times New Roman" w:eastAsia="Times New Roman" w:hAnsi="Times New Roman" w:cs="Times New Roman"/>
          <w:color w:val="000000"/>
        </w:rPr>
      </w:pPr>
    </w:p>
    <w:p w14:paraId="24EB07F9" w14:textId="77777777" w:rsidR="001B7751" w:rsidRPr="00291364" w:rsidRDefault="001B7751" w:rsidP="001B7751">
      <w:pPr>
        <w:pStyle w:val="Paragrafoelenco"/>
        <w:spacing w:line="360" w:lineRule="auto"/>
        <w:ind w:left="708" w:firstLine="567"/>
        <w:jc w:val="both"/>
        <w:rPr>
          <w:rFonts w:ascii="Times New Roman" w:eastAsia="Times New Roman" w:hAnsi="Times New Roman" w:cs="Times New Roman"/>
          <w:color w:val="000000"/>
          <w:sz w:val="20"/>
          <w:szCs w:val="20"/>
        </w:rPr>
      </w:pPr>
      <w:r w:rsidRPr="00291364">
        <w:rPr>
          <w:rFonts w:ascii="Times New Roman" w:eastAsia="Times New Roman" w:hAnsi="Times New Roman" w:cs="Times New Roman"/>
          <w:color w:val="000000"/>
        </w:rPr>
        <w:t>«</w:t>
      </w:r>
      <w:r w:rsidRPr="00291364">
        <w:rPr>
          <w:rFonts w:ascii="Times New Roman" w:eastAsia="Times New Roman" w:hAnsi="Times New Roman" w:cs="Times New Roman"/>
          <w:color w:val="000000"/>
          <w:sz w:val="20"/>
          <w:szCs w:val="20"/>
          <w:lang w:val="de-DE"/>
        </w:rPr>
        <w:t>Das Qualitative geht nehmlich über in das Quantitative zunächst als sein Anderes; aber dieses ist hier selbst als solches, das an sich Uebergehen in das Qualitative ist; – und so gegenseitig. Jedes geht also über in sein Andres, das aber an ihm selbst sich aufhebt, und nur das Werden zu seinem Anderen ist. Indem jedes also ein Anderes wird, hebt es vielmehr nur diß auf, ein anderes zu Seyn; es geht in seiner Aenderung somit nur mit sich selbst zusammen</w:t>
      </w:r>
      <w:r w:rsidRPr="00291364">
        <w:rPr>
          <w:rFonts w:ascii="Times New Roman" w:eastAsia="Times New Roman" w:hAnsi="Times New Roman" w:cs="Times New Roman"/>
          <w:color w:val="000000"/>
          <w:sz w:val="20"/>
          <w:szCs w:val="20"/>
        </w:rPr>
        <w:t>»</w:t>
      </w:r>
      <w:r w:rsidRPr="00291364">
        <w:rPr>
          <w:rStyle w:val="Rimandonotaapidipagina"/>
          <w:rFonts w:ascii="Times New Roman" w:eastAsia="Times New Roman" w:hAnsi="Times New Roman" w:cs="Times New Roman"/>
          <w:color w:val="000000"/>
          <w:sz w:val="20"/>
          <w:szCs w:val="20"/>
        </w:rPr>
        <w:footnoteReference w:id="373"/>
      </w:r>
      <w:r w:rsidRPr="00291364">
        <w:rPr>
          <w:rFonts w:ascii="Times New Roman" w:eastAsia="Times New Roman" w:hAnsi="Times New Roman" w:cs="Times New Roman"/>
          <w:color w:val="000000"/>
          <w:sz w:val="20"/>
          <w:szCs w:val="20"/>
        </w:rPr>
        <w:t>.</w:t>
      </w:r>
    </w:p>
    <w:p w14:paraId="679DB212" w14:textId="77777777" w:rsidR="001B7751" w:rsidRPr="00E655AC" w:rsidRDefault="001B7751" w:rsidP="001B7751">
      <w:pPr>
        <w:pStyle w:val="Paragrafoelenco"/>
        <w:spacing w:line="360" w:lineRule="auto"/>
        <w:ind w:left="708" w:firstLine="567"/>
        <w:jc w:val="both"/>
        <w:rPr>
          <w:rFonts w:ascii="Times New Roman" w:eastAsia="Times New Roman" w:hAnsi="Times New Roman" w:cs="Times New Roman"/>
          <w:color w:val="000000"/>
        </w:rPr>
      </w:pPr>
    </w:p>
    <w:p w14:paraId="27C55BD8" w14:textId="06E8CD6A" w:rsidR="001B7751" w:rsidRPr="00F0602C" w:rsidRDefault="001B7751" w:rsidP="001B7751">
      <w:pPr>
        <w:pStyle w:val="Paragrafoelenco"/>
        <w:spacing w:line="360" w:lineRule="auto"/>
        <w:ind w:left="0" w:firstLine="567"/>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Nel proprio mutamento, le determinazioni qualitative e quantitative non passano più l’una nell’altra, ma sono continue con se stesse. La cifra relazione della logica dell’essere, ossia il passare in altro, è così tolto da questa dinamica di mantenimento di sé per mezzo dell’altro da sé. </w:t>
      </w:r>
      <w:r w:rsidRPr="00B11EBD">
        <w:rPr>
          <w:rFonts w:ascii="Times New Roman" w:eastAsia="Times New Roman" w:hAnsi="Times New Roman" w:cs="Times New Roman"/>
          <w:color w:val="000000"/>
        </w:rPr>
        <w:t xml:space="preserve">Non si tratta più di aver la differenza fuori di sé – come altro o indifferente – e di relazionarsi ad essa perdendosi nel proprio </w:t>
      </w:r>
      <w:r w:rsidRPr="00B11EBD">
        <w:rPr>
          <w:rFonts w:ascii="Times New Roman" w:eastAsia="Times New Roman" w:hAnsi="Times New Roman" w:cs="Times New Roman"/>
          <w:i/>
          <w:color w:val="000000"/>
        </w:rPr>
        <w:t>Andersseyn</w:t>
      </w:r>
      <w:r w:rsidRPr="00B11EBD">
        <w:rPr>
          <w:rFonts w:ascii="Times New Roman" w:eastAsia="Times New Roman" w:hAnsi="Times New Roman" w:cs="Times New Roman"/>
          <w:color w:val="000000"/>
        </w:rPr>
        <w:t>; a</w:t>
      </w:r>
      <w:r>
        <w:rPr>
          <w:rFonts w:ascii="Times New Roman" w:eastAsia="Times New Roman" w:hAnsi="Times New Roman" w:cs="Times New Roman"/>
          <w:color w:val="000000"/>
        </w:rPr>
        <w:t xml:space="preserve">l contrario, la differenza è ripresa in sé come un momento della continuità di sé per mezzo del proprio essere altro. Questo continuarsi del qualitativo nel quantitativo e del quantitativo nel qualitativo è ciò che descrive l’indifferenza, ossia </w:t>
      </w:r>
      <w:r w:rsidRPr="00291364">
        <w:rPr>
          <w:rFonts w:ascii="Times New Roman" w:eastAsia="Times New Roman" w:hAnsi="Times New Roman" w:cs="Times New Roman"/>
          <w:color w:val="000000"/>
        </w:rPr>
        <w:t>«</w:t>
      </w:r>
      <w:r w:rsidRPr="00291364">
        <w:rPr>
          <w:rFonts w:ascii="Times New Roman" w:eastAsia="Times New Roman" w:hAnsi="Times New Roman" w:cs="Times New Roman"/>
          <w:color w:val="000000"/>
          <w:lang w:val="de-DE"/>
        </w:rPr>
        <w:t>ihre Einheit […] ist die Gleichgültigkeit beyder Bestimmungen überhaupt, deren jede in der andern nicht über-. sondern nur mit sich selbst zusammengeht</w:t>
      </w:r>
      <w:r w:rsidRPr="00291364">
        <w:rPr>
          <w:rFonts w:ascii="Times New Roman" w:eastAsia="Times New Roman" w:hAnsi="Times New Roman" w:cs="Times New Roman"/>
          <w:color w:val="000000"/>
        </w:rPr>
        <w:t>»</w:t>
      </w:r>
      <w:r w:rsidRPr="00291364">
        <w:rPr>
          <w:rStyle w:val="Rimandonotaapidipagina"/>
          <w:rFonts w:ascii="Times New Roman" w:eastAsia="Times New Roman" w:hAnsi="Times New Roman" w:cs="Times New Roman"/>
          <w:color w:val="000000"/>
        </w:rPr>
        <w:footnoteReference w:id="374"/>
      </w:r>
      <w:r w:rsidRPr="00291364">
        <w:rPr>
          <w:rFonts w:ascii="Times New Roman" w:eastAsia="Times New Roman" w:hAnsi="Times New Roman" w:cs="Times New Roman"/>
          <w:color w:val="000000"/>
        </w:rPr>
        <w:t>. L’indifferenza è l’unità indifferente della qualità e della quantità: essa raccoglie in sé</w:t>
      </w:r>
      <w:r>
        <w:rPr>
          <w:rFonts w:ascii="Times New Roman" w:eastAsia="Times New Roman" w:hAnsi="Times New Roman" w:cs="Times New Roman"/>
          <w:color w:val="000000"/>
        </w:rPr>
        <w:t xml:space="preserve"> e</w:t>
      </w:r>
      <w:r w:rsidRPr="00291364">
        <w:rPr>
          <w:rFonts w:ascii="Times New Roman" w:eastAsia="Times New Roman" w:hAnsi="Times New Roman" w:cs="Times New Roman"/>
          <w:color w:val="000000"/>
        </w:rPr>
        <w:t xml:space="preserve"> ha alle </w:t>
      </w:r>
      <w:r w:rsidR="00250B96">
        <w:rPr>
          <w:rFonts w:ascii="Times New Roman" w:eastAsia="Times New Roman" w:hAnsi="Times New Roman" w:cs="Times New Roman"/>
          <w:color w:val="000000"/>
        </w:rPr>
        <w:t>proprie spalle le determinazioni</w:t>
      </w:r>
      <w:r w:rsidRPr="00291364">
        <w:rPr>
          <w:rFonts w:ascii="Times New Roman" w:eastAsia="Times New Roman" w:hAnsi="Times New Roman" w:cs="Times New Roman"/>
          <w:color w:val="000000"/>
        </w:rPr>
        <w:t xml:space="preserve"> da cui risulta. In quanto «</w:t>
      </w:r>
      <w:r w:rsidRPr="00291364">
        <w:rPr>
          <w:rFonts w:ascii="Times New Roman" w:eastAsia="Times New Roman" w:hAnsi="Times New Roman" w:cs="Times New Roman"/>
          <w:color w:val="000000"/>
          <w:lang w:val="de-DE"/>
        </w:rPr>
        <w:t>an-sich-seyende, noch nicht für-sich-seyende Selbständigkeit</w:t>
      </w:r>
      <w:r w:rsidRPr="00291364">
        <w:rPr>
          <w:rFonts w:ascii="Times New Roman" w:eastAsia="Times New Roman" w:hAnsi="Times New Roman" w:cs="Times New Roman"/>
          <w:color w:val="000000"/>
        </w:rPr>
        <w:t>»</w:t>
      </w:r>
      <w:r w:rsidRPr="00291364">
        <w:rPr>
          <w:rStyle w:val="Rimandonotaapidipagina"/>
          <w:rFonts w:ascii="Times New Roman" w:eastAsia="Times New Roman" w:hAnsi="Times New Roman" w:cs="Times New Roman"/>
          <w:color w:val="000000"/>
        </w:rPr>
        <w:footnoteReference w:id="375"/>
      </w:r>
      <w:r w:rsidRPr="00291364">
        <w:rPr>
          <w:rFonts w:ascii="Times New Roman" w:eastAsia="Times New Roman" w:hAnsi="Times New Roman" w:cs="Times New Roman"/>
          <w:color w:val="000000"/>
        </w:rPr>
        <w:t>, l’indifferenza è «das Unendliche» a cui la «</w:t>
      </w:r>
      <w:r w:rsidRPr="00291364">
        <w:rPr>
          <w:rFonts w:ascii="Times New Roman" w:eastAsia="Times New Roman" w:hAnsi="Times New Roman" w:cs="Times New Roman"/>
          <w:color w:val="000000"/>
          <w:lang w:val="de-DE"/>
        </w:rPr>
        <w:t>Unterschied beyder Bestimmungen</w:t>
      </w:r>
      <w:r w:rsidRPr="00291364">
        <w:rPr>
          <w:rFonts w:ascii="Times New Roman" w:eastAsia="Times New Roman" w:hAnsi="Times New Roman" w:cs="Times New Roman"/>
          <w:color w:val="000000"/>
        </w:rPr>
        <w:t>»</w:t>
      </w:r>
      <w:r w:rsidRPr="00291364">
        <w:rPr>
          <w:rStyle w:val="Rimandonotaapidipagina"/>
          <w:rFonts w:ascii="Times New Roman" w:eastAsia="Times New Roman" w:hAnsi="Times New Roman" w:cs="Times New Roman"/>
          <w:color w:val="000000"/>
        </w:rPr>
        <w:footnoteReference w:id="376"/>
      </w:r>
      <w:r>
        <w:rPr>
          <w:rFonts w:ascii="Times New Roman" w:eastAsia="Times New Roman" w:hAnsi="Times New Roman" w:cs="Times New Roman"/>
          <w:color w:val="000000"/>
        </w:rPr>
        <w:t xml:space="preserve"> resta indifferente (</w:t>
      </w:r>
      <w:r w:rsidRPr="00D64A90">
        <w:rPr>
          <w:rFonts w:ascii="Times New Roman" w:eastAsia="Times New Roman" w:hAnsi="Times New Roman" w:cs="Times New Roman"/>
          <w:i/>
          <w:color w:val="000000"/>
          <w:lang w:val="de-DE"/>
        </w:rPr>
        <w:t>gleichgültig</w:t>
      </w:r>
      <w:r>
        <w:rPr>
          <w:rFonts w:ascii="Times New Roman" w:eastAsia="Times New Roman" w:hAnsi="Times New Roman" w:cs="Times New Roman"/>
          <w:color w:val="000000"/>
        </w:rPr>
        <w:t xml:space="preserve">). </w:t>
      </w:r>
      <w:r w:rsidRPr="00AD5955">
        <w:rPr>
          <w:rFonts w:ascii="Times New Roman" w:eastAsia="Times New Roman" w:hAnsi="Times New Roman" w:cs="Times New Roman"/>
          <w:color w:val="000000"/>
        </w:rPr>
        <w:t xml:space="preserve">Ciò di cui è manchevole l’indifferenza è la </w:t>
      </w:r>
      <w:r w:rsidRPr="00291364">
        <w:rPr>
          <w:rFonts w:ascii="Times New Roman" w:eastAsia="Times New Roman" w:hAnsi="Times New Roman" w:cs="Times New Roman"/>
          <w:color w:val="000000"/>
        </w:rPr>
        <w:t>«qualitative Einheit mit sich, die absolute Negativität»</w:t>
      </w:r>
      <w:r w:rsidRPr="00291364">
        <w:rPr>
          <w:rStyle w:val="Rimandonotaapidipagina"/>
          <w:rFonts w:ascii="Times New Roman" w:eastAsia="Times New Roman" w:hAnsi="Times New Roman" w:cs="Times New Roman"/>
          <w:color w:val="000000"/>
        </w:rPr>
        <w:footnoteReference w:id="377"/>
      </w:r>
      <w:r w:rsidRPr="00291364">
        <w:rPr>
          <w:rFonts w:ascii="Times New Roman" w:eastAsia="Times New Roman" w:hAnsi="Times New Roman" w:cs="Times New Roman"/>
          <w:color w:val="000000"/>
        </w:rPr>
        <w:t>,</w:t>
      </w:r>
      <w:r w:rsidRPr="00AD5955">
        <w:rPr>
          <w:rFonts w:ascii="Times New Roman" w:eastAsia="Times New Roman" w:hAnsi="Times New Roman" w:cs="Times New Roman"/>
          <w:color w:val="000000"/>
        </w:rPr>
        <w:t xml:space="preserve"> ossia la capacità d’assumere il negativo come principio della propria differenziazione interiore.</w:t>
      </w:r>
      <w:r>
        <w:rPr>
          <w:rFonts w:ascii="Times New Roman" w:eastAsia="Times New Roman" w:hAnsi="Times New Roman" w:cs="Times New Roman"/>
          <w:color w:val="000000"/>
        </w:rPr>
        <w:t xml:space="preserve"> Questo concetto d’indifferenza, che intrattiene dei chiari collegamenti con la filosofia dell’identità schellinghiana, è identificato da Hegel con la sostanza spinoziana</w:t>
      </w:r>
      <w:r>
        <w:rPr>
          <w:rStyle w:val="Rimandonotaapidipagina"/>
          <w:rFonts w:ascii="Times New Roman" w:eastAsia="Times New Roman" w:hAnsi="Times New Roman" w:cs="Times New Roman"/>
          <w:color w:val="000000"/>
        </w:rPr>
        <w:footnoteReference w:id="378"/>
      </w:r>
      <w:r>
        <w:rPr>
          <w:rFonts w:ascii="Times New Roman" w:eastAsia="Times New Roman" w:hAnsi="Times New Roman" w:cs="Times New Roman"/>
          <w:color w:val="000000"/>
        </w:rPr>
        <w:t xml:space="preserve">. Nell’ultima </w:t>
      </w:r>
      <w:r w:rsidRPr="00B24DD3">
        <w:rPr>
          <w:rFonts w:ascii="Times New Roman" w:eastAsia="Times New Roman" w:hAnsi="Times New Roman" w:cs="Times New Roman"/>
          <w:i/>
          <w:color w:val="000000"/>
        </w:rPr>
        <w:t>Anmerkung</w:t>
      </w:r>
      <w:r>
        <w:rPr>
          <w:rFonts w:ascii="Times New Roman" w:eastAsia="Times New Roman" w:hAnsi="Times New Roman" w:cs="Times New Roman"/>
          <w:color w:val="000000"/>
        </w:rPr>
        <w:t xml:space="preserve"> alla </w:t>
      </w:r>
      <w:r w:rsidRPr="00B24DD3">
        <w:rPr>
          <w:rFonts w:ascii="Times New Roman" w:eastAsia="Times New Roman" w:hAnsi="Times New Roman" w:cs="Times New Roman"/>
          <w:i/>
          <w:color w:val="000000"/>
        </w:rPr>
        <w:t>Logik des Seyns</w:t>
      </w:r>
      <w:r>
        <w:rPr>
          <w:rFonts w:ascii="Times New Roman" w:eastAsia="Times New Roman" w:hAnsi="Times New Roman" w:cs="Times New Roman"/>
          <w:color w:val="000000"/>
        </w:rPr>
        <w:t xml:space="preserve">, è ripresa ancora una volta la discussione dell’ontologia di </w:t>
      </w:r>
      <w:r w:rsidRPr="00FE56B4">
        <w:rPr>
          <w:rFonts w:ascii="Times New Roman" w:eastAsia="Times New Roman" w:hAnsi="Times New Roman" w:cs="Times New Roman"/>
          <w:color w:val="000000"/>
        </w:rPr>
        <w:t>Spinoza. Per Hegel, l’«absolute Indifferenz»</w:t>
      </w:r>
      <w:r w:rsidRPr="00FE56B4">
        <w:rPr>
          <w:rStyle w:val="Rimandonotaapidipagina"/>
          <w:rFonts w:ascii="Times New Roman" w:eastAsia="Times New Roman" w:hAnsi="Times New Roman" w:cs="Times New Roman"/>
          <w:color w:val="000000"/>
        </w:rPr>
        <w:footnoteReference w:id="379"/>
      </w:r>
      <w:r w:rsidRPr="00FE56B4">
        <w:rPr>
          <w:rFonts w:ascii="Times New Roman" w:eastAsia="Times New Roman" w:hAnsi="Times New Roman" w:cs="Times New Roman"/>
          <w:color w:val="000000"/>
        </w:rPr>
        <w:t xml:space="preserve"> rappresenta la determinazione fondamentale dello spinozismo.</w:t>
      </w:r>
      <w:r>
        <w:rPr>
          <w:rFonts w:ascii="Times New Roman" w:eastAsia="Times New Roman" w:hAnsi="Times New Roman" w:cs="Times New Roman"/>
          <w:color w:val="000000"/>
        </w:rPr>
        <w:t xml:space="preserve"> L’assoluta indifferenza di essere e pensiero può essere sviluppata a differenza di </w:t>
      </w:r>
      <w:r w:rsidRPr="001809CE">
        <w:rPr>
          <w:rFonts w:ascii="Times New Roman" w:eastAsia="Times New Roman" w:hAnsi="Times New Roman" w:cs="Times New Roman"/>
          <w:i/>
          <w:color w:val="000000"/>
        </w:rPr>
        <w:t>res cogitans</w:t>
      </w:r>
      <w:r>
        <w:rPr>
          <w:rFonts w:ascii="Times New Roman" w:eastAsia="Times New Roman" w:hAnsi="Times New Roman" w:cs="Times New Roman"/>
          <w:color w:val="000000"/>
        </w:rPr>
        <w:t xml:space="preserve"> e </w:t>
      </w:r>
      <w:r w:rsidRPr="001809CE">
        <w:rPr>
          <w:rFonts w:ascii="Times New Roman" w:eastAsia="Times New Roman" w:hAnsi="Times New Roman" w:cs="Times New Roman"/>
          <w:i/>
          <w:color w:val="000000"/>
        </w:rPr>
        <w:t>res extensa</w:t>
      </w:r>
      <w:r>
        <w:rPr>
          <w:rFonts w:ascii="Times New Roman" w:eastAsia="Times New Roman" w:hAnsi="Times New Roman" w:cs="Times New Roman"/>
          <w:color w:val="000000"/>
        </w:rPr>
        <w:t xml:space="preserve"> soltanto a patto di introdurre un pensiero esterno all’Assoluto stesso. È per noi, e non per la cosa stessa, che sussistono delle determinazioni differenziate della sostanza. </w:t>
      </w:r>
      <w:r w:rsidRPr="00E45509">
        <w:rPr>
          <w:rFonts w:ascii="Times New Roman" w:eastAsia="Times New Roman" w:hAnsi="Times New Roman" w:cs="Times New Roman"/>
          <w:color w:val="000000"/>
        </w:rPr>
        <w:t>Il ricorso ad una riflessione esterna all’unità indifferente di qualità e quantità è ciò che determina la volatilità delle specificazioni dell’infinito: la loro differenza è soltanto «gleichgültiger,</w:t>
      </w:r>
      <w:r w:rsidRPr="00291364">
        <w:rPr>
          <w:rFonts w:ascii="Times New Roman" w:eastAsia="Times New Roman" w:hAnsi="Times New Roman" w:cs="Times New Roman"/>
          <w:color w:val="000000"/>
        </w:rPr>
        <w:t xml:space="preserve"> nicht an sich»</w:t>
      </w:r>
      <w:r w:rsidRPr="00291364">
        <w:rPr>
          <w:rStyle w:val="Rimandonotaapidipagina"/>
          <w:rFonts w:ascii="Times New Roman" w:eastAsia="Times New Roman" w:hAnsi="Times New Roman" w:cs="Times New Roman"/>
          <w:color w:val="000000"/>
        </w:rPr>
        <w:footnoteReference w:id="380"/>
      </w:r>
      <w:r w:rsidRPr="00291364">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La sostanza di Spinoza palesa, anche a questo livello dello sviluppo logico, una mancanza strutturale che si lega, in definitiva, </w:t>
      </w:r>
      <w:r w:rsidRPr="002E5663">
        <w:rPr>
          <w:rFonts w:ascii="Times New Roman" w:eastAsia="Times New Roman" w:hAnsi="Times New Roman" w:cs="Times New Roman"/>
          <w:color w:val="000000"/>
        </w:rPr>
        <w:t xml:space="preserve">all’impossibilità d’assumere una nozione di negatività che sia radice tanto del suo farsi quanto del suo differenziarsi. </w:t>
      </w:r>
      <w:r w:rsidRPr="00F0602C">
        <w:rPr>
          <w:rFonts w:ascii="Times New Roman" w:eastAsia="Times New Roman" w:hAnsi="Times New Roman" w:cs="Times New Roman"/>
          <w:color w:val="000000"/>
        </w:rPr>
        <w:t>Scrive Hegel:</w:t>
      </w:r>
    </w:p>
    <w:p w14:paraId="5961383F" w14:textId="77777777" w:rsidR="001B7751" w:rsidRDefault="001B7751" w:rsidP="001B7751">
      <w:pPr>
        <w:pStyle w:val="Paragrafoelenco"/>
        <w:spacing w:line="360" w:lineRule="auto"/>
        <w:ind w:left="708" w:firstLine="567"/>
        <w:jc w:val="both"/>
        <w:rPr>
          <w:rFonts w:ascii="Times New Roman" w:eastAsia="Times New Roman" w:hAnsi="Times New Roman" w:cs="Times New Roman"/>
          <w:color w:val="000000"/>
        </w:rPr>
      </w:pPr>
    </w:p>
    <w:p w14:paraId="01B7AD5F" w14:textId="77777777" w:rsidR="001B7751" w:rsidRPr="00291364" w:rsidRDefault="001B7751" w:rsidP="001B7751">
      <w:pPr>
        <w:pStyle w:val="Paragrafoelenco"/>
        <w:spacing w:line="360" w:lineRule="auto"/>
        <w:ind w:left="567" w:firstLine="567"/>
        <w:jc w:val="both"/>
        <w:rPr>
          <w:rFonts w:ascii="Times New Roman" w:eastAsia="Times New Roman" w:hAnsi="Times New Roman" w:cs="Times New Roman"/>
          <w:color w:val="000000"/>
          <w:sz w:val="20"/>
          <w:szCs w:val="20"/>
        </w:rPr>
      </w:pPr>
      <w:r w:rsidRPr="00291364">
        <w:rPr>
          <w:rFonts w:ascii="Times New Roman" w:eastAsia="Times New Roman" w:hAnsi="Times New Roman" w:cs="Times New Roman"/>
          <w:color w:val="000000"/>
          <w:sz w:val="20"/>
          <w:szCs w:val="20"/>
        </w:rPr>
        <w:t>«</w:t>
      </w:r>
      <w:r w:rsidRPr="00291364">
        <w:rPr>
          <w:rFonts w:ascii="Times New Roman" w:eastAsia="Times New Roman" w:hAnsi="Times New Roman" w:cs="Times New Roman"/>
          <w:color w:val="000000"/>
          <w:sz w:val="20"/>
          <w:szCs w:val="20"/>
          <w:lang w:val="de-DE"/>
        </w:rPr>
        <w:t>Was hier noch fehlt, besteht darin, daß diese Reflexion, nicht die aüssere Reflexion des denkenden Subjectes sey, sondern daß sie selbst erkannt werde, und zwar als die eigene Bestimmung und Bewegung der Selbständigen, ihren Unterschied aufzuheben, und nicht bloß an sich eins, sondern in ihrem qualitativen Unterschiede eins zu seyn, wodurch dann der Begriff des Wesens [sich erweist], nicht das Negative ausser ihm, zu haben, sondern an ihm selbst die absolute Negativität, Gleichgültigkeit gegen sich eben so sehr als seines Andersseyns gegen sich, zu seyn</w:t>
      </w:r>
      <w:r w:rsidRPr="00291364">
        <w:rPr>
          <w:rFonts w:ascii="Times New Roman" w:eastAsia="Times New Roman" w:hAnsi="Times New Roman" w:cs="Times New Roman"/>
          <w:color w:val="000000"/>
          <w:sz w:val="20"/>
          <w:szCs w:val="20"/>
        </w:rPr>
        <w:t>»</w:t>
      </w:r>
      <w:r w:rsidRPr="00291364">
        <w:rPr>
          <w:rStyle w:val="Rimandonotaapidipagina"/>
          <w:rFonts w:ascii="Times New Roman" w:eastAsia="Times New Roman" w:hAnsi="Times New Roman" w:cs="Times New Roman"/>
          <w:color w:val="000000"/>
          <w:sz w:val="20"/>
          <w:szCs w:val="20"/>
        </w:rPr>
        <w:footnoteReference w:id="381"/>
      </w:r>
      <w:r w:rsidRPr="00291364">
        <w:rPr>
          <w:rFonts w:ascii="Times New Roman" w:eastAsia="Times New Roman" w:hAnsi="Times New Roman" w:cs="Times New Roman"/>
          <w:color w:val="000000"/>
          <w:sz w:val="20"/>
          <w:szCs w:val="20"/>
        </w:rPr>
        <w:t>.</w:t>
      </w:r>
    </w:p>
    <w:p w14:paraId="7E82B8E0" w14:textId="77777777" w:rsidR="001B7751" w:rsidRPr="009A2D52" w:rsidRDefault="001B7751" w:rsidP="001B7751">
      <w:pPr>
        <w:pStyle w:val="Paragrafoelenco"/>
        <w:spacing w:line="360" w:lineRule="auto"/>
        <w:ind w:left="708" w:firstLine="567"/>
        <w:jc w:val="both"/>
        <w:rPr>
          <w:rFonts w:ascii="Times New Roman" w:eastAsia="Times New Roman" w:hAnsi="Times New Roman" w:cs="Times New Roman"/>
          <w:color w:val="000000"/>
        </w:rPr>
      </w:pPr>
    </w:p>
    <w:p w14:paraId="77FB5F63" w14:textId="77777777" w:rsidR="001B7751" w:rsidRDefault="001B7751" w:rsidP="001B7751">
      <w:pPr>
        <w:pStyle w:val="Paragrafoelenco"/>
        <w:spacing w:line="360" w:lineRule="auto"/>
        <w:ind w:left="0" w:firstLine="567"/>
        <w:jc w:val="both"/>
        <w:rPr>
          <w:rFonts w:ascii="Times New Roman" w:eastAsia="Times New Roman" w:hAnsi="Times New Roman" w:cs="Times New Roman"/>
          <w:color w:val="000000"/>
        </w:rPr>
      </w:pPr>
      <w:r w:rsidRPr="00D20137">
        <w:rPr>
          <w:rFonts w:ascii="Times New Roman" w:eastAsia="Times New Roman" w:hAnsi="Times New Roman" w:cs="Times New Roman"/>
          <w:color w:val="000000"/>
        </w:rPr>
        <w:t xml:space="preserve">In quest’analisi hegeliana, sono ravvisabili una serie di coordinate teoriche funzionali alla comprensione della </w:t>
      </w:r>
      <w:r w:rsidRPr="00D20137">
        <w:rPr>
          <w:rFonts w:ascii="Times New Roman" w:eastAsia="Times New Roman" w:hAnsi="Times New Roman" w:cs="Times New Roman"/>
          <w:i/>
          <w:color w:val="000000"/>
        </w:rPr>
        <w:t>Wesenslogik</w:t>
      </w:r>
      <w:r w:rsidRPr="00D20137">
        <w:rPr>
          <w:rFonts w:ascii="Times New Roman" w:eastAsia="Times New Roman" w:hAnsi="Times New Roman" w:cs="Times New Roman"/>
          <w:color w:val="000000"/>
        </w:rPr>
        <w:t>. Dal suo essere esteriore alla cosa, la riflessione deve introiettarsi, riconfigurandosi, così, come un interiore dispositivo logico-relazionale dell’infinito.</w:t>
      </w:r>
      <w:r>
        <w:rPr>
          <w:rFonts w:ascii="Times New Roman" w:eastAsia="Times New Roman" w:hAnsi="Times New Roman" w:cs="Times New Roman"/>
          <w:color w:val="000000"/>
        </w:rPr>
        <w:t xml:space="preserve"> Il fatto che lo spinozismo rimanga fermo ad una concezione della negazione come determinazione fa sì che esso non possa «</w:t>
      </w:r>
      <w:r w:rsidRPr="000708C9">
        <w:rPr>
          <w:rFonts w:ascii="Times New Roman" w:eastAsia="Times New Roman" w:hAnsi="Times New Roman" w:cs="Times New Roman"/>
          <w:i/>
          <w:color w:val="000000"/>
        </w:rPr>
        <w:t>das Wesen selbst erreichen</w:t>
      </w:r>
      <w:r w:rsidRPr="0078593E">
        <w:rPr>
          <w:rFonts w:ascii="Times New Roman" w:eastAsia="Times New Roman" w:hAnsi="Times New Roman" w:cs="Times New Roman"/>
          <w:color w:val="000000"/>
        </w:rPr>
        <w:t>»</w:t>
      </w:r>
      <w:r>
        <w:rPr>
          <w:rStyle w:val="Rimandonotaapidipagina"/>
          <w:rFonts w:ascii="Times New Roman" w:eastAsia="Times New Roman" w:hAnsi="Times New Roman" w:cs="Times New Roman"/>
          <w:i/>
          <w:color w:val="000000"/>
        </w:rPr>
        <w:footnoteReference w:id="382"/>
      </w:r>
      <w:r>
        <w:rPr>
          <w:rFonts w:ascii="Times New Roman" w:eastAsia="Times New Roman" w:hAnsi="Times New Roman" w:cs="Times New Roman"/>
          <w:color w:val="000000"/>
        </w:rPr>
        <w:t xml:space="preserve">. Il movimento del differenziarsi e del ricongiungersi con sé per mezzo del proprio essere altro esula dalla concezione spinoziana dell’Assoluto, che afferra, in virtù del principio </w:t>
      </w:r>
      <w:r w:rsidRPr="000708C9">
        <w:rPr>
          <w:rFonts w:ascii="Times New Roman" w:eastAsia="Times New Roman" w:hAnsi="Times New Roman" w:cs="Times New Roman"/>
          <w:i/>
          <w:color w:val="000000"/>
        </w:rPr>
        <w:t>determinatio est negatio</w:t>
      </w:r>
      <w:r>
        <w:rPr>
          <w:rFonts w:ascii="Times New Roman" w:eastAsia="Times New Roman" w:hAnsi="Times New Roman" w:cs="Times New Roman"/>
          <w:color w:val="000000"/>
        </w:rPr>
        <w:t xml:space="preserve">, la determinazione, o la differenza, come una semplice negazione dell’unità sostanziale. Lo spinozismo, dunque, arriva ad un passo dall’essenza senza però innalzare – interiorizzandola – la negazione a elemento portante della propria ontologia. Quest’ultimo passaggio non è compiuto </w:t>
      </w:r>
      <w:r w:rsidRPr="00AD5955">
        <w:rPr>
          <w:rFonts w:ascii="Times New Roman" w:eastAsia="Times New Roman" w:hAnsi="Times New Roman" w:cs="Times New Roman"/>
          <w:color w:val="000000"/>
        </w:rPr>
        <w:t>proprio perché Spinoza concepisce l’Assoluto come un semplice positivo, da cui esula, e dal quale deve essere astratta,</w:t>
      </w:r>
      <w:r>
        <w:rPr>
          <w:rFonts w:ascii="Times New Roman" w:eastAsia="Times New Roman" w:hAnsi="Times New Roman" w:cs="Times New Roman"/>
          <w:color w:val="000000"/>
        </w:rPr>
        <w:t xml:space="preserve"> qualsiasi forma di negatività</w:t>
      </w:r>
      <w:r w:rsidRPr="00AD5955">
        <w:rPr>
          <w:rFonts w:ascii="Times New Roman" w:eastAsia="Times New Roman" w:hAnsi="Times New Roman" w:cs="Times New Roman"/>
          <w:color w:val="000000"/>
        </w:rPr>
        <w:t xml:space="preserve">. </w:t>
      </w:r>
      <w:r w:rsidRPr="00FE56B4">
        <w:rPr>
          <w:rFonts w:ascii="Times New Roman" w:eastAsia="Times New Roman" w:hAnsi="Times New Roman" w:cs="Times New Roman"/>
          <w:color w:val="000000"/>
        </w:rPr>
        <w:t xml:space="preserve">L’opposizione di positivo e negativo, così come si delinea nella </w:t>
      </w:r>
      <w:r w:rsidRPr="00FE56B4">
        <w:rPr>
          <w:rFonts w:ascii="Times New Roman" w:eastAsia="Times New Roman" w:hAnsi="Times New Roman" w:cs="Times New Roman"/>
          <w:i/>
          <w:color w:val="000000"/>
        </w:rPr>
        <w:t>Wesenslogik</w:t>
      </w:r>
      <w:r w:rsidRPr="00FE56B4">
        <w:rPr>
          <w:rFonts w:ascii="Times New Roman" w:eastAsia="Times New Roman" w:hAnsi="Times New Roman" w:cs="Times New Roman"/>
          <w:color w:val="000000"/>
        </w:rPr>
        <w:t>, è una dinamica logico-relazionale che rimane preclusa all’ontologia spinoziana: forte del suo astrattismo, essa rifugge il pensare concreto e, assieme ad esso, quella forma del contenuto, non altra dal contenuto medesimo, che fa della negatività la radice di ogni dinamica ontologica.</w:t>
      </w:r>
    </w:p>
    <w:p w14:paraId="01874D08" w14:textId="0AE130F5" w:rsidR="001B7751" w:rsidRDefault="001B7751" w:rsidP="001B7751">
      <w:pPr>
        <w:pStyle w:val="Paragrafoelenco"/>
        <w:spacing w:line="360" w:lineRule="auto"/>
        <w:ind w:left="0" w:firstLine="567"/>
        <w:jc w:val="both"/>
        <w:rPr>
          <w:rFonts w:ascii="Times New Roman" w:eastAsia="Times New Roman" w:hAnsi="Times New Roman" w:cs="Times New Roman"/>
          <w:color w:val="000000"/>
        </w:rPr>
      </w:pPr>
      <w:r w:rsidRPr="00FE56B4">
        <w:rPr>
          <w:rFonts w:ascii="Times New Roman" w:eastAsia="Times New Roman" w:hAnsi="Times New Roman" w:cs="Times New Roman"/>
          <w:color w:val="000000"/>
        </w:rPr>
        <w:t>In precedenza, abbiamo visto come Hegel, colto il limite dello spinozismo, abbia individuato nella teoria böhmiana dell’</w:t>
      </w:r>
      <w:r w:rsidRPr="00FE56B4">
        <w:rPr>
          <w:rFonts w:ascii="Times New Roman" w:eastAsia="Times New Roman" w:hAnsi="Times New Roman" w:cs="Times New Roman"/>
          <w:i/>
          <w:color w:val="000000"/>
        </w:rPr>
        <w:t>Inqualierung</w:t>
      </w:r>
      <w:r w:rsidRPr="00FE56B4">
        <w:rPr>
          <w:rFonts w:ascii="Times New Roman" w:eastAsia="Times New Roman" w:hAnsi="Times New Roman" w:cs="Times New Roman"/>
          <w:color w:val="000000"/>
        </w:rPr>
        <w:t xml:space="preserve"> una via d’accesso alla </w:t>
      </w:r>
      <w:r w:rsidRPr="00FE56B4">
        <w:rPr>
          <w:rFonts w:ascii="Times New Roman" w:eastAsia="Times New Roman" w:hAnsi="Times New Roman" w:cs="Times New Roman"/>
          <w:i/>
          <w:color w:val="000000"/>
          <w:lang w:val="de-DE"/>
        </w:rPr>
        <w:t>Gegensatz</w:t>
      </w:r>
      <w:r w:rsidRPr="00FE56B4">
        <w:rPr>
          <w:rFonts w:ascii="Times New Roman" w:eastAsia="Times New Roman" w:hAnsi="Times New Roman" w:cs="Times New Roman"/>
          <w:color w:val="000000"/>
        </w:rPr>
        <w:t xml:space="preserve"> nella sfera dell’essenza. La riflessione di Böhme rispecchia un modo di pensare il positivo e il negativo </w:t>
      </w:r>
      <w:r w:rsidRPr="00FE56B4">
        <w:rPr>
          <w:rFonts w:ascii="Times New Roman" w:eastAsia="Times New Roman" w:hAnsi="Times New Roman" w:cs="Times New Roman"/>
          <w:i/>
          <w:color w:val="000000"/>
        </w:rPr>
        <w:t>essenziale</w:t>
      </w:r>
      <w:r w:rsidRPr="00FE56B4">
        <w:rPr>
          <w:rFonts w:ascii="Times New Roman" w:eastAsia="Times New Roman" w:hAnsi="Times New Roman" w:cs="Times New Roman"/>
          <w:color w:val="000000"/>
        </w:rPr>
        <w:t xml:space="preserve">, posto, cioè, al di là della sfera dell’essere e di quel punto di vista </w:t>
      </w:r>
      <w:r w:rsidRPr="00C86D2D">
        <w:rPr>
          <w:rFonts w:ascii="Times New Roman" w:eastAsia="Times New Roman" w:hAnsi="Times New Roman" w:cs="Times New Roman"/>
          <w:color w:val="000000"/>
        </w:rPr>
        <w:t xml:space="preserve">speculativo trincerato nell’unità indifferenziata dell’infinito. In effetti, il compenetrarsi di positivo e negativo consente </w:t>
      </w:r>
      <w:r w:rsidRPr="007F501F">
        <w:rPr>
          <w:rFonts w:ascii="Times New Roman" w:eastAsia="Times New Roman" w:hAnsi="Times New Roman" w:cs="Times New Roman"/>
          <w:color w:val="000000"/>
        </w:rPr>
        <w:t xml:space="preserve">ad Hegel di pensare quel carattere contraddittorio del pensiero già incontrato nella </w:t>
      </w:r>
      <w:r w:rsidRPr="007F501F">
        <w:rPr>
          <w:rFonts w:ascii="Times New Roman" w:eastAsia="Times New Roman" w:hAnsi="Times New Roman" w:cs="Times New Roman"/>
          <w:i/>
          <w:color w:val="000000"/>
        </w:rPr>
        <w:t>Jenaer Metaphysik</w:t>
      </w:r>
      <w:r w:rsidRPr="007F501F">
        <w:rPr>
          <w:rFonts w:ascii="Times New Roman" w:eastAsia="Times New Roman" w:hAnsi="Times New Roman" w:cs="Times New Roman"/>
          <w:color w:val="000000"/>
        </w:rPr>
        <w:t xml:space="preserve">. La contraddittorietà, </w:t>
      </w:r>
      <w:r w:rsidR="00D20137" w:rsidRPr="007F501F">
        <w:rPr>
          <w:rFonts w:ascii="Times New Roman" w:eastAsia="Times New Roman" w:hAnsi="Times New Roman" w:cs="Times New Roman"/>
          <w:color w:val="000000"/>
        </w:rPr>
        <w:t xml:space="preserve">assunta </w:t>
      </w:r>
      <w:r w:rsidRPr="007F501F">
        <w:rPr>
          <w:rFonts w:ascii="Times New Roman" w:eastAsia="Times New Roman" w:hAnsi="Times New Roman" w:cs="Times New Roman"/>
          <w:color w:val="000000"/>
        </w:rPr>
        <w:t xml:space="preserve">nei termini di una negatività </w:t>
      </w:r>
      <w:r w:rsidR="007F501F" w:rsidRPr="007F501F">
        <w:rPr>
          <w:rFonts w:ascii="Times New Roman" w:eastAsia="Times New Roman" w:hAnsi="Times New Roman" w:cs="Times New Roman"/>
          <w:color w:val="000000"/>
        </w:rPr>
        <w:t>auto</w:t>
      </w:r>
      <w:r w:rsidR="00C86D2D" w:rsidRPr="007F501F">
        <w:rPr>
          <w:rFonts w:ascii="Times New Roman" w:eastAsia="Times New Roman" w:hAnsi="Times New Roman" w:cs="Times New Roman"/>
          <w:color w:val="000000"/>
        </w:rPr>
        <w:t>relazionale</w:t>
      </w:r>
      <w:r w:rsidRPr="007F501F">
        <w:rPr>
          <w:rFonts w:ascii="Times New Roman" w:eastAsia="Times New Roman" w:hAnsi="Times New Roman" w:cs="Times New Roman"/>
          <w:color w:val="000000"/>
        </w:rPr>
        <w:t>, è ciò che conduce, infine, la sfera dell’essenza a superarsi in quella del concetto. Per comprendere</w:t>
      </w:r>
      <w:r>
        <w:rPr>
          <w:rFonts w:ascii="Times New Roman" w:eastAsia="Times New Roman" w:hAnsi="Times New Roman" w:cs="Times New Roman"/>
          <w:color w:val="000000"/>
        </w:rPr>
        <w:t xml:space="preserve"> appieno la dialettica di positivo e </w:t>
      </w:r>
      <w:r w:rsidRPr="00D05DC1">
        <w:rPr>
          <w:rFonts w:ascii="Times New Roman" w:eastAsia="Times New Roman" w:hAnsi="Times New Roman" w:cs="Times New Roman"/>
          <w:color w:val="000000"/>
        </w:rPr>
        <w:t>negativo</w:t>
      </w:r>
      <w:r>
        <w:rPr>
          <w:rFonts w:ascii="Times New Roman" w:eastAsia="Times New Roman" w:hAnsi="Times New Roman" w:cs="Times New Roman"/>
          <w:color w:val="000000"/>
        </w:rPr>
        <w:t xml:space="preserve"> – la funzione dell’</w:t>
      </w:r>
      <w:r w:rsidRPr="006A5AB0">
        <w:rPr>
          <w:rFonts w:ascii="Times New Roman" w:eastAsia="Times New Roman" w:hAnsi="Times New Roman" w:cs="Times New Roman"/>
          <w:i/>
          <w:color w:val="000000"/>
        </w:rPr>
        <w:t>Inqualierung</w:t>
      </w:r>
      <w:r>
        <w:rPr>
          <w:rFonts w:ascii="Times New Roman" w:eastAsia="Times New Roman" w:hAnsi="Times New Roman" w:cs="Times New Roman"/>
          <w:color w:val="000000"/>
        </w:rPr>
        <w:t xml:space="preserve"> böhmiano –</w:t>
      </w:r>
      <w:r w:rsidRPr="00D05DC1">
        <w:rPr>
          <w:rFonts w:ascii="Times New Roman" w:eastAsia="Times New Roman" w:hAnsi="Times New Roman" w:cs="Times New Roman"/>
          <w:color w:val="000000"/>
        </w:rPr>
        <w:t xml:space="preserve"> e il</w:t>
      </w:r>
      <w:r>
        <w:rPr>
          <w:rFonts w:ascii="Times New Roman" w:eastAsia="Times New Roman" w:hAnsi="Times New Roman" w:cs="Times New Roman"/>
          <w:color w:val="000000"/>
        </w:rPr>
        <w:t xml:space="preserve"> </w:t>
      </w:r>
      <w:r w:rsidRPr="003A5131">
        <w:rPr>
          <w:rFonts w:ascii="Times New Roman" w:eastAsia="Times New Roman" w:hAnsi="Times New Roman" w:cs="Times New Roman"/>
          <w:color w:val="000000"/>
        </w:rPr>
        <w:t xml:space="preserve">togliersi della </w:t>
      </w:r>
      <w:r w:rsidRPr="003A5131">
        <w:rPr>
          <w:rFonts w:ascii="Times New Roman" w:eastAsia="Times New Roman" w:hAnsi="Times New Roman" w:cs="Times New Roman"/>
          <w:i/>
          <w:color w:val="000000"/>
          <w:lang w:val="de-DE"/>
        </w:rPr>
        <w:t>Wesenslogik</w:t>
      </w:r>
      <w:r w:rsidRPr="003A5131">
        <w:rPr>
          <w:rFonts w:ascii="Times New Roman" w:eastAsia="Times New Roman" w:hAnsi="Times New Roman" w:cs="Times New Roman"/>
          <w:color w:val="000000"/>
        </w:rPr>
        <w:t xml:space="preserve"> nella </w:t>
      </w:r>
      <w:r w:rsidRPr="003A5131">
        <w:rPr>
          <w:rFonts w:ascii="Times New Roman" w:eastAsia="Times New Roman" w:hAnsi="Times New Roman" w:cs="Times New Roman"/>
          <w:i/>
          <w:color w:val="000000"/>
          <w:lang w:val="de-DE"/>
        </w:rPr>
        <w:t>subjective Logik</w:t>
      </w:r>
      <w:r w:rsidRPr="003A5131">
        <w:rPr>
          <w:rFonts w:ascii="Times New Roman" w:eastAsia="Times New Roman" w:hAnsi="Times New Roman" w:cs="Times New Roman"/>
          <w:color w:val="000000"/>
          <w:lang w:val="de-DE"/>
        </w:rPr>
        <w:t>,</w:t>
      </w:r>
      <w:r w:rsidRPr="003A5131">
        <w:rPr>
          <w:rFonts w:ascii="Times New Roman" w:eastAsia="Times New Roman" w:hAnsi="Times New Roman" w:cs="Times New Roman"/>
          <w:color w:val="000000"/>
        </w:rPr>
        <w:t xml:space="preserve"> è bene procedere ad una caratterizzazione più precisa dell’essenza e delle sue dinamiche di sviluppo.</w:t>
      </w:r>
      <w:r>
        <w:rPr>
          <w:rFonts w:ascii="Times New Roman" w:eastAsia="Times New Roman" w:hAnsi="Times New Roman" w:cs="Times New Roman"/>
          <w:color w:val="000000"/>
        </w:rPr>
        <w:t xml:space="preserve"> </w:t>
      </w:r>
    </w:p>
    <w:p w14:paraId="3EA2ED52" w14:textId="48BB9416" w:rsidR="001B7751" w:rsidRDefault="001B7751" w:rsidP="001B7751">
      <w:pPr>
        <w:pStyle w:val="Paragrafoelenco"/>
        <w:spacing w:line="360" w:lineRule="auto"/>
        <w:ind w:left="0" w:firstLine="567"/>
        <w:jc w:val="both"/>
        <w:rPr>
          <w:rFonts w:ascii="Times New Roman" w:eastAsia="Times New Roman" w:hAnsi="Times New Roman" w:cs="Times New Roman"/>
          <w:color w:val="000000"/>
        </w:rPr>
      </w:pPr>
      <w:r>
        <w:rPr>
          <w:rFonts w:ascii="Times New Roman" w:eastAsia="Times New Roman" w:hAnsi="Times New Roman" w:cs="Times New Roman"/>
          <w:color w:val="000000"/>
        </w:rPr>
        <w:t>È stato notato come la mancanza di misura rappresenti un superamento del modello relazionale tipico della sfera dell’essere. Il passare di una determinazione nell’altra lascia il posto ad una continuità di sé per mezzo del rapporto ad altro. L’indifferenza, se colta in termini assoluti, lascia trasparire in sé la verità dell’essere: lungi dall’essere un mero astratto, che ricaccia la negazione come un qualcosa d’esterno, l’indifferenza assoluta (</w:t>
      </w:r>
      <w:r w:rsidRPr="00A15F5B">
        <w:rPr>
          <w:rFonts w:ascii="Times New Roman" w:eastAsia="Times New Roman" w:hAnsi="Times New Roman" w:cs="Times New Roman"/>
          <w:i/>
          <w:color w:val="000000"/>
          <w:lang w:val="de-DE"/>
        </w:rPr>
        <w:t>die absolute Indifferenz</w:t>
      </w:r>
      <w:r>
        <w:rPr>
          <w:rFonts w:ascii="Times New Roman" w:eastAsia="Times New Roman" w:hAnsi="Times New Roman" w:cs="Times New Roman"/>
          <w:color w:val="000000"/>
        </w:rPr>
        <w:t xml:space="preserve">) si rivela come una </w:t>
      </w:r>
      <w:r w:rsidRPr="00A15F5B">
        <w:rPr>
          <w:rFonts w:ascii="Times New Roman" w:eastAsia="Times New Roman" w:hAnsi="Times New Roman" w:cs="Times New Roman"/>
          <w:i/>
          <w:color w:val="000000"/>
          <w:lang w:val="de-DE"/>
        </w:rPr>
        <w:t>Denkbestimmung</w:t>
      </w:r>
      <w:r w:rsidRPr="00A15F5B">
        <w:rPr>
          <w:rFonts w:ascii="Times New Roman" w:eastAsia="Times New Roman" w:hAnsi="Times New Roman" w:cs="Times New Roman"/>
          <w:color w:val="000000"/>
          <w:lang w:val="de-DE"/>
        </w:rPr>
        <w:t xml:space="preserve"> </w:t>
      </w:r>
      <w:r>
        <w:rPr>
          <w:rFonts w:ascii="Times New Roman" w:eastAsia="Times New Roman" w:hAnsi="Times New Roman" w:cs="Times New Roman"/>
          <w:color w:val="000000"/>
        </w:rPr>
        <w:t>permeata da un’intrinseca negatività. La sua natura negativa è data dal mediarsi dell’essere con se stesso: nella relazione priva di misura si è tolta al contempo l’immediatezza dell’essere</w:t>
      </w:r>
      <w:r w:rsidRPr="00023CD4">
        <w:rPr>
          <w:rFonts w:ascii="Times New Roman" w:eastAsia="Times New Roman" w:hAnsi="Times New Roman" w:cs="Times New Roman"/>
          <w:color w:val="000000"/>
        </w:rPr>
        <w:t xml:space="preserve">. Ciò fa sì che l’essere, superando se stesso, si delinei come </w:t>
      </w:r>
      <w:r w:rsidRPr="00291364">
        <w:rPr>
          <w:rFonts w:ascii="Times New Roman" w:eastAsia="Times New Roman" w:hAnsi="Times New Roman" w:cs="Times New Roman"/>
          <w:color w:val="000000"/>
        </w:rPr>
        <w:t>«</w:t>
      </w:r>
      <w:r w:rsidRPr="00291364">
        <w:rPr>
          <w:rFonts w:ascii="Times New Roman" w:eastAsia="Times New Roman" w:hAnsi="Times New Roman" w:cs="Times New Roman"/>
          <w:color w:val="000000"/>
          <w:lang w:val="de-DE"/>
        </w:rPr>
        <w:t>vermittelt mit sich durch seine Negation</w:t>
      </w:r>
      <w:r w:rsidRPr="00291364">
        <w:rPr>
          <w:rFonts w:ascii="Times New Roman" w:eastAsia="Times New Roman" w:hAnsi="Times New Roman" w:cs="Times New Roman"/>
          <w:color w:val="000000"/>
        </w:rPr>
        <w:t>»</w:t>
      </w:r>
      <w:r w:rsidRPr="00291364">
        <w:rPr>
          <w:rStyle w:val="Rimandonotaapidipagina"/>
          <w:rFonts w:ascii="Times New Roman" w:eastAsia="Times New Roman" w:hAnsi="Times New Roman" w:cs="Times New Roman"/>
          <w:color w:val="000000"/>
        </w:rPr>
        <w:footnoteReference w:id="383"/>
      </w:r>
      <w:r w:rsidRPr="00291364">
        <w:rPr>
          <w:rFonts w:ascii="Times New Roman" w:eastAsia="Times New Roman" w:hAnsi="Times New Roman" w:cs="Times New Roman"/>
          <w:color w:val="000000"/>
        </w:rPr>
        <w:t>. E questo essere, che toglie sé, è l’essenza, ossia «</w:t>
      </w:r>
      <w:r w:rsidRPr="00291364">
        <w:rPr>
          <w:rFonts w:ascii="Times New Roman" w:eastAsia="Times New Roman" w:hAnsi="Times New Roman" w:cs="Times New Roman"/>
          <w:color w:val="000000"/>
          <w:lang w:val="de-DE"/>
        </w:rPr>
        <w:t>das Seyn [...] als diese einfache Negativität seiner selbst</w:t>
      </w:r>
      <w:r w:rsidRPr="00291364">
        <w:rPr>
          <w:rFonts w:ascii="Times New Roman" w:eastAsia="Times New Roman" w:hAnsi="Times New Roman" w:cs="Times New Roman"/>
          <w:color w:val="000000"/>
        </w:rPr>
        <w:t>»</w:t>
      </w:r>
      <w:r w:rsidRPr="00291364">
        <w:rPr>
          <w:rStyle w:val="Rimandonotaapidipagina"/>
          <w:rFonts w:ascii="Times New Roman" w:eastAsia="Times New Roman" w:hAnsi="Times New Roman" w:cs="Times New Roman"/>
          <w:color w:val="000000"/>
        </w:rPr>
        <w:footnoteReference w:id="384"/>
      </w:r>
      <w:r w:rsidRPr="00291364">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Hegel fornisce così </w:t>
      </w:r>
      <w:r w:rsidRPr="00712B9B">
        <w:rPr>
          <w:rFonts w:ascii="Times New Roman" w:eastAsia="Times New Roman" w:hAnsi="Times New Roman" w:cs="Times New Roman"/>
          <w:color w:val="000000"/>
        </w:rPr>
        <w:t xml:space="preserve">una prima </w:t>
      </w:r>
      <w:r>
        <w:rPr>
          <w:rFonts w:ascii="Times New Roman" w:eastAsia="Times New Roman" w:hAnsi="Times New Roman" w:cs="Times New Roman"/>
          <w:color w:val="000000"/>
        </w:rPr>
        <w:t>descrizione dell’essenza: e</w:t>
      </w:r>
      <w:r w:rsidRPr="00712B9B">
        <w:rPr>
          <w:rFonts w:ascii="Times New Roman" w:eastAsia="Times New Roman" w:hAnsi="Times New Roman" w:cs="Times New Roman"/>
          <w:color w:val="000000"/>
        </w:rPr>
        <w:t xml:space="preserve">ssa è il mediarsi dell’essere con se stesso, ossia pura e semplice negatività, </w:t>
      </w:r>
      <w:r>
        <w:rPr>
          <w:rFonts w:ascii="Times New Roman" w:eastAsia="Times New Roman" w:hAnsi="Times New Roman" w:cs="Times New Roman"/>
          <w:color w:val="000000"/>
        </w:rPr>
        <w:t xml:space="preserve">che non presuppone nulla al di fuori di sé. Presa in sé, l’essenza è negatività priva di riferimento ad altro, ossia </w:t>
      </w:r>
      <w:r w:rsidRPr="00291364">
        <w:rPr>
          <w:rFonts w:ascii="Times New Roman" w:eastAsia="Times New Roman" w:hAnsi="Times New Roman" w:cs="Times New Roman"/>
          <w:color w:val="000000"/>
        </w:rPr>
        <w:t>«die Reflexion […] das Scheinen des Wesens in sich selbst»</w:t>
      </w:r>
      <w:r w:rsidRPr="00291364">
        <w:rPr>
          <w:rStyle w:val="Rimandonotaapidipagina"/>
          <w:rFonts w:ascii="Times New Roman" w:eastAsia="Times New Roman" w:hAnsi="Times New Roman" w:cs="Times New Roman"/>
          <w:color w:val="000000"/>
        </w:rPr>
        <w:footnoteReference w:id="385"/>
      </w:r>
      <w:r w:rsidRPr="00291364">
        <w:rPr>
          <w:rFonts w:ascii="Times New Roman" w:eastAsia="Times New Roman" w:hAnsi="Times New Roman" w:cs="Times New Roman"/>
          <w:color w:val="000000"/>
        </w:rPr>
        <w:t>. Nel parere in sé dell’essenza, quest’ultima si determina come il movimento dell’«</w:t>
      </w:r>
      <w:r w:rsidRPr="00291364">
        <w:rPr>
          <w:rFonts w:ascii="Times New Roman" w:eastAsia="Times New Roman" w:hAnsi="Times New Roman" w:cs="Times New Roman"/>
          <w:color w:val="000000"/>
          <w:lang w:val="de-DE"/>
        </w:rPr>
        <w:t>absolute Vermittlung mit sich</w:t>
      </w:r>
      <w:r w:rsidRPr="00291364">
        <w:rPr>
          <w:rFonts w:ascii="Times New Roman" w:eastAsia="Times New Roman" w:hAnsi="Times New Roman" w:cs="Times New Roman"/>
          <w:color w:val="000000"/>
        </w:rPr>
        <w:t>»</w:t>
      </w:r>
      <w:r w:rsidRPr="00291364">
        <w:rPr>
          <w:rStyle w:val="Rimandonotaapidipagina"/>
          <w:rFonts w:ascii="Times New Roman" w:eastAsia="Times New Roman" w:hAnsi="Times New Roman" w:cs="Times New Roman"/>
          <w:color w:val="000000"/>
        </w:rPr>
        <w:footnoteReference w:id="386"/>
      </w:r>
      <w:r w:rsidRPr="00291364">
        <w:rPr>
          <w:rFonts w:ascii="Times New Roman" w:eastAsia="Times New Roman" w:hAnsi="Times New Roman" w:cs="Times New Roman"/>
          <w:color w:val="000000"/>
        </w:rPr>
        <w:t>. Il mediarsi di sé con sé si delinea come l’«</w:t>
      </w:r>
      <w:r w:rsidRPr="00291364">
        <w:rPr>
          <w:rFonts w:ascii="Times New Roman" w:eastAsia="Times New Roman" w:hAnsi="Times New Roman" w:cs="Times New Roman"/>
          <w:color w:val="000000"/>
          <w:lang w:val="de-DE"/>
        </w:rPr>
        <w:t>einfache Beziehung auf sich; die reine Identität</w:t>
      </w:r>
      <w:r w:rsidRPr="00291364">
        <w:rPr>
          <w:rFonts w:ascii="Times New Roman" w:eastAsia="Times New Roman" w:hAnsi="Times New Roman" w:cs="Times New Roman"/>
          <w:color w:val="000000"/>
        </w:rPr>
        <w:t>»</w:t>
      </w:r>
      <w:r w:rsidRPr="00291364">
        <w:rPr>
          <w:rStyle w:val="Rimandonotaapidipagina"/>
          <w:rFonts w:ascii="Times New Roman" w:eastAsia="Times New Roman" w:hAnsi="Times New Roman" w:cs="Times New Roman"/>
          <w:color w:val="000000"/>
        </w:rPr>
        <w:footnoteReference w:id="387"/>
      </w:r>
      <w:r w:rsidRPr="00291364">
        <w:rPr>
          <w:rFonts w:ascii="Times New Roman" w:eastAsia="Times New Roman" w:hAnsi="Times New Roman" w:cs="Times New Roman"/>
          <w:color w:val="000000"/>
        </w:rPr>
        <w:t>. La pura identità è ciò che costituisce «</w:t>
      </w:r>
      <w:r w:rsidRPr="00291364">
        <w:rPr>
          <w:rFonts w:ascii="Times New Roman" w:eastAsia="Times New Roman" w:hAnsi="Times New Roman" w:cs="Times New Roman"/>
          <w:color w:val="000000"/>
          <w:lang w:val="de-DE"/>
        </w:rPr>
        <w:t>die Unmittelbarkeit der Reflexion</w:t>
      </w:r>
      <w:r w:rsidRPr="00291364">
        <w:rPr>
          <w:rFonts w:ascii="Times New Roman" w:eastAsia="Times New Roman" w:hAnsi="Times New Roman" w:cs="Times New Roman"/>
          <w:color w:val="000000"/>
        </w:rPr>
        <w:t>»</w:t>
      </w:r>
      <w:r w:rsidRPr="00291364">
        <w:rPr>
          <w:rStyle w:val="Rimandonotaapidipagina"/>
          <w:rFonts w:ascii="Times New Roman" w:eastAsia="Times New Roman" w:hAnsi="Times New Roman" w:cs="Times New Roman"/>
          <w:color w:val="000000"/>
        </w:rPr>
        <w:footnoteReference w:id="388"/>
      </w:r>
      <w:r w:rsidRPr="00291364">
        <w:rPr>
          <w:rFonts w:ascii="Times New Roman" w:eastAsia="Times New Roman" w:hAnsi="Times New Roman" w:cs="Times New Roman"/>
          <w:color w:val="000000"/>
        </w:rPr>
        <w:t xml:space="preserve">. </w:t>
      </w:r>
      <w:r w:rsidRPr="00A03733">
        <w:rPr>
          <w:rFonts w:ascii="Times New Roman" w:eastAsia="Times New Roman" w:hAnsi="Times New Roman" w:cs="Times New Roman"/>
          <w:color w:val="000000"/>
        </w:rPr>
        <w:t>Se nella sfera dell’essere l’</w:t>
      </w:r>
      <w:r w:rsidRPr="00A03733">
        <w:rPr>
          <w:rFonts w:ascii="Times New Roman" w:eastAsia="Times New Roman" w:hAnsi="Times New Roman" w:cs="Times New Roman"/>
          <w:i/>
          <w:color w:val="000000"/>
        </w:rPr>
        <w:t>Unmittelbarkeit</w:t>
      </w:r>
      <w:r w:rsidRPr="00A03733">
        <w:rPr>
          <w:rFonts w:ascii="Times New Roman" w:eastAsia="Times New Roman" w:hAnsi="Times New Roman" w:cs="Times New Roman"/>
          <w:color w:val="000000"/>
        </w:rPr>
        <w:t xml:space="preserve"> era definita dall’essere, a livello della </w:t>
      </w:r>
      <w:r w:rsidRPr="00A03733">
        <w:rPr>
          <w:rFonts w:ascii="Times New Roman" w:eastAsia="Times New Roman" w:hAnsi="Times New Roman" w:cs="Times New Roman"/>
          <w:i/>
          <w:color w:val="000000"/>
        </w:rPr>
        <w:t>Wesenslogik</w:t>
      </w:r>
      <w:r w:rsidRPr="00A03733">
        <w:rPr>
          <w:rFonts w:ascii="Times New Roman" w:eastAsia="Times New Roman" w:hAnsi="Times New Roman" w:cs="Times New Roman"/>
          <w:color w:val="000000"/>
        </w:rPr>
        <w:t xml:space="preserve"> lo è dall’identità, intesa </w:t>
      </w:r>
      <w:r w:rsidRPr="00291364">
        <w:rPr>
          <w:rFonts w:ascii="Times New Roman" w:eastAsia="Times New Roman" w:hAnsi="Times New Roman" w:cs="Times New Roman"/>
          <w:color w:val="000000"/>
        </w:rPr>
        <w:t>come «</w:t>
      </w:r>
      <w:r w:rsidRPr="00291364">
        <w:rPr>
          <w:rFonts w:ascii="Times New Roman" w:eastAsia="Times New Roman" w:hAnsi="Times New Roman" w:cs="Times New Roman"/>
          <w:color w:val="000000"/>
          <w:lang w:val="de-DE"/>
        </w:rPr>
        <w:t>sich selbst gleich in seiner absoluten Negativität</w:t>
      </w:r>
      <w:r w:rsidRPr="00291364">
        <w:rPr>
          <w:rFonts w:ascii="Times New Roman" w:eastAsia="Times New Roman" w:hAnsi="Times New Roman" w:cs="Times New Roman"/>
          <w:color w:val="000000"/>
        </w:rPr>
        <w:t>»</w:t>
      </w:r>
      <w:r w:rsidRPr="00291364">
        <w:rPr>
          <w:rStyle w:val="Rimandonotaapidipagina"/>
          <w:rFonts w:ascii="Times New Roman" w:eastAsia="Times New Roman" w:hAnsi="Times New Roman" w:cs="Times New Roman"/>
          <w:color w:val="000000"/>
        </w:rPr>
        <w:footnoteReference w:id="389"/>
      </w:r>
      <w:r w:rsidRPr="00291364">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w:t>
      </w:r>
      <w:r w:rsidRPr="00C86D2D">
        <w:rPr>
          <w:rFonts w:ascii="Times New Roman" w:eastAsia="Times New Roman" w:hAnsi="Times New Roman" w:cs="Times New Roman"/>
          <w:color w:val="000000"/>
        </w:rPr>
        <w:t>Proprio questa natura negativa dell’identità innesca un rapporto con l’</w:t>
      </w:r>
      <w:r w:rsidRPr="00C86D2D">
        <w:rPr>
          <w:rFonts w:ascii="Times New Roman" w:eastAsia="Times New Roman" w:hAnsi="Times New Roman" w:cs="Times New Roman"/>
          <w:i/>
          <w:color w:val="000000"/>
        </w:rPr>
        <w:t>Andersseyn</w:t>
      </w:r>
      <w:r w:rsidRPr="00C86D2D">
        <w:rPr>
          <w:rFonts w:ascii="Times New Roman" w:eastAsia="Times New Roman" w:hAnsi="Times New Roman" w:cs="Times New Roman"/>
          <w:color w:val="000000"/>
        </w:rPr>
        <w:t xml:space="preserve"> completamente altro rispetto a quanto visto nella sfera dell’essere.</w:t>
      </w:r>
      <w:r>
        <w:rPr>
          <w:rFonts w:ascii="Times New Roman" w:eastAsia="Times New Roman" w:hAnsi="Times New Roman" w:cs="Times New Roman"/>
          <w:color w:val="000000"/>
        </w:rPr>
        <w:t xml:space="preserve"> Nel loro repentino e sfrenato passare nel proprio opposto, </w:t>
      </w:r>
      <w:r w:rsidRPr="00DE1BDD">
        <w:rPr>
          <w:rFonts w:ascii="Times New Roman" w:eastAsia="Times New Roman" w:hAnsi="Times New Roman" w:cs="Times New Roman"/>
          <w:color w:val="000000"/>
        </w:rPr>
        <w:t>essere e nulla davano vita ad una differenza de</w:t>
      </w:r>
      <w:r>
        <w:rPr>
          <w:rFonts w:ascii="Times New Roman" w:eastAsia="Times New Roman" w:hAnsi="Times New Roman" w:cs="Times New Roman"/>
          <w:color w:val="000000"/>
        </w:rPr>
        <w:t>l tutto esteriore e trans</w:t>
      </w:r>
      <w:r w:rsidRPr="00DE1BDD">
        <w:rPr>
          <w:rFonts w:ascii="Times New Roman" w:eastAsia="Times New Roman" w:hAnsi="Times New Roman" w:cs="Times New Roman"/>
          <w:color w:val="000000"/>
        </w:rPr>
        <w:t>e</w:t>
      </w:r>
      <w:r>
        <w:rPr>
          <w:rFonts w:ascii="Times New Roman" w:eastAsia="Times New Roman" w:hAnsi="Times New Roman" w:cs="Times New Roman"/>
          <w:color w:val="000000"/>
        </w:rPr>
        <w:t>u</w:t>
      </w:r>
      <w:r w:rsidRPr="00DE1BDD">
        <w:rPr>
          <w:rFonts w:ascii="Times New Roman" w:eastAsia="Times New Roman" w:hAnsi="Times New Roman" w:cs="Times New Roman"/>
          <w:color w:val="000000"/>
        </w:rPr>
        <w:t>nte:</w:t>
      </w:r>
      <w:r>
        <w:rPr>
          <w:rFonts w:ascii="Times New Roman" w:eastAsia="Times New Roman" w:hAnsi="Times New Roman" w:cs="Times New Roman"/>
          <w:color w:val="000000"/>
        </w:rPr>
        <w:t xml:space="preserve"> due determinazioni identiche e distinte che passano senza requie l’una nell’altra. La differenza è instabile, nessuna riflessione ha effettivamente luogo in questa prima diade dialettica, poiché il rapportarsi ad altro è un semplice dileguare e perdersi nell’altro da sé. Nell’essenza, invece, si può parlare di una dinamica relazionale di ben altra natura: l’identità è permeata da un’intrinseca negatività, in forza della quale essa è </w:t>
      </w:r>
      <w:r w:rsidRPr="00291364">
        <w:rPr>
          <w:rFonts w:ascii="Times New Roman" w:eastAsia="Times New Roman" w:hAnsi="Times New Roman" w:cs="Times New Roman"/>
          <w:color w:val="000000"/>
        </w:rPr>
        <w:t>«</w:t>
      </w:r>
      <w:r w:rsidRPr="00291364">
        <w:rPr>
          <w:rFonts w:ascii="Times New Roman" w:eastAsia="Times New Roman" w:hAnsi="Times New Roman" w:cs="Times New Roman"/>
          <w:color w:val="000000"/>
          <w:lang w:val="de-DE"/>
        </w:rPr>
        <w:t>die Reflexion in sich selbst, welche nur diß ist, als innerliches Abstoßen, und diß Abstoßen ist es als Reflexion in sich, unmittelbar sich in sich zurücknehmendes Abstoßen</w:t>
      </w:r>
      <w:r w:rsidRPr="00291364">
        <w:rPr>
          <w:rFonts w:ascii="Times New Roman" w:eastAsia="Times New Roman" w:hAnsi="Times New Roman" w:cs="Times New Roman"/>
          <w:color w:val="000000"/>
        </w:rPr>
        <w:t>»</w:t>
      </w:r>
      <w:r w:rsidRPr="00291364">
        <w:rPr>
          <w:rStyle w:val="Rimandonotaapidipagina"/>
          <w:rFonts w:ascii="Times New Roman" w:eastAsia="Times New Roman" w:hAnsi="Times New Roman" w:cs="Times New Roman"/>
          <w:color w:val="000000"/>
          <w:lang w:val="de-DE"/>
        </w:rPr>
        <w:footnoteReference w:id="390"/>
      </w:r>
      <w:r w:rsidRPr="00291364">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Respingersi da sé che è, al contempo, un differenziarsi e riprendere in sé il termine differenziato. Poiché la differenza, l’</w:t>
      </w:r>
      <w:r w:rsidRPr="00A15F5B">
        <w:rPr>
          <w:rFonts w:ascii="Times New Roman" w:eastAsia="Times New Roman" w:hAnsi="Times New Roman" w:cs="Times New Roman"/>
          <w:i/>
          <w:color w:val="000000"/>
          <w:lang w:val="de-DE"/>
        </w:rPr>
        <w:t>Unterschied</w:t>
      </w:r>
      <w:r>
        <w:rPr>
          <w:rFonts w:ascii="Times New Roman" w:eastAsia="Times New Roman" w:hAnsi="Times New Roman" w:cs="Times New Roman"/>
          <w:color w:val="000000"/>
        </w:rPr>
        <w:t xml:space="preserve">, </w:t>
      </w:r>
      <w:r w:rsidRPr="00A03733">
        <w:rPr>
          <w:rFonts w:ascii="Times New Roman" w:eastAsia="Times New Roman" w:hAnsi="Times New Roman" w:cs="Times New Roman"/>
          <w:color w:val="000000"/>
        </w:rPr>
        <w:t>ri</w:t>
      </w:r>
      <w:r>
        <w:rPr>
          <w:rFonts w:ascii="Times New Roman" w:eastAsia="Times New Roman" w:hAnsi="Times New Roman" w:cs="Times New Roman"/>
          <w:color w:val="000000"/>
        </w:rPr>
        <w:t xml:space="preserve">sulta dal respingersi dell’identità. In forza di questo movimento repulsivo, la differenza è soggetta ad una doppia dinamica di sviluppo: in quanto termine differenziato, essa è </w:t>
      </w:r>
      <w:r w:rsidRPr="00291364">
        <w:rPr>
          <w:rFonts w:ascii="Times New Roman" w:eastAsia="Times New Roman" w:hAnsi="Times New Roman" w:cs="Times New Roman"/>
          <w:color w:val="000000"/>
        </w:rPr>
        <w:t>«</w:t>
      </w:r>
      <w:r w:rsidRPr="00291364">
        <w:rPr>
          <w:rFonts w:ascii="Times New Roman" w:eastAsia="Times New Roman" w:hAnsi="Times New Roman" w:cs="Times New Roman"/>
          <w:color w:val="000000"/>
          <w:lang w:val="de-DE"/>
        </w:rPr>
        <w:t>absolute Nichtidentität</w:t>
      </w:r>
      <w:r w:rsidRPr="00291364">
        <w:rPr>
          <w:rFonts w:ascii="Times New Roman" w:eastAsia="Times New Roman" w:hAnsi="Times New Roman" w:cs="Times New Roman"/>
          <w:color w:val="000000"/>
        </w:rPr>
        <w:t>»</w:t>
      </w:r>
      <w:r w:rsidRPr="00291364">
        <w:rPr>
          <w:rStyle w:val="Rimandonotaapidipagina"/>
          <w:rFonts w:ascii="Times New Roman" w:eastAsia="Times New Roman" w:hAnsi="Times New Roman" w:cs="Times New Roman"/>
          <w:color w:val="000000"/>
        </w:rPr>
        <w:footnoteReference w:id="391"/>
      </w:r>
      <w:r w:rsidRPr="00291364">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in quanto assoluta non-identità, essa non contiene nient’altro all’infuori di sé, il che vuol dire che essa è </w:t>
      </w:r>
      <w:r w:rsidRPr="00291364">
        <w:rPr>
          <w:rFonts w:ascii="Times New Roman" w:eastAsia="Times New Roman" w:hAnsi="Times New Roman" w:cs="Times New Roman"/>
          <w:color w:val="000000"/>
        </w:rPr>
        <w:t>l’«</w:t>
      </w:r>
      <w:r w:rsidRPr="00291364">
        <w:rPr>
          <w:rFonts w:ascii="Times New Roman" w:eastAsia="Times New Roman" w:hAnsi="Times New Roman" w:cs="Times New Roman"/>
          <w:color w:val="000000"/>
          <w:lang w:val="de-DE"/>
        </w:rPr>
        <w:t>absolute Identität mit sich selbst</w:t>
      </w:r>
      <w:r w:rsidRPr="00291364">
        <w:rPr>
          <w:rFonts w:ascii="Times New Roman" w:eastAsia="Times New Roman" w:hAnsi="Times New Roman" w:cs="Times New Roman"/>
          <w:color w:val="000000"/>
        </w:rPr>
        <w:t>»</w:t>
      </w:r>
      <w:r w:rsidRPr="00291364">
        <w:rPr>
          <w:rStyle w:val="Rimandonotaapidipagina"/>
          <w:rFonts w:ascii="Times New Roman" w:eastAsia="Times New Roman" w:hAnsi="Times New Roman" w:cs="Times New Roman"/>
          <w:color w:val="000000"/>
        </w:rPr>
        <w:footnoteReference w:id="392"/>
      </w:r>
      <w:r w:rsidRPr="00291364">
        <w:rPr>
          <w:rFonts w:ascii="Times New Roman" w:eastAsia="Times New Roman" w:hAnsi="Times New Roman" w:cs="Times New Roman"/>
          <w:color w:val="000000"/>
        </w:rPr>
        <w:t xml:space="preserve">. Respingersi che è un riprendersi in sé, oppure, detto ancora una volta con le parola di </w:t>
      </w:r>
      <w:r w:rsidRPr="00D35648">
        <w:rPr>
          <w:rFonts w:ascii="Times New Roman" w:eastAsia="Times New Roman" w:hAnsi="Times New Roman" w:cs="Times New Roman"/>
          <w:color w:val="000000"/>
        </w:rPr>
        <w:t>Hegel, «die I</w:t>
      </w:r>
      <w:r w:rsidRPr="00D35648">
        <w:rPr>
          <w:rFonts w:ascii="Times New Roman" w:eastAsia="Times New Roman" w:hAnsi="Times New Roman" w:cs="Times New Roman"/>
          <w:color w:val="000000"/>
          <w:lang w:val="de-DE"/>
        </w:rPr>
        <w:t>dentität ist also an ihr selbst absolute Nichtidentität. Aber sie ist auch die Bestimmung der Identität dagegen</w:t>
      </w:r>
      <w:r w:rsidRPr="00D35648">
        <w:rPr>
          <w:rFonts w:ascii="Times New Roman" w:eastAsia="Times New Roman" w:hAnsi="Times New Roman" w:cs="Times New Roman"/>
          <w:color w:val="000000"/>
        </w:rPr>
        <w:t>»</w:t>
      </w:r>
      <w:r w:rsidRPr="00D35648">
        <w:rPr>
          <w:rStyle w:val="Rimandonotaapidipagina"/>
          <w:rFonts w:ascii="Times New Roman" w:eastAsia="Times New Roman" w:hAnsi="Times New Roman" w:cs="Times New Roman"/>
          <w:color w:val="000000"/>
        </w:rPr>
        <w:footnoteReference w:id="393"/>
      </w:r>
      <w:r w:rsidRPr="00D35648">
        <w:rPr>
          <w:rFonts w:ascii="Times New Roman" w:eastAsia="Times New Roman" w:hAnsi="Times New Roman" w:cs="Times New Roman"/>
          <w:color w:val="000000"/>
        </w:rPr>
        <w:t>. Il rapporto semplice a sé dell’essenza, il suo rif</w:t>
      </w:r>
      <w:r w:rsidR="00B00E44">
        <w:rPr>
          <w:rFonts w:ascii="Times New Roman" w:eastAsia="Times New Roman" w:hAnsi="Times New Roman" w:cs="Times New Roman"/>
          <w:color w:val="000000"/>
        </w:rPr>
        <w:t>erirsi a sé e riflettersi in sé</w:t>
      </w:r>
      <w:r>
        <w:rPr>
          <w:rFonts w:ascii="Times New Roman" w:eastAsia="Times New Roman" w:hAnsi="Times New Roman" w:cs="Times New Roman"/>
          <w:color w:val="000000"/>
        </w:rPr>
        <w:t xml:space="preserve"> descrive una dinamica di differenziazione interna. L’altro dell’identità non è un qualcosa che si trova posto al di fuori dell’identità stessa, ma una determinazione che risulta dal mediarsi dell’essenza con sé. Il termine differenziato, poiché si riferisce negativamente a sé, è il differire di se stesso, ossia l’identità. La differenza è pertanto </w:t>
      </w:r>
      <w:r w:rsidRPr="00291364">
        <w:rPr>
          <w:rFonts w:ascii="Times New Roman" w:eastAsia="Times New Roman" w:hAnsi="Times New Roman" w:cs="Times New Roman"/>
          <w:color w:val="000000"/>
        </w:rPr>
        <w:t>«Einheit seiner und der Identität»</w:t>
      </w:r>
      <w:r w:rsidRPr="00291364">
        <w:rPr>
          <w:rStyle w:val="Rimandonotaapidipagina"/>
          <w:rFonts w:ascii="Times New Roman" w:eastAsia="Times New Roman" w:hAnsi="Times New Roman" w:cs="Times New Roman"/>
          <w:color w:val="000000"/>
        </w:rPr>
        <w:footnoteReference w:id="394"/>
      </w:r>
      <w:r w:rsidRPr="00291364">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w:t>
      </w:r>
    </w:p>
    <w:p w14:paraId="0B772C39" w14:textId="77777777" w:rsidR="001B7751" w:rsidRPr="00407741" w:rsidRDefault="001B7751" w:rsidP="001B7751">
      <w:pPr>
        <w:pStyle w:val="Paragrafoelenco"/>
        <w:spacing w:line="360" w:lineRule="auto"/>
        <w:ind w:left="0" w:firstLine="567"/>
        <w:jc w:val="both"/>
        <w:rPr>
          <w:rFonts w:ascii="Times New Roman" w:eastAsia="Times New Roman" w:hAnsi="Times New Roman" w:cs="Times New Roman"/>
          <w:color w:val="000000"/>
        </w:rPr>
      </w:pPr>
      <w:r w:rsidRPr="00407741">
        <w:rPr>
          <w:rFonts w:ascii="Times New Roman" w:eastAsia="Times New Roman" w:hAnsi="Times New Roman" w:cs="Times New Roman"/>
          <w:color w:val="000000"/>
        </w:rPr>
        <w:t xml:space="preserve">A questo punto, proprio quando sembra instaurarsi un rapporto </w:t>
      </w:r>
      <w:r w:rsidRPr="00407741">
        <w:rPr>
          <w:rFonts w:ascii="Times New Roman" w:eastAsia="Times New Roman" w:hAnsi="Times New Roman" w:cs="Times New Roman"/>
          <w:i/>
          <w:color w:val="000000"/>
        </w:rPr>
        <w:t xml:space="preserve">inclusivo </w:t>
      </w:r>
      <w:r w:rsidRPr="00407741">
        <w:rPr>
          <w:rFonts w:ascii="Times New Roman" w:eastAsia="Times New Roman" w:hAnsi="Times New Roman" w:cs="Times New Roman"/>
          <w:color w:val="000000"/>
        </w:rPr>
        <w:t>dell’immediatezza nella mediatezza e viceversa, Hegel osserva che identità e differenza, in forza del riferimento a sé, sono entrambi un essere posto – una determinatezza (</w:t>
      </w:r>
      <w:r w:rsidRPr="00F50CE2">
        <w:rPr>
          <w:rFonts w:ascii="Times New Roman" w:eastAsia="Times New Roman" w:hAnsi="Times New Roman" w:cs="Times New Roman"/>
          <w:i/>
          <w:color w:val="000000"/>
          <w:lang w:val="de-DE"/>
        </w:rPr>
        <w:t>Bestimmtheit</w:t>
      </w:r>
      <w:r w:rsidRPr="00407741">
        <w:rPr>
          <w:rFonts w:ascii="Times New Roman" w:eastAsia="Times New Roman" w:hAnsi="Times New Roman" w:cs="Times New Roman"/>
          <w:color w:val="000000"/>
        </w:rPr>
        <w:t>) o un momento (</w:t>
      </w:r>
      <w:r w:rsidRPr="00407741">
        <w:rPr>
          <w:rFonts w:ascii="Times New Roman" w:eastAsia="Times New Roman" w:hAnsi="Times New Roman" w:cs="Times New Roman"/>
          <w:i/>
          <w:color w:val="000000"/>
        </w:rPr>
        <w:t>Moment</w:t>
      </w:r>
      <w:r w:rsidRPr="00407741">
        <w:rPr>
          <w:rFonts w:ascii="Times New Roman" w:eastAsia="Times New Roman" w:hAnsi="Times New Roman" w:cs="Times New Roman"/>
          <w:color w:val="000000"/>
        </w:rPr>
        <w:t>) – che si riflette in sé e si autonomizza dall’altro da sé. L’identità deflagra in se stessa. Ciò che segue è la diversità (</w:t>
      </w:r>
      <w:r w:rsidRPr="00407741">
        <w:rPr>
          <w:rFonts w:ascii="Times New Roman" w:eastAsia="Times New Roman" w:hAnsi="Times New Roman" w:cs="Times New Roman"/>
          <w:i/>
          <w:color w:val="000000"/>
          <w:lang w:val="de-DE"/>
        </w:rPr>
        <w:t>Verschiedenheit</w:t>
      </w:r>
      <w:r w:rsidRPr="00407741">
        <w:rPr>
          <w:rFonts w:ascii="Times New Roman" w:eastAsia="Times New Roman" w:hAnsi="Times New Roman" w:cs="Times New Roman"/>
          <w:color w:val="000000"/>
          <w:lang w:val="de-DE"/>
        </w:rPr>
        <w:t xml:space="preserve">): </w:t>
      </w:r>
    </w:p>
    <w:p w14:paraId="75E845F2" w14:textId="77777777" w:rsidR="001B7751" w:rsidRPr="00D61BC9" w:rsidRDefault="001B7751" w:rsidP="001B7751">
      <w:pPr>
        <w:spacing w:line="360" w:lineRule="auto"/>
        <w:jc w:val="both"/>
        <w:rPr>
          <w:rFonts w:ascii="Times New Roman" w:eastAsia="Times New Roman" w:hAnsi="Times New Roman" w:cs="Times New Roman"/>
          <w:color w:val="000000"/>
          <w:lang w:val="de-DE"/>
        </w:rPr>
      </w:pPr>
    </w:p>
    <w:p w14:paraId="6AD03A71" w14:textId="77777777" w:rsidR="001B7751" w:rsidRPr="00291364" w:rsidRDefault="001B7751" w:rsidP="001B7751">
      <w:pPr>
        <w:pStyle w:val="Paragrafoelenco"/>
        <w:spacing w:line="360" w:lineRule="auto"/>
        <w:ind w:left="567" w:firstLine="567"/>
        <w:jc w:val="both"/>
        <w:rPr>
          <w:rFonts w:ascii="Times New Roman" w:eastAsia="Times New Roman" w:hAnsi="Times New Roman" w:cs="Times New Roman"/>
          <w:color w:val="000000"/>
          <w:sz w:val="20"/>
          <w:szCs w:val="20"/>
        </w:rPr>
      </w:pPr>
      <w:r w:rsidRPr="00291364">
        <w:rPr>
          <w:rFonts w:ascii="Times New Roman" w:eastAsia="Times New Roman" w:hAnsi="Times New Roman" w:cs="Times New Roman"/>
          <w:color w:val="000000"/>
          <w:lang w:val="de-DE"/>
        </w:rPr>
        <w:t>«</w:t>
      </w:r>
      <w:r w:rsidRPr="00291364">
        <w:rPr>
          <w:rFonts w:ascii="Times New Roman" w:eastAsia="Times New Roman" w:hAnsi="Times New Roman" w:cs="Times New Roman"/>
          <w:color w:val="000000"/>
          <w:sz w:val="20"/>
          <w:szCs w:val="20"/>
          <w:lang w:val="de-DE"/>
        </w:rPr>
        <w:t>Die Identität zerfällt an ihr selbst in Verschiedenheit, weil sie als absoluter Unterschied in sich selbst, sich als das Negative ihrer setzt, und diese ihre Momente, sie selbst und das Negative ihrer, Reflexionen in sich, identisch mit sich selbst sind</w:t>
      </w:r>
      <w:r w:rsidRPr="00291364">
        <w:rPr>
          <w:rFonts w:ascii="Times New Roman" w:eastAsia="Times New Roman" w:hAnsi="Times New Roman" w:cs="Times New Roman"/>
          <w:color w:val="000000"/>
          <w:sz w:val="20"/>
          <w:szCs w:val="20"/>
        </w:rPr>
        <w:t>»</w:t>
      </w:r>
      <w:r w:rsidRPr="00291364">
        <w:rPr>
          <w:rStyle w:val="Rimandonotaapidipagina"/>
          <w:rFonts w:ascii="Times New Roman" w:eastAsia="Times New Roman" w:hAnsi="Times New Roman" w:cs="Times New Roman"/>
          <w:color w:val="000000"/>
          <w:sz w:val="20"/>
          <w:szCs w:val="20"/>
        </w:rPr>
        <w:footnoteReference w:id="395"/>
      </w:r>
      <w:r w:rsidRPr="00291364">
        <w:rPr>
          <w:rFonts w:ascii="Times New Roman" w:eastAsia="Times New Roman" w:hAnsi="Times New Roman" w:cs="Times New Roman"/>
          <w:color w:val="000000"/>
          <w:sz w:val="20"/>
          <w:szCs w:val="20"/>
        </w:rPr>
        <w:t>.</w:t>
      </w:r>
    </w:p>
    <w:p w14:paraId="515EDFAF" w14:textId="77777777" w:rsidR="001B7751" w:rsidRDefault="001B7751" w:rsidP="001B7751">
      <w:pPr>
        <w:pStyle w:val="Paragrafoelenco"/>
        <w:spacing w:line="360" w:lineRule="auto"/>
        <w:ind w:left="708" w:firstLine="567"/>
        <w:jc w:val="both"/>
        <w:rPr>
          <w:rFonts w:ascii="Times New Roman" w:eastAsia="Times New Roman" w:hAnsi="Times New Roman" w:cs="Times New Roman"/>
          <w:color w:val="000000"/>
          <w:sz w:val="20"/>
          <w:szCs w:val="20"/>
        </w:rPr>
      </w:pPr>
    </w:p>
    <w:p w14:paraId="3FB8264C" w14:textId="77777777" w:rsidR="001B7751" w:rsidRDefault="001B7751" w:rsidP="001B7751">
      <w:pPr>
        <w:pStyle w:val="Paragrafoelenco"/>
        <w:spacing w:line="360" w:lineRule="auto"/>
        <w:ind w:left="0" w:firstLine="567"/>
        <w:jc w:val="both"/>
        <w:rPr>
          <w:rFonts w:ascii="Times New Roman" w:eastAsia="Times New Roman" w:hAnsi="Times New Roman" w:cs="Times New Roman"/>
          <w:color w:val="000000"/>
        </w:rPr>
      </w:pPr>
      <w:r w:rsidRPr="003E2585">
        <w:rPr>
          <w:rFonts w:ascii="Times New Roman" w:eastAsia="Times New Roman" w:hAnsi="Times New Roman" w:cs="Times New Roman"/>
          <w:color w:val="000000"/>
        </w:rPr>
        <w:t>Entrambe le determinazioni sono in virtù del loro essere in sé riflesse: identità e differenza sono diverse nella misura in cui entrambe sussistono a prescindere dal rapporto con il proprio essere altro.</w:t>
      </w:r>
      <w:r>
        <w:rPr>
          <w:rFonts w:ascii="Times New Roman" w:eastAsia="Times New Roman" w:hAnsi="Times New Roman" w:cs="Times New Roman"/>
          <w:color w:val="000000"/>
        </w:rPr>
        <w:t xml:space="preserve"> A questa esteriorità reciproca delle determinazioni cerca di sopperire la riflessione esterna, che dà un contenuto esteriore alla diversità sussistente fra identità e differenza. In virtù di questa attività </w:t>
      </w:r>
      <w:r w:rsidRPr="006C00AB">
        <w:rPr>
          <w:rFonts w:ascii="Times New Roman" w:eastAsia="Times New Roman" w:hAnsi="Times New Roman" w:cs="Times New Roman"/>
          <w:color w:val="000000"/>
        </w:rPr>
        <w:t xml:space="preserve">esterna alla cosa, l’identità è definita come </w:t>
      </w:r>
      <w:r w:rsidRPr="002B77F9">
        <w:rPr>
          <w:rFonts w:ascii="Times New Roman" w:eastAsia="Times New Roman" w:hAnsi="Times New Roman" w:cs="Times New Roman"/>
          <w:color w:val="000000"/>
        </w:rPr>
        <w:t>«</w:t>
      </w:r>
      <w:r w:rsidRPr="002B77F9">
        <w:rPr>
          <w:rFonts w:ascii="Times New Roman" w:eastAsia="Times New Roman" w:hAnsi="Times New Roman" w:cs="Times New Roman"/>
          <w:color w:val="000000"/>
          <w:lang w:val="de-DE"/>
        </w:rPr>
        <w:t>Gleichheit</w:t>
      </w:r>
      <w:r w:rsidRPr="002B77F9">
        <w:rPr>
          <w:rFonts w:ascii="Times New Roman" w:eastAsia="Times New Roman" w:hAnsi="Times New Roman" w:cs="Times New Roman"/>
          <w:color w:val="000000"/>
        </w:rPr>
        <w:t>» e la differenza come «</w:t>
      </w:r>
      <w:r w:rsidRPr="002B77F9">
        <w:rPr>
          <w:rFonts w:ascii="Times New Roman" w:eastAsia="Times New Roman" w:hAnsi="Times New Roman" w:cs="Times New Roman"/>
          <w:color w:val="000000"/>
          <w:lang w:val="de-DE"/>
        </w:rPr>
        <w:t>Ungleichheit</w:t>
      </w:r>
      <w:r w:rsidRPr="002B77F9">
        <w:rPr>
          <w:rFonts w:ascii="Times New Roman" w:eastAsia="Times New Roman" w:hAnsi="Times New Roman" w:cs="Times New Roman"/>
          <w:color w:val="000000"/>
        </w:rPr>
        <w:t>»</w:t>
      </w:r>
      <w:r w:rsidRPr="002B77F9">
        <w:rPr>
          <w:rStyle w:val="Rimandonotaapidipagina"/>
          <w:rFonts w:ascii="Times New Roman" w:eastAsia="Times New Roman" w:hAnsi="Times New Roman" w:cs="Times New Roman"/>
          <w:color w:val="000000"/>
        </w:rPr>
        <w:footnoteReference w:id="396"/>
      </w:r>
      <w:r w:rsidRPr="002B77F9">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Uguaglianza e diseguaglianza sono, pertanto, in virtù di un pensare esterno alle </w:t>
      </w:r>
      <w:r w:rsidRPr="001C25DD">
        <w:rPr>
          <w:rFonts w:ascii="Times New Roman" w:eastAsia="Times New Roman" w:hAnsi="Times New Roman" w:cs="Times New Roman"/>
          <w:i/>
          <w:color w:val="000000"/>
          <w:lang w:val="de-DE"/>
        </w:rPr>
        <w:t>Reflexionsbestimmungen</w:t>
      </w:r>
      <w:r>
        <w:rPr>
          <w:rFonts w:ascii="Times New Roman" w:eastAsia="Times New Roman" w:hAnsi="Times New Roman" w:cs="Times New Roman"/>
          <w:color w:val="000000"/>
        </w:rPr>
        <w:t>. Un primo superamento, sebbene esteriore, dell’essere-irrelato di uguale e diseguale è dato dall’attività del compare (</w:t>
      </w:r>
      <w:r w:rsidRPr="00307246">
        <w:rPr>
          <w:rFonts w:ascii="Times New Roman" w:eastAsia="Times New Roman" w:hAnsi="Times New Roman" w:cs="Times New Roman"/>
          <w:i/>
          <w:color w:val="000000"/>
        </w:rPr>
        <w:t>Vergleichen</w:t>
      </w:r>
      <w:r>
        <w:rPr>
          <w:rFonts w:ascii="Times New Roman" w:eastAsia="Times New Roman" w:hAnsi="Times New Roman" w:cs="Times New Roman"/>
          <w:color w:val="000000"/>
        </w:rPr>
        <w:t xml:space="preserve">): </w:t>
      </w:r>
      <w:r w:rsidRPr="0045097E">
        <w:rPr>
          <w:rFonts w:ascii="Times New Roman" w:eastAsia="Times New Roman" w:hAnsi="Times New Roman" w:cs="Times New Roman"/>
          <w:color w:val="000000"/>
        </w:rPr>
        <w:t>in questa attività dell</w:t>
      </w:r>
      <w:r>
        <w:rPr>
          <w:rFonts w:ascii="Times New Roman" w:eastAsia="Times New Roman" w:hAnsi="Times New Roman" w:cs="Times New Roman"/>
          <w:color w:val="000000"/>
        </w:rPr>
        <w:t>’</w:t>
      </w:r>
      <w:r w:rsidRPr="0045097E">
        <w:rPr>
          <w:rFonts w:ascii="Times New Roman" w:eastAsia="Times New Roman" w:hAnsi="Times New Roman" w:cs="Times New Roman"/>
          <w:i/>
          <w:color w:val="000000"/>
          <w:lang w:val="de-DE"/>
        </w:rPr>
        <w:t>äußere Reflexion</w:t>
      </w:r>
      <w:r w:rsidRPr="0045097E">
        <w:rPr>
          <w:rFonts w:ascii="Times New Roman" w:eastAsia="Times New Roman" w:hAnsi="Times New Roman" w:cs="Times New Roman"/>
          <w:i/>
          <w:color w:val="000000"/>
        </w:rPr>
        <w:t xml:space="preserve"> </w:t>
      </w:r>
      <w:r w:rsidRPr="0045097E">
        <w:rPr>
          <w:rFonts w:ascii="Times New Roman" w:eastAsia="Times New Roman" w:hAnsi="Times New Roman" w:cs="Times New Roman"/>
          <w:color w:val="000000"/>
        </w:rPr>
        <w:t>avviene una prima giustapposizione dell’eguale al diseguale e viceversa. Ciò che era riflesso semplicemente in sé trova</w:t>
      </w:r>
      <w:r>
        <w:rPr>
          <w:rFonts w:ascii="Times New Roman" w:eastAsia="Times New Roman" w:hAnsi="Times New Roman" w:cs="Times New Roman"/>
          <w:color w:val="000000"/>
        </w:rPr>
        <w:t xml:space="preserve"> </w:t>
      </w:r>
      <w:r w:rsidRPr="0045097E">
        <w:rPr>
          <w:rFonts w:ascii="Times New Roman" w:eastAsia="Times New Roman" w:hAnsi="Times New Roman" w:cs="Times New Roman"/>
          <w:color w:val="000000"/>
        </w:rPr>
        <w:t>un primo, per quanto esteriore, rapporto con il diseguale a sé che, a propria volta, è accostato a ciò che è semplice uguaglianza a sé.</w:t>
      </w:r>
      <w:r>
        <w:rPr>
          <w:rFonts w:ascii="Times New Roman" w:eastAsia="Times New Roman" w:hAnsi="Times New Roman" w:cs="Times New Roman"/>
          <w:color w:val="000000"/>
        </w:rPr>
        <w:t xml:space="preserve"> </w:t>
      </w:r>
      <w:r w:rsidRPr="00315163">
        <w:rPr>
          <w:rFonts w:ascii="Times New Roman" w:eastAsia="Times New Roman" w:hAnsi="Times New Roman" w:cs="Times New Roman"/>
          <w:color w:val="000000"/>
        </w:rPr>
        <w:t xml:space="preserve">L’attività esterna del comparare lascia trapelare quella che è la natura di queste determinazioni: ognuna di esse è ciò che è in quanto non è il proprio essere altro. Ossia: esse sono quel che sono in quanto ognuna fa valere la propria </w:t>
      </w:r>
      <w:r>
        <w:rPr>
          <w:rFonts w:ascii="Times New Roman" w:eastAsia="Times New Roman" w:hAnsi="Times New Roman" w:cs="Times New Roman"/>
          <w:color w:val="000000"/>
        </w:rPr>
        <w:t>specificità</w:t>
      </w:r>
      <w:r w:rsidRPr="00315163">
        <w:rPr>
          <w:rFonts w:ascii="Times New Roman" w:eastAsia="Times New Roman" w:hAnsi="Times New Roman" w:cs="Times New Roman"/>
          <w:color w:val="000000"/>
        </w:rPr>
        <w:t xml:space="preserve">. Non potendo prescindere dalla relazione a ciò che non sono per potersi definire come quel che sono, le determinazioni si rovesciano </w:t>
      </w:r>
      <w:r w:rsidRPr="00F901CA">
        <w:rPr>
          <w:rFonts w:ascii="Times New Roman" w:eastAsia="Times New Roman" w:hAnsi="Times New Roman" w:cs="Times New Roman"/>
          <w:color w:val="000000"/>
        </w:rPr>
        <w:t>nell’«</w:t>
      </w:r>
      <w:r w:rsidRPr="00F901CA">
        <w:rPr>
          <w:rFonts w:ascii="Times New Roman" w:eastAsia="Times New Roman" w:hAnsi="Times New Roman" w:cs="Times New Roman"/>
          <w:color w:val="000000"/>
          <w:lang w:val="de-DE"/>
        </w:rPr>
        <w:t>Ungleiche seiner selbst</w:t>
      </w:r>
      <w:r w:rsidRPr="00F901CA">
        <w:rPr>
          <w:rFonts w:ascii="Times New Roman" w:eastAsia="Times New Roman" w:hAnsi="Times New Roman" w:cs="Times New Roman"/>
          <w:color w:val="000000"/>
        </w:rPr>
        <w:t>»,</w:t>
      </w:r>
      <w:r w:rsidRPr="00315163">
        <w:rPr>
          <w:rFonts w:ascii="Times New Roman" w:eastAsia="Times New Roman" w:hAnsi="Times New Roman" w:cs="Times New Roman"/>
          <w:color w:val="000000"/>
        </w:rPr>
        <w:t xml:space="preserve"> e ciò significa che </w:t>
      </w:r>
      <w:r w:rsidRPr="00667040">
        <w:rPr>
          <w:rFonts w:ascii="Times New Roman" w:eastAsia="Times New Roman" w:hAnsi="Times New Roman" w:cs="Times New Roman"/>
          <w:color w:val="000000"/>
        </w:rPr>
        <w:t>«</w:t>
      </w:r>
      <w:r w:rsidRPr="00667040">
        <w:rPr>
          <w:rFonts w:ascii="Times New Roman" w:eastAsia="Times New Roman" w:hAnsi="Times New Roman" w:cs="Times New Roman"/>
          <w:color w:val="000000"/>
          <w:lang w:val="de-DE"/>
        </w:rPr>
        <w:t>jedes ist somit diese Reflexion, die Gleichheit, daß sie sie selbst und die Ungleichheit, die Ungleichheit, daß sie selbst und die Gleichheit ist</w:t>
      </w:r>
      <w:r w:rsidRPr="00667040">
        <w:rPr>
          <w:rFonts w:ascii="Times New Roman" w:eastAsia="Times New Roman" w:hAnsi="Times New Roman" w:cs="Times New Roman"/>
          <w:color w:val="000000"/>
        </w:rPr>
        <w:t>»</w:t>
      </w:r>
      <w:r w:rsidRPr="00667040">
        <w:rPr>
          <w:rStyle w:val="Rimandonotaapidipagina"/>
          <w:rFonts w:ascii="Times New Roman" w:eastAsia="Times New Roman" w:hAnsi="Times New Roman" w:cs="Times New Roman"/>
          <w:color w:val="000000"/>
          <w:lang w:val="de-DE"/>
        </w:rPr>
        <w:footnoteReference w:id="397"/>
      </w:r>
      <w:r w:rsidRPr="00667040">
        <w:rPr>
          <w:rFonts w:ascii="Times New Roman" w:eastAsia="Times New Roman" w:hAnsi="Times New Roman" w:cs="Times New Roman"/>
          <w:color w:val="000000"/>
        </w:rPr>
        <w:t>. È in questo modo che l’uguaglianza e la diseguaglianza tornano «</w:t>
      </w:r>
      <w:r w:rsidRPr="00667040">
        <w:rPr>
          <w:rFonts w:ascii="Times New Roman" w:eastAsia="Times New Roman" w:hAnsi="Times New Roman" w:cs="Times New Roman"/>
          <w:color w:val="000000"/>
          <w:lang w:val="de-DE"/>
        </w:rPr>
        <w:t>zurück in die negative Einheit mit sich; in die Reflexion, welche der Unterschied der Gleichheit und Ungleichheit an sich selbst ist</w:t>
      </w:r>
      <w:r w:rsidRPr="00667040">
        <w:rPr>
          <w:rFonts w:ascii="Times New Roman" w:eastAsia="Times New Roman" w:hAnsi="Times New Roman" w:cs="Times New Roman"/>
          <w:color w:val="000000"/>
        </w:rPr>
        <w:t>»</w:t>
      </w:r>
      <w:r w:rsidRPr="00667040">
        <w:rPr>
          <w:rStyle w:val="Rimandonotaapidipagina"/>
          <w:rFonts w:ascii="Times New Roman" w:eastAsia="Times New Roman" w:hAnsi="Times New Roman" w:cs="Times New Roman"/>
          <w:color w:val="000000"/>
          <w:lang w:val="de-DE"/>
        </w:rPr>
        <w:footnoteReference w:id="398"/>
      </w:r>
      <w:r w:rsidRPr="00667040">
        <w:rPr>
          <w:rFonts w:ascii="Times New Roman" w:eastAsia="Times New Roman" w:hAnsi="Times New Roman" w:cs="Times New Roman"/>
          <w:color w:val="000000"/>
        </w:rPr>
        <w:t xml:space="preserve">. </w:t>
      </w:r>
      <w:r w:rsidRPr="00315163">
        <w:rPr>
          <w:rFonts w:ascii="Times New Roman" w:eastAsia="Times New Roman" w:hAnsi="Times New Roman" w:cs="Times New Roman"/>
          <w:color w:val="000000"/>
        </w:rPr>
        <w:t>Una riflessione, che è l’opposizione (</w:t>
      </w:r>
      <w:r w:rsidRPr="00315163">
        <w:rPr>
          <w:rFonts w:ascii="Times New Roman" w:eastAsia="Times New Roman" w:hAnsi="Times New Roman" w:cs="Times New Roman"/>
          <w:i/>
          <w:color w:val="000000"/>
          <w:lang w:val="de-DE"/>
        </w:rPr>
        <w:t>Gegensatz</w:t>
      </w:r>
      <w:r w:rsidRPr="00315163">
        <w:rPr>
          <w:rFonts w:ascii="Times New Roman" w:eastAsia="Times New Roman" w:hAnsi="Times New Roman" w:cs="Times New Roman"/>
          <w:color w:val="000000"/>
          <w:lang w:val="de-DE"/>
        </w:rPr>
        <w:t xml:space="preserve">), </w:t>
      </w:r>
      <w:r w:rsidRPr="00315163">
        <w:rPr>
          <w:rFonts w:ascii="Times New Roman" w:eastAsia="Times New Roman" w:hAnsi="Times New Roman" w:cs="Times New Roman"/>
          <w:color w:val="000000"/>
        </w:rPr>
        <w:t>la cui peculiarità consiste proprio nell’esibire l’interazione fra positivo e negativo (l’</w:t>
      </w:r>
      <w:r w:rsidRPr="00315163">
        <w:rPr>
          <w:rFonts w:ascii="Times New Roman" w:eastAsia="Times New Roman" w:hAnsi="Times New Roman" w:cs="Times New Roman"/>
          <w:i/>
          <w:color w:val="000000"/>
        </w:rPr>
        <w:t xml:space="preserve">Inqualierung </w:t>
      </w:r>
      <w:r w:rsidRPr="00315163">
        <w:rPr>
          <w:rFonts w:ascii="Times New Roman" w:eastAsia="Times New Roman" w:hAnsi="Times New Roman" w:cs="Times New Roman"/>
          <w:color w:val="000000"/>
        </w:rPr>
        <w:t>böhmiano)</w:t>
      </w:r>
      <w:r>
        <w:rPr>
          <w:rFonts w:ascii="Times New Roman" w:eastAsia="Times New Roman" w:hAnsi="Times New Roman" w:cs="Times New Roman"/>
          <w:color w:val="000000"/>
        </w:rPr>
        <w:t xml:space="preserve"> e</w:t>
      </w:r>
      <w:r w:rsidRPr="00315163">
        <w:rPr>
          <w:rFonts w:ascii="Times New Roman" w:eastAsia="Times New Roman" w:hAnsi="Times New Roman" w:cs="Times New Roman"/>
          <w:color w:val="000000"/>
        </w:rPr>
        <w:t xml:space="preserve"> il superamento del principio spinoziano </w:t>
      </w:r>
      <w:r w:rsidRPr="00315163">
        <w:rPr>
          <w:rFonts w:ascii="Times New Roman" w:eastAsia="Times New Roman" w:hAnsi="Times New Roman" w:cs="Times New Roman"/>
          <w:i/>
          <w:color w:val="000000"/>
        </w:rPr>
        <w:t>determinatio est negatio</w:t>
      </w:r>
      <w:r w:rsidRPr="00315163">
        <w:rPr>
          <w:rFonts w:ascii="Times New Roman" w:eastAsia="Times New Roman" w:hAnsi="Times New Roman" w:cs="Times New Roman"/>
          <w:color w:val="000000"/>
        </w:rPr>
        <w:t>.</w:t>
      </w:r>
    </w:p>
    <w:p w14:paraId="16A216C4" w14:textId="731C5C79" w:rsidR="001B7751" w:rsidRDefault="00250B96" w:rsidP="001B7751">
      <w:pPr>
        <w:pStyle w:val="Paragrafoelenco"/>
        <w:spacing w:line="360" w:lineRule="auto"/>
        <w:ind w:left="0" w:firstLine="567"/>
        <w:jc w:val="both"/>
        <w:rPr>
          <w:rFonts w:ascii="Times New Roman" w:eastAsia="Times New Roman" w:hAnsi="Times New Roman" w:cs="Times New Roman"/>
          <w:color w:val="000000"/>
        </w:rPr>
      </w:pPr>
      <w:r>
        <w:rPr>
          <w:rFonts w:ascii="Times New Roman" w:eastAsia="Times New Roman" w:hAnsi="Times New Roman" w:cs="Times New Roman"/>
          <w:color w:val="000000"/>
        </w:rPr>
        <w:t>La riflessione esterna, con</w:t>
      </w:r>
      <w:r w:rsidR="001B7751">
        <w:rPr>
          <w:rFonts w:ascii="Times New Roman" w:eastAsia="Times New Roman" w:hAnsi="Times New Roman" w:cs="Times New Roman"/>
          <w:color w:val="000000"/>
        </w:rPr>
        <w:t xml:space="preserve"> tutti i limiti che le sono peculiari, ha mostrato come uguale e diseguale siano determinazioni includentesi vicendevolmente. Non si può pensare l’una senza l’altra, proprio perché entrambe sono l’uguale e il diseguale in sé. L’esteriorità del riflettere s’interiorizza: quella che sembrava una semplice relazione istituita da un pensare esterno alla cosa divine una riflessione in sé. La natura riflessa, non più esteriore, dell’uguaglianza è ciò che Hegel definisce </w:t>
      </w:r>
      <w:r w:rsidR="001B7751" w:rsidRPr="007653F2">
        <w:rPr>
          <w:rFonts w:ascii="Times New Roman" w:eastAsia="Times New Roman" w:hAnsi="Times New Roman" w:cs="Times New Roman"/>
          <w:color w:val="000000"/>
        </w:rPr>
        <w:t>come «</w:t>
      </w:r>
      <w:r w:rsidR="001B7751" w:rsidRPr="007653F2">
        <w:rPr>
          <w:rFonts w:ascii="Times New Roman" w:eastAsia="Times New Roman" w:hAnsi="Times New Roman" w:cs="Times New Roman"/>
          <w:color w:val="000000"/>
          <w:lang w:val="de-DE"/>
        </w:rPr>
        <w:t>das Positive</w:t>
      </w:r>
      <w:r w:rsidR="001B7751" w:rsidRPr="007653F2">
        <w:rPr>
          <w:rFonts w:ascii="Times New Roman" w:eastAsia="Times New Roman" w:hAnsi="Times New Roman" w:cs="Times New Roman"/>
          <w:color w:val="000000"/>
        </w:rPr>
        <w:t>»; del pari, l’ineguaglianza rifle</w:t>
      </w:r>
      <w:r w:rsidR="001B7751">
        <w:rPr>
          <w:rFonts w:ascii="Times New Roman" w:eastAsia="Times New Roman" w:hAnsi="Times New Roman" w:cs="Times New Roman"/>
          <w:color w:val="000000"/>
        </w:rPr>
        <w:t>ssa, non più colta dall’</w:t>
      </w:r>
      <w:r w:rsidR="001B7751" w:rsidRPr="00217585">
        <w:rPr>
          <w:rFonts w:ascii="Times New Roman" w:eastAsia="Times New Roman" w:hAnsi="Times New Roman" w:cs="Times New Roman"/>
          <w:i/>
          <w:color w:val="000000"/>
          <w:lang w:val="de-DE"/>
        </w:rPr>
        <w:t>äußere Reflexion</w:t>
      </w:r>
      <w:r w:rsidR="001B7751" w:rsidRPr="007653F2">
        <w:rPr>
          <w:rFonts w:ascii="Times New Roman" w:eastAsia="Times New Roman" w:hAnsi="Times New Roman" w:cs="Times New Roman"/>
          <w:color w:val="000000"/>
        </w:rPr>
        <w:t>, rappresenta «</w:t>
      </w:r>
      <w:r w:rsidR="001B7751" w:rsidRPr="007653F2">
        <w:rPr>
          <w:rFonts w:ascii="Times New Roman" w:eastAsia="Times New Roman" w:hAnsi="Times New Roman" w:cs="Times New Roman"/>
          <w:color w:val="000000"/>
          <w:lang w:val="de-DE"/>
        </w:rPr>
        <w:t>das Negative</w:t>
      </w:r>
      <w:r w:rsidR="001B7751" w:rsidRPr="007653F2">
        <w:rPr>
          <w:rFonts w:ascii="Times New Roman" w:eastAsia="Times New Roman" w:hAnsi="Times New Roman" w:cs="Times New Roman"/>
          <w:color w:val="000000"/>
        </w:rPr>
        <w:t>»</w:t>
      </w:r>
      <w:r w:rsidR="001B7751" w:rsidRPr="007653F2">
        <w:rPr>
          <w:rStyle w:val="Rimandonotaapidipagina"/>
          <w:rFonts w:ascii="Times New Roman" w:eastAsia="Times New Roman" w:hAnsi="Times New Roman" w:cs="Times New Roman"/>
          <w:color w:val="000000"/>
        </w:rPr>
        <w:footnoteReference w:id="399"/>
      </w:r>
      <w:r w:rsidR="001B7751" w:rsidRPr="007653F2">
        <w:rPr>
          <w:rFonts w:ascii="Times New Roman" w:eastAsia="Times New Roman" w:hAnsi="Times New Roman" w:cs="Times New Roman"/>
          <w:color w:val="000000"/>
        </w:rPr>
        <w:t xml:space="preserve">. </w:t>
      </w:r>
      <w:r w:rsidR="001B7751">
        <w:rPr>
          <w:rFonts w:ascii="Times New Roman" w:eastAsia="Times New Roman" w:hAnsi="Times New Roman" w:cs="Times New Roman"/>
          <w:color w:val="000000"/>
        </w:rPr>
        <w:t>Questo essere in sé riflesso delle determinazioni fa sì che ognuna di esse contenga in sé il riferimento al proprio opposto</w:t>
      </w:r>
      <w:r w:rsidR="001B7751" w:rsidRPr="0071412A">
        <w:rPr>
          <w:rFonts w:ascii="Times New Roman" w:eastAsia="Times New Roman" w:hAnsi="Times New Roman" w:cs="Times New Roman"/>
          <w:color w:val="000000"/>
        </w:rPr>
        <w:t>: positivo e negativo sono ciò che sono in quanto non sono il proprio essere altro. Entrambi i momenti risultano mediati da ciò che essi non sono:</w:t>
      </w:r>
    </w:p>
    <w:p w14:paraId="635018EB" w14:textId="77777777" w:rsidR="001B7751" w:rsidRDefault="001B7751" w:rsidP="001B7751">
      <w:pPr>
        <w:pStyle w:val="Paragrafoelenco"/>
        <w:spacing w:line="360" w:lineRule="auto"/>
        <w:ind w:left="708" w:firstLine="567"/>
        <w:jc w:val="both"/>
        <w:rPr>
          <w:rFonts w:ascii="Times New Roman" w:eastAsia="Times New Roman" w:hAnsi="Times New Roman" w:cs="Times New Roman"/>
          <w:color w:val="000000"/>
        </w:rPr>
      </w:pPr>
    </w:p>
    <w:p w14:paraId="12D8E6A9" w14:textId="77777777" w:rsidR="001B7751" w:rsidRPr="007653F2" w:rsidRDefault="001B7751" w:rsidP="001B7751">
      <w:pPr>
        <w:pStyle w:val="Paragrafoelenco"/>
        <w:spacing w:line="360" w:lineRule="auto"/>
        <w:ind w:left="567" w:firstLine="567"/>
        <w:jc w:val="both"/>
        <w:rPr>
          <w:rFonts w:ascii="Times New Roman" w:eastAsia="Times New Roman" w:hAnsi="Times New Roman" w:cs="Times New Roman"/>
          <w:color w:val="000000"/>
          <w:sz w:val="20"/>
          <w:szCs w:val="20"/>
          <w:lang w:val="de-DE"/>
        </w:rPr>
      </w:pPr>
      <w:r w:rsidRPr="007653F2">
        <w:rPr>
          <w:rFonts w:ascii="Times New Roman" w:eastAsia="Times New Roman" w:hAnsi="Times New Roman" w:cs="Times New Roman"/>
          <w:color w:val="000000"/>
          <w:sz w:val="20"/>
          <w:szCs w:val="20"/>
        </w:rPr>
        <w:t>«</w:t>
      </w:r>
      <w:r w:rsidRPr="007653F2">
        <w:rPr>
          <w:rFonts w:ascii="Times New Roman" w:eastAsia="Times New Roman" w:hAnsi="Times New Roman" w:cs="Times New Roman"/>
          <w:color w:val="000000"/>
          <w:sz w:val="20"/>
          <w:szCs w:val="20"/>
          <w:lang w:val="de-DE"/>
        </w:rPr>
        <w:t>Die Momente des Gegensatzes näher betrachtet, so sind sie das in sich reflectirte Gesetztseyn oder Bestimmung überhaupt. Das Gesetztseyn ist die Gleichheit und Ungleichheit; sie beyde in sich reflectiert machen die Bestimmungen des Gegensatzes aus. Ihre Reflexion in sich besteht darin, daß jedes an ihm selbst die Einheit der Gleichheit und Ungleichheit ist. Die Gleichheit ist nur in der Reflexion, welche nach der Ungleichheit vergleicht, somit durch ihr anderes gleichgültiges Moment vermittelt; eben so die Ungleichheit ist nur in derselben reflectierenden Beziehung, in welcher die Gleichheit ist»</w:t>
      </w:r>
      <w:r w:rsidRPr="007653F2">
        <w:rPr>
          <w:rStyle w:val="Rimandonotaapidipagina"/>
          <w:rFonts w:ascii="Times New Roman" w:eastAsia="Times New Roman" w:hAnsi="Times New Roman" w:cs="Times New Roman"/>
          <w:color w:val="000000"/>
          <w:sz w:val="20"/>
          <w:szCs w:val="20"/>
          <w:lang w:val="de-DE"/>
        </w:rPr>
        <w:footnoteReference w:id="400"/>
      </w:r>
      <w:r w:rsidRPr="007653F2">
        <w:rPr>
          <w:rFonts w:ascii="Times New Roman" w:eastAsia="Times New Roman" w:hAnsi="Times New Roman" w:cs="Times New Roman"/>
          <w:color w:val="000000"/>
          <w:sz w:val="20"/>
          <w:szCs w:val="20"/>
          <w:lang w:val="de-DE"/>
        </w:rPr>
        <w:t>.</w:t>
      </w:r>
    </w:p>
    <w:p w14:paraId="26159B77" w14:textId="77777777" w:rsidR="001B7751" w:rsidRPr="0071412A" w:rsidRDefault="001B7751" w:rsidP="001B7751">
      <w:pPr>
        <w:pStyle w:val="Paragrafoelenco"/>
        <w:spacing w:line="360" w:lineRule="auto"/>
        <w:ind w:left="1275" w:firstLine="567"/>
        <w:jc w:val="both"/>
        <w:rPr>
          <w:rFonts w:ascii="Times New Roman" w:eastAsia="Times New Roman" w:hAnsi="Times New Roman" w:cs="Times New Roman"/>
          <w:color w:val="000000"/>
          <w:lang w:val="de-DE"/>
        </w:rPr>
      </w:pPr>
    </w:p>
    <w:p w14:paraId="25F9F54E" w14:textId="77777777" w:rsidR="001B7751" w:rsidRPr="006D712D" w:rsidRDefault="001B7751" w:rsidP="001B7751">
      <w:pPr>
        <w:pStyle w:val="Paragrafoelenco"/>
        <w:spacing w:line="360" w:lineRule="auto"/>
        <w:ind w:left="0" w:firstLine="567"/>
        <w:jc w:val="both"/>
        <w:rPr>
          <w:rFonts w:ascii="Times New Roman" w:eastAsia="Times New Roman" w:hAnsi="Times New Roman" w:cs="Times New Roman"/>
          <w:color w:val="000000"/>
        </w:rPr>
      </w:pPr>
      <w:r w:rsidRPr="00131077">
        <w:rPr>
          <w:rFonts w:ascii="Times New Roman" w:eastAsia="Times New Roman" w:hAnsi="Times New Roman" w:cs="Times New Roman"/>
          <w:color w:val="000000"/>
        </w:rPr>
        <w:t xml:space="preserve">Positivo e negativo </w:t>
      </w:r>
      <w:r>
        <w:rPr>
          <w:rFonts w:ascii="Times New Roman" w:eastAsia="Times New Roman" w:hAnsi="Times New Roman" w:cs="Times New Roman"/>
          <w:color w:val="000000"/>
        </w:rPr>
        <w:t>sono riflessione in sé e sono posti per mezzo del rapporto all’altro da sé.</w:t>
      </w:r>
      <w:r w:rsidRPr="006D712D">
        <w:rPr>
          <w:rFonts w:ascii="Times New Roman" w:eastAsia="Times New Roman" w:hAnsi="Times New Roman" w:cs="Times New Roman"/>
          <w:color w:val="000000"/>
        </w:rPr>
        <w:t xml:space="preserve"> </w:t>
      </w:r>
      <w:r w:rsidRPr="00353681">
        <w:rPr>
          <w:rFonts w:ascii="Times New Roman" w:eastAsia="Times New Roman" w:hAnsi="Times New Roman" w:cs="Times New Roman"/>
          <w:color w:val="000000"/>
        </w:rPr>
        <w:t>A questo punto, si potrebbe pensare che la riflessione in sé e</w:t>
      </w:r>
      <w:r>
        <w:rPr>
          <w:rFonts w:ascii="Times New Roman" w:eastAsia="Times New Roman" w:hAnsi="Times New Roman" w:cs="Times New Roman"/>
          <w:color w:val="000000"/>
        </w:rPr>
        <w:t xml:space="preserve"> l’</w:t>
      </w:r>
      <w:r w:rsidRPr="00353681">
        <w:rPr>
          <w:rFonts w:ascii="Times New Roman" w:eastAsia="Times New Roman" w:hAnsi="Times New Roman" w:cs="Times New Roman"/>
          <w:color w:val="000000"/>
        </w:rPr>
        <w:t>essere posto possano essere trattati</w:t>
      </w:r>
      <w:r>
        <w:rPr>
          <w:rFonts w:ascii="Times New Roman" w:eastAsia="Times New Roman" w:hAnsi="Times New Roman" w:cs="Times New Roman"/>
          <w:color w:val="000000"/>
        </w:rPr>
        <w:t xml:space="preserve"> singolarmente</w:t>
      </w:r>
      <w:r w:rsidRPr="006D712D">
        <w:rPr>
          <w:rFonts w:ascii="Times New Roman" w:eastAsia="Times New Roman" w:hAnsi="Times New Roman" w:cs="Times New Roman"/>
          <w:color w:val="000000"/>
        </w:rPr>
        <w:t>, ossia che sia possibile isolare una di queste determinazioni, evidenziando, così, un aspe</w:t>
      </w:r>
      <w:r>
        <w:rPr>
          <w:rFonts w:ascii="Times New Roman" w:eastAsia="Times New Roman" w:hAnsi="Times New Roman" w:cs="Times New Roman"/>
          <w:color w:val="000000"/>
        </w:rPr>
        <w:t>tto parziale, non globale, della</w:t>
      </w:r>
      <w:r w:rsidRPr="006D712D">
        <w:rPr>
          <w:rFonts w:ascii="Times New Roman" w:eastAsia="Times New Roman" w:hAnsi="Times New Roman" w:cs="Times New Roman"/>
          <w:color w:val="000000"/>
        </w:rPr>
        <w:t xml:space="preserve"> riflessione di </w:t>
      </w:r>
      <w:r w:rsidRPr="003E2585">
        <w:rPr>
          <w:rFonts w:ascii="Times New Roman" w:eastAsia="Times New Roman" w:hAnsi="Times New Roman" w:cs="Times New Roman"/>
          <w:color w:val="000000"/>
        </w:rPr>
        <w:t>positivo e negativo. Se s’accentua il lato della riflessione in sé, si potrebbe credere che positivo e negativo siano indifferenti al proprio essere altro; se si evidenzia, invece, il loro essere posto, si potrebbero considerare questi termini relazionali come dipendenti da ciò che essi non sono.</w:t>
      </w:r>
      <w:r w:rsidRPr="0071412A">
        <w:rPr>
          <w:rFonts w:ascii="Times New Roman" w:eastAsia="Times New Roman" w:hAnsi="Times New Roman" w:cs="Times New Roman"/>
          <w:color w:val="000000"/>
        </w:rPr>
        <w:t xml:space="preserve"> Ma la verità di questi due momenti, come dice Hegel, non consiste tanto nel loro sfaldamento, quanto nella loro unità: riflessione</w:t>
      </w:r>
      <w:r>
        <w:rPr>
          <w:rFonts w:ascii="Times New Roman" w:eastAsia="Times New Roman" w:hAnsi="Times New Roman" w:cs="Times New Roman"/>
          <w:color w:val="000000"/>
        </w:rPr>
        <w:t xml:space="preserve"> </w:t>
      </w:r>
      <w:r w:rsidRPr="0071412A">
        <w:rPr>
          <w:rFonts w:ascii="Times New Roman" w:eastAsia="Times New Roman" w:hAnsi="Times New Roman" w:cs="Times New Roman"/>
          <w:color w:val="000000"/>
        </w:rPr>
        <w:t>in</w:t>
      </w:r>
      <w:r>
        <w:rPr>
          <w:rFonts w:ascii="Times New Roman" w:eastAsia="Times New Roman" w:hAnsi="Times New Roman" w:cs="Times New Roman"/>
          <w:color w:val="000000"/>
        </w:rPr>
        <w:t xml:space="preserve"> sé ed essere </w:t>
      </w:r>
      <w:r w:rsidRPr="0071412A">
        <w:rPr>
          <w:rFonts w:ascii="Times New Roman" w:eastAsia="Times New Roman" w:hAnsi="Times New Roman" w:cs="Times New Roman"/>
          <w:color w:val="000000"/>
        </w:rPr>
        <w:t>posto sono un tutt’uno, il che significa che</w:t>
      </w:r>
      <w:r w:rsidRPr="006D712D">
        <w:rPr>
          <w:rFonts w:ascii="Times New Roman" w:eastAsia="Times New Roman" w:hAnsi="Times New Roman" w:cs="Times New Roman"/>
          <w:color w:val="000000"/>
        </w:rPr>
        <w:t xml:space="preserve"> </w:t>
      </w:r>
    </w:p>
    <w:p w14:paraId="01447959" w14:textId="77777777" w:rsidR="001B7751" w:rsidRDefault="001B7751" w:rsidP="001B7751">
      <w:pPr>
        <w:pStyle w:val="Paragrafoelenco"/>
        <w:spacing w:line="360" w:lineRule="auto"/>
        <w:ind w:left="1275" w:firstLine="567"/>
        <w:jc w:val="both"/>
        <w:rPr>
          <w:rFonts w:ascii="Times New Roman" w:eastAsia="Times New Roman" w:hAnsi="Times New Roman" w:cs="Times New Roman"/>
          <w:color w:val="000000"/>
        </w:rPr>
      </w:pPr>
    </w:p>
    <w:p w14:paraId="3AEFEDCD" w14:textId="77777777" w:rsidR="001B7751" w:rsidRPr="007653F2" w:rsidRDefault="001B7751" w:rsidP="001B7751">
      <w:pPr>
        <w:pStyle w:val="Paragrafoelenco"/>
        <w:spacing w:line="360" w:lineRule="auto"/>
        <w:ind w:left="567" w:firstLine="567"/>
        <w:jc w:val="both"/>
        <w:rPr>
          <w:rFonts w:ascii="Times New Roman" w:eastAsia="Times New Roman" w:hAnsi="Times New Roman" w:cs="Times New Roman"/>
          <w:color w:val="000000"/>
          <w:sz w:val="20"/>
          <w:szCs w:val="20"/>
          <w:lang w:val="de-DE"/>
        </w:rPr>
      </w:pPr>
      <w:r w:rsidRPr="007653F2">
        <w:rPr>
          <w:rFonts w:ascii="Times New Roman" w:eastAsia="Times New Roman" w:hAnsi="Times New Roman" w:cs="Times New Roman"/>
          <w:color w:val="000000"/>
          <w:sz w:val="20"/>
          <w:szCs w:val="20"/>
        </w:rPr>
        <w:t>«</w:t>
      </w:r>
      <w:r w:rsidRPr="007653F2">
        <w:rPr>
          <w:rFonts w:ascii="Times New Roman" w:eastAsia="Times New Roman" w:hAnsi="Times New Roman" w:cs="Times New Roman"/>
          <w:color w:val="000000"/>
          <w:sz w:val="20"/>
          <w:szCs w:val="20"/>
          <w:lang w:val="de-DE"/>
        </w:rPr>
        <w:t>Ihr Gesetzeyn oder die Beziehung auf das andere in einer Einheit, die nicht sie selbst ist, ist in jedes zurückgekommen. Jedes ist an ihm selbst positiv und negativ; das Positive und Negative ist die Reflexion</w:t>
      </w:r>
      <w:r>
        <w:rPr>
          <w:rFonts w:ascii="Times New Roman" w:eastAsia="Times New Roman" w:hAnsi="Times New Roman" w:cs="Times New Roman"/>
          <w:color w:val="000000"/>
          <w:sz w:val="20"/>
          <w:szCs w:val="20"/>
          <w:lang w:val="de-DE"/>
        </w:rPr>
        <w:t>s</w:t>
      </w:r>
      <w:r w:rsidRPr="007653F2">
        <w:rPr>
          <w:rFonts w:ascii="Times New Roman" w:eastAsia="Times New Roman" w:hAnsi="Times New Roman" w:cs="Times New Roman"/>
          <w:color w:val="000000"/>
          <w:sz w:val="20"/>
          <w:szCs w:val="20"/>
          <w:lang w:val="de-DE"/>
        </w:rPr>
        <w:t>bestimmung an und für sich; erst in dieser Reflexion der Entgegengesetzten in sich ist es positiv und negativ. Das Positive hat die Beziehung auf das andere, in der die Bestimmtheit des Positiven ist, an ihm selbst; eben so das Negative ist nicht Negatives als gegen ein anderes, sondern hat die Bestimmtheit, wodurch es negativ ist, gleichfalls an ihm selbst»</w:t>
      </w:r>
      <w:r w:rsidRPr="007653F2">
        <w:rPr>
          <w:rStyle w:val="Rimandonotaapidipagina"/>
          <w:rFonts w:ascii="Times New Roman" w:eastAsia="Times New Roman" w:hAnsi="Times New Roman" w:cs="Times New Roman"/>
          <w:color w:val="000000"/>
          <w:sz w:val="20"/>
          <w:szCs w:val="20"/>
          <w:lang w:val="de-DE"/>
        </w:rPr>
        <w:footnoteReference w:id="401"/>
      </w:r>
      <w:r w:rsidRPr="007653F2">
        <w:rPr>
          <w:rFonts w:ascii="Times New Roman" w:eastAsia="Times New Roman" w:hAnsi="Times New Roman" w:cs="Times New Roman"/>
          <w:color w:val="000000"/>
          <w:sz w:val="20"/>
          <w:szCs w:val="20"/>
          <w:lang w:val="de-DE"/>
        </w:rPr>
        <w:t>.</w:t>
      </w:r>
    </w:p>
    <w:p w14:paraId="21829A3B" w14:textId="77777777" w:rsidR="001B7751" w:rsidRPr="00720344" w:rsidRDefault="001B7751" w:rsidP="001B7751">
      <w:pPr>
        <w:pStyle w:val="Paragrafoelenco"/>
        <w:spacing w:line="360" w:lineRule="auto"/>
        <w:ind w:left="1275" w:firstLine="567"/>
        <w:jc w:val="both"/>
        <w:rPr>
          <w:rFonts w:ascii="Times New Roman" w:eastAsia="Times New Roman" w:hAnsi="Times New Roman" w:cs="Times New Roman"/>
          <w:color w:val="000000"/>
          <w:sz w:val="20"/>
          <w:szCs w:val="20"/>
        </w:rPr>
      </w:pPr>
    </w:p>
    <w:p w14:paraId="2A6396B0" w14:textId="77777777" w:rsidR="001B7751" w:rsidRPr="007653F2" w:rsidRDefault="001B7751" w:rsidP="001B7751">
      <w:pPr>
        <w:pStyle w:val="Paragrafoelenco"/>
        <w:spacing w:line="360" w:lineRule="auto"/>
        <w:ind w:left="0" w:firstLine="567"/>
        <w:jc w:val="both"/>
        <w:rPr>
          <w:rFonts w:ascii="Times New Roman" w:eastAsia="Times New Roman" w:hAnsi="Times New Roman" w:cs="Times New Roman"/>
          <w:color w:val="000000"/>
        </w:rPr>
      </w:pPr>
      <w:r w:rsidRPr="00183AC2">
        <w:rPr>
          <w:rFonts w:ascii="Times New Roman" w:eastAsia="Times New Roman" w:hAnsi="Times New Roman" w:cs="Times New Roman"/>
          <w:color w:val="000000"/>
        </w:rPr>
        <w:t>Il positivo è in quanto incorpora in sé il rapporto ad altro; similarmente il negativo è in quanto s’appropria della determinatezza del suo non essere. In-sé-e-per-sé positivo e negativo sono entrambi quel che sono in virtù della mediazione del proprio essere altro. Nel momento in cui Hegel tematizza l’unità della riflessione in sé e dell’essere posto,</w:t>
      </w:r>
      <w:r w:rsidRPr="00820F8C">
        <w:rPr>
          <w:rFonts w:ascii="Times New Roman" w:eastAsia="Times New Roman" w:hAnsi="Times New Roman" w:cs="Times New Roman"/>
          <w:color w:val="000000"/>
        </w:rPr>
        <w:t xml:space="preserve"> emerge una nuova dinamica relazionale, che spinge positivo e negativo </w:t>
      </w:r>
      <w:r>
        <w:rPr>
          <w:rFonts w:ascii="Times New Roman" w:eastAsia="Times New Roman" w:hAnsi="Times New Roman" w:cs="Times New Roman"/>
          <w:color w:val="000000"/>
        </w:rPr>
        <w:t xml:space="preserve">ad escludersi vicendevolmente. L’inclusione dell’essere-posto </w:t>
      </w:r>
      <w:r w:rsidRPr="00820F8C">
        <w:rPr>
          <w:rFonts w:ascii="Times New Roman" w:eastAsia="Times New Roman" w:hAnsi="Times New Roman" w:cs="Times New Roman"/>
          <w:color w:val="000000"/>
        </w:rPr>
        <w:t>nell’essere-in-sé è inclusio</w:t>
      </w:r>
      <w:r>
        <w:rPr>
          <w:rFonts w:ascii="Times New Roman" w:eastAsia="Times New Roman" w:hAnsi="Times New Roman" w:cs="Times New Roman"/>
          <w:color w:val="000000"/>
        </w:rPr>
        <w:t>ne che si toglie: il positivo e</w:t>
      </w:r>
      <w:r w:rsidRPr="00820F8C">
        <w:rPr>
          <w:rFonts w:ascii="Times New Roman" w:eastAsia="Times New Roman" w:hAnsi="Times New Roman" w:cs="Times New Roman"/>
          <w:color w:val="000000"/>
        </w:rPr>
        <w:t xml:space="preserve"> il negativo, presi in-sé, tolgono il proprio essere-posto </w:t>
      </w:r>
      <w:r w:rsidRPr="00F901CA">
        <w:rPr>
          <w:rFonts w:ascii="Times New Roman" w:eastAsia="Times New Roman" w:hAnsi="Times New Roman" w:cs="Times New Roman"/>
          <w:color w:val="000000"/>
        </w:rPr>
        <w:t>e «</w:t>
      </w:r>
      <w:r w:rsidRPr="00F901CA">
        <w:rPr>
          <w:rFonts w:ascii="Times New Roman" w:eastAsia="Times New Roman" w:hAnsi="Times New Roman" w:cs="Times New Roman"/>
          <w:color w:val="000000"/>
          <w:lang w:val="de-DE"/>
        </w:rPr>
        <w:t>diß sein Nichtseyn von sich ausschließen</w:t>
      </w:r>
      <w:r w:rsidRPr="00F901CA">
        <w:rPr>
          <w:rFonts w:ascii="Times New Roman" w:eastAsia="Times New Roman" w:hAnsi="Times New Roman" w:cs="Times New Roman"/>
          <w:color w:val="000000"/>
          <w:sz w:val="20"/>
          <w:szCs w:val="20"/>
          <w:lang w:val="de-DE"/>
        </w:rPr>
        <w:t>»</w:t>
      </w:r>
      <w:r w:rsidRPr="00F901CA">
        <w:rPr>
          <w:rStyle w:val="Rimandonotaapidipagina"/>
          <w:rFonts w:ascii="Times New Roman" w:eastAsia="Times New Roman" w:hAnsi="Times New Roman" w:cs="Times New Roman"/>
          <w:color w:val="000000"/>
          <w:sz w:val="20"/>
          <w:szCs w:val="20"/>
          <w:lang w:val="de-DE"/>
        </w:rPr>
        <w:footnoteReference w:id="402"/>
      </w:r>
      <w:r w:rsidRPr="00F901CA">
        <w:rPr>
          <w:rFonts w:ascii="Times New Roman" w:eastAsia="Times New Roman" w:hAnsi="Times New Roman" w:cs="Times New Roman"/>
          <w:color w:val="000000"/>
        </w:rPr>
        <w:t>. Questo emergere dell’essere-in-sé dei momenti è ciò che Hegel definisce come l’«</w:t>
      </w:r>
      <w:r w:rsidRPr="00F901CA">
        <w:rPr>
          <w:rFonts w:ascii="Times New Roman" w:eastAsia="Times New Roman" w:hAnsi="Times New Roman" w:cs="Times New Roman"/>
          <w:color w:val="000000"/>
          <w:lang w:val="de-DE"/>
        </w:rPr>
        <w:t>abstractes Moment dieses Reflectirtseyns</w:t>
      </w:r>
      <w:r w:rsidRPr="00F901CA">
        <w:rPr>
          <w:rFonts w:ascii="Times New Roman" w:eastAsia="Times New Roman" w:hAnsi="Times New Roman" w:cs="Times New Roman"/>
          <w:color w:val="000000"/>
          <w:sz w:val="20"/>
          <w:szCs w:val="20"/>
          <w:lang w:val="de-DE"/>
        </w:rPr>
        <w:t>»</w:t>
      </w:r>
      <w:r w:rsidRPr="00F901CA">
        <w:rPr>
          <w:rStyle w:val="Rimandonotaapidipagina"/>
          <w:rFonts w:ascii="Times New Roman" w:eastAsia="Times New Roman" w:hAnsi="Times New Roman" w:cs="Times New Roman"/>
          <w:color w:val="000000"/>
          <w:lang w:val="de-DE"/>
        </w:rPr>
        <w:footnoteReference w:id="403"/>
      </w:r>
      <w:r w:rsidRPr="00F901CA">
        <w:rPr>
          <w:rFonts w:ascii="Times New Roman" w:eastAsia="Times New Roman" w:hAnsi="Times New Roman" w:cs="Times New Roman"/>
          <w:color w:val="000000"/>
        </w:rPr>
        <w:t>.</w:t>
      </w:r>
      <w:r w:rsidRPr="00820F8C">
        <w:rPr>
          <w:rFonts w:ascii="Times New Roman" w:eastAsia="Times New Roman" w:hAnsi="Times New Roman" w:cs="Times New Roman"/>
          <w:color w:val="000000"/>
        </w:rPr>
        <w:t xml:space="preserve"> L’astrazione, che è ravvisabile in questa dinamica d’esclusione reciproca, rappresenta solo un lato immediato e parziale di un legame d’interazione reciproca che verte sul riferimento ad altro come altro da escludere. </w:t>
      </w:r>
      <w:r w:rsidRPr="007653F2">
        <w:rPr>
          <w:rFonts w:ascii="Times New Roman" w:eastAsia="Times New Roman" w:hAnsi="Times New Roman" w:cs="Times New Roman"/>
          <w:color w:val="000000"/>
        </w:rPr>
        <w:t>Come dice Hegel «</w:t>
      </w:r>
      <w:r w:rsidRPr="007653F2">
        <w:rPr>
          <w:rFonts w:ascii="Times New Roman" w:eastAsia="Times New Roman" w:hAnsi="Times New Roman" w:cs="Times New Roman"/>
          <w:color w:val="000000"/>
          <w:lang w:val="de-DE"/>
        </w:rPr>
        <w:t xml:space="preserve">das Positive und das Negative ist hiermit nicht nur an sich positiv und negativ, sondern an und für sich», </w:t>
      </w:r>
      <w:r w:rsidRPr="007653F2">
        <w:rPr>
          <w:rFonts w:ascii="Times New Roman" w:eastAsia="Times New Roman" w:hAnsi="Times New Roman" w:cs="Times New Roman"/>
          <w:color w:val="000000"/>
        </w:rPr>
        <w:t>dal che segue che</w:t>
      </w:r>
      <w:r w:rsidRPr="007653F2">
        <w:rPr>
          <w:rFonts w:ascii="Times New Roman" w:eastAsia="Times New Roman" w:hAnsi="Times New Roman" w:cs="Times New Roman"/>
          <w:color w:val="000000"/>
          <w:lang w:val="de-DE"/>
        </w:rPr>
        <w:t xml:space="preserve"> «sie sind also nicht ausser der Beziehung auf anderes, sondern daß diese Beziehung und zwar als ausschliessende, die Bestimmung oder das Ansichseyn derselben ausmacht; hierin sind sie es also zugleich an und für sich»</w:t>
      </w:r>
      <w:r w:rsidRPr="007653F2">
        <w:rPr>
          <w:rStyle w:val="Rimandonotaapidipagina"/>
          <w:rFonts w:ascii="Times New Roman" w:eastAsia="Times New Roman" w:hAnsi="Times New Roman" w:cs="Times New Roman"/>
          <w:color w:val="000000"/>
          <w:lang w:val="de-DE"/>
        </w:rPr>
        <w:footnoteReference w:id="404"/>
      </w:r>
      <w:r w:rsidRPr="007653F2">
        <w:rPr>
          <w:rFonts w:ascii="Times New Roman" w:eastAsia="Times New Roman" w:hAnsi="Times New Roman" w:cs="Times New Roman"/>
          <w:color w:val="000000"/>
          <w:lang w:val="de-DE"/>
        </w:rPr>
        <w:t xml:space="preserve">. </w:t>
      </w:r>
    </w:p>
    <w:p w14:paraId="49989BD4" w14:textId="7D61C816" w:rsidR="001B7751" w:rsidRPr="00AA5776" w:rsidRDefault="001B7751" w:rsidP="001B7751">
      <w:pPr>
        <w:pStyle w:val="Paragrafoelenco"/>
        <w:spacing w:line="360" w:lineRule="auto"/>
        <w:ind w:left="0" w:firstLine="567"/>
        <w:jc w:val="both"/>
        <w:rPr>
          <w:rFonts w:ascii="Times New Roman" w:eastAsia="Times New Roman" w:hAnsi="Times New Roman" w:cs="Times New Roman"/>
          <w:color w:val="000000"/>
        </w:rPr>
      </w:pPr>
      <w:r w:rsidRPr="00F97C85">
        <w:rPr>
          <w:rFonts w:ascii="Times New Roman" w:eastAsia="Times New Roman" w:hAnsi="Times New Roman" w:cs="Times New Roman"/>
          <w:color w:val="000000"/>
        </w:rPr>
        <w:t xml:space="preserve">Lo scioglimento dell’interazione esclusiva di </w:t>
      </w:r>
      <w:r>
        <w:rPr>
          <w:rFonts w:ascii="Times New Roman" w:eastAsia="Times New Roman" w:hAnsi="Times New Roman" w:cs="Times New Roman"/>
          <w:color w:val="000000"/>
        </w:rPr>
        <w:t xml:space="preserve">positivo e </w:t>
      </w:r>
      <w:r w:rsidRPr="00F97C85">
        <w:rPr>
          <w:rFonts w:ascii="Times New Roman" w:eastAsia="Times New Roman" w:hAnsi="Times New Roman" w:cs="Times New Roman"/>
          <w:color w:val="000000"/>
        </w:rPr>
        <w:t>negativo</w:t>
      </w:r>
      <w:r>
        <w:rPr>
          <w:rFonts w:ascii="Times New Roman" w:eastAsia="Times New Roman" w:hAnsi="Times New Roman" w:cs="Times New Roman"/>
          <w:color w:val="000000"/>
        </w:rPr>
        <w:t xml:space="preserve"> –</w:t>
      </w:r>
      <w:r w:rsidR="00A268EA">
        <w:rPr>
          <w:rFonts w:ascii="Times New Roman" w:eastAsia="Times New Roman" w:hAnsi="Times New Roman" w:cs="Times New Roman"/>
          <w:color w:val="000000"/>
        </w:rPr>
        <w:t xml:space="preserve"> ciò che </w:t>
      </w:r>
      <w:r w:rsidRPr="00F97C85">
        <w:rPr>
          <w:rFonts w:ascii="Times New Roman" w:eastAsia="Times New Roman" w:hAnsi="Times New Roman" w:cs="Times New Roman"/>
          <w:color w:val="000000"/>
        </w:rPr>
        <w:t xml:space="preserve">rende ogni determinazione o momento </w:t>
      </w:r>
      <w:r w:rsidRPr="007653F2">
        <w:rPr>
          <w:rFonts w:ascii="Times New Roman" w:eastAsia="Times New Roman" w:hAnsi="Times New Roman" w:cs="Times New Roman"/>
          <w:color w:val="000000"/>
        </w:rPr>
        <w:t>«</w:t>
      </w:r>
      <w:r w:rsidRPr="007653F2">
        <w:rPr>
          <w:rFonts w:ascii="Times New Roman" w:eastAsia="Times New Roman" w:hAnsi="Times New Roman" w:cs="Times New Roman"/>
          <w:color w:val="000000"/>
          <w:lang w:val="de-DE"/>
        </w:rPr>
        <w:t>zugleich an und für sich»</w:t>
      </w:r>
      <w:r>
        <w:rPr>
          <w:rFonts w:ascii="Times New Roman" w:eastAsia="Times New Roman" w:hAnsi="Times New Roman" w:cs="Times New Roman"/>
          <w:color w:val="000000"/>
          <w:lang w:val="de-DE"/>
        </w:rPr>
        <w:t xml:space="preserve"> –</w:t>
      </w:r>
      <w:r w:rsidRPr="00F97C85">
        <w:rPr>
          <w:rFonts w:ascii="Times New Roman" w:eastAsia="Times New Roman" w:hAnsi="Times New Roman" w:cs="Times New Roman"/>
          <w:color w:val="000000"/>
          <w:lang w:val="de-DE"/>
        </w:rPr>
        <w:t xml:space="preserve"> </w:t>
      </w:r>
      <w:r w:rsidRPr="00F97C85">
        <w:rPr>
          <w:rFonts w:ascii="Times New Roman" w:eastAsia="Times New Roman" w:hAnsi="Times New Roman" w:cs="Times New Roman"/>
          <w:color w:val="000000"/>
        </w:rPr>
        <w:t xml:space="preserve">si realizza nel momento in cui l’opposizione è sviluppata fino al riconoscimento dell’unità e dell’inseparabilità delle determinazioni contrapposte. Con </w:t>
      </w:r>
      <w:r>
        <w:rPr>
          <w:rFonts w:ascii="Times New Roman" w:eastAsia="Times New Roman" w:hAnsi="Times New Roman" w:cs="Times New Roman"/>
          <w:color w:val="000000"/>
        </w:rPr>
        <w:t>una serie di argomentazione estremamente complesse</w:t>
      </w:r>
      <w:r w:rsidRPr="00F97C85">
        <w:rPr>
          <w:rFonts w:ascii="Times New Roman" w:eastAsia="Times New Roman" w:hAnsi="Times New Roman" w:cs="Times New Roman"/>
          <w:color w:val="000000"/>
        </w:rPr>
        <w:t>, Hegel ci mostra come ciò che le due determinazioni escludono determini, in realtà, la negaz</w:t>
      </w:r>
      <w:r>
        <w:rPr>
          <w:rFonts w:ascii="Times New Roman" w:eastAsia="Times New Roman" w:hAnsi="Times New Roman" w:cs="Times New Roman"/>
          <w:color w:val="000000"/>
        </w:rPr>
        <w:t>ione del proprio essere in sé e</w:t>
      </w:r>
      <w:r w:rsidRPr="00F97C85">
        <w:rPr>
          <w:rFonts w:ascii="Times New Roman" w:eastAsia="Times New Roman" w:hAnsi="Times New Roman" w:cs="Times New Roman"/>
          <w:color w:val="000000"/>
        </w:rPr>
        <w:t xml:space="preserve"> il rovesciamento nell’altro da sé.</w:t>
      </w:r>
      <w:r w:rsidRPr="0073627D">
        <w:rPr>
          <w:rFonts w:ascii="Times New Roman" w:eastAsia="Times New Roman" w:hAnsi="Times New Roman" w:cs="Times New Roman"/>
          <w:color w:val="000000"/>
        </w:rPr>
        <w:t xml:space="preserve"> Riguardo al positivo, Hegel nota</w:t>
      </w:r>
      <w:r>
        <w:rPr>
          <w:rFonts w:ascii="Times New Roman" w:eastAsia="Times New Roman" w:hAnsi="Times New Roman" w:cs="Times New Roman"/>
          <w:color w:val="000000"/>
        </w:rPr>
        <w:t xml:space="preserve"> </w:t>
      </w:r>
      <w:r w:rsidRPr="0073627D">
        <w:rPr>
          <w:rFonts w:ascii="Times New Roman" w:eastAsia="Times New Roman" w:hAnsi="Times New Roman" w:cs="Times New Roman"/>
          <w:color w:val="000000"/>
        </w:rPr>
        <w:t xml:space="preserve">che esso è </w:t>
      </w:r>
      <w:r w:rsidRPr="007653F2">
        <w:rPr>
          <w:rFonts w:ascii="Times New Roman" w:eastAsia="Times New Roman" w:hAnsi="Times New Roman" w:cs="Times New Roman"/>
          <w:color w:val="000000"/>
        </w:rPr>
        <w:t>«</w:t>
      </w:r>
      <w:r w:rsidRPr="007653F2">
        <w:rPr>
          <w:rFonts w:ascii="Times New Roman" w:eastAsia="Times New Roman" w:hAnsi="Times New Roman" w:cs="Times New Roman"/>
          <w:color w:val="000000"/>
          <w:lang w:val="de-DE"/>
        </w:rPr>
        <w:t>Gesetztseyn als in die Gleichheit mit sich reflectiert»</w:t>
      </w:r>
      <w:r w:rsidRPr="007653F2">
        <w:rPr>
          <w:rStyle w:val="Rimandonotaapidipagina"/>
          <w:rFonts w:ascii="Times New Roman" w:eastAsia="Times New Roman" w:hAnsi="Times New Roman" w:cs="Times New Roman"/>
          <w:color w:val="000000"/>
          <w:lang w:val="de-DE"/>
        </w:rPr>
        <w:footnoteReference w:id="405"/>
      </w:r>
      <w:r w:rsidRPr="0073627D">
        <w:rPr>
          <w:rFonts w:ascii="Times New Roman" w:eastAsia="Times New Roman" w:hAnsi="Times New Roman" w:cs="Times New Roman"/>
          <w:color w:val="000000"/>
          <w:lang w:val="de-DE"/>
        </w:rPr>
        <w:t xml:space="preserve">. </w:t>
      </w:r>
      <w:r>
        <w:rPr>
          <w:rFonts w:ascii="Times New Roman" w:eastAsia="Times New Roman" w:hAnsi="Times New Roman" w:cs="Times New Roman"/>
          <w:color w:val="000000"/>
        </w:rPr>
        <w:t xml:space="preserve">Questo essere posto, in </w:t>
      </w:r>
      <w:r w:rsidRPr="0073627D">
        <w:rPr>
          <w:rFonts w:ascii="Times New Roman" w:eastAsia="Times New Roman" w:hAnsi="Times New Roman" w:cs="Times New Roman"/>
          <w:color w:val="000000"/>
        </w:rPr>
        <w:t xml:space="preserve">sé riflesso, toglie proprio ciò che lo pone, il negativo, e lo esclude da sé. Togliendo il negativo, o ciò che lo media, </w:t>
      </w:r>
      <w:r>
        <w:rPr>
          <w:rFonts w:ascii="Times New Roman" w:eastAsia="Times New Roman" w:hAnsi="Times New Roman" w:cs="Times New Roman"/>
          <w:color w:val="000000"/>
        </w:rPr>
        <w:t xml:space="preserve">l’essere in </w:t>
      </w:r>
      <w:r w:rsidRPr="0073627D">
        <w:rPr>
          <w:rFonts w:ascii="Times New Roman" w:eastAsia="Times New Roman" w:hAnsi="Times New Roman" w:cs="Times New Roman"/>
          <w:color w:val="000000"/>
        </w:rPr>
        <w:t>sé leva al contempo sé, o la sua astratta riflessione in sé, rovesciandosi in ciò che ha escluso, ossia il negativo</w:t>
      </w:r>
      <w:r w:rsidRPr="0073627D">
        <w:rPr>
          <w:rFonts w:ascii="Times New Roman" w:eastAsia="Times New Roman" w:hAnsi="Times New Roman" w:cs="Times New Roman"/>
          <w:color w:val="000000"/>
          <w:lang w:val="de-DE"/>
        </w:rPr>
        <w:t xml:space="preserve">. </w:t>
      </w:r>
      <w:r w:rsidRPr="005F66D3">
        <w:rPr>
          <w:rFonts w:ascii="Times New Roman" w:eastAsia="Times New Roman" w:hAnsi="Times New Roman" w:cs="Times New Roman"/>
          <w:color w:val="000000"/>
        </w:rPr>
        <w:t>In modo analogo, il negativo, per mantenersi nella propria riflessione in sé, esclude ciò che lo fa essere il diseguale</w:t>
      </w:r>
      <w:r w:rsidR="00A268EA">
        <w:rPr>
          <w:rFonts w:ascii="Times New Roman" w:eastAsia="Times New Roman" w:hAnsi="Times New Roman" w:cs="Times New Roman"/>
          <w:color w:val="000000"/>
        </w:rPr>
        <w:t xml:space="preserve"> identico a sé, il positivo, e </w:t>
      </w:r>
      <w:r w:rsidRPr="005F66D3">
        <w:rPr>
          <w:rFonts w:ascii="Times New Roman" w:eastAsia="Times New Roman" w:hAnsi="Times New Roman" w:cs="Times New Roman"/>
          <w:color w:val="000000"/>
        </w:rPr>
        <w:t xml:space="preserve">con ciò toglie se stesso come negativo. Nel suo essere in sé, o in quanto differenza esclusiva, il negativo </w:t>
      </w:r>
      <w:r w:rsidRPr="007653F2">
        <w:rPr>
          <w:rFonts w:ascii="Times New Roman" w:eastAsia="Times New Roman" w:hAnsi="Times New Roman" w:cs="Times New Roman"/>
          <w:color w:val="000000"/>
        </w:rPr>
        <w:t>«</w:t>
      </w:r>
      <w:r w:rsidRPr="007653F2">
        <w:rPr>
          <w:rFonts w:ascii="Times New Roman" w:eastAsia="Times New Roman" w:hAnsi="Times New Roman" w:cs="Times New Roman"/>
          <w:color w:val="000000"/>
          <w:lang w:val="de-DE"/>
        </w:rPr>
        <w:t>schließt als Entgegensetzung die Identität von sich aus; aber somit sich selbst, denn als Beziehung auf sich bestimmt er sich als die Identität selbst, die er ausschließt»</w:t>
      </w:r>
      <w:r w:rsidRPr="007653F2">
        <w:rPr>
          <w:rStyle w:val="Rimandonotaapidipagina"/>
          <w:rFonts w:ascii="Times New Roman" w:eastAsia="Times New Roman" w:hAnsi="Times New Roman" w:cs="Times New Roman"/>
          <w:color w:val="000000"/>
          <w:lang w:val="de-DE"/>
        </w:rPr>
        <w:footnoteReference w:id="406"/>
      </w:r>
      <w:r w:rsidRPr="007653F2">
        <w:rPr>
          <w:rFonts w:ascii="Times New Roman" w:eastAsia="Times New Roman" w:hAnsi="Times New Roman" w:cs="Times New Roman"/>
          <w:color w:val="000000"/>
          <w:lang w:val="de-DE"/>
        </w:rPr>
        <w:t>.</w:t>
      </w:r>
      <w:r>
        <w:rPr>
          <w:rFonts w:ascii="Times New Roman" w:eastAsia="Times New Roman" w:hAnsi="Times New Roman" w:cs="Times New Roman"/>
          <w:color w:val="000000"/>
          <w:lang w:val="de-DE"/>
        </w:rPr>
        <w:t xml:space="preserve"> </w:t>
      </w:r>
      <w:r w:rsidRPr="00AA5776">
        <w:rPr>
          <w:rFonts w:ascii="Times New Roman" w:eastAsia="Times New Roman" w:hAnsi="Times New Roman" w:cs="Times New Roman"/>
          <w:color w:val="000000"/>
        </w:rPr>
        <w:t xml:space="preserve">A questo punto, ognuno degli estremi è da considerarsi come il tradursi di sé nel proprio essere altro. Non il passare sfrenato dell’essere nel nulla, ma il porsi come il proprio opposto </w:t>
      </w:r>
      <w:r w:rsidRPr="003E2585">
        <w:rPr>
          <w:rFonts w:ascii="Times New Roman" w:eastAsia="Times New Roman" w:hAnsi="Times New Roman" w:cs="Times New Roman"/>
          <w:color w:val="000000"/>
        </w:rPr>
        <w:t>e il contenerlo in sé come propria determinazione. L’unità di positivo e negativo così raggiunta non è un semplice zero (</w:t>
      </w:r>
      <w:r w:rsidRPr="003E2585">
        <w:rPr>
          <w:rFonts w:ascii="Times New Roman" w:eastAsia="Times New Roman" w:hAnsi="Times New Roman" w:cs="Times New Roman"/>
          <w:i/>
          <w:color w:val="000000"/>
          <w:lang w:val="de-DE"/>
        </w:rPr>
        <w:t>die Null</w:t>
      </w:r>
      <w:r w:rsidRPr="003E2585">
        <w:rPr>
          <w:rFonts w:ascii="Times New Roman" w:eastAsia="Times New Roman" w:hAnsi="Times New Roman" w:cs="Times New Roman"/>
          <w:color w:val="000000"/>
        </w:rPr>
        <w:t>), ma la contraddizione che «</w:t>
      </w:r>
      <w:r w:rsidRPr="003E2585">
        <w:rPr>
          <w:rFonts w:ascii="Times New Roman" w:eastAsia="Times New Roman" w:hAnsi="Times New Roman" w:cs="Times New Roman"/>
          <w:color w:val="000000"/>
          <w:lang w:val="de-DE"/>
        </w:rPr>
        <w:t>enthält nicht bloß das Negative sondern auch das Positive»</w:t>
      </w:r>
      <w:r w:rsidRPr="003E2585">
        <w:rPr>
          <w:rStyle w:val="Rimandonotaapidipagina"/>
          <w:rFonts w:ascii="Times New Roman" w:eastAsia="Times New Roman" w:hAnsi="Times New Roman" w:cs="Times New Roman"/>
          <w:color w:val="000000"/>
          <w:lang w:val="de-DE"/>
        </w:rPr>
        <w:footnoteReference w:id="407"/>
      </w:r>
      <w:r w:rsidRPr="003E2585">
        <w:rPr>
          <w:rFonts w:ascii="Times New Roman" w:eastAsia="Times New Roman" w:hAnsi="Times New Roman" w:cs="Times New Roman"/>
          <w:color w:val="000000"/>
          <w:lang w:val="de-DE"/>
        </w:rPr>
        <w:t xml:space="preserve">. </w:t>
      </w:r>
      <w:r w:rsidRPr="003E2585">
        <w:rPr>
          <w:rFonts w:ascii="Times New Roman" w:eastAsia="Times New Roman" w:hAnsi="Times New Roman" w:cs="Times New Roman"/>
          <w:color w:val="000000"/>
        </w:rPr>
        <w:t xml:space="preserve">Il saldarsi dei momenti avviene nella misura in cui la contraddizione è </w:t>
      </w:r>
      <w:r>
        <w:rPr>
          <w:rFonts w:ascii="Times New Roman" w:eastAsia="Times New Roman" w:hAnsi="Times New Roman" w:cs="Times New Roman"/>
          <w:color w:val="000000"/>
        </w:rPr>
        <w:t>«der gesetzte Wi</w:t>
      </w:r>
      <w:r w:rsidRPr="003E2585">
        <w:rPr>
          <w:rFonts w:ascii="Times New Roman" w:eastAsia="Times New Roman" w:hAnsi="Times New Roman" w:cs="Times New Roman"/>
          <w:color w:val="000000"/>
        </w:rPr>
        <w:t>derspruch</w:t>
      </w:r>
      <w:r w:rsidRPr="003E2585">
        <w:rPr>
          <w:rFonts w:ascii="Times New Roman" w:eastAsia="Times New Roman" w:hAnsi="Times New Roman" w:cs="Times New Roman"/>
          <w:color w:val="000000"/>
          <w:lang w:val="de-DE"/>
        </w:rPr>
        <w:t>»</w:t>
      </w:r>
      <w:r w:rsidRPr="003E2585">
        <w:rPr>
          <w:rStyle w:val="Rimandonotaapidipagina"/>
          <w:rFonts w:ascii="Times New Roman" w:eastAsia="Times New Roman" w:hAnsi="Times New Roman" w:cs="Times New Roman"/>
          <w:color w:val="000000"/>
        </w:rPr>
        <w:footnoteReference w:id="408"/>
      </w:r>
      <w:r w:rsidRPr="003E2585">
        <w:rPr>
          <w:rFonts w:ascii="Times New Roman" w:eastAsia="Times New Roman" w:hAnsi="Times New Roman" w:cs="Times New Roman"/>
          <w:color w:val="000000"/>
          <w:lang w:val="de-DE"/>
        </w:rPr>
        <w:t xml:space="preserve">. </w:t>
      </w:r>
      <w:r w:rsidRPr="003E2585">
        <w:rPr>
          <w:rFonts w:ascii="Times New Roman" w:eastAsia="Times New Roman" w:hAnsi="Times New Roman" w:cs="Times New Roman"/>
          <w:color w:val="000000"/>
        </w:rPr>
        <w:t>Conoscere l’identità di positivo e negativo rappresenta</w:t>
      </w:r>
      <w:r w:rsidRPr="00AA5776">
        <w:rPr>
          <w:rFonts w:ascii="Times New Roman" w:eastAsia="Times New Roman" w:hAnsi="Times New Roman" w:cs="Times New Roman"/>
          <w:color w:val="000000"/>
          <w:lang w:val="de-DE"/>
        </w:rPr>
        <w:t xml:space="preserve"> </w:t>
      </w:r>
    </w:p>
    <w:p w14:paraId="7E9EEF33" w14:textId="77777777" w:rsidR="001B7751" w:rsidRDefault="001B7751" w:rsidP="001B7751">
      <w:pPr>
        <w:pStyle w:val="Paragrafoelenco"/>
        <w:spacing w:line="360" w:lineRule="auto"/>
        <w:ind w:left="1275" w:firstLine="567"/>
        <w:jc w:val="both"/>
        <w:rPr>
          <w:rFonts w:ascii="Times New Roman" w:eastAsia="Times New Roman" w:hAnsi="Times New Roman" w:cs="Times New Roman"/>
          <w:color w:val="000000"/>
          <w:lang w:val="de-DE"/>
        </w:rPr>
      </w:pPr>
    </w:p>
    <w:p w14:paraId="324B79E7" w14:textId="77777777" w:rsidR="001B7751" w:rsidRPr="007653F2" w:rsidRDefault="001B7751" w:rsidP="001B7751">
      <w:pPr>
        <w:pStyle w:val="Paragrafoelenco"/>
        <w:spacing w:line="360" w:lineRule="auto"/>
        <w:ind w:left="567" w:firstLine="567"/>
        <w:jc w:val="both"/>
        <w:rPr>
          <w:rFonts w:ascii="Times New Roman" w:eastAsia="Times New Roman" w:hAnsi="Times New Roman" w:cs="Times New Roman"/>
          <w:color w:val="000000"/>
          <w:sz w:val="20"/>
          <w:szCs w:val="20"/>
          <w:lang w:val="de-DE"/>
        </w:rPr>
      </w:pPr>
      <w:r w:rsidRPr="007653F2">
        <w:rPr>
          <w:rFonts w:ascii="Times New Roman" w:eastAsia="Times New Roman" w:hAnsi="Times New Roman" w:cs="Times New Roman"/>
          <w:color w:val="000000"/>
          <w:sz w:val="20"/>
          <w:szCs w:val="20"/>
          <w:lang w:val="de-DE"/>
        </w:rPr>
        <w:t>«Eine der wichtigsten Erkenntnisse, diese Natur der betrachteten Reflexion</w:t>
      </w:r>
      <w:r>
        <w:rPr>
          <w:rFonts w:ascii="Times New Roman" w:eastAsia="Times New Roman" w:hAnsi="Times New Roman" w:cs="Times New Roman"/>
          <w:color w:val="000000"/>
          <w:sz w:val="20"/>
          <w:szCs w:val="20"/>
          <w:lang w:val="de-DE"/>
        </w:rPr>
        <w:t>s</w:t>
      </w:r>
      <w:r w:rsidRPr="007653F2">
        <w:rPr>
          <w:rFonts w:ascii="Times New Roman" w:eastAsia="Times New Roman" w:hAnsi="Times New Roman" w:cs="Times New Roman"/>
          <w:color w:val="000000"/>
          <w:sz w:val="20"/>
          <w:szCs w:val="20"/>
          <w:lang w:val="de-DE"/>
        </w:rPr>
        <w:t>bestimmungen, daß ihre Wahrheit nur in ihrer Beziehung aufeinander und damit darin besteht, daß jede in ihrem Begriffe selbst die andere enthält, einzusehen und festzuhalten; ohne diese Erkenntniß läßt sich eigentlich kein Schritt in der Philosophie thun»</w:t>
      </w:r>
      <w:r w:rsidRPr="007653F2">
        <w:rPr>
          <w:rStyle w:val="Rimandonotaapidipagina"/>
          <w:rFonts w:ascii="Times New Roman" w:eastAsia="Times New Roman" w:hAnsi="Times New Roman" w:cs="Times New Roman"/>
          <w:color w:val="000000"/>
          <w:sz w:val="20"/>
          <w:szCs w:val="20"/>
          <w:lang w:val="de-DE"/>
        </w:rPr>
        <w:footnoteReference w:id="409"/>
      </w:r>
      <w:r w:rsidRPr="007653F2">
        <w:rPr>
          <w:rFonts w:ascii="Times New Roman" w:eastAsia="Times New Roman" w:hAnsi="Times New Roman" w:cs="Times New Roman"/>
          <w:color w:val="000000"/>
          <w:sz w:val="20"/>
          <w:szCs w:val="20"/>
          <w:lang w:val="de-DE"/>
        </w:rPr>
        <w:t>.</w:t>
      </w:r>
    </w:p>
    <w:p w14:paraId="14906EDC" w14:textId="77777777" w:rsidR="001B7751" w:rsidRPr="007653F2" w:rsidRDefault="001B7751" w:rsidP="001B7751">
      <w:pPr>
        <w:pStyle w:val="Paragrafoelenco"/>
        <w:spacing w:line="360" w:lineRule="auto"/>
        <w:ind w:left="1416" w:firstLine="567"/>
        <w:jc w:val="both"/>
        <w:rPr>
          <w:rFonts w:ascii="Times New Roman" w:eastAsia="Times New Roman" w:hAnsi="Times New Roman" w:cs="Times New Roman"/>
          <w:color w:val="000000"/>
          <w:lang w:val="de-DE"/>
        </w:rPr>
      </w:pPr>
    </w:p>
    <w:p w14:paraId="03F99C88" w14:textId="7C6EEBA5" w:rsidR="001B7751" w:rsidRDefault="001B7751" w:rsidP="001B7751">
      <w:pPr>
        <w:pStyle w:val="Paragrafoelenco"/>
        <w:spacing w:line="360" w:lineRule="auto"/>
        <w:ind w:left="0" w:firstLine="567"/>
        <w:jc w:val="both"/>
        <w:rPr>
          <w:rFonts w:ascii="Times New Roman" w:eastAsia="Times New Roman" w:hAnsi="Times New Roman" w:cs="Times New Roman"/>
          <w:color w:val="000000"/>
        </w:rPr>
      </w:pPr>
      <w:r w:rsidRPr="005F66D3">
        <w:rPr>
          <w:rFonts w:ascii="Times New Roman" w:eastAsia="Times New Roman" w:hAnsi="Times New Roman" w:cs="Times New Roman"/>
          <w:color w:val="000000"/>
        </w:rPr>
        <w:t>Non si può compiere passo alcuno in filosofia se non si tiene ferma la natura contraddittoria del pensiero</w:t>
      </w:r>
      <w:r w:rsidRPr="005F66D3">
        <w:rPr>
          <w:rStyle w:val="Rimandonotaapidipagina"/>
          <w:rFonts w:ascii="Times New Roman" w:eastAsia="Times New Roman" w:hAnsi="Times New Roman" w:cs="Times New Roman"/>
          <w:color w:val="000000"/>
        </w:rPr>
        <w:footnoteReference w:id="410"/>
      </w:r>
      <w:r w:rsidRPr="005F66D3">
        <w:rPr>
          <w:rFonts w:ascii="Times New Roman" w:eastAsia="Times New Roman" w:hAnsi="Times New Roman" w:cs="Times New Roman"/>
          <w:color w:val="000000"/>
        </w:rPr>
        <w:t>.</w:t>
      </w:r>
      <w:r w:rsidRPr="00BF0CD5">
        <w:rPr>
          <w:rFonts w:ascii="Times New Roman" w:eastAsia="Times New Roman" w:hAnsi="Times New Roman" w:cs="Times New Roman"/>
          <w:color w:val="000000"/>
        </w:rPr>
        <w:t xml:space="preserve"> </w:t>
      </w:r>
      <w:r w:rsidRPr="005F66D3">
        <w:rPr>
          <w:rFonts w:ascii="Times New Roman" w:eastAsia="Times New Roman" w:hAnsi="Times New Roman" w:cs="Times New Roman"/>
          <w:color w:val="000000"/>
        </w:rPr>
        <w:t>Questa forma di negatività, che consente d’afferrare</w:t>
      </w:r>
      <w:r>
        <w:rPr>
          <w:rFonts w:ascii="Times New Roman" w:eastAsia="Times New Roman" w:hAnsi="Times New Roman" w:cs="Times New Roman"/>
          <w:color w:val="000000"/>
        </w:rPr>
        <w:t xml:space="preserve"> </w:t>
      </w:r>
      <w:r w:rsidRPr="00FE3F76">
        <w:rPr>
          <w:rFonts w:ascii="Times New Roman" w:eastAsia="Times New Roman" w:hAnsi="Times New Roman" w:cs="Times New Roman"/>
          <w:color w:val="000000"/>
        </w:rPr>
        <w:t>l’essere uno di positivo e negativo, rappresenta il superamento speculativo di quel pensare che si attiene al puramente positivo, all’identità o all’indifferenza, astraendo dal negativo. Una volta colta la natura contraddittoria dell’elemento logico viene da sé che il suo processo di differenziazione non può essere altro che una processualità immanente del medesimo.</w:t>
      </w:r>
      <w:r>
        <w:rPr>
          <w:rFonts w:ascii="Times New Roman" w:eastAsia="Times New Roman" w:hAnsi="Times New Roman" w:cs="Times New Roman"/>
          <w:color w:val="000000"/>
        </w:rPr>
        <w:t xml:space="preserve"> L’identità indeterminata, che nella sua negatività era spinta al di là di sé verso una differenza non ricompresa e trattenuta nel rapporto a sé, può adesso essere sviluppata fino alla concretezza. In un passo estremamente significativo, infatti, Hegel scrive che</w:t>
      </w:r>
    </w:p>
    <w:p w14:paraId="19F6C023" w14:textId="77777777" w:rsidR="001B7751" w:rsidRDefault="001B7751" w:rsidP="001B7751">
      <w:pPr>
        <w:pStyle w:val="Paragrafoelenco"/>
        <w:spacing w:line="360" w:lineRule="auto"/>
        <w:ind w:left="1416" w:firstLine="567"/>
        <w:jc w:val="both"/>
        <w:rPr>
          <w:rFonts w:ascii="Times New Roman" w:eastAsia="Times New Roman" w:hAnsi="Times New Roman" w:cs="Times New Roman"/>
          <w:color w:val="000000"/>
        </w:rPr>
      </w:pPr>
    </w:p>
    <w:p w14:paraId="2A35B111" w14:textId="77777777" w:rsidR="001B7751" w:rsidRPr="007653F2" w:rsidRDefault="001B7751" w:rsidP="001B7751">
      <w:pPr>
        <w:pStyle w:val="Paragrafoelenco"/>
        <w:spacing w:line="360" w:lineRule="auto"/>
        <w:ind w:left="567" w:firstLine="567"/>
        <w:jc w:val="both"/>
        <w:rPr>
          <w:rFonts w:ascii="Times New Roman" w:eastAsia="Times New Roman" w:hAnsi="Times New Roman" w:cs="Times New Roman"/>
          <w:color w:val="000000"/>
        </w:rPr>
      </w:pPr>
      <w:r w:rsidRPr="007653F2">
        <w:rPr>
          <w:rFonts w:ascii="Times New Roman" w:eastAsia="Times New Roman" w:hAnsi="Times New Roman" w:cs="Times New Roman"/>
          <w:color w:val="000000"/>
          <w:sz w:val="20"/>
          <w:szCs w:val="20"/>
        </w:rPr>
        <w:t>«</w:t>
      </w:r>
      <w:r w:rsidRPr="007653F2">
        <w:rPr>
          <w:rFonts w:ascii="Times New Roman" w:eastAsia="Times New Roman" w:hAnsi="Times New Roman" w:cs="Times New Roman"/>
          <w:color w:val="000000"/>
          <w:sz w:val="20"/>
          <w:szCs w:val="20"/>
          <w:lang w:val="de-DE"/>
        </w:rPr>
        <w:t>Die abstracte Identität mit sich ist noch keine Lebendigkeit, sondern daß das Positive an sich selbst die Negativität ist, dadurch geht es ausser sich und setzt sich in Veränderung. Etwas ist also l</w:t>
      </w:r>
      <w:r>
        <w:rPr>
          <w:rFonts w:ascii="Times New Roman" w:eastAsia="Times New Roman" w:hAnsi="Times New Roman" w:cs="Times New Roman"/>
          <w:color w:val="000000"/>
          <w:sz w:val="20"/>
          <w:szCs w:val="20"/>
          <w:lang w:val="de-DE"/>
        </w:rPr>
        <w:t>ebendig, nur insofern es den Wi</w:t>
      </w:r>
      <w:r w:rsidRPr="007653F2">
        <w:rPr>
          <w:rFonts w:ascii="Times New Roman" w:eastAsia="Times New Roman" w:hAnsi="Times New Roman" w:cs="Times New Roman"/>
          <w:color w:val="000000"/>
          <w:sz w:val="20"/>
          <w:szCs w:val="20"/>
          <w:lang w:val="de-DE"/>
        </w:rPr>
        <w:t>derspruch in sich enthält, u</w:t>
      </w:r>
      <w:r>
        <w:rPr>
          <w:rFonts w:ascii="Times New Roman" w:eastAsia="Times New Roman" w:hAnsi="Times New Roman" w:cs="Times New Roman"/>
          <w:color w:val="000000"/>
          <w:sz w:val="20"/>
          <w:szCs w:val="20"/>
          <w:lang w:val="de-DE"/>
        </w:rPr>
        <w:t>nd zwar diese Kraft ist, den Wi</w:t>
      </w:r>
      <w:r w:rsidRPr="007653F2">
        <w:rPr>
          <w:rFonts w:ascii="Times New Roman" w:eastAsia="Times New Roman" w:hAnsi="Times New Roman" w:cs="Times New Roman"/>
          <w:color w:val="000000"/>
          <w:sz w:val="20"/>
          <w:szCs w:val="20"/>
          <w:lang w:val="de-DE"/>
        </w:rPr>
        <w:t>derspruch in sich zu fassen und auszuhalten […] Das speculative Denken besteht n</w:t>
      </w:r>
      <w:r>
        <w:rPr>
          <w:rFonts w:ascii="Times New Roman" w:eastAsia="Times New Roman" w:hAnsi="Times New Roman" w:cs="Times New Roman"/>
          <w:color w:val="000000"/>
          <w:sz w:val="20"/>
          <w:szCs w:val="20"/>
          <w:lang w:val="de-DE"/>
        </w:rPr>
        <w:t>ur darin, daß das Denken den Wi</w:t>
      </w:r>
      <w:r w:rsidRPr="007653F2">
        <w:rPr>
          <w:rFonts w:ascii="Times New Roman" w:eastAsia="Times New Roman" w:hAnsi="Times New Roman" w:cs="Times New Roman"/>
          <w:color w:val="000000"/>
          <w:sz w:val="20"/>
          <w:szCs w:val="20"/>
          <w:lang w:val="de-DE"/>
        </w:rPr>
        <w:t>derspruch und in ihm sich selbst festhält»</w:t>
      </w:r>
      <w:r w:rsidRPr="007653F2">
        <w:rPr>
          <w:rStyle w:val="Rimandonotaapidipagina"/>
          <w:rFonts w:ascii="Times New Roman" w:eastAsia="Times New Roman" w:hAnsi="Times New Roman" w:cs="Times New Roman"/>
          <w:color w:val="000000"/>
        </w:rPr>
        <w:footnoteReference w:id="411"/>
      </w:r>
      <w:r w:rsidRPr="007653F2">
        <w:rPr>
          <w:rFonts w:ascii="Times New Roman" w:eastAsia="Times New Roman" w:hAnsi="Times New Roman" w:cs="Times New Roman"/>
          <w:color w:val="000000"/>
        </w:rPr>
        <w:t>.</w:t>
      </w:r>
    </w:p>
    <w:p w14:paraId="68D6B569" w14:textId="77777777" w:rsidR="001B7751" w:rsidRDefault="001B7751" w:rsidP="001B7751">
      <w:pPr>
        <w:pStyle w:val="Paragrafoelenco"/>
        <w:spacing w:line="360" w:lineRule="auto"/>
        <w:ind w:left="1983" w:firstLine="567"/>
        <w:jc w:val="both"/>
        <w:rPr>
          <w:rFonts w:ascii="Times New Roman" w:eastAsia="Times New Roman" w:hAnsi="Times New Roman" w:cs="Times New Roman"/>
          <w:color w:val="000000"/>
        </w:rPr>
      </w:pPr>
    </w:p>
    <w:p w14:paraId="0FFA6DFD" w14:textId="51745FE2" w:rsidR="001B7751" w:rsidRDefault="001B7751" w:rsidP="001B7751">
      <w:pPr>
        <w:pStyle w:val="Paragrafoelenco"/>
        <w:tabs>
          <w:tab w:val="left" w:pos="567"/>
        </w:tabs>
        <w:spacing w:line="360" w:lineRule="auto"/>
        <w:ind w:left="0" w:firstLine="567"/>
        <w:jc w:val="both"/>
        <w:rPr>
          <w:rFonts w:ascii="Times New Roman" w:eastAsia="Times New Roman" w:hAnsi="Times New Roman" w:cs="Times New Roman"/>
          <w:color w:val="000000"/>
        </w:rPr>
      </w:pPr>
      <w:r w:rsidRPr="000D2330">
        <w:rPr>
          <w:rFonts w:ascii="Times New Roman" w:eastAsia="Times New Roman" w:hAnsi="Times New Roman" w:cs="Times New Roman"/>
          <w:color w:val="000000"/>
        </w:rPr>
        <w:t xml:space="preserve">Anche in questo caso, è ribadita la capacità, che è forza, del pensiero speculativo di guardare in faccia, fronteggiandola, la contraddizione. L’identità, l’indeterminato da cui la </w:t>
      </w:r>
      <w:r w:rsidRPr="000D2330">
        <w:rPr>
          <w:rFonts w:ascii="Times New Roman" w:eastAsia="Times New Roman" w:hAnsi="Times New Roman" w:cs="Times New Roman"/>
          <w:i/>
          <w:color w:val="000000"/>
          <w:lang w:val="de-DE"/>
        </w:rPr>
        <w:t>Wesenslogik</w:t>
      </w:r>
      <w:r w:rsidRPr="000D2330">
        <w:rPr>
          <w:rFonts w:ascii="Times New Roman" w:eastAsia="Times New Roman" w:hAnsi="Times New Roman" w:cs="Times New Roman"/>
          <w:color w:val="000000"/>
        </w:rPr>
        <w:t xml:space="preserve"> prende le mosse, può rinunciare alla propria astrattezza, e con ciò alla propria positività irriflessa, nella misura in cui dismette la propria unilaterale positività e afferma, di contro, quella negatività che la permea e che, una volta dispiegata, la spinge fuori di sé.</w:t>
      </w:r>
      <w:r>
        <w:rPr>
          <w:rFonts w:ascii="Times New Roman" w:eastAsia="Times New Roman" w:hAnsi="Times New Roman" w:cs="Times New Roman"/>
          <w:color w:val="000000"/>
        </w:rPr>
        <w:t xml:space="preserve"> Questo spingere fuori è un porsi nel cambiamento: al negarsi dell’identità corrisponde, per prima cosa, il suo posizionamento come alterità e, in un secondo momento, il riconvertirsi dell’altro da sé nell’in sé di partenza (un in sé non più astratto, ma divenuto, in-sé-e-per-sé). Il positivo si posiziona come negativo; </w:t>
      </w:r>
      <w:r w:rsidRPr="00792682">
        <w:rPr>
          <w:rFonts w:ascii="Times New Roman" w:eastAsia="Times New Roman" w:hAnsi="Times New Roman" w:cs="Times New Roman"/>
          <w:color w:val="000000"/>
        </w:rPr>
        <w:t>il negativo, a sua volta, è un positivo, che possiede un contenuto determinato; questo negativo, che è un positivo, si contraddice e ristabilisce, in questo modo, quel primo da cui era provenuto. La dialettica di positivo e negativo, ossia lo sviluppo dell’opposizione</w:t>
      </w:r>
      <w:r>
        <w:rPr>
          <w:rFonts w:ascii="Times New Roman" w:eastAsia="Times New Roman" w:hAnsi="Times New Roman" w:cs="Times New Roman"/>
          <w:color w:val="000000"/>
        </w:rPr>
        <w:t xml:space="preserve"> fino alla contraddizione, rappresenta un punto fermo del pensiero hegeliano. </w:t>
      </w:r>
      <w:r w:rsidRPr="00792682">
        <w:rPr>
          <w:rFonts w:ascii="Times New Roman" w:eastAsia="Times New Roman" w:hAnsi="Times New Roman" w:cs="Times New Roman"/>
          <w:color w:val="000000"/>
        </w:rPr>
        <w:t xml:space="preserve">Abbiamo visto come Hegel, già a livello della </w:t>
      </w:r>
      <w:r w:rsidRPr="00792682">
        <w:rPr>
          <w:rFonts w:ascii="Times New Roman" w:eastAsia="Times New Roman" w:hAnsi="Times New Roman" w:cs="Times New Roman"/>
          <w:i/>
          <w:color w:val="000000"/>
          <w:lang w:val="de-DE"/>
        </w:rPr>
        <w:t>Logik des Seyns</w:t>
      </w:r>
      <w:r w:rsidRPr="00792682">
        <w:rPr>
          <w:rFonts w:ascii="Times New Roman" w:eastAsia="Times New Roman" w:hAnsi="Times New Roman" w:cs="Times New Roman"/>
          <w:color w:val="000000"/>
        </w:rPr>
        <w:t xml:space="preserve">, abbia fornito delle coordinate teoretiche fondamentali ai fini della comprensione di che cosa si debba intendere con “negazione”. Negazione non è </w:t>
      </w:r>
      <w:r w:rsidRPr="000D2330">
        <w:rPr>
          <w:rFonts w:ascii="Times New Roman" w:eastAsia="Times New Roman" w:hAnsi="Times New Roman" w:cs="Times New Roman"/>
          <w:color w:val="000000"/>
        </w:rPr>
        <w:t>determinazione (</w:t>
      </w:r>
      <w:r w:rsidRPr="000D2330">
        <w:rPr>
          <w:rFonts w:ascii="Times New Roman" w:eastAsia="Times New Roman" w:hAnsi="Times New Roman" w:cs="Times New Roman"/>
          <w:i/>
          <w:color w:val="000000"/>
          <w:lang w:val="de-DE"/>
        </w:rPr>
        <w:t>Bestimmtheit</w:t>
      </w:r>
      <w:r w:rsidRPr="000D2330">
        <w:rPr>
          <w:rFonts w:ascii="Times New Roman" w:eastAsia="Times New Roman" w:hAnsi="Times New Roman" w:cs="Times New Roman"/>
          <w:color w:val="000000"/>
        </w:rPr>
        <w:t xml:space="preserve">), ma opposizione </w:t>
      </w:r>
      <w:r w:rsidR="00D44620">
        <w:rPr>
          <w:rFonts w:ascii="Times New Roman" w:eastAsia="Times New Roman" w:hAnsi="Times New Roman" w:cs="Times New Roman"/>
          <w:color w:val="000000"/>
        </w:rPr>
        <w:t>(</w:t>
      </w:r>
      <w:r w:rsidR="00D44620" w:rsidRPr="00D44620">
        <w:rPr>
          <w:rFonts w:ascii="Times New Roman" w:eastAsia="Times New Roman" w:hAnsi="Times New Roman" w:cs="Times New Roman"/>
          <w:i/>
          <w:color w:val="000000"/>
        </w:rPr>
        <w:t>Gegensatz</w:t>
      </w:r>
      <w:r w:rsidR="00D44620">
        <w:rPr>
          <w:rFonts w:ascii="Times New Roman" w:eastAsia="Times New Roman" w:hAnsi="Times New Roman" w:cs="Times New Roman"/>
          <w:color w:val="000000"/>
        </w:rPr>
        <w:t xml:space="preserve">) </w:t>
      </w:r>
      <w:r w:rsidRPr="000D2330">
        <w:rPr>
          <w:rFonts w:ascii="Times New Roman" w:eastAsia="Times New Roman" w:hAnsi="Times New Roman" w:cs="Times New Roman"/>
          <w:color w:val="000000"/>
        </w:rPr>
        <w:t>pienamente sviluppata di positivo e negativo. Già nell’</w:t>
      </w:r>
      <w:r w:rsidRPr="000D2330">
        <w:rPr>
          <w:rFonts w:ascii="Times New Roman" w:eastAsia="Times New Roman" w:hAnsi="Times New Roman" w:cs="Times New Roman"/>
          <w:i/>
          <w:color w:val="000000"/>
          <w:lang w:val="de-DE"/>
        </w:rPr>
        <w:t>Anmerkung</w:t>
      </w:r>
      <w:r w:rsidRPr="000D2330">
        <w:rPr>
          <w:rFonts w:ascii="Times New Roman" w:eastAsia="Times New Roman" w:hAnsi="Times New Roman" w:cs="Times New Roman"/>
          <w:color w:val="000000"/>
          <w:lang w:val="de-DE"/>
        </w:rPr>
        <w:t xml:space="preserve"> </w:t>
      </w:r>
      <w:r w:rsidRPr="000D2330">
        <w:rPr>
          <w:rFonts w:ascii="Times New Roman" w:eastAsia="Times New Roman" w:hAnsi="Times New Roman" w:cs="Times New Roman"/>
          <w:color w:val="000000"/>
        </w:rPr>
        <w:t>alla</w:t>
      </w:r>
      <w:r w:rsidRPr="000D2330">
        <w:rPr>
          <w:rFonts w:ascii="Times New Roman" w:eastAsia="Times New Roman" w:hAnsi="Times New Roman" w:cs="Times New Roman"/>
          <w:i/>
          <w:color w:val="000000"/>
        </w:rPr>
        <w:t xml:space="preserve"> Qualität</w:t>
      </w:r>
      <w:r w:rsidRPr="000D2330">
        <w:rPr>
          <w:rFonts w:ascii="Times New Roman" w:eastAsia="Times New Roman" w:hAnsi="Times New Roman" w:cs="Times New Roman"/>
          <w:color w:val="000000"/>
        </w:rPr>
        <w:t>, Jakob Böhme era stato indicato come quel pensatore che aveva colto il significato dell’opposizione così come essa si presenta nell’essenza.</w:t>
      </w:r>
      <w:r w:rsidRPr="00792682">
        <w:rPr>
          <w:rFonts w:ascii="Times New Roman" w:eastAsia="Times New Roman" w:hAnsi="Times New Roman" w:cs="Times New Roman"/>
          <w:color w:val="000000"/>
        </w:rPr>
        <w:t xml:space="preserve"> La dialettica inerente al positivo e al negativo ci consegna l’identità dei due momenti e la natura </w:t>
      </w:r>
      <w:r w:rsidRPr="000D2330">
        <w:rPr>
          <w:rFonts w:ascii="Times New Roman" w:eastAsia="Times New Roman" w:hAnsi="Times New Roman" w:cs="Times New Roman"/>
          <w:color w:val="000000"/>
        </w:rPr>
        <w:t xml:space="preserve">contraddittoria del pensiero. Quello che è in atto in queste pagine altro è un riepilogo, reso in termini logicamente più astratti, di quanto abbiamo già visto nella sezione </w:t>
      </w:r>
      <w:r w:rsidRPr="00222EAD">
        <w:rPr>
          <w:rFonts w:ascii="Times New Roman" w:eastAsia="Times New Roman" w:hAnsi="Times New Roman" w:cs="Times New Roman"/>
          <w:color w:val="000000"/>
        </w:rPr>
        <w:t>de</w:t>
      </w:r>
      <w:r w:rsidRPr="00222EAD">
        <w:rPr>
          <w:rFonts w:ascii="Times New Roman" w:eastAsia="Times New Roman" w:hAnsi="Times New Roman" w:cs="Times New Roman"/>
          <w:color w:val="000000"/>
          <w:lang w:val="de-DE"/>
        </w:rPr>
        <w:t>ll’</w:t>
      </w:r>
      <w:r w:rsidRPr="00222EAD">
        <w:rPr>
          <w:rFonts w:ascii="Times New Roman" w:eastAsia="Times New Roman" w:hAnsi="Times New Roman" w:cs="Times New Roman"/>
          <w:i/>
          <w:color w:val="000000"/>
          <w:lang w:val="de-DE"/>
        </w:rPr>
        <w:t>Höchstes Wesen</w:t>
      </w:r>
      <w:r w:rsidRPr="00222EAD">
        <w:rPr>
          <w:rFonts w:ascii="Times New Roman" w:eastAsia="Times New Roman" w:hAnsi="Times New Roman" w:cs="Times New Roman"/>
          <w:color w:val="000000"/>
          <w:lang w:val="de-DE"/>
        </w:rPr>
        <w:t xml:space="preserve">. </w:t>
      </w:r>
      <w:r w:rsidRPr="00222EAD">
        <w:rPr>
          <w:rFonts w:ascii="Times New Roman" w:eastAsia="Times New Roman" w:hAnsi="Times New Roman" w:cs="Times New Roman"/>
          <w:color w:val="000000"/>
        </w:rPr>
        <w:t xml:space="preserve">In quella sede, l’astrattismo spinoziano, equiparato, come si ricorderà, alla pura luce, era superato da un pensiero capace d’afferrare </w:t>
      </w:r>
      <w:r w:rsidRPr="00222EAD">
        <w:rPr>
          <w:rFonts w:ascii="Times New Roman" w:eastAsia="Times New Roman" w:hAnsi="Times New Roman" w:cs="Times New Roman"/>
          <w:i/>
          <w:color w:val="000000"/>
        </w:rPr>
        <w:t>l’essenza suprema</w:t>
      </w:r>
      <w:r w:rsidRPr="00222EAD">
        <w:rPr>
          <w:rFonts w:ascii="Times New Roman" w:eastAsia="Times New Roman" w:hAnsi="Times New Roman" w:cs="Times New Roman"/>
          <w:color w:val="000000"/>
        </w:rPr>
        <w:t xml:space="preserve"> come unità di due principi antitetici. Principio buono e principio cattivo e luce e tenebra sono opposti complementari</w:t>
      </w:r>
      <w:r>
        <w:rPr>
          <w:rFonts w:ascii="Times New Roman" w:eastAsia="Times New Roman" w:hAnsi="Times New Roman" w:cs="Times New Roman"/>
          <w:color w:val="000000"/>
        </w:rPr>
        <w:t xml:space="preserve"> </w:t>
      </w:r>
      <w:r w:rsidRPr="000D2330">
        <w:rPr>
          <w:rFonts w:ascii="Times New Roman" w:eastAsia="Times New Roman" w:hAnsi="Times New Roman" w:cs="Times New Roman"/>
          <w:color w:val="000000"/>
        </w:rPr>
        <w:t>che Hegel reinterpreta alla luce</w:t>
      </w:r>
      <w:r>
        <w:rPr>
          <w:rFonts w:ascii="Times New Roman" w:eastAsia="Times New Roman" w:hAnsi="Times New Roman" w:cs="Times New Roman"/>
          <w:color w:val="000000"/>
        </w:rPr>
        <w:t xml:space="preserve"> della concezione </w:t>
      </w:r>
      <w:r w:rsidRPr="00B345F9">
        <w:rPr>
          <w:rFonts w:ascii="Times New Roman" w:eastAsia="Times New Roman" w:hAnsi="Times New Roman" w:cs="Times New Roman"/>
          <w:color w:val="000000"/>
        </w:rPr>
        <w:t>böhmiana della</w:t>
      </w:r>
      <w:r w:rsidRPr="00B345F9">
        <w:rPr>
          <w:rFonts w:ascii="Times New Roman" w:eastAsia="Times New Roman" w:hAnsi="Times New Roman" w:cs="Times New Roman"/>
          <w:i/>
          <w:color w:val="000000"/>
          <w:lang w:val="de-DE"/>
        </w:rPr>
        <w:t xml:space="preserve"> qualità</w:t>
      </w:r>
      <w:r w:rsidRPr="00B345F9">
        <w:rPr>
          <w:rFonts w:ascii="Times New Roman" w:eastAsia="Times New Roman" w:hAnsi="Times New Roman" w:cs="Times New Roman"/>
          <w:color w:val="000000"/>
          <w:lang w:val="de-DE"/>
        </w:rPr>
        <w:t>.</w:t>
      </w:r>
      <w:r w:rsidRPr="00B345F9">
        <w:rPr>
          <w:rFonts w:ascii="Times New Roman" w:eastAsia="Times New Roman" w:hAnsi="Times New Roman" w:cs="Times New Roman"/>
          <w:color w:val="000000"/>
        </w:rPr>
        <w:t xml:space="preserve"> Anche la </w:t>
      </w:r>
      <w:r w:rsidRPr="00B345F9">
        <w:rPr>
          <w:rFonts w:ascii="Times New Roman" w:eastAsia="Times New Roman" w:hAnsi="Times New Roman" w:cs="Times New Roman"/>
          <w:i/>
          <w:color w:val="000000"/>
          <w:lang w:val="de-DE"/>
        </w:rPr>
        <w:t>Wissenschaft der Logik</w:t>
      </w:r>
      <w:r w:rsidRPr="00B345F9">
        <w:rPr>
          <w:rFonts w:ascii="Times New Roman" w:eastAsia="Times New Roman" w:hAnsi="Times New Roman" w:cs="Times New Roman"/>
          <w:i/>
          <w:color w:val="000000"/>
        </w:rPr>
        <w:t xml:space="preserve"> </w:t>
      </w:r>
      <w:r w:rsidRPr="00B345F9">
        <w:rPr>
          <w:rFonts w:ascii="Times New Roman" w:eastAsia="Times New Roman" w:hAnsi="Times New Roman" w:cs="Times New Roman"/>
          <w:color w:val="000000"/>
        </w:rPr>
        <w:t xml:space="preserve">individua nella nozione </w:t>
      </w:r>
      <w:r w:rsidRPr="00FE3F76">
        <w:rPr>
          <w:rFonts w:ascii="Times New Roman" w:eastAsia="Times New Roman" w:hAnsi="Times New Roman" w:cs="Times New Roman"/>
          <w:color w:val="000000"/>
        </w:rPr>
        <w:t>d’</w:t>
      </w:r>
      <w:r w:rsidRPr="00FE3F76">
        <w:rPr>
          <w:rFonts w:ascii="Times New Roman" w:eastAsia="Times New Roman" w:hAnsi="Times New Roman" w:cs="Times New Roman"/>
          <w:i/>
          <w:color w:val="000000"/>
          <w:lang w:val="de-DE"/>
        </w:rPr>
        <w:t>Inqualierung</w:t>
      </w:r>
      <w:r w:rsidRPr="00FE3F76">
        <w:rPr>
          <w:rFonts w:ascii="Times New Roman" w:eastAsia="Times New Roman" w:hAnsi="Times New Roman" w:cs="Times New Roman"/>
          <w:i/>
          <w:color w:val="000000"/>
        </w:rPr>
        <w:t xml:space="preserve"> </w:t>
      </w:r>
      <w:r w:rsidRPr="00FE3F76">
        <w:rPr>
          <w:rFonts w:ascii="Times New Roman" w:eastAsia="Times New Roman" w:hAnsi="Times New Roman" w:cs="Times New Roman"/>
          <w:color w:val="000000"/>
        </w:rPr>
        <w:t xml:space="preserve">una via d’accesso all’opposizione sussistente fra due polarità antitetiche: a ben vedere, positivo e negativo non sono altro che espressioni </w:t>
      </w:r>
      <w:r w:rsidR="001675F5" w:rsidRPr="00FE3F76">
        <w:rPr>
          <w:rFonts w:ascii="Times New Roman" w:eastAsia="Times New Roman" w:hAnsi="Times New Roman" w:cs="Times New Roman"/>
          <w:color w:val="000000"/>
        </w:rPr>
        <w:t>logica</w:t>
      </w:r>
      <w:r w:rsidRPr="00FE3F76">
        <w:rPr>
          <w:rFonts w:ascii="Times New Roman" w:eastAsia="Times New Roman" w:hAnsi="Times New Roman" w:cs="Times New Roman"/>
          <w:color w:val="000000"/>
        </w:rPr>
        <w:t>mente più adeguate che vanno a sostituirsi al principio buono (alla luce) e cattivo (alla tenebra) della metafisica di Jena</w:t>
      </w:r>
      <w:r w:rsidRPr="0068663B">
        <w:rPr>
          <w:rFonts w:ascii="Times New Roman" w:eastAsia="Times New Roman" w:hAnsi="Times New Roman" w:cs="Times New Roman"/>
          <w:color w:val="000000"/>
        </w:rPr>
        <w:t xml:space="preserve">. La continuità e il collegamento fra queste coppie d’opposti mi sembra che sia </w:t>
      </w:r>
      <w:r w:rsidRPr="00F31A55">
        <w:rPr>
          <w:rFonts w:ascii="Times New Roman" w:eastAsia="Times New Roman" w:hAnsi="Times New Roman" w:cs="Times New Roman"/>
          <w:color w:val="000000"/>
        </w:rPr>
        <w:t xml:space="preserve">confermato nella </w:t>
      </w:r>
      <w:r w:rsidR="0068663B" w:rsidRPr="00F31A55">
        <w:rPr>
          <w:rFonts w:ascii="Times New Roman" w:eastAsia="Times New Roman" w:hAnsi="Times New Roman" w:cs="Times New Roman"/>
          <w:color w:val="000000"/>
        </w:rPr>
        <w:t xml:space="preserve">prima </w:t>
      </w:r>
      <w:r w:rsidR="0068663B" w:rsidRPr="00F31A55">
        <w:rPr>
          <w:rFonts w:ascii="Times New Roman" w:eastAsia="Times New Roman" w:hAnsi="Times New Roman" w:cs="Times New Roman"/>
          <w:i/>
          <w:color w:val="000000"/>
        </w:rPr>
        <w:t>Anmerkung</w:t>
      </w:r>
      <w:r w:rsidR="0068663B" w:rsidRPr="00F31A55">
        <w:rPr>
          <w:rFonts w:ascii="Times New Roman" w:eastAsia="Times New Roman" w:hAnsi="Times New Roman" w:cs="Times New Roman"/>
          <w:color w:val="000000"/>
        </w:rPr>
        <w:t xml:space="preserve"> alla </w:t>
      </w:r>
      <w:r w:rsidRPr="00F31A55">
        <w:rPr>
          <w:rFonts w:ascii="Times New Roman" w:eastAsia="Times New Roman" w:hAnsi="Times New Roman" w:cs="Times New Roman"/>
          <w:i/>
          <w:color w:val="000000"/>
          <w:lang w:val="de-DE"/>
        </w:rPr>
        <w:t>W</w:t>
      </w:r>
      <w:r w:rsidR="0068663B" w:rsidRPr="00F31A55">
        <w:rPr>
          <w:rFonts w:ascii="Times New Roman" w:eastAsia="Times New Roman" w:hAnsi="Times New Roman" w:cs="Times New Roman"/>
          <w:i/>
          <w:color w:val="000000"/>
          <w:lang w:val="de-DE"/>
        </w:rPr>
        <w:t>iderspruch</w:t>
      </w:r>
      <w:r w:rsidRPr="00F31A55">
        <w:rPr>
          <w:rFonts w:ascii="Times New Roman" w:eastAsia="Times New Roman" w:hAnsi="Times New Roman" w:cs="Times New Roman"/>
          <w:color w:val="000000"/>
        </w:rPr>
        <w:t>: tant</w:t>
      </w:r>
      <w:r w:rsidR="003E126F" w:rsidRPr="00F31A55">
        <w:rPr>
          <w:rFonts w:ascii="Times New Roman" w:eastAsia="Times New Roman" w:hAnsi="Times New Roman" w:cs="Times New Roman"/>
          <w:color w:val="000000"/>
        </w:rPr>
        <w:t>o nella</w:t>
      </w:r>
      <w:r w:rsidRPr="00F31A55">
        <w:rPr>
          <w:rFonts w:ascii="Times New Roman" w:eastAsia="Times New Roman" w:hAnsi="Times New Roman" w:cs="Times New Roman"/>
          <w:color w:val="000000"/>
        </w:rPr>
        <w:t xml:space="preserve"> versione jenese quanto in quella norimberghese della logica</w:t>
      </w:r>
      <w:r w:rsidRPr="001E6AFB">
        <w:rPr>
          <w:rStyle w:val="Rimandonotaapidipagina"/>
          <w:rFonts w:ascii="Times New Roman" w:eastAsia="Times New Roman" w:hAnsi="Times New Roman" w:cs="Times New Roman"/>
          <w:color w:val="000000"/>
        </w:rPr>
        <w:footnoteReference w:id="412"/>
      </w:r>
      <w:r w:rsidR="0068663B" w:rsidRPr="001E6AFB">
        <w:rPr>
          <w:rFonts w:ascii="Times New Roman" w:eastAsia="Times New Roman" w:hAnsi="Times New Roman" w:cs="Times New Roman"/>
          <w:color w:val="000000"/>
        </w:rPr>
        <w:t xml:space="preserve">, Hegel </w:t>
      </w:r>
      <w:r w:rsidR="001E6AFB" w:rsidRPr="001E6AFB">
        <w:rPr>
          <w:rFonts w:ascii="Times New Roman" w:eastAsia="Times New Roman" w:hAnsi="Times New Roman" w:cs="Times New Roman"/>
          <w:color w:val="000000"/>
        </w:rPr>
        <w:t>ricorre all’immagine della luce e della tenebra e a</w:t>
      </w:r>
      <w:r w:rsidR="00F31A55" w:rsidRPr="001E6AFB">
        <w:rPr>
          <w:rFonts w:ascii="Times New Roman" w:eastAsia="Times New Roman" w:hAnsi="Times New Roman" w:cs="Times New Roman"/>
          <w:color w:val="000000"/>
        </w:rPr>
        <w:t xml:space="preserve">llo scontro fra bene </w:t>
      </w:r>
      <w:r w:rsidR="001E6AFB">
        <w:rPr>
          <w:rFonts w:ascii="Times New Roman" w:eastAsia="Times New Roman" w:hAnsi="Times New Roman" w:cs="Times New Roman"/>
          <w:color w:val="000000"/>
        </w:rPr>
        <w:t xml:space="preserve">(principio buono) </w:t>
      </w:r>
      <w:r w:rsidR="00F31A55" w:rsidRPr="001E6AFB">
        <w:rPr>
          <w:rFonts w:ascii="Times New Roman" w:eastAsia="Times New Roman" w:hAnsi="Times New Roman" w:cs="Times New Roman"/>
          <w:color w:val="000000"/>
        </w:rPr>
        <w:t>e male</w:t>
      </w:r>
      <w:r w:rsidR="001E6AFB">
        <w:rPr>
          <w:rFonts w:ascii="Times New Roman" w:eastAsia="Times New Roman" w:hAnsi="Times New Roman" w:cs="Times New Roman"/>
          <w:color w:val="000000"/>
        </w:rPr>
        <w:t xml:space="preserve"> (principio cattivo)</w:t>
      </w:r>
      <w:r w:rsidR="00F31A55" w:rsidRPr="00F31A55">
        <w:rPr>
          <w:rFonts w:ascii="Times New Roman" w:eastAsia="Times New Roman" w:hAnsi="Times New Roman" w:cs="Times New Roman"/>
          <w:color w:val="000000"/>
        </w:rPr>
        <w:t xml:space="preserve"> </w:t>
      </w:r>
      <w:r w:rsidRPr="00F31A55">
        <w:rPr>
          <w:rFonts w:ascii="Times New Roman" w:eastAsia="Times New Roman" w:hAnsi="Times New Roman" w:cs="Times New Roman"/>
          <w:color w:val="000000"/>
        </w:rPr>
        <w:t>per esplicare il compenetrarsi di positivo e negativo nell’</w:t>
      </w:r>
      <w:r w:rsidRPr="00F31A55">
        <w:rPr>
          <w:rFonts w:ascii="Times New Roman" w:eastAsia="Times New Roman" w:hAnsi="Times New Roman" w:cs="Times New Roman"/>
          <w:i/>
          <w:color w:val="000000"/>
        </w:rPr>
        <w:t>essenza</w:t>
      </w:r>
      <w:r w:rsidRPr="00F31A55">
        <w:rPr>
          <w:rFonts w:ascii="Times New Roman" w:eastAsia="Times New Roman" w:hAnsi="Times New Roman" w:cs="Times New Roman"/>
          <w:color w:val="000000"/>
        </w:rPr>
        <w:t xml:space="preserve"> (suprema).</w:t>
      </w:r>
      <w:r w:rsidRPr="00792682">
        <w:rPr>
          <w:rFonts w:ascii="Times New Roman" w:eastAsia="Times New Roman" w:hAnsi="Times New Roman" w:cs="Times New Roman"/>
          <w:color w:val="000000"/>
        </w:rPr>
        <w:t xml:space="preserve"> Nel momento in cui è esibita la contraddizione celata nell’identità, si compie un passo speculativo decisivo: pensare il negativo come inerente al positivo consente di definire l’identità come un’identità concreta, la sostanza come una sostanza vivente. Identità concreta e sostanza vivente sono altri modi per dire </w:t>
      </w:r>
      <w:r w:rsidRPr="00FE3F76">
        <w:rPr>
          <w:rFonts w:ascii="Times New Roman" w:eastAsia="Times New Roman" w:hAnsi="Times New Roman" w:cs="Times New Roman"/>
          <w:color w:val="000000"/>
        </w:rPr>
        <w:t>soggettività assoluta. L’opposizione di positivo e negativo, sviluppata fino a contraddizione,</w:t>
      </w:r>
      <w:r w:rsidRPr="00792682">
        <w:rPr>
          <w:rFonts w:ascii="Times New Roman" w:eastAsia="Times New Roman" w:hAnsi="Times New Roman" w:cs="Times New Roman"/>
          <w:color w:val="000000"/>
        </w:rPr>
        <w:t xml:space="preserve"> riflette quell’auto-movimento (</w:t>
      </w:r>
      <w:r w:rsidRPr="00792682">
        <w:rPr>
          <w:rFonts w:ascii="Times New Roman" w:eastAsia="Times New Roman" w:hAnsi="Times New Roman" w:cs="Times New Roman"/>
          <w:i/>
          <w:color w:val="000000"/>
        </w:rPr>
        <w:t>Selbstbewegung</w:t>
      </w:r>
      <w:r w:rsidRPr="00792682">
        <w:rPr>
          <w:rFonts w:ascii="Times New Roman" w:eastAsia="Times New Roman" w:hAnsi="Times New Roman" w:cs="Times New Roman"/>
          <w:color w:val="000000"/>
        </w:rPr>
        <w:t>) della determinazione, in forza del quale essa non è un che d’esteriore, o d’immediatamente negativo, ma un che di positivo e negativo ad un tempo.</w:t>
      </w:r>
    </w:p>
    <w:p w14:paraId="155A4B85" w14:textId="2F5AB17C" w:rsidR="001B7751" w:rsidRDefault="001B7751" w:rsidP="001B7751">
      <w:pPr>
        <w:pStyle w:val="Paragrafoelenco"/>
        <w:spacing w:line="360" w:lineRule="auto"/>
        <w:ind w:left="0" w:firstLine="567"/>
        <w:jc w:val="both"/>
        <w:rPr>
          <w:rFonts w:ascii="Times New Roman" w:eastAsia="Times New Roman" w:hAnsi="Times New Roman" w:cs="Times New Roman"/>
          <w:color w:val="000000"/>
        </w:rPr>
      </w:pPr>
      <w:r w:rsidRPr="00B345F9">
        <w:rPr>
          <w:rFonts w:ascii="Times New Roman" w:eastAsia="Times New Roman" w:hAnsi="Times New Roman" w:cs="Times New Roman"/>
          <w:color w:val="000000"/>
        </w:rPr>
        <w:t xml:space="preserve">L’identità così delineatasi di negatività assoluta e pensiero puro è pronta a ricevere un ulteriore approfondimento nelle successive sezioni della </w:t>
      </w:r>
      <w:r w:rsidRPr="00B345F9">
        <w:rPr>
          <w:rFonts w:ascii="Times New Roman" w:eastAsia="Times New Roman" w:hAnsi="Times New Roman" w:cs="Times New Roman"/>
          <w:i/>
          <w:color w:val="000000"/>
        </w:rPr>
        <w:t>Wesenslogik</w:t>
      </w:r>
      <w:r w:rsidRPr="00B345F9">
        <w:rPr>
          <w:rFonts w:ascii="Times New Roman" w:eastAsia="Times New Roman" w:hAnsi="Times New Roman" w:cs="Times New Roman"/>
          <w:color w:val="000000"/>
        </w:rPr>
        <w:t>. Nelle sezioni dedicate all’</w:t>
      </w:r>
      <w:r w:rsidRPr="00B345F9">
        <w:rPr>
          <w:rFonts w:ascii="Times New Roman" w:eastAsia="Times New Roman" w:hAnsi="Times New Roman" w:cs="Times New Roman"/>
          <w:i/>
          <w:color w:val="000000"/>
        </w:rPr>
        <w:t xml:space="preserve">Absolute </w:t>
      </w:r>
      <w:r w:rsidRPr="00B345F9">
        <w:rPr>
          <w:rFonts w:ascii="Times New Roman" w:eastAsia="Times New Roman" w:hAnsi="Times New Roman" w:cs="Times New Roman"/>
          <w:color w:val="000000"/>
        </w:rPr>
        <w:t xml:space="preserve">e alla </w:t>
      </w:r>
      <w:r w:rsidRPr="00B345F9">
        <w:rPr>
          <w:rFonts w:ascii="Times New Roman" w:eastAsia="Times New Roman" w:hAnsi="Times New Roman" w:cs="Times New Roman"/>
          <w:i/>
          <w:color w:val="000000"/>
        </w:rPr>
        <w:t>Wirklichkeit</w:t>
      </w:r>
      <w:r w:rsidRPr="00B345F9">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w:t>
      </w:r>
      <w:r w:rsidRPr="00FF10B8">
        <w:rPr>
          <w:rFonts w:ascii="Times New Roman" w:eastAsia="Times New Roman" w:hAnsi="Times New Roman" w:cs="Times New Roman"/>
          <w:color w:val="000000"/>
        </w:rPr>
        <w:t xml:space="preserve">Hegel </w:t>
      </w:r>
      <w:r>
        <w:rPr>
          <w:rFonts w:ascii="Times New Roman" w:eastAsia="Times New Roman" w:hAnsi="Times New Roman" w:cs="Times New Roman"/>
          <w:color w:val="000000"/>
        </w:rPr>
        <w:t>r</w:t>
      </w:r>
      <w:r w:rsidRPr="00FF10B8">
        <w:rPr>
          <w:rFonts w:ascii="Times New Roman" w:eastAsia="Times New Roman" w:hAnsi="Times New Roman" w:cs="Times New Roman"/>
          <w:color w:val="000000"/>
        </w:rPr>
        <w:t xml:space="preserve">eitererà, in </w:t>
      </w:r>
      <w:r>
        <w:rPr>
          <w:rFonts w:ascii="Times New Roman" w:eastAsia="Times New Roman" w:hAnsi="Times New Roman" w:cs="Times New Roman"/>
          <w:color w:val="000000"/>
        </w:rPr>
        <w:t xml:space="preserve">un </w:t>
      </w:r>
      <w:r w:rsidRPr="00FF10B8">
        <w:rPr>
          <w:rFonts w:ascii="Times New Roman" w:eastAsia="Times New Roman" w:hAnsi="Times New Roman" w:cs="Times New Roman"/>
          <w:color w:val="000000"/>
        </w:rPr>
        <w:t>momento superiore dello sviluppo dell’elemento logico, il superarsi dello spinozismo</w:t>
      </w:r>
      <w:r>
        <w:rPr>
          <w:rFonts w:ascii="Times New Roman" w:eastAsia="Times New Roman" w:hAnsi="Times New Roman" w:cs="Times New Roman"/>
          <w:color w:val="000000"/>
        </w:rPr>
        <w:t xml:space="preserve"> – e del suo principio </w:t>
      </w:r>
      <w:r w:rsidRPr="00FF10B8">
        <w:rPr>
          <w:rFonts w:ascii="Times New Roman" w:eastAsia="Times New Roman" w:hAnsi="Times New Roman" w:cs="Times New Roman"/>
          <w:i/>
          <w:color w:val="000000"/>
        </w:rPr>
        <w:t>determinatio est negatio</w:t>
      </w:r>
      <w:r>
        <w:rPr>
          <w:rFonts w:ascii="Times New Roman" w:eastAsia="Times New Roman" w:hAnsi="Times New Roman" w:cs="Times New Roman"/>
          <w:color w:val="000000"/>
        </w:rPr>
        <w:t xml:space="preserve"> – </w:t>
      </w:r>
      <w:r w:rsidRPr="00FF10B8">
        <w:rPr>
          <w:rFonts w:ascii="Times New Roman" w:eastAsia="Times New Roman" w:hAnsi="Times New Roman" w:cs="Times New Roman"/>
          <w:color w:val="000000"/>
        </w:rPr>
        <w:t>per opera d</w:t>
      </w:r>
      <w:r>
        <w:rPr>
          <w:rFonts w:ascii="Times New Roman" w:eastAsia="Times New Roman" w:hAnsi="Times New Roman" w:cs="Times New Roman"/>
          <w:color w:val="000000"/>
        </w:rPr>
        <w:t xml:space="preserve">i un pensiero – </w:t>
      </w:r>
      <w:r w:rsidRPr="00FF10B8">
        <w:rPr>
          <w:rFonts w:ascii="Times New Roman" w:eastAsia="Times New Roman" w:hAnsi="Times New Roman" w:cs="Times New Roman"/>
          <w:color w:val="000000"/>
        </w:rPr>
        <w:t xml:space="preserve">quello böhmiano </w:t>
      </w:r>
      <w:r>
        <w:rPr>
          <w:rFonts w:ascii="Times New Roman" w:eastAsia="Times New Roman" w:hAnsi="Times New Roman" w:cs="Times New Roman"/>
          <w:color w:val="000000"/>
        </w:rPr>
        <w:t xml:space="preserve">– </w:t>
      </w:r>
      <w:r w:rsidRPr="00FF10B8">
        <w:rPr>
          <w:rFonts w:ascii="Times New Roman" w:eastAsia="Times New Roman" w:hAnsi="Times New Roman" w:cs="Times New Roman"/>
          <w:color w:val="000000"/>
        </w:rPr>
        <w:t xml:space="preserve">che </w:t>
      </w:r>
      <w:r w:rsidRPr="0068663B">
        <w:rPr>
          <w:rFonts w:ascii="Times New Roman" w:eastAsia="Times New Roman" w:hAnsi="Times New Roman" w:cs="Times New Roman"/>
          <w:color w:val="000000"/>
        </w:rPr>
        <w:t>esibisce una teoria della negatività capace d’afferrare quella «</w:t>
      </w:r>
      <w:r w:rsidRPr="0068663B">
        <w:rPr>
          <w:rFonts w:ascii="Times New Roman" w:eastAsia="Times New Roman" w:hAnsi="Times New Roman" w:cs="Times New Roman"/>
          <w:color w:val="000000"/>
          <w:lang w:val="de-DE"/>
        </w:rPr>
        <w:t>wichtigste Erkenntnisse»</w:t>
      </w:r>
      <w:r w:rsidRPr="0068663B">
        <w:rPr>
          <w:rFonts w:ascii="Times New Roman" w:eastAsia="Times New Roman" w:hAnsi="Times New Roman" w:cs="Times New Roman"/>
          <w:color w:val="000000"/>
        </w:rPr>
        <w:t xml:space="preserve"> senza quale «</w:t>
      </w:r>
      <w:r w:rsidRPr="0068663B">
        <w:rPr>
          <w:rFonts w:ascii="Times New Roman" w:eastAsia="Times New Roman" w:hAnsi="Times New Roman" w:cs="Times New Roman"/>
          <w:color w:val="000000"/>
          <w:lang w:val="de-DE"/>
        </w:rPr>
        <w:t xml:space="preserve">kein Schritt in der Philosophie thun läßt». </w:t>
      </w:r>
      <w:r w:rsidRPr="0068663B">
        <w:rPr>
          <w:rFonts w:ascii="Times New Roman" w:eastAsia="Times New Roman" w:hAnsi="Times New Roman" w:cs="Times New Roman"/>
          <w:color w:val="000000"/>
        </w:rPr>
        <w:t>Compiuto questo passo speculativo, sarà possibile avverare, anche nelle trame del pensiero</w:t>
      </w:r>
      <w:r w:rsidR="0068663B" w:rsidRPr="0068663B">
        <w:rPr>
          <w:rFonts w:ascii="Times New Roman" w:eastAsia="Times New Roman" w:hAnsi="Times New Roman" w:cs="Times New Roman"/>
          <w:color w:val="000000"/>
        </w:rPr>
        <w:t xml:space="preserve"> puro</w:t>
      </w:r>
      <w:r w:rsidRPr="0068663B">
        <w:rPr>
          <w:rFonts w:ascii="Times New Roman" w:eastAsia="Times New Roman" w:hAnsi="Times New Roman" w:cs="Times New Roman"/>
          <w:color w:val="000000"/>
        </w:rPr>
        <w:t xml:space="preserve">, il proposito </w:t>
      </w:r>
      <w:r w:rsidRPr="0068663B">
        <w:rPr>
          <w:rFonts w:ascii="Times New Roman" w:eastAsia="Times New Roman" w:hAnsi="Times New Roman" w:cs="Times New Roman"/>
          <w:i/>
          <w:color w:val="000000"/>
        </w:rPr>
        <w:t>fenomenologico</w:t>
      </w:r>
      <w:r w:rsidRPr="0068663B">
        <w:rPr>
          <w:rFonts w:ascii="Times New Roman" w:eastAsia="Times New Roman" w:hAnsi="Times New Roman" w:cs="Times New Roman"/>
          <w:color w:val="000000"/>
        </w:rPr>
        <w:t xml:space="preserve"> di pensare la sostanza «</w:t>
      </w:r>
      <w:r w:rsidRPr="0068663B">
        <w:rPr>
          <w:rFonts w:ascii="Times New Roman" w:eastAsia="Times New Roman" w:hAnsi="Times New Roman" w:cs="Times New Roman"/>
          <w:color w:val="000000"/>
          <w:lang w:val="de-DE"/>
        </w:rPr>
        <w:t>eben so sehr als Subject»</w:t>
      </w:r>
      <w:r w:rsidRPr="0068663B">
        <w:rPr>
          <w:rFonts w:ascii="Times New Roman" w:eastAsia="Times New Roman" w:hAnsi="Times New Roman" w:cs="Times New Roman"/>
          <w:color w:val="000000"/>
        </w:rPr>
        <w:t>.</w:t>
      </w:r>
    </w:p>
    <w:p w14:paraId="440FE12B" w14:textId="77777777" w:rsidR="001B7751" w:rsidRPr="00C06BD2" w:rsidRDefault="001B7751" w:rsidP="001B7751">
      <w:pPr>
        <w:spacing w:line="360" w:lineRule="auto"/>
        <w:jc w:val="both"/>
        <w:rPr>
          <w:rFonts w:ascii="Times New Roman" w:eastAsia="Times New Roman" w:hAnsi="Times New Roman" w:cs="Times New Roman"/>
          <w:color w:val="000000"/>
        </w:rPr>
      </w:pPr>
    </w:p>
    <w:p w14:paraId="303DFCC6" w14:textId="0F3E357A" w:rsidR="001B7751" w:rsidRPr="007653F2" w:rsidRDefault="001B7751" w:rsidP="001B7751">
      <w:pPr>
        <w:pStyle w:val="Paragrafoelenco"/>
        <w:spacing w:line="360" w:lineRule="auto"/>
        <w:ind w:left="0"/>
        <w:jc w:val="both"/>
        <w:rPr>
          <w:rFonts w:ascii="Times New Roman" w:hAnsi="Times New Roman" w:cs="Times New Roman"/>
          <w:i/>
        </w:rPr>
      </w:pPr>
      <w:r>
        <w:rPr>
          <w:rFonts w:ascii="Times New Roman" w:hAnsi="Times New Roman" w:cs="Times New Roman"/>
          <w:i/>
        </w:rPr>
        <w:t>2.4</w:t>
      </w:r>
      <w:r w:rsidRPr="007653F2">
        <w:rPr>
          <w:rFonts w:ascii="Times New Roman" w:hAnsi="Times New Roman" w:cs="Times New Roman"/>
          <w:i/>
        </w:rPr>
        <w:t xml:space="preserve"> Fra</w:t>
      </w:r>
      <w:r>
        <w:rPr>
          <w:rFonts w:ascii="Times New Roman" w:hAnsi="Times New Roman" w:cs="Times New Roman"/>
          <w:i/>
        </w:rPr>
        <w:t xml:space="preserve"> </w:t>
      </w:r>
      <w:r w:rsidRPr="007653F2">
        <w:rPr>
          <w:rFonts w:ascii="Times New Roman" w:hAnsi="Times New Roman" w:cs="Times New Roman"/>
          <w:i/>
        </w:rPr>
        <w:t>tenebra e</w:t>
      </w:r>
      <w:r>
        <w:rPr>
          <w:rFonts w:ascii="Times New Roman" w:hAnsi="Times New Roman" w:cs="Times New Roman"/>
          <w:i/>
        </w:rPr>
        <w:t xml:space="preserve"> </w:t>
      </w:r>
      <w:r w:rsidR="003E126F">
        <w:rPr>
          <w:rFonts w:ascii="Times New Roman" w:hAnsi="Times New Roman" w:cs="Times New Roman"/>
          <w:i/>
        </w:rPr>
        <w:t xml:space="preserve">luce: </w:t>
      </w:r>
      <w:r w:rsidRPr="007653F2">
        <w:rPr>
          <w:rFonts w:ascii="Times New Roman" w:hAnsi="Times New Roman" w:cs="Times New Roman"/>
          <w:i/>
        </w:rPr>
        <w:t xml:space="preserve">Spinoza, Leibniz e Böhme </w:t>
      </w:r>
    </w:p>
    <w:p w14:paraId="5516FCB7" w14:textId="77777777" w:rsidR="001B7751" w:rsidRDefault="001B7751" w:rsidP="001B7751">
      <w:pPr>
        <w:pStyle w:val="Paragrafoelenco"/>
        <w:spacing w:line="360" w:lineRule="auto"/>
        <w:ind w:left="1416"/>
        <w:jc w:val="both"/>
        <w:rPr>
          <w:rFonts w:ascii="Times New Roman" w:eastAsia="Times New Roman" w:hAnsi="Times New Roman" w:cs="Times New Roman"/>
          <w:b/>
          <w:color w:val="000000"/>
        </w:rPr>
      </w:pPr>
    </w:p>
    <w:p w14:paraId="6DE9C894" w14:textId="679B2F60" w:rsidR="001B7751" w:rsidRDefault="001B7751" w:rsidP="001B7751">
      <w:pPr>
        <w:pStyle w:val="Paragrafoelenco"/>
        <w:spacing w:line="360" w:lineRule="auto"/>
        <w:ind w:left="0" w:firstLine="567"/>
        <w:jc w:val="both"/>
        <w:rPr>
          <w:rFonts w:ascii="Times New Roman" w:eastAsia="Times New Roman" w:hAnsi="Times New Roman" w:cs="Times New Roman"/>
          <w:color w:val="000000"/>
        </w:rPr>
      </w:pPr>
      <w:r w:rsidRPr="009D2C2F">
        <w:rPr>
          <w:rFonts w:ascii="Times New Roman" w:eastAsia="Times New Roman" w:hAnsi="Times New Roman" w:cs="Times New Roman"/>
          <w:color w:val="000000"/>
        </w:rPr>
        <w:t>Nel suo</w:t>
      </w:r>
      <w:r>
        <w:rPr>
          <w:rFonts w:ascii="Times New Roman" w:eastAsia="Times New Roman" w:hAnsi="Times New Roman" w:cs="Times New Roman"/>
          <w:color w:val="000000"/>
        </w:rPr>
        <w:t xml:space="preserve"> graduale arricchimento e</w:t>
      </w:r>
      <w:r w:rsidRPr="009D2C2F">
        <w:rPr>
          <w:rFonts w:ascii="Times New Roman" w:eastAsia="Times New Roman" w:hAnsi="Times New Roman" w:cs="Times New Roman"/>
          <w:color w:val="000000"/>
        </w:rPr>
        <w:t xml:space="preserve"> approfondimento, l’essenza, i</w:t>
      </w:r>
      <w:r>
        <w:rPr>
          <w:rFonts w:ascii="Times New Roman" w:eastAsia="Times New Roman" w:hAnsi="Times New Roman" w:cs="Times New Roman"/>
          <w:color w:val="000000"/>
        </w:rPr>
        <w:t xml:space="preserve">ntesa dapprima come identità, </w:t>
      </w:r>
      <w:r w:rsidRPr="009D2C2F">
        <w:rPr>
          <w:rFonts w:ascii="Times New Roman" w:eastAsia="Times New Roman" w:hAnsi="Times New Roman" w:cs="Times New Roman"/>
          <w:color w:val="000000"/>
        </w:rPr>
        <w:t>ha fornito una nuova definizione, o un nuovo paradigm</w:t>
      </w:r>
      <w:r>
        <w:rPr>
          <w:rFonts w:ascii="Times New Roman" w:eastAsia="Times New Roman" w:hAnsi="Times New Roman" w:cs="Times New Roman"/>
          <w:color w:val="000000"/>
        </w:rPr>
        <w:t>a, di negatività. Il positivo e</w:t>
      </w:r>
      <w:r w:rsidRPr="009D2C2F">
        <w:rPr>
          <w:rFonts w:ascii="Times New Roman" w:eastAsia="Times New Roman" w:hAnsi="Times New Roman" w:cs="Times New Roman"/>
          <w:color w:val="000000"/>
        </w:rPr>
        <w:t xml:space="preserve"> il negativo sono lo stesso: tutto è contraddittorio nella misura in cui la negazione è determinazione di ciò che è positivo, ossia radice del suo sviluppo. Questa nozione di negatività, senza la quale la filosofia non potrebbe fare alcun passo in avanti, rappresenta una meta-struttura dell’intera logica dell’essenza e, se si vuole, dell’intero sistema hegeliano. All’andare a fondo di ciò che è in sé contraddittorio nel </w:t>
      </w:r>
      <w:r w:rsidRPr="009D2C2F">
        <w:rPr>
          <w:rFonts w:ascii="Times New Roman" w:eastAsia="Times New Roman" w:hAnsi="Times New Roman" w:cs="Times New Roman"/>
          <w:i/>
          <w:color w:val="000000"/>
        </w:rPr>
        <w:t xml:space="preserve">Grund, </w:t>
      </w:r>
      <w:r w:rsidRPr="009D2C2F">
        <w:rPr>
          <w:rFonts w:ascii="Times New Roman" w:eastAsia="Times New Roman" w:hAnsi="Times New Roman" w:cs="Times New Roman"/>
          <w:color w:val="000000"/>
        </w:rPr>
        <w:t>ad esempio, non corrisponde uno sprofondamento del paradigma di negatività testé analizzato. Nel fondamento, così come nelle successive</w:t>
      </w:r>
      <w:r w:rsidR="00F31A55">
        <w:rPr>
          <w:rFonts w:ascii="Times New Roman" w:eastAsia="Times New Roman" w:hAnsi="Times New Roman" w:cs="Times New Roman"/>
          <w:i/>
          <w:color w:val="000000"/>
        </w:rPr>
        <w:t xml:space="preserve"> </w:t>
      </w:r>
      <w:r w:rsidR="00F31A55">
        <w:rPr>
          <w:rFonts w:ascii="Times New Roman" w:eastAsia="Times New Roman" w:hAnsi="Times New Roman" w:cs="Times New Roman"/>
          <w:color w:val="000000"/>
        </w:rPr>
        <w:t xml:space="preserve">determinazioni della </w:t>
      </w:r>
      <w:r w:rsidR="00F31A55" w:rsidRPr="00F31A55">
        <w:rPr>
          <w:rFonts w:ascii="Times New Roman" w:eastAsia="Times New Roman" w:hAnsi="Times New Roman" w:cs="Times New Roman"/>
          <w:i/>
          <w:color w:val="000000"/>
        </w:rPr>
        <w:t>Wesenslogik</w:t>
      </w:r>
      <w:r w:rsidRPr="009D2C2F">
        <w:rPr>
          <w:rFonts w:ascii="Times New Roman" w:eastAsia="Times New Roman" w:hAnsi="Times New Roman" w:cs="Times New Roman"/>
          <w:color w:val="000000"/>
        </w:rPr>
        <w:t xml:space="preserve">, si assiste, in verità, alla formulazione implicita di una serie di domande che vertono sullo statuo </w:t>
      </w:r>
      <w:r>
        <w:rPr>
          <w:rFonts w:ascii="Times New Roman" w:eastAsia="Times New Roman" w:hAnsi="Times New Roman" w:cs="Times New Roman"/>
          <w:color w:val="000000"/>
        </w:rPr>
        <w:t>onto</w:t>
      </w:r>
      <w:r w:rsidRPr="009D2C2F">
        <w:rPr>
          <w:rFonts w:ascii="Times New Roman" w:eastAsia="Times New Roman" w:hAnsi="Times New Roman" w:cs="Times New Roman"/>
          <w:color w:val="000000"/>
        </w:rPr>
        <w:t>logico della mediazione.</w:t>
      </w:r>
      <w:r>
        <w:rPr>
          <w:rFonts w:ascii="Times New Roman" w:eastAsia="Times New Roman" w:hAnsi="Times New Roman" w:cs="Times New Roman"/>
          <w:color w:val="000000"/>
        </w:rPr>
        <w:t xml:space="preserve"> </w:t>
      </w:r>
      <w:r w:rsidRPr="004A695D">
        <w:rPr>
          <w:rFonts w:ascii="Times New Roman" w:eastAsia="Times New Roman" w:hAnsi="Times New Roman" w:cs="Times New Roman"/>
          <w:color w:val="000000"/>
        </w:rPr>
        <w:t>Che cosa è immediato e che cosa è mediato? Che cosa fonda e che cosa è fondato? Che cosa è vero e che cosa è apparente?</w:t>
      </w:r>
      <w:r>
        <w:rPr>
          <w:rFonts w:ascii="Times New Roman" w:eastAsia="Times New Roman" w:hAnsi="Times New Roman" w:cs="Times New Roman"/>
          <w:color w:val="000000"/>
        </w:rPr>
        <w:t xml:space="preserve"> Tutte queste domande</w:t>
      </w:r>
      <w:r w:rsidR="00F31A55">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 xml:space="preserve">altro non sono che una </w:t>
      </w:r>
      <w:r w:rsidR="003C1620">
        <w:rPr>
          <w:rFonts w:ascii="Times New Roman" w:eastAsia="Times New Roman" w:hAnsi="Times New Roman" w:cs="Times New Roman"/>
          <w:color w:val="000000"/>
        </w:rPr>
        <w:t xml:space="preserve">riproposizione problematica </w:t>
      </w:r>
      <w:r w:rsidRPr="00222EAD">
        <w:rPr>
          <w:rFonts w:ascii="Times New Roman" w:eastAsia="Times New Roman" w:hAnsi="Times New Roman" w:cs="Times New Roman"/>
          <w:color w:val="000000"/>
        </w:rPr>
        <w:t xml:space="preserve">di quanto Hegel andrà osservando nella seconda edizione della </w:t>
      </w:r>
      <w:r w:rsidRPr="00222EAD">
        <w:rPr>
          <w:rFonts w:ascii="Times New Roman" w:eastAsia="Times New Roman" w:hAnsi="Times New Roman" w:cs="Times New Roman"/>
          <w:i/>
          <w:color w:val="000000"/>
          <w:lang w:val="de-DE"/>
        </w:rPr>
        <w:t>Logik des Seyns</w:t>
      </w:r>
      <w:r w:rsidRPr="00222EAD">
        <w:rPr>
          <w:rFonts w:ascii="Times New Roman" w:eastAsia="Times New Roman" w:hAnsi="Times New Roman" w:cs="Times New Roman"/>
          <w:color w:val="000000"/>
        </w:rPr>
        <w:t>: «</w:t>
      </w:r>
      <w:r w:rsidRPr="00222EAD">
        <w:rPr>
          <w:rFonts w:ascii="Times New Roman" w:eastAsia="Times New Roman" w:hAnsi="Times New Roman" w:cs="Times New Roman"/>
          <w:color w:val="000000"/>
          <w:lang w:val="de-DE"/>
        </w:rPr>
        <w:t>daß es Nichts gibt, nichts im Himmel oder in der Natur oder im Geiste oder wo es sey, was nicht ebenso die Unmittelbarkeit enthält, als die Vermittlung, so daß sich diese beyden Bestimmungen als ungetrennt und untrennbar und jener Gegensatz als ein Nichtiges zeigt»</w:t>
      </w:r>
      <w:r w:rsidRPr="00222EAD">
        <w:rPr>
          <w:rStyle w:val="Rimandonotaapidipagina"/>
          <w:rFonts w:ascii="Times New Roman" w:eastAsia="Times New Roman" w:hAnsi="Times New Roman" w:cs="Times New Roman"/>
          <w:color w:val="000000"/>
          <w:lang w:val="de-DE"/>
        </w:rPr>
        <w:footnoteReference w:id="413"/>
      </w:r>
      <w:r w:rsidRPr="00222EAD">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Non vi è nulla, in cielo o in terra, nella natura o nello spirito, che </w:t>
      </w:r>
      <w:r w:rsidR="00D60AC7">
        <w:rPr>
          <w:rFonts w:ascii="Times New Roman" w:eastAsia="Times New Roman" w:hAnsi="Times New Roman" w:cs="Times New Roman"/>
          <w:color w:val="000000"/>
        </w:rPr>
        <w:t>non sia ad un tempo immediato e</w:t>
      </w:r>
      <w:r>
        <w:rPr>
          <w:rFonts w:ascii="Times New Roman" w:eastAsia="Times New Roman" w:hAnsi="Times New Roman" w:cs="Times New Roman"/>
          <w:color w:val="000000"/>
        </w:rPr>
        <w:t xml:space="preserve"> mediato. Coloro che s’arrestano a quest’opposizione non possono compiere quel passo filosofico che permette d’afferrare il compenetrarsi e l’essere uno di positivo e negativo. Tolta la contrapposizione fra immediatezza e mediazione, ed esibita, con ciò, la natura intrinsecamente contradditoria del pensare, segue, nella </w:t>
      </w:r>
      <w:r w:rsidRPr="00A6212A">
        <w:rPr>
          <w:rFonts w:ascii="Times New Roman" w:eastAsia="Times New Roman" w:hAnsi="Times New Roman" w:cs="Times New Roman"/>
          <w:i/>
          <w:color w:val="000000"/>
        </w:rPr>
        <w:t>Wesenslogik</w:t>
      </w:r>
      <w:r>
        <w:rPr>
          <w:rFonts w:ascii="Times New Roman" w:eastAsia="Times New Roman" w:hAnsi="Times New Roman" w:cs="Times New Roman"/>
          <w:color w:val="000000"/>
        </w:rPr>
        <w:t xml:space="preserve">, un ripristinarsi dell’identità nella sezione dedicata alla </w:t>
      </w:r>
      <w:r w:rsidRPr="001F6D05">
        <w:rPr>
          <w:rFonts w:ascii="Times New Roman" w:eastAsia="Times New Roman" w:hAnsi="Times New Roman" w:cs="Times New Roman"/>
          <w:i/>
          <w:color w:val="000000"/>
        </w:rPr>
        <w:t>Wirklichkeit</w:t>
      </w:r>
      <w:r>
        <w:rPr>
          <w:rStyle w:val="Rimandonotaapidipagina"/>
          <w:rFonts w:ascii="Times New Roman" w:eastAsia="Times New Roman" w:hAnsi="Times New Roman" w:cs="Times New Roman"/>
          <w:i/>
          <w:color w:val="000000"/>
        </w:rPr>
        <w:footnoteReference w:id="414"/>
      </w:r>
      <w:r>
        <w:rPr>
          <w:rFonts w:ascii="Times New Roman" w:eastAsia="Times New Roman" w:hAnsi="Times New Roman" w:cs="Times New Roman"/>
          <w:color w:val="000000"/>
        </w:rPr>
        <w:t xml:space="preserve">. </w:t>
      </w:r>
    </w:p>
    <w:p w14:paraId="3CC0B646" w14:textId="77777777" w:rsidR="001B7751" w:rsidRPr="00DD662E" w:rsidRDefault="001B7751" w:rsidP="001B7751">
      <w:pPr>
        <w:pStyle w:val="Paragrafoelenco"/>
        <w:spacing w:line="360" w:lineRule="auto"/>
        <w:ind w:left="0" w:firstLine="567"/>
        <w:jc w:val="both"/>
        <w:rPr>
          <w:rFonts w:ascii="Times New Roman" w:eastAsia="Times New Roman" w:hAnsi="Times New Roman" w:cs="Times New Roman"/>
          <w:color w:val="000000"/>
        </w:rPr>
      </w:pPr>
      <w:r w:rsidRPr="00222EAD">
        <w:rPr>
          <w:rFonts w:ascii="Times New Roman" w:eastAsia="Times New Roman" w:hAnsi="Times New Roman" w:cs="Times New Roman"/>
          <w:color w:val="000000"/>
        </w:rPr>
        <w:t>In quanto assoluta, l’effettualità (</w:t>
      </w:r>
      <w:r w:rsidRPr="00222EAD">
        <w:rPr>
          <w:rFonts w:ascii="Times New Roman" w:eastAsia="Times New Roman" w:hAnsi="Times New Roman" w:cs="Times New Roman"/>
          <w:i/>
          <w:color w:val="000000"/>
        </w:rPr>
        <w:t>Wirklichkeit</w:t>
      </w:r>
      <w:r w:rsidRPr="00222EAD">
        <w:rPr>
          <w:rFonts w:ascii="Times New Roman" w:eastAsia="Times New Roman" w:hAnsi="Times New Roman" w:cs="Times New Roman"/>
          <w:color w:val="000000"/>
        </w:rPr>
        <w:t>) altro non è che «</w:t>
      </w:r>
      <w:r w:rsidRPr="00222EAD">
        <w:rPr>
          <w:rFonts w:ascii="Times New Roman" w:eastAsia="Times New Roman" w:hAnsi="Times New Roman" w:cs="Times New Roman"/>
          <w:color w:val="000000"/>
          <w:lang w:val="de-DE"/>
        </w:rPr>
        <w:t>die Einheit des Wesens und der Existenz […] diese Einheit des Inneren und Aeussern ist die absolute Wirklichkeit</w:t>
      </w:r>
      <w:r w:rsidRPr="00222EAD">
        <w:rPr>
          <w:rFonts w:ascii="Times New Roman" w:eastAsia="Times New Roman" w:hAnsi="Times New Roman" w:cs="Times New Roman"/>
          <w:color w:val="000000"/>
          <w:sz w:val="20"/>
          <w:szCs w:val="20"/>
          <w:lang w:val="de-DE"/>
        </w:rPr>
        <w:t>»</w:t>
      </w:r>
      <w:r w:rsidRPr="00222EAD">
        <w:rPr>
          <w:rStyle w:val="Rimandonotaapidipagina"/>
          <w:rFonts w:ascii="Times New Roman" w:eastAsia="Times New Roman" w:hAnsi="Times New Roman" w:cs="Times New Roman"/>
          <w:color w:val="000000"/>
        </w:rPr>
        <w:footnoteReference w:id="415"/>
      </w:r>
      <w:r w:rsidRPr="00222EAD">
        <w:rPr>
          <w:rFonts w:ascii="Times New Roman" w:eastAsia="Times New Roman" w:hAnsi="Times New Roman" w:cs="Times New Roman"/>
          <w:color w:val="000000"/>
          <w:lang w:val="de-DE"/>
        </w:rPr>
        <w:t xml:space="preserve">. </w:t>
      </w:r>
      <w:r w:rsidRPr="00222EAD">
        <w:rPr>
          <w:rFonts w:ascii="Times New Roman" w:eastAsia="Times New Roman" w:hAnsi="Times New Roman" w:cs="Times New Roman"/>
          <w:color w:val="000000"/>
        </w:rPr>
        <w:t>Essenza ed esistenza, interiore ed esteriore sono posti nell’effettualità assoluta, che si delinea, da principio almeno</w:t>
      </w:r>
      <w:r>
        <w:rPr>
          <w:rFonts w:ascii="Times New Roman" w:eastAsia="Times New Roman" w:hAnsi="Times New Roman" w:cs="Times New Roman"/>
          <w:color w:val="000000"/>
        </w:rPr>
        <w:t xml:space="preserve">, come il togliersi dell’opposizione fra un positivo, inteso </w:t>
      </w:r>
      <w:r w:rsidRPr="007F6819">
        <w:rPr>
          <w:rFonts w:ascii="Times New Roman" w:eastAsia="Times New Roman" w:hAnsi="Times New Roman" w:cs="Times New Roman"/>
          <w:color w:val="000000"/>
        </w:rPr>
        <w:t>come un immediato essenziale</w:t>
      </w:r>
      <w:r>
        <w:rPr>
          <w:rFonts w:ascii="Times New Roman" w:eastAsia="Times New Roman" w:hAnsi="Times New Roman" w:cs="Times New Roman"/>
          <w:color w:val="000000"/>
        </w:rPr>
        <w:t>, e</w:t>
      </w:r>
      <w:r w:rsidRPr="007F6819">
        <w:rPr>
          <w:rFonts w:ascii="Times New Roman" w:eastAsia="Times New Roman" w:hAnsi="Times New Roman" w:cs="Times New Roman"/>
          <w:color w:val="000000"/>
        </w:rPr>
        <w:t xml:space="preserve"> un negativo, colto come un mediato inessenziale.</w:t>
      </w:r>
      <w:r>
        <w:rPr>
          <w:rFonts w:ascii="Times New Roman" w:eastAsia="Times New Roman" w:hAnsi="Times New Roman" w:cs="Times New Roman"/>
          <w:color w:val="000000"/>
        </w:rPr>
        <w:t xml:space="preserve"> </w:t>
      </w:r>
      <w:r w:rsidRPr="00222EAD">
        <w:rPr>
          <w:rFonts w:ascii="Times New Roman" w:eastAsia="Times New Roman" w:hAnsi="Times New Roman" w:cs="Times New Roman"/>
          <w:color w:val="000000"/>
        </w:rPr>
        <w:t xml:space="preserve">La risoluzione dell’opposizione e l’essere uno di ciò che è opposto costituiscono quel sostrato logico da cui emerge la </w:t>
      </w:r>
      <w:r w:rsidRPr="00222EAD">
        <w:rPr>
          <w:rFonts w:ascii="Times New Roman" w:eastAsia="Times New Roman" w:hAnsi="Times New Roman" w:cs="Times New Roman"/>
          <w:i/>
          <w:color w:val="000000"/>
          <w:lang w:val="de-DE"/>
        </w:rPr>
        <w:t>Wirklichkeit</w:t>
      </w:r>
      <w:r w:rsidRPr="00222EAD">
        <w:rPr>
          <w:rFonts w:ascii="Times New Roman" w:eastAsia="Times New Roman" w:hAnsi="Times New Roman" w:cs="Times New Roman"/>
          <w:color w:val="000000"/>
          <w:lang w:val="de-DE"/>
        </w:rPr>
        <w:t xml:space="preserve"> </w:t>
      </w:r>
      <w:r w:rsidRPr="00222EAD">
        <w:rPr>
          <w:rFonts w:ascii="Times New Roman" w:eastAsia="Times New Roman" w:hAnsi="Times New Roman" w:cs="Times New Roman"/>
          <w:color w:val="000000"/>
        </w:rPr>
        <w:t xml:space="preserve">come </w:t>
      </w:r>
      <w:r w:rsidRPr="00222EAD">
        <w:rPr>
          <w:rFonts w:ascii="Times New Roman" w:eastAsia="Times New Roman" w:hAnsi="Times New Roman" w:cs="Times New Roman"/>
          <w:i/>
          <w:color w:val="000000"/>
          <w:lang w:val="de-DE"/>
        </w:rPr>
        <w:t>das Absolute</w:t>
      </w:r>
      <w:r w:rsidRPr="00222EAD">
        <w:rPr>
          <w:rFonts w:ascii="Times New Roman" w:eastAsia="Times New Roman" w:hAnsi="Times New Roman" w:cs="Times New Roman"/>
          <w:color w:val="000000"/>
        </w:rPr>
        <w:t>. L’andare a fondo – o il risolversi – di ciò che è contraddittorio nell’identità assoluta potrebbe far pensare ad un riattualizzarsi di quella medesima negatività per cui «</w:t>
      </w:r>
      <w:r w:rsidRPr="00222EAD">
        <w:rPr>
          <w:rFonts w:ascii="Times New Roman" w:eastAsia="Times New Roman" w:hAnsi="Times New Roman" w:cs="Times New Roman"/>
          <w:color w:val="000000"/>
          <w:lang w:val="de-DE"/>
        </w:rPr>
        <w:t>das Positive an sich selbst die Negativität ist</w:t>
      </w:r>
      <w:r w:rsidRPr="00222EAD">
        <w:rPr>
          <w:rFonts w:ascii="Times New Roman" w:eastAsia="Times New Roman" w:hAnsi="Times New Roman" w:cs="Times New Roman"/>
          <w:color w:val="000000"/>
          <w:sz w:val="20"/>
          <w:szCs w:val="20"/>
          <w:lang w:val="de-DE"/>
        </w:rPr>
        <w:t>»</w:t>
      </w:r>
      <w:r w:rsidRPr="00222EAD">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A</w:t>
      </w:r>
      <w:r w:rsidRPr="007F6819">
        <w:rPr>
          <w:rFonts w:ascii="Times New Roman" w:eastAsia="Times New Roman" w:hAnsi="Times New Roman" w:cs="Times New Roman"/>
          <w:color w:val="000000"/>
        </w:rPr>
        <w:t xml:space="preserve">l principio della </w:t>
      </w:r>
      <w:r w:rsidRPr="007F6819">
        <w:rPr>
          <w:rFonts w:ascii="Times New Roman" w:eastAsia="Times New Roman" w:hAnsi="Times New Roman" w:cs="Times New Roman"/>
          <w:i/>
          <w:color w:val="000000"/>
          <w:lang w:val="de-DE"/>
        </w:rPr>
        <w:t>Wirklichkeit</w:t>
      </w:r>
      <w:r>
        <w:rPr>
          <w:rFonts w:ascii="Times New Roman" w:eastAsia="Times New Roman" w:hAnsi="Times New Roman" w:cs="Times New Roman"/>
          <w:color w:val="000000"/>
        </w:rPr>
        <w:t>, i</w:t>
      </w:r>
      <w:r w:rsidRPr="007F6819">
        <w:rPr>
          <w:rFonts w:ascii="Times New Roman" w:eastAsia="Times New Roman" w:hAnsi="Times New Roman" w:cs="Times New Roman"/>
          <w:color w:val="000000"/>
        </w:rPr>
        <w:t>n verità, viene meno l’esposizione dell’</w:t>
      </w:r>
      <w:r>
        <w:rPr>
          <w:rFonts w:ascii="Times New Roman" w:eastAsia="Times New Roman" w:hAnsi="Times New Roman" w:cs="Times New Roman"/>
          <w:color w:val="000000"/>
        </w:rPr>
        <w:t>Assoluto</w:t>
      </w:r>
      <w:r w:rsidRPr="007F6819">
        <w:rPr>
          <w:rFonts w:ascii="Times New Roman" w:eastAsia="Times New Roman" w:hAnsi="Times New Roman" w:cs="Times New Roman"/>
          <w:color w:val="000000"/>
        </w:rPr>
        <w:t xml:space="preserve"> a partire dal riferimento </w:t>
      </w:r>
      <w:r w:rsidRPr="007F6819">
        <w:rPr>
          <w:rFonts w:ascii="Times New Roman" w:eastAsia="Times New Roman" w:hAnsi="Times New Roman" w:cs="Times New Roman"/>
          <w:i/>
          <w:color w:val="000000"/>
        </w:rPr>
        <w:t>negativo</w:t>
      </w:r>
      <w:r w:rsidRPr="007F6819">
        <w:rPr>
          <w:rFonts w:ascii="Times New Roman" w:eastAsia="Times New Roman" w:hAnsi="Times New Roman" w:cs="Times New Roman"/>
          <w:color w:val="000000"/>
        </w:rPr>
        <w:t xml:space="preserve"> a sé. In questa sede, non si dipana ancora una riflessione interna all’Assoluto, un suo </w:t>
      </w:r>
      <w:r>
        <w:rPr>
          <w:rFonts w:ascii="Times New Roman" w:eastAsia="Times New Roman" w:hAnsi="Times New Roman" w:cs="Times New Roman"/>
          <w:color w:val="000000"/>
        </w:rPr>
        <w:t>mediarsi di sé con sé, ma, c</w:t>
      </w:r>
      <w:r w:rsidRPr="007F6819">
        <w:rPr>
          <w:rFonts w:ascii="Times New Roman" w:eastAsia="Times New Roman" w:hAnsi="Times New Roman" w:cs="Times New Roman"/>
          <w:color w:val="000000"/>
        </w:rPr>
        <w:t>ome nota</w:t>
      </w:r>
      <w:r w:rsidRPr="00DD662E">
        <w:rPr>
          <w:rFonts w:ascii="Times New Roman" w:eastAsia="Times New Roman" w:hAnsi="Times New Roman" w:cs="Times New Roman"/>
          <w:color w:val="000000"/>
        </w:rPr>
        <w:t xml:space="preserve"> Hegel</w:t>
      </w:r>
      <w:r>
        <w:rPr>
          <w:rFonts w:ascii="Times New Roman" w:eastAsia="Times New Roman" w:hAnsi="Times New Roman" w:cs="Times New Roman"/>
          <w:color w:val="000000"/>
        </w:rPr>
        <w:t>,</w:t>
      </w:r>
      <w:r w:rsidRPr="00DD662E">
        <w:rPr>
          <w:rFonts w:ascii="Times New Roman" w:eastAsia="Times New Roman" w:hAnsi="Times New Roman" w:cs="Times New Roman"/>
          <w:color w:val="000000"/>
        </w:rPr>
        <w:t xml:space="preserve"> «</w:t>
      </w:r>
      <w:r w:rsidRPr="00485DAF">
        <w:rPr>
          <w:rFonts w:ascii="Times New Roman" w:eastAsia="Times New Roman" w:hAnsi="Times New Roman" w:cs="Times New Roman"/>
          <w:color w:val="000000"/>
          <w:lang w:val="de-DE"/>
        </w:rPr>
        <w:t>die Reflexion verhält sich gegen diß Absolute als äusserliche</w:t>
      </w:r>
      <w:r w:rsidRPr="00485DAF">
        <w:rPr>
          <w:rFonts w:ascii="Times New Roman" w:eastAsia="Times New Roman" w:hAnsi="Times New Roman" w:cs="Times New Roman"/>
          <w:color w:val="000000"/>
          <w:sz w:val="20"/>
          <w:szCs w:val="20"/>
          <w:lang w:val="de-DE"/>
        </w:rPr>
        <w:t>»</w:t>
      </w:r>
      <w:r w:rsidRPr="00485DAF">
        <w:rPr>
          <w:rStyle w:val="Rimandonotaapidipagina"/>
          <w:rFonts w:ascii="Times New Roman" w:eastAsia="Times New Roman" w:hAnsi="Times New Roman" w:cs="Times New Roman"/>
          <w:color w:val="000000"/>
          <w:lang w:val="de-DE"/>
        </w:rPr>
        <w:footnoteReference w:id="416"/>
      </w:r>
      <w:r w:rsidRPr="00485DAF">
        <w:rPr>
          <w:rFonts w:ascii="Times New Roman" w:eastAsia="Times New Roman" w:hAnsi="Times New Roman" w:cs="Times New Roman"/>
          <w:color w:val="000000"/>
          <w:sz w:val="20"/>
          <w:szCs w:val="20"/>
          <w:lang w:val="de-DE"/>
        </w:rPr>
        <w:t>.</w:t>
      </w:r>
      <w:r w:rsidRPr="00DD662E">
        <w:rPr>
          <w:rFonts w:ascii="Times New Roman" w:eastAsia="Times New Roman" w:hAnsi="Times New Roman" w:cs="Times New Roman"/>
          <w:color w:val="000000"/>
        </w:rPr>
        <w:t xml:space="preserve"> Nel suo essere oggetto della </w:t>
      </w:r>
      <w:r w:rsidRPr="00DD662E">
        <w:rPr>
          <w:rFonts w:ascii="Times New Roman" w:eastAsia="Times New Roman" w:hAnsi="Times New Roman" w:cs="Times New Roman"/>
          <w:i/>
          <w:color w:val="000000"/>
          <w:lang w:val="de-DE"/>
        </w:rPr>
        <w:t>äußerliche Reflexion</w:t>
      </w:r>
      <w:r w:rsidRPr="00DD662E">
        <w:rPr>
          <w:rFonts w:ascii="Times New Roman" w:eastAsia="Times New Roman" w:hAnsi="Times New Roman" w:cs="Times New Roman"/>
          <w:color w:val="000000"/>
        </w:rPr>
        <w:t xml:space="preserve">, l’Assoluto deve assolvere la funzione d’essere irriducibile a qualsivoglia predicato e d’essere la totalità dei medesimi. Questo esser-mostrato, non inerente al contenuto assoluto, è ciò che Hegel chiama la </w:t>
      </w:r>
      <w:r w:rsidRPr="00485DAF">
        <w:rPr>
          <w:rFonts w:ascii="Times New Roman" w:eastAsia="Times New Roman" w:hAnsi="Times New Roman" w:cs="Times New Roman"/>
          <w:color w:val="000000"/>
        </w:rPr>
        <w:t>«</w:t>
      </w:r>
      <w:r w:rsidRPr="00485DAF">
        <w:rPr>
          <w:rFonts w:ascii="Times New Roman" w:eastAsia="Times New Roman" w:hAnsi="Times New Roman" w:cs="Times New Roman"/>
          <w:color w:val="000000"/>
          <w:lang w:val="de-DE"/>
        </w:rPr>
        <w:t>formelle und unsystematische Dialektik</w:t>
      </w:r>
      <w:r w:rsidRPr="00485DAF">
        <w:rPr>
          <w:rFonts w:ascii="Times New Roman" w:eastAsia="Times New Roman" w:hAnsi="Times New Roman" w:cs="Times New Roman"/>
          <w:color w:val="000000"/>
          <w:sz w:val="20"/>
          <w:szCs w:val="20"/>
          <w:lang w:val="de-DE"/>
        </w:rPr>
        <w:t>»</w:t>
      </w:r>
      <w:r w:rsidRPr="00485DAF">
        <w:rPr>
          <w:rStyle w:val="Rimandonotaapidipagina"/>
          <w:rFonts w:ascii="Times New Roman" w:eastAsia="Times New Roman" w:hAnsi="Times New Roman" w:cs="Times New Roman"/>
          <w:color w:val="000000"/>
          <w:lang w:val="de-DE"/>
        </w:rPr>
        <w:footnoteReference w:id="417"/>
      </w:r>
      <w:r w:rsidRPr="00485DAF">
        <w:rPr>
          <w:rFonts w:ascii="Times New Roman" w:eastAsia="Times New Roman" w:hAnsi="Times New Roman" w:cs="Times New Roman"/>
          <w:color w:val="000000"/>
          <w:lang w:val="de-DE"/>
        </w:rPr>
        <w:t>,</w:t>
      </w:r>
      <w:r w:rsidRPr="00DD662E">
        <w:rPr>
          <w:rFonts w:ascii="Times New Roman" w:eastAsia="Times New Roman" w:hAnsi="Times New Roman" w:cs="Times New Roman"/>
          <w:color w:val="000000"/>
          <w:lang w:val="de-DE"/>
        </w:rPr>
        <w:t xml:space="preserve"> </w:t>
      </w:r>
      <w:r w:rsidRPr="00960AEC">
        <w:rPr>
          <w:rFonts w:ascii="Times New Roman" w:eastAsia="Times New Roman" w:hAnsi="Times New Roman" w:cs="Times New Roman"/>
          <w:color w:val="000000"/>
        </w:rPr>
        <w:t>che oscilla, irrisoluta, fra la necessità di definire l’Assoluto come indeterminato e come totalità delle proprie determinazioni.</w:t>
      </w:r>
      <w:r w:rsidRPr="00DD662E">
        <w:rPr>
          <w:rFonts w:ascii="Times New Roman" w:eastAsia="Times New Roman" w:hAnsi="Times New Roman" w:cs="Times New Roman"/>
          <w:color w:val="000000"/>
        </w:rPr>
        <w:t xml:space="preserve"> </w:t>
      </w:r>
      <w:r w:rsidRPr="00960AEC">
        <w:rPr>
          <w:rFonts w:ascii="Times New Roman" w:eastAsia="Times New Roman" w:hAnsi="Times New Roman" w:cs="Times New Roman"/>
          <w:color w:val="000000"/>
        </w:rPr>
        <w:t>Il mantenersi della riflessione al di fuori dell’Assoluto è ciò che ne inficia la dialettica interna</w:t>
      </w:r>
      <w:r w:rsidRPr="00DD662E">
        <w:rPr>
          <w:rFonts w:ascii="Times New Roman" w:eastAsia="Times New Roman" w:hAnsi="Times New Roman" w:cs="Times New Roman"/>
          <w:color w:val="000000"/>
        </w:rPr>
        <w:t xml:space="preserve">. L’Assoluto, infatti, non deve essere esposto, ma deve esporsi, dando il via ad un processo interno, non più esterno, di riflessione. Il mediarsi di sé con sé, il mostrarsi del positivo come permeato da un’intrinseca negatività, è ciò che determina la cosiddetta </w:t>
      </w:r>
      <w:r w:rsidRPr="00485DAF">
        <w:rPr>
          <w:rFonts w:ascii="Times New Roman" w:eastAsia="Times New Roman" w:hAnsi="Times New Roman" w:cs="Times New Roman"/>
          <w:color w:val="000000"/>
        </w:rPr>
        <w:t>«Auslegung des Absoluten</w:t>
      </w:r>
      <w:r w:rsidRPr="00485DAF">
        <w:rPr>
          <w:rFonts w:ascii="Times New Roman" w:eastAsia="Times New Roman" w:hAnsi="Times New Roman" w:cs="Times New Roman"/>
          <w:color w:val="000000"/>
          <w:sz w:val="20"/>
          <w:szCs w:val="20"/>
          <w:lang w:val="de-DE"/>
        </w:rPr>
        <w:t>»</w:t>
      </w:r>
      <w:r w:rsidRPr="00485DAF">
        <w:rPr>
          <w:rStyle w:val="Rimandonotaapidipagina"/>
          <w:rFonts w:ascii="Times New Roman" w:eastAsia="Times New Roman" w:hAnsi="Times New Roman" w:cs="Times New Roman"/>
          <w:color w:val="000000"/>
        </w:rPr>
        <w:footnoteReference w:id="418"/>
      </w:r>
      <w:r w:rsidRPr="00485DAF">
        <w:rPr>
          <w:rFonts w:ascii="Times New Roman" w:eastAsia="Times New Roman" w:hAnsi="Times New Roman" w:cs="Times New Roman"/>
          <w:color w:val="000000"/>
        </w:rPr>
        <w:t>.</w:t>
      </w:r>
      <w:r w:rsidRPr="00DD662E">
        <w:rPr>
          <w:rFonts w:ascii="Times New Roman" w:eastAsia="Times New Roman" w:hAnsi="Times New Roman" w:cs="Times New Roman"/>
          <w:color w:val="000000"/>
        </w:rPr>
        <w:t xml:space="preserve"> </w:t>
      </w:r>
      <w:r w:rsidRPr="00960AEC">
        <w:rPr>
          <w:rFonts w:ascii="Times New Roman" w:eastAsia="Times New Roman" w:hAnsi="Times New Roman" w:cs="Times New Roman"/>
          <w:color w:val="000000"/>
        </w:rPr>
        <w:t>Quest’esposizione dell’Assoluto, che supera l’esteriorità della riflessione, restituendo, così, il mostrarsi della cosa stessa, lungi dall’essere una dinamica lineare di trasposizione di sé nell’altro da sé, è un processo che va incontro ad una serie di arresti, dei quali cercherò, adesso, d’indicare le ragioni precipue.</w:t>
      </w:r>
    </w:p>
    <w:p w14:paraId="481D7378" w14:textId="77777777" w:rsidR="001B7751" w:rsidRDefault="001B7751" w:rsidP="001B7751">
      <w:pPr>
        <w:pStyle w:val="Paragrafoelenco"/>
        <w:spacing w:line="360" w:lineRule="auto"/>
        <w:ind w:left="0" w:firstLine="567"/>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r w:rsidRPr="00222EAD">
        <w:rPr>
          <w:rFonts w:ascii="Times New Roman" w:eastAsia="Times New Roman" w:hAnsi="Times New Roman" w:cs="Times New Roman"/>
          <w:color w:val="000000"/>
        </w:rPr>
        <w:t>L’Assoluto è dapprima «die absolute Identität</w:t>
      </w:r>
      <w:r w:rsidRPr="00222EAD">
        <w:rPr>
          <w:rFonts w:ascii="Times New Roman" w:eastAsia="Times New Roman" w:hAnsi="Times New Roman" w:cs="Times New Roman"/>
          <w:color w:val="000000"/>
          <w:lang w:val="de-DE"/>
        </w:rPr>
        <w:t>»</w:t>
      </w:r>
      <w:r w:rsidRPr="00222EAD">
        <w:rPr>
          <w:rStyle w:val="Rimandonotaapidipagina"/>
          <w:rFonts w:ascii="Times New Roman" w:eastAsia="Times New Roman" w:hAnsi="Times New Roman" w:cs="Times New Roman"/>
          <w:color w:val="000000"/>
        </w:rPr>
        <w:footnoteReference w:id="419"/>
      </w:r>
      <w:r w:rsidRPr="00222EAD">
        <w:rPr>
          <w:rFonts w:ascii="Times New Roman" w:eastAsia="Times New Roman" w:hAnsi="Times New Roman" w:cs="Times New Roman"/>
          <w:color w:val="000000"/>
          <w:lang w:val="de-DE"/>
        </w:rPr>
        <w:t xml:space="preserve">. </w:t>
      </w:r>
      <w:r w:rsidRPr="00222EAD">
        <w:rPr>
          <w:rFonts w:ascii="Times New Roman" w:eastAsia="Times New Roman" w:hAnsi="Times New Roman" w:cs="Times New Roman"/>
          <w:color w:val="000000"/>
        </w:rPr>
        <w:t>Nell’identità assoluta non è riscontrabile forma alcuna di divenire e di riflessione, proprio perché essa è essere-uno d’interno e d’esterno:</w:t>
      </w:r>
    </w:p>
    <w:p w14:paraId="2CE3ACD8" w14:textId="77777777" w:rsidR="001B7751" w:rsidRPr="00B15D5E" w:rsidRDefault="001B7751" w:rsidP="001B7751">
      <w:pPr>
        <w:pStyle w:val="Paragrafoelenco"/>
        <w:spacing w:line="360" w:lineRule="auto"/>
        <w:ind w:left="1418" w:firstLine="567"/>
        <w:jc w:val="both"/>
        <w:rPr>
          <w:rFonts w:ascii="Times New Roman" w:eastAsia="Times New Roman" w:hAnsi="Times New Roman" w:cs="Times New Roman"/>
          <w:color w:val="000000"/>
        </w:rPr>
      </w:pPr>
    </w:p>
    <w:p w14:paraId="356AA3AD" w14:textId="77777777" w:rsidR="001B7751" w:rsidRPr="00485DAF" w:rsidRDefault="001B7751" w:rsidP="001B7751">
      <w:pPr>
        <w:pStyle w:val="Paragrafoelenco"/>
        <w:spacing w:line="360" w:lineRule="auto"/>
        <w:ind w:left="567" w:firstLine="567"/>
        <w:jc w:val="both"/>
        <w:rPr>
          <w:rFonts w:ascii="Times New Roman" w:eastAsia="Times New Roman" w:hAnsi="Times New Roman" w:cs="Times New Roman"/>
          <w:color w:val="000000"/>
          <w:sz w:val="20"/>
          <w:szCs w:val="20"/>
          <w:lang w:val="de-DE"/>
        </w:rPr>
      </w:pPr>
      <w:r w:rsidRPr="00485DAF">
        <w:rPr>
          <w:rFonts w:ascii="Times New Roman" w:eastAsia="Times New Roman" w:hAnsi="Times New Roman" w:cs="Times New Roman"/>
          <w:color w:val="000000"/>
          <w:sz w:val="20"/>
          <w:szCs w:val="20"/>
        </w:rPr>
        <w:t>«</w:t>
      </w:r>
      <w:r w:rsidRPr="00485DAF">
        <w:rPr>
          <w:rFonts w:ascii="Times New Roman" w:eastAsia="Times New Roman" w:hAnsi="Times New Roman" w:cs="Times New Roman"/>
          <w:color w:val="000000"/>
          <w:sz w:val="20"/>
          <w:szCs w:val="20"/>
          <w:lang w:val="de-DE"/>
        </w:rPr>
        <w:t>Aber das Absolute selbst ist die absolute Identität; diß ist seine Bestimmung, indem alle Mannigfaltigkeit der an sich seyenden und der erscheinenden Welt oder der innerlichen und äußerlichen Totalität in ihm aufgehoben ist- –In ihm selbst ist kein Werden, denn es ist nicht das Seyn, noch ist es das reflectierende Bestimmen; denn es ist nicht das sich nur in sich bestimmende Wesen; es ist auch nicht ein sich äussern; denn es ist als die Identität des Innern und des Aeussern»</w:t>
      </w:r>
      <w:r w:rsidRPr="00485DAF">
        <w:rPr>
          <w:rStyle w:val="Rimandonotaapidipagina"/>
          <w:rFonts w:ascii="Times New Roman" w:eastAsia="Times New Roman" w:hAnsi="Times New Roman" w:cs="Times New Roman"/>
          <w:color w:val="000000"/>
          <w:sz w:val="20"/>
          <w:szCs w:val="20"/>
          <w:lang w:val="de-DE"/>
        </w:rPr>
        <w:footnoteReference w:id="420"/>
      </w:r>
      <w:r w:rsidRPr="00485DAF">
        <w:rPr>
          <w:rFonts w:ascii="Times New Roman" w:eastAsia="Times New Roman" w:hAnsi="Times New Roman" w:cs="Times New Roman"/>
          <w:color w:val="000000"/>
          <w:sz w:val="20"/>
          <w:szCs w:val="20"/>
          <w:lang w:val="de-DE"/>
        </w:rPr>
        <w:t>.</w:t>
      </w:r>
    </w:p>
    <w:p w14:paraId="5715E915" w14:textId="77777777" w:rsidR="001B7751" w:rsidRPr="00485DAF" w:rsidRDefault="001B7751" w:rsidP="001B7751">
      <w:pPr>
        <w:pStyle w:val="Paragrafoelenco"/>
        <w:spacing w:line="360" w:lineRule="auto"/>
        <w:ind w:left="1418" w:firstLine="567"/>
        <w:jc w:val="both"/>
        <w:rPr>
          <w:rFonts w:ascii="Times New Roman" w:eastAsia="Times New Roman" w:hAnsi="Times New Roman" w:cs="Times New Roman"/>
          <w:color w:val="000000"/>
          <w:sz w:val="20"/>
          <w:szCs w:val="20"/>
          <w:lang w:val="de-DE"/>
        </w:rPr>
      </w:pPr>
    </w:p>
    <w:p w14:paraId="7E9B9E2C" w14:textId="77777777" w:rsidR="001B7751" w:rsidRDefault="001B7751" w:rsidP="001B7751">
      <w:pPr>
        <w:pStyle w:val="Paragrafoelenco"/>
        <w:spacing w:line="360" w:lineRule="auto"/>
        <w:ind w:left="0" w:firstLine="567"/>
        <w:jc w:val="both"/>
        <w:rPr>
          <w:rFonts w:ascii="Times New Roman" w:eastAsia="Times New Roman" w:hAnsi="Times New Roman" w:cs="Times New Roman"/>
          <w:color w:val="000000"/>
        </w:rPr>
      </w:pPr>
      <w:r w:rsidRPr="006B0FA9">
        <w:rPr>
          <w:rFonts w:ascii="Times New Roman" w:eastAsia="Times New Roman" w:hAnsi="Times New Roman" w:cs="Times New Roman"/>
          <w:color w:val="000000"/>
        </w:rPr>
        <w:t xml:space="preserve">Questa </w:t>
      </w:r>
      <w:r w:rsidRPr="00222EAD">
        <w:rPr>
          <w:rFonts w:ascii="Times New Roman" w:eastAsia="Times New Roman" w:hAnsi="Times New Roman" w:cs="Times New Roman"/>
          <w:color w:val="000000"/>
        </w:rPr>
        <w:t>«</w:t>
      </w:r>
      <w:r w:rsidRPr="00222EAD">
        <w:rPr>
          <w:rFonts w:ascii="Times New Roman" w:eastAsia="Times New Roman" w:hAnsi="Times New Roman" w:cs="Times New Roman"/>
          <w:color w:val="000000"/>
          <w:lang w:val="de-DE"/>
        </w:rPr>
        <w:t>negative Auslegung des Absoluten»</w:t>
      </w:r>
      <w:r w:rsidRPr="00222EAD">
        <w:rPr>
          <w:rStyle w:val="Rimandonotaapidipagina"/>
          <w:rFonts w:ascii="Times New Roman" w:eastAsia="Times New Roman" w:hAnsi="Times New Roman" w:cs="Times New Roman"/>
          <w:color w:val="000000"/>
          <w:lang w:val="de-DE"/>
        </w:rPr>
        <w:footnoteReference w:id="421"/>
      </w:r>
      <w:r w:rsidRPr="00222EAD">
        <w:rPr>
          <w:rFonts w:ascii="Times New Roman" w:eastAsia="Times New Roman" w:hAnsi="Times New Roman" w:cs="Times New Roman"/>
          <w:color w:val="000000"/>
        </w:rPr>
        <w:t>,</w:t>
      </w:r>
      <w:r w:rsidRPr="006B0FA9">
        <w:rPr>
          <w:rFonts w:ascii="Times New Roman" w:eastAsia="Times New Roman" w:hAnsi="Times New Roman" w:cs="Times New Roman"/>
          <w:color w:val="000000"/>
        </w:rPr>
        <w:t xml:space="preserve"> che preclude, a prima vista, l’esposizione del medesimo e che legittima, al contempo, l’operare esteriore della riflessione</w:t>
      </w:r>
      <w:r>
        <w:rPr>
          <w:rFonts w:ascii="Times New Roman" w:eastAsia="Times New Roman" w:hAnsi="Times New Roman" w:cs="Times New Roman"/>
          <w:color w:val="000000"/>
        </w:rPr>
        <w:t>, possiede, invece, un lato positivo (</w:t>
      </w:r>
      <w:r w:rsidRPr="00D767A7">
        <w:rPr>
          <w:rFonts w:ascii="Times New Roman" w:eastAsia="Times New Roman" w:hAnsi="Times New Roman" w:cs="Times New Roman"/>
          <w:i/>
          <w:color w:val="000000"/>
          <w:lang w:val="de-DE"/>
        </w:rPr>
        <w:t>eine positive Seite</w:t>
      </w:r>
      <w:r>
        <w:rPr>
          <w:rFonts w:ascii="Times New Roman" w:eastAsia="Times New Roman" w:hAnsi="Times New Roman" w:cs="Times New Roman"/>
          <w:color w:val="000000"/>
        </w:rPr>
        <w:t xml:space="preserve">), per cui l’indeterminatezza assoluta sembra schiudersi a favore della propria alterità. L’identità d’interno e d’esterno sembra ricalcare quella relazione infinito-finito già affrontata da Hegel nella </w:t>
      </w:r>
      <w:r w:rsidRPr="00E86760">
        <w:rPr>
          <w:rFonts w:ascii="Times New Roman" w:eastAsia="Times New Roman" w:hAnsi="Times New Roman" w:cs="Times New Roman"/>
          <w:i/>
          <w:color w:val="000000"/>
        </w:rPr>
        <w:t>Logik des Seyns</w:t>
      </w:r>
      <w:r>
        <w:rPr>
          <w:rFonts w:ascii="Times New Roman" w:eastAsia="Times New Roman" w:hAnsi="Times New Roman" w:cs="Times New Roman"/>
          <w:color w:val="000000"/>
        </w:rPr>
        <w:t xml:space="preserve">. Se nella sfera dell’essere l’idealità descriveva il togliersi del finito nell’infinito, </w:t>
      </w:r>
      <w:r w:rsidRPr="00F30930">
        <w:rPr>
          <w:rFonts w:ascii="Times New Roman" w:eastAsia="Times New Roman" w:hAnsi="Times New Roman" w:cs="Times New Roman"/>
          <w:color w:val="000000"/>
        </w:rPr>
        <w:t xml:space="preserve">in questo momento della </w:t>
      </w:r>
      <w:r w:rsidRPr="00F30930">
        <w:rPr>
          <w:rFonts w:ascii="Times New Roman" w:eastAsia="Times New Roman" w:hAnsi="Times New Roman" w:cs="Times New Roman"/>
          <w:i/>
          <w:color w:val="000000"/>
        </w:rPr>
        <w:t xml:space="preserve">Wesenslogik </w:t>
      </w:r>
      <w:r w:rsidRPr="00F30930">
        <w:rPr>
          <w:rFonts w:ascii="Times New Roman" w:eastAsia="Times New Roman" w:hAnsi="Times New Roman" w:cs="Times New Roman"/>
          <w:color w:val="000000"/>
        </w:rPr>
        <w:t>l’esterno dovrebbe essere il protagonista di un analogo processo introiettivo. In realtà, non si può parlare di un vero e proprio togliersi dell’esterno nell’interno, poiché</w:t>
      </w:r>
      <w:r>
        <w:rPr>
          <w:rFonts w:ascii="Times New Roman" w:eastAsia="Times New Roman" w:hAnsi="Times New Roman" w:cs="Times New Roman"/>
          <w:color w:val="000000"/>
        </w:rPr>
        <w:t xml:space="preserve"> il togliersi, hegelianamente inteso, implica una conservazione del termine tolto in ciò che ne costituisce il fondamento. L’andare a fondo, in altre parole, è uno sprofondare in altro – la propria ragion d’essere – che non annulla la specificità del termine superato. Nel primo esporsi dell’Assoluto, non può essere tematizzato un riflettersi dell’interno nell’esterno e un togliersi dell’esterno nell’interno, poiché l’esterno, o il finito, è colto come semplice sparire (</w:t>
      </w:r>
      <w:r w:rsidRPr="003247F7">
        <w:rPr>
          <w:rFonts w:ascii="Times New Roman" w:eastAsia="Times New Roman" w:hAnsi="Times New Roman" w:cs="Times New Roman"/>
          <w:i/>
          <w:color w:val="000000"/>
          <w:lang w:val="de-DE"/>
        </w:rPr>
        <w:t>Verschwinden</w:t>
      </w:r>
      <w:r>
        <w:rPr>
          <w:rFonts w:ascii="Times New Roman" w:eastAsia="Times New Roman" w:hAnsi="Times New Roman" w:cs="Times New Roman"/>
          <w:color w:val="000000"/>
        </w:rPr>
        <w:t>):</w:t>
      </w:r>
    </w:p>
    <w:p w14:paraId="330FEC21" w14:textId="77777777" w:rsidR="001B7751" w:rsidRDefault="001B7751" w:rsidP="001B7751">
      <w:pPr>
        <w:pStyle w:val="Paragrafoelenco"/>
        <w:spacing w:line="360" w:lineRule="auto"/>
        <w:ind w:left="1418" w:firstLine="567"/>
        <w:jc w:val="both"/>
        <w:rPr>
          <w:rFonts w:ascii="Times New Roman" w:eastAsia="Times New Roman" w:hAnsi="Times New Roman" w:cs="Times New Roman"/>
          <w:color w:val="000000"/>
        </w:rPr>
      </w:pPr>
    </w:p>
    <w:p w14:paraId="04E2886E" w14:textId="77777777" w:rsidR="001B7751" w:rsidRPr="00485DAF" w:rsidRDefault="001B7751" w:rsidP="001B7751">
      <w:pPr>
        <w:pStyle w:val="Paragrafoelenco"/>
        <w:spacing w:line="360" w:lineRule="auto"/>
        <w:ind w:left="567" w:firstLine="567"/>
        <w:jc w:val="both"/>
        <w:rPr>
          <w:rFonts w:ascii="Times New Roman" w:eastAsia="Times New Roman" w:hAnsi="Times New Roman" w:cs="Times New Roman"/>
          <w:color w:val="000000"/>
          <w:sz w:val="20"/>
          <w:szCs w:val="20"/>
          <w:lang w:val="de-DE"/>
        </w:rPr>
      </w:pPr>
      <w:r w:rsidRPr="00485DAF">
        <w:rPr>
          <w:rFonts w:ascii="Times New Roman" w:eastAsia="Times New Roman" w:hAnsi="Times New Roman" w:cs="Times New Roman"/>
          <w:color w:val="000000"/>
          <w:sz w:val="20"/>
          <w:szCs w:val="20"/>
        </w:rPr>
        <w:t>«</w:t>
      </w:r>
      <w:r w:rsidRPr="00485DAF">
        <w:rPr>
          <w:rFonts w:ascii="Times New Roman" w:eastAsia="Times New Roman" w:hAnsi="Times New Roman" w:cs="Times New Roman"/>
          <w:color w:val="000000"/>
          <w:sz w:val="20"/>
          <w:szCs w:val="20"/>
          <w:lang w:val="de-DE"/>
        </w:rPr>
        <w:t>Diese positive Auslegung hat aber selbst zugleich eine positive Seite; insofern nemlich das Endliche darin, daß es zu Grunde geht, diese Natur beweist, auf das Absolute bezogen zu seyn, oder das Absolute an ihm selbst zu enthalten […] Diese positive Auslegung hält so noch das Endliche vor seinem Verschwinden auf, und betrachtet es als einen Ausdruck und Abbild des Absoluten. Aber die Durchsichtigkeit des Endlichen, das nur das Absolute durch sich hindurchblicken läßt, endigt in gänzliches Verschwinden; denn es ist nichts am Endlichen, was ihm einen Unterschied gegen das Absolute erhalten könnte; es ist ein Medium, das von dem, was durch es scheint, absorbiert wird»</w:t>
      </w:r>
      <w:r w:rsidRPr="00485DAF">
        <w:rPr>
          <w:rStyle w:val="Rimandonotaapidipagina"/>
          <w:rFonts w:ascii="Times New Roman" w:eastAsia="Times New Roman" w:hAnsi="Times New Roman" w:cs="Times New Roman"/>
          <w:color w:val="000000"/>
          <w:sz w:val="20"/>
          <w:szCs w:val="20"/>
          <w:lang w:val="de-DE"/>
        </w:rPr>
        <w:footnoteReference w:id="422"/>
      </w:r>
      <w:r w:rsidRPr="00485DAF">
        <w:rPr>
          <w:rFonts w:ascii="Times New Roman" w:eastAsia="Times New Roman" w:hAnsi="Times New Roman" w:cs="Times New Roman"/>
          <w:color w:val="000000"/>
          <w:sz w:val="20"/>
          <w:szCs w:val="20"/>
          <w:lang w:val="de-DE"/>
        </w:rPr>
        <w:t>.</w:t>
      </w:r>
    </w:p>
    <w:p w14:paraId="0198A0A8" w14:textId="77777777" w:rsidR="001B7751" w:rsidRPr="0084277A" w:rsidRDefault="001B7751" w:rsidP="001B7751">
      <w:pPr>
        <w:pStyle w:val="Paragrafoelenco"/>
        <w:spacing w:line="360" w:lineRule="auto"/>
        <w:ind w:left="1985" w:firstLine="567"/>
        <w:jc w:val="both"/>
        <w:rPr>
          <w:rFonts w:ascii="Times New Roman" w:eastAsia="Times New Roman" w:hAnsi="Times New Roman" w:cs="Times New Roman"/>
          <w:color w:val="000000"/>
          <w:lang w:val="de-DE"/>
        </w:rPr>
      </w:pPr>
    </w:p>
    <w:p w14:paraId="57580573" w14:textId="583F51EF" w:rsidR="001B7751" w:rsidRPr="000A6183" w:rsidRDefault="001B7751" w:rsidP="001B7751">
      <w:pPr>
        <w:pStyle w:val="Paragrafoelenco"/>
        <w:spacing w:line="360" w:lineRule="auto"/>
        <w:ind w:left="0" w:firstLine="567"/>
        <w:jc w:val="both"/>
        <w:rPr>
          <w:rFonts w:ascii="Times New Roman" w:eastAsia="Times New Roman" w:hAnsi="Times New Roman" w:cs="Times New Roman"/>
          <w:color w:val="000000"/>
        </w:rPr>
      </w:pPr>
      <w:r w:rsidRPr="00F36DA0">
        <w:rPr>
          <w:rFonts w:ascii="Times New Roman" w:eastAsia="Times New Roman" w:hAnsi="Times New Roman" w:cs="Times New Roman"/>
          <w:color w:val="000000"/>
        </w:rPr>
        <w:t>L’essere contenuto del finito nell’Assoluto non ne impedisce il dileguare: il finito è soltanto un medio attraverso c</w:t>
      </w:r>
      <w:r w:rsidR="00D9283F" w:rsidRPr="00F36DA0">
        <w:rPr>
          <w:rFonts w:ascii="Times New Roman" w:eastAsia="Times New Roman" w:hAnsi="Times New Roman" w:cs="Times New Roman"/>
          <w:color w:val="000000"/>
        </w:rPr>
        <w:t>ui traspare l’identità assoluta e</w:t>
      </w:r>
      <w:r w:rsidRPr="00F36DA0">
        <w:rPr>
          <w:rFonts w:ascii="Times New Roman" w:eastAsia="Times New Roman" w:hAnsi="Times New Roman" w:cs="Times New Roman"/>
          <w:color w:val="000000"/>
        </w:rPr>
        <w:t xml:space="preserve"> nessuna differenza è riconosciuta a ciò che, nella sua trasparenza, restituisce soltanto l’infinitezza pura e semplice.</w:t>
      </w:r>
      <w:r>
        <w:rPr>
          <w:rFonts w:ascii="Times New Roman" w:eastAsia="Times New Roman" w:hAnsi="Times New Roman" w:cs="Times New Roman"/>
          <w:color w:val="000000"/>
        </w:rPr>
        <w:t xml:space="preserve"> </w:t>
      </w:r>
      <w:r w:rsidRPr="00F30930">
        <w:rPr>
          <w:rFonts w:ascii="Times New Roman" w:eastAsia="Times New Roman" w:hAnsi="Times New Roman" w:cs="Times New Roman"/>
          <w:color w:val="000000"/>
        </w:rPr>
        <w:t xml:space="preserve">L’Assoluto si specchia in se stesso e, così facendo, offre un’esposizione di sé che è solamente </w:t>
      </w:r>
      <w:r w:rsidRPr="00485DAF">
        <w:rPr>
          <w:rFonts w:ascii="Times New Roman" w:eastAsia="Times New Roman" w:hAnsi="Times New Roman" w:cs="Times New Roman"/>
          <w:color w:val="000000"/>
        </w:rPr>
        <w:t>«</w:t>
      </w:r>
      <w:r w:rsidRPr="00485DAF">
        <w:rPr>
          <w:rFonts w:ascii="Times New Roman" w:eastAsia="Times New Roman" w:hAnsi="Times New Roman" w:cs="Times New Roman"/>
          <w:color w:val="000000"/>
          <w:lang w:val="de-DE"/>
        </w:rPr>
        <w:t>ein Scheinen»</w:t>
      </w:r>
      <w:r w:rsidRPr="00485DAF">
        <w:rPr>
          <w:rStyle w:val="Rimandonotaapidipagina"/>
          <w:rFonts w:ascii="Times New Roman" w:eastAsia="Times New Roman" w:hAnsi="Times New Roman" w:cs="Times New Roman"/>
          <w:color w:val="000000"/>
        </w:rPr>
        <w:footnoteReference w:id="423"/>
      </w:r>
      <w:r w:rsidRPr="00485DAF">
        <w:rPr>
          <w:rFonts w:ascii="Times New Roman" w:eastAsia="Times New Roman" w:hAnsi="Times New Roman" w:cs="Times New Roman"/>
          <w:color w:val="000000"/>
          <w:lang w:val="de-DE"/>
        </w:rPr>
        <w:t>.</w:t>
      </w:r>
      <w:r w:rsidRPr="00F30930">
        <w:rPr>
          <w:rFonts w:ascii="Times New Roman" w:eastAsia="Times New Roman" w:hAnsi="Times New Roman" w:cs="Times New Roman"/>
          <w:color w:val="000000"/>
          <w:lang w:val="de-DE"/>
        </w:rPr>
        <w:t xml:space="preserve"> </w:t>
      </w:r>
      <w:r>
        <w:rPr>
          <w:rFonts w:ascii="Times New Roman" w:eastAsia="Times New Roman" w:hAnsi="Times New Roman" w:cs="Times New Roman"/>
          <w:color w:val="000000"/>
        </w:rPr>
        <w:t>Nel pare</w:t>
      </w:r>
      <w:r w:rsidRPr="00F30930">
        <w:rPr>
          <w:rFonts w:ascii="Times New Roman" w:eastAsia="Times New Roman" w:hAnsi="Times New Roman" w:cs="Times New Roman"/>
          <w:color w:val="000000"/>
        </w:rPr>
        <w:t>re traspare sol</w:t>
      </w:r>
      <w:r>
        <w:rPr>
          <w:rFonts w:ascii="Times New Roman" w:eastAsia="Times New Roman" w:hAnsi="Times New Roman" w:cs="Times New Roman"/>
          <w:color w:val="000000"/>
        </w:rPr>
        <w:t>tanto</w:t>
      </w:r>
      <w:r w:rsidRPr="00F30930">
        <w:rPr>
          <w:rFonts w:ascii="Times New Roman" w:eastAsia="Times New Roman" w:hAnsi="Times New Roman" w:cs="Times New Roman"/>
          <w:color w:val="000000"/>
        </w:rPr>
        <w:t xml:space="preserve"> l’identità assoluta. L’esposizione immediata</w:t>
      </w:r>
      <w:r>
        <w:rPr>
          <w:rFonts w:ascii="Times New Roman" w:eastAsia="Times New Roman" w:hAnsi="Times New Roman" w:cs="Times New Roman"/>
          <w:color w:val="000000"/>
        </w:rPr>
        <w:t xml:space="preserve"> dell’Assoluto, pertanto, sembra andare incontro ad uno scacco: venuto meno l’essere presso di sé nell’altro da sé, </w:t>
      </w:r>
      <w:r w:rsidRPr="007B6176">
        <w:rPr>
          <w:rFonts w:ascii="Times New Roman" w:eastAsia="Times New Roman" w:hAnsi="Times New Roman" w:cs="Times New Roman"/>
          <w:color w:val="000000"/>
        </w:rPr>
        <w:t>l’Assoluto</w:t>
      </w:r>
      <w:r>
        <w:rPr>
          <w:rFonts w:ascii="Times New Roman" w:eastAsia="Times New Roman" w:hAnsi="Times New Roman" w:cs="Times New Roman"/>
          <w:color w:val="000000"/>
        </w:rPr>
        <w:t xml:space="preserve"> tende a conferirsi un’</w:t>
      </w:r>
      <w:r w:rsidRPr="007B6176">
        <w:rPr>
          <w:rFonts w:ascii="Times New Roman" w:eastAsia="Times New Roman" w:hAnsi="Times New Roman" w:cs="Times New Roman"/>
          <w:color w:val="000000"/>
        </w:rPr>
        <w:t>aut</w:t>
      </w:r>
      <w:r>
        <w:rPr>
          <w:rFonts w:ascii="Times New Roman" w:eastAsia="Times New Roman" w:hAnsi="Times New Roman" w:cs="Times New Roman"/>
          <w:color w:val="000000"/>
        </w:rPr>
        <w:t>o</w:t>
      </w:r>
      <w:r w:rsidRPr="007B6176">
        <w:rPr>
          <w:rFonts w:ascii="Times New Roman" w:eastAsia="Times New Roman" w:hAnsi="Times New Roman" w:cs="Times New Roman"/>
          <w:color w:val="000000"/>
        </w:rPr>
        <w:t xml:space="preserve">esposizione, che è </w:t>
      </w:r>
      <w:r>
        <w:rPr>
          <w:rFonts w:ascii="Times New Roman" w:eastAsia="Times New Roman" w:hAnsi="Times New Roman" w:cs="Times New Roman"/>
          <w:color w:val="000000"/>
        </w:rPr>
        <w:t>apparente o manchevole</w:t>
      </w:r>
      <w:r w:rsidRPr="007B6176">
        <w:rPr>
          <w:rFonts w:ascii="Times New Roman" w:eastAsia="Times New Roman" w:hAnsi="Times New Roman" w:cs="Times New Roman"/>
          <w:color w:val="000000"/>
        </w:rPr>
        <w:t xml:space="preserve">, nella misura in cui ciò che si espone non trova un termine </w:t>
      </w:r>
      <w:r w:rsidRPr="008F7D6C">
        <w:rPr>
          <w:rFonts w:ascii="Times New Roman" w:eastAsia="Times New Roman" w:hAnsi="Times New Roman" w:cs="Times New Roman"/>
          <w:color w:val="000000"/>
        </w:rPr>
        <w:t>reale in cui</w:t>
      </w:r>
      <w:r w:rsidRPr="007B6176">
        <w:rPr>
          <w:rFonts w:ascii="Times New Roman" w:eastAsia="Times New Roman" w:hAnsi="Times New Roman" w:cs="Times New Roman"/>
          <w:color w:val="000000"/>
        </w:rPr>
        <w:t xml:space="preserve"> trasporsi</w:t>
      </w:r>
      <w:r>
        <w:rPr>
          <w:rFonts w:ascii="Times New Roman" w:eastAsia="Times New Roman" w:hAnsi="Times New Roman" w:cs="Times New Roman"/>
          <w:color w:val="000000"/>
        </w:rPr>
        <w:t xml:space="preserve">. Il parere dell’identità assoluta, pertanto, arresta il movimento espositivo dell’Assoluto e lo rinchiude all’interno di un’astratta e indeterminata circolarità. </w:t>
      </w:r>
      <w:r w:rsidRPr="00F30930">
        <w:rPr>
          <w:rFonts w:ascii="Times New Roman" w:eastAsia="Times New Roman" w:hAnsi="Times New Roman" w:cs="Times New Roman"/>
          <w:color w:val="000000"/>
        </w:rPr>
        <w:t xml:space="preserve">L’esposizione s’arresta nello </w:t>
      </w:r>
      <w:r w:rsidRPr="00F30930">
        <w:rPr>
          <w:rFonts w:ascii="Times New Roman" w:eastAsia="Times New Roman" w:hAnsi="Times New Roman" w:cs="Times New Roman"/>
          <w:i/>
          <w:color w:val="000000"/>
          <w:lang w:val="de-DE"/>
        </w:rPr>
        <w:t>Scheinen</w:t>
      </w:r>
      <w:r w:rsidRPr="00F30930">
        <w:rPr>
          <w:rFonts w:ascii="Times New Roman" w:eastAsia="Times New Roman" w:hAnsi="Times New Roman" w:cs="Times New Roman"/>
          <w:color w:val="000000"/>
        </w:rPr>
        <w:t>, ossia in un differenziare privo</w:t>
      </w:r>
      <w:r>
        <w:rPr>
          <w:rFonts w:ascii="Times New Roman" w:eastAsia="Times New Roman" w:hAnsi="Times New Roman" w:cs="Times New Roman"/>
          <w:color w:val="000000"/>
        </w:rPr>
        <w:t xml:space="preserve"> della</w:t>
      </w:r>
      <w:r w:rsidRPr="00F30930">
        <w:rPr>
          <w:rFonts w:ascii="Times New Roman" w:eastAsia="Times New Roman" w:hAnsi="Times New Roman" w:cs="Times New Roman"/>
          <w:color w:val="000000"/>
        </w:rPr>
        <w:t xml:space="preserve"> forza della determinazione. S’arresta</w:t>
      </w:r>
      <w:r>
        <w:rPr>
          <w:rFonts w:ascii="Times New Roman" w:eastAsia="Times New Roman" w:hAnsi="Times New Roman" w:cs="Times New Roman"/>
          <w:color w:val="000000"/>
        </w:rPr>
        <w:t xml:space="preserve"> per un momento, perché il parere può essere spinto fino alla differenziazione se lo si afferra come uno </w:t>
      </w:r>
      <w:r w:rsidRPr="0086258C">
        <w:rPr>
          <w:rFonts w:ascii="Times New Roman" w:eastAsia="Times New Roman" w:hAnsi="Times New Roman" w:cs="Times New Roman"/>
          <w:i/>
          <w:color w:val="000000"/>
          <w:lang w:val="de-DE"/>
        </w:rPr>
        <w:t>Scheinen des Scheinens</w:t>
      </w:r>
      <w:r>
        <w:rPr>
          <w:rFonts w:ascii="Times New Roman" w:eastAsia="Times New Roman" w:hAnsi="Times New Roman" w:cs="Times New Roman"/>
          <w:i/>
          <w:color w:val="000000"/>
        </w:rPr>
        <w:t xml:space="preserve">. </w:t>
      </w:r>
      <w:r>
        <w:rPr>
          <w:rFonts w:ascii="Times New Roman" w:eastAsia="Times New Roman" w:hAnsi="Times New Roman" w:cs="Times New Roman"/>
          <w:color w:val="000000"/>
        </w:rPr>
        <w:t xml:space="preserve">Alla stregua del </w:t>
      </w:r>
      <w:r w:rsidRPr="0086258C">
        <w:rPr>
          <w:rFonts w:ascii="Times New Roman" w:eastAsia="Times New Roman" w:hAnsi="Times New Roman" w:cs="Times New Roman"/>
          <w:i/>
          <w:color w:val="000000"/>
          <w:lang w:val="de-DE"/>
        </w:rPr>
        <w:t>Verschwinden des Verschwindens</w:t>
      </w:r>
      <w:r>
        <w:rPr>
          <w:rFonts w:ascii="Times New Roman" w:eastAsia="Times New Roman" w:hAnsi="Times New Roman" w:cs="Times New Roman"/>
          <w:color w:val="000000"/>
          <w:lang w:val="de-DE"/>
        </w:rPr>
        <w:t xml:space="preserve">, </w:t>
      </w:r>
      <w:r w:rsidRPr="0015544A">
        <w:rPr>
          <w:rFonts w:ascii="Times New Roman" w:eastAsia="Times New Roman" w:hAnsi="Times New Roman" w:cs="Times New Roman"/>
          <w:color w:val="000000"/>
        </w:rPr>
        <w:t>già</w:t>
      </w:r>
      <w:r>
        <w:rPr>
          <w:rFonts w:ascii="Times New Roman" w:eastAsia="Times New Roman" w:hAnsi="Times New Roman" w:cs="Times New Roman"/>
          <w:color w:val="000000"/>
          <w:lang w:val="de-DE"/>
        </w:rPr>
        <w:t xml:space="preserve"> </w:t>
      </w:r>
      <w:r>
        <w:rPr>
          <w:rFonts w:ascii="Times New Roman" w:eastAsia="Times New Roman" w:hAnsi="Times New Roman" w:cs="Times New Roman"/>
          <w:color w:val="000000"/>
        </w:rPr>
        <w:t xml:space="preserve">osservato nella sfera dell’essere, lo </w:t>
      </w:r>
      <w:r w:rsidRPr="0086258C">
        <w:rPr>
          <w:rFonts w:ascii="Times New Roman" w:eastAsia="Times New Roman" w:hAnsi="Times New Roman" w:cs="Times New Roman"/>
          <w:i/>
          <w:color w:val="000000"/>
          <w:lang w:val="de-DE"/>
        </w:rPr>
        <w:t>Scheinen des Scheinens</w:t>
      </w:r>
      <w:r>
        <w:rPr>
          <w:rFonts w:ascii="Times New Roman" w:eastAsia="Times New Roman" w:hAnsi="Times New Roman" w:cs="Times New Roman"/>
          <w:color w:val="000000"/>
        </w:rPr>
        <w:t xml:space="preserve"> leva, superandola, la natura astratta dell’esposizione </w:t>
      </w:r>
      <w:r w:rsidRPr="00AE41AF">
        <w:rPr>
          <w:rFonts w:ascii="Times New Roman" w:eastAsia="Times New Roman" w:hAnsi="Times New Roman" w:cs="Times New Roman"/>
          <w:color w:val="000000"/>
        </w:rPr>
        <w:t>dell’Assoluto e la proietta fuori di sé, al di là della mancanza di forma e di differenziazione che le sono specifiche. Il superamento dell’identità astratta e del parere in sé</w:t>
      </w:r>
      <w:r>
        <w:rPr>
          <w:rFonts w:ascii="Times New Roman" w:eastAsia="Times New Roman" w:hAnsi="Times New Roman" w:cs="Times New Roman"/>
          <w:color w:val="000000"/>
        </w:rPr>
        <w:t xml:space="preserve"> è ciò che rende </w:t>
      </w:r>
      <w:r w:rsidRPr="00AE41AF">
        <w:rPr>
          <w:rFonts w:ascii="Times New Roman" w:eastAsia="Times New Roman" w:hAnsi="Times New Roman" w:cs="Times New Roman"/>
          <w:color w:val="000000"/>
        </w:rPr>
        <w:t xml:space="preserve">l’Assoluto </w:t>
      </w:r>
      <w:r w:rsidRPr="00485DAF">
        <w:rPr>
          <w:rFonts w:ascii="Times New Roman" w:eastAsia="Times New Roman" w:hAnsi="Times New Roman" w:cs="Times New Roman"/>
          <w:color w:val="000000"/>
        </w:rPr>
        <w:t>«</w:t>
      </w:r>
      <w:r w:rsidRPr="00485DAF">
        <w:rPr>
          <w:rFonts w:ascii="Times New Roman" w:eastAsia="Times New Roman" w:hAnsi="Times New Roman" w:cs="Times New Roman"/>
          <w:color w:val="000000"/>
          <w:lang w:val="de-DE"/>
        </w:rPr>
        <w:t>die absolute Form, welche es in sich scheinen macht, und es zum Attribut bestimmt»</w:t>
      </w:r>
      <w:r w:rsidRPr="00485DAF">
        <w:rPr>
          <w:rStyle w:val="Rimandonotaapidipagina"/>
          <w:rFonts w:ascii="Times New Roman" w:eastAsia="Times New Roman" w:hAnsi="Times New Roman" w:cs="Times New Roman"/>
          <w:color w:val="000000"/>
          <w:lang w:val="de-DE"/>
        </w:rPr>
        <w:footnoteReference w:id="424"/>
      </w:r>
      <w:r w:rsidRPr="00485DAF">
        <w:rPr>
          <w:rFonts w:ascii="Times New Roman" w:eastAsia="Times New Roman" w:hAnsi="Times New Roman" w:cs="Times New Roman"/>
          <w:color w:val="000000"/>
          <w:lang w:val="de-DE"/>
        </w:rPr>
        <w:t>.</w:t>
      </w:r>
      <w:r w:rsidRPr="00AE41AF">
        <w:rPr>
          <w:rFonts w:ascii="Times New Roman" w:eastAsia="Times New Roman" w:hAnsi="Times New Roman" w:cs="Times New Roman"/>
          <w:color w:val="000000"/>
          <w:lang w:val="de-DE"/>
        </w:rPr>
        <w:t xml:space="preserve"> </w:t>
      </w:r>
      <w:r w:rsidRPr="00AE41AF">
        <w:rPr>
          <w:rFonts w:ascii="Times New Roman" w:eastAsia="Times New Roman" w:hAnsi="Times New Roman" w:cs="Times New Roman"/>
          <w:color w:val="000000"/>
        </w:rPr>
        <w:t>Forma assoluta, quindi, che</w:t>
      </w:r>
      <w:r>
        <w:rPr>
          <w:rFonts w:ascii="Times New Roman" w:eastAsia="Times New Roman" w:hAnsi="Times New Roman" w:cs="Times New Roman"/>
          <w:color w:val="000000"/>
        </w:rPr>
        <w:t>,</w:t>
      </w:r>
      <w:r w:rsidRPr="00AE41AF">
        <w:rPr>
          <w:rFonts w:ascii="Times New Roman" w:eastAsia="Times New Roman" w:hAnsi="Times New Roman" w:cs="Times New Roman"/>
          <w:color w:val="000000"/>
        </w:rPr>
        <w:t xml:space="preserve"> se esplicata, </w:t>
      </w:r>
      <w:r w:rsidRPr="00580E56">
        <w:rPr>
          <w:rFonts w:ascii="Times New Roman" w:eastAsia="Times New Roman" w:hAnsi="Times New Roman" w:cs="Times New Roman"/>
          <w:i/>
          <w:color w:val="000000"/>
        </w:rPr>
        <w:t>dovrebbe portare</w:t>
      </w:r>
      <w:r w:rsidRPr="00AE41AF">
        <w:rPr>
          <w:rFonts w:ascii="Times New Roman" w:eastAsia="Times New Roman" w:hAnsi="Times New Roman" w:cs="Times New Roman"/>
          <w:color w:val="000000"/>
        </w:rPr>
        <w:t xml:space="preserve"> ad un determinarsi</w:t>
      </w:r>
      <w:r>
        <w:rPr>
          <w:rFonts w:ascii="Times New Roman" w:eastAsia="Times New Roman" w:hAnsi="Times New Roman" w:cs="Times New Roman"/>
          <w:color w:val="000000"/>
        </w:rPr>
        <w:t xml:space="preserve"> </w:t>
      </w:r>
      <w:r w:rsidRPr="00D82DA5">
        <w:rPr>
          <w:rFonts w:ascii="Times New Roman" w:eastAsia="Times New Roman" w:hAnsi="Times New Roman" w:cs="Times New Roman"/>
          <w:color w:val="000000"/>
        </w:rPr>
        <w:t>dell’Assoluto al di là del suo parere.</w:t>
      </w:r>
      <w:r>
        <w:rPr>
          <w:rFonts w:ascii="Times New Roman" w:eastAsia="Times New Roman" w:hAnsi="Times New Roman" w:cs="Times New Roman"/>
          <w:color w:val="000000"/>
        </w:rPr>
        <w:t xml:space="preserve"> Ciò che in virtù della forma </w:t>
      </w:r>
      <w:r w:rsidRPr="00CF1A21">
        <w:rPr>
          <w:rFonts w:ascii="Times New Roman" w:eastAsia="Times New Roman" w:hAnsi="Times New Roman" w:cs="Times New Roman"/>
          <w:i/>
          <w:color w:val="000000"/>
        </w:rPr>
        <w:t>dovrebbe emergere</w:t>
      </w:r>
      <w:r>
        <w:rPr>
          <w:rFonts w:ascii="Times New Roman" w:eastAsia="Times New Roman" w:hAnsi="Times New Roman" w:cs="Times New Roman"/>
          <w:color w:val="000000"/>
        </w:rPr>
        <w:t xml:space="preserve"> </w:t>
      </w:r>
      <w:r w:rsidRPr="00050574">
        <w:rPr>
          <w:rFonts w:ascii="Times New Roman" w:eastAsia="Times New Roman" w:hAnsi="Times New Roman" w:cs="Times New Roman"/>
          <w:color w:val="000000"/>
        </w:rPr>
        <w:t xml:space="preserve">dall’Assoluto è </w:t>
      </w:r>
      <w:r>
        <w:rPr>
          <w:rFonts w:ascii="Times New Roman" w:eastAsia="Times New Roman" w:hAnsi="Times New Roman" w:cs="Times New Roman"/>
          <w:color w:val="000000"/>
        </w:rPr>
        <w:t>l’attributo, ossia una determinazione dell’identità che significa</w:t>
      </w:r>
      <w:r w:rsidRPr="00050574">
        <w:rPr>
          <w:rFonts w:ascii="Times New Roman" w:eastAsia="Times New Roman" w:hAnsi="Times New Roman" w:cs="Times New Roman"/>
          <w:color w:val="000000"/>
        </w:rPr>
        <w:t xml:space="preserve"> </w:t>
      </w:r>
      <w:r w:rsidRPr="00485DAF">
        <w:rPr>
          <w:rFonts w:ascii="Times New Roman" w:eastAsia="Times New Roman" w:hAnsi="Times New Roman" w:cs="Times New Roman"/>
          <w:color w:val="000000"/>
        </w:rPr>
        <w:t>«</w:t>
      </w:r>
      <w:r w:rsidRPr="00485DAF">
        <w:rPr>
          <w:rFonts w:ascii="Times New Roman" w:eastAsia="Times New Roman" w:hAnsi="Times New Roman" w:cs="Times New Roman"/>
          <w:color w:val="000000"/>
          <w:lang w:val="de-DE"/>
        </w:rPr>
        <w:t>das Absolute in einer Formbestimmung»</w:t>
      </w:r>
      <w:r w:rsidRPr="00485DAF">
        <w:rPr>
          <w:rStyle w:val="Rimandonotaapidipagina"/>
          <w:rFonts w:ascii="Times New Roman" w:eastAsia="Times New Roman" w:hAnsi="Times New Roman" w:cs="Times New Roman"/>
          <w:color w:val="000000"/>
        </w:rPr>
        <w:footnoteReference w:id="425"/>
      </w:r>
      <w:r w:rsidRPr="00485DAF">
        <w:rPr>
          <w:rFonts w:ascii="Times New Roman" w:eastAsia="Times New Roman" w:hAnsi="Times New Roman" w:cs="Times New Roman"/>
          <w:color w:val="000000"/>
          <w:lang w:val="de-DE"/>
        </w:rPr>
        <w:t>.</w:t>
      </w:r>
      <w:r>
        <w:rPr>
          <w:rFonts w:ascii="Times New Roman" w:eastAsia="Times New Roman" w:hAnsi="Times New Roman" w:cs="Times New Roman"/>
          <w:color w:val="000000"/>
          <w:lang w:val="de-DE"/>
        </w:rPr>
        <w:t xml:space="preserve"> </w:t>
      </w:r>
      <w:r w:rsidRPr="00F3351D">
        <w:rPr>
          <w:rFonts w:ascii="Times New Roman" w:eastAsia="Times New Roman" w:hAnsi="Times New Roman" w:cs="Times New Roman"/>
          <w:i/>
          <w:color w:val="000000"/>
        </w:rPr>
        <w:t>Dovrebbe emergere</w:t>
      </w:r>
      <w:r w:rsidRPr="00F3351D">
        <w:rPr>
          <w:rFonts w:ascii="Times New Roman" w:eastAsia="Times New Roman" w:hAnsi="Times New Roman" w:cs="Times New Roman"/>
          <w:color w:val="000000"/>
        </w:rPr>
        <w:t xml:space="preserve">, e di fatto non emerge, </w:t>
      </w:r>
      <w:r>
        <w:rPr>
          <w:rFonts w:ascii="Times New Roman" w:eastAsia="Times New Roman" w:hAnsi="Times New Roman" w:cs="Times New Roman"/>
          <w:color w:val="000000"/>
        </w:rPr>
        <w:t>perché</w:t>
      </w:r>
      <w:r w:rsidRPr="00F3351D">
        <w:rPr>
          <w:rFonts w:ascii="Times New Roman" w:eastAsia="Times New Roman" w:hAnsi="Times New Roman" w:cs="Times New Roman"/>
          <w:color w:val="000000"/>
        </w:rPr>
        <w:t xml:space="preserve"> la determinazione della forma altro non è che una</w:t>
      </w:r>
      <w:r>
        <w:rPr>
          <w:rFonts w:ascii="Times New Roman" w:eastAsia="Times New Roman" w:hAnsi="Times New Roman" w:cs="Times New Roman"/>
          <w:color w:val="000000"/>
        </w:rPr>
        <w:t xml:space="preserve"> semplice parvenza (</w:t>
      </w:r>
      <w:r w:rsidRPr="006C7920">
        <w:rPr>
          <w:rFonts w:ascii="Times New Roman" w:eastAsia="Times New Roman" w:hAnsi="Times New Roman" w:cs="Times New Roman"/>
          <w:i/>
          <w:color w:val="000000"/>
          <w:lang w:val="de-DE"/>
        </w:rPr>
        <w:t>Scheinen</w:t>
      </w:r>
      <w:r>
        <w:rPr>
          <w:rFonts w:ascii="Times New Roman" w:eastAsia="Times New Roman" w:hAnsi="Times New Roman" w:cs="Times New Roman"/>
          <w:color w:val="000000"/>
        </w:rPr>
        <w:t>). La parvenza,</w:t>
      </w:r>
      <w:r w:rsidRPr="00F3351D">
        <w:rPr>
          <w:rFonts w:ascii="Times New Roman" w:eastAsia="Times New Roman" w:hAnsi="Times New Roman" w:cs="Times New Roman"/>
          <w:color w:val="000000"/>
        </w:rPr>
        <w:t xml:space="preserve"> o il non-essere</w:t>
      </w:r>
      <w:r>
        <w:rPr>
          <w:rFonts w:ascii="Times New Roman" w:eastAsia="Times New Roman" w:hAnsi="Times New Roman" w:cs="Times New Roman"/>
          <w:color w:val="000000"/>
        </w:rPr>
        <w:t xml:space="preserve"> dell’attributo, arresta, anche in questo caso, il movimento esplicativo dell’Assoluto. Ciò che è differenziato è un mero negativo, non per sé sussistente, che sprofonda </w:t>
      </w:r>
      <w:r w:rsidRPr="00580E56">
        <w:rPr>
          <w:rFonts w:ascii="Times New Roman" w:eastAsia="Times New Roman" w:hAnsi="Times New Roman" w:cs="Times New Roman"/>
          <w:color w:val="000000"/>
        </w:rPr>
        <w:t xml:space="preserve">«in </w:t>
      </w:r>
      <w:r w:rsidRPr="00580E56">
        <w:rPr>
          <w:rFonts w:ascii="Times New Roman" w:eastAsia="Times New Roman" w:hAnsi="Times New Roman" w:cs="Times New Roman"/>
          <w:color w:val="000000"/>
          <w:lang w:val="de-DE"/>
        </w:rPr>
        <w:t>das einfache Absolute»</w:t>
      </w:r>
      <w:r w:rsidRPr="00580E56">
        <w:rPr>
          <w:rStyle w:val="Rimandonotaapidipagina"/>
          <w:rFonts w:ascii="Times New Roman" w:eastAsia="Times New Roman" w:hAnsi="Times New Roman" w:cs="Times New Roman"/>
          <w:color w:val="000000"/>
          <w:lang w:val="de-DE"/>
        </w:rPr>
        <w:footnoteReference w:id="426"/>
      </w:r>
      <w:r w:rsidRPr="00580E56">
        <w:rPr>
          <w:rFonts w:ascii="Times New Roman" w:eastAsia="Times New Roman" w:hAnsi="Times New Roman" w:cs="Times New Roman"/>
          <w:color w:val="000000"/>
          <w:lang w:val="de-DE"/>
        </w:rPr>
        <w:t>.</w:t>
      </w:r>
      <w:r>
        <w:rPr>
          <w:rFonts w:ascii="Times New Roman" w:eastAsia="Times New Roman" w:hAnsi="Times New Roman" w:cs="Times New Roman"/>
          <w:color w:val="000000"/>
          <w:lang w:val="de-DE"/>
        </w:rPr>
        <w:t xml:space="preserve"> </w:t>
      </w:r>
      <w:r w:rsidRPr="000649C7">
        <w:rPr>
          <w:rFonts w:ascii="Times New Roman" w:eastAsia="Times New Roman" w:hAnsi="Times New Roman" w:cs="Times New Roman"/>
          <w:color w:val="000000"/>
        </w:rPr>
        <w:t>Internamente ed esternamente</w:t>
      </w:r>
      <w:r>
        <w:rPr>
          <w:rFonts w:ascii="Times New Roman" w:eastAsia="Times New Roman" w:hAnsi="Times New Roman" w:cs="Times New Roman"/>
          <w:color w:val="000000"/>
        </w:rPr>
        <w:t xml:space="preserve">, l’identità assoluta si mantiene come </w:t>
      </w:r>
      <w:r w:rsidRPr="00485DAF">
        <w:rPr>
          <w:rFonts w:ascii="Times New Roman" w:eastAsia="Times New Roman" w:hAnsi="Times New Roman" w:cs="Times New Roman"/>
          <w:color w:val="000000"/>
        </w:rPr>
        <w:t>«</w:t>
      </w:r>
      <w:r w:rsidRPr="00485DAF">
        <w:rPr>
          <w:rFonts w:ascii="Times New Roman" w:eastAsia="Times New Roman" w:hAnsi="Times New Roman" w:cs="Times New Roman"/>
          <w:color w:val="000000"/>
          <w:lang w:val="de-DE"/>
        </w:rPr>
        <w:t>abstracte Identität»</w:t>
      </w:r>
      <w:r w:rsidRPr="00485DAF">
        <w:rPr>
          <w:rStyle w:val="Rimandonotaapidipagina"/>
          <w:rFonts w:ascii="Times New Roman" w:eastAsia="Times New Roman" w:hAnsi="Times New Roman" w:cs="Times New Roman"/>
          <w:color w:val="000000"/>
          <w:lang w:val="de-DE"/>
        </w:rPr>
        <w:footnoteReference w:id="427"/>
      </w:r>
      <w:r w:rsidRPr="00485DAF">
        <w:rPr>
          <w:rFonts w:ascii="Times New Roman" w:eastAsia="Times New Roman" w:hAnsi="Times New Roman" w:cs="Times New Roman"/>
          <w:color w:val="000000"/>
          <w:lang w:val="de-DE"/>
        </w:rPr>
        <w:t>:</w:t>
      </w:r>
      <w:r>
        <w:rPr>
          <w:rFonts w:ascii="Times New Roman" w:eastAsia="Times New Roman" w:hAnsi="Times New Roman" w:cs="Times New Roman"/>
          <w:color w:val="000000"/>
          <w:lang w:val="de-DE"/>
        </w:rPr>
        <w:t xml:space="preserve"> </w:t>
      </w:r>
      <w:r w:rsidRPr="00D82DA5">
        <w:rPr>
          <w:rFonts w:ascii="Times New Roman" w:eastAsia="Times New Roman" w:hAnsi="Times New Roman" w:cs="Times New Roman"/>
          <w:color w:val="000000"/>
        </w:rPr>
        <w:t>non è ancora in atto un movimento riflessivo che dia alla determinazione della forma una presa sul contenuto (</w:t>
      </w:r>
      <w:r w:rsidRPr="00D82DA5">
        <w:rPr>
          <w:rFonts w:ascii="Times New Roman" w:eastAsia="Times New Roman" w:hAnsi="Times New Roman" w:cs="Times New Roman"/>
          <w:i/>
          <w:color w:val="000000"/>
          <w:lang w:val="de-DE"/>
        </w:rPr>
        <w:t>Bestimmung</w:t>
      </w:r>
      <w:r w:rsidRPr="00D82DA5">
        <w:rPr>
          <w:rFonts w:ascii="Times New Roman" w:eastAsia="Times New Roman" w:hAnsi="Times New Roman" w:cs="Times New Roman"/>
          <w:color w:val="000000"/>
        </w:rPr>
        <w:t>) e una propria costituzione esteriore</w:t>
      </w:r>
      <w:r w:rsidRPr="00D82DA5">
        <w:rPr>
          <w:rStyle w:val="Rimandonotaapidipagina"/>
          <w:rFonts w:ascii="Times New Roman" w:eastAsia="Times New Roman" w:hAnsi="Times New Roman" w:cs="Times New Roman"/>
          <w:color w:val="000000"/>
        </w:rPr>
        <w:footnoteReference w:id="428"/>
      </w:r>
      <w:r w:rsidRPr="00D82DA5">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Pertanto, la forma attraverso cui l’attributo </w:t>
      </w:r>
      <w:r w:rsidRPr="00D82DA5">
        <w:rPr>
          <w:rFonts w:ascii="Times New Roman" w:eastAsia="Times New Roman" w:hAnsi="Times New Roman" w:cs="Times New Roman"/>
          <w:i/>
          <w:color w:val="000000"/>
        </w:rPr>
        <w:t>dovrebbe essere</w:t>
      </w:r>
      <w:r>
        <w:rPr>
          <w:rFonts w:ascii="Times New Roman" w:eastAsia="Times New Roman" w:hAnsi="Times New Roman" w:cs="Times New Roman"/>
          <w:color w:val="000000"/>
        </w:rPr>
        <w:t xml:space="preserve">, e di fatto non è, rappresenta </w:t>
      </w:r>
      <w:r w:rsidRPr="00485DAF">
        <w:rPr>
          <w:rFonts w:ascii="Times New Roman" w:eastAsia="Times New Roman" w:hAnsi="Times New Roman" w:cs="Times New Roman"/>
          <w:color w:val="000000"/>
        </w:rPr>
        <w:t>«</w:t>
      </w:r>
      <w:r w:rsidRPr="00485DAF">
        <w:rPr>
          <w:rFonts w:ascii="Times New Roman" w:eastAsia="Times New Roman" w:hAnsi="Times New Roman" w:cs="Times New Roman"/>
          <w:color w:val="000000"/>
          <w:lang w:val="de-DE"/>
        </w:rPr>
        <w:t>ein an sich selbst nichtiges, ein äusserlicher Schein, oder blosse Art und Weise zu seyn»</w:t>
      </w:r>
      <w:r w:rsidRPr="00485DAF">
        <w:rPr>
          <w:rStyle w:val="Rimandonotaapidipagina"/>
          <w:rFonts w:ascii="Times New Roman" w:eastAsia="Times New Roman" w:hAnsi="Times New Roman" w:cs="Times New Roman"/>
          <w:color w:val="000000"/>
        </w:rPr>
        <w:footnoteReference w:id="429"/>
      </w:r>
      <w:r w:rsidRPr="00485DAF">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 xml:space="preserve"> </w:t>
      </w:r>
      <w:r w:rsidRPr="00D82DA5">
        <w:rPr>
          <w:rFonts w:ascii="Times New Roman" w:eastAsia="Times New Roman" w:hAnsi="Times New Roman" w:cs="Times New Roman"/>
          <w:color w:val="000000"/>
        </w:rPr>
        <w:t xml:space="preserve">Una parvenza esteriore, una maniera o un negativo in-sé-e-per-sé: ancora una volta, lo </w:t>
      </w:r>
      <w:r w:rsidRPr="00D82DA5">
        <w:rPr>
          <w:rFonts w:ascii="Times New Roman" w:eastAsia="Times New Roman" w:hAnsi="Times New Roman" w:cs="Times New Roman"/>
          <w:i/>
          <w:color w:val="000000"/>
        </w:rPr>
        <w:t>Scheinen</w:t>
      </w:r>
      <w:r w:rsidRPr="00D82DA5">
        <w:rPr>
          <w:rFonts w:ascii="Times New Roman" w:eastAsia="Times New Roman" w:hAnsi="Times New Roman" w:cs="Times New Roman"/>
          <w:color w:val="000000"/>
          <w:lang w:val="de-DE"/>
        </w:rPr>
        <w:t xml:space="preserve"> – </w:t>
      </w:r>
      <w:r w:rsidRPr="00D82DA5">
        <w:rPr>
          <w:rFonts w:ascii="Times New Roman" w:eastAsia="Times New Roman" w:hAnsi="Times New Roman" w:cs="Times New Roman"/>
          <w:color w:val="000000"/>
        </w:rPr>
        <w:t>che si lega alla determinazione della forma – s’innesta nella dinamica espositiva dell’identità assoluta, vanificandone la concretezza contenutistico-formale.</w:t>
      </w:r>
      <w:r>
        <w:rPr>
          <w:rFonts w:ascii="Times New Roman" w:eastAsia="Times New Roman" w:hAnsi="Times New Roman" w:cs="Times New Roman"/>
          <w:color w:val="000000"/>
        </w:rPr>
        <w:t xml:space="preserve"> In questo transitare d’astratto in astratto, si delinea l’ultimo </w:t>
      </w:r>
      <w:r w:rsidRPr="00CF257E">
        <w:rPr>
          <w:rFonts w:ascii="Times New Roman" w:eastAsia="Times New Roman" w:hAnsi="Times New Roman" w:cs="Times New Roman"/>
          <w:color w:val="000000"/>
        </w:rPr>
        <w:t xml:space="preserve">e decisivo </w:t>
      </w:r>
      <w:r w:rsidRPr="00CF257E">
        <w:rPr>
          <w:rFonts w:ascii="Times New Roman" w:eastAsia="Times New Roman" w:hAnsi="Times New Roman" w:cs="Times New Roman"/>
          <w:i/>
          <w:color w:val="000000"/>
          <w:lang w:val="de-AT"/>
        </w:rPr>
        <w:t>Scheinen</w:t>
      </w:r>
      <w:r w:rsidRPr="00CF257E">
        <w:rPr>
          <w:rFonts w:ascii="Times New Roman" w:eastAsia="Times New Roman" w:hAnsi="Times New Roman" w:cs="Times New Roman"/>
          <w:color w:val="000000"/>
        </w:rPr>
        <w:t xml:space="preserve"> dell’Assoluto, il modo (</w:t>
      </w:r>
      <w:r w:rsidRPr="005C60E8">
        <w:rPr>
          <w:rFonts w:ascii="Times New Roman" w:eastAsia="Times New Roman" w:hAnsi="Times New Roman" w:cs="Times New Roman"/>
          <w:i/>
          <w:color w:val="000000"/>
          <w:lang w:val="de-DE"/>
        </w:rPr>
        <w:t>der Modus</w:t>
      </w:r>
      <w:r w:rsidRPr="00CF257E">
        <w:rPr>
          <w:rFonts w:ascii="Times New Roman" w:eastAsia="Times New Roman" w:hAnsi="Times New Roman" w:cs="Times New Roman"/>
          <w:color w:val="000000"/>
        </w:rPr>
        <w:t xml:space="preserve">), che, in quanto </w:t>
      </w:r>
      <w:r>
        <w:rPr>
          <w:rFonts w:ascii="Times New Roman" w:eastAsia="Times New Roman" w:hAnsi="Times New Roman" w:cs="Times New Roman"/>
          <w:i/>
          <w:color w:val="000000"/>
        </w:rPr>
        <w:t>ulteriore</w:t>
      </w:r>
      <w:r w:rsidRPr="00CF257E">
        <w:rPr>
          <w:rFonts w:ascii="Times New Roman" w:eastAsia="Times New Roman" w:hAnsi="Times New Roman" w:cs="Times New Roman"/>
          <w:i/>
          <w:color w:val="000000"/>
        </w:rPr>
        <w:t xml:space="preserve"> </w:t>
      </w:r>
      <w:r w:rsidRPr="00CF257E">
        <w:rPr>
          <w:rFonts w:ascii="Times New Roman" w:eastAsia="Times New Roman" w:hAnsi="Times New Roman" w:cs="Times New Roman"/>
          <w:i/>
          <w:color w:val="000000"/>
          <w:lang w:val="de-DE"/>
        </w:rPr>
        <w:t>Scheinen des Scheinens</w:t>
      </w:r>
      <w:r w:rsidRPr="00CF257E">
        <w:rPr>
          <w:rFonts w:ascii="Times New Roman" w:eastAsia="Times New Roman" w:hAnsi="Times New Roman" w:cs="Times New Roman"/>
          <w:i/>
          <w:color w:val="000000"/>
        </w:rPr>
        <w:t xml:space="preserve"> </w:t>
      </w:r>
      <w:r w:rsidRPr="00CF257E">
        <w:rPr>
          <w:rFonts w:ascii="Times New Roman" w:eastAsia="Times New Roman" w:hAnsi="Times New Roman" w:cs="Times New Roman"/>
          <w:color w:val="000000"/>
        </w:rPr>
        <w:t xml:space="preserve">della forma, leva questo movimento da nulla a nulla, gettando le basi per </w:t>
      </w:r>
      <w:r>
        <w:rPr>
          <w:rFonts w:ascii="Times New Roman" w:eastAsia="Times New Roman" w:hAnsi="Times New Roman" w:cs="Times New Roman"/>
          <w:color w:val="000000"/>
        </w:rPr>
        <w:t xml:space="preserve">la </w:t>
      </w:r>
      <w:r w:rsidRPr="005C60E8">
        <w:rPr>
          <w:rFonts w:ascii="Times New Roman" w:eastAsia="Times New Roman" w:hAnsi="Times New Roman" w:cs="Times New Roman"/>
          <w:i/>
          <w:color w:val="000000"/>
        </w:rPr>
        <w:t>manifestazione</w:t>
      </w:r>
      <w:r w:rsidRPr="00CF257E">
        <w:rPr>
          <w:rFonts w:ascii="Times New Roman" w:eastAsia="Times New Roman" w:hAnsi="Times New Roman" w:cs="Times New Roman"/>
          <w:color w:val="000000"/>
        </w:rPr>
        <w:t xml:space="preserve"> dell’Assoluto.</w:t>
      </w:r>
      <w:r>
        <w:rPr>
          <w:rFonts w:ascii="Times New Roman" w:eastAsia="Times New Roman" w:hAnsi="Times New Roman" w:cs="Times New Roman"/>
          <w:color w:val="000000"/>
        </w:rPr>
        <w:t xml:space="preserve"> Preso immediatamente, il modo è </w:t>
      </w:r>
      <w:r w:rsidRPr="00485DAF">
        <w:rPr>
          <w:rFonts w:ascii="Times New Roman" w:eastAsia="Times New Roman" w:hAnsi="Times New Roman" w:cs="Times New Roman"/>
          <w:color w:val="000000"/>
        </w:rPr>
        <w:t>«</w:t>
      </w:r>
      <w:r w:rsidRPr="00485DAF">
        <w:rPr>
          <w:rFonts w:ascii="Times New Roman" w:eastAsia="Times New Roman" w:hAnsi="Times New Roman" w:cs="Times New Roman"/>
          <w:color w:val="000000"/>
          <w:lang w:val="de-DE"/>
        </w:rPr>
        <w:t>das Aeussersichseyn des Absoluten»,</w:t>
      </w:r>
      <w:r>
        <w:rPr>
          <w:rFonts w:ascii="Times New Roman" w:eastAsia="Times New Roman" w:hAnsi="Times New Roman" w:cs="Times New Roman"/>
          <w:color w:val="000000"/>
          <w:lang w:val="de-DE"/>
        </w:rPr>
        <w:t xml:space="preserve"> </w:t>
      </w:r>
      <w:r w:rsidRPr="005C60E8">
        <w:rPr>
          <w:rFonts w:ascii="Times New Roman" w:eastAsia="Times New Roman" w:hAnsi="Times New Roman" w:cs="Times New Roman"/>
          <w:color w:val="000000"/>
        </w:rPr>
        <w:t>ossia</w:t>
      </w:r>
      <w:r>
        <w:rPr>
          <w:rFonts w:ascii="Times New Roman" w:eastAsia="Times New Roman" w:hAnsi="Times New Roman" w:cs="Times New Roman"/>
          <w:color w:val="000000"/>
          <w:lang w:val="de-DE"/>
        </w:rPr>
        <w:t xml:space="preserve"> </w:t>
      </w:r>
      <w:r w:rsidRPr="00485DAF">
        <w:rPr>
          <w:rFonts w:ascii="Times New Roman" w:eastAsia="Times New Roman" w:hAnsi="Times New Roman" w:cs="Times New Roman"/>
          <w:color w:val="000000"/>
          <w:lang w:val="de-DE"/>
        </w:rPr>
        <w:t>«der Verlust seiner in die Veränderlichkeit und Zufälligkeit des Seyns, sein Uebergangenseyn ins Entgegengesetzte ohne Rückkehr in sich»</w:t>
      </w:r>
      <w:r w:rsidRPr="00485DAF">
        <w:rPr>
          <w:rStyle w:val="Rimandonotaapidipagina"/>
          <w:rFonts w:ascii="Times New Roman" w:eastAsia="Times New Roman" w:hAnsi="Times New Roman" w:cs="Times New Roman"/>
          <w:color w:val="000000"/>
        </w:rPr>
        <w:footnoteReference w:id="430"/>
      </w:r>
      <w:r w:rsidRPr="00485DAF">
        <w:rPr>
          <w:rFonts w:ascii="Times New Roman" w:eastAsia="Times New Roman" w:hAnsi="Times New Roman" w:cs="Times New Roman"/>
          <w:color w:val="000000"/>
          <w:lang w:val="de-DE"/>
        </w:rPr>
        <w:t>.</w:t>
      </w:r>
      <w:r>
        <w:rPr>
          <w:rFonts w:ascii="Times New Roman" w:eastAsia="Times New Roman" w:hAnsi="Times New Roman" w:cs="Times New Roman"/>
          <w:color w:val="000000"/>
          <w:lang w:val="de-DE"/>
        </w:rPr>
        <w:t xml:space="preserve"> </w:t>
      </w:r>
      <w:r>
        <w:rPr>
          <w:rFonts w:ascii="Times New Roman" w:eastAsia="Times New Roman" w:hAnsi="Times New Roman" w:cs="Times New Roman"/>
          <w:color w:val="000000"/>
        </w:rPr>
        <w:t xml:space="preserve">In questa sua prima accezione, il modo riflette un perdersi dell’Assoluto nell’accidentale e nel molteplice, un perdersi dell’interno nell’esterno senza ritorno a sé. In realtà, se si procede oltre questa prima accezione del modo, si può accedere ad una caratterizzazione del medesimo </w:t>
      </w:r>
      <w:r w:rsidRPr="006C22F1">
        <w:rPr>
          <w:rFonts w:ascii="Times New Roman" w:eastAsia="Times New Roman" w:hAnsi="Times New Roman" w:cs="Times New Roman"/>
          <w:color w:val="000000"/>
        </w:rPr>
        <w:t xml:space="preserve">che spinge l’Assoluto oltre se stesso. Hegel vuole dirci che il modo, se correttamente inteso, può essere colto come </w:t>
      </w:r>
      <w:r w:rsidRPr="00485DAF">
        <w:rPr>
          <w:rFonts w:ascii="Times New Roman" w:eastAsia="Times New Roman" w:hAnsi="Times New Roman" w:cs="Times New Roman"/>
          <w:color w:val="000000"/>
        </w:rPr>
        <w:t>«</w:t>
      </w:r>
      <w:r w:rsidRPr="00485DAF">
        <w:rPr>
          <w:rFonts w:ascii="Times New Roman" w:eastAsia="Times New Roman" w:hAnsi="Times New Roman" w:cs="Times New Roman"/>
          <w:color w:val="000000"/>
          <w:lang w:val="de-DE"/>
        </w:rPr>
        <w:t>die Reflexion der Form in sich</w:t>
      </w:r>
      <w:r w:rsidRPr="00F36DA0">
        <w:rPr>
          <w:rFonts w:ascii="Times New Roman" w:eastAsia="Times New Roman" w:hAnsi="Times New Roman" w:cs="Times New Roman"/>
          <w:color w:val="000000"/>
          <w:lang w:val="de-DE"/>
        </w:rPr>
        <w:t>»</w:t>
      </w:r>
      <w:r w:rsidRPr="00F36DA0">
        <w:rPr>
          <w:rStyle w:val="Rimandonotaapidipagina"/>
          <w:rFonts w:ascii="Times New Roman" w:eastAsia="Times New Roman" w:hAnsi="Times New Roman" w:cs="Times New Roman"/>
          <w:color w:val="000000"/>
          <w:lang w:val="de-DE"/>
        </w:rPr>
        <w:footnoteReference w:id="431"/>
      </w:r>
      <w:r w:rsidRPr="00F36DA0">
        <w:rPr>
          <w:rFonts w:ascii="Times New Roman" w:eastAsia="Times New Roman" w:hAnsi="Times New Roman" w:cs="Times New Roman"/>
          <w:color w:val="000000"/>
          <w:lang w:val="de-DE"/>
        </w:rPr>
        <w:t xml:space="preserve">. </w:t>
      </w:r>
      <w:r w:rsidRPr="00F36DA0">
        <w:rPr>
          <w:rFonts w:ascii="Times New Roman" w:eastAsia="Times New Roman" w:hAnsi="Times New Roman" w:cs="Times New Roman"/>
          <w:color w:val="000000"/>
        </w:rPr>
        <w:t>La determinazione della forma, intesa come un semplice parere, è tolta nel modo. È nel modo, quindi, che l’Assoluto diviene ciò che è esso è già in potenza: un mo</w:t>
      </w:r>
      <w:r w:rsidR="00F36DA0" w:rsidRPr="00F36DA0">
        <w:rPr>
          <w:rFonts w:ascii="Times New Roman" w:eastAsia="Times New Roman" w:hAnsi="Times New Roman" w:cs="Times New Roman"/>
          <w:color w:val="000000"/>
        </w:rPr>
        <w:t>to dall’interno verso l’esterno</w:t>
      </w:r>
      <w:r w:rsidRPr="00F36DA0">
        <w:rPr>
          <w:rFonts w:ascii="Times New Roman" w:eastAsia="Times New Roman" w:hAnsi="Times New Roman" w:cs="Times New Roman"/>
          <w:color w:val="000000"/>
        </w:rPr>
        <w:t xml:space="preserve"> </w:t>
      </w:r>
      <w:r w:rsidR="00FD7BA4" w:rsidRPr="00F36DA0">
        <w:rPr>
          <w:rFonts w:ascii="Times New Roman" w:eastAsia="Times New Roman" w:hAnsi="Times New Roman" w:cs="Times New Roman"/>
          <w:color w:val="000000"/>
        </w:rPr>
        <w:t>che rispecchia</w:t>
      </w:r>
      <w:r w:rsidRPr="00F36DA0">
        <w:rPr>
          <w:rFonts w:ascii="Times New Roman" w:eastAsia="Times New Roman" w:hAnsi="Times New Roman" w:cs="Times New Roman"/>
          <w:color w:val="000000"/>
        </w:rPr>
        <w:t xml:space="preserve"> il fondersi dell’identità assoluta con sé mediante l’altro da sé (l’esposizione trasparente de</w:t>
      </w:r>
      <w:r w:rsidR="00D60AC7" w:rsidRPr="00F36DA0">
        <w:rPr>
          <w:rFonts w:ascii="Times New Roman" w:eastAsia="Times New Roman" w:hAnsi="Times New Roman" w:cs="Times New Roman"/>
          <w:color w:val="000000"/>
        </w:rPr>
        <w:t>l contenuto nelle sue differenze</w:t>
      </w:r>
      <w:r w:rsidRPr="00F36DA0">
        <w:rPr>
          <w:rFonts w:ascii="Times New Roman" w:eastAsia="Times New Roman" w:hAnsi="Times New Roman" w:cs="Times New Roman"/>
          <w:color w:val="000000"/>
        </w:rPr>
        <w:t>). Scrive Hegel:</w:t>
      </w:r>
    </w:p>
    <w:p w14:paraId="66D6045D" w14:textId="77777777" w:rsidR="001B7751" w:rsidRDefault="001B7751" w:rsidP="001B7751">
      <w:pPr>
        <w:pStyle w:val="Paragrafoelenco"/>
        <w:spacing w:line="360" w:lineRule="auto"/>
        <w:ind w:left="1416" w:firstLine="567"/>
        <w:jc w:val="both"/>
        <w:rPr>
          <w:rFonts w:ascii="Times New Roman" w:eastAsia="Times New Roman" w:hAnsi="Times New Roman" w:cs="Times New Roman"/>
          <w:color w:val="000000"/>
        </w:rPr>
      </w:pPr>
    </w:p>
    <w:p w14:paraId="3B724531" w14:textId="77777777" w:rsidR="001B7751" w:rsidRPr="00485DAF" w:rsidRDefault="001B7751" w:rsidP="001B7751">
      <w:pPr>
        <w:pStyle w:val="Paragrafoelenco"/>
        <w:spacing w:line="360" w:lineRule="auto"/>
        <w:ind w:left="567" w:firstLine="567"/>
        <w:jc w:val="both"/>
        <w:rPr>
          <w:rFonts w:ascii="Times New Roman" w:eastAsia="Times New Roman" w:hAnsi="Times New Roman" w:cs="Times New Roman"/>
          <w:color w:val="000000"/>
          <w:sz w:val="20"/>
          <w:szCs w:val="20"/>
          <w:lang w:val="de-DE"/>
        </w:rPr>
      </w:pPr>
      <w:r w:rsidRPr="00485DAF">
        <w:rPr>
          <w:rFonts w:ascii="Times New Roman" w:eastAsia="Times New Roman" w:hAnsi="Times New Roman" w:cs="Times New Roman"/>
          <w:color w:val="000000"/>
          <w:sz w:val="20"/>
          <w:szCs w:val="20"/>
        </w:rPr>
        <w:t>«</w:t>
      </w:r>
      <w:r w:rsidRPr="00485DAF">
        <w:rPr>
          <w:rFonts w:ascii="Times New Roman" w:eastAsia="Times New Roman" w:hAnsi="Times New Roman" w:cs="Times New Roman"/>
          <w:color w:val="000000"/>
          <w:sz w:val="20"/>
          <w:szCs w:val="20"/>
          <w:lang w:val="de-DE"/>
        </w:rPr>
        <w:t>Das Absolute als diese sich selbst tragende Bewegung der Auslegung, als Art und Weise, welche seine absolute Identität mit sich selbst ist, ist Auesserung, nicht eines Inneren, nicht gegen ein anderes, sondern ist nur als absolutes sich für sich selbst Manifestieren; es ist also Wirklichkeit»</w:t>
      </w:r>
      <w:r w:rsidRPr="00485DAF">
        <w:rPr>
          <w:rStyle w:val="Rimandonotaapidipagina"/>
          <w:rFonts w:ascii="Times New Roman" w:eastAsia="Times New Roman" w:hAnsi="Times New Roman" w:cs="Times New Roman"/>
          <w:color w:val="000000"/>
          <w:sz w:val="20"/>
          <w:szCs w:val="20"/>
          <w:lang w:val="de-DE"/>
        </w:rPr>
        <w:footnoteReference w:id="432"/>
      </w:r>
      <w:r w:rsidRPr="00485DAF">
        <w:rPr>
          <w:rFonts w:ascii="Times New Roman" w:eastAsia="Times New Roman" w:hAnsi="Times New Roman" w:cs="Times New Roman"/>
          <w:color w:val="000000"/>
          <w:sz w:val="20"/>
          <w:szCs w:val="20"/>
          <w:lang w:val="de-DE"/>
        </w:rPr>
        <w:t>.</w:t>
      </w:r>
    </w:p>
    <w:p w14:paraId="29D547BD" w14:textId="77777777" w:rsidR="001B7751" w:rsidRPr="006F159A" w:rsidRDefault="001B7751" w:rsidP="001B7751">
      <w:pPr>
        <w:pStyle w:val="Paragrafoelenco"/>
        <w:spacing w:line="360" w:lineRule="auto"/>
        <w:ind w:left="1985" w:firstLine="567"/>
        <w:jc w:val="both"/>
        <w:rPr>
          <w:rFonts w:ascii="Times New Roman" w:eastAsia="Times New Roman" w:hAnsi="Times New Roman" w:cs="Times New Roman"/>
          <w:color w:val="000000"/>
          <w:lang w:val="de-DE"/>
        </w:rPr>
      </w:pPr>
    </w:p>
    <w:p w14:paraId="762DD674" w14:textId="62A2FA1D" w:rsidR="001B7751" w:rsidRPr="00271C52" w:rsidRDefault="001B7751" w:rsidP="001B7751">
      <w:pPr>
        <w:pStyle w:val="Paragrafoelenco"/>
        <w:spacing w:line="360" w:lineRule="auto"/>
        <w:ind w:left="0" w:firstLine="567"/>
        <w:jc w:val="both"/>
        <w:rPr>
          <w:rFonts w:ascii="Times New Roman" w:eastAsia="Times New Roman" w:hAnsi="Times New Roman" w:cs="Times New Roman"/>
          <w:i/>
          <w:color w:val="000000"/>
        </w:rPr>
      </w:pPr>
      <w:r w:rsidRPr="00A14DE8">
        <w:rPr>
          <w:rFonts w:ascii="Times New Roman" w:eastAsia="Times New Roman" w:hAnsi="Times New Roman" w:cs="Times New Roman"/>
          <w:color w:val="000000"/>
        </w:rPr>
        <w:t xml:space="preserve">Nel terzo, dunque, </w:t>
      </w:r>
      <w:r>
        <w:rPr>
          <w:rFonts w:ascii="Times New Roman" w:eastAsia="Times New Roman" w:hAnsi="Times New Roman" w:cs="Times New Roman"/>
          <w:color w:val="000000"/>
        </w:rPr>
        <w:t xml:space="preserve">si toglie quel movimento logico dello </w:t>
      </w:r>
      <w:r w:rsidRPr="0013421D">
        <w:rPr>
          <w:rFonts w:ascii="Times New Roman" w:eastAsia="Times New Roman" w:hAnsi="Times New Roman" w:cs="Times New Roman"/>
          <w:i/>
          <w:color w:val="000000"/>
          <w:lang w:val="de-DE"/>
        </w:rPr>
        <w:t>Scheinen</w:t>
      </w:r>
      <w:r w:rsidRPr="0013421D">
        <w:rPr>
          <w:rFonts w:ascii="Times New Roman" w:eastAsia="Times New Roman" w:hAnsi="Times New Roman" w:cs="Times New Roman"/>
          <w:color w:val="000000"/>
          <w:lang w:val="de-DE"/>
        </w:rPr>
        <w:t xml:space="preserve"> </w:t>
      </w:r>
      <w:r>
        <w:rPr>
          <w:rFonts w:ascii="Times New Roman" w:eastAsia="Times New Roman" w:hAnsi="Times New Roman" w:cs="Times New Roman"/>
          <w:color w:val="000000"/>
        </w:rPr>
        <w:t xml:space="preserve">dell’identità assoluta e sono gettare le basi per il suo concreto manifestarsi. Le modalità realizzative dell’interno, ossia il suo estrinsecarsi come effettualità, saranno al centro delle pagine conclusive della seconda parte della </w:t>
      </w:r>
      <w:r w:rsidRPr="00A14DE8">
        <w:rPr>
          <w:rFonts w:ascii="Times New Roman" w:eastAsia="Times New Roman" w:hAnsi="Times New Roman" w:cs="Times New Roman"/>
          <w:i/>
          <w:color w:val="000000"/>
        </w:rPr>
        <w:t>obejective Logi</w:t>
      </w:r>
      <w:r>
        <w:rPr>
          <w:rFonts w:ascii="Times New Roman" w:eastAsia="Times New Roman" w:hAnsi="Times New Roman" w:cs="Times New Roman"/>
          <w:i/>
          <w:color w:val="000000"/>
        </w:rPr>
        <w:t>k</w:t>
      </w:r>
      <w:r>
        <w:rPr>
          <w:rFonts w:ascii="Times New Roman" w:eastAsia="Times New Roman" w:hAnsi="Times New Roman" w:cs="Times New Roman"/>
          <w:color w:val="000000"/>
        </w:rPr>
        <w:t xml:space="preserve">. </w:t>
      </w:r>
      <w:r w:rsidRPr="0087286F">
        <w:rPr>
          <w:rFonts w:ascii="Times New Roman" w:eastAsia="Times New Roman" w:hAnsi="Times New Roman" w:cs="Times New Roman"/>
          <w:color w:val="000000"/>
        </w:rPr>
        <w:t>Prima di vedere in che modo il contenuto si traduca, in forza di una forma non altra dal con</w:t>
      </w:r>
      <w:r w:rsidR="00D60AC7">
        <w:rPr>
          <w:rFonts w:ascii="Times New Roman" w:eastAsia="Times New Roman" w:hAnsi="Times New Roman" w:cs="Times New Roman"/>
          <w:color w:val="000000"/>
        </w:rPr>
        <w:t>tenuto, nelle sue determinazioni</w:t>
      </w:r>
      <w:r w:rsidRPr="0087286F">
        <w:rPr>
          <w:rFonts w:ascii="Times New Roman" w:eastAsia="Times New Roman" w:hAnsi="Times New Roman" w:cs="Times New Roman"/>
          <w:color w:val="000000"/>
        </w:rPr>
        <w:t>, è bene aprire una parentesi sull’</w:t>
      </w:r>
      <w:r w:rsidRPr="006F159A">
        <w:rPr>
          <w:rFonts w:ascii="Times New Roman" w:eastAsia="Times New Roman" w:hAnsi="Times New Roman" w:cs="Times New Roman"/>
          <w:i/>
          <w:color w:val="000000"/>
          <w:lang w:val="de-DE"/>
        </w:rPr>
        <w:t>Anmerkung</w:t>
      </w:r>
      <w:r w:rsidRPr="0087286F">
        <w:rPr>
          <w:rFonts w:ascii="Times New Roman" w:eastAsia="Times New Roman" w:hAnsi="Times New Roman" w:cs="Times New Roman"/>
          <w:i/>
          <w:color w:val="000000"/>
        </w:rPr>
        <w:t xml:space="preserve"> </w:t>
      </w:r>
      <w:r w:rsidRPr="0087286F">
        <w:rPr>
          <w:rFonts w:ascii="Times New Roman" w:eastAsia="Times New Roman" w:hAnsi="Times New Roman" w:cs="Times New Roman"/>
          <w:color w:val="000000"/>
        </w:rPr>
        <w:t xml:space="preserve">a questa prima e densissima sezione della </w:t>
      </w:r>
      <w:r w:rsidRPr="0087286F">
        <w:rPr>
          <w:rFonts w:ascii="Times New Roman" w:eastAsia="Times New Roman" w:hAnsi="Times New Roman" w:cs="Times New Roman"/>
          <w:i/>
          <w:color w:val="000000"/>
          <w:lang w:val="de-DE"/>
        </w:rPr>
        <w:t>Wirklichkeit</w:t>
      </w:r>
      <w:r w:rsidRPr="0087286F">
        <w:rPr>
          <w:rFonts w:ascii="Times New Roman" w:eastAsia="Times New Roman" w:hAnsi="Times New Roman" w:cs="Times New Roman"/>
          <w:color w:val="000000"/>
          <w:lang w:val="de-DE"/>
        </w:rPr>
        <w:t xml:space="preserve">. </w:t>
      </w:r>
      <w:r w:rsidRPr="0087286F">
        <w:rPr>
          <w:rFonts w:ascii="Times New Roman" w:eastAsia="Times New Roman" w:hAnsi="Times New Roman" w:cs="Times New Roman"/>
          <w:color w:val="000000"/>
        </w:rPr>
        <w:t>Hegel ci dice, senza troppi giri di parole, che quanto è stato esposto nella sezione dell’</w:t>
      </w:r>
      <w:r w:rsidRPr="0087286F">
        <w:rPr>
          <w:rFonts w:ascii="Times New Roman" w:eastAsia="Times New Roman" w:hAnsi="Times New Roman" w:cs="Times New Roman"/>
          <w:i/>
          <w:color w:val="000000"/>
        </w:rPr>
        <w:t>Absolute</w:t>
      </w:r>
      <w:r w:rsidRPr="0087286F">
        <w:rPr>
          <w:rFonts w:ascii="Times New Roman" w:eastAsia="Times New Roman" w:hAnsi="Times New Roman" w:cs="Times New Roman"/>
          <w:color w:val="000000"/>
        </w:rPr>
        <w:t xml:space="preserve"> corrisponde al </w:t>
      </w:r>
      <w:r w:rsidRPr="00485DAF">
        <w:rPr>
          <w:rFonts w:ascii="Times New Roman" w:eastAsia="Times New Roman" w:hAnsi="Times New Roman" w:cs="Times New Roman"/>
          <w:color w:val="000000"/>
        </w:rPr>
        <w:t>«</w:t>
      </w:r>
      <w:r w:rsidRPr="00485DAF">
        <w:rPr>
          <w:rFonts w:ascii="Times New Roman" w:eastAsia="Times New Roman" w:hAnsi="Times New Roman" w:cs="Times New Roman"/>
          <w:color w:val="000000"/>
          <w:lang w:val="de-DE"/>
        </w:rPr>
        <w:t>Begriff der Spinozistischen Substanz»</w:t>
      </w:r>
      <w:r w:rsidRPr="00485DAF">
        <w:rPr>
          <w:rStyle w:val="Rimandonotaapidipagina"/>
          <w:rFonts w:ascii="Times New Roman" w:eastAsia="Times New Roman" w:hAnsi="Times New Roman" w:cs="Times New Roman"/>
          <w:color w:val="000000"/>
          <w:lang w:val="de-DE"/>
        </w:rPr>
        <w:footnoteReference w:id="433"/>
      </w:r>
      <w:r w:rsidRPr="00485DAF">
        <w:rPr>
          <w:rFonts w:ascii="Times New Roman" w:eastAsia="Times New Roman" w:hAnsi="Times New Roman" w:cs="Times New Roman"/>
          <w:color w:val="000000"/>
          <w:lang w:val="de-DE"/>
        </w:rPr>
        <w:t>.</w:t>
      </w:r>
      <w:r>
        <w:rPr>
          <w:rFonts w:ascii="Times New Roman" w:eastAsia="Times New Roman" w:hAnsi="Times New Roman" w:cs="Times New Roman"/>
          <w:color w:val="000000"/>
          <w:lang w:val="de-DE"/>
        </w:rPr>
        <w:t xml:space="preserve"> </w:t>
      </w:r>
      <w:r w:rsidRPr="00714F33">
        <w:rPr>
          <w:rFonts w:ascii="Times New Roman" w:eastAsia="Times New Roman" w:hAnsi="Times New Roman" w:cs="Times New Roman"/>
          <w:color w:val="000000"/>
        </w:rPr>
        <w:t>L’</w:t>
      </w:r>
      <w:r>
        <w:rPr>
          <w:rFonts w:ascii="Times New Roman" w:eastAsia="Times New Roman" w:hAnsi="Times New Roman" w:cs="Times New Roman"/>
          <w:color w:val="000000"/>
        </w:rPr>
        <w:t>on</w:t>
      </w:r>
      <w:r w:rsidRPr="00714F33">
        <w:rPr>
          <w:rFonts w:ascii="Times New Roman" w:eastAsia="Times New Roman" w:hAnsi="Times New Roman" w:cs="Times New Roman"/>
          <w:color w:val="000000"/>
        </w:rPr>
        <w:t xml:space="preserve">tologia spinoziana </w:t>
      </w:r>
      <w:r>
        <w:rPr>
          <w:rFonts w:ascii="Times New Roman" w:eastAsia="Times New Roman" w:hAnsi="Times New Roman" w:cs="Times New Roman"/>
          <w:color w:val="000000"/>
        </w:rPr>
        <w:t xml:space="preserve">è manchevole nella misura in cui delega il determinarsi dell’Assoluto ad una riflessione esterna, </w:t>
      </w:r>
      <w:r w:rsidRPr="002A1BD6">
        <w:rPr>
          <w:rFonts w:ascii="Times New Roman" w:eastAsia="Times New Roman" w:hAnsi="Times New Roman" w:cs="Times New Roman"/>
          <w:color w:val="000000"/>
        </w:rPr>
        <w:t>che rende formale il processo attraverso cui l’unica sostanza</w:t>
      </w:r>
      <w:r>
        <w:rPr>
          <w:rFonts w:ascii="Times New Roman" w:eastAsia="Times New Roman" w:hAnsi="Times New Roman" w:cs="Times New Roman"/>
          <w:color w:val="000000"/>
        </w:rPr>
        <w:t xml:space="preserve"> afferma la propria uni</w:t>
      </w:r>
      <w:r w:rsidRPr="002A1BD6">
        <w:rPr>
          <w:rFonts w:ascii="Times New Roman" w:eastAsia="Times New Roman" w:hAnsi="Times New Roman" w:cs="Times New Roman"/>
          <w:color w:val="000000"/>
        </w:rPr>
        <w:t>totalità.</w:t>
      </w:r>
      <w:r>
        <w:rPr>
          <w:rFonts w:ascii="Times New Roman" w:eastAsia="Times New Roman" w:hAnsi="Times New Roman" w:cs="Times New Roman"/>
          <w:color w:val="000000"/>
        </w:rPr>
        <w:t xml:space="preserve"> </w:t>
      </w:r>
      <w:r w:rsidRPr="00C8241F">
        <w:rPr>
          <w:rFonts w:ascii="Times New Roman" w:eastAsia="Times New Roman" w:hAnsi="Times New Roman" w:cs="Times New Roman"/>
          <w:color w:val="000000"/>
        </w:rPr>
        <w:t xml:space="preserve">Collegato a questa forma esteriore di riflessione, il principio </w:t>
      </w:r>
      <w:r w:rsidRPr="00F36DA0">
        <w:rPr>
          <w:rFonts w:ascii="Times New Roman" w:eastAsia="Times New Roman" w:hAnsi="Times New Roman" w:cs="Times New Roman"/>
          <w:i/>
          <w:color w:val="000000"/>
        </w:rPr>
        <w:t>determinatio est negatio</w:t>
      </w:r>
      <w:r w:rsidRPr="00F36DA0">
        <w:rPr>
          <w:rFonts w:ascii="Times New Roman" w:eastAsia="Times New Roman" w:hAnsi="Times New Roman" w:cs="Times New Roman"/>
          <w:color w:val="000000"/>
        </w:rPr>
        <w:t xml:space="preserve"> esprime l’indeterminatezza che pervade lo spinozismo. Cogliere la determinazione come negazione, infatti, significa «</w:t>
      </w:r>
      <w:r w:rsidRPr="00F36DA0">
        <w:rPr>
          <w:rFonts w:ascii="Times New Roman" w:eastAsia="Times New Roman" w:hAnsi="Times New Roman" w:cs="Times New Roman"/>
          <w:color w:val="000000"/>
          <w:lang w:val="de-DE"/>
        </w:rPr>
        <w:t>bey der Negation als Bestimmtheit oder Qualität stehenbleiben»</w:t>
      </w:r>
      <w:r w:rsidRPr="00F36DA0">
        <w:rPr>
          <w:rStyle w:val="Rimandonotaapidipagina"/>
          <w:rFonts w:ascii="Times New Roman" w:eastAsia="Times New Roman" w:hAnsi="Times New Roman" w:cs="Times New Roman"/>
          <w:color w:val="000000"/>
        </w:rPr>
        <w:footnoteReference w:id="434"/>
      </w:r>
      <w:r w:rsidRPr="00F36DA0">
        <w:rPr>
          <w:rFonts w:ascii="Times New Roman" w:eastAsia="Times New Roman" w:hAnsi="Times New Roman" w:cs="Times New Roman"/>
          <w:color w:val="000000"/>
          <w:lang w:val="de-DE"/>
        </w:rPr>
        <w:t xml:space="preserve">. </w:t>
      </w:r>
      <w:r w:rsidRPr="00F36DA0">
        <w:rPr>
          <w:rFonts w:ascii="Times New Roman" w:eastAsia="Times New Roman" w:hAnsi="Times New Roman" w:cs="Times New Roman"/>
          <w:color w:val="000000"/>
        </w:rPr>
        <w:t>Come abbiamo già visto in altri momenti dello sviluppo logico,</w:t>
      </w:r>
      <w:r>
        <w:rPr>
          <w:rFonts w:ascii="Times New Roman" w:eastAsia="Times New Roman" w:hAnsi="Times New Roman" w:cs="Times New Roman"/>
          <w:color w:val="000000"/>
        </w:rPr>
        <w:t xml:space="preserve"> la negazione, intesa qualitativamente, costituisce una determinatezza, che non può essere ascritta in modo alcuno alla sostanza, alla pura e semplice affermazione di sé. Il principio portante dello spinozismo, pertanto, rende il divino un semplice positivo, nella misura in cui non si spinge </w:t>
      </w:r>
      <w:r w:rsidRPr="00FB045E">
        <w:rPr>
          <w:rFonts w:ascii="Times New Roman" w:eastAsia="Times New Roman" w:hAnsi="Times New Roman" w:cs="Times New Roman"/>
          <w:color w:val="000000"/>
        </w:rPr>
        <w:t>«</w:t>
      </w:r>
      <w:r w:rsidRPr="00FB045E">
        <w:rPr>
          <w:rFonts w:ascii="Times New Roman" w:eastAsia="Times New Roman" w:hAnsi="Times New Roman" w:cs="Times New Roman"/>
          <w:color w:val="000000"/>
          <w:lang w:val="de-DE"/>
        </w:rPr>
        <w:t>zur Erkenntniß derselben [Negation] als absoluter, das heißt, sich negierender Negation; somit enthält seine Substanz nicht selbst die absolute Form, und das Erkennen derselben ist kein immanentes Erkennen»</w:t>
      </w:r>
      <w:r w:rsidRPr="00FB045E">
        <w:rPr>
          <w:rStyle w:val="Rimandonotaapidipagina"/>
          <w:rFonts w:ascii="Times New Roman" w:eastAsia="Times New Roman" w:hAnsi="Times New Roman" w:cs="Times New Roman"/>
          <w:color w:val="000000"/>
        </w:rPr>
        <w:footnoteReference w:id="435"/>
      </w:r>
      <w:r>
        <w:rPr>
          <w:rFonts w:ascii="Times New Roman" w:eastAsia="Times New Roman" w:hAnsi="Times New Roman" w:cs="Times New Roman"/>
          <w:color w:val="000000"/>
          <w:lang w:val="de-DE"/>
        </w:rPr>
        <w:t xml:space="preserve">. </w:t>
      </w:r>
      <w:r>
        <w:rPr>
          <w:rFonts w:ascii="Times New Roman" w:eastAsia="Times New Roman" w:hAnsi="Times New Roman" w:cs="Times New Roman"/>
          <w:color w:val="000000"/>
        </w:rPr>
        <w:t>La</w:t>
      </w:r>
      <w:r w:rsidRPr="00D96A46">
        <w:rPr>
          <w:rFonts w:ascii="Times New Roman" w:eastAsia="Times New Roman" w:hAnsi="Times New Roman" w:cs="Times New Roman"/>
          <w:color w:val="000000"/>
        </w:rPr>
        <w:t xml:space="preserve"> negazione, come negazione che si nega</w:t>
      </w:r>
      <w:r>
        <w:rPr>
          <w:rFonts w:ascii="Times New Roman" w:eastAsia="Times New Roman" w:hAnsi="Times New Roman" w:cs="Times New Roman"/>
          <w:color w:val="000000"/>
        </w:rPr>
        <w:t xml:space="preserve"> (essendo così positiva), rispecchia quella dinamica di positivo e negativo, che Hegel ha ascritto alla nozione böhmiana </w:t>
      </w:r>
      <w:r w:rsidRPr="00C8241F">
        <w:rPr>
          <w:rFonts w:ascii="Times New Roman" w:eastAsia="Times New Roman" w:hAnsi="Times New Roman" w:cs="Times New Roman"/>
          <w:color w:val="000000"/>
        </w:rPr>
        <w:t>d’</w:t>
      </w:r>
      <w:r w:rsidRPr="00C8241F">
        <w:rPr>
          <w:rFonts w:ascii="Times New Roman" w:eastAsia="Times New Roman" w:hAnsi="Times New Roman" w:cs="Times New Roman"/>
          <w:i/>
          <w:color w:val="000000"/>
        </w:rPr>
        <w:t>Inqualierung</w:t>
      </w:r>
      <w:r w:rsidRPr="00C8241F">
        <w:rPr>
          <w:rFonts w:ascii="Times New Roman" w:eastAsia="Times New Roman" w:hAnsi="Times New Roman" w:cs="Times New Roman"/>
          <w:color w:val="000000"/>
        </w:rPr>
        <w:t>. Riconoscere la natura contraddittoria del pensiero è un passo teoretico necessario ai fini della conoscenza della forma che permea il contenuto assoluto.</w:t>
      </w:r>
      <w:r>
        <w:rPr>
          <w:rFonts w:ascii="Times New Roman" w:eastAsia="Times New Roman" w:hAnsi="Times New Roman" w:cs="Times New Roman"/>
          <w:color w:val="000000"/>
        </w:rPr>
        <w:t xml:space="preserve"> Soltanto deficitariamente, si può dire che </w:t>
      </w:r>
      <w:r w:rsidRPr="00372FD7">
        <w:rPr>
          <w:rFonts w:ascii="Times New Roman" w:eastAsia="Times New Roman" w:hAnsi="Times New Roman" w:cs="Times New Roman"/>
          <w:color w:val="000000"/>
        </w:rPr>
        <w:t xml:space="preserve">l’Assoluto, o la sostanza, sia una struttura identitaria positiva. Il negativo, infatti, non esclude il positivo, ma è uno con esso: per questa ragione, affermare la positività di un </w:t>
      </w:r>
      <w:r w:rsidR="001D5ECC" w:rsidRPr="00372FD7">
        <w:rPr>
          <w:rFonts w:ascii="Times New Roman" w:eastAsia="Times New Roman" w:hAnsi="Times New Roman" w:cs="Times New Roman"/>
          <w:color w:val="000000"/>
        </w:rPr>
        <w:t>contenu</w:t>
      </w:r>
      <w:r w:rsidRPr="00372FD7">
        <w:rPr>
          <w:rFonts w:ascii="Times New Roman" w:eastAsia="Times New Roman" w:hAnsi="Times New Roman" w:cs="Times New Roman"/>
          <w:color w:val="000000"/>
        </w:rPr>
        <w:t>to significa,</w:t>
      </w:r>
      <w:r w:rsidRPr="006C49AB">
        <w:rPr>
          <w:rFonts w:ascii="Times New Roman" w:eastAsia="Times New Roman" w:hAnsi="Times New Roman" w:cs="Times New Roman"/>
          <w:color w:val="000000"/>
        </w:rPr>
        <w:t xml:space="preserve"> al contempo, predicarne l’intrinseca negatività. La negatività, che spinge il positivo oltre sé, non è uno zero, ma una negatività determinata, e con ciò positiva, che, a propria volta, essendo in sé determinata e negativa, si supera per riconfluire in quel primo positivo-negativo da cui la dinamica relazionale aveva preso avvio.</w:t>
      </w:r>
      <w:r>
        <w:rPr>
          <w:rFonts w:ascii="Times New Roman" w:eastAsia="Times New Roman" w:hAnsi="Times New Roman" w:cs="Times New Roman"/>
          <w:color w:val="000000"/>
        </w:rPr>
        <w:t xml:space="preserve"> Questo sviluppo formale del contenuto è assoluto proprio perché non presuppone nulla che sia esterno alla cosa stessa. </w:t>
      </w:r>
      <w:r w:rsidRPr="00352778">
        <w:rPr>
          <w:rFonts w:ascii="Times New Roman" w:eastAsia="Times New Roman" w:hAnsi="Times New Roman" w:cs="Times New Roman"/>
          <w:color w:val="000000"/>
        </w:rPr>
        <w:t>È l’oggetto che parla di sé, che manifesta sé e che si dà a conoscere, così come esso è, al pensare speculativo.</w:t>
      </w:r>
      <w:r>
        <w:rPr>
          <w:rFonts w:ascii="Times New Roman" w:eastAsia="Times New Roman" w:hAnsi="Times New Roman" w:cs="Times New Roman"/>
          <w:color w:val="000000"/>
        </w:rPr>
        <w:t xml:space="preserve"> </w:t>
      </w:r>
      <w:r w:rsidRPr="00352778">
        <w:rPr>
          <w:rFonts w:ascii="Times New Roman" w:eastAsia="Times New Roman" w:hAnsi="Times New Roman" w:cs="Times New Roman"/>
          <w:color w:val="000000"/>
        </w:rPr>
        <w:t xml:space="preserve">Nel suo esibire l’opposizione come essa è nell’essenza, </w:t>
      </w:r>
      <w:r>
        <w:rPr>
          <w:rFonts w:ascii="Times New Roman" w:eastAsia="Times New Roman" w:hAnsi="Times New Roman" w:cs="Times New Roman"/>
          <w:color w:val="000000"/>
        </w:rPr>
        <w:t>la nozione böhmiana d’</w:t>
      </w:r>
      <w:r w:rsidRPr="00352778">
        <w:rPr>
          <w:rFonts w:ascii="Times New Roman" w:eastAsia="Times New Roman" w:hAnsi="Times New Roman" w:cs="Times New Roman"/>
          <w:i/>
          <w:color w:val="000000"/>
        </w:rPr>
        <w:t>Inqualierung</w:t>
      </w:r>
      <w:r w:rsidRPr="00352778">
        <w:rPr>
          <w:rFonts w:ascii="Times New Roman" w:eastAsia="Times New Roman" w:hAnsi="Times New Roman" w:cs="Times New Roman"/>
          <w:color w:val="000000"/>
        </w:rPr>
        <w:t xml:space="preserve"> riflette il farsi incondizionato del contenuto assoluto. A questo punto, sarebbe lecito aspettarsi un richiamo al pensiero di Böhme nell’</w:t>
      </w:r>
      <w:r w:rsidRPr="00352778">
        <w:rPr>
          <w:rFonts w:ascii="Times New Roman" w:eastAsia="Times New Roman" w:hAnsi="Times New Roman" w:cs="Times New Roman"/>
          <w:i/>
          <w:color w:val="000000"/>
        </w:rPr>
        <w:t>Anmerkung</w:t>
      </w:r>
      <w:r w:rsidRPr="00352778">
        <w:rPr>
          <w:rFonts w:ascii="Times New Roman" w:eastAsia="Times New Roman" w:hAnsi="Times New Roman" w:cs="Times New Roman"/>
          <w:color w:val="000000"/>
        </w:rPr>
        <w:t xml:space="preserve"> all’</w:t>
      </w:r>
      <w:r w:rsidRPr="00352778">
        <w:rPr>
          <w:rFonts w:ascii="Times New Roman" w:eastAsia="Times New Roman" w:hAnsi="Times New Roman" w:cs="Times New Roman"/>
          <w:i/>
          <w:color w:val="000000"/>
        </w:rPr>
        <w:t>Absolute</w:t>
      </w:r>
      <w:r w:rsidRPr="00352778">
        <w:rPr>
          <w:rFonts w:ascii="Times New Roman" w:eastAsia="Times New Roman" w:hAnsi="Times New Roman" w:cs="Times New Roman"/>
          <w:color w:val="000000"/>
        </w:rPr>
        <w:t xml:space="preserve">. Quest’aspettativa è però disattesa da Hegel, che non si riferisce mai direttamente all’opera del ciabattino di Görlitz. Nonostante quest’omissione, Hegel introduce alcune determinazioni di pensiero che creano un collegamento implicito con il pensiero </w:t>
      </w:r>
      <w:r>
        <w:rPr>
          <w:rFonts w:ascii="Times New Roman" w:eastAsia="Times New Roman" w:hAnsi="Times New Roman" w:cs="Times New Roman"/>
          <w:color w:val="000000"/>
        </w:rPr>
        <w:t xml:space="preserve">di </w:t>
      </w:r>
      <w:r w:rsidRPr="00352778">
        <w:rPr>
          <w:rFonts w:ascii="Times New Roman" w:eastAsia="Times New Roman" w:hAnsi="Times New Roman" w:cs="Times New Roman"/>
          <w:color w:val="000000"/>
        </w:rPr>
        <w:t>Böhme</w:t>
      </w:r>
      <w:r>
        <w:rPr>
          <w:rFonts w:ascii="Times New Roman" w:eastAsia="Times New Roman" w:hAnsi="Times New Roman" w:cs="Times New Roman"/>
          <w:color w:val="000000"/>
        </w:rPr>
        <w:t xml:space="preserve">. </w:t>
      </w:r>
      <w:r w:rsidRPr="00352778">
        <w:rPr>
          <w:rFonts w:ascii="Times New Roman" w:eastAsia="Times New Roman" w:hAnsi="Times New Roman" w:cs="Times New Roman"/>
          <w:color w:val="000000"/>
        </w:rPr>
        <w:t xml:space="preserve">La stessa discussione della teoria leibniziana delle monadi, che offre, </w:t>
      </w:r>
      <w:r w:rsidRPr="00352778">
        <w:rPr>
          <w:rFonts w:ascii="Times New Roman" w:eastAsia="Times New Roman" w:hAnsi="Times New Roman" w:cs="Times New Roman"/>
          <w:i/>
          <w:color w:val="000000"/>
        </w:rPr>
        <w:t>prima facie</w:t>
      </w:r>
      <w:r w:rsidRPr="00352778">
        <w:rPr>
          <w:rFonts w:ascii="Times New Roman" w:eastAsia="Times New Roman" w:hAnsi="Times New Roman" w:cs="Times New Roman"/>
          <w:color w:val="000000"/>
        </w:rPr>
        <w:t xml:space="preserve">, un superamento della natura irriflessa della sostanza spinoziana, non preclude una sottotraccia argomentativa di matrice </w:t>
      </w:r>
      <w:r>
        <w:rPr>
          <w:rFonts w:ascii="Times New Roman" w:eastAsia="Times New Roman" w:hAnsi="Times New Roman" w:cs="Times New Roman"/>
          <w:color w:val="000000"/>
        </w:rPr>
        <w:t>böhmiana</w:t>
      </w:r>
      <w:r w:rsidRPr="00352778">
        <w:rPr>
          <w:rFonts w:ascii="Times New Roman" w:eastAsia="Times New Roman" w:hAnsi="Times New Roman" w:cs="Times New Roman"/>
          <w:color w:val="000000"/>
        </w:rPr>
        <w:t>.</w:t>
      </w:r>
    </w:p>
    <w:p w14:paraId="652E3FDE" w14:textId="77777777" w:rsidR="00BC5768" w:rsidRDefault="001B7751" w:rsidP="001B7751">
      <w:pPr>
        <w:pStyle w:val="Paragrafoelenco"/>
        <w:spacing w:line="360" w:lineRule="auto"/>
        <w:ind w:left="0" w:firstLine="567"/>
        <w:jc w:val="both"/>
        <w:rPr>
          <w:rFonts w:ascii="Times New Roman" w:eastAsia="Times New Roman" w:hAnsi="Times New Roman" w:cs="Times New Roman"/>
          <w:color w:val="000000"/>
        </w:rPr>
      </w:pPr>
      <w:r w:rsidRPr="0028553B">
        <w:rPr>
          <w:rFonts w:ascii="Times New Roman" w:eastAsia="Times New Roman" w:hAnsi="Times New Roman" w:cs="Times New Roman"/>
          <w:color w:val="000000"/>
        </w:rPr>
        <w:t xml:space="preserve">Hegel interpreta la monade come </w:t>
      </w:r>
      <w:r w:rsidRPr="001659FB">
        <w:rPr>
          <w:rFonts w:ascii="Times New Roman" w:eastAsia="Times New Roman" w:hAnsi="Times New Roman" w:cs="Times New Roman"/>
          <w:color w:val="000000"/>
        </w:rPr>
        <w:t>«</w:t>
      </w:r>
      <w:r w:rsidRPr="001659FB">
        <w:rPr>
          <w:rFonts w:ascii="Times New Roman" w:eastAsia="Times New Roman" w:hAnsi="Times New Roman" w:cs="Times New Roman"/>
          <w:color w:val="000000"/>
          <w:lang w:val="de-DE"/>
        </w:rPr>
        <w:t xml:space="preserve">Reflexion an sich», </w:t>
      </w:r>
      <w:r w:rsidRPr="001659FB">
        <w:rPr>
          <w:rFonts w:ascii="Times New Roman" w:eastAsia="Times New Roman" w:hAnsi="Times New Roman" w:cs="Times New Roman"/>
          <w:color w:val="000000"/>
        </w:rPr>
        <w:t>ossia</w:t>
      </w:r>
      <w:r w:rsidRPr="001659FB">
        <w:rPr>
          <w:rFonts w:ascii="Times New Roman" w:eastAsia="Times New Roman" w:hAnsi="Times New Roman" w:cs="Times New Roman"/>
          <w:color w:val="000000"/>
          <w:lang w:val="de-DE"/>
        </w:rPr>
        <w:t xml:space="preserve"> «ein Eins, ein in sich reflectiertes Negatives»</w:t>
      </w:r>
      <w:r w:rsidRPr="001659FB">
        <w:rPr>
          <w:rStyle w:val="Rimandonotaapidipagina"/>
          <w:rFonts w:ascii="Times New Roman" w:eastAsia="Times New Roman" w:hAnsi="Times New Roman" w:cs="Times New Roman"/>
          <w:color w:val="000000"/>
          <w:lang w:val="de-DE"/>
        </w:rPr>
        <w:footnoteReference w:id="436"/>
      </w:r>
      <w:r w:rsidRPr="001659FB">
        <w:rPr>
          <w:rFonts w:ascii="Times New Roman" w:eastAsia="Times New Roman" w:hAnsi="Times New Roman" w:cs="Times New Roman"/>
          <w:color w:val="000000"/>
          <w:lang w:val="de-DE"/>
        </w:rPr>
        <w:t xml:space="preserve">. </w:t>
      </w:r>
      <w:r w:rsidRPr="001659FB">
        <w:rPr>
          <w:rFonts w:ascii="Times New Roman" w:eastAsia="Times New Roman" w:hAnsi="Times New Roman" w:cs="Times New Roman"/>
          <w:color w:val="000000"/>
        </w:rPr>
        <w:t>In forza della sua riflessività, o della sua negatività interiore, la monade è</w:t>
      </w:r>
      <w:r w:rsidRPr="001659FB">
        <w:rPr>
          <w:rFonts w:ascii="Times New Roman" w:eastAsia="Times New Roman" w:hAnsi="Times New Roman" w:cs="Times New Roman"/>
          <w:color w:val="000000"/>
          <w:lang w:val="de-DE"/>
        </w:rPr>
        <w:t xml:space="preserve"> «keine Passivität; sondern die Veränderungen und Bestimmungen in ihr sind Manifestationen ihrer an ihr selbst»</w:t>
      </w:r>
      <w:r w:rsidRPr="001659FB">
        <w:rPr>
          <w:rStyle w:val="Rimandonotaapidipagina"/>
          <w:rFonts w:ascii="Times New Roman" w:eastAsia="Times New Roman" w:hAnsi="Times New Roman" w:cs="Times New Roman"/>
          <w:color w:val="000000"/>
          <w:lang w:val="de-DE"/>
        </w:rPr>
        <w:footnoteReference w:id="437"/>
      </w:r>
      <w:r w:rsidRPr="001659FB">
        <w:rPr>
          <w:rFonts w:ascii="Times New Roman" w:eastAsia="Times New Roman" w:hAnsi="Times New Roman" w:cs="Times New Roman"/>
          <w:color w:val="000000"/>
          <w:lang w:val="de-DE"/>
        </w:rPr>
        <w:t xml:space="preserve">. </w:t>
      </w:r>
      <w:r w:rsidRPr="001659FB">
        <w:rPr>
          <w:rFonts w:ascii="Times New Roman" w:eastAsia="Times New Roman" w:hAnsi="Times New Roman" w:cs="Times New Roman"/>
          <w:color w:val="000000"/>
        </w:rPr>
        <w:t>Così costituita, essa</w:t>
      </w:r>
      <w:r w:rsidRPr="001659FB">
        <w:rPr>
          <w:rFonts w:ascii="Times New Roman" w:eastAsia="Times New Roman" w:hAnsi="Times New Roman" w:cs="Times New Roman"/>
          <w:color w:val="000000"/>
          <w:lang w:val="de-DE"/>
        </w:rPr>
        <w:t xml:space="preserve"> è «Entelechie», o «das Offenbaren ist ihr eigenes Thun»</w:t>
      </w:r>
      <w:r w:rsidRPr="001659FB">
        <w:rPr>
          <w:rStyle w:val="Rimandonotaapidipagina"/>
          <w:rFonts w:ascii="Times New Roman" w:eastAsia="Times New Roman" w:hAnsi="Times New Roman" w:cs="Times New Roman"/>
          <w:color w:val="000000"/>
          <w:lang w:val="de-DE"/>
        </w:rPr>
        <w:footnoteReference w:id="438"/>
      </w:r>
      <w:r w:rsidRPr="001659FB">
        <w:rPr>
          <w:rFonts w:ascii="Times New Roman" w:eastAsia="Times New Roman" w:hAnsi="Times New Roman" w:cs="Times New Roman"/>
          <w:color w:val="000000"/>
          <w:lang w:val="de-DE"/>
        </w:rPr>
        <w:t>.</w:t>
      </w:r>
      <w:r w:rsidRPr="0028553B">
        <w:rPr>
          <w:rFonts w:ascii="Times New Roman" w:eastAsia="Times New Roman" w:hAnsi="Times New Roman" w:cs="Times New Roman"/>
          <w:color w:val="000000"/>
          <w:lang w:val="de-DE"/>
        </w:rPr>
        <w:t xml:space="preserve"> </w:t>
      </w:r>
      <w:r w:rsidRPr="0028553B">
        <w:rPr>
          <w:rFonts w:ascii="Times New Roman" w:eastAsia="Times New Roman" w:hAnsi="Times New Roman" w:cs="Times New Roman"/>
          <w:color w:val="000000"/>
        </w:rPr>
        <w:t>Mutamenti e determinazioni sono, quindi, riflessi del manifestarsi della monade a partire da sé, non da altro. Del pari, questo riflettersi rivela l’attività, non la passività, che anima gli atomi leibniziani. Ma l’attività riflessiva, assimilata alla capacità rappresentativa della monade, è limitata nella misura in cui sussiste una predestinazione</w:t>
      </w:r>
      <w:r>
        <w:rPr>
          <w:rFonts w:ascii="Times New Roman" w:eastAsia="Times New Roman" w:hAnsi="Times New Roman" w:cs="Times New Roman"/>
          <w:color w:val="000000"/>
        </w:rPr>
        <w:t xml:space="preserve"> delle enti</w:t>
      </w:r>
      <w:r w:rsidRPr="0028553B">
        <w:rPr>
          <w:rFonts w:ascii="Times New Roman" w:eastAsia="Times New Roman" w:hAnsi="Times New Roman" w:cs="Times New Roman"/>
          <w:color w:val="000000"/>
        </w:rPr>
        <w:t>tà spirituali semplici: in quanto create da un’essenza altra, da Dio, le monadi sono dotate di un contenuto limitato, a cui corrisponde, almeno in teoria, una forma illimitata del medesimo. La predestinazione pone un limite alle monadi, le quali realizzano, in quanto dotate di un’indipendente attività riflessiva, un’infinità della forma da cui seguono rappresentazioni e mutamenti analoghi ed eterogenei ad un tempo. In quanto entità chiuse</w:t>
      </w:r>
      <w:r>
        <w:rPr>
          <w:rFonts w:ascii="Times New Roman" w:eastAsia="Times New Roman" w:hAnsi="Times New Roman" w:cs="Times New Roman"/>
          <w:color w:val="000000"/>
        </w:rPr>
        <w:t xml:space="preserve"> </w:t>
      </w:r>
      <w:r w:rsidRPr="001659FB">
        <w:rPr>
          <w:rFonts w:ascii="Times New Roman" w:eastAsia="Times New Roman" w:hAnsi="Times New Roman" w:cs="Times New Roman"/>
          <w:color w:val="000000"/>
        </w:rPr>
        <w:t>– «</w:t>
      </w:r>
      <w:r w:rsidRPr="001659FB">
        <w:rPr>
          <w:rFonts w:ascii="Times New Roman" w:eastAsia="Times New Roman" w:hAnsi="Times New Roman" w:cs="Times New Roman"/>
          <w:color w:val="000000"/>
          <w:lang w:val="fr-FR"/>
        </w:rPr>
        <w:t>les monades n’ont point de fenêtres</w:t>
      </w:r>
      <w:r w:rsidRPr="001659FB">
        <w:rPr>
          <w:rFonts w:ascii="Times New Roman" w:eastAsia="Times New Roman" w:hAnsi="Times New Roman" w:cs="Times New Roman"/>
          <w:color w:val="000000"/>
          <w:lang w:val="de-DE"/>
        </w:rPr>
        <w:t>»</w:t>
      </w:r>
      <w:r w:rsidRPr="001659FB">
        <w:rPr>
          <w:rStyle w:val="Rimandonotaapidipagina"/>
          <w:rFonts w:ascii="Times New Roman" w:eastAsia="Times New Roman" w:hAnsi="Times New Roman" w:cs="Times New Roman"/>
          <w:color w:val="000000"/>
        </w:rPr>
        <w:footnoteReference w:id="439"/>
      </w:r>
      <w:r w:rsidRPr="001659FB">
        <w:rPr>
          <w:rFonts w:ascii="Times New Roman" w:eastAsia="Times New Roman" w:hAnsi="Times New Roman" w:cs="Times New Roman"/>
          <w:color w:val="000000"/>
          <w:lang w:val="de-DE"/>
        </w:rPr>
        <w:t xml:space="preserve"> –</w:t>
      </w:r>
      <w:r w:rsidR="00BC5768">
        <w:rPr>
          <w:rFonts w:ascii="Times New Roman" w:eastAsia="Times New Roman" w:hAnsi="Times New Roman" w:cs="Times New Roman"/>
          <w:color w:val="000000"/>
        </w:rPr>
        <w:t>, non comunicanti fra di loro</w:t>
      </w:r>
      <w:r w:rsidRPr="001659FB">
        <w:rPr>
          <w:rFonts w:ascii="Times New Roman" w:eastAsia="Times New Roman" w:hAnsi="Times New Roman" w:cs="Times New Roman"/>
          <w:color w:val="000000"/>
        </w:rPr>
        <w:t xml:space="preserve"> e quindi sprovviste della riflessione in altro, le monadi sviluppano, in virtù dell’armonia prestabilita, una serie di contenuti sovrapponibili e, tenute ferme le differenze formali, simili. La limitazione e la predestinazione sono determinazioni e limiti degli individui che sono posti da un altro, ossia dalla Monade delle monadi. Dio, che dovrebbe essere unità della forma e del contenuto, «</w:t>
      </w:r>
      <w:r w:rsidRPr="001659FB">
        <w:rPr>
          <w:rFonts w:ascii="Times New Roman" w:eastAsia="Times New Roman" w:hAnsi="Times New Roman" w:cs="Times New Roman"/>
          <w:color w:val="000000"/>
          <w:lang w:val="de-DE"/>
        </w:rPr>
        <w:t>sich auf sich selbst beziehende Negativität»</w:t>
      </w:r>
      <w:r w:rsidRPr="001659FB">
        <w:rPr>
          <w:rStyle w:val="Rimandonotaapidipagina"/>
          <w:rFonts w:ascii="Times New Roman" w:eastAsia="Times New Roman" w:hAnsi="Times New Roman" w:cs="Times New Roman"/>
          <w:color w:val="000000"/>
        </w:rPr>
        <w:footnoteReference w:id="440"/>
      </w:r>
      <w:r w:rsidRPr="001659FB">
        <w:rPr>
          <w:rFonts w:ascii="Times New Roman" w:eastAsia="Times New Roman" w:hAnsi="Times New Roman" w:cs="Times New Roman"/>
          <w:color w:val="000000"/>
          <w:lang w:val="de-DE"/>
        </w:rPr>
        <w:t>,</w:t>
      </w:r>
      <w:r w:rsidRPr="0028553B">
        <w:rPr>
          <w:rFonts w:ascii="Times New Roman" w:eastAsia="Times New Roman" w:hAnsi="Times New Roman" w:cs="Times New Roman"/>
          <w:color w:val="000000"/>
          <w:lang w:val="de-DE"/>
        </w:rPr>
        <w:t xml:space="preserve"> </w:t>
      </w:r>
      <w:r w:rsidRPr="0028553B">
        <w:rPr>
          <w:rFonts w:ascii="Times New Roman" w:eastAsia="Times New Roman" w:hAnsi="Times New Roman" w:cs="Times New Roman"/>
          <w:color w:val="000000"/>
        </w:rPr>
        <w:t xml:space="preserve">in realtà, nel suo determinare l’altro da sé, dà vita ad una serie d’individui irriflessi vicendevolmente e nei quali non ha luogo nessuna dinamica di rispecchiamento. Quel carattere astratto dello spinozismo, che è in parte superato dalla monadologia leibniziana, si ripresenta nelle battute conclusive di questa densissima </w:t>
      </w:r>
      <w:r w:rsidRPr="0028553B">
        <w:rPr>
          <w:rFonts w:ascii="Times New Roman" w:eastAsia="Times New Roman" w:hAnsi="Times New Roman" w:cs="Times New Roman"/>
          <w:i/>
          <w:color w:val="000000"/>
          <w:lang w:val="de-DE"/>
        </w:rPr>
        <w:t>Anmerkung</w:t>
      </w:r>
      <w:r w:rsidRPr="0028553B">
        <w:rPr>
          <w:rFonts w:ascii="Times New Roman" w:eastAsia="Times New Roman" w:hAnsi="Times New Roman" w:cs="Times New Roman"/>
          <w:color w:val="000000"/>
          <w:lang w:val="de-DE"/>
        </w:rPr>
        <w:t>.</w:t>
      </w:r>
      <w:r w:rsidRPr="0028553B">
        <w:rPr>
          <w:rFonts w:ascii="Times New Roman" w:eastAsia="Times New Roman" w:hAnsi="Times New Roman" w:cs="Times New Roman"/>
          <w:color w:val="000000"/>
        </w:rPr>
        <w:t xml:space="preserve"> Infatti, come ci dice Hegel, Dio è </w:t>
      </w:r>
      <w:r w:rsidRPr="005B423C">
        <w:rPr>
          <w:rFonts w:ascii="Times New Roman" w:eastAsia="Times New Roman" w:hAnsi="Times New Roman" w:cs="Times New Roman"/>
          <w:color w:val="000000"/>
        </w:rPr>
        <w:t>«</w:t>
      </w:r>
      <w:r w:rsidRPr="005B423C">
        <w:rPr>
          <w:rFonts w:ascii="Times New Roman" w:eastAsia="Times New Roman" w:hAnsi="Times New Roman" w:cs="Times New Roman"/>
          <w:color w:val="000000"/>
          <w:lang w:val="de-DE"/>
        </w:rPr>
        <w:t>Quelle der Existenz und des Wesens der Monaden»</w:t>
      </w:r>
      <w:r w:rsidRPr="005B423C">
        <w:rPr>
          <w:rStyle w:val="Rimandonotaapidipagina"/>
          <w:rFonts w:ascii="Times New Roman" w:eastAsia="Times New Roman" w:hAnsi="Times New Roman" w:cs="Times New Roman"/>
          <w:color w:val="000000"/>
        </w:rPr>
        <w:footnoteReference w:id="441"/>
      </w:r>
      <w:r w:rsidRPr="005B423C">
        <w:rPr>
          <w:rFonts w:ascii="Times New Roman" w:eastAsia="Times New Roman" w:hAnsi="Times New Roman" w:cs="Times New Roman"/>
          <w:color w:val="000000"/>
          <w:lang w:val="de-DE"/>
        </w:rPr>
        <w:t xml:space="preserve"> </w:t>
      </w:r>
      <w:r w:rsidRPr="0028553B">
        <w:rPr>
          <w:rFonts w:ascii="Times New Roman" w:eastAsia="Times New Roman" w:hAnsi="Times New Roman" w:cs="Times New Roman"/>
          <w:color w:val="000000"/>
        </w:rPr>
        <w:t xml:space="preserve">senza che il differenziarsi della medesime, il </w:t>
      </w:r>
      <w:r>
        <w:rPr>
          <w:rFonts w:ascii="Times New Roman" w:eastAsia="Times New Roman" w:hAnsi="Times New Roman" w:cs="Times New Roman"/>
          <w:color w:val="000000"/>
        </w:rPr>
        <w:t>loro congiungersi vicendevole e</w:t>
      </w:r>
      <w:r w:rsidRPr="0028553B">
        <w:rPr>
          <w:rFonts w:ascii="Times New Roman" w:eastAsia="Times New Roman" w:hAnsi="Times New Roman" w:cs="Times New Roman"/>
          <w:color w:val="000000"/>
        </w:rPr>
        <w:t xml:space="preserve"> il loro rapportarsi con l’Assoluto trovi una forma speculativa di sviluppo. </w:t>
      </w:r>
    </w:p>
    <w:p w14:paraId="43AE4877" w14:textId="77777777" w:rsidR="00473FC1" w:rsidRDefault="001B7751" w:rsidP="001B7751">
      <w:pPr>
        <w:pStyle w:val="Paragrafoelenco"/>
        <w:spacing w:line="360" w:lineRule="auto"/>
        <w:ind w:left="0" w:firstLine="567"/>
        <w:jc w:val="both"/>
        <w:rPr>
          <w:rFonts w:ascii="Times New Roman" w:eastAsia="Times New Roman" w:hAnsi="Times New Roman" w:cs="Times New Roman"/>
          <w:color w:val="000000"/>
        </w:rPr>
      </w:pPr>
      <w:r w:rsidRPr="0028553B">
        <w:rPr>
          <w:rFonts w:ascii="Times New Roman" w:eastAsia="Times New Roman" w:hAnsi="Times New Roman" w:cs="Times New Roman"/>
          <w:color w:val="000000"/>
        </w:rPr>
        <w:t>Detto questo, ciò che mi preme evidenziare è l</w:t>
      </w:r>
      <w:r w:rsidR="00080193">
        <w:rPr>
          <w:rFonts w:ascii="Times New Roman" w:eastAsia="Times New Roman" w:hAnsi="Times New Roman" w:cs="Times New Roman"/>
          <w:color w:val="000000"/>
        </w:rPr>
        <w:t>’utilizzo hegeliano della parola</w:t>
      </w:r>
      <w:r w:rsidRPr="0028553B">
        <w:rPr>
          <w:rFonts w:ascii="Times New Roman" w:eastAsia="Times New Roman" w:hAnsi="Times New Roman" w:cs="Times New Roman"/>
          <w:color w:val="000000"/>
        </w:rPr>
        <w:t xml:space="preserve"> “</w:t>
      </w:r>
      <w:r w:rsidRPr="0028553B">
        <w:rPr>
          <w:rFonts w:ascii="Times New Roman" w:eastAsia="Times New Roman" w:hAnsi="Times New Roman" w:cs="Times New Roman"/>
          <w:i/>
          <w:color w:val="000000"/>
        </w:rPr>
        <w:t>Quelle</w:t>
      </w:r>
      <w:r w:rsidRPr="0028553B">
        <w:rPr>
          <w:rFonts w:ascii="Times New Roman" w:eastAsia="Times New Roman" w:hAnsi="Times New Roman" w:cs="Times New Roman"/>
          <w:color w:val="000000"/>
        </w:rPr>
        <w:t xml:space="preserve">”. La monade assoluta è </w:t>
      </w:r>
      <w:r w:rsidRPr="0028553B">
        <w:rPr>
          <w:rFonts w:ascii="Times New Roman" w:eastAsia="Times New Roman" w:hAnsi="Times New Roman" w:cs="Times New Roman"/>
          <w:i/>
          <w:color w:val="000000"/>
        </w:rPr>
        <w:t xml:space="preserve">fonte </w:t>
      </w:r>
      <w:r w:rsidRPr="0028553B">
        <w:rPr>
          <w:rFonts w:ascii="Times New Roman" w:eastAsia="Times New Roman" w:hAnsi="Times New Roman" w:cs="Times New Roman"/>
          <w:color w:val="000000"/>
        </w:rPr>
        <w:t>delle sue determinazioni. Il che vuol dire: essa è rapporto negativo a sé, respingersi da sé per mezzo di sé, a cui segue il posizionamento del</w:t>
      </w:r>
      <w:r>
        <w:rPr>
          <w:rFonts w:ascii="Times New Roman" w:eastAsia="Times New Roman" w:hAnsi="Times New Roman" w:cs="Times New Roman"/>
          <w:color w:val="000000"/>
        </w:rPr>
        <w:t>l’esistenza e dell’essenza del</w:t>
      </w:r>
      <w:r w:rsidRPr="0028553B">
        <w:rPr>
          <w:rFonts w:ascii="Times New Roman" w:eastAsia="Times New Roman" w:hAnsi="Times New Roman" w:cs="Times New Roman"/>
          <w:color w:val="000000"/>
        </w:rPr>
        <w:t xml:space="preserve"> proprio essere altro. In forza di questa dinamica auto-relazionale, l’identità assoluta dovrebbe porre un altro in cui riflettersi e trasparire. L’attività del respingere, come sappiamo, implica anche un movimento di riappropriazione del termine posto come alterità. Secondo Hegel, il contraccolpo dell’altro da sé su di sé esula dalla concezione leibniziana del rapporto fra infinito e finito. Per usare un’immagine visiva, si può dire che il Dio della </w:t>
      </w:r>
      <w:r w:rsidRPr="0028553B">
        <w:rPr>
          <w:rFonts w:ascii="Times New Roman" w:eastAsia="Times New Roman" w:hAnsi="Times New Roman" w:cs="Times New Roman"/>
          <w:i/>
          <w:color w:val="000000"/>
        </w:rPr>
        <w:t>Monadologie</w:t>
      </w:r>
      <w:r w:rsidRPr="0028553B">
        <w:rPr>
          <w:rFonts w:ascii="Times New Roman" w:eastAsia="Times New Roman" w:hAnsi="Times New Roman" w:cs="Times New Roman"/>
          <w:color w:val="000000"/>
        </w:rPr>
        <w:t xml:space="preserve"> crea un qualcosa senza ammantarlo di luce</w:t>
      </w:r>
      <w:r w:rsidRPr="00352778">
        <w:rPr>
          <w:rStyle w:val="Rimandonotaapidipagina"/>
          <w:rFonts w:ascii="Times New Roman" w:eastAsia="Times New Roman" w:hAnsi="Times New Roman" w:cs="Times New Roman"/>
          <w:color w:val="000000"/>
        </w:rPr>
        <w:footnoteReference w:id="442"/>
      </w:r>
      <w:r w:rsidRPr="0028553B">
        <w:rPr>
          <w:rFonts w:ascii="Times New Roman" w:eastAsia="Times New Roman" w:hAnsi="Times New Roman" w:cs="Times New Roman"/>
          <w:color w:val="000000"/>
        </w:rPr>
        <w:t xml:space="preserve">. </w:t>
      </w:r>
      <w:r w:rsidRPr="00696BB4">
        <w:rPr>
          <w:rFonts w:ascii="Times New Roman" w:eastAsia="Times New Roman" w:hAnsi="Times New Roman" w:cs="Times New Roman"/>
          <w:color w:val="000000"/>
        </w:rPr>
        <w:t xml:space="preserve">Il cosmo leibniziano, quindi, è tenebra, non attraversata dalla luce, e </w:t>
      </w:r>
      <w:r>
        <w:rPr>
          <w:rFonts w:ascii="Times New Roman" w:eastAsia="Times New Roman" w:hAnsi="Times New Roman" w:cs="Times New Roman"/>
          <w:color w:val="000000"/>
        </w:rPr>
        <w:t>per</w:t>
      </w:r>
      <w:r w:rsidRPr="00696BB4">
        <w:rPr>
          <w:rFonts w:ascii="Times New Roman" w:eastAsia="Times New Roman" w:hAnsi="Times New Roman" w:cs="Times New Roman"/>
          <w:color w:val="000000"/>
        </w:rPr>
        <w:t xml:space="preserve">ciò mancanza di compenetrazione di positivo e negativo. I rapporti fra </w:t>
      </w:r>
      <w:r w:rsidRPr="00372FD7">
        <w:rPr>
          <w:rFonts w:ascii="Times New Roman" w:eastAsia="Times New Roman" w:hAnsi="Times New Roman" w:cs="Times New Roman"/>
          <w:color w:val="000000"/>
        </w:rPr>
        <w:t>Monade assoluta e monadi, fra ponente e posto, trovano una coerenza del tutto esteriore nella «</w:t>
      </w:r>
      <w:r w:rsidRPr="00372FD7">
        <w:rPr>
          <w:rFonts w:ascii="Times New Roman" w:eastAsia="Times New Roman" w:hAnsi="Times New Roman" w:cs="Times New Roman"/>
          <w:color w:val="000000"/>
          <w:lang w:val="de-DE"/>
        </w:rPr>
        <w:t>räsonierenden, dogmatischen Reflexion»</w:t>
      </w:r>
      <w:r w:rsidRPr="00372FD7">
        <w:rPr>
          <w:rStyle w:val="Rimandonotaapidipagina"/>
          <w:rFonts w:ascii="Times New Roman" w:eastAsia="Times New Roman" w:hAnsi="Times New Roman" w:cs="Times New Roman"/>
          <w:color w:val="000000"/>
          <w:lang w:val="de-DE"/>
        </w:rPr>
        <w:footnoteReference w:id="443"/>
      </w:r>
      <w:r w:rsidRPr="00372FD7">
        <w:rPr>
          <w:rFonts w:ascii="Times New Roman" w:eastAsia="Times New Roman" w:hAnsi="Times New Roman" w:cs="Times New Roman"/>
          <w:color w:val="000000"/>
          <w:lang w:val="de-DE"/>
        </w:rPr>
        <w:t xml:space="preserve">. </w:t>
      </w:r>
      <w:r w:rsidRPr="00372FD7">
        <w:rPr>
          <w:rFonts w:ascii="Times New Roman" w:eastAsia="Times New Roman" w:hAnsi="Times New Roman" w:cs="Times New Roman"/>
          <w:color w:val="000000"/>
        </w:rPr>
        <w:t>L’</w:t>
      </w:r>
      <w:r w:rsidRPr="00372FD7">
        <w:rPr>
          <w:rFonts w:ascii="Times New Roman" w:eastAsia="Times New Roman" w:hAnsi="Times New Roman" w:cs="Times New Roman"/>
          <w:i/>
          <w:color w:val="000000"/>
        </w:rPr>
        <w:t>essere-fonte</w:t>
      </w:r>
      <w:r w:rsidRPr="00372FD7">
        <w:rPr>
          <w:rFonts w:ascii="Times New Roman" w:eastAsia="Times New Roman" w:hAnsi="Times New Roman" w:cs="Times New Roman"/>
          <w:color w:val="000000"/>
        </w:rPr>
        <w:t>, pertanto, si riduce ad un rapporto puramente formale, in cui non si delucida il legame sussistente fra due polarità tutto sommato antitetiche</w:t>
      </w:r>
      <w:r w:rsidRPr="0028553B">
        <w:rPr>
          <w:rFonts w:ascii="Times New Roman" w:eastAsia="Times New Roman" w:hAnsi="Times New Roman" w:cs="Times New Roman"/>
          <w:color w:val="000000"/>
        </w:rPr>
        <w:t xml:space="preserve">. </w:t>
      </w:r>
    </w:p>
    <w:p w14:paraId="57891434" w14:textId="2CD4B082" w:rsidR="001B7751" w:rsidRPr="0028553B" w:rsidRDefault="001B7751" w:rsidP="001B7751">
      <w:pPr>
        <w:pStyle w:val="Paragrafoelenco"/>
        <w:spacing w:line="360" w:lineRule="auto"/>
        <w:ind w:left="0" w:firstLine="567"/>
        <w:jc w:val="both"/>
        <w:rPr>
          <w:rFonts w:ascii="Times New Roman" w:eastAsia="Times New Roman" w:hAnsi="Times New Roman" w:cs="Times New Roman"/>
          <w:color w:val="000000"/>
        </w:rPr>
      </w:pPr>
      <w:r w:rsidRPr="0028553B">
        <w:rPr>
          <w:rFonts w:ascii="Times New Roman" w:eastAsia="Times New Roman" w:hAnsi="Times New Roman" w:cs="Times New Roman"/>
          <w:color w:val="000000"/>
        </w:rPr>
        <w:t xml:space="preserve">Se si tiene ferma la critica hegeliana alla </w:t>
      </w:r>
      <w:r w:rsidRPr="0028553B">
        <w:rPr>
          <w:rFonts w:ascii="Times New Roman" w:eastAsia="Times New Roman" w:hAnsi="Times New Roman" w:cs="Times New Roman"/>
          <w:i/>
          <w:color w:val="000000"/>
        </w:rPr>
        <w:t>Monadologie</w:t>
      </w:r>
      <w:r w:rsidRPr="0028553B">
        <w:rPr>
          <w:rFonts w:ascii="Times New Roman" w:eastAsia="Times New Roman" w:hAnsi="Times New Roman" w:cs="Times New Roman"/>
          <w:color w:val="000000"/>
        </w:rPr>
        <w:t>, ciò che manca nella filosofia leibniziana è la capacità di pensare a pieno l’essere-in-sé-e-per-sé dell’Assoluto. Anche in questo caso, il concetto di negatività, chiamato implicitamente in causa da Hegel, è l’</w:t>
      </w:r>
      <w:r w:rsidRPr="0028553B">
        <w:rPr>
          <w:rFonts w:ascii="Times New Roman" w:eastAsia="Times New Roman" w:hAnsi="Times New Roman" w:cs="Times New Roman"/>
          <w:i/>
          <w:color w:val="000000"/>
        </w:rPr>
        <w:t xml:space="preserve">Inqualierung </w:t>
      </w:r>
      <w:r w:rsidRPr="0028553B">
        <w:rPr>
          <w:rFonts w:ascii="Times New Roman" w:eastAsia="Times New Roman" w:hAnsi="Times New Roman" w:cs="Times New Roman"/>
          <w:color w:val="000000"/>
        </w:rPr>
        <w:t>böhmiano, contiguo, da un punto di vis</w:t>
      </w:r>
      <w:r w:rsidR="00080193">
        <w:rPr>
          <w:rFonts w:ascii="Times New Roman" w:eastAsia="Times New Roman" w:hAnsi="Times New Roman" w:cs="Times New Roman"/>
          <w:color w:val="000000"/>
        </w:rPr>
        <w:t xml:space="preserve">ta </w:t>
      </w:r>
      <w:r w:rsidRPr="0028553B">
        <w:rPr>
          <w:rFonts w:ascii="Times New Roman" w:eastAsia="Times New Roman" w:hAnsi="Times New Roman" w:cs="Times New Roman"/>
          <w:color w:val="000000"/>
        </w:rPr>
        <w:t>etimologico e semantico, al termine “</w:t>
      </w:r>
      <w:r w:rsidRPr="0028553B">
        <w:rPr>
          <w:rFonts w:ascii="Times New Roman" w:eastAsia="Times New Roman" w:hAnsi="Times New Roman" w:cs="Times New Roman"/>
          <w:i/>
          <w:color w:val="000000"/>
        </w:rPr>
        <w:t>Quelle</w:t>
      </w:r>
      <w:r w:rsidRPr="0028553B">
        <w:rPr>
          <w:rFonts w:ascii="Times New Roman" w:eastAsia="Times New Roman" w:hAnsi="Times New Roman" w:cs="Times New Roman"/>
          <w:color w:val="000000"/>
        </w:rPr>
        <w:t xml:space="preserve">”. Già nel §42 del </w:t>
      </w:r>
      <w:r w:rsidRPr="0028553B">
        <w:rPr>
          <w:rFonts w:ascii="Times New Roman" w:eastAsia="Times New Roman" w:hAnsi="Times New Roman" w:cs="Times New Roman"/>
          <w:i/>
          <w:color w:val="000000"/>
        </w:rPr>
        <w:t>Von den drey</w:t>
      </w:r>
      <w:r w:rsidRPr="0028553B">
        <w:rPr>
          <w:rFonts w:ascii="Times New Roman" w:eastAsia="Times New Roman" w:hAnsi="Times New Roman" w:cs="Times New Roman"/>
          <w:color w:val="000000"/>
        </w:rPr>
        <w:t xml:space="preserve"> </w:t>
      </w:r>
      <w:r w:rsidRPr="0028553B">
        <w:rPr>
          <w:rFonts w:ascii="Times New Roman" w:eastAsia="Times New Roman" w:hAnsi="Times New Roman" w:cs="Times New Roman"/>
          <w:i/>
          <w:color w:val="000000"/>
        </w:rPr>
        <w:t xml:space="preserve">Prinzipien Göttliches Wesens, </w:t>
      </w:r>
      <w:r w:rsidRPr="0028553B">
        <w:rPr>
          <w:rFonts w:ascii="Times New Roman" w:eastAsia="Times New Roman" w:hAnsi="Times New Roman" w:cs="Times New Roman"/>
          <w:color w:val="000000"/>
        </w:rPr>
        <w:t>era stato lo stesso Böhme a suggerire questo collegamento – che è anche gioco di parole – fra “</w:t>
      </w:r>
      <w:r w:rsidRPr="0028553B">
        <w:rPr>
          <w:rFonts w:ascii="Times New Roman" w:eastAsia="Times New Roman" w:hAnsi="Times New Roman" w:cs="Times New Roman"/>
          <w:i/>
          <w:color w:val="000000"/>
        </w:rPr>
        <w:t>Quelle</w:t>
      </w:r>
      <w:r w:rsidRPr="0028553B">
        <w:rPr>
          <w:rFonts w:ascii="Times New Roman" w:eastAsia="Times New Roman" w:hAnsi="Times New Roman" w:cs="Times New Roman"/>
          <w:color w:val="000000"/>
        </w:rPr>
        <w:t>”, “</w:t>
      </w:r>
      <w:r w:rsidRPr="0028553B">
        <w:rPr>
          <w:rFonts w:ascii="Times New Roman" w:eastAsia="Times New Roman" w:hAnsi="Times New Roman" w:cs="Times New Roman"/>
          <w:i/>
          <w:color w:val="000000"/>
        </w:rPr>
        <w:t>Qual</w:t>
      </w:r>
      <w:r w:rsidRPr="0028553B">
        <w:rPr>
          <w:rFonts w:ascii="Times New Roman" w:eastAsia="Times New Roman" w:hAnsi="Times New Roman" w:cs="Times New Roman"/>
          <w:color w:val="000000"/>
        </w:rPr>
        <w:t>” e “</w:t>
      </w:r>
      <w:r w:rsidRPr="0028553B">
        <w:rPr>
          <w:rFonts w:ascii="Times New Roman" w:eastAsia="Times New Roman" w:hAnsi="Times New Roman" w:cs="Times New Roman"/>
          <w:i/>
          <w:color w:val="000000"/>
        </w:rPr>
        <w:t>Qualität</w:t>
      </w:r>
      <w:r w:rsidRPr="0028553B">
        <w:rPr>
          <w:rFonts w:ascii="Times New Roman" w:eastAsia="Times New Roman" w:hAnsi="Times New Roman" w:cs="Times New Roman"/>
          <w:color w:val="000000"/>
        </w:rPr>
        <w:t xml:space="preserve">”: </w:t>
      </w:r>
      <w:r w:rsidRPr="005B423C">
        <w:rPr>
          <w:rFonts w:ascii="Times New Roman" w:eastAsia="Times New Roman" w:hAnsi="Times New Roman" w:cs="Times New Roman"/>
          <w:color w:val="000000"/>
        </w:rPr>
        <w:t>«</w:t>
      </w:r>
      <w:r w:rsidRPr="005B423C">
        <w:rPr>
          <w:rFonts w:ascii="Times New Roman" w:eastAsia="Times New Roman" w:hAnsi="Times New Roman" w:cs="Times New Roman"/>
          <w:color w:val="000000"/>
          <w:lang w:val="de-DE"/>
        </w:rPr>
        <w:t>nun ist im ängstlichen Gemüthe der Finsterniß die unaussprechliche Quall, davon der Name Qualität, als von vielen Qualen in einer Quell urkundet»</w:t>
      </w:r>
      <w:r w:rsidRPr="005B423C">
        <w:rPr>
          <w:rStyle w:val="Rimandonotaapidipagina"/>
          <w:rFonts w:ascii="Times New Roman" w:eastAsia="Times New Roman" w:hAnsi="Times New Roman" w:cs="Times New Roman"/>
          <w:color w:val="000000"/>
          <w:lang w:val="de-DE"/>
        </w:rPr>
        <w:footnoteReference w:id="444"/>
      </w:r>
      <w:r w:rsidRPr="0028553B">
        <w:rPr>
          <w:rFonts w:ascii="Times New Roman" w:eastAsia="Times New Roman" w:hAnsi="Times New Roman" w:cs="Times New Roman"/>
          <w:color w:val="000000"/>
          <w:lang w:val="de-DE"/>
        </w:rPr>
        <w:t xml:space="preserve">. </w:t>
      </w:r>
      <w:r w:rsidRPr="0028553B">
        <w:rPr>
          <w:rFonts w:ascii="Times New Roman" w:eastAsia="Times New Roman" w:hAnsi="Times New Roman" w:cs="Times New Roman"/>
          <w:color w:val="000000"/>
        </w:rPr>
        <w:t>Un tormento inesprimibile, coessenziale alla tenebra, che rappresenta la radice di svilu</w:t>
      </w:r>
      <w:r>
        <w:rPr>
          <w:rFonts w:ascii="Times New Roman" w:eastAsia="Times New Roman" w:hAnsi="Times New Roman" w:cs="Times New Roman"/>
          <w:color w:val="000000"/>
        </w:rPr>
        <w:t>ppo e</w:t>
      </w:r>
      <w:r w:rsidRPr="0028553B">
        <w:rPr>
          <w:rFonts w:ascii="Times New Roman" w:eastAsia="Times New Roman" w:hAnsi="Times New Roman" w:cs="Times New Roman"/>
          <w:color w:val="000000"/>
        </w:rPr>
        <w:t xml:space="preserve"> il denominatore comune dei </w:t>
      </w:r>
      <w:r w:rsidRPr="0028553B">
        <w:rPr>
          <w:rFonts w:ascii="Times New Roman" w:eastAsia="Times New Roman" w:hAnsi="Times New Roman" w:cs="Times New Roman"/>
          <w:i/>
          <w:color w:val="000000"/>
          <w:lang w:val="de-DE"/>
        </w:rPr>
        <w:t>viele Qualen</w:t>
      </w:r>
      <w:r w:rsidRPr="0028553B">
        <w:rPr>
          <w:rFonts w:ascii="Times New Roman" w:eastAsia="Times New Roman" w:hAnsi="Times New Roman" w:cs="Times New Roman"/>
          <w:color w:val="000000"/>
          <w:lang w:val="de-DE"/>
        </w:rPr>
        <w:t xml:space="preserve">. </w:t>
      </w:r>
      <w:r w:rsidRPr="0028553B">
        <w:rPr>
          <w:rFonts w:ascii="Times New Roman" w:eastAsia="Times New Roman" w:hAnsi="Times New Roman" w:cs="Times New Roman"/>
          <w:color w:val="000000"/>
        </w:rPr>
        <w:t>É in forza di questo</w:t>
      </w:r>
      <w:r w:rsidRPr="0028553B">
        <w:rPr>
          <w:rFonts w:ascii="Times New Roman" w:eastAsia="Times New Roman" w:hAnsi="Times New Roman" w:cs="Times New Roman"/>
          <w:color w:val="000000"/>
          <w:lang w:val="de-DE"/>
        </w:rPr>
        <w:t xml:space="preserve"> </w:t>
      </w:r>
      <w:r w:rsidRPr="005B423C">
        <w:rPr>
          <w:rFonts w:ascii="Times New Roman" w:eastAsia="Times New Roman" w:hAnsi="Times New Roman" w:cs="Times New Roman"/>
          <w:color w:val="000000"/>
          <w:lang w:val="de-DE"/>
        </w:rPr>
        <w:t>«ewiges Gemüthe in der Finsterniß»</w:t>
      </w:r>
      <w:r w:rsidRPr="005B423C">
        <w:rPr>
          <w:rStyle w:val="Rimandonotaapidipagina"/>
          <w:rFonts w:ascii="Times New Roman" w:eastAsia="Times New Roman" w:hAnsi="Times New Roman" w:cs="Times New Roman"/>
          <w:color w:val="000000"/>
          <w:lang w:val="de-DE"/>
        </w:rPr>
        <w:footnoteReference w:id="445"/>
      </w:r>
      <w:r w:rsidRPr="005B423C">
        <w:rPr>
          <w:rFonts w:ascii="Times New Roman" w:eastAsia="Times New Roman" w:hAnsi="Times New Roman" w:cs="Times New Roman"/>
          <w:color w:val="000000"/>
          <w:lang w:val="de-DE"/>
        </w:rPr>
        <w:t>,</w:t>
      </w:r>
      <w:r w:rsidRPr="00321C0A">
        <w:rPr>
          <w:rFonts w:ascii="Times New Roman" w:eastAsia="Times New Roman" w:hAnsi="Times New Roman" w:cs="Times New Roman"/>
          <w:i/>
          <w:color w:val="000000"/>
          <w:lang w:val="de-DE"/>
        </w:rPr>
        <w:t xml:space="preserve"> </w:t>
      </w:r>
      <w:r w:rsidRPr="00321C0A">
        <w:rPr>
          <w:rFonts w:ascii="Times New Roman" w:eastAsia="Times New Roman" w:hAnsi="Times New Roman" w:cs="Times New Roman"/>
          <w:color w:val="000000"/>
        </w:rPr>
        <w:t xml:space="preserve">che il molteplice procede da ed è ricondotto ad un’unica </w:t>
      </w:r>
      <w:r w:rsidRPr="00321C0A">
        <w:rPr>
          <w:rFonts w:ascii="Times New Roman" w:eastAsia="Times New Roman" w:hAnsi="Times New Roman" w:cs="Times New Roman"/>
          <w:i/>
          <w:color w:val="000000"/>
        </w:rPr>
        <w:t>fonte</w:t>
      </w:r>
      <w:r w:rsidRPr="00321C0A">
        <w:rPr>
          <w:rFonts w:ascii="Times New Roman" w:eastAsia="Times New Roman" w:hAnsi="Times New Roman" w:cs="Times New Roman"/>
          <w:color w:val="000000"/>
        </w:rPr>
        <w:t xml:space="preserve"> e radice di sviluppo. Per Böhme, è il divino stesso ad essere </w:t>
      </w:r>
      <w:r w:rsidRPr="00321C0A">
        <w:rPr>
          <w:rFonts w:ascii="Times New Roman" w:eastAsia="Times New Roman" w:hAnsi="Times New Roman" w:cs="Times New Roman"/>
          <w:i/>
          <w:color w:val="000000"/>
        </w:rPr>
        <w:t>in primis</w:t>
      </w:r>
      <w:r w:rsidRPr="00321C0A">
        <w:rPr>
          <w:rFonts w:ascii="Times New Roman" w:eastAsia="Times New Roman" w:hAnsi="Times New Roman" w:cs="Times New Roman"/>
          <w:color w:val="000000"/>
        </w:rPr>
        <w:t xml:space="preserve"> </w:t>
      </w:r>
      <w:r w:rsidRPr="00321C0A">
        <w:rPr>
          <w:rFonts w:ascii="Times New Roman" w:eastAsia="Times New Roman" w:hAnsi="Times New Roman" w:cs="Times New Roman"/>
          <w:i/>
          <w:color w:val="000000"/>
        </w:rPr>
        <w:t>fonte</w:t>
      </w:r>
      <w:r w:rsidRPr="00321C0A">
        <w:rPr>
          <w:rFonts w:ascii="Times New Roman" w:eastAsia="Times New Roman" w:hAnsi="Times New Roman" w:cs="Times New Roman"/>
          <w:color w:val="000000"/>
        </w:rPr>
        <w:t xml:space="preserve"> di se stesso: </w:t>
      </w:r>
      <w:r w:rsidRPr="0028553B">
        <w:rPr>
          <w:rFonts w:ascii="Times New Roman" w:eastAsia="Times New Roman" w:hAnsi="Times New Roman" w:cs="Times New Roman"/>
          <w:color w:val="000000"/>
        </w:rPr>
        <w:t>se non sussistesse questa eterna radice di sviluppo (</w:t>
      </w:r>
      <w:r w:rsidRPr="0028553B">
        <w:rPr>
          <w:rFonts w:ascii="Times New Roman" w:eastAsia="Times New Roman" w:hAnsi="Times New Roman" w:cs="Times New Roman"/>
          <w:i/>
          <w:color w:val="000000"/>
        </w:rPr>
        <w:t>Qual</w:t>
      </w:r>
      <w:r w:rsidRPr="0028553B">
        <w:rPr>
          <w:rFonts w:ascii="Times New Roman" w:eastAsia="Times New Roman" w:hAnsi="Times New Roman" w:cs="Times New Roman"/>
          <w:color w:val="000000"/>
        </w:rPr>
        <w:t xml:space="preserve">), questo anelito </w:t>
      </w:r>
      <w:r>
        <w:rPr>
          <w:rFonts w:ascii="Times New Roman" w:eastAsia="Times New Roman" w:hAnsi="Times New Roman" w:cs="Times New Roman"/>
          <w:color w:val="000000"/>
        </w:rPr>
        <w:t>alla determinazione e</w:t>
      </w:r>
      <w:r w:rsidRPr="0028553B">
        <w:rPr>
          <w:rFonts w:ascii="Times New Roman" w:eastAsia="Times New Roman" w:hAnsi="Times New Roman" w:cs="Times New Roman"/>
          <w:color w:val="000000"/>
        </w:rPr>
        <w:t xml:space="preserve"> alla chiarezza, non si potrebbe parlare di un Dio vivente, ma soltanto di un </w:t>
      </w:r>
      <w:r w:rsidRPr="005B423C">
        <w:rPr>
          <w:rFonts w:ascii="Times New Roman" w:eastAsia="Times New Roman" w:hAnsi="Times New Roman" w:cs="Times New Roman"/>
          <w:color w:val="000000"/>
        </w:rPr>
        <w:t>«</w:t>
      </w:r>
      <w:r w:rsidRPr="009C580D">
        <w:rPr>
          <w:rFonts w:ascii="Times New Roman" w:eastAsia="Times New Roman" w:hAnsi="Times New Roman" w:cs="Times New Roman"/>
          <w:color w:val="000000"/>
          <w:lang w:val="de-DE"/>
        </w:rPr>
        <w:t>ein Nichtes […] nur das Einige</w:t>
      </w:r>
      <w:r w:rsidRPr="005B423C">
        <w:rPr>
          <w:rFonts w:ascii="Times New Roman" w:eastAsia="Times New Roman" w:hAnsi="Times New Roman" w:cs="Times New Roman"/>
          <w:color w:val="000000"/>
          <w:lang w:val="de-DE"/>
        </w:rPr>
        <w:t>», poichè «denn so das Gemüthe nicht mehr gebäre den Willen, so gebäre der Wille nicht das Herze, und das Herze das Licht, und das Licht di Kraft, und die Kraft den Geist»</w:t>
      </w:r>
      <w:r w:rsidRPr="005B423C">
        <w:rPr>
          <w:rStyle w:val="Rimandonotaapidipagina"/>
          <w:rFonts w:ascii="Times New Roman" w:eastAsia="Times New Roman" w:hAnsi="Times New Roman" w:cs="Times New Roman"/>
          <w:color w:val="000000"/>
          <w:lang w:val="de-DE"/>
        </w:rPr>
        <w:footnoteReference w:id="446"/>
      </w:r>
      <w:r w:rsidRPr="005B423C">
        <w:rPr>
          <w:rFonts w:ascii="Times New Roman" w:eastAsia="Times New Roman" w:hAnsi="Times New Roman" w:cs="Times New Roman"/>
          <w:color w:val="000000"/>
          <w:lang w:val="de-DE"/>
        </w:rPr>
        <w:t xml:space="preserve">. </w:t>
      </w:r>
      <w:r w:rsidRPr="0028553B">
        <w:rPr>
          <w:rFonts w:ascii="Times New Roman" w:eastAsia="Times New Roman" w:hAnsi="Times New Roman" w:cs="Times New Roman"/>
          <w:i/>
          <w:color w:val="000000"/>
        </w:rPr>
        <w:t>Essere-fonte</w:t>
      </w:r>
      <w:r w:rsidRPr="0028553B">
        <w:rPr>
          <w:rFonts w:ascii="Times New Roman" w:eastAsia="Times New Roman" w:hAnsi="Times New Roman" w:cs="Times New Roman"/>
          <w:color w:val="000000"/>
        </w:rPr>
        <w:t xml:space="preserve"> significa essere radice delle proprie determinazioni: l’altro da sé non tanto come esteriorità, quanto come prodotto del respingersi da sé, o del mediarsi in sé, di una determinazione. Nel caso specifico della </w:t>
      </w:r>
      <w:r w:rsidRPr="0028553B">
        <w:rPr>
          <w:rFonts w:ascii="Times New Roman" w:eastAsia="Times New Roman" w:hAnsi="Times New Roman" w:cs="Times New Roman"/>
          <w:i/>
          <w:color w:val="000000"/>
          <w:lang w:val="de-DE"/>
        </w:rPr>
        <w:t xml:space="preserve">Wesenslogik, </w:t>
      </w:r>
      <w:r w:rsidRPr="0028553B">
        <w:rPr>
          <w:rFonts w:ascii="Times New Roman" w:eastAsia="Times New Roman" w:hAnsi="Times New Roman" w:cs="Times New Roman"/>
          <w:color w:val="000000"/>
        </w:rPr>
        <w:t>l’</w:t>
      </w:r>
      <w:r w:rsidRPr="0028553B">
        <w:rPr>
          <w:rFonts w:ascii="Times New Roman" w:eastAsia="Times New Roman" w:hAnsi="Times New Roman" w:cs="Times New Roman"/>
          <w:i/>
          <w:color w:val="000000"/>
        </w:rPr>
        <w:t>essere-fonte</w:t>
      </w:r>
      <w:r w:rsidRPr="0028553B">
        <w:rPr>
          <w:rFonts w:ascii="Times New Roman" w:eastAsia="Times New Roman" w:hAnsi="Times New Roman" w:cs="Times New Roman"/>
          <w:color w:val="000000"/>
        </w:rPr>
        <w:t xml:space="preserve"> assume il significato di un pieno sviluppo dell’opposizione fra negativo e positivo: ciò che appare diverso, in realtà, è riassorbito in un’unica identità, che </w:t>
      </w:r>
      <w:r>
        <w:rPr>
          <w:rFonts w:ascii="Times New Roman" w:eastAsia="Times New Roman" w:hAnsi="Times New Roman" w:cs="Times New Roman"/>
          <w:color w:val="000000"/>
        </w:rPr>
        <w:t xml:space="preserve">è </w:t>
      </w:r>
      <w:r w:rsidRPr="0028553B">
        <w:rPr>
          <w:rFonts w:ascii="Times New Roman" w:eastAsia="Times New Roman" w:hAnsi="Times New Roman" w:cs="Times New Roman"/>
          <w:color w:val="000000"/>
        </w:rPr>
        <w:t>in sé contraddittoria</w:t>
      </w:r>
      <w:r>
        <w:rPr>
          <w:rFonts w:ascii="Times New Roman" w:eastAsia="Times New Roman" w:hAnsi="Times New Roman" w:cs="Times New Roman"/>
          <w:color w:val="000000"/>
        </w:rPr>
        <w:t xml:space="preserve">. </w:t>
      </w:r>
      <w:r w:rsidRPr="002976FA">
        <w:rPr>
          <w:rFonts w:ascii="Times New Roman" w:eastAsia="Times New Roman" w:hAnsi="Times New Roman" w:cs="Times New Roman"/>
          <w:color w:val="000000"/>
        </w:rPr>
        <w:t>Tutto ciò che è,</w:t>
      </w:r>
      <w:r>
        <w:rPr>
          <w:rFonts w:ascii="Times New Roman" w:eastAsia="Times New Roman" w:hAnsi="Times New Roman" w:cs="Times New Roman"/>
          <w:color w:val="000000"/>
        </w:rPr>
        <w:t xml:space="preserve"> </w:t>
      </w:r>
      <w:r w:rsidRPr="0028553B">
        <w:rPr>
          <w:rFonts w:ascii="Times New Roman" w:eastAsia="Times New Roman" w:hAnsi="Times New Roman" w:cs="Times New Roman"/>
          <w:color w:val="000000"/>
        </w:rPr>
        <w:t xml:space="preserve">è positivo e negativo ad un tempo: il termine, che racchiude in sé queste due determinazioni riflessive, non presuppone nient’altro fuori di sé ed è </w:t>
      </w:r>
      <w:r w:rsidRPr="0028553B">
        <w:rPr>
          <w:rFonts w:ascii="Times New Roman" w:eastAsia="Times New Roman" w:hAnsi="Times New Roman" w:cs="Times New Roman"/>
          <w:i/>
          <w:color w:val="000000"/>
        </w:rPr>
        <w:t>fonte</w:t>
      </w:r>
      <w:r w:rsidRPr="0028553B">
        <w:rPr>
          <w:rFonts w:ascii="Times New Roman" w:eastAsia="Times New Roman" w:hAnsi="Times New Roman" w:cs="Times New Roman"/>
          <w:color w:val="000000"/>
        </w:rPr>
        <w:t>, o radice, della propria esposizione e manifestazione</w:t>
      </w:r>
      <w:r w:rsidR="001C489E">
        <w:rPr>
          <w:rStyle w:val="Rimandonotaapidipagina"/>
          <w:rFonts w:ascii="Times New Roman" w:eastAsia="Times New Roman" w:hAnsi="Times New Roman" w:cs="Times New Roman"/>
          <w:color w:val="000000"/>
        </w:rPr>
        <w:footnoteReference w:id="447"/>
      </w:r>
      <w:r w:rsidRPr="0028553B">
        <w:rPr>
          <w:rFonts w:ascii="Times New Roman" w:eastAsia="Times New Roman" w:hAnsi="Times New Roman" w:cs="Times New Roman"/>
          <w:color w:val="000000"/>
        </w:rPr>
        <w:t xml:space="preserve">. Colta la riduzione del due all’uno, segue una realizzazione dell’uno che soltanto su queste basi può dirsi incondizionata. Quello che Hegel esplicitamente non dice, ma che traspare dall’impianto argomentativo e dalla terminologia impiegata in questa </w:t>
      </w:r>
      <w:r w:rsidRPr="0028553B">
        <w:rPr>
          <w:rFonts w:ascii="Times New Roman" w:eastAsia="Times New Roman" w:hAnsi="Times New Roman" w:cs="Times New Roman"/>
          <w:i/>
          <w:color w:val="000000"/>
        </w:rPr>
        <w:t>Anmerkung</w:t>
      </w:r>
      <w:r w:rsidRPr="0028553B">
        <w:rPr>
          <w:rFonts w:ascii="Times New Roman" w:eastAsia="Times New Roman" w:hAnsi="Times New Roman" w:cs="Times New Roman"/>
          <w:color w:val="000000"/>
        </w:rPr>
        <w:t>, è la necessità di chiamare in causa, come superamento delle concezione spinoziana e leibniziana dell’Assoluto, quell’</w:t>
      </w:r>
      <w:r w:rsidR="00021560">
        <w:rPr>
          <w:rFonts w:ascii="Times New Roman" w:eastAsia="Times New Roman" w:hAnsi="Times New Roman" w:cs="Times New Roman"/>
          <w:color w:val="000000"/>
        </w:rPr>
        <w:t>autore</w:t>
      </w:r>
      <w:r w:rsidRPr="0028553B">
        <w:rPr>
          <w:rFonts w:ascii="Times New Roman" w:eastAsia="Times New Roman" w:hAnsi="Times New Roman" w:cs="Times New Roman"/>
          <w:color w:val="000000"/>
        </w:rPr>
        <w:t xml:space="preserve"> che ha reso giustizia alla nozione di negatività e che ha delineato, con tutti i limiti inerenti al suo modo d’esporre i contenuti speculativi, una teoria dell’Incondizionato capace di esibire la natura contraddittoria, e con ciò auto-relazionale e libera, della soggettività assoluta. Pensare Dio come l’unità di due qualità opposte, a prescindere dal fatto che esse siano colte come due principi antitetici (luce-tenebra) o come polarità fisiche elementari (positivo-negativo), significa </w:t>
      </w:r>
      <w:r>
        <w:rPr>
          <w:rFonts w:ascii="Times New Roman" w:eastAsia="Times New Roman" w:hAnsi="Times New Roman" w:cs="Times New Roman"/>
          <w:color w:val="000000"/>
        </w:rPr>
        <w:t>concepire l’e</w:t>
      </w:r>
      <w:r w:rsidRPr="0028553B">
        <w:rPr>
          <w:rFonts w:ascii="Times New Roman" w:eastAsia="Times New Roman" w:hAnsi="Times New Roman" w:cs="Times New Roman"/>
          <w:color w:val="000000"/>
        </w:rPr>
        <w:t xml:space="preserve">ssenza suprema come ciò che è in sé libera, non soggetta a determinazioni esteriori e condizionata unicamente da sé </w:t>
      </w:r>
      <w:r>
        <w:rPr>
          <w:rStyle w:val="Rimandonotaapidipagina"/>
          <w:rFonts w:ascii="Times New Roman" w:eastAsia="Times New Roman" w:hAnsi="Times New Roman" w:cs="Times New Roman"/>
          <w:color w:val="000000"/>
        </w:rPr>
        <w:footnoteReference w:id="448"/>
      </w:r>
      <w:r w:rsidRPr="0028553B">
        <w:rPr>
          <w:rFonts w:ascii="Times New Roman" w:eastAsia="Times New Roman" w:hAnsi="Times New Roman" w:cs="Times New Roman"/>
          <w:color w:val="000000"/>
        </w:rPr>
        <w:t xml:space="preserve">. </w:t>
      </w:r>
    </w:p>
    <w:p w14:paraId="07D2E2DD" w14:textId="77777777" w:rsidR="00672B41" w:rsidRDefault="00672B41" w:rsidP="001B7751">
      <w:pPr>
        <w:spacing w:line="360" w:lineRule="auto"/>
        <w:jc w:val="both"/>
        <w:rPr>
          <w:rFonts w:ascii="Times New Roman" w:eastAsia="Times New Roman" w:hAnsi="Times New Roman" w:cs="Times New Roman"/>
          <w:color w:val="000000"/>
        </w:rPr>
      </w:pPr>
    </w:p>
    <w:p w14:paraId="4055DDE6" w14:textId="77777777" w:rsidR="00672B41" w:rsidRDefault="00672B41" w:rsidP="001B7751">
      <w:pPr>
        <w:spacing w:line="360" w:lineRule="auto"/>
        <w:jc w:val="both"/>
        <w:rPr>
          <w:rFonts w:ascii="Times New Roman" w:eastAsia="Times New Roman" w:hAnsi="Times New Roman" w:cs="Times New Roman"/>
          <w:color w:val="000000"/>
        </w:rPr>
      </w:pPr>
    </w:p>
    <w:p w14:paraId="392EA170" w14:textId="77777777" w:rsidR="00672B41" w:rsidRPr="00C62D3B" w:rsidRDefault="00672B41" w:rsidP="001B7751">
      <w:pPr>
        <w:spacing w:line="360" w:lineRule="auto"/>
        <w:jc w:val="both"/>
        <w:rPr>
          <w:rFonts w:ascii="Times New Roman" w:eastAsia="Times New Roman" w:hAnsi="Times New Roman" w:cs="Times New Roman"/>
          <w:color w:val="000000"/>
        </w:rPr>
      </w:pPr>
    </w:p>
    <w:p w14:paraId="5E7BC78D" w14:textId="77777777" w:rsidR="001B7751" w:rsidRPr="005B423C" w:rsidRDefault="001B7751" w:rsidP="001B7751">
      <w:pPr>
        <w:pStyle w:val="Paragrafoelenco"/>
        <w:spacing w:line="360" w:lineRule="auto"/>
        <w:ind w:left="0"/>
        <w:jc w:val="both"/>
        <w:rPr>
          <w:rFonts w:ascii="Times New Roman" w:eastAsia="Times New Roman" w:hAnsi="Times New Roman" w:cs="Times New Roman"/>
          <w:i/>
          <w:color w:val="000000"/>
          <w:lang w:val="de-DE"/>
        </w:rPr>
      </w:pPr>
      <w:r>
        <w:rPr>
          <w:rFonts w:ascii="Times New Roman" w:eastAsia="Times New Roman" w:hAnsi="Times New Roman" w:cs="Times New Roman"/>
          <w:i/>
          <w:color w:val="000000"/>
        </w:rPr>
        <w:t>2.5</w:t>
      </w:r>
      <w:r w:rsidRPr="005B423C">
        <w:rPr>
          <w:rFonts w:ascii="Times New Roman" w:eastAsia="Times New Roman" w:hAnsi="Times New Roman" w:cs="Times New Roman"/>
          <w:i/>
          <w:color w:val="000000"/>
        </w:rPr>
        <w:t xml:space="preserve"> L’essere-fonte della propria effettualità. L’apporto </w:t>
      </w:r>
      <w:r w:rsidRPr="00460712">
        <w:rPr>
          <w:rFonts w:ascii="Times New Roman" w:eastAsia="Times New Roman" w:hAnsi="Times New Roman" w:cs="Times New Roman"/>
          <w:i/>
          <w:color w:val="000000"/>
        </w:rPr>
        <w:t>böhmiano</w:t>
      </w:r>
      <w:r w:rsidRPr="005B423C">
        <w:rPr>
          <w:rFonts w:ascii="Times New Roman" w:eastAsia="Times New Roman" w:hAnsi="Times New Roman" w:cs="Times New Roman"/>
          <w:i/>
          <w:color w:val="000000"/>
        </w:rPr>
        <w:t xml:space="preserve"> nella concezione hegeliana della </w:t>
      </w:r>
      <w:r w:rsidRPr="005B423C">
        <w:rPr>
          <w:rFonts w:ascii="Times New Roman" w:eastAsia="Times New Roman" w:hAnsi="Times New Roman" w:cs="Times New Roman"/>
          <w:i/>
          <w:color w:val="000000"/>
          <w:lang w:val="de-DE"/>
        </w:rPr>
        <w:t>Wirklichkeit</w:t>
      </w:r>
    </w:p>
    <w:p w14:paraId="4DA3465C" w14:textId="77777777" w:rsidR="001B7751" w:rsidRPr="00B1330B" w:rsidRDefault="001B7751" w:rsidP="001B7751">
      <w:pPr>
        <w:pStyle w:val="Paragrafoelenco"/>
        <w:spacing w:line="360" w:lineRule="auto"/>
        <w:ind w:left="708" w:firstLine="567"/>
        <w:jc w:val="both"/>
        <w:rPr>
          <w:rFonts w:ascii="Times New Roman" w:eastAsia="Times New Roman" w:hAnsi="Times New Roman" w:cs="Times New Roman"/>
          <w:color w:val="000000"/>
        </w:rPr>
      </w:pPr>
    </w:p>
    <w:p w14:paraId="0BCF24F8" w14:textId="39326575" w:rsidR="001B7751" w:rsidRPr="00B71925" w:rsidRDefault="001B7751" w:rsidP="001B7751">
      <w:pPr>
        <w:pStyle w:val="Paragrafoelenco"/>
        <w:spacing w:line="360" w:lineRule="auto"/>
        <w:ind w:left="0" w:firstLine="567"/>
        <w:jc w:val="both"/>
        <w:rPr>
          <w:rFonts w:ascii="Times New Roman" w:eastAsia="Times New Roman" w:hAnsi="Times New Roman" w:cs="Times New Roman"/>
          <w:color w:val="000000"/>
        </w:rPr>
      </w:pPr>
      <w:r w:rsidRPr="00F67346">
        <w:rPr>
          <w:rFonts w:ascii="Times New Roman" w:eastAsia="Times New Roman" w:hAnsi="Times New Roman" w:cs="Times New Roman"/>
          <w:color w:val="000000"/>
        </w:rPr>
        <w:t>Individuato quello che si potrebbe definire come il convitato di pietra della sezione dedicata all’</w:t>
      </w:r>
      <w:r w:rsidRPr="00F67346">
        <w:rPr>
          <w:rFonts w:ascii="Times New Roman" w:eastAsia="Times New Roman" w:hAnsi="Times New Roman" w:cs="Times New Roman"/>
          <w:i/>
          <w:color w:val="000000"/>
        </w:rPr>
        <w:t>Absolute</w:t>
      </w:r>
      <w:r w:rsidRPr="00F67346">
        <w:rPr>
          <w:rFonts w:ascii="Times New Roman" w:eastAsia="Times New Roman" w:hAnsi="Times New Roman" w:cs="Times New Roman"/>
          <w:color w:val="000000"/>
        </w:rPr>
        <w:t>, non ci resta che vedere in quali punti dell’argomentazione hegeliana emerga uno strumentario concettuale assimilabile alla nozione böhminana d’</w:t>
      </w:r>
      <w:r w:rsidRPr="00F67346">
        <w:rPr>
          <w:rFonts w:ascii="Times New Roman" w:eastAsia="Times New Roman" w:hAnsi="Times New Roman" w:cs="Times New Roman"/>
          <w:i/>
          <w:color w:val="000000"/>
        </w:rPr>
        <w:t>Inqualierung</w:t>
      </w:r>
      <w:r w:rsidRPr="00F67346">
        <w:rPr>
          <w:rFonts w:ascii="Times New Roman" w:eastAsia="Times New Roman" w:hAnsi="Times New Roman" w:cs="Times New Roman"/>
          <w:color w:val="000000"/>
        </w:rPr>
        <w:t>. Superato lo</w:t>
      </w:r>
      <w:r w:rsidRPr="00ED7F19">
        <w:rPr>
          <w:rFonts w:ascii="Times New Roman" w:eastAsia="Times New Roman" w:hAnsi="Times New Roman" w:cs="Times New Roman"/>
          <w:color w:val="000000"/>
        </w:rPr>
        <w:t xml:space="preserve"> </w:t>
      </w:r>
      <w:r w:rsidRPr="008D3170">
        <w:rPr>
          <w:rFonts w:ascii="Times New Roman" w:eastAsia="Times New Roman" w:hAnsi="Times New Roman" w:cs="Times New Roman"/>
          <w:i/>
          <w:color w:val="000000"/>
        </w:rPr>
        <w:t>Scheinen des Absoluten</w:t>
      </w:r>
      <w:r w:rsidRPr="00ED7F19">
        <w:rPr>
          <w:rFonts w:ascii="Times New Roman" w:eastAsia="Times New Roman" w:hAnsi="Times New Roman" w:cs="Times New Roman"/>
          <w:color w:val="000000"/>
        </w:rPr>
        <w:t>, Hegel procede ad una nuova esposizione dell’identità assoluta</w:t>
      </w:r>
      <w:r>
        <w:rPr>
          <w:rFonts w:ascii="Times New Roman" w:eastAsia="Times New Roman" w:hAnsi="Times New Roman" w:cs="Times New Roman"/>
          <w:color w:val="000000"/>
        </w:rPr>
        <w:t>. Tolt</w:t>
      </w:r>
      <w:r w:rsidRPr="00ED7F19">
        <w:rPr>
          <w:rFonts w:ascii="Times New Roman" w:eastAsia="Times New Roman" w:hAnsi="Times New Roman" w:cs="Times New Roman"/>
          <w:color w:val="000000"/>
        </w:rPr>
        <w:t xml:space="preserve">o </w:t>
      </w:r>
      <w:r>
        <w:rPr>
          <w:rFonts w:ascii="Times New Roman" w:eastAsia="Times New Roman" w:hAnsi="Times New Roman" w:cs="Times New Roman"/>
          <w:color w:val="000000"/>
        </w:rPr>
        <w:t>nel modo il suo pare</w:t>
      </w:r>
      <w:r w:rsidRPr="00ED7F19">
        <w:rPr>
          <w:rFonts w:ascii="Times New Roman" w:eastAsia="Times New Roman" w:hAnsi="Times New Roman" w:cs="Times New Roman"/>
          <w:color w:val="000000"/>
        </w:rPr>
        <w:t xml:space="preserve">re </w:t>
      </w:r>
      <w:r>
        <w:rPr>
          <w:rFonts w:ascii="Times New Roman" w:eastAsia="Times New Roman" w:hAnsi="Times New Roman" w:cs="Times New Roman"/>
          <w:color w:val="000000"/>
        </w:rPr>
        <w:t>in sé</w:t>
      </w:r>
      <w:r w:rsidRPr="00ED7F19">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 xml:space="preserve">l’Assoluto </w:t>
      </w:r>
      <w:r w:rsidRPr="00ED7F19">
        <w:rPr>
          <w:rFonts w:ascii="Times New Roman" w:eastAsia="Times New Roman" w:hAnsi="Times New Roman" w:cs="Times New Roman"/>
          <w:color w:val="000000"/>
        </w:rPr>
        <w:t xml:space="preserve">si delinea come manifestazione di sé: venuta meno la sua esposizione indifferenziata, l’interno si traspone nella sfera dell’esteriorità, che </w:t>
      </w:r>
      <w:r>
        <w:rPr>
          <w:rFonts w:ascii="Times New Roman" w:eastAsia="Times New Roman" w:hAnsi="Times New Roman" w:cs="Times New Roman"/>
          <w:color w:val="000000"/>
        </w:rPr>
        <w:t>rappresenta</w:t>
      </w:r>
      <w:r w:rsidRPr="00ED7F19">
        <w:rPr>
          <w:rFonts w:ascii="Times New Roman" w:eastAsia="Times New Roman" w:hAnsi="Times New Roman" w:cs="Times New Roman"/>
          <w:color w:val="000000"/>
        </w:rPr>
        <w:t xml:space="preserve">, adesso, non tanto </w:t>
      </w:r>
      <w:r>
        <w:rPr>
          <w:rFonts w:ascii="Times New Roman" w:eastAsia="Times New Roman" w:hAnsi="Times New Roman" w:cs="Times New Roman"/>
          <w:color w:val="000000"/>
        </w:rPr>
        <w:t xml:space="preserve">lo </w:t>
      </w:r>
      <w:r w:rsidRPr="005B423C">
        <w:rPr>
          <w:rFonts w:ascii="Times New Roman" w:eastAsia="Times New Roman" w:hAnsi="Times New Roman" w:cs="Times New Roman"/>
          <w:color w:val="000000"/>
        </w:rPr>
        <w:t>«</w:t>
      </w:r>
      <w:r w:rsidRPr="005B423C">
        <w:rPr>
          <w:rFonts w:ascii="Times New Roman" w:eastAsia="Times New Roman" w:hAnsi="Times New Roman" w:cs="Times New Roman"/>
          <w:color w:val="000000"/>
          <w:lang w:val="de-DE"/>
        </w:rPr>
        <w:t xml:space="preserve">Scheinen seiner in einem andern, sondern es manifestiert sich; daß heißt, es ist in seiner Aeusserlichkeit es </w:t>
      </w:r>
      <w:r w:rsidRPr="00372FD7">
        <w:rPr>
          <w:rFonts w:ascii="Times New Roman" w:eastAsia="Times New Roman" w:hAnsi="Times New Roman" w:cs="Times New Roman"/>
          <w:color w:val="000000"/>
          <w:lang w:val="de-DE"/>
        </w:rPr>
        <w:t>selbst»</w:t>
      </w:r>
      <w:r w:rsidRPr="00372FD7">
        <w:rPr>
          <w:rStyle w:val="Rimandonotaapidipagina"/>
          <w:rFonts w:ascii="Times New Roman" w:eastAsia="Times New Roman" w:hAnsi="Times New Roman" w:cs="Times New Roman"/>
          <w:color w:val="000000"/>
          <w:lang w:val="de-DE"/>
        </w:rPr>
        <w:footnoteReference w:id="449"/>
      </w:r>
      <w:r w:rsidRPr="00372FD7">
        <w:rPr>
          <w:rFonts w:ascii="Times New Roman" w:eastAsia="Times New Roman" w:hAnsi="Times New Roman" w:cs="Times New Roman"/>
          <w:color w:val="000000"/>
          <w:lang w:val="de-DE"/>
        </w:rPr>
        <w:t xml:space="preserve">. </w:t>
      </w:r>
      <w:r w:rsidRPr="00372FD7">
        <w:rPr>
          <w:rFonts w:ascii="Times New Roman" w:eastAsia="Times New Roman" w:hAnsi="Times New Roman" w:cs="Times New Roman"/>
          <w:color w:val="000000"/>
        </w:rPr>
        <w:t xml:space="preserve">Questa dinamica di trasposizione di sé nell’altro da sé è sviluppata </w:t>
      </w:r>
      <w:r w:rsidR="00B609B0" w:rsidRPr="00372FD7">
        <w:rPr>
          <w:rFonts w:ascii="Times New Roman" w:eastAsia="Times New Roman" w:hAnsi="Times New Roman" w:cs="Times New Roman"/>
          <w:color w:val="000000"/>
        </w:rPr>
        <w:t xml:space="preserve">mettendo in chiaro </w:t>
      </w:r>
      <w:r w:rsidRPr="00372FD7">
        <w:rPr>
          <w:rFonts w:ascii="Times New Roman" w:eastAsia="Times New Roman" w:hAnsi="Times New Roman" w:cs="Times New Roman"/>
          <w:color w:val="000000"/>
        </w:rPr>
        <w:t>le condizioni di possibilità a partire dalla quali l’interno può effettivamente esteriorizzarsi.</w:t>
      </w:r>
      <w:r>
        <w:rPr>
          <w:rFonts w:ascii="Times New Roman" w:eastAsia="Times New Roman" w:hAnsi="Times New Roman" w:cs="Times New Roman"/>
          <w:color w:val="000000"/>
        </w:rPr>
        <w:t xml:space="preserve"> L’argomentare hegeliano verte sulle categorie modali</w:t>
      </w:r>
      <w:r>
        <w:rPr>
          <w:rStyle w:val="Rimandonotaapidipagina"/>
          <w:rFonts w:ascii="Times New Roman" w:eastAsia="Times New Roman" w:hAnsi="Times New Roman" w:cs="Times New Roman"/>
          <w:color w:val="000000"/>
        </w:rPr>
        <w:footnoteReference w:id="450"/>
      </w:r>
      <w:r>
        <w:rPr>
          <w:rFonts w:ascii="Times New Roman" w:eastAsia="Times New Roman" w:hAnsi="Times New Roman" w:cs="Times New Roman"/>
          <w:color w:val="000000"/>
        </w:rPr>
        <w:t>. In un primo momento, l’effettu</w:t>
      </w:r>
      <w:r w:rsidR="00080193">
        <w:rPr>
          <w:rFonts w:ascii="Times New Roman" w:eastAsia="Times New Roman" w:hAnsi="Times New Roman" w:cs="Times New Roman"/>
          <w:color w:val="000000"/>
        </w:rPr>
        <w:t xml:space="preserve">ale si definisce come ciò che è </w:t>
      </w:r>
      <w:r w:rsidRPr="00ED7F19">
        <w:rPr>
          <w:rFonts w:ascii="Times New Roman" w:eastAsia="Times New Roman" w:hAnsi="Times New Roman" w:cs="Times New Roman"/>
          <w:color w:val="000000"/>
        </w:rPr>
        <w:t>possibile</w:t>
      </w:r>
      <w:r>
        <w:rPr>
          <w:rFonts w:ascii="Times New Roman" w:eastAsia="Times New Roman" w:hAnsi="Times New Roman" w:cs="Times New Roman"/>
          <w:color w:val="000000"/>
        </w:rPr>
        <w:t xml:space="preserve">, come ciò che non </w:t>
      </w:r>
      <w:r w:rsidRPr="00ED7F19">
        <w:rPr>
          <w:rFonts w:ascii="Times New Roman" w:eastAsia="Times New Roman" w:hAnsi="Times New Roman" w:cs="Times New Roman"/>
          <w:color w:val="000000"/>
        </w:rPr>
        <w:t>è contraddit</w:t>
      </w:r>
      <w:r>
        <w:rPr>
          <w:rFonts w:ascii="Times New Roman" w:eastAsia="Times New Roman" w:hAnsi="Times New Roman" w:cs="Times New Roman"/>
          <w:color w:val="000000"/>
        </w:rPr>
        <w:t xml:space="preserve">torio. Il contenuto, o l’essere in </w:t>
      </w:r>
      <w:r w:rsidRPr="00ED7F19">
        <w:rPr>
          <w:rFonts w:ascii="Times New Roman" w:eastAsia="Times New Roman" w:hAnsi="Times New Roman" w:cs="Times New Roman"/>
          <w:color w:val="000000"/>
        </w:rPr>
        <w:t xml:space="preserve">sé, di cui si vuole mostrare il farsi esteriore, deve </w:t>
      </w:r>
      <w:r>
        <w:rPr>
          <w:rFonts w:ascii="Times New Roman" w:eastAsia="Times New Roman" w:hAnsi="Times New Roman" w:cs="Times New Roman"/>
          <w:color w:val="000000"/>
        </w:rPr>
        <w:t>essere conforme al principio di non contraddizione</w:t>
      </w:r>
      <w:r w:rsidRPr="00ED7F19">
        <w:rPr>
          <w:rFonts w:ascii="Times New Roman" w:eastAsia="Times New Roman" w:hAnsi="Times New Roman" w:cs="Times New Roman"/>
          <w:color w:val="000000"/>
        </w:rPr>
        <w:t xml:space="preserve">. Se questa condizione è mantenuta, allora si può dire che </w:t>
      </w:r>
      <w:r w:rsidRPr="005B423C">
        <w:rPr>
          <w:rFonts w:ascii="Times New Roman" w:eastAsia="Times New Roman" w:hAnsi="Times New Roman" w:cs="Times New Roman"/>
          <w:color w:val="000000"/>
        </w:rPr>
        <w:t>«was wirklich ist, ist möglich</w:t>
      </w:r>
      <w:r w:rsidRPr="005B423C">
        <w:rPr>
          <w:rFonts w:ascii="Times New Roman" w:eastAsia="Times New Roman" w:hAnsi="Times New Roman" w:cs="Times New Roman"/>
          <w:color w:val="000000"/>
          <w:lang w:val="de-DE"/>
        </w:rPr>
        <w:t>»</w:t>
      </w:r>
      <w:r w:rsidRPr="005B423C">
        <w:rPr>
          <w:rStyle w:val="Rimandonotaapidipagina"/>
          <w:rFonts w:ascii="Times New Roman" w:eastAsia="Times New Roman" w:hAnsi="Times New Roman" w:cs="Times New Roman"/>
          <w:color w:val="000000"/>
        </w:rPr>
        <w:footnoteReference w:id="451"/>
      </w:r>
      <w:r w:rsidRPr="005B423C">
        <w:rPr>
          <w:rFonts w:ascii="Times New Roman" w:eastAsia="Times New Roman" w:hAnsi="Times New Roman" w:cs="Times New Roman"/>
          <w:color w:val="000000"/>
          <w:lang w:val="de-DE"/>
        </w:rPr>
        <w:t xml:space="preserve">. </w:t>
      </w:r>
      <w:r w:rsidRPr="005B423C">
        <w:rPr>
          <w:rFonts w:ascii="Times New Roman" w:eastAsia="Times New Roman" w:hAnsi="Times New Roman" w:cs="Times New Roman"/>
          <w:color w:val="000000"/>
        </w:rPr>
        <w:t>Il possibile è un semplice contenuto positivo, da cui è astratta qualsiasi forma di negatività. Questa positività, però, non esclude che sia pensabile, ad un tempo, un contenut</w:t>
      </w:r>
      <w:r>
        <w:rPr>
          <w:rFonts w:ascii="Times New Roman" w:eastAsia="Times New Roman" w:hAnsi="Times New Roman" w:cs="Times New Roman"/>
          <w:color w:val="000000"/>
        </w:rPr>
        <w:t>o A in sé non contraddittorio e</w:t>
      </w:r>
      <w:r w:rsidRPr="005B423C">
        <w:rPr>
          <w:rFonts w:ascii="Times New Roman" w:eastAsia="Times New Roman" w:hAnsi="Times New Roman" w:cs="Times New Roman"/>
          <w:color w:val="000000"/>
        </w:rPr>
        <w:t xml:space="preserve"> un contenuto non-A in sé non</w:t>
      </w:r>
      <w:r>
        <w:rPr>
          <w:rFonts w:ascii="Times New Roman" w:eastAsia="Times New Roman" w:hAnsi="Times New Roman" w:cs="Times New Roman"/>
          <w:color w:val="000000"/>
        </w:rPr>
        <w:t xml:space="preserve"> contraddittorio. Possibilità e</w:t>
      </w:r>
      <w:r w:rsidRPr="005B423C">
        <w:rPr>
          <w:rFonts w:ascii="Times New Roman" w:eastAsia="Times New Roman" w:hAnsi="Times New Roman" w:cs="Times New Roman"/>
          <w:color w:val="000000"/>
        </w:rPr>
        <w:t xml:space="preserve"> impossibilità, pertanto, si richiamano vicendevolmente, senza essere sussunte – per il momento almeno – all’interno di un’unica dinamica relazionale. L’essere in sé, o il possibile nella sua immediatezza, è anche un essere posto, ossia «das Ansichseyn, bestimmt, als nur gesetztes</w:t>
      </w:r>
      <w:r w:rsidRPr="005B423C">
        <w:rPr>
          <w:rFonts w:ascii="Times New Roman" w:eastAsia="Times New Roman" w:hAnsi="Times New Roman" w:cs="Times New Roman"/>
          <w:color w:val="000000"/>
          <w:lang w:val="de-DE"/>
        </w:rPr>
        <w:t>»</w:t>
      </w:r>
      <w:r w:rsidRPr="005B423C">
        <w:rPr>
          <w:rStyle w:val="Rimandonotaapidipagina"/>
          <w:rFonts w:ascii="Times New Roman" w:eastAsia="Times New Roman" w:hAnsi="Times New Roman" w:cs="Times New Roman"/>
          <w:color w:val="000000"/>
        </w:rPr>
        <w:footnoteReference w:id="452"/>
      </w:r>
      <w:r w:rsidRPr="005B423C">
        <w:rPr>
          <w:rFonts w:ascii="Times New Roman" w:eastAsia="Times New Roman" w:hAnsi="Times New Roman" w:cs="Times New Roman"/>
          <w:color w:val="000000"/>
          <w:lang w:val="de-DE"/>
        </w:rPr>
        <w:t>.</w:t>
      </w:r>
      <w:r w:rsidRPr="00B71925">
        <w:rPr>
          <w:rFonts w:ascii="Times New Roman" w:eastAsia="Times New Roman" w:hAnsi="Times New Roman" w:cs="Times New Roman"/>
          <w:color w:val="000000"/>
          <w:lang w:val="de-DE"/>
        </w:rPr>
        <w:t xml:space="preserve"> </w:t>
      </w:r>
      <w:r>
        <w:rPr>
          <w:rFonts w:ascii="Times New Roman" w:eastAsia="Times New Roman" w:hAnsi="Times New Roman" w:cs="Times New Roman"/>
          <w:color w:val="000000"/>
        </w:rPr>
        <w:t xml:space="preserve">Esser </w:t>
      </w:r>
      <w:r w:rsidRPr="00B71925">
        <w:rPr>
          <w:rFonts w:ascii="Times New Roman" w:eastAsia="Times New Roman" w:hAnsi="Times New Roman" w:cs="Times New Roman"/>
          <w:color w:val="000000"/>
        </w:rPr>
        <w:t>posto significa togliere la propria semplicità immed</w:t>
      </w:r>
      <w:r>
        <w:rPr>
          <w:rFonts w:ascii="Times New Roman" w:eastAsia="Times New Roman" w:hAnsi="Times New Roman" w:cs="Times New Roman"/>
          <w:color w:val="000000"/>
        </w:rPr>
        <w:t>iata: è</w:t>
      </w:r>
      <w:r w:rsidRPr="00B71925">
        <w:rPr>
          <w:rFonts w:ascii="Times New Roman" w:eastAsia="Times New Roman" w:hAnsi="Times New Roman" w:cs="Times New Roman"/>
          <w:color w:val="000000"/>
        </w:rPr>
        <w:t xml:space="preserve"> a questo punto, non prima, che si può dire che </w:t>
      </w:r>
    </w:p>
    <w:p w14:paraId="24CA0700" w14:textId="77777777" w:rsidR="001B7751" w:rsidRDefault="001B7751" w:rsidP="001B7751">
      <w:pPr>
        <w:pStyle w:val="Paragrafoelenco"/>
        <w:spacing w:line="360" w:lineRule="auto"/>
        <w:ind w:left="708" w:firstLine="567"/>
        <w:jc w:val="both"/>
        <w:rPr>
          <w:rFonts w:ascii="Times New Roman" w:eastAsia="Times New Roman" w:hAnsi="Times New Roman" w:cs="Times New Roman"/>
          <w:color w:val="000000"/>
        </w:rPr>
      </w:pPr>
    </w:p>
    <w:p w14:paraId="757B5AB9" w14:textId="77777777" w:rsidR="001B7751" w:rsidRPr="005B423C" w:rsidRDefault="001B7751" w:rsidP="001B7751">
      <w:pPr>
        <w:pStyle w:val="Paragrafoelenco"/>
        <w:spacing w:line="360" w:lineRule="auto"/>
        <w:ind w:left="567" w:firstLine="567"/>
        <w:jc w:val="both"/>
        <w:rPr>
          <w:rFonts w:ascii="Times New Roman" w:eastAsia="Times New Roman" w:hAnsi="Times New Roman" w:cs="Times New Roman"/>
          <w:color w:val="000000"/>
        </w:rPr>
      </w:pPr>
      <w:r w:rsidRPr="005B423C">
        <w:rPr>
          <w:rFonts w:ascii="Times New Roman" w:eastAsia="Times New Roman" w:hAnsi="Times New Roman" w:cs="Times New Roman"/>
          <w:color w:val="000000"/>
        </w:rPr>
        <w:t>«</w:t>
      </w:r>
      <w:r w:rsidRPr="005B423C">
        <w:rPr>
          <w:rFonts w:ascii="Times New Roman" w:eastAsia="Times New Roman" w:hAnsi="Times New Roman" w:cs="Times New Roman"/>
          <w:color w:val="000000"/>
          <w:sz w:val="20"/>
          <w:szCs w:val="20"/>
          <w:lang w:val="de-DE"/>
        </w:rPr>
        <w:t>Als diese Beziehung aber, daß in dem einen Möglichen, auch sein anders enthalten ist, ist sie der Widerspruch, der sich aufhebt. Da sie nun ihre Bestimmung nach das Reflectierte, und wie sich gezeigt hat, das sich aufhebende Reflectierte, so ist somit auch das Unmittelbare, und damit wird sie Wirklichkeit</w:t>
      </w:r>
      <w:r w:rsidRPr="005B423C">
        <w:rPr>
          <w:rFonts w:ascii="Times New Roman" w:eastAsia="Times New Roman" w:hAnsi="Times New Roman" w:cs="Times New Roman"/>
          <w:color w:val="000000"/>
          <w:lang w:val="de-DE"/>
        </w:rPr>
        <w:t>»</w:t>
      </w:r>
      <w:r w:rsidRPr="005B423C">
        <w:rPr>
          <w:rStyle w:val="Rimandonotaapidipagina"/>
          <w:rFonts w:ascii="Times New Roman" w:eastAsia="Times New Roman" w:hAnsi="Times New Roman" w:cs="Times New Roman"/>
          <w:color w:val="000000"/>
          <w:sz w:val="20"/>
          <w:szCs w:val="20"/>
          <w:lang w:val="de-DE"/>
        </w:rPr>
        <w:footnoteReference w:id="453"/>
      </w:r>
      <w:r w:rsidRPr="005B423C">
        <w:rPr>
          <w:rFonts w:ascii="Times New Roman" w:eastAsia="Times New Roman" w:hAnsi="Times New Roman" w:cs="Times New Roman"/>
          <w:color w:val="000000"/>
          <w:sz w:val="20"/>
          <w:szCs w:val="20"/>
          <w:lang w:val="de-DE"/>
        </w:rPr>
        <w:t>.</w:t>
      </w:r>
    </w:p>
    <w:p w14:paraId="18544F3D" w14:textId="77777777" w:rsidR="001B7751" w:rsidRPr="0052152F" w:rsidRDefault="001B7751" w:rsidP="001B7751">
      <w:pPr>
        <w:pStyle w:val="Paragrafoelenco"/>
        <w:spacing w:line="360" w:lineRule="auto"/>
        <w:ind w:left="708" w:firstLine="567"/>
        <w:jc w:val="both"/>
        <w:rPr>
          <w:rFonts w:ascii="Times New Roman" w:eastAsia="Times New Roman" w:hAnsi="Times New Roman" w:cs="Times New Roman"/>
          <w:color w:val="000000"/>
        </w:rPr>
      </w:pPr>
    </w:p>
    <w:p w14:paraId="75709D84" w14:textId="77777777" w:rsidR="001B7751" w:rsidRDefault="001B7751" w:rsidP="001B7751">
      <w:pPr>
        <w:pStyle w:val="Paragrafoelenco"/>
        <w:spacing w:line="360" w:lineRule="auto"/>
        <w:ind w:left="0" w:firstLine="567"/>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Questo immediato e semplice, che si attualizza, determina la prima unità d’interno e d’esterno, che Hegel definisce come </w:t>
      </w:r>
      <w:r w:rsidRPr="00DB60C4">
        <w:rPr>
          <w:rFonts w:ascii="Times New Roman" w:eastAsia="Times New Roman" w:hAnsi="Times New Roman" w:cs="Times New Roman"/>
          <w:i/>
          <w:color w:val="000000"/>
        </w:rPr>
        <w:t>Zufälligkeit</w:t>
      </w:r>
      <w:r>
        <w:rPr>
          <w:rFonts w:ascii="Times New Roman" w:eastAsia="Times New Roman" w:hAnsi="Times New Roman" w:cs="Times New Roman"/>
          <w:color w:val="000000"/>
        </w:rPr>
        <w:t xml:space="preserve">. L’accidentale è un possibile, realizzatosi come effettuale, il cui opposto è altrettanto possibile. In quanto prima trasposizione della possibilità nella </w:t>
      </w:r>
      <w:r w:rsidRPr="0021119C">
        <w:rPr>
          <w:rFonts w:ascii="Times New Roman" w:eastAsia="Times New Roman" w:hAnsi="Times New Roman" w:cs="Times New Roman"/>
          <w:i/>
          <w:color w:val="000000"/>
          <w:lang w:val="de-DE"/>
        </w:rPr>
        <w:t>Wirklichkeit</w:t>
      </w:r>
      <w:r>
        <w:rPr>
          <w:rFonts w:ascii="Times New Roman" w:eastAsia="Times New Roman" w:hAnsi="Times New Roman" w:cs="Times New Roman"/>
          <w:color w:val="000000"/>
        </w:rPr>
        <w:t>, che non assume su di sé la natura contraddittoria del contenuto, l’accidentale è un’esistenza (</w:t>
      </w:r>
      <w:r w:rsidRPr="005E3E90">
        <w:rPr>
          <w:rFonts w:ascii="Times New Roman" w:eastAsia="Times New Roman" w:hAnsi="Times New Roman" w:cs="Times New Roman"/>
          <w:i/>
          <w:color w:val="000000"/>
        </w:rPr>
        <w:t>Existenz</w:t>
      </w:r>
      <w:r>
        <w:rPr>
          <w:rFonts w:ascii="Times New Roman" w:eastAsia="Times New Roman" w:hAnsi="Times New Roman" w:cs="Times New Roman"/>
          <w:color w:val="000000"/>
        </w:rPr>
        <w:t xml:space="preserve">) pura e semplice: </w:t>
      </w:r>
    </w:p>
    <w:p w14:paraId="7C57C04B" w14:textId="77777777" w:rsidR="001B7751" w:rsidRDefault="001B7751" w:rsidP="001B7751">
      <w:pPr>
        <w:pStyle w:val="Paragrafoelenco"/>
        <w:spacing w:line="360" w:lineRule="auto"/>
        <w:ind w:left="708" w:firstLine="567"/>
        <w:jc w:val="both"/>
        <w:rPr>
          <w:rFonts w:ascii="Times New Roman" w:eastAsia="Times New Roman" w:hAnsi="Times New Roman" w:cs="Times New Roman"/>
          <w:color w:val="000000"/>
        </w:rPr>
      </w:pPr>
    </w:p>
    <w:p w14:paraId="4D78FA73" w14:textId="77777777" w:rsidR="001B7751" w:rsidRPr="005B423C" w:rsidRDefault="001B7751" w:rsidP="001B7751">
      <w:pPr>
        <w:pStyle w:val="Paragrafoelenco"/>
        <w:spacing w:line="360" w:lineRule="auto"/>
        <w:ind w:left="567" w:firstLine="567"/>
        <w:jc w:val="both"/>
        <w:rPr>
          <w:rFonts w:ascii="Times New Roman" w:eastAsia="Times New Roman" w:hAnsi="Times New Roman" w:cs="Times New Roman"/>
          <w:color w:val="000000"/>
          <w:sz w:val="20"/>
          <w:szCs w:val="20"/>
          <w:lang w:val="de-DE"/>
        </w:rPr>
      </w:pPr>
      <w:r w:rsidRPr="005B423C">
        <w:rPr>
          <w:rFonts w:ascii="Times New Roman" w:eastAsia="Times New Roman" w:hAnsi="Times New Roman" w:cs="Times New Roman"/>
          <w:color w:val="000000"/>
          <w:sz w:val="20"/>
          <w:szCs w:val="20"/>
        </w:rPr>
        <w:t>«</w:t>
      </w:r>
      <w:r w:rsidRPr="005B423C">
        <w:rPr>
          <w:rFonts w:ascii="Times New Roman" w:eastAsia="Times New Roman" w:hAnsi="Times New Roman" w:cs="Times New Roman"/>
          <w:color w:val="000000"/>
          <w:sz w:val="20"/>
          <w:szCs w:val="20"/>
          <w:lang w:val="de-DE"/>
        </w:rPr>
        <w:t>Das Zufällige ist ein Wirkliches, das zugleich nur als möglich bestimmt, dessen Anderes oder Gegenteil eben so sehr ist. Diese Wirklichkeit ist daher blosses Seyn oder Existenz, aber in seiner Wahrheit gesetzt, den Werth eines Gesetztseyns oder der Möglichkeit zu haben»</w:t>
      </w:r>
      <w:r w:rsidRPr="005B423C">
        <w:rPr>
          <w:rStyle w:val="Rimandonotaapidipagina"/>
          <w:rFonts w:ascii="Times New Roman" w:eastAsia="Times New Roman" w:hAnsi="Times New Roman" w:cs="Times New Roman"/>
          <w:color w:val="000000"/>
          <w:sz w:val="20"/>
          <w:szCs w:val="20"/>
          <w:lang w:val="de-DE"/>
        </w:rPr>
        <w:footnoteReference w:id="454"/>
      </w:r>
      <w:r w:rsidRPr="005B423C">
        <w:rPr>
          <w:rFonts w:ascii="Times New Roman" w:eastAsia="Times New Roman" w:hAnsi="Times New Roman" w:cs="Times New Roman"/>
          <w:color w:val="000000"/>
          <w:sz w:val="20"/>
          <w:szCs w:val="20"/>
          <w:lang w:val="de-DE"/>
        </w:rPr>
        <w:t>.</w:t>
      </w:r>
    </w:p>
    <w:p w14:paraId="352CFBB3" w14:textId="77777777" w:rsidR="001B7751" w:rsidRPr="00E90EBD" w:rsidRDefault="001B7751" w:rsidP="001B7751">
      <w:pPr>
        <w:pStyle w:val="Paragrafoelenco"/>
        <w:spacing w:line="360" w:lineRule="auto"/>
        <w:ind w:left="1275" w:firstLine="567"/>
        <w:jc w:val="both"/>
        <w:rPr>
          <w:rFonts w:ascii="Times New Roman" w:eastAsia="Times New Roman" w:hAnsi="Times New Roman" w:cs="Times New Roman"/>
          <w:color w:val="000000"/>
          <w:lang w:val="de-DE"/>
        </w:rPr>
      </w:pPr>
    </w:p>
    <w:p w14:paraId="723FFBD6" w14:textId="77777777" w:rsidR="00BB657A" w:rsidRDefault="00B609B0" w:rsidP="00BB657A">
      <w:pPr>
        <w:pStyle w:val="Paragrafoelenco"/>
        <w:spacing w:line="360" w:lineRule="auto"/>
        <w:ind w:left="0" w:firstLine="567"/>
        <w:jc w:val="both"/>
        <w:rPr>
          <w:rFonts w:ascii="Times New Roman" w:eastAsia="Times New Roman" w:hAnsi="Times New Roman" w:cs="Times New Roman"/>
          <w:color w:val="000000"/>
        </w:rPr>
      </w:pPr>
      <w:r>
        <w:rPr>
          <w:rFonts w:ascii="Times New Roman" w:eastAsia="Times New Roman" w:hAnsi="Times New Roman" w:cs="Times New Roman"/>
          <w:color w:val="000000"/>
        </w:rPr>
        <w:t>In quanto semplice essere o</w:t>
      </w:r>
      <w:r w:rsidR="001B7751" w:rsidRPr="003D2E39">
        <w:rPr>
          <w:rFonts w:ascii="Times New Roman" w:eastAsia="Times New Roman" w:hAnsi="Times New Roman" w:cs="Times New Roman"/>
          <w:color w:val="000000"/>
        </w:rPr>
        <w:t xml:space="preserve"> esistenza, l’accidentale è un che d’immediato, che non ha nessuna ragione d’essere. Allo stesso tempo, l’accidentale ha una ragione d’essere, </w:t>
      </w:r>
      <w:r w:rsidR="001B7751">
        <w:rPr>
          <w:rFonts w:ascii="Times New Roman" w:eastAsia="Times New Roman" w:hAnsi="Times New Roman" w:cs="Times New Roman"/>
          <w:color w:val="000000"/>
        </w:rPr>
        <w:t xml:space="preserve">ossia </w:t>
      </w:r>
      <w:r w:rsidR="001B7751" w:rsidRPr="003D2E39">
        <w:rPr>
          <w:rFonts w:ascii="Times New Roman" w:eastAsia="Times New Roman" w:hAnsi="Times New Roman" w:cs="Times New Roman"/>
          <w:color w:val="000000"/>
        </w:rPr>
        <w:t>è in virtù di un</w:t>
      </w:r>
      <w:r w:rsidR="001B7751">
        <w:rPr>
          <w:rFonts w:ascii="Times New Roman" w:eastAsia="Times New Roman" w:hAnsi="Times New Roman" w:cs="Times New Roman"/>
          <w:color w:val="000000"/>
        </w:rPr>
        <w:t xml:space="preserve"> possibile resosi effettu</w:t>
      </w:r>
      <w:r w:rsidR="001B7751" w:rsidRPr="003D2E39">
        <w:rPr>
          <w:rFonts w:ascii="Times New Roman" w:eastAsia="Times New Roman" w:hAnsi="Times New Roman" w:cs="Times New Roman"/>
          <w:color w:val="000000"/>
        </w:rPr>
        <w:t xml:space="preserve">ale. </w:t>
      </w:r>
      <w:r w:rsidR="001B7751">
        <w:rPr>
          <w:rFonts w:ascii="Times New Roman" w:eastAsia="Times New Roman" w:hAnsi="Times New Roman" w:cs="Times New Roman"/>
          <w:color w:val="000000"/>
        </w:rPr>
        <w:t xml:space="preserve">Possibile ed effettuale sono momenti fluidi, che cadono l’uno nell’altro: l’interno nell’esterno, la riflessione in sé nell’essere o nell’esistenza. In quanto esistenza </w:t>
      </w:r>
      <w:r w:rsidR="001B7751" w:rsidRPr="000E5095">
        <w:rPr>
          <w:rFonts w:ascii="Times New Roman" w:eastAsia="Times New Roman" w:hAnsi="Times New Roman" w:cs="Times New Roman"/>
          <w:i/>
          <w:color w:val="000000"/>
        </w:rPr>
        <w:t>immediata</w:t>
      </w:r>
      <w:r w:rsidR="001B7751">
        <w:rPr>
          <w:rFonts w:ascii="Times New Roman" w:eastAsia="Times New Roman" w:hAnsi="Times New Roman" w:cs="Times New Roman"/>
          <w:color w:val="000000"/>
        </w:rPr>
        <w:t xml:space="preserve"> e </w:t>
      </w:r>
      <w:r w:rsidR="001B7751" w:rsidRPr="000E5095">
        <w:rPr>
          <w:rFonts w:ascii="Times New Roman" w:eastAsia="Times New Roman" w:hAnsi="Times New Roman" w:cs="Times New Roman"/>
          <w:i/>
          <w:color w:val="000000"/>
        </w:rPr>
        <w:t>irriflessa</w:t>
      </w:r>
      <w:r w:rsidR="001B7751">
        <w:rPr>
          <w:rFonts w:ascii="Times New Roman" w:eastAsia="Times New Roman" w:hAnsi="Times New Roman" w:cs="Times New Roman"/>
          <w:color w:val="000000"/>
        </w:rPr>
        <w:t>, l’effettuale è un possibile e, in quanto separato dal possibile, esso è un semplice possibile. In maniera speculare, la possibilità, come essere in sé (</w:t>
      </w:r>
      <w:r w:rsidR="001B7751" w:rsidRPr="000E5095">
        <w:rPr>
          <w:rFonts w:ascii="Times New Roman" w:eastAsia="Times New Roman" w:hAnsi="Times New Roman" w:cs="Times New Roman"/>
          <w:i/>
          <w:color w:val="000000"/>
        </w:rPr>
        <w:t>Ansic</w:t>
      </w:r>
      <w:r w:rsidR="001B7751">
        <w:rPr>
          <w:rFonts w:ascii="Times New Roman" w:eastAsia="Times New Roman" w:hAnsi="Times New Roman" w:cs="Times New Roman"/>
          <w:i/>
          <w:color w:val="000000"/>
        </w:rPr>
        <w:t>h</w:t>
      </w:r>
      <w:r w:rsidR="001B7751" w:rsidRPr="000E5095">
        <w:rPr>
          <w:rFonts w:ascii="Times New Roman" w:eastAsia="Times New Roman" w:hAnsi="Times New Roman" w:cs="Times New Roman"/>
          <w:i/>
          <w:color w:val="000000"/>
        </w:rPr>
        <w:t>seyn</w:t>
      </w:r>
      <w:r w:rsidR="001B7751">
        <w:rPr>
          <w:rFonts w:ascii="Times New Roman" w:eastAsia="Times New Roman" w:hAnsi="Times New Roman" w:cs="Times New Roman"/>
          <w:color w:val="000000"/>
        </w:rPr>
        <w:t xml:space="preserve">) realizzato, è un immediato, o un essere in generale, e, in quanto contrapposta alla realtà, </w:t>
      </w:r>
      <w:r w:rsidR="001B7751" w:rsidRPr="00EF3E01">
        <w:rPr>
          <w:rFonts w:ascii="Times New Roman" w:eastAsia="Times New Roman" w:hAnsi="Times New Roman" w:cs="Times New Roman"/>
          <w:color w:val="000000"/>
        </w:rPr>
        <w:t xml:space="preserve">è un irreale essere in sé, ossia un’esistenza </w:t>
      </w:r>
      <w:r w:rsidR="001B7751" w:rsidRPr="00EF3E01">
        <w:rPr>
          <w:rFonts w:ascii="Times New Roman" w:eastAsia="Times New Roman" w:hAnsi="Times New Roman" w:cs="Times New Roman"/>
          <w:i/>
          <w:color w:val="000000"/>
        </w:rPr>
        <w:t>immediata</w:t>
      </w:r>
      <w:r w:rsidR="001B7751" w:rsidRPr="00EF3E01">
        <w:rPr>
          <w:rFonts w:ascii="Times New Roman" w:eastAsia="Times New Roman" w:hAnsi="Times New Roman" w:cs="Times New Roman"/>
          <w:color w:val="000000"/>
        </w:rPr>
        <w:t xml:space="preserve"> e </w:t>
      </w:r>
      <w:r w:rsidR="001B7751" w:rsidRPr="00EF3E01">
        <w:rPr>
          <w:rFonts w:ascii="Times New Roman" w:eastAsia="Times New Roman" w:hAnsi="Times New Roman" w:cs="Times New Roman"/>
          <w:i/>
          <w:color w:val="000000"/>
        </w:rPr>
        <w:t>irriflessa</w:t>
      </w:r>
      <w:r w:rsidR="001B7751" w:rsidRPr="00EF3E01">
        <w:rPr>
          <w:rFonts w:ascii="Times New Roman" w:eastAsia="Times New Roman" w:hAnsi="Times New Roman" w:cs="Times New Roman"/>
          <w:color w:val="000000"/>
        </w:rPr>
        <w:t>.</w:t>
      </w:r>
      <w:r w:rsidR="001B7751">
        <w:rPr>
          <w:rFonts w:ascii="Times New Roman" w:eastAsia="Times New Roman" w:hAnsi="Times New Roman" w:cs="Times New Roman"/>
          <w:color w:val="000000"/>
        </w:rPr>
        <w:t xml:space="preserve"> Questa dinamica relazionale è ciò che Hegel definisce come </w:t>
      </w:r>
      <w:r w:rsidR="001B7751" w:rsidRPr="005B423C">
        <w:rPr>
          <w:rFonts w:ascii="Times New Roman" w:eastAsia="Times New Roman" w:hAnsi="Times New Roman" w:cs="Times New Roman"/>
          <w:color w:val="000000"/>
        </w:rPr>
        <w:t>«</w:t>
      </w:r>
      <w:r w:rsidR="001B7751" w:rsidRPr="005B423C">
        <w:rPr>
          <w:rFonts w:ascii="Times New Roman" w:eastAsia="Times New Roman" w:hAnsi="Times New Roman" w:cs="Times New Roman"/>
          <w:color w:val="000000"/>
          <w:lang w:val="de-DE"/>
        </w:rPr>
        <w:t>diese absolute Unruhe des Werdens dieser beyden Bestimmungen ist die Zufälligkeit»</w:t>
      </w:r>
      <w:r w:rsidR="001B7751" w:rsidRPr="005B423C">
        <w:rPr>
          <w:rStyle w:val="Rimandonotaapidipagina"/>
          <w:rFonts w:ascii="Times New Roman" w:eastAsia="Times New Roman" w:hAnsi="Times New Roman" w:cs="Times New Roman"/>
          <w:color w:val="000000"/>
          <w:lang w:val="de-DE"/>
        </w:rPr>
        <w:footnoteReference w:id="455"/>
      </w:r>
      <w:r w:rsidR="001B7751" w:rsidRPr="005B423C">
        <w:rPr>
          <w:rFonts w:ascii="Times New Roman" w:eastAsia="Times New Roman" w:hAnsi="Times New Roman" w:cs="Times New Roman"/>
          <w:color w:val="000000"/>
          <w:lang w:val="de-DE"/>
        </w:rPr>
        <w:t>.</w:t>
      </w:r>
      <w:r w:rsidR="001B7751">
        <w:rPr>
          <w:rFonts w:ascii="Times New Roman" w:eastAsia="Times New Roman" w:hAnsi="Times New Roman" w:cs="Times New Roman"/>
          <w:color w:val="000000"/>
          <w:lang w:val="de-DE"/>
        </w:rPr>
        <w:t xml:space="preserve"> </w:t>
      </w:r>
      <w:r w:rsidR="001B7751" w:rsidRPr="00C92E96">
        <w:rPr>
          <w:rFonts w:ascii="Times New Roman" w:eastAsia="Times New Roman" w:hAnsi="Times New Roman" w:cs="Times New Roman"/>
          <w:color w:val="000000"/>
        </w:rPr>
        <w:t xml:space="preserve">Contrariamente alla </w:t>
      </w:r>
      <w:r w:rsidR="001B7751" w:rsidRPr="000E5095">
        <w:rPr>
          <w:rFonts w:ascii="Times New Roman" w:eastAsia="Times New Roman" w:hAnsi="Times New Roman" w:cs="Times New Roman"/>
          <w:i/>
          <w:color w:val="000000"/>
          <w:lang w:val="de-DE"/>
        </w:rPr>
        <w:t>Logik des Seyns</w:t>
      </w:r>
      <w:r w:rsidR="001B7751" w:rsidRPr="00C92E96">
        <w:rPr>
          <w:rFonts w:ascii="Times New Roman" w:eastAsia="Times New Roman" w:hAnsi="Times New Roman" w:cs="Times New Roman"/>
          <w:color w:val="000000"/>
        </w:rPr>
        <w:t xml:space="preserve">, dove il </w:t>
      </w:r>
      <w:r w:rsidR="001B7751" w:rsidRPr="000E5095">
        <w:rPr>
          <w:rFonts w:ascii="Times New Roman" w:eastAsia="Times New Roman" w:hAnsi="Times New Roman" w:cs="Times New Roman"/>
          <w:i/>
          <w:color w:val="000000"/>
          <w:lang w:val="de-DE"/>
        </w:rPr>
        <w:t>Verschwinden</w:t>
      </w:r>
      <w:r w:rsidR="001B7751">
        <w:rPr>
          <w:rFonts w:ascii="Times New Roman" w:eastAsia="Times New Roman" w:hAnsi="Times New Roman" w:cs="Times New Roman"/>
          <w:color w:val="000000"/>
        </w:rPr>
        <w:t xml:space="preserve"> </w:t>
      </w:r>
      <w:r w:rsidR="001B7751" w:rsidRPr="00C92E96">
        <w:rPr>
          <w:rFonts w:ascii="Times New Roman" w:eastAsia="Times New Roman" w:hAnsi="Times New Roman" w:cs="Times New Roman"/>
          <w:color w:val="000000"/>
        </w:rPr>
        <w:t>di essere e nulla era un dileguare in cui erano soppresse le differenze specifiche delle determinazioni, il</w:t>
      </w:r>
      <w:r w:rsidR="001B7751">
        <w:rPr>
          <w:rFonts w:ascii="Times New Roman" w:eastAsia="Times New Roman" w:hAnsi="Times New Roman" w:cs="Times New Roman"/>
          <w:color w:val="000000"/>
        </w:rPr>
        <w:t xml:space="preserve"> divenire di possibilità e</w:t>
      </w:r>
      <w:r>
        <w:rPr>
          <w:rFonts w:ascii="Times New Roman" w:eastAsia="Times New Roman" w:hAnsi="Times New Roman" w:cs="Times New Roman"/>
          <w:color w:val="000000"/>
        </w:rPr>
        <w:t>d</w:t>
      </w:r>
      <w:r w:rsidR="001B7751">
        <w:rPr>
          <w:rFonts w:ascii="Times New Roman" w:eastAsia="Times New Roman" w:hAnsi="Times New Roman" w:cs="Times New Roman"/>
          <w:color w:val="000000"/>
        </w:rPr>
        <w:t xml:space="preserve"> effettualit</w:t>
      </w:r>
      <w:r w:rsidR="001B7751" w:rsidRPr="00C92E96">
        <w:rPr>
          <w:rFonts w:ascii="Times New Roman" w:eastAsia="Times New Roman" w:hAnsi="Times New Roman" w:cs="Times New Roman"/>
          <w:color w:val="000000"/>
        </w:rPr>
        <w:t>à si struttura in modo tale che al rovesciarsi di un termine relaz</w:t>
      </w:r>
      <w:r w:rsidR="001B7751">
        <w:rPr>
          <w:rFonts w:ascii="Times New Roman" w:eastAsia="Times New Roman" w:hAnsi="Times New Roman" w:cs="Times New Roman"/>
          <w:color w:val="000000"/>
        </w:rPr>
        <w:t>ionale nel proprio opposto segua</w:t>
      </w:r>
      <w:r w:rsidR="001B7751" w:rsidRPr="00C92E96">
        <w:rPr>
          <w:rFonts w:ascii="Times New Roman" w:eastAsia="Times New Roman" w:hAnsi="Times New Roman" w:cs="Times New Roman"/>
          <w:color w:val="000000"/>
        </w:rPr>
        <w:t xml:space="preserve"> un saldarsi del medesimo con </w:t>
      </w:r>
      <w:r w:rsidR="001B7751">
        <w:rPr>
          <w:rFonts w:ascii="Times New Roman" w:eastAsia="Times New Roman" w:hAnsi="Times New Roman" w:cs="Times New Roman"/>
          <w:color w:val="000000"/>
        </w:rPr>
        <w:t>sé per mezzo della propria alterità. A c</w:t>
      </w:r>
      <w:r w:rsidR="001B7751" w:rsidRPr="00C92E96">
        <w:rPr>
          <w:rFonts w:ascii="Times New Roman" w:eastAsia="Times New Roman" w:hAnsi="Times New Roman" w:cs="Times New Roman"/>
          <w:color w:val="000000"/>
        </w:rPr>
        <w:t xml:space="preserve">iò </w:t>
      </w:r>
      <w:r w:rsidR="001B7751">
        <w:rPr>
          <w:rFonts w:ascii="Times New Roman" w:eastAsia="Times New Roman" w:hAnsi="Times New Roman" w:cs="Times New Roman"/>
          <w:color w:val="000000"/>
        </w:rPr>
        <w:t>consegue</w:t>
      </w:r>
      <w:r w:rsidR="001B7751" w:rsidRPr="00C92E96">
        <w:rPr>
          <w:rFonts w:ascii="Times New Roman" w:eastAsia="Times New Roman" w:hAnsi="Times New Roman" w:cs="Times New Roman"/>
          <w:color w:val="000000"/>
        </w:rPr>
        <w:t xml:space="preserve"> il necessario, ossia «</w:t>
      </w:r>
      <w:r w:rsidR="001B7751" w:rsidRPr="00C92E96">
        <w:rPr>
          <w:rFonts w:ascii="Times New Roman" w:eastAsia="Times New Roman" w:hAnsi="Times New Roman" w:cs="Times New Roman"/>
          <w:i/>
          <w:color w:val="000000"/>
        </w:rPr>
        <w:t>ein Wirkliches</w:t>
      </w:r>
      <w:r w:rsidR="001B7751" w:rsidRPr="00C92E96">
        <w:rPr>
          <w:rFonts w:ascii="Times New Roman" w:eastAsia="Times New Roman" w:hAnsi="Times New Roman" w:cs="Times New Roman"/>
          <w:color w:val="000000"/>
        </w:rPr>
        <w:t>»</w:t>
      </w:r>
      <w:r w:rsidR="001B7751" w:rsidRPr="00C92E96">
        <w:rPr>
          <w:rStyle w:val="Rimandonotaapidipagina"/>
          <w:rFonts w:ascii="Times New Roman" w:eastAsia="Times New Roman" w:hAnsi="Times New Roman" w:cs="Times New Roman"/>
          <w:color w:val="000000"/>
        </w:rPr>
        <w:footnoteReference w:id="456"/>
      </w:r>
      <w:r w:rsidR="001B7751" w:rsidRPr="00C92E96">
        <w:rPr>
          <w:rFonts w:ascii="Times New Roman" w:eastAsia="Times New Roman" w:hAnsi="Times New Roman" w:cs="Times New Roman"/>
          <w:color w:val="000000"/>
        </w:rPr>
        <w:t xml:space="preserve">, </w:t>
      </w:r>
      <w:r w:rsidR="001B7751">
        <w:rPr>
          <w:rFonts w:ascii="Times New Roman" w:eastAsia="Times New Roman" w:hAnsi="Times New Roman" w:cs="Times New Roman"/>
          <w:color w:val="000000"/>
        </w:rPr>
        <w:t xml:space="preserve">o il </w:t>
      </w:r>
      <w:r w:rsidR="001B7751" w:rsidRPr="003A14DE">
        <w:rPr>
          <w:rFonts w:ascii="Times New Roman" w:eastAsia="Times New Roman" w:hAnsi="Times New Roman" w:cs="Times New Roman"/>
          <w:i/>
          <w:color w:val="000000"/>
        </w:rPr>
        <w:t>togliersi</w:t>
      </w:r>
      <w:r w:rsidR="001B7751" w:rsidRPr="00C92E96">
        <w:rPr>
          <w:rFonts w:ascii="Times New Roman" w:eastAsia="Times New Roman" w:hAnsi="Times New Roman" w:cs="Times New Roman"/>
          <w:color w:val="000000"/>
        </w:rPr>
        <w:t xml:space="preserve"> </w:t>
      </w:r>
      <w:r w:rsidR="001B7751">
        <w:rPr>
          <w:rFonts w:ascii="Times New Roman" w:eastAsia="Times New Roman" w:hAnsi="Times New Roman" w:cs="Times New Roman"/>
          <w:color w:val="000000"/>
        </w:rPr>
        <w:t>del divenire messo in atto da possibilità e effettualità.</w:t>
      </w:r>
    </w:p>
    <w:p w14:paraId="69162518" w14:textId="1BAD2E37" w:rsidR="00931303" w:rsidRDefault="001B7751" w:rsidP="00BB657A">
      <w:pPr>
        <w:pStyle w:val="Paragrafoelenco"/>
        <w:spacing w:line="360" w:lineRule="auto"/>
        <w:ind w:left="0" w:firstLine="567"/>
        <w:jc w:val="both"/>
        <w:rPr>
          <w:rFonts w:ascii="Times New Roman" w:eastAsia="Times New Roman" w:hAnsi="Times New Roman" w:cs="Times New Roman"/>
          <w:color w:val="000000"/>
        </w:rPr>
      </w:pPr>
      <w:r w:rsidRPr="006C49AB">
        <w:rPr>
          <w:rFonts w:ascii="Times New Roman" w:eastAsia="Times New Roman" w:hAnsi="Times New Roman" w:cs="Times New Roman"/>
          <w:color w:val="000000"/>
        </w:rPr>
        <w:t xml:space="preserve">La necessità, di cui Hegel parla, è dapprima </w:t>
      </w:r>
      <w:r w:rsidRPr="006C49AB">
        <w:rPr>
          <w:rFonts w:ascii="Times New Roman" w:eastAsia="Times New Roman" w:hAnsi="Times New Roman" w:cs="Times New Roman"/>
          <w:i/>
          <w:color w:val="000000"/>
        </w:rPr>
        <w:t>formale</w:t>
      </w:r>
      <w:r w:rsidRPr="006C49AB">
        <w:rPr>
          <w:rFonts w:ascii="Times New Roman" w:eastAsia="Times New Roman" w:hAnsi="Times New Roman" w:cs="Times New Roman"/>
          <w:color w:val="000000"/>
        </w:rPr>
        <w:t>: le determinazioni che la definiscono cadono l’una nell’altra e non valgono in-sé-e-per-sé.</w:t>
      </w:r>
      <w:r w:rsidRPr="0020127F">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Questa effettuali</w:t>
      </w:r>
      <w:r w:rsidRPr="0020127F">
        <w:rPr>
          <w:rFonts w:ascii="Times New Roman" w:eastAsia="Times New Roman" w:hAnsi="Times New Roman" w:cs="Times New Roman"/>
          <w:color w:val="000000"/>
        </w:rPr>
        <w:t>tà</w:t>
      </w:r>
      <w:r>
        <w:rPr>
          <w:rFonts w:ascii="Times New Roman" w:eastAsia="Times New Roman" w:hAnsi="Times New Roman" w:cs="Times New Roman"/>
          <w:color w:val="000000"/>
        </w:rPr>
        <w:t xml:space="preserve">, che è </w:t>
      </w:r>
      <w:r w:rsidRPr="00A11C13">
        <w:rPr>
          <w:rFonts w:ascii="Times New Roman" w:eastAsia="Times New Roman" w:hAnsi="Times New Roman" w:cs="Times New Roman"/>
          <w:i/>
          <w:color w:val="000000"/>
        </w:rPr>
        <w:t>formelle Nothwendigkeit</w:t>
      </w:r>
      <w:r>
        <w:rPr>
          <w:rFonts w:ascii="Times New Roman" w:eastAsia="Times New Roman" w:hAnsi="Times New Roman" w:cs="Times New Roman"/>
          <w:color w:val="000000"/>
        </w:rPr>
        <w:t xml:space="preserve">, essendo indifferente nei confronti delle </w:t>
      </w:r>
      <w:r w:rsidRPr="001C4031">
        <w:rPr>
          <w:rFonts w:ascii="Times New Roman" w:eastAsia="Times New Roman" w:hAnsi="Times New Roman" w:cs="Times New Roman"/>
          <w:i/>
          <w:color w:val="000000"/>
        </w:rPr>
        <w:t>determinazioni della forma</w:t>
      </w:r>
      <w:r>
        <w:rPr>
          <w:rFonts w:ascii="Times New Roman" w:eastAsia="Times New Roman" w:hAnsi="Times New Roman" w:cs="Times New Roman"/>
          <w:color w:val="000000"/>
        </w:rPr>
        <w:t>, ha un contenuto indifferentemente determinato e molteplice</w:t>
      </w:r>
      <w:r w:rsidRPr="00DD1A42">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 xml:space="preserve">In forza di ciò, l’effettuale </w:t>
      </w:r>
      <w:r w:rsidRPr="00DD1A42">
        <w:rPr>
          <w:rFonts w:ascii="Times New Roman" w:eastAsia="Times New Roman" w:hAnsi="Times New Roman" w:cs="Times New Roman"/>
          <w:color w:val="000000"/>
        </w:rPr>
        <w:t xml:space="preserve">non è ancora </w:t>
      </w:r>
      <w:r>
        <w:rPr>
          <w:rFonts w:ascii="Times New Roman" w:eastAsia="Times New Roman" w:hAnsi="Times New Roman" w:cs="Times New Roman"/>
          <w:color w:val="000000"/>
        </w:rPr>
        <w:t>concepibile nei termini dell</w:t>
      </w:r>
      <w:r w:rsidRPr="00DD1A42">
        <w:rPr>
          <w:rFonts w:ascii="Times New Roman" w:eastAsia="Times New Roman" w:hAnsi="Times New Roman" w:cs="Times New Roman"/>
          <w:color w:val="000000"/>
        </w:rPr>
        <w:t xml:space="preserve">’unità sostanziale, ma </w:t>
      </w:r>
      <w:r w:rsidRPr="007C2E59">
        <w:rPr>
          <w:rFonts w:ascii="Times New Roman" w:eastAsia="Times New Roman" w:hAnsi="Times New Roman" w:cs="Times New Roman"/>
          <w:color w:val="000000"/>
        </w:rPr>
        <w:t>come una «</w:t>
      </w:r>
      <w:r w:rsidRPr="00CC1EDD">
        <w:rPr>
          <w:rFonts w:ascii="Times New Roman" w:eastAsia="Times New Roman" w:hAnsi="Times New Roman" w:cs="Times New Roman"/>
          <w:i/>
          <w:color w:val="000000"/>
          <w:lang w:val="de-DE"/>
        </w:rPr>
        <w:t>reale Wirklichkeit</w:t>
      </w:r>
      <w:r w:rsidRPr="007C2E59">
        <w:rPr>
          <w:rFonts w:ascii="Times New Roman" w:eastAsia="Times New Roman" w:hAnsi="Times New Roman" w:cs="Times New Roman"/>
          <w:color w:val="000000"/>
        </w:rPr>
        <w:t>»</w:t>
      </w:r>
      <w:r w:rsidRPr="007C2E59">
        <w:rPr>
          <w:rStyle w:val="Rimandonotaapidipagina"/>
          <w:rFonts w:ascii="Times New Roman" w:eastAsia="Times New Roman" w:hAnsi="Times New Roman" w:cs="Times New Roman"/>
          <w:color w:val="000000"/>
        </w:rPr>
        <w:footnoteReference w:id="457"/>
      </w:r>
      <w:r w:rsidRPr="007C2E59">
        <w:rPr>
          <w:rFonts w:ascii="Times New Roman" w:eastAsia="Times New Roman" w:hAnsi="Times New Roman" w:cs="Times New Roman"/>
          <w:color w:val="000000"/>
        </w:rPr>
        <w:t>, ossia come</w:t>
      </w:r>
      <w:r>
        <w:rPr>
          <w:rFonts w:ascii="Times New Roman" w:eastAsia="Times New Roman" w:hAnsi="Times New Roman" w:cs="Times New Roman"/>
          <w:color w:val="000000"/>
        </w:rPr>
        <w:t xml:space="preserve"> </w:t>
      </w:r>
      <w:r w:rsidRPr="00DD1A42">
        <w:rPr>
          <w:rFonts w:ascii="Times New Roman" w:eastAsia="Times New Roman" w:hAnsi="Times New Roman" w:cs="Times New Roman"/>
          <w:color w:val="000000"/>
        </w:rPr>
        <w:t>uno specchio logico dell’«</w:t>
      </w:r>
      <w:r w:rsidRPr="00CC1EDD">
        <w:rPr>
          <w:rFonts w:ascii="Times New Roman" w:eastAsia="Times New Roman" w:hAnsi="Times New Roman" w:cs="Times New Roman"/>
          <w:i/>
          <w:color w:val="000000"/>
          <w:lang w:val="de-DE"/>
        </w:rPr>
        <w:t>existierende Welt</w:t>
      </w:r>
      <w:r w:rsidRPr="00DD1A42">
        <w:rPr>
          <w:rFonts w:ascii="Times New Roman" w:eastAsia="Times New Roman" w:hAnsi="Times New Roman" w:cs="Times New Roman"/>
          <w:color w:val="000000"/>
        </w:rPr>
        <w:t>»</w:t>
      </w:r>
      <w:r>
        <w:rPr>
          <w:rStyle w:val="Rimandonotaapidipagina"/>
          <w:rFonts w:ascii="Times New Roman" w:eastAsia="Times New Roman" w:hAnsi="Times New Roman" w:cs="Times New Roman"/>
          <w:color w:val="000000"/>
        </w:rPr>
        <w:footnoteReference w:id="458"/>
      </w:r>
      <w:r>
        <w:rPr>
          <w:rFonts w:ascii="Times New Roman" w:eastAsia="Times New Roman" w:hAnsi="Times New Roman" w:cs="Times New Roman"/>
          <w:color w:val="000000"/>
        </w:rPr>
        <w:t>. Ciò che è effettua</w:t>
      </w:r>
      <w:r w:rsidRPr="00DD1A42">
        <w:rPr>
          <w:rFonts w:ascii="Times New Roman" w:eastAsia="Times New Roman" w:hAnsi="Times New Roman" w:cs="Times New Roman"/>
          <w:color w:val="000000"/>
        </w:rPr>
        <w:t xml:space="preserve">le si manifesta </w:t>
      </w:r>
      <w:r>
        <w:rPr>
          <w:rFonts w:ascii="Times New Roman" w:eastAsia="Times New Roman" w:hAnsi="Times New Roman" w:cs="Times New Roman"/>
          <w:color w:val="000000"/>
        </w:rPr>
        <w:t>in virtù della sua capacità d’agire</w:t>
      </w:r>
      <w:r w:rsidRPr="00DD1A42">
        <w:rPr>
          <w:rFonts w:ascii="Times New Roman" w:eastAsia="Times New Roman" w:hAnsi="Times New Roman" w:cs="Times New Roman"/>
          <w:color w:val="000000"/>
        </w:rPr>
        <w:t>: «</w:t>
      </w:r>
      <w:r w:rsidRPr="00CC1EDD">
        <w:rPr>
          <w:rFonts w:ascii="Times New Roman" w:eastAsia="Times New Roman" w:hAnsi="Times New Roman" w:cs="Times New Roman"/>
          <w:i/>
          <w:color w:val="000000"/>
          <w:lang w:val="de-DE"/>
        </w:rPr>
        <w:t>was wirklich ist, kann wirken</w:t>
      </w:r>
      <w:r w:rsidRPr="00372FD7">
        <w:rPr>
          <w:rFonts w:ascii="Times New Roman" w:eastAsia="Times New Roman" w:hAnsi="Times New Roman" w:cs="Times New Roman"/>
          <w:color w:val="000000"/>
        </w:rPr>
        <w:t>»</w:t>
      </w:r>
      <w:r w:rsidRPr="00372FD7">
        <w:rPr>
          <w:rStyle w:val="Rimandonotaapidipagina"/>
          <w:rFonts w:ascii="Times New Roman" w:eastAsia="Times New Roman" w:hAnsi="Times New Roman" w:cs="Times New Roman"/>
          <w:color w:val="000000"/>
        </w:rPr>
        <w:footnoteReference w:id="459"/>
      </w:r>
      <w:r w:rsidR="00E75432" w:rsidRPr="00372FD7">
        <w:rPr>
          <w:rFonts w:ascii="Times New Roman" w:eastAsia="Times New Roman" w:hAnsi="Times New Roman" w:cs="Times New Roman"/>
          <w:color w:val="000000"/>
        </w:rPr>
        <w:t>. La capacità d’agire</w:t>
      </w:r>
      <w:r w:rsidRPr="00372FD7">
        <w:rPr>
          <w:rFonts w:ascii="Times New Roman" w:eastAsia="Times New Roman" w:hAnsi="Times New Roman" w:cs="Times New Roman"/>
          <w:color w:val="000000"/>
        </w:rPr>
        <w:t>, dal canto suo, presuppone la datità di una serie precisa di circostanze (</w:t>
      </w:r>
      <w:r w:rsidRPr="00372FD7">
        <w:rPr>
          <w:rFonts w:ascii="Times New Roman" w:eastAsia="Times New Roman" w:hAnsi="Times New Roman" w:cs="Times New Roman"/>
          <w:i/>
          <w:color w:val="000000"/>
          <w:lang w:val="de-DE"/>
        </w:rPr>
        <w:t>Umstände</w:t>
      </w:r>
      <w:r w:rsidRPr="00372FD7">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e di </w:t>
      </w:r>
      <w:r w:rsidRPr="00DD1A42">
        <w:rPr>
          <w:rFonts w:ascii="Times New Roman" w:eastAsia="Times New Roman" w:hAnsi="Times New Roman" w:cs="Times New Roman"/>
          <w:color w:val="000000"/>
        </w:rPr>
        <w:t>condizioni</w:t>
      </w:r>
      <w:r>
        <w:rPr>
          <w:rFonts w:ascii="Times New Roman" w:eastAsia="Times New Roman" w:hAnsi="Times New Roman" w:cs="Times New Roman"/>
          <w:color w:val="000000"/>
        </w:rPr>
        <w:t xml:space="preserve"> (</w:t>
      </w:r>
      <w:r w:rsidRPr="00ED7EFB">
        <w:rPr>
          <w:rFonts w:ascii="Times New Roman" w:eastAsia="Times New Roman" w:hAnsi="Times New Roman" w:cs="Times New Roman"/>
          <w:i/>
          <w:color w:val="000000"/>
          <w:lang w:val="de-DE"/>
        </w:rPr>
        <w:t>Bedingungen</w:t>
      </w:r>
      <w:r>
        <w:rPr>
          <w:rFonts w:ascii="Times New Roman" w:eastAsia="Times New Roman" w:hAnsi="Times New Roman" w:cs="Times New Roman"/>
          <w:color w:val="000000"/>
        </w:rPr>
        <w:t>)</w:t>
      </w:r>
      <w:r w:rsidRPr="00DD1A42">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 xml:space="preserve">Questi presupposti </w:t>
      </w:r>
      <w:r w:rsidRPr="00DD1A42">
        <w:rPr>
          <w:rFonts w:ascii="Times New Roman" w:eastAsia="Times New Roman" w:hAnsi="Times New Roman" w:cs="Times New Roman"/>
          <w:color w:val="000000"/>
        </w:rPr>
        <w:t xml:space="preserve">sono determinazioni riconducibili a quella diversità e molteplicità del </w:t>
      </w:r>
      <w:r>
        <w:rPr>
          <w:rFonts w:ascii="Times New Roman" w:eastAsia="Times New Roman" w:hAnsi="Times New Roman" w:cs="Times New Roman"/>
          <w:color w:val="000000"/>
        </w:rPr>
        <w:t xml:space="preserve">contenuto </w:t>
      </w:r>
      <w:r w:rsidRPr="007C2E59">
        <w:rPr>
          <w:rFonts w:ascii="Times New Roman" w:eastAsia="Times New Roman" w:hAnsi="Times New Roman" w:cs="Times New Roman"/>
          <w:color w:val="000000"/>
        </w:rPr>
        <w:t>della</w:t>
      </w:r>
      <w:r>
        <w:rPr>
          <w:rFonts w:ascii="Times New Roman" w:eastAsia="Times New Roman" w:hAnsi="Times New Roman" w:cs="Times New Roman"/>
          <w:color w:val="000000"/>
        </w:rPr>
        <w:t xml:space="preserve"> quale</w:t>
      </w:r>
      <w:r w:rsidRPr="007C2E59">
        <w:rPr>
          <w:rFonts w:ascii="Times New Roman" w:eastAsia="Times New Roman" w:hAnsi="Times New Roman" w:cs="Times New Roman"/>
          <w:color w:val="000000"/>
        </w:rPr>
        <w:t xml:space="preserve"> abbiamo parlato poc’anzi</w:t>
      </w:r>
      <w:r w:rsidRPr="00DD1A42">
        <w:rPr>
          <w:rFonts w:ascii="Times New Roman" w:eastAsia="Times New Roman" w:hAnsi="Times New Roman" w:cs="Times New Roman"/>
          <w:color w:val="000000"/>
        </w:rPr>
        <w:t xml:space="preserve">. Molteplici cose con molteplici proprietà si danno a conoscere nel mondo esistente. Per questa ragione, i contenuti che si possono attuare sono connessi ad una molteplicità eterogenea di </w:t>
      </w:r>
      <w:r>
        <w:rPr>
          <w:rFonts w:ascii="Times New Roman" w:eastAsia="Times New Roman" w:hAnsi="Times New Roman" w:cs="Times New Roman"/>
          <w:color w:val="000000"/>
        </w:rPr>
        <w:t xml:space="preserve">circostanze e </w:t>
      </w:r>
      <w:r w:rsidRPr="00DD1A42">
        <w:rPr>
          <w:rFonts w:ascii="Times New Roman" w:eastAsia="Times New Roman" w:hAnsi="Times New Roman" w:cs="Times New Roman"/>
          <w:color w:val="000000"/>
        </w:rPr>
        <w:t>condizioni, la cui presenza o assenz</w:t>
      </w:r>
      <w:r>
        <w:rPr>
          <w:rFonts w:ascii="Times New Roman" w:eastAsia="Times New Roman" w:hAnsi="Times New Roman" w:cs="Times New Roman"/>
          <w:color w:val="000000"/>
        </w:rPr>
        <w:t>a determina l’effettualit</w:t>
      </w:r>
      <w:r w:rsidRPr="00DD1A42">
        <w:rPr>
          <w:rFonts w:ascii="Times New Roman" w:eastAsia="Times New Roman" w:hAnsi="Times New Roman" w:cs="Times New Roman"/>
          <w:color w:val="000000"/>
        </w:rPr>
        <w:t>à delle cose stesse. Se tutte le condizioni di possibilità di una cosa sono date, allora la cosa entra di necessità</w:t>
      </w:r>
      <w:r>
        <w:rPr>
          <w:rFonts w:ascii="Times New Roman" w:eastAsia="Times New Roman" w:hAnsi="Times New Roman" w:cs="Times New Roman"/>
          <w:color w:val="000000"/>
        </w:rPr>
        <w:t xml:space="preserve"> nella </w:t>
      </w:r>
      <w:r w:rsidRPr="00ED7EFB">
        <w:rPr>
          <w:rFonts w:ascii="Times New Roman" w:eastAsia="Times New Roman" w:hAnsi="Times New Roman" w:cs="Times New Roman"/>
          <w:i/>
          <w:color w:val="000000"/>
          <w:lang w:val="de-DE"/>
        </w:rPr>
        <w:t>Wirklichkeit</w:t>
      </w:r>
      <w:r w:rsidRPr="00DD1A42">
        <w:rPr>
          <w:rFonts w:ascii="Times New Roman" w:eastAsia="Times New Roman" w:hAnsi="Times New Roman" w:cs="Times New Roman"/>
          <w:color w:val="000000"/>
        </w:rPr>
        <w:t xml:space="preserve">: </w:t>
      </w:r>
      <w:r w:rsidRPr="005B423C">
        <w:rPr>
          <w:rFonts w:ascii="Times New Roman" w:eastAsia="Times New Roman" w:hAnsi="Times New Roman" w:cs="Times New Roman"/>
          <w:color w:val="000000"/>
        </w:rPr>
        <w:t>«</w:t>
      </w:r>
      <w:r w:rsidRPr="005B423C">
        <w:rPr>
          <w:rFonts w:ascii="Times New Roman" w:eastAsia="Times New Roman" w:hAnsi="Times New Roman" w:cs="Times New Roman"/>
          <w:color w:val="000000"/>
          <w:lang w:val="de-DE"/>
        </w:rPr>
        <w:t>wenn alle Bedingungen einer Sache vollständig vorhanden sind, so tritt sie in Wirklichkeit; – die Vollständigkeit der Bedingungen ist die Totalität als am Inhalte, und die Sache selbst ist dieser Inhalt bestimmt eben so ein Wirkliches als Mögliches zu seyn</w:t>
      </w:r>
      <w:r w:rsidRPr="005B423C">
        <w:rPr>
          <w:rFonts w:ascii="Times New Roman" w:eastAsia="Times New Roman" w:hAnsi="Times New Roman" w:cs="Times New Roman"/>
          <w:color w:val="000000"/>
        </w:rPr>
        <w:t>»</w:t>
      </w:r>
      <w:r w:rsidRPr="005B423C">
        <w:rPr>
          <w:rStyle w:val="Rimandonotaapidipagina"/>
          <w:rFonts w:ascii="Times New Roman" w:eastAsia="Times New Roman" w:hAnsi="Times New Roman" w:cs="Times New Roman"/>
          <w:color w:val="000000"/>
        </w:rPr>
        <w:footnoteReference w:id="460"/>
      </w:r>
      <w:r w:rsidRPr="005B423C">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D</w:t>
      </w:r>
      <w:r w:rsidRPr="00DD1A42">
        <w:rPr>
          <w:rFonts w:ascii="Times New Roman" w:eastAsia="Times New Roman" w:hAnsi="Times New Roman" w:cs="Times New Roman"/>
          <w:color w:val="000000"/>
        </w:rPr>
        <w:t xml:space="preserve">al momento che </w:t>
      </w:r>
      <w:r>
        <w:rPr>
          <w:rFonts w:ascii="Times New Roman" w:eastAsia="Times New Roman" w:hAnsi="Times New Roman" w:cs="Times New Roman"/>
          <w:color w:val="000000"/>
        </w:rPr>
        <w:t>sono presenti tutte l</w:t>
      </w:r>
      <w:r w:rsidRPr="00DD1A42">
        <w:rPr>
          <w:rFonts w:ascii="Times New Roman" w:eastAsia="Times New Roman" w:hAnsi="Times New Roman" w:cs="Times New Roman"/>
          <w:color w:val="000000"/>
        </w:rPr>
        <w:t xml:space="preserve">e </w:t>
      </w:r>
      <w:r>
        <w:rPr>
          <w:rFonts w:ascii="Times New Roman" w:eastAsia="Times New Roman" w:hAnsi="Times New Roman" w:cs="Times New Roman"/>
          <w:color w:val="000000"/>
        </w:rPr>
        <w:t xml:space="preserve">circostanze e </w:t>
      </w:r>
      <w:r w:rsidRPr="00DD1A42">
        <w:rPr>
          <w:rFonts w:ascii="Times New Roman" w:eastAsia="Times New Roman" w:hAnsi="Times New Roman" w:cs="Times New Roman"/>
          <w:color w:val="000000"/>
        </w:rPr>
        <w:t xml:space="preserve">condizioni </w:t>
      </w:r>
      <w:r w:rsidRPr="00ED7EFB">
        <w:rPr>
          <w:rFonts w:ascii="Times New Roman" w:eastAsia="Times New Roman" w:hAnsi="Times New Roman" w:cs="Times New Roman"/>
          <w:i/>
          <w:color w:val="000000"/>
        </w:rPr>
        <w:t>reali</w:t>
      </w:r>
      <w:r>
        <w:rPr>
          <w:rFonts w:ascii="Times New Roman" w:eastAsia="Times New Roman" w:hAnsi="Times New Roman" w:cs="Times New Roman"/>
          <w:color w:val="000000"/>
        </w:rPr>
        <w:t xml:space="preserve"> </w:t>
      </w:r>
      <w:r w:rsidRPr="00DD1A42">
        <w:rPr>
          <w:rFonts w:ascii="Times New Roman" w:eastAsia="Times New Roman" w:hAnsi="Times New Roman" w:cs="Times New Roman"/>
          <w:color w:val="000000"/>
        </w:rPr>
        <w:t xml:space="preserve">della medesima, </w:t>
      </w:r>
      <w:r>
        <w:rPr>
          <w:rFonts w:ascii="Times New Roman" w:eastAsia="Times New Roman" w:hAnsi="Times New Roman" w:cs="Times New Roman"/>
          <w:color w:val="000000"/>
        </w:rPr>
        <w:t>l</w:t>
      </w:r>
      <w:r w:rsidRPr="00DD1A42">
        <w:rPr>
          <w:rFonts w:ascii="Times New Roman" w:eastAsia="Times New Roman" w:hAnsi="Times New Roman" w:cs="Times New Roman"/>
          <w:color w:val="000000"/>
        </w:rPr>
        <w:t>a possibilità di una cosa coincide con la sua necessità reale</w:t>
      </w:r>
      <w:r>
        <w:rPr>
          <w:rFonts w:ascii="Times New Roman" w:eastAsia="Times New Roman" w:hAnsi="Times New Roman" w:cs="Times New Roman"/>
          <w:color w:val="000000"/>
        </w:rPr>
        <w:t xml:space="preserve"> (</w:t>
      </w:r>
      <w:r w:rsidRPr="00AA3585">
        <w:rPr>
          <w:rFonts w:ascii="Times New Roman" w:eastAsia="Times New Roman" w:hAnsi="Times New Roman" w:cs="Times New Roman"/>
          <w:i/>
          <w:color w:val="000000"/>
          <w:lang w:val="de-DE"/>
        </w:rPr>
        <w:t>reale Nothwendigkeit</w:t>
      </w:r>
      <w:r>
        <w:rPr>
          <w:rFonts w:ascii="Times New Roman" w:eastAsia="Times New Roman" w:hAnsi="Times New Roman" w:cs="Times New Roman"/>
          <w:color w:val="000000"/>
        </w:rPr>
        <w:t>)</w:t>
      </w:r>
      <w:r w:rsidRPr="00DD1A42">
        <w:rPr>
          <w:rFonts w:ascii="Times New Roman" w:eastAsia="Times New Roman" w:hAnsi="Times New Roman" w:cs="Times New Roman"/>
          <w:color w:val="000000"/>
        </w:rPr>
        <w:t>. Que</w:t>
      </w:r>
      <w:r>
        <w:rPr>
          <w:rFonts w:ascii="Times New Roman" w:eastAsia="Times New Roman" w:hAnsi="Times New Roman" w:cs="Times New Roman"/>
          <w:color w:val="000000"/>
        </w:rPr>
        <w:t>st’ultima, a propria</w:t>
      </w:r>
      <w:r w:rsidRPr="00DD1A42">
        <w:rPr>
          <w:rFonts w:ascii="Times New Roman" w:eastAsia="Times New Roman" w:hAnsi="Times New Roman" w:cs="Times New Roman"/>
          <w:color w:val="000000"/>
        </w:rPr>
        <w:t xml:space="preserve"> volta, </w:t>
      </w:r>
      <w:r>
        <w:rPr>
          <w:rFonts w:ascii="Times New Roman" w:eastAsia="Times New Roman" w:hAnsi="Times New Roman" w:cs="Times New Roman"/>
          <w:color w:val="000000"/>
        </w:rPr>
        <w:t xml:space="preserve">segue </w:t>
      </w:r>
      <w:r w:rsidRPr="00DD1A42">
        <w:rPr>
          <w:rFonts w:ascii="Times New Roman" w:eastAsia="Times New Roman" w:hAnsi="Times New Roman" w:cs="Times New Roman"/>
          <w:color w:val="000000"/>
        </w:rPr>
        <w:t xml:space="preserve">da una serie di </w:t>
      </w:r>
      <w:r>
        <w:rPr>
          <w:rFonts w:ascii="Times New Roman" w:eastAsia="Times New Roman" w:hAnsi="Times New Roman" w:cs="Times New Roman"/>
          <w:color w:val="000000"/>
        </w:rPr>
        <w:t xml:space="preserve">circostanze e </w:t>
      </w:r>
      <w:r w:rsidRPr="00DD1A42">
        <w:rPr>
          <w:rFonts w:ascii="Times New Roman" w:eastAsia="Times New Roman" w:hAnsi="Times New Roman" w:cs="Times New Roman"/>
          <w:color w:val="000000"/>
        </w:rPr>
        <w:t xml:space="preserve">condizioni la cui datità non </w:t>
      </w:r>
      <w:r>
        <w:rPr>
          <w:rFonts w:ascii="Times New Roman" w:eastAsia="Times New Roman" w:hAnsi="Times New Roman" w:cs="Times New Roman"/>
          <w:color w:val="000000"/>
        </w:rPr>
        <w:t>è</w:t>
      </w:r>
      <w:r w:rsidRPr="00DD1A42">
        <w:rPr>
          <w:rFonts w:ascii="Times New Roman" w:eastAsia="Times New Roman" w:hAnsi="Times New Roman" w:cs="Times New Roman"/>
          <w:color w:val="000000"/>
        </w:rPr>
        <w:t xml:space="preserve"> necess</w:t>
      </w:r>
      <w:r>
        <w:rPr>
          <w:rFonts w:ascii="Times New Roman" w:eastAsia="Times New Roman" w:hAnsi="Times New Roman" w:cs="Times New Roman"/>
          <w:color w:val="000000"/>
        </w:rPr>
        <w:t xml:space="preserve">aria, ma del tutto accidentale. </w:t>
      </w:r>
      <w:r w:rsidRPr="00DD1A42">
        <w:rPr>
          <w:rFonts w:ascii="Times New Roman" w:eastAsia="Times New Roman" w:hAnsi="Times New Roman" w:cs="Times New Roman"/>
          <w:color w:val="000000"/>
        </w:rPr>
        <w:t>Che certe determinazioni e combinazioni di contenuto siano presenti, infatti, non risponde a nessuna logica della necessità. È per questa ragione, non per altre, che l’entrare della co</w:t>
      </w:r>
      <w:r>
        <w:rPr>
          <w:rFonts w:ascii="Times New Roman" w:eastAsia="Times New Roman" w:hAnsi="Times New Roman" w:cs="Times New Roman"/>
          <w:color w:val="000000"/>
        </w:rPr>
        <w:t xml:space="preserve">sa nell’esistenza, il suo poter-agire </w:t>
      </w:r>
      <w:r w:rsidRPr="00372FD7">
        <w:rPr>
          <w:rFonts w:ascii="Times New Roman" w:eastAsia="Times New Roman" w:hAnsi="Times New Roman" w:cs="Times New Roman"/>
          <w:color w:val="000000"/>
        </w:rPr>
        <w:t>tradotto in azione, è relativo al sussistere o meno di determinati contenuti. La necessità reale, proprio perché posta in virtù di una serie di presupposti accidentali, è al contempo una necessità relativa</w:t>
      </w:r>
      <w:r w:rsidR="004D5100" w:rsidRPr="00372FD7">
        <w:rPr>
          <w:rFonts w:ascii="Times New Roman" w:eastAsia="Times New Roman" w:hAnsi="Times New Roman" w:cs="Times New Roman"/>
          <w:color w:val="000000"/>
        </w:rPr>
        <w:t xml:space="preserve"> (</w:t>
      </w:r>
      <w:r w:rsidR="004D5100" w:rsidRPr="00372FD7">
        <w:rPr>
          <w:rFonts w:ascii="Times New Roman" w:eastAsia="Times New Roman" w:hAnsi="Times New Roman" w:cs="Times New Roman"/>
          <w:i/>
          <w:color w:val="000000"/>
        </w:rPr>
        <w:t>relative Nothwendigkeit</w:t>
      </w:r>
      <w:r w:rsidR="004D5100" w:rsidRPr="00372FD7">
        <w:rPr>
          <w:rFonts w:ascii="Times New Roman" w:eastAsia="Times New Roman" w:hAnsi="Times New Roman" w:cs="Times New Roman"/>
          <w:color w:val="000000"/>
        </w:rPr>
        <w:t>)</w:t>
      </w:r>
      <w:r w:rsidRPr="00372FD7">
        <w:rPr>
          <w:rFonts w:ascii="Times New Roman" w:eastAsia="Times New Roman" w:hAnsi="Times New Roman" w:cs="Times New Roman"/>
          <w:color w:val="000000"/>
        </w:rPr>
        <w:t>, che ha «</w:t>
      </w:r>
      <w:r w:rsidRPr="00372FD7">
        <w:rPr>
          <w:rFonts w:ascii="Times New Roman" w:eastAsia="Times New Roman" w:hAnsi="Times New Roman" w:cs="Times New Roman"/>
          <w:color w:val="000000"/>
          <w:lang w:val="de-DE"/>
        </w:rPr>
        <w:t>an dem Zufälligen ihren Ausgangspunkt</w:t>
      </w:r>
      <w:r w:rsidRPr="00372FD7">
        <w:rPr>
          <w:rFonts w:ascii="Times New Roman" w:eastAsia="Times New Roman" w:hAnsi="Times New Roman" w:cs="Times New Roman"/>
          <w:color w:val="000000"/>
        </w:rPr>
        <w:t>»</w:t>
      </w:r>
      <w:r w:rsidRPr="00372FD7">
        <w:rPr>
          <w:rStyle w:val="Rimandonotaapidipagina"/>
          <w:rFonts w:ascii="Times New Roman" w:eastAsia="Times New Roman" w:hAnsi="Times New Roman" w:cs="Times New Roman"/>
          <w:color w:val="000000"/>
        </w:rPr>
        <w:footnoteReference w:id="461"/>
      </w:r>
      <w:r w:rsidRPr="00372FD7">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w:t>
      </w:r>
    </w:p>
    <w:p w14:paraId="3343DDF4" w14:textId="6A9AACEC" w:rsidR="00F20703" w:rsidRPr="00372FD7" w:rsidRDefault="001B7751" w:rsidP="001B7751">
      <w:pPr>
        <w:pStyle w:val="Paragrafoelenco"/>
        <w:spacing w:line="360" w:lineRule="auto"/>
        <w:ind w:left="0" w:firstLine="567"/>
        <w:jc w:val="both"/>
        <w:rPr>
          <w:rFonts w:ascii="Times New Roman" w:eastAsia="Times New Roman" w:hAnsi="Times New Roman" w:cs="Times New Roman"/>
          <w:color w:val="000000"/>
        </w:rPr>
      </w:pPr>
      <w:r w:rsidRPr="00E70D94">
        <w:rPr>
          <w:rFonts w:ascii="Times New Roman" w:eastAsia="Times New Roman" w:hAnsi="Times New Roman" w:cs="Times New Roman"/>
          <w:color w:val="000000"/>
        </w:rPr>
        <w:t>A causa della determinatezza del contenuto, la necessità relativa possiede e racchiude in sé l’accidentalità. In quanto limitato nel contenuto, il necessario è un accidentale. In quanto condizione posta del necessario, l’accidentale cessa d’essere l’inquieto divenire di possibilità e realtà:</w:t>
      </w:r>
      <w:r>
        <w:rPr>
          <w:rFonts w:ascii="Times New Roman" w:eastAsia="Times New Roman" w:hAnsi="Times New Roman" w:cs="Times New Roman"/>
          <w:color w:val="000000"/>
        </w:rPr>
        <w:t xml:space="preserve"> quella necessità, che racchiude in sé l’accidentalità, si determina come un superamento tanto della necessità formale, quanto della necessità reale. L’unità immediata di possibilità e effettualità, cosi come l’indifferenza delle determinazioni formali e la relatività del contenuto, sono ricomprese nella necessità assoluta (</w:t>
      </w:r>
      <w:r w:rsidRPr="00021768">
        <w:rPr>
          <w:rFonts w:ascii="Times New Roman" w:eastAsia="Times New Roman" w:hAnsi="Times New Roman" w:cs="Times New Roman"/>
          <w:i/>
          <w:color w:val="000000"/>
        </w:rPr>
        <w:t>absolute Nothwendigkeit</w:t>
      </w:r>
      <w:r>
        <w:rPr>
          <w:rFonts w:ascii="Times New Roman" w:eastAsia="Times New Roman" w:hAnsi="Times New Roman" w:cs="Times New Roman"/>
          <w:color w:val="000000"/>
        </w:rPr>
        <w:t xml:space="preserve">). In essa, si realizza pienamente l’unità di accidentalità e necessità: la forma, </w:t>
      </w:r>
      <w:r w:rsidRPr="003A3302">
        <w:rPr>
          <w:rFonts w:ascii="Times New Roman" w:eastAsia="Times New Roman" w:hAnsi="Times New Roman" w:cs="Times New Roman"/>
          <w:color w:val="000000"/>
        </w:rPr>
        <w:t>dapprima</w:t>
      </w:r>
      <w:r>
        <w:rPr>
          <w:rFonts w:ascii="Times New Roman" w:eastAsia="Times New Roman" w:hAnsi="Times New Roman" w:cs="Times New Roman"/>
          <w:color w:val="000000"/>
        </w:rPr>
        <w:t xml:space="preserve"> indifferente rispetto al contenuto, penetra adesso tutte le sue determinazioni in modo da trasparire perfettamente in esse. Venuta meno l’indifferenza di forma e contenuto, essere ed essenza sono posti in unità. La necessità assoluta è sia semplice immediatezza, o puro essere, che semplice riflessione in sé, o essenza. In quanto riassorbe in sé, togliendole, le sue accidentali condizioni di possibilità, la necessità assoluta </w:t>
      </w:r>
      <w:r w:rsidRPr="005B423C">
        <w:rPr>
          <w:rFonts w:ascii="Times New Roman" w:eastAsia="Times New Roman" w:hAnsi="Times New Roman" w:cs="Times New Roman"/>
          <w:color w:val="000000"/>
        </w:rPr>
        <w:t>«</w:t>
      </w:r>
      <w:r w:rsidRPr="005B423C">
        <w:rPr>
          <w:rFonts w:ascii="Times New Roman" w:eastAsia="Times New Roman" w:hAnsi="Times New Roman" w:cs="Times New Roman"/>
          <w:color w:val="000000"/>
          <w:lang w:val="de-DE"/>
        </w:rPr>
        <w:t>hat nur sich zum Grunde und Bedingung</w:t>
      </w:r>
      <w:r w:rsidRPr="005B423C">
        <w:rPr>
          <w:rFonts w:ascii="Times New Roman" w:eastAsia="Times New Roman" w:hAnsi="Times New Roman" w:cs="Times New Roman"/>
          <w:color w:val="000000"/>
        </w:rPr>
        <w:t>»</w:t>
      </w:r>
      <w:r w:rsidRPr="005B423C">
        <w:rPr>
          <w:rStyle w:val="Rimandonotaapidipagina"/>
          <w:rFonts w:ascii="Times New Roman" w:eastAsia="Times New Roman" w:hAnsi="Times New Roman" w:cs="Times New Roman"/>
          <w:color w:val="000000"/>
        </w:rPr>
        <w:footnoteReference w:id="462"/>
      </w:r>
      <w:r w:rsidRPr="005B423C">
        <w:rPr>
          <w:rFonts w:ascii="Times New Roman" w:eastAsia="Times New Roman" w:hAnsi="Times New Roman" w:cs="Times New Roman"/>
          <w:color w:val="000000"/>
        </w:rPr>
        <w:t>. Essa è il superarsi della logica inerente al fondare e all’essere fondato, essa è assenza di pre-condizioni che trova in sé la propria ragione d’essere: «</w:t>
      </w:r>
      <w:r w:rsidRPr="005B423C">
        <w:rPr>
          <w:rFonts w:ascii="Times New Roman" w:eastAsia="Times New Roman" w:hAnsi="Times New Roman" w:cs="Times New Roman"/>
          <w:color w:val="000000"/>
          <w:lang w:val="de-DE"/>
        </w:rPr>
        <w:t>es ist also, weil es ist</w:t>
      </w:r>
      <w:r w:rsidRPr="005B423C">
        <w:rPr>
          <w:rFonts w:ascii="Times New Roman" w:eastAsia="Times New Roman" w:hAnsi="Times New Roman" w:cs="Times New Roman"/>
          <w:color w:val="000000"/>
        </w:rPr>
        <w:t>»</w:t>
      </w:r>
      <w:r w:rsidRPr="005B423C">
        <w:rPr>
          <w:rStyle w:val="Rimandonotaapidipagina"/>
          <w:rFonts w:ascii="Times New Roman" w:eastAsia="Times New Roman" w:hAnsi="Times New Roman" w:cs="Times New Roman"/>
          <w:color w:val="000000"/>
        </w:rPr>
        <w:footnoteReference w:id="463"/>
      </w:r>
      <w:r>
        <w:rPr>
          <w:rFonts w:ascii="Times New Roman" w:eastAsia="Times New Roman" w:hAnsi="Times New Roman" w:cs="Times New Roman"/>
          <w:color w:val="000000"/>
        </w:rPr>
        <w:t xml:space="preserve"> . </w:t>
      </w:r>
      <w:r w:rsidRPr="00CC1EDD">
        <w:rPr>
          <w:rFonts w:ascii="Times New Roman" w:eastAsia="Times New Roman" w:hAnsi="Times New Roman" w:cs="Times New Roman"/>
          <w:color w:val="000000"/>
        </w:rPr>
        <w:t>L’</w:t>
      </w:r>
      <w:r w:rsidRPr="00CC1EDD">
        <w:rPr>
          <w:rFonts w:ascii="Times New Roman" w:eastAsia="Times New Roman" w:hAnsi="Times New Roman" w:cs="Times New Roman"/>
          <w:i/>
          <w:color w:val="000000"/>
          <w:lang w:val="de-DE"/>
        </w:rPr>
        <w:t xml:space="preserve">absolute Nothwendigkeit </w:t>
      </w:r>
      <w:r w:rsidRPr="00CC1EDD">
        <w:rPr>
          <w:rFonts w:ascii="Times New Roman" w:eastAsia="Times New Roman" w:hAnsi="Times New Roman" w:cs="Times New Roman"/>
          <w:color w:val="000000"/>
        </w:rPr>
        <w:t>riassorbe in sé la molteplicità delle determinazioni; la</w:t>
      </w:r>
      <w:r>
        <w:rPr>
          <w:rFonts w:ascii="Times New Roman" w:eastAsia="Times New Roman" w:hAnsi="Times New Roman" w:cs="Times New Roman"/>
          <w:color w:val="000000"/>
        </w:rPr>
        <w:t xml:space="preserve"> molteplicità del contenuto, a propria volta, essendo posta in unità con la necessità, è tolta nell’identità assoluta. L’essere tolto, come sappiamo, non significa soppressione o annientamento</w:t>
      </w:r>
      <w:r>
        <w:rPr>
          <w:rFonts w:ascii="Times New Roman" w:eastAsia="Times New Roman" w:hAnsi="Times New Roman" w:cs="Times New Roman"/>
          <w:i/>
          <w:color w:val="000000"/>
        </w:rPr>
        <w:t xml:space="preserve"> puro e semplice</w:t>
      </w:r>
      <w:r>
        <w:rPr>
          <w:rFonts w:ascii="Times New Roman" w:eastAsia="Times New Roman" w:hAnsi="Times New Roman" w:cs="Times New Roman"/>
          <w:color w:val="000000"/>
        </w:rPr>
        <w:t xml:space="preserve">. </w:t>
      </w:r>
      <w:r w:rsidRPr="00372ADD">
        <w:rPr>
          <w:rFonts w:ascii="Times New Roman" w:eastAsia="Times New Roman" w:hAnsi="Times New Roman" w:cs="Times New Roman"/>
          <w:color w:val="000000"/>
        </w:rPr>
        <w:t>Ciò che si toglie è conservato in ciò che lo ricomprende in sé; e ciò che ricomprende in sé l’altro da sé può servirsi del medesimo come se questo fosse un materiale a sua disposizione.</w:t>
      </w:r>
      <w:r>
        <w:rPr>
          <w:rFonts w:ascii="Times New Roman" w:eastAsia="Times New Roman" w:hAnsi="Times New Roman" w:cs="Times New Roman"/>
          <w:color w:val="000000"/>
        </w:rPr>
        <w:t xml:space="preserve"> In forza della propria negatività assoluta, è la necessità stessa, ora, a determinarsi come accidentalità: </w:t>
      </w:r>
      <w:r w:rsidRPr="005B423C">
        <w:rPr>
          <w:rFonts w:ascii="Times New Roman" w:eastAsia="Times New Roman" w:hAnsi="Times New Roman" w:cs="Times New Roman"/>
          <w:color w:val="000000"/>
          <w:lang w:val="de-DE"/>
        </w:rPr>
        <w:t>«in ihrem Seyn sich von sich abstößt, in diesem Abstoßen selbst nur in sich zurückgekehrt ist und in dieser Rückkehr als ihrem Seyn sich von sich selbst abgestoßen hat»</w:t>
      </w:r>
      <w:r w:rsidRPr="005B423C">
        <w:rPr>
          <w:rStyle w:val="Rimandonotaapidipagina"/>
          <w:rFonts w:ascii="Times New Roman" w:eastAsia="Times New Roman" w:hAnsi="Times New Roman" w:cs="Times New Roman"/>
          <w:color w:val="000000"/>
          <w:lang w:val="de-DE"/>
        </w:rPr>
        <w:footnoteReference w:id="464"/>
      </w:r>
      <w:r w:rsidRPr="005B423C">
        <w:rPr>
          <w:rFonts w:ascii="Times New Roman" w:eastAsia="Times New Roman" w:hAnsi="Times New Roman" w:cs="Times New Roman"/>
          <w:color w:val="000000"/>
          <w:lang w:val="de-DE"/>
        </w:rPr>
        <w:t>.</w:t>
      </w:r>
      <w:r>
        <w:rPr>
          <w:rFonts w:ascii="Times New Roman" w:eastAsia="Times New Roman" w:hAnsi="Times New Roman" w:cs="Times New Roman"/>
          <w:color w:val="000000"/>
          <w:lang w:val="de-DE"/>
        </w:rPr>
        <w:t xml:space="preserve"> </w:t>
      </w:r>
      <w:r w:rsidRPr="00554256">
        <w:rPr>
          <w:rFonts w:ascii="Times New Roman" w:eastAsia="Times New Roman" w:hAnsi="Times New Roman" w:cs="Times New Roman"/>
          <w:color w:val="000000"/>
        </w:rPr>
        <w:t>La necessità assoluta</w:t>
      </w:r>
      <w:r>
        <w:rPr>
          <w:rFonts w:ascii="Times New Roman" w:eastAsia="Times New Roman" w:hAnsi="Times New Roman" w:cs="Times New Roman"/>
          <w:color w:val="000000"/>
        </w:rPr>
        <w:t>, al pari dell’</w:t>
      </w:r>
      <w:r w:rsidRPr="003B2364">
        <w:rPr>
          <w:rFonts w:ascii="Times New Roman" w:eastAsia="Times New Roman" w:hAnsi="Times New Roman" w:cs="Times New Roman"/>
          <w:i/>
          <w:color w:val="000000"/>
        </w:rPr>
        <w:t>ide</w:t>
      </w:r>
      <w:r w:rsidR="003B2364" w:rsidRPr="003B2364">
        <w:rPr>
          <w:rFonts w:ascii="Times New Roman" w:eastAsia="Times New Roman" w:hAnsi="Times New Roman" w:cs="Times New Roman"/>
          <w:i/>
          <w:color w:val="000000"/>
        </w:rPr>
        <w:t>ntità</w:t>
      </w:r>
      <w:r>
        <w:rPr>
          <w:rFonts w:ascii="Times New Roman" w:eastAsia="Times New Roman" w:hAnsi="Times New Roman" w:cs="Times New Roman"/>
          <w:color w:val="000000"/>
        </w:rPr>
        <w:t xml:space="preserve">, è respingersi da sé, differenziarsi a partire dal rapporto negativo a sé, posizionamento e ricomprensione del proprio essere altro – la differenza o, in questo caso, l’accidentalità – in sé. </w:t>
      </w:r>
      <w:r w:rsidRPr="00752036">
        <w:rPr>
          <w:rFonts w:ascii="Times New Roman" w:eastAsia="Times New Roman" w:hAnsi="Times New Roman" w:cs="Times New Roman"/>
          <w:color w:val="000000"/>
        </w:rPr>
        <w:t>Ciò che è differenziato, però, costituisce una «</w:t>
      </w:r>
      <w:r w:rsidRPr="00752036">
        <w:rPr>
          <w:rFonts w:ascii="Times New Roman" w:eastAsia="Times New Roman" w:hAnsi="Times New Roman" w:cs="Times New Roman"/>
          <w:color w:val="000000"/>
          <w:lang w:val="de-DE"/>
        </w:rPr>
        <w:t>seyende Mannigfaltigkeit»</w:t>
      </w:r>
      <w:r w:rsidRPr="00752036">
        <w:rPr>
          <w:rStyle w:val="Rimandonotaapidipagina"/>
          <w:rFonts w:ascii="Times New Roman" w:eastAsia="Times New Roman" w:hAnsi="Times New Roman" w:cs="Times New Roman"/>
          <w:color w:val="000000"/>
          <w:lang w:val="de-DE"/>
        </w:rPr>
        <w:footnoteReference w:id="465"/>
      </w:r>
      <w:r w:rsidRPr="00752036">
        <w:rPr>
          <w:rFonts w:ascii="Times New Roman" w:eastAsia="Times New Roman" w:hAnsi="Times New Roman" w:cs="Times New Roman"/>
          <w:color w:val="000000"/>
          <w:lang w:val="de-DE"/>
        </w:rPr>
        <w:t xml:space="preserve">, </w:t>
      </w:r>
      <w:r w:rsidRPr="00752036">
        <w:rPr>
          <w:rFonts w:ascii="Times New Roman" w:eastAsia="Times New Roman" w:hAnsi="Times New Roman" w:cs="Times New Roman"/>
          <w:color w:val="000000"/>
        </w:rPr>
        <w:t>una molteplicità essente, che si struttura come una realtà autonoma rispetto a ciò che l’ha posta in essere. L’assoluta necessità e le sue molteplici determinazioni di contenuto cadono l’una fuori dall’altra</w:t>
      </w:r>
      <w:r w:rsidRPr="00554256">
        <w:rPr>
          <w:rFonts w:ascii="Times New Roman" w:eastAsia="Times New Roman" w:hAnsi="Times New Roman" w:cs="Times New Roman"/>
          <w:color w:val="000000"/>
        </w:rPr>
        <w:t xml:space="preserve"> nella misura in cui </w:t>
      </w:r>
      <w:r>
        <w:rPr>
          <w:rFonts w:ascii="Times New Roman" w:eastAsia="Times New Roman" w:hAnsi="Times New Roman" w:cs="Times New Roman"/>
          <w:color w:val="000000"/>
        </w:rPr>
        <w:t>nessuno dei due termini relazionali</w:t>
      </w:r>
      <w:r w:rsidRPr="00554256">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 xml:space="preserve">vuole esibire e mostrare in sé traccia della relazione al proprio </w:t>
      </w:r>
      <w:r w:rsidRPr="00C40572">
        <w:rPr>
          <w:rFonts w:ascii="Times New Roman" w:eastAsia="Times New Roman" w:hAnsi="Times New Roman" w:cs="Times New Roman"/>
          <w:i/>
          <w:color w:val="000000"/>
        </w:rPr>
        <w:t>Andersseyn</w:t>
      </w:r>
      <w:r>
        <w:rPr>
          <w:rFonts w:ascii="Times New Roman" w:eastAsia="Times New Roman" w:hAnsi="Times New Roman" w:cs="Times New Roman"/>
          <w:color w:val="000000"/>
        </w:rPr>
        <w:t>. Quella che si viene a delineare è una dinamica tematicamente contigua alla metafisica leibniziana: dalla necessità assoluta, dalla Monade delle monadi</w:t>
      </w:r>
      <w:r>
        <w:rPr>
          <w:rStyle w:val="Rimandonotaapidipagina"/>
          <w:rFonts w:ascii="Times New Roman" w:eastAsia="Times New Roman" w:hAnsi="Times New Roman" w:cs="Times New Roman"/>
          <w:color w:val="000000"/>
        </w:rPr>
        <w:footnoteReference w:id="466"/>
      </w:r>
      <w:r>
        <w:rPr>
          <w:rFonts w:ascii="Times New Roman" w:eastAsia="Times New Roman" w:hAnsi="Times New Roman" w:cs="Times New Roman"/>
          <w:color w:val="000000"/>
        </w:rPr>
        <w:t xml:space="preserve">, segue una molteplicità di determinazioni, le monadi finite, </w:t>
      </w:r>
      <w:r w:rsidRPr="00372FD7">
        <w:rPr>
          <w:rFonts w:ascii="Times New Roman" w:eastAsia="Times New Roman" w:hAnsi="Times New Roman" w:cs="Times New Roman"/>
          <w:color w:val="000000"/>
        </w:rPr>
        <w:t xml:space="preserve">che, data la loro impossibilità di interazione reciproca, non si riflettono vicendevolmente e, data la loro dipendenza dal divino, non </w:t>
      </w:r>
      <w:r w:rsidR="00823F61" w:rsidRPr="00372FD7">
        <w:rPr>
          <w:rFonts w:ascii="Times New Roman" w:eastAsia="Times New Roman" w:hAnsi="Times New Roman" w:cs="Times New Roman"/>
          <w:color w:val="000000"/>
        </w:rPr>
        <w:t xml:space="preserve">instaurano </w:t>
      </w:r>
      <w:r w:rsidRPr="00372FD7">
        <w:rPr>
          <w:rFonts w:ascii="Times New Roman" w:eastAsia="Times New Roman" w:hAnsi="Times New Roman" w:cs="Times New Roman"/>
          <w:color w:val="000000"/>
        </w:rPr>
        <w:t>alcuna relazione</w:t>
      </w:r>
      <w:r w:rsidR="00823F61" w:rsidRPr="00372FD7">
        <w:rPr>
          <w:rFonts w:ascii="Times New Roman" w:eastAsia="Times New Roman" w:hAnsi="Times New Roman" w:cs="Times New Roman"/>
          <w:color w:val="000000"/>
        </w:rPr>
        <w:t xml:space="preserve"> positiva</w:t>
      </w:r>
      <w:r w:rsidR="00B90C0F" w:rsidRPr="00372FD7">
        <w:rPr>
          <w:rFonts w:ascii="Times New Roman" w:eastAsia="Times New Roman" w:hAnsi="Times New Roman" w:cs="Times New Roman"/>
          <w:color w:val="000000"/>
        </w:rPr>
        <w:t xml:space="preserve"> con</w:t>
      </w:r>
      <w:r w:rsidRPr="00372FD7">
        <w:rPr>
          <w:rFonts w:ascii="Times New Roman" w:eastAsia="Times New Roman" w:hAnsi="Times New Roman" w:cs="Times New Roman"/>
          <w:color w:val="000000"/>
        </w:rPr>
        <w:t xml:space="preserve"> ciò che le poste in essere (Dio).</w:t>
      </w:r>
      <w:r>
        <w:rPr>
          <w:rFonts w:ascii="Times New Roman" w:eastAsia="Times New Roman" w:hAnsi="Times New Roman" w:cs="Times New Roman"/>
          <w:color w:val="000000"/>
        </w:rPr>
        <w:t xml:space="preserve"> Facendo nuovamente ricorso all’interazione fra luce e tenebra, Hegel nota che </w:t>
      </w:r>
      <w:r w:rsidRPr="00BE67B4">
        <w:rPr>
          <w:rFonts w:ascii="Times New Roman" w:eastAsia="Times New Roman" w:hAnsi="Times New Roman" w:cs="Times New Roman"/>
          <w:color w:val="000000"/>
        </w:rPr>
        <w:t>«</w:t>
      </w:r>
      <w:r w:rsidRPr="00BE67B4">
        <w:rPr>
          <w:rFonts w:ascii="Times New Roman" w:eastAsia="Times New Roman" w:hAnsi="Times New Roman" w:cs="Times New Roman"/>
          <w:color w:val="000000"/>
          <w:lang w:val="de-DE"/>
        </w:rPr>
        <w:t>dieses Wesen ist das Lichtscheue, weil an diesen Wirklichkeiten kein Scheinen, kein Reflex ist, weil sie nur rein in sich gegründet, für sich gestaltet sind, sich nur sich selbst manifestieren – weil sie nur Seyn sind»</w:t>
      </w:r>
      <w:r w:rsidRPr="00BE67B4">
        <w:rPr>
          <w:rStyle w:val="Rimandonotaapidipagina"/>
          <w:rFonts w:ascii="Times New Roman" w:eastAsia="Times New Roman" w:hAnsi="Times New Roman" w:cs="Times New Roman"/>
          <w:color w:val="000000"/>
          <w:lang w:val="de-DE"/>
        </w:rPr>
        <w:footnoteReference w:id="467"/>
      </w:r>
      <w:r w:rsidRPr="00BE67B4">
        <w:rPr>
          <w:rFonts w:ascii="Times New Roman" w:eastAsia="Times New Roman" w:hAnsi="Times New Roman" w:cs="Times New Roman"/>
          <w:color w:val="000000"/>
          <w:lang w:val="de-DE"/>
        </w:rPr>
        <w:t>.</w:t>
      </w:r>
      <w:r>
        <w:rPr>
          <w:rFonts w:ascii="Times New Roman" w:eastAsia="Times New Roman" w:hAnsi="Times New Roman" w:cs="Times New Roman"/>
          <w:color w:val="000000"/>
          <w:lang w:val="de-DE"/>
        </w:rPr>
        <w:t xml:space="preserve"> </w:t>
      </w:r>
      <w:r w:rsidRPr="008F4BD9">
        <w:rPr>
          <w:rFonts w:ascii="Times New Roman" w:eastAsia="Times New Roman" w:hAnsi="Times New Roman" w:cs="Times New Roman"/>
          <w:color w:val="000000"/>
        </w:rPr>
        <w:t xml:space="preserve">L’aver orrore della luce </w:t>
      </w:r>
      <w:r>
        <w:rPr>
          <w:rFonts w:ascii="Times New Roman" w:eastAsia="Times New Roman" w:hAnsi="Times New Roman" w:cs="Times New Roman"/>
          <w:color w:val="000000"/>
        </w:rPr>
        <w:t xml:space="preserve">fa sì che questa molteplicità essente si concretizzi in delle realtà per sé poste e sussistenti. Il manifestarsi della necessità assoluta assume la forma di un processo di autonomizzazione dell’essere nei confronti dell’essenza. Non si mantiene più in unità l’accidentalità, o la molteplicità essente, proprio perché viene </w:t>
      </w:r>
      <w:r w:rsidRPr="00372FD7">
        <w:rPr>
          <w:rFonts w:ascii="Times New Roman" w:eastAsia="Times New Roman" w:hAnsi="Times New Roman" w:cs="Times New Roman"/>
          <w:color w:val="000000"/>
        </w:rPr>
        <w:t xml:space="preserve">meno il processo di riflessione in sé per mezzo dell’altro da sé. </w:t>
      </w:r>
    </w:p>
    <w:p w14:paraId="13AEE8A1" w14:textId="4DA6A2C5" w:rsidR="001B7751" w:rsidRPr="00FF4308" w:rsidRDefault="001B7751" w:rsidP="001B7751">
      <w:pPr>
        <w:pStyle w:val="Paragrafoelenco"/>
        <w:spacing w:line="360" w:lineRule="auto"/>
        <w:ind w:left="0" w:firstLine="567"/>
        <w:jc w:val="both"/>
        <w:rPr>
          <w:rFonts w:ascii="Times New Roman" w:eastAsia="Times New Roman" w:hAnsi="Times New Roman" w:cs="Times New Roman"/>
          <w:color w:val="000000"/>
        </w:rPr>
      </w:pPr>
      <w:r w:rsidRPr="00372FD7">
        <w:rPr>
          <w:rFonts w:ascii="Times New Roman" w:eastAsia="Times New Roman" w:hAnsi="Times New Roman" w:cs="Times New Roman"/>
          <w:color w:val="000000"/>
        </w:rPr>
        <w:t>A questo punto, sembra imporsi di nuovo un arresto nell’intreccio argomentativo hegeliano:</w:t>
      </w:r>
      <w:r w:rsidRPr="00FF4308">
        <w:rPr>
          <w:rFonts w:ascii="Times New Roman" w:eastAsia="Times New Roman" w:hAnsi="Times New Roman" w:cs="Times New Roman"/>
          <w:color w:val="000000"/>
        </w:rPr>
        <w:t xml:space="preserve"> la manifestazione dell’interiorità nell’esteriorità </w:t>
      </w:r>
      <w:r>
        <w:rPr>
          <w:rFonts w:ascii="Times New Roman" w:eastAsia="Times New Roman" w:hAnsi="Times New Roman" w:cs="Times New Roman"/>
          <w:color w:val="000000"/>
        </w:rPr>
        <w:t>deflagra</w:t>
      </w:r>
      <w:r w:rsidRPr="00FF4308">
        <w:rPr>
          <w:rFonts w:ascii="Times New Roman" w:eastAsia="Times New Roman" w:hAnsi="Times New Roman" w:cs="Times New Roman"/>
          <w:color w:val="000000"/>
        </w:rPr>
        <w:t xml:space="preserve"> in virtù dell’imporsi della natura irriflessa della </w:t>
      </w:r>
      <w:r w:rsidRPr="00FF4308">
        <w:rPr>
          <w:rFonts w:ascii="Times New Roman" w:eastAsia="Times New Roman" w:hAnsi="Times New Roman" w:cs="Times New Roman"/>
          <w:i/>
          <w:color w:val="000000"/>
        </w:rPr>
        <w:t>seyende Mannigfaltigkeit</w:t>
      </w:r>
      <w:r w:rsidRPr="00FF4308">
        <w:rPr>
          <w:rFonts w:ascii="Times New Roman" w:eastAsia="Times New Roman" w:hAnsi="Times New Roman" w:cs="Times New Roman"/>
          <w:color w:val="000000"/>
        </w:rPr>
        <w:t xml:space="preserve"> nei confronti della </w:t>
      </w:r>
      <w:r w:rsidRPr="00FF4308">
        <w:rPr>
          <w:rFonts w:ascii="Times New Roman" w:eastAsia="Times New Roman" w:hAnsi="Times New Roman" w:cs="Times New Roman"/>
          <w:i/>
          <w:color w:val="000000"/>
        </w:rPr>
        <w:t>absolute Nothwendigkeit</w:t>
      </w:r>
      <w:r w:rsidRPr="00FF4308">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In verità, il determinarsi (</w:t>
      </w:r>
      <w:r w:rsidRPr="00E944F6">
        <w:rPr>
          <w:rFonts w:ascii="Times New Roman" w:eastAsia="Times New Roman" w:hAnsi="Times New Roman" w:cs="Times New Roman"/>
          <w:i/>
          <w:color w:val="000000"/>
        </w:rPr>
        <w:t>sich bestimmen</w:t>
      </w:r>
      <w:r>
        <w:rPr>
          <w:rFonts w:ascii="Times New Roman" w:eastAsia="Times New Roman" w:hAnsi="Times New Roman" w:cs="Times New Roman"/>
          <w:color w:val="000000"/>
        </w:rPr>
        <w:t>) della necessità assoluta e l</w:t>
      </w:r>
      <w:r w:rsidRPr="00FF4308">
        <w:rPr>
          <w:rFonts w:ascii="Times New Roman" w:eastAsia="Times New Roman" w:hAnsi="Times New Roman" w:cs="Times New Roman"/>
          <w:color w:val="000000"/>
        </w:rPr>
        <w:t>’esser</w:t>
      </w:r>
      <w:r>
        <w:rPr>
          <w:rFonts w:ascii="Times New Roman" w:eastAsia="Times New Roman" w:hAnsi="Times New Roman" w:cs="Times New Roman"/>
          <w:color w:val="000000"/>
        </w:rPr>
        <w:t>e per sé della molteplicità essente racchiudono in sé la radice del proprio</w:t>
      </w:r>
      <w:r w:rsidRPr="00FF4308">
        <w:rPr>
          <w:rFonts w:ascii="Times New Roman" w:eastAsia="Times New Roman" w:hAnsi="Times New Roman" w:cs="Times New Roman"/>
          <w:color w:val="000000"/>
        </w:rPr>
        <w:t xml:space="preserve"> superamento.</w:t>
      </w:r>
      <w:r>
        <w:rPr>
          <w:rFonts w:ascii="Times New Roman" w:eastAsia="Times New Roman" w:hAnsi="Times New Roman" w:cs="Times New Roman"/>
          <w:color w:val="000000"/>
        </w:rPr>
        <w:t xml:space="preserve"> I</w:t>
      </w:r>
      <w:r w:rsidRPr="008C203C">
        <w:rPr>
          <w:rFonts w:ascii="Times New Roman" w:eastAsia="Times New Roman" w:hAnsi="Times New Roman" w:cs="Times New Roman"/>
          <w:color w:val="000000"/>
        </w:rPr>
        <w:t>n questo caso, è la nozione di determinazione (</w:t>
      </w:r>
      <w:r w:rsidRPr="008C203C">
        <w:rPr>
          <w:rFonts w:ascii="Times New Roman" w:eastAsia="Times New Roman" w:hAnsi="Times New Roman" w:cs="Times New Roman"/>
          <w:i/>
          <w:color w:val="000000"/>
        </w:rPr>
        <w:t>Bestimmtheit</w:t>
      </w:r>
      <w:r w:rsidRPr="008C203C">
        <w:rPr>
          <w:rFonts w:ascii="Times New Roman" w:eastAsia="Times New Roman" w:hAnsi="Times New Roman" w:cs="Times New Roman"/>
          <w:color w:val="000000"/>
        </w:rPr>
        <w:t xml:space="preserve">) che risospinge il </w:t>
      </w:r>
      <w:r w:rsidRPr="008C203C">
        <w:rPr>
          <w:rFonts w:ascii="Times New Roman" w:eastAsia="Times New Roman" w:hAnsi="Times New Roman" w:cs="Times New Roman"/>
          <w:i/>
          <w:color w:val="000000"/>
          <w:lang w:val="de-DE"/>
        </w:rPr>
        <w:t>sich Manifestieren</w:t>
      </w:r>
      <w:r w:rsidRPr="008C203C">
        <w:rPr>
          <w:rFonts w:ascii="Times New Roman" w:eastAsia="Times New Roman" w:hAnsi="Times New Roman" w:cs="Times New Roman"/>
          <w:color w:val="000000"/>
        </w:rPr>
        <w:t xml:space="preserve"> entro sé. Il determinarsi della sostanza come </w:t>
      </w:r>
      <w:r>
        <w:rPr>
          <w:rFonts w:ascii="Times New Roman" w:eastAsia="Times New Roman" w:hAnsi="Times New Roman" w:cs="Times New Roman"/>
          <w:color w:val="000000"/>
        </w:rPr>
        <w:t xml:space="preserve">essere </w:t>
      </w:r>
      <w:r w:rsidRPr="008C203C">
        <w:rPr>
          <w:rFonts w:ascii="Times New Roman" w:eastAsia="Times New Roman" w:hAnsi="Times New Roman" w:cs="Times New Roman"/>
          <w:color w:val="000000"/>
        </w:rPr>
        <w:t>altro non è un</w:t>
      </w:r>
      <w:r w:rsidRPr="00FF4308">
        <w:rPr>
          <w:rFonts w:ascii="Times New Roman" w:eastAsia="Times New Roman" w:hAnsi="Times New Roman" w:cs="Times New Roman"/>
          <w:color w:val="000000"/>
        </w:rPr>
        <w:t xml:space="preserve"> perdersi nella molteplicità essente, ma è un articolarsi dell</w:t>
      </w:r>
      <w:r>
        <w:rPr>
          <w:rFonts w:ascii="Times New Roman" w:eastAsia="Times New Roman" w:hAnsi="Times New Roman" w:cs="Times New Roman"/>
          <w:color w:val="000000"/>
        </w:rPr>
        <w:t>’interiorità nell’esteriorità e</w:t>
      </w:r>
      <w:r w:rsidRPr="00FF4308">
        <w:rPr>
          <w:rFonts w:ascii="Times New Roman" w:eastAsia="Times New Roman" w:hAnsi="Times New Roman" w:cs="Times New Roman"/>
          <w:color w:val="000000"/>
        </w:rPr>
        <w:t xml:space="preserve"> un ripiegarsi dell’esteriorità nell’interiorità. </w:t>
      </w:r>
      <w:r w:rsidRPr="00F154E2">
        <w:rPr>
          <w:rFonts w:ascii="Times New Roman" w:eastAsia="Times New Roman" w:hAnsi="Times New Roman" w:cs="Times New Roman"/>
          <w:color w:val="000000"/>
        </w:rPr>
        <w:t>Colta come determinazione (</w:t>
      </w:r>
      <w:r w:rsidRPr="00F154E2">
        <w:rPr>
          <w:rFonts w:ascii="Times New Roman" w:eastAsia="Times New Roman" w:hAnsi="Times New Roman" w:cs="Times New Roman"/>
          <w:i/>
          <w:color w:val="000000"/>
        </w:rPr>
        <w:t>Bestimmtheit</w:t>
      </w:r>
      <w:r w:rsidRPr="00F154E2">
        <w:rPr>
          <w:rFonts w:ascii="Times New Roman" w:eastAsia="Times New Roman" w:hAnsi="Times New Roman" w:cs="Times New Roman"/>
          <w:color w:val="000000"/>
        </w:rPr>
        <w:t>), ossia</w:t>
      </w:r>
      <w:r>
        <w:rPr>
          <w:rFonts w:ascii="Times New Roman" w:eastAsia="Times New Roman" w:hAnsi="Times New Roman" w:cs="Times New Roman"/>
          <w:color w:val="000000"/>
        </w:rPr>
        <w:t xml:space="preserve"> </w:t>
      </w:r>
      <w:r w:rsidRPr="00BE67B4">
        <w:rPr>
          <w:rFonts w:ascii="Times New Roman" w:eastAsia="Times New Roman" w:hAnsi="Times New Roman" w:cs="Times New Roman"/>
          <w:color w:val="000000"/>
        </w:rPr>
        <w:t>«negative Beziehung auf sich selbst</w:t>
      </w:r>
      <w:r w:rsidRPr="00BE67B4">
        <w:rPr>
          <w:rFonts w:ascii="Times New Roman" w:eastAsia="Times New Roman" w:hAnsi="Times New Roman" w:cs="Times New Roman"/>
          <w:color w:val="000000"/>
          <w:lang w:val="de-DE"/>
        </w:rPr>
        <w:t>»</w:t>
      </w:r>
      <w:r w:rsidRPr="00BE67B4">
        <w:rPr>
          <w:rStyle w:val="Rimandonotaapidipagina"/>
          <w:rFonts w:ascii="Times New Roman" w:eastAsia="Times New Roman" w:hAnsi="Times New Roman" w:cs="Times New Roman"/>
          <w:color w:val="000000"/>
          <w:lang w:val="de-DE"/>
        </w:rPr>
        <w:footnoteReference w:id="468"/>
      </w:r>
      <w:r w:rsidRPr="00BE67B4">
        <w:rPr>
          <w:rFonts w:ascii="Times New Roman" w:eastAsia="Times New Roman" w:hAnsi="Times New Roman" w:cs="Times New Roman"/>
          <w:color w:val="000000"/>
        </w:rPr>
        <w:t>,</w:t>
      </w:r>
      <w:r w:rsidRPr="00F154E2">
        <w:rPr>
          <w:rFonts w:ascii="Times New Roman" w:eastAsia="Times New Roman" w:hAnsi="Times New Roman" w:cs="Times New Roman"/>
          <w:color w:val="000000"/>
        </w:rPr>
        <w:t xml:space="preserve"> la necessità assoluta è un passare nel proprio </w:t>
      </w:r>
      <w:r>
        <w:rPr>
          <w:rFonts w:ascii="Times New Roman" w:eastAsia="Times New Roman" w:hAnsi="Times New Roman" w:cs="Times New Roman"/>
          <w:color w:val="000000"/>
        </w:rPr>
        <w:t xml:space="preserve">essere </w:t>
      </w:r>
      <w:r w:rsidRPr="00F154E2">
        <w:rPr>
          <w:rFonts w:ascii="Times New Roman" w:eastAsia="Times New Roman" w:hAnsi="Times New Roman" w:cs="Times New Roman"/>
          <w:color w:val="000000"/>
        </w:rPr>
        <w:t>altro; l’essere</w:t>
      </w:r>
      <w:r>
        <w:rPr>
          <w:rFonts w:ascii="Times New Roman" w:eastAsia="Times New Roman" w:hAnsi="Times New Roman" w:cs="Times New Roman"/>
          <w:color w:val="000000"/>
        </w:rPr>
        <w:t xml:space="preserve"> </w:t>
      </w:r>
      <w:r w:rsidRPr="00F154E2">
        <w:rPr>
          <w:rFonts w:ascii="Times New Roman" w:eastAsia="Times New Roman" w:hAnsi="Times New Roman" w:cs="Times New Roman"/>
          <w:color w:val="000000"/>
        </w:rPr>
        <w:t>altro, a propria volta, riflettendosi in sé, dispiega la propria intrinseca negatività ed è ricondotto in seno all’unità</w:t>
      </w:r>
      <w:r w:rsidRPr="00696BB4">
        <w:rPr>
          <w:rStyle w:val="Rimandonotaapidipagina"/>
          <w:rFonts w:ascii="Times New Roman" w:eastAsia="Times New Roman" w:hAnsi="Times New Roman" w:cs="Times New Roman"/>
          <w:color w:val="000000"/>
        </w:rPr>
        <w:footnoteReference w:id="469"/>
      </w:r>
      <w:r w:rsidRPr="00696BB4">
        <w:rPr>
          <w:rFonts w:ascii="Times New Roman" w:eastAsia="Times New Roman" w:hAnsi="Times New Roman" w:cs="Times New Roman"/>
          <w:color w:val="000000"/>
        </w:rPr>
        <w:t>. Nel momento in cui si materializza la riflessione in sé nell’altro da sé viene meno quell’oscurità, ossia quell’essere irrelato d’essenza ed essere, che Hegel considera nota distintiva dell’ontologia leibniziana. Pertanto, l’interno è l’esterno e l’esterno è l’interno:</w:t>
      </w:r>
    </w:p>
    <w:p w14:paraId="381F2807" w14:textId="77777777" w:rsidR="001B7751" w:rsidRDefault="001B7751" w:rsidP="001B7751">
      <w:pPr>
        <w:pStyle w:val="Paragrafoelenco"/>
        <w:spacing w:line="360" w:lineRule="auto"/>
        <w:ind w:left="708" w:firstLine="567"/>
        <w:jc w:val="both"/>
        <w:rPr>
          <w:rFonts w:ascii="Times New Roman" w:eastAsia="Times New Roman" w:hAnsi="Times New Roman" w:cs="Times New Roman"/>
          <w:color w:val="000000"/>
        </w:rPr>
      </w:pPr>
    </w:p>
    <w:p w14:paraId="1E4F6F95" w14:textId="77777777" w:rsidR="001B7751" w:rsidRPr="00BE67B4" w:rsidRDefault="001B7751" w:rsidP="001B7751">
      <w:pPr>
        <w:pStyle w:val="Paragrafoelenco"/>
        <w:spacing w:line="360" w:lineRule="auto"/>
        <w:ind w:left="567" w:firstLine="567"/>
        <w:jc w:val="both"/>
        <w:rPr>
          <w:rFonts w:ascii="Times New Roman" w:eastAsia="Times New Roman" w:hAnsi="Times New Roman" w:cs="Times New Roman"/>
          <w:color w:val="000000"/>
          <w:sz w:val="20"/>
          <w:szCs w:val="20"/>
        </w:rPr>
      </w:pPr>
      <w:r w:rsidRPr="00BE67B4">
        <w:rPr>
          <w:rFonts w:ascii="Times New Roman" w:eastAsia="Times New Roman" w:hAnsi="Times New Roman" w:cs="Times New Roman"/>
          <w:color w:val="000000"/>
          <w:sz w:val="20"/>
          <w:szCs w:val="20"/>
        </w:rPr>
        <w:t>«</w:t>
      </w:r>
      <w:r w:rsidRPr="00BE67B4">
        <w:rPr>
          <w:rFonts w:ascii="Times New Roman" w:eastAsia="Times New Roman" w:hAnsi="Times New Roman" w:cs="Times New Roman"/>
          <w:color w:val="000000"/>
          <w:sz w:val="20"/>
          <w:szCs w:val="20"/>
          <w:lang w:val="de-DE"/>
        </w:rPr>
        <w:t>Diese Identität des Seyns in seiner Negation mit sich selbst, so ist sie die Substanz. Sie ist diese Einheit als in ihrer Negation oder als in der Zufälligkeit; so ist sie Substanz als Verhältnis zu sich selbst. Das blinde Übergehen der Notwendigkeit ist vielmehr die eigene Auslegung des Absoluten, die Bewegung desselben in sich, welches in seiner Entäußerung vielmehr sich selbst zeigt»</w:t>
      </w:r>
      <w:r w:rsidRPr="00BE67B4">
        <w:rPr>
          <w:rStyle w:val="Rimandonotaapidipagina"/>
          <w:rFonts w:ascii="Times New Roman" w:eastAsia="Times New Roman" w:hAnsi="Times New Roman" w:cs="Times New Roman"/>
          <w:color w:val="000000"/>
          <w:sz w:val="20"/>
          <w:szCs w:val="20"/>
          <w:lang w:val="de-DE"/>
        </w:rPr>
        <w:footnoteReference w:id="470"/>
      </w:r>
      <w:r w:rsidRPr="00BE67B4">
        <w:rPr>
          <w:rFonts w:ascii="Times New Roman" w:eastAsia="Times New Roman" w:hAnsi="Times New Roman" w:cs="Times New Roman"/>
          <w:color w:val="000000"/>
          <w:sz w:val="20"/>
          <w:szCs w:val="20"/>
          <w:lang w:val="de-DE"/>
        </w:rPr>
        <w:t>.</w:t>
      </w:r>
    </w:p>
    <w:p w14:paraId="68787534" w14:textId="77777777" w:rsidR="001B7751" w:rsidRPr="001A7B03" w:rsidRDefault="001B7751" w:rsidP="001B7751">
      <w:pPr>
        <w:pStyle w:val="Paragrafoelenco"/>
        <w:spacing w:line="360" w:lineRule="auto"/>
        <w:ind w:left="708" w:firstLine="567"/>
        <w:jc w:val="both"/>
        <w:rPr>
          <w:rFonts w:ascii="Times New Roman" w:eastAsia="Times New Roman" w:hAnsi="Times New Roman" w:cs="Times New Roman"/>
          <w:color w:val="000000"/>
        </w:rPr>
      </w:pPr>
    </w:p>
    <w:p w14:paraId="23B410A1" w14:textId="63FB7E99" w:rsidR="00264AAD" w:rsidRPr="00372FD7" w:rsidRDefault="001B7751" w:rsidP="001B7751">
      <w:pPr>
        <w:pStyle w:val="Paragrafoelenco"/>
        <w:spacing w:line="360" w:lineRule="auto"/>
        <w:ind w:left="0" w:firstLine="567"/>
        <w:jc w:val="both"/>
        <w:rPr>
          <w:rFonts w:ascii="Times New Roman" w:eastAsia="Times New Roman" w:hAnsi="Times New Roman" w:cs="Times New Roman"/>
          <w:color w:val="000000"/>
        </w:rPr>
      </w:pPr>
      <w:r w:rsidRPr="00372FD7">
        <w:rPr>
          <w:rFonts w:ascii="Times New Roman" w:eastAsia="Times New Roman" w:hAnsi="Times New Roman" w:cs="Times New Roman"/>
          <w:color w:val="000000"/>
        </w:rPr>
        <w:t xml:space="preserve">Dalla dispersione monadica, siamo risospinti all’interno dell’unità della sostanza. La sostanza, quale emerge della dialettica inerente alle categorie modali, si situa al di là dell’Assoluto di matrice spinoziana. Al principio della sezione sul </w:t>
      </w:r>
      <w:r w:rsidRPr="00372FD7">
        <w:rPr>
          <w:rFonts w:ascii="Times New Roman" w:eastAsia="Times New Roman" w:hAnsi="Times New Roman" w:cs="Times New Roman"/>
          <w:i/>
          <w:color w:val="000000"/>
        </w:rPr>
        <w:t>Verhältniss der Substantialität</w:t>
      </w:r>
      <w:r w:rsidR="008D0667" w:rsidRPr="00372FD7">
        <w:rPr>
          <w:rFonts w:ascii="Times New Roman" w:eastAsia="Times New Roman" w:hAnsi="Times New Roman" w:cs="Times New Roman"/>
          <w:color w:val="000000"/>
        </w:rPr>
        <w:t>, è lo stesso Hegel</w:t>
      </w:r>
      <w:r w:rsidR="00080193" w:rsidRPr="00372FD7">
        <w:rPr>
          <w:rFonts w:ascii="Times New Roman" w:eastAsia="Times New Roman" w:hAnsi="Times New Roman" w:cs="Times New Roman"/>
          <w:color w:val="000000"/>
        </w:rPr>
        <w:t xml:space="preserve"> </w:t>
      </w:r>
      <w:r w:rsidRPr="00372FD7">
        <w:rPr>
          <w:rFonts w:ascii="Times New Roman" w:eastAsia="Times New Roman" w:hAnsi="Times New Roman" w:cs="Times New Roman"/>
          <w:color w:val="000000"/>
        </w:rPr>
        <w:t>a sottolineare il superamento della metafisica spinoziana, affermando che «</w:t>
      </w:r>
      <w:r w:rsidRPr="00372FD7">
        <w:rPr>
          <w:rFonts w:ascii="Times New Roman" w:eastAsia="Times New Roman" w:hAnsi="Times New Roman" w:cs="Times New Roman"/>
          <w:color w:val="000000"/>
          <w:lang w:val="de-DE"/>
        </w:rPr>
        <w:t>das Absolute, zuerst von äußeren Reflexion ausgelegt, legt nun als absolute Form oder als Notwendigkeit sich selbst aus»</w:t>
      </w:r>
      <w:r w:rsidRPr="00372FD7">
        <w:rPr>
          <w:rStyle w:val="Rimandonotaapidipagina"/>
          <w:rFonts w:ascii="Times New Roman" w:eastAsia="Times New Roman" w:hAnsi="Times New Roman" w:cs="Times New Roman"/>
          <w:color w:val="000000"/>
        </w:rPr>
        <w:footnoteReference w:id="471"/>
      </w:r>
      <w:r w:rsidRPr="00372FD7">
        <w:rPr>
          <w:rFonts w:ascii="Times New Roman" w:eastAsia="Times New Roman" w:hAnsi="Times New Roman" w:cs="Times New Roman"/>
          <w:color w:val="000000"/>
          <w:lang w:val="de-DE"/>
        </w:rPr>
        <w:t>.</w:t>
      </w:r>
      <w:r w:rsidRPr="00BE67B4">
        <w:rPr>
          <w:rFonts w:ascii="Times New Roman" w:eastAsia="Times New Roman" w:hAnsi="Times New Roman" w:cs="Times New Roman"/>
          <w:color w:val="000000"/>
          <w:lang w:val="de-DE"/>
        </w:rPr>
        <w:t xml:space="preserve"> </w:t>
      </w:r>
      <w:r w:rsidRPr="006051D0">
        <w:rPr>
          <w:rFonts w:ascii="Times New Roman" w:eastAsia="Times New Roman" w:hAnsi="Times New Roman" w:cs="Times New Roman"/>
          <w:color w:val="000000"/>
        </w:rPr>
        <w:t>In forza di una forma assoluta, il contenuto si dispiega a partire da sé, non da un</w:t>
      </w:r>
      <w:r w:rsidR="00080193">
        <w:rPr>
          <w:rFonts w:ascii="Times New Roman" w:eastAsia="Times New Roman" w:hAnsi="Times New Roman" w:cs="Times New Roman"/>
          <w:color w:val="000000"/>
        </w:rPr>
        <w:t>a</w:t>
      </w:r>
      <w:r w:rsidRPr="006051D0">
        <w:rPr>
          <w:rFonts w:ascii="Times New Roman" w:eastAsia="Times New Roman" w:hAnsi="Times New Roman" w:cs="Times New Roman"/>
          <w:color w:val="000000"/>
        </w:rPr>
        <w:t xml:space="preserve"> riflessione ad esso altra o esteriore al determinarsi dell’Assoluto.</w:t>
      </w:r>
      <w:r>
        <w:rPr>
          <w:rFonts w:ascii="Times New Roman" w:eastAsia="Times New Roman" w:hAnsi="Times New Roman" w:cs="Times New Roman"/>
          <w:color w:val="000000"/>
        </w:rPr>
        <w:t xml:space="preserve"> Questo </w:t>
      </w:r>
      <w:r w:rsidRPr="003D0979">
        <w:rPr>
          <w:rFonts w:ascii="Times New Roman" w:eastAsia="Times New Roman" w:hAnsi="Times New Roman" w:cs="Times New Roman"/>
          <w:color w:val="000000"/>
        </w:rPr>
        <w:t xml:space="preserve">dipanarsi della cosa stessa, che sancisce </w:t>
      </w:r>
      <w:r>
        <w:rPr>
          <w:rFonts w:ascii="Times New Roman" w:eastAsia="Times New Roman" w:hAnsi="Times New Roman" w:cs="Times New Roman"/>
          <w:color w:val="000000"/>
        </w:rPr>
        <w:t>una presa di distanza dall’</w:t>
      </w:r>
      <w:r w:rsidRPr="0053398A">
        <w:rPr>
          <w:rFonts w:ascii="Times New Roman" w:eastAsia="Times New Roman" w:hAnsi="Times New Roman" w:cs="Times New Roman"/>
          <w:i/>
          <w:color w:val="000000"/>
          <w:lang w:val="de-DE"/>
        </w:rPr>
        <w:t>äußere Reflexion</w:t>
      </w:r>
      <w:r w:rsidRPr="003D0979">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r</w:t>
      </w:r>
      <w:r w:rsidRPr="003D0979">
        <w:rPr>
          <w:rFonts w:ascii="Times New Roman" w:eastAsia="Times New Roman" w:hAnsi="Times New Roman" w:cs="Times New Roman"/>
          <w:color w:val="000000"/>
        </w:rPr>
        <w:t xml:space="preserve">isulta da un arricchimento a cui va incontro la teoria della negatività: dismesso è il principio spinoziano </w:t>
      </w:r>
      <w:r w:rsidRPr="003D0979">
        <w:rPr>
          <w:rFonts w:ascii="Times New Roman" w:eastAsia="Times New Roman" w:hAnsi="Times New Roman" w:cs="Times New Roman"/>
          <w:i/>
          <w:color w:val="000000"/>
        </w:rPr>
        <w:t>determinatio est negatio</w:t>
      </w:r>
      <w:r w:rsidRPr="003D0979">
        <w:rPr>
          <w:rFonts w:ascii="Times New Roman" w:eastAsia="Times New Roman" w:hAnsi="Times New Roman" w:cs="Times New Roman"/>
          <w:color w:val="000000"/>
        </w:rPr>
        <w:t xml:space="preserve">; assunta è l’idea che la determinazione sia </w:t>
      </w:r>
      <w:r>
        <w:rPr>
          <w:rFonts w:ascii="Times New Roman" w:eastAsia="Times New Roman" w:hAnsi="Times New Roman" w:cs="Times New Roman"/>
          <w:color w:val="000000"/>
        </w:rPr>
        <w:t xml:space="preserve">opposizione pienamente sviluppata di positivo e negativo. L’essenza e l’essere, o il necessario e l’accidentale, sono in sé riflessi, ossia negano la propria unilateralità, si affermano come l’altro da sé e, mediante il proprio essere altro, si ricongiungono con sé. Una nozione di negatività immanente, </w:t>
      </w:r>
      <w:r w:rsidRPr="00372FD7">
        <w:rPr>
          <w:rFonts w:ascii="Times New Roman" w:eastAsia="Times New Roman" w:hAnsi="Times New Roman" w:cs="Times New Roman"/>
          <w:color w:val="000000"/>
        </w:rPr>
        <w:t>pertanto, consente d’abbandonare la riflessione esteriore sulla cosa e, assieme ad essa, il tratto distintivo dell’ontologia spinoziana. Dall’essere in sé dei due termini relazionali, segue un ricongiungimento dei medesi</w:t>
      </w:r>
      <w:r w:rsidR="00264AAD" w:rsidRPr="00372FD7">
        <w:rPr>
          <w:rFonts w:ascii="Times New Roman" w:eastAsia="Times New Roman" w:hAnsi="Times New Roman" w:cs="Times New Roman"/>
          <w:color w:val="000000"/>
        </w:rPr>
        <w:t xml:space="preserve">mi nell’identità della sostanza che, ricordiamolo ancora una volta, </w:t>
      </w:r>
      <w:r w:rsidRPr="00372FD7">
        <w:rPr>
          <w:rFonts w:ascii="Times New Roman" w:eastAsia="Times New Roman" w:hAnsi="Times New Roman" w:cs="Times New Roman"/>
          <w:color w:val="000000"/>
        </w:rPr>
        <w:t>raccoglie</w:t>
      </w:r>
      <w:r w:rsidR="00264AAD" w:rsidRPr="00372FD7">
        <w:rPr>
          <w:rFonts w:ascii="Times New Roman" w:eastAsia="Times New Roman" w:hAnsi="Times New Roman" w:cs="Times New Roman"/>
          <w:color w:val="000000"/>
        </w:rPr>
        <w:t xml:space="preserve"> in sé la dispersione (</w:t>
      </w:r>
      <w:r w:rsidRPr="00372FD7">
        <w:rPr>
          <w:rFonts w:ascii="Times New Roman" w:eastAsia="Times New Roman" w:hAnsi="Times New Roman" w:cs="Times New Roman"/>
          <w:color w:val="000000"/>
        </w:rPr>
        <w:t>il carattere irriflesso</w:t>
      </w:r>
      <w:r w:rsidR="00264AAD" w:rsidRPr="00372FD7">
        <w:rPr>
          <w:rFonts w:ascii="Times New Roman" w:eastAsia="Times New Roman" w:hAnsi="Times New Roman" w:cs="Times New Roman"/>
          <w:color w:val="000000"/>
        </w:rPr>
        <w:t>)</w:t>
      </w:r>
      <w:r w:rsidRPr="00372FD7">
        <w:rPr>
          <w:rFonts w:ascii="Times New Roman" w:eastAsia="Times New Roman" w:hAnsi="Times New Roman" w:cs="Times New Roman"/>
          <w:color w:val="000000"/>
        </w:rPr>
        <w:t xml:space="preserve"> delle monadi leibniziane. </w:t>
      </w:r>
    </w:p>
    <w:p w14:paraId="70353011" w14:textId="7A66E898" w:rsidR="001B7751" w:rsidRDefault="00264AAD" w:rsidP="001B7751">
      <w:pPr>
        <w:pStyle w:val="Paragrafoelenco"/>
        <w:spacing w:line="360" w:lineRule="auto"/>
        <w:ind w:left="0" w:firstLine="567"/>
        <w:jc w:val="both"/>
        <w:rPr>
          <w:rFonts w:ascii="Times New Roman" w:eastAsia="Times New Roman" w:hAnsi="Times New Roman" w:cs="Times New Roman"/>
          <w:color w:val="000000"/>
        </w:rPr>
      </w:pPr>
      <w:r w:rsidRPr="00372FD7">
        <w:rPr>
          <w:rFonts w:ascii="Times New Roman" w:eastAsia="Times New Roman" w:hAnsi="Times New Roman" w:cs="Times New Roman"/>
          <w:color w:val="000000"/>
        </w:rPr>
        <w:t>N</w:t>
      </w:r>
      <w:r w:rsidR="001B7751" w:rsidRPr="00372FD7">
        <w:rPr>
          <w:rFonts w:ascii="Times New Roman" w:eastAsia="Times New Roman" w:hAnsi="Times New Roman" w:cs="Times New Roman"/>
          <w:color w:val="000000"/>
        </w:rPr>
        <w:t xml:space="preserve">ell’orizzonte teorico-concettuale delle categorie modali, </w:t>
      </w:r>
      <w:r w:rsidRPr="00372FD7">
        <w:rPr>
          <w:rFonts w:ascii="Times New Roman" w:eastAsia="Times New Roman" w:hAnsi="Times New Roman" w:cs="Times New Roman"/>
          <w:color w:val="000000"/>
        </w:rPr>
        <w:t xml:space="preserve">questo recupero del molto nell’uno </w:t>
      </w:r>
      <w:r w:rsidR="001B7751" w:rsidRPr="00372FD7">
        <w:rPr>
          <w:rFonts w:ascii="Times New Roman" w:eastAsia="Times New Roman" w:hAnsi="Times New Roman" w:cs="Times New Roman"/>
          <w:color w:val="000000"/>
        </w:rPr>
        <w:t xml:space="preserve">rappresenta </w:t>
      </w:r>
      <w:r w:rsidR="001020E2" w:rsidRPr="00372FD7">
        <w:rPr>
          <w:rFonts w:ascii="Times New Roman" w:eastAsia="Times New Roman" w:hAnsi="Times New Roman" w:cs="Times New Roman"/>
          <w:color w:val="000000"/>
        </w:rPr>
        <w:t>un trasporsi del necessario (</w:t>
      </w:r>
      <w:r w:rsidR="001B7751" w:rsidRPr="00372FD7">
        <w:rPr>
          <w:rFonts w:ascii="Times New Roman" w:eastAsia="Times New Roman" w:hAnsi="Times New Roman" w:cs="Times New Roman"/>
          <w:color w:val="000000"/>
        </w:rPr>
        <w:t>essenza</w:t>
      </w:r>
      <w:r w:rsidR="001020E2" w:rsidRPr="00372FD7">
        <w:rPr>
          <w:rFonts w:ascii="Times New Roman" w:eastAsia="Times New Roman" w:hAnsi="Times New Roman" w:cs="Times New Roman"/>
          <w:color w:val="000000"/>
        </w:rPr>
        <w:t>)</w:t>
      </w:r>
      <w:r w:rsidR="001B7751" w:rsidRPr="00372FD7">
        <w:rPr>
          <w:rFonts w:ascii="Times New Roman" w:eastAsia="Times New Roman" w:hAnsi="Times New Roman" w:cs="Times New Roman"/>
          <w:color w:val="000000"/>
        </w:rPr>
        <w:t xml:space="preserve"> nell’</w:t>
      </w:r>
      <w:r w:rsidR="001020E2" w:rsidRPr="00372FD7">
        <w:rPr>
          <w:rFonts w:ascii="Times New Roman" w:eastAsia="Times New Roman" w:hAnsi="Times New Roman" w:cs="Times New Roman"/>
          <w:color w:val="000000"/>
        </w:rPr>
        <w:t>accidentale (</w:t>
      </w:r>
      <w:r w:rsidR="001B7751" w:rsidRPr="00372FD7">
        <w:rPr>
          <w:rFonts w:ascii="Times New Roman" w:eastAsia="Times New Roman" w:hAnsi="Times New Roman" w:cs="Times New Roman"/>
          <w:color w:val="000000"/>
        </w:rPr>
        <w:t>essere</w:t>
      </w:r>
      <w:r w:rsidR="001020E2" w:rsidRPr="00372FD7">
        <w:rPr>
          <w:rFonts w:ascii="Times New Roman" w:eastAsia="Times New Roman" w:hAnsi="Times New Roman" w:cs="Times New Roman"/>
          <w:color w:val="000000"/>
        </w:rPr>
        <w:t>)</w:t>
      </w:r>
      <w:r w:rsidR="001B7751" w:rsidRPr="00372FD7">
        <w:rPr>
          <w:rFonts w:ascii="Times New Roman" w:eastAsia="Times New Roman" w:hAnsi="Times New Roman" w:cs="Times New Roman"/>
          <w:color w:val="000000"/>
        </w:rPr>
        <w:t xml:space="preserve"> e un ritorno dell’</w:t>
      </w:r>
      <w:r w:rsidR="001020E2" w:rsidRPr="00372FD7">
        <w:rPr>
          <w:rFonts w:ascii="Times New Roman" w:eastAsia="Times New Roman" w:hAnsi="Times New Roman" w:cs="Times New Roman"/>
          <w:color w:val="000000"/>
        </w:rPr>
        <w:t>accidentale (</w:t>
      </w:r>
      <w:r w:rsidR="001B7751" w:rsidRPr="00372FD7">
        <w:rPr>
          <w:rFonts w:ascii="Times New Roman" w:eastAsia="Times New Roman" w:hAnsi="Times New Roman" w:cs="Times New Roman"/>
          <w:color w:val="000000"/>
        </w:rPr>
        <w:t>essere</w:t>
      </w:r>
      <w:r w:rsidR="001020E2" w:rsidRPr="00372FD7">
        <w:rPr>
          <w:rFonts w:ascii="Times New Roman" w:eastAsia="Times New Roman" w:hAnsi="Times New Roman" w:cs="Times New Roman"/>
          <w:color w:val="000000"/>
        </w:rPr>
        <w:t>)</w:t>
      </w:r>
      <w:r w:rsidR="001B7751" w:rsidRPr="00372FD7">
        <w:rPr>
          <w:rFonts w:ascii="Times New Roman" w:eastAsia="Times New Roman" w:hAnsi="Times New Roman" w:cs="Times New Roman"/>
          <w:color w:val="000000"/>
        </w:rPr>
        <w:t xml:space="preserve"> </w:t>
      </w:r>
      <w:r w:rsidR="001020E2" w:rsidRPr="00372FD7">
        <w:rPr>
          <w:rFonts w:ascii="Times New Roman" w:eastAsia="Times New Roman" w:hAnsi="Times New Roman" w:cs="Times New Roman"/>
          <w:color w:val="000000"/>
        </w:rPr>
        <w:t>nel necessario (</w:t>
      </w:r>
      <w:r w:rsidR="001B7751" w:rsidRPr="00372FD7">
        <w:rPr>
          <w:rFonts w:ascii="Times New Roman" w:eastAsia="Times New Roman" w:hAnsi="Times New Roman" w:cs="Times New Roman"/>
          <w:color w:val="000000"/>
        </w:rPr>
        <w:t>essenza</w:t>
      </w:r>
      <w:r w:rsidR="001020E2" w:rsidRPr="00372FD7">
        <w:rPr>
          <w:rFonts w:ascii="Times New Roman" w:eastAsia="Times New Roman" w:hAnsi="Times New Roman" w:cs="Times New Roman"/>
          <w:color w:val="000000"/>
        </w:rPr>
        <w:t>)</w:t>
      </w:r>
      <w:r w:rsidR="001B7751" w:rsidRPr="00372FD7">
        <w:rPr>
          <w:rFonts w:ascii="Times New Roman" w:eastAsia="Times New Roman" w:hAnsi="Times New Roman" w:cs="Times New Roman"/>
          <w:color w:val="000000"/>
        </w:rPr>
        <w:t>. La</w:t>
      </w:r>
      <w:r w:rsidR="001B7751">
        <w:rPr>
          <w:rFonts w:ascii="Times New Roman" w:eastAsia="Times New Roman" w:hAnsi="Times New Roman" w:cs="Times New Roman"/>
          <w:color w:val="000000"/>
        </w:rPr>
        <w:t xml:space="preserve"> negazione vicendevole di essenza ed essere determina il loro saldarsi: l’uno, riassorbito in sé il due, può </w:t>
      </w:r>
      <w:r w:rsidR="001B7751" w:rsidRPr="00BE67B4">
        <w:rPr>
          <w:rFonts w:ascii="Times New Roman" w:eastAsia="Times New Roman" w:hAnsi="Times New Roman" w:cs="Times New Roman"/>
          <w:color w:val="000000"/>
        </w:rPr>
        <w:t>adesso «</w:t>
      </w:r>
      <w:r w:rsidR="001B7751" w:rsidRPr="00BE67B4">
        <w:rPr>
          <w:rFonts w:ascii="Times New Roman" w:eastAsia="Times New Roman" w:hAnsi="Times New Roman" w:cs="Times New Roman"/>
          <w:color w:val="000000"/>
          <w:lang w:val="de-DE"/>
        </w:rPr>
        <w:t>legt nun als absolute Form oder als Notwendigkeit, sich selbst aus»</w:t>
      </w:r>
      <w:r w:rsidR="001B7751" w:rsidRPr="00BE67B4">
        <w:rPr>
          <w:rStyle w:val="Rimandonotaapidipagina"/>
          <w:rFonts w:ascii="Times New Roman" w:eastAsia="Times New Roman" w:hAnsi="Times New Roman" w:cs="Times New Roman"/>
          <w:color w:val="000000"/>
        </w:rPr>
        <w:footnoteReference w:id="472"/>
      </w:r>
      <w:r w:rsidR="001B7751" w:rsidRPr="00BE67B4">
        <w:rPr>
          <w:rFonts w:ascii="Times New Roman" w:eastAsia="Times New Roman" w:hAnsi="Times New Roman" w:cs="Times New Roman"/>
          <w:color w:val="000000"/>
          <w:lang w:val="de-DE"/>
        </w:rPr>
        <w:t xml:space="preserve">. </w:t>
      </w:r>
      <w:r w:rsidR="001B7751" w:rsidRPr="00E3488A">
        <w:rPr>
          <w:rFonts w:ascii="Times New Roman" w:eastAsia="Times New Roman" w:hAnsi="Times New Roman" w:cs="Times New Roman"/>
          <w:color w:val="000000"/>
        </w:rPr>
        <w:t>Come forma assoluta, la sostanza è quel fondamento, che è anche riflessione in sé, in cui rientra «die gleichgültige Verschiedenheit</w:t>
      </w:r>
      <w:r w:rsidR="001B7751" w:rsidRPr="00E3488A">
        <w:rPr>
          <w:rFonts w:ascii="Times New Roman" w:eastAsia="Times New Roman" w:hAnsi="Times New Roman" w:cs="Times New Roman"/>
          <w:color w:val="000000"/>
          <w:lang w:val="de-DE"/>
        </w:rPr>
        <w:t xml:space="preserve">» </w:t>
      </w:r>
      <w:r w:rsidR="001B7751" w:rsidRPr="00E3488A">
        <w:rPr>
          <w:rFonts w:ascii="Times New Roman" w:eastAsia="Times New Roman" w:hAnsi="Times New Roman" w:cs="Times New Roman"/>
          <w:color w:val="000000"/>
        </w:rPr>
        <w:t>sviluppata fino a</w:t>
      </w:r>
      <w:r w:rsidR="001B7751" w:rsidRPr="00E3488A">
        <w:rPr>
          <w:rFonts w:ascii="Times New Roman" w:eastAsia="Times New Roman" w:hAnsi="Times New Roman" w:cs="Times New Roman"/>
          <w:color w:val="000000"/>
          <w:lang w:val="de-DE"/>
        </w:rPr>
        <w:t xml:space="preserve"> «Entgegengesetzung»</w:t>
      </w:r>
      <w:r w:rsidR="001B7751" w:rsidRPr="00E3488A">
        <w:rPr>
          <w:rStyle w:val="Rimandonotaapidipagina"/>
          <w:rFonts w:ascii="Times New Roman" w:eastAsia="Times New Roman" w:hAnsi="Times New Roman" w:cs="Times New Roman"/>
          <w:color w:val="000000"/>
          <w:lang w:val="de-DE"/>
        </w:rPr>
        <w:footnoteReference w:id="473"/>
      </w:r>
      <w:r w:rsidR="001B7751" w:rsidRPr="00E3488A">
        <w:rPr>
          <w:rFonts w:ascii="Times New Roman" w:eastAsia="Times New Roman" w:hAnsi="Times New Roman" w:cs="Times New Roman"/>
          <w:color w:val="000000"/>
          <w:lang w:val="de-DE"/>
        </w:rPr>
        <w:t xml:space="preserve">. </w:t>
      </w:r>
      <w:r w:rsidR="001B7751" w:rsidRPr="00E3488A">
        <w:rPr>
          <w:rFonts w:ascii="Times New Roman" w:eastAsia="Times New Roman" w:hAnsi="Times New Roman" w:cs="Times New Roman"/>
          <w:color w:val="000000"/>
        </w:rPr>
        <w:t>Ciò che riconduce in unità gli opposti è un contraddittorio, e ciò che è contraddittorio ha la propria ragione d’essere in sé, non in altro. La sostanza, presa come unità di essenza ed esistenza, è quel fondamento in cui riposa, come tolta, l’opposizione fra necessità e accidentalità. Questa negatività, derivante dal</w:t>
      </w:r>
      <w:r w:rsidR="001B7751">
        <w:rPr>
          <w:rFonts w:ascii="Times New Roman" w:eastAsia="Times New Roman" w:hAnsi="Times New Roman" w:cs="Times New Roman"/>
          <w:color w:val="000000"/>
        </w:rPr>
        <w:t xml:space="preserve"> togliersi dell’opposizione e dal suo andare a fondo nella necessità assoluta, permea la sostanza e fa sì che essa </w:t>
      </w:r>
      <w:r w:rsidR="001B7751" w:rsidRPr="00BE67B4">
        <w:rPr>
          <w:rFonts w:ascii="Times New Roman" w:eastAsia="Times New Roman" w:hAnsi="Times New Roman" w:cs="Times New Roman"/>
          <w:color w:val="000000"/>
        </w:rPr>
        <w:t>«</w:t>
      </w:r>
      <w:r w:rsidR="001B7751" w:rsidRPr="00BE67B4">
        <w:rPr>
          <w:rFonts w:ascii="Times New Roman" w:eastAsia="Times New Roman" w:hAnsi="Times New Roman" w:cs="Times New Roman"/>
          <w:color w:val="000000"/>
          <w:lang w:val="de-DE"/>
        </w:rPr>
        <w:t>ist nicht thätig gegen Etwas, sondern nur gegen sich selbst als einfaches widerstandloses Element»</w:t>
      </w:r>
      <w:r w:rsidR="001B7751" w:rsidRPr="00BE67B4">
        <w:rPr>
          <w:rStyle w:val="Rimandonotaapidipagina"/>
          <w:rFonts w:ascii="Times New Roman" w:eastAsia="Times New Roman" w:hAnsi="Times New Roman" w:cs="Times New Roman"/>
          <w:color w:val="000000"/>
          <w:lang w:val="de-DE"/>
        </w:rPr>
        <w:footnoteReference w:id="474"/>
      </w:r>
      <w:r w:rsidR="001B7751">
        <w:rPr>
          <w:rFonts w:ascii="Times New Roman" w:eastAsia="Times New Roman" w:hAnsi="Times New Roman" w:cs="Times New Roman"/>
          <w:color w:val="000000"/>
          <w:lang w:val="de-DE"/>
        </w:rPr>
        <w:t xml:space="preserve">. </w:t>
      </w:r>
      <w:r w:rsidR="001B7751" w:rsidRPr="00510A73">
        <w:rPr>
          <w:rFonts w:ascii="Times New Roman" w:eastAsia="Times New Roman" w:hAnsi="Times New Roman" w:cs="Times New Roman"/>
          <w:color w:val="000000"/>
        </w:rPr>
        <w:t>I</w:t>
      </w:r>
      <w:r w:rsidR="001B7751">
        <w:rPr>
          <w:rFonts w:ascii="Times New Roman" w:eastAsia="Times New Roman" w:hAnsi="Times New Roman" w:cs="Times New Roman"/>
          <w:color w:val="000000"/>
        </w:rPr>
        <w:t>l riferimento alla diversità sviluppata fino</w:t>
      </w:r>
      <w:r w:rsidR="001B7751">
        <w:rPr>
          <w:rFonts w:ascii="Times New Roman" w:eastAsia="Times New Roman" w:hAnsi="Times New Roman" w:cs="Times New Roman"/>
          <w:color w:val="000000"/>
          <w:lang w:val="de-DE"/>
        </w:rPr>
        <w:t xml:space="preserve"> </w:t>
      </w:r>
      <w:r w:rsidR="001B7751">
        <w:rPr>
          <w:rFonts w:ascii="Times New Roman" w:eastAsia="Times New Roman" w:hAnsi="Times New Roman" w:cs="Times New Roman"/>
          <w:color w:val="000000"/>
        </w:rPr>
        <w:t>ad opposizione e l’andare a fondo degli opposti sono dei riferimenti a quello spettro di relazioni logiche chiamate in causa dalla nozione böhmiana dell’</w:t>
      </w:r>
      <w:r w:rsidR="001B7751" w:rsidRPr="007D321E">
        <w:rPr>
          <w:rFonts w:ascii="Times New Roman" w:eastAsia="Times New Roman" w:hAnsi="Times New Roman" w:cs="Times New Roman"/>
          <w:i/>
          <w:color w:val="000000"/>
        </w:rPr>
        <w:t>Inqualierung</w:t>
      </w:r>
      <w:r w:rsidR="001B7751">
        <w:rPr>
          <w:rFonts w:ascii="Times New Roman" w:eastAsia="Times New Roman" w:hAnsi="Times New Roman" w:cs="Times New Roman"/>
          <w:color w:val="000000"/>
        </w:rPr>
        <w:t xml:space="preserve">. Riprese le molte determinazioni della sostanza nell’unità della medesima, segue uno sviluppo dell’identità assoluta, o del fondamento assoluto, che s’impernia sul carattere essenzialmente contraddittorio dell’effettuale. </w:t>
      </w:r>
      <w:r w:rsidR="001B7751" w:rsidRPr="00B55AD6">
        <w:rPr>
          <w:rFonts w:ascii="Times New Roman" w:eastAsia="Times New Roman" w:hAnsi="Times New Roman" w:cs="Times New Roman"/>
          <w:color w:val="000000"/>
        </w:rPr>
        <w:t xml:space="preserve">La </w:t>
      </w:r>
      <w:r w:rsidR="001B7751" w:rsidRPr="00B55AD6">
        <w:rPr>
          <w:rFonts w:ascii="Times New Roman" w:eastAsia="Times New Roman" w:hAnsi="Times New Roman" w:cs="Times New Roman"/>
          <w:i/>
          <w:color w:val="000000"/>
        </w:rPr>
        <w:t>Monadologie</w:t>
      </w:r>
      <w:r w:rsidR="001B7751" w:rsidRPr="00B55AD6">
        <w:rPr>
          <w:rFonts w:ascii="Times New Roman" w:eastAsia="Times New Roman" w:hAnsi="Times New Roman" w:cs="Times New Roman"/>
          <w:color w:val="000000"/>
        </w:rPr>
        <w:t xml:space="preserve"> leibniziana è ricondotta nel fondamento dell’ontologia spinoziana e quest’ultima, a sua volta, è spinta fuori di sé grazie al recupero di una nozione di negatività d’ispirazione böhmiana.</w:t>
      </w:r>
      <w:r w:rsidR="001B7751">
        <w:rPr>
          <w:rFonts w:ascii="Times New Roman" w:eastAsia="Times New Roman" w:hAnsi="Times New Roman" w:cs="Times New Roman"/>
          <w:color w:val="000000"/>
        </w:rPr>
        <w:t xml:space="preserve"> </w:t>
      </w:r>
    </w:p>
    <w:p w14:paraId="4381F6C2" w14:textId="77777777" w:rsidR="001B7751" w:rsidRPr="003E5C2F" w:rsidRDefault="001B7751" w:rsidP="001B7751">
      <w:pPr>
        <w:pStyle w:val="Paragrafoelenco"/>
        <w:spacing w:line="360" w:lineRule="auto"/>
        <w:ind w:left="0" w:firstLine="567"/>
        <w:jc w:val="both"/>
        <w:rPr>
          <w:rFonts w:ascii="Times New Roman" w:eastAsia="Times New Roman" w:hAnsi="Times New Roman" w:cs="Times New Roman"/>
          <w:color w:val="000000"/>
          <w:highlight w:val="cyan"/>
        </w:rPr>
      </w:pPr>
      <w:r w:rsidRPr="000A1F7F">
        <w:rPr>
          <w:rFonts w:ascii="Times New Roman" w:eastAsia="Times New Roman" w:hAnsi="Times New Roman" w:cs="Times New Roman"/>
          <w:color w:val="000000"/>
        </w:rPr>
        <w:t>Date sono quelle condizioni che permettono di concepire l’</w:t>
      </w:r>
      <w:r w:rsidRPr="000A1F7F">
        <w:rPr>
          <w:rFonts w:ascii="Times New Roman" w:eastAsia="Times New Roman" w:hAnsi="Times New Roman" w:cs="Times New Roman"/>
          <w:i/>
          <w:color w:val="000000"/>
        </w:rPr>
        <w:t xml:space="preserve">Auslegung des Absoluten </w:t>
      </w:r>
      <w:r w:rsidRPr="000A1F7F">
        <w:rPr>
          <w:rFonts w:ascii="Times New Roman" w:eastAsia="Times New Roman" w:hAnsi="Times New Roman" w:cs="Times New Roman"/>
          <w:color w:val="000000"/>
        </w:rPr>
        <w:t xml:space="preserve">come una dinamica di traduzione di sé nell’altro da sé. La presenzialità di queste </w:t>
      </w:r>
      <w:r w:rsidRPr="000A1F7F">
        <w:rPr>
          <w:rFonts w:ascii="Times New Roman" w:eastAsia="Times New Roman" w:hAnsi="Times New Roman" w:cs="Times New Roman"/>
          <w:i/>
          <w:color w:val="000000"/>
          <w:lang w:val="de-DE"/>
        </w:rPr>
        <w:t>Bedingungen</w:t>
      </w:r>
      <w:r w:rsidRPr="000A1F7F">
        <w:rPr>
          <w:rFonts w:ascii="Times New Roman" w:eastAsia="Times New Roman" w:hAnsi="Times New Roman" w:cs="Times New Roman"/>
          <w:color w:val="000000"/>
        </w:rPr>
        <w:t>, però, non costituisce ancora una garanzia del superamento della trasposizione non-lineare dell’interno verso l’esterno.</w:t>
      </w:r>
      <w:r w:rsidRPr="003E5C2F">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In effetti, r</w:t>
      </w:r>
      <w:r w:rsidRPr="003E5C2F">
        <w:rPr>
          <w:rFonts w:ascii="Times New Roman" w:eastAsia="Times New Roman" w:hAnsi="Times New Roman" w:cs="Times New Roman"/>
          <w:color w:val="000000"/>
        </w:rPr>
        <w:t xml:space="preserve">iguardo alla prima estrinsecazione della sostanza negli accidenti, Hegel osserva che essa, in quanto </w:t>
      </w:r>
      <w:r w:rsidRPr="00FC5232">
        <w:rPr>
          <w:rFonts w:ascii="Times New Roman" w:eastAsia="Times New Roman" w:hAnsi="Times New Roman" w:cs="Times New Roman"/>
          <w:color w:val="000000"/>
        </w:rPr>
        <w:t>«</w:t>
      </w:r>
      <w:r w:rsidRPr="00FC5232">
        <w:rPr>
          <w:rFonts w:ascii="Times New Roman" w:eastAsia="Times New Roman" w:hAnsi="Times New Roman" w:cs="Times New Roman"/>
          <w:color w:val="000000"/>
          <w:lang w:val="de-DE"/>
        </w:rPr>
        <w:t>scheinende Totalität»</w:t>
      </w:r>
      <w:r w:rsidRPr="00FC5232">
        <w:rPr>
          <w:rStyle w:val="Rimandonotaapidipagina"/>
          <w:rFonts w:ascii="Times New Roman" w:eastAsia="Times New Roman" w:hAnsi="Times New Roman" w:cs="Times New Roman"/>
          <w:color w:val="000000"/>
        </w:rPr>
        <w:footnoteReference w:id="475"/>
      </w:r>
      <w:r w:rsidRPr="00FC5232">
        <w:rPr>
          <w:rFonts w:ascii="Times New Roman" w:eastAsia="Times New Roman" w:hAnsi="Times New Roman" w:cs="Times New Roman"/>
          <w:color w:val="000000"/>
          <w:lang w:val="de-DE"/>
        </w:rPr>
        <w:t>,</w:t>
      </w:r>
      <w:r w:rsidRPr="00FC5232">
        <w:rPr>
          <w:rFonts w:ascii="Times New Roman" w:eastAsia="Times New Roman" w:hAnsi="Times New Roman" w:cs="Times New Roman"/>
          <w:color w:val="000000"/>
        </w:rPr>
        <w:t xml:space="preserve"> non dà forma a nessuna</w:t>
      </w:r>
      <w:r w:rsidRPr="003E5C2F">
        <w:rPr>
          <w:rFonts w:ascii="Times New Roman" w:eastAsia="Times New Roman" w:hAnsi="Times New Roman" w:cs="Times New Roman"/>
          <w:color w:val="000000"/>
        </w:rPr>
        <w:t xml:space="preserve"> differenza reale. Gli accidenti, infatti, sono dei possibili che sono in virtù della sostanza: il loro nascere e perire si delinea come un movimento d’ingresso nella realtà e di ritorno nella pura e semplice possibilità. In questo divenire, perché di divenire si tratta, la sostanza si manifesta </w:t>
      </w:r>
      <w:r w:rsidRPr="00BE67B4">
        <w:rPr>
          <w:rFonts w:ascii="Times New Roman" w:eastAsia="Times New Roman" w:hAnsi="Times New Roman" w:cs="Times New Roman"/>
          <w:color w:val="000000"/>
        </w:rPr>
        <w:t>«als schaffende […]</w:t>
      </w:r>
      <w:r>
        <w:rPr>
          <w:rFonts w:ascii="Times New Roman" w:eastAsia="Times New Roman" w:hAnsi="Times New Roman" w:cs="Times New Roman"/>
          <w:color w:val="000000"/>
        </w:rPr>
        <w:t xml:space="preserve"> [und] als zerstörende Macht</w:t>
      </w:r>
      <w:r w:rsidRPr="00BE67B4">
        <w:rPr>
          <w:rFonts w:ascii="Times New Roman" w:eastAsia="Times New Roman" w:hAnsi="Times New Roman" w:cs="Times New Roman"/>
          <w:color w:val="000000"/>
          <w:lang w:val="de-DE"/>
        </w:rPr>
        <w:t>»</w:t>
      </w:r>
      <w:r w:rsidRPr="00BE67B4">
        <w:rPr>
          <w:rStyle w:val="Rimandonotaapidipagina"/>
          <w:rFonts w:ascii="Times New Roman" w:eastAsia="Times New Roman" w:hAnsi="Times New Roman" w:cs="Times New Roman"/>
          <w:color w:val="000000"/>
        </w:rPr>
        <w:footnoteReference w:id="476"/>
      </w:r>
      <w:r w:rsidRPr="00BE67B4">
        <w:rPr>
          <w:rFonts w:ascii="Times New Roman" w:eastAsia="Times New Roman" w:hAnsi="Times New Roman" w:cs="Times New Roman"/>
          <w:color w:val="000000"/>
          <w:lang w:val="de-DE"/>
        </w:rPr>
        <w:t xml:space="preserve">. </w:t>
      </w:r>
      <w:r w:rsidRPr="003E5C2F">
        <w:rPr>
          <w:rFonts w:ascii="Times New Roman" w:eastAsia="Times New Roman" w:hAnsi="Times New Roman" w:cs="Times New Roman"/>
          <w:color w:val="000000"/>
        </w:rPr>
        <w:t xml:space="preserve">Alle manifestazioni accidentali, proprio in virtù del loro essere soggette alla legge del nascere e del perire, è coessenziale un carattere prettamente transitorio e negativo. Citando Hegel: </w:t>
      </w:r>
    </w:p>
    <w:p w14:paraId="6BE4509B" w14:textId="77777777" w:rsidR="001B7751" w:rsidRDefault="001B7751" w:rsidP="001B7751">
      <w:pPr>
        <w:pStyle w:val="Paragrafoelenco"/>
        <w:spacing w:line="360" w:lineRule="auto"/>
        <w:ind w:left="708" w:firstLine="567"/>
        <w:jc w:val="both"/>
        <w:rPr>
          <w:rFonts w:ascii="Times New Roman" w:eastAsia="Times New Roman" w:hAnsi="Times New Roman" w:cs="Times New Roman"/>
          <w:color w:val="000000"/>
        </w:rPr>
      </w:pPr>
    </w:p>
    <w:p w14:paraId="30F54C3C" w14:textId="77777777" w:rsidR="001B7751" w:rsidRPr="00BE67B4" w:rsidRDefault="001B7751" w:rsidP="001B7751">
      <w:pPr>
        <w:pStyle w:val="Paragrafoelenco"/>
        <w:spacing w:line="360" w:lineRule="auto"/>
        <w:ind w:left="567" w:firstLine="567"/>
        <w:jc w:val="both"/>
        <w:rPr>
          <w:rFonts w:ascii="Times New Roman" w:eastAsia="Times New Roman" w:hAnsi="Times New Roman" w:cs="Times New Roman"/>
          <w:color w:val="000000"/>
          <w:sz w:val="20"/>
          <w:szCs w:val="20"/>
          <w:lang w:val="de-DE"/>
        </w:rPr>
      </w:pPr>
      <w:r w:rsidRPr="00BE67B4">
        <w:rPr>
          <w:rFonts w:ascii="Times New Roman" w:eastAsia="Times New Roman" w:hAnsi="Times New Roman" w:cs="Times New Roman"/>
          <w:color w:val="000000"/>
          <w:sz w:val="20"/>
          <w:szCs w:val="20"/>
        </w:rPr>
        <w:t>«</w:t>
      </w:r>
      <w:r w:rsidRPr="00BE67B4">
        <w:rPr>
          <w:rFonts w:ascii="Times New Roman" w:eastAsia="Times New Roman" w:hAnsi="Times New Roman" w:cs="Times New Roman"/>
          <w:color w:val="000000"/>
          <w:sz w:val="20"/>
          <w:szCs w:val="20"/>
          <w:lang w:val="de-DE"/>
        </w:rPr>
        <w:t>Die Substantialität ist daher nur Verhältniß als unmittelbar verschwinden, sie bezieht sich nur auf sich nicht als Negatives, ist als die unmittelbare Einheit der Macht mit sich selbst in der Form nur ihrer Identität, nicht ihres negativen Wesens; nur das eine Moment, nemlich das Negative oder der Unterschied, ist das schlecthin verschwindende, nicht aber das andere, das identische»</w:t>
      </w:r>
      <w:r w:rsidRPr="00BE67B4">
        <w:rPr>
          <w:rStyle w:val="Rimandonotaapidipagina"/>
          <w:rFonts w:ascii="Times New Roman" w:eastAsia="Times New Roman" w:hAnsi="Times New Roman" w:cs="Times New Roman"/>
          <w:color w:val="000000"/>
          <w:sz w:val="20"/>
          <w:szCs w:val="20"/>
          <w:lang w:val="de-DE"/>
        </w:rPr>
        <w:footnoteReference w:id="477"/>
      </w:r>
      <w:r w:rsidRPr="00BE67B4">
        <w:rPr>
          <w:rFonts w:ascii="Times New Roman" w:eastAsia="Times New Roman" w:hAnsi="Times New Roman" w:cs="Times New Roman"/>
          <w:color w:val="000000"/>
          <w:sz w:val="20"/>
          <w:szCs w:val="20"/>
          <w:lang w:val="de-DE"/>
        </w:rPr>
        <w:t>.</w:t>
      </w:r>
    </w:p>
    <w:p w14:paraId="4D7A7270" w14:textId="77777777" w:rsidR="001B7751" w:rsidRPr="00BE67B4" w:rsidRDefault="001B7751" w:rsidP="001B7751">
      <w:pPr>
        <w:pStyle w:val="Paragrafoelenco"/>
        <w:spacing w:line="360" w:lineRule="auto"/>
        <w:ind w:left="1275" w:firstLine="567"/>
        <w:jc w:val="both"/>
        <w:rPr>
          <w:rFonts w:ascii="Times New Roman" w:eastAsia="Times New Roman" w:hAnsi="Times New Roman" w:cs="Times New Roman"/>
          <w:color w:val="000000"/>
          <w:lang w:val="de-DE"/>
        </w:rPr>
      </w:pPr>
    </w:p>
    <w:p w14:paraId="6D8507F4" w14:textId="27D08224" w:rsidR="001B7751" w:rsidRPr="002C7DEE" w:rsidRDefault="001B7751" w:rsidP="001B7751">
      <w:pPr>
        <w:pStyle w:val="Paragrafoelenco"/>
        <w:spacing w:line="360" w:lineRule="auto"/>
        <w:ind w:left="0" w:firstLine="567"/>
        <w:jc w:val="both"/>
        <w:rPr>
          <w:rFonts w:ascii="Times New Roman" w:eastAsia="Times New Roman" w:hAnsi="Times New Roman" w:cs="Times New Roman"/>
          <w:color w:val="000000"/>
        </w:rPr>
      </w:pPr>
      <w:r w:rsidRPr="004D18A6">
        <w:rPr>
          <w:rFonts w:ascii="Times New Roman" w:eastAsia="Times New Roman" w:hAnsi="Times New Roman" w:cs="Times New Roman"/>
          <w:color w:val="000000"/>
        </w:rPr>
        <w:t>La differenza, ossia la sfera degli accidenti</w:t>
      </w:r>
      <w:r>
        <w:rPr>
          <w:rFonts w:ascii="Times New Roman" w:eastAsia="Times New Roman" w:hAnsi="Times New Roman" w:cs="Times New Roman"/>
          <w:color w:val="000000"/>
        </w:rPr>
        <w:t>, è dotata di una semplice negatività dileguante. Quest’ultima è restituita dal ricorso al termine “</w:t>
      </w:r>
      <w:r w:rsidRPr="00775E54">
        <w:rPr>
          <w:rFonts w:ascii="Times New Roman" w:eastAsia="Times New Roman" w:hAnsi="Times New Roman" w:cs="Times New Roman"/>
          <w:i/>
          <w:color w:val="000000"/>
          <w:lang w:val="de-DE"/>
        </w:rPr>
        <w:t>verschwinden</w:t>
      </w:r>
      <w:r>
        <w:rPr>
          <w:rFonts w:ascii="Times New Roman" w:eastAsia="Times New Roman" w:hAnsi="Times New Roman" w:cs="Times New Roman"/>
          <w:color w:val="000000"/>
        </w:rPr>
        <w:t xml:space="preserve">”, che, come sappiamo, è dinamica relazionale del passare e del dileguare dell’essere nel nulla e del nulla nell’essere. Il termine differenziato non è in sé l’identico, non è il togliere e riprendere sé nell’altro da sé. L’accidente è nella misura in cui dilegua: la sostanza è, così, </w:t>
      </w:r>
      <w:r w:rsidRPr="00BE67B4">
        <w:rPr>
          <w:rFonts w:ascii="Times New Roman" w:eastAsia="Times New Roman" w:hAnsi="Times New Roman" w:cs="Times New Roman"/>
          <w:color w:val="000000"/>
        </w:rPr>
        <w:t>«</w:t>
      </w:r>
      <w:r w:rsidRPr="00BE67B4">
        <w:rPr>
          <w:rFonts w:ascii="Times New Roman" w:eastAsia="Times New Roman" w:hAnsi="Times New Roman" w:cs="Times New Roman"/>
          <w:color w:val="000000"/>
          <w:lang w:val="de-DE"/>
        </w:rPr>
        <w:t>formelle Macht, deren Unterschiede nicht substantiell sind»</w:t>
      </w:r>
      <w:r w:rsidRPr="00BE67B4">
        <w:rPr>
          <w:rStyle w:val="Rimandonotaapidipagina"/>
          <w:rFonts w:ascii="Times New Roman" w:eastAsia="Times New Roman" w:hAnsi="Times New Roman" w:cs="Times New Roman"/>
          <w:color w:val="000000"/>
          <w:lang w:val="de-DE"/>
        </w:rPr>
        <w:footnoteReference w:id="478"/>
      </w:r>
      <w:r w:rsidRPr="00BE67B4">
        <w:rPr>
          <w:rFonts w:ascii="Times New Roman" w:eastAsia="Times New Roman" w:hAnsi="Times New Roman" w:cs="Times New Roman"/>
          <w:color w:val="000000"/>
          <w:lang w:val="de-DE"/>
        </w:rPr>
        <w:t xml:space="preserve">. </w:t>
      </w:r>
      <w:r w:rsidRPr="00BE67B4">
        <w:rPr>
          <w:rFonts w:ascii="Times New Roman" w:eastAsia="Times New Roman" w:hAnsi="Times New Roman" w:cs="Times New Roman"/>
          <w:color w:val="000000"/>
        </w:rPr>
        <w:t>Il rapporto fra sostanza e accidenti costituisce quella che Hegel chiama «</w:t>
      </w:r>
      <w:r w:rsidRPr="00BE67B4">
        <w:rPr>
          <w:rFonts w:ascii="Times New Roman" w:eastAsia="Times New Roman" w:hAnsi="Times New Roman" w:cs="Times New Roman"/>
          <w:color w:val="000000"/>
          <w:lang w:val="de-DE"/>
        </w:rPr>
        <w:t>die scheinende Totalität des Werdens»</w:t>
      </w:r>
      <w:r w:rsidRPr="00BE67B4">
        <w:rPr>
          <w:rStyle w:val="Rimandonotaapidipagina"/>
          <w:rFonts w:ascii="Times New Roman" w:eastAsia="Times New Roman" w:hAnsi="Times New Roman" w:cs="Times New Roman"/>
          <w:color w:val="000000"/>
          <w:lang w:val="de-DE"/>
        </w:rPr>
        <w:footnoteReference w:id="479"/>
      </w:r>
      <w:r w:rsidRPr="00BE67B4">
        <w:rPr>
          <w:rFonts w:ascii="Times New Roman" w:eastAsia="Times New Roman" w:hAnsi="Times New Roman" w:cs="Times New Roman"/>
          <w:color w:val="000000"/>
        </w:rPr>
        <w:t xml:space="preserve">. </w:t>
      </w:r>
      <w:r w:rsidRPr="001E0268">
        <w:rPr>
          <w:rFonts w:ascii="Times New Roman" w:eastAsia="Times New Roman" w:hAnsi="Times New Roman" w:cs="Times New Roman"/>
          <w:color w:val="000000"/>
        </w:rPr>
        <w:t xml:space="preserve">L’apparente totalità del divenire esclude da </w:t>
      </w:r>
      <w:r>
        <w:rPr>
          <w:rFonts w:ascii="Times New Roman" w:eastAsia="Times New Roman" w:hAnsi="Times New Roman" w:cs="Times New Roman"/>
          <w:color w:val="000000"/>
        </w:rPr>
        <w:t xml:space="preserve">sé la riflessione </w:t>
      </w:r>
      <w:r w:rsidRPr="001E0268">
        <w:rPr>
          <w:rFonts w:ascii="Times New Roman" w:eastAsia="Times New Roman" w:hAnsi="Times New Roman" w:cs="Times New Roman"/>
          <w:color w:val="000000"/>
        </w:rPr>
        <w:t>i</w:t>
      </w:r>
      <w:r>
        <w:rPr>
          <w:rFonts w:ascii="Times New Roman" w:eastAsia="Times New Roman" w:hAnsi="Times New Roman" w:cs="Times New Roman"/>
          <w:color w:val="000000"/>
        </w:rPr>
        <w:t>n sé</w:t>
      </w:r>
      <w:r w:rsidRPr="001E0268">
        <w:rPr>
          <w:rFonts w:ascii="Times New Roman" w:eastAsia="Times New Roman" w:hAnsi="Times New Roman" w:cs="Times New Roman"/>
          <w:color w:val="000000"/>
        </w:rPr>
        <w:t xml:space="preserve"> delle determinazioni attualizzate dalla sostanza.</w:t>
      </w:r>
      <w:r>
        <w:rPr>
          <w:rFonts w:ascii="Times New Roman" w:eastAsia="Times New Roman" w:hAnsi="Times New Roman" w:cs="Times New Roman"/>
          <w:color w:val="000000"/>
          <w:lang w:val="de-DE"/>
        </w:rPr>
        <w:t xml:space="preserve"> </w:t>
      </w:r>
      <w:r>
        <w:rPr>
          <w:rFonts w:ascii="Times New Roman" w:eastAsia="Times New Roman" w:hAnsi="Times New Roman" w:cs="Times New Roman"/>
          <w:color w:val="000000"/>
        </w:rPr>
        <w:t xml:space="preserve">Divengono più chiare, a questo punto, le parole di Hegel, che definiscono la sostanza come </w:t>
      </w:r>
      <w:r w:rsidRPr="00BE67B4">
        <w:rPr>
          <w:rFonts w:ascii="Times New Roman" w:eastAsia="Times New Roman" w:hAnsi="Times New Roman" w:cs="Times New Roman"/>
          <w:color w:val="000000"/>
        </w:rPr>
        <w:t>«</w:t>
      </w:r>
      <w:r w:rsidRPr="00BE67B4">
        <w:rPr>
          <w:rFonts w:ascii="Times New Roman" w:eastAsia="Times New Roman" w:hAnsi="Times New Roman" w:cs="Times New Roman"/>
          <w:color w:val="000000"/>
          <w:lang w:val="de-DE"/>
        </w:rPr>
        <w:t>ruhiges Hervorgehen ihrer selbst»</w:t>
      </w:r>
      <w:r w:rsidRPr="00BE67B4">
        <w:rPr>
          <w:rStyle w:val="Rimandonotaapidipagina"/>
          <w:rFonts w:ascii="Times New Roman" w:eastAsia="Times New Roman" w:hAnsi="Times New Roman" w:cs="Times New Roman"/>
          <w:color w:val="000000"/>
          <w:lang w:val="de-DE"/>
        </w:rPr>
        <w:footnoteReference w:id="480"/>
      </w:r>
      <w:r w:rsidRPr="00BE67B4">
        <w:rPr>
          <w:rFonts w:ascii="Times New Roman" w:eastAsia="Times New Roman" w:hAnsi="Times New Roman" w:cs="Times New Roman"/>
          <w:color w:val="000000"/>
          <w:lang w:val="de-DE"/>
        </w:rPr>
        <w:t>:</w:t>
      </w:r>
      <w:r>
        <w:rPr>
          <w:rFonts w:ascii="Times New Roman" w:eastAsia="Times New Roman" w:hAnsi="Times New Roman" w:cs="Times New Roman"/>
          <w:color w:val="000000"/>
          <w:lang w:val="de-DE"/>
        </w:rPr>
        <w:t xml:space="preserve"> </w:t>
      </w:r>
      <w:r>
        <w:rPr>
          <w:rFonts w:ascii="Times New Roman" w:eastAsia="Times New Roman" w:hAnsi="Times New Roman" w:cs="Times New Roman"/>
          <w:color w:val="000000"/>
        </w:rPr>
        <w:t>n</w:t>
      </w:r>
      <w:r w:rsidRPr="006C041C">
        <w:rPr>
          <w:rFonts w:ascii="Times New Roman" w:eastAsia="Times New Roman" w:hAnsi="Times New Roman" w:cs="Times New Roman"/>
          <w:color w:val="000000"/>
        </w:rPr>
        <w:t xml:space="preserve">el </w:t>
      </w:r>
      <w:r>
        <w:rPr>
          <w:rFonts w:ascii="Times New Roman" w:eastAsia="Times New Roman" w:hAnsi="Times New Roman" w:cs="Times New Roman"/>
          <w:color w:val="000000"/>
        </w:rPr>
        <w:t xml:space="preserve">quieto </w:t>
      </w:r>
      <w:r w:rsidRPr="006C041C">
        <w:rPr>
          <w:rFonts w:ascii="Times New Roman" w:eastAsia="Times New Roman" w:hAnsi="Times New Roman" w:cs="Times New Roman"/>
          <w:color w:val="000000"/>
        </w:rPr>
        <w:t>sorgere della sostanza</w:t>
      </w:r>
      <w:r>
        <w:rPr>
          <w:rFonts w:ascii="Times New Roman" w:eastAsia="Times New Roman" w:hAnsi="Times New Roman" w:cs="Times New Roman"/>
          <w:color w:val="000000"/>
        </w:rPr>
        <w:t>, o nel suo manifestarsi come totalità apparente del divenire, non si ha nessuna autentica differenziazione dell’identità assoluta. Q</w:t>
      </w:r>
      <w:r w:rsidRPr="00B6769C">
        <w:rPr>
          <w:rFonts w:ascii="Times New Roman" w:eastAsia="Times New Roman" w:hAnsi="Times New Roman" w:cs="Times New Roman"/>
          <w:color w:val="000000"/>
        </w:rPr>
        <w:t>uesto primo tradursi della sostanza nei suoi accidenti è</w:t>
      </w:r>
      <w:r>
        <w:rPr>
          <w:rFonts w:ascii="Times New Roman" w:eastAsia="Times New Roman" w:hAnsi="Times New Roman" w:cs="Times New Roman"/>
          <w:color w:val="000000"/>
        </w:rPr>
        <w:t>, pertanto, un</w:t>
      </w:r>
      <w:r w:rsidRPr="00B6769C">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puro</w:t>
      </w:r>
      <w:r w:rsidRPr="00B6769C">
        <w:rPr>
          <w:rFonts w:ascii="Times New Roman" w:eastAsia="Times New Roman" w:hAnsi="Times New Roman" w:cs="Times New Roman"/>
          <w:color w:val="000000"/>
        </w:rPr>
        <w:t xml:space="preserve"> e semplice</w:t>
      </w:r>
      <w:r>
        <w:rPr>
          <w:rFonts w:ascii="Times New Roman" w:eastAsia="Times New Roman" w:hAnsi="Times New Roman" w:cs="Times New Roman"/>
          <w:color w:val="000000"/>
        </w:rPr>
        <w:t xml:space="preserve"> </w:t>
      </w:r>
      <w:r w:rsidRPr="00775E54">
        <w:rPr>
          <w:rFonts w:ascii="Times New Roman" w:eastAsia="Times New Roman" w:hAnsi="Times New Roman" w:cs="Times New Roman"/>
          <w:i/>
          <w:color w:val="000000"/>
          <w:lang w:val="de-DE"/>
        </w:rPr>
        <w:t>Scheinen des Auslegens</w:t>
      </w:r>
      <w:r>
        <w:rPr>
          <w:rFonts w:ascii="Times New Roman" w:eastAsia="Times New Roman" w:hAnsi="Times New Roman" w:cs="Times New Roman"/>
          <w:color w:val="000000"/>
        </w:rPr>
        <w:t xml:space="preserve">. </w:t>
      </w:r>
      <w:r w:rsidRPr="002C7DEE">
        <w:rPr>
          <w:rFonts w:ascii="Times New Roman" w:eastAsia="Times New Roman" w:hAnsi="Times New Roman" w:cs="Times New Roman"/>
          <w:color w:val="000000"/>
        </w:rPr>
        <w:t xml:space="preserve">È proprio da questa </w:t>
      </w:r>
      <w:r w:rsidRPr="002C7DEE">
        <w:rPr>
          <w:rFonts w:ascii="Times New Roman" w:eastAsia="Times New Roman" w:hAnsi="Times New Roman" w:cs="Times New Roman"/>
          <w:i/>
          <w:color w:val="000000"/>
        </w:rPr>
        <w:t>parvenza dell’esporre</w:t>
      </w:r>
      <w:r w:rsidRPr="002C7DEE">
        <w:rPr>
          <w:rFonts w:ascii="Times New Roman" w:eastAsia="Times New Roman" w:hAnsi="Times New Roman" w:cs="Times New Roman"/>
          <w:color w:val="000000"/>
        </w:rPr>
        <w:t xml:space="preserve"> che segue l’impellenza teorica di pensare l’alterità non tanto come dileguante, quanto come in sé riflessa. Nelle battute conclusive del </w:t>
      </w:r>
      <w:r w:rsidRPr="002C7DEE">
        <w:rPr>
          <w:rFonts w:ascii="Times New Roman" w:eastAsia="Times New Roman" w:hAnsi="Times New Roman" w:cs="Times New Roman"/>
          <w:i/>
          <w:color w:val="000000"/>
        </w:rPr>
        <w:t>Verhältniss der Substantialität</w:t>
      </w:r>
      <w:r w:rsidRPr="002C7DEE">
        <w:rPr>
          <w:rFonts w:ascii="Times New Roman" w:eastAsia="Times New Roman" w:hAnsi="Times New Roman" w:cs="Times New Roman"/>
          <w:color w:val="000000"/>
        </w:rPr>
        <w:t xml:space="preserve">, Hegel scrive che </w:t>
      </w:r>
      <w:r w:rsidRPr="00BE67B4">
        <w:rPr>
          <w:rFonts w:ascii="Times New Roman" w:eastAsia="Times New Roman" w:hAnsi="Times New Roman" w:cs="Times New Roman"/>
          <w:color w:val="000000"/>
        </w:rPr>
        <w:t>«</w:t>
      </w:r>
      <w:r w:rsidRPr="00BE67B4">
        <w:rPr>
          <w:rFonts w:ascii="Times New Roman" w:eastAsia="Times New Roman" w:hAnsi="Times New Roman" w:cs="Times New Roman"/>
          <w:color w:val="000000"/>
          <w:lang w:val="de-DE"/>
        </w:rPr>
        <w:t>die Accidentalität, die an sich Substanz ist, ist eben darum gesetzt als solche; so ist sie bestimmt als sich auf sich beziehende Negativität, gegen sich, bestimmt als sich auf sich beziehende einfache Identität mit sich»</w:t>
      </w:r>
      <w:r w:rsidRPr="00BE67B4">
        <w:rPr>
          <w:rStyle w:val="Rimandonotaapidipagina"/>
          <w:rFonts w:ascii="Times New Roman" w:eastAsia="Times New Roman" w:hAnsi="Times New Roman" w:cs="Times New Roman"/>
          <w:color w:val="000000"/>
          <w:lang w:val="de-DE"/>
        </w:rPr>
        <w:footnoteReference w:id="481"/>
      </w:r>
      <w:r w:rsidRPr="00BE67B4">
        <w:rPr>
          <w:rFonts w:ascii="Times New Roman" w:eastAsia="Times New Roman" w:hAnsi="Times New Roman" w:cs="Times New Roman"/>
          <w:color w:val="000000"/>
          <w:lang w:val="de-DE"/>
        </w:rPr>
        <w:t>.</w:t>
      </w:r>
      <w:r w:rsidRPr="002C7DEE">
        <w:rPr>
          <w:rFonts w:ascii="Times New Roman" w:eastAsia="Times New Roman" w:hAnsi="Times New Roman" w:cs="Times New Roman"/>
          <w:color w:val="000000"/>
          <w:lang w:val="de-DE"/>
        </w:rPr>
        <w:t xml:space="preserve"> </w:t>
      </w:r>
      <w:r w:rsidRPr="002C7DEE">
        <w:rPr>
          <w:rFonts w:ascii="Times New Roman" w:eastAsia="Times New Roman" w:hAnsi="Times New Roman" w:cs="Times New Roman"/>
          <w:color w:val="000000"/>
        </w:rPr>
        <w:t>L’accidentalità, dunque,</w:t>
      </w:r>
      <w:r w:rsidRPr="002C7DEE">
        <w:rPr>
          <w:rFonts w:ascii="Times New Roman" w:eastAsia="Times New Roman" w:hAnsi="Times New Roman" w:cs="Times New Roman"/>
          <w:color w:val="000000"/>
          <w:lang w:val="de-DE"/>
        </w:rPr>
        <w:t xml:space="preserve"> è </w:t>
      </w:r>
      <w:r w:rsidRPr="002C7DEE">
        <w:rPr>
          <w:rFonts w:ascii="Times New Roman" w:eastAsia="Times New Roman" w:hAnsi="Times New Roman" w:cs="Times New Roman"/>
          <w:color w:val="000000"/>
        </w:rPr>
        <w:t xml:space="preserve">posta anch’essa come sostanza, come identità con sé riferentesi a sé, ossia differenza in sé riflessa. Così delineato, l’accidente è la determinazione di una sostanza che è </w:t>
      </w:r>
      <w:r w:rsidRPr="00BE67B4">
        <w:rPr>
          <w:rFonts w:ascii="Times New Roman" w:eastAsia="Times New Roman" w:hAnsi="Times New Roman" w:cs="Times New Roman"/>
          <w:color w:val="000000"/>
        </w:rPr>
        <w:t>«</w:t>
      </w:r>
      <w:r w:rsidRPr="00BE67B4">
        <w:rPr>
          <w:rFonts w:ascii="Times New Roman" w:eastAsia="Times New Roman" w:hAnsi="Times New Roman" w:cs="Times New Roman"/>
          <w:color w:val="000000"/>
          <w:lang w:val="de-DE"/>
        </w:rPr>
        <w:t>in sich reflectierte nicht bloß übergehende, sondern die Bestimmungen setzende und von sich unterscheidende Macht»</w:t>
      </w:r>
      <w:r w:rsidRPr="00BE67B4">
        <w:rPr>
          <w:rStyle w:val="Rimandonotaapidipagina"/>
          <w:rFonts w:ascii="Times New Roman" w:eastAsia="Times New Roman" w:hAnsi="Times New Roman" w:cs="Times New Roman"/>
          <w:color w:val="000000"/>
        </w:rPr>
        <w:footnoteReference w:id="482"/>
      </w:r>
      <w:r w:rsidRPr="00BE67B4">
        <w:rPr>
          <w:rFonts w:ascii="Times New Roman" w:eastAsia="Times New Roman" w:hAnsi="Times New Roman" w:cs="Times New Roman"/>
          <w:color w:val="000000"/>
          <w:lang w:val="de-DE"/>
        </w:rPr>
        <w:t>.</w:t>
      </w:r>
      <w:r>
        <w:rPr>
          <w:rFonts w:ascii="Times New Roman" w:eastAsia="Times New Roman" w:hAnsi="Times New Roman" w:cs="Times New Roman"/>
          <w:color w:val="000000"/>
          <w:lang w:val="de-DE"/>
        </w:rPr>
        <w:t xml:space="preserve"> </w:t>
      </w:r>
      <w:r w:rsidRPr="002C7DEE">
        <w:rPr>
          <w:rFonts w:ascii="Times New Roman" w:eastAsia="Times New Roman" w:hAnsi="Times New Roman" w:cs="Times New Roman"/>
          <w:color w:val="000000"/>
        </w:rPr>
        <w:t>Il rapporto sostanziale si sviluppa fino a</w:t>
      </w:r>
      <w:r w:rsidRPr="002C7DEE">
        <w:rPr>
          <w:rFonts w:ascii="Times New Roman" w:eastAsia="Times New Roman" w:hAnsi="Times New Roman" w:cs="Times New Roman"/>
          <w:i/>
          <w:color w:val="000000"/>
        </w:rPr>
        <w:t xml:space="preserve"> Causalitätsverhältnis</w:t>
      </w:r>
      <w:r w:rsidRPr="002C7DEE">
        <w:rPr>
          <w:rFonts w:ascii="Times New Roman" w:eastAsia="Times New Roman" w:hAnsi="Times New Roman" w:cs="Times New Roman"/>
          <w:color w:val="000000"/>
        </w:rPr>
        <w:t>. La sostanza, in quanto pone e distingue le proprie determinazioni, è da considerarsi come causa (</w:t>
      </w:r>
      <w:r w:rsidRPr="002C7DEE">
        <w:rPr>
          <w:rFonts w:ascii="Times New Roman" w:eastAsia="Times New Roman" w:hAnsi="Times New Roman" w:cs="Times New Roman"/>
          <w:i/>
          <w:color w:val="000000"/>
        </w:rPr>
        <w:t>Ursache</w:t>
      </w:r>
      <w:r w:rsidRPr="002C7DEE">
        <w:rPr>
          <w:rFonts w:ascii="Times New Roman" w:eastAsia="Times New Roman" w:hAnsi="Times New Roman" w:cs="Times New Roman"/>
          <w:color w:val="000000"/>
        </w:rPr>
        <w:t>). Similarmente, ciò che è posto e distinto</w:t>
      </w:r>
      <w:r>
        <w:rPr>
          <w:rFonts w:ascii="Times New Roman" w:eastAsia="Times New Roman" w:hAnsi="Times New Roman" w:cs="Times New Roman"/>
          <w:color w:val="000000"/>
        </w:rPr>
        <w:t>,</w:t>
      </w:r>
      <w:r w:rsidRPr="002C7DEE">
        <w:rPr>
          <w:rFonts w:ascii="Times New Roman" w:eastAsia="Times New Roman" w:hAnsi="Times New Roman" w:cs="Times New Roman"/>
          <w:color w:val="000000"/>
        </w:rPr>
        <w:t xml:space="preserve"> è da vedersi non tanto come accidente, quanto come effetto (</w:t>
      </w:r>
      <w:r w:rsidRPr="002C7DEE">
        <w:rPr>
          <w:rFonts w:ascii="Times New Roman" w:eastAsia="Times New Roman" w:hAnsi="Times New Roman" w:cs="Times New Roman"/>
          <w:i/>
          <w:color w:val="000000"/>
          <w:lang w:val="de-DE"/>
        </w:rPr>
        <w:t>Wirkung</w:t>
      </w:r>
      <w:r w:rsidRPr="002C7DEE">
        <w:rPr>
          <w:rFonts w:ascii="Times New Roman" w:eastAsia="Times New Roman" w:hAnsi="Times New Roman" w:cs="Times New Roman"/>
          <w:color w:val="000000"/>
        </w:rPr>
        <w:t xml:space="preserve">). Il </w:t>
      </w:r>
      <w:r w:rsidRPr="002C7DEE">
        <w:rPr>
          <w:rFonts w:ascii="Times New Roman" w:eastAsia="Times New Roman" w:hAnsi="Times New Roman" w:cs="Times New Roman"/>
          <w:i/>
          <w:color w:val="000000"/>
          <w:lang w:val="de-DE"/>
        </w:rPr>
        <w:t>Causalitätsverhältnis</w:t>
      </w:r>
      <w:r w:rsidRPr="002C7DEE">
        <w:rPr>
          <w:rFonts w:ascii="Times New Roman" w:eastAsia="Times New Roman" w:hAnsi="Times New Roman" w:cs="Times New Roman"/>
          <w:i/>
          <w:color w:val="000000"/>
        </w:rPr>
        <w:t xml:space="preserve"> </w:t>
      </w:r>
      <w:r w:rsidRPr="002C7DEE">
        <w:rPr>
          <w:rFonts w:ascii="Times New Roman" w:eastAsia="Times New Roman" w:hAnsi="Times New Roman" w:cs="Times New Roman"/>
          <w:color w:val="000000"/>
        </w:rPr>
        <w:t xml:space="preserve">assume in un primo momento uno sviluppo </w:t>
      </w:r>
      <w:r w:rsidRPr="002C7DEE">
        <w:rPr>
          <w:rFonts w:ascii="Times New Roman" w:eastAsia="Times New Roman" w:hAnsi="Times New Roman" w:cs="Times New Roman"/>
          <w:i/>
          <w:color w:val="000000"/>
        </w:rPr>
        <w:t xml:space="preserve">formale </w:t>
      </w:r>
      <w:r w:rsidRPr="002C7DEE">
        <w:rPr>
          <w:rFonts w:ascii="Times New Roman" w:eastAsia="Times New Roman" w:hAnsi="Times New Roman" w:cs="Times New Roman"/>
          <w:color w:val="000000"/>
        </w:rPr>
        <w:t>(</w:t>
      </w:r>
      <w:r w:rsidRPr="002C7DEE">
        <w:rPr>
          <w:rFonts w:ascii="Times New Roman" w:eastAsia="Times New Roman" w:hAnsi="Times New Roman" w:cs="Times New Roman"/>
          <w:i/>
          <w:color w:val="000000"/>
          <w:lang w:val="de-DE"/>
        </w:rPr>
        <w:t>formell</w:t>
      </w:r>
      <w:r w:rsidRPr="002C7DEE">
        <w:rPr>
          <w:rFonts w:ascii="Times New Roman" w:eastAsia="Times New Roman" w:hAnsi="Times New Roman" w:cs="Times New Roman"/>
          <w:color w:val="000000"/>
        </w:rPr>
        <w:t xml:space="preserve">): la causa ha un effetto determinato e si estingue in esso; l’effetto, una volta venuta meno l’attività della causa, </w:t>
      </w:r>
      <w:r>
        <w:rPr>
          <w:rFonts w:ascii="Times New Roman" w:eastAsia="Times New Roman" w:hAnsi="Times New Roman" w:cs="Times New Roman"/>
          <w:color w:val="000000"/>
        </w:rPr>
        <w:t>s’estingue</w:t>
      </w:r>
      <w:r w:rsidRPr="002976FA">
        <w:rPr>
          <w:rFonts w:ascii="Times New Roman" w:eastAsia="Times New Roman" w:hAnsi="Times New Roman" w:cs="Times New Roman"/>
          <w:color w:val="000000"/>
        </w:rPr>
        <w:t>.</w:t>
      </w:r>
      <w:r w:rsidR="00521E0F">
        <w:rPr>
          <w:rFonts w:ascii="Times New Roman" w:eastAsia="Times New Roman" w:hAnsi="Times New Roman" w:cs="Times New Roman"/>
          <w:color w:val="000000"/>
        </w:rPr>
        <w:t xml:space="preserve"> </w:t>
      </w:r>
      <w:r w:rsidR="00521E0F" w:rsidRPr="00372FD7">
        <w:rPr>
          <w:rFonts w:ascii="Times New Roman" w:eastAsia="Times New Roman" w:hAnsi="Times New Roman" w:cs="Times New Roman"/>
          <w:color w:val="000000"/>
        </w:rPr>
        <w:t xml:space="preserve">Questa causalità </w:t>
      </w:r>
      <w:r w:rsidRPr="00372FD7">
        <w:rPr>
          <w:rFonts w:ascii="Times New Roman" w:eastAsia="Times New Roman" w:hAnsi="Times New Roman" w:cs="Times New Roman"/>
          <w:color w:val="000000"/>
        </w:rPr>
        <w:t>dilegua</w:t>
      </w:r>
      <w:r w:rsidR="00521E0F" w:rsidRPr="00372FD7">
        <w:rPr>
          <w:rFonts w:ascii="Times New Roman" w:eastAsia="Times New Roman" w:hAnsi="Times New Roman" w:cs="Times New Roman"/>
          <w:color w:val="000000"/>
        </w:rPr>
        <w:t>nte</w:t>
      </w:r>
      <w:r w:rsidRPr="00372FD7">
        <w:rPr>
          <w:rFonts w:ascii="Times New Roman" w:eastAsia="Times New Roman" w:hAnsi="Times New Roman" w:cs="Times New Roman"/>
          <w:color w:val="000000"/>
        </w:rPr>
        <w:t xml:space="preserve"> è «</w:t>
      </w:r>
      <w:r w:rsidRPr="00372FD7">
        <w:rPr>
          <w:rFonts w:ascii="Times New Roman" w:eastAsia="Times New Roman" w:hAnsi="Times New Roman" w:cs="Times New Roman"/>
          <w:color w:val="000000"/>
          <w:lang w:val="de-DE"/>
        </w:rPr>
        <w:t>eine Unmittelbarkeit, welche gegen das Verhältniß von Ursache und Wirkung gleichgültig ist, und es äußerlich hat»</w:t>
      </w:r>
      <w:r w:rsidRPr="00372FD7">
        <w:rPr>
          <w:rStyle w:val="Rimandonotaapidipagina"/>
          <w:rFonts w:ascii="Times New Roman" w:eastAsia="Times New Roman" w:hAnsi="Times New Roman" w:cs="Times New Roman"/>
          <w:color w:val="000000"/>
          <w:lang w:val="de-DE"/>
        </w:rPr>
        <w:footnoteReference w:id="483"/>
      </w:r>
      <w:r w:rsidRPr="00372FD7">
        <w:rPr>
          <w:rFonts w:ascii="Times New Roman" w:eastAsia="Times New Roman" w:hAnsi="Times New Roman" w:cs="Times New Roman"/>
          <w:color w:val="000000"/>
          <w:lang w:val="de-DE"/>
        </w:rPr>
        <w:t xml:space="preserve">. </w:t>
      </w:r>
      <w:r w:rsidRPr="00372FD7">
        <w:rPr>
          <w:rFonts w:ascii="Times New Roman" w:eastAsia="Times New Roman" w:hAnsi="Times New Roman" w:cs="Times New Roman"/>
          <w:color w:val="000000"/>
        </w:rPr>
        <w:t xml:space="preserve">In questa sua prima specificazione, il rapporto causale non dà sviluppo ulteriore a quella </w:t>
      </w:r>
      <w:r w:rsidRPr="00372FD7">
        <w:rPr>
          <w:rFonts w:ascii="Times New Roman" w:eastAsia="Times New Roman" w:hAnsi="Times New Roman" w:cs="Times New Roman"/>
          <w:i/>
          <w:color w:val="000000"/>
        </w:rPr>
        <w:t>impasse</w:t>
      </w:r>
      <w:r w:rsidRPr="00372FD7">
        <w:rPr>
          <w:rFonts w:ascii="Times New Roman" w:eastAsia="Times New Roman" w:hAnsi="Times New Roman" w:cs="Times New Roman"/>
          <w:color w:val="000000"/>
        </w:rPr>
        <w:t xml:space="preserve"> teorica incontrata nel </w:t>
      </w:r>
      <w:r w:rsidRPr="00372FD7">
        <w:rPr>
          <w:rFonts w:ascii="Times New Roman" w:eastAsia="Times New Roman" w:hAnsi="Times New Roman" w:cs="Times New Roman"/>
          <w:i/>
          <w:color w:val="000000"/>
          <w:lang w:val="de-DE"/>
        </w:rPr>
        <w:t>Verhältniss der Substantialität</w:t>
      </w:r>
      <w:r w:rsidRPr="00372FD7">
        <w:rPr>
          <w:rFonts w:ascii="Times New Roman" w:eastAsia="Times New Roman" w:hAnsi="Times New Roman" w:cs="Times New Roman"/>
          <w:color w:val="000000"/>
          <w:lang w:val="de-DE"/>
        </w:rPr>
        <w:t>.</w:t>
      </w:r>
      <w:r w:rsidRPr="00372FD7">
        <w:rPr>
          <w:rFonts w:ascii="Times New Roman" w:eastAsia="Times New Roman" w:hAnsi="Times New Roman" w:cs="Times New Roman"/>
          <w:color w:val="000000"/>
        </w:rPr>
        <w:t xml:space="preserve"> L’attività ponente e determinante della causa resta un qualcosa</w:t>
      </w:r>
      <w:r w:rsidRPr="002C7DEE">
        <w:rPr>
          <w:rFonts w:ascii="Times New Roman" w:eastAsia="Times New Roman" w:hAnsi="Times New Roman" w:cs="Times New Roman"/>
          <w:color w:val="000000"/>
        </w:rPr>
        <w:t xml:space="preserve"> di puramente formale</w:t>
      </w:r>
      <w:r w:rsidR="009E1CD1">
        <w:rPr>
          <w:rFonts w:ascii="Times New Roman" w:eastAsia="Times New Roman" w:hAnsi="Times New Roman" w:cs="Times New Roman"/>
          <w:color w:val="000000"/>
        </w:rPr>
        <w:t xml:space="preserve"> e </w:t>
      </w:r>
      <w:r w:rsidRPr="002C7DEE">
        <w:rPr>
          <w:rFonts w:ascii="Times New Roman" w:eastAsia="Times New Roman" w:hAnsi="Times New Roman" w:cs="Times New Roman"/>
          <w:color w:val="000000"/>
        </w:rPr>
        <w:t xml:space="preserve">l’effetto, o l’accidente dotato, in teoria almeno, di un essere-in-sé-e-per-sé, rimane completamente dipendente dalla causa che lo pone in essere. </w:t>
      </w:r>
    </w:p>
    <w:p w14:paraId="238F109B" w14:textId="77777777" w:rsidR="001B7751" w:rsidRPr="000A1F7F" w:rsidRDefault="001B7751" w:rsidP="001B7751">
      <w:pPr>
        <w:pStyle w:val="Paragrafoelenco"/>
        <w:spacing w:line="360" w:lineRule="auto"/>
        <w:ind w:left="0" w:firstLine="567"/>
        <w:jc w:val="both"/>
        <w:rPr>
          <w:rFonts w:ascii="Times New Roman" w:eastAsia="Times New Roman" w:hAnsi="Times New Roman" w:cs="Times New Roman"/>
          <w:color w:val="000000"/>
        </w:rPr>
      </w:pPr>
      <w:r w:rsidRPr="007267B1">
        <w:rPr>
          <w:rFonts w:ascii="Times New Roman" w:eastAsia="Times New Roman" w:hAnsi="Times New Roman" w:cs="Times New Roman"/>
          <w:color w:val="000000"/>
        </w:rPr>
        <w:t xml:space="preserve">Che il rapporto causa-effetto debba essere sviluppato ulteriormente, fino a conferire consistenza alle determinazioni causali, è la ragione sottesa tanto al </w:t>
      </w:r>
      <w:r w:rsidRPr="007267B1">
        <w:rPr>
          <w:rFonts w:ascii="Times New Roman" w:eastAsia="Times New Roman" w:hAnsi="Times New Roman" w:cs="Times New Roman"/>
          <w:i/>
          <w:color w:val="000000"/>
        </w:rPr>
        <w:t>Causalitätsverhältnis</w:t>
      </w:r>
      <w:r w:rsidRPr="007267B1">
        <w:rPr>
          <w:rFonts w:ascii="Times New Roman" w:eastAsia="Times New Roman" w:hAnsi="Times New Roman" w:cs="Times New Roman"/>
          <w:color w:val="000000"/>
        </w:rPr>
        <w:t xml:space="preserve">, quanto alla sezione della </w:t>
      </w:r>
      <w:r w:rsidRPr="007267B1">
        <w:rPr>
          <w:rFonts w:ascii="Times New Roman" w:eastAsia="Times New Roman" w:hAnsi="Times New Roman" w:cs="Times New Roman"/>
          <w:i/>
          <w:color w:val="000000"/>
        </w:rPr>
        <w:t>Wirklichkeit</w:t>
      </w:r>
      <w:r w:rsidRPr="007267B1">
        <w:rPr>
          <w:rFonts w:ascii="Times New Roman" w:eastAsia="Times New Roman" w:hAnsi="Times New Roman" w:cs="Times New Roman"/>
          <w:color w:val="000000"/>
        </w:rPr>
        <w:t xml:space="preserve"> nel suo complesso. Dare un essere per sé alle distinzioni della sostanza, infatti, rappresenta quella </w:t>
      </w:r>
      <w:r w:rsidRPr="007267B1">
        <w:rPr>
          <w:rFonts w:ascii="Times New Roman" w:eastAsia="Times New Roman" w:hAnsi="Times New Roman" w:cs="Times New Roman"/>
          <w:i/>
          <w:color w:val="000000"/>
        </w:rPr>
        <w:t xml:space="preserve">conditio sine qua non </w:t>
      </w:r>
      <w:r w:rsidRPr="007267B1">
        <w:rPr>
          <w:rFonts w:ascii="Times New Roman" w:eastAsia="Times New Roman" w:hAnsi="Times New Roman" w:cs="Times New Roman"/>
          <w:color w:val="000000"/>
        </w:rPr>
        <w:t xml:space="preserve">per cui può essere pensata l’identità degli opposti e, assieme ad essa, la contraddizione che ne sta a fondamento. </w:t>
      </w:r>
      <w:r w:rsidRPr="000A1F7F">
        <w:rPr>
          <w:rFonts w:ascii="Times New Roman" w:eastAsia="Times New Roman" w:hAnsi="Times New Roman" w:cs="Times New Roman"/>
          <w:color w:val="000000"/>
        </w:rPr>
        <w:t xml:space="preserve">Prima di muovere oltre, concentrandoci su quelli che sono i momenti conclusivi della </w:t>
      </w:r>
      <w:r w:rsidRPr="000A1F7F">
        <w:rPr>
          <w:rFonts w:ascii="Times New Roman" w:eastAsia="Times New Roman" w:hAnsi="Times New Roman" w:cs="Times New Roman"/>
          <w:i/>
          <w:color w:val="000000"/>
          <w:lang w:val="de-DE"/>
        </w:rPr>
        <w:t>Wirklichkeit</w:t>
      </w:r>
      <w:r w:rsidRPr="000A1F7F">
        <w:rPr>
          <w:rFonts w:ascii="Times New Roman" w:eastAsia="Times New Roman" w:hAnsi="Times New Roman" w:cs="Times New Roman"/>
          <w:color w:val="000000"/>
          <w:lang w:val="de-DE"/>
        </w:rPr>
        <w:t>,</w:t>
      </w:r>
      <w:r w:rsidRPr="000A1F7F">
        <w:rPr>
          <w:rFonts w:ascii="Times New Roman" w:eastAsia="Times New Roman" w:hAnsi="Times New Roman" w:cs="Times New Roman"/>
          <w:color w:val="000000"/>
        </w:rPr>
        <w:t xml:space="preserve"> è bene soffermare la nostra attenzione su un passo, contenuto nella </w:t>
      </w:r>
      <w:r w:rsidRPr="000A1F7F">
        <w:rPr>
          <w:rFonts w:ascii="Times New Roman" w:eastAsia="Times New Roman" w:hAnsi="Times New Roman" w:cs="Times New Roman"/>
          <w:i/>
          <w:color w:val="000000"/>
        </w:rPr>
        <w:t>formelle Causalität</w:t>
      </w:r>
      <w:r w:rsidRPr="000A1F7F">
        <w:rPr>
          <w:rFonts w:ascii="Times New Roman" w:eastAsia="Times New Roman" w:hAnsi="Times New Roman" w:cs="Times New Roman"/>
          <w:color w:val="000000"/>
        </w:rPr>
        <w:t xml:space="preserve">, che si richiama ad alcune direttrici teoriche precedentemente discusse. Scrive Hegel, anticipando una struttura relazionale che sarà esito speculativo della </w:t>
      </w:r>
      <w:r w:rsidRPr="000A1F7F">
        <w:rPr>
          <w:rFonts w:ascii="Times New Roman" w:eastAsia="Times New Roman" w:hAnsi="Times New Roman" w:cs="Times New Roman"/>
          <w:i/>
          <w:color w:val="000000"/>
        </w:rPr>
        <w:t>Wesenslogik</w:t>
      </w:r>
      <w:r w:rsidRPr="000A1F7F">
        <w:rPr>
          <w:rFonts w:ascii="Times New Roman" w:eastAsia="Times New Roman" w:hAnsi="Times New Roman" w:cs="Times New Roman"/>
          <w:color w:val="000000"/>
        </w:rPr>
        <w:t>, che:</w:t>
      </w:r>
    </w:p>
    <w:p w14:paraId="427CD29D" w14:textId="77777777" w:rsidR="001B7751" w:rsidRDefault="001B7751" w:rsidP="001B7751">
      <w:pPr>
        <w:pStyle w:val="Paragrafoelenco"/>
        <w:spacing w:line="360" w:lineRule="auto"/>
        <w:ind w:left="708" w:firstLine="567"/>
        <w:jc w:val="both"/>
        <w:rPr>
          <w:rFonts w:ascii="Times New Roman" w:eastAsia="Times New Roman" w:hAnsi="Times New Roman" w:cs="Times New Roman"/>
          <w:color w:val="000000"/>
        </w:rPr>
      </w:pPr>
    </w:p>
    <w:p w14:paraId="49A8B5BD" w14:textId="77777777" w:rsidR="001B7751" w:rsidRPr="00BE67B4" w:rsidRDefault="001B7751" w:rsidP="001B7751">
      <w:pPr>
        <w:pStyle w:val="Paragrafoelenco"/>
        <w:spacing w:line="360" w:lineRule="auto"/>
        <w:ind w:left="567" w:firstLine="567"/>
        <w:jc w:val="both"/>
        <w:rPr>
          <w:rFonts w:ascii="Times New Roman" w:eastAsia="Times New Roman" w:hAnsi="Times New Roman" w:cs="Times New Roman"/>
          <w:color w:val="000000"/>
        </w:rPr>
      </w:pPr>
      <w:r w:rsidRPr="00BE67B4">
        <w:rPr>
          <w:rFonts w:ascii="Times New Roman" w:eastAsia="Times New Roman" w:hAnsi="Times New Roman" w:cs="Times New Roman"/>
          <w:color w:val="000000"/>
          <w:sz w:val="20"/>
          <w:szCs w:val="20"/>
        </w:rPr>
        <w:t>«</w:t>
      </w:r>
      <w:r w:rsidRPr="00BE67B4">
        <w:rPr>
          <w:rFonts w:ascii="Times New Roman" w:eastAsia="Times New Roman" w:hAnsi="Times New Roman" w:cs="Times New Roman"/>
          <w:color w:val="000000"/>
          <w:sz w:val="20"/>
          <w:szCs w:val="20"/>
          <w:lang w:val="de-DE"/>
        </w:rPr>
        <w:t>Die Ursache ist daher erst in ihrer Wirkung das wahrhaft Wirkliche und mit sich identische. – Die Wirkung ist daher notwendig, weil sie eben Manifestation der Ursache, oder diese Nothwendigkeit ist, welche die Ursache ist. – Nur als diese Nothwendigkeit ist die Ursache selbst bewegend, aus sich anfangend, ohne von einem andern sollizitiert zu werden, und selbständige Quelle des Hervorbringens aus sich; – sie muß wirken, ihre Ursprünglichkeit ist diß, daß ihre Reflexion-in-sich bestimmendes Setzen und umgekehrt, bydes eine Einheit ist»</w:t>
      </w:r>
      <w:r w:rsidRPr="00BE67B4">
        <w:rPr>
          <w:rStyle w:val="Rimandonotaapidipagina"/>
          <w:rFonts w:ascii="Times New Roman" w:eastAsia="Times New Roman" w:hAnsi="Times New Roman" w:cs="Times New Roman"/>
          <w:color w:val="000000"/>
          <w:lang w:val="de-DE"/>
        </w:rPr>
        <w:footnoteReference w:id="484"/>
      </w:r>
      <w:r w:rsidRPr="00BE67B4">
        <w:rPr>
          <w:rFonts w:ascii="Times New Roman" w:eastAsia="Times New Roman" w:hAnsi="Times New Roman" w:cs="Times New Roman"/>
          <w:color w:val="000000"/>
        </w:rPr>
        <w:t>.</w:t>
      </w:r>
    </w:p>
    <w:p w14:paraId="6850F24B" w14:textId="77777777" w:rsidR="001B7751" w:rsidRDefault="001B7751" w:rsidP="001B7751">
      <w:pPr>
        <w:pStyle w:val="Paragrafoelenco"/>
        <w:spacing w:line="360" w:lineRule="auto"/>
        <w:ind w:left="1275" w:firstLine="567"/>
        <w:jc w:val="both"/>
        <w:rPr>
          <w:rFonts w:ascii="Times New Roman" w:eastAsia="Times New Roman" w:hAnsi="Times New Roman" w:cs="Times New Roman"/>
          <w:color w:val="000000"/>
        </w:rPr>
      </w:pPr>
    </w:p>
    <w:p w14:paraId="40D0FF60" w14:textId="36F209BE" w:rsidR="001B7751" w:rsidRPr="00F86980" w:rsidRDefault="001B7751" w:rsidP="00B90C0F">
      <w:pPr>
        <w:pStyle w:val="Paragrafoelenco"/>
        <w:spacing w:line="360" w:lineRule="auto"/>
        <w:ind w:left="0" w:firstLine="567"/>
        <w:jc w:val="both"/>
        <w:rPr>
          <w:rFonts w:ascii="Times New Roman" w:eastAsia="Times New Roman" w:hAnsi="Times New Roman" w:cs="Times New Roman"/>
          <w:color w:val="000000"/>
        </w:rPr>
      </w:pPr>
      <w:r w:rsidRPr="00F86980">
        <w:rPr>
          <w:rFonts w:ascii="Times New Roman" w:eastAsia="Times New Roman" w:hAnsi="Times New Roman" w:cs="Times New Roman"/>
          <w:color w:val="000000"/>
        </w:rPr>
        <w:t>La causa riceve la sua effettualità nell’effetto. L’effetto, a sua volta, è manifestazione della causa. Ma non solo: esso è quella necessità che la causa stessa è. In</w:t>
      </w:r>
      <w:r>
        <w:rPr>
          <w:rFonts w:ascii="Times New Roman" w:eastAsia="Times New Roman" w:hAnsi="Times New Roman" w:cs="Times New Roman"/>
          <w:color w:val="000000"/>
        </w:rPr>
        <w:t xml:space="preserve"> forza di essa, la causa è auto</w:t>
      </w:r>
      <w:r w:rsidRPr="00F86980">
        <w:rPr>
          <w:rFonts w:ascii="Times New Roman" w:eastAsia="Times New Roman" w:hAnsi="Times New Roman" w:cs="Times New Roman"/>
          <w:color w:val="000000"/>
        </w:rPr>
        <w:t xml:space="preserve">movimento, che non presuppone niente fuori di sé, ma che trova in sé la </w:t>
      </w:r>
      <w:r w:rsidRPr="00F86980">
        <w:rPr>
          <w:rFonts w:ascii="Times New Roman" w:eastAsia="Times New Roman" w:hAnsi="Times New Roman" w:cs="Times New Roman"/>
          <w:i/>
          <w:color w:val="000000"/>
        </w:rPr>
        <w:t>fonte</w:t>
      </w:r>
      <w:r w:rsidRPr="00F86980">
        <w:rPr>
          <w:rFonts w:ascii="Times New Roman" w:eastAsia="Times New Roman" w:hAnsi="Times New Roman" w:cs="Times New Roman"/>
          <w:color w:val="000000"/>
        </w:rPr>
        <w:t xml:space="preserve"> (</w:t>
      </w:r>
      <w:r w:rsidRPr="00F86980">
        <w:rPr>
          <w:rFonts w:ascii="Times New Roman" w:eastAsia="Times New Roman" w:hAnsi="Times New Roman" w:cs="Times New Roman"/>
          <w:i/>
          <w:color w:val="000000"/>
        </w:rPr>
        <w:t>Quelle</w:t>
      </w:r>
      <w:r w:rsidRPr="00F86980">
        <w:rPr>
          <w:rFonts w:ascii="Times New Roman" w:eastAsia="Times New Roman" w:hAnsi="Times New Roman" w:cs="Times New Roman"/>
          <w:color w:val="000000"/>
        </w:rPr>
        <w:t>), o la radice, del suo sviluppo, del suo prodursi e farsi. Così intesa, la causa deve agire: quel poter-agire, che abbiamo visto tematizzato nella possibilità e necessità reale, si attualizza, adesso, come un originario porsi della causa nel su</w:t>
      </w:r>
      <w:r>
        <w:rPr>
          <w:rFonts w:ascii="Times New Roman" w:eastAsia="Times New Roman" w:hAnsi="Times New Roman" w:cs="Times New Roman"/>
          <w:color w:val="000000"/>
        </w:rPr>
        <w:t>o effetto e</w:t>
      </w:r>
      <w:r w:rsidRPr="00F86980">
        <w:rPr>
          <w:rFonts w:ascii="Times New Roman" w:eastAsia="Times New Roman" w:hAnsi="Times New Roman" w:cs="Times New Roman"/>
          <w:color w:val="000000"/>
        </w:rPr>
        <w:t xml:space="preserve"> un essere-ricompreso di quest’ultimo in ciò che lo ha posto in essere. Come sappiamo, </w:t>
      </w:r>
      <w:r w:rsidRPr="006C49AB">
        <w:rPr>
          <w:rFonts w:ascii="Times New Roman" w:eastAsia="Times New Roman" w:hAnsi="Times New Roman" w:cs="Times New Roman"/>
          <w:color w:val="000000"/>
        </w:rPr>
        <w:t>l’</w:t>
      </w:r>
      <w:r w:rsidRPr="006C49AB">
        <w:rPr>
          <w:rFonts w:ascii="Times New Roman" w:eastAsia="Times New Roman" w:hAnsi="Times New Roman" w:cs="Times New Roman"/>
          <w:i/>
          <w:color w:val="000000"/>
        </w:rPr>
        <w:t>essere-fonte</w:t>
      </w:r>
      <w:r w:rsidRPr="006C49AB">
        <w:rPr>
          <w:rFonts w:ascii="Times New Roman" w:eastAsia="Times New Roman" w:hAnsi="Times New Roman" w:cs="Times New Roman"/>
          <w:color w:val="000000"/>
        </w:rPr>
        <w:t>, collegato con la nozione d’automovimento (</w:t>
      </w:r>
      <w:r w:rsidRPr="006C49AB">
        <w:rPr>
          <w:rFonts w:ascii="Times New Roman" w:eastAsia="Times New Roman" w:hAnsi="Times New Roman" w:cs="Times New Roman"/>
          <w:i/>
          <w:color w:val="000000"/>
        </w:rPr>
        <w:t>Selbstbewegung</w:t>
      </w:r>
      <w:r w:rsidRPr="006C49AB">
        <w:rPr>
          <w:rFonts w:ascii="Times New Roman" w:eastAsia="Times New Roman" w:hAnsi="Times New Roman" w:cs="Times New Roman"/>
          <w:color w:val="000000"/>
        </w:rPr>
        <w:t xml:space="preserve">), è determinazione logica già incontrata a livello della </w:t>
      </w:r>
      <w:r w:rsidRPr="006C49AB">
        <w:rPr>
          <w:rFonts w:ascii="Times New Roman" w:eastAsia="Times New Roman" w:hAnsi="Times New Roman" w:cs="Times New Roman"/>
          <w:i/>
          <w:color w:val="000000"/>
        </w:rPr>
        <w:t>Logik des Seyns</w:t>
      </w:r>
      <w:r w:rsidRPr="006C49AB">
        <w:rPr>
          <w:rFonts w:ascii="Times New Roman" w:eastAsia="Times New Roman" w:hAnsi="Times New Roman" w:cs="Times New Roman"/>
          <w:color w:val="000000"/>
        </w:rPr>
        <w:t>. “</w:t>
      </w:r>
      <w:r w:rsidRPr="006C49AB">
        <w:rPr>
          <w:rFonts w:ascii="Times New Roman" w:eastAsia="Times New Roman" w:hAnsi="Times New Roman" w:cs="Times New Roman"/>
          <w:i/>
          <w:color w:val="000000"/>
        </w:rPr>
        <w:t>Quelle</w:t>
      </w:r>
      <w:r w:rsidRPr="006C49AB">
        <w:rPr>
          <w:rFonts w:ascii="Times New Roman" w:eastAsia="Times New Roman" w:hAnsi="Times New Roman" w:cs="Times New Roman"/>
          <w:color w:val="000000"/>
        </w:rPr>
        <w:t>”</w:t>
      </w:r>
      <w:r w:rsidRPr="006C49AB">
        <w:rPr>
          <w:rFonts w:ascii="Times New Roman" w:eastAsia="Times New Roman" w:hAnsi="Times New Roman" w:cs="Times New Roman"/>
          <w:i/>
          <w:color w:val="000000"/>
        </w:rPr>
        <w:t xml:space="preserve"> </w:t>
      </w:r>
      <w:r w:rsidRPr="006C49AB">
        <w:rPr>
          <w:rFonts w:ascii="Times New Roman" w:eastAsia="Times New Roman" w:hAnsi="Times New Roman" w:cs="Times New Roman"/>
          <w:color w:val="000000"/>
        </w:rPr>
        <w:t>si ricollega alla nozione böhmiana di</w:t>
      </w:r>
      <w:r w:rsidRPr="006C49AB">
        <w:rPr>
          <w:rFonts w:ascii="Times New Roman" w:eastAsia="Times New Roman" w:hAnsi="Times New Roman" w:cs="Times New Roman"/>
          <w:i/>
          <w:color w:val="000000"/>
        </w:rPr>
        <w:t xml:space="preserve"> Qual</w:t>
      </w:r>
      <w:r w:rsidRPr="006C49AB">
        <w:rPr>
          <w:rFonts w:ascii="Times New Roman" w:eastAsia="Times New Roman" w:hAnsi="Times New Roman" w:cs="Times New Roman"/>
          <w:color w:val="000000"/>
        </w:rPr>
        <w:t>, che rimanda, a sua volta, all’</w:t>
      </w:r>
      <w:r w:rsidRPr="006C49AB">
        <w:rPr>
          <w:rFonts w:ascii="Times New Roman" w:eastAsia="Times New Roman" w:hAnsi="Times New Roman" w:cs="Times New Roman"/>
          <w:i/>
          <w:color w:val="000000"/>
        </w:rPr>
        <w:t xml:space="preserve">Unruhe, </w:t>
      </w:r>
      <w:r w:rsidRPr="006C49AB">
        <w:rPr>
          <w:rFonts w:ascii="Times New Roman" w:eastAsia="Times New Roman" w:hAnsi="Times New Roman" w:cs="Times New Roman"/>
          <w:color w:val="000000"/>
        </w:rPr>
        <w:t>a ciò che spinge la determinazione a prodursi e a scontrarsi con l’altro da sé. Questo processo del prodursi e dello scontrarsi</w:t>
      </w:r>
      <w:r w:rsidRPr="00F86980">
        <w:rPr>
          <w:rFonts w:ascii="Times New Roman" w:eastAsia="Times New Roman" w:hAnsi="Times New Roman" w:cs="Times New Roman"/>
          <w:color w:val="000000"/>
        </w:rPr>
        <w:t xml:space="preserve"> delle determinazioni opposte è perfettamente aderente all’opposizione così come essa è espressa dall’</w:t>
      </w:r>
      <w:r w:rsidRPr="00F86980">
        <w:rPr>
          <w:rFonts w:ascii="Times New Roman" w:eastAsia="Times New Roman" w:hAnsi="Times New Roman" w:cs="Times New Roman"/>
          <w:i/>
          <w:color w:val="000000"/>
        </w:rPr>
        <w:t>Inqualierung</w:t>
      </w:r>
      <w:r w:rsidRPr="00F86980">
        <w:rPr>
          <w:rFonts w:ascii="Times New Roman" w:eastAsia="Times New Roman" w:hAnsi="Times New Roman" w:cs="Times New Roman"/>
          <w:color w:val="000000"/>
        </w:rPr>
        <w:t>, che è determinazione etimologicamente e semanticamente desumibile dalla triade “</w:t>
      </w:r>
      <w:r w:rsidRPr="00F86980">
        <w:rPr>
          <w:rFonts w:ascii="Times New Roman" w:eastAsia="Times New Roman" w:hAnsi="Times New Roman" w:cs="Times New Roman"/>
          <w:i/>
          <w:color w:val="000000"/>
        </w:rPr>
        <w:t>Quelle</w:t>
      </w:r>
      <w:r w:rsidRPr="00F86980">
        <w:rPr>
          <w:rFonts w:ascii="Times New Roman" w:eastAsia="Times New Roman" w:hAnsi="Times New Roman" w:cs="Times New Roman"/>
          <w:color w:val="000000"/>
        </w:rPr>
        <w:t>”, “</w:t>
      </w:r>
      <w:r w:rsidRPr="00F86980">
        <w:rPr>
          <w:rFonts w:ascii="Times New Roman" w:eastAsia="Times New Roman" w:hAnsi="Times New Roman" w:cs="Times New Roman"/>
          <w:i/>
          <w:color w:val="000000"/>
        </w:rPr>
        <w:t>Qual</w:t>
      </w:r>
      <w:r w:rsidRPr="00F86980">
        <w:rPr>
          <w:rFonts w:ascii="Times New Roman" w:eastAsia="Times New Roman" w:hAnsi="Times New Roman" w:cs="Times New Roman"/>
          <w:color w:val="000000"/>
        </w:rPr>
        <w:t>” e “</w:t>
      </w:r>
      <w:r w:rsidRPr="00F86980">
        <w:rPr>
          <w:rFonts w:ascii="Times New Roman" w:eastAsia="Times New Roman" w:hAnsi="Times New Roman" w:cs="Times New Roman"/>
          <w:i/>
          <w:color w:val="000000"/>
        </w:rPr>
        <w:t>Qualität</w:t>
      </w:r>
      <w:r w:rsidRPr="00F86980">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w:t>
      </w:r>
      <w:r w:rsidRPr="00F86980">
        <w:rPr>
          <w:rFonts w:ascii="Times New Roman" w:eastAsia="Times New Roman" w:hAnsi="Times New Roman" w:cs="Times New Roman"/>
          <w:color w:val="000000"/>
        </w:rPr>
        <w:t xml:space="preserve">Inoltre, si </w:t>
      </w:r>
      <w:r>
        <w:rPr>
          <w:rFonts w:ascii="Times New Roman" w:eastAsia="Times New Roman" w:hAnsi="Times New Roman" w:cs="Times New Roman"/>
          <w:color w:val="000000"/>
        </w:rPr>
        <w:t>te</w:t>
      </w:r>
      <w:r w:rsidRPr="00F86980">
        <w:rPr>
          <w:rFonts w:ascii="Times New Roman" w:eastAsia="Times New Roman" w:hAnsi="Times New Roman" w:cs="Times New Roman"/>
          <w:color w:val="000000"/>
        </w:rPr>
        <w:t>nga presente che la nozione böhmiana “</w:t>
      </w:r>
      <w:r w:rsidRPr="00F86980">
        <w:rPr>
          <w:rFonts w:ascii="Times New Roman" w:eastAsia="Times New Roman" w:hAnsi="Times New Roman" w:cs="Times New Roman"/>
          <w:i/>
          <w:color w:val="000000"/>
        </w:rPr>
        <w:t>Quelle</w:t>
      </w:r>
      <w:r>
        <w:rPr>
          <w:rFonts w:ascii="Times New Roman" w:eastAsia="Times New Roman" w:hAnsi="Times New Roman" w:cs="Times New Roman"/>
          <w:i/>
          <w:color w:val="000000"/>
        </w:rPr>
        <w:t>”</w:t>
      </w:r>
      <w:r w:rsidRPr="00F86980">
        <w:rPr>
          <w:rFonts w:ascii="Times New Roman" w:eastAsia="Times New Roman" w:hAnsi="Times New Roman" w:cs="Times New Roman"/>
          <w:color w:val="000000"/>
        </w:rPr>
        <w:t xml:space="preserve"> rimanda al super</w:t>
      </w:r>
      <w:r>
        <w:rPr>
          <w:rFonts w:ascii="Times New Roman" w:eastAsia="Times New Roman" w:hAnsi="Times New Roman" w:cs="Times New Roman"/>
          <w:color w:val="000000"/>
        </w:rPr>
        <w:t>amento e</w:t>
      </w:r>
      <w:r w:rsidRPr="00F86980">
        <w:rPr>
          <w:rFonts w:ascii="Times New Roman" w:eastAsia="Times New Roman" w:hAnsi="Times New Roman" w:cs="Times New Roman"/>
          <w:color w:val="000000"/>
        </w:rPr>
        <w:t xml:space="preserve"> allo sviluppo ulteriore della </w:t>
      </w:r>
      <w:r w:rsidRPr="00F86980">
        <w:rPr>
          <w:rFonts w:ascii="Times New Roman" w:eastAsia="Times New Roman" w:hAnsi="Times New Roman" w:cs="Times New Roman"/>
          <w:i/>
          <w:color w:val="000000"/>
        </w:rPr>
        <w:t>Monadologie</w:t>
      </w:r>
      <w:r w:rsidRPr="00F86980">
        <w:rPr>
          <w:rFonts w:ascii="Times New Roman" w:eastAsia="Times New Roman" w:hAnsi="Times New Roman" w:cs="Times New Roman"/>
          <w:color w:val="000000"/>
        </w:rPr>
        <w:t xml:space="preserve"> leibniziana. Si ricorderà che Hegel, nell’</w:t>
      </w:r>
      <w:r w:rsidRPr="00F86980">
        <w:rPr>
          <w:rFonts w:ascii="Times New Roman" w:eastAsia="Times New Roman" w:hAnsi="Times New Roman" w:cs="Times New Roman"/>
          <w:i/>
          <w:color w:val="000000"/>
          <w:lang w:val="de-DE"/>
        </w:rPr>
        <w:t>Anmerkung</w:t>
      </w:r>
      <w:r w:rsidRPr="00F86980">
        <w:rPr>
          <w:rFonts w:ascii="Times New Roman" w:eastAsia="Times New Roman" w:hAnsi="Times New Roman" w:cs="Times New Roman"/>
          <w:color w:val="000000"/>
        </w:rPr>
        <w:t xml:space="preserve"> sull’</w:t>
      </w:r>
      <w:r w:rsidRPr="00F86980">
        <w:rPr>
          <w:rFonts w:ascii="Times New Roman" w:eastAsia="Times New Roman" w:hAnsi="Times New Roman" w:cs="Times New Roman"/>
          <w:i/>
          <w:color w:val="000000"/>
        </w:rPr>
        <w:t>Absolute</w:t>
      </w:r>
      <w:r w:rsidRPr="00F86980">
        <w:rPr>
          <w:rFonts w:ascii="Times New Roman" w:eastAsia="Times New Roman" w:hAnsi="Times New Roman" w:cs="Times New Roman"/>
          <w:color w:val="000000"/>
        </w:rPr>
        <w:t xml:space="preserve">, ha sostenuto che la Monade delle monadi è da </w:t>
      </w:r>
      <w:r w:rsidRPr="00372FD7">
        <w:rPr>
          <w:rFonts w:ascii="Times New Roman" w:eastAsia="Times New Roman" w:hAnsi="Times New Roman" w:cs="Times New Roman"/>
          <w:color w:val="000000"/>
        </w:rPr>
        <w:t xml:space="preserve">considerarsi, in teoria, e non di fatto, come la </w:t>
      </w:r>
      <w:r w:rsidRPr="00372FD7">
        <w:rPr>
          <w:rFonts w:ascii="Times New Roman" w:eastAsia="Times New Roman" w:hAnsi="Times New Roman" w:cs="Times New Roman"/>
          <w:i/>
          <w:color w:val="000000"/>
        </w:rPr>
        <w:t xml:space="preserve">fonte </w:t>
      </w:r>
      <w:r w:rsidRPr="00372FD7">
        <w:rPr>
          <w:rFonts w:ascii="Times New Roman" w:eastAsia="Times New Roman" w:hAnsi="Times New Roman" w:cs="Times New Roman"/>
          <w:color w:val="000000"/>
        </w:rPr>
        <w:t>(</w:t>
      </w:r>
      <w:r w:rsidRPr="00372FD7">
        <w:rPr>
          <w:rFonts w:ascii="Times New Roman" w:eastAsia="Times New Roman" w:hAnsi="Times New Roman" w:cs="Times New Roman"/>
          <w:i/>
          <w:color w:val="000000"/>
        </w:rPr>
        <w:t>Quelle</w:t>
      </w:r>
      <w:r w:rsidRPr="00372FD7">
        <w:rPr>
          <w:rFonts w:ascii="Times New Roman" w:eastAsia="Times New Roman" w:hAnsi="Times New Roman" w:cs="Times New Roman"/>
          <w:color w:val="000000"/>
        </w:rPr>
        <w:t>) dell’esistenza e dell’essenza degli atomi spirituali. Il Dio leibniziano pone in essere, come delle realt</w:t>
      </w:r>
      <w:r w:rsidR="001D517E" w:rsidRPr="00372FD7">
        <w:rPr>
          <w:rFonts w:ascii="Times New Roman" w:eastAsia="Times New Roman" w:hAnsi="Times New Roman" w:cs="Times New Roman"/>
          <w:color w:val="000000"/>
        </w:rPr>
        <w:t>à per sé sussistenti, le monadi</w:t>
      </w:r>
      <w:r w:rsidRPr="00372FD7">
        <w:rPr>
          <w:rFonts w:ascii="Times New Roman" w:eastAsia="Times New Roman" w:hAnsi="Times New Roman" w:cs="Times New Roman"/>
          <w:color w:val="000000"/>
        </w:rPr>
        <w:t xml:space="preserve"> che, a propria volta, non fanno trasparire in sé traccia alcuna della relazione con la </w:t>
      </w:r>
      <w:r w:rsidRPr="00372FD7">
        <w:rPr>
          <w:rFonts w:ascii="Times New Roman" w:eastAsia="Times New Roman" w:hAnsi="Times New Roman" w:cs="Times New Roman"/>
          <w:i/>
          <w:color w:val="000000"/>
        </w:rPr>
        <w:t>Causa prima</w:t>
      </w:r>
      <w:r w:rsidRPr="00372FD7">
        <w:rPr>
          <w:rFonts w:ascii="Times New Roman" w:eastAsia="Times New Roman" w:hAnsi="Times New Roman" w:cs="Times New Roman"/>
          <w:color w:val="000000"/>
        </w:rPr>
        <w:t>.</w:t>
      </w:r>
      <w:r w:rsidRPr="00F86980">
        <w:rPr>
          <w:rFonts w:ascii="Times New Roman" w:eastAsia="Times New Roman" w:hAnsi="Times New Roman" w:cs="Times New Roman"/>
          <w:color w:val="000000"/>
        </w:rPr>
        <w:t xml:space="preserve"> Grazie all’emergere della riflessione in sé dei due termini relazionali, la dispersione monadica è ricondotta nell’unità della sostanza. La sostanza, come fondamento in cui riposa l’opposizione dei due termini opposti, è permeata da un’intrinseca negatività. Pertanto, la contraddizione, tornata nel fondamento, è ciò che rende autonomo, indeterminato e libero il porsi, che è esporsi (</w:t>
      </w:r>
      <w:r w:rsidRPr="00F86980">
        <w:rPr>
          <w:rFonts w:ascii="Times New Roman" w:eastAsia="Times New Roman" w:hAnsi="Times New Roman" w:cs="Times New Roman"/>
          <w:i/>
          <w:color w:val="000000"/>
        </w:rPr>
        <w:t>auslegen</w:t>
      </w:r>
      <w:r w:rsidRPr="00F86980">
        <w:rPr>
          <w:rFonts w:ascii="Times New Roman" w:eastAsia="Times New Roman" w:hAnsi="Times New Roman" w:cs="Times New Roman"/>
          <w:color w:val="000000"/>
        </w:rPr>
        <w:t xml:space="preserve">), dell’identità assoluta. L’originaria spontaneità della sostanza è quella relazione semplice a sé in forza della quale ciò che è positivo è in sé anche negativo e ciò che è negativo è in sé anche positivo. Il respingersi da sé è un riprendersi in sé: un unico processo </w:t>
      </w:r>
      <w:r w:rsidRPr="006C49AB">
        <w:rPr>
          <w:rFonts w:ascii="Times New Roman" w:eastAsia="Times New Roman" w:hAnsi="Times New Roman" w:cs="Times New Roman"/>
          <w:color w:val="000000"/>
        </w:rPr>
        <w:t xml:space="preserve">realizzativo, in cui è protagonista un indiviso soggetto semovente, consente d’afferrare la sostanza come totalità o, se si preferisce, </w:t>
      </w:r>
      <w:r w:rsidRPr="006C49AB">
        <w:rPr>
          <w:rFonts w:ascii="Times New Roman" w:eastAsia="Times New Roman" w:hAnsi="Times New Roman" w:cs="Times New Roman"/>
          <w:i/>
          <w:color w:val="000000"/>
        </w:rPr>
        <w:t>altrettanto decisamente come soggetto</w:t>
      </w:r>
      <w:r w:rsidRPr="006C49AB">
        <w:rPr>
          <w:rFonts w:ascii="Times New Roman" w:eastAsia="Times New Roman" w:hAnsi="Times New Roman" w:cs="Times New Roman"/>
          <w:color w:val="000000"/>
        </w:rPr>
        <w:t xml:space="preserve">. Anche nella </w:t>
      </w:r>
      <w:r w:rsidRPr="006C49AB">
        <w:rPr>
          <w:rFonts w:ascii="Times New Roman" w:eastAsia="Times New Roman" w:hAnsi="Times New Roman" w:cs="Times New Roman"/>
          <w:i/>
          <w:color w:val="000000"/>
        </w:rPr>
        <w:t xml:space="preserve">Wesenslogik </w:t>
      </w:r>
      <w:r w:rsidRPr="006C49AB">
        <w:rPr>
          <w:rFonts w:ascii="Times New Roman" w:eastAsia="Times New Roman" w:hAnsi="Times New Roman" w:cs="Times New Roman"/>
          <w:color w:val="000000"/>
        </w:rPr>
        <w:t>è mantenuta, con una serie di richiami concettuali più o meno espliciti, quella lettura del pensiero di Böhme – del resto già incontrata negli scritti jenesi – in forza della quale esso esibisce un modello di negatività aderente al farsi incondizionato del contenuto assoluto.</w:t>
      </w:r>
      <w:r w:rsidRPr="00F86980">
        <w:rPr>
          <w:rFonts w:ascii="Times New Roman" w:eastAsia="Times New Roman" w:hAnsi="Times New Roman" w:cs="Times New Roman"/>
          <w:color w:val="000000"/>
        </w:rPr>
        <w:t xml:space="preserve"> </w:t>
      </w:r>
    </w:p>
    <w:p w14:paraId="72BFDCCF" w14:textId="77777777" w:rsidR="002A2EF9" w:rsidRDefault="001B7751" w:rsidP="002A2EF9">
      <w:pPr>
        <w:pStyle w:val="Paragrafoelenco"/>
        <w:spacing w:line="360" w:lineRule="auto"/>
        <w:ind w:left="0" w:firstLine="567"/>
        <w:jc w:val="both"/>
        <w:rPr>
          <w:rFonts w:ascii="Times New Roman" w:eastAsia="Times New Roman" w:hAnsi="Times New Roman" w:cs="Times New Roman"/>
          <w:color w:val="000000"/>
          <w:lang w:val="de-DE"/>
        </w:rPr>
      </w:pPr>
      <w:r w:rsidRPr="007A59E6">
        <w:rPr>
          <w:rFonts w:ascii="Times New Roman" w:eastAsia="Times New Roman" w:hAnsi="Times New Roman" w:cs="Times New Roman"/>
          <w:color w:val="000000"/>
        </w:rPr>
        <w:t xml:space="preserve">Quanto visto nella </w:t>
      </w:r>
      <w:r w:rsidRPr="007A59E6">
        <w:rPr>
          <w:rFonts w:ascii="Times New Roman" w:eastAsia="Times New Roman" w:hAnsi="Times New Roman" w:cs="Times New Roman"/>
          <w:i/>
          <w:color w:val="000000"/>
        </w:rPr>
        <w:t>formelle Causalität</w:t>
      </w:r>
      <w:r w:rsidRPr="007A59E6">
        <w:rPr>
          <w:rFonts w:ascii="Times New Roman" w:eastAsia="Times New Roman" w:hAnsi="Times New Roman" w:cs="Times New Roman"/>
          <w:color w:val="000000"/>
        </w:rPr>
        <w:t xml:space="preserve"> manifesta un rapporto causale incentrato su una nozione di negatività ascrivibile all’</w:t>
      </w:r>
      <w:r w:rsidRPr="007A59E6">
        <w:rPr>
          <w:rFonts w:ascii="Times New Roman" w:eastAsia="Times New Roman" w:hAnsi="Times New Roman" w:cs="Times New Roman"/>
          <w:i/>
          <w:color w:val="000000"/>
        </w:rPr>
        <w:t>Inqualierung</w:t>
      </w:r>
      <w:r w:rsidRPr="007A59E6">
        <w:rPr>
          <w:rFonts w:ascii="Times New Roman" w:eastAsia="Times New Roman" w:hAnsi="Times New Roman" w:cs="Times New Roman"/>
          <w:color w:val="000000"/>
        </w:rPr>
        <w:t xml:space="preserve"> böhmiano. A questo livello dello sviluppo logico, però, il rapporto di causa-effetto rimane un qualcosa di formale e d’esteriore: nel momento in cui </w:t>
      </w:r>
      <w:r>
        <w:rPr>
          <w:rFonts w:ascii="Times New Roman" w:eastAsia="Times New Roman" w:hAnsi="Times New Roman" w:cs="Times New Roman"/>
          <w:color w:val="000000"/>
        </w:rPr>
        <w:t xml:space="preserve">cessa </w:t>
      </w:r>
      <w:r w:rsidRPr="007A59E6">
        <w:rPr>
          <w:rFonts w:ascii="Times New Roman" w:eastAsia="Times New Roman" w:hAnsi="Times New Roman" w:cs="Times New Roman"/>
          <w:color w:val="000000"/>
        </w:rPr>
        <w:t xml:space="preserve">l’attività causale, </w:t>
      </w:r>
      <w:r>
        <w:rPr>
          <w:rFonts w:ascii="Times New Roman" w:eastAsia="Times New Roman" w:hAnsi="Times New Roman" w:cs="Times New Roman"/>
          <w:color w:val="000000"/>
        </w:rPr>
        <w:t xml:space="preserve">vengono meno </w:t>
      </w:r>
      <w:r w:rsidRPr="007A59E6">
        <w:rPr>
          <w:rFonts w:ascii="Times New Roman" w:eastAsia="Times New Roman" w:hAnsi="Times New Roman" w:cs="Times New Roman"/>
          <w:color w:val="000000"/>
        </w:rPr>
        <w:t>sia la causa che l’effetto, che sono nella misura in cui un termine si definisce come agente (causa) e l’altro come paziente (effetto)</w:t>
      </w:r>
      <w:r>
        <w:rPr>
          <w:rStyle w:val="Rimandonotaapidipagina"/>
          <w:rFonts w:ascii="Times New Roman" w:eastAsia="Times New Roman" w:hAnsi="Times New Roman" w:cs="Times New Roman"/>
          <w:color w:val="000000"/>
        </w:rPr>
        <w:footnoteReference w:id="485"/>
      </w:r>
      <w:r w:rsidRPr="007A59E6">
        <w:rPr>
          <w:rFonts w:ascii="Times New Roman" w:eastAsia="Times New Roman" w:hAnsi="Times New Roman" w:cs="Times New Roman"/>
          <w:color w:val="000000"/>
        </w:rPr>
        <w:t>.</w:t>
      </w:r>
      <w:r w:rsidRPr="006C49AB">
        <w:rPr>
          <w:rFonts w:ascii="Times New Roman" w:eastAsia="Times New Roman" w:hAnsi="Times New Roman" w:cs="Times New Roman"/>
          <w:color w:val="000000"/>
        </w:rPr>
        <w:t xml:space="preserve"> Quella struttura relazionale, costruita a partire dalla nozione di “</w:t>
      </w:r>
      <w:r w:rsidRPr="006C49AB">
        <w:rPr>
          <w:rFonts w:ascii="Times New Roman" w:eastAsia="Times New Roman" w:hAnsi="Times New Roman" w:cs="Times New Roman"/>
          <w:i/>
          <w:color w:val="000000"/>
        </w:rPr>
        <w:t>Quelle</w:t>
      </w:r>
      <w:r w:rsidRPr="006C49AB">
        <w:rPr>
          <w:rFonts w:ascii="Times New Roman" w:eastAsia="Times New Roman" w:hAnsi="Times New Roman" w:cs="Times New Roman"/>
          <w:color w:val="000000"/>
        </w:rPr>
        <w:t>”, è sì anticipata, ma non pienamente sviluppata in questa articolazione dell’elemento logico.</w:t>
      </w:r>
      <w:r w:rsidRPr="009C67A1">
        <w:rPr>
          <w:rFonts w:ascii="Times New Roman" w:eastAsia="Times New Roman" w:hAnsi="Times New Roman" w:cs="Times New Roman"/>
          <w:color w:val="000000"/>
        </w:rPr>
        <w:t xml:space="preserve"> Sarà ciò che segue, in modo graduale, a far emergere una struttura ontologica risolutrice della </w:t>
      </w:r>
      <w:r w:rsidRPr="009C67A1">
        <w:rPr>
          <w:rFonts w:ascii="Times New Roman" w:eastAsia="Times New Roman" w:hAnsi="Times New Roman" w:cs="Times New Roman"/>
          <w:i/>
          <w:color w:val="000000"/>
        </w:rPr>
        <w:t>objective Logik</w:t>
      </w:r>
      <w:r w:rsidRPr="009C67A1">
        <w:rPr>
          <w:rFonts w:ascii="Times New Roman" w:eastAsia="Times New Roman" w:hAnsi="Times New Roman" w:cs="Times New Roman"/>
          <w:color w:val="000000"/>
        </w:rPr>
        <w:t xml:space="preserve"> e generatrice della </w:t>
      </w:r>
      <w:r w:rsidRPr="009C67A1">
        <w:rPr>
          <w:rFonts w:ascii="Times New Roman" w:eastAsia="Times New Roman" w:hAnsi="Times New Roman" w:cs="Times New Roman"/>
          <w:i/>
          <w:color w:val="000000"/>
        </w:rPr>
        <w:t>subjective Logik</w:t>
      </w:r>
      <w:r w:rsidRPr="009C67A1">
        <w:rPr>
          <w:rFonts w:ascii="Times New Roman" w:eastAsia="Times New Roman" w:hAnsi="Times New Roman" w:cs="Times New Roman"/>
          <w:color w:val="000000"/>
        </w:rPr>
        <w:t xml:space="preserve">. </w:t>
      </w:r>
      <w:r w:rsidRPr="008D67F5">
        <w:rPr>
          <w:rFonts w:ascii="Times New Roman" w:eastAsia="Times New Roman" w:hAnsi="Times New Roman" w:cs="Times New Roman"/>
          <w:color w:val="000000"/>
        </w:rPr>
        <w:t xml:space="preserve">Da questo punto di vista, la sezione dedicata al </w:t>
      </w:r>
      <w:r w:rsidRPr="008D67F5">
        <w:rPr>
          <w:rFonts w:ascii="Times New Roman" w:eastAsia="Times New Roman" w:hAnsi="Times New Roman" w:cs="Times New Roman"/>
          <w:i/>
          <w:color w:val="000000"/>
        </w:rPr>
        <w:t>bestimmtes Causalitätsverhältniß</w:t>
      </w:r>
      <w:r w:rsidRPr="008D67F5">
        <w:rPr>
          <w:rFonts w:ascii="Times New Roman" w:eastAsia="Times New Roman" w:hAnsi="Times New Roman" w:cs="Times New Roman"/>
          <w:color w:val="000000"/>
        </w:rPr>
        <w:t xml:space="preserve"> rappresenta già un considerevole passo in avanti rispetto al rapporto di causalità formale. Quella che Hegel ci presenta è una riproposizione della causalità affine a quanto esposto da Spinoza nel primo tomo dell’</w:t>
      </w:r>
      <w:r w:rsidRPr="008D67F5">
        <w:rPr>
          <w:rFonts w:ascii="Times New Roman" w:eastAsia="Times New Roman" w:hAnsi="Times New Roman" w:cs="Times New Roman"/>
          <w:i/>
          <w:color w:val="000000"/>
        </w:rPr>
        <w:t>Ethica</w:t>
      </w:r>
      <w:r w:rsidRPr="008D67F5">
        <w:rPr>
          <w:rFonts w:ascii="Times New Roman" w:eastAsia="Times New Roman" w:hAnsi="Times New Roman" w:cs="Times New Roman"/>
          <w:color w:val="000000"/>
        </w:rPr>
        <w:t xml:space="preserve">. Rielaborando il dettato della ventottesima proposizione del </w:t>
      </w:r>
      <w:r w:rsidRPr="008D67F5">
        <w:rPr>
          <w:rFonts w:ascii="Times New Roman" w:eastAsia="Times New Roman" w:hAnsi="Times New Roman" w:cs="Times New Roman"/>
          <w:i/>
          <w:color w:val="000000"/>
        </w:rPr>
        <w:t>Deo</w:t>
      </w:r>
      <w:r w:rsidRPr="008D67F5">
        <w:rPr>
          <w:rFonts w:ascii="Times New Roman" w:eastAsia="Times New Roman" w:hAnsi="Times New Roman" w:cs="Times New Roman"/>
          <w:color w:val="000000"/>
        </w:rPr>
        <w:t xml:space="preserve"> </w:t>
      </w:r>
      <w:r w:rsidRPr="00BE67B4">
        <w:rPr>
          <w:rFonts w:ascii="Times New Roman" w:eastAsia="Times New Roman" w:hAnsi="Times New Roman" w:cs="Times New Roman"/>
          <w:color w:val="000000"/>
        </w:rPr>
        <w:t xml:space="preserve">«quodque singulare […] non potest existere, nec ad operandum </w:t>
      </w:r>
      <w:r w:rsidRPr="00372FD7">
        <w:rPr>
          <w:rFonts w:ascii="Times New Roman" w:eastAsia="Times New Roman" w:hAnsi="Times New Roman" w:cs="Times New Roman"/>
          <w:color w:val="000000"/>
        </w:rPr>
        <w:t>determinari, nisi ad existendum, et operandum determinaretur ab alia causa, quae etiam finita est</w:t>
      </w:r>
      <w:r w:rsidRPr="00372FD7">
        <w:rPr>
          <w:rFonts w:ascii="Times New Roman" w:eastAsia="Times New Roman" w:hAnsi="Times New Roman" w:cs="Times New Roman"/>
          <w:color w:val="000000"/>
          <w:lang w:val="de-DE"/>
        </w:rPr>
        <w:t>»</w:t>
      </w:r>
      <w:r w:rsidRPr="00372FD7">
        <w:rPr>
          <w:rStyle w:val="Rimandonotaapidipagina"/>
          <w:rFonts w:ascii="Times New Roman" w:eastAsia="Times New Roman" w:hAnsi="Times New Roman" w:cs="Times New Roman"/>
          <w:color w:val="000000"/>
          <w:lang w:val="de-DE"/>
        </w:rPr>
        <w:footnoteReference w:id="486"/>
      </w:r>
      <w:r w:rsidRPr="00372FD7">
        <w:rPr>
          <w:rFonts w:ascii="Times New Roman" w:eastAsia="Times New Roman" w:hAnsi="Times New Roman" w:cs="Times New Roman"/>
          <w:color w:val="000000"/>
          <w:lang w:val="de-DE"/>
        </w:rPr>
        <w:t xml:space="preserve">, </w:t>
      </w:r>
      <w:r w:rsidRPr="00372FD7">
        <w:rPr>
          <w:rFonts w:ascii="Times New Roman" w:eastAsia="Times New Roman" w:hAnsi="Times New Roman" w:cs="Times New Roman"/>
          <w:color w:val="000000"/>
        </w:rPr>
        <w:t xml:space="preserve">Hegel sostiene che il rapporto di causalità determinata permette ad una stessa cosa d’essere vista </w:t>
      </w:r>
      <w:r w:rsidRPr="00372FD7">
        <w:rPr>
          <w:rFonts w:ascii="Times New Roman" w:eastAsia="Times New Roman" w:hAnsi="Times New Roman" w:cs="Times New Roman"/>
          <w:color w:val="000000"/>
          <w:lang w:val="de-DE"/>
        </w:rPr>
        <w:t>«einmal als Ursache, das andermal als Wirkung»</w:t>
      </w:r>
      <w:r w:rsidRPr="00372FD7">
        <w:rPr>
          <w:rStyle w:val="Rimandonotaapidipagina"/>
          <w:rFonts w:ascii="Times New Roman" w:eastAsia="Times New Roman" w:hAnsi="Times New Roman" w:cs="Times New Roman"/>
          <w:color w:val="000000"/>
          <w:lang w:val="de-DE"/>
        </w:rPr>
        <w:footnoteReference w:id="487"/>
      </w:r>
      <w:r w:rsidRPr="00372FD7">
        <w:rPr>
          <w:rFonts w:ascii="Times New Roman" w:eastAsia="Times New Roman" w:hAnsi="Times New Roman" w:cs="Times New Roman"/>
          <w:color w:val="000000"/>
          <w:lang w:val="de-DE"/>
        </w:rPr>
        <w:t xml:space="preserve">. </w:t>
      </w:r>
      <w:r w:rsidRPr="00372FD7">
        <w:rPr>
          <w:rFonts w:ascii="Times New Roman" w:eastAsia="Times New Roman" w:hAnsi="Times New Roman" w:cs="Times New Roman"/>
          <w:color w:val="000000"/>
        </w:rPr>
        <w:t>Una causa determinata è dunque inserita in una trama relazionale in cui essa può essere vista come agente o come paziente.</w:t>
      </w:r>
      <w:r w:rsidRPr="009C67A1">
        <w:rPr>
          <w:rFonts w:ascii="Times New Roman" w:eastAsia="Times New Roman" w:hAnsi="Times New Roman" w:cs="Times New Roman"/>
          <w:color w:val="000000"/>
        </w:rPr>
        <w:t xml:space="preserve"> Il rimandare del determinato ad un altro determinato è ciò che permette di leggere, ad un tempo, una cosa x come causa e effetto. Questo rimandare all’altro da sé chiama in causa un concetto di cattiva infinità, ossia il regresso di causa in causa e il progresso d’effetto in effetto: </w:t>
      </w:r>
      <w:r w:rsidRPr="00BE67B4">
        <w:rPr>
          <w:rFonts w:ascii="Times New Roman" w:eastAsia="Times New Roman" w:hAnsi="Times New Roman" w:cs="Times New Roman"/>
          <w:color w:val="000000"/>
        </w:rPr>
        <w:t>«</w:t>
      </w:r>
      <w:r w:rsidRPr="00BE67B4">
        <w:rPr>
          <w:rFonts w:ascii="Times New Roman" w:eastAsia="Times New Roman" w:hAnsi="Times New Roman" w:cs="Times New Roman"/>
          <w:color w:val="000000"/>
          <w:lang w:val="de-DE"/>
        </w:rPr>
        <w:t>mit der Wirkung ist es unmittelbar der nähmliche Fall, oder vielmehr der unendlicher Progreß von Wirkung zu Wirkung ist ganz und dasselbe was der Regreß von Ursache zu Ursache ist. In diesem wurde die Ursache zur Wirkung, die wieder eine andere Wirkung hat»</w:t>
      </w:r>
      <w:r w:rsidRPr="00BE67B4">
        <w:rPr>
          <w:rStyle w:val="Rimandonotaapidipagina"/>
          <w:rFonts w:ascii="Times New Roman" w:eastAsia="Times New Roman" w:hAnsi="Times New Roman" w:cs="Times New Roman"/>
          <w:color w:val="000000"/>
          <w:lang w:val="de-DE"/>
        </w:rPr>
        <w:footnoteReference w:id="488"/>
      </w:r>
      <w:r w:rsidRPr="00BE67B4">
        <w:rPr>
          <w:rFonts w:ascii="Times New Roman" w:eastAsia="Times New Roman" w:hAnsi="Times New Roman" w:cs="Times New Roman"/>
          <w:color w:val="000000"/>
          <w:lang w:val="de-DE"/>
        </w:rPr>
        <w:t>.</w:t>
      </w:r>
      <w:r w:rsidRPr="009C67A1">
        <w:rPr>
          <w:rFonts w:ascii="Times New Roman" w:eastAsia="Times New Roman" w:hAnsi="Times New Roman" w:cs="Times New Roman"/>
          <w:color w:val="000000"/>
          <w:lang w:val="de-DE"/>
        </w:rPr>
        <w:t xml:space="preserve"> </w:t>
      </w:r>
      <w:r w:rsidRPr="009C67A1">
        <w:rPr>
          <w:rFonts w:ascii="Times New Roman" w:eastAsia="Times New Roman" w:hAnsi="Times New Roman" w:cs="Times New Roman"/>
          <w:color w:val="000000"/>
        </w:rPr>
        <w:t xml:space="preserve">Questo regresso/progresso, apparentemente senza fine, subisce un arresto nella misura in cui ciascuna delle determinazioni </w:t>
      </w:r>
      <w:r w:rsidRPr="00BE67B4">
        <w:rPr>
          <w:rFonts w:ascii="Times New Roman" w:eastAsia="Times New Roman" w:hAnsi="Times New Roman" w:cs="Times New Roman"/>
          <w:color w:val="000000"/>
        </w:rPr>
        <w:t>«</w:t>
      </w:r>
      <w:r w:rsidRPr="00BE67B4">
        <w:rPr>
          <w:rFonts w:ascii="Times New Roman" w:eastAsia="Times New Roman" w:hAnsi="Times New Roman" w:cs="Times New Roman"/>
          <w:color w:val="000000"/>
          <w:lang w:val="de-DE"/>
        </w:rPr>
        <w:t>hebt sich in ihrem Setzen auf, und setzt dich in ihrem Aufheben»</w:t>
      </w:r>
      <w:r w:rsidRPr="00BE67B4">
        <w:rPr>
          <w:rStyle w:val="Rimandonotaapidipagina"/>
          <w:rFonts w:ascii="Times New Roman" w:eastAsia="Times New Roman" w:hAnsi="Times New Roman" w:cs="Times New Roman"/>
          <w:color w:val="000000"/>
          <w:lang w:val="de-DE"/>
        </w:rPr>
        <w:footnoteReference w:id="489"/>
      </w:r>
      <w:r w:rsidRPr="00BE67B4">
        <w:rPr>
          <w:rFonts w:ascii="Times New Roman" w:eastAsia="Times New Roman" w:hAnsi="Times New Roman" w:cs="Times New Roman"/>
          <w:color w:val="000000"/>
          <w:lang w:val="de-DE"/>
        </w:rPr>
        <w:t xml:space="preserve">. </w:t>
      </w:r>
      <w:r w:rsidRPr="009C67A1">
        <w:rPr>
          <w:rFonts w:ascii="Times New Roman" w:eastAsia="Times New Roman" w:hAnsi="Times New Roman" w:cs="Times New Roman"/>
          <w:color w:val="000000"/>
        </w:rPr>
        <w:t xml:space="preserve">La causa si toglie ponendosi come effetto e l’effetto, a sua volta, si pone come causa superando la propria determinatezza (l’essere effetto). La causalità non è più determinata e, in questo modo, cade il rimando all’altro da sé. La condizione, che spinge una causa x ad agire, non è più una determinazione per sé sussistente: </w:t>
      </w:r>
      <w:r w:rsidRPr="009C67A1">
        <w:rPr>
          <w:rFonts w:ascii="Times New Roman" w:eastAsia="Times New Roman" w:hAnsi="Times New Roman" w:cs="Times New Roman"/>
          <w:i/>
          <w:color w:val="000000"/>
        </w:rPr>
        <w:t>i</w:t>
      </w:r>
      <w:r>
        <w:rPr>
          <w:rFonts w:ascii="Times New Roman" w:eastAsia="Times New Roman" w:hAnsi="Times New Roman" w:cs="Times New Roman"/>
          <w:i/>
          <w:color w:val="000000"/>
        </w:rPr>
        <w:t>l togliersi nel proprio porsi e</w:t>
      </w:r>
      <w:r w:rsidRPr="009C67A1">
        <w:rPr>
          <w:rFonts w:ascii="Times New Roman" w:eastAsia="Times New Roman" w:hAnsi="Times New Roman" w:cs="Times New Roman"/>
          <w:i/>
          <w:color w:val="000000"/>
        </w:rPr>
        <w:t xml:space="preserve"> il porsi nel proprio togliersi</w:t>
      </w:r>
      <w:r w:rsidRPr="009C67A1">
        <w:rPr>
          <w:rFonts w:ascii="Times New Roman" w:eastAsia="Times New Roman" w:hAnsi="Times New Roman" w:cs="Times New Roman"/>
          <w:color w:val="000000"/>
        </w:rPr>
        <w:t xml:space="preserve"> attualizzano l’essere uno di causa ed effetto, l’emergere di una causalità incondizionata, che ha come condizione </w:t>
      </w:r>
      <w:r w:rsidRPr="00522D5A">
        <w:rPr>
          <w:rFonts w:ascii="Times New Roman" w:eastAsia="Times New Roman" w:hAnsi="Times New Roman" w:cs="Times New Roman"/>
          <w:color w:val="000000"/>
        </w:rPr>
        <w:t>«</w:t>
      </w:r>
      <w:r w:rsidRPr="00522D5A">
        <w:rPr>
          <w:rFonts w:ascii="Times New Roman" w:eastAsia="Times New Roman" w:hAnsi="Times New Roman" w:cs="Times New Roman"/>
          <w:color w:val="000000"/>
          <w:lang w:val="de-DE"/>
        </w:rPr>
        <w:t>sich selbst»</w:t>
      </w:r>
      <w:r w:rsidRPr="00522D5A">
        <w:rPr>
          <w:rStyle w:val="Rimandonotaapidipagina"/>
          <w:rFonts w:ascii="Times New Roman" w:eastAsia="Times New Roman" w:hAnsi="Times New Roman" w:cs="Times New Roman"/>
          <w:color w:val="000000"/>
          <w:lang w:val="de-DE"/>
        </w:rPr>
        <w:footnoteReference w:id="490"/>
      </w:r>
      <w:r w:rsidRPr="00522D5A">
        <w:rPr>
          <w:rFonts w:ascii="Times New Roman" w:eastAsia="Times New Roman" w:hAnsi="Times New Roman" w:cs="Times New Roman"/>
          <w:color w:val="000000"/>
          <w:lang w:val="de-DE"/>
        </w:rPr>
        <w:t>.</w:t>
      </w:r>
      <w:r w:rsidRPr="009C67A1">
        <w:rPr>
          <w:rFonts w:ascii="Times New Roman" w:eastAsia="Times New Roman" w:hAnsi="Times New Roman" w:cs="Times New Roman"/>
          <w:color w:val="000000"/>
          <w:lang w:val="de-DE"/>
        </w:rPr>
        <w:t xml:space="preserve"> </w:t>
      </w:r>
    </w:p>
    <w:p w14:paraId="69E552D9" w14:textId="77777777" w:rsidR="007C1E4C" w:rsidRDefault="006D69C1" w:rsidP="007C1E4C">
      <w:pPr>
        <w:pStyle w:val="Paragrafoelenco"/>
        <w:spacing w:line="360" w:lineRule="auto"/>
        <w:ind w:left="0" w:firstLine="567"/>
        <w:jc w:val="both"/>
        <w:rPr>
          <w:rFonts w:ascii="Times New Roman" w:eastAsia="Times New Roman" w:hAnsi="Times New Roman" w:cs="Times New Roman"/>
          <w:color w:val="000000"/>
        </w:rPr>
      </w:pPr>
      <w:r w:rsidRPr="00372FD7">
        <w:rPr>
          <w:rFonts w:ascii="Times New Roman" w:eastAsia="Times New Roman" w:hAnsi="Times New Roman" w:cs="Times New Roman"/>
          <w:color w:val="000000"/>
        </w:rPr>
        <w:t>A</w:t>
      </w:r>
      <w:r w:rsidR="001B7751" w:rsidRPr="00372FD7">
        <w:rPr>
          <w:rFonts w:ascii="Times New Roman" w:eastAsia="Times New Roman" w:hAnsi="Times New Roman" w:cs="Times New Roman"/>
          <w:color w:val="000000"/>
        </w:rPr>
        <w:t xml:space="preserve">vere sé come condizione </w:t>
      </w:r>
      <w:r w:rsidRPr="00372FD7">
        <w:rPr>
          <w:rFonts w:ascii="Times New Roman" w:eastAsia="Times New Roman" w:hAnsi="Times New Roman" w:cs="Times New Roman"/>
          <w:color w:val="000000"/>
        </w:rPr>
        <w:t xml:space="preserve">del proprio agire </w:t>
      </w:r>
      <w:r w:rsidR="001B7751" w:rsidRPr="00372FD7">
        <w:rPr>
          <w:rFonts w:ascii="Times New Roman" w:eastAsia="Times New Roman" w:hAnsi="Times New Roman" w:cs="Times New Roman"/>
          <w:color w:val="000000"/>
        </w:rPr>
        <w:t>è ciò che determina il fare presupponente (</w:t>
      </w:r>
      <w:r w:rsidR="001B7751" w:rsidRPr="00372FD7">
        <w:rPr>
          <w:rFonts w:ascii="Times New Roman" w:eastAsia="Times New Roman" w:hAnsi="Times New Roman" w:cs="Times New Roman"/>
          <w:i/>
          <w:color w:val="000000"/>
          <w:lang w:val="de-DE"/>
        </w:rPr>
        <w:t>voraussetzendes Thun</w:t>
      </w:r>
      <w:r w:rsidR="001B7751" w:rsidRPr="00372FD7">
        <w:rPr>
          <w:rFonts w:ascii="Times New Roman" w:eastAsia="Times New Roman" w:hAnsi="Times New Roman" w:cs="Times New Roman"/>
          <w:color w:val="000000"/>
        </w:rPr>
        <w:t xml:space="preserve">) della causa: la causa presuppone sé come oggetto della sua azione; il presuppore sé, però, viene spinto fino all’autonomizzazione del presupposto. Ciò che alla fine della </w:t>
      </w:r>
      <w:r w:rsidR="001B7751" w:rsidRPr="00372FD7">
        <w:rPr>
          <w:rFonts w:ascii="Times New Roman" w:eastAsia="Times New Roman" w:hAnsi="Times New Roman" w:cs="Times New Roman"/>
          <w:i/>
          <w:color w:val="000000"/>
          <w:lang w:val="de-DE"/>
        </w:rPr>
        <w:t>bestimmtes Causalitätsverhältniß</w:t>
      </w:r>
      <w:r w:rsidR="001B7751" w:rsidRPr="00372FD7">
        <w:rPr>
          <w:rFonts w:ascii="Times New Roman" w:eastAsia="Times New Roman" w:hAnsi="Times New Roman" w:cs="Times New Roman"/>
          <w:color w:val="000000"/>
        </w:rPr>
        <w:t xml:space="preserve"> era risultato essere uno, è risospinto, adesso, oltre sé da sé. L’avere sé come condizione del proprio agire determina la partizione della sostanza in due poli distinti: ciò che è presupposto e ciò che si trova ad essere condizionato dal presupposto. In quanto presupposta, la sostanza è detta</w:t>
      </w:r>
      <w:r w:rsidR="001B7751" w:rsidRPr="00372FD7">
        <w:rPr>
          <w:rFonts w:ascii="Times New Roman" w:eastAsia="Times New Roman" w:hAnsi="Times New Roman" w:cs="Times New Roman"/>
          <w:color w:val="000000"/>
          <w:lang w:val="de-DE"/>
        </w:rPr>
        <w:t xml:space="preserve"> «die passive Substanz»</w:t>
      </w:r>
      <w:r w:rsidR="001B7751" w:rsidRPr="00372FD7">
        <w:rPr>
          <w:rStyle w:val="Rimandonotaapidipagina"/>
          <w:rFonts w:ascii="Times New Roman" w:eastAsia="Times New Roman" w:hAnsi="Times New Roman" w:cs="Times New Roman"/>
          <w:color w:val="000000"/>
          <w:lang w:val="de-DE"/>
        </w:rPr>
        <w:footnoteReference w:id="491"/>
      </w:r>
      <w:r w:rsidR="001B7751" w:rsidRPr="00372FD7">
        <w:rPr>
          <w:rFonts w:ascii="Times New Roman" w:eastAsia="Times New Roman" w:hAnsi="Times New Roman" w:cs="Times New Roman"/>
          <w:color w:val="000000"/>
          <w:lang w:val="de-DE"/>
        </w:rPr>
        <w:t xml:space="preserve">; </w:t>
      </w:r>
      <w:r w:rsidR="001B7751" w:rsidRPr="00372FD7">
        <w:rPr>
          <w:rFonts w:ascii="Times New Roman" w:eastAsia="Times New Roman" w:hAnsi="Times New Roman" w:cs="Times New Roman"/>
          <w:color w:val="000000"/>
        </w:rPr>
        <w:t>in quanto condizionata, la sostanza è definita come</w:t>
      </w:r>
      <w:r w:rsidR="001B7751" w:rsidRPr="00372FD7">
        <w:rPr>
          <w:rFonts w:ascii="Times New Roman" w:eastAsia="Times New Roman" w:hAnsi="Times New Roman" w:cs="Times New Roman"/>
          <w:color w:val="000000"/>
          <w:lang w:val="de-DE"/>
        </w:rPr>
        <w:t xml:space="preserve"> «die wirkende Substanz»</w:t>
      </w:r>
      <w:r w:rsidR="001B7751" w:rsidRPr="00372FD7">
        <w:rPr>
          <w:rStyle w:val="Rimandonotaapidipagina"/>
          <w:rFonts w:ascii="Times New Roman" w:eastAsia="Times New Roman" w:hAnsi="Times New Roman" w:cs="Times New Roman"/>
          <w:color w:val="000000"/>
          <w:lang w:val="de-DE"/>
        </w:rPr>
        <w:footnoteReference w:id="492"/>
      </w:r>
      <w:r w:rsidR="001B7751" w:rsidRPr="00372FD7">
        <w:rPr>
          <w:rFonts w:ascii="Times New Roman" w:eastAsia="Times New Roman" w:hAnsi="Times New Roman" w:cs="Times New Roman"/>
          <w:color w:val="000000"/>
          <w:lang w:val="de-DE"/>
        </w:rPr>
        <w:t xml:space="preserve">. </w:t>
      </w:r>
      <w:r w:rsidR="001B7751" w:rsidRPr="00372FD7">
        <w:rPr>
          <w:rFonts w:ascii="Times New Roman" w:eastAsia="Times New Roman" w:hAnsi="Times New Roman" w:cs="Times New Roman"/>
          <w:color w:val="000000"/>
        </w:rPr>
        <w:t>La</w:t>
      </w:r>
      <w:r w:rsidR="001B7751" w:rsidRPr="009C67A1">
        <w:rPr>
          <w:rFonts w:ascii="Times New Roman" w:eastAsia="Times New Roman" w:hAnsi="Times New Roman" w:cs="Times New Roman"/>
          <w:color w:val="000000"/>
        </w:rPr>
        <w:t xml:space="preserve"> sostanza attiva, che presuppone come condizione del suo agire la sostanza passiva, esercita un’attività sulla sostanza passiva. Questo </w:t>
      </w:r>
      <w:r w:rsidR="001B7751" w:rsidRPr="009C67A1">
        <w:rPr>
          <w:rFonts w:ascii="Times New Roman" w:eastAsia="Times New Roman" w:hAnsi="Times New Roman" w:cs="Times New Roman"/>
          <w:i/>
          <w:color w:val="000000"/>
        </w:rPr>
        <w:t>togliere</w:t>
      </w:r>
      <w:r w:rsidR="001B7751" w:rsidRPr="009C67A1">
        <w:rPr>
          <w:rFonts w:ascii="Times New Roman" w:eastAsia="Times New Roman" w:hAnsi="Times New Roman" w:cs="Times New Roman"/>
          <w:color w:val="000000"/>
        </w:rPr>
        <w:t xml:space="preserve"> la sostanza passiva, esercitando su di essa un effetto, fa sì che il presupposto sia, a propria volta, tolto e che la passività, il mero offrirsi all’attività causale della sostanza attiva, si traduca in </w:t>
      </w:r>
      <w:r w:rsidR="001B7751" w:rsidRPr="00BE67B4">
        <w:rPr>
          <w:rFonts w:ascii="Times New Roman" w:eastAsia="Times New Roman" w:hAnsi="Times New Roman" w:cs="Times New Roman"/>
          <w:color w:val="000000"/>
        </w:rPr>
        <w:t>«</w:t>
      </w:r>
      <w:r w:rsidR="001B7751" w:rsidRPr="00BE67B4">
        <w:rPr>
          <w:rFonts w:ascii="Times New Roman" w:eastAsia="Times New Roman" w:hAnsi="Times New Roman" w:cs="Times New Roman"/>
          <w:color w:val="000000"/>
          <w:lang w:val="de-DE"/>
        </w:rPr>
        <w:t>Gegenwirkung»</w:t>
      </w:r>
      <w:r w:rsidR="001B7751" w:rsidRPr="00BE67B4">
        <w:rPr>
          <w:rStyle w:val="Rimandonotaapidipagina"/>
          <w:rFonts w:ascii="Times New Roman" w:eastAsia="Times New Roman" w:hAnsi="Times New Roman" w:cs="Times New Roman"/>
          <w:color w:val="000000"/>
          <w:lang w:val="de-DE"/>
        </w:rPr>
        <w:footnoteReference w:id="493"/>
      </w:r>
      <w:r w:rsidR="001B7751" w:rsidRPr="00BE67B4">
        <w:rPr>
          <w:rFonts w:ascii="Times New Roman" w:eastAsia="Times New Roman" w:hAnsi="Times New Roman" w:cs="Times New Roman"/>
          <w:color w:val="000000"/>
          <w:lang w:val="de-DE"/>
        </w:rPr>
        <w:t xml:space="preserve">. </w:t>
      </w:r>
      <w:r w:rsidR="001B7751" w:rsidRPr="00BE67B4">
        <w:rPr>
          <w:rFonts w:ascii="Times New Roman" w:eastAsia="Times New Roman" w:hAnsi="Times New Roman" w:cs="Times New Roman"/>
          <w:color w:val="000000"/>
        </w:rPr>
        <w:t>Grazie alla retroazione della sostanza passiva, si leva l’agire presupponente e, con esso, il presupposto passivo che, ricondotto in unità con la sostanza attiva, getta le basi per ciò che Hegel chiama «</w:t>
      </w:r>
      <w:r w:rsidR="001B7751" w:rsidRPr="00BE67B4">
        <w:rPr>
          <w:rFonts w:ascii="Times New Roman" w:eastAsia="Times New Roman" w:hAnsi="Times New Roman" w:cs="Times New Roman"/>
          <w:color w:val="000000"/>
          <w:lang w:val="de-DE"/>
        </w:rPr>
        <w:t>unendliche Wechselwirkung»</w:t>
      </w:r>
      <w:r w:rsidR="001B7751" w:rsidRPr="00BE67B4">
        <w:rPr>
          <w:rStyle w:val="Rimandonotaapidipagina"/>
          <w:rFonts w:ascii="Times New Roman" w:eastAsia="Times New Roman" w:hAnsi="Times New Roman" w:cs="Times New Roman"/>
          <w:color w:val="000000"/>
          <w:lang w:val="de-DE"/>
        </w:rPr>
        <w:footnoteReference w:id="494"/>
      </w:r>
      <w:r w:rsidR="001B7751" w:rsidRPr="009C67A1">
        <w:rPr>
          <w:rFonts w:ascii="Times New Roman" w:eastAsia="Times New Roman" w:hAnsi="Times New Roman" w:cs="Times New Roman"/>
          <w:color w:val="000000"/>
          <w:lang w:val="de-DE"/>
        </w:rPr>
        <w:t xml:space="preserve">. </w:t>
      </w:r>
      <w:r w:rsidR="001B7751" w:rsidRPr="009C67A1">
        <w:rPr>
          <w:rFonts w:ascii="Times New Roman" w:eastAsia="Times New Roman" w:hAnsi="Times New Roman" w:cs="Times New Roman"/>
          <w:color w:val="000000"/>
        </w:rPr>
        <w:t>E nell’azione reciproca, che quella definizione di sostanza, capace di superare ad un tempo l’ontologia spinoziana e leibniziana, trova il suo pieno dispiegamento. L’azione reciproca, infatti, presuppone il superament</w:t>
      </w:r>
      <w:r w:rsidR="001B7751">
        <w:rPr>
          <w:rFonts w:ascii="Times New Roman" w:eastAsia="Times New Roman" w:hAnsi="Times New Roman" w:cs="Times New Roman"/>
          <w:color w:val="000000"/>
        </w:rPr>
        <w:t>o del dualismo delle sostanze e</w:t>
      </w:r>
      <w:r w:rsidR="001B7751" w:rsidRPr="009C67A1">
        <w:rPr>
          <w:rFonts w:ascii="Times New Roman" w:eastAsia="Times New Roman" w:hAnsi="Times New Roman" w:cs="Times New Roman"/>
          <w:color w:val="000000"/>
        </w:rPr>
        <w:t xml:space="preserve"> il loro essere ricomprese nell’unità assoluta. Il saldarsi delle due sostanze in un’unica sostanza è ciò che determina </w:t>
      </w:r>
      <w:r w:rsidR="001B7751" w:rsidRPr="00BE67B4">
        <w:rPr>
          <w:rFonts w:ascii="Times New Roman" w:eastAsia="Times New Roman" w:hAnsi="Times New Roman" w:cs="Times New Roman"/>
          <w:color w:val="000000"/>
        </w:rPr>
        <w:t>l’«</w:t>
      </w:r>
      <w:r w:rsidR="001B7751" w:rsidRPr="00BE67B4">
        <w:rPr>
          <w:rFonts w:ascii="Times New Roman" w:eastAsia="Times New Roman" w:hAnsi="Times New Roman" w:cs="Times New Roman"/>
          <w:color w:val="000000"/>
          <w:lang w:val="de-DE"/>
        </w:rPr>
        <w:t>Entstehen der Ursache; und damit die Ursprünglichkeit als durch ihre Negation sich mit sich selbst vermittelnd»</w:t>
      </w:r>
      <w:r w:rsidR="001B7751" w:rsidRPr="00BE67B4">
        <w:rPr>
          <w:rStyle w:val="Rimandonotaapidipagina"/>
          <w:rFonts w:ascii="Times New Roman" w:eastAsia="Times New Roman" w:hAnsi="Times New Roman" w:cs="Times New Roman"/>
          <w:color w:val="000000"/>
          <w:lang w:val="de-DE"/>
        </w:rPr>
        <w:footnoteReference w:id="495"/>
      </w:r>
      <w:r w:rsidR="001B7751" w:rsidRPr="00BE67B4">
        <w:rPr>
          <w:rFonts w:ascii="Times New Roman" w:eastAsia="Times New Roman" w:hAnsi="Times New Roman" w:cs="Times New Roman"/>
          <w:color w:val="000000"/>
        </w:rPr>
        <w:t xml:space="preserve"> . Il tenere assieme due diversità sostanziali è ciò che Hegel chiama «</w:t>
      </w:r>
      <w:r w:rsidR="001B7751">
        <w:rPr>
          <w:rFonts w:ascii="Times New Roman" w:eastAsia="Times New Roman" w:hAnsi="Times New Roman" w:cs="Times New Roman"/>
          <w:color w:val="000000"/>
          <w:lang w:val="de-DE"/>
        </w:rPr>
        <w:t>den absoluten Wi</w:t>
      </w:r>
      <w:r w:rsidR="001B7751" w:rsidRPr="00BE67B4">
        <w:rPr>
          <w:rFonts w:ascii="Times New Roman" w:eastAsia="Times New Roman" w:hAnsi="Times New Roman" w:cs="Times New Roman"/>
          <w:color w:val="000000"/>
          <w:lang w:val="de-DE"/>
        </w:rPr>
        <w:t>derspruch»</w:t>
      </w:r>
      <w:r w:rsidR="001B7751" w:rsidRPr="00BE67B4">
        <w:rPr>
          <w:rStyle w:val="Rimandonotaapidipagina"/>
          <w:rFonts w:ascii="Times New Roman" w:eastAsia="Times New Roman" w:hAnsi="Times New Roman" w:cs="Times New Roman"/>
          <w:color w:val="000000"/>
        </w:rPr>
        <w:footnoteReference w:id="496"/>
      </w:r>
      <w:r w:rsidR="001B7751" w:rsidRPr="00BE67B4">
        <w:rPr>
          <w:rFonts w:ascii="Times New Roman" w:eastAsia="Times New Roman" w:hAnsi="Times New Roman" w:cs="Times New Roman"/>
          <w:color w:val="000000"/>
          <w:lang w:val="de-DE"/>
        </w:rPr>
        <w:t>.</w:t>
      </w:r>
      <w:r w:rsidR="001B7751" w:rsidRPr="009C67A1">
        <w:rPr>
          <w:rFonts w:ascii="Times New Roman" w:eastAsia="Times New Roman" w:hAnsi="Times New Roman" w:cs="Times New Roman"/>
          <w:color w:val="000000"/>
          <w:lang w:val="de-DE"/>
        </w:rPr>
        <w:t xml:space="preserve"> </w:t>
      </w:r>
      <w:r w:rsidR="001B7751" w:rsidRPr="009C67A1">
        <w:rPr>
          <w:rFonts w:ascii="Times New Roman" w:eastAsia="Times New Roman" w:hAnsi="Times New Roman" w:cs="Times New Roman"/>
          <w:color w:val="000000"/>
        </w:rPr>
        <w:t xml:space="preserve">Ciò che è in sé assolutamente contraddittorio è </w:t>
      </w:r>
      <w:r w:rsidR="001B7751" w:rsidRPr="009C67A1">
        <w:rPr>
          <w:rFonts w:ascii="Times New Roman" w:eastAsia="Times New Roman" w:hAnsi="Times New Roman" w:cs="Times New Roman"/>
          <w:i/>
          <w:color w:val="000000"/>
        </w:rPr>
        <w:t>fonte</w:t>
      </w:r>
      <w:r w:rsidR="001B7751" w:rsidRPr="009C67A1">
        <w:rPr>
          <w:rFonts w:ascii="Times New Roman" w:eastAsia="Times New Roman" w:hAnsi="Times New Roman" w:cs="Times New Roman"/>
          <w:color w:val="000000"/>
        </w:rPr>
        <w:t xml:space="preserve"> e radice del proprio sviluppo. Caduta ogni possibile determinazione esteriore, la sostanza si realizza come originarietà mediata con sé per mezzo della propria negazione. L’attività del negare, come sappiamo, non ha come risultato lo zero, ma, </w:t>
      </w:r>
      <w:r w:rsidR="001B7751">
        <w:rPr>
          <w:rFonts w:ascii="Times New Roman" w:eastAsia="Times New Roman" w:hAnsi="Times New Roman" w:cs="Times New Roman"/>
          <w:color w:val="000000"/>
        </w:rPr>
        <w:t xml:space="preserve">citando </w:t>
      </w:r>
      <w:r w:rsidR="001B7751" w:rsidRPr="009C67A1">
        <w:rPr>
          <w:rFonts w:ascii="Times New Roman" w:eastAsia="Times New Roman" w:hAnsi="Times New Roman" w:cs="Times New Roman"/>
          <w:color w:val="000000"/>
        </w:rPr>
        <w:t xml:space="preserve">le parole di Hegel, </w:t>
      </w:r>
      <w:r w:rsidR="001B7751" w:rsidRPr="00BE67B4">
        <w:rPr>
          <w:rFonts w:ascii="Times New Roman" w:eastAsia="Times New Roman" w:hAnsi="Times New Roman" w:cs="Times New Roman"/>
          <w:color w:val="000000"/>
        </w:rPr>
        <w:t>«</w:t>
      </w:r>
      <w:r w:rsidR="001B7751" w:rsidRPr="00BE67B4">
        <w:rPr>
          <w:rFonts w:ascii="Times New Roman" w:eastAsia="Times New Roman" w:hAnsi="Times New Roman" w:cs="Times New Roman"/>
          <w:color w:val="000000"/>
          <w:lang w:val="de-DE"/>
        </w:rPr>
        <w:t xml:space="preserve">die Negation, welche Grund der Ursache ist, ist ihr positives Zusammengehen mit sich selbst» </w:t>
      </w:r>
      <w:r w:rsidR="001B7751" w:rsidRPr="00BE67B4">
        <w:rPr>
          <w:rStyle w:val="Rimandonotaapidipagina"/>
          <w:rFonts w:ascii="Times New Roman" w:eastAsia="Times New Roman" w:hAnsi="Times New Roman" w:cs="Times New Roman"/>
          <w:color w:val="000000"/>
          <w:lang w:val="de-DE"/>
        </w:rPr>
        <w:footnoteReference w:id="497"/>
      </w:r>
      <w:r w:rsidR="001B7751" w:rsidRPr="00BE67B4">
        <w:rPr>
          <w:rFonts w:ascii="Times New Roman" w:eastAsia="Times New Roman" w:hAnsi="Times New Roman" w:cs="Times New Roman"/>
          <w:color w:val="000000"/>
          <w:lang w:val="de-DE"/>
        </w:rPr>
        <w:t xml:space="preserve">. </w:t>
      </w:r>
      <w:r w:rsidR="001B7751" w:rsidRPr="00BE67B4">
        <w:rPr>
          <w:rFonts w:ascii="Times New Roman" w:eastAsia="Times New Roman" w:hAnsi="Times New Roman" w:cs="Times New Roman"/>
          <w:color w:val="000000"/>
        </w:rPr>
        <w:t>La sostanza, adesso caratterizzabile nei termini della «</w:t>
      </w:r>
      <w:r w:rsidR="001B7751" w:rsidRPr="00BE67B4">
        <w:rPr>
          <w:rFonts w:ascii="Times New Roman" w:eastAsia="Times New Roman" w:hAnsi="Times New Roman" w:cs="Times New Roman"/>
          <w:color w:val="000000"/>
          <w:lang w:val="de-DE"/>
        </w:rPr>
        <w:t>absolute Substanz»</w:t>
      </w:r>
      <w:r w:rsidR="001B7751" w:rsidRPr="00BE67B4">
        <w:rPr>
          <w:rStyle w:val="Rimandonotaapidipagina"/>
          <w:rFonts w:ascii="Times New Roman" w:eastAsia="Times New Roman" w:hAnsi="Times New Roman" w:cs="Times New Roman"/>
          <w:color w:val="000000"/>
          <w:lang w:val="de-DE"/>
        </w:rPr>
        <w:footnoteReference w:id="498"/>
      </w:r>
      <w:r w:rsidR="001B7751" w:rsidRPr="00BE67B4">
        <w:rPr>
          <w:rFonts w:ascii="Times New Roman" w:eastAsia="Times New Roman" w:hAnsi="Times New Roman" w:cs="Times New Roman"/>
          <w:color w:val="000000"/>
          <w:lang w:val="de-DE"/>
        </w:rPr>
        <w:t xml:space="preserve">, </w:t>
      </w:r>
      <w:r w:rsidR="001B7751" w:rsidRPr="00BE67B4">
        <w:rPr>
          <w:rFonts w:ascii="Times New Roman" w:eastAsia="Times New Roman" w:hAnsi="Times New Roman" w:cs="Times New Roman"/>
          <w:color w:val="000000"/>
        </w:rPr>
        <w:t>si realizza e si pone</w:t>
      </w:r>
      <w:r w:rsidR="001B7751" w:rsidRPr="00BE67B4">
        <w:rPr>
          <w:rFonts w:ascii="Times New Roman" w:eastAsia="Times New Roman" w:hAnsi="Times New Roman" w:cs="Times New Roman"/>
          <w:color w:val="000000"/>
          <w:lang w:val="de-DE"/>
        </w:rPr>
        <w:t xml:space="preserve"> «als Identität, so daß diese Totalitäten der Reflexion-in-sich, in ihrem Unterschiede nun auch als identische scheinen, oder gesetzt sind nur als eine und dieselbe Reflexion»</w:t>
      </w:r>
      <w:r w:rsidR="001B7751" w:rsidRPr="00BE67B4">
        <w:rPr>
          <w:rStyle w:val="Rimandonotaapidipagina"/>
          <w:rFonts w:ascii="Times New Roman" w:eastAsia="Times New Roman" w:hAnsi="Times New Roman" w:cs="Times New Roman"/>
          <w:color w:val="000000"/>
          <w:lang w:val="de-DE"/>
        </w:rPr>
        <w:footnoteReference w:id="499"/>
      </w:r>
      <w:r w:rsidR="001B7751" w:rsidRPr="00BE67B4">
        <w:rPr>
          <w:rFonts w:ascii="Times New Roman" w:eastAsia="Times New Roman" w:hAnsi="Times New Roman" w:cs="Times New Roman"/>
          <w:color w:val="000000"/>
          <w:lang w:val="de-DE"/>
        </w:rPr>
        <w:t xml:space="preserve">. </w:t>
      </w:r>
      <w:r w:rsidR="001B7751" w:rsidRPr="00BE67B4">
        <w:rPr>
          <w:rFonts w:ascii="Times New Roman" w:eastAsia="Times New Roman" w:hAnsi="Times New Roman" w:cs="Times New Roman"/>
          <w:color w:val="000000"/>
        </w:rPr>
        <w:t>Quella dinamica tipicamente riflessiva, per cui la differenza tende a porsi per sé o ad essere un mero apparire dell’identità, è adesso arginata e riassorbita dalla sostanza assoluta, le cui determinazioni sono da considerarsi come delle «identische Bestimmtheiten</w:t>
      </w:r>
      <w:r w:rsidR="001B7751" w:rsidRPr="00BE67B4">
        <w:rPr>
          <w:rFonts w:ascii="Times New Roman" w:eastAsia="Times New Roman" w:hAnsi="Times New Roman" w:cs="Times New Roman"/>
          <w:color w:val="000000"/>
          <w:lang w:val="de-DE"/>
        </w:rPr>
        <w:t>»</w:t>
      </w:r>
      <w:r w:rsidR="001B7751" w:rsidRPr="00BE67B4">
        <w:rPr>
          <w:rStyle w:val="Rimandonotaapidipagina"/>
          <w:rFonts w:ascii="Times New Roman" w:eastAsia="Times New Roman" w:hAnsi="Times New Roman" w:cs="Times New Roman"/>
          <w:color w:val="000000"/>
          <w:lang w:val="de-DE"/>
        </w:rPr>
        <w:footnoteReference w:id="500"/>
      </w:r>
      <w:r w:rsidR="001B7751" w:rsidRPr="00BE67B4">
        <w:rPr>
          <w:rFonts w:ascii="Times New Roman" w:eastAsia="Times New Roman" w:hAnsi="Times New Roman" w:cs="Times New Roman"/>
          <w:color w:val="000000"/>
          <w:lang w:val="de-DE"/>
        </w:rPr>
        <w:t>.</w:t>
      </w:r>
      <w:r>
        <w:rPr>
          <w:rFonts w:ascii="Times New Roman" w:eastAsia="Times New Roman" w:hAnsi="Times New Roman" w:cs="Times New Roman"/>
          <w:color w:val="000000"/>
          <w:lang w:val="de-DE"/>
        </w:rPr>
        <w:t xml:space="preserve"> </w:t>
      </w:r>
      <w:r w:rsidRPr="00372FD7">
        <w:rPr>
          <w:rFonts w:ascii="Times New Roman" w:eastAsia="Times New Roman" w:hAnsi="Times New Roman" w:cs="Times New Roman"/>
          <w:color w:val="000000"/>
        </w:rPr>
        <w:t>Riconducendo</w:t>
      </w:r>
      <w:r w:rsidR="001B7751" w:rsidRPr="00372FD7">
        <w:rPr>
          <w:rFonts w:ascii="Times New Roman" w:eastAsia="Times New Roman" w:hAnsi="Times New Roman" w:cs="Times New Roman"/>
          <w:color w:val="000000"/>
        </w:rPr>
        <w:t xml:space="preserve"> ad unità </w:t>
      </w:r>
      <w:r w:rsidRPr="00372FD7">
        <w:rPr>
          <w:rFonts w:ascii="Times New Roman" w:eastAsia="Times New Roman" w:hAnsi="Times New Roman" w:cs="Times New Roman"/>
          <w:color w:val="000000"/>
        </w:rPr>
        <w:t xml:space="preserve">la </w:t>
      </w:r>
      <w:r w:rsidR="001B7751" w:rsidRPr="00372FD7">
        <w:rPr>
          <w:rFonts w:ascii="Times New Roman" w:eastAsia="Times New Roman" w:hAnsi="Times New Roman" w:cs="Times New Roman"/>
          <w:color w:val="000000"/>
        </w:rPr>
        <w:t>diversità sostanziale, la sostanza è l’assoluta contraddizione, ossia totalità dispiegantesi a partire dal rapporto negativo a sé. Come è stato ricordato più volte, la negazione esprime il positivo essere con sé nell’altro da sé. A propria volta, quest’altro da sé, proprio perché determinazione identica della sostanza, è riassorbito, grazie alla sua intrinseca negatività, in quella stessa identità da cui era scaturita la dinamica processuale. La natura incond</w:t>
      </w:r>
      <w:r w:rsidR="00D028AA" w:rsidRPr="00372FD7">
        <w:rPr>
          <w:rFonts w:ascii="Times New Roman" w:eastAsia="Times New Roman" w:hAnsi="Times New Roman" w:cs="Times New Roman"/>
          <w:color w:val="000000"/>
        </w:rPr>
        <w:t xml:space="preserve">izionata della sostanza, che </w:t>
      </w:r>
      <w:r w:rsidR="001B7751" w:rsidRPr="00372FD7">
        <w:rPr>
          <w:rFonts w:ascii="Times New Roman" w:eastAsia="Times New Roman" w:hAnsi="Times New Roman" w:cs="Times New Roman"/>
          <w:color w:val="000000"/>
        </w:rPr>
        <w:t>esprime la sua contraddittorietà di fondo, può essere vista come un altro modo per c</w:t>
      </w:r>
      <w:r w:rsidR="00D028AA" w:rsidRPr="00372FD7">
        <w:rPr>
          <w:rFonts w:ascii="Times New Roman" w:eastAsia="Times New Roman" w:hAnsi="Times New Roman" w:cs="Times New Roman"/>
          <w:color w:val="000000"/>
        </w:rPr>
        <w:t xml:space="preserve">omprendere </w:t>
      </w:r>
      <w:r w:rsidR="001B7751" w:rsidRPr="00372FD7">
        <w:rPr>
          <w:rFonts w:ascii="Times New Roman" w:eastAsia="Times New Roman" w:hAnsi="Times New Roman" w:cs="Times New Roman"/>
          <w:color w:val="000000"/>
        </w:rPr>
        <w:t>l’</w:t>
      </w:r>
      <w:r w:rsidR="001B7751" w:rsidRPr="00372FD7">
        <w:rPr>
          <w:rFonts w:ascii="Times New Roman" w:eastAsia="Times New Roman" w:hAnsi="Times New Roman" w:cs="Times New Roman"/>
          <w:i/>
          <w:color w:val="000000"/>
        </w:rPr>
        <w:t>Ursprünglichkeit</w:t>
      </w:r>
      <w:r w:rsidR="001B7751" w:rsidRPr="00372FD7">
        <w:rPr>
          <w:rFonts w:ascii="Times New Roman" w:eastAsia="Times New Roman" w:hAnsi="Times New Roman" w:cs="Times New Roman"/>
          <w:color w:val="000000"/>
        </w:rPr>
        <w:t xml:space="preserve"> soggiacente all’automovimento dell’identità assoluta. Quanto visto nel </w:t>
      </w:r>
      <w:r w:rsidR="001B7751" w:rsidRPr="00372FD7">
        <w:rPr>
          <w:rFonts w:ascii="Times New Roman" w:eastAsia="Times New Roman" w:hAnsi="Times New Roman" w:cs="Times New Roman"/>
          <w:i/>
          <w:color w:val="000000"/>
          <w:lang w:val="de-DE"/>
        </w:rPr>
        <w:t>bestimmtes Causalitätsverhältniß</w:t>
      </w:r>
      <w:r w:rsidR="001B7751" w:rsidRPr="00372FD7">
        <w:rPr>
          <w:rFonts w:ascii="Times New Roman" w:eastAsia="Times New Roman" w:hAnsi="Times New Roman" w:cs="Times New Roman"/>
          <w:color w:val="000000"/>
        </w:rPr>
        <w:t xml:space="preserve"> trova</w:t>
      </w:r>
      <w:r w:rsidR="00D028AA" w:rsidRPr="00372FD7">
        <w:rPr>
          <w:rFonts w:ascii="Times New Roman" w:eastAsia="Times New Roman" w:hAnsi="Times New Roman" w:cs="Times New Roman"/>
          <w:color w:val="000000"/>
        </w:rPr>
        <w:t xml:space="preserve"> </w:t>
      </w:r>
      <w:r w:rsidR="001B7751" w:rsidRPr="00372FD7">
        <w:rPr>
          <w:rFonts w:ascii="Times New Roman" w:eastAsia="Times New Roman" w:hAnsi="Times New Roman" w:cs="Times New Roman"/>
          <w:color w:val="000000"/>
        </w:rPr>
        <w:t xml:space="preserve">una piena attualizzazione nella sezione dedicata alla </w:t>
      </w:r>
      <w:r w:rsidR="001B7751" w:rsidRPr="00372FD7">
        <w:rPr>
          <w:rFonts w:ascii="Times New Roman" w:eastAsia="Times New Roman" w:hAnsi="Times New Roman" w:cs="Times New Roman"/>
          <w:i/>
          <w:color w:val="000000"/>
          <w:lang w:val="de-DE"/>
        </w:rPr>
        <w:t>Wechselwirkung</w:t>
      </w:r>
      <w:r w:rsidR="001B7751" w:rsidRPr="00372FD7">
        <w:rPr>
          <w:rFonts w:ascii="Times New Roman" w:eastAsia="Times New Roman" w:hAnsi="Times New Roman" w:cs="Times New Roman"/>
          <w:color w:val="000000"/>
          <w:lang w:val="de-DE"/>
        </w:rPr>
        <w:t>.</w:t>
      </w:r>
      <w:r w:rsidR="001B7751" w:rsidRPr="00372FD7">
        <w:rPr>
          <w:rFonts w:ascii="Times New Roman" w:eastAsia="Times New Roman" w:hAnsi="Times New Roman" w:cs="Times New Roman"/>
          <w:color w:val="000000"/>
        </w:rPr>
        <w:t xml:space="preserve"> L’intrecciarsi di originarietà e negatività è ciò che determina il dover-agire della sostanza: non più un potere-agire, ma una necessità scevra da condizionamenti esteriori e, proprio per questa ragione, assolutamente libera. </w:t>
      </w:r>
      <w:r w:rsidR="006C53B5" w:rsidRPr="00372FD7">
        <w:rPr>
          <w:rFonts w:ascii="Times New Roman" w:eastAsia="Times New Roman" w:hAnsi="Times New Roman" w:cs="Times New Roman"/>
          <w:color w:val="000000"/>
        </w:rPr>
        <w:t xml:space="preserve">Essendo </w:t>
      </w:r>
      <w:r w:rsidR="006C53B5" w:rsidRPr="00372FD7">
        <w:rPr>
          <w:rFonts w:ascii="Times New Roman" w:eastAsia="Times New Roman" w:hAnsi="Times New Roman" w:cs="Times New Roman"/>
          <w:i/>
          <w:color w:val="000000"/>
        </w:rPr>
        <w:t>fonte</w:t>
      </w:r>
      <w:r w:rsidR="006C53B5" w:rsidRPr="00372FD7">
        <w:rPr>
          <w:rFonts w:ascii="Times New Roman" w:eastAsia="Times New Roman" w:hAnsi="Times New Roman" w:cs="Times New Roman"/>
          <w:color w:val="000000"/>
        </w:rPr>
        <w:t xml:space="preserve"> del proprio sviluppo e totalità in-sé-e-per-sé articolata, la sostanza s’avvera </w:t>
      </w:r>
      <w:r w:rsidR="006C53B5" w:rsidRPr="00372FD7">
        <w:rPr>
          <w:rFonts w:ascii="Times New Roman" w:eastAsia="Times New Roman" w:hAnsi="Times New Roman" w:cs="Times New Roman"/>
          <w:i/>
          <w:color w:val="000000"/>
        </w:rPr>
        <w:t>altrettanto decisamente come soggetto</w:t>
      </w:r>
      <w:r w:rsidR="007C1E4C">
        <w:rPr>
          <w:rFonts w:ascii="Times New Roman" w:eastAsia="Times New Roman" w:hAnsi="Times New Roman" w:cs="Times New Roman"/>
          <w:color w:val="000000"/>
        </w:rPr>
        <w:t>:</w:t>
      </w:r>
      <w:r w:rsidR="006C53B5">
        <w:rPr>
          <w:rFonts w:ascii="Times New Roman" w:eastAsia="Times New Roman" w:hAnsi="Times New Roman" w:cs="Times New Roman"/>
          <w:color w:val="000000"/>
        </w:rPr>
        <w:t xml:space="preserve"> </w:t>
      </w:r>
    </w:p>
    <w:p w14:paraId="5B7FCE5D" w14:textId="77777777" w:rsidR="007C1E4C" w:rsidRDefault="007C1E4C" w:rsidP="007C1E4C">
      <w:pPr>
        <w:pStyle w:val="Paragrafoelenco"/>
        <w:spacing w:line="360" w:lineRule="auto"/>
        <w:ind w:left="0" w:firstLine="567"/>
        <w:jc w:val="both"/>
        <w:rPr>
          <w:rFonts w:ascii="Times New Roman" w:eastAsia="Times New Roman" w:hAnsi="Times New Roman" w:cs="Times New Roman"/>
          <w:color w:val="000000"/>
        </w:rPr>
      </w:pPr>
    </w:p>
    <w:p w14:paraId="67A0A68A" w14:textId="025E9C30" w:rsidR="006C53B5" w:rsidRPr="007C1E4C" w:rsidRDefault="006C53B5" w:rsidP="007C1E4C">
      <w:pPr>
        <w:pStyle w:val="Paragrafoelenco"/>
        <w:spacing w:line="360" w:lineRule="auto"/>
        <w:ind w:left="567" w:firstLine="567"/>
        <w:jc w:val="both"/>
        <w:rPr>
          <w:rFonts w:ascii="Times New Roman" w:eastAsia="Times New Roman" w:hAnsi="Times New Roman" w:cs="Times New Roman"/>
          <w:color w:val="000000"/>
          <w:lang w:val="de-DE"/>
        </w:rPr>
      </w:pPr>
      <w:r w:rsidRPr="00BB393E">
        <w:rPr>
          <w:rFonts w:ascii="Times New Roman" w:eastAsia="Times New Roman" w:hAnsi="Times New Roman" w:cs="Times New Roman"/>
          <w:color w:val="000000"/>
          <w:sz w:val="20"/>
          <w:szCs w:val="20"/>
        </w:rPr>
        <w:t>«</w:t>
      </w:r>
      <w:r w:rsidR="007C1E4C" w:rsidRPr="00EA2A01">
        <w:rPr>
          <w:rFonts w:ascii="Times New Roman" w:hAnsi="Times New Roman" w:cs="Times New Roman"/>
          <w:sz w:val="20"/>
          <w:szCs w:val="20"/>
          <w:lang w:val="de-DE"/>
        </w:rPr>
        <w:t>Die betrachtete Negativität macht nun den Wendungspunkt der Bewegung des Begriffes aus. Sie ist der einfache Punkt der negativen Beziehung auf sich, der innerste Quell aller Tätigkeit, lebendiger und geistiger Selbstbewegung, die dialektische Seele, die alles Wahre an ihm selbst hat, durch die es allein Wahres ist; denn auf dieser Subjektivität allein ruht das Aufheben des Gegensatzes zwischen Begriff und Realität und die Einheit, welche die Wahrheit ist</w:t>
      </w:r>
      <w:r w:rsidR="002A2EF9" w:rsidRPr="00BE67B4">
        <w:rPr>
          <w:rFonts w:ascii="Times New Roman" w:eastAsia="Times New Roman" w:hAnsi="Times New Roman" w:cs="Times New Roman"/>
          <w:color w:val="000000"/>
          <w:sz w:val="20"/>
          <w:szCs w:val="20"/>
          <w:lang w:val="de-DE"/>
        </w:rPr>
        <w:t>»</w:t>
      </w:r>
      <w:r>
        <w:rPr>
          <w:rStyle w:val="Rimandonotaapidipagina"/>
          <w:rFonts w:ascii="Times New Roman" w:eastAsia="Times New Roman" w:hAnsi="Times New Roman" w:cs="Times New Roman"/>
          <w:color w:val="000000"/>
          <w:sz w:val="20"/>
          <w:szCs w:val="20"/>
          <w:lang w:val="de-DE"/>
        </w:rPr>
        <w:footnoteReference w:id="501"/>
      </w:r>
      <w:r w:rsidR="002A2EF9">
        <w:rPr>
          <w:rFonts w:ascii="Times New Roman" w:eastAsia="Times New Roman" w:hAnsi="Times New Roman" w:cs="Times New Roman"/>
          <w:color w:val="000000"/>
          <w:sz w:val="20"/>
          <w:szCs w:val="20"/>
          <w:lang w:val="de-DE"/>
        </w:rPr>
        <w:t>.</w:t>
      </w:r>
    </w:p>
    <w:p w14:paraId="2CE1EC14" w14:textId="7984F3EC" w:rsidR="001B7751" w:rsidRPr="007B2869" w:rsidRDefault="001B7751" w:rsidP="006D69C1">
      <w:pPr>
        <w:pStyle w:val="Paragrafoelenco"/>
        <w:spacing w:line="360" w:lineRule="auto"/>
        <w:ind w:left="0" w:firstLine="567"/>
        <w:jc w:val="both"/>
        <w:rPr>
          <w:rFonts w:ascii="Times New Roman" w:eastAsia="Times New Roman" w:hAnsi="Times New Roman" w:cs="Times New Roman"/>
          <w:color w:val="000000"/>
          <w:lang w:val="de-DE"/>
        </w:rPr>
      </w:pPr>
    </w:p>
    <w:p w14:paraId="722A8BD0" w14:textId="0B7C2936" w:rsidR="001B7751" w:rsidRPr="006C5DC6" w:rsidRDefault="001B7751" w:rsidP="001B7751">
      <w:pPr>
        <w:pStyle w:val="Paragrafoelenco"/>
        <w:spacing w:line="360" w:lineRule="auto"/>
        <w:ind w:left="0" w:firstLine="567"/>
        <w:jc w:val="both"/>
        <w:rPr>
          <w:rFonts w:ascii="Times New Roman" w:eastAsia="Times New Roman" w:hAnsi="Times New Roman" w:cs="Times New Roman"/>
          <w:color w:val="000000"/>
        </w:rPr>
      </w:pPr>
      <w:r w:rsidRPr="00B05618">
        <w:rPr>
          <w:rFonts w:ascii="Times New Roman" w:eastAsia="Times New Roman" w:hAnsi="Times New Roman" w:cs="Times New Roman"/>
          <w:color w:val="000000"/>
        </w:rPr>
        <w:t xml:space="preserve">Nelle battute conclusive della </w:t>
      </w:r>
      <w:r w:rsidRPr="00B05618">
        <w:rPr>
          <w:rFonts w:ascii="Times New Roman" w:eastAsia="Times New Roman" w:hAnsi="Times New Roman" w:cs="Times New Roman"/>
          <w:i/>
          <w:color w:val="000000"/>
        </w:rPr>
        <w:t>Wesenslogik</w:t>
      </w:r>
      <w:r w:rsidRPr="00B05618">
        <w:rPr>
          <w:rFonts w:ascii="Times New Roman" w:eastAsia="Times New Roman" w:hAnsi="Times New Roman" w:cs="Times New Roman"/>
          <w:color w:val="000000"/>
        </w:rPr>
        <w:t>, avviene quel passaggio dalla sostanza di matrice spinoziana</w:t>
      </w:r>
      <w:r>
        <w:rPr>
          <w:rFonts w:ascii="Times New Roman" w:eastAsia="Times New Roman" w:hAnsi="Times New Roman" w:cs="Times New Roman"/>
          <w:color w:val="000000"/>
        </w:rPr>
        <w:t xml:space="preserve"> alla soggettività assoluta già visto nella </w:t>
      </w:r>
      <w:r w:rsidRPr="00FF3C1E">
        <w:rPr>
          <w:rFonts w:ascii="Times New Roman" w:eastAsia="Times New Roman" w:hAnsi="Times New Roman" w:cs="Times New Roman"/>
          <w:i/>
          <w:color w:val="000000"/>
        </w:rPr>
        <w:t>Jenaer Logik und Metaphysik</w:t>
      </w:r>
      <w:r>
        <w:rPr>
          <w:rFonts w:ascii="Times New Roman" w:eastAsia="Times New Roman" w:hAnsi="Times New Roman" w:cs="Times New Roman"/>
          <w:color w:val="000000"/>
        </w:rPr>
        <w:t>. In quel caso, lo spinozismo era stato superato da una concezione dell’</w:t>
      </w:r>
      <w:r w:rsidRPr="00C7563D">
        <w:rPr>
          <w:rFonts w:ascii="Times New Roman" w:eastAsia="Times New Roman" w:hAnsi="Times New Roman" w:cs="Times New Roman"/>
          <w:i/>
          <w:color w:val="000000"/>
        </w:rPr>
        <w:t xml:space="preserve">essenza suprema </w:t>
      </w:r>
      <w:r>
        <w:rPr>
          <w:rFonts w:ascii="Times New Roman" w:eastAsia="Times New Roman" w:hAnsi="Times New Roman" w:cs="Times New Roman"/>
          <w:color w:val="000000"/>
        </w:rPr>
        <w:t>in grado di ricomporre in sé l’opposizione del principio buono e del principio cattivo. Ciò che raccoglie in unità gli opposti manifesta e palesa la sua natura intrinsecamente contraddittoria. È in virtù della contraddizione, non di altro, che può emergere una struttura relazionale assoluta</w:t>
      </w:r>
      <w:r w:rsidRPr="00CE1464">
        <w:rPr>
          <w:rFonts w:ascii="Times New Roman" w:eastAsia="Times New Roman" w:hAnsi="Times New Roman" w:cs="Times New Roman"/>
          <w:color w:val="000000"/>
        </w:rPr>
        <w:t xml:space="preserve">, in cui l’identità assoluta è </w:t>
      </w:r>
      <w:r w:rsidRPr="00CE1464">
        <w:rPr>
          <w:rFonts w:ascii="Times New Roman" w:eastAsia="Times New Roman" w:hAnsi="Times New Roman" w:cs="Times New Roman"/>
          <w:i/>
          <w:color w:val="000000"/>
        </w:rPr>
        <w:t xml:space="preserve">fonte </w:t>
      </w:r>
      <w:r w:rsidRPr="00CE1464">
        <w:rPr>
          <w:rFonts w:ascii="Times New Roman" w:eastAsia="Times New Roman" w:hAnsi="Times New Roman" w:cs="Times New Roman"/>
          <w:color w:val="000000"/>
        </w:rPr>
        <w:t xml:space="preserve">interna del </w:t>
      </w:r>
      <w:r w:rsidRPr="005F6CF2">
        <w:rPr>
          <w:rFonts w:ascii="Times New Roman" w:eastAsia="Times New Roman" w:hAnsi="Times New Roman" w:cs="Times New Roman"/>
          <w:color w:val="000000"/>
        </w:rPr>
        <w:t>proprio sviluppo. Si ricorderà come il pensiero di Böhme abbia offerto ad Hegel uno strumentario speculativo capace di definire tanto il passaggio da un punto di vista sostanzialistico ad uno soggettivistico, quanto la natura essenzialmente negativa del pensiero. È stato visto come questa interpretazione sia stata mantenuta e riproposta nella logica dell’essenza</w:t>
      </w:r>
      <w:r w:rsidRPr="00CE1464">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La nozione d’</w:t>
      </w:r>
      <w:r w:rsidRPr="00356AF1">
        <w:rPr>
          <w:rFonts w:ascii="Times New Roman" w:eastAsia="Times New Roman" w:hAnsi="Times New Roman" w:cs="Times New Roman"/>
          <w:i/>
          <w:color w:val="000000"/>
        </w:rPr>
        <w:t>Inqualierung</w:t>
      </w:r>
      <w:r>
        <w:rPr>
          <w:rFonts w:ascii="Times New Roman" w:eastAsia="Times New Roman" w:hAnsi="Times New Roman" w:cs="Times New Roman"/>
          <w:color w:val="000000"/>
        </w:rPr>
        <w:t xml:space="preserve">, difatti, attesta la natura contraddittoria del pensiero. </w:t>
      </w:r>
      <w:r w:rsidRPr="00155C19">
        <w:rPr>
          <w:rFonts w:ascii="Times New Roman" w:eastAsia="Times New Roman" w:hAnsi="Times New Roman" w:cs="Times New Roman"/>
          <w:color w:val="000000"/>
        </w:rPr>
        <w:t xml:space="preserve">È in forza della contraddizione che l’identità assoluta è colta come lo schiudersi della propria positività e l’aprirsi alla sfera del cambiamento e della molteplicità. Un aprirsi che non è un perdersi, ma un respingersi </w:t>
      </w:r>
      <w:r>
        <w:rPr>
          <w:rFonts w:ascii="Times New Roman" w:eastAsia="Times New Roman" w:hAnsi="Times New Roman" w:cs="Times New Roman"/>
          <w:color w:val="000000"/>
        </w:rPr>
        <w:t>e</w:t>
      </w:r>
      <w:r w:rsidRPr="00155C19">
        <w:rPr>
          <w:rFonts w:ascii="Times New Roman" w:eastAsia="Times New Roman" w:hAnsi="Times New Roman" w:cs="Times New Roman"/>
          <w:color w:val="000000"/>
        </w:rPr>
        <w:t xml:space="preserve"> un riprendersi da sé in sé. A questo riguardo, l’ontologia spinoziana e la monadologia leibniziana offrono delle approssimazioni speculativamente insoddisfacenti di quello che dovrebbe essere lo sviluppo dell’Assoluto: all’essere in sé della sostanza (unità in sé conchiusa) corrisponde una perdita di sé (apertura) in una molteplicità di determinazioni per sé sussistenti. Quel tassello, che permette d’unificare gli aspetti unilaterali dello spinozismo e della monadologia, è la </w:t>
      </w:r>
      <w:r w:rsidRPr="00372FD7">
        <w:rPr>
          <w:rFonts w:ascii="Times New Roman" w:eastAsia="Times New Roman" w:hAnsi="Times New Roman" w:cs="Times New Roman"/>
          <w:color w:val="000000"/>
        </w:rPr>
        <w:t>nozione böhmiana d’</w:t>
      </w:r>
      <w:r w:rsidRPr="00372FD7">
        <w:rPr>
          <w:rFonts w:ascii="Times New Roman" w:eastAsia="Times New Roman" w:hAnsi="Times New Roman" w:cs="Times New Roman"/>
          <w:i/>
          <w:color w:val="000000"/>
        </w:rPr>
        <w:t>Inqualierung</w:t>
      </w:r>
      <w:r w:rsidRPr="00372FD7">
        <w:rPr>
          <w:rFonts w:ascii="Times New Roman" w:eastAsia="Times New Roman" w:hAnsi="Times New Roman" w:cs="Times New Roman"/>
          <w:color w:val="000000"/>
        </w:rPr>
        <w:t xml:space="preserve">. Il fatto che la sostanza sia </w:t>
      </w:r>
      <w:r w:rsidRPr="00372FD7">
        <w:rPr>
          <w:rFonts w:ascii="Times New Roman" w:eastAsia="Times New Roman" w:hAnsi="Times New Roman" w:cs="Times New Roman"/>
          <w:i/>
          <w:color w:val="000000"/>
        </w:rPr>
        <w:t xml:space="preserve">fonte </w:t>
      </w:r>
      <w:r w:rsidRPr="00372FD7">
        <w:rPr>
          <w:rFonts w:ascii="Times New Roman" w:eastAsia="Times New Roman" w:hAnsi="Times New Roman" w:cs="Times New Roman"/>
          <w:color w:val="000000"/>
        </w:rPr>
        <w:t xml:space="preserve">del suo prodursi e che in forza di ciò sia </w:t>
      </w:r>
      <w:r w:rsidR="009D1A83" w:rsidRPr="00372FD7">
        <w:rPr>
          <w:rFonts w:ascii="Times New Roman" w:eastAsia="Times New Roman" w:hAnsi="Times New Roman" w:cs="Times New Roman"/>
          <w:color w:val="000000"/>
        </w:rPr>
        <w:t xml:space="preserve">originaria </w:t>
      </w:r>
      <w:r w:rsidRPr="00372FD7">
        <w:rPr>
          <w:rFonts w:ascii="Times New Roman" w:eastAsia="Times New Roman" w:hAnsi="Times New Roman" w:cs="Times New Roman"/>
          <w:color w:val="000000"/>
        </w:rPr>
        <w:t xml:space="preserve">negazione di sé e positivo andare con sé nella propria alterità, restituisce non soltanto uno dei momenti più significati della </w:t>
      </w:r>
      <w:r w:rsidRPr="00372FD7">
        <w:rPr>
          <w:rFonts w:ascii="Times New Roman" w:eastAsia="Times New Roman" w:hAnsi="Times New Roman" w:cs="Times New Roman"/>
          <w:i/>
          <w:color w:val="000000"/>
        </w:rPr>
        <w:t>Wesenslogik</w:t>
      </w:r>
      <w:r w:rsidRPr="00372FD7">
        <w:rPr>
          <w:rFonts w:ascii="Times New Roman" w:eastAsia="Times New Roman" w:hAnsi="Times New Roman" w:cs="Times New Roman"/>
          <w:color w:val="000000"/>
        </w:rPr>
        <w:t>, ma anche una delle interpretazioni storico-filosofiche</w:t>
      </w:r>
      <w:r w:rsidRPr="00372FD7">
        <w:rPr>
          <w:rFonts w:ascii="Times New Roman" w:eastAsia="Times New Roman" w:hAnsi="Times New Roman" w:cs="Times New Roman"/>
          <w:i/>
          <w:color w:val="000000"/>
        </w:rPr>
        <w:t xml:space="preserve"> </w:t>
      </w:r>
      <w:r w:rsidRPr="00372FD7">
        <w:rPr>
          <w:rFonts w:ascii="Times New Roman" w:eastAsia="Times New Roman" w:hAnsi="Times New Roman" w:cs="Times New Roman"/>
          <w:color w:val="000000"/>
        </w:rPr>
        <w:t xml:space="preserve">più sorprendenti e rilevanti nell’economia generale del pensiero hegeliano. La negatività assoluta del pensiero </w:t>
      </w:r>
      <w:r w:rsidR="00D028AA" w:rsidRPr="00372FD7">
        <w:rPr>
          <w:rFonts w:ascii="Times New Roman" w:eastAsia="Times New Roman" w:hAnsi="Times New Roman" w:cs="Times New Roman"/>
          <w:color w:val="000000"/>
        </w:rPr>
        <w:t xml:space="preserve">puro </w:t>
      </w:r>
      <w:r w:rsidRPr="00372FD7">
        <w:rPr>
          <w:rFonts w:ascii="Times New Roman" w:eastAsia="Times New Roman" w:hAnsi="Times New Roman" w:cs="Times New Roman"/>
          <w:color w:val="000000"/>
        </w:rPr>
        <w:t>è un’acquisizione teorico-speculativa che, fra i suoi molteplici elementi costitutivi, annovera anche la riflessione böhmiana. La negatività si lascia alle spalle il dileguare della sfera dell’essere, assume delle caratteristiche riflessive e si definisce, infine, come struttura autogenerativa del pensare. Ciò che trova in sé, non in altro, la propria ragione d’essere, è totalità assoluta: ed è tale nella misura in cui è unità di positivo e negativo, ossia radice dialettica del proprio sviluppo.</w:t>
      </w:r>
      <w:r w:rsidRPr="006C5DC6">
        <w:rPr>
          <w:rFonts w:ascii="Times New Roman" w:eastAsia="Times New Roman" w:hAnsi="Times New Roman" w:cs="Times New Roman"/>
          <w:color w:val="000000"/>
        </w:rPr>
        <w:t xml:space="preserve"> </w:t>
      </w:r>
    </w:p>
    <w:p w14:paraId="5AFCCC14" w14:textId="0CB0510D" w:rsidR="001B7751" w:rsidRDefault="001B7751" w:rsidP="00276556">
      <w:pPr>
        <w:pStyle w:val="Paragrafoelenco"/>
        <w:spacing w:line="360" w:lineRule="auto"/>
        <w:ind w:left="0" w:firstLine="567"/>
        <w:jc w:val="both"/>
        <w:rPr>
          <w:rFonts w:ascii="Times New Roman" w:eastAsia="Times New Roman" w:hAnsi="Times New Roman" w:cs="Times New Roman"/>
          <w:color w:val="000000"/>
        </w:rPr>
        <w:sectPr w:rsidR="001B7751" w:rsidSect="001B7751">
          <w:footnotePr>
            <w:numRestart w:val="eachSect"/>
          </w:footnotePr>
          <w:type w:val="continuous"/>
          <w:pgSz w:w="11900" w:h="16840"/>
          <w:pgMar w:top="1418" w:right="1418" w:bottom="1418" w:left="1985" w:header="708" w:footer="708" w:gutter="0"/>
          <w:cols w:space="708"/>
          <w:docGrid w:linePitch="360"/>
        </w:sectPr>
      </w:pPr>
      <w:r w:rsidRPr="006C5DC6">
        <w:rPr>
          <w:rFonts w:ascii="Times New Roman" w:eastAsia="Times New Roman" w:hAnsi="Times New Roman" w:cs="Times New Roman"/>
          <w:color w:val="000000"/>
        </w:rPr>
        <w:t xml:space="preserve">Tutti questi elementi d’ordine speculativo consentono d’aprire, adesso, una nota riassuntiva sulla natura </w:t>
      </w:r>
      <w:r w:rsidRPr="006C5DC6">
        <w:rPr>
          <w:rFonts w:ascii="Times New Roman" w:eastAsia="Times New Roman" w:hAnsi="Times New Roman" w:cs="Times New Roman"/>
          <w:i/>
          <w:color w:val="000000"/>
        </w:rPr>
        <w:t>cabbalistica</w:t>
      </w:r>
      <w:r w:rsidRPr="006C5DC6">
        <w:rPr>
          <w:rFonts w:ascii="Times New Roman" w:eastAsia="Times New Roman" w:hAnsi="Times New Roman" w:cs="Times New Roman"/>
          <w:color w:val="000000"/>
        </w:rPr>
        <w:t xml:space="preserve"> della </w:t>
      </w:r>
      <w:r w:rsidRPr="006C5DC6">
        <w:rPr>
          <w:rFonts w:ascii="Times New Roman" w:eastAsia="Times New Roman" w:hAnsi="Times New Roman" w:cs="Times New Roman"/>
          <w:i/>
          <w:color w:val="000000"/>
        </w:rPr>
        <w:t xml:space="preserve">logica </w:t>
      </w:r>
      <w:r w:rsidRPr="006C5DC6">
        <w:rPr>
          <w:rFonts w:ascii="Times New Roman" w:eastAsia="Times New Roman" w:hAnsi="Times New Roman" w:cs="Times New Roman"/>
          <w:color w:val="000000"/>
        </w:rPr>
        <w:t>di Hegel.</w:t>
      </w:r>
      <w:r w:rsidRPr="006978B1">
        <w:rPr>
          <w:rFonts w:ascii="Times New Roman" w:eastAsia="Times New Roman" w:hAnsi="Times New Roman" w:cs="Times New Roman"/>
          <w:color w:val="000000"/>
        </w:rPr>
        <w:t xml:space="preserve"> A ben vedere, l’interpretazione hegeliana del pensiero di Böhme è perfettamente a</w:t>
      </w:r>
      <w:r>
        <w:rPr>
          <w:rFonts w:ascii="Times New Roman" w:eastAsia="Times New Roman" w:hAnsi="Times New Roman" w:cs="Times New Roman"/>
          <w:color w:val="000000"/>
        </w:rPr>
        <w:t>derente</w:t>
      </w:r>
      <w:r w:rsidRPr="006978B1">
        <w:rPr>
          <w:rFonts w:ascii="Times New Roman" w:eastAsia="Times New Roman" w:hAnsi="Times New Roman" w:cs="Times New Roman"/>
          <w:color w:val="000000"/>
        </w:rPr>
        <w:t xml:space="preserve"> a quanto sostenuto da Moshe Idel ne </w:t>
      </w:r>
      <w:r w:rsidRPr="006978B1">
        <w:rPr>
          <w:rFonts w:ascii="Times New Roman" w:eastAsia="Times New Roman" w:hAnsi="Times New Roman" w:cs="Times New Roman"/>
          <w:i/>
          <w:color w:val="000000"/>
        </w:rPr>
        <w:t xml:space="preserve">Il </w:t>
      </w:r>
      <w:r w:rsidRPr="00372FD7">
        <w:rPr>
          <w:rFonts w:ascii="Times New Roman" w:eastAsia="Times New Roman" w:hAnsi="Times New Roman" w:cs="Times New Roman"/>
          <w:i/>
          <w:color w:val="000000"/>
        </w:rPr>
        <w:t>male primordiale nella Qabbalah</w:t>
      </w:r>
      <w:r w:rsidRPr="00372FD7">
        <w:rPr>
          <w:rFonts w:ascii="Times New Roman" w:eastAsia="Times New Roman" w:hAnsi="Times New Roman" w:cs="Times New Roman"/>
          <w:color w:val="000000"/>
        </w:rPr>
        <w:t>: l’intrecciarsi di negatività assoluta e pensiero puro rispecchia l’apporto della tradizione mistica nell’impianto logico hegeliano. Questo rivivere del mistico nel pensiero di Hegel si lascia spiegare a partir</w:t>
      </w:r>
      <w:r w:rsidR="00D028AA" w:rsidRPr="00372FD7">
        <w:rPr>
          <w:rFonts w:ascii="Times New Roman" w:eastAsia="Times New Roman" w:hAnsi="Times New Roman" w:cs="Times New Roman"/>
          <w:color w:val="000000"/>
        </w:rPr>
        <w:t xml:space="preserve">e dalla ricezione jenese di un </w:t>
      </w:r>
      <w:r w:rsidR="00021560" w:rsidRPr="00372FD7">
        <w:rPr>
          <w:rFonts w:ascii="Times New Roman" w:eastAsia="Times New Roman" w:hAnsi="Times New Roman" w:cs="Times New Roman"/>
          <w:color w:val="000000"/>
        </w:rPr>
        <w:t>autore</w:t>
      </w:r>
      <w:r w:rsidRPr="00372FD7">
        <w:rPr>
          <w:rFonts w:ascii="Times New Roman" w:eastAsia="Times New Roman" w:hAnsi="Times New Roman" w:cs="Times New Roman"/>
          <w:color w:val="000000"/>
        </w:rPr>
        <w:t>, Jakob</w:t>
      </w:r>
      <w:r w:rsidRPr="00140F8B">
        <w:rPr>
          <w:rFonts w:ascii="Times New Roman" w:eastAsia="Times New Roman" w:hAnsi="Times New Roman" w:cs="Times New Roman"/>
          <w:color w:val="000000"/>
        </w:rPr>
        <w:t xml:space="preserve"> Böhme, che si è ispirato ad alcuni elementi teorici del misticismo ebraico. All’indeterminatezza delle fonti denunciata da Idel, si può rispondere che un certo universo simbolico cabbalistico è recepito e valorizzato da Hegel grazie alla mediazione böhmiana: la teoria del bene e del male, declinata nei termini di un dualismo di principi coessenziali alla natura divina, riflette – sempre che si tenga ferma l’interpretazione di Hegel – quella natura contraddittoria del pensiero su cui si regge la concezione hegeliana dell’effettuale. Il collocarsi di questa ricezione nel periodo jenese e il suo reiterarsi nella </w:t>
      </w:r>
      <w:r w:rsidRPr="00140F8B">
        <w:rPr>
          <w:rFonts w:ascii="Times New Roman" w:eastAsia="Times New Roman" w:hAnsi="Times New Roman" w:cs="Times New Roman"/>
          <w:i/>
          <w:color w:val="000000"/>
        </w:rPr>
        <w:t>Wissenschaft der Logik</w:t>
      </w:r>
      <w:r w:rsidRPr="00140F8B">
        <w:rPr>
          <w:rFonts w:ascii="Times New Roman" w:eastAsia="Times New Roman" w:hAnsi="Times New Roman" w:cs="Times New Roman"/>
          <w:color w:val="000000"/>
        </w:rPr>
        <w:t xml:space="preserve"> manifestano, per di più, un fondersi dell’elemento mistico con quelle strutture logico-concettuali che hanno fatto di Hegel un </w:t>
      </w:r>
      <w:r w:rsidR="00D028AA">
        <w:rPr>
          <w:rFonts w:ascii="Times New Roman" w:eastAsia="Times New Roman" w:hAnsi="Times New Roman" w:cs="Times New Roman"/>
          <w:color w:val="000000"/>
        </w:rPr>
        <w:t xml:space="preserve">pensatore </w:t>
      </w:r>
      <w:r w:rsidR="00FC60D4">
        <w:rPr>
          <w:rFonts w:ascii="Times New Roman" w:eastAsia="Times New Roman" w:hAnsi="Times New Roman" w:cs="Times New Roman"/>
          <w:color w:val="000000"/>
        </w:rPr>
        <w:t>contemporaneo imprescindibile</w:t>
      </w:r>
      <w:r w:rsidRPr="00140F8B">
        <w:rPr>
          <w:rFonts w:ascii="Times New Roman" w:eastAsia="Times New Roman" w:hAnsi="Times New Roman" w:cs="Times New Roman"/>
          <w:color w:val="000000"/>
        </w:rPr>
        <w:t>.</w:t>
      </w:r>
    </w:p>
    <w:p w14:paraId="4BF44E0E" w14:textId="77777777" w:rsidR="001B7751" w:rsidRPr="00933FAC" w:rsidRDefault="001B7751" w:rsidP="00276556">
      <w:pPr>
        <w:spacing w:line="360" w:lineRule="auto"/>
        <w:jc w:val="both"/>
        <w:rPr>
          <w:rFonts w:ascii="Times New Roman" w:eastAsia="Times New Roman" w:hAnsi="Times New Roman" w:cs="Times New Roman"/>
          <w:color w:val="000000"/>
        </w:rPr>
      </w:pPr>
    </w:p>
    <w:p w14:paraId="42D33DF8" w14:textId="77777777" w:rsidR="001B7751" w:rsidRDefault="001B7751" w:rsidP="001B7751">
      <w:pPr>
        <w:jc w:val="both"/>
        <w:rPr>
          <w:rFonts w:ascii="Times New Roman" w:hAnsi="Times New Roman"/>
          <w:i/>
        </w:rPr>
      </w:pPr>
    </w:p>
    <w:p w14:paraId="0D38E4F4" w14:textId="77777777" w:rsidR="00276556" w:rsidRDefault="00276556" w:rsidP="001B7751">
      <w:pPr>
        <w:jc w:val="both"/>
        <w:rPr>
          <w:rFonts w:ascii="Times New Roman" w:hAnsi="Times New Roman"/>
          <w:i/>
        </w:rPr>
      </w:pPr>
    </w:p>
    <w:p w14:paraId="5AB411F9" w14:textId="77777777" w:rsidR="00276556" w:rsidRDefault="00276556" w:rsidP="001B7751">
      <w:pPr>
        <w:jc w:val="both"/>
        <w:rPr>
          <w:rFonts w:ascii="Times New Roman" w:hAnsi="Times New Roman"/>
          <w:i/>
        </w:rPr>
      </w:pPr>
    </w:p>
    <w:p w14:paraId="4922532D" w14:textId="77777777" w:rsidR="00276556" w:rsidRDefault="00276556" w:rsidP="001B7751">
      <w:pPr>
        <w:jc w:val="both"/>
        <w:rPr>
          <w:rFonts w:ascii="Times New Roman" w:hAnsi="Times New Roman"/>
          <w:i/>
        </w:rPr>
      </w:pPr>
    </w:p>
    <w:p w14:paraId="44DDB765" w14:textId="77777777" w:rsidR="00276556" w:rsidRDefault="00276556" w:rsidP="001B7751">
      <w:pPr>
        <w:jc w:val="both"/>
        <w:rPr>
          <w:rFonts w:ascii="Times New Roman" w:hAnsi="Times New Roman"/>
          <w:i/>
        </w:rPr>
      </w:pPr>
    </w:p>
    <w:p w14:paraId="127ADF64" w14:textId="77777777" w:rsidR="005D1753" w:rsidRDefault="005D1753" w:rsidP="001B7751">
      <w:pPr>
        <w:jc w:val="both"/>
        <w:rPr>
          <w:rFonts w:ascii="Times New Roman" w:hAnsi="Times New Roman"/>
          <w:i/>
        </w:rPr>
      </w:pPr>
    </w:p>
    <w:p w14:paraId="0ED8CD08" w14:textId="77777777" w:rsidR="005D1753" w:rsidRDefault="005D1753" w:rsidP="001B7751">
      <w:pPr>
        <w:jc w:val="both"/>
        <w:rPr>
          <w:rFonts w:ascii="Times New Roman" w:hAnsi="Times New Roman"/>
          <w:i/>
        </w:rPr>
      </w:pPr>
    </w:p>
    <w:p w14:paraId="2E3E6D3F" w14:textId="77777777" w:rsidR="005D1753" w:rsidRDefault="005D1753" w:rsidP="001B7751">
      <w:pPr>
        <w:jc w:val="both"/>
        <w:rPr>
          <w:rFonts w:ascii="Times New Roman" w:hAnsi="Times New Roman"/>
          <w:i/>
        </w:rPr>
      </w:pPr>
    </w:p>
    <w:p w14:paraId="2BF1CC5A" w14:textId="77777777" w:rsidR="005D1753" w:rsidRDefault="005D1753" w:rsidP="001B7751">
      <w:pPr>
        <w:jc w:val="both"/>
        <w:rPr>
          <w:rFonts w:ascii="Times New Roman" w:hAnsi="Times New Roman"/>
          <w:i/>
        </w:rPr>
      </w:pPr>
    </w:p>
    <w:p w14:paraId="76395097" w14:textId="77777777" w:rsidR="005D1753" w:rsidRDefault="005D1753" w:rsidP="001B7751">
      <w:pPr>
        <w:jc w:val="both"/>
        <w:rPr>
          <w:rFonts w:ascii="Times New Roman" w:hAnsi="Times New Roman"/>
          <w:i/>
        </w:rPr>
      </w:pPr>
    </w:p>
    <w:p w14:paraId="0FD59E07" w14:textId="77777777" w:rsidR="005D1753" w:rsidRDefault="005D1753" w:rsidP="001B7751">
      <w:pPr>
        <w:jc w:val="both"/>
        <w:rPr>
          <w:rFonts w:ascii="Times New Roman" w:hAnsi="Times New Roman"/>
          <w:i/>
        </w:rPr>
      </w:pPr>
    </w:p>
    <w:p w14:paraId="111C3F0C" w14:textId="77777777" w:rsidR="005D1753" w:rsidRDefault="005D1753" w:rsidP="001B7751">
      <w:pPr>
        <w:jc w:val="both"/>
        <w:rPr>
          <w:rFonts w:ascii="Times New Roman" w:hAnsi="Times New Roman"/>
          <w:i/>
        </w:rPr>
      </w:pPr>
    </w:p>
    <w:p w14:paraId="03AB744C" w14:textId="77777777" w:rsidR="005D1753" w:rsidRDefault="005D1753" w:rsidP="001B7751">
      <w:pPr>
        <w:jc w:val="both"/>
        <w:rPr>
          <w:rFonts w:ascii="Times New Roman" w:hAnsi="Times New Roman"/>
          <w:i/>
        </w:rPr>
      </w:pPr>
    </w:p>
    <w:p w14:paraId="63993F47" w14:textId="77777777" w:rsidR="005D1753" w:rsidRDefault="005D1753" w:rsidP="001B7751">
      <w:pPr>
        <w:jc w:val="both"/>
        <w:rPr>
          <w:rFonts w:ascii="Times New Roman" w:hAnsi="Times New Roman"/>
          <w:i/>
        </w:rPr>
      </w:pPr>
    </w:p>
    <w:p w14:paraId="091D856D" w14:textId="77777777" w:rsidR="005D1753" w:rsidRDefault="005D1753" w:rsidP="001B7751">
      <w:pPr>
        <w:jc w:val="both"/>
        <w:rPr>
          <w:rFonts w:ascii="Times New Roman" w:hAnsi="Times New Roman"/>
          <w:i/>
        </w:rPr>
      </w:pPr>
    </w:p>
    <w:p w14:paraId="4C945906" w14:textId="77777777" w:rsidR="005D1753" w:rsidRDefault="005D1753" w:rsidP="001B7751">
      <w:pPr>
        <w:jc w:val="both"/>
        <w:rPr>
          <w:rFonts w:ascii="Times New Roman" w:hAnsi="Times New Roman"/>
          <w:i/>
        </w:rPr>
      </w:pPr>
    </w:p>
    <w:p w14:paraId="338AE81F" w14:textId="77777777" w:rsidR="00446791" w:rsidRDefault="00446791" w:rsidP="001B7751">
      <w:pPr>
        <w:jc w:val="both"/>
        <w:rPr>
          <w:rFonts w:ascii="Times New Roman" w:hAnsi="Times New Roman"/>
          <w:i/>
        </w:rPr>
      </w:pPr>
    </w:p>
    <w:p w14:paraId="0C927DBA" w14:textId="77777777" w:rsidR="00DC1AEA" w:rsidRDefault="00DC1AEA" w:rsidP="001B7751">
      <w:pPr>
        <w:jc w:val="both"/>
        <w:rPr>
          <w:rFonts w:ascii="Times New Roman" w:hAnsi="Times New Roman"/>
          <w:i/>
        </w:rPr>
      </w:pPr>
    </w:p>
    <w:p w14:paraId="5D58498B" w14:textId="3FE334E1" w:rsidR="00276556" w:rsidRPr="00E41A9B" w:rsidRDefault="00DC1AEA" w:rsidP="00CB0E60">
      <w:pPr>
        <w:spacing w:line="360" w:lineRule="auto"/>
        <w:jc w:val="both"/>
        <w:rPr>
          <w:rFonts w:ascii="Times New Roman" w:hAnsi="Times New Roman"/>
          <w:b/>
          <w:sz w:val="28"/>
          <w:szCs w:val="28"/>
        </w:rPr>
      </w:pPr>
      <w:r w:rsidRPr="00E41A9B">
        <w:rPr>
          <w:rFonts w:ascii="Times New Roman" w:hAnsi="Times New Roman"/>
          <w:b/>
          <w:sz w:val="28"/>
          <w:szCs w:val="28"/>
        </w:rPr>
        <w:t>Capitolo terzo</w:t>
      </w:r>
    </w:p>
    <w:p w14:paraId="6887F792" w14:textId="77777777" w:rsidR="00276556" w:rsidRPr="00FC1835" w:rsidRDefault="00276556" w:rsidP="00CB0E60">
      <w:pPr>
        <w:spacing w:line="360" w:lineRule="auto"/>
        <w:jc w:val="both"/>
        <w:rPr>
          <w:rFonts w:ascii="Times New Roman" w:hAnsi="Times New Roman"/>
        </w:rPr>
      </w:pPr>
    </w:p>
    <w:p w14:paraId="19612C0A" w14:textId="77777777" w:rsidR="00DC1AEA" w:rsidRPr="00DC1AEA" w:rsidRDefault="00DC1AEA" w:rsidP="00CB0E60">
      <w:pPr>
        <w:spacing w:line="360" w:lineRule="auto"/>
        <w:jc w:val="both"/>
        <w:rPr>
          <w:rFonts w:ascii="Times New Roman" w:hAnsi="Times New Roman"/>
        </w:rPr>
        <w:sectPr w:rsidR="00DC1AEA" w:rsidRPr="00DC1AEA" w:rsidSect="001B7751">
          <w:type w:val="continuous"/>
          <w:pgSz w:w="11900" w:h="16840"/>
          <w:pgMar w:top="1418" w:right="1418" w:bottom="1418" w:left="1985" w:header="708" w:footer="708" w:gutter="0"/>
          <w:cols w:space="708"/>
          <w:docGrid w:linePitch="360"/>
        </w:sectPr>
      </w:pPr>
    </w:p>
    <w:p w14:paraId="21E44695" w14:textId="3212E17C" w:rsidR="001B7751" w:rsidRPr="00276556" w:rsidRDefault="001B7751" w:rsidP="00CB0E60">
      <w:pPr>
        <w:spacing w:line="360" w:lineRule="auto"/>
        <w:jc w:val="both"/>
        <w:rPr>
          <w:rFonts w:ascii="Times New Roman" w:hAnsi="Times New Roman"/>
          <w:b/>
        </w:rPr>
      </w:pPr>
      <w:r w:rsidRPr="00276556">
        <w:rPr>
          <w:rFonts w:ascii="Times New Roman" w:hAnsi="Times New Roman"/>
          <w:b/>
        </w:rPr>
        <w:t xml:space="preserve">Ricezione e interpretazione della Qabbalah nella Germania del XVIII e XIX secolo </w:t>
      </w:r>
    </w:p>
    <w:p w14:paraId="4D7492D4" w14:textId="77777777" w:rsidR="001B7751" w:rsidRPr="00971E9E" w:rsidRDefault="001B7751" w:rsidP="00CB0E60">
      <w:pPr>
        <w:spacing w:line="360" w:lineRule="auto"/>
        <w:jc w:val="both"/>
        <w:rPr>
          <w:rFonts w:ascii="Times New Roman" w:hAnsi="Times New Roman"/>
        </w:rPr>
      </w:pPr>
    </w:p>
    <w:p w14:paraId="0C319A8C" w14:textId="44913D99" w:rsidR="001B7751" w:rsidRDefault="001B7751" w:rsidP="00CB0E60">
      <w:pPr>
        <w:spacing w:line="360" w:lineRule="auto"/>
        <w:ind w:firstLine="567"/>
        <w:jc w:val="both"/>
        <w:rPr>
          <w:rFonts w:ascii="Times New Roman" w:hAnsi="Times New Roman"/>
        </w:rPr>
      </w:pPr>
      <w:r>
        <w:rPr>
          <w:rFonts w:ascii="Times New Roman" w:hAnsi="Times New Roman"/>
        </w:rPr>
        <w:t>Nel corso dei precedenti capitoli, abbiamo visto l’evoluzione e le fasi di sviluppo dell’interpretazione hegeliana del pensiero di Jakob Böhme. Se nella produzione jenese siamo stati testimoni della faticosa traduzione in termini co</w:t>
      </w:r>
      <w:r w:rsidR="009E1CD1">
        <w:rPr>
          <w:rFonts w:ascii="Times New Roman" w:hAnsi="Times New Roman"/>
        </w:rPr>
        <w:t>ncettuali delle rappresentazioni</w:t>
      </w:r>
      <w:r>
        <w:rPr>
          <w:rFonts w:ascii="Times New Roman" w:hAnsi="Times New Roman"/>
        </w:rPr>
        <w:t xml:space="preserve"> böhmiane, dal periodo di Norimberga in poi abbiamo osservato il rivivere di queste stesse rappresentazioni all’interno della </w:t>
      </w:r>
      <w:r w:rsidRPr="004C3222">
        <w:rPr>
          <w:rFonts w:ascii="Times New Roman" w:hAnsi="Times New Roman"/>
          <w:i/>
        </w:rPr>
        <w:t>Wissenschaft der Logik</w:t>
      </w:r>
      <w:r>
        <w:rPr>
          <w:rFonts w:ascii="Times New Roman" w:hAnsi="Times New Roman"/>
        </w:rPr>
        <w:t xml:space="preserve">. Spogliate della loro scorza metaforica, le immagini di Böhme restituiscono, anticipandola, quella negatività assoluta del pensiero puro centrale ai fini della comprensione del metodo dialettico hegeliano. La </w:t>
      </w:r>
      <w:r w:rsidRPr="004C3222">
        <w:rPr>
          <w:rFonts w:ascii="Times New Roman" w:hAnsi="Times New Roman"/>
          <w:i/>
        </w:rPr>
        <w:t>Zorn Gottes</w:t>
      </w:r>
      <w:r>
        <w:rPr>
          <w:rFonts w:ascii="Times New Roman" w:hAnsi="Times New Roman"/>
        </w:rPr>
        <w:t xml:space="preserve">, a cui si associa il mito della caduta di Lucifero, rispecchia quella negatività del pensiero puro che dà avvio allo sviluppo circolare </w:t>
      </w:r>
      <w:r w:rsidRPr="00037AA3">
        <w:rPr>
          <w:rFonts w:ascii="Times New Roman" w:hAnsi="Times New Roman"/>
          <w:lang w:val="de-DE"/>
        </w:rPr>
        <w:t>(</w:t>
      </w:r>
      <w:r w:rsidRPr="00037AA3">
        <w:rPr>
          <w:rFonts w:ascii="Times New Roman" w:hAnsi="Times New Roman"/>
          <w:i/>
          <w:lang w:val="de-DE"/>
        </w:rPr>
        <w:t>Kreislauf</w:t>
      </w:r>
      <w:r w:rsidRPr="00037AA3">
        <w:rPr>
          <w:rFonts w:ascii="Times New Roman" w:hAnsi="Times New Roman"/>
          <w:lang w:val="de-DE"/>
        </w:rPr>
        <w:t>)</w:t>
      </w:r>
      <w:r>
        <w:rPr>
          <w:rFonts w:ascii="Times New Roman" w:hAnsi="Times New Roman"/>
        </w:rPr>
        <w:t xml:space="preserve"> dell’essenza suprema. Il </w:t>
      </w:r>
      <w:r w:rsidRPr="00F22513">
        <w:rPr>
          <w:rFonts w:ascii="Times New Roman" w:hAnsi="Times New Roman"/>
          <w:i/>
        </w:rPr>
        <w:t>primo regno del pensiero</w:t>
      </w:r>
      <w:r>
        <w:rPr>
          <w:rFonts w:ascii="Times New Roman" w:hAnsi="Times New Roman"/>
        </w:rPr>
        <w:t xml:space="preserve"> si apre al proprio </w:t>
      </w:r>
      <w:r w:rsidRPr="00037AA3">
        <w:rPr>
          <w:rFonts w:ascii="Times New Roman" w:hAnsi="Times New Roman"/>
          <w:i/>
          <w:lang w:val="de-DE"/>
        </w:rPr>
        <w:t>Andersseyn</w:t>
      </w:r>
      <w:r>
        <w:rPr>
          <w:rFonts w:ascii="Times New Roman" w:hAnsi="Times New Roman"/>
        </w:rPr>
        <w:t xml:space="preserve"> grazie alla negatività che strutturalmente lo pervade. Nella natura e nello spirito, non esiste nulla che non contenga tanto l’immediatezza quanto la mediatezza, che non sia tanto positivo quanto negativo. Ciò che racchiude in sé l’opposizione di queste due polarità è un contraddittorio, ossia un </w:t>
      </w:r>
      <w:r w:rsidRPr="00047832">
        <w:rPr>
          <w:rFonts w:ascii="Times New Roman" w:hAnsi="Times New Roman"/>
        </w:rPr>
        <w:t>indeterminato</w:t>
      </w:r>
      <w:r>
        <w:rPr>
          <w:rFonts w:ascii="Times New Roman" w:hAnsi="Times New Roman"/>
        </w:rPr>
        <w:t xml:space="preserve"> che trova in se stesso, non in un altro, il fondamento del proprio essere e la radice della propria determinazione. Il cosiddetto </w:t>
      </w:r>
      <w:r w:rsidRPr="004F51C9">
        <w:rPr>
          <w:rFonts w:ascii="Times New Roman" w:hAnsi="Times New Roman"/>
          <w:i/>
        </w:rPr>
        <w:t>cabbalismo</w:t>
      </w:r>
      <w:r>
        <w:rPr>
          <w:rFonts w:ascii="Times New Roman" w:hAnsi="Times New Roman"/>
        </w:rPr>
        <w:t xml:space="preserve"> della logica hegeliana – </w:t>
      </w:r>
      <w:r w:rsidRPr="00971E9E">
        <w:rPr>
          <w:rFonts w:ascii="Times New Roman" w:hAnsi="Times New Roman"/>
          <w:i/>
        </w:rPr>
        <w:t>la negatività assoluta del pensiero puro</w:t>
      </w:r>
      <w:r>
        <w:rPr>
          <w:rFonts w:ascii="Times New Roman" w:hAnsi="Times New Roman"/>
        </w:rPr>
        <w:t xml:space="preserve"> – ruota attorno alla rappresentazione dell’ira di Dio e alla </w:t>
      </w:r>
      <w:r w:rsidRPr="00077145">
        <w:rPr>
          <w:rFonts w:ascii="Times New Roman" w:hAnsi="Times New Roman"/>
        </w:rPr>
        <w:t>nozione d’</w:t>
      </w:r>
      <w:r w:rsidRPr="00077145">
        <w:rPr>
          <w:rFonts w:ascii="Times New Roman" w:hAnsi="Times New Roman"/>
          <w:i/>
        </w:rPr>
        <w:t>Inqualierung</w:t>
      </w:r>
      <w:r w:rsidRPr="00077145">
        <w:rPr>
          <w:rFonts w:ascii="Times New Roman" w:hAnsi="Times New Roman"/>
        </w:rPr>
        <w:t xml:space="preserve">. Nel suo essere esplicativo dell’opposizione a livello della </w:t>
      </w:r>
      <w:r w:rsidRPr="00077145">
        <w:rPr>
          <w:rFonts w:ascii="Times New Roman" w:hAnsi="Times New Roman"/>
          <w:i/>
        </w:rPr>
        <w:t>Wesenslogik</w:t>
      </w:r>
      <w:r w:rsidRPr="00077145">
        <w:rPr>
          <w:rFonts w:ascii="Times New Roman" w:hAnsi="Times New Roman"/>
        </w:rPr>
        <w:t>, l’</w:t>
      </w:r>
      <w:r w:rsidRPr="00077145">
        <w:rPr>
          <w:rFonts w:ascii="Times New Roman" w:hAnsi="Times New Roman"/>
          <w:i/>
        </w:rPr>
        <w:t>Inqualierung</w:t>
      </w:r>
      <w:r w:rsidRPr="00077145">
        <w:rPr>
          <w:rFonts w:ascii="Times New Roman" w:hAnsi="Times New Roman"/>
        </w:rPr>
        <w:t xml:space="preserve"> non soltanto mette in luce l’identità del principio buono</w:t>
      </w:r>
      <w:r>
        <w:rPr>
          <w:rFonts w:ascii="Times New Roman" w:hAnsi="Times New Roman"/>
        </w:rPr>
        <w:t xml:space="preserve"> (positivo)</w:t>
      </w:r>
      <w:r w:rsidRPr="00077145">
        <w:rPr>
          <w:rFonts w:ascii="Times New Roman" w:hAnsi="Times New Roman"/>
        </w:rPr>
        <w:t xml:space="preserve"> e del principio cattivo</w:t>
      </w:r>
      <w:r>
        <w:rPr>
          <w:rFonts w:ascii="Times New Roman" w:hAnsi="Times New Roman"/>
        </w:rPr>
        <w:t xml:space="preserve"> (negativo)</w:t>
      </w:r>
      <w:r w:rsidRPr="00077145">
        <w:rPr>
          <w:rFonts w:ascii="Times New Roman" w:hAnsi="Times New Roman"/>
        </w:rPr>
        <w:t>,</w:t>
      </w:r>
      <w:r>
        <w:rPr>
          <w:rFonts w:ascii="Times New Roman" w:hAnsi="Times New Roman"/>
        </w:rPr>
        <w:t xml:space="preserve"> ma anche il carattere incondizionato di ciò </w:t>
      </w:r>
      <w:r w:rsidRPr="00561094">
        <w:rPr>
          <w:rFonts w:ascii="Times New Roman" w:hAnsi="Times New Roman"/>
        </w:rPr>
        <w:t xml:space="preserve">che riunifica e risolve in sé l’opposizione. Da questo punto di vista, il massimo sforzo della rappresentazione, che consiste nel definire il male come ira di Dio, è </w:t>
      </w:r>
      <w:r w:rsidR="006C2241" w:rsidRPr="00561094">
        <w:rPr>
          <w:rFonts w:ascii="Times New Roman" w:hAnsi="Times New Roman"/>
        </w:rPr>
        <w:t>restituit</w:t>
      </w:r>
      <w:r w:rsidRPr="00561094">
        <w:rPr>
          <w:rFonts w:ascii="Times New Roman" w:hAnsi="Times New Roman"/>
        </w:rPr>
        <w:t>o da una categoria böhmiana, l’</w:t>
      </w:r>
      <w:r w:rsidRPr="00561094">
        <w:rPr>
          <w:rFonts w:ascii="Times New Roman" w:hAnsi="Times New Roman"/>
          <w:i/>
        </w:rPr>
        <w:t>Inqualierung</w:t>
      </w:r>
      <w:r w:rsidRPr="00561094">
        <w:rPr>
          <w:rFonts w:ascii="Times New Roman" w:hAnsi="Times New Roman"/>
        </w:rPr>
        <w:t xml:space="preserve"> appunto, che sintetizza le acquisizioni teoriche della </w:t>
      </w:r>
      <w:r w:rsidR="00DC1FBD" w:rsidRPr="00561094">
        <w:rPr>
          <w:rFonts w:ascii="Times New Roman" w:hAnsi="Times New Roman"/>
        </w:rPr>
        <w:t>produzione jenese (1804/</w:t>
      </w:r>
      <w:r w:rsidRPr="00561094">
        <w:rPr>
          <w:rFonts w:ascii="Times New Roman" w:hAnsi="Times New Roman"/>
        </w:rPr>
        <w:t>06).</w:t>
      </w:r>
      <w:r>
        <w:rPr>
          <w:rFonts w:ascii="Times New Roman" w:hAnsi="Times New Roman"/>
        </w:rPr>
        <w:t xml:space="preserve"> </w:t>
      </w:r>
    </w:p>
    <w:p w14:paraId="6602A3EE" w14:textId="2EC5AC00" w:rsidR="001B7751" w:rsidRDefault="001B7751" w:rsidP="001B7751">
      <w:pPr>
        <w:spacing w:line="360" w:lineRule="auto"/>
        <w:ind w:firstLine="567"/>
        <w:jc w:val="both"/>
        <w:rPr>
          <w:rFonts w:ascii="Times New Roman" w:hAnsi="Times New Roman"/>
        </w:rPr>
      </w:pPr>
      <w:r>
        <w:rPr>
          <w:rFonts w:ascii="Times New Roman" w:hAnsi="Times New Roman"/>
        </w:rPr>
        <w:t>Se si può parlare di un’influenza della Qabbalah sulla logica hegeliana, ciò può essere fatto nella misura in cui si tiene a mente l’</w:t>
      </w:r>
      <w:r w:rsidRPr="00D56488">
        <w:rPr>
          <w:rFonts w:ascii="Times New Roman" w:hAnsi="Times New Roman"/>
          <w:i/>
          <w:lang w:val="de-DE"/>
        </w:rPr>
        <w:t>Auseinandersetzung</w:t>
      </w:r>
      <w:r>
        <w:rPr>
          <w:rFonts w:ascii="Times New Roman" w:hAnsi="Times New Roman"/>
        </w:rPr>
        <w:t xml:space="preserve"> di Hegel con il pensiero di Jakob Böhme. In precedenza, è stato notato come il superamento dell’ontologia spinoziana sia stato favorito dal recupero di nozioni böhmiane di libera ispirazione cabbalistica</w:t>
      </w:r>
      <w:r>
        <w:rPr>
          <w:rStyle w:val="Rimandonotaapidipagina"/>
          <w:rFonts w:ascii="Times New Roman" w:hAnsi="Times New Roman"/>
        </w:rPr>
        <w:footnoteReference w:id="502"/>
      </w:r>
      <w:r>
        <w:rPr>
          <w:rFonts w:ascii="Times New Roman" w:hAnsi="Times New Roman"/>
        </w:rPr>
        <w:t xml:space="preserve">. </w:t>
      </w:r>
      <w:r w:rsidRPr="00561094">
        <w:rPr>
          <w:rFonts w:ascii="Times New Roman" w:hAnsi="Times New Roman"/>
        </w:rPr>
        <w:t>Sempre nel secondo capitolo era stato anticipato un nodo tematico di fondamentale importanza: Hegel valorizza quegli aspetti dell’opera di B</w:t>
      </w:r>
      <w:r w:rsidRPr="00561094">
        <w:rPr>
          <w:rFonts w:ascii="Times New Roman" w:hAnsi="Times New Roman" w:cs="Times New Roman"/>
        </w:rPr>
        <w:t>ö</w:t>
      </w:r>
      <w:r w:rsidRPr="00561094">
        <w:rPr>
          <w:rFonts w:ascii="Times New Roman" w:hAnsi="Times New Roman"/>
        </w:rPr>
        <w:t>hme prossimi alla tradizione mistica ebraica. Nel contrapporre all’immobilismo spinoziano il dinamismo b</w:t>
      </w:r>
      <w:r w:rsidRPr="00561094">
        <w:rPr>
          <w:rFonts w:ascii="Times New Roman" w:hAnsi="Times New Roman" w:cs="Times New Roman"/>
        </w:rPr>
        <w:t>ö</w:t>
      </w:r>
      <w:r w:rsidRPr="00561094">
        <w:rPr>
          <w:rFonts w:ascii="Times New Roman" w:hAnsi="Times New Roman"/>
        </w:rPr>
        <w:t>hmiano, all’astrattezza della sostanza la concretezza della personalità assoluta, Hegel non fa altro che recuperare una serie d’immagini di cui ignora o non valorizza l’origine storico-filosofica</w:t>
      </w:r>
      <w:r w:rsidRPr="00561094">
        <w:rPr>
          <w:rStyle w:val="Rimandonotaapidipagina"/>
          <w:rFonts w:ascii="Times New Roman" w:hAnsi="Times New Roman"/>
        </w:rPr>
        <w:footnoteReference w:id="503"/>
      </w:r>
      <w:r w:rsidR="0019090C" w:rsidRPr="00561094">
        <w:rPr>
          <w:rFonts w:ascii="Times New Roman" w:hAnsi="Times New Roman"/>
        </w:rPr>
        <w:t>. Ignorare o</w:t>
      </w:r>
      <w:r w:rsidRPr="00561094">
        <w:rPr>
          <w:rFonts w:ascii="Times New Roman" w:hAnsi="Times New Roman"/>
        </w:rPr>
        <w:t xml:space="preserve"> non </w:t>
      </w:r>
      <w:r w:rsidR="0019090C" w:rsidRPr="00561094">
        <w:rPr>
          <w:rFonts w:ascii="Times New Roman" w:hAnsi="Times New Roman"/>
        </w:rPr>
        <w:t xml:space="preserve">valorizzare il </w:t>
      </w:r>
      <w:r w:rsidRPr="00561094">
        <w:rPr>
          <w:rFonts w:ascii="Times New Roman" w:hAnsi="Times New Roman"/>
        </w:rPr>
        <w:t xml:space="preserve">retroterra cabbalistico della </w:t>
      </w:r>
      <w:r w:rsidRPr="00561094">
        <w:rPr>
          <w:rFonts w:ascii="Times New Roman" w:hAnsi="Times New Roman"/>
          <w:i/>
        </w:rPr>
        <w:t>Zorn Gottes</w:t>
      </w:r>
      <w:r w:rsidRPr="00561094">
        <w:rPr>
          <w:rFonts w:ascii="Times New Roman" w:hAnsi="Times New Roman"/>
        </w:rPr>
        <w:t xml:space="preserve">, ad esempio, si spiega a partire dal contesto storico-culturale in cui si </w:t>
      </w:r>
      <w:r w:rsidR="006C2241" w:rsidRPr="00561094">
        <w:rPr>
          <w:rFonts w:ascii="Times New Roman" w:hAnsi="Times New Roman"/>
        </w:rPr>
        <w:t>è formato</w:t>
      </w:r>
      <w:r w:rsidRPr="00561094">
        <w:rPr>
          <w:rFonts w:ascii="Times New Roman" w:hAnsi="Times New Roman"/>
        </w:rPr>
        <w:t xml:space="preserve"> il nostro </w:t>
      </w:r>
      <w:r w:rsidR="00021560" w:rsidRPr="00561094">
        <w:rPr>
          <w:rFonts w:ascii="Times New Roman" w:hAnsi="Times New Roman"/>
        </w:rPr>
        <w:t>autore</w:t>
      </w:r>
      <w:r w:rsidRPr="00561094">
        <w:rPr>
          <w:rFonts w:ascii="Times New Roman" w:hAnsi="Times New Roman"/>
        </w:rPr>
        <w:t>.</w:t>
      </w:r>
      <w:r w:rsidRPr="00744430">
        <w:rPr>
          <w:rFonts w:ascii="Times New Roman" w:hAnsi="Times New Roman"/>
        </w:rPr>
        <w:t xml:space="preserve"> Nella Germania del XVIII e XIX secolo, infatti, era diffusa ed egemone una categorizzazione della Qabbalah,</w:t>
      </w:r>
      <w:r>
        <w:rPr>
          <w:rFonts w:ascii="Times New Roman" w:hAnsi="Times New Roman"/>
        </w:rPr>
        <w:t xml:space="preserve"> che escludeva </w:t>
      </w:r>
      <w:r w:rsidRPr="003B4787">
        <w:rPr>
          <w:rFonts w:ascii="Times New Roman" w:hAnsi="Times New Roman"/>
          <w:i/>
        </w:rPr>
        <w:t>a priori</w:t>
      </w:r>
      <w:r>
        <w:rPr>
          <w:rFonts w:ascii="Times New Roman" w:hAnsi="Times New Roman"/>
        </w:rPr>
        <w:t xml:space="preserve"> la possibilità di pensare il male (l’ira di Dio) come determinazione della divinità. Se si consulta uno dei manuali di storia della filosofia in voga al tempo di Hegel, si avrà una controprova immediata di questo fatto: dalla </w:t>
      </w:r>
      <w:r w:rsidRPr="007D152A">
        <w:rPr>
          <w:rFonts w:ascii="Times New Roman" w:hAnsi="Times New Roman"/>
          <w:i/>
        </w:rPr>
        <w:t>Historia critica</w:t>
      </w:r>
      <w:r>
        <w:rPr>
          <w:rFonts w:ascii="Times New Roman" w:hAnsi="Times New Roman"/>
        </w:rPr>
        <w:t xml:space="preserve"> </w:t>
      </w:r>
      <w:r>
        <w:rPr>
          <w:rFonts w:ascii="Times New Roman" w:hAnsi="Times New Roman"/>
          <w:i/>
        </w:rPr>
        <w:t xml:space="preserve">philosophiae </w:t>
      </w:r>
      <w:r>
        <w:rPr>
          <w:rFonts w:ascii="Times New Roman" w:hAnsi="Times New Roman"/>
        </w:rPr>
        <w:t>di Brucker (1742)</w:t>
      </w:r>
      <w:r>
        <w:rPr>
          <w:rStyle w:val="Rimandonotaapidipagina"/>
          <w:rFonts w:ascii="Times New Roman" w:hAnsi="Times New Roman"/>
        </w:rPr>
        <w:footnoteReference w:id="504"/>
      </w:r>
      <w:r>
        <w:rPr>
          <w:rFonts w:ascii="Times New Roman" w:hAnsi="Times New Roman"/>
        </w:rPr>
        <w:t xml:space="preserve"> fino alla </w:t>
      </w:r>
      <w:r w:rsidRPr="007D152A">
        <w:rPr>
          <w:rFonts w:ascii="Times New Roman" w:hAnsi="Times New Roman"/>
          <w:i/>
        </w:rPr>
        <w:t>Geschichte der Philosophie</w:t>
      </w:r>
      <w:r>
        <w:rPr>
          <w:rFonts w:ascii="Times New Roman" w:hAnsi="Times New Roman"/>
        </w:rPr>
        <w:t xml:space="preserve"> di Tennemann (1814)</w:t>
      </w:r>
      <w:r>
        <w:rPr>
          <w:rStyle w:val="Rimandonotaapidipagina"/>
          <w:rFonts w:ascii="Times New Roman" w:hAnsi="Times New Roman"/>
        </w:rPr>
        <w:footnoteReference w:id="505"/>
      </w:r>
      <w:r>
        <w:rPr>
          <w:rFonts w:ascii="Times New Roman" w:hAnsi="Times New Roman"/>
        </w:rPr>
        <w:t>, si susseguono delle interpretazioni</w:t>
      </w:r>
      <w:r w:rsidRPr="00BE110D">
        <w:rPr>
          <w:rFonts w:ascii="Times New Roman" w:hAnsi="Times New Roman"/>
        </w:rPr>
        <w:t xml:space="preserve"> </w:t>
      </w:r>
      <w:r>
        <w:rPr>
          <w:rFonts w:ascii="Times New Roman" w:hAnsi="Times New Roman"/>
        </w:rPr>
        <w:t xml:space="preserve">della </w:t>
      </w:r>
      <w:r w:rsidRPr="00744430">
        <w:rPr>
          <w:rFonts w:ascii="Times New Roman" w:hAnsi="Times New Roman"/>
        </w:rPr>
        <w:t xml:space="preserve">Qabbalah </w:t>
      </w:r>
      <w:r w:rsidRPr="00734FE5">
        <w:rPr>
          <w:rFonts w:ascii="Times New Roman" w:hAnsi="Times New Roman"/>
        </w:rPr>
        <w:t xml:space="preserve">– oscillanti fra la filosofia alessandrina, orientale e neoplatonica – praticamente indistinguibili l’una dall’altra. Ricorrente è la caratterizzazione dell’infinito, dell’En-sof cabbalistico, come luce purissima, a cui si contrappone la tenebra, o il </w:t>
      </w:r>
      <w:r w:rsidRPr="00734FE5">
        <w:rPr>
          <w:rFonts w:ascii="Times New Roman" w:hAnsi="Times New Roman"/>
          <w:i/>
        </w:rPr>
        <w:t>non-ens</w:t>
      </w:r>
      <w:r w:rsidRPr="00734FE5">
        <w:rPr>
          <w:rFonts w:ascii="Times New Roman" w:hAnsi="Times New Roman"/>
        </w:rPr>
        <w:t>, che non rivendica alcun essere per sé e non instaura relazione alcuna con l’</w:t>
      </w:r>
      <w:r w:rsidRPr="00734FE5">
        <w:rPr>
          <w:rFonts w:ascii="Times New Roman" w:hAnsi="Times New Roman"/>
          <w:i/>
        </w:rPr>
        <w:t>Urlicht</w:t>
      </w:r>
      <w:r w:rsidRPr="00734FE5">
        <w:rPr>
          <w:rFonts w:ascii="Times New Roman" w:hAnsi="Times New Roman"/>
        </w:rPr>
        <w:t xml:space="preserve">. Positivo e negativo sono due estremi irrelati: spogliato di consistenza ontologica, il negativo è ridotto a semplice “non” privativo; sciolta dal legame con il proprio essere altro, la divinità si riduce ad una semplice identità positiva. Dato questo paradigma interpretativo, risulta comprensibile il disinteresse hegeliano per la tradizione mistica ebraica, che ripropone, senza mostrare un’originalità precipua, </w:t>
      </w:r>
      <w:r w:rsidRPr="006C0428">
        <w:rPr>
          <w:rFonts w:ascii="Times New Roman" w:hAnsi="Times New Roman"/>
        </w:rPr>
        <w:t>degli schemi concettuali messi a punto da Filone Alessandria e dalla riflessione neoplatonica</w:t>
      </w:r>
      <w:r w:rsidRPr="006C0428">
        <w:rPr>
          <w:rStyle w:val="Rimandonotaapidipagina"/>
          <w:rFonts w:ascii="Times New Roman" w:hAnsi="Times New Roman"/>
        </w:rPr>
        <w:footnoteReference w:id="506"/>
      </w:r>
      <w:r w:rsidRPr="006C0428">
        <w:rPr>
          <w:rFonts w:ascii="Times New Roman" w:hAnsi="Times New Roman"/>
        </w:rPr>
        <w:t>.</w:t>
      </w:r>
      <w:r w:rsidRPr="00744430">
        <w:rPr>
          <w:rFonts w:ascii="Times New Roman" w:hAnsi="Times New Roman"/>
        </w:rPr>
        <w:t xml:space="preserve"> Per Hegel l’astrattismo – considerato cifra del pensiero </w:t>
      </w:r>
      <w:r w:rsidR="000F7812">
        <w:rPr>
          <w:rFonts w:ascii="Times New Roman" w:hAnsi="Times New Roman"/>
        </w:rPr>
        <w:t>ebr</w:t>
      </w:r>
      <w:r w:rsidRPr="00744430">
        <w:rPr>
          <w:rFonts w:ascii="Times New Roman" w:hAnsi="Times New Roman"/>
        </w:rPr>
        <w:t xml:space="preserve">aico </w:t>
      </w:r>
      <w:r w:rsidRPr="00744430">
        <w:rPr>
          <w:rFonts w:ascii="Times New Roman" w:hAnsi="Times New Roman"/>
          <w:i/>
        </w:rPr>
        <w:t>tout court</w:t>
      </w:r>
      <w:r w:rsidRPr="00744430">
        <w:rPr>
          <w:rFonts w:ascii="Times New Roman" w:hAnsi="Times New Roman"/>
        </w:rPr>
        <w:t xml:space="preserve"> – trova una sua manifestazione ulteriore nella Qabbalah, che esibisce una sintesi non originale, e tanto meno speculativamente pregnante, dei materiali greco-orientali da cui trae ispirazione</w:t>
      </w:r>
      <w:r w:rsidRPr="00744430">
        <w:rPr>
          <w:rStyle w:val="Rimandonotaapidipagina"/>
          <w:rFonts w:ascii="Times New Roman" w:hAnsi="Times New Roman"/>
        </w:rPr>
        <w:footnoteReference w:id="507"/>
      </w:r>
      <w:r w:rsidRPr="00744430">
        <w:rPr>
          <w:rFonts w:ascii="Times New Roman" w:hAnsi="Times New Roman"/>
        </w:rPr>
        <w:t>.</w:t>
      </w:r>
      <w:r>
        <w:rPr>
          <w:rFonts w:ascii="Times New Roman" w:hAnsi="Times New Roman"/>
        </w:rPr>
        <w:t xml:space="preserve"> </w:t>
      </w:r>
    </w:p>
    <w:p w14:paraId="0E57CEB6" w14:textId="15F39EDD" w:rsidR="001B7751" w:rsidRDefault="001B7751" w:rsidP="001B7751">
      <w:pPr>
        <w:spacing w:line="360" w:lineRule="auto"/>
        <w:ind w:firstLine="567"/>
        <w:jc w:val="both"/>
        <w:rPr>
          <w:rFonts w:ascii="Times New Roman" w:hAnsi="Times New Roman"/>
        </w:rPr>
      </w:pPr>
      <w:r w:rsidRPr="00C961E9">
        <w:rPr>
          <w:rFonts w:ascii="Times New Roman" w:hAnsi="Times New Roman"/>
        </w:rPr>
        <w:t xml:space="preserve">Queste informazioni, introdotte a scopo puramente esemplificativo, necessitano di controprove fattuali. In quel che segue, mostrerò come questa interpretazione del misticismo ebraico, elaborata in Germania fra il XVIII e il XIX secolo, sia riproposta anche da Hegel nelle </w:t>
      </w:r>
      <w:r w:rsidRPr="00C961E9">
        <w:rPr>
          <w:rFonts w:ascii="Times New Roman" w:hAnsi="Times New Roman"/>
          <w:i/>
        </w:rPr>
        <w:t xml:space="preserve">Vorlesungen </w:t>
      </w:r>
      <w:r w:rsidRPr="00C961E9">
        <w:rPr>
          <w:rFonts w:ascii="Times New Roman" w:hAnsi="Times New Roman" w:cs="Times New Roman"/>
          <w:i/>
        </w:rPr>
        <w:t>über die Geschichte der Philosophie</w:t>
      </w:r>
      <w:r w:rsidRPr="00C961E9">
        <w:rPr>
          <w:rFonts w:ascii="Times New Roman" w:hAnsi="Times New Roman" w:cs="Times New Roman"/>
        </w:rPr>
        <w:t xml:space="preserve"> del 1820/21, del 1825/26 e dell’edizione Michelet</w:t>
      </w:r>
      <w:r w:rsidR="000F7812">
        <w:rPr>
          <w:rFonts w:ascii="Times New Roman" w:hAnsi="Times New Roman" w:cs="Times New Roman"/>
        </w:rPr>
        <w:t xml:space="preserve"> (</w:t>
      </w:r>
      <w:r w:rsidR="00241A6D" w:rsidRPr="0013418E">
        <w:rPr>
          <w:rFonts w:ascii="Times New Roman" w:hAnsi="Times New Roman" w:cs="Times New Roman"/>
        </w:rPr>
        <w:t>1833</w:t>
      </w:r>
      <w:r w:rsidR="00241A6D">
        <w:rPr>
          <w:rFonts w:ascii="Times New Roman" w:hAnsi="Times New Roman" w:cs="Times New Roman"/>
        </w:rPr>
        <w:t>/36</w:t>
      </w:r>
      <w:r w:rsidR="00241A6D" w:rsidRPr="0013418E">
        <w:rPr>
          <w:rFonts w:ascii="Times New Roman" w:hAnsi="Times New Roman" w:cs="Times New Roman"/>
        </w:rPr>
        <w:t xml:space="preserve"> e 18</w:t>
      </w:r>
      <w:r w:rsidR="00241A6D">
        <w:rPr>
          <w:rFonts w:ascii="Times New Roman" w:hAnsi="Times New Roman" w:cs="Times New Roman"/>
        </w:rPr>
        <w:t>40/</w:t>
      </w:r>
      <w:r w:rsidR="00241A6D" w:rsidRPr="0013418E">
        <w:rPr>
          <w:rFonts w:ascii="Times New Roman" w:hAnsi="Times New Roman" w:cs="Times New Roman"/>
        </w:rPr>
        <w:t>44</w:t>
      </w:r>
      <w:r w:rsidR="00241A6D">
        <w:rPr>
          <w:rFonts w:ascii="Times New Roman" w:hAnsi="Times New Roman" w:cs="Times New Roman"/>
        </w:rPr>
        <w:t xml:space="preserve">). </w:t>
      </w:r>
      <w:r>
        <w:rPr>
          <w:rFonts w:ascii="Times New Roman" w:hAnsi="Times New Roman"/>
        </w:rPr>
        <w:t xml:space="preserve">Ripercorrendo grossomodo un secolo di storiografia tedesca, si vedrà come la pubblicazione della </w:t>
      </w:r>
      <w:r w:rsidRPr="00901B5F">
        <w:rPr>
          <w:rFonts w:ascii="Times New Roman" w:hAnsi="Times New Roman"/>
          <w:i/>
        </w:rPr>
        <w:t xml:space="preserve">Kabbala </w:t>
      </w:r>
      <w:r>
        <w:rPr>
          <w:rFonts w:ascii="Times New Roman" w:hAnsi="Times New Roman"/>
          <w:i/>
        </w:rPr>
        <w:t>D</w:t>
      </w:r>
      <w:r w:rsidRPr="00901B5F">
        <w:rPr>
          <w:rFonts w:ascii="Times New Roman" w:hAnsi="Times New Roman"/>
          <w:i/>
        </w:rPr>
        <w:t>enudata</w:t>
      </w:r>
      <w:r>
        <w:rPr>
          <w:rFonts w:ascii="Times New Roman" w:hAnsi="Times New Roman"/>
        </w:rPr>
        <w:t>, avvenu</w:t>
      </w:r>
      <w:r w:rsidR="006C2241">
        <w:rPr>
          <w:rFonts w:ascii="Times New Roman" w:hAnsi="Times New Roman"/>
        </w:rPr>
        <w:t>ta a Sulzbach,</w:t>
      </w:r>
      <w:r>
        <w:rPr>
          <w:rFonts w:ascii="Times New Roman" w:hAnsi="Times New Roman"/>
        </w:rPr>
        <w:t xml:space="preserve"> fra il 1677 e 1684, per mano del barone</w:t>
      </w:r>
      <w:r w:rsidR="006C2241">
        <w:rPr>
          <w:rFonts w:ascii="Times New Roman" w:hAnsi="Times New Roman"/>
        </w:rPr>
        <w:t xml:space="preserve">, </w:t>
      </w:r>
      <w:r w:rsidR="006C2241" w:rsidRPr="00561094">
        <w:rPr>
          <w:rFonts w:ascii="Times New Roman" w:hAnsi="Times New Roman"/>
        </w:rPr>
        <w:t xml:space="preserve">nonché </w:t>
      </w:r>
      <w:r w:rsidR="000F7812" w:rsidRPr="00561094">
        <w:rPr>
          <w:rFonts w:ascii="Times New Roman" w:hAnsi="Times New Roman"/>
        </w:rPr>
        <w:t>noto cabbalista</w:t>
      </w:r>
      <w:r w:rsidR="006C2241" w:rsidRPr="00561094">
        <w:rPr>
          <w:rFonts w:ascii="Times New Roman" w:hAnsi="Times New Roman"/>
        </w:rPr>
        <w:t>,</w:t>
      </w:r>
      <w:r w:rsidRPr="00561094">
        <w:rPr>
          <w:rFonts w:ascii="Times New Roman" w:hAnsi="Times New Roman"/>
        </w:rPr>
        <w:t xml:space="preserve"> Christian Knorr von Rosenroth, abbia definito la cornice tematica in si colloca la </w:t>
      </w:r>
      <w:r w:rsidRPr="00561094">
        <w:rPr>
          <w:rFonts w:ascii="Times New Roman" w:hAnsi="Times New Roman"/>
          <w:i/>
        </w:rPr>
        <w:t>Historia critica philosophiae</w:t>
      </w:r>
      <w:r w:rsidRPr="00561094">
        <w:rPr>
          <w:rFonts w:ascii="Times New Roman" w:hAnsi="Times New Roman"/>
        </w:rPr>
        <w:t xml:space="preserve"> di Johann Brucker, che rappresenta la prima</w:t>
      </w:r>
      <w:r w:rsidRPr="00744430">
        <w:rPr>
          <w:rFonts w:ascii="Times New Roman" w:hAnsi="Times New Roman"/>
        </w:rPr>
        <w:t xml:space="preserve"> eloquente testimonianza di quanto discusso in queste note preliminari. Oltre ad essere una delle fonti più approfondite</w:t>
      </w:r>
      <w:r w:rsidRPr="00A807D4">
        <w:rPr>
          <w:rFonts w:ascii="Times New Roman" w:hAnsi="Times New Roman"/>
        </w:rPr>
        <w:t xml:space="preserve"> sul tema, la sintesi manualistica di Brucker costituisce un vero e proprio modello interpretativo della storiografia tedesca tardo settecentesca e primo ottocentesca, che ha ripetuto, operando una progressiva selezione e semplificazione delle fonti, quanto messo a disposizione dalla</w:t>
      </w:r>
      <w:r w:rsidRPr="00A807D4">
        <w:rPr>
          <w:rFonts w:ascii="Times New Roman" w:hAnsi="Times New Roman"/>
          <w:i/>
        </w:rPr>
        <w:t xml:space="preserve"> Historia critica</w:t>
      </w:r>
      <w:r w:rsidRPr="00A807D4">
        <w:rPr>
          <w:rFonts w:ascii="Times New Roman" w:hAnsi="Times New Roman"/>
        </w:rPr>
        <w:t xml:space="preserve"> </w:t>
      </w:r>
      <w:r w:rsidRPr="00A807D4">
        <w:rPr>
          <w:rFonts w:ascii="Times New Roman" w:hAnsi="Times New Roman"/>
          <w:i/>
        </w:rPr>
        <w:t>philosophiae</w:t>
      </w:r>
      <w:r w:rsidRPr="00A807D4">
        <w:rPr>
          <w:rFonts w:ascii="Times New Roman" w:hAnsi="Times New Roman"/>
        </w:rPr>
        <w:t>.</w:t>
      </w:r>
      <w:r>
        <w:rPr>
          <w:rFonts w:ascii="Times New Roman" w:hAnsi="Times New Roman"/>
        </w:rPr>
        <w:t xml:space="preserve"> A mio modo di vedere, chiarire la cornice </w:t>
      </w:r>
      <w:r w:rsidRPr="00744430">
        <w:rPr>
          <w:rFonts w:ascii="Times New Roman" w:hAnsi="Times New Roman"/>
        </w:rPr>
        <w:t xml:space="preserve">storiografica in cui Hegel si è formato come </w:t>
      </w:r>
      <w:r w:rsidRPr="00744430">
        <w:rPr>
          <w:rFonts w:ascii="Times New Roman" w:hAnsi="Times New Roman"/>
          <w:i/>
        </w:rPr>
        <w:t>storico della filosofia</w:t>
      </w:r>
      <w:r w:rsidRPr="00744430">
        <w:rPr>
          <w:rFonts w:ascii="Times New Roman" w:hAnsi="Times New Roman"/>
        </w:rPr>
        <w:t xml:space="preserve"> aiuterà a comprendere tanto le ragioni del mancato incontro con la mistica ebraica, quanto la natura mediata del recupero hegeliano di certe </w:t>
      </w:r>
      <w:r w:rsidRPr="00744430">
        <w:rPr>
          <w:rFonts w:ascii="Times New Roman" w:hAnsi="Times New Roman"/>
          <w:i/>
        </w:rPr>
        <w:t>rappresentazioni</w:t>
      </w:r>
      <w:r w:rsidRPr="00744430">
        <w:rPr>
          <w:rFonts w:ascii="Times New Roman" w:hAnsi="Times New Roman"/>
        </w:rPr>
        <w:t xml:space="preserve"> – quali l’ira di Dio –</w:t>
      </w:r>
      <w:r>
        <w:rPr>
          <w:rFonts w:ascii="Times New Roman" w:hAnsi="Times New Roman"/>
        </w:rPr>
        <w:t xml:space="preserve"> </w:t>
      </w:r>
      <w:r w:rsidRPr="00744430">
        <w:rPr>
          <w:rFonts w:ascii="Times New Roman" w:hAnsi="Times New Roman"/>
        </w:rPr>
        <w:t xml:space="preserve">diffuse </w:t>
      </w:r>
      <w:r>
        <w:rPr>
          <w:rFonts w:ascii="Times New Roman" w:hAnsi="Times New Roman"/>
        </w:rPr>
        <w:t xml:space="preserve">anche </w:t>
      </w:r>
      <w:r w:rsidRPr="00744430">
        <w:rPr>
          <w:rFonts w:ascii="Times New Roman" w:hAnsi="Times New Roman"/>
        </w:rPr>
        <w:t>nell</w:t>
      </w:r>
      <w:r>
        <w:rPr>
          <w:rFonts w:ascii="Times New Roman" w:hAnsi="Times New Roman"/>
        </w:rPr>
        <w:t>a letteratura cabbalistica.</w:t>
      </w:r>
    </w:p>
    <w:p w14:paraId="59A1C926" w14:textId="350FDC89" w:rsidR="001B7751" w:rsidRPr="0072747D" w:rsidRDefault="00DA1C3D" w:rsidP="001B7751">
      <w:pPr>
        <w:spacing w:line="360" w:lineRule="auto"/>
        <w:ind w:firstLine="567"/>
        <w:jc w:val="both"/>
        <w:rPr>
          <w:rFonts w:ascii="Times New Roman" w:hAnsi="Times New Roman"/>
          <w:highlight w:val="yellow"/>
        </w:rPr>
      </w:pPr>
      <w:r>
        <w:rPr>
          <w:rFonts w:ascii="Times New Roman" w:hAnsi="Times New Roman"/>
        </w:rPr>
        <w:t>P</w:t>
      </w:r>
      <w:r w:rsidR="001B7751" w:rsidRPr="00C14440">
        <w:rPr>
          <w:rFonts w:ascii="Times New Roman" w:hAnsi="Times New Roman"/>
        </w:rPr>
        <w:t>arallelamente a quest’analisi di contesto, saranno ripercorse le fasi di un’interpretazione dello spinozismo che si forma a partire dalla ricezione della Qabbalah in Germania.</w:t>
      </w:r>
      <w:r w:rsidR="001B7751">
        <w:rPr>
          <w:rFonts w:ascii="Times New Roman" w:hAnsi="Times New Roman"/>
        </w:rPr>
        <w:t xml:space="preserve"> Che Hegel assimili progressivamente l’ontologia spinoziana ad un sistema dell’identità astratta non è un’operazione storico-filosofica casuale, o teoreticamente isolata, ma una conseguenza dell’assunzione di un’interpretazione cabbalistica dell’opera di Spinoza</w:t>
      </w:r>
      <w:r w:rsidR="001B7751">
        <w:rPr>
          <w:rStyle w:val="Rimandonotaapidipagina"/>
          <w:rFonts w:ascii="Times New Roman" w:hAnsi="Times New Roman"/>
        </w:rPr>
        <w:footnoteReference w:id="508"/>
      </w:r>
      <w:r w:rsidR="001B7751">
        <w:rPr>
          <w:rFonts w:ascii="Times New Roman" w:hAnsi="Times New Roman"/>
        </w:rPr>
        <w:t xml:space="preserve">. Secondo questo modello interpretativo, che trova piena esposizione nella seconda edizione della </w:t>
      </w:r>
      <w:r w:rsidR="001B7751" w:rsidRPr="00502C31">
        <w:rPr>
          <w:rFonts w:ascii="Times New Roman" w:hAnsi="Times New Roman"/>
          <w:i/>
          <w:lang w:val="de-DE"/>
        </w:rPr>
        <w:t>Logik des Seyns</w:t>
      </w:r>
      <w:r w:rsidR="001B7751">
        <w:rPr>
          <w:rFonts w:ascii="Times New Roman" w:hAnsi="Times New Roman"/>
        </w:rPr>
        <w:t xml:space="preserve"> (1832), il </w:t>
      </w:r>
      <w:r w:rsidR="001B7751" w:rsidRPr="00502C31">
        <w:rPr>
          <w:rFonts w:ascii="Times New Roman" w:hAnsi="Times New Roman"/>
          <w:i/>
        </w:rPr>
        <w:t>Deus</w:t>
      </w:r>
      <w:r w:rsidR="001B7751">
        <w:rPr>
          <w:rFonts w:ascii="Times New Roman" w:hAnsi="Times New Roman"/>
        </w:rPr>
        <w:t xml:space="preserve"> spinoziano, al pari del </w:t>
      </w:r>
      <w:r w:rsidR="001B7751" w:rsidRPr="00EB3E06">
        <w:rPr>
          <w:rFonts w:ascii="Times New Roman" w:hAnsi="Times New Roman"/>
          <w:i/>
          <w:lang w:val="de-DE"/>
        </w:rPr>
        <w:t>reines Seyn</w:t>
      </w:r>
      <w:r w:rsidR="001B7751">
        <w:rPr>
          <w:rFonts w:ascii="Times New Roman" w:hAnsi="Times New Roman"/>
        </w:rPr>
        <w:t xml:space="preserve"> </w:t>
      </w:r>
      <w:r w:rsidR="001B7751" w:rsidRPr="00744430">
        <w:rPr>
          <w:rFonts w:ascii="Times New Roman" w:hAnsi="Times New Roman"/>
        </w:rPr>
        <w:t>parmenideo, risulta</w:t>
      </w:r>
      <w:r w:rsidR="001B7751">
        <w:rPr>
          <w:rFonts w:ascii="Times New Roman" w:hAnsi="Times New Roman"/>
        </w:rPr>
        <w:t xml:space="preserve">, in forza del </w:t>
      </w:r>
      <w:r w:rsidR="001B7751" w:rsidRPr="00744430">
        <w:rPr>
          <w:rFonts w:ascii="Times New Roman" w:hAnsi="Times New Roman"/>
        </w:rPr>
        <w:t xml:space="preserve">principio cabbalistico </w:t>
      </w:r>
      <w:r w:rsidR="001B7751" w:rsidRPr="00744430">
        <w:rPr>
          <w:rFonts w:ascii="Times New Roman" w:hAnsi="Times New Roman"/>
          <w:i/>
        </w:rPr>
        <w:t>a nihilo nihil fit</w:t>
      </w:r>
      <w:r w:rsidR="001B7751">
        <w:rPr>
          <w:rStyle w:val="Rimandonotaapidipagina"/>
          <w:rFonts w:ascii="Times New Roman" w:hAnsi="Times New Roman"/>
          <w:i/>
        </w:rPr>
        <w:footnoteReference w:id="509"/>
      </w:r>
      <w:r w:rsidR="001B7751">
        <w:rPr>
          <w:rFonts w:ascii="Times New Roman" w:hAnsi="Times New Roman"/>
        </w:rPr>
        <w:t xml:space="preserve">, un’astrazione posta al di là di qualsiasi forma di determinazione, poiché la </w:t>
      </w:r>
      <w:r w:rsidR="001B7751" w:rsidRPr="00502C31">
        <w:rPr>
          <w:rFonts w:ascii="Times New Roman" w:hAnsi="Times New Roman"/>
          <w:i/>
        </w:rPr>
        <w:t>Bestimmtheit</w:t>
      </w:r>
      <w:r w:rsidR="001B7751">
        <w:rPr>
          <w:rFonts w:ascii="Times New Roman" w:hAnsi="Times New Roman"/>
        </w:rPr>
        <w:t xml:space="preserve">, intesa </w:t>
      </w:r>
      <w:r w:rsidR="001B7751">
        <w:rPr>
          <w:rFonts w:ascii="Times New Roman" w:hAnsi="Times New Roman"/>
          <w:i/>
        </w:rPr>
        <w:t>qualitativamente</w:t>
      </w:r>
      <w:r w:rsidR="001B7751">
        <w:rPr>
          <w:rFonts w:ascii="Times New Roman" w:hAnsi="Times New Roman"/>
        </w:rPr>
        <w:t xml:space="preserve">, e quindi secondo il principio </w:t>
      </w:r>
      <w:r w:rsidR="001B7751" w:rsidRPr="00FF01B5">
        <w:rPr>
          <w:rFonts w:ascii="Times New Roman" w:hAnsi="Times New Roman"/>
          <w:i/>
        </w:rPr>
        <w:t>determinatio negatio est</w:t>
      </w:r>
      <w:r w:rsidR="001B7751">
        <w:rPr>
          <w:rFonts w:ascii="Times New Roman" w:hAnsi="Times New Roman"/>
        </w:rPr>
        <w:t xml:space="preserve">, non è ascrivibile alla positività indeterminata della sostanza. Elementi teorici noti vanno ad integrarsi con un’interpretazione dell’ontologia di Spinoza storicamente e filosoficamente riconducibile a quel dibattito sulla natura cabbalistica dello spinozismo alimentato dallo </w:t>
      </w:r>
      <w:r w:rsidR="00A76F84">
        <w:rPr>
          <w:rFonts w:ascii="Times New Roman" w:eastAsia="Times New Roman" w:hAnsi="Times New Roman" w:cs="Times New Roman"/>
          <w:i/>
          <w:iCs/>
          <w:color w:val="222222"/>
          <w:shd w:val="clear" w:color="auto" w:fill="FFFFFF"/>
          <w:lang w:val="de-DE"/>
        </w:rPr>
        <w:t>Spinozismus in Jü</w:t>
      </w:r>
      <w:r w:rsidR="001B7751" w:rsidRPr="004A32E9">
        <w:rPr>
          <w:rFonts w:ascii="Times New Roman" w:eastAsia="Times New Roman" w:hAnsi="Times New Roman" w:cs="Times New Roman"/>
          <w:i/>
          <w:iCs/>
          <w:color w:val="222222"/>
          <w:shd w:val="clear" w:color="auto" w:fill="FFFFFF"/>
          <w:lang w:val="de-DE"/>
        </w:rPr>
        <w:t>denthumb</w:t>
      </w:r>
      <w:r w:rsidR="001B7751">
        <w:rPr>
          <w:rFonts w:ascii="Times New Roman" w:eastAsia="Times New Roman" w:hAnsi="Times New Roman" w:cs="Times New Roman"/>
          <w:i/>
          <w:iCs/>
          <w:color w:val="222222"/>
          <w:shd w:val="clear" w:color="auto" w:fill="FFFFFF"/>
        </w:rPr>
        <w:t xml:space="preserve"> </w:t>
      </w:r>
      <w:r w:rsidR="001B7751">
        <w:rPr>
          <w:rFonts w:ascii="Times New Roman" w:eastAsia="Times New Roman" w:hAnsi="Times New Roman" w:cs="Times New Roman"/>
          <w:iCs/>
          <w:color w:val="222222"/>
          <w:shd w:val="clear" w:color="auto" w:fill="FFFFFF"/>
        </w:rPr>
        <w:t>e dall</w:t>
      </w:r>
      <w:r w:rsidR="001B7751">
        <w:rPr>
          <w:rFonts w:ascii="Times New Roman" w:hAnsi="Times New Roman" w:cs="Times New Roman"/>
        </w:rPr>
        <w:t>’</w:t>
      </w:r>
      <w:r w:rsidR="001B7751" w:rsidRPr="00DD00F1">
        <w:rPr>
          <w:rFonts w:ascii="Times New Roman" w:hAnsi="Times New Roman" w:cs="Times New Roman"/>
          <w:i/>
        </w:rPr>
        <w:t>Elucidarius Cabalisticus</w:t>
      </w:r>
      <w:r w:rsidR="001B7751">
        <w:rPr>
          <w:rFonts w:ascii="Times New Roman" w:hAnsi="Times New Roman" w:cs="Times New Roman"/>
          <w:i/>
        </w:rPr>
        <w:t xml:space="preserve"> </w:t>
      </w:r>
      <w:r w:rsidR="001B7751">
        <w:rPr>
          <w:rFonts w:ascii="Times New Roman" w:hAnsi="Times New Roman" w:cs="Times New Roman"/>
        </w:rPr>
        <w:t xml:space="preserve">di </w:t>
      </w:r>
      <w:r w:rsidR="001B7751" w:rsidRPr="00DD00F1">
        <w:rPr>
          <w:rFonts w:ascii="Times New Roman" w:hAnsi="Times New Roman" w:cs="Times New Roman"/>
        </w:rPr>
        <w:t>Johann Georg Wachter</w:t>
      </w:r>
      <w:r w:rsidR="001B7751">
        <w:rPr>
          <w:rFonts w:ascii="Times New Roman" w:hAnsi="Times New Roman" w:cs="Times New Roman"/>
        </w:rPr>
        <w:t xml:space="preserve"> (1673-1757)</w:t>
      </w:r>
      <w:r w:rsidR="001B7751">
        <w:rPr>
          <w:rStyle w:val="Rimandonotaapidipagina"/>
          <w:rFonts w:ascii="Times New Roman" w:hAnsi="Times New Roman" w:cs="Times New Roman"/>
        </w:rPr>
        <w:footnoteReference w:id="510"/>
      </w:r>
      <w:r w:rsidR="001B7751">
        <w:rPr>
          <w:rFonts w:ascii="Times New Roman" w:hAnsi="Times New Roman" w:cs="Times New Roman"/>
        </w:rPr>
        <w:t>.</w:t>
      </w:r>
    </w:p>
    <w:p w14:paraId="2EAE9704" w14:textId="4002494A" w:rsidR="001B7751" w:rsidRDefault="001B7751" w:rsidP="001B7751">
      <w:pPr>
        <w:spacing w:line="360" w:lineRule="auto"/>
        <w:ind w:firstLine="567"/>
        <w:jc w:val="both"/>
        <w:rPr>
          <w:rFonts w:ascii="Times New Roman" w:hAnsi="Times New Roman"/>
        </w:rPr>
      </w:pPr>
      <w:r w:rsidRPr="00744430">
        <w:rPr>
          <w:rFonts w:ascii="Times New Roman" w:hAnsi="Times New Roman"/>
        </w:rPr>
        <w:t xml:space="preserve">Sebbene Hegel abbia già dato prova d’assimilare lo spinozismo all’astrattismo </w:t>
      </w:r>
      <w:r w:rsidR="00D1295F">
        <w:rPr>
          <w:rFonts w:ascii="Times New Roman" w:hAnsi="Times New Roman"/>
        </w:rPr>
        <w:t>ebr</w:t>
      </w:r>
      <w:r w:rsidRPr="00744430">
        <w:rPr>
          <w:rFonts w:ascii="Times New Roman" w:hAnsi="Times New Roman"/>
        </w:rPr>
        <w:t>aico, è nel corso della produzione berlinese</w:t>
      </w:r>
      <w:r>
        <w:rPr>
          <w:rFonts w:ascii="Times New Roman" w:hAnsi="Times New Roman"/>
        </w:rPr>
        <w:t xml:space="preserve"> che viene sottolineata la continuità speculativa fra mistica ebraica e </w:t>
      </w:r>
      <w:r w:rsidRPr="007E789D">
        <w:rPr>
          <w:rFonts w:ascii="Times New Roman" w:hAnsi="Times New Roman"/>
          <w:i/>
        </w:rPr>
        <w:t>De Deo</w:t>
      </w:r>
      <w:r>
        <w:rPr>
          <w:rFonts w:ascii="Times New Roman" w:hAnsi="Times New Roman"/>
        </w:rPr>
        <w:t xml:space="preserve"> spinoziano. Affermare che il principio </w:t>
      </w:r>
      <w:r w:rsidRPr="00B6673E">
        <w:rPr>
          <w:rFonts w:ascii="Times New Roman" w:hAnsi="Times New Roman"/>
          <w:i/>
        </w:rPr>
        <w:t>ex nihilo nihil fit</w:t>
      </w:r>
      <w:r>
        <w:rPr>
          <w:rFonts w:ascii="Times New Roman" w:hAnsi="Times New Roman"/>
        </w:rPr>
        <w:t xml:space="preserve"> sia struttura portante del pensiero di Spinoza significa, in effetti, riprendere quella lettura jacobiana dello spinozismo, che definisce la sostanza come </w:t>
      </w:r>
      <w:r w:rsidRPr="00841624">
        <w:rPr>
          <w:rFonts w:ascii="Times New Roman" w:hAnsi="Times New Roman"/>
          <w:i/>
        </w:rPr>
        <w:t>fondamento logico</w:t>
      </w:r>
      <w:r>
        <w:rPr>
          <w:rFonts w:ascii="Times New Roman" w:hAnsi="Times New Roman"/>
        </w:rPr>
        <w:t xml:space="preserve"> dell’essere determinato. Non potendo essere causa, poiché l’attività causale prevede il posizionamento dell’essere altro come essere per sé, la sostanza annulla, in quanto</w:t>
      </w:r>
      <w:r w:rsidR="00D1295F">
        <w:rPr>
          <w:rFonts w:ascii="Times New Roman" w:hAnsi="Times New Roman"/>
        </w:rPr>
        <w:t xml:space="preserve"> immanente – non remota o trans</w:t>
      </w:r>
      <w:r>
        <w:rPr>
          <w:rFonts w:ascii="Times New Roman" w:hAnsi="Times New Roman"/>
        </w:rPr>
        <w:t>e</w:t>
      </w:r>
      <w:r w:rsidR="00D1295F">
        <w:rPr>
          <w:rFonts w:ascii="Times New Roman" w:hAnsi="Times New Roman"/>
        </w:rPr>
        <w:t>u</w:t>
      </w:r>
      <w:r>
        <w:rPr>
          <w:rFonts w:ascii="Times New Roman" w:hAnsi="Times New Roman"/>
        </w:rPr>
        <w:t xml:space="preserve">nte – in tutte le cose, il proprio </w:t>
      </w:r>
      <w:r w:rsidRPr="0046781B">
        <w:rPr>
          <w:rFonts w:ascii="Times New Roman" w:hAnsi="Times New Roman"/>
          <w:i/>
        </w:rPr>
        <w:t>Andersseyn</w:t>
      </w:r>
      <w:r>
        <w:rPr>
          <w:rFonts w:ascii="Times New Roman" w:hAnsi="Times New Roman"/>
        </w:rPr>
        <w:t xml:space="preserve">, che si dissolve nell’unitotalità sostanziale. Soltanto a Dio, inteso come </w:t>
      </w:r>
      <w:r w:rsidRPr="00D12B51">
        <w:rPr>
          <w:rFonts w:ascii="Times New Roman" w:hAnsi="Times New Roman"/>
          <w:i/>
        </w:rPr>
        <w:t>indeterminatezza</w:t>
      </w:r>
      <w:r>
        <w:rPr>
          <w:rFonts w:ascii="Times New Roman" w:hAnsi="Times New Roman"/>
        </w:rPr>
        <w:t xml:space="preserve">, compete l’essere; al mondo, ridotto ad una serie infinitamente molteplice di determinazioni finite, spetta tanto più essere – essere </w:t>
      </w:r>
      <w:r w:rsidRPr="00AD0388">
        <w:rPr>
          <w:rFonts w:ascii="Times New Roman" w:hAnsi="Times New Roman"/>
          <w:i/>
        </w:rPr>
        <w:t>indifferentemente</w:t>
      </w:r>
      <w:r>
        <w:rPr>
          <w:rFonts w:ascii="Times New Roman" w:hAnsi="Times New Roman"/>
        </w:rPr>
        <w:t xml:space="preserve"> uno con Dio – quanto meno essere rivendica per sé</w:t>
      </w:r>
      <w:r>
        <w:rPr>
          <w:rStyle w:val="Rimandonotaapidipagina"/>
          <w:rFonts w:ascii="Times New Roman" w:hAnsi="Times New Roman"/>
        </w:rPr>
        <w:footnoteReference w:id="511"/>
      </w:r>
      <w:r>
        <w:rPr>
          <w:rFonts w:ascii="Times New Roman" w:hAnsi="Times New Roman"/>
        </w:rPr>
        <w:t>. L’identificazione hegeliana dell’astrattismo con tutte le manifestazioni filosofico-religiose della cultura ebraica trova in questa categorizzazione storico-</w:t>
      </w:r>
      <w:r w:rsidRPr="00744430">
        <w:rPr>
          <w:rFonts w:ascii="Times New Roman" w:hAnsi="Times New Roman"/>
        </w:rPr>
        <w:t xml:space="preserve">filosofica l’ultimo tassello di un processo iniziato negli </w:t>
      </w:r>
      <w:r w:rsidRPr="00744430">
        <w:rPr>
          <w:rFonts w:ascii="Times New Roman" w:hAnsi="Times New Roman"/>
          <w:i/>
          <w:lang w:val="de-DE"/>
        </w:rPr>
        <w:t>Jugendschriften</w:t>
      </w:r>
      <w:r w:rsidRPr="00744430">
        <w:rPr>
          <w:rFonts w:ascii="Times New Roman" w:hAnsi="Times New Roman"/>
          <w:lang w:val="de-DE"/>
        </w:rPr>
        <w:t>.</w:t>
      </w:r>
      <w:r w:rsidRPr="00744430">
        <w:rPr>
          <w:rFonts w:ascii="Times New Roman" w:hAnsi="Times New Roman"/>
        </w:rPr>
        <w:t xml:space="preserve"> </w:t>
      </w:r>
      <w:r w:rsidR="00ED4361">
        <w:rPr>
          <w:rFonts w:ascii="Times New Roman" w:hAnsi="Times New Roman"/>
        </w:rPr>
        <w:t>Ebr</w:t>
      </w:r>
      <w:r w:rsidRPr="00744430">
        <w:rPr>
          <w:rFonts w:ascii="Times New Roman" w:hAnsi="Times New Roman"/>
        </w:rPr>
        <w:t xml:space="preserve">aismo, </w:t>
      </w:r>
      <w:r>
        <w:rPr>
          <w:rFonts w:ascii="Times New Roman" w:hAnsi="Times New Roman"/>
        </w:rPr>
        <w:t xml:space="preserve">Qabbalah </w:t>
      </w:r>
      <w:r w:rsidRPr="00744430">
        <w:rPr>
          <w:rFonts w:ascii="Times New Roman" w:hAnsi="Times New Roman"/>
        </w:rPr>
        <w:t xml:space="preserve">e spinozismo sono tre fenomeni interconnessi, che esibiscono il </w:t>
      </w:r>
      <w:r w:rsidRPr="00744430">
        <w:rPr>
          <w:rFonts w:ascii="Times New Roman" w:hAnsi="Times New Roman"/>
          <w:i/>
        </w:rPr>
        <w:t>destino</w:t>
      </w:r>
      <w:r w:rsidRPr="00744430">
        <w:rPr>
          <w:rFonts w:ascii="Times New Roman" w:hAnsi="Times New Roman"/>
        </w:rPr>
        <w:t xml:space="preserve"> del popolo ebraico, ossia il dire di no all’altro da sé e il sottomettersi al domino del</w:t>
      </w:r>
      <w:r>
        <w:rPr>
          <w:rFonts w:ascii="Times New Roman" w:hAnsi="Times New Roman"/>
        </w:rPr>
        <w:t xml:space="preserve"> pensiero astratto</w:t>
      </w:r>
      <w:r w:rsidRPr="00744430">
        <w:rPr>
          <w:rFonts w:ascii="Times New Roman" w:hAnsi="Times New Roman"/>
        </w:rPr>
        <w:t>.</w:t>
      </w:r>
    </w:p>
    <w:p w14:paraId="7AE4309E" w14:textId="76155159" w:rsidR="001B7751" w:rsidRDefault="001B7751" w:rsidP="001B7751">
      <w:pPr>
        <w:spacing w:line="360" w:lineRule="auto"/>
        <w:ind w:firstLine="567"/>
        <w:jc w:val="both"/>
        <w:rPr>
          <w:rFonts w:ascii="Times New Roman" w:hAnsi="Times New Roman"/>
        </w:rPr>
      </w:pPr>
      <w:r>
        <w:rPr>
          <w:rFonts w:ascii="Times New Roman" w:hAnsi="Times New Roman"/>
        </w:rPr>
        <w:t>Sempre sull’</w:t>
      </w:r>
      <w:r w:rsidRPr="00963691">
        <w:rPr>
          <w:rFonts w:ascii="Times New Roman" w:hAnsi="Times New Roman"/>
          <w:i/>
          <w:lang w:val="de-DE"/>
        </w:rPr>
        <w:t>Auseinandersetz</w:t>
      </w:r>
      <w:r>
        <w:rPr>
          <w:rFonts w:ascii="Times New Roman" w:hAnsi="Times New Roman"/>
          <w:i/>
          <w:lang w:val="de-DE"/>
        </w:rPr>
        <w:t>ung</w:t>
      </w:r>
      <w:r>
        <w:rPr>
          <w:rFonts w:ascii="Times New Roman" w:hAnsi="Times New Roman"/>
        </w:rPr>
        <w:t xml:space="preserve"> di Hegel con il pensiero di Spinoza, mi sia permessa un’ulteriore osservazione. Nei precedenti capitoli, abbiamo ripercorso l’evoluzione a cui va incontro l’interpretazione hegeliana dello spinozismo. Da sistema filosofico capace di pensare l’</w:t>
      </w:r>
      <w:r w:rsidRPr="00705DE1">
        <w:rPr>
          <w:rFonts w:ascii="Times New Roman" w:hAnsi="Times New Roman"/>
          <w:i/>
          <w:lang w:val="de-DE"/>
        </w:rPr>
        <w:t xml:space="preserve">absolutes Nichts </w:t>
      </w:r>
      <w:r>
        <w:rPr>
          <w:rFonts w:ascii="Times New Roman" w:hAnsi="Times New Roman"/>
        </w:rPr>
        <w:t>e l’</w:t>
      </w:r>
      <w:r w:rsidRPr="00705DE1">
        <w:rPr>
          <w:rFonts w:ascii="Times New Roman" w:hAnsi="Times New Roman"/>
          <w:i/>
          <w:lang w:val="de-DE"/>
        </w:rPr>
        <w:t xml:space="preserve">absolute Affirmation </w:t>
      </w:r>
      <w:r>
        <w:rPr>
          <w:rFonts w:ascii="Times New Roman" w:hAnsi="Times New Roman"/>
        </w:rPr>
        <w:t>dell’Assoluto, esso è progressivamente ricondotto alla sua matrice teorica astratta (</w:t>
      </w:r>
      <w:r w:rsidR="00D1295F">
        <w:rPr>
          <w:rFonts w:ascii="Times New Roman" w:hAnsi="Times New Roman"/>
        </w:rPr>
        <w:t>ebr</w:t>
      </w:r>
      <w:r>
        <w:rPr>
          <w:rFonts w:ascii="Times New Roman" w:hAnsi="Times New Roman"/>
        </w:rPr>
        <w:t xml:space="preserve">aica). </w:t>
      </w:r>
      <w:r w:rsidRPr="001A1694">
        <w:rPr>
          <w:rFonts w:ascii="Times New Roman" w:hAnsi="Times New Roman"/>
        </w:rPr>
        <w:t xml:space="preserve">Quanto visto nella </w:t>
      </w:r>
      <w:r w:rsidRPr="00BE39F9">
        <w:rPr>
          <w:rFonts w:ascii="Times New Roman" w:hAnsi="Times New Roman"/>
          <w:i/>
          <w:lang w:val="de-DE"/>
        </w:rPr>
        <w:t>Jenaer Logik und Metaphysik</w:t>
      </w:r>
      <w:r w:rsidRPr="001A1694">
        <w:rPr>
          <w:rFonts w:ascii="Times New Roman" w:hAnsi="Times New Roman"/>
        </w:rPr>
        <w:t xml:space="preserve">, nella </w:t>
      </w:r>
      <w:r w:rsidRPr="00BE39F9">
        <w:rPr>
          <w:rFonts w:ascii="Times New Roman" w:hAnsi="Times New Roman"/>
          <w:i/>
          <w:lang w:val="de-DE"/>
        </w:rPr>
        <w:t>Ph</w:t>
      </w:r>
      <w:r w:rsidRPr="00BE39F9">
        <w:rPr>
          <w:rFonts w:ascii="Times New Roman" w:hAnsi="Times New Roman" w:cs="Times New Roman"/>
          <w:i/>
          <w:lang w:val="de-DE"/>
        </w:rPr>
        <w:t>ä</w:t>
      </w:r>
      <w:r w:rsidRPr="00BE39F9">
        <w:rPr>
          <w:rFonts w:ascii="Times New Roman" w:hAnsi="Times New Roman"/>
          <w:i/>
          <w:lang w:val="de-DE"/>
        </w:rPr>
        <w:t>nomenologie des Geistes</w:t>
      </w:r>
      <w:r w:rsidRPr="001A1694">
        <w:rPr>
          <w:rFonts w:ascii="Times New Roman" w:hAnsi="Times New Roman"/>
          <w:i/>
        </w:rPr>
        <w:t xml:space="preserve"> </w:t>
      </w:r>
      <w:r w:rsidRPr="001A1694">
        <w:rPr>
          <w:rFonts w:ascii="Times New Roman" w:hAnsi="Times New Roman"/>
        </w:rPr>
        <w:t xml:space="preserve">e nella </w:t>
      </w:r>
      <w:r w:rsidRPr="00BE39F9">
        <w:rPr>
          <w:rFonts w:ascii="Times New Roman" w:hAnsi="Times New Roman"/>
          <w:i/>
          <w:lang w:val="de-DE"/>
        </w:rPr>
        <w:t>Wissenschaft der Logik</w:t>
      </w:r>
      <w:r w:rsidRPr="00BE39F9">
        <w:rPr>
          <w:rFonts w:ascii="Times New Roman" w:hAnsi="Times New Roman"/>
          <w:lang w:val="de-DE"/>
        </w:rPr>
        <w:t>,</w:t>
      </w:r>
      <w:r w:rsidRPr="001A1694">
        <w:rPr>
          <w:rFonts w:ascii="Times New Roman" w:hAnsi="Times New Roman"/>
        </w:rPr>
        <w:t xml:space="preserve"> pertanto, non sarebbe dissimile dalla </w:t>
      </w:r>
      <w:r w:rsidRPr="001A1694">
        <w:rPr>
          <w:rFonts w:ascii="Times New Roman" w:hAnsi="Times New Roman"/>
          <w:i/>
        </w:rPr>
        <w:t>Logik des Seyns</w:t>
      </w:r>
      <w:r w:rsidRPr="001A1694">
        <w:rPr>
          <w:rFonts w:ascii="Times New Roman" w:hAnsi="Times New Roman"/>
        </w:rPr>
        <w:t xml:space="preserve"> (1832), che riproporrebbe, sistematizzandolo, un tema da lungo tempo al centro della riflessione hegeliana.</w:t>
      </w:r>
      <w:r>
        <w:rPr>
          <w:rFonts w:ascii="Times New Roman" w:hAnsi="Times New Roman"/>
        </w:rPr>
        <w:t xml:space="preserve"> Sebbene sussistano delle continuità tematiche fra questi testi e </w:t>
      </w:r>
      <w:r w:rsidRPr="00DA27CD">
        <w:rPr>
          <w:rFonts w:ascii="Times New Roman" w:hAnsi="Times New Roman"/>
        </w:rPr>
        <w:t xml:space="preserve">la </w:t>
      </w:r>
      <w:r w:rsidRPr="00013343">
        <w:rPr>
          <w:rFonts w:ascii="Times New Roman" w:hAnsi="Times New Roman"/>
        </w:rPr>
        <w:t>seconda edizione della logica dell’essere,</w:t>
      </w:r>
      <w:r w:rsidRPr="00DA27CD">
        <w:rPr>
          <w:rFonts w:ascii="Times New Roman" w:hAnsi="Times New Roman"/>
        </w:rPr>
        <w:t xml:space="preserve"> un aspetto non marginale differenzia </w:t>
      </w:r>
      <w:r>
        <w:rPr>
          <w:rFonts w:ascii="Times New Roman" w:hAnsi="Times New Roman"/>
        </w:rPr>
        <w:t xml:space="preserve">i </w:t>
      </w:r>
      <w:r w:rsidRPr="00DA27CD">
        <w:rPr>
          <w:rFonts w:ascii="Times New Roman" w:hAnsi="Times New Roman"/>
        </w:rPr>
        <w:t xml:space="preserve">termini del discorso: </w:t>
      </w:r>
      <w:r>
        <w:rPr>
          <w:rFonts w:ascii="Times New Roman" w:hAnsi="Times New Roman"/>
        </w:rPr>
        <w:t>l’equiparazione di eleatismo, anticreazionismo (</w:t>
      </w:r>
      <w:r w:rsidRPr="00DA27CD">
        <w:rPr>
          <w:rFonts w:ascii="Times New Roman" w:hAnsi="Times New Roman"/>
          <w:i/>
        </w:rPr>
        <w:t>ex nihilo nihil fit</w:t>
      </w:r>
      <w:r>
        <w:rPr>
          <w:rFonts w:ascii="Times New Roman" w:hAnsi="Times New Roman"/>
        </w:rPr>
        <w:t>) e spinozismo risulta da un approfondimento</w:t>
      </w:r>
      <w:r w:rsidRPr="00DA27CD">
        <w:rPr>
          <w:rFonts w:ascii="Times New Roman" w:hAnsi="Times New Roman"/>
        </w:rPr>
        <w:t xml:space="preserve"> </w:t>
      </w:r>
      <w:r w:rsidRPr="004945D1">
        <w:rPr>
          <w:rFonts w:ascii="Times New Roman" w:hAnsi="Times New Roman"/>
        </w:rPr>
        <w:t xml:space="preserve">storiografico </w:t>
      </w:r>
      <w:r w:rsidRPr="00C41190">
        <w:rPr>
          <w:rFonts w:ascii="Times New Roman" w:hAnsi="Times New Roman"/>
        </w:rPr>
        <w:t xml:space="preserve">dell’opera di Spinoza, condotto in concomitanza con le </w:t>
      </w:r>
      <w:r w:rsidRPr="00483B3E">
        <w:rPr>
          <w:rFonts w:ascii="Times New Roman" w:hAnsi="Times New Roman"/>
          <w:i/>
          <w:lang w:val="de-DE"/>
        </w:rPr>
        <w:t>Vorlesungen über die Geschichte der Philosophie</w:t>
      </w:r>
      <w:r w:rsidRPr="00C41190">
        <w:rPr>
          <w:rFonts w:ascii="Times New Roman" w:hAnsi="Times New Roman"/>
        </w:rPr>
        <w:t>.</w:t>
      </w:r>
      <w:r>
        <w:rPr>
          <w:rFonts w:ascii="Times New Roman" w:hAnsi="Times New Roman"/>
        </w:rPr>
        <w:t xml:space="preserve"> Non ritengo casuale che nella produzione hegeliana antecedente al 1821 non compaia mai la definizione </w:t>
      </w:r>
      <w:r w:rsidRPr="00734827">
        <w:rPr>
          <w:rFonts w:ascii="Times New Roman" w:hAnsi="Times New Roman"/>
          <w:i/>
        </w:rPr>
        <w:t xml:space="preserve">acosmistica </w:t>
      </w:r>
      <w:r w:rsidRPr="00DA27CD">
        <w:rPr>
          <w:rFonts w:ascii="Times New Roman" w:hAnsi="Times New Roman"/>
        </w:rPr>
        <w:t>del</w:t>
      </w:r>
      <w:r>
        <w:rPr>
          <w:rFonts w:ascii="Times New Roman" w:hAnsi="Times New Roman"/>
        </w:rPr>
        <w:t>lo spinozismo.</w:t>
      </w:r>
      <w:r w:rsidRPr="00341C5F">
        <w:rPr>
          <w:rFonts w:ascii="Times New Roman" w:hAnsi="Times New Roman"/>
        </w:rPr>
        <w:t xml:space="preserve"> </w:t>
      </w:r>
      <w:r>
        <w:rPr>
          <w:rFonts w:ascii="Times New Roman" w:hAnsi="Times New Roman"/>
        </w:rPr>
        <w:t xml:space="preserve">Per Hegel </w:t>
      </w:r>
      <w:r w:rsidRPr="00C44F8C">
        <w:rPr>
          <w:rFonts w:ascii="Times New Roman" w:hAnsi="Times New Roman"/>
          <w:i/>
        </w:rPr>
        <w:t>acosmistico</w:t>
      </w:r>
      <w:r>
        <w:rPr>
          <w:rFonts w:ascii="Times New Roman" w:hAnsi="Times New Roman"/>
        </w:rPr>
        <w:t xml:space="preserve"> si definisce quel sistema filosofico che attribuisce tutto l’essere a Dio e considera il mondo, o l’essere determinato, come un mero non essere</w:t>
      </w:r>
      <w:r>
        <w:rPr>
          <w:rStyle w:val="Rimandonotaapidipagina"/>
          <w:rFonts w:ascii="Times New Roman" w:hAnsi="Times New Roman"/>
        </w:rPr>
        <w:footnoteReference w:id="512"/>
      </w:r>
      <w:r>
        <w:rPr>
          <w:rFonts w:ascii="Times New Roman" w:hAnsi="Times New Roman"/>
        </w:rPr>
        <w:t xml:space="preserve">. </w:t>
      </w:r>
      <w:r w:rsidRPr="007B1C16">
        <w:rPr>
          <w:rFonts w:ascii="Times New Roman" w:hAnsi="Times New Roman"/>
        </w:rPr>
        <w:t>Questa definizione d’acosmismo, che privilegia</w:t>
      </w:r>
      <w:r>
        <w:rPr>
          <w:rFonts w:ascii="Times New Roman" w:hAnsi="Times New Roman"/>
        </w:rPr>
        <w:t xml:space="preserve"> – </w:t>
      </w:r>
      <w:r w:rsidRPr="007B1C16">
        <w:rPr>
          <w:rFonts w:ascii="Times New Roman" w:hAnsi="Times New Roman"/>
        </w:rPr>
        <w:t>al pari dell’</w:t>
      </w:r>
      <w:r w:rsidRPr="007B1C16">
        <w:rPr>
          <w:rFonts w:ascii="Times New Roman" w:hAnsi="Times New Roman"/>
          <w:i/>
        </w:rPr>
        <w:t>eleatismo</w:t>
      </w:r>
      <w:r>
        <w:rPr>
          <w:rFonts w:ascii="Times New Roman" w:hAnsi="Times New Roman"/>
        </w:rPr>
        <w:t xml:space="preserve"> – </w:t>
      </w:r>
      <w:r w:rsidRPr="007B1C16">
        <w:rPr>
          <w:rFonts w:ascii="Times New Roman" w:hAnsi="Times New Roman"/>
        </w:rPr>
        <w:t xml:space="preserve">l’unità </w:t>
      </w:r>
      <w:r w:rsidRPr="002B2084">
        <w:rPr>
          <w:rFonts w:ascii="Times New Roman" w:hAnsi="Times New Roman"/>
        </w:rPr>
        <w:t>sostanziale</w:t>
      </w:r>
      <w:r w:rsidR="00D1295F" w:rsidRPr="002B2084">
        <w:rPr>
          <w:rFonts w:ascii="Times New Roman" w:hAnsi="Times New Roman"/>
        </w:rPr>
        <w:t xml:space="preserve"> (dell’essere)</w:t>
      </w:r>
      <w:r w:rsidRPr="002B2084">
        <w:rPr>
          <w:rFonts w:ascii="Times New Roman" w:hAnsi="Times New Roman"/>
        </w:rPr>
        <w:t xml:space="preserve"> sulla molteplicità fenomenica, trova una formulazione precipua nella </w:t>
      </w:r>
      <w:r w:rsidRPr="002B2084">
        <w:rPr>
          <w:rFonts w:ascii="Times New Roman" w:hAnsi="Times New Roman"/>
          <w:i/>
        </w:rPr>
        <w:t>Lebensgeschichte</w:t>
      </w:r>
      <w:r w:rsidR="002B2084">
        <w:rPr>
          <w:rFonts w:ascii="Times New Roman" w:hAnsi="Times New Roman"/>
        </w:rPr>
        <w:t xml:space="preserve"> (1792/</w:t>
      </w:r>
      <w:r w:rsidRPr="00744430">
        <w:rPr>
          <w:rFonts w:ascii="Times New Roman" w:hAnsi="Times New Roman"/>
        </w:rPr>
        <w:t>93) di Salomon Maimon</w:t>
      </w:r>
      <w:r w:rsidRPr="00744430">
        <w:rPr>
          <w:rStyle w:val="Rimandonotaapidipagina"/>
          <w:rFonts w:ascii="Times New Roman" w:hAnsi="Times New Roman"/>
        </w:rPr>
        <w:footnoteReference w:id="513"/>
      </w:r>
      <w:r w:rsidRPr="00744430">
        <w:rPr>
          <w:rFonts w:ascii="Times New Roman" w:hAnsi="Times New Roman"/>
        </w:rPr>
        <w:t>. Sull’importanza di questo testo nella Germania sette-ottocentesca, tornerò in un</w:t>
      </w:r>
      <w:r>
        <w:rPr>
          <w:rFonts w:ascii="Times New Roman" w:hAnsi="Times New Roman"/>
        </w:rPr>
        <w:t xml:space="preserve"> secondo momento</w:t>
      </w:r>
      <w:r>
        <w:rPr>
          <w:rStyle w:val="Rimandonotaapidipagina"/>
          <w:rFonts w:ascii="Times New Roman" w:hAnsi="Times New Roman"/>
        </w:rPr>
        <w:footnoteReference w:id="514"/>
      </w:r>
      <w:r>
        <w:rPr>
          <w:rFonts w:ascii="Times New Roman" w:hAnsi="Times New Roman"/>
        </w:rPr>
        <w:t>. Per ora sia sufficiente sapere che l’</w:t>
      </w:r>
      <w:r w:rsidRPr="00CD7CFD">
        <w:rPr>
          <w:rFonts w:ascii="Times New Roman" w:hAnsi="Times New Roman"/>
          <w:i/>
        </w:rPr>
        <w:t>acosmismo</w:t>
      </w:r>
      <w:r>
        <w:rPr>
          <w:rFonts w:ascii="Times New Roman" w:hAnsi="Times New Roman"/>
        </w:rPr>
        <w:t xml:space="preserve"> è categoria formulata in uno scritto che sottolinea il debito teorico dello spinozismo nei confronti della mistica ebraica. </w:t>
      </w:r>
      <w:r w:rsidRPr="006435CC">
        <w:rPr>
          <w:rFonts w:ascii="Times New Roman" w:hAnsi="Times New Roman"/>
        </w:rPr>
        <w:t xml:space="preserve">Definendo </w:t>
      </w:r>
      <w:r w:rsidRPr="006435CC">
        <w:rPr>
          <w:rFonts w:ascii="Times New Roman" w:hAnsi="Times New Roman"/>
          <w:i/>
        </w:rPr>
        <w:t xml:space="preserve">acosmisticamente </w:t>
      </w:r>
      <w:r w:rsidRPr="006435CC">
        <w:rPr>
          <w:rFonts w:ascii="Times New Roman" w:hAnsi="Times New Roman"/>
        </w:rPr>
        <w:t xml:space="preserve">il sistema di Spinoza e derivando l’indeterminatezza della sostanza dal principio </w:t>
      </w:r>
      <w:r w:rsidRPr="006435CC">
        <w:rPr>
          <w:rFonts w:ascii="Times New Roman" w:hAnsi="Times New Roman"/>
          <w:i/>
        </w:rPr>
        <w:t>ex nihilo nihil fit</w:t>
      </w:r>
      <w:r w:rsidRPr="006435CC">
        <w:rPr>
          <w:rFonts w:ascii="Times New Roman" w:hAnsi="Times New Roman"/>
        </w:rPr>
        <w:t xml:space="preserve">, Hegel assume un paradigma interpretativo cabbalistico del </w:t>
      </w:r>
      <w:r w:rsidRPr="006435CC">
        <w:rPr>
          <w:rFonts w:ascii="Times New Roman" w:hAnsi="Times New Roman"/>
          <w:i/>
        </w:rPr>
        <w:t>De Deo</w:t>
      </w:r>
      <w:r w:rsidRPr="006435CC">
        <w:rPr>
          <w:rFonts w:ascii="Times New Roman" w:hAnsi="Times New Roman"/>
        </w:rPr>
        <w:t>.</w:t>
      </w:r>
      <w:r>
        <w:rPr>
          <w:rFonts w:ascii="Times New Roman" w:hAnsi="Times New Roman"/>
        </w:rPr>
        <w:t xml:space="preserve"> </w:t>
      </w:r>
      <w:r w:rsidRPr="00744430">
        <w:rPr>
          <w:rFonts w:ascii="Times New Roman" w:hAnsi="Times New Roman" w:cs="Times New Roman"/>
        </w:rPr>
        <w:t>È</w:t>
      </w:r>
      <w:r>
        <w:rPr>
          <w:rFonts w:ascii="Times New Roman" w:hAnsi="Times New Roman"/>
        </w:rPr>
        <w:t xml:space="preserve"> chiaro che quest</w:t>
      </w:r>
      <w:r w:rsidRPr="00744430">
        <w:rPr>
          <w:rFonts w:ascii="Times New Roman" w:hAnsi="Times New Roman"/>
        </w:rPr>
        <w:t>o tassello della ricezione hegeliana dello spinozismo str</w:t>
      </w:r>
      <w:r w:rsidR="009E1CD1">
        <w:rPr>
          <w:rFonts w:ascii="Times New Roman" w:hAnsi="Times New Roman"/>
        </w:rPr>
        <w:t>inge ancor di più nelle</w:t>
      </w:r>
      <w:r w:rsidRPr="00744430">
        <w:rPr>
          <w:rFonts w:ascii="Times New Roman" w:hAnsi="Times New Roman"/>
        </w:rPr>
        <w:t xml:space="preserve"> maglie dell’astrazione il sistema spinoziano: ciò che di cabbalistico rivive in Spinoza è un’espressione di quel </w:t>
      </w:r>
      <w:r w:rsidRPr="00744430">
        <w:rPr>
          <w:rFonts w:ascii="Times New Roman" w:hAnsi="Times New Roman"/>
          <w:i/>
        </w:rPr>
        <w:t>Geist des Judenthums</w:t>
      </w:r>
      <w:r w:rsidRPr="00744430">
        <w:rPr>
          <w:rFonts w:ascii="Times New Roman" w:hAnsi="Times New Roman"/>
        </w:rPr>
        <w:t xml:space="preserve"> che, come una macchia d’olio, s’estende, corrodendoli,</w:t>
      </w:r>
      <w:r>
        <w:rPr>
          <w:rFonts w:ascii="Times New Roman" w:hAnsi="Times New Roman"/>
        </w:rPr>
        <w:t xml:space="preserve"> su</w:t>
      </w:r>
      <w:r w:rsidRPr="00744430">
        <w:rPr>
          <w:rFonts w:ascii="Times New Roman" w:hAnsi="Times New Roman"/>
        </w:rPr>
        <w:t xml:space="preserve"> tutti i fenomeni della cultura ebraica.</w:t>
      </w:r>
    </w:p>
    <w:p w14:paraId="1F2A1822" w14:textId="598E6882" w:rsidR="001B7751" w:rsidRPr="00C85C63" w:rsidRDefault="001B7751" w:rsidP="001B7751">
      <w:pPr>
        <w:spacing w:line="360" w:lineRule="auto"/>
        <w:ind w:firstLine="567"/>
        <w:jc w:val="both"/>
        <w:rPr>
          <w:rFonts w:ascii="Times New Roman" w:hAnsi="Times New Roman"/>
          <w:highlight w:val="yellow"/>
        </w:rPr>
      </w:pPr>
      <w:r w:rsidRPr="00707D87">
        <w:rPr>
          <w:rFonts w:ascii="Times New Roman" w:hAnsi="Times New Roman"/>
        </w:rPr>
        <w:t xml:space="preserve">Da questa lettura dell’ontologia spinoziana, si possono desumere una serie di coordinate in grado di orientare quanto introdotto in apertura di questo capitolo. La ricezione di un modello interpretativo cabbalistico dello spinozismo può spiegarsi a partire dall’incontro tardivo di Hegel con il misticismo ebraico. Il fatto che siano assunte dal 1821 in poi delle categorie riconducibili alla </w:t>
      </w:r>
      <w:r w:rsidRPr="00707D87">
        <w:rPr>
          <w:rFonts w:ascii="Times New Roman" w:hAnsi="Times New Roman"/>
          <w:i/>
        </w:rPr>
        <w:t>querelle</w:t>
      </w:r>
      <w:r w:rsidRPr="00707D87">
        <w:rPr>
          <w:rFonts w:ascii="Times New Roman" w:hAnsi="Times New Roman"/>
        </w:rPr>
        <w:t xml:space="preserve"> sul cabbalismo di Spinoza è spia di una ricezione della Qabbalah dettata da impegni e obblighi di natura didattica.</w:t>
      </w:r>
      <w:r>
        <w:rPr>
          <w:rFonts w:ascii="Times New Roman" w:hAnsi="Times New Roman"/>
        </w:rPr>
        <w:t xml:space="preserve"> I cicli di lezioni sulla storia della filosofia spingono Hegel ad approfondire aspetti del pensiero filosofico per cui non nutre un vero e proprio interesse. La Qabbalah, ad esempio, è un fenomeno </w:t>
      </w:r>
      <w:r w:rsidRPr="00FB5014">
        <w:rPr>
          <w:rFonts w:ascii="Times New Roman" w:hAnsi="Times New Roman"/>
        </w:rPr>
        <w:t>filosofico-religioso con</w:t>
      </w:r>
      <w:r>
        <w:rPr>
          <w:rFonts w:ascii="Times New Roman" w:hAnsi="Times New Roman"/>
        </w:rPr>
        <w:t xml:space="preserve"> cui Hegel entra in contatto per mezzo delle sintesi manualistiche anteriori alle </w:t>
      </w:r>
      <w:r w:rsidRPr="004B4BF7">
        <w:rPr>
          <w:rFonts w:ascii="Times New Roman" w:hAnsi="Times New Roman"/>
          <w:i/>
        </w:rPr>
        <w:t xml:space="preserve">Vorlesungen </w:t>
      </w:r>
      <w:r w:rsidRPr="004B4BF7">
        <w:rPr>
          <w:rFonts w:ascii="Times New Roman" w:hAnsi="Times New Roman" w:cs="Times New Roman"/>
          <w:i/>
        </w:rPr>
        <w:t>ü</w:t>
      </w:r>
      <w:r w:rsidRPr="004B4BF7">
        <w:rPr>
          <w:rFonts w:ascii="Times New Roman" w:hAnsi="Times New Roman"/>
          <w:i/>
        </w:rPr>
        <w:t>ber die Geschichte der Philosophie</w:t>
      </w:r>
      <w:r>
        <w:rPr>
          <w:rFonts w:ascii="Times New Roman" w:hAnsi="Times New Roman"/>
        </w:rPr>
        <w:t xml:space="preserve">. Che la mistica ebraica sia discussa </w:t>
      </w:r>
      <w:r w:rsidRPr="00B27858">
        <w:rPr>
          <w:rFonts w:ascii="Times New Roman" w:hAnsi="Times New Roman"/>
        </w:rPr>
        <w:t>per la prima volta e con una certa ampiezza nel manoscritto H</w:t>
      </w:r>
      <w:r w:rsidRPr="00B27858">
        <w:rPr>
          <w:rFonts w:ascii="Times New Roman" w:hAnsi="Times New Roman" w:cs="Times New Roman"/>
        </w:rPr>
        <w:t>ä</w:t>
      </w:r>
      <w:r w:rsidR="002B2084">
        <w:rPr>
          <w:rFonts w:ascii="Times New Roman" w:hAnsi="Times New Roman"/>
        </w:rPr>
        <w:t>ring del 1820/</w:t>
      </w:r>
      <w:r w:rsidRPr="00B27858">
        <w:rPr>
          <w:rFonts w:ascii="Times New Roman" w:hAnsi="Times New Roman"/>
        </w:rPr>
        <w:t xml:space="preserve">21 e che proprio in quell’anno Hegel categorizzi lo spinozismo in termini </w:t>
      </w:r>
      <w:r w:rsidRPr="00B27858">
        <w:rPr>
          <w:rFonts w:ascii="Times New Roman" w:hAnsi="Times New Roman"/>
          <w:i/>
        </w:rPr>
        <w:t>acosmistici</w:t>
      </w:r>
      <w:r w:rsidRPr="00B27858">
        <w:rPr>
          <w:rFonts w:ascii="Times New Roman" w:hAnsi="Times New Roman"/>
        </w:rPr>
        <w:t xml:space="preserve"> non è una semplice</w:t>
      </w:r>
      <w:r>
        <w:rPr>
          <w:rFonts w:ascii="Times New Roman" w:hAnsi="Times New Roman"/>
        </w:rPr>
        <w:t xml:space="preserve"> </w:t>
      </w:r>
      <w:r w:rsidRPr="00BA0238">
        <w:rPr>
          <w:rFonts w:ascii="Times New Roman" w:hAnsi="Times New Roman"/>
        </w:rPr>
        <w:t>coincidenza</w:t>
      </w:r>
      <w:r w:rsidRPr="00BA0238">
        <w:rPr>
          <w:rStyle w:val="Rimandonotaapidipagina"/>
          <w:rFonts w:ascii="Times New Roman" w:hAnsi="Times New Roman"/>
        </w:rPr>
        <w:footnoteReference w:id="515"/>
      </w:r>
      <w:r w:rsidRPr="00BA0238">
        <w:rPr>
          <w:rFonts w:ascii="Times New Roman" w:hAnsi="Times New Roman"/>
        </w:rPr>
        <w:t xml:space="preserve">. Sia il </w:t>
      </w:r>
      <w:r w:rsidRPr="00BA0238">
        <w:rPr>
          <w:rFonts w:ascii="Times New Roman" w:hAnsi="Times New Roman"/>
          <w:i/>
          <w:lang w:val="de-DE"/>
        </w:rPr>
        <w:t>Lehrbuch der Geschichte der Phil</w:t>
      </w:r>
      <w:r w:rsidRPr="00BA0238">
        <w:rPr>
          <w:rFonts w:ascii="Times New Roman" w:hAnsi="Times New Roman"/>
          <w:lang w:val="de-DE"/>
        </w:rPr>
        <w:t>osophie</w:t>
      </w:r>
      <w:r w:rsidRPr="00BA0238">
        <w:rPr>
          <w:rFonts w:ascii="Times New Roman" w:hAnsi="Times New Roman"/>
        </w:rPr>
        <w:t xml:space="preserve"> (1799) di Gottlieb Buhle che i </w:t>
      </w:r>
      <w:r w:rsidRPr="00BA0238">
        <w:rPr>
          <w:rFonts w:ascii="Times New Roman" w:hAnsi="Times New Roman"/>
          <w:i/>
          <w:lang w:val="de-DE"/>
        </w:rPr>
        <w:t>Grundriss einer Geschichte der Philosophie</w:t>
      </w:r>
      <w:r w:rsidRPr="00BA0238">
        <w:rPr>
          <w:rFonts w:ascii="Times New Roman" w:hAnsi="Times New Roman"/>
        </w:rPr>
        <w:t xml:space="preserve"> (1807) di Friedrich Ast riportano, al principio di ogni sezione dedicata ad un periodo della storia della filosofia, una bibliografia essenziale</w:t>
      </w:r>
      <w:r>
        <w:rPr>
          <w:rFonts w:ascii="Times New Roman" w:hAnsi="Times New Roman"/>
        </w:rPr>
        <w:t>.</w:t>
      </w:r>
      <w:r w:rsidRPr="00804647">
        <w:rPr>
          <w:rFonts w:ascii="Times New Roman" w:hAnsi="Times New Roman"/>
        </w:rPr>
        <w:t xml:space="preserve"> </w:t>
      </w:r>
      <w:r>
        <w:rPr>
          <w:rFonts w:ascii="Times New Roman" w:hAnsi="Times New Roman"/>
        </w:rPr>
        <w:t xml:space="preserve">Accanto alla </w:t>
      </w:r>
      <w:r w:rsidRPr="007057E1">
        <w:rPr>
          <w:rFonts w:ascii="Times New Roman" w:hAnsi="Times New Roman"/>
          <w:i/>
        </w:rPr>
        <w:t>Kabbala denudata</w:t>
      </w:r>
      <w:r>
        <w:rPr>
          <w:rFonts w:ascii="Times New Roman" w:hAnsi="Times New Roman"/>
        </w:rPr>
        <w:t xml:space="preserve"> di Christian Knorr von Rosenroth – e con essa i testi di Abraham Cohen de Herrera e di Henry Moore, di cui si dirà in seguito</w:t>
      </w:r>
      <w:r>
        <w:rPr>
          <w:rStyle w:val="Rimandonotaapidipagina"/>
          <w:rFonts w:ascii="Times New Roman" w:hAnsi="Times New Roman"/>
        </w:rPr>
        <w:footnoteReference w:id="516"/>
      </w:r>
      <w:r>
        <w:rPr>
          <w:rFonts w:ascii="Times New Roman" w:hAnsi="Times New Roman"/>
        </w:rPr>
        <w:t xml:space="preserve"> – è consigliata al lettore l’autobiografia di Salomon Maimon</w:t>
      </w:r>
      <w:r>
        <w:rPr>
          <w:rStyle w:val="Rimandonotaapidipagina"/>
          <w:rFonts w:ascii="Times New Roman" w:hAnsi="Times New Roman"/>
        </w:rPr>
        <w:footnoteReference w:id="517"/>
      </w:r>
      <w:r>
        <w:rPr>
          <w:rFonts w:ascii="Times New Roman" w:hAnsi="Times New Roman"/>
        </w:rPr>
        <w:t>. Questa considerazione, che potrebbe sembrare del tutto marginale e priva d’</w:t>
      </w:r>
      <w:r w:rsidR="002B2084">
        <w:rPr>
          <w:rFonts w:ascii="Times New Roman" w:hAnsi="Times New Roman"/>
        </w:rPr>
        <w:t>importanza, costituisce, in veri</w:t>
      </w:r>
      <w:r>
        <w:rPr>
          <w:rFonts w:ascii="Times New Roman" w:hAnsi="Times New Roman"/>
        </w:rPr>
        <w:t>tà, una prova a sostegno della nostra tesi. Per fornire ai suoi uditori un quadro esaustivo della storia del pensiero filosofico, Hegel approfondisce tematiche con cui non ha partico</w:t>
      </w:r>
      <w:r w:rsidR="002B2084">
        <w:rPr>
          <w:rFonts w:ascii="Times New Roman" w:hAnsi="Times New Roman"/>
        </w:rPr>
        <w:t xml:space="preserve">lare dimestichezza. </w:t>
      </w:r>
      <w:r>
        <w:rPr>
          <w:rFonts w:ascii="Times New Roman" w:hAnsi="Times New Roman"/>
        </w:rPr>
        <w:t xml:space="preserve">Ritengo plausibile che la lettura della </w:t>
      </w:r>
      <w:r w:rsidRPr="000259E1">
        <w:rPr>
          <w:rFonts w:ascii="Times New Roman" w:hAnsi="Times New Roman"/>
          <w:i/>
        </w:rPr>
        <w:t>Lebensgeschichte</w:t>
      </w:r>
      <w:r>
        <w:rPr>
          <w:rFonts w:ascii="Times New Roman" w:hAnsi="Times New Roman"/>
        </w:rPr>
        <w:t xml:space="preserve"> di Salomon Maimon sia stata sollecitata dalla necessità di raccogliere informazioni schematiche sulla mistica ebraica. </w:t>
      </w:r>
      <w:r w:rsidRPr="004D3CBC">
        <w:rPr>
          <w:rFonts w:ascii="Times New Roman" w:hAnsi="Times New Roman"/>
        </w:rPr>
        <w:t xml:space="preserve">Più che base argomentativa di questa sezione delle </w:t>
      </w:r>
      <w:r w:rsidRPr="004D3CBC">
        <w:rPr>
          <w:rFonts w:ascii="Times New Roman" w:hAnsi="Times New Roman"/>
          <w:i/>
        </w:rPr>
        <w:t>Vorlesungen</w:t>
      </w:r>
      <w:r w:rsidRPr="004D3CBC">
        <w:rPr>
          <w:rFonts w:ascii="Times New Roman" w:hAnsi="Times New Roman"/>
        </w:rPr>
        <w:t xml:space="preserve">, la </w:t>
      </w:r>
      <w:r w:rsidRPr="004D3CBC">
        <w:rPr>
          <w:rFonts w:ascii="Times New Roman" w:hAnsi="Times New Roman"/>
          <w:i/>
        </w:rPr>
        <w:t>Lebensgeschichte</w:t>
      </w:r>
      <w:r w:rsidRPr="004D3CBC">
        <w:rPr>
          <w:rFonts w:ascii="Times New Roman" w:hAnsi="Times New Roman"/>
        </w:rPr>
        <w:t xml:space="preserve"> offre una nuova categorizzazione dell’ontologia spinoziana. Come ossatura della ricostruzione storico-filosofica del misticismo ebraico, Hegel utilizza altre fonti storiografiche: si registra una ripresa della manualistica tardo settecentesca nelle </w:t>
      </w:r>
      <w:r w:rsidRPr="004D3CBC">
        <w:rPr>
          <w:rFonts w:ascii="Times New Roman" w:hAnsi="Times New Roman"/>
          <w:i/>
        </w:rPr>
        <w:t>Vorlesungen</w:t>
      </w:r>
      <w:r w:rsidRPr="004D3CBC">
        <w:rPr>
          <w:rFonts w:ascii="Times New Roman" w:hAnsi="Times New Roman"/>
        </w:rPr>
        <w:t xml:space="preserve">, che ripetono quasi letteralmente passaggi del </w:t>
      </w:r>
      <w:r w:rsidRPr="004D3CBC">
        <w:rPr>
          <w:rFonts w:ascii="Times New Roman" w:hAnsi="Times New Roman"/>
          <w:i/>
        </w:rPr>
        <w:t>Gesit der speculativen Philosophie</w:t>
      </w:r>
      <w:r w:rsidRPr="004D3CBC">
        <w:rPr>
          <w:rFonts w:ascii="Times New Roman" w:hAnsi="Times New Roman"/>
        </w:rPr>
        <w:t xml:space="preserve"> e del </w:t>
      </w:r>
      <w:r w:rsidRPr="004D3CBC">
        <w:rPr>
          <w:rFonts w:ascii="Times New Roman" w:hAnsi="Times New Roman"/>
          <w:i/>
        </w:rPr>
        <w:t>Lehrbuch der Geschichte der Philsophie</w:t>
      </w:r>
      <w:r w:rsidRPr="004D3CBC">
        <w:rPr>
          <w:rStyle w:val="Rimandonotaapidipagina"/>
          <w:rFonts w:ascii="Times New Roman" w:hAnsi="Times New Roman"/>
          <w:i/>
        </w:rPr>
        <w:footnoteReference w:id="518"/>
      </w:r>
      <w:r w:rsidRPr="004D3CBC">
        <w:rPr>
          <w:rFonts w:ascii="Times New Roman" w:hAnsi="Times New Roman"/>
        </w:rPr>
        <w:t xml:space="preserve">. </w:t>
      </w:r>
      <w:r w:rsidRPr="00B27858">
        <w:rPr>
          <w:rFonts w:ascii="Times New Roman" w:hAnsi="Times New Roman"/>
        </w:rPr>
        <w:t>Risultato di quest’operazione storiografica è la riproposizione di un modello interpretativo alessandrino</w:t>
      </w:r>
      <w:r w:rsidRPr="00B27858">
        <w:rPr>
          <w:rFonts w:ascii="Times New Roman" w:hAnsi="Times New Roman"/>
          <w:i/>
        </w:rPr>
        <w:t xml:space="preserve"> </w:t>
      </w:r>
      <w:r w:rsidRPr="00B27858">
        <w:rPr>
          <w:rFonts w:ascii="Times New Roman" w:hAnsi="Times New Roman"/>
        </w:rPr>
        <w:t>della Qabbalah. Già dal metodo con cui Hegel raccoglie informazioni sul tema, si possono trarre delle</w:t>
      </w:r>
      <w:r w:rsidR="009E1CD1">
        <w:rPr>
          <w:rFonts w:ascii="Times New Roman" w:hAnsi="Times New Roman"/>
        </w:rPr>
        <w:t xml:space="preserve"> conclusioni</w:t>
      </w:r>
      <w:r w:rsidRPr="00EC0F17">
        <w:rPr>
          <w:rFonts w:ascii="Times New Roman" w:hAnsi="Times New Roman"/>
        </w:rPr>
        <w:t xml:space="preserve"> di non poco conto:</w:t>
      </w:r>
      <w:r>
        <w:rPr>
          <w:rFonts w:ascii="Times New Roman" w:hAnsi="Times New Roman"/>
        </w:rPr>
        <w:t xml:space="preserve"> 1. Hegel non ha nessun interesse per un fenomeno filosofico-religioso che categorizza attraverso una </w:t>
      </w:r>
      <w:r w:rsidRPr="00C97BA7">
        <w:rPr>
          <w:rFonts w:ascii="Times New Roman" w:hAnsi="Times New Roman"/>
          <w:i/>
        </w:rPr>
        <w:t>sintesi delle sintesi</w:t>
      </w:r>
      <w:r>
        <w:rPr>
          <w:rFonts w:ascii="Times New Roman" w:hAnsi="Times New Roman"/>
        </w:rPr>
        <w:t xml:space="preserve"> della sua epoca, 2. l’arrestarsi alla </w:t>
      </w:r>
      <w:r w:rsidRPr="00EC0F17">
        <w:rPr>
          <w:rFonts w:ascii="Times New Roman" w:hAnsi="Times New Roman"/>
          <w:i/>
        </w:rPr>
        <w:t>categorizzazione dominante</w:t>
      </w:r>
      <w:r>
        <w:rPr>
          <w:rFonts w:ascii="Times New Roman" w:hAnsi="Times New Roman"/>
          <w:i/>
        </w:rPr>
        <w:t xml:space="preserve"> </w:t>
      </w:r>
      <w:r>
        <w:rPr>
          <w:rFonts w:ascii="Times New Roman" w:hAnsi="Times New Roman"/>
        </w:rPr>
        <w:t xml:space="preserve">della mistica ebraica inficia la comprensione hegeliana delle sue potenzialità </w:t>
      </w:r>
      <w:r w:rsidRPr="00C97BA7">
        <w:rPr>
          <w:rFonts w:ascii="Times New Roman" w:hAnsi="Times New Roman"/>
          <w:i/>
        </w:rPr>
        <w:t>speculativ</w:t>
      </w:r>
      <w:r>
        <w:rPr>
          <w:rFonts w:ascii="Times New Roman" w:hAnsi="Times New Roman"/>
          <w:i/>
        </w:rPr>
        <w:t>e</w:t>
      </w:r>
      <w:r>
        <w:rPr>
          <w:rFonts w:ascii="Times New Roman" w:hAnsi="Times New Roman"/>
        </w:rPr>
        <w:t xml:space="preserve"> e 3. il </w:t>
      </w:r>
      <w:r w:rsidRPr="00A72825">
        <w:rPr>
          <w:rFonts w:ascii="Times New Roman" w:hAnsi="Times New Roman"/>
          <w:i/>
        </w:rPr>
        <w:t>cabbalismo logico</w:t>
      </w:r>
      <w:r>
        <w:rPr>
          <w:rFonts w:ascii="Times New Roman" w:hAnsi="Times New Roman"/>
        </w:rPr>
        <w:t xml:space="preserve"> di Hegel non deriva da una conoscenza diretta della letteratura cabbalistica, ma dal recupero di certe nozioni b</w:t>
      </w:r>
      <w:r>
        <w:rPr>
          <w:rFonts w:ascii="Times New Roman" w:hAnsi="Times New Roman" w:cs="Times New Roman"/>
        </w:rPr>
        <w:t>ö</w:t>
      </w:r>
      <w:r>
        <w:rPr>
          <w:rFonts w:ascii="Times New Roman" w:hAnsi="Times New Roman"/>
        </w:rPr>
        <w:t xml:space="preserve">hmiane contigue al misticismo ebraico. </w:t>
      </w:r>
    </w:p>
    <w:p w14:paraId="2CEC9836" w14:textId="604A829D" w:rsidR="001B7751" w:rsidRDefault="001B7751" w:rsidP="001B7751">
      <w:pPr>
        <w:tabs>
          <w:tab w:val="left" w:pos="6601"/>
        </w:tabs>
        <w:spacing w:line="360" w:lineRule="auto"/>
        <w:ind w:firstLine="567"/>
        <w:jc w:val="both"/>
        <w:rPr>
          <w:rFonts w:ascii="Times New Roman" w:hAnsi="Times New Roman"/>
        </w:rPr>
      </w:pPr>
      <w:r w:rsidRPr="00561094">
        <w:rPr>
          <w:rFonts w:ascii="Times New Roman" w:hAnsi="Times New Roman"/>
        </w:rPr>
        <w:t xml:space="preserve">Sulla base di quanto detto, si procederà ad una ricostruzione storico-filosofica della ricezione della Qabbalah nella Germania del XVIII e XIX secolo. Come presupposto teorico di una dinamica storiografica secolare, sarà discussa la </w:t>
      </w:r>
      <w:r w:rsidRPr="00561094">
        <w:rPr>
          <w:rFonts w:ascii="Times New Roman" w:hAnsi="Times New Roman"/>
          <w:i/>
        </w:rPr>
        <w:t>Kabbala denudata</w:t>
      </w:r>
      <w:r w:rsidRPr="00561094">
        <w:rPr>
          <w:rFonts w:ascii="Times New Roman" w:hAnsi="Times New Roman"/>
        </w:rPr>
        <w:t xml:space="preserve"> (1677 e 1684) di Christian Knorr von Rosenroth. Parallela</w:t>
      </w:r>
      <w:r w:rsidR="00BA0238" w:rsidRPr="00561094">
        <w:rPr>
          <w:rFonts w:ascii="Times New Roman" w:hAnsi="Times New Roman"/>
        </w:rPr>
        <w:t>mente a ciò, saranno ripercorse</w:t>
      </w:r>
      <w:r w:rsidRPr="00561094">
        <w:rPr>
          <w:rFonts w:ascii="Times New Roman" w:hAnsi="Times New Roman"/>
        </w:rPr>
        <w:t xml:space="preserve"> le tappe del processo d’assimilazione dello spinozismo alla filosofia cabbalistica.</w:t>
      </w:r>
      <w:r w:rsidRPr="00FB5014">
        <w:rPr>
          <w:rFonts w:ascii="Times New Roman" w:hAnsi="Times New Roman"/>
        </w:rPr>
        <w:t xml:space="preserve"> L’interrogarsi sul legame della filosofia di Spinoza con la mistica ebraica, che alimenta lo </w:t>
      </w:r>
      <w:r w:rsidRPr="00FB5014">
        <w:rPr>
          <w:rFonts w:ascii="Times New Roman" w:hAnsi="Times New Roman"/>
          <w:i/>
          <w:lang w:val="de-DE"/>
        </w:rPr>
        <w:t>Spinozismusstreit</w:t>
      </w:r>
      <w:r w:rsidRPr="00FB5014">
        <w:rPr>
          <w:rFonts w:ascii="Times New Roman" w:hAnsi="Times New Roman"/>
          <w:i/>
        </w:rPr>
        <w:t xml:space="preserve"> </w:t>
      </w:r>
      <w:r w:rsidRPr="00FB5014">
        <w:rPr>
          <w:rFonts w:ascii="Times New Roman" w:hAnsi="Times New Roman"/>
        </w:rPr>
        <w:t>nella Germania del ’700, s’interseca con l’interesse per la Qabbalah suscitato dalle pubblicazioni di von Rosenroth. Messe a punto queste coordinate storico-filosofiche, sarà analizzato il loro intreccio nei manuali di Brucker, Tiedemann, Buhle, Ast e Tenneman</w:t>
      </w:r>
      <w:r w:rsidR="00BA0238">
        <w:rPr>
          <w:rFonts w:ascii="Times New Roman" w:hAnsi="Times New Roman"/>
        </w:rPr>
        <w:t>n</w:t>
      </w:r>
      <w:r w:rsidRPr="00FB5014">
        <w:rPr>
          <w:rFonts w:ascii="Times New Roman" w:hAnsi="Times New Roman"/>
        </w:rPr>
        <w:t xml:space="preserve">. Dopo aver definito questa </w:t>
      </w:r>
      <w:r w:rsidRPr="00FB5014">
        <w:rPr>
          <w:rFonts w:ascii="Times New Roman" w:hAnsi="Times New Roman"/>
          <w:i/>
        </w:rPr>
        <w:t>cornice storiografica</w:t>
      </w:r>
      <w:r w:rsidRPr="00FB5014">
        <w:rPr>
          <w:rFonts w:ascii="Times New Roman" w:hAnsi="Times New Roman"/>
        </w:rPr>
        <w:t xml:space="preserve">, saranno discusse le </w:t>
      </w:r>
      <w:r w:rsidRPr="00FB5014">
        <w:rPr>
          <w:rFonts w:ascii="Times New Roman" w:hAnsi="Times New Roman"/>
          <w:i/>
        </w:rPr>
        <w:t>Vorlesungen</w:t>
      </w:r>
      <w:r w:rsidRPr="00FB5014">
        <w:rPr>
          <w:rFonts w:ascii="Times New Roman" w:hAnsi="Times New Roman"/>
        </w:rPr>
        <w:t xml:space="preserve"> hegeliane, cercando di spiegare le ragioni del mancato incontro dell’idealismo assoluto con il misticismo ebraico.</w:t>
      </w:r>
    </w:p>
    <w:p w14:paraId="0B980A84" w14:textId="77777777" w:rsidR="001B7751" w:rsidRDefault="001B7751" w:rsidP="001B7751">
      <w:pPr>
        <w:tabs>
          <w:tab w:val="left" w:pos="6601"/>
        </w:tabs>
        <w:spacing w:line="360" w:lineRule="auto"/>
        <w:ind w:firstLine="567"/>
        <w:jc w:val="both"/>
        <w:rPr>
          <w:rFonts w:ascii="Times New Roman" w:hAnsi="Times New Roman"/>
        </w:rPr>
      </w:pPr>
    </w:p>
    <w:p w14:paraId="62D81496" w14:textId="77777777" w:rsidR="001B7751" w:rsidRPr="006D5751" w:rsidRDefault="001B7751" w:rsidP="001B7751">
      <w:pPr>
        <w:tabs>
          <w:tab w:val="left" w:pos="6601"/>
        </w:tabs>
        <w:spacing w:line="360" w:lineRule="auto"/>
        <w:jc w:val="both"/>
        <w:rPr>
          <w:rFonts w:ascii="Times New Roman" w:hAnsi="Times New Roman"/>
          <w:i/>
        </w:rPr>
      </w:pPr>
      <w:r>
        <w:rPr>
          <w:rFonts w:ascii="Times New Roman" w:hAnsi="Times New Roman"/>
          <w:i/>
        </w:rPr>
        <w:t>3.1</w:t>
      </w:r>
      <w:r w:rsidRPr="00580781">
        <w:rPr>
          <w:rFonts w:ascii="Times New Roman" w:hAnsi="Times New Roman"/>
          <w:i/>
        </w:rPr>
        <w:t xml:space="preserve"> “Ex nihilo nihil posse creari”: la Qabbalah ebraica fra emanatismo e panteismo</w:t>
      </w:r>
    </w:p>
    <w:p w14:paraId="169AA5E5" w14:textId="77777777" w:rsidR="001B7751" w:rsidRDefault="001B7751" w:rsidP="001B7751">
      <w:pPr>
        <w:tabs>
          <w:tab w:val="left" w:pos="6601"/>
        </w:tabs>
        <w:spacing w:line="360" w:lineRule="auto"/>
        <w:ind w:firstLine="567"/>
        <w:jc w:val="both"/>
        <w:rPr>
          <w:rFonts w:ascii="Times New Roman" w:hAnsi="Times New Roman"/>
          <w:b/>
        </w:rPr>
      </w:pPr>
    </w:p>
    <w:p w14:paraId="43C3E79F" w14:textId="698FA75A" w:rsidR="002B3AF0" w:rsidRDefault="001B7751" w:rsidP="001B7751">
      <w:pPr>
        <w:tabs>
          <w:tab w:val="left" w:pos="6601"/>
        </w:tabs>
        <w:spacing w:line="360" w:lineRule="auto"/>
        <w:ind w:firstLine="567"/>
        <w:jc w:val="both"/>
        <w:rPr>
          <w:rFonts w:ascii="Times New Roman" w:hAnsi="Times New Roman"/>
        </w:rPr>
      </w:pPr>
      <w:r>
        <w:rPr>
          <w:rFonts w:ascii="Times New Roman" w:hAnsi="Times New Roman"/>
        </w:rPr>
        <w:t xml:space="preserve">Con la pubblicazione della </w:t>
      </w:r>
      <w:r w:rsidRPr="00A555B1">
        <w:rPr>
          <w:rFonts w:ascii="Times New Roman" w:hAnsi="Times New Roman" w:cs="Times New Roman"/>
          <w:i/>
        </w:rPr>
        <w:t xml:space="preserve">Kabbala denudata, </w:t>
      </w:r>
      <w:r w:rsidRPr="00A555B1">
        <w:rPr>
          <w:rFonts w:ascii="Times New Roman" w:eastAsia="Times New Roman" w:hAnsi="Times New Roman" w:cs="Times New Roman"/>
          <w:i/>
          <w:iCs/>
          <w:color w:val="222222"/>
          <w:shd w:val="clear" w:color="auto" w:fill="FFFFFF"/>
        </w:rPr>
        <w:t>sive Doctrina Hebræorum Transcendentalis et Metaphysica Atque Theologia</w:t>
      </w:r>
      <w:r>
        <w:rPr>
          <w:rFonts w:ascii="Times New Roman" w:eastAsia="Times New Roman" w:hAnsi="Times New Roman" w:cs="Times New Roman"/>
          <w:i/>
          <w:iCs/>
          <w:color w:val="222222"/>
          <w:shd w:val="clear" w:color="auto" w:fill="FFFFFF"/>
        </w:rPr>
        <w:t xml:space="preserve"> </w:t>
      </w:r>
      <w:r>
        <w:rPr>
          <w:rFonts w:ascii="Times New Roman" w:eastAsia="Times New Roman" w:hAnsi="Times New Roman" w:cs="Times New Roman"/>
          <w:iCs/>
          <w:color w:val="222222"/>
          <w:shd w:val="clear" w:color="auto" w:fill="FFFFFF"/>
        </w:rPr>
        <w:t>(Sulzbach 1677 e 1684)</w:t>
      </w:r>
      <w:r w:rsidRPr="00A555B1">
        <w:rPr>
          <w:rFonts w:ascii="Times New Roman" w:eastAsia="Times New Roman" w:hAnsi="Times New Roman" w:cs="Times New Roman"/>
          <w:iCs/>
          <w:color w:val="222222"/>
          <w:shd w:val="clear" w:color="auto" w:fill="FFFFFF"/>
        </w:rPr>
        <w:t>,</w:t>
      </w:r>
      <w:r w:rsidRPr="00A555B1">
        <w:rPr>
          <w:rFonts w:ascii="Times New Roman" w:hAnsi="Times New Roman" w:cs="Times New Roman"/>
        </w:rPr>
        <w:t xml:space="preserve"> </w:t>
      </w:r>
      <w:r>
        <w:rPr>
          <w:rFonts w:ascii="Times New Roman" w:hAnsi="Times New Roman" w:cs="Times New Roman"/>
        </w:rPr>
        <w:t>i</w:t>
      </w:r>
      <w:r>
        <w:rPr>
          <w:rFonts w:ascii="Times New Roman" w:hAnsi="Times New Roman"/>
        </w:rPr>
        <w:t xml:space="preserve">l barone Christian Knorr von Rosenroth (1636-1689) </w:t>
      </w:r>
      <w:r w:rsidRPr="002843B5">
        <w:rPr>
          <w:rFonts w:ascii="Times New Roman" w:hAnsi="Times New Roman"/>
        </w:rPr>
        <w:t>mise a disposizione del pubblico colto europeo una serie considerevole di opere cabbalistiche in traduzione latina</w:t>
      </w:r>
      <w:r w:rsidRPr="002843B5">
        <w:rPr>
          <w:rStyle w:val="Rimandonotaapidipagina"/>
          <w:rFonts w:ascii="Times New Roman" w:hAnsi="Times New Roman"/>
        </w:rPr>
        <w:footnoteReference w:id="519"/>
      </w:r>
      <w:r w:rsidRPr="002843B5">
        <w:rPr>
          <w:rFonts w:ascii="Times New Roman" w:hAnsi="Times New Roman"/>
        </w:rPr>
        <w:t>.</w:t>
      </w:r>
      <w:r>
        <w:rPr>
          <w:rFonts w:ascii="Times New Roman" w:hAnsi="Times New Roman"/>
        </w:rPr>
        <w:t xml:space="preserve"> Prima della pubblicazione di questo voluminoso scritto, era difficoltoso, se non addirittura proibitivo, accedere alla letteratura cabbalistica senza una conoscenza approfondita della lingua ebraica. In un certo senso, l’attività editoriale di von Rosenroth rispondeva al desiderio di rendere fruibile in Europa la </w:t>
      </w:r>
      <w:r w:rsidRPr="00E25084">
        <w:rPr>
          <w:rFonts w:ascii="Times New Roman" w:hAnsi="Times New Roman"/>
          <w:i/>
        </w:rPr>
        <w:t>tradizione</w:t>
      </w:r>
      <w:r>
        <w:rPr>
          <w:rFonts w:ascii="Times New Roman" w:hAnsi="Times New Roman"/>
        </w:rPr>
        <w:t xml:space="preserve"> del popolo ebraico. Ma non solo. Secondo von Rosenroth, al disvelamento della Qabbalah sarebbe seguita la ricomposizio</w:t>
      </w:r>
      <w:r w:rsidR="00ED4361">
        <w:rPr>
          <w:rFonts w:ascii="Times New Roman" w:hAnsi="Times New Roman"/>
        </w:rPr>
        <w:t>ne dell’unità religiosa fra ebr</w:t>
      </w:r>
      <w:r>
        <w:rPr>
          <w:rFonts w:ascii="Times New Roman" w:hAnsi="Times New Roman"/>
        </w:rPr>
        <w:t>aismo e cristianesimo. In pieno spirito barocco, von Rosenroth consegna ad un’immagine allegorica questa convinzione personale</w:t>
      </w:r>
      <w:r w:rsidRPr="001F5217">
        <w:rPr>
          <w:rStyle w:val="Rimandonotaapidipagina"/>
          <w:rFonts w:ascii="Times New Roman" w:hAnsi="Times New Roman"/>
        </w:rPr>
        <w:footnoteReference w:id="520"/>
      </w:r>
      <w:r w:rsidR="002B3AF0">
        <w:rPr>
          <w:rFonts w:ascii="Times New Roman" w:hAnsi="Times New Roman"/>
        </w:rPr>
        <w:t>. C</w:t>
      </w:r>
      <w:r w:rsidR="002B3AF0" w:rsidRPr="001F5217">
        <w:rPr>
          <w:rFonts w:ascii="Times New Roman" w:hAnsi="Times New Roman"/>
        </w:rPr>
        <w:t>on lo sguardo rivolto all’albero sefirotico, una giovane fanciulla, che tiene una fiaccola nella mano destra e una pergamena nella mano sinis</w:t>
      </w:r>
      <w:r w:rsidR="002B3AF0">
        <w:rPr>
          <w:rFonts w:ascii="Times New Roman" w:hAnsi="Times New Roman"/>
        </w:rPr>
        <w:t xml:space="preserve">tra, si accinge ad entrare nel </w:t>
      </w:r>
      <w:r w:rsidR="002B3AF0" w:rsidRPr="001F5217">
        <w:rPr>
          <w:rFonts w:ascii="Times New Roman" w:hAnsi="Times New Roman"/>
        </w:rPr>
        <w:t>palazzo degli arcani (</w:t>
      </w:r>
      <w:r w:rsidR="002B3AF0" w:rsidRPr="001F5217">
        <w:rPr>
          <w:rFonts w:ascii="Times New Roman" w:hAnsi="Times New Roman"/>
          <w:i/>
        </w:rPr>
        <w:t>palatium arcanorum</w:t>
      </w:r>
      <w:r w:rsidR="002B3AF0" w:rsidRPr="001F5217">
        <w:rPr>
          <w:rFonts w:ascii="Times New Roman" w:hAnsi="Times New Roman"/>
        </w:rPr>
        <w:t>).</w:t>
      </w:r>
      <w:r w:rsidR="002B3AF0">
        <w:rPr>
          <w:rFonts w:ascii="Times New Roman" w:hAnsi="Times New Roman"/>
        </w:rPr>
        <w:t xml:space="preserve"> </w:t>
      </w:r>
    </w:p>
    <w:p w14:paraId="6339836B" w14:textId="4D999BBF" w:rsidR="0019662E" w:rsidRDefault="0019662E" w:rsidP="002B3AF0">
      <w:pPr>
        <w:tabs>
          <w:tab w:val="left" w:pos="6601"/>
        </w:tabs>
        <w:spacing w:line="360" w:lineRule="auto"/>
        <w:ind w:firstLine="567"/>
        <w:jc w:val="both"/>
        <w:rPr>
          <w:rFonts w:ascii="Times New Roman" w:hAnsi="Times New Roman"/>
        </w:rPr>
      </w:pPr>
      <w:r>
        <w:rPr>
          <w:rFonts w:ascii="Times New Roman" w:hAnsi="Times New Roman"/>
        </w:rPr>
        <w:t xml:space="preserve"> </w:t>
      </w:r>
    </w:p>
    <w:p w14:paraId="62D8AF1F" w14:textId="77777777" w:rsidR="002B3AF0" w:rsidRDefault="0019662E" w:rsidP="002B3AF0">
      <w:pPr>
        <w:tabs>
          <w:tab w:val="left" w:pos="6601"/>
        </w:tabs>
        <w:spacing w:line="360" w:lineRule="auto"/>
        <w:jc w:val="both"/>
        <w:rPr>
          <w:rFonts w:ascii="Times New Roman" w:hAnsi="Times New Roman"/>
        </w:rPr>
      </w:pPr>
      <w:r>
        <w:rPr>
          <w:rFonts w:ascii="Times New Roman" w:hAnsi="Times New Roman"/>
          <w:noProof/>
        </w:rPr>
        <w:drawing>
          <wp:anchor distT="0" distB="0" distL="114300" distR="114300" simplePos="0" relativeHeight="251665408" behindDoc="0" locked="0" layoutInCell="1" allowOverlap="1" wp14:anchorId="3088226E" wp14:editId="00693849">
            <wp:simplePos x="0" y="0"/>
            <wp:positionH relativeFrom="column">
              <wp:align>left</wp:align>
            </wp:positionH>
            <wp:positionV relativeFrom="paragraph">
              <wp:align>top</wp:align>
            </wp:positionV>
            <wp:extent cx="5395595" cy="6541770"/>
            <wp:effectExtent l="0" t="0" r="0" b="11430"/>
            <wp:wrapSquare wrapText="bothSides"/>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abb. Denudata.png"/>
                    <pic:cNvPicPr/>
                  </pic:nvPicPr>
                  <pic:blipFill>
                    <a:blip r:embed="rId14">
                      <a:extLst>
                        <a:ext uri="{28A0092B-C50C-407E-A947-70E740481C1C}">
                          <a14:useLocalDpi xmlns:a14="http://schemas.microsoft.com/office/drawing/2010/main" val="0"/>
                        </a:ext>
                      </a:extLst>
                    </a:blip>
                    <a:stretch>
                      <a:fillRect/>
                    </a:stretch>
                  </pic:blipFill>
                  <pic:spPr>
                    <a:xfrm>
                      <a:off x="0" y="0"/>
                      <a:ext cx="5395595" cy="6541770"/>
                    </a:xfrm>
                    <a:prstGeom prst="rect">
                      <a:avLst/>
                    </a:prstGeom>
                  </pic:spPr>
                </pic:pic>
              </a:graphicData>
            </a:graphic>
            <wp14:sizeRelV relativeFrom="margin">
              <wp14:pctHeight>0</wp14:pctHeight>
            </wp14:sizeRelV>
          </wp:anchor>
        </w:drawing>
      </w:r>
      <w:r>
        <w:rPr>
          <w:rFonts w:ascii="Times New Roman" w:hAnsi="Times New Roman"/>
        </w:rPr>
        <w:t xml:space="preserve"> </w:t>
      </w:r>
    </w:p>
    <w:p w14:paraId="017E570B" w14:textId="2DC32FEC" w:rsidR="0019662E" w:rsidRPr="002B3AF0" w:rsidRDefault="001B7751" w:rsidP="002B3AF0">
      <w:pPr>
        <w:tabs>
          <w:tab w:val="left" w:pos="6601"/>
        </w:tabs>
        <w:spacing w:line="360" w:lineRule="auto"/>
        <w:ind w:firstLine="567"/>
        <w:jc w:val="both"/>
        <w:rPr>
          <w:rFonts w:ascii="Times New Roman" w:hAnsi="Times New Roman"/>
        </w:rPr>
      </w:pPr>
      <w:r>
        <w:rPr>
          <w:rFonts w:ascii="Times New Roman" w:hAnsi="Times New Roman"/>
        </w:rPr>
        <w:t>Servendosi dell’</w:t>
      </w:r>
      <w:r w:rsidRPr="00544563">
        <w:rPr>
          <w:rFonts w:ascii="Times New Roman" w:hAnsi="Times New Roman"/>
          <w:i/>
        </w:rPr>
        <w:t>Iconologia</w:t>
      </w:r>
      <w:r>
        <w:rPr>
          <w:rFonts w:ascii="Times New Roman" w:hAnsi="Times New Roman"/>
        </w:rPr>
        <w:t xml:space="preserve"> di Cesare Ripa, il frontespizio della </w:t>
      </w:r>
      <w:r w:rsidRPr="00F922FC">
        <w:rPr>
          <w:rFonts w:ascii="Times New Roman" w:hAnsi="Times New Roman"/>
          <w:i/>
        </w:rPr>
        <w:t>Kabbala denudata</w:t>
      </w:r>
      <w:r>
        <w:rPr>
          <w:rFonts w:ascii="Times New Roman" w:hAnsi="Times New Roman"/>
        </w:rPr>
        <w:t xml:space="preserve"> vuole dirci che la fanciulla rispecchia la sapienza, o </w:t>
      </w:r>
      <w:r w:rsidRPr="001F5217">
        <w:rPr>
          <w:rFonts w:ascii="Times New Roman" w:hAnsi="Times New Roman"/>
        </w:rPr>
        <w:t>«l’intelligenza dei segreti di Dio, i quali sono vivi, e veri eternamente</w:t>
      </w:r>
      <w:r w:rsidRPr="001F5217">
        <w:rPr>
          <w:rFonts w:ascii="Times New Roman" w:hAnsi="Times New Roman" w:cs="Times New Roman"/>
        </w:rPr>
        <w:t>»</w:t>
      </w:r>
      <w:r w:rsidRPr="001F5217">
        <w:rPr>
          <w:rStyle w:val="Rimandonotaapidipagina"/>
          <w:rFonts w:ascii="Times New Roman" w:hAnsi="Times New Roman" w:cs="Times New Roman"/>
        </w:rPr>
        <w:footnoteReference w:id="521"/>
      </w:r>
      <w:r w:rsidRPr="001F5217">
        <w:rPr>
          <w:rFonts w:ascii="Times New Roman" w:hAnsi="Times New Roman"/>
        </w:rPr>
        <w:t>,</w:t>
      </w:r>
      <w:r>
        <w:rPr>
          <w:rFonts w:ascii="Times New Roman" w:hAnsi="Times New Roman"/>
        </w:rPr>
        <w:t xml:space="preserve"> </w:t>
      </w:r>
      <w:r w:rsidRPr="001F5217">
        <w:rPr>
          <w:rFonts w:ascii="Times New Roman" w:hAnsi="Times New Roman"/>
        </w:rPr>
        <w:t>la fiaccola «il dono dell’intelletto, il quale per particolare dono di Dio arde nell’anima nostra</w:t>
      </w:r>
      <w:r w:rsidRPr="001F5217">
        <w:rPr>
          <w:rFonts w:ascii="Times New Roman" w:hAnsi="Times New Roman" w:cs="Times New Roman"/>
        </w:rPr>
        <w:t>»</w:t>
      </w:r>
      <w:r w:rsidRPr="001F5217">
        <w:rPr>
          <w:rStyle w:val="Rimandonotaapidipagina"/>
          <w:rFonts w:ascii="Times New Roman" w:hAnsi="Times New Roman" w:cs="Times New Roman"/>
        </w:rPr>
        <w:footnoteReference w:id="522"/>
      </w:r>
      <w:r>
        <w:rPr>
          <w:rFonts w:ascii="Times New Roman" w:hAnsi="Times New Roman"/>
        </w:rPr>
        <w:t xml:space="preserve"> e </w:t>
      </w:r>
      <w:r w:rsidRPr="001F5217">
        <w:rPr>
          <w:rFonts w:ascii="Times New Roman" w:hAnsi="Times New Roman"/>
        </w:rPr>
        <w:t>il libro «si pone per la Bibbia, che vuol dire libro dei libri, perché in esso s’impara tutta la Sapienza</w:t>
      </w:r>
      <w:r w:rsidRPr="001F5217">
        <w:rPr>
          <w:rFonts w:ascii="Times New Roman" w:hAnsi="Times New Roman" w:cs="Times New Roman"/>
        </w:rPr>
        <w:t>»</w:t>
      </w:r>
      <w:r w:rsidRPr="001F5217">
        <w:rPr>
          <w:rStyle w:val="Rimandonotaapidipagina"/>
          <w:rFonts w:ascii="Times New Roman" w:hAnsi="Times New Roman" w:cs="Times New Roman"/>
        </w:rPr>
        <w:footnoteReference w:id="523"/>
      </w:r>
      <w:r w:rsidR="002B3AF0">
        <w:rPr>
          <w:rFonts w:ascii="Times New Roman" w:hAnsi="Times New Roman" w:cs="Times New Roman"/>
        </w:rPr>
        <w:t>.</w:t>
      </w:r>
    </w:p>
    <w:p w14:paraId="57F3C3B9" w14:textId="77777777" w:rsidR="002B3AF0" w:rsidRDefault="002B3AF0" w:rsidP="001B7751">
      <w:pPr>
        <w:tabs>
          <w:tab w:val="left" w:pos="6601"/>
        </w:tabs>
        <w:spacing w:line="360" w:lineRule="auto"/>
        <w:ind w:firstLine="567"/>
        <w:jc w:val="both"/>
        <w:rPr>
          <w:rFonts w:ascii="Times New Roman" w:hAnsi="Times New Roman" w:cs="Times New Roman"/>
        </w:rPr>
      </w:pPr>
    </w:p>
    <w:p w14:paraId="00B9E2E1" w14:textId="785CE0EE" w:rsidR="002B3AF0" w:rsidRDefault="009C49BA" w:rsidP="002B3AF0">
      <w:pPr>
        <w:tabs>
          <w:tab w:val="left" w:pos="6601"/>
        </w:tabs>
        <w:spacing w:line="360" w:lineRule="auto"/>
        <w:ind w:firstLine="567"/>
        <w:jc w:val="both"/>
        <w:rPr>
          <w:rFonts w:ascii="Times New Roman" w:hAnsi="Times New Roman" w:cs="Times New Roman"/>
        </w:rPr>
      </w:pPr>
      <w:r>
        <w:rPr>
          <w:rFonts w:ascii="Times New Roman" w:hAnsi="Times New Roman" w:cs="Times New Roman"/>
          <w:noProof/>
        </w:rPr>
        <w:drawing>
          <wp:inline distT="0" distB="0" distL="0" distR="0" wp14:anchorId="1E2E1528" wp14:editId="2963C066">
            <wp:extent cx="4672664" cy="4256037"/>
            <wp:effectExtent l="0" t="0" r="1270" b="11430"/>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ipa.png"/>
                    <pic:cNvPicPr/>
                  </pic:nvPicPr>
                  <pic:blipFill>
                    <a:blip r:embed="rId15">
                      <a:extLst>
                        <a:ext uri="{28A0092B-C50C-407E-A947-70E740481C1C}">
                          <a14:useLocalDpi xmlns:a14="http://schemas.microsoft.com/office/drawing/2010/main" val="0"/>
                        </a:ext>
                      </a:extLst>
                    </a:blip>
                    <a:stretch>
                      <a:fillRect/>
                    </a:stretch>
                  </pic:blipFill>
                  <pic:spPr>
                    <a:xfrm>
                      <a:off x="0" y="0"/>
                      <a:ext cx="4673600" cy="4256890"/>
                    </a:xfrm>
                    <a:prstGeom prst="rect">
                      <a:avLst/>
                    </a:prstGeom>
                  </pic:spPr>
                </pic:pic>
              </a:graphicData>
            </a:graphic>
          </wp:inline>
        </w:drawing>
      </w:r>
    </w:p>
    <w:p w14:paraId="466655D5" w14:textId="77777777" w:rsidR="0019662E" w:rsidRDefault="0019662E" w:rsidP="002B3AF0">
      <w:pPr>
        <w:tabs>
          <w:tab w:val="left" w:pos="6601"/>
        </w:tabs>
        <w:spacing w:line="360" w:lineRule="auto"/>
        <w:jc w:val="both"/>
        <w:rPr>
          <w:rFonts w:ascii="Times New Roman" w:hAnsi="Times New Roman" w:cs="Times New Roman"/>
        </w:rPr>
      </w:pPr>
    </w:p>
    <w:p w14:paraId="45DB0F25" w14:textId="66DDFFC9" w:rsidR="001B7751" w:rsidRPr="00426597" w:rsidRDefault="001B7751" w:rsidP="001B7751">
      <w:pPr>
        <w:tabs>
          <w:tab w:val="left" w:pos="6601"/>
        </w:tabs>
        <w:spacing w:line="360" w:lineRule="auto"/>
        <w:ind w:firstLine="567"/>
        <w:jc w:val="both"/>
        <w:rPr>
          <w:rFonts w:ascii="Times New Roman" w:hAnsi="Times New Roman" w:cs="Times New Roman"/>
        </w:rPr>
      </w:pPr>
      <w:r w:rsidRPr="005710CA">
        <w:rPr>
          <w:rFonts w:ascii="Times New Roman" w:hAnsi="Times New Roman" w:cs="Times New Roman"/>
        </w:rPr>
        <w:t>Per sottolineare i riferimenti ripiani presenti n</w:t>
      </w:r>
      <w:r>
        <w:rPr>
          <w:rFonts w:ascii="Times New Roman" w:hAnsi="Times New Roman" w:cs="Times New Roman"/>
        </w:rPr>
        <w:t xml:space="preserve">el </w:t>
      </w:r>
      <w:r w:rsidRPr="005710CA">
        <w:rPr>
          <w:rFonts w:ascii="Times New Roman" w:hAnsi="Times New Roman" w:cs="Times New Roman"/>
        </w:rPr>
        <w:t>frontespizio,</w:t>
      </w:r>
      <w:r>
        <w:rPr>
          <w:rFonts w:ascii="Times New Roman" w:hAnsi="Times New Roman" w:cs="Times New Roman"/>
        </w:rPr>
        <w:t xml:space="preserve"> von Rosenroth appone parole e frasi ebraiche, greche e latine in corrispondenza del volto e delle mani della fanciulla. “</w:t>
      </w:r>
      <w:r w:rsidRPr="00F922FC">
        <w:rPr>
          <w:rFonts w:ascii="Times New Roman" w:hAnsi="Times New Roman" w:cs="Times New Roman"/>
          <w:i/>
        </w:rPr>
        <w:t>Alta videt</w:t>
      </w:r>
      <w:r>
        <w:rPr>
          <w:rFonts w:ascii="Times New Roman" w:hAnsi="Times New Roman" w:cs="Times New Roman"/>
          <w:i/>
        </w:rPr>
        <w:t>”</w:t>
      </w:r>
      <w:r w:rsidRPr="00F922FC">
        <w:rPr>
          <w:rFonts w:ascii="Times New Roman" w:hAnsi="Times New Roman" w:cs="Times New Roman"/>
          <w:i/>
        </w:rPr>
        <w:t xml:space="preserve"> </w:t>
      </w:r>
      <w:r>
        <w:rPr>
          <w:rFonts w:ascii="Times New Roman" w:hAnsi="Times New Roman" w:cs="Times New Roman"/>
        </w:rPr>
        <w:t>s</w:t>
      </w:r>
      <w:r w:rsidR="009E1CD1">
        <w:rPr>
          <w:rFonts w:ascii="Times New Roman" w:hAnsi="Times New Roman" w:cs="Times New Roman"/>
        </w:rPr>
        <w:t xml:space="preserve">i legge all’altezza del volto, </w:t>
      </w:r>
      <w:r>
        <w:rPr>
          <w:rFonts w:ascii="Times New Roman" w:hAnsi="Times New Roman" w:cs="Times New Roman"/>
        </w:rPr>
        <w:t>“</w:t>
      </w:r>
      <w:r w:rsidRPr="00F922FC">
        <w:rPr>
          <w:rFonts w:ascii="Times New Roman" w:hAnsi="Times New Roman" w:cs="Times New Roman"/>
          <w:i/>
        </w:rPr>
        <w:t>explicat</w:t>
      </w:r>
      <w:r>
        <w:rPr>
          <w:rFonts w:ascii="Times New Roman" w:hAnsi="Times New Roman" w:cs="Times New Roman"/>
          <w:i/>
        </w:rPr>
        <w:t xml:space="preserve">” </w:t>
      </w:r>
      <w:r>
        <w:rPr>
          <w:rFonts w:ascii="Times New Roman" w:hAnsi="Times New Roman" w:cs="Times New Roman"/>
        </w:rPr>
        <w:t>sulla pergamena (mano sinistra),</w:t>
      </w:r>
      <w:r w:rsidRPr="00F922FC">
        <w:rPr>
          <w:rFonts w:ascii="Times New Roman" w:hAnsi="Times New Roman" w:cs="Times New Roman"/>
          <w:i/>
        </w:rPr>
        <w:t xml:space="preserve"> </w:t>
      </w:r>
      <w:r>
        <w:rPr>
          <w:rFonts w:ascii="Times New Roman" w:hAnsi="Times New Roman" w:cs="Times New Roman"/>
        </w:rPr>
        <w:t>“</w:t>
      </w:r>
      <w:r w:rsidRPr="00F922FC">
        <w:rPr>
          <w:rFonts w:ascii="Times New Roman" w:hAnsi="Times New Roman" w:cs="Times New Roman"/>
          <w:i/>
        </w:rPr>
        <w:t>lucet</w:t>
      </w:r>
      <w:r>
        <w:rPr>
          <w:rFonts w:ascii="Times New Roman" w:hAnsi="Times New Roman" w:cs="Times New Roman"/>
        </w:rPr>
        <w:t>”</w:t>
      </w:r>
      <w:r>
        <w:rPr>
          <w:rFonts w:ascii="Times New Roman" w:hAnsi="Times New Roman" w:cs="Times New Roman"/>
          <w:i/>
        </w:rPr>
        <w:t xml:space="preserve"> </w:t>
      </w:r>
      <w:r>
        <w:rPr>
          <w:rFonts w:ascii="Times New Roman" w:hAnsi="Times New Roman" w:cs="Times New Roman"/>
        </w:rPr>
        <w:t>sulla fiaccola (mano destra), “</w:t>
      </w:r>
      <w:r w:rsidRPr="00F42439">
        <w:rPr>
          <w:rFonts w:ascii="Times New Roman" w:hAnsi="Times New Roman" w:cs="Times New Roman"/>
          <w:i/>
        </w:rPr>
        <w:t>dominat</w:t>
      </w:r>
      <w:r w:rsidR="0019662E">
        <w:rPr>
          <w:rFonts w:ascii="Times New Roman" w:hAnsi="Times New Roman" w:cs="Times New Roman"/>
        </w:rPr>
        <w:t xml:space="preserve">” sul piede destro e </w:t>
      </w:r>
      <w:r>
        <w:rPr>
          <w:rFonts w:ascii="Times New Roman" w:hAnsi="Times New Roman" w:cs="Times New Roman"/>
        </w:rPr>
        <w:t>“</w:t>
      </w:r>
      <w:r w:rsidRPr="00F42439">
        <w:rPr>
          <w:rFonts w:ascii="Times New Roman" w:hAnsi="Times New Roman" w:cs="Times New Roman"/>
          <w:i/>
        </w:rPr>
        <w:t>alterat</w:t>
      </w:r>
      <w:r>
        <w:rPr>
          <w:rFonts w:ascii="Times New Roman" w:hAnsi="Times New Roman" w:cs="Times New Roman"/>
        </w:rPr>
        <w:t>” sul sinistr</w:t>
      </w:r>
      <w:r w:rsidR="009E1CD1">
        <w:rPr>
          <w:rFonts w:ascii="Times New Roman" w:hAnsi="Times New Roman" w:cs="Times New Roman"/>
        </w:rPr>
        <w:t>o. La luce, che si irradia dalle</w:t>
      </w:r>
      <w:r>
        <w:rPr>
          <w:rFonts w:ascii="Times New Roman" w:hAnsi="Times New Roman" w:cs="Times New Roman"/>
        </w:rPr>
        <w:t xml:space="preserve"> dieci Sefiroth, incontra lo sguardo della fanciulla, trasmettendole quell’intelligenza dei segreti di Dio che </w:t>
      </w:r>
      <w:r w:rsidRPr="00D73664">
        <w:rPr>
          <w:rFonts w:ascii="Times New Roman" w:hAnsi="Times New Roman" w:cs="Times New Roman"/>
          <w:i/>
        </w:rPr>
        <w:t>illumina</w:t>
      </w:r>
      <w:r>
        <w:rPr>
          <w:rFonts w:ascii="Times New Roman" w:hAnsi="Times New Roman" w:cs="Times New Roman"/>
        </w:rPr>
        <w:t xml:space="preserve"> e </w:t>
      </w:r>
      <w:r w:rsidRPr="0046609F">
        <w:rPr>
          <w:rFonts w:ascii="Times New Roman" w:hAnsi="Times New Roman" w:cs="Times New Roman"/>
          <w:i/>
        </w:rPr>
        <w:t>rischiara</w:t>
      </w:r>
      <w:r>
        <w:rPr>
          <w:rFonts w:ascii="Times New Roman" w:hAnsi="Times New Roman" w:cs="Times New Roman"/>
        </w:rPr>
        <w:t xml:space="preserve"> il contenuto della pergamena. La citazione di Genesi (1,1) «</w:t>
      </w:r>
      <w:r w:rsidRPr="002966A1">
        <w:rPr>
          <w:rFonts w:ascii="Times New Roman" w:hAnsi="Times New Roman" w:cs="Times New Roman"/>
          <w:i/>
        </w:rPr>
        <w:t>Bereschit bara Elohim</w:t>
      </w:r>
      <w:r w:rsidRPr="00544563">
        <w:rPr>
          <w:rFonts w:ascii="Times New Roman" w:hAnsi="Times New Roman" w:cs="Times New Roman"/>
        </w:rPr>
        <w:t>»</w:t>
      </w:r>
      <w:r>
        <w:rPr>
          <w:rFonts w:ascii="Times New Roman" w:hAnsi="Times New Roman" w:cs="Times New Roman"/>
        </w:rPr>
        <w:t xml:space="preserve"> e del Vangelo di Giovanni (1,1) «</w:t>
      </w:r>
      <w:r>
        <w:rPr>
          <w:rFonts w:ascii="Times New Roman" w:hAnsi="Times New Roman" w:cs="Times New Roman"/>
          <w:i/>
        </w:rPr>
        <w:t>En Arche ên ho L</w:t>
      </w:r>
      <w:r w:rsidRPr="002966A1">
        <w:rPr>
          <w:rFonts w:ascii="Times New Roman" w:hAnsi="Times New Roman" w:cs="Times New Roman"/>
          <w:i/>
        </w:rPr>
        <w:t>ogos</w:t>
      </w:r>
      <w:r w:rsidRPr="00544563">
        <w:rPr>
          <w:rFonts w:ascii="Times New Roman" w:hAnsi="Times New Roman" w:cs="Times New Roman"/>
        </w:rPr>
        <w:t>»</w:t>
      </w:r>
      <w:r>
        <w:rPr>
          <w:rFonts w:ascii="Times New Roman" w:hAnsi="Times New Roman" w:cs="Times New Roman"/>
        </w:rPr>
        <w:t xml:space="preserve"> sono investite da questa conoscenza, che restituisce l’unità </w:t>
      </w:r>
      <w:r w:rsidR="009E1CD1">
        <w:rPr>
          <w:rFonts w:ascii="Times New Roman" w:hAnsi="Times New Roman" w:cs="Times New Roman"/>
        </w:rPr>
        <w:t xml:space="preserve">di Antico e </w:t>
      </w:r>
      <w:r w:rsidRPr="001F5217">
        <w:rPr>
          <w:rFonts w:ascii="Times New Roman" w:hAnsi="Times New Roman" w:cs="Times New Roman"/>
        </w:rPr>
        <w:t>Nuovo Testamento</w:t>
      </w:r>
      <w:r>
        <w:rPr>
          <w:rFonts w:ascii="Times New Roman" w:hAnsi="Times New Roman" w:cs="Times New Roman"/>
        </w:rPr>
        <w:t xml:space="preserve">. Rifacendosi al pensiero rinascimentale e, in particolare, agli insegnamenti della Qabbalah crisitana, von Rosenroth riprende quell’idea </w:t>
      </w:r>
      <w:r w:rsidRPr="00DB04E8">
        <w:rPr>
          <w:rFonts w:ascii="Times New Roman" w:hAnsi="Times New Roman" w:cs="Times New Roman"/>
        </w:rPr>
        <w:t>– che vide fra i suoi sostenitori Pico della Mirandola</w:t>
      </w:r>
      <w:r w:rsidRPr="00DB04E8">
        <w:rPr>
          <w:rStyle w:val="Rimandonotaapidipagina"/>
          <w:rFonts w:ascii="Times New Roman" w:hAnsi="Times New Roman" w:cs="Times New Roman"/>
        </w:rPr>
        <w:footnoteReference w:id="524"/>
      </w:r>
      <w:r w:rsidRPr="00DB04E8">
        <w:rPr>
          <w:rFonts w:ascii="Times New Roman" w:hAnsi="Times New Roman" w:cs="Times New Roman"/>
        </w:rPr>
        <w:t xml:space="preserve"> –</w:t>
      </w:r>
      <w:r>
        <w:rPr>
          <w:rFonts w:ascii="Times New Roman" w:hAnsi="Times New Roman" w:cs="Times New Roman"/>
        </w:rPr>
        <w:t xml:space="preserve"> secondo cui la sapienza delle cose divine, o la </w:t>
      </w:r>
      <w:r w:rsidRPr="0046609F">
        <w:rPr>
          <w:rFonts w:ascii="Times New Roman" w:hAnsi="Times New Roman" w:cs="Times New Roman"/>
          <w:i/>
        </w:rPr>
        <w:t>Kabbala denudata</w:t>
      </w:r>
      <w:r>
        <w:rPr>
          <w:rFonts w:ascii="Times New Roman" w:hAnsi="Times New Roman" w:cs="Times New Roman"/>
        </w:rPr>
        <w:t xml:space="preserve">, permette di definire la concordanza tematica della </w:t>
      </w:r>
      <w:r w:rsidRPr="0046609F">
        <w:rPr>
          <w:rFonts w:ascii="Times New Roman" w:hAnsi="Times New Roman" w:cs="Times New Roman"/>
          <w:i/>
        </w:rPr>
        <w:t>Scrittura</w:t>
      </w:r>
      <w:r>
        <w:rPr>
          <w:rFonts w:ascii="Times New Roman" w:hAnsi="Times New Roman" w:cs="Times New Roman"/>
        </w:rPr>
        <w:t xml:space="preserve">. Oltre ad avere un’applicazione teorica, la Qabbalah ha un utilizzo pratico: chi è illuminato dalla sapienza delle cose divine può </w:t>
      </w:r>
      <w:r w:rsidRPr="005B23E6">
        <w:rPr>
          <w:rFonts w:ascii="Times New Roman" w:hAnsi="Times New Roman" w:cs="Times New Roman"/>
          <w:i/>
        </w:rPr>
        <w:t>dominare</w:t>
      </w:r>
      <w:r>
        <w:rPr>
          <w:rFonts w:ascii="Times New Roman" w:hAnsi="Times New Roman" w:cs="Times New Roman"/>
        </w:rPr>
        <w:t xml:space="preserve"> e </w:t>
      </w:r>
      <w:r w:rsidRPr="005B23E6">
        <w:rPr>
          <w:rFonts w:ascii="Times New Roman" w:hAnsi="Times New Roman" w:cs="Times New Roman"/>
          <w:i/>
        </w:rPr>
        <w:t>alterare</w:t>
      </w:r>
      <w:r>
        <w:rPr>
          <w:rFonts w:ascii="Times New Roman" w:hAnsi="Times New Roman" w:cs="Times New Roman"/>
        </w:rPr>
        <w:t xml:space="preserve">, conoscendo le affinità e le specificità degli elementi, il mondo naturale (sapere </w:t>
      </w:r>
      <w:r w:rsidRPr="003C203A">
        <w:rPr>
          <w:rFonts w:ascii="Times New Roman" w:hAnsi="Times New Roman" w:cs="Times New Roman"/>
        </w:rPr>
        <w:t>magico-alchemico</w:t>
      </w:r>
      <w:r>
        <w:rPr>
          <w:rFonts w:ascii="Times New Roman" w:hAnsi="Times New Roman" w:cs="Times New Roman"/>
        </w:rPr>
        <w:t xml:space="preserve">). Chi è introdotto ai segreti di Dio entra in possesso di un cifrario che rende intellegibile il </w:t>
      </w:r>
      <w:r w:rsidRPr="00426597">
        <w:rPr>
          <w:rFonts w:ascii="Times New Roman" w:hAnsi="Times New Roman" w:cs="Times New Roman"/>
          <w:i/>
        </w:rPr>
        <w:t>senso</w:t>
      </w:r>
      <w:r>
        <w:rPr>
          <w:rFonts w:ascii="Times New Roman" w:hAnsi="Times New Roman" w:cs="Times New Roman"/>
        </w:rPr>
        <w:t xml:space="preserve"> della </w:t>
      </w:r>
      <w:r w:rsidRPr="00426597">
        <w:rPr>
          <w:rFonts w:ascii="Times New Roman" w:hAnsi="Times New Roman" w:cs="Times New Roman"/>
          <w:i/>
        </w:rPr>
        <w:t>Scrittura</w:t>
      </w:r>
      <w:r>
        <w:rPr>
          <w:rFonts w:ascii="Times New Roman" w:hAnsi="Times New Roman" w:cs="Times New Roman"/>
        </w:rPr>
        <w:t xml:space="preserve"> e introduce negli arcani della creazione. Da questa sapienza, che è teorica e pratica ad un tempo, </w:t>
      </w:r>
      <w:r w:rsidRPr="003C203A">
        <w:rPr>
          <w:rFonts w:ascii="Times New Roman" w:hAnsi="Times New Roman" w:cs="Times New Roman"/>
        </w:rPr>
        <w:t xml:space="preserve">segue il possesso delle verità superiori e inferiori: privata della sua inaccessibilità e inintelligibilità, la creazione si </w:t>
      </w:r>
      <w:r w:rsidRPr="00722ED3">
        <w:rPr>
          <w:rFonts w:ascii="Times New Roman" w:hAnsi="Times New Roman" w:cs="Times New Roman"/>
        </w:rPr>
        <w:t>rivela all’uomo</w:t>
      </w:r>
      <w:r w:rsidRPr="003C203A">
        <w:rPr>
          <w:rFonts w:ascii="Times New Roman" w:hAnsi="Times New Roman" w:cs="Times New Roman"/>
        </w:rPr>
        <w:t>, al microcosmo, all’</w:t>
      </w:r>
      <w:r w:rsidRPr="003C203A">
        <w:rPr>
          <w:rFonts w:ascii="Times New Roman" w:hAnsi="Times New Roman" w:cs="Times New Roman"/>
          <w:i/>
        </w:rPr>
        <w:t>imago Dei</w:t>
      </w:r>
      <w:r w:rsidRPr="003C203A">
        <w:rPr>
          <w:rFonts w:ascii="Times New Roman" w:hAnsi="Times New Roman" w:cs="Times New Roman"/>
        </w:rPr>
        <w:t>.</w:t>
      </w:r>
      <w:r>
        <w:rPr>
          <w:rFonts w:ascii="Times New Roman" w:hAnsi="Times New Roman" w:cs="Times New Roman"/>
        </w:rPr>
        <w:t xml:space="preserve"> </w:t>
      </w:r>
    </w:p>
    <w:p w14:paraId="7FE0C6D2" w14:textId="71BE54B4" w:rsidR="001B7751" w:rsidRDefault="001B7751" w:rsidP="001B7751">
      <w:pPr>
        <w:tabs>
          <w:tab w:val="left" w:pos="6601"/>
        </w:tabs>
        <w:spacing w:line="360" w:lineRule="auto"/>
        <w:ind w:firstLine="567"/>
        <w:jc w:val="both"/>
        <w:rPr>
          <w:rFonts w:ascii="Times New Roman" w:hAnsi="Times New Roman" w:cs="Times New Roman"/>
        </w:rPr>
      </w:pPr>
      <w:r>
        <w:rPr>
          <w:rFonts w:ascii="Times New Roman" w:hAnsi="Times New Roman" w:cs="Times New Roman"/>
        </w:rPr>
        <w:t xml:space="preserve">Seguendo questi ideali rinascimentali, von Rosenroth offre non soltanto traduzione latine di testi canonici della mistica ebraica, quali lo </w:t>
      </w:r>
      <w:r w:rsidRPr="00674736">
        <w:rPr>
          <w:rFonts w:ascii="Times New Roman" w:hAnsi="Times New Roman" w:cs="Times New Roman"/>
          <w:i/>
        </w:rPr>
        <w:t>Zohar</w:t>
      </w:r>
      <w:r>
        <w:rPr>
          <w:rFonts w:ascii="Times New Roman" w:hAnsi="Times New Roman" w:cs="Times New Roman"/>
        </w:rPr>
        <w:t xml:space="preserve">, il </w:t>
      </w:r>
      <w:r w:rsidRPr="00674736">
        <w:rPr>
          <w:rFonts w:ascii="Times New Roman" w:hAnsi="Times New Roman" w:cs="Times New Roman"/>
          <w:i/>
        </w:rPr>
        <w:t>Pardes Rammonim</w:t>
      </w:r>
      <w:r>
        <w:rPr>
          <w:rFonts w:ascii="Times New Roman" w:hAnsi="Times New Roman" w:cs="Times New Roman"/>
        </w:rPr>
        <w:t xml:space="preserve"> di Cordovero e materiali lurianici eterogenei, ma anche testi spuri</w:t>
      </w:r>
      <w:r w:rsidRPr="00CA3C5E">
        <w:rPr>
          <w:rFonts w:ascii="Times New Roman" w:hAnsi="Times New Roman" w:cs="Times New Roman"/>
        </w:rPr>
        <w:t>, in cui convergono</w:t>
      </w:r>
      <w:r>
        <w:rPr>
          <w:rFonts w:ascii="Times New Roman" w:hAnsi="Times New Roman" w:cs="Times New Roman"/>
        </w:rPr>
        <w:t xml:space="preserve"> filosofia antica, mistica cristiana e ebraica. Due opere in particolare risultano decisive per la ricezione della Qabbalah nella Germania del XVIII e XIX secolo: la </w:t>
      </w:r>
      <w:r w:rsidRPr="00674736">
        <w:rPr>
          <w:rFonts w:ascii="Times New Roman" w:hAnsi="Times New Roman" w:cs="Times New Roman"/>
          <w:i/>
        </w:rPr>
        <w:t>P</w:t>
      </w:r>
      <w:r>
        <w:rPr>
          <w:rFonts w:ascii="Times New Roman" w:hAnsi="Times New Roman" w:cs="Times New Roman"/>
          <w:i/>
        </w:rPr>
        <w:t xml:space="preserve">orta Coelorum </w:t>
      </w:r>
      <w:r>
        <w:rPr>
          <w:rFonts w:ascii="Times New Roman" w:hAnsi="Times New Roman" w:cs="Times New Roman"/>
        </w:rPr>
        <w:t xml:space="preserve">di Abraham Cohen de Herrera, cabbalista marrano attivo ad Amsterdam nella prima metà del ’600, e i </w:t>
      </w:r>
      <w:r w:rsidRPr="003D4847">
        <w:rPr>
          <w:rFonts w:ascii="Times New Roman" w:hAnsi="Times New Roman" w:cs="Times New Roman"/>
          <w:i/>
        </w:rPr>
        <w:t>Fundam</w:t>
      </w:r>
      <w:r>
        <w:rPr>
          <w:rFonts w:ascii="Times New Roman" w:hAnsi="Times New Roman" w:cs="Times New Roman"/>
          <w:i/>
        </w:rPr>
        <w:t xml:space="preserve">enta philosophiae sive Cabbalae </w:t>
      </w:r>
      <w:r w:rsidRPr="003D4847">
        <w:rPr>
          <w:rFonts w:ascii="Times New Roman" w:hAnsi="Times New Roman" w:cs="Times New Roman"/>
          <w:i/>
        </w:rPr>
        <w:t>Aëto-Paedo-Melissae</w:t>
      </w:r>
      <w:r>
        <w:rPr>
          <w:rFonts w:ascii="Times New Roman" w:hAnsi="Times New Roman" w:cs="Times New Roman"/>
        </w:rPr>
        <w:t xml:space="preserve"> di Henry Moore, noto filosofo della scuola platonica di Cambridge. </w:t>
      </w:r>
      <w:r w:rsidRPr="00722ED3">
        <w:rPr>
          <w:rFonts w:ascii="Times New Roman" w:hAnsi="Times New Roman" w:cs="Times New Roman"/>
        </w:rPr>
        <w:t xml:space="preserve">Grazie alla chiarezza espositiva e alla capacità di discutere, ricorrendo a nozioni </w:t>
      </w:r>
      <w:r w:rsidRPr="00C31BE0">
        <w:rPr>
          <w:rFonts w:ascii="Times New Roman" w:hAnsi="Times New Roman" w:cs="Times New Roman"/>
        </w:rPr>
        <w:t>neoplatoniche e rinascimentali</w:t>
      </w:r>
      <w:r w:rsidRPr="00722ED3">
        <w:rPr>
          <w:rFonts w:ascii="Times New Roman" w:hAnsi="Times New Roman" w:cs="Times New Roman"/>
        </w:rPr>
        <w:t>,</w:t>
      </w:r>
      <w:r w:rsidR="004841DF">
        <w:rPr>
          <w:rFonts w:ascii="Times New Roman" w:hAnsi="Times New Roman" w:cs="Times New Roman"/>
        </w:rPr>
        <w:t xml:space="preserve"> i capisaldi </w:t>
      </w:r>
      <w:r w:rsidRPr="0021424E">
        <w:rPr>
          <w:rFonts w:ascii="Times New Roman" w:hAnsi="Times New Roman" w:cs="Times New Roman"/>
        </w:rPr>
        <w:t>della Qabbalah, questi scritti furono considerati – tanto dai contemporanei che dai posteri – come due esplicazioni accurate e efficaci del misticismo ebraico</w:t>
      </w:r>
      <w:r>
        <w:rPr>
          <w:rFonts w:ascii="Times New Roman" w:hAnsi="Times New Roman" w:cs="Times New Roman"/>
        </w:rPr>
        <w:t xml:space="preserve">. </w:t>
      </w:r>
      <w:r w:rsidRPr="0021424E">
        <w:rPr>
          <w:rFonts w:ascii="Times New Roman" w:hAnsi="Times New Roman" w:cs="Times New Roman"/>
        </w:rPr>
        <w:t>A questo riguardo, basti ricordare che l’identificazione di spinozismo e filosofia cabbalistica, proposta da Johann Georg Wachter fra il 1699 e il 1704,</w:t>
      </w:r>
      <w:r>
        <w:rPr>
          <w:rFonts w:ascii="Times New Roman" w:hAnsi="Times New Roman" w:cs="Times New Roman"/>
        </w:rPr>
        <w:t xml:space="preserve"> fu il risultato di una combinazione teoricamente originale, ma filologicamente insostenibile, </w:t>
      </w:r>
      <w:r w:rsidRPr="0021424E">
        <w:rPr>
          <w:rFonts w:ascii="Times New Roman" w:hAnsi="Times New Roman" w:cs="Times New Roman"/>
        </w:rPr>
        <w:t>di elementi teorici desunti dai testi</w:t>
      </w:r>
      <w:r>
        <w:rPr>
          <w:rFonts w:ascii="Times New Roman" w:hAnsi="Times New Roman" w:cs="Times New Roman"/>
        </w:rPr>
        <w:t xml:space="preserve"> di Herrera e </w:t>
      </w:r>
      <w:r w:rsidRPr="0021424E">
        <w:rPr>
          <w:rFonts w:ascii="Times New Roman" w:hAnsi="Times New Roman" w:cs="Times New Roman"/>
        </w:rPr>
        <w:t>Moore</w:t>
      </w:r>
      <w:r>
        <w:rPr>
          <w:rFonts w:ascii="Times New Roman" w:hAnsi="Times New Roman" w:cs="Times New Roman"/>
        </w:rPr>
        <w:t xml:space="preserve">. Similarmente, la storiografia di lingua tedesca (da Brucker a Hegel) riprese, con delle differenze di </w:t>
      </w:r>
      <w:r w:rsidRPr="007152BE">
        <w:rPr>
          <w:rFonts w:ascii="Times New Roman" w:hAnsi="Times New Roman" w:cs="Times New Roman"/>
        </w:rPr>
        <w:t xml:space="preserve">contenuto minime, le analisi della </w:t>
      </w:r>
      <w:r w:rsidRPr="007152BE">
        <w:rPr>
          <w:rFonts w:ascii="Times New Roman" w:hAnsi="Times New Roman" w:cs="Times New Roman"/>
          <w:i/>
        </w:rPr>
        <w:t>Porta Coelorum</w:t>
      </w:r>
      <w:r w:rsidRPr="007152BE">
        <w:rPr>
          <w:rFonts w:ascii="Times New Roman" w:hAnsi="Times New Roman" w:cs="Times New Roman"/>
        </w:rPr>
        <w:t xml:space="preserve"> e della </w:t>
      </w:r>
      <w:r w:rsidRPr="007152BE">
        <w:rPr>
          <w:rFonts w:ascii="Times New Roman" w:hAnsi="Times New Roman" w:cs="Times New Roman"/>
          <w:i/>
        </w:rPr>
        <w:t>Cabbala Aëto-Paedo-Melissae</w:t>
      </w:r>
      <w:r w:rsidRPr="007152BE">
        <w:rPr>
          <w:rFonts w:ascii="Times New Roman" w:hAnsi="Times New Roman" w:cs="Times New Roman"/>
        </w:rPr>
        <w:t>. Su questi temi, che sono decisivi ai fini di una comprensione del</w:t>
      </w:r>
      <w:r w:rsidR="00A64B71" w:rsidRPr="007152BE">
        <w:rPr>
          <w:rFonts w:ascii="Times New Roman" w:hAnsi="Times New Roman" w:cs="Times New Roman"/>
        </w:rPr>
        <w:t>la cornice</w:t>
      </w:r>
      <w:r w:rsidRPr="007152BE">
        <w:rPr>
          <w:rFonts w:ascii="Times New Roman" w:hAnsi="Times New Roman" w:cs="Times New Roman"/>
        </w:rPr>
        <w:t xml:space="preserve"> s</w:t>
      </w:r>
      <w:r w:rsidR="00A64B71" w:rsidRPr="007152BE">
        <w:rPr>
          <w:rFonts w:ascii="Times New Roman" w:hAnsi="Times New Roman" w:cs="Times New Roman"/>
        </w:rPr>
        <w:t>toriografica hegeliana</w:t>
      </w:r>
      <w:r w:rsidRPr="007152BE">
        <w:rPr>
          <w:rFonts w:ascii="Times New Roman" w:hAnsi="Times New Roman" w:cs="Times New Roman"/>
        </w:rPr>
        <w:t>, tornerò nei prossimi sottocapitoli. Per il momento, discuterò le ragioni che hanno determinato l’imporsi di queste due opere a paradigma interpretativo del misticismo ebraico.</w:t>
      </w:r>
    </w:p>
    <w:p w14:paraId="6D3851F5" w14:textId="77777777" w:rsidR="001B7751" w:rsidRDefault="001B7751" w:rsidP="001B7751">
      <w:pPr>
        <w:tabs>
          <w:tab w:val="left" w:pos="6601"/>
        </w:tabs>
        <w:spacing w:line="360" w:lineRule="auto"/>
        <w:ind w:firstLine="567"/>
        <w:jc w:val="both"/>
        <w:rPr>
          <w:rFonts w:ascii="Times New Roman" w:eastAsia="Times New Roman" w:hAnsi="Times New Roman" w:cs="Times New Roman"/>
          <w:iCs/>
          <w:color w:val="222222"/>
          <w:shd w:val="clear" w:color="auto" w:fill="FFFFFF"/>
        </w:rPr>
      </w:pPr>
      <w:r w:rsidRPr="00434CBD">
        <w:rPr>
          <w:rFonts w:ascii="Times New Roman" w:hAnsi="Times New Roman" w:cs="Times New Roman"/>
        </w:rPr>
        <w:t xml:space="preserve">Sebbene sia una considerazione ovvia, </w:t>
      </w:r>
      <w:r w:rsidRPr="00434CBD">
        <w:rPr>
          <w:rFonts w:ascii="Times New Roman" w:hAnsi="Times New Roman" w:cs="Times New Roman"/>
          <w:i/>
        </w:rPr>
        <w:t>Porta Coelorum</w:t>
      </w:r>
      <w:r w:rsidRPr="00434CBD">
        <w:rPr>
          <w:rFonts w:ascii="Times New Roman" w:hAnsi="Times New Roman" w:cs="Times New Roman"/>
        </w:rPr>
        <w:t xml:space="preserve"> non è il titolo originale dell’opera di Abraham Cohen de Herrera</w:t>
      </w:r>
      <w:r w:rsidRPr="00434CBD">
        <w:rPr>
          <w:rStyle w:val="Rimandonotaapidipagina"/>
          <w:rFonts w:ascii="Times New Roman" w:hAnsi="Times New Roman" w:cs="Times New Roman"/>
        </w:rPr>
        <w:footnoteReference w:id="525"/>
      </w:r>
      <w:r w:rsidRPr="00434CBD">
        <w:rPr>
          <w:rFonts w:ascii="Times New Roman" w:hAnsi="Times New Roman" w:cs="Times New Roman"/>
        </w:rPr>
        <w:t xml:space="preserve">. La </w:t>
      </w:r>
      <w:r w:rsidRPr="00434CBD">
        <w:rPr>
          <w:rFonts w:ascii="Times New Roman" w:hAnsi="Times New Roman" w:cs="Times New Roman"/>
          <w:i/>
          <w:lang w:val="es-ES_tradnl"/>
        </w:rPr>
        <w:t>Puerta del Cielo</w:t>
      </w:r>
      <w:r w:rsidRPr="00434CBD">
        <w:rPr>
          <w:rFonts w:ascii="Times New Roman" w:hAnsi="Times New Roman" w:cs="Times New Roman"/>
        </w:rPr>
        <w:t>, redatta in spagnolo fra il 1621 e il 1631 ad Amsterdam, fu tradotta</w:t>
      </w:r>
      <w:r>
        <w:rPr>
          <w:rFonts w:ascii="Times New Roman" w:hAnsi="Times New Roman" w:cs="Times New Roman"/>
        </w:rPr>
        <w:t xml:space="preserve"> da von Rosenroth in latino a partire dalla traduzione ebraica del testo apparsa nel 1655. Da un punto di vista formale, la </w:t>
      </w:r>
      <w:r>
        <w:rPr>
          <w:rFonts w:ascii="Times New Roman" w:hAnsi="Times New Roman" w:cs="Times New Roman"/>
          <w:i/>
        </w:rPr>
        <w:t>Porta Coelorum</w:t>
      </w:r>
      <w:r w:rsidRPr="00CF6C8E">
        <w:rPr>
          <w:rFonts w:ascii="Times New Roman" w:hAnsi="Times New Roman" w:cs="Times New Roman"/>
          <w:i/>
        </w:rPr>
        <w:t xml:space="preserve"> </w:t>
      </w:r>
      <w:r>
        <w:rPr>
          <w:rFonts w:ascii="Times New Roman" w:hAnsi="Times New Roman" w:cs="Times New Roman"/>
        </w:rPr>
        <w:t xml:space="preserve">è suddivisa </w:t>
      </w:r>
      <w:r w:rsidRPr="000F3EEA">
        <w:rPr>
          <w:rFonts w:ascii="Times New Roman" w:eastAsia="Times New Roman" w:hAnsi="Times New Roman" w:cs="Times New Roman"/>
          <w:iCs/>
          <w:color w:val="222222"/>
          <w:shd w:val="clear" w:color="auto" w:fill="FFFFFF"/>
        </w:rPr>
        <w:t xml:space="preserve">in otto dissertazioni, che </w:t>
      </w:r>
      <w:r>
        <w:rPr>
          <w:rFonts w:ascii="Times New Roman" w:eastAsia="Times New Roman" w:hAnsi="Times New Roman" w:cs="Times New Roman"/>
          <w:iCs/>
          <w:color w:val="222222"/>
          <w:shd w:val="clear" w:color="auto" w:fill="FFFFFF"/>
        </w:rPr>
        <w:t>corrispondono, grossomodo, agli 8/10 del trattato di Herrera</w:t>
      </w:r>
      <w:r w:rsidRPr="000F3EEA">
        <w:rPr>
          <w:rFonts w:ascii="Times New Roman" w:eastAsia="Times New Roman" w:hAnsi="Times New Roman" w:cs="Times New Roman"/>
          <w:iCs/>
          <w:color w:val="222222"/>
          <w:shd w:val="clear" w:color="auto" w:fill="FFFFFF"/>
        </w:rPr>
        <w:t xml:space="preserve">. </w:t>
      </w:r>
      <w:r>
        <w:rPr>
          <w:rFonts w:ascii="Times New Roman" w:eastAsia="Times New Roman" w:hAnsi="Times New Roman" w:cs="Times New Roman"/>
          <w:iCs/>
          <w:color w:val="222222"/>
          <w:shd w:val="clear" w:color="auto" w:fill="FFFFFF"/>
        </w:rPr>
        <w:t>I</w:t>
      </w:r>
      <w:r w:rsidRPr="000F3EEA">
        <w:rPr>
          <w:rFonts w:ascii="Times New Roman" w:eastAsia="Times New Roman" w:hAnsi="Times New Roman" w:cs="Times New Roman"/>
          <w:iCs/>
          <w:color w:val="222222"/>
          <w:shd w:val="clear" w:color="auto" w:fill="FFFFFF"/>
        </w:rPr>
        <w:t xml:space="preserve"> primi due</w:t>
      </w:r>
      <w:r>
        <w:rPr>
          <w:rFonts w:ascii="Times New Roman" w:eastAsia="Times New Roman" w:hAnsi="Times New Roman" w:cs="Times New Roman"/>
          <w:iCs/>
          <w:color w:val="222222"/>
          <w:shd w:val="clear" w:color="auto" w:fill="FFFFFF"/>
        </w:rPr>
        <w:t xml:space="preserve"> libri dell’originale spagnolo, dove si</w:t>
      </w:r>
      <w:r w:rsidRPr="000F3EEA">
        <w:rPr>
          <w:rFonts w:ascii="Times New Roman" w:eastAsia="Times New Roman" w:hAnsi="Times New Roman" w:cs="Times New Roman"/>
          <w:iCs/>
          <w:color w:val="222222"/>
          <w:shd w:val="clear" w:color="auto" w:fill="FFFFFF"/>
        </w:rPr>
        <w:t xml:space="preserve"> </w:t>
      </w:r>
      <w:r>
        <w:rPr>
          <w:rFonts w:ascii="Times New Roman" w:eastAsia="Times New Roman" w:hAnsi="Times New Roman" w:cs="Times New Roman"/>
          <w:iCs/>
          <w:color w:val="222222"/>
          <w:shd w:val="clear" w:color="auto" w:fill="FFFFFF"/>
        </w:rPr>
        <w:t xml:space="preserve">discutono tematiche portanti </w:t>
      </w:r>
      <w:r w:rsidRPr="000F3EEA">
        <w:rPr>
          <w:rFonts w:ascii="Times New Roman" w:eastAsia="Times New Roman" w:hAnsi="Times New Roman" w:cs="Times New Roman"/>
          <w:iCs/>
          <w:color w:val="222222"/>
          <w:shd w:val="clear" w:color="auto" w:fill="FFFFFF"/>
        </w:rPr>
        <w:t>della Qabbalah (la dottrina delle Sephiroth</w:t>
      </w:r>
      <w:r>
        <w:rPr>
          <w:rFonts w:ascii="Times New Roman" w:eastAsia="Times New Roman" w:hAnsi="Times New Roman" w:cs="Times New Roman"/>
          <w:iCs/>
          <w:color w:val="222222"/>
          <w:shd w:val="clear" w:color="auto" w:fill="FFFFFF"/>
        </w:rPr>
        <w:t xml:space="preserve"> fra tutte</w:t>
      </w:r>
      <w:r w:rsidRPr="000F3EEA">
        <w:rPr>
          <w:rFonts w:ascii="Times New Roman" w:eastAsia="Times New Roman" w:hAnsi="Times New Roman" w:cs="Times New Roman"/>
          <w:iCs/>
          <w:color w:val="222222"/>
          <w:shd w:val="clear" w:color="auto" w:fill="FFFFFF"/>
        </w:rPr>
        <w:t>), sono omessi nella versione di von Rosenroth,</w:t>
      </w:r>
      <w:r>
        <w:rPr>
          <w:rFonts w:ascii="Times New Roman" w:eastAsia="Times New Roman" w:hAnsi="Times New Roman" w:cs="Times New Roman"/>
          <w:iCs/>
          <w:color w:val="222222"/>
          <w:shd w:val="clear" w:color="auto" w:fill="FFFFFF"/>
        </w:rPr>
        <w:t xml:space="preserve"> che si apre con la distinzione ontologica fra e</w:t>
      </w:r>
      <w:r w:rsidRPr="000F3EEA">
        <w:rPr>
          <w:rFonts w:ascii="Times New Roman" w:eastAsia="Times New Roman" w:hAnsi="Times New Roman" w:cs="Times New Roman"/>
          <w:iCs/>
          <w:color w:val="222222"/>
          <w:shd w:val="clear" w:color="auto" w:fill="FFFFFF"/>
        </w:rPr>
        <w:t>nte</w:t>
      </w:r>
      <w:r w:rsidRPr="00F55710">
        <w:rPr>
          <w:rFonts w:ascii="Times New Roman" w:eastAsia="Times New Roman" w:hAnsi="Times New Roman" w:cs="Times New Roman"/>
          <w:iCs/>
          <w:color w:val="222222"/>
          <w:shd w:val="clear" w:color="auto" w:fill="FFFFFF"/>
        </w:rPr>
        <w:t xml:space="preserve"> necessario</w:t>
      </w:r>
      <w:r>
        <w:rPr>
          <w:rFonts w:ascii="Times New Roman" w:eastAsia="Times New Roman" w:hAnsi="Times New Roman" w:cs="Times New Roman"/>
          <w:iCs/>
          <w:color w:val="222222"/>
          <w:shd w:val="clear" w:color="auto" w:fill="FFFFFF"/>
        </w:rPr>
        <w:t xml:space="preserve"> (Dio)</w:t>
      </w:r>
      <w:r w:rsidRPr="00F55710">
        <w:rPr>
          <w:rFonts w:ascii="Times New Roman" w:eastAsia="Times New Roman" w:hAnsi="Times New Roman" w:cs="Times New Roman"/>
          <w:iCs/>
          <w:color w:val="222222"/>
          <w:shd w:val="clear" w:color="auto" w:fill="FFFFFF"/>
        </w:rPr>
        <w:t xml:space="preserve"> </w:t>
      </w:r>
      <w:r>
        <w:rPr>
          <w:rFonts w:ascii="Times New Roman" w:eastAsia="Times New Roman" w:hAnsi="Times New Roman" w:cs="Times New Roman"/>
          <w:iCs/>
          <w:color w:val="222222"/>
          <w:shd w:val="clear" w:color="auto" w:fill="FFFFFF"/>
        </w:rPr>
        <w:t>e possibile (creatura)</w:t>
      </w:r>
      <w:r w:rsidRPr="00F55710">
        <w:rPr>
          <w:rFonts w:ascii="Times New Roman" w:eastAsia="Times New Roman" w:hAnsi="Times New Roman" w:cs="Times New Roman"/>
          <w:iCs/>
          <w:color w:val="222222"/>
          <w:shd w:val="clear" w:color="auto" w:fill="FFFFFF"/>
        </w:rPr>
        <w:t xml:space="preserve">. </w:t>
      </w:r>
      <w:r w:rsidRPr="00EF3D87">
        <w:rPr>
          <w:rFonts w:ascii="Times New Roman" w:eastAsia="Times New Roman" w:hAnsi="Times New Roman" w:cs="Times New Roman"/>
          <w:iCs/>
          <w:color w:val="222222"/>
          <w:shd w:val="clear" w:color="auto" w:fill="FFFFFF"/>
        </w:rPr>
        <w:t>Riguardo alla suddivisione in capitoli e paragrafi delle otto dissertazioni, si può osservare che essa non è sempre fedele alle argomentazioni di Herrera: spesso intere sezioni non sono tradotte; altre volte, invece, in un medesimo paragrafo sono accorpati nuclei teorici su cui Herrera si sofferma per più capitoli. Nonostante queste differenze di carattere formale, si può dire che la traduzione di von Rosenroth restituisce, messe fra parentesi le omissioni in essa contenute, il nucleo fondamentale del pensiero di Herrera</w:t>
      </w:r>
      <w:r w:rsidRPr="00EF3D87">
        <w:rPr>
          <w:rStyle w:val="Rimandonotaapidipagina"/>
          <w:rFonts w:ascii="Times New Roman" w:eastAsia="Times New Roman" w:hAnsi="Times New Roman" w:cs="Times New Roman"/>
          <w:iCs/>
          <w:color w:val="222222"/>
          <w:shd w:val="clear" w:color="auto" w:fill="FFFFFF"/>
        </w:rPr>
        <w:footnoteReference w:id="526"/>
      </w:r>
      <w:r w:rsidRPr="00EF3D87">
        <w:rPr>
          <w:rFonts w:ascii="Times New Roman" w:eastAsia="Times New Roman" w:hAnsi="Times New Roman" w:cs="Times New Roman"/>
          <w:iCs/>
          <w:color w:val="222222"/>
          <w:shd w:val="clear" w:color="auto" w:fill="FFFFFF"/>
        </w:rPr>
        <w:t xml:space="preserve">. Schematicamente, la </w:t>
      </w:r>
      <w:r w:rsidRPr="00EF3D87">
        <w:rPr>
          <w:rFonts w:ascii="Times New Roman" w:eastAsia="Times New Roman" w:hAnsi="Times New Roman" w:cs="Times New Roman"/>
          <w:i/>
          <w:iCs/>
          <w:color w:val="222222"/>
          <w:shd w:val="clear" w:color="auto" w:fill="FFFFFF"/>
        </w:rPr>
        <w:t>Porta Coelorum</w:t>
      </w:r>
      <w:r w:rsidRPr="00EF3D87">
        <w:rPr>
          <w:rFonts w:ascii="Times New Roman" w:eastAsia="Times New Roman" w:hAnsi="Times New Roman" w:cs="Times New Roman"/>
          <w:iCs/>
          <w:color w:val="222222"/>
          <w:shd w:val="clear" w:color="auto" w:fill="FFFFFF"/>
        </w:rPr>
        <w:t xml:space="preserve"> tocca</w:t>
      </w:r>
      <w:r>
        <w:rPr>
          <w:rFonts w:ascii="Times New Roman" w:eastAsia="Times New Roman" w:hAnsi="Times New Roman" w:cs="Times New Roman"/>
          <w:iCs/>
          <w:color w:val="222222"/>
          <w:shd w:val="clear" w:color="auto" w:fill="FFFFFF"/>
        </w:rPr>
        <w:t xml:space="preserve"> le seguenti questioni</w:t>
      </w:r>
      <w:r w:rsidRPr="000F3EEA">
        <w:rPr>
          <w:rFonts w:ascii="Times New Roman" w:eastAsia="Times New Roman" w:hAnsi="Times New Roman" w:cs="Times New Roman"/>
          <w:iCs/>
          <w:color w:val="222222"/>
          <w:shd w:val="clear" w:color="auto" w:fill="FFFFFF"/>
        </w:rPr>
        <w:t xml:space="preserve">: nella prima dissertazione è </w:t>
      </w:r>
      <w:r>
        <w:rPr>
          <w:rFonts w:ascii="Times New Roman" w:eastAsia="Times New Roman" w:hAnsi="Times New Roman" w:cs="Times New Roman"/>
          <w:iCs/>
          <w:color w:val="222222"/>
          <w:shd w:val="clear" w:color="auto" w:fill="FFFFFF"/>
        </w:rPr>
        <w:t>sviluppata la distinzione ontologica fra Ente necessario, ciò che è per sé, ed ente possibile,</w:t>
      </w:r>
      <w:r w:rsidRPr="000F3EEA">
        <w:rPr>
          <w:rFonts w:ascii="Times New Roman" w:eastAsia="Times New Roman" w:hAnsi="Times New Roman" w:cs="Times New Roman"/>
          <w:iCs/>
          <w:color w:val="222222"/>
          <w:shd w:val="clear" w:color="auto" w:fill="FFFFFF"/>
        </w:rPr>
        <w:t xml:space="preserve"> ciò che deriva il proprio essere da altro; nella seconda, nella quarta e nella quinta dissertazione è esposta la teoria della causalità divina; nella terza dissertazione è tratteggiata la dottrina dello </w:t>
      </w:r>
      <w:r w:rsidRPr="000F3EEA">
        <w:rPr>
          <w:rFonts w:ascii="Times New Roman" w:eastAsia="Times New Roman" w:hAnsi="Times New Roman" w:cs="Times New Roman"/>
          <w:i/>
          <w:iCs/>
          <w:color w:val="222222"/>
          <w:shd w:val="clear" w:color="auto" w:fill="FFFFFF"/>
        </w:rPr>
        <w:t>tzimtzum</w:t>
      </w:r>
      <w:r w:rsidRPr="000F3EEA">
        <w:rPr>
          <w:rFonts w:ascii="Times New Roman" w:eastAsia="Times New Roman" w:hAnsi="Times New Roman" w:cs="Times New Roman"/>
          <w:iCs/>
          <w:color w:val="222222"/>
          <w:shd w:val="clear" w:color="auto" w:fill="FFFFFF"/>
        </w:rPr>
        <w:t xml:space="preserve">, uno dei contributi </w:t>
      </w:r>
      <w:r>
        <w:rPr>
          <w:rFonts w:ascii="Times New Roman" w:eastAsia="Times New Roman" w:hAnsi="Times New Roman" w:cs="Times New Roman"/>
          <w:iCs/>
          <w:color w:val="222222"/>
          <w:shd w:val="clear" w:color="auto" w:fill="FFFFFF"/>
        </w:rPr>
        <w:t xml:space="preserve">teorici </w:t>
      </w:r>
      <w:r w:rsidRPr="000F3EEA">
        <w:rPr>
          <w:rFonts w:ascii="Times New Roman" w:eastAsia="Times New Roman" w:hAnsi="Times New Roman" w:cs="Times New Roman"/>
          <w:iCs/>
          <w:color w:val="222222"/>
          <w:shd w:val="clear" w:color="auto" w:fill="FFFFFF"/>
        </w:rPr>
        <w:t>più originali di Isaak Luria; infine nell’ottava, nella nona e nella decima dissertazione sono discusse alcune tematiche della Qabbalah ebraica, quali la teoria dell’</w:t>
      </w:r>
      <w:r w:rsidRPr="000F3EEA">
        <w:rPr>
          <w:rFonts w:ascii="Times New Roman" w:eastAsia="Times New Roman" w:hAnsi="Times New Roman" w:cs="Times New Roman"/>
          <w:i/>
          <w:iCs/>
          <w:color w:val="222222"/>
          <w:shd w:val="clear" w:color="auto" w:fill="FFFFFF"/>
        </w:rPr>
        <w:t>Adam Kadmon</w:t>
      </w:r>
      <w:r w:rsidRPr="000F3EEA">
        <w:rPr>
          <w:rFonts w:ascii="Times New Roman" w:eastAsia="Times New Roman" w:hAnsi="Times New Roman" w:cs="Times New Roman"/>
          <w:iCs/>
          <w:color w:val="222222"/>
          <w:shd w:val="clear" w:color="auto" w:fill="FFFFFF"/>
        </w:rPr>
        <w:t xml:space="preserve">, la teoria delle Sephiroth, la teoria dei vasi e del significato mistico del Tetragramma. </w:t>
      </w:r>
    </w:p>
    <w:p w14:paraId="24AD24F5" w14:textId="77777777" w:rsidR="001B7751" w:rsidRPr="00EF3D87" w:rsidRDefault="001B7751" w:rsidP="001B7751">
      <w:pPr>
        <w:tabs>
          <w:tab w:val="left" w:pos="6601"/>
        </w:tabs>
        <w:spacing w:line="360" w:lineRule="auto"/>
        <w:ind w:firstLine="567"/>
        <w:jc w:val="both"/>
        <w:rPr>
          <w:rFonts w:ascii="Times New Roman" w:eastAsia="Times New Roman" w:hAnsi="Times New Roman" w:cs="Times New Roman"/>
          <w:iCs/>
          <w:color w:val="222222"/>
          <w:shd w:val="clear" w:color="auto" w:fill="FFFFFF"/>
        </w:rPr>
      </w:pPr>
      <w:r w:rsidRPr="00EF3D87">
        <w:rPr>
          <w:rFonts w:ascii="Times New Roman" w:eastAsia="Times New Roman" w:hAnsi="Times New Roman" w:cs="Times New Roman"/>
          <w:iCs/>
          <w:color w:val="222222"/>
          <w:shd w:val="clear" w:color="auto" w:fill="FFFFFF"/>
        </w:rPr>
        <w:t xml:space="preserve">Fatta questa premessa di carattere generale, è bene analizzare quei passaggi argomentativi della </w:t>
      </w:r>
      <w:r w:rsidRPr="00EF3D87">
        <w:rPr>
          <w:rFonts w:ascii="Times New Roman" w:eastAsia="Times New Roman" w:hAnsi="Times New Roman" w:cs="Times New Roman"/>
          <w:i/>
          <w:iCs/>
          <w:color w:val="222222"/>
          <w:shd w:val="clear" w:color="auto" w:fill="FFFFFF"/>
        </w:rPr>
        <w:t>Porta Coelorum</w:t>
      </w:r>
      <w:r w:rsidRPr="00EF3D87">
        <w:rPr>
          <w:rFonts w:ascii="Times New Roman" w:eastAsia="Times New Roman" w:hAnsi="Times New Roman" w:cs="Times New Roman"/>
          <w:iCs/>
          <w:color w:val="222222"/>
          <w:shd w:val="clear" w:color="auto" w:fill="FFFFFF"/>
        </w:rPr>
        <w:t xml:space="preserve"> che più hanno inciso sulla successiva ricezione della Qabbalah in Germania. Al principio dell’ottavo capitolo della quinta dissertazione, Herrera, ripresa la questione relativa alla differenza fra ente necessario e possibile, scrive che:</w:t>
      </w:r>
    </w:p>
    <w:p w14:paraId="216F95B6" w14:textId="77777777" w:rsidR="001B7751" w:rsidRDefault="001B7751" w:rsidP="001B7751">
      <w:pPr>
        <w:tabs>
          <w:tab w:val="left" w:pos="6601"/>
        </w:tabs>
        <w:spacing w:line="360" w:lineRule="auto"/>
        <w:ind w:firstLine="567"/>
        <w:jc w:val="both"/>
        <w:rPr>
          <w:rFonts w:ascii="Times New Roman" w:eastAsia="Times New Roman" w:hAnsi="Times New Roman" w:cs="Times New Roman"/>
          <w:iCs/>
          <w:color w:val="222222"/>
          <w:shd w:val="clear" w:color="auto" w:fill="FFFFFF"/>
        </w:rPr>
      </w:pPr>
    </w:p>
    <w:p w14:paraId="50CF1E44" w14:textId="77777777" w:rsidR="001B7751" w:rsidRPr="00875666" w:rsidRDefault="001B7751" w:rsidP="001B7751">
      <w:pPr>
        <w:tabs>
          <w:tab w:val="left" w:pos="6601"/>
        </w:tabs>
        <w:spacing w:line="360" w:lineRule="auto"/>
        <w:ind w:left="567" w:firstLine="567"/>
        <w:jc w:val="both"/>
        <w:rPr>
          <w:rFonts w:ascii="Times New Roman" w:eastAsia="Times New Roman" w:hAnsi="Times New Roman" w:cs="Times New Roman"/>
          <w:iCs/>
          <w:color w:val="222222"/>
          <w:sz w:val="20"/>
          <w:szCs w:val="20"/>
          <w:shd w:val="clear" w:color="auto" w:fill="FFFFFF"/>
        </w:rPr>
      </w:pPr>
      <w:r w:rsidRPr="00875666">
        <w:rPr>
          <w:rFonts w:ascii="Times New Roman" w:eastAsia="Times New Roman" w:hAnsi="Times New Roman" w:cs="Times New Roman"/>
          <w:iCs/>
          <w:color w:val="222222"/>
          <w:sz w:val="20"/>
          <w:szCs w:val="20"/>
          <w:shd w:val="clear" w:color="auto" w:fill="FFFFFF"/>
        </w:rPr>
        <w:t>«Haectenus dictum est, est Causa sine causa, a qua omnis, quod nempe sit Ens necessarium, bonum perfectum, unum simplex, sublimius omnibus entibus, quae ad ipsa producta sunt, quamvis ipsis non haberet opus, et solummodo ex eo, quod sit bona et benefaciens: et quomodo extendatur ad omnia. Item, quod immediate non nisi unum causatum produxerit, cui nomen Adam Kadmon: hoc autem mediante, lumina, et Sephiras et personas mundi Aen-Sophici et Mundi Aziluthici, et tres sequentes</w:t>
      </w:r>
      <w:r w:rsidRPr="00875666">
        <w:rPr>
          <w:rFonts w:ascii="Times New Roman" w:hAnsi="Times New Roman" w:cs="Times New Roman"/>
          <w:sz w:val="20"/>
          <w:szCs w:val="20"/>
        </w:rPr>
        <w:t>»</w:t>
      </w:r>
      <w:r w:rsidRPr="00875666">
        <w:rPr>
          <w:rStyle w:val="Rimandonotaapidipagina"/>
          <w:rFonts w:ascii="Times New Roman" w:eastAsia="Times New Roman" w:hAnsi="Times New Roman" w:cs="Times New Roman"/>
          <w:iCs/>
          <w:color w:val="222222"/>
          <w:sz w:val="20"/>
          <w:szCs w:val="20"/>
          <w:shd w:val="clear" w:color="auto" w:fill="FFFFFF"/>
        </w:rPr>
        <w:footnoteReference w:id="527"/>
      </w:r>
      <w:r w:rsidRPr="00875666">
        <w:rPr>
          <w:rFonts w:ascii="Times New Roman" w:hAnsi="Times New Roman" w:cs="Times New Roman"/>
          <w:sz w:val="20"/>
          <w:szCs w:val="20"/>
        </w:rPr>
        <w:t>.</w:t>
      </w:r>
    </w:p>
    <w:p w14:paraId="34C8E48E" w14:textId="77777777" w:rsidR="001B7751" w:rsidRDefault="001B7751" w:rsidP="001B7751">
      <w:pPr>
        <w:tabs>
          <w:tab w:val="left" w:pos="6601"/>
        </w:tabs>
        <w:spacing w:line="360" w:lineRule="auto"/>
        <w:ind w:firstLine="567"/>
        <w:jc w:val="both"/>
        <w:rPr>
          <w:rFonts w:ascii="Times New Roman" w:hAnsi="Times New Roman"/>
        </w:rPr>
      </w:pPr>
    </w:p>
    <w:p w14:paraId="19F4EADD" w14:textId="77777777" w:rsidR="001B7751" w:rsidRDefault="001B7751" w:rsidP="001B7751">
      <w:pPr>
        <w:tabs>
          <w:tab w:val="left" w:pos="6601"/>
        </w:tabs>
        <w:spacing w:line="360" w:lineRule="auto"/>
        <w:ind w:firstLine="567"/>
        <w:jc w:val="both"/>
        <w:rPr>
          <w:rFonts w:ascii="Times New Roman" w:hAnsi="Times New Roman"/>
        </w:rPr>
      </w:pPr>
      <w:r>
        <w:rPr>
          <w:rFonts w:ascii="Times New Roman" w:hAnsi="Times New Roman"/>
        </w:rPr>
        <w:t>Ciò che è causa di ogni cosa, senza essere a propria volta causato da altro, si dice essere necessario. Nella sua bontà, semplicità e sublimità, Dio (</w:t>
      </w:r>
      <w:r w:rsidRPr="00FA38A4">
        <w:rPr>
          <w:rFonts w:ascii="Times New Roman" w:hAnsi="Times New Roman"/>
          <w:i/>
        </w:rPr>
        <w:t>Ens necessarium</w:t>
      </w:r>
      <w:r>
        <w:rPr>
          <w:rFonts w:ascii="Times New Roman" w:hAnsi="Times New Roman"/>
        </w:rPr>
        <w:t>) è causa di tutto ciò che è. In questo modo, il possibile è prodotto dal necessario che, alla stregua dell’unità numerica, è quel primo da cui tutto deriva e in cui tutto è ricompreso (</w:t>
      </w:r>
      <w:r w:rsidRPr="00A76F36">
        <w:rPr>
          <w:rFonts w:ascii="Times New Roman" w:hAnsi="Times New Roman"/>
          <w:i/>
        </w:rPr>
        <w:t>unitas</w:t>
      </w:r>
      <w:r>
        <w:rPr>
          <w:rFonts w:ascii="Times New Roman" w:hAnsi="Times New Roman"/>
        </w:rPr>
        <w:t>):</w:t>
      </w:r>
    </w:p>
    <w:p w14:paraId="63E2DA81" w14:textId="77777777" w:rsidR="001B7751" w:rsidRDefault="001B7751" w:rsidP="001B7751">
      <w:pPr>
        <w:tabs>
          <w:tab w:val="left" w:pos="6601"/>
        </w:tabs>
        <w:spacing w:line="360" w:lineRule="auto"/>
        <w:ind w:firstLine="567"/>
        <w:jc w:val="both"/>
        <w:rPr>
          <w:rFonts w:ascii="Times New Roman" w:hAnsi="Times New Roman"/>
        </w:rPr>
      </w:pPr>
    </w:p>
    <w:p w14:paraId="10E565E0" w14:textId="77777777" w:rsidR="001B7751" w:rsidRPr="00875666" w:rsidRDefault="001B7751" w:rsidP="001B7751">
      <w:pPr>
        <w:tabs>
          <w:tab w:val="left" w:pos="6601"/>
        </w:tabs>
        <w:spacing w:line="360" w:lineRule="auto"/>
        <w:ind w:left="567" w:firstLine="567"/>
        <w:jc w:val="both"/>
        <w:rPr>
          <w:rFonts w:ascii="Times New Roman" w:hAnsi="Times New Roman"/>
          <w:sz w:val="20"/>
          <w:szCs w:val="20"/>
        </w:rPr>
      </w:pPr>
      <w:r w:rsidRPr="00875666">
        <w:rPr>
          <w:rFonts w:ascii="Times New Roman" w:hAnsi="Times New Roman"/>
          <w:sz w:val="20"/>
          <w:szCs w:val="20"/>
        </w:rPr>
        <w:t>«Jam igitur sciendum est, dum Causa prima vocatur Una, id fieri ad analogiam et cum respectu ad Unitatem, quae est principium Numeri. Nam haec est Caput omnium numerorum, ita ut non fit unus ex ipsis, nec omnes simul sumti: sed omnes complectitur impliciter, ut tamen non determineretur vel ad unum vel ad omnes</w:t>
      </w:r>
      <w:r w:rsidRPr="00875666">
        <w:rPr>
          <w:rFonts w:ascii="Times New Roman" w:hAnsi="Times New Roman" w:cs="Times New Roman"/>
          <w:sz w:val="20"/>
          <w:szCs w:val="20"/>
        </w:rPr>
        <w:t>»</w:t>
      </w:r>
      <w:r w:rsidRPr="00875666">
        <w:rPr>
          <w:rStyle w:val="Rimandonotaapidipagina"/>
          <w:rFonts w:ascii="Times New Roman" w:hAnsi="Times New Roman" w:cs="Times New Roman"/>
          <w:sz w:val="20"/>
          <w:szCs w:val="20"/>
        </w:rPr>
        <w:footnoteReference w:id="528"/>
      </w:r>
      <w:r w:rsidRPr="00875666">
        <w:rPr>
          <w:rFonts w:ascii="Times New Roman" w:hAnsi="Times New Roman" w:cs="Times New Roman"/>
          <w:sz w:val="20"/>
          <w:szCs w:val="20"/>
        </w:rPr>
        <w:t>.</w:t>
      </w:r>
    </w:p>
    <w:p w14:paraId="4B820223" w14:textId="77777777" w:rsidR="001B7751" w:rsidRDefault="001B7751" w:rsidP="001B7751">
      <w:pPr>
        <w:tabs>
          <w:tab w:val="left" w:pos="6601"/>
        </w:tabs>
        <w:spacing w:line="360" w:lineRule="auto"/>
        <w:ind w:firstLine="567"/>
        <w:jc w:val="both"/>
        <w:rPr>
          <w:rFonts w:ascii="Times New Roman" w:hAnsi="Times New Roman"/>
        </w:rPr>
      </w:pPr>
    </w:p>
    <w:p w14:paraId="5598E8A8" w14:textId="01F1ECDA" w:rsidR="001B7751" w:rsidRDefault="001B7751" w:rsidP="001B7751">
      <w:pPr>
        <w:tabs>
          <w:tab w:val="left" w:pos="6601"/>
        </w:tabs>
        <w:spacing w:line="360" w:lineRule="auto"/>
        <w:ind w:firstLine="567"/>
        <w:jc w:val="both"/>
        <w:rPr>
          <w:rFonts w:ascii="Times New Roman" w:hAnsi="Times New Roman" w:cs="Times New Roman"/>
        </w:rPr>
      </w:pPr>
      <w:r>
        <w:rPr>
          <w:rFonts w:ascii="Times New Roman" w:hAnsi="Times New Roman"/>
        </w:rPr>
        <w:t xml:space="preserve"> Pertanto, Dio </w:t>
      </w:r>
      <w:r w:rsidRPr="007F51DA">
        <w:rPr>
          <w:rFonts w:ascii="Times New Roman" w:hAnsi="Times New Roman"/>
        </w:rPr>
        <w:t>è «principium omnium entium, quae fuerent, sunt et erunt</w:t>
      </w:r>
      <w:r w:rsidRPr="007F51DA">
        <w:rPr>
          <w:rFonts w:ascii="Times New Roman" w:hAnsi="Times New Roman" w:cs="Times New Roman"/>
        </w:rPr>
        <w:t>»</w:t>
      </w:r>
      <w:r w:rsidRPr="007F51DA">
        <w:rPr>
          <w:rStyle w:val="Rimandonotaapidipagina"/>
          <w:rFonts w:ascii="Times New Roman" w:hAnsi="Times New Roman" w:cs="Times New Roman"/>
        </w:rPr>
        <w:footnoteReference w:id="529"/>
      </w:r>
      <w:r w:rsidRPr="007F51DA">
        <w:rPr>
          <w:rFonts w:ascii="Times New Roman" w:hAnsi="Times New Roman" w:cs="Times New Roman"/>
        </w:rPr>
        <w:t>, restando, al contempo, «super illa elevatus et supereminens, modo et gradu quam perfectissimo»</w:t>
      </w:r>
      <w:r w:rsidRPr="007F51DA">
        <w:rPr>
          <w:rStyle w:val="Rimandonotaapidipagina"/>
          <w:rFonts w:ascii="Times New Roman" w:hAnsi="Times New Roman" w:cs="Times New Roman"/>
        </w:rPr>
        <w:footnoteReference w:id="530"/>
      </w:r>
      <w:r w:rsidRPr="007F51DA">
        <w:rPr>
          <w:rFonts w:ascii="Times New Roman" w:hAnsi="Times New Roman" w:cs="Times New Roman"/>
        </w:rPr>
        <w:t>.</w:t>
      </w:r>
      <w:r>
        <w:rPr>
          <w:rFonts w:ascii="Times New Roman" w:hAnsi="Times New Roman" w:cs="Times New Roman"/>
        </w:rPr>
        <w:t xml:space="preserve"> </w:t>
      </w:r>
      <w:r w:rsidRPr="00EF3D87">
        <w:rPr>
          <w:rFonts w:ascii="Times New Roman" w:hAnsi="Times New Roman" w:cs="Times New Roman"/>
        </w:rPr>
        <w:t>Nel suo essere posto al di là della determinazione e della compo</w:t>
      </w:r>
      <w:r w:rsidR="004841DF">
        <w:rPr>
          <w:rFonts w:ascii="Times New Roman" w:hAnsi="Times New Roman" w:cs="Times New Roman"/>
        </w:rPr>
        <w:t xml:space="preserve">sizione, l’essere necessario è </w:t>
      </w:r>
      <w:r w:rsidRPr="00EF3D87">
        <w:rPr>
          <w:rFonts w:ascii="Times New Roman" w:hAnsi="Times New Roman" w:cs="Times New Roman"/>
        </w:rPr>
        <w:t>uno e semplice. Definendo Dio come Uno, Herrera recupera una notissima categoria plotiniana</w:t>
      </w:r>
      <w:r w:rsidRPr="00EF3D87">
        <w:rPr>
          <w:rStyle w:val="Rimandonotaapidipagina"/>
          <w:rFonts w:ascii="Times New Roman" w:hAnsi="Times New Roman" w:cs="Times New Roman"/>
        </w:rPr>
        <w:footnoteReference w:id="531"/>
      </w:r>
      <w:r w:rsidRPr="00EF3D87">
        <w:rPr>
          <w:rFonts w:ascii="Times New Roman" w:hAnsi="Times New Roman" w:cs="Times New Roman"/>
        </w:rPr>
        <w:t>.</w:t>
      </w:r>
      <w:r>
        <w:rPr>
          <w:rFonts w:ascii="Times New Roman" w:hAnsi="Times New Roman" w:cs="Times New Roman"/>
        </w:rPr>
        <w:t xml:space="preserve"> Senza bisogno di scendere nei particolari, si può dire che è </w:t>
      </w:r>
      <w:r w:rsidRPr="00534605">
        <w:rPr>
          <w:rFonts w:ascii="Times New Roman" w:hAnsi="Times New Roman" w:cs="Times New Roman"/>
          <w:i/>
        </w:rPr>
        <w:t>Leitmotiv</w:t>
      </w:r>
      <w:r>
        <w:rPr>
          <w:rFonts w:ascii="Times New Roman" w:hAnsi="Times New Roman" w:cs="Times New Roman"/>
        </w:rPr>
        <w:t xml:space="preserve"> del </w:t>
      </w:r>
      <w:r w:rsidRPr="00C31BE0">
        <w:rPr>
          <w:rFonts w:ascii="Times New Roman" w:hAnsi="Times New Roman" w:cs="Times New Roman"/>
        </w:rPr>
        <w:t>neoplatonismo individuare</w:t>
      </w:r>
      <w:r>
        <w:rPr>
          <w:rFonts w:ascii="Times New Roman" w:hAnsi="Times New Roman" w:cs="Times New Roman"/>
        </w:rPr>
        <w:t xml:space="preserve"> un primo semplice, non composto e di niente manchevole, da cui tutto è emanato e in cui tutto è ricompreso. </w:t>
      </w:r>
      <w:r w:rsidRPr="00F846F7">
        <w:rPr>
          <w:rFonts w:ascii="Times New Roman" w:hAnsi="Times New Roman" w:cs="Times New Roman"/>
        </w:rPr>
        <w:t xml:space="preserve">Seguendo questo principio generalissimo, Herrera ritiene che il necessario sia principio di tutto ciò che è senza che venga meno la differenza fra causa e causato. Definita la distinzione fra Uno e molto, fra Infinito e finito, Herrera s’interroga sull’attività causale del Principio primo. Si può dire che il possibile – e con esso la composizione e la determinazione – derivi immediatamente dall’Uno? A questa domanda, la </w:t>
      </w:r>
      <w:r w:rsidRPr="00F846F7">
        <w:rPr>
          <w:rFonts w:ascii="Times New Roman" w:hAnsi="Times New Roman" w:cs="Times New Roman"/>
          <w:i/>
        </w:rPr>
        <w:t>Porta Coelorum</w:t>
      </w:r>
      <w:r w:rsidRPr="00F846F7">
        <w:rPr>
          <w:rFonts w:ascii="Times New Roman" w:hAnsi="Times New Roman" w:cs="Times New Roman"/>
        </w:rPr>
        <w:t xml:space="preserve"> risponde negativamente: «ab Uno, quatenus Unum, non emanat nisi Unum»</w:t>
      </w:r>
      <w:r w:rsidRPr="00F846F7">
        <w:rPr>
          <w:rStyle w:val="Rimandonotaapidipagina"/>
          <w:rFonts w:ascii="Times New Roman" w:hAnsi="Times New Roman" w:cs="Times New Roman"/>
        </w:rPr>
        <w:footnoteReference w:id="532"/>
      </w:r>
      <w:r w:rsidRPr="00F846F7">
        <w:rPr>
          <w:rFonts w:ascii="Times New Roman" w:hAnsi="Times New Roman" w:cs="Times New Roman"/>
        </w:rPr>
        <w:t xml:space="preserve">. Dall’Uno è emanato un </w:t>
      </w:r>
      <w:r w:rsidRPr="00F846F7">
        <w:rPr>
          <w:rFonts w:ascii="Times New Roman" w:hAnsi="Times New Roman" w:cs="Times New Roman"/>
          <w:i/>
        </w:rPr>
        <w:t>unico</w:t>
      </w:r>
      <w:r w:rsidRPr="00F846F7">
        <w:rPr>
          <w:rFonts w:ascii="Times New Roman" w:hAnsi="Times New Roman" w:cs="Times New Roman"/>
        </w:rPr>
        <w:t xml:space="preserve"> effetto, l’Adam Kadmon, che, sebbene prossimo per perfezione all’En-sof, non è in-determinato come la Causa incausata.</w:t>
      </w:r>
      <w:r>
        <w:rPr>
          <w:rFonts w:ascii="Times New Roman" w:hAnsi="Times New Roman" w:cs="Times New Roman"/>
        </w:rPr>
        <w:t xml:space="preserve"> </w:t>
      </w:r>
      <w:r w:rsidRPr="00672356">
        <w:rPr>
          <w:rFonts w:ascii="Times New Roman" w:hAnsi="Times New Roman" w:cs="Times New Roman"/>
        </w:rPr>
        <w:t xml:space="preserve">Dall’Adam Kadmon, seguono tutte quelle determinazioni – le Sefiroth – che costituiscono i </w:t>
      </w:r>
      <w:r w:rsidRPr="00672356">
        <w:rPr>
          <w:rFonts w:ascii="Times New Roman" w:hAnsi="Times New Roman" w:cs="Times New Roman"/>
          <w:i/>
        </w:rPr>
        <w:t>Parzufim</w:t>
      </w:r>
      <w:r w:rsidRPr="00672356">
        <w:rPr>
          <w:rFonts w:ascii="Times New Roman" w:hAnsi="Times New Roman" w:cs="Times New Roman"/>
        </w:rPr>
        <w:t xml:space="preserve"> – i volti o le manifestazioni – della divinità.</w:t>
      </w:r>
      <w:r>
        <w:rPr>
          <w:rFonts w:ascii="Times New Roman" w:hAnsi="Times New Roman" w:cs="Times New Roman"/>
        </w:rPr>
        <w:t xml:space="preserve">  L’atto, attraverso cui la Causa incausata dà origine all’uomo primordiale (Adam Kadmon), è una limitazione o una restrizione. In quanto semplice e non soggetto a forma alcuna di limitazione, l’infinito è luce purissima, che </w:t>
      </w:r>
      <w:r w:rsidRPr="00A35D89">
        <w:rPr>
          <w:rFonts w:ascii="Times New Roman" w:hAnsi="Times New Roman" w:cs="Times New Roman"/>
        </w:rPr>
        <w:t>«extenditur in infinitum»</w:t>
      </w:r>
      <w:r w:rsidRPr="00A35D89">
        <w:rPr>
          <w:rStyle w:val="Rimandonotaapidipagina"/>
          <w:rFonts w:ascii="Times New Roman" w:hAnsi="Times New Roman" w:cs="Times New Roman"/>
        </w:rPr>
        <w:footnoteReference w:id="533"/>
      </w:r>
      <w:r w:rsidRPr="00A35D89">
        <w:rPr>
          <w:rFonts w:ascii="Times New Roman" w:hAnsi="Times New Roman" w:cs="Times New Roman"/>
        </w:rPr>
        <w:t>.</w:t>
      </w:r>
      <w:r>
        <w:rPr>
          <w:rFonts w:ascii="Times New Roman" w:hAnsi="Times New Roman" w:cs="Times New Roman"/>
        </w:rPr>
        <w:t xml:space="preserve"> </w:t>
      </w:r>
      <w:r w:rsidRPr="00C64A93">
        <w:rPr>
          <w:rFonts w:ascii="Times New Roman" w:hAnsi="Times New Roman" w:cs="Times New Roman"/>
        </w:rPr>
        <w:t>Contraendosi l’En-sof dà avvio al processo emanativo:</w:t>
      </w:r>
    </w:p>
    <w:p w14:paraId="66225D1B" w14:textId="77777777" w:rsidR="001B7751" w:rsidRDefault="001B7751" w:rsidP="001B7751">
      <w:pPr>
        <w:tabs>
          <w:tab w:val="left" w:pos="6601"/>
        </w:tabs>
        <w:spacing w:line="360" w:lineRule="auto"/>
        <w:ind w:firstLine="567"/>
        <w:jc w:val="both"/>
        <w:rPr>
          <w:rFonts w:ascii="Times New Roman" w:hAnsi="Times New Roman" w:cs="Times New Roman"/>
        </w:rPr>
      </w:pPr>
    </w:p>
    <w:p w14:paraId="4F5ABA1C" w14:textId="77777777" w:rsidR="001B7751" w:rsidRPr="00875666" w:rsidRDefault="001B7751" w:rsidP="001B7751">
      <w:pPr>
        <w:tabs>
          <w:tab w:val="left" w:pos="6601"/>
        </w:tabs>
        <w:spacing w:line="360" w:lineRule="auto"/>
        <w:ind w:left="567" w:firstLine="567"/>
        <w:jc w:val="both"/>
        <w:rPr>
          <w:rFonts w:ascii="Times New Roman" w:hAnsi="Times New Roman" w:cs="Times New Roman"/>
          <w:sz w:val="20"/>
          <w:szCs w:val="20"/>
        </w:rPr>
      </w:pPr>
      <w:r w:rsidRPr="00875666">
        <w:rPr>
          <w:rFonts w:ascii="Times New Roman" w:hAnsi="Times New Roman" w:cs="Times New Roman"/>
          <w:sz w:val="20"/>
          <w:szCs w:val="20"/>
        </w:rPr>
        <w:t xml:space="preserve">«Et hoc est, quaod Doctor noster vocat </w:t>
      </w:r>
      <w:r w:rsidRPr="00875666">
        <w:rPr>
          <w:rFonts w:ascii="Times New Roman" w:eastAsia="Times New Roman" w:hAnsi="Times New Roman" w:cs="Times New Roman"/>
          <w:color w:val="222222"/>
          <w:sz w:val="20"/>
          <w:szCs w:val="20"/>
          <w:shd w:val="clear" w:color="auto" w:fill="FFFFFF"/>
        </w:rPr>
        <w:t>צמצום</w:t>
      </w:r>
      <w:r w:rsidRPr="00875666">
        <w:rPr>
          <w:rFonts w:ascii="Times" w:eastAsia="Times New Roman" w:hAnsi="Times" w:cs="Times New Roman"/>
          <w:sz w:val="20"/>
          <w:szCs w:val="20"/>
        </w:rPr>
        <w:t xml:space="preserve"> </w:t>
      </w:r>
      <w:r w:rsidRPr="00875666">
        <w:rPr>
          <w:rFonts w:ascii="Times New Roman" w:hAnsi="Times New Roman" w:cs="Times New Roman"/>
          <w:sz w:val="20"/>
          <w:szCs w:val="20"/>
        </w:rPr>
        <w:t>vel restrictionem illam, qua mediante Aen-sof res emanare fecerit extra se, sed ita, ut non separaverit ab iis [….] Et sic clare satis explicatur, quid intelligat Doctor noster, dum dicit: Deum, ut sese posset extendere, oportuisse semet contrahere. Et sic intelligitur, quid sit contractiones illae, quae statuuntur in Adam Kadmon: et quid sint contractiones, quod lumina summa duplicata fuerint per triades Sephirarum: et per hanc contractionem produxerint causa inferiora, inque illa contractionem produxerint cuasa inferiora, inque illa immiserint essentiam et naturam suam»</w:t>
      </w:r>
      <w:r w:rsidRPr="00875666">
        <w:rPr>
          <w:rStyle w:val="Rimandonotaapidipagina"/>
          <w:rFonts w:ascii="Times New Roman" w:hAnsi="Times New Roman" w:cs="Times New Roman"/>
          <w:sz w:val="20"/>
          <w:szCs w:val="20"/>
        </w:rPr>
        <w:footnoteReference w:id="534"/>
      </w:r>
      <w:r w:rsidRPr="00875666">
        <w:rPr>
          <w:rFonts w:ascii="Times New Roman" w:hAnsi="Times New Roman" w:cs="Times New Roman"/>
          <w:sz w:val="20"/>
          <w:szCs w:val="20"/>
        </w:rPr>
        <w:t>.</w:t>
      </w:r>
    </w:p>
    <w:p w14:paraId="66A2B430" w14:textId="77777777" w:rsidR="001B7751" w:rsidRPr="00875666" w:rsidRDefault="001B7751" w:rsidP="001B7751">
      <w:pPr>
        <w:tabs>
          <w:tab w:val="left" w:pos="6601"/>
        </w:tabs>
        <w:spacing w:line="360" w:lineRule="auto"/>
        <w:ind w:firstLine="567"/>
        <w:jc w:val="both"/>
        <w:rPr>
          <w:rFonts w:ascii="Times New Roman" w:hAnsi="Times New Roman"/>
          <w:sz w:val="20"/>
          <w:szCs w:val="20"/>
        </w:rPr>
      </w:pPr>
      <w:r w:rsidRPr="00875666">
        <w:rPr>
          <w:rFonts w:ascii="Times New Roman" w:hAnsi="Times New Roman"/>
          <w:sz w:val="20"/>
          <w:szCs w:val="20"/>
        </w:rPr>
        <w:tab/>
      </w:r>
    </w:p>
    <w:p w14:paraId="0AE7847C" w14:textId="77777777" w:rsidR="001B7751" w:rsidRDefault="001B7751" w:rsidP="001B7751">
      <w:pPr>
        <w:spacing w:line="360" w:lineRule="auto"/>
        <w:ind w:firstLine="567"/>
        <w:jc w:val="both"/>
        <w:rPr>
          <w:rFonts w:ascii="Times New Roman" w:hAnsi="Times New Roman" w:cs="Times New Roman"/>
        </w:rPr>
      </w:pPr>
      <w:r>
        <w:rPr>
          <w:rFonts w:ascii="Times New Roman" w:hAnsi="Times New Roman"/>
        </w:rPr>
        <w:t>Sebbene l’idea di una contrazione, o di una restrizione, dell’infinito apra tutta una serie di problemi teorici di non poco conto</w:t>
      </w:r>
      <w:r>
        <w:rPr>
          <w:rStyle w:val="Rimandonotaapidipagina"/>
          <w:rFonts w:ascii="Times New Roman" w:hAnsi="Times New Roman"/>
        </w:rPr>
        <w:footnoteReference w:id="535"/>
      </w:r>
      <w:r>
        <w:rPr>
          <w:rFonts w:ascii="Times New Roman" w:hAnsi="Times New Roman"/>
        </w:rPr>
        <w:t xml:space="preserve">, ciò che mi preme sottolineare di questo estratto è l’idea che lo </w:t>
      </w:r>
      <w:r w:rsidRPr="00FD394A">
        <w:rPr>
          <w:rFonts w:ascii="Times New Roman" w:hAnsi="Times New Roman"/>
          <w:i/>
        </w:rPr>
        <w:t>tzimtzum</w:t>
      </w:r>
      <w:r>
        <w:rPr>
          <w:rFonts w:ascii="Times New Roman" w:hAnsi="Times New Roman"/>
        </w:rPr>
        <w:t xml:space="preserve"> sia un’attività </w:t>
      </w:r>
      <w:r w:rsidRPr="00F75ADC">
        <w:rPr>
          <w:rFonts w:ascii="Times New Roman" w:hAnsi="Times New Roman"/>
          <w:i/>
        </w:rPr>
        <w:t>estendibile</w:t>
      </w:r>
      <w:r>
        <w:rPr>
          <w:rFonts w:ascii="Times New Roman" w:hAnsi="Times New Roman"/>
        </w:rPr>
        <w:t xml:space="preserve"> e </w:t>
      </w:r>
      <w:r w:rsidRPr="00F75ADC">
        <w:rPr>
          <w:rFonts w:ascii="Times New Roman" w:hAnsi="Times New Roman"/>
          <w:i/>
        </w:rPr>
        <w:t>estesa</w:t>
      </w:r>
      <w:r>
        <w:rPr>
          <w:rFonts w:ascii="Times New Roman" w:hAnsi="Times New Roman"/>
        </w:rPr>
        <w:t xml:space="preserve"> all’interno dei diversi livelli del processo emanativo. Attraverso i differenti e discendenti gradi contrattivi, Dio s’espande e </w:t>
      </w:r>
      <w:r w:rsidRPr="00A35D89">
        <w:rPr>
          <w:rFonts w:ascii="Times New Roman" w:hAnsi="Times New Roman"/>
        </w:rPr>
        <w:t>«in se continet omnia quaecunque sunt</w:t>
      </w:r>
      <w:r w:rsidRPr="00A35D89">
        <w:rPr>
          <w:rFonts w:ascii="Times New Roman" w:hAnsi="Times New Roman" w:cs="Times New Roman"/>
          <w:sz w:val="20"/>
          <w:szCs w:val="20"/>
        </w:rPr>
        <w:t>»</w:t>
      </w:r>
      <w:r w:rsidRPr="00A35D89">
        <w:rPr>
          <w:rStyle w:val="Rimandonotaapidipagina"/>
          <w:rFonts w:ascii="Times New Roman" w:hAnsi="Times New Roman" w:cs="Times New Roman"/>
          <w:sz w:val="20"/>
          <w:szCs w:val="20"/>
        </w:rPr>
        <w:footnoteReference w:id="536"/>
      </w:r>
      <w:r w:rsidRPr="00A35D89">
        <w:rPr>
          <w:rFonts w:ascii="Times New Roman" w:hAnsi="Times New Roman" w:cs="Times New Roman"/>
          <w:sz w:val="20"/>
          <w:szCs w:val="20"/>
        </w:rPr>
        <w:t>.</w:t>
      </w:r>
      <w:r>
        <w:rPr>
          <w:rFonts w:ascii="Times New Roman" w:hAnsi="Times New Roman" w:cs="Times New Roman"/>
          <w:sz w:val="20"/>
          <w:szCs w:val="20"/>
        </w:rPr>
        <w:t xml:space="preserve"> </w:t>
      </w:r>
      <w:r>
        <w:rPr>
          <w:rFonts w:ascii="Times New Roman" w:hAnsi="Times New Roman" w:cs="Times New Roman"/>
        </w:rPr>
        <w:t xml:space="preserve">Nel processo emanativo, l’En-sof tiene salda la sua distinzione dal molteplice, che deriva mediatamente, non immediatamente, dall’Uno. Dio s’estende su ogni cosa per il fatto che si comunica all’Adam Kadmon che, a propria volta, trasmette alle determinazioni successive l’impronta della luce originaria. </w:t>
      </w:r>
    </w:p>
    <w:p w14:paraId="49A3CC4C" w14:textId="77777777" w:rsidR="00C461F3" w:rsidRPr="007152BE" w:rsidRDefault="001B7751" w:rsidP="001B7751">
      <w:pPr>
        <w:spacing w:line="360" w:lineRule="auto"/>
        <w:ind w:firstLine="567"/>
        <w:jc w:val="both"/>
        <w:rPr>
          <w:rFonts w:ascii="Times New Roman" w:hAnsi="Times New Roman" w:cs="Times New Roman"/>
        </w:rPr>
      </w:pPr>
      <w:r w:rsidRPr="00A50BCE">
        <w:rPr>
          <w:rFonts w:ascii="Times New Roman" w:hAnsi="Times New Roman" w:cs="Times New Roman"/>
        </w:rPr>
        <w:t xml:space="preserve">Quanto discusso della </w:t>
      </w:r>
      <w:r w:rsidRPr="00A50BCE">
        <w:rPr>
          <w:rFonts w:ascii="Times New Roman" w:hAnsi="Times New Roman" w:cs="Times New Roman"/>
          <w:i/>
        </w:rPr>
        <w:t>Porta Coelorum</w:t>
      </w:r>
      <w:r w:rsidRPr="00A50BCE">
        <w:rPr>
          <w:rFonts w:ascii="Times New Roman" w:hAnsi="Times New Roman" w:cs="Times New Roman"/>
        </w:rPr>
        <w:t xml:space="preserve"> non è che una sintesi di un pensiero che possiede una complessità teorica ben </w:t>
      </w:r>
      <w:r w:rsidRPr="00F846F7">
        <w:rPr>
          <w:rFonts w:ascii="Times New Roman" w:hAnsi="Times New Roman" w:cs="Times New Roman"/>
        </w:rPr>
        <w:t>più elevata. Mi sono limitato ad analizzare passi scelti del pensiero di Herrera per un semplice motivo</w:t>
      </w:r>
      <w:r w:rsidR="00C461F3">
        <w:rPr>
          <w:rFonts w:ascii="Times New Roman" w:hAnsi="Times New Roman" w:cs="Times New Roman"/>
        </w:rPr>
        <w:t>: la distinzione fra Uno e molto</w:t>
      </w:r>
      <w:r w:rsidRPr="00F846F7">
        <w:rPr>
          <w:rFonts w:ascii="Times New Roman" w:hAnsi="Times New Roman" w:cs="Times New Roman"/>
        </w:rPr>
        <w:t>, la contrazione interna all’infinito, la produzione dell’Uno (Adam Kadmon) dall’Uno (En-sof) e, in generale, la concezione emanativa del processo creativo sono quegli aspetti del pensiero di Herrera che furono considerati esplicativi della Qabbalah.</w:t>
      </w:r>
      <w:r>
        <w:rPr>
          <w:rFonts w:ascii="Times New Roman" w:hAnsi="Times New Roman" w:cs="Times New Roman"/>
        </w:rPr>
        <w:t xml:space="preserve"> Sia lo </w:t>
      </w:r>
      <w:r w:rsidRPr="004F1627">
        <w:rPr>
          <w:rFonts w:ascii="Times New Roman" w:hAnsi="Times New Roman" w:cs="Times New Roman"/>
          <w:i/>
        </w:rPr>
        <w:t>Spinozismusstreit</w:t>
      </w:r>
      <w:r>
        <w:rPr>
          <w:rFonts w:ascii="Times New Roman" w:hAnsi="Times New Roman" w:cs="Times New Roman"/>
          <w:i/>
        </w:rPr>
        <w:t xml:space="preserve"> </w:t>
      </w:r>
      <w:r>
        <w:rPr>
          <w:rFonts w:ascii="Times New Roman" w:hAnsi="Times New Roman" w:cs="Times New Roman"/>
        </w:rPr>
        <w:t>del XVII</w:t>
      </w:r>
      <w:r w:rsidR="00C461F3">
        <w:rPr>
          <w:rFonts w:ascii="Times New Roman" w:hAnsi="Times New Roman" w:cs="Times New Roman"/>
        </w:rPr>
        <w:t>I e XIX</w:t>
      </w:r>
      <w:r>
        <w:rPr>
          <w:rFonts w:ascii="Times New Roman" w:hAnsi="Times New Roman" w:cs="Times New Roman"/>
        </w:rPr>
        <w:t xml:space="preserve"> secolo, che la storiografia tedesca sette-ottocentesca, con finalità teoriche differenti, attinsero a piene mani dall’opera di </w:t>
      </w:r>
      <w:r w:rsidRPr="00A50BCE">
        <w:rPr>
          <w:rFonts w:ascii="Times New Roman" w:hAnsi="Times New Roman" w:cs="Times New Roman"/>
        </w:rPr>
        <w:t xml:space="preserve">Herrera, considerandola uno strumento capace di rischiarare una dottrina altrimenti inaccessibile al </w:t>
      </w:r>
      <w:r w:rsidRPr="007152BE">
        <w:rPr>
          <w:rFonts w:ascii="Times New Roman" w:hAnsi="Times New Roman" w:cs="Times New Roman"/>
        </w:rPr>
        <w:t xml:space="preserve">pensare argomentativo. </w:t>
      </w:r>
    </w:p>
    <w:p w14:paraId="6ED243DD" w14:textId="1E5B4D82" w:rsidR="001B7751" w:rsidRDefault="001B7751" w:rsidP="001B7751">
      <w:pPr>
        <w:spacing w:line="360" w:lineRule="auto"/>
        <w:ind w:firstLine="567"/>
        <w:jc w:val="both"/>
        <w:rPr>
          <w:rFonts w:ascii="Times New Roman" w:hAnsi="Times New Roman" w:cs="Times New Roman"/>
        </w:rPr>
      </w:pPr>
      <w:r w:rsidRPr="00561094">
        <w:rPr>
          <w:rFonts w:ascii="Times New Roman" w:hAnsi="Times New Roman" w:cs="Times New Roman"/>
        </w:rPr>
        <w:t xml:space="preserve">Insieme al capolavoro di Herrera, un altro scritto fu assunto come compendio del misticismo ebraico. Mi riferisco alla </w:t>
      </w:r>
      <w:r w:rsidRPr="00561094">
        <w:rPr>
          <w:rFonts w:ascii="Times New Roman" w:hAnsi="Times New Roman" w:cs="Times New Roman"/>
          <w:i/>
        </w:rPr>
        <w:t>Cabbala Aëto-Paedo-Melissae</w:t>
      </w:r>
      <w:r w:rsidR="00C461F3" w:rsidRPr="00561094">
        <w:rPr>
          <w:rFonts w:ascii="Times New Roman" w:hAnsi="Times New Roman" w:cs="Times New Roman"/>
        </w:rPr>
        <w:t xml:space="preserve"> di Henry More, </w:t>
      </w:r>
      <w:r w:rsidR="00561094" w:rsidRPr="00561094">
        <w:rPr>
          <w:rFonts w:ascii="Times New Roman" w:hAnsi="Times New Roman" w:cs="Times New Roman"/>
        </w:rPr>
        <w:t xml:space="preserve">ad </w:t>
      </w:r>
      <w:r w:rsidR="00C461F3" w:rsidRPr="00561094">
        <w:rPr>
          <w:rFonts w:ascii="Times New Roman" w:hAnsi="Times New Roman" w:cs="Times New Roman"/>
        </w:rPr>
        <w:t>un</w:t>
      </w:r>
      <w:r w:rsidRPr="00561094">
        <w:rPr>
          <w:rFonts w:ascii="Times New Roman" w:hAnsi="Times New Roman" w:cs="Times New Roman"/>
        </w:rPr>
        <w:t xml:space="preserve"> testo polemico,</w:t>
      </w:r>
      <w:r>
        <w:rPr>
          <w:rFonts w:ascii="Times New Roman" w:hAnsi="Times New Roman" w:cs="Times New Roman"/>
        </w:rPr>
        <w:t xml:space="preserve"> contenuto nel secondo tomo della </w:t>
      </w:r>
      <w:r w:rsidRPr="00287CD8">
        <w:rPr>
          <w:rFonts w:ascii="Times New Roman" w:hAnsi="Times New Roman" w:cs="Times New Roman"/>
          <w:i/>
        </w:rPr>
        <w:t>Kabbala Denudata</w:t>
      </w:r>
      <w:r>
        <w:rPr>
          <w:rFonts w:ascii="Times New Roman" w:hAnsi="Times New Roman" w:cs="Times New Roman"/>
        </w:rPr>
        <w:t>, in cui sono schematicamente esposti i fondamenti del pensiero cabbalistico</w:t>
      </w:r>
      <w:r>
        <w:rPr>
          <w:rStyle w:val="Rimandonotaapidipagina"/>
          <w:rFonts w:ascii="Times New Roman" w:hAnsi="Times New Roman" w:cs="Times New Roman"/>
        </w:rPr>
        <w:footnoteReference w:id="537"/>
      </w:r>
      <w:r>
        <w:rPr>
          <w:rFonts w:ascii="Times New Roman" w:hAnsi="Times New Roman" w:cs="Times New Roman"/>
        </w:rPr>
        <w:t xml:space="preserve">. Sedici sono le tesi con cui More riassume le strutture teoriche fondamentali della mistica ebraica. Di queste sedici proposizioni, vale la pena di riportare quelle che saranno riprese nel successivo dibattito sulla Qabbalah e </w:t>
      </w:r>
      <w:r w:rsidRPr="00EA072A">
        <w:rPr>
          <w:rFonts w:ascii="Times New Roman" w:hAnsi="Times New Roman" w:cs="Times New Roman"/>
        </w:rPr>
        <w:t>sul presunto cabbalismo di Spinoza.</w:t>
      </w:r>
      <w:r>
        <w:rPr>
          <w:rFonts w:ascii="Times New Roman" w:hAnsi="Times New Roman" w:cs="Times New Roman"/>
        </w:rPr>
        <w:t xml:space="preserve"> Per More la Qabbalah sostiene </w:t>
      </w:r>
      <w:r w:rsidRPr="00A13055">
        <w:rPr>
          <w:rFonts w:ascii="Times New Roman" w:hAnsi="Times New Roman" w:cs="Times New Roman"/>
        </w:rPr>
        <w:t>che</w:t>
      </w:r>
      <w:r>
        <w:rPr>
          <w:rFonts w:ascii="Times New Roman" w:hAnsi="Times New Roman" w:cs="Times New Roman"/>
        </w:rPr>
        <w:t xml:space="preserve">: </w:t>
      </w:r>
    </w:p>
    <w:p w14:paraId="138265AE" w14:textId="77777777" w:rsidR="001B7751" w:rsidRDefault="001B7751" w:rsidP="001B7751">
      <w:pPr>
        <w:spacing w:line="360" w:lineRule="auto"/>
        <w:ind w:firstLine="567"/>
        <w:jc w:val="both"/>
        <w:rPr>
          <w:rFonts w:ascii="Times New Roman" w:hAnsi="Times New Roman" w:cs="Times New Roman"/>
        </w:rPr>
      </w:pPr>
    </w:p>
    <w:p w14:paraId="0C838960" w14:textId="77777777" w:rsidR="001B7751" w:rsidRPr="00A50BCE" w:rsidRDefault="001B7751" w:rsidP="001B7751">
      <w:pPr>
        <w:spacing w:line="360" w:lineRule="auto"/>
        <w:ind w:firstLine="567"/>
        <w:jc w:val="both"/>
        <w:rPr>
          <w:rFonts w:ascii="Times New Roman" w:hAnsi="Times New Roman" w:cs="Times New Roman"/>
          <w:sz w:val="20"/>
          <w:szCs w:val="20"/>
        </w:rPr>
      </w:pPr>
      <w:r w:rsidRPr="00A50BCE">
        <w:rPr>
          <w:rFonts w:ascii="Times New Roman" w:hAnsi="Times New Roman" w:cs="Times New Roman"/>
          <w:sz w:val="20"/>
          <w:szCs w:val="20"/>
        </w:rPr>
        <w:t xml:space="preserve">1. Ex nihilo nihil posse creari, 2. Ac proinde nec Materiam creari posse, 3. Nec ob viltatem naturae suae à se existere. Cuius Consectarium, aut Fundamentum potius sit, Nullam rem vilem à se existere posse, 4. Nullam igitur Materiam esse in Rerum natura, 5. Quicquid veró est, Spiritum esse, 6. Spiritum autem hunc increatum esse, &amp; aeternum, intellectualem, sensibilem, vitalem, per se moventem, infinitum amplitudine, &amp; à se necessario existentem, 7, Ac proinde Spiritum hunc revera esse Essentiam Divinam, 8. Nec ullam Essentiam praeter Divinam à se existere posse, 9. Cum verò nulla omnino sit essentia praeter hanc in rerum Universitate per Axiom. 1. 2. 3. 8. &amp; manifestum sit aliquam ex Essentia hac unica actu dividi, palam esse, Essentiam Divinam dividi posse, 10. Cum veró Essentia Divina sit, singulas particulas infinitas esse, &amp; in orbes infinitae virtutis et amplitudinis posse extendi expandive, 11. Et verò cum singulae arenulae, lapidumve granulae particulaeque Aëris. Aetheris, &amp;c., sint partes Divinae essentiae, aeque manifestum esse, quod in minutissimas has partes possint contrahi &amp; constringi, 12. Ex contractis his partibus constare Mundum, qui vocatur, Materialem, cùm reverà adhuc spiritualis sit, constans utique ex divisis Spiritibus, particulisve Divinae Essentiae, in Monadas Punctave Physica contractis &amp; constipatis, 13. Contractionem hanc esse </w:t>
      </w:r>
      <w:r w:rsidRPr="00A50BCE">
        <w:rPr>
          <w:rFonts w:ascii="Times New Roman" w:hAnsi="Times New Roman" w:cs="Times New Roman"/>
          <w:i/>
          <w:sz w:val="20"/>
          <w:szCs w:val="20"/>
        </w:rPr>
        <w:t>statum somni</w:t>
      </w:r>
      <w:r w:rsidRPr="00A50BCE">
        <w:rPr>
          <w:rFonts w:ascii="Times New Roman" w:hAnsi="Times New Roman" w:cs="Times New Roman"/>
          <w:sz w:val="20"/>
          <w:szCs w:val="20"/>
        </w:rPr>
        <w:t xml:space="preserve"> seu Soporis, Divinis his particulis, Expansionem vero </w:t>
      </w:r>
      <w:r w:rsidRPr="00A50BCE">
        <w:rPr>
          <w:rFonts w:ascii="Times New Roman" w:hAnsi="Times New Roman" w:cs="Times New Roman"/>
          <w:i/>
          <w:sz w:val="20"/>
          <w:szCs w:val="20"/>
        </w:rPr>
        <w:t>statum Evigilationis</w:t>
      </w:r>
      <w:r w:rsidRPr="00A50BCE">
        <w:rPr>
          <w:rFonts w:ascii="Times New Roman" w:hAnsi="Times New Roman" w:cs="Times New Roman"/>
          <w:sz w:val="20"/>
          <w:szCs w:val="20"/>
        </w:rPr>
        <w:t xml:space="preserve"> […] 16. Idemque dici posse de singulis Divinae Essentiae particulis, quas necesse esse est aut actu separatas esse et separabiles, nempe omnes aut esse, aut esse posse Deos Terrarum Coelorumque Creatores</w:t>
      </w:r>
      <w:r w:rsidRPr="00A50BCE">
        <w:rPr>
          <w:rStyle w:val="Rimandonotaapidipagina"/>
          <w:rFonts w:ascii="Times New Roman" w:hAnsi="Times New Roman" w:cs="Times New Roman"/>
          <w:sz w:val="20"/>
          <w:szCs w:val="20"/>
        </w:rPr>
        <w:footnoteReference w:id="538"/>
      </w:r>
      <w:r w:rsidRPr="00A50BCE">
        <w:rPr>
          <w:rFonts w:ascii="Times New Roman" w:hAnsi="Times New Roman" w:cs="Times New Roman"/>
          <w:sz w:val="20"/>
          <w:szCs w:val="20"/>
        </w:rPr>
        <w:t>.</w:t>
      </w:r>
    </w:p>
    <w:p w14:paraId="2D39CE17" w14:textId="77777777" w:rsidR="001B7751" w:rsidRDefault="001B7751" w:rsidP="001B7751">
      <w:pPr>
        <w:spacing w:line="360" w:lineRule="auto"/>
        <w:ind w:firstLine="567"/>
        <w:jc w:val="both"/>
        <w:rPr>
          <w:rFonts w:ascii="Times New Roman" w:hAnsi="Times New Roman" w:cs="Times New Roman"/>
        </w:rPr>
      </w:pPr>
    </w:p>
    <w:p w14:paraId="1DA41443" w14:textId="71008A59" w:rsidR="001B7751" w:rsidRDefault="001B7751" w:rsidP="001B7751">
      <w:pPr>
        <w:spacing w:line="360" w:lineRule="auto"/>
        <w:ind w:firstLine="567"/>
        <w:jc w:val="both"/>
        <w:rPr>
          <w:rFonts w:ascii="Times New Roman" w:hAnsi="Times New Roman" w:cs="Times New Roman"/>
        </w:rPr>
      </w:pPr>
      <w:r w:rsidRPr="00561094">
        <w:rPr>
          <w:rFonts w:ascii="Times New Roman" w:hAnsi="Times New Roman" w:cs="Times New Roman"/>
        </w:rPr>
        <w:t>Dal nulla non può essere creato nulla: la prima tesi di More, come vedremo nel proseguo di questo capitolo, sarà assunta come paradigma esplicativo della cosmologia cabbalistica</w:t>
      </w:r>
      <w:r w:rsidR="004067DC" w:rsidRPr="00561094">
        <w:rPr>
          <w:rFonts w:ascii="Times New Roman" w:hAnsi="Times New Roman" w:cs="Times New Roman"/>
        </w:rPr>
        <w:t xml:space="preserve">. A scopo esemplificativo, </w:t>
      </w:r>
      <w:r w:rsidR="00561094" w:rsidRPr="00561094">
        <w:rPr>
          <w:rFonts w:ascii="Times New Roman" w:hAnsi="Times New Roman" w:cs="Times New Roman"/>
        </w:rPr>
        <w:t>basta</w:t>
      </w:r>
      <w:r w:rsidRPr="00561094">
        <w:rPr>
          <w:rFonts w:ascii="Times New Roman" w:hAnsi="Times New Roman" w:cs="Times New Roman"/>
        </w:rPr>
        <w:t xml:space="preserve"> ricordare come Jacobi abbia elaborato un’interpretazione nichilistica dello spinozismo a partire dall’identificazione del pensiero spinoziano con questo principio della </w:t>
      </w:r>
      <w:r w:rsidRPr="00561094">
        <w:rPr>
          <w:rFonts w:ascii="Times New Roman" w:hAnsi="Times New Roman" w:cs="Times New Roman"/>
          <w:i/>
        </w:rPr>
        <w:t>Cabbala Aëto-Paedo-Melissae</w:t>
      </w:r>
      <w:r w:rsidRPr="00561094">
        <w:rPr>
          <w:rFonts w:ascii="Times New Roman" w:hAnsi="Times New Roman" w:cs="Times New Roman"/>
        </w:rPr>
        <w:t>:</w:t>
      </w:r>
      <w:r w:rsidRPr="00F862C8">
        <w:rPr>
          <w:rFonts w:ascii="Times New Roman" w:hAnsi="Times New Roman" w:cs="Times New Roman"/>
        </w:rPr>
        <w:t xml:space="preserve"> niente viene creato, nessuna distinzione viene posta fra infinito e finito e l’unità della sostanza, che è soltanto logica, non reale, è astratta, poiché l’infinito, in quanto unico ed indivisibile, non contiene in sé </w:t>
      </w:r>
      <w:r>
        <w:rPr>
          <w:rFonts w:ascii="Times New Roman" w:hAnsi="Times New Roman" w:cs="Times New Roman"/>
        </w:rPr>
        <w:t>determinazioni reali</w:t>
      </w:r>
      <w:r>
        <w:rPr>
          <w:rStyle w:val="Rimandonotaapidipagina"/>
          <w:rFonts w:ascii="Times New Roman" w:hAnsi="Times New Roman" w:cs="Times New Roman"/>
        </w:rPr>
        <w:footnoteReference w:id="539"/>
      </w:r>
      <w:r>
        <w:rPr>
          <w:rFonts w:ascii="Times New Roman" w:hAnsi="Times New Roman" w:cs="Times New Roman"/>
        </w:rPr>
        <w:t xml:space="preserve">. Questo modo d’intendere la formula </w:t>
      </w:r>
      <w:r>
        <w:rPr>
          <w:rFonts w:ascii="Times New Roman" w:hAnsi="Times New Roman" w:cs="Times New Roman"/>
          <w:i/>
        </w:rPr>
        <w:t xml:space="preserve">ex nihilo nihil posse </w:t>
      </w:r>
      <w:r w:rsidRPr="00547FFA">
        <w:rPr>
          <w:rFonts w:ascii="Times New Roman" w:hAnsi="Times New Roman" w:cs="Times New Roman"/>
          <w:i/>
        </w:rPr>
        <w:t>creari</w:t>
      </w:r>
      <w:r>
        <w:rPr>
          <w:rFonts w:ascii="Times New Roman" w:hAnsi="Times New Roman" w:cs="Times New Roman"/>
        </w:rPr>
        <w:t xml:space="preserve"> rappresenta un’applicazione specifica di una tesi che si è prestata a letture eterogenee. </w:t>
      </w:r>
      <w:r w:rsidRPr="00BF5CF8">
        <w:rPr>
          <w:rFonts w:ascii="Times New Roman" w:hAnsi="Times New Roman" w:cs="Times New Roman"/>
        </w:rPr>
        <w:t>Prima di soffermarci sulle diverse interpretazioni a cui è andata incontro la prima tesi di More, è opportuno proseguire l’analisi del suo breve ma significativo compendio sulla filosofia cabbalistica.</w:t>
      </w:r>
      <w:r>
        <w:rPr>
          <w:rFonts w:ascii="Times New Roman" w:hAnsi="Times New Roman" w:cs="Times New Roman"/>
        </w:rPr>
        <w:t xml:space="preserve"> Niente viene all’essere, neanche la materia che, a causa della sua natura vile, non sussiste in-sé-e-per-sé. Dio non crea la materia dal nulla, perché Egli è </w:t>
      </w:r>
      <w:r w:rsidRPr="00F1537C">
        <w:rPr>
          <w:rFonts w:ascii="Times New Roman" w:hAnsi="Times New Roman" w:cs="Times New Roman"/>
        </w:rPr>
        <w:t>«ente summe perfecto, summe intelligente, summe libero, motum per se habente in summo gradu, summe penetrante, summe immutabilisi, summe positivo, summe vivo, &amp; c.e</w:t>
      </w:r>
      <w:r w:rsidRPr="00F1537C">
        <w:rPr>
          <w:rStyle w:val="Rimandonotaapidipagina"/>
          <w:rFonts w:ascii="Times New Roman" w:hAnsi="Times New Roman" w:cs="Times New Roman"/>
        </w:rPr>
        <w:footnoteReference w:id="540"/>
      </w:r>
      <w:r w:rsidRPr="00F1537C">
        <w:rPr>
          <w:rFonts w:ascii="Times New Roman" w:hAnsi="Times New Roman" w:cs="Times New Roman"/>
        </w:rPr>
        <w:t>».</w:t>
      </w:r>
      <w:r>
        <w:rPr>
          <w:rFonts w:ascii="Times New Roman" w:hAnsi="Times New Roman" w:cs="Times New Roman"/>
        </w:rPr>
        <w:t xml:space="preserve"> </w:t>
      </w:r>
      <w:r w:rsidRPr="002429A6">
        <w:rPr>
          <w:rFonts w:ascii="Times New Roman" w:hAnsi="Times New Roman" w:cs="Times New Roman"/>
        </w:rPr>
        <w:t>Se qualcosa di imperfetto fosse creato da ciò che è sommamente perfetto, intelligente, libero e vivo, allora verrebbero meno tutte le determinazioni che rendono Dio l’essere supremo. La materia «non existit ex se, sed ne existit quidem positive, sed privative, sicut umbra»</w:t>
      </w:r>
      <w:r w:rsidRPr="002429A6">
        <w:rPr>
          <w:rStyle w:val="Rimandonotaapidipagina"/>
          <w:rFonts w:ascii="Times New Roman" w:hAnsi="Times New Roman" w:cs="Times New Roman"/>
        </w:rPr>
        <w:footnoteReference w:id="541"/>
      </w:r>
      <w:r w:rsidRPr="002429A6">
        <w:rPr>
          <w:rFonts w:ascii="Times New Roman" w:hAnsi="Times New Roman" w:cs="Times New Roman"/>
        </w:rPr>
        <w:t>. Tutto ciò che è</w:t>
      </w:r>
      <w:r>
        <w:rPr>
          <w:rFonts w:ascii="Times New Roman" w:hAnsi="Times New Roman" w:cs="Times New Roman"/>
        </w:rPr>
        <w:t xml:space="preserve"> </w:t>
      </w:r>
      <w:r w:rsidRPr="002429A6">
        <w:rPr>
          <w:rFonts w:ascii="Times New Roman" w:hAnsi="Times New Roman" w:cs="Times New Roman"/>
        </w:rPr>
        <w:t>possiede una natura spirituale. Come recita la sesta tesi, lo spirito è increato, eterno, intellettuale, sensibile, vitale, semovente, infinito e necessariamente esistente: in forza di ciò, ess</w:t>
      </w:r>
      <w:r w:rsidR="004067DC">
        <w:rPr>
          <w:rFonts w:ascii="Times New Roman" w:hAnsi="Times New Roman" w:cs="Times New Roman"/>
        </w:rPr>
        <w:t>o coincide con l’Essenza Divina</w:t>
      </w:r>
      <w:r w:rsidRPr="002429A6">
        <w:rPr>
          <w:rFonts w:ascii="Times New Roman" w:hAnsi="Times New Roman" w:cs="Times New Roman"/>
        </w:rPr>
        <w:t xml:space="preserve"> che anima, compenetra e determina la molteplicità della nature spirituali finite.</w:t>
      </w:r>
      <w:r>
        <w:rPr>
          <w:rFonts w:ascii="Times New Roman" w:hAnsi="Times New Roman" w:cs="Times New Roman"/>
        </w:rPr>
        <w:t xml:space="preserve"> Queste essenze, che seguono dall’essenza divina, non sono create nel tempo, poiché se così fosse verrebbe meno la tesi </w:t>
      </w:r>
      <w:r w:rsidRPr="0088202E">
        <w:rPr>
          <w:rFonts w:ascii="Times New Roman" w:hAnsi="Times New Roman" w:cs="Times New Roman"/>
          <w:i/>
        </w:rPr>
        <w:t>ex nihilo nihil posse</w:t>
      </w:r>
      <w:r>
        <w:rPr>
          <w:rFonts w:ascii="Times New Roman" w:hAnsi="Times New Roman" w:cs="Times New Roman"/>
          <w:i/>
        </w:rPr>
        <w:t xml:space="preserve"> </w:t>
      </w:r>
      <w:r w:rsidRPr="0088202E">
        <w:rPr>
          <w:rFonts w:ascii="Times New Roman" w:hAnsi="Times New Roman" w:cs="Times New Roman"/>
          <w:i/>
        </w:rPr>
        <w:t>creari</w:t>
      </w:r>
      <w:r>
        <w:rPr>
          <w:rFonts w:ascii="Times New Roman" w:hAnsi="Times New Roman" w:cs="Times New Roman"/>
        </w:rPr>
        <w:t xml:space="preserve">. Esse sono effetti dell’Essenza divina e seguono dalla sua attività creativa </w:t>
      </w:r>
      <w:r w:rsidRPr="00F1537C">
        <w:rPr>
          <w:rFonts w:ascii="Times New Roman" w:hAnsi="Times New Roman" w:cs="Times New Roman"/>
        </w:rPr>
        <w:t>«ordine naturae; licet non temporis»</w:t>
      </w:r>
      <w:r w:rsidRPr="00F1537C">
        <w:rPr>
          <w:rStyle w:val="Rimandonotaapidipagina"/>
          <w:rFonts w:ascii="Times New Roman" w:hAnsi="Times New Roman" w:cs="Times New Roman"/>
        </w:rPr>
        <w:footnoteReference w:id="542"/>
      </w:r>
      <w:r w:rsidRPr="00F1537C">
        <w:rPr>
          <w:rFonts w:ascii="Times New Roman" w:hAnsi="Times New Roman" w:cs="Times New Roman"/>
        </w:rPr>
        <w:t xml:space="preserve">. </w:t>
      </w:r>
      <w:r>
        <w:rPr>
          <w:rFonts w:ascii="Times New Roman" w:hAnsi="Times New Roman" w:cs="Times New Roman"/>
        </w:rPr>
        <w:t xml:space="preserve">Creando, l’Essenza divina si espande e si particolarizza in forme spirituali più o meno articolate. </w:t>
      </w:r>
      <w:r w:rsidRPr="00F1614E">
        <w:rPr>
          <w:rFonts w:ascii="Times New Roman" w:hAnsi="Times New Roman" w:cs="Times New Roman"/>
        </w:rPr>
        <w:t>Nel loro complesso,</w:t>
      </w:r>
      <w:r w:rsidR="00493364">
        <w:rPr>
          <w:rFonts w:ascii="Times New Roman" w:hAnsi="Times New Roman" w:cs="Times New Roman"/>
        </w:rPr>
        <w:t xml:space="preserve"> le parti, o le concretizzazioni</w:t>
      </w:r>
      <w:r w:rsidRPr="00F1614E">
        <w:rPr>
          <w:rFonts w:ascii="Times New Roman" w:hAnsi="Times New Roman" w:cs="Times New Roman"/>
        </w:rPr>
        <w:t xml:space="preserve"> divine, costituiscono le articolazioni del mondo materiale</w:t>
      </w:r>
      <w:r>
        <w:rPr>
          <w:rFonts w:ascii="Times New Roman" w:hAnsi="Times New Roman" w:cs="Times New Roman"/>
        </w:rPr>
        <w:t xml:space="preserve"> – che è in verità spirituale (dodicesima tesi) – e sono definite </w:t>
      </w:r>
      <w:r w:rsidRPr="00F862C8">
        <w:rPr>
          <w:rFonts w:ascii="Times New Roman" w:hAnsi="Times New Roman" w:cs="Times New Roman"/>
        </w:rPr>
        <w:t>come monadi in sé contratte e conchiuse.</w:t>
      </w:r>
      <w:r>
        <w:rPr>
          <w:rFonts w:ascii="Times New Roman" w:hAnsi="Times New Roman" w:cs="Times New Roman"/>
        </w:rPr>
        <w:t xml:space="preserve"> Dividendosi, l’Essenza divina dà origine a dei punti fisici che, in quanto determinazioni separate della Causa incausata, possono essere considerate Divinità creatrice del cielo e della terra</w:t>
      </w:r>
      <w:r w:rsidRPr="00F1614E">
        <w:rPr>
          <w:rFonts w:ascii="Times New Roman" w:hAnsi="Times New Roman" w:cs="Times New Roman"/>
        </w:rPr>
        <w:t>. A questo punto, diventa chiaro lo scambio di battute onirico, riportato subito dopo la discussione delle sedici tesi, fra More e un fanciullo, che è allegoria della Qabbalah:</w:t>
      </w:r>
      <w:r>
        <w:rPr>
          <w:rFonts w:ascii="Times New Roman" w:hAnsi="Times New Roman" w:cs="Times New Roman"/>
        </w:rPr>
        <w:t xml:space="preserve">  </w:t>
      </w:r>
    </w:p>
    <w:p w14:paraId="3AAA01E4" w14:textId="77777777" w:rsidR="001B7751" w:rsidRDefault="001B7751" w:rsidP="001B7751">
      <w:pPr>
        <w:spacing w:line="360" w:lineRule="auto"/>
        <w:ind w:firstLine="567"/>
        <w:jc w:val="both"/>
        <w:rPr>
          <w:rFonts w:ascii="Times New Roman" w:hAnsi="Times New Roman" w:cs="Times New Roman"/>
        </w:rPr>
      </w:pPr>
    </w:p>
    <w:p w14:paraId="27176078" w14:textId="77777777" w:rsidR="001B7751" w:rsidRPr="00875666" w:rsidRDefault="001B7751" w:rsidP="001B7751">
      <w:pPr>
        <w:spacing w:line="360" w:lineRule="auto"/>
        <w:ind w:left="567" w:firstLine="567"/>
        <w:jc w:val="both"/>
        <w:rPr>
          <w:rFonts w:ascii="Times New Roman" w:hAnsi="Times New Roman" w:cs="Times New Roman"/>
          <w:sz w:val="20"/>
          <w:szCs w:val="20"/>
        </w:rPr>
      </w:pPr>
      <w:r w:rsidRPr="00875666">
        <w:rPr>
          <w:rFonts w:ascii="Times New Roman" w:hAnsi="Times New Roman" w:cs="Times New Roman"/>
          <w:sz w:val="20"/>
          <w:szCs w:val="20"/>
        </w:rPr>
        <w:t>«Rogam igitur, crederet</w:t>
      </w:r>
      <w:r>
        <w:rPr>
          <w:rFonts w:ascii="Times New Roman" w:hAnsi="Times New Roman" w:cs="Times New Roman"/>
          <w:sz w:val="20"/>
          <w:szCs w:val="20"/>
        </w:rPr>
        <w:t>n</w:t>
      </w:r>
      <w:r w:rsidRPr="00875666">
        <w:rPr>
          <w:rFonts w:ascii="Times New Roman" w:hAnsi="Times New Roman" w:cs="Times New Roman"/>
          <w:sz w:val="20"/>
          <w:szCs w:val="20"/>
        </w:rPr>
        <w:t>e in Jesum Christum, ille respondebat, Non. Unde rursus statim rogabam, unum ne crederet Deum: Ad quod subridenti vultu respondebat, se multus credere Deos esse (One by one) sic ille Anglice respondebat) alios ab alius separatus, vel alios aliis succedentes»</w:t>
      </w:r>
      <w:r w:rsidRPr="00875666">
        <w:rPr>
          <w:rStyle w:val="Rimandonotaapidipagina"/>
          <w:rFonts w:ascii="Times New Roman" w:hAnsi="Times New Roman" w:cs="Times New Roman"/>
          <w:sz w:val="20"/>
          <w:szCs w:val="20"/>
        </w:rPr>
        <w:footnoteReference w:id="543"/>
      </w:r>
      <w:r w:rsidRPr="00875666">
        <w:rPr>
          <w:rFonts w:ascii="Times New Roman" w:hAnsi="Times New Roman" w:cs="Times New Roman"/>
          <w:sz w:val="20"/>
          <w:szCs w:val="20"/>
        </w:rPr>
        <w:t>.</w:t>
      </w:r>
    </w:p>
    <w:p w14:paraId="46DCB0DD" w14:textId="77777777" w:rsidR="001B7751" w:rsidRDefault="001B7751" w:rsidP="001B7751">
      <w:pPr>
        <w:spacing w:line="360" w:lineRule="auto"/>
        <w:ind w:firstLine="567"/>
        <w:jc w:val="both"/>
        <w:rPr>
          <w:rFonts w:ascii="Times New Roman" w:hAnsi="Times New Roman" w:cs="Times New Roman"/>
        </w:rPr>
      </w:pPr>
    </w:p>
    <w:p w14:paraId="1B79DCE3" w14:textId="66DC074F" w:rsidR="001B7751" w:rsidRDefault="001B7751" w:rsidP="001B7751">
      <w:pPr>
        <w:spacing w:line="360" w:lineRule="auto"/>
        <w:ind w:firstLine="567"/>
        <w:jc w:val="both"/>
        <w:rPr>
          <w:rFonts w:ascii="Times New Roman" w:hAnsi="Times New Roman" w:cs="Times New Roman"/>
        </w:rPr>
      </w:pPr>
      <w:r w:rsidRPr="00F862C8">
        <w:rPr>
          <w:rFonts w:ascii="Times New Roman" w:hAnsi="Times New Roman" w:cs="Times New Roman"/>
        </w:rPr>
        <w:t xml:space="preserve">Il dividersi dell’Essenza divina in dei punti fisici per sé sussistenti determina l’esistenza di tante divinità quante sono le parti in cui </w:t>
      </w:r>
      <w:r w:rsidRPr="00F862C8">
        <w:rPr>
          <w:rFonts w:ascii="Times New Roman" w:hAnsi="Times New Roman" w:cs="Times New Roman"/>
          <w:i/>
        </w:rPr>
        <w:t>lo spirito</w:t>
      </w:r>
      <w:r w:rsidRPr="00F862C8">
        <w:rPr>
          <w:rFonts w:ascii="Times New Roman" w:hAnsi="Times New Roman" w:cs="Times New Roman"/>
        </w:rPr>
        <w:t xml:space="preserve"> si espande e contrae. Per Henry More, la Qabbalah è un sistema di pensiero in cui viene negato il monoteismo e, allo stesso tempo, viene professato il politeismo. L’ateismo cabbalistico sopprime quel punto di contatto fra cristianesi</w:t>
      </w:r>
      <w:r w:rsidR="00ED4361">
        <w:rPr>
          <w:rFonts w:ascii="Times New Roman" w:hAnsi="Times New Roman" w:cs="Times New Roman"/>
        </w:rPr>
        <w:t>mo e ebr</w:t>
      </w:r>
      <w:r w:rsidRPr="00F862C8">
        <w:rPr>
          <w:rFonts w:ascii="Times New Roman" w:hAnsi="Times New Roman" w:cs="Times New Roman"/>
        </w:rPr>
        <w:t>aismo che, nonostante le profonde differenze fra le due fedi, costituiva il punto di contatto fra i due monoteismi: l’esistenza e la fede in un unico Dio.</w:t>
      </w:r>
      <w:r>
        <w:rPr>
          <w:rFonts w:ascii="Times New Roman" w:hAnsi="Times New Roman" w:cs="Times New Roman"/>
        </w:rPr>
        <w:t xml:space="preserve"> </w:t>
      </w:r>
    </w:p>
    <w:p w14:paraId="2D1BB8B2" w14:textId="6143DD4A" w:rsidR="001B7751" w:rsidRDefault="001B7751" w:rsidP="001B7751">
      <w:pPr>
        <w:spacing w:line="360" w:lineRule="auto"/>
        <w:ind w:firstLine="567"/>
        <w:jc w:val="both"/>
        <w:rPr>
          <w:rFonts w:ascii="Times New Roman" w:hAnsi="Times New Roman" w:cs="Times New Roman"/>
        </w:rPr>
      </w:pPr>
      <w:r>
        <w:rPr>
          <w:rFonts w:ascii="Times New Roman" w:hAnsi="Times New Roman" w:cs="Times New Roman"/>
        </w:rPr>
        <w:t xml:space="preserve">Per quanto frutto di un’avversione di fondo nei confronti della Qabbalah, le tesi di More restituiscono una cosmologia cabbalistica estremamente suggestiva e sfaccettata. Accanto all’accusa d’ateismo, </w:t>
      </w:r>
      <w:r w:rsidRPr="002429A6">
        <w:rPr>
          <w:rFonts w:ascii="Times New Roman" w:hAnsi="Times New Roman" w:cs="Times New Roman"/>
        </w:rPr>
        <w:t xml:space="preserve">si trova la tesi, </w:t>
      </w:r>
      <w:r w:rsidRPr="00C31BE0">
        <w:rPr>
          <w:rFonts w:ascii="Times New Roman" w:hAnsi="Times New Roman" w:cs="Times New Roman"/>
        </w:rPr>
        <w:t>dal gusto fortemente neoplatonico,</w:t>
      </w:r>
      <w:r>
        <w:rPr>
          <w:rFonts w:ascii="Times New Roman" w:hAnsi="Times New Roman" w:cs="Times New Roman"/>
        </w:rPr>
        <w:t xml:space="preserve"> relativa al non-essere della materia. </w:t>
      </w:r>
      <w:r w:rsidRPr="00F862C8">
        <w:rPr>
          <w:rFonts w:ascii="Times New Roman" w:hAnsi="Times New Roman" w:cs="Times New Roman"/>
        </w:rPr>
        <w:t xml:space="preserve">A causa dei sui assunti spiritualistici, l’ateismo cabbalistico possiede delle caratteristiche del tutto peculiari, che lo distinguono dagli altri </w:t>
      </w:r>
      <w:r w:rsidRPr="00F862C8">
        <w:rPr>
          <w:rFonts w:ascii="Times New Roman" w:hAnsi="Times New Roman" w:cs="Times New Roman"/>
          <w:i/>
        </w:rPr>
        <w:t>sistemi ateistici</w:t>
      </w:r>
      <w:r w:rsidRPr="00F862C8">
        <w:rPr>
          <w:rFonts w:ascii="Times New Roman" w:hAnsi="Times New Roman" w:cs="Times New Roman"/>
        </w:rPr>
        <w:t>: esso rappresenta uno dei pochi casi della storia della filosofia in cui l’</w:t>
      </w:r>
      <w:r w:rsidRPr="00F862C8">
        <w:rPr>
          <w:rFonts w:ascii="Times New Roman" w:hAnsi="Times New Roman" w:cs="Times New Roman"/>
          <w:i/>
        </w:rPr>
        <w:t>ateismo</w:t>
      </w:r>
      <w:r w:rsidRPr="00F862C8">
        <w:rPr>
          <w:rFonts w:ascii="Times New Roman" w:hAnsi="Times New Roman" w:cs="Times New Roman"/>
        </w:rPr>
        <w:t xml:space="preserve"> si collega alla nozione di spirito e non di materia</w:t>
      </w:r>
      <w:r>
        <w:rPr>
          <w:rFonts w:ascii="Times New Roman" w:hAnsi="Times New Roman" w:cs="Times New Roman"/>
        </w:rPr>
        <w:t xml:space="preserve">. </w:t>
      </w:r>
      <w:r w:rsidRPr="00A35D89">
        <w:rPr>
          <w:rFonts w:ascii="Times New Roman" w:hAnsi="Times New Roman" w:cs="Times New Roman"/>
        </w:rPr>
        <w:t>Gli esiti panteistici della Qabbalah sono ricondotti all’idea di una divisione, frammentazione e partizione dell’Essenza divina in una molteplicità di atomi spirituali vicendevolmente irrelati.</w:t>
      </w:r>
      <w:r>
        <w:rPr>
          <w:rFonts w:ascii="Times New Roman" w:hAnsi="Times New Roman" w:cs="Times New Roman"/>
        </w:rPr>
        <w:t xml:space="preserve"> </w:t>
      </w:r>
      <w:r w:rsidRPr="00A8268C">
        <w:rPr>
          <w:rFonts w:ascii="Times New Roman" w:hAnsi="Times New Roman" w:cs="Times New Roman"/>
        </w:rPr>
        <w:t>Sebbene siano chiare le finalità di More, ossia dimostrare l’empietà dello spiritualismo cabbalistico, si può osservare che le sue tesi offrono una serie di spunti argomentativi estremamente diversificati. Combinando la prima e l’ottava tesi, ad esempio, si può produrre una posizione teorica analoga a quella di Jacobi</w:t>
      </w:r>
      <w:r w:rsidRPr="00A8268C">
        <w:rPr>
          <w:rStyle w:val="Rimandonotaapidipagina"/>
          <w:rFonts w:ascii="Times New Roman" w:hAnsi="Times New Roman" w:cs="Times New Roman"/>
        </w:rPr>
        <w:footnoteReference w:id="544"/>
      </w:r>
      <w:r w:rsidRPr="00A8268C">
        <w:rPr>
          <w:rFonts w:ascii="Times New Roman" w:hAnsi="Times New Roman" w:cs="Times New Roman"/>
        </w:rPr>
        <w:t>. Al contra</w:t>
      </w:r>
      <w:r w:rsidR="00493364">
        <w:rPr>
          <w:rFonts w:ascii="Times New Roman" w:hAnsi="Times New Roman" w:cs="Times New Roman"/>
        </w:rPr>
        <w:t>rio, evidenziate le implicazioni</w:t>
      </w:r>
      <w:r w:rsidRPr="00A8268C">
        <w:rPr>
          <w:rFonts w:ascii="Times New Roman" w:hAnsi="Times New Roman" w:cs="Times New Roman"/>
        </w:rPr>
        <w:t xml:space="preserve"> teoriche della prima, </w:t>
      </w:r>
      <w:r>
        <w:rPr>
          <w:rFonts w:ascii="Times New Roman" w:hAnsi="Times New Roman" w:cs="Times New Roman"/>
        </w:rPr>
        <w:t xml:space="preserve">ottava, </w:t>
      </w:r>
      <w:r w:rsidRPr="00A8268C">
        <w:rPr>
          <w:rFonts w:ascii="Times New Roman" w:hAnsi="Times New Roman" w:cs="Times New Roman"/>
        </w:rPr>
        <w:t>nona, decima, undicesima, dodicesima e tredicesima tesi, si può affermare che la Qabbalah è una</w:t>
      </w:r>
      <w:r>
        <w:rPr>
          <w:rFonts w:ascii="Times New Roman" w:hAnsi="Times New Roman" w:cs="Times New Roman"/>
        </w:rPr>
        <w:t xml:space="preserve"> forma radicale di divinizzazione del mondo (come Wachter nel </w:t>
      </w:r>
      <w:r w:rsidRPr="00F63B07">
        <w:rPr>
          <w:rFonts w:ascii="Times New Roman" w:hAnsi="Times New Roman" w:cs="Times New Roman"/>
          <w:i/>
        </w:rPr>
        <w:t>Der Spinozismus im Judenthums</w:t>
      </w:r>
      <w:r>
        <w:rPr>
          <w:rFonts w:ascii="Times New Roman" w:hAnsi="Times New Roman" w:cs="Times New Roman"/>
        </w:rPr>
        <w:t>)</w:t>
      </w:r>
      <w:r>
        <w:rPr>
          <w:rStyle w:val="Rimandonotaapidipagina"/>
          <w:rFonts w:ascii="Times New Roman" w:hAnsi="Times New Roman" w:cs="Times New Roman"/>
        </w:rPr>
        <w:footnoteReference w:id="545"/>
      </w:r>
      <w:r>
        <w:rPr>
          <w:rFonts w:ascii="Times New Roman" w:hAnsi="Times New Roman" w:cs="Times New Roman"/>
        </w:rPr>
        <w:t>. Oppure, dal collegamento delle prime cinque tesi, segue una comprensione spiritualista e fortemente antimaterialista della cosmologia cabbalistica (come Wachter nell’</w:t>
      </w:r>
      <w:r w:rsidRPr="00F63B07">
        <w:rPr>
          <w:rFonts w:ascii="Times New Roman" w:hAnsi="Times New Roman" w:cs="Times New Roman"/>
          <w:i/>
        </w:rPr>
        <w:t>Elucidarius Cabalisticus</w:t>
      </w:r>
      <w:r>
        <w:rPr>
          <w:rFonts w:ascii="Times New Roman" w:hAnsi="Times New Roman" w:cs="Times New Roman"/>
        </w:rPr>
        <w:t>)</w:t>
      </w:r>
      <w:r>
        <w:rPr>
          <w:rStyle w:val="Rimandonotaapidipagina"/>
          <w:rFonts w:ascii="Times New Roman" w:hAnsi="Times New Roman" w:cs="Times New Roman"/>
        </w:rPr>
        <w:footnoteReference w:id="546"/>
      </w:r>
      <w:r>
        <w:rPr>
          <w:rFonts w:ascii="Times New Roman" w:hAnsi="Times New Roman" w:cs="Times New Roman"/>
        </w:rPr>
        <w:t xml:space="preserve">. </w:t>
      </w:r>
      <w:r w:rsidRPr="00D14BF6">
        <w:rPr>
          <w:rFonts w:ascii="Times New Roman" w:hAnsi="Times New Roman" w:cs="Times New Roman"/>
        </w:rPr>
        <w:t xml:space="preserve">E ancora, arricchendo gli elementi d’ispirazione neoplatonica delle tesi con fonti cabbalistiche affini – fra tutte la </w:t>
      </w:r>
      <w:r w:rsidRPr="00D14BF6">
        <w:rPr>
          <w:rFonts w:ascii="Times New Roman" w:hAnsi="Times New Roman" w:cs="Times New Roman"/>
          <w:i/>
        </w:rPr>
        <w:t>Porta Coelorum</w:t>
      </w:r>
      <w:r w:rsidRPr="00D14BF6">
        <w:rPr>
          <w:rFonts w:ascii="Times New Roman" w:hAnsi="Times New Roman" w:cs="Times New Roman"/>
        </w:rPr>
        <w:t xml:space="preserve"> di Herrera –, si può sviluppare un’i</w:t>
      </w:r>
      <w:r>
        <w:rPr>
          <w:rFonts w:ascii="Times New Roman" w:hAnsi="Times New Roman" w:cs="Times New Roman"/>
        </w:rPr>
        <w:t xml:space="preserve">nterpretazione neo-platonizzante </w:t>
      </w:r>
      <w:r w:rsidRPr="00D14BF6">
        <w:rPr>
          <w:rFonts w:ascii="Times New Roman" w:hAnsi="Times New Roman" w:cs="Times New Roman"/>
        </w:rPr>
        <w:t>della</w:t>
      </w:r>
      <w:r>
        <w:rPr>
          <w:rFonts w:ascii="Times New Roman" w:hAnsi="Times New Roman" w:cs="Times New Roman"/>
        </w:rPr>
        <w:t xml:space="preserve"> filosofia cabbalistica (Brucker, Buhle e Ast)</w:t>
      </w:r>
      <w:r>
        <w:rPr>
          <w:rStyle w:val="Rimandonotaapidipagina"/>
          <w:rFonts w:ascii="Times New Roman" w:hAnsi="Times New Roman" w:cs="Times New Roman"/>
        </w:rPr>
        <w:footnoteReference w:id="547"/>
      </w:r>
      <w:r>
        <w:rPr>
          <w:rFonts w:ascii="Times New Roman" w:hAnsi="Times New Roman" w:cs="Times New Roman"/>
        </w:rPr>
        <w:t xml:space="preserve">. Tutte queste combinazioni tematiche e tutte queste possibilità interpretative vanno a definire il contesto storico in cui si colloca la ricezione hegeliana della mistica ebraica. Una ricezione, è bene ricordarlo, del tutto dipendente dallo </w:t>
      </w:r>
      <w:r w:rsidRPr="00C00E11">
        <w:rPr>
          <w:rFonts w:ascii="Times New Roman" w:hAnsi="Times New Roman" w:cs="Times New Roman"/>
          <w:i/>
          <w:lang w:val="de-DE"/>
        </w:rPr>
        <w:t xml:space="preserve">Spinozismusstreit </w:t>
      </w:r>
      <w:r>
        <w:rPr>
          <w:rFonts w:ascii="Times New Roman" w:hAnsi="Times New Roman" w:cs="Times New Roman"/>
        </w:rPr>
        <w:t>sei-settecentesco e dalla storiografia tedesca sette-ottocentesca.</w:t>
      </w:r>
    </w:p>
    <w:p w14:paraId="1B896267" w14:textId="77777777" w:rsidR="001B7751" w:rsidRDefault="001B7751" w:rsidP="001B7751">
      <w:pPr>
        <w:spacing w:line="360" w:lineRule="auto"/>
        <w:ind w:firstLine="567"/>
        <w:jc w:val="both"/>
        <w:rPr>
          <w:rFonts w:ascii="Times New Roman" w:hAnsi="Times New Roman" w:cs="Times New Roman"/>
        </w:rPr>
      </w:pPr>
    </w:p>
    <w:p w14:paraId="3FC1E25C" w14:textId="77777777" w:rsidR="0052209E" w:rsidRDefault="0052209E" w:rsidP="001B7751">
      <w:pPr>
        <w:spacing w:line="360" w:lineRule="auto"/>
        <w:ind w:firstLine="567"/>
        <w:jc w:val="both"/>
        <w:rPr>
          <w:rFonts w:ascii="Times New Roman" w:hAnsi="Times New Roman" w:cs="Times New Roman"/>
        </w:rPr>
      </w:pPr>
    </w:p>
    <w:p w14:paraId="0090C5D0" w14:textId="3CF82386" w:rsidR="001B7751" w:rsidRPr="00A04BEF" w:rsidRDefault="001B7751" w:rsidP="001B7751">
      <w:pPr>
        <w:spacing w:line="360" w:lineRule="auto"/>
        <w:jc w:val="both"/>
        <w:rPr>
          <w:rFonts w:ascii="Times New Roman" w:hAnsi="Times New Roman" w:cs="Times New Roman"/>
          <w:i/>
          <w:lang w:val="de-DE"/>
        </w:rPr>
      </w:pPr>
      <w:r>
        <w:rPr>
          <w:rFonts w:ascii="Times New Roman" w:hAnsi="Times New Roman" w:cs="Times New Roman"/>
          <w:i/>
        </w:rPr>
        <w:t>3.2</w:t>
      </w:r>
      <w:r w:rsidR="00437EC6">
        <w:rPr>
          <w:rFonts w:ascii="Times New Roman" w:hAnsi="Times New Roman" w:cs="Times New Roman"/>
          <w:i/>
        </w:rPr>
        <w:t xml:space="preserve"> </w:t>
      </w:r>
      <w:r w:rsidRPr="00A04BEF">
        <w:rPr>
          <w:rFonts w:ascii="Times New Roman" w:hAnsi="Times New Roman" w:cs="Times New Roman"/>
          <w:i/>
        </w:rPr>
        <w:t xml:space="preserve">Fra materialismo e spiritualismo: Johan Georg Wachter </w:t>
      </w:r>
      <w:r>
        <w:rPr>
          <w:rFonts w:ascii="Times New Roman" w:hAnsi="Times New Roman" w:cs="Times New Roman"/>
          <w:i/>
        </w:rPr>
        <w:t>e la nascita del</w:t>
      </w:r>
      <w:r w:rsidRPr="00A04BEF">
        <w:rPr>
          <w:rFonts w:ascii="Times New Roman" w:hAnsi="Times New Roman" w:cs="Times New Roman"/>
          <w:i/>
        </w:rPr>
        <w:t xml:space="preserve">lo </w:t>
      </w:r>
      <w:r w:rsidRPr="00A04BEF">
        <w:rPr>
          <w:rFonts w:ascii="Times New Roman" w:hAnsi="Times New Roman" w:cs="Times New Roman"/>
          <w:i/>
          <w:lang w:val="de-DE"/>
        </w:rPr>
        <w:t>Spinozismusstreit</w:t>
      </w:r>
    </w:p>
    <w:p w14:paraId="4D017F79" w14:textId="77777777" w:rsidR="001B7751" w:rsidRDefault="001B7751" w:rsidP="001B7751">
      <w:pPr>
        <w:spacing w:line="360" w:lineRule="auto"/>
        <w:ind w:firstLine="567"/>
        <w:jc w:val="both"/>
        <w:rPr>
          <w:rFonts w:ascii="Times New Roman" w:hAnsi="Times New Roman" w:cs="Times New Roman"/>
        </w:rPr>
      </w:pPr>
    </w:p>
    <w:p w14:paraId="4D8426AA" w14:textId="22B8BB05" w:rsidR="001B7751" w:rsidRDefault="001B7751" w:rsidP="001B7751">
      <w:pPr>
        <w:spacing w:line="360" w:lineRule="auto"/>
        <w:ind w:firstLine="567"/>
        <w:jc w:val="both"/>
        <w:rPr>
          <w:rFonts w:ascii="Times New Roman" w:eastAsia="Times New Roman" w:hAnsi="Times New Roman" w:cs="Times New Roman"/>
          <w:iCs/>
          <w:color w:val="222222"/>
          <w:shd w:val="clear" w:color="auto" w:fill="FFFFFF"/>
        </w:rPr>
      </w:pPr>
      <w:r w:rsidRPr="0036389C">
        <w:rPr>
          <w:rFonts w:ascii="Times New Roman" w:hAnsi="Times New Roman" w:cs="Times New Roman"/>
        </w:rPr>
        <w:t xml:space="preserve">Al volgere del XVII secolo, Johan Georg Wachter </w:t>
      </w:r>
      <w:r w:rsidRPr="0036389C">
        <w:rPr>
          <w:rFonts w:ascii="Times New Roman" w:eastAsia="Times New Roman" w:hAnsi="Times New Roman" w:cs="Times New Roman"/>
          <w:iCs/>
          <w:color w:val="222222"/>
          <w:shd w:val="clear" w:color="auto" w:fill="FFFFFF"/>
        </w:rPr>
        <w:t xml:space="preserve">(1673-1757) dà alle stampe uno scritto destinato ad influenzare profondamente la ricezione settecentesca della Qabbalah in Germania e le sorti del cosiddetto </w:t>
      </w:r>
      <w:r w:rsidRPr="0036389C">
        <w:rPr>
          <w:rFonts w:ascii="Times New Roman" w:eastAsia="Times New Roman" w:hAnsi="Times New Roman" w:cs="Times New Roman"/>
          <w:i/>
          <w:iCs/>
          <w:color w:val="222222"/>
          <w:shd w:val="clear" w:color="auto" w:fill="FFFFFF"/>
        </w:rPr>
        <w:t>Spinozisumsstreit</w:t>
      </w:r>
      <w:r w:rsidRPr="0036389C">
        <w:rPr>
          <w:rStyle w:val="Rimandonotaapidipagina"/>
          <w:rFonts w:ascii="Times New Roman" w:eastAsia="Times New Roman" w:hAnsi="Times New Roman" w:cs="Times New Roman"/>
          <w:i/>
          <w:iCs/>
          <w:color w:val="222222"/>
          <w:shd w:val="clear" w:color="auto" w:fill="FFFFFF"/>
        </w:rPr>
        <w:footnoteReference w:id="548"/>
      </w:r>
      <w:r w:rsidRPr="0036389C">
        <w:rPr>
          <w:rFonts w:ascii="Times New Roman" w:eastAsia="Times New Roman" w:hAnsi="Times New Roman" w:cs="Times New Roman"/>
          <w:iCs/>
          <w:color w:val="222222"/>
          <w:shd w:val="clear" w:color="auto" w:fill="FFFFFF"/>
        </w:rPr>
        <w:t xml:space="preserve">. L’opera di cui stiamo parlando è </w:t>
      </w:r>
      <w:r w:rsidR="00A76F84">
        <w:rPr>
          <w:rFonts w:ascii="Times New Roman" w:eastAsia="Times New Roman" w:hAnsi="Times New Roman" w:cs="Times New Roman"/>
          <w:i/>
          <w:iCs/>
          <w:color w:val="222222"/>
          <w:shd w:val="clear" w:color="auto" w:fill="FFFFFF"/>
        </w:rPr>
        <w:t>Der Spinozismus in J</w:t>
      </w:r>
      <w:r w:rsidR="00A76F84">
        <w:rPr>
          <w:rFonts w:ascii="Times New Roman" w:eastAsia="Times New Roman" w:hAnsi="Times New Roman" w:cs="Times New Roman"/>
          <w:i/>
          <w:iCs/>
          <w:color w:val="222222"/>
          <w:shd w:val="clear" w:color="auto" w:fill="FFFFFF"/>
          <w:lang w:val="de-DE"/>
        </w:rPr>
        <w:t>ü</w:t>
      </w:r>
      <w:r w:rsidRPr="0036389C">
        <w:rPr>
          <w:rFonts w:ascii="Times New Roman" w:eastAsia="Times New Roman" w:hAnsi="Times New Roman" w:cs="Times New Roman"/>
          <w:i/>
          <w:iCs/>
          <w:color w:val="222222"/>
          <w:shd w:val="clear" w:color="auto" w:fill="FFFFFF"/>
        </w:rPr>
        <w:t>denthumb</w:t>
      </w:r>
      <w:r w:rsidRPr="0036389C">
        <w:rPr>
          <w:rFonts w:ascii="Times New Roman" w:eastAsia="Times New Roman" w:hAnsi="Times New Roman" w:cs="Times New Roman"/>
          <w:iCs/>
          <w:color w:val="222222"/>
          <w:shd w:val="clear" w:color="auto" w:fill="FFFFFF"/>
        </w:rPr>
        <w:t xml:space="preserve">, pubblicata ad Amsterdam nel 1699. Già dal titolo si evince che </w:t>
      </w:r>
      <w:r>
        <w:rPr>
          <w:rFonts w:ascii="Times New Roman" w:eastAsia="Times New Roman" w:hAnsi="Times New Roman" w:cs="Times New Roman"/>
          <w:iCs/>
          <w:color w:val="222222"/>
          <w:shd w:val="clear" w:color="auto" w:fill="FFFFFF"/>
        </w:rPr>
        <w:t>scopo del testo è la messa in chiaro delle radici</w:t>
      </w:r>
      <w:r w:rsidRPr="0036389C">
        <w:rPr>
          <w:rFonts w:ascii="Times New Roman" w:eastAsia="Times New Roman" w:hAnsi="Times New Roman" w:cs="Times New Roman"/>
          <w:iCs/>
          <w:color w:val="222222"/>
          <w:shd w:val="clear" w:color="auto" w:fill="FFFFFF"/>
        </w:rPr>
        <w:t xml:space="preserve"> giudaic</w:t>
      </w:r>
      <w:r>
        <w:rPr>
          <w:rFonts w:ascii="Times New Roman" w:eastAsia="Times New Roman" w:hAnsi="Times New Roman" w:cs="Times New Roman"/>
          <w:iCs/>
          <w:color w:val="222222"/>
          <w:shd w:val="clear" w:color="auto" w:fill="FFFFFF"/>
        </w:rPr>
        <w:t>he</w:t>
      </w:r>
      <w:r w:rsidRPr="0036389C">
        <w:rPr>
          <w:rFonts w:ascii="Times New Roman" w:eastAsia="Times New Roman" w:hAnsi="Times New Roman" w:cs="Times New Roman"/>
          <w:iCs/>
          <w:color w:val="222222"/>
          <w:shd w:val="clear" w:color="auto" w:fill="FFFFFF"/>
        </w:rPr>
        <w:t xml:space="preserve"> del pensiero spinoziano. </w:t>
      </w:r>
      <w:r w:rsidRPr="005C4980">
        <w:rPr>
          <w:rFonts w:ascii="Times New Roman" w:eastAsia="Times New Roman" w:hAnsi="Times New Roman" w:cs="Times New Roman"/>
          <w:iCs/>
          <w:color w:val="222222"/>
          <w:shd w:val="clear" w:color="auto" w:fill="FFFFFF"/>
        </w:rPr>
        <w:t>In sede preliminare, è opportuno precisare che Wachter, quando utilizza la nozione ‘</w:t>
      </w:r>
      <w:r w:rsidR="00A76F84">
        <w:rPr>
          <w:rFonts w:ascii="Times New Roman" w:eastAsia="Times New Roman" w:hAnsi="Times New Roman" w:cs="Times New Roman"/>
          <w:i/>
          <w:iCs/>
          <w:color w:val="222222"/>
          <w:shd w:val="clear" w:color="auto" w:fill="FFFFFF"/>
          <w:lang w:val="de-DE"/>
        </w:rPr>
        <w:t>Jü</w:t>
      </w:r>
      <w:r w:rsidRPr="005C4980">
        <w:rPr>
          <w:rFonts w:ascii="Times New Roman" w:eastAsia="Times New Roman" w:hAnsi="Times New Roman" w:cs="Times New Roman"/>
          <w:i/>
          <w:iCs/>
          <w:color w:val="222222"/>
          <w:shd w:val="clear" w:color="auto" w:fill="FFFFFF"/>
          <w:lang w:val="de-DE"/>
        </w:rPr>
        <w:t>denthumb</w:t>
      </w:r>
      <w:r w:rsidRPr="005C4980">
        <w:rPr>
          <w:rFonts w:ascii="Times New Roman" w:eastAsia="Times New Roman" w:hAnsi="Times New Roman" w:cs="Times New Roman"/>
          <w:iCs/>
          <w:color w:val="222222"/>
          <w:shd w:val="clear" w:color="auto" w:fill="FFFFFF"/>
          <w:lang w:val="de-DE"/>
        </w:rPr>
        <w:t>’</w:t>
      </w:r>
      <w:r w:rsidRPr="005C4980">
        <w:rPr>
          <w:rFonts w:ascii="Times New Roman" w:eastAsia="Times New Roman" w:hAnsi="Times New Roman" w:cs="Times New Roman"/>
          <w:i/>
          <w:iCs/>
          <w:color w:val="222222"/>
          <w:shd w:val="clear" w:color="auto" w:fill="FFFFFF"/>
        </w:rPr>
        <w:t xml:space="preserve"> </w:t>
      </w:r>
      <w:r w:rsidRPr="005C4980">
        <w:rPr>
          <w:rFonts w:ascii="Times New Roman" w:eastAsia="Times New Roman" w:hAnsi="Times New Roman" w:cs="Times New Roman"/>
          <w:iCs/>
          <w:color w:val="222222"/>
          <w:shd w:val="clear" w:color="auto" w:fill="FFFFFF"/>
        </w:rPr>
        <w:t>in connessione al termine ‘</w:t>
      </w:r>
      <w:r w:rsidRPr="005C4980">
        <w:rPr>
          <w:rFonts w:ascii="Times New Roman" w:eastAsia="Times New Roman" w:hAnsi="Times New Roman" w:cs="Times New Roman"/>
          <w:i/>
          <w:iCs/>
          <w:color w:val="222222"/>
          <w:shd w:val="clear" w:color="auto" w:fill="FFFFFF"/>
          <w:lang w:val="de-DE"/>
        </w:rPr>
        <w:t>Spinozismus</w:t>
      </w:r>
      <w:r w:rsidRPr="005C4980">
        <w:rPr>
          <w:rFonts w:ascii="Times New Roman" w:eastAsia="Times New Roman" w:hAnsi="Times New Roman" w:cs="Times New Roman"/>
          <w:iCs/>
          <w:color w:val="222222"/>
          <w:shd w:val="clear" w:color="auto" w:fill="FFFFFF"/>
          <w:lang w:val="de-DE"/>
        </w:rPr>
        <w:t>’,</w:t>
      </w:r>
      <w:r w:rsidRPr="005C4980">
        <w:rPr>
          <w:rFonts w:ascii="Times New Roman" w:eastAsia="Times New Roman" w:hAnsi="Times New Roman" w:cs="Times New Roman"/>
          <w:iCs/>
          <w:color w:val="222222"/>
          <w:shd w:val="clear" w:color="auto" w:fill="FFFFFF"/>
        </w:rPr>
        <w:t xml:space="preserve"> non ha in mente il pensiero ebraico </w:t>
      </w:r>
      <w:r w:rsidRPr="005C4980">
        <w:rPr>
          <w:rFonts w:ascii="Times New Roman" w:eastAsia="Times New Roman" w:hAnsi="Times New Roman" w:cs="Times New Roman"/>
          <w:i/>
          <w:iCs/>
          <w:color w:val="222222"/>
          <w:shd w:val="clear" w:color="auto" w:fill="FFFFFF"/>
        </w:rPr>
        <w:t>tout court</w:t>
      </w:r>
      <w:r w:rsidRPr="005C4980">
        <w:rPr>
          <w:rFonts w:ascii="Times New Roman" w:eastAsia="Times New Roman" w:hAnsi="Times New Roman" w:cs="Times New Roman"/>
          <w:iCs/>
          <w:color w:val="222222"/>
          <w:shd w:val="clear" w:color="auto" w:fill="FFFFFF"/>
        </w:rPr>
        <w:t xml:space="preserve">, ma la Qabbalah ebraica, in particolare quei testi raccolti e tradotti da von Rosenroth nella </w:t>
      </w:r>
      <w:r w:rsidRPr="005C4980">
        <w:rPr>
          <w:rFonts w:ascii="Times New Roman" w:eastAsia="Times New Roman" w:hAnsi="Times New Roman" w:cs="Times New Roman"/>
          <w:i/>
          <w:iCs/>
          <w:color w:val="222222"/>
          <w:shd w:val="clear" w:color="auto" w:fill="FFFFFF"/>
        </w:rPr>
        <w:t>Kabala denudata</w:t>
      </w:r>
      <w:r w:rsidRPr="005C4980">
        <w:rPr>
          <w:rStyle w:val="Rimandonotaapidipagina"/>
          <w:rFonts w:ascii="Times New Roman" w:eastAsia="Times New Roman" w:hAnsi="Times New Roman" w:cs="Times New Roman"/>
          <w:iCs/>
          <w:color w:val="222222"/>
          <w:shd w:val="clear" w:color="auto" w:fill="FFFFFF"/>
        </w:rPr>
        <w:footnoteReference w:id="549"/>
      </w:r>
      <w:r w:rsidRPr="005C4980">
        <w:rPr>
          <w:rFonts w:ascii="Times New Roman" w:eastAsia="Times New Roman" w:hAnsi="Times New Roman" w:cs="Times New Roman"/>
          <w:iCs/>
          <w:color w:val="222222"/>
          <w:shd w:val="clear" w:color="auto" w:fill="FFFFFF"/>
        </w:rPr>
        <w:t>.</w:t>
      </w:r>
      <w:r w:rsidRPr="0036389C">
        <w:rPr>
          <w:rFonts w:ascii="Times New Roman" w:eastAsia="Times New Roman" w:hAnsi="Times New Roman" w:cs="Times New Roman"/>
          <w:iCs/>
          <w:color w:val="222222"/>
          <w:shd w:val="clear" w:color="auto" w:fill="FFFFFF"/>
        </w:rPr>
        <w:t xml:space="preserve"> A ben vedere, l’argomentazione wachteriana si regge sulla ricezione della </w:t>
      </w:r>
      <w:r w:rsidRPr="0036389C">
        <w:rPr>
          <w:rFonts w:ascii="Times New Roman" w:eastAsia="Times New Roman" w:hAnsi="Times New Roman" w:cs="Times New Roman"/>
          <w:i/>
          <w:iCs/>
          <w:color w:val="222222"/>
          <w:shd w:val="clear" w:color="auto" w:fill="FFFFFF"/>
        </w:rPr>
        <w:t>Porta Coelorum</w:t>
      </w:r>
      <w:r w:rsidRPr="0036389C">
        <w:rPr>
          <w:rFonts w:ascii="Times New Roman" w:eastAsia="Times New Roman" w:hAnsi="Times New Roman" w:cs="Times New Roman"/>
          <w:iCs/>
          <w:color w:val="222222"/>
          <w:shd w:val="clear" w:color="auto" w:fill="FFFFFF"/>
        </w:rPr>
        <w:t xml:space="preserve"> e della </w:t>
      </w:r>
      <w:r w:rsidRPr="0036389C">
        <w:rPr>
          <w:rFonts w:ascii="Times New Roman" w:hAnsi="Times New Roman" w:cs="Times New Roman"/>
          <w:i/>
        </w:rPr>
        <w:t>Cabbalae Aëto-Paedo-Melissae</w:t>
      </w:r>
      <w:r w:rsidRPr="0036389C">
        <w:rPr>
          <w:rFonts w:ascii="Times New Roman" w:hAnsi="Times New Roman" w:cs="Times New Roman"/>
        </w:rPr>
        <w:t xml:space="preserve">: grazie alla combinazione di elementi teorici desunti dalle opere di Herrera e More, Wachter formula la condanna d’ateismo a danno dello spinozismo e della tradizione mistica ebraica, che è vista come </w:t>
      </w:r>
      <w:r w:rsidRPr="0036389C">
        <w:rPr>
          <w:rFonts w:ascii="Times New Roman" w:hAnsi="Times New Roman" w:cs="Times New Roman"/>
          <w:i/>
        </w:rPr>
        <w:t>locus</w:t>
      </w:r>
      <w:r w:rsidRPr="0036389C">
        <w:rPr>
          <w:rFonts w:ascii="Times New Roman" w:hAnsi="Times New Roman" w:cs="Times New Roman"/>
        </w:rPr>
        <w:t xml:space="preserve"> genetico dell’eterodossia spinoziana.</w:t>
      </w:r>
      <w:r>
        <w:rPr>
          <w:rFonts w:ascii="Times New Roman" w:hAnsi="Times New Roman" w:cs="Times New Roman"/>
        </w:rPr>
        <w:t xml:space="preserve">  </w:t>
      </w:r>
    </w:p>
    <w:p w14:paraId="61CC27AA" w14:textId="77777777" w:rsidR="001B7751" w:rsidRPr="00CD4AF5" w:rsidRDefault="001B7751" w:rsidP="001B7751">
      <w:pPr>
        <w:spacing w:line="360" w:lineRule="auto"/>
        <w:ind w:firstLine="567"/>
        <w:jc w:val="both"/>
        <w:rPr>
          <w:rFonts w:ascii="Times New Roman" w:eastAsia="Times New Roman" w:hAnsi="Times New Roman" w:cs="Times New Roman"/>
          <w:iCs/>
          <w:color w:val="222222"/>
          <w:shd w:val="clear" w:color="auto" w:fill="FFFFFF"/>
        </w:rPr>
      </w:pPr>
      <w:r w:rsidRPr="0036389C">
        <w:rPr>
          <w:rFonts w:ascii="Times New Roman" w:hAnsi="Times New Roman" w:cs="Times New Roman"/>
        </w:rPr>
        <w:t>Citando e traducendo le sedici tesi di Henry More</w:t>
      </w:r>
      <w:r w:rsidRPr="0036389C">
        <w:rPr>
          <w:rStyle w:val="Rimandonotaapidipagina"/>
          <w:rFonts w:ascii="Times New Roman" w:hAnsi="Times New Roman" w:cs="Times New Roman"/>
        </w:rPr>
        <w:footnoteReference w:id="550"/>
      </w:r>
      <w:r w:rsidRPr="0036389C">
        <w:rPr>
          <w:rFonts w:ascii="Times New Roman" w:hAnsi="Times New Roman" w:cs="Times New Roman"/>
        </w:rPr>
        <w:t xml:space="preserve">, Wachter afferma che la mistica ebraica nega l’idea di una </w:t>
      </w:r>
      <w:r w:rsidRPr="0036389C">
        <w:rPr>
          <w:rFonts w:ascii="Times New Roman" w:hAnsi="Times New Roman" w:cs="Times New Roman"/>
          <w:i/>
        </w:rPr>
        <w:t>creatio ex nihilo</w:t>
      </w:r>
      <w:r w:rsidRPr="0036389C">
        <w:rPr>
          <w:rFonts w:ascii="Times New Roman" w:hAnsi="Times New Roman" w:cs="Times New Roman"/>
        </w:rPr>
        <w:t>. Suo principio è l’«ex nihilo nihil fit»</w:t>
      </w:r>
      <w:r w:rsidRPr="0036389C">
        <w:rPr>
          <w:rStyle w:val="Rimandonotaapidipagina"/>
          <w:rFonts w:ascii="Times New Roman" w:hAnsi="Times New Roman" w:cs="Times New Roman"/>
        </w:rPr>
        <w:footnoteReference w:id="551"/>
      </w:r>
      <w:r w:rsidRPr="0036389C">
        <w:rPr>
          <w:rFonts w:ascii="Times New Roman" w:hAnsi="Times New Roman" w:cs="Times New Roman"/>
        </w:rPr>
        <w:t xml:space="preserve">, corrispondente alla prima tesi </w:t>
      </w:r>
      <w:r w:rsidRPr="0036389C">
        <w:rPr>
          <w:rFonts w:ascii="Times New Roman" w:hAnsi="Times New Roman" w:cs="Times New Roman"/>
          <w:i/>
        </w:rPr>
        <w:t xml:space="preserve">ex nihilo nihil posse creari </w:t>
      </w:r>
      <w:r w:rsidRPr="0036389C">
        <w:rPr>
          <w:rFonts w:ascii="Times New Roman" w:hAnsi="Times New Roman" w:cs="Times New Roman"/>
        </w:rPr>
        <w:t>di Henry More</w:t>
      </w:r>
      <w:r w:rsidRPr="00410378">
        <w:rPr>
          <w:rStyle w:val="Rimandonotaapidipagina"/>
          <w:rFonts w:ascii="Times New Roman" w:hAnsi="Times New Roman" w:cs="Times New Roman"/>
        </w:rPr>
        <w:footnoteReference w:id="552"/>
      </w:r>
      <w:r w:rsidRPr="00410378">
        <w:rPr>
          <w:rFonts w:ascii="Times New Roman" w:hAnsi="Times New Roman" w:cs="Times New Roman"/>
        </w:rPr>
        <w:t>.</w:t>
      </w:r>
      <w:r>
        <w:rPr>
          <w:rFonts w:ascii="Times New Roman" w:hAnsi="Times New Roman" w:cs="Times New Roman"/>
        </w:rPr>
        <w:t xml:space="preserve"> Sulla base di questo principio, la Qabbalah definisce il molteplice come semplice modificazione dell’essenza divina, che riassorbe in sé tutto ciò che è. A sua volta, lo spinozismo, che è erede della tradizione mistica ebraica, sostiene che </w:t>
      </w:r>
      <w:r w:rsidRPr="00CD4AF5">
        <w:rPr>
          <w:rFonts w:ascii="Times New Roman" w:hAnsi="Times New Roman" w:cs="Times New Roman"/>
        </w:rPr>
        <w:t>«</w:t>
      </w:r>
      <w:r w:rsidRPr="00CD4AF5">
        <w:rPr>
          <w:rFonts w:ascii="Times New Roman" w:hAnsi="Times New Roman" w:cs="Times New Roman"/>
          <w:lang w:val="de-DE"/>
        </w:rPr>
        <w:t>ausser Gott kann es keine Substanz geben noch concipiert werden</w:t>
      </w:r>
      <w:r w:rsidRPr="00CD4AF5">
        <w:rPr>
          <w:rFonts w:ascii="Times New Roman" w:hAnsi="Times New Roman" w:cs="Times New Roman"/>
        </w:rPr>
        <w:t>»</w:t>
      </w:r>
      <w:r w:rsidRPr="00CD4AF5">
        <w:rPr>
          <w:rStyle w:val="Rimandonotaapidipagina"/>
          <w:rFonts w:ascii="Times New Roman" w:hAnsi="Times New Roman" w:cs="Times New Roman"/>
        </w:rPr>
        <w:footnoteReference w:id="553"/>
      </w:r>
      <w:r w:rsidRPr="00CD4AF5">
        <w:rPr>
          <w:rFonts w:ascii="Times New Roman" w:hAnsi="Times New Roman" w:cs="Times New Roman"/>
        </w:rPr>
        <w:t>.</w:t>
      </w:r>
      <w:r>
        <w:rPr>
          <w:rFonts w:ascii="Times New Roman" w:hAnsi="Times New Roman" w:cs="Times New Roman"/>
        </w:rPr>
        <w:t xml:space="preserve"> </w:t>
      </w:r>
      <w:r w:rsidRPr="0036389C">
        <w:rPr>
          <w:rFonts w:ascii="Times New Roman" w:hAnsi="Times New Roman" w:cs="Times New Roman"/>
        </w:rPr>
        <w:t xml:space="preserve">Questa visione </w:t>
      </w:r>
      <w:r w:rsidRPr="0036389C">
        <w:rPr>
          <w:rFonts w:ascii="Times New Roman" w:hAnsi="Times New Roman" w:cs="Times New Roman"/>
          <w:i/>
        </w:rPr>
        <w:t>monistica</w:t>
      </w:r>
      <w:r w:rsidRPr="0036389C">
        <w:rPr>
          <w:rFonts w:ascii="Times New Roman" w:hAnsi="Times New Roman" w:cs="Times New Roman"/>
        </w:rPr>
        <w:t xml:space="preserve"> del cosmo, quale si riscontra nell’ontologia di Spinoza, trae origine da un’opera che, a detta di Wachter, avrebbe segnato profondamento il pensiero spinoziano:</w:t>
      </w:r>
    </w:p>
    <w:p w14:paraId="701A91C7" w14:textId="77777777" w:rsidR="001B7751" w:rsidRDefault="001B7751" w:rsidP="001B7751">
      <w:pPr>
        <w:spacing w:line="360" w:lineRule="auto"/>
        <w:ind w:firstLine="567"/>
        <w:jc w:val="both"/>
        <w:rPr>
          <w:rFonts w:ascii="Times New Roman" w:hAnsi="Times New Roman" w:cs="Times New Roman"/>
        </w:rPr>
      </w:pPr>
    </w:p>
    <w:p w14:paraId="46576425" w14:textId="77777777" w:rsidR="001B7751" w:rsidRPr="006B2A01" w:rsidRDefault="001B7751" w:rsidP="001B7751">
      <w:pPr>
        <w:spacing w:line="360" w:lineRule="auto"/>
        <w:ind w:left="993" w:firstLine="426"/>
        <w:jc w:val="both"/>
        <w:rPr>
          <w:rFonts w:ascii="Times New Roman" w:hAnsi="Times New Roman" w:cs="Times New Roman"/>
          <w:sz w:val="20"/>
          <w:szCs w:val="20"/>
        </w:rPr>
      </w:pPr>
      <w:r w:rsidRPr="006B2A01">
        <w:rPr>
          <w:rFonts w:ascii="Times New Roman" w:hAnsi="Times New Roman" w:cs="Times New Roman"/>
          <w:sz w:val="20"/>
          <w:szCs w:val="20"/>
        </w:rPr>
        <w:t>«</w:t>
      </w:r>
      <w:r w:rsidRPr="006B2A01">
        <w:rPr>
          <w:rFonts w:ascii="Times New Roman" w:hAnsi="Times New Roman" w:cs="Times New Roman"/>
          <w:sz w:val="20"/>
          <w:szCs w:val="20"/>
          <w:lang w:val="de-DE"/>
        </w:rPr>
        <w:t>Ich nenne euch unter vielen anderen die ich nennen könnte / den spanischen Rabbi / Abr. Cohen Irira, dessen Porta Coelorum oder Himmel Pforte ja so deutlich abgefasst ist / daβ mann eure Cabalistische Künsten und in denselben die Spinozistiche Gottlosigkeit (die ich im Anfang aus Anleitung Hrn. Burnets Anmerkung über der Jüden Cabala, bloss von ferne gerochen) hier mit Händen greiffen kann</w:t>
      </w:r>
      <w:r w:rsidRPr="006B2A01">
        <w:rPr>
          <w:rFonts w:ascii="Times New Roman" w:hAnsi="Times New Roman" w:cs="Times New Roman"/>
          <w:sz w:val="20"/>
          <w:szCs w:val="20"/>
        </w:rPr>
        <w:t>»</w:t>
      </w:r>
      <w:r w:rsidRPr="006B2A01">
        <w:rPr>
          <w:rStyle w:val="Rimandonotaapidipagina"/>
          <w:rFonts w:ascii="Times New Roman" w:hAnsi="Times New Roman" w:cs="Times New Roman"/>
          <w:sz w:val="20"/>
          <w:szCs w:val="20"/>
        </w:rPr>
        <w:footnoteReference w:id="554"/>
      </w:r>
      <w:r w:rsidRPr="006B2A01">
        <w:rPr>
          <w:rFonts w:ascii="Times New Roman" w:hAnsi="Times New Roman" w:cs="Times New Roman"/>
          <w:sz w:val="20"/>
          <w:szCs w:val="20"/>
        </w:rPr>
        <w:t>.</w:t>
      </w:r>
    </w:p>
    <w:p w14:paraId="21A9CC2A" w14:textId="77777777" w:rsidR="001B7751" w:rsidRPr="00D14BF6" w:rsidRDefault="001B7751" w:rsidP="001B7751">
      <w:pPr>
        <w:spacing w:line="360" w:lineRule="auto"/>
        <w:ind w:left="567" w:firstLine="567"/>
        <w:jc w:val="both"/>
        <w:rPr>
          <w:rFonts w:ascii="Times New Roman" w:hAnsi="Times New Roman" w:cs="Times New Roman"/>
        </w:rPr>
      </w:pPr>
    </w:p>
    <w:p w14:paraId="0A0A303E" w14:textId="0497B830" w:rsidR="001B7751" w:rsidRDefault="001B7751" w:rsidP="001B7751">
      <w:pPr>
        <w:spacing w:line="360" w:lineRule="auto"/>
        <w:ind w:firstLine="567"/>
        <w:jc w:val="both"/>
        <w:rPr>
          <w:rFonts w:ascii="Times New Roman" w:hAnsi="Times New Roman" w:cs="Times New Roman"/>
        </w:rPr>
      </w:pPr>
      <w:r>
        <w:rPr>
          <w:rFonts w:ascii="Times New Roman" w:hAnsi="Times New Roman" w:cs="Times New Roman"/>
        </w:rPr>
        <w:t xml:space="preserve">Secondo lo </w:t>
      </w:r>
      <w:r w:rsidR="00A76F84">
        <w:rPr>
          <w:rFonts w:ascii="Times New Roman" w:hAnsi="Times New Roman" w:cs="Times New Roman"/>
          <w:i/>
        </w:rPr>
        <w:t>Spinozismus in J</w:t>
      </w:r>
      <w:r w:rsidR="00A76F84">
        <w:rPr>
          <w:rFonts w:ascii="Times New Roman" w:eastAsia="Times New Roman" w:hAnsi="Times New Roman" w:cs="Times New Roman"/>
          <w:i/>
          <w:iCs/>
          <w:color w:val="222222"/>
          <w:shd w:val="clear" w:color="auto" w:fill="FFFFFF"/>
          <w:lang w:val="de-DE"/>
        </w:rPr>
        <w:t>ü</w:t>
      </w:r>
      <w:r w:rsidRPr="00CD4AF5">
        <w:rPr>
          <w:rFonts w:ascii="Times New Roman" w:hAnsi="Times New Roman" w:cs="Times New Roman"/>
          <w:i/>
        </w:rPr>
        <w:t>denthumb</w:t>
      </w:r>
      <w:r>
        <w:rPr>
          <w:rFonts w:ascii="Times New Roman" w:hAnsi="Times New Roman" w:cs="Times New Roman"/>
        </w:rPr>
        <w:t xml:space="preserve">, la </w:t>
      </w:r>
      <w:r w:rsidRPr="006A4A9C">
        <w:rPr>
          <w:rFonts w:ascii="Times New Roman" w:hAnsi="Times New Roman" w:cs="Times New Roman"/>
          <w:i/>
        </w:rPr>
        <w:t>Porta Coelorum</w:t>
      </w:r>
      <w:r>
        <w:rPr>
          <w:rFonts w:ascii="Times New Roman" w:hAnsi="Times New Roman" w:cs="Times New Roman"/>
        </w:rPr>
        <w:t xml:space="preserve">, che circola ad Amsterdam in spagnolo e poi in traduzione ebraica durante gli anni della formazione di Spinoza, sostenendo apertamente che </w:t>
      </w:r>
      <w:r w:rsidRPr="00CD4AF5">
        <w:rPr>
          <w:rFonts w:ascii="Times New Roman" w:hAnsi="Times New Roman" w:cs="Times New Roman"/>
        </w:rPr>
        <w:t>«Deum esse unum individum in omnibus, &amp; totum in singulis»</w:t>
      </w:r>
      <w:r w:rsidRPr="00CD4AF5">
        <w:rPr>
          <w:rStyle w:val="Rimandonotaapidipagina"/>
          <w:rFonts w:ascii="Times New Roman" w:hAnsi="Times New Roman" w:cs="Times New Roman"/>
        </w:rPr>
        <w:footnoteReference w:id="555"/>
      </w:r>
      <w:r w:rsidRPr="00CD4AF5">
        <w:rPr>
          <w:rFonts w:ascii="Times New Roman" w:hAnsi="Times New Roman" w:cs="Times New Roman"/>
        </w:rPr>
        <w:t>,</w:t>
      </w:r>
      <w:r>
        <w:rPr>
          <w:rFonts w:ascii="Times New Roman" w:hAnsi="Times New Roman" w:cs="Times New Roman"/>
        </w:rPr>
        <w:t xml:space="preserve"> rappresenta una fonte precipua dell’ontologia spinoziana. Riprendendo l’opera di Herrera, Spinoza sviluppa una concezione </w:t>
      </w:r>
      <w:r w:rsidRPr="00A64EEC">
        <w:rPr>
          <w:rFonts w:ascii="Times New Roman" w:hAnsi="Times New Roman" w:cs="Times New Roman"/>
          <w:i/>
        </w:rPr>
        <w:t>monistica</w:t>
      </w:r>
      <w:r>
        <w:rPr>
          <w:rFonts w:ascii="Times New Roman" w:hAnsi="Times New Roman" w:cs="Times New Roman"/>
        </w:rPr>
        <w:t xml:space="preserve"> del cosmo, </w:t>
      </w:r>
      <w:r w:rsidRPr="00CD4AF5">
        <w:rPr>
          <w:rFonts w:ascii="Times New Roman" w:hAnsi="Times New Roman" w:cs="Times New Roman"/>
        </w:rPr>
        <w:t>in cui Dio è «</w:t>
      </w:r>
      <w:r w:rsidRPr="00CD4AF5">
        <w:rPr>
          <w:rFonts w:ascii="Times New Roman" w:hAnsi="Times New Roman" w:cs="Times New Roman"/>
          <w:lang w:val="de-DE"/>
        </w:rPr>
        <w:t>aller Dingen inwendig bleibende (natürliche) nicht vorübergängliche Ursache</w:t>
      </w:r>
      <w:r w:rsidRPr="00CD4AF5">
        <w:rPr>
          <w:rFonts w:ascii="Times New Roman" w:hAnsi="Times New Roman" w:cs="Times New Roman"/>
        </w:rPr>
        <w:t>»</w:t>
      </w:r>
      <w:r w:rsidRPr="00CD4AF5">
        <w:rPr>
          <w:rStyle w:val="Rimandonotaapidipagina"/>
          <w:rFonts w:ascii="Times New Roman" w:hAnsi="Times New Roman" w:cs="Times New Roman"/>
        </w:rPr>
        <w:footnoteReference w:id="556"/>
      </w:r>
      <w:r w:rsidRPr="00CD4AF5">
        <w:rPr>
          <w:rFonts w:ascii="Times New Roman" w:hAnsi="Times New Roman" w:cs="Times New Roman"/>
        </w:rPr>
        <w:t>.</w:t>
      </w:r>
      <w:r>
        <w:rPr>
          <w:rFonts w:ascii="Times New Roman" w:hAnsi="Times New Roman" w:cs="Times New Roman"/>
        </w:rPr>
        <w:t xml:space="preserve"> Nei loro sistemi di pensiero, prosegue Wachter, Herrera e Spinoza esprimono, rinnovandola problematicamente, una forma radicale d’</w:t>
      </w:r>
      <w:r w:rsidRPr="00426376">
        <w:rPr>
          <w:rFonts w:ascii="Times New Roman" w:hAnsi="Times New Roman" w:cs="Times New Roman"/>
          <w:i/>
        </w:rPr>
        <w:t>eleatismo</w:t>
      </w:r>
      <w:r>
        <w:rPr>
          <w:rFonts w:ascii="Times New Roman" w:hAnsi="Times New Roman" w:cs="Times New Roman"/>
        </w:rPr>
        <w:t xml:space="preserve">: </w:t>
      </w:r>
    </w:p>
    <w:p w14:paraId="43E96ADA" w14:textId="77777777" w:rsidR="001B7751" w:rsidRDefault="001B7751" w:rsidP="001B7751">
      <w:pPr>
        <w:spacing w:line="360" w:lineRule="auto"/>
        <w:ind w:left="567" w:firstLine="567"/>
        <w:jc w:val="both"/>
        <w:rPr>
          <w:rFonts w:ascii="Times New Roman" w:hAnsi="Times New Roman" w:cs="Times New Roman"/>
        </w:rPr>
      </w:pPr>
    </w:p>
    <w:p w14:paraId="6CB50D1A" w14:textId="77777777" w:rsidR="001B7751" w:rsidRPr="006B2A01" w:rsidRDefault="001B7751" w:rsidP="001B7751">
      <w:pPr>
        <w:spacing w:line="360" w:lineRule="auto"/>
        <w:ind w:left="567" w:firstLine="567"/>
        <w:jc w:val="both"/>
        <w:rPr>
          <w:rFonts w:ascii="Times New Roman" w:hAnsi="Times New Roman" w:cs="Times New Roman"/>
          <w:sz w:val="20"/>
          <w:szCs w:val="20"/>
        </w:rPr>
      </w:pPr>
      <w:r>
        <w:rPr>
          <w:rFonts w:ascii="Times New Roman" w:hAnsi="Times New Roman" w:cs="Times New Roman"/>
          <w:sz w:val="20"/>
          <w:szCs w:val="20"/>
          <w:lang w:val="de-DE"/>
        </w:rPr>
        <w:t>«</w:t>
      </w:r>
      <w:r w:rsidRPr="006B2A01">
        <w:rPr>
          <w:rFonts w:ascii="Times New Roman" w:hAnsi="Times New Roman" w:cs="Times New Roman"/>
          <w:sz w:val="20"/>
          <w:szCs w:val="20"/>
          <w:lang w:val="de-DE"/>
        </w:rPr>
        <w:t>Denn wenn die Himmelspforte sagt Deum esse unum individum in omnibus, &amp; totum in singulis: Daß Gott ein unzertheiltes Eins in allen und ganz in jeden Dingen sey: Was ist das anders gesagt, als was die Eleatici, und die aus Sicilien sagen, daß alles Eines seye, und das alles was da ist eines und viel zugleich seye: Noch mehr kann auch solches erhellen, aus den Fundamenten der Cabalistischen Philosophie wie sie Henrico Moro zusammen gezogen worden […] in der 8. Thesi gesagt, daß in der Welt nichts weiteres vorhanden sey als das einige göttliche Wesen</w:t>
      </w:r>
      <w:r w:rsidRPr="006B2A01">
        <w:rPr>
          <w:rFonts w:ascii="Times New Roman" w:hAnsi="Times New Roman" w:cs="Times New Roman"/>
          <w:sz w:val="20"/>
          <w:szCs w:val="20"/>
        </w:rPr>
        <w:t>»</w:t>
      </w:r>
      <w:r w:rsidRPr="006B2A01">
        <w:rPr>
          <w:rStyle w:val="Rimandonotaapidipagina"/>
          <w:rFonts w:ascii="Times New Roman" w:hAnsi="Times New Roman" w:cs="Times New Roman"/>
          <w:sz w:val="20"/>
          <w:szCs w:val="20"/>
        </w:rPr>
        <w:footnoteReference w:id="557"/>
      </w:r>
      <w:r w:rsidRPr="006B2A01">
        <w:rPr>
          <w:rFonts w:ascii="Times New Roman" w:hAnsi="Times New Roman" w:cs="Times New Roman"/>
          <w:sz w:val="20"/>
          <w:szCs w:val="20"/>
        </w:rPr>
        <w:t>.</w:t>
      </w:r>
    </w:p>
    <w:p w14:paraId="78C48B76" w14:textId="77777777" w:rsidR="001B7751" w:rsidRPr="00426376" w:rsidRDefault="001B7751" w:rsidP="001B7751">
      <w:pPr>
        <w:spacing w:line="360" w:lineRule="auto"/>
        <w:ind w:left="708" w:firstLine="567"/>
        <w:jc w:val="both"/>
        <w:rPr>
          <w:rFonts w:ascii="Times New Roman" w:hAnsi="Times New Roman" w:cs="Times New Roman"/>
        </w:rPr>
      </w:pPr>
    </w:p>
    <w:p w14:paraId="27273929" w14:textId="77777777" w:rsidR="001B7751" w:rsidRDefault="001B7751" w:rsidP="001B7751">
      <w:pPr>
        <w:spacing w:line="360" w:lineRule="auto"/>
        <w:ind w:firstLine="567"/>
        <w:jc w:val="both"/>
        <w:rPr>
          <w:rFonts w:ascii="Times New Roman" w:hAnsi="Times New Roman" w:cs="Times New Roman"/>
        </w:rPr>
      </w:pPr>
      <w:r w:rsidRPr="00BE59D5">
        <w:rPr>
          <w:rFonts w:ascii="Times New Roman" w:hAnsi="Times New Roman" w:cs="Times New Roman"/>
        </w:rPr>
        <w:t xml:space="preserve">L’eleatismo, l’ottava e la dodicesima tesi della </w:t>
      </w:r>
      <w:r w:rsidRPr="00BE59D5">
        <w:rPr>
          <w:rFonts w:ascii="Times New Roman" w:hAnsi="Times New Roman" w:cs="Times New Roman"/>
          <w:i/>
        </w:rPr>
        <w:t>Cabbalae Aëto-Paedo-Melissae</w:t>
      </w:r>
      <w:r w:rsidRPr="00BE59D5">
        <w:rPr>
          <w:rFonts w:ascii="Times New Roman" w:hAnsi="Times New Roman" w:cs="Times New Roman"/>
        </w:rPr>
        <w:t xml:space="preserve"> di More costituiscono quei fondamenti teorici su cui poggiano la cosmologia cabbalistica e spinoziana, che affermano, ad un tempo, l’unità dell’intero e il determinarsi del divino nella molteplicità fenomenica. Tenuto fermo il principio portante della scuola eleatica, segue un cosmo </w:t>
      </w:r>
      <w:r w:rsidRPr="00BE59D5">
        <w:rPr>
          <w:rFonts w:ascii="Times New Roman" w:hAnsi="Times New Roman" w:cs="Times New Roman"/>
          <w:i/>
        </w:rPr>
        <w:t>unitario</w:t>
      </w:r>
      <w:r w:rsidRPr="00BE59D5">
        <w:rPr>
          <w:rFonts w:ascii="Times New Roman" w:hAnsi="Times New Roman" w:cs="Times New Roman"/>
        </w:rPr>
        <w:t>: uno e molto non sono determinazioni che si escludono vicendevolmente, ma aspetti di una totalità nella quale le differenze sono conservate e ricondotte ad unità. Il fatto che l’Essenza divina riunifichi in sé il molteplice determina l’essere uno di sostanza e mondo (inteso come molteplicità ontica):</w:t>
      </w:r>
    </w:p>
    <w:p w14:paraId="26C8A726" w14:textId="77777777" w:rsidR="001B7751" w:rsidRDefault="001B7751" w:rsidP="001B7751">
      <w:pPr>
        <w:spacing w:line="360" w:lineRule="auto"/>
        <w:ind w:left="708" w:firstLine="567"/>
        <w:jc w:val="both"/>
        <w:rPr>
          <w:rFonts w:ascii="Times New Roman" w:hAnsi="Times New Roman" w:cs="Times New Roman"/>
        </w:rPr>
      </w:pPr>
    </w:p>
    <w:p w14:paraId="7AC11AB1" w14:textId="77777777" w:rsidR="001B7751" w:rsidRPr="0044071C" w:rsidRDefault="001B7751" w:rsidP="001B7751">
      <w:pPr>
        <w:spacing w:line="360" w:lineRule="auto"/>
        <w:ind w:left="567" w:firstLine="567"/>
        <w:jc w:val="both"/>
        <w:rPr>
          <w:rFonts w:ascii="Times New Roman" w:hAnsi="Times New Roman" w:cs="Times New Roman"/>
          <w:sz w:val="20"/>
          <w:szCs w:val="20"/>
          <w:lang w:val="de-DE"/>
        </w:rPr>
      </w:pPr>
      <w:r w:rsidRPr="0044071C">
        <w:rPr>
          <w:rFonts w:ascii="Times New Roman" w:hAnsi="Times New Roman" w:cs="Times New Roman"/>
          <w:sz w:val="20"/>
          <w:szCs w:val="20"/>
          <w:lang w:val="de-DE"/>
        </w:rPr>
        <w:t>«Daß die Welt nichts von Gott unterschiedenes noch getrenntes seye, und das viele, welches wie alles nennen, eben das einige seye, welches ohne Vermehrung des Essenzen oder der Natur-Stoffen, die Welten selbst nach all ihren Theilen, Specien, und Individuen exhibiert, und allzeit einig und eines seyn muß»</w:t>
      </w:r>
      <w:r w:rsidRPr="0044071C">
        <w:rPr>
          <w:rStyle w:val="Rimandonotaapidipagina"/>
          <w:rFonts w:ascii="Times New Roman" w:hAnsi="Times New Roman" w:cs="Times New Roman"/>
          <w:sz w:val="20"/>
          <w:szCs w:val="20"/>
          <w:lang w:val="de-DE"/>
        </w:rPr>
        <w:footnoteReference w:id="558"/>
      </w:r>
      <w:r w:rsidRPr="0044071C">
        <w:rPr>
          <w:rFonts w:ascii="Times New Roman" w:hAnsi="Times New Roman" w:cs="Times New Roman"/>
          <w:sz w:val="20"/>
          <w:szCs w:val="20"/>
          <w:lang w:val="de-DE"/>
        </w:rPr>
        <w:t>.</w:t>
      </w:r>
    </w:p>
    <w:p w14:paraId="5D29F9DA" w14:textId="77777777" w:rsidR="001B7751" w:rsidRPr="001B4515" w:rsidRDefault="001B7751" w:rsidP="001B7751">
      <w:pPr>
        <w:spacing w:line="360" w:lineRule="auto"/>
        <w:ind w:left="1275" w:firstLine="567"/>
        <w:jc w:val="both"/>
        <w:rPr>
          <w:rFonts w:ascii="Times New Roman" w:hAnsi="Times New Roman" w:cs="Times New Roman"/>
        </w:rPr>
      </w:pPr>
    </w:p>
    <w:p w14:paraId="2E62FC49" w14:textId="0030E99C" w:rsidR="001B7751" w:rsidRPr="00EC5390" w:rsidRDefault="001B7751" w:rsidP="001B7751">
      <w:pPr>
        <w:spacing w:line="360" w:lineRule="auto"/>
        <w:ind w:firstLine="567"/>
        <w:jc w:val="both"/>
        <w:rPr>
          <w:rFonts w:ascii="Times New Roman" w:hAnsi="Times New Roman" w:cs="Times New Roman"/>
        </w:rPr>
      </w:pPr>
      <w:r>
        <w:rPr>
          <w:rFonts w:ascii="Times New Roman" w:hAnsi="Times New Roman" w:cs="Times New Roman"/>
        </w:rPr>
        <w:t xml:space="preserve">Per Wachter, il panteismo è professato tanto dalla </w:t>
      </w:r>
      <w:r w:rsidRPr="00DD4EB4">
        <w:rPr>
          <w:rFonts w:ascii="Times New Roman" w:hAnsi="Times New Roman" w:cs="Times New Roman"/>
          <w:i/>
          <w:lang w:val="de-DE"/>
        </w:rPr>
        <w:t>Himmelspforte</w:t>
      </w:r>
      <w:r>
        <w:rPr>
          <w:rFonts w:ascii="Times New Roman" w:hAnsi="Times New Roman" w:cs="Times New Roman"/>
        </w:rPr>
        <w:t xml:space="preserve">, che </w:t>
      </w:r>
      <w:r w:rsidRPr="00A64EEC">
        <w:rPr>
          <w:rFonts w:ascii="Times New Roman" w:hAnsi="Times New Roman" w:cs="Times New Roman"/>
        </w:rPr>
        <w:t>«</w:t>
      </w:r>
      <w:r w:rsidRPr="00A64EEC">
        <w:rPr>
          <w:rFonts w:ascii="Times New Roman" w:hAnsi="Times New Roman" w:cs="Times New Roman"/>
          <w:lang w:val="de-DE"/>
        </w:rPr>
        <w:t>die Welt, Natur und Kreatur von Gott nicht weiter unterscheidet</w:t>
      </w:r>
      <w:r w:rsidRPr="00A64EEC">
        <w:rPr>
          <w:rFonts w:ascii="Times New Roman" w:hAnsi="Times New Roman" w:cs="Times New Roman"/>
        </w:rPr>
        <w:t>»</w:t>
      </w:r>
      <w:r w:rsidRPr="00A64EEC">
        <w:rPr>
          <w:rStyle w:val="Rimandonotaapidipagina"/>
          <w:rFonts w:ascii="Times New Roman" w:hAnsi="Times New Roman" w:cs="Times New Roman"/>
        </w:rPr>
        <w:footnoteReference w:id="559"/>
      </w:r>
      <w:r w:rsidRPr="00A64EEC">
        <w:rPr>
          <w:rFonts w:ascii="Times New Roman" w:hAnsi="Times New Roman" w:cs="Times New Roman"/>
        </w:rPr>
        <w:t>,</w:t>
      </w:r>
      <w:r>
        <w:rPr>
          <w:rFonts w:ascii="Times New Roman" w:hAnsi="Times New Roman" w:cs="Times New Roman"/>
        </w:rPr>
        <w:t xml:space="preserve"> quanto dal </w:t>
      </w:r>
      <w:r w:rsidRPr="00DD4EB4">
        <w:rPr>
          <w:rFonts w:ascii="Times New Roman" w:hAnsi="Times New Roman" w:cs="Times New Roman"/>
          <w:i/>
        </w:rPr>
        <w:t xml:space="preserve">De Deo </w:t>
      </w:r>
      <w:r>
        <w:rPr>
          <w:rFonts w:ascii="Times New Roman" w:hAnsi="Times New Roman" w:cs="Times New Roman"/>
        </w:rPr>
        <w:t xml:space="preserve">di Spinoza, secondo cui </w:t>
      </w:r>
      <w:r w:rsidRPr="00A64EEC">
        <w:rPr>
          <w:rFonts w:ascii="Times New Roman" w:hAnsi="Times New Roman" w:cs="Times New Roman"/>
        </w:rPr>
        <w:t>«</w:t>
      </w:r>
      <w:r w:rsidRPr="00A64EEC">
        <w:rPr>
          <w:rFonts w:ascii="Times New Roman" w:hAnsi="Times New Roman" w:cs="Times New Roman"/>
          <w:lang w:val="de-DE"/>
        </w:rPr>
        <w:t>alles was da ist, ist in Gott, und ohne Gott zu seyn, kann nichts concepiert werden</w:t>
      </w:r>
      <w:r w:rsidRPr="00A64EEC">
        <w:rPr>
          <w:rFonts w:ascii="Times New Roman" w:hAnsi="Times New Roman" w:cs="Times New Roman"/>
        </w:rPr>
        <w:t>»</w:t>
      </w:r>
      <w:r w:rsidRPr="00A64EEC">
        <w:rPr>
          <w:rStyle w:val="Rimandonotaapidipagina"/>
          <w:rFonts w:ascii="Times New Roman" w:hAnsi="Times New Roman" w:cs="Times New Roman"/>
          <w:lang w:val="de-DE"/>
        </w:rPr>
        <w:footnoteReference w:id="560"/>
      </w:r>
      <w:r w:rsidRPr="00A64EEC">
        <w:rPr>
          <w:rFonts w:ascii="Times New Roman" w:hAnsi="Times New Roman" w:cs="Times New Roman"/>
          <w:lang w:val="de-DE"/>
        </w:rPr>
        <w:t>.</w:t>
      </w:r>
      <w:r>
        <w:rPr>
          <w:rFonts w:ascii="Times New Roman" w:hAnsi="Times New Roman" w:cs="Times New Roman"/>
          <w:lang w:val="de-DE"/>
        </w:rPr>
        <w:t xml:space="preserve"> </w:t>
      </w:r>
      <w:r w:rsidRPr="000D53AB">
        <w:rPr>
          <w:rFonts w:ascii="Times New Roman" w:hAnsi="Times New Roman" w:cs="Times New Roman"/>
        </w:rPr>
        <w:t>Spinoza può sostenere che Dio è causa di tutte le cose e che tutte le cose sono nell’unità della sostanza</w:t>
      </w:r>
      <w:r>
        <w:rPr>
          <w:rFonts w:ascii="Times New Roman" w:hAnsi="Times New Roman" w:cs="Times New Roman"/>
        </w:rPr>
        <w:t xml:space="preserve"> </w:t>
      </w:r>
      <w:r w:rsidRPr="00256A01">
        <w:rPr>
          <w:rFonts w:ascii="Times New Roman" w:hAnsi="Times New Roman" w:cs="Times New Roman"/>
        </w:rPr>
        <w:t>per il fatto che l’estensione è uno</w:t>
      </w:r>
      <w:r w:rsidRPr="000D53AB">
        <w:rPr>
          <w:rFonts w:ascii="Times New Roman" w:hAnsi="Times New Roman" w:cs="Times New Roman"/>
        </w:rPr>
        <w:t xml:space="preserve"> degli infiniti attributi dell’essenza divina. Non soltanto </w:t>
      </w:r>
      <w:r w:rsidRPr="000D53AB">
        <w:rPr>
          <w:rFonts w:ascii="Times New Roman" w:hAnsi="Times New Roman" w:cs="Times New Roman"/>
          <w:i/>
        </w:rPr>
        <w:t>idealmente</w:t>
      </w:r>
      <w:r w:rsidRPr="000D53AB">
        <w:rPr>
          <w:rFonts w:ascii="Times New Roman" w:hAnsi="Times New Roman" w:cs="Times New Roman"/>
        </w:rPr>
        <w:t xml:space="preserve"> (secondo l’attributo del pensiero), ma anche e soprattutto </w:t>
      </w:r>
      <w:r w:rsidRPr="000D53AB">
        <w:rPr>
          <w:rFonts w:ascii="Times New Roman" w:hAnsi="Times New Roman" w:cs="Times New Roman"/>
          <w:i/>
        </w:rPr>
        <w:t>realmente</w:t>
      </w:r>
      <w:r>
        <w:rPr>
          <w:rFonts w:ascii="Times New Roman" w:hAnsi="Times New Roman" w:cs="Times New Roman"/>
        </w:rPr>
        <w:t>, Dio è causa di tutto ciò che è, poiché l’</w:t>
      </w:r>
      <w:r>
        <w:rPr>
          <w:rFonts w:ascii="Times New Roman" w:hAnsi="Times New Roman" w:cs="Times New Roman"/>
          <w:i/>
        </w:rPr>
        <w:t>estensione</w:t>
      </w:r>
      <w:r>
        <w:rPr>
          <w:rFonts w:ascii="Times New Roman" w:hAnsi="Times New Roman" w:cs="Times New Roman"/>
        </w:rPr>
        <w:t xml:space="preserve"> esprime, concretizzandola, l’essenza della sostanza. Il mondo non si </w:t>
      </w:r>
      <w:r w:rsidRPr="00A64EEC">
        <w:rPr>
          <w:rFonts w:ascii="Times New Roman" w:hAnsi="Times New Roman" w:cs="Times New Roman"/>
        </w:rPr>
        <w:t>distingue dalla sostanza proprio perché</w:t>
      </w:r>
      <w:r>
        <w:rPr>
          <w:rFonts w:ascii="Times New Roman" w:hAnsi="Times New Roman" w:cs="Times New Roman"/>
        </w:rPr>
        <w:t xml:space="preserve"> </w:t>
      </w:r>
      <w:r w:rsidRPr="00A64EEC">
        <w:rPr>
          <w:rFonts w:ascii="Times New Roman" w:hAnsi="Times New Roman" w:cs="Times New Roman"/>
        </w:rPr>
        <w:t>«</w:t>
      </w:r>
      <w:r w:rsidRPr="00A64EEC">
        <w:rPr>
          <w:rFonts w:ascii="Times New Roman" w:hAnsi="Times New Roman" w:cs="Times New Roman"/>
          <w:lang w:val="de-DE"/>
        </w:rPr>
        <w:t>die Ausdehnung ist ein Attribut Gottes. Es ist nur eine einige Substanz in der Welt</w:t>
      </w:r>
      <w:r w:rsidRPr="00A64EEC">
        <w:rPr>
          <w:rFonts w:ascii="Times New Roman" w:hAnsi="Times New Roman" w:cs="Times New Roman"/>
          <w:sz w:val="20"/>
          <w:szCs w:val="20"/>
        </w:rPr>
        <w:t>»</w:t>
      </w:r>
      <w:r w:rsidRPr="00A64EEC">
        <w:rPr>
          <w:rStyle w:val="Rimandonotaapidipagina"/>
          <w:rFonts w:ascii="Times New Roman" w:hAnsi="Times New Roman" w:cs="Times New Roman"/>
          <w:sz w:val="20"/>
          <w:szCs w:val="20"/>
        </w:rPr>
        <w:footnoteReference w:id="561"/>
      </w:r>
      <w:r w:rsidRPr="00A64EEC">
        <w:rPr>
          <w:rFonts w:ascii="Times New Roman" w:hAnsi="Times New Roman" w:cs="Times New Roman"/>
          <w:sz w:val="20"/>
          <w:szCs w:val="20"/>
        </w:rPr>
        <w:t>.</w:t>
      </w:r>
      <w:r>
        <w:rPr>
          <w:rFonts w:ascii="Times New Roman" w:hAnsi="Times New Roman" w:cs="Times New Roman"/>
          <w:sz w:val="20"/>
          <w:szCs w:val="20"/>
        </w:rPr>
        <w:t xml:space="preserve"> </w:t>
      </w:r>
      <w:r>
        <w:rPr>
          <w:rFonts w:ascii="Times New Roman" w:hAnsi="Times New Roman" w:cs="Times New Roman"/>
        </w:rPr>
        <w:t>Anche in questo caso, Wachter ritiene che l’</w:t>
      </w:r>
      <w:r w:rsidRPr="00EC5390">
        <w:rPr>
          <w:rFonts w:ascii="Times New Roman" w:hAnsi="Times New Roman" w:cs="Times New Roman"/>
          <w:i/>
        </w:rPr>
        <w:t>estendersi</w:t>
      </w:r>
      <w:r>
        <w:rPr>
          <w:rFonts w:ascii="Times New Roman" w:hAnsi="Times New Roman" w:cs="Times New Roman"/>
        </w:rPr>
        <w:t xml:space="preserve"> di Dio nella molteplicità delle sue determinazioni sia un aspetto teorico dello spinozismo mutuato dal misticismo ebraico. </w:t>
      </w:r>
      <w:r w:rsidRPr="00E61CB7">
        <w:rPr>
          <w:rFonts w:ascii="Times New Roman" w:hAnsi="Times New Roman" w:cs="Times New Roman"/>
        </w:rPr>
        <w:t xml:space="preserve">Nello specifico, dalla teoria lurianica dello </w:t>
      </w:r>
      <w:r w:rsidRPr="00E61CB7">
        <w:rPr>
          <w:rFonts w:ascii="Times New Roman" w:hAnsi="Times New Roman" w:cs="Times New Roman"/>
          <w:i/>
        </w:rPr>
        <w:t>tzimtzum</w:t>
      </w:r>
      <w:r w:rsidRPr="00E61CB7">
        <w:rPr>
          <w:rStyle w:val="Rimandonotaapidipagina"/>
          <w:rFonts w:ascii="Times New Roman" w:hAnsi="Times New Roman" w:cs="Times New Roman"/>
        </w:rPr>
        <w:footnoteReference w:id="562"/>
      </w:r>
      <w:r w:rsidRPr="00E61CB7">
        <w:rPr>
          <w:rFonts w:ascii="Times New Roman" w:hAnsi="Times New Roman" w:cs="Times New Roman"/>
        </w:rPr>
        <w:t xml:space="preserve">, che </w:t>
      </w:r>
      <w:r w:rsidR="00A61804" w:rsidRPr="00E61CB7">
        <w:rPr>
          <w:rFonts w:ascii="Times New Roman" w:hAnsi="Times New Roman" w:cs="Times New Roman"/>
        </w:rPr>
        <w:t xml:space="preserve">attribuisce </w:t>
      </w:r>
      <w:r w:rsidRPr="00E61CB7">
        <w:rPr>
          <w:rFonts w:ascii="Times New Roman" w:hAnsi="Times New Roman" w:cs="Times New Roman"/>
        </w:rPr>
        <w:t xml:space="preserve">all’infinito, alla luce originaria, </w:t>
      </w:r>
      <w:r w:rsidR="00A61804" w:rsidRPr="00E61CB7">
        <w:rPr>
          <w:rFonts w:ascii="Times New Roman" w:hAnsi="Times New Roman" w:cs="Times New Roman"/>
        </w:rPr>
        <w:t xml:space="preserve">natura estesa e </w:t>
      </w:r>
      <w:r w:rsidRPr="00E61CB7">
        <w:rPr>
          <w:rFonts w:ascii="Times New Roman" w:hAnsi="Times New Roman" w:cs="Times New Roman"/>
        </w:rPr>
        <w:t xml:space="preserve">la capacità di </w:t>
      </w:r>
      <w:r w:rsidRPr="00E61CB7">
        <w:rPr>
          <w:rFonts w:ascii="Times New Roman" w:hAnsi="Times New Roman" w:cs="Times New Roman"/>
          <w:i/>
        </w:rPr>
        <w:t xml:space="preserve">espandersi </w:t>
      </w:r>
      <w:r w:rsidR="00E61CB7" w:rsidRPr="00E61CB7">
        <w:rPr>
          <w:rFonts w:ascii="Times New Roman" w:hAnsi="Times New Roman" w:cs="Times New Roman"/>
        </w:rPr>
        <w:t>nello spazio e</w:t>
      </w:r>
      <w:r w:rsidR="00A61804" w:rsidRPr="00E61CB7">
        <w:rPr>
          <w:rFonts w:ascii="Times New Roman" w:hAnsi="Times New Roman" w:cs="Times New Roman"/>
        </w:rPr>
        <w:t xml:space="preserve"> </w:t>
      </w:r>
      <w:r w:rsidR="00E61CB7" w:rsidRPr="00E61CB7">
        <w:rPr>
          <w:rFonts w:ascii="Times New Roman" w:hAnsi="Times New Roman" w:cs="Times New Roman"/>
          <w:i/>
        </w:rPr>
        <w:t>concentrars</w:t>
      </w:r>
      <w:r w:rsidR="00A61804" w:rsidRPr="00E61CB7">
        <w:rPr>
          <w:rFonts w:ascii="Times New Roman" w:hAnsi="Times New Roman" w:cs="Times New Roman"/>
          <w:i/>
        </w:rPr>
        <w:t>i</w:t>
      </w:r>
      <w:r w:rsidRPr="00E61CB7">
        <w:rPr>
          <w:rFonts w:ascii="Times New Roman" w:hAnsi="Times New Roman" w:cs="Times New Roman"/>
          <w:i/>
        </w:rPr>
        <w:t xml:space="preserve"> </w:t>
      </w:r>
      <w:r w:rsidRPr="00E61CB7">
        <w:rPr>
          <w:rFonts w:ascii="Times New Roman" w:hAnsi="Times New Roman" w:cs="Times New Roman"/>
        </w:rPr>
        <w:t>nelle</w:t>
      </w:r>
      <w:r w:rsidR="00E61CB7">
        <w:rPr>
          <w:rFonts w:ascii="Times New Roman" w:hAnsi="Times New Roman" w:cs="Times New Roman"/>
        </w:rPr>
        <w:t xml:space="preserve"> serie discendente delle sue </w:t>
      </w:r>
      <w:r w:rsidRPr="00E61CB7">
        <w:rPr>
          <w:rFonts w:ascii="Times New Roman" w:hAnsi="Times New Roman" w:cs="Times New Roman"/>
        </w:rPr>
        <w:t>figurazioni:</w:t>
      </w:r>
    </w:p>
    <w:p w14:paraId="26753910" w14:textId="77777777" w:rsidR="001B7751" w:rsidRPr="00927C6B" w:rsidRDefault="001B7751" w:rsidP="001B7751">
      <w:pPr>
        <w:spacing w:line="360" w:lineRule="auto"/>
        <w:ind w:left="708" w:firstLine="567"/>
        <w:jc w:val="both"/>
        <w:rPr>
          <w:rFonts w:ascii="Times New Roman" w:hAnsi="Times New Roman" w:cs="Times New Roman"/>
        </w:rPr>
      </w:pPr>
    </w:p>
    <w:p w14:paraId="7A1AEBA8" w14:textId="77777777" w:rsidR="001B7751" w:rsidRPr="0044071C" w:rsidRDefault="001B7751" w:rsidP="001B7751">
      <w:pPr>
        <w:spacing w:line="360" w:lineRule="auto"/>
        <w:ind w:left="708" w:firstLine="567"/>
        <w:jc w:val="both"/>
        <w:rPr>
          <w:rFonts w:ascii="Times New Roman" w:hAnsi="Times New Roman" w:cs="Times New Roman"/>
          <w:sz w:val="20"/>
          <w:szCs w:val="20"/>
          <w:lang w:val="de-DE"/>
        </w:rPr>
      </w:pPr>
      <w:r w:rsidRPr="0044071C">
        <w:rPr>
          <w:rFonts w:ascii="Times New Roman" w:hAnsi="Times New Roman" w:cs="Times New Roman"/>
          <w:sz w:val="20"/>
          <w:szCs w:val="20"/>
          <w:lang w:val="de-DE"/>
        </w:rPr>
        <w:t>«</w:t>
      </w:r>
      <w:r>
        <w:rPr>
          <w:rFonts w:ascii="Times New Roman" w:hAnsi="Times New Roman" w:cs="Times New Roman"/>
          <w:sz w:val="20"/>
          <w:szCs w:val="20"/>
          <w:lang w:val="de-DE"/>
        </w:rPr>
        <w:t>Daß der W</w:t>
      </w:r>
      <w:r w:rsidRPr="0044071C">
        <w:rPr>
          <w:rFonts w:ascii="Times New Roman" w:hAnsi="Times New Roman" w:cs="Times New Roman"/>
          <w:sz w:val="20"/>
          <w:szCs w:val="20"/>
          <w:lang w:val="de-DE"/>
        </w:rPr>
        <w:t>e</w:t>
      </w:r>
      <w:r>
        <w:rPr>
          <w:rFonts w:ascii="Times New Roman" w:hAnsi="Times New Roman" w:cs="Times New Roman"/>
          <w:sz w:val="20"/>
          <w:szCs w:val="20"/>
          <w:lang w:val="de-DE"/>
        </w:rPr>
        <w:t>l</w:t>
      </w:r>
      <w:r w:rsidRPr="0044071C">
        <w:rPr>
          <w:rFonts w:ascii="Times New Roman" w:hAnsi="Times New Roman" w:cs="Times New Roman"/>
          <w:sz w:val="20"/>
          <w:szCs w:val="20"/>
          <w:lang w:val="de-DE"/>
        </w:rPr>
        <w:t>t Schöpffung geschehn seye, durch die Ausfaltung und Ausdehnung Gottes, der sich in sich selbst (in seinem Göttlichen Expansion) und durch sich selbst (durch seine eigene Strahlen)</w:t>
      </w:r>
      <w:r>
        <w:rPr>
          <w:rFonts w:ascii="Times New Roman" w:hAnsi="Times New Roman" w:cs="Times New Roman"/>
          <w:sz w:val="20"/>
          <w:szCs w:val="20"/>
          <w:lang w:val="de-DE"/>
        </w:rPr>
        <w:t xml:space="preserve"> </w:t>
      </w:r>
      <w:r w:rsidRPr="0044071C">
        <w:rPr>
          <w:rFonts w:ascii="Times New Roman" w:hAnsi="Times New Roman" w:cs="Times New Roman"/>
          <w:sz w:val="20"/>
          <w:szCs w:val="20"/>
          <w:lang w:val="de-DE"/>
        </w:rPr>
        <w:t>von oben biß unten auf mancherley weise vermischet und solcher Gestalt mancherley Sorten der Wesen hervorbringet. Dem ist es nicht zuwieder, daß die Cabala anderwerts lehret, daß die Welt durch Zusammenziehung Ensophs geschaffen sey»</w:t>
      </w:r>
      <w:r w:rsidRPr="0044071C">
        <w:rPr>
          <w:rStyle w:val="Rimandonotaapidipagina"/>
          <w:rFonts w:ascii="Times New Roman" w:hAnsi="Times New Roman" w:cs="Times New Roman"/>
          <w:sz w:val="20"/>
          <w:szCs w:val="20"/>
          <w:lang w:val="de-DE"/>
        </w:rPr>
        <w:footnoteReference w:id="563"/>
      </w:r>
      <w:r w:rsidRPr="0044071C">
        <w:rPr>
          <w:rFonts w:ascii="Times New Roman" w:hAnsi="Times New Roman" w:cs="Times New Roman"/>
          <w:sz w:val="20"/>
          <w:szCs w:val="20"/>
          <w:lang w:val="de-DE"/>
        </w:rPr>
        <w:t>.</w:t>
      </w:r>
    </w:p>
    <w:p w14:paraId="75CF8BDB" w14:textId="77777777" w:rsidR="001B7751" w:rsidRPr="00927C6B" w:rsidRDefault="001B7751" w:rsidP="001B7751">
      <w:pPr>
        <w:spacing w:line="360" w:lineRule="auto"/>
        <w:ind w:left="708" w:firstLine="567"/>
        <w:jc w:val="both"/>
        <w:rPr>
          <w:rFonts w:ascii="Times New Roman" w:hAnsi="Times New Roman" w:cs="Times New Roman"/>
        </w:rPr>
      </w:pPr>
    </w:p>
    <w:p w14:paraId="36354C44" w14:textId="245E323A" w:rsidR="001B7751" w:rsidRDefault="001B7751" w:rsidP="001B7751">
      <w:pPr>
        <w:spacing w:line="360" w:lineRule="auto"/>
        <w:ind w:firstLine="567"/>
        <w:jc w:val="both"/>
        <w:rPr>
          <w:rFonts w:ascii="Times New Roman" w:hAnsi="Times New Roman" w:cs="Times New Roman"/>
        </w:rPr>
      </w:pPr>
      <w:r w:rsidRPr="00A64EEC">
        <w:rPr>
          <w:rFonts w:ascii="Times New Roman" w:hAnsi="Times New Roman" w:cs="Times New Roman"/>
        </w:rPr>
        <w:t xml:space="preserve">Lo spinozismo è dunque una forma radicale di divinizzazione del mondo, che affonda le sue radici nella Qabbalah ebraica, soprattutto dalla </w:t>
      </w:r>
      <w:r w:rsidRPr="00A64EEC">
        <w:rPr>
          <w:rFonts w:ascii="Times New Roman" w:hAnsi="Times New Roman" w:cs="Times New Roman"/>
          <w:i/>
        </w:rPr>
        <w:t>Porta Coelorum</w:t>
      </w:r>
      <w:r w:rsidRPr="00A64EEC">
        <w:rPr>
          <w:rFonts w:ascii="Times New Roman" w:hAnsi="Times New Roman" w:cs="Times New Roman"/>
        </w:rPr>
        <w:t xml:space="preserve"> di Abraham Cohen de Herrera. Decidendosi a favore dell’immanenza dell’infinito nel finito, Herrera ha fornito le basi teoriche del </w:t>
      </w:r>
      <w:r w:rsidRPr="00A64EEC">
        <w:rPr>
          <w:rFonts w:ascii="Times New Roman" w:hAnsi="Times New Roman" w:cs="Times New Roman"/>
          <w:i/>
        </w:rPr>
        <w:t>De Deo</w:t>
      </w:r>
      <w:r w:rsidRPr="00A64EEC">
        <w:rPr>
          <w:rFonts w:ascii="Times New Roman" w:hAnsi="Times New Roman" w:cs="Times New Roman"/>
        </w:rPr>
        <w:t xml:space="preserve"> spinoziano, che professa la presenza del divino in ciò che deriva dalla necessaria esplicazione della sua natura. Come abbiamo visto, Wachter ritiene che il panteismo cabbalistico e spinoziano si lascino spiegare dall’assunzione e dallo sviluppo dell’ottava tesi della </w:t>
      </w:r>
      <w:r w:rsidRPr="00A64EEC">
        <w:rPr>
          <w:rFonts w:ascii="Times New Roman" w:hAnsi="Times New Roman" w:cs="Times New Roman"/>
          <w:i/>
        </w:rPr>
        <w:t>Cabbalae Aëto-Paedo-Melissae</w:t>
      </w:r>
      <w:r w:rsidRPr="00A64EEC">
        <w:rPr>
          <w:rFonts w:ascii="Times New Roman" w:hAnsi="Times New Roman" w:cs="Times New Roman"/>
        </w:rPr>
        <w:t>, che pensa la molteplicità a partire e all’interno dell’unità dell’Essenza divina.</w:t>
      </w:r>
      <w:r>
        <w:rPr>
          <w:rFonts w:ascii="Times New Roman" w:hAnsi="Times New Roman" w:cs="Times New Roman"/>
        </w:rPr>
        <w:t xml:space="preserve"> Al contrario delle </w:t>
      </w:r>
      <w:r w:rsidRPr="00A64EEC">
        <w:rPr>
          <w:rFonts w:ascii="Times New Roman" w:hAnsi="Times New Roman" w:cs="Times New Roman"/>
        </w:rPr>
        <w:t xml:space="preserve">sedici tesi di More, lo </w:t>
      </w:r>
      <w:r w:rsidR="00A76F84">
        <w:rPr>
          <w:rFonts w:ascii="Times New Roman" w:hAnsi="Times New Roman" w:cs="Times New Roman"/>
          <w:i/>
        </w:rPr>
        <w:t>Spinozismus in J</w:t>
      </w:r>
      <w:r w:rsidR="00A76F84">
        <w:rPr>
          <w:rFonts w:ascii="Times New Roman" w:eastAsia="Times New Roman" w:hAnsi="Times New Roman" w:cs="Times New Roman"/>
          <w:i/>
          <w:iCs/>
          <w:color w:val="222222"/>
          <w:shd w:val="clear" w:color="auto" w:fill="FFFFFF"/>
          <w:lang w:val="de-DE"/>
        </w:rPr>
        <w:t>ü</w:t>
      </w:r>
      <w:r w:rsidRPr="00A64EEC">
        <w:rPr>
          <w:rFonts w:ascii="Times New Roman" w:hAnsi="Times New Roman" w:cs="Times New Roman"/>
          <w:i/>
        </w:rPr>
        <w:t xml:space="preserve">denthumb </w:t>
      </w:r>
      <w:r w:rsidRPr="00A64EEC">
        <w:rPr>
          <w:rFonts w:ascii="Times New Roman" w:hAnsi="Times New Roman" w:cs="Times New Roman"/>
        </w:rPr>
        <w:t>non considera la contrazione e l’espansione dell’Essenza divina in virtù della natura spirituale della sostanza. Tanto nella sua estensione iniziale, quanto nell’estensione conseguente alla sua contrazione, la luce si lega indissolubilmente alla materia, che è determinazione dell’En-sof cabbalistico e della sostanza spinoziana. Che l’</w:t>
      </w:r>
      <w:r w:rsidRPr="00A64EEC">
        <w:rPr>
          <w:rFonts w:ascii="Times New Roman" w:hAnsi="Times New Roman" w:cs="Times New Roman"/>
          <w:i/>
        </w:rPr>
        <w:t>estensione</w:t>
      </w:r>
      <w:r w:rsidRPr="00A64EEC">
        <w:rPr>
          <w:rFonts w:ascii="Times New Roman" w:hAnsi="Times New Roman" w:cs="Times New Roman"/>
        </w:rPr>
        <w:t xml:space="preserve"> sia attributo della divinità determina la natura materialistica, non spiritualistica, del panteismo di matrice ebraica. </w:t>
      </w:r>
      <w:r w:rsidRPr="00EA6A84">
        <w:rPr>
          <w:rFonts w:ascii="Times New Roman" w:hAnsi="Times New Roman" w:cs="Times New Roman"/>
        </w:rPr>
        <w:t>Scartando e combinando certe tesi di Henry More con nozioni specifiche del trattato di Abraham Cohen de Herrera,</w:t>
      </w:r>
      <w:r w:rsidRPr="00A64EEC">
        <w:rPr>
          <w:rFonts w:ascii="Times New Roman" w:hAnsi="Times New Roman" w:cs="Times New Roman"/>
        </w:rPr>
        <w:t xml:space="preserve"> lo </w:t>
      </w:r>
      <w:r w:rsidR="00A76F84">
        <w:rPr>
          <w:rFonts w:ascii="Times New Roman" w:hAnsi="Times New Roman" w:cs="Times New Roman"/>
          <w:i/>
        </w:rPr>
        <w:t>Spinozismus in J</w:t>
      </w:r>
      <w:r w:rsidR="00A76F84">
        <w:rPr>
          <w:rFonts w:ascii="Times New Roman" w:eastAsia="Times New Roman" w:hAnsi="Times New Roman" w:cs="Times New Roman"/>
          <w:i/>
          <w:iCs/>
          <w:color w:val="222222"/>
          <w:shd w:val="clear" w:color="auto" w:fill="FFFFFF"/>
          <w:lang w:val="de-DE"/>
        </w:rPr>
        <w:t>ü</w:t>
      </w:r>
      <w:r w:rsidRPr="00A64EEC">
        <w:rPr>
          <w:rFonts w:ascii="Times New Roman" w:hAnsi="Times New Roman" w:cs="Times New Roman"/>
          <w:i/>
        </w:rPr>
        <w:t xml:space="preserve">denthumb </w:t>
      </w:r>
      <w:r w:rsidRPr="00A64EEC">
        <w:rPr>
          <w:rFonts w:ascii="Times New Roman" w:hAnsi="Times New Roman" w:cs="Times New Roman"/>
        </w:rPr>
        <w:t xml:space="preserve">fornisce un’immagine precisa del pensiero ebraico (cabbalistico e spinoziano): dall’assunzione del principio </w:t>
      </w:r>
      <w:r w:rsidRPr="00A64EEC">
        <w:rPr>
          <w:rFonts w:ascii="Times New Roman" w:hAnsi="Times New Roman" w:cs="Times New Roman"/>
          <w:i/>
        </w:rPr>
        <w:t xml:space="preserve">ex nihilo nihil fit, </w:t>
      </w:r>
      <w:r w:rsidRPr="00A64EEC">
        <w:rPr>
          <w:rFonts w:ascii="Times New Roman" w:hAnsi="Times New Roman" w:cs="Times New Roman"/>
        </w:rPr>
        <w:t xml:space="preserve">segue una concezione </w:t>
      </w:r>
      <w:r w:rsidRPr="00A64EEC">
        <w:rPr>
          <w:rFonts w:ascii="Times New Roman" w:hAnsi="Times New Roman" w:cs="Times New Roman"/>
          <w:i/>
        </w:rPr>
        <w:t>monistica</w:t>
      </w:r>
      <w:r w:rsidRPr="00A64EEC">
        <w:rPr>
          <w:rFonts w:ascii="Times New Roman" w:hAnsi="Times New Roman" w:cs="Times New Roman"/>
        </w:rPr>
        <w:t xml:space="preserve"> e </w:t>
      </w:r>
      <w:r w:rsidRPr="00A64EEC">
        <w:rPr>
          <w:rFonts w:ascii="Times New Roman" w:hAnsi="Times New Roman" w:cs="Times New Roman"/>
          <w:i/>
        </w:rPr>
        <w:t>materialistica</w:t>
      </w:r>
      <w:r w:rsidRPr="00A64EEC">
        <w:rPr>
          <w:rFonts w:ascii="Times New Roman" w:hAnsi="Times New Roman" w:cs="Times New Roman"/>
        </w:rPr>
        <w:t xml:space="preserve"> della realtà, in cui la molteplicità ontica è ricondotta nell’unità dell’Essenza divina che è, a sua volta, immanente e trasposta nelle proprie determinazioni.</w:t>
      </w:r>
    </w:p>
    <w:p w14:paraId="2639A3D3" w14:textId="095F39A7" w:rsidR="0085465F" w:rsidRDefault="001B7751" w:rsidP="001B7751">
      <w:pPr>
        <w:spacing w:line="360" w:lineRule="auto"/>
        <w:ind w:firstLine="567"/>
        <w:jc w:val="both"/>
        <w:rPr>
          <w:rFonts w:ascii="Times New Roman" w:eastAsia="Times New Roman" w:hAnsi="Times New Roman" w:cs="Times New Roman"/>
          <w:iCs/>
          <w:color w:val="222222"/>
          <w:shd w:val="clear" w:color="auto" w:fill="FFFFFF"/>
        </w:rPr>
      </w:pPr>
      <w:r w:rsidRPr="00104B59">
        <w:rPr>
          <w:rFonts w:ascii="Times New Roman" w:hAnsi="Times New Roman" w:cs="Times New Roman"/>
        </w:rPr>
        <w:t xml:space="preserve">Quanto sostenuto nel </w:t>
      </w:r>
      <w:r w:rsidR="00A76F84">
        <w:rPr>
          <w:rFonts w:ascii="Times New Roman" w:hAnsi="Times New Roman" w:cs="Times New Roman"/>
          <w:i/>
        </w:rPr>
        <w:t>Der Spinozismus in J</w:t>
      </w:r>
      <w:r w:rsidR="00A76F84">
        <w:rPr>
          <w:rFonts w:ascii="Times New Roman" w:eastAsia="Times New Roman" w:hAnsi="Times New Roman" w:cs="Times New Roman"/>
          <w:i/>
          <w:iCs/>
          <w:color w:val="222222"/>
          <w:shd w:val="clear" w:color="auto" w:fill="FFFFFF"/>
          <w:lang w:val="de-DE"/>
        </w:rPr>
        <w:t>ü</w:t>
      </w:r>
      <w:r w:rsidRPr="00104B59">
        <w:rPr>
          <w:rFonts w:ascii="Times New Roman" w:hAnsi="Times New Roman" w:cs="Times New Roman"/>
          <w:i/>
        </w:rPr>
        <w:t>denthumb</w:t>
      </w:r>
      <w:r w:rsidRPr="00104B59">
        <w:rPr>
          <w:rFonts w:ascii="Times New Roman" w:hAnsi="Times New Roman" w:cs="Times New Roman"/>
        </w:rPr>
        <w:t xml:space="preserve"> costituisce un filtro interpretativo che andrà ad informare una parte cospicua della ricezione del misticismo ebraico e dello spinozismo nella storiografia e nel dibattito extra-accademico della Germania sette-ottocentesca. Ma il</w:t>
      </w:r>
      <w:r>
        <w:rPr>
          <w:rFonts w:ascii="Times New Roman" w:hAnsi="Times New Roman" w:cs="Times New Roman"/>
        </w:rPr>
        <w:t xml:space="preserve"> contributo di Wachter ad una serie d’interrogativi che arriveranno, </w:t>
      </w:r>
      <w:r w:rsidRPr="00AB290F">
        <w:rPr>
          <w:rFonts w:ascii="Times New Roman" w:hAnsi="Times New Roman" w:cs="Times New Roman"/>
          <w:i/>
        </w:rPr>
        <w:t>mutatis mutandis</w:t>
      </w:r>
      <w:r>
        <w:rPr>
          <w:rFonts w:ascii="Times New Roman" w:hAnsi="Times New Roman" w:cs="Times New Roman"/>
        </w:rPr>
        <w:t xml:space="preserve">, fino ad Hegel non si ferma qui. </w:t>
      </w:r>
      <w:r w:rsidRPr="000D53AB">
        <w:rPr>
          <w:rFonts w:ascii="Times New Roman" w:hAnsi="Times New Roman" w:cs="Times New Roman"/>
        </w:rPr>
        <w:t>A questo primo e fondamentale scritto del 1699, segue un altro testo, l’</w:t>
      </w:r>
      <w:r w:rsidRPr="000D53AB">
        <w:rPr>
          <w:rFonts w:ascii="Times New Roman" w:hAnsi="Times New Roman" w:cs="Times New Roman"/>
          <w:i/>
        </w:rPr>
        <w:t>Elucidarius Cabalisticus</w:t>
      </w:r>
      <w:r w:rsidRPr="000D53AB">
        <w:rPr>
          <w:rFonts w:ascii="Times New Roman" w:hAnsi="Times New Roman" w:cs="Times New Roman"/>
        </w:rPr>
        <w:t xml:space="preserve"> del 1706,</w:t>
      </w:r>
      <w:r>
        <w:rPr>
          <w:rFonts w:ascii="Times New Roman" w:hAnsi="Times New Roman" w:cs="Times New Roman"/>
        </w:rPr>
        <w:t xml:space="preserve"> che imposta quanto già affrontato nello </w:t>
      </w:r>
      <w:r w:rsidR="00A76F84">
        <w:rPr>
          <w:rFonts w:ascii="Times New Roman" w:hAnsi="Times New Roman" w:cs="Times New Roman"/>
          <w:i/>
        </w:rPr>
        <w:t>Spinozismus in J</w:t>
      </w:r>
      <w:r w:rsidR="00A76F84">
        <w:rPr>
          <w:rFonts w:ascii="Times New Roman" w:eastAsia="Times New Roman" w:hAnsi="Times New Roman" w:cs="Times New Roman"/>
          <w:i/>
          <w:iCs/>
          <w:color w:val="222222"/>
          <w:shd w:val="clear" w:color="auto" w:fill="FFFFFF"/>
          <w:lang w:val="de-DE"/>
        </w:rPr>
        <w:t>ü</w:t>
      </w:r>
      <w:r w:rsidRPr="00294F79">
        <w:rPr>
          <w:rFonts w:ascii="Times New Roman" w:hAnsi="Times New Roman" w:cs="Times New Roman"/>
          <w:i/>
        </w:rPr>
        <w:t>denthumb</w:t>
      </w:r>
      <w:r>
        <w:rPr>
          <w:rFonts w:ascii="Times New Roman" w:hAnsi="Times New Roman" w:cs="Times New Roman"/>
        </w:rPr>
        <w:t xml:space="preserve"> da una nuova prospettiva interpretativa. Occasione del libello è la risposta alle critiche mosse da </w:t>
      </w:r>
      <w:r w:rsidRPr="000F3EEA">
        <w:rPr>
          <w:rFonts w:ascii="Times New Roman" w:eastAsia="Times New Roman" w:hAnsi="Times New Roman" w:cs="Times New Roman"/>
          <w:iCs/>
          <w:color w:val="222222"/>
          <w:shd w:val="clear" w:color="auto" w:fill="FFFFFF"/>
        </w:rPr>
        <w:t>Johann Franciscus Buddeus</w:t>
      </w:r>
      <w:r>
        <w:rPr>
          <w:rFonts w:ascii="Times New Roman" w:eastAsia="Times New Roman" w:hAnsi="Times New Roman" w:cs="Times New Roman"/>
          <w:iCs/>
          <w:color w:val="222222"/>
          <w:shd w:val="clear" w:color="auto" w:fill="FFFFFF"/>
        </w:rPr>
        <w:t xml:space="preserve">, nella sua </w:t>
      </w:r>
      <w:r w:rsidRPr="000F3EEA">
        <w:rPr>
          <w:rFonts w:ascii="Times New Roman" w:eastAsia="Times New Roman" w:hAnsi="Times New Roman" w:cs="Times New Roman"/>
          <w:i/>
          <w:iCs/>
          <w:color w:val="222222"/>
          <w:shd w:val="clear" w:color="auto" w:fill="FFFFFF"/>
        </w:rPr>
        <w:t xml:space="preserve">Defensio Cabbalae Ebraeorum contra auctores quosdam modernos </w:t>
      </w:r>
      <w:r w:rsidRPr="000F3EEA">
        <w:rPr>
          <w:rFonts w:ascii="Times New Roman" w:eastAsia="Times New Roman" w:hAnsi="Times New Roman" w:cs="Times New Roman"/>
          <w:iCs/>
          <w:color w:val="222222"/>
          <w:shd w:val="clear" w:color="auto" w:fill="FFFFFF"/>
        </w:rPr>
        <w:t>(1700)</w:t>
      </w:r>
      <w:r>
        <w:rPr>
          <w:rFonts w:ascii="Times New Roman" w:eastAsia="Times New Roman" w:hAnsi="Times New Roman" w:cs="Times New Roman"/>
          <w:iCs/>
          <w:color w:val="222222"/>
          <w:shd w:val="clear" w:color="auto" w:fill="FFFFFF"/>
        </w:rPr>
        <w:t>, all’i</w:t>
      </w:r>
      <w:r w:rsidR="00437EC6">
        <w:rPr>
          <w:rFonts w:ascii="Times New Roman" w:eastAsia="Times New Roman" w:hAnsi="Times New Roman" w:cs="Times New Roman"/>
          <w:iCs/>
          <w:color w:val="222222"/>
          <w:shd w:val="clear" w:color="auto" w:fill="FFFFFF"/>
        </w:rPr>
        <w:t>nterpretazione wachteriana del</w:t>
      </w:r>
      <w:r>
        <w:rPr>
          <w:rFonts w:ascii="Times New Roman" w:eastAsia="Times New Roman" w:hAnsi="Times New Roman" w:cs="Times New Roman"/>
          <w:iCs/>
          <w:color w:val="222222"/>
          <w:shd w:val="clear" w:color="auto" w:fill="FFFFFF"/>
        </w:rPr>
        <w:t xml:space="preserve"> misticismo ebraico e dello spinozismo</w:t>
      </w:r>
      <w:r w:rsidRPr="00104B59">
        <w:rPr>
          <w:rFonts w:ascii="Times New Roman" w:eastAsia="Times New Roman" w:hAnsi="Times New Roman" w:cs="Times New Roman"/>
          <w:iCs/>
          <w:color w:val="222222"/>
          <w:shd w:val="clear" w:color="auto" w:fill="FFFFFF"/>
        </w:rPr>
        <w:t xml:space="preserve">. Essendo due sistemi filosofici non assimilabili l’uno all’altro, poiché l’ontologia di Spinoza teorizza, al contrario della tradizione ebraica, una forma radicale di divinizzazione del mondo, Buddeus bolla come inattendibile la ricostruzione di Wachter che, alla carenza delle fonti primarie, unisce un’identificazione non legittima della mistica ebraica con un testo </w:t>
      </w:r>
      <w:r w:rsidRPr="00104B59">
        <w:rPr>
          <w:rFonts w:ascii="Times New Roman" w:eastAsia="Times New Roman" w:hAnsi="Times New Roman" w:cs="Times New Roman"/>
          <w:iCs/>
          <w:color w:val="222222"/>
          <w:shd w:val="clear" w:color="auto" w:fill="FFFFFF"/>
        </w:rPr>
        <w:softHyphen/>
        <w:t xml:space="preserve">– la </w:t>
      </w:r>
      <w:r w:rsidRPr="00104B59">
        <w:rPr>
          <w:rFonts w:ascii="Times New Roman" w:eastAsia="Times New Roman" w:hAnsi="Times New Roman" w:cs="Times New Roman"/>
          <w:i/>
          <w:iCs/>
          <w:color w:val="222222"/>
          <w:shd w:val="clear" w:color="auto" w:fill="FFFFFF"/>
        </w:rPr>
        <w:t>Porta Coelorum</w:t>
      </w:r>
      <w:r w:rsidRPr="00104B59">
        <w:rPr>
          <w:rFonts w:ascii="Times New Roman" w:eastAsia="Times New Roman" w:hAnsi="Times New Roman" w:cs="Times New Roman"/>
          <w:iCs/>
          <w:color w:val="222222"/>
          <w:shd w:val="clear" w:color="auto" w:fill="FFFFFF"/>
        </w:rPr>
        <w:t xml:space="preserve"> di Herrera – non fedele agli assunti portanti della Qabbalah</w:t>
      </w:r>
      <w:r w:rsidRPr="00104B59">
        <w:rPr>
          <w:rStyle w:val="Rimandonotaapidipagina"/>
          <w:rFonts w:ascii="Times New Roman" w:eastAsia="Times New Roman" w:hAnsi="Times New Roman" w:cs="Times New Roman"/>
          <w:iCs/>
          <w:color w:val="222222"/>
          <w:shd w:val="clear" w:color="auto" w:fill="FFFFFF"/>
        </w:rPr>
        <w:footnoteReference w:id="564"/>
      </w:r>
      <w:r w:rsidRPr="00104B59">
        <w:rPr>
          <w:rFonts w:ascii="Times New Roman" w:eastAsia="Times New Roman" w:hAnsi="Times New Roman" w:cs="Times New Roman"/>
          <w:iCs/>
          <w:color w:val="222222"/>
          <w:shd w:val="clear" w:color="auto" w:fill="FFFFFF"/>
        </w:rPr>
        <w:t>.</w:t>
      </w:r>
      <w:r>
        <w:rPr>
          <w:rFonts w:ascii="Times New Roman" w:eastAsia="Times New Roman" w:hAnsi="Times New Roman" w:cs="Times New Roman"/>
          <w:iCs/>
          <w:color w:val="222222"/>
          <w:shd w:val="clear" w:color="auto" w:fill="FFFFFF"/>
        </w:rPr>
        <w:t xml:space="preserve"> </w:t>
      </w:r>
    </w:p>
    <w:p w14:paraId="35BBA259" w14:textId="414E643A" w:rsidR="001B7751" w:rsidRDefault="001B7751" w:rsidP="001B7751">
      <w:pPr>
        <w:spacing w:line="360" w:lineRule="auto"/>
        <w:ind w:firstLine="567"/>
        <w:jc w:val="both"/>
        <w:rPr>
          <w:rFonts w:ascii="Times New Roman" w:hAnsi="Times New Roman" w:cs="Times New Roman"/>
        </w:rPr>
      </w:pPr>
      <w:r>
        <w:rPr>
          <w:rFonts w:ascii="Times New Roman" w:eastAsia="Times New Roman" w:hAnsi="Times New Roman" w:cs="Times New Roman"/>
          <w:iCs/>
          <w:color w:val="222222"/>
          <w:shd w:val="clear" w:color="auto" w:fill="FFFFFF"/>
        </w:rPr>
        <w:t xml:space="preserve">Sollecitato da queste critiche, Wachter rettifica le posizioni avanzate nello </w:t>
      </w:r>
      <w:r w:rsidR="00A76F84">
        <w:rPr>
          <w:rFonts w:ascii="Times New Roman" w:eastAsia="Times New Roman" w:hAnsi="Times New Roman" w:cs="Times New Roman"/>
          <w:i/>
          <w:iCs/>
          <w:color w:val="222222"/>
          <w:shd w:val="clear" w:color="auto" w:fill="FFFFFF"/>
        </w:rPr>
        <w:t>Spinozismus in J</w:t>
      </w:r>
      <w:r w:rsidR="00A76F84">
        <w:rPr>
          <w:rFonts w:ascii="Times New Roman" w:eastAsia="Times New Roman" w:hAnsi="Times New Roman" w:cs="Times New Roman"/>
          <w:i/>
          <w:iCs/>
          <w:color w:val="222222"/>
          <w:shd w:val="clear" w:color="auto" w:fill="FFFFFF"/>
          <w:lang w:val="de-DE"/>
        </w:rPr>
        <w:t>ü</w:t>
      </w:r>
      <w:r w:rsidRPr="00684410">
        <w:rPr>
          <w:rFonts w:ascii="Times New Roman" w:eastAsia="Times New Roman" w:hAnsi="Times New Roman" w:cs="Times New Roman"/>
          <w:i/>
          <w:iCs/>
          <w:color w:val="222222"/>
          <w:shd w:val="clear" w:color="auto" w:fill="FFFFFF"/>
        </w:rPr>
        <w:t>denthumb</w:t>
      </w:r>
      <w:r>
        <w:rPr>
          <w:rFonts w:ascii="Times New Roman" w:eastAsia="Times New Roman" w:hAnsi="Times New Roman" w:cs="Times New Roman"/>
          <w:iCs/>
          <w:color w:val="222222"/>
          <w:shd w:val="clear" w:color="auto" w:fill="FFFFFF"/>
        </w:rPr>
        <w:t>. Innanzitutto, la divinizzazione del mondo (</w:t>
      </w:r>
      <w:r w:rsidRPr="00D04994">
        <w:rPr>
          <w:rFonts w:ascii="Times New Roman" w:eastAsia="Times New Roman" w:hAnsi="Times New Roman" w:cs="Times New Roman"/>
          <w:i/>
          <w:iCs/>
          <w:color w:val="222222"/>
          <w:shd w:val="clear" w:color="auto" w:fill="FFFFFF"/>
        </w:rPr>
        <w:t>panteismo materialistico</w:t>
      </w:r>
      <w:r>
        <w:rPr>
          <w:rFonts w:ascii="Times New Roman" w:eastAsia="Times New Roman" w:hAnsi="Times New Roman" w:cs="Times New Roman"/>
          <w:iCs/>
          <w:color w:val="222222"/>
          <w:shd w:val="clear" w:color="auto" w:fill="FFFFFF"/>
        </w:rPr>
        <w:t xml:space="preserve">), sottolineata nello scritto del 1699, è dismessa a favore di una comprensione spiritualistica della cosmologia cabbalistica e spinoziana. Operando una revisione netta delle proprie opinioni, Wachter recupera le prime cinque tesi della </w:t>
      </w:r>
      <w:r w:rsidRPr="00547FFA">
        <w:rPr>
          <w:rFonts w:ascii="Times New Roman" w:hAnsi="Times New Roman" w:cs="Times New Roman"/>
          <w:i/>
        </w:rPr>
        <w:t>Cabbalae Aëto-Paedo-Melissae</w:t>
      </w:r>
      <w:r>
        <w:rPr>
          <w:rFonts w:ascii="Times New Roman" w:hAnsi="Times New Roman" w:cs="Times New Roman"/>
        </w:rPr>
        <w:t xml:space="preserve">, secondo cui lo spirito, non la materia, che è un mero </w:t>
      </w:r>
      <w:r w:rsidRPr="00684410">
        <w:rPr>
          <w:rFonts w:ascii="Times New Roman" w:hAnsi="Times New Roman" w:cs="Times New Roman"/>
          <w:i/>
        </w:rPr>
        <w:t>non-ens</w:t>
      </w:r>
      <w:r>
        <w:rPr>
          <w:rFonts w:ascii="Times New Roman" w:hAnsi="Times New Roman" w:cs="Times New Roman"/>
        </w:rPr>
        <w:t xml:space="preserve">, compone la sostanza della realtà: </w:t>
      </w:r>
      <w:r w:rsidRPr="00B434BB">
        <w:rPr>
          <w:rFonts w:ascii="Times New Roman" w:hAnsi="Times New Roman" w:cs="Times New Roman"/>
        </w:rPr>
        <w:t>«erit ergo universorum Substantia juxta Spinozam Spiritus, quia omnes concipiunt, rem immaterialem esse Spiritum»</w:t>
      </w:r>
      <w:r w:rsidRPr="00B434BB">
        <w:rPr>
          <w:rStyle w:val="Rimandonotaapidipagina"/>
          <w:rFonts w:ascii="Times New Roman" w:hAnsi="Times New Roman" w:cs="Times New Roman"/>
        </w:rPr>
        <w:footnoteReference w:id="565"/>
      </w:r>
      <w:r w:rsidRPr="00B434BB">
        <w:rPr>
          <w:rFonts w:ascii="Times New Roman" w:hAnsi="Times New Roman" w:cs="Times New Roman"/>
        </w:rPr>
        <w:t>.</w:t>
      </w:r>
      <w:r>
        <w:rPr>
          <w:rFonts w:ascii="Times New Roman" w:hAnsi="Times New Roman" w:cs="Times New Roman"/>
        </w:rPr>
        <w:t xml:space="preserve"> Una volta riconosciuta la spiritualità del tutto, </w:t>
      </w:r>
      <w:r w:rsidRPr="00EA5AA1">
        <w:rPr>
          <w:rFonts w:ascii="Times New Roman" w:hAnsi="Times New Roman" w:cs="Times New Roman"/>
        </w:rPr>
        <w:t>Wachter rigetta le implicazioni teoriche connesse con l’assunzione dell’ottava e della nona tesi</w:t>
      </w:r>
      <w:r>
        <w:rPr>
          <w:rFonts w:ascii="Times New Roman" w:hAnsi="Times New Roman" w:cs="Times New Roman"/>
        </w:rPr>
        <w:t xml:space="preserve"> di More. Al posto di un’Essenza divina</w:t>
      </w:r>
      <w:r w:rsidR="0085465F">
        <w:rPr>
          <w:rFonts w:ascii="Times New Roman" w:hAnsi="Times New Roman" w:cs="Times New Roman"/>
        </w:rPr>
        <w:t>,</w:t>
      </w:r>
      <w:r>
        <w:rPr>
          <w:rFonts w:ascii="Times New Roman" w:hAnsi="Times New Roman" w:cs="Times New Roman"/>
        </w:rPr>
        <w:t xml:space="preserve"> concretizzata in una molteplicità ontica, si affaccia l’idea di una divisione fra Dio e mondo:</w:t>
      </w:r>
    </w:p>
    <w:p w14:paraId="7A4FFB68" w14:textId="77777777" w:rsidR="001B7751" w:rsidRDefault="001B7751" w:rsidP="001B7751">
      <w:pPr>
        <w:spacing w:line="360" w:lineRule="auto"/>
        <w:ind w:left="708" w:firstLine="567"/>
        <w:jc w:val="both"/>
        <w:rPr>
          <w:rFonts w:ascii="Times New Roman" w:hAnsi="Times New Roman" w:cs="Times New Roman"/>
        </w:rPr>
      </w:pPr>
    </w:p>
    <w:p w14:paraId="696CC522" w14:textId="77777777" w:rsidR="001B7751" w:rsidRPr="00B434BB" w:rsidRDefault="001B7751" w:rsidP="001B7751">
      <w:pPr>
        <w:spacing w:line="360" w:lineRule="auto"/>
        <w:ind w:left="1134" w:firstLine="567"/>
        <w:jc w:val="both"/>
        <w:rPr>
          <w:sz w:val="20"/>
          <w:szCs w:val="20"/>
        </w:rPr>
      </w:pPr>
      <w:r w:rsidRPr="00B434BB">
        <w:rPr>
          <w:rFonts w:ascii="Times New Roman" w:hAnsi="Times New Roman" w:cs="Times New Roman"/>
          <w:sz w:val="20"/>
          <w:szCs w:val="20"/>
        </w:rPr>
        <w:t xml:space="preserve">«Sed ne quis Mundum cum ipso Deo benedicto in secula sonfundant, subjugunt, Substantiam divinam esse natura priorem affectionibus sui, adeoque Mundum esse Deo posteriore, non Deum, sed manifestationem e revelationem Dei, in se occulti. Negantem autem Mundum esse Deum, de Deo in </w:t>
      </w:r>
      <w:r w:rsidRPr="00CE16F9">
        <w:rPr>
          <w:rFonts w:ascii="Times" w:hAnsi="Times" w:cs="Times New Roman"/>
          <w:sz w:val="20"/>
          <w:szCs w:val="20"/>
        </w:rPr>
        <w:t>se spectato (id est quatenus spectatur ut En Soph, seu occultus e se solo contentus) intelligi volunt</w:t>
      </w:r>
      <w:r w:rsidRPr="00CE16F9">
        <w:rPr>
          <w:rFonts w:ascii="Times" w:hAnsi="Times"/>
          <w:sz w:val="20"/>
          <w:szCs w:val="20"/>
        </w:rPr>
        <w:t>»</w:t>
      </w:r>
      <w:r w:rsidRPr="00CE16F9">
        <w:rPr>
          <w:rStyle w:val="Rimandonotaapidipagina"/>
          <w:rFonts w:ascii="Times" w:hAnsi="Times"/>
          <w:sz w:val="20"/>
          <w:szCs w:val="20"/>
        </w:rPr>
        <w:footnoteReference w:id="566"/>
      </w:r>
      <w:r w:rsidRPr="00CE16F9">
        <w:rPr>
          <w:rFonts w:ascii="Times" w:hAnsi="Times"/>
          <w:sz w:val="20"/>
          <w:szCs w:val="20"/>
        </w:rPr>
        <w:t>.</w:t>
      </w:r>
    </w:p>
    <w:p w14:paraId="0CD3890A" w14:textId="77777777" w:rsidR="001B7751" w:rsidRPr="0073252C" w:rsidRDefault="001B7751" w:rsidP="001B7751">
      <w:pPr>
        <w:spacing w:line="360" w:lineRule="auto"/>
        <w:ind w:left="1275" w:firstLine="567"/>
        <w:jc w:val="both"/>
        <w:rPr>
          <w:rFonts w:ascii="Times" w:hAnsi="Times"/>
        </w:rPr>
      </w:pPr>
    </w:p>
    <w:p w14:paraId="2A3CF663" w14:textId="77777777" w:rsidR="001B7751" w:rsidRDefault="001B7751" w:rsidP="0085465F">
      <w:pPr>
        <w:tabs>
          <w:tab w:val="left" w:pos="1276"/>
        </w:tabs>
        <w:spacing w:line="360" w:lineRule="auto"/>
        <w:ind w:firstLine="567"/>
        <w:jc w:val="both"/>
        <w:rPr>
          <w:rFonts w:ascii="Times New Roman" w:hAnsi="Times New Roman" w:cs="Times New Roman"/>
        </w:rPr>
      </w:pPr>
      <w:r>
        <w:rPr>
          <w:rFonts w:ascii="Times New Roman" w:hAnsi="Times New Roman" w:cs="Times New Roman"/>
        </w:rPr>
        <w:t xml:space="preserve">Essendo occulto, pago di se stesso e anteriore alle proprie affezioni, l’En-sof cabbalistico non è identificabile con il mondo, che rappresenta una manifestazione della potenza divina. Questo punto, ritenuto valido per la Qabbalah, è applicato anche all’ontologia spinoziana, che riconosce, nello scolio della ventinovesima proposizione del </w:t>
      </w:r>
      <w:r w:rsidRPr="007F2FCD">
        <w:rPr>
          <w:rFonts w:ascii="Times New Roman" w:hAnsi="Times New Roman" w:cs="Times New Roman"/>
          <w:i/>
        </w:rPr>
        <w:t>De Deo</w:t>
      </w:r>
      <w:r>
        <w:rPr>
          <w:rStyle w:val="Rimandonotaapidipagina"/>
          <w:rFonts w:ascii="Times New Roman" w:hAnsi="Times New Roman" w:cs="Times New Roman"/>
          <w:i/>
        </w:rPr>
        <w:footnoteReference w:id="567"/>
      </w:r>
      <w:r>
        <w:rPr>
          <w:rFonts w:ascii="Times New Roman" w:hAnsi="Times New Roman" w:cs="Times New Roman"/>
        </w:rPr>
        <w:t xml:space="preserve">, una differenza fra </w:t>
      </w:r>
      <w:r w:rsidRPr="00F12CBC">
        <w:rPr>
          <w:rFonts w:ascii="Times New Roman" w:hAnsi="Times New Roman" w:cs="Times New Roman"/>
          <w:i/>
        </w:rPr>
        <w:t>natura naturans</w:t>
      </w:r>
      <w:r>
        <w:rPr>
          <w:rFonts w:ascii="Times New Roman" w:hAnsi="Times New Roman" w:cs="Times New Roman"/>
        </w:rPr>
        <w:t xml:space="preserve"> e </w:t>
      </w:r>
      <w:r w:rsidRPr="00F12CBC">
        <w:rPr>
          <w:rFonts w:ascii="Times New Roman" w:hAnsi="Times New Roman" w:cs="Times New Roman"/>
          <w:i/>
        </w:rPr>
        <w:t>natura naturata</w:t>
      </w:r>
      <w:r>
        <w:rPr>
          <w:rFonts w:ascii="Times New Roman" w:hAnsi="Times New Roman" w:cs="Times New Roman"/>
        </w:rPr>
        <w:t>:</w:t>
      </w:r>
    </w:p>
    <w:p w14:paraId="7FC4FED1" w14:textId="77777777" w:rsidR="001B7751" w:rsidRDefault="001B7751" w:rsidP="001B7751">
      <w:pPr>
        <w:spacing w:line="360" w:lineRule="auto"/>
        <w:ind w:left="1275" w:firstLine="567"/>
        <w:jc w:val="both"/>
        <w:rPr>
          <w:rFonts w:ascii="Times New Roman" w:hAnsi="Times New Roman" w:cs="Times New Roman"/>
        </w:rPr>
      </w:pPr>
    </w:p>
    <w:p w14:paraId="43708360" w14:textId="654C912B" w:rsidR="001B7751" w:rsidRPr="00CE16F9" w:rsidRDefault="001B7751" w:rsidP="001B7751">
      <w:pPr>
        <w:spacing w:line="360" w:lineRule="auto"/>
        <w:ind w:left="567" w:firstLine="567"/>
        <w:jc w:val="both"/>
        <w:rPr>
          <w:rFonts w:ascii="Times New Roman" w:hAnsi="Times New Roman" w:cs="Times New Roman"/>
          <w:sz w:val="20"/>
          <w:szCs w:val="20"/>
        </w:rPr>
      </w:pPr>
      <w:r w:rsidRPr="00CE16F9">
        <w:rPr>
          <w:rFonts w:ascii="Times New Roman" w:hAnsi="Times New Roman" w:cs="Times New Roman"/>
          <w:sz w:val="20"/>
          <w:szCs w:val="20"/>
        </w:rPr>
        <w:t xml:space="preserve">«Quod lectores Spinozae Deum et naturam confundat, concedo; sed quod Spinoza ipse hujus confusionis </w:t>
      </w:r>
      <w:r w:rsidR="00021560">
        <w:rPr>
          <w:rFonts w:ascii="Times New Roman" w:hAnsi="Times New Roman" w:cs="Times New Roman"/>
          <w:sz w:val="20"/>
          <w:szCs w:val="20"/>
        </w:rPr>
        <w:t>autore</w:t>
      </w:r>
      <w:r w:rsidRPr="00CE16F9">
        <w:rPr>
          <w:rFonts w:ascii="Times New Roman" w:hAnsi="Times New Roman" w:cs="Times New Roman"/>
          <w:sz w:val="20"/>
          <w:szCs w:val="20"/>
        </w:rPr>
        <w:t xml:space="preserve"> et praeceptor sit, ex quibus scripti habemus? Nonne distinctionem inter naturam naturantem et nateram naturatam diserte agnoscit et defendit? Nonne oppugnat eos, qui naturam Dei ad essentiam rerum creaturum spectare dicunt? Nonne aperte negat, tractatum suum Theologico-politicum so fundamento niti, quod Deus et natura unum idemque sint?»</w:t>
      </w:r>
      <w:r w:rsidRPr="00CE16F9">
        <w:rPr>
          <w:rStyle w:val="Rimandonotaapidipagina"/>
          <w:rFonts w:ascii="Times New Roman" w:hAnsi="Times New Roman" w:cs="Times New Roman"/>
          <w:sz w:val="20"/>
          <w:szCs w:val="20"/>
        </w:rPr>
        <w:footnoteReference w:id="568"/>
      </w:r>
      <w:r w:rsidRPr="00CE16F9">
        <w:rPr>
          <w:rFonts w:ascii="Times New Roman" w:hAnsi="Times New Roman" w:cs="Times New Roman"/>
          <w:sz w:val="20"/>
          <w:szCs w:val="20"/>
        </w:rPr>
        <w:t>.</w:t>
      </w:r>
    </w:p>
    <w:p w14:paraId="4E6CBFA2" w14:textId="77777777" w:rsidR="001B7751" w:rsidRPr="0003229F" w:rsidRDefault="001B7751" w:rsidP="001B7751">
      <w:pPr>
        <w:spacing w:line="360" w:lineRule="auto"/>
        <w:ind w:left="1842" w:firstLine="567"/>
        <w:jc w:val="both"/>
        <w:rPr>
          <w:rFonts w:ascii="Times New Roman" w:hAnsi="Times New Roman" w:cs="Times New Roman"/>
        </w:rPr>
      </w:pPr>
    </w:p>
    <w:p w14:paraId="3D0087D0" w14:textId="77777777" w:rsidR="001B7751" w:rsidRDefault="001B7751" w:rsidP="001B7751">
      <w:pPr>
        <w:spacing w:line="360" w:lineRule="auto"/>
        <w:ind w:firstLine="567"/>
        <w:jc w:val="both"/>
        <w:rPr>
          <w:rFonts w:ascii="Times New Roman" w:hAnsi="Times New Roman" w:cs="Times New Roman"/>
        </w:rPr>
      </w:pPr>
      <w:r>
        <w:rPr>
          <w:rFonts w:ascii="Times New Roman" w:hAnsi="Times New Roman" w:cs="Times New Roman"/>
        </w:rPr>
        <w:t xml:space="preserve">Forse, scrive Wachter, chi legge Spinoza può confondersi e pensare che la differenza fra Dio e la natura non sia delineata a sufficienza. Se questo errore può essere concesso al lettore, stessa cosa non può dirsi per Spinoza, che ha accuratamente distinto la </w:t>
      </w:r>
      <w:r w:rsidRPr="004C343C">
        <w:rPr>
          <w:rFonts w:ascii="Times New Roman" w:hAnsi="Times New Roman" w:cs="Times New Roman"/>
          <w:i/>
        </w:rPr>
        <w:t>natura naturans</w:t>
      </w:r>
      <w:r>
        <w:rPr>
          <w:rFonts w:ascii="Times New Roman" w:hAnsi="Times New Roman" w:cs="Times New Roman"/>
        </w:rPr>
        <w:t xml:space="preserve">, Dio come essere in sé, dalla </w:t>
      </w:r>
      <w:r w:rsidRPr="004C343C">
        <w:rPr>
          <w:rFonts w:ascii="Times New Roman" w:hAnsi="Times New Roman" w:cs="Times New Roman"/>
          <w:i/>
        </w:rPr>
        <w:t>natura naturata</w:t>
      </w:r>
      <w:r>
        <w:rPr>
          <w:rFonts w:ascii="Times New Roman" w:hAnsi="Times New Roman" w:cs="Times New Roman"/>
        </w:rPr>
        <w:t xml:space="preserve">, Dio come soggetto a cui ineriscono </w:t>
      </w:r>
      <w:r w:rsidRPr="00AC7B68">
        <w:rPr>
          <w:rFonts w:ascii="Times New Roman" w:hAnsi="Times New Roman" w:cs="Times New Roman"/>
          <w:i/>
        </w:rPr>
        <w:t>idealiter et realiter</w:t>
      </w:r>
      <w:r>
        <w:rPr>
          <w:rFonts w:ascii="Times New Roman" w:hAnsi="Times New Roman" w:cs="Times New Roman"/>
        </w:rPr>
        <w:t xml:space="preserve"> dei predicati (i modi). Inoltre, è chiara la connessione wachterina della </w:t>
      </w:r>
      <w:r w:rsidRPr="00AC7B68">
        <w:rPr>
          <w:rFonts w:ascii="Times New Roman" w:hAnsi="Times New Roman" w:cs="Times New Roman"/>
          <w:i/>
        </w:rPr>
        <w:t xml:space="preserve">natura naturans </w:t>
      </w:r>
      <w:r>
        <w:rPr>
          <w:rFonts w:ascii="Times New Roman" w:hAnsi="Times New Roman" w:cs="Times New Roman"/>
        </w:rPr>
        <w:t xml:space="preserve">spinoziana con l’En-sof cabbalistico: Qabbalah e spinozismo riconoscono uno scarto fra Dio e natura dal momento che introducono una dimensione occulta – nel senso di non manifesta – del divino. </w:t>
      </w:r>
      <w:r w:rsidRPr="00FE1552">
        <w:rPr>
          <w:rFonts w:ascii="Times New Roman" w:hAnsi="Times New Roman" w:cs="Times New Roman"/>
        </w:rPr>
        <w:t>Sebbene tutto sia emanato,</w:t>
      </w:r>
      <w:r>
        <w:rPr>
          <w:rFonts w:ascii="Times New Roman" w:hAnsi="Times New Roman" w:cs="Times New Roman"/>
        </w:rPr>
        <w:t xml:space="preserve"> o tutto derivi,</w:t>
      </w:r>
      <w:r w:rsidRPr="00FE1552">
        <w:rPr>
          <w:rFonts w:ascii="Times New Roman" w:hAnsi="Times New Roman" w:cs="Times New Roman"/>
        </w:rPr>
        <w:t xml:space="preserve"> dall’Uno e dalla sostanza,</w:t>
      </w:r>
      <w:r>
        <w:rPr>
          <w:rFonts w:ascii="Times New Roman" w:hAnsi="Times New Roman" w:cs="Times New Roman"/>
        </w:rPr>
        <w:t xml:space="preserve"> sussiste uno scarto incolmabile fra unità e molteplicità, fra divino e creaturale. </w:t>
      </w:r>
    </w:p>
    <w:p w14:paraId="586707DC" w14:textId="436C9EB3" w:rsidR="001B7751" w:rsidRDefault="001B7751" w:rsidP="001B7751">
      <w:pPr>
        <w:spacing w:line="360" w:lineRule="auto"/>
        <w:ind w:firstLine="567"/>
        <w:jc w:val="both"/>
        <w:rPr>
          <w:rFonts w:ascii="Times New Roman" w:hAnsi="Times New Roman" w:cs="Times New Roman"/>
        </w:rPr>
      </w:pPr>
      <w:r>
        <w:rPr>
          <w:rFonts w:ascii="Times New Roman" w:hAnsi="Times New Roman" w:cs="Times New Roman"/>
        </w:rPr>
        <w:t>A grandi linee, poiché lo scritto di Wac</w:t>
      </w:r>
      <w:r w:rsidR="000A7B9E">
        <w:rPr>
          <w:rFonts w:ascii="Times New Roman" w:hAnsi="Times New Roman" w:cs="Times New Roman"/>
        </w:rPr>
        <w:t>hter tocca anche altre questioni</w:t>
      </w:r>
      <w:r>
        <w:rPr>
          <w:rFonts w:ascii="Times New Roman" w:hAnsi="Times New Roman" w:cs="Times New Roman"/>
        </w:rPr>
        <w:t xml:space="preserve"> non direttamente connesse con il discorso fin qui sviluppato, sono questi i punti focali della revisione wachteriana delle tesi avanzate nello </w:t>
      </w:r>
      <w:r w:rsidR="00A76F84">
        <w:rPr>
          <w:rFonts w:ascii="Times New Roman" w:hAnsi="Times New Roman" w:cs="Times New Roman"/>
          <w:i/>
        </w:rPr>
        <w:t>Spinozismus in J</w:t>
      </w:r>
      <w:r w:rsidR="00A76F84">
        <w:rPr>
          <w:rFonts w:ascii="Times New Roman" w:eastAsia="Times New Roman" w:hAnsi="Times New Roman" w:cs="Times New Roman"/>
          <w:i/>
          <w:iCs/>
          <w:color w:val="222222"/>
          <w:shd w:val="clear" w:color="auto" w:fill="FFFFFF"/>
          <w:lang w:val="de-DE"/>
        </w:rPr>
        <w:t>ü</w:t>
      </w:r>
      <w:r w:rsidRPr="003428A6">
        <w:rPr>
          <w:rFonts w:ascii="Times New Roman" w:hAnsi="Times New Roman" w:cs="Times New Roman"/>
          <w:i/>
        </w:rPr>
        <w:t>denthum</w:t>
      </w:r>
      <w:r>
        <w:rPr>
          <w:rFonts w:ascii="Times New Roman" w:hAnsi="Times New Roman" w:cs="Times New Roman"/>
          <w:i/>
        </w:rPr>
        <w:t>b</w:t>
      </w:r>
      <w:r>
        <w:rPr>
          <w:rFonts w:ascii="Times New Roman" w:hAnsi="Times New Roman" w:cs="Times New Roman"/>
        </w:rPr>
        <w:t xml:space="preserve">. Venuta meno l’interpretazione </w:t>
      </w:r>
      <w:r w:rsidRPr="00E17E6A">
        <w:rPr>
          <w:rFonts w:ascii="Times New Roman" w:hAnsi="Times New Roman" w:cs="Times New Roman"/>
          <w:i/>
        </w:rPr>
        <w:t>panteistico-materialistica</w:t>
      </w:r>
      <w:r>
        <w:rPr>
          <w:rFonts w:ascii="Times New Roman" w:hAnsi="Times New Roman" w:cs="Times New Roman"/>
        </w:rPr>
        <w:t xml:space="preserve"> della Qabbalah e dello spinozismo, emerge una lettura </w:t>
      </w:r>
      <w:r w:rsidRPr="00E17E6A">
        <w:rPr>
          <w:rFonts w:ascii="Times New Roman" w:hAnsi="Times New Roman" w:cs="Times New Roman"/>
          <w:i/>
        </w:rPr>
        <w:t>spiritualista</w:t>
      </w:r>
      <w:r>
        <w:rPr>
          <w:rFonts w:ascii="Times New Roman" w:hAnsi="Times New Roman" w:cs="Times New Roman"/>
        </w:rPr>
        <w:t xml:space="preserve"> della filosofia ebraica, in cui il mondo è semplice manifestazione dell’Essenza divina, che non è mai assimilabile, né tantomeno riducibile, alla molteplicità ontica. Nei prossimi sottocapitoli, si vedrà come lo </w:t>
      </w:r>
      <w:r w:rsidR="00A76F84">
        <w:rPr>
          <w:rFonts w:ascii="Times New Roman" w:hAnsi="Times New Roman" w:cs="Times New Roman"/>
          <w:i/>
        </w:rPr>
        <w:t>Spinozismus in J</w:t>
      </w:r>
      <w:r w:rsidR="00A76F84">
        <w:rPr>
          <w:rFonts w:ascii="Times New Roman" w:eastAsia="Times New Roman" w:hAnsi="Times New Roman" w:cs="Times New Roman"/>
          <w:i/>
          <w:iCs/>
          <w:color w:val="222222"/>
          <w:shd w:val="clear" w:color="auto" w:fill="FFFFFF"/>
          <w:lang w:val="de-DE"/>
        </w:rPr>
        <w:t>ü</w:t>
      </w:r>
      <w:r w:rsidRPr="002730E5">
        <w:rPr>
          <w:rFonts w:ascii="Times New Roman" w:hAnsi="Times New Roman" w:cs="Times New Roman"/>
          <w:i/>
        </w:rPr>
        <w:t>denthumb</w:t>
      </w:r>
      <w:r>
        <w:rPr>
          <w:rFonts w:ascii="Times New Roman" w:hAnsi="Times New Roman" w:cs="Times New Roman"/>
        </w:rPr>
        <w:t xml:space="preserve"> e l’</w:t>
      </w:r>
      <w:r w:rsidRPr="00E17E6A">
        <w:rPr>
          <w:rFonts w:ascii="Times New Roman" w:hAnsi="Times New Roman" w:cs="Times New Roman"/>
          <w:i/>
        </w:rPr>
        <w:t xml:space="preserve">Elucidarius Cabalisticus </w:t>
      </w:r>
      <w:r>
        <w:rPr>
          <w:rFonts w:ascii="Times New Roman" w:hAnsi="Times New Roman" w:cs="Times New Roman"/>
        </w:rPr>
        <w:t xml:space="preserve">abbiano esercitato una forte ascendenza sullo </w:t>
      </w:r>
      <w:r w:rsidRPr="002730E5">
        <w:rPr>
          <w:rFonts w:ascii="Times New Roman" w:hAnsi="Times New Roman" w:cs="Times New Roman"/>
          <w:i/>
        </w:rPr>
        <w:t>Spinozismusstreit</w:t>
      </w:r>
      <w:r>
        <w:rPr>
          <w:rFonts w:ascii="Times New Roman" w:hAnsi="Times New Roman" w:cs="Times New Roman"/>
        </w:rPr>
        <w:t xml:space="preserve"> di fine ’700. </w:t>
      </w:r>
      <w:r w:rsidRPr="00F74743">
        <w:rPr>
          <w:rFonts w:ascii="Times New Roman" w:hAnsi="Times New Roman" w:cs="Times New Roman"/>
        </w:rPr>
        <w:t xml:space="preserve">Come ha sottolineato Gerschom Scholem, nelle </w:t>
      </w:r>
      <w:r w:rsidRPr="00F74743">
        <w:rPr>
          <w:rFonts w:ascii="Times New Roman" w:hAnsi="Times New Roman" w:cs="Times New Roman"/>
          <w:i/>
        </w:rPr>
        <w:t>Spinozabriefe</w:t>
      </w:r>
      <w:r w:rsidRPr="00F74743">
        <w:rPr>
          <w:rFonts w:ascii="Times New Roman" w:hAnsi="Times New Roman" w:cs="Times New Roman"/>
        </w:rPr>
        <w:t xml:space="preserve"> si assisterà al compenetrarsi di elementi teorici che si richiamano alle due opere wachteriane</w:t>
      </w:r>
      <w:r w:rsidRPr="00F74743">
        <w:rPr>
          <w:rStyle w:val="Rimandonotaapidipagina"/>
          <w:rFonts w:ascii="Times New Roman" w:hAnsi="Times New Roman" w:cs="Times New Roman"/>
        </w:rPr>
        <w:footnoteReference w:id="569"/>
      </w:r>
      <w:r w:rsidRPr="00F74743">
        <w:rPr>
          <w:rFonts w:ascii="Times New Roman" w:hAnsi="Times New Roman" w:cs="Times New Roman"/>
        </w:rPr>
        <w:t>.</w:t>
      </w:r>
      <w:r>
        <w:rPr>
          <w:rFonts w:ascii="Times New Roman" w:hAnsi="Times New Roman" w:cs="Times New Roman"/>
        </w:rPr>
        <w:t xml:space="preserve"> Questa anticipazione permette di sviluppare un’ulteriore considerazione: la revisione wachteriana della propria interpretazione del</w:t>
      </w:r>
      <w:r w:rsidR="0085465F">
        <w:rPr>
          <w:rFonts w:ascii="Times New Roman" w:hAnsi="Times New Roman" w:cs="Times New Roman"/>
        </w:rPr>
        <w:t xml:space="preserve">lo </w:t>
      </w:r>
      <w:r w:rsidR="00A76F84">
        <w:rPr>
          <w:rFonts w:ascii="Times New Roman" w:hAnsi="Times New Roman" w:cs="Times New Roman"/>
          <w:i/>
        </w:rPr>
        <w:t>J</w:t>
      </w:r>
      <w:r w:rsidR="00A76F84">
        <w:rPr>
          <w:rFonts w:ascii="Times New Roman" w:eastAsia="Times New Roman" w:hAnsi="Times New Roman" w:cs="Times New Roman"/>
          <w:i/>
          <w:iCs/>
          <w:color w:val="222222"/>
          <w:shd w:val="clear" w:color="auto" w:fill="FFFFFF"/>
          <w:lang w:val="de-DE"/>
        </w:rPr>
        <w:t>ü</w:t>
      </w:r>
      <w:r w:rsidR="0085465F" w:rsidRPr="0085465F">
        <w:rPr>
          <w:rFonts w:ascii="Times New Roman" w:hAnsi="Times New Roman" w:cs="Times New Roman"/>
          <w:i/>
        </w:rPr>
        <w:t>denthumb</w:t>
      </w:r>
      <w:r w:rsidR="0085465F">
        <w:rPr>
          <w:rFonts w:ascii="Times New Roman" w:hAnsi="Times New Roman" w:cs="Times New Roman"/>
        </w:rPr>
        <w:t xml:space="preserve"> </w:t>
      </w:r>
      <w:r>
        <w:rPr>
          <w:rFonts w:ascii="Times New Roman" w:hAnsi="Times New Roman" w:cs="Times New Roman"/>
        </w:rPr>
        <w:t xml:space="preserve">non preclude una diffusione paritetica dei due scritti, che troveranno eguale diffusione e fortuna nel dibattito sulla mistica ebraica e sulla filosofia di Spinoza. L’assunzione della </w:t>
      </w:r>
      <w:r w:rsidRPr="00471C66">
        <w:rPr>
          <w:rFonts w:ascii="Times New Roman" w:hAnsi="Times New Roman" w:cs="Times New Roman"/>
          <w:i/>
        </w:rPr>
        <w:t>Porta Coelorum</w:t>
      </w:r>
      <w:r>
        <w:rPr>
          <w:rFonts w:ascii="Times New Roman" w:hAnsi="Times New Roman" w:cs="Times New Roman"/>
        </w:rPr>
        <w:t xml:space="preserve"> di Herrera e della </w:t>
      </w:r>
      <w:r w:rsidRPr="00547FFA">
        <w:rPr>
          <w:rFonts w:ascii="Times New Roman" w:hAnsi="Times New Roman" w:cs="Times New Roman"/>
          <w:i/>
        </w:rPr>
        <w:t>Cabbalae Aëto-Paedo-Melissae</w:t>
      </w:r>
      <w:r>
        <w:rPr>
          <w:rFonts w:ascii="Times New Roman" w:hAnsi="Times New Roman" w:cs="Times New Roman"/>
          <w:i/>
        </w:rPr>
        <w:t xml:space="preserve"> </w:t>
      </w:r>
      <w:r>
        <w:rPr>
          <w:rFonts w:ascii="Times New Roman" w:hAnsi="Times New Roman" w:cs="Times New Roman"/>
        </w:rPr>
        <w:t xml:space="preserve">di Henry More come strumenti esplicativi del misticismo ebraico, l’idea che il materialismo spinoziano tragga spunto da certi filosofemi cabbalistici (quali la teoria dello </w:t>
      </w:r>
      <w:r w:rsidRPr="00CE4BEE">
        <w:rPr>
          <w:rFonts w:ascii="Times New Roman" w:hAnsi="Times New Roman" w:cs="Times New Roman"/>
          <w:i/>
        </w:rPr>
        <w:t>tzimtzum</w:t>
      </w:r>
      <w:r>
        <w:rPr>
          <w:rFonts w:ascii="Times New Roman" w:hAnsi="Times New Roman" w:cs="Times New Roman"/>
        </w:rPr>
        <w:t>), o che esso mutui la differenza fra sostanza e modi dall’irriducibilità dell’En-sof al mondo, sono alcuni esempi del significato storico-filosofico attribuito da Wachter al</w:t>
      </w:r>
      <w:r w:rsidR="00CB2B34">
        <w:rPr>
          <w:rFonts w:ascii="Times New Roman" w:hAnsi="Times New Roman" w:cs="Times New Roman"/>
        </w:rPr>
        <w:t xml:space="preserve">lo </w:t>
      </w:r>
      <w:r w:rsidR="00CB2B34">
        <w:rPr>
          <w:rFonts w:ascii="Times New Roman" w:hAnsi="Times New Roman" w:cs="Times New Roman"/>
          <w:i/>
        </w:rPr>
        <w:t>J</w:t>
      </w:r>
      <w:r w:rsidR="00CB2B34">
        <w:rPr>
          <w:rFonts w:ascii="Times New Roman" w:eastAsia="Times New Roman" w:hAnsi="Times New Roman" w:cs="Times New Roman"/>
          <w:i/>
          <w:iCs/>
          <w:color w:val="222222"/>
          <w:shd w:val="clear" w:color="auto" w:fill="FFFFFF"/>
          <w:lang w:val="de-DE"/>
        </w:rPr>
        <w:t>ü</w:t>
      </w:r>
      <w:r w:rsidR="00CB2B34" w:rsidRPr="002730E5">
        <w:rPr>
          <w:rFonts w:ascii="Times New Roman" w:hAnsi="Times New Roman" w:cs="Times New Roman"/>
          <w:i/>
        </w:rPr>
        <w:t>denthumb</w:t>
      </w:r>
      <w:r>
        <w:rPr>
          <w:rFonts w:ascii="Times New Roman" w:hAnsi="Times New Roman" w:cs="Times New Roman"/>
        </w:rPr>
        <w:t>. E sono proprio questi elementi teorici, arricchiti e combinati con altri materiali, che andranno a definire quel paradigma interpretativo della Qabbalah e dello spinozismo dominante, a livello accademico ed extra-accademico, nella Germania illuministica e romantica.</w:t>
      </w:r>
    </w:p>
    <w:p w14:paraId="2E9506FB" w14:textId="77777777" w:rsidR="0085465F" w:rsidRPr="00104B59" w:rsidRDefault="0085465F" w:rsidP="001B7751">
      <w:pPr>
        <w:spacing w:line="360" w:lineRule="auto"/>
        <w:jc w:val="both"/>
        <w:rPr>
          <w:rFonts w:ascii="Times New Roman" w:hAnsi="Times New Roman" w:cs="Times New Roman"/>
        </w:rPr>
      </w:pPr>
    </w:p>
    <w:p w14:paraId="7A5A5135" w14:textId="12D3C205" w:rsidR="001B7751" w:rsidRPr="002A6076" w:rsidRDefault="001B7751" w:rsidP="001B7751">
      <w:pPr>
        <w:spacing w:line="360" w:lineRule="auto"/>
        <w:jc w:val="both"/>
        <w:rPr>
          <w:rFonts w:ascii="Times New Roman" w:hAnsi="Times New Roman" w:cs="Times New Roman"/>
          <w:i/>
        </w:rPr>
      </w:pPr>
      <w:r w:rsidRPr="002A6076">
        <w:rPr>
          <w:rFonts w:ascii="Times New Roman" w:hAnsi="Times New Roman" w:cs="Times New Roman"/>
          <w:i/>
        </w:rPr>
        <w:t>3.</w:t>
      </w:r>
      <w:r>
        <w:rPr>
          <w:rFonts w:ascii="Times New Roman" w:hAnsi="Times New Roman" w:cs="Times New Roman"/>
          <w:i/>
        </w:rPr>
        <w:t>3</w:t>
      </w:r>
      <w:r w:rsidRPr="002A6076">
        <w:rPr>
          <w:rFonts w:ascii="Times New Roman" w:hAnsi="Times New Roman" w:cs="Times New Roman"/>
          <w:i/>
        </w:rPr>
        <w:t xml:space="preserve"> La </w:t>
      </w:r>
      <w:r>
        <w:rPr>
          <w:rFonts w:ascii="Times New Roman" w:hAnsi="Times New Roman" w:cs="Times New Roman"/>
          <w:i/>
        </w:rPr>
        <w:t>‘</w:t>
      </w:r>
      <w:r w:rsidRPr="00A66AE8">
        <w:rPr>
          <w:rFonts w:ascii="Times New Roman" w:hAnsi="Times New Roman" w:cs="Times New Roman"/>
        </w:rPr>
        <w:t xml:space="preserve">Philosophia Iudeorum Esoterica’ </w:t>
      </w:r>
      <w:r w:rsidRPr="002A6076">
        <w:rPr>
          <w:rFonts w:ascii="Times New Roman" w:hAnsi="Times New Roman" w:cs="Times New Roman"/>
          <w:i/>
        </w:rPr>
        <w:t>nella</w:t>
      </w:r>
      <w:r w:rsidR="00DD70C7">
        <w:rPr>
          <w:rFonts w:ascii="Times New Roman" w:hAnsi="Times New Roman" w:cs="Times New Roman"/>
          <w:i/>
        </w:rPr>
        <w:t xml:space="preserve"> </w:t>
      </w:r>
      <w:r w:rsidR="00DD70C7" w:rsidRPr="00DD70C7">
        <w:rPr>
          <w:rFonts w:ascii="Times New Roman" w:hAnsi="Times New Roman" w:cs="Times New Roman"/>
        </w:rPr>
        <w:t>Historia critica philosophiae</w:t>
      </w:r>
    </w:p>
    <w:p w14:paraId="75EA4E7E" w14:textId="77777777" w:rsidR="001B7751" w:rsidRPr="0058759C" w:rsidRDefault="001B7751" w:rsidP="001B7751">
      <w:pPr>
        <w:spacing w:line="360" w:lineRule="auto"/>
        <w:ind w:left="567" w:firstLine="567"/>
        <w:jc w:val="both"/>
        <w:rPr>
          <w:rFonts w:ascii="Times New Roman" w:hAnsi="Times New Roman" w:cs="Times New Roman"/>
          <w:b/>
          <w:i/>
        </w:rPr>
      </w:pPr>
    </w:p>
    <w:p w14:paraId="38D23BDF" w14:textId="16AF50B3" w:rsidR="001B7751" w:rsidRDefault="001B7751" w:rsidP="001B7751">
      <w:pPr>
        <w:spacing w:line="360" w:lineRule="auto"/>
        <w:ind w:firstLine="567"/>
        <w:jc w:val="both"/>
        <w:rPr>
          <w:rFonts w:ascii="Times New Roman" w:eastAsia="Times New Roman" w:hAnsi="Times New Roman" w:cs="Times New Roman"/>
          <w:iCs/>
          <w:color w:val="222222"/>
          <w:shd w:val="clear" w:color="auto" w:fill="FFFFFF"/>
        </w:rPr>
      </w:pPr>
      <w:r>
        <w:rPr>
          <w:rFonts w:ascii="Times New Roman" w:eastAsia="Times New Roman" w:hAnsi="Times New Roman" w:cs="Times New Roman"/>
          <w:iCs/>
          <w:color w:val="222222"/>
          <w:shd w:val="clear" w:color="auto" w:fill="FFFFFF"/>
        </w:rPr>
        <w:t>Johann Jakob</w:t>
      </w:r>
      <w:r w:rsidR="008F5C49">
        <w:rPr>
          <w:rFonts w:ascii="Times New Roman" w:eastAsia="Times New Roman" w:hAnsi="Times New Roman" w:cs="Times New Roman"/>
          <w:iCs/>
          <w:color w:val="222222"/>
          <w:shd w:val="clear" w:color="auto" w:fill="FFFFFF"/>
        </w:rPr>
        <w:t xml:space="preserve"> Brucker (Ausburg 1699–1770) è </w:t>
      </w:r>
      <w:r w:rsidR="00021560">
        <w:rPr>
          <w:rFonts w:ascii="Times New Roman" w:eastAsia="Times New Roman" w:hAnsi="Times New Roman" w:cs="Times New Roman"/>
          <w:iCs/>
          <w:color w:val="222222"/>
          <w:shd w:val="clear" w:color="auto" w:fill="FFFFFF"/>
        </w:rPr>
        <w:t>autore</w:t>
      </w:r>
      <w:r>
        <w:rPr>
          <w:rFonts w:ascii="Times New Roman" w:eastAsia="Times New Roman" w:hAnsi="Times New Roman" w:cs="Times New Roman"/>
          <w:iCs/>
          <w:color w:val="222222"/>
          <w:shd w:val="clear" w:color="auto" w:fill="FFFFFF"/>
        </w:rPr>
        <w:t xml:space="preserve"> della monumentale </w:t>
      </w:r>
      <w:r w:rsidRPr="00D607BE">
        <w:rPr>
          <w:rFonts w:ascii="Times New Roman" w:eastAsia="Times New Roman" w:hAnsi="Times New Roman" w:cs="Times New Roman"/>
          <w:i/>
          <w:iCs/>
          <w:color w:val="222222"/>
          <w:shd w:val="clear" w:color="auto" w:fill="FFFFFF"/>
        </w:rPr>
        <w:t>Histo</w:t>
      </w:r>
      <w:r>
        <w:rPr>
          <w:rFonts w:ascii="Times New Roman" w:eastAsia="Times New Roman" w:hAnsi="Times New Roman" w:cs="Times New Roman"/>
          <w:i/>
          <w:iCs/>
          <w:color w:val="222222"/>
          <w:shd w:val="clear" w:color="auto" w:fill="FFFFFF"/>
        </w:rPr>
        <w:t>ria c</w:t>
      </w:r>
      <w:r w:rsidRPr="00D607BE">
        <w:rPr>
          <w:rFonts w:ascii="Times New Roman" w:eastAsia="Times New Roman" w:hAnsi="Times New Roman" w:cs="Times New Roman"/>
          <w:i/>
          <w:iCs/>
          <w:color w:val="222222"/>
          <w:shd w:val="clear" w:color="auto" w:fill="FFFFFF"/>
        </w:rPr>
        <w:t>ritica philosophiae</w:t>
      </w:r>
      <w:r>
        <w:rPr>
          <w:rFonts w:ascii="Times New Roman" w:eastAsia="Times New Roman" w:hAnsi="Times New Roman" w:cs="Times New Roman"/>
          <w:iCs/>
          <w:color w:val="222222"/>
          <w:shd w:val="clear" w:color="auto" w:fill="FFFFFF"/>
        </w:rPr>
        <w:t xml:space="preserve">, edita in sei tomi a Lipsia fra il 1742 e il 1767. </w:t>
      </w:r>
      <w:r w:rsidRPr="00E27267">
        <w:rPr>
          <w:rFonts w:ascii="Times New Roman" w:eastAsia="Times New Roman" w:hAnsi="Times New Roman" w:cs="Times New Roman"/>
          <w:iCs/>
          <w:color w:val="222222"/>
          <w:shd w:val="clear" w:color="auto" w:fill="FFFFFF"/>
        </w:rPr>
        <w:t>Nelle note introduttive di questo capitolo, si è osservato che il manuale di Brucker rappresenta la base storiografica a partire dalla quale sarà riproposto</w:t>
      </w:r>
      <w:r>
        <w:rPr>
          <w:rFonts w:ascii="Times New Roman" w:eastAsia="Times New Roman" w:hAnsi="Times New Roman" w:cs="Times New Roman"/>
          <w:iCs/>
          <w:color w:val="222222"/>
          <w:shd w:val="clear" w:color="auto" w:fill="FFFFFF"/>
        </w:rPr>
        <w:t xml:space="preserve"> – al netto delle progressive modificazioni e semplificazioni – un modello interpretativo del pensiero ebraico ancora percepibile nelle </w:t>
      </w:r>
      <w:r w:rsidRPr="00CA6EBF">
        <w:rPr>
          <w:rFonts w:ascii="Times New Roman" w:eastAsia="Times New Roman" w:hAnsi="Times New Roman" w:cs="Times New Roman"/>
          <w:i/>
          <w:iCs/>
          <w:color w:val="222222"/>
          <w:shd w:val="clear" w:color="auto" w:fill="FFFFFF"/>
        </w:rPr>
        <w:t xml:space="preserve">Vorlesungen </w:t>
      </w:r>
      <w:r>
        <w:rPr>
          <w:rFonts w:ascii="Times New Roman" w:eastAsia="Times New Roman" w:hAnsi="Times New Roman" w:cs="Times New Roman"/>
          <w:iCs/>
          <w:color w:val="222222"/>
          <w:shd w:val="clear" w:color="auto" w:fill="FFFFFF"/>
        </w:rPr>
        <w:t>hegeliane. Sull’attività di storico della filosofia di Brucker, si è recentemente espresso Wilhelm Schmidt-Biggeman</w:t>
      </w:r>
      <w:r w:rsidR="00DE5865">
        <w:rPr>
          <w:rFonts w:ascii="Times New Roman" w:eastAsia="Times New Roman" w:hAnsi="Times New Roman" w:cs="Times New Roman"/>
          <w:iCs/>
          <w:color w:val="222222"/>
          <w:shd w:val="clear" w:color="auto" w:fill="FFFFFF"/>
        </w:rPr>
        <w:t>n</w:t>
      </w:r>
      <w:r>
        <w:rPr>
          <w:rFonts w:ascii="Times New Roman" w:eastAsia="Times New Roman" w:hAnsi="Times New Roman" w:cs="Times New Roman"/>
          <w:iCs/>
          <w:color w:val="222222"/>
          <w:shd w:val="clear" w:color="auto" w:fill="FFFFFF"/>
        </w:rPr>
        <w:t xml:space="preserve"> nella già ricordata </w:t>
      </w:r>
      <w:r w:rsidRPr="00CA6EBF">
        <w:rPr>
          <w:rFonts w:ascii="Times New Roman" w:eastAsia="Times New Roman" w:hAnsi="Times New Roman" w:cs="Times New Roman"/>
          <w:i/>
          <w:iCs/>
          <w:color w:val="222222"/>
          <w:shd w:val="clear" w:color="auto" w:fill="FFFFFF"/>
        </w:rPr>
        <w:t>Geschichte der christlichen Kabbala</w:t>
      </w:r>
      <w:r>
        <w:rPr>
          <w:rStyle w:val="Rimandonotaapidipagina"/>
          <w:rFonts w:ascii="Times New Roman" w:eastAsia="Times New Roman" w:hAnsi="Times New Roman" w:cs="Times New Roman"/>
          <w:i/>
          <w:iCs/>
          <w:color w:val="222222"/>
          <w:shd w:val="clear" w:color="auto" w:fill="FFFFFF"/>
        </w:rPr>
        <w:footnoteReference w:id="570"/>
      </w:r>
      <w:r>
        <w:rPr>
          <w:rFonts w:ascii="Times New Roman" w:eastAsia="Times New Roman" w:hAnsi="Times New Roman" w:cs="Times New Roman"/>
          <w:iCs/>
          <w:color w:val="222222"/>
          <w:shd w:val="clear" w:color="auto" w:fill="FFFFFF"/>
        </w:rPr>
        <w:t>. Opinione di Schmidt-Bigemann è che Brucker abbia offerto una visione riduttiva, se non semplicistica, del misticismo ebraico, perché mosso da una totale avversione nei confronti della Qabbalah cristiana. Da buon luterano, Brucker non avrebbe condiviso quel tentativo tipicamente rinascimentale di riconciliazione del</w:t>
      </w:r>
      <w:r w:rsidR="00ED4361">
        <w:rPr>
          <w:rFonts w:ascii="Times New Roman" w:eastAsia="Times New Roman" w:hAnsi="Times New Roman" w:cs="Times New Roman"/>
          <w:iCs/>
          <w:color w:val="222222"/>
          <w:shd w:val="clear" w:color="auto" w:fill="FFFFFF"/>
        </w:rPr>
        <w:t>l’ebraismo</w:t>
      </w:r>
      <w:r>
        <w:rPr>
          <w:rFonts w:ascii="Times New Roman" w:eastAsia="Times New Roman" w:hAnsi="Times New Roman" w:cs="Times New Roman"/>
          <w:iCs/>
          <w:color w:val="222222"/>
          <w:shd w:val="clear" w:color="auto" w:fill="FFFFFF"/>
        </w:rPr>
        <w:t xml:space="preserve"> con il </w:t>
      </w:r>
      <w:r w:rsidRPr="00CF0DD8">
        <w:rPr>
          <w:rFonts w:ascii="Times New Roman" w:eastAsia="Times New Roman" w:hAnsi="Times New Roman" w:cs="Times New Roman"/>
          <w:iCs/>
          <w:color w:val="222222"/>
          <w:shd w:val="clear" w:color="auto" w:fill="FFFFFF"/>
        </w:rPr>
        <w:t xml:space="preserve">cristianesimo per mezzo della </w:t>
      </w:r>
      <w:r w:rsidRPr="00CF0DD8">
        <w:rPr>
          <w:rFonts w:ascii="Times New Roman" w:eastAsia="Times New Roman" w:hAnsi="Times New Roman" w:cs="Times New Roman"/>
          <w:i/>
          <w:iCs/>
          <w:color w:val="222222"/>
          <w:shd w:val="clear" w:color="auto" w:fill="FFFFFF"/>
        </w:rPr>
        <w:t>tradizione ebraica</w:t>
      </w:r>
      <w:r w:rsidRPr="00CF0DD8">
        <w:rPr>
          <w:rStyle w:val="Rimandonotaapidipagina"/>
          <w:rFonts w:ascii="Times New Roman" w:eastAsia="Times New Roman" w:hAnsi="Times New Roman" w:cs="Times New Roman"/>
          <w:iCs/>
          <w:color w:val="222222"/>
          <w:shd w:val="clear" w:color="auto" w:fill="FFFFFF"/>
        </w:rPr>
        <w:footnoteReference w:id="571"/>
      </w:r>
      <w:r w:rsidRPr="00CF0DD8">
        <w:rPr>
          <w:rFonts w:ascii="Times New Roman" w:eastAsia="Times New Roman" w:hAnsi="Times New Roman" w:cs="Times New Roman"/>
          <w:iCs/>
          <w:color w:val="222222"/>
          <w:shd w:val="clear" w:color="auto" w:fill="FFFFFF"/>
        </w:rPr>
        <w:t>.</w:t>
      </w:r>
      <w:r>
        <w:rPr>
          <w:rFonts w:ascii="Times New Roman" w:eastAsia="Times New Roman" w:hAnsi="Times New Roman" w:cs="Times New Roman"/>
          <w:iCs/>
          <w:color w:val="222222"/>
          <w:shd w:val="clear" w:color="auto" w:fill="FFFFFF"/>
        </w:rPr>
        <w:t xml:space="preserve"> Con la volontà di mostrare l’inconsistenza di questa posizione, Brucker avrebbe demolito, punto dopo punto, le posizioni dei cabbalisti cristiani, indicando la totale eterogeneità della dogmatica cristiana dalla mistica ebraica. In particolare, non sarebbe possibile individuare nella teoria dell’Adam Kadmon e del suo rapporto con l’En-sof un’anticipazione della relazione sussistente fra Padre e Figlio nel dogma cristiano della Trinità</w:t>
      </w:r>
      <w:r>
        <w:rPr>
          <w:rStyle w:val="Rimandonotaapidipagina"/>
          <w:rFonts w:ascii="Times New Roman" w:eastAsia="Times New Roman" w:hAnsi="Times New Roman" w:cs="Times New Roman"/>
          <w:iCs/>
          <w:color w:val="222222"/>
          <w:shd w:val="clear" w:color="auto" w:fill="FFFFFF"/>
        </w:rPr>
        <w:footnoteReference w:id="572"/>
      </w:r>
      <w:r>
        <w:rPr>
          <w:rFonts w:ascii="Times New Roman" w:eastAsia="Times New Roman" w:hAnsi="Times New Roman" w:cs="Times New Roman"/>
          <w:iCs/>
          <w:color w:val="222222"/>
          <w:shd w:val="clear" w:color="auto" w:fill="FFFFFF"/>
        </w:rPr>
        <w:t xml:space="preserve">. </w:t>
      </w:r>
    </w:p>
    <w:p w14:paraId="744FBCD7" w14:textId="46CED1A6" w:rsidR="001B7751" w:rsidRDefault="001B7751" w:rsidP="001B7751">
      <w:pPr>
        <w:spacing w:line="360" w:lineRule="auto"/>
        <w:ind w:firstLine="567"/>
        <w:jc w:val="both"/>
        <w:rPr>
          <w:rFonts w:ascii="Times New Roman" w:hAnsi="Times New Roman" w:cs="Times New Roman"/>
        </w:rPr>
      </w:pPr>
      <w:r w:rsidRPr="00034D56">
        <w:rPr>
          <w:rFonts w:ascii="Times New Roman" w:eastAsia="Times New Roman" w:hAnsi="Times New Roman" w:cs="Times New Roman"/>
          <w:iCs/>
          <w:color w:val="222222"/>
          <w:shd w:val="clear" w:color="auto" w:fill="FFFFFF"/>
        </w:rPr>
        <w:t>Sul fatto che l’analisi di Biggeman</w:t>
      </w:r>
      <w:r w:rsidR="00DE5865">
        <w:rPr>
          <w:rFonts w:ascii="Times New Roman" w:eastAsia="Times New Roman" w:hAnsi="Times New Roman" w:cs="Times New Roman"/>
          <w:iCs/>
          <w:color w:val="222222"/>
          <w:shd w:val="clear" w:color="auto" w:fill="FFFFFF"/>
        </w:rPr>
        <w:t>n</w:t>
      </w:r>
      <w:r w:rsidRPr="00034D56">
        <w:rPr>
          <w:rFonts w:ascii="Times New Roman" w:eastAsia="Times New Roman" w:hAnsi="Times New Roman" w:cs="Times New Roman"/>
          <w:iCs/>
          <w:color w:val="222222"/>
          <w:shd w:val="clear" w:color="auto" w:fill="FFFFFF"/>
        </w:rPr>
        <w:t xml:space="preserve"> esaurisca l’operazione storico-filosofica della </w:t>
      </w:r>
      <w:r w:rsidRPr="00034D56">
        <w:rPr>
          <w:rFonts w:ascii="Times New Roman" w:eastAsia="Times New Roman" w:hAnsi="Times New Roman" w:cs="Times New Roman"/>
          <w:i/>
          <w:iCs/>
          <w:color w:val="222222"/>
          <w:shd w:val="clear" w:color="auto" w:fill="FFFFFF"/>
        </w:rPr>
        <w:t>Historia criticae philosophiae</w:t>
      </w:r>
      <w:r w:rsidRPr="00034D56">
        <w:rPr>
          <w:rFonts w:ascii="Times New Roman" w:eastAsia="Times New Roman" w:hAnsi="Times New Roman" w:cs="Times New Roman"/>
          <w:iCs/>
          <w:color w:val="222222"/>
          <w:shd w:val="clear" w:color="auto" w:fill="FFFFFF"/>
        </w:rPr>
        <w:t>, nutro dei fortissimi dubbi. Se è vero che Brucker decostruisce quelle che considera delle distorsioni del misticismo ebraico, altrettanto vero è che l’</w:t>
      </w:r>
      <w:r w:rsidR="00021560">
        <w:rPr>
          <w:rFonts w:ascii="Times New Roman" w:eastAsia="Times New Roman" w:hAnsi="Times New Roman" w:cs="Times New Roman"/>
          <w:iCs/>
          <w:color w:val="222222"/>
          <w:shd w:val="clear" w:color="auto" w:fill="FFFFFF"/>
        </w:rPr>
        <w:t>autore</w:t>
      </w:r>
      <w:r w:rsidRPr="00034D56">
        <w:rPr>
          <w:rFonts w:ascii="Times New Roman" w:eastAsia="Times New Roman" w:hAnsi="Times New Roman" w:cs="Times New Roman"/>
          <w:iCs/>
          <w:color w:val="222222"/>
          <w:shd w:val="clear" w:color="auto" w:fill="FFFFFF"/>
        </w:rPr>
        <w:t xml:space="preserve"> cerca di dissipare le tenebre che ammantano le fonti cabbalistiche</w:t>
      </w:r>
      <w:r w:rsidRPr="00034D56">
        <w:rPr>
          <w:rStyle w:val="Rimandonotaapidipagina"/>
          <w:rFonts w:ascii="Times New Roman" w:eastAsia="Times New Roman" w:hAnsi="Times New Roman" w:cs="Times New Roman"/>
          <w:iCs/>
          <w:color w:val="222222"/>
          <w:shd w:val="clear" w:color="auto" w:fill="FFFFFF"/>
        </w:rPr>
        <w:footnoteReference w:id="573"/>
      </w:r>
      <w:r w:rsidRPr="00034D56">
        <w:rPr>
          <w:rFonts w:ascii="Times New Roman" w:eastAsia="Times New Roman" w:hAnsi="Times New Roman" w:cs="Times New Roman"/>
          <w:iCs/>
          <w:color w:val="222222"/>
          <w:shd w:val="clear" w:color="auto" w:fill="FFFFFF"/>
        </w:rPr>
        <w:t>. Questa volontà rischiaratrice si spiega a partire dall’idea che Brucker mette a punto sullo sviluppo storico del pensiero filosofico</w:t>
      </w:r>
      <w:r w:rsidRPr="00034D56">
        <w:rPr>
          <w:rStyle w:val="Rimandonotaapidipagina"/>
          <w:rFonts w:ascii="Times New Roman" w:eastAsia="Times New Roman" w:hAnsi="Times New Roman" w:cs="Times New Roman"/>
          <w:iCs/>
          <w:color w:val="222222"/>
          <w:shd w:val="clear" w:color="auto" w:fill="FFFFFF"/>
        </w:rPr>
        <w:footnoteReference w:id="574"/>
      </w:r>
      <w:r w:rsidRPr="00034D56">
        <w:rPr>
          <w:rFonts w:ascii="Times New Roman" w:eastAsia="Times New Roman" w:hAnsi="Times New Roman" w:cs="Times New Roman"/>
          <w:iCs/>
          <w:color w:val="222222"/>
          <w:shd w:val="clear" w:color="auto" w:fill="FFFFFF"/>
        </w:rPr>
        <w:t>.</w:t>
      </w:r>
      <w:r>
        <w:rPr>
          <w:rFonts w:ascii="Times New Roman" w:eastAsia="Times New Roman" w:hAnsi="Times New Roman" w:cs="Times New Roman"/>
          <w:iCs/>
          <w:color w:val="222222"/>
          <w:shd w:val="clear" w:color="auto" w:fill="FFFFFF"/>
        </w:rPr>
        <w:t xml:space="preserve"> Lo storico della filosofia deve essere </w:t>
      </w:r>
      <w:r w:rsidRPr="00AE743A">
        <w:rPr>
          <w:rFonts w:ascii="Times New Roman" w:eastAsia="Times New Roman" w:hAnsi="Times New Roman" w:cs="Times New Roman"/>
          <w:iCs/>
          <w:color w:val="222222"/>
          <w:shd w:val="clear" w:color="auto" w:fill="FFFFFF"/>
        </w:rPr>
        <w:t>«philosophiae mysteriis innutritum</w:t>
      </w:r>
      <w:r w:rsidRPr="00AE743A">
        <w:rPr>
          <w:rFonts w:ascii="Times New Roman" w:hAnsi="Times New Roman" w:cs="Times New Roman"/>
        </w:rPr>
        <w:t>»</w:t>
      </w:r>
      <w:r w:rsidRPr="00AE743A">
        <w:rPr>
          <w:rStyle w:val="Rimandonotaapidipagina"/>
          <w:rFonts w:ascii="Times New Roman" w:eastAsia="Times New Roman" w:hAnsi="Times New Roman" w:cs="Times New Roman"/>
          <w:iCs/>
          <w:color w:val="222222"/>
          <w:shd w:val="clear" w:color="auto" w:fill="FFFFFF"/>
        </w:rPr>
        <w:footnoteReference w:id="575"/>
      </w:r>
      <w:r w:rsidRPr="00AE743A">
        <w:rPr>
          <w:rFonts w:ascii="Times New Roman" w:hAnsi="Times New Roman" w:cs="Times New Roman"/>
        </w:rPr>
        <w:t xml:space="preserve">, </w:t>
      </w:r>
      <w:r>
        <w:rPr>
          <w:rFonts w:ascii="Times New Roman" w:hAnsi="Times New Roman" w:cs="Times New Roman"/>
        </w:rPr>
        <w:t xml:space="preserve">deve essere capace, in sostanza, di ricostruire, a partire dalla conoscenza delle fonti, i principi su cui poggiano i diversi sistemi filosofici. </w:t>
      </w:r>
      <w:r w:rsidRPr="005C4980">
        <w:rPr>
          <w:rFonts w:ascii="Times New Roman" w:hAnsi="Times New Roman" w:cs="Times New Roman"/>
        </w:rPr>
        <w:t>Dalla messa in chiaro dei principi, segue un’esp</w:t>
      </w:r>
      <w:r w:rsidR="000A7B9E">
        <w:rPr>
          <w:rFonts w:ascii="Times New Roman" w:hAnsi="Times New Roman" w:cs="Times New Roman"/>
        </w:rPr>
        <w:t xml:space="preserve">osizione delle conclusioni ivi </w:t>
      </w:r>
      <w:r w:rsidRPr="005C4980">
        <w:rPr>
          <w:rFonts w:ascii="Times New Roman" w:hAnsi="Times New Roman" w:cs="Times New Roman"/>
        </w:rPr>
        <w:t>contenute:</w:t>
      </w:r>
    </w:p>
    <w:p w14:paraId="320C7459" w14:textId="77777777" w:rsidR="001B7751" w:rsidRDefault="001B7751" w:rsidP="001B7751">
      <w:pPr>
        <w:spacing w:line="360" w:lineRule="auto"/>
        <w:ind w:left="567" w:firstLine="567"/>
        <w:jc w:val="both"/>
        <w:rPr>
          <w:rFonts w:ascii="Times New Roman" w:hAnsi="Times New Roman" w:cs="Times New Roman"/>
        </w:rPr>
      </w:pPr>
    </w:p>
    <w:p w14:paraId="22D85812" w14:textId="77777777" w:rsidR="001B7751" w:rsidRPr="00AE743A" w:rsidRDefault="001B7751" w:rsidP="001B7751">
      <w:pPr>
        <w:spacing w:line="360" w:lineRule="auto"/>
        <w:ind w:left="567" w:firstLine="567"/>
        <w:jc w:val="both"/>
        <w:rPr>
          <w:rFonts w:ascii="Times New Roman" w:hAnsi="Times New Roman" w:cs="Times New Roman"/>
          <w:sz w:val="20"/>
          <w:szCs w:val="20"/>
        </w:rPr>
      </w:pPr>
      <w:r w:rsidRPr="00AE743A">
        <w:rPr>
          <w:rFonts w:ascii="Times New Roman" w:hAnsi="Times New Roman" w:cs="Times New Roman"/>
          <w:sz w:val="20"/>
          <w:szCs w:val="20"/>
        </w:rPr>
        <w:t>«Ut itaque de sententia philosophorum sanum rectumque judicium ferri queat, totum ex eorum scriptis systemata ita eruendum est, ut ante omnia principia generalia, quae fundamenti loco toti doctrinarum aedificio subjiciuntur, eruantur, et his demum illae superstruantur conclusiones, quae ex istis fontibus sponte sua fluunt»</w:t>
      </w:r>
      <w:r w:rsidRPr="00AE743A">
        <w:rPr>
          <w:rStyle w:val="Rimandonotaapidipagina"/>
          <w:rFonts w:ascii="Times New Roman" w:hAnsi="Times New Roman" w:cs="Times New Roman"/>
          <w:sz w:val="20"/>
          <w:szCs w:val="20"/>
        </w:rPr>
        <w:footnoteReference w:id="576"/>
      </w:r>
      <w:r w:rsidRPr="00AE743A">
        <w:rPr>
          <w:rFonts w:ascii="Times New Roman" w:hAnsi="Times New Roman" w:cs="Times New Roman"/>
          <w:sz w:val="20"/>
          <w:szCs w:val="20"/>
        </w:rPr>
        <w:t>.</w:t>
      </w:r>
    </w:p>
    <w:p w14:paraId="60B766EE" w14:textId="77777777" w:rsidR="001B7751" w:rsidRDefault="001B7751" w:rsidP="001B7751">
      <w:pPr>
        <w:spacing w:line="360" w:lineRule="auto"/>
        <w:ind w:left="1134" w:firstLine="567"/>
        <w:jc w:val="both"/>
        <w:rPr>
          <w:rFonts w:ascii="Times New Roman" w:hAnsi="Times New Roman" w:cs="Times New Roman"/>
        </w:rPr>
      </w:pPr>
    </w:p>
    <w:p w14:paraId="76F4A1BB" w14:textId="1B277811" w:rsidR="001B7751" w:rsidRPr="00892732" w:rsidRDefault="001B7751" w:rsidP="001B7751">
      <w:pPr>
        <w:tabs>
          <w:tab w:val="left" w:pos="1276"/>
        </w:tabs>
        <w:spacing w:line="360" w:lineRule="auto"/>
        <w:ind w:firstLine="567"/>
        <w:jc w:val="both"/>
        <w:rPr>
          <w:rFonts w:ascii="Times New Roman" w:hAnsi="Times New Roman" w:cs="Times New Roman"/>
          <w:highlight w:val="cyan"/>
        </w:rPr>
      </w:pPr>
      <w:r>
        <w:rPr>
          <w:rFonts w:ascii="Times New Roman" w:hAnsi="Times New Roman" w:cs="Times New Roman"/>
        </w:rPr>
        <w:t xml:space="preserve">Se alcuni punti non sono chiari, prosegue Brucker, non si deve cercare di spiegarli a tutti i costi. La cosa più saggia da fare è </w:t>
      </w:r>
      <w:r w:rsidRPr="00CD644D">
        <w:rPr>
          <w:rFonts w:ascii="Times New Roman" w:hAnsi="Times New Roman" w:cs="Times New Roman"/>
        </w:rPr>
        <w:t>«in dubiis suspendendus assensus</w:t>
      </w:r>
      <w:r w:rsidRPr="00CD644D">
        <w:t>»</w:t>
      </w:r>
      <w:r w:rsidRPr="00CD644D">
        <w:rPr>
          <w:rStyle w:val="Rimandonotaapidipagina"/>
          <w:rFonts w:ascii="Times New Roman" w:hAnsi="Times New Roman" w:cs="Times New Roman"/>
        </w:rPr>
        <w:footnoteReference w:id="577"/>
      </w:r>
      <w:r w:rsidRPr="00CD644D">
        <w:rPr>
          <w:rFonts w:ascii="Times New Roman" w:hAnsi="Times New Roman" w:cs="Times New Roman"/>
        </w:rPr>
        <w:t>,</w:t>
      </w:r>
      <w:r w:rsidRPr="005F2BA8">
        <w:rPr>
          <w:rFonts w:ascii="Times New Roman" w:hAnsi="Times New Roman" w:cs="Times New Roman"/>
        </w:rPr>
        <w:t xml:space="preserve"> evitando</w:t>
      </w:r>
      <w:r>
        <w:rPr>
          <w:rFonts w:ascii="Times New Roman" w:hAnsi="Times New Roman" w:cs="Times New Roman"/>
        </w:rPr>
        <w:t xml:space="preserve"> di commettere l’errore metodologico dei sincretisti, che </w:t>
      </w:r>
      <w:r w:rsidRPr="00CD644D">
        <w:rPr>
          <w:rFonts w:ascii="Times New Roman" w:hAnsi="Times New Roman" w:cs="Times New Roman"/>
        </w:rPr>
        <w:t>«variarium sententiarium &amp; diversarum sectarum, inter se conciliatores caute audiendi &amp; multo cautis admittendi sunt, quippe qui mentem philosophorum plerumque adulterant»</w:t>
      </w:r>
      <w:r w:rsidRPr="00CD644D">
        <w:rPr>
          <w:rStyle w:val="Rimandonotaapidipagina"/>
          <w:rFonts w:ascii="Times New Roman" w:hAnsi="Times New Roman" w:cs="Times New Roman"/>
        </w:rPr>
        <w:footnoteReference w:id="578"/>
      </w:r>
      <w:r w:rsidRPr="00CD644D">
        <w:rPr>
          <w:rFonts w:ascii="Times New Roman" w:hAnsi="Times New Roman" w:cs="Times New Roman"/>
        </w:rPr>
        <w:t>.</w:t>
      </w:r>
      <w:r>
        <w:rPr>
          <w:rFonts w:ascii="Times New Roman" w:hAnsi="Times New Roman" w:cs="Times New Roman"/>
        </w:rPr>
        <w:t xml:space="preserve"> </w:t>
      </w:r>
      <w:r w:rsidRPr="00217BF5">
        <w:rPr>
          <w:rFonts w:ascii="Times New Roman" w:hAnsi="Times New Roman" w:cs="Times New Roman"/>
        </w:rPr>
        <w:t>L’esposizione di un sistema filosofico non può fare a meno della conoscenza delle fonti primarie, dei contesti storico-cultur</w:t>
      </w:r>
      <w:r w:rsidR="008F5C49">
        <w:rPr>
          <w:rFonts w:ascii="Times New Roman" w:hAnsi="Times New Roman" w:cs="Times New Roman"/>
        </w:rPr>
        <w:t>ali in cui si sono formati gli A</w:t>
      </w:r>
      <w:r w:rsidRPr="00217BF5">
        <w:rPr>
          <w:rFonts w:ascii="Times New Roman" w:hAnsi="Times New Roman" w:cs="Times New Roman"/>
        </w:rPr>
        <w:t>utori e dei dibattiti originatesi sui singoli sistemi filosofici (</w:t>
      </w:r>
      <w:r>
        <w:rPr>
          <w:rFonts w:ascii="Times New Roman" w:hAnsi="Times New Roman" w:cs="Times New Roman"/>
        </w:rPr>
        <w:t>fonti secondarie</w:t>
      </w:r>
      <w:r w:rsidRPr="00217BF5">
        <w:rPr>
          <w:rFonts w:ascii="Times New Roman" w:hAnsi="Times New Roman" w:cs="Times New Roman"/>
        </w:rPr>
        <w:t xml:space="preserve">). La </w:t>
      </w:r>
      <w:r w:rsidRPr="00217BF5">
        <w:rPr>
          <w:rFonts w:ascii="Times New Roman" w:hAnsi="Times New Roman" w:cs="Times New Roman"/>
          <w:i/>
        </w:rPr>
        <w:t>storicità</w:t>
      </w:r>
      <w:r w:rsidRPr="00217BF5">
        <w:rPr>
          <w:rFonts w:ascii="Times New Roman" w:hAnsi="Times New Roman" w:cs="Times New Roman"/>
        </w:rPr>
        <w:t xml:space="preserve"> del pensiero filosofico non inficia l’ideale metodologico bruckeriano, che deduce dai principi primi di una data filosofia le conseguenze e le conclusioni ad essa inerenti.</w:t>
      </w:r>
      <w:r>
        <w:rPr>
          <w:rFonts w:ascii="Times New Roman" w:hAnsi="Times New Roman" w:cs="Times New Roman"/>
        </w:rPr>
        <w:t xml:space="preserve"> Questo procedimento, che non dovrebbe distinguersi dal filosofare stesso, è definito da Brucker con il termine “eclettismo”. Eclettico è colui che: </w:t>
      </w:r>
    </w:p>
    <w:p w14:paraId="21ED8B01" w14:textId="77777777" w:rsidR="001B7751" w:rsidRDefault="001B7751" w:rsidP="001B7751">
      <w:pPr>
        <w:tabs>
          <w:tab w:val="left" w:pos="1276"/>
        </w:tabs>
        <w:spacing w:line="360" w:lineRule="auto"/>
        <w:ind w:left="567" w:firstLine="425"/>
        <w:jc w:val="both"/>
        <w:rPr>
          <w:rFonts w:ascii="Times New Roman" w:hAnsi="Times New Roman" w:cs="Times New Roman"/>
        </w:rPr>
      </w:pPr>
    </w:p>
    <w:p w14:paraId="30FA79CF" w14:textId="77777777" w:rsidR="001B7751" w:rsidRPr="00233606" w:rsidRDefault="001B7751" w:rsidP="001B7751">
      <w:pPr>
        <w:tabs>
          <w:tab w:val="left" w:pos="1276"/>
        </w:tabs>
        <w:spacing w:line="360" w:lineRule="auto"/>
        <w:ind w:left="567" w:firstLine="567"/>
        <w:jc w:val="both"/>
        <w:rPr>
          <w:rFonts w:ascii="Times New Roman" w:hAnsi="Times New Roman" w:cs="Times New Roman"/>
          <w:sz w:val="20"/>
          <w:szCs w:val="20"/>
        </w:rPr>
      </w:pPr>
      <w:r w:rsidRPr="00233606">
        <w:rPr>
          <w:rFonts w:ascii="Times New Roman" w:hAnsi="Times New Roman" w:cs="Times New Roman"/>
        </w:rPr>
        <w:t>«</w:t>
      </w:r>
      <w:r w:rsidRPr="00233606">
        <w:rPr>
          <w:rFonts w:ascii="Times New Roman" w:hAnsi="Times New Roman" w:cs="Times New Roman"/>
          <w:sz w:val="20"/>
          <w:szCs w:val="20"/>
        </w:rPr>
        <w:t>Nempe ille solus nobis eclecticus philosophus est, qui procul ire iusso omni auctoritas, venerationis, antiquitatis, sectae, similiumque praeiudicio ad unam rationis connata regulam respicit, exque rerum, quas considerandas sibi statuit, natura, indole, et proprietatibus essentialibus clara et evidentia principia haurit, ex quibus iustis ratiocinandi legibus usus, conclusiones deinde de problematibus philosophicis deducit»</w:t>
      </w:r>
      <w:r w:rsidRPr="00233606">
        <w:rPr>
          <w:rStyle w:val="Rimandonotaapidipagina"/>
          <w:rFonts w:ascii="Times New Roman" w:hAnsi="Times New Roman" w:cs="Times New Roman"/>
          <w:sz w:val="20"/>
          <w:szCs w:val="20"/>
        </w:rPr>
        <w:footnoteReference w:id="579"/>
      </w:r>
      <w:r w:rsidRPr="00233606">
        <w:rPr>
          <w:rFonts w:ascii="Times New Roman" w:hAnsi="Times New Roman" w:cs="Times New Roman"/>
          <w:sz w:val="20"/>
          <w:szCs w:val="20"/>
        </w:rPr>
        <w:t>.</w:t>
      </w:r>
    </w:p>
    <w:p w14:paraId="141FC8E0" w14:textId="77777777" w:rsidR="001B7751" w:rsidRPr="009B1FCD" w:rsidRDefault="001B7751" w:rsidP="001B7751">
      <w:pPr>
        <w:tabs>
          <w:tab w:val="left" w:pos="1276"/>
        </w:tabs>
        <w:spacing w:line="360" w:lineRule="auto"/>
        <w:ind w:left="708" w:firstLine="425"/>
        <w:jc w:val="both"/>
        <w:rPr>
          <w:rFonts w:ascii="Times New Roman" w:hAnsi="Times New Roman" w:cs="Times New Roman"/>
        </w:rPr>
      </w:pPr>
    </w:p>
    <w:p w14:paraId="226A0894" w14:textId="77777777" w:rsidR="001B7751" w:rsidRDefault="001B7751" w:rsidP="001B7751">
      <w:pPr>
        <w:tabs>
          <w:tab w:val="left" w:pos="1276"/>
        </w:tabs>
        <w:spacing w:line="360" w:lineRule="auto"/>
        <w:ind w:firstLine="567"/>
        <w:jc w:val="both"/>
        <w:rPr>
          <w:rFonts w:ascii="Times New Roman" w:hAnsi="Times New Roman" w:cs="Times New Roman"/>
        </w:rPr>
      </w:pPr>
      <w:r w:rsidRPr="00A57FA0">
        <w:rPr>
          <w:rFonts w:ascii="Times New Roman" w:hAnsi="Times New Roman" w:cs="Times New Roman"/>
        </w:rPr>
        <w:t xml:space="preserve">La filosofia eclettica ha un’origine storicamente determinata. Dall’espressione di gusto cartesiano </w:t>
      </w:r>
      <w:r w:rsidRPr="00A57FA0">
        <w:rPr>
          <w:rFonts w:ascii="Times New Roman" w:hAnsi="Times New Roman" w:cs="Times New Roman"/>
          <w:i/>
        </w:rPr>
        <w:t>clara et evidentia principia</w:t>
      </w:r>
      <w:r w:rsidRPr="00A57FA0">
        <w:rPr>
          <w:rFonts w:ascii="Times New Roman" w:hAnsi="Times New Roman" w:cs="Times New Roman"/>
        </w:rPr>
        <w:t>, s’evince l’identificazione dell’eclettismo con il razionalismo moderno:</w:t>
      </w:r>
      <w:r>
        <w:rPr>
          <w:rFonts w:ascii="Times New Roman" w:hAnsi="Times New Roman" w:cs="Times New Roman"/>
        </w:rPr>
        <w:t xml:space="preserve"> dismesso l’ossequio per l’autorità, la filosofia fonda le proprie conoscenze a partire dalle leggi della pura ragione. Da Francis Bacon in poi, continua Brucker, si registra un incremento del sapere filosofico del tutto alieno alle precedenti fasi della storia della filosofia: </w:t>
      </w:r>
      <w:r w:rsidRPr="00610724">
        <w:rPr>
          <w:rFonts w:ascii="Times New Roman" w:hAnsi="Times New Roman" w:cs="Times New Roman"/>
        </w:rPr>
        <w:t>«post Baconis Verulami conatus tanta philosophiae incrementa pe</w:t>
      </w:r>
      <w:r>
        <w:rPr>
          <w:rFonts w:ascii="Times New Roman" w:hAnsi="Times New Roman" w:cs="Times New Roman"/>
        </w:rPr>
        <w:t>perit uno seculo, quanta per tot</w:t>
      </w:r>
      <w:r w:rsidRPr="00610724">
        <w:rPr>
          <w:rFonts w:ascii="Times New Roman" w:hAnsi="Times New Roman" w:cs="Times New Roman"/>
        </w:rPr>
        <w:t xml:space="preserve"> annorum millia non habuit»</w:t>
      </w:r>
      <w:r w:rsidRPr="00610724">
        <w:rPr>
          <w:rStyle w:val="Rimandonotaapidipagina"/>
          <w:rFonts w:ascii="Times New Roman" w:hAnsi="Times New Roman" w:cs="Times New Roman"/>
        </w:rPr>
        <w:footnoteReference w:id="580"/>
      </w:r>
      <w:r w:rsidRPr="00610724">
        <w:rPr>
          <w:rFonts w:ascii="Times New Roman" w:hAnsi="Times New Roman" w:cs="Times New Roman"/>
        </w:rPr>
        <w:t>.</w:t>
      </w:r>
      <w:r>
        <w:rPr>
          <w:rFonts w:ascii="Times New Roman" w:hAnsi="Times New Roman" w:cs="Times New Roman"/>
        </w:rPr>
        <w:t xml:space="preserve"> Se questo metodo ha garantito progressi filosofico-scientifici inimmaginabili, </w:t>
      </w:r>
      <w:r w:rsidRPr="00A57FA0">
        <w:rPr>
          <w:rFonts w:ascii="Times New Roman" w:hAnsi="Times New Roman" w:cs="Times New Roman"/>
        </w:rPr>
        <w:t>sembra legittimo aspettarsi, da una sua applicazione in ambito storico-filosofico, una nuova e proficua sistematizzazione e valutazione dei sistemi di pensiero succedutosi nel corso del tempo.</w:t>
      </w:r>
    </w:p>
    <w:p w14:paraId="58D7C904" w14:textId="2577B762" w:rsidR="001B7751" w:rsidRPr="00D570FC" w:rsidRDefault="001B7751" w:rsidP="001B7751">
      <w:pPr>
        <w:tabs>
          <w:tab w:val="left" w:pos="1276"/>
        </w:tabs>
        <w:spacing w:line="360" w:lineRule="auto"/>
        <w:ind w:firstLine="567"/>
        <w:jc w:val="both"/>
        <w:rPr>
          <w:rFonts w:ascii="Times New Roman" w:hAnsi="Times New Roman" w:cs="Times New Roman"/>
        </w:rPr>
      </w:pPr>
      <w:r w:rsidRPr="00D570FC">
        <w:rPr>
          <w:rFonts w:ascii="Times New Roman" w:hAnsi="Times New Roman" w:cs="Times New Roman"/>
        </w:rPr>
        <w:t xml:space="preserve">Per Brucker, fare storia della filosofia significa coniugare ad una previa conoscenza delle fonti </w:t>
      </w:r>
      <w:r>
        <w:rPr>
          <w:rFonts w:ascii="Times New Roman" w:hAnsi="Times New Roman" w:cs="Times New Roman"/>
        </w:rPr>
        <w:t xml:space="preserve">(primarie e secondarie) </w:t>
      </w:r>
      <w:r w:rsidRPr="00D570FC">
        <w:rPr>
          <w:rFonts w:ascii="Times New Roman" w:hAnsi="Times New Roman" w:cs="Times New Roman"/>
        </w:rPr>
        <w:t xml:space="preserve">e dei contesti storico-culturali una metodologia di matrice eclettica (razionalistica). L’inseparabilità del dato storico dall’elemento teorico vale sia in termini generali che particolari. Riguardo alla </w:t>
      </w:r>
      <w:r w:rsidRPr="00D570FC">
        <w:rPr>
          <w:rFonts w:ascii="Times New Roman" w:hAnsi="Times New Roman" w:cs="Times New Roman"/>
          <w:i/>
        </w:rPr>
        <w:t>Philosophia Iudeorum Esoterica</w:t>
      </w:r>
      <w:r w:rsidRPr="00D570FC">
        <w:rPr>
          <w:rFonts w:ascii="Times New Roman" w:hAnsi="Times New Roman" w:cs="Times New Roman"/>
        </w:rPr>
        <w:t>, ad esempio,</w:t>
      </w:r>
      <w:r>
        <w:rPr>
          <w:rFonts w:ascii="Times New Roman" w:hAnsi="Times New Roman" w:cs="Times New Roman"/>
        </w:rPr>
        <w:t xml:space="preserve"> si registra sia la volontà di demolire i pregiudizi sulla Qabbalah, che il proposito di rendere più chiari i contenuti precipui di questa tradizione di pensiero. Sorta con tutta probabilità in Egitto, la Qabbalah trae spunto dalla filosofia di Filone d’Alessandria e dal pensiero orientale. </w:t>
      </w:r>
      <w:r w:rsidRPr="00D570FC">
        <w:rPr>
          <w:rFonts w:ascii="Times New Roman" w:hAnsi="Times New Roman" w:cs="Times New Roman"/>
        </w:rPr>
        <w:t xml:space="preserve">Per mezzo di Filone elementi pitagorici e platonici sono stati assorbiti dalla filosofia esoterica del popolo ebraico. Gli interpreti, non senza difficoltà e divergenze, riconoscono nel pensiero orientale, greco (pitagorico e platonico) e alessandrino le fonti del misticismo ebraico. A suffragare questa tesi, Brucker cita lo </w:t>
      </w:r>
      <w:r w:rsidR="00A76F84">
        <w:rPr>
          <w:rFonts w:ascii="Times New Roman" w:hAnsi="Times New Roman" w:cs="Times New Roman"/>
          <w:i/>
        </w:rPr>
        <w:t>Spinozismus in J</w:t>
      </w:r>
      <w:r w:rsidR="00A76F84">
        <w:rPr>
          <w:rFonts w:ascii="Times New Roman" w:eastAsia="Times New Roman" w:hAnsi="Times New Roman" w:cs="Times New Roman"/>
          <w:i/>
          <w:iCs/>
          <w:color w:val="222222"/>
          <w:shd w:val="clear" w:color="auto" w:fill="FFFFFF"/>
          <w:lang w:val="de-DE"/>
        </w:rPr>
        <w:t>ü</w:t>
      </w:r>
      <w:r w:rsidRPr="00D570FC">
        <w:rPr>
          <w:rFonts w:ascii="Times New Roman" w:hAnsi="Times New Roman" w:cs="Times New Roman"/>
          <w:i/>
        </w:rPr>
        <w:t>denthumb</w:t>
      </w:r>
      <w:r w:rsidRPr="00D570FC">
        <w:rPr>
          <w:rFonts w:ascii="Times New Roman" w:hAnsi="Times New Roman" w:cs="Times New Roman"/>
        </w:rPr>
        <w:t xml:space="preserve"> dell’«</w:t>
      </w:r>
      <w:r w:rsidRPr="00D570FC">
        <w:rPr>
          <w:rFonts w:ascii="Times New Roman" w:eastAsia="Times New Roman" w:hAnsi="Times New Roman" w:cs="Times New Roman"/>
          <w:iCs/>
          <w:color w:val="222222"/>
          <w:shd w:val="clear" w:color="auto" w:fill="FFFFFF"/>
        </w:rPr>
        <w:t>acutissimus Wachterus</w:t>
      </w:r>
      <w:r w:rsidRPr="00D570FC">
        <w:rPr>
          <w:rFonts w:ascii="Times New Roman" w:hAnsi="Times New Roman" w:cs="Times New Roman"/>
        </w:rPr>
        <w:t>»</w:t>
      </w:r>
      <w:r w:rsidRPr="00D570FC">
        <w:rPr>
          <w:rStyle w:val="Rimandonotaapidipagina"/>
          <w:rFonts w:ascii="Times New Roman" w:hAnsi="Times New Roman" w:cs="Times New Roman"/>
        </w:rPr>
        <w:footnoteReference w:id="581"/>
      </w:r>
      <w:r w:rsidRPr="00D570FC">
        <w:rPr>
          <w:rFonts w:ascii="Times New Roman" w:hAnsi="Times New Roman" w:cs="Times New Roman"/>
        </w:rPr>
        <w:t xml:space="preserve">: </w:t>
      </w:r>
    </w:p>
    <w:p w14:paraId="69478195" w14:textId="77777777" w:rsidR="001B7751" w:rsidRDefault="001B7751" w:rsidP="001B7751">
      <w:pPr>
        <w:tabs>
          <w:tab w:val="left" w:pos="1276"/>
        </w:tabs>
        <w:spacing w:line="360" w:lineRule="auto"/>
        <w:ind w:left="567" w:firstLine="425"/>
        <w:jc w:val="both"/>
        <w:rPr>
          <w:rFonts w:ascii="Times New Roman" w:hAnsi="Times New Roman" w:cs="Times New Roman"/>
        </w:rPr>
      </w:pPr>
    </w:p>
    <w:p w14:paraId="774316E1" w14:textId="77777777" w:rsidR="001B7751" w:rsidRPr="00233606" w:rsidRDefault="001B7751" w:rsidP="001B7751">
      <w:pPr>
        <w:tabs>
          <w:tab w:val="left" w:pos="1560"/>
        </w:tabs>
        <w:spacing w:line="360" w:lineRule="auto"/>
        <w:ind w:left="567" w:firstLine="567"/>
        <w:jc w:val="both"/>
        <w:rPr>
          <w:rFonts w:ascii="Times New Roman" w:hAnsi="Times New Roman" w:cs="Times New Roman"/>
          <w:sz w:val="20"/>
          <w:szCs w:val="20"/>
        </w:rPr>
      </w:pPr>
      <w:r w:rsidRPr="00233606">
        <w:rPr>
          <w:rFonts w:ascii="Times New Roman" w:hAnsi="Times New Roman" w:cs="Times New Roman"/>
          <w:sz w:val="20"/>
          <w:szCs w:val="20"/>
        </w:rPr>
        <w:t>«De vero tamen fonte ex quo derivanda sit philosophia Cabbalistica valde inter se dissentiunt [gli interpreti]. Quidam, et inter eos praecipue eruditissimus Wachterus barbaricam philosophiam pro fonte Cabbalae habent […] Alio tamen loco, Cabbalam ex Pytagoricorum atque Platonicorum et Orphei quoque dogmatibus derivat: unde coniicimus, virum praestantissimum philosophiae barbaricae nomine intelligere philosophiam Alexandrinam, quae nomen Chaldaicae, Hermeticae, Orphicae sibi vindicavit, et dogmata pluscula ex orientali philosophia accepta suo, quod a Pythagora et Platone accepit, systemati attemperavit»</w:t>
      </w:r>
      <w:r w:rsidRPr="00233606">
        <w:rPr>
          <w:rStyle w:val="Rimandonotaapidipagina"/>
          <w:rFonts w:ascii="Times New Roman" w:hAnsi="Times New Roman" w:cs="Times New Roman"/>
          <w:sz w:val="20"/>
          <w:szCs w:val="20"/>
        </w:rPr>
        <w:footnoteReference w:id="582"/>
      </w:r>
      <w:r w:rsidRPr="00233606">
        <w:rPr>
          <w:rFonts w:ascii="Times New Roman" w:hAnsi="Times New Roman" w:cs="Times New Roman"/>
          <w:sz w:val="20"/>
          <w:szCs w:val="20"/>
        </w:rPr>
        <w:t>.</w:t>
      </w:r>
    </w:p>
    <w:p w14:paraId="63D1A933" w14:textId="77777777" w:rsidR="001B7751" w:rsidRPr="002620A0" w:rsidRDefault="001B7751" w:rsidP="001B7751">
      <w:pPr>
        <w:tabs>
          <w:tab w:val="left" w:pos="1276"/>
        </w:tabs>
        <w:spacing w:line="360" w:lineRule="auto"/>
        <w:jc w:val="both"/>
        <w:rPr>
          <w:rFonts w:ascii="Times New Roman" w:hAnsi="Times New Roman" w:cs="Times New Roman"/>
        </w:rPr>
      </w:pPr>
    </w:p>
    <w:p w14:paraId="7D550648" w14:textId="4D3B72AC" w:rsidR="001B7751" w:rsidRDefault="001B7751" w:rsidP="001B7751">
      <w:pPr>
        <w:spacing w:line="360" w:lineRule="auto"/>
        <w:ind w:firstLine="567"/>
        <w:jc w:val="both"/>
        <w:rPr>
          <w:rFonts w:ascii="Times New Roman" w:hAnsi="Times New Roman" w:cs="Times New Roman"/>
        </w:rPr>
      </w:pPr>
      <w:r>
        <w:rPr>
          <w:rFonts w:ascii="Times New Roman" w:hAnsi="Times New Roman" w:cs="Times New Roman"/>
        </w:rPr>
        <w:t xml:space="preserve"> </w:t>
      </w:r>
      <w:r w:rsidRPr="00271863">
        <w:rPr>
          <w:rFonts w:ascii="Times New Roman" w:hAnsi="Times New Roman" w:cs="Times New Roman"/>
        </w:rPr>
        <w:t>A partire da questa cornice storico-culturale, Brucker avanza un parallelo fra dottrina alessandrina, orientale e cabbalistica. Senza alcuna distinzione vale per questi sistemi filosofici il principio «ex nihilo nihil fit»</w:t>
      </w:r>
      <w:r w:rsidRPr="00271863">
        <w:rPr>
          <w:rStyle w:val="Rimandonotaapidipagina"/>
          <w:rFonts w:ascii="Times New Roman" w:hAnsi="Times New Roman" w:cs="Times New Roman"/>
        </w:rPr>
        <w:footnoteReference w:id="583"/>
      </w:r>
      <w:r w:rsidRPr="00271863">
        <w:rPr>
          <w:rFonts w:ascii="Times New Roman" w:hAnsi="Times New Roman" w:cs="Times New Roman"/>
        </w:rPr>
        <w:t xml:space="preserve">. È evidente la ripresa della tesi </w:t>
      </w:r>
      <w:r w:rsidRPr="00271863">
        <w:rPr>
          <w:rFonts w:ascii="Times New Roman" w:hAnsi="Times New Roman" w:cs="Times New Roman"/>
          <w:i/>
        </w:rPr>
        <w:t xml:space="preserve">ex nihilo nihil creari posset </w:t>
      </w:r>
      <w:r w:rsidRPr="00271863">
        <w:rPr>
          <w:rFonts w:ascii="Times New Roman" w:hAnsi="Times New Roman" w:cs="Times New Roman"/>
        </w:rPr>
        <w:t xml:space="preserve">di Henry More, che Brucker identifica come metaprincipio di queste tre forme di pensiero. Dalla negazione della </w:t>
      </w:r>
      <w:r w:rsidRPr="00271863">
        <w:rPr>
          <w:rFonts w:ascii="Times New Roman" w:hAnsi="Times New Roman" w:cs="Times New Roman"/>
          <w:i/>
        </w:rPr>
        <w:t>creatio ex nihilo</w:t>
      </w:r>
      <w:r w:rsidRPr="00271863">
        <w:rPr>
          <w:rFonts w:ascii="Times New Roman" w:hAnsi="Times New Roman" w:cs="Times New Roman"/>
        </w:rPr>
        <w:t>, segue un’interpretazione emanatistica</w:t>
      </w:r>
      <w:r>
        <w:rPr>
          <w:rFonts w:ascii="Times New Roman" w:hAnsi="Times New Roman" w:cs="Times New Roman"/>
        </w:rPr>
        <w:t xml:space="preserve"> della cosmologia alessandrina, orientale e cabbalistica: </w:t>
      </w:r>
      <w:r w:rsidRPr="00233606">
        <w:rPr>
          <w:rFonts w:ascii="Times New Roman" w:hAnsi="Times New Roman" w:cs="Times New Roman"/>
        </w:rPr>
        <w:t>«ex uno sunt omnia»</w:t>
      </w:r>
      <w:r w:rsidRPr="00233606">
        <w:rPr>
          <w:rStyle w:val="Rimandonotaapidipagina"/>
          <w:rFonts w:ascii="Times New Roman" w:hAnsi="Times New Roman" w:cs="Times New Roman"/>
        </w:rPr>
        <w:footnoteReference w:id="584"/>
      </w:r>
      <w:r>
        <w:rPr>
          <w:rFonts w:ascii="Times New Roman" w:hAnsi="Times New Roman" w:cs="Times New Roman"/>
          <w:i/>
        </w:rPr>
        <w:t xml:space="preserve"> </w:t>
      </w:r>
      <w:r>
        <w:rPr>
          <w:rFonts w:ascii="Times New Roman" w:hAnsi="Times New Roman" w:cs="Times New Roman"/>
        </w:rPr>
        <w:t xml:space="preserve">e l’Uno è </w:t>
      </w:r>
      <w:r w:rsidRPr="00233606">
        <w:rPr>
          <w:rFonts w:ascii="Times New Roman" w:hAnsi="Times New Roman" w:cs="Times New Roman"/>
        </w:rPr>
        <w:t>«principium rerum omnium, quod est super omnia, est senior seniorum, occultus occultorum, ex quo sunt efformationes omnium regum, i. e. sephirarum emanantium»</w:t>
      </w:r>
      <w:r w:rsidRPr="00233606">
        <w:rPr>
          <w:rStyle w:val="Rimandonotaapidipagina"/>
          <w:rFonts w:ascii="Times New Roman" w:hAnsi="Times New Roman" w:cs="Times New Roman"/>
        </w:rPr>
        <w:footnoteReference w:id="585"/>
      </w:r>
      <w:r w:rsidRPr="00233606">
        <w:rPr>
          <w:rFonts w:ascii="Times New Roman" w:hAnsi="Times New Roman" w:cs="Times New Roman"/>
        </w:rPr>
        <w:t>.</w:t>
      </w:r>
      <w:r>
        <w:rPr>
          <w:rFonts w:ascii="Times New Roman" w:hAnsi="Times New Roman" w:cs="Times New Roman"/>
        </w:rPr>
        <w:t xml:space="preserve"> In questo caso, alla ricostruzione bruckeriana s’associano elementi della </w:t>
      </w:r>
      <w:r w:rsidRPr="009C697C">
        <w:rPr>
          <w:rFonts w:ascii="Times New Roman" w:hAnsi="Times New Roman" w:cs="Times New Roman"/>
          <w:i/>
        </w:rPr>
        <w:t>Porta Coelorum</w:t>
      </w:r>
      <w:r w:rsidRPr="009C697C">
        <w:rPr>
          <w:rFonts w:ascii="Times New Roman" w:hAnsi="Times New Roman" w:cs="Times New Roman"/>
        </w:rPr>
        <w:t xml:space="preserve"> e dell’</w:t>
      </w:r>
      <w:r w:rsidRPr="009C697C">
        <w:rPr>
          <w:rFonts w:ascii="Times New Roman" w:hAnsi="Times New Roman" w:cs="Times New Roman"/>
          <w:i/>
        </w:rPr>
        <w:t>Elucidarius</w:t>
      </w:r>
      <w:r w:rsidRPr="009C697C">
        <w:rPr>
          <w:rFonts w:ascii="Times New Roman" w:hAnsi="Times New Roman" w:cs="Times New Roman"/>
        </w:rPr>
        <w:t xml:space="preserve"> </w:t>
      </w:r>
      <w:r w:rsidRPr="009C697C">
        <w:rPr>
          <w:rFonts w:ascii="Times New Roman" w:hAnsi="Times New Roman" w:cs="Times New Roman"/>
          <w:i/>
        </w:rPr>
        <w:t>Cabalisticus</w:t>
      </w:r>
      <w:r w:rsidRPr="009C697C">
        <w:rPr>
          <w:rFonts w:ascii="Times New Roman" w:hAnsi="Times New Roman" w:cs="Times New Roman"/>
        </w:rPr>
        <w:t xml:space="preserve">. Riguardo alla </w:t>
      </w:r>
      <w:r w:rsidRPr="009C697C">
        <w:rPr>
          <w:rFonts w:ascii="Times New Roman" w:hAnsi="Times New Roman" w:cs="Times New Roman"/>
          <w:i/>
        </w:rPr>
        <w:t>Porta Coelorum</w:t>
      </w:r>
      <w:r w:rsidRPr="009C697C">
        <w:rPr>
          <w:rFonts w:ascii="Times New Roman" w:hAnsi="Times New Roman" w:cs="Times New Roman"/>
        </w:rPr>
        <w:t>, si ricorderà come Herrera</w:t>
      </w:r>
      <w:r w:rsidRPr="009C697C">
        <w:rPr>
          <w:rFonts w:ascii="Times New Roman" w:hAnsi="Times New Roman" w:cs="Times New Roman"/>
          <w:i/>
        </w:rPr>
        <w:t xml:space="preserve"> </w:t>
      </w:r>
      <w:r w:rsidRPr="009C697C">
        <w:rPr>
          <w:rFonts w:ascii="Times New Roman" w:hAnsi="Times New Roman" w:cs="Times New Roman"/>
        </w:rPr>
        <w:t>abbia tematizzato la</w:t>
      </w:r>
      <w:r>
        <w:rPr>
          <w:rFonts w:ascii="Times New Roman" w:hAnsi="Times New Roman" w:cs="Times New Roman"/>
        </w:rPr>
        <w:t xml:space="preserve"> non deducibilità del molto dall’Uno: dall’infinito segue un solo effetto, </w:t>
      </w:r>
      <w:r w:rsidRPr="00DC7702">
        <w:rPr>
          <w:rFonts w:ascii="Times New Roman" w:hAnsi="Times New Roman" w:cs="Times New Roman"/>
        </w:rPr>
        <w:t>l’Adam Kadmon, e da esso le successive configurazioni emanative. L’En-sof e il molteplice non hanno un rapporto</w:t>
      </w:r>
      <w:r>
        <w:rPr>
          <w:rFonts w:ascii="Times New Roman" w:hAnsi="Times New Roman" w:cs="Times New Roman"/>
        </w:rPr>
        <w:t xml:space="preserve"> diretto, ma sono infinitamente separati l’uno dall’altro. </w:t>
      </w:r>
      <w:r w:rsidRPr="00271863">
        <w:rPr>
          <w:rFonts w:ascii="Times New Roman" w:hAnsi="Times New Roman" w:cs="Times New Roman"/>
        </w:rPr>
        <w:t>Rifacendosi con tutta probabilità ad un’espressione dell’</w:t>
      </w:r>
      <w:r w:rsidRPr="00271863">
        <w:rPr>
          <w:rFonts w:ascii="Times New Roman" w:hAnsi="Times New Roman" w:cs="Times New Roman"/>
          <w:i/>
        </w:rPr>
        <w:t>Elucidarius</w:t>
      </w:r>
      <w:r w:rsidRPr="00271863">
        <w:rPr>
          <w:rFonts w:ascii="Times New Roman" w:hAnsi="Times New Roman" w:cs="Times New Roman"/>
        </w:rPr>
        <w:t xml:space="preserve"> </w:t>
      </w:r>
      <w:r w:rsidRPr="00271863">
        <w:rPr>
          <w:rFonts w:ascii="Times New Roman" w:hAnsi="Times New Roman" w:cs="Times New Roman"/>
          <w:i/>
        </w:rPr>
        <w:t>Cabalisticus</w:t>
      </w:r>
      <w:r w:rsidRPr="00271863">
        <w:rPr>
          <w:rFonts w:ascii="Times New Roman" w:hAnsi="Times New Roman" w:cs="Times New Roman"/>
        </w:rPr>
        <w:t xml:space="preserve"> di Wachter, Brucker definisce l’infinita eccedenza del divino rispetto al finito come la </w:t>
      </w:r>
      <w:r w:rsidRPr="00271863">
        <w:rPr>
          <w:rFonts w:ascii="Times New Roman" w:hAnsi="Times New Roman" w:cs="Times New Roman"/>
          <w:i/>
        </w:rPr>
        <w:t>natura occulta</w:t>
      </w:r>
      <w:r w:rsidRPr="00271863">
        <w:rPr>
          <w:rFonts w:ascii="Times New Roman" w:hAnsi="Times New Roman" w:cs="Times New Roman"/>
        </w:rPr>
        <w:t xml:space="preserve"> del divino (</w:t>
      </w:r>
      <w:r w:rsidRPr="00271863">
        <w:rPr>
          <w:rFonts w:ascii="Times New Roman" w:hAnsi="Times New Roman" w:cs="Times New Roman"/>
          <w:i/>
        </w:rPr>
        <w:t>occultus occultorum</w:t>
      </w:r>
      <w:r w:rsidRPr="00271863">
        <w:rPr>
          <w:rFonts w:ascii="Times New Roman" w:hAnsi="Times New Roman" w:cs="Times New Roman"/>
        </w:rPr>
        <w:t xml:space="preserve">). </w:t>
      </w:r>
      <w:r w:rsidRPr="003551B1">
        <w:rPr>
          <w:rFonts w:ascii="Times New Roman" w:hAnsi="Times New Roman" w:cs="Times New Roman"/>
        </w:rPr>
        <w:t>A prescindere dalle loro differenze lessicali</w:t>
      </w:r>
      <w:r w:rsidRPr="003551B1">
        <w:rPr>
          <w:rStyle w:val="Rimandonotaapidipagina"/>
          <w:rFonts w:ascii="Times New Roman" w:hAnsi="Times New Roman" w:cs="Times New Roman"/>
        </w:rPr>
        <w:footnoteReference w:id="586"/>
      </w:r>
      <w:r w:rsidRPr="003551B1">
        <w:rPr>
          <w:rFonts w:ascii="Times New Roman" w:hAnsi="Times New Roman" w:cs="Times New Roman"/>
        </w:rPr>
        <w:t xml:space="preserve">, prosegue Brucker, la filosofia alessandrina, orientale e cabbalistica fanno proprio un assunto teorico – dall’Uno </w:t>
      </w:r>
      <w:r w:rsidRPr="007152BE">
        <w:rPr>
          <w:rFonts w:ascii="Times New Roman" w:hAnsi="Times New Roman" w:cs="Times New Roman"/>
        </w:rPr>
        <w:t>segue solamente l’Uno – che è struttura portante del platonismo</w:t>
      </w:r>
      <w:r w:rsidRPr="007152BE">
        <w:rPr>
          <w:rStyle w:val="Rimandonotaapidipagina"/>
          <w:rFonts w:ascii="Times New Roman" w:hAnsi="Times New Roman" w:cs="Times New Roman"/>
        </w:rPr>
        <w:t xml:space="preserve"> </w:t>
      </w:r>
      <w:r w:rsidRPr="007152BE">
        <w:rPr>
          <w:rFonts w:ascii="Times New Roman" w:hAnsi="Times New Roman" w:cs="Times New Roman"/>
        </w:rPr>
        <w:t>alessandrino</w:t>
      </w:r>
      <w:r w:rsidRPr="007152BE">
        <w:rPr>
          <w:rStyle w:val="Rimandonotaapidipagina"/>
          <w:rFonts w:ascii="Times New Roman" w:hAnsi="Times New Roman" w:cs="Times New Roman"/>
        </w:rPr>
        <w:footnoteReference w:id="587"/>
      </w:r>
      <w:r w:rsidRPr="007152BE">
        <w:rPr>
          <w:rFonts w:ascii="Times New Roman" w:hAnsi="Times New Roman" w:cs="Times New Roman"/>
        </w:rPr>
        <w:t>. Oltre a ciò, questi tre sistemi di pensiero</w:t>
      </w:r>
      <w:r w:rsidR="000A57AA" w:rsidRPr="007152BE">
        <w:rPr>
          <w:rFonts w:ascii="Times New Roman" w:hAnsi="Times New Roman" w:cs="Times New Roman"/>
        </w:rPr>
        <w:t xml:space="preserve"> fanno proprio</w:t>
      </w:r>
      <w:r w:rsidRPr="007152BE">
        <w:rPr>
          <w:rFonts w:ascii="Times New Roman" w:hAnsi="Times New Roman" w:cs="Times New Roman"/>
        </w:rPr>
        <w:t xml:space="preserve"> un altro </w:t>
      </w:r>
      <w:r w:rsidR="000A57AA" w:rsidRPr="007152BE">
        <w:rPr>
          <w:rFonts w:ascii="Times New Roman" w:hAnsi="Times New Roman" w:cs="Times New Roman"/>
        </w:rPr>
        <w:t xml:space="preserve">aspetto </w:t>
      </w:r>
      <w:r w:rsidRPr="007152BE">
        <w:rPr>
          <w:rFonts w:ascii="Times New Roman" w:hAnsi="Times New Roman" w:cs="Times New Roman"/>
        </w:rPr>
        <w:t>della riflessione platonico-alessandrina:</w:t>
      </w:r>
      <w:r w:rsidRPr="00A57FA0">
        <w:rPr>
          <w:rFonts w:ascii="Times New Roman" w:hAnsi="Times New Roman" w:cs="Times New Roman"/>
        </w:rPr>
        <w:t xml:space="preserve"> considerata in-sé-e-per-sé, la materia non possiede uno statuto ontologico autonomo, ma si configura come privazione d’essere, come semplice </w:t>
      </w:r>
      <w:r w:rsidRPr="00A57FA0">
        <w:rPr>
          <w:rFonts w:ascii="Times New Roman" w:hAnsi="Times New Roman" w:cs="Times New Roman"/>
          <w:i/>
        </w:rPr>
        <w:t>non-ens</w:t>
      </w:r>
      <w:r w:rsidRPr="00A57FA0">
        <w:rPr>
          <w:rFonts w:ascii="Times New Roman" w:hAnsi="Times New Roman" w:cs="Times New Roman"/>
        </w:rPr>
        <w:t>:</w:t>
      </w:r>
    </w:p>
    <w:p w14:paraId="41DEE28E" w14:textId="77777777" w:rsidR="001B7751" w:rsidRDefault="001B7751" w:rsidP="001B7751">
      <w:pPr>
        <w:spacing w:line="360" w:lineRule="auto"/>
        <w:ind w:left="567" w:firstLine="426"/>
        <w:jc w:val="both"/>
        <w:rPr>
          <w:rFonts w:ascii="Times New Roman" w:hAnsi="Times New Roman" w:cs="Times New Roman"/>
        </w:rPr>
      </w:pPr>
    </w:p>
    <w:p w14:paraId="1EA638BB" w14:textId="77777777" w:rsidR="001B7751" w:rsidRPr="00726209" w:rsidRDefault="001B7751" w:rsidP="001B7751">
      <w:pPr>
        <w:spacing w:line="360" w:lineRule="auto"/>
        <w:ind w:left="567" w:firstLine="567"/>
        <w:jc w:val="both"/>
        <w:rPr>
          <w:rFonts w:ascii="Times New Roman" w:hAnsi="Times New Roman" w:cs="Times New Roman"/>
          <w:sz w:val="20"/>
          <w:szCs w:val="20"/>
        </w:rPr>
      </w:pPr>
      <w:r w:rsidRPr="00726209">
        <w:rPr>
          <w:rFonts w:ascii="Times New Roman" w:hAnsi="Times New Roman" w:cs="Times New Roman"/>
          <w:sz w:val="20"/>
          <w:szCs w:val="20"/>
        </w:rPr>
        <w:t>«</w:t>
      </w:r>
      <w:r>
        <w:rPr>
          <w:rFonts w:ascii="Times New Roman" w:hAnsi="Times New Roman" w:cs="Times New Roman"/>
          <w:sz w:val="20"/>
          <w:szCs w:val="20"/>
        </w:rPr>
        <w:t>XVII</w:t>
      </w:r>
      <w:r w:rsidRPr="00726209">
        <w:rPr>
          <w:rFonts w:ascii="Times New Roman" w:hAnsi="Times New Roman" w:cs="Times New Roman"/>
          <w:sz w:val="20"/>
          <w:szCs w:val="20"/>
        </w:rPr>
        <w:t>. Materia propter conditionem vilissimam et in momenta mutabilem comparari cum aeterna Dei essentia immutabilique natura intelligibilium non potest, adeoque non-ens est. XVIII. Materia tenebriscosa, frigida, malorum plena a Dei essentia prorsus defecit, sicque malorum sylua facta est. XVIII. Quo magis emanationes a fonte primo remotae sunt, eo magis fiunt tenebriscosae, materia itaque retractis divini luminis radiis per privationem frigida er tenebriscosa, facta non-ens est»</w:t>
      </w:r>
      <w:r w:rsidRPr="00726209">
        <w:rPr>
          <w:rStyle w:val="Rimandonotaapidipagina"/>
          <w:rFonts w:ascii="Times New Roman" w:hAnsi="Times New Roman" w:cs="Times New Roman"/>
          <w:sz w:val="20"/>
          <w:szCs w:val="20"/>
        </w:rPr>
        <w:footnoteReference w:id="588"/>
      </w:r>
      <w:r w:rsidRPr="00726209">
        <w:rPr>
          <w:rFonts w:ascii="Times New Roman" w:hAnsi="Times New Roman" w:cs="Times New Roman"/>
          <w:sz w:val="20"/>
          <w:szCs w:val="20"/>
        </w:rPr>
        <w:t>.</w:t>
      </w:r>
    </w:p>
    <w:p w14:paraId="69DB1AEC" w14:textId="77777777" w:rsidR="001B7751" w:rsidRPr="00F62B3C" w:rsidRDefault="001B7751" w:rsidP="001B7751">
      <w:pPr>
        <w:spacing w:line="360" w:lineRule="auto"/>
        <w:ind w:left="708" w:firstLine="426"/>
        <w:jc w:val="both"/>
        <w:rPr>
          <w:rFonts w:ascii="Times New Roman" w:hAnsi="Times New Roman" w:cs="Times New Roman"/>
        </w:rPr>
      </w:pPr>
    </w:p>
    <w:p w14:paraId="15A4CA65" w14:textId="77777777" w:rsidR="001B7751" w:rsidRDefault="001B7751" w:rsidP="001B7751">
      <w:pPr>
        <w:spacing w:line="360" w:lineRule="auto"/>
        <w:ind w:firstLine="567"/>
        <w:jc w:val="both"/>
        <w:rPr>
          <w:rFonts w:ascii="Times New Roman" w:hAnsi="Times New Roman" w:cs="Times New Roman"/>
        </w:rPr>
      </w:pPr>
      <w:r>
        <w:rPr>
          <w:rFonts w:ascii="Times New Roman" w:hAnsi="Times New Roman" w:cs="Times New Roman"/>
        </w:rPr>
        <w:t xml:space="preserve">Essendo tenebrosa e ricolma di ogni male, la materia non possiede un’esistenza attuale, ma rappresenta una semplice privazione della luce divina. Irradiandosi dal suo centro, la luce dell’Uno si contrae e si concretizza nei diversi livelli emanativi, che trattengono in sé, con gradazioni differenti e discendenti, l’impronta dell’infinito. </w:t>
      </w:r>
      <w:r w:rsidRPr="00312E4E">
        <w:rPr>
          <w:rFonts w:ascii="Times New Roman" w:hAnsi="Times New Roman" w:cs="Times New Roman"/>
        </w:rPr>
        <w:t>All’espansione dell’infinito, segue una perdita progressiva della luce divina nei diversi livelli del processo emanativo: in quanto negativa, ossia non toccata dalla luce (positivo), la materia non possiede alcun essere per sé e semplicemente non-è. Luce e materia, essere e non-essere, positivo e negativo sono due estremi che sussistono là dove l’altro da sé non è.</w:t>
      </w:r>
    </w:p>
    <w:p w14:paraId="6DF5456D" w14:textId="7CAAFD22" w:rsidR="001B7751" w:rsidRDefault="001B7751" w:rsidP="001B7751">
      <w:pPr>
        <w:spacing w:line="360" w:lineRule="auto"/>
        <w:ind w:firstLine="567"/>
        <w:jc w:val="both"/>
        <w:rPr>
          <w:rFonts w:ascii="Times New Roman" w:hAnsi="Times New Roman" w:cs="Times New Roman"/>
        </w:rPr>
      </w:pPr>
      <w:r w:rsidRPr="00CE531E">
        <w:rPr>
          <w:rFonts w:ascii="Times New Roman" w:hAnsi="Times New Roman" w:cs="Times New Roman"/>
        </w:rPr>
        <w:t xml:space="preserve">A grandi linee, questo è il quadro che Brucker fornisce della </w:t>
      </w:r>
      <w:r w:rsidRPr="00CE531E">
        <w:rPr>
          <w:rFonts w:ascii="Times New Roman" w:hAnsi="Times New Roman" w:cs="Times New Roman"/>
          <w:i/>
        </w:rPr>
        <w:t>filosofia esoterica</w:t>
      </w:r>
      <w:r w:rsidRPr="00CE531E">
        <w:rPr>
          <w:rFonts w:ascii="Times New Roman" w:hAnsi="Times New Roman" w:cs="Times New Roman"/>
        </w:rPr>
        <w:t xml:space="preserve"> del popolo ebraico. </w:t>
      </w:r>
      <w:r w:rsidRPr="007152BE">
        <w:rPr>
          <w:rFonts w:ascii="Times New Roman" w:hAnsi="Times New Roman" w:cs="Times New Roman"/>
        </w:rPr>
        <w:t>Gli scritti di Herrera, More</w:t>
      </w:r>
      <w:r w:rsidRPr="00CE531E">
        <w:rPr>
          <w:rFonts w:ascii="Times New Roman" w:hAnsi="Times New Roman" w:cs="Times New Roman"/>
        </w:rPr>
        <w:t xml:space="preserve"> e Wachter informano l’impianto argomentativo bruckeriano che, nell’analisi comparata della filosofia alessandrina, orientale e cabbalistica, riprende i paradigmi interpretativi messi a punto dalla critica anteriore alla </w:t>
      </w:r>
      <w:r w:rsidRPr="00CE531E">
        <w:rPr>
          <w:rFonts w:ascii="Times New Roman" w:hAnsi="Times New Roman" w:cs="Times New Roman"/>
          <w:i/>
        </w:rPr>
        <w:t>Historia criticae philosophiae</w:t>
      </w:r>
      <w:r w:rsidRPr="00CE531E">
        <w:rPr>
          <w:rFonts w:ascii="Times New Roman" w:hAnsi="Times New Roman" w:cs="Times New Roman"/>
        </w:rPr>
        <w:t xml:space="preserve">. Su una questione in particolare, sullo statuto ontologico della materia, si percepisce l’apporto della </w:t>
      </w:r>
      <w:r w:rsidRPr="00CE531E">
        <w:rPr>
          <w:rFonts w:ascii="Times New Roman" w:hAnsi="Times New Roman" w:cs="Times New Roman"/>
          <w:i/>
        </w:rPr>
        <w:t>Cabbalae Aëto-Paedo-Melissae</w:t>
      </w:r>
      <w:r w:rsidRPr="00CE531E">
        <w:rPr>
          <w:rFonts w:ascii="Times New Roman" w:hAnsi="Times New Roman" w:cs="Times New Roman"/>
        </w:rPr>
        <w:t>, che descrive in termini prettamente spiritualistici la cosmologia cabbalistica.</w:t>
      </w:r>
      <w:r>
        <w:rPr>
          <w:rFonts w:ascii="Times New Roman" w:hAnsi="Times New Roman" w:cs="Times New Roman"/>
        </w:rPr>
        <w:t xml:space="preserve"> Il fatto che Henry More sia il riferimento di Brucker è confermato dalla citazione delle sedici tesi del filosofo di Cambridge</w:t>
      </w:r>
      <w:r>
        <w:rPr>
          <w:rStyle w:val="Rimandonotaapidipagina"/>
          <w:rFonts w:ascii="Times New Roman" w:hAnsi="Times New Roman" w:cs="Times New Roman"/>
        </w:rPr>
        <w:footnoteReference w:id="589"/>
      </w:r>
      <w:r>
        <w:rPr>
          <w:rFonts w:ascii="Times New Roman" w:hAnsi="Times New Roman" w:cs="Times New Roman"/>
        </w:rPr>
        <w:t xml:space="preserve">. Attraverso l’esposizione sintetica di More, che </w:t>
      </w:r>
      <w:r w:rsidRPr="009710E6">
        <w:rPr>
          <w:rFonts w:ascii="Times New Roman" w:hAnsi="Times New Roman" w:cs="Times New Roman"/>
        </w:rPr>
        <w:t>«summa capita [philosophia] Cabbalistica ordinat»</w:t>
      </w:r>
      <w:r w:rsidRPr="009710E6">
        <w:rPr>
          <w:rStyle w:val="Rimandonotaapidipagina"/>
          <w:rFonts w:ascii="Times New Roman" w:hAnsi="Times New Roman" w:cs="Times New Roman"/>
        </w:rPr>
        <w:footnoteReference w:id="590"/>
      </w:r>
      <w:r>
        <w:rPr>
          <w:rFonts w:ascii="Times New Roman" w:hAnsi="Times New Roman" w:cs="Times New Roman"/>
        </w:rPr>
        <w:t>, è possibile penetrare all’interno di un sistema di pensiero altrimenti inaccessibile alla ragione</w:t>
      </w:r>
      <w:r>
        <w:rPr>
          <w:rStyle w:val="Rimandonotaapidipagina"/>
          <w:rFonts w:ascii="Times New Roman" w:hAnsi="Times New Roman" w:cs="Times New Roman"/>
        </w:rPr>
        <w:footnoteReference w:id="591"/>
      </w:r>
      <w:r>
        <w:rPr>
          <w:rFonts w:ascii="Times New Roman" w:hAnsi="Times New Roman" w:cs="Times New Roman"/>
        </w:rPr>
        <w:t>. R</w:t>
      </w:r>
      <w:r w:rsidRPr="003551B1">
        <w:rPr>
          <w:rFonts w:ascii="Times New Roman" w:hAnsi="Times New Roman" w:cs="Times New Roman"/>
        </w:rPr>
        <w:t xml:space="preserve">isultato di questa operazione di rischiaramento del pensiero mistico ebraico è la restituzione di un sistema filosofico che, al pari di Filone d’Alessandria e del pensiero orientale, tematizza alcuni elementi teorici presenti anche nella riflessione neoplatonica (dall’Uno segue l’Uno e il non-essere della materia). </w:t>
      </w:r>
      <w:r w:rsidRPr="00DC7702">
        <w:rPr>
          <w:rFonts w:ascii="Times New Roman" w:hAnsi="Times New Roman" w:cs="Times New Roman"/>
        </w:rPr>
        <w:t>Non discostandosi dalle interpretazioni di Wachter e More, Brucker reitera un modello interpretativo consolidato, collocandolo all’interno di una cornice storico-culturale dai contorni più ampi e sfaccettati.</w:t>
      </w:r>
      <w:r w:rsidRPr="003551B1">
        <w:rPr>
          <w:rFonts w:ascii="Times New Roman" w:hAnsi="Times New Roman" w:cs="Times New Roman"/>
        </w:rPr>
        <w:t xml:space="preserve"> </w:t>
      </w:r>
    </w:p>
    <w:p w14:paraId="75756466" w14:textId="21FD2FCC" w:rsidR="001B7751" w:rsidRDefault="001B7751" w:rsidP="001B7751">
      <w:pPr>
        <w:spacing w:line="360" w:lineRule="auto"/>
        <w:ind w:firstLine="567"/>
        <w:jc w:val="both"/>
        <w:rPr>
          <w:rFonts w:ascii="Times New Roman" w:hAnsi="Times New Roman" w:cs="Times New Roman"/>
        </w:rPr>
      </w:pPr>
      <w:r w:rsidRPr="00396FAA">
        <w:rPr>
          <w:rFonts w:ascii="Times New Roman" w:hAnsi="Times New Roman" w:cs="Times New Roman"/>
        </w:rPr>
        <w:t xml:space="preserve">A questo punto, è bene toccare una questione che, </w:t>
      </w:r>
      <w:r w:rsidRPr="00396FAA">
        <w:rPr>
          <w:rFonts w:ascii="Times New Roman" w:hAnsi="Times New Roman" w:cs="Times New Roman"/>
          <w:i/>
        </w:rPr>
        <w:t>nolens volens</w:t>
      </w:r>
      <w:r w:rsidRPr="00396FAA">
        <w:rPr>
          <w:rFonts w:ascii="Times New Roman" w:hAnsi="Times New Roman" w:cs="Times New Roman"/>
        </w:rPr>
        <w:t>, s’intreccia con l’andamento e lo sviluppo dell’analisi di Brucker.</w:t>
      </w:r>
      <w:r>
        <w:rPr>
          <w:rFonts w:ascii="Times New Roman" w:hAnsi="Times New Roman" w:cs="Times New Roman"/>
        </w:rPr>
        <w:t xml:space="preserve"> Come Wachter prima di lui, Brucker s’interroga, nel secondo tomo della </w:t>
      </w:r>
      <w:r w:rsidRPr="006106DD">
        <w:rPr>
          <w:rFonts w:ascii="Times New Roman" w:hAnsi="Times New Roman" w:cs="Times New Roman"/>
          <w:i/>
        </w:rPr>
        <w:t>Historia critica philosophiae</w:t>
      </w:r>
      <w:r>
        <w:rPr>
          <w:rFonts w:ascii="Times New Roman" w:hAnsi="Times New Roman" w:cs="Times New Roman"/>
        </w:rPr>
        <w:t xml:space="preserve">, sulla relazione sussistente fra spinozismo e Qabbalah. Si è detto “come Wachter” per una semplice ragione: è a partire dallo </w:t>
      </w:r>
      <w:r w:rsidR="00A76F84">
        <w:rPr>
          <w:rFonts w:ascii="Times New Roman" w:hAnsi="Times New Roman" w:cs="Times New Roman"/>
          <w:i/>
        </w:rPr>
        <w:t>Spinozismus in J</w:t>
      </w:r>
      <w:r w:rsidR="00A76F84">
        <w:rPr>
          <w:rFonts w:ascii="Times New Roman" w:eastAsia="Times New Roman" w:hAnsi="Times New Roman" w:cs="Times New Roman"/>
          <w:i/>
          <w:iCs/>
          <w:color w:val="222222"/>
          <w:shd w:val="clear" w:color="auto" w:fill="FFFFFF"/>
          <w:lang w:val="de-DE"/>
        </w:rPr>
        <w:t>ü</w:t>
      </w:r>
      <w:r w:rsidRPr="006106DD">
        <w:rPr>
          <w:rFonts w:ascii="Times New Roman" w:hAnsi="Times New Roman" w:cs="Times New Roman"/>
          <w:i/>
        </w:rPr>
        <w:t>denthumb</w:t>
      </w:r>
      <w:r>
        <w:rPr>
          <w:rFonts w:ascii="Times New Roman" w:hAnsi="Times New Roman" w:cs="Times New Roman"/>
        </w:rPr>
        <w:t xml:space="preserve"> e dall’</w:t>
      </w:r>
      <w:r w:rsidRPr="006106DD">
        <w:rPr>
          <w:rFonts w:ascii="Times New Roman" w:hAnsi="Times New Roman" w:cs="Times New Roman"/>
          <w:i/>
        </w:rPr>
        <w:t xml:space="preserve">Elucidarius Cabalisticus </w:t>
      </w:r>
      <w:r>
        <w:rPr>
          <w:rFonts w:ascii="Times New Roman" w:hAnsi="Times New Roman" w:cs="Times New Roman"/>
        </w:rPr>
        <w:t>che Brucker affronta la questione. Su questo punto scrive Brucker:</w:t>
      </w:r>
    </w:p>
    <w:p w14:paraId="33999C5C" w14:textId="77777777" w:rsidR="001B7751" w:rsidRDefault="001B7751" w:rsidP="001B7751">
      <w:pPr>
        <w:spacing w:line="360" w:lineRule="auto"/>
        <w:ind w:left="567" w:firstLine="567"/>
        <w:jc w:val="both"/>
        <w:rPr>
          <w:rFonts w:ascii="Times New Roman" w:hAnsi="Times New Roman" w:cs="Times New Roman"/>
        </w:rPr>
      </w:pPr>
    </w:p>
    <w:p w14:paraId="27104047" w14:textId="3FAF6163" w:rsidR="001B7751" w:rsidRPr="006D3BA1" w:rsidRDefault="001B7751" w:rsidP="001B7751">
      <w:pPr>
        <w:spacing w:line="360" w:lineRule="auto"/>
        <w:ind w:left="567" w:firstLine="567"/>
        <w:jc w:val="both"/>
        <w:rPr>
          <w:rFonts w:ascii="Times" w:hAnsi="Times" w:cs="Times New Roman"/>
        </w:rPr>
      </w:pPr>
      <w:r w:rsidRPr="006D3BA1">
        <w:rPr>
          <w:rFonts w:ascii="Times" w:eastAsia="Times New Roman" w:hAnsi="Times" w:cs="Times New Roman"/>
          <w:iCs/>
          <w:color w:val="222222"/>
          <w:sz w:val="20"/>
          <w:szCs w:val="20"/>
          <w:shd w:val="clear" w:color="auto" w:fill="FFFFFF"/>
        </w:rPr>
        <w:t>«Et sunt quidem nonnulli viri docti, qui com nossent patriarum antiquitatum consultum fuisse Spinozam, intelligerent autem systema Cabbalisticum eodem cothurno incedere, cuius Or haensoph unica illa substantia fit, ex qua innumerae modificationes, vel emanationes potius exortae sint; Cabbalistarum metaphysicam parentem Spinozismi accusant. Qua in opinione praeter ven. Reimmanum maxime versatur acutissimus Wachterus. Qui ex eo quoqoue consensu Spinozae cum Cabbalistis, (quos prius tamen ideo atheismi accusa</w:t>
      </w:r>
      <w:r w:rsidR="000A7B9E">
        <w:rPr>
          <w:rFonts w:ascii="Times" w:eastAsia="Times New Roman" w:hAnsi="Times" w:cs="Times New Roman"/>
          <w:iCs/>
          <w:color w:val="222222"/>
          <w:sz w:val="20"/>
          <w:szCs w:val="20"/>
          <w:shd w:val="clear" w:color="auto" w:fill="FFFFFF"/>
        </w:rPr>
        <w:t>erat) pro Spinozae innocentia et</w:t>
      </w:r>
      <w:r w:rsidRPr="006D3BA1">
        <w:rPr>
          <w:rFonts w:ascii="Times" w:eastAsia="Times New Roman" w:hAnsi="Times" w:cs="Times New Roman"/>
          <w:iCs/>
          <w:color w:val="222222"/>
          <w:sz w:val="20"/>
          <w:szCs w:val="20"/>
          <w:shd w:val="clear" w:color="auto" w:fill="FFFFFF"/>
        </w:rPr>
        <w:t xml:space="preserve"> sensibus purioribus argumentum peti posse, non sine invidia nomini suo conflata contendit</w:t>
      </w:r>
      <w:r w:rsidRPr="006D3BA1">
        <w:rPr>
          <w:rFonts w:ascii="Times" w:hAnsi="Times"/>
          <w:sz w:val="20"/>
          <w:szCs w:val="20"/>
        </w:rPr>
        <w:t>»</w:t>
      </w:r>
      <w:r w:rsidRPr="006D3BA1">
        <w:rPr>
          <w:rStyle w:val="Rimandonotaapidipagina"/>
          <w:rFonts w:ascii="Times" w:hAnsi="Times" w:cs="Times New Roman"/>
          <w:sz w:val="20"/>
          <w:szCs w:val="20"/>
        </w:rPr>
        <w:footnoteReference w:id="592"/>
      </w:r>
      <w:r>
        <w:rPr>
          <w:rFonts w:ascii="Times" w:hAnsi="Times"/>
          <w:sz w:val="20"/>
          <w:szCs w:val="20"/>
        </w:rPr>
        <w:t>.</w:t>
      </w:r>
    </w:p>
    <w:p w14:paraId="357EA8E1" w14:textId="77777777" w:rsidR="001B7751" w:rsidRDefault="001B7751" w:rsidP="001B7751">
      <w:pPr>
        <w:spacing w:line="360" w:lineRule="auto"/>
        <w:ind w:left="567" w:firstLine="567"/>
        <w:jc w:val="both"/>
        <w:rPr>
          <w:rFonts w:ascii="Times New Roman" w:hAnsi="Times New Roman" w:cs="Times New Roman"/>
        </w:rPr>
      </w:pPr>
    </w:p>
    <w:p w14:paraId="57218558" w14:textId="6A19B924" w:rsidR="001B7751" w:rsidRDefault="001B7751" w:rsidP="001B7751">
      <w:pPr>
        <w:spacing w:line="360" w:lineRule="auto"/>
        <w:ind w:firstLine="567"/>
        <w:jc w:val="both"/>
        <w:rPr>
          <w:rFonts w:ascii="Times New Roman" w:eastAsia="Times New Roman" w:hAnsi="Times New Roman" w:cs="Times New Roman"/>
          <w:iCs/>
          <w:color w:val="222222"/>
          <w:shd w:val="clear" w:color="auto" w:fill="FFFFFF"/>
        </w:rPr>
      </w:pPr>
      <w:r>
        <w:rPr>
          <w:rFonts w:ascii="Times New Roman" w:hAnsi="Times New Roman" w:cs="Times New Roman"/>
        </w:rPr>
        <w:t>Molti uomini dotti si sono pronunciati sul tema. Fra di essi anche l’acutissimo Wachter, che ha sviluppato due interpretazioni antitetiche dello spinozismo. Se in un primo momento l’associazione dell’En-sof con la sostanza spinoziana ha determinato una lettura materialistica e panteistica della filosofia giudaica, in un secondo momento la stessa identificazione ha portato all’assoluzione dall’accusa d’ateismo e al riconoscimento di un una base deistica nel sistema cabbalisitico e spinoziano</w:t>
      </w:r>
      <w:r>
        <w:rPr>
          <w:rStyle w:val="Rimandonotaapidipagina"/>
          <w:rFonts w:ascii="Times New Roman" w:hAnsi="Times New Roman" w:cs="Times New Roman"/>
        </w:rPr>
        <w:footnoteReference w:id="593"/>
      </w:r>
      <w:r>
        <w:rPr>
          <w:rFonts w:ascii="Times New Roman" w:hAnsi="Times New Roman" w:cs="Times New Roman"/>
        </w:rPr>
        <w:t xml:space="preserve">. Sulla base di queste coordinate critiche, Brucker si pronuncia sulla questione sollevata da Wachter, </w:t>
      </w:r>
      <w:r w:rsidRPr="00FD42BF">
        <w:rPr>
          <w:rFonts w:ascii="Times New Roman" w:hAnsi="Times New Roman" w:cs="Times New Roman"/>
        </w:rPr>
        <w:t xml:space="preserve">ricorrendo tanto dallo </w:t>
      </w:r>
      <w:r w:rsidR="00A76F84" w:rsidRPr="00FD42BF">
        <w:rPr>
          <w:rFonts w:ascii="Times New Roman" w:hAnsi="Times New Roman" w:cs="Times New Roman"/>
          <w:i/>
        </w:rPr>
        <w:t>Spinozismus in J</w:t>
      </w:r>
      <w:r w:rsidR="00A76F84" w:rsidRPr="00FD42BF">
        <w:rPr>
          <w:rFonts w:ascii="Times New Roman" w:eastAsia="Times New Roman" w:hAnsi="Times New Roman" w:cs="Times New Roman"/>
          <w:i/>
          <w:iCs/>
          <w:color w:val="222222"/>
          <w:shd w:val="clear" w:color="auto" w:fill="FFFFFF"/>
          <w:lang w:val="de-DE"/>
        </w:rPr>
        <w:t>ü</w:t>
      </w:r>
      <w:r w:rsidRPr="00FD42BF">
        <w:rPr>
          <w:rFonts w:ascii="Times New Roman" w:hAnsi="Times New Roman" w:cs="Times New Roman"/>
          <w:i/>
        </w:rPr>
        <w:t>denthumb</w:t>
      </w:r>
      <w:r w:rsidRPr="00FD42BF">
        <w:rPr>
          <w:rFonts w:ascii="Times New Roman" w:hAnsi="Times New Roman" w:cs="Times New Roman"/>
        </w:rPr>
        <w:t xml:space="preserve"> quanto dall’</w:t>
      </w:r>
      <w:r w:rsidRPr="00FD42BF">
        <w:rPr>
          <w:rFonts w:ascii="Times New Roman" w:hAnsi="Times New Roman" w:cs="Times New Roman"/>
          <w:i/>
        </w:rPr>
        <w:t>Elucidarius Cabalisticus</w:t>
      </w:r>
      <w:r w:rsidRPr="00FD42BF">
        <w:rPr>
          <w:rFonts w:ascii="Times New Roman" w:hAnsi="Times New Roman" w:cs="Times New Roman"/>
        </w:rPr>
        <w:t>. La differenza fondamentale fra spinozismo e Qabbalah si struttura a partire da due comprensioni antitetiche dell’immanenza del divino nel mondo</w:t>
      </w:r>
      <w:r w:rsidRPr="00FD42BF">
        <w:rPr>
          <w:rFonts w:ascii="Times New Roman" w:eastAsia="Times New Roman" w:hAnsi="Times New Roman" w:cs="Times New Roman"/>
          <w:iCs/>
          <w:color w:val="222222"/>
          <w:shd w:val="clear" w:color="auto" w:fill="FFFFFF"/>
        </w:rPr>
        <w:t>:</w:t>
      </w:r>
    </w:p>
    <w:p w14:paraId="3C05775B" w14:textId="77777777" w:rsidR="001B7751" w:rsidRDefault="001B7751" w:rsidP="001B7751">
      <w:pPr>
        <w:spacing w:line="360" w:lineRule="auto"/>
        <w:ind w:left="567" w:firstLine="567"/>
        <w:jc w:val="both"/>
        <w:rPr>
          <w:rFonts w:ascii="Times New Roman" w:eastAsia="Times New Roman" w:hAnsi="Times New Roman" w:cs="Times New Roman"/>
          <w:iCs/>
          <w:color w:val="222222"/>
          <w:shd w:val="clear" w:color="auto" w:fill="FFFFFF"/>
        </w:rPr>
      </w:pPr>
    </w:p>
    <w:p w14:paraId="38C0B799" w14:textId="4637F858" w:rsidR="001B7751" w:rsidRPr="006450D1" w:rsidRDefault="001B7751" w:rsidP="001B7751">
      <w:pPr>
        <w:spacing w:line="360" w:lineRule="auto"/>
        <w:ind w:left="567" w:firstLine="567"/>
        <w:jc w:val="both"/>
        <w:rPr>
          <w:rFonts w:ascii="Times New Roman" w:hAnsi="Times New Roman" w:cs="Times New Roman"/>
          <w:sz w:val="20"/>
          <w:szCs w:val="20"/>
        </w:rPr>
      </w:pPr>
      <w:r w:rsidRPr="006450D1">
        <w:rPr>
          <w:rFonts w:ascii="Times New Roman" w:eastAsia="Times New Roman" w:hAnsi="Times New Roman" w:cs="Times New Roman"/>
          <w:iCs/>
          <w:color w:val="222222"/>
          <w:sz w:val="20"/>
          <w:szCs w:val="20"/>
          <w:shd w:val="clear" w:color="auto" w:fill="FFFFFF"/>
        </w:rPr>
        <w:t>«Caussam praecipuam eam esse putamus, quod Spinozae systema emanativum non placuerit, sed is immenente dei modificatione mundum extitisse statuerit. Quod satis manifeste prodidit, mundum divinae naturae necessarium effectum esse asserens, cuis contrarium Iriram pronuntiantem supra audivimus […]</w:t>
      </w:r>
      <w:r w:rsidR="000A7B9E">
        <w:rPr>
          <w:rFonts w:ascii="Times New Roman" w:eastAsia="Times New Roman" w:hAnsi="Times New Roman" w:cs="Times New Roman"/>
          <w:iCs/>
          <w:color w:val="222222"/>
          <w:sz w:val="20"/>
          <w:szCs w:val="20"/>
          <w:shd w:val="clear" w:color="auto" w:fill="FFFFFF"/>
        </w:rPr>
        <w:t xml:space="preserve"> </w:t>
      </w:r>
      <w:r w:rsidRPr="006450D1">
        <w:rPr>
          <w:rFonts w:ascii="Times New Roman" w:hAnsi="Times New Roman" w:cs="Times New Roman"/>
          <w:sz w:val="20"/>
          <w:szCs w:val="20"/>
        </w:rPr>
        <w:t>Sed uno eoque luculento argumento differentia inter systema Cabbalisticum et Spinozisticum ostendi potest, licet eo ipso loco Spinoza antiquorum Hebraeorum consensum provocet: nempe Deum rerum omnium caussam immanentem, non vero transeuentem se agnoscere fatetur Spinoza. At Deum esse caussam rerum non immanentem, sed emanantem, sicque Deum manifestatum explicatumque a Deo occulto distinguendum esse Cabbalistae ubique ingeminant, sicque ispi immane inter suum et Spinozisticum systema discrimen statuunt»</w:t>
      </w:r>
      <w:r w:rsidRPr="006450D1">
        <w:rPr>
          <w:rStyle w:val="Rimandonotaapidipagina"/>
          <w:rFonts w:ascii="Times New Roman" w:hAnsi="Times New Roman" w:cs="Times New Roman"/>
          <w:sz w:val="20"/>
          <w:szCs w:val="20"/>
        </w:rPr>
        <w:footnoteReference w:id="594"/>
      </w:r>
      <w:r w:rsidRPr="006450D1">
        <w:rPr>
          <w:rFonts w:ascii="Times New Roman" w:hAnsi="Times New Roman" w:cs="Times New Roman"/>
          <w:sz w:val="20"/>
          <w:szCs w:val="20"/>
        </w:rPr>
        <w:t>.</w:t>
      </w:r>
    </w:p>
    <w:p w14:paraId="545044BE" w14:textId="77777777" w:rsidR="001B7751" w:rsidRPr="00CD339F" w:rsidRDefault="001B7751" w:rsidP="001B7751">
      <w:pPr>
        <w:spacing w:line="360" w:lineRule="auto"/>
        <w:ind w:left="567" w:firstLine="567"/>
        <w:jc w:val="both"/>
        <w:rPr>
          <w:rFonts w:ascii="Times New Roman" w:hAnsi="Times New Roman" w:cs="Times New Roman"/>
        </w:rPr>
      </w:pPr>
    </w:p>
    <w:p w14:paraId="266A16E6" w14:textId="2166C4EF" w:rsidR="001B7751" w:rsidRDefault="001B7751" w:rsidP="001B7751">
      <w:pPr>
        <w:spacing w:line="360" w:lineRule="auto"/>
        <w:ind w:firstLine="567"/>
        <w:jc w:val="both"/>
        <w:rPr>
          <w:rFonts w:ascii="Times New Roman" w:hAnsi="Times New Roman" w:cs="Times New Roman"/>
        </w:rPr>
      </w:pPr>
      <w:r w:rsidRPr="00396FAA">
        <w:rPr>
          <w:rFonts w:ascii="Times New Roman" w:eastAsia="Times New Roman" w:hAnsi="Times New Roman" w:cs="Times New Roman"/>
          <w:iCs/>
          <w:color w:val="222222"/>
          <w:shd w:val="clear" w:color="auto" w:fill="FFFFFF"/>
        </w:rPr>
        <w:t xml:space="preserve">Definendo la sostanza come causa immanente, non remota o </w:t>
      </w:r>
      <w:r>
        <w:rPr>
          <w:rFonts w:ascii="Times New Roman" w:eastAsia="Times New Roman" w:hAnsi="Times New Roman" w:cs="Times New Roman"/>
          <w:iCs/>
          <w:color w:val="222222"/>
          <w:shd w:val="clear" w:color="auto" w:fill="FFFFFF"/>
        </w:rPr>
        <w:t>transitiva</w:t>
      </w:r>
      <w:r w:rsidRPr="00396FAA">
        <w:rPr>
          <w:rFonts w:ascii="Times New Roman" w:eastAsia="Times New Roman" w:hAnsi="Times New Roman" w:cs="Times New Roman"/>
          <w:iCs/>
          <w:color w:val="222222"/>
          <w:shd w:val="clear" w:color="auto" w:fill="FFFFFF"/>
        </w:rPr>
        <w:t xml:space="preserve">, di tutte le cose, Spinoza recide la distinzione fra infinito e finito, fra </w:t>
      </w:r>
      <w:r w:rsidRPr="00396FAA">
        <w:rPr>
          <w:rFonts w:ascii="Times New Roman" w:eastAsia="Times New Roman" w:hAnsi="Times New Roman" w:cs="Times New Roman"/>
          <w:i/>
          <w:iCs/>
          <w:color w:val="222222"/>
          <w:shd w:val="clear" w:color="auto" w:fill="FFFFFF"/>
        </w:rPr>
        <w:t>Deus absconditus</w:t>
      </w:r>
      <w:r w:rsidRPr="00396FAA">
        <w:rPr>
          <w:rFonts w:ascii="Times New Roman" w:eastAsia="Times New Roman" w:hAnsi="Times New Roman" w:cs="Times New Roman"/>
          <w:iCs/>
          <w:color w:val="222222"/>
          <w:shd w:val="clear" w:color="auto" w:fill="FFFFFF"/>
        </w:rPr>
        <w:t xml:space="preserve"> e </w:t>
      </w:r>
      <w:r w:rsidRPr="00396FAA">
        <w:rPr>
          <w:rFonts w:ascii="Times New Roman" w:eastAsia="Times New Roman" w:hAnsi="Times New Roman" w:cs="Times New Roman"/>
          <w:i/>
          <w:iCs/>
          <w:color w:val="222222"/>
          <w:shd w:val="clear" w:color="auto" w:fill="FFFFFF"/>
        </w:rPr>
        <w:t>Deus manifestus</w:t>
      </w:r>
      <w:r w:rsidRPr="00396FAA">
        <w:rPr>
          <w:rFonts w:ascii="Times New Roman" w:eastAsia="Times New Roman" w:hAnsi="Times New Roman" w:cs="Times New Roman"/>
          <w:iCs/>
          <w:color w:val="222222"/>
          <w:shd w:val="clear" w:color="auto" w:fill="FFFFFF"/>
        </w:rPr>
        <w:t>. L’immanenza del divino nel mondo, frutto di un’insoddisfazione nei confronti dell’emanazionismo, rappresenta lo scarto fra panteismo spinoziano e deismo cabbalistico. Al contrario dello spinozismo, la Qabbalah insegna che «Deus radios suae retraxerit, ut possit existere mundi</w:t>
      </w:r>
      <w:r w:rsidRPr="00396FAA">
        <w:rPr>
          <w:rFonts w:ascii="Times New Roman" w:hAnsi="Times New Roman" w:cs="Times New Roman"/>
        </w:rPr>
        <w:t>»</w:t>
      </w:r>
      <w:r w:rsidRPr="00396FAA">
        <w:rPr>
          <w:rStyle w:val="Rimandonotaapidipagina"/>
          <w:rFonts w:ascii="Times New Roman" w:eastAsia="Times New Roman" w:hAnsi="Times New Roman" w:cs="Times New Roman"/>
          <w:iCs/>
          <w:color w:val="222222"/>
          <w:shd w:val="clear" w:color="auto" w:fill="FFFFFF"/>
        </w:rPr>
        <w:footnoteReference w:id="595"/>
      </w:r>
      <w:r w:rsidRPr="00396FAA">
        <w:rPr>
          <w:rFonts w:ascii="Times New Roman" w:hAnsi="Times New Roman" w:cs="Times New Roman"/>
        </w:rPr>
        <w:t xml:space="preserve">. Dal ritrarsi in sé del divino, segue l’emanazione immediata di un effetto, l’Adam Kadmon, in forza del quale </w:t>
      </w:r>
      <w:r>
        <w:rPr>
          <w:rFonts w:ascii="Times New Roman" w:hAnsi="Times New Roman" w:cs="Times New Roman"/>
        </w:rPr>
        <w:t xml:space="preserve">derivano </w:t>
      </w:r>
      <w:r w:rsidRPr="00396FAA">
        <w:rPr>
          <w:rFonts w:ascii="Times New Roman" w:hAnsi="Times New Roman" w:cs="Times New Roman"/>
        </w:rPr>
        <w:t xml:space="preserve">i successivi livelli emanativi. En-sof e mondo, pertanto, sono due dimensioni dell’essere assolutamente separate. È per questa ragione che Brucker definisce il pensiero cabbalistico come un sistema deistico, che riconosce l’esistenza di una divinità – infinitamente eccedente il piano creaturale – ordinatrice del reale. A ben vedere, la </w:t>
      </w:r>
      <w:r w:rsidRPr="00396FAA">
        <w:rPr>
          <w:rFonts w:ascii="Times New Roman" w:hAnsi="Times New Roman" w:cs="Times New Roman"/>
          <w:i/>
        </w:rPr>
        <w:t>Historia critica</w:t>
      </w:r>
      <w:r w:rsidRPr="00396FAA">
        <w:rPr>
          <w:rFonts w:ascii="Times New Roman" w:hAnsi="Times New Roman" w:cs="Times New Roman"/>
        </w:rPr>
        <w:t xml:space="preserve"> ci dice che quanto sviluppato da Wachter nello </w:t>
      </w:r>
      <w:r w:rsidR="00A76F84">
        <w:rPr>
          <w:rFonts w:ascii="Times New Roman" w:hAnsi="Times New Roman" w:cs="Times New Roman"/>
          <w:i/>
        </w:rPr>
        <w:t>Spinozismus in J</w:t>
      </w:r>
      <w:r w:rsidR="00A76F84">
        <w:rPr>
          <w:rFonts w:ascii="Times New Roman" w:eastAsia="Times New Roman" w:hAnsi="Times New Roman" w:cs="Times New Roman"/>
          <w:i/>
          <w:iCs/>
          <w:color w:val="222222"/>
          <w:shd w:val="clear" w:color="auto" w:fill="FFFFFF"/>
          <w:lang w:val="de-DE"/>
        </w:rPr>
        <w:t>ü</w:t>
      </w:r>
      <w:r w:rsidRPr="00396FAA">
        <w:rPr>
          <w:rFonts w:ascii="Times New Roman" w:hAnsi="Times New Roman" w:cs="Times New Roman"/>
          <w:i/>
        </w:rPr>
        <w:t>denthumb</w:t>
      </w:r>
      <w:r w:rsidRPr="00396FAA">
        <w:rPr>
          <w:rFonts w:ascii="Times New Roman" w:hAnsi="Times New Roman" w:cs="Times New Roman"/>
        </w:rPr>
        <w:t xml:space="preserve"> è applicabile allo spinozismo, ma non alla mistica ebraica, che è categorizzabile secondo gli schemi dell’</w:t>
      </w:r>
      <w:r w:rsidRPr="00396FAA">
        <w:rPr>
          <w:rFonts w:ascii="Times New Roman" w:hAnsi="Times New Roman" w:cs="Times New Roman"/>
          <w:i/>
        </w:rPr>
        <w:t>Elucidarius Cabalisticus</w:t>
      </w:r>
      <w:r w:rsidRPr="00396FAA">
        <w:rPr>
          <w:rFonts w:ascii="Times New Roman" w:hAnsi="Times New Roman" w:cs="Times New Roman"/>
        </w:rPr>
        <w:t>.</w:t>
      </w:r>
      <w:r>
        <w:rPr>
          <w:rFonts w:ascii="Times New Roman" w:hAnsi="Times New Roman" w:cs="Times New Roman"/>
        </w:rPr>
        <w:t xml:space="preserve"> </w:t>
      </w:r>
    </w:p>
    <w:p w14:paraId="4EFD4248" w14:textId="77777777" w:rsidR="001B7751" w:rsidRDefault="001B7751" w:rsidP="001B7751">
      <w:pPr>
        <w:spacing w:line="360" w:lineRule="auto"/>
        <w:ind w:firstLine="567"/>
        <w:jc w:val="both"/>
        <w:rPr>
          <w:rFonts w:ascii="Times New Roman" w:hAnsi="Times New Roman" w:cs="Times New Roman"/>
        </w:rPr>
      </w:pPr>
      <w:r w:rsidRPr="00271863">
        <w:rPr>
          <w:rFonts w:ascii="Times New Roman" w:hAnsi="Times New Roman" w:cs="Times New Roman"/>
        </w:rPr>
        <w:t xml:space="preserve">Appurata la divergenza e l’eterogeneità teorica di spinozismo e Qabbalah, Brucker s’interroga sulla conoscenza spinoziana della </w:t>
      </w:r>
      <w:r w:rsidRPr="00271863">
        <w:rPr>
          <w:rFonts w:ascii="Times New Roman" w:hAnsi="Times New Roman" w:cs="Times New Roman"/>
          <w:i/>
        </w:rPr>
        <w:t>tradizione ebraica</w:t>
      </w:r>
      <w:r w:rsidRPr="00271863">
        <w:rPr>
          <w:rFonts w:ascii="Times New Roman" w:hAnsi="Times New Roman" w:cs="Times New Roman"/>
        </w:rPr>
        <w:t xml:space="preserve">. Convinto che i contesti storico-culturali esercitino una forte influenza sulla </w:t>
      </w:r>
      <w:r w:rsidRPr="00271863">
        <w:rPr>
          <w:rFonts w:ascii="Times New Roman" w:hAnsi="Times New Roman" w:cs="Times New Roman"/>
          <w:i/>
        </w:rPr>
        <w:t>forma mentis</w:t>
      </w:r>
      <w:r w:rsidRPr="00271863">
        <w:rPr>
          <w:rFonts w:ascii="Times New Roman" w:hAnsi="Times New Roman" w:cs="Times New Roman"/>
        </w:rPr>
        <w:t xml:space="preserve"> degli autori, Brucker si chiede se il giovane Spinoza abbia ricevuto o meno una formazione cabbalistica. Nel quarto tomo dell’</w:t>
      </w:r>
      <w:r w:rsidRPr="00271863">
        <w:rPr>
          <w:rFonts w:ascii="Times New Roman" w:hAnsi="Times New Roman" w:cs="Times New Roman"/>
          <w:i/>
        </w:rPr>
        <w:t xml:space="preserve">Historia critica philosophiae </w:t>
      </w:r>
      <w:r w:rsidRPr="00271863">
        <w:rPr>
          <w:rFonts w:ascii="Times New Roman" w:hAnsi="Times New Roman" w:cs="Times New Roman"/>
        </w:rPr>
        <w:t>si legge che:</w:t>
      </w:r>
      <w:r>
        <w:rPr>
          <w:rFonts w:ascii="Times New Roman" w:hAnsi="Times New Roman" w:cs="Times New Roman"/>
        </w:rPr>
        <w:t xml:space="preserve"> </w:t>
      </w:r>
    </w:p>
    <w:p w14:paraId="64E49DFE" w14:textId="77777777" w:rsidR="001B7751" w:rsidRDefault="001B7751" w:rsidP="001B7751">
      <w:pPr>
        <w:spacing w:line="360" w:lineRule="auto"/>
        <w:ind w:left="567" w:firstLine="567"/>
        <w:jc w:val="both"/>
        <w:rPr>
          <w:rFonts w:ascii="Times New Roman" w:hAnsi="Times New Roman" w:cs="Times New Roman"/>
        </w:rPr>
      </w:pPr>
    </w:p>
    <w:p w14:paraId="318E114F" w14:textId="77777777" w:rsidR="001B7751" w:rsidRPr="006D5751" w:rsidRDefault="001B7751" w:rsidP="001B7751">
      <w:pPr>
        <w:spacing w:line="360" w:lineRule="auto"/>
        <w:ind w:left="567" w:firstLine="567"/>
        <w:jc w:val="both"/>
        <w:rPr>
          <w:rFonts w:ascii="Times New Roman" w:hAnsi="Times New Roman" w:cs="Times New Roman"/>
          <w:sz w:val="20"/>
          <w:szCs w:val="20"/>
        </w:rPr>
      </w:pPr>
      <w:r w:rsidRPr="006D5751">
        <w:rPr>
          <w:rFonts w:ascii="Times New Roman" w:hAnsi="Times New Roman" w:cs="Times New Roman"/>
          <w:sz w:val="20"/>
          <w:szCs w:val="20"/>
        </w:rPr>
        <w:t>«Nobis difficilis et incerta quaestio, et si verum fatendum, inutilis videtur; quo denim ad Cabbalistas attinet, verisimile haud est, Spinozam eos adolescentem attigisse, cum iis aetatis annis Iudaeos reliquerit, quibus Cabbalistas manibus terere nondum in gente recutita licet; tacemus aliud esse systema emanationis, aliud Spinozae, aliud emanantia, aliud modificationes»</w:t>
      </w:r>
      <w:r w:rsidRPr="006D5751">
        <w:rPr>
          <w:rStyle w:val="Rimandonotaapidipagina"/>
          <w:rFonts w:ascii="Times New Roman" w:hAnsi="Times New Roman" w:cs="Times New Roman"/>
          <w:sz w:val="20"/>
          <w:szCs w:val="20"/>
        </w:rPr>
        <w:footnoteReference w:id="596"/>
      </w:r>
      <w:r w:rsidRPr="006D5751">
        <w:rPr>
          <w:rFonts w:ascii="Times New Roman" w:hAnsi="Times New Roman" w:cs="Times New Roman"/>
          <w:sz w:val="20"/>
          <w:szCs w:val="20"/>
        </w:rPr>
        <w:t>.</w:t>
      </w:r>
    </w:p>
    <w:p w14:paraId="323ADD17" w14:textId="77777777" w:rsidR="001B7751" w:rsidRDefault="001B7751" w:rsidP="001B7751">
      <w:pPr>
        <w:spacing w:line="360" w:lineRule="auto"/>
        <w:ind w:left="1134" w:firstLine="567"/>
        <w:jc w:val="both"/>
        <w:rPr>
          <w:rFonts w:ascii="Times New Roman" w:hAnsi="Times New Roman" w:cs="Times New Roman"/>
        </w:rPr>
      </w:pPr>
    </w:p>
    <w:p w14:paraId="17408995" w14:textId="4699A491" w:rsidR="001B7751" w:rsidRDefault="001B7751" w:rsidP="001B7751">
      <w:pPr>
        <w:spacing w:line="360" w:lineRule="auto"/>
        <w:ind w:firstLine="567"/>
        <w:jc w:val="both"/>
        <w:rPr>
          <w:rFonts w:ascii="Times New Roman" w:hAnsi="Times New Roman" w:cs="Times New Roman"/>
        </w:rPr>
      </w:pPr>
      <w:r w:rsidRPr="00F757B7">
        <w:rPr>
          <w:rFonts w:ascii="Times New Roman" w:hAnsi="Times New Roman" w:cs="Times New Roman"/>
        </w:rPr>
        <w:t>Dimostrando uno scarso interesse per la materia, Brucker osserva che la questione non soltanto è difficile e incerta, ma tutto sommato inutile per comprendere l’opera spinoziana. Se nonostante ciò si volesse rispondere all’interrogativo, si potrebbero sviluppare due diverse strategie argomentative. Da un punto di vista biografico, è improbabile che Spinoza sia stato introdotto ai segreti della Qabbalah: l’</w:t>
      </w:r>
      <w:r w:rsidR="00021560">
        <w:rPr>
          <w:rFonts w:ascii="Times New Roman" w:hAnsi="Times New Roman" w:cs="Times New Roman"/>
        </w:rPr>
        <w:t>autore</w:t>
      </w:r>
      <w:r w:rsidRPr="00F757B7">
        <w:rPr>
          <w:rFonts w:ascii="Times New Roman" w:hAnsi="Times New Roman" w:cs="Times New Roman"/>
        </w:rPr>
        <w:t xml:space="preserve"> è stato cacciato in giovane età – in un periodo della vita in cui non è </w:t>
      </w:r>
      <w:r>
        <w:rPr>
          <w:rFonts w:ascii="Times New Roman" w:hAnsi="Times New Roman" w:cs="Times New Roman"/>
        </w:rPr>
        <w:t xml:space="preserve">ancora </w:t>
      </w:r>
      <w:r w:rsidRPr="00F757B7">
        <w:rPr>
          <w:rFonts w:ascii="Times New Roman" w:hAnsi="Times New Roman" w:cs="Times New Roman"/>
        </w:rPr>
        <w:t>previsto lo studio di questa materia – dalla comunità ebraica di Amsterdam. Da un punto di vista teorico</w:t>
      </w:r>
      <w:r w:rsidR="000A7B9E">
        <w:rPr>
          <w:rFonts w:ascii="Times New Roman" w:hAnsi="Times New Roman" w:cs="Times New Roman"/>
        </w:rPr>
        <w:t>, si registrano delle differenze</w:t>
      </w:r>
      <w:r w:rsidRPr="00F757B7">
        <w:rPr>
          <w:rFonts w:ascii="Times New Roman" w:hAnsi="Times New Roman" w:cs="Times New Roman"/>
        </w:rPr>
        <w:t xml:space="preserve"> nette fra spinozismo e mistica ebraica: una cosa è l’emanazionismo, altra cosa il panteismo; una cosa sono le emanazioni, altra cosa le modificazioni. </w:t>
      </w:r>
      <w:r w:rsidRPr="00271863">
        <w:rPr>
          <w:rFonts w:ascii="Times New Roman" w:hAnsi="Times New Roman" w:cs="Times New Roman"/>
        </w:rPr>
        <w:t xml:space="preserve">Contrariamente allo spinozismo, la filosofia cabbalistica non cade nelle contraddizioni che derivano dall’assunzione della nozione di </w:t>
      </w:r>
      <w:r w:rsidRPr="00271863">
        <w:rPr>
          <w:rFonts w:ascii="Times New Roman" w:hAnsi="Times New Roman" w:cs="Times New Roman"/>
          <w:i/>
        </w:rPr>
        <w:t>causa immanens omnium rerum</w:t>
      </w:r>
      <w:r w:rsidRPr="00271863">
        <w:rPr>
          <w:rFonts w:ascii="Times New Roman" w:hAnsi="Times New Roman" w:cs="Times New Roman"/>
        </w:rPr>
        <w:t>: la differenza fra Uno e molto toglie dall’imbarazzo di dover spiegare come si succedano ad una sostanza immutabile infiniti e successivi cambiamenti</w:t>
      </w:r>
      <w:r w:rsidRPr="00271863">
        <w:rPr>
          <w:rStyle w:val="Rimandonotaapidipagina"/>
          <w:rFonts w:ascii="Times New Roman" w:hAnsi="Times New Roman" w:cs="Times New Roman"/>
        </w:rPr>
        <w:footnoteReference w:id="597"/>
      </w:r>
      <w:r w:rsidRPr="00271863">
        <w:rPr>
          <w:rFonts w:ascii="Times New Roman" w:hAnsi="Times New Roman" w:cs="Times New Roman"/>
        </w:rPr>
        <w:t>. Per queste ragioni, Brucker è portato ad escludere un’influenza profonda della tradizione ebraica sull’opera di Spinoza.</w:t>
      </w:r>
      <w:r>
        <w:rPr>
          <w:rFonts w:ascii="Times New Roman" w:hAnsi="Times New Roman" w:cs="Times New Roman"/>
        </w:rPr>
        <w:t xml:space="preserve"> Se questo incontro è avvenuto, non ha lasciato un segno particolare nella filosofia spinoziana, che ha sviluppo empiamente certi assunti teorici della dottrina emanatistica (l’astratto punto di contatto con il misticismo ebraico). </w:t>
      </w:r>
    </w:p>
    <w:p w14:paraId="21EAE4E2" w14:textId="65E454D7" w:rsidR="001B7751" w:rsidRDefault="001B7751" w:rsidP="001B7751">
      <w:pPr>
        <w:spacing w:line="360" w:lineRule="auto"/>
        <w:ind w:firstLine="567"/>
        <w:jc w:val="both"/>
        <w:rPr>
          <w:rFonts w:ascii="Times New Roman" w:hAnsi="Times New Roman" w:cs="Times New Roman"/>
        </w:rPr>
      </w:pPr>
      <w:r>
        <w:rPr>
          <w:rFonts w:ascii="Times New Roman" w:hAnsi="Times New Roman" w:cs="Times New Roman"/>
        </w:rPr>
        <w:t xml:space="preserve">Seguendo </w:t>
      </w:r>
      <w:r w:rsidRPr="00271863">
        <w:rPr>
          <w:rFonts w:ascii="Times New Roman" w:hAnsi="Times New Roman" w:cs="Times New Roman"/>
        </w:rPr>
        <w:t>la sua metodologia storico-filosofica, Brucker riporta anche questioni critiche nei confronti delle quali nutre un certo scetticismo. Per restituire in tutta la sua complessità un sistema filosofico, si devono tenere presenti sia le fonti primarie, che le fonti secondaria, sia gli aspetti precipui di una filosofia, che il dibattito critico che si origina su di essa.</w:t>
      </w:r>
      <w:r>
        <w:rPr>
          <w:rFonts w:ascii="Times New Roman" w:hAnsi="Times New Roman" w:cs="Times New Roman"/>
        </w:rPr>
        <w:t xml:space="preserve"> Proprio sull’utilizzo bruckeriano della letteratura critica, si possono sviluppare alcune osservazioni di </w:t>
      </w:r>
      <w:r w:rsidRPr="00094613">
        <w:rPr>
          <w:rFonts w:ascii="Times New Roman" w:hAnsi="Times New Roman" w:cs="Times New Roman"/>
        </w:rPr>
        <w:t xml:space="preserve">carattere conclusivo. Se per la messa in chiaro dei principi della Qabbalah le fonti secondarie </w:t>
      </w:r>
      <w:r>
        <w:rPr>
          <w:rFonts w:ascii="Times New Roman" w:hAnsi="Times New Roman" w:cs="Times New Roman"/>
        </w:rPr>
        <w:t xml:space="preserve">assumono una preponderanza tale </w:t>
      </w:r>
      <w:r w:rsidRPr="00094613">
        <w:rPr>
          <w:rFonts w:ascii="Times New Roman" w:hAnsi="Times New Roman" w:cs="Times New Roman"/>
        </w:rPr>
        <w:t>da ridurre un fenomeno filosofico-religioso estremamente complesso ad un modello dai tratti fortemente orientaleggianti e platonizzanti,</w:t>
      </w:r>
      <w:r>
        <w:rPr>
          <w:rFonts w:ascii="Times New Roman" w:hAnsi="Times New Roman" w:cs="Times New Roman"/>
        </w:rPr>
        <w:t xml:space="preserve"> nel caso dello </w:t>
      </w:r>
      <w:r w:rsidRPr="0019456A">
        <w:rPr>
          <w:rFonts w:ascii="Times New Roman" w:hAnsi="Times New Roman" w:cs="Times New Roman"/>
          <w:i/>
        </w:rPr>
        <w:t>Spinozismusstreit</w:t>
      </w:r>
      <w:r>
        <w:rPr>
          <w:rFonts w:ascii="Times New Roman" w:hAnsi="Times New Roman" w:cs="Times New Roman"/>
        </w:rPr>
        <w:t xml:space="preserve"> si registra un atteggiamento più distaccato, che permette a Brucker di essere più obiettivo nei confronti de</w:t>
      </w:r>
      <w:r w:rsidR="000A7B9E">
        <w:rPr>
          <w:rFonts w:ascii="Times New Roman" w:hAnsi="Times New Roman" w:cs="Times New Roman"/>
        </w:rPr>
        <w:t>lla materia che analizza. Questa</w:t>
      </w:r>
      <w:r>
        <w:rPr>
          <w:rFonts w:ascii="Times New Roman" w:hAnsi="Times New Roman" w:cs="Times New Roman"/>
        </w:rPr>
        <w:t xml:space="preserve"> </w:t>
      </w:r>
      <w:r w:rsidRPr="00B01C1B">
        <w:rPr>
          <w:rFonts w:ascii="Times New Roman" w:hAnsi="Times New Roman" w:cs="Times New Roman"/>
          <w:i/>
        </w:rPr>
        <w:t>discrasia interpretativa</w:t>
      </w:r>
      <w:r>
        <w:rPr>
          <w:rFonts w:ascii="Times New Roman" w:hAnsi="Times New Roman" w:cs="Times New Roman"/>
        </w:rPr>
        <w:t xml:space="preserve"> dipende dalla materia che di volta in volta viene presa in esame: più sono confuse e oscure le tematiche, più il filtro della letteratura critica diventa preponderante </w:t>
      </w:r>
      <w:r w:rsidRPr="007F696C">
        <w:rPr>
          <w:rFonts w:ascii="Times New Roman" w:hAnsi="Times New Roman" w:cs="Times New Roman"/>
        </w:rPr>
        <w:t>(</w:t>
      </w:r>
      <w:r>
        <w:rPr>
          <w:rFonts w:ascii="Times New Roman" w:hAnsi="Times New Roman" w:cs="Times New Roman"/>
        </w:rPr>
        <w:t>a detriment</w:t>
      </w:r>
      <w:r w:rsidRPr="007F696C">
        <w:rPr>
          <w:rFonts w:ascii="Times New Roman" w:hAnsi="Times New Roman" w:cs="Times New Roman"/>
        </w:rPr>
        <w:t>o dell’eclettismo bruckeriano);</w:t>
      </w:r>
      <w:r>
        <w:rPr>
          <w:rFonts w:ascii="Times New Roman" w:hAnsi="Times New Roman" w:cs="Times New Roman"/>
        </w:rPr>
        <w:t xml:space="preserve"> più sono chiari i principi di un sistema filosofico, più autonomi (senza che per questa ragione venga trascurato il dibattito critico) sono i giudizi bruckeriani in merito. </w:t>
      </w:r>
      <w:r w:rsidRPr="00271863">
        <w:rPr>
          <w:rFonts w:ascii="Times New Roman" w:hAnsi="Times New Roman" w:cs="Times New Roman"/>
        </w:rPr>
        <w:t>A prescindere dalla liceità di questo procedimento storico-filosofico, il lavoro di Brucker ha assolto una doppia funzione: 1. ha riproposto un modello interpretativo diffuso e dominante del pensiero mistico ebraico e 2. ha mantenuto storiograficamente vivo il dibattito sul presunto cabbalismo di Spinoza. Grazie all’</w:t>
      </w:r>
      <w:r w:rsidRPr="00271863">
        <w:rPr>
          <w:rFonts w:ascii="Times New Roman" w:hAnsi="Times New Roman" w:cs="Times New Roman"/>
          <w:i/>
        </w:rPr>
        <w:t>Historia critica</w:t>
      </w:r>
      <w:r w:rsidR="00FD42BF">
        <w:rPr>
          <w:rFonts w:ascii="Times New Roman" w:hAnsi="Times New Roman" w:cs="Times New Roman"/>
          <w:i/>
        </w:rPr>
        <w:t xml:space="preserve"> philosophiae</w:t>
      </w:r>
      <w:r w:rsidRPr="00271863">
        <w:rPr>
          <w:rFonts w:ascii="Times New Roman" w:hAnsi="Times New Roman" w:cs="Times New Roman"/>
        </w:rPr>
        <w:t xml:space="preserve">, sono sistematizzate quelle coordinate concettuali su cui s’innesterà la comprensione della </w:t>
      </w:r>
      <w:r w:rsidRPr="00271863">
        <w:rPr>
          <w:rFonts w:ascii="Times New Roman" w:hAnsi="Times New Roman" w:cs="Times New Roman"/>
          <w:i/>
        </w:rPr>
        <w:t>Philosophia Idaeorum et Spinozisticae</w:t>
      </w:r>
      <w:r w:rsidRPr="00271863">
        <w:rPr>
          <w:rFonts w:ascii="Times New Roman" w:hAnsi="Times New Roman" w:cs="Times New Roman"/>
        </w:rPr>
        <w:t xml:space="preserve"> da parte della storiografia tedesca e dello </w:t>
      </w:r>
      <w:r w:rsidRPr="00271863">
        <w:rPr>
          <w:rFonts w:ascii="Times New Roman" w:hAnsi="Times New Roman" w:cs="Times New Roman"/>
          <w:i/>
        </w:rPr>
        <w:t>Spinozismusstreit</w:t>
      </w:r>
      <w:r w:rsidRPr="00271863">
        <w:rPr>
          <w:rFonts w:ascii="Times New Roman" w:hAnsi="Times New Roman" w:cs="Times New Roman"/>
        </w:rPr>
        <w:t xml:space="preserve"> di fine ’700.</w:t>
      </w:r>
    </w:p>
    <w:p w14:paraId="4B5B7E14" w14:textId="77777777" w:rsidR="001B7751" w:rsidRDefault="001B7751" w:rsidP="001B7751">
      <w:pPr>
        <w:spacing w:line="360" w:lineRule="auto"/>
        <w:ind w:left="567" w:firstLine="567"/>
        <w:jc w:val="both"/>
        <w:rPr>
          <w:rFonts w:ascii="Times New Roman" w:hAnsi="Times New Roman" w:cs="Times New Roman"/>
        </w:rPr>
      </w:pPr>
    </w:p>
    <w:p w14:paraId="1000A627" w14:textId="595E88EF" w:rsidR="001B7751" w:rsidRPr="002A6076" w:rsidRDefault="001B7751" w:rsidP="001B7751">
      <w:pPr>
        <w:spacing w:line="360" w:lineRule="auto"/>
        <w:jc w:val="both"/>
        <w:rPr>
          <w:rFonts w:ascii="Times New Roman" w:hAnsi="Times New Roman" w:cs="Times New Roman"/>
          <w:i/>
        </w:rPr>
      </w:pPr>
      <w:r>
        <w:rPr>
          <w:rFonts w:ascii="Times New Roman" w:hAnsi="Times New Roman" w:cs="Times New Roman"/>
          <w:i/>
        </w:rPr>
        <w:t>3.</w:t>
      </w:r>
      <w:r w:rsidRPr="002A6076">
        <w:rPr>
          <w:rFonts w:ascii="Times New Roman" w:hAnsi="Times New Roman" w:cs="Times New Roman"/>
          <w:i/>
        </w:rPr>
        <w:t xml:space="preserve">4 Qabbalah e spinozismo nelle </w:t>
      </w:r>
      <w:r w:rsidRPr="00C64A5B">
        <w:rPr>
          <w:rFonts w:ascii="Times New Roman" w:hAnsi="Times New Roman" w:cs="Times New Roman"/>
        </w:rPr>
        <w:t>Spinozabriefe</w:t>
      </w:r>
      <w:r w:rsidRPr="002A6076">
        <w:rPr>
          <w:rFonts w:ascii="Times New Roman" w:hAnsi="Times New Roman" w:cs="Times New Roman"/>
          <w:i/>
        </w:rPr>
        <w:t xml:space="preserve"> e nella </w:t>
      </w:r>
      <w:r w:rsidRPr="00C64A5B">
        <w:rPr>
          <w:rFonts w:ascii="Times New Roman" w:hAnsi="Times New Roman" w:cs="Times New Roman"/>
        </w:rPr>
        <w:t>S</w:t>
      </w:r>
      <w:r w:rsidRPr="00C64A5B">
        <w:rPr>
          <w:rFonts w:ascii="Times New Roman" w:hAnsi="Times New Roman" w:cs="Times New Roman"/>
          <w:lang w:val="de-DE"/>
        </w:rPr>
        <w:t>alomon Maimons Lebensgeschichte</w:t>
      </w:r>
    </w:p>
    <w:p w14:paraId="03F2D454" w14:textId="77777777" w:rsidR="001B7751" w:rsidRDefault="001B7751" w:rsidP="001B7751">
      <w:pPr>
        <w:spacing w:line="360" w:lineRule="auto"/>
        <w:ind w:left="708" w:firstLine="426"/>
        <w:jc w:val="both"/>
        <w:rPr>
          <w:rFonts w:ascii="Times New Roman" w:hAnsi="Times New Roman" w:cs="Times New Roman"/>
          <w:b/>
        </w:rPr>
      </w:pPr>
    </w:p>
    <w:p w14:paraId="15C849CC" w14:textId="2CFCF9DD" w:rsidR="001B7751" w:rsidRDefault="001B7751" w:rsidP="001B7751">
      <w:pPr>
        <w:spacing w:line="360" w:lineRule="auto"/>
        <w:ind w:firstLine="567"/>
        <w:jc w:val="both"/>
        <w:rPr>
          <w:rFonts w:ascii="Times New Roman" w:hAnsi="Times New Roman" w:cs="Times New Roman"/>
        </w:rPr>
      </w:pPr>
      <w:r>
        <w:rPr>
          <w:rFonts w:ascii="Times New Roman" w:hAnsi="Times New Roman" w:cs="Times New Roman"/>
        </w:rPr>
        <w:t xml:space="preserve">Prima di discutere quelle testimonianze storiografiche che, con progressive cesure, hanno reiterato i modelli interpretativi della </w:t>
      </w:r>
      <w:r w:rsidRPr="006714D9">
        <w:rPr>
          <w:rFonts w:ascii="Times New Roman" w:hAnsi="Times New Roman" w:cs="Times New Roman"/>
          <w:i/>
        </w:rPr>
        <w:t>Historia critica philosophiae</w:t>
      </w:r>
      <w:r>
        <w:rPr>
          <w:rFonts w:ascii="Times New Roman" w:hAnsi="Times New Roman" w:cs="Times New Roman"/>
        </w:rPr>
        <w:t xml:space="preserve">, è opportuno tratteggiare il dibattito extra-accademico sulla filosofia di Spinoza. Con la </w:t>
      </w:r>
      <w:r w:rsidR="00A76F84">
        <w:rPr>
          <w:rFonts w:ascii="Times New Roman" w:hAnsi="Times New Roman" w:cs="Times New Roman"/>
          <w:i/>
        </w:rPr>
        <w:t>Spinozsimus in J</w:t>
      </w:r>
      <w:r w:rsidR="00A76F84">
        <w:rPr>
          <w:rFonts w:ascii="Times New Roman" w:eastAsia="Times New Roman" w:hAnsi="Times New Roman" w:cs="Times New Roman"/>
          <w:i/>
          <w:iCs/>
          <w:color w:val="222222"/>
          <w:shd w:val="clear" w:color="auto" w:fill="FFFFFF"/>
          <w:lang w:val="de-DE"/>
        </w:rPr>
        <w:t>ü</w:t>
      </w:r>
      <w:r w:rsidRPr="00F83A31">
        <w:rPr>
          <w:rFonts w:ascii="Times New Roman" w:hAnsi="Times New Roman" w:cs="Times New Roman"/>
          <w:i/>
        </w:rPr>
        <w:t>denthumb</w:t>
      </w:r>
      <w:r>
        <w:rPr>
          <w:rFonts w:ascii="Times New Roman" w:hAnsi="Times New Roman" w:cs="Times New Roman"/>
        </w:rPr>
        <w:t xml:space="preserve"> e l’</w:t>
      </w:r>
      <w:r w:rsidRPr="00F83A31">
        <w:rPr>
          <w:rFonts w:ascii="Times New Roman" w:hAnsi="Times New Roman" w:cs="Times New Roman"/>
          <w:i/>
        </w:rPr>
        <w:t>Elucidarius Cabalisticus</w:t>
      </w:r>
      <w:r>
        <w:rPr>
          <w:rFonts w:ascii="Times New Roman" w:hAnsi="Times New Roman" w:cs="Times New Roman"/>
        </w:rPr>
        <w:t xml:space="preserve">, Wachter ha fissato i termini del cosiddetto </w:t>
      </w:r>
      <w:r w:rsidRPr="00D869C8">
        <w:rPr>
          <w:rFonts w:ascii="Times New Roman" w:hAnsi="Times New Roman" w:cs="Times New Roman"/>
        </w:rPr>
        <w:t>cabbalismo spinoziano:</w:t>
      </w:r>
      <w:r>
        <w:rPr>
          <w:rFonts w:ascii="Times New Roman" w:hAnsi="Times New Roman" w:cs="Times New Roman"/>
        </w:rPr>
        <w:t xml:space="preserve"> o divinizzazione del mondo o cesura fra infinito e finito. Lo </w:t>
      </w:r>
      <w:r w:rsidRPr="00527336">
        <w:rPr>
          <w:rFonts w:ascii="Times New Roman" w:hAnsi="Times New Roman" w:cs="Times New Roman"/>
          <w:i/>
        </w:rPr>
        <w:t>Spinozismusstreit</w:t>
      </w:r>
      <w:r>
        <w:rPr>
          <w:rFonts w:ascii="Times New Roman" w:hAnsi="Times New Roman" w:cs="Times New Roman"/>
        </w:rPr>
        <w:t xml:space="preserve">, divampato nella prima metà del XVIII secolo, conosce una seconda fase di sviluppo con la pubblicazione delle </w:t>
      </w:r>
      <w:r w:rsidRPr="00A51531">
        <w:rPr>
          <w:rFonts w:ascii="Times New Roman" w:hAnsi="Times New Roman" w:cs="Times New Roman"/>
          <w:i/>
          <w:lang w:val="de-DE"/>
        </w:rPr>
        <w:t>Spinozabriefe</w:t>
      </w:r>
      <w:r>
        <w:rPr>
          <w:rFonts w:ascii="Times New Roman" w:hAnsi="Times New Roman" w:cs="Times New Roman"/>
          <w:i/>
        </w:rPr>
        <w:t xml:space="preserve"> </w:t>
      </w:r>
      <w:r w:rsidRPr="00527336">
        <w:rPr>
          <w:rFonts w:ascii="Times New Roman" w:hAnsi="Times New Roman" w:cs="Times New Roman"/>
        </w:rPr>
        <w:t>(</w:t>
      </w:r>
      <w:r>
        <w:rPr>
          <w:rFonts w:ascii="Times New Roman" w:hAnsi="Times New Roman" w:cs="Times New Roman"/>
        </w:rPr>
        <w:t>1785 e 1789</w:t>
      </w:r>
      <w:r w:rsidRPr="00527336">
        <w:rPr>
          <w:rFonts w:ascii="Times New Roman" w:hAnsi="Times New Roman" w:cs="Times New Roman"/>
        </w:rPr>
        <w:t>),</w:t>
      </w:r>
      <w:r>
        <w:rPr>
          <w:rFonts w:ascii="Times New Roman" w:hAnsi="Times New Roman" w:cs="Times New Roman"/>
        </w:rPr>
        <w:t xml:space="preserve"> che riprendono, conferendole ulteriore sviluppo, la </w:t>
      </w:r>
      <w:r w:rsidRPr="00527336">
        <w:rPr>
          <w:rFonts w:ascii="Times New Roman" w:hAnsi="Times New Roman" w:cs="Times New Roman"/>
          <w:i/>
        </w:rPr>
        <w:t>querelle</w:t>
      </w:r>
      <w:r>
        <w:rPr>
          <w:rFonts w:ascii="Times New Roman" w:hAnsi="Times New Roman" w:cs="Times New Roman"/>
        </w:rPr>
        <w:t xml:space="preserve"> sulla filosofia di Spinoza suscitata proprio dai testi wachteriani. </w:t>
      </w:r>
    </w:p>
    <w:p w14:paraId="3FC3E230" w14:textId="77777777" w:rsidR="001B7751" w:rsidRDefault="001B7751" w:rsidP="001B7751">
      <w:pPr>
        <w:spacing w:line="360" w:lineRule="auto"/>
        <w:ind w:firstLine="567"/>
        <w:jc w:val="both"/>
        <w:rPr>
          <w:rFonts w:ascii="Times New Roman" w:hAnsi="Times New Roman" w:cs="Times New Roman"/>
        </w:rPr>
      </w:pPr>
      <w:r w:rsidRPr="00D869C8">
        <w:rPr>
          <w:rFonts w:ascii="Times New Roman" w:hAnsi="Times New Roman" w:cs="Times New Roman"/>
        </w:rPr>
        <w:t xml:space="preserve">Il 5 luglio del 1780 – con questo episodio si aprono le </w:t>
      </w:r>
      <w:r w:rsidRPr="00D869C8">
        <w:rPr>
          <w:rFonts w:ascii="Times New Roman" w:hAnsi="Times New Roman" w:cs="Times New Roman"/>
          <w:i/>
        </w:rPr>
        <w:t>Spinozabriefe</w:t>
      </w:r>
      <w:r w:rsidRPr="00D869C8">
        <w:rPr>
          <w:rFonts w:ascii="Times New Roman" w:hAnsi="Times New Roman" w:cs="Times New Roman"/>
        </w:rPr>
        <w:t xml:space="preserve"> – Jacobi e Lessing s’incontrano per la prima volta a Wolfenbüttel.</w:t>
      </w:r>
      <w:r>
        <w:rPr>
          <w:rFonts w:ascii="Times New Roman" w:hAnsi="Times New Roman" w:cs="Times New Roman"/>
        </w:rPr>
        <w:t xml:space="preserve"> Secondo la ricostruzione jacobiana, già </w:t>
      </w:r>
      <w:r w:rsidRPr="0005441C">
        <w:rPr>
          <w:rFonts w:ascii="Times New Roman" w:hAnsi="Times New Roman" w:cs="Times New Roman"/>
        </w:rPr>
        <w:t>in quest’occasione sono toccati «</w:t>
      </w:r>
      <w:r w:rsidRPr="0005441C">
        <w:rPr>
          <w:rFonts w:ascii="Times New Roman" w:hAnsi="Times New Roman" w:cs="Times New Roman"/>
          <w:lang w:val="de-DE"/>
        </w:rPr>
        <w:t>viele wichtige Dinge</w:t>
      </w:r>
      <w:r w:rsidRPr="0005441C">
        <w:rPr>
          <w:rFonts w:ascii="Times New Roman" w:hAnsi="Times New Roman" w:cs="Times New Roman"/>
        </w:rPr>
        <w:t>» e si discute «</w:t>
      </w:r>
      <w:r w:rsidRPr="0005441C">
        <w:rPr>
          <w:rFonts w:ascii="Times New Roman" w:hAnsi="Times New Roman" w:cs="Times New Roman"/>
          <w:lang w:val="de-DE"/>
        </w:rPr>
        <w:t>auch von Personen, moralischen und unmoralischen, Atheisten, Deisten und Christen</w:t>
      </w:r>
      <w:r w:rsidRPr="0005441C">
        <w:rPr>
          <w:rFonts w:ascii="Times New Roman" w:hAnsi="Times New Roman" w:cs="Times New Roman"/>
        </w:rPr>
        <w:t>»</w:t>
      </w:r>
      <w:r w:rsidRPr="0005441C">
        <w:rPr>
          <w:rStyle w:val="Rimandonotaapidipagina"/>
          <w:rFonts w:ascii="Times New Roman" w:hAnsi="Times New Roman" w:cs="Times New Roman"/>
        </w:rPr>
        <w:footnoteReference w:id="598"/>
      </w:r>
      <w:r w:rsidRPr="0005441C">
        <w:rPr>
          <w:rFonts w:ascii="Times New Roman" w:hAnsi="Times New Roman" w:cs="Times New Roman"/>
        </w:rPr>
        <w:t>. L’incontro decisivo, però, cade la mattina del 6 luglio. Mentre è occupato a scrivere delle lettere, Jacobi viene raggiunto nella sua camera da Lessing. Per tenerlo occupato, Jacobi dà a Lessing alcuni materiali da leggere. Lette celermente le carte, Lessing chiede a Jacobi altri documenti</w:t>
      </w:r>
      <w:r>
        <w:rPr>
          <w:rFonts w:ascii="Times New Roman" w:hAnsi="Times New Roman" w:cs="Times New Roman"/>
        </w:rPr>
        <w:t xml:space="preserve"> da esaminare. Per non disattendere le aspettative del suo ospite, Jacobi sottopone all’attenzione di Lessing un’anteprima della poesia </w:t>
      </w:r>
      <w:r w:rsidRPr="005F094F">
        <w:rPr>
          <w:rFonts w:ascii="Times New Roman" w:hAnsi="Times New Roman" w:cs="Times New Roman"/>
          <w:i/>
        </w:rPr>
        <w:t>Prometeheus</w:t>
      </w:r>
      <w:r>
        <w:rPr>
          <w:rFonts w:ascii="Times New Roman" w:hAnsi="Times New Roman" w:cs="Times New Roman"/>
          <w:i/>
        </w:rPr>
        <w:t xml:space="preserve"> </w:t>
      </w:r>
      <w:r>
        <w:rPr>
          <w:rFonts w:ascii="Times New Roman" w:hAnsi="Times New Roman" w:cs="Times New Roman"/>
        </w:rPr>
        <w:t xml:space="preserve">di Goethe. Esaminato e riconsegnato il testo al suo proprietario, Lessing afferma che </w:t>
      </w:r>
      <w:r w:rsidRPr="000B0E03">
        <w:rPr>
          <w:rFonts w:ascii="Times New Roman" w:hAnsi="Times New Roman" w:cs="Times New Roman"/>
        </w:rPr>
        <w:t>«</w:t>
      </w:r>
      <w:r w:rsidRPr="000B0E03">
        <w:rPr>
          <w:rFonts w:ascii="Times New Roman" w:hAnsi="Times New Roman" w:cs="Times New Roman"/>
          <w:lang w:val="de-DE"/>
        </w:rPr>
        <w:t>der Gesichtspunkt, aus welchem das Gedicht genommen ist, das ist mein eigener Gesichtspunkt… Die orthodoxen Begriffe von der Gottheit sind nicht mehr für mich; ich kann sie nicht genießen. Εν χαι παν! Ich weiß nichts anders. Dahin geht auch dies Gedicht; und ich muß bekennen, es gefällt mir sehr»</w:t>
      </w:r>
      <w:r w:rsidRPr="000B0E03">
        <w:rPr>
          <w:rStyle w:val="Rimandonotaapidipagina"/>
          <w:rFonts w:ascii="Times New Roman" w:hAnsi="Times New Roman" w:cs="Times New Roman"/>
        </w:rPr>
        <w:footnoteReference w:id="599"/>
      </w:r>
      <w:r w:rsidRPr="000B0E03">
        <w:rPr>
          <w:rFonts w:ascii="Times New Roman" w:hAnsi="Times New Roman" w:cs="Times New Roman"/>
        </w:rPr>
        <w:t>.</w:t>
      </w:r>
      <w:r>
        <w:rPr>
          <w:rFonts w:ascii="Times New Roman" w:hAnsi="Times New Roman" w:cs="Times New Roman"/>
        </w:rPr>
        <w:t xml:space="preserve"> </w:t>
      </w:r>
      <w:r w:rsidRPr="0049254E">
        <w:rPr>
          <w:rFonts w:ascii="Times New Roman" w:hAnsi="Times New Roman" w:cs="Times New Roman"/>
        </w:rPr>
        <w:t>Al che Jacobi risponde «</w:t>
      </w:r>
      <w:r w:rsidRPr="000B0E03">
        <w:rPr>
          <w:rFonts w:ascii="Times New Roman" w:hAnsi="Times New Roman" w:cs="Times New Roman"/>
          <w:lang w:val="de-DE"/>
        </w:rPr>
        <w:t>da wären Sie ja mit Spinoza ziemlich einverstanden</w:t>
      </w:r>
      <w:r w:rsidRPr="000B0E03">
        <w:rPr>
          <w:rFonts w:ascii="Times New Roman" w:hAnsi="Times New Roman" w:cs="Times New Roman"/>
        </w:rPr>
        <w:t>»</w:t>
      </w:r>
      <w:r w:rsidRPr="000B0E03">
        <w:rPr>
          <w:rStyle w:val="Rimandonotaapidipagina"/>
          <w:rFonts w:ascii="Times New Roman" w:hAnsi="Times New Roman" w:cs="Times New Roman"/>
        </w:rPr>
        <w:footnoteReference w:id="600"/>
      </w:r>
      <w:r w:rsidRPr="000B0E03">
        <w:rPr>
          <w:rFonts w:ascii="Times New Roman" w:hAnsi="Times New Roman" w:cs="Times New Roman"/>
        </w:rPr>
        <w:t>,</w:t>
      </w:r>
      <w:r w:rsidRPr="0049254E">
        <w:rPr>
          <w:rFonts w:ascii="Times New Roman" w:hAnsi="Times New Roman" w:cs="Times New Roman"/>
        </w:rPr>
        <w:t xml:space="preserve"> e Lessing, a sua volta, </w:t>
      </w:r>
      <w:r w:rsidRPr="00B550EF">
        <w:rPr>
          <w:rFonts w:ascii="Times New Roman" w:hAnsi="Times New Roman" w:cs="Times New Roman"/>
          <w:lang w:val="de-DE"/>
        </w:rPr>
        <w:t>«wenn ich mich nach jemand nennen soll, so weiß ich keinen andern»</w:t>
      </w:r>
      <w:r w:rsidRPr="0049254E">
        <w:rPr>
          <w:rStyle w:val="Rimandonotaapidipagina"/>
          <w:rFonts w:ascii="Times New Roman" w:hAnsi="Times New Roman" w:cs="Times New Roman"/>
        </w:rPr>
        <w:footnoteReference w:id="601"/>
      </w:r>
      <w:r w:rsidRPr="0049254E">
        <w:rPr>
          <w:rFonts w:ascii="Times New Roman" w:hAnsi="Times New Roman" w:cs="Times New Roman"/>
        </w:rPr>
        <w:t>.</w:t>
      </w:r>
      <w:r>
        <w:rPr>
          <w:rFonts w:ascii="Times New Roman" w:hAnsi="Times New Roman" w:cs="Times New Roman"/>
        </w:rPr>
        <w:t xml:space="preserve"> Dopo questo breve ma inteso scambio di battute, la discussione s’interrompe e i due filosofi visitano la biblioteca di Wolfenbüttel. La mattina seguen</w:t>
      </w:r>
      <w:r w:rsidRPr="00434A60">
        <w:rPr>
          <w:rFonts w:ascii="Times New Roman" w:hAnsi="Times New Roman" w:cs="Times New Roman"/>
        </w:rPr>
        <w:t>te Lessing raggiunge ancora una volta Jacobi nella sua camera e riprende il discorso interrotto il giorno precedente.</w:t>
      </w:r>
      <w:r>
        <w:rPr>
          <w:rFonts w:ascii="Times New Roman" w:hAnsi="Times New Roman" w:cs="Times New Roman"/>
        </w:rPr>
        <w:t xml:space="preserve"> In questo confronto, Jacobi, incalzato dalle domande di Lessing, definisce quelli che a suo dire costituiscono i principi dello spinozismo:</w:t>
      </w:r>
    </w:p>
    <w:p w14:paraId="58C9256D" w14:textId="77777777" w:rsidR="001B7751" w:rsidRDefault="001B7751" w:rsidP="001B7751">
      <w:pPr>
        <w:spacing w:line="360" w:lineRule="auto"/>
        <w:ind w:left="708" w:firstLine="426"/>
        <w:jc w:val="both"/>
        <w:rPr>
          <w:rFonts w:ascii="Times New Roman" w:hAnsi="Times New Roman" w:cs="Times New Roman"/>
        </w:rPr>
      </w:pPr>
    </w:p>
    <w:p w14:paraId="37ADA635" w14:textId="516F23D0" w:rsidR="001B7751" w:rsidRPr="0049254E" w:rsidRDefault="001B7751" w:rsidP="001B7751">
      <w:pPr>
        <w:spacing w:line="360" w:lineRule="auto"/>
        <w:ind w:left="567" w:firstLine="567"/>
        <w:jc w:val="both"/>
        <w:rPr>
          <w:rFonts w:ascii="Times New Roman" w:hAnsi="Times New Roman" w:cs="Times New Roman"/>
          <w:sz w:val="20"/>
          <w:szCs w:val="20"/>
        </w:rPr>
      </w:pPr>
      <w:r w:rsidRPr="0049254E">
        <w:rPr>
          <w:rFonts w:ascii="Times New Roman" w:hAnsi="Times New Roman" w:cs="Times New Roman"/>
          <w:sz w:val="20"/>
          <w:szCs w:val="20"/>
        </w:rPr>
        <w:t>«</w:t>
      </w:r>
      <w:r w:rsidRPr="0049254E">
        <w:rPr>
          <w:rFonts w:ascii="Times New Roman" w:hAnsi="Times New Roman" w:cs="Times New Roman"/>
          <w:sz w:val="20"/>
          <w:szCs w:val="20"/>
          <w:lang w:val="de-DE"/>
        </w:rPr>
        <w:t>Lessing: Ich merke, wir verstehen uns. Desto begieriger bin ich, von Ihnen zu hören: was Sie für den Geist des Spinozismus halten; ich meine den, der in Spinoza selbst gefahren war. Ich: Das ist wohl kein anderer gewesen, als das Uralte: a nihilo nihil fit; welches S</w:t>
      </w:r>
      <w:r w:rsidR="004E1A60">
        <w:rPr>
          <w:rFonts w:ascii="Times New Roman" w:hAnsi="Times New Roman" w:cs="Times New Roman"/>
          <w:sz w:val="20"/>
          <w:szCs w:val="20"/>
          <w:lang w:val="de-DE"/>
        </w:rPr>
        <w:t>pinoza, nach abgezogenen</w:t>
      </w:r>
      <w:r w:rsidRPr="0049254E">
        <w:rPr>
          <w:rFonts w:ascii="Times New Roman" w:hAnsi="Times New Roman" w:cs="Times New Roman"/>
          <w:sz w:val="20"/>
          <w:szCs w:val="20"/>
          <w:lang w:val="de-DE"/>
        </w:rPr>
        <w:t xml:space="preserve"> Begriffen, als die philosophierenden Kabbalisten und andere vor ihm, in Betracht</w:t>
      </w:r>
      <w:r w:rsidR="004E1A60">
        <w:rPr>
          <w:rFonts w:ascii="Times New Roman" w:hAnsi="Times New Roman" w:cs="Times New Roman"/>
          <w:sz w:val="20"/>
          <w:szCs w:val="20"/>
          <w:lang w:val="de-DE"/>
        </w:rPr>
        <w:t>ung zog. Nach diesen abgezogenen</w:t>
      </w:r>
      <w:r w:rsidRPr="0049254E">
        <w:rPr>
          <w:rFonts w:ascii="Times New Roman" w:hAnsi="Times New Roman" w:cs="Times New Roman"/>
          <w:sz w:val="20"/>
          <w:szCs w:val="20"/>
          <w:lang w:val="de-DE"/>
        </w:rPr>
        <w:t xml:space="preserve"> Begriffen fand er, daß durch ein jedes Entstehen im Unendlichen, mit was für Bildern oder Worten man ihm auch zu helfen suche, durch einen jeden Wechsel in demselben, ein Etwas aus dem Nichts gesetzt werde. Er verwarf also jeden Übergang des Unendlichen zum Endlichen</w:t>
      </w:r>
      <w:r>
        <w:rPr>
          <w:rFonts w:ascii="Times New Roman" w:hAnsi="Times New Roman" w:cs="Times New Roman"/>
          <w:sz w:val="20"/>
          <w:szCs w:val="20"/>
          <w:lang w:val="de-DE"/>
        </w:rPr>
        <w:t xml:space="preserve">! überhaupt alle </w:t>
      </w:r>
      <w:r w:rsidRPr="00442637">
        <w:rPr>
          <w:rFonts w:ascii="Times New Roman" w:hAnsi="Times New Roman" w:cs="Times New Roman"/>
          <w:sz w:val="20"/>
          <w:szCs w:val="20"/>
          <w:lang w:val="de-DE"/>
        </w:rPr>
        <w:t>Causas transitorias, secundarias oder remotas:</w:t>
      </w:r>
      <w:r w:rsidRPr="0049254E">
        <w:rPr>
          <w:rFonts w:ascii="Times New Roman" w:hAnsi="Times New Roman" w:cs="Times New Roman"/>
          <w:sz w:val="20"/>
          <w:szCs w:val="20"/>
          <w:lang w:val="de-DE"/>
        </w:rPr>
        <w:t xml:space="preserve"> und setzte an die Stelle des emanierenden ein nur immanents Ensoph; eine innewohnende, ewig in sich unveränderliche Ursache der Welt, welche mit allen ihren Folgen zusammengenommen – ein und dasselbe wäre</w:t>
      </w:r>
      <w:r w:rsidRPr="0049254E">
        <w:rPr>
          <w:rFonts w:ascii="Times New Roman" w:hAnsi="Times New Roman" w:cs="Times New Roman"/>
          <w:sz w:val="20"/>
          <w:szCs w:val="20"/>
        </w:rPr>
        <w:t>»</w:t>
      </w:r>
      <w:r w:rsidRPr="0049254E">
        <w:rPr>
          <w:rStyle w:val="Rimandonotaapidipagina"/>
          <w:rFonts w:ascii="Times New Roman" w:hAnsi="Times New Roman" w:cs="Times New Roman"/>
          <w:sz w:val="20"/>
          <w:szCs w:val="20"/>
        </w:rPr>
        <w:footnoteReference w:id="602"/>
      </w:r>
      <w:r w:rsidRPr="0049254E">
        <w:rPr>
          <w:rFonts w:ascii="Times New Roman" w:hAnsi="Times New Roman" w:cs="Times New Roman"/>
          <w:sz w:val="20"/>
          <w:szCs w:val="20"/>
        </w:rPr>
        <w:t>.</w:t>
      </w:r>
    </w:p>
    <w:p w14:paraId="1BCE1067" w14:textId="77777777" w:rsidR="001B7751" w:rsidRDefault="001B7751" w:rsidP="001B7751">
      <w:pPr>
        <w:spacing w:line="360" w:lineRule="auto"/>
        <w:ind w:left="1134" w:firstLine="567"/>
        <w:jc w:val="both"/>
        <w:rPr>
          <w:rFonts w:ascii="Times New Roman" w:hAnsi="Times New Roman" w:cs="Times New Roman"/>
        </w:rPr>
      </w:pPr>
    </w:p>
    <w:p w14:paraId="764ABE18" w14:textId="6551821B" w:rsidR="00C80FF2" w:rsidRPr="00DA78FB" w:rsidRDefault="001B7751" w:rsidP="009F778B">
      <w:pPr>
        <w:spacing w:line="360" w:lineRule="auto"/>
        <w:ind w:firstLine="567"/>
        <w:jc w:val="both"/>
        <w:rPr>
          <w:rFonts w:ascii="Times New Roman" w:hAnsi="Times New Roman" w:cs="Times New Roman"/>
          <w:highlight w:val="yellow"/>
        </w:rPr>
      </w:pPr>
      <w:r w:rsidRPr="00434A60">
        <w:rPr>
          <w:rFonts w:ascii="Times New Roman" w:hAnsi="Times New Roman" w:cs="Times New Roman"/>
        </w:rPr>
        <w:t>Conviene interrompere il resoconto di Jacobi e analizzare questa prima esposizione dei principi teorici dello spinozismo.</w:t>
      </w:r>
      <w:r>
        <w:rPr>
          <w:rFonts w:ascii="Times New Roman" w:hAnsi="Times New Roman" w:cs="Times New Roman"/>
        </w:rPr>
        <w:t xml:space="preserve"> Rispetto all’analisi condotta nel secondo capitolo, si cercherà di contestualizzare la posizione di Jacobi all’interno del </w:t>
      </w:r>
      <w:r w:rsidRPr="008F4AAA">
        <w:rPr>
          <w:rFonts w:ascii="Times New Roman" w:hAnsi="Times New Roman" w:cs="Times New Roman"/>
        </w:rPr>
        <w:t xml:space="preserve">dibattito sulla Qabbalah e sullo spinozismo del suo tempo. L’identificazione del pensiero di Spinoza con la formula </w:t>
      </w:r>
      <w:r w:rsidRPr="008F4AAA">
        <w:rPr>
          <w:rFonts w:ascii="Times New Roman" w:hAnsi="Times New Roman" w:cs="Times New Roman"/>
          <w:i/>
        </w:rPr>
        <w:t xml:space="preserve">a nihilo nihil fit </w:t>
      </w:r>
      <w:r w:rsidRPr="008F4AAA">
        <w:rPr>
          <w:rFonts w:ascii="Times New Roman" w:hAnsi="Times New Roman" w:cs="Times New Roman"/>
        </w:rPr>
        <w:t xml:space="preserve">rimanda alla </w:t>
      </w:r>
      <w:r w:rsidRPr="008F4AAA">
        <w:rPr>
          <w:rFonts w:ascii="Times New Roman" w:hAnsi="Times New Roman" w:cs="Times New Roman"/>
          <w:i/>
        </w:rPr>
        <w:t>Cabbalae Aëto-Paedo-Melissae</w:t>
      </w:r>
      <w:r w:rsidR="00083032">
        <w:rPr>
          <w:rFonts w:ascii="Times New Roman" w:hAnsi="Times New Roman" w:cs="Times New Roman"/>
        </w:rPr>
        <w:t xml:space="preserve">, </w:t>
      </w:r>
      <w:r w:rsidR="00083032" w:rsidRPr="008F4AAA">
        <w:rPr>
          <w:rFonts w:ascii="Times New Roman" w:hAnsi="Times New Roman" w:cs="Times New Roman"/>
        </w:rPr>
        <w:t xml:space="preserve">allo </w:t>
      </w:r>
      <w:r w:rsidR="00083032">
        <w:rPr>
          <w:rFonts w:ascii="Times New Roman" w:hAnsi="Times New Roman" w:cs="Times New Roman"/>
          <w:i/>
        </w:rPr>
        <w:t>Spinozismus in J</w:t>
      </w:r>
      <w:r w:rsidR="00083032">
        <w:rPr>
          <w:rFonts w:ascii="Times New Roman" w:eastAsia="Times New Roman" w:hAnsi="Times New Roman" w:cs="Times New Roman"/>
          <w:i/>
          <w:iCs/>
          <w:color w:val="222222"/>
          <w:shd w:val="clear" w:color="auto" w:fill="FFFFFF"/>
          <w:lang w:val="de-DE"/>
        </w:rPr>
        <w:t>ü</w:t>
      </w:r>
      <w:r w:rsidR="00083032" w:rsidRPr="008F4AAA">
        <w:rPr>
          <w:rFonts w:ascii="Times New Roman" w:hAnsi="Times New Roman" w:cs="Times New Roman"/>
          <w:i/>
        </w:rPr>
        <w:t>denthumb</w:t>
      </w:r>
      <w:r w:rsidR="00083032">
        <w:rPr>
          <w:rFonts w:ascii="Times New Roman" w:hAnsi="Times New Roman" w:cs="Times New Roman"/>
          <w:i/>
        </w:rPr>
        <w:t xml:space="preserve"> </w:t>
      </w:r>
      <w:r w:rsidR="00083032">
        <w:rPr>
          <w:rFonts w:ascii="Times New Roman" w:hAnsi="Times New Roman" w:cs="Times New Roman"/>
        </w:rPr>
        <w:t xml:space="preserve">e alla </w:t>
      </w:r>
      <w:r w:rsidR="00083032" w:rsidRPr="00083032">
        <w:rPr>
          <w:rFonts w:ascii="Times New Roman" w:hAnsi="Times New Roman" w:cs="Times New Roman"/>
          <w:i/>
        </w:rPr>
        <w:t>Historia critica philsophiae</w:t>
      </w:r>
      <w:r w:rsidR="00083032">
        <w:rPr>
          <w:rFonts w:ascii="Times New Roman" w:hAnsi="Times New Roman" w:cs="Times New Roman"/>
        </w:rPr>
        <w:t>.</w:t>
      </w:r>
      <w:r w:rsidRPr="008F4AAA">
        <w:rPr>
          <w:rFonts w:ascii="Times New Roman" w:hAnsi="Times New Roman" w:cs="Times New Roman"/>
        </w:rPr>
        <w:t xml:space="preserve"> </w:t>
      </w:r>
      <w:r w:rsidR="00083032" w:rsidRPr="007152BE">
        <w:rPr>
          <w:rFonts w:ascii="Times New Roman" w:hAnsi="Times New Roman" w:cs="Times New Roman"/>
        </w:rPr>
        <w:t>S</w:t>
      </w:r>
      <w:r w:rsidRPr="007152BE">
        <w:rPr>
          <w:rFonts w:ascii="Times New Roman" w:hAnsi="Times New Roman" w:cs="Times New Roman"/>
        </w:rPr>
        <w:t>ostenendo che la sostanza spinoziana è causa immanente, non remota o transitiva, di tutte le cose e che ogni passaggio intermedio fra infinito e finito è reciso in nome di un’eterna presenzialità del divino nel mondo</w:t>
      </w:r>
      <w:r w:rsidRPr="00C41BBE">
        <w:rPr>
          <w:rFonts w:ascii="Times New Roman" w:hAnsi="Times New Roman" w:cs="Times New Roman"/>
        </w:rPr>
        <w:t xml:space="preserve">, </w:t>
      </w:r>
      <w:r w:rsidRPr="00B07EFF">
        <w:rPr>
          <w:rFonts w:ascii="Times New Roman" w:hAnsi="Times New Roman" w:cs="Times New Roman"/>
        </w:rPr>
        <w:t>Jacobi assume alcune linee guida dell’interpretazione bruckeriana dello spinozismo</w:t>
      </w:r>
      <w:r w:rsidRPr="00B07EFF">
        <w:rPr>
          <w:rStyle w:val="Rimandonotaapidipagina"/>
          <w:rFonts w:ascii="Times New Roman" w:hAnsi="Times New Roman" w:cs="Times New Roman"/>
        </w:rPr>
        <w:footnoteReference w:id="603"/>
      </w:r>
      <w:r w:rsidRPr="00B07EFF">
        <w:rPr>
          <w:rFonts w:ascii="Times New Roman" w:hAnsi="Times New Roman" w:cs="Times New Roman"/>
        </w:rPr>
        <w:t xml:space="preserve">. </w:t>
      </w:r>
      <w:r w:rsidR="00C80FF2">
        <w:rPr>
          <w:rFonts w:ascii="Times New Roman" w:hAnsi="Times New Roman" w:cs="Times New Roman"/>
          <w:highlight w:val="yellow"/>
        </w:rPr>
        <w:t>Riguardo all’immanenza della sostanza divina nelle</w:t>
      </w:r>
      <w:r w:rsidR="004D7E9C">
        <w:rPr>
          <w:rFonts w:ascii="Times New Roman" w:hAnsi="Times New Roman" w:cs="Times New Roman"/>
          <w:highlight w:val="yellow"/>
        </w:rPr>
        <w:t xml:space="preserve"> proprie determinazioni, le </w:t>
      </w:r>
      <w:r w:rsidR="004D7E9C" w:rsidRPr="004D7E9C">
        <w:rPr>
          <w:rFonts w:ascii="Times New Roman" w:hAnsi="Times New Roman" w:cs="Times New Roman"/>
          <w:i/>
          <w:highlight w:val="yellow"/>
        </w:rPr>
        <w:t>Spinozabriefe</w:t>
      </w:r>
      <w:r w:rsidR="004D7E9C">
        <w:rPr>
          <w:rFonts w:ascii="Times New Roman" w:hAnsi="Times New Roman" w:cs="Times New Roman"/>
          <w:highlight w:val="yellow"/>
        </w:rPr>
        <w:t xml:space="preserve"> </w:t>
      </w:r>
      <w:r w:rsidR="009A56E3">
        <w:rPr>
          <w:rFonts w:ascii="Times New Roman" w:hAnsi="Times New Roman" w:cs="Times New Roman"/>
          <w:highlight w:val="yellow"/>
        </w:rPr>
        <w:t>sembrano richiamarsi</w:t>
      </w:r>
      <w:r w:rsidR="007757EB">
        <w:rPr>
          <w:rFonts w:ascii="Times New Roman" w:hAnsi="Times New Roman" w:cs="Times New Roman"/>
          <w:highlight w:val="yellow"/>
        </w:rPr>
        <w:t xml:space="preserve"> a </w:t>
      </w:r>
      <w:r w:rsidR="00C80FF2" w:rsidRPr="007A3EE9">
        <w:rPr>
          <w:rFonts w:ascii="Times New Roman" w:hAnsi="Times New Roman" w:cs="Times New Roman"/>
          <w:highlight w:val="yellow"/>
        </w:rPr>
        <w:t xml:space="preserve">quel passo dello </w:t>
      </w:r>
      <w:r w:rsidR="00C80FF2" w:rsidRPr="007A3EE9">
        <w:rPr>
          <w:rFonts w:ascii="Times New Roman" w:hAnsi="Times New Roman" w:cs="Times New Roman"/>
          <w:i/>
          <w:highlight w:val="yellow"/>
        </w:rPr>
        <w:t>Spinozismus in J</w:t>
      </w:r>
      <w:r w:rsidR="00C80FF2" w:rsidRPr="007A3EE9">
        <w:rPr>
          <w:rFonts w:ascii="Times New Roman" w:eastAsia="Times New Roman" w:hAnsi="Times New Roman" w:cs="Times New Roman"/>
          <w:i/>
          <w:iCs/>
          <w:color w:val="222222"/>
          <w:highlight w:val="yellow"/>
          <w:shd w:val="clear" w:color="auto" w:fill="FFFFFF"/>
          <w:lang w:val="de-DE"/>
        </w:rPr>
        <w:t>ü</w:t>
      </w:r>
      <w:r w:rsidR="00C80FF2" w:rsidRPr="007A3EE9">
        <w:rPr>
          <w:rFonts w:ascii="Times New Roman" w:hAnsi="Times New Roman" w:cs="Times New Roman"/>
          <w:i/>
          <w:highlight w:val="yellow"/>
        </w:rPr>
        <w:t>denthumb</w:t>
      </w:r>
      <w:r w:rsidR="00C80FF2" w:rsidRPr="007A3EE9">
        <w:rPr>
          <w:rFonts w:ascii="Times New Roman" w:hAnsi="Times New Roman" w:cs="Times New Roman"/>
          <w:highlight w:val="yellow"/>
        </w:rPr>
        <w:t xml:space="preserve"> in cui l’immanen</w:t>
      </w:r>
      <w:r w:rsidR="00C80FF2">
        <w:rPr>
          <w:rFonts w:ascii="Times New Roman" w:hAnsi="Times New Roman" w:cs="Times New Roman"/>
          <w:highlight w:val="yellow"/>
        </w:rPr>
        <w:t xml:space="preserve">tismo </w:t>
      </w:r>
      <w:r w:rsidR="009A56E3">
        <w:rPr>
          <w:rFonts w:ascii="Times New Roman" w:hAnsi="Times New Roman" w:cs="Times New Roman"/>
          <w:highlight w:val="yellow"/>
        </w:rPr>
        <w:t>spinoziano</w:t>
      </w:r>
      <w:r w:rsidR="00C80FF2">
        <w:rPr>
          <w:rFonts w:ascii="Times New Roman" w:hAnsi="Times New Roman" w:cs="Times New Roman"/>
          <w:highlight w:val="yellow"/>
        </w:rPr>
        <w:t xml:space="preserve"> è letto</w:t>
      </w:r>
      <w:r w:rsidR="00C80FF2" w:rsidRPr="007A3EE9">
        <w:rPr>
          <w:rFonts w:ascii="Times New Roman" w:hAnsi="Times New Roman" w:cs="Times New Roman"/>
          <w:highlight w:val="yellow"/>
        </w:rPr>
        <w:t xml:space="preserve"> alla luce del «Deum esse unum individum in omnibus, &amp; totum in singulis»</w:t>
      </w:r>
      <w:r w:rsidR="00C80FF2" w:rsidRPr="007A3EE9">
        <w:rPr>
          <w:rStyle w:val="Rimandonotaapidipagina"/>
          <w:rFonts w:ascii="Times New Roman" w:hAnsi="Times New Roman" w:cs="Times New Roman"/>
          <w:highlight w:val="yellow"/>
        </w:rPr>
        <w:footnoteReference w:id="604"/>
      </w:r>
      <w:r w:rsidR="00C80FF2">
        <w:rPr>
          <w:rFonts w:ascii="Times New Roman" w:hAnsi="Times New Roman" w:cs="Times New Roman"/>
          <w:highlight w:val="yellow"/>
        </w:rPr>
        <w:t xml:space="preserve"> di Herrera</w:t>
      </w:r>
      <w:r w:rsidR="00C80FF2" w:rsidRPr="007A3EE9">
        <w:rPr>
          <w:rFonts w:ascii="Times New Roman" w:hAnsi="Times New Roman" w:cs="Times New Roman"/>
          <w:highlight w:val="yellow"/>
        </w:rPr>
        <w:t xml:space="preserve">. </w:t>
      </w:r>
      <w:r w:rsidR="00CE0028">
        <w:rPr>
          <w:rFonts w:ascii="Times New Roman" w:hAnsi="Times New Roman" w:cs="Times New Roman"/>
          <w:highlight w:val="yellow"/>
        </w:rPr>
        <w:t>L</w:t>
      </w:r>
      <w:r w:rsidR="00C80FF2">
        <w:rPr>
          <w:rFonts w:ascii="Times New Roman" w:hAnsi="Times New Roman" w:cs="Times New Roman"/>
          <w:highlight w:val="yellow"/>
        </w:rPr>
        <w:t>a radicalità filosofica di Spinoza</w:t>
      </w:r>
      <w:r w:rsidR="00CE0028">
        <w:rPr>
          <w:rFonts w:ascii="Times New Roman" w:hAnsi="Times New Roman" w:cs="Times New Roman"/>
          <w:highlight w:val="yellow"/>
        </w:rPr>
        <w:t>, quindi,</w:t>
      </w:r>
      <w:r w:rsidR="00C80FF2">
        <w:rPr>
          <w:rFonts w:ascii="Times New Roman" w:hAnsi="Times New Roman" w:cs="Times New Roman"/>
          <w:highlight w:val="yellow"/>
        </w:rPr>
        <w:t xml:space="preserve"> si spiega </w:t>
      </w:r>
      <w:r w:rsidR="00C80FF2" w:rsidRPr="007A3EE9">
        <w:rPr>
          <w:rFonts w:ascii="Times New Roman" w:hAnsi="Times New Roman" w:cs="Times New Roman"/>
          <w:highlight w:val="yellow"/>
        </w:rPr>
        <w:t>a partire da una prossimità teor</w:t>
      </w:r>
      <w:r w:rsidR="00CE0028">
        <w:rPr>
          <w:rFonts w:ascii="Times New Roman" w:hAnsi="Times New Roman" w:cs="Times New Roman"/>
          <w:highlight w:val="yellow"/>
        </w:rPr>
        <w:t xml:space="preserve">ica con la </w:t>
      </w:r>
      <w:r w:rsidR="00C80FF2" w:rsidRPr="007A3EE9">
        <w:rPr>
          <w:rFonts w:ascii="Times New Roman" w:hAnsi="Times New Roman" w:cs="Times New Roman"/>
          <w:highlight w:val="yellow"/>
        </w:rPr>
        <w:t xml:space="preserve">Qabbalah </w:t>
      </w:r>
      <w:r w:rsidR="00C80FF2" w:rsidRPr="007A3EE9">
        <w:rPr>
          <w:rFonts w:ascii="Times New Roman" w:hAnsi="Times New Roman" w:cs="Times New Roman"/>
          <w:i/>
          <w:highlight w:val="yellow"/>
        </w:rPr>
        <w:t>storiograficamente</w:t>
      </w:r>
      <w:r w:rsidR="00C80FF2" w:rsidRPr="007A3EE9">
        <w:rPr>
          <w:rFonts w:ascii="Times New Roman" w:hAnsi="Times New Roman" w:cs="Times New Roman"/>
          <w:highlight w:val="yellow"/>
        </w:rPr>
        <w:t xml:space="preserve"> </w:t>
      </w:r>
      <w:r w:rsidR="00F2666E">
        <w:rPr>
          <w:rFonts w:ascii="Times New Roman" w:hAnsi="Times New Roman" w:cs="Times New Roman"/>
          <w:highlight w:val="yellow"/>
        </w:rPr>
        <w:t>d</w:t>
      </w:r>
      <w:r w:rsidR="00116F14">
        <w:rPr>
          <w:rFonts w:ascii="Times New Roman" w:hAnsi="Times New Roman" w:cs="Times New Roman"/>
          <w:highlight w:val="yellow"/>
        </w:rPr>
        <w:t>esu</w:t>
      </w:r>
      <w:r w:rsidR="00CE0028">
        <w:rPr>
          <w:rFonts w:ascii="Times New Roman" w:hAnsi="Times New Roman" w:cs="Times New Roman"/>
          <w:highlight w:val="yellow"/>
        </w:rPr>
        <w:t>nta</w:t>
      </w:r>
      <w:r w:rsidR="00F2666E">
        <w:rPr>
          <w:rFonts w:ascii="Times New Roman" w:hAnsi="Times New Roman" w:cs="Times New Roman"/>
          <w:highlight w:val="yellow"/>
        </w:rPr>
        <w:t xml:space="preserve"> dalle</w:t>
      </w:r>
      <w:r w:rsidR="00C80FF2">
        <w:rPr>
          <w:rFonts w:ascii="Times New Roman" w:hAnsi="Times New Roman" w:cs="Times New Roman"/>
          <w:highlight w:val="yellow"/>
        </w:rPr>
        <w:t xml:space="preserve"> opere di Henry More, Jahann </w:t>
      </w:r>
      <w:r w:rsidR="009F778B">
        <w:rPr>
          <w:rFonts w:ascii="Times New Roman" w:hAnsi="Times New Roman" w:cs="Times New Roman"/>
          <w:highlight w:val="yellow"/>
        </w:rPr>
        <w:t xml:space="preserve">Jacob </w:t>
      </w:r>
      <w:r w:rsidR="00C80FF2">
        <w:rPr>
          <w:rFonts w:ascii="Times New Roman" w:hAnsi="Times New Roman" w:cs="Times New Roman"/>
          <w:highlight w:val="yellow"/>
        </w:rPr>
        <w:t xml:space="preserve">Brucker e Johan Georg Wachter. </w:t>
      </w:r>
      <w:r w:rsidR="00C80FF2" w:rsidRPr="007A3EE9">
        <w:rPr>
          <w:rFonts w:ascii="Times New Roman" w:hAnsi="Times New Roman" w:cs="Times New Roman"/>
          <w:i/>
          <w:highlight w:val="yellow"/>
        </w:rPr>
        <w:t xml:space="preserve"> </w:t>
      </w:r>
    </w:p>
    <w:p w14:paraId="48BBD4DC" w14:textId="2C6B9CC0" w:rsidR="00083032" w:rsidRPr="00C80FF2" w:rsidRDefault="001B7751" w:rsidP="00C80FF2">
      <w:pPr>
        <w:spacing w:line="360" w:lineRule="auto"/>
        <w:ind w:firstLine="567"/>
        <w:jc w:val="both"/>
        <w:rPr>
          <w:rFonts w:ascii="Times New Roman" w:hAnsi="Times New Roman" w:cs="Times New Roman"/>
          <w:highlight w:val="yellow"/>
        </w:rPr>
      </w:pPr>
      <w:r w:rsidRPr="00381180">
        <w:rPr>
          <w:rFonts w:ascii="Times New Roman" w:hAnsi="Times New Roman" w:cs="Times New Roman"/>
        </w:rPr>
        <w:t xml:space="preserve">Nell’ultimo passaggio di questa citazione, inoltre, emerge un quesito teorico che sarà centrale nello sviluppo ulteriore dell’argomentazione jacobiana. All’apparente frammentazione della sostanza nella molteplicità fenomenica, Spinoza contrappone l’idea di una ricomprensione dei modi nell’unità sostanziale. Essendo più radicale della Qabbalah, prosegue Jacobi, che qui svia dalla </w:t>
      </w:r>
      <w:r w:rsidR="00A76F84">
        <w:rPr>
          <w:rFonts w:ascii="Times New Roman" w:hAnsi="Times New Roman" w:cs="Times New Roman"/>
          <w:i/>
        </w:rPr>
        <w:t>Spinozismus in J</w:t>
      </w:r>
      <w:r w:rsidR="00A76F84">
        <w:rPr>
          <w:rFonts w:ascii="Times New Roman" w:eastAsia="Times New Roman" w:hAnsi="Times New Roman" w:cs="Times New Roman"/>
          <w:i/>
          <w:iCs/>
          <w:color w:val="222222"/>
          <w:shd w:val="clear" w:color="auto" w:fill="FFFFFF"/>
          <w:lang w:val="de-DE"/>
        </w:rPr>
        <w:t>ü</w:t>
      </w:r>
      <w:r w:rsidRPr="00381180">
        <w:rPr>
          <w:rFonts w:ascii="Times New Roman" w:hAnsi="Times New Roman" w:cs="Times New Roman"/>
          <w:i/>
        </w:rPr>
        <w:t>denthumb</w:t>
      </w:r>
      <w:r w:rsidRPr="00381180">
        <w:rPr>
          <w:rFonts w:ascii="Times New Roman" w:hAnsi="Times New Roman" w:cs="Times New Roman"/>
        </w:rPr>
        <w:t>, Spinoza</w:t>
      </w:r>
      <w:r>
        <w:rPr>
          <w:rFonts w:ascii="Times New Roman" w:hAnsi="Times New Roman" w:cs="Times New Roman"/>
        </w:rPr>
        <w:t xml:space="preserve"> </w:t>
      </w:r>
      <w:r w:rsidRPr="004C688F">
        <w:rPr>
          <w:rFonts w:ascii="Times New Roman" w:hAnsi="Times New Roman" w:cs="Times New Roman"/>
        </w:rPr>
        <w:t xml:space="preserve">viola quell’assunto </w:t>
      </w:r>
      <w:r>
        <w:rPr>
          <w:rFonts w:ascii="Times New Roman" w:hAnsi="Times New Roman" w:cs="Times New Roman"/>
        </w:rPr>
        <w:t xml:space="preserve">cabbalistico </w:t>
      </w:r>
      <w:r w:rsidRPr="004C688F">
        <w:rPr>
          <w:rFonts w:ascii="Times New Roman" w:hAnsi="Times New Roman" w:cs="Times New Roman"/>
        </w:rPr>
        <w:t xml:space="preserve">per cui </w:t>
      </w:r>
      <w:r w:rsidRPr="004C688F">
        <w:rPr>
          <w:rFonts w:ascii="Times New Roman" w:eastAsia="Times New Roman" w:hAnsi="Times New Roman" w:cs="Times New Roman"/>
          <w:iCs/>
          <w:shd w:val="clear" w:color="auto" w:fill="FFFFFF"/>
        </w:rPr>
        <w:t>«</w:t>
      </w:r>
      <w:r w:rsidRPr="004C688F">
        <w:rPr>
          <w:rFonts w:ascii="Times New Roman" w:eastAsia="Times New Roman" w:hAnsi="Times New Roman" w:cs="Times New Roman"/>
          <w:iCs/>
          <w:shd w:val="clear" w:color="auto" w:fill="FFFFFF"/>
          <w:lang w:val="de-DE"/>
        </w:rPr>
        <w:t>es an und für sich selbst unmöglich sey, das Unendliche aus dem Endlichen zu entwick</w:t>
      </w:r>
      <w:bookmarkStart w:id="0" w:name="_GoBack"/>
      <w:bookmarkEnd w:id="0"/>
      <w:r w:rsidRPr="004C688F">
        <w:rPr>
          <w:rFonts w:ascii="Times New Roman" w:eastAsia="Times New Roman" w:hAnsi="Times New Roman" w:cs="Times New Roman"/>
          <w:iCs/>
          <w:shd w:val="clear" w:color="auto" w:fill="FFFFFF"/>
          <w:lang w:val="de-DE"/>
        </w:rPr>
        <w:t>eln, und den Uebergang des einen zu dem anderen, oder ihre Proportion, durch irgend eine Formel heraus zu bringen</w:t>
      </w:r>
      <w:r w:rsidRPr="004C688F">
        <w:t>»</w:t>
      </w:r>
      <w:r w:rsidRPr="004C688F">
        <w:rPr>
          <w:rStyle w:val="Rimandonotaapidipagina"/>
          <w:rFonts w:ascii="Times New Roman" w:eastAsia="Times New Roman" w:hAnsi="Times New Roman" w:cs="Times New Roman"/>
          <w:iCs/>
          <w:shd w:val="clear" w:color="auto" w:fill="FFFFFF"/>
        </w:rPr>
        <w:footnoteReference w:id="605"/>
      </w:r>
      <w:r w:rsidRPr="004C688F">
        <w:rPr>
          <w:rFonts w:ascii="Times New Roman" w:hAnsi="Times New Roman" w:cs="Times New Roman"/>
        </w:rPr>
        <w:t>.</w:t>
      </w:r>
      <w:r>
        <w:rPr>
          <w:rFonts w:ascii="Times New Roman" w:hAnsi="Times New Roman" w:cs="Times New Roman"/>
        </w:rPr>
        <w:t xml:space="preserve"> Per la Qabbalah è impossibile derivare dal finito l’infinito e definire, argomentandolo, il passaggio da un piano ontologico all’altro. </w:t>
      </w:r>
      <w:r w:rsidRPr="00005500">
        <w:rPr>
          <w:rFonts w:ascii="Times New Roman" w:hAnsi="Times New Roman" w:cs="Times New Roman"/>
        </w:rPr>
        <w:t>Ciò che non può essere pensato non può essere neanche espresso: non</w:t>
      </w:r>
      <w:r>
        <w:rPr>
          <w:rFonts w:ascii="Times New Roman" w:hAnsi="Times New Roman" w:cs="Times New Roman"/>
        </w:rPr>
        <w:t xml:space="preserve"> vi è nessuna formula capace d’</w:t>
      </w:r>
      <w:r w:rsidRPr="00005500">
        <w:rPr>
          <w:rFonts w:ascii="Times New Roman" w:hAnsi="Times New Roman" w:cs="Times New Roman"/>
        </w:rPr>
        <w:t xml:space="preserve">afferrare un rapporto che rimane inesplicabile alla ragione. </w:t>
      </w:r>
      <w:r w:rsidRPr="00DC7702">
        <w:rPr>
          <w:rFonts w:ascii="Times New Roman" w:hAnsi="Times New Roman" w:cs="Times New Roman"/>
        </w:rPr>
        <w:t xml:space="preserve">Rifacendosi a tutte quelle fonti che hanno individuato nella Qabbalah uno scarto fra Dio e mondo (fra tutte la </w:t>
      </w:r>
      <w:r w:rsidRPr="00DC7702">
        <w:rPr>
          <w:rFonts w:ascii="Times New Roman" w:eastAsia="Times New Roman" w:hAnsi="Times New Roman" w:cs="Times New Roman"/>
          <w:i/>
          <w:iCs/>
          <w:color w:val="222222"/>
          <w:shd w:val="clear" w:color="auto" w:fill="FFFFFF"/>
        </w:rPr>
        <w:t xml:space="preserve">Defensio Cabbalae Ebraeorum </w:t>
      </w:r>
      <w:r w:rsidRPr="00DC7702">
        <w:rPr>
          <w:rFonts w:ascii="Times New Roman" w:eastAsia="Times New Roman" w:hAnsi="Times New Roman" w:cs="Times New Roman"/>
          <w:iCs/>
          <w:color w:val="222222"/>
          <w:shd w:val="clear" w:color="auto" w:fill="FFFFFF"/>
        </w:rPr>
        <w:t xml:space="preserve">di Buddeus e </w:t>
      </w:r>
      <w:r w:rsidRPr="00DC7702">
        <w:rPr>
          <w:rFonts w:ascii="Times New Roman" w:hAnsi="Times New Roman" w:cs="Times New Roman"/>
        </w:rPr>
        <w:t>l’</w:t>
      </w:r>
      <w:r w:rsidRPr="00DC7702">
        <w:rPr>
          <w:rFonts w:ascii="Times New Roman" w:hAnsi="Times New Roman" w:cs="Times New Roman"/>
          <w:i/>
        </w:rPr>
        <w:t xml:space="preserve">Elucidarius Cabalisticus </w:t>
      </w:r>
      <w:r w:rsidRPr="00DC7702">
        <w:rPr>
          <w:rFonts w:ascii="Times New Roman" w:hAnsi="Times New Roman" w:cs="Times New Roman"/>
        </w:rPr>
        <w:t>di Wachter),</w:t>
      </w:r>
      <w:r>
        <w:rPr>
          <w:rFonts w:ascii="Times New Roman" w:hAnsi="Times New Roman" w:cs="Times New Roman"/>
        </w:rPr>
        <w:t xml:space="preserve"> Jacobi elogia la prudenza della tradizione mistica ebraica. </w:t>
      </w:r>
      <w:r w:rsidRPr="00381180">
        <w:rPr>
          <w:rFonts w:ascii="Times New Roman" w:hAnsi="Times New Roman" w:cs="Times New Roman"/>
        </w:rPr>
        <w:t xml:space="preserve">In questo contesto, parlare a favore della filosofia cabbalistica assume un significato ben preciso: rendere inesplicabile la relazione fra infinito e finito </w:t>
      </w:r>
      <w:r>
        <w:rPr>
          <w:rFonts w:ascii="Times New Roman" w:hAnsi="Times New Roman" w:cs="Times New Roman"/>
        </w:rPr>
        <w:t>introduce una conoscenza del nesso</w:t>
      </w:r>
      <w:r w:rsidRPr="00381180">
        <w:rPr>
          <w:rFonts w:ascii="Times New Roman" w:hAnsi="Times New Roman" w:cs="Times New Roman"/>
        </w:rPr>
        <w:t xml:space="preserve"> </w:t>
      </w:r>
      <w:r>
        <w:rPr>
          <w:rFonts w:ascii="Times New Roman" w:hAnsi="Times New Roman" w:cs="Times New Roman"/>
        </w:rPr>
        <w:t>divino-</w:t>
      </w:r>
      <w:r w:rsidRPr="00381180">
        <w:rPr>
          <w:rFonts w:ascii="Times New Roman" w:hAnsi="Times New Roman" w:cs="Times New Roman"/>
        </w:rPr>
        <w:t>creaturale – la fede – totalm</w:t>
      </w:r>
      <w:r>
        <w:rPr>
          <w:rFonts w:ascii="Times New Roman" w:hAnsi="Times New Roman" w:cs="Times New Roman"/>
        </w:rPr>
        <w:t>ente altra</w:t>
      </w:r>
      <w:r w:rsidRPr="00381180">
        <w:rPr>
          <w:rFonts w:ascii="Times New Roman" w:hAnsi="Times New Roman" w:cs="Times New Roman"/>
        </w:rPr>
        <w:t xml:space="preserve"> rispetto al pensare argomentativo; soprassedere sul rapporto fra sostanza e modo esime dalle contraddizioni in cui cade Spinoza, che cerca </w:t>
      </w:r>
      <w:r>
        <w:rPr>
          <w:rFonts w:ascii="Times New Roman" w:hAnsi="Times New Roman" w:cs="Times New Roman"/>
        </w:rPr>
        <w:t>di spiegare ciò</w:t>
      </w:r>
      <w:r w:rsidRPr="00381180">
        <w:rPr>
          <w:rFonts w:ascii="Times New Roman" w:hAnsi="Times New Roman" w:cs="Times New Roman"/>
        </w:rPr>
        <w:t xml:space="preserve"> che trascende la nostra ragione. </w:t>
      </w:r>
    </w:p>
    <w:p w14:paraId="0C2CFD67" w14:textId="3A90A710" w:rsidR="001B7751" w:rsidRPr="00C4740E" w:rsidRDefault="001B7751" w:rsidP="001B7751">
      <w:pPr>
        <w:spacing w:line="360" w:lineRule="auto"/>
        <w:ind w:firstLine="567"/>
        <w:jc w:val="both"/>
        <w:rPr>
          <w:rFonts w:ascii="Times New Roman" w:hAnsi="Times New Roman" w:cs="Times New Roman"/>
          <w:highlight w:val="yellow"/>
        </w:rPr>
      </w:pPr>
      <w:r w:rsidRPr="00381180">
        <w:rPr>
          <w:rFonts w:ascii="Times New Roman" w:hAnsi="Times New Roman" w:cs="Times New Roman"/>
        </w:rPr>
        <w:t>A questo punto, viene da chiedersi:</w:t>
      </w:r>
      <w:r>
        <w:rPr>
          <w:rFonts w:ascii="Times New Roman" w:hAnsi="Times New Roman" w:cs="Times New Roman"/>
        </w:rPr>
        <w:t xml:space="preserve"> quali sono le contraddizioni insite nello spinozismo che spingono Jacobi a preferire la cautela cabbalistica? </w:t>
      </w:r>
      <w:r w:rsidRPr="00381180">
        <w:rPr>
          <w:rFonts w:ascii="Times New Roman" w:hAnsi="Times New Roman" w:cs="Times New Roman"/>
        </w:rPr>
        <w:t xml:space="preserve">Ad introdurre questo passaggio decisivo delle </w:t>
      </w:r>
      <w:r w:rsidRPr="00381180">
        <w:rPr>
          <w:rFonts w:ascii="Times New Roman" w:hAnsi="Times New Roman" w:cs="Times New Roman"/>
          <w:i/>
        </w:rPr>
        <w:t xml:space="preserve">Spinozabriefe </w:t>
      </w:r>
      <w:r w:rsidRPr="00381180">
        <w:rPr>
          <w:rFonts w:ascii="Times New Roman" w:hAnsi="Times New Roman" w:cs="Times New Roman"/>
        </w:rPr>
        <w:t xml:space="preserve">ci viene in soccorso, ancora una volta, la </w:t>
      </w:r>
      <w:r w:rsidRPr="00381180">
        <w:rPr>
          <w:rFonts w:ascii="Times New Roman" w:hAnsi="Times New Roman" w:cs="Times New Roman"/>
          <w:i/>
        </w:rPr>
        <w:t>Historia critica</w:t>
      </w:r>
      <w:r w:rsidRPr="00381180">
        <w:rPr>
          <w:rFonts w:ascii="Times New Roman" w:hAnsi="Times New Roman" w:cs="Times New Roman"/>
        </w:rPr>
        <w:t xml:space="preserve"> </w:t>
      </w:r>
      <w:r w:rsidRPr="00381180">
        <w:rPr>
          <w:rFonts w:ascii="Times New Roman" w:hAnsi="Times New Roman" w:cs="Times New Roman"/>
          <w:i/>
        </w:rPr>
        <w:t>philosophiae</w:t>
      </w:r>
      <w:r w:rsidRPr="00381180">
        <w:rPr>
          <w:rFonts w:ascii="Times New Roman" w:hAnsi="Times New Roman" w:cs="Times New Roman"/>
        </w:rPr>
        <w:t>. Discutendo la nozione spinoziana di causalità immanente, Brucker aveva osservato che è contraddittorio pensare infiniti cambiamenti in una sostanza immutabile</w:t>
      </w:r>
      <w:r w:rsidRPr="00381180">
        <w:rPr>
          <w:rStyle w:val="Rimandonotaapidipagina"/>
          <w:rFonts w:ascii="Times New Roman" w:hAnsi="Times New Roman" w:cs="Times New Roman"/>
        </w:rPr>
        <w:footnoteReference w:id="606"/>
      </w:r>
      <w:r w:rsidRPr="00381180">
        <w:rPr>
          <w:rFonts w:ascii="Times New Roman" w:hAnsi="Times New Roman" w:cs="Times New Roman"/>
        </w:rPr>
        <w:t>. Ossia: è contraddittorio pensare contemporaneamente l’eternità e la temporalità come determinazioni della sostanza divina. Stessa cosa sostiene Jacobi: Spinoza nega la creazione (</w:t>
      </w:r>
      <w:r w:rsidRPr="00381180">
        <w:rPr>
          <w:rFonts w:ascii="Times New Roman" w:hAnsi="Times New Roman" w:cs="Times New Roman"/>
          <w:i/>
        </w:rPr>
        <w:t>a nihilo nihil fit</w:t>
      </w:r>
      <w:r w:rsidRPr="00381180">
        <w:rPr>
          <w:rFonts w:ascii="Times New Roman" w:hAnsi="Times New Roman" w:cs="Times New Roman"/>
        </w:rPr>
        <w:t>), coglie il determinato come eterna modificazione del divino e, nonostante questo,</w:t>
      </w:r>
      <w:r>
        <w:rPr>
          <w:rFonts w:ascii="Times New Roman" w:hAnsi="Times New Roman" w:cs="Times New Roman"/>
        </w:rPr>
        <w:t xml:space="preserve"> cerca di sviluppare </w:t>
      </w:r>
      <w:r w:rsidRPr="008D2EF3">
        <w:rPr>
          <w:rFonts w:ascii="Times New Roman" w:eastAsia="Times New Roman" w:hAnsi="Times New Roman" w:cs="Times New Roman"/>
          <w:color w:val="000000"/>
          <w:lang w:val="de-DE"/>
        </w:rPr>
        <w:t>«eine natürliche Erklärung des Daseyns endlicher und successiver Dinge</w:t>
      </w:r>
      <w:r w:rsidRPr="008D2EF3">
        <w:rPr>
          <w:rFonts w:ascii="Times New Roman" w:hAnsi="Times New Roman" w:cs="Times New Roman"/>
          <w:lang w:val="de-DE"/>
        </w:rPr>
        <w:t>»</w:t>
      </w:r>
      <w:r w:rsidRPr="004C688F">
        <w:rPr>
          <w:rStyle w:val="Rimandonotaapidipagina"/>
          <w:rFonts w:ascii="Times New Roman" w:hAnsi="Times New Roman" w:cs="Times New Roman"/>
        </w:rPr>
        <w:footnoteReference w:id="607"/>
      </w:r>
      <w:r w:rsidRPr="004C688F">
        <w:rPr>
          <w:rFonts w:ascii="Times New Roman" w:hAnsi="Times New Roman" w:cs="Times New Roman"/>
        </w:rPr>
        <w:t>.</w:t>
      </w:r>
      <w:r>
        <w:rPr>
          <w:rFonts w:ascii="Times New Roman" w:hAnsi="Times New Roman" w:cs="Times New Roman"/>
        </w:rPr>
        <w:t xml:space="preserve"> Eternità e temporalità, anche </w:t>
      </w:r>
      <w:r w:rsidRPr="00C76FEC">
        <w:rPr>
          <w:rFonts w:ascii="Times New Roman" w:hAnsi="Times New Roman" w:cs="Times New Roman"/>
        </w:rPr>
        <w:t xml:space="preserve">in questo caso, entrano in collisione. E ciò perché Spinoza adotta e </w:t>
      </w:r>
      <w:r w:rsidR="00F92EDC" w:rsidRPr="00C76FEC">
        <w:rPr>
          <w:rFonts w:ascii="Times New Roman" w:hAnsi="Times New Roman" w:cs="Times New Roman"/>
        </w:rPr>
        <w:t xml:space="preserve">viola </w:t>
      </w:r>
      <w:r w:rsidRPr="00C76FEC">
        <w:rPr>
          <w:rFonts w:ascii="Times New Roman" w:hAnsi="Times New Roman" w:cs="Times New Roman"/>
        </w:rPr>
        <w:t xml:space="preserve">il principio cabbalistico </w:t>
      </w:r>
      <w:r w:rsidRPr="00C76FEC">
        <w:rPr>
          <w:rFonts w:ascii="Times New Roman" w:hAnsi="Times New Roman" w:cs="Times New Roman"/>
          <w:i/>
        </w:rPr>
        <w:t>a nihilo nihil fit</w:t>
      </w:r>
      <w:r w:rsidRPr="00C76FEC">
        <w:rPr>
          <w:rFonts w:ascii="Times New Roman" w:hAnsi="Times New Roman" w:cs="Times New Roman"/>
        </w:rPr>
        <w:t xml:space="preserve">. Un principio, lo si ricorderà, che non </w:t>
      </w:r>
      <w:r w:rsidR="00C76FEC" w:rsidRPr="00C76FEC">
        <w:rPr>
          <w:rFonts w:ascii="Times New Roman" w:hAnsi="Times New Roman" w:cs="Times New Roman"/>
        </w:rPr>
        <w:t xml:space="preserve">ha </w:t>
      </w:r>
      <w:r w:rsidRPr="00C76FEC">
        <w:rPr>
          <w:rFonts w:ascii="Times New Roman" w:hAnsi="Times New Roman" w:cs="Times New Roman"/>
        </w:rPr>
        <w:t xml:space="preserve">alcuna </w:t>
      </w:r>
      <w:r w:rsidR="00D60695" w:rsidRPr="00C76FEC">
        <w:rPr>
          <w:rFonts w:ascii="Times New Roman" w:hAnsi="Times New Roman" w:cs="Times New Roman"/>
        </w:rPr>
        <w:t xml:space="preserve">applicazione </w:t>
      </w:r>
      <w:r w:rsidRPr="00C76FEC">
        <w:rPr>
          <w:rFonts w:ascii="Times New Roman" w:hAnsi="Times New Roman" w:cs="Times New Roman"/>
        </w:rPr>
        <w:t>ontologica:</w:t>
      </w:r>
      <w:r w:rsidR="00D60695">
        <w:rPr>
          <w:rFonts w:ascii="Times New Roman" w:hAnsi="Times New Roman" w:cs="Times New Roman"/>
        </w:rPr>
        <w:t xml:space="preserve"> </w:t>
      </w:r>
      <w:r w:rsidRPr="000A3268">
        <w:rPr>
          <w:rFonts w:ascii="Times New Roman" w:hAnsi="Times New Roman" w:cs="Times New Roman"/>
        </w:rPr>
        <w:t>le determinazioni della sostanza seguono dall’«unendlicher Begriff Gottes»</w:t>
      </w:r>
      <w:r w:rsidRPr="000A3268">
        <w:rPr>
          <w:rStyle w:val="Rimandonotaapidipagina"/>
          <w:rFonts w:ascii="Times New Roman" w:hAnsi="Times New Roman" w:cs="Times New Roman"/>
        </w:rPr>
        <w:footnoteReference w:id="608"/>
      </w:r>
      <w:r w:rsidRPr="000A3268">
        <w:rPr>
          <w:rFonts w:ascii="Times New Roman" w:hAnsi="Times New Roman" w:cs="Times New Roman"/>
        </w:rPr>
        <w:t xml:space="preserve">, che non è </w:t>
      </w:r>
      <w:r w:rsidRPr="000A3268">
        <w:rPr>
          <w:rFonts w:ascii="Times New Roman" w:hAnsi="Times New Roman" w:cs="Times New Roman"/>
          <w:i/>
        </w:rPr>
        <w:t>causa</w:t>
      </w:r>
      <w:r w:rsidRPr="000A3268">
        <w:rPr>
          <w:rFonts w:ascii="Times New Roman" w:hAnsi="Times New Roman" w:cs="Times New Roman"/>
        </w:rPr>
        <w:t xml:space="preserve"> delle sue modificazioni, poiché essere causa significa fare qualcosa concretamente ed essere effetto significa essere fatto da qualcosa</w:t>
      </w:r>
      <w:r>
        <w:rPr>
          <w:rStyle w:val="Rimandonotaapidipagina"/>
          <w:rFonts w:ascii="Times New Roman" w:hAnsi="Times New Roman" w:cs="Times New Roman"/>
        </w:rPr>
        <w:footnoteReference w:id="609"/>
      </w:r>
      <w:r w:rsidRPr="000A3268">
        <w:rPr>
          <w:rFonts w:ascii="Times New Roman" w:hAnsi="Times New Roman" w:cs="Times New Roman"/>
        </w:rPr>
        <w:t>.</w:t>
      </w:r>
      <w:r>
        <w:rPr>
          <w:rFonts w:ascii="Times New Roman" w:hAnsi="Times New Roman" w:cs="Times New Roman"/>
        </w:rPr>
        <w:t xml:space="preserve"> Là dove si nega l’idea di una </w:t>
      </w:r>
      <w:r w:rsidRPr="009D10E9">
        <w:rPr>
          <w:rFonts w:ascii="Times New Roman" w:hAnsi="Times New Roman" w:cs="Times New Roman"/>
          <w:i/>
        </w:rPr>
        <w:t>creatio ex nihilo</w:t>
      </w:r>
      <w:r>
        <w:rPr>
          <w:rFonts w:ascii="Times New Roman" w:hAnsi="Times New Roman" w:cs="Times New Roman"/>
        </w:rPr>
        <w:t xml:space="preserve"> non può esservi nessuna attività causale e nessuna spiegazione del rapporto fra infinito – ciò che pone in essere – e finito – ciò che è posto in essere –. Lo spinozismo ha un esito paradossale: </w:t>
      </w:r>
    </w:p>
    <w:p w14:paraId="3502218D" w14:textId="77777777" w:rsidR="001B7751" w:rsidRDefault="001B7751" w:rsidP="001B7751">
      <w:pPr>
        <w:spacing w:line="360" w:lineRule="auto"/>
        <w:ind w:left="567" w:firstLine="567"/>
        <w:jc w:val="both"/>
        <w:rPr>
          <w:rFonts w:ascii="Times New Roman" w:hAnsi="Times New Roman" w:cs="Times New Roman"/>
        </w:rPr>
      </w:pPr>
    </w:p>
    <w:p w14:paraId="2DCDDC7D" w14:textId="77777777" w:rsidR="001B7751" w:rsidRPr="004C688F" w:rsidRDefault="001B7751" w:rsidP="001B7751">
      <w:pPr>
        <w:spacing w:line="360" w:lineRule="auto"/>
        <w:ind w:left="567" w:firstLine="567"/>
        <w:jc w:val="both"/>
        <w:rPr>
          <w:rFonts w:ascii="Times New Roman" w:hAnsi="Times New Roman" w:cs="Times New Roman"/>
          <w:sz w:val="20"/>
          <w:szCs w:val="20"/>
        </w:rPr>
      </w:pPr>
      <w:r w:rsidRPr="004C688F">
        <w:rPr>
          <w:rFonts w:ascii="Times New Roman" w:hAnsi="Times New Roman" w:cs="Times New Roman"/>
          <w:sz w:val="20"/>
          <w:szCs w:val="20"/>
        </w:rPr>
        <w:t>«</w:t>
      </w:r>
      <w:r w:rsidRPr="004C688F">
        <w:rPr>
          <w:rFonts w:ascii="Times New Roman" w:hAnsi="Times New Roman" w:cs="Times New Roman"/>
          <w:sz w:val="20"/>
          <w:szCs w:val="20"/>
          <w:lang w:val="de-DE"/>
        </w:rPr>
        <w:t>Vergißt man den wesentlichen Unterschied beyder Begriffe, und worauf er beruht, so erlaubt man sich den einen für den anderen zu setzen und anzuwenden, und bringt glücklich heraus, daß die Dinge entstehen können, ohne daß sie entstehen; sich verändern, ohne sich zu verändern; vor und nach einander seyn, ohne vor und nach einander zu seyn</w:t>
      </w:r>
      <w:r w:rsidRPr="004C688F">
        <w:rPr>
          <w:rFonts w:ascii="Times New Roman" w:hAnsi="Times New Roman" w:cs="Times New Roman"/>
          <w:sz w:val="20"/>
          <w:szCs w:val="20"/>
        </w:rPr>
        <w:t>»</w:t>
      </w:r>
      <w:r w:rsidRPr="004C688F">
        <w:rPr>
          <w:rStyle w:val="Rimandonotaapidipagina"/>
          <w:rFonts w:ascii="Times New Roman" w:hAnsi="Times New Roman" w:cs="Times New Roman"/>
          <w:sz w:val="20"/>
          <w:szCs w:val="20"/>
        </w:rPr>
        <w:footnoteReference w:id="610"/>
      </w:r>
      <w:r w:rsidRPr="004C688F">
        <w:rPr>
          <w:rFonts w:ascii="Times New Roman" w:hAnsi="Times New Roman" w:cs="Times New Roman"/>
          <w:sz w:val="20"/>
          <w:szCs w:val="20"/>
        </w:rPr>
        <w:t>.</w:t>
      </w:r>
    </w:p>
    <w:p w14:paraId="4D907F13" w14:textId="77777777" w:rsidR="001B7751" w:rsidRDefault="001B7751" w:rsidP="001B7751">
      <w:pPr>
        <w:spacing w:line="360" w:lineRule="auto"/>
        <w:ind w:left="1134" w:firstLine="567"/>
        <w:jc w:val="both"/>
        <w:rPr>
          <w:rFonts w:ascii="Times New Roman" w:hAnsi="Times New Roman" w:cs="Times New Roman"/>
        </w:rPr>
      </w:pPr>
    </w:p>
    <w:p w14:paraId="3B67E9AC" w14:textId="77777777" w:rsidR="001B7751" w:rsidRPr="00226B90" w:rsidRDefault="001B7751" w:rsidP="001B7751">
      <w:pPr>
        <w:spacing w:line="360" w:lineRule="auto"/>
        <w:ind w:firstLine="567"/>
        <w:jc w:val="both"/>
        <w:rPr>
          <w:rFonts w:ascii="Times New Roman" w:hAnsi="Times New Roman" w:cs="Times New Roman"/>
        </w:rPr>
      </w:pPr>
      <w:r>
        <w:rPr>
          <w:rFonts w:ascii="Times New Roman" w:hAnsi="Times New Roman" w:cs="Times New Roman"/>
        </w:rPr>
        <w:t xml:space="preserve">Le cose nascono senza che possano nascere, mutano senza che vi sia mutamento e si succedono senza che vi sia una successione. </w:t>
      </w:r>
      <w:r w:rsidRPr="00A941E6">
        <w:rPr>
          <w:rFonts w:ascii="Times New Roman" w:hAnsi="Times New Roman" w:cs="Times New Roman"/>
        </w:rPr>
        <w:t xml:space="preserve">Il </w:t>
      </w:r>
      <w:r w:rsidRPr="00A941E6">
        <w:rPr>
          <w:rFonts w:ascii="Times New Roman" w:hAnsi="Times New Roman" w:cs="Times New Roman"/>
          <w:i/>
        </w:rPr>
        <w:t>cabbalismo ontologico</w:t>
      </w:r>
      <w:r w:rsidRPr="00A941E6">
        <w:rPr>
          <w:rFonts w:ascii="Times New Roman" w:hAnsi="Times New Roman" w:cs="Times New Roman"/>
        </w:rPr>
        <w:t xml:space="preserve"> di Spinoza inficia la volontà di spiegare la nascita e la successione del determinato a partire dall’indeterminato. Tutto è ricompreso nel concetto dell’unica sostanza, che è «</w:t>
      </w:r>
      <w:r>
        <w:rPr>
          <w:rFonts w:ascii="Times New Roman" w:hAnsi="Times New Roman" w:cs="Times New Roman"/>
        </w:rPr>
        <w:t>einzig und untheilbar</w:t>
      </w:r>
      <w:r w:rsidRPr="00A941E6">
        <w:rPr>
          <w:rFonts w:ascii="Times New Roman" w:hAnsi="Times New Roman" w:cs="Times New Roman"/>
        </w:rPr>
        <w:t>»</w:t>
      </w:r>
      <w:r>
        <w:rPr>
          <w:rFonts w:ascii="Times New Roman" w:hAnsi="Times New Roman" w:cs="Times New Roman"/>
        </w:rPr>
        <w:t xml:space="preserve"> e «muß also, wie im Ganzen, so auch in jedem Theile sich befinden</w:t>
      </w:r>
      <w:r w:rsidRPr="00A941E6">
        <w:rPr>
          <w:rFonts w:ascii="Times New Roman" w:hAnsi="Times New Roman" w:cs="Times New Roman"/>
        </w:rPr>
        <w:t>»</w:t>
      </w:r>
      <w:r w:rsidRPr="00A941E6">
        <w:rPr>
          <w:rStyle w:val="Rimandonotaapidipagina"/>
          <w:rFonts w:ascii="Times New Roman" w:hAnsi="Times New Roman" w:cs="Times New Roman"/>
        </w:rPr>
        <w:footnoteReference w:id="611"/>
      </w:r>
      <w:r w:rsidRPr="00A941E6">
        <w:rPr>
          <w:rFonts w:ascii="Times New Roman" w:hAnsi="Times New Roman" w:cs="Times New Roman"/>
        </w:rPr>
        <w:t>. L’essere ricompreso dei modi nella sostanza determina la priorità del tutto sulle parti, che riflettono, a propria volta, l’esplicazione logica, non reale, d</w:t>
      </w:r>
      <w:r>
        <w:rPr>
          <w:rFonts w:ascii="Times New Roman" w:hAnsi="Times New Roman" w:cs="Times New Roman"/>
        </w:rPr>
        <w:t>i un soggetto assoluto e</w:t>
      </w:r>
      <w:r w:rsidRPr="00A941E6">
        <w:rPr>
          <w:rFonts w:ascii="Times New Roman" w:hAnsi="Times New Roman" w:cs="Times New Roman"/>
        </w:rPr>
        <w:t xml:space="preserve"> indivisibile. Al sacrificio della molteplicità a favore dell’unità e all’affermazione dell’indivisibilità sostanziale sulla diversificazione ontica,</w:t>
      </w:r>
      <w:r>
        <w:rPr>
          <w:rFonts w:ascii="Times New Roman" w:hAnsi="Times New Roman" w:cs="Times New Roman"/>
        </w:rPr>
        <w:t xml:space="preserve"> dà un ulteriore contributo l’ontologizzazione jacobiana del principio spinoziano </w:t>
      </w:r>
      <w:r>
        <w:rPr>
          <w:rFonts w:ascii="Times New Roman" w:hAnsi="Times New Roman" w:cs="Times New Roman"/>
          <w:i/>
        </w:rPr>
        <w:t>determinatio est negatio</w:t>
      </w:r>
      <w:r>
        <w:rPr>
          <w:rFonts w:ascii="Times New Roman" w:hAnsi="Times New Roman" w:cs="Times New Roman"/>
        </w:rPr>
        <w:t xml:space="preserve">: soltanto a Dio, in quanto indeterminato, compete l’essere, mentre ai modi, in quanto determinati, spetta il </w:t>
      </w:r>
      <w:r w:rsidRPr="002105B7">
        <w:rPr>
          <w:rFonts w:ascii="Times New Roman" w:hAnsi="Times New Roman" w:cs="Times New Roman"/>
          <w:i/>
        </w:rPr>
        <w:t>non-essere</w:t>
      </w:r>
      <w:r>
        <w:rPr>
          <w:rFonts w:ascii="Times New Roman" w:hAnsi="Times New Roman" w:cs="Times New Roman"/>
        </w:rPr>
        <w:t xml:space="preserve">. Se anche fossero, proprio a causa del loro essere determinato, i modi non sarebbero per sé, ma sarebbero – il che vuol dire non sarebbero – nell’affermazione indeterminata </w:t>
      </w:r>
      <w:r w:rsidRPr="00A941E6">
        <w:rPr>
          <w:rFonts w:ascii="Times New Roman" w:hAnsi="Times New Roman" w:cs="Times New Roman"/>
        </w:rPr>
        <w:t xml:space="preserve">dell’unità sostanziale. </w:t>
      </w:r>
      <w:r w:rsidRPr="00857E36">
        <w:rPr>
          <w:rFonts w:ascii="Times New Roman" w:hAnsi="Times New Roman" w:cs="Times New Roman"/>
        </w:rPr>
        <w:t>Ciò che afferma sé astrattamente, senza determinarsi in modo alcuno e senza fare</w:t>
      </w:r>
      <w:r>
        <w:rPr>
          <w:rFonts w:ascii="Times New Roman" w:hAnsi="Times New Roman" w:cs="Times New Roman"/>
        </w:rPr>
        <w:t xml:space="preserve"> –</w:t>
      </w:r>
      <w:r w:rsidRPr="00857E36">
        <w:rPr>
          <w:rFonts w:ascii="Times New Roman" w:hAnsi="Times New Roman" w:cs="Times New Roman"/>
        </w:rPr>
        <w:t xml:space="preserve"> </w:t>
      </w:r>
      <w:r>
        <w:rPr>
          <w:rFonts w:ascii="Times New Roman" w:hAnsi="Times New Roman" w:cs="Times New Roman"/>
        </w:rPr>
        <w:t>o causare –</w:t>
      </w:r>
      <w:r w:rsidRPr="00857E36">
        <w:rPr>
          <w:rFonts w:ascii="Times New Roman" w:hAnsi="Times New Roman" w:cs="Times New Roman"/>
        </w:rPr>
        <w:t xml:space="preserve"> alcunché, è un pensato, a cui spetta un essere puramente logico.</w:t>
      </w:r>
      <w:r>
        <w:rPr>
          <w:rFonts w:ascii="Times New Roman" w:hAnsi="Times New Roman" w:cs="Times New Roman"/>
        </w:rPr>
        <w:t xml:space="preserve"> In questo intreccio di logica e ontologia, lo spinozismo non ci dice </w:t>
      </w:r>
      <w:r w:rsidRPr="00D27DD6">
        <w:rPr>
          <w:rFonts w:ascii="Times New Roman" w:hAnsi="Times New Roman" w:cs="Times New Roman"/>
          <w:i/>
        </w:rPr>
        <w:t>nulla</w:t>
      </w:r>
      <w:r>
        <w:rPr>
          <w:rFonts w:ascii="Times New Roman" w:hAnsi="Times New Roman" w:cs="Times New Roman"/>
        </w:rPr>
        <w:t xml:space="preserve"> sul rapporto </w:t>
      </w:r>
      <w:r w:rsidRPr="00F1019E">
        <w:rPr>
          <w:rFonts w:ascii="Times New Roman" w:hAnsi="Times New Roman" w:cs="Times New Roman"/>
          <w:i/>
        </w:rPr>
        <w:t xml:space="preserve">reale </w:t>
      </w:r>
      <w:r>
        <w:rPr>
          <w:rFonts w:ascii="Times New Roman" w:hAnsi="Times New Roman" w:cs="Times New Roman"/>
        </w:rPr>
        <w:t>fra infinito e finito</w:t>
      </w:r>
      <w:r>
        <w:rPr>
          <w:rStyle w:val="Rimandonotaapidipagina"/>
          <w:rFonts w:ascii="Times New Roman" w:hAnsi="Times New Roman" w:cs="Times New Roman"/>
        </w:rPr>
        <w:footnoteReference w:id="612"/>
      </w:r>
      <w:r>
        <w:rPr>
          <w:rFonts w:ascii="Times New Roman" w:hAnsi="Times New Roman" w:cs="Times New Roman"/>
        </w:rPr>
        <w:t xml:space="preserve">, perché non appena è introdotto l’esserci del finito esso è tolto nell’indeterminatezza </w:t>
      </w:r>
      <w:r w:rsidRPr="00A941E6">
        <w:rPr>
          <w:rFonts w:ascii="Times New Roman" w:hAnsi="Times New Roman" w:cs="Times New Roman"/>
        </w:rPr>
        <w:t xml:space="preserve">della sostanza. Neanche dalla relazione </w:t>
      </w:r>
      <w:r w:rsidRPr="00A941E6">
        <w:rPr>
          <w:rFonts w:ascii="Times New Roman" w:hAnsi="Times New Roman" w:cs="Times New Roman"/>
          <w:i/>
        </w:rPr>
        <w:t>logica</w:t>
      </w:r>
      <w:r w:rsidRPr="00A941E6">
        <w:rPr>
          <w:rFonts w:ascii="Times New Roman" w:hAnsi="Times New Roman" w:cs="Times New Roman"/>
        </w:rPr>
        <w:t xml:space="preserve"> Dio-modo (fondamento e fondato), si guadagna una conoscenza della realtà: dissolta e ricomposta nel concetto (umano) di una sostanza indivisibile, la realtà si sottrae al tentativo della ragione umana </w:t>
      </w:r>
      <w:r w:rsidRPr="00226B90">
        <w:rPr>
          <w:rFonts w:ascii="Times New Roman" w:hAnsi="Times New Roman" w:cs="Times New Roman"/>
        </w:rPr>
        <w:t>di «unähnliche Bilder- Ideen- und Wort-Welt erschaffen»</w:t>
      </w:r>
      <w:r w:rsidRPr="00226B90">
        <w:rPr>
          <w:rStyle w:val="Rimandonotaapidipagina"/>
          <w:rFonts w:ascii="Times New Roman" w:hAnsi="Times New Roman" w:cs="Times New Roman"/>
        </w:rPr>
        <w:footnoteReference w:id="613"/>
      </w:r>
      <w:r w:rsidRPr="00226B90">
        <w:rPr>
          <w:rFonts w:ascii="Times New Roman" w:hAnsi="Times New Roman" w:cs="Times New Roman"/>
        </w:rPr>
        <w:t xml:space="preserve">. </w:t>
      </w:r>
    </w:p>
    <w:p w14:paraId="1C7C494C" w14:textId="3F8C8ABD" w:rsidR="001B7751" w:rsidRPr="00857E36" w:rsidRDefault="001B7751" w:rsidP="001B7751">
      <w:pPr>
        <w:spacing w:line="360" w:lineRule="auto"/>
        <w:ind w:firstLine="567"/>
        <w:jc w:val="both"/>
        <w:rPr>
          <w:rFonts w:ascii="Times New Roman" w:hAnsi="Times New Roman" w:cs="Times New Roman"/>
        </w:rPr>
      </w:pPr>
      <w:r w:rsidRPr="00857E36">
        <w:rPr>
          <w:rFonts w:ascii="Times New Roman" w:hAnsi="Times New Roman" w:cs="Times New Roman"/>
        </w:rPr>
        <w:t xml:space="preserve">Riepilogando quanto visto finora, si può dire che 1. lo spinozismo assume il principio cabbalistico </w:t>
      </w:r>
      <w:r w:rsidRPr="00857E36">
        <w:rPr>
          <w:rFonts w:ascii="Times New Roman" w:hAnsi="Times New Roman" w:cs="Times New Roman"/>
          <w:i/>
        </w:rPr>
        <w:t>a nihilo nihil fit</w:t>
      </w:r>
      <w:r w:rsidRPr="00857E36">
        <w:rPr>
          <w:rFonts w:ascii="Times New Roman" w:hAnsi="Times New Roman" w:cs="Times New Roman"/>
        </w:rPr>
        <w:t xml:space="preserve">, 2. in forza dello stesso, è negata la creazione della molteplicità fenomenica, 3. sempre dalla sua assunzione, non si ottiene una conoscenza della costituzione del </w:t>
      </w:r>
      <w:r w:rsidRPr="00857E36">
        <w:rPr>
          <w:rFonts w:ascii="Times New Roman" w:hAnsi="Times New Roman" w:cs="Times New Roman"/>
          <w:i/>
        </w:rPr>
        <w:t>reale</w:t>
      </w:r>
      <w:r w:rsidRPr="00857E36">
        <w:rPr>
          <w:rFonts w:ascii="Times New Roman" w:hAnsi="Times New Roman" w:cs="Times New Roman"/>
        </w:rPr>
        <w:t xml:space="preserve"> a partire da una Causa prima (</w:t>
      </w:r>
      <w:r w:rsidRPr="00857E36">
        <w:rPr>
          <w:rFonts w:ascii="Times New Roman" w:hAnsi="Times New Roman" w:cs="Times New Roman"/>
          <w:i/>
        </w:rPr>
        <w:t>chimerismo</w:t>
      </w:r>
      <w:r w:rsidRPr="00857E36">
        <w:rPr>
          <w:rFonts w:ascii="Times New Roman" w:hAnsi="Times New Roman" w:cs="Times New Roman"/>
        </w:rPr>
        <w:t xml:space="preserve"> o </w:t>
      </w:r>
      <w:r w:rsidRPr="00857E36">
        <w:rPr>
          <w:rFonts w:ascii="Times New Roman" w:hAnsi="Times New Roman" w:cs="Times New Roman"/>
          <w:i/>
        </w:rPr>
        <w:t>nichilismo</w:t>
      </w:r>
      <w:r w:rsidRPr="00857E36">
        <w:rPr>
          <w:rFonts w:ascii="Times New Roman" w:hAnsi="Times New Roman" w:cs="Times New Roman"/>
        </w:rPr>
        <w:t>), 4. se anche fosse possibile procedere dal piano logico a quello reale, il finito sarebbe nientificato</w:t>
      </w:r>
      <w:r w:rsidR="00B55172">
        <w:rPr>
          <w:rFonts w:ascii="Times New Roman" w:hAnsi="Times New Roman" w:cs="Times New Roman"/>
        </w:rPr>
        <w:t xml:space="preserve"> –</w:t>
      </w:r>
      <w:r>
        <w:rPr>
          <w:rFonts w:ascii="Times New Roman" w:hAnsi="Times New Roman" w:cs="Times New Roman"/>
        </w:rPr>
        <w:t xml:space="preserve"> </w:t>
      </w:r>
      <w:r w:rsidRPr="00857E36">
        <w:rPr>
          <w:rFonts w:ascii="Times New Roman" w:hAnsi="Times New Roman" w:cs="Times New Roman"/>
        </w:rPr>
        <w:t xml:space="preserve">in forza del </w:t>
      </w:r>
      <w:r>
        <w:rPr>
          <w:rFonts w:ascii="Times New Roman" w:hAnsi="Times New Roman" w:cs="Times New Roman"/>
        </w:rPr>
        <w:t xml:space="preserve">principio </w:t>
      </w:r>
      <w:r w:rsidRPr="00857E36">
        <w:rPr>
          <w:rFonts w:ascii="Times New Roman" w:hAnsi="Times New Roman" w:cs="Times New Roman"/>
          <w:i/>
        </w:rPr>
        <w:t>determinatio est negatio</w:t>
      </w:r>
      <w:r w:rsidR="00B55172">
        <w:rPr>
          <w:rFonts w:ascii="Times New Roman" w:hAnsi="Times New Roman" w:cs="Times New Roman"/>
        </w:rPr>
        <w:t xml:space="preserve"> –</w:t>
      </w:r>
      <w:r w:rsidRPr="00F9225F">
        <w:rPr>
          <w:rFonts w:ascii="Times New Roman" w:hAnsi="Times New Roman" w:cs="Times New Roman"/>
        </w:rPr>
        <w:t xml:space="preserve"> </w:t>
      </w:r>
      <w:r w:rsidRPr="00857E36">
        <w:rPr>
          <w:rFonts w:ascii="Times New Roman" w:hAnsi="Times New Roman" w:cs="Times New Roman"/>
        </w:rPr>
        <w:t>nell’indivisibile unità della sostanza divina</w:t>
      </w:r>
      <w:r>
        <w:rPr>
          <w:rFonts w:ascii="Times New Roman" w:hAnsi="Times New Roman" w:cs="Times New Roman"/>
        </w:rPr>
        <w:t xml:space="preserve"> </w:t>
      </w:r>
      <w:r w:rsidRPr="00857E36">
        <w:rPr>
          <w:rFonts w:ascii="Times New Roman" w:hAnsi="Times New Roman" w:cs="Times New Roman"/>
        </w:rPr>
        <w:t xml:space="preserve">5. le </w:t>
      </w:r>
      <w:r w:rsidRPr="00857E36">
        <w:rPr>
          <w:rFonts w:ascii="Times New Roman" w:hAnsi="Times New Roman" w:cs="Times New Roman"/>
          <w:i/>
        </w:rPr>
        <w:t xml:space="preserve">Spinozabriefe </w:t>
      </w:r>
      <w:r w:rsidRPr="00857E36">
        <w:rPr>
          <w:rFonts w:ascii="Times New Roman" w:hAnsi="Times New Roman" w:cs="Times New Roman"/>
        </w:rPr>
        <w:t xml:space="preserve">offrono un’interpretazione dello spinozismo affine alla cosmologia cabbalistisca della </w:t>
      </w:r>
      <w:r w:rsidRPr="00857E36">
        <w:rPr>
          <w:rFonts w:ascii="Times New Roman" w:hAnsi="Times New Roman" w:cs="Times New Roman"/>
          <w:i/>
        </w:rPr>
        <w:t xml:space="preserve">Cabbalae Aëto-Paedo-Melissae </w:t>
      </w:r>
      <w:r w:rsidRPr="00857E36">
        <w:rPr>
          <w:rFonts w:ascii="Times New Roman" w:hAnsi="Times New Roman" w:cs="Times New Roman"/>
        </w:rPr>
        <w:t>(prima e ottava tesi), 6. a differenza di Henry More, che dall’unità spirituale deduce una serie di divinità per sé sussistenti, Jacobi nega che Spinoza, a livello logico e ontologico, attribuisca autonomia al modo, 7</w:t>
      </w:r>
      <w:r w:rsidRPr="00DC7702">
        <w:rPr>
          <w:rFonts w:ascii="Times New Roman" w:hAnsi="Times New Roman" w:cs="Times New Roman"/>
        </w:rPr>
        <w:t xml:space="preserve">. dai principi </w:t>
      </w:r>
      <w:r w:rsidRPr="00DC7702">
        <w:rPr>
          <w:rFonts w:ascii="Times New Roman" w:hAnsi="Times New Roman" w:cs="Times New Roman"/>
          <w:i/>
        </w:rPr>
        <w:t xml:space="preserve">a nihilo nihil fit </w:t>
      </w:r>
      <w:r w:rsidRPr="00DC7702">
        <w:rPr>
          <w:rFonts w:ascii="Times New Roman" w:hAnsi="Times New Roman" w:cs="Times New Roman"/>
        </w:rPr>
        <w:t xml:space="preserve">e </w:t>
      </w:r>
      <w:r w:rsidRPr="00DC7702">
        <w:rPr>
          <w:rFonts w:ascii="Times New Roman" w:hAnsi="Times New Roman" w:cs="Times New Roman"/>
          <w:i/>
        </w:rPr>
        <w:t>determinatio est negatio</w:t>
      </w:r>
      <w:r w:rsidRPr="00DC7702">
        <w:rPr>
          <w:rFonts w:ascii="Times New Roman" w:hAnsi="Times New Roman" w:cs="Times New Roman"/>
        </w:rPr>
        <w:t xml:space="preserve"> deriva un sistema filosofico in cui tutto si compenetra e intreccia nell’unica sostanza</w:t>
      </w:r>
      <w:r w:rsidRPr="00857E36">
        <w:rPr>
          <w:rFonts w:ascii="Times New Roman" w:hAnsi="Times New Roman" w:cs="Times New Roman"/>
        </w:rPr>
        <w:t xml:space="preserve"> 8. piano logico e ontologico si rafforzano </w:t>
      </w:r>
      <w:r w:rsidRPr="00DC7702">
        <w:rPr>
          <w:rFonts w:ascii="Times New Roman" w:hAnsi="Times New Roman" w:cs="Times New Roman"/>
        </w:rPr>
        <w:t>vicendevolmente, convergendo sulla perdita d’autonomia dell’essere finito, sulla mancanza di una distinzione netta fra infinito e finito e sull’unità indeterminata della sostanza (</w:t>
      </w:r>
      <w:r w:rsidRPr="00DC7702">
        <w:rPr>
          <w:rFonts w:ascii="Times New Roman" w:hAnsi="Times New Roman" w:cs="Times New Roman"/>
          <w:i/>
        </w:rPr>
        <w:t>ateismo</w:t>
      </w:r>
      <w:r w:rsidRPr="00DC7702">
        <w:rPr>
          <w:rFonts w:ascii="Times New Roman" w:hAnsi="Times New Roman" w:cs="Times New Roman"/>
        </w:rPr>
        <w:t>),</w:t>
      </w:r>
      <w:r w:rsidRPr="00857E36">
        <w:rPr>
          <w:rFonts w:ascii="Times New Roman" w:hAnsi="Times New Roman" w:cs="Times New Roman"/>
        </w:rPr>
        <w:t xml:space="preserve"> 9. la natura negativa del modo (</w:t>
      </w:r>
      <w:r w:rsidRPr="00857E36">
        <w:rPr>
          <w:rFonts w:ascii="Times New Roman" w:hAnsi="Times New Roman" w:cs="Times New Roman"/>
          <w:i/>
        </w:rPr>
        <w:t>non-ens</w:t>
      </w:r>
      <w:r>
        <w:rPr>
          <w:rFonts w:ascii="Times New Roman" w:hAnsi="Times New Roman" w:cs="Times New Roman"/>
        </w:rPr>
        <w:t xml:space="preserve">) </w:t>
      </w:r>
      <w:r w:rsidRPr="00857E36">
        <w:rPr>
          <w:rFonts w:ascii="Times New Roman" w:hAnsi="Times New Roman" w:cs="Times New Roman"/>
        </w:rPr>
        <w:t xml:space="preserve">rimanda all’essere </w:t>
      </w:r>
      <w:r w:rsidRPr="002D0065">
        <w:rPr>
          <w:rFonts w:ascii="Times New Roman" w:hAnsi="Times New Roman" w:cs="Times New Roman"/>
        </w:rPr>
        <w:t>indeterminato del divino (</w:t>
      </w:r>
      <w:r w:rsidRPr="002D0065">
        <w:rPr>
          <w:rFonts w:ascii="Times New Roman" w:hAnsi="Times New Roman" w:cs="Times New Roman"/>
          <w:i/>
        </w:rPr>
        <w:t>omne esse</w:t>
      </w:r>
      <w:r w:rsidRPr="002D0065">
        <w:rPr>
          <w:rFonts w:ascii="Times New Roman" w:hAnsi="Times New Roman" w:cs="Times New Roman"/>
        </w:rPr>
        <w:t>), 10. ogni modificazione inerisce eternamente ad un soggetto logico nella cui unità tutto ciò che segue dal suo concetto costituisce un’unica cosa,</w:t>
      </w:r>
      <w:r w:rsidRPr="00857E36">
        <w:rPr>
          <w:rFonts w:ascii="Times New Roman" w:hAnsi="Times New Roman" w:cs="Times New Roman"/>
        </w:rPr>
        <w:t xml:space="preserve"> 11. da un punto di vista logico e ontologico, lo spinozismo non dice niente di più rispetto alla Qabbalah sul rapporto Dio-creatura, 12. rispetto al misticismo ebraico, lo spinozismo pecca di presunzione, spingendo la ragione là dove l’argomentazione s’arresta a favore della fede.</w:t>
      </w:r>
    </w:p>
    <w:p w14:paraId="6714ABF8" w14:textId="751937F6" w:rsidR="001B7751" w:rsidRDefault="001B7751" w:rsidP="001B7751">
      <w:pPr>
        <w:spacing w:line="360" w:lineRule="auto"/>
        <w:ind w:firstLine="567"/>
        <w:jc w:val="both"/>
        <w:rPr>
          <w:rFonts w:ascii="Times New Roman" w:hAnsi="Times New Roman" w:cs="Times New Roman"/>
        </w:rPr>
      </w:pPr>
      <w:r w:rsidRPr="00B52D3D">
        <w:rPr>
          <w:rFonts w:ascii="Times New Roman" w:hAnsi="Times New Roman" w:cs="Times New Roman"/>
        </w:rPr>
        <w:t>Dimostrando un’indubbia originalità argomentativa, Jacobi dec</w:t>
      </w:r>
      <w:r w:rsidR="00E82711">
        <w:rPr>
          <w:rFonts w:ascii="Times New Roman" w:hAnsi="Times New Roman" w:cs="Times New Roman"/>
        </w:rPr>
        <w:t xml:space="preserve">lina, da angolature differenti, </w:t>
      </w:r>
      <w:r w:rsidRPr="00B52D3D">
        <w:rPr>
          <w:rFonts w:ascii="Times New Roman" w:hAnsi="Times New Roman" w:cs="Times New Roman"/>
        </w:rPr>
        <w:t xml:space="preserve">il tema spinoziano dell’unità sostanziale, pervenendo a una precisa conclusione teorico-argomentativa: che si prendano le mosse dalla logica o dall’ontologia, lo spinozismo conduce </w:t>
      </w:r>
      <w:r w:rsidRPr="00B52D3D">
        <w:rPr>
          <w:rFonts w:ascii="Times New Roman" w:hAnsi="Times New Roman" w:cs="Times New Roman"/>
          <w:i/>
        </w:rPr>
        <w:t>fatalmente</w:t>
      </w:r>
      <w:r w:rsidRPr="00B52D3D">
        <w:rPr>
          <w:rFonts w:ascii="Times New Roman" w:hAnsi="Times New Roman" w:cs="Times New Roman"/>
        </w:rPr>
        <w:t xml:space="preserve"> all’indeterminatezza del principio primo. Da un punto di vista logico, Spinoza nega la possibilità di una creazione dal nulla e s’arrocca sull’indivisibilità ideale della sostanza divina; da un punto di vista ontologico, il principio </w:t>
      </w:r>
      <w:r w:rsidRPr="00B52D3D">
        <w:rPr>
          <w:rFonts w:ascii="Times New Roman" w:hAnsi="Times New Roman" w:cs="Times New Roman"/>
          <w:i/>
        </w:rPr>
        <w:t>determinatio est negatio</w:t>
      </w:r>
      <w:r w:rsidRPr="00B52D3D">
        <w:rPr>
          <w:rFonts w:ascii="Times New Roman" w:hAnsi="Times New Roman" w:cs="Times New Roman"/>
        </w:rPr>
        <w:t xml:space="preserve">, privando il finito d’esistenza, mina l’attività causale della sostanza e riafferma gli </w:t>
      </w:r>
      <w:r w:rsidRPr="008E21FC">
        <w:rPr>
          <w:rFonts w:ascii="Times New Roman" w:hAnsi="Times New Roman" w:cs="Times New Roman"/>
          <w:i/>
        </w:rPr>
        <w:t>assunti logici</w:t>
      </w:r>
      <w:r w:rsidRPr="00B52D3D">
        <w:rPr>
          <w:rFonts w:ascii="Times New Roman" w:hAnsi="Times New Roman" w:cs="Times New Roman"/>
        </w:rPr>
        <w:t xml:space="preserve"> dello spinozismo. I due livelli del discorso jacobiano si rafforzano vicendevolmente: da un concetto (sostanza) non può essere derivata l’esistenza d’alcunché; se anche si procedesse oltre la nozione di sostanza, si sarebbe risospinti, a causa della non-esistenza del mondo, nell’unità </w:t>
      </w:r>
      <w:r w:rsidRPr="00B52D3D">
        <w:rPr>
          <w:rFonts w:ascii="Times New Roman" w:hAnsi="Times New Roman" w:cs="Times New Roman"/>
          <w:i/>
        </w:rPr>
        <w:t>ideale</w:t>
      </w:r>
      <w:r w:rsidRPr="00B52D3D">
        <w:rPr>
          <w:rFonts w:ascii="Times New Roman" w:hAnsi="Times New Roman" w:cs="Times New Roman"/>
        </w:rPr>
        <w:t xml:space="preserve"> del sostrato assoluto. In forza dei suoi stessi principi, lo spinozismo non può spiegare le relazioni reali e reciproche che intercorrono fra infinito e finito: da un lato sussiste l’unità concettuale di cui si può affermare l’essere senza che essa sia realmente</w:t>
      </w:r>
      <w:r>
        <w:rPr>
          <w:rFonts w:ascii="Times New Roman" w:hAnsi="Times New Roman" w:cs="Times New Roman"/>
        </w:rPr>
        <w:t>; dall’altro lato</w:t>
      </w:r>
      <w:r w:rsidRPr="00B52D3D">
        <w:rPr>
          <w:rFonts w:ascii="Times New Roman" w:hAnsi="Times New Roman" w:cs="Times New Roman"/>
        </w:rPr>
        <w:t xml:space="preserve"> la sfera del finito, il mondo, di cui si può dire soltanto che è nella misura in cui non è.</w:t>
      </w:r>
    </w:p>
    <w:p w14:paraId="5D928CED" w14:textId="77777777" w:rsidR="0099174A" w:rsidRPr="0099174A" w:rsidRDefault="001B7751" w:rsidP="00B52B14">
      <w:pPr>
        <w:spacing w:line="360" w:lineRule="auto"/>
        <w:ind w:firstLine="567"/>
        <w:jc w:val="both"/>
        <w:rPr>
          <w:rFonts w:ascii="Times New Roman" w:hAnsi="Times New Roman" w:cs="Times New Roman"/>
        </w:rPr>
      </w:pPr>
      <w:r>
        <w:rPr>
          <w:rFonts w:ascii="Times New Roman" w:hAnsi="Times New Roman" w:cs="Times New Roman"/>
        </w:rPr>
        <w:t xml:space="preserve">Nel secondo capitolo, si è visto come questa interpretazione dello spinozismo assuma una centralità nello scritto hegeliano </w:t>
      </w:r>
      <w:r w:rsidRPr="00860DD5">
        <w:rPr>
          <w:rFonts w:ascii="Times New Roman" w:hAnsi="Times New Roman" w:cs="Times New Roman"/>
          <w:i/>
        </w:rPr>
        <w:t>Glauben und Wissen</w:t>
      </w:r>
      <w:r>
        <w:rPr>
          <w:rFonts w:ascii="Times New Roman" w:hAnsi="Times New Roman" w:cs="Times New Roman"/>
        </w:rPr>
        <w:t xml:space="preserve">. Ad un rifiuto netto della posizione jacobiana, segue, nella successiva produzione hegeliana, il recupero dell’armamentario speculativo messo a disposizione dalle </w:t>
      </w:r>
      <w:r w:rsidRPr="00860DD5">
        <w:rPr>
          <w:rFonts w:ascii="Times New Roman" w:hAnsi="Times New Roman" w:cs="Times New Roman"/>
          <w:i/>
        </w:rPr>
        <w:t>Spinozabriefe</w:t>
      </w:r>
      <w:r>
        <w:rPr>
          <w:rFonts w:ascii="Times New Roman" w:hAnsi="Times New Roman" w:cs="Times New Roman"/>
        </w:rPr>
        <w:t xml:space="preserve">. Dalla </w:t>
      </w:r>
      <w:r w:rsidRPr="00860DD5">
        <w:rPr>
          <w:rFonts w:ascii="Times New Roman" w:hAnsi="Times New Roman" w:cs="Times New Roman"/>
          <w:i/>
        </w:rPr>
        <w:t>Jenaer Logik und Metaphysik</w:t>
      </w:r>
      <w:r>
        <w:rPr>
          <w:rFonts w:ascii="Times New Roman" w:hAnsi="Times New Roman" w:cs="Times New Roman"/>
        </w:rPr>
        <w:t xml:space="preserve"> in poi, Hegel assimila l’ontologia spinoziana – e assieme ad essa la filosofia schellinghiana – ad un sistema dell’identità astratta. </w:t>
      </w:r>
      <w:r w:rsidRPr="00FB5A58">
        <w:rPr>
          <w:rFonts w:ascii="Times New Roman" w:hAnsi="Times New Roman" w:cs="Times New Roman"/>
        </w:rPr>
        <w:t xml:space="preserve">È in virtù del principio </w:t>
      </w:r>
      <w:r w:rsidRPr="00FB5A58">
        <w:rPr>
          <w:rFonts w:ascii="Times New Roman" w:hAnsi="Times New Roman" w:cs="Times New Roman"/>
          <w:i/>
        </w:rPr>
        <w:t>determinatio est negatio</w:t>
      </w:r>
      <w:r w:rsidRPr="00FB5A58">
        <w:rPr>
          <w:rFonts w:ascii="Times New Roman" w:hAnsi="Times New Roman" w:cs="Times New Roman"/>
        </w:rPr>
        <w:t xml:space="preserve">, ad esempio, che la </w:t>
      </w:r>
      <w:r w:rsidRPr="00FB5A58">
        <w:rPr>
          <w:rFonts w:ascii="Times New Roman" w:hAnsi="Times New Roman" w:cs="Times New Roman"/>
          <w:i/>
        </w:rPr>
        <w:t>Wissenschaft der Logik</w:t>
      </w:r>
      <w:r w:rsidRPr="00FB5A58">
        <w:rPr>
          <w:rFonts w:ascii="Times New Roman" w:hAnsi="Times New Roman" w:cs="Times New Roman"/>
        </w:rPr>
        <w:t>, in momenti differenti dello sviluppo logico, fa emergere la natura anti-dialettica dello spinozismo. Questo principio spinoziano, enfatizzato proprio da Jacobi, è una coordinata teorica</w:t>
      </w:r>
      <w:r>
        <w:rPr>
          <w:rFonts w:ascii="Times New Roman" w:hAnsi="Times New Roman" w:cs="Times New Roman"/>
        </w:rPr>
        <w:t xml:space="preserve"> imprescindibile per capire la ricezione hegeliana della fil</w:t>
      </w:r>
      <w:r w:rsidR="00E82711">
        <w:rPr>
          <w:rFonts w:ascii="Times New Roman" w:hAnsi="Times New Roman" w:cs="Times New Roman"/>
        </w:rPr>
        <w:t xml:space="preserve">osofia di Spinoza. Ma non solo. </w:t>
      </w:r>
      <w:r>
        <w:rPr>
          <w:rFonts w:ascii="Times New Roman" w:hAnsi="Times New Roman" w:cs="Times New Roman"/>
        </w:rPr>
        <w:t xml:space="preserve">Tutta la storiografia tedesca successiva al 1787 accetta e ripropone quanto sostenuto dalle </w:t>
      </w:r>
      <w:r w:rsidRPr="003C228F">
        <w:rPr>
          <w:rFonts w:ascii="Times New Roman" w:hAnsi="Times New Roman" w:cs="Times New Roman"/>
          <w:i/>
        </w:rPr>
        <w:t>Spinozabriefe</w:t>
      </w:r>
      <w:r>
        <w:rPr>
          <w:rFonts w:ascii="Times New Roman" w:hAnsi="Times New Roman" w:cs="Times New Roman"/>
        </w:rPr>
        <w:t xml:space="preserve">. Con delle differenze ovviamente, ma con un’unità </w:t>
      </w:r>
      <w:r w:rsidRPr="0099174A">
        <w:rPr>
          <w:rFonts w:ascii="Times New Roman" w:hAnsi="Times New Roman" w:cs="Times New Roman"/>
        </w:rPr>
        <w:t xml:space="preserve">argomentativa veramente impressionante. </w:t>
      </w:r>
    </w:p>
    <w:p w14:paraId="30F908F8" w14:textId="5FB360C2" w:rsidR="001B7751" w:rsidRDefault="001C7409" w:rsidP="00B52B14">
      <w:pPr>
        <w:spacing w:line="360" w:lineRule="auto"/>
        <w:ind w:firstLine="567"/>
        <w:jc w:val="both"/>
        <w:rPr>
          <w:rFonts w:ascii="Times New Roman" w:hAnsi="Times New Roman" w:cs="Times New Roman"/>
        </w:rPr>
      </w:pPr>
      <w:r>
        <w:rPr>
          <w:rFonts w:ascii="Times New Roman" w:hAnsi="Times New Roman" w:cs="Times New Roman"/>
        </w:rPr>
        <w:t>Prima di vedere che cosa ricorre</w:t>
      </w:r>
      <w:r w:rsidR="001B7751" w:rsidRPr="0099174A">
        <w:rPr>
          <w:rFonts w:ascii="Times New Roman" w:hAnsi="Times New Roman" w:cs="Times New Roman"/>
        </w:rPr>
        <w:t xml:space="preserve"> e che cosa si differenzi</w:t>
      </w:r>
      <w:r>
        <w:rPr>
          <w:rFonts w:ascii="Times New Roman" w:hAnsi="Times New Roman" w:cs="Times New Roman"/>
        </w:rPr>
        <w:t>a</w:t>
      </w:r>
      <w:r w:rsidR="001B7751" w:rsidRPr="0099174A">
        <w:rPr>
          <w:rFonts w:ascii="Times New Roman" w:hAnsi="Times New Roman" w:cs="Times New Roman"/>
        </w:rPr>
        <w:t xml:space="preserve"> nella manualistica tedesca di fine ’700 e inizio ’80</w:t>
      </w:r>
      <w:r w:rsidR="00E82711" w:rsidRPr="0099174A">
        <w:rPr>
          <w:rFonts w:ascii="Times New Roman" w:hAnsi="Times New Roman" w:cs="Times New Roman"/>
        </w:rPr>
        <w:t xml:space="preserve">0, è opportuno dedicarsi ad un </w:t>
      </w:r>
      <w:r w:rsidR="00021560">
        <w:rPr>
          <w:rFonts w:ascii="Times New Roman" w:hAnsi="Times New Roman" w:cs="Times New Roman"/>
        </w:rPr>
        <w:t>autore</w:t>
      </w:r>
      <w:r w:rsidR="001B7751" w:rsidRPr="0099174A">
        <w:rPr>
          <w:rFonts w:ascii="Times New Roman" w:hAnsi="Times New Roman" w:cs="Times New Roman"/>
        </w:rPr>
        <w:t xml:space="preserve"> che ha ripreso con indubbia originalità quanto sollevato dalle </w:t>
      </w:r>
      <w:r w:rsidR="001B7751" w:rsidRPr="0099174A">
        <w:rPr>
          <w:rFonts w:ascii="Times New Roman" w:hAnsi="Times New Roman" w:cs="Times New Roman"/>
          <w:i/>
        </w:rPr>
        <w:t>Spinozabreife</w:t>
      </w:r>
      <w:r w:rsidR="001B7751" w:rsidRPr="0099174A">
        <w:rPr>
          <w:rFonts w:ascii="Times New Roman" w:hAnsi="Times New Roman" w:cs="Times New Roman"/>
        </w:rPr>
        <w:t>.</w:t>
      </w:r>
      <w:r w:rsidR="00B52B14" w:rsidRPr="0099174A">
        <w:rPr>
          <w:rFonts w:ascii="Times New Roman" w:hAnsi="Times New Roman" w:cs="Times New Roman"/>
        </w:rPr>
        <w:t xml:space="preserve"> </w:t>
      </w:r>
      <w:r w:rsidR="001B7751" w:rsidRPr="0099174A">
        <w:rPr>
          <w:rFonts w:ascii="Times New Roman" w:hAnsi="Times New Roman" w:cs="Times New Roman"/>
        </w:rPr>
        <w:t>Stiamo parlando di Salomon Maimon</w:t>
      </w:r>
      <w:r w:rsidR="001B7751" w:rsidRPr="0099174A">
        <w:rPr>
          <w:rStyle w:val="Rimandonotaapidipagina"/>
          <w:rFonts w:ascii="Times New Roman" w:hAnsi="Times New Roman" w:cs="Times New Roman"/>
        </w:rPr>
        <w:footnoteReference w:id="614"/>
      </w:r>
      <w:r w:rsidR="001B7751" w:rsidRPr="0099174A">
        <w:rPr>
          <w:rFonts w:ascii="Times New Roman" w:hAnsi="Times New Roman" w:cs="Times New Roman"/>
        </w:rPr>
        <w:t xml:space="preserve"> e del suo scritto </w:t>
      </w:r>
      <w:r w:rsidR="001B7751" w:rsidRPr="0099174A">
        <w:rPr>
          <w:rFonts w:ascii="Times New Roman" w:eastAsia="Times New Roman" w:hAnsi="Times New Roman" w:cs="Times New Roman"/>
          <w:i/>
          <w:iCs/>
          <w:color w:val="222222"/>
          <w:shd w:val="clear" w:color="auto" w:fill="FFFFFF"/>
          <w:lang w:val="de-DE"/>
        </w:rPr>
        <w:t>Salomon Maimons Lebensgeschichte</w:t>
      </w:r>
      <w:r w:rsidR="001B7751" w:rsidRPr="0099174A">
        <w:rPr>
          <w:rStyle w:val="Rimandonotaapidipagina"/>
          <w:rFonts w:ascii="Times New Roman" w:eastAsia="Times New Roman" w:hAnsi="Times New Roman" w:cs="Times New Roman"/>
          <w:iCs/>
          <w:color w:val="222222"/>
          <w:shd w:val="clear" w:color="auto" w:fill="FFFFFF"/>
          <w:lang w:val="de-DE"/>
        </w:rPr>
        <w:footnoteReference w:id="615"/>
      </w:r>
      <w:r w:rsidR="001B7751" w:rsidRPr="0099174A">
        <w:rPr>
          <w:rFonts w:ascii="Times New Roman" w:eastAsia="Times New Roman" w:hAnsi="Times New Roman" w:cs="Times New Roman"/>
          <w:iCs/>
          <w:color w:val="222222"/>
          <w:shd w:val="clear" w:color="auto" w:fill="FFFFFF"/>
        </w:rPr>
        <w:t>. In</w:t>
      </w:r>
      <w:r w:rsidR="001B7751" w:rsidRPr="000A3E80">
        <w:rPr>
          <w:rFonts w:ascii="Times New Roman" w:eastAsia="Times New Roman" w:hAnsi="Times New Roman" w:cs="Times New Roman"/>
          <w:iCs/>
          <w:color w:val="222222"/>
          <w:shd w:val="clear" w:color="auto" w:fill="FFFFFF"/>
        </w:rPr>
        <w:t xml:space="preserve"> quest’opera di carattere autobiografico, edita in due volumi a Berlino fra il 1792 e il 1793, Maimon descrive i momenti più significati della sua vita, a partire dall’infanzia</w:t>
      </w:r>
      <w:r w:rsidR="0099174A">
        <w:rPr>
          <w:rFonts w:ascii="Times New Roman" w:eastAsia="Times New Roman" w:hAnsi="Times New Roman" w:cs="Times New Roman"/>
          <w:iCs/>
          <w:color w:val="222222"/>
          <w:shd w:val="clear" w:color="auto" w:fill="FFFFFF"/>
        </w:rPr>
        <w:t xml:space="preserve"> trascorsa nella Confederazione </w:t>
      </w:r>
      <w:r w:rsidR="001B7751" w:rsidRPr="000A3E80">
        <w:rPr>
          <w:rFonts w:ascii="Times New Roman" w:eastAsia="Times New Roman" w:hAnsi="Times New Roman" w:cs="Times New Roman"/>
          <w:iCs/>
          <w:color w:val="222222"/>
          <w:shd w:val="clear" w:color="auto" w:fill="FFFFFF"/>
        </w:rPr>
        <w:t>polacco-lituana della seconda metà del XVIII secolo fino al trasferimento nella Germania dell’</w:t>
      </w:r>
      <w:r w:rsidR="001B7751" w:rsidRPr="000A3E80">
        <w:rPr>
          <w:rFonts w:ascii="Times New Roman" w:eastAsia="Times New Roman" w:hAnsi="Times New Roman" w:cs="Times New Roman"/>
          <w:i/>
          <w:iCs/>
          <w:color w:val="222222"/>
          <w:shd w:val="clear" w:color="auto" w:fill="FFFFFF"/>
        </w:rPr>
        <w:t>Età dei lumi</w:t>
      </w:r>
      <w:r w:rsidR="001B7751" w:rsidRPr="000A3E80">
        <w:rPr>
          <w:rFonts w:ascii="Times New Roman" w:eastAsia="Times New Roman" w:hAnsi="Times New Roman" w:cs="Times New Roman"/>
          <w:iCs/>
          <w:color w:val="222222"/>
          <w:shd w:val="clear" w:color="auto" w:fill="FFFFFF"/>
        </w:rPr>
        <w:t>.</w:t>
      </w:r>
      <w:r w:rsidR="001B7751">
        <w:rPr>
          <w:rFonts w:ascii="Times New Roman" w:eastAsia="Times New Roman" w:hAnsi="Times New Roman" w:cs="Times New Roman"/>
          <w:iCs/>
          <w:color w:val="222222"/>
          <w:shd w:val="clear" w:color="auto" w:fill="FFFFFF"/>
        </w:rPr>
        <w:t xml:space="preserve"> </w:t>
      </w:r>
      <w:r w:rsidR="001B7751" w:rsidRPr="000A3E80">
        <w:rPr>
          <w:rFonts w:ascii="Times New Roman" w:eastAsia="Times New Roman" w:hAnsi="Times New Roman" w:cs="Times New Roman"/>
          <w:iCs/>
          <w:color w:val="222222"/>
          <w:shd w:val="clear" w:color="auto" w:fill="FFFFFF"/>
        </w:rPr>
        <w:t>D’estrazione sociale modesta, la famiglia di Maimon è una cellula della comunità ebraica stanziata nei pressi di Mir (nell’attuale Bielorussia).</w:t>
      </w:r>
      <w:r w:rsidR="001B7751">
        <w:rPr>
          <w:rFonts w:ascii="Times New Roman" w:eastAsia="Times New Roman" w:hAnsi="Times New Roman" w:cs="Times New Roman"/>
          <w:iCs/>
          <w:color w:val="222222"/>
          <w:shd w:val="clear" w:color="auto" w:fill="FFFFFF"/>
        </w:rPr>
        <w:t xml:space="preserve"> Fino all’età di sei anni, Maimon è educato dal padre rabbino. Nel corso del suo settimo anno d’età, Maimon e il fratello Joseph – di cinque anni più grande – sono mandati alla scuola ebraica di Mir. A causa di problemi economici, la famiglia è costretta ad abbandonare i sobborghi di Mir e a trasferirsi in un paese limitrofo. Nonostante tutte queste difficoltà, Maimon prosegue i suoi studi a Ivenec (sempre in Bielorussia), dove studia il </w:t>
      </w:r>
      <w:r w:rsidR="001B7751" w:rsidRPr="000157B0">
        <w:rPr>
          <w:rFonts w:ascii="Times New Roman" w:eastAsia="Times New Roman" w:hAnsi="Times New Roman" w:cs="Times New Roman"/>
          <w:i/>
          <w:iCs/>
          <w:color w:val="222222"/>
          <w:shd w:val="clear" w:color="auto" w:fill="FFFFFF"/>
        </w:rPr>
        <w:t>Talmud</w:t>
      </w:r>
      <w:r w:rsidR="001B7751">
        <w:rPr>
          <w:rFonts w:ascii="Times New Roman" w:eastAsia="Times New Roman" w:hAnsi="Times New Roman" w:cs="Times New Roman"/>
          <w:iCs/>
          <w:color w:val="222222"/>
          <w:shd w:val="clear" w:color="auto" w:fill="FFFFFF"/>
        </w:rPr>
        <w:t>. Nel corso dell’undicesimo anno</w:t>
      </w:r>
      <w:r w:rsidR="001B7751" w:rsidRPr="000157B0">
        <w:rPr>
          <w:rFonts w:ascii="Times New Roman" w:eastAsia="Times New Roman" w:hAnsi="Times New Roman" w:cs="Times New Roman"/>
          <w:i/>
          <w:iCs/>
          <w:color w:val="222222"/>
          <w:shd w:val="clear" w:color="auto" w:fill="FFFFFF"/>
        </w:rPr>
        <w:t xml:space="preserve"> </w:t>
      </w:r>
      <w:r w:rsidR="001B7751">
        <w:rPr>
          <w:rFonts w:ascii="Times New Roman" w:eastAsia="Times New Roman" w:hAnsi="Times New Roman" w:cs="Times New Roman"/>
          <w:iCs/>
          <w:color w:val="222222"/>
          <w:shd w:val="clear" w:color="auto" w:fill="FFFFFF"/>
        </w:rPr>
        <w:t>d’età, Maimon amplia le proprie conoscenze scientifico-filosofiche e sviluppa un interesse per la tradizione mistica ebraica</w:t>
      </w:r>
      <w:r w:rsidR="001B7751">
        <w:rPr>
          <w:rStyle w:val="Rimandonotaapidipagina"/>
          <w:rFonts w:ascii="Times New Roman" w:eastAsia="Times New Roman" w:hAnsi="Times New Roman" w:cs="Times New Roman"/>
          <w:iCs/>
          <w:color w:val="222222"/>
          <w:shd w:val="clear" w:color="auto" w:fill="FFFFFF"/>
        </w:rPr>
        <w:footnoteReference w:id="616"/>
      </w:r>
      <w:r w:rsidR="001B7751">
        <w:rPr>
          <w:rFonts w:ascii="Times New Roman" w:eastAsia="Times New Roman" w:hAnsi="Times New Roman" w:cs="Times New Roman"/>
          <w:iCs/>
          <w:color w:val="222222"/>
          <w:shd w:val="clear" w:color="auto" w:fill="FFFFFF"/>
        </w:rPr>
        <w:t xml:space="preserve">. </w:t>
      </w:r>
      <w:r w:rsidR="001B7751" w:rsidRPr="00CE1779">
        <w:rPr>
          <w:rFonts w:ascii="Times New Roman" w:eastAsia="Times New Roman" w:hAnsi="Times New Roman" w:cs="Times New Roman"/>
          <w:iCs/>
          <w:color w:val="222222"/>
          <w:shd w:val="clear" w:color="auto" w:fill="FFFFFF"/>
        </w:rPr>
        <w:t>Proprio a questo incontro con la Qabbalah, sono dedicate</w:t>
      </w:r>
      <w:r w:rsidR="001B7751">
        <w:rPr>
          <w:rFonts w:ascii="Times New Roman" w:eastAsia="Times New Roman" w:hAnsi="Times New Roman" w:cs="Times New Roman"/>
          <w:iCs/>
          <w:color w:val="222222"/>
          <w:shd w:val="clear" w:color="auto" w:fill="FFFFFF"/>
        </w:rPr>
        <w:t xml:space="preserve"> alcune delle digressioni</w:t>
      </w:r>
      <w:r w:rsidR="001B7751" w:rsidRPr="00CE1779">
        <w:rPr>
          <w:rFonts w:ascii="Times New Roman" w:eastAsia="Times New Roman" w:hAnsi="Times New Roman" w:cs="Times New Roman"/>
          <w:iCs/>
          <w:color w:val="222222"/>
          <w:shd w:val="clear" w:color="auto" w:fill="FFFFFF"/>
        </w:rPr>
        <w:t xml:space="preserve"> più significative del quattordicesimo e quindicesimo capitolo del primo volume della </w:t>
      </w:r>
      <w:r w:rsidR="001B7751" w:rsidRPr="00CE1779">
        <w:rPr>
          <w:rFonts w:ascii="Times New Roman" w:eastAsia="Times New Roman" w:hAnsi="Times New Roman" w:cs="Times New Roman"/>
          <w:i/>
          <w:iCs/>
          <w:color w:val="222222"/>
          <w:shd w:val="clear" w:color="auto" w:fill="FFFFFF"/>
        </w:rPr>
        <w:t>Lebensgeschichte</w:t>
      </w:r>
      <w:r w:rsidR="001B7751" w:rsidRPr="00CE1779">
        <w:rPr>
          <w:rFonts w:ascii="Times New Roman" w:eastAsia="Times New Roman" w:hAnsi="Times New Roman" w:cs="Times New Roman"/>
          <w:iCs/>
          <w:color w:val="222222"/>
          <w:shd w:val="clear" w:color="auto" w:fill="FFFFFF"/>
        </w:rPr>
        <w:t>.</w:t>
      </w:r>
      <w:r w:rsidR="001B7751" w:rsidRPr="000A3E80">
        <w:rPr>
          <w:rFonts w:ascii="Times New Roman" w:eastAsia="Times New Roman" w:hAnsi="Times New Roman" w:cs="Times New Roman"/>
          <w:iCs/>
          <w:color w:val="222222"/>
          <w:shd w:val="clear" w:color="auto" w:fill="FFFFFF"/>
        </w:rPr>
        <w:t xml:space="preserve"> </w:t>
      </w:r>
      <w:r w:rsidR="001B7751">
        <w:rPr>
          <w:rFonts w:ascii="Times New Roman" w:eastAsia="Times New Roman" w:hAnsi="Times New Roman" w:cs="Times New Roman"/>
          <w:iCs/>
          <w:color w:val="222222"/>
          <w:shd w:val="clear" w:color="auto" w:fill="FFFFFF"/>
        </w:rPr>
        <w:t xml:space="preserve">Alla preliminare delucidazione del significato della parola </w:t>
      </w:r>
      <w:r w:rsidR="001B7751" w:rsidRPr="00755581">
        <w:rPr>
          <w:rFonts w:ascii="Times New Roman" w:eastAsia="Times New Roman" w:hAnsi="Times New Roman" w:cs="Times New Roman"/>
          <w:i/>
          <w:iCs/>
          <w:color w:val="222222"/>
          <w:shd w:val="clear" w:color="auto" w:fill="FFFFFF"/>
        </w:rPr>
        <w:t>Qabbalah</w:t>
      </w:r>
      <w:r w:rsidR="001B7751" w:rsidRPr="00970B43">
        <w:rPr>
          <w:rStyle w:val="Rimandonotaapidipagina"/>
          <w:rFonts w:ascii="Times New Roman" w:eastAsia="Times New Roman" w:hAnsi="Times New Roman" w:cs="Times New Roman"/>
          <w:iCs/>
          <w:color w:val="222222"/>
          <w:shd w:val="clear" w:color="auto" w:fill="FFFFFF"/>
        </w:rPr>
        <w:footnoteReference w:id="617"/>
      </w:r>
      <w:r w:rsidR="001B7751" w:rsidRPr="00970B43">
        <w:rPr>
          <w:rFonts w:ascii="Times New Roman" w:eastAsia="Times New Roman" w:hAnsi="Times New Roman" w:cs="Times New Roman"/>
          <w:iCs/>
          <w:color w:val="222222"/>
          <w:shd w:val="clear" w:color="auto" w:fill="FFFFFF"/>
        </w:rPr>
        <w:t>,</w:t>
      </w:r>
      <w:r w:rsidR="001B7751">
        <w:rPr>
          <w:rFonts w:ascii="Times New Roman" w:eastAsia="Times New Roman" w:hAnsi="Times New Roman" w:cs="Times New Roman"/>
          <w:iCs/>
          <w:color w:val="222222"/>
          <w:shd w:val="clear" w:color="auto" w:fill="FFFFFF"/>
        </w:rPr>
        <w:t xml:space="preserve"> segue una discussione delle principali opere del misticismo ebraico, che Maimon considera </w:t>
      </w:r>
      <w:r w:rsidR="001B7751" w:rsidRPr="000A3E80">
        <w:rPr>
          <w:rFonts w:ascii="Times New Roman" w:eastAsia="Times New Roman" w:hAnsi="Times New Roman" w:cs="Times New Roman"/>
          <w:iCs/>
          <w:color w:val="222222"/>
          <w:shd w:val="clear" w:color="auto" w:fill="FFFFFF"/>
        </w:rPr>
        <w:t>«als K</w:t>
      </w:r>
      <w:r w:rsidR="001B7751">
        <w:rPr>
          <w:rFonts w:ascii="Times New Roman" w:eastAsia="Times New Roman" w:hAnsi="Times New Roman" w:cs="Times New Roman"/>
          <w:iCs/>
          <w:color w:val="222222"/>
          <w:shd w:val="clear" w:color="auto" w:fill="FFFFFF"/>
        </w:rPr>
        <w:t>ommentare oder als</w:t>
      </w:r>
      <w:r w:rsidR="001B7751" w:rsidRPr="000A3E80">
        <w:rPr>
          <w:rFonts w:ascii="Times New Roman" w:eastAsia="Times New Roman" w:hAnsi="Times New Roman" w:cs="Times New Roman"/>
          <w:iCs/>
          <w:color w:val="222222"/>
          <w:shd w:val="clear" w:color="auto" w:fill="FFFFFF"/>
        </w:rPr>
        <w:t xml:space="preserve"> Auszüge</w:t>
      </w:r>
      <w:r w:rsidR="001B7751" w:rsidRPr="000A3E80">
        <w:rPr>
          <w:rFonts w:ascii="Times New Roman" w:hAnsi="Times New Roman" w:cs="Times New Roman"/>
        </w:rPr>
        <w:t>»</w:t>
      </w:r>
      <w:r w:rsidR="001B7751" w:rsidRPr="000A3E80">
        <w:rPr>
          <w:rStyle w:val="Rimandonotaapidipagina"/>
          <w:rFonts w:ascii="Times New Roman" w:eastAsia="Times New Roman" w:hAnsi="Times New Roman" w:cs="Times New Roman"/>
          <w:iCs/>
          <w:color w:val="222222"/>
          <w:shd w:val="clear" w:color="auto" w:fill="FFFFFF"/>
        </w:rPr>
        <w:footnoteReference w:id="618"/>
      </w:r>
      <w:r w:rsidR="001B7751">
        <w:rPr>
          <w:rFonts w:ascii="Times New Roman" w:hAnsi="Times New Roman" w:cs="Times New Roman"/>
        </w:rPr>
        <w:t xml:space="preserve"> dello </w:t>
      </w:r>
      <w:r w:rsidR="001B7751" w:rsidRPr="00F57AAA">
        <w:rPr>
          <w:rFonts w:ascii="Times New Roman" w:hAnsi="Times New Roman" w:cs="Times New Roman"/>
          <w:i/>
        </w:rPr>
        <w:t>Zohar</w:t>
      </w:r>
      <w:r w:rsidR="001B7751" w:rsidRPr="00F57AAA">
        <w:rPr>
          <w:rFonts w:ascii="Times New Roman" w:hAnsi="Times New Roman" w:cs="Times New Roman"/>
        </w:rPr>
        <w:t>.</w:t>
      </w:r>
      <w:r w:rsidR="001B7751">
        <w:rPr>
          <w:rFonts w:ascii="Times New Roman" w:hAnsi="Times New Roman" w:cs="Times New Roman"/>
        </w:rPr>
        <w:t xml:space="preserve"> Fra i principali sistemi di pensiero cabbalistici, si ricordano le opere di Moses Cordovero e Isaak Luria: </w:t>
      </w:r>
      <w:r w:rsidR="001B7751" w:rsidRPr="000A3E80">
        <w:rPr>
          <w:rFonts w:ascii="Times New Roman" w:hAnsi="Times New Roman" w:cs="Times New Roman"/>
        </w:rPr>
        <w:t xml:space="preserve">del primo il </w:t>
      </w:r>
      <w:r w:rsidR="001B7751" w:rsidRPr="000A3E80">
        <w:rPr>
          <w:rFonts w:ascii="Times New Roman" w:hAnsi="Times New Roman" w:cs="Times New Roman"/>
          <w:i/>
        </w:rPr>
        <w:t xml:space="preserve">Pardes Rimonim </w:t>
      </w:r>
      <w:r w:rsidR="001B7751" w:rsidRPr="000A3E80">
        <w:rPr>
          <w:rFonts w:ascii="Times New Roman" w:hAnsi="Times New Roman" w:cs="Times New Roman"/>
        </w:rPr>
        <w:t>(</w:t>
      </w:r>
      <w:r w:rsidR="001B7751" w:rsidRPr="000A3E80">
        <w:rPr>
          <w:rFonts w:ascii="Times New Roman" w:hAnsi="Times New Roman" w:cs="Times New Roman"/>
          <w:i/>
        </w:rPr>
        <w:t>Il giardino dei melograni</w:t>
      </w:r>
      <w:r w:rsidR="001B7751" w:rsidRPr="000A3E80">
        <w:rPr>
          <w:rFonts w:ascii="Times New Roman" w:hAnsi="Times New Roman" w:cs="Times New Roman"/>
        </w:rPr>
        <w:t xml:space="preserve">) e del secondo </w:t>
      </w:r>
      <w:r w:rsidR="001B7751" w:rsidRPr="000A3E80">
        <w:rPr>
          <w:rFonts w:ascii="Times New Roman" w:hAnsi="Times New Roman" w:cs="Times New Roman"/>
          <w:i/>
        </w:rPr>
        <w:t xml:space="preserve">l’Ez Chajim </w:t>
      </w:r>
      <w:r w:rsidR="001B7751" w:rsidRPr="000A3E80">
        <w:rPr>
          <w:rFonts w:ascii="Times New Roman" w:hAnsi="Times New Roman" w:cs="Times New Roman"/>
        </w:rPr>
        <w:t>(</w:t>
      </w:r>
      <w:r w:rsidR="001B7751" w:rsidRPr="000A3E80">
        <w:rPr>
          <w:rFonts w:ascii="Times New Roman" w:hAnsi="Times New Roman" w:cs="Times New Roman"/>
          <w:i/>
        </w:rPr>
        <w:t>L’albero della vita</w:t>
      </w:r>
      <w:r w:rsidR="001B7751" w:rsidRPr="000A3E80">
        <w:rPr>
          <w:rFonts w:ascii="Times New Roman" w:hAnsi="Times New Roman" w:cs="Times New Roman"/>
        </w:rPr>
        <w:t>), redatto dall’allievo Chajim Vital. Dopo queste informazioni di carattere storico, a cui Maimon alterna osservazioni di natura teorica</w:t>
      </w:r>
      <w:r w:rsidR="001B7751" w:rsidRPr="000A3E80">
        <w:rPr>
          <w:rStyle w:val="Rimandonotaapidipagina"/>
          <w:rFonts w:ascii="Times New Roman" w:hAnsi="Times New Roman" w:cs="Times New Roman"/>
        </w:rPr>
        <w:footnoteReference w:id="619"/>
      </w:r>
      <w:r w:rsidR="001B7751" w:rsidRPr="000A3E80">
        <w:rPr>
          <w:rFonts w:ascii="Times New Roman" w:hAnsi="Times New Roman" w:cs="Times New Roman"/>
        </w:rPr>
        <w:t xml:space="preserve">, segue una breve digressione di carattere biografico. Maimon racconta al lettore del suo interesse giovanile per la Qabbalah pratica. Venuto a sapere che il rabbino del luogo </w:t>
      </w:r>
      <w:r w:rsidR="001B7751">
        <w:rPr>
          <w:rFonts w:ascii="Times New Roman" w:hAnsi="Times New Roman" w:cs="Times New Roman"/>
        </w:rPr>
        <w:t>era</w:t>
      </w:r>
      <w:r w:rsidR="001B7751" w:rsidRPr="000A3E80">
        <w:rPr>
          <w:rFonts w:ascii="Times New Roman" w:hAnsi="Times New Roman" w:cs="Times New Roman"/>
        </w:rPr>
        <w:t xml:space="preserve"> in grado di esercitare la sottile arte del </w:t>
      </w:r>
      <w:r w:rsidR="001B7751" w:rsidRPr="000A3E80">
        <w:rPr>
          <w:rFonts w:ascii="Times New Roman" w:hAnsi="Times New Roman" w:cs="Times New Roman"/>
          <w:i/>
        </w:rPr>
        <w:t>roeh meeno neroh</w:t>
      </w:r>
      <w:r w:rsidR="001B7751" w:rsidRPr="000A3E80">
        <w:rPr>
          <w:rFonts w:ascii="Times New Roman" w:hAnsi="Times New Roman" w:cs="Times New Roman"/>
        </w:rPr>
        <w:t xml:space="preserve">, ossia </w:t>
      </w:r>
      <w:r w:rsidR="001B7751" w:rsidRPr="000A3E80">
        <w:rPr>
          <w:rFonts w:ascii="Times New Roman" w:hAnsi="Times New Roman" w:cs="Times New Roman"/>
          <w:lang w:val="de-DE"/>
        </w:rPr>
        <w:t>«alles zu sehen aber selbst von andern nicht gesehen zu werden</w:t>
      </w:r>
      <w:r w:rsidR="001B7751" w:rsidRPr="000A3E80">
        <w:rPr>
          <w:rFonts w:ascii="Times New Roman" w:hAnsi="Times New Roman" w:cs="Times New Roman"/>
        </w:rPr>
        <w:t>»</w:t>
      </w:r>
      <w:r w:rsidR="001B7751" w:rsidRPr="000A3E80">
        <w:rPr>
          <w:rStyle w:val="Rimandonotaapidipagina"/>
          <w:rFonts w:ascii="Times New Roman" w:hAnsi="Times New Roman" w:cs="Times New Roman"/>
        </w:rPr>
        <w:footnoteReference w:id="620"/>
      </w:r>
      <w:r w:rsidR="001B7751" w:rsidRPr="000A3E80">
        <w:rPr>
          <w:rFonts w:ascii="Times New Roman" w:hAnsi="Times New Roman" w:cs="Times New Roman"/>
        </w:rPr>
        <w:t xml:space="preserve">, Maimon desidera apprendere il segreto </w:t>
      </w:r>
      <w:r w:rsidR="0099174A">
        <w:rPr>
          <w:rFonts w:ascii="Times New Roman" w:hAnsi="Times New Roman" w:cs="Times New Roman"/>
        </w:rPr>
        <w:t xml:space="preserve">di </w:t>
      </w:r>
      <w:r w:rsidR="001B7751" w:rsidRPr="000A3E80">
        <w:rPr>
          <w:rFonts w:ascii="Times New Roman" w:hAnsi="Times New Roman" w:cs="Times New Roman"/>
        </w:rPr>
        <w:t>quest’arte.</w:t>
      </w:r>
      <w:r w:rsidR="001B7751">
        <w:rPr>
          <w:rFonts w:ascii="Times New Roman" w:hAnsi="Times New Roman" w:cs="Times New Roman"/>
        </w:rPr>
        <w:t xml:space="preserve"> Comunicatogli il segreto dell’invisibilità dal rabbino, Maimon osserva tre giorni di digiuno e d’intensa attività liturgica. Allo scadere del terzo giorno, il potere dell’invisibilità dovrebbe essere una capacità acquisita. Per verificare il possesso di questa abilità, Maimon si reca nell’Accademia ebraica e, avvicinatosi ad uno dei suoi compagni di corso, gli tira uno schiaffo. Non aspettandosi una reazione – perché invisibile! – Maimon tiene la guardia abbass</w:t>
      </w:r>
      <w:r w:rsidR="006514A9">
        <w:rPr>
          <w:rFonts w:ascii="Times New Roman" w:hAnsi="Times New Roman" w:cs="Times New Roman"/>
        </w:rPr>
        <w:t>ata e il compagno gli risponde</w:t>
      </w:r>
      <w:r w:rsidR="001B7751">
        <w:rPr>
          <w:rFonts w:ascii="Times New Roman" w:hAnsi="Times New Roman" w:cs="Times New Roman"/>
        </w:rPr>
        <w:t xml:space="preserve"> per le rime. Pensando di aver fatto qualcosa di sbagliato, Maimon ripete la procedura. Passati altri tre giorni, si reca nuovamente in Accademia e assiste in silenzio ad una lezione, pensando di non essere visto dai suoi compagni. Anche in questo caso tutto va per il verso storto: un compagno lo vede e lo interpella su un passo del </w:t>
      </w:r>
      <w:r w:rsidR="001B7751">
        <w:rPr>
          <w:rFonts w:ascii="Times New Roman" w:hAnsi="Times New Roman" w:cs="Times New Roman"/>
          <w:i/>
        </w:rPr>
        <w:t>Talmud</w:t>
      </w:r>
      <w:r w:rsidR="001B7751" w:rsidRPr="0099174A">
        <w:rPr>
          <w:rStyle w:val="Rimandonotaapidipagina"/>
          <w:rFonts w:ascii="Times New Roman" w:hAnsi="Times New Roman" w:cs="Times New Roman"/>
        </w:rPr>
        <w:footnoteReference w:id="621"/>
      </w:r>
      <w:r w:rsidR="001B7751" w:rsidRPr="0099174A">
        <w:rPr>
          <w:rFonts w:ascii="Times New Roman" w:hAnsi="Times New Roman" w:cs="Times New Roman"/>
        </w:rPr>
        <w:t xml:space="preserve">. </w:t>
      </w:r>
    </w:p>
    <w:p w14:paraId="5CD9E304" w14:textId="77777777" w:rsidR="001B7751" w:rsidRDefault="001B7751" w:rsidP="001B7751">
      <w:pPr>
        <w:spacing w:line="360" w:lineRule="auto"/>
        <w:ind w:firstLine="567"/>
        <w:jc w:val="both"/>
        <w:rPr>
          <w:rFonts w:ascii="Times New Roman" w:hAnsi="Times New Roman" w:cs="Times New Roman"/>
        </w:rPr>
      </w:pPr>
      <w:r>
        <w:rPr>
          <w:rFonts w:ascii="Times New Roman" w:hAnsi="Times New Roman" w:cs="Times New Roman"/>
        </w:rPr>
        <w:t xml:space="preserve">Questi aneddoti, che servono a Maimon per snellire certi passaggi della sua autobiografia, manifestano, in verità, uno scetticismo di fondo nei confronti della Qabbalah pratica. Essa non può insegnare né l’arte della smaterializzazione, né alcuna capacità sovrannaturale: </w:t>
      </w:r>
      <w:r w:rsidRPr="000A3E80">
        <w:rPr>
          <w:rFonts w:ascii="Times New Roman" w:hAnsi="Times New Roman" w:cs="Times New Roman"/>
        </w:rPr>
        <w:t>in-sé-e-per-sé questa branca della tradizione ebraica non possiede utilità alcuna. Se questa sfiducia vale nei confronti della Qabbalah pratica, stessa cosa non può dirsi per la Qabbalah teorica.</w:t>
      </w:r>
      <w:r>
        <w:rPr>
          <w:rFonts w:ascii="Times New Roman" w:hAnsi="Times New Roman" w:cs="Times New Roman"/>
        </w:rPr>
        <w:t xml:space="preserve"> A livello teorico, infatti, la mistica ebraica insegna </w:t>
      </w:r>
      <w:r w:rsidRPr="00D9624A">
        <w:rPr>
          <w:rFonts w:ascii="Times New Roman" w:hAnsi="Times New Roman" w:cs="Times New Roman"/>
          <w:lang w:val="de-DE"/>
        </w:rPr>
        <w:t>«die Geheimnisse der Natur in Fabeln und Allegorien eingehüllt»</w:t>
      </w:r>
      <w:r w:rsidRPr="00D9624A">
        <w:rPr>
          <w:rStyle w:val="Rimandonotaapidipagina"/>
          <w:rFonts w:ascii="Times New Roman" w:hAnsi="Times New Roman" w:cs="Times New Roman"/>
          <w:lang w:val="de-DE"/>
        </w:rPr>
        <w:footnoteReference w:id="622"/>
      </w:r>
      <w:r w:rsidRPr="00D9624A">
        <w:rPr>
          <w:rFonts w:ascii="Times New Roman" w:hAnsi="Times New Roman" w:cs="Times New Roman"/>
          <w:lang w:val="de-DE"/>
        </w:rPr>
        <w:t>.</w:t>
      </w:r>
      <w:r>
        <w:rPr>
          <w:rFonts w:ascii="Times New Roman" w:hAnsi="Times New Roman" w:cs="Times New Roman"/>
        </w:rPr>
        <w:t xml:space="preserve"> Procedendo oltre la scorza metaforica delle allegorie e favole cabbalistiche e innalzando </w:t>
      </w:r>
      <w:r w:rsidRPr="00D9624A">
        <w:rPr>
          <w:rFonts w:ascii="Times New Roman" w:hAnsi="Times New Roman" w:cs="Times New Roman"/>
          <w:lang w:val="de-DE"/>
        </w:rPr>
        <w:t>«bloße literarische Erkenntniß zur einer Vernunfterkenntniß»</w:t>
      </w:r>
      <w:r w:rsidRPr="00D9624A">
        <w:rPr>
          <w:rStyle w:val="Rimandonotaapidipagina"/>
          <w:rFonts w:ascii="Times New Roman" w:hAnsi="Times New Roman" w:cs="Times New Roman"/>
          <w:lang w:val="de-DE"/>
        </w:rPr>
        <w:footnoteReference w:id="623"/>
      </w:r>
      <w:r w:rsidRPr="00A66975">
        <w:rPr>
          <w:rFonts w:ascii="Times New Roman" w:hAnsi="Times New Roman" w:cs="Times New Roman"/>
        </w:rPr>
        <w:t>,</w:t>
      </w:r>
      <w:r>
        <w:rPr>
          <w:rFonts w:ascii="Times New Roman" w:hAnsi="Times New Roman" w:cs="Times New Roman"/>
        </w:rPr>
        <w:t xml:space="preserve"> è possibile accedere ai segreti profondi della natura. </w:t>
      </w:r>
      <w:r w:rsidRPr="007E3183">
        <w:rPr>
          <w:rFonts w:ascii="Times New Roman" w:hAnsi="Times New Roman" w:cs="Times New Roman"/>
        </w:rPr>
        <w:t xml:space="preserve">Fra di essi quello della creazione, che Maimon, riprendendo la teoria lurianica dello </w:t>
      </w:r>
      <w:r w:rsidRPr="007E3183">
        <w:rPr>
          <w:rFonts w:ascii="Times New Roman" w:hAnsi="Times New Roman" w:cs="Times New Roman"/>
          <w:i/>
        </w:rPr>
        <w:t>tzimtzum</w:t>
      </w:r>
      <w:r w:rsidRPr="007E3183">
        <w:rPr>
          <w:rStyle w:val="Rimandonotaapidipagina"/>
          <w:rFonts w:ascii="Times New Roman" w:hAnsi="Times New Roman" w:cs="Times New Roman"/>
        </w:rPr>
        <w:footnoteReference w:id="624"/>
      </w:r>
      <w:r w:rsidRPr="007E3183">
        <w:rPr>
          <w:rFonts w:ascii="Times New Roman" w:hAnsi="Times New Roman" w:cs="Times New Roman"/>
        </w:rPr>
        <w:t>, così descrive:</w:t>
      </w:r>
    </w:p>
    <w:p w14:paraId="2DE6F0E3" w14:textId="77777777" w:rsidR="001B7751" w:rsidRDefault="001B7751" w:rsidP="001B7751">
      <w:pPr>
        <w:spacing w:line="360" w:lineRule="auto"/>
        <w:ind w:left="567" w:firstLine="567"/>
        <w:jc w:val="both"/>
        <w:rPr>
          <w:rFonts w:ascii="Times New Roman" w:hAnsi="Times New Roman" w:cs="Times New Roman"/>
        </w:rPr>
      </w:pPr>
    </w:p>
    <w:p w14:paraId="0FB4058A" w14:textId="77777777" w:rsidR="001B7751" w:rsidRPr="00B63CFE" w:rsidRDefault="001B7751" w:rsidP="001B7751">
      <w:pPr>
        <w:spacing w:line="360" w:lineRule="auto"/>
        <w:ind w:left="567" w:firstLine="567"/>
        <w:jc w:val="both"/>
        <w:rPr>
          <w:rFonts w:ascii="Times New Roman" w:eastAsia="Times New Roman" w:hAnsi="Times New Roman" w:cs="Times New Roman"/>
          <w:iCs/>
          <w:color w:val="222222"/>
          <w:sz w:val="20"/>
          <w:szCs w:val="20"/>
          <w:shd w:val="clear" w:color="auto" w:fill="FFFFFF"/>
          <w:lang w:val="de-DE"/>
        </w:rPr>
      </w:pPr>
      <w:r w:rsidRPr="00B63CFE">
        <w:rPr>
          <w:rFonts w:ascii="Times New Roman" w:hAnsi="Times New Roman" w:cs="Times New Roman"/>
          <w:sz w:val="20"/>
          <w:szCs w:val="20"/>
          <w:lang w:val="de-DE"/>
        </w:rPr>
        <w:t>«Nehmlich: ehe die Welt erschaffen worden hatte das göttliche Wesen allein den ganzen unendlichen Raum ausgefüllt. Nun wollte aber Gott eine Welt erschaffen, damit er seine Eigenschaften die sich auf andere Wesen außer ihn beziehen, offenbaren könnt; er schränkte zu diesem Endzwecke sich selbst in den Mittelpunkt seiner Vollkommenheit ein und ließ hernach in den dadurch leergebliebenen Raum zehn konzentrische Lichtkreise fahren, daraus hernach mannigfaltige Figuren (Parzoffim) und Gradationen bis zur gegenwärtigen sinnlichen Welt entstanden</w:t>
      </w:r>
      <w:r w:rsidRPr="00B63CFE">
        <w:rPr>
          <w:rFonts w:ascii="Times New Roman" w:hAnsi="Times New Roman" w:cs="Times New Roman"/>
          <w:sz w:val="20"/>
          <w:szCs w:val="20"/>
        </w:rPr>
        <w:t>»</w:t>
      </w:r>
      <w:r w:rsidRPr="00B63CFE">
        <w:rPr>
          <w:rStyle w:val="Rimandonotaapidipagina"/>
          <w:rFonts w:ascii="Times New Roman" w:hAnsi="Times New Roman" w:cs="Times New Roman"/>
          <w:sz w:val="20"/>
          <w:szCs w:val="20"/>
          <w:lang w:val="de-DE"/>
        </w:rPr>
        <w:footnoteReference w:id="625"/>
      </w:r>
      <w:r w:rsidRPr="00B63CFE">
        <w:rPr>
          <w:rFonts w:ascii="Times New Roman" w:hAnsi="Times New Roman" w:cs="Times New Roman"/>
          <w:sz w:val="20"/>
          <w:szCs w:val="20"/>
        </w:rPr>
        <w:t>.</w:t>
      </w:r>
    </w:p>
    <w:p w14:paraId="08454725" w14:textId="77777777" w:rsidR="001B7751" w:rsidRDefault="001B7751" w:rsidP="001B7751">
      <w:pPr>
        <w:spacing w:line="360" w:lineRule="auto"/>
        <w:ind w:left="567" w:firstLine="567"/>
        <w:jc w:val="both"/>
        <w:rPr>
          <w:rFonts w:ascii="Times New Roman" w:eastAsia="Times New Roman" w:hAnsi="Times New Roman" w:cs="Times New Roman"/>
          <w:iCs/>
          <w:color w:val="222222"/>
          <w:shd w:val="clear" w:color="auto" w:fill="FFFFFF"/>
        </w:rPr>
      </w:pPr>
    </w:p>
    <w:p w14:paraId="1C59AA43" w14:textId="63A4F8D5" w:rsidR="002B3AF0" w:rsidRDefault="001B7751" w:rsidP="002B3AF0">
      <w:pPr>
        <w:spacing w:line="360" w:lineRule="auto"/>
        <w:ind w:firstLine="567"/>
        <w:jc w:val="both"/>
        <w:rPr>
          <w:rFonts w:ascii="Times New Roman" w:eastAsia="Times New Roman" w:hAnsi="Times New Roman" w:cs="Times New Roman"/>
          <w:iCs/>
          <w:color w:val="222222"/>
          <w:shd w:val="clear" w:color="auto" w:fill="FFFFFF"/>
        </w:rPr>
      </w:pPr>
      <w:r w:rsidRPr="00B92F4F">
        <w:rPr>
          <w:rFonts w:ascii="Times New Roman" w:eastAsia="Times New Roman" w:hAnsi="Times New Roman" w:cs="Times New Roman"/>
          <w:iCs/>
          <w:color w:val="222222"/>
          <w:shd w:val="clear" w:color="auto" w:fill="FFFFFF"/>
        </w:rPr>
        <w:t xml:space="preserve">Questo passo della </w:t>
      </w:r>
      <w:r w:rsidRPr="00B92F4F">
        <w:rPr>
          <w:rFonts w:ascii="Times New Roman" w:eastAsia="Times New Roman" w:hAnsi="Times New Roman" w:cs="Times New Roman"/>
          <w:i/>
          <w:iCs/>
          <w:color w:val="222222"/>
          <w:shd w:val="clear" w:color="auto" w:fill="FFFFFF"/>
        </w:rPr>
        <w:t>Lebensgeschichte</w:t>
      </w:r>
      <w:r w:rsidRPr="00B92F4F">
        <w:rPr>
          <w:rFonts w:ascii="Times New Roman" w:eastAsia="Times New Roman" w:hAnsi="Times New Roman" w:cs="Times New Roman"/>
          <w:iCs/>
          <w:color w:val="222222"/>
          <w:shd w:val="clear" w:color="auto" w:fill="FFFFFF"/>
        </w:rPr>
        <w:t xml:space="preserve"> espone sinteticamente il nucleo portante della Qabbalah lurianica. Vista l’ampia circolazione della </w:t>
      </w:r>
      <w:r w:rsidRPr="00B92F4F">
        <w:rPr>
          <w:rFonts w:ascii="Times New Roman" w:eastAsia="Times New Roman" w:hAnsi="Times New Roman" w:cs="Times New Roman"/>
          <w:i/>
          <w:iCs/>
          <w:color w:val="222222"/>
          <w:shd w:val="clear" w:color="auto" w:fill="FFFFFF"/>
        </w:rPr>
        <w:t>Kabbala denudata</w:t>
      </w:r>
      <w:r w:rsidRPr="00B92F4F">
        <w:rPr>
          <w:rFonts w:ascii="Times New Roman" w:eastAsia="Times New Roman" w:hAnsi="Times New Roman" w:cs="Times New Roman"/>
          <w:iCs/>
          <w:color w:val="222222"/>
          <w:shd w:val="clear" w:color="auto" w:fill="FFFFFF"/>
        </w:rPr>
        <w:t xml:space="preserve"> di von Rosenroth, dei due scritti di Wachter e della </w:t>
      </w:r>
      <w:r w:rsidRPr="00B92F4F">
        <w:rPr>
          <w:rFonts w:ascii="Times New Roman" w:eastAsia="Times New Roman" w:hAnsi="Times New Roman" w:cs="Times New Roman"/>
          <w:i/>
          <w:iCs/>
          <w:color w:val="222222"/>
          <w:shd w:val="clear" w:color="auto" w:fill="FFFFFF"/>
        </w:rPr>
        <w:t>Historia critica</w:t>
      </w:r>
      <w:r w:rsidRPr="00B92F4F">
        <w:rPr>
          <w:rFonts w:ascii="Times New Roman" w:eastAsia="Times New Roman" w:hAnsi="Times New Roman" w:cs="Times New Roman"/>
          <w:iCs/>
          <w:color w:val="222222"/>
          <w:shd w:val="clear" w:color="auto" w:fill="FFFFFF"/>
        </w:rPr>
        <w:t xml:space="preserve"> di Brucker, non è da escludere che Maimon abbia presenti quei passi della </w:t>
      </w:r>
      <w:r w:rsidRPr="00B92F4F">
        <w:rPr>
          <w:rFonts w:ascii="Times New Roman" w:eastAsia="Times New Roman" w:hAnsi="Times New Roman" w:cs="Times New Roman"/>
          <w:i/>
          <w:iCs/>
          <w:color w:val="222222"/>
          <w:shd w:val="clear" w:color="auto" w:fill="FFFFFF"/>
        </w:rPr>
        <w:t xml:space="preserve">Porta Coelorum </w:t>
      </w:r>
      <w:r w:rsidRPr="00B92F4F">
        <w:rPr>
          <w:rFonts w:ascii="Times New Roman" w:eastAsia="Times New Roman" w:hAnsi="Times New Roman" w:cs="Times New Roman"/>
          <w:iCs/>
          <w:color w:val="222222"/>
          <w:shd w:val="clear" w:color="auto" w:fill="FFFFFF"/>
        </w:rPr>
        <w:t>discussi in precedenza</w:t>
      </w:r>
      <w:r w:rsidRPr="00B92F4F">
        <w:rPr>
          <w:rStyle w:val="Rimandonotaapidipagina"/>
          <w:rFonts w:ascii="Times New Roman" w:eastAsia="Times New Roman" w:hAnsi="Times New Roman" w:cs="Times New Roman"/>
          <w:iCs/>
          <w:color w:val="222222"/>
          <w:shd w:val="clear" w:color="auto" w:fill="FFFFFF"/>
        </w:rPr>
        <w:footnoteReference w:id="626"/>
      </w:r>
      <w:r w:rsidRPr="00B92F4F">
        <w:rPr>
          <w:rFonts w:ascii="Times New Roman" w:eastAsia="Times New Roman" w:hAnsi="Times New Roman" w:cs="Times New Roman"/>
          <w:iCs/>
          <w:color w:val="222222"/>
          <w:shd w:val="clear" w:color="auto" w:fill="FFFFFF"/>
        </w:rPr>
        <w:t xml:space="preserve">. Ripresa la teoria lurianica dello </w:t>
      </w:r>
      <w:r w:rsidRPr="00B92F4F">
        <w:rPr>
          <w:rFonts w:ascii="Times New Roman" w:eastAsia="Times New Roman" w:hAnsi="Times New Roman" w:cs="Times New Roman"/>
          <w:i/>
          <w:iCs/>
          <w:color w:val="222222"/>
          <w:shd w:val="clear" w:color="auto" w:fill="FFFFFF"/>
        </w:rPr>
        <w:t>tzimtzum</w:t>
      </w:r>
      <w:r w:rsidRPr="00B92F4F">
        <w:rPr>
          <w:rFonts w:ascii="Times New Roman" w:eastAsia="Times New Roman" w:hAnsi="Times New Roman" w:cs="Times New Roman"/>
          <w:iCs/>
          <w:color w:val="222222"/>
          <w:shd w:val="clear" w:color="auto" w:fill="FFFFFF"/>
        </w:rPr>
        <w:t xml:space="preserve">, Herrera sostiene che Dio, in principio infinitamente esteso </w:t>
      </w:r>
      <w:r w:rsidR="001C7409">
        <w:rPr>
          <w:rFonts w:ascii="Times New Roman" w:eastAsia="Times New Roman" w:hAnsi="Times New Roman" w:cs="Times New Roman"/>
          <w:iCs/>
          <w:color w:val="222222"/>
          <w:shd w:val="clear" w:color="auto" w:fill="FFFFFF"/>
        </w:rPr>
        <w:t>nello spazio, si è contratto e h</w:t>
      </w:r>
      <w:r w:rsidRPr="00B92F4F">
        <w:rPr>
          <w:rFonts w:ascii="Times New Roman" w:eastAsia="Times New Roman" w:hAnsi="Times New Roman" w:cs="Times New Roman"/>
          <w:iCs/>
          <w:color w:val="222222"/>
          <w:shd w:val="clear" w:color="auto" w:fill="FFFFFF"/>
        </w:rPr>
        <w:t>a lasciato uno spazio vuoto in cui rendere manifesta la propria potenza creatrice. Alla contrazione segue un’attività espansiva, attraverso cui Dio manifesta se stesso – secondo la disposizione circolare e concentrica delle sue determinazioni essenziali (</w:t>
      </w:r>
      <w:r w:rsidRPr="00B92F4F">
        <w:rPr>
          <w:rFonts w:ascii="Times New Roman" w:eastAsia="Times New Roman" w:hAnsi="Times New Roman" w:cs="Times New Roman"/>
          <w:i/>
          <w:iCs/>
          <w:color w:val="222222"/>
          <w:shd w:val="clear" w:color="auto" w:fill="FFFFFF"/>
        </w:rPr>
        <w:t>Sefiroth</w:t>
      </w:r>
      <w:r w:rsidR="006514A9">
        <w:rPr>
          <w:rFonts w:ascii="Times New Roman" w:eastAsia="Times New Roman" w:hAnsi="Times New Roman" w:cs="Times New Roman"/>
          <w:iCs/>
          <w:color w:val="222222"/>
          <w:shd w:val="clear" w:color="auto" w:fill="FFFFFF"/>
        </w:rPr>
        <w:t xml:space="preserve">), </w:t>
      </w:r>
      <w:r w:rsidRPr="00B92F4F">
        <w:rPr>
          <w:rFonts w:ascii="Times New Roman" w:eastAsia="Times New Roman" w:hAnsi="Times New Roman" w:cs="Times New Roman"/>
          <w:iCs/>
          <w:color w:val="222222"/>
          <w:shd w:val="clear" w:color="auto" w:fill="FFFFFF"/>
        </w:rPr>
        <w:t xml:space="preserve">di cui la </w:t>
      </w:r>
      <w:r w:rsidRPr="00B92F4F">
        <w:rPr>
          <w:rFonts w:ascii="Times New Roman" w:eastAsia="Times New Roman" w:hAnsi="Times New Roman" w:cs="Times New Roman"/>
          <w:i/>
          <w:iCs/>
          <w:color w:val="222222"/>
          <w:shd w:val="clear" w:color="auto" w:fill="FFFFFF"/>
        </w:rPr>
        <w:t>Historia critica</w:t>
      </w:r>
      <w:r w:rsidRPr="00B92F4F">
        <w:rPr>
          <w:rFonts w:ascii="Times New Roman" w:eastAsia="Times New Roman" w:hAnsi="Times New Roman" w:cs="Times New Roman"/>
          <w:iCs/>
          <w:color w:val="222222"/>
          <w:shd w:val="clear" w:color="auto" w:fill="FFFFFF"/>
        </w:rPr>
        <w:t>, ad esempio, fornisce un’esplicazione grafica</w:t>
      </w:r>
      <w:r w:rsidRPr="00B92F4F">
        <w:rPr>
          <w:rStyle w:val="Rimandonotaapidipagina"/>
          <w:rFonts w:ascii="Times New Roman" w:eastAsia="Times New Roman" w:hAnsi="Times New Roman" w:cs="Times New Roman"/>
          <w:iCs/>
          <w:color w:val="222222"/>
          <w:shd w:val="clear" w:color="auto" w:fill="FFFFFF"/>
        </w:rPr>
        <w:footnoteReference w:id="627"/>
      </w:r>
      <w:r w:rsidRPr="00B92F4F">
        <w:rPr>
          <w:rFonts w:ascii="Times New Roman" w:eastAsia="Times New Roman" w:hAnsi="Times New Roman" w:cs="Times New Roman"/>
          <w:iCs/>
          <w:color w:val="222222"/>
          <w:shd w:val="clear" w:color="auto" w:fill="FFFFFF"/>
        </w:rPr>
        <w:t xml:space="preserve"> –</w:t>
      </w:r>
      <w:r w:rsidRPr="00E57863">
        <w:rPr>
          <w:rFonts w:ascii="Times New Roman" w:eastAsia="Times New Roman" w:hAnsi="Times New Roman" w:cs="Times New Roman"/>
          <w:iCs/>
          <w:color w:val="222222"/>
          <w:shd w:val="clear" w:color="auto" w:fill="FFFFFF"/>
        </w:rPr>
        <w:t xml:space="preserve"> innescando la dinamica (emanativa) di derivazione </w:t>
      </w:r>
      <w:r>
        <w:rPr>
          <w:rFonts w:ascii="Times New Roman" w:eastAsia="Times New Roman" w:hAnsi="Times New Roman" w:cs="Times New Roman"/>
          <w:iCs/>
          <w:color w:val="222222"/>
          <w:shd w:val="clear" w:color="auto" w:fill="FFFFFF"/>
        </w:rPr>
        <w:t>del molto dall’Adam Kadmon</w:t>
      </w:r>
      <w:r w:rsidR="0052209E">
        <w:rPr>
          <w:rFonts w:ascii="Times New Roman" w:eastAsia="Times New Roman" w:hAnsi="Times New Roman" w:cs="Times New Roman"/>
          <w:iCs/>
          <w:color w:val="222222"/>
          <w:shd w:val="clear" w:color="auto" w:fill="FFFFFF"/>
        </w:rPr>
        <w:t>.</w:t>
      </w:r>
    </w:p>
    <w:p w14:paraId="1793FDC2" w14:textId="77777777" w:rsidR="002B3AF0" w:rsidRDefault="002B3AF0" w:rsidP="002B3AF0">
      <w:pPr>
        <w:spacing w:line="360" w:lineRule="auto"/>
        <w:ind w:firstLine="567"/>
        <w:jc w:val="both"/>
        <w:rPr>
          <w:rFonts w:ascii="Times New Roman" w:eastAsia="Times New Roman" w:hAnsi="Times New Roman" w:cs="Times New Roman"/>
          <w:iCs/>
          <w:color w:val="222222"/>
          <w:shd w:val="clear" w:color="auto" w:fill="FFFFFF"/>
        </w:rPr>
      </w:pPr>
    </w:p>
    <w:p w14:paraId="36F9B7A2" w14:textId="5C02EC3B" w:rsidR="00B15D71" w:rsidRDefault="0064648E" w:rsidP="0064648E">
      <w:pPr>
        <w:spacing w:line="360" w:lineRule="auto"/>
        <w:ind w:left="708" w:firstLine="708"/>
        <w:jc w:val="both"/>
        <w:rPr>
          <w:rFonts w:ascii="Times New Roman" w:eastAsia="Times New Roman" w:hAnsi="Times New Roman" w:cs="Times New Roman"/>
          <w:iCs/>
          <w:color w:val="222222"/>
          <w:shd w:val="clear" w:color="auto" w:fill="FFFFFF"/>
        </w:rPr>
      </w:pPr>
      <w:r>
        <w:rPr>
          <w:rFonts w:ascii="Times New Roman" w:eastAsia="Times New Roman" w:hAnsi="Times New Roman" w:cs="Times New Roman"/>
          <w:iCs/>
          <w:color w:val="222222"/>
          <w:shd w:val="clear" w:color="auto" w:fill="FFFFFF"/>
        </w:rPr>
        <w:t xml:space="preserve">    </w:t>
      </w:r>
      <w:r w:rsidR="00B15D71">
        <w:rPr>
          <w:rFonts w:ascii="Times New Roman" w:eastAsia="Times New Roman" w:hAnsi="Times New Roman" w:cs="Times New Roman"/>
          <w:iCs/>
          <w:noProof/>
          <w:color w:val="222222"/>
          <w:shd w:val="clear" w:color="auto" w:fill="FFFFFF"/>
        </w:rPr>
        <w:drawing>
          <wp:inline distT="0" distB="0" distL="0" distR="0" wp14:anchorId="28564133" wp14:editId="38D10799">
            <wp:extent cx="4514363" cy="3357880"/>
            <wp:effectExtent l="0" t="0" r="6985" b="0"/>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rucker 1000.png"/>
                    <pic:cNvPicPr/>
                  </pic:nvPicPr>
                  <pic:blipFill>
                    <a:blip r:embed="rId16">
                      <a:extLst>
                        <a:ext uri="{28A0092B-C50C-407E-A947-70E740481C1C}">
                          <a14:useLocalDpi xmlns:a14="http://schemas.microsoft.com/office/drawing/2010/main" val="0"/>
                        </a:ext>
                      </a:extLst>
                    </a:blip>
                    <a:stretch>
                      <a:fillRect/>
                    </a:stretch>
                  </pic:blipFill>
                  <pic:spPr>
                    <a:xfrm>
                      <a:off x="0" y="0"/>
                      <a:ext cx="4514678" cy="3358114"/>
                    </a:xfrm>
                    <a:prstGeom prst="rect">
                      <a:avLst/>
                    </a:prstGeom>
                  </pic:spPr>
                </pic:pic>
              </a:graphicData>
            </a:graphic>
          </wp:inline>
        </w:drawing>
      </w:r>
    </w:p>
    <w:p w14:paraId="6CAC0603" w14:textId="77777777" w:rsidR="00B15D71" w:rsidRDefault="00B15D71" w:rsidP="001B7751">
      <w:pPr>
        <w:spacing w:line="360" w:lineRule="auto"/>
        <w:ind w:firstLine="567"/>
        <w:jc w:val="both"/>
        <w:rPr>
          <w:rFonts w:ascii="Times New Roman" w:eastAsia="Times New Roman" w:hAnsi="Times New Roman" w:cs="Times New Roman"/>
          <w:iCs/>
          <w:color w:val="222222"/>
          <w:shd w:val="clear" w:color="auto" w:fill="FFFFFF"/>
        </w:rPr>
      </w:pPr>
    </w:p>
    <w:p w14:paraId="64C6F8E8" w14:textId="372E31A0" w:rsidR="001B7751" w:rsidRDefault="001B7751" w:rsidP="001B7751">
      <w:pPr>
        <w:spacing w:line="360" w:lineRule="auto"/>
        <w:ind w:firstLine="567"/>
        <w:jc w:val="both"/>
        <w:rPr>
          <w:rFonts w:ascii="Times New Roman" w:eastAsia="Times New Roman" w:hAnsi="Times New Roman" w:cs="Times New Roman"/>
          <w:iCs/>
          <w:color w:val="222222"/>
          <w:shd w:val="clear" w:color="auto" w:fill="FFFFFF"/>
        </w:rPr>
      </w:pPr>
      <w:r>
        <w:rPr>
          <w:rFonts w:ascii="Times New Roman" w:eastAsia="Times New Roman" w:hAnsi="Times New Roman" w:cs="Times New Roman"/>
          <w:iCs/>
          <w:color w:val="222222"/>
          <w:shd w:val="clear" w:color="auto" w:fill="FFFFFF"/>
        </w:rPr>
        <w:t xml:space="preserve"> Passaggi simili, come si ricorderà, sono contenuti anche nello </w:t>
      </w:r>
      <w:r w:rsidR="00A76F84">
        <w:rPr>
          <w:rFonts w:ascii="Times New Roman" w:eastAsia="Times New Roman" w:hAnsi="Times New Roman" w:cs="Times New Roman"/>
          <w:i/>
          <w:iCs/>
          <w:color w:val="222222"/>
          <w:shd w:val="clear" w:color="auto" w:fill="FFFFFF"/>
        </w:rPr>
        <w:t>Spinozismus in J</w:t>
      </w:r>
      <w:r w:rsidR="00A76F84">
        <w:rPr>
          <w:rFonts w:ascii="Times New Roman" w:eastAsia="Times New Roman" w:hAnsi="Times New Roman" w:cs="Times New Roman"/>
          <w:i/>
          <w:iCs/>
          <w:color w:val="222222"/>
          <w:shd w:val="clear" w:color="auto" w:fill="FFFFFF"/>
          <w:lang w:val="de-DE"/>
        </w:rPr>
        <w:t>ü</w:t>
      </w:r>
      <w:r w:rsidRPr="00641C70">
        <w:rPr>
          <w:rFonts w:ascii="Times New Roman" w:eastAsia="Times New Roman" w:hAnsi="Times New Roman" w:cs="Times New Roman"/>
          <w:i/>
          <w:iCs/>
          <w:color w:val="222222"/>
          <w:shd w:val="clear" w:color="auto" w:fill="FFFFFF"/>
        </w:rPr>
        <w:t>denthumb</w:t>
      </w:r>
      <w:r>
        <w:rPr>
          <w:rFonts w:ascii="Times New Roman" w:eastAsia="Times New Roman" w:hAnsi="Times New Roman" w:cs="Times New Roman"/>
          <w:iCs/>
          <w:color w:val="222222"/>
          <w:shd w:val="clear" w:color="auto" w:fill="FFFFFF"/>
        </w:rPr>
        <w:t xml:space="preserve"> di Wachter, che cita lo scritto di Herrera e individua nella teoria dello </w:t>
      </w:r>
      <w:r w:rsidRPr="00641C70">
        <w:rPr>
          <w:rFonts w:ascii="Times New Roman" w:eastAsia="Times New Roman" w:hAnsi="Times New Roman" w:cs="Times New Roman"/>
          <w:i/>
          <w:iCs/>
          <w:color w:val="222222"/>
          <w:shd w:val="clear" w:color="auto" w:fill="FFFFFF"/>
        </w:rPr>
        <w:t xml:space="preserve">tzimtzum </w:t>
      </w:r>
      <w:r>
        <w:rPr>
          <w:rFonts w:ascii="Times New Roman" w:eastAsia="Times New Roman" w:hAnsi="Times New Roman" w:cs="Times New Roman"/>
          <w:iCs/>
          <w:color w:val="222222"/>
          <w:shd w:val="clear" w:color="auto" w:fill="FFFFFF"/>
        </w:rPr>
        <w:t>la radice del panteismo materialistico spinoziano</w:t>
      </w:r>
      <w:r>
        <w:rPr>
          <w:rStyle w:val="Rimandonotaapidipagina"/>
          <w:rFonts w:ascii="Times New Roman" w:eastAsia="Times New Roman" w:hAnsi="Times New Roman" w:cs="Times New Roman"/>
          <w:iCs/>
          <w:color w:val="222222"/>
          <w:shd w:val="clear" w:color="auto" w:fill="FFFFFF"/>
        </w:rPr>
        <w:footnoteReference w:id="628"/>
      </w:r>
      <w:r>
        <w:rPr>
          <w:rFonts w:ascii="Times New Roman" w:eastAsia="Times New Roman" w:hAnsi="Times New Roman" w:cs="Times New Roman"/>
          <w:iCs/>
          <w:color w:val="222222"/>
          <w:shd w:val="clear" w:color="auto" w:fill="FFFFFF"/>
        </w:rPr>
        <w:t xml:space="preserve">. </w:t>
      </w:r>
      <w:r w:rsidRPr="003E0BF4">
        <w:rPr>
          <w:rFonts w:ascii="Times New Roman" w:eastAsia="Times New Roman" w:hAnsi="Times New Roman" w:cs="Times New Roman"/>
          <w:iCs/>
          <w:color w:val="222222"/>
          <w:shd w:val="clear" w:color="auto" w:fill="FFFFFF"/>
        </w:rPr>
        <w:t xml:space="preserve">Sul collegamento di questo principio lurianico con lo spinozismo, la </w:t>
      </w:r>
      <w:r w:rsidRPr="003E0BF4">
        <w:rPr>
          <w:rFonts w:ascii="Times New Roman" w:eastAsia="Times New Roman" w:hAnsi="Times New Roman" w:cs="Times New Roman"/>
          <w:i/>
          <w:iCs/>
          <w:color w:val="222222"/>
          <w:shd w:val="clear" w:color="auto" w:fill="FFFFFF"/>
        </w:rPr>
        <w:t>Lebensgeschichte</w:t>
      </w:r>
      <w:r w:rsidRPr="003E0BF4">
        <w:rPr>
          <w:rFonts w:ascii="Times New Roman" w:eastAsia="Times New Roman" w:hAnsi="Times New Roman" w:cs="Times New Roman"/>
          <w:iCs/>
          <w:color w:val="222222"/>
          <w:shd w:val="clear" w:color="auto" w:fill="FFFFFF"/>
        </w:rPr>
        <w:t xml:space="preserve"> contiene delle penetranti osservazioni, che si dissociano nettamente dai paradigmi interpretativi</w:t>
      </w:r>
      <w:r w:rsidRPr="002F0347">
        <w:rPr>
          <w:rFonts w:ascii="Times New Roman" w:eastAsia="Times New Roman" w:hAnsi="Times New Roman" w:cs="Times New Roman"/>
          <w:iCs/>
          <w:color w:val="222222"/>
          <w:shd w:val="clear" w:color="auto" w:fill="FFFFFF"/>
        </w:rPr>
        <w:t xml:space="preserve"> wachteriani. È stato ricordato il proposito di Maimon di cogliere il nucleo razionale della tradizione</w:t>
      </w:r>
      <w:r w:rsidR="006514A9">
        <w:rPr>
          <w:rFonts w:ascii="Times New Roman" w:eastAsia="Times New Roman" w:hAnsi="Times New Roman" w:cs="Times New Roman"/>
          <w:iCs/>
          <w:color w:val="222222"/>
          <w:shd w:val="clear" w:color="auto" w:fill="FFFFFF"/>
        </w:rPr>
        <w:t xml:space="preserve"> mistica ebraica. Al di là delle</w:t>
      </w:r>
      <w:r w:rsidRPr="002F0347">
        <w:rPr>
          <w:rFonts w:ascii="Times New Roman" w:eastAsia="Times New Roman" w:hAnsi="Times New Roman" w:cs="Times New Roman"/>
          <w:iCs/>
          <w:color w:val="222222"/>
          <w:shd w:val="clear" w:color="auto" w:fill="FFFFFF"/>
        </w:rPr>
        <w:t xml:space="preserve"> favole e allegorie cabbalistiche, è conservato un contenuto di pensiero esplicativo dei segreti della natura. Animato da uno spirito affine all’ermeneutica religiosa hegeliana</w:t>
      </w:r>
      <w:r w:rsidRPr="002F0347">
        <w:rPr>
          <w:rStyle w:val="Rimandonotaapidipagina"/>
          <w:rFonts w:ascii="Times New Roman" w:eastAsia="Times New Roman" w:hAnsi="Times New Roman" w:cs="Times New Roman"/>
          <w:iCs/>
          <w:color w:val="222222"/>
          <w:shd w:val="clear" w:color="auto" w:fill="FFFFFF"/>
        </w:rPr>
        <w:footnoteReference w:id="629"/>
      </w:r>
      <w:r w:rsidRPr="002F0347">
        <w:rPr>
          <w:rFonts w:ascii="Times New Roman" w:eastAsia="Times New Roman" w:hAnsi="Times New Roman" w:cs="Times New Roman"/>
          <w:iCs/>
          <w:color w:val="222222"/>
          <w:shd w:val="clear" w:color="auto" w:fill="FFFFFF"/>
        </w:rPr>
        <w:t xml:space="preserve">, Maimon s’interroga sul significato speculativo della teoria lurianica dello </w:t>
      </w:r>
      <w:r w:rsidRPr="002F0347">
        <w:rPr>
          <w:rFonts w:ascii="Times New Roman" w:eastAsia="Times New Roman" w:hAnsi="Times New Roman" w:cs="Times New Roman"/>
          <w:i/>
          <w:iCs/>
          <w:color w:val="222222"/>
          <w:shd w:val="clear" w:color="auto" w:fill="FFFFFF"/>
        </w:rPr>
        <w:t>tzimtzum</w:t>
      </w:r>
      <w:r w:rsidRPr="002F0347">
        <w:rPr>
          <w:rFonts w:ascii="Times New Roman" w:eastAsia="Times New Roman" w:hAnsi="Times New Roman" w:cs="Times New Roman"/>
          <w:iCs/>
          <w:color w:val="222222"/>
          <w:shd w:val="clear" w:color="auto" w:fill="FFFFFF"/>
        </w:rPr>
        <w:t>:</w:t>
      </w:r>
    </w:p>
    <w:p w14:paraId="4047CB66" w14:textId="77777777" w:rsidR="001B7751" w:rsidRPr="00B63CFE" w:rsidRDefault="001B7751" w:rsidP="001B7751">
      <w:pPr>
        <w:spacing w:line="360" w:lineRule="auto"/>
        <w:ind w:left="567" w:firstLine="567"/>
        <w:jc w:val="both"/>
        <w:rPr>
          <w:rFonts w:ascii="Times New Roman" w:eastAsia="Times New Roman" w:hAnsi="Times New Roman" w:cs="Times New Roman"/>
          <w:iCs/>
          <w:color w:val="222222"/>
          <w:shd w:val="clear" w:color="auto" w:fill="FFFFFF"/>
        </w:rPr>
      </w:pPr>
    </w:p>
    <w:p w14:paraId="1D52F035" w14:textId="5DA79C25" w:rsidR="001B7751" w:rsidRPr="00B63CFE" w:rsidRDefault="001B7751" w:rsidP="001B7751">
      <w:pPr>
        <w:spacing w:line="360" w:lineRule="auto"/>
        <w:ind w:left="567" w:firstLine="567"/>
        <w:jc w:val="both"/>
        <w:rPr>
          <w:rFonts w:ascii="Times New Roman" w:hAnsi="Times New Roman" w:cs="Times New Roman"/>
          <w:sz w:val="20"/>
          <w:szCs w:val="20"/>
        </w:rPr>
      </w:pPr>
      <w:r w:rsidRPr="00B63CFE">
        <w:rPr>
          <w:rFonts w:ascii="Times New Roman" w:eastAsia="Times New Roman" w:hAnsi="Times New Roman" w:cs="Times New Roman"/>
          <w:iCs/>
          <w:color w:val="222222"/>
          <w:sz w:val="20"/>
          <w:szCs w:val="20"/>
          <w:shd w:val="clear" w:color="auto" w:fill="FFFFFF"/>
          <w:lang w:val="de-DE"/>
        </w:rPr>
        <w:t>«Ich konnte mir auf keinerley Art vorstell</w:t>
      </w:r>
      <w:r w:rsidR="006514A9">
        <w:rPr>
          <w:rFonts w:ascii="Times New Roman" w:eastAsia="Times New Roman" w:hAnsi="Times New Roman" w:cs="Times New Roman"/>
          <w:iCs/>
          <w:color w:val="222222"/>
          <w:sz w:val="20"/>
          <w:szCs w:val="20"/>
          <w:shd w:val="clear" w:color="auto" w:fill="FFFFFF"/>
          <w:lang w:val="de-DE"/>
        </w:rPr>
        <w:t>en, daß dieses alles in gemeinem</w:t>
      </w:r>
      <w:r w:rsidRPr="00B63CFE">
        <w:rPr>
          <w:rFonts w:ascii="Times New Roman" w:eastAsia="Times New Roman" w:hAnsi="Times New Roman" w:cs="Times New Roman"/>
          <w:iCs/>
          <w:color w:val="222222"/>
          <w:sz w:val="20"/>
          <w:szCs w:val="20"/>
          <w:shd w:val="clear" w:color="auto" w:fill="FFFFFF"/>
          <w:lang w:val="de-DE"/>
        </w:rPr>
        <w:t xml:space="preserve"> Sinne der Worte wahr seyn sollte, so wie beynahe alle Kabbalisten es sich vorstellen. Eben so wenig konnte ich mir vorstellen, daß, ehe die Welt erschaffen worden, eine Zeit verflosse</w:t>
      </w:r>
      <w:r>
        <w:rPr>
          <w:rFonts w:ascii="Times New Roman" w:eastAsia="Times New Roman" w:hAnsi="Times New Roman" w:cs="Times New Roman"/>
          <w:iCs/>
          <w:color w:val="222222"/>
          <w:sz w:val="20"/>
          <w:szCs w:val="20"/>
          <w:shd w:val="clear" w:color="auto" w:fill="FFFFFF"/>
          <w:lang w:val="de-DE"/>
        </w:rPr>
        <w:t>n sey, indem ich aus meinem More</w:t>
      </w:r>
      <w:r w:rsidRPr="00B63CFE">
        <w:rPr>
          <w:rFonts w:ascii="Times New Roman" w:eastAsia="Times New Roman" w:hAnsi="Times New Roman" w:cs="Times New Roman"/>
          <w:iCs/>
          <w:color w:val="222222"/>
          <w:sz w:val="20"/>
          <w:szCs w:val="20"/>
          <w:shd w:val="clear" w:color="auto" w:fill="FFFFFF"/>
          <w:lang w:val="de-DE"/>
        </w:rPr>
        <w:t xml:space="preserve"> Newochim wußte, daß die Zeit bloß eine Modifikation der Welt sey, und folglich ohne diese nicht gedacht werden könnte. Ich konnte mir nicht vorstellen, daß Gott einen, obgleich unendlichen Raum erfülle; ferner, daß er als ein unendlich vollkommenes Wesen, seine eigene Vollkommenheit auf eine zirkelförmige Art in seinem Mittelpunkt einschränken sollte</w:t>
      </w:r>
      <w:r w:rsidRPr="00B63CFE">
        <w:rPr>
          <w:rFonts w:ascii="Times New Roman" w:hAnsi="Times New Roman" w:cs="Times New Roman"/>
          <w:sz w:val="20"/>
          <w:szCs w:val="20"/>
          <w:lang w:val="de-DE"/>
        </w:rPr>
        <w:t>n</w:t>
      </w:r>
      <w:r w:rsidRPr="00B63CFE">
        <w:rPr>
          <w:rFonts w:ascii="Times New Roman" w:hAnsi="Times New Roman" w:cs="Times New Roman"/>
          <w:sz w:val="20"/>
          <w:szCs w:val="20"/>
        </w:rPr>
        <w:t>»</w:t>
      </w:r>
      <w:r w:rsidRPr="00B63CFE">
        <w:rPr>
          <w:rStyle w:val="Rimandonotaapidipagina"/>
          <w:rFonts w:ascii="Times New Roman" w:eastAsia="Times New Roman" w:hAnsi="Times New Roman" w:cs="Times New Roman"/>
          <w:iCs/>
          <w:color w:val="222222"/>
          <w:sz w:val="20"/>
          <w:szCs w:val="20"/>
          <w:shd w:val="clear" w:color="auto" w:fill="FFFFFF"/>
          <w:lang w:val="de-DE"/>
        </w:rPr>
        <w:footnoteReference w:id="630"/>
      </w:r>
      <w:r w:rsidRPr="00B63CFE">
        <w:rPr>
          <w:rFonts w:ascii="Times New Roman" w:hAnsi="Times New Roman" w:cs="Times New Roman"/>
          <w:sz w:val="20"/>
          <w:szCs w:val="20"/>
        </w:rPr>
        <w:t>.</w:t>
      </w:r>
    </w:p>
    <w:p w14:paraId="11D5E72A" w14:textId="77777777" w:rsidR="001B7751" w:rsidRDefault="001B7751" w:rsidP="001B7751">
      <w:pPr>
        <w:spacing w:line="360" w:lineRule="auto"/>
        <w:ind w:left="567" w:firstLine="567"/>
        <w:jc w:val="both"/>
        <w:rPr>
          <w:rFonts w:ascii="Times New Roman" w:hAnsi="Times New Roman" w:cs="Times New Roman"/>
        </w:rPr>
      </w:pPr>
    </w:p>
    <w:p w14:paraId="5611FBCA" w14:textId="77777777" w:rsidR="001B7751" w:rsidRDefault="001B7751" w:rsidP="001B7751">
      <w:pPr>
        <w:spacing w:line="360" w:lineRule="auto"/>
        <w:ind w:firstLine="567"/>
        <w:jc w:val="both"/>
        <w:rPr>
          <w:rFonts w:ascii="Times New Roman" w:eastAsia="Times New Roman" w:hAnsi="Times New Roman" w:cs="Times New Roman"/>
          <w:iCs/>
          <w:color w:val="222222"/>
          <w:shd w:val="clear" w:color="auto" w:fill="FFFFFF"/>
        </w:rPr>
      </w:pPr>
      <w:r w:rsidRPr="00E57863">
        <w:rPr>
          <w:rFonts w:ascii="Times New Roman" w:eastAsia="Times New Roman" w:hAnsi="Times New Roman" w:cs="Times New Roman"/>
          <w:iCs/>
          <w:color w:val="222222"/>
          <w:shd w:val="clear" w:color="auto" w:fill="FFFFFF"/>
        </w:rPr>
        <w:t xml:space="preserve">Contrariamente ai cabbalisti, che sono attaccati al senso letterale dell’insegnamento lurianico, Maimon afferma che non è possibile arrestarsi al significato ordinario delle parole, che occultano la razionalità insita nella dottrina dello </w:t>
      </w:r>
      <w:r w:rsidRPr="00E57863">
        <w:rPr>
          <w:rFonts w:ascii="Times New Roman" w:eastAsia="Times New Roman" w:hAnsi="Times New Roman" w:cs="Times New Roman"/>
          <w:i/>
          <w:iCs/>
          <w:color w:val="222222"/>
          <w:shd w:val="clear" w:color="auto" w:fill="FFFFFF"/>
        </w:rPr>
        <w:t>tzimtzum</w:t>
      </w:r>
      <w:r>
        <w:rPr>
          <w:rFonts w:ascii="Times New Roman" w:eastAsia="Times New Roman" w:hAnsi="Times New Roman" w:cs="Times New Roman"/>
          <w:iCs/>
          <w:color w:val="222222"/>
          <w:shd w:val="clear" w:color="auto" w:fill="FFFFFF"/>
        </w:rPr>
        <w:t xml:space="preserve">. Se non fosse compiuto questo passo interpretativo ulteriore, si potrebbero considerare vere cose che vere non sono. Ad esempio: che fosse trascorso del tempo </w:t>
      </w:r>
      <w:r w:rsidRPr="00E57863">
        <w:rPr>
          <w:rFonts w:ascii="Times New Roman" w:eastAsia="Times New Roman" w:hAnsi="Times New Roman" w:cs="Times New Roman"/>
          <w:iCs/>
          <w:color w:val="222222"/>
          <w:shd w:val="clear" w:color="auto" w:fill="FFFFFF"/>
        </w:rPr>
        <w:t xml:space="preserve">prima della creazione, o che Dio, nonostante la perfezione della sua natura, si fosse dovuto limitare ad una forma circolare. La creazione non è collocabile nel tempo, perché il tempo, come insegna </w:t>
      </w:r>
      <w:r w:rsidRPr="00E57863">
        <w:rPr>
          <w:rFonts w:ascii="Times New Roman" w:eastAsia="Times New Roman" w:hAnsi="Times New Roman" w:cs="Times New Roman"/>
          <w:i/>
          <w:iCs/>
          <w:color w:val="222222"/>
          <w:shd w:val="clear" w:color="auto" w:fill="FFFFFF"/>
        </w:rPr>
        <w:t xml:space="preserve">La guida dei perplessi </w:t>
      </w:r>
      <w:r w:rsidRPr="00E57863">
        <w:rPr>
          <w:rFonts w:ascii="Times New Roman" w:eastAsia="Times New Roman" w:hAnsi="Times New Roman" w:cs="Times New Roman"/>
          <w:iCs/>
          <w:color w:val="222222"/>
          <w:shd w:val="clear" w:color="auto" w:fill="FFFFFF"/>
        </w:rPr>
        <w:t>di Maimonide, è una modificazione del mondo, che non sussiste indipendentemente da esso. Del pari, è contraddittorio pensare che ciò che è in sé perfetto – l’En-sof – introduca una limitazione, ossia una forma d’imperfezione, nella pienezza del proprio essere. Evidenziate le inconseguenze teorico-argomentative legate ad un’analisi letterale del pensiero lurianico, Maimon fornisce al lettore quello che ritiene essere il significato profondo delle parole di Luria:</w:t>
      </w:r>
    </w:p>
    <w:p w14:paraId="0AF563CE" w14:textId="77777777" w:rsidR="001B7751" w:rsidRDefault="001B7751" w:rsidP="001B7751">
      <w:pPr>
        <w:spacing w:line="360" w:lineRule="auto"/>
        <w:ind w:left="567" w:firstLine="567"/>
        <w:jc w:val="both"/>
        <w:rPr>
          <w:rFonts w:ascii="Times New Roman" w:eastAsia="Times New Roman" w:hAnsi="Times New Roman" w:cs="Times New Roman"/>
          <w:iCs/>
          <w:color w:val="222222"/>
          <w:shd w:val="clear" w:color="auto" w:fill="FFFFFF"/>
        </w:rPr>
      </w:pPr>
    </w:p>
    <w:p w14:paraId="03028D23" w14:textId="0CCD1BC3" w:rsidR="001B7751" w:rsidRPr="009B6BE7" w:rsidRDefault="001B7751" w:rsidP="001B7751">
      <w:pPr>
        <w:spacing w:line="360" w:lineRule="auto"/>
        <w:ind w:left="567" w:firstLine="567"/>
        <w:jc w:val="both"/>
        <w:rPr>
          <w:rFonts w:ascii="Times New Roman" w:hAnsi="Times New Roman" w:cs="Times New Roman"/>
          <w:sz w:val="20"/>
          <w:szCs w:val="20"/>
        </w:rPr>
      </w:pPr>
      <w:r w:rsidRPr="009B6BE7">
        <w:rPr>
          <w:rFonts w:ascii="Times New Roman" w:eastAsia="Times New Roman" w:hAnsi="Times New Roman" w:cs="Times New Roman"/>
          <w:iCs/>
          <w:color w:val="222222"/>
          <w:sz w:val="20"/>
          <w:szCs w:val="20"/>
          <w:shd w:val="clear" w:color="auto" w:fill="FFFFFF"/>
          <w:lang w:val="de-DE"/>
        </w:rPr>
        <w:t>«</w:t>
      </w:r>
      <w:r>
        <w:rPr>
          <w:rFonts w:ascii="Times New Roman" w:eastAsia="Times New Roman" w:hAnsi="Times New Roman" w:cs="Times New Roman"/>
          <w:iCs/>
          <w:color w:val="222222"/>
          <w:sz w:val="20"/>
          <w:szCs w:val="20"/>
          <w:shd w:val="clear" w:color="auto" w:fill="FFFFFF"/>
          <w:lang w:val="de-DE"/>
        </w:rPr>
        <w:t xml:space="preserve">Sondern ich suchte mir dieses alles auf folgende Art zu erklären: </w:t>
      </w:r>
      <w:r w:rsidRPr="009B6BE7">
        <w:rPr>
          <w:rFonts w:ascii="Times New Roman" w:eastAsia="Times New Roman" w:hAnsi="Times New Roman" w:cs="Times New Roman"/>
          <w:iCs/>
          <w:color w:val="222222"/>
          <w:sz w:val="20"/>
          <w:szCs w:val="20"/>
          <w:shd w:val="clear" w:color="auto" w:fill="FFFFFF"/>
          <w:lang w:val="de-DE"/>
        </w:rPr>
        <w:t>Gott ist nicht der Zeit nach, sondern seinem nothwendigen Wesen nach, als Beding</w:t>
      </w:r>
      <w:r>
        <w:rPr>
          <w:rFonts w:ascii="Times New Roman" w:eastAsia="Times New Roman" w:hAnsi="Times New Roman" w:cs="Times New Roman"/>
          <w:iCs/>
          <w:color w:val="222222"/>
          <w:sz w:val="20"/>
          <w:szCs w:val="20"/>
          <w:shd w:val="clear" w:color="auto" w:fill="FFFFFF"/>
          <w:lang w:val="de-DE"/>
        </w:rPr>
        <w:t>ung der Welt, eher als dieselbe.</w:t>
      </w:r>
      <w:r w:rsidRPr="009B6BE7">
        <w:rPr>
          <w:rFonts w:ascii="Times New Roman" w:eastAsia="Times New Roman" w:hAnsi="Times New Roman" w:cs="Times New Roman"/>
          <w:iCs/>
          <w:color w:val="222222"/>
          <w:sz w:val="20"/>
          <w:szCs w:val="20"/>
          <w:shd w:val="clear" w:color="auto" w:fill="FFFFFF"/>
          <w:lang w:val="de-DE"/>
        </w:rPr>
        <w:t xml:space="preserve"> Alle Dinge außer Gott mußten, sowohl ihrem Wesen, als ihrer Existenz nach, von ihm als ihrer Ursache abhängen. Die Erschaffung der Welt konnte also nicht als eine Hervorbringung aus nichts, auch nicht als eine Bildung eines, von ihm Unabhängigen, sondern nur als eine Hervorbringung aus sich selbst gedacht werden. Und da die Wesen von verschiedenen Graden der Vollkommenheit sind, so müssen wir zur Erklärung ihrer Entstehungsart verschieden Grade der Einschränkung des göttlichen Wesen</w:t>
      </w:r>
      <w:r w:rsidR="00986F06">
        <w:rPr>
          <w:rFonts w:ascii="Times New Roman" w:eastAsia="Times New Roman" w:hAnsi="Times New Roman" w:cs="Times New Roman"/>
          <w:iCs/>
          <w:color w:val="222222"/>
          <w:sz w:val="20"/>
          <w:szCs w:val="20"/>
          <w:shd w:val="clear" w:color="auto" w:fill="FFFFFF"/>
          <w:lang w:val="de-DE"/>
        </w:rPr>
        <w:t>s</w:t>
      </w:r>
      <w:r w:rsidRPr="009B6BE7">
        <w:rPr>
          <w:rFonts w:ascii="Times New Roman" w:eastAsia="Times New Roman" w:hAnsi="Times New Roman" w:cs="Times New Roman"/>
          <w:iCs/>
          <w:color w:val="222222"/>
          <w:sz w:val="20"/>
          <w:szCs w:val="20"/>
          <w:shd w:val="clear" w:color="auto" w:fill="FFFFFF"/>
          <w:lang w:val="de-DE"/>
        </w:rPr>
        <w:t xml:space="preserve"> annehmen. Da nun diese Einschränkung grade von unendlichen Wesen bis zu der Materia gedacht werden muß, so stellen wir uns den Anfang dieser Einschränkung figürlich als einen Mittelpunkt (den niedrigsten Punkt) des Unendlichen vor</w:t>
      </w:r>
      <w:r w:rsidRPr="009B6BE7">
        <w:rPr>
          <w:rFonts w:ascii="Times New Roman" w:hAnsi="Times New Roman" w:cs="Times New Roman"/>
          <w:sz w:val="20"/>
          <w:szCs w:val="20"/>
        </w:rPr>
        <w:t>»</w:t>
      </w:r>
      <w:r w:rsidRPr="009B6BE7">
        <w:rPr>
          <w:rStyle w:val="Rimandonotaapidipagina"/>
          <w:rFonts w:ascii="Times New Roman" w:eastAsia="Times New Roman" w:hAnsi="Times New Roman" w:cs="Times New Roman"/>
          <w:iCs/>
          <w:color w:val="222222"/>
          <w:sz w:val="20"/>
          <w:szCs w:val="20"/>
          <w:shd w:val="clear" w:color="auto" w:fill="FFFFFF"/>
          <w:lang w:val="de-DE"/>
        </w:rPr>
        <w:footnoteReference w:id="631"/>
      </w:r>
      <w:r w:rsidRPr="009B6BE7">
        <w:rPr>
          <w:rFonts w:ascii="Times New Roman" w:hAnsi="Times New Roman" w:cs="Times New Roman"/>
          <w:sz w:val="20"/>
          <w:szCs w:val="20"/>
        </w:rPr>
        <w:t>.</w:t>
      </w:r>
    </w:p>
    <w:p w14:paraId="13ED2D24" w14:textId="77777777" w:rsidR="001B7751" w:rsidRPr="00365B5F" w:rsidRDefault="001B7751" w:rsidP="001B7751">
      <w:pPr>
        <w:spacing w:line="360" w:lineRule="auto"/>
        <w:ind w:firstLine="567"/>
        <w:jc w:val="both"/>
        <w:rPr>
          <w:rFonts w:ascii="Times New Roman" w:hAnsi="Times New Roman" w:cs="Times New Roman"/>
        </w:rPr>
      </w:pPr>
    </w:p>
    <w:p w14:paraId="0CE9851E" w14:textId="56F9F176" w:rsidR="001B7751" w:rsidRDefault="001B7751" w:rsidP="001B7751">
      <w:pPr>
        <w:spacing w:line="360" w:lineRule="auto"/>
        <w:ind w:firstLine="567"/>
        <w:jc w:val="both"/>
        <w:rPr>
          <w:rFonts w:ascii="Times New Roman" w:hAnsi="Times New Roman" w:cs="Times New Roman"/>
        </w:rPr>
      </w:pPr>
      <w:r w:rsidRPr="00365B5F">
        <w:rPr>
          <w:rFonts w:ascii="Times New Roman" w:hAnsi="Times New Roman" w:cs="Times New Roman"/>
        </w:rPr>
        <w:t>Non trascorre del tempo prima che Dio crei il mondo, né tantomeno Dio si qualifica come Dio creando il mondo nel tempo. N</w:t>
      </w:r>
      <w:r w:rsidR="00136CFC" w:rsidRPr="00365B5F">
        <w:rPr>
          <w:rFonts w:ascii="Times New Roman" w:hAnsi="Times New Roman" w:cs="Times New Roman"/>
        </w:rPr>
        <w:t>on è pensabile né l</w:t>
      </w:r>
      <w:r w:rsidRPr="00365B5F">
        <w:rPr>
          <w:rFonts w:ascii="Times New Roman" w:hAnsi="Times New Roman" w:cs="Times New Roman"/>
        </w:rPr>
        <w:t xml:space="preserve">a creazione dal nulla </w:t>
      </w:r>
      <w:r w:rsidR="00136CFC" w:rsidRPr="00365B5F">
        <w:rPr>
          <w:rFonts w:ascii="Times New Roman" w:hAnsi="Times New Roman" w:cs="Times New Roman"/>
        </w:rPr>
        <w:t xml:space="preserve">né </w:t>
      </w:r>
      <w:r w:rsidRPr="00365B5F">
        <w:rPr>
          <w:rFonts w:ascii="Times New Roman" w:hAnsi="Times New Roman" w:cs="Times New Roman"/>
        </w:rPr>
        <w:t>la formazione (</w:t>
      </w:r>
      <w:r w:rsidRPr="00365B5F">
        <w:rPr>
          <w:rFonts w:ascii="Times New Roman" w:hAnsi="Times New Roman" w:cs="Times New Roman"/>
          <w:i/>
        </w:rPr>
        <w:t>Bildung</w:t>
      </w:r>
      <w:r w:rsidRPr="00365B5F">
        <w:rPr>
          <w:rFonts w:ascii="Times New Roman" w:hAnsi="Times New Roman" w:cs="Times New Roman"/>
        </w:rPr>
        <w:t>) di un mondo indipendente (</w:t>
      </w:r>
      <w:r w:rsidRPr="00365B5F">
        <w:rPr>
          <w:rFonts w:ascii="Times New Roman" w:eastAsia="Times New Roman" w:hAnsi="Times New Roman" w:cs="Times New Roman"/>
          <w:i/>
          <w:iCs/>
          <w:color w:val="222222"/>
          <w:shd w:val="clear" w:color="auto" w:fill="FFFFFF"/>
          <w:lang w:val="de-DE"/>
        </w:rPr>
        <w:t>unabhängig</w:t>
      </w:r>
      <w:r w:rsidR="00136CFC" w:rsidRPr="00365B5F">
        <w:rPr>
          <w:rFonts w:ascii="Times New Roman" w:hAnsi="Times New Roman" w:cs="Times New Roman"/>
        </w:rPr>
        <w:t>) da Dio</w:t>
      </w:r>
      <w:r w:rsidRPr="00365B5F">
        <w:rPr>
          <w:rFonts w:ascii="Times New Roman" w:hAnsi="Times New Roman" w:cs="Times New Roman"/>
        </w:rPr>
        <w:t xml:space="preserve"> </w:t>
      </w:r>
      <w:r w:rsidR="00136CFC" w:rsidRPr="00365B5F">
        <w:rPr>
          <w:rFonts w:ascii="Times New Roman" w:hAnsi="Times New Roman" w:cs="Times New Roman"/>
        </w:rPr>
        <w:t>(</w:t>
      </w:r>
      <w:r w:rsidRPr="00365B5F">
        <w:rPr>
          <w:rFonts w:ascii="Times New Roman" w:hAnsi="Times New Roman" w:cs="Times New Roman"/>
        </w:rPr>
        <w:t>in quest</w:t>
      </w:r>
      <w:r w:rsidR="00136CFC" w:rsidRPr="00365B5F">
        <w:rPr>
          <w:rFonts w:ascii="Times New Roman" w:hAnsi="Times New Roman" w:cs="Times New Roman"/>
        </w:rPr>
        <w:t>’ultim</w:t>
      </w:r>
      <w:r w:rsidRPr="00365B5F">
        <w:rPr>
          <w:rFonts w:ascii="Times New Roman" w:hAnsi="Times New Roman" w:cs="Times New Roman"/>
        </w:rPr>
        <w:t>o caso rimarrebbe elusa la ragione dell’essere per sé del mondo</w:t>
      </w:r>
      <w:r w:rsidR="00136CFC" w:rsidRPr="00365B5F">
        <w:rPr>
          <w:rFonts w:ascii="Times New Roman" w:hAnsi="Times New Roman" w:cs="Times New Roman"/>
        </w:rPr>
        <w:t>)</w:t>
      </w:r>
      <w:r w:rsidRPr="00365B5F">
        <w:rPr>
          <w:rFonts w:ascii="Times New Roman" w:hAnsi="Times New Roman" w:cs="Times New Roman"/>
        </w:rPr>
        <w:t>.</w:t>
      </w:r>
      <w:r>
        <w:rPr>
          <w:rFonts w:ascii="Times New Roman" w:hAnsi="Times New Roman" w:cs="Times New Roman"/>
        </w:rPr>
        <w:t xml:space="preserve"> La creazione è una dinamica interna all’essenza divina: tutto ciò che è, contrae la sua essenza e esistenza da Dio, che a partire da sé, non da altro, determina l’organizzazione della realtà. La contrazione dell’essenza infinita, da cui si propagano contrazioni successive (si pensi alla </w:t>
      </w:r>
      <w:r w:rsidRPr="001B0408">
        <w:rPr>
          <w:rFonts w:ascii="Times New Roman" w:hAnsi="Times New Roman" w:cs="Times New Roman"/>
          <w:i/>
        </w:rPr>
        <w:t>Porta Coelorum</w:t>
      </w:r>
      <w:r>
        <w:rPr>
          <w:rFonts w:ascii="Times New Roman" w:hAnsi="Times New Roman" w:cs="Times New Roman"/>
        </w:rPr>
        <w:t>)</w:t>
      </w:r>
      <w:r>
        <w:rPr>
          <w:rStyle w:val="Rimandonotaapidipagina"/>
          <w:rFonts w:ascii="Times New Roman" w:hAnsi="Times New Roman" w:cs="Times New Roman"/>
        </w:rPr>
        <w:footnoteReference w:id="632"/>
      </w:r>
      <w:r>
        <w:rPr>
          <w:rFonts w:ascii="Times New Roman" w:hAnsi="Times New Roman" w:cs="Times New Roman"/>
        </w:rPr>
        <w:t xml:space="preserve">, permette di pensare la divinità come causa di tutto ciò che è. </w:t>
      </w:r>
      <w:r w:rsidRPr="003C13A3">
        <w:rPr>
          <w:rFonts w:ascii="Times New Roman" w:hAnsi="Times New Roman" w:cs="Times New Roman"/>
        </w:rPr>
        <w:t xml:space="preserve">La Qabbalah esprime in modo figurato la necessità di concepire la creazione come un atto immanente a Dio, che determina l’esserci del mondo a partire dalla necessità della sua natura. </w:t>
      </w:r>
      <w:r w:rsidRPr="00E57863">
        <w:rPr>
          <w:rFonts w:ascii="Times New Roman" w:hAnsi="Times New Roman" w:cs="Times New Roman"/>
        </w:rPr>
        <w:t>Questo esserci non si autonomizza dalla causa che lo pone in essere, ma conserva in sé l’impronta della divinità, di ciò da cui dipende idealmente (essenza) e realmente (essere).</w:t>
      </w:r>
      <w:r>
        <w:rPr>
          <w:rFonts w:ascii="Times New Roman" w:hAnsi="Times New Roman" w:cs="Times New Roman"/>
        </w:rPr>
        <w:t xml:space="preserve"> </w:t>
      </w:r>
    </w:p>
    <w:p w14:paraId="75A47B81" w14:textId="77777777" w:rsidR="001B7751" w:rsidRDefault="001B7751" w:rsidP="001B7751">
      <w:pPr>
        <w:spacing w:line="360" w:lineRule="auto"/>
        <w:ind w:firstLine="567"/>
        <w:jc w:val="both"/>
        <w:rPr>
          <w:rFonts w:ascii="Times New Roman" w:hAnsi="Times New Roman" w:cs="Times New Roman"/>
        </w:rPr>
      </w:pPr>
      <w:r>
        <w:rPr>
          <w:rFonts w:ascii="Times New Roman" w:hAnsi="Times New Roman" w:cs="Times New Roman"/>
        </w:rPr>
        <w:t xml:space="preserve">A questo punto, ritengo utile analizzare il lessico di questo passo della </w:t>
      </w:r>
      <w:r w:rsidRPr="00A31702">
        <w:rPr>
          <w:rFonts w:ascii="Times New Roman" w:hAnsi="Times New Roman" w:cs="Times New Roman"/>
          <w:i/>
        </w:rPr>
        <w:t>Lebensgeschichte</w:t>
      </w:r>
      <w:r>
        <w:rPr>
          <w:rFonts w:ascii="Times New Roman" w:hAnsi="Times New Roman" w:cs="Times New Roman"/>
        </w:rPr>
        <w:t xml:space="preserve">. Non è difficile vedere come Maimon utilizzi una terminologia </w:t>
      </w:r>
      <w:r w:rsidRPr="00CC35D2">
        <w:rPr>
          <w:rFonts w:ascii="Times New Roman" w:hAnsi="Times New Roman" w:cs="Times New Roman"/>
          <w:i/>
        </w:rPr>
        <w:t>spinoziana</w:t>
      </w:r>
      <w:r>
        <w:rPr>
          <w:rFonts w:ascii="Times New Roman" w:hAnsi="Times New Roman" w:cs="Times New Roman"/>
        </w:rPr>
        <w:t xml:space="preserve"> per rendere intellegibile la teoria lurianica dello </w:t>
      </w:r>
      <w:r w:rsidRPr="00A31702">
        <w:rPr>
          <w:rFonts w:ascii="Times New Roman" w:hAnsi="Times New Roman" w:cs="Times New Roman"/>
          <w:i/>
        </w:rPr>
        <w:t>tzimtzum</w:t>
      </w:r>
      <w:r>
        <w:rPr>
          <w:rFonts w:ascii="Times New Roman" w:hAnsi="Times New Roman" w:cs="Times New Roman"/>
        </w:rPr>
        <w:t xml:space="preserve">. </w:t>
      </w:r>
      <w:r w:rsidRPr="002F0347">
        <w:rPr>
          <w:rFonts w:ascii="Times New Roman" w:hAnsi="Times New Roman" w:cs="Times New Roman"/>
        </w:rPr>
        <w:t xml:space="preserve">La negazione di una creazione dal nulla, la definizione di Dio come essenza necessaria (e con ciò assolutamente libera) e la dipendenza </w:t>
      </w:r>
      <w:r w:rsidRPr="002F0347">
        <w:rPr>
          <w:rFonts w:ascii="Times New Roman" w:hAnsi="Times New Roman" w:cs="Times New Roman"/>
          <w:i/>
        </w:rPr>
        <w:t>ideale</w:t>
      </w:r>
      <w:r w:rsidRPr="002F0347">
        <w:rPr>
          <w:rFonts w:ascii="Times New Roman" w:hAnsi="Times New Roman" w:cs="Times New Roman"/>
        </w:rPr>
        <w:t xml:space="preserve"> e </w:t>
      </w:r>
      <w:r w:rsidRPr="002F0347">
        <w:rPr>
          <w:rFonts w:ascii="Times New Roman" w:hAnsi="Times New Roman" w:cs="Times New Roman"/>
          <w:i/>
        </w:rPr>
        <w:t xml:space="preserve">reale </w:t>
      </w:r>
      <w:r w:rsidRPr="002F0347">
        <w:rPr>
          <w:rFonts w:ascii="Times New Roman" w:hAnsi="Times New Roman" w:cs="Times New Roman"/>
        </w:rPr>
        <w:t xml:space="preserve">di ogni cosa da Dio sono nozioni facilmente reperibili </w:t>
      </w:r>
      <w:r w:rsidRPr="00251239">
        <w:rPr>
          <w:rFonts w:ascii="Times New Roman" w:hAnsi="Times New Roman" w:cs="Times New Roman"/>
        </w:rPr>
        <w:t>nell’</w:t>
      </w:r>
      <w:r w:rsidRPr="002F0347">
        <w:rPr>
          <w:rFonts w:ascii="Times New Roman" w:hAnsi="Times New Roman" w:cs="Times New Roman"/>
          <w:i/>
        </w:rPr>
        <w:t xml:space="preserve">Ethica </w:t>
      </w:r>
      <w:r w:rsidRPr="002F0347">
        <w:rPr>
          <w:rFonts w:ascii="Times New Roman" w:hAnsi="Times New Roman" w:cs="Times New Roman"/>
        </w:rPr>
        <w:t>di Spinoza</w:t>
      </w:r>
      <w:r w:rsidRPr="002F0347">
        <w:rPr>
          <w:rStyle w:val="Rimandonotaapidipagina"/>
          <w:rFonts w:ascii="Times New Roman" w:hAnsi="Times New Roman" w:cs="Times New Roman"/>
        </w:rPr>
        <w:footnoteReference w:id="633"/>
      </w:r>
      <w:r w:rsidRPr="002F0347">
        <w:rPr>
          <w:rFonts w:ascii="Times New Roman" w:hAnsi="Times New Roman" w:cs="Times New Roman"/>
        </w:rPr>
        <w:t>. Se non fossero sufficienti queste osservazioni di carattere generale, basterebbe seguire l’argomentazione di Maimon per imbattersi nell’equiparazione di spinozismo e Qabbalah:</w:t>
      </w:r>
    </w:p>
    <w:p w14:paraId="4222F920" w14:textId="77777777" w:rsidR="001B7751" w:rsidRDefault="001B7751" w:rsidP="001B7751">
      <w:pPr>
        <w:spacing w:line="360" w:lineRule="auto"/>
        <w:ind w:left="567" w:firstLine="567"/>
        <w:jc w:val="both"/>
        <w:rPr>
          <w:rFonts w:ascii="Times New Roman" w:hAnsi="Times New Roman" w:cs="Times New Roman"/>
        </w:rPr>
      </w:pPr>
    </w:p>
    <w:p w14:paraId="52BC24CE" w14:textId="77777777" w:rsidR="001B7751" w:rsidRPr="008E748C" w:rsidRDefault="001B7751" w:rsidP="001B7751">
      <w:pPr>
        <w:spacing w:line="360" w:lineRule="auto"/>
        <w:ind w:left="567" w:firstLine="567"/>
        <w:jc w:val="both"/>
        <w:rPr>
          <w:rFonts w:ascii="Times New Roman" w:eastAsia="Times New Roman" w:hAnsi="Times New Roman" w:cs="Times New Roman"/>
          <w:iCs/>
          <w:color w:val="222222"/>
          <w:sz w:val="20"/>
          <w:szCs w:val="20"/>
          <w:shd w:val="clear" w:color="auto" w:fill="FFFFFF"/>
          <w:lang w:val="de-DE"/>
        </w:rPr>
      </w:pPr>
      <w:r w:rsidRPr="008E748C">
        <w:rPr>
          <w:rFonts w:ascii="Times New Roman" w:eastAsia="Times New Roman" w:hAnsi="Times New Roman" w:cs="Times New Roman"/>
          <w:color w:val="000000"/>
          <w:sz w:val="20"/>
          <w:szCs w:val="20"/>
          <w:shd w:val="clear" w:color="auto" w:fill="FFFFFF"/>
          <w:lang w:val="de-DE"/>
        </w:rPr>
        <w:t>«In der Tat ist die Kabbala nichts anderes als erweiterter Spinozismus, worin nicht nur die Entstehung der Welt aus der Einschränkung des göttlichen Wesens überhaupt erklärt, sondern auch die Entstehung einer jeden Art von Wesen und ihr Verhältnis zu allen übrigen aus einer besonderen Eigenschaft Gottes hergeleitet wird. Gott als das letzte Subjekt und die letzte Ursache aller Wesen heißt En-ßof (das Unendliche, wovon an sich betrachtet nichts prädiziert werden kann). In Beziehung auf die unendlichen Wesen aber werden ihm positive Eigenschaften beigelegt, diese werden von den Kabbalisten auf zehn reduziert, welche die zehn Sephirot genannt werden</w:t>
      </w:r>
      <w:r w:rsidRPr="008E748C">
        <w:rPr>
          <w:rFonts w:ascii="Times New Roman" w:hAnsi="Times New Roman" w:cs="Times New Roman"/>
          <w:sz w:val="20"/>
          <w:szCs w:val="20"/>
        </w:rPr>
        <w:t>»</w:t>
      </w:r>
      <w:r w:rsidRPr="008E748C">
        <w:rPr>
          <w:rStyle w:val="Rimandonotaapidipagina"/>
          <w:rFonts w:ascii="Times New Roman" w:eastAsia="Times New Roman" w:hAnsi="Times New Roman" w:cs="Times New Roman"/>
          <w:iCs/>
          <w:color w:val="222222"/>
          <w:sz w:val="20"/>
          <w:szCs w:val="20"/>
          <w:shd w:val="clear" w:color="auto" w:fill="FFFFFF"/>
          <w:lang w:val="de-DE"/>
        </w:rPr>
        <w:footnoteReference w:id="634"/>
      </w:r>
      <w:r w:rsidRPr="008E748C">
        <w:rPr>
          <w:rFonts w:ascii="Times New Roman" w:eastAsia="Times New Roman" w:hAnsi="Times New Roman" w:cs="Times New Roman"/>
          <w:iCs/>
          <w:color w:val="222222"/>
          <w:sz w:val="20"/>
          <w:szCs w:val="20"/>
          <w:shd w:val="clear" w:color="auto" w:fill="FFFFFF"/>
          <w:lang w:val="de-DE"/>
        </w:rPr>
        <w:t>.</w:t>
      </w:r>
    </w:p>
    <w:p w14:paraId="16DCC70F" w14:textId="77777777" w:rsidR="001B7751" w:rsidRPr="00B77CB3" w:rsidRDefault="001B7751" w:rsidP="001B7751">
      <w:pPr>
        <w:spacing w:line="360" w:lineRule="auto"/>
        <w:ind w:left="567" w:firstLine="567"/>
        <w:jc w:val="both"/>
        <w:rPr>
          <w:rFonts w:ascii="Times New Roman" w:hAnsi="Times New Roman" w:cs="Times New Roman"/>
        </w:rPr>
      </w:pPr>
    </w:p>
    <w:p w14:paraId="2ECD4438" w14:textId="066F1330" w:rsidR="001B7751" w:rsidRDefault="001B7751" w:rsidP="001B7751">
      <w:pPr>
        <w:spacing w:line="360" w:lineRule="auto"/>
        <w:ind w:firstLine="567"/>
        <w:jc w:val="both"/>
        <w:rPr>
          <w:rFonts w:ascii="Times New Roman" w:hAnsi="Times New Roman" w:cs="Times New Roman"/>
        </w:rPr>
      </w:pPr>
      <w:r>
        <w:rPr>
          <w:rFonts w:ascii="Times New Roman" w:hAnsi="Times New Roman" w:cs="Times New Roman"/>
        </w:rPr>
        <w:t xml:space="preserve"> </w:t>
      </w:r>
      <w:r w:rsidRPr="00365B5F">
        <w:rPr>
          <w:rFonts w:ascii="Times New Roman" w:hAnsi="Times New Roman" w:cs="Times New Roman"/>
        </w:rPr>
        <w:t>La Qabbalah non è altro che una forma più estesa di spinozismo. La maggiore estensione deriva</w:t>
      </w:r>
      <w:r w:rsidR="00136CFC" w:rsidRPr="00365B5F">
        <w:rPr>
          <w:rFonts w:ascii="Times New Roman" w:hAnsi="Times New Roman" w:cs="Times New Roman"/>
        </w:rPr>
        <w:t xml:space="preserve"> – con tutta probabilità –</w:t>
      </w:r>
      <w:r w:rsidRPr="00365B5F">
        <w:rPr>
          <w:rFonts w:ascii="Times New Roman" w:hAnsi="Times New Roman" w:cs="Times New Roman"/>
        </w:rPr>
        <w:t xml:space="preserve"> dalla ricchezza allegorica che contraddistingu</w:t>
      </w:r>
      <w:r w:rsidR="00365B5F" w:rsidRPr="00365B5F">
        <w:rPr>
          <w:rFonts w:ascii="Times New Roman" w:hAnsi="Times New Roman" w:cs="Times New Roman"/>
        </w:rPr>
        <w:t xml:space="preserve">e la produzione cabbalistica e che  </w:t>
      </w:r>
      <w:r w:rsidRPr="00365B5F">
        <w:rPr>
          <w:rFonts w:ascii="Times New Roman" w:hAnsi="Times New Roman" w:cs="Times New Roman"/>
        </w:rPr>
        <w:t xml:space="preserve">esula dal </w:t>
      </w:r>
      <w:r w:rsidRPr="00365B5F">
        <w:rPr>
          <w:rFonts w:ascii="Times New Roman" w:hAnsi="Times New Roman" w:cs="Times New Roman"/>
          <w:i/>
        </w:rPr>
        <w:t>more geometrico</w:t>
      </w:r>
      <w:r w:rsidRPr="00365B5F">
        <w:rPr>
          <w:rFonts w:ascii="Times New Roman" w:hAnsi="Times New Roman" w:cs="Times New Roman"/>
        </w:rPr>
        <w:t xml:space="preserve"> spinoziano.</w:t>
      </w:r>
      <w:r>
        <w:rPr>
          <w:rFonts w:ascii="Times New Roman" w:hAnsi="Times New Roman" w:cs="Times New Roman"/>
        </w:rPr>
        <w:t xml:space="preserve"> Al di là del piano rappresentativo, la mistica ebraica descrive la produzione del mondo come l’atto contrattivo ed espansivo dell’essenza divina. La contrazione denota l’interiorità del processo creativo, che non è dinamica esteriore, ma processo interno a Dio. Al pari dello spinozismo, la Qabbalah sostiene che Dio è causa dell’esistenza e dell’essenza di tutte le cose: il mondo </w:t>
      </w:r>
      <w:r w:rsidRPr="006836C2">
        <w:rPr>
          <w:rFonts w:ascii="Times New Roman" w:hAnsi="Times New Roman" w:cs="Times New Roman"/>
        </w:rPr>
        <w:t xml:space="preserve">deriva dall’eterna attuosità della sostanza infinita, che è </w:t>
      </w:r>
      <w:r w:rsidRPr="006836C2">
        <w:rPr>
          <w:rFonts w:ascii="Times New Roman" w:hAnsi="Times New Roman" w:cs="Times New Roman"/>
          <w:i/>
        </w:rPr>
        <w:t>causa immanes omnium rerum</w:t>
      </w:r>
      <w:r w:rsidRPr="006836C2">
        <w:rPr>
          <w:rFonts w:ascii="Times New Roman" w:hAnsi="Times New Roman" w:cs="Times New Roman"/>
        </w:rPr>
        <w:t xml:space="preserve">. È per questa ragione che la Qabbalah identifica nell’essenza infinita il soggetto ultimo e la causa ultima di tutte le cose. Dell’infinito, considerato in sé, non può essere predicato alcunché; dell’essenza </w:t>
      </w:r>
      <w:r w:rsidRPr="00365B5F">
        <w:rPr>
          <w:rFonts w:ascii="Times New Roman" w:hAnsi="Times New Roman" w:cs="Times New Roman"/>
        </w:rPr>
        <w:t xml:space="preserve">infinita, </w:t>
      </w:r>
      <w:r w:rsidR="00040E41" w:rsidRPr="00365B5F">
        <w:rPr>
          <w:rFonts w:ascii="Times New Roman" w:hAnsi="Times New Roman" w:cs="Times New Roman"/>
        </w:rPr>
        <w:t>in quanto soggetto e causa di tutte le cose</w:t>
      </w:r>
      <w:r w:rsidRPr="00365B5F">
        <w:rPr>
          <w:rFonts w:ascii="Times New Roman" w:hAnsi="Times New Roman" w:cs="Times New Roman"/>
        </w:rPr>
        <w:t>, possono essere predicate delle proprietà positive.</w:t>
      </w:r>
      <w:r>
        <w:rPr>
          <w:rFonts w:ascii="Times New Roman" w:hAnsi="Times New Roman" w:cs="Times New Roman"/>
        </w:rPr>
        <w:t xml:space="preserve"> La Qabbalah riduce al numero di dieci ciò che lo spinozismo considera non quantificabile, poiché alla sostanza spettano per definizione</w:t>
      </w:r>
      <w:r w:rsidRPr="00003599">
        <w:rPr>
          <w:rFonts w:ascii="Times New Roman" w:hAnsi="Times New Roman" w:cs="Times New Roman"/>
        </w:rPr>
        <w:t xml:space="preserve"> </w:t>
      </w:r>
      <w:r>
        <w:rPr>
          <w:rFonts w:ascii="Times New Roman" w:hAnsi="Times New Roman" w:cs="Times New Roman"/>
        </w:rPr>
        <w:t xml:space="preserve">infiniti attributi </w:t>
      </w:r>
      <w:r>
        <w:rPr>
          <w:rStyle w:val="Rimandonotaapidipagina"/>
          <w:rFonts w:ascii="Times New Roman" w:hAnsi="Times New Roman" w:cs="Times New Roman"/>
        </w:rPr>
        <w:footnoteReference w:id="635"/>
      </w:r>
      <w:r>
        <w:rPr>
          <w:rFonts w:ascii="Times New Roman" w:hAnsi="Times New Roman" w:cs="Times New Roman"/>
        </w:rPr>
        <w:t xml:space="preserve">. </w:t>
      </w:r>
    </w:p>
    <w:p w14:paraId="1895EC50" w14:textId="77777777" w:rsidR="00443684" w:rsidRDefault="001B7751" w:rsidP="001B7751">
      <w:pPr>
        <w:spacing w:line="360" w:lineRule="auto"/>
        <w:ind w:firstLine="567"/>
        <w:jc w:val="both"/>
        <w:rPr>
          <w:rFonts w:ascii="Times New Roman" w:hAnsi="Times New Roman" w:cs="Times New Roman"/>
        </w:rPr>
      </w:pPr>
      <w:r w:rsidRPr="006836C2">
        <w:rPr>
          <w:rFonts w:ascii="Times New Roman" w:hAnsi="Times New Roman" w:cs="Times New Roman"/>
        </w:rPr>
        <w:t xml:space="preserve">Tolto il velo allegorico-rappresentativo, Qabbalah e spinozismo convergono sull’inammissibilità della </w:t>
      </w:r>
      <w:r w:rsidRPr="006836C2">
        <w:rPr>
          <w:rFonts w:ascii="Times New Roman" w:hAnsi="Times New Roman" w:cs="Times New Roman"/>
          <w:i/>
        </w:rPr>
        <w:t>creatio ex nihilo</w:t>
      </w:r>
      <w:r w:rsidRPr="006836C2">
        <w:rPr>
          <w:rFonts w:ascii="Times New Roman" w:hAnsi="Times New Roman" w:cs="Times New Roman"/>
        </w:rPr>
        <w:t xml:space="preserve"> e sull’idea che ogni cosa sia in virtù dell’eterna </w:t>
      </w:r>
      <w:r w:rsidRPr="002F3139">
        <w:rPr>
          <w:rFonts w:ascii="Times New Roman" w:hAnsi="Times New Roman" w:cs="Times New Roman"/>
        </w:rPr>
        <w:t xml:space="preserve">esplicazione dall’essenza infinita. Riprendendo la </w:t>
      </w:r>
      <w:r w:rsidRPr="002F3139">
        <w:rPr>
          <w:rFonts w:ascii="Times New Roman" w:hAnsi="Times New Roman" w:cs="Times New Roman"/>
          <w:i/>
        </w:rPr>
        <w:t>querelle</w:t>
      </w:r>
      <w:r w:rsidRPr="002F3139">
        <w:rPr>
          <w:rFonts w:ascii="Times New Roman" w:hAnsi="Times New Roman" w:cs="Times New Roman"/>
        </w:rPr>
        <w:t xml:space="preserve"> sul cabbalismo di Spinoza, Maimon offre una descrizione del</w:t>
      </w:r>
      <w:r w:rsidRPr="002F3139">
        <w:rPr>
          <w:rFonts w:ascii="Times New Roman" w:hAnsi="Times New Roman" w:cs="Times New Roman"/>
          <w:i/>
        </w:rPr>
        <w:t xml:space="preserve"> pensiero ebraico</w:t>
      </w:r>
      <w:r w:rsidRPr="002F3139">
        <w:rPr>
          <w:rFonts w:ascii="Times New Roman" w:hAnsi="Times New Roman" w:cs="Times New Roman"/>
        </w:rPr>
        <w:t xml:space="preserve"> affine – in termini generalissimi, sia chiaro – a quanto sostenuto da Wachter nello </w:t>
      </w:r>
      <w:r w:rsidR="00A76F84">
        <w:rPr>
          <w:rFonts w:ascii="Times New Roman" w:hAnsi="Times New Roman" w:cs="Times New Roman"/>
          <w:i/>
        </w:rPr>
        <w:t>Spinozismus in J</w:t>
      </w:r>
      <w:r w:rsidR="00A76F84">
        <w:rPr>
          <w:rFonts w:ascii="Times New Roman" w:eastAsia="Times New Roman" w:hAnsi="Times New Roman" w:cs="Times New Roman"/>
          <w:i/>
          <w:iCs/>
          <w:color w:val="222222"/>
          <w:shd w:val="clear" w:color="auto" w:fill="FFFFFF"/>
          <w:lang w:val="de-DE"/>
        </w:rPr>
        <w:t>ü</w:t>
      </w:r>
      <w:r w:rsidRPr="002F3139">
        <w:rPr>
          <w:rFonts w:ascii="Times New Roman" w:hAnsi="Times New Roman" w:cs="Times New Roman"/>
          <w:i/>
        </w:rPr>
        <w:t>denthumb</w:t>
      </w:r>
      <w:r w:rsidRPr="002F3139">
        <w:rPr>
          <w:rFonts w:ascii="Times New Roman" w:hAnsi="Times New Roman" w:cs="Times New Roman"/>
        </w:rPr>
        <w:t>, dove è tematizzata l’unità di filosofia cabbalistica e spinoziana. Rispetto alla posizione wachteriana,</w:t>
      </w:r>
      <w:r w:rsidRPr="006836C2">
        <w:rPr>
          <w:rFonts w:ascii="Times New Roman" w:hAnsi="Times New Roman" w:cs="Times New Roman"/>
        </w:rPr>
        <w:t xml:space="preserve"> Maimon muove un passo ulteriore, affermando che sia aliena dall</w:t>
      </w:r>
      <w:r>
        <w:rPr>
          <w:rFonts w:ascii="Times New Roman" w:hAnsi="Times New Roman" w:cs="Times New Roman"/>
        </w:rPr>
        <w:t>’</w:t>
      </w:r>
      <w:r w:rsidRPr="006836C2">
        <w:rPr>
          <w:rFonts w:ascii="Times New Roman" w:hAnsi="Times New Roman" w:cs="Times New Roman"/>
        </w:rPr>
        <w:t>o</w:t>
      </w:r>
      <w:r>
        <w:rPr>
          <w:rFonts w:ascii="Times New Roman" w:hAnsi="Times New Roman" w:cs="Times New Roman"/>
        </w:rPr>
        <w:t>ntologia di Spinoza</w:t>
      </w:r>
      <w:r w:rsidRPr="006836C2">
        <w:rPr>
          <w:rFonts w:ascii="Times New Roman" w:hAnsi="Times New Roman" w:cs="Times New Roman"/>
        </w:rPr>
        <w:t xml:space="preserve"> la divinizzazione del mondo. L’idea che soltanto la sostanza sia e che sia indivisibile e unica è suggerita a Maimon dalla decostruzione jacobiana del sistema spinoziano. Prendendo le mosse dal cabbalismo ontologico di Spinoza, Jacobi ha privato la sostanza spinoziana di una qualsivoglia attività causale. Dal nulla non viene nulla: se anche qualcosa venisse in essere, esso verrebbe meno a causa della sua determinatezza (</w:t>
      </w:r>
      <w:r w:rsidRPr="006836C2">
        <w:rPr>
          <w:rFonts w:ascii="Times New Roman" w:hAnsi="Times New Roman" w:cs="Times New Roman"/>
          <w:i/>
        </w:rPr>
        <w:t>determinatio est negatio</w:t>
      </w:r>
      <w:r w:rsidRPr="006836C2">
        <w:rPr>
          <w:rFonts w:ascii="Times New Roman" w:hAnsi="Times New Roman" w:cs="Times New Roman"/>
        </w:rPr>
        <w:t>). L’unità sostanziale (Dio) è nella misura in cui non contiene in sé forma alcuna di determinazione. Nella sua indeterminatezza</w:t>
      </w:r>
      <w:r>
        <w:rPr>
          <w:rFonts w:ascii="Times New Roman" w:hAnsi="Times New Roman" w:cs="Times New Roman"/>
        </w:rPr>
        <w:t>,</w:t>
      </w:r>
      <w:r w:rsidRPr="006836C2">
        <w:rPr>
          <w:rFonts w:ascii="Times New Roman" w:hAnsi="Times New Roman" w:cs="Times New Roman"/>
        </w:rPr>
        <w:t xml:space="preserve"> Dio è astratta e positiva affermazione di sé, incapace di determinare effettivamente alcunché, poiché se ponesse in essere qualcosa cesserebbe d’essere indeterminato. All’astrattezza reale di Dio, corrisponde un concetto analogo di divinità: da un punto di vista logico, la sostanza è unità in cui tutto si compenetra e dispone come un’unica e indissolubile entità. Sopprimendo la distinzione – ideale e reale – fra divino e creaturale, lo spinozismo non soltanto si macchia di </w:t>
      </w:r>
      <w:r w:rsidRPr="006836C2">
        <w:rPr>
          <w:rFonts w:ascii="Times New Roman" w:hAnsi="Times New Roman" w:cs="Times New Roman"/>
          <w:i/>
        </w:rPr>
        <w:t>nichilismo</w:t>
      </w:r>
      <w:r w:rsidRPr="006836C2">
        <w:rPr>
          <w:rFonts w:ascii="Times New Roman" w:hAnsi="Times New Roman" w:cs="Times New Roman"/>
        </w:rPr>
        <w:t>, ma anche dell’accusa ben più grave d’</w:t>
      </w:r>
      <w:r w:rsidRPr="006836C2">
        <w:rPr>
          <w:rFonts w:ascii="Times New Roman" w:hAnsi="Times New Roman" w:cs="Times New Roman"/>
          <w:i/>
        </w:rPr>
        <w:t>ateismo</w:t>
      </w:r>
      <w:r w:rsidRPr="006836C2">
        <w:rPr>
          <w:rFonts w:ascii="Times New Roman" w:hAnsi="Times New Roman" w:cs="Times New Roman"/>
        </w:rPr>
        <w:t xml:space="preserve">. </w:t>
      </w:r>
    </w:p>
    <w:p w14:paraId="13BEF3E9" w14:textId="4A976CB0" w:rsidR="001B7751" w:rsidRDefault="001B7751" w:rsidP="001B7751">
      <w:pPr>
        <w:spacing w:line="360" w:lineRule="auto"/>
        <w:ind w:firstLine="567"/>
        <w:jc w:val="both"/>
        <w:rPr>
          <w:rFonts w:ascii="Times New Roman" w:hAnsi="Times New Roman" w:cs="Times New Roman"/>
        </w:rPr>
      </w:pPr>
      <w:r w:rsidRPr="00136CFC">
        <w:rPr>
          <w:rFonts w:ascii="Times New Roman" w:hAnsi="Times New Roman" w:cs="Times New Roman"/>
        </w:rPr>
        <w:t>Ateismo e nichilismo sono quelle</w:t>
      </w:r>
      <w:r w:rsidRPr="00FF573F">
        <w:rPr>
          <w:rFonts w:ascii="Times New Roman" w:hAnsi="Times New Roman" w:cs="Times New Roman"/>
        </w:rPr>
        <w:t xml:space="preserve"> coordinate teoriche </w:t>
      </w:r>
      <w:r>
        <w:rPr>
          <w:rFonts w:ascii="Times New Roman" w:hAnsi="Times New Roman" w:cs="Times New Roman"/>
        </w:rPr>
        <w:t xml:space="preserve">delle </w:t>
      </w:r>
      <w:r w:rsidRPr="002F3139">
        <w:rPr>
          <w:rFonts w:ascii="Times New Roman" w:hAnsi="Times New Roman" w:cs="Times New Roman"/>
          <w:i/>
        </w:rPr>
        <w:t>Spinozabriefe</w:t>
      </w:r>
      <w:r>
        <w:rPr>
          <w:rFonts w:ascii="Times New Roman" w:hAnsi="Times New Roman" w:cs="Times New Roman"/>
        </w:rPr>
        <w:t xml:space="preserve"> </w:t>
      </w:r>
      <w:r w:rsidRPr="00FF573F">
        <w:rPr>
          <w:rFonts w:ascii="Times New Roman" w:hAnsi="Times New Roman" w:cs="Times New Roman"/>
        </w:rPr>
        <w:t>a partire dalle quali Maimon muove alcune decisive osservazioni sul sistema di Spinoza.</w:t>
      </w:r>
      <w:r>
        <w:rPr>
          <w:rFonts w:ascii="Times New Roman" w:hAnsi="Times New Roman" w:cs="Times New Roman"/>
        </w:rPr>
        <w:t xml:space="preserve"> Nelle battute iniziali del quindicesimo capitolo della </w:t>
      </w:r>
      <w:r w:rsidRPr="00A31702">
        <w:rPr>
          <w:rFonts w:ascii="Times New Roman" w:hAnsi="Times New Roman" w:cs="Times New Roman"/>
          <w:i/>
        </w:rPr>
        <w:t>Lebensgeschichte</w:t>
      </w:r>
      <w:r>
        <w:rPr>
          <w:rFonts w:ascii="Times New Roman" w:hAnsi="Times New Roman" w:cs="Times New Roman"/>
        </w:rPr>
        <w:t>, che è dedicato all’esposizione della religione ebraica, si legge:</w:t>
      </w:r>
    </w:p>
    <w:p w14:paraId="1F9FE3C6" w14:textId="77777777" w:rsidR="001B7751" w:rsidRDefault="001B7751" w:rsidP="001B7751">
      <w:pPr>
        <w:spacing w:line="360" w:lineRule="auto"/>
        <w:ind w:left="567" w:firstLine="567"/>
        <w:jc w:val="both"/>
        <w:rPr>
          <w:rFonts w:ascii="Times New Roman" w:hAnsi="Times New Roman" w:cs="Times New Roman"/>
        </w:rPr>
      </w:pPr>
    </w:p>
    <w:p w14:paraId="53F1EA43" w14:textId="66376C26" w:rsidR="001B7751" w:rsidRPr="00935A3E" w:rsidRDefault="001B7751" w:rsidP="001B7751">
      <w:pPr>
        <w:spacing w:line="360" w:lineRule="auto"/>
        <w:ind w:left="567" w:firstLine="567"/>
        <w:jc w:val="both"/>
        <w:rPr>
          <w:rFonts w:ascii="Times New Roman" w:hAnsi="Times New Roman" w:cs="Times New Roman"/>
          <w:sz w:val="20"/>
          <w:szCs w:val="20"/>
        </w:rPr>
      </w:pPr>
      <w:r w:rsidRPr="00935A3E">
        <w:rPr>
          <w:rFonts w:ascii="Times New Roman" w:hAnsi="Times New Roman" w:cs="Times New Roman"/>
          <w:sz w:val="20"/>
          <w:szCs w:val="20"/>
          <w:lang w:val="de-DE"/>
        </w:rPr>
        <w:t>«Das atheistische System der Theologie, wenn man es so nennen darf, verwirft den Gebrauch des Begriffs von einer ersten Ursache ganz und gar (da er dem kritischen System zufolge zum wenigsten, als eine nothwendi</w:t>
      </w:r>
      <w:r w:rsidR="006428B9">
        <w:rPr>
          <w:rFonts w:ascii="Times New Roman" w:hAnsi="Times New Roman" w:cs="Times New Roman"/>
          <w:sz w:val="20"/>
          <w:szCs w:val="20"/>
          <w:lang w:val="de-DE"/>
        </w:rPr>
        <w:t>ge Vernunftidee, von regulativem</w:t>
      </w:r>
      <w:r w:rsidRPr="00935A3E">
        <w:rPr>
          <w:rFonts w:ascii="Times New Roman" w:hAnsi="Times New Roman" w:cs="Times New Roman"/>
          <w:sz w:val="20"/>
          <w:szCs w:val="20"/>
          <w:lang w:val="de-DE"/>
        </w:rPr>
        <w:t xml:space="preserve"> Gebrauch ist). Alle Wirkungen werden auf besondere bekannte oder unbekannte Ursachen bezogen. Darin darf nicht einmal ein Zusammenhang zwischen den verschiedenen Wirkungen angenommen werden, weil sonst der Grund dieses Zusammenhangs nothwendig außer demselben gesucht werden müßte. Das Spinozistische System hingegen supponiert eine und eben dieselbe Substanz als unmittelbare Ursache aller verschiedenen Wirkungen, die als Prädikate eines und eben desselben Subjekts betrachtet werden müssen</w:t>
      </w:r>
      <w:r w:rsidRPr="00935A3E">
        <w:rPr>
          <w:rFonts w:ascii="Times New Roman" w:hAnsi="Times New Roman" w:cs="Times New Roman"/>
          <w:sz w:val="20"/>
          <w:szCs w:val="20"/>
        </w:rPr>
        <w:t>»</w:t>
      </w:r>
      <w:r w:rsidRPr="00935A3E">
        <w:rPr>
          <w:rStyle w:val="Rimandonotaapidipagina"/>
          <w:rFonts w:ascii="Times New Roman" w:hAnsi="Times New Roman" w:cs="Times New Roman"/>
          <w:sz w:val="20"/>
          <w:szCs w:val="20"/>
          <w:lang w:val="de-DE"/>
        </w:rPr>
        <w:footnoteReference w:id="636"/>
      </w:r>
      <w:r w:rsidRPr="00935A3E">
        <w:rPr>
          <w:rFonts w:ascii="Times New Roman" w:hAnsi="Times New Roman" w:cs="Times New Roman"/>
          <w:sz w:val="20"/>
          <w:szCs w:val="20"/>
        </w:rPr>
        <w:t>.</w:t>
      </w:r>
    </w:p>
    <w:p w14:paraId="02B4E330" w14:textId="77777777" w:rsidR="001B7751" w:rsidRPr="00291EE3" w:rsidRDefault="001B7751" w:rsidP="001B7751">
      <w:pPr>
        <w:spacing w:line="360" w:lineRule="auto"/>
        <w:jc w:val="both"/>
        <w:rPr>
          <w:rFonts w:ascii="Times New Roman" w:eastAsia="Times New Roman" w:hAnsi="Times New Roman" w:cs="Times New Roman"/>
          <w:iCs/>
          <w:color w:val="222222"/>
          <w:shd w:val="clear" w:color="auto" w:fill="FFFFFF"/>
          <w:lang w:val="de-DE"/>
        </w:rPr>
      </w:pPr>
    </w:p>
    <w:p w14:paraId="707C498E" w14:textId="77777777" w:rsidR="001B7751" w:rsidRDefault="001B7751" w:rsidP="001B7751">
      <w:pPr>
        <w:spacing w:line="360" w:lineRule="auto"/>
        <w:ind w:firstLine="567"/>
        <w:jc w:val="both"/>
        <w:rPr>
          <w:rFonts w:ascii="Times New Roman" w:hAnsi="Times New Roman" w:cs="Times New Roman"/>
        </w:rPr>
      </w:pPr>
      <w:r w:rsidRPr="0021586B">
        <w:rPr>
          <w:rFonts w:ascii="Times New Roman" w:eastAsia="Times New Roman" w:hAnsi="Times New Roman" w:cs="Times New Roman"/>
          <w:iCs/>
          <w:color w:val="222222"/>
          <w:shd w:val="clear" w:color="auto" w:fill="FFFFFF"/>
        </w:rPr>
        <w:t>Al contrario dell’ateismo, che</w:t>
      </w:r>
      <w:r w:rsidRPr="00872260">
        <w:rPr>
          <w:rFonts w:ascii="Times New Roman" w:eastAsia="Times New Roman" w:hAnsi="Times New Roman" w:cs="Times New Roman"/>
          <w:iCs/>
          <w:color w:val="222222"/>
          <w:shd w:val="clear" w:color="auto" w:fill="FFFFFF"/>
        </w:rPr>
        <w:t xml:space="preserve"> </w:t>
      </w:r>
      <w:r>
        <w:rPr>
          <w:rFonts w:ascii="Times New Roman" w:eastAsia="Times New Roman" w:hAnsi="Times New Roman" w:cs="Times New Roman"/>
          <w:iCs/>
          <w:color w:val="222222"/>
          <w:shd w:val="clear" w:color="auto" w:fill="FFFFFF"/>
        </w:rPr>
        <w:t>rifiuta il concetto di causa prima</w:t>
      </w:r>
      <w:r w:rsidRPr="0021586B">
        <w:rPr>
          <w:rFonts w:ascii="Times New Roman" w:eastAsia="Times New Roman" w:hAnsi="Times New Roman" w:cs="Times New Roman"/>
          <w:iCs/>
          <w:color w:val="222222"/>
          <w:shd w:val="clear" w:color="auto" w:fill="FFFFFF"/>
        </w:rPr>
        <w:t xml:space="preserve">, e del criticismo, che pone il concetto di una causa prima come una necessaria e regolativa idea della ragione, lo </w:t>
      </w:r>
      <w:r w:rsidRPr="00CC4E81">
        <w:rPr>
          <w:rFonts w:ascii="Times New Roman" w:eastAsia="Times New Roman" w:hAnsi="Times New Roman" w:cs="Times New Roman"/>
          <w:iCs/>
          <w:color w:val="222222"/>
          <w:shd w:val="clear" w:color="auto" w:fill="FFFFFF"/>
        </w:rPr>
        <w:t>spinozismo teorizza un’unica sostanza o causa</w:t>
      </w:r>
      <w:r w:rsidRPr="0021586B">
        <w:rPr>
          <w:rFonts w:ascii="Times New Roman" w:eastAsia="Times New Roman" w:hAnsi="Times New Roman" w:cs="Times New Roman"/>
          <w:iCs/>
          <w:color w:val="222222"/>
          <w:shd w:val="clear" w:color="auto" w:fill="FFFFFF"/>
        </w:rPr>
        <w:t>, da cui derivano eterogenei e molteplici effetti, e un unico soggetto (corrispettivo logico della sostanza),</w:t>
      </w:r>
      <w:r w:rsidRPr="00DE0DFE">
        <w:rPr>
          <w:rFonts w:ascii="Times New Roman" w:eastAsia="Times New Roman" w:hAnsi="Times New Roman" w:cs="Times New Roman"/>
          <w:iCs/>
          <w:color w:val="222222"/>
          <w:shd w:val="clear" w:color="auto" w:fill="FFFFFF"/>
        </w:rPr>
        <w:t xml:space="preserve"> a cui ineriscono come predicati quei medesimi effetti. </w:t>
      </w:r>
      <w:r w:rsidRPr="00405AEC">
        <w:rPr>
          <w:rFonts w:ascii="Times New Roman" w:eastAsia="Times New Roman" w:hAnsi="Times New Roman" w:cs="Times New Roman"/>
          <w:iCs/>
          <w:color w:val="222222"/>
          <w:shd w:val="clear" w:color="auto" w:fill="FFFFFF"/>
        </w:rPr>
        <w:t xml:space="preserve">«Materie und </w:t>
      </w:r>
      <w:r w:rsidRPr="00405AEC">
        <w:rPr>
          <w:rFonts w:ascii="Times New Roman" w:eastAsia="Times New Roman" w:hAnsi="Times New Roman" w:cs="Times New Roman"/>
          <w:iCs/>
          <w:color w:val="222222"/>
          <w:shd w:val="clear" w:color="auto" w:fill="FFFFFF"/>
          <w:lang w:val="de-DE"/>
        </w:rPr>
        <w:t>Geist</w:t>
      </w:r>
      <w:r w:rsidRPr="00405AEC">
        <w:rPr>
          <w:rFonts w:ascii="Times New Roman" w:hAnsi="Times New Roman" w:cs="Times New Roman"/>
        </w:rPr>
        <w:t>»</w:t>
      </w:r>
      <w:r>
        <w:rPr>
          <w:rFonts w:ascii="Times New Roman" w:eastAsia="Times New Roman" w:hAnsi="Times New Roman" w:cs="Times New Roman"/>
          <w:iCs/>
          <w:color w:val="222222"/>
          <w:shd w:val="clear" w:color="auto" w:fill="FFFFFF"/>
        </w:rPr>
        <w:t xml:space="preserve"> sono per Spinoza </w:t>
      </w:r>
      <w:r w:rsidRPr="00D91029">
        <w:rPr>
          <w:rFonts w:ascii="Times New Roman" w:eastAsia="Times New Roman" w:hAnsi="Times New Roman" w:cs="Times New Roman"/>
          <w:iCs/>
          <w:color w:val="222222"/>
          <w:shd w:val="clear" w:color="auto" w:fill="FFFFFF"/>
          <w:lang w:val="de-DE"/>
        </w:rPr>
        <w:t xml:space="preserve">«eine und dieselbe Substanz, die einmal unter diesen, ein andermal unter jenen </w:t>
      </w:r>
      <w:r w:rsidRPr="00203005">
        <w:rPr>
          <w:rFonts w:ascii="Times New Roman" w:eastAsia="Times New Roman" w:hAnsi="Times New Roman" w:cs="Times New Roman"/>
          <w:iCs/>
          <w:color w:val="222222"/>
          <w:shd w:val="clear" w:color="auto" w:fill="FFFFFF"/>
          <w:lang w:val="de-DE"/>
        </w:rPr>
        <w:t>Attribut erscheint</w:t>
      </w:r>
      <w:r w:rsidRPr="00203005">
        <w:rPr>
          <w:rFonts w:ascii="Times New Roman" w:hAnsi="Times New Roman" w:cs="Times New Roman"/>
          <w:lang w:val="de-DE"/>
        </w:rPr>
        <w:t>»</w:t>
      </w:r>
      <w:r w:rsidRPr="00203005">
        <w:rPr>
          <w:rStyle w:val="Rimandonotaapidipagina"/>
          <w:rFonts w:ascii="Times New Roman" w:eastAsia="Times New Roman" w:hAnsi="Times New Roman" w:cs="Times New Roman"/>
          <w:iCs/>
          <w:color w:val="222222"/>
          <w:shd w:val="clear" w:color="auto" w:fill="FFFFFF"/>
          <w:lang w:val="de-DE"/>
        </w:rPr>
        <w:footnoteReference w:id="637"/>
      </w:r>
      <w:r w:rsidRPr="00203005">
        <w:rPr>
          <w:rFonts w:ascii="Times New Roman" w:hAnsi="Times New Roman" w:cs="Times New Roman"/>
          <w:lang w:val="de-DE"/>
        </w:rPr>
        <w:t>.</w:t>
      </w:r>
      <w:r w:rsidRPr="00203005">
        <w:rPr>
          <w:rFonts w:ascii="Times New Roman" w:hAnsi="Times New Roman" w:cs="Times New Roman"/>
        </w:rPr>
        <w:t xml:space="preserve"> Una stessa sostanza, quindi, che può essere considerata come causa materiale e come soggetto logico di tutte le cose</w:t>
      </w:r>
      <w:r>
        <w:rPr>
          <w:rFonts w:ascii="Times New Roman" w:hAnsi="Times New Roman" w:cs="Times New Roman"/>
        </w:rPr>
        <w:t xml:space="preserve">. </w:t>
      </w:r>
      <w:r w:rsidRPr="00E27CA8">
        <w:rPr>
          <w:rFonts w:ascii="Times New Roman" w:hAnsi="Times New Roman" w:cs="Times New Roman"/>
        </w:rPr>
        <w:t xml:space="preserve">Questi due concetti, che Maimon ritiene esplicativi della metafisica spinoziana, sono già occorsi nella definizione dell’essenza infinita cabbalistica, del soggetto ultimo e della causa ultima di tutte le cose. Definendo la sostanza come </w:t>
      </w:r>
      <w:r w:rsidRPr="00E27CA8">
        <w:rPr>
          <w:rFonts w:ascii="Times New Roman" w:hAnsi="Times New Roman" w:cs="Times New Roman"/>
          <w:i/>
        </w:rPr>
        <w:t>Ursache</w:t>
      </w:r>
      <w:r w:rsidRPr="00E27CA8">
        <w:rPr>
          <w:rFonts w:ascii="Times New Roman" w:hAnsi="Times New Roman" w:cs="Times New Roman"/>
        </w:rPr>
        <w:t xml:space="preserve"> e </w:t>
      </w:r>
      <w:r w:rsidRPr="00E27CA8">
        <w:rPr>
          <w:rFonts w:ascii="Times New Roman" w:hAnsi="Times New Roman" w:cs="Times New Roman"/>
          <w:i/>
        </w:rPr>
        <w:t>Subjekt</w:t>
      </w:r>
      <w:r w:rsidRPr="00E27CA8">
        <w:rPr>
          <w:rFonts w:ascii="Times New Roman" w:hAnsi="Times New Roman" w:cs="Times New Roman"/>
        </w:rPr>
        <w:t>, Maimon rimarca l’unità teorica sussistente fra spinozismo e tradizione ebraica: entrambi questi sistemi di pensiero, al di là di alcune differenze formali e di contenuto, professano l’unità del tutto a partire dall’esistenza necessaria di Dio.</w:t>
      </w:r>
      <w:r>
        <w:rPr>
          <w:rFonts w:ascii="Times New Roman" w:hAnsi="Times New Roman" w:cs="Times New Roman"/>
        </w:rPr>
        <w:t xml:space="preserve"> A questo punto, Maimon osserva che: </w:t>
      </w:r>
    </w:p>
    <w:p w14:paraId="6B1EB15D" w14:textId="77777777" w:rsidR="001B7751" w:rsidRDefault="001B7751" w:rsidP="001B7751">
      <w:pPr>
        <w:spacing w:line="360" w:lineRule="auto"/>
        <w:ind w:left="567" w:firstLine="567"/>
        <w:jc w:val="both"/>
        <w:rPr>
          <w:rFonts w:ascii="Times New Roman" w:hAnsi="Times New Roman" w:cs="Times New Roman"/>
        </w:rPr>
      </w:pPr>
    </w:p>
    <w:p w14:paraId="13873965" w14:textId="77777777" w:rsidR="001B7751" w:rsidRPr="00935A3E" w:rsidRDefault="001B7751" w:rsidP="001B7751">
      <w:pPr>
        <w:spacing w:line="360" w:lineRule="auto"/>
        <w:ind w:left="567" w:firstLine="567"/>
        <w:jc w:val="both"/>
        <w:rPr>
          <w:rFonts w:ascii="Times New Roman" w:eastAsia="Times New Roman" w:hAnsi="Times New Roman" w:cs="Times New Roman"/>
          <w:iCs/>
          <w:color w:val="222222"/>
          <w:sz w:val="20"/>
          <w:szCs w:val="20"/>
          <w:shd w:val="clear" w:color="auto" w:fill="FFFFFF"/>
          <w:lang w:val="de-DE"/>
        </w:rPr>
      </w:pPr>
      <w:r w:rsidRPr="00935A3E">
        <w:rPr>
          <w:rFonts w:ascii="Times New Roman" w:hAnsi="Times New Roman" w:cs="Times New Roman"/>
          <w:sz w:val="20"/>
          <w:szCs w:val="20"/>
        </w:rPr>
        <w:t>«</w:t>
      </w:r>
      <w:r w:rsidRPr="00935A3E">
        <w:rPr>
          <w:rFonts w:ascii="Times New Roman" w:eastAsia="Times New Roman" w:hAnsi="Times New Roman" w:cs="Times New Roman"/>
          <w:iCs/>
          <w:color w:val="222222"/>
          <w:sz w:val="20"/>
          <w:szCs w:val="20"/>
          <w:shd w:val="clear" w:color="auto" w:fill="FFFFFF"/>
          <w:lang w:val="de-DE"/>
        </w:rPr>
        <w:t>In diesem System ist die Einheit reel; das Mannigfaltige aber bloß idealistisch. In dem atheistischen System hingegen ist es gerade umgekehrt. Das Mannigfaltige ist reel, in der Natur der Dinge selbst gegr</w:t>
      </w:r>
      <w:r w:rsidRPr="00935A3E">
        <w:rPr>
          <w:rFonts w:ascii="Times New Roman" w:hAnsi="Times New Roman" w:cs="Times New Roman"/>
          <w:sz w:val="20"/>
          <w:szCs w:val="20"/>
          <w:lang w:val="de-DE"/>
        </w:rPr>
        <w:t xml:space="preserve">ündet. Die Einheit hingegen die man in der Ordnung und Gesetzmäßigkeit der Natur bemerkt, ist diesem zufolge bloß zufällig, wodurch wir unser willkürliches System zum Behuf der Erkenntniß, zu bestimmten pflege. </w:t>
      </w:r>
      <w:r w:rsidRPr="00935A3E">
        <w:rPr>
          <w:rFonts w:ascii="Times New Roman" w:eastAsia="Times New Roman" w:hAnsi="Times New Roman" w:cs="Times New Roman"/>
          <w:iCs/>
          <w:color w:val="222222"/>
          <w:sz w:val="20"/>
          <w:szCs w:val="20"/>
          <w:shd w:val="clear" w:color="auto" w:fill="FFFFFF"/>
          <w:lang w:val="de-DE"/>
        </w:rPr>
        <w:t>Es ist unbegreiflich, wie man das spinozistische System zum atheistischen machen können? da sie doch einander gerade entgegengesetzt sind. In diesem wird das Dasein Gottes, in jenem das Dasein der Welt geleugnet. Es müβte also eher das akosmische System heiβen</w:t>
      </w:r>
      <w:r w:rsidRPr="00935A3E">
        <w:rPr>
          <w:rFonts w:ascii="Times New Roman" w:hAnsi="Times New Roman" w:cs="Times New Roman"/>
          <w:sz w:val="20"/>
          <w:szCs w:val="20"/>
        </w:rPr>
        <w:t>»</w:t>
      </w:r>
      <w:r w:rsidRPr="00935A3E">
        <w:rPr>
          <w:rStyle w:val="Rimandonotaapidipagina"/>
          <w:rFonts w:ascii="Times New Roman" w:eastAsia="Times New Roman" w:hAnsi="Times New Roman" w:cs="Times New Roman"/>
          <w:iCs/>
          <w:color w:val="222222"/>
          <w:sz w:val="20"/>
          <w:szCs w:val="20"/>
          <w:shd w:val="clear" w:color="auto" w:fill="FFFFFF"/>
          <w:lang w:val="de-DE"/>
        </w:rPr>
        <w:footnoteReference w:id="638"/>
      </w:r>
      <w:r w:rsidRPr="00935A3E">
        <w:rPr>
          <w:rFonts w:ascii="Times New Roman" w:eastAsia="Times New Roman" w:hAnsi="Times New Roman" w:cs="Times New Roman"/>
          <w:iCs/>
          <w:color w:val="222222"/>
          <w:sz w:val="20"/>
          <w:szCs w:val="20"/>
          <w:shd w:val="clear" w:color="auto" w:fill="FFFFFF"/>
          <w:lang w:val="de-DE"/>
        </w:rPr>
        <w:t>.</w:t>
      </w:r>
    </w:p>
    <w:p w14:paraId="45B18DDD" w14:textId="77777777" w:rsidR="001B7751" w:rsidRDefault="001B7751" w:rsidP="001B7751">
      <w:pPr>
        <w:spacing w:line="360" w:lineRule="auto"/>
        <w:ind w:left="1134" w:firstLine="567"/>
        <w:jc w:val="both"/>
        <w:rPr>
          <w:rFonts w:ascii="Times New Roman" w:eastAsia="Times New Roman" w:hAnsi="Times New Roman" w:cs="Times New Roman"/>
          <w:iCs/>
          <w:color w:val="222222"/>
          <w:shd w:val="clear" w:color="auto" w:fill="FFFFFF"/>
          <w:lang w:val="de-DE"/>
        </w:rPr>
      </w:pPr>
    </w:p>
    <w:p w14:paraId="479C3DA3" w14:textId="4621201A" w:rsidR="001B7751" w:rsidRDefault="001B7751" w:rsidP="001B7751">
      <w:pPr>
        <w:spacing w:line="360" w:lineRule="auto"/>
        <w:ind w:firstLine="567"/>
        <w:jc w:val="both"/>
        <w:rPr>
          <w:rFonts w:ascii="Times New Roman" w:eastAsia="Times New Roman" w:hAnsi="Times New Roman" w:cs="Times New Roman"/>
          <w:iCs/>
          <w:color w:val="222222"/>
          <w:shd w:val="clear" w:color="auto" w:fill="FFFFFF"/>
        </w:rPr>
      </w:pPr>
      <w:r w:rsidRPr="009617D6">
        <w:rPr>
          <w:rFonts w:ascii="Times New Roman" w:eastAsia="Times New Roman" w:hAnsi="Times New Roman" w:cs="Times New Roman"/>
          <w:iCs/>
          <w:color w:val="222222"/>
          <w:shd w:val="clear" w:color="auto" w:fill="FFFFFF"/>
        </w:rPr>
        <w:t>Nel sistema di Spinoza, come del resto nella Qabbalah, soltanto l’unità è reale, mentre il molteplice non</w:t>
      </w:r>
      <w:r>
        <w:rPr>
          <w:rFonts w:ascii="Times New Roman" w:eastAsia="Times New Roman" w:hAnsi="Times New Roman" w:cs="Times New Roman"/>
          <w:iCs/>
          <w:color w:val="222222"/>
          <w:shd w:val="clear" w:color="auto" w:fill="FFFFFF"/>
        </w:rPr>
        <w:t xml:space="preserve"> sussiste </w:t>
      </w:r>
      <w:r w:rsidRPr="008424CF">
        <w:rPr>
          <w:rFonts w:ascii="Times New Roman" w:eastAsia="Times New Roman" w:hAnsi="Times New Roman" w:cs="Times New Roman"/>
          <w:iCs/>
          <w:color w:val="222222"/>
          <w:shd w:val="clear" w:color="auto" w:fill="FFFFFF"/>
        </w:rPr>
        <w:t>per sé.</w:t>
      </w:r>
      <w:r>
        <w:rPr>
          <w:rFonts w:ascii="Times New Roman" w:eastAsia="Times New Roman" w:hAnsi="Times New Roman" w:cs="Times New Roman"/>
          <w:iCs/>
          <w:color w:val="222222"/>
          <w:shd w:val="clear" w:color="auto" w:fill="FFFFFF"/>
        </w:rPr>
        <w:t xml:space="preserve"> Né la realtà delle cose finite è in sé fondata (ateismo)</w:t>
      </w:r>
      <w:r>
        <w:rPr>
          <w:rStyle w:val="Rimandonotaapidipagina"/>
          <w:rFonts w:ascii="Times New Roman" w:eastAsia="Times New Roman" w:hAnsi="Times New Roman" w:cs="Times New Roman"/>
          <w:iCs/>
          <w:color w:val="222222"/>
          <w:shd w:val="clear" w:color="auto" w:fill="FFFFFF"/>
        </w:rPr>
        <w:footnoteReference w:id="639"/>
      </w:r>
      <w:r>
        <w:rPr>
          <w:rFonts w:ascii="Times New Roman" w:eastAsia="Times New Roman" w:hAnsi="Times New Roman" w:cs="Times New Roman"/>
          <w:iCs/>
          <w:color w:val="222222"/>
          <w:shd w:val="clear" w:color="auto" w:fill="FFFFFF"/>
        </w:rPr>
        <w:t>, né l’unità è un’idea rispondente al bisogno umano di trovare un ordine in una sfera – la natura – indifferente alle istanze della nostra ragione (</w:t>
      </w:r>
      <w:r w:rsidRPr="005F7468">
        <w:rPr>
          <w:rFonts w:ascii="Times New Roman" w:eastAsia="Times New Roman" w:hAnsi="Times New Roman" w:cs="Times New Roman"/>
          <w:i/>
          <w:iCs/>
          <w:color w:val="222222"/>
          <w:shd w:val="clear" w:color="auto" w:fill="FFFFFF"/>
        </w:rPr>
        <w:t>criticismo</w:t>
      </w:r>
      <w:r>
        <w:rPr>
          <w:rFonts w:ascii="Times New Roman" w:eastAsia="Times New Roman" w:hAnsi="Times New Roman" w:cs="Times New Roman"/>
          <w:iCs/>
          <w:color w:val="222222"/>
          <w:shd w:val="clear" w:color="auto" w:fill="FFFFFF"/>
        </w:rPr>
        <w:t xml:space="preserve">). La </w:t>
      </w:r>
      <w:r w:rsidRPr="005F7468">
        <w:rPr>
          <w:rFonts w:ascii="Times New Roman" w:eastAsia="Times New Roman" w:hAnsi="Times New Roman" w:cs="Times New Roman"/>
          <w:i/>
          <w:iCs/>
          <w:color w:val="222222"/>
          <w:shd w:val="clear" w:color="auto" w:fill="FFFFFF"/>
        </w:rPr>
        <w:t>realtà</w:t>
      </w:r>
      <w:r>
        <w:rPr>
          <w:rFonts w:ascii="Times New Roman" w:eastAsia="Times New Roman" w:hAnsi="Times New Roman" w:cs="Times New Roman"/>
          <w:iCs/>
          <w:color w:val="222222"/>
          <w:shd w:val="clear" w:color="auto" w:fill="FFFFFF"/>
        </w:rPr>
        <w:t xml:space="preserve"> dell’unità è ciò che determina la definizione </w:t>
      </w:r>
      <w:r w:rsidRPr="00842C20">
        <w:rPr>
          <w:rFonts w:ascii="Times New Roman" w:eastAsia="Times New Roman" w:hAnsi="Times New Roman" w:cs="Times New Roman"/>
          <w:i/>
          <w:iCs/>
          <w:color w:val="222222"/>
          <w:shd w:val="clear" w:color="auto" w:fill="FFFFFF"/>
        </w:rPr>
        <w:t xml:space="preserve">acosmistica </w:t>
      </w:r>
      <w:r>
        <w:rPr>
          <w:rFonts w:ascii="Times New Roman" w:eastAsia="Times New Roman" w:hAnsi="Times New Roman" w:cs="Times New Roman"/>
          <w:iCs/>
          <w:color w:val="222222"/>
          <w:shd w:val="clear" w:color="auto" w:fill="FFFFFF"/>
        </w:rPr>
        <w:t xml:space="preserve">dello spinozismo, che è contrario all’ateismo nella misura in cui nega l’esistenza del mondo. Solo Dio, inteso come termine primo e ultimo del tutto, esiste, mentre il mondo, colto come sfera del determinato e del molteplice, non è per sé sussistente. Riprendendo e rovesciando quanto sostenuto da Jacobi, Maimon arriva alla conclusione che soltanto a Dio spetti </w:t>
      </w:r>
      <w:r w:rsidRPr="005F7468">
        <w:rPr>
          <w:rFonts w:ascii="Times New Roman" w:eastAsia="Times New Roman" w:hAnsi="Times New Roman" w:cs="Times New Roman"/>
          <w:i/>
          <w:iCs/>
          <w:color w:val="222222"/>
          <w:shd w:val="clear" w:color="auto" w:fill="FFFFFF"/>
        </w:rPr>
        <w:t xml:space="preserve">essere </w:t>
      </w:r>
      <w:r>
        <w:rPr>
          <w:rFonts w:ascii="Times New Roman" w:eastAsia="Times New Roman" w:hAnsi="Times New Roman" w:cs="Times New Roman"/>
          <w:iCs/>
          <w:color w:val="222222"/>
          <w:shd w:val="clear" w:color="auto" w:fill="FFFFFF"/>
        </w:rPr>
        <w:t xml:space="preserve">e </w:t>
      </w:r>
      <w:r w:rsidRPr="005F7468">
        <w:rPr>
          <w:rFonts w:ascii="Times New Roman" w:eastAsia="Times New Roman" w:hAnsi="Times New Roman" w:cs="Times New Roman"/>
          <w:i/>
          <w:iCs/>
          <w:color w:val="222222"/>
          <w:shd w:val="clear" w:color="auto" w:fill="FFFFFF"/>
        </w:rPr>
        <w:t>realtà</w:t>
      </w:r>
      <w:r>
        <w:rPr>
          <w:rFonts w:ascii="Times New Roman" w:eastAsia="Times New Roman" w:hAnsi="Times New Roman" w:cs="Times New Roman"/>
          <w:iCs/>
          <w:color w:val="222222"/>
          <w:shd w:val="clear" w:color="auto" w:fill="FFFFFF"/>
        </w:rPr>
        <w:t xml:space="preserve"> nel sistema di Spinoza. Incomprensibile è quel processo storico-filosofico che ha portato ad identificare ateismo e spinozismo. L’acosmismo, non il cosmoteismo</w:t>
      </w:r>
      <w:r>
        <w:rPr>
          <w:rStyle w:val="Rimandonotaapidipagina"/>
          <w:rFonts w:ascii="Times New Roman" w:eastAsia="Times New Roman" w:hAnsi="Times New Roman" w:cs="Times New Roman"/>
          <w:iCs/>
          <w:color w:val="222222"/>
          <w:shd w:val="clear" w:color="auto" w:fill="FFFFFF"/>
        </w:rPr>
        <w:footnoteReference w:id="640"/>
      </w:r>
      <w:r>
        <w:rPr>
          <w:rFonts w:ascii="Times New Roman" w:eastAsia="Times New Roman" w:hAnsi="Times New Roman" w:cs="Times New Roman"/>
          <w:iCs/>
          <w:color w:val="222222"/>
          <w:shd w:val="clear" w:color="auto" w:fill="FFFFFF"/>
        </w:rPr>
        <w:t xml:space="preserve">, è la cifra del pensiero spinoziano e, prima di esso, della Qabbalah, che esprime, in forma più estesa, quegli stessi principi organizzati </w:t>
      </w:r>
      <w:r w:rsidRPr="00867071">
        <w:rPr>
          <w:rFonts w:ascii="Times New Roman" w:eastAsia="Times New Roman" w:hAnsi="Times New Roman" w:cs="Times New Roman"/>
          <w:i/>
          <w:iCs/>
          <w:color w:val="222222"/>
          <w:shd w:val="clear" w:color="auto" w:fill="FFFFFF"/>
        </w:rPr>
        <w:t>more geometrico</w:t>
      </w:r>
      <w:r>
        <w:rPr>
          <w:rFonts w:ascii="Times New Roman" w:eastAsia="Times New Roman" w:hAnsi="Times New Roman" w:cs="Times New Roman"/>
          <w:iCs/>
          <w:color w:val="222222"/>
          <w:shd w:val="clear" w:color="auto" w:fill="FFFFFF"/>
        </w:rPr>
        <w:t xml:space="preserve"> dall’</w:t>
      </w:r>
      <w:r w:rsidRPr="004C5565">
        <w:rPr>
          <w:rFonts w:ascii="Times New Roman" w:eastAsia="Times New Roman" w:hAnsi="Times New Roman" w:cs="Times New Roman"/>
          <w:i/>
          <w:iCs/>
          <w:color w:val="222222"/>
          <w:shd w:val="clear" w:color="auto" w:fill="FFFFFF"/>
        </w:rPr>
        <w:t>Ethica</w:t>
      </w:r>
      <w:r>
        <w:rPr>
          <w:rFonts w:ascii="Times New Roman" w:eastAsia="Times New Roman" w:hAnsi="Times New Roman" w:cs="Times New Roman"/>
          <w:iCs/>
          <w:color w:val="222222"/>
          <w:shd w:val="clear" w:color="auto" w:fill="FFFFFF"/>
        </w:rPr>
        <w:t xml:space="preserve">. A partire dagli stessi presupposti storico-filosofici di Jacobi, la </w:t>
      </w:r>
      <w:r w:rsidRPr="00867071">
        <w:rPr>
          <w:rFonts w:ascii="Times New Roman" w:eastAsia="Times New Roman" w:hAnsi="Times New Roman" w:cs="Times New Roman"/>
          <w:i/>
          <w:iCs/>
          <w:color w:val="222222"/>
          <w:shd w:val="clear" w:color="auto" w:fill="FFFFFF"/>
        </w:rPr>
        <w:t>Lebensgeschichte</w:t>
      </w:r>
      <w:r>
        <w:rPr>
          <w:rFonts w:ascii="Times New Roman" w:eastAsia="Times New Roman" w:hAnsi="Times New Roman" w:cs="Times New Roman"/>
          <w:iCs/>
          <w:color w:val="222222"/>
          <w:shd w:val="clear" w:color="auto" w:fill="FFFFFF"/>
        </w:rPr>
        <w:t xml:space="preserve"> arriva ad una caratterizzazione del pensiero ebraico diametralmente opposta ai paradigmi interpretativi del XVIII secolo. </w:t>
      </w:r>
      <w:r w:rsidRPr="00673D3E">
        <w:rPr>
          <w:rFonts w:ascii="Times New Roman" w:eastAsia="Times New Roman" w:hAnsi="Times New Roman" w:cs="Times New Roman"/>
          <w:iCs/>
          <w:color w:val="222222"/>
          <w:shd w:val="clear" w:color="auto" w:fill="FFFFFF"/>
        </w:rPr>
        <w:t xml:space="preserve">L’unità </w:t>
      </w:r>
      <w:r w:rsidRPr="00673D3E">
        <w:rPr>
          <w:rFonts w:ascii="Times New Roman" w:eastAsia="Times New Roman" w:hAnsi="Times New Roman" w:cs="Times New Roman"/>
          <w:i/>
          <w:iCs/>
          <w:color w:val="222222"/>
          <w:shd w:val="clear" w:color="auto" w:fill="FFFFFF"/>
        </w:rPr>
        <w:t>ideale</w:t>
      </w:r>
      <w:r w:rsidRPr="00673D3E">
        <w:rPr>
          <w:rFonts w:ascii="Times New Roman" w:eastAsia="Times New Roman" w:hAnsi="Times New Roman" w:cs="Times New Roman"/>
          <w:iCs/>
          <w:color w:val="222222"/>
          <w:shd w:val="clear" w:color="auto" w:fill="FFFFFF"/>
        </w:rPr>
        <w:t xml:space="preserve"> e </w:t>
      </w:r>
      <w:r w:rsidRPr="00673D3E">
        <w:rPr>
          <w:rFonts w:ascii="Times New Roman" w:eastAsia="Times New Roman" w:hAnsi="Times New Roman" w:cs="Times New Roman"/>
          <w:i/>
          <w:iCs/>
          <w:color w:val="222222"/>
          <w:shd w:val="clear" w:color="auto" w:fill="FFFFFF"/>
        </w:rPr>
        <w:t>reale</w:t>
      </w:r>
      <w:r w:rsidRPr="00673D3E">
        <w:rPr>
          <w:rFonts w:ascii="Times New Roman" w:eastAsia="Times New Roman" w:hAnsi="Times New Roman" w:cs="Times New Roman"/>
          <w:iCs/>
          <w:color w:val="222222"/>
          <w:shd w:val="clear" w:color="auto" w:fill="FFFFFF"/>
        </w:rPr>
        <w:t xml:space="preserve"> della sostanza, a lungo interpretata come prova dell’ateismo di Spionza, viene letta come elemento probativo della convinzione spinoziana nell’esistenza di Dio.</w:t>
      </w:r>
      <w:r>
        <w:rPr>
          <w:rFonts w:ascii="Times New Roman" w:eastAsia="Times New Roman" w:hAnsi="Times New Roman" w:cs="Times New Roman"/>
          <w:iCs/>
          <w:color w:val="222222"/>
          <w:shd w:val="clear" w:color="auto" w:fill="FFFFFF"/>
        </w:rPr>
        <w:t xml:space="preserve"> </w:t>
      </w:r>
      <w:r w:rsidRPr="00203005">
        <w:rPr>
          <w:rFonts w:ascii="Times New Roman" w:eastAsia="Times New Roman" w:hAnsi="Times New Roman" w:cs="Times New Roman"/>
          <w:iCs/>
          <w:color w:val="222222"/>
          <w:shd w:val="clear" w:color="auto" w:fill="FFFFFF"/>
        </w:rPr>
        <w:t>L’unità sostanziale, a cui Jacobi aveva attribuito un valore prettamente negativo, pertanto,</w:t>
      </w:r>
      <w:r w:rsidRPr="007F505A">
        <w:rPr>
          <w:rFonts w:ascii="Times New Roman" w:eastAsia="Times New Roman" w:hAnsi="Times New Roman" w:cs="Times New Roman"/>
          <w:iCs/>
          <w:color w:val="222222"/>
          <w:shd w:val="clear" w:color="auto" w:fill="FFFFFF"/>
        </w:rPr>
        <w:t xml:space="preserve"> cambia di segno nelle pagine della </w:t>
      </w:r>
      <w:r w:rsidRPr="007F505A">
        <w:rPr>
          <w:rFonts w:ascii="Times New Roman" w:eastAsia="Times New Roman" w:hAnsi="Times New Roman" w:cs="Times New Roman"/>
          <w:i/>
          <w:iCs/>
          <w:color w:val="222222"/>
          <w:shd w:val="clear" w:color="auto" w:fill="FFFFFF"/>
        </w:rPr>
        <w:t>Lebensgeschichte</w:t>
      </w:r>
      <w:r w:rsidRPr="007F505A">
        <w:rPr>
          <w:rFonts w:ascii="Times New Roman" w:eastAsia="Times New Roman" w:hAnsi="Times New Roman" w:cs="Times New Roman"/>
          <w:iCs/>
          <w:color w:val="222222"/>
          <w:shd w:val="clear" w:color="auto" w:fill="FFFFFF"/>
        </w:rPr>
        <w:t>.</w:t>
      </w:r>
      <w:r>
        <w:rPr>
          <w:rFonts w:ascii="Times New Roman" w:eastAsia="Times New Roman" w:hAnsi="Times New Roman" w:cs="Times New Roman"/>
          <w:iCs/>
          <w:color w:val="222222"/>
          <w:shd w:val="clear" w:color="auto" w:fill="FFFFFF"/>
        </w:rPr>
        <w:t xml:space="preserve"> </w:t>
      </w:r>
      <w:r w:rsidRPr="006D2C1E">
        <w:rPr>
          <w:rFonts w:ascii="Times New Roman" w:eastAsia="Times New Roman" w:hAnsi="Times New Roman" w:cs="Times New Roman"/>
          <w:iCs/>
          <w:color w:val="222222"/>
          <w:shd w:val="clear" w:color="auto" w:fill="FFFFFF"/>
        </w:rPr>
        <w:t xml:space="preserve">Oltre a ciò, Maimon sviluppa un’interpretazione della Qabbalah che si dissocia da quel modello interpretativo messo a punto dalla </w:t>
      </w:r>
      <w:r w:rsidRPr="006D2C1E">
        <w:rPr>
          <w:rFonts w:ascii="Times New Roman" w:eastAsia="Times New Roman" w:hAnsi="Times New Roman" w:cs="Times New Roman"/>
          <w:i/>
          <w:iCs/>
          <w:color w:val="222222"/>
          <w:shd w:val="clear" w:color="auto" w:fill="FFFFFF"/>
        </w:rPr>
        <w:t>Historia critica philosophiae</w:t>
      </w:r>
      <w:r w:rsidRPr="006D2C1E">
        <w:rPr>
          <w:rFonts w:ascii="Times New Roman" w:eastAsia="Times New Roman" w:hAnsi="Times New Roman" w:cs="Times New Roman"/>
          <w:iCs/>
          <w:color w:val="222222"/>
          <w:shd w:val="clear" w:color="auto" w:fill="FFFFFF"/>
        </w:rPr>
        <w:t xml:space="preserve"> di Brucker e che sarà ancora dominante nella storiografia successiva alla </w:t>
      </w:r>
      <w:r w:rsidRPr="006D2C1E">
        <w:rPr>
          <w:rFonts w:ascii="Times New Roman" w:eastAsia="Times New Roman" w:hAnsi="Times New Roman" w:cs="Times New Roman"/>
          <w:i/>
          <w:iCs/>
          <w:color w:val="222222"/>
          <w:shd w:val="clear" w:color="auto" w:fill="FFFFFF"/>
        </w:rPr>
        <w:t>Lebensgeschichte</w:t>
      </w:r>
      <w:r w:rsidRPr="006D2C1E">
        <w:rPr>
          <w:rFonts w:ascii="Times New Roman" w:eastAsia="Times New Roman" w:hAnsi="Times New Roman" w:cs="Times New Roman"/>
          <w:iCs/>
          <w:color w:val="222222"/>
          <w:shd w:val="clear" w:color="auto" w:fill="FFFFFF"/>
        </w:rPr>
        <w:t xml:space="preserve">. Utilizzando un’ermeneutica filosofico-religiosa dal gusto quasi hegeliano, Maimon afferma che, al di là delle allegorie e delle rappresentazioni cabbalistiche, il nucleo razionale del misticismo ebraico non differisce dal </w:t>
      </w:r>
      <w:r w:rsidRPr="006D2C1E">
        <w:rPr>
          <w:rFonts w:ascii="Times New Roman" w:eastAsia="Times New Roman" w:hAnsi="Times New Roman" w:cs="Times New Roman"/>
          <w:i/>
          <w:iCs/>
          <w:color w:val="222222"/>
          <w:shd w:val="clear" w:color="auto" w:fill="FFFFFF"/>
        </w:rPr>
        <w:t>De Deo</w:t>
      </w:r>
      <w:r w:rsidRPr="006D2C1E">
        <w:rPr>
          <w:rFonts w:ascii="Times New Roman" w:eastAsia="Times New Roman" w:hAnsi="Times New Roman" w:cs="Times New Roman"/>
          <w:iCs/>
          <w:color w:val="222222"/>
          <w:shd w:val="clear" w:color="auto" w:fill="FFFFFF"/>
        </w:rPr>
        <w:t xml:space="preserve"> di Spinoza. Si può dire che Maimon legge con lenti spinoziane gli scritti cabbalistici e con lenti cabbalistiche le opere spinoziane. Sebbene non sia operazione </w:t>
      </w:r>
      <w:r w:rsidRPr="00136CFC">
        <w:rPr>
          <w:rFonts w:ascii="Times New Roman" w:eastAsia="Times New Roman" w:hAnsi="Times New Roman" w:cs="Times New Roman"/>
          <w:iCs/>
          <w:color w:val="222222"/>
          <w:shd w:val="clear" w:color="auto" w:fill="FFFFFF"/>
        </w:rPr>
        <w:t xml:space="preserve">ermeneutica nuova, perché anche Wachter e Jacobi, con diverse finalità teoriche, si erano cimentati in questa stessa attività, i risultati teorici a cui approda Maimon rappresentano una novità nell’ambito della discussione sul pensiero ebraico in </w:t>
      </w:r>
      <w:r w:rsidR="00313B5D" w:rsidRPr="00136CFC">
        <w:rPr>
          <w:rFonts w:ascii="Times New Roman" w:eastAsia="Times New Roman" w:hAnsi="Times New Roman" w:cs="Times New Roman"/>
          <w:iCs/>
          <w:color w:val="222222"/>
          <w:shd w:val="clear" w:color="auto" w:fill="FFFFFF"/>
        </w:rPr>
        <w:t>Germania. Rigettata l’idea dell</w:t>
      </w:r>
      <w:r w:rsidRPr="00136CFC">
        <w:rPr>
          <w:rFonts w:ascii="Times New Roman" w:eastAsia="Times New Roman" w:hAnsi="Times New Roman" w:cs="Times New Roman"/>
          <w:iCs/>
          <w:color w:val="222222"/>
          <w:shd w:val="clear" w:color="auto" w:fill="FFFFFF"/>
        </w:rPr>
        <w:t>a divinizzazione cabbalistico-spinoziana del mondo (</w:t>
      </w:r>
      <w:r w:rsidR="00A76F84" w:rsidRPr="00136CFC">
        <w:rPr>
          <w:rFonts w:ascii="Times New Roman" w:eastAsia="Times New Roman" w:hAnsi="Times New Roman" w:cs="Times New Roman"/>
          <w:i/>
          <w:iCs/>
          <w:color w:val="222222"/>
          <w:shd w:val="clear" w:color="auto" w:fill="FFFFFF"/>
        </w:rPr>
        <w:t>Spinozismus in J</w:t>
      </w:r>
      <w:r w:rsidR="00A76F84" w:rsidRPr="00136CFC">
        <w:rPr>
          <w:rFonts w:ascii="Times New Roman" w:eastAsia="Times New Roman" w:hAnsi="Times New Roman" w:cs="Times New Roman"/>
          <w:i/>
          <w:iCs/>
          <w:color w:val="222222"/>
          <w:shd w:val="clear" w:color="auto" w:fill="FFFFFF"/>
          <w:lang w:val="de-DE"/>
        </w:rPr>
        <w:t>ü</w:t>
      </w:r>
      <w:r w:rsidRPr="00136CFC">
        <w:rPr>
          <w:rFonts w:ascii="Times New Roman" w:eastAsia="Times New Roman" w:hAnsi="Times New Roman" w:cs="Times New Roman"/>
          <w:i/>
          <w:iCs/>
          <w:color w:val="222222"/>
          <w:shd w:val="clear" w:color="auto" w:fill="FFFFFF"/>
        </w:rPr>
        <w:t>denthumb</w:t>
      </w:r>
      <w:r w:rsidRPr="00136CFC">
        <w:rPr>
          <w:rFonts w:ascii="Times New Roman" w:eastAsia="Times New Roman" w:hAnsi="Times New Roman" w:cs="Times New Roman"/>
          <w:iCs/>
          <w:color w:val="222222"/>
          <w:shd w:val="clear" w:color="auto" w:fill="FFFFFF"/>
        </w:rPr>
        <w:t>), negata come salvacondotto la differenza fra Dio e mondo (</w:t>
      </w:r>
      <w:r w:rsidRPr="00136CFC">
        <w:rPr>
          <w:rFonts w:ascii="Times New Roman" w:eastAsia="Times New Roman" w:hAnsi="Times New Roman" w:cs="Times New Roman"/>
          <w:i/>
          <w:iCs/>
          <w:color w:val="222222"/>
          <w:shd w:val="clear" w:color="auto" w:fill="FFFFFF"/>
        </w:rPr>
        <w:t>Elucidarius cabalisticus</w:t>
      </w:r>
      <w:r w:rsidRPr="00136CFC">
        <w:rPr>
          <w:rFonts w:ascii="Times New Roman" w:eastAsia="Times New Roman" w:hAnsi="Times New Roman" w:cs="Times New Roman"/>
          <w:iCs/>
          <w:color w:val="222222"/>
          <w:shd w:val="clear" w:color="auto" w:fill="FFFFFF"/>
        </w:rPr>
        <w:t>) e assunte</w:t>
      </w:r>
      <w:r w:rsidRPr="006D2C1E">
        <w:rPr>
          <w:rFonts w:ascii="Times New Roman" w:eastAsia="Times New Roman" w:hAnsi="Times New Roman" w:cs="Times New Roman"/>
          <w:iCs/>
          <w:color w:val="222222"/>
          <w:shd w:val="clear" w:color="auto" w:fill="FFFFFF"/>
        </w:rPr>
        <w:t xml:space="preserve"> come determinazioni positive l’unità della sostanza e il non-essere del mondo (al contrario delle </w:t>
      </w:r>
      <w:r w:rsidRPr="006D2C1E">
        <w:rPr>
          <w:rFonts w:ascii="Times New Roman" w:eastAsia="Times New Roman" w:hAnsi="Times New Roman" w:cs="Times New Roman"/>
          <w:i/>
          <w:iCs/>
          <w:color w:val="222222"/>
          <w:shd w:val="clear" w:color="auto" w:fill="FFFFFF"/>
        </w:rPr>
        <w:t>Spinozabriefe</w:t>
      </w:r>
      <w:r w:rsidRPr="006D2C1E">
        <w:rPr>
          <w:rFonts w:ascii="Times New Roman" w:eastAsia="Times New Roman" w:hAnsi="Times New Roman" w:cs="Times New Roman"/>
          <w:iCs/>
          <w:color w:val="222222"/>
          <w:shd w:val="clear" w:color="auto" w:fill="FFFFFF"/>
        </w:rPr>
        <w:t>), Maimon salda, ricorrendo alla nozione d’</w:t>
      </w:r>
      <w:r w:rsidRPr="006D2C1E">
        <w:rPr>
          <w:rFonts w:ascii="Times New Roman" w:eastAsia="Times New Roman" w:hAnsi="Times New Roman" w:cs="Times New Roman"/>
          <w:i/>
          <w:iCs/>
          <w:color w:val="222222"/>
          <w:shd w:val="clear" w:color="auto" w:fill="FFFFFF"/>
        </w:rPr>
        <w:t>acosmismo</w:t>
      </w:r>
      <w:r w:rsidRPr="006D2C1E">
        <w:rPr>
          <w:rFonts w:ascii="Times New Roman" w:eastAsia="Times New Roman" w:hAnsi="Times New Roman" w:cs="Times New Roman"/>
          <w:iCs/>
          <w:color w:val="222222"/>
          <w:shd w:val="clear" w:color="auto" w:fill="FFFFFF"/>
        </w:rPr>
        <w:t>, in maniera inedita e originale</w:t>
      </w:r>
      <w:r w:rsidRPr="006D2C1E">
        <w:rPr>
          <w:rFonts w:ascii="Times New Roman" w:eastAsia="Times New Roman" w:hAnsi="Times New Roman" w:cs="Times New Roman"/>
          <w:i/>
          <w:iCs/>
          <w:color w:val="222222"/>
          <w:shd w:val="clear" w:color="auto" w:fill="FFFFFF"/>
        </w:rPr>
        <w:t xml:space="preserve"> </w:t>
      </w:r>
      <w:r w:rsidRPr="006D2C1E">
        <w:rPr>
          <w:rFonts w:ascii="Times New Roman" w:eastAsia="Times New Roman" w:hAnsi="Times New Roman" w:cs="Times New Roman"/>
          <w:iCs/>
          <w:color w:val="222222"/>
          <w:shd w:val="clear" w:color="auto" w:fill="FFFFFF"/>
        </w:rPr>
        <w:t>questi due momenti del pensiero ebraico.</w:t>
      </w:r>
    </w:p>
    <w:p w14:paraId="4FF574B3" w14:textId="77777777" w:rsidR="001B7751" w:rsidRDefault="001B7751" w:rsidP="001B7751">
      <w:pPr>
        <w:spacing w:line="360" w:lineRule="auto"/>
        <w:ind w:firstLine="567"/>
        <w:jc w:val="both"/>
        <w:rPr>
          <w:rFonts w:ascii="Times New Roman" w:eastAsia="Times New Roman" w:hAnsi="Times New Roman" w:cs="Times New Roman"/>
          <w:iCs/>
          <w:color w:val="222222"/>
          <w:shd w:val="clear" w:color="auto" w:fill="FFFFFF"/>
        </w:rPr>
      </w:pPr>
      <w:r w:rsidRPr="005A4E1A">
        <w:rPr>
          <w:rFonts w:ascii="Times New Roman" w:eastAsia="Times New Roman" w:hAnsi="Times New Roman" w:cs="Times New Roman"/>
          <w:iCs/>
          <w:color w:val="222222"/>
          <w:shd w:val="clear" w:color="auto" w:fill="FFFFFF"/>
        </w:rPr>
        <w:t xml:space="preserve">Nonostante lo spessore argomentativo di questi capitoli della </w:t>
      </w:r>
      <w:r w:rsidRPr="005A4E1A">
        <w:rPr>
          <w:rFonts w:ascii="Times New Roman" w:eastAsia="Times New Roman" w:hAnsi="Times New Roman" w:cs="Times New Roman"/>
          <w:i/>
          <w:iCs/>
          <w:color w:val="222222"/>
          <w:shd w:val="clear" w:color="auto" w:fill="FFFFFF"/>
        </w:rPr>
        <w:t>Lebensgeschichte</w:t>
      </w:r>
      <w:r w:rsidRPr="005A4E1A">
        <w:rPr>
          <w:rFonts w:ascii="Times New Roman" w:eastAsia="Times New Roman" w:hAnsi="Times New Roman" w:cs="Times New Roman"/>
          <w:iCs/>
          <w:color w:val="222222"/>
          <w:shd w:val="clear" w:color="auto" w:fill="FFFFFF"/>
        </w:rPr>
        <w:t xml:space="preserve">, l’interpretazione di Maimon non riscuoterà grande successo nella letteratura critica </w:t>
      </w:r>
      <w:r>
        <w:rPr>
          <w:rFonts w:ascii="Times New Roman" w:eastAsia="Times New Roman" w:hAnsi="Times New Roman" w:cs="Times New Roman"/>
          <w:iCs/>
          <w:color w:val="222222"/>
          <w:shd w:val="clear" w:color="auto" w:fill="FFFFFF"/>
        </w:rPr>
        <w:t xml:space="preserve">tedesca </w:t>
      </w:r>
      <w:r w:rsidRPr="005A4E1A">
        <w:rPr>
          <w:rFonts w:ascii="Times New Roman" w:eastAsia="Times New Roman" w:hAnsi="Times New Roman" w:cs="Times New Roman"/>
          <w:iCs/>
          <w:color w:val="222222"/>
          <w:shd w:val="clear" w:color="auto" w:fill="FFFFFF"/>
        </w:rPr>
        <w:t>di fine ’700 e inizio ’800. Sebbene indicata nella bibliografia essenziale di alcuni manuali di storia della filosofia del tempo</w:t>
      </w:r>
      <w:r w:rsidRPr="005A4E1A">
        <w:rPr>
          <w:rStyle w:val="Rimandonotaapidipagina"/>
          <w:rFonts w:ascii="Times New Roman" w:eastAsia="Times New Roman" w:hAnsi="Times New Roman" w:cs="Times New Roman"/>
          <w:iCs/>
          <w:color w:val="222222"/>
          <w:shd w:val="clear" w:color="auto" w:fill="FFFFFF"/>
        </w:rPr>
        <w:footnoteReference w:id="641"/>
      </w:r>
      <w:r w:rsidRPr="005A4E1A">
        <w:rPr>
          <w:rFonts w:ascii="Times New Roman" w:eastAsia="Times New Roman" w:hAnsi="Times New Roman" w:cs="Times New Roman"/>
          <w:iCs/>
          <w:color w:val="222222"/>
          <w:shd w:val="clear" w:color="auto" w:fill="FFFFFF"/>
        </w:rPr>
        <w:t xml:space="preserve">, la </w:t>
      </w:r>
      <w:r w:rsidRPr="005A4E1A">
        <w:rPr>
          <w:rFonts w:ascii="Times New Roman" w:eastAsia="Times New Roman" w:hAnsi="Times New Roman" w:cs="Times New Roman"/>
          <w:i/>
          <w:iCs/>
          <w:color w:val="222222"/>
          <w:shd w:val="clear" w:color="auto" w:fill="FFFFFF"/>
        </w:rPr>
        <w:t>Lebensgeschichte</w:t>
      </w:r>
      <w:r w:rsidRPr="005A4E1A">
        <w:rPr>
          <w:rFonts w:ascii="Times New Roman" w:eastAsia="Times New Roman" w:hAnsi="Times New Roman" w:cs="Times New Roman"/>
          <w:iCs/>
          <w:color w:val="222222"/>
          <w:shd w:val="clear" w:color="auto" w:fill="FFFFFF"/>
        </w:rPr>
        <w:t xml:space="preserve"> non costituirà mai la base storico-filosofica delle voci “Qabbalah” e “Spinoza”. Altri modelli interpretativi saranno utilizzati: per il misticismo ebraico la </w:t>
      </w:r>
      <w:r w:rsidRPr="005A4E1A">
        <w:rPr>
          <w:rFonts w:ascii="Times New Roman" w:eastAsia="Times New Roman" w:hAnsi="Times New Roman" w:cs="Times New Roman"/>
          <w:i/>
          <w:iCs/>
          <w:color w:val="222222"/>
          <w:shd w:val="clear" w:color="auto" w:fill="FFFFFF"/>
        </w:rPr>
        <w:t>Historia critica philosohiae</w:t>
      </w:r>
      <w:r w:rsidRPr="005A4E1A">
        <w:rPr>
          <w:rFonts w:ascii="Times New Roman" w:eastAsia="Times New Roman" w:hAnsi="Times New Roman" w:cs="Times New Roman"/>
          <w:iCs/>
          <w:color w:val="222222"/>
          <w:shd w:val="clear" w:color="auto" w:fill="FFFFFF"/>
        </w:rPr>
        <w:t xml:space="preserve">; per lo spinozismo le </w:t>
      </w:r>
      <w:r w:rsidRPr="005A4E1A">
        <w:rPr>
          <w:rFonts w:ascii="Times New Roman" w:eastAsia="Times New Roman" w:hAnsi="Times New Roman" w:cs="Times New Roman"/>
          <w:i/>
          <w:iCs/>
          <w:color w:val="222222"/>
          <w:shd w:val="clear" w:color="auto" w:fill="FFFFFF"/>
        </w:rPr>
        <w:t>Spinozabriefe</w:t>
      </w:r>
      <w:r w:rsidRPr="005A4E1A">
        <w:rPr>
          <w:rFonts w:ascii="Times New Roman" w:eastAsia="Times New Roman" w:hAnsi="Times New Roman" w:cs="Times New Roman"/>
          <w:iCs/>
          <w:color w:val="222222"/>
          <w:shd w:val="clear" w:color="auto" w:fill="FFFFFF"/>
        </w:rPr>
        <w:t xml:space="preserve"> di Jacobi. L’unica eccezione sarà rappresentata da Hegel: a partire dalle </w:t>
      </w:r>
      <w:r w:rsidRPr="005A4E1A">
        <w:rPr>
          <w:rFonts w:ascii="Times New Roman" w:eastAsia="Times New Roman" w:hAnsi="Times New Roman" w:cs="Times New Roman"/>
          <w:i/>
          <w:iCs/>
          <w:color w:val="222222"/>
          <w:shd w:val="clear" w:color="auto" w:fill="FFFFFF"/>
        </w:rPr>
        <w:t>Vorlesungen</w:t>
      </w:r>
      <w:r w:rsidRPr="005A4E1A">
        <w:rPr>
          <w:rFonts w:ascii="Times New Roman" w:eastAsia="Times New Roman" w:hAnsi="Times New Roman" w:cs="Times New Roman"/>
          <w:iCs/>
          <w:color w:val="222222"/>
          <w:shd w:val="clear" w:color="auto" w:fill="FFFFFF"/>
        </w:rPr>
        <w:t xml:space="preserve"> del 1820/21, la nozione d’acosmismo sarà associata allo spinozismo. Un’eccezione, come vedremo, soltanto parziale, perché Hegel non applicherà questa chiave di lettura alla mistica ebraica, che sarà interpretata come un momento di transizione fra il pensiero </w:t>
      </w:r>
      <w:r>
        <w:rPr>
          <w:rFonts w:ascii="Times New Roman" w:eastAsia="Times New Roman" w:hAnsi="Times New Roman" w:cs="Times New Roman"/>
          <w:iCs/>
          <w:color w:val="222222"/>
          <w:shd w:val="clear" w:color="auto" w:fill="FFFFFF"/>
        </w:rPr>
        <w:t>di Filone d’Alessandria</w:t>
      </w:r>
      <w:r w:rsidRPr="005A4E1A">
        <w:rPr>
          <w:rFonts w:ascii="Times New Roman" w:eastAsia="Times New Roman" w:hAnsi="Times New Roman" w:cs="Times New Roman"/>
          <w:iCs/>
          <w:color w:val="222222"/>
          <w:shd w:val="clear" w:color="auto" w:fill="FFFFFF"/>
        </w:rPr>
        <w:t xml:space="preserve"> e la filosofia neoplatonica.</w:t>
      </w:r>
      <w:r>
        <w:rPr>
          <w:rFonts w:ascii="Times New Roman" w:eastAsia="Times New Roman" w:hAnsi="Times New Roman" w:cs="Times New Roman"/>
          <w:iCs/>
          <w:color w:val="222222"/>
          <w:shd w:val="clear" w:color="auto" w:fill="FFFFFF"/>
        </w:rPr>
        <w:t xml:space="preserve"> </w:t>
      </w:r>
      <w:r w:rsidRPr="005A4E1A">
        <w:rPr>
          <w:rFonts w:ascii="Times New Roman" w:eastAsia="Times New Roman" w:hAnsi="Times New Roman" w:cs="Times New Roman"/>
          <w:iCs/>
          <w:color w:val="222222"/>
          <w:shd w:val="clear" w:color="auto" w:fill="FFFFFF"/>
        </w:rPr>
        <w:t xml:space="preserve">Riguardo dell’interpretazione hegeliana dello spinozismo come acosmismo, mi sia concessa un’osservazione ad un tempo conclusiva e anticipativa: da un lato, l’acosmismo libererà la filosofia di Spinoza dall’accusa d’ateismo; dall’altro lato, l’unità della sostanza sarà considerata come un semplice positivo, come un essere indeterminato, non passibile di ulteriore sviluppo. Ad un filtro interpretativo positivo, Hegel ne sovrapporrà uno negativo (jacobiano): i principi </w:t>
      </w:r>
      <w:r w:rsidRPr="005A4E1A">
        <w:rPr>
          <w:rFonts w:ascii="Times New Roman" w:eastAsia="Times New Roman" w:hAnsi="Times New Roman" w:cs="Times New Roman"/>
          <w:i/>
          <w:iCs/>
          <w:color w:val="222222"/>
          <w:shd w:val="clear" w:color="auto" w:fill="FFFFFF"/>
        </w:rPr>
        <w:t>a nihilo nihl fit</w:t>
      </w:r>
      <w:r w:rsidRPr="005A4E1A">
        <w:rPr>
          <w:rFonts w:ascii="Times New Roman" w:eastAsia="Times New Roman" w:hAnsi="Times New Roman" w:cs="Times New Roman"/>
          <w:iCs/>
          <w:color w:val="222222"/>
          <w:shd w:val="clear" w:color="auto" w:fill="FFFFFF"/>
        </w:rPr>
        <w:t xml:space="preserve"> e </w:t>
      </w:r>
      <w:r w:rsidRPr="005A4E1A">
        <w:rPr>
          <w:rFonts w:ascii="Times New Roman" w:eastAsia="Times New Roman" w:hAnsi="Times New Roman" w:cs="Times New Roman"/>
          <w:i/>
          <w:iCs/>
          <w:color w:val="222222"/>
          <w:shd w:val="clear" w:color="auto" w:fill="FFFFFF"/>
        </w:rPr>
        <w:t>determinatio est negatio</w:t>
      </w:r>
      <w:r w:rsidRPr="005A4E1A">
        <w:rPr>
          <w:rFonts w:ascii="Times New Roman" w:eastAsia="Times New Roman" w:hAnsi="Times New Roman" w:cs="Times New Roman"/>
          <w:iCs/>
          <w:color w:val="222222"/>
          <w:shd w:val="clear" w:color="auto" w:fill="FFFFFF"/>
        </w:rPr>
        <w:t xml:space="preserve">, inseriti entrambi nella seconda edizione della </w:t>
      </w:r>
      <w:r w:rsidRPr="005A4E1A">
        <w:rPr>
          <w:rFonts w:ascii="Times New Roman" w:eastAsia="Times New Roman" w:hAnsi="Times New Roman" w:cs="Times New Roman"/>
          <w:i/>
          <w:iCs/>
          <w:color w:val="222222"/>
          <w:shd w:val="clear" w:color="auto" w:fill="FFFFFF"/>
        </w:rPr>
        <w:t>Logik des Seyns</w:t>
      </w:r>
      <w:r w:rsidRPr="005A4E1A">
        <w:rPr>
          <w:rFonts w:ascii="Times New Roman" w:eastAsia="Times New Roman" w:hAnsi="Times New Roman" w:cs="Times New Roman"/>
          <w:iCs/>
          <w:color w:val="222222"/>
          <w:shd w:val="clear" w:color="auto" w:fill="FFFFFF"/>
        </w:rPr>
        <w:t>, rappresenteranno, assieme alla categoria d’</w:t>
      </w:r>
      <w:r w:rsidRPr="00FB6216">
        <w:rPr>
          <w:rFonts w:ascii="Times New Roman" w:eastAsia="Times New Roman" w:hAnsi="Times New Roman" w:cs="Times New Roman"/>
          <w:i/>
          <w:iCs/>
          <w:color w:val="222222"/>
          <w:shd w:val="clear" w:color="auto" w:fill="FFFFFF"/>
        </w:rPr>
        <w:t>acosmismo</w:t>
      </w:r>
      <w:r w:rsidRPr="005A4E1A">
        <w:rPr>
          <w:rFonts w:ascii="Times New Roman" w:eastAsia="Times New Roman" w:hAnsi="Times New Roman" w:cs="Times New Roman"/>
          <w:iCs/>
          <w:color w:val="222222"/>
          <w:shd w:val="clear" w:color="auto" w:fill="FFFFFF"/>
        </w:rPr>
        <w:t xml:space="preserve">, l’ultimo tassello dell’interpretazione hegeliana della filosofia di Spinoza. Un’interpretazione, lo si vedrà nel proseguo di questo capitolo, che accetta il cabbalismo di fondo dello spinozismo e lo declina secondo due direttrici antitetiche e parimenti riconducibili a quel retroterra teorico fertilissimo rappresentato dallo </w:t>
      </w:r>
      <w:r w:rsidRPr="005A4E1A">
        <w:rPr>
          <w:rFonts w:ascii="Times New Roman" w:eastAsia="Times New Roman" w:hAnsi="Times New Roman" w:cs="Times New Roman"/>
          <w:i/>
          <w:iCs/>
          <w:color w:val="222222"/>
          <w:shd w:val="clear" w:color="auto" w:fill="FFFFFF"/>
        </w:rPr>
        <w:t>Spinozismusstreit</w:t>
      </w:r>
      <w:r w:rsidRPr="005A4E1A">
        <w:rPr>
          <w:rFonts w:ascii="Times New Roman" w:eastAsia="Times New Roman" w:hAnsi="Times New Roman" w:cs="Times New Roman"/>
          <w:iCs/>
          <w:color w:val="222222"/>
          <w:shd w:val="clear" w:color="auto" w:fill="FFFFFF"/>
        </w:rPr>
        <w:t>.</w:t>
      </w:r>
    </w:p>
    <w:p w14:paraId="168AD2BE" w14:textId="77777777" w:rsidR="001B7751" w:rsidRDefault="001B7751" w:rsidP="001B7751">
      <w:pPr>
        <w:spacing w:line="360" w:lineRule="auto"/>
        <w:ind w:firstLine="567"/>
        <w:jc w:val="both"/>
        <w:rPr>
          <w:rFonts w:ascii="Times New Roman" w:eastAsia="Times New Roman" w:hAnsi="Times New Roman" w:cs="Times New Roman"/>
          <w:iCs/>
          <w:color w:val="222222"/>
          <w:shd w:val="clear" w:color="auto" w:fill="FFFFFF"/>
        </w:rPr>
      </w:pPr>
    </w:p>
    <w:p w14:paraId="66C38316" w14:textId="7A0F9FEA" w:rsidR="001B7751" w:rsidRPr="00031C12" w:rsidRDefault="001B7751" w:rsidP="001B7751">
      <w:pPr>
        <w:spacing w:line="360" w:lineRule="auto"/>
        <w:jc w:val="both"/>
        <w:rPr>
          <w:rFonts w:ascii="Times New Roman" w:eastAsia="Times New Roman" w:hAnsi="Times New Roman" w:cs="Times New Roman"/>
          <w:i/>
          <w:iCs/>
          <w:color w:val="222222"/>
          <w:shd w:val="clear" w:color="auto" w:fill="FFFFFF"/>
        </w:rPr>
      </w:pPr>
      <w:r>
        <w:rPr>
          <w:rFonts w:ascii="Times New Roman" w:eastAsia="Times New Roman" w:hAnsi="Times New Roman" w:cs="Times New Roman"/>
          <w:i/>
          <w:iCs/>
          <w:color w:val="222222"/>
          <w:shd w:val="clear" w:color="auto" w:fill="FFFFFF"/>
        </w:rPr>
        <w:t>3.</w:t>
      </w:r>
      <w:r w:rsidRPr="00203005">
        <w:rPr>
          <w:rFonts w:ascii="Times New Roman" w:eastAsia="Times New Roman" w:hAnsi="Times New Roman" w:cs="Times New Roman"/>
          <w:i/>
          <w:iCs/>
          <w:color w:val="222222"/>
          <w:shd w:val="clear" w:color="auto" w:fill="FFFFFF"/>
        </w:rPr>
        <w:t>5 Materialismo cabbalisti</w:t>
      </w:r>
      <w:r w:rsidR="00134435">
        <w:rPr>
          <w:rFonts w:ascii="Times New Roman" w:eastAsia="Times New Roman" w:hAnsi="Times New Roman" w:cs="Times New Roman"/>
          <w:i/>
          <w:iCs/>
          <w:color w:val="222222"/>
          <w:shd w:val="clear" w:color="auto" w:fill="FFFFFF"/>
        </w:rPr>
        <w:t xml:space="preserve">co e nichilismo spinoziano. Il </w:t>
      </w:r>
      <w:r w:rsidRPr="00134435">
        <w:rPr>
          <w:rFonts w:ascii="Times New Roman" w:eastAsia="Times New Roman" w:hAnsi="Times New Roman" w:cs="Times New Roman"/>
          <w:iCs/>
          <w:color w:val="222222"/>
          <w:shd w:val="clear" w:color="auto" w:fill="FFFFFF"/>
        </w:rPr>
        <w:t>Geist der spekulativen Philosophie</w:t>
      </w:r>
      <w:r w:rsidR="00134435">
        <w:rPr>
          <w:rFonts w:ascii="Times New Roman" w:eastAsia="Times New Roman" w:hAnsi="Times New Roman" w:cs="Times New Roman"/>
          <w:i/>
          <w:iCs/>
          <w:color w:val="222222"/>
          <w:shd w:val="clear" w:color="auto" w:fill="FFFFFF"/>
        </w:rPr>
        <w:t xml:space="preserve"> fra lo </w:t>
      </w:r>
      <w:r w:rsidR="00A76F84">
        <w:rPr>
          <w:rFonts w:ascii="Times New Roman" w:eastAsia="Times New Roman" w:hAnsi="Times New Roman" w:cs="Times New Roman"/>
          <w:iCs/>
          <w:color w:val="222222"/>
          <w:shd w:val="clear" w:color="auto" w:fill="FFFFFF"/>
        </w:rPr>
        <w:t>Spinozismus in J</w:t>
      </w:r>
      <w:r w:rsidR="00A76F84" w:rsidRPr="00A76F84">
        <w:rPr>
          <w:rFonts w:ascii="Times New Roman" w:eastAsia="Times New Roman" w:hAnsi="Times New Roman" w:cs="Times New Roman"/>
          <w:iCs/>
          <w:color w:val="222222"/>
          <w:shd w:val="clear" w:color="auto" w:fill="FFFFFF"/>
          <w:lang w:val="de-DE"/>
        </w:rPr>
        <w:t>ü</w:t>
      </w:r>
      <w:r w:rsidRPr="00A76F84">
        <w:rPr>
          <w:rFonts w:ascii="Times New Roman" w:eastAsia="Times New Roman" w:hAnsi="Times New Roman" w:cs="Times New Roman"/>
          <w:iCs/>
          <w:color w:val="222222"/>
          <w:shd w:val="clear" w:color="auto" w:fill="FFFFFF"/>
        </w:rPr>
        <w:t>d</w:t>
      </w:r>
      <w:r w:rsidRPr="00134435">
        <w:rPr>
          <w:rFonts w:ascii="Times New Roman" w:eastAsia="Times New Roman" w:hAnsi="Times New Roman" w:cs="Times New Roman"/>
          <w:iCs/>
          <w:color w:val="222222"/>
          <w:shd w:val="clear" w:color="auto" w:fill="FFFFFF"/>
        </w:rPr>
        <w:t>enthumb</w:t>
      </w:r>
      <w:r w:rsidR="00134435">
        <w:rPr>
          <w:rFonts w:ascii="Times New Roman" w:eastAsia="Times New Roman" w:hAnsi="Times New Roman" w:cs="Times New Roman"/>
          <w:i/>
          <w:iCs/>
          <w:color w:val="222222"/>
          <w:shd w:val="clear" w:color="auto" w:fill="FFFFFF"/>
        </w:rPr>
        <w:t xml:space="preserve"> e le </w:t>
      </w:r>
      <w:r w:rsidRPr="00134435">
        <w:rPr>
          <w:rFonts w:ascii="Times New Roman" w:eastAsia="Times New Roman" w:hAnsi="Times New Roman" w:cs="Times New Roman"/>
          <w:iCs/>
          <w:color w:val="222222"/>
          <w:shd w:val="clear" w:color="auto" w:fill="FFFFFF"/>
        </w:rPr>
        <w:t>Spinozabriefe</w:t>
      </w:r>
    </w:p>
    <w:p w14:paraId="7588C871" w14:textId="77777777" w:rsidR="001B7751" w:rsidRDefault="001B7751" w:rsidP="001B7751">
      <w:pPr>
        <w:spacing w:line="360" w:lineRule="auto"/>
        <w:ind w:left="567" w:firstLine="567"/>
        <w:jc w:val="both"/>
        <w:rPr>
          <w:rFonts w:ascii="Times New Roman" w:eastAsia="Times New Roman" w:hAnsi="Times New Roman" w:cs="Times New Roman"/>
          <w:b/>
          <w:iCs/>
          <w:color w:val="222222"/>
          <w:shd w:val="clear" w:color="auto" w:fill="FFFFFF"/>
        </w:rPr>
      </w:pPr>
    </w:p>
    <w:p w14:paraId="1B7E9502" w14:textId="7430F5AB" w:rsidR="001B7751" w:rsidRDefault="001B7751" w:rsidP="001B7751">
      <w:pPr>
        <w:spacing w:line="360" w:lineRule="auto"/>
        <w:ind w:firstLine="567"/>
        <w:jc w:val="both"/>
        <w:rPr>
          <w:rFonts w:ascii="Times New Roman" w:eastAsia="Times New Roman" w:hAnsi="Times New Roman" w:cs="Times New Roman"/>
          <w:iCs/>
          <w:color w:val="222222"/>
          <w:shd w:val="clear" w:color="auto" w:fill="FFFFFF"/>
        </w:rPr>
      </w:pPr>
      <w:r w:rsidRPr="00864C20">
        <w:rPr>
          <w:rFonts w:ascii="Times New Roman" w:eastAsia="Times New Roman" w:hAnsi="Times New Roman" w:cs="Times New Roman"/>
          <w:iCs/>
          <w:color w:val="222222"/>
          <w:shd w:val="clear" w:color="auto" w:fill="FFFFFF"/>
        </w:rPr>
        <w:t>È tempo di vedere in che modo la storiografia tardo settecentesca riprenda quanto introdotto</w:t>
      </w:r>
      <w:r w:rsidRPr="002F3139">
        <w:rPr>
          <w:rFonts w:ascii="Times New Roman" w:eastAsia="Times New Roman" w:hAnsi="Times New Roman" w:cs="Times New Roman"/>
          <w:iCs/>
          <w:color w:val="222222"/>
          <w:shd w:val="clear" w:color="auto" w:fill="FFFFFF"/>
        </w:rPr>
        <w:t xml:space="preserve"> nei precedenti sottocapitoli.</w:t>
      </w:r>
      <w:r>
        <w:rPr>
          <w:rFonts w:ascii="Times New Roman" w:eastAsia="Times New Roman" w:hAnsi="Times New Roman" w:cs="Times New Roman"/>
          <w:iCs/>
          <w:color w:val="222222"/>
          <w:shd w:val="clear" w:color="auto" w:fill="FFFFFF"/>
        </w:rPr>
        <w:t xml:space="preserve"> Il primo storico della filosofia di cui ci oc</w:t>
      </w:r>
      <w:r w:rsidR="00981E73">
        <w:rPr>
          <w:rFonts w:ascii="Times New Roman" w:eastAsia="Times New Roman" w:hAnsi="Times New Roman" w:cs="Times New Roman"/>
          <w:iCs/>
          <w:color w:val="222222"/>
          <w:shd w:val="clear" w:color="auto" w:fill="FFFFFF"/>
        </w:rPr>
        <w:t xml:space="preserve">cuperemo è Dietrich Tiedemann, </w:t>
      </w:r>
      <w:r w:rsidR="00021560">
        <w:rPr>
          <w:rFonts w:ascii="Times New Roman" w:eastAsia="Times New Roman" w:hAnsi="Times New Roman" w:cs="Times New Roman"/>
          <w:iCs/>
          <w:color w:val="222222"/>
          <w:shd w:val="clear" w:color="auto" w:fill="FFFFFF"/>
        </w:rPr>
        <w:t>autore</w:t>
      </w:r>
      <w:r>
        <w:rPr>
          <w:rFonts w:ascii="Times New Roman" w:eastAsia="Times New Roman" w:hAnsi="Times New Roman" w:cs="Times New Roman"/>
          <w:iCs/>
          <w:color w:val="222222"/>
          <w:shd w:val="clear" w:color="auto" w:fill="FFFFFF"/>
        </w:rPr>
        <w:t xml:space="preserve">, fra il 1791 e il 1797, del </w:t>
      </w:r>
      <w:r w:rsidRPr="006C40E3">
        <w:rPr>
          <w:rFonts w:ascii="Times New Roman" w:eastAsia="Times New Roman" w:hAnsi="Times New Roman" w:cs="Times New Roman"/>
          <w:i/>
          <w:iCs/>
          <w:color w:val="222222"/>
          <w:shd w:val="clear" w:color="auto" w:fill="FFFFFF"/>
        </w:rPr>
        <w:t>Geist der spekulativen Philosophie</w:t>
      </w:r>
      <w:r w:rsidRPr="00290573">
        <w:rPr>
          <w:rStyle w:val="Rimandonotaapidipagina"/>
          <w:rFonts w:ascii="Times New Roman" w:eastAsia="Times New Roman" w:hAnsi="Times New Roman" w:cs="Times New Roman"/>
          <w:iCs/>
          <w:color w:val="222222"/>
          <w:shd w:val="clear" w:color="auto" w:fill="FFFFFF"/>
        </w:rPr>
        <w:footnoteReference w:id="642"/>
      </w:r>
      <w:r w:rsidRPr="00290573">
        <w:rPr>
          <w:rFonts w:ascii="Times New Roman" w:eastAsia="Times New Roman" w:hAnsi="Times New Roman" w:cs="Times New Roman"/>
          <w:iCs/>
          <w:color w:val="222222"/>
          <w:shd w:val="clear" w:color="auto" w:fill="FFFFFF"/>
        </w:rPr>
        <w:t>.</w:t>
      </w:r>
      <w:r>
        <w:rPr>
          <w:rFonts w:ascii="Times New Roman" w:eastAsia="Times New Roman" w:hAnsi="Times New Roman" w:cs="Times New Roman"/>
          <w:iCs/>
          <w:color w:val="222222"/>
          <w:shd w:val="clear" w:color="auto" w:fill="FFFFFF"/>
        </w:rPr>
        <w:t xml:space="preserve"> Pur non fornendo una definizione precisa di che cosa sia la storia della filosofia, Tiedemann applica, nella ricostruzione del pensiero filosofico, tre linee guida</w:t>
      </w:r>
      <w:r w:rsidRPr="00C54850">
        <w:rPr>
          <w:rFonts w:ascii="Times New Roman" w:eastAsia="Times New Roman" w:hAnsi="Times New Roman" w:cs="Times New Roman"/>
          <w:iCs/>
          <w:color w:val="222222"/>
          <w:shd w:val="clear" w:color="auto" w:fill="FFFFFF"/>
        </w:rPr>
        <w:t>: 1. conoscenza delle fonti primarie, 2. ricostruzione dei contesti storico-culturali in cui si sono sviluppati i diversi sistemi di pensiero, 3. valutazione delle singole filosofie sulla base del progresso compiuto dall’intelletto umano</w:t>
      </w:r>
      <w:r w:rsidRPr="00C54850">
        <w:rPr>
          <w:rStyle w:val="Rimandonotaapidipagina"/>
          <w:rFonts w:ascii="Times New Roman" w:eastAsia="Times New Roman" w:hAnsi="Times New Roman" w:cs="Times New Roman"/>
          <w:iCs/>
          <w:color w:val="222222"/>
          <w:shd w:val="clear" w:color="auto" w:fill="FFFFFF"/>
        </w:rPr>
        <w:footnoteReference w:id="643"/>
      </w:r>
      <w:r w:rsidRPr="00C54850">
        <w:rPr>
          <w:rFonts w:ascii="Times New Roman" w:eastAsia="Times New Roman" w:hAnsi="Times New Roman" w:cs="Times New Roman"/>
          <w:iCs/>
          <w:color w:val="222222"/>
          <w:shd w:val="clear" w:color="auto" w:fill="FFFFFF"/>
        </w:rPr>
        <w:t>.</w:t>
      </w:r>
      <w:r>
        <w:rPr>
          <w:rFonts w:ascii="Times New Roman" w:eastAsia="Times New Roman" w:hAnsi="Times New Roman" w:cs="Times New Roman"/>
          <w:iCs/>
          <w:color w:val="222222"/>
          <w:shd w:val="clear" w:color="auto" w:fill="FFFFFF"/>
        </w:rPr>
        <w:t xml:space="preserve"> In linea di massima, i primi due punti non differiscono dall’idea di storia della filosofia sviluppata da Brucker. Anche il terzo punto non si discosta dalla metodologia eclettica bruckeriana, che valuta la coerenza di un </w:t>
      </w:r>
      <w:r w:rsidRPr="00203005">
        <w:rPr>
          <w:rFonts w:ascii="Times New Roman" w:eastAsia="Times New Roman" w:hAnsi="Times New Roman" w:cs="Times New Roman"/>
          <w:iCs/>
          <w:color w:val="222222"/>
          <w:shd w:val="clear" w:color="auto" w:fill="FFFFFF"/>
        </w:rPr>
        <w:t>sistema filosofico a partire dalla chiarezza dei suoi principi e dalla conseguenza delle sue dimostrazioni. Rispetto</w:t>
      </w:r>
      <w:r w:rsidRPr="00C54850">
        <w:rPr>
          <w:rFonts w:ascii="Times New Roman" w:eastAsia="Times New Roman" w:hAnsi="Times New Roman" w:cs="Times New Roman"/>
          <w:iCs/>
          <w:color w:val="222222"/>
          <w:shd w:val="clear" w:color="auto" w:fill="FFFFFF"/>
        </w:rPr>
        <w:t xml:space="preserve"> alla</w:t>
      </w:r>
      <w:r w:rsidRPr="00C54850">
        <w:rPr>
          <w:rFonts w:ascii="Times New Roman" w:eastAsia="Times New Roman" w:hAnsi="Times New Roman" w:cs="Times New Roman"/>
          <w:i/>
          <w:iCs/>
          <w:color w:val="222222"/>
          <w:shd w:val="clear" w:color="auto" w:fill="FFFFFF"/>
        </w:rPr>
        <w:t xml:space="preserve"> Historia critica philosophiae</w:t>
      </w:r>
      <w:r w:rsidRPr="00C54850">
        <w:rPr>
          <w:rFonts w:ascii="Times New Roman" w:eastAsia="Times New Roman" w:hAnsi="Times New Roman" w:cs="Times New Roman"/>
          <w:iCs/>
          <w:color w:val="222222"/>
          <w:shd w:val="clear" w:color="auto" w:fill="FFFFFF"/>
        </w:rPr>
        <w:t xml:space="preserve">, il </w:t>
      </w:r>
      <w:r w:rsidRPr="00C54850">
        <w:rPr>
          <w:rFonts w:ascii="Times New Roman" w:eastAsia="Times New Roman" w:hAnsi="Times New Roman" w:cs="Times New Roman"/>
          <w:i/>
          <w:iCs/>
          <w:color w:val="222222"/>
          <w:shd w:val="clear" w:color="auto" w:fill="FFFFFF"/>
        </w:rPr>
        <w:t>Geist der spekulativen Philosophie</w:t>
      </w:r>
      <w:r w:rsidRPr="00C54850">
        <w:rPr>
          <w:rFonts w:ascii="Times New Roman" w:eastAsia="Times New Roman" w:hAnsi="Times New Roman" w:cs="Times New Roman"/>
          <w:iCs/>
          <w:color w:val="222222"/>
          <w:shd w:val="clear" w:color="auto" w:fill="FFFFFF"/>
        </w:rPr>
        <w:t xml:space="preserve"> assume un criterio valutativo più flessibile e meno dipendente da un preciso indirizzo filosofico (non si dimentichi che l’eclettismo è profondamente </w:t>
      </w:r>
      <w:r w:rsidRPr="00C54850">
        <w:rPr>
          <w:rFonts w:ascii="Times New Roman" w:eastAsia="Times New Roman" w:hAnsi="Times New Roman" w:cs="Times New Roman"/>
          <w:i/>
          <w:iCs/>
          <w:color w:val="222222"/>
          <w:shd w:val="clear" w:color="auto" w:fill="FFFFFF"/>
        </w:rPr>
        <w:t>razionalistico</w:t>
      </w:r>
      <w:r w:rsidRPr="00C54850">
        <w:rPr>
          <w:rFonts w:ascii="Times New Roman" w:eastAsia="Times New Roman" w:hAnsi="Times New Roman" w:cs="Times New Roman"/>
          <w:iCs/>
          <w:color w:val="222222"/>
          <w:shd w:val="clear" w:color="auto" w:fill="FFFFFF"/>
        </w:rPr>
        <w:t>): una filosofia è tanto più sviluppata quanto più è conseguente</w:t>
      </w:r>
      <w:r w:rsidR="006428B9">
        <w:rPr>
          <w:rFonts w:ascii="Times New Roman" w:eastAsia="Times New Roman" w:hAnsi="Times New Roman" w:cs="Times New Roman"/>
          <w:iCs/>
          <w:color w:val="222222"/>
          <w:shd w:val="clear" w:color="auto" w:fill="FFFFFF"/>
        </w:rPr>
        <w:t xml:space="preserve"> e quanto più ha influito sullo </w:t>
      </w:r>
      <w:r w:rsidRPr="00C54850">
        <w:rPr>
          <w:rFonts w:ascii="Times New Roman" w:eastAsia="Times New Roman" w:hAnsi="Times New Roman" w:cs="Times New Roman"/>
          <w:iCs/>
          <w:color w:val="222222"/>
          <w:shd w:val="clear" w:color="auto" w:fill="FFFFFF"/>
        </w:rPr>
        <w:t>sviluppo complessivo della scienza</w:t>
      </w:r>
      <w:r w:rsidRPr="00C54850">
        <w:rPr>
          <w:rStyle w:val="Rimandonotaapidipagina"/>
          <w:rFonts w:ascii="Times New Roman" w:eastAsia="Times New Roman" w:hAnsi="Times New Roman" w:cs="Times New Roman"/>
          <w:iCs/>
          <w:color w:val="222222"/>
          <w:shd w:val="clear" w:color="auto" w:fill="FFFFFF"/>
        </w:rPr>
        <w:footnoteReference w:id="644"/>
      </w:r>
      <w:r w:rsidRPr="00C54850">
        <w:rPr>
          <w:rFonts w:ascii="Times New Roman" w:eastAsia="Times New Roman" w:hAnsi="Times New Roman" w:cs="Times New Roman"/>
          <w:iCs/>
          <w:color w:val="222222"/>
          <w:shd w:val="clear" w:color="auto" w:fill="FFFFFF"/>
        </w:rPr>
        <w:t>.</w:t>
      </w:r>
      <w:r>
        <w:rPr>
          <w:rFonts w:ascii="Times New Roman" w:eastAsia="Times New Roman" w:hAnsi="Times New Roman" w:cs="Times New Roman"/>
          <w:iCs/>
          <w:color w:val="222222"/>
          <w:shd w:val="clear" w:color="auto" w:fill="FFFFFF"/>
        </w:rPr>
        <w:t xml:space="preserve"> </w:t>
      </w:r>
    </w:p>
    <w:p w14:paraId="62272E3D" w14:textId="77777777" w:rsidR="001B7751" w:rsidRDefault="001B7751" w:rsidP="001B7751">
      <w:pPr>
        <w:spacing w:line="360" w:lineRule="auto"/>
        <w:ind w:firstLine="567"/>
        <w:jc w:val="both"/>
        <w:rPr>
          <w:rFonts w:ascii="Times New Roman" w:hAnsi="Times New Roman" w:cs="Times New Roman"/>
        </w:rPr>
      </w:pPr>
      <w:r w:rsidRPr="00EF3635">
        <w:rPr>
          <w:rFonts w:ascii="Times New Roman" w:eastAsia="Times New Roman" w:hAnsi="Times New Roman" w:cs="Times New Roman"/>
          <w:iCs/>
          <w:color w:val="222222"/>
          <w:shd w:val="clear" w:color="auto" w:fill="FFFFFF"/>
        </w:rPr>
        <w:t>Sulla base di questi principi metodologici, è possibile definire quello che Tiedemann considera il ruolo svolto dalla mistica ebraica nella storia del pensiero filosofico.</w:t>
      </w:r>
      <w:r>
        <w:rPr>
          <w:rFonts w:ascii="Times New Roman" w:eastAsia="Times New Roman" w:hAnsi="Times New Roman" w:cs="Times New Roman"/>
          <w:iCs/>
          <w:color w:val="222222"/>
          <w:shd w:val="clear" w:color="auto" w:fill="FFFFFF"/>
        </w:rPr>
        <w:t xml:space="preserve"> </w:t>
      </w:r>
      <w:r w:rsidRPr="00EF3635">
        <w:rPr>
          <w:rFonts w:ascii="Times New Roman" w:eastAsia="Times New Roman" w:hAnsi="Times New Roman" w:cs="Times New Roman"/>
          <w:iCs/>
          <w:color w:val="222222"/>
          <w:shd w:val="clear" w:color="auto" w:fill="FFFFFF"/>
        </w:rPr>
        <w:t xml:space="preserve">Riguardo alla cornice storico-culturale in cui fiorì il pensiero cabbalistico, il </w:t>
      </w:r>
      <w:r w:rsidRPr="00EF3635">
        <w:rPr>
          <w:rFonts w:ascii="Times New Roman" w:eastAsia="Times New Roman" w:hAnsi="Times New Roman" w:cs="Times New Roman"/>
          <w:i/>
          <w:iCs/>
          <w:color w:val="222222"/>
          <w:shd w:val="clear" w:color="auto" w:fill="FFFFFF"/>
        </w:rPr>
        <w:t>Geist der spekulativen Philosophie</w:t>
      </w:r>
      <w:r w:rsidRPr="00EF3635">
        <w:rPr>
          <w:rFonts w:ascii="Times New Roman" w:eastAsia="Times New Roman" w:hAnsi="Times New Roman" w:cs="Times New Roman"/>
          <w:iCs/>
          <w:color w:val="222222"/>
          <w:shd w:val="clear" w:color="auto" w:fill="FFFFFF"/>
        </w:rPr>
        <w:t xml:space="preserve"> offre delle note scarne, che vertono, perlopiù, su una </w:t>
      </w:r>
      <w:r>
        <w:rPr>
          <w:rFonts w:ascii="Times New Roman" w:eastAsia="Times New Roman" w:hAnsi="Times New Roman" w:cs="Times New Roman"/>
          <w:iCs/>
          <w:color w:val="222222"/>
          <w:shd w:val="clear" w:color="auto" w:fill="FFFFFF"/>
        </w:rPr>
        <w:t>disamina</w:t>
      </w:r>
      <w:r w:rsidRPr="00EF3635">
        <w:rPr>
          <w:rFonts w:ascii="Times New Roman" w:eastAsia="Times New Roman" w:hAnsi="Times New Roman" w:cs="Times New Roman"/>
          <w:iCs/>
          <w:color w:val="222222"/>
          <w:shd w:val="clear" w:color="auto" w:fill="FFFFFF"/>
        </w:rPr>
        <w:t xml:space="preserve"> della </w:t>
      </w:r>
      <w:r w:rsidRPr="003371F6">
        <w:rPr>
          <w:rFonts w:ascii="Times New Roman" w:eastAsia="Times New Roman" w:hAnsi="Times New Roman" w:cs="Times New Roman"/>
          <w:iCs/>
          <w:color w:val="222222"/>
          <w:shd w:val="clear" w:color="auto" w:fill="FFFFFF"/>
        </w:rPr>
        <w:t xml:space="preserve">letteratura cabbalistica. Gli </w:t>
      </w:r>
      <w:r w:rsidRPr="00651E24">
        <w:rPr>
          <w:rFonts w:ascii="Times New Roman" w:eastAsia="Times New Roman" w:hAnsi="Times New Roman" w:cs="Times New Roman"/>
          <w:iCs/>
          <w:color w:val="222222"/>
          <w:shd w:val="clear" w:color="auto" w:fill="FFFFFF"/>
        </w:rPr>
        <w:t>«Hauptbücher der Cabbalistenlehren</w:t>
      </w:r>
      <w:r w:rsidRPr="00651E24">
        <w:rPr>
          <w:rFonts w:ascii="Times New Roman" w:hAnsi="Times New Roman" w:cs="Times New Roman"/>
        </w:rPr>
        <w:t>»</w:t>
      </w:r>
      <w:r w:rsidRPr="00651E24">
        <w:rPr>
          <w:rStyle w:val="Rimandonotaapidipagina"/>
          <w:rFonts w:ascii="Times New Roman" w:eastAsia="Times New Roman" w:hAnsi="Times New Roman" w:cs="Times New Roman"/>
          <w:iCs/>
          <w:color w:val="222222"/>
          <w:shd w:val="clear" w:color="auto" w:fill="FFFFFF"/>
        </w:rPr>
        <w:footnoteReference w:id="645"/>
      </w:r>
      <w:r w:rsidRPr="003371F6">
        <w:rPr>
          <w:rFonts w:ascii="Times New Roman" w:hAnsi="Times New Roman" w:cs="Times New Roman"/>
        </w:rPr>
        <w:t xml:space="preserve"> sono il </w:t>
      </w:r>
      <w:r w:rsidRPr="003371F6">
        <w:rPr>
          <w:rFonts w:ascii="Times New Roman" w:hAnsi="Times New Roman" w:cs="Times New Roman"/>
          <w:i/>
        </w:rPr>
        <w:t xml:space="preserve">Sefer Jeziarah </w:t>
      </w:r>
      <w:r w:rsidRPr="003371F6">
        <w:rPr>
          <w:rFonts w:ascii="Times New Roman" w:hAnsi="Times New Roman" w:cs="Times New Roman"/>
        </w:rPr>
        <w:t xml:space="preserve">e lo </w:t>
      </w:r>
      <w:r w:rsidRPr="003371F6">
        <w:rPr>
          <w:rFonts w:ascii="Times New Roman" w:hAnsi="Times New Roman" w:cs="Times New Roman"/>
          <w:i/>
        </w:rPr>
        <w:t>Zohar</w:t>
      </w:r>
      <w:r w:rsidRPr="003371F6">
        <w:rPr>
          <w:rFonts w:ascii="Times New Roman" w:hAnsi="Times New Roman" w:cs="Times New Roman"/>
        </w:rPr>
        <w:t>:</w:t>
      </w:r>
    </w:p>
    <w:p w14:paraId="1425C310" w14:textId="77777777" w:rsidR="001B7751" w:rsidRDefault="001B7751" w:rsidP="001B7751">
      <w:pPr>
        <w:spacing w:line="360" w:lineRule="auto"/>
        <w:ind w:left="567" w:firstLine="567"/>
        <w:jc w:val="both"/>
        <w:rPr>
          <w:rFonts w:ascii="Times New Roman" w:hAnsi="Times New Roman" w:cs="Times New Roman"/>
        </w:rPr>
      </w:pPr>
    </w:p>
    <w:p w14:paraId="07B8FBAE" w14:textId="77777777" w:rsidR="001B7751" w:rsidRPr="00676316" w:rsidRDefault="001B7751" w:rsidP="001B7751">
      <w:pPr>
        <w:spacing w:line="360" w:lineRule="auto"/>
        <w:ind w:left="567" w:firstLine="567"/>
        <w:jc w:val="both"/>
        <w:rPr>
          <w:rFonts w:ascii="Times New Roman" w:hAnsi="Times New Roman" w:cs="Times New Roman"/>
          <w:sz w:val="20"/>
          <w:szCs w:val="20"/>
        </w:rPr>
      </w:pPr>
      <w:r w:rsidRPr="00676316">
        <w:rPr>
          <w:rFonts w:ascii="Times New Roman" w:hAnsi="Times New Roman" w:cs="Times New Roman"/>
          <w:sz w:val="20"/>
          <w:szCs w:val="20"/>
        </w:rPr>
        <w:t>«</w:t>
      </w:r>
      <w:r w:rsidRPr="00676316">
        <w:rPr>
          <w:rFonts w:ascii="Times New Roman" w:hAnsi="Times New Roman" w:cs="Times New Roman"/>
          <w:sz w:val="20"/>
          <w:szCs w:val="20"/>
          <w:lang w:val="de-DE"/>
        </w:rPr>
        <w:t>Aus den beyden eben gennanten Hauptbüchern die Cabbalistenlehren herauszuziehen, und in einige Verbindung zu bringen, würde höchst saure, und noch dazu wenig verdienstliche Mühe seyn; weil die Dunkelheit beyder, selbst den Kindern Israels manchen Commentar abgenötigt, und der Mangel an philosophische Zusammenhange, zu angestrengtem Nachdenken sie gezwungen hat</w:t>
      </w:r>
      <w:r w:rsidRPr="00676316">
        <w:rPr>
          <w:rFonts w:ascii="Times New Roman" w:hAnsi="Times New Roman" w:cs="Times New Roman"/>
          <w:sz w:val="20"/>
          <w:szCs w:val="20"/>
        </w:rPr>
        <w:t>»</w:t>
      </w:r>
      <w:r w:rsidRPr="00676316">
        <w:rPr>
          <w:rStyle w:val="Rimandonotaapidipagina"/>
          <w:rFonts w:ascii="Times New Roman" w:hAnsi="Times New Roman" w:cs="Times New Roman"/>
          <w:sz w:val="20"/>
          <w:szCs w:val="20"/>
        </w:rPr>
        <w:footnoteReference w:id="646"/>
      </w:r>
      <w:r w:rsidRPr="00676316">
        <w:rPr>
          <w:rFonts w:ascii="Times New Roman" w:hAnsi="Times New Roman" w:cs="Times New Roman"/>
          <w:sz w:val="20"/>
          <w:szCs w:val="20"/>
        </w:rPr>
        <w:t>.</w:t>
      </w:r>
    </w:p>
    <w:p w14:paraId="5E9C04E5" w14:textId="77777777" w:rsidR="001B7751" w:rsidRDefault="001B7751" w:rsidP="001B7751">
      <w:pPr>
        <w:spacing w:line="360" w:lineRule="auto"/>
        <w:ind w:left="1134" w:firstLine="567"/>
        <w:jc w:val="both"/>
        <w:rPr>
          <w:rFonts w:ascii="Times New Roman" w:hAnsi="Times New Roman" w:cs="Times New Roman"/>
        </w:rPr>
      </w:pPr>
    </w:p>
    <w:p w14:paraId="2274B85C" w14:textId="5C0AD7BA" w:rsidR="001B7751" w:rsidRDefault="001B7751" w:rsidP="001B7751">
      <w:pPr>
        <w:spacing w:line="360" w:lineRule="auto"/>
        <w:ind w:firstLine="567"/>
        <w:jc w:val="both"/>
        <w:rPr>
          <w:rFonts w:ascii="Times New Roman" w:hAnsi="Times New Roman" w:cs="Times New Roman"/>
        </w:rPr>
      </w:pPr>
      <w:r w:rsidRPr="001C2496">
        <w:rPr>
          <w:rFonts w:ascii="Times New Roman" w:hAnsi="Times New Roman" w:cs="Times New Roman"/>
        </w:rPr>
        <w:t xml:space="preserve">Libri oscuri, privi di una coerenza e coesione interna, che hanno spinto i figli d’Israele a scrivere dei commentari per rendere più chiara una materia altrimenti inintelligibile. Già da queste osservazioni, si capisce che Tiedemann, per impostazione metodologica, non può attribuire un’importanza precipua alla Qabbalah nella storia del pensiero filosofico. Deciso a mettere ordine nel </w:t>
      </w:r>
      <w:r w:rsidRPr="001C2496">
        <w:rPr>
          <w:rFonts w:ascii="Times New Roman" w:hAnsi="Times New Roman" w:cs="Times New Roman"/>
          <w:i/>
        </w:rPr>
        <w:t>mare magnum</w:t>
      </w:r>
      <w:r w:rsidRPr="001C2496">
        <w:rPr>
          <w:rFonts w:ascii="Times New Roman" w:hAnsi="Times New Roman" w:cs="Times New Roman"/>
        </w:rPr>
        <w:t xml:space="preserve"> cabbalistico, Tiedemann opta – come altri interpreti prima di lui – per l’utilizzo di una fonte “spuria”, capace di rischiarare i nodi tematici del misticismo ebraico:</w:t>
      </w:r>
      <w:r>
        <w:rPr>
          <w:rFonts w:ascii="Times New Roman" w:hAnsi="Times New Roman" w:cs="Times New Roman"/>
        </w:rPr>
        <w:t xml:space="preserve"> la</w:t>
      </w:r>
      <w:r w:rsidRPr="00C54850">
        <w:rPr>
          <w:rFonts w:ascii="Times New Roman" w:hAnsi="Times New Roman" w:cs="Times New Roman"/>
        </w:rPr>
        <w:t xml:space="preserve"> </w:t>
      </w:r>
      <w:r>
        <w:rPr>
          <w:rFonts w:ascii="Times New Roman" w:hAnsi="Times New Roman" w:cs="Times New Roman"/>
        </w:rPr>
        <w:t xml:space="preserve">sua </w:t>
      </w:r>
      <w:r w:rsidRPr="00C54850">
        <w:rPr>
          <w:rFonts w:ascii="Times New Roman" w:hAnsi="Times New Roman" w:cs="Times New Roman"/>
        </w:rPr>
        <w:t xml:space="preserve">scelta ricade sulla </w:t>
      </w:r>
      <w:r w:rsidRPr="00C54850">
        <w:rPr>
          <w:rFonts w:ascii="Times New Roman" w:hAnsi="Times New Roman" w:cs="Times New Roman"/>
          <w:i/>
        </w:rPr>
        <w:t>Porta Coelorum</w:t>
      </w:r>
      <w:r w:rsidRPr="00C54850">
        <w:rPr>
          <w:rFonts w:ascii="Times New Roman" w:hAnsi="Times New Roman" w:cs="Times New Roman"/>
        </w:rPr>
        <w:t xml:space="preserve"> di Abraham Cohen de Herrera, sullo scritto di </w:t>
      </w:r>
      <w:r w:rsidRPr="00AA0B53">
        <w:rPr>
          <w:rFonts w:ascii="Times New Roman" w:hAnsi="Times New Roman" w:cs="Times New Roman"/>
        </w:rPr>
        <w:t>«ein späterer Israelit»</w:t>
      </w:r>
      <w:r w:rsidRPr="00AA0B53">
        <w:rPr>
          <w:rStyle w:val="Rimandonotaapidipagina"/>
          <w:rFonts w:ascii="Times New Roman" w:hAnsi="Times New Roman" w:cs="Times New Roman"/>
        </w:rPr>
        <w:footnoteReference w:id="647"/>
      </w:r>
      <w:r w:rsidRPr="00AA0B53">
        <w:rPr>
          <w:rFonts w:ascii="Times New Roman" w:hAnsi="Times New Roman" w:cs="Times New Roman"/>
        </w:rPr>
        <w:t>,</w:t>
      </w:r>
      <w:r w:rsidRPr="00C54850">
        <w:rPr>
          <w:rFonts w:ascii="Times New Roman" w:hAnsi="Times New Roman" w:cs="Times New Roman"/>
        </w:rPr>
        <w:t xml:space="preserve"> che consente, a detta dell’</w:t>
      </w:r>
      <w:r w:rsidR="00021560">
        <w:rPr>
          <w:rFonts w:ascii="Times New Roman" w:hAnsi="Times New Roman" w:cs="Times New Roman"/>
        </w:rPr>
        <w:t>autore</w:t>
      </w:r>
      <w:r w:rsidRPr="00C54850">
        <w:rPr>
          <w:rFonts w:ascii="Times New Roman" w:hAnsi="Times New Roman" w:cs="Times New Roman"/>
        </w:rPr>
        <w:t>, di dare un’esposizione sistematica del pensiero mistico ebraico</w:t>
      </w:r>
      <w:r w:rsidRPr="00C54850">
        <w:rPr>
          <w:rStyle w:val="Rimandonotaapidipagina"/>
          <w:rFonts w:ascii="Times New Roman" w:hAnsi="Times New Roman" w:cs="Times New Roman"/>
        </w:rPr>
        <w:footnoteReference w:id="648"/>
      </w:r>
      <w:r w:rsidRPr="00C54850">
        <w:rPr>
          <w:rFonts w:ascii="Times New Roman" w:hAnsi="Times New Roman" w:cs="Times New Roman"/>
        </w:rPr>
        <w:t>.</w:t>
      </w:r>
      <w:r>
        <w:rPr>
          <w:rFonts w:ascii="Times New Roman" w:hAnsi="Times New Roman" w:cs="Times New Roman"/>
        </w:rPr>
        <w:t xml:space="preserve"> La prima nozione della </w:t>
      </w:r>
      <w:r w:rsidRPr="00471EEA">
        <w:rPr>
          <w:rFonts w:ascii="Times New Roman" w:hAnsi="Times New Roman" w:cs="Times New Roman"/>
          <w:i/>
        </w:rPr>
        <w:t>Porta Coelorum</w:t>
      </w:r>
      <w:r>
        <w:rPr>
          <w:rFonts w:ascii="Times New Roman" w:hAnsi="Times New Roman" w:cs="Times New Roman"/>
        </w:rPr>
        <w:t xml:space="preserve"> ad essere introdotta e discussa è quella dell’unità (</w:t>
      </w:r>
      <w:r>
        <w:rPr>
          <w:rFonts w:ascii="Times New Roman" w:hAnsi="Times New Roman" w:cs="Times New Roman"/>
          <w:i/>
        </w:rPr>
        <w:t>Einheit</w:t>
      </w:r>
      <w:r>
        <w:rPr>
          <w:rFonts w:ascii="Times New Roman" w:hAnsi="Times New Roman" w:cs="Times New Roman"/>
        </w:rPr>
        <w:t xml:space="preserve">). </w:t>
      </w:r>
      <w:r w:rsidRPr="001E213A">
        <w:rPr>
          <w:rFonts w:ascii="Times New Roman" w:hAnsi="Times New Roman" w:cs="Times New Roman"/>
        </w:rPr>
        <w:t>Parafrasando quel passo di Herrera in cui l’unità numerica è definita come eccedente i suoi elementi costitutivi, Tiedemann scrive:</w:t>
      </w:r>
    </w:p>
    <w:p w14:paraId="72D15BDD" w14:textId="77777777" w:rsidR="001B7751" w:rsidRDefault="001B7751" w:rsidP="001B7751">
      <w:pPr>
        <w:spacing w:line="360" w:lineRule="auto"/>
        <w:ind w:left="567" w:firstLine="567"/>
        <w:jc w:val="both"/>
        <w:rPr>
          <w:rFonts w:ascii="Times New Roman" w:hAnsi="Times New Roman" w:cs="Times New Roman"/>
        </w:rPr>
      </w:pPr>
    </w:p>
    <w:p w14:paraId="64BE2133" w14:textId="77777777" w:rsidR="001B7751" w:rsidRPr="00C927B9" w:rsidRDefault="001B7751" w:rsidP="001B7751">
      <w:pPr>
        <w:spacing w:line="360" w:lineRule="auto"/>
        <w:ind w:left="567" w:firstLine="567"/>
        <w:jc w:val="both"/>
        <w:rPr>
          <w:rFonts w:ascii="Times New Roman" w:hAnsi="Times New Roman" w:cs="Times New Roman"/>
          <w:sz w:val="20"/>
          <w:szCs w:val="20"/>
        </w:rPr>
      </w:pPr>
      <w:r w:rsidRPr="00C927B9">
        <w:rPr>
          <w:rFonts w:ascii="Times New Roman" w:hAnsi="Times New Roman" w:cs="Times New Roman"/>
          <w:sz w:val="20"/>
          <w:szCs w:val="20"/>
        </w:rPr>
        <w:t>«</w:t>
      </w:r>
      <w:r w:rsidRPr="00C927B9">
        <w:rPr>
          <w:rFonts w:ascii="Times New Roman" w:hAnsi="Times New Roman" w:cs="Times New Roman"/>
          <w:sz w:val="20"/>
          <w:szCs w:val="20"/>
          <w:lang w:val="de-DE"/>
        </w:rPr>
        <w:t>Wie die Urquell aller Zahlen Einheit ist, so ist auch das Prinzip aller Dinge Eins, und diese Einheit gleicht der Einheit in den Zahlen darin, daß wie Zahleneinheit von alle Zahlen keine ist, sondern vorzugsweise (eminenter) alle enthält: so das erste aller Wesen die übrigen in sich schließt, ohne zu einem besonders bestimmt zu seyn</w:t>
      </w:r>
      <w:r w:rsidRPr="00C927B9">
        <w:rPr>
          <w:rFonts w:ascii="Times New Roman" w:hAnsi="Times New Roman" w:cs="Times New Roman"/>
          <w:sz w:val="20"/>
          <w:szCs w:val="20"/>
        </w:rPr>
        <w:t>»</w:t>
      </w:r>
      <w:r w:rsidRPr="00C927B9">
        <w:rPr>
          <w:rStyle w:val="Rimandonotaapidipagina"/>
          <w:rFonts w:ascii="Times New Roman" w:hAnsi="Times New Roman" w:cs="Times New Roman"/>
          <w:sz w:val="20"/>
          <w:szCs w:val="20"/>
        </w:rPr>
        <w:footnoteReference w:id="649"/>
      </w:r>
      <w:r w:rsidRPr="00C927B9">
        <w:rPr>
          <w:rFonts w:ascii="Times New Roman" w:hAnsi="Times New Roman" w:cs="Times New Roman"/>
          <w:sz w:val="20"/>
          <w:szCs w:val="20"/>
        </w:rPr>
        <w:t>.</w:t>
      </w:r>
    </w:p>
    <w:p w14:paraId="6D0C7B5D" w14:textId="77777777" w:rsidR="001B7751" w:rsidRDefault="001B7751" w:rsidP="001B7751">
      <w:pPr>
        <w:spacing w:line="360" w:lineRule="auto"/>
        <w:ind w:left="1134" w:firstLine="567"/>
        <w:jc w:val="both"/>
        <w:rPr>
          <w:rFonts w:ascii="Times New Roman" w:hAnsi="Times New Roman" w:cs="Times New Roman"/>
        </w:rPr>
      </w:pPr>
    </w:p>
    <w:p w14:paraId="12E596D3" w14:textId="0E03E66F" w:rsidR="001B7751" w:rsidRPr="00515A85" w:rsidRDefault="001B7751" w:rsidP="001B7751">
      <w:pPr>
        <w:spacing w:line="360" w:lineRule="auto"/>
        <w:ind w:firstLine="567"/>
        <w:jc w:val="both"/>
        <w:rPr>
          <w:rFonts w:ascii="Times New Roman" w:hAnsi="Times New Roman" w:cs="Times New Roman"/>
        </w:rPr>
      </w:pPr>
      <w:r w:rsidRPr="003371F6">
        <w:rPr>
          <w:rFonts w:ascii="Times New Roman" w:hAnsi="Times New Roman" w:cs="Times New Roman"/>
        </w:rPr>
        <w:t>La fonte originaria di tutti i numeri raccogl</w:t>
      </w:r>
      <w:r w:rsidR="00875B93">
        <w:rPr>
          <w:rFonts w:ascii="Times New Roman" w:hAnsi="Times New Roman" w:cs="Times New Roman"/>
        </w:rPr>
        <w:t>ie in sé ogni determinazione</w:t>
      </w:r>
      <w:r w:rsidRPr="003371F6">
        <w:rPr>
          <w:rFonts w:ascii="Times New Roman" w:hAnsi="Times New Roman" w:cs="Times New Roman"/>
        </w:rPr>
        <w:t xml:space="preserve"> senza essere identificabile con alcuna di esse. Fra</w:t>
      </w:r>
      <w:r w:rsidRPr="001C1124">
        <w:rPr>
          <w:rFonts w:ascii="Times New Roman" w:hAnsi="Times New Roman" w:cs="Times New Roman"/>
        </w:rPr>
        <w:t xml:space="preserve"> semplice e composto sussiste una differenza incolmabile: l’Uno eccede infinitamente il molto. Il processo</w:t>
      </w:r>
      <w:r>
        <w:rPr>
          <w:rFonts w:ascii="Times New Roman" w:hAnsi="Times New Roman" w:cs="Times New Roman"/>
        </w:rPr>
        <w:t xml:space="preserve">, che porta alla formazione di tutte le cose, è descritto da Tiedemann in termini emanativi. Dall’Uno, così insegna Herrera, non può che </w:t>
      </w:r>
      <w:r w:rsidRPr="00C927B9">
        <w:rPr>
          <w:rFonts w:ascii="Times New Roman" w:hAnsi="Times New Roman" w:cs="Times New Roman"/>
        </w:rPr>
        <w:t>«</w:t>
      </w:r>
      <w:r w:rsidRPr="00C927B9">
        <w:rPr>
          <w:rFonts w:ascii="Times New Roman" w:hAnsi="Times New Roman" w:cs="Times New Roman"/>
          <w:lang w:val="de-DE"/>
        </w:rPr>
        <w:t>eine Wirkung unmittelbar hervorbringen, welche Wirkung von einigen Cabbalisten Adam Kadmon, der erste Mensch, von ander</w:t>
      </w:r>
      <w:r>
        <w:rPr>
          <w:rFonts w:ascii="Times New Roman" w:hAnsi="Times New Roman" w:cs="Times New Roman"/>
          <w:lang w:val="de-DE"/>
        </w:rPr>
        <w:t>n Keter, die höchste Krone […] g</w:t>
      </w:r>
      <w:r w:rsidRPr="00C927B9">
        <w:rPr>
          <w:rFonts w:ascii="Times New Roman" w:hAnsi="Times New Roman" w:cs="Times New Roman"/>
          <w:lang w:val="de-DE"/>
        </w:rPr>
        <w:t>ennant wird</w:t>
      </w:r>
      <w:r w:rsidRPr="00C927B9">
        <w:rPr>
          <w:rFonts w:ascii="Times New Roman" w:hAnsi="Times New Roman" w:cs="Times New Roman"/>
        </w:rPr>
        <w:t>»</w:t>
      </w:r>
      <w:r w:rsidRPr="00C927B9">
        <w:rPr>
          <w:rStyle w:val="Rimandonotaapidipagina"/>
          <w:rFonts w:ascii="Times New Roman" w:hAnsi="Times New Roman" w:cs="Times New Roman"/>
        </w:rPr>
        <w:footnoteReference w:id="650"/>
      </w:r>
      <w:r w:rsidRPr="00C927B9">
        <w:rPr>
          <w:rFonts w:ascii="Times New Roman" w:hAnsi="Times New Roman" w:cs="Times New Roman"/>
        </w:rPr>
        <w:t>.</w:t>
      </w:r>
      <w:r>
        <w:rPr>
          <w:rFonts w:ascii="Times New Roman" w:hAnsi="Times New Roman" w:cs="Times New Roman"/>
        </w:rPr>
        <w:t xml:space="preserve"> </w:t>
      </w:r>
      <w:r w:rsidRPr="001C1124">
        <w:rPr>
          <w:rFonts w:ascii="Times New Roman" w:hAnsi="Times New Roman" w:cs="Times New Roman"/>
        </w:rPr>
        <w:t>Dall’effetto eminente dell’infinito, che è «Plan der Welt»</w:t>
      </w:r>
      <w:r w:rsidRPr="001C1124">
        <w:rPr>
          <w:rStyle w:val="Rimandonotaapidipagina"/>
          <w:rFonts w:ascii="Times New Roman" w:hAnsi="Times New Roman" w:cs="Times New Roman"/>
        </w:rPr>
        <w:footnoteReference w:id="651"/>
      </w:r>
      <w:r w:rsidRPr="001C1124">
        <w:rPr>
          <w:rFonts w:ascii="Times New Roman" w:hAnsi="Times New Roman" w:cs="Times New Roman"/>
        </w:rPr>
        <w:t>, seguono «die Aziluthische Welt […] die Briatische Welt [….] die Jezirathisce Welt […] und die Asiatische Welt»</w:t>
      </w:r>
      <w:r w:rsidRPr="001C1124">
        <w:rPr>
          <w:rStyle w:val="Rimandonotaapidipagina"/>
          <w:rFonts w:ascii="Times New Roman" w:hAnsi="Times New Roman" w:cs="Times New Roman"/>
        </w:rPr>
        <w:footnoteReference w:id="652"/>
      </w:r>
      <w:r w:rsidRPr="001C1124">
        <w:rPr>
          <w:rFonts w:ascii="Times New Roman" w:hAnsi="Times New Roman" w:cs="Times New Roman"/>
        </w:rPr>
        <w:t>. Una sfera intellettuale increata e non soggetta al cambiamento, una intellettuale e creata, una</w:t>
      </w:r>
      <w:r>
        <w:rPr>
          <w:rFonts w:ascii="Times New Roman" w:hAnsi="Times New Roman" w:cs="Times New Roman"/>
        </w:rPr>
        <w:t xml:space="preserve"> angelica e una materiale costituiscono i gradi in cui è gerarchicamente organizzato il cosmo cabbalistico. </w:t>
      </w:r>
      <w:r w:rsidRPr="001C1124">
        <w:rPr>
          <w:rFonts w:ascii="Times New Roman" w:hAnsi="Times New Roman" w:cs="Times New Roman"/>
        </w:rPr>
        <w:t xml:space="preserve">Dopo questa parafrasi della </w:t>
      </w:r>
      <w:r w:rsidRPr="001C1124">
        <w:rPr>
          <w:rFonts w:ascii="Times New Roman" w:hAnsi="Times New Roman" w:cs="Times New Roman"/>
          <w:i/>
        </w:rPr>
        <w:t>Porta Coelorum</w:t>
      </w:r>
      <w:r w:rsidRPr="001C1124">
        <w:rPr>
          <w:rStyle w:val="Rimandonotaapidipagina"/>
          <w:rFonts w:ascii="Times New Roman" w:hAnsi="Times New Roman" w:cs="Times New Roman"/>
        </w:rPr>
        <w:footnoteReference w:id="653"/>
      </w:r>
      <w:r w:rsidRPr="001C1124">
        <w:rPr>
          <w:rFonts w:ascii="Times New Roman" w:hAnsi="Times New Roman" w:cs="Times New Roman"/>
        </w:rPr>
        <w:t xml:space="preserve">, Tiedemann analizza e discute l’atto che innesca il processo emanativo. Riguardo alla </w:t>
      </w:r>
      <w:r>
        <w:rPr>
          <w:rFonts w:ascii="Times New Roman" w:hAnsi="Times New Roman" w:cs="Times New Roman"/>
        </w:rPr>
        <w:t>dottrina dello</w:t>
      </w:r>
      <w:r w:rsidRPr="001C1124">
        <w:rPr>
          <w:rFonts w:ascii="Times New Roman" w:hAnsi="Times New Roman" w:cs="Times New Roman"/>
        </w:rPr>
        <w:t xml:space="preserve"> </w:t>
      </w:r>
      <w:r w:rsidRPr="001C1124">
        <w:rPr>
          <w:rFonts w:ascii="Times New Roman" w:hAnsi="Times New Roman" w:cs="Times New Roman"/>
          <w:i/>
        </w:rPr>
        <w:t>tzimtzum</w:t>
      </w:r>
      <w:r w:rsidRPr="001C1124">
        <w:rPr>
          <w:rFonts w:ascii="Times New Roman" w:hAnsi="Times New Roman" w:cs="Times New Roman"/>
        </w:rPr>
        <w:t xml:space="preserve">, il </w:t>
      </w:r>
      <w:r w:rsidRPr="001C1124">
        <w:rPr>
          <w:rFonts w:ascii="Times New Roman" w:hAnsi="Times New Roman" w:cs="Times New Roman"/>
          <w:i/>
          <w:lang w:val="de-DE"/>
        </w:rPr>
        <w:t>Geist der spekulativen Philosophie</w:t>
      </w:r>
      <w:r w:rsidRPr="001C1124">
        <w:rPr>
          <w:rFonts w:ascii="Times New Roman" w:hAnsi="Times New Roman" w:cs="Times New Roman"/>
        </w:rPr>
        <w:t xml:space="preserve"> riporta che:</w:t>
      </w:r>
    </w:p>
    <w:p w14:paraId="0CD7CFD5" w14:textId="77777777" w:rsidR="001B7751" w:rsidRDefault="001B7751" w:rsidP="001B7751">
      <w:pPr>
        <w:spacing w:line="360" w:lineRule="auto"/>
        <w:ind w:left="567" w:firstLine="567"/>
        <w:jc w:val="both"/>
        <w:rPr>
          <w:rFonts w:ascii="Times New Roman" w:eastAsia="Times New Roman" w:hAnsi="Times New Roman" w:cs="Times New Roman"/>
          <w:iCs/>
          <w:color w:val="222222"/>
          <w:shd w:val="clear" w:color="auto" w:fill="FFFFFF"/>
        </w:rPr>
      </w:pPr>
    </w:p>
    <w:p w14:paraId="4E4CD42D" w14:textId="77777777" w:rsidR="001B7751" w:rsidRPr="001344E6" w:rsidRDefault="001B7751" w:rsidP="001B7751">
      <w:pPr>
        <w:spacing w:line="360" w:lineRule="auto"/>
        <w:ind w:left="567" w:firstLine="567"/>
        <w:jc w:val="both"/>
        <w:rPr>
          <w:rFonts w:ascii="Times New Roman" w:eastAsia="Times New Roman" w:hAnsi="Times New Roman" w:cs="Times New Roman"/>
          <w:iCs/>
          <w:color w:val="222222"/>
          <w:sz w:val="20"/>
          <w:szCs w:val="20"/>
          <w:shd w:val="clear" w:color="auto" w:fill="FFFFFF"/>
          <w:lang w:val="de-DE"/>
        </w:rPr>
      </w:pPr>
      <w:r w:rsidRPr="001344E6">
        <w:rPr>
          <w:rFonts w:ascii="Times New Roman" w:hAnsi="Times New Roman" w:cs="Times New Roman"/>
          <w:sz w:val="20"/>
          <w:szCs w:val="20"/>
          <w:lang w:val="de-DE"/>
        </w:rPr>
        <w:t>«Gott ist nach ihr endlos, überall gegenwärtiges, reines Licht; damit nun etwas anders, als Gott, etwas endliches werden könnte, begränzte sich dies Licht, das ist, es zog sich in sich selbst zurück, und bildete dadurch in seinem Mittelpunkt einen leeren, mithin dunkeln Raum, In diesem Raum ließ das Urlicht wieder Strahlen fallen […] Weil in Gott schon Ausdehnung war, Gott schon einen Raum einnahm, mithin der Raum unerschaffen ist. Auch würde man dann gestehen müssen, daβ die göttliche Ausdehnung Materie, mithin Gott und Materie wesentlich einerlei ist. Der offenbare Spinozismus! ohne Zweifel aus diesen Sätzen auch zuerst entsprungen»</w:t>
      </w:r>
      <w:r w:rsidRPr="001344E6">
        <w:rPr>
          <w:rStyle w:val="Rimandonotaapidipagina"/>
          <w:rFonts w:ascii="Times New Roman" w:hAnsi="Times New Roman" w:cs="Times New Roman"/>
          <w:sz w:val="20"/>
          <w:szCs w:val="20"/>
          <w:lang w:val="de-DE"/>
        </w:rPr>
        <w:footnoteReference w:id="654"/>
      </w:r>
      <w:r w:rsidRPr="001344E6">
        <w:rPr>
          <w:rFonts w:ascii="Times New Roman" w:hAnsi="Times New Roman" w:cs="Times New Roman"/>
          <w:sz w:val="20"/>
          <w:szCs w:val="20"/>
          <w:lang w:val="de-DE"/>
        </w:rPr>
        <w:t>.</w:t>
      </w:r>
    </w:p>
    <w:p w14:paraId="7474AC38" w14:textId="77777777" w:rsidR="001B7751" w:rsidRPr="000A114D" w:rsidRDefault="001B7751" w:rsidP="001B7751">
      <w:pPr>
        <w:spacing w:line="360" w:lineRule="auto"/>
        <w:ind w:left="567" w:firstLine="567"/>
        <w:jc w:val="both"/>
        <w:rPr>
          <w:rFonts w:ascii="Times New Roman" w:hAnsi="Times New Roman" w:cs="Times New Roman"/>
        </w:rPr>
      </w:pPr>
    </w:p>
    <w:p w14:paraId="3AFFD36F" w14:textId="5BDA1F43" w:rsidR="001B7751" w:rsidRPr="00BE2ABA" w:rsidRDefault="001B7751" w:rsidP="001B7751">
      <w:pPr>
        <w:spacing w:line="360" w:lineRule="auto"/>
        <w:ind w:firstLine="567"/>
        <w:jc w:val="both"/>
        <w:rPr>
          <w:rFonts w:ascii="Times New Roman" w:hAnsi="Times New Roman" w:cs="Times New Roman"/>
        </w:rPr>
      </w:pPr>
      <w:r w:rsidRPr="001C1124">
        <w:rPr>
          <w:rFonts w:ascii="Times New Roman" w:hAnsi="Times New Roman" w:cs="Times New Roman"/>
        </w:rPr>
        <w:t>Dio è onnipresente</w:t>
      </w:r>
      <w:r>
        <w:rPr>
          <w:rFonts w:ascii="Times New Roman" w:hAnsi="Times New Roman" w:cs="Times New Roman"/>
        </w:rPr>
        <w:t xml:space="preserve"> e pura</w:t>
      </w:r>
      <w:r w:rsidRPr="001C1124">
        <w:rPr>
          <w:rFonts w:ascii="Times New Roman" w:hAnsi="Times New Roman" w:cs="Times New Roman"/>
        </w:rPr>
        <w:t xml:space="preserve"> luce. Affinché vi sia qualcos’altro rispetto alla luce originaria, Dio si ritrae in se stesso e forma uno spazio vuoto in cui riversa i suoi raggi. Più che la descrizione dello </w:t>
      </w:r>
      <w:r w:rsidRPr="001C1124">
        <w:rPr>
          <w:rFonts w:ascii="Times New Roman" w:hAnsi="Times New Roman" w:cs="Times New Roman"/>
          <w:i/>
        </w:rPr>
        <w:t>tzimtzum</w:t>
      </w:r>
      <w:r w:rsidRPr="001C1124">
        <w:rPr>
          <w:rFonts w:ascii="Times New Roman" w:hAnsi="Times New Roman" w:cs="Times New Roman"/>
        </w:rPr>
        <w:t>, sono interessanti le battute conclusive di questo passo. Dire che Dio è luce infinita significa affermare la natura estesa del divino. Senza ombra di dubbio, ne conclude Tiedeamann, lo spinozismo si è formato a partire da questo assunto. Il sistema emanatistico, quale è esposto nella Qabbalah, identificando Dio con «</w:t>
      </w:r>
      <w:r w:rsidRPr="00D741F1">
        <w:rPr>
          <w:rFonts w:ascii="Times New Roman" w:hAnsi="Times New Roman" w:cs="Times New Roman"/>
          <w:lang w:val="de-DE"/>
        </w:rPr>
        <w:t>eine allgemeine Materie</w:t>
      </w:r>
      <w:r w:rsidRPr="001C1124">
        <w:rPr>
          <w:rFonts w:ascii="Times New Roman" w:hAnsi="Times New Roman" w:cs="Times New Roman"/>
        </w:rPr>
        <w:t>»</w:t>
      </w:r>
      <w:r w:rsidRPr="001C1124">
        <w:rPr>
          <w:rStyle w:val="Rimandonotaapidipagina"/>
          <w:rFonts w:ascii="Times New Roman" w:hAnsi="Times New Roman" w:cs="Times New Roman"/>
        </w:rPr>
        <w:footnoteReference w:id="655"/>
      </w:r>
      <w:r w:rsidRPr="001C1124">
        <w:rPr>
          <w:rFonts w:ascii="Times New Roman" w:hAnsi="Times New Roman" w:cs="Times New Roman"/>
        </w:rPr>
        <w:t>, costituisce il presupposto teorico su cui poggia l’eterodossia spinoziana. È in atto la ripresa di</w:t>
      </w:r>
      <w:r>
        <w:rPr>
          <w:rFonts w:ascii="Times New Roman" w:hAnsi="Times New Roman" w:cs="Times New Roman"/>
        </w:rPr>
        <w:t xml:space="preserve"> una categorizzazione storico-filosofica già incontrata in occasione dello </w:t>
      </w:r>
      <w:r w:rsidR="00A76F84">
        <w:rPr>
          <w:rFonts w:ascii="Times New Roman" w:hAnsi="Times New Roman" w:cs="Times New Roman"/>
          <w:i/>
        </w:rPr>
        <w:t>Spinozismus in J</w:t>
      </w:r>
      <w:r w:rsidR="00A76F84">
        <w:rPr>
          <w:rFonts w:ascii="Times New Roman" w:eastAsia="Times New Roman" w:hAnsi="Times New Roman" w:cs="Times New Roman"/>
          <w:i/>
          <w:iCs/>
          <w:color w:val="222222"/>
          <w:shd w:val="clear" w:color="auto" w:fill="FFFFFF"/>
          <w:lang w:val="de-DE"/>
        </w:rPr>
        <w:t>ü</w:t>
      </w:r>
      <w:r w:rsidRPr="00E4734A">
        <w:rPr>
          <w:rFonts w:ascii="Times New Roman" w:hAnsi="Times New Roman" w:cs="Times New Roman"/>
          <w:i/>
        </w:rPr>
        <w:t>denthumb</w:t>
      </w:r>
      <w:r>
        <w:rPr>
          <w:rFonts w:ascii="Times New Roman" w:hAnsi="Times New Roman" w:cs="Times New Roman"/>
        </w:rPr>
        <w:t xml:space="preserve">. Seguendo Wachter, Tiedemann associa la teoria lurianica dello </w:t>
      </w:r>
      <w:r w:rsidRPr="00E4734A">
        <w:rPr>
          <w:rFonts w:ascii="Times New Roman" w:hAnsi="Times New Roman" w:cs="Times New Roman"/>
          <w:i/>
        </w:rPr>
        <w:t>tzimtzum</w:t>
      </w:r>
      <w:r>
        <w:rPr>
          <w:rFonts w:ascii="Times New Roman" w:hAnsi="Times New Roman" w:cs="Times New Roman"/>
        </w:rPr>
        <w:t xml:space="preserve"> – mediata dalla </w:t>
      </w:r>
      <w:r w:rsidRPr="00E4734A">
        <w:rPr>
          <w:rFonts w:ascii="Times New Roman" w:hAnsi="Times New Roman" w:cs="Times New Roman"/>
          <w:i/>
        </w:rPr>
        <w:t>Porta Coelorum</w:t>
      </w:r>
      <w:r>
        <w:rPr>
          <w:rFonts w:ascii="Times New Roman" w:hAnsi="Times New Roman" w:cs="Times New Roman"/>
        </w:rPr>
        <w:t xml:space="preserve"> –con il materialismo cabbalistico e spinoziano. Rispetto allo scritto di Wachter, e questo è un fattore decisivo, Tiedemann sviluppa una lettura dello spinozismo alternativa alla divinizzazione del mondo proposta dallo </w:t>
      </w:r>
      <w:r w:rsidR="00A76F84">
        <w:rPr>
          <w:rFonts w:ascii="Times New Roman" w:hAnsi="Times New Roman" w:cs="Times New Roman"/>
          <w:i/>
        </w:rPr>
        <w:t>Spinozismus in J</w:t>
      </w:r>
      <w:r w:rsidR="00A76F84">
        <w:rPr>
          <w:rFonts w:ascii="Times New Roman" w:eastAsia="Times New Roman" w:hAnsi="Times New Roman" w:cs="Times New Roman"/>
          <w:i/>
          <w:iCs/>
          <w:color w:val="222222"/>
          <w:shd w:val="clear" w:color="auto" w:fill="FFFFFF"/>
          <w:lang w:val="de-DE"/>
        </w:rPr>
        <w:t>ü</w:t>
      </w:r>
      <w:r w:rsidRPr="00332EAA">
        <w:rPr>
          <w:rFonts w:ascii="Times New Roman" w:hAnsi="Times New Roman" w:cs="Times New Roman"/>
          <w:i/>
        </w:rPr>
        <w:t>denthumb</w:t>
      </w:r>
      <w:r>
        <w:rPr>
          <w:rFonts w:ascii="Times New Roman" w:hAnsi="Times New Roman" w:cs="Times New Roman"/>
        </w:rPr>
        <w:t xml:space="preserve">. </w:t>
      </w:r>
      <w:r w:rsidRPr="001A0A77">
        <w:rPr>
          <w:rFonts w:ascii="Times New Roman" w:hAnsi="Times New Roman" w:cs="Times New Roman"/>
        </w:rPr>
        <w:t xml:space="preserve">L’elemento teorico, che permette a Tiedemann di sganciarsi da una categorizzazione prettamente materialistica del sistema di Spinoza, è la distinzione fra </w:t>
      </w:r>
      <w:r w:rsidRPr="001A0A77">
        <w:rPr>
          <w:rFonts w:ascii="Times New Roman" w:hAnsi="Times New Roman" w:cs="Times New Roman"/>
          <w:i/>
        </w:rPr>
        <w:t>Ursache</w:t>
      </w:r>
      <w:r w:rsidRPr="001A0A77">
        <w:rPr>
          <w:rFonts w:ascii="Times New Roman" w:hAnsi="Times New Roman" w:cs="Times New Roman"/>
        </w:rPr>
        <w:t xml:space="preserve"> e </w:t>
      </w:r>
      <w:r w:rsidRPr="001A0A77">
        <w:rPr>
          <w:rFonts w:ascii="Times New Roman" w:hAnsi="Times New Roman" w:cs="Times New Roman"/>
          <w:i/>
        </w:rPr>
        <w:t>Grund</w:t>
      </w:r>
      <w:r w:rsidRPr="001A0A77">
        <w:rPr>
          <w:rFonts w:ascii="Times New Roman" w:hAnsi="Times New Roman" w:cs="Times New Roman"/>
        </w:rPr>
        <w:t xml:space="preserve"> tematizzata da Jacobi nella seconda edizione delle </w:t>
      </w:r>
      <w:r w:rsidRPr="001A0A77">
        <w:rPr>
          <w:rFonts w:ascii="Times New Roman" w:hAnsi="Times New Roman" w:cs="Times New Roman"/>
          <w:i/>
        </w:rPr>
        <w:t>Spinozabriefe</w:t>
      </w:r>
      <w:r w:rsidRPr="001A0A77">
        <w:rPr>
          <w:rFonts w:ascii="Times New Roman" w:hAnsi="Times New Roman" w:cs="Times New Roman"/>
        </w:rPr>
        <w:t xml:space="preserve"> (1789).</w:t>
      </w:r>
      <w:r w:rsidRPr="00BE2ABA">
        <w:rPr>
          <w:rFonts w:ascii="Times New Roman" w:hAnsi="Times New Roman" w:cs="Times New Roman"/>
        </w:rPr>
        <w:t xml:space="preserve"> </w:t>
      </w:r>
    </w:p>
    <w:p w14:paraId="035F232B" w14:textId="77777777" w:rsidR="001B7751" w:rsidRDefault="001B7751" w:rsidP="001B7751">
      <w:pPr>
        <w:spacing w:line="360" w:lineRule="auto"/>
        <w:ind w:firstLine="567"/>
        <w:jc w:val="both"/>
        <w:rPr>
          <w:rFonts w:ascii="Times New Roman" w:hAnsi="Times New Roman" w:cs="Times New Roman"/>
        </w:rPr>
      </w:pPr>
      <w:r w:rsidRPr="00BE2ABA">
        <w:rPr>
          <w:rFonts w:ascii="Times New Roman" w:hAnsi="Times New Roman" w:cs="Times New Roman"/>
        </w:rPr>
        <w:t xml:space="preserve">Nel sesto volume del </w:t>
      </w:r>
      <w:r w:rsidRPr="00BE2ABA">
        <w:rPr>
          <w:rFonts w:ascii="Times New Roman" w:hAnsi="Times New Roman" w:cs="Times New Roman"/>
          <w:i/>
        </w:rPr>
        <w:t>Geist der spekulativen Philosophie</w:t>
      </w:r>
      <w:r>
        <w:rPr>
          <w:rFonts w:ascii="Times New Roman" w:hAnsi="Times New Roman" w:cs="Times New Roman"/>
        </w:rPr>
        <w:t xml:space="preserve"> (1797),</w:t>
      </w:r>
      <w:r w:rsidRPr="00BE2ABA">
        <w:rPr>
          <w:rFonts w:ascii="Times New Roman" w:hAnsi="Times New Roman" w:cs="Times New Roman"/>
        </w:rPr>
        <w:t xml:space="preserve"> sono chiariti i punti di contatto e le differenze precipue fra Qabbalah e spinozismo. Prima d’affrontare direttamente la questione,</w:t>
      </w:r>
      <w:r>
        <w:rPr>
          <w:rFonts w:ascii="Times New Roman" w:hAnsi="Times New Roman" w:cs="Times New Roman"/>
        </w:rPr>
        <w:t xml:space="preserve"> Tiedemann fornisce al lettore un’informazione sulla vita di Spinoza:</w:t>
      </w:r>
    </w:p>
    <w:p w14:paraId="73D4D3ED" w14:textId="77777777" w:rsidR="001B7751" w:rsidRDefault="001B7751" w:rsidP="001B7751">
      <w:pPr>
        <w:spacing w:line="360" w:lineRule="auto"/>
        <w:ind w:left="709" w:firstLine="567"/>
        <w:jc w:val="both"/>
        <w:rPr>
          <w:rFonts w:ascii="Times New Roman" w:hAnsi="Times New Roman" w:cs="Times New Roman"/>
        </w:rPr>
      </w:pPr>
    </w:p>
    <w:p w14:paraId="46D32ADA" w14:textId="77777777" w:rsidR="001B7751" w:rsidRPr="00127956" w:rsidRDefault="001B7751" w:rsidP="001B7751">
      <w:pPr>
        <w:spacing w:line="360" w:lineRule="auto"/>
        <w:ind w:left="567" w:firstLine="567"/>
        <w:jc w:val="both"/>
        <w:rPr>
          <w:rFonts w:ascii="Times New Roman" w:eastAsia="Times New Roman" w:hAnsi="Times New Roman" w:cs="Times New Roman"/>
          <w:iCs/>
          <w:color w:val="222222"/>
          <w:sz w:val="20"/>
          <w:szCs w:val="20"/>
          <w:shd w:val="clear" w:color="auto" w:fill="FFFFFF"/>
          <w:lang w:val="de-DE"/>
        </w:rPr>
      </w:pPr>
      <w:r w:rsidRPr="00127956">
        <w:rPr>
          <w:rFonts w:ascii="Times New Roman" w:eastAsia="Times New Roman" w:hAnsi="Times New Roman" w:cs="Times New Roman"/>
          <w:iCs/>
          <w:color w:val="222222"/>
          <w:sz w:val="20"/>
          <w:szCs w:val="20"/>
          <w:shd w:val="clear" w:color="auto" w:fill="FFFFFF"/>
          <w:lang w:val="de-DE"/>
        </w:rPr>
        <w:t>«Spinozens Pantheismus ist ganz auf seinem Boden gewachsen, und aus Anwendung Carthesianischer Methode, und Begriffe auf Hebr</w:t>
      </w:r>
      <w:r w:rsidRPr="00127956">
        <w:rPr>
          <w:rFonts w:ascii="Times New Roman" w:hAnsi="Times New Roman" w:cs="Times New Roman"/>
          <w:sz w:val="20"/>
          <w:szCs w:val="20"/>
          <w:lang w:val="de-DE"/>
        </w:rPr>
        <w:t>äischen Kabbalismus erwachsen, wie nacher sich zeigen wird; also den hat er einmahl von dem höllandischen Arzte nicht bekommen»</w:t>
      </w:r>
      <w:r w:rsidRPr="00127956">
        <w:rPr>
          <w:rStyle w:val="Rimandonotaapidipagina"/>
          <w:rFonts w:ascii="Times New Roman" w:eastAsia="Times New Roman" w:hAnsi="Times New Roman" w:cs="Times New Roman"/>
          <w:iCs/>
          <w:color w:val="222222"/>
          <w:sz w:val="20"/>
          <w:szCs w:val="20"/>
          <w:shd w:val="clear" w:color="auto" w:fill="FFFFFF"/>
          <w:lang w:val="de-DE"/>
        </w:rPr>
        <w:footnoteReference w:id="656"/>
      </w:r>
      <w:r w:rsidRPr="00127956">
        <w:rPr>
          <w:rFonts w:ascii="Times New Roman" w:eastAsia="Times New Roman" w:hAnsi="Times New Roman" w:cs="Times New Roman"/>
          <w:iCs/>
          <w:color w:val="222222"/>
          <w:sz w:val="20"/>
          <w:szCs w:val="20"/>
          <w:shd w:val="clear" w:color="auto" w:fill="FFFFFF"/>
          <w:lang w:val="de-DE"/>
        </w:rPr>
        <w:t xml:space="preserve">. </w:t>
      </w:r>
    </w:p>
    <w:p w14:paraId="2E1FBB7F" w14:textId="77777777" w:rsidR="001B7751" w:rsidRDefault="001B7751" w:rsidP="001B7751">
      <w:pPr>
        <w:spacing w:line="360" w:lineRule="auto"/>
        <w:ind w:left="1134" w:firstLine="567"/>
        <w:jc w:val="both"/>
        <w:rPr>
          <w:rFonts w:ascii="Times New Roman" w:eastAsia="Times New Roman" w:hAnsi="Times New Roman" w:cs="Times New Roman"/>
          <w:iCs/>
          <w:color w:val="222222"/>
          <w:shd w:val="clear" w:color="auto" w:fill="FFFFFF"/>
          <w:lang w:val="de-DE"/>
        </w:rPr>
      </w:pPr>
    </w:p>
    <w:p w14:paraId="1268C9DC" w14:textId="77777777" w:rsidR="001B7751" w:rsidRDefault="001B7751" w:rsidP="001B7751">
      <w:pPr>
        <w:spacing w:line="360" w:lineRule="auto"/>
        <w:ind w:firstLine="567"/>
        <w:jc w:val="both"/>
        <w:rPr>
          <w:rFonts w:ascii="Times New Roman" w:eastAsia="Times New Roman" w:hAnsi="Times New Roman" w:cs="Times New Roman"/>
          <w:iCs/>
          <w:color w:val="222222"/>
          <w:shd w:val="clear" w:color="auto" w:fill="FFFFFF"/>
        </w:rPr>
      </w:pPr>
      <w:r w:rsidRPr="001C1124">
        <w:rPr>
          <w:rFonts w:ascii="Times New Roman" w:eastAsia="Times New Roman" w:hAnsi="Times New Roman" w:cs="Times New Roman"/>
          <w:iCs/>
          <w:color w:val="222222"/>
          <w:shd w:val="clear" w:color="auto" w:fill="FFFFFF"/>
        </w:rPr>
        <w:t xml:space="preserve">Combinando metodo cartesiano e concetti cabbalistici, Spinoza ha definito i presupposti teorici del proprio sistema. Non è stato van den Enden, </w:t>
      </w:r>
      <w:r w:rsidRPr="00FB2545">
        <w:rPr>
          <w:rFonts w:ascii="Times New Roman" w:eastAsia="Times New Roman" w:hAnsi="Times New Roman" w:cs="Times New Roman"/>
          <w:iCs/>
          <w:color w:val="222222"/>
          <w:shd w:val="clear" w:color="auto" w:fill="FFFFFF"/>
        </w:rPr>
        <w:t>medico olandese e</w:t>
      </w:r>
      <w:r>
        <w:rPr>
          <w:rFonts w:ascii="Times New Roman" w:eastAsia="Times New Roman" w:hAnsi="Times New Roman" w:cs="Times New Roman"/>
          <w:iCs/>
          <w:color w:val="222222"/>
          <w:shd w:val="clear" w:color="auto" w:fill="FFFFFF"/>
        </w:rPr>
        <w:t xml:space="preserve"> </w:t>
      </w:r>
      <w:r w:rsidRPr="001C1124">
        <w:rPr>
          <w:rFonts w:ascii="Times New Roman" w:eastAsia="Times New Roman" w:hAnsi="Times New Roman" w:cs="Times New Roman"/>
          <w:iCs/>
          <w:color w:val="222222"/>
          <w:shd w:val="clear" w:color="auto" w:fill="FFFFFF"/>
        </w:rPr>
        <w:t>insegnante di latino di Spinoza, a influenzare la svolta eterodossa del giovane filosofo, ma una combinazione di vecchio e nuovo, di Qabbalah ebraica e razionalismo cartesiano, a determinare il panteismo spinoziano. In che modo Spinoza riprende la tradizione ebraica? Immanentizzando l’emanatismo cabbalistico:</w:t>
      </w:r>
      <w:r>
        <w:rPr>
          <w:rFonts w:ascii="Times New Roman" w:eastAsia="Times New Roman" w:hAnsi="Times New Roman" w:cs="Times New Roman"/>
          <w:iCs/>
          <w:color w:val="222222"/>
          <w:shd w:val="clear" w:color="auto" w:fill="FFFFFF"/>
        </w:rPr>
        <w:t xml:space="preserve"> </w:t>
      </w:r>
    </w:p>
    <w:p w14:paraId="5914C4C7" w14:textId="77777777" w:rsidR="001B7751" w:rsidRDefault="001B7751" w:rsidP="001B7751">
      <w:pPr>
        <w:spacing w:line="360" w:lineRule="auto"/>
        <w:ind w:left="567" w:firstLine="567"/>
        <w:jc w:val="both"/>
        <w:rPr>
          <w:rFonts w:ascii="Times New Roman" w:eastAsia="Times New Roman" w:hAnsi="Times New Roman" w:cs="Times New Roman"/>
          <w:iCs/>
          <w:color w:val="222222"/>
          <w:shd w:val="clear" w:color="auto" w:fill="FFFFFF"/>
        </w:rPr>
      </w:pPr>
    </w:p>
    <w:p w14:paraId="0CCDE78E" w14:textId="77777777" w:rsidR="001B7751" w:rsidRPr="00127956" w:rsidRDefault="001B7751" w:rsidP="001B7751">
      <w:pPr>
        <w:spacing w:line="360" w:lineRule="auto"/>
        <w:ind w:left="567" w:firstLine="567"/>
        <w:jc w:val="both"/>
        <w:rPr>
          <w:rFonts w:ascii="Times New Roman" w:hAnsi="Times New Roman" w:cs="Times New Roman"/>
          <w:sz w:val="20"/>
          <w:szCs w:val="20"/>
          <w:lang w:val="de-DE"/>
        </w:rPr>
      </w:pPr>
      <w:r w:rsidRPr="00127956">
        <w:rPr>
          <w:rFonts w:ascii="Times New Roman" w:hAnsi="Times New Roman" w:cs="Times New Roman"/>
          <w:sz w:val="20"/>
          <w:szCs w:val="20"/>
          <w:lang w:val="de-DE"/>
        </w:rPr>
        <w:t>«Nun erhellt sich die Unendlichkeit des Spinozismus mit, wie seine Entstehung aus der durch Alessandrinische verbesserten Kabbalisterei. Diese Lehre, daβ Gott das Ens überhaupt, das unbestimmte und allgemeine Subjekt, das höchste Geschlecht aller Dinge ist, aus welchem sie durch logische Herleitung, oder Division flieβen, und in dem sie virtuell enthalten sind. Spinoza sezt dafür Gott ist aller Dinge Substanz, sie alle floss von ihm nur Modificationen […]. Darin aber entfernt sich unser Philosoph von den Kabbalisten und Alessandrinern, daβ er keine stufenweise Erzeugungen der Dinge aus Gott annimmt; daβ er nicht so sagt: sie sind aus ihm, sondern sie sind in ihm als Attribute und Modifikationen»</w:t>
      </w:r>
      <w:r w:rsidRPr="00127956">
        <w:rPr>
          <w:rStyle w:val="Rimandonotaapidipagina"/>
          <w:rFonts w:ascii="Times New Roman" w:hAnsi="Times New Roman" w:cs="Times New Roman"/>
          <w:sz w:val="20"/>
          <w:szCs w:val="20"/>
          <w:lang w:val="de-DE"/>
        </w:rPr>
        <w:footnoteReference w:id="657"/>
      </w:r>
      <w:r w:rsidRPr="00127956">
        <w:rPr>
          <w:rFonts w:ascii="Times New Roman" w:hAnsi="Times New Roman" w:cs="Times New Roman"/>
          <w:sz w:val="20"/>
          <w:szCs w:val="20"/>
          <w:lang w:val="de-DE"/>
        </w:rPr>
        <w:t>.</w:t>
      </w:r>
    </w:p>
    <w:p w14:paraId="5238DD38" w14:textId="77777777" w:rsidR="001B7751" w:rsidRDefault="001B7751" w:rsidP="001B7751">
      <w:pPr>
        <w:spacing w:line="360" w:lineRule="auto"/>
        <w:ind w:left="1134" w:firstLine="567"/>
        <w:jc w:val="both"/>
        <w:rPr>
          <w:rFonts w:ascii="Times New Roman" w:eastAsia="Times New Roman" w:hAnsi="Times New Roman" w:cs="Times New Roman"/>
          <w:iCs/>
          <w:color w:val="222222"/>
          <w:shd w:val="clear" w:color="auto" w:fill="FFFFFF"/>
        </w:rPr>
      </w:pPr>
    </w:p>
    <w:p w14:paraId="6A8B94BE" w14:textId="77777777" w:rsidR="001B7751" w:rsidRDefault="001B7751" w:rsidP="001B7751">
      <w:pPr>
        <w:spacing w:line="360" w:lineRule="auto"/>
        <w:ind w:firstLine="567"/>
        <w:jc w:val="both"/>
        <w:rPr>
          <w:rFonts w:ascii="Times New Roman" w:hAnsi="Times New Roman" w:cs="Times New Roman"/>
        </w:rPr>
      </w:pPr>
      <w:r>
        <w:rPr>
          <w:rFonts w:ascii="Times New Roman" w:eastAsia="Times New Roman" w:hAnsi="Times New Roman" w:cs="Times New Roman"/>
          <w:iCs/>
          <w:color w:val="222222"/>
          <w:shd w:val="clear" w:color="auto" w:fill="FFFFFF"/>
        </w:rPr>
        <w:t xml:space="preserve"> Dal retroterra alessandrino e cabbalistico, trae origini la nozione spinoziana di Dio come essere (</w:t>
      </w:r>
      <w:r w:rsidRPr="00412068">
        <w:rPr>
          <w:rFonts w:ascii="Times New Roman" w:eastAsia="Times New Roman" w:hAnsi="Times New Roman" w:cs="Times New Roman"/>
          <w:i/>
          <w:iCs/>
          <w:color w:val="222222"/>
          <w:shd w:val="clear" w:color="auto" w:fill="FFFFFF"/>
          <w:lang w:val="de-DE"/>
        </w:rPr>
        <w:t>das Ens überhaupt</w:t>
      </w:r>
      <w:r>
        <w:rPr>
          <w:rFonts w:ascii="Times New Roman" w:eastAsia="Times New Roman" w:hAnsi="Times New Roman" w:cs="Times New Roman"/>
          <w:iCs/>
          <w:color w:val="222222"/>
          <w:shd w:val="clear" w:color="auto" w:fill="FFFFFF"/>
        </w:rPr>
        <w:t xml:space="preserve">). Rispetto a questi presupposti teorici, lo spinozismo sopprime l’idea di una creazione progressiva delle cose da Dio. Recisi sono i gradi di sviluppo del processo emanativo e introdotta è l’immanenza della sostanza nelle sue modificazioni: attributi e modi non sono da Dio, ma in Dio, che ricomprende, in quanto soggetto indeterminato e universale, virtualmente in sé tutto ciò che segue dalla sua potenza infinita. Trasponendosi senza mediazioni nelle proprie determinazioni, la sostanza spinoziana assume un’altra caratteristica distintiva: contrariamente all’emanatismo e al pensiero cabbalistico, </w:t>
      </w:r>
      <w:r w:rsidRPr="00C032C1">
        <w:rPr>
          <w:rFonts w:ascii="Times New Roman" w:eastAsia="Times New Roman" w:hAnsi="Times New Roman" w:cs="Times New Roman"/>
          <w:iCs/>
          <w:color w:val="222222"/>
          <w:shd w:val="clear" w:color="auto" w:fill="FFFFFF"/>
        </w:rPr>
        <w:t>che «</w:t>
      </w:r>
      <w:r w:rsidRPr="00C032C1">
        <w:rPr>
          <w:rFonts w:ascii="Times New Roman" w:hAnsi="Times New Roman" w:cs="Times New Roman"/>
          <w:lang w:val="de-DE"/>
        </w:rPr>
        <w:t xml:space="preserve">nähern sich mehr den </w:t>
      </w:r>
      <w:r w:rsidRPr="00AB4BC7">
        <w:rPr>
          <w:rFonts w:ascii="Times New Roman" w:hAnsi="Times New Roman" w:cs="Times New Roman"/>
          <w:lang w:val="de-DE"/>
        </w:rPr>
        <w:t xml:space="preserve">Heraklitern und Stoikern, und gestatten somit den Individuen mehr </w:t>
      </w:r>
      <w:r w:rsidRPr="00AB4BC7">
        <w:rPr>
          <w:rFonts w:ascii="Times New Roman" w:eastAsia="Times New Roman" w:hAnsi="Times New Roman" w:cs="Times New Roman"/>
          <w:iCs/>
          <w:color w:val="222222"/>
          <w:shd w:val="clear" w:color="auto" w:fill="FFFFFF"/>
          <w:lang w:val="de-DE"/>
        </w:rPr>
        <w:t>Substantialit</w:t>
      </w:r>
      <w:r w:rsidRPr="00AB4BC7">
        <w:rPr>
          <w:rFonts w:ascii="Times New Roman" w:hAnsi="Times New Roman" w:cs="Times New Roman"/>
          <w:lang w:val="de-DE"/>
        </w:rPr>
        <w:t>ät</w:t>
      </w:r>
      <w:r w:rsidRPr="00AB4BC7">
        <w:rPr>
          <w:rFonts w:ascii="Times New Roman" w:hAnsi="Times New Roman" w:cs="Times New Roman"/>
        </w:rPr>
        <w:t>», Spinoza</w:t>
      </w:r>
      <w:r w:rsidRPr="00AB4BC7">
        <w:rPr>
          <w:rFonts w:ascii="Times New Roman" w:hAnsi="Times New Roman" w:cs="Times New Roman"/>
          <w:lang w:val="de-DE"/>
        </w:rPr>
        <w:t xml:space="preserve">  «hingegen tritt mehr auf die Seite der Eleatiker</w:t>
      </w:r>
      <w:r w:rsidRPr="00AB4BC7">
        <w:rPr>
          <w:rFonts w:ascii="Times New Roman" w:hAnsi="Times New Roman" w:cs="Times New Roman"/>
        </w:rPr>
        <w:t>»</w:t>
      </w:r>
      <w:r w:rsidRPr="00AB4BC7">
        <w:rPr>
          <w:rStyle w:val="Rimandonotaapidipagina"/>
          <w:rFonts w:ascii="Times New Roman" w:hAnsi="Times New Roman" w:cs="Times New Roman"/>
        </w:rPr>
        <w:footnoteReference w:id="658"/>
      </w:r>
      <w:r w:rsidRPr="00AB4BC7">
        <w:rPr>
          <w:rFonts w:ascii="Times New Roman" w:hAnsi="Times New Roman" w:cs="Times New Roman"/>
        </w:rPr>
        <w:t>.</w:t>
      </w:r>
      <w:r w:rsidRPr="00AB4BC7">
        <w:rPr>
          <w:rFonts w:ascii="Times New Roman" w:hAnsi="Times New Roman" w:cs="Times New Roman"/>
          <w:i/>
        </w:rPr>
        <w:t xml:space="preserve"> </w:t>
      </w:r>
      <w:r w:rsidRPr="00AB4BC7">
        <w:rPr>
          <w:rFonts w:ascii="Times New Roman" w:hAnsi="Times New Roman" w:cs="Times New Roman"/>
        </w:rPr>
        <w:t>Lo spinozismo si avvicina alla scuola eleatica,</w:t>
      </w:r>
      <w:r w:rsidRPr="006B7C08">
        <w:rPr>
          <w:rFonts w:ascii="Times New Roman" w:hAnsi="Times New Roman" w:cs="Times New Roman"/>
        </w:rPr>
        <w:t xml:space="preserve"> discostandosi dall’insegnamento di Eraclito e degli stoici, nella misura in cui priva di sostanzialità gli individui (modi).</w:t>
      </w:r>
      <w:r>
        <w:rPr>
          <w:rFonts w:ascii="Times New Roman" w:hAnsi="Times New Roman" w:cs="Times New Roman"/>
        </w:rPr>
        <w:t xml:space="preserve"> L’unità, non la molteplicità, è reale nel sistema di Spinoza. </w:t>
      </w:r>
      <w:r w:rsidRPr="007523F2">
        <w:rPr>
          <w:rFonts w:ascii="Times New Roman" w:hAnsi="Times New Roman" w:cs="Times New Roman"/>
        </w:rPr>
        <w:t xml:space="preserve">Dicendo questo, Tiedemann sembra recuperare la lezione di Salomon Maimon, che nell’unità sostanziale, non nella molteplicità fenomenica, aveva individuato la peculiarità dell’acosmismo spinoziano. Ma già da alcune scelte lessicali di Tiedemann, si capisce che il tema dell’unità si svincola dalla </w:t>
      </w:r>
      <w:r w:rsidRPr="007523F2">
        <w:rPr>
          <w:rFonts w:ascii="Times New Roman" w:hAnsi="Times New Roman" w:cs="Times New Roman"/>
          <w:i/>
        </w:rPr>
        <w:t>Lebensgeschichte</w:t>
      </w:r>
      <w:r w:rsidRPr="007523F2">
        <w:rPr>
          <w:rFonts w:ascii="Times New Roman" w:hAnsi="Times New Roman" w:cs="Times New Roman"/>
        </w:rPr>
        <w:t xml:space="preserve"> e si allinea con le </w:t>
      </w:r>
      <w:r w:rsidRPr="007523F2">
        <w:rPr>
          <w:rFonts w:ascii="Times New Roman" w:hAnsi="Times New Roman" w:cs="Times New Roman"/>
          <w:i/>
        </w:rPr>
        <w:t>Spinozabriefe</w:t>
      </w:r>
      <w:r w:rsidRPr="007523F2">
        <w:rPr>
          <w:rFonts w:ascii="Times New Roman" w:hAnsi="Times New Roman" w:cs="Times New Roman"/>
        </w:rPr>
        <w:t>.</w:t>
      </w:r>
      <w:r>
        <w:rPr>
          <w:rFonts w:ascii="Times New Roman" w:hAnsi="Times New Roman" w:cs="Times New Roman"/>
        </w:rPr>
        <w:t xml:space="preserve"> </w:t>
      </w:r>
      <w:r w:rsidRPr="00C71E36">
        <w:rPr>
          <w:rFonts w:ascii="Times New Roman" w:hAnsi="Times New Roman" w:cs="Times New Roman"/>
        </w:rPr>
        <w:t>Dio è soggetto immanente di tutte le cose, che per mezzo di una deduzione logica (</w:t>
      </w:r>
      <w:r w:rsidRPr="00C71E36">
        <w:rPr>
          <w:rFonts w:ascii="Times New Roman" w:hAnsi="Times New Roman" w:cs="Times New Roman"/>
          <w:i/>
        </w:rPr>
        <w:t>l</w:t>
      </w:r>
      <w:r w:rsidRPr="007523F2">
        <w:rPr>
          <w:rFonts w:ascii="Times New Roman" w:hAnsi="Times New Roman" w:cs="Times New Roman"/>
          <w:i/>
        </w:rPr>
        <w:t>ogische Herleitung</w:t>
      </w:r>
      <w:r w:rsidRPr="007523F2">
        <w:rPr>
          <w:rFonts w:ascii="Times New Roman" w:hAnsi="Times New Roman" w:cs="Times New Roman"/>
        </w:rPr>
        <w:t xml:space="preserve">) seguono e sono ricomprese nella sostanza divina. L’aver interpretato </w:t>
      </w:r>
      <w:r w:rsidRPr="007523F2">
        <w:rPr>
          <w:rFonts w:ascii="Times New Roman" w:hAnsi="Times New Roman" w:cs="Times New Roman"/>
          <w:i/>
        </w:rPr>
        <w:t>logicamente</w:t>
      </w:r>
      <w:r w:rsidRPr="007523F2">
        <w:rPr>
          <w:rFonts w:ascii="Times New Roman" w:hAnsi="Times New Roman" w:cs="Times New Roman"/>
        </w:rPr>
        <w:t xml:space="preserve"> la nozione spinoziana della causalità della sostanza si collega alla critica jacobiana dello spinozismo: in forza del suo cabbalismo ontologico, Spinoza nega l’attività causale della sostanza e riduce Dio ad un’indeterminata unità concettuale. A conferma di ciò,</w:t>
      </w:r>
      <w:r w:rsidRPr="0072047A">
        <w:rPr>
          <w:rFonts w:ascii="Times New Roman" w:hAnsi="Times New Roman" w:cs="Times New Roman"/>
        </w:rPr>
        <w:t xml:space="preserve"> Tiedemann osserva che «</w:t>
      </w:r>
      <w:r w:rsidRPr="0072047A">
        <w:rPr>
          <w:rFonts w:ascii="Times New Roman" w:hAnsi="Times New Roman" w:cs="Times New Roman"/>
          <w:lang w:val="de-DE"/>
        </w:rPr>
        <w:t>Gott ist demnach die Substanz überhaupt, die unendliche Substanz, welche keine Einschränkung hat, mit anderen Worten, die abstrakte Subs</w:t>
      </w:r>
      <w:r>
        <w:rPr>
          <w:rFonts w:ascii="Times New Roman" w:hAnsi="Times New Roman" w:cs="Times New Roman"/>
          <w:lang w:val="de-DE"/>
        </w:rPr>
        <w:t>tanz, und ein bloß Gedankending</w:t>
      </w:r>
      <w:r w:rsidRPr="0072047A">
        <w:rPr>
          <w:rFonts w:ascii="Times New Roman" w:hAnsi="Times New Roman" w:cs="Times New Roman"/>
          <w:lang w:val="de-DE"/>
        </w:rPr>
        <w:t>»</w:t>
      </w:r>
      <w:r w:rsidRPr="0072047A">
        <w:rPr>
          <w:rStyle w:val="Rimandonotaapidipagina"/>
          <w:rFonts w:ascii="Times New Roman" w:hAnsi="Times New Roman" w:cs="Times New Roman"/>
        </w:rPr>
        <w:footnoteReference w:id="659"/>
      </w:r>
      <w:r w:rsidRPr="0072047A">
        <w:rPr>
          <w:rFonts w:ascii="Times New Roman" w:hAnsi="Times New Roman" w:cs="Times New Roman"/>
          <w:lang w:val="de-DE"/>
        </w:rPr>
        <w:t>.</w:t>
      </w:r>
      <w:r>
        <w:rPr>
          <w:rFonts w:ascii="Times New Roman" w:hAnsi="Times New Roman" w:cs="Times New Roman"/>
        </w:rPr>
        <w:t xml:space="preserve"> </w:t>
      </w:r>
      <w:r w:rsidRPr="0072047A">
        <w:rPr>
          <w:rFonts w:ascii="Times New Roman" w:hAnsi="Times New Roman" w:cs="Times New Roman"/>
        </w:rPr>
        <w:t>In quanto priva di limitazioni, la divinità</w:t>
      </w:r>
      <w:r w:rsidRPr="0072047A">
        <w:rPr>
          <w:rFonts w:ascii="Times New Roman" w:eastAsia="Times New Roman" w:hAnsi="Times New Roman" w:cs="Times New Roman"/>
          <w:iCs/>
          <w:color w:val="222222"/>
          <w:shd w:val="clear" w:color="auto" w:fill="FFFFFF"/>
        </w:rPr>
        <w:t xml:space="preserve"> è sostanza</w:t>
      </w:r>
      <w:r>
        <w:rPr>
          <w:rFonts w:ascii="Times New Roman" w:eastAsia="Times New Roman" w:hAnsi="Times New Roman" w:cs="Times New Roman"/>
          <w:iCs/>
          <w:color w:val="222222"/>
          <w:shd w:val="clear" w:color="auto" w:fill="FFFFFF"/>
        </w:rPr>
        <w:t xml:space="preserve"> astratta</w:t>
      </w:r>
      <w:r w:rsidRPr="0072047A">
        <w:rPr>
          <w:rFonts w:ascii="Times New Roman" w:eastAsia="Times New Roman" w:hAnsi="Times New Roman" w:cs="Times New Roman"/>
          <w:iCs/>
          <w:color w:val="222222"/>
          <w:shd w:val="clear" w:color="auto" w:fill="FFFFFF"/>
        </w:rPr>
        <w:t xml:space="preserve">, </w:t>
      </w:r>
      <w:r>
        <w:rPr>
          <w:rFonts w:ascii="Times New Roman" w:eastAsia="Times New Roman" w:hAnsi="Times New Roman" w:cs="Times New Roman"/>
          <w:iCs/>
          <w:color w:val="222222"/>
          <w:shd w:val="clear" w:color="auto" w:fill="FFFFFF"/>
        </w:rPr>
        <w:t xml:space="preserve">mero </w:t>
      </w:r>
      <w:r w:rsidRPr="0072047A">
        <w:rPr>
          <w:rFonts w:ascii="Times New Roman" w:eastAsia="Times New Roman" w:hAnsi="Times New Roman" w:cs="Times New Roman"/>
          <w:iCs/>
          <w:color w:val="222222"/>
          <w:shd w:val="clear" w:color="auto" w:fill="FFFFFF"/>
        </w:rPr>
        <w:t>prodotto della ragione umana. A causa della sua astrattezza, la sostanza spinoziana è prossima all’essere degli Eleatici, che priva di sostanzialità gli individui e conferisce loro un’esistenza apparente.</w:t>
      </w:r>
      <w:r>
        <w:rPr>
          <w:rFonts w:ascii="Times New Roman" w:eastAsia="Times New Roman" w:hAnsi="Times New Roman" w:cs="Times New Roman"/>
          <w:iCs/>
          <w:color w:val="222222"/>
          <w:shd w:val="clear" w:color="auto" w:fill="FFFFFF"/>
        </w:rPr>
        <w:t xml:space="preserve"> </w:t>
      </w:r>
      <w:r w:rsidRPr="0072047A">
        <w:rPr>
          <w:rFonts w:ascii="Times New Roman" w:eastAsia="Times New Roman" w:hAnsi="Times New Roman" w:cs="Times New Roman"/>
          <w:iCs/>
          <w:color w:val="222222"/>
          <w:shd w:val="clear" w:color="auto" w:fill="FFFFFF"/>
        </w:rPr>
        <w:t xml:space="preserve">Senza citarla esplicitamente, Tiedemann filtra, deformandola, l’ontologia spinoziana attraverso la nozione – enfatizzata proprio dalle </w:t>
      </w:r>
      <w:r w:rsidRPr="0072047A">
        <w:rPr>
          <w:rFonts w:ascii="Times New Roman" w:eastAsia="Times New Roman" w:hAnsi="Times New Roman" w:cs="Times New Roman"/>
          <w:i/>
          <w:iCs/>
          <w:color w:val="222222"/>
          <w:shd w:val="clear" w:color="auto" w:fill="FFFFFF"/>
        </w:rPr>
        <w:t>Spinozabriefe</w:t>
      </w:r>
      <w:r w:rsidRPr="0072047A">
        <w:rPr>
          <w:rFonts w:ascii="Times New Roman" w:eastAsia="Times New Roman" w:hAnsi="Times New Roman" w:cs="Times New Roman"/>
          <w:iCs/>
          <w:color w:val="222222"/>
          <w:shd w:val="clear" w:color="auto" w:fill="FFFFFF"/>
        </w:rPr>
        <w:t xml:space="preserve"> – </w:t>
      </w:r>
      <w:r w:rsidRPr="0072047A">
        <w:rPr>
          <w:rFonts w:ascii="Times New Roman" w:eastAsia="Times New Roman" w:hAnsi="Times New Roman" w:cs="Times New Roman"/>
          <w:i/>
          <w:iCs/>
          <w:color w:val="222222"/>
          <w:shd w:val="clear" w:color="auto" w:fill="FFFFFF"/>
        </w:rPr>
        <w:t>determinatio est negatio</w:t>
      </w:r>
      <w:r>
        <w:rPr>
          <w:rFonts w:ascii="Times New Roman" w:eastAsia="Times New Roman" w:hAnsi="Times New Roman" w:cs="Times New Roman"/>
          <w:iCs/>
          <w:color w:val="222222"/>
          <w:shd w:val="clear" w:color="auto" w:fill="FFFFFF"/>
        </w:rPr>
        <w:t xml:space="preserve">: </w:t>
      </w:r>
      <w:r w:rsidRPr="0072047A">
        <w:rPr>
          <w:rFonts w:ascii="Times New Roman" w:eastAsia="Times New Roman" w:hAnsi="Times New Roman" w:cs="Times New Roman"/>
          <w:iCs/>
          <w:color w:val="222222"/>
          <w:shd w:val="clear" w:color="auto" w:fill="FFFFFF"/>
        </w:rPr>
        <w:t>soltanto a Dio spetta l’essere, mentre agli individui, in quanto enti limitati, spetta un’esistenza apparente o, se si preferisce, una non-esistenza.</w:t>
      </w:r>
      <w:r>
        <w:rPr>
          <w:rFonts w:ascii="Times New Roman" w:eastAsia="Times New Roman" w:hAnsi="Times New Roman" w:cs="Times New Roman"/>
          <w:iCs/>
          <w:color w:val="222222"/>
          <w:shd w:val="clear" w:color="auto" w:fill="FFFFFF"/>
        </w:rPr>
        <w:t xml:space="preserve"> </w:t>
      </w:r>
      <w:r w:rsidRPr="0072047A">
        <w:rPr>
          <w:rFonts w:ascii="Times New Roman" w:eastAsia="Times New Roman" w:hAnsi="Times New Roman" w:cs="Times New Roman"/>
          <w:iCs/>
          <w:color w:val="222222"/>
          <w:shd w:val="clear" w:color="auto" w:fill="FFFFFF"/>
        </w:rPr>
        <w:t>L’essere è determinazione di un pensato, di un astratto, da cui niente può essere realmente dedotto: Dio</w:t>
      </w:r>
      <w:r>
        <w:rPr>
          <w:rFonts w:ascii="Times New Roman" w:eastAsia="Times New Roman" w:hAnsi="Times New Roman" w:cs="Times New Roman"/>
          <w:iCs/>
          <w:color w:val="222222"/>
          <w:shd w:val="clear" w:color="auto" w:fill="FFFFFF"/>
        </w:rPr>
        <w:t xml:space="preserve"> non è causa del mondo, ma fondamento logico </w:t>
      </w:r>
      <w:r w:rsidRPr="00BE2ABA">
        <w:rPr>
          <w:rFonts w:ascii="Times New Roman" w:eastAsia="Times New Roman" w:hAnsi="Times New Roman" w:cs="Times New Roman"/>
          <w:iCs/>
          <w:color w:val="222222"/>
          <w:shd w:val="clear" w:color="auto" w:fill="FFFFFF"/>
        </w:rPr>
        <w:t xml:space="preserve">del medesimo, ossia soggetto che assorbe, sopprimendoli, i suoi predicati e di cui si può predicare l’essere senza che sia </w:t>
      </w:r>
      <w:r w:rsidRPr="00BE2ABA">
        <w:rPr>
          <w:rFonts w:ascii="Times New Roman" w:eastAsia="Times New Roman" w:hAnsi="Times New Roman" w:cs="Times New Roman"/>
          <w:i/>
          <w:iCs/>
          <w:color w:val="222222"/>
          <w:shd w:val="clear" w:color="auto" w:fill="FFFFFF"/>
        </w:rPr>
        <w:t>realmente</w:t>
      </w:r>
      <w:r w:rsidRPr="00BE2ABA">
        <w:rPr>
          <w:rFonts w:ascii="Times New Roman" w:eastAsia="Times New Roman" w:hAnsi="Times New Roman" w:cs="Times New Roman"/>
          <w:iCs/>
          <w:color w:val="222222"/>
          <w:shd w:val="clear" w:color="auto" w:fill="FFFFFF"/>
        </w:rPr>
        <w:t>.</w:t>
      </w:r>
      <w:r>
        <w:rPr>
          <w:rFonts w:ascii="Times New Roman" w:eastAsia="Times New Roman" w:hAnsi="Times New Roman" w:cs="Times New Roman"/>
          <w:iCs/>
          <w:color w:val="222222"/>
          <w:shd w:val="clear" w:color="auto" w:fill="FFFFFF"/>
        </w:rPr>
        <w:t xml:space="preserve"> Sul fatto che Spinoza confonda la nozione di causa con quella di fondamento, Tiedemann scrive che </w:t>
      </w:r>
      <w:r w:rsidRPr="00552CF5">
        <w:rPr>
          <w:rFonts w:ascii="Times New Roman" w:eastAsia="Times New Roman" w:hAnsi="Times New Roman" w:cs="Times New Roman"/>
          <w:iCs/>
          <w:color w:val="222222"/>
          <w:shd w:val="clear" w:color="auto" w:fill="FFFFFF"/>
        </w:rPr>
        <w:t>«</w:t>
      </w:r>
      <w:r w:rsidRPr="00552CF5">
        <w:rPr>
          <w:rFonts w:ascii="Times New Roman" w:eastAsia="Times New Roman" w:hAnsi="Times New Roman" w:cs="Times New Roman"/>
          <w:iCs/>
          <w:color w:val="222222"/>
          <w:shd w:val="clear" w:color="auto" w:fill="FFFFFF"/>
          <w:lang w:val="de-DE"/>
        </w:rPr>
        <w:t>hier wird unleugbar die wirkende Ursache mit den bloßen Grunde künstlich verwechselt</w:t>
      </w:r>
      <w:r w:rsidRPr="00552CF5">
        <w:rPr>
          <w:rFonts w:ascii="Times New Roman" w:hAnsi="Times New Roman" w:cs="Times New Roman"/>
          <w:lang w:val="de-DE"/>
        </w:rPr>
        <w:t>»</w:t>
      </w:r>
      <w:r w:rsidRPr="00552CF5">
        <w:rPr>
          <w:rStyle w:val="Rimandonotaapidipagina"/>
          <w:rFonts w:ascii="Times New Roman" w:eastAsia="Times New Roman" w:hAnsi="Times New Roman" w:cs="Times New Roman"/>
          <w:iCs/>
          <w:color w:val="222222"/>
          <w:shd w:val="clear" w:color="auto" w:fill="FFFFFF"/>
          <w:lang w:val="de-DE"/>
        </w:rPr>
        <w:footnoteReference w:id="660"/>
      </w:r>
      <w:r w:rsidRPr="00552CF5">
        <w:rPr>
          <w:rFonts w:ascii="Times New Roman" w:hAnsi="Times New Roman" w:cs="Times New Roman"/>
          <w:lang w:val="de-DE"/>
        </w:rPr>
        <w:t xml:space="preserve">. </w:t>
      </w:r>
      <w:r>
        <w:rPr>
          <w:rFonts w:ascii="Times New Roman" w:hAnsi="Times New Roman" w:cs="Times New Roman"/>
        </w:rPr>
        <w:t>E poche righe dopo aggiunge che:</w:t>
      </w:r>
    </w:p>
    <w:p w14:paraId="07D63058" w14:textId="77777777" w:rsidR="001B7751" w:rsidRPr="00EF3668" w:rsidRDefault="001B7751" w:rsidP="001B7751">
      <w:pPr>
        <w:spacing w:line="360" w:lineRule="auto"/>
        <w:ind w:left="567" w:firstLine="567"/>
        <w:jc w:val="both"/>
        <w:rPr>
          <w:rFonts w:ascii="Times New Roman" w:eastAsia="Times New Roman" w:hAnsi="Times New Roman" w:cs="Times New Roman"/>
          <w:iCs/>
          <w:color w:val="222222"/>
          <w:shd w:val="clear" w:color="auto" w:fill="FFFFFF"/>
        </w:rPr>
      </w:pPr>
    </w:p>
    <w:p w14:paraId="3F0941FD" w14:textId="77777777" w:rsidR="001B7751" w:rsidRPr="003F3921" w:rsidRDefault="001B7751" w:rsidP="001B7751">
      <w:pPr>
        <w:spacing w:line="360" w:lineRule="auto"/>
        <w:ind w:left="567" w:firstLine="567"/>
        <w:jc w:val="both"/>
        <w:rPr>
          <w:rFonts w:ascii="Times New Roman" w:hAnsi="Times New Roman" w:cs="Times New Roman"/>
          <w:sz w:val="20"/>
          <w:szCs w:val="20"/>
          <w:lang w:val="de-DE"/>
        </w:rPr>
      </w:pPr>
      <w:r w:rsidRPr="003F3921">
        <w:rPr>
          <w:rFonts w:ascii="Times New Roman" w:hAnsi="Times New Roman" w:cs="Times New Roman"/>
          <w:sz w:val="20"/>
          <w:szCs w:val="20"/>
          <w:lang w:val="de-DE"/>
        </w:rPr>
        <w:t>«Ebenso ist die erste Materie, das erste Subject, nicht das Prinzip, welches alle seine Modifikationen zur Wirklichkeit bringt, sondern nur das, aus welchem die Möglichkeit gewißer Bestimmungen begriffen wird»</w:t>
      </w:r>
      <w:r w:rsidRPr="003F3921">
        <w:rPr>
          <w:rStyle w:val="Rimandonotaapidipagina"/>
          <w:rFonts w:ascii="Times New Roman" w:hAnsi="Times New Roman" w:cs="Times New Roman"/>
          <w:sz w:val="20"/>
          <w:szCs w:val="20"/>
          <w:lang w:val="de-DE"/>
        </w:rPr>
        <w:footnoteReference w:id="661"/>
      </w:r>
      <w:r w:rsidRPr="003F3921">
        <w:rPr>
          <w:rFonts w:ascii="Times New Roman" w:hAnsi="Times New Roman" w:cs="Times New Roman"/>
          <w:sz w:val="20"/>
          <w:szCs w:val="20"/>
          <w:lang w:val="de-DE"/>
        </w:rPr>
        <w:t>.</w:t>
      </w:r>
    </w:p>
    <w:p w14:paraId="61354C38" w14:textId="77777777" w:rsidR="001B7751" w:rsidRDefault="001B7751" w:rsidP="001B7751">
      <w:pPr>
        <w:spacing w:line="360" w:lineRule="auto"/>
        <w:ind w:left="1134" w:firstLine="567"/>
        <w:jc w:val="both"/>
        <w:rPr>
          <w:rFonts w:ascii="Times New Roman" w:hAnsi="Times New Roman" w:cs="Times New Roman"/>
          <w:lang w:val="de-DE"/>
        </w:rPr>
      </w:pPr>
    </w:p>
    <w:p w14:paraId="54B9DADB" w14:textId="6D3E7CAE" w:rsidR="001B7751" w:rsidRDefault="00EF7171" w:rsidP="001B7751">
      <w:pPr>
        <w:spacing w:line="360" w:lineRule="auto"/>
        <w:ind w:firstLine="567"/>
        <w:jc w:val="both"/>
        <w:rPr>
          <w:rFonts w:ascii="Times New Roman" w:hAnsi="Times New Roman" w:cs="Times New Roman"/>
        </w:rPr>
      </w:pPr>
      <w:r w:rsidRPr="00E7149E">
        <w:rPr>
          <w:rFonts w:ascii="Times New Roman" w:hAnsi="Times New Roman" w:cs="Times New Roman"/>
        </w:rPr>
        <w:t>A</w:t>
      </w:r>
      <w:r w:rsidR="001B7751" w:rsidRPr="00E7149E">
        <w:rPr>
          <w:rFonts w:ascii="Times New Roman" w:hAnsi="Times New Roman" w:cs="Times New Roman"/>
        </w:rPr>
        <w:t xml:space="preserve">l pari della dottrina lurianica della </w:t>
      </w:r>
      <w:r w:rsidR="001B7751" w:rsidRPr="00E7149E">
        <w:rPr>
          <w:rFonts w:ascii="Times New Roman" w:hAnsi="Times New Roman" w:cs="Times New Roman"/>
          <w:i/>
        </w:rPr>
        <w:t>tzimtzum</w:t>
      </w:r>
      <w:r w:rsidR="001B7751" w:rsidRPr="00E7149E">
        <w:rPr>
          <w:rFonts w:ascii="Times New Roman" w:hAnsi="Times New Roman" w:cs="Times New Roman"/>
        </w:rPr>
        <w:t xml:space="preserve">, l’ontologia spinoziana insegna la materialità della sostanza divina, che è materia prima o infinita estensione. Sulla base dell’interpretazione jacobiana, Tiedemann afferma che la sostanza non è principio </w:t>
      </w:r>
      <w:r w:rsidRPr="00E7149E">
        <w:rPr>
          <w:rFonts w:ascii="Times New Roman" w:hAnsi="Times New Roman" w:cs="Times New Roman"/>
        </w:rPr>
        <w:t xml:space="preserve">materiale </w:t>
      </w:r>
      <w:r w:rsidR="001B7751" w:rsidRPr="00E7149E">
        <w:rPr>
          <w:rFonts w:ascii="Times New Roman" w:hAnsi="Times New Roman" w:cs="Times New Roman"/>
        </w:rPr>
        <w:t>che realizza</w:t>
      </w:r>
      <w:r w:rsidR="001B7751" w:rsidRPr="00662B09">
        <w:rPr>
          <w:rFonts w:ascii="Times New Roman" w:hAnsi="Times New Roman" w:cs="Times New Roman"/>
        </w:rPr>
        <w:t xml:space="preserve"> – letteralmente porta alla realtà – le sue modificazioni, ma soggetto da cui può essere concepita la loro possibilità ideale. Siamo davanti ad un’interpretazione del pensiero di Spinoza a dir poco singolare, che coniuga elementi teorici nuovi con fonti storico-filosofiche collocabili nella prima metà del XVIII secolo. All’identificazione della Qabbalah con la </w:t>
      </w:r>
      <w:r w:rsidR="001B7751" w:rsidRPr="00662B09">
        <w:rPr>
          <w:rFonts w:ascii="Times New Roman" w:hAnsi="Times New Roman" w:cs="Times New Roman"/>
          <w:i/>
        </w:rPr>
        <w:t>Porta Coelorum</w:t>
      </w:r>
      <w:r w:rsidR="001B7751" w:rsidRPr="00662B09">
        <w:rPr>
          <w:rFonts w:ascii="Times New Roman" w:hAnsi="Times New Roman" w:cs="Times New Roman"/>
        </w:rPr>
        <w:t xml:space="preserve"> e dello spinozismo con</w:t>
      </w:r>
      <w:r w:rsidR="00AB4BC7">
        <w:rPr>
          <w:rFonts w:ascii="Times New Roman" w:hAnsi="Times New Roman" w:cs="Times New Roman"/>
        </w:rPr>
        <w:t xml:space="preserve"> certe nozioni</w:t>
      </w:r>
      <w:r w:rsidR="001B7751">
        <w:rPr>
          <w:rFonts w:ascii="Times New Roman" w:hAnsi="Times New Roman" w:cs="Times New Roman"/>
        </w:rPr>
        <w:t xml:space="preserve"> de</w:t>
      </w:r>
      <w:r w:rsidR="001B7751" w:rsidRPr="00662B09">
        <w:rPr>
          <w:rFonts w:ascii="Times New Roman" w:hAnsi="Times New Roman" w:cs="Times New Roman"/>
        </w:rPr>
        <w:t xml:space="preserve">l trattato di Herrera, Tiedemann sovrappone le </w:t>
      </w:r>
      <w:r w:rsidR="001B7751" w:rsidRPr="00662B09">
        <w:rPr>
          <w:rFonts w:ascii="Times New Roman" w:hAnsi="Times New Roman" w:cs="Times New Roman"/>
          <w:i/>
        </w:rPr>
        <w:t>Spinozabriefe</w:t>
      </w:r>
      <w:r w:rsidR="001B7751" w:rsidRPr="00662B09">
        <w:rPr>
          <w:rFonts w:ascii="Times New Roman" w:hAnsi="Times New Roman" w:cs="Times New Roman"/>
        </w:rPr>
        <w:t xml:space="preserve"> di Jacobi, che costituiscono il riferimento precipuo della sua categorizzazione </w:t>
      </w:r>
      <w:r w:rsidR="001B7751" w:rsidRPr="00662B09">
        <w:rPr>
          <w:rFonts w:ascii="Times New Roman" w:hAnsi="Times New Roman" w:cs="Times New Roman"/>
          <w:i/>
        </w:rPr>
        <w:t>materialistica</w:t>
      </w:r>
      <w:r w:rsidR="001B7751" w:rsidRPr="00662B09">
        <w:rPr>
          <w:rFonts w:ascii="Times New Roman" w:hAnsi="Times New Roman" w:cs="Times New Roman"/>
        </w:rPr>
        <w:t xml:space="preserve"> e </w:t>
      </w:r>
      <w:r w:rsidR="001B7751" w:rsidRPr="00662B09">
        <w:rPr>
          <w:rFonts w:ascii="Times New Roman" w:hAnsi="Times New Roman" w:cs="Times New Roman"/>
          <w:i/>
        </w:rPr>
        <w:t>nichilistica</w:t>
      </w:r>
      <w:r w:rsidR="001B7751" w:rsidRPr="00662B09">
        <w:rPr>
          <w:rFonts w:ascii="Times New Roman" w:hAnsi="Times New Roman" w:cs="Times New Roman"/>
        </w:rPr>
        <w:t xml:space="preserve"> dell’ontologia spinoziana.</w:t>
      </w:r>
      <w:r w:rsidR="001B7751">
        <w:rPr>
          <w:rFonts w:ascii="Times New Roman" w:hAnsi="Times New Roman" w:cs="Times New Roman"/>
        </w:rPr>
        <w:t xml:space="preserve"> </w:t>
      </w:r>
      <w:r w:rsidR="001B7751" w:rsidRPr="00662B09">
        <w:rPr>
          <w:rFonts w:ascii="Times New Roman" w:hAnsi="Times New Roman" w:cs="Times New Roman"/>
        </w:rPr>
        <w:t xml:space="preserve">Similarmente, le differenze fra spinozismo e Qabbalah risultano dalla combinazione di strumenti concettuali eterogenei: da un lato è seguita la </w:t>
      </w:r>
      <w:r w:rsidR="001B7751" w:rsidRPr="00662B09">
        <w:rPr>
          <w:rFonts w:ascii="Times New Roman" w:hAnsi="Times New Roman" w:cs="Times New Roman"/>
          <w:i/>
        </w:rPr>
        <w:t>Historia Critica Philosophiae</w:t>
      </w:r>
      <w:r w:rsidR="001B7751" w:rsidRPr="00662B09">
        <w:rPr>
          <w:rFonts w:ascii="Times New Roman" w:hAnsi="Times New Roman" w:cs="Times New Roman"/>
        </w:rPr>
        <w:t>, che pone il discrimine fra filosofia cabbalistica e pensiero spinoziano nel mantenimento o superamento dell’emanatismo</w:t>
      </w:r>
      <w:r w:rsidR="001B7751" w:rsidRPr="00047DBE">
        <w:rPr>
          <w:rFonts w:ascii="Times New Roman" w:hAnsi="Times New Roman" w:cs="Times New Roman"/>
        </w:rPr>
        <w:t xml:space="preserve">; dall’altro lato l’irrealtà della sostanza spinoziana </w:t>
      </w:r>
      <w:r w:rsidR="001B7751" w:rsidRPr="007523F2">
        <w:rPr>
          <w:rFonts w:ascii="Times New Roman" w:hAnsi="Times New Roman" w:cs="Times New Roman"/>
        </w:rPr>
        <w:t xml:space="preserve">– e di contro la realtà dell’infinito cabbalistico – risulta dalla distinzione jacobiana </w:t>
      </w:r>
      <w:r w:rsidR="001B7751">
        <w:rPr>
          <w:rFonts w:ascii="Times New Roman" w:hAnsi="Times New Roman" w:cs="Times New Roman"/>
        </w:rPr>
        <w:t>delle nozioni</w:t>
      </w:r>
      <w:r w:rsidR="001B7751" w:rsidRPr="007523F2">
        <w:rPr>
          <w:rFonts w:ascii="Times New Roman" w:hAnsi="Times New Roman" w:cs="Times New Roman"/>
        </w:rPr>
        <w:t xml:space="preserve"> di causa </w:t>
      </w:r>
      <w:r w:rsidR="001B7751">
        <w:rPr>
          <w:rFonts w:ascii="Times New Roman" w:hAnsi="Times New Roman" w:cs="Times New Roman"/>
        </w:rPr>
        <w:t xml:space="preserve">e </w:t>
      </w:r>
      <w:r w:rsidR="001B7751" w:rsidRPr="007523F2">
        <w:rPr>
          <w:rFonts w:ascii="Times New Roman" w:hAnsi="Times New Roman" w:cs="Times New Roman"/>
        </w:rPr>
        <w:t>fondamento.</w:t>
      </w:r>
      <w:r w:rsidR="001B7751">
        <w:rPr>
          <w:rFonts w:ascii="Times New Roman" w:hAnsi="Times New Roman" w:cs="Times New Roman"/>
        </w:rPr>
        <w:t xml:space="preserve"> </w:t>
      </w:r>
      <w:r w:rsidR="001B7751" w:rsidRPr="00662B09">
        <w:rPr>
          <w:rFonts w:ascii="Times New Roman" w:hAnsi="Times New Roman" w:cs="Times New Roman"/>
        </w:rPr>
        <w:t>Anche in questo caso, vecchio e nuovo si coniugano in una proposta storiografica capace di far coesistere originalmente quanto messo a punto dalla critica anteriore.</w:t>
      </w:r>
    </w:p>
    <w:p w14:paraId="790DED94" w14:textId="77777777" w:rsidR="001B7751" w:rsidRDefault="001B7751" w:rsidP="00107F78">
      <w:pPr>
        <w:spacing w:line="360" w:lineRule="auto"/>
        <w:jc w:val="both"/>
        <w:rPr>
          <w:rFonts w:ascii="Times New Roman" w:hAnsi="Times New Roman" w:cs="Times New Roman"/>
        </w:rPr>
      </w:pPr>
    </w:p>
    <w:p w14:paraId="266047CB" w14:textId="22F92FF4" w:rsidR="001B7751" w:rsidRPr="00C266CE" w:rsidRDefault="001B7751" w:rsidP="001B7751">
      <w:pPr>
        <w:spacing w:line="360" w:lineRule="auto"/>
        <w:jc w:val="both"/>
        <w:rPr>
          <w:rFonts w:ascii="Times New Roman" w:hAnsi="Times New Roman" w:cs="Times New Roman"/>
          <w:i/>
          <w:lang w:val="de-DE"/>
        </w:rPr>
      </w:pPr>
      <w:r w:rsidRPr="00136CFC">
        <w:rPr>
          <w:rFonts w:ascii="Times New Roman" w:hAnsi="Times New Roman" w:cs="Times New Roman"/>
          <w:i/>
        </w:rPr>
        <w:t xml:space="preserve">3.6 </w:t>
      </w:r>
      <w:r w:rsidR="00770109" w:rsidRPr="00136CFC">
        <w:rPr>
          <w:rFonts w:ascii="Times New Roman" w:hAnsi="Times New Roman" w:cs="Times New Roman"/>
          <w:i/>
        </w:rPr>
        <w:t xml:space="preserve">Panteismo </w:t>
      </w:r>
      <w:r w:rsidRPr="00136CFC">
        <w:rPr>
          <w:rFonts w:ascii="Times New Roman" w:hAnsi="Times New Roman" w:cs="Times New Roman"/>
          <w:i/>
        </w:rPr>
        <w:t>spinoziano e emanatismo cabbali</w:t>
      </w:r>
      <w:r w:rsidR="00DD185A" w:rsidRPr="00136CFC">
        <w:rPr>
          <w:rFonts w:ascii="Times New Roman" w:hAnsi="Times New Roman" w:cs="Times New Roman"/>
          <w:i/>
        </w:rPr>
        <w:t xml:space="preserve">stico. Variazioni sul tema nel </w:t>
      </w:r>
      <w:r w:rsidRPr="00136CFC">
        <w:rPr>
          <w:rFonts w:ascii="Times New Roman" w:hAnsi="Times New Roman" w:cs="Times New Roman"/>
          <w:lang w:val="de-DE"/>
        </w:rPr>
        <w:t>Lehrbuch</w:t>
      </w:r>
      <w:r w:rsidR="00DD185A" w:rsidRPr="00136CFC">
        <w:rPr>
          <w:rFonts w:ascii="Times New Roman" w:hAnsi="Times New Roman" w:cs="Times New Roman"/>
          <w:lang w:val="de-DE"/>
        </w:rPr>
        <w:t xml:space="preserve"> der Geschichte der Philosophie</w:t>
      </w:r>
    </w:p>
    <w:p w14:paraId="56AF087E" w14:textId="77777777" w:rsidR="001B7751" w:rsidRDefault="001B7751" w:rsidP="001B7751">
      <w:pPr>
        <w:spacing w:line="360" w:lineRule="auto"/>
        <w:ind w:left="567" w:firstLine="567"/>
        <w:jc w:val="both"/>
        <w:rPr>
          <w:rFonts w:ascii="Times New Roman" w:hAnsi="Times New Roman" w:cs="Times New Roman"/>
          <w:b/>
        </w:rPr>
      </w:pPr>
      <w:r>
        <w:rPr>
          <w:rFonts w:ascii="Times New Roman" w:hAnsi="Times New Roman" w:cs="Times New Roman"/>
          <w:b/>
        </w:rPr>
        <w:t xml:space="preserve"> </w:t>
      </w:r>
    </w:p>
    <w:p w14:paraId="13E5AA22" w14:textId="77777777" w:rsidR="001B7751" w:rsidRPr="002E7769" w:rsidRDefault="001B7751" w:rsidP="001B7751">
      <w:pPr>
        <w:spacing w:line="360" w:lineRule="auto"/>
        <w:ind w:firstLine="567"/>
        <w:jc w:val="both"/>
        <w:rPr>
          <w:rFonts w:ascii="Times New Roman" w:hAnsi="Times New Roman" w:cs="Times New Roman"/>
          <w:b/>
        </w:rPr>
      </w:pPr>
      <w:r w:rsidRPr="00E91DFC">
        <w:rPr>
          <w:rFonts w:ascii="Times New Roman" w:hAnsi="Times New Roman" w:cs="Times New Roman"/>
        </w:rPr>
        <w:t>Dopo aver messo in luce alcuni aspetti generali e particolari dell’attività storico-filosofica di Tiedemann,</w:t>
      </w:r>
      <w:r w:rsidRPr="00D537B6">
        <w:rPr>
          <w:rFonts w:ascii="Times New Roman" w:hAnsi="Times New Roman" w:cs="Times New Roman"/>
        </w:rPr>
        <w:t xml:space="preserve"> è bene spostare la nostra attenzione sul </w:t>
      </w:r>
      <w:r w:rsidRPr="00D537B6">
        <w:rPr>
          <w:rFonts w:ascii="Times New Roman" w:hAnsi="Times New Roman" w:cs="Times New Roman"/>
          <w:i/>
        </w:rPr>
        <w:t>Lehrbuch der Geschichte der Philosophie</w:t>
      </w:r>
      <w:r w:rsidRPr="00D537B6">
        <w:rPr>
          <w:rFonts w:ascii="Times New Roman" w:hAnsi="Times New Roman" w:cs="Times New Roman"/>
        </w:rPr>
        <w:t xml:space="preserve"> di Johann Gottlieb Buhle</w:t>
      </w:r>
      <w:r w:rsidRPr="00D537B6">
        <w:rPr>
          <w:rStyle w:val="Rimandonotaapidipagina"/>
          <w:rFonts w:ascii="Times New Roman" w:hAnsi="Times New Roman" w:cs="Times New Roman"/>
        </w:rPr>
        <w:footnoteReference w:id="662"/>
      </w:r>
      <w:r w:rsidRPr="00D537B6">
        <w:rPr>
          <w:rFonts w:ascii="Times New Roman" w:hAnsi="Times New Roman" w:cs="Times New Roman"/>
        </w:rPr>
        <w:t xml:space="preserve">. Di formazione kantiana, Buhle ritiene che la filosofia sia </w:t>
      </w:r>
      <w:r w:rsidRPr="000E152C">
        <w:rPr>
          <w:rFonts w:ascii="Times New Roman" w:hAnsi="Times New Roman" w:cs="Times New Roman"/>
        </w:rPr>
        <w:t>«</w:t>
      </w:r>
      <w:r w:rsidRPr="000E152C">
        <w:rPr>
          <w:rFonts w:ascii="Times New Roman" w:hAnsi="Times New Roman" w:cs="Times New Roman"/>
          <w:lang w:val="de-DE"/>
        </w:rPr>
        <w:t>die Wissenschaft von der Natur der menschlichen Gemühtes an und für sich, und dem ursprünglichen Verhältnisse desselben zu den Gegenstanden ausser ihm»</w:t>
      </w:r>
      <w:r w:rsidRPr="000E152C">
        <w:rPr>
          <w:rStyle w:val="Rimandonotaapidipagina"/>
          <w:rFonts w:ascii="Times New Roman" w:hAnsi="Times New Roman" w:cs="Times New Roman"/>
          <w:lang w:val="de-DE"/>
        </w:rPr>
        <w:footnoteReference w:id="663"/>
      </w:r>
      <w:r w:rsidRPr="000E152C">
        <w:rPr>
          <w:rFonts w:ascii="Times New Roman" w:hAnsi="Times New Roman" w:cs="Times New Roman"/>
          <w:lang w:val="de-DE"/>
        </w:rPr>
        <w:t>.</w:t>
      </w:r>
      <w:r w:rsidRPr="00D537B6">
        <w:rPr>
          <w:rFonts w:ascii="Times New Roman" w:hAnsi="Times New Roman" w:cs="Times New Roman"/>
          <w:lang w:val="de-DE"/>
        </w:rPr>
        <w:t xml:space="preserve"> </w:t>
      </w:r>
      <w:r w:rsidRPr="00D537B6">
        <w:rPr>
          <w:rFonts w:ascii="Times New Roman" w:hAnsi="Times New Roman" w:cs="Times New Roman"/>
        </w:rPr>
        <w:t>In termini estremamente generali, la filosofia studia l’animo umano in-sé-e-per-</w:t>
      </w:r>
      <w:r>
        <w:rPr>
          <w:rFonts w:ascii="Times New Roman" w:hAnsi="Times New Roman" w:cs="Times New Roman"/>
        </w:rPr>
        <w:t>sé e in rapporto – sia</w:t>
      </w:r>
      <w:r w:rsidRPr="00D537B6">
        <w:rPr>
          <w:rFonts w:ascii="Times New Roman" w:hAnsi="Times New Roman" w:cs="Times New Roman"/>
        </w:rPr>
        <w:t xml:space="preserve"> teoretico che pratico – con l’oggettività. Seppur disciplina storica, la filosofia non è «</w:t>
      </w:r>
      <w:r w:rsidRPr="000E152C">
        <w:rPr>
          <w:rFonts w:ascii="Times New Roman" w:hAnsi="Times New Roman" w:cs="Times New Roman"/>
          <w:lang w:val="de-DE"/>
        </w:rPr>
        <w:t>eine Sammlung literarischer und biographischen Notizen von den Lebensumstanden und Schriften einzelner Philosophen, und philosophischen Schulen; sondern vielmehr Geschichte der Systeme und Meynungen</w:t>
      </w:r>
      <w:r w:rsidRPr="00691787">
        <w:rPr>
          <w:rFonts w:ascii="Times New Roman" w:hAnsi="Times New Roman" w:cs="Times New Roman"/>
          <w:lang w:val="de-DE"/>
        </w:rPr>
        <w:t>»</w:t>
      </w:r>
      <w:r w:rsidRPr="00691787">
        <w:rPr>
          <w:rStyle w:val="Rimandonotaapidipagina"/>
          <w:rFonts w:ascii="Times New Roman" w:hAnsi="Times New Roman" w:cs="Times New Roman"/>
        </w:rPr>
        <w:footnoteReference w:id="664"/>
      </w:r>
      <w:r w:rsidRPr="00691787">
        <w:rPr>
          <w:rFonts w:ascii="Times New Roman" w:hAnsi="Times New Roman" w:cs="Times New Roman"/>
        </w:rPr>
        <w:t xml:space="preserve">. Dichiarando che la disciplina non è semplice raccolta di </w:t>
      </w:r>
      <w:r w:rsidRPr="00175ED9">
        <w:rPr>
          <w:rFonts w:ascii="Times New Roman" w:hAnsi="Times New Roman" w:cs="Times New Roman"/>
        </w:rPr>
        <w:t xml:space="preserve">notizie letterarie e biografiche, Buhle rivendica la natura prettamente teorica della filosofia, che non si lascia appiattire su questioni di carattere </w:t>
      </w:r>
      <w:r w:rsidRPr="00175ED9">
        <w:rPr>
          <w:rFonts w:ascii="Times New Roman" w:hAnsi="Times New Roman" w:cs="Times New Roman"/>
          <w:i/>
        </w:rPr>
        <w:t>contingente</w:t>
      </w:r>
      <w:r w:rsidRPr="00175ED9">
        <w:rPr>
          <w:rFonts w:ascii="Times New Roman" w:hAnsi="Times New Roman" w:cs="Times New Roman"/>
        </w:rPr>
        <w:t xml:space="preserve"> e </w:t>
      </w:r>
      <w:r w:rsidRPr="00175ED9">
        <w:rPr>
          <w:rFonts w:ascii="Times New Roman" w:hAnsi="Times New Roman" w:cs="Times New Roman"/>
          <w:i/>
        </w:rPr>
        <w:t>fattuale</w:t>
      </w:r>
      <w:r w:rsidRPr="00175ED9">
        <w:rPr>
          <w:rFonts w:ascii="Times New Roman" w:hAnsi="Times New Roman" w:cs="Times New Roman"/>
        </w:rPr>
        <w:t>. Questa definizione, apparentemente avversa alla storicità del sapere filosofico, non esclude, tuttavia, la</w:t>
      </w:r>
      <w:r w:rsidRPr="00691787">
        <w:rPr>
          <w:rFonts w:ascii="Times New Roman" w:hAnsi="Times New Roman" w:cs="Times New Roman"/>
        </w:rPr>
        <w:t xml:space="preserve"> presenza dell’elemento storico dalle pagine del </w:t>
      </w:r>
      <w:r w:rsidRPr="00691787">
        <w:rPr>
          <w:rFonts w:ascii="Times New Roman" w:hAnsi="Times New Roman" w:cs="Times New Roman"/>
          <w:i/>
        </w:rPr>
        <w:t>Lehrbuch</w:t>
      </w:r>
      <w:r w:rsidRPr="00691787">
        <w:rPr>
          <w:rFonts w:ascii="Times New Roman" w:hAnsi="Times New Roman" w:cs="Times New Roman"/>
        </w:rPr>
        <w:t>: lo storico della filosofia analizza il pensiero calato all’interno di contesti socio-culturali in mutamento. Senza il materiale storico verrebbe meno un tassello necessario per comprendere le peculiarità dei diversi sistemi filosofici. Allo studio delle fonti primarie e secondarie</w:t>
      </w:r>
      <w:r w:rsidRPr="00691787">
        <w:rPr>
          <w:rStyle w:val="Rimandonotaapidipagina"/>
          <w:rFonts w:ascii="Times New Roman" w:hAnsi="Times New Roman" w:cs="Times New Roman"/>
        </w:rPr>
        <w:footnoteReference w:id="665"/>
      </w:r>
      <w:r w:rsidRPr="00691787">
        <w:rPr>
          <w:rFonts w:ascii="Times New Roman" w:hAnsi="Times New Roman" w:cs="Times New Roman"/>
        </w:rPr>
        <w:t>, pertanto, si unisce una conoscenza del contesto storico in cui una data filosofia si è sviluppata</w:t>
      </w:r>
      <w:r w:rsidRPr="00691787">
        <w:rPr>
          <w:rStyle w:val="Rimandonotaapidipagina"/>
          <w:rFonts w:ascii="Times New Roman" w:hAnsi="Times New Roman" w:cs="Times New Roman"/>
        </w:rPr>
        <w:footnoteReference w:id="666"/>
      </w:r>
      <w:r w:rsidRPr="00691787">
        <w:rPr>
          <w:rFonts w:ascii="Times New Roman" w:hAnsi="Times New Roman" w:cs="Times New Roman"/>
        </w:rPr>
        <w:t>.</w:t>
      </w:r>
      <w:r w:rsidRPr="00D537B6">
        <w:rPr>
          <w:rFonts w:ascii="Times New Roman" w:hAnsi="Times New Roman" w:cs="Times New Roman"/>
        </w:rPr>
        <w:t xml:space="preserve"> </w:t>
      </w:r>
    </w:p>
    <w:p w14:paraId="6CBCA474" w14:textId="77777777" w:rsidR="001B7751" w:rsidRDefault="001B7751" w:rsidP="001B7751">
      <w:pPr>
        <w:spacing w:line="360" w:lineRule="auto"/>
        <w:ind w:firstLine="567"/>
        <w:jc w:val="both"/>
        <w:rPr>
          <w:rFonts w:ascii="Times New Roman" w:hAnsi="Times New Roman" w:cs="Times New Roman"/>
        </w:rPr>
      </w:pPr>
      <w:r w:rsidRPr="00060811">
        <w:rPr>
          <w:rFonts w:ascii="Times New Roman" w:hAnsi="Times New Roman" w:cs="Times New Roman"/>
        </w:rPr>
        <w:t xml:space="preserve">Fatta questa premessa sui principi interpretativi assunti dal </w:t>
      </w:r>
      <w:r w:rsidRPr="00060811">
        <w:rPr>
          <w:rFonts w:ascii="Times New Roman" w:hAnsi="Times New Roman" w:cs="Times New Roman"/>
          <w:i/>
        </w:rPr>
        <w:t>Lehrbuch</w:t>
      </w:r>
      <w:r w:rsidRPr="00060811">
        <w:rPr>
          <w:rFonts w:ascii="Times New Roman" w:hAnsi="Times New Roman" w:cs="Times New Roman"/>
        </w:rPr>
        <w:t xml:space="preserve">, è possibile vedere in che modo Buhle </w:t>
      </w:r>
      <w:r>
        <w:rPr>
          <w:rFonts w:ascii="Times New Roman" w:hAnsi="Times New Roman" w:cs="Times New Roman"/>
        </w:rPr>
        <w:t>caratterizza</w:t>
      </w:r>
      <w:r w:rsidRPr="00060811">
        <w:rPr>
          <w:rFonts w:ascii="Times New Roman" w:hAnsi="Times New Roman" w:cs="Times New Roman"/>
        </w:rPr>
        <w:t xml:space="preserve"> la Qabbalah e la filosofia di Spinoza. Al pari di Tiedemann, s’assisterà ad una ripresa di modelli interpretativi consolidati – per lo più bruckeriani </w:t>
      </w:r>
      <w:r w:rsidRPr="00060811">
        <w:rPr>
          <w:rFonts w:ascii="Times New Roman" w:hAnsi="Times New Roman" w:cs="Times New Roman"/>
        </w:rPr>
        <w:softHyphen/>
        <w:t xml:space="preserve">– nella discussione sul misticismo ebraico e di categorizzazioni più recenti – per lo più jacobiane – nell’analisi critica dello spinozismo. Riguardo a quest’ultimo punto, si osserverà nel manuale di Buhle un’assimilazione dello spinozismo alla tradizione mistica ebraica a partire dal principio </w:t>
      </w:r>
      <w:r w:rsidRPr="00060811">
        <w:rPr>
          <w:rFonts w:ascii="Times New Roman" w:hAnsi="Times New Roman" w:cs="Times New Roman"/>
          <w:i/>
        </w:rPr>
        <w:t>a nihilo nihil fit</w:t>
      </w:r>
      <w:r w:rsidRPr="00060811">
        <w:rPr>
          <w:rFonts w:ascii="Times New Roman" w:hAnsi="Times New Roman" w:cs="Times New Roman"/>
          <w:lang w:val="de-DE"/>
        </w:rPr>
        <w:t xml:space="preserve">. </w:t>
      </w:r>
      <w:r w:rsidRPr="00060811">
        <w:rPr>
          <w:rFonts w:ascii="Times New Roman" w:hAnsi="Times New Roman" w:cs="Times New Roman"/>
        </w:rPr>
        <w:t>Contrariamente al</w:t>
      </w:r>
      <w:r w:rsidRPr="00060811">
        <w:rPr>
          <w:rFonts w:ascii="Times New Roman" w:hAnsi="Times New Roman" w:cs="Times New Roman"/>
          <w:lang w:val="de-DE"/>
        </w:rPr>
        <w:t xml:space="preserve"> </w:t>
      </w:r>
      <w:r w:rsidRPr="00060811">
        <w:rPr>
          <w:rFonts w:ascii="Times New Roman" w:hAnsi="Times New Roman" w:cs="Times New Roman"/>
          <w:i/>
          <w:lang w:val="de-DE"/>
        </w:rPr>
        <w:t>Geist der spekulativen Philosophie</w:t>
      </w:r>
      <w:r w:rsidRPr="00060811">
        <w:rPr>
          <w:rFonts w:ascii="Times New Roman" w:hAnsi="Times New Roman" w:cs="Times New Roman"/>
        </w:rPr>
        <w:t xml:space="preserve">, Buhle svilupperà una lettura prettamente </w:t>
      </w:r>
      <w:r w:rsidRPr="002E0C07">
        <w:rPr>
          <w:rFonts w:ascii="Times New Roman" w:hAnsi="Times New Roman" w:cs="Times New Roman"/>
          <w:i/>
        </w:rPr>
        <w:t xml:space="preserve">nichilistica </w:t>
      </w:r>
      <w:r w:rsidRPr="00060811">
        <w:rPr>
          <w:rFonts w:ascii="Times New Roman" w:hAnsi="Times New Roman" w:cs="Times New Roman"/>
        </w:rPr>
        <w:t xml:space="preserve">del </w:t>
      </w:r>
      <w:r w:rsidRPr="00060811">
        <w:rPr>
          <w:rFonts w:ascii="Times New Roman" w:hAnsi="Times New Roman" w:cs="Times New Roman"/>
          <w:i/>
        </w:rPr>
        <w:t xml:space="preserve">De Deo </w:t>
      </w:r>
      <w:r w:rsidRPr="00060811">
        <w:rPr>
          <w:rFonts w:ascii="Times New Roman" w:hAnsi="Times New Roman" w:cs="Times New Roman"/>
        </w:rPr>
        <w:t xml:space="preserve">spinoziano: rifiutando le implicazioni materialistiche dell’ontologia di Spinoza, sarà escluso l’apporto della </w:t>
      </w:r>
      <w:r w:rsidRPr="00060811">
        <w:rPr>
          <w:rFonts w:ascii="Times New Roman" w:hAnsi="Times New Roman" w:cs="Times New Roman"/>
          <w:i/>
        </w:rPr>
        <w:t>Porta Coelorum</w:t>
      </w:r>
      <w:r w:rsidRPr="00060811">
        <w:rPr>
          <w:rFonts w:ascii="Times New Roman" w:hAnsi="Times New Roman" w:cs="Times New Roman"/>
        </w:rPr>
        <w:t xml:space="preserve"> nella formazione dello spinozismo. A questa scelta interpretativa, non seguirà un’analoga rinuncia ad utilizzare lo scritto di Herrera nella decifrazione del misticismo ebraico: senza il supporto di questo prezioso strumento critico, la Qabbalah resterebbe, a detta di Buhle, un insieme caotico e disorganico di allegorie e immagini inaccessibili al pensiero</w:t>
      </w:r>
      <w:r w:rsidRPr="00060811">
        <w:rPr>
          <w:rStyle w:val="Rimandonotaapidipagina"/>
          <w:rFonts w:ascii="Times New Roman" w:hAnsi="Times New Roman" w:cs="Times New Roman"/>
        </w:rPr>
        <w:footnoteReference w:id="667"/>
      </w:r>
      <w:r w:rsidRPr="00060811">
        <w:rPr>
          <w:rFonts w:ascii="Times New Roman" w:hAnsi="Times New Roman" w:cs="Times New Roman"/>
        </w:rPr>
        <w:t>.</w:t>
      </w:r>
      <w:r>
        <w:rPr>
          <w:rFonts w:ascii="Times New Roman" w:hAnsi="Times New Roman" w:cs="Times New Roman"/>
        </w:rPr>
        <w:t xml:space="preserve"> </w:t>
      </w:r>
    </w:p>
    <w:p w14:paraId="1BFDE8A2" w14:textId="028CA648" w:rsidR="001B7751" w:rsidRDefault="001B7751" w:rsidP="001B7751">
      <w:pPr>
        <w:spacing w:line="360" w:lineRule="auto"/>
        <w:ind w:firstLine="567"/>
        <w:jc w:val="both"/>
        <w:rPr>
          <w:rFonts w:ascii="Times New Roman" w:hAnsi="Times New Roman" w:cs="Times New Roman"/>
        </w:rPr>
      </w:pPr>
      <w:r w:rsidRPr="00E7149E">
        <w:rPr>
          <w:rFonts w:ascii="Times New Roman" w:hAnsi="Times New Roman" w:cs="Times New Roman"/>
        </w:rPr>
        <w:t xml:space="preserve">Nel quarto tomo del </w:t>
      </w:r>
      <w:r w:rsidRPr="00E7149E">
        <w:rPr>
          <w:rFonts w:ascii="Times New Roman" w:hAnsi="Times New Roman" w:cs="Times New Roman"/>
          <w:i/>
        </w:rPr>
        <w:t>Lehrbuch der Geschichte der Philosophie</w:t>
      </w:r>
      <w:r w:rsidRPr="00E7149E">
        <w:rPr>
          <w:rFonts w:ascii="Times New Roman" w:hAnsi="Times New Roman" w:cs="Times New Roman"/>
        </w:rPr>
        <w:t xml:space="preserve">, la sezione dedicata alla Qabbalah si trova inserita nella cornice tematica della </w:t>
      </w:r>
      <w:r w:rsidRPr="00E7149E">
        <w:rPr>
          <w:rFonts w:ascii="Times New Roman" w:hAnsi="Times New Roman" w:cs="Times New Roman"/>
          <w:i/>
        </w:rPr>
        <w:t>Philosophie der Juden</w:t>
      </w:r>
      <w:r w:rsidRPr="00E7149E">
        <w:rPr>
          <w:rFonts w:ascii="Times New Roman" w:hAnsi="Times New Roman" w:cs="Times New Roman"/>
        </w:rPr>
        <w:t>. Ad informazioni di carattere storico, Buhle intreccia una ricostruzione delle principali fasi di sviluppo del pensiero filosofico-religioso del popolo ebraico. Un momento decisivo per la formazione della filosofia ebraica è rappresentato dalla cattività babilonese: la rappresentazione del divino come una natura luminosa, di un contrasto fra luce e tenebra (due principi eterni), di un’opposizione fra bene e male e fra schiere angeliche buone e cattive costituisce l’apporto della filosofia orientale alla formazione della «hebräische Religion und Philosopheme</w:t>
      </w:r>
      <w:r w:rsidRPr="00E7149E">
        <w:rPr>
          <w:rFonts w:ascii="Times New Roman" w:hAnsi="Times New Roman" w:cs="Times New Roman"/>
          <w:lang w:val="de-DE"/>
        </w:rPr>
        <w:t>»</w:t>
      </w:r>
      <w:r w:rsidRPr="00E7149E">
        <w:rPr>
          <w:rStyle w:val="Rimandonotaapidipagina"/>
          <w:rFonts w:ascii="Times New Roman" w:hAnsi="Times New Roman" w:cs="Times New Roman"/>
        </w:rPr>
        <w:footnoteReference w:id="668"/>
      </w:r>
      <w:r w:rsidRPr="00E7149E">
        <w:rPr>
          <w:rFonts w:ascii="Times New Roman" w:hAnsi="Times New Roman" w:cs="Times New Roman"/>
          <w:lang w:val="de-DE"/>
        </w:rPr>
        <w:t>.</w:t>
      </w:r>
      <w:r>
        <w:rPr>
          <w:rFonts w:ascii="Times New Roman" w:hAnsi="Times New Roman" w:cs="Times New Roman"/>
          <w:lang w:val="de-DE"/>
        </w:rPr>
        <w:t xml:space="preserve"> </w:t>
      </w:r>
      <w:r w:rsidRPr="00D60C0F">
        <w:rPr>
          <w:rFonts w:ascii="Times New Roman" w:hAnsi="Times New Roman" w:cs="Times New Roman"/>
        </w:rPr>
        <w:t xml:space="preserve">Sul contatto del pensiero ebraico con </w:t>
      </w:r>
      <w:r>
        <w:rPr>
          <w:rFonts w:ascii="Times New Roman" w:hAnsi="Times New Roman" w:cs="Times New Roman"/>
        </w:rPr>
        <w:t>quello orientale, Buhle scrive</w:t>
      </w:r>
      <w:r w:rsidRPr="00D60C0F">
        <w:rPr>
          <w:rFonts w:ascii="Times New Roman" w:hAnsi="Times New Roman" w:cs="Times New Roman"/>
        </w:rPr>
        <w:t>:</w:t>
      </w:r>
    </w:p>
    <w:p w14:paraId="76D2574E" w14:textId="77777777" w:rsidR="001B7751" w:rsidRDefault="001B7751" w:rsidP="001B7751">
      <w:pPr>
        <w:spacing w:line="360" w:lineRule="auto"/>
        <w:ind w:left="567" w:firstLine="567"/>
        <w:jc w:val="both"/>
        <w:rPr>
          <w:rFonts w:ascii="Times New Roman" w:hAnsi="Times New Roman" w:cs="Times New Roman"/>
        </w:rPr>
      </w:pPr>
    </w:p>
    <w:p w14:paraId="7E6C3DF9" w14:textId="77777777" w:rsidR="001B7751" w:rsidRPr="00B851DE" w:rsidRDefault="001B7751" w:rsidP="001B7751">
      <w:pPr>
        <w:spacing w:line="360" w:lineRule="auto"/>
        <w:ind w:left="567" w:firstLine="567"/>
        <w:jc w:val="both"/>
        <w:rPr>
          <w:rFonts w:ascii="Times New Roman" w:hAnsi="Times New Roman" w:cs="Times New Roman"/>
          <w:sz w:val="20"/>
          <w:szCs w:val="20"/>
          <w:lang w:val="de-DE"/>
        </w:rPr>
      </w:pPr>
      <w:r w:rsidRPr="00B851DE">
        <w:rPr>
          <w:rFonts w:ascii="Times New Roman" w:hAnsi="Times New Roman" w:cs="Times New Roman"/>
          <w:sz w:val="20"/>
          <w:szCs w:val="20"/>
        </w:rPr>
        <w:t>«</w:t>
      </w:r>
      <w:r w:rsidRPr="00B851DE">
        <w:rPr>
          <w:rFonts w:ascii="Times New Roman" w:hAnsi="Times New Roman" w:cs="Times New Roman"/>
          <w:sz w:val="20"/>
          <w:szCs w:val="20"/>
          <w:lang w:val="de-DE"/>
        </w:rPr>
        <w:t>In den älteren hebräischen Urkunden bis auf die Zeiten Esdras haben die hebräischen Religion und Philosopheme einen ganz andern Charakter, als wie sie in den biblischen Büchern nach jener Periode haben. In jenem findet man von den Vorstellungen Gottes als eines Lichtwesens; von der Finsterniß als dem Principe des Bösen im Streite mit dem Lichte; von guten und bösen Engeln; von dem Abfalle der letzteren und ihrer Verdamniß, ihrem Aufenthalte in der Hölle»</w:t>
      </w:r>
      <w:r w:rsidRPr="00B851DE">
        <w:rPr>
          <w:rStyle w:val="Rimandonotaapidipagina"/>
          <w:rFonts w:ascii="Times New Roman" w:hAnsi="Times New Roman" w:cs="Times New Roman"/>
          <w:sz w:val="20"/>
          <w:szCs w:val="20"/>
          <w:lang w:val="de-DE"/>
        </w:rPr>
        <w:footnoteReference w:id="669"/>
      </w:r>
      <w:r w:rsidRPr="00B851DE">
        <w:rPr>
          <w:rFonts w:ascii="Times New Roman" w:hAnsi="Times New Roman" w:cs="Times New Roman"/>
          <w:sz w:val="20"/>
          <w:szCs w:val="20"/>
          <w:lang w:val="de-DE"/>
        </w:rPr>
        <w:t>.</w:t>
      </w:r>
    </w:p>
    <w:p w14:paraId="1992765D" w14:textId="77777777" w:rsidR="001B7751" w:rsidRDefault="001B7751" w:rsidP="001B7751">
      <w:pPr>
        <w:spacing w:line="360" w:lineRule="auto"/>
        <w:ind w:left="1134" w:firstLine="567"/>
        <w:jc w:val="both"/>
        <w:rPr>
          <w:rFonts w:ascii="Times New Roman" w:hAnsi="Times New Roman" w:cs="Times New Roman"/>
          <w:lang w:val="de-DE"/>
        </w:rPr>
      </w:pPr>
    </w:p>
    <w:p w14:paraId="22D39FD5" w14:textId="700074C9" w:rsidR="001B7751" w:rsidRDefault="00F95B3B" w:rsidP="001B7751">
      <w:pPr>
        <w:spacing w:line="360" w:lineRule="auto"/>
        <w:ind w:firstLine="567"/>
        <w:jc w:val="both"/>
        <w:rPr>
          <w:rFonts w:ascii="Times New Roman" w:hAnsi="Times New Roman" w:cs="Times New Roman"/>
        </w:rPr>
      </w:pPr>
      <w:r w:rsidRPr="00E7149E">
        <w:rPr>
          <w:rFonts w:ascii="Times New Roman" w:hAnsi="Times New Roman" w:cs="Times New Roman"/>
        </w:rPr>
        <w:t>L</w:t>
      </w:r>
      <w:r w:rsidR="001B7751" w:rsidRPr="00E7149E">
        <w:rPr>
          <w:rFonts w:ascii="Times New Roman" w:hAnsi="Times New Roman" w:cs="Times New Roman"/>
        </w:rPr>
        <w:t>o zoroastrismo</w:t>
      </w:r>
      <w:r w:rsidR="001B7751" w:rsidRPr="00E7149E">
        <w:rPr>
          <w:rStyle w:val="Rimandonotaapidipagina"/>
          <w:rFonts w:ascii="Times New Roman" w:hAnsi="Times New Roman" w:cs="Times New Roman"/>
        </w:rPr>
        <w:footnoteReference w:id="670"/>
      </w:r>
      <w:r w:rsidR="001B7751" w:rsidRPr="00E7149E">
        <w:rPr>
          <w:rFonts w:ascii="Times New Roman" w:hAnsi="Times New Roman" w:cs="Times New Roman"/>
        </w:rPr>
        <w:t xml:space="preserve"> introduce nella riflessione religiosa ebraica una serie d’immagini che rispecchiano sia la natura semplice – luminosa – del divino, che l’opposizione – il contrasto fra luce</w:t>
      </w:r>
      <w:r w:rsidR="001B7751" w:rsidRPr="00A607DD">
        <w:rPr>
          <w:rFonts w:ascii="Times New Roman" w:hAnsi="Times New Roman" w:cs="Times New Roman"/>
        </w:rPr>
        <w:t xml:space="preserve"> e tenebra – dei principi costitutivi l’essenza divina. Proprio quest’ultimo punto, continua Buhle, ha un’origine schiettamente orientale:</w:t>
      </w:r>
      <w:r w:rsidR="001B7751">
        <w:rPr>
          <w:rFonts w:ascii="Times New Roman" w:hAnsi="Times New Roman" w:cs="Times New Roman"/>
        </w:rPr>
        <w:t xml:space="preserve"> nella filosofia greca, che pur ha esercitato un’influenza decisiva sulla filosofia ebraica, non si registra né un dualismo dei principi, né l’idea che questo contrasto venga infine risolto con la vittoria del bene sul male. Sebbene Platone sia vicino per molti aspetti alla </w:t>
      </w:r>
      <w:r w:rsidR="001B7751" w:rsidRPr="00C83366">
        <w:rPr>
          <w:rFonts w:ascii="Times New Roman" w:hAnsi="Times New Roman" w:cs="Times New Roman"/>
          <w:i/>
        </w:rPr>
        <w:t>mörgendlandische Philosophie</w:t>
      </w:r>
      <w:r w:rsidR="001B7751">
        <w:rPr>
          <w:rFonts w:ascii="Times New Roman" w:hAnsi="Times New Roman" w:cs="Times New Roman"/>
        </w:rPr>
        <w:t>, non si registra nella sua opera nessuna eco zoroastriana:</w:t>
      </w:r>
    </w:p>
    <w:p w14:paraId="2BA78440" w14:textId="77777777" w:rsidR="001B7751" w:rsidRPr="00C83366" w:rsidRDefault="001B7751" w:rsidP="001B7751">
      <w:pPr>
        <w:spacing w:line="360" w:lineRule="auto"/>
        <w:ind w:left="567" w:firstLine="567"/>
        <w:jc w:val="both"/>
        <w:rPr>
          <w:rFonts w:ascii="Times New Roman" w:hAnsi="Times New Roman" w:cs="Times New Roman"/>
          <w:lang w:val="de-DE"/>
        </w:rPr>
      </w:pPr>
    </w:p>
    <w:p w14:paraId="548944DE" w14:textId="77777777" w:rsidR="001B7751" w:rsidRPr="00B4048E" w:rsidRDefault="001B7751" w:rsidP="001B7751">
      <w:pPr>
        <w:spacing w:line="360" w:lineRule="auto"/>
        <w:ind w:left="567" w:firstLine="567"/>
        <w:jc w:val="both"/>
        <w:rPr>
          <w:rFonts w:ascii="Times New Roman" w:hAnsi="Times New Roman" w:cs="Times New Roman"/>
          <w:sz w:val="20"/>
          <w:szCs w:val="20"/>
          <w:lang w:val="de-DE"/>
        </w:rPr>
      </w:pPr>
      <w:r w:rsidRPr="00B4048E">
        <w:rPr>
          <w:rFonts w:ascii="Times New Roman" w:hAnsi="Times New Roman" w:cs="Times New Roman"/>
          <w:sz w:val="20"/>
          <w:szCs w:val="20"/>
          <w:lang w:val="de-DE"/>
        </w:rPr>
        <w:t>«Die orientalische Vorstellung von zwey Urprincipien des Guten und des Bösen, die mit einander im Streite begriffen sind, und von denen nach einer gewißen Periode jenes siegen werde, unter den Bildern des Lichtes und der Finsterniß, ist dem Plato fremde»</w:t>
      </w:r>
      <w:r w:rsidRPr="00B4048E">
        <w:rPr>
          <w:rStyle w:val="Rimandonotaapidipagina"/>
          <w:rFonts w:ascii="Times New Roman" w:hAnsi="Times New Roman" w:cs="Times New Roman"/>
          <w:sz w:val="20"/>
          <w:szCs w:val="20"/>
          <w:lang w:val="de-DE"/>
        </w:rPr>
        <w:footnoteReference w:id="671"/>
      </w:r>
      <w:r w:rsidRPr="00B4048E">
        <w:rPr>
          <w:rFonts w:ascii="Times New Roman" w:hAnsi="Times New Roman" w:cs="Times New Roman"/>
          <w:sz w:val="20"/>
          <w:szCs w:val="20"/>
          <w:lang w:val="de-DE"/>
        </w:rPr>
        <w:t>.</w:t>
      </w:r>
    </w:p>
    <w:p w14:paraId="3123ECA3" w14:textId="77777777" w:rsidR="001B7751" w:rsidRDefault="001B7751" w:rsidP="001B7751">
      <w:pPr>
        <w:spacing w:line="360" w:lineRule="auto"/>
        <w:ind w:left="1134" w:firstLine="567"/>
        <w:jc w:val="both"/>
        <w:rPr>
          <w:rFonts w:ascii="Times New Roman" w:hAnsi="Times New Roman" w:cs="Times New Roman"/>
          <w:lang w:val="de-DE"/>
        </w:rPr>
      </w:pPr>
    </w:p>
    <w:p w14:paraId="4A3A09F2" w14:textId="60C425D7" w:rsidR="001B7751" w:rsidRPr="00B524A0" w:rsidRDefault="001B7751" w:rsidP="001B7751">
      <w:pPr>
        <w:spacing w:line="360" w:lineRule="auto"/>
        <w:ind w:firstLine="567"/>
        <w:jc w:val="both"/>
        <w:rPr>
          <w:rFonts w:ascii="Times New Roman" w:hAnsi="Times New Roman" w:cs="Times New Roman"/>
        </w:rPr>
      </w:pPr>
      <w:r w:rsidRPr="00A607DD">
        <w:rPr>
          <w:rFonts w:ascii="Times New Roman" w:hAnsi="Times New Roman" w:cs="Times New Roman"/>
        </w:rPr>
        <w:t xml:space="preserve">Dall’Oriente, non dalla cultura greca, arrivano dei materiali che rinnovano profondamente la produzione filosofico-religiosa ebraica. Nel </w:t>
      </w:r>
      <w:r w:rsidRPr="00A607DD">
        <w:rPr>
          <w:rFonts w:ascii="Times New Roman" w:hAnsi="Times New Roman" w:cs="Times New Roman"/>
          <w:i/>
        </w:rPr>
        <w:t>Lehrbuch der Geschichte der Philosophie</w:t>
      </w:r>
      <w:r w:rsidRPr="00A607DD">
        <w:rPr>
          <w:rFonts w:ascii="Times New Roman" w:hAnsi="Times New Roman" w:cs="Times New Roman"/>
        </w:rPr>
        <w:t>, Buhle sottolinea, dimostrando un certo acume storico-filosofico, una fase evolutiva del pensiero ebraico che anche la critica più recente considera imprescindibile per la comprensione della Qabbalah.</w:t>
      </w:r>
      <w:r>
        <w:rPr>
          <w:rFonts w:ascii="Times New Roman" w:hAnsi="Times New Roman" w:cs="Times New Roman"/>
        </w:rPr>
        <w:t xml:space="preserve"> Nel già ricordato </w:t>
      </w:r>
      <w:r>
        <w:rPr>
          <w:rFonts w:ascii="Times New Roman" w:hAnsi="Times New Roman" w:cs="Times New Roman"/>
          <w:i/>
        </w:rPr>
        <w:t>Il male primordiale della Qabbalah</w:t>
      </w:r>
      <w:r>
        <w:rPr>
          <w:rFonts w:ascii="Times New Roman" w:hAnsi="Times New Roman" w:cs="Times New Roman"/>
        </w:rPr>
        <w:t>, Moshe Idel ha sostenuto che lo zurvanesimo ha esercitato un’influenza decisiva sulla formazione della Qabbalah, in particolare sulla priorità dell’entità malvagia su quella positiva e su alcuni schemi antagonistici della cosmogonia cabbalistica</w:t>
      </w:r>
      <w:r>
        <w:rPr>
          <w:rStyle w:val="Rimandonotaapidipagina"/>
          <w:rFonts w:ascii="Times New Roman" w:hAnsi="Times New Roman" w:cs="Times New Roman"/>
        </w:rPr>
        <w:footnoteReference w:id="672"/>
      </w:r>
      <w:r>
        <w:rPr>
          <w:rFonts w:ascii="Times New Roman" w:hAnsi="Times New Roman" w:cs="Times New Roman"/>
        </w:rPr>
        <w:t xml:space="preserve">. </w:t>
      </w:r>
      <w:r w:rsidRPr="00A607DD">
        <w:rPr>
          <w:rFonts w:ascii="Times New Roman" w:hAnsi="Times New Roman" w:cs="Times New Roman"/>
        </w:rPr>
        <w:t xml:space="preserve">Il fatto che Buhle abbia sottolineato questa svolta nella formazione della </w:t>
      </w:r>
      <w:r w:rsidRPr="00A607DD">
        <w:rPr>
          <w:rFonts w:ascii="Times New Roman" w:hAnsi="Times New Roman" w:cs="Times New Roman"/>
          <w:i/>
        </w:rPr>
        <w:t>jüdische Philosophie</w:t>
      </w:r>
      <w:r w:rsidR="00E7149E">
        <w:rPr>
          <w:rFonts w:ascii="Times New Roman" w:hAnsi="Times New Roman" w:cs="Times New Roman"/>
        </w:rPr>
        <w:t xml:space="preserve"> </w:t>
      </w:r>
      <w:r w:rsidRPr="00A607DD">
        <w:rPr>
          <w:rFonts w:ascii="Times New Roman" w:hAnsi="Times New Roman" w:cs="Times New Roman"/>
        </w:rPr>
        <w:t xml:space="preserve">non implica un suo approfondimento e una sua connessione con lo sviluppo del misticismo ebraico. </w:t>
      </w:r>
      <w:r w:rsidRPr="005E578A">
        <w:rPr>
          <w:rFonts w:ascii="Times New Roman" w:hAnsi="Times New Roman" w:cs="Times New Roman"/>
        </w:rPr>
        <w:t xml:space="preserve">Gli aspetti dualistici del pensiero orientale, se così si può dire, non lasciano </w:t>
      </w:r>
      <w:r>
        <w:rPr>
          <w:rFonts w:ascii="Times New Roman" w:hAnsi="Times New Roman" w:cs="Times New Roman"/>
        </w:rPr>
        <w:t xml:space="preserve">alcuna </w:t>
      </w:r>
      <w:r w:rsidRPr="005E578A">
        <w:rPr>
          <w:rFonts w:ascii="Times New Roman" w:hAnsi="Times New Roman" w:cs="Times New Roman"/>
        </w:rPr>
        <w:t xml:space="preserve">traccia nell’impianto teorico cabbalistico, che è prossimo a schemi </w:t>
      </w:r>
      <w:r>
        <w:rPr>
          <w:rFonts w:ascii="Times New Roman" w:hAnsi="Times New Roman" w:cs="Times New Roman"/>
        </w:rPr>
        <w:t>platonico-</w:t>
      </w:r>
      <w:r w:rsidRPr="00560427">
        <w:rPr>
          <w:rFonts w:ascii="Times New Roman" w:hAnsi="Times New Roman" w:cs="Times New Roman"/>
        </w:rPr>
        <w:t xml:space="preserve">alessandrini. Da un punto di vista storico, Buhle considera la cattività babilonese come un momento di passaggio nella storia del popolo ebraico, a cui segue la ben più rilevante dominazione </w:t>
      </w:r>
      <w:r>
        <w:rPr>
          <w:rFonts w:ascii="Times New Roman" w:hAnsi="Times New Roman" w:cs="Times New Roman"/>
        </w:rPr>
        <w:t>greco-</w:t>
      </w:r>
      <w:r w:rsidRPr="00560427">
        <w:rPr>
          <w:rFonts w:ascii="Times New Roman" w:hAnsi="Times New Roman" w:cs="Times New Roman"/>
        </w:rPr>
        <w:t xml:space="preserve">romana. È nella cornice culturale alessandrina che si rinnova l’incontro fra cultura greca e orientale ed </w:t>
      </w:r>
      <w:r w:rsidRPr="0024035D">
        <w:rPr>
          <w:rFonts w:ascii="Times New Roman" w:hAnsi="Times New Roman" w:cs="Times New Roman"/>
        </w:rPr>
        <w:t xml:space="preserve">è con Filone d’Alessandria che la filosofia ebraica – e con essa anche la Qabbalah – s’arricchisce di nozioni platoniche. Per Buhle, il dualismo dei principi, ad esempio, decade nel momento in cui Filone afferma che dall’Essere derivi immediatamente il </w:t>
      </w:r>
      <w:r w:rsidRPr="0024035D">
        <w:rPr>
          <w:rFonts w:ascii="Times New Roman" w:hAnsi="Times New Roman" w:cs="Times New Roman"/>
          <w:i/>
        </w:rPr>
        <w:t>Logos</w:t>
      </w:r>
      <w:r w:rsidRPr="0024035D">
        <w:rPr>
          <w:rFonts w:ascii="Times New Roman" w:hAnsi="Times New Roman" w:cs="Times New Roman"/>
        </w:rPr>
        <w:t xml:space="preserve"> (idee platoniche) e che quest’ultimo sia assimilabile al principio buono (Ormuzd) dello zoroastrismo</w:t>
      </w:r>
      <w:r w:rsidRPr="0024035D">
        <w:rPr>
          <w:rStyle w:val="Rimandonotaapidipagina"/>
          <w:rFonts w:ascii="Times New Roman" w:hAnsi="Times New Roman" w:cs="Times New Roman"/>
        </w:rPr>
        <w:footnoteReference w:id="673"/>
      </w:r>
      <w:r w:rsidRPr="0024035D">
        <w:rPr>
          <w:rFonts w:ascii="Times New Roman" w:hAnsi="Times New Roman" w:cs="Times New Roman"/>
        </w:rPr>
        <w:t>.</w:t>
      </w:r>
      <w:r>
        <w:rPr>
          <w:rFonts w:ascii="Times New Roman" w:hAnsi="Times New Roman" w:cs="Times New Roman"/>
        </w:rPr>
        <w:t xml:space="preserve"> Dal Bene deriva il Bene, non un’opposizione fra due principi antitetici. Ossia: dallo scontro </w:t>
      </w:r>
      <w:r w:rsidRPr="00B524A0">
        <w:rPr>
          <w:rFonts w:ascii="Times New Roman" w:hAnsi="Times New Roman" w:cs="Times New Roman"/>
        </w:rPr>
        <w:t xml:space="preserve">fra i due figli di Dio, Ormuzd e Ahriman, si passa ad una teoria </w:t>
      </w:r>
      <w:r w:rsidRPr="007F5E23">
        <w:rPr>
          <w:rFonts w:ascii="Times New Roman" w:hAnsi="Times New Roman" w:cs="Times New Roman"/>
        </w:rPr>
        <w:t>non antagonistica della creazione, nella quale il male perde la propria originarietà ontologica. Il passaggio dall’influenza zoroastriana a quella platonica è preparato da Filone d’Alessandria, ch</w:t>
      </w:r>
      <w:r w:rsidR="00A9289C" w:rsidRPr="007F5E23">
        <w:rPr>
          <w:rFonts w:ascii="Times New Roman" w:hAnsi="Times New Roman" w:cs="Times New Roman"/>
        </w:rPr>
        <w:t>e reinterpreta, platonizzandoli</w:t>
      </w:r>
      <w:r w:rsidRPr="007F5E23">
        <w:rPr>
          <w:rFonts w:ascii="Times New Roman" w:hAnsi="Times New Roman" w:cs="Times New Roman"/>
        </w:rPr>
        <w:t>,</w:t>
      </w:r>
      <w:r w:rsidRPr="007F5E23">
        <w:rPr>
          <w:rFonts w:ascii="Times New Roman" w:hAnsi="Times New Roman" w:cs="Times New Roman"/>
          <w:i/>
        </w:rPr>
        <w:t xml:space="preserve"> </w:t>
      </w:r>
      <w:r w:rsidRPr="007F5E23">
        <w:rPr>
          <w:rFonts w:ascii="Times New Roman" w:hAnsi="Times New Roman" w:cs="Times New Roman"/>
        </w:rPr>
        <w:t>alcuni elementi della filosofia orientale nel proprio sistema di pensiero.</w:t>
      </w:r>
      <w:r w:rsidRPr="00B524A0">
        <w:rPr>
          <w:rFonts w:ascii="Times New Roman" w:hAnsi="Times New Roman" w:cs="Times New Roman"/>
        </w:rPr>
        <w:t xml:space="preserve"> </w:t>
      </w:r>
    </w:p>
    <w:p w14:paraId="2F9C75DC" w14:textId="77777777" w:rsidR="001B7751" w:rsidRPr="00B524A0" w:rsidRDefault="001B7751" w:rsidP="001B7751">
      <w:pPr>
        <w:spacing w:line="360" w:lineRule="auto"/>
        <w:ind w:firstLine="567"/>
        <w:jc w:val="both"/>
        <w:rPr>
          <w:rFonts w:ascii="Times New Roman" w:hAnsi="Times New Roman" w:cs="Times New Roman"/>
        </w:rPr>
      </w:pPr>
      <w:r w:rsidRPr="00B524A0">
        <w:rPr>
          <w:rFonts w:ascii="Times New Roman" w:hAnsi="Times New Roman" w:cs="Times New Roman"/>
        </w:rPr>
        <w:t xml:space="preserve">Grazie a questa premessa sulla </w:t>
      </w:r>
      <w:r w:rsidRPr="00B524A0">
        <w:rPr>
          <w:rFonts w:ascii="Times New Roman" w:hAnsi="Times New Roman" w:cs="Times New Roman"/>
          <w:i/>
        </w:rPr>
        <w:t>Philosophie der Juden</w:t>
      </w:r>
      <w:r w:rsidRPr="00B524A0">
        <w:rPr>
          <w:rFonts w:ascii="Times New Roman" w:hAnsi="Times New Roman" w:cs="Times New Roman"/>
        </w:rPr>
        <w:t xml:space="preserve">, si può analizzare, adesso, la sezione del </w:t>
      </w:r>
      <w:r w:rsidRPr="00B524A0">
        <w:rPr>
          <w:rFonts w:ascii="Times New Roman" w:hAnsi="Times New Roman" w:cs="Times New Roman"/>
          <w:i/>
        </w:rPr>
        <w:t>Lehrbuch der Geschichte der Philosophie</w:t>
      </w:r>
      <w:r w:rsidRPr="00B524A0">
        <w:rPr>
          <w:rFonts w:ascii="Times New Roman" w:hAnsi="Times New Roman" w:cs="Times New Roman"/>
        </w:rPr>
        <w:t xml:space="preserve"> dedicata alla Qabbalah. Come prerequisito</w:t>
      </w:r>
      <w:r>
        <w:rPr>
          <w:rFonts w:ascii="Times New Roman" w:hAnsi="Times New Roman" w:cs="Times New Roman"/>
        </w:rPr>
        <w:t xml:space="preserve"> </w:t>
      </w:r>
      <w:r w:rsidRPr="00B524A0">
        <w:rPr>
          <w:rFonts w:ascii="Times New Roman" w:hAnsi="Times New Roman" w:cs="Times New Roman"/>
        </w:rPr>
        <w:t xml:space="preserve">storico-critico, ammonisce Buhle, è necessario liberarsi da tutte quelle leggende che gli ebrei hanno elaborato sulle origini divine della Qabbalah: </w:t>
      </w:r>
    </w:p>
    <w:p w14:paraId="206256CF" w14:textId="77777777" w:rsidR="001B7751" w:rsidRDefault="001B7751" w:rsidP="001B7751">
      <w:pPr>
        <w:spacing w:line="360" w:lineRule="auto"/>
        <w:ind w:left="567" w:firstLine="567"/>
        <w:jc w:val="both"/>
        <w:rPr>
          <w:rFonts w:ascii="Times New Roman" w:hAnsi="Times New Roman" w:cs="Times New Roman"/>
        </w:rPr>
      </w:pPr>
    </w:p>
    <w:p w14:paraId="77A90D86" w14:textId="77777777" w:rsidR="001B7751" w:rsidRPr="00EF4093" w:rsidRDefault="001B7751" w:rsidP="001B7751">
      <w:pPr>
        <w:spacing w:line="360" w:lineRule="auto"/>
        <w:ind w:left="567" w:firstLine="567"/>
        <w:jc w:val="both"/>
        <w:rPr>
          <w:rFonts w:ascii="Times New Roman" w:hAnsi="Times New Roman" w:cs="Times New Roman"/>
          <w:sz w:val="20"/>
          <w:szCs w:val="20"/>
          <w:lang w:val="de-DE"/>
        </w:rPr>
      </w:pPr>
      <w:r w:rsidRPr="00EF4093">
        <w:rPr>
          <w:rFonts w:ascii="Times New Roman" w:hAnsi="Times New Roman" w:cs="Times New Roman"/>
          <w:sz w:val="20"/>
          <w:szCs w:val="20"/>
        </w:rPr>
        <w:t xml:space="preserve">«Abstrahiert von den Fabeln der Juden läßt sich </w:t>
      </w:r>
      <w:r w:rsidRPr="00EF4093">
        <w:rPr>
          <w:rFonts w:ascii="Times New Roman" w:hAnsi="Times New Roman" w:cs="Times New Roman"/>
          <w:sz w:val="20"/>
          <w:szCs w:val="20"/>
          <w:lang w:val="de-DE"/>
        </w:rPr>
        <w:t>über die historische Entstehung der Cabbala folgendens festsetzen. Alle Cabbalistischen Schriften wurden höchst wahrscheinlich erst nach Christi Zeitalter verfertigt»</w:t>
      </w:r>
      <w:r w:rsidRPr="00EF4093">
        <w:rPr>
          <w:rStyle w:val="Rimandonotaapidipagina"/>
          <w:rFonts w:ascii="Times New Roman" w:hAnsi="Times New Roman" w:cs="Times New Roman"/>
          <w:sz w:val="20"/>
          <w:szCs w:val="20"/>
          <w:lang w:val="de-DE"/>
        </w:rPr>
        <w:footnoteReference w:id="674"/>
      </w:r>
      <w:r w:rsidRPr="00EF4093">
        <w:rPr>
          <w:rFonts w:ascii="Times New Roman" w:hAnsi="Times New Roman" w:cs="Times New Roman"/>
          <w:sz w:val="20"/>
          <w:szCs w:val="20"/>
          <w:lang w:val="de-DE"/>
        </w:rPr>
        <w:t>.</w:t>
      </w:r>
    </w:p>
    <w:p w14:paraId="2B78D514" w14:textId="77777777" w:rsidR="001B7751" w:rsidRDefault="001B7751" w:rsidP="001B7751">
      <w:pPr>
        <w:spacing w:line="360" w:lineRule="auto"/>
        <w:ind w:left="567" w:firstLine="567"/>
        <w:jc w:val="both"/>
        <w:rPr>
          <w:rFonts w:ascii="Times New Roman" w:hAnsi="Times New Roman" w:cs="Times New Roman"/>
          <w:lang w:val="de-DE"/>
        </w:rPr>
      </w:pPr>
    </w:p>
    <w:p w14:paraId="55931C6F" w14:textId="77777777" w:rsidR="001B7751" w:rsidRDefault="001B7751" w:rsidP="001B7751">
      <w:pPr>
        <w:spacing w:line="360" w:lineRule="auto"/>
        <w:ind w:firstLine="567"/>
        <w:jc w:val="both"/>
        <w:rPr>
          <w:rFonts w:ascii="Times New Roman" w:hAnsi="Times New Roman" w:cs="Times New Roman"/>
        </w:rPr>
      </w:pPr>
      <w:r>
        <w:rPr>
          <w:rFonts w:ascii="Times New Roman" w:hAnsi="Times New Roman" w:cs="Times New Roman"/>
          <w:lang w:val="de-DE"/>
        </w:rPr>
        <w:t xml:space="preserve"> </w:t>
      </w:r>
      <w:r w:rsidRPr="006A2394">
        <w:rPr>
          <w:rFonts w:ascii="Times New Roman" w:hAnsi="Times New Roman" w:cs="Times New Roman"/>
        </w:rPr>
        <w:t xml:space="preserve">Con </w:t>
      </w:r>
      <w:r>
        <w:rPr>
          <w:rFonts w:ascii="Times New Roman" w:hAnsi="Times New Roman" w:cs="Times New Roman"/>
        </w:rPr>
        <w:t xml:space="preserve">grande </w:t>
      </w:r>
      <w:r w:rsidRPr="006A2394">
        <w:rPr>
          <w:rFonts w:ascii="Times New Roman" w:hAnsi="Times New Roman" w:cs="Times New Roman"/>
        </w:rPr>
        <w:t>probabilità</w:t>
      </w:r>
      <w:r>
        <w:rPr>
          <w:rFonts w:ascii="Times New Roman" w:hAnsi="Times New Roman" w:cs="Times New Roman"/>
        </w:rPr>
        <w:t xml:space="preserve"> la produzione cabbalistica è posteriore alla nascita di Cristo. Il </w:t>
      </w:r>
      <w:r w:rsidRPr="006A2394">
        <w:rPr>
          <w:rFonts w:ascii="Times New Roman" w:hAnsi="Times New Roman" w:cs="Times New Roman"/>
          <w:i/>
        </w:rPr>
        <w:t>Sefer Jezirah</w:t>
      </w:r>
      <w:r>
        <w:rPr>
          <w:rFonts w:ascii="Times New Roman" w:hAnsi="Times New Roman" w:cs="Times New Roman"/>
        </w:rPr>
        <w:t xml:space="preserve"> e lo </w:t>
      </w:r>
      <w:r w:rsidRPr="006A2394">
        <w:rPr>
          <w:rFonts w:ascii="Times New Roman" w:hAnsi="Times New Roman" w:cs="Times New Roman"/>
          <w:i/>
        </w:rPr>
        <w:t>Zohar</w:t>
      </w:r>
      <w:r>
        <w:rPr>
          <w:rFonts w:ascii="Times New Roman" w:hAnsi="Times New Roman" w:cs="Times New Roman"/>
        </w:rPr>
        <w:t xml:space="preserve">, che costituiscono i testi più rilevanti della filosofia cabbalistica, rispettano pienamente questa indicazione cronologica: </w:t>
      </w:r>
      <w:r w:rsidRPr="0097711D">
        <w:rPr>
          <w:rFonts w:ascii="Times New Roman" w:hAnsi="Times New Roman" w:cs="Times New Roman"/>
        </w:rPr>
        <w:t>all’opera di Rabbi Akhiva nel secondo secolo dopo Cristo, sarebbe di poco successivo il capolavoro di Simeon Ben Jochai</w:t>
      </w:r>
      <w:r w:rsidRPr="0097711D">
        <w:rPr>
          <w:rStyle w:val="Rimandonotaapidipagina"/>
          <w:rFonts w:ascii="Times New Roman" w:hAnsi="Times New Roman" w:cs="Times New Roman"/>
        </w:rPr>
        <w:footnoteReference w:id="675"/>
      </w:r>
      <w:r w:rsidRPr="0097711D">
        <w:rPr>
          <w:rFonts w:ascii="Times New Roman" w:hAnsi="Times New Roman" w:cs="Times New Roman"/>
        </w:rPr>
        <w:t xml:space="preserve">. Essendo questi gli scritti di riferimento della Qabbalah, discussi, bene o male, dai cabbalisti di tutti i tempi, Buhle s’interroga sulla loro autenticità storica. Se fossero andati entrambi incontro </w:t>
      </w:r>
      <w:r>
        <w:rPr>
          <w:rFonts w:ascii="Times New Roman" w:hAnsi="Times New Roman" w:cs="Times New Roman"/>
        </w:rPr>
        <w:t>– com’</w:t>
      </w:r>
      <w:r w:rsidRPr="0097711D">
        <w:rPr>
          <w:rFonts w:ascii="Times New Roman" w:hAnsi="Times New Roman" w:cs="Times New Roman"/>
        </w:rPr>
        <w:t>è probabile che sia – ad un costante</w:t>
      </w:r>
      <w:r>
        <w:rPr>
          <w:rFonts w:ascii="Times New Roman" w:hAnsi="Times New Roman" w:cs="Times New Roman"/>
        </w:rPr>
        <w:t xml:space="preserve"> e progressivo processo d’interpolazione, allora si potrebbe dubitare della loro datazione canonica e si potrebbe pensare ad un loro concepimento nel decimo secolo dopo Cristo</w:t>
      </w:r>
      <w:r w:rsidRPr="00F56678">
        <w:rPr>
          <w:rStyle w:val="Rimandonotaapidipagina"/>
          <w:rFonts w:ascii="Times New Roman" w:hAnsi="Times New Roman" w:cs="Times New Roman"/>
          <w:lang w:val="de-DE"/>
        </w:rPr>
        <w:footnoteReference w:id="676"/>
      </w:r>
      <w:r w:rsidRPr="00F56678">
        <w:rPr>
          <w:rFonts w:ascii="Times New Roman" w:hAnsi="Times New Roman" w:cs="Times New Roman"/>
        </w:rPr>
        <w:t xml:space="preserve">. </w:t>
      </w:r>
      <w:r>
        <w:rPr>
          <w:rFonts w:ascii="Times New Roman" w:hAnsi="Times New Roman" w:cs="Times New Roman"/>
        </w:rPr>
        <w:t>A queste difficoltà di natura storica, se ne aggiungono altre di ordine contenutistico:</w:t>
      </w:r>
    </w:p>
    <w:p w14:paraId="07B6A2B2" w14:textId="77777777" w:rsidR="001B7751" w:rsidRDefault="001B7751" w:rsidP="001B7751">
      <w:pPr>
        <w:spacing w:line="360" w:lineRule="auto"/>
        <w:ind w:left="567" w:firstLine="567"/>
        <w:jc w:val="both"/>
        <w:rPr>
          <w:rFonts w:ascii="Times New Roman" w:hAnsi="Times New Roman" w:cs="Times New Roman"/>
        </w:rPr>
      </w:pPr>
    </w:p>
    <w:p w14:paraId="048C4E60" w14:textId="77777777" w:rsidR="001B7751" w:rsidRPr="00F56678" w:rsidRDefault="001B7751" w:rsidP="001B7751">
      <w:pPr>
        <w:spacing w:line="360" w:lineRule="auto"/>
        <w:ind w:left="567" w:firstLine="567"/>
        <w:jc w:val="both"/>
        <w:rPr>
          <w:rFonts w:ascii="Times New Roman" w:hAnsi="Times New Roman" w:cs="Times New Roman"/>
          <w:sz w:val="20"/>
          <w:szCs w:val="20"/>
          <w:lang w:val="de-DE"/>
        </w:rPr>
      </w:pPr>
      <w:r w:rsidRPr="00F56678">
        <w:rPr>
          <w:rFonts w:ascii="Times New Roman" w:hAnsi="Times New Roman" w:cs="Times New Roman"/>
          <w:sz w:val="20"/>
          <w:szCs w:val="20"/>
          <w:lang w:val="de-DE"/>
        </w:rPr>
        <w:t>«Ihr mystischer und schwärmerischer Inhalt, wodurch sie dunkel und oft ganz unverständlich werden, hat viele Commentare der Juden, auch von christlichen Schriftstellern in fünfzehnten und sechszehnten Jahrhunderte, veranlaßt. Die merkwürdigsten sind von Lorja, Cordovero, und vorzüglich das Buch: Porta coelorum vom Rabbi Abraham Cohen Irira»</w:t>
      </w:r>
      <w:r w:rsidRPr="00F56678">
        <w:rPr>
          <w:rStyle w:val="Rimandonotaapidipagina"/>
          <w:rFonts w:ascii="Times New Roman" w:hAnsi="Times New Roman" w:cs="Times New Roman"/>
          <w:sz w:val="20"/>
          <w:szCs w:val="20"/>
          <w:lang w:val="de-DE"/>
        </w:rPr>
        <w:footnoteReference w:id="677"/>
      </w:r>
      <w:r w:rsidRPr="00F56678">
        <w:rPr>
          <w:rFonts w:ascii="Times New Roman" w:hAnsi="Times New Roman" w:cs="Times New Roman"/>
          <w:sz w:val="20"/>
          <w:szCs w:val="20"/>
          <w:lang w:val="de-DE"/>
        </w:rPr>
        <w:t>.</w:t>
      </w:r>
    </w:p>
    <w:p w14:paraId="15A765D6" w14:textId="77777777" w:rsidR="001B7751" w:rsidRDefault="001B7751" w:rsidP="001B7751">
      <w:pPr>
        <w:jc w:val="both"/>
        <w:rPr>
          <w:rFonts w:ascii="Times New Roman" w:hAnsi="Times New Roman" w:cs="Times New Roman"/>
        </w:rPr>
      </w:pPr>
    </w:p>
    <w:p w14:paraId="51FA759E" w14:textId="541AC68F" w:rsidR="001B7751" w:rsidRDefault="001B7751" w:rsidP="001B7751">
      <w:pPr>
        <w:spacing w:line="360" w:lineRule="auto"/>
        <w:ind w:firstLine="567"/>
        <w:jc w:val="both"/>
        <w:rPr>
          <w:rFonts w:ascii="Times New Roman" w:hAnsi="Times New Roman" w:cs="Times New Roman"/>
        </w:rPr>
      </w:pPr>
      <w:r>
        <w:rPr>
          <w:rFonts w:ascii="Times New Roman" w:hAnsi="Times New Roman" w:cs="Times New Roman"/>
        </w:rPr>
        <w:t xml:space="preserve">A causa dell’oscurità dei loro contenuti, queste due opere hanno spinto molti interpreti a scrivere dei commentari. Fra di essi sono degni di nota quelli di Luria, Cordovero e soprattutto Abraham Cohen de Herrera, </w:t>
      </w:r>
      <w:r w:rsidRPr="00BC5FAB">
        <w:rPr>
          <w:rFonts w:ascii="Times New Roman" w:hAnsi="Times New Roman" w:cs="Times New Roman"/>
        </w:rPr>
        <w:t xml:space="preserve">a cui Buhle </w:t>
      </w:r>
      <w:r>
        <w:rPr>
          <w:rFonts w:ascii="Times New Roman" w:hAnsi="Times New Roman" w:cs="Times New Roman"/>
        </w:rPr>
        <w:t xml:space="preserve">attribuisce </w:t>
      </w:r>
      <w:r w:rsidRPr="00BC5FAB">
        <w:rPr>
          <w:rFonts w:ascii="Times New Roman" w:hAnsi="Times New Roman" w:cs="Times New Roman"/>
        </w:rPr>
        <w:t>un primato di carattere esegetico.</w:t>
      </w:r>
      <w:r>
        <w:rPr>
          <w:rFonts w:ascii="Times New Roman" w:hAnsi="Times New Roman" w:cs="Times New Roman"/>
        </w:rPr>
        <w:t xml:space="preserve"> </w:t>
      </w:r>
      <w:r w:rsidRPr="00E8708B">
        <w:rPr>
          <w:rFonts w:ascii="Times New Roman" w:hAnsi="Times New Roman" w:cs="Times New Roman"/>
        </w:rPr>
        <w:t xml:space="preserve">Finora il </w:t>
      </w:r>
      <w:r w:rsidRPr="00E8708B">
        <w:rPr>
          <w:rFonts w:ascii="Times New Roman" w:hAnsi="Times New Roman" w:cs="Times New Roman"/>
          <w:i/>
        </w:rPr>
        <w:t xml:space="preserve">Lehrbuch der Geschichte der Philosophie </w:t>
      </w:r>
      <w:r w:rsidRPr="00E8708B">
        <w:rPr>
          <w:rFonts w:ascii="Times New Roman" w:hAnsi="Times New Roman" w:cs="Times New Roman"/>
        </w:rPr>
        <w:t>non</w:t>
      </w:r>
      <w:r>
        <w:rPr>
          <w:rFonts w:ascii="Times New Roman" w:hAnsi="Times New Roman" w:cs="Times New Roman"/>
        </w:rPr>
        <w:t xml:space="preserve"> si discosta dal </w:t>
      </w:r>
      <w:r w:rsidRPr="00EC72CD">
        <w:rPr>
          <w:rFonts w:ascii="Times New Roman" w:hAnsi="Times New Roman" w:cs="Times New Roman"/>
          <w:i/>
        </w:rPr>
        <w:t>Gesit der spekulativen Philosophie</w:t>
      </w:r>
      <w:r>
        <w:rPr>
          <w:rFonts w:ascii="Times New Roman" w:hAnsi="Times New Roman" w:cs="Times New Roman"/>
        </w:rPr>
        <w:t xml:space="preserve">: al pari di Tiedemann, Buhle segnala non </w:t>
      </w:r>
      <w:r w:rsidRPr="00AD5B9A">
        <w:rPr>
          <w:rFonts w:ascii="Times New Roman" w:hAnsi="Times New Roman" w:cs="Times New Roman"/>
        </w:rPr>
        <w:t>soltanto le stesse fonti primarie cabbalistiche, ma anche lo stesso testo, o commentario, esplicativo di un insieme di pen</w:t>
      </w:r>
      <w:r w:rsidR="00DF046D" w:rsidRPr="00AD5B9A">
        <w:rPr>
          <w:rFonts w:ascii="Times New Roman" w:hAnsi="Times New Roman" w:cs="Times New Roman"/>
        </w:rPr>
        <w:t>sieri altrimenti indecifrabile.</w:t>
      </w:r>
      <w:r w:rsidR="00573F2D" w:rsidRPr="00AD5B9A">
        <w:rPr>
          <w:rFonts w:ascii="Times New Roman" w:hAnsi="Times New Roman" w:cs="Times New Roman"/>
        </w:rPr>
        <w:t xml:space="preserve"> Nonostante vi sia un’impostazione del</w:t>
      </w:r>
      <w:r w:rsidR="00AD5B9A" w:rsidRPr="00AD5B9A">
        <w:rPr>
          <w:rFonts w:ascii="Times New Roman" w:hAnsi="Times New Roman" w:cs="Times New Roman"/>
        </w:rPr>
        <w:t>l’argomento</w:t>
      </w:r>
      <w:r w:rsidR="00573F2D" w:rsidRPr="00AD5B9A">
        <w:rPr>
          <w:rFonts w:ascii="Times New Roman" w:hAnsi="Times New Roman" w:cs="Times New Roman"/>
        </w:rPr>
        <w:t xml:space="preserve"> analoga a quella Tiedemann, </w:t>
      </w:r>
      <w:r w:rsidRPr="00AD5B9A">
        <w:rPr>
          <w:rFonts w:ascii="Times New Roman" w:hAnsi="Times New Roman" w:cs="Times New Roman"/>
        </w:rPr>
        <w:t xml:space="preserve">Buhle </w:t>
      </w:r>
      <w:r w:rsidR="00573F2D" w:rsidRPr="00AD5B9A">
        <w:rPr>
          <w:rFonts w:ascii="Times New Roman" w:hAnsi="Times New Roman" w:cs="Times New Roman"/>
        </w:rPr>
        <w:t xml:space="preserve">offre un quadro riassuntivo del misticismo ebraico </w:t>
      </w:r>
      <w:r w:rsidR="00496905" w:rsidRPr="00AD5B9A">
        <w:rPr>
          <w:rFonts w:ascii="Times New Roman" w:hAnsi="Times New Roman" w:cs="Times New Roman"/>
        </w:rPr>
        <w:t xml:space="preserve">a partire </w:t>
      </w:r>
      <w:r w:rsidR="00573F2D" w:rsidRPr="00AD5B9A">
        <w:rPr>
          <w:rFonts w:ascii="Times New Roman" w:hAnsi="Times New Roman" w:cs="Times New Roman"/>
        </w:rPr>
        <w:t>d</w:t>
      </w:r>
      <w:r w:rsidR="0067242F" w:rsidRPr="00AD5B9A">
        <w:rPr>
          <w:rFonts w:ascii="Times New Roman" w:hAnsi="Times New Roman" w:cs="Times New Roman"/>
        </w:rPr>
        <w:t>a</w:t>
      </w:r>
      <w:r w:rsidRPr="00AD5B9A">
        <w:rPr>
          <w:rFonts w:ascii="Times New Roman" w:hAnsi="Times New Roman" w:cs="Times New Roman"/>
        </w:rPr>
        <w:t xml:space="preserve">lla </w:t>
      </w:r>
      <w:r w:rsidRPr="00AD5B9A">
        <w:rPr>
          <w:rFonts w:ascii="Times New Roman" w:hAnsi="Times New Roman" w:cs="Times New Roman"/>
          <w:i/>
        </w:rPr>
        <w:t>Cabbala Aëto-Paedo-Melissae</w:t>
      </w:r>
      <w:r w:rsidR="00573F2D" w:rsidRPr="00AD5B9A">
        <w:rPr>
          <w:rFonts w:ascii="Times New Roman" w:hAnsi="Times New Roman" w:cs="Times New Roman"/>
          <w:i/>
        </w:rPr>
        <w:t xml:space="preserve"> </w:t>
      </w:r>
      <w:r w:rsidR="00573F2D" w:rsidRPr="00AD5B9A">
        <w:rPr>
          <w:rFonts w:ascii="Times New Roman" w:hAnsi="Times New Roman" w:cs="Times New Roman"/>
        </w:rPr>
        <w:t>di Henry More</w:t>
      </w:r>
      <w:r w:rsidRPr="00AD5B9A">
        <w:rPr>
          <w:rFonts w:ascii="Times New Roman" w:hAnsi="Times New Roman" w:cs="Times New Roman"/>
        </w:rPr>
        <w:t>. Per prima cosa, Buhle osserva che la filosofia cabbalistica si regge sul principio «aus nichts kann nichts entstehen</w:t>
      </w:r>
      <w:r w:rsidRPr="00AD5B9A">
        <w:rPr>
          <w:rFonts w:ascii="Times New Roman" w:hAnsi="Times New Roman" w:cs="Times New Roman"/>
          <w:lang w:val="de-DE"/>
        </w:rPr>
        <w:t>»</w:t>
      </w:r>
      <w:r w:rsidRPr="00AD5B9A">
        <w:rPr>
          <w:rStyle w:val="Rimandonotaapidipagina"/>
          <w:rFonts w:ascii="Times New Roman" w:hAnsi="Times New Roman" w:cs="Times New Roman"/>
        </w:rPr>
        <w:footnoteReference w:id="678"/>
      </w:r>
      <w:r w:rsidR="007F5E23" w:rsidRPr="00AD5B9A">
        <w:rPr>
          <w:rFonts w:ascii="Times New Roman" w:hAnsi="Times New Roman" w:cs="Times New Roman"/>
          <w:lang w:val="de-DE"/>
        </w:rPr>
        <w:t xml:space="preserve"> (prima tesi)</w:t>
      </w:r>
      <w:r w:rsidRPr="00AD5B9A">
        <w:rPr>
          <w:rFonts w:ascii="Times New Roman" w:hAnsi="Times New Roman" w:cs="Times New Roman"/>
          <w:lang w:val="de-DE"/>
        </w:rPr>
        <w:t>.</w:t>
      </w:r>
      <w:r w:rsidRPr="00F56678">
        <w:rPr>
          <w:rFonts w:ascii="Times New Roman" w:hAnsi="Times New Roman" w:cs="Times New Roman"/>
          <w:lang w:val="de-DE"/>
        </w:rPr>
        <w:t xml:space="preserve"> </w:t>
      </w:r>
      <w:r w:rsidRPr="00D20D6E">
        <w:rPr>
          <w:rFonts w:ascii="Times New Roman" w:hAnsi="Times New Roman" w:cs="Times New Roman"/>
        </w:rPr>
        <w:t>Dal nulla n</w:t>
      </w:r>
      <w:r>
        <w:rPr>
          <w:rFonts w:ascii="Times New Roman" w:hAnsi="Times New Roman" w:cs="Times New Roman"/>
        </w:rPr>
        <w:t>on viene nulla e</w:t>
      </w:r>
      <w:r w:rsidRPr="00D20D6E">
        <w:rPr>
          <w:rFonts w:ascii="Times New Roman" w:hAnsi="Times New Roman" w:cs="Times New Roman"/>
        </w:rPr>
        <w:t xml:space="preserve"> dall’eternità</w:t>
      </w:r>
      <w:r>
        <w:rPr>
          <w:rFonts w:ascii="Times New Roman" w:hAnsi="Times New Roman" w:cs="Times New Roman"/>
        </w:rPr>
        <w:t xml:space="preserve"> sussiste</w:t>
      </w:r>
      <w:r>
        <w:rPr>
          <w:rFonts w:ascii="Times New Roman" w:hAnsi="Times New Roman" w:cs="Times New Roman"/>
          <w:lang w:val="de-DE"/>
        </w:rPr>
        <w:t xml:space="preserve"> </w:t>
      </w:r>
      <w:r w:rsidRPr="00F56678">
        <w:rPr>
          <w:rFonts w:ascii="Times New Roman" w:hAnsi="Times New Roman" w:cs="Times New Roman"/>
          <w:lang w:val="de-DE"/>
        </w:rPr>
        <w:t xml:space="preserve">«eine Substanz, die bloß aus Nichts hervorgegangen, oder durch Nichts geschaffen </w:t>
      </w:r>
      <w:r w:rsidRPr="00AD5B9A">
        <w:rPr>
          <w:rFonts w:ascii="Times New Roman" w:hAnsi="Times New Roman" w:cs="Times New Roman"/>
          <w:lang w:val="de-DE"/>
        </w:rPr>
        <w:t>wäre»</w:t>
      </w:r>
      <w:r w:rsidRPr="00AD5B9A">
        <w:rPr>
          <w:rStyle w:val="Rimandonotaapidipagina"/>
          <w:rFonts w:ascii="Times New Roman" w:hAnsi="Times New Roman" w:cs="Times New Roman"/>
          <w:lang w:val="de-DE"/>
        </w:rPr>
        <w:footnoteReference w:id="679"/>
      </w:r>
      <w:r w:rsidRPr="00AD5B9A">
        <w:rPr>
          <w:rFonts w:ascii="Times New Roman" w:hAnsi="Times New Roman" w:cs="Times New Roman"/>
          <w:lang w:val="de-DE"/>
        </w:rPr>
        <w:t xml:space="preserve">. </w:t>
      </w:r>
      <w:r w:rsidRPr="00AD5B9A">
        <w:rPr>
          <w:rFonts w:ascii="Times New Roman" w:hAnsi="Times New Roman" w:cs="Times New Roman"/>
        </w:rPr>
        <w:t xml:space="preserve">Da ciò segue che nulla può essere creato e che solo Dio, </w:t>
      </w:r>
      <w:r w:rsidRPr="00AD5B9A">
        <w:rPr>
          <w:rFonts w:ascii="Times New Roman" w:hAnsi="Times New Roman" w:cs="Times New Roman"/>
          <w:lang w:val="de-DE"/>
        </w:rPr>
        <w:t>«das Ensoph, die unendliche Gottheit, der Realgrund aller Grunde»</w:t>
      </w:r>
      <w:r w:rsidRPr="00AD5B9A">
        <w:rPr>
          <w:rStyle w:val="Rimandonotaapidipagina"/>
          <w:rFonts w:ascii="Times New Roman" w:hAnsi="Times New Roman" w:cs="Times New Roman"/>
          <w:lang w:val="de-DE"/>
        </w:rPr>
        <w:footnoteReference w:id="680"/>
      </w:r>
      <w:r w:rsidRPr="00AD5B9A">
        <w:rPr>
          <w:rFonts w:ascii="Times New Roman" w:hAnsi="Times New Roman" w:cs="Times New Roman"/>
          <w:lang w:val="de-DE"/>
        </w:rPr>
        <w:t xml:space="preserve">, </w:t>
      </w:r>
      <w:r w:rsidRPr="00AD5B9A">
        <w:rPr>
          <w:rFonts w:ascii="Times New Roman" w:hAnsi="Times New Roman" w:cs="Times New Roman"/>
        </w:rPr>
        <w:t xml:space="preserve">è dall’eternità. L’infinito, questo essere onnipervasivo, è una </w:t>
      </w:r>
      <w:r w:rsidRPr="00AD5B9A">
        <w:rPr>
          <w:rFonts w:ascii="Times New Roman" w:hAnsi="Times New Roman" w:cs="Times New Roman"/>
          <w:lang w:val="de-DE"/>
        </w:rPr>
        <w:t>«geistige Natur»</w:t>
      </w:r>
      <w:r w:rsidRPr="00AD5B9A">
        <w:rPr>
          <w:rStyle w:val="Rimandonotaapidipagina"/>
          <w:rFonts w:ascii="Times New Roman" w:hAnsi="Times New Roman" w:cs="Times New Roman"/>
          <w:lang w:val="de-DE"/>
        </w:rPr>
        <w:footnoteReference w:id="681"/>
      </w:r>
      <w:r w:rsidRPr="00AD5B9A">
        <w:rPr>
          <w:rFonts w:ascii="Times New Roman" w:hAnsi="Times New Roman" w:cs="Times New Roman"/>
        </w:rPr>
        <w:t xml:space="preserve">, che è </w:t>
      </w:r>
      <w:r w:rsidRPr="00AD5B9A">
        <w:rPr>
          <w:rFonts w:ascii="Times New Roman" w:hAnsi="Times New Roman" w:cs="Times New Roman"/>
          <w:lang w:val="de-DE"/>
        </w:rPr>
        <w:t>«unerschaffen ewig, intellectual, empfindend und lebend, selbstbewegend, unermeßlich, und aus sich selbst nothwendig vorhanden»</w:t>
      </w:r>
      <w:r w:rsidRPr="00AD5B9A">
        <w:rPr>
          <w:rStyle w:val="Rimandonotaapidipagina"/>
          <w:rFonts w:ascii="Times New Roman" w:hAnsi="Times New Roman" w:cs="Times New Roman"/>
          <w:lang w:val="de-DE"/>
        </w:rPr>
        <w:footnoteReference w:id="682"/>
      </w:r>
      <w:r w:rsidRPr="00AD5B9A">
        <w:rPr>
          <w:rFonts w:ascii="Times New Roman" w:hAnsi="Times New Roman" w:cs="Times New Roman"/>
          <w:lang w:val="de-DE"/>
        </w:rPr>
        <w:t xml:space="preserve"> </w:t>
      </w:r>
      <w:r w:rsidRPr="00AD5B9A">
        <w:rPr>
          <w:rFonts w:ascii="Times New Roman" w:hAnsi="Times New Roman" w:cs="Times New Roman"/>
        </w:rPr>
        <w:t>(quinta tesi)</w:t>
      </w:r>
      <w:r w:rsidRPr="00AD5B9A">
        <w:rPr>
          <w:rFonts w:ascii="Times New Roman" w:hAnsi="Times New Roman" w:cs="Times New Roman"/>
          <w:lang w:val="de-DE"/>
        </w:rPr>
        <w:t xml:space="preserve">. </w:t>
      </w:r>
      <w:r w:rsidRPr="00AD5B9A">
        <w:rPr>
          <w:rFonts w:ascii="Times New Roman" w:hAnsi="Times New Roman" w:cs="Times New Roman"/>
        </w:rPr>
        <w:t>Da</w:t>
      </w:r>
      <w:r w:rsidR="00B03713" w:rsidRPr="00AD5B9A">
        <w:rPr>
          <w:rFonts w:ascii="Times New Roman" w:hAnsi="Times New Roman" w:cs="Times New Roman"/>
        </w:rPr>
        <w:t xml:space="preserve"> ciò </w:t>
      </w:r>
      <w:r w:rsidRPr="00AD5B9A">
        <w:rPr>
          <w:rFonts w:ascii="Times New Roman" w:hAnsi="Times New Roman" w:cs="Times New Roman"/>
        </w:rPr>
        <w:t>s’evince la non</w:t>
      </w:r>
      <w:r>
        <w:rPr>
          <w:rFonts w:ascii="Times New Roman" w:hAnsi="Times New Roman" w:cs="Times New Roman"/>
        </w:rPr>
        <w:t xml:space="preserve"> esistenza della materia: essa non è </w:t>
      </w:r>
      <w:r w:rsidRPr="007E1A99">
        <w:rPr>
          <w:rFonts w:ascii="Times New Roman" w:hAnsi="Times New Roman" w:cs="Times New Roman"/>
        </w:rPr>
        <w:t>«</w:t>
      </w:r>
      <w:r w:rsidRPr="007E1A99">
        <w:rPr>
          <w:rFonts w:ascii="Times New Roman" w:hAnsi="Times New Roman" w:cs="Times New Roman"/>
          <w:lang w:val="de-DE"/>
        </w:rPr>
        <w:t>an und für sich»</w:t>
      </w:r>
      <w:r w:rsidRPr="007E1A99">
        <w:rPr>
          <w:rStyle w:val="Rimandonotaapidipagina"/>
          <w:rFonts w:ascii="Times New Roman" w:hAnsi="Times New Roman" w:cs="Times New Roman"/>
        </w:rPr>
        <w:footnoteReference w:id="683"/>
      </w:r>
      <w:r>
        <w:rPr>
          <w:rFonts w:ascii="Times New Roman" w:hAnsi="Times New Roman" w:cs="Times New Roman"/>
        </w:rPr>
        <w:t xml:space="preserve"> , non ha una propria consistenza ontologica ed è semplice privazione di spirito. Alla ripresa delle prime cinque tesi di Henry More, Buhle fa seguire un intreccio argomentativo in cui la </w:t>
      </w:r>
      <w:r w:rsidRPr="00285092">
        <w:rPr>
          <w:rFonts w:ascii="Times New Roman" w:hAnsi="Times New Roman" w:cs="Times New Roman"/>
          <w:i/>
        </w:rPr>
        <w:t>Cabbala Aëto-Paedo-Melissae</w:t>
      </w:r>
      <w:r w:rsidRPr="00285092">
        <w:rPr>
          <w:rFonts w:ascii="Times New Roman" w:hAnsi="Times New Roman" w:cs="Times New Roman"/>
        </w:rPr>
        <w:t xml:space="preserve"> si combina con tematiche di carattere più generale. Ad esempio, la descrizione dell’emanazionismo cabbalistico verte su un’analisi più sfumata della causalità divina:</w:t>
      </w:r>
    </w:p>
    <w:p w14:paraId="107F150E" w14:textId="77777777" w:rsidR="001B7751" w:rsidRPr="007E1A99" w:rsidRDefault="001B7751" w:rsidP="001B7751">
      <w:pPr>
        <w:spacing w:line="360" w:lineRule="auto"/>
        <w:ind w:left="567" w:firstLine="567"/>
        <w:jc w:val="both"/>
        <w:rPr>
          <w:rFonts w:ascii="Times New Roman" w:hAnsi="Times New Roman" w:cs="Times New Roman"/>
        </w:rPr>
      </w:pPr>
    </w:p>
    <w:p w14:paraId="765767B7" w14:textId="0ABB5D50" w:rsidR="001B7751" w:rsidRPr="007E1A99" w:rsidRDefault="001B7751" w:rsidP="001B7751">
      <w:pPr>
        <w:spacing w:line="360" w:lineRule="auto"/>
        <w:ind w:left="567" w:firstLine="567"/>
        <w:jc w:val="both"/>
        <w:rPr>
          <w:rFonts w:ascii="Times New Roman" w:hAnsi="Times New Roman" w:cs="Times New Roman"/>
          <w:sz w:val="20"/>
          <w:szCs w:val="20"/>
          <w:lang w:val="de-DE"/>
        </w:rPr>
      </w:pPr>
      <w:r w:rsidRPr="007E1A99">
        <w:rPr>
          <w:rFonts w:ascii="Times New Roman" w:hAnsi="Times New Roman" w:cs="Times New Roman"/>
          <w:sz w:val="20"/>
          <w:szCs w:val="20"/>
          <w:lang w:val="de-DE"/>
        </w:rPr>
        <w:t>«Aus diesem unendlichen Geist müssen alle vorhandene</w:t>
      </w:r>
      <w:r w:rsidR="001C7A17">
        <w:rPr>
          <w:rFonts w:ascii="Times New Roman" w:hAnsi="Times New Roman" w:cs="Times New Roman"/>
          <w:sz w:val="20"/>
          <w:szCs w:val="20"/>
          <w:lang w:val="de-DE"/>
        </w:rPr>
        <w:t>n</w:t>
      </w:r>
      <w:r w:rsidRPr="007E1A99">
        <w:rPr>
          <w:rFonts w:ascii="Times New Roman" w:hAnsi="Times New Roman" w:cs="Times New Roman"/>
          <w:sz w:val="20"/>
          <w:szCs w:val="20"/>
          <w:lang w:val="de-DE"/>
        </w:rPr>
        <w:t xml:space="preserve"> Dinge emanieren. Weil sie aber aus ihm nur emanieren können, müssen sie auch nur in ihm bestehen. Die Welt ist also die immanente Wirkung der Gottheit, in welcher diese ihre Attribute und Eigenschaften nach mannichfaltigen Stufen und Modificationen dargestellt hat […] Ja nacher</w:t>
      </w:r>
      <w:r w:rsidR="001C7A17">
        <w:rPr>
          <w:rFonts w:ascii="Times New Roman" w:hAnsi="Times New Roman" w:cs="Times New Roman"/>
          <w:sz w:val="20"/>
          <w:szCs w:val="20"/>
          <w:lang w:val="de-DE"/>
        </w:rPr>
        <w:t xml:space="preserve"> das Emanierte seine</w:t>
      </w:r>
      <w:r w:rsidRPr="007E1A99">
        <w:rPr>
          <w:rFonts w:ascii="Times New Roman" w:hAnsi="Times New Roman" w:cs="Times New Roman"/>
          <w:sz w:val="20"/>
          <w:szCs w:val="20"/>
          <w:lang w:val="de-DE"/>
        </w:rPr>
        <w:t xml:space="preserve"> unendlichen Urquelle ist, desto erhabener und heiliger ist es; je entfernter aber von demselben, desto mehr fehlt ihm die göttliche Vollkommenheit und Natur […] Gott ließ einen ersten Grundquell aus sich emanieren, aus welchem und durch welchen alle übrigen entstanden und bestanden. Dieser erste aus der Gottheit geflossene Grundquell der Dinge ist der Adam Kadmon, der Urmensch, der erstgeborene Sohn Gottes»</w:t>
      </w:r>
      <w:r w:rsidRPr="007E1A99">
        <w:rPr>
          <w:rStyle w:val="Rimandonotaapidipagina"/>
          <w:rFonts w:ascii="Times New Roman" w:hAnsi="Times New Roman" w:cs="Times New Roman"/>
          <w:sz w:val="20"/>
          <w:szCs w:val="20"/>
          <w:lang w:val="de-DE"/>
        </w:rPr>
        <w:footnoteReference w:id="684"/>
      </w:r>
      <w:r w:rsidRPr="007E1A99">
        <w:rPr>
          <w:rFonts w:ascii="Times New Roman" w:hAnsi="Times New Roman" w:cs="Times New Roman"/>
          <w:sz w:val="20"/>
          <w:szCs w:val="20"/>
          <w:lang w:val="de-DE"/>
        </w:rPr>
        <w:t>.</w:t>
      </w:r>
    </w:p>
    <w:p w14:paraId="1232C913" w14:textId="77777777" w:rsidR="001B7751" w:rsidRDefault="001B7751" w:rsidP="001B7751">
      <w:pPr>
        <w:spacing w:line="360" w:lineRule="auto"/>
        <w:ind w:left="567" w:firstLine="567"/>
        <w:jc w:val="both"/>
        <w:rPr>
          <w:rFonts w:ascii="Times New Roman" w:hAnsi="Times New Roman" w:cs="Times New Roman"/>
          <w:lang w:val="de-DE"/>
        </w:rPr>
      </w:pPr>
    </w:p>
    <w:p w14:paraId="41589F77" w14:textId="0547348B" w:rsidR="001B7751" w:rsidRPr="00B4287F" w:rsidRDefault="001B7751" w:rsidP="001B7751">
      <w:pPr>
        <w:spacing w:line="360" w:lineRule="auto"/>
        <w:ind w:firstLine="567"/>
        <w:jc w:val="both"/>
        <w:rPr>
          <w:rFonts w:ascii="Times New Roman" w:hAnsi="Times New Roman" w:cs="Times New Roman"/>
        </w:rPr>
      </w:pPr>
      <w:r w:rsidRPr="000207F7">
        <w:rPr>
          <w:rFonts w:ascii="Times New Roman" w:hAnsi="Times New Roman" w:cs="Times New Roman"/>
        </w:rPr>
        <w:t xml:space="preserve">Dalle prime righe di questo estratto, non si capisce se Buhle stia parlando della Qabbalah o del sistema di Spinoza. Le scelti lessicali del </w:t>
      </w:r>
      <w:r w:rsidRPr="000207F7">
        <w:rPr>
          <w:rFonts w:ascii="Times New Roman" w:hAnsi="Times New Roman" w:cs="Times New Roman"/>
          <w:i/>
        </w:rPr>
        <w:t>Lehrbuch</w:t>
      </w:r>
      <w:r w:rsidRPr="000207F7">
        <w:rPr>
          <w:rFonts w:ascii="Times New Roman" w:hAnsi="Times New Roman" w:cs="Times New Roman"/>
        </w:rPr>
        <w:t xml:space="preserve">, infatti, aderiscono alla </w:t>
      </w:r>
      <w:r w:rsidRPr="00015B99">
        <w:rPr>
          <w:rFonts w:ascii="Times New Roman" w:hAnsi="Times New Roman" w:cs="Times New Roman"/>
        </w:rPr>
        <w:t>nozione spinoziana di sostanza: effetto immanente dell</w:t>
      </w:r>
      <w:r w:rsidR="00DC3754" w:rsidRPr="00015B99">
        <w:rPr>
          <w:rFonts w:ascii="Times New Roman" w:hAnsi="Times New Roman" w:cs="Times New Roman"/>
        </w:rPr>
        <w:t>a divinità</w:t>
      </w:r>
      <w:r w:rsidRPr="00015B99">
        <w:rPr>
          <w:rFonts w:ascii="Times New Roman" w:hAnsi="Times New Roman" w:cs="Times New Roman"/>
        </w:rPr>
        <w:t>, attributi e modificazioni sono determinazioni riconducibili allo spinozismo. Questo collegamento, lo vedremo meglio in seguito, non è casuale e prepara il terreno per la discussione del cabbalismo che Buhle –</w:t>
      </w:r>
      <w:r w:rsidR="00582129" w:rsidRPr="00015B99">
        <w:rPr>
          <w:rFonts w:ascii="Times New Roman" w:hAnsi="Times New Roman" w:cs="Times New Roman"/>
        </w:rPr>
        <w:t xml:space="preserve"> in linea con </w:t>
      </w:r>
      <w:r w:rsidRPr="00015B99">
        <w:rPr>
          <w:rFonts w:ascii="Times New Roman" w:hAnsi="Times New Roman" w:cs="Times New Roman"/>
        </w:rPr>
        <w:t>la storiografia</w:t>
      </w:r>
      <w:r w:rsidR="00582129" w:rsidRPr="00015B99">
        <w:rPr>
          <w:rFonts w:ascii="Times New Roman" w:hAnsi="Times New Roman" w:cs="Times New Roman"/>
        </w:rPr>
        <w:t xml:space="preserve"> del suo tempo </w:t>
      </w:r>
      <w:r w:rsidRPr="00015B99">
        <w:rPr>
          <w:rFonts w:ascii="Times New Roman" w:hAnsi="Times New Roman" w:cs="Times New Roman"/>
        </w:rPr>
        <w:t>– attribuisce a Spinoza</w:t>
      </w:r>
      <w:r w:rsidR="00F3728B" w:rsidRPr="00015B99">
        <w:rPr>
          <w:rStyle w:val="Rimandonotaapidipagina"/>
          <w:rFonts w:ascii="Times New Roman" w:hAnsi="Times New Roman" w:cs="Times New Roman"/>
        </w:rPr>
        <w:footnoteReference w:id="685"/>
      </w:r>
      <w:r w:rsidR="00D2552B" w:rsidRPr="00015B99">
        <w:rPr>
          <w:rFonts w:ascii="Times New Roman" w:hAnsi="Times New Roman" w:cs="Times New Roman"/>
        </w:rPr>
        <w:t>. Sebbene contenga i germi dell’immanentismo di Spinoza, la cosmogonia cabbalistica riconosce uno scarto – alieno allo spinozismo</w:t>
      </w:r>
      <w:r w:rsidR="00F3728B" w:rsidRPr="00015B99">
        <w:rPr>
          <w:rFonts w:ascii="Times New Roman" w:hAnsi="Times New Roman" w:cs="Times New Roman"/>
        </w:rPr>
        <w:t xml:space="preserve"> – </w:t>
      </w:r>
      <w:r w:rsidR="002510C9" w:rsidRPr="00015B99">
        <w:rPr>
          <w:rFonts w:ascii="Times New Roman" w:hAnsi="Times New Roman" w:cs="Times New Roman"/>
        </w:rPr>
        <w:t>fra Dio e mondo</w:t>
      </w:r>
      <w:r w:rsidRPr="00015B99">
        <w:rPr>
          <w:rFonts w:ascii="Times New Roman" w:hAnsi="Times New Roman" w:cs="Times New Roman"/>
        </w:rPr>
        <w:t xml:space="preserve"> che «</w:t>
      </w:r>
      <w:r w:rsidRPr="00015B99">
        <w:rPr>
          <w:rFonts w:ascii="Times New Roman" w:hAnsi="Times New Roman" w:cs="Times New Roman"/>
          <w:lang w:val="de-DE"/>
        </w:rPr>
        <w:t>ist daher die Offenbarung der Gottheit, nicht nach ihrem inneren verborgenen Wesen, sondern in ihrer sichtbaren Herrlichkeit»</w:t>
      </w:r>
      <w:r w:rsidRPr="00015B99">
        <w:rPr>
          <w:rStyle w:val="Rimandonotaapidipagina"/>
          <w:rFonts w:ascii="Times New Roman" w:hAnsi="Times New Roman" w:cs="Times New Roman"/>
        </w:rPr>
        <w:footnoteReference w:id="686"/>
      </w:r>
      <w:r w:rsidRPr="00015B99">
        <w:rPr>
          <w:rFonts w:ascii="Times New Roman" w:hAnsi="Times New Roman" w:cs="Times New Roman"/>
          <w:lang w:val="de-DE"/>
        </w:rPr>
        <w:t>.</w:t>
      </w:r>
      <w:r w:rsidRPr="00F73A15">
        <w:rPr>
          <w:rFonts w:ascii="Times New Roman" w:hAnsi="Times New Roman" w:cs="Times New Roman"/>
          <w:lang w:val="de-DE"/>
        </w:rPr>
        <w:t xml:space="preserve"> </w:t>
      </w:r>
      <w:r w:rsidRPr="00A57C4D">
        <w:rPr>
          <w:rFonts w:ascii="Times New Roman" w:hAnsi="Times New Roman" w:cs="Times New Roman"/>
        </w:rPr>
        <w:t xml:space="preserve">Rivelazione visibile della gloria divina, dunque, non manifestazione dell’essenza segreta di Dio, che si sottrae </w:t>
      </w:r>
      <w:r>
        <w:rPr>
          <w:rFonts w:ascii="Times New Roman" w:hAnsi="Times New Roman" w:cs="Times New Roman"/>
        </w:rPr>
        <w:t xml:space="preserve">costantemente </w:t>
      </w:r>
      <w:r w:rsidRPr="00A57C4D">
        <w:rPr>
          <w:rFonts w:ascii="Times New Roman" w:hAnsi="Times New Roman" w:cs="Times New Roman"/>
        </w:rPr>
        <w:t>al proprio essere altro.</w:t>
      </w:r>
      <w:r>
        <w:rPr>
          <w:rFonts w:ascii="Times New Roman" w:hAnsi="Times New Roman" w:cs="Times New Roman"/>
          <w:lang w:val="de-DE"/>
        </w:rPr>
        <w:t xml:space="preserve"> </w:t>
      </w:r>
      <w:r w:rsidRPr="00A57C4D">
        <w:rPr>
          <w:rFonts w:ascii="Times New Roman" w:hAnsi="Times New Roman" w:cs="Times New Roman"/>
        </w:rPr>
        <w:t>La differ</w:t>
      </w:r>
      <w:r>
        <w:rPr>
          <w:rFonts w:ascii="Times New Roman" w:hAnsi="Times New Roman" w:cs="Times New Roman"/>
        </w:rPr>
        <w:t>e</w:t>
      </w:r>
      <w:r w:rsidRPr="00A57C4D">
        <w:rPr>
          <w:rFonts w:ascii="Times New Roman" w:hAnsi="Times New Roman" w:cs="Times New Roman"/>
        </w:rPr>
        <w:t xml:space="preserve">nza fra </w:t>
      </w:r>
      <w:r w:rsidRPr="00A57C4D">
        <w:rPr>
          <w:rFonts w:ascii="Times New Roman" w:hAnsi="Times New Roman" w:cs="Times New Roman"/>
          <w:i/>
        </w:rPr>
        <w:t>natura naturans</w:t>
      </w:r>
      <w:r w:rsidRPr="00A57C4D">
        <w:rPr>
          <w:rFonts w:ascii="Times New Roman" w:hAnsi="Times New Roman" w:cs="Times New Roman"/>
        </w:rPr>
        <w:t xml:space="preserve"> e </w:t>
      </w:r>
      <w:r w:rsidRPr="00A57C4D">
        <w:rPr>
          <w:rFonts w:ascii="Times New Roman" w:hAnsi="Times New Roman" w:cs="Times New Roman"/>
          <w:i/>
        </w:rPr>
        <w:t>natura naturata</w:t>
      </w:r>
      <w:r w:rsidRPr="00A57C4D">
        <w:rPr>
          <w:rFonts w:ascii="Times New Roman" w:hAnsi="Times New Roman" w:cs="Times New Roman"/>
        </w:rPr>
        <w:t>, con cui Wachter aveva discolpato Qabbalah e spinozismo dall’accusa d’ateismo</w:t>
      </w:r>
      <w:r>
        <w:rPr>
          <w:rFonts w:ascii="Times New Roman" w:hAnsi="Times New Roman" w:cs="Times New Roman"/>
        </w:rPr>
        <w:t xml:space="preserve"> (</w:t>
      </w:r>
      <w:r w:rsidRPr="00CA5C2D">
        <w:rPr>
          <w:rFonts w:ascii="Times New Roman" w:hAnsi="Times New Roman" w:cs="Times New Roman"/>
          <w:i/>
        </w:rPr>
        <w:t>Elucidarius Cabalisticus</w:t>
      </w:r>
      <w:r>
        <w:rPr>
          <w:rFonts w:ascii="Times New Roman" w:hAnsi="Times New Roman" w:cs="Times New Roman"/>
        </w:rPr>
        <w:t>)</w:t>
      </w:r>
      <w:r>
        <w:rPr>
          <w:rStyle w:val="Rimandonotaapidipagina"/>
          <w:rFonts w:ascii="Times New Roman" w:hAnsi="Times New Roman" w:cs="Times New Roman"/>
        </w:rPr>
        <w:footnoteReference w:id="687"/>
      </w:r>
      <w:r w:rsidRPr="00CA5C2D">
        <w:rPr>
          <w:rFonts w:ascii="Times New Roman" w:hAnsi="Times New Roman" w:cs="Times New Roman"/>
        </w:rPr>
        <w:t>, compare anche in queste righe</w:t>
      </w:r>
      <w:r w:rsidRPr="00CA5C2D">
        <w:rPr>
          <w:rFonts w:ascii="Times New Roman" w:hAnsi="Times New Roman" w:cs="Times New Roman"/>
          <w:lang w:val="de-DE"/>
        </w:rPr>
        <w:t xml:space="preserve"> del </w:t>
      </w:r>
      <w:r w:rsidRPr="00CA5C2D">
        <w:rPr>
          <w:rFonts w:ascii="Times New Roman" w:hAnsi="Times New Roman" w:cs="Times New Roman"/>
          <w:i/>
          <w:lang w:val="de-DE"/>
        </w:rPr>
        <w:t>Lehrbuch</w:t>
      </w:r>
      <w:r w:rsidRPr="00CA5C2D">
        <w:rPr>
          <w:rFonts w:ascii="Times New Roman" w:hAnsi="Times New Roman" w:cs="Times New Roman"/>
          <w:lang w:val="de-DE"/>
        </w:rPr>
        <w:t xml:space="preserve">, </w:t>
      </w:r>
      <w:r w:rsidRPr="00CA5C2D">
        <w:rPr>
          <w:rFonts w:ascii="Times New Roman" w:hAnsi="Times New Roman" w:cs="Times New Roman"/>
        </w:rPr>
        <w:t xml:space="preserve">che perseguono una </w:t>
      </w:r>
      <w:r w:rsidRPr="00015B99">
        <w:rPr>
          <w:rFonts w:ascii="Times New Roman" w:hAnsi="Times New Roman" w:cs="Times New Roman"/>
        </w:rPr>
        <w:t>strategia argomentativa a</w:t>
      </w:r>
      <w:r w:rsidR="00D2552B" w:rsidRPr="00015B99">
        <w:rPr>
          <w:rFonts w:ascii="Times New Roman" w:hAnsi="Times New Roman" w:cs="Times New Roman"/>
        </w:rPr>
        <w:t>ffine a</w:t>
      </w:r>
      <w:r w:rsidRPr="00015B99">
        <w:rPr>
          <w:rFonts w:ascii="Times New Roman" w:hAnsi="Times New Roman" w:cs="Times New Roman"/>
        </w:rPr>
        <w:t xml:space="preserve">lla </w:t>
      </w:r>
      <w:r w:rsidR="00D2552B" w:rsidRPr="00015B99">
        <w:rPr>
          <w:rFonts w:ascii="Times New Roman" w:hAnsi="Times New Roman" w:cs="Times New Roman"/>
          <w:i/>
        </w:rPr>
        <w:t>Historia critica philosophiae</w:t>
      </w:r>
      <w:r w:rsidR="00D2552B" w:rsidRPr="00015B99">
        <w:rPr>
          <w:rFonts w:ascii="Times New Roman" w:hAnsi="Times New Roman" w:cs="Times New Roman"/>
        </w:rPr>
        <w:t xml:space="preserve"> </w:t>
      </w:r>
      <w:r w:rsidRPr="00015B99">
        <w:rPr>
          <w:rFonts w:ascii="Times New Roman" w:hAnsi="Times New Roman" w:cs="Times New Roman"/>
        </w:rPr>
        <w:t>di Brucker</w:t>
      </w:r>
      <w:r w:rsidRPr="00015B99">
        <w:rPr>
          <w:rStyle w:val="Rimandonotaapidipagina"/>
          <w:rFonts w:ascii="Times New Roman" w:hAnsi="Times New Roman" w:cs="Times New Roman"/>
        </w:rPr>
        <w:footnoteReference w:id="688"/>
      </w:r>
      <w:r w:rsidRPr="00015B99">
        <w:rPr>
          <w:rFonts w:ascii="Times New Roman" w:hAnsi="Times New Roman" w:cs="Times New Roman"/>
        </w:rPr>
        <w:t xml:space="preserve">. Per descrivere questa manifestazione dell’infinito nel mondo, che non esaurisce lo scarto fra divinità e creatura, Buhle introduce la teoria lurianica della </w:t>
      </w:r>
      <w:r w:rsidRPr="00015B99">
        <w:rPr>
          <w:rFonts w:ascii="Times New Roman" w:hAnsi="Times New Roman" w:cs="Times New Roman"/>
          <w:i/>
        </w:rPr>
        <w:t>tzimtzum</w:t>
      </w:r>
      <w:r w:rsidRPr="00015B99">
        <w:rPr>
          <w:rFonts w:ascii="Times New Roman" w:hAnsi="Times New Roman" w:cs="Times New Roman"/>
        </w:rPr>
        <w:t>:</w:t>
      </w:r>
    </w:p>
    <w:p w14:paraId="7FEA6F98" w14:textId="77777777" w:rsidR="001B7751" w:rsidRDefault="001B7751" w:rsidP="001B7751">
      <w:pPr>
        <w:spacing w:line="360" w:lineRule="auto"/>
        <w:ind w:left="567" w:firstLine="567"/>
        <w:jc w:val="both"/>
        <w:rPr>
          <w:rFonts w:ascii="Times New Roman" w:hAnsi="Times New Roman" w:cs="Times New Roman"/>
        </w:rPr>
      </w:pPr>
    </w:p>
    <w:p w14:paraId="5FC8127A" w14:textId="77777777" w:rsidR="001B7751" w:rsidRPr="005674CF" w:rsidRDefault="001B7751" w:rsidP="001B7751">
      <w:pPr>
        <w:spacing w:line="360" w:lineRule="auto"/>
        <w:ind w:left="567" w:firstLine="567"/>
        <w:jc w:val="both"/>
        <w:rPr>
          <w:rFonts w:ascii="Times New Roman" w:hAnsi="Times New Roman" w:cs="Times New Roman"/>
          <w:sz w:val="20"/>
          <w:szCs w:val="20"/>
        </w:rPr>
      </w:pPr>
      <w:r w:rsidRPr="005674CF">
        <w:rPr>
          <w:rFonts w:ascii="Times New Roman" w:hAnsi="Times New Roman" w:cs="Times New Roman"/>
          <w:sz w:val="20"/>
          <w:szCs w:val="20"/>
        </w:rPr>
        <w:t>«</w:t>
      </w:r>
      <w:r w:rsidRPr="005674CF">
        <w:rPr>
          <w:rFonts w:ascii="Times New Roman" w:hAnsi="Times New Roman" w:cs="Times New Roman"/>
          <w:sz w:val="20"/>
          <w:szCs w:val="20"/>
          <w:lang w:val="de-DE"/>
        </w:rPr>
        <w:t>Da es also der Rathschluß des Urlichts wurde, Welten zu schaffen, lebende Wesen hervorzubringen, und die Vollkommenheit seines Wesens und seiner Eigenschaften zu offenbaren, zog es sich von einem Mittelpunkt zurück, und so blieb in gleicher Entfernung von jenem Mittelpuncte, ein leerer Raum übrig. Diese Zusammenziehung des Urlichts in sich selbst war sich aber von allen Seiten vollkommen gleich, und bildete daher den vollkommensten Kreis»</w:t>
      </w:r>
      <w:r w:rsidRPr="005674CF">
        <w:rPr>
          <w:rStyle w:val="Rimandonotaapidipagina"/>
          <w:rFonts w:ascii="Times New Roman" w:hAnsi="Times New Roman" w:cs="Times New Roman"/>
          <w:sz w:val="20"/>
          <w:szCs w:val="20"/>
        </w:rPr>
        <w:footnoteReference w:id="689"/>
      </w:r>
      <w:r w:rsidRPr="005674CF">
        <w:rPr>
          <w:rFonts w:ascii="Times New Roman" w:hAnsi="Times New Roman" w:cs="Times New Roman"/>
          <w:sz w:val="20"/>
          <w:szCs w:val="20"/>
          <w:lang w:val="de-DE"/>
        </w:rPr>
        <w:t>.</w:t>
      </w:r>
    </w:p>
    <w:p w14:paraId="1979C0B1" w14:textId="77777777" w:rsidR="001B7751" w:rsidRPr="005674CF" w:rsidRDefault="001B7751" w:rsidP="001B7751">
      <w:pPr>
        <w:spacing w:line="360" w:lineRule="auto"/>
        <w:ind w:left="567" w:firstLine="567"/>
        <w:jc w:val="both"/>
        <w:rPr>
          <w:rFonts w:ascii="Times New Roman" w:hAnsi="Times New Roman" w:cs="Times New Roman"/>
        </w:rPr>
      </w:pPr>
    </w:p>
    <w:p w14:paraId="6EE20F21" w14:textId="701A45B7" w:rsidR="001B7751" w:rsidRDefault="001B7751" w:rsidP="001B7751">
      <w:pPr>
        <w:spacing w:line="360" w:lineRule="auto"/>
        <w:ind w:firstLine="567"/>
        <w:jc w:val="both"/>
        <w:rPr>
          <w:rFonts w:ascii="Times New Roman" w:hAnsi="Times New Roman" w:cs="Times New Roman"/>
        </w:rPr>
      </w:pPr>
      <w:r w:rsidRPr="00015B99">
        <w:rPr>
          <w:rFonts w:ascii="Times New Roman" w:hAnsi="Times New Roman" w:cs="Times New Roman"/>
        </w:rPr>
        <w:t xml:space="preserve">Dio si ritira in sé e lascia uno spazio vuoto affinché sia resa visibile la sua gloria, siano rese manifeste le sue proprietà e siano creati esseri viventi. Dall’atto contrattivo dell’infinito, segue la produzione immediata di un effetto, che i cabbalisti chiamano Keter (corona) o Adam Kadmon (l’uomo primordiale). Da questo primo emanato, derivano le proprietà con cui Dio </w:t>
      </w:r>
      <w:r w:rsidR="00DC3754" w:rsidRPr="00015B99">
        <w:rPr>
          <w:rFonts w:ascii="Times New Roman" w:hAnsi="Times New Roman" w:cs="Times New Roman"/>
        </w:rPr>
        <w:t xml:space="preserve">si manifesta </w:t>
      </w:r>
      <w:r w:rsidRPr="00015B99">
        <w:rPr>
          <w:rFonts w:ascii="Times New Roman" w:hAnsi="Times New Roman" w:cs="Times New Roman"/>
        </w:rPr>
        <w:t>nella creazione.</w:t>
      </w:r>
      <w:r w:rsidRPr="00202D10">
        <w:rPr>
          <w:rFonts w:ascii="Times New Roman" w:hAnsi="Times New Roman" w:cs="Times New Roman"/>
        </w:rPr>
        <w:t xml:space="preserve"> Queste proprietà sono le </w:t>
      </w:r>
      <w:r w:rsidRPr="00202D10">
        <w:rPr>
          <w:rFonts w:ascii="Times New Roman" w:hAnsi="Times New Roman" w:cs="Times New Roman"/>
          <w:i/>
        </w:rPr>
        <w:t>Sefiroth</w:t>
      </w:r>
      <w:r w:rsidRPr="00202D10">
        <w:rPr>
          <w:rFonts w:ascii="Times New Roman" w:hAnsi="Times New Roman" w:cs="Times New Roman"/>
        </w:rPr>
        <w:t xml:space="preserve"> che, nella loro struttura gerarchizzata, costituiscono i primi livelli del processo emanativo.</w:t>
      </w:r>
      <w:r>
        <w:rPr>
          <w:rFonts w:ascii="Times New Roman" w:hAnsi="Times New Roman" w:cs="Times New Roman"/>
        </w:rPr>
        <w:t xml:space="preserve"> Prese nella loro unità, le proprietà divine costituiscono il cosiddetto albero sefirotico, un’immagine su cui i cabbalisti </w:t>
      </w:r>
      <w:r w:rsidRPr="00DD22F4">
        <w:rPr>
          <w:rFonts w:ascii="Times New Roman" w:hAnsi="Times New Roman" w:cs="Times New Roman"/>
          <w:lang w:val="ta-IN"/>
        </w:rPr>
        <w:t>«haben sie sich in eine Menge allegorischer, abentheuerlicher Spielereyen verloren»</w:t>
      </w:r>
      <w:r w:rsidRPr="00DD22F4">
        <w:rPr>
          <w:rStyle w:val="Rimandonotaapidipagina"/>
          <w:rFonts w:ascii="Times New Roman" w:hAnsi="Times New Roman" w:cs="Times New Roman"/>
          <w:lang w:val="ta-IN"/>
        </w:rPr>
        <w:footnoteReference w:id="690"/>
      </w:r>
      <w:r w:rsidRPr="00DD22F4">
        <w:rPr>
          <w:rFonts w:ascii="Times New Roman" w:hAnsi="Times New Roman" w:cs="Times New Roman"/>
          <w:lang w:val="ta-IN"/>
        </w:rPr>
        <w:t>.</w:t>
      </w:r>
      <w:r>
        <w:rPr>
          <w:rFonts w:ascii="Times New Roman" w:hAnsi="Times New Roman" w:cs="Times New Roman"/>
          <w:lang w:val="de-DE"/>
        </w:rPr>
        <w:t xml:space="preserve"> </w:t>
      </w:r>
      <w:r w:rsidRPr="005E1AE1">
        <w:rPr>
          <w:rFonts w:ascii="Times New Roman" w:hAnsi="Times New Roman" w:cs="Times New Roman"/>
        </w:rPr>
        <w:t xml:space="preserve">Se da un lato le </w:t>
      </w:r>
      <w:r w:rsidRPr="004F2F84">
        <w:rPr>
          <w:rFonts w:ascii="Times New Roman" w:hAnsi="Times New Roman" w:cs="Times New Roman"/>
          <w:i/>
        </w:rPr>
        <w:t>Sefiroth</w:t>
      </w:r>
      <w:r w:rsidRPr="005E1AE1">
        <w:rPr>
          <w:rFonts w:ascii="Times New Roman" w:hAnsi="Times New Roman" w:cs="Times New Roman"/>
        </w:rPr>
        <w:t xml:space="preserve"> palesano la magnificenza della divinità, </w:t>
      </w:r>
      <w:r w:rsidRPr="00202D10">
        <w:rPr>
          <w:rFonts w:ascii="Times New Roman" w:hAnsi="Times New Roman" w:cs="Times New Roman"/>
        </w:rPr>
        <w:t>dall’altro lato è per loro tramite che sono prodotte le entità</w:t>
      </w:r>
      <w:r>
        <w:rPr>
          <w:rFonts w:ascii="Times New Roman" w:hAnsi="Times New Roman" w:cs="Times New Roman"/>
        </w:rPr>
        <w:t xml:space="preserve"> –</w:t>
      </w:r>
      <w:r w:rsidRPr="00202D10">
        <w:rPr>
          <w:rFonts w:ascii="Times New Roman" w:hAnsi="Times New Roman" w:cs="Times New Roman"/>
        </w:rPr>
        <w:t xml:space="preserve"> raccol</w:t>
      </w:r>
      <w:r>
        <w:rPr>
          <w:rFonts w:ascii="Times New Roman" w:hAnsi="Times New Roman" w:cs="Times New Roman"/>
        </w:rPr>
        <w:t>te e suddivise in quattro mondi –</w:t>
      </w:r>
      <w:r w:rsidRPr="00202D10">
        <w:rPr>
          <w:rFonts w:ascii="Times New Roman" w:hAnsi="Times New Roman" w:cs="Times New Roman"/>
        </w:rPr>
        <w:t xml:space="preserve"> della cosmologia cabbalistica. Sulla creazione del mondo dell’emanazione, della creazione, della formazione e della fabbricazione, Buhle osserva:</w:t>
      </w:r>
    </w:p>
    <w:p w14:paraId="716B541B" w14:textId="77777777" w:rsidR="001B7751" w:rsidRDefault="001B7751" w:rsidP="001B7751">
      <w:pPr>
        <w:spacing w:line="360" w:lineRule="auto"/>
        <w:ind w:left="567" w:firstLine="567"/>
        <w:jc w:val="both"/>
        <w:rPr>
          <w:rFonts w:ascii="Times New Roman" w:hAnsi="Times New Roman" w:cs="Times New Roman"/>
        </w:rPr>
      </w:pPr>
    </w:p>
    <w:p w14:paraId="3D867809" w14:textId="77777777" w:rsidR="001B7751" w:rsidRPr="005674CF" w:rsidRDefault="001B7751" w:rsidP="001B7751">
      <w:pPr>
        <w:spacing w:line="360" w:lineRule="auto"/>
        <w:ind w:left="567" w:firstLine="567"/>
        <w:jc w:val="both"/>
        <w:rPr>
          <w:rFonts w:ascii="Times New Roman" w:hAnsi="Times New Roman" w:cs="Times New Roman"/>
          <w:lang w:val="de-DE"/>
        </w:rPr>
      </w:pPr>
      <w:r w:rsidRPr="005674CF">
        <w:rPr>
          <w:rFonts w:ascii="Times New Roman" w:hAnsi="Times New Roman" w:cs="Times New Roman"/>
          <w:sz w:val="20"/>
          <w:szCs w:val="20"/>
        </w:rPr>
        <w:t>«</w:t>
      </w:r>
      <w:r w:rsidRPr="005674CF">
        <w:rPr>
          <w:rFonts w:ascii="Times New Roman" w:hAnsi="Times New Roman" w:cs="Times New Roman"/>
          <w:sz w:val="20"/>
          <w:szCs w:val="20"/>
          <w:lang w:val="de-DE"/>
        </w:rPr>
        <w:t>Durch diese Sephiren sind aus dem Urmenschen hervorgegangen als immenente Wirkungen seiner Emanationen, die Geister ohne alle Stoff, die Engel, die erschaffenen Substanzen, die als Substanzen für sich existieren; und die materialen Wesen, die von der Materie ihrem Seyn, ihrer Subsistenz, ihren Vermögen und Thatigkeit nach abhängen; Aziluth, Briah, Jezirah und Asiah; die Welt der Emanation, der Schöpfung (Creation), des Formung, und der Fabrication»</w:t>
      </w:r>
      <w:r w:rsidRPr="005674CF">
        <w:rPr>
          <w:rStyle w:val="Rimandonotaapidipagina"/>
          <w:rFonts w:ascii="Times New Roman" w:hAnsi="Times New Roman" w:cs="Times New Roman"/>
        </w:rPr>
        <w:footnoteReference w:id="691"/>
      </w:r>
      <w:r w:rsidRPr="005674CF">
        <w:rPr>
          <w:rFonts w:ascii="Times New Roman" w:hAnsi="Times New Roman" w:cs="Times New Roman"/>
          <w:sz w:val="20"/>
          <w:szCs w:val="20"/>
          <w:lang w:val="de-DE"/>
        </w:rPr>
        <w:t>.</w:t>
      </w:r>
    </w:p>
    <w:p w14:paraId="6AB7BE38" w14:textId="77777777" w:rsidR="001B7751" w:rsidRDefault="001B7751" w:rsidP="001B7751">
      <w:pPr>
        <w:spacing w:line="360" w:lineRule="auto"/>
        <w:ind w:left="1134" w:firstLine="567"/>
        <w:jc w:val="both"/>
        <w:rPr>
          <w:rFonts w:ascii="Times New Roman" w:hAnsi="Times New Roman" w:cs="Times New Roman"/>
          <w:lang w:val="de-DE"/>
        </w:rPr>
      </w:pPr>
    </w:p>
    <w:p w14:paraId="26095917" w14:textId="77777777" w:rsidR="001B7751" w:rsidRDefault="001B7751" w:rsidP="001B7751">
      <w:pPr>
        <w:spacing w:line="360" w:lineRule="auto"/>
        <w:ind w:firstLine="567"/>
        <w:jc w:val="both"/>
        <w:rPr>
          <w:rFonts w:ascii="Times New Roman" w:hAnsi="Times New Roman" w:cs="Times New Roman"/>
        </w:rPr>
      </w:pPr>
      <w:r w:rsidRPr="00D72BFE">
        <w:rPr>
          <w:rFonts w:ascii="Times New Roman" w:hAnsi="Times New Roman" w:cs="Times New Roman"/>
        </w:rPr>
        <w:t>Attraverso la mediazione dell’Adam Kadmon (</w:t>
      </w:r>
      <w:r w:rsidRPr="00D72BFE">
        <w:rPr>
          <w:rFonts w:ascii="Times New Roman" w:hAnsi="Times New Roman" w:cs="Times New Roman"/>
          <w:i/>
        </w:rPr>
        <w:t>Urmensch</w:t>
      </w:r>
      <w:r w:rsidRPr="00D72BFE">
        <w:rPr>
          <w:rFonts w:ascii="Times New Roman" w:hAnsi="Times New Roman" w:cs="Times New Roman"/>
        </w:rPr>
        <w:t>), l’infinito si espande nei quattro mondi, che trattengono in sé, a seconda della loro vicinanza o lontananza dalla luce primordiale, una maggiore o minore presenzialità del divino. Il mondo della fabbricazione, l’ultimo dei mondi per dignità e perfezione, è di natura materiale e trattiene in sé un grado minimo d’</w:t>
      </w:r>
      <w:r w:rsidRPr="00D72BFE">
        <w:rPr>
          <w:rFonts w:ascii="Times New Roman" w:hAnsi="Times New Roman" w:cs="Times New Roman"/>
          <w:i/>
        </w:rPr>
        <w:t>Urlicht</w:t>
      </w:r>
      <w:r w:rsidRPr="00D72BFE">
        <w:rPr>
          <w:rFonts w:ascii="Times New Roman" w:hAnsi="Times New Roman" w:cs="Times New Roman"/>
        </w:rPr>
        <w:t>.</w:t>
      </w:r>
      <w:r>
        <w:rPr>
          <w:rFonts w:ascii="Times New Roman" w:hAnsi="Times New Roman" w:cs="Times New Roman"/>
        </w:rPr>
        <w:t xml:space="preserve"> Con dei giri argomentativi molti simili a quelli di Tiedemann, Buhle ripercorre, nelle sue articolazioni fondamentali, la cosmologia cabbalistica. A dispetto del </w:t>
      </w:r>
      <w:r w:rsidRPr="003E425E">
        <w:rPr>
          <w:rFonts w:ascii="Times New Roman" w:hAnsi="Times New Roman" w:cs="Times New Roman"/>
          <w:i/>
        </w:rPr>
        <w:t>Geist der spekulativen Philosophie</w:t>
      </w:r>
      <w:r>
        <w:rPr>
          <w:rFonts w:ascii="Times New Roman" w:hAnsi="Times New Roman" w:cs="Times New Roman"/>
        </w:rPr>
        <w:t xml:space="preserve">, il </w:t>
      </w:r>
      <w:r w:rsidRPr="003E425E">
        <w:rPr>
          <w:rFonts w:ascii="Times New Roman" w:hAnsi="Times New Roman" w:cs="Times New Roman"/>
          <w:i/>
        </w:rPr>
        <w:t xml:space="preserve">Lehrbuch </w:t>
      </w:r>
      <w:r>
        <w:rPr>
          <w:rFonts w:ascii="Times New Roman" w:hAnsi="Times New Roman" w:cs="Times New Roman"/>
        </w:rPr>
        <w:t xml:space="preserve">recupera delle fonti – quali la </w:t>
      </w:r>
      <w:r w:rsidRPr="004560EE">
        <w:rPr>
          <w:rFonts w:ascii="Times New Roman" w:hAnsi="Times New Roman" w:cs="Times New Roman"/>
          <w:i/>
        </w:rPr>
        <w:t>Cabbala A</w:t>
      </w:r>
      <w:r w:rsidRPr="003D4847">
        <w:rPr>
          <w:rFonts w:ascii="Times New Roman" w:hAnsi="Times New Roman" w:cs="Times New Roman"/>
          <w:i/>
        </w:rPr>
        <w:t>ëto-Paedo-Melissae</w:t>
      </w:r>
      <w:r>
        <w:rPr>
          <w:rFonts w:ascii="Times New Roman" w:hAnsi="Times New Roman" w:cs="Times New Roman"/>
          <w:i/>
        </w:rPr>
        <w:t xml:space="preserve"> </w:t>
      </w:r>
      <w:r>
        <w:rPr>
          <w:rFonts w:ascii="Times New Roman" w:hAnsi="Times New Roman" w:cs="Times New Roman"/>
        </w:rPr>
        <w:t xml:space="preserve">di Henry More, la </w:t>
      </w:r>
      <w:r w:rsidRPr="003E425E">
        <w:rPr>
          <w:rFonts w:ascii="Times New Roman" w:hAnsi="Times New Roman" w:cs="Times New Roman"/>
          <w:i/>
        </w:rPr>
        <w:t>Historia critica philosophiae</w:t>
      </w:r>
      <w:r>
        <w:rPr>
          <w:rFonts w:ascii="Times New Roman" w:hAnsi="Times New Roman" w:cs="Times New Roman"/>
        </w:rPr>
        <w:t xml:space="preserve"> di Brucker e </w:t>
      </w:r>
      <w:r w:rsidRPr="000B34BF">
        <w:rPr>
          <w:rFonts w:ascii="Times New Roman" w:hAnsi="Times New Roman" w:cs="Times New Roman"/>
        </w:rPr>
        <w:t>l’</w:t>
      </w:r>
      <w:r w:rsidRPr="000B34BF">
        <w:rPr>
          <w:rFonts w:ascii="Times New Roman" w:hAnsi="Times New Roman" w:cs="Times New Roman"/>
          <w:i/>
        </w:rPr>
        <w:t xml:space="preserve">Elucidarius Cabalisticus </w:t>
      </w:r>
      <w:r w:rsidRPr="000B34BF">
        <w:rPr>
          <w:rFonts w:ascii="Times New Roman" w:hAnsi="Times New Roman" w:cs="Times New Roman"/>
        </w:rPr>
        <w:t xml:space="preserve">di Wachter – che interpretano in </w:t>
      </w:r>
      <w:r w:rsidRPr="000B2CFF">
        <w:rPr>
          <w:rFonts w:ascii="Times New Roman" w:hAnsi="Times New Roman" w:cs="Times New Roman"/>
        </w:rPr>
        <w:t>direzione neoplatonica</w:t>
      </w:r>
      <w:r w:rsidRPr="00FB2545">
        <w:rPr>
          <w:rFonts w:ascii="Times New Roman" w:hAnsi="Times New Roman" w:cs="Times New Roman"/>
        </w:rPr>
        <w:t xml:space="preserve"> la filosofia cabbalistica. Sebbene Tiedemann, identificando la Qabbalah con la </w:t>
      </w:r>
      <w:r w:rsidRPr="00FB2545">
        <w:rPr>
          <w:rFonts w:ascii="Times New Roman" w:hAnsi="Times New Roman" w:cs="Times New Roman"/>
          <w:i/>
        </w:rPr>
        <w:t>Porta Coelorum</w:t>
      </w:r>
      <w:r w:rsidRPr="00FB2545">
        <w:rPr>
          <w:rFonts w:ascii="Times New Roman" w:hAnsi="Times New Roman" w:cs="Times New Roman"/>
        </w:rPr>
        <w:t xml:space="preserve"> di Herrera, abbia proposto una chiave di lettura non meno </w:t>
      </w:r>
      <w:r w:rsidRPr="00FB2545">
        <w:rPr>
          <w:rFonts w:ascii="Times New Roman" w:hAnsi="Times New Roman" w:cs="Times New Roman"/>
          <w:i/>
        </w:rPr>
        <w:t>neoplatonizzante</w:t>
      </w:r>
      <w:r w:rsidRPr="00FB2545">
        <w:rPr>
          <w:rFonts w:ascii="Times New Roman" w:hAnsi="Times New Roman" w:cs="Times New Roman"/>
        </w:rPr>
        <w:t xml:space="preserve"> della</w:t>
      </w:r>
      <w:r w:rsidRPr="000B34BF">
        <w:rPr>
          <w:rFonts w:ascii="Times New Roman" w:hAnsi="Times New Roman" w:cs="Times New Roman"/>
        </w:rPr>
        <w:t xml:space="preserve"> mistica ebraica, il </w:t>
      </w:r>
      <w:r w:rsidRPr="000B34BF">
        <w:rPr>
          <w:rFonts w:ascii="Times New Roman" w:hAnsi="Times New Roman" w:cs="Times New Roman"/>
          <w:i/>
        </w:rPr>
        <w:t>Lehrbuch</w:t>
      </w:r>
      <w:r w:rsidRPr="000B34BF">
        <w:rPr>
          <w:rFonts w:ascii="Times New Roman" w:hAnsi="Times New Roman" w:cs="Times New Roman"/>
        </w:rPr>
        <w:t xml:space="preserve"> di Buhle, riprendendo le tesi di More relative alla non-esistenza della materia, sancisce, in un certo senso, il superamento di quel residuo di materialismo ancora presente nel </w:t>
      </w:r>
      <w:r w:rsidRPr="000B34BF">
        <w:rPr>
          <w:rFonts w:ascii="Times New Roman" w:hAnsi="Times New Roman" w:cs="Times New Roman"/>
          <w:i/>
          <w:lang w:val="de-DE"/>
        </w:rPr>
        <w:t>Geist der spekulativen Philosophie</w:t>
      </w:r>
      <w:r w:rsidRPr="00A4031D">
        <w:rPr>
          <w:rStyle w:val="Rimandonotaapidipagina"/>
          <w:rFonts w:ascii="Times New Roman" w:hAnsi="Times New Roman" w:cs="Times New Roman"/>
          <w:lang w:val="de-DE"/>
        </w:rPr>
        <w:footnoteReference w:id="692"/>
      </w:r>
      <w:r w:rsidRPr="00A4031D">
        <w:rPr>
          <w:rFonts w:ascii="Times New Roman" w:hAnsi="Times New Roman" w:cs="Times New Roman"/>
        </w:rPr>
        <w:t>.</w:t>
      </w:r>
      <w:r w:rsidRPr="000B34BF">
        <w:rPr>
          <w:rFonts w:ascii="Times New Roman" w:hAnsi="Times New Roman" w:cs="Times New Roman"/>
        </w:rPr>
        <w:t xml:space="preserve"> Destreggiandosi all’interno della letteratura critica esistente sul tema, il</w:t>
      </w:r>
      <w:r w:rsidRPr="000B34BF">
        <w:rPr>
          <w:rFonts w:ascii="Times New Roman" w:hAnsi="Times New Roman" w:cs="Times New Roman"/>
          <w:i/>
        </w:rPr>
        <w:t xml:space="preserve"> Lehrbuch</w:t>
      </w:r>
      <w:r w:rsidRPr="000B34BF">
        <w:rPr>
          <w:rFonts w:ascii="Times New Roman" w:hAnsi="Times New Roman" w:cs="Times New Roman"/>
        </w:rPr>
        <w:t xml:space="preserve"> di Buhle associa chiaramente la filosofia cabbalistica a schemi interpretativi antimaterialistici. Oltre l’oscurità delle allegorie e delle immagini della tradizione ebraica, traspare un nucleo dottrinario riconducibile ad un retroterra</w:t>
      </w:r>
      <w:r>
        <w:rPr>
          <w:rFonts w:ascii="Times New Roman" w:hAnsi="Times New Roman" w:cs="Times New Roman"/>
        </w:rPr>
        <w:t xml:space="preserve"> filoniano e </w:t>
      </w:r>
      <w:r w:rsidRPr="00E8708B">
        <w:rPr>
          <w:rFonts w:ascii="Times New Roman" w:hAnsi="Times New Roman" w:cs="Times New Roman"/>
        </w:rPr>
        <w:t>neoplatonico: 1. Dio è l’Uno che eccede infinitamente il molto, 2. dalla Causa incausata segue immediatamente</w:t>
      </w:r>
      <w:r>
        <w:rPr>
          <w:rFonts w:ascii="Times New Roman" w:hAnsi="Times New Roman" w:cs="Times New Roman"/>
        </w:rPr>
        <w:t xml:space="preserve"> un solo effetto (Adam Kadmon), 3. per suo tramite s’innesca il processo emanativo, 4. la luce primordiale, grazie a questa mediazione, manifesta sé – senza tradire la sua essenza occulta (la sua separatezza dal molteplice) – nei quattro mondi, 5. </w:t>
      </w:r>
      <w:r w:rsidRPr="005A4E1A">
        <w:rPr>
          <w:rFonts w:ascii="Times New Roman" w:hAnsi="Times New Roman" w:cs="Times New Roman"/>
        </w:rPr>
        <w:t>il mondo materiale trattiene una traccia della luce divin</w:t>
      </w:r>
      <w:r>
        <w:rPr>
          <w:rFonts w:ascii="Times New Roman" w:hAnsi="Times New Roman" w:cs="Times New Roman"/>
        </w:rPr>
        <w:t>a e</w:t>
      </w:r>
      <w:r w:rsidRPr="005A4E1A">
        <w:rPr>
          <w:rFonts w:ascii="Times New Roman" w:hAnsi="Times New Roman" w:cs="Times New Roman"/>
        </w:rPr>
        <w:t xml:space="preserve"> 6. la materia è dunque non-essere, </w:t>
      </w:r>
      <w:r w:rsidRPr="00FA4C3F">
        <w:rPr>
          <w:rFonts w:ascii="Times New Roman" w:hAnsi="Times New Roman" w:cs="Times New Roman"/>
        </w:rPr>
        <w:t>privazione</w:t>
      </w:r>
      <w:r>
        <w:rPr>
          <w:rFonts w:ascii="Times New Roman" w:hAnsi="Times New Roman" w:cs="Times New Roman"/>
          <w:i/>
        </w:rPr>
        <w:t xml:space="preserve"> </w:t>
      </w:r>
      <w:r w:rsidRPr="005A4E1A">
        <w:rPr>
          <w:rFonts w:ascii="Times New Roman" w:hAnsi="Times New Roman" w:cs="Times New Roman"/>
        </w:rPr>
        <w:t xml:space="preserve">di luce, che </w:t>
      </w:r>
      <w:r w:rsidRPr="00FA4C3F">
        <w:rPr>
          <w:rFonts w:ascii="Times New Roman" w:hAnsi="Times New Roman" w:cs="Times New Roman"/>
          <w:i/>
        </w:rPr>
        <w:t>appare</w:t>
      </w:r>
      <w:r>
        <w:rPr>
          <w:rFonts w:ascii="Times New Roman" w:hAnsi="Times New Roman" w:cs="Times New Roman"/>
        </w:rPr>
        <w:t xml:space="preserve"> </w:t>
      </w:r>
      <w:r w:rsidRPr="005A4E1A">
        <w:rPr>
          <w:rFonts w:ascii="Times New Roman" w:hAnsi="Times New Roman" w:cs="Times New Roman"/>
        </w:rPr>
        <w:t>là dove l’</w:t>
      </w:r>
      <w:r w:rsidRPr="005A4E1A">
        <w:rPr>
          <w:rFonts w:ascii="Times New Roman" w:hAnsi="Times New Roman" w:cs="Times New Roman"/>
          <w:i/>
        </w:rPr>
        <w:t>Urlicht</w:t>
      </w:r>
      <w:r w:rsidRPr="005A4E1A">
        <w:rPr>
          <w:rFonts w:ascii="Times New Roman" w:hAnsi="Times New Roman" w:cs="Times New Roman"/>
        </w:rPr>
        <w:t xml:space="preserve"> </w:t>
      </w:r>
      <w:r w:rsidRPr="000B2CFF">
        <w:rPr>
          <w:rFonts w:ascii="Times New Roman" w:hAnsi="Times New Roman" w:cs="Times New Roman"/>
        </w:rPr>
        <w:t>sembra venir meno.</w:t>
      </w:r>
    </w:p>
    <w:p w14:paraId="4FAB8CAA" w14:textId="372D7D2E" w:rsidR="001B7751" w:rsidRPr="00C51ACF" w:rsidRDefault="001B7751" w:rsidP="00F15DED">
      <w:pPr>
        <w:spacing w:line="360" w:lineRule="auto"/>
        <w:ind w:firstLine="567"/>
        <w:jc w:val="both"/>
        <w:rPr>
          <w:rFonts w:ascii="Times New Roman" w:hAnsi="Times New Roman" w:cs="Times New Roman"/>
        </w:rPr>
      </w:pPr>
      <w:r w:rsidRPr="00C52AB8">
        <w:rPr>
          <w:rFonts w:ascii="Times New Roman" w:hAnsi="Times New Roman" w:cs="Times New Roman"/>
        </w:rPr>
        <w:t xml:space="preserve">Nelle pagine del </w:t>
      </w:r>
      <w:r w:rsidRPr="00C52AB8">
        <w:rPr>
          <w:rFonts w:ascii="Times New Roman" w:hAnsi="Times New Roman" w:cs="Times New Roman"/>
          <w:i/>
          <w:lang w:val="de-DE"/>
        </w:rPr>
        <w:t>Lehrbuch der Geschichte der Philosophie</w:t>
      </w:r>
      <w:r w:rsidRPr="00C52AB8">
        <w:rPr>
          <w:rFonts w:ascii="Times New Roman" w:hAnsi="Times New Roman" w:cs="Times New Roman"/>
        </w:rPr>
        <w:t xml:space="preserve">, è riprodotto un modello interpretativo del misticismo ebraico già incontrato nella storiografia precedente e che rincontreremo, con variazioni contenutistiche minime, nella storiografia successiva. Dall’analisi di questi passi del </w:t>
      </w:r>
      <w:r w:rsidRPr="00C52AB8">
        <w:rPr>
          <w:rFonts w:ascii="Times New Roman" w:hAnsi="Times New Roman" w:cs="Times New Roman"/>
          <w:i/>
        </w:rPr>
        <w:t>Lehrbuch</w:t>
      </w:r>
      <w:r w:rsidRPr="00C52AB8">
        <w:rPr>
          <w:rFonts w:ascii="Times New Roman" w:hAnsi="Times New Roman" w:cs="Times New Roman"/>
        </w:rPr>
        <w:t xml:space="preserve">, inoltre, </w:t>
      </w:r>
      <w:r>
        <w:rPr>
          <w:rFonts w:ascii="Times New Roman" w:hAnsi="Times New Roman" w:cs="Times New Roman"/>
        </w:rPr>
        <w:t xml:space="preserve">emerge </w:t>
      </w:r>
      <w:r w:rsidRPr="00C52AB8">
        <w:rPr>
          <w:rFonts w:ascii="Times New Roman" w:hAnsi="Times New Roman" w:cs="Times New Roman"/>
        </w:rPr>
        <w:t xml:space="preserve">una questione collegata, </w:t>
      </w:r>
      <w:r w:rsidRPr="00C52AB8">
        <w:rPr>
          <w:rFonts w:ascii="Times New Roman" w:hAnsi="Times New Roman" w:cs="Times New Roman"/>
          <w:i/>
        </w:rPr>
        <w:t>nolens volens</w:t>
      </w:r>
      <w:r w:rsidRPr="00C52AB8">
        <w:rPr>
          <w:rFonts w:ascii="Times New Roman" w:hAnsi="Times New Roman" w:cs="Times New Roman"/>
        </w:rPr>
        <w:t xml:space="preserve">, alla ricezione della Qabbalah in Germania. </w:t>
      </w:r>
      <w:r w:rsidRPr="00D72BFE">
        <w:rPr>
          <w:rFonts w:ascii="Times New Roman" w:hAnsi="Times New Roman" w:cs="Times New Roman"/>
        </w:rPr>
        <w:t>Utilizzando un lessico abbastanza audace, Buhle definisce il mondo come effetto immanente dell’En-sof, nel quale sono attualizzati gli attributi divini</w:t>
      </w:r>
      <w:r w:rsidRPr="00560427">
        <w:rPr>
          <w:rFonts w:ascii="Times New Roman" w:hAnsi="Times New Roman" w:cs="Times New Roman"/>
        </w:rPr>
        <w:t xml:space="preserve">. Si era osservato che non era </w:t>
      </w:r>
      <w:r w:rsidRPr="00015B99">
        <w:rPr>
          <w:rFonts w:ascii="Times New Roman" w:hAnsi="Times New Roman" w:cs="Times New Roman"/>
        </w:rPr>
        <w:t xml:space="preserve">semplice capire se Buhle stesse parlando della filosofia cabbalistica o del sistema di Spinoza. La prossimità di Qabbalah e spinozismo, desumibile dalla terminologia con cui è descritta l’attività causale dell’En-sof, è questione ripresa e affrontata nel sesto volume del </w:t>
      </w:r>
      <w:r w:rsidRPr="00015B99">
        <w:rPr>
          <w:rFonts w:ascii="Times New Roman" w:hAnsi="Times New Roman" w:cs="Times New Roman"/>
          <w:i/>
          <w:lang w:val="de-DE"/>
        </w:rPr>
        <w:t>Lehrbuch der Geschichte der Philosophie</w:t>
      </w:r>
      <w:r w:rsidRPr="00015B99">
        <w:rPr>
          <w:rFonts w:ascii="Times New Roman" w:hAnsi="Times New Roman" w:cs="Times New Roman"/>
          <w:i/>
        </w:rPr>
        <w:t xml:space="preserve"> </w:t>
      </w:r>
      <w:r w:rsidRPr="00015B99">
        <w:rPr>
          <w:rFonts w:ascii="Times New Roman" w:hAnsi="Times New Roman" w:cs="Times New Roman"/>
        </w:rPr>
        <w:t>(1801</w:t>
      </w:r>
      <w:r w:rsidR="00F15DED" w:rsidRPr="00015B99">
        <w:rPr>
          <w:rFonts w:ascii="Times New Roman" w:hAnsi="Times New Roman" w:cs="Times New Roman"/>
        </w:rPr>
        <w:t>)</w:t>
      </w:r>
      <w:r w:rsidRPr="00015B99">
        <w:rPr>
          <w:rFonts w:ascii="Times New Roman" w:hAnsi="Times New Roman" w:cs="Times New Roman"/>
        </w:rPr>
        <w:t>.</w:t>
      </w:r>
      <w:r w:rsidRPr="00560427">
        <w:rPr>
          <w:rFonts w:ascii="Times New Roman" w:hAnsi="Times New Roman" w:cs="Times New Roman"/>
        </w:rPr>
        <w:t xml:space="preserve"> Dopo una breve analisi delle opere dell’</w:t>
      </w:r>
      <w:r w:rsidR="00021560">
        <w:rPr>
          <w:rFonts w:ascii="Times New Roman" w:hAnsi="Times New Roman" w:cs="Times New Roman"/>
        </w:rPr>
        <w:t>autore</w:t>
      </w:r>
      <w:r w:rsidRPr="00560427">
        <w:rPr>
          <w:rFonts w:ascii="Times New Roman" w:hAnsi="Times New Roman" w:cs="Times New Roman"/>
        </w:rPr>
        <w:t xml:space="preserve">, Buhle scrive che lo spinozismo è tornato al centro del dibattito filosofico contemporaneo grazie alle </w:t>
      </w:r>
      <w:r w:rsidRPr="00560427">
        <w:rPr>
          <w:rFonts w:ascii="Times New Roman" w:hAnsi="Times New Roman" w:cs="Times New Roman"/>
          <w:i/>
          <w:lang w:val="de-DE"/>
        </w:rPr>
        <w:t>Spinozabriefe</w:t>
      </w:r>
      <w:r w:rsidRPr="00560427">
        <w:rPr>
          <w:rFonts w:ascii="Times New Roman" w:hAnsi="Times New Roman" w:cs="Times New Roman"/>
        </w:rPr>
        <w:t xml:space="preserve"> di Jacobi:</w:t>
      </w:r>
      <w:r w:rsidRPr="00C51ACF">
        <w:rPr>
          <w:rFonts w:ascii="Times New Roman" w:hAnsi="Times New Roman" w:cs="Times New Roman"/>
        </w:rPr>
        <w:t xml:space="preserve"> </w:t>
      </w:r>
    </w:p>
    <w:p w14:paraId="03403046" w14:textId="77777777" w:rsidR="001B7751" w:rsidRDefault="001B7751" w:rsidP="001B7751">
      <w:pPr>
        <w:spacing w:line="360" w:lineRule="auto"/>
        <w:ind w:left="567" w:firstLine="567"/>
        <w:jc w:val="both"/>
        <w:rPr>
          <w:rFonts w:ascii="Times New Roman" w:hAnsi="Times New Roman" w:cs="Times New Roman"/>
        </w:rPr>
      </w:pPr>
    </w:p>
    <w:p w14:paraId="5088B117" w14:textId="5740C04B" w:rsidR="001B7751" w:rsidRPr="00740E22" w:rsidRDefault="001B7751" w:rsidP="001B7751">
      <w:pPr>
        <w:spacing w:line="360" w:lineRule="auto"/>
        <w:ind w:left="567" w:firstLine="567"/>
        <w:jc w:val="both"/>
        <w:rPr>
          <w:rFonts w:ascii="Times New Roman" w:hAnsi="Times New Roman" w:cs="Times New Roman"/>
          <w:lang w:val="de-DE"/>
        </w:rPr>
      </w:pPr>
      <w:r w:rsidRPr="00740E22">
        <w:rPr>
          <w:rFonts w:ascii="Times New Roman" w:hAnsi="Times New Roman" w:cs="Times New Roman"/>
          <w:sz w:val="20"/>
          <w:szCs w:val="20"/>
        </w:rPr>
        <w:t>«</w:t>
      </w:r>
      <w:r w:rsidRPr="00740E22">
        <w:rPr>
          <w:rFonts w:ascii="Times New Roman" w:hAnsi="Times New Roman" w:cs="Times New Roman"/>
          <w:sz w:val="20"/>
          <w:szCs w:val="20"/>
          <w:lang w:val="de-DE"/>
        </w:rPr>
        <w:t>Indeßen hatte doch der in der philosophischen und theologischen Welt entstandene Lärm über und gegen den Spinozisums die Folge, daß das große Publicum ziemlich allgemein denselben für frevelhaften Atheismus hielt, und daß er in der ersten Hälften des achtzehnten Jahrhunderts sogar fast ganz in Vergessenheit gerieth, einzelne philosophische Denker abgerechnet, die ihn für sich studierten. Es ist in den letzten Jahren, wo zwischen Mendelssohn und Jacobi ein Streit darüber entstand, ob Lessing Spinozist gewesen, gab dieser Streit Veranlassung, daß Jacobi de</w:t>
      </w:r>
      <w:r w:rsidR="005E6183">
        <w:rPr>
          <w:rFonts w:ascii="Times New Roman" w:hAnsi="Times New Roman" w:cs="Times New Roman"/>
          <w:sz w:val="20"/>
          <w:szCs w:val="20"/>
          <w:lang w:val="de-DE"/>
        </w:rPr>
        <w:t>n Spinozismus nach seinem wahren</w:t>
      </w:r>
      <w:r w:rsidRPr="00740E22">
        <w:rPr>
          <w:rFonts w:ascii="Times New Roman" w:hAnsi="Times New Roman" w:cs="Times New Roman"/>
          <w:sz w:val="20"/>
          <w:szCs w:val="20"/>
          <w:lang w:val="de-DE"/>
        </w:rPr>
        <w:t xml:space="preserve"> Geiste und Werthe charachterisierte, und der philosophischen Muse seines Urhebers die Gerechtigkeit wiederfuhr, die ihr gebührt»</w:t>
      </w:r>
      <w:r w:rsidRPr="00740E22">
        <w:rPr>
          <w:rStyle w:val="Rimandonotaapidipagina"/>
          <w:rFonts w:ascii="Times New Roman" w:hAnsi="Times New Roman" w:cs="Times New Roman"/>
          <w:sz w:val="20"/>
          <w:szCs w:val="20"/>
          <w:lang w:val="de-DE"/>
        </w:rPr>
        <w:footnoteReference w:id="693"/>
      </w:r>
      <w:r w:rsidRPr="00740E22">
        <w:rPr>
          <w:rFonts w:ascii="Times New Roman" w:hAnsi="Times New Roman" w:cs="Times New Roman"/>
          <w:lang w:val="de-DE"/>
        </w:rPr>
        <w:t>.</w:t>
      </w:r>
    </w:p>
    <w:p w14:paraId="26FE9A06" w14:textId="77777777" w:rsidR="001B7751" w:rsidRDefault="001B7751" w:rsidP="001B7751">
      <w:pPr>
        <w:spacing w:line="360" w:lineRule="auto"/>
        <w:ind w:left="1134" w:firstLine="567"/>
        <w:jc w:val="both"/>
        <w:rPr>
          <w:rFonts w:ascii="Times New Roman" w:hAnsi="Times New Roman" w:cs="Times New Roman"/>
          <w:lang w:val="de-DE"/>
        </w:rPr>
      </w:pPr>
    </w:p>
    <w:p w14:paraId="10679A6B" w14:textId="0C0BEC2E" w:rsidR="001B7751" w:rsidRPr="00805EAB" w:rsidRDefault="001B7751" w:rsidP="001B7751">
      <w:pPr>
        <w:spacing w:line="360" w:lineRule="auto"/>
        <w:ind w:firstLine="567"/>
        <w:jc w:val="both"/>
        <w:rPr>
          <w:rFonts w:ascii="Times New Roman" w:hAnsi="Times New Roman" w:cs="Times New Roman"/>
        </w:rPr>
      </w:pPr>
      <w:r w:rsidRPr="00F56D0D">
        <w:rPr>
          <w:rFonts w:ascii="Times New Roman" w:hAnsi="Times New Roman" w:cs="Times New Roman"/>
        </w:rPr>
        <w:t>Intor</w:t>
      </w:r>
      <w:r>
        <w:rPr>
          <w:rFonts w:ascii="Times New Roman" w:hAnsi="Times New Roman" w:cs="Times New Roman"/>
        </w:rPr>
        <w:t>no alla metà del XVIII secolo, osserv</w:t>
      </w:r>
      <w:r w:rsidRPr="00F56D0D">
        <w:rPr>
          <w:rFonts w:ascii="Times New Roman" w:hAnsi="Times New Roman" w:cs="Times New Roman"/>
        </w:rPr>
        <w:t xml:space="preserve">a Buhle, scema l’interesse per la filosofia di Spinoza a causa del suo acclarato ateismo. Lo </w:t>
      </w:r>
      <w:r w:rsidRPr="00F56D0D">
        <w:rPr>
          <w:rFonts w:ascii="Times New Roman" w:hAnsi="Times New Roman" w:cs="Times New Roman"/>
          <w:i/>
        </w:rPr>
        <w:t>Spinozismusstreit</w:t>
      </w:r>
      <w:r w:rsidRPr="00F56D0D">
        <w:rPr>
          <w:rFonts w:ascii="Times New Roman" w:hAnsi="Times New Roman" w:cs="Times New Roman"/>
        </w:rPr>
        <w:t xml:space="preserve"> di fine ’600 e inizio ’700, in effetti, aveva definito due chiavi di letture antitetiche del sistema spinoziano: una ateistica e una </w:t>
      </w:r>
      <w:r>
        <w:rPr>
          <w:rFonts w:ascii="Times New Roman" w:hAnsi="Times New Roman" w:cs="Times New Roman"/>
        </w:rPr>
        <w:t>de</w:t>
      </w:r>
      <w:r w:rsidRPr="00F56D0D">
        <w:rPr>
          <w:rFonts w:ascii="Times New Roman" w:hAnsi="Times New Roman" w:cs="Times New Roman"/>
        </w:rPr>
        <w:t>istica.</w:t>
      </w:r>
      <w:r>
        <w:rPr>
          <w:rFonts w:ascii="Times New Roman" w:hAnsi="Times New Roman" w:cs="Times New Roman"/>
        </w:rPr>
        <w:t xml:space="preserve"> Come abbiamo visto, è il modello ateistico ad imporsi come paradigma interpretativo dello spinozismo (ad es. Wachter e Brucker). Riguardo al modello deistico, invece, si è registrato il suo utilizzo nell’assoluzione della Qabbalah dall’accusa d’ateismo (ad es. Brucker). Senza citarlo esplicitamente, Buhle fa riferimento, nelle prime righe di questo estratto, allo </w:t>
      </w:r>
      <w:r w:rsidRPr="006E1227">
        <w:rPr>
          <w:rFonts w:ascii="Times New Roman" w:hAnsi="Times New Roman" w:cs="Times New Roman"/>
          <w:i/>
        </w:rPr>
        <w:t xml:space="preserve">Spinozismusstreit </w:t>
      </w:r>
      <w:r>
        <w:rPr>
          <w:rFonts w:ascii="Times New Roman" w:hAnsi="Times New Roman" w:cs="Times New Roman"/>
        </w:rPr>
        <w:t xml:space="preserve">primo settecentesco. Un interesse per Spinoza e il suo pensiero si rinnova, dunque, in occasione delle </w:t>
      </w:r>
      <w:r w:rsidRPr="006E1227">
        <w:rPr>
          <w:rFonts w:ascii="Times New Roman" w:hAnsi="Times New Roman" w:cs="Times New Roman"/>
          <w:i/>
        </w:rPr>
        <w:t>Spinozabriefe</w:t>
      </w:r>
      <w:r w:rsidR="00915D93">
        <w:rPr>
          <w:rFonts w:ascii="Times New Roman" w:hAnsi="Times New Roman" w:cs="Times New Roman"/>
        </w:rPr>
        <w:t xml:space="preserve">. Il suo </w:t>
      </w:r>
      <w:r w:rsidR="00021560">
        <w:rPr>
          <w:rFonts w:ascii="Times New Roman" w:hAnsi="Times New Roman" w:cs="Times New Roman"/>
        </w:rPr>
        <w:t>autore</w:t>
      </w:r>
      <w:r w:rsidRPr="00805EAB">
        <w:rPr>
          <w:rFonts w:ascii="Times New Roman" w:hAnsi="Times New Roman" w:cs="Times New Roman"/>
        </w:rPr>
        <w:t xml:space="preserve"> e curatore, Friedrich Henrich Jacobi, ha restituito allo spinozismo il suo originario spessore teorico, ed è per questo motivo che può essere considerato come «</w:t>
      </w:r>
      <w:r w:rsidRPr="00805EAB">
        <w:rPr>
          <w:rFonts w:ascii="Times New Roman" w:hAnsi="Times New Roman" w:cs="Times New Roman"/>
          <w:lang w:val="de-DE"/>
        </w:rPr>
        <w:t>einer der vertrautesten Kenner desselben, und selbst einer der trefflichsten Philosophen unserer Zeit»</w:t>
      </w:r>
      <w:r w:rsidRPr="00805EAB">
        <w:rPr>
          <w:rStyle w:val="Rimandonotaapidipagina"/>
          <w:rFonts w:ascii="Times New Roman" w:hAnsi="Times New Roman" w:cs="Times New Roman"/>
        </w:rPr>
        <w:footnoteReference w:id="694"/>
      </w:r>
      <w:r w:rsidRPr="00805EAB">
        <w:rPr>
          <w:rFonts w:ascii="Times New Roman" w:hAnsi="Times New Roman" w:cs="Times New Roman"/>
        </w:rPr>
        <w:t xml:space="preserve">. </w:t>
      </w:r>
    </w:p>
    <w:p w14:paraId="719BC439" w14:textId="77777777" w:rsidR="001B7751" w:rsidRDefault="001B7751" w:rsidP="001B7751">
      <w:pPr>
        <w:spacing w:line="360" w:lineRule="auto"/>
        <w:ind w:firstLine="567"/>
        <w:jc w:val="both"/>
        <w:rPr>
          <w:rFonts w:ascii="Times New Roman" w:hAnsi="Times New Roman" w:cs="Times New Roman"/>
        </w:rPr>
      </w:pPr>
      <w:r w:rsidRPr="00805EAB">
        <w:rPr>
          <w:rFonts w:ascii="Times New Roman" w:hAnsi="Times New Roman" w:cs="Times New Roman"/>
        </w:rPr>
        <w:t xml:space="preserve">Elogiato l’acume filosofico di Jacobi, Buhle espone il pensiero spinoziano sulla falsariga delle </w:t>
      </w:r>
      <w:r w:rsidRPr="00805EAB">
        <w:rPr>
          <w:rFonts w:ascii="Times New Roman" w:hAnsi="Times New Roman" w:cs="Times New Roman"/>
          <w:i/>
        </w:rPr>
        <w:t>Spinozabriefe</w:t>
      </w:r>
      <w:r w:rsidRPr="00805EAB">
        <w:rPr>
          <w:rFonts w:ascii="Times New Roman" w:hAnsi="Times New Roman" w:cs="Times New Roman"/>
        </w:rPr>
        <w:t>.</w:t>
      </w:r>
      <w:r w:rsidRPr="00872E84">
        <w:rPr>
          <w:rFonts w:ascii="Times New Roman" w:hAnsi="Times New Roman" w:cs="Times New Roman"/>
        </w:rPr>
        <w:t xml:space="preserve"> Il primo principio, che viene indicato come chiave di volta del pensiero di Spinoza, è l’antichissimo, e già cabbalistico, </w:t>
      </w:r>
      <w:r w:rsidRPr="00CF2180">
        <w:rPr>
          <w:rFonts w:ascii="Times New Roman" w:hAnsi="Times New Roman" w:cs="Times New Roman"/>
        </w:rPr>
        <w:t>«aus Nichts wird Nichts</w:t>
      </w:r>
      <w:r w:rsidRPr="00CF2180">
        <w:rPr>
          <w:rFonts w:ascii="Times New Roman" w:hAnsi="Times New Roman" w:cs="Times New Roman"/>
          <w:lang w:val="de-DE"/>
        </w:rPr>
        <w:t>»</w:t>
      </w:r>
      <w:r w:rsidRPr="00CF2180">
        <w:rPr>
          <w:rStyle w:val="Rimandonotaapidipagina"/>
          <w:rFonts w:ascii="Times New Roman" w:hAnsi="Times New Roman" w:cs="Times New Roman"/>
          <w:lang w:val="de-DE"/>
        </w:rPr>
        <w:footnoteReference w:id="695"/>
      </w:r>
      <w:r w:rsidRPr="00CF2180">
        <w:rPr>
          <w:rFonts w:ascii="Times New Roman" w:hAnsi="Times New Roman" w:cs="Times New Roman"/>
          <w:lang w:val="de-DE"/>
        </w:rPr>
        <w:t>.</w:t>
      </w:r>
      <w:r>
        <w:rPr>
          <w:rFonts w:ascii="Times New Roman" w:hAnsi="Times New Roman" w:cs="Times New Roman"/>
          <w:lang w:val="de-DE"/>
        </w:rPr>
        <w:t xml:space="preserve"> </w:t>
      </w:r>
      <w:r w:rsidRPr="000669B1">
        <w:rPr>
          <w:rFonts w:ascii="Times New Roman" w:hAnsi="Times New Roman" w:cs="Times New Roman"/>
        </w:rPr>
        <w:t>In forza di questo principio,</w:t>
      </w:r>
      <w:r>
        <w:rPr>
          <w:rFonts w:ascii="Times New Roman" w:hAnsi="Times New Roman" w:cs="Times New Roman"/>
          <w:lang w:val="de-DE"/>
        </w:rPr>
        <w:t xml:space="preserve"> </w:t>
      </w:r>
      <w:r w:rsidRPr="000669B1">
        <w:rPr>
          <w:rFonts w:ascii="Times New Roman" w:hAnsi="Times New Roman" w:cs="Times New Roman"/>
        </w:rPr>
        <w:t xml:space="preserve">non può </w:t>
      </w:r>
      <w:r>
        <w:rPr>
          <w:rFonts w:ascii="Times New Roman" w:hAnsi="Times New Roman" w:cs="Times New Roman"/>
        </w:rPr>
        <w:t xml:space="preserve">pensarsi nessun divenire, ma soltanto un essere </w:t>
      </w:r>
      <w:r w:rsidRPr="001422CC">
        <w:rPr>
          <w:rFonts w:ascii="Times New Roman" w:hAnsi="Times New Roman" w:cs="Times New Roman"/>
        </w:rPr>
        <w:t>«</w:t>
      </w:r>
      <w:r w:rsidRPr="001422CC">
        <w:rPr>
          <w:rFonts w:ascii="Times New Roman" w:hAnsi="Times New Roman" w:cs="Times New Roman"/>
          <w:lang w:val="de-DE"/>
        </w:rPr>
        <w:t>in sich selbst Bestehende, ewig Unveränderliche, und kann als solches nie ein Wandelbares hervorbringen»</w:t>
      </w:r>
      <w:r w:rsidRPr="001422CC">
        <w:rPr>
          <w:rStyle w:val="Rimandonotaapidipagina"/>
          <w:rFonts w:ascii="Times New Roman" w:hAnsi="Times New Roman" w:cs="Times New Roman"/>
          <w:lang w:val="de-DE"/>
        </w:rPr>
        <w:footnoteReference w:id="696"/>
      </w:r>
      <w:r w:rsidRPr="001422CC">
        <w:rPr>
          <w:rFonts w:ascii="Times New Roman" w:hAnsi="Times New Roman" w:cs="Times New Roman"/>
          <w:lang w:val="de-DE"/>
        </w:rPr>
        <w:t>.</w:t>
      </w:r>
      <w:r>
        <w:rPr>
          <w:rFonts w:ascii="Times New Roman" w:hAnsi="Times New Roman" w:cs="Times New Roman"/>
          <w:lang w:val="de-DE"/>
        </w:rPr>
        <w:t xml:space="preserve"> </w:t>
      </w:r>
      <w:r w:rsidRPr="00591ABD">
        <w:rPr>
          <w:rFonts w:ascii="Times New Roman" w:hAnsi="Times New Roman" w:cs="Times New Roman"/>
        </w:rPr>
        <w:t xml:space="preserve">Quest’essere in </w:t>
      </w:r>
      <w:r>
        <w:rPr>
          <w:rFonts w:ascii="Times New Roman" w:hAnsi="Times New Roman" w:cs="Times New Roman"/>
        </w:rPr>
        <w:t xml:space="preserve">sé sussistente e eterno, da cui non può essere prodotto alcunché di mutevole, è la sostanza infinita, che è </w:t>
      </w:r>
      <w:r w:rsidRPr="001422CC">
        <w:rPr>
          <w:rFonts w:ascii="Times New Roman" w:hAnsi="Times New Roman" w:cs="Times New Roman"/>
        </w:rPr>
        <w:t>«</w:t>
      </w:r>
      <w:r w:rsidRPr="001422CC">
        <w:rPr>
          <w:rFonts w:ascii="Times New Roman" w:hAnsi="Times New Roman" w:cs="Times New Roman"/>
          <w:lang w:val="de-DE"/>
        </w:rPr>
        <w:t>mit dem Werden, dem Endlichen, Wandelbaren, gleich ewig»</w:t>
      </w:r>
      <w:r w:rsidRPr="001422CC">
        <w:rPr>
          <w:rStyle w:val="Rimandonotaapidipagina"/>
          <w:rFonts w:ascii="Times New Roman" w:hAnsi="Times New Roman" w:cs="Times New Roman"/>
          <w:lang w:val="de-DE"/>
        </w:rPr>
        <w:footnoteReference w:id="697"/>
      </w:r>
      <w:r>
        <w:rPr>
          <w:rFonts w:ascii="Times New Roman" w:hAnsi="Times New Roman" w:cs="Times New Roman"/>
          <w:lang w:val="de-DE"/>
        </w:rPr>
        <w:t xml:space="preserve">. </w:t>
      </w:r>
      <w:r>
        <w:rPr>
          <w:rFonts w:ascii="Times New Roman" w:hAnsi="Times New Roman" w:cs="Times New Roman"/>
        </w:rPr>
        <w:t xml:space="preserve">Dalla coeternità d’infinito e finito, segue la natura negativa del modo. Parafrasando l’interpretazione jacobiana della formula spinoziana </w:t>
      </w:r>
      <w:r>
        <w:rPr>
          <w:rFonts w:ascii="Times New Roman" w:hAnsi="Times New Roman" w:cs="Times New Roman"/>
          <w:i/>
        </w:rPr>
        <w:t>determinatio est negatio</w:t>
      </w:r>
      <w:r>
        <w:rPr>
          <w:rStyle w:val="Rimandonotaapidipagina"/>
          <w:rFonts w:ascii="Times New Roman" w:hAnsi="Times New Roman" w:cs="Times New Roman"/>
          <w:i/>
        </w:rPr>
        <w:footnoteReference w:id="698"/>
      </w:r>
      <w:r>
        <w:rPr>
          <w:rFonts w:ascii="Times New Roman" w:hAnsi="Times New Roman" w:cs="Times New Roman"/>
        </w:rPr>
        <w:t>, Buhle osserva che</w:t>
      </w:r>
    </w:p>
    <w:p w14:paraId="7FC3B83D" w14:textId="77777777" w:rsidR="001B7751" w:rsidRDefault="001B7751" w:rsidP="001B7751">
      <w:pPr>
        <w:spacing w:line="360" w:lineRule="auto"/>
        <w:ind w:left="567" w:firstLine="567"/>
        <w:jc w:val="both"/>
        <w:rPr>
          <w:rFonts w:ascii="Times New Roman" w:hAnsi="Times New Roman" w:cs="Times New Roman"/>
        </w:rPr>
      </w:pPr>
    </w:p>
    <w:p w14:paraId="127FEDFB" w14:textId="77777777" w:rsidR="001B7751" w:rsidRPr="00226375" w:rsidRDefault="001B7751" w:rsidP="001B7751">
      <w:pPr>
        <w:spacing w:line="360" w:lineRule="auto"/>
        <w:ind w:left="567" w:firstLine="567"/>
        <w:jc w:val="both"/>
        <w:rPr>
          <w:rFonts w:ascii="Times New Roman" w:hAnsi="Times New Roman" w:cs="Times New Roman"/>
          <w:lang w:val="de-DE"/>
        </w:rPr>
      </w:pPr>
      <w:r w:rsidRPr="00226375">
        <w:rPr>
          <w:rFonts w:ascii="Times New Roman" w:hAnsi="Times New Roman" w:cs="Times New Roman"/>
          <w:sz w:val="20"/>
          <w:szCs w:val="20"/>
        </w:rPr>
        <w:t>«</w:t>
      </w:r>
      <w:r w:rsidRPr="00226375">
        <w:rPr>
          <w:rFonts w:ascii="Times New Roman" w:hAnsi="Times New Roman" w:cs="Times New Roman"/>
          <w:sz w:val="20"/>
          <w:szCs w:val="20"/>
          <w:lang w:val="de-DE"/>
        </w:rPr>
        <w:t>Das Endliche kann nicht ausser dem Unendlichen seyn; denn wäre es dieses, da mußte es entweder ein für sich bestehendes Wesen, oder aus dem Nichts hervorgegangenen seyn; das erstere aber widerspricht seiner Natur als eines Endlichen; und das andere ist unmöglich. Das Endliche ist also in und mit dem Unendlichen, und beyde machen eine Absolute Einheit</w:t>
      </w:r>
      <w:r w:rsidRPr="00226375">
        <w:rPr>
          <w:rFonts w:ascii="Times New Roman" w:hAnsi="Times New Roman" w:cs="Times New Roman"/>
          <w:lang w:val="de-DE"/>
        </w:rPr>
        <w:t>»</w:t>
      </w:r>
      <w:r w:rsidRPr="00226375">
        <w:rPr>
          <w:rStyle w:val="Rimandonotaapidipagina"/>
          <w:rFonts w:ascii="Times New Roman" w:hAnsi="Times New Roman" w:cs="Times New Roman"/>
          <w:sz w:val="20"/>
          <w:szCs w:val="20"/>
          <w:lang w:val="de-DE"/>
        </w:rPr>
        <w:footnoteReference w:id="699"/>
      </w:r>
      <w:r w:rsidRPr="00226375">
        <w:rPr>
          <w:rFonts w:ascii="Times New Roman" w:hAnsi="Times New Roman" w:cs="Times New Roman"/>
          <w:lang w:val="de-DE"/>
        </w:rPr>
        <w:t>.</w:t>
      </w:r>
    </w:p>
    <w:p w14:paraId="50D9665D" w14:textId="77777777" w:rsidR="001B7751" w:rsidRDefault="001B7751" w:rsidP="001B7751">
      <w:pPr>
        <w:spacing w:line="360" w:lineRule="auto"/>
        <w:ind w:left="1134" w:firstLine="567"/>
        <w:jc w:val="both"/>
        <w:rPr>
          <w:rFonts w:ascii="Times New Roman" w:hAnsi="Times New Roman" w:cs="Times New Roman"/>
          <w:lang w:val="de-DE"/>
        </w:rPr>
      </w:pPr>
    </w:p>
    <w:p w14:paraId="3F38CFC2" w14:textId="45AA4759" w:rsidR="001B7751" w:rsidRDefault="001B7751" w:rsidP="001B7751">
      <w:pPr>
        <w:spacing w:line="360" w:lineRule="auto"/>
        <w:ind w:firstLine="567"/>
        <w:jc w:val="both"/>
        <w:rPr>
          <w:rFonts w:ascii="Times New Roman" w:hAnsi="Times New Roman" w:cs="Times New Roman"/>
        </w:rPr>
      </w:pPr>
      <w:r w:rsidRPr="003F49E6">
        <w:rPr>
          <w:rFonts w:ascii="Times New Roman" w:hAnsi="Times New Roman" w:cs="Times New Roman"/>
        </w:rPr>
        <w:t>Dipendendo sempre da qualcos’altro, la natura del finito non sussiste per sé o al di fuori dell’unità assoluta. A sua volta, l’infin</w:t>
      </w:r>
      <w:r w:rsidR="004333EE">
        <w:rPr>
          <w:rFonts w:ascii="Times New Roman" w:hAnsi="Times New Roman" w:cs="Times New Roman"/>
        </w:rPr>
        <w:t xml:space="preserve">ito non può essere identificato </w:t>
      </w:r>
      <w:r w:rsidRPr="003F49E6">
        <w:rPr>
          <w:rFonts w:ascii="Times New Roman" w:hAnsi="Times New Roman" w:cs="Times New Roman"/>
        </w:rPr>
        <w:t xml:space="preserve">con le determinazioni infinite (attributi) e finite (modi) che seguono dalla sua infinita potenza. Dal momento che attributi e modi non sono per sé e sono da sempre ricompresi nell’unità della sostanza, Buhle definisce come indeterminato e indivisibile il </w:t>
      </w:r>
      <w:r w:rsidRPr="003F49E6">
        <w:rPr>
          <w:rFonts w:ascii="Times New Roman" w:hAnsi="Times New Roman" w:cs="Times New Roman"/>
          <w:i/>
        </w:rPr>
        <w:t xml:space="preserve">Deus </w:t>
      </w:r>
      <w:r w:rsidRPr="003F49E6">
        <w:rPr>
          <w:rFonts w:ascii="Times New Roman" w:hAnsi="Times New Roman" w:cs="Times New Roman"/>
        </w:rPr>
        <w:t>spinoziano:</w:t>
      </w:r>
    </w:p>
    <w:p w14:paraId="01871461" w14:textId="77777777" w:rsidR="001B7751" w:rsidRDefault="001B7751" w:rsidP="001B7751">
      <w:pPr>
        <w:spacing w:line="360" w:lineRule="auto"/>
        <w:ind w:left="567" w:firstLine="567"/>
        <w:jc w:val="both"/>
        <w:rPr>
          <w:rFonts w:ascii="Times New Roman" w:hAnsi="Times New Roman" w:cs="Times New Roman"/>
        </w:rPr>
      </w:pPr>
    </w:p>
    <w:p w14:paraId="36258AFB" w14:textId="77777777" w:rsidR="001B7751" w:rsidRPr="0082014E" w:rsidRDefault="001B7751" w:rsidP="001B7751">
      <w:pPr>
        <w:spacing w:line="360" w:lineRule="auto"/>
        <w:ind w:left="567" w:firstLine="567"/>
        <w:jc w:val="both"/>
        <w:rPr>
          <w:rFonts w:ascii="Times New Roman" w:hAnsi="Times New Roman" w:cs="Times New Roman"/>
          <w:lang w:val="de-DE"/>
        </w:rPr>
      </w:pPr>
      <w:r w:rsidRPr="0082014E">
        <w:rPr>
          <w:rFonts w:ascii="Times New Roman" w:hAnsi="Times New Roman" w:cs="Times New Roman"/>
          <w:sz w:val="20"/>
          <w:szCs w:val="20"/>
          <w:lang w:val="de-DE"/>
        </w:rPr>
        <w:t>«Dieses einzige allgegenwärtige unendliche Seyn nennt Spinoza die Substanz oder Gott. Diese Substanz, oder Gottheit ist also kein einzelnes, abgesondertes, verschiedenes Ding, noch besondere Art der Dinge. Es kann ihr keine der Bestimmungen zukommen, wodurch ein einzelnes Ding unterschrieben wird; also auch nicht ein eigenes besonders Denken und Bewußtseyn […] Sie ist bloß Urstoff, reine Materie, allgemeine Substanz […] Die Eigenschaften der Gottheit oder der Substanz sind unendliche Ausdehnung (expansio infinita) und unendliches Denken (cogitatio infinita). Beyde sind aber Eins und dasselbe, und machen eine unzertrennliche Einheit»</w:t>
      </w:r>
      <w:r w:rsidRPr="0082014E">
        <w:rPr>
          <w:rStyle w:val="Rimandonotaapidipagina"/>
          <w:rFonts w:ascii="Times New Roman" w:hAnsi="Times New Roman" w:cs="Times New Roman"/>
          <w:lang w:val="de-DE"/>
        </w:rPr>
        <w:footnoteReference w:id="700"/>
      </w:r>
      <w:r w:rsidRPr="0082014E">
        <w:rPr>
          <w:rFonts w:ascii="Times New Roman" w:hAnsi="Times New Roman" w:cs="Times New Roman"/>
          <w:lang w:val="de-DE"/>
        </w:rPr>
        <w:t>.</w:t>
      </w:r>
    </w:p>
    <w:p w14:paraId="59518C6F" w14:textId="77777777" w:rsidR="001B7751" w:rsidRDefault="001B7751" w:rsidP="001B7751">
      <w:pPr>
        <w:spacing w:line="360" w:lineRule="auto"/>
        <w:ind w:left="567" w:firstLine="567"/>
        <w:jc w:val="both"/>
        <w:rPr>
          <w:rFonts w:ascii="Times New Roman" w:hAnsi="Times New Roman" w:cs="Times New Roman"/>
          <w:i/>
          <w:lang w:val="de-DE"/>
        </w:rPr>
      </w:pPr>
    </w:p>
    <w:p w14:paraId="28856E0B" w14:textId="1B21855A" w:rsidR="001B7751" w:rsidRDefault="001B7751" w:rsidP="001B7751">
      <w:pPr>
        <w:spacing w:line="360" w:lineRule="auto"/>
        <w:ind w:firstLine="567"/>
        <w:jc w:val="both"/>
        <w:rPr>
          <w:rFonts w:ascii="Times New Roman" w:hAnsi="Times New Roman" w:cs="Times New Roman"/>
        </w:rPr>
      </w:pPr>
      <w:r w:rsidRPr="00422BF5">
        <w:rPr>
          <w:rFonts w:ascii="Times New Roman" w:hAnsi="Times New Roman" w:cs="Times New Roman"/>
        </w:rPr>
        <w:t xml:space="preserve">Non essendo </w:t>
      </w:r>
      <w:r>
        <w:rPr>
          <w:rFonts w:ascii="Times New Roman" w:hAnsi="Times New Roman" w:cs="Times New Roman"/>
        </w:rPr>
        <w:t>circoscrivibile in nessuna modificazione finita – a prescindere dal fatto che essa sia modificazione estesa o del pensiero –, la sostanza assume le caratteristiche di una materia originaria, di una sostanza universale e di una indeterminata attualità. Anche le proprietà della sostanza, gli attributi</w:t>
      </w:r>
      <w:r w:rsidRPr="001C41CB">
        <w:rPr>
          <w:rFonts w:ascii="Times New Roman" w:hAnsi="Times New Roman" w:cs="Times New Roman"/>
        </w:rPr>
        <w:t xml:space="preserve">, in quanto infiniti, non hanno forma alcuna di limitazione, o determinazione, e sono ricompresi nell’unità inseparabile della sostanza. Dall’assunzione spinoziana del principio cabbalistico </w:t>
      </w:r>
      <w:r w:rsidRPr="001C41CB">
        <w:rPr>
          <w:rFonts w:ascii="Times New Roman" w:hAnsi="Times New Roman" w:cs="Times New Roman"/>
          <w:i/>
          <w:lang w:val="de-DE"/>
        </w:rPr>
        <w:t xml:space="preserve">aus </w:t>
      </w:r>
      <w:r w:rsidRPr="00015B99">
        <w:rPr>
          <w:rFonts w:ascii="Times New Roman" w:hAnsi="Times New Roman" w:cs="Times New Roman"/>
          <w:i/>
          <w:lang w:val="de-DE"/>
        </w:rPr>
        <w:t>Nichts wird Nichts</w:t>
      </w:r>
      <w:r w:rsidRPr="00015B99">
        <w:rPr>
          <w:rFonts w:ascii="Times New Roman" w:hAnsi="Times New Roman" w:cs="Times New Roman"/>
        </w:rPr>
        <w:t xml:space="preserve"> segue la negazione dell’attività causale divina, l’esistenza apparente del finito e l’astratta affermazione dell’indeterminatezza sostanziale. La distinzione fra Dio e creatura viene meno nell’istante in cui </w:t>
      </w:r>
      <w:r w:rsidR="00770109" w:rsidRPr="00015B99">
        <w:rPr>
          <w:rFonts w:ascii="Times New Roman" w:hAnsi="Times New Roman" w:cs="Times New Roman"/>
        </w:rPr>
        <w:t>è</w:t>
      </w:r>
      <w:r w:rsidR="007B08D1" w:rsidRPr="00015B99">
        <w:rPr>
          <w:rFonts w:ascii="Times New Roman" w:hAnsi="Times New Roman" w:cs="Times New Roman"/>
        </w:rPr>
        <w:t xml:space="preserve"> annulla</w:t>
      </w:r>
      <w:r w:rsidR="00770109" w:rsidRPr="00015B99">
        <w:rPr>
          <w:rFonts w:ascii="Times New Roman" w:hAnsi="Times New Roman" w:cs="Times New Roman"/>
        </w:rPr>
        <w:t>to</w:t>
      </w:r>
      <w:r w:rsidR="007B08D1" w:rsidRPr="00015B99">
        <w:rPr>
          <w:rFonts w:ascii="Times New Roman" w:hAnsi="Times New Roman" w:cs="Times New Roman"/>
        </w:rPr>
        <w:t xml:space="preserve"> </w:t>
      </w:r>
      <w:r w:rsidRPr="00015B99">
        <w:rPr>
          <w:rFonts w:ascii="Times New Roman" w:hAnsi="Times New Roman" w:cs="Times New Roman"/>
        </w:rPr>
        <w:t>l’essere per sé del mondo nel</w:t>
      </w:r>
      <w:r w:rsidR="007F392F" w:rsidRPr="00015B99">
        <w:rPr>
          <w:rFonts w:ascii="Times New Roman" w:hAnsi="Times New Roman" w:cs="Times New Roman"/>
        </w:rPr>
        <w:t>l’unità indeterminata</w:t>
      </w:r>
      <w:r w:rsidRPr="00015B99">
        <w:rPr>
          <w:rFonts w:ascii="Times New Roman" w:hAnsi="Times New Roman" w:cs="Times New Roman"/>
        </w:rPr>
        <w:t xml:space="preserve"> </w:t>
      </w:r>
      <w:r w:rsidR="007F392F" w:rsidRPr="00015B99">
        <w:rPr>
          <w:rFonts w:ascii="Times New Roman" w:hAnsi="Times New Roman" w:cs="Times New Roman"/>
        </w:rPr>
        <w:t>dell’essere infinit</w:t>
      </w:r>
      <w:r w:rsidRPr="00015B99">
        <w:rPr>
          <w:rFonts w:ascii="Times New Roman" w:hAnsi="Times New Roman" w:cs="Times New Roman"/>
        </w:rPr>
        <w:t>o.</w:t>
      </w:r>
      <w:r>
        <w:rPr>
          <w:rFonts w:ascii="Times New Roman" w:hAnsi="Times New Roman" w:cs="Times New Roman"/>
        </w:rPr>
        <w:t xml:space="preserve"> </w:t>
      </w:r>
    </w:p>
    <w:p w14:paraId="21DB6F2B" w14:textId="3C45A126" w:rsidR="001B7751" w:rsidRPr="005D1E97" w:rsidRDefault="001B7751" w:rsidP="001B7751">
      <w:pPr>
        <w:spacing w:line="360" w:lineRule="auto"/>
        <w:ind w:firstLine="567"/>
        <w:jc w:val="both"/>
        <w:rPr>
          <w:rFonts w:ascii="Times New Roman" w:hAnsi="Times New Roman" w:cs="Times New Roman"/>
        </w:rPr>
      </w:pPr>
      <w:r>
        <w:rPr>
          <w:rFonts w:ascii="Times New Roman" w:hAnsi="Times New Roman" w:cs="Times New Roman"/>
        </w:rPr>
        <w:t xml:space="preserve">Ricostruita l’analisi dello spinozismo nel </w:t>
      </w:r>
      <w:r w:rsidRPr="00511F7E">
        <w:rPr>
          <w:rFonts w:ascii="Times New Roman" w:hAnsi="Times New Roman" w:cs="Times New Roman"/>
          <w:i/>
        </w:rPr>
        <w:t>Lehrbuch der Geschichte der Philosophie</w:t>
      </w:r>
      <w:r>
        <w:rPr>
          <w:rFonts w:ascii="Times New Roman" w:hAnsi="Times New Roman" w:cs="Times New Roman"/>
        </w:rPr>
        <w:t xml:space="preserve">, non resta da chiedersi, adesso, che valore attribuisca Buhle alla nozione spinoziana dell’unità sostanziale. </w:t>
      </w:r>
      <w:r w:rsidRPr="004124A7">
        <w:rPr>
          <w:rFonts w:ascii="Times New Roman" w:hAnsi="Times New Roman" w:cs="Times New Roman"/>
        </w:rPr>
        <w:t xml:space="preserve">Si ricorderà che l’essere della sostanza a danno dell’esistenza della molteplicità ontica guadagna un’accezione positiva nella </w:t>
      </w:r>
      <w:r w:rsidRPr="004124A7">
        <w:rPr>
          <w:rFonts w:ascii="Times New Roman" w:hAnsi="Times New Roman" w:cs="Times New Roman"/>
          <w:i/>
        </w:rPr>
        <w:t>Lebensgeschichte</w:t>
      </w:r>
      <w:r w:rsidRPr="004124A7">
        <w:rPr>
          <w:rFonts w:ascii="Times New Roman" w:hAnsi="Times New Roman" w:cs="Times New Roman"/>
        </w:rPr>
        <w:t xml:space="preserve"> di Maimon: soltanto a Dio spetta l’essere, mentre al mondo il non-essere; pertanto sarebbe opportuno definire il sistema di Spinoza in termini acosmistici</w:t>
      </w:r>
      <w:r w:rsidRPr="004124A7">
        <w:rPr>
          <w:rStyle w:val="Rimandonotaapidipagina"/>
          <w:rFonts w:ascii="Times New Roman" w:hAnsi="Times New Roman" w:cs="Times New Roman"/>
        </w:rPr>
        <w:footnoteReference w:id="701"/>
      </w:r>
      <w:r w:rsidRPr="004124A7">
        <w:rPr>
          <w:rFonts w:ascii="Times New Roman" w:hAnsi="Times New Roman" w:cs="Times New Roman"/>
        </w:rPr>
        <w:t xml:space="preserve">. L’interpretazione di Maimon non ha seguito nell’argomentazione di Buhle che, nonostante citi e conosca la </w:t>
      </w:r>
      <w:r w:rsidRPr="004124A7">
        <w:rPr>
          <w:rFonts w:ascii="Times New Roman" w:hAnsi="Times New Roman" w:cs="Times New Roman"/>
          <w:i/>
        </w:rPr>
        <w:t>Lebensgeschichte</w:t>
      </w:r>
      <w:r w:rsidRPr="004124A7">
        <w:rPr>
          <w:rFonts w:ascii="Times New Roman" w:hAnsi="Times New Roman" w:cs="Times New Roman"/>
        </w:rPr>
        <w:t>, segue la lettura jacobiana del pensiero spinoziano</w:t>
      </w:r>
      <w:r w:rsidRPr="006C5C7D">
        <w:rPr>
          <w:rStyle w:val="Rimandonotaapidipagina"/>
          <w:rFonts w:ascii="Times New Roman" w:hAnsi="Times New Roman" w:cs="Times New Roman"/>
        </w:rPr>
        <w:footnoteReference w:id="702"/>
      </w:r>
      <w:r w:rsidRPr="006C5C7D">
        <w:rPr>
          <w:rFonts w:ascii="Times New Roman" w:hAnsi="Times New Roman" w:cs="Times New Roman"/>
        </w:rPr>
        <w:t xml:space="preserve">. Secondo Buhle è Jocobi ad aver reso giustizia allo spinozismo e ad averne colto lo spirito autentico: alla negazione della </w:t>
      </w:r>
      <w:r w:rsidRPr="006C5C7D">
        <w:rPr>
          <w:rFonts w:ascii="Times New Roman" w:hAnsi="Times New Roman" w:cs="Times New Roman"/>
          <w:i/>
        </w:rPr>
        <w:t xml:space="preserve">creatio ex nihilo </w:t>
      </w:r>
      <w:r w:rsidRPr="006C5C7D">
        <w:rPr>
          <w:rFonts w:ascii="Times New Roman" w:hAnsi="Times New Roman" w:cs="Times New Roman"/>
        </w:rPr>
        <w:t xml:space="preserve">e della distinzione fra Dio e mondo, segue un sistema di pensiero </w:t>
      </w:r>
      <w:r w:rsidRPr="006C5C7D">
        <w:rPr>
          <w:rFonts w:ascii="Times New Roman" w:hAnsi="Times New Roman" w:cs="Times New Roman"/>
          <w:i/>
        </w:rPr>
        <w:t>ateistico</w:t>
      </w:r>
      <w:r w:rsidRPr="006C5C7D">
        <w:rPr>
          <w:rFonts w:ascii="Times New Roman" w:hAnsi="Times New Roman" w:cs="Times New Roman"/>
        </w:rPr>
        <w:t xml:space="preserve">. I principi </w:t>
      </w:r>
      <w:r w:rsidRPr="006C5C7D">
        <w:rPr>
          <w:rFonts w:ascii="Times New Roman" w:hAnsi="Times New Roman" w:cs="Times New Roman"/>
          <w:i/>
        </w:rPr>
        <w:t>aus Nichts wird Nichts</w:t>
      </w:r>
      <w:r w:rsidRPr="006C5C7D">
        <w:rPr>
          <w:rFonts w:ascii="Times New Roman" w:hAnsi="Times New Roman" w:cs="Times New Roman"/>
        </w:rPr>
        <w:t xml:space="preserve"> e </w:t>
      </w:r>
      <w:r w:rsidRPr="006C5C7D">
        <w:rPr>
          <w:rFonts w:ascii="Times New Roman" w:hAnsi="Times New Roman" w:cs="Times New Roman"/>
          <w:i/>
        </w:rPr>
        <w:t xml:space="preserve">determinatio est negatio </w:t>
      </w:r>
      <w:r w:rsidRPr="006C5C7D">
        <w:rPr>
          <w:rFonts w:ascii="Times New Roman" w:hAnsi="Times New Roman" w:cs="Times New Roman"/>
        </w:rPr>
        <w:t xml:space="preserve">portano Spinoza a formarsi una nozione del divino </w:t>
      </w:r>
      <w:r w:rsidR="00315A64" w:rsidRPr="006C5C7D">
        <w:rPr>
          <w:rFonts w:ascii="Times New Roman" w:hAnsi="Times New Roman" w:cs="Times New Roman"/>
        </w:rPr>
        <w:t xml:space="preserve">che assorbe </w:t>
      </w:r>
      <w:r w:rsidR="007B08D1" w:rsidRPr="006C5C7D">
        <w:rPr>
          <w:rFonts w:ascii="Times New Roman" w:hAnsi="Times New Roman" w:cs="Times New Roman"/>
        </w:rPr>
        <w:t xml:space="preserve">– divinizzandola – </w:t>
      </w:r>
      <w:r w:rsidR="00315A64" w:rsidRPr="006C5C7D">
        <w:rPr>
          <w:rFonts w:ascii="Times New Roman" w:hAnsi="Times New Roman" w:cs="Times New Roman"/>
        </w:rPr>
        <w:t>ogni forma di alterità</w:t>
      </w:r>
      <w:r w:rsidRPr="006C5C7D">
        <w:rPr>
          <w:rFonts w:ascii="Times New Roman" w:hAnsi="Times New Roman" w:cs="Times New Roman"/>
        </w:rPr>
        <w:t>.</w:t>
      </w:r>
      <w:r w:rsidRPr="004124A7">
        <w:rPr>
          <w:rFonts w:ascii="Times New Roman" w:hAnsi="Times New Roman" w:cs="Times New Roman"/>
        </w:rPr>
        <w:t xml:space="preserve"> Spinoza non avrà inventato il panteismo, ma è innegabile che «</w:t>
      </w:r>
      <w:r w:rsidRPr="004124A7">
        <w:rPr>
          <w:rFonts w:ascii="Times New Roman" w:hAnsi="Times New Roman" w:cs="Times New Roman"/>
          <w:lang w:val="de-DE"/>
        </w:rPr>
        <w:t>kein Philosoph jenes Resultat mit der Klarheit und Bündigkeit entwickelt, wie Spinoza, und er verdiente daher wohl, daß man dasselbe vorzugweise nach seinem Namen nannte»</w:t>
      </w:r>
      <w:r w:rsidRPr="004124A7">
        <w:rPr>
          <w:rStyle w:val="Rimandonotaapidipagina"/>
          <w:rFonts w:ascii="Times New Roman" w:hAnsi="Times New Roman" w:cs="Times New Roman"/>
          <w:lang w:val="de-DE"/>
        </w:rPr>
        <w:footnoteReference w:id="703"/>
      </w:r>
      <w:r w:rsidRPr="004124A7">
        <w:rPr>
          <w:rFonts w:ascii="Times New Roman" w:hAnsi="Times New Roman" w:cs="Times New Roman"/>
          <w:lang w:val="de-DE"/>
        </w:rPr>
        <w:t xml:space="preserve">. </w:t>
      </w:r>
      <w:r w:rsidRPr="004124A7">
        <w:rPr>
          <w:rFonts w:ascii="Times New Roman" w:hAnsi="Times New Roman" w:cs="Times New Roman"/>
        </w:rPr>
        <w:t xml:space="preserve">E se si pensa conseguentemente, aggiunge Buhle, ricalcando un celebre passo delle </w:t>
      </w:r>
      <w:r w:rsidRPr="004124A7">
        <w:rPr>
          <w:rFonts w:ascii="Times New Roman" w:hAnsi="Times New Roman" w:cs="Times New Roman"/>
          <w:i/>
        </w:rPr>
        <w:t>Spinozabriefe</w:t>
      </w:r>
      <w:r w:rsidRPr="004124A7">
        <w:rPr>
          <w:rFonts w:ascii="Times New Roman" w:hAnsi="Times New Roman" w:cs="Times New Roman"/>
        </w:rPr>
        <w:t xml:space="preserve"> di Jacobi</w:t>
      </w:r>
      <w:r w:rsidRPr="004124A7">
        <w:rPr>
          <w:rStyle w:val="Rimandonotaapidipagina"/>
          <w:rFonts w:ascii="Times New Roman" w:hAnsi="Times New Roman" w:cs="Times New Roman"/>
        </w:rPr>
        <w:footnoteReference w:id="704"/>
      </w:r>
      <w:r w:rsidRPr="004124A7">
        <w:rPr>
          <w:rFonts w:ascii="Times New Roman" w:hAnsi="Times New Roman" w:cs="Times New Roman"/>
        </w:rPr>
        <w:t>, non si può che arrivare al «Pantheismus</w:t>
      </w:r>
      <w:r w:rsidRPr="004124A7">
        <w:rPr>
          <w:rFonts w:ascii="Times New Roman" w:hAnsi="Times New Roman" w:cs="Times New Roman"/>
          <w:lang w:val="de-DE"/>
        </w:rPr>
        <w:t>»</w:t>
      </w:r>
      <w:r w:rsidRPr="004124A7">
        <w:rPr>
          <w:rStyle w:val="Rimandonotaapidipagina"/>
          <w:rFonts w:ascii="Times New Roman" w:hAnsi="Times New Roman" w:cs="Times New Roman"/>
        </w:rPr>
        <w:footnoteReference w:id="705"/>
      </w:r>
      <w:r w:rsidRPr="004124A7">
        <w:rPr>
          <w:rFonts w:ascii="Times New Roman" w:hAnsi="Times New Roman" w:cs="Times New Roman"/>
        </w:rPr>
        <w:t xml:space="preserve"> e al suo risultato più alto, lo spinozismo.</w:t>
      </w:r>
    </w:p>
    <w:p w14:paraId="4B195309" w14:textId="77777777" w:rsidR="0067242F" w:rsidRDefault="0067242F" w:rsidP="006C5C7D">
      <w:pPr>
        <w:spacing w:line="360" w:lineRule="auto"/>
        <w:jc w:val="both"/>
        <w:rPr>
          <w:rFonts w:ascii="Times New Roman" w:hAnsi="Times New Roman" w:cs="Times New Roman"/>
        </w:rPr>
      </w:pPr>
    </w:p>
    <w:p w14:paraId="3923DCA0" w14:textId="77777777" w:rsidR="0052209E" w:rsidRDefault="0052209E" w:rsidP="006C5C7D">
      <w:pPr>
        <w:spacing w:line="360" w:lineRule="auto"/>
        <w:jc w:val="both"/>
        <w:rPr>
          <w:rFonts w:ascii="Times New Roman" w:hAnsi="Times New Roman" w:cs="Times New Roman"/>
        </w:rPr>
      </w:pPr>
    </w:p>
    <w:p w14:paraId="2FD3AF68" w14:textId="77777777" w:rsidR="0052209E" w:rsidRDefault="0052209E" w:rsidP="006C5C7D">
      <w:pPr>
        <w:spacing w:line="360" w:lineRule="auto"/>
        <w:jc w:val="both"/>
        <w:rPr>
          <w:rFonts w:ascii="Times New Roman" w:hAnsi="Times New Roman" w:cs="Times New Roman"/>
        </w:rPr>
      </w:pPr>
    </w:p>
    <w:p w14:paraId="33523FA1" w14:textId="3809F51A" w:rsidR="001B7751" w:rsidRPr="00820946" w:rsidRDefault="001B7751" w:rsidP="001B7751">
      <w:pPr>
        <w:spacing w:line="360" w:lineRule="auto"/>
        <w:jc w:val="both"/>
        <w:rPr>
          <w:rFonts w:ascii="Times New Roman" w:hAnsi="Times New Roman" w:cs="Times New Roman"/>
          <w:i/>
        </w:rPr>
      </w:pPr>
      <w:r>
        <w:rPr>
          <w:rFonts w:ascii="Times New Roman" w:hAnsi="Times New Roman" w:cs="Times New Roman"/>
          <w:i/>
        </w:rPr>
        <w:t>3.7</w:t>
      </w:r>
      <w:r w:rsidRPr="00820946">
        <w:rPr>
          <w:rFonts w:ascii="Times New Roman" w:hAnsi="Times New Roman" w:cs="Times New Roman"/>
          <w:i/>
        </w:rPr>
        <w:t xml:space="preserve"> Fra unità e opposizi</w:t>
      </w:r>
      <w:r w:rsidR="00DD185A">
        <w:rPr>
          <w:rFonts w:ascii="Times New Roman" w:hAnsi="Times New Roman" w:cs="Times New Roman"/>
          <w:i/>
        </w:rPr>
        <w:t xml:space="preserve">one: Qabbalah e spinozismo nel </w:t>
      </w:r>
      <w:r w:rsidRPr="00DD185A">
        <w:rPr>
          <w:rFonts w:ascii="Times New Roman" w:hAnsi="Times New Roman" w:cs="Times New Roman"/>
        </w:rPr>
        <w:t>Grundriss einer Geschichte der Philosoph</w:t>
      </w:r>
      <w:r w:rsidR="00DD185A">
        <w:rPr>
          <w:rFonts w:ascii="Times New Roman" w:hAnsi="Times New Roman" w:cs="Times New Roman"/>
        </w:rPr>
        <w:t>ie</w:t>
      </w:r>
    </w:p>
    <w:p w14:paraId="755FD6BB" w14:textId="77777777" w:rsidR="001B7751" w:rsidRPr="00820946" w:rsidRDefault="001B7751" w:rsidP="001B7751">
      <w:pPr>
        <w:spacing w:line="360" w:lineRule="auto"/>
        <w:ind w:left="567" w:firstLine="567"/>
        <w:jc w:val="both"/>
        <w:rPr>
          <w:rFonts w:ascii="Times New Roman" w:hAnsi="Times New Roman" w:cs="Times New Roman"/>
        </w:rPr>
      </w:pPr>
    </w:p>
    <w:p w14:paraId="78BDBC91" w14:textId="0CB66011" w:rsidR="001B7751" w:rsidRDefault="001B7751" w:rsidP="001B7751">
      <w:pPr>
        <w:spacing w:line="360" w:lineRule="auto"/>
        <w:ind w:firstLine="567"/>
        <w:jc w:val="both"/>
        <w:rPr>
          <w:rFonts w:ascii="Times New Roman" w:hAnsi="Times New Roman" w:cs="Times New Roman"/>
        </w:rPr>
      </w:pPr>
      <w:r w:rsidRPr="00820946">
        <w:rPr>
          <w:rFonts w:ascii="Times New Roman" w:hAnsi="Times New Roman" w:cs="Times New Roman"/>
        </w:rPr>
        <w:t xml:space="preserve">Il </w:t>
      </w:r>
      <w:r w:rsidRPr="00820946">
        <w:rPr>
          <w:rFonts w:ascii="Times New Roman" w:hAnsi="Times New Roman" w:cs="Times New Roman"/>
          <w:i/>
        </w:rPr>
        <w:t>Leherbuch</w:t>
      </w:r>
      <w:r w:rsidRPr="00820946">
        <w:rPr>
          <w:rFonts w:ascii="Times New Roman" w:hAnsi="Times New Roman" w:cs="Times New Roman"/>
        </w:rPr>
        <w:t xml:space="preserve"> di Buhle è pubblicato a Lipsia nel 1801. Sono anni di grande rinnovamento del panorama filosofico tedesco. Non soltanto Kant ha definito delle rivoluzioni copernicane in ambito epistemologico, morale ed estetico, ma anche l’idealismo tedesco cerca, sulla scorta della riflessione kantiana, di proseguire quel rinnovamento filosofico introdotto dal criticismo. In questa cornice storico-culturale, si colloca una fonte storiografica, di poco successiva al </w:t>
      </w:r>
      <w:r w:rsidRPr="00820946">
        <w:rPr>
          <w:rFonts w:ascii="Times New Roman" w:hAnsi="Times New Roman" w:cs="Times New Roman"/>
          <w:i/>
        </w:rPr>
        <w:t>Lehrbuch</w:t>
      </w:r>
      <w:r w:rsidRPr="00820946">
        <w:rPr>
          <w:rFonts w:ascii="Times New Roman" w:hAnsi="Times New Roman" w:cs="Times New Roman"/>
        </w:rPr>
        <w:t xml:space="preserve">, che ha un’impostazione totalmente altra rispetto alla sintesi di </w:t>
      </w:r>
      <w:r w:rsidRPr="006C5C7D">
        <w:rPr>
          <w:rFonts w:ascii="Times New Roman" w:hAnsi="Times New Roman" w:cs="Times New Roman"/>
        </w:rPr>
        <w:t xml:space="preserve">Buhle. Mi riferisco allo schellinghiano </w:t>
      </w:r>
      <w:r w:rsidRPr="006C5C7D">
        <w:rPr>
          <w:rFonts w:ascii="Times New Roman" w:hAnsi="Times New Roman" w:cs="Times New Roman"/>
          <w:i/>
        </w:rPr>
        <w:t>Grundriss</w:t>
      </w:r>
      <w:r w:rsidRPr="00E0136E">
        <w:rPr>
          <w:rFonts w:ascii="Times New Roman" w:hAnsi="Times New Roman" w:cs="Times New Roman"/>
          <w:i/>
        </w:rPr>
        <w:t xml:space="preserve"> einer Geschichte der Philosophie</w:t>
      </w:r>
      <w:r w:rsidRPr="00E0136E">
        <w:rPr>
          <w:rFonts w:ascii="Times New Roman" w:hAnsi="Times New Roman" w:cs="Times New Roman"/>
        </w:rPr>
        <w:t>, redatto nel 1807 da Friedrich Ast, professore di filologia all’Università di Landshut.</w:t>
      </w:r>
      <w:r>
        <w:rPr>
          <w:rFonts w:ascii="Times New Roman" w:hAnsi="Times New Roman" w:cs="Times New Roman"/>
        </w:rPr>
        <w:t xml:space="preserve"> Nelle osservazioni introduttive del suo compendio, Ast scrive che </w:t>
      </w:r>
      <w:r w:rsidRPr="00C266CE">
        <w:rPr>
          <w:rFonts w:ascii="Times New Roman" w:hAnsi="Times New Roman" w:cs="Times New Roman"/>
        </w:rPr>
        <w:t>«</w:t>
      </w:r>
      <w:r w:rsidRPr="00C266CE">
        <w:rPr>
          <w:rFonts w:ascii="Times New Roman" w:hAnsi="Times New Roman" w:cs="Times New Roman"/>
          <w:lang w:val="de-DE"/>
        </w:rPr>
        <w:t>alle Systeme, Ideen und Meinungen sind Offenbarungen Eines Geistes, und durch diesen in sich selbst verbunden»</w:t>
      </w:r>
      <w:r w:rsidRPr="00C266CE">
        <w:rPr>
          <w:rStyle w:val="Rimandonotaapidipagina"/>
          <w:rFonts w:ascii="Times New Roman" w:hAnsi="Times New Roman" w:cs="Times New Roman"/>
          <w:lang w:val="de-DE"/>
        </w:rPr>
        <w:footnoteReference w:id="706"/>
      </w:r>
      <w:r w:rsidRPr="00C266CE">
        <w:rPr>
          <w:rFonts w:ascii="Times New Roman" w:hAnsi="Times New Roman" w:cs="Times New Roman"/>
          <w:lang w:val="de-DE"/>
        </w:rPr>
        <w:t>.</w:t>
      </w:r>
      <w:r>
        <w:rPr>
          <w:rFonts w:ascii="Times New Roman" w:hAnsi="Times New Roman" w:cs="Times New Roman"/>
          <w:lang w:val="de-DE"/>
        </w:rPr>
        <w:t xml:space="preserve"> </w:t>
      </w:r>
      <w:r w:rsidRPr="009B381A">
        <w:rPr>
          <w:rFonts w:ascii="Times New Roman" w:hAnsi="Times New Roman" w:cs="Times New Roman"/>
        </w:rPr>
        <w:t>Le opposizioni</w:t>
      </w:r>
      <w:r>
        <w:rPr>
          <w:rFonts w:ascii="Times New Roman" w:hAnsi="Times New Roman" w:cs="Times New Roman"/>
        </w:rPr>
        <w:t xml:space="preserve"> fra realisti e idealisti </w:t>
      </w:r>
      <w:r w:rsidRPr="009B381A">
        <w:rPr>
          <w:rFonts w:ascii="Times New Roman" w:hAnsi="Times New Roman" w:cs="Times New Roman"/>
        </w:rPr>
        <w:t xml:space="preserve">si </w:t>
      </w:r>
      <w:r>
        <w:rPr>
          <w:rFonts w:ascii="Times New Roman" w:hAnsi="Times New Roman" w:cs="Times New Roman"/>
        </w:rPr>
        <w:t xml:space="preserve">tolgono </w:t>
      </w:r>
      <w:r w:rsidRPr="009B381A">
        <w:rPr>
          <w:rFonts w:ascii="Times New Roman" w:hAnsi="Times New Roman" w:cs="Times New Roman"/>
        </w:rPr>
        <w:t xml:space="preserve">in un’unità superiore, che scioglie, </w:t>
      </w:r>
      <w:r>
        <w:rPr>
          <w:rFonts w:ascii="Times New Roman" w:hAnsi="Times New Roman" w:cs="Times New Roman"/>
        </w:rPr>
        <w:t>ponendosi al di là dei due opposti, il contrasto fra posizioni teoriche apparentemente inconciliabili:</w:t>
      </w:r>
    </w:p>
    <w:p w14:paraId="21F7F19A" w14:textId="77777777" w:rsidR="001B7751" w:rsidRDefault="001B7751" w:rsidP="001B7751">
      <w:pPr>
        <w:spacing w:line="360" w:lineRule="auto"/>
        <w:ind w:left="567" w:firstLine="567"/>
        <w:jc w:val="both"/>
        <w:rPr>
          <w:rFonts w:ascii="Times New Roman" w:hAnsi="Times New Roman" w:cs="Times New Roman"/>
        </w:rPr>
      </w:pPr>
    </w:p>
    <w:p w14:paraId="3FFC5C37" w14:textId="77777777" w:rsidR="001B7751" w:rsidRPr="004201AE" w:rsidRDefault="001B7751" w:rsidP="001B7751">
      <w:pPr>
        <w:spacing w:line="360" w:lineRule="auto"/>
        <w:ind w:left="567" w:firstLine="567"/>
        <w:jc w:val="both"/>
        <w:rPr>
          <w:rFonts w:ascii="Times New Roman" w:hAnsi="Times New Roman" w:cs="Times New Roman"/>
          <w:lang w:val="de-DE"/>
        </w:rPr>
      </w:pPr>
      <w:r w:rsidRPr="004201AE">
        <w:rPr>
          <w:rFonts w:ascii="Times New Roman" w:hAnsi="Times New Roman" w:cs="Times New Roman"/>
          <w:sz w:val="20"/>
          <w:szCs w:val="20"/>
        </w:rPr>
        <w:t>«</w:t>
      </w:r>
      <w:r w:rsidRPr="004201AE">
        <w:rPr>
          <w:rFonts w:ascii="Times New Roman" w:hAnsi="Times New Roman" w:cs="Times New Roman"/>
          <w:sz w:val="20"/>
          <w:szCs w:val="20"/>
          <w:lang w:val="de-DE"/>
        </w:rPr>
        <w:t>So sind z. B. Realismus und Idealismus, in ihrer Besonderheit betrachtet, entgegengesetzt, wie Seyn und Wissen; auf die Philosophie selbst aber bezogen, deren besondere Darstellung das System des Realismus eben so, wie das des Idealismus ist, hebt sich ihr Gegensatz auf: sie werden Glieder und Elemente Eines Höheren, über beiden Schwebenden und sie geistig Verbindenden»</w:t>
      </w:r>
      <w:r w:rsidRPr="004201AE">
        <w:rPr>
          <w:rStyle w:val="Rimandonotaapidipagina"/>
          <w:rFonts w:ascii="Times New Roman" w:hAnsi="Times New Roman" w:cs="Times New Roman"/>
          <w:sz w:val="20"/>
          <w:szCs w:val="20"/>
          <w:lang w:val="de-DE"/>
        </w:rPr>
        <w:footnoteReference w:id="707"/>
      </w:r>
      <w:r w:rsidRPr="004201AE">
        <w:rPr>
          <w:rFonts w:ascii="Times New Roman" w:hAnsi="Times New Roman" w:cs="Times New Roman"/>
          <w:sz w:val="20"/>
          <w:szCs w:val="20"/>
          <w:lang w:val="de-DE"/>
        </w:rPr>
        <w:t>.</w:t>
      </w:r>
    </w:p>
    <w:p w14:paraId="4F6A7775" w14:textId="77777777" w:rsidR="001B7751" w:rsidRDefault="001B7751" w:rsidP="001B7751">
      <w:pPr>
        <w:spacing w:line="360" w:lineRule="auto"/>
        <w:ind w:left="1134" w:firstLine="567"/>
        <w:jc w:val="both"/>
        <w:rPr>
          <w:rFonts w:ascii="Times New Roman" w:hAnsi="Times New Roman" w:cs="Times New Roman"/>
          <w:lang w:val="de-DE"/>
        </w:rPr>
      </w:pPr>
    </w:p>
    <w:p w14:paraId="4275964D" w14:textId="77777777" w:rsidR="001B7751" w:rsidRDefault="001B7751" w:rsidP="001B7751">
      <w:pPr>
        <w:spacing w:line="360" w:lineRule="auto"/>
        <w:ind w:firstLine="567"/>
        <w:jc w:val="both"/>
        <w:rPr>
          <w:rFonts w:ascii="Times New Roman" w:hAnsi="Times New Roman" w:cs="Times New Roman"/>
        </w:rPr>
      </w:pPr>
      <w:r>
        <w:rPr>
          <w:rFonts w:ascii="Times New Roman" w:hAnsi="Times New Roman" w:cs="Times New Roman"/>
        </w:rPr>
        <w:t xml:space="preserve">Ast definisce questa sintesi superiore come </w:t>
      </w:r>
      <w:r w:rsidRPr="004201AE">
        <w:rPr>
          <w:rFonts w:ascii="Times New Roman" w:hAnsi="Times New Roman" w:cs="Times New Roman"/>
          <w:lang w:val="de-DE"/>
        </w:rPr>
        <w:t>«Geist»</w:t>
      </w:r>
      <w:r w:rsidRPr="004201AE">
        <w:rPr>
          <w:rStyle w:val="Rimandonotaapidipagina"/>
          <w:rFonts w:ascii="Times New Roman" w:hAnsi="Times New Roman" w:cs="Times New Roman"/>
          <w:lang w:val="de-DE"/>
        </w:rPr>
        <w:footnoteReference w:id="708"/>
      </w:r>
      <w:r w:rsidRPr="004201AE">
        <w:rPr>
          <w:rFonts w:ascii="Times New Roman" w:hAnsi="Times New Roman" w:cs="Times New Roman"/>
          <w:lang w:val="de-DE"/>
        </w:rPr>
        <w:t xml:space="preserve"> o «das Ewige»</w:t>
      </w:r>
      <w:r w:rsidRPr="004201AE">
        <w:rPr>
          <w:rStyle w:val="Rimandonotaapidipagina"/>
          <w:rFonts w:ascii="Times New Roman" w:hAnsi="Times New Roman" w:cs="Times New Roman"/>
          <w:lang w:val="de-DE"/>
        </w:rPr>
        <w:footnoteReference w:id="709"/>
      </w:r>
      <w:r w:rsidRPr="004201AE">
        <w:rPr>
          <w:rFonts w:ascii="Times New Roman" w:hAnsi="Times New Roman" w:cs="Times New Roman"/>
          <w:lang w:val="de-DE"/>
        </w:rPr>
        <w:t xml:space="preserve">. </w:t>
      </w:r>
      <w:r w:rsidRPr="004201AE">
        <w:rPr>
          <w:rFonts w:ascii="Times New Roman" w:hAnsi="Times New Roman" w:cs="Times New Roman"/>
        </w:rPr>
        <w:t xml:space="preserve">Lo spirito, o l’eterno, prosegue Ast, è </w:t>
      </w:r>
      <w:r w:rsidRPr="004201AE">
        <w:rPr>
          <w:rFonts w:ascii="Times New Roman" w:hAnsi="Times New Roman" w:cs="Times New Roman"/>
          <w:lang w:val="de-DE"/>
        </w:rPr>
        <w:t>«die Philosophie»</w:t>
      </w:r>
      <w:r w:rsidRPr="004201AE">
        <w:rPr>
          <w:rStyle w:val="Rimandonotaapidipagina"/>
          <w:rFonts w:ascii="Times New Roman" w:hAnsi="Times New Roman" w:cs="Times New Roman"/>
          <w:lang w:val="de-DE"/>
        </w:rPr>
        <w:footnoteReference w:id="710"/>
      </w:r>
      <w:r w:rsidRPr="004201AE">
        <w:rPr>
          <w:rFonts w:ascii="Times New Roman" w:hAnsi="Times New Roman" w:cs="Times New Roman"/>
          <w:lang w:val="de-DE"/>
        </w:rPr>
        <w:t>.</w:t>
      </w:r>
      <w:r>
        <w:rPr>
          <w:rFonts w:ascii="Times New Roman" w:hAnsi="Times New Roman" w:cs="Times New Roman"/>
        </w:rPr>
        <w:t xml:space="preserve"> Ma questo eterno, lungi dall’essere estraneo alla realtà, si consegna all’intuizione e si conferisce uno sviluppo temporale. Il tempo, infatti, altro non è che </w:t>
      </w:r>
      <w:r w:rsidRPr="0077506C">
        <w:rPr>
          <w:rFonts w:ascii="Times New Roman" w:hAnsi="Times New Roman" w:cs="Times New Roman"/>
          <w:lang w:val="de-DE"/>
        </w:rPr>
        <w:t>«die Darstellung und Nachbildung des Ewigen»</w:t>
      </w:r>
      <w:r w:rsidRPr="0077506C">
        <w:rPr>
          <w:rStyle w:val="Rimandonotaapidipagina"/>
          <w:rFonts w:ascii="Times New Roman" w:hAnsi="Times New Roman" w:cs="Times New Roman"/>
          <w:lang w:val="de-DE"/>
        </w:rPr>
        <w:footnoteReference w:id="711"/>
      </w:r>
      <w:r w:rsidRPr="004201AE">
        <w:rPr>
          <w:rFonts w:ascii="Times New Roman" w:hAnsi="Times New Roman" w:cs="Times New Roman"/>
          <w:lang w:val="de-DE"/>
        </w:rPr>
        <w:t xml:space="preserve">; </w:t>
      </w:r>
      <w:r>
        <w:rPr>
          <w:rFonts w:ascii="Times New Roman" w:hAnsi="Times New Roman" w:cs="Times New Roman"/>
        </w:rPr>
        <w:t xml:space="preserve">e le molteplici </w:t>
      </w:r>
      <w:r w:rsidRPr="00A32720">
        <w:rPr>
          <w:rFonts w:ascii="Times New Roman" w:hAnsi="Times New Roman" w:cs="Times New Roman"/>
        </w:rPr>
        <w:t>esposizioni e riproduzioni, a</w:t>
      </w:r>
      <w:r>
        <w:rPr>
          <w:rFonts w:ascii="Times New Roman" w:hAnsi="Times New Roman" w:cs="Times New Roman"/>
        </w:rPr>
        <w:t xml:space="preserve"> cui l’eterno va incontro, costituiscono gli aspetti della sua effettualità e vitalità</w:t>
      </w:r>
      <w:r>
        <w:rPr>
          <w:rStyle w:val="Rimandonotaapidipagina"/>
          <w:rFonts w:ascii="Times New Roman" w:hAnsi="Times New Roman" w:cs="Times New Roman"/>
        </w:rPr>
        <w:footnoteReference w:id="712"/>
      </w:r>
      <w:r>
        <w:rPr>
          <w:rFonts w:ascii="Times New Roman" w:hAnsi="Times New Roman" w:cs="Times New Roman"/>
        </w:rPr>
        <w:t>. L’eterna unità si sviluppa, diramandosi in opposizioni, per riaffermarsi come unità armonica e in sé riconciliata:</w:t>
      </w:r>
    </w:p>
    <w:p w14:paraId="3413D6CC" w14:textId="77777777" w:rsidR="001B7751" w:rsidRDefault="001B7751" w:rsidP="001B7751">
      <w:pPr>
        <w:spacing w:line="360" w:lineRule="auto"/>
        <w:ind w:left="567" w:firstLine="567"/>
        <w:jc w:val="both"/>
        <w:rPr>
          <w:rFonts w:ascii="Times New Roman" w:hAnsi="Times New Roman" w:cs="Times New Roman"/>
        </w:rPr>
      </w:pPr>
    </w:p>
    <w:p w14:paraId="78242D3E" w14:textId="77777777" w:rsidR="001B7751" w:rsidRPr="004201AE" w:rsidRDefault="001B7751" w:rsidP="001B7751">
      <w:pPr>
        <w:spacing w:line="360" w:lineRule="auto"/>
        <w:ind w:left="567" w:firstLine="567"/>
        <w:jc w:val="both"/>
        <w:rPr>
          <w:rFonts w:ascii="Times New Roman" w:hAnsi="Times New Roman" w:cs="Times New Roman"/>
          <w:sz w:val="20"/>
          <w:szCs w:val="20"/>
          <w:lang w:val="de-DE"/>
        </w:rPr>
      </w:pPr>
      <w:r w:rsidRPr="004201AE">
        <w:rPr>
          <w:rFonts w:ascii="Times New Roman" w:hAnsi="Times New Roman" w:cs="Times New Roman"/>
          <w:sz w:val="20"/>
          <w:szCs w:val="20"/>
        </w:rPr>
        <w:t>«</w:t>
      </w:r>
      <w:r w:rsidRPr="004201AE">
        <w:rPr>
          <w:rFonts w:ascii="Times New Roman" w:hAnsi="Times New Roman" w:cs="Times New Roman"/>
          <w:sz w:val="20"/>
          <w:szCs w:val="20"/>
          <w:lang w:val="de-DE"/>
        </w:rPr>
        <w:t>So ist auch das aussere und zeitliche Leben der Philosophie Eins mit dem inneren, ewigen Wesen der Philosophie: es ist die Vielheit, als solche die lebendige Darstellung der Philosophie, die als Einheit alle, selbst die entgegengesetztesten Forme und Bildungen, durchdringt und zu Gliedern Eines Wesens macht […] Harmonie des Unendlichen und Endlichen ist daher das Bildungsgesetz alles Leben, folglich auch die Idee des Lebens […] Das Leben der Philosophie ist ein organisches, aus der Einheit in den Gegensatz hervortretend und aus dem Gegensatz in die Einheit zurückkehrend»</w:t>
      </w:r>
      <w:r w:rsidRPr="004201AE">
        <w:rPr>
          <w:rStyle w:val="Rimandonotaapidipagina"/>
          <w:rFonts w:ascii="Times New Roman" w:hAnsi="Times New Roman" w:cs="Times New Roman"/>
          <w:sz w:val="20"/>
          <w:szCs w:val="20"/>
          <w:lang w:val="de-DE"/>
        </w:rPr>
        <w:footnoteReference w:id="713"/>
      </w:r>
      <w:r w:rsidRPr="004201AE">
        <w:rPr>
          <w:rFonts w:ascii="Times New Roman" w:hAnsi="Times New Roman" w:cs="Times New Roman"/>
          <w:sz w:val="20"/>
          <w:szCs w:val="20"/>
          <w:lang w:val="de-DE"/>
        </w:rPr>
        <w:t>.</w:t>
      </w:r>
    </w:p>
    <w:p w14:paraId="1EE89B43" w14:textId="77777777" w:rsidR="001B7751" w:rsidRDefault="001B7751" w:rsidP="001B7751">
      <w:pPr>
        <w:spacing w:line="360" w:lineRule="auto"/>
        <w:ind w:left="1134" w:firstLine="567"/>
        <w:jc w:val="both"/>
        <w:rPr>
          <w:rFonts w:ascii="Times New Roman" w:hAnsi="Times New Roman" w:cs="Times New Roman"/>
          <w:lang w:val="de-DE"/>
        </w:rPr>
      </w:pPr>
    </w:p>
    <w:p w14:paraId="5C991701" w14:textId="72A7EDCC" w:rsidR="001B7751" w:rsidRPr="001C7409" w:rsidRDefault="001B7751" w:rsidP="001B7751">
      <w:pPr>
        <w:spacing w:line="360" w:lineRule="auto"/>
        <w:ind w:firstLine="567"/>
        <w:jc w:val="both"/>
        <w:rPr>
          <w:rFonts w:ascii="Times New Roman" w:hAnsi="Times New Roman" w:cs="Times New Roman"/>
          <w:lang w:val="de-DE"/>
        </w:rPr>
      </w:pPr>
      <w:r w:rsidRPr="001964B1">
        <w:rPr>
          <w:rFonts w:ascii="Times New Roman" w:hAnsi="Times New Roman" w:cs="Times New Roman"/>
        </w:rPr>
        <w:t>L’armonia d’infinito e finito, o l’unità d’eternità e temporalità, rappresenta la legge di formazione e di sviluppo del vivente. Essendo sapere vivente, la filosofia va</w:t>
      </w:r>
      <w:r>
        <w:rPr>
          <w:rFonts w:ascii="Times New Roman" w:hAnsi="Times New Roman" w:cs="Times New Roman"/>
        </w:rPr>
        <w:t xml:space="preserve"> incontro ad uno sviluppo organico: dismessa la sua unità, lo spirito s’intuisce temporalmente, si arricchisce di determinazioni e torna, superando le sue opposizioni, circolarmente a sé. Quella filosofia, che è riuscita a definire l’Eterno come un’unità in sé </w:t>
      </w:r>
      <w:r w:rsidRPr="006C5C7D">
        <w:rPr>
          <w:rFonts w:ascii="Times New Roman" w:hAnsi="Times New Roman" w:cs="Times New Roman"/>
        </w:rPr>
        <w:t>articolata (opposizione) e riconciliata (unità), è l’idealismo schellinghiano, il momento risolutivo delle antitesi del pensiero filosofico. Essere e pensiero, realismo e idealismo, spinozismo e fichtismo sono posti in u</w:t>
      </w:r>
      <w:r w:rsidR="008F723A" w:rsidRPr="006C5C7D">
        <w:rPr>
          <w:rFonts w:ascii="Times New Roman" w:hAnsi="Times New Roman" w:cs="Times New Roman"/>
        </w:rPr>
        <w:t xml:space="preserve">nità da Schelling, che coglie, </w:t>
      </w:r>
      <w:r w:rsidRPr="006C5C7D">
        <w:rPr>
          <w:rFonts w:ascii="Times New Roman" w:hAnsi="Times New Roman" w:cs="Times New Roman"/>
        </w:rPr>
        <w:t>previa legittimaz</w:t>
      </w:r>
      <w:r w:rsidR="008F723A" w:rsidRPr="006C5C7D">
        <w:rPr>
          <w:rFonts w:ascii="Times New Roman" w:hAnsi="Times New Roman" w:cs="Times New Roman"/>
        </w:rPr>
        <w:t>ione teorica dell’opposizione,</w:t>
      </w:r>
      <w:r w:rsidR="008F723A">
        <w:rPr>
          <w:rFonts w:ascii="Times New Roman" w:hAnsi="Times New Roman" w:cs="Times New Roman"/>
        </w:rPr>
        <w:t xml:space="preserve"> </w:t>
      </w:r>
      <w:r>
        <w:rPr>
          <w:rFonts w:ascii="Times New Roman" w:hAnsi="Times New Roman" w:cs="Times New Roman"/>
        </w:rPr>
        <w:t xml:space="preserve">quell’armonia fra infinito e finito che Ast considera </w:t>
      </w:r>
      <w:r w:rsidRPr="004C4C6E">
        <w:rPr>
          <w:rFonts w:ascii="Times New Roman" w:hAnsi="Times New Roman" w:cs="Times New Roman"/>
          <w:i/>
          <w:lang w:val="de-DE"/>
        </w:rPr>
        <w:t>Bildungsgesetz</w:t>
      </w:r>
      <w:r>
        <w:rPr>
          <w:rFonts w:ascii="Times New Roman" w:hAnsi="Times New Roman" w:cs="Times New Roman"/>
          <w:i/>
        </w:rPr>
        <w:t xml:space="preserve"> </w:t>
      </w:r>
      <w:r>
        <w:rPr>
          <w:rFonts w:ascii="Times New Roman" w:hAnsi="Times New Roman" w:cs="Times New Roman"/>
        </w:rPr>
        <w:t xml:space="preserve">del vivente: </w:t>
      </w:r>
      <w:r w:rsidRPr="001964B1">
        <w:rPr>
          <w:rFonts w:ascii="Times New Roman" w:hAnsi="Times New Roman" w:cs="Times New Roman"/>
        </w:rPr>
        <w:t>«</w:t>
      </w:r>
      <w:r w:rsidRPr="001964B1">
        <w:rPr>
          <w:rFonts w:ascii="Times New Roman" w:hAnsi="Times New Roman" w:cs="Times New Roman"/>
          <w:lang w:val="de-DE"/>
        </w:rPr>
        <w:t xml:space="preserve">Schelling’s Identitätssystem, die Vereinigung des Fichtischen Idealismus und des Spinozistischen Realismus, strebt nach dem Poetischen, um eine harmonische Anschauung und Erkenntniss des vollendeten Lebens </w:t>
      </w:r>
      <w:r w:rsidRPr="001C7409">
        <w:rPr>
          <w:rFonts w:ascii="Times New Roman" w:hAnsi="Times New Roman" w:cs="Times New Roman"/>
          <w:lang w:val="de-DE"/>
        </w:rPr>
        <w:t>der Dinge zu gewinnen»</w:t>
      </w:r>
      <w:r w:rsidRPr="001C7409">
        <w:rPr>
          <w:rStyle w:val="Rimandonotaapidipagina"/>
          <w:rFonts w:ascii="Times New Roman" w:hAnsi="Times New Roman" w:cs="Times New Roman"/>
          <w:lang w:val="de-DE"/>
        </w:rPr>
        <w:footnoteReference w:id="714"/>
      </w:r>
      <w:r w:rsidRPr="001C7409">
        <w:rPr>
          <w:rFonts w:ascii="Times New Roman" w:hAnsi="Times New Roman" w:cs="Times New Roman"/>
          <w:lang w:val="de-DE"/>
        </w:rPr>
        <w:t>.</w:t>
      </w:r>
    </w:p>
    <w:p w14:paraId="78146E02" w14:textId="6BE43237" w:rsidR="001B7751" w:rsidRDefault="001B7751" w:rsidP="001B7751">
      <w:pPr>
        <w:spacing w:line="360" w:lineRule="auto"/>
        <w:ind w:firstLine="567"/>
        <w:jc w:val="both"/>
        <w:rPr>
          <w:rFonts w:ascii="Times New Roman" w:hAnsi="Times New Roman" w:cs="Times New Roman"/>
        </w:rPr>
      </w:pPr>
      <w:r w:rsidRPr="001C7409">
        <w:rPr>
          <w:rFonts w:ascii="Times New Roman" w:hAnsi="Times New Roman" w:cs="Times New Roman"/>
        </w:rPr>
        <w:t xml:space="preserve">Definita l’idea di storia della filosofia alla base del </w:t>
      </w:r>
      <w:r w:rsidRPr="001C7409">
        <w:rPr>
          <w:rFonts w:ascii="Times New Roman" w:hAnsi="Times New Roman" w:cs="Times New Roman"/>
          <w:i/>
          <w:lang w:val="de-DE"/>
        </w:rPr>
        <w:t>Grundriss einer Geschichte der Philosophie</w:t>
      </w:r>
      <w:r w:rsidRPr="001C7409">
        <w:rPr>
          <w:rFonts w:ascii="Times New Roman" w:hAnsi="Times New Roman" w:cs="Times New Roman"/>
        </w:rPr>
        <w:t xml:space="preserve">, non ci resta che vedere in che modo </w:t>
      </w:r>
      <w:r w:rsidR="008F723A" w:rsidRPr="001C7409">
        <w:rPr>
          <w:rFonts w:ascii="Times New Roman" w:hAnsi="Times New Roman" w:cs="Times New Roman"/>
        </w:rPr>
        <w:t xml:space="preserve">Ast </w:t>
      </w:r>
      <w:r w:rsidR="001C7409" w:rsidRPr="001C7409">
        <w:rPr>
          <w:rFonts w:ascii="Times New Roman" w:hAnsi="Times New Roman" w:cs="Times New Roman"/>
        </w:rPr>
        <w:t>analizza</w:t>
      </w:r>
      <w:r w:rsidRPr="001C7409">
        <w:rPr>
          <w:rFonts w:ascii="Times New Roman" w:hAnsi="Times New Roman" w:cs="Times New Roman"/>
        </w:rPr>
        <w:t xml:space="preserve"> la filosofia cabbalistica</w:t>
      </w:r>
      <w:r w:rsidRPr="0064091F">
        <w:rPr>
          <w:rFonts w:ascii="Times New Roman" w:hAnsi="Times New Roman" w:cs="Times New Roman"/>
        </w:rPr>
        <w:t>.</w:t>
      </w:r>
      <w:r>
        <w:rPr>
          <w:rFonts w:ascii="Times New Roman" w:hAnsi="Times New Roman" w:cs="Times New Roman"/>
        </w:rPr>
        <w:t xml:space="preserve"> Sulla questione relativa alle fonti del misticismo ebraico, </w:t>
      </w:r>
      <w:r w:rsidRPr="00B4277A">
        <w:rPr>
          <w:rFonts w:ascii="Times New Roman" w:hAnsi="Times New Roman" w:cs="Times New Roman"/>
        </w:rPr>
        <w:t>Ast ripete quanto osservato da Tiedemann e Buhle:</w:t>
      </w:r>
      <w:r>
        <w:rPr>
          <w:rFonts w:ascii="Times New Roman" w:hAnsi="Times New Roman" w:cs="Times New Roman"/>
        </w:rPr>
        <w:t xml:space="preserve"> i testi principali della Qabbalah sono il </w:t>
      </w:r>
      <w:r>
        <w:rPr>
          <w:rFonts w:ascii="Times New Roman" w:hAnsi="Times New Roman" w:cs="Times New Roman"/>
          <w:i/>
        </w:rPr>
        <w:t xml:space="preserve">Sefer Jezirah </w:t>
      </w:r>
      <w:r>
        <w:rPr>
          <w:rFonts w:ascii="Times New Roman" w:hAnsi="Times New Roman" w:cs="Times New Roman"/>
        </w:rPr>
        <w:t xml:space="preserve">e lo </w:t>
      </w:r>
      <w:r>
        <w:rPr>
          <w:rFonts w:ascii="Times New Roman" w:hAnsi="Times New Roman" w:cs="Times New Roman"/>
          <w:i/>
        </w:rPr>
        <w:t>Zohar</w:t>
      </w:r>
      <w:r>
        <w:rPr>
          <w:rFonts w:ascii="Times New Roman" w:hAnsi="Times New Roman" w:cs="Times New Roman"/>
        </w:rPr>
        <w:t xml:space="preserve">. Di questi scritti non si può indicare con precisione la redazione, poiché è probabile che siano </w:t>
      </w:r>
      <w:r w:rsidRPr="00EC27E8">
        <w:rPr>
          <w:rFonts w:ascii="Times New Roman" w:hAnsi="Times New Roman" w:cs="Times New Roman"/>
        </w:rPr>
        <w:t>«</w:t>
      </w:r>
      <w:r w:rsidRPr="00EC27E8">
        <w:rPr>
          <w:rFonts w:ascii="Times New Roman" w:hAnsi="Times New Roman" w:cs="Times New Roman"/>
          <w:lang w:val="de-DE"/>
        </w:rPr>
        <w:t>verfälscht auf uns gekommen»</w:t>
      </w:r>
      <w:r w:rsidRPr="00EC27E8">
        <w:rPr>
          <w:rStyle w:val="Rimandonotaapidipagina"/>
          <w:rFonts w:ascii="Times New Roman" w:hAnsi="Times New Roman" w:cs="Times New Roman"/>
          <w:lang w:val="de-DE"/>
        </w:rPr>
        <w:footnoteReference w:id="715"/>
      </w:r>
      <w:r w:rsidRPr="00EC27E8">
        <w:rPr>
          <w:rFonts w:ascii="Times New Roman" w:hAnsi="Times New Roman" w:cs="Times New Roman"/>
          <w:lang w:val="de-DE"/>
        </w:rPr>
        <w:t>.</w:t>
      </w:r>
      <w:r>
        <w:rPr>
          <w:rFonts w:ascii="Times New Roman" w:hAnsi="Times New Roman" w:cs="Times New Roman"/>
          <w:lang w:val="de-DE"/>
        </w:rPr>
        <w:t xml:space="preserve"> </w:t>
      </w:r>
      <w:r w:rsidRPr="0064091F">
        <w:rPr>
          <w:rFonts w:ascii="Times New Roman" w:hAnsi="Times New Roman" w:cs="Times New Roman"/>
        </w:rPr>
        <w:t xml:space="preserve">Non è da escludere, pertanto, che </w:t>
      </w:r>
      <w:r>
        <w:rPr>
          <w:rFonts w:ascii="Times New Roman" w:hAnsi="Times New Roman" w:cs="Times New Roman"/>
        </w:rPr>
        <w:t xml:space="preserve">abbiano visto la luce nel </w:t>
      </w:r>
      <w:r w:rsidRPr="0064091F">
        <w:rPr>
          <w:rFonts w:ascii="Times New Roman" w:hAnsi="Times New Roman" w:cs="Times New Roman"/>
        </w:rPr>
        <w:t>decimo secolo d. C.</w:t>
      </w:r>
      <w:r>
        <w:rPr>
          <w:rStyle w:val="Rimandonotaapidipagina"/>
          <w:rFonts w:ascii="Times New Roman" w:hAnsi="Times New Roman" w:cs="Times New Roman"/>
        </w:rPr>
        <w:footnoteReference w:id="716"/>
      </w:r>
      <w:r>
        <w:rPr>
          <w:rFonts w:ascii="Times New Roman" w:hAnsi="Times New Roman" w:cs="Times New Roman"/>
        </w:rPr>
        <w:t xml:space="preserve">. Fra i vari commentari a queste testimonianze di difficoltosa decifrazione, Ast segnala – come Buhle del resto – lo scritto di </w:t>
      </w:r>
      <w:r w:rsidRPr="00EC27E8">
        <w:rPr>
          <w:rFonts w:ascii="Times New Roman" w:hAnsi="Times New Roman" w:cs="Times New Roman"/>
        </w:rPr>
        <w:t>«Rabbi Abraham Cohen Irira, betitelt porta coelorum</w:t>
      </w:r>
      <w:r w:rsidRPr="00EC27E8">
        <w:rPr>
          <w:rFonts w:ascii="Times New Roman" w:hAnsi="Times New Roman" w:cs="Times New Roman"/>
          <w:lang w:val="de-DE"/>
        </w:rPr>
        <w:t>»</w:t>
      </w:r>
      <w:r w:rsidRPr="00EC27E8">
        <w:rPr>
          <w:rStyle w:val="Rimandonotaapidipagina"/>
          <w:rFonts w:ascii="Times New Roman" w:hAnsi="Times New Roman" w:cs="Times New Roman"/>
        </w:rPr>
        <w:footnoteReference w:id="717"/>
      </w:r>
      <w:r w:rsidRPr="00EC27E8">
        <w:rPr>
          <w:rFonts w:ascii="Times New Roman" w:hAnsi="Times New Roman" w:cs="Times New Roman"/>
          <w:lang w:val="de-DE"/>
        </w:rPr>
        <w:t>.</w:t>
      </w:r>
      <w:r>
        <w:rPr>
          <w:rFonts w:ascii="Times New Roman" w:hAnsi="Times New Roman" w:cs="Times New Roman"/>
          <w:lang w:val="de-DE"/>
        </w:rPr>
        <w:t xml:space="preserve"> </w:t>
      </w:r>
      <w:r>
        <w:rPr>
          <w:rFonts w:ascii="Times New Roman" w:hAnsi="Times New Roman" w:cs="Times New Roman"/>
        </w:rPr>
        <w:t>Riguardo a questioni di natura</w:t>
      </w:r>
      <w:r w:rsidRPr="005E401F">
        <w:rPr>
          <w:rFonts w:ascii="Times New Roman" w:hAnsi="Times New Roman" w:cs="Times New Roman"/>
        </w:rPr>
        <w:t xml:space="preserve"> </w:t>
      </w:r>
      <w:r w:rsidRPr="00E50B26">
        <w:rPr>
          <w:rFonts w:ascii="Times New Roman" w:hAnsi="Times New Roman" w:cs="Times New Roman"/>
        </w:rPr>
        <w:t>teorica,</w:t>
      </w:r>
      <w:r w:rsidRPr="00E50B26">
        <w:rPr>
          <w:rFonts w:ascii="Times New Roman" w:hAnsi="Times New Roman" w:cs="Times New Roman"/>
          <w:lang w:val="de-DE"/>
        </w:rPr>
        <w:t xml:space="preserve"> il </w:t>
      </w:r>
      <w:r w:rsidRPr="00E50B26">
        <w:rPr>
          <w:rFonts w:ascii="Times New Roman" w:hAnsi="Times New Roman" w:cs="Times New Roman"/>
          <w:i/>
          <w:lang w:val="de-DE"/>
        </w:rPr>
        <w:t>Grundriss</w:t>
      </w:r>
      <w:r w:rsidRPr="00E50B26">
        <w:rPr>
          <w:rFonts w:ascii="Times New Roman" w:hAnsi="Times New Roman" w:cs="Times New Roman"/>
          <w:lang w:val="de-DE"/>
        </w:rPr>
        <w:t xml:space="preserve"> non </w:t>
      </w:r>
      <w:r w:rsidRPr="00E50B26">
        <w:rPr>
          <w:rFonts w:ascii="Times New Roman" w:hAnsi="Times New Roman" w:cs="Times New Roman"/>
        </w:rPr>
        <w:t xml:space="preserve">avanza una nuova interpretazione del pensiero cabbalistico, ma segue, ancora una volta, il </w:t>
      </w:r>
      <w:r w:rsidRPr="00E50B26">
        <w:rPr>
          <w:rFonts w:ascii="Times New Roman" w:hAnsi="Times New Roman" w:cs="Times New Roman"/>
          <w:i/>
          <w:lang w:val="de-DE"/>
        </w:rPr>
        <w:t>Lehrbuch der Geschichte der Philosophie</w:t>
      </w:r>
      <w:r w:rsidRPr="00E50B26">
        <w:rPr>
          <w:rFonts w:ascii="Times New Roman" w:hAnsi="Times New Roman" w:cs="Times New Roman"/>
        </w:rPr>
        <w:t>. Ripetendo quasi letteralmente le analisi di Buhle, Ast scrive che:</w:t>
      </w:r>
    </w:p>
    <w:p w14:paraId="42CD2B1A" w14:textId="77777777" w:rsidR="001B7751" w:rsidRDefault="001B7751" w:rsidP="001B7751">
      <w:pPr>
        <w:spacing w:line="360" w:lineRule="auto"/>
        <w:ind w:left="567" w:firstLine="567"/>
        <w:jc w:val="both"/>
        <w:rPr>
          <w:rFonts w:ascii="Times New Roman" w:hAnsi="Times New Roman" w:cs="Times New Roman"/>
        </w:rPr>
      </w:pPr>
    </w:p>
    <w:p w14:paraId="53FB5F55" w14:textId="0FF9D81B" w:rsidR="001B7751" w:rsidRPr="00AE0996" w:rsidRDefault="001B7751" w:rsidP="001B7751">
      <w:pPr>
        <w:spacing w:line="360" w:lineRule="auto"/>
        <w:ind w:left="567" w:firstLine="567"/>
        <w:jc w:val="both"/>
        <w:rPr>
          <w:rFonts w:ascii="Times New Roman" w:hAnsi="Times New Roman" w:cs="Times New Roman"/>
          <w:sz w:val="20"/>
          <w:szCs w:val="20"/>
          <w:lang w:val="de-DE"/>
        </w:rPr>
      </w:pPr>
      <w:r w:rsidRPr="00AE0996">
        <w:rPr>
          <w:rFonts w:ascii="Times New Roman" w:hAnsi="Times New Roman" w:cs="Times New Roman"/>
          <w:sz w:val="20"/>
          <w:szCs w:val="20"/>
        </w:rPr>
        <w:t>«</w:t>
      </w:r>
      <w:r w:rsidRPr="00AE0996">
        <w:rPr>
          <w:rFonts w:ascii="Times New Roman" w:hAnsi="Times New Roman" w:cs="Times New Roman"/>
          <w:sz w:val="20"/>
          <w:szCs w:val="20"/>
          <w:lang w:val="de-DE"/>
        </w:rPr>
        <w:t xml:space="preserve">Aus Nichts kann Nichts enstehen. Die Materie kann daher nicht aus Nichts entstanden sey, eben so wenig aber aus sich </w:t>
      </w:r>
      <w:r w:rsidR="00584F07">
        <w:rPr>
          <w:rFonts w:ascii="Times New Roman" w:hAnsi="Times New Roman" w:cs="Times New Roman"/>
          <w:sz w:val="20"/>
          <w:szCs w:val="20"/>
          <w:lang w:val="de-DE"/>
        </w:rPr>
        <w:t>selbst, weil sie</w:t>
      </w:r>
      <w:r w:rsidRPr="00AE0996">
        <w:rPr>
          <w:rFonts w:ascii="Times New Roman" w:hAnsi="Times New Roman" w:cs="Times New Roman"/>
          <w:sz w:val="20"/>
          <w:szCs w:val="20"/>
          <w:lang w:val="de-DE"/>
        </w:rPr>
        <w:t xml:space="preserve"> keine Form hat. Folglich giebt es überhaupt keine Materie an sich, und alles ist geistiger Natur, ewig, sich selbst bewegend, unendlich u</w:t>
      </w:r>
      <w:r>
        <w:rPr>
          <w:rFonts w:ascii="Times New Roman" w:hAnsi="Times New Roman" w:cs="Times New Roman"/>
          <w:sz w:val="20"/>
          <w:szCs w:val="20"/>
          <w:lang w:val="de-DE"/>
        </w:rPr>
        <w:t xml:space="preserve">nd durch sich selbst seyend. </w:t>
      </w:r>
      <w:r w:rsidRPr="00AE0996">
        <w:rPr>
          <w:rFonts w:ascii="Times New Roman" w:hAnsi="Times New Roman" w:cs="Times New Roman"/>
          <w:sz w:val="20"/>
          <w:szCs w:val="20"/>
          <w:lang w:val="de-DE"/>
        </w:rPr>
        <w:t>Das Geistige ist das Ensoph, die unendliche Gottheit, der Realgrund alles Seyns. Aus ihm fliesst alles aus; weil die Dinge aber nur aus ihm emanieren können, so bestehen sie auch nur in ihm. Die Welt ist daher die immanente Wirkung der Gottheit, durch welche sie ihre Wesenheiten nach unendlichen Stufen und Arten dargestellt hat»</w:t>
      </w:r>
      <w:r w:rsidRPr="00AE0996">
        <w:rPr>
          <w:rStyle w:val="Rimandonotaapidipagina"/>
          <w:rFonts w:ascii="Times New Roman" w:hAnsi="Times New Roman" w:cs="Times New Roman"/>
          <w:sz w:val="20"/>
          <w:szCs w:val="20"/>
          <w:lang w:val="de-DE"/>
        </w:rPr>
        <w:footnoteReference w:id="718"/>
      </w:r>
      <w:r w:rsidRPr="00AE0996">
        <w:rPr>
          <w:rFonts w:ascii="Times New Roman" w:hAnsi="Times New Roman" w:cs="Times New Roman"/>
          <w:sz w:val="20"/>
          <w:szCs w:val="20"/>
          <w:lang w:val="de-DE"/>
        </w:rPr>
        <w:t>.</w:t>
      </w:r>
    </w:p>
    <w:p w14:paraId="6D852661" w14:textId="77777777" w:rsidR="001B7751" w:rsidRDefault="001B7751" w:rsidP="001B7751">
      <w:pPr>
        <w:spacing w:line="360" w:lineRule="auto"/>
        <w:ind w:left="1134" w:firstLine="567"/>
        <w:jc w:val="both"/>
        <w:rPr>
          <w:rFonts w:ascii="Times New Roman" w:hAnsi="Times New Roman" w:cs="Times New Roman"/>
          <w:lang w:val="de-DE"/>
        </w:rPr>
      </w:pPr>
    </w:p>
    <w:p w14:paraId="281E43A9" w14:textId="11DEB53F" w:rsidR="001B7751" w:rsidRDefault="001B7751" w:rsidP="001B7751">
      <w:pPr>
        <w:spacing w:line="360" w:lineRule="auto"/>
        <w:ind w:firstLine="567"/>
        <w:jc w:val="both"/>
        <w:rPr>
          <w:rFonts w:ascii="Times New Roman" w:hAnsi="Times New Roman" w:cs="Times New Roman"/>
        </w:rPr>
      </w:pPr>
      <w:r w:rsidRPr="00087EA7">
        <w:rPr>
          <w:rFonts w:ascii="Times New Roman" w:hAnsi="Times New Roman" w:cs="Times New Roman"/>
        </w:rPr>
        <w:t xml:space="preserve">Dal nulla non viene nulla </w:t>
      </w:r>
      <w:r>
        <w:rPr>
          <w:rFonts w:ascii="Times New Roman" w:hAnsi="Times New Roman" w:cs="Times New Roman"/>
        </w:rPr>
        <w:t xml:space="preserve">e dall’eternità sussiste una natura spirituale, per sé essente e semovente, che coincide con la divinità infinita, con l’En-sof. </w:t>
      </w:r>
      <w:r w:rsidRPr="00E50B26">
        <w:rPr>
          <w:rFonts w:ascii="Times New Roman" w:hAnsi="Times New Roman" w:cs="Times New Roman"/>
        </w:rPr>
        <w:t xml:space="preserve">Riprendendo le interpretazioni di Gottlieb Buhle e </w:t>
      </w:r>
      <w:r w:rsidRPr="001C7409">
        <w:rPr>
          <w:rFonts w:ascii="Times New Roman" w:hAnsi="Times New Roman" w:cs="Times New Roman"/>
        </w:rPr>
        <w:t xml:space="preserve">Henry More, Ast sostiene </w:t>
      </w:r>
      <w:r w:rsidR="008F723A" w:rsidRPr="001C7409">
        <w:rPr>
          <w:rFonts w:ascii="Times New Roman" w:hAnsi="Times New Roman" w:cs="Times New Roman"/>
        </w:rPr>
        <w:t>che la cosmologia cabbalistica</w:t>
      </w:r>
      <w:r w:rsidR="00B311C9" w:rsidRPr="001C7409">
        <w:rPr>
          <w:rFonts w:ascii="Times New Roman" w:hAnsi="Times New Roman" w:cs="Times New Roman"/>
        </w:rPr>
        <w:t>, in quanto</w:t>
      </w:r>
      <w:r w:rsidR="00DF6D15" w:rsidRPr="001C7409">
        <w:rPr>
          <w:rFonts w:ascii="Times New Roman" w:hAnsi="Times New Roman" w:cs="Times New Roman"/>
        </w:rPr>
        <w:t xml:space="preserve"> </w:t>
      </w:r>
      <w:r w:rsidR="008F723A" w:rsidRPr="001C7409">
        <w:rPr>
          <w:rFonts w:ascii="Times New Roman" w:hAnsi="Times New Roman" w:cs="Times New Roman"/>
        </w:rPr>
        <w:t>spiritualista</w:t>
      </w:r>
      <w:r w:rsidR="00B311C9" w:rsidRPr="001C7409">
        <w:rPr>
          <w:rFonts w:ascii="Times New Roman" w:hAnsi="Times New Roman" w:cs="Times New Roman"/>
        </w:rPr>
        <w:t>,</w:t>
      </w:r>
      <w:r w:rsidR="008F723A" w:rsidRPr="001C7409">
        <w:rPr>
          <w:rFonts w:ascii="Times New Roman" w:hAnsi="Times New Roman" w:cs="Times New Roman"/>
        </w:rPr>
        <w:t xml:space="preserve"> non </w:t>
      </w:r>
      <w:r w:rsidR="001C7409" w:rsidRPr="001C7409">
        <w:rPr>
          <w:rFonts w:ascii="Times New Roman" w:hAnsi="Times New Roman" w:cs="Times New Roman"/>
        </w:rPr>
        <w:t>attribuisce</w:t>
      </w:r>
      <w:r w:rsidRPr="00E50B26">
        <w:rPr>
          <w:rFonts w:ascii="Times New Roman" w:hAnsi="Times New Roman" w:cs="Times New Roman"/>
        </w:rPr>
        <w:t xml:space="preserve"> nessuna esistenza alla materia.</w:t>
      </w:r>
      <w:r>
        <w:rPr>
          <w:rFonts w:ascii="Times New Roman" w:hAnsi="Times New Roman" w:cs="Times New Roman"/>
        </w:rPr>
        <w:t xml:space="preserve"> All’impossibilità di una creazione della materia dal nulla, si somma la mancanza di forma della materia, che determina </w:t>
      </w:r>
      <w:r w:rsidRPr="00E50B26">
        <w:rPr>
          <w:rFonts w:ascii="Times New Roman" w:hAnsi="Times New Roman" w:cs="Times New Roman"/>
        </w:rPr>
        <w:t xml:space="preserve">la sua natura privativa, il suo non-essere. </w:t>
      </w:r>
      <w:r w:rsidR="00DF6D15" w:rsidRPr="00B80502">
        <w:rPr>
          <w:rFonts w:ascii="Times New Roman" w:hAnsi="Times New Roman" w:cs="Times New Roman"/>
        </w:rPr>
        <w:t>Rispetto a</w:t>
      </w:r>
      <w:r w:rsidRPr="00B80502">
        <w:rPr>
          <w:rFonts w:ascii="Times New Roman" w:hAnsi="Times New Roman" w:cs="Times New Roman"/>
        </w:rPr>
        <w:t xml:space="preserve">l </w:t>
      </w:r>
      <w:r w:rsidRPr="00B80502">
        <w:rPr>
          <w:rFonts w:ascii="Times New Roman" w:hAnsi="Times New Roman" w:cs="Times New Roman"/>
          <w:i/>
        </w:rPr>
        <w:t>Lehrbuch</w:t>
      </w:r>
      <w:r w:rsidR="002258BC" w:rsidRPr="00B80502">
        <w:rPr>
          <w:rFonts w:ascii="Times New Roman" w:hAnsi="Times New Roman" w:cs="Times New Roman"/>
        </w:rPr>
        <w:t xml:space="preserve"> </w:t>
      </w:r>
      <w:r w:rsidR="002258BC" w:rsidRPr="00B80502">
        <w:rPr>
          <w:rFonts w:ascii="Times New Roman" w:hAnsi="Times New Roman" w:cs="Times New Roman"/>
          <w:i/>
        </w:rPr>
        <w:t>der Geschichte der Philosophie</w:t>
      </w:r>
      <w:r w:rsidR="002258BC" w:rsidRPr="00B80502">
        <w:rPr>
          <w:rFonts w:ascii="Times New Roman" w:hAnsi="Times New Roman" w:cs="Times New Roman"/>
        </w:rPr>
        <w:t>,</w:t>
      </w:r>
      <w:r w:rsidRPr="00B80502">
        <w:rPr>
          <w:rFonts w:ascii="Times New Roman" w:hAnsi="Times New Roman" w:cs="Times New Roman"/>
        </w:rPr>
        <w:t xml:space="preserve"> le ultime righe di questo estratto</w:t>
      </w:r>
      <w:r w:rsidR="002258BC" w:rsidRPr="00B80502">
        <w:rPr>
          <w:rFonts w:ascii="Times New Roman" w:hAnsi="Times New Roman" w:cs="Times New Roman"/>
        </w:rPr>
        <w:t xml:space="preserve"> stemperano –</w:t>
      </w:r>
      <w:r w:rsidR="004A6810" w:rsidRPr="00B80502">
        <w:rPr>
          <w:rFonts w:ascii="Times New Roman" w:hAnsi="Times New Roman" w:cs="Times New Roman"/>
        </w:rPr>
        <w:t xml:space="preserve"> eccezion fatta per la definizione del mondo come </w:t>
      </w:r>
      <w:r w:rsidR="002258BC" w:rsidRPr="00B80502">
        <w:rPr>
          <w:rFonts w:ascii="Times New Roman" w:hAnsi="Times New Roman" w:cs="Times New Roman"/>
        </w:rPr>
        <w:t>effetto immanente della divinità – i riferimenti terminologico-concettuali</w:t>
      </w:r>
      <w:r w:rsidRPr="00B80502">
        <w:rPr>
          <w:rFonts w:ascii="Times New Roman" w:hAnsi="Times New Roman" w:cs="Times New Roman"/>
        </w:rPr>
        <w:t xml:space="preserve"> all’ontologia spinoziana. Sul pe</w:t>
      </w:r>
      <w:r w:rsidR="00923553" w:rsidRPr="00B80502">
        <w:rPr>
          <w:rFonts w:ascii="Times New Roman" w:hAnsi="Times New Roman" w:cs="Times New Roman"/>
        </w:rPr>
        <w:t xml:space="preserve">rché di questa scelta, </w:t>
      </w:r>
      <w:r w:rsidR="00DF6D15" w:rsidRPr="00B80502">
        <w:rPr>
          <w:rFonts w:ascii="Times New Roman" w:hAnsi="Times New Roman" w:cs="Times New Roman"/>
        </w:rPr>
        <w:t xml:space="preserve">che non ritengo casuale, </w:t>
      </w:r>
      <w:r w:rsidR="00923553" w:rsidRPr="00B80502">
        <w:rPr>
          <w:rFonts w:ascii="Times New Roman" w:hAnsi="Times New Roman" w:cs="Times New Roman"/>
        </w:rPr>
        <w:t>tornerò</w:t>
      </w:r>
      <w:r w:rsidR="002258BC" w:rsidRPr="00B80502">
        <w:rPr>
          <w:rFonts w:ascii="Times New Roman" w:hAnsi="Times New Roman" w:cs="Times New Roman"/>
        </w:rPr>
        <w:t xml:space="preserve"> nel proseguo del presente </w:t>
      </w:r>
      <w:r w:rsidRPr="00B80502">
        <w:rPr>
          <w:rFonts w:ascii="Times New Roman" w:hAnsi="Times New Roman" w:cs="Times New Roman"/>
        </w:rPr>
        <w:t xml:space="preserve">sottocapitolo. </w:t>
      </w:r>
      <w:r w:rsidR="00DF6D15" w:rsidRPr="00B80502">
        <w:rPr>
          <w:rFonts w:ascii="Times New Roman" w:hAnsi="Times New Roman" w:cs="Times New Roman"/>
        </w:rPr>
        <w:t xml:space="preserve">Ricollegondosi ad </w:t>
      </w:r>
      <w:r w:rsidRPr="00B80502">
        <w:rPr>
          <w:rFonts w:ascii="Times New Roman" w:hAnsi="Times New Roman" w:cs="Times New Roman"/>
        </w:rPr>
        <w:t>un paradigma interpretativo emanatistico, Ast afferma che l’Uno è separato dal molto e che il molto segue dalla prima emanazione dell’Uno:</w:t>
      </w:r>
    </w:p>
    <w:p w14:paraId="2C167DF1" w14:textId="77777777" w:rsidR="001B7751" w:rsidRDefault="001B7751" w:rsidP="001B7751">
      <w:pPr>
        <w:spacing w:line="360" w:lineRule="auto"/>
        <w:ind w:left="567" w:firstLine="567"/>
        <w:jc w:val="both"/>
        <w:rPr>
          <w:rFonts w:ascii="Times New Roman" w:hAnsi="Times New Roman" w:cs="Times New Roman"/>
        </w:rPr>
      </w:pPr>
    </w:p>
    <w:p w14:paraId="75EA4E54" w14:textId="77777777" w:rsidR="001B7751" w:rsidRPr="00D30896" w:rsidRDefault="001B7751" w:rsidP="001B7751">
      <w:pPr>
        <w:spacing w:line="360" w:lineRule="auto"/>
        <w:ind w:left="567" w:firstLine="567"/>
        <w:jc w:val="both"/>
        <w:rPr>
          <w:rFonts w:ascii="Times New Roman" w:hAnsi="Times New Roman" w:cs="Times New Roman"/>
          <w:lang w:val="de-DE"/>
        </w:rPr>
      </w:pPr>
      <w:r w:rsidRPr="00D30896">
        <w:rPr>
          <w:rFonts w:ascii="Times New Roman" w:hAnsi="Times New Roman" w:cs="Times New Roman"/>
          <w:sz w:val="20"/>
          <w:szCs w:val="20"/>
        </w:rPr>
        <w:t>«</w:t>
      </w:r>
      <w:r w:rsidRPr="00D30896">
        <w:rPr>
          <w:rFonts w:ascii="Times New Roman" w:hAnsi="Times New Roman" w:cs="Times New Roman"/>
          <w:sz w:val="20"/>
          <w:szCs w:val="20"/>
          <w:lang w:val="de-DE"/>
        </w:rPr>
        <w:t>Um alle Wesenheiten aus seiner Verborgenheit hervorgehen zu lassen, liess Gott einen ersten Grundquell der Dinge aus sich fliessen, den erstgebohrnen Sohn, Adam Kadmon, den Urmensch, aus und durch welchen alle übrigen Emanationen erfolgen. Der erstgebohrne Sohn offenbarte sich in seinen Emanationen auf zehn Arten oder in zehn Lichtströmen, Sphiroth gennant […] Hieraus enstanden die vier Welten: 1) Aziluth, die vollkommne, emanierte Welt</w:t>
      </w:r>
      <w:r>
        <w:rPr>
          <w:rFonts w:ascii="Times New Roman" w:hAnsi="Times New Roman" w:cs="Times New Roman"/>
          <w:sz w:val="20"/>
          <w:szCs w:val="20"/>
          <w:lang w:val="de-DE"/>
        </w:rPr>
        <w:t>, die unmittelbar mit ihrem Principe (dem Adam Kadmon) durch Emanation vereinigt ist</w:t>
      </w:r>
      <w:r w:rsidRPr="00D30896">
        <w:rPr>
          <w:rFonts w:ascii="Times New Roman" w:hAnsi="Times New Roman" w:cs="Times New Roman"/>
          <w:sz w:val="20"/>
          <w:szCs w:val="20"/>
          <w:lang w:val="de-DE"/>
        </w:rPr>
        <w:t>; 2) Briah, die erschaffne Welt, die geistigen Wesen begreifend […]; 3) Jezirah, die geformte W</w:t>
      </w:r>
      <w:r>
        <w:rPr>
          <w:rFonts w:ascii="Times New Roman" w:hAnsi="Times New Roman" w:cs="Times New Roman"/>
          <w:sz w:val="20"/>
          <w:szCs w:val="20"/>
          <w:lang w:val="de-DE"/>
        </w:rPr>
        <w:t>e</w:t>
      </w:r>
      <w:r w:rsidRPr="00D30896">
        <w:rPr>
          <w:rFonts w:ascii="Times New Roman" w:hAnsi="Times New Roman" w:cs="Times New Roman"/>
          <w:sz w:val="20"/>
          <w:szCs w:val="20"/>
          <w:lang w:val="de-DE"/>
        </w:rPr>
        <w:t>lt, die Engel in sich fassend […]; 4) Asiah, die materielle Welt»</w:t>
      </w:r>
      <w:r w:rsidRPr="00D30896">
        <w:rPr>
          <w:rStyle w:val="Rimandonotaapidipagina"/>
          <w:rFonts w:ascii="Times New Roman" w:hAnsi="Times New Roman" w:cs="Times New Roman"/>
          <w:sz w:val="20"/>
          <w:szCs w:val="20"/>
          <w:lang w:val="de-DE"/>
        </w:rPr>
        <w:footnoteReference w:id="719"/>
      </w:r>
      <w:r w:rsidRPr="00D30896">
        <w:rPr>
          <w:rFonts w:ascii="Times New Roman" w:hAnsi="Times New Roman" w:cs="Times New Roman"/>
          <w:sz w:val="20"/>
          <w:szCs w:val="20"/>
          <w:lang w:val="de-DE"/>
        </w:rPr>
        <w:t>.</w:t>
      </w:r>
    </w:p>
    <w:p w14:paraId="38CBED2B" w14:textId="77777777" w:rsidR="001B7751" w:rsidRDefault="001B7751" w:rsidP="001B7751">
      <w:pPr>
        <w:spacing w:line="360" w:lineRule="auto"/>
        <w:ind w:left="1134" w:firstLine="567"/>
        <w:jc w:val="both"/>
        <w:rPr>
          <w:rFonts w:ascii="Times New Roman" w:hAnsi="Times New Roman" w:cs="Times New Roman"/>
          <w:lang w:val="de-DE"/>
        </w:rPr>
      </w:pPr>
    </w:p>
    <w:p w14:paraId="02565FD2" w14:textId="77777777" w:rsidR="001B7751" w:rsidRDefault="001B7751" w:rsidP="001B7751">
      <w:pPr>
        <w:spacing w:line="360" w:lineRule="auto"/>
        <w:ind w:firstLine="567"/>
        <w:jc w:val="both"/>
        <w:rPr>
          <w:rFonts w:ascii="Times New Roman" w:hAnsi="Times New Roman" w:cs="Times New Roman"/>
        </w:rPr>
      </w:pPr>
      <w:r w:rsidRPr="002B77E4">
        <w:rPr>
          <w:rFonts w:ascii="Times New Roman" w:hAnsi="Times New Roman" w:cs="Times New Roman"/>
        </w:rPr>
        <w:t>Dall’infinito segue un solo effetto, l’uomo primordiale, che è radice delle successive emanazioni dell’En-sof. Oltre al mondo aziluthico, che è immediatamente unito all’Adam Kadmon, la Qabbalah teorizza altri tre mondi, che sono più o meno compenetrati dalla luce divina.</w:t>
      </w:r>
      <w:r>
        <w:rPr>
          <w:rFonts w:ascii="Times New Roman" w:hAnsi="Times New Roman" w:cs="Times New Roman"/>
        </w:rPr>
        <w:t xml:space="preserve"> A questo punto, Ast deve spiegare in che modo la luce divina si diffonda nei vari livelli del sistema emanativo. Seguendo ancora una volta Buhle, il </w:t>
      </w:r>
      <w:r w:rsidRPr="00516A17">
        <w:rPr>
          <w:rFonts w:ascii="Times New Roman" w:hAnsi="Times New Roman" w:cs="Times New Roman"/>
          <w:i/>
        </w:rPr>
        <w:t xml:space="preserve">Grundriss </w:t>
      </w:r>
      <w:r>
        <w:rPr>
          <w:rFonts w:ascii="Times New Roman" w:hAnsi="Times New Roman" w:cs="Times New Roman"/>
        </w:rPr>
        <w:t>dice che:</w:t>
      </w:r>
    </w:p>
    <w:p w14:paraId="46A69C8F" w14:textId="77777777" w:rsidR="001B7751" w:rsidRDefault="001B7751" w:rsidP="001B7751">
      <w:pPr>
        <w:spacing w:line="360" w:lineRule="auto"/>
        <w:ind w:left="567" w:firstLine="567"/>
        <w:jc w:val="both"/>
        <w:rPr>
          <w:rFonts w:ascii="Times New Roman" w:hAnsi="Times New Roman" w:cs="Times New Roman"/>
        </w:rPr>
      </w:pPr>
    </w:p>
    <w:p w14:paraId="00D0E64F" w14:textId="77777777" w:rsidR="001B7751" w:rsidRPr="00D30896" w:rsidRDefault="001B7751" w:rsidP="001B7751">
      <w:pPr>
        <w:spacing w:line="360" w:lineRule="auto"/>
        <w:ind w:left="567" w:firstLine="567"/>
        <w:jc w:val="both"/>
        <w:rPr>
          <w:rFonts w:ascii="Times New Roman" w:hAnsi="Times New Roman" w:cs="Times New Roman"/>
          <w:sz w:val="20"/>
          <w:szCs w:val="20"/>
          <w:lang w:val="de-DE"/>
        </w:rPr>
      </w:pPr>
      <w:r w:rsidRPr="00D30896">
        <w:rPr>
          <w:rFonts w:ascii="Times New Roman" w:hAnsi="Times New Roman" w:cs="Times New Roman"/>
          <w:sz w:val="20"/>
          <w:szCs w:val="20"/>
          <w:lang w:val="de-DE"/>
        </w:rPr>
        <w:t>«Vor der Schöpfung war das Urlicht überall ausgebreitet, alles erfüllend. Da es nun der Wille der Gottheit war, in der Schöpfung sich zu offenbaren, wegen der Allgewalt des blendenden Lichts aber nichts hatte entstehen können, so zog sich das Urlicht von seinem Mittelpunkte in gleicher Entfernung auf jeder Seite zurück, so dass ein vollkommner, lichtlerer Kreis entstand, in welchem jedoch zehn Spuren des Lichts zurückblieben, aus denen sich zehn Kreise bildeten, die das göttliche Licht umschloss»</w:t>
      </w:r>
      <w:r w:rsidRPr="00D30896">
        <w:rPr>
          <w:rStyle w:val="Rimandonotaapidipagina"/>
          <w:rFonts w:ascii="Times New Roman" w:hAnsi="Times New Roman" w:cs="Times New Roman"/>
          <w:sz w:val="20"/>
          <w:szCs w:val="20"/>
          <w:lang w:val="de-DE"/>
        </w:rPr>
        <w:footnoteReference w:id="720"/>
      </w:r>
      <w:r w:rsidRPr="00D30896">
        <w:rPr>
          <w:rFonts w:ascii="Times New Roman" w:hAnsi="Times New Roman" w:cs="Times New Roman"/>
          <w:sz w:val="20"/>
          <w:szCs w:val="20"/>
          <w:lang w:val="de-DE"/>
        </w:rPr>
        <w:t>.</w:t>
      </w:r>
    </w:p>
    <w:p w14:paraId="69200C56" w14:textId="77777777" w:rsidR="001B7751" w:rsidRPr="00047E64" w:rsidRDefault="001B7751" w:rsidP="001B7751">
      <w:pPr>
        <w:spacing w:line="360" w:lineRule="auto"/>
        <w:ind w:left="567" w:firstLine="567"/>
        <w:jc w:val="both"/>
        <w:rPr>
          <w:rFonts w:ascii="Times New Roman" w:hAnsi="Times New Roman" w:cs="Times New Roman"/>
        </w:rPr>
      </w:pPr>
    </w:p>
    <w:p w14:paraId="0D861C75" w14:textId="5892B5EB" w:rsidR="001B7751" w:rsidRDefault="001B7751" w:rsidP="001B7751">
      <w:pPr>
        <w:spacing w:line="360" w:lineRule="auto"/>
        <w:ind w:firstLine="567"/>
        <w:jc w:val="both"/>
        <w:rPr>
          <w:rFonts w:ascii="Times New Roman" w:hAnsi="Times New Roman" w:cs="Times New Roman"/>
        </w:rPr>
      </w:pPr>
      <w:r>
        <w:rPr>
          <w:rFonts w:ascii="Times New Roman" w:hAnsi="Times New Roman" w:cs="Times New Roman"/>
        </w:rPr>
        <w:t xml:space="preserve">Prima della creazione, la luce originaria era infinitamente diffusa e espansa. Per rivelarsi, la divinità si è ritirata in se stessa: </w:t>
      </w:r>
      <w:r w:rsidR="008F723A">
        <w:rPr>
          <w:rFonts w:ascii="Times New Roman" w:hAnsi="Times New Roman" w:cs="Times New Roman"/>
        </w:rPr>
        <w:t>dalla contrazione</w:t>
      </w:r>
      <w:r w:rsidRPr="000F652F">
        <w:rPr>
          <w:rFonts w:ascii="Times New Roman" w:hAnsi="Times New Roman" w:cs="Times New Roman"/>
        </w:rPr>
        <w:t xml:space="preserve"> deriva uno spazio circolare vuoto, nel quale permangono tracce della luce divina</w:t>
      </w:r>
      <w:r w:rsidRPr="004E20AE">
        <w:rPr>
          <w:rFonts w:ascii="Times New Roman" w:hAnsi="Times New Roman" w:cs="Times New Roman"/>
        </w:rPr>
        <w:t>; da queste tracce, che sono in totale dieci, traggono origine le Sefiroth; dalle manifestazioni dell’En-sof, seguono i quattro mondi, che accolgono in sé gradi differenti e decrescenti di luce.</w:t>
      </w:r>
      <w:r>
        <w:rPr>
          <w:rFonts w:ascii="Times New Roman" w:hAnsi="Times New Roman" w:cs="Times New Roman"/>
        </w:rPr>
        <w:t xml:space="preserve"> </w:t>
      </w:r>
      <w:r w:rsidRPr="008A7138">
        <w:rPr>
          <w:rFonts w:ascii="Times New Roman" w:hAnsi="Times New Roman" w:cs="Times New Roman"/>
        </w:rPr>
        <w:t>Essendo ciò che più dista dalla luce originaria, la materia è «</w:t>
      </w:r>
      <w:r w:rsidRPr="008A7138">
        <w:rPr>
          <w:rFonts w:ascii="Times New Roman" w:hAnsi="Times New Roman" w:cs="Times New Roman"/>
          <w:lang w:val="de-DE"/>
        </w:rPr>
        <w:t xml:space="preserve">das von dem Licht </w:t>
      </w:r>
      <w:r w:rsidRPr="00B80502">
        <w:rPr>
          <w:rFonts w:ascii="Times New Roman" w:hAnsi="Times New Roman" w:cs="Times New Roman"/>
          <w:lang w:val="de-DE"/>
        </w:rPr>
        <w:t>entfernteste, gleichsam die Kohle der göttlichen Substanz</w:t>
      </w:r>
      <w:r w:rsidRPr="00B80502">
        <w:rPr>
          <w:rFonts w:ascii="Times New Roman" w:hAnsi="Times New Roman" w:cs="Times New Roman"/>
          <w:sz w:val="20"/>
          <w:szCs w:val="20"/>
          <w:lang w:val="de-DE"/>
        </w:rPr>
        <w:t>»</w:t>
      </w:r>
      <w:r w:rsidRPr="00B80502">
        <w:rPr>
          <w:rStyle w:val="Rimandonotaapidipagina"/>
          <w:rFonts w:ascii="Times New Roman" w:hAnsi="Times New Roman" w:cs="Times New Roman"/>
          <w:sz w:val="20"/>
          <w:szCs w:val="20"/>
          <w:lang w:val="de-DE"/>
        </w:rPr>
        <w:footnoteReference w:id="721"/>
      </w:r>
      <w:r w:rsidRPr="00B80502">
        <w:rPr>
          <w:rFonts w:ascii="Times New Roman" w:hAnsi="Times New Roman" w:cs="Times New Roman"/>
          <w:sz w:val="20"/>
          <w:szCs w:val="20"/>
          <w:lang w:val="de-DE"/>
        </w:rPr>
        <w:t xml:space="preserve">. </w:t>
      </w:r>
      <w:r w:rsidRPr="00B80502">
        <w:rPr>
          <w:rFonts w:ascii="Times New Roman" w:hAnsi="Times New Roman" w:cs="Times New Roman"/>
        </w:rPr>
        <w:t xml:space="preserve">Tutti questi elementi costituiscono la comprensione che Ast possiede della Qabbalah. In queste pagine del </w:t>
      </w:r>
      <w:r w:rsidRPr="00B80502">
        <w:rPr>
          <w:rFonts w:ascii="Times New Roman" w:hAnsi="Times New Roman" w:cs="Times New Roman"/>
          <w:i/>
        </w:rPr>
        <w:t>Grundriss einer Geschichte der Philosophie</w:t>
      </w:r>
      <w:r w:rsidRPr="00B80502">
        <w:rPr>
          <w:rFonts w:ascii="Times New Roman" w:hAnsi="Times New Roman" w:cs="Times New Roman"/>
        </w:rPr>
        <w:t xml:space="preserve">, </w:t>
      </w:r>
      <w:r w:rsidR="00DF6D15" w:rsidRPr="00B80502">
        <w:rPr>
          <w:rFonts w:ascii="Times New Roman" w:hAnsi="Times New Roman" w:cs="Times New Roman"/>
        </w:rPr>
        <w:t xml:space="preserve">è in atto </w:t>
      </w:r>
      <w:r w:rsidRPr="00B80502">
        <w:rPr>
          <w:rFonts w:ascii="Times New Roman" w:hAnsi="Times New Roman" w:cs="Times New Roman"/>
        </w:rPr>
        <w:t xml:space="preserve">un recupero del </w:t>
      </w:r>
      <w:r w:rsidRPr="00B80502">
        <w:rPr>
          <w:rFonts w:ascii="Times New Roman" w:hAnsi="Times New Roman" w:cs="Times New Roman"/>
          <w:i/>
        </w:rPr>
        <w:t xml:space="preserve">Lehrbuch </w:t>
      </w:r>
      <w:r w:rsidRPr="00B80502">
        <w:rPr>
          <w:rFonts w:ascii="Times New Roman" w:hAnsi="Times New Roman" w:cs="Times New Roman"/>
        </w:rPr>
        <w:t>di Buhle, che costituisce la base argomentativa del compendio di Ast. La Qabbalah si struttura come un sistema</w:t>
      </w:r>
      <w:r w:rsidRPr="00B80502">
        <w:rPr>
          <w:rFonts w:ascii="Times New Roman" w:hAnsi="Times New Roman" w:cs="Times New Roman"/>
          <w:i/>
        </w:rPr>
        <w:t xml:space="preserve"> </w:t>
      </w:r>
      <w:r w:rsidRPr="00B80502">
        <w:rPr>
          <w:rFonts w:ascii="Times New Roman" w:hAnsi="Times New Roman" w:cs="Times New Roman"/>
        </w:rPr>
        <w:t xml:space="preserve">spiritualistico, capace di coniugare in sé elementi </w:t>
      </w:r>
      <w:r w:rsidR="008F723A" w:rsidRPr="00B80502">
        <w:rPr>
          <w:rFonts w:ascii="Times New Roman" w:hAnsi="Times New Roman" w:cs="Times New Roman"/>
        </w:rPr>
        <w:t>greco-orientali</w:t>
      </w:r>
      <w:r w:rsidRPr="00B80502">
        <w:rPr>
          <w:rFonts w:ascii="Times New Roman" w:hAnsi="Times New Roman" w:cs="Times New Roman"/>
        </w:rPr>
        <w:t xml:space="preserve">: all’unità dello spirito, che deriva dalla diffusione della luce originaria nei diversi livelli emanativi, si </w:t>
      </w:r>
      <w:r w:rsidRPr="00B80502">
        <w:rPr>
          <w:rFonts w:ascii="Times New Roman" w:hAnsi="Times New Roman" w:cs="Times New Roman"/>
          <w:i/>
        </w:rPr>
        <w:t>contrappone</w:t>
      </w:r>
      <w:r w:rsidRPr="00B80502">
        <w:rPr>
          <w:rFonts w:ascii="Times New Roman" w:hAnsi="Times New Roman" w:cs="Times New Roman"/>
        </w:rPr>
        <w:t xml:space="preserve"> la non esistenza della materia, non creabile dal nulla, pena la trasgressione del principio </w:t>
      </w:r>
      <w:r w:rsidRPr="00B80502">
        <w:rPr>
          <w:rFonts w:ascii="Times New Roman" w:hAnsi="Times New Roman" w:cs="Times New Roman"/>
          <w:i/>
        </w:rPr>
        <w:t>aus Nichts Nichts wird</w:t>
      </w:r>
      <w:r w:rsidR="00015691" w:rsidRPr="00B80502">
        <w:rPr>
          <w:rFonts w:ascii="Times New Roman" w:hAnsi="Times New Roman" w:cs="Times New Roman"/>
        </w:rPr>
        <w:t>, e tantomeno per sé sussistente</w:t>
      </w:r>
      <w:r w:rsidRPr="00B80502">
        <w:rPr>
          <w:rFonts w:ascii="Times New Roman" w:hAnsi="Times New Roman" w:cs="Times New Roman"/>
        </w:rPr>
        <w:t>, essendo privazione assoluta di forma.</w:t>
      </w:r>
      <w:r>
        <w:rPr>
          <w:rFonts w:ascii="Times New Roman" w:hAnsi="Times New Roman" w:cs="Times New Roman"/>
        </w:rPr>
        <w:t xml:space="preserve"> </w:t>
      </w:r>
    </w:p>
    <w:p w14:paraId="6CFE71F1" w14:textId="5C83DDA9" w:rsidR="001B7751" w:rsidRPr="00C34FFD" w:rsidRDefault="001B7751" w:rsidP="001B7751">
      <w:pPr>
        <w:spacing w:line="360" w:lineRule="auto"/>
        <w:ind w:firstLine="567"/>
        <w:jc w:val="both"/>
        <w:rPr>
          <w:rFonts w:ascii="Times New Roman" w:hAnsi="Times New Roman" w:cs="Times New Roman"/>
        </w:rPr>
      </w:pPr>
      <w:r>
        <w:rPr>
          <w:rFonts w:ascii="Times New Roman" w:hAnsi="Times New Roman" w:cs="Times New Roman"/>
        </w:rPr>
        <w:t xml:space="preserve">È bene tornare su una questione introdotta, ma non sviluppata, in occasione di quel passaggio argomentativo in </w:t>
      </w:r>
      <w:r w:rsidRPr="004749FF">
        <w:rPr>
          <w:rFonts w:ascii="Times New Roman" w:hAnsi="Times New Roman" w:cs="Times New Roman"/>
        </w:rPr>
        <w:t xml:space="preserve">cui Ast definisce il mondo come effetto immanente </w:t>
      </w:r>
      <w:r w:rsidRPr="00B80502">
        <w:rPr>
          <w:rFonts w:ascii="Times New Roman" w:hAnsi="Times New Roman" w:cs="Times New Roman"/>
        </w:rPr>
        <w:t xml:space="preserve">dell’infinito. Si era osservato che la ripresa del </w:t>
      </w:r>
      <w:r w:rsidRPr="00B80502">
        <w:rPr>
          <w:rFonts w:ascii="Times New Roman" w:hAnsi="Times New Roman" w:cs="Times New Roman"/>
          <w:i/>
        </w:rPr>
        <w:t>Lehrbuch</w:t>
      </w:r>
      <w:r w:rsidRPr="00B80502">
        <w:rPr>
          <w:rFonts w:ascii="Times New Roman" w:hAnsi="Times New Roman" w:cs="Times New Roman"/>
        </w:rPr>
        <w:t xml:space="preserve"> di Buhle era andata incontro ad alcune </w:t>
      </w:r>
      <w:r w:rsidRPr="00AC2562">
        <w:rPr>
          <w:rFonts w:ascii="Times New Roman" w:hAnsi="Times New Roman" w:cs="Times New Roman"/>
        </w:rPr>
        <w:t xml:space="preserve">modifiche di non poco conto: Ast omette </w:t>
      </w:r>
      <w:r w:rsidR="00015691" w:rsidRPr="00AC2562">
        <w:rPr>
          <w:rFonts w:ascii="Times New Roman" w:hAnsi="Times New Roman" w:cs="Times New Roman"/>
        </w:rPr>
        <w:t>ulteriori</w:t>
      </w:r>
      <w:r w:rsidRPr="00AC2562">
        <w:rPr>
          <w:rFonts w:ascii="Times New Roman" w:hAnsi="Times New Roman" w:cs="Times New Roman"/>
        </w:rPr>
        <w:t xml:space="preserve"> richiami allo spinozismo e descrive la causalità divina in termini prettamente emanatistici. Questa scelta, che potrebbe </w:t>
      </w:r>
      <w:r w:rsidR="00015691" w:rsidRPr="00AC2562">
        <w:rPr>
          <w:rFonts w:ascii="Times New Roman" w:hAnsi="Times New Roman" w:cs="Times New Roman"/>
        </w:rPr>
        <w:t>sembrare</w:t>
      </w:r>
      <w:r w:rsidR="00B80502" w:rsidRPr="00AC2562">
        <w:rPr>
          <w:rFonts w:ascii="Times New Roman" w:hAnsi="Times New Roman" w:cs="Times New Roman"/>
        </w:rPr>
        <w:t xml:space="preserve"> del tutto irrilevante</w:t>
      </w:r>
      <w:r w:rsidRPr="00AC2562">
        <w:rPr>
          <w:rFonts w:ascii="Times New Roman" w:hAnsi="Times New Roman" w:cs="Times New Roman"/>
        </w:rPr>
        <w:t>,</w:t>
      </w:r>
      <w:r>
        <w:rPr>
          <w:rFonts w:ascii="Times New Roman" w:hAnsi="Times New Roman" w:cs="Times New Roman"/>
        </w:rPr>
        <w:t xml:space="preserve"> risente,</w:t>
      </w:r>
      <w:r w:rsidRPr="007E62FD">
        <w:rPr>
          <w:rFonts w:ascii="Times New Roman" w:hAnsi="Times New Roman" w:cs="Times New Roman"/>
        </w:rPr>
        <w:t xml:space="preserve"> </w:t>
      </w:r>
      <w:r w:rsidR="00FC47F5">
        <w:rPr>
          <w:rFonts w:ascii="Times New Roman" w:hAnsi="Times New Roman" w:cs="Times New Roman"/>
        </w:rPr>
        <w:t>in realt</w:t>
      </w:r>
      <w:r>
        <w:rPr>
          <w:rFonts w:ascii="Times New Roman" w:hAnsi="Times New Roman" w:cs="Times New Roman"/>
        </w:rPr>
        <w:t xml:space="preserve">à, della mutata comprensione che il </w:t>
      </w:r>
      <w:r w:rsidRPr="00686420">
        <w:rPr>
          <w:rFonts w:ascii="Times New Roman" w:hAnsi="Times New Roman" w:cs="Times New Roman"/>
          <w:i/>
        </w:rPr>
        <w:t>Grundriss</w:t>
      </w:r>
      <w:r>
        <w:rPr>
          <w:rFonts w:ascii="Times New Roman" w:hAnsi="Times New Roman" w:cs="Times New Roman"/>
          <w:i/>
        </w:rPr>
        <w:t xml:space="preserve"> </w:t>
      </w:r>
      <w:r>
        <w:rPr>
          <w:rFonts w:ascii="Times New Roman" w:hAnsi="Times New Roman" w:cs="Times New Roman"/>
        </w:rPr>
        <w:t xml:space="preserve">sviluppa dello spinozismo. </w:t>
      </w:r>
      <w:r w:rsidRPr="003C0F7B">
        <w:rPr>
          <w:rFonts w:ascii="Times New Roman" w:hAnsi="Times New Roman" w:cs="Times New Roman"/>
        </w:rPr>
        <w:t>È bene ricordare che</w:t>
      </w:r>
      <w:r>
        <w:rPr>
          <w:rFonts w:ascii="Times New Roman" w:hAnsi="Times New Roman" w:cs="Times New Roman"/>
        </w:rPr>
        <w:t xml:space="preserve"> Ast considera Schelling il punto d’arrivo della riflessione filosofica e che proprio Schelling elabora la filosofia dell’identità a partire da una reinterpretazione dell’ontologia spinoziana. Attraverso il filtro hegeliano, </w:t>
      </w:r>
      <w:r w:rsidRPr="00D15E52">
        <w:rPr>
          <w:rFonts w:ascii="Times New Roman" w:hAnsi="Times New Roman" w:cs="Times New Roman"/>
        </w:rPr>
        <w:t>abbiamo avuto modo di confrontarci con la concezione schellinghiana dell’Assoluto</w:t>
      </w:r>
      <w:r w:rsidRPr="00D15E52">
        <w:rPr>
          <w:rStyle w:val="Rimandonotaapidipagina"/>
          <w:rFonts w:ascii="Times New Roman" w:hAnsi="Times New Roman" w:cs="Times New Roman"/>
        </w:rPr>
        <w:footnoteReference w:id="722"/>
      </w:r>
      <w:r w:rsidRPr="00D15E52">
        <w:rPr>
          <w:rFonts w:ascii="Times New Roman" w:hAnsi="Times New Roman" w:cs="Times New Roman"/>
        </w:rPr>
        <w:t xml:space="preserve">. All’unità </w:t>
      </w:r>
      <w:r w:rsidR="00D4409C" w:rsidRPr="00D15E52">
        <w:rPr>
          <w:rFonts w:ascii="Times New Roman" w:hAnsi="Times New Roman" w:cs="Times New Roman"/>
        </w:rPr>
        <w:t xml:space="preserve">indifferente </w:t>
      </w:r>
      <w:r w:rsidRPr="00D15E52">
        <w:rPr>
          <w:rFonts w:ascii="Times New Roman" w:hAnsi="Times New Roman" w:cs="Times New Roman"/>
        </w:rPr>
        <w:t>della sostanza, segue il suo differenziarsi in natura (estensione) e spirito (pensiero)</w:t>
      </w:r>
      <w:r w:rsidRPr="00D15E52">
        <w:rPr>
          <w:rStyle w:val="Rimandonotaapidipagina"/>
          <w:rFonts w:ascii="Times New Roman" w:hAnsi="Times New Roman" w:cs="Times New Roman"/>
        </w:rPr>
        <w:footnoteReference w:id="723"/>
      </w:r>
      <w:r w:rsidRPr="00D15E52">
        <w:rPr>
          <w:rFonts w:ascii="Times New Roman" w:hAnsi="Times New Roman" w:cs="Times New Roman"/>
        </w:rPr>
        <w:t>.</w:t>
      </w:r>
      <w:r>
        <w:rPr>
          <w:rFonts w:ascii="Times New Roman" w:hAnsi="Times New Roman" w:cs="Times New Roman"/>
        </w:rPr>
        <w:t xml:space="preserve"> </w:t>
      </w:r>
      <w:r w:rsidRPr="00013404">
        <w:rPr>
          <w:rFonts w:ascii="Times New Roman" w:hAnsi="Times New Roman" w:cs="Times New Roman"/>
        </w:rPr>
        <w:t>A questo sviluppo differenziato corrisponde l’identità dei due termini che, fatta valere la loro opposizione, esprimono il medesimo contenuto assoluto e si ricongiungono nell’identità assoluta.</w:t>
      </w:r>
      <w:r w:rsidRPr="00B35744">
        <w:rPr>
          <w:rFonts w:ascii="Times New Roman" w:hAnsi="Times New Roman" w:cs="Times New Roman"/>
        </w:rPr>
        <w:t xml:space="preserve"> Si ricorderà che tutti i riferimenti al dibattito sul presunto cabbalismo di Spinoza sono omessi dalla </w:t>
      </w:r>
      <w:r w:rsidRPr="00B35744">
        <w:rPr>
          <w:rFonts w:ascii="Times New Roman" w:hAnsi="Times New Roman" w:cs="Times New Roman"/>
          <w:i/>
        </w:rPr>
        <w:t>Darstellung</w:t>
      </w:r>
      <w:r w:rsidRPr="00B35744">
        <w:rPr>
          <w:rFonts w:ascii="Times New Roman" w:hAnsi="Times New Roman" w:cs="Times New Roman"/>
        </w:rPr>
        <w:t xml:space="preserve"> di Schelling e dal </w:t>
      </w:r>
      <w:r w:rsidRPr="00B35744">
        <w:rPr>
          <w:rFonts w:ascii="Times New Roman" w:hAnsi="Times New Roman" w:cs="Times New Roman"/>
          <w:i/>
        </w:rPr>
        <w:t xml:space="preserve">Differenzschrift </w:t>
      </w:r>
      <w:r w:rsidRPr="00B35744">
        <w:rPr>
          <w:rFonts w:ascii="Times New Roman" w:hAnsi="Times New Roman" w:cs="Times New Roman"/>
        </w:rPr>
        <w:t xml:space="preserve">di Hegel. Ragioni d’ordine teorico determinano l’omissione di un dibattito che verte sulla genesi storico-filosofica del pensiero spinoziano. Anche Ast segue questo taglio interpretativo nel </w:t>
      </w:r>
      <w:r w:rsidRPr="00B35744">
        <w:rPr>
          <w:rFonts w:ascii="Times New Roman" w:hAnsi="Times New Roman" w:cs="Times New Roman"/>
          <w:i/>
        </w:rPr>
        <w:t>Grundriss einer Geschichte der Philosophie</w:t>
      </w:r>
      <w:r w:rsidRPr="00B35744">
        <w:rPr>
          <w:rFonts w:ascii="Times New Roman" w:hAnsi="Times New Roman" w:cs="Times New Roman"/>
        </w:rPr>
        <w:t xml:space="preserve">: tutte le questioni dello </w:t>
      </w:r>
      <w:r w:rsidRPr="00B35744">
        <w:rPr>
          <w:rFonts w:ascii="Times New Roman" w:hAnsi="Times New Roman" w:cs="Times New Roman"/>
          <w:i/>
        </w:rPr>
        <w:t>Spinozisumsstreit</w:t>
      </w:r>
      <w:r w:rsidRPr="00B35744">
        <w:rPr>
          <w:rFonts w:ascii="Times New Roman" w:hAnsi="Times New Roman" w:cs="Times New Roman"/>
        </w:rPr>
        <w:t xml:space="preserve">, in qualche modo afferenti al rapporto fra spinozismo e Qabbalah, sono espunte dalla discussione sull’ontologia spinoziana. L’interrogarsi sul cabbalismo di Spinoza non è </w:t>
      </w:r>
      <w:r>
        <w:rPr>
          <w:rFonts w:ascii="Times New Roman" w:hAnsi="Times New Roman" w:cs="Times New Roman"/>
        </w:rPr>
        <w:t xml:space="preserve">quesito affrontato </w:t>
      </w:r>
      <w:r w:rsidRPr="00B35744">
        <w:rPr>
          <w:rFonts w:ascii="Times New Roman" w:hAnsi="Times New Roman" w:cs="Times New Roman"/>
        </w:rPr>
        <w:t>da Ast, che molto più genericamente osserva</w:t>
      </w:r>
      <w:r w:rsidRPr="00B35744">
        <w:rPr>
          <w:rFonts w:ascii="Times New Roman" w:hAnsi="Times New Roman" w:cs="Times New Roman"/>
          <w:sz w:val="20"/>
          <w:szCs w:val="20"/>
        </w:rPr>
        <w:t>:</w:t>
      </w:r>
    </w:p>
    <w:p w14:paraId="786628A7" w14:textId="77777777" w:rsidR="001B7751" w:rsidRPr="00C500F1" w:rsidRDefault="001B7751" w:rsidP="001B7751">
      <w:pPr>
        <w:spacing w:line="360" w:lineRule="auto"/>
        <w:ind w:left="567" w:firstLine="567"/>
        <w:jc w:val="both"/>
        <w:rPr>
          <w:rFonts w:ascii="Times New Roman" w:hAnsi="Times New Roman" w:cs="Times New Roman"/>
        </w:rPr>
      </w:pPr>
    </w:p>
    <w:p w14:paraId="0232837C" w14:textId="77777777" w:rsidR="001B7751" w:rsidRPr="00E055B1" w:rsidRDefault="001B7751" w:rsidP="001B7751">
      <w:pPr>
        <w:spacing w:line="360" w:lineRule="auto"/>
        <w:ind w:left="567" w:firstLine="567"/>
        <w:jc w:val="both"/>
        <w:rPr>
          <w:rFonts w:ascii="Times New Roman" w:hAnsi="Times New Roman" w:cs="Times New Roman"/>
          <w:lang w:val="de-DE"/>
        </w:rPr>
      </w:pPr>
      <w:r w:rsidRPr="00E055B1">
        <w:rPr>
          <w:rFonts w:ascii="Times New Roman" w:hAnsi="Times New Roman" w:cs="Times New Roman"/>
          <w:sz w:val="20"/>
          <w:szCs w:val="20"/>
        </w:rPr>
        <w:t>«</w:t>
      </w:r>
      <w:r w:rsidRPr="00E055B1">
        <w:rPr>
          <w:rFonts w:ascii="Times New Roman" w:hAnsi="Times New Roman" w:cs="Times New Roman"/>
          <w:sz w:val="20"/>
          <w:szCs w:val="20"/>
          <w:lang w:val="de-DE"/>
        </w:rPr>
        <w:t>Benedict Spinoza, von jüdischen Eltern geb. zu Amsterdam 1632, st. 1677, fasste das Seyn und das Denken, auf deren Gegensatz des Cartesius System sich gründete im Sinne der Eleatiker als unbedingte Einheit auf, die Reflexionsphilosophie zur achten Speculation erhebend, und setzte das Absolute, zu welchem Cartesius nur seine Zuflucht nahm, als er mit seinem Principe nicht ausreichte, an die Spitze seines Systems, nach der älteren und neueren (christlichen) Lehre der Juden alles in Gott schauend»</w:t>
      </w:r>
      <w:r w:rsidRPr="00E055B1">
        <w:rPr>
          <w:rStyle w:val="Rimandonotaapidipagina"/>
          <w:rFonts w:ascii="Times New Roman" w:hAnsi="Times New Roman" w:cs="Times New Roman"/>
          <w:sz w:val="20"/>
          <w:szCs w:val="20"/>
          <w:lang w:val="de-DE"/>
        </w:rPr>
        <w:footnoteReference w:id="724"/>
      </w:r>
      <w:r w:rsidRPr="00E055B1">
        <w:rPr>
          <w:rFonts w:ascii="Times New Roman" w:hAnsi="Times New Roman" w:cs="Times New Roman"/>
          <w:sz w:val="20"/>
          <w:szCs w:val="20"/>
          <w:lang w:val="de-DE"/>
        </w:rPr>
        <w:t>.</w:t>
      </w:r>
    </w:p>
    <w:p w14:paraId="66EAE66A" w14:textId="77777777" w:rsidR="001B7751" w:rsidRDefault="001B7751" w:rsidP="001B7751">
      <w:pPr>
        <w:spacing w:line="360" w:lineRule="auto"/>
        <w:ind w:left="1134" w:firstLine="567"/>
        <w:jc w:val="both"/>
        <w:rPr>
          <w:rFonts w:ascii="Times New Roman" w:hAnsi="Times New Roman" w:cs="Times New Roman"/>
          <w:lang w:val="de-DE"/>
        </w:rPr>
      </w:pPr>
    </w:p>
    <w:p w14:paraId="5C965D74" w14:textId="522BFF99" w:rsidR="001B7751" w:rsidRDefault="001B7751" w:rsidP="001B7751">
      <w:pPr>
        <w:spacing w:line="360" w:lineRule="auto"/>
        <w:ind w:firstLine="567"/>
        <w:jc w:val="both"/>
        <w:rPr>
          <w:rFonts w:ascii="Times New Roman" w:hAnsi="Times New Roman" w:cs="Times New Roman"/>
        </w:rPr>
      </w:pPr>
      <w:r>
        <w:rPr>
          <w:rFonts w:ascii="Times New Roman" w:hAnsi="Times New Roman" w:cs="Times New Roman"/>
        </w:rPr>
        <w:t xml:space="preserve">Nato ad Amsterdam da famiglia ebraica, Spinoza coglie essere e pensiero come un’unità incondizionata. Al contrario di Cartesio, fermo all’opposizione fra </w:t>
      </w:r>
      <w:r w:rsidRPr="007410C2">
        <w:rPr>
          <w:rFonts w:ascii="Times New Roman" w:hAnsi="Times New Roman" w:cs="Times New Roman"/>
          <w:i/>
        </w:rPr>
        <w:t>res extensa</w:t>
      </w:r>
      <w:r>
        <w:rPr>
          <w:rFonts w:ascii="Times New Roman" w:hAnsi="Times New Roman" w:cs="Times New Roman"/>
        </w:rPr>
        <w:t xml:space="preserve"> e </w:t>
      </w:r>
      <w:r w:rsidRPr="007410C2">
        <w:rPr>
          <w:rFonts w:ascii="Times New Roman" w:hAnsi="Times New Roman" w:cs="Times New Roman"/>
          <w:i/>
        </w:rPr>
        <w:t>res cogitans</w:t>
      </w:r>
      <w:r>
        <w:rPr>
          <w:rFonts w:ascii="Times New Roman" w:hAnsi="Times New Roman" w:cs="Times New Roman"/>
        </w:rPr>
        <w:t xml:space="preserve">, lo spinozismo avanza una risoluzione del dualismo cartesiano dal gusto eleatico: innalzando le antinomie della filosofia della riflessione a vera speculazione, Spinoza pone l’Assoluto come principio del suo sistema filosofico, </w:t>
      </w:r>
      <w:r w:rsidRPr="002D4F81">
        <w:rPr>
          <w:rFonts w:ascii="Times New Roman" w:hAnsi="Times New Roman" w:cs="Times New Roman"/>
        </w:rPr>
        <w:t>che realizza «</w:t>
      </w:r>
      <w:r w:rsidRPr="002D4F81">
        <w:rPr>
          <w:rFonts w:ascii="Times New Roman" w:hAnsi="Times New Roman" w:cs="Times New Roman"/>
          <w:lang w:val="de-DE"/>
        </w:rPr>
        <w:t>die Eine, absolute, unendliche, schlechthin einfache und untheilbare Substanz»</w:t>
      </w:r>
      <w:r w:rsidRPr="002D4F81">
        <w:rPr>
          <w:rStyle w:val="Rimandonotaapidipagina"/>
          <w:rFonts w:ascii="Times New Roman" w:hAnsi="Times New Roman" w:cs="Times New Roman"/>
        </w:rPr>
        <w:footnoteReference w:id="725"/>
      </w:r>
      <w:r w:rsidRPr="002D4F81">
        <w:rPr>
          <w:rFonts w:ascii="Times New Roman" w:hAnsi="Times New Roman" w:cs="Times New Roman"/>
          <w:lang w:val="de-DE"/>
        </w:rPr>
        <w:t xml:space="preserve">. </w:t>
      </w:r>
      <w:r w:rsidRPr="002D4F81">
        <w:rPr>
          <w:rFonts w:ascii="Times New Roman" w:hAnsi="Times New Roman" w:cs="Times New Roman"/>
        </w:rPr>
        <w:t>Il fatto che «</w:t>
      </w:r>
      <w:r w:rsidRPr="002D4F81">
        <w:rPr>
          <w:rFonts w:ascii="Times New Roman" w:hAnsi="Times New Roman" w:cs="Times New Roman"/>
          <w:lang w:val="de-DE"/>
        </w:rPr>
        <w:t>alles ist in Gott, und ohne Gott kann nicht Seyn, noch gedacht werden»</w:t>
      </w:r>
      <w:r w:rsidRPr="002D4F81">
        <w:rPr>
          <w:rStyle w:val="Rimandonotaapidipagina"/>
          <w:rFonts w:ascii="Times New Roman" w:hAnsi="Times New Roman" w:cs="Times New Roman"/>
          <w:lang w:val="de-DE"/>
        </w:rPr>
        <w:footnoteReference w:id="726"/>
      </w:r>
      <w:r w:rsidRPr="002D4F81">
        <w:rPr>
          <w:rFonts w:ascii="Times New Roman" w:hAnsi="Times New Roman" w:cs="Times New Roman"/>
          <w:lang w:val="de-DE"/>
        </w:rPr>
        <w:t xml:space="preserve"> </w:t>
      </w:r>
      <w:r w:rsidRPr="002D4F81">
        <w:rPr>
          <w:rFonts w:ascii="Times New Roman" w:hAnsi="Times New Roman" w:cs="Times New Roman"/>
        </w:rPr>
        <w:t>rende</w:t>
      </w:r>
      <w:r>
        <w:rPr>
          <w:rFonts w:ascii="Times New Roman" w:hAnsi="Times New Roman" w:cs="Times New Roman"/>
        </w:rPr>
        <w:t xml:space="preserve"> manifesta la continuità dello spinozismo con certi insegnamenti – antichi e nuovi – del pensiero ebraico-cristiano. La vaghezza del riferimento, in linea di principio, non preclude la connessione del pensiero di Spinoza con la Qabbalah. </w:t>
      </w:r>
      <w:r w:rsidRPr="002D4F81">
        <w:rPr>
          <w:rFonts w:ascii="Times New Roman" w:hAnsi="Times New Roman" w:cs="Times New Roman"/>
        </w:rPr>
        <w:t>Ma non è questo il punto che Ast vuole sottolineare: lo spinozismo non soltanto supera l’opposizione fra essere e pensiero, ma fornisce anche una soluzione teorica al reiterarsi del dualismo cartesiano nella filosofia della riflessione (</w:t>
      </w:r>
      <w:r w:rsidRPr="002D4F81">
        <w:rPr>
          <w:rFonts w:ascii="Times New Roman" w:hAnsi="Times New Roman" w:cs="Times New Roman"/>
          <w:i/>
          <w:lang w:val="de-DE"/>
        </w:rPr>
        <w:t>Reflexionsphilosophie</w:t>
      </w:r>
      <w:r w:rsidRPr="002D4F81">
        <w:rPr>
          <w:rFonts w:ascii="Times New Roman" w:hAnsi="Times New Roman" w:cs="Times New Roman"/>
          <w:lang w:val="de-DE"/>
        </w:rPr>
        <w:t xml:space="preserve">). </w:t>
      </w:r>
      <w:r>
        <w:rPr>
          <w:rFonts w:ascii="Times New Roman" w:hAnsi="Times New Roman" w:cs="Times New Roman"/>
        </w:rPr>
        <w:t xml:space="preserve">Come sappiamo, quest’espressione rimanda al modo in cui Hegel ha definito, nel </w:t>
      </w:r>
      <w:r w:rsidRPr="009A2D7F">
        <w:rPr>
          <w:rFonts w:ascii="Times New Roman" w:hAnsi="Times New Roman" w:cs="Times New Roman"/>
          <w:i/>
          <w:lang w:val="de-DE"/>
        </w:rPr>
        <w:t>Differenzschrift</w:t>
      </w:r>
      <w:r w:rsidRPr="00F552FE">
        <w:rPr>
          <w:rFonts w:ascii="Times New Roman" w:hAnsi="Times New Roman" w:cs="Times New Roman"/>
          <w:i/>
        </w:rPr>
        <w:t xml:space="preserve"> </w:t>
      </w:r>
      <w:r>
        <w:rPr>
          <w:rFonts w:ascii="Times New Roman" w:hAnsi="Times New Roman" w:cs="Times New Roman"/>
        </w:rPr>
        <w:t xml:space="preserve">e in </w:t>
      </w:r>
      <w:r w:rsidRPr="009A2D7F">
        <w:rPr>
          <w:rFonts w:ascii="Times New Roman" w:hAnsi="Times New Roman" w:cs="Times New Roman"/>
          <w:i/>
          <w:lang w:val="de-DE"/>
        </w:rPr>
        <w:t>Glauben und Wissen</w:t>
      </w:r>
      <w:r>
        <w:rPr>
          <w:rFonts w:ascii="Times New Roman" w:hAnsi="Times New Roman" w:cs="Times New Roman"/>
        </w:rPr>
        <w:t xml:space="preserve">, la filosofia kantiana, fichtiana e </w:t>
      </w:r>
      <w:r w:rsidRPr="002D4F81">
        <w:rPr>
          <w:rFonts w:ascii="Times New Roman" w:hAnsi="Times New Roman" w:cs="Times New Roman"/>
        </w:rPr>
        <w:t>jacobiana</w:t>
      </w:r>
      <w:r w:rsidRPr="002D4F81">
        <w:rPr>
          <w:rStyle w:val="Rimandonotaapidipagina"/>
          <w:rFonts w:ascii="Times New Roman" w:hAnsi="Times New Roman" w:cs="Times New Roman"/>
        </w:rPr>
        <w:t xml:space="preserve"> </w:t>
      </w:r>
      <w:r w:rsidRPr="002D4F81">
        <w:rPr>
          <w:rStyle w:val="Rimandonotaapidipagina"/>
          <w:rFonts w:ascii="Times New Roman" w:hAnsi="Times New Roman" w:cs="Times New Roman"/>
        </w:rPr>
        <w:footnoteReference w:id="727"/>
      </w:r>
      <w:r w:rsidRPr="002D4F81">
        <w:rPr>
          <w:rFonts w:ascii="Times New Roman" w:hAnsi="Times New Roman" w:cs="Times New Roman"/>
        </w:rPr>
        <w:t>. Al pari</w:t>
      </w:r>
      <w:r>
        <w:rPr>
          <w:rFonts w:ascii="Times New Roman" w:hAnsi="Times New Roman" w:cs="Times New Roman"/>
        </w:rPr>
        <w:t xml:space="preserve"> di questi due articoli, anche il </w:t>
      </w:r>
      <w:r w:rsidRPr="00F552FE">
        <w:rPr>
          <w:rFonts w:ascii="Times New Roman" w:hAnsi="Times New Roman" w:cs="Times New Roman"/>
          <w:i/>
        </w:rPr>
        <w:t xml:space="preserve">Grundriss </w:t>
      </w:r>
      <w:r>
        <w:rPr>
          <w:rFonts w:ascii="Times New Roman" w:hAnsi="Times New Roman" w:cs="Times New Roman"/>
        </w:rPr>
        <w:t>ritiene che il pensiero di Spinoza rappresenti un passo speculativo ulteriore rispetto alle antin</w:t>
      </w:r>
      <w:r w:rsidR="001B0111">
        <w:rPr>
          <w:rFonts w:ascii="Times New Roman" w:hAnsi="Times New Roman" w:cs="Times New Roman"/>
        </w:rPr>
        <w:t xml:space="preserve">omie dell’idealismo soggettivo. </w:t>
      </w:r>
      <w:r w:rsidRPr="002D4F81">
        <w:rPr>
          <w:rFonts w:ascii="Times New Roman" w:hAnsi="Times New Roman" w:cs="Times New Roman"/>
        </w:rPr>
        <w:t xml:space="preserve">Questa superiorità speculativa consiste, in ultima istanza, nel porre in unità incondizionata ciò che la filosofia cartesiana e la </w:t>
      </w:r>
      <w:r w:rsidRPr="002D4F81">
        <w:rPr>
          <w:rFonts w:ascii="Times New Roman" w:hAnsi="Times New Roman" w:cs="Times New Roman"/>
          <w:i/>
          <w:lang w:val="de-DE"/>
        </w:rPr>
        <w:t>Reflexionsphilosophie</w:t>
      </w:r>
      <w:r w:rsidRPr="002D4F81">
        <w:rPr>
          <w:rFonts w:ascii="Times New Roman" w:hAnsi="Times New Roman" w:cs="Times New Roman"/>
        </w:rPr>
        <w:t xml:space="preserve"> mantengono in opposizione insoluta. Se da un lato la natura incondizionata dell’unità sostanziale</w:t>
      </w:r>
      <w:r>
        <w:rPr>
          <w:rFonts w:ascii="Times New Roman" w:hAnsi="Times New Roman" w:cs="Times New Roman"/>
        </w:rPr>
        <w:t xml:space="preserve"> costituisce un progresso rispetto al dualismo moderno, dall’altro lato l’indeterminatezza divina rappresenta il limite del sistema spinoziana. Scrive Ast:</w:t>
      </w:r>
    </w:p>
    <w:p w14:paraId="0F8C2008" w14:textId="77777777" w:rsidR="001B7751" w:rsidRDefault="001B7751" w:rsidP="001B7751">
      <w:pPr>
        <w:spacing w:line="360" w:lineRule="auto"/>
        <w:ind w:left="567" w:firstLine="567"/>
        <w:jc w:val="both"/>
        <w:rPr>
          <w:rFonts w:ascii="Times New Roman" w:hAnsi="Times New Roman" w:cs="Times New Roman"/>
        </w:rPr>
      </w:pPr>
    </w:p>
    <w:p w14:paraId="0DB5942C" w14:textId="77777777" w:rsidR="001B7751" w:rsidRPr="0069572B" w:rsidRDefault="001B7751" w:rsidP="001B7751">
      <w:pPr>
        <w:spacing w:line="360" w:lineRule="auto"/>
        <w:ind w:left="567" w:firstLine="567"/>
        <w:jc w:val="both"/>
        <w:rPr>
          <w:rFonts w:ascii="Times New Roman" w:hAnsi="Times New Roman" w:cs="Times New Roman"/>
          <w:sz w:val="20"/>
          <w:szCs w:val="20"/>
          <w:lang w:val="de-DE"/>
        </w:rPr>
      </w:pPr>
      <w:r w:rsidRPr="0069572B">
        <w:rPr>
          <w:rFonts w:ascii="Times New Roman" w:hAnsi="Times New Roman" w:cs="Times New Roman"/>
          <w:sz w:val="20"/>
          <w:szCs w:val="20"/>
        </w:rPr>
        <w:t>«</w:t>
      </w:r>
      <w:r w:rsidRPr="0069572B">
        <w:rPr>
          <w:rFonts w:ascii="Times New Roman" w:hAnsi="Times New Roman" w:cs="Times New Roman"/>
          <w:sz w:val="20"/>
          <w:szCs w:val="20"/>
          <w:lang w:val="de-DE"/>
        </w:rPr>
        <w:t>Spinoza, Fichte und Schelling bezeichnen daher die der höchsten Bildungsmomente der neueren Philosphie. Spinoza ist ihre ursprüngliche Einheit, Fichte ihr Gegensatz und Schelling ihre sich selbst erkennende Einheit, die sich aus dem Gegensatze (Idealismus) in ihr ursprüngliches Wesen zurückbildet. Spinoza’s Princip ist das Absolute, als unbedingte Einheit des Seyns und Denkens, Fichte’s Princip das Denken, in seiner Reinheit das Sich selbst Denken oder Setzen, das Ich, und Schelling’s Princip die Vernunft, die absolute Identität des Subjektiven und Objektiven»</w:t>
      </w:r>
      <w:r w:rsidRPr="0069572B">
        <w:rPr>
          <w:rStyle w:val="Rimandonotaapidipagina"/>
          <w:rFonts w:ascii="Times New Roman" w:hAnsi="Times New Roman" w:cs="Times New Roman"/>
          <w:sz w:val="20"/>
          <w:szCs w:val="20"/>
          <w:lang w:val="de-DE"/>
        </w:rPr>
        <w:footnoteReference w:id="728"/>
      </w:r>
      <w:r w:rsidRPr="0069572B">
        <w:rPr>
          <w:rFonts w:ascii="Times New Roman" w:hAnsi="Times New Roman" w:cs="Times New Roman"/>
          <w:sz w:val="20"/>
          <w:szCs w:val="20"/>
          <w:lang w:val="de-DE"/>
        </w:rPr>
        <w:t>.</w:t>
      </w:r>
    </w:p>
    <w:p w14:paraId="0A02177B" w14:textId="77777777" w:rsidR="001B7751" w:rsidRDefault="001B7751" w:rsidP="001B7751">
      <w:pPr>
        <w:spacing w:line="360" w:lineRule="auto"/>
        <w:ind w:left="1134" w:firstLine="567"/>
        <w:jc w:val="both"/>
        <w:rPr>
          <w:rFonts w:ascii="Times New Roman" w:hAnsi="Times New Roman" w:cs="Times New Roman"/>
          <w:lang w:val="de-DE"/>
        </w:rPr>
      </w:pPr>
    </w:p>
    <w:p w14:paraId="0D4B85B4" w14:textId="25413F0B" w:rsidR="001B7751" w:rsidRPr="00D4409C" w:rsidRDefault="001B7751" w:rsidP="001B7751">
      <w:pPr>
        <w:spacing w:line="360" w:lineRule="auto"/>
        <w:ind w:firstLine="567"/>
        <w:jc w:val="both"/>
        <w:rPr>
          <w:rFonts w:ascii="Times New Roman" w:hAnsi="Times New Roman" w:cs="Times New Roman"/>
          <w:highlight w:val="yellow"/>
        </w:rPr>
      </w:pPr>
      <w:r w:rsidRPr="002D4F81">
        <w:rPr>
          <w:rFonts w:ascii="Times New Roman" w:hAnsi="Times New Roman" w:cs="Times New Roman"/>
        </w:rPr>
        <w:t>Spinoza, Fichte e Schelling formano i momenti speculativamente più rilevanti della filosofia moderna</w:t>
      </w:r>
      <w:r>
        <w:rPr>
          <w:rFonts w:ascii="Times New Roman" w:hAnsi="Times New Roman" w:cs="Times New Roman"/>
        </w:rPr>
        <w:t xml:space="preserve">. Unità, opposizione e unità dell’unità e dell’opposizione: ciò che è unilaterale nei primi due momenti è integrato nel sistema schellinghiano, che afferma l’identità assoluta di soggettivo e oggettivo e del pensiero filosofico con se stesso. </w:t>
      </w:r>
      <w:r w:rsidRPr="002D4F81">
        <w:rPr>
          <w:rFonts w:ascii="Times New Roman" w:hAnsi="Times New Roman" w:cs="Times New Roman"/>
        </w:rPr>
        <w:t>Sebbene la nozione spinoziana di sostanza sia un concetto</w:t>
      </w:r>
      <w:r>
        <w:rPr>
          <w:rFonts w:ascii="Times New Roman" w:hAnsi="Times New Roman" w:cs="Times New Roman"/>
        </w:rPr>
        <w:t xml:space="preserve"> speculativamente superiore al dualismo d’ispirazione cartesiana, Ast osserva che l’opposizione, di cui si fa forte l’idealismo fichtiano, è momento imprescindibile nella vita dello spirito. La vita della filosofia si </w:t>
      </w:r>
      <w:r w:rsidRPr="00D15E52">
        <w:rPr>
          <w:rFonts w:ascii="Times New Roman" w:hAnsi="Times New Roman" w:cs="Times New Roman"/>
        </w:rPr>
        <w:t>realizza nel momento in cui l’unità si dipana nell’opposizione e l’opposizione si toglie nell’unità. Il</w:t>
      </w:r>
      <w:r w:rsidR="005E6183" w:rsidRPr="00D15E52">
        <w:rPr>
          <w:rFonts w:ascii="Times New Roman" w:hAnsi="Times New Roman" w:cs="Times New Roman"/>
        </w:rPr>
        <w:t xml:space="preserve"> vero, si potrebbe quasi dire, </w:t>
      </w:r>
      <w:r w:rsidRPr="00D15E52">
        <w:rPr>
          <w:rFonts w:ascii="Times New Roman" w:hAnsi="Times New Roman" w:cs="Times New Roman"/>
        </w:rPr>
        <w:t>è l’intero. Soltanto al volgere del suo sviluppo l’intero è ciò che è in verità. E la sua verità è raggiunta da Schelling, che riconosce l’identità assoluta là dove la riflessione filosofica anteriore aveva colto</w:t>
      </w:r>
      <w:r w:rsidR="00D4409C" w:rsidRPr="00D15E52">
        <w:rPr>
          <w:rFonts w:ascii="Times New Roman" w:hAnsi="Times New Roman" w:cs="Times New Roman"/>
        </w:rPr>
        <w:t xml:space="preserve"> o l’unità incondizionata di essere e pensiero o</w:t>
      </w:r>
      <w:r w:rsidRPr="00D15E52">
        <w:rPr>
          <w:rFonts w:ascii="Times New Roman" w:hAnsi="Times New Roman" w:cs="Times New Roman"/>
        </w:rPr>
        <w:t xml:space="preserve"> l’opposizione </w:t>
      </w:r>
      <w:r w:rsidR="00D4409C" w:rsidRPr="00D15E52">
        <w:rPr>
          <w:rFonts w:ascii="Times New Roman" w:hAnsi="Times New Roman" w:cs="Times New Roman"/>
        </w:rPr>
        <w:t xml:space="preserve">irriducibile </w:t>
      </w:r>
      <w:r w:rsidRPr="00D15E52">
        <w:rPr>
          <w:rFonts w:ascii="Times New Roman" w:hAnsi="Times New Roman" w:cs="Times New Roman"/>
        </w:rPr>
        <w:t xml:space="preserve">di realismo e idealismo, di oggettività e soggettività. </w:t>
      </w:r>
    </w:p>
    <w:p w14:paraId="255510D3" w14:textId="121F6BD4" w:rsidR="001B7751" w:rsidRDefault="001B7751" w:rsidP="006C1281">
      <w:pPr>
        <w:spacing w:line="360" w:lineRule="auto"/>
        <w:ind w:firstLine="567"/>
        <w:jc w:val="both"/>
        <w:rPr>
          <w:rFonts w:ascii="Times New Roman" w:hAnsi="Times New Roman" w:cs="Times New Roman"/>
        </w:rPr>
      </w:pPr>
      <w:r w:rsidRPr="00D15E52">
        <w:rPr>
          <w:rFonts w:ascii="Times New Roman" w:hAnsi="Times New Roman" w:cs="Times New Roman"/>
        </w:rPr>
        <w:t xml:space="preserve">Nel </w:t>
      </w:r>
      <w:r w:rsidRPr="00D15E52">
        <w:rPr>
          <w:rFonts w:ascii="Times New Roman" w:hAnsi="Times New Roman" w:cs="Times New Roman"/>
          <w:i/>
        </w:rPr>
        <w:t>Grundriss einer Geschichte der Philsophie</w:t>
      </w:r>
      <w:r w:rsidRPr="00D15E52">
        <w:rPr>
          <w:rFonts w:ascii="Times New Roman" w:hAnsi="Times New Roman" w:cs="Times New Roman"/>
        </w:rPr>
        <w:t xml:space="preserve">, si osserva il tentativo di appurare il valore teorico dello spinozismo al di là della </w:t>
      </w:r>
      <w:r w:rsidRPr="00D15E52">
        <w:rPr>
          <w:rFonts w:ascii="Times New Roman" w:hAnsi="Times New Roman" w:cs="Times New Roman"/>
          <w:i/>
        </w:rPr>
        <w:t>querelle</w:t>
      </w:r>
      <w:r w:rsidRPr="00D15E52">
        <w:rPr>
          <w:rFonts w:ascii="Times New Roman" w:hAnsi="Times New Roman" w:cs="Times New Roman"/>
        </w:rPr>
        <w:t xml:space="preserve"> sui suoi presupposti storico-culturali. Siamo dinnanzi alla prima testimonianza storiografica in cui è omesso il </w:t>
      </w:r>
      <w:r w:rsidR="001B0111" w:rsidRPr="00D15E52">
        <w:rPr>
          <w:rFonts w:ascii="Times New Roman" w:hAnsi="Times New Roman" w:cs="Times New Roman"/>
        </w:rPr>
        <w:t xml:space="preserve">legame </w:t>
      </w:r>
      <w:r w:rsidR="006C1281" w:rsidRPr="00D15E52">
        <w:rPr>
          <w:rFonts w:ascii="Times New Roman" w:hAnsi="Times New Roman" w:cs="Times New Roman"/>
        </w:rPr>
        <w:t xml:space="preserve">Qabbalah-Spinoza: </w:t>
      </w:r>
      <w:r w:rsidRPr="00D15E52">
        <w:rPr>
          <w:rFonts w:ascii="Times New Roman" w:hAnsi="Times New Roman" w:cs="Times New Roman"/>
        </w:rPr>
        <w:t>non</w:t>
      </w:r>
      <w:r w:rsidRPr="00F3721A">
        <w:rPr>
          <w:rFonts w:ascii="Times New Roman" w:hAnsi="Times New Roman" w:cs="Times New Roman"/>
        </w:rPr>
        <w:t xml:space="preserve"> si tratta più di capire </w:t>
      </w:r>
      <w:r w:rsidRPr="00CB427C">
        <w:rPr>
          <w:rFonts w:ascii="Times New Roman" w:hAnsi="Times New Roman" w:cs="Times New Roman"/>
        </w:rPr>
        <w:t>da dove</w:t>
      </w:r>
      <w:r w:rsidRPr="00F3721A">
        <w:rPr>
          <w:rFonts w:ascii="Times New Roman" w:hAnsi="Times New Roman" w:cs="Times New Roman"/>
        </w:rPr>
        <w:t xml:space="preserve"> l’</w:t>
      </w:r>
      <w:r w:rsidRPr="00F3721A">
        <w:rPr>
          <w:rFonts w:ascii="Times New Roman" w:hAnsi="Times New Roman" w:cs="Times New Roman"/>
          <w:i/>
        </w:rPr>
        <w:t xml:space="preserve">Ethica </w:t>
      </w:r>
      <w:r w:rsidRPr="00F3721A">
        <w:rPr>
          <w:rFonts w:ascii="Times New Roman" w:hAnsi="Times New Roman" w:cs="Times New Roman"/>
        </w:rPr>
        <w:t>abbia colto i suoi assunti teorici; non si tratta nemmeno di comprendere se lo spinozismo, seguito nel suo ordito geometrico, conduca o meno all’ateismo. Appurare la rilevanza speculativa e le carenze teoriche di questo sistema di pensiero è l’unica cosa che preme ad Ast.</w:t>
      </w:r>
      <w:r>
        <w:rPr>
          <w:rFonts w:ascii="Times New Roman" w:hAnsi="Times New Roman" w:cs="Times New Roman"/>
        </w:rPr>
        <w:t xml:space="preserve"> Superiore al dualismo cartesiano </w:t>
      </w:r>
      <w:r w:rsidRPr="00F3721A">
        <w:rPr>
          <w:rFonts w:ascii="Times New Roman" w:hAnsi="Times New Roman" w:cs="Times New Roman"/>
        </w:rPr>
        <w:t xml:space="preserve">e alla filosofia della riflessione, lo spinozismo manifesta il suo limite precipuo nella definizione del divino come unità incondizionata. </w:t>
      </w:r>
      <w:r w:rsidRPr="00D15E52">
        <w:rPr>
          <w:rFonts w:ascii="Times New Roman" w:hAnsi="Times New Roman" w:cs="Times New Roman"/>
        </w:rPr>
        <w:t xml:space="preserve">Oltre questo limite procede la filosofia fichtiana che, innalzata l’opposizione a suo principio, cade in un’unilateralità antitetica e complementare a quella di Spinoza. L’impossibilità di ricondurre l’opposizione in unità è l’eredità del pensiero di Fichte raccolta da Schelling e sviluppata – recuperato il punto di vista spinoziano – nella filosofia dell’identità. La componente storica della filosofia di Spinoza, pertanto, non trova spazio nel </w:t>
      </w:r>
      <w:r w:rsidRPr="00D15E52">
        <w:rPr>
          <w:rFonts w:ascii="Times New Roman" w:hAnsi="Times New Roman" w:cs="Times New Roman"/>
          <w:i/>
        </w:rPr>
        <w:t>Grundriss</w:t>
      </w:r>
      <w:r w:rsidRPr="00D15E52">
        <w:rPr>
          <w:rFonts w:ascii="Times New Roman" w:hAnsi="Times New Roman" w:cs="Times New Roman"/>
        </w:rPr>
        <w:t xml:space="preserve">, perché è adottato un filtro interpretativo (hegeliano-schellinghiano) </w:t>
      </w:r>
      <w:r w:rsidR="00E541DF" w:rsidRPr="00D15E52">
        <w:rPr>
          <w:rFonts w:ascii="Times New Roman" w:hAnsi="Times New Roman" w:cs="Times New Roman"/>
        </w:rPr>
        <w:t xml:space="preserve">volto ad </w:t>
      </w:r>
      <w:r w:rsidRPr="00D15E52">
        <w:rPr>
          <w:rFonts w:ascii="Times New Roman" w:hAnsi="Times New Roman" w:cs="Times New Roman"/>
        </w:rPr>
        <w:t>un confronto prettamente teoretico con lo spinozismo.</w:t>
      </w:r>
      <w:r w:rsidRPr="00F3721A">
        <w:rPr>
          <w:rFonts w:ascii="Times New Roman" w:hAnsi="Times New Roman" w:cs="Times New Roman"/>
        </w:rPr>
        <w:t xml:space="preserve"> </w:t>
      </w:r>
    </w:p>
    <w:p w14:paraId="4B733E9A" w14:textId="657770AA" w:rsidR="001B7751" w:rsidRDefault="001B7751" w:rsidP="001B7751">
      <w:pPr>
        <w:spacing w:line="360" w:lineRule="auto"/>
        <w:ind w:firstLine="567"/>
        <w:jc w:val="both"/>
        <w:rPr>
          <w:rFonts w:ascii="Times New Roman" w:hAnsi="Times New Roman" w:cs="Times New Roman"/>
        </w:rPr>
      </w:pPr>
      <w:r w:rsidRPr="00C15C36">
        <w:rPr>
          <w:rFonts w:ascii="Times New Roman" w:hAnsi="Times New Roman" w:cs="Times New Roman"/>
        </w:rPr>
        <w:t xml:space="preserve">Sulla scorta del lavoro di Ast, si muoveranno il manuale di Tennemann e </w:t>
      </w:r>
      <w:r w:rsidR="00D15E52">
        <w:rPr>
          <w:rFonts w:ascii="Times New Roman" w:hAnsi="Times New Roman" w:cs="Times New Roman"/>
        </w:rPr>
        <w:t xml:space="preserve">le </w:t>
      </w:r>
      <w:r w:rsidR="00D15E52" w:rsidRPr="00D15E52">
        <w:rPr>
          <w:rFonts w:ascii="Times New Roman" w:hAnsi="Times New Roman" w:cs="Times New Roman"/>
          <w:i/>
        </w:rPr>
        <w:t>Vorlesungen</w:t>
      </w:r>
      <w:r w:rsidR="00D15E52">
        <w:rPr>
          <w:rFonts w:ascii="Times New Roman" w:hAnsi="Times New Roman" w:cs="Times New Roman"/>
        </w:rPr>
        <w:t xml:space="preserve"> </w:t>
      </w:r>
      <w:r>
        <w:rPr>
          <w:rFonts w:ascii="Times New Roman" w:hAnsi="Times New Roman" w:cs="Times New Roman"/>
        </w:rPr>
        <w:t>hegeliane</w:t>
      </w:r>
      <w:r w:rsidRPr="00C15C36">
        <w:rPr>
          <w:rFonts w:ascii="Times New Roman" w:hAnsi="Times New Roman" w:cs="Times New Roman"/>
        </w:rPr>
        <w:t xml:space="preserve">. Riguardo al pensiero di Spinoza, si osserverà un arretramento del dato storico dinnanzi a questioni di natura speculativa. Se per Tennemann questa scelta espositiva determinerà un ridimensionamento dell’analisi del contesto storico, nel caso di Hegel si </w:t>
      </w:r>
      <w:r w:rsidR="005E6183">
        <w:rPr>
          <w:rFonts w:ascii="Times New Roman" w:hAnsi="Times New Roman" w:cs="Times New Roman"/>
        </w:rPr>
        <w:t>registrerà un’</w:t>
      </w:r>
      <w:r w:rsidRPr="00C15C36">
        <w:rPr>
          <w:rFonts w:ascii="Times New Roman" w:hAnsi="Times New Roman" w:cs="Times New Roman"/>
        </w:rPr>
        <w:t>alternativa strategia argomentativa</w:t>
      </w:r>
      <w:r>
        <w:rPr>
          <w:rFonts w:ascii="Times New Roman" w:hAnsi="Times New Roman" w:cs="Times New Roman"/>
        </w:rPr>
        <w:t xml:space="preserve">. La </w:t>
      </w:r>
      <w:r w:rsidRPr="00C15C36">
        <w:rPr>
          <w:rFonts w:ascii="Times New Roman" w:hAnsi="Times New Roman" w:cs="Times New Roman"/>
          <w:i/>
        </w:rPr>
        <w:t>storia concettualmente intesa</w:t>
      </w:r>
      <w:r>
        <w:rPr>
          <w:rFonts w:ascii="Times New Roman" w:hAnsi="Times New Roman" w:cs="Times New Roman"/>
        </w:rPr>
        <w:t>, nel momento in cui s’appropria di un concetto, conserva, toglien</w:t>
      </w:r>
      <w:r w:rsidRPr="00C15C36">
        <w:rPr>
          <w:rFonts w:ascii="Times New Roman" w:hAnsi="Times New Roman" w:cs="Times New Roman"/>
        </w:rPr>
        <w:t>dolo,</w:t>
      </w:r>
      <w:r>
        <w:rPr>
          <w:rFonts w:ascii="Times New Roman" w:hAnsi="Times New Roman" w:cs="Times New Roman"/>
        </w:rPr>
        <w:t xml:space="preserve"> il tessuto </w:t>
      </w:r>
      <w:r w:rsidRPr="002D4F81">
        <w:rPr>
          <w:rFonts w:ascii="Times New Roman" w:hAnsi="Times New Roman" w:cs="Times New Roman"/>
        </w:rPr>
        <w:t>storico in cui una determinazione di pensiero ha visto la luce. Associare lo spinozismo alla nozione d’</w:t>
      </w:r>
      <w:r w:rsidRPr="002D4F81">
        <w:rPr>
          <w:rFonts w:ascii="Times New Roman" w:hAnsi="Times New Roman" w:cs="Times New Roman"/>
          <w:i/>
        </w:rPr>
        <w:t>acosmismo</w:t>
      </w:r>
      <w:r w:rsidRPr="002D4F81">
        <w:rPr>
          <w:rFonts w:ascii="Times New Roman" w:hAnsi="Times New Roman" w:cs="Times New Roman"/>
        </w:rPr>
        <w:t xml:space="preserve"> e al principio </w:t>
      </w:r>
      <w:r w:rsidRPr="002D4F81">
        <w:rPr>
          <w:rFonts w:ascii="Times New Roman" w:hAnsi="Times New Roman" w:cs="Times New Roman"/>
          <w:i/>
        </w:rPr>
        <w:t>ex nihilo nihil fit</w:t>
      </w:r>
      <w:r w:rsidRPr="002D4F81">
        <w:rPr>
          <w:rFonts w:ascii="Times New Roman" w:hAnsi="Times New Roman" w:cs="Times New Roman"/>
        </w:rPr>
        <w:t xml:space="preserve"> significa riattualizzare il dibattito settecentesco sul cabbalismo di Spinoza. Sul significato teorico di questa operazione storico-filosofica si dirà a seguito dell’analisi della </w:t>
      </w:r>
      <w:r w:rsidRPr="002D4F81">
        <w:rPr>
          <w:rFonts w:ascii="Times New Roman" w:hAnsi="Times New Roman" w:cs="Times New Roman"/>
          <w:i/>
          <w:lang w:val="de-DE"/>
        </w:rPr>
        <w:t>Geschichte der Philosophie</w:t>
      </w:r>
      <w:r w:rsidRPr="002D4F81">
        <w:rPr>
          <w:rFonts w:ascii="Times New Roman" w:hAnsi="Times New Roman" w:cs="Times New Roman"/>
        </w:rPr>
        <w:t xml:space="preserve"> di Ten</w:t>
      </w:r>
      <w:r w:rsidR="005E6183">
        <w:rPr>
          <w:rFonts w:ascii="Times New Roman" w:hAnsi="Times New Roman" w:cs="Times New Roman"/>
        </w:rPr>
        <w:t>ne</w:t>
      </w:r>
      <w:r w:rsidRPr="002D4F81">
        <w:rPr>
          <w:rFonts w:ascii="Times New Roman" w:hAnsi="Times New Roman" w:cs="Times New Roman"/>
        </w:rPr>
        <w:t xml:space="preserve">mann che, per ragioni di carattere cronologico, segue al </w:t>
      </w:r>
      <w:r w:rsidRPr="002D4F81">
        <w:rPr>
          <w:rFonts w:ascii="Times New Roman" w:hAnsi="Times New Roman" w:cs="Times New Roman"/>
          <w:i/>
          <w:lang w:val="de-DE"/>
        </w:rPr>
        <w:t>Grundriss</w:t>
      </w:r>
      <w:r w:rsidRPr="002D4F81">
        <w:rPr>
          <w:rFonts w:ascii="Times New Roman" w:hAnsi="Times New Roman" w:cs="Times New Roman"/>
          <w:lang w:val="de-DE"/>
        </w:rPr>
        <w:t xml:space="preserve"> </w:t>
      </w:r>
      <w:r w:rsidRPr="002D4F81">
        <w:rPr>
          <w:rFonts w:ascii="Times New Roman" w:hAnsi="Times New Roman" w:cs="Times New Roman"/>
          <w:i/>
          <w:lang w:val="de-DE"/>
        </w:rPr>
        <w:t>einer Geschichte der Philosophie</w:t>
      </w:r>
      <w:r w:rsidRPr="002D4F81">
        <w:rPr>
          <w:rFonts w:ascii="Times New Roman" w:hAnsi="Times New Roman" w:cs="Times New Roman"/>
          <w:i/>
        </w:rPr>
        <w:t xml:space="preserve"> </w:t>
      </w:r>
      <w:r w:rsidRPr="002D4F81">
        <w:rPr>
          <w:rFonts w:ascii="Times New Roman" w:hAnsi="Times New Roman" w:cs="Times New Roman"/>
        </w:rPr>
        <w:t xml:space="preserve">e precede le </w:t>
      </w:r>
      <w:r w:rsidRPr="002D4F81">
        <w:rPr>
          <w:rFonts w:ascii="Times New Roman" w:hAnsi="Times New Roman" w:cs="Times New Roman"/>
          <w:i/>
          <w:lang w:val="de-DE"/>
        </w:rPr>
        <w:t>Vorlesungen über die Geschichte der Philosophie</w:t>
      </w:r>
      <w:r w:rsidRPr="002D4F81">
        <w:rPr>
          <w:rFonts w:ascii="Times New Roman" w:hAnsi="Times New Roman" w:cs="Times New Roman"/>
        </w:rPr>
        <w:t>.</w:t>
      </w:r>
    </w:p>
    <w:p w14:paraId="1F356C85" w14:textId="77777777" w:rsidR="001B7751" w:rsidRDefault="001B7751" w:rsidP="001B7751">
      <w:pPr>
        <w:spacing w:line="360" w:lineRule="auto"/>
        <w:ind w:firstLine="567"/>
        <w:jc w:val="both"/>
        <w:rPr>
          <w:rFonts w:ascii="Times New Roman" w:hAnsi="Times New Roman" w:cs="Times New Roman"/>
        </w:rPr>
      </w:pPr>
    </w:p>
    <w:p w14:paraId="5F90E43C" w14:textId="3A78EC00" w:rsidR="001B7751" w:rsidRPr="005728DF" w:rsidRDefault="001B7751" w:rsidP="001B7751">
      <w:pPr>
        <w:spacing w:line="360" w:lineRule="auto"/>
        <w:jc w:val="both"/>
        <w:rPr>
          <w:rFonts w:ascii="Times New Roman" w:hAnsi="Times New Roman" w:cs="Times New Roman"/>
          <w:i/>
        </w:rPr>
      </w:pPr>
      <w:r>
        <w:rPr>
          <w:rFonts w:ascii="Times New Roman" w:hAnsi="Times New Roman" w:cs="Times New Roman"/>
          <w:i/>
        </w:rPr>
        <w:t>3.8 Rappresentazione</w:t>
      </w:r>
      <w:r w:rsidRPr="005728DF">
        <w:rPr>
          <w:rFonts w:ascii="Times New Roman" w:hAnsi="Times New Roman" w:cs="Times New Roman"/>
          <w:i/>
        </w:rPr>
        <w:t xml:space="preserve"> e ragione nell’int</w:t>
      </w:r>
      <w:r>
        <w:rPr>
          <w:rFonts w:ascii="Times New Roman" w:hAnsi="Times New Roman" w:cs="Times New Roman"/>
          <w:i/>
        </w:rPr>
        <w:t>erpretazione te</w:t>
      </w:r>
      <w:r w:rsidR="00DD185A">
        <w:rPr>
          <w:rFonts w:ascii="Times New Roman" w:hAnsi="Times New Roman" w:cs="Times New Roman"/>
          <w:i/>
        </w:rPr>
        <w:t>n</w:t>
      </w:r>
      <w:r>
        <w:rPr>
          <w:rFonts w:ascii="Times New Roman" w:hAnsi="Times New Roman" w:cs="Times New Roman"/>
          <w:i/>
        </w:rPr>
        <w:t>n</w:t>
      </w:r>
      <w:r w:rsidR="00DD185A">
        <w:rPr>
          <w:rFonts w:ascii="Times New Roman" w:hAnsi="Times New Roman" w:cs="Times New Roman"/>
          <w:i/>
        </w:rPr>
        <w:t>e</w:t>
      </w:r>
      <w:r>
        <w:rPr>
          <w:rFonts w:ascii="Times New Roman" w:hAnsi="Times New Roman" w:cs="Times New Roman"/>
          <w:i/>
        </w:rPr>
        <w:t>manniana di</w:t>
      </w:r>
      <w:r w:rsidRPr="005728DF">
        <w:rPr>
          <w:rFonts w:ascii="Times New Roman" w:hAnsi="Times New Roman" w:cs="Times New Roman"/>
          <w:i/>
        </w:rPr>
        <w:t xml:space="preserve"> Qabbalah e spinozismo</w:t>
      </w:r>
    </w:p>
    <w:p w14:paraId="5490BB4C" w14:textId="77777777" w:rsidR="001B7751" w:rsidRDefault="001B7751" w:rsidP="001B7751">
      <w:pPr>
        <w:spacing w:line="360" w:lineRule="auto"/>
        <w:ind w:left="567" w:firstLine="567"/>
        <w:jc w:val="both"/>
        <w:rPr>
          <w:rFonts w:ascii="Times New Roman" w:hAnsi="Times New Roman" w:cs="Times New Roman"/>
        </w:rPr>
      </w:pPr>
    </w:p>
    <w:p w14:paraId="4F6E22DB" w14:textId="65005336" w:rsidR="001B7751" w:rsidRDefault="001B7751" w:rsidP="001B7751">
      <w:pPr>
        <w:spacing w:line="360" w:lineRule="auto"/>
        <w:ind w:firstLine="567"/>
        <w:jc w:val="both"/>
        <w:rPr>
          <w:rFonts w:ascii="Times New Roman" w:hAnsi="Times New Roman" w:cs="Times New Roman"/>
        </w:rPr>
      </w:pPr>
      <w:r w:rsidRPr="00684B46">
        <w:rPr>
          <w:rFonts w:ascii="Times New Roman" w:hAnsi="Times New Roman" w:cs="Times New Roman"/>
        </w:rPr>
        <w:t xml:space="preserve">Edita in dodici volumi nel corso di vent’anni (1798-1819), la </w:t>
      </w:r>
      <w:r w:rsidRPr="00684B46">
        <w:rPr>
          <w:rFonts w:ascii="Times New Roman" w:hAnsi="Times New Roman" w:cs="Times New Roman"/>
          <w:i/>
        </w:rPr>
        <w:t xml:space="preserve">Geschichte der Philosophie </w:t>
      </w:r>
      <w:r w:rsidRPr="00684B46">
        <w:rPr>
          <w:rFonts w:ascii="Times New Roman" w:hAnsi="Times New Roman" w:cs="Times New Roman"/>
        </w:rPr>
        <w:t>è</w:t>
      </w:r>
      <w:r>
        <w:rPr>
          <w:rFonts w:ascii="Times New Roman" w:hAnsi="Times New Roman" w:cs="Times New Roman"/>
        </w:rPr>
        <w:t xml:space="preserve"> il frutto delle fatiche del filosofo e storico de</w:t>
      </w:r>
      <w:r w:rsidR="005E6183">
        <w:rPr>
          <w:rFonts w:ascii="Times New Roman" w:hAnsi="Times New Roman" w:cs="Times New Roman"/>
        </w:rPr>
        <w:t xml:space="preserve">lla filosofia Wilhelm Gottlieb </w:t>
      </w:r>
      <w:r>
        <w:rPr>
          <w:rFonts w:ascii="Times New Roman" w:hAnsi="Times New Roman" w:cs="Times New Roman"/>
        </w:rPr>
        <w:t>Ten</w:t>
      </w:r>
      <w:r w:rsidR="00DD185A">
        <w:rPr>
          <w:rFonts w:ascii="Times New Roman" w:hAnsi="Times New Roman" w:cs="Times New Roman"/>
        </w:rPr>
        <w:t>n</w:t>
      </w:r>
      <w:r>
        <w:rPr>
          <w:rFonts w:ascii="Times New Roman" w:hAnsi="Times New Roman" w:cs="Times New Roman"/>
        </w:rPr>
        <w:t xml:space="preserve">emann. </w:t>
      </w:r>
      <w:r w:rsidRPr="00915E3A">
        <w:rPr>
          <w:rFonts w:ascii="Times New Roman" w:hAnsi="Times New Roman" w:cs="Times New Roman"/>
          <w:i/>
        </w:rPr>
        <w:t>Privatdozent</w:t>
      </w:r>
      <w:r>
        <w:rPr>
          <w:rFonts w:ascii="Times New Roman" w:hAnsi="Times New Roman" w:cs="Times New Roman"/>
        </w:rPr>
        <w:t xml:space="preserve"> a Jena dal 1794 fino al 1798, Ten</w:t>
      </w:r>
      <w:r w:rsidR="00DD185A">
        <w:rPr>
          <w:rFonts w:ascii="Times New Roman" w:hAnsi="Times New Roman" w:cs="Times New Roman"/>
        </w:rPr>
        <w:t>n</w:t>
      </w:r>
      <w:r>
        <w:rPr>
          <w:rFonts w:ascii="Times New Roman" w:hAnsi="Times New Roman" w:cs="Times New Roman"/>
        </w:rPr>
        <w:t xml:space="preserve">emann è nominato in quello stesso anno e in quella stessa sede professore straordinario di filosofia. Ai sei anni d’insegnamento nell’ateneo jenese, segue la chiamata all’Università di Würzburg nel 1804. Studioso attento del pensiero antico, </w:t>
      </w:r>
      <w:r w:rsidR="00DD185A">
        <w:rPr>
          <w:rFonts w:ascii="Times New Roman" w:hAnsi="Times New Roman" w:cs="Times New Roman"/>
        </w:rPr>
        <w:t>Tennemann</w:t>
      </w:r>
      <w:r>
        <w:rPr>
          <w:rFonts w:ascii="Times New Roman" w:hAnsi="Times New Roman" w:cs="Times New Roman"/>
        </w:rPr>
        <w:t xml:space="preserve"> s’interessa fin da giovane alla filosofia di Kant</w:t>
      </w:r>
      <w:r w:rsidRPr="00684B46">
        <w:rPr>
          <w:rFonts w:ascii="Times New Roman" w:hAnsi="Times New Roman" w:cs="Times New Roman"/>
        </w:rPr>
        <w:t>. Da questo interesse per la filosofia critica, prende forma la sua idea di storia della filosofia</w:t>
      </w:r>
      <w:r w:rsidRPr="00684B46">
        <w:rPr>
          <w:rStyle w:val="Rimandonotaapidipagina"/>
          <w:rFonts w:ascii="Times New Roman" w:hAnsi="Times New Roman" w:cs="Times New Roman"/>
        </w:rPr>
        <w:footnoteReference w:id="729"/>
      </w:r>
      <w:r w:rsidRPr="00684B46">
        <w:rPr>
          <w:rFonts w:ascii="Times New Roman" w:hAnsi="Times New Roman" w:cs="Times New Roman"/>
        </w:rPr>
        <w:t xml:space="preserve">. Nell’introduzione al primo volume della </w:t>
      </w:r>
      <w:r w:rsidRPr="00684B46">
        <w:rPr>
          <w:rFonts w:ascii="Times New Roman" w:hAnsi="Times New Roman" w:cs="Times New Roman"/>
          <w:i/>
        </w:rPr>
        <w:t>Geschichte der Philosophie</w:t>
      </w:r>
      <w:r w:rsidRPr="00684B46">
        <w:rPr>
          <w:rFonts w:ascii="Times New Roman" w:hAnsi="Times New Roman" w:cs="Times New Roman"/>
        </w:rPr>
        <w:t xml:space="preserve">, </w:t>
      </w:r>
      <w:r w:rsidR="00DD185A">
        <w:rPr>
          <w:rFonts w:ascii="Times New Roman" w:hAnsi="Times New Roman" w:cs="Times New Roman"/>
        </w:rPr>
        <w:t>Tennemann</w:t>
      </w:r>
      <w:r>
        <w:rPr>
          <w:rFonts w:ascii="Times New Roman" w:hAnsi="Times New Roman" w:cs="Times New Roman"/>
        </w:rPr>
        <w:t xml:space="preserve"> espone i principi kantiani </w:t>
      </w:r>
      <w:r w:rsidRPr="00684B46">
        <w:rPr>
          <w:rFonts w:ascii="Times New Roman" w:hAnsi="Times New Roman" w:cs="Times New Roman"/>
        </w:rPr>
        <w:t>che animano la sua attività di storico-filosofica. È la ragione che dà all’uomo il bisogno e l’attitudine al filosofare: già nelle sue elementari apparizioni, essa si manifesta come la capacità di portare sinteticamente ad unità il m</w:t>
      </w:r>
      <w:r w:rsidR="005E6183">
        <w:rPr>
          <w:rFonts w:ascii="Times New Roman" w:hAnsi="Times New Roman" w:cs="Times New Roman"/>
        </w:rPr>
        <w:t>olteplice delle rappresentazioni</w:t>
      </w:r>
      <w:r w:rsidR="004D0D95">
        <w:rPr>
          <w:rFonts w:ascii="Times New Roman" w:hAnsi="Times New Roman" w:cs="Times New Roman"/>
        </w:rPr>
        <w:t xml:space="preserve">, </w:t>
      </w:r>
      <w:r w:rsidRPr="00684B46">
        <w:rPr>
          <w:rFonts w:ascii="Times New Roman" w:hAnsi="Times New Roman" w:cs="Times New Roman"/>
        </w:rPr>
        <w:t xml:space="preserve">d’indagare </w:t>
      </w:r>
      <w:r w:rsidR="004D0D95">
        <w:rPr>
          <w:rFonts w:ascii="Times New Roman" w:hAnsi="Times New Roman" w:cs="Times New Roman"/>
        </w:rPr>
        <w:t xml:space="preserve">seguendo dei principi </w:t>
      </w:r>
      <w:r w:rsidRPr="00684B46">
        <w:rPr>
          <w:rFonts w:ascii="Times New Roman" w:hAnsi="Times New Roman" w:cs="Times New Roman"/>
        </w:rPr>
        <w:t xml:space="preserve">e </w:t>
      </w:r>
      <w:r w:rsidR="004D0D95">
        <w:rPr>
          <w:rFonts w:ascii="Times New Roman" w:hAnsi="Times New Roman" w:cs="Times New Roman"/>
        </w:rPr>
        <w:t>d’agire teleologicamente</w:t>
      </w:r>
      <w:r w:rsidRPr="00684B46">
        <w:rPr>
          <w:rStyle w:val="Rimandonotaapidipagina"/>
          <w:rFonts w:ascii="Times New Roman" w:hAnsi="Times New Roman" w:cs="Times New Roman"/>
        </w:rPr>
        <w:footnoteReference w:id="730"/>
      </w:r>
      <w:r w:rsidRPr="00684B46">
        <w:rPr>
          <w:rFonts w:ascii="Times New Roman" w:hAnsi="Times New Roman" w:cs="Times New Roman"/>
        </w:rPr>
        <w:t xml:space="preserve">. Per questi motivi, il filosofare ha due </w:t>
      </w:r>
      <w:r w:rsidRPr="00300585">
        <w:rPr>
          <w:rFonts w:ascii="Times New Roman" w:hAnsi="Times New Roman" w:cs="Times New Roman"/>
        </w:rPr>
        <w:t>domini precipui:</w:t>
      </w:r>
    </w:p>
    <w:p w14:paraId="4F3C1A01" w14:textId="77777777" w:rsidR="001B7751" w:rsidRDefault="001B7751" w:rsidP="001B7751">
      <w:pPr>
        <w:spacing w:line="360" w:lineRule="auto"/>
        <w:ind w:left="567" w:firstLine="567"/>
        <w:jc w:val="both"/>
        <w:rPr>
          <w:rFonts w:ascii="Times New Roman" w:hAnsi="Times New Roman" w:cs="Times New Roman"/>
        </w:rPr>
      </w:pPr>
    </w:p>
    <w:p w14:paraId="4FBE6829" w14:textId="7D46D0C7" w:rsidR="001B7751" w:rsidRPr="006A33D0" w:rsidRDefault="001B7751" w:rsidP="001B7751">
      <w:pPr>
        <w:spacing w:line="360" w:lineRule="auto"/>
        <w:ind w:left="567" w:firstLine="567"/>
        <w:jc w:val="both"/>
        <w:rPr>
          <w:rFonts w:ascii="Times New Roman" w:hAnsi="Times New Roman" w:cs="Times New Roman"/>
          <w:lang w:val="de-DE"/>
        </w:rPr>
      </w:pPr>
      <w:r w:rsidRPr="006A33D0">
        <w:rPr>
          <w:rFonts w:ascii="Times New Roman" w:hAnsi="Times New Roman" w:cs="Times New Roman"/>
          <w:sz w:val="20"/>
          <w:szCs w:val="20"/>
          <w:lang w:val="de-DE"/>
        </w:rPr>
        <w:t>«Alle Gegenstande des Philosophierens betreffen entweder das was ist, oder das w</w:t>
      </w:r>
      <w:r w:rsidR="005E6183">
        <w:rPr>
          <w:rFonts w:ascii="Times New Roman" w:hAnsi="Times New Roman" w:cs="Times New Roman"/>
          <w:sz w:val="20"/>
          <w:szCs w:val="20"/>
          <w:lang w:val="de-DE"/>
        </w:rPr>
        <w:t xml:space="preserve">as seyn soll. Der Inbegriff dem </w:t>
      </w:r>
      <w:r w:rsidRPr="006A33D0">
        <w:rPr>
          <w:rFonts w:ascii="Times New Roman" w:hAnsi="Times New Roman" w:cs="Times New Roman"/>
          <w:sz w:val="20"/>
          <w:szCs w:val="20"/>
          <w:lang w:val="de-DE"/>
        </w:rPr>
        <w:t>ersten Gegenstande ist die Natur. Das Sollen druckt eine absolute Forderung an den Willen vernünftiger Wesen aus, welche sich auf eine unerklärbare Grundkraft, Freiheit, gründet. Natur und Freiheit bezeichnet also das Feld des Wissens, deren letzte Grunde und Gesetze der Gegenstand der Philosophie ausmachen. Die Wissenschaft der letzten Grunde und Gesetze der Natur und Freiheit und ihres Verhältnisses zu einander ist die Idee, welche von der Vernunft unzertrennlich ist, und daher jedem Denker vorschweben muß»</w:t>
      </w:r>
      <w:r w:rsidRPr="006A33D0">
        <w:rPr>
          <w:rStyle w:val="Rimandonotaapidipagina"/>
          <w:rFonts w:ascii="Times New Roman" w:hAnsi="Times New Roman" w:cs="Times New Roman"/>
          <w:sz w:val="20"/>
          <w:szCs w:val="20"/>
          <w:lang w:val="de-DE"/>
        </w:rPr>
        <w:footnoteReference w:id="731"/>
      </w:r>
      <w:r>
        <w:rPr>
          <w:rFonts w:ascii="Times New Roman" w:hAnsi="Times New Roman" w:cs="Times New Roman"/>
          <w:sz w:val="20"/>
          <w:szCs w:val="20"/>
          <w:lang w:val="de-DE"/>
        </w:rPr>
        <w:t>.</w:t>
      </w:r>
    </w:p>
    <w:p w14:paraId="56AED7E4" w14:textId="77777777" w:rsidR="001B7751" w:rsidRDefault="001B7751" w:rsidP="001B7751">
      <w:pPr>
        <w:spacing w:line="360" w:lineRule="auto"/>
        <w:ind w:left="1134" w:firstLine="567"/>
        <w:jc w:val="both"/>
        <w:rPr>
          <w:rFonts w:ascii="Times New Roman" w:hAnsi="Times New Roman" w:cs="Times New Roman"/>
          <w:lang w:val="de-DE"/>
        </w:rPr>
      </w:pPr>
    </w:p>
    <w:p w14:paraId="0C9D2E5B" w14:textId="77777777" w:rsidR="001B7751" w:rsidRDefault="001B7751" w:rsidP="001B7751">
      <w:pPr>
        <w:spacing w:line="360" w:lineRule="auto"/>
        <w:ind w:firstLine="567"/>
        <w:jc w:val="both"/>
        <w:rPr>
          <w:rFonts w:ascii="Times New Roman" w:hAnsi="Times New Roman" w:cs="Times New Roman"/>
        </w:rPr>
      </w:pPr>
      <w:r>
        <w:rPr>
          <w:rFonts w:ascii="Times New Roman" w:hAnsi="Times New Roman" w:cs="Times New Roman"/>
        </w:rPr>
        <w:t>Tutti g</w:t>
      </w:r>
      <w:r w:rsidRPr="00AF1AEA">
        <w:rPr>
          <w:rFonts w:ascii="Times New Roman" w:hAnsi="Times New Roman" w:cs="Times New Roman"/>
        </w:rPr>
        <w:t>li oggetti del filosofare rica</w:t>
      </w:r>
      <w:r>
        <w:rPr>
          <w:rFonts w:ascii="Times New Roman" w:hAnsi="Times New Roman" w:cs="Times New Roman"/>
        </w:rPr>
        <w:t>dono o nel dominio della natura</w:t>
      </w:r>
      <w:r w:rsidRPr="00AF1AEA">
        <w:rPr>
          <w:rFonts w:ascii="Times New Roman" w:hAnsi="Times New Roman" w:cs="Times New Roman"/>
        </w:rPr>
        <w:t xml:space="preserve"> o della libertà</w:t>
      </w:r>
      <w:r>
        <w:rPr>
          <w:rFonts w:ascii="Times New Roman" w:hAnsi="Times New Roman" w:cs="Times New Roman"/>
        </w:rPr>
        <w:t>. La filosofia cerca di definire le leggi e i principi che regolano questi domini. Nell’indagine rigorosa dei principi regolativi e dei rapporti reciproci dei suoi oggetti (natura e libertà), la filosofia persegue e realizza l’idea della scienza</w:t>
      </w:r>
      <w:r>
        <w:rPr>
          <w:rStyle w:val="Rimandonotaapidipagina"/>
          <w:rFonts w:ascii="Times New Roman" w:hAnsi="Times New Roman" w:cs="Times New Roman"/>
        </w:rPr>
        <w:footnoteReference w:id="732"/>
      </w:r>
      <w:r>
        <w:rPr>
          <w:rFonts w:ascii="Times New Roman" w:hAnsi="Times New Roman" w:cs="Times New Roman"/>
        </w:rPr>
        <w:t xml:space="preserve">. Pensare scientificamente è lo scopo che anima ogni forma genuina d’attività filosofica: </w:t>
      </w:r>
    </w:p>
    <w:p w14:paraId="05081B73" w14:textId="77777777" w:rsidR="001B7751" w:rsidRDefault="001B7751" w:rsidP="001B7751">
      <w:pPr>
        <w:spacing w:line="360" w:lineRule="auto"/>
        <w:ind w:left="567" w:firstLine="567"/>
        <w:jc w:val="both"/>
        <w:rPr>
          <w:rFonts w:ascii="Times New Roman" w:hAnsi="Times New Roman" w:cs="Times New Roman"/>
        </w:rPr>
      </w:pPr>
    </w:p>
    <w:p w14:paraId="2311BBB5" w14:textId="77777777" w:rsidR="001B7751" w:rsidRPr="004E33A9" w:rsidRDefault="001B7751" w:rsidP="001B7751">
      <w:pPr>
        <w:spacing w:line="360" w:lineRule="auto"/>
        <w:ind w:left="567" w:firstLine="567"/>
        <w:jc w:val="both"/>
        <w:rPr>
          <w:rFonts w:ascii="Times New Roman" w:hAnsi="Times New Roman" w:cs="Times New Roman"/>
          <w:lang w:val="de-DE"/>
        </w:rPr>
      </w:pPr>
      <w:r w:rsidRPr="004E33A9">
        <w:rPr>
          <w:rFonts w:ascii="Times New Roman" w:hAnsi="Times New Roman" w:cs="Times New Roman"/>
          <w:sz w:val="20"/>
          <w:szCs w:val="20"/>
        </w:rPr>
        <w:t>«</w:t>
      </w:r>
      <w:r w:rsidRPr="004E33A9">
        <w:rPr>
          <w:rFonts w:ascii="Times New Roman" w:hAnsi="Times New Roman" w:cs="Times New Roman"/>
          <w:sz w:val="20"/>
          <w:szCs w:val="20"/>
          <w:lang w:val="de-DE"/>
        </w:rPr>
        <w:t>Alles Philosophieren ist ein Streben der Vernunft, diese Idee von Wissenschaft wirklich zu machen, und jede Philosophie, welche daraus hervorgehet, steht mit jener Idee in Verhältniß, und kann nur in Rucksicht auf diese beurtheilet werden, in welchen Grade sie ihr angemessen ist, und wie weit sie dem Ideal, welches sich die Vernunft zum Ziel eines unaufhörlichen Fortschreitens giebt, sich nahere oder hinter demselben zurückbleibe»</w:t>
      </w:r>
      <w:r w:rsidRPr="004E33A9">
        <w:rPr>
          <w:rStyle w:val="Rimandonotaapidipagina"/>
          <w:rFonts w:ascii="Times New Roman" w:hAnsi="Times New Roman" w:cs="Times New Roman"/>
          <w:sz w:val="20"/>
          <w:szCs w:val="20"/>
          <w:lang w:val="de-DE"/>
        </w:rPr>
        <w:footnoteReference w:id="733"/>
      </w:r>
      <w:r w:rsidRPr="004E33A9">
        <w:rPr>
          <w:rFonts w:ascii="Times New Roman" w:hAnsi="Times New Roman" w:cs="Times New Roman"/>
          <w:sz w:val="20"/>
          <w:szCs w:val="20"/>
          <w:lang w:val="de-DE"/>
        </w:rPr>
        <w:t>.</w:t>
      </w:r>
    </w:p>
    <w:p w14:paraId="7A5AD9AE" w14:textId="77777777" w:rsidR="001B7751" w:rsidRDefault="001B7751" w:rsidP="001B7751">
      <w:pPr>
        <w:spacing w:line="360" w:lineRule="auto"/>
        <w:ind w:left="1134" w:firstLine="567"/>
        <w:jc w:val="both"/>
        <w:rPr>
          <w:rFonts w:ascii="Times New Roman" w:hAnsi="Times New Roman" w:cs="Times New Roman"/>
          <w:lang w:val="de-DE"/>
        </w:rPr>
      </w:pPr>
    </w:p>
    <w:p w14:paraId="0A5DDAA1" w14:textId="0973678D" w:rsidR="001B7751" w:rsidRDefault="001B7751" w:rsidP="001B7751">
      <w:pPr>
        <w:spacing w:line="360" w:lineRule="auto"/>
        <w:ind w:firstLine="567"/>
        <w:jc w:val="both"/>
        <w:rPr>
          <w:rFonts w:ascii="Times New Roman" w:hAnsi="Times New Roman" w:cs="Times New Roman"/>
        </w:rPr>
      </w:pPr>
      <w:r w:rsidRPr="0020012A">
        <w:rPr>
          <w:rFonts w:ascii="Times New Roman" w:hAnsi="Times New Roman" w:cs="Times New Roman"/>
        </w:rPr>
        <w:t xml:space="preserve">Ogni filosofare è sforzo della ragione che tende alla realizzazione dell’idea della scienza. A priori i diversi sistemi di pensiero potrebbero essere valutati in base alla loro prossimità o distanza da questo ideale di scientificità. Ma parallelamente al carattere </w:t>
      </w:r>
      <w:r w:rsidRPr="0020012A">
        <w:rPr>
          <w:rFonts w:ascii="Times New Roman" w:hAnsi="Times New Roman" w:cs="Times New Roman"/>
          <w:i/>
        </w:rPr>
        <w:t>puro</w:t>
      </w:r>
      <w:r w:rsidRPr="0020012A">
        <w:rPr>
          <w:rFonts w:ascii="Times New Roman" w:hAnsi="Times New Roman" w:cs="Times New Roman"/>
        </w:rPr>
        <w:t xml:space="preserve"> della disciplina filosofica, si articola e sviluppa la sua ineliminabile componente storica: l’idea della filosofia non è un </w:t>
      </w:r>
      <w:r w:rsidRPr="0020012A">
        <w:rPr>
          <w:rFonts w:ascii="Times New Roman" w:hAnsi="Times New Roman" w:cs="Times New Roman"/>
          <w:i/>
        </w:rPr>
        <w:t>immediato</w:t>
      </w:r>
      <w:r w:rsidRPr="0020012A">
        <w:rPr>
          <w:rFonts w:ascii="Times New Roman" w:hAnsi="Times New Roman" w:cs="Times New Roman"/>
        </w:rPr>
        <w:t xml:space="preserve">, ma frutto di un processo graduale e costante, attraverso cui le varie filosofie, con gradi di complessità differente, si sono approssimate a quello che </w:t>
      </w:r>
      <w:r w:rsidR="009A1CA9">
        <w:rPr>
          <w:rFonts w:ascii="Times New Roman" w:hAnsi="Times New Roman" w:cs="Times New Roman"/>
        </w:rPr>
        <w:t>Tennemann</w:t>
      </w:r>
      <w:r w:rsidRPr="0020012A">
        <w:rPr>
          <w:rFonts w:ascii="Times New Roman" w:hAnsi="Times New Roman" w:cs="Times New Roman"/>
        </w:rPr>
        <w:t xml:space="preserve"> considera lo scopo ultimo del filosofare (l’idea della scienza appunto). Su questo punto, la </w:t>
      </w:r>
      <w:r w:rsidRPr="0020012A">
        <w:rPr>
          <w:rFonts w:ascii="Times New Roman" w:hAnsi="Times New Roman" w:cs="Times New Roman"/>
          <w:i/>
        </w:rPr>
        <w:t>Geschichte der Philosophie</w:t>
      </w:r>
      <w:r w:rsidRPr="0020012A">
        <w:rPr>
          <w:rFonts w:ascii="Times New Roman" w:hAnsi="Times New Roman" w:cs="Times New Roman"/>
        </w:rPr>
        <w:t xml:space="preserve"> dice che:</w:t>
      </w:r>
    </w:p>
    <w:p w14:paraId="4D99140D" w14:textId="77777777" w:rsidR="001B7751" w:rsidRDefault="001B7751" w:rsidP="001B7751">
      <w:pPr>
        <w:spacing w:line="360" w:lineRule="auto"/>
        <w:ind w:left="567" w:firstLine="567"/>
        <w:jc w:val="both"/>
        <w:rPr>
          <w:rFonts w:ascii="Times New Roman" w:hAnsi="Times New Roman" w:cs="Times New Roman"/>
        </w:rPr>
      </w:pPr>
    </w:p>
    <w:p w14:paraId="04A30E18" w14:textId="77777777" w:rsidR="001B7751" w:rsidRPr="00B64FFF" w:rsidRDefault="001B7751" w:rsidP="001B7751">
      <w:pPr>
        <w:spacing w:line="360" w:lineRule="auto"/>
        <w:ind w:left="567" w:firstLine="567"/>
        <w:jc w:val="both"/>
        <w:rPr>
          <w:rFonts w:ascii="Times New Roman" w:hAnsi="Times New Roman" w:cs="Times New Roman"/>
          <w:sz w:val="20"/>
          <w:szCs w:val="20"/>
          <w:lang w:val="de-DE"/>
        </w:rPr>
      </w:pPr>
      <w:r w:rsidRPr="00B64FFF">
        <w:rPr>
          <w:rFonts w:ascii="Times New Roman" w:hAnsi="Times New Roman" w:cs="Times New Roman"/>
          <w:sz w:val="20"/>
          <w:szCs w:val="20"/>
          <w:lang w:val="de-DE"/>
        </w:rPr>
        <w:t>«Geschichte der Philosophie ist die Darstellung der successiven Ausbildung der Philosophie oder Darstellung der Bestrebungen der Vernunft, die Idee der Wissenschaft von den letzten Gründen und Gesetzen der Natur und Freiheit zu realisieren. Das Philosophieren ist alter als alle Phi</w:t>
      </w:r>
      <w:r>
        <w:rPr>
          <w:rFonts w:ascii="Times New Roman" w:hAnsi="Times New Roman" w:cs="Times New Roman"/>
          <w:sz w:val="20"/>
          <w:szCs w:val="20"/>
          <w:lang w:val="de-DE"/>
        </w:rPr>
        <w:t>losophie</w:t>
      </w:r>
      <w:r w:rsidRPr="00B64FFF">
        <w:rPr>
          <w:rFonts w:ascii="Times New Roman" w:hAnsi="Times New Roman" w:cs="Times New Roman"/>
          <w:sz w:val="20"/>
          <w:szCs w:val="20"/>
          <w:lang w:val="de-DE"/>
        </w:rPr>
        <w:t>n […] Nach diesem Begriffe ist der Stoff der Geschichte der Philosophie, alles, was sich auf die Thätigkeit der Vernunft, die Idee der Philosophie zu realisieren, beziehet. Der unmittelbare Stoff ist das Denken selbst […] insofern die Vernunft in der Person von Philosophen sich geäußert hat, in denen sie durch ihre Individualität und andere äußere Verhältnisse modificirt ist, so gehören auch mittelbar zum Stoff der Geschichte der Philosophie Thatsache, welche sich auf die Philosophen und ihre Verhältnisse beziehen»</w:t>
      </w:r>
      <w:r w:rsidRPr="00B64FFF">
        <w:rPr>
          <w:rStyle w:val="Rimandonotaapidipagina"/>
          <w:rFonts w:ascii="Times New Roman" w:hAnsi="Times New Roman" w:cs="Times New Roman"/>
          <w:sz w:val="20"/>
          <w:szCs w:val="20"/>
          <w:lang w:val="de-DE"/>
        </w:rPr>
        <w:footnoteReference w:id="734"/>
      </w:r>
      <w:r w:rsidRPr="00B64FFF">
        <w:rPr>
          <w:rFonts w:ascii="Times New Roman" w:hAnsi="Times New Roman" w:cs="Times New Roman"/>
          <w:sz w:val="20"/>
          <w:szCs w:val="20"/>
          <w:lang w:val="de-DE"/>
        </w:rPr>
        <w:t>.</w:t>
      </w:r>
    </w:p>
    <w:p w14:paraId="7E605A40" w14:textId="77777777" w:rsidR="001B7751" w:rsidRDefault="001B7751" w:rsidP="001B7751">
      <w:pPr>
        <w:spacing w:line="360" w:lineRule="auto"/>
        <w:ind w:left="1134" w:firstLine="567"/>
        <w:jc w:val="both"/>
        <w:rPr>
          <w:rFonts w:ascii="Times New Roman" w:hAnsi="Times New Roman" w:cs="Times New Roman"/>
          <w:lang w:val="de-DE"/>
        </w:rPr>
      </w:pPr>
    </w:p>
    <w:p w14:paraId="5173378B" w14:textId="3F80E04A" w:rsidR="001B7751" w:rsidRDefault="001B7751" w:rsidP="001B7751">
      <w:pPr>
        <w:spacing w:line="360" w:lineRule="auto"/>
        <w:ind w:firstLine="567"/>
        <w:jc w:val="both"/>
        <w:rPr>
          <w:rFonts w:ascii="Times New Roman" w:hAnsi="Times New Roman" w:cs="Times New Roman"/>
        </w:rPr>
      </w:pPr>
      <w:r>
        <w:rPr>
          <w:rFonts w:ascii="Times New Roman" w:hAnsi="Times New Roman" w:cs="Times New Roman"/>
        </w:rPr>
        <w:t xml:space="preserve">Il filosofare, ossia il bisogno e l’attitudine che spinge l’uomo ad interrogarsi sulla natura e sulla libertà, è più antico di ogni filosofia, che rappresenta uno sviluppo determinato – e più o meno prossimo all’idea della scienza – di un impulso connaturato alla ragione umana. Per questo motivo, lo storico della filosofia, nel ripercorrere gli sforzi del pensiero umano, deve intrecciare materiali eterogenei: </w:t>
      </w:r>
      <w:r w:rsidRPr="00FB501B">
        <w:rPr>
          <w:rFonts w:ascii="Times New Roman" w:hAnsi="Times New Roman" w:cs="Times New Roman"/>
        </w:rPr>
        <w:t xml:space="preserve">da un lato deve considerare la ragione come essa è in-sé-e-per-sé, dall’altro lato deve prestare attenzione al </w:t>
      </w:r>
      <w:r w:rsidRPr="00FB501B">
        <w:rPr>
          <w:rFonts w:ascii="Times New Roman" w:hAnsi="Times New Roman" w:cs="Times New Roman"/>
          <w:i/>
        </w:rPr>
        <w:t>processo storico</w:t>
      </w:r>
      <w:r w:rsidRPr="00FB501B">
        <w:rPr>
          <w:rFonts w:ascii="Times New Roman" w:hAnsi="Times New Roman" w:cs="Times New Roman"/>
        </w:rPr>
        <w:t xml:space="preserve"> a cui essa va incontro. Ogni sforzo della ragione,</w:t>
      </w:r>
      <w:r w:rsidRPr="0020012A">
        <w:rPr>
          <w:rFonts w:ascii="Times New Roman" w:hAnsi="Times New Roman" w:cs="Times New Roman"/>
        </w:rPr>
        <w:t xml:space="preserve"> infatti, s’iscrive in un determinato contesto storico-culturale, si particolarizza nella figura di un filosofo e si condensa in un</w:t>
      </w:r>
      <w:r>
        <w:rPr>
          <w:rFonts w:ascii="Times New Roman" w:hAnsi="Times New Roman" w:cs="Times New Roman"/>
        </w:rPr>
        <w:t>o specifico</w:t>
      </w:r>
      <w:r w:rsidRPr="0020012A">
        <w:rPr>
          <w:rFonts w:ascii="Times New Roman" w:hAnsi="Times New Roman" w:cs="Times New Roman"/>
        </w:rPr>
        <w:t xml:space="preserve"> sistema filosofico.</w:t>
      </w:r>
      <w:r>
        <w:rPr>
          <w:rFonts w:ascii="Times New Roman" w:hAnsi="Times New Roman" w:cs="Times New Roman"/>
        </w:rPr>
        <w:t xml:space="preserve"> </w:t>
      </w:r>
      <w:r w:rsidRPr="0020012A">
        <w:rPr>
          <w:rFonts w:ascii="Times New Roman" w:hAnsi="Times New Roman" w:cs="Times New Roman"/>
        </w:rPr>
        <w:t xml:space="preserve">All’elemento teorico </w:t>
      </w:r>
      <w:r w:rsidR="00DD185A">
        <w:rPr>
          <w:rFonts w:ascii="Times New Roman" w:hAnsi="Times New Roman" w:cs="Times New Roman"/>
        </w:rPr>
        <w:t>Tennemann</w:t>
      </w:r>
      <w:r w:rsidRPr="0020012A">
        <w:rPr>
          <w:rFonts w:ascii="Times New Roman" w:hAnsi="Times New Roman" w:cs="Times New Roman"/>
        </w:rPr>
        <w:t xml:space="preserve"> associa il dato storico, che permette di contestualizzare e valutare il contributo dei singoli filosofi allo sviluppo della </w:t>
      </w:r>
      <w:r w:rsidRPr="0020012A">
        <w:rPr>
          <w:rFonts w:ascii="Times New Roman" w:hAnsi="Times New Roman" w:cs="Times New Roman"/>
          <w:i/>
        </w:rPr>
        <w:t>Idee der Wissenschaft</w:t>
      </w:r>
      <w:r w:rsidRPr="0020012A">
        <w:rPr>
          <w:rFonts w:ascii="Times New Roman" w:hAnsi="Times New Roman" w:cs="Times New Roman"/>
        </w:rPr>
        <w:t>.</w:t>
      </w:r>
      <w:r>
        <w:rPr>
          <w:rFonts w:ascii="Times New Roman" w:hAnsi="Times New Roman" w:cs="Times New Roman"/>
        </w:rPr>
        <w:t xml:space="preserve"> Sebbene inestricabili, </w:t>
      </w:r>
      <w:r w:rsidR="009A1CA9">
        <w:rPr>
          <w:rFonts w:ascii="Times New Roman" w:hAnsi="Times New Roman" w:cs="Times New Roman"/>
        </w:rPr>
        <w:t>Tennemann</w:t>
      </w:r>
      <w:r>
        <w:rPr>
          <w:rFonts w:ascii="Times New Roman" w:hAnsi="Times New Roman" w:cs="Times New Roman"/>
        </w:rPr>
        <w:t xml:space="preserve"> riduce al minimo il d</w:t>
      </w:r>
      <w:r w:rsidR="00081CCC">
        <w:rPr>
          <w:rFonts w:ascii="Times New Roman" w:hAnsi="Times New Roman" w:cs="Times New Roman"/>
        </w:rPr>
        <w:t>ato storico e valuta i singoli a</w:t>
      </w:r>
      <w:r>
        <w:rPr>
          <w:rFonts w:ascii="Times New Roman" w:hAnsi="Times New Roman" w:cs="Times New Roman"/>
        </w:rPr>
        <w:t xml:space="preserve">utori sulla </w:t>
      </w:r>
      <w:r w:rsidRPr="005A5451">
        <w:rPr>
          <w:rFonts w:ascii="Times New Roman" w:hAnsi="Times New Roman" w:cs="Times New Roman"/>
        </w:rPr>
        <w:t>base della loro prossimità o d</w:t>
      </w:r>
      <w:r w:rsidR="00081CCC">
        <w:rPr>
          <w:rFonts w:ascii="Times New Roman" w:hAnsi="Times New Roman" w:cs="Times New Roman"/>
        </w:rPr>
        <w:t>istanza dall’idea della scienza</w:t>
      </w:r>
      <w:r w:rsidR="003C0CC9" w:rsidRPr="005A5451">
        <w:rPr>
          <w:rFonts w:ascii="Times New Roman" w:hAnsi="Times New Roman" w:cs="Times New Roman"/>
        </w:rPr>
        <w:t xml:space="preserve">. </w:t>
      </w:r>
      <w:r w:rsidRPr="005A5451">
        <w:rPr>
          <w:rFonts w:ascii="Times New Roman" w:hAnsi="Times New Roman" w:cs="Times New Roman"/>
        </w:rPr>
        <w:t xml:space="preserve">Esemplificativi di questo atteggiamento storico-filosofico sono due momenti precipui della filosofia ebraica, la Qabbalah e lo spinozismo, nei confronti dei quali emerge l’impostazione metodologica sottesa alla </w:t>
      </w:r>
      <w:r w:rsidRPr="005A5451">
        <w:rPr>
          <w:rFonts w:ascii="Times New Roman" w:hAnsi="Times New Roman" w:cs="Times New Roman"/>
          <w:i/>
        </w:rPr>
        <w:t>Geschichte der Philosophie</w:t>
      </w:r>
      <w:r w:rsidRPr="005A5451">
        <w:rPr>
          <w:rFonts w:ascii="Times New Roman" w:hAnsi="Times New Roman" w:cs="Times New Roman"/>
        </w:rPr>
        <w:t>.</w:t>
      </w:r>
      <w:r>
        <w:rPr>
          <w:rFonts w:ascii="Times New Roman" w:hAnsi="Times New Roman" w:cs="Times New Roman"/>
        </w:rPr>
        <w:t xml:space="preserve"> </w:t>
      </w:r>
    </w:p>
    <w:p w14:paraId="4C26B7B9" w14:textId="5D9F924B" w:rsidR="001B7751" w:rsidRDefault="001B7751" w:rsidP="001B7751">
      <w:pPr>
        <w:spacing w:line="360" w:lineRule="auto"/>
        <w:ind w:firstLine="567"/>
        <w:jc w:val="both"/>
        <w:rPr>
          <w:rFonts w:ascii="Times New Roman" w:hAnsi="Times New Roman" w:cs="Times New Roman"/>
        </w:rPr>
      </w:pPr>
      <w:r w:rsidRPr="00AC2A20">
        <w:rPr>
          <w:rFonts w:ascii="Times New Roman" w:hAnsi="Times New Roman" w:cs="Times New Roman"/>
        </w:rPr>
        <w:t>Già la collocazione storica della Qabbalah, offerta da Ten</w:t>
      </w:r>
      <w:r w:rsidR="005E6183" w:rsidRPr="00AC2A20">
        <w:rPr>
          <w:rFonts w:ascii="Times New Roman" w:hAnsi="Times New Roman" w:cs="Times New Roman"/>
        </w:rPr>
        <w:t>ne</w:t>
      </w:r>
      <w:r w:rsidRPr="00AC2A20">
        <w:rPr>
          <w:rFonts w:ascii="Times New Roman" w:hAnsi="Times New Roman" w:cs="Times New Roman"/>
        </w:rPr>
        <w:t xml:space="preserve">mann nel </w:t>
      </w:r>
      <w:r w:rsidR="003C0CC9" w:rsidRPr="00AC2A20">
        <w:rPr>
          <w:rFonts w:ascii="Times New Roman" w:hAnsi="Times New Roman" w:cs="Times New Roman"/>
        </w:rPr>
        <w:t xml:space="preserve">nono </w:t>
      </w:r>
      <w:r w:rsidRPr="00AC2A20">
        <w:rPr>
          <w:rFonts w:ascii="Times New Roman" w:hAnsi="Times New Roman" w:cs="Times New Roman"/>
        </w:rPr>
        <w:t>volume del suo compendio,</w:t>
      </w:r>
      <w:r w:rsidRPr="00300585">
        <w:rPr>
          <w:rFonts w:ascii="Times New Roman" w:hAnsi="Times New Roman" w:cs="Times New Roman"/>
        </w:rPr>
        <w:t xml:space="preserve"> è singolare. Strappata dal retroterra alessandrino, la filosofia cabbalistica è inserita nella cornice della filosofia rinascimentale.</w:t>
      </w:r>
      <w:r>
        <w:rPr>
          <w:rFonts w:ascii="Times New Roman" w:hAnsi="Times New Roman" w:cs="Times New Roman"/>
        </w:rPr>
        <w:t xml:space="preserve"> In termini generali</w:t>
      </w:r>
      <w:r w:rsidRPr="00300585">
        <w:rPr>
          <w:rFonts w:ascii="Times New Roman" w:hAnsi="Times New Roman" w:cs="Times New Roman"/>
        </w:rPr>
        <w:t>, la Qabbalah è «</w:t>
      </w:r>
      <w:r w:rsidRPr="00300585">
        <w:rPr>
          <w:rFonts w:ascii="Times New Roman" w:hAnsi="Times New Roman" w:cs="Times New Roman"/>
          <w:lang w:val="de-DE"/>
        </w:rPr>
        <w:t>ein philosophischer Versuch, die Entstehung der Wesen der Welt aus dem Wesen der Gottheit durch Emanation zu erkläre»</w:t>
      </w:r>
      <w:r w:rsidRPr="00300585">
        <w:rPr>
          <w:rStyle w:val="Rimandonotaapidipagina"/>
          <w:rFonts w:ascii="Times New Roman" w:hAnsi="Times New Roman" w:cs="Times New Roman"/>
          <w:lang w:val="de-DE"/>
        </w:rPr>
        <w:footnoteReference w:id="735"/>
      </w:r>
      <w:r w:rsidRPr="00300585">
        <w:rPr>
          <w:rFonts w:ascii="Times New Roman" w:hAnsi="Times New Roman" w:cs="Times New Roman"/>
          <w:lang w:val="de-DE"/>
        </w:rPr>
        <w:t xml:space="preserve">. </w:t>
      </w:r>
      <w:r w:rsidRPr="00300585">
        <w:rPr>
          <w:rFonts w:ascii="Times New Roman" w:hAnsi="Times New Roman" w:cs="Times New Roman"/>
        </w:rPr>
        <w:t>Un tentativo filosofico di comprendere la creazione del mondo per mezzo della teoria dell’emanazione, che è elemento distintivo del misticismo ebraico:</w:t>
      </w:r>
      <w:r>
        <w:rPr>
          <w:rFonts w:ascii="Times New Roman" w:hAnsi="Times New Roman" w:cs="Times New Roman"/>
        </w:rPr>
        <w:t xml:space="preserve"> </w:t>
      </w:r>
      <w:r w:rsidRPr="00CD1C7F">
        <w:rPr>
          <w:rFonts w:ascii="Times New Roman" w:hAnsi="Times New Roman" w:cs="Times New Roman"/>
        </w:rPr>
        <w:t>«</w:t>
      </w:r>
      <w:r w:rsidRPr="00CD1C7F">
        <w:rPr>
          <w:rFonts w:ascii="Times New Roman" w:hAnsi="Times New Roman" w:cs="Times New Roman"/>
          <w:lang w:val="de-DE"/>
        </w:rPr>
        <w:t>die Vorstellungen von einer Emanation, wie sie im Orient verbreitet waren und besonders die Alexandrinische Neuplatonische Philosophie das Haptingredienz der Cabbala sind»</w:t>
      </w:r>
      <w:r>
        <w:rPr>
          <w:rStyle w:val="Rimandonotaapidipagina"/>
          <w:rFonts w:ascii="Times New Roman" w:hAnsi="Times New Roman" w:cs="Times New Roman"/>
          <w:lang w:val="de-DE"/>
        </w:rPr>
        <w:footnoteReference w:id="736"/>
      </w:r>
      <w:r>
        <w:rPr>
          <w:rFonts w:ascii="Times New Roman" w:hAnsi="Times New Roman" w:cs="Times New Roman"/>
          <w:lang w:val="de-DE"/>
        </w:rPr>
        <w:t xml:space="preserve">. </w:t>
      </w:r>
      <w:r>
        <w:rPr>
          <w:rFonts w:ascii="Times New Roman" w:hAnsi="Times New Roman" w:cs="Times New Roman"/>
        </w:rPr>
        <w:t>Elementi orientali</w:t>
      </w:r>
      <w:r w:rsidRPr="000B34BF">
        <w:rPr>
          <w:rFonts w:ascii="Times New Roman" w:hAnsi="Times New Roman" w:cs="Times New Roman"/>
        </w:rPr>
        <w:t xml:space="preserve"> e neoplatonici</w:t>
      </w:r>
      <w:r w:rsidRPr="009B07EF">
        <w:rPr>
          <w:rFonts w:ascii="Times New Roman" w:hAnsi="Times New Roman" w:cs="Times New Roman"/>
        </w:rPr>
        <w:t xml:space="preserve"> vanno a costituire </w:t>
      </w:r>
      <w:r>
        <w:rPr>
          <w:rFonts w:ascii="Times New Roman" w:hAnsi="Times New Roman" w:cs="Times New Roman"/>
        </w:rPr>
        <w:t xml:space="preserve">le </w:t>
      </w:r>
      <w:r w:rsidRPr="009B07EF">
        <w:rPr>
          <w:rFonts w:ascii="Times New Roman" w:hAnsi="Times New Roman" w:cs="Times New Roman"/>
          <w:i/>
        </w:rPr>
        <w:t xml:space="preserve">rappresentazioni </w:t>
      </w:r>
      <w:r w:rsidRPr="009B07EF">
        <w:rPr>
          <w:rFonts w:ascii="Times New Roman" w:hAnsi="Times New Roman" w:cs="Times New Roman"/>
        </w:rPr>
        <w:t>portanti della riflessione cabbalistica</w:t>
      </w:r>
      <w:r>
        <w:rPr>
          <w:rFonts w:ascii="Times New Roman" w:hAnsi="Times New Roman" w:cs="Times New Roman"/>
        </w:rPr>
        <w:t xml:space="preserve">. </w:t>
      </w:r>
      <w:r w:rsidRPr="00FB501B">
        <w:rPr>
          <w:rFonts w:ascii="Times New Roman" w:hAnsi="Times New Roman" w:cs="Times New Roman"/>
        </w:rPr>
        <w:t>Sebbene Ten</w:t>
      </w:r>
      <w:r w:rsidR="005E6183">
        <w:rPr>
          <w:rFonts w:ascii="Times New Roman" w:hAnsi="Times New Roman" w:cs="Times New Roman"/>
        </w:rPr>
        <w:t>ne</w:t>
      </w:r>
      <w:r w:rsidRPr="00FB501B">
        <w:rPr>
          <w:rFonts w:ascii="Times New Roman" w:hAnsi="Times New Roman" w:cs="Times New Roman"/>
        </w:rPr>
        <w:t xml:space="preserve">mann abbia definito la Qabbalah come un tentativo filosofico, il fatto che abbia utilizzato, poche righe dopo, il termine </w:t>
      </w:r>
      <w:r w:rsidRPr="00FB501B">
        <w:rPr>
          <w:rFonts w:ascii="Times New Roman" w:hAnsi="Times New Roman" w:cs="Times New Roman"/>
          <w:i/>
        </w:rPr>
        <w:t>rappresentazioni</w:t>
      </w:r>
      <w:r w:rsidRPr="00FB501B">
        <w:rPr>
          <w:rFonts w:ascii="Times New Roman" w:hAnsi="Times New Roman" w:cs="Times New Roman"/>
        </w:rPr>
        <w:t xml:space="preserve"> denota un allontanamento della Qabbalah dal pensare argomentativo. Su questo punto, si legge che:</w:t>
      </w:r>
      <w:r>
        <w:rPr>
          <w:rFonts w:ascii="Times New Roman" w:hAnsi="Times New Roman" w:cs="Times New Roman"/>
        </w:rPr>
        <w:t xml:space="preserve"> </w:t>
      </w:r>
    </w:p>
    <w:p w14:paraId="04630116" w14:textId="77777777" w:rsidR="001B7751" w:rsidRDefault="001B7751" w:rsidP="001B7751">
      <w:pPr>
        <w:spacing w:line="360" w:lineRule="auto"/>
        <w:ind w:left="567" w:firstLine="567"/>
        <w:jc w:val="both"/>
        <w:rPr>
          <w:rFonts w:ascii="Times New Roman" w:hAnsi="Times New Roman" w:cs="Times New Roman"/>
        </w:rPr>
      </w:pPr>
    </w:p>
    <w:p w14:paraId="652D6A67" w14:textId="6AAEB07C" w:rsidR="001B7751" w:rsidRPr="00CD1C7F" w:rsidRDefault="001B7751" w:rsidP="001B7751">
      <w:pPr>
        <w:spacing w:line="360" w:lineRule="auto"/>
        <w:ind w:left="567" w:firstLine="567"/>
        <w:jc w:val="both"/>
        <w:rPr>
          <w:rFonts w:ascii="Times New Roman" w:hAnsi="Times New Roman" w:cs="Times New Roman"/>
          <w:lang w:val="de-DE"/>
        </w:rPr>
      </w:pPr>
      <w:r w:rsidRPr="00CD1C7F">
        <w:rPr>
          <w:rFonts w:ascii="Times New Roman" w:hAnsi="Times New Roman" w:cs="Times New Roman"/>
          <w:sz w:val="20"/>
          <w:szCs w:val="20"/>
          <w:lang w:val="de-DE"/>
        </w:rPr>
        <w:t>«So entstand eine Mannigfaltigkeit von Systemen, welche alle das Streben der Vernunft, das Übersinnliche zu erkennen, gemein haben, aber in Ansehung der Form und des Inhalts gar sehr von einander abweichen, weil sie nicht unmittelbar an die Vernunft, sondern an Offenbarung wandten, nicht auf die reine, unbefangene und unbestrochen Vernunft hörten, sondern fremde Specula</w:t>
      </w:r>
      <w:r w:rsidR="005E6183">
        <w:rPr>
          <w:rFonts w:ascii="Times New Roman" w:hAnsi="Times New Roman" w:cs="Times New Roman"/>
          <w:sz w:val="20"/>
          <w:szCs w:val="20"/>
          <w:lang w:val="de-DE"/>
        </w:rPr>
        <w:t xml:space="preserve">tionen und eigne Dichtungen zu den </w:t>
      </w:r>
      <w:r w:rsidRPr="00CD1C7F">
        <w:rPr>
          <w:rFonts w:ascii="Times New Roman" w:hAnsi="Times New Roman" w:cs="Times New Roman"/>
          <w:sz w:val="20"/>
          <w:szCs w:val="20"/>
          <w:lang w:val="de-DE"/>
        </w:rPr>
        <w:t>Offenbarungen ausgaben»</w:t>
      </w:r>
      <w:r w:rsidRPr="00CD1C7F">
        <w:rPr>
          <w:rStyle w:val="Rimandonotaapidipagina"/>
          <w:rFonts w:ascii="Times New Roman" w:hAnsi="Times New Roman" w:cs="Times New Roman"/>
          <w:sz w:val="20"/>
          <w:szCs w:val="20"/>
          <w:lang w:val="de-DE"/>
        </w:rPr>
        <w:footnoteReference w:id="737"/>
      </w:r>
      <w:r w:rsidRPr="00CD1C7F">
        <w:rPr>
          <w:rFonts w:ascii="Times New Roman" w:hAnsi="Times New Roman" w:cs="Times New Roman"/>
          <w:sz w:val="20"/>
          <w:szCs w:val="20"/>
          <w:lang w:val="de-DE"/>
        </w:rPr>
        <w:t>.</w:t>
      </w:r>
    </w:p>
    <w:p w14:paraId="1A57E137" w14:textId="77777777" w:rsidR="001B7751" w:rsidRDefault="001B7751" w:rsidP="001B7751">
      <w:pPr>
        <w:spacing w:line="360" w:lineRule="auto"/>
        <w:ind w:left="1134" w:firstLine="567"/>
        <w:jc w:val="both"/>
        <w:rPr>
          <w:rFonts w:ascii="Times New Roman" w:hAnsi="Times New Roman" w:cs="Times New Roman"/>
          <w:lang w:val="de-DE"/>
        </w:rPr>
      </w:pPr>
    </w:p>
    <w:p w14:paraId="3867AEC2" w14:textId="6154ED78" w:rsidR="001B7751" w:rsidRDefault="001B7751" w:rsidP="001B7751">
      <w:pPr>
        <w:spacing w:line="360" w:lineRule="auto"/>
        <w:ind w:firstLine="567"/>
        <w:jc w:val="both"/>
        <w:rPr>
          <w:rFonts w:ascii="Times New Roman" w:hAnsi="Times New Roman" w:cs="Times New Roman"/>
        </w:rPr>
      </w:pPr>
      <w:r w:rsidRPr="00300585">
        <w:rPr>
          <w:rFonts w:ascii="Times New Roman" w:hAnsi="Times New Roman" w:cs="Times New Roman"/>
        </w:rPr>
        <w:t xml:space="preserve">Sono molti i sistemi che si originano a partire dal retroterra cabbalistico. Spirito comune a tutte le manifestazioni particolari di </w:t>
      </w:r>
      <w:r>
        <w:rPr>
          <w:rFonts w:ascii="Times New Roman" w:hAnsi="Times New Roman" w:cs="Times New Roman"/>
        </w:rPr>
        <w:t xml:space="preserve">questo </w:t>
      </w:r>
      <w:r w:rsidRPr="00300585">
        <w:rPr>
          <w:rFonts w:ascii="Times New Roman" w:hAnsi="Times New Roman" w:cs="Times New Roman"/>
        </w:rPr>
        <w:t>fenomeno filosofico-religioso è lo sforzo di conoscere il sovrasensibile</w:t>
      </w:r>
      <w:r>
        <w:rPr>
          <w:rFonts w:ascii="Times New Roman" w:hAnsi="Times New Roman" w:cs="Times New Roman"/>
        </w:rPr>
        <w:t xml:space="preserve">. </w:t>
      </w:r>
      <w:r w:rsidRPr="00F5586C">
        <w:rPr>
          <w:rFonts w:ascii="Times New Roman" w:hAnsi="Times New Roman" w:cs="Times New Roman"/>
        </w:rPr>
        <w:t xml:space="preserve">Questa genuina tensione della ragione trova </w:t>
      </w:r>
      <w:r>
        <w:rPr>
          <w:rFonts w:ascii="Times New Roman" w:hAnsi="Times New Roman" w:cs="Times New Roman"/>
        </w:rPr>
        <w:t xml:space="preserve">molteplici </w:t>
      </w:r>
      <w:r w:rsidRPr="00F5586C">
        <w:rPr>
          <w:rFonts w:ascii="Times New Roman" w:hAnsi="Times New Roman" w:cs="Times New Roman"/>
        </w:rPr>
        <w:t>sviluppi a causa delle differenze contenutistic</w:t>
      </w:r>
      <w:r>
        <w:rPr>
          <w:rFonts w:ascii="Times New Roman" w:hAnsi="Times New Roman" w:cs="Times New Roman"/>
        </w:rPr>
        <w:t>he</w:t>
      </w:r>
      <w:r w:rsidRPr="00F5586C">
        <w:rPr>
          <w:rFonts w:ascii="Times New Roman" w:hAnsi="Times New Roman" w:cs="Times New Roman"/>
        </w:rPr>
        <w:t xml:space="preserve"> dei diversi sistemi cab</w:t>
      </w:r>
      <w:r w:rsidRPr="00861567">
        <w:rPr>
          <w:rFonts w:ascii="Times New Roman" w:hAnsi="Times New Roman" w:cs="Times New Roman"/>
        </w:rPr>
        <w:t>balistici. Dal momento che sono oggetto di rivelazione divina, i cabbalisti assumono nel loro argomentare fantasticherie e speculazioni di natura non filosofica.</w:t>
      </w:r>
      <w:r>
        <w:rPr>
          <w:rFonts w:ascii="Times New Roman" w:hAnsi="Times New Roman" w:cs="Times New Roman"/>
        </w:rPr>
        <w:t xml:space="preserve"> </w:t>
      </w:r>
      <w:r w:rsidRPr="00A6494B">
        <w:rPr>
          <w:rFonts w:ascii="Times New Roman" w:hAnsi="Times New Roman" w:cs="Times New Roman"/>
        </w:rPr>
        <w:t xml:space="preserve">La </w:t>
      </w:r>
      <w:r w:rsidRPr="002E1B28">
        <w:rPr>
          <w:rFonts w:ascii="Times New Roman" w:hAnsi="Times New Roman" w:cs="Times New Roman"/>
        </w:rPr>
        <w:t>rivelazione, che sia diretta a tutti in egual modo, o che sia rivolta ad un singolo individuo, è il terreno comune da cui la Qabbalah trae le sue eterogenee conoscenze sulla natura divina</w:t>
      </w:r>
      <w:r w:rsidRPr="002E1B28">
        <w:rPr>
          <w:rStyle w:val="Rimandonotaapidipagina"/>
          <w:rFonts w:ascii="Times New Roman" w:hAnsi="Times New Roman" w:cs="Times New Roman"/>
        </w:rPr>
        <w:footnoteReference w:id="738"/>
      </w:r>
      <w:r w:rsidRPr="002E1B28">
        <w:rPr>
          <w:rFonts w:ascii="Times New Roman" w:hAnsi="Times New Roman" w:cs="Times New Roman"/>
        </w:rPr>
        <w:t>.</w:t>
      </w:r>
      <w:r w:rsidRPr="00A6494B">
        <w:rPr>
          <w:rFonts w:ascii="Times New Roman" w:hAnsi="Times New Roman" w:cs="Times New Roman"/>
        </w:rPr>
        <w:t xml:space="preserve"> Da questa molteplicità formale e contenutistica, </w:t>
      </w:r>
      <w:r w:rsidR="009A1CA9">
        <w:rPr>
          <w:rFonts w:ascii="Times New Roman" w:hAnsi="Times New Roman" w:cs="Times New Roman"/>
        </w:rPr>
        <w:t>Tennemann</w:t>
      </w:r>
      <w:r w:rsidRPr="00A6494B">
        <w:rPr>
          <w:rFonts w:ascii="Times New Roman" w:hAnsi="Times New Roman" w:cs="Times New Roman"/>
        </w:rPr>
        <w:t xml:space="preserve"> ritiene di poter estrarre, nonostante la mancanza d’ordine che vi impera, alcuni filosofemi ricorrenti:</w:t>
      </w:r>
    </w:p>
    <w:p w14:paraId="7CA80FA8" w14:textId="77777777" w:rsidR="001B7751" w:rsidRDefault="001B7751" w:rsidP="001B7751">
      <w:pPr>
        <w:spacing w:line="360" w:lineRule="auto"/>
        <w:ind w:left="567" w:firstLine="567"/>
        <w:jc w:val="both"/>
        <w:rPr>
          <w:rFonts w:ascii="Times New Roman" w:hAnsi="Times New Roman" w:cs="Times New Roman"/>
        </w:rPr>
      </w:pPr>
    </w:p>
    <w:p w14:paraId="566D8F4C" w14:textId="77777777" w:rsidR="001B7751" w:rsidRPr="00FF4BB1" w:rsidRDefault="001B7751" w:rsidP="001B7751">
      <w:pPr>
        <w:spacing w:line="360" w:lineRule="auto"/>
        <w:ind w:left="567" w:firstLine="567"/>
        <w:jc w:val="both"/>
        <w:rPr>
          <w:rFonts w:ascii="Times New Roman" w:hAnsi="Times New Roman" w:cs="Times New Roman"/>
          <w:sz w:val="20"/>
          <w:szCs w:val="20"/>
          <w:lang w:val="de-DE"/>
        </w:rPr>
      </w:pPr>
      <w:r w:rsidRPr="00FF4BB1">
        <w:rPr>
          <w:rFonts w:ascii="Times New Roman" w:hAnsi="Times New Roman" w:cs="Times New Roman"/>
          <w:sz w:val="20"/>
          <w:szCs w:val="20"/>
        </w:rPr>
        <w:t>«</w:t>
      </w:r>
      <w:r w:rsidRPr="00FF4BB1">
        <w:rPr>
          <w:rFonts w:ascii="Times New Roman" w:hAnsi="Times New Roman" w:cs="Times New Roman"/>
          <w:sz w:val="20"/>
          <w:szCs w:val="20"/>
          <w:lang w:val="de-DE"/>
        </w:rPr>
        <w:t>Man findet ausser einigen Hauptideen von Gott als dem Dunkel des Dunkeln, dem Alten der Tage, dem Lichte von dem Makrokosmos uns Mikrokosmos und dem Ausfluß der Dinge durch Gott aus dem ersten grundquell aller Dinge, dem Urmenschen oder Adam Kadmon vermittelt der zehn Lichtstrome oder Sephiroth, keinen Zusammenhang oder Ordnung in den Gedanken; das Ganze ist ein Gewebe von Bilden, Symbolen, Allegorien, der Spielerei mit der verborgenen Bedeutung der Buchstaben und Zahlen»</w:t>
      </w:r>
      <w:r w:rsidRPr="00FF4BB1">
        <w:rPr>
          <w:rStyle w:val="Rimandonotaapidipagina"/>
          <w:rFonts w:ascii="Times New Roman" w:hAnsi="Times New Roman" w:cs="Times New Roman"/>
          <w:sz w:val="20"/>
          <w:szCs w:val="20"/>
          <w:lang w:val="de-DE"/>
        </w:rPr>
        <w:footnoteReference w:id="739"/>
      </w:r>
      <w:r w:rsidRPr="00FF4BB1">
        <w:rPr>
          <w:rFonts w:ascii="Times New Roman" w:hAnsi="Times New Roman" w:cs="Times New Roman"/>
          <w:sz w:val="20"/>
          <w:szCs w:val="20"/>
          <w:lang w:val="de-DE"/>
        </w:rPr>
        <w:t>.</w:t>
      </w:r>
    </w:p>
    <w:p w14:paraId="441F4CC5" w14:textId="77777777" w:rsidR="001B7751" w:rsidRPr="00F94EC8" w:rsidRDefault="001B7751" w:rsidP="001B7751">
      <w:pPr>
        <w:spacing w:line="360" w:lineRule="auto"/>
        <w:ind w:left="1134" w:firstLine="567"/>
        <w:jc w:val="both"/>
        <w:rPr>
          <w:rFonts w:ascii="Times New Roman" w:hAnsi="Times New Roman" w:cs="Times New Roman"/>
          <w:lang w:val="de-DE"/>
        </w:rPr>
      </w:pPr>
    </w:p>
    <w:p w14:paraId="7FD10C8F" w14:textId="473B6587" w:rsidR="001B7751" w:rsidRDefault="001B7751" w:rsidP="001B7751">
      <w:pPr>
        <w:spacing w:line="360" w:lineRule="auto"/>
        <w:ind w:firstLine="567"/>
        <w:jc w:val="both"/>
        <w:rPr>
          <w:rFonts w:ascii="Times New Roman" w:hAnsi="Times New Roman" w:cs="Times New Roman"/>
        </w:rPr>
      </w:pPr>
      <w:r>
        <w:rPr>
          <w:rFonts w:ascii="Times New Roman" w:hAnsi="Times New Roman" w:cs="Times New Roman"/>
        </w:rPr>
        <w:t xml:space="preserve">Dio come entità occulta, come luce del macrocosmo e del microcosmo e come fonte di tutte le cose, </w:t>
      </w:r>
      <w:r w:rsidRPr="00F5586C">
        <w:rPr>
          <w:rFonts w:ascii="Times New Roman" w:hAnsi="Times New Roman" w:cs="Times New Roman"/>
        </w:rPr>
        <w:t xml:space="preserve">che sono in virtù della mediazione dell’Adam Kadmon e delle dieci Sefitorh, sono alcune delle idee principali delle Qabbalah. Idee, sottolinea </w:t>
      </w:r>
      <w:r w:rsidR="009A1CA9">
        <w:rPr>
          <w:rFonts w:ascii="Times New Roman" w:hAnsi="Times New Roman" w:cs="Times New Roman"/>
        </w:rPr>
        <w:t>Tennemann</w:t>
      </w:r>
      <w:r w:rsidRPr="00F5586C">
        <w:rPr>
          <w:rFonts w:ascii="Times New Roman" w:hAnsi="Times New Roman" w:cs="Times New Roman"/>
        </w:rPr>
        <w:t>, che non seguono un ordine logico-argomentativo, ma risultano da un intreccio d’immagini, simboli e allegorie. A voler essere più precisi ancora, questa matassa di materiali altro non è che un trastullarsi (</w:t>
      </w:r>
      <w:r w:rsidRPr="00F5586C">
        <w:rPr>
          <w:rFonts w:ascii="Times New Roman" w:hAnsi="Times New Roman" w:cs="Times New Roman"/>
          <w:i/>
        </w:rPr>
        <w:t>Spielerei</w:t>
      </w:r>
      <w:r w:rsidRPr="00F5586C">
        <w:rPr>
          <w:rFonts w:ascii="Times New Roman" w:hAnsi="Times New Roman" w:cs="Times New Roman"/>
        </w:rPr>
        <w:t xml:space="preserve">) con il significato occulto delle lettere e dei numeri. </w:t>
      </w:r>
      <w:r w:rsidRPr="00E908BC">
        <w:rPr>
          <w:rFonts w:ascii="Times New Roman" w:hAnsi="Times New Roman" w:cs="Times New Roman"/>
        </w:rPr>
        <w:t xml:space="preserve">Il quadro dottrinario appena descritto è esposto nei testi più famosi della Qabbalah, il </w:t>
      </w:r>
      <w:r w:rsidRPr="00E908BC">
        <w:rPr>
          <w:rFonts w:ascii="Times New Roman" w:hAnsi="Times New Roman" w:cs="Times New Roman"/>
          <w:i/>
        </w:rPr>
        <w:t>Sefer Jezirah</w:t>
      </w:r>
      <w:r w:rsidRPr="00E908BC">
        <w:rPr>
          <w:rFonts w:ascii="Times New Roman" w:hAnsi="Times New Roman" w:cs="Times New Roman"/>
        </w:rPr>
        <w:t xml:space="preserve"> e lo </w:t>
      </w:r>
      <w:r w:rsidRPr="00E908BC">
        <w:rPr>
          <w:rFonts w:ascii="Times New Roman" w:hAnsi="Times New Roman" w:cs="Times New Roman"/>
          <w:i/>
        </w:rPr>
        <w:t>Zohar</w:t>
      </w:r>
      <w:r>
        <w:rPr>
          <w:rFonts w:ascii="Times New Roman" w:hAnsi="Times New Roman" w:cs="Times New Roman"/>
        </w:rPr>
        <w:t xml:space="preserve">. </w:t>
      </w:r>
      <w:r w:rsidRPr="006D5751">
        <w:rPr>
          <w:rFonts w:ascii="Times New Roman" w:hAnsi="Times New Roman" w:cs="Times New Roman"/>
        </w:rPr>
        <w:t xml:space="preserve">Seguendo Tiedemann e Buhle, </w:t>
      </w:r>
      <w:r w:rsidR="009A1CA9">
        <w:rPr>
          <w:rFonts w:ascii="Times New Roman" w:hAnsi="Times New Roman" w:cs="Times New Roman"/>
        </w:rPr>
        <w:t>Tennemann</w:t>
      </w:r>
      <w:r w:rsidRPr="006D5751">
        <w:rPr>
          <w:rFonts w:ascii="Times New Roman" w:hAnsi="Times New Roman" w:cs="Times New Roman"/>
        </w:rPr>
        <w:t xml:space="preserve"> ritiene che queste opere siano state redatte </w:t>
      </w:r>
      <w:r w:rsidRPr="006D5751">
        <w:rPr>
          <w:rFonts w:ascii="Times New Roman" w:hAnsi="Times New Roman" w:cs="Times New Roman"/>
          <w:lang w:val="de-DE"/>
        </w:rPr>
        <w:t>«in dem zweiten Jahrhunderte der christlichen Zeitrechnung»</w:t>
      </w:r>
      <w:r w:rsidRPr="006D5751">
        <w:rPr>
          <w:rStyle w:val="Rimandonotaapidipagina"/>
          <w:rFonts w:ascii="Times New Roman" w:hAnsi="Times New Roman" w:cs="Times New Roman"/>
          <w:lang w:val="de-DE"/>
        </w:rPr>
        <w:footnoteReference w:id="740"/>
      </w:r>
      <w:r>
        <w:rPr>
          <w:rFonts w:ascii="Times New Roman" w:hAnsi="Times New Roman" w:cs="Times New Roman"/>
        </w:rPr>
        <w:t xml:space="preserve"> e che siano andate presumibilmente incontro ad un </w:t>
      </w:r>
      <w:r w:rsidRPr="00E908BC">
        <w:rPr>
          <w:rFonts w:ascii="Times New Roman" w:hAnsi="Times New Roman" w:cs="Times New Roman"/>
        </w:rPr>
        <w:t>processo di interpolazione</w:t>
      </w:r>
      <w:r w:rsidRPr="00E908BC">
        <w:rPr>
          <w:rStyle w:val="Rimandonotaapidipagina"/>
          <w:rFonts w:ascii="Times New Roman" w:hAnsi="Times New Roman" w:cs="Times New Roman"/>
          <w:lang w:val="de-DE"/>
        </w:rPr>
        <w:footnoteReference w:id="741"/>
      </w:r>
      <w:r w:rsidRPr="00E908BC">
        <w:rPr>
          <w:rFonts w:ascii="Times New Roman" w:hAnsi="Times New Roman" w:cs="Times New Roman"/>
        </w:rPr>
        <w:t xml:space="preserve">. Per mettere ordine all’interno dell’oscurità contenutistica della filosofia cabbalistica, sembrebbe legittima la consultazione di alcuni commentari. Sulla liceità di questa operazione, </w:t>
      </w:r>
      <w:r w:rsidR="009A1CA9">
        <w:rPr>
          <w:rFonts w:ascii="Times New Roman" w:hAnsi="Times New Roman" w:cs="Times New Roman"/>
        </w:rPr>
        <w:t>Tennemann</w:t>
      </w:r>
      <w:r w:rsidRPr="00E908BC">
        <w:rPr>
          <w:rFonts w:ascii="Times New Roman" w:hAnsi="Times New Roman" w:cs="Times New Roman"/>
        </w:rPr>
        <w:t xml:space="preserve"> nutre più di un dubbio:</w:t>
      </w:r>
      <w:r>
        <w:rPr>
          <w:rFonts w:ascii="Times New Roman" w:hAnsi="Times New Roman" w:cs="Times New Roman"/>
        </w:rPr>
        <w:t xml:space="preserve"> </w:t>
      </w:r>
    </w:p>
    <w:p w14:paraId="11DBD8D7" w14:textId="77777777" w:rsidR="001B7751" w:rsidRDefault="001B7751" w:rsidP="001B7751">
      <w:pPr>
        <w:spacing w:line="360" w:lineRule="auto"/>
        <w:ind w:left="567" w:firstLine="567"/>
        <w:jc w:val="both"/>
        <w:rPr>
          <w:rFonts w:ascii="Times New Roman" w:hAnsi="Times New Roman" w:cs="Times New Roman"/>
        </w:rPr>
      </w:pPr>
    </w:p>
    <w:p w14:paraId="3A1A7291" w14:textId="77777777" w:rsidR="001B7751" w:rsidRPr="006D5751" w:rsidRDefault="001B7751" w:rsidP="001B7751">
      <w:pPr>
        <w:spacing w:line="360" w:lineRule="auto"/>
        <w:ind w:left="567" w:firstLine="567"/>
        <w:jc w:val="both"/>
        <w:rPr>
          <w:rFonts w:ascii="Times New Roman" w:hAnsi="Times New Roman" w:cs="Times New Roman"/>
          <w:lang w:val="de-DE"/>
        </w:rPr>
      </w:pPr>
      <w:r w:rsidRPr="006D5751">
        <w:rPr>
          <w:rFonts w:ascii="Times New Roman" w:hAnsi="Times New Roman" w:cs="Times New Roman"/>
          <w:sz w:val="20"/>
          <w:szCs w:val="20"/>
        </w:rPr>
        <w:t>«</w:t>
      </w:r>
      <w:r w:rsidRPr="006D5751">
        <w:rPr>
          <w:rFonts w:ascii="Times New Roman" w:hAnsi="Times New Roman" w:cs="Times New Roman"/>
          <w:sz w:val="20"/>
          <w:szCs w:val="20"/>
          <w:lang w:val="de-DE"/>
        </w:rPr>
        <w:t>Allein bei einem so beschaffenen Texte kann man nie mit Zuverlässigkeit bestimmen, in welchem Verhältnisse der Commentar zu demselben stehe, und ob nicht der Letzt vieles in den ersten hineingelegt habe, was ursprünglich nicht in demselben lag, – eine Bemerkung, welche auch die Vergleichung der Commentare, welche jüdische Gelehrte gegeben haben, als Lorja und Irira, theils der Systeme, welche christliche Gelehrte, als Heinrich Moore, Franz Merkur von Helmont, Joh. Ge. Wachter von der Cabbala aufgestellt haben, erhellt»</w:t>
      </w:r>
      <w:r w:rsidRPr="006D5751">
        <w:rPr>
          <w:rStyle w:val="Rimandonotaapidipagina"/>
          <w:rFonts w:ascii="Times New Roman" w:hAnsi="Times New Roman" w:cs="Times New Roman"/>
          <w:sz w:val="20"/>
          <w:szCs w:val="20"/>
          <w:lang w:val="de-DE"/>
        </w:rPr>
        <w:footnoteReference w:id="742"/>
      </w:r>
      <w:r w:rsidRPr="006D5751">
        <w:rPr>
          <w:rFonts w:ascii="Times New Roman" w:hAnsi="Times New Roman" w:cs="Times New Roman"/>
          <w:sz w:val="20"/>
          <w:szCs w:val="20"/>
          <w:lang w:val="de-DE"/>
        </w:rPr>
        <w:t>.</w:t>
      </w:r>
    </w:p>
    <w:p w14:paraId="23AA02F0" w14:textId="77777777" w:rsidR="001B7751" w:rsidRDefault="001B7751" w:rsidP="001B7751">
      <w:pPr>
        <w:spacing w:line="360" w:lineRule="auto"/>
        <w:ind w:left="1134" w:firstLine="567"/>
        <w:jc w:val="both"/>
        <w:rPr>
          <w:rFonts w:ascii="Times New Roman" w:hAnsi="Times New Roman" w:cs="Times New Roman"/>
          <w:lang w:val="de-DE"/>
        </w:rPr>
      </w:pPr>
    </w:p>
    <w:p w14:paraId="39EB3E10" w14:textId="59CAB763" w:rsidR="001B7751" w:rsidRPr="00AB6400" w:rsidRDefault="001B7751" w:rsidP="00BB46BA">
      <w:pPr>
        <w:spacing w:line="360" w:lineRule="auto"/>
        <w:ind w:firstLine="567"/>
        <w:jc w:val="both"/>
        <w:rPr>
          <w:rFonts w:ascii="Times New Roman" w:hAnsi="Times New Roman" w:cs="Times New Roman"/>
        </w:rPr>
      </w:pPr>
      <w:r>
        <w:rPr>
          <w:rFonts w:ascii="Times New Roman" w:hAnsi="Times New Roman" w:cs="Times New Roman"/>
        </w:rPr>
        <w:t>Non si può definire con sicurezza il rapporto fra commentatore e testo commentato: chi commenta, infatti, potrebbe inserire</w:t>
      </w:r>
      <w:r w:rsidRPr="0013688E">
        <w:rPr>
          <w:rFonts w:ascii="Times New Roman" w:hAnsi="Times New Roman" w:cs="Times New Roman"/>
        </w:rPr>
        <w:t xml:space="preserve"> </w:t>
      </w:r>
      <w:r>
        <w:rPr>
          <w:rFonts w:ascii="Times New Roman" w:hAnsi="Times New Roman" w:cs="Times New Roman"/>
        </w:rPr>
        <w:t xml:space="preserve">osservazioni e introdurre temi assenti dal testo preso in esame. Questa indicazione, continua </w:t>
      </w:r>
      <w:r w:rsidR="009A1CA9">
        <w:rPr>
          <w:rFonts w:ascii="Times New Roman" w:hAnsi="Times New Roman" w:cs="Times New Roman"/>
        </w:rPr>
        <w:t>Tennemann</w:t>
      </w:r>
      <w:r>
        <w:rPr>
          <w:rFonts w:ascii="Times New Roman" w:hAnsi="Times New Roman" w:cs="Times New Roman"/>
        </w:rPr>
        <w:t xml:space="preserve">, ha valore tanto per i commentatori giudei (Isaak Luria e Abraham Cohen de Herrera), quanto per quelli cristiani (Henry More, Franz von Helmont e Johann Georg Wachter). Da un punto di vista metodologico, è sconsigliato utilizzare strumenti critici che possono alterare il significato del testo di cui si vorrebbero chiarire le strutture logico-argomentative. Vista l’oscurità della materia, che non si lascia ricondurre a principi razionali, e vista l’inaffidabilità dei commentari, che inseriscono elementi estranei al pensiero cabbalistico, viene da chiedersi se ha senso impiegare del tempo per comprendere </w:t>
      </w:r>
      <w:r w:rsidRPr="006D5751">
        <w:rPr>
          <w:rFonts w:ascii="Times New Roman" w:hAnsi="Times New Roman" w:cs="Times New Roman"/>
        </w:rPr>
        <w:t>«</w:t>
      </w:r>
      <w:r w:rsidRPr="006D5751">
        <w:rPr>
          <w:rFonts w:ascii="Times New Roman" w:hAnsi="Times New Roman" w:cs="Times New Roman"/>
          <w:lang w:val="de-DE"/>
        </w:rPr>
        <w:t>diese rätselhafte</w:t>
      </w:r>
      <w:r>
        <w:rPr>
          <w:rFonts w:ascii="Times New Roman" w:hAnsi="Times New Roman" w:cs="Times New Roman"/>
          <w:lang w:val="de-DE"/>
        </w:rPr>
        <w:t>n</w:t>
      </w:r>
      <w:r w:rsidRPr="006D5751">
        <w:rPr>
          <w:rFonts w:ascii="Times New Roman" w:hAnsi="Times New Roman" w:cs="Times New Roman"/>
          <w:lang w:val="de-DE"/>
        </w:rPr>
        <w:t xml:space="preserve"> Schriften»</w:t>
      </w:r>
      <w:r w:rsidRPr="006D5751">
        <w:rPr>
          <w:rStyle w:val="Rimandonotaapidipagina"/>
          <w:rFonts w:ascii="Times New Roman" w:hAnsi="Times New Roman" w:cs="Times New Roman"/>
          <w:lang w:val="de-DE"/>
        </w:rPr>
        <w:footnoteReference w:id="743"/>
      </w:r>
      <w:r w:rsidRPr="006D5751">
        <w:rPr>
          <w:rFonts w:ascii="Times New Roman" w:hAnsi="Times New Roman" w:cs="Times New Roman"/>
          <w:lang w:val="de-DE"/>
        </w:rPr>
        <w:t>.</w:t>
      </w:r>
      <w:r>
        <w:rPr>
          <w:rFonts w:ascii="Times New Roman" w:hAnsi="Times New Roman" w:cs="Times New Roman"/>
          <w:lang w:val="de-DE"/>
        </w:rPr>
        <w:t xml:space="preserve"> </w:t>
      </w:r>
      <w:r w:rsidRPr="00E908BC">
        <w:rPr>
          <w:rFonts w:ascii="Times New Roman" w:hAnsi="Times New Roman" w:cs="Times New Roman"/>
        </w:rPr>
        <w:t xml:space="preserve">Sebbene sia forte la tentazione di lasciarsi alle spalle un insieme caotico d’immagini e simboli alieno dai domini della pura ragione, </w:t>
      </w:r>
      <w:r w:rsidR="009A1CA9">
        <w:rPr>
          <w:rFonts w:ascii="Times New Roman" w:hAnsi="Times New Roman" w:cs="Times New Roman"/>
        </w:rPr>
        <w:t>Tennemann</w:t>
      </w:r>
      <w:r w:rsidRPr="00E908BC">
        <w:rPr>
          <w:rFonts w:ascii="Times New Roman" w:hAnsi="Times New Roman" w:cs="Times New Roman"/>
        </w:rPr>
        <w:t xml:space="preserve"> pensa che vi sia una qualche utilità nello studio della tradizione ebraica:</w:t>
      </w:r>
      <w:r>
        <w:rPr>
          <w:rFonts w:ascii="Times New Roman" w:hAnsi="Times New Roman" w:cs="Times New Roman"/>
        </w:rPr>
        <w:t xml:space="preserve"> </w:t>
      </w:r>
      <w:r w:rsidRPr="00161308">
        <w:rPr>
          <w:rFonts w:ascii="Times New Roman" w:hAnsi="Times New Roman" w:cs="Times New Roman"/>
          <w:lang w:val="de-DE"/>
        </w:rPr>
        <w:t>«nur der Gesichtspunkt, daß durch die Cabbala die Lehren des Christenthums aufgeklart werden konnten, war es was derselben in den neuern Zeiten einen Wert verschaffen konnte»</w:t>
      </w:r>
      <w:r w:rsidRPr="00161308">
        <w:rPr>
          <w:rStyle w:val="Rimandonotaapidipagina"/>
          <w:rFonts w:ascii="Times New Roman" w:hAnsi="Times New Roman" w:cs="Times New Roman"/>
          <w:lang w:val="de-DE"/>
        </w:rPr>
        <w:footnoteReference w:id="744"/>
      </w:r>
      <w:r w:rsidRPr="00161308">
        <w:rPr>
          <w:rFonts w:ascii="Times New Roman" w:hAnsi="Times New Roman" w:cs="Times New Roman"/>
          <w:lang w:val="de-DE"/>
        </w:rPr>
        <w:t>.</w:t>
      </w:r>
      <w:r>
        <w:rPr>
          <w:rFonts w:ascii="Times New Roman" w:hAnsi="Times New Roman" w:cs="Times New Roman"/>
          <w:lang w:val="de-DE"/>
        </w:rPr>
        <w:t xml:space="preserve"> </w:t>
      </w:r>
      <w:r w:rsidRPr="008572F5">
        <w:rPr>
          <w:rFonts w:ascii="Times New Roman" w:hAnsi="Times New Roman" w:cs="Times New Roman"/>
        </w:rPr>
        <w:t xml:space="preserve">La ripresa rinascimentale della Qabbalah giustifica un interesse </w:t>
      </w:r>
      <w:r>
        <w:rPr>
          <w:rFonts w:ascii="Times New Roman" w:hAnsi="Times New Roman" w:cs="Times New Roman"/>
        </w:rPr>
        <w:t xml:space="preserve">per la mistica ebraica. È per questa ragione che il misticismo ebraico è inserito all’interno di quel volume della </w:t>
      </w:r>
      <w:r w:rsidRPr="00BB1B24">
        <w:rPr>
          <w:rFonts w:ascii="Times New Roman" w:hAnsi="Times New Roman" w:cs="Times New Roman"/>
          <w:i/>
        </w:rPr>
        <w:t>Geschcihte der Philosophie</w:t>
      </w:r>
      <w:r>
        <w:rPr>
          <w:rFonts w:ascii="Times New Roman" w:hAnsi="Times New Roman" w:cs="Times New Roman"/>
        </w:rPr>
        <w:t xml:space="preserve"> dedicato al</w:t>
      </w:r>
      <w:r w:rsidR="0011548A">
        <w:rPr>
          <w:rFonts w:ascii="Times New Roman" w:hAnsi="Times New Roman" w:cs="Times New Roman"/>
        </w:rPr>
        <w:t xml:space="preserve">la </w:t>
      </w:r>
      <w:r w:rsidR="0011548A" w:rsidRPr="0011548A">
        <w:rPr>
          <w:rFonts w:ascii="Times New Roman" w:hAnsi="Times New Roman" w:cs="Times New Roman"/>
          <w:i/>
        </w:rPr>
        <w:t>neuzeitliche Philsophie</w:t>
      </w:r>
      <w:r w:rsidRPr="0011548A">
        <w:rPr>
          <w:rFonts w:ascii="Times New Roman" w:hAnsi="Times New Roman" w:cs="Times New Roman"/>
        </w:rPr>
        <w:t>. Per spiegare la ricezione della filosofia cabbalistica nelle opere di Agrippa von Nettesheim, Marsilio Ficino e Pico della Mirandola, è teoricamente legittimo</w:t>
      </w:r>
      <w:r w:rsidR="0011548A" w:rsidRPr="0011548A">
        <w:rPr>
          <w:rFonts w:ascii="Times New Roman" w:hAnsi="Times New Roman" w:cs="Times New Roman"/>
        </w:rPr>
        <w:t xml:space="preserve"> </w:t>
      </w:r>
      <w:r w:rsidRPr="0011548A">
        <w:rPr>
          <w:rFonts w:ascii="Times New Roman" w:hAnsi="Times New Roman" w:cs="Times New Roman"/>
        </w:rPr>
        <w:t xml:space="preserve">assumere la </w:t>
      </w:r>
      <w:r w:rsidRPr="0011548A">
        <w:rPr>
          <w:rFonts w:ascii="Times New Roman" w:hAnsi="Times New Roman" w:cs="Times New Roman"/>
          <w:i/>
        </w:rPr>
        <w:t>Porta Coelorum</w:t>
      </w:r>
      <w:r w:rsidRPr="0011548A">
        <w:rPr>
          <w:rFonts w:ascii="Times New Roman" w:hAnsi="Times New Roman" w:cs="Times New Roman"/>
        </w:rPr>
        <w:t xml:space="preserve"> – uno scritto che </w:t>
      </w:r>
      <w:r w:rsidR="009A1CA9" w:rsidRPr="0011548A">
        <w:rPr>
          <w:rFonts w:ascii="Times New Roman" w:hAnsi="Times New Roman" w:cs="Times New Roman"/>
        </w:rPr>
        <w:t>Tennemann</w:t>
      </w:r>
      <w:r w:rsidRPr="0011548A">
        <w:rPr>
          <w:rFonts w:ascii="Times New Roman" w:hAnsi="Times New Roman" w:cs="Times New Roman"/>
        </w:rPr>
        <w:t xml:space="preserve"> considera coevo alla riflessione rinascimentale – come trattato esplicativo della tradizione ebraica. Venendo meno alla </w:t>
      </w:r>
      <w:r w:rsidRPr="0011548A">
        <w:rPr>
          <w:rFonts w:ascii="Times New Roman" w:hAnsi="Times New Roman" w:cs="Times New Roman"/>
          <w:i/>
          <w:lang w:val="de-DE"/>
        </w:rPr>
        <w:t>Bemerkung</w:t>
      </w:r>
      <w:r w:rsidRPr="0011548A">
        <w:rPr>
          <w:rFonts w:ascii="Times New Roman" w:hAnsi="Times New Roman" w:cs="Times New Roman"/>
        </w:rPr>
        <w:t xml:space="preserve"> sul rischio insito nell’utilizzo di commentari ebraico-cristiani, </w:t>
      </w:r>
      <w:r w:rsidR="009A1CA9" w:rsidRPr="0011548A">
        <w:rPr>
          <w:rFonts w:ascii="Times New Roman" w:hAnsi="Times New Roman" w:cs="Times New Roman"/>
        </w:rPr>
        <w:t>Tennemann</w:t>
      </w:r>
      <w:r w:rsidRPr="0011548A">
        <w:rPr>
          <w:rFonts w:ascii="Times New Roman" w:hAnsi="Times New Roman" w:cs="Times New Roman"/>
        </w:rPr>
        <w:t xml:space="preserve"> </w:t>
      </w:r>
      <w:r w:rsidR="00374DF3" w:rsidRPr="0011548A">
        <w:rPr>
          <w:rFonts w:ascii="Times New Roman" w:hAnsi="Times New Roman" w:cs="Times New Roman"/>
        </w:rPr>
        <w:t xml:space="preserve">riassume </w:t>
      </w:r>
      <w:r w:rsidRPr="0011548A">
        <w:rPr>
          <w:rFonts w:ascii="Times New Roman" w:hAnsi="Times New Roman" w:cs="Times New Roman"/>
        </w:rPr>
        <w:t xml:space="preserve">il pensiero cabbalistico a partire da un </w:t>
      </w:r>
      <w:r w:rsidR="009D0E33" w:rsidRPr="0011548A">
        <w:rPr>
          <w:rFonts w:ascii="Times New Roman" w:hAnsi="Times New Roman" w:cs="Times New Roman"/>
        </w:rPr>
        <w:t xml:space="preserve">commentario – la </w:t>
      </w:r>
      <w:r w:rsidR="009D0E33" w:rsidRPr="0011548A">
        <w:rPr>
          <w:rFonts w:ascii="Times New Roman" w:hAnsi="Times New Roman" w:cs="Times New Roman"/>
          <w:i/>
        </w:rPr>
        <w:t>Porta Coelorum</w:t>
      </w:r>
      <w:r w:rsidR="009D0E33" w:rsidRPr="0011548A">
        <w:rPr>
          <w:rFonts w:ascii="Times New Roman" w:hAnsi="Times New Roman" w:cs="Times New Roman"/>
        </w:rPr>
        <w:t xml:space="preserve"> </w:t>
      </w:r>
      <w:r w:rsidR="00E541DF" w:rsidRPr="0011548A">
        <w:rPr>
          <w:rFonts w:ascii="Times New Roman" w:hAnsi="Times New Roman" w:cs="Times New Roman"/>
        </w:rPr>
        <w:t xml:space="preserve">appunto </w:t>
      </w:r>
      <w:r w:rsidR="009D0E33" w:rsidRPr="0011548A">
        <w:rPr>
          <w:rFonts w:ascii="Times New Roman" w:hAnsi="Times New Roman" w:cs="Times New Roman"/>
        </w:rPr>
        <w:t xml:space="preserve">– </w:t>
      </w:r>
      <w:r w:rsidRPr="0011548A">
        <w:rPr>
          <w:rFonts w:ascii="Times New Roman" w:hAnsi="Times New Roman" w:cs="Times New Roman"/>
        </w:rPr>
        <w:t>di cui aveva suggerito un uso attento</w:t>
      </w:r>
      <w:r w:rsidRPr="0011548A">
        <w:rPr>
          <w:rFonts w:ascii="Times New Roman" w:hAnsi="Times New Roman" w:cs="Times New Roman"/>
          <w:lang w:val="de-DE"/>
        </w:rPr>
        <w:t>:</w:t>
      </w:r>
    </w:p>
    <w:p w14:paraId="10B8D025" w14:textId="77777777" w:rsidR="001B7751" w:rsidRDefault="001B7751" w:rsidP="001B7751">
      <w:pPr>
        <w:spacing w:line="360" w:lineRule="auto"/>
        <w:ind w:left="567" w:firstLine="567"/>
        <w:jc w:val="both"/>
        <w:rPr>
          <w:rFonts w:ascii="Times New Roman" w:hAnsi="Times New Roman" w:cs="Times New Roman"/>
        </w:rPr>
      </w:pPr>
    </w:p>
    <w:p w14:paraId="1D15D73D" w14:textId="77777777" w:rsidR="001B7751" w:rsidRPr="00161308" w:rsidRDefault="001B7751" w:rsidP="001B7751">
      <w:pPr>
        <w:spacing w:line="360" w:lineRule="auto"/>
        <w:ind w:left="567" w:firstLine="567"/>
        <w:jc w:val="both"/>
        <w:rPr>
          <w:rFonts w:ascii="Times New Roman" w:hAnsi="Times New Roman" w:cs="Times New Roman"/>
          <w:lang w:val="de-DE"/>
        </w:rPr>
      </w:pPr>
      <w:r w:rsidRPr="00161308">
        <w:rPr>
          <w:rFonts w:ascii="Times New Roman" w:hAnsi="Times New Roman" w:cs="Times New Roman"/>
          <w:sz w:val="20"/>
          <w:szCs w:val="20"/>
        </w:rPr>
        <w:t>«</w:t>
      </w:r>
      <w:r w:rsidRPr="00161308">
        <w:rPr>
          <w:rFonts w:ascii="Times New Roman" w:hAnsi="Times New Roman" w:cs="Times New Roman"/>
          <w:sz w:val="20"/>
          <w:szCs w:val="20"/>
          <w:lang w:val="de-DE"/>
        </w:rPr>
        <w:t>Nur in dieser Hinsicht mag folgende kurze Darstellung einiger Hauptpuncto, wie sie Brucker und besonders Tiedemann aus des Rabbi Irira porta coelorum ausgezogen hat, wobei man aber nicht vergessen darf, daß dieser der Alexandrinischen Neuplatonischen und der neuern Philosophie bekannte Jude denselben einen philosophischen Anstrich gegeben hat, den sie ursprünglich schwerlich besaßen, hier eine Stelle einnehmen»</w:t>
      </w:r>
      <w:r w:rsidRPr="00161308">
        <w:rPr>
          <w:rStyle w:val="Rimandonotaapidipagina"/>
          <w:rFonts w:ascii="Times New Roman" w:hAnsi="Times New Roman" w:cs="Times New Roman"/>
          <w:sz w:val="20"/>
          <w:szCs w:val="20"/>
          <w:lang w:val="de-DE"/>
        </w:rPr>
        <w:footnoteReference w:id="745"/>
      </w:r>
      <w:r w:rsidRPr="00161308">
        <w:rPr>
          <w:rFonts w:ascii="Times New Roman" w:hAnsi="Times New Roman" w:cs="Times New Roman"/>
          <w:sz w:val="20"/>
          <w:szCs w:val="20"/>
          <w:lang w:val="de-DE"/>
        </w:rPr>
        <w:t>.</w:t>
      </w:r>
    </w:p>
    <w:p w14:paraId="69EEF0AF" w14:textId="77777777" w:rsidR="001B7751" w:rsidRPr="008C65FF" w:rsidRDefault="001B7751" w:rsidP="001B7751">
      <w:pPr>
        <w:spacing w:line="360" w:lineRule="auto"/>
        <w:ind w:left="1134" w:firstLine="567"/>
        <w:jc w:val="both"/>
        <w:rPr>
          <w:rFonts w:ascii="Times New Roman" w:hAnsi="Times New Roman" w:cs="Times New Roman"/>
        </w:rPr>
      </w:pPr>
    </w:p>
    <w:p w14:paraId="0E946C41" w14:textId="370C629C" w:rsidR="001B7751" w:rsidRDefault="001B7751" w:rsidP="001B7751">
      <w:pPr>
        <w:spacing w:line="360" w:lineRule="auto"/>
        <w:ind w:firstLine="567"/>
        <w:jc w:val="both"/>
        <w:rPr>
          <w:rFonts w:ascii="Times New Roman" w:hAnsi="Times New Roman" w:cs="Times New Roman"/>
        </w:rPr>
      </w:pPr>
      <w:r w:rsidRPr="005E1BE0">
        <w:rPr>
          <w:rFonts w:ascii="Times New Roman" w:hAnsi="Times New Roman" w:cs="Times New Roman"/>
        </w:rPr>
        <w:t xml:space="preserve">Non soltanto si recupera una fonte che possiede elementi neoplatonici e rinascimentali eccedenti i confini teorici della Qabbalah, ma addirittura si attinge ai manuali di Brucker e Tiedemann per esporre i principi della tradizione </w:t>
      </w:r>
      <w:r w:rsidRPr="008B5F62">
        <w:rPr>
          <w:rFonts w:ascii="Times New Roman" w:hAnsi="Times New Roman" w:cs="Times New Roman"/>
        </w:rPr>
        <w:t xml:space="preserve">ebraica. Dalla mancanza d’interesse per un insieme dottrinario giudicato privo di coerenza argomentativa, si passa ad un interesse finalizzato a chiarire il ricorrere di certi assunti cabbalistici nel pensiero rinascimentale. L’occhio del filosofo, secondo la definizione che </w:t>
      </w:r>
      <w:r w:rsidR="009A1CA9">
        <w:rPr>
          <w:rFonts w:ascii="Times New Roman" w:hAnsi="Times New Roman" w:cs="Times New Roman"/>
        </w:rPr>
        <w:t>Tennemann</w:t>
      </w:r>
      <w:r w:rsidRPr="008B5F62">
        <w:rPr>
          <w:rFonts w:ascii="Times New Roman" w:hAnsi="Times New Roman" w:cs="Times New Roman"/>
        </w:rPr>
        <w:t xml:space="preserve"> dà del filosofare e dell’idea della scienza, non può che provare repulsione nei confronti del caos teorico della Qabbalah; l’occhio dello storico, invece, trova interesse in un’accozzaglia di </w:t>
      </w:r>
      <w:r w:rsidRPr="008B5F62">
        <w:rPr>
          <w:rFonts w:ascii="Times New Roman" w:hAnsi="Times New Roman" w:cs="Times New Roman"/>
          <w:i/>
        </w:rPr>
        <w:t>rappresentazioni</w:t>
      </w:r>
      <w:r w:rsidRPr="008B5F62">
        <w:rPr>
          <w:rFonts w:ascii="Times New Roman" w:hAnsi="Times New Roman" w:cs="Times New Roman"/>
        </w:rPr>
        <w:t xml:space="preserve"> che hanno avuto una eco nel Rinascimento europeo, </w:t>
      </w:r>
      <w:r w:rsidRPr="00886629">
        <w:rPr>
          <w:rFonts w:ascii="Times New Roman" w:hAnsi="Times New Roman" w:cs="Times New Roman"/>
        </w:rPr>
        <w:t>soprattutto se può attingere da un’opera</w:t>
      </w:r>
      <w:r w:rsidR="009D0E33">
        <w:rPr>
          <w:rFonts w:ascii="Times New Roman" w:hAnsi="Times New Roman" w:cs="Times New Roman"/>
        </w:rPr>
        <w:t>,</w:t>
      </w:r>
      <w:r w:rsidRPr="00886629">
        <w:rPr>
          <w:rFonts w:ascii="Times New Roman" w:hAnsi="Times New Roman" w:cs="Times New Roman"/>
        </w:rPr>
        <w:t xml:space="preserve"> </w:t>
      </w:r>
      <w:r>
        <w:rPr>
          <w:rFonts w:ascii="Times New Roman" w:hAnsi="Times New Roman" w:cs="Times New Roman"/>
        </w:rPr>
        <w:t xml:space="preserve">quale è </w:t>
      </w:r>
      <w:r w:rsidRPr="00886629">
        <w:rPr>
          <w:rFonts w:ascii="Times New Roman" w:hAnsi="Times New Roman" w:cs="Times New Roman"/>
          <w:i/>
        </w:rPr>
        <w:t>Porta Coelorum</w:t>
      </w:r>
      <w:r>
        <w:rPr>
          <w:rFonts w:ascii="Times New Roman" w:hAnsi="Times New Roman" w:cs="Times New Roman"/>
        </w:rPr>
        <w:t xml:space="preserve">, </w:t>
      </w:r>
      <w:r w:rsidR="009D0E33">
        <w:rPr>
          <w:rFonts w:ascii="Times New Roman" w:hAnsi="Times New Roman" w:cs="Times New Roman"/>
        </w:rPr>
        <w:t>che si autonomizza</w:t>
      </w:r>
      <w:r w:rsidRPr="00886629">
        <w:rPr>
          <w:rFonts w:ascii="Times New Roman" w:hAnsi="Times New Roman" w:cs="Times New Roman"/>
        </w:rPr>
        <w:t xml:space="preserve"> </w:t>
      </w:r>
      <w:r w:rsidR="009D0E33">
        <w:rPr>
          <w:rFonts w:ascii="Times New Roman" w:hAnsi="Times New Roman" w:cs="Times New Roman"/>
        </w:rPr>
        <w:t>(in parte)</w:t>
      </w:r>
      <w:r w:rsidRPr="00886629">
        <w:rPr>
          <w:rFonts w:ascii="Times New Roman" w:hAnsi="Times New Roman" w:cs="Times New Roman"/>
        </w:rPr>
        <w:t xml:space="preserve"> dalle allegorie cabbalistiche e chiarifica, </w:t>
      </w:r>
      <w:r>
        <w:rPr>
          <w:rFonts w:ascii="Times New Roman" w:hAnsi="Times New Roman" w:cs="Times New Roman"/>
        </w:rPr>
        <w:t>per prossimità storica</w:t>
      </w:r>
      <w:r w:rsidRPr="00886629">
        <w:rPr>
          <w:rFonts w:ascii="Times New Roman" w:hAnsi="Times New Roman" w:cs="Times New Roman"/>
        </w:rPr>
        <w:t>, l’interessamento rinascimentale al misticismo ebraico.</w:t>
      </w:r>
    </w:p>
    <w:p w14:paraId="6F09A4B2" w14:textId="10D90617" w:rsidR="001B7751" w:rsidRDefault="001B7751" w:rsidP="001B7751">
      <w:pPr>
        <w:spacing w:line="360" w:lineRule="auto"/>
        <w:ind w:firstLine="567"/>
        <w:jc w:val="both"/>
        <w:rPr>
          <w:rFonts w:ascii="Times New Roman" w:hAnsi="Times New Roman" w:cs="Times New Roman"/>
        </w:rPr>
      </w:pPr>
      <w:r>
        <w:rPr>
          <w:rFonts w:ascii="Times New Roman" w:hAnsi="Times New Roman" w:cs="Times New Roman"/>
        </w:rPr>
        <w:t xml:space="preserve">Dell’infinito Herrera afferma la natura in sé perfetta, semplice e unitaria. Il molteplice non può essere il fondamento dell’unità; al contrario è l’unità ad essere il fondamento del molteplice. Dio è </w:t>
      </w:r>
      <w:r w:rsidRPr="00777976">
        <w:rPr>
          <w:rFonts w:ascii="Times New Roman" w:hAnsi="Times New Roman" w:cs="Times New Roman"/>
        </w:rPr>
        <w:t>«Princip aller Dinge</w:t>
      </w:r>
      <w:r w:rsidRPr="00777976">
        <w:rPr>
          <w:rFonts w:ascii="Times New Roman" w:hAnsi="Times New Roman" w:cs="Times New Roman"/>
          <w:lang w:val="de-DE"/>
        </w:rPr>
        <w:t>»</w:t>
      </w:r>
      <w:r w:rsidRPr="00777976">
        <w:rPr>
          <w:rStyle w:val="Rimandonotaapidipagina"/>
          <w:rFonts w:ascii="Times New Roman" w:hAnsi="Times New Roman" w:cs="Times New Roman"/>
          <w:lang w:val="de-DE"/>
        </w:rPr>
        <w:footnoteReference w:id="746"/>
      </w:r>
      <w:r w:rsidRPr="0070678F">
        <w:rPr>
          <w:rFonts w:ascii="Times New Roman" w:hAnsi="Times New Roman" w:cs="Times New Roman"/>
        </w:rPr>
        <w:t xml:space="preserve"> </w:t>
      </w:r>
      <w:r>
        <w:rPr>
          <w:rFonts w:ascii="Times New Roman" w:hAnsi="Times New Roman" w:cs="Times New Roman"/>
        </w:rPr>
        <w:t xml:space="preserve">senza essere nessuna cosa in particolare. Per spiegare il rapporto fra unità e molteplicità, </w:t>
      </w:r>
      <w:r w:rsidR="009A1CA9">
        <w:rPr>
          <w:rFonts w:ascii="Times New Roman" w:hAnsi="Times New Roman" w:cs="Times New Roman"/>
        </w:rPr>
        <w:t>Tennemann</w:t>
      </w:r>
      <w:r>
        <w:rPr>
          <w:rFonts w:ascii="Times New Roman" w:hAnsi="Times New Roman" w:cs="Times New Roman"/>
        </w:rPr>
        <w:t xml:space="preserve"> cita quel passo della </w:t>
      </w:r>
      <w:r w:rsidRPr="00174531">
        <w:rPr>
          <w:rFonts w:ascii="Times New Roman" w:hAnsi="Times New Roman" w:cs="Times New Roman"/>
          <w:i/>
        </w:rPr>
        <w:t>Porta Coelorum</w:t>
      </w:r>
      <w:r>
        <w:rPr>
          <w:rFonts w:ascii="Times New Roman" w:hAnsi="Times New Roman" w:cs="Times New Roman"/>
        </w:rPr>
        <w:t xml:space="preserve"> in cui </w:t>
      </w:r>
      <w:r w:rsidRPr="00AF7A91">
        <w:rPr>
          <w:rFonts w:ascii="Times New Roman" w:hAnsi="Times New Roman" w:cs="Times New Roman"/>
        </w:rPr>
        <w:t>sono equiparate l’unità numerica e l’unità divina:</w:t>
      </w:r>
    </w:p>
    <w:p w14:paraId="60002B83" w14:textId="77777777" w:rsidR="001B7751" w:rsidRDefault="001B7751" w:rsidP="001B7751">
      <w:pPr>
        <w:spacing w:line="360" w:lineRule="auto"/>
        <w:ind w:left="567" w:firstLine="567"/>
        <w:jc w:val="both"/>
        <w:rPr>
          <w:rFonts w:ascii="Times New Roman" w:hAnsi="Times New Roman" w:cs="Times New Roman"/>
        </w:rPr>
      </w:pPr>
    </w:p>
    <w:p w14:paraId="01921B55" w14:textId="77777777" w:rsidR="001B7751" w:rsidRPr="00777976" w:rsidRDefault="001B7751" w:rsidP="001B7751">
      <w:pPr>
        <w:spacing w:line="360" w:lineRule="auto"/>
        <w:ind w:left="567" w:firstLine="567"/>
        <w:jc w:val="both"/>
        <w:rPr>
          <w:rFonts w:ascii="Times New Roman" w:hAnsi="Times New Roman" w:cs="Times New Roman"/>
          <w:sz w:val="20"/>
          <w:szCs w:val="20"/>
          <w:lang w:val="de-DE"/>
        </w:rPr>
      </w:pPr>
      <w:r w:rsidRPr="00777976">
        <w:rPr>
          <w:rFonts w:ascii="Times New Roman" w:hAnsi="Times New Roman" w:cs="Times New Roman"/>
          <w:sz w:val="20"/>
          <w:szCs w:val="20"/>
          <w:lang w:val="de-DE"/>
        </w:rPr>
        <w:t>«So wie die Zahleneinheit von allen Zahlen keine ist, sondern die vorzugweise (eminenter) alle enthalt; so enthalt das erste Wesen, die Gottheit alle in sich, ohne eines derselben bestimmt zu seyn. Die Zahleneinheit ist in allen Zahlen nicht bloß als ein Ganzes betrachtet, sondern auch in ihren Theilen, da jeder Theil wieder seine Einheit hat; sie ist also wie in dem Ganzen, so in den Theilen»</w:t>
      </w:r>
      <w:r w:rsidRPr="00777976">
        <w:rPr>
          <w:rStyle w:val="Rimandonotaapidipagina"/>
          <w:rFonts w:ascii="Times New Roman" w:hAnsi="Times New Roman" w:cs="Times New Roman"/>
          <w:sz w:val="20"/>
          <w:szCs w:val="20"/>
          <w:lang w:val="de-DE"/>
        </w:rPr>
        <w:footnoteReference w:id="747"/>
      </w:r>
      <w:r w:rsidRPr="00777976">
        <w:rPr>
          <w:rFonts w:ascii="Times New Roman" w:hAnsi="Times New Roman" w:cs="Times New Roman"/>
          <w:sz w:val="20"/>
          <w:szCs w:val="20"/>
          <w:lang w:val="de-DE"/>
        </w:rPr>
        <w:t>.</w:t>
      </w:r>
    </w:p>
    <w:p w14:paraId="5D2F3E14" w14:textId="77777777" w:rsidR="001B7751" w:rsidRPr="008572F5" w:rsidRDefault="001B7751" w:rsidP="001B7751">
      <w:pPr>
        <w:spacing w:line="360" w:lineRule="auto"/>
        <w:ind w:left="567" w:firstLine="567"/>
        <w:jc w:val="both"/>
        <w:rPr>
          <w:rFonts w:ascii="Times New Roman" w:hAnsi="Times New Roman" w:cs="Times New Roman"/>
        </w:rPr>
      </w:pPr>
    </w:p>
    <w:p w14:paraId="786D79ED" w14:textId="77777777" w:rsidR="001B7751" w:rsidRDefault="001B7751" w:rsidP="001B7751">
      <w:pPr>
        <w:spacing w:line="360" w:lineRule="auto"/>
        <w:ind w:firstLine="567"/>
        <w:jc w:val="both"/>
        <w:rPr>
          <w:rFonts w:ascii="Times New Roman" w:hAnsi="Times New Roman" w:cs="Times New Roman"/>
        </w:rPr>
      </w:pPr>
      <w:r>
        <w:rPr>
          <w:rFonts w:ascii="Times New Roman" w:hAnsi="Times New Roman" w:cs="Times New Roman"/>
        </w:rPr>
        <w:t xml:space="preserve">Come l’unità numerica, che contiene in sé ogni numero senza identificarsi con alcuna delle sue unità elementari, così Dio è principio di tutte le cose senza che sia nessuna cosa in particolare. L’unità numerica non soltanto è un tutto che comprende e trascende ogni numero, ma è anche un intero che si riflette nelle sue parti. Ogni parte è anche unità e l’unità è indistintamente in ogni sua parte. Stessa cosa si osserva per la divinità: </w:t>
      </w:r>
    </w:p>
    <w:p w14:paraId="1AEB7DA6" w14:textId="77777777" w:rsidR="001B7751" w:rsidRDefault="001B7751" w:rsidP="001B7751">
      <w:pPr>
        <w:spacing w:line="360" w:lineRule="auto"/>
        <w:ind w:left="567" w:firstLine="567"/>
        <w:jc w:val="both"/>
        <w:rPr>
          <w:rFonts w:ascii="Times New Roman" w:hAnsi="Times New Roman" w:cs="Times New Roman"/>
        </w:rPr>
      </w:pPr>
    </w:p>
    <w:p w14:paraId="57400938" w14:textId="77777777" w:rsidR="001B7751" w:rsidRPr="00777976" w:rsidRDefault="001B7751" w:rsidP="001B7751">
      <w:pPr>
        <w:spacing w:line="360" w:lineRule="auto"/>
        <w:ind w:left="567" w:firstLine="567"/>
        <w:jc w:val="both"/>
        <w:rPr>
          <w:rFonts w:ascii="Times New Roman" w:hAnsi="Times New Roman" w:cs="Times New Roman"/>
          <w:lang w:val="de-DE"/>
        </w:rPr>
      </w:pPr>
      <w:r w:rsidRPr="00777976">
        <w:rPr>
          <w:rFonts w:ascii="Times New Roman" w:hAnsi="Times New Roman" w:cs="Times New Roman"/>
          <w:sz w:val="20"/>
          <w:szCs w:val="20"/>
          <w:lang w:val="de-DE"/>
        </w:rPr>
        <w:t>«Es existiert in allem auf eine innerliche Weise, als jedes Ding in sich selbst ist, es ist ganz in allen und einzelnen und ihren Theilen, ohne von einem derselben oder von allen eingeschlossen zu seyn; es schließt vielmehr alles in sich, weil es Alles von Aussen umgibt und von Innen erfüllt»</w:t>
      </w:r>
      <w:r w:rsidRPr="00777976">
        <w:rPr>
          <w:rStyle w:val="Rimandonotaapidipagina"/>
          <w:rFonts w:ascii="Times New Roman" w:hAnsi="Times New Roman" w:cs="Times New Roman"/>
          <w:sz w:val="20"/>
          <w:szCs w:val="20"/>
          <w:lang w:val="de-DE"/>
        </w:rPr>
        <w:footnoteReference w:id="748"/>
      </w:r>
      <w:r w:rsidRPr="00777976">
        <w:rPr>
          <w:rFonts w:ascii="Times New Roman" w:hAnsi="Times New Roman" w:cs="Times New Roman"/>
          <w:sz w:val="20"/>
          <w:szCs w:val="20"/>
          <w:lang w:val="de-DE"/>
        </w:rPr>
        <w:t>.</w:t>
      </w:r>
    </w:p>
    <w:p w14:paraId="4EAE80DC" w14:textId="77777777" w:rsidR="001B7751" w:rsidRDefault="001B7751" w:rsidP="001B7751">
      <w:pPr>
        <w:spacing w:line="360" w:lineRule="auto"/>
        <w:ind w:left="1134" w:firstLine="567"/>
        <w:jc w:val="both"/>
        <w:rPr>
          <w:rFonts w:ascii="Times New Roman" w:hAnsi="Times New Roman" w:cs="Times New Roman"/>
          <w:lang w:val="de-DE"/>
        </w:rPr>
      </w:pPr>
    </w:p>
    <w:p w14:paraId="179257C2" w14:textId="457E6CB1" w:rsidR="001B7751" w:rsidRPr="008E710C" w:rsidRDefault="001B7751" w:rsidP="001B7751">
      <w:pPr>
        <w:spacing w:line="360" w:lineRule="auto"/>
        <w:ind w:firstLine="567"/>
        <w:jc w:val="both"/>
        <w:rPr>
          <w:rFonts w:ascii="Times New Roman" w:hAnsi="Times New Roman" w:cs="Times New Roman"/>
        </w:rPr>
      </w:pPr>
      <w:r w:rsidRPr="001F2492">
        <w:rPr>
          <w:rFonts w:ascii="Times New Roman" w:hAnsi="Times New Roman" w:cs="Times New Roman"/>
        </w:rPr>
        <w:t xml:space="preserve">Dio avvolge esternamente ogni cosa e la penetra dall’interno. Nel suo essere posto al di là delle determinazioni finite, Dio è la ragione prima e ultima di tutto ciò che è: </w:t>
      </w:r>
      <w:r w:rsidRPr="001F2492">
        <w:rPr>
          <w:rFonts w:ascii="Times New Roman" w:hAnsi="Times New Roman" w:cs="Times New Roman"/>
          <w:i/>
        </w:rPr>
        <w:t>causa remota</w:t>
      </w:r>
      <w:r w:rsidRPr="001F2492">
        <w:rPr>
          <w:rFonts w:ascii="Times New Roman" w:hAnsi="Times New Roman" w:cs="Times New Roman"/>
        </w:rPr>
        <w:t xml:space="preserve"> e </w:t>
      </w:r>
      <w:r w:rsidRPr="001F2492">
        <w:rPr>
          <w:rFonts w:ascii="Times New Roman" w:hAnsi="Times New Roman" w:cs="Times New Roman"/>
          <w:i/>
        </w:rPr>
        <w:t>causa immanente</w:t>
      </w:r>
      <w:r w:rsidRPr="001F2492">
        <w:rPr>
          <w:rFonts w:ascii="Times New Roman" w:hAnsi="Times New Roman" w:cs="Times New Roman"/>
        </w:rPr>
        <w:t xml:space="preserve"> della molteplicità ontica sono determinazioni che spettano all’En-sof.</w:t>
      </w:r>
      <w:r>
        <w:rPr>
          <w:rFonts w:ascii="Times New Roman" w:hAnsi="Times New Roman" w:cs="Times New Roman"/>
        </w:rPr>
        <w:t xml:space="preserve"> Attraverso un atto di contrazione del divino, che è </w:t>
      </w:r>
      <w:r w:rsidRPr="00777976">
        <w:rPr>
          <w:rFonts w:ascii="Times New Roman" w:hAnsi="Times New Roman" w:cs="Times New Roman"/>
          <w:lang w:val="de-DE"/>
        </w:rPr>
        <w:t>«Seyn durch kein Vermögen oder Mangel beschrankt»</w:t>
      </w:r>
      <w:r w:rsidRPr="00777976">
        <w:rPr>
          <w:rStyle w:val="Rimandonotaapidipagina"/>
          <w:rFonts w:ascii="Times New Roman" w:hAnsi="Times New Roman" w:cs="Times New Roman"/>
          <w:lang w:val="de-DE"/>
        </w:rPr>
        <w:footnoteReference w:id="749"/>
      </w:r>
      <w:r w:rsidRPr="00777976">
        <w:rPr>
          <w:rFonts w:ascii="Times New Roman" w:hAnsi="Times New Roman" w:cs="Times New Roman"/>
          <w:lang w:val="de-DE"/>
        </w:rPr>
        <w:t>,</w:t>
      </w:r>
      <w:r>
        <w:rPr>
          <w:rFonts w:ascii="Times New Roman" w:hAnsi="Times New Roman" w:cs="Times New Roman"/>
          <w:lang w:val="de-DE"/>
        </w:rPr>
        <w:t xml:space="preserve"> </w:t>
      </w:r>
      <w:r w:rsidRPr="00A50748">
        <w:rPr>
          <w:rFonts w:ascii="Times New Roman" w:hAnsi="Times New Roman" w:cs="Times New Roman"/>
        </w:rPr>
        <w:t xml:space="preserve">segue </w:t>
      </w:r>
      <w:r w:rsidR="009D0E33" w:rsidRPr="00A50748">
        <w:rPr>
          <w:rFonts w:ascii="Times New Roman" w:hAnsi="Times New Roman" w:cs="Times New Roman"/>
        </w:rPr>
        <w:t>il</w:t>
      </w:r>
      <w:r w:rsidRPr="00A50748">
        <w:rPr>
          <w:rFonts w:ascii="Times New Roman" w:hAnsi="Times New Roman" w:cs="Times New Roman"/>
        </w:rPr>
        <w:t xml:space="preserve"> con</w:t>
      </w:r>
      <w:r w:rsidR="009D0E33" w:rsidRPr="00A50748">
        <w:rPr>
          <w:rFonts w:ascii="Times New Roman" w:hAnsi="Times New Roman" w:cs="Times New Roman"/>
        </w:rPr>
        <w:t>trarsi</w:t>
      </w:r>
      <w:r w:rsidR="00A50748" w:rsidRPr="00A50748">
        <w:rPr>
          <w:rFonts w:ascii="Times New Roman" w:hAnsi="Times New Roman" w:cs="Times New Roman"/>
        </w:rPr>
        <w:t xml:space="preserve"> e l’espandersi</w:t>
      </w:r>
      <w:r w:rsidRPr="00542E0F">
        <w:rPr>
          <w:rFonts w:ascii="Times New Roman" w:hAnsi="Times New Roman" w:cs="Times New Roman"/>
        </w:rPr>
        <w:t xml:space="preserve"> della </w:t>
      </w:r>
      <w:r>
        <w:rPr>
          <w:rFonts w:ascii="Times New Roman" w:hAnsi="Times New Roman" w:cs="Times New Roman"/>
        </w:rPr>
        <w:t>divinità</w:t>
      </w:r>
      <w:r w:rsidRPr="00542E0F">
        <w:rPr>
          <w:rFonts w:ascii="Times New Roman" w:hAnsi="Times New Roman" w:cs="Times New Roman"/>
        </w:rPr>
        <w:t xml:space="preserve"> </w:t>
      </w:r>
      <w:r>
        <w:rPr>
          <w:rFonts w:ascii="Times New Roman" w:hAnsi="Times New Roman" w:cs="Times New Roman"/>
        </w:rPr>
        <w:t xml:space="preserve">in una serie discendente e </w:t>
      </w:r>
      <w:r w:rsidRPr="008E710C">
        <w:rPr>
          <w:rFonts w:ascii="Times New Roman" w:hAnsi="Times New Roman" w:cs="Times New Roman"/>
        </w:rPr>
        <w:t>progressiva d’effetti. Dall’Uno, lo si ricorderà, non può procedere immediatamente il molto, poichè fra infinito e finito, fra semplice e composto, fra uno e molto s</w:t>
      </w:r>
      <w:r>
        <w:rPr>
          <w:rFonts w:ascii="Times New Roman" w:hAnsi="Times New Roman" w:cs="Times New Roman"/>
        </w:rPr>
        <w:t>i inter</w:t>
      </w:r>
      <w:r w:rsidRPr="008E710C">
        <w:rPr>
          <w:rFonts w:ascii="Times New Roman" w:hAnsi="Times New Roman" w:cs="Times New Roman"/>
        </w:rPr>
        <w:t>pone una distanza ineleminabile.</w:t>
      </w:r>
      <w:r>
        <w:rPr>
          <w:rFonts w:ascii="Times New Roman" w:hAnsi="Times New Roman" w:cs="Times New Roman"/>
        </w:rPr>
        <w:t xml:space="preserve"> </w:t>
      </w:r>
      <w:r w:rsidRPr="001F5C92">
        <w:rPr>
          <w:rFonts w:ascii="Times New Roman" w:hAnsi="Times New Roman" w:cs="Times New Roman"/>
        </w:rPr>
        <w:t xml:space="preserve">Dall’En-sof non può che </w:t>
      </w:r>
      <w:r w:rsidRPr="001F5C92">
        <w:rPr>
          <w:rFonts w:ascii="Times New Roman" w:hAnsi="Times New Roman" w:cs="Times New Roman"/>
          <w:lang w:val="de-DE"/>
        </w:rPr>
        <w:t>«durch einen einzigen von ihm unzertrennlichen Act nur ein Hervorgebrachtes ausfließen»</w:t>
      </w:r>
      <w:r w:rsidRPr="001F5C92">
        <w:rPr>
          <w:rStyle w:val="Rimandonotaapidipagina"/>
          <w:rFonts w:ascii="Times New Roman" w:hAnsi="Times New Roman" w:cs="Times New Roman"/>
          <w:lang w:val="de-DE"/>
        </w:rPr>
        <w:footnoteReference w:id="750"/>
      </w:r>
      <w:r w:rsidRPr="001F5C92">
        <w:rPr>
          <w:rFonts w:ascii="Times New Roman" w:hAnsi="Times New Roman" w:cs="Times New Roman"/>
          <w:lang w:val="de-DE"/>
        </w:rPr>
        <w:t xml:space="preserve">. </w:t>
      </w:r>
      <w:r w:rsidRPr="001F5C92">
        <w:rPr>
          <w:rFonts w:ascii="Times New Roman" w:hAnsi="Times New Roman" w:cs="Times New Roman"/>
        </w:rPr>
        <w:t>Questo emanato, che è</w:t>
      </w:r>
      <w:r>
        <w:rPr>
          <w:rFonts w:ascii="Times New Roman" w:hAnsi="Times New Roman" w:cs="Times New Roman"/>
        </w:rPr>
        <w:t xml:space="preserve"> </w:t>
      </w:r>
      <w:r w:rsidRPr="00EE13AC">
        <w:rPr>
          <w:rFonts w:ascii="Times New Roman" w:hAnsi="Times New Roman" w:cs="Times New Roman"/>
        </w:rPr>
        <w:t>«</w:t>
      </w:r>
      <w:r w:rsidRPr="00A45C40">
        <w:rPr>
          <w:rFonts w:ascii="Times New Roman" w:hAnsi="Times New Roman" w:cs="Times New Roman"/>
        </w:rPr>
        <w:t>Instrument und Mittel zu allen folgenden Wirkungen</w:t>
      </w:r>
      <w:r w:rsidRPr="00A45C40">
        <w:rPr>
          <w:rFonts w:ascii="Times New Roman" w:hAnsi="Times New Roman" w:cs="Times New Roman"/>
          <w:lang w:val="de-DE"/>
        </w:rPr>
        <w:t>»</w:t>
      </w:r>
      <w:r w:rsidRPr="00A45C40">
        <w:rPr>
          <w:rStyle w:val="Rimandonotaapidipagina"/>
          <w:rFonts w:ascii="Times New Roman" w:hAnsi="Times New Roman" w:cs="Times New Roman"/>
          <w:lang w:val="de-DE"/>
        </w:rPr>
        <w:footnoteReference w:id="751"/>
      </w:r>
      <w:r w:rsidRPr="00A45C40">
        <w:rPr>
          <w:rFonts w:ascii="Times New Roman" w:hAnsi="Times New Roman" w:cs="Times New Roman"/>
          <w:lang w:val="de-DE"/>
        </w:rPr>
        <w:t xml:space="preserve">, </w:t>
      </w:r>
      <w:r w:rsidRPr="00A45C40">
        <w:rPr>
          <w:rFonts w:ascii="Times New Roman" w:hAnsi="Times New Roman" w:cs="Times New Roman"/>
        </w:rPr>
        <w:t xml:space="preserve">prosegue </w:t>
      </w:r>
      <w:r w:rsidR="009A1CA9">
        <w:rPr>
          <w:rFonts w:ascii="Times New Roman" w:hAnsi="Times New Roman" w:cs="Times New Roman"/>
        </w:rPr>
        <w:t>Tennemann</w:t>
      </w:r>
      <w:r w:rsidRPr="00A45C40">
        <w:rPr>
          <w:rFonts w:ascii="Times New Roman" w:hAnsi="Times New Roman" w:cs="Times New Roman"/>
        </w:rPr>
        <w:t>, a seconda della testimonianza presa in considerazione, è stato definito in modo eterogeneo</w:t>
      </w:r>
      <w:r w:rsidRPr="00A45C40">
        <w:rPr>
          <w:rStyle w:val="Rimandonotaapidipagina"/>
          <w:rFonts w:ascii="Times New Roman" w:hAnsi="Times New Roman" w:cs="Times New Roman"/>
        </w:rPr>
        <w:footnoteReference w:id="752"/>
      </w:r>
      <w:r w:rsidRPr="00A45C40">
        <w:rPr>
          <w:rFonts w:ascii="Times New Roman" w:hAnsi="Times New Roman" w:cs="Times New Roman"/>
        </w:rPr>
        <w:t xml:space="preserve">. Messe da parte le differenze nominali, si può dire che la filosofia cabbalistica riconosce, come risultato immediato della </w:t>
      </w:r>
      <w:r w:rsidRPr="00756555">
        <w:rPr>
          <w:rFonts w:ascii="Times New Roman" w:hAnsi="Times New Roman" w:cs="Times New Roman"/>
        </w:rPr>
        <w:t xml:space="preserve">causalità divina, la produzione di un unico effetto, di </w:t>
      </w:r>
      <w:r w:rsidRPr="00756555">
        <w:rPr>
          <w:rFonts w:ascii="Times New Roman" w:hAnsi="Times New Roman" w:cs="Times New Roman"/>
          <w:i/>
        </w:rPr>
        <w:t>Keter</w:t>
      </w:r>
      <w:r w:rsidRPr="00756555">
        <w:rPr>
          <w:rFonts w:ascii="Times New Roman" w:hAnsi="Times New Roman" w:cs="Times New Roman"/>
        </w:rPr>
        <w:t xml:space="preserve"> (corona) o dell’Adam Kadmon</w:t>
      </w:r>
      <w:r w:rsidRPr="00AC4E95">
        <w:rPr>
          <w:rFonts w:ascii="Times New Roman" w:hAnsi="Times New Roman" w:cs="Times New Roman"/>
        </w:rPr>
        <w:t xml:space="preserve">. Appurato che dall’Uno segue l’Uno, la </w:t>
      </w:r>
      <w:r w:rsidRPr="00AC4E95">
        <w:rPr>
          <w:rFonts w:ascii="Times New Roman" w:hAnsi="Times New Roman" w:cs="Times New Roman"/>
          <w:i/>
          <w:lang w:val="de-DE"/>
        </w:rPr>
        <w:t>Geschcihte der Philosophie</w:t>
      </w:r>
      <w:r w:rsidRPr="00AC4E95">
        <w:rPr>
          <w:rFonts w:ascii="Times New Roman" w:hAnsi="Times New Roman" w:cs="Times New Roman"/>
        </w:rPr>
        <w:t xml:space="preserve"> approfondisce, connettendola con la teoria lurianica della </w:t>
      </w:r>
      <w:r w:rsidRPr="00AC4E95">
        <w:rPr>
          <w:rFonts w:ascii="Times New Roman" w:hAnsi="Times New Roman" w:cs="Times New Roman"/>
          <w:i/>
        </w:rPr>
        <w:t>tzimtzum</w:t>
      </w:r>
      <w:r w:rsidRPr="00AC4E95">
        <w:rPr>
          <w:rFonts w:ascii="Times New Roman" w:hAnsi="Times New Roman" w:cs="Times New Roman"/>
        </w:rPr>
        <w:t>, la natura del processo emanativo:</w:t>
      </w:r>
    </w:p>
    <w:p w14:paraId="643D6D2A" w14:textId="77777777" w:rsidR="001B7751" w:rsidRDefault="001B7751" w:rsidP="001B7751">
      <w:pPr>
        <w:spacing w:line="360" w:lineRule="auto"/>
        <w:ind w:left="567" w:firstLine="567"/>
        <w:jc w:val="both"/>
        <w:rPr>
          <w:rFonts w:ascii="Times New Roman" w:hAnsi="Times New Roman" w:cs="Times New Roman"/>
        </w:rPr>
      </w:pPr>
    </w:p>
    <w:p w14:paraId="2391CD3C" w14:textId="77777777" w:rsidR="001B7751" w:rsidRPr="00514368" w:rsidRDefault="001B7751" w:rsidP="001B7751">
      <w:pPr>
        <w:spacing w:line="360" w:lineRule="auto"/>
        <w:ind w:left="567" w:firstLine="567"/>
        <w:jc w:val="both"/>
        <w:rPr>
          <w:rFonts w:ascii="Times New Roman" w:hAnsi="Times New Roman" w:cs="Times New Roman"/>
          <w:lang w:val="de-DE"/>
        </w:rPr>
      </w:pPr>
      <w:r w:rsidRPr="00514368">
        <w:rPr>
          <w:rFonts w:ascii="Times New Roman" w:hAnsi="Times New Roman" w:cs="Times New Roman"/>
          <w:sz w:val="20"/>
          <w:szCs w:val="20"/>
          <w:lang w:val="de-DE"/>
        </w:rPr>
        <w:t>«Die unendliche Gottheit erstreckt sich zwar über alle mögliche und vorstellbare Raume und erfüllt sie mit dem Lichte seines Anlitzes. Da er sich aber offenbaren und Wesen hervorbringen wollte, so schränkte er sich ein, zog sich gleichsam zusammen und concentrierte sich in sich selbst, verließ zwischen den unendlichen Raumen, die er vorbei einfallt hatte, einen Raum, damit er denselben erfüllen konnte, wie er denn auch denselben wirklich mit den hervorgebrachten Dingen angefüllt hat, jedoch so, daß er sich auch dorthin ausdehnte und offenbarte, wie vor der Hervorbringung dieser Dinge»</w:t>
      </w:r>
      <w:r w:rsidRPr="00514368">
        <w:rPr>
          <w:rStyle w:val="Rimandonotaapidipagina"/>
          <w:rFonts w:ascii="Times New Roman" w:hAnsi="Times New Roman" w:cs="Times New Roman"/>
          <w:sz w:val="20"/>
          <w:szCs w:val="20"/>
          <w:lang w:val="de-DE"/>
        </w:rPr>
        <w:footnoteReference w:id="753"/>
      </w:r>
      <w:r w:rsidRPr="00514368">
        <w:rPr>
          <w:rFonts w:ascii="Times New Roman" w:hAnsi="Times New Roman" w:cs="Times New Roman"/>
          <w:sz w:val="20"/>
          <w:szCs w:val="20"/>
          <w:lang w:val="de-DE"/>
        </w:rPr>
        <w:t>.</w:t>
      </w:r>
    </w:p>
    <w:p w14:paraId="2B7B3CA2" w14:textId="77777777" w:rsidR="001B7751" w:rsidRDefault="001B7751" w:rsidP="001B7751">
      <w:pPr>
        <w:spacing w:line="360" w:lineRule="auto"/>
        <w:ind w:left="1134" w:firstLine="567"/>
        <w:jc w:val="both"/>
        <w:rPr>
          <w:rFonts w:ascii="Times New Roman" w:hAnsi="Times New Roman" w:cs="Times New Roman"/>
          <w:lang w:val="de-DE"/>
        </w:rPr>
      </w:pPr>
    </w:p>
    <w:p w14:paraId="31D1D16B" w14:textId="77777777" w:rsidR="001B7751" w:rsidRDefault="001B7751" w:rsidP="001B7751">
      <w:pPr>
        <w:spacing w:line="360" w:lineRule="auto"/>
        <w:ind w:firstLine="567"/>
        <w:jc w:val="both"/>
        <w:rPr>
          <w:rFonts w:ascii="Times New Roman" w:hAnsi="Times New Roman" w:cs="Times New Roman"/>
        </w:rPr>
      </w:pPr>
      <w:r>
        <w:rPr>
          <w:rFonts w:ascii="Times New Roman" w:hAnsi="Times New Roman" w:cs="Times New Roman"/>
        </w:rPr>
        <w:t>L’infinita</w:t>
      </w:r>
      <w:r w:rsidRPr="00CB058D">
        <w:rPr>
          <w:rFonts w:ascii="Times New Roman" w:hAnsi="Times New Roman" w:cs="Times New Roman"/>
        </w:rPr>
        <w:t xml:space="preserve"> divinità è luce </w:t>
      </w:r>
      <w:r>
        <w:rPr>
          <w:rFonts w:ascii="Times New Roman" w:hAnsi="Times New Roman" w:cs="Times New Roman"/>
        </w:rPr>
        <w:t xml:space="preserve">indistintamente estesa nello spazio. Per rivelarsi e per creare l’essere finito, la divinità si è internamente contratta, ha lasciato uno spazio vuoto all’interno dello spazio infinito – in precedenza occupato dalla sua luce – e ha proiettato in esso la molteplicità e ricchezza ontica. Non dobbiamo dimenticare che l’atto espansivo, ossia il riempimento dello spazio lasciato vuoto dalla luce divina, avviene grazie alla mediazione del primo effetto dell’Uno, dell’Adam Kadmon, che costituisce il prototipo di tutte le cose e lo strumento attraverso cui è mediata la loro produzione graduale e successiva. </w:t>
      </w:r>
    </w:p>
    <w:p w14:paraId="595BC30C" w14:textId="31EA1522" w:rsidR="001B7751" w:rsidRPr="002E520A" w:rsidRDefault="001B7751" w:rsidP="001B7751">
      <w:pPr>
        <w:spacing w:line="360" w:lineRule="auto"/>
        <w:ind w:firstLine="567"/>
        <w:jc w:val="both"/>
        <w:rPr>
          <w:rFonts w:ascii="Times New Roman" w:hAnsi="Times New Roman" w:cs="Times New Roman"/>
          <w:highlight w:val="yellow"/>
        </w:rPr>
      </w:pPr>
      <w:r>
        <w:rPr>
          <w:rFonts w:ascii="Times New Roman" w:hAnsi="Times New Roman" w:cs="Times New Roman"/>
        </w:rPr>
        <w:t xml:space="preserve">Questi sono i principi cabbalistici che </w:t>
      </w:r>
      <w:r w:rsidR="009A1CA9">
        <w:rPr>
          <w:rFonts w:ascii="Times New Roman" w:hAnsi="Times New Roman" w:cs="Times New Roman"/>
        </w:rPr>
        <w:t>Tennemann</w:t>
      </w:r>
      <w:r>
        <w:rPr>
          <w:rFonts w:ascii="Times New Roman" w:hAnsi="Times New Roman" w:cs="Times New Roman"/>
        </w:rPr>
        <w:t xml:space="preserve"> estrae dall’opera di Herrera. Di meglio non può essere fatto, poiché </w:t>
      </w:r>
      <w:r w:rsidRPr="00514368">
        <w:rPr>
          <w:rFonts w:ascii="Times New Roman" w:hAnsi="Times New Roman" w:cs="Times New Roman"/>
        </w:rPr>
        <w:t>«</w:t>
      </w:r>
      <w:r w:rsidRPr="00514368">
        <w:rPr>
          <w:rFonts w:ascii="Times New Roman" w:hAnsi="Times New Roman" w:cs="Times New Roman"/>
          <w:lang w:val="de-DE"/>
        </w:rPr>
        <w:t>es ist unmöglich, in dieses Aggregat von schwärmerischen und mystischen Vorstellungen einen philosophischen Sinn zu bringen»</w:t>
      </w:r>
      <w:r w:rsidRPr="00514368">
        <w:rPr>
          <w:rStyle w:val="Rimandonotaapidipagina"/>
          <w:rFonts w:ascii="Times New Roman" w:hAnsi="Times New Roman" w:cs="Times New Roman"/>
          <w:lang w:val="de-DE"/>
        </w:rPr>
        <w:footnoteReference w:id="754"/>
      </w:r>
      <w:r w:rsidRPr="00514368">
        <w:rPr>
          <w:rFonts w:ascii="Times New Roman" w:hAnsi="Times New Roman" w:cs="Times New Roman"/>
          <w:lang w:val="de-DE"/>
        </w:rPr>
        <w:t>.</w:t>
      </w:r>
      <w:r>
        <w:rPr>
          <w:rFonts w:ascii="Times New Roman" w:hAnsi="Times New Roman" w:cs="Times New Roman"/>
          <w:lang w:val="de-DE"/>
        </w:rPr>
        <w:t xml:space="preserve"> </w:t>
      </w:r>
      <w:r w:rsidRPr="00910D68">
        <w:rPr>
          <w:rFonts w:ascii="Times New Roman" w:hAnsi="Times New Roman" w:cs="Times New Roman"/>
        </w:rPr>
        <w:t>Da un aggregato</w:t>
      </w:r>
      <w:r>
        <w:rPr>
          <w:rFonts w:ascii="Times New Roman" w:hAnsi="Times New Roman" w:cs="Times New Roman"/>
        </w:rPr>
        <w:t xml:space="preserve">, e quindi da un insieme caotico e disorganico di mistiche rappresentazioni, non si può desumere altro senso filosofico se non quello contenuto nella </w:t>
      </w:r>
      <w:r w:rsidRPr="00910D68">
        <w:rPr>
          <w:rFonts w:ascii="Times New Roman" w:hAnsi="Times New Roman" w:cs="Times New Roman"/>
          <w:i/>
        </w:rPr>
        <w:t>Porta Coelorum</w:t>
      </w:r>
      <w:r>
        <w:rPr>
          <w:rFonts w:ascii="Times New Roman" w:hAnsi="Times New Roman" w:cs="Times New Roman"/>
        </w:rPr>
        <w:t>, che ha «</w:t>
      </w:r>
      <w:r w:rsidRPr="00514368">
        <w:rPr>
          <w:rFonts w:ascii="Times New Roman" w:hAnsi="Times New Roman" w:cs="Times New Roman"/>
          <w:lang w:val="de-DE"/>
        </w:rPr>
        <w:t>der Cabbala einen philosophischen Anstrich gegeben, welchen sie unstreitig nicht ursprünglich hatte»</w:t>
      </w:r>
      <w:r w:rsidRPr="00514368">
        <w:rPr>
          <w:rStyle w:val="Rimandonotaapidipagina"/>
          <w:rFonts w:ascii="Times New Roman" w:hAnsi="Times New Roman" w:cs="Times New Roman"/>
          <w:lang w:val="de-DE"/>
        </w:rPr>
        <w:footnoteReference w:id="755"/>
      </w:r>
      <w:r w:rsidRPr="00514368">
        <w:rPr>
          <w:rFonts w:ascii="Times New Roman" w:hAnsi="Times New Roman" w:cs="Times New Roman"/>
          <w:lang w:val="de-DE"/>
        </w:rPr>
        <w:t>.</w:t>
      </w:r>
      <w:r>
        <w:rPr>
          <w:rFonts w:ascii="Times New Roman" w:hAnsi="Times New Roman" w:cs="Times New Roman"/>
        </w:rPr>
        <w:t xml:space="preserve"> I</w:t>
      </w:r>
      <w:r w:rsidRPr="005207E0">
        <w:rPr>
          <w:rFonts w:ascii="Times New Roman" w:hAnsi="Times New Roman" w:cs="Times New Roman"/>
        </w:rPr>
        <w:t>l senso filosofico</w:t>
      </w:r>
      <w:r>
        <w:rPr>
          <w:rFonts w:ascii="Times New Roman" w:hAnsi="Times New Roman" w:cs="Times New Roman"/>
        </w:rPr>
        <w:t>, che si desume dalle pagine di Herrera e che non è connaturato all’insegnamento cabbalistico, è riconducibile a un modello emanatistico prossimo a certi assunti teorici della filosofia</w:t>
      </w:r>
      <w:r w:rsidRPr="000B34BF">
        <w:rPr>
          <w:rFonts w:ascii="Times New Roman" w:hAnsi="Times New Roman" w:cs="Times New Roman"/>
        </w:rPr>
        <w:t xml:space="preserve"> neoplatonica</w:t>
      </w:r>
      <w:r>
        <w:rPr>
          <w:rFonts w:ascii="Times New Roman" w:hAnsi="Times New Roman" w:cs="Times New Roman"/>
        </w:rPr>
        <w:t xml:space="preserve">. </w:t>
      </w:r>
      <w:r w:rsidRPr="00893607">
        <w:rPr>
          <w:rFonts w:ascii="Times New Roman" w:hAnsi="Times New Roman" w:cs="Times New Roman"/>
        </w:rPr>
        <w:t xml:space="preserve">È in forza di questo contenuto </w:t>
      </w:r>
      <w:r w:rsidRPr="001D0363">
        <w:rPr>
          <w:rFonts w:ascii="Times New Roman" w:hAnsi="Times New Roman" w:cs="Times New Roman"/>
        </w:rPr>
        <w:t xml:space="preserve">che la Qabbalah assume un interesse per lo storico della filosofia: da una materia disorganica e priva di una qualsivoglia ragione interna, </w:t>
      </w:r>
      <w:r w:rsidR="009A1CA9" w:rsidRPr="00A50748">
        <w:rPr>
          <w:rFonts w:ascii="Times New Roman" w:hAnsi="Times New Roman" w:cs="Times New Roman"/>
        </w:rPr>
        <w:t>Tennemann</w:t>
      </w:r>
      <w:r w:rsidRPr="00A50748">
        <w:rPr>
          <w:rFonts w:ascii="Times New Roman" w:hAnsi="Times New Roman" w:cs="Times New Roman"/>
        </w:rPr>
        <w:t xml:space="preserve"> ricava, grazie alla mediazione della </w:t>
      </w:r>
      <w:r w:rsidRPr="00A50748">
        <w:rPr>
          <w:rFonts w:ascii="Times New Roman" w:hAnsi="Times New Roman" w:cs="Times New Roman"/>
          <w:i/>
        </w:rPr>
        <w:t>Porta Coelorum</w:t>
      </w:r>
      <w:r w:rsidRPr="00A50748">
        <w:rPr>
          <w:rFonts w:ascii="Times New Roman" w:hAnsi="Times New Roman" w:cs="Times New Roman"/>
        </w:rPr>
        <w:t>, un riassunto funzionale all</w:t>
      </w:r>
      <w:r w:rsidR="000524E5" w:rsidRPr="00A50748">
        <w:rPr>
          <w:rFonts w:ascii="Times New Roman" w:hAnsi="Times New Roman" w:cs="Times New Roman"/>
        </w:rPr>
        <w:t>a comprensione e all</w:t>
      </w:r>
      <w:r w:rsidRPr="00A50748">
        <w:rPr>
          <w:rFonts w:ascii="Times New Roman" w:hAnsi="Times New Roman" w:cs="Times New Roman"/>
        </w:rPr>
        <w:t>’esposizione della Qabbalah cristiana. Ragioni di ordine storico spingono l’</w:t>
      </w:r>
      <w:r w:rsidR="00021560" w:rsidRPr="00A50748">
        <w:rPr>
          <w:rFonts w:ascii="Times New Roman" w:hAnsi="Times New Roman" w:cs="Times New Roman"/>
        </w:rPr>
        <w:t>autore</w:t>
      </w:r>
      <w:r w:rsidRPr="00A50748">
        <w:rPr>
          <w:rFonts w:ascii="Times New Roman" w:hAnsi="Times New Roman" w:cs="Times New Roman"/>
        </w:rPr>
        <w:t xml:space="preserve"> della </w:t>
      </w:r>
      <w:r w:rsidRPr="00A50748">
        <w:rPr>
          <w:rFonts w:ascii="Times New Roman" w:hAnsi="Times New Roman" w:cs="Times New Roman"/>
          <w:i/>
        </w:rPr>
        <w:t>Geschichte der Philosophie</w:t>
      </w:r>
      <w:r w:rsidRPr="00A50748">
        <w:rPr>
          <w:rFonts w:ascii="Times New Roman" w:hAnsi="Times New Roman" w:cs="Times New Roman"/>
        </w:rPr>
        <w:t xml:space="preserve"> a dismettere la repulsione teorica nei confronti delle mistiche rappresentazioni della tradizione ebraica e a sistematizzare un materiale in cui il filosofare </w:t>
      </w:r>
      <w:r w:rsidR="000524E5" w:rsidRPr="00A50748">
        <w:rPr>
          <w:rFonts w:ascii="Times New Roman" w:hAnsi="Times New Roman" w:cs="Times New Roman"/>
        </w:rPr>
        <w:t xml:space="preserve">è appena </w:t>
      </w:r>
      <w:r w:rsidRPr="00A50748">
        <w:rPr>
          <w:rFonts w:ascii="Times New Roman" w:hAnsi="Times New Roman" w:cs="Times New Roman"/>
        </w:rPr>
        <w:t>percettibile.</w:t>
      </w:r>
      <w:r>
        <w:rPr>
          <w:rFonts w:ascii="Times New Roman" w:hAnsi="Times New Roman" w:cs="Times New Roman"/>
        </w:rPr>
        <w:t xml:space="preserve"> </w:t>
      </w:r>
    </w:p>
    <w:p w14:paraId="305680A5" w14:textId="20EC31BC" w:rsidR="001B7751" w:rsidRDefault="001B7751" w:rsidP="001B7751">
      <w:pPr>
        <w:spacing w:line="360" w:lineRule="auto"/>
        <w:ind w:firstLine="567"/>
        <w:jc w:val="both"/>
        <w:rPr>
          <w:rFonts w:ascii="Times New Roman" w:hAnsi="Times New Roman" w:cs="Times New Roman"/>
        </w:rPr>
      </w:pPr>
      <w:r w:rsidRPr="00F91BC8">
        <w:rPr>
          <w:rFonts w:ascii="Times New Roman" w:hAnsi="Times New Roman" w:cs="Times New Roman"/>
        </w:rPr>
        <w:t xml:space="preserve">Se si è registrata una certa durezza di </w:t>
      </w:r>
      <w:r w:rsidR="009A1CA9">
        <w:rPr>
          <w:rFonts w:ascii="Times New Roman" w:hAnsi="Times New Roman" w:cs="Times New Roman"/>
        </w:rPr>
        <w:t>Tennemann</w:t>
      </w:r>
      <w:r w:rsidRPr="00F91BC8">
        <w:rPr>
          <w:rFonts w:ascii="Times New Roman" w:hAnsi="Times New Roman" w:cs="Times New Roman"/>
        </w:rPr>
        <w:t xml:space="preserve"> nei confronti del misticismo ebraico, stessa cosa non</w:t>
      </w:r>
      <w:r>
        <w:rPr>
          <w:rFonts w:ascii="Times New Roman" w:hAnsi="Times New Roman" w:cs="Times New Roman"/>
        </w:rPr>
        <w:t xml:space="preserve"> può dirsi per la filosofia di Spinoza. Alla stregua del </w:t>
      </w:r>
      <w:r>
        <w:rPr>
          <w:rFonts w:ascii="Times New Roman" w:hAnsi="Times New Roman" w:cs="Times New Roman"/>
          <w:i/>
        </w:rPr>
        <w:t xml:space="preserve">Grundriss </w:t>
      </w:r>
      <w:r w:rsidRPr="00AA27E8">
        <w:rPr>
          <w:rFonts w:ascii="Times New Roman" w:hAnsi="Times New Roman" w:cs="Times New Roman"/>
          <w:i/>
        </w:rPr>
        <w:t>e</w:t>
      </w:r>
      <w:r>
        <w:rPr>
          <w:rFonts w:ascii="Times New Roman" w:hAnsi="Times New Roman" w:cs="Times New Roman"/>
          <w:i/>
        </w:rPr>
        <w:t>ine</w:t>
      </w:r>
      <w:r w:rsidRPr="00AA27E8">
        <w:rPr>
          <w:rFonts w:ascii="Times New Roman" w:hAnsi="Times New Roman" w:cs="Times New Roman"/>
          <w:i/>
        </w:rPr>
        <w:t>r Geschichte der Philosophie</w:t>
      </w:r>
      <w:r>
        <w:rPr>
          <w:rFonts w:ascii="Times New Roman" w:hAnsi="Times New Roman" w:cs="Times New Roman"/>
        </w:rPr>
        <w:t xml:space="preserve">, la </w:t>
      </w:r>
      <w:r w:rsidRPr="00AA27E8">
        <w:rPr>
          <w:rFonts w:ascii="Times New Roman" w:hAnsi="Times New Roman" w:cs="Times New Roman"/>
          <w:i/>
        </w:rPr>
        <w:t>Geschichte der Philosophie</w:t>
      </w:r>
      <w:r>
        <w:rPr>
          <w:rFonts w:ascii="Times New Roman" w:hAnsi="Times New Roman" w:cs="Times New Roman"/>
        </w:rPr>
        <w:t xml:space="preserve"> esclude il contatto fra spinozismo e Qabbalah. L’unico elemento teorico d’ispirazione ebraica del sistema spinoziano è rappresentato dalla concezione della causalità divina:</w:t>
      </w:r>
    </w:p>
    <w:p w14:paraId="01921941" w14:textId="77777777" w:rsidR="001B7751" w:rsidRDefault="001B7751" w:rsidP="001B7751">
      <w:pPr>
        <w:spacing w:line="360" w:lineRule="auto"/>
        <w:ind w:left="567" w:firstLine="567"/>
        <w:jc w:val="both"/>
        <w:rPr>
          <w:rFonts w:ascii="Times New Roman" w:hAnsi="Times New Roman" w:cs="Times New Roman"/>
        </w:rPr>
      </w:pPr>
    </w:p>
    <w:p w14:paraId="5CDF87E3" w14:textId="77777777" w:rsidR="001B7751" w:rsidRPr="00514368" w:rsidRDefault="001B7751" w:rsidP="001B7751">
      <w:pPr>
        <w:spacing w:line="360" w:lineRule="auto"/>
        <w:ind w:left="567" w:firstLine="567"/>
        <w:jc w:val="both"/>
        <w:rPr>
          <w:rFonts w:ascii="Times New Roman" w:hAnsi="Times New Roman" w:cs="Times New Roman"/>
          <w:lang w:val="de-DE"/>
        </w:rPr>
      </w:pPr>
      <w:r w:rsidRPr="00514368">
        <w:rPr>
          <w:rFonts w:ascii="Times New Roman" w:hAnsi="Times New Roman" w:cs="Times New Roman"/>
          <w:sz w:val="20"/>
          <w:szCs w:val="20"/>
          <w:lang w:val="de-DE"/>
        </w:rPr>
        <w:t>«Nur in dem ein und zwanzigsten Briefe an H. Oldenburg kommt etwas davon vor. Ich habe, sagt er, über Gott und Natur eine besondere Ansicht, welche von der neueren Christen abweichet. Gott ist mir nämlich nicht die äussere (transiens), sondern immanente Ursache aller Dinge. Alles ist und bewegt sich in Gott. Dieses behaupte ich mit dem Apostel Paulus, vielleicht auch mit allen alten Philosophen, obgleich auf eine andere Weise; selbst mit den alten Hebräern, durfte ich wohl sagen, so viel sich aus einigen, viewohl vielfaltig verfälschten Ueberliferung schliessen laßt»</w:t>
      </w:r>
      <w:r w:rsidRPr="00514368">
        <w:rPr>
          <w:rStyle w:val="Rimandonotaapidipagina"/>
          <w:rFonts w:ascii="Times New Roman" w:hAnsi="Times New Roman" w:cs="Times New Roman"/>
          <w:sz w:val="20"/>
          <w:szCs w:val="20"/>
          <w:lang w:val="de-DE"/>
        </w:rPr>
        <w:footnoteReference w:id="756"/>
      </w:r>
      <w:r w:rsidRPr="00514368">
        <w:rPr>
          <w:rFonts w:ascii="Times New Roman" w:hAnsi="Times New Roman" w:cs="Times New Roman"/>
          <w:sz w:val="20"/>
          <w:szCs w:val="20"/>
          <w:lang w:val="de-DE"/>
        </w:rPr>
        <w:t>.</w:t>
      </w:r>
    </w:p>
    <w:p w14:paraId="066CEEEE" w14:textId="77777777" w:rsidR="001B7751" w:rsidRDefault="001B7751" w:rsidP="001B7751">
      <w:pPr>
        <w:spacing w:line="360" w:lineRule="auto"/>
        <w:ind w:left="1134" w:firstLine="567"/>
        <w:jc w:val="both"/>
        <w:rPr>
          <w:rFonts w:ascii="Times New Roman" w:hAnsi="Times New Roman" w:cs="Times New Roman"/>
          <w:lang w:val="de-DE"/>
        </w:rPr>
      </w:pPr>
    </w:p>
    <w:p w14:paraId="1C16C8C6" w14:textId="54386888" w:rsidR="001B7751" w:rsidRDefault="001B7751" w:rsidP="001B7751">
      <w:pPr>
        <w:spacing w:line="360" w:lineRule="auto"/>
        <w:ind w:firstLine="567"/>
        <w:jc w:val="both"/>
        <w:rPr>
          <w:rFonts w:ascii="Times New Roman" w:hAnsi="Times New Roman" w:cs="Times New Roman"/>
        </w:rPr>
      </w:pPr>
      <w:r>
        <w:rPr>
          <w:rFonts w:ascii="Times New Roman" w:hAnsi="Times New Roman" w:cs="Times New Roman"/>
        </w:rPr>
        <w:t>Discostandosi dall’insegnamento dei nuovi cristiani, Spinoza ritiene, secondo la lezione paolina e una certa tradizione ebraica, che Dio è causa immanente, non transitiva, di tutte le cose</w:t>
      </w:r>
      <w:r w:rsidRPr="00804092">
        <w:rPr>
          <w:rFonts w:ascii="Times New Roman" w:hAnsi="Times New Roman" w:cs="Times New Roman"/>
        </w:rPr>
        <w:t xml:space="preserve">, che sono e operano in e per mezzo di Dio. Quel legame con il misticismo ebraico, che abbiamo visto essere al centro della storiografia e del dibattito extra-accademico primo settecentesco in Germania, viene meno nella </w:t>
      </w:r>
      <w:r w:rsidRPr="00804092">
        <w:rPr>
          <w:rFonts w:ascii="Times New Roman" w:hAnsi="Times New Roman" w:cs="Times New Roman"/>
          <w:i/>
        </w:rPr>
        <w:t>Geschichte der Philosophie</w:t>
      </w:r>
      <w:r w:rsidRPr="00804092">
        <w:rPr>
          <w:rFonts w:ascii="Times New Roman" w:hAnsi="Times New Roman" w:cs="Times New Roman"/>
        </w:rPr>
        <w:t>, dove si ricorda un legame imprecisato dello spinozismo con il pensiero ebraico.</w:t>
      </w:r>
      <w:r>
        <w:rPr>
          <w:rFonts w:ascii="Times New Roman" w:hAnsi="Times New Roman" w:cs="Times New Roman"/>
        </w:rPr>
        <w:t xml:space="preserve"> </w:t>
      </w:r>
      <w:r w:rsidRPr="00804092">
        <w:rPr>
          <w:rFonts w:ascii="Times New Roman" w:hAnsi="Times New Roman" w:cs="Times New Roman"/>
        </w:rPr>
        <w:t xml:space="preserve">L’interesse di </w:t>
      </w:r>
      <w:r w:rsidR="009A1CA9">
        <w:rPr>
          <w:rFonts w:ascii="Times New Roman" w:hAnsi="Times New Roman" w:cs="Times New Roman"/>
        </w:rPr>
        <w:t>Tennemann</w:t>
      </w:r>
      <w:r w:rsidRPr="00804092">
        <w:rPr>
          <w:rFonts w:ascii="Times New Roman" w:hAnsi="Times New Roman" w:cs="Times New Roman"/>
        </w:rPr>
        <w:t xml:space="preserve"> nei confronti dello spinozismo non ha natura storica, ma teorica:</w:t>
      </w:r>
      <w:r>
        <w:rPr>
          <w:rFonts w:ascii="Times New Roman" w:hAnsi="Times New Roman" w:cs="Times New Roman"/>
        </w:rPr>
        <w:t xml:space="preserve"> Spinoza ha avuto il merito di dedurre da un’idea vera – l’idea di sostanza – </w:t>
      </w:r>
      <w:r w:rsidRPr="00E03BD4">
        <w:rPr>
          <w:rFonts w:ascii="Times New Roman" w:hAnsi="Times New Roman" w:cs="Times New Roman"/>
        </w:rPr>
        <w:t>«</w:t>
      </w:r>
      <w:r w:rsidRPr="00E03BD4">
        <w:rPr>
          <w:rFonts w:ascii="Times New Roman" w:hAnsi="Times New Roman" w:cs="Times New Roman"/>
          <w:lang w:val="de-DE"/>
        </w:rPr>
        <w:t>alle übrigen Ideen durch richtige Schlusse abgeleitet waren, do daß jene als die Quelle aller übrigen erkannt wurde, ein System also, welches die großte Einheit, Mannigfaltigkeit und Nothwendigkeit in sich vereinigte»</w:t>
      </w:r>
      <w:r w:rsidRPr="00E03BD4">
        <w:rPr>
          <w:rStyle w:val="Rimandonotaapidipagina"/>
          <w:rFonts w:ascii="Times New Roman" w:hAnsi="Times New Roman" w:cs="Times New Roman"/>
          <w:lang w:val="de-DE"/>
        </w:rPr>
        <w:footnoteReference w:id="757"/>
      </w:r>
      <w:r w:rsidRPr="00E03BD4">
        <w:rPr>
          <w:rFonts w:ascii="Times New Roman" w:hAnsi="Times New Roman" w:cs="Times New Roman"/>
          <w:lang w:val="de-DE"/>
        </w:rPr>
        <w:t xml:space="preserve">. </w:t>
      </w:r>
      <w:r>
        <w:rPr>
          <w:rFonts w:ascii="Times New Roman" w:hAnsi="Times New Roman" w:cs="Times New Roman"/>
        </w:rPr>
        <w:t xml:space="preserve">Dedurre da un’idea vera tutto ciò che è ad essa inerente è sforzo precipuo della ragione, che testimonia il </w:t>
      </w:r>
      <w:r w:rsidRPr="00E03BD4">
        <w:rPr>
          <w:rFonts w:ascii="Times New Roman" w:hAnsi="Times New Roman" w:cs="Times New Roman"/>
        </w:rPr>
        <w:t>«Genie des Spinoza</w:t>
      </w:r>
      <w:r w:rsidRPr="00E03BD4">
        <w:rPr>
          <w:rFonts w:ascii="Times New Roman" w:hAnsi="Times New Roman" w:cs="Times New Roman"/>
          <w:sz w:val="20"/>
          <w:szCs w:val="20"/>
          <w:lang w:val="de-DE"/>
        </w:rPr>
        <w:t>»</w:t>
      </w:r>
      <w:r w:rsidRPr="00E03BD4">
        <w:rPr>
          <w:rStyle w:val="Rimandonotaapidipagina"/>
          <w:rFonts w:ascii="Times New Roman" w:hAnsi="Times New Roman" w:cs="Times New Roman"/>
          <w:sz w:val="20"/>
          <w:szCs w:val="20"/>
          <w:lang w:val="de-DE"/>
        </w:rPr>
        <w:footnoteReference w:id="758"/>
      </w:r>
      <w:r w:rsidRPr="00E03BD4">
        <w:rPr>
          <w:rFonts w:ascii="Times New Roman" w:hAnsi="Times New Roman" w:cs="Times New Roman"/>
          <w:sz w:val="20"/>
          <w:szCs w:val="20"/>
          <w:lang w:val="de-DE"/>
        </w:rPr>
        <w:t>.</w:t>
      </w:r>
      <w:r>
        <w:rPr>
          <w:rFonts w:ascii="Times New Roman" w:hAnsi="Times New Roman" w:cs="Times New Roman"/>
          <w:sz w:val="20"/>
          <w:szCs w:val="20"/>
          <w:lang w:val="de-DE"/>
        </w:rPr>
        <w:t xml:space="preserve"> </w:t>
      </w:r>
      <w:r w:rsidRPr="00686C24">
        <w:rPr>
          <w:rFonts w:ascii="Times New Roman" w:hAnsi="Times New Roman" w:cs="Times New Roman"/>
        </w:rPr>
        <w:t xml:space="preserve">Un genio, </w:t>
      </w:r>
      <w:r>
        <w:rPr>
          <w:rFonts w:ascii="Times New Roman" w:hAnsi="Times New Roman" w:cs="Times New Roman"/>
        </w:rPr>
        <w:t xml:space="preserve">a ben vedere, che si approssima alla nozione kantiana di </w:t>
      </w:r>
      <w:r w:rsidRPr="00A94452">
        <w:rPr>
          <w:rFonts w:ascii="Times New Roman" w:hAnsi="Times New Roman" w:cs="Times New Roman"/>
          <w:i/>
        </w:rPr>
        <w:t>architettonica della ragion pura</w:t>
      </w:r>
      <w:r>
        <w:rPr>
          <w:rFonts w:ascii="Times New Roman" w:hAnsi="Times New Roman" w:cs="Times New Roman"/>
        </w:rPr>
        <w:t xml:space="preserve">: </w:t>
      </w:r>
    </w:p>
    <w:p w14:paraId="31212321" w14:textId="77777777" w:rsidR="001B7751" w:rsidRPr="00EE754A" w:rsidRDefault="001B7751" w:rsidP="001B7751">
      <w:pPr>
        <w:spacing w:line="360" w:lineRule="auto"/>
        <w:ind w:left="567" w:firstLine="567"/>
        <w:jc w:val="both"/>
        <w:rPr>
          <w:rFonts w:ascii="Times New Roman" w:hAnsi="Times New Roman" w:cs="Times New Roman"/>
          <w:lang w:val="de-DE"/>
        </w:rPr>
      </w:pPr>
    </w:p>
    <w:p w14:paraId="5F4D829A" w14:textId="77777777" w:rsidR="001B7751" w:rsidRPr="00EE754A" w:rsidRDefault="001B7751" w:rsidP="001B7751">
      <w:pPr>
        <w:spacing w:line="360" w:lineRule="auto"/>
        <w:ind w:left="567" w:firstLine="567"/>
        <w:jc w:val="both"/>
        <w:rPr>
          <w:rFonts w:ascii="Times New Roman" w:hAnsi="Times New Roman" w:cs="Times New Roman"/>
          <w:lang w:val="de-DE"/>
        </w:rPr>
      </w:pPr>
      <w:r w:rsidRPr="002428BB">
        <w:rPr>
          <w:rFonts w:ascii="Times New Roman" w:hAnsi="Times New Roman" w:cs="Times New Roman"/>
          <w:sz w:val="20"/>
          <w:szCs w:val="20"/>
          <w:lang w:val="de-DE"/>
        </w:rPr>
        <w:t>«Ich verstehe unter einer Architektonik die Kunst des Systems […] Unter der Regierung der Vernunft dürfen unsere Erkenntnisse überhaupt keine Rhapsodie, sondern sie müssen ein System ausmachen […] Ich verstehe aber unter einem System die Einheit der mannigfaltige</w:t>
      </w:r>
      <w:r>
        <w:rPr>
          <w:rFonts w:ascii="Times New Roman" w:hAnsi="Times New Roman" w:cs="Times New Roman"/>
          <w:sz w:val="20"/>
          <w:szCs w:val="20"/>
          <w:lang w:val="de-DE"/>
        </w:rPr>
        <w:t>n Erkenntnisse unter einer Idee</w:t>
      </w:r>
      <w:r w:rsidRPr="002428BB">
        <w:rPr>
          <w:rFonts w:ascii="Times New Roman" w:hAnsi="Times New Roman" w:cs="Times New Roman"/>
          <w:sz w:val="20"/>
          <w:szCs w:val="20"/>
          <w:lang w:val="de-DE"/>
        </w:rPr>
        <w:t>»</w:t>
      </w:r>
      <w:r w:rsidRPr="002428BB">
        <w:rPr>
          <w:rStyle w:val="Rimandonotaapidipagina"/>
          <w:rFonts w:ascii="Times New Roman" w:hAnsi="Times New Roman" w:cs="Times New Roman"/>
          <w:sz w:val="20"/>
          <w:szCs w:val="20"/>
          <w:lang w:val="de-DE"/>
        </w:rPr>
        <w:footnoteReference w:id="759"/>
      </w:r>
      <w:r w:rsidRPr="002428BB">
        <w:rPr>
          <w:rFonts w:ascii="Times New Roman" w:hAnsi="Times New Roman" w:cs="Times New Roman"/>
          <w:sz w:val="20"/>
          <w:szCs w:val="20"/>
          <w:lang w:val="de-DE"/>
        </w:rPr>
        <w:t>.</w:t>
      </w:r>
    </w:p>
    <w:p w14:paraId="3B983113" w14:textId="77777777" w:rsidR="001B7751" w:rsidRPr="00686C24" w:rsidRDefault="001B7751" w:rsidP="001B7751">
      <w:pPr>
        <w:spacing w:line="360" w:lineRule="auto"/>
        <w:ind w:left="1134" w:firstLine="567"/>
        <w:jc w:val="both"/>
        <w:rPr>
          <w:rFonts w:ascii="Times New Roman" w:hAnsi="Times New Roman" w:cs="Times New Roman"/>
        </w:rPr>
      </w:pPr>
    </w:p>
    <w:p w14:paraId="589F8BA7" w14:textId="065A1A84" w:rsidR="001B7751" w:rsidRPr="0024784D" w:rsidRDefault="001B7751" w:rsidP="001B7751">
      <w:pPr>
        <w:spacing w:line="360" w:lineRule="auto"/>
        <w:ind w:firstLine="567"/>
        <w:jc w:val="both"/>
        <w:rPr>
          <w:rFonts w:ascii="Times New Roman" w:hAnsi="Times New Roman" w:cs="Times New Roman"/>
          <w:highlight w:val="red"/>
        </w:rPr>
      </w:pPr>
      <w:r>
        <w:rPr>
          <w:rFonts w:ascii="Times New Roman" w:hAnsi="Times New Roman" w:cs="Times New Roman"/>
        </w:rPr>
        <w:t xml:space="preserve">L’arte del sistema esprime la capacità di ragionare in modo logicamente conseguente. Ricondurre il molteplice all’uno e dall’uno dedurre il molteplice sono gli ideali che la filosofia, in quanto scienza, dovrebbe perseguire per cogliere, </w:t>
      </w:r>
      <w:r w:rsidRPr="0047023F">
        <w:rPr>
          <w:rFonts w:ascii="Times New Roman" w:hAnsi="Times New Roman" w:cs="Times New Roman"/>
          <w:i/>
        </w:rPr>
        <w:t>clare et distincte</w:t>
      </w:r>
      <w:r>
        <w:rPr>
          <w:rFonts w:ascii="Times New Roman" w:hAnsi="Times New Roman" w:cs="Times New Roman"/>
        </w:rPr>
        <w:t xml:space="preserve">, le leggi fondamentali della natura e i principi regolativi dell’agire. </w:t>
      </w:r>
      <w:r w:rsidR="001C0307">
        <w:rPr>
          <w:rFonts w:ascii="Times New Roman" w:hAnsi="Times New Roman" w:cs="Times New Roman"/>
        </w:rPr>
        <w:t>D</w:t>
      </w:r>
      <w:r>
        <w:rPr>
          <w:rFonts w:ascii="Times New Roman" w:hAnsi="Times New Roman" w:cs="Times New Roman"/>
        </w:rPr>
        <w:t xml:space="preserve">al </w:t>
      </w:r>
      <w:r w:rsidRPr="00A50748">
        <w:rPr>
          <w:rFonts w:ascii="Times New Roman" w:hAnsi="Times New Roman" w:cs="Times New Roman"/>
        </w:rPr>
        <w:t xml:space="preserve">confronto con il sistema cartesiano, Spinoza ha sviluppato un sistema filosofico che mira a realizzare quello sforzo della ragione – cogliere le leggi di natura, i principi dell’agire e i loro reciproci rapporti – alla base dell’idea della scienza di </w:t>
      </w:r>
      <w:r w:rsidR="009A1CA9" w:rsidRPr="00A50748">
        <w:rPr>
          <w:rFonts w:ascii="Times New Roman" w:hAnsi="Times New Roman" w:cs="Times New Roman"/>
        </w:rPr>
        <w:t>Tennemann</w:t>
      </w:r>
      <w:r w:rsidRPr="00A50748">
        <w:rPr>
          <w:rStyle w:val="Rimandonotaapidipagina"/>
          <w:rFonts w:ascii="Times New Roman" w:hAnsi="Times New Roman" w:cs="Times New Roman"/>
        </w:rPr>
        <w:footnoteReference w:id="760"/>
      </w:r>
      <w:r w:rsidRPr="00A50748">
        <w:rPr>
          <w:rFonts w:ascii="Times New Roman" w:hAnsi="Times New Roman" w:cs="Times New Roman"/>
        </w:rPr>
        <w:t xml:space="preserve">. È il valore teorico del pensiero spinoziano, che prefigura la definizione kantiana di architettonica e arte del sistema, ad essere sottolineato da </w:t>
      </w:r>
      <w:r w:rsidR="009A1CA9" w:rsidRPr="00A50748">
        <w:rPr>
          <w:rFonts w:ascii="Times New Roman" w:hAnsi="Times New Roman" w:cs="Times New Roman"/>
        </w:rPr>
        <w:t>Tennemann</w:t>
      </w:r>
      <w:r w:rsidRPr="00A50748">
        <w:rPr>
          <w:rFonts w:ascii="Times New Roman" w:hAnsi="Times New Roman" w:cs="Times New Roman"/>
        </w:rPr>
        <w:t>, non interrogativi di natura storica, quali il debito teorico del pensiero spinoziano nei confronti della Qabbalah.</w:t>
      </w:r>
      <w:r w:rsidR="001C0307" w:rsidRPr="00A50748">
        <w:rPr>
          <w:rFonts w:ascii="Times New Roman" w:hAnsi="Times New Roman" w:cs="Times New Roman"/>
        </w:rPr>
        <w:t xml:space="preserve"> </w:t>
      </w:r>
      <w:r w:rsidR="00103362" w:rsidRPr="00A50748">
        <w:rPr>
          <w:rFonts w:ascii="Times New Roman" w:hAnsi="Times New Roman" w:cs="Times New Roman"/>
        </w:rPr>
        <w:t xml:space="preserve">Secondo Tennemann, per </w:t>
      </w:r>
      <w:r w:rsidR="006B2305" w:rsidRPr="00A50748">
        <w:rPr>
          <w:rFonts w:ascii="Times New Roman" w:hAnsi="Times New Roman" w:cs="Times New Roman"/>
        </w:rPr>
        <w:t>Spinoza</w:t>
      </w:r>
      <w:r w:rsidR="00EB58B9" w:rsidRPr="00A50748">
        <w:rPr>
          <w:rFonts w:ascii="Times New Roman" w:hAnsi="Times New Roman" w:cs="Times New Roman"/>
        </w:rPr>
        <w:t xml:space="preserve"> sussumere le molte idee sotto un’unica idea e articolare l’idea nelle sue parti costitutive significa ricondurre il molteplice all’unità sostanziale e immanentizzare la sostanza nelle sue determinazioni essenziali (attributi) e non (modi). </w:t>
      </w:r>
      <w:r w:rsidR="0005184F" w:rsidRPr="00A50748">
        <w:rPr>
          <w:rFonts w:ascii="Times New Roman" w:hAnsi="Times New Roman" w:cs="Times New Roman"/>
        </w:rPr>
        <w:t>Tuttavia, in questa dinamcia</w:t>
      </w:r>
      <w:r w:rsidRPr="00A50748">
        <w:rPr>
          <w:rFonts w:ascii="Times New Roman" w:hAnsi="Times New Roman" w:cs="Times New Roman"/>
        </w:rPr>
        <w:t xml:space="preserve"> di riconduzione </w:t>
      </w:r>
      <w:r w:rsidR="00EB58B9" w:rsidRPr="00A50748">
        <w:rPr>
          <w:rFonts w:ascii="Times New Roman" w:hAnsi="Times New Roman" w:cs="Times New Roman"/>
        </w:rPr>
        <w:t xml:space="preserve">della molteplicità </w:t>
      </w:r>
      <w:r w:rsidRPr="00A50748">
        <w:rPr>
          <w:rFonts w:ascii="Times New Roman" w:hAnsi="Times New Roman" w:cs="Times New Roman"/>
        </w:rPr>
        <w:t>ad unità e di deduzione della molteplicità da</w:t>
      </w:r>
      <w:r w:rsidR="00EB58B9" w:rsidRPr="00A50748">
        <w:rPr>
          <w:rFonts w:ascii="Times New Roman" w:hAnsi="Times New Roman" w:cs="Times New Roman"/>
        </w:rPr>
        <w:t>ll’unità,</w:t>
      </w:r>
      <w:r w:rsidRPr="00A50748">
        <w:rPr>
          <w:rFonts w:ascii="Times New Roman" w:hAnsi="Times New Roman" w:cs="Times New Roman"/>
        </w:rPr>
        <w:t xml:space="preserve"> lo sp</w:t>
      </w:r>
      <w:r w:rsidR="00EB58B9" w:rsidRPr="00A50748">
        <w:rPr>
          <w:rFonts w:ascii="Times New Roman" w:hAnsi="Times New Roman" w:cs="Times New Roman"/>
        </w:rPr>
        <w:t>inozismo cade in errore</w:t>
      </w:r>
      <w:r w:rsidRPr="00A50748">
        <w:rPr>
          <w:rFonts w:ascii="Times New Roman" w:hAnsi="Times New Roman" w:cs="Times New Roman"/>
        </w:rPr>
        <w:t>:</w:t>
      </w:r>
    </w:p>
    <w:p w14:paraId="7BBD7921" w14:textId="77777777" w:rsidR="001B7751" w:rsidRDefault="001B7751" w:rsidP="001B7751">
      <w:pPr>
        <w:spacing w:line="360" w:lineRule="auto"/>
        <w:ind w:left="567" w:firstLine="567"/>
        <w:jc w:val="both"/>
        <w:rPr>
          <w:rFonts w:ascii="Times New Roman" w:hAnsi="Times New Roman" w:cs="Times New Roman"/>
        </w:rPr>
      </w:pPr>
    </w:p>
    <w:p w14:paraId="2EDCE3AC" w14:textId="77777777" w:rsidR="001B7751" w:rsidRPr="005A463F" w:rsidRDefault="001B7751" w:rsidP="001B7751">
      <w:pPr>
        <w:spacing w:line="360" w:lineRule="auto"/>
        <w:ind w:left="567" w:firstLine="567"/>
        <w:jc w:val="both"/>
        <w:rPr>
          <w:rFonts w:ascii="Times New Roman" w:hAnsi="Times New Roman" w:cs="Times New Roman"/>
          <w:sz w:val="20"/>
          <w:szCs w:val="20"/>
          <w:lang w:val="de-DE"/>
        </w:rPr>
      </w:pPr>
      <w:r w:rsidRPr="005A463F">
        <w:rPr>
          <w:rFonts w:ascii="Times New Roman" w:hAnsi="Times New Roman" w:cs="Times New Roman"/>
          <w:sz w:val="20"/>
          <w:szCs w:val="20"/>
          <w:lang w:val="de-DE"/>
        </w:rPr>
        <w:t xml:space="preserve">«Aus dem göttlichen Wesen, welches ewig und unendlich, kann nichts folgen als Unendliches und Ewiges, oder vielmehr es kann nicht daraus folgen, sondern es ist gleich dem Wesen Gottes ewig und unendlich. Nun sind aber die endlichen Dinge endliche Modificationen der Attribute der Gottheit, sie können also aus derselben weder unmittelbar noch mittelbar entspringen. Denn wenn wir auch jede endliche Modification der Ausdehnung und des Denkens als durch eine andere Modification desselben Attributs, und diese wieder durch eine andere endliche Modification, und sie ins Unendliche fort bestimmt denken, so entspringt hieraus eine unendliche Reihe endlicher Modificationen, von denen keine durch ein endliche Modification begreiflich wird. Es bleibt immer ein </w:t>
      </w:r>
      <w:r w:rsidRPr="00DD4865">
        <w:rPr>
          <w:rFonts w:ascii="Times New Roman" w:hAnsi="Times New Roman" w:cs="Times New Roman"/>
          <w:i/>
          <w:sz w:val="20"/>
          <w:szCs w:val="20"/>
          <w:lang w:val="de-DE"/>
        </w:rPr>
        <w:t xml:space="preserve">Sprung </w:t>
      </w:r>
      <w:r>
        <w:rPr>
          <w:rFonts w:ascii="Times New Roman" w:hAnsi="Times New Roman" w:cs="Times New Roman"/>
          <w:sz w:val="20"/>
          <w:szCs w:val="20"/>
          <w:lang w:val="de-DE"/>
        </w:rPr>
        <w:t>[</w:t>
      </w:r>
      <w:r w:rsidRPr="00AF7A91">
        <w:rPr>
          <w:rFonts w:ascii="Times New Roman" w:hAnsi="Times New Roman" w:cs="Times New Roman"/>
          <w:sz w:val="20"/>
          <w:szCs w:val="20"/>
          <w:lang w:val="de-DE"/>
        </w:rPr>
        <w:t>corsivo nostro</w:t>
      </w:r>
      <w:r>
        <w:rPr>
          <w:rFonts w:ascii="Times New Roman" w:hAnsi="Times New Roman" w:cs="Times New Roman"/>
          <w:sz w:val="20"/>
          <w:szCs w:val="20"/>
          <w:lang w:val="de-DE"/>
        </w:rPr>
        <w:t xml:space="preserve">] </w:t>
      </w:r>
      <w:r w:rsidRPr="005A463F">
        <w:rPr>
          <w:rFonts w:ascii="Times New Roman" w:hAnsi="Times New Roman" w:cs="Times New Roman"/>
          <w:sz w:val="20"/>
          <w:szCs w:val="20"/>
          <w:lang w:val="de-DE"/>
        </w:rPr>
        <w:t>zwischen dem Endlichen und Unendlichen, und kein Übergang von dem letzten zu dem ersten laßt sich durch Begriffe finden»</w:t>
      </w:r>
      <w:r w:rsidRPr="005A463F">
        <w:rPr>
          <w:rStyle w:val="Rimandonotaapidipagina"/>
          <w:rFonts w:ascii="Times New Roman" w:hAnsi="Times New Roman" w:cs="Times New Roman"/>
          <w:sz w:val="20"/>
          <w:szCs w:val="20"/>
          <w:lang w:val="de-DE"/>
        </w:rPr>
        <w:footnoteReference w:id="761"/>
      </w:r>
      <w:r w:rsidRPr="005A463F">
        <w:rPr>
          <w:rFonts w:ascii="Times New Roman" w:hAnsi="Times New Roman" w:cs="Times New Roman"/>
          <w:sz w:val="20"/>
          <w:szCs w:val="20"/>
          <w:lang w:val="de-DE"/>
        </w:rPr>
        <w:t>.</w:t>
      </w:r>
    </w:p>
    <w:p w14:paraId="6B16FA8C" w14:textId="77777777" w:rsidR="001B7751" w:rsidRPr="00F94EC8" w:rsidRDefault="001B7751" w:rsidP="001B7751">
      <w:pPr>
        <w:spacing w:line="360" w:lineRule="auto"/>
        <w:ind w:left="1134" w:firstLine="567"/>
        <w:jc w:val="both"/>
        <w:rPr>
          <w:rFonts w:ascii="Times New Roman" w:hAnsi="Times New Roman" w:cs="Times New Roman"/>
          <w:lang w:val="de-DE"/>
        </w:rPr>
      </w:pPr>
    </w:p>
    <w:p w14:paraId="6B96CE7C" w14:textId="56E2B8F0" w:rsidR="001B7751" w:rsidRDefault="001B7751" w:rsidP="001B7751">
      <w:pPr>
        <w:spacing w:line="360" w:lineRule="auto"/>
        <w:ind w:firstLine="567"/>
        <w:jc w:val="both"/>
        <w:rPr>
          <w:rFonts w:ascii="Times New Roman" w:hAnsi="Times New Roman" w:cs="Times New Roman"/>
        </w:rPr>
      </w:pPr>
      <w:r w:rsidRPr="0011548A">
        <w:rPr>
          <w:rFonts w:ascii="Times New Roman" w:hAnsi="Times New Roman" w:cs="Times New Roman"/>
        </w:rPr>
        <w:t>Dall’essenza divina, che è eterna e infinita, non possono che seguire effetti eterni o infiniti. Questi effetti eterni e infiniti, che coincidono con l’essenza divina e la esprimono, sono gli attributi. Dagli attributi seguono quei modi che esistono necessariamente e infinitamente (le leggi della natura ad esempio). Da queste modificazioni infinite non s’evince l’origine di una serie infinitamente molteplice di esistenze finite, inserite in complesse trame relazionali.</w:t>
      </w:r>
      <w:r w:rsidRPr="001731CC">
        <w:rPr>
          <w:rFonts w:ascii="Times New Roman" w:hAnsi="Times New Roman" w:cs="Times New Roman"/>
        </w:rPr>
        <w:t xml:space="preserve"> Il che vuol dire: l’essere reciprocamente causa di qualcosa e effetto di qualcos’altro – si pensi alla</w:t>
      </w:r>
      <w:r>
        <w:rPr>
          <w:rFonts w:ascii="Times New Roman" w:hAnsi="Times New Roman" w:cs="Times New Roman"/>
        </w:rPr>
        <w:t xml:space="preserve"> ventottesima proposizione del </w:t>
      </w:r>
      <w:r w:rsidRPr="00232F55">
        <w:rPr>
          <w:rFonts w:ascii="Times New Roman" w:hAnsi="Times New Roman" w:cs="Times New Roman"/>
          <w:i/>
        </w:rPr>
        <w:t>De Deo</w:t>
      </w:r>
      <w:r>
        <w:rPr>
          <w:rFonts w:ascii="Times New Roman" w:hAnsi="Times New Roman" w:cs="Times New Roman"/>
        </w:rPr>
        <w:t xml:space="preserve"> – non si lascia dedurre né dall’essenza eterna, né dagli infiniti attributi della divinità, né dai modi infiniti della sostanza. Problematizzando questo punto dell’ontologia spinoziana, la </w:t>
      </w:r>
      <w:r w:rsidRPr="00DE37BE">
        <w:rPr>
          <w:rFonts w:ascii="Times New Roman" w:hAnsi="Times New Roman" w:cs="Times New Roman"/>
          <w:i/>
          <w:lang w:val="de-DE"/>
        </w:rPr>
        <w:t>Geschichte der Philosophie</w:t>
      </w:r>
      <w:r>
        <w:rPr>
          <w:rFonts w:ascii="Times New Roman" w:hAnsi="Times New Roman" w:cs="Times New Roman"/>
          <w:i/>
        </w:rPr>
        <w:t xml:space="preserve"> </w:t>
      </w:r>
      <w:r>
        <w:rPr>
          <w:rFonts w:ascii="Times New Roman" w:hAnsi="Times New Roman" w:cs="Times New Roman"/>
        </w:rPr>
        <w:t xml:space="preserve">vuole dirci che da ciò che è infinito e necessario seguono solamente effetti infiniti e necessari, non finiti e contingenti. Nel cuore del </w:t>
      </w:r>
      <w:r w:rsidRPr="00232F55">
        <w:rPr>
          <w:rFonts w:ascii="Times New Roman" w:hAnsi="Times New Roman" w:cs="Times New Roman"/>
          <w:i/>
        </w:rPr>
        <w:t>De Deo</w:t>
      </w:r>
      <w:r w:rsidR="00103362">
        <w:rPr>
          <w:rFonts w:ascii="Times New Roman" w:hAnsi="Times New Roman" w:cs="Times New Roman"/>
        </w:rPr>
        <w:t>, pertanto</w:t>
      </w:r>
      <w:r>
        <w:rPr>
          <w:rFonts w:ascii="Times New Roman" w:hAnsi="Times New Roman" w:cs="Times New Roman"/>
        </w:rPr>
        <w:t xml:space="preserve">, si palesa una contraddizione che inficia la volontà </w:t>
      </w:r>
      <w:r w:rsidRPr="001B30A6">
        <w:rPr>
          <w:rFonts w:ascii="Times New Roman" w:hAnsi="Times New Roman" w:cs="Times New Roman"/>
          <w:i/>
        </w:rPr>
        <w:t>sistematico-architettonica</w:t>
      </w:r>
      <w:r w:rsidR="00103362">
        <w:rPr>
          <w:rFonts w:ascii="Times New Roman" w:hAnsi="Times New Roman" w:cs="Times New Roman"/>
        </w:rPr>
        <w:t xml:space="preserve"> di Spinoza: r</w:t>
      </w:r>
      <w:r>
        <w:rPr>
          <w:rFonts w:ascii="Times New Roman" w:hAnsi="Times New Roman" w:cs="Times New Roman"/>
        </w:rPr>
        <w:t xml:space="preserve">icondurre ad unità la molteplicità e sviluppare l’unità in una molteplicità </w:t>
      </w:r>
      <w:r w:rsidRPr="001731CC">
        <w:rPr>
          <w:rFonts w:ascii="Times New Roman" w:hAnsi="Times New Roman" w:cs="Times New Roman"/>
        </w:rPr>
        <w:t>organica sono due propositi minati dall’intreccio argomentativo dell’</w:t>
      </w:r>
      <w:r w:rsidRPr="001731CC">
        <w:rPr>
          <w:rFonts w:ascii="Times New Roman" w:hAnsi="Times New Roman" w:cs="Times New Roman"/>
          <w:i/>
        </w:rPr>
        <w:t>Ethica</w:t>
      </w:r>
      <w:r w:rsidRPr="001731CC">
        <w:rPr>
          <w:rFonts w:ascii="Times New Roman" w:hAnsi="Times New Roman" w:cs="Times New Roman"/>
        </w:rPr>
        <w:t>, che introduce un salto</w:t>
      </w:r>
      <w:r w:rsidR="00760837">
        <w:rPr>
          <w:rFonts w:ascii="Times New Roman" w:hAnsi="Times New Roman" w:cs="Times New Roman"/>
        </w:rPr>
        <w:t xml:space="preserve"> (</w:t>
      </w:r>
      <w:r w:rsidR="00760837" w:rsidRPr="00760837">
        <w:rPr>
          <w:rFonts w:ascii="Times New Roman" w:hAnsi="Times New Roman" w:cs="Times New Roman"/>
          <w:i/>
        </w:rPr>
        <w:t>Sprung</w:t>
      </w:r>
      <w:r w:rsidR="00760837">
        <w:rPr>
          <w:rFonts w:ascii="Times New Roman" w:hAnsi="Times New Roman" w:cs="Times New Roman"/>
        </w:rPr>
        <w:t>)</w:t>
      </w:r>
      <w:r w:rsidRPr="001731CC">
        <w:rPr>
          <w:rFonts w:ascii="Times New Roman" w:hAnsi="Times New Roman" w:cs="Times New Roman"/>
        </w:rPr>
        <w:t xml:space="preserve"> – espressione dal forte gusto jacobiano – là dove dovrebbe esserci uno sviluppo coerente di un’unitaria attività logico-deduttiva</w:t>
      </w:r>
      <w:r w:rsidR="00FC7C62">
        <w:rPr>
          <w:rStyle w:val="Rimandonotaapidipagina"/>
          <w:rFonts w:ascii="Times New Roman" w:hAnsi="Times New Roman" w:cs="Times New Roman"/>
        </w:rPr>
        <w:footnoteReference w:id="762"/>
      </w:r>
      <w:r w:rsidRPr="001731CC">
        <w:rPr>
          <w:rFonts w:ascii="Times New Roman" w:hAnsi="Times New Roman" w:cs="Times New Roman"/>
        </w:rPr>
        <w:t xml:space="preserve">. Su questo punto, aggiunge </w:t>
      </w:r>
      <w:r w:rsidR="009A1CA9">
        <w:rPr>
          <w:rFonts w:ascii="Times New Roman" w:hAnsi="Times New Roman" w:cs="Times New Roman"/>
        </w:rPr>
        <w:t>Tennemann</w:t>
      </w:r>
      <w:r w:rsidRPr="001731CC">
        <w:rPr>
          <w:rFonts w:ascii="Times New Roman" w:hAnsi="Times New Roman" w:cs="Times New Roman"/>
        </w:rPr>
        <w:t>:</w:t>
      </w:r>
    </w:p>
    <w:p w14:paraId="137C4E2E" w14:textId="77777777" w:rsidR="001B7751" w:rsidRDefault="001B7751" w:rsidP="001B7751">
      <w:pPr>
        <w:spacing w:line="360" w:lineRule="auto"/>
        <w:ind w:firstLine="567"/>
        <w:jc w:val="both"/>
        <w:rPr>
          <w:rFonts w:ascii="Times New Roman" w:hAnsi="Times New Roman" w:cs="Times New Roman"/>
        </w:rPr>
      </w:pPr>
    </w:p>
    <w:p w14:paraId="22CFFA2D" w14:textId="047DFD66" w:rsidR="001B7751" w:rsidRPr="00B949B1" w:rsidRDefault="001B7751" w:rsidP="001B7751">
      <w:pPr>
        <w:spacing w:line="360" w:lineRule="auto"/>
        <w:ind w:left="567" w:firstLine="567"/>
        <w:jc w:val="both"/>
        <w:rPr>
          <w:rFonts w:ascii="Times New Roman" w:hAnsi="Times New Roman" w:cs="Times New Roman"/>
          <w:lang w:val="de-DE"/>
        </w:rPr>
      </w:pPr>
      <w:r w:rsidRPr="00B949B1">
        <w:rPr>
          <w:rFonts w:ascii="Times New Roman" w:hAnsi="Times New Roman" w:cs="Times New Roman"/>
          <w:sz w:val="20"/>
          <w:szCs w:val="20"/>
          <w:lang w:val="de-DE"/>
        </w:rPr>
        <w:t xml:space="preserve">«Nun ist es aber nach den Grundsätzen des Spinoza durchaus unbegreiflich, wie aus dem ewigen und unendlichen Wesen Gottes endliche Dinge entspringen sollen, denn aus dem Unendlichen kann nur Unendliches entstehen, und jede endliche Modification hat und kann nur eine </w:t>
      </w:r>
      <w:r w:rsidR="00F66434">
        <w:rPr>
          <w:rFonts w:ascii="Times New Roman" w:hAnsi="Times New Roman" w:cs="Times New Roman"/>
          <w:sz w:val="20"/>
          <w:szCs w:val="20"/>
          <w:lang w:val="de-DE"/>
        </w:rPr>
        <w:t>andere endliche Modification der</w:t>
      </w:r>
      <w:r w:rsidRPr="00B949B1">
        <w:rPr>
          <w:rFonts w:ascii="Times New Roman" w:hAnsi="Times New Roman" w:cs="Times New Roman"/>
          <w:sz w:val="20"/>
          <w:szCs w:val="20"/>
          <w:lang w:val="de-DE"/>
        </w:rPr>
        <w:t xml:space="preserve"> Ausdehnung, jeder Gedanke nur einen Gedanken, und so ins Unendliche fort, das Endliche nur das Endliche zur Ursache haben. Nach beiden Grundsätzen kommt man von dem Endlichen nie auf das Unendliche, und von diesem nie auf das Endliche. Es ist zwischen beiden eine Kluft, die Spinoza zu umgehen sucht, aber nie gänzlich verdecken konnte»</w:t>
      </w:r>
      <w:r w:rsidRPr="00B949B1">
        <w:rPr>
          <w:rStyle w:val="Rimandonotaapidipagina"/>
          <w:rFonts w:ascii="Times New Roman" w:hAnsi="Times New Roman" w:cs="Times New Roman"/>
          <w:sz w:val="20"/>
          <w:szCs w:val="20"/>
          <w:lang w:val="de-DE"/>
        </w:rPr>
        <w:footnoteReference w:id="763"/>
      </w:r>
      <w:r w:rsidRPr="00B949B1">
        <w:rPr>
          <w:rFonts w:ascii="Times New Roman" w:hAnsi="Times New Roman" w:cs="Times New Roman"/>
          <w:sz w:val="20"/>
          <w:szCs w:val="20"/>
          <w:lang w:val="de-DE"/>
        </w:rPr>
        <w:t>.</w:t>
      </w:r>
    </w:p>
    <w:p w14:paraId="1FBD646B" w14:textId="77777777" w:rsidR="001B7751" w:rsidRDefault="001B7751" w:rsidP="001B7751">
      <w:pPr>
        <w:spacing w:line="360" w:lineRule="auto"/>
        <w:ind w:left="1134" w:firstLine="567"/>
        <w:jc w:val="both"/>
        <w:rPr>
          <w:rFonts w:ascii="Times New Roman" w:hAnsi="Times New Roman" w:cs="Times New Roman"/>
          <w:lang w:val="de-DE"/>
        </w:rPr>
      </w:pPr>
    </w:p>
    <w:p w14:paraId="3FC22F11" w14:textId="6386BE50" w:rsidR="001B7751" w:rsidRDefault="001B7751" w:rsidP="001B7751">
      <w:pPr>
        <w:spacing w:line="360" w:lineRule="auto"/>
        <w:ind w:firstLine="567"/>
        <w:jc w:val="both"/>
        <w:rPr>
          <w:rFonts w:ascii="Times New Roman" w:hAnsi="Times New Roman" w:cs="Times New Roman"/>
        </w:rPr>
      </w:pPr>
      <w:r>
        <w:rPr>
          <w:rFonts w:ascii="Times New Roman" w:hAnsi="Times New Roman" w:cs="Times New Roman"/>
        </w:rPr>
        <w:t xml:space="preserve">Rimarcata la falla deduttiva del sistema – che non può rendere ragione del rapporto fra infinito e finito – e sottolineata la cattiva infinità imperante nella molteplicità ontica – in una seria infinita di cause ed effetti finiti ogni cosa è sia causa che effetto –, </w:t>
      </w:r>
      <w:r w:rsidR="009A1CA9">
        <w:rPr>
          <w:rFonts w:ascii="Times New Roman" w:hAnsi="Times New Roman" w:cs="Times New Roman"/>
        </w:rPr>
        <w:t>Tennemann</w:t>
      </w:r>
      <w:r w:rsidRPr="00384EEE">
        <w:rPr>
          <w:rFonts w:ascii="Times New Roman" w:hAnsi="Times New Roman" w:cs="Times New Roman"/>
        </w:rPr>
        <w:t xml:space="preserve"> muove una critica analoga alla filosofia pratica spinoziana.  All’eccedenza dell’infinito rispetto al finito e alla non derivabilità del modo dalla sostanza, segue un’analoga opposizione fra ciò che è libero e ciò che è coatto:</w:t>
      </w:r>
    </w:p>
    <w:p w14:paraId="179482FC" w14:textId="77777777" w:rsidR="001B7751" w:rsidRDefault="001B7751" w:rsidP="001B7751">
      <w:pPr>
        <w:spacing w:line="360" w:lineRule="auto"/>
        <w:ind w:firstLine="567"/>
        <w:jc w:val="both"/>
        <w:rPr>
          <w:rFonts w:ascii="Times New Roman" w:hAnsi="Times New Roman" w:cs="Times New Roman"/>
        </w:rPr>
      </w:pPr>
    </w:p>
    <w:p w14:paraId="3771AEED" w14:textId="43DE8CE0" w:rsidR="001B7751" w:rsidRPr="00D915AA" w:rsidRDefault="001B7751" w:rsidP="001B7751">
      <w:pPr>
        <w:spacing w:line="360" w:lineRule="auto"/>
        <w:ind w:left="567" w:firstLine="567"/>
        <w:jc w:val="both"/>
        <w:rPr>
          <w:rFonts w:ascii="Times New Roman" w:hAnsi="Times New Roman" w:cs="Times New Roman"/>
          <w:sz w:val="20"/>
          <w:szCs w:val="20"/>
          <w:lang w:val="de-DE"/>
        </w:rPr>
      </w:pPr>
      <w:r w:rsidRPr="00D915AA">
        <w:rPr>
          <w:rFonts w:ascii="Times New Roman" w:hAnsi="Times New Roman" w:cs="Times New Roman"/>
          <w:sz w:val="20"/>
          <w:szCs w:val="20"/>
          <w:lang w:val="de-DE"/>
        </w:rPr>
        <w:t>«In der Seele ist kein absoluter oder freier Wille, sondern sie wird dieses oder jenes zu wollen von einer Ursache bestimmt, welche wieder von einer ander</w:t>
      </w:r>
      <w:r w:rsidR="006E6B6C">
        <w:rPr>
          <w:rFonts w:ascii="Times New Roman" w:hAnsi="Times New Roman" w:cs="Times New Roman"/>
          <w:sz w:val="20"/>
          <w:szCs w:val="20"/>
          <w:lang w:val="de-DE"/>
        </w:rPr>
        <w:t>e</w:t>
      </w:r>
      <w:r w:rsidRPr="00D915AA">
        <w:rPr>
          <w:rFonts w:ascii="Times New Roman" w:hAnsi="Times New Roman" w:cs="Times New Roman"/>
          <w:sz w:val="20"/>
          <w:szCs w:val="20"/>
          <w:lang w:val="de-DE"/>
        </w:rPr>
        <w:t>n Ursache bestimmt worden und so in das Unendliche fort. Denn die menschliche Seele ist nur eine Modification des Denkens, und kann also, da Gott allein die freie Ursache aller Dinge ist, nicht die freie Ursache ihrer Handlungen seyn […] sie [die Seele] muß vielmehr, wie alles Endliche, was eine bestimmte Existenz hat, von einer Ursache, welche eben</w:t>
      </w:r>
      <w:r w:rsidR="006E6B6C">
        <w:rPr>
          <w:rFonts w:ascii="Times New Roman" w:hAnsi="Times New Roman" w:cs="Times New Roman"/>
          <w:sz w:val="20"/>
          <w:szCs w:val="20"/>
          <w:lang w:val="de-DE"/>
        </w:rPr>
        <w:t>falls von einer anderen Ursache</w:t>
      </w:r>
      <w:r w:rsidRPr="00D915AA">
        <w:rPr>
          <w:rFonts w:ascii="Times New Roman" w:hAnsi="Times New Roman" w:cs="Times New Roman"/>
          <w:sz w:val="20"/>
          <w:szCs w:val="20"/>
          <w:lang w:val="de-DE"/>
        </w:rPr>
        <w:t xml:space="preserve"> bestimmt war, u</w:t>
      </w:r>
      <w:r>
        <w:rPr>
          <w:rFonts w:ascii="Times New Roman" w:hAnsi="Times New Roman" w:cs="Times New Roman"/>
          <w:sz w:val="20"/>
          <w:szCs w:val="20"/>
          <w:lang w:val="de-DE"/>
        </w:rPr>
        <w:t>s</w:t>
      </w:r>
      <w:r w:rsidRPr="00D915AA">
        <w:rPr>
          <w:rFonts w:ascii="Times New Roman" w:hAnsi="Times New Roman" w:cs="Times New Roman"/>
          <w:sz w:val="20"/>
          <w:szCs w:val="20"/>
          <w:lang w:val="de-DE"/>
        </w:rPr>
        <w:t>w</w:t>
      </w:r>
      <w:r>
        <w:rPr>
          <w:rFonts w:ascii="Times New Roman" w:hAnsi="Times New Roman" w:cs="Times New Roman"/>
          <w:sz w:val="20"/>
          <w:szCs w:val="20"/>
          <w:lang w:val="de-DE"/>
        </w:rPr>
        <w:t>.</w:t>
      </w:r>
      <w:r w:rsidRPr="00D915AA">
        <w:rPr>
          <w:rFonts w:ascii="Times New Roman" w:hAnsi="Times New Roman" w:cs="Times New Roman"/>
          <w:sz w:val="20"/>
          <w:szCs w:val="20"/>
          <w:lang w:val="de-DE"/>
        </w:rPr>
        <w:t xml:space="preserve"> ins Unendliche zu ihrem bestimmten Wollen bestimmt werden»</w:t>
      </w:r>
      <w:r w:rsidRPr="00D915AA">
        <w:rPr>
          <w:rStyle w:val="Rimandonotaapidipagina"/>
          <w:rFonts w:ascii="Times New Roman" w:hAnsi="Times New Roman" w:cs="Times New Roman"/>
          <w:sz w:val="20"/>
          <w:szCs w:val="20"/>
          <w:lang w:val="de-DE"/>
        </w:rPr>
        <w:footnoteReference w:id="764"/>
      </w:r>
      <w:r>
        <w:rPr>
          <w:rFonts w:ascii="Times New Roman" w:hAnsi="Times New Roman" w:cs="Times New Roman"/>
          <w:sz w:val="20"/>
          <w:szCs w:val="20"/>
          <w:lang w:val="de-DE"/>
        </w:rPr>
        <w:t>.</w:t>
      </w:r>
    </w:p>
    <w:p w14:paraId="1F50887A" w14:textId="77777777" w:rsidR="001B7751" w:rsidRDefault="001B7751" w:rsidP="001B7751">
      <w:pPr>
        <w:spacing w:line="360" w:lineRule="auto"/>
        <w:jc w:val="both"/>
        <w:rPr>
          <w:rFonts w:ascii="Times New Roman" w:hAnsi="Times New Roman" w:cs="Times New Roman"/>
        </w:rPr>
      </w:pPr>
    </w:p>
    <w:p w14:paraId="6F9063A5" w14:textId="77777777" w:rsidR="001B7751" w:rsidRPr="005F1856" w:rsidRDefault="001B7751" w:rsidP="001B7751">
      <w:pPr>
        <w:spacing w:line="360" w:lineRule="auto"/>
        <w:ind w:firstLine="567"/>
        <w:jc w:val="both"/>
        <w:rPr>
          <w:rFonts w:ascii="Times New Roman" w:hAnsi="Times New Roman" w:cs="Times New Roman"/>
        </w:rPr>
      </w:pPr>
      <w:r w:rsidRPr="00384EEE">
        <w:rPr>
          <w:rFonts w:ascii="Times New Roman" w:hAnsi="Times New Roman" w:cs="Times New Roman"/>
        </w:rPr>
        <w:t>Libero può dirsi soltanto Dio, mentre il modo, in quanto modificazione finita dell’estensione e del pensiero, trova sempre in altro la ragione del suo agire. Essendo causa libera di tutte le cose, Dio non è determinato ad agire se non dalla necessità della sua natura. Stessa cosa non può dirsi per il finito, per l’uomo nel nostro caso, che trae le ragioni del suo operare non tanto da sé, quanto da ciò che è altro da sé</w:t>
      </w:r>
      <w:r w:rsidRPr="00384EEE">
        <w:rPr>
          <w:rStyle w:val="Rimandonotaapidipagina"/>
          <w:rFonts w:ascii="Times New Roman" w:hAnsi="Times New Roman" w:cs="Times New Roman"/>
        </w:rPr>
        <w:t xml:space="preserve"> </w:t>
      </w:r>
      <w:r w:rsidRPr="00384EEE">
        <w:rPr>
          <w:rStyle w:val="Rimandonotaapidipagina"/>
          <w:rFonts w:ascii="Times New Roman" w:hAnsi="Times New Roman" w:cs="Times New Roman"/>
        </w:rPr>
        <w:footnoteReference w:id="765"/>
      </w:r>
      <w:r w:rsidRPr="00384EEE">
        <w:rPr>
          <w:rFonts w:ascii="Times New Roman" w:hAnsi="Times New Roman" w:cs="Times New Roman"/>
        </w:rPr>
        <w:t>. Non si dà nessuna idea della libertà che fondi e regoli un agire libero: anche a livello pratico, l’</w:t>
      </w:r>
      <w:r w:rsidRPr="00384EEE">
        <w:rPr>
          <w:rFonts w:ascii="Times New Roman" w:hAnsi="Times New Roman" w:cs="Times New Roman"/>
          <w:i/>
        </w:rPr>
        <w:t>Ethica</w:t>
      </w:r>
      <w:r w:rsidRPr="00384EEE">
        <w:rPr>
          <w:rFonts w:ascii="Times New Roman" w:hAnsi="Times New Roman" w:cs="Times New Roman"/>
        </w:rPr>
        <w:t xml:space="preserve"> è incapace di definire un’</w:t>
      </w:r>
      <w:r w:rsidRPr="00384EEE">
        <w:rPr>
          <w:rFonts w:ascii="Times New Roman" w:hAnsi="Times New Roman" w:cs="Times New Roman"/>
          <w:i/>
        </w:rPr>
        <w:t>architettonica</w:t>
      </w:r>
      <w:r w:rsidRPr="00384EEE">
        <w:rPr>
          <w:rFonts w:ascii="Times New Roman" w:hAnsi="Times New Roman" w:cs="Times New Roman"/>
        </w:rPr>
        <w:t xml:space="preserve"> in cui le parti (</w:t>
      </w:r>
      <w:r>
        <w:rPr>
          <w:rFonts w:ascii="Times New Roman" w:hAnsi="Times New Roman" w:cs="Times New Roman"/>
        </w:rPr>
        <w:t>gli uomini</w:t>
      </w:r>
      <w:r w:rsidRPr="00384EEE">
        <w:rPr>
          <w:rFonts w:ascii="Times New Roman" w:hAnsi="Times New Roman" w:cs="Times New Roman"/>
        </w:rPr>
        <w:t xml:space="preserve">) si connettono nell’idea (libertà del volere) e a partire dalla quale il tutto si articola </w:t>
      </w:r>
      <w:r w:rsidRPr="005F1856">
        <w:rPr>
          <w:rFonts w:ascii="Times New Roman" w:hAnsi="Times New Roman" w:cs="Times New Roman"/>
        </w:rPr>
        <w:t>e dispone nelle sue parti (</w:t>
      </w:r>
      <w:r w:rsidRPr="005F1856">
        <w:rPr>
          <w:rFonts w:ascii="Times New Roman" w:hAnsi="Times New Roman" w:cs="Times New Roman"/>
          <w:i/>
        </w:rPr>
        <w:t>schema dell’idea</w:t>
      </w:r>
      <w:r w:rsidRPr="005F1856">
        <w:rPr>
          <w:rFonts w:ascii="Times New Roman" w:hAnsi="Times New Roman" w:cs="Times New Roman"/>
        </w:rPr>
        <w:t>)</w:t>
      </w:r>
      <w:r w:rsidRPr="005F1856">
        <w:rPr>
          <w:rStyle w:val="Rimandonotaapidipagina"/>
          <w:rFonts w:ascii="Times New Roman" w:hAnsi="Times New Roman" w:cs="Times New Roman"/>
        </w:rPr>
        <w:footnoteReference w:id="766"/>
      </w:r>
      <w:r w:rsidRPr="005F1856">
        <w:rPr>
          <w:rFonts w:ascii="Times New Roman" w:hAnsi="Times New Roman" w:cs="Times New Roman"/>
        </w:rPr>
        <w:t xml:space="preserve">. </w:t>
      </w:r>
    </w:p>
    <w:p w14:paraId="220C9CA0" w14:textId="585C9C3F" w:rsidR="009949BD" w:rsidRDefault="001B7751" w:rsidP="009949BD">
      <w:pPr>
        <w:spacing w:line="360" w:lineRule="auto"/>
        <w:ind w:firstLine="567"/>
        <w:jc w:val="both"/>
        <w:rPr>
          <w:rFonts w:ascii="Times New Roman" w:hAnsi="Times New Roman" w:cs="Times New Roman"/>
        </w:rPr>
      </w:pPr>
      <w:r w:rsidRPr="002D6C44">
        <w:rPr>
          <w:rFonts w:ascii="Times New Roman" w:hAnsi="Times New Roman" w:cs="Times New Roman"/>
        </w:rPr>
        <w:t xml:space="preserve">Secondo </w:t>
      </w:r>
      <w:r w:rsidR="009A1CA9">
        <w:rPr>
          <w:rFonts w:ascii="Times New Roman" w:hAnsi="Times New Roman" w:cs="Times New Roman"/>
        </w:rPr>
        <w:t>Tennemann</w:t>
      </w:r>
      <w:r w:rsidRPr="002D6C44">
        <w:rPr>
          <w:rFonts w:ascii="Times New Roman" w:hAnsi="Times New Roman" w:cs="Times New Roman"/>
        </w:rPr>
        <w:t>, Spinoza, preso atto dell’abisso teorico e pratico che divide sostanza e modi, cercherebbe di passare sotto silenzio un’aporia per la quale non può proporre una risoluzione teoreticamente soddisfacente. Questo passare sotto silenzio un problema, cercando di occultarlo, è reso possibile dalla forma espositiva spinoziana:</w:t>
      </w:r>
      <w:r w:rsidRPr="0030127C">
        <w:rPr>
          <w:rFonts w:ascii="Times New Roman" w:hAnsi="Times New Roman" w:cs="Times New Roman"/>
        </w:rPr>
        <w:t xml:space="preserve"> l’andare avanti, che è un tornare indietro, e il tornare indietro, che è condizione dell’andare avanti, sono quelle caratteristiche strutturali dello spinozismo grazie a cui il sistema occulta le sue aporie logico-deduttive.</w:t>
      </w:r>
      <w:r>
        <w:rPr>
          <w:rFonts w:ascii="Times New Roman" w:hAnsi="Times New Roman" w:cs="Times New Roman"/>
        </w:rPr>
        <w:t xml:space="preserve"> </w:t>
      </w:r>
      <w:r w:rsidRPr="005F1856">
        <w:rPr>
          <w:rFonts w:ascii="Times New Roman" w:hAnsi="Times New Roman" w:cs="Times New Roman"/>
        </w:rPr>
        <w:t>Al di là di una coerenza interna apparentemente inattaccabile, l’</w:t>
      </w:r>
      <w:r w:rsidRPr="005F1856">
        <w:rPr>
          <w:rFonts w:ascii="Times New Roman" w:hAnsi="Times New Roman" w:cs="Times New Roman"/>
          <w:i/>
        </w:rPr>
        <w:t>Ethica</w:t>
      </w:r>
      <w:r w:rsidRPr="005F1856">
        <w:rPr>
          <w:rFonts w:ascii="Times New Roman" w:hAnsi="Times New Roman" w:cs="Times New Roman"/>
        </w:rPr>
        <w:t xml:space="preserve"> sviluppa con esiti insoddisfacenti i suoi presupposti </w:t>
      </w:r>
      <w:r w:rsidRPr="0030127C">
        <w:rPr>
          <w:rFonts w:ascii="Times New Roman" w:hAnsi="Times New Roman" w:cs="Times New Roman"/>
        </w:rPr>
        <w:t>teorico-sistematici:</w:t>
      </w:r>
      <w:r>
        <w:rPr>
          <w:rFonts w:ascii="Times New Roman" w:hAnsi="Times New Roman" w:cs="Times New Roman"/>
        </w:rPr>
        <w:t xml:space="preserve"> </w:t>
      </w:r>
      <w:r w:rsidRPr="00381D95">
        <w:rPr>
          <w:rFonts w:ascii="Times New Roman" w:hAnsi="Times New Roman" w:cs="Times New Roman"/>
        </w:rPr>
        <w:t>«</w:t>
      </w:r>
      <w:r w:rsidRPr="00381D95">
        <w:rPr>
          <w:rFonts w:ascii="Times New Roman" w:hAnsi="Times New Roman" w:cs="Times New Roman"/>
          <w:lang w:val="de-DE"/>
        </w:rPr>
        <w:t xml:space="preserve">so ist also dieses System des Spinoza, bey allem Schein von Bündigkeit und innere Einheit, dennoch nach scharfer Prüfung theils grundlos, theils in sich streitende Bestandtheile nur in einen äußern friedlichen Bund </w:t>
      </w:r>
      <w:r w:rsidRPr="0011548A">
        <w:rPr>
          <w:rFonts w:ascii="Times New Roman" w:hAnsi="Times New Roman" w:cs="Times New Roman"/>
          <w:lang w:val="de-DE"/>
        </w:rPr>
        <w:t>vereinigend, und die Widerspruche nur verdeckend»</w:t>
      </w:r>
      <w:r w:rsidRPr="0011548A">
        <w:rPr>
          <w:rStyle w:val="Rimandonotaapidipagina"/>
          <w:rFonts w:ascii="Times New Roman" w:hAnsi="Times New Roman" w:cs="Times New Roman"/>
          <w:lang w:val="de-DE"/>
        </w:rPr>
        <w:footnoteReference w:id="767"/>
      </w:r>
      <w:r w:rsidRPr="0011548A">
        <w:rPr>
          <w:rFonts w:ascii="Times New Roman" w:hAnsi="Times New Roman" w:cs="Times New Roman"/>
          <w:lang w:val="de-DE"/>
        </w:rPr>
        <w:t xml:space="preserve">. </w:t>
      </w:r>
      <w:r w:rsidR="00B70C2E" w:rsidRPr="0011548A">
        <w:rPr>
          <w:rFonts w:ascii="Times New Roman" w:hAnsi="Times New Roman" w:cs="Times New Roman"/>
        </w:rPr>
        <w:t xml:space="preserve">Unificando </w:t>
      </w:r>
      <w:r w:rsidRPr="0011548A">
        <w:rPr>
          <w:rFonts w:ascii="Times New Roman" w:hAnsi="Times New Roman" w:cs="Times New Roman"/>
        </w:rPr>
        <w:t>elementi teorici</w:t>
      </w:r>
      <w:r w:rsidR="00B70C2E" w:rsidRPr="0011548A">
        <w:rPr>
          <w:rFonts w:ascii="Times New Roman" w:hAnsi="Times New Roman" w:cs="Times New Roman"/>
        </w:rPr>
        <w:t xml:space="preserve"> discordanti</w:t>
      </w:r>
      <w:r w:rsidRPr="0011548A">
        <w:rPr>
          <w:rFonts w:ascii="Times New Roman" w:hAnsi="Times New Roman" w:cs="Times New Roman"/>
        </w:rPr>
        <w:t>, Spinoza conferisce una pacifica coe</w:t>
      </w:r>
      <w:r w:rsidR="00B70C2E" w:rsidRPr="0011548A">
        <w:rPr>
          <w:rFonts w:ascii="Times New Roman" w:hAnsi="Times New Roman" w:cs="Times New Roman"/>
        </w:rPr>
        <w:t>sistenza a ciò che non si las</w:t>
      </w:r>
      <w:r w:rsidR="0011548A" w:rsidRPr="0011548A">
        <w:rPr>
          <w:rFonts w:ascii="Times New Roman" w:hAnsi="Times New Roman" w:cs="Times New Roman"/>
        </w:rPr>
        <w:t>cia</w:t>
      </w:r>
      <w:r w:rsidRPr="0011548A">
        <w:rPr>
          <w:rFonts w:ascii="Times New Roman" w:hAnsi="Times New Roman" w:cs="Times New Roman"/>
        </w:rPr>
        <w:t xml:space="preserve"> ricondurre ad unità. Le </w:t>
      </w:r>
      <w:r w:rsidR="00B70C2E" w:rsidRPr="0011548A">
        <w:rPr>
          <w:rFonts w:ascii="Times New Roman" w:hAnsi="Times New Roman" w:cs="Times New Roman"/>
        </w:rPr>
        <w:t>“</w:t>
      </w:r>
      <w:r w:rsidRPr="0011548A">
        <w:rPr>
          <w:rFonts w:ascii="Times New Roman" w:hAnsi="Times New Roman" w:cs="Times New Roman"/>
        </w:rPr>
        <w:t>violenze teoriche</w:t>
      </w:r>
      <w:r w:rsidR="00B70C2E" w:rsidRPr="0011548A">
        <w:rPr>
          <w:rFonts w:ascii="Times New Roman" w:hAnsi="Times New Roman" w:cs="Times New Roman"/>
        </w:rPr>
        <w:t>”</w:t>
      </w:r>
      <w:r w:rsidRPr="0011548A">
        <w:rPr>
          <w:rFonts w:ascii="Times New Roman" w:hAnsi="Times New Roman" w:cs="Times New Roman"/>
        </w:rPr>
        <w:t xml:space="preserve"> dell’</w:t>
      </w:r>
      <w:r w:rsidRPr="0011548A">
        <w:rPr>
          <w:rFonts w:ascii="Times New Roman" w:hAnsi="Times New Roman" w:cs="Times New Roman"/>
          <w:i/>
        </w:rPr>
        <w:t>Ethica</w:t>
      </w:r>
      <w:r w:rsidRPr="0011548A">
        <w:rPr>
          <w:rFonts w:ascii="Times New Roman" w:hAnsi="Times New Roman" w:cs="Times New Roman"/>
        </w:rPr>
        <w:t xml:space="preserve"> rafforzano l’idea di una logica ferrea all’opera nel </w:t>
      </w:r>
      <w:r w:rsidRPr="0011548A">
        <w:rPr>
          <w:rFonts w:ascii="Times New Roman" w:hAnsi="Times New Roman" w:cs="Times New Roman"/>
          <w:i/>
        </w:rPr>
        <w:t>more geometrico</w:t>
      </w:r>
      <w:r w:rsidRPr="0011548A">
        <w:rPr>
          <w:rFonts w:ascii="Times New Roman" w:hAnsi="Times New Roman" w:cs="Times New Roman"/>
        </w:rPr>
        <w:t xml:space="preserve"> spinoziano. Ma il rigore argomentativo e la coerenza interna del sistema, in realtà, si sgretolano nel punto nevralgico del </w:t>
      </w:r>
      <w:r w:rsidRPr="0011548A">
        <w:rPr>
          <w:rFonts w:ascii="Times New Roman" w:hAnsi="Times New Roman" w:cs="Times New Roman"/>
          <w:i/>
        </w:rPr>
        <w:t>De Deo</w:t>
      </w:r>
      <w:r w:rsidRPr="0011548A">
        <w:rPr>
          <w:rFonts w:ascii="Times New Roman" w:hAnsi="Times New Roman" w:cs="Times New Roman"/>
        </w:rPr>
        <w:t>, dove non può essere spiegata, se non introducendo un salto (</w:t>
      </w:r>
      <w:r w:rsidRPr="0011548A">
        <w:rPr>
          <w:rFonts w:ascii="Times New Roman" w:hAnsi="Times New Roman" w:cs="Times New Roman"/>
          <w:i/>
        </w:rPr>
        <w:t>Sprung</w:t>
      </w:r>
      <w:r w:rsidRPr="0011548A">
        <w:rPr>
          <w:rFonts w:ascii="Times New Roman" w:hAnsi="Times New Roman" w:cs="Times New Roman"/>
        </w:rPr>
        <w:t xml:space="preserve">), la deduzione del determinato dall'indeterminato e l’attualizzarsi della sostanza nelle proprie modificazioni. </w:t>
      </w:r>
      <w:r w:rsidR="0011548A" w:rsidRPr="0011548A">
        <w:rPr>
          <w:rFonts w:ascii="Times New Roman" w:hAnsi="Times New Roman" w:cs="Times New Roman"/>
        </w:rPr>
        <w:t>S</w:t>
      </w:r>
      <w:r w:rsidRPr="0011548A">
        <w:rPr>
          <w:rFonts w:ascii="Times New Roman" w:hAnsi="Times New Roman" w:cs="Times New Roman"/>
        </w:rPr>
        <w:t xml:space="preserve">iamo di fronte ad un gigante con la testa fra le nuvole e i piedi di argilla, che unisce ad uno sviluppo inconseguente dei suoi principi un utilizzo </w:t>
      </w:r>
      <w:r w:rsidRPr="0011548A">
        <w:rPr>
          <w:rFonts w:ascii="Times New Roman" w:hAnsi="Times New Roman" w:cs="Times New Roman"/>
          <w:i/>
        </w:rPr>
        <w:t>acritico</w:t>
      </w:r>
      <w:r w:rsidRPr="0011548A">
        <w:rPr>
          <w:rFonts w:ascii="Times New Roman" w:hAnsi="Times New Roman" w:cs="Times New Roman"/>
        </w:rPr>
        <w:t xml:space="preserve"> dei med</w:t>
      </w:r>
      <w:r w:rsidR="0011548A" w:rsidRPr="0011548A">
        <w:rPr>
          <w:rFonts w:ascii="Times New Roman" w:hAnsi="Times New Roman" w:cs="Times New Roman"/>
        </w:rPr>
        <w:t>esimi. Da buon kantiano</w:t>
      </w:r>
      <w:r w:rsidR="00B70C2E" w:rsidRPr="0011548A">
        <w:rPr>
          <w:rFonts w:ascii="Times New Roman" w:hAnsi="Times New Roman" w:cs="Times New Roman"/>
        </w:rPr>
        <w:t xml:space="preserve">, </w:t>
      </w:r>
      <w:r w:rsidR="009A1CA9" w:rsidRPr="0011548A">
        <w:rPr>
          <w:rFonts w:ascii="Times New Roman" w:hAnsi="Times New Roman" w:cs="Times New Roman"/>
        </w:rPr>
        <w:t>Tennemann</w:t>
      </w:r>
      <w:r w:rsidRPr="0011548A">
        <w:rPr>
          <w:rFonts w:ascii="Times New Roman" w:hAnsi="Times New Roman" w:cs="Times New Roman"/>
        </w:rPr>
        <w:t xml:space="preserve"> osserva che «</w:t>
      </w:r>
      <w:r w:rsidRPr="0011548A">
        <w:rPr>
          <w:rFonts w:ascii="Times New Roman" w:hAnsi="Times New Roman" w:cs="Times New Roman"/>
          <w:lang w:val="de-DE"/>
        </w:rPr>
        <w:t>das ganze System ist aus reinen Verstandesbegriffen construirt, deren Ursprung und Gebrauch noch nicht aufgeklärt war»</w:t>
      </w:r>
      <w:r w:rsidRPr="0011548A">
        <w:rPr>
          <w:rStyle w:val="Rimandonotaapidipagina"/>
          <w:rFonts w:ascii="Times New Roman" w:hAnsi="Times New Roman" w:cs="Times New Roman"/>
          <w:lang w:val="de-DE"/>
        </w:rPr>
        <w:footnoteReference w:id="768"/>
      </w:r>
      <w:r w:rsidRPr="0011548A">
        <w:rPr>
          <w:rFonts w:ascii="Times New Roman" w:hAnsi="Times New Roman" w:cs="Times New Roman"/>
          <w:lang w:val="de-DE"/>
        </w:rPr>
        <w:t xml:space="preserve">. </w:t>
      </w:r>
      <w:r w:rsidR="0011548A" w:rsidRPr="00A061F6">
        <w:rPr>
          <w:rFonts w:ascii="Times New Roman" w:hAnsi="Times New Roman" w:cs="Times New Roman"/>
          <w:lang w:val="de-DE"/>
        </w:rPr>
        <w:t xml:space="preserve">Pertanto, </w:t>
      </w:r>
      <w:r w:rsidR="0011548A" w:rsidRPr="00A061F6">
        <w:rPr>
          <w:rFonts w:ascii="Times New Roman" w:hAnsi="Times New Roman" w:cs="Times New Roman"/>
        </w:rPr>
        <w:t>a</w:t>
      </w:r>
      <w:r w:rsidR="00B70C2E" w:rsidRPr="00A061F6">
        <w:rPr>
          <w:rFonts w:ascii="Times New Roman" w:hAnsi="Times New Roman" w:cs="Times New Roman"/>
        </w:rPr>
        <w:t xml:space="preserve">llo </w:t>
      </w:r>
      <w:r w:rsidRPr="00A061F6">
        <w:rPr>
          <w:rFonts w:ascii="Times New Roman" w:hAnsi="Times New Roman" w:cs="Times New Roman"/>
        </w:rPr>
        <w:t>sviluppo inconseguente</w:t>
      </w:r>
      <w:r w:rsidR="00B70C2E" w:rsidRPr="00A061F6">
        <w:rPr>
          <w:rFonts w:ascii="Times New Roman" w:hAnsi="Times New Roman" w:cs="Times New Roman"/>
        </w:rPr>
        <w:t xml:space="preserve"> della prospettiva architettonica</w:t>
      </w:r>
      <w:r w:rsidRPr="00A061F6">
        <w:rPr>
          <w:rFonts w:ascii="Times New Roman" w:hAnsi="Times New Roman" w:cs="Times New Roman"/>
        </w:rPr>
        <w:t>, si somma un utilizzo immediato, cioè non criticamente vagliato, delle categorie su cui</w:t>
      </w:r>
      <w:r w:rsidR="0011548A" w:rsidRPr="00A061F6">
        <w:rPr>
          <w:rFonts w:ascii="Times New Roman" w:hAnsi="Times New Roman" w:cs="Times New Roman"/>
        </w:rPr>
        <w:t xml:space="preserve"> si regge il sistema spinoziano</w:t>
      </w:r>
      <w:r w:rsidR="0005184F" w:rsidRPr="00A061F6">
        <w:rPr>
          <w:rFonts w:ascii="Times New Roman" w:hAnsi="Times New Roman" w:cs="Times New Roman"/>
        </w:rPr>
        <w:t>.</w:t>
      </w:r>
    </w:p>
    <w:p w14:paraId="1C87B044" w14:textId="53A7C890" w:rsidR="001B7751" w:rsidRDefault="009A1CA9" w:rsidP="009949BD">
      <w:pPr>
        <w:spacing w:line="360" w:lineRule="auto"/>
        <w:ind w:firstLine="567"/>
        <w:jc w:val="both"/>
        <w:rPr>
          <w:rFonts w:ascii="Times New Roman" w:hAnsi="Times New Roman" w:cs="Times New Roman"/>
        </w:rPr>
      </w:pPr>
      <w:r w:rsidRPr="00DF4378">
        <w:rPr>
          <w:rFonts w:ascii="Times New Roman" w:hAnsi="Times New Roman" w:cs="Times New Roman"/>
        </w:rPr>
        <w:t>Tennemann</w:t>
      </w:r>
      <w:r w:rsidR="001B7751" w:rsidRPr="00DF4378">
        <w:rPr>
          <w:rFonts w:ascii="Times New Roman" w:hAnsi="Times New Roman" w:cs="Times New Roman"/>
        </w:rPr>
        <w:t xml:space="preserve"> espone e valuta l</w:t>
      </w:r>
      <w:r w:rsidR="00B70C2E" w:rsidRPr="00DF4378">
        <w:rPr>
          <w:rFonts w:ascii="Times New Roman" w:hAnsi="Times New Roman" w:cs="Times New Roman"/>
        </w:rPr>
        <w:t>’opera di Spinoza alla luce del</w:t>
      </w:r>
      <w:r w:rsidR="00984A84" w:rsidRPr="00DF4378">
        <w:rPr>
          <w:rFonts w:ascii="Times New Roman" w:hAnsi="Times New Roman" w:cs="Times New Roman"/>
        </w:rPr>
        <w:t xml:space="preserve"> k</w:t>
      </w:r>
      <w:r w:rsidR="00B70C2E" w:rsidRPr="00DF4378">
        <w:rPr>
          <w:rFonts w:ascii="Times New Roman" w:hAnsi="Times New Roman" w:cs="Times New Roman"/>
        </w:rPr>
        <w:t>antismo</w:t>
      </w:r>
      <w:r w:rsidR="00984A84" w:rsidRPr="00DF4378">
        <w:rPr>
          <w:rFonts w:ascii="Times New Roman" w:hAnsi="Times New Roman" w:cs="Times New Roman"/>
        </w:rPr>
        <w:t xml:space="preserve"> soggiacente alla sua</w:t>
      </w:r>
      <w:r w:rsidR="001B7751" w:rsidRPr="00DF4378">
        <w:rPr>
          <w:rFonts w:ascii="Times New Roman" w:hAnsi="Times New Roman" w:cs="Times New Roman"/>
        </w:rPr>
        <w:t xml:space="preserve"> attività storico-filosofica. </w:t>
      </w:r>
      <w:r w:rsidR="0005184F" w:rsidRPr="00DF4378">
        <w:rPr>
          <w:rFonts w:ascii="Times New Roman" w:hAnsi="Times New Roman" w:cs="Times New Roman"/>
        </w:rPr>
        <w:t xml:space="preserve">Al pari del </w:t>
      </w:r>
      <w:r w:rsidR="001B7751" w:rsidRPr="00DF4378">
        <w:rPr>
          <w:rFonts w:ascii="Times New Roman" w:hAnsi="Times New Roman" w:cs="Times New Roman"/>
          <w:i/>
          <w:lang w:val="de-DE"/>
        </w:rPr>
        <w:t>Grundriss einer Geschichte der Philosophie</w:t>
      </w:r>
      <w:r w:rsidR="006A462E" w:rsidRPr="00DF4378">
        <w:rPr>
          <w:rFonts w:ascii="Times New Roman" w:hAnsi="Times New Roman" w:cs="Times New Roman"/>
          <w:i/>
        </w:rPr>
        <w:t xml:space="preserve">, </w:t>
      </w:r>
      <w:r w:rsidR="001B7751" w:rsidRPr="00DF4378">
        <w:rPr>
          <w:rFonts w:ascii="Times New Roman" w:hAnsi="Times New Roman" w:cs="Times New Roman"/>
        </w:rPr>
        <w:t xml:space="preserve">la </w:t>
      </w:r>
      <w:r w:rsidR="001B7751" w:rsidRPr="00DF4378">
        <w:rPr>
          <w:rFonts w:ascii="Times New Roman" w:hAnsi="Times New Roman" w:cs="Times New Roman"/>
          <w:i/>
          <w:lang w:val="de-DE"/>
        </w:rPr>
        <w:t>Geschichte der Philosophie</w:t>
      </w:r>
      <w:r w:rsidR="001B7751" w:rsidRPr="00DF4378">
        <w:rPr>
          <w:rFonts w:ascii="Times New Roman" w:hAnsi="Times New Roman" w:cs="Times New Roman"/>
        </w:rPr>
        <w:t xml:space="preserve"> elogia e biasima i sistemi filosofici sulla base di una specifica teorica ritenuta </w:t>
      </w:r>
      <w:r w:rsidR="001B7751" w:rsidRPr="00DF4378">
        <w:rPr>
          <w:rFonts w:ascii="Times New Roman" w:hAnsi="Times New Roman" w:cs="Times New Roman"/>
          <w:i/>
        </w:rPr>
        <w:t xml:space="preserve">vera </w:t>
      </w:r>
      <w:r w:rsidR="001B7751" w:rsidRPr="00DF4378">
        <w:rPr>
          <w:rFonts w:ascii="Times New Roman" w:hAnsi="Times New Roman" w:cs="Times New Roman"/>
        </w:rPr>
        <w:t>(quella kantiana).</w:t>
      </w:r>
      <w:r w:rsidR="001B7751" w:rsidRPr="002D6C44">
        <w:rPr>
          <w:rFonts w:ascii="Times New Roman" w:hAnsi="Times New Roman" w:cs="Times New Roman"/>
        </w:rPr>
        <w:t xml:space="preserve"> Di questo metodo d’indagine, abbiamo visto due applicazioni specifiche: la filosofia cabbalistica e lo spinozismo. Superata la repulsione per l’oscurità del misticismo ebraico, </w:t>
      </w:r>
      <w:r>
        <w:rPr>
          <w:rFonts w:ascii="Times New Roman" w:hAnsi="Times New Roman" w:cs="Times New Roman"/>
        </w:rPr>
        <w:t>Tennemann</w:t>
      </w:r>
      <w:r w:rsidR="001B7751" w:rsidRPr="002D6C44">
        <w:rPr>
          <w:rFonts w:ascii="Times New Roman" w:hAnsi="Times New Roman" w:cs="Times New Roman"/>
        </w:rPr>
        <w:t xml:space="preserve"> assimila la Qabbalah all’emanazionismo neoplatonico e la interpreta in funzione della filosofia rinascimentale. Più originale, invece, la lettura di Spinoza: proiettata all’interno di una cornice squisitamente teorica, quest’interpretazione del sistema spinoziano valuta l’opera </w:t>
      </w:r>
      <w:r w:rsidR="001B7751">
        <w:rPr>
          <w:rFonts w:ascii="Times New Roman" w:hAnsi="Times New Roman" w:cs="Times New Roman"/>
        </w:rPr>
        <w:t xml:space="preserve">spinoziana </w:t>
      </w:r>
      <w:r w:rsidR="001B7751" w:rsidRPr="002D6C44">
        <w:rPr>
          <w:rFonts w:ascii="Times New Roman" w:hAnsi="Times New Roman" w:cs="Times New Roman"/>
        </w:rPr>
        <w:t>in base alla sua prossimità all’</w:t>
      </w:r>
      <w:r w:rsidR="001B7751" w:rsidRPr="002D6C44">
        <w:rPr>
          <w:rFonts w:ascii="Times New Roman" w:hAnsi="Times New Roman" w:cs="Times New Roman"/>
          <w:i/>
        </w:rPr>
        <w:t>Idee der Wissenschaft</w:t>
      </w:r>
      <w:r w:rsidR="001B7751" w:rsidRPr="002D6C44">
        <w:rPr>
          <w:rFonts w:ascii="Times New Roman" w:hAnsi="Times New Roman" w:cs="Times New Roman"/>
        </w:rPr>
        <w:t xml:space="preserve">, non alla sua genesi storica, che è </w:t>
      </w:r>
      <w:r w:rsidR="001B7751" w:rsidRPr="002D6C44">
        <w:rPr>
          <w:rFonts w:ascii="Times New Roman" w:hAnsi="Times New Roman" w:cs="Times New Roman"/>
          <w:i/>
        </w:rPr>
        <w:t>cornice</w:t>
      </w:r>
      <w:r w:rsidR="001B7751" w:rsidRPr="002D6C44">
        <w:rPr>
          <w:rFonts w:ascii="Times New Roman" w:hAnsi="Times New Roman" w:cs="Times New Roman"/>
        </w:rPr>
        <w:t xml:space="preserve"> in cui si colloca uno sforzo particolarmente originale della ragione di comprendersi e definirsi </w:t>
      </w:r>
      <w:r w:rsidR="001B7751" w:rsidRPr="002D6C44">
        <w:rPr>
          <w:rFonts w:ascii="Times New Roman" w:hAnsi="Times New Roman" w:cs="Times New Roman"/>
          <w:i/>
        </w:rPr>
        <w:t>scientificamente</w:t>
      </w:r>
      <w:r w:rsidR="001B7751" w:rsidRPr="002D6C44">
        <w:rPr>
          <w:rFonts w:ascii="Times New Roman" w:hAnsi="Times New Roman" w:cs="Times New Roman"/>
        </w:rPr>
        <w:t>.</w:t>
      </w:r>
    </w:p>
    <w:p w14:paraId="1C81EE2E" w14:textId="77777777" w:rsidR="001B7751" w:rsidRPr="00F0388C" w:rsidRDefault="001B7751" w:rsidP="001B7751">
      <w:pPr>
        <w:spacing w:line="360" w:lineRule="auto"/>
        <w:jc w:val="both"/>
        <w:rPr>
          <w:rFonts w:ascii="Times New Roman" w:hAnsi="Times New Roman" w:cs="Times New Roman"/>
        </w:rPr>
      </w:pPr>
      <w:r>
        <w:rPr>
          <w:rFonts w:ascii="Times New Roman" w:hAnsi="Times New Roman" w:cs="Times New Roman"/>
        </w:rPr>
        <w:t xml:space="preserve"> </w:t>
      </w:r>
    </w:p>
    <w:p w14:paraId="3F9B2D82" w14:textId="7D4A5692" w:rsidR="001B7751" w:rsidRPr="009B5EA7" w:rsidRDefault="001B7751" w:rsidP="001B7751">
      <w:pPr>
        <w:spacing w:line="360" w:lineRule="auto"/>
        <w:jc w:val="both"/>
        <w:rPr>
          <w:rFonts w:ascii="Times New Roman" w:hAnsi="Times New Roman" w:cs="Times New Roman"/>
          <w:i/>
        </w:rPr>
      </w:pPr>
      <w:r>
        <w:rPr>
          <w:rFonts w:ascii="Times New Roman" w:hAnsi="Times New Roman" w:cs="Times New Roman"/>
          <w:i/>
        </w:rPr>
        <w:t>3.9</w:t>
      </w:r>
      <w:r w:rsidRPr="009B5EA7">
        <w:rPr>
          <w:rFonts w:ascii="Times New Roman" w:hAnsi="Times New Roman" w:cs="Times New Roman"/>
          <w:i/>
        </w:rPr>
        <w:t xml:space="preserve"> </w:t>
      </w:r>
      <w:r w:rsidR="00DD185A">
        <w:rPr>
          <w:rFonts w:ascii="Times New Roman" w:hAnsi="Times New Roman" w:cs="Times New Roman"/>
          <w:i/>
        </w:rPr>
        <w:t xml:space="preserve">Storia di </w:t>
      </w:r>
      <w:r>
        <w:rPr>
          <w:rFonts w:ascii="Times New Roman" w:hAnsi="Times New Roman" w:cs="Times New Roman"/>
          <w:i/>
        </w:rPr>
        <w:t>un incontro mancato</w:t>
      </w:r>
      <w:r w:rsidR="00DD185A">
        <w:rPr>
          <w:rFonts w:ascii="Times New Roman" w:hAnsi="Times New Roman" w:cs="Times New Roman"/>
          <w:i/>
        </w:rPr>
        <w:t xml:space="preserve">: </w:t>
      </w:r>
      <w:r w:rsidR="00DD185A" w:rsidRPr="009B5EA7">
        <w:rPr>
          <w:rFonts w:ascii="Times New Roman" w:hAnsi="Times New Roman" w:cs="Times New Roman"/>
          <w:i/>
        </w:rPr>
        <w:t>Hegel e la Qabbalah</w:t>
      </w:r>
    </w:p>
    <w:p w14:paraId="3F2DA30D" w14:textId="77777777" w:rsidR="001B7751" w:rsidRDefault="001B7751" w:rsidP="001B7751">
      <w:pPr>
        <w:spacing w:line="360" w:lineRule="auto"/>
        <w:ind w:left="567" w:firstLine="567"/>
        <w:jc w:val="both"/>
        <w:rPr>
          <w:rFonts w:ascii="Times New Roman" w:hAnsi="Times New Roman" w:cs="Times New Roman"/>
        </w:rPr>
      </w:pPr>
    </w:p>
    <w:p w14:paraId="54D506DC" w14:textId="343A4374" w:rsidR="001B7751" w:rsidRPr="001E631C" w:rsidRDefault="001B7751" w:rsidP="001B7751">
      <w:pPr>
        <w:spacing w:line="360" w:lineRule="auto"/>
        <w:ind w:firstLine="567"/>
        <w:jc w:val="both"/>
        <w:rPr>
          <w:rFonts w:ascii="Times New Roman" w:hAnsi="Times New Roman" w:cs="Times New Roman"/>
        </w:rPr>
      </w:pPr>
      <w:r w:rsidRPr="00DF4378">
        <w:rPr>
          <w:rFonts w:ascii="Times New Roman" w:hAnsi="Times New Roman" w:cs="Times New Roman"/>
        </w:rPr>
        <w:t>È stato definito il contesto in cui si colloca l’attività storico-filosofica di H</w:t>
      </w:r>
      <w:r w:rsidR="00D07489">
        <w:rPr>
          <w:rFonts w:ascii="Times New Roman" w:hAnsi="Times New Roman" w:cs="Times New Roman"/>
        </w:rPr>
        <w:t>egel. Impegnato dal 1818 al 1831</w:t>
      </w:r>
      <w:r w:rsidRPr="00DF4378">
        <w:rPr>
          <w:rFonts w:ascii="Times New Roman" w:hAnsi="Times New Roman" w:cs="Times New Roman"/>
        </w:rPr>
        <w:t xml:space="preserve"> in un’intensa attività didattica, Hegel tiene, inframmezzandole con altri cicli di lezioni, diverse </w:t>
      </w:r>
      <w:r w:rsidRPr="00DF4378">
        <w:rPr>
          <w:rFonts w:ascii="Times New Roman" w:hAnsi="Times New Roman" w:cs="Times New Roman"/>
          <w:i/>
        </w:rPr>
        <w:t>Vorlesungen</w:t>
      </w:r>
      <w:r w:rsidRPr="00DF4378">
        <w:rPr>
          <w:rFonts w:ascii="Times New Roman" w:hAnsi="Times New Roman" w:cs="Times New Roman"/>
        </w:rPr>
        <w:t xml:space="preserve"> sulla storia della filosofia. A questa disciplina, Hegel si era già dedicat</w:t>
      </w:r>
      <w:r w:rsidR="007D6B7C" w:rsidRPr="00DF4378">
        <w:rPr>
          <w:rFonts w:ascii="Times New Roman" w:hAnsi="Times New Roman" w:cs="Times New Roman"/>
        </w:rPr>
        <w:t>o nel semestre invernale 1805/</w:t>
      </w:r>
      <w:r w:rsidRPr="00DF4378">
        <w:rPr>
          <w:rFonts w:ascii="Times New Roman" w:hAnsi="Times New Roman" w:cs="Times New Roman"/>
        </w:rPr>
        <w:t>06</w:t>
      </w:r>
      <w:r w:rsidR="007D6B7C" w:rsidRPr="00DF4378">
        <w:rPr>
          <w:rFonts w:ascii="Times New Roman" w:hAnsi="Times New Roman" w:cs="Times New Roman"/>
        </w:rPr>
        <w:t>,</w:t>
      </w:r>
      <w:r w:rsidRPr="00DF4378">
        <w:rPr>
          <w:rFonts w:ascii="Times New Roman" w:hAnsi="Times New Roman" w:cs="Times New Roman"/>
        </w:rPr>
        <w:t xml:space="preserve"> trascorso</w:t>
      </w:r>
      <w:r w:rsidR="007D6B7C" w:rsidRPr="00DF4378">
        <w:rPr>
          <w:rFonts w:ascii="Times New Roman" w:hAnsi="Times New Roman" w:cs="Times New Roman"/>
        </w:rPr>
        <w:t>, com’è noto,</w:t>
      </w:r>
      <w:r w:rsidRPr="00DF4378">
        <w:rPr>
          <w:rFonts w:ascii="Times New Roman" w:hAnsi="Times New Roman" w:cs="Times New Roman"/>
        </w:rPr>
        <w:t xml:space="preserve"> all’Università di Jena.</w:t>
      </w:r>
      <w:r>
        <w:rPr>
          <w:rFonts w:ascii="Times New Roman" w:hAnsi="Times New Roman" w:cs="Times New Roman"/>
        </w:rPr>
        <w:t xml:space="preserve"> </w:t>
      </w:r>
      <w:r w:rsidRPr="00D459C7">
        <w:rPr>
          <w:rFonts w:ascii="Times New Roman" w:hAnsi="Times New Roman" w:cs="Times New Roman"/>
        </w:rPr>
        <w:t>Dopo il trasferimento a Berlino, Hegel non soltanto approfondisce quanto messo a punto nella prima edizione dell’</w:t>
      </w:r>
      <w:r w:rsidRPr="00D459C7">
        <w:rPr>
          <w:rFonts w:ascii="Times New Roman" w:hAnsi="Times New Roman" w:cs="Times New Roman"/>
          <w:i/>
        </w:rPr>
        <w:t>Enzyklopädie</w:t>
      </w:r>
      <w:r w:rsidRPr="00D459C7">
        <w:rPr>
          <w:rFonts w:ascii="Times New Roman" w:hAnsi="Times New Roman" w:cs="Times New Roman"/>
        </w:rPr>
        <w:t xml:space="preserve"> (1817), ma si dedica con regolarità al confronto con il pensiero filosofico. L’evoluzione </w:t>
      </w:r>
      <w:r w:rsidRPr="0046148D">
        <w:rPr>
          <w:rFonts w:ascii="Times New Roman" w:hAnsi="Times New Roman" w:cs="Times New Roman"/>
        </w:rPr>
        <w:t>storica</w:t>
      </w:r>
      <w:r w:rsidRPr="00D459C7">
        <w:rPr>
          <w:rFonts w:ascii="Times New Roman" w:hAnsi="Times New Roman" w:cs="Times New Roman"/>
        </w:rPr>
        <w:t xml:space="preserve"> della ragione è interesse precipuo di Hegel, che </w:t>
      </w:r>
      <w:r>
        <w:rPr>
          <w:rFonts w:ascii="Times New Roman" w:hAnsi="Times New Roman" w:cs="Times New Roman"/>
        </w:rPr>
        <w:t xml:space="preserve">si consolida nel tempo </w:t>
      </w:r>
      <w:r w:rsidRPr="00D459C7">
        <w:rPr>
          <w:rFonts w:ascii="Times New Roman" w:hAnsi="Times New Roman" w:cs="Times New Roman"/>
        </w:rPr>
        <w:t xml:space="preserve">anche grazie agli impegni di natura didattica espletati </w:t>
      </w:r>
      <w:r w:rsidRPr="003616DE">
        <w:rPr>
          <w:rFonts w:ascii="Times New Roman" w:hAnsi="Times New Roman" w:cs="Times New Roman"/>
        </w:rPr>
        <w:t>durante il soggiorno berlinese</w:t>
      </w:r>
      <w:r w:rsidRPr="00D459C7">
        <w:rPr>
          <w:rFonts w:ascii="Times New Roman" w:hAnsi="Times New Roman" w:cs="Times New Roman"/>
        </w:rPr>
        <w:t xml:space="preserve">. La necessità di fornire ai propri uditori un quadro d’insieme sulla </w:t>
      </w:r>
      <w:r w:rsidRPr="00D459C7">
        <w:rPr>
          <w:rFonts w:ascii="Times New Roman" w:hAnsi="Times New Roman" w:cs="Times New Roman"/>
          <w:i/>
        </w:rPr>
        <w:t>storia della filosofia</w:t>
      </w:r>
      <w:r w:rsidRPr="00D459C7">
        <w:rPr>
          <w:rFonts w:ascii="Times New Roman" w:hAnsi="Times New Roman" w:cs="Times New Roman"/>
        </w:rPr>
        <w:t xml:space="preserve"> ha costituito per Hegel motivo di confronto co</w:t>
      </w:r>
      <w:r>
        <w:rPr>
          <w:rFonts w:ascii="Times New Roman" w:hAnsi="Times New Roman" w:cs="Times New Roman"/>
        </w:rPr>
        <w:t>n i</w:t>
      </w:r>
      <w:r w:rsidRPr="00D459C7">
        <w:rPr>
          <w:rFonts w:ascii="Times New Roman" w:hAnsi="Times New Roman" w:cs="Times New Roman"/>
        </w:rPr>
        <w:t xml:space="preserve"> differenti </w:t>
      </w:r>
      <w:r>
        <w:rPr>
          <w:rFonts w:ascii="Times New Roman" w:hAnsi="Times New Roman" w:cs="Times New Roman"/>
        </w:rPr>
        <w:t>momenti del pensiero</w:t>
      </w:r>
      <w:r w:rsidRPr="00D459C7">
        <w:rPr>
          <w:rFonts w:ascii="Times New Roman" w:hAnsi="Times New Roman" w:cs="Times New Roman"/>
        </w:rPr>
        <w:t xml:space="preserve"> speculativo. In sede preliminare, si era osservato che fasi della riflessione filosofica, tutto sommato estranee all’orizzonte mentale hegeliano,</w:t>
      </w:r>
      <w:r w:rsidRPr="00814233">
        <w:rPr>
          <w:rFonts w:ascii="Times New Roman" w:hAnsi="Times New Roman" w:cs="Times New Roman"/>
        </w:rPr>
        <w:t xml:space="preserve"> t</w:t>
      </w:r>
      <w:r>
        <w:rPr>
          <w:rFonts w:ascii="Times New Roman" w:hAnsi="Times New Roman" w:cs="Times New Roman"/>
        </w:rPr>
        <w:t xml:space="preserve">rovano un’analisi concisa nelle </w:t>
      </w:r>
      <w:r w:rsidRPr="00FD2742">
        <w:rPr>
          <w:rFonts w:ascii="Times New Roman" w:hAnsi="Times New Roman" w:cs="Times New Roman"/>
          <w:i/>
        </w:rPr>
        <w:t>Vorlesungen</w:t>
      </w:r>
      <w:r>
        <w:rPr>
          <w:rFonts w:ascii="Times New Roman" w:hAnsi="Times New Roman" w:cs="Times New Roman"/>
        </w:rPr>
        <w:t xml:space="preserve">. </w:t>
      </w:r>
      <w:r w:rsidRPr="00814233">
        <w:rPr>
          <w:rFonts w:ascii="Times New Roman" w:hAnsi="Times New Roman" w:cs="Times New Roman"/>
        </w:rPr>
        <w:t xml:space="preserve">A questo riguardo, sono esemplificative le pagine dedicate alla Qabbalah: alla mancata conoscenza delle fonti primarie e allo scarso interesse per la materia, si sovrappone un’esigenza di completezza espositiva, che determina una vera e propria raccolta d’informazioni dai manuali di storia della filosofia più diffusi fra il XVIII e XIX secolo. Sulle caratteristiche di questo montaggio e, più in generale, sul confronto hegeliano con il pensiero cabbalistico, si discuterà in queste pagine. Prima di esaminare l’ultimo tassello del mosaico ricostruito nei precedenti sottocapitoli, è opportuno </w:t>
      </w:r>
      <w:r>
        <w:rPr>
          <w:rFonts w:ascii="Times New Roman" w:hAnsi="Times New Roman" w:cs="Times New Roman"/>
        </w:rPr>
        <w:t>mostra</w:t>
      </w:r>
      <w:r w:rsidRPr="00814233">
        <w:rPr>
          <w:rFonts w:ascii="Times New Roman" w:hAnsi="Times New Roman" w:cs="Times New Roman"/>
        </w:rPr>
        <w:t xml:space="preserve">re, nei suoi aspetti generali, l’idea di storia della filosofia sottesa alle </w:t>
      </w:r>
      <w:r w:rsidRPr="001E631C">
        <w:rPr>
          <w:rFonts w:ascii="Times New Roman" w:hAnsi="Times New Roman" w:cs="Times New Roman"/>
          <w:i/>
        </w:rPr>
        <w:t>Vorlesungen</w:t>
      </w:r>
      <w:r w:rsidRPr="001E631C">
        <w:rPr>
          <w:rFonts w:ascii="Times New Roman" w:hAnsi="Times New Roman" w:cs="Times New Roman"/>
        </w:rPr>
        <w:t xml:space="preserve"> hegeliane. </w:t>
      </w:r>
    </w:p>
    <w:p w14:paraId="0B74F74C" w14:textId="02937562" w:rsidR="001B7751" w:rsidRPr="00C056C7" w:rsidRDefault="001B7751" w:rsidP="001B7751">
      <w:pPr>
        <w:spacing w:line="360" w:lineRule="auto"/>
        <w:ind w:firstLine="567"/>
        <w:jc w:val="both"/>
        <w:rPr>
          <w:rFonts w:ascii="Times New Roman" w:hAnsi="Times New Roman" w:cs="Times New Roman"/>
        </w:rPr>
      </w:pPr>
      <w:r w:rsidRPr="001E631C">
        <w:rPr>
          <w:rFonts w:ascii="Times New Roman" w:hAnsi="Times New Roman" w:cs="Times New Roman"/>
        </w:rPr>
        <w:t>Già dagli anni jenesi è convinzione di Hegel che la ragione sia il soggetto vivificante del sapere filosofico.</w:t>
      </w:r>
      <w:r>
        <w:rPr>
          <w:rFonts w:ascii="Times New Roman" w:hAnsi="Times New Roman" w:cs="Times New Roman"/>
        </w:rPr>
        <w:t xml:space="preserve"> Dal momento che la ragione riconosce solo se stessa e ha a che fare solo con se stessa, non si può propriamente parlare di una storia della filosofia</w:t>
      </w:r>
      <w:r>
        <w:rPr>
          <w:rStyle w:val="Rimandonotaapidipagina"/>
          <w:rFonts w:ascii="Times New Roman" w:hAnsi="Times New Roman" w:cs="Times New Roman"/>
        </w:rPr>
        <w:footnoteReference w:id="769"/>
      </w:r>
      <w:r>
        <w:rPr>
          <w:rFonts w:ascii="Times New Roman" w:hAnsi="Times New Roman" w:cs="Times New Roman"/>
        </w:rPr>
        <w:t xml:space="preserve">. Secondo una celebre espressione del </w:t>
      </w:r>
      <w:r w:rsidRPr="000765E4">
        <w:rPr>
          <w:rFonts w:ascii="Times New Roman" w:hAnsi="Times New Roman" w:cs="Times New Roman"/>
          <w:i/>
        </w:rPr>
        <w:t>Differenzschrift</w:t>
      </w:r>
      <w:r>
        <w:rPr>
          <w:rFonts w:ascii="Times New Roman" w:hAnsi="Times New Roman" w:cs="Times New Roman"/>
        </w:rPr>
        <w:t>, «in Rücksicht aufs</w:t>
      </w:r>
      <w:r w:rsidRPr="00545AE4">
        <w:rPr>
          <w:rFonts w:ascii="Times New Roman" w:hAnsi="Times New Roman" w:cs="Times New Roman"/>
        </w:rPr>
        <w:t xml:space="preserve"> das innere Wesen der Philosophie gibt es weder Vorgänger noch Nachgänger</w:t>
      </w:r>
      <w:r w:rsidRPr="00545AE4">
        <w:rPr>
          <w:rFonts w:ascii="Times New Roman" w:hAnsi="Times New Roman" w:cs="Times New Roman"/>
          <w:lang w:val="de-DE"/>
        </w:rPr>
        <w:t>»</w:t>
      </w:r>
      <w:r w:rsidRPr="00545AE4">
        <w:rPr>
          <w:rStyle w:val="Rimandonotaapidipagina"/>
          <w:rFonts w:ascii="Times New Roman" w:hAnsi="Times New Roman" w:cs="Times New Roman"/>
          <w:lang w:val="de-DE"/>
        </w:rPr>
        <w:footnoteReference w:id="770"/>
      </w:r>
      <w:r w:rsidRPr="00545AE4">
        <w:rPr>
          <w:rFonts w:ascii="Times New Roman" w:hAnsi="Times New Roman" w:cs="Times New Roman"/>
          <w:lang w:val="de-DE"/>
        </w:rPr>
        <w:t>.</w:t>
      </w:r>
      <w:r>
        <w:rPr>
          <w:rFonts w:ascii="Times New Roman" w:hAnsi="Times New Roman" w:cs="Times New Roman"/>
          <w:lang w:val="de-DE"/>
        </w:rPr>
        <w:t xml:space="preserve"> </w:t>
      </w:r>
      <w:r w:rsidRPr="000765E4">
        <w:rPr>
          <w:rFonts w:ascii="Times New Roman" w:hAnsi="Times New Roman" w:cs="Times New Roman"/>
        </w:rPr>
        <w:t xml:space="preserve">Nella sua essenza </w:t>
      </w:r>
      <w:r>
        <w:rPr>
          <w:rFonts w:ascii="Times New Roman" w:hAnsi="Times New Roman" w:cs="Times New Roman"/>
        </w:rPr>
        <w:t xml:space="preserve">profonda, la filosofia non va incontro ad un processo d’arricchimento </w:t>
      </w:r>
      <w:r w:rsidRPr="00D459C7">
        <w:rPr>
          <w:rFonts w:ascii="Times New Roman" w:hAnsi="Times New Roman" w:cs="Times New Roman"/>
        </w:rPr>
        <w:t xml:space="preserve">storico: non è in virtù </w:t>
      </w:r>
      <w:r w:rsidRPr="001E631C">
        <w:rPr>
          <w:rFonts w:ascii="Times New Roman" w:hAnsi="Times New Roman" w:cs="Times New Roman"/>
        </w:rPr>
        <w:t>di una accumulazione graduale e progressiva di nozioni e punti di vista che la ragione assume la sua dimensione ultima di verità.</w:t>
      </w:r>
      <w:r>
        <w:rPr>
          <w:rFonts w:ascii="Times New Roman" w:hAnsi="Times New Roman" w:cs="Times New Roman"/>
        </w:rPr>
        <w:t xml:space="preserve"> La filosofia, secondo Hegel, non è attività artigiana, che si lascia modificare </w:t>
      </w:r>
      <w:r w:rsidRPr="0047330C">
        <w:rPr>
          <w:rFonts w:ascii="Times New Roman" w:hAnsi="Times New Roman" w:cs="Times New Roman"/>
        </w:rPr>
        <w:t>«durch immer neu erfundene Handgriffe</w:t>
      </w:r>
      <w:r w:rsidRPr="0047330C">
        <w:rPr>
          <w:rFonts w:ascii="Times New Roman" w:hAnsi="Times New Roman" w:cs="Times New Roman"/>
          <w:lang w:val="de-DE"/>
        </w:rPr>
        <w:t>»</w:t>
      </w:r>
      <w:r w:rsidRPr="0047330C">
        <w:rPr>
          <w:rStyle w:val="Rimandonotaapidipagina"/>
          <w:rFonts w:ascii="Times New Roman" w:hAnsi="Times New Roman" w:cs="Times New Roman"/>
          <w:lang w:val="de-DE"/>
        </w:rPr>
        <w:footnoteReference w:id="771"/>
      </w:r>
      <w:r w:rsidRPr="0047330C">
        <w:rPr>
          <w:rFonts w:ascii="Times New Roman" w:hAnsi="Times New Roman" w:cs="Times New Roman"/>
          <w:lang w:val="de-DE"/>
        </w:rPr>
        <w:t>,</w:t>
      </w:r>
      <w:r>
        <w:rPr>
          <w:rFonts w:ascii="Times New Roman" w:hAnsi="Times New Roman" w:cs="Times New Roman"/>
          <w:lang w:val="de-DE"/>
        </w:rPr>
        <w:t xml:space="preserve"> </w:t>
      </w:r>
      <w:r w:rsidRPr="003C2F0F">
        <w:rPr>
          <w:rFonts w:ascii="Times New Roman" w:hAnsi="Times New Roman" w:cs="Times New Roman"/>
        </w:rPr>
        <w:t>ma sforzo continuo della ragione</w:t>
      </w:r>
      <w:r>
        <w:rPr>
          <w:rFonts w:ascii="Times New Roman" w:hAnsi="Times New Roman" w:cs="Times New Roman"/>
        </w:rPr>
        <w:t xml:space="preserve"> di comprendere se stessa. </w:t>
      </w:r>
      <w:r w:rsidRPr="008842DC">
        <w:rPr>
          <w:rFonts w:ascii="Times New Roman" w:hAnsi="Times New Roman" w:cs="Times New Roman"/>
        </w:rPr>
        <w:t>In forza della sua autosufficienza (in-sé-e-per-sé fondata), la filosofia ha un unico dominio, la ragione stessa, che non è soggetto alle leggi del divenire storico.</w:t>
      </w:r>
      <w:r w:rsidRPr="003312B4">
        <w:rPr>
          <w:rFonts w:ascii="Times New Roman" w:hAnsi="Times New Roman" w:cs="Times New Roman"/>
        </w:rPr>
        <w:t xml:space="preserve"> È per questa ragione che Hegel afferma, nella prima lezione del corso jenese sulla logica e metafisica (1801/02), che rimarranno profondamente delusi tutti quelli che penseranno di sentire cose inedite, originali o addirittura nuove </w:t>
      </w:r>
      <w:r w:rsidRPr="003312B4">
        <w:rPr>
          <w:rStyle w:val="Rimandonotaapidipagina"/>
          <w:rFonts w:ascii="Times New Roman" w:hAnsi="Times New Roman" w:cs="Times New Roman"/>
        </w:rPr>
        <w:footnoteReference w:id="772"/>
      </w:r>
      <w:r w:rsidRPr="003312B4">
        <w:rPr>
          <w:rFonts w:ascii="Times New Roman" w:hAnsi="Times New Roman" w:cs="Times New Roman"/>
        </w:rPr>
        <w:t>. Quando si studia il pensiero filosofico non si ha a che fare con l’ultima novità, o con un prodotto risultante dalla combinazione di mat</w:t>
      </w:r>
      <w:r w:rsidRPr="00117047">
        <w:rPr>
          <w:rFonts w:ascii="Times New Roman" w:hAnsi="Times New Roman" w:cs="Times New Roman"/>
        </w:rPr>
        <w:t>eriali eterogenei, ma solo ed esclusivamente con l’«älteste Alte</w:t>
      </w:r>
      <w:r w:rsidRPr="00117047">
        <w:rPr>
          <w:rFonts w:ascii="Times New Roman" w:hAnsi="Times New Roman" w:cs="Times New Roman"/>
          <w:lang w:val="de-DE"/>
        </w:rPr>
        <w:t>»</w:t>
      </w:r>
      <w:r w:rsidRPr="00117047">
        <w:rPr>
          <w:rStyle w:val="Rimandonotaapidipagina"/>
          <w:rFonts w:ascii="Times New Roman" w:hAnsi="Times New Roman" w:cs="Times New Roman"/>
        </w:rPr>
        <w:footnoteReference w:id="773"/>
      </w:r>
      <w:r w:rsidRPr="00117047">
        <w:rPr>
          <w:rFonts w:ascii="Times New Roman" w:hAnsi="Times New Roman" w:cs="Times New Roman"/>
        </w:rPr>
        <w:t>. Ma cos’è questo antico degli antichi?</w:t>
      </w:r>
      <w:r w:rsidR="000A7052" w:rsidRPr="00117047">
        <w:rPr>
          <w:rFonts w:ascii="Times New Roman" w:hAnsi="Times New Roman" w:cs="Times New Roman"/>
        </w:rPr>
        <w:t xml:space="preserve"> L’</w:t>
      </w:r>
      <w:r w:rsidR="0096509C" w:rsidRPr="00117047">
        <w:rPr>
          <w:rFonts w:ascii="Times New Roman" w:hAnsi="Times New Roman" w:cs="Times New Roman"/>
        </w:rPr>
        <w:t>Idea</w:t>
      </w:r>
      <w:r w:rsidRPr="00117047">
        <w:rPr>
          <w:rFonts w:ascii="Times New Roman" w:hAnsi="Times New Roman" w:cs="Times New Roman"/>
        </w:rPr>
        <w:t>, ossia la ragione in-sé-e-per-sé, che si erge al di là delle opposizioni del pensiero riflessivo e si attualizza dispiegando gli opposti –</w:t>
      </w:r>
      <w:r w:rsidR="0096509C" w:rsidRPr="00117047">
        <w:rPr>
          <w:rFonts w:ascii="Times New Roman" w:hAnsi="Times New Roman" w:cs="Times New Roman"/>
        </w:rPr>
        <w:t xml:space="preserve"> natura e sprit</w:t>
      </w:r>
      <w:r w:rsidRPr="00117047">
        <w:rPr>
          <w:rFonts w:ascii="Times New Roman" w:hAnsi="Times New Roman" w:cs="Times New Roman"/>
        </w:rPr>
        <w:t>o – nella loro identità e non-identità</w:t>
      </w:r>
      <w:r w:rsidR="002D165F">
        <w:rPr>
          <w:rStyle w:val="Rimandonotaapidipagina"/>
          <w:rFonts w:ascii="Times New Roman" w:hAnsi="Times New Roman" w:cs="Times New Roman"/>
        </w:rPr>
        <w:footnoteReference w:id="774"/>
      </w:r>
      <w:r w:rsidRPr="00117047">
        <w:rPr>
          <w:rFonts w:ascii="Times New Roman" w:hAnsi="Times New Roman" w:cs="Times New Roman"/>
        </w:rPr>
        <w:t>. Risibile è quel pensiero che si ferma alla dicotomia</w:t>
      </w:r>
      <w:r w:rsidR="009933FE" w:rsidRPr="00117047">
        <w:rPr>
          <w:rFonts w:ascii="Times New Roman" w:hAnsi="Times New Roman" w:cs="Times New Roman"/>
        </w:rPr>
        <w:t xml:space="preserve"> (riflessiva)</w:t>
      </w:r>
      <w:r w:rsidRPr="00117047">
        <w:rPr>
          <w:rFonts w:ascii="Times New Roman" w:hAnsi="Times New Roman" w:cs="Times New Roman"/>
        </w:rPr>
        <w:t xml:space="preserve"> fra polo oggettivo e soggettivo: «</w:t>
      </w:r>
      <w:r w:rsidRPr="00117047">
        <w:rPr>
          <w:rFonts w:ascii="Times New Roman" w:hAnsi="Times New Roman" w:cs="Times New Roman"/>
          <w:lang w:val="de-DE"/>
        </w:rPr>
        <w:t>es muß aber eigentlich weder von einem solchen Subjekte noch Objekte die Rede seyn, sondern von Geiste, und für diesen haben wir gesehen, wie er sich als Totalität zur Natur wird und wie er sich zum Geiste wird»</w:t>
      </w:r>
      <w:r w:rsidRPr="00117047">
        <w:rPr>
          <w:rStyle w:val="Rimandonotaapidipagina"/>
          <w:rFonts w:ascii="Times New Roman" w:hAnsi="Times New Roman" w:cs="Times New Roman"/>
          <w:lang w:val="de-DE"/>
        </w:rPr>
        <w:footnoteReference w:id="775"/>
      </w:r>
      <w:r w:rsidRPr="00117047">
        <w:rPr>
          <w:rFonts w:ascii="Times New Roman" w:hAnsi="Times New Roman" w:cs="Times New Roman"/>
          <w:lang w:val="de-DE"/>
        </w:rPr>
        <w:t xml:space="preserve">. </w:t>
      </w:r>
      <w:r w:rsidRPr="00117047">
        <w:rPr>
          <w:rFonts w:ascii="Times New Roman" w:hAnsi="Times New Roman" w:cs="Times New Roman"/>
        </w:rPr>
        <w:t>Assumendo un’espressione dello Hegel maturo, possiamo dire che</w:t>
      </w:r>
      <w:r w:rsidRPr="00117047">
        <w:rPr>
          <w:rFonts w:ascii="Times New Roman" w:hAnsi="Times New Roman" w:cs="Times New Roman"/>
          <w:lang w:val="de-DE"/>
        </w:rPr>
        <w:t xml:space="preserve"> </w:t>
      </w:r>
      <w:r w:rsidRPr="00117047">
        <w:rPr>
          <w:rFonts w:ascii="Times New Roman" w:hAnsi="Times New Roman" w:cs="Times New Roman"/>
          <w:i/>
        </w:rPr>
        <w:t>pensare oggettivamente</w:t>
      </w:r>
      <w:r w:rsidRPr="00117047">
        <w:rPr>
          <w:rFonts w:ascii="Times New Roman" w:hAnsi="Times New Roman" w:cs="Times New Roman"/>
        </w:rPr>
        <w:t xml:space="preserve"> significa cogliere la natura oggettiva del pensiero, il suo penetrare, scandendone la logica interna e l’intrinseca vitalità, l’</w:t>
      </w:r>
      <w:r w:rsidRPr="00117047">
        <w:rPr>
          <w:rFonts w:ascii="Times New Roman" w:hAnsi="Times New Roman" w:cs="Times New Roman"/>
          <w:i/>
        </w:rPr>
        <w:t xml:space="preserve">oggettività </w:t>
      </w:r>
      <w:r w:rsidRPr="00117047">
        <w:rPr>
          <w:rFonts w:ascii="Times New Roman" w:hAnsi="Times New Roman" w:cs="Times New Roman"/>
        </w:rPr>
        <w:t xml:space="preserve">e la </w:t>
      </w:r>
      <w:r w:rsidRPr="00117047">
        <w:rPr>
          <w:rFonts w:ascii="Times New Roman" w:hAnsi="Times New Roman" w:cs="Times New Roman"/>
          <w:i/>
        </w:rPr>
        <w:t>soggettività</w:t>
      </w:r>
      <w:r w:rsidRPr="00117047">
        <w:rPr>
          <w:rFonts w:ascii="Times New Roman" w:hAnsi="Times New Roman" w:cs="Times New Roman"/>
        </w:rPr>
        <w:t>, che accolgono lo stesso contenuto e lo esibiscono e riflettono secondo specifiche modalità formali</w:t>
      </w:r>
      <w:r w:rsidRPr="00117047">
        <w:rPr>
          <w:rStyle w:val="Rimandonotaapidipagina"/>
          <w:rFonts w:ascii="Times New Roman" w:hAnsi="Times New Roman" w:cs="Times New Roman"/>
        </w:rPr>
        <w:footnoteReference w:id="776"/>
      </w:r>
      <w:r w:rsidRPr="00117047">
        <w:rPr>
          <w:rFonts w:ascii="Times New Roman" w:hAnsi="Times New Roman" w:cs="Times New Roman"/>
        </w:rPr>
        <w:t>. L’</w:t>
      </w:r>
      <w:r w:rsidR="009933FE" w:rsidRPr="00117047">
        <w:rPr>
          <w:rFonts w:ascii="Times New Roman" w:hAnsi="Times New Roman" w:cs="Times New Roman"/>
        </w:rPr>
        <w:t xml:space="preserve">Idea </w:t>
      </w:r>
      <w:r w:rsidRPr="00117047">
        <w:rPr>
          <w:rFonts w:ascii="Times New Roman" w:hAnsi="Times New Roman" w:cs="Times New Roman"/>
        </w:rPr>
        <w:t xml:space="preserve">è </w:t>
      </w:r>
      <w:r w:rsidR="00380F5B" w:rsidRPr="00117047">
        <w:rPr>
          <w:rFonts w:ascii="Times New Roman" w:hAnsi="Times New Roman" w:cs="Times New Roman"/>
        </w:rPr>
        <w:t xml:space="preserve">superamento, </w:t>
      </w:r>
      <w:r w:rsidRPr="00117047">
        <w:rPr>
          <w:rFonts w:ascii="Times New Roman" w:hAnsi="Times New Roman" w:cs="Times New Roman"/>
        </w:rPr>
        <w:t>e</w:t>
      </w:r>
      <w:r w:rsidR="00380F5B" w:rsidRPr="00117047">
        <w:rPr>
          <w:rFonts w:ascii="Times New Roman" w:hAnsi="Times New Roman" w:cs="Times New Roman"/>
        </w:rPr>
        <w:t>sposizione e</w:t>
      </w:r>
      <w:r w:rsidRPr="00117047">
        <w:rPr>
          <w:rFonts w:ascii="Times New Roman" w:hAnsi="Times New Roman" w:cs="Times New Roman"/>
        </w:rPr>
        <w:t xml:space="preserve"> risoluzione </w:t>
      </w:r>
      <w:r w:rsidR="00380F5B" w:rsidRPr="00117047">
        <w:rPr>
          <w:rFonts w:ascii="Times New Roman" w:hAnsi="Times New Roman" w:cs="Times New Roman"/>
        </w:rPr>
        <w:t>dell’opposizione</w:t>
      </w:r>
      <w:r w:rsidRPr="00117047">
        <w:rPr>
          <w:rFonts w:ascii="Times New Roman" w:hAnsi="Times New Roman" w:cs="Times New Roman"/>
        </w:rPr>
        <w:t xml:space="preserve"> nell’Identità assoluta: essa è il fondamento da cui si </w:t>
      </w:r>
      <w:r w:rsidR="0046148D" w:rsidRPr="00117047">
        <w:rPr>
          <w:rFonts w:ascii="Times New Roman" w:hAnsi="Times New Roman" w:cs="Times New Roman"/>
        </w:rPr>
        <w:t xml:space="preserve">articolano </w:t>
      </w:r>
      <w:r w:rsidRPr="00117047">
        <w:rPr>
          <w:rFonts w:ascii="Times New Roman" w:hAnsi="Times New Roman" w:cs="Times New Roman"/>
        </w:rPr>
        <w:t xml:space="preserve">e a cui sono ricondotti </w:t>
      </w:r>
      <w:r w:rsidRPr="00117047">
        <w:rPr>
          <w:rFonts w:ascii="Times New Roman" w:hAnsi="Times New Roman" w:cs="Times New Roman"/>
          <w:i/>
        </w:rPr>
        <w:t>natura</w:t>
      </w:r>
      <w:r w:rsidRPr="00117047">
        <w:rPr>
          <w:rFonts w:ascii="Times New Roman" w:hAnsi="Times New Roman" w:cs="Times New Roman"/>
        </w:rPr>
        <w:t xml:space="preserve"> e </w:t>
      </w:r>
      <w:r w:rsidRPr="00117047">
        <w:rPr>
          <w:rFonts w:ascii="Times New Roman" w:hAnsi="Times New Roman" w:cs="Times New Roman"/>
          <w:i/>
        </w:rPr>
        <w:t>spirito</w:t>
      </w:r>
      <w:r w:rsidRPr="00117047">
        <w:rPr>
          <w:rFonts w:ascii="Times New Roman" w:hAnsi="Times New Roman" w:cs="Times New Roman"/>
        </w:rPr>
        <w:t>.</w:t>
      </w:r>
      <w:r w:rsidRPr="000058DD">
        <w:rPr>
          <w:rFonts w:ascii="Times New Roman" w:hAnsi="Times New Roman" w:cs="Times New Roman"/>
        </w:rPr>
        <w:t xml:space="preserve"> </w:t>
      </w:r>
    </w:p>
    <w:p w14:paraId="213FDC21" w14:textId="2B57B55B" w:rsidR="001B7751" w:rsidRPr="00545AE4" w:rsidRDefault="001B7751" w:rsidP="001B7751">
      <w:pPr>
        <w:spacing w:line="360" w:lineRule="auto"/>
        <w:ind w:firstLine="567"/>
        <w:jc w:val="both"/>
        <w:rPr>
          <w:rFonts w:ascii="Times New Roman" w:hAnsi="Times New Roman" w:cs="Times New Roman"/>
          <w:lang w:val="de-DE"/>
        </w:rPr>
      </w:pPr>
      <w:r w:rsidRPr="002A5629">
        <w:rPr>
          <w:rFonts w:ascii="Times New Roman" w:hAnsi="Times New Roman" w:cs="Times New Roman"/>
        </w:rPr>
        <w:t>Ragione, storia e tempo</w:t>
      </w:r>
      <w:r w:rsidR="0066477D">
        <w:rPr>
          <w:rFonts w:ascii="Times New Roman" w:hAnsi="Times New Roman" w:cs="Times New Roman"/>
        </w:rPr>
        <w:t xml:space="preserve"> </w:t>
      </w:r>
      <w:r w:rsidRPr="002A5629">
        <w:rPr>
          <w:rFonts w:ascii="Times New Roman" w:hAnsi="Times New Roman" w:cs="Times New Roman"/>
        </w:rPr>
        <w:t xml:space="preserve">sembrano escludersi vicendevolmente. In realtà, già dal </w:t>
      </w:r>
      <w:r w:rsidRPr="002A5629">
        <w:rPr>
          <w:rFonts w:ascii="Times New Roman" w:hAnsi="Times New Roman" w:cs="Times New Roman"/>
          <w:i/>
        </w:rPr>
        <w:t>Differenzschrift</w:t>
      </w:r>
      <w:r w:rsidRPr="002A5629">
        <w:rPr>
          <w:rFonts w:ascii="Times New Roman" w:hAnsi="Times New Roman" w:cs="Times New Roman"/>
        </w:rPr>
        <w:t>, si capisce che Hegel non ha in mente una cesura netta fra questi termini del discorso</w:t>
      </w:r>
      <w:r w:rsidRPr="00CC6289">
        <w:rPr>
          <w:rFonts w:ascii="Times New Roman" w:hAnsi="Times New Roman" w:cs="Times New Roman"/>
        </w:rPr>
        <w:t>: il fatto che un contenuto sia in-sé-e-per-sé fondato, non preclude, in linea teorica, una sua apprensione nella storia e nel tempo</w:t>
      </w:r>
      <w:r w:rsidRPr="001F2627">
        <w:rPr>
          <w:rStyle w:val="Rimandonotaapidipagina"/>
          <w:rFonts w:ascii="Times New Roman" w:hAnsi="Times New Roman" w:cs="Times New Roman"/>
        </w:rPr>
        <w:footnoteReference w:id="777"/>
      </w:r>
      <w:r w:rsidRPr="001F2627">
        <w:rPr>
          <w:rFonts w:ascii="Times New Roman" w:hAnsi="Times New Roman" w:cs="Times New Roman"/>
        </w:rPr>
        <w:t>. Su</w:t>
      </w:r>
      <w:r>
        <w:rPr>
          <w:rFonts w:ascii="Times New Roman" w:hAnsi="Times New Roman" w:cs="Times New Roman"/>
        </w:rPr>
        <w:t xml:space="preserve"> questo punto, He</w:t>
      </w:r>
      <w:r w:rsidR="0046148D">
        <w:rPr>
          <w:rFonts w:ascii="Times New Roman" w:hAnsi="Times New Roman" w:cs="Times New Roman"/>
        </w:rPr>
        <w:t>gel si pronuncia già nel 1805/</w:t>
      </w:r>
      <w:r>
        <w:rPr>
          <w:rFonts w:ascii="Times New Roman" w:hAnsi="Times New Roman" w:cs="Times New Roman"/>
        </w:rPr>
        <w:t xml:space="preserve">06, in occasione delle </w:t>
      </w:r>
      <w:r w:rsidRPr="00545AE4">
        <w:rPr>
          <w:rFonts w:ascii="Times New Roman" w:hAnsi="Times New Roman" w:cs="Times New Roman"/>
          <w:i/>
          <w:lang w:val="de-DE"/>
        </w:rPr>
        <w:t>Vorlesungen über die Naturphilosophie und die Philosophie des Geistes</w:t>
      </w:r>
      <w:r w:rsidRPr="00545AE4">
        <w:rPr>
          <w:rFonts w:ascii="Times New Roman" w:hAnsi="Times New Roman" w:cs="Times New Roman"/>
          <w:lang w:val="de-DE"/>
        </w:rPr>
        <w:t>:</w:t>
      </w:r>
    </w:p>
    <w:p w14:paraId="29EC9656" w14:textId="77777777" w:rsidR="001B7751" w:rsidRDefault="001B7751" w:rsidP="001B7751">
      <w:pPr>
        <w:spacing w:line="360" w:lineRule="auto"/>
        <w:ind w:left="567" w:firstLine="567"/>
        <w:jc w:val="both"/>
        <w:rPr>
          <w:rFonts w:ascii="Times New Roman" w:hAnsi="Times New Roman" w:cs="Times New Roman"/>
        </w:rPr>
      </w:pPr>
    </w:p>
    <w:p w14:paraId="74502B7E" w14:textId="77777777" w:rsidR="001B7751" w:rsidRDefault="001B7751" w:rsidP="001B7751">
      <w:pPr>
        <w:spacing w:line="360" w:lineRule="auto"/>
        <w:ind w:left="567" w:firstLine="567"/>
        <w:jc w:val="both"/>
        <w:rPr>
          <w:rFonts w:ascii="Times New Roman" w:hAnsi="Times New Roman" w:cs="Times New Roman"/>
          <w:lang w:val="de-DE"/>
        </w:rPr>
      </w:pPr>
      <w:r w:rsidRPr="00AA3AB2">
        <w:rPr>
          <w:rFonts w:ascii="Times New Roman" w:hAnsi="Times New Roman" w:cs="Times New Roman"/>
        </w:rPr>
        <w:t>«</w:t>
      </w:r>
      <w:r w:rsidRPr="00AA3AB2">
        <w:rPr>
          <w:rFonts w:ascii="Times New Roman" w:hAnsi="Times New Roman" w:cs="Times New Roman"/>
          <w:sz w:val="20"/>
          <w:szCs w:val="20"/>
          <w:lang w:val="de-DE"/>
        </w:rPr>
        <w:t>Die Zeit ist der reine Begriff […] ehe die erfüllte Zeit ist, ist die Zeit gar nicht – Ihre Erfüllung ist das Wirkliche aus der leeren Zeit in sich Zurückgekehrte […] Diese Entzweiung ist das ewige Erschaffen, d. h. das Erschaffen des Begriffes des Geistes – diese sich und ihr Gegenstand selbst tragende Substanz des Begriffes. – Das Universum, so unmittelbar frei vom Geiste, aber muß zu ihm zurückkehren – oder vielmehr sein ist das Thun, diese Bewegung – er hat sich die Einheit herzustellen – ebenso in Form der Unmittelbarkeit, er ist die Weltgeschichte. In ihr hebt sich diese auf, daß nur an sich die Natur und Geist ein Wesen ist – der Geist wird zum Wissen derselben»</w:t>
      </w:r>
      <w:r w:rsidRPr="00AA3AB2">
        <w:rPr>
          <w:rStyle w:val="Rimandonotaapidipagina"/>
          <w:rFonts w:ascii="Times New Roman" w:hAnsi="Times New Roman" w:cs="Times New Roman"/>
          <w:sz w:val="20"/>
          <w:szCs w:val="20"/>
          <w:lang w:val="de-DE"/>
        </w:rPr>
        <w:footnoteReference w:id="778"/>
      </w:r>
      <w:r w:rsidRPr="00AA3AB2">
        <w:rPr>
          <w:rFonts w:ascii="Times New Roman" w:hAnsi="Times New Roman" w:cs="Times New Roman"/>
          <w:sz w:val="20"/>
          <w:szCs w:val="20"/>
          <w:lang w:val="de-DE"/>
        </w:rPr>
        <w:t>.</w:t>
      </w:r>
    </w:p>
    <w:p w14:paraId="42A18133" w14:textId="77777777" w:rsidR="001B7751" w:rsidRDefault="001B7751" w:rsidP="001B7751">
      <w:pPr>
        <w:spacing w:line="360" w:lineRule="auto"/>
        <w:ind w:left="567" w:firstLine="567"/>
        <w:jc w:val="both"/>
        <w:rPr>
          <w:rFonts w:ascii="Times New Roman" w:hAnsi="Times New Roman" w:cs="Times New Roman"/>
          <w:lang w:val="de-DE"/>
        </w:rPr>
      </w:pPr>
    </w:p>
    <w:p w14:paraId="48E66841" w14:textId="1345B636" w:rsidR="001B7751" w:rsidRPr="004E271D" w:rsidRDefault="001B7751" w:rsidP="001B7751">
      <w:pPr>
        <w:spacing w:line="360" w:lineRule="auto"/>
        <w:ind w:firstLine="567"/>
        <w:jc w:val="both"/>
        <w:rPr>
          <w:rFonts w:ascii="Times New Roman" w:hAnsi="Times New Roman" w:cs="Times New Roman"/>
          <w:lang w:val="de-DE"/>
        </w:rPr>
      </w:pPr>
      <w:r>
        <w:rPr>
          <w:rFonts w:ascii="Times New Roman" w:hAnsi="Times New Roman" w:cs="Times New Roman"/>
        </w:rPr>
        <w:t xml:space="preserve"> </w:t>
      </w:r>
      <w:r w:rsidRPr="0017612C">
        <w:rPr>
          <w:rFonts w:ascii="Times New Roman" w:hAnsi="Times New Roman" w:cs="Times New Roman"/>
        </w:rPr>
        <w:t>Se privato di contenuto, il tempo sarebbe vuoto, privo di movimento e sviluppo. Ma il tempo è innervato dal concetto: nel</w:t>
      </w:r>
      <w:r>
        <w:rPr>
          <w:rFonts w:ascii="Times New Roman" w:hAnsi="Times New Roman" w:cs="Times New Roman"/>
        </w:rPr>
        <w:t xml:space="preserve"> suo eterno creare, esso è produzione della scissione, rimarginazione e apprensione della medesima nel </w:t>
      </w:r>
      <w:r w:rsidRPr="00E46D95">
        <w:rPr>
          <w:rFonts w:ascii="Times New Roman" w:hAnsi="Times New Roman" w:cs="Times New Roman"/>
          <w:i/>
        </w:rPr>
        <w:t>pensiero</w:t>
      </w:r>
      <w:r>
        <w:rPr>
          <w:rFonts w:ascii="Times New Roman" w:hAnsi="Times New Roman" w:cs="Times New Roman"/>
        </w:rPr>
        <w:t xml:space="preserve">. La </w:t>
      </w:r>
      <w:r w:rsidRPr="00A60096">
        <w:rPr>
          <w:rFonts w:ascii="Times New Roman" w:hAnsi="Times New Roman" w:cs="Times New Roman"/>
          <w:i/>
        </w:rPr>
        <w:t>Weltgeschichte</w:t>
      </w:r>
      <w:r>
        <w:rPr>
          <w:rFonts w:ascii="Times New Roman" w:hAnsi="Times New Roman" w:cs="Times New Roman"/>
        </w:rPr>
        <w:t xml:space="preserve"> è il </w:t>
      </w:r>
      <w:r w:rsidRPr="00E46D95">
        <w:rPr>
          <w:rFonts w:ascii="Times New Roman" w:hAnsi="Times New Roman" w:cs="Times New Roman"/>
          <w:i/>
        </w:rPr>
        <w:t>farsi</w:t>
      </w:r>
      <w:r>
        <w:rPr>
          <w:rFonts w:ascii="Times New Roman" w:hAnsi="Times New Roman" w:cs="Times New Roman"/>
        </w:rPr>
        <w:t xml:space="preserve"> di questo processo risolutivo della </w:t>
      </w:r>
      <w:r w:rsidRPr="005B4A78">
        <w:rPr>
          <w:rFonts w:ascii="Times New Roman" w:hAnsi="Times New Roman" w:cs="Times New Roman"/>
          <w:i/>
        </w:rPr>
        <w:t>Entzweiung</w:t>
      </w:r>
      <w:r>
        <w:rPr>
          <w:rFonts w:ascii="Times New Roman" w:hAnsi="Times New Roman" w:cs="Times New Roman"/>
        </w:rPr>
        <w:t>: n</w:t>
      </w:r>
      <w:r w:rsidRPr="00A60096">
        <w:rPr>
          <w:rFonts w:ascii="Times New Roman" w:hAnsi="Times New Roman" w:cs="Times New Roman"/>
        </w:rPr>
        <w:t>el tempo</w:t>
      </w:r>
      <w:r>
        <w:rPr>
          <w:rFonts w:ascii="Times New Roman" w:hAnsi="Times New Roman" w:cs="Times New Roman"/>
        </w:rPr>
        <w:t xml:space="preserve"> storico si toglie l’opposizione di natura e spirito e la loro unità, da principio ancora in sé, diviene </w:t>
      </w:r>
      <w:r w:rsidRPr="00185455">
        <w:rPr>
          <w:rFonts w:ascii="Times New Roman" w:hAnsi="Times New Roman" w:cs="Times New Roman"/>
          <w:i/>
        </w:rPr>
        <w:t xml:space="preserve">sapere </w:t>
      </w:r>
      <w:r>
        <w:rPr>
          <w:rFonts w:ascii="Times New Roman" w:hAnsi="Times New Roman" w:cs="Times New Roman"/>
          <w:i/>
        </w:rPr>
        <w:t>auto</w:t>
      </w:r>
      <w:r w:rsidRPr="00185455">
        <w:rPr>
          <w:rFonts w:ascii="Times New Roman" w:hAnsi="Times New Roman" w:cs="Times New Roman"/>
          <w:i/>
        </w:rPr>
        <w:t>cosciente</w:t>
      </w:r>
      <w:r>
        <w:rPr>
          <w:rFonts w:ascii="Times New Roman" w:hAnsi="Times New Roman" w:cs="Times New Roman"/>
        </w:rPr>
        <w:t xml:space="preserve">. </w:t>
      </w:r>
      <w:r w:rsidRPr="003D5B24">
        <w:rPr>
          <w:rFonts w:ascii="Times New Roman" w:hAnsi="Times New Roman" w:cs="Times New Roman"/>
        </w:rPr>
        <w:t xml:space="preserve">Superata e tolta l’opposizione fra soggettivo e oggettivo, lo spirito apprende temporalmente ciò che è senza tempo, il </w:t>
      </w:r>
      <w:r w:rsidRPr="002E0EDF">
        <w:rPr>
          <w:rFonts w:ascii="Times New Roman" w:hAnsi="Times New Roman" w:cs="Times New Roman"/>
        </w:rPr>
        <w:t>pensiero del</w:t>
      </w:r>
      <w:r w:rsidRPr="003D5B24">
        <w:rPr>
          <w:rFonts w:ascii="Times New Roman" w:hAnsi="Times New Roman" w:cs="Times New Roman"/>
        </w:rPr>
        <w:t xml:space="preserve"> tempo, se stesso come </w:t>
      </w:r>
      <w:r w:rsidRPr="003D5B24">
        <w:rPr>
          <w:rFonts w:ascii="Times New Roman" w:hAnsi="Times New Roman" w:cs="Times New Roman"/>
          <w:i/>
        </w:rPr>
        <w:t>concetto assoluto</w:t>
      </w:r>
      <w:r w:rsidRPr="003D5B24">
        <w:rPr>
          <w:rFonts w:ascii="Times New Roman" w:hAnsi="Times New Roman" w:cs="Times New Roman"/>
        </w:rPr>
        <w:t>.</w:t>
      </w:r>
      <w:r w:rsidRPr="00267C88">
        <w:rPr>
          <w:rFonts w:ascii="Times New Roman" w:hAnsi="Times New Roman" w:cs="Times New Roman"/>
        </w:rPr>
        <w:t xml:space="preserve"> Ciò che è sempre stato, l’altro del tempo, l’essere uno di spirito e natura nel </w:t>
      </w:r>
      <w:r w:rsidRPr="00741129">
        <w:rPr>
          <w:rFonts w:ascii="Times New Roman" w:hAnsi="Times New Roman" w:cs="Times New Roman"/>
        </w:rPr>
        <w:t>pensiero,</w:t>
      </w:r>
      <w:r w:rsidRPr="00267C88">
        <w:rPr>
          <w:rFonts w:ascii="Times New Roman" w:hAnsi="Times New Roman" w:cs="Times New Roman"/>
        </w:rPr>
        <w:t xml:space="preserve"> perviene </w:t>
      </w:r>
      <w:r w:rsidRPr="00677411">
        <w:rPr>
          <w:rFonts w:ascii="Times New Roman" w:hAnsi="Times New Roman" w:cs="Times New Roman"/>
        </w:rPr>
        <w:t>storicamente e concettualmente al</w:t>
      </w:r>
      <w:r w:rsidRPr="00267C88">
        <w:rPr>
          <w:rFonts w:ascii="Times New Roman" w:hAnsi="Times New Roman" w:cs="Times New Roman"/>
        </w:rPr>
        <w:t xml:space="preserve"> sapere di sé: l’implicito s’esplicita, il passato</w:t>
      </w:r>
      <w:r>
        <w:rPr>
          <w:rFonts w:ascii="Times New Roman" w:hAnsi="Times New Roman" w:cs="Times New Roman"/>
        </w:rPr>
        <w:t xml:space="preserve"> (la ragione</w:t>
      </w:r>
      <w:r w:rsidRPr="00267C88">
        <w:rPr>
          <w:rFonts w:ascii="Times New Roman" w:hAnsi="Times New Roman" w:cs="Times New Roman"/>
        </w:rPr>
        <w:t>) diventa presente, il rimosso torna ad essere ricordato</w:t>
      </w:r>
      <w:r w:rsidRPr="00267C88">
        <w:rPr>
          <w:rStyle w:val="Rimandonotaapidipagina"/>
          <w:rFonts w:ascii="Times New Roman" w:hAnsi="Times New Roman" w:cs="Times New Roman"/>
        </w:rPr>
        <w:footnoteReference w:id="779"/>
      </w:r>
      <w:r w:rsidRPr="00267C88">
        <w:rPr>
          <w:rFonts w:ascii="Times New Roman" w:hAnsi="Times New Roman" w:cs="Times New Roman"/>
        </w:rPr>
        <w:t>.</w:t>
      </w:r>
      <w:r>
        <w:rPr>
          <w:rFonts w:ascii="Times New Roman" w:hAnsi="Times New Roman" w:cs="Times New Roman"/>
        </w:rPr>
        <w:t xml:space="preserve"> Questo è il senso e lo sviluppo ulteriore del famoso passaggio dei </w:t>
      </w:r>
      <w:r w:rsidRPr="00545AE4">
        <w:rPr>
          <w:rFonts w:ascii="Times New Roman" w:hAnsi="Times New Roman" w:cs="Times New Roman"/>
          <w:i/>
          <w:lang w:val="de-DE"/>
        </w:rPr>
        <w:t>Grundlinien der Philosophie des Rechts</w:t>
      </w:r>
      <w:r>
        <w:rPr>
          <w:rFonts w:ascii="Times New Roman" w:hAnsi="Times New Roman" w:cs="Times New Roman"/>
        </w:rPr>
        <w:t>,</w:t>
      </w:r>
      <w:r>
        <w:rPr>
          <w:rFonts w:ascii="Times New Roman" w:hAnsi="Times New Roman" w:cs="Times New Roman"/>
          <w:i/>
        </w:rPr>
        <w:t xml:space="preserve"> </w:t>
      </w:r>
      <w:r>
        <w:rPr>
          <w:rFonts w:ascii="Times New Roman" w:hAnsi="Times New Roman" w:cs="Times New Roman"/>
        </w:rPr>
        <w:t xml:space="preserve">in cui Hegel sostiene che </w:t>
      </w:r>
      <w:r w:rsidRPr="00AA3AB2">
        <w:rPr>
          <w:rFonts w:ascii="Times New Roman" w:hAnsi="Times New Roman" w:cs="Times New Roman"/>
        </w:rPr>
        <w:t>«</w:t>
      </w:r>
      <w:r w:rsidRPr="00AA3AB2">
        <w:rPr>
          <w:rFonts w:ascii="Times New Roman" w:hAnsi="Times New Roman" w:cs="Times New Roman"/>
          <w:lang w:val="de-DE"/>
        </w:rPr>
        <w:t>was vernünftig ist, das ist wirklich, und was wirklich ist, das ist vernünftig»</w:t>
      </w:r>
      <w:r w:rsidRPr="00AA3AB2">
        <w:rPr>
          <w:rStyle w:val="Rimandonotaapidipagina"/>
          <w:rFonts w:ascii="Times New Roman" w:hAnsi="Times New Roman" w:cs="Times New Roman"/>
          <w:lang w:val="de-DE"/>
        </w:rPr>
        <w:footnoteReference w:id="780"/>
      </w:r>
      <w:r w:rsidRPr="00AA3AB2">
        <w:rPr>
          <w:rFonts w:ascii="Times New Roman" w:hAnsi="Times New Roman" w:cs="Times New Roman"/>
          <w:lang w:val="de-DE"/>
        </w:rPr>
        <w:t>.</w:t>
      </w:r>
      <w:r>
        <w:rPr>
          <w:rFonts w:ascii="Times New Roman" w:hAnsi="Times New Roman" w:cs="Times New Roman"/>
          <w:lang w:val="de-DE"/>
        </w:rPr>
        <w:t xml:space="preserve"> </w:t>
      </w:r>
      <w:r>
        <w:rPr>
          <w:rFonts w:ascii="Times New Roman" w:hAnsi="Times New Roman" w:cs="Times New Roman"/>
        </w:rPr>
        <w:t>C</w:t>
      </w:r>
      <w:r w:rsidRPr="004E661B">
        <w:rPr>
          <w:rFonts w:ascii="Times New Roman" w:hAnsi="Times New Roman" w:cs="Times New Roman"/>
        </w:rPr>
        <w:t xml:space="preserve">iò che è </w:t>
      </w:r>
      <w:r w:rsidRPr="00946DA2">
        <w:rPr>
          <w:rFonts w:ascii="Times New Roman" w:hAnsi="Times New Roman" w:cs="Times New Roman"/>
        </w:rPr>
        <w:t>razionale è</w:t>
      </w:r>
      <w:r w:rsidRPr="00946DA2">
        <w:rPr>
          <w:rFonts w:ascii="Times New Roman" w:hAnsi="Times New Roman" w:cs="Times New Roman"/>
          <w:lang w:val="de-DE"/>
        </w:rPr>
        <w:t xml:space="preserve"> </w:t>
      </w:r>
      <w:r w:rsidRPr="00946DA2">
        <w:rPr>
          <w:rFonts w:ascii="Times New Roman" w:hAnsi="Times New Roman" w:cs="Times New Roman"/>
        </w:rPr>
        <w:t xml:space="preserve">attualizzato nello spazio ed è attraverso il tempo che esso, progressivamente, perviene al sapere di sé. È nella filosofia, intesa come apprensione </w:t>
      </w:r>
      <w:r w:rsidR="00927440" w:rsidRPr="00946DA2">
        <w:rPr>
          <w:rFonts w:ascii="Times New Roman" w:hAnsi="Times New Roman" w:cs="Times New Roman"/>
        </w:rPr>
        <w:t>storico-</w:t>
      </w:r>
      <w:r w:rsidRPr="00946DA2">
        <w:rPr>
          <w:rFonts w:ascii="Times New Roman" w:hAnsi="Times New Roman" w:cs="Times New Roman"/>
        </w:rPr>
        <w:t>concettuale dell’Idea,</w:t>
      </w:r>
      <w:r w:rsidRPr="00E35BE0">
        <w:rPr>
          <w:rFonts w:ascii="Times New Roman" w:hAnsi="Times New Roman" w:cs="Times New Roman"/>
        </w:rPr>
        <w:t xml:space="preserve"> che è colta la struttura logico-razionale su cui si regge l’</w:t>
      </w:r>
      <w:r w:rsidRPr="00E35BE0">
        <w:rPr>
          <w:rFonts w:ascii="Times New Roman" w:hAnsi="Times New Roman" w:cs="Times New Roman"/>
          <w:i/>
        </w:rPr>
        <w:t>effettuale</w:t>
      </w:r>
      <w:r w:rsidRPr="00E35BE0">
        <w:rPr>
          <w:rFonts w:ascii="Times New Roman" w:hAnsi="Times New Roman" w:cs="Times New Roman"/>
        </w:rPr>
        <w:t>.</w:t>
      </w:r>
      <w:r>
        <w:rPr>
          <w:rFonts w:ascii="Times New Roman" w:hAnsi="Times New Roman" w:cs="Times New Roman"/>
        </w:rPr>
        <w:t xml:space="preserve"> Avendo un unico oggetto d’indagine, Hegel può dire – come nell’</w:t>
      </w:r>
      <w:r w:rsidRPr="00DF5F32">
        <w:rPr>
          <w:rFonts w:ascii="Times New Roman" w:hAnsi="Times New Roman" w:cs="Times New Roman"/>
          <w:i/>
        </w:rPr>
        <w:t>Enzyklopädie</w:t>
      </w:r>
      <w:r>
        <w:rPr>
          <w:rFonts w:ascii="Times New Roman" w:hAnsi="Times New Roman" w:cs="Times New Roman"/>
        </w:rPr>
        <w:t xml:space="preserve"> (1827 e 1830) – che vi è </w:t>
      </w:r>
      <w:r w:rsidRPr="00AA3AB2">
        <w:rPr>
          <w:rFonts w:ascii="Times New Roman" w:hAnsi="Times New Roman" w:cs="Times New Roman"/>
        </w:rPr>
        <w:t>«eine Philosophie auf verschiedenen Ausbildungsstufen</w:t>
      </w:r>
      <w:r w:rsidRPr="00AA3AB2">
        <w:rPr>
          <w:rFonts w:ascii="Times New Roman" w:hAnsi="Times New Roman" w:cs="Times New Roman"/>
          <w:lang w:val="de-DE"/>
        </w:rPr>
        <w:t>»</w:t>
      </w:r>
      <w:r w:rsidRPr="00AA3AB2">
        <w:rPr>
          <w:rStyle w:val="Rimandonotaapidipagina"/>
          <w:rFonts w:ascii="Times New Roman" w:hAnsi="Times New Roman" w:cs="Times New Roman"/>
        </w:rPr>
        <w:footnoteReference w:id="781"/>
      </w:r>
      <w:r w:rsidRPr="00AA3AB2">
        <w:rPr>
          <w:rFonts w:ascii="Times New Roman" w:hAnsi="Times New Roman" w:cs="Times New Roman"/>
        </w:rPr>
        <w:t>, ossia «Zweige eines und desselben Ganzen</w:t>
      </w:r>
      <w:r w:rsidRPr="00AA3AB2">
        <w:rPr>
          <w:rFonts w:ascii="Times New Roman" w:hAnsi="Times New Roman" w:cs="Times New Roman"/>
          <w:lang w:val="de-DE"/>
        </w:rPr>
        <w:t>»</w:t>
      </w:r>
      <w:r w:rsidRPr="00AA3AB2">
        <w:rPr>
          <w:rStyle w:val="Rimandonotaapidipagina"/>
          <w:rFonts w:ascii="Times New Roman" w:hAnsi="Times New Roman" w:cs="Times New Roman"/>
        </w:rPr>
        <w:footnoteReference w:id="782"/>
      </w:r>
      <w:r w:rsidRPr="00AA3AB2">
        <w:rPr>
          <w:rFonts w:ascii="Times New Roman" w:hAnsi="Times New Roman" w:cs="Times New Roman"/>
          <w:lang w:val="de-DE"/>
        </w:rPr>
        <w:t>.</w:t>
      </w:r>
      <w:r>
        <w:rPr>
          <w:rFonts w:ascii="Times New Roman" w:hAnsi="Times New Roman" w:cs="Times New Roman"/>
          <w:lang w:val="de-DE"/>
        </w:rPr>
        <w:t xml:space="preserve"> </w:t>
      </w:r>
      <w:r>
        <w:rPr>
          <w:rFonts w:ascii="Times New Roman" w:hAnsi="Times New Roman" w:cs="Times New Roman"/>
        </w:rPr>
        <w:t xml:space="preserve">Attraverso un lavorio </w:t>
      </w:r>
      <w:r w:rsidRPr="00784125">
        <w:rPr>
          <w:rFonts w:ascii="Times New Roman" w:hAnsi="Times New Roman" w:cs="Times New Roman"/>
        </w:rPr>
        <w:t>plurisecolare</w:t>
      </w:r>
      <w:r>
        <w:rPr>
          <w:rFonts w:ascii="Times New Roman" w:hAnsi="Times New Roman" w:cs="Times New Roman"/>
        </w:rPr>
        <w:t xml:space="preserve">, lo spirito perviene a conoscersi, con gradi di complessità differenti, come Idea assoluta. Questo processo, che </w:t>
      </w:r>
      <w:r w:rsidRPr="00741129">
        <w:rPr>
          <w:rFonts w:ascii="Times New Roman" w:hAnsi="Times New Roman" w:cs="Times New Roman"/>
        </w:rPr>
        <w:t>si attua nel tempo, in</w:t>
      </w:r>
      <w:r>
        <w:rPr>
          <w:rFonts w:ascii="Times New Roman" w:hAnsi="Times New Roman" w:cs="Times New Roman"/>
        </w:rPr>
        <w:t xml:space="preserve"> una dimensione precipua, non accessoria, dell’</w:t>
      </w:r>
      <w:r w:rsidRPr="00E35BE0">
        <w:rPr>
          <w:rFonts w:ascii="Times New Roman" w:hAnsi="Times New Roman" w:cs="Times New Roman"/>
        </w:rPr>
        <w:t>«</w:t>
      </w:r>
      <w:r>
        <w:rPr>
          <w:rFonts w:ascii="Times New Roman" w:hAnsi="Times New Roman" w:cs="Times New Roman"/>
        </w:rPr>
        <w:t>Ewige, das gegenwärtig ist</w:t>
      </w:r>
      <w:r w:rsidRPr="00E35BE0">
        <w:rPr>
          <w:rFonts w:ascii="Times New Roman" w:hAnsi="Times New Roman" w:cs="Times New Roman"/>
          <w:lang w:val="de-DE"/>
        </w:rPr>
        <w:t>»</w:t>
      </w:r>
      <w:r w:rsidRPr="00E35BE0">
        <w:rPr>
          <w:rStyle w:val="Rimandonotaapidipagina"/>
          <w:rFonts w:ascii="Times New Roman" w:hAnsi="Times New Roman" w:cs="Times New Roman"/>
          <w:lang w:val="de-DE"/>
        </w:rPr>
        <w:footnoteReference w:id="783"/>
      </w:r>
      <w:r w:rsidRPr="00E35BE0">
        <w:rPr>
          <w:rFonts w:ascii="Times New Roman" w:hAnsi="Times New Roman" w:cs="Times New Roman"/>
        </w:rPr>
        <w:t>,</w:t>
      </w:r>
      <w:r>
        <w:rPr>
          <w:rFonts w:ascii="Times New Roman" w:hAnsi="Times New Roman" w:cs="Times New Roman"/>
        </w:rPr>
        <w:t xml:space="preserve"> </w:t>
      </w:r>
      <w:r w:rsidRPr="005A113C">
        <w:rPr>
          <w:rFonts w:ascii="Times New Roman" w:hAnsi="Times New Roman" w:cs="Times New Roman"/>
        </w:rPr>
        <w:t>porta alla formazione di autocomprensioni eterogenee dell’Assoluto</w:t>
      </w:r>
      <w:r>
        <w:rPr>
          <w:rFonts w:ascii="Times New Roman" w:hAnsi="Times New Roman" w:cs="Times New Roman"/>
        </w:rPr>
        <w:t xml:space="preserve">. Dalla comprensione più elementare dell’Idea, quale si colloca ai primordi del pensiero filosofico, s’assiste ad un approfondimento </w:t>
      </w:r>
      <w:r w:rsidRPr="00E35BE0">
        <w:rPr>
          <w:rFonts w:ascii="Times New Roman" w:hAnsi="Times New Roman" w:cs="Times New Roman"/>
        </w:rPr>
        <w:t>storico</w:t>
      </w:r>
      <w:r>
        <w:rPr>
          <w:rFonts w:ascii="Times New Roman" w:hAnsi="Times New Roman" w:cs="Times New Roman"/>
        </w:rPr>
        <w:t xml:space="preserve"> e concettuale del pensiero filosofico, che raggiunge la sua massima ricchezza nella </w:t>
      </w:r>
      <w:r w:rsidRPr="00483A91">
        <w:rPr>
          <w:rFonts w:ascii="Times New Roman" w:hAnsi="Times New Roman" w:cs="Times New Roman"/>
        </w:rPr>
        <w:t>«der Zeit nach letzte Philosophie […] sie ist darum, wenn sie anders Philosophie ist, die entfalteste, reichste und konkreteste</w:t>
      </w:r>
      <w:r w:rsidRPr="00483A91">
        <w:rPr>
          <w:rFonts w:ascii="Times New Roman" w:hAnsi="Times New Roman" w:cs="Times New Roman"/>
          <w:lang w:val="de-DE"/>
        </w:rPr>
        <w:t>»</w:t>
      </w:r>
      <w:r w:rsidRPr="00483A91">
        <w:rPr>
          <w:rStyle w:val="Rimandonotaapidipagina"/>
          <w:rFonts w:ascii="Times New Roman" w:hAnsi="Times New Roman" w:cs="Times New Roman"/>
          <w:lang w:val="de-DE"/>
        </w:rPr>
        <w:footnoteReference w:id="784"/>
      </w:r>
      <w:r w:rsidRPr="00483A91">
        <w:rPr>
          <w:rFonts w:ascii="Times New Roman" w:hAnsi="Times New Roman" w:cs="Times New Roman"/>
          <w:lang w:val="de-DE"/>
        </w:rPr>
        <w:t>.</w:t>
      </w:r>
      <w:r>
        <w:rPr>
          <w:rFonts w:ascii="Times New Roman" w:hAnsi="Times New Roman" w:cs="Times New Roman"/>
          <w:lang w:val="de-DE"/>
        </w:rPr>
        <w:t xml:space="preserve"> </w:t>
      </w:r>
      <w:r w:rsidRPr="00C6470C">
        <w:rPr>
          <w:rFonts w:ascii="Times New Roman" w:hAnsi="Times New Roman" w:cs="Times New Roman"/>
          <w:lang w:val="de-DE"/>
        </w:rPr>
        <w:t>Da un punto di vista</w:t>
      </w:r>
      <w:r>
        <w:rPr>
          <w:rFonts w:ascii="Times New Roman" w:hAnsi="Times New Roman" w:cs="Times New Roman"/>
          <w:lang w:val="de-DE"/>
        </w:rPr>
        <w:t xml:space="preserve"> cronologico</w:t>
      </w:r>
      <w:r w:rsidRPr="00C6470C">
        <w:rPr>
          <w:rFonts w:ascii="Times New Roman" w:hAnsi="Times New Roman" w:cs="Times New Roman"/>
          <w:lang w:val="de-DE"/>
        </w:rPr>
        <w:t xml:space="preserve">, </w:t>
      </w:r>
      <w:r w:rsidRPr="00C6470C">
        <w:rPr>
          <w:rFonts w:ascii="Times New Roman" w:hAnsi="Times New Roman" w:cs="Times New Roman"/>
        </w:rPr>
        <w:t xml:space="preserve">l’ultima filosofia – quella di Hegel – è la più ricca </w:t>
      </w:r>
      <w:r>
        <w:rPr>
          <w:rFonts w:ascii="Times New Roman" w:hAnsi="Times New Roman" w:cs="Times New Roman"/>
        </w:rPr>
        <w:t xml:space="preserve">e sviluppata </w:t>
      </w:r>
      <w:r w:rsidRPr="00C6470C">
        <w:rPr>
          <w:rFonts w:ascii="Times New Roman" w:hAnsi="Times New Roman" w:cs="Times New Roman"/>
        </w:rPr>
        <w:t>di tutte, perché conserva in sé i risultati e i principi messi a punto da ciò che l’ha preceduta. Essa rappresenta l’ultimo</w:t>
      </w:r>
      <w:r>
        <w:rPr>
          <w:rFonts w:ascii="Times New Roman" w:hAnsi="Times New Roman" w:cs="Times New Roman"/>
        </w:rPr>
        <w:t xml:space="preserve"> – ma non per questo conclusivo – </w:t>
      </w:r>
      <w:r w:rsidRPr="00C6470C">
        <w:rPr>
          <w:rFonts w:ascii="Times New Roman" w:hAnsi="Times New Roman" w:cs="Times New Roman"/>
        </w:rPr>
        <w:t>momento dell’autocomprensione che la ragione matura storicamente di sé</w:t>
      </w:r>
      <w:r>
        <w:rPr>
          <w:rStyle w:val="Rimandonotaapidipagina"/>
          <w:rFonts w:ascii="Times New Roman" w:hAnsi="Times New Roman" w:cs="Times New Roman"/>
        </w:rPr>
        <w:footnoteReference w:id="785"/>
      </w:r>
      <w:r w:rsidRPr="00C6470C">
        <w:rPr>
          <w:rFonts w:ascii="Times New Roman" w:hAnsi="Times New Roman" w:cs="Times New Roman"/>
        </w:rPr>
        <w:t>.</w:t>
      </w:r>
    </w:p>
    <w:p w14:paraId="4A3A6093" w14:textId="747689EF" w:rsidR="001B7751" w:rsidRDefault="001B7751" w:rsidP="001B7751">
      <w:pPr>
        <w:spacing w:line="360" w:lineRule="auto"/>
        <w:ind w:firstLine="567"/>
        <w:jc w:val="both"/>
        <w:rPr>
          <w:rFonts w:ascii="Times New Roman" w:hAnsi="Times New Roman" w:cs="Times New Roman"/>
        </w:rPr>
      </w:pPr>
      <w:r w:rsidRPr="00E35BE0">
        <w:rPr>
          <w:rFonts w:ascii="Times New Roman" w:hAnsi="Times New Roman" w:cs="Times New Roman"/>
        </w:rPr>
        <w:t>Dagli scritti editi e inediti del periodo jenese, passando dall’</w:t>
      </w:r>
      <w:r w:rsidRPr="00E35BE0">
        <w:rPr>
          <w:rFonts w:ascii="Times New Roman" w:hAnsi="Times New Roman" w:cs="Times New Roman"/>
          <w:i/>
        </w:rPr>
        <w:t>Enzyklopädie</w:t>
      </w:r>
      <w:r w:rsidRPr="00E35BE0">
        <w:rPr>
          <w:rFonts w:ascii="Times New Roman" w:hAnsi="Times New Roman" w:cs="Times New Roman"/>
        </w:rPr>
        <w:t xml:space="preserve"> e dai </w:t>
      </w:r>
      <w:r w:rsidRPr="00E35BE0">
        <w:rPr>
          <w:rFonts w:ascii="Times New Roman" w:hAnsi="Times New Roman" w:cs="Times New Roman"/>
          <w:i/>
        </w:rPr>
        <w:t>Grundlinien</w:t>
      </w:r>
      <w:r w:rsidRPr="00E35BE0">
        <w:rPr>
          <w:rFonts w:ascii="Times New Roman" w:hAnsi="Times New Roman" w:cs="Times New Roman"/>
        </w:rPr>
        <w:t>, Hegel sviluppa – mantenendo alcune costanti – l’idea di una storicità del sapere filosofico</w:t>
      </w:r>
      <w:r>
        <w:rPr>
          <w:rFonts w:ascii="Times New Roman" w:hAnsi="Times New Roman" w:cs="Times New Roman"/>
        </w:rPr>
        <w:t xml:space="preserve">. Nella filosofia si dà a conoscere ciò che non è soggetto ad un accrescimento o mutamento di tipo quantitativo (storico in senso deteriore). Il vero, l’eterno, il razionale in-sé-e-per-sé, non è alieno dalla dimensione temporale. Sebbene non sia prodotto nel tempo, </w:t>
      </w:r>
      <w:r w:rsidRPr="00FA0CFA">
        <w:rPr>
          <w:rFonts w:ascii="Times New Roman" w:hAnsi="Times New Roman" w:cs="Times New Roman"/>
        </w:rPr>
        <w:t xml:space="preserve">l’eterno non può che </w:t>
      </w:r>
      <w:r w:rsidR="000A7052" w:rsidRPr="00FA0CFA">
        <w:rPr>
          <w:rFonts w:ascii="Times New Roman" w:hAnsi="Times New Roman" w:cs="Times New Roman"/>
        </w:rPr>
        <w:t>essere e venir</w:t>
      </w:r>
      <w:r w:rsidRPr="00FA0CFA">
        <w:rPr>
          <w:rFonts w:ascii="Times New Roman" w:hAnsi="Times New Roman" w:cs="Times New Roman"/>
        </w:rPr>
        <w:t xml:space="preserve"> appreso nel tempo. La</w:t>
      </w:r>
      <w:r w:rsidRPr="00E35BE0">
        <w:rPr>
          <w:rFonts w:ascii="Times New Roman" w:hAnsi="Times New Roman" w:cs="Times New Roman"/>
        </w:rPr>
        <w:t xml:space="preserve"> presenzialità dell’eterno e la sua auto</w:t>
      </w:r>
      <w:r w:rsidR="00FA0CFA">
        <w:rPr>
          <w:rFonts w:ascii="Times New Roman" w:hAnsi="Times New Roman" w:cs="Times New Roman"/>
        </w:rPr>
        <w:t>-</w:t>
      </w:r>
      <w:r w:rsidRPr="00E35BE0">
        <w:rPr>
          <w:rFonts w:ascii="Times New Roman" w:hAnsi="Times New Roman" w:cs="Times New Roman"/>
        </w:rPr>
        <w:t>comprensione razionale sono ciò che costituiscono il soggetto vivificatore e l’oggetto d</w:t>
      </w:r>
      <w:r>
        <w:rPr>
          <w:rFonts w:ascii="Times New Roman" w:hAnsi="Times New Roman" w:cs="Times New Roman"/>
        </w:rPr>
        <w:t>ell</w:t>
      </w:r>
      <w:r w:rsidRPr="00E35BE0">
        <w:rPr>
          <w:rFonts w:ascii="Times New Roman" w:hAnsi="Times New Roman" w:cs="Times New Roman"/>
        </w:rPr>
        <w:t>’indagine filosofi</w:t>
      </w:r>
      <w:r>
        <w:rPr>
          <w:rFonts w:ascii="Times New Roman" w:hAnsi="Times New Roman" w:cs="Times New Roman"/>
        </w:rPr>
        <w:t>c</w:t>
      </w:r>
      <w:r w:rsidRPr="00E35BE0">
        <w:rPr>
          <w:rFonts w:ascii="Times New Roman" w:hAnsi="Times New Roman" w:cs="Times New Roman"/>
        </w:rPr>
        <w:t>a.</w:t>
      </w:r>
      <w:r>
        <w:rPr>
          <w:rFonts w:ascii="Times New Roman" w:hAnsi="Times New Roman" w:cs="Times New Roman"/>
        </w:rPr>
        <w:t xml:space="preserve"> </w:t>
      </w:r>
      <w:r w:rsidRPr="002B0CFF">
        <w:rPr>
          <w:rFonts w:ascii="Times New Roman" w:hAnsi="Times New Roman" w:cs="Times New Roman"/>
        </w:rPr>
        <w:t xml:space="preserve">In quanto conoscenza temporalmente situata che la ragione sviluppa di se stessa, la filosofia ha una dimensione storica, a cui </w:t>
      </w:r>
      <w:r>
        <w:rPr>
          <w:rFonts w:ascii="Times New Roman" w:hAnsi="Times New Roman" w:cs="Times New Roman"/>
        </w:rPr>
        <w:t>corrisponde l</w:t>
      </w:r>
      <w:r w:rsidRPr="002B0CFF">
        <w:rPr>
          <w:rFonts w:ascii="Times New Roman" w:hAnsi="Times New Roman" w:cs="Times New Roman"/>
        </w:rPr>
        <w:t>a presa di coscienza ideale e progressiva dell</w:t>
      </w:r>
      <w:r>
        <w:rPr>
          <w:rFonts w:ascii="Times New Roman" w:hAnsi="Times New Roman" w:cs="Times New Roman"/>
        </w:rPr>
        <w:t>’</w:t>
      </w:r>
      <w:r w:rsidRPr="004A4784">
        <w:rPr>
          <w:rFonts w:ascii="Times New Roman" w:hAnsi="Times New Roman" w:cs="Times New Roman"/>
          <w:i/>
        </w:rPr>
        <w:t>oggettività</w:t>
      </w:r>
      <w:r>
        <w:rPr>
          <w:rFonts w:ascii="Times New Roman" w:hAnsi="Times New Roman" w:cs="Times New Roman"/>
        </w:rPr>
        <w:t xml:space="preserve"> </w:t>
      </w:r>
      <w:r w:rsidRPr="002B0CFF">
        <w:rPr>
          <w:rFonts w:ascii="Times New Roman" w:hAnsi="Times New Roman" w:cs="Times New Roman"/>
        </w:rPr>
        <w:t>del pensiero.</w:t>
      </w:r>
      <w:r>
        <w:rPr>
          <w:rFonts w:ascii="Times New Roman" w:hAnsi="Times New Roman" w:cs="Times New Roman"/>
        </w:rPr>
        <w:t xml:space="preserve"> Storicità e idealità sono le due facce </w:t>
      </w:r>
      <w:r w:rsidRPr="0036724B">
        <w:rPr>
          <w:rFonts w:ascii="Times New Roman" w:hAnsi="Times New Roman" w:cs="Times New Roman"/>
        </w:rPr>
        <w:t>della</w:t>
      </w:r>
      <w:r w:rsidRPr="0036724B">
        <w:rPr>
          <w:rFonts w:ascii="Times New Roman" w:hAnsi="Times New Roman" w:cs="Times New Roman"/>
          <w:lang w:val="de-DE"/>
        </w:rPr>
        <w:t xml:space="preserve"> storia della filosofia,</w:t>
      </w:r>
      <w:r>
        <w:rPr>
          <w:rFonts w:ascii="Times New Roman" w:hAnsi="Times New Roman" w:cs="Times New Roman"/>
        </w:rPr>
        <w:t xml:space="preserve"> che deve avere la capacità di seguire, ripercorrendole, le manifestazioni particolari a cui la ragione è andata incontro nel corso di duemila anni di sviluppo. La semplice progressione storica da filosofia a filosofia, da filosofo a filosofo e da predecessore a successore non sempre consente di valutare lo spessore </w:t>
      </w:r>
      <w:r w:rsidRPr="0036724B">
        <w:rPr>
          <w:rFonts w:ascii="Times New Roman" w:hAnsi="Times New Roman" w:cs="Times New Roman"/>
        </w:rPr>
        <w:t>teorico dei diversi sistemi</w:t>
      </w:r>
      <w:r>
        <w:rPr>
          <w:rFonts w:ascii="Times New Roman" w:hAnsi="Times New Roman" w:cs="Times New Roman"/>
        </w:rPr>
        <w:t xml:space="preserve"> di pensiero. </w:t>
      </w:r>
      <w:r w:rsidRPr="004A4784">
        <w:rPr>
          <w:rFonts w:ascii="Times New Roman" w:hAnsi="Times New Roman" w:cs="Times New Roman"/>
        </w:rPr>
        <w:t>Se in alcuni casi ciò che si colloca prima nel tempo ha comprensione più elementare e semplice dell’Assoluto (ad es. Parmenide), in altri casi ciò che dista secoli dalla propria contemporaneità storica può avere una conoscenza più articolata e profonda dell’Idea (ad es. Platone e Aristotele).</w:t>
      </w:r>
      <w:r>
        <w:rPr>
          <w:rFonts w:ascii="Times New Roman" w:hAnsi="Times New Roman" w:cs="Times New Roman"/>
        </w:rPr>
        <w:t xml:space="preserve"> Secondo Hegel, la collocazione temporalmente tarda di una filosofia non è sinonimo di una maggiore comprensione di sé da parte della ragione. In altre parole, non è detto ciò che viene dopo recup</w:t>
      </w:r>
      <w:r w:rsidR="00984A84">
        <w:rPr>
          <w:rFonts w:ascii="Times New Roman" w:hAnsi="Times New Roman" w:cs="Times New Roman"/>
        </w:rPr>
        <w:t>eri i principi e le acquisizioni</w:t>
      </w:r>
      <w:r>
        <w:rPr>
          <w:rFonts w:ascii="Times New Roman" w:hAnsi="Times New Roman" w:cs="Times New Roman"/>
        </w:rPr>
        <w:t xml:space="preserve"> del passato in modo da favorire un adeguato approfondimento dell’autocomprensione dell’Assoluto.</w:t>
      </w:r>
    </w:p>
    <w:p w14:paraId="3C97D4E0" w14:textId="77777777" w:rsidR="001B7751" w:rsidRDefault="001B7751" w:rsidP="001B7751">
      <w:pPr>
        <w:spacing w:line="360" w:lineRule="auto"/>
        <w:ind w:firstLine="567"/>
        <w:jc w:val="both"/>
        <w:rPr>
          <w:rFonts w:ascii="Times New Roman" w:hAnsi="Times New Roman" w:cs="Times New Roman"/>
        </w:rPr>
      </w:pPr>
      <w:r w:rsidRPr="00515CDA">
        <w:rPr>
          <w:rFonts w:ascii="Times New Roman" w:hAnsi="Times New Roman" w:cs="Times New Roman"/>
        </w:rPr>
        <w:t>Quest’ultima considerazione è applicabile, come vedremo</w:t>
      </w:r>
      <w:r>
        <w:rPr>
          <w:rFonts w:ascii="Times New Roman" w:hAnsi="Times New Roman" w:cs="Times New Roman"/>
        </w:rPr>
        <w:t xml:space="preserve"> adesso</w:t>
      </w:r>
      <w:r w:rsidRPr="00515CDA">
        <w:rPr>
          <w:rFonts w:ascii="Times New Roman" w:hAnsi="Times New Roman" w:cs="Times New Roman"/>
        </w:rPr>
        <w:t xml:space="preserve">, a quelle sezioni della storia della filosofia in cui è discussa la filosofia cabbalistica. </w:t>
      </w:r>
      <w:r>
        <w:rPr>
          <w:rFonts w:ascii="Times New Roman" w:hAnsi="Times New Roman" w:cs="Times New Roman"/>
        </w:rPr>
        <w:t>La p</w:t>
      </w:r>
      <w:r w:rsidRPr="00515CDA">
        <w:rPr>
          <w:rFonts w:ascii="Times New Roman" w:hAnsi="Times New Roman" w:cs="Times New Roman"/>
        </w:rPr>
        <w:t>rima testimonianza in cui Hegel discute la Qabbalah è il manoscritto Meyer del 1819. Discussa la filosofia di Filone d’Alessandria, Hegel osserva lapidariamente:</w:t>
      </w:r>
    </w:p>
    <w:p w14:paraId="27CE5750" w14:textId="77777777" w:rsidR="001B7751" w:rsidRDefault="001B7751" w:rsidP="001B7751">
      <w:pPr>
        <w:spacing w:line="360" w:lineRule="auto"/>
        <w:ind w:left="567" w:firstLine="567"/>
        <w:jc w:val="both"/>
        <w:rPr>
          <w:rFonts w:ascii="Times New Roman" w:hAnsi="Times New Roman" w:cs="Times New Roman"/>
        </w:rPr>
      </w:pPr>
    </w:p>
    <w:p w14:paraId="31F86BE9" w14:textId="77777777" w:rsidR="001B7751" w:rsidRPr="00D7779A" w:rsidRDefault="001B7751" w:rsidP="001B7751">
      <w:pPr>
        <w:spacing w:line="360" w:lineRule="auto"/>
        <w:ind w:left="567" w:firstLine="567"/>
        <w:jc w:val="both"/>
        <w:rPr>
          <w:rFonts w:ascii="Times New Roman" w:hAnsi="Times New Roman" w:cs="Times New Roman"/>
          <w:lang w:val="de-DE"/>
        </w:rPr>
      </w:pPr>
      <w:r w:rsidRPr="00D7779A">
        <w:rPr>
          <w:rFonts w:ascii="Times New Roman" w:hAnsi="Times New Roman" w:cs="Times New Roman"/>
          <w:sz w:val="20"/>
          <w:szCs w:val="20"/>
          <w:lang w:val="de-DE"/>
        </w:rPr>
        <w:t>«Von hier sind viele trübe Lehren ausfließend. So wohl auch die Kabbala, welche aus einem Buche fließen soll, das dem Adam zum Trost für den Sündenfall gegeben sein soll. In diesem Buch, das man nach vieler Muhe gefunden, und meist rohe, astrologische, medicinische und dergleichen Dinge. Einige Gedanken sind durch trübe Zahlenbestimmungen verhüllt»</w:t>
      </w:r>
      <w:r w:rsidRPr="00D7779A">
        <w:rPr>
          <w:rStyle w:val="Rimandonotaapidipagina"/>
          <w:rFonts w:ascii="Times New Roman" w:hAnsi="Times New Roman" w:cs="Times New Roman"/>
          <w:sz w:val="20"/>
          <w:szCs w:val="20"/>
          <w:lang w:val="de-DE"/>
        </w:rPr>
        <w:footnoteReference w:id="786"/>
      </w:r>
      <w:r w:rsidRPr="00D7779A">
        <w:rPr>
          <w:rFonts w:ascii="Times New Roman" w:hAnsi="Times New Roman" w:cs="Times New Roman"/>
          <w:sz w:val="20"/>
          <w:szCs w:val="20"/>
          <w:lang w:val="de-DE"/>
        </w:rPr>
        <w:t>.</w:t>
      </w:r>
    </w:p>
    <w:p w14:paraId="225086F0" w14:textId="77777777" w:rsidR="001B7751" w:rsidRDefault="001B7751" w:rsidP="001B7751">
      <w:pPr>
        <w:spacing w:line="360" w:lineRule="auto"/>
        <w:ind w:left="1134" w:firstLine="567"/>
        <w:jc w:val="both"/>
        <w:rPr>
          <w:rFonts w:ascii="Times New Roman" w:hAnsi="Times New Roman" w:cs="Times New Roman"/>
          <w:lang w:val="de-DE"/>
        </w:rPr>
      </w:pPr>
    </w:p>
    <w:p w14:paraId="06556EFF" w14:textId="13139334" w:rsidR="001B7751" w:rsidRPr="00770DF4" w:rsidRDefault="001B7751" w:rsidP="001B7751">
      <w:pPr>
        <w:spacing w:line="360" w:lineRule="auto"/>
        <w:ind w:firstLine="567"/>
        <w:jc w:val="both"/>
        <w:rPr>
          <w:rFonts w:ascii="Times New Roman" w:hAnsi="Times New Roman" w:cs="Times New Roman"/>
        </w:rPr>
      </w:pPr>
      <w:r w:rsidRPr="00056686">
        <w:rPr>
          <w:rFonts w:ascii="Times New Roman" w:hAnsi="Times New Roman" w:cs="Times New Roman"/>
        </w:rPr>
        <w:t>Molte dottrine torbide (</w:t>
      </w:r>
      <w:r w:rsidRPr="00056686">
        <w:rPr>
          <w:rFonts w:ascii="Times New Roman" w:hAnsi="Times New Roman" w:cs="Times New Roman"/>
          <w:i/>
          <w:lang w:val="de-DE"/>
        </w:rPr>
        <w:t>trübe</w:t>
      </w:r>
      <w:r w:rsidRPr="00056686">
        <w:rPr>
          <w:rFonts w:ascii="Times New Roman" w:hAnsi="Times New Roman" w:cs="Times New Roman"/>
        </w:rPr>
        <w:t>) sono seguite dalla filosofia di Filone d’Alessandria. Fra di esse la Qabbalah, comunicata ad Adamo per consolarlo della sua caduta. Contenuti di questa dottrina sono per lo più grossolane (</w:t>
      </w:r>
      <w:r w:rsidRPr="00056686">
        <w:rPr>
          <w:rFonts w:ascii="Times New Roman" w:hAnsi="Times New Roman" w:cs="Times New Roman"/>
          <w:i/>
        </w:rPr>
        <w:t>roh</w:t>
      </w:r>
      <w:r w:rsidRPr="00056686">
        <w:rPr>
          <w:rFonts w:ascii="Times New Roman" w:hAnsi="Times New Roman" w:cs="Times New Roman"/>
        </w:rPr>
        <w:t xml:space="preserve">) conoscenze astrologiche e mediche. Ai pochissimi pensieri ivi contenuti, i </w:t>
      </w:r>
      <w:r w:rsidRPr="00D27C89">
        <w:rPr>
          <w:rFonts w:ascii="Times New Roman" w:hAnsi="Times New Roman" w:cs="Times New Roman"/>
        </w:rPr>
        <w:t>cabbalisti applicano un filtro numerico, che ne rende estremamente difficoltosa la comprensione: a</w:t>
      </w:r>
      <w:r w:rsidR="00D1223D" w:rsidRPr="00D27C89">
        <w:rPr>
          <w:rFonts w:ascii="Times New Roman" w:hAnsi="Times New Roman" w:cs="Times New Roman"/>
        </w:rPr>
        <w:t>ttraverso</w:t>
      </w:r>
      <w:r w:rsidRPr="00D27C89">
        <w:rPr>
          <w:rFonts w:ascii="Times New Roman" w:hAnsi="Times New Roman" w:cs="Times New Roman"/>
        </w:rPr>
        <w:t xml:space="preserve"> oscure e torbide determinazioni numeriche, il </w:t>
      </w:r>
      <w:r w:rsidRPr="00D27C89">
        <w:rPr>
          <w:rFonts w:ascii="Times New Roman" w:hAnsi="Times New Roman" w:cs="Times New Roman"/>
          <w:i/>
        </w:rPr>
        <w:t>pensiero</w:t>
      </w:r>
      <w:r w:rsidRPr="00D27C89">
        <w:rPr>
          <w:rFonts w:ascii="Times New Roman" w:hAnsi="Times New Roman" w:cs="Times New Roman"/>
        </w:rPr>
        <w:t xml:space="preserve"> è offuscato e reso quasi del tutto irriconoscibile. Questa </w:t>
      </w:r>
      <w:r w:rsidR="00D1223D" w:rsidRPr="00D27C89">
        <w:rPr>
          <w:rFonts w:ascii="Times New Roman" w:hAnsi="Times New Roman" w:cs="Times New Roman"/>
        </w:rPr>
        <w:t xml:space="preserve">è </w:t>
      </w:r>
      <w:r w:rsidRPr="00D27C89">
        <w:rPr>
          <w:rFonts w:ascii="Times New Roman" w:hAnsi="Times New Roman" w:cs="Times New Roman"/>
        </w:rPr>
        <w:t>la prima descrizione fornitaci della tradizione ebraica.</w:t>
      </w:r>
      <w:r>
        <w:rPr>
          <w:rFonts w:ascii="Times New Roman" w:hAnsi="Times New Roman" w:cs="Times New Roman"/>
        </w:rPr>
        <w:t xml:space="preserve"> </w:t>
      </w:r>
      <w:r w:rsidRPr="00056686">
        <w:rPr>
          <w:rFonts w:ascii="Times New Roman" w:hAnsi="Times New Roman" w:cs="Times New Roman"/>
        </w:rPr>
        <w:t xml:space="preserve">Cinque righe scarse, da cui emerge una caratterizzazione non lusinghiera della Qabbalah. Ad una trattazione sbrigativa, riconducibile a delle conoscenze insufficienti sul tema, si aggiunge una </w:t>
      </w:r>
      <w:r w:rsidRPr="00275AAA">
        <w:rPr>
          <w:rFonts w:ascii="Times New Roman" w:hAnsi="Times New Roman" w:cs="Times New Roman"/>
        </w:rPr>
        <w:t xml:space="preserve">mancanza d’interesse per la torbidezza formale e contenutistica del misticismo ebraico. Siamo ben lontani dalla torbidezza della riflessione di Jakob Böhme, che non intacca, né tantomeno deforma fino all’irriconoscibilità, la profondità speculativa della sua riflessione. La </w:t>
      </w:r>
      <w:r w:rsidRPr="00275AAA">
        <w:rPr>
          <w:rFonts w:ascii="Times New Roman" w:hAnsi="Times New Roman" w:cs="Times New Roman"/>
          <w:i/>
          <w:lang w:val="de-DE"/>
        </w:rPr>
        <w:t xml:space="preserve">Trübheit </w:t>
      </w:r>
      <w:r w:rsidRPr="00275AAA">
        <w:rPr>
          <w:rFonts w:ascii="Times New Roman" w:hAnsi="Times New Roman" w:cs="Times New Roman"/>
          <w:lang w:val="de-DE"/>
        </w:rPr>
        <w:t xml:space="preserve">cabbalistica, al </w:t>
      </w:r>
      <w:r w:rsidRPr="00275AAA">
        <w:rPr>
          <w:rFonts w:ascii="Times New Roman" w:hAnsi="Times New Roman" w:cs="Times New Roman"/>
        </w:rPr>
        <w:t>contrario</w:t>
      </w:r>
      <w:r w:rsidRPr="00275AAA">
        <w:rPr>
          <w:rFonts w:ascii="Times New Roman" w:hAnsi="Times New Roman" w:cs="Times New Roman"/>
          <w:lang w:val="de-DE"/>
        </w:rPr>
        <w:t xml:space="preserve">, </w:t>
      </w:r>
      <w:r w:rsidRPr="00275AAA">
        <w:rPr>
          <w:rFonts w:ascii="Times New Roman" w:hAnsi="Times New Roman" w:cs="Times New Roman"/>
        </w:rPr>
        <w:t xml:space="preserve">non risparmia né la forma né il contenuto: </w:t>
      </w:r>
      <w:r w:rsidRPr="00770DF4">
        <w:rPr>
          <w:rFonts w:ascii="Times New Roman" w:hAnsi="Times New Roman" w:cs="Times New Roman"/>
        </w:rPr>
        <w:t>tutto è avvolto da un’oscurità che rende indistinguibile il pensiero da ciò che, in senso lato, pensiero non è.</w:t>
      </w:r>
    </w:p>
    <w:p w14:paraId="168FDCE5" w14:textId="4CBF64D3" w:rsidR="001B7751" w:rsidRDefault="001B7751" w:rsidP="001B7751">
      <w:pPr>
        <w:spacing w:line="360" w:lineRule="auto"/>
        <w:ind w:firstLine="567"/>
        <w:jc w:val="both"/>
        <w:rPr>
          <w:rFonts w:ascii="Times New Roman" w:hAnsi="Times New Roman" w:cs="Times New Roman"/>
        </w:rPr>
      </w:pPr>
      <w:r w:rsidRPr="00770DF4">
        <w:rPr>
          <w:rFonts w:ascii="Times New Roman" w:hAnsi="Times New Roman" w:cs="Times New Roman"/>
        </w:rPr>
        <w:t>Dobbiamo aspettare due anni per avere nuove testimonianze sulla filosofia cabbalistica</w:t>
      </w:r>
      <w:r>
        <w:rPr>
          <w:rFonts w:ascii="Times New Roman" w:hAnsi="Times New Roman" w:cs="Times New Roman"/>
        </w:rPr>
        <w:t xml:space="preserve">. </w:t>
      </w:r>
      <w:r w:rsidRPr="00770DF4">
        <w:rPr>
          <w:rFonts w:ascii="Times New Roman" w:hAnsi="Times New Roman" w:cs="Times New Roman"/>
        </w:rPr>
        <w:t>Nel manoscritto Hä</w:t>
      </w:r>
      <w:r>
        <w:rPr>
          <w:rFonts w:ascii="Times New Roman" w:hAnsi="Times New Roman" w:cs="Times New Roman"/>
        </w:rPr>
        <w:t xml:space="preserve">ring del 1820/21, è </w:t>
      </w:r>
      <w:r w:rsidRPr="00770DF4">
        <w:rPr>
          <w:rFonts w:ascii="Times New Roman" w:hAnsi="Times New Roman" w:cs="Times New Roman"/>
        </w:rPr>
        <w:t>reimposta</w:t>
      </w:r>
      <w:r>
        <w:rPr>
          <w:rFonts w:ascii="Times New Roman" w:hAnsi="Times New Roman" w:cs="Times New Roman"/>
        </w:rPr>
        <w:t>to</w:t>
      </w:r>
      <w:r w:rsidRPr="00770DF4">
        <w:rPr>
          <w:rFonts w:ascii="Times New Roman" w:hAnsi="Times New Roman" w:cs="Times New Roman"/>
        </w:rPr>
        <w:t xml:space="preserve"> un </w:t>
      </w:r>
      <w:r w:rsidR="00984A84">
        <w:rPr>
          <w:rFonts w:ascii="Times New Roman" w:hAnsi="Times New Roman" w:cs="Times New Roman"/>
        </w:rPr>
        <w:t>tema bruscamente liquidato nelle</w:t>
      </w:r>
      <w:r w:rsidRPr="00770DF4">
        <w:rPr>
          <w:rFonts w:ascii="Times New Roman" w:hAnsi="Times New Roman" w:cs="Times New Roman"/>
        </w:rPr>
        <w:t xml:space="preserve"> lezioni del 1818/19. È nel contesto storico-culturale alessandrino che Hegel introduce la Qabbalah:</w:t>
      </w:r>
      <w:r>
        <w:rPr>
          <w:rFonts w:ascii="Times New Roman" w:hAnsi="Times New Roman" w:cs="Times New Roman"/>
        </w:rPr>
        <w:t xml:space="preserve">  </w:t>
      </w:r>
    </w:p>
    <w:p w14:paraId="2819EFC5" w14:textId="77777777" w:rsidR="001B7751" w:rsidRDefault="001B7751" w:rsidP="001B7751">
      <w:pPr>
        <w:spacing w:line="360" w:lineRule="auto"/>
        <w:ind w:left="567" w:firstLine="567"/>
        <w:jc w:val="both"/>
        <w:rPr>
          <w:rFonts w:ascii="Times New Roman" w:hAnsi="Times New Roman" w:cs="Times New Roman"/>
        </w:rPr>
      </w:pPr>
    </w:p>
    <w:p w14:paraId="06102359" w14:textId="06041F85" w:rsidR="001B7751" w:rsidRPr="005A10BE" w:rsidRDefault="001B7751" w:rsidP="001B7751">
      <w:pPr>
        <w:spacing w:line="360" w:lineRule="auto"/>
        <w:ind w:left="567" w:firstLine="567"/>
        <w:jc w:val="both"/>
        <w:rPr>
          <w:rFonts w:ascii="Times New Roman" w:hAnsi="Times New Roman" w:cs="Times New Roman"/>
          <w:lang w:val="de-DE"/>
        </w:rPr>
      </w:pPr>
      <w:r w:rsidRPr="005A10BE">
        <w:rPr>
          <w:rFonts w:ascii="Times New Roman" w:hAnsi="Times New Roman" w:cs="Times New Roman"/>
          <w:sz w:val="20"/>
          <w:szCs w:val="20"/>
        </w:rPr>
        <w:t>«</w:t>
      </w:r>
      <w:r w:rsidRPr="005A10BE">
        <w:rPr>
          <w:rFonts w:ascii="Times New Roman" w:hAnsi="Times New Roman" w:cs="Times New Roman"/>
          <w:sz w:val="20"/>
          <w:szCs w:val="20"/>
          <w:lang w:val="de-DE"/>
        </w:rPr>
        <w:t>Auch die Cabbalistische hat hier seinen Ursprung. In dieser ungeheuren Gärung kommen so alle Elemente der alten Welt zusammen. Die cabbalistische Philosophie ist die Weisheit der Juden. Die Kabbala wird selbst als ein Himmelsbuch dargestellt, welchen Adam erhalten hat von Gott. In diesem Buch ist alles enthalten, Astrologie, Magie und so weiter. Als Urheber der Weisheit der Cabbala wird ein Rabbiner Akibha genannt. Die Juden hatten sich gegen den Kaiser Adrian empört und wurden geschlagen. Buch Chezira, welches alles cabbalistischen Weisheit zum Grunde liegt. Ein</w:t>
      </w:r>
      <w:r w:rsidR="00984A84">
        <w:rPr>
          <w:rFonts w:ascii="Times New Roman" w:hAnsi="Times New Roman" w:cs="Times New Roman"/>
          <w:sz w:val="20"/>
          <w:szCs w:val="20"/>
          <w:lang w:val="de-DE"/>
        </w:rPr>
        <w:t>e</w:t>
      </w:r>
      <w:r w:rsidRPr="005A10BE">
        <w:rPr>
          <w:rFonts w:ascii="Times New Roman" w:hAnsi="Times New Roman" w:cs="Times New Roman"/>
          <w:sz w:val="20"/>
          <w:szCs w:val="20"/>
          <w:lang w:val="de-DE"/>
        </w:rPr>
        <w:t xml:space="preserve"> Hauptperson macht denn Irira</w:t>
      </w:r>
      <w:r w:rsidR="00984A84">
        <w:rPr>
          <w:rFonts w:ascii="Times New Roman" w:hAnsi="Times New Roman" w:cs="Times New Roman"/>
          <w:sz w:val="20"/>
          <w:szCs w:val="20"/>
          <w:lang w:val="de-DE"/>
        </w:rPr>
        <w:t xml:space="preserve"> im 15. Jahrhundert in Spanien: </w:t>
      </w:r>
      <w:r w:rsidRPr="005A10BE">
        <w:rPr>
          <w:rFonts w:ascii="Times New Roman" w:hAnsi="Times New Roman" w:cs="Times New Roman"/>
          <w:sz w:val="20"/>
          <w:szCs w:val="20"/>
          <w:lang w:val="de-DE"/>
        </w:rPr>
        <w:t>dieser war zugleich mit den Scholastikern bekannt und mit Arabern»</w:t>
      </w:r>
      <w:r w:rsidRPr="005A10BE">
        <w:rPr>
          <w:rStyle w:val="Rimandonotaapidipagina"/>
          <w:rFonts w:ascii="Times New Roman" w:hAnsi="Times New Roman" w:cs="Times New Roman"/>
          <w:sz w:val="20"/>
          <w:szCs w:val="20"/>
          <w:lang w:val="de-DE"/>
        </w:rPr>
        <w:footnoteReference w:id="787"/>
      </w:r>
      <w:r w:rsidRPr="005A10BE">
        <w:rPr>
          <w:rFonts w:ascii="Times New Roman" w:hAnsi="Times New Roman" w:cs="Times New Roman"/>
          <w:sz w:val="20"/>
          <w:szCs w:val="20"/>
          <w:lang w:val="de-DE"/>
        </w:rPr>
        <w:t>.</w:t>
      </w:r>
    </w:p>
    <w:p w14:paraId="3428CB73" w14:textId="77777777" w:rsidR="001B7751" w:rsidRDefault="001B7751" w:rsidP="001B7751">
      <w:pPr>
        <w:spacing w:line="360" w:lineRule="auto"/>
        <w:ind w:left="1134" w:firstLine="567"/>
        <w:jc w:val="both"/>
        <w:rPr>
          <w:rFonts w:ascii="Times New Roman" w:hAnsi="Times New Roman" w:cs="Times New Roman"/>
          <w:lang w:val="de-DE"/>
        </w:rPr>
      </w:pPr>
    </w:p>
    <w:p w14:paraId="1C11C482" w14:textId="719B99E8" w:rsidR="001B7751" w:rsidRDefault="001B7751" w:rsidP="001B7751">
      <w:pPr>
        <w:spacing w:line="360" w:lineRule="auto"/>
        <w:ind w:firstLine="567"/>
        <w:jc w:val="both"/>
        <w:rPr>
          <w:rFonts w:ascii="Times New Roman" w:hAnsi="Times New Roman" w:cs="Times New Roman"/>
        </w:rPr>
      </w:pPr>
      <w:r w:rsidRPr="00E14D83">
        <w:rPr>
          <w:rFonts w:ascii="Times New Roman" w:hAnsi="Times New Roman" w:cs="Times New Roman"/>
        </w:rPr>
        <w:t>Sebbene vi sia qualche affinità tematica con il manoscritto Meyer, si registra un approfondimento e ampliamento della prospettiva hegeliana. Sottolineato il retroterra alessandrino del pensiero cabbalistico, Hegel afferma che tutti gli elementi del mondo antico sono contenuti all’interno della sapienza del popolo ebraico. Con “tutti gli elementi del mondo antico”, ritengo che si debbano intendere rappresentazioni e determinazioni di pensiero provenienti tanto dalla riflessione religiosa quanto da quella filosofica, tanto dall’Oriente quanto dall’Occidente.</w:t>
      </w:r>
      <w:r w:rsidRPr="00201BDB">
        <w:rPr>
          <w:rFonts w:ascii="Times New Roman" w:hAnsi="Times New Roman" w:cs="Times New Roman"/>
        </w:rPr>
        <w:t xml:space="preserve"> </w:t>
      </w:r>
      <w:r w:rsidRPr="00BF718A">
        <w:rPr>
          <w:rFonts w:ascii="Times New Roman" w:hAnsi="Times New Roman" w:cs="Times New Roman"/>
        </w:rPr>
        <w:t xml:space="preserve">Dopo questa breve annotazione, Hegel si sofferma sulle origini mitiche di questa sapienza riposta: Dio consegna ad Adamo un libro celeste, nel quale è conservata la conoscenza di tutte </w:t>
      </w:r>
      <w:r w:rsidRPr="004A246F">
        <w:rPr>
          <w:rFonts w:ascii="Times New Roman" w:hAnsi="Times New Roman" w:cs="Times New Roman"/>
        </w:rPr>
        <w:t>le cose. A questo livello di narrazione mitico, segue poi un’analisi di carattere storico: nel co</w:t>
      </w:r>
      <w:r w:rsidR="0013418E" w:rsidRPr="004A246F">
        <w:rPr>
          <w:rFonts w:ascii="Times New Roman" w:hAnsi="Times New Roman" w:cs="Times New Roman"/>
        </w:rPr>
        <w:t>rso</w:t>
      </w:r>
      <w:r w:rsidRPr="004A246F">
        <w:rPr>
          <w:rFonts w:ascii="Times New Roman" w:hAnsi="Times New Roman" w:cs="Times New Roman"/>
        </w:rPr>
        <w:t xml:space="preserve"> della ribellione ebraica contro la dominazione romana (secondo secolo d. C.), emerge la figura di Rabbi Akhiva, che Hegel considera il fondatore (</w:t>
      </w:r>
      <w:r w:rsidRPr="004A246F">
        <w:rPr>
          <w:rFonts w:ascii="Times New Roman" w:hAnsi="Times New Roman" w:cs="Times New Roman"/>
          <w:i/>
        </w:rPr>
        <w:t>Urheber</w:t>
      </w:r>
      <w:r w:rsidRPr="004A246F">
        <w:rPr>
          <w:rFonts w:ascii="Times New Roman" w:hAnsi="Times New Roman" w:cs="Times New Roman"/>
        </w:rPr>
        <w:t xml:space="preserve">) del pensiero cabbalistico. Dalla sua riflessione, è prodotto il </w:t>
      </w:r>
      <w:r w:rsidRPr="004A246F">
        <w:rPr>
          <w:rFonts w:ascii="Times New Roman" w:hAnsi="Times New Roman" w:cs="Times New Roman"/>
          <w:i/>
        </w:rPr>
        <w:t>Sefer Jezirah</w:t>
      </w:r>
      <w:r w:rsidRPr="004A246F">
        <w:rPr>
          <w:rFonts w:ascii="Times New Roman" w:hAnsi="Times New Roman" w:cs="Times New Roman"/>
        </w:rPr>
        <w:t>, un testo di fondamentale</w:t>
      </w:r>
      <w:r>
        <w:rPr>
          <w:rFonts w:ascii="Times New Roman" w:hAnsi="Times New Roman" w:cs="Times New Roman"/>
        </w:rPr>
        <w:t xml:space="preserve"> importanza per la successiva tradizione ebraica. Accanto ad Akhiva, Hegel ricorda la figura di Abraham Cohen de Herrera, una persona di rilievo (</w:t>
      </w:r>
      <w:r w:rsidRPr="005861C3">
        <w:rPr>
          <w:rFonts w:ascii="Times New Roman" w:hAnsi="Times New Roman" w:cs="Times New Roman"/>
          <w:i/>
        </w:rPr>
        <w:t>eine Hauptperson</w:t>
      </w:r>
      <w:r>
        <w:rPr>
          <w:rFonts w:ascii="Times New Roman" w:hAnsi="Times New Roman" w:cs="Times New Roman"/>
        </w:rPr>
        <w:t xml:space="preserve">), vissuta in Spagna nel corso del XV secolo, </w:t>
      </w:r>
      <w:r w:rsidRPr="00201BDB">
        <w:rPr>
          <w:rFonts w:ascii="Times New Roman" w:hAnsi="Times New Roman" w:cs="Times New Roman"/>
        </w:rPr>
        <w:t>in grado di far dialogare la sapienza ebraica con la filosofia araba e scolastica.</w:t>
      </w:r>
      <w:r>
        <w:rPr>
          <w:rFonts w:ascii="Times New Roman" w:hAnsi="Times New Roman" w:cs="Times New Roman"/>
        </w:rPr>
        <w:t xml:space="preserve"> </w:t>
      </w:r>
    </w:p>
    <w:p w14:paraId="70AC7EDF" w14:textId="0ECA6639" w:rsidR="001B7751" w:rsidRDefault="001B7751" w:rsidP="001B7751">
      <w:pPr>
        <w:spacing w:line="360" w:lineRule="auto"/>
        <w:ind w:firstLine="567"/>
        <w:jc w:val="both"/>
        <w:rPr>
          <w:rFonts w:ascii="Times New Roman" w:hAnsi="Times New Roman" w:cs="Times New Roman"/>
        </w:rPr>
      </w:pPr>
      <w:r w:rsidRPr="004A246F">
        <w:rPr>
          <w:rFonts w:ascii="Times New Roman" w:hAnsi="Times New Roman" w:cs="Times New Roman"/>
        </w:rPr>
        <w:t>Queste note introduttive servono a delineare il contesto storico della filosofia cabbalistica.</w:t>
      </w:r>
      <w:r w:rsidRPr="007E521A">
        <w:rPr>
          <w:rFonts w:ascii="Times New Roman" w:hAnsi="Times New Roman" w:cs="Times New Roman"/>
        </w:rPr>
        <w:t xml:space="preserve"> Riguardo alle fonti utilizzate da Hegel, potrebbero sorgere degli interrogativi. Bene o male tutta la storiografia anteriore alle</w:t>
      </w:r>
      <w:r w:rsidRPr="007E521A">
        <w:rPr>
          <w:rFonts w:ascii="Times New Roman" w:hAnsi="Times New Roman" w:cs="Times New Roman"/>
          <w:i/>
        </w:rPr>
        <w:t xml:space="preserve"> Vorlesungen</w:t>
      </w:r>
      <w:r w:rsidRPr="007E521A">
        <w:rPr>
          <w:rFonts w:ascii="Times New Roman" w:hAnsi="Times New Roman" w:cs="Times New Roman"/>
        </w:rPr>
        <w:t xml:space="preserve"> ripete, con delle differenze minime, quanto detto nell’estratto appena analizzato.</w:t>
      </w:r>
      <w:r>
        <w:rPr>
          <w:rFonts w:ascii="Times New Roman" w:hAnsi="Times New Roman" w:cs="Times New Roman"/>
        </w:rPr>
        <w:t xml:space="preserve"> Grazie ad un riferimento specifico – che è un errore in verità – è possibile stringere il campo delle fonti storiografiche e indicare nel </w:t>
      </w:r>
      <w:r w:rsidRPr="008B07B4">
        <w:rPr>
          <w:rFonts w:ascii="Times New Roman" w:hAnsi="Times New Roman" w:cs="Times New Roman"/>
          <w:i/>
          <w:lang w:val="de-DE"/>
        </w:rPr>
        <w:t>Lehrbuch</w:t>
      </w:r>
      <w:r w:rsidRPr="008B07B4">
        <w:rPr>
          <w:rFonts w:ascii="Times New Roman" w:hAnsi="Times New Roman" w:cs="Times New Roman"/>
          <w:lang w:val="de-DE"/>
        </w:rPr>
        <w:t xml:space="preserve"> </w:t>
      </w:r>
      <w:r w:rsidRPr="008B07B4">
        <w:rPr>
          <w:rFonts w:ascii="Times New Roman" w:hAnsi="Times New Roman" w:cs="Times New Roman"/>
          <w:i/>
          <w:lang w:val="de-DE"/>
        </w:rPr>
        <w:t xml:space="preserve">der Geschichte der </w:t>
      </w:r>
      <w:r w:rsidRPr="00201BDB">
        <w:rPr>
          <w:rFonts w:ascii="Times New Roman" w:hAnsi="Times New Roman" w:cs="Times New Roman"/>
          <w:i/>
          <w:lang w:val="de-DE"/>
        </w:rPr>
        <w:t>Philosophie</w:t>
      </w:r>
      <w:r w:rsidRPr="00201BDB">
        <w:rPr>
          <w:rFonts w:ascii="Times New Roman" w:hAnsi="Times New Roman" w:cs="Times New Roman"/>
          <w:i/>
        </w:rPr>
        <w:t xml:space="preserve"> </w:t>
      </w:r>
      <w:r w:rsidRPr="00201BDB">
        <w:rPr>
          <w:rFonts w:ascii="Times New Roman" w:hAnsi="Times New Roman" w:cs="Times New Roman"/>
        </w:rPr>
        <w:t xml:space="preserve">il testo consultato da Hegel: l’aver scritto che Herrera è </w:t>
      </w:r>
      <w:r w:rsidR="00021560">
        <w:rPr>
          <w:rFonts w:ascii="Times New Roman" w:hAnsi="Times New Roman" w:cs="Times New Roman"/>
        </w:rPr>
        <w:t>autore</w:t>
      </w:r>
      <w:r w:rsidRPr="00201BDB">
        <w:rPr>
          <w:rFonts w:ascii="Times New Roman" w:hAnsi="Times New Roman" w:cs="Times New Roman"/>
        </w:rPr>
        <w:t xml:space="preserve"> attivo nel XV secolo testimonia la ripetizione di un’informazione riportata nel manuale di Buhle</w:t>
      </w:r>
      <w:r w:rsidRPr="00201BDB">
        <w:rPr>
          <w:rStyle w:val="Rimandonotaapidipagina"/>
          <w:rFonts w:ascii="Times New Roman" w:hAnsi="Times New Roman" w:cs="Times New Roman"/>
        </w:rPr>
        <w:footnoteReference w:id="788"/>
      </w:r>
      <w:r w:rsidRPr="00201BDB">
        <w:rPr>
          <w:rFonts w:ascii="Times New Roman" w:hAnsi="Times New Roman" w:cs="Times New Roman"/>
        </w:rPr>
        <w:t xml:space="preserve">. O almeno: Buhle segnalava una serie di commentari quattrocenteschi e cinquecenteschi al </w:t>
      </w:r>
      <w:r w:rsidRPr="00201BDB">
        <w:rPr>
          <w:rFonts w:ascii="Times New Roman" w:hAnsi="Times New Roman" w:cs="Times New Roman"/>
          <w:i/>
        </w:rPr>
        <w:t>Sefer Jezirah</w:t>
      </w:r>
      <w:r w:rsidRPr="00201BDB">
        <w:rPr>
          <w:rFonts w:ascii="Times New Roman" w:hAnsi="Times New Roman" w:cs="Times New Roman"/>
        </w:rPr>
        <w:t xml:space="preserve"> e allo </w:t>
      </w:r>
      <w:r w:rsidRPr="00201BDB">
        <w:rPr>
          <w:rFonts w:ascii="Times New Roman" w:hAnsi="Times New Roman" w:cs="Times New Roman"/>
          <w:i/>
        </w:rPr>
        <w:t>Zohar</w:t>
      </w:r>
      <w:r w:rsidRPr="00201BDB">
        <w:rPr>
          <w:rFonts w:ascii="Times New Roman" w:hAnsi="Times New Roman" w:cs="Times New Roman"/>
        </w:rPr>
        <w:t xml:space="preserve">, fra i quali </w:t>
      </w:r>
      <w:r>
        <w:rPr>
          <w:rFonts w:ascii="Times New Roman" w:hAnsi="Times New Roman" w:cs="Times New Roman"/>
        </w:rPr>
        <w:t>era</w:t>
      </w:r>
      <w:r w:rsidR="00984A84">
        <w:rPr>
          <w:rFonts w:ascii="Times New Roman" w:hAnsi="Times New Roman" w:cs="Times New Roman"/>
        </w:rPr>
        <w:t xml:space="preserve"> </w:t>
      </w:r>
      <w:r>
        <w:rPr>
          <w:rFonts w:ascii="Times New Roman" w:hAnsi="Times New Roman" w:cs="Times New Roman"/>
        </w:rPr>
        <w:t>ricordata</w:t>
      </w:r>
      <w:r w:rsidRPr="00201BDB">
        <w:rPr>
          <w:rFonts w:ascii="Times New Roman" w:hAnsi="Times New Roman" w:cs="Times New Roman"/>
        </w:rPr>
        <w:t xml:space="preserve"> anche la </w:t>
      </w:r>
      <w:r w:rsidRPr="00201BDB">
        <w:rPr>
          <w:rFonts w:ascii="Times New Roman" w:hAnsi="Times New Roman" w:cs="Times New Roman"/>
          <w:i/>
        </w:rPr>
        <w:t>Porta Coelorum</w:t>
      </w:r>
      <w:r w:rsidRPr="00201BDB">
        <w:rPr>
          <w:rFonts w:ascii="Times New Roman" w:hAnsi="Times New Roman" w:cs="Times New Roman"/>
        </w:rPr>
        <w:t xml:space="preserve"> di Herrera. Hegel non soltanto </w:t>
      </w:r>
      <w:r w:rsidRPr="00D27C89">
        <w:rPr>
          <w:rFonts w:ascii="Times New Roman" w:hAnsi="Times New Roman" w:cs="Times New Roman"/>
        </w:rPr>
        <w:t xml:space="preserve">riporta questa informazione, ma vi aggiunge un tocco personale: </w:t>
      </w:r>
      <w:r w:rsidR="004C18BD" w:rsidRPr="00D27C89">
        <w:rPr>
          <w:rFonts w:ascii="Times New Roman" w:hAnsi="Times New Roman" w:cs="Times New Roman"/>
        </w:rPr>
        <w:t xml:space="preserve">viene </w:t>
      </w:r>
      <w:r w:rsidR="00D1223D" w:rsidRPr="00D27C89">
        <w:rPr>
          <w:rFonts w:ascii="Times New Roman" w:hAnsi="Times New Roman" w:cs="Times New Roman"/>
        </w:rPr>
        <w:t>considera</w:t>
      </w:r>
      <w:r w:rsidR="004C18BD" w:rsidRPr="00D27C89">
        <w:rPr>
          <w:rFonts w:ascii="Times New Roman" w:hAnsi="Times New Roman" w:cs="Times New Roman"/>
        </w:rPr>
        <w:t>to</w:t>
      </w:r>
      <w:r w:rsidR="00D1223D" w:rsidRPr="00D27C89">
        <w:rPr>
          <w:rFonts w:ascii="Times New Roman" w:hAnsi="Times New Roman" w:cs="Times New Roman"/>
        </w:rPr>
        <w:t xml:space="preserve"> quattrocentesco </w:t>
      </w:r>
      <w:r w:rsidRPr="00D27C89">
        <w:rPr>
          <w:rFonts w:ascii="Times New Roman" w:hAnsi="Times New Roman" w:cs="Times New Roman"/>
        </w:rPr>
        <w:t>ciò che Buhle, cadendo in errore, aveva collocato a cavallo fra il XV e il XVI secolo.</w:t>
      </w:r>
      <w:r w:rsidRPr="00201BDB">
        <w:rPr>
          <w:rFonts w:ascii="Times New Roman" w:hAnsi="Times New Roman" w:cs="Times New Roman"/>
        </w:rPr>
        <w:t xml:space="preserve"> </w:t>
      </w:r>
      <w:r w:rsidRPr="0096324D">
        <w:rPr>
          <w:rFonts w:ascii="Times New Roman" w:hAnsi="Times New Roman" w:cs="Times New Roman"/>
        </w:rPr>
        <w:t xml:space="preserve">A questo punto, sarebbe lecito aspettarsi un’esposizione della </w:t>
      </w:r>
      <w:r w:rsidRPr="0096324D">
        <w:rPr>
          <w:rFonts w:ascii="Times New Roman" w:hAnsi="Times New Roman" w:cs="Times New Roman"/>
          <w:i/>
        </w:rPr>
        <w:t>Kabbalistiche Philosophie</w:t>
      </w:r>
      <w:r w:rsidRPr="0096324D">
        <w:rPr>
          <w:rFonts w:ascii="Times New Roman" w:hAnsi="Times New Roman" w:cs="Times New Roman"/>
        </w:rPr>
        <w:t xml:space="preserve"> in linea con il </w:t>
      </w:r>
      <w:r w:rsidRPr="0096324D">
        <w:rPr>
          <w:rFonts w:ascii="Times New Roman" w:hAnsi="Times New Roman" w:cs="Times New Roman"/>
          <w:i/>
        </w:rPr>
        <w:t>Lehrbuch der Geschichte der Philosophie</w:t>
      </w:r>
      <w:r w:rsidRPr="0096324D">
        <w:rPr>
          <w:rFonts w:ascii="Times New Roman" w:hAnsi="Times New Roman" w:cs="Times New Roman"/>
        </w:rPr>
        <w:t xml:space="preserve">. In realtà, </w:t>
      </w:r>
      <w:r>
        <w:rPr>
          <w:rFonts w:ascii="Times New Roman" w:hAnsi="Times New Roman" w:cs="Times New Roman"/>
        </w:rPr>
        <w:t>per esporre i capisaldi della filosofia cabbalistica</w:t>
      </w:r>
      <w:r w:rsidRPr="0096324D">
        <w:rPr>
          <w:rFonts w:ascii="Times New Roman" w:hAnsi="Times New Roman" w:cs="Times New Roman"/>
        </w:rPr>
        <w:t>,</w:t>
      </w:r>
      <w:r w:rsidRPr="00501FB0">
        <w:rPr>
          <w:rFonts w:ascii="Times New Roman" w:hAnsi="Times New Roman" w:cs="Times New Roman"/>
        </w:rPr>
        <w:t xml:space="preserve"> </w:t>
      </w:r>
      <w:r>
        <w:rPr>
          <w:rFonts w:ascii="Times New Roman" w:hAnsi="Times New Roman" w:cs="Times New Roman"/>
        </w:rPr>
        <w:t>Hegel segue</w:t>
      </w:r>
      <w:r w:rsidRPr="0096324D">
        <w:rPr>
          <w:rFonts w:ascii="Times New Roman" w:hAnsi="Times New Roman" w:cs="Times New Roman"/>
        </w:rPr>
        <w:t xml:space="preserve"> un altro manuale del tempo, che aveva proposto un’equiparazione dell’opera di Herrera con la Qabbalah. Il testo in questione è il </w:t>
      </w:r>
      <w:r w:rsidRPr="0096324D">
        <w:rPr>
          <w:rFonts w:ascii="Times New Roman" w:hAnsi="Times New Roman" w:cs="Times New Roman"/>
          <w:i/>
        </w:rPr>
        <w:t>Geist der spekulativen Philosophie</w:t>
      </w:r>
      <w:r>
        <w:rPr>
          <w:rStyle w:val="Rimandonotaapidipagina"/>
          <w:rFonts w:ascii="Times New Roman" w:hAnsi="Times New Roman" w:cs="Times New Roman"/>
          <w:i/>
        </w:rPr>
        <w:footnoteReference w:id="789"/>
      </w:r>
      <w:r>
        <w:rPr>
          <w:rFonts w:ascii="Times New Roman" w:hAnsi="Times New Roman" w:cs="Times New Roman"/>
        </w:rPr>
        <w:t>, che si apriva – lo si ricorderà – associando l’En-sof all’unità numerica</w:t>
      </w:r>
      <w:r>
        <w:rPr>
          <w:rStyle w:val="Rimandonotaapidipagina"/>
          <w:rFonts w:ascii="Times New Roman" w:hAnsi="Times New Roman" w:cs="Times New Roman"/>
        </w:rPr>
        <w:footnoteReference w:id="790"/>
      </w:r>
      <w:r>
        <w:rPr>
          <w:rFonts w:ascii="Times New Roman" w:hAnsi="Times New Roman" w:cs="Times New Roman"/>
        </w:rPr>
        <w:t>. Rifacendosi all’esposizione di Tiedemann, Hegel scrive:</w:t>
      </w:r>
    </w:p>
    <w:p w14:paraId="248C3470" w14:textId="77777777" w:rsidR="001B7751" w:rsidRDefault="001B7751" w:rsidP="001B7751">
      <w:pPr>
        <w:spacing w:line="360" w:lineRule="auto"/>
        <w:ind w:left="567" w:firstLine="567"/>
        <w:jc w:val="both"/>
        <w:rPr>
          <w:rFonts w:ascii="Times New Roman" w:hAnsi="Times New Roman" w:cs="Times New Roman"/>
        </w:rPr>
      </w:pPr>
    </w:p>
    <w:p w14:paraId="31C4773E" w14:textId="77777777" w:rsidR="001B7751" w:rsidRPr="0009202F" w:rsidRDefault="001B7751" w:rsidP="001B7751">
      <w:pPr>
        <w:spacing w:line="360" w:lineRule="auto"/>
        <w:ind w:left="567" w:firstLine="567"/>
        <w:jc w:val="both"/>
        <w:rPr>
          <w:rFonts w:ascii="Times New Roman" w:hAnsi="Times New Roman" w:cs="Times New Roman"/>
          <w:lang w:val="de-DE"/>
        </w:rPr>
      </w:pPr>
      <w:r w:rsidRPr="0009202F">
        <w:rPr>
          <w:rFonts w:ascii="Times New Roman" w:hAnsi="Times New Roman" w:cs="Times New Roman"/>
          <w:sz w:val="20"/>
          <w:szCs w:val="20"/>
        </w:rPr>
        <w:t>«</w:t>
      </w:r>
      <w:r w:rsidRPr="0009202F">
        <w:rPr>
          <w:rFonts w:ascii="Times New Roman" w:hAnsi="Times New Roman" w:cs="Times New Roman"/>
          <w:sz w:val="20"/>
          <w:szCs w:val="20"/>
          <w:lang w:val="de-DE"/>
        </w:rPr>
        <w:t xml:space="preserve">Trübes Wesen, wodurch jedoch allerdings große Hauptgedanken durchscheinen; man hat aber Muhe, diese Grundgedanken durch alle Barbarei, und allen Unsinn durch zu erkennen. Die Zahlen wurden dadurch als Grundquelle aller Dinge dargestellt. Gott ist das Eins und aus diesem Eins emanieren denn alle Dinge. Was Philo den </w:t>
      </w:r>
      <w:r w:rsidRPr="0009202F">
        <w:rPr>
          <w:rFonts w:ascii="Times New Roman" w:hAnsi="Times New Roman" w:cs="Times New Roman"/>
          <w:sz w:val="20"/>
          <w:szCs w:val="20"/>
        </w:rPr>
        <w:t>λογος</w:t>
      </w:r>
      <w:r w:rsidRPr="0009202F">
        <w:rPr>
          <w:rFonts w:ascii="Times New Roman" w:hAnsi="Times New Roman" w:cs="Times New Roman"/>
          <w:sz w:val="20"/>
          <w:szCs w:val="20"/>
          <w:lang w:val="de-DE"/>
        </w:rPr>
        <w:t xml:space="preserve"> nannte, das ist was in der Kabbala der Adam Kadmon heißt, der erste Mensch. Von da geht es dann über zu den neuern Bestimmtheiten. Im ersten Menschen ist denn alles enthalten, und zwar nicht blos formaliter, sondern causaliter, als Thätiges</w:t>
      </w:r>
      <w:r>
        <w:rPr>
          <w:rFonts w:ascii="Times New Roman" w:hAnsi="Times New Roman" w:cs="Times New Roman"/>
          <w:sz w:val="20"/>
          <w:szCs w:val="20"/>
          <w:lang w:val="de-DE"/>
        </w:rPr>
        <w:t>, Wirkendes.</w:t>
      </w:r>
      <w:r w:rsidRPr="0009202F">
        <w:rPr>
          <w:rFonts w:ascii="Times New Roman" w:hAnsi="Times New Roman" w:cs="Times New Roman"/>
          <w:sz w:val="20"/>
          <w:szCs w:val="20"/>
          <w:lang w:val="de-DE"/>
        </w:rPr>
        <w:t xml:space="preserve"> So kommen sie  zur emanierten Welt; hier ist das erste die aziluthische Welt; diese ist eine Welt von Lichtströmen. Dann kommt die Welt des reinen Geistes, in so fern sie sich in die Materie eingelassen hat; und endlich kommt weitere sinnliche Welt»</w:t>
      </w:r>
      <w:r w:rsidRPr="0009202F">
        <w:rPr>
          <w:rStyle w:val="Rimandonotaapidipagina"/>
          <w:rFonts w:ascii="Times New Roman" w:hAnsi="Times New Roman" w:cs="Times New Roman"/>
          <w:sz w:val="20"/>
          <w:szCs w:val="20"/>
          <w:lang w:val="de-DE"/>
        </w:rPr>
        <w:footnoteReference w:id="791"/>
      </w:r>
      <w:r w:rsidRPr="0009202F">
        <w:rPr>
          <w:rFonts w:ascii="Times New Roman" w:hAnsi="Times New Roman" w:cs="Times New Roman"/>
          <w:sz w:val="20"/>
          <w:szCs w:val="20"/>
          <w:lang w:val="de-DE"/>
        </w:rPr>
        <w:t>.</w:t>
      </w:r>
    </w:p>
    <w:p w14:paraId="591F5519" w14:textId="77777777" w:rsidR="001B7751" w:rsidRDefault="001B7751" w:rsidP="001B7751">
      <w:pPr>
        <w:spacing w:line="360" w:lineRule="auto"/>
        <w:ind w:left="1134" w:firstLine="567"/>
        <w:jc w:val="both"/>
        <w:rPr>
          <w:rFonts w:ascii="Times New Roman" w:hAnsi="Times New Roman" w:cs="Times New Roman"/>
          <w:lang w:val="de-DE"/>
        </w:rPr>
      </w:pPr>
    </w:p>
    <w:p w14:paraId="2210762D" w14:textId="701E9446" w:rsidR="001B7751" w:rsidRDefault="001B7751" w:rsidP="001B7751">
      <w:pPr>
        <w:spacing w:line="360" w:lineRule="auto"/>
        <w:ind w:firstLine="567"/>
        <w:jc w:val="both"/>
        <w:rPr>
          <w:rFonts w:ascii="Times New Roman" w:hAnsi="Times New Roman" w:cs="Times New Roman"/>
        </w:rPr>
      </w:pPr>
      <w:r>
        <w:rPr>
          <w:rFonts w:ascii="Times New Roman" w:hAnsi="Times New Roman" w:cs="Times New Roman"/>
        </w:rPr>
        <w:t>A tematiche già incontrate</w:t>
      </w:r>
      <w:r w:rsidRPr="00F648AE">
        <w:rPr>
          <w:rFonts w:ascii="Times New Roman" w:hAnsi="Times New Roman" w:cs="Times New Roman"/>
        </w:rPr>
        <w:t xml:space="preserve">, si uniscono considerazioni </w:t>
      </w:r>
      <w:r>
        <w:rPr>
          <w:rFonts w:ascii="Times New Roman" w:hAnsi="Times New Roman" w:cs="Times New Roman"/>
        </w:rPr>
        <w:t xml:space="preserve">più precise e puntuali. Ritorna il tema della torbidezza, ad esempio, con una declinazione del tutto differente rispetto a quanto visto nel manoscritto Meyer. Vi sono dei pensieri fondamentali che sono oscurati da espressioni prive di senso e barbariche. Se precedentemente la forma inficiava la comprensibilità del contenuto, in questo caso Hegel recupera il principio guida della sua ermeneutica filosofico-religiosa: procedendo oltre l’oscurità formale, la ragione può recuperare le intuizioni e rappresentazioni speculativamente feconde del pensiero barbarico. </w:t>
      </w:r>
      <w:r w:rsidRPr="00987FDD">
        <w:rPr>
          <w:rFonts w:ascii="Times New Roman" w:hAnsi="Times New Roman" w:cs="Times New Roman"/>
        </w:rPr>
        <w:t xml:space="preserve">Nel caso in questione, la Qabbalah mette a punto un sistema emanatistico, in cui s’innestano elementi teorici </w:t>
      </w:r>
      <w:r>
        <w:rPr>
          <w:rFonts w:ascii="Times New Roman" w:hAnsi="Times New Roman" w:cs="Times New Roman"/>
        </w:rPr>
        <w:t>di Filone d’Alessandria</w:t>
      </w:r>
      <w:r w:rsidRPr="00987FDD">
        <w:rPr>
          <w:rFonts w:ascii="Times New Roman" w:hAnsi="Times New Roman" w:cs="Times New Roman"/>
        </w:rPr>
        <w:t xml:space="preserve"> e </w:t>
      </w:r>
      <w:r>
        <w:rPr>
          <w:rFonts w:ascii="Times New Roman" w:hAnsi="Times New Roman" w:cs="Times New Roman"/>
        </w:rPr>
        <w:t xml:space="preserve">dei </w:t>
      </w:r>
      <w:r w:rsidRPr="00987FDD">
        <w:rPr>
          <w:rFonts w:ascii="Times New Roman" w:hAnsi="Times New Roman" w:cs="Times New Roman"/>
        </w:rPr>
        <w:t xml:space="preserve">neoplatonici. Questo contenuto è reso accessibile dalla </w:t>
      </w:r>
      <w:r w:rsidRPr="00987FDD">
        <w:rPr>
          <w:rFonts w:ascii="Times New Roman" w:hAnsi="Times New Roman" w:cs="Times New Roman"/>
          <w:i/>
        </w:rPr>
        <w:t>Porta Coelorum</w:t>
      </w:r>
      <w:r w:rsidRPr="00987FDD">
        <w:rPr>
          <w:rFonts w:ascii="Times New Roman" w:hAnsi="Times New Roman" w:cs="Times New Roman"/>
        </w:rPr>
        <w:t xml:space="preserve">, da un testo ibrido, in grado di combinare la tradizione ebraica con elementi teorici greci, arabi e scolastici. Ma che cosa s’evince dalla lettura di questo scritto? Che l’Uno, al pari della </w:t>
      </w:r>
      <w:r w:rsidRPr="00987FDD">
        <w:rPr>
          <w:rFonts w:ascii="Times New Roman" w:hAnsi="Times New Roman" w:cs="Times New Roman"/>
          <w:i/>
          <w:lang w:val="de-DE"/>
        </w:rPr>
        <w:t>Zahleneinheit</w:t>
      </w:r>
      <w:r w:rsidRPr="00987FDD">
        <w:rPr>
          <w:rFonts w:ascii="Times New Roman" w:hAnsi="Times New Roman" w:cs="Times New Roman"/>
        </w:rPr>
        <w:t xml:space="preserve">, è unità che ricomprende in sé, eccedendolo infinitamente, ogni cosa, che l’Adam Kadmon, l’uomo primordiale, è </w:t>
      </w:r>
      <w:r w:rsidRPr="00987FDD">
        <w:rPr>
          <w:rFonts w:ascii="Times New Roman" w:hAnsi="Times New Roman" w:cs="Times New Roman"/>
          <w:i/>
        </w:rPr>
        <w:t>λογος</w:t>
      </w:r>
      <w:r w:rsidRPr="00987FDD">
        <w:rPr>
          <w:rFonts w:ascii="Times New Roman" w:hAnsi="Times New Roman" w:cs="Times New Roman"/>
        </w:rPr>
        <w:t xml:space="preserve"> dotato di causalità e che dal </w:t>
      </w:r>
      <w:r w:rsidRPr="00987FDD">
        <w:rPr>
          <w:rFonts w:ascii="Times New Roman" w:hAnsi="Times New Roman" w:cs="Times New Roman"/>
          <w:i/>
        </w:rPr>
        <w:t>λογος</w:t>
      </w:r>
      <w:r w:rsidRPr="00987FDD">
        <w:rPr>
          <w:rFonts w:ascii="Times New Roman" w:hAnsi="Times New Roman" w:cs="Times New Roman"/>
        </w:rPr>
        <w:t>, in quanto agente (</w:t>
      </w:r>
      <w:r w:rsidRPr="00987FDD">
        <w:rPr>
          <w:rFonts w:ascii="Times New Roman" w:hAnsi="Times New Roman" w:cs="Times New Roman"/>
          <w:i/>
          <w:lang w:val="de-DE"/>
        </w:rPr>
        <w:t>thätig und wirkend</w:t>
      </w:r>
      <w:r w:rsidRPr="00987FDD">
        <w:rPr>
          <w:rFonts w:ascii="Times New Roman" w:hAnsi="Times New Roman" w:cs="Times New Roman"/>
        </w:rPr>
        <w:t>), procedono i quattro mondi della cosmologia cabbalistica, ossia la molteplicità gerarchicamente strutturata (dall’ideale al materiale) degli enti. Attraverso un commentario, o un’esposizione spuria della Qabbalah, emergono una serie di pensieri riconducibili ai capisaldi del pensiero alessandrino: dall’Uno segue immediatamente l’Uno (pensiero che</w:t>
      </w:r>
      <w:r>
        <w:rPr>
          <w:rFonts w:ascii="Times New Roman" w:hAnsi="Times New Roman" w:cs="Times New Roman"/>
        </w:rPr>
        <w:t>,</w:t>
      </w:r>
      <w:r w:rsidRPr="00987FDD">
        <w:rPr>
          <w:rFonts w:ascii="Times New Roman" w:hAnsi="Times New Roman" w:cs="Times New Roman"/>
        </w:rPr>
        <w:t xml:space="preserve"> </w:t>
      </w:r>
      <w:r w:rsidRPr="00940E3F">
        <w:rPr>
          <w:rFonts w:ascii="Times New Roman" w:hAnsi="Times New Roman" w:cs="Times New Roman"/>
          <w:i/>
        </w:rPr>
        <w:t>aristotelicamente</w:t>
      </w:r>
      <w:r>
        <w:rPr>
          <w:rFonts w:ascii="Times New Roman" w:hAnsi="Times New Roman" w:cs="Times New Roman"/>
        </w:rPr>
        <w:t xml:space="preserve">, </w:t>
      </w:r>
      <w:r w:rsidRPr="00987FDD">
        <w:rPr>
          <w:rFonts w:ascii="Times New Roman" w:hAnsi="Times New Roman" w:cs="Times New Roman"/>
        </w:rPr>
        <w:t xml:space="preserve">si pensa ed è attivo) e da esso il molteplice (quattro mondi). Nella sua forma migliore, ossia nel trattato di Herrera, la Qabbalah assume quel carattere speculativo che Hegel individua nella riflessione di Filone d’Alessandria e </w:t>
      </w:r>
      <w:r w:rsidR="00384147">
        <w:rPr>
          <w:rFonts w:ascii="Times New Roman" w:hAnsi="Times New Roman" w:cs="Times New Roman"/>
        </w:rPr>
        <w:t xml:space="preserve">di </w:t>
      </w:r>
      <w:r w:rsidRPr="00987FDD">
        <w:rPr>
          <w:rFonts w:ascii="Times New Roman" w:hAnsi="Times New Roman" w:cs="Times New Roman"/>
        </w:rPr>
        <w:t>Plotino</w:t>
      </w:r>
      <w:r w:rsidRPr="00987FDD">
        <w:rPr>
          <w:rStyle w:val="Rimandonotaapidipagina"/>
          <w:rFonts w:ascii="Times New Roman" w:hAnsi="Times New Roman" w:cs="Times New Roman"/>
        </w:rPr>
        <w:footnoteReference w:id="792"/>
      </w:r>
      <w:r w:rsidRPr="00987FDD">
        <w:rPr>
          <w:rFonts w:ascii="Times New Roman" w:hAnsi="Times New Roman" w:cs="Times New Roman"/>
        </w:rPr>
        <w:t>.</w:t>
      </w:r>
      <w:r>
        <w:rPr>
          <w:rFonts w:ascii="Times New Roman" w:hAnsi="Times New Roman" w:cs="Times New Roman"/>
        </w:rPr>
        <w:t xml:space="preserve"> </w:t>
      </w:r>
    </w:p>
    <w:p w14:paraId="6C926ADF" w14:textId="59FDFBCA" w:rsidR="001B7751" w:rsidRDefault="001B7751" w:rsidP="001B7751">
      <w:pPr>
        <w:spacing w:line="360" w:lineRule="auto"/>
        <w:ind w:firstLine="567"/>
        <w:jc w:val="both"/>
        <w:rPr>
          <w:rFonts w:ascii="Times New Roman" w:hAnsi="Times New Roman" w:cs="Times New Roman"/>
        </w:rPr>
      </w:pPr>
      <w:r>
        <w:rPr>
          <w:rFonts w:ascii="Times New Roman" w:hAnsi="Times New Roman" w:cs="Times New Roman"/>
        </w:rPr>
        <w:t xml:space="preserve">Rispetto al manoscritto di Meyer si registrano delle modifiche a dir poco impressionanti. Si potrebbe pensare che il manoscritto Häring rappresenti un punto di svolta della comprensione hegeliana della Qabbalah. Da momento speculativamente nullo dell’approfondimento dell’Idea, la filosofia cabbalistica è interpretata come una </w:t>
      </w:r>
      <w:r w:rsidRPr="005C72FD">
        <w:rPr>
          <w:rFonts w:ascii="Times New Roman" w:hAnsi="Times New Roman" w:cs="Times New Roman"/>
        </w:rPr>
        <w:t xml:space="preserve">sapienza in cui sono esposti contenuti d’indubbia profondità speculativa. Dall’estratto </w:t>
      </w:r>
      <w:r w:rsidRPr="004371FB">
        <w:rPr>
          <w:rFonts w:ascii="Times New Roman" w:hAnsi="Times New Roman" w:cs="Times New Roman"/>
        </w:rPr>
        <w:t xml:space="preserve">delle </w:t>
      </w:r>
      <w:r w:rsidRPr="004371FB">
        <w:rPr>
          <w:rFonts w:ascii="Times New Roman" w:hAnsi="Times New Roman" w:cs="Times New Roman"/>
          <w:i/>
        </w:rPr>
        <w:t>Vorlesungen</w:t>
      </w:r>
      <w:r w:rsidRPr="004371FB">
        <w:rPr>
          <w:rFonts w:ascii="Times New Roman" w:hAnsi="Times New Roman" w:cs="Times New Roman"/>
        </w:rPr>
        <w:t xml:space="preserve"> preso in esame, si delinea un preciso modello interpretativo: al recupero di </w:t>
      </w:r>
      <w:r w:rsidRPr="007D5270">
        <w:rPr>
          <w:rFonts w:ascii="Times New Roman" w:hAnsi="Times New Roman" w:cs="Times New Roman"/>
        </w:rPr>
        <w:t xml:space="preserve">una fonte dai tratti neoplatonici – la </w:t>
      </w:r>
      <w:r w:rsidRPr="007D5270">
        <w:rPr>
          <w:rFonts w:ascii="Times New Roman" w:hAnsi="Times New Roman" w:cs="Times New Roman"/>
          <w:i/>
        </w:rPr>
        <w:t>Porta Coelorum</w:t>
      </w:r>
      <w:r w:rsidRPr="007D5270">
        <w:rPr>
          <w:rFonts w:ascii="Times New Roman" w:hAnsi="Times New Roman" w:cs="Times New Roman"/>
        </w:rPr>
        <w:t xml:space="preserve"> – come cifra di un’intera tradizione di pensiero, segue la </w:t>
      </w:r>
      <w:r w:rsidRPr="007D5270">
        <w:rPr>
          <w:rFonts w:ascii="Times New Roman" w:hAnsi="Times New Roman" w:cs="Times New Roman"/>
          <w:i/>
        </w:rPr>
        <w:t>neoplatonizzazione</w:t>
      </w:r>
      <w:r w:rsidRPr="007D5270">
        <w:rPr>
          <w:rFonts w:ascii="Times New Roman" w:hAnsi="Times New Roman" w:cs="Times New Roman"/>
        </w:rPr>
        <w:t xml:space="preserve"> dell’En-sof e dell’Adam Kadmon. Se sul primo punto Hegel manterrà – come quasi tutta la storiografia anteriore – una coerenza di fondo, stessa cosa non potrà dirsi riguardo alla </w:t>
      </w:r>
      <w:r w:rsidRPr="007D5270">
        <w:rPr>
          <w:rFonts w:ascii="Times New Roman" w:hAnsi="Times New Roman" w:cs="Times New Roman"/>
          <w:i/>
        </w:rPr>
        <w:t>neoplatonizzazione</w:t>
      </w:r>
      <w:r w:rsidRPr="007D5270">
        <w:rPr>
          <w:rFonts w:ascii="Times New Roman" w:hAnsi="Times New Roman" w:cs="Times New Roman"/>
        </w:rPr>
        <w:t xml:space="preserve"> delle prime determinazioni dell’ontoteologia cabbalistica.</w:t>
      </w:r>
      <w:r>
        <w:rPr>
          <w:rFonts w:ascii="Times New Roman" w:hAnsi="Times New Roman" w:cs="Times New Roman"/>
        </w:rPr>
        <w:t xml:space="preserve"> È come se Hegel prendesse </w:t>
      </w:r>
      <w:r w:rsidRPr="00CF03B5">
        <w:rPr>
          <w:rFonts w:ascii="Times New Roman" w:hAnsi="Times New Roman" w:cs="Times New Roman"/>
        </w:rPr>
        <w:t>coscienza del fatto di aver sovrainterpretato un momento della storia della filosofia dotato di una struttura logico-argoment</w:t>
      </w:r>
      <w:r w:rsidR="00B8021C" w:rsidRPr="00CF03B5">
        <w:rPr>
          <w:rFonts w:ascii="Times New Roman" w:hAnsi="Times New Roman" w:cs="Times New Roman"/>
        </w:rPr>
        <w:t xml:space="preserve">ativa più elementare rispetto alla riflessione </w:t>
      </w:r>
      <w:r w:rsidRPr="00CF03B5">
        <w:rPr>
          <w:rFonts w:ascii="Times New Roman" w:hAnsi="Times New Roman" w:cs="Times New Roman"/>
        </w:rPr>
        <w:t xml:space="preserve">filoniana e neoplatonica. Alla sovrapposizione dei momenti, pertanto, seguirà, nei successivi </w:t>
      </w:r>
      <w:r w:rsidR="00B8021C" w:rsidRPr="00CF03B5">
        <w:rPr>
          <w:rFonts w:ascii="Times New Roman" w:hAnsi="Times New Roman" w:cs="Times New Roman"/>
        </w:rPr>
        <w:t xml:space="preserve">cicli </w:t>
      </w:r>
      <w:r w:rsidRPr="00CF03B5">
        <w:rPr>
          <w:rFonts w:ascii="Times New Roman" w:hAnsi="Times New Roman" w:cs="Times New Roman"/>
        </w:rPr>
        <w:t xml:space="preserve">di lezioni </w:t>
      </w:r>
      <w:r w:rsidR="00B8021C" w:rsidRPr="00CF03B5">
        <w:rPr>
          <w:rFonts w:ascii="Times New Roman" w:hAnsi="Times New Roman" w:cs="Times New Roman"/>
        </w:rPr>
        <w:t xml:space="preserve">sulla storia della filosofia, </w:t>
      </w:r>
      <w:r w:rsidRPr="00CF03B5">
        <w:rPr>
          <w:rFonts w:ascii="Times New Roman" w:hAnsi="Times New Roman" w:cs="Times New Roman"/>
        </w:rPr>
        <w:t>una loro differenziazione più netta. Il</w:t>
      </w:r>
      <w:r w:rsidRPr="000B34BF">
        <w:rPr>
          <w:rFonts w:ascii="Times New Roman" w:hAnsi="Times New Roman" w:cs="Times New Roman"/>
        </w:rPr>
        <w:t xml:space="preserve"> differenziarsi, a propria volta, non segnerà l’estraneità</w:t>
      </w:r>
      <w:r>
        <w:rPr>
          <w:rFonts w:ascii="Times New Roman" w:hAnsi="Times New Roman" w:cs="Times New Roman"/>
        </w:rPr>
        <w:t xml:space="preserve"> della Qabbalah dalla cornice </w:t>
      </w:r>
      <w:r w:rsidRPr="008559E6">
        <w:rPr>
          <w:rFonts w:ascii="Times New Roman" w:hAnsi="Times New Roman" w:cs="Times New Roman"/>
        </w:rPr>
        <w:t>alessandrina.</w:t>
      </w:r>
      <w:r>
        <w:rPr>
          <w:rFonts w:ascii="Times New Roman" w:hAnsi="Times New Roman" w:cs="Times New Roman"/>
        </w:rPr>
        <w:t xml:space="preserve"> Il fatto che Hegel inserisca e tratti questi momenti nella sezione ‘</w:t>
      </w:r>
      <w:r>
        <w:rPr>
          <w:rFonts w:ascii="Times New Roman" w:hAnsi="Times New Roman" w:cs="Times New Roman"/>
          <w:i/>
        </w:rPr>
        <w:t>Neoplatonismus</w:t>
      </w:r>
      <w:r>
        <w:rPr>
          <w:rFonts w:ascii="Times New Roman" w:hAnsi="Times New Roman" w:cs="Times New Roman"/>
        </w:rPr>
        <w:t>’</w:t>
      </w:r>
      <w:r>
        <w:rPr>
          <w:rFonts w:ascii="Times New Roman" w:hAnsi="Times New Roman" w:cs="Times New Roman"/>
          <w:i/>
        </w:rPr>
        <w:t xml:space="preserve"> </w:t>
      </w:r>
      <w:r>
        <w:rPr>
          <w:rFonts w:ascii="Times New Roman" w:hAnsi="Times New Roman" w:cs="Times New Roman"/>
        </w:rPr>
        <w:t xml:space="preserve">rispecchia la </w:t>
      </w:r>
      <w:r w:rsidRPr="004371FB">
        <w:rPr>
          <w:rFonts w:ascii="Times New Roman" w:hAnsi="Times New Roman" w:cs="Times New Roman"/>
        </w:rPr>
        <w:t xml:space="preserve">convinzione di una contiguità tematica dei medesimi. </w:t>
      </w:r>
      <w:r>
        <w:rPr>
          <w:rFonts w:ascii="Times New Roman" w:hAnsi="Times New Roman" w:cs="Times New Roman"/>
        </w:rPr>
        <w:t>N</w:t>
      </w:r>
      <w:r w:rsidRPr="004371FB">
        <w:rPr>
          <w:rFonts w:ascii="Times New Roman" w:hAnsi="Times New Roman" w:cs="Times New Roman"/>
        </w:rPr>
        <w:t xml:space="preserve">onostante ciò, </w:t>
      </w:r>
      <w:r>
        <w:rPr>
          <w:rFonts w:ascii="Times New Roman" w:hAnsi="Times New Roman" w:cs="Times New Roman"/>
        </w:rPr>
        <w:t>la sapienza del popolo ebraico</w:t>
      </w:r>
      <w:r w:rsidRPr="004371FB">
        <w:rPr>
          <w:rFonts w:ascii="Times New Roman" w:hAnsi="Times New Roman" w:cs="Times New Roman"/>
        </w:rPr>
        <w:t xml:space="preserve"> andrà incontro ad </w:t>
      </w:r>
      <w:r w:rsidRPr="008559E6">
        <w:rPr>
          <w:rFonts w:ascii="Times New Roman" w:hAnsi="Times New Roman" w:cs="Times New Roman"/>
        </w:rPr>
        <w:t xml:space="preserve">un declassamento speculativo: sebbene contenga qualche aspetto dell’emanatismo filoniano e neoplatonico, la Qabbalah sarà privata di quel </w:t>
      </w:r>
      <w:r w:rsidRPr="008559E6">
        <w:rPr>
          <w:rFonts w:ascii="Times New Roman" w:hAnsi="Times New Roman" w:cs="Times New Roman"/>
          <w:i/>
        </w:rPr>
        <w:t>dinamismo</w:t>
      </w:r>
      <w:r w:rsidRPr="008559E6">
        <w:rPr>
          <w:rFonts w:ascii="Times New Roman" w:hAnsi="Times New Roman" w:cs="Times New Roman"/>
        </w:rPr>
        <w:t xml:space="preserve"> presente nel manoscritto Häring e sarà assimilata a paradigmi interpretativi dal gusto più </w:t>
      </w:r>
      <w:r w:rsidRPr="0013418E">
        <w:rPr>
          <w:rFonts w:ascii="Times New Roman" w:hAnsi="Times New Roman" w:cs="Times New Roman"/>
          <w:i/>
        </w:rPr>
        <w:t>orientaleggiante</w:t>
      </w:r>
      <w:r w:rsidRPr="004371FB">
        <w:rPr>
          <w:rFonts w:ascii="Times New Roman" w:hAnsi="Times New Roman" w:cs="Times New Roman"/>
        </w:rPr>
        <w:t>.</w:t>
      </w:r>
      <w:r>
        <w:rPr>
          <w:rFonts w:ascii="Times New Roman" w:hAnsi="Times New Roman" w:cs="Times New Roman"/>
        </w:rPr>
        <w:t xml:space="preserve"> </w:t>
      </w:r>
    </w:p>
    <w:p w14:paraId="481AD4A3" w14:textId="4839243B" w:rsidR="001B7751" w:rsidRDefault="001B7751" w:rsidP="001B7751">
      <w:pPr>
        <w:spacing w:line="360" w:lineRule="auto"/>
        <w:ind w:firstLine="567"/>
        <w:jc w:val="both"/>
        <w:rPr>
          <w:rFonts w:ascii="Times New Roman" w:hAnsi="Times New Roman" w:cs="Times New Roman"/>
        </w:rPr>
      </w:pPr>
      <w:r w:rsidRPr="0013418E">
        <w:rPr>
          <w:rFonts w:ascii="Times New Roman" w:hAnsi="Times New Roman" w:cs="Times New Roman"/>
        </w:rPr>
        <w:t xml:space="preserve">Dai toni ben più moderati, le </w:t>
      </w:r>
      <w:r w:rsidRPr="0013418E">
        <w:rPr>
          <w:rFonts w:ascii="Times New Roman" w:hAnsi="Times New Roman" w:cs="Times New Roman"/>
          <w:i/>
        </w:rPr>
        <w:t>Vorlesungen</w:t>
      </w:r>
      <w:r w:rsidRPr="0013418E">
        <w:rPr>
          <w:rFonts w:ascii="Times New Roman" w:hAnsi="Times New Roman" w:cs="Times New Roman"/>
        </w:rPr>
        <w:t xml:space="preserve"> del 1825/26 </w:t>
      </w:r>
      <w:r w:rsidR="00B8021C" w:rsidRPr="0013418E">
        <w:rPr>
          <w:rFonts w:ascii="Times New Roman" w:hAnsi="Times New Roman" w:cs="Times New Roman"/>
        </w:rPr>
        <w:t>e dell’edizione Michelet (</w:t>
      </w:r>
      <w:r w:rsidR="00241A6D" w:rsidRPr="0013418E">
        <w:rPr>
          <w:rFonts w:ascii="Times New Roman" w:hAnsi="Times New Roman" w:cs="Times New Roman"/>
        </w:rPr>
        <w:t>1833</w:t>
      </w:r>
      <w:r w:rsidR="00241A6D">
        <w:rPr>
          <w:rFonts w:ascii="Times New Roman" w:hAnsi="Times New Roman" w:cs="Times New Roman"/>
        </w:rPr>
        <w:t>/36</w:t>
      </w:r>
      <w:r w:rsidR="00241A6D" w:rsidRPr="0013418E">
        <w:rPr>
          <w:rFonts w:ascii="Times New Roman" w:hAnsi="Times New Roman" w:cs="Times New Roman"/>
        </w:rPr>
        <w:t xml:space="preserve"> e 18</w:t>
      </w:r>
      <w:r w:rsidR="00241A6D">
        <w:rPr>
          <w:rFonts w:ascii="Times New Roman" w:hAnsi="Times New Roman" w:cs="Times New Roman"/>
        </w:rPr>
        <w:t>40/</w:t>
      </w:r>
      <w:r w:rsidR="00241A6D" w:rsidRPr="0013418E">
        <w:rPr>
          <w:rFonts w:ascii="Times New Roman" w:hAnsi="Times New Roman" w:cs="Times New Roman"/>
        </w:rPr>
        <w:t>44</w:t>
      </w:r>
      <w:r w:rsidRPr="0013418E">
        <w:rPr>
          <w:rFonts w:ascii="Times New Roman" w:hAnsi="Times New Roman" w:cs="Times New Roman"/>
        </w:rPr>
        <w:t xml:space="preserve">) offrono un quadro del pensiero cabbalistico contenutisticamente ridimensionato. Riguardo alla cornice storico-culturale della Qabbalah, </w:t>
      </w:r>
      <w:r w:rsidR="009C1B87" w:rsidRPr="0013418E">
        <w:rPr>
          <w:rFonts w:ascii="Times New Roman" w:hAnsi="Times New Roman" w:cs="Times New Roman"/>
        </w:rPr>
        <w:t>Hegel non apporta nessuna modifica degna di nota</w:t>
      </w:r>
      <w:r w:rsidRPr="0013418E">
        <w:rPr>
          <w:rFonts w:ascii="Times New Roman" w:hAnsi="Times New Roman" w:cs="Times New Roman"/>
        </w:rPr>
        <w:t>:</w:t>
      </w:r>
      <w:r w:rsidRPr="002F315B">
        <w:rPr>
          <w:rFonts w:ascii="Times New Roman" w:hAnsi="Times New Roman" w:cs="Times New Roman"/>
        </w:rPr>
        <w:t xml:space="preserve"> alle presunte origini divine della sapienza del popolo ebraico, sono contrapposte inf</w:t>
      </w:r>
      <w:r w:rsidR="009C1B87">
        <w:rPr>
          <w:rFonts w:ascii="Times New Roman" w:hAnsi="Times New Roman" w:cs="Times New Roman"/>
        </w:rPr>
        <w:t xml:space="preserve">ormazioni di carattere storico, </w:t>
      </w:r>
      <w:r w:rsidRPr="00CF03B5">
        <w:rPr>
          <w:rFonts w:ascii="Times New Roman" w:hAnsi="Times New Roman" w:cs="Times New Roman"/>
        </w:rPr>
        <w:t>che contestualizzano</w:t>
      </w:r>
      <w:r w:rsidRPr="002F315B">
        <w:rPr>
          <w:rFonts w:ascii="Times New Roman" w:hAnsi="Times New Roman" w:cs="Times New Roman"/>
        </w:rPr>
        <w:t xml:space="preserve"> ciò che altrimenti rimarrebbe avvolto da un’aura mitica. </w:t>
      </w:r>
      <w:r w:rsidR="009C1B87" w:rsidRPr="0013418E">
        <w:rPr>
          <w:rFonts w:ascii="Times New Roman" w:hAnsi="Times New Roman" w:cs="Times New Roman"/>
        </w:rPr>
        <w:t>S</w:t>
      </w:r>
      <w:r w:rsidRPr="0013418E">
        <w:rPr>
          <w:rFonts w:ascii="Times New Roman" w:hAnsi="Times New Roman" w:cs="Times New Roman"/>
        </w:rPr>
        <w:t>orta nel contesto storico-culturale alessandrino, la sapienza ebraica rappresenta una combinazione di elementi teorici greci e orientali. Quel testo, capace di esibire le due anime d</w:t>
      </w:r>
      <w:r w:rsidR="0013418E" w:rsidRPr="0013418E">
        <w:rPr>
          <w:rFonts w:ascii="Times New Roman" w:hAnsi="Times New Roman" w:cs="Times New Roman"/>
        </w:rPr>
        <w:t>ella filosofia cabbalistica, è ancora una volta</w:t>
      </w:r>
      <w:r w:rsidRPr="0013418E">
        <w:rPr>
          <w:rFonts w:ascii="Times New Roman" w:hAnsi="Times New Roman" w:cs="Times New Roman"/>
        </w:rPr>
        <w:t xml:space="preserve"> la </w:t>
      </w:r>
      <w:r w:rsidRPr="0013418E">
        <w:rPr>
          <w:rFonts w:ascii="Times New Roman" w:hAnsi="Times New Roman" w:cs="Times New Roman"/>
          <w:i/>
        </w:rPr>
        <w:t>Porta Coelorum</w:t>
      </w:r>
      <w:r w:rsidRPr="0013418E">
        <w:rPr>
          <w:rFonts w:ascii="Times New Roman" w:hAnsi="Times New Roman" w:cs="Times New Roman"/>
        </w:rPr>
        <w:t xml:space="preserve"> di Abraham Cohen de Herrera:</w:t>
      </w:r>
      <w:r>
        <w:rPr>
          <w:rFonts w:ascii="Times New Roman" w:hAnsi="Times New Roman" w:cs="Times New Roman"/>
        </w:rPr>
        <w:t xml:space="preserve"> </w:t>
      </w:r>
    </w:p>
    <w:p w14:paraId="485C5325" w14:textId="77777777" w:rsidR="001B7751" w:rsidRDefault="001B7751" w:rsidP="001B7751">
      <w:pPr>
        <w:spacing w:line="360" w:lineRule="auto"/>
        <w:ind w:left="567" w:firstLine="567"/>
        <w:jc w:val="both"/>
        <w:rPr>
          <w:rFonts w:ascii="Times New Roman" w:hAnsi="Times New Roman" w:cs="Times New Roman"/>
        </w:rPr>
      </w:pPr>
    </w:p>
    <w:p w14:paraId="18EE9BCB" w14:textId="77777777" w:rsidR="001B7751" w:rsidRDefault="001B7751" w:rsidP="001B7751">
      <w:pPr>
        <w:spacing w:line="360" w:lineRule="auto"/>
        <w:ind w:left="567" w:firstLine="567"/>
        <w:jc w:val="both"/>
        <w:rPr>
          <w:rFonts w:ascii="Times New Roman" w:hAnsi="Times New Roman" w:cs="Times New Roman"/>
          <w:sz w:val="20"/>
          <w:szCs w:val="20"/>
          <w:lang w:val="de-DE"/>
        </w:rPr>
      </w:pPr>
      <w:r w:rsidRPr="008415E4">
        <w:rPr>
          <w:rFonts w:ascii="Times New Roman" w:hAnsi="Times New Roman" w:cs="Times New Roman"/>
          <w:sz w:val="20"/>
          <w:szCs w:val="20"/>
          <w:lang w:val="de-DE"/>
        </w:rPr>
        <w:t>«Ein später Israelit, der Rabbi Abraham Cohen Irira, hat auch ein Bu</w:t>
      </w:r>
      <w:r>
        <w:rPr>
          <w:rFonts w:ascii="Times New Roman" w:hAnsi="Times New Roman" w:cs="Times New Roman"/>
          <w:sz w:val="20"/>
          <w:szCs w:val="20"/>
          <w:lang w:val="de-DE"/>
        </w:rPr>
        <w:t>ch geschrieben, Porta Coelorum, das Himmelstor, i</w:t>
      </w:r>
      <w:r w:rsidRPr="008415E4">
        <w:rPr>
          <w:rFonts w:ascii="Times New Roman" w:hAnsi="Times New Roman" w:cs="Times New Roman"/>
          <w:sz w:val="20"/>
          <w:szCs w:val="20"/>
          <w:lang w:val="de-DE"/>
        </w:rPr>
        <w:t xml:space="preserve">m 15. Jahrhundert, </w:t>
      </w:r>
      <w:r>
        <w:rPr>
          <w:rFonts w:ascii="Times New Roman" w:hAnsi="Times New Roman" w:cs="Times New Roman"/>
          <w:sz w:val="20"/>
          <w:szCs w:val="20"/>
          <w:lang w:val="de-DE"/>
        </w:rPr>
        <w:t xml:space="preserve">das sich </w:t>
      </w:r>
      <w:r w:rsidRPr="008415E4">
        <w:rPr>
          <w:rFonts w:ascii="Times New Roman" w:hAnsi="Times New Roman" w:cs="Times New Roman"/>
          <w:sz w:val="20"/>
          <w:szCs w:val="20"/>
          <w:lang w:val="de-DE"/>
        </w:rPr>
        <w:t>auf Araber und Scholastiker</w:t>
      </w:r>
      <w:r>
        <w:rPr>
          <w:rFonts w:ascii="Times New Roman" w:hAnsi="Times New Roman" w:cs="Times New Roman"/>
          <w:sz w:val="20"/>
          <w:szCs w:val="20"/>
          <w:lang w:val="de-DE"/>
        </w:rPr>
        <w:t xml:space="preserve"> bezieht</w:t>
      </w:r>
      <w:r w:rsidRPr="008415E4">
        <w:rPr>
          <w:rFonts w:ascii="Times New Roman" w:hAnsi="Times New Roman" w:cs="Times New Roman"/>
          <w:sz w:val="20"/>
          <w:szCs w:val="20"/>
          <w:lang w:val="de-DE"/>
        </w:rPr>
        <w:t xml:space="preserve">. </w:t>
      </w:r>
      <w:r>
        <w:rPr>
          <w:rFonts w:ascii="Times New Roman" w:hAnsi="Times New Roman" w:cs="Times New Roman"/>
          <w:sz w:val="20"/>
          <w:szCs w:val="20"/>
          <w:lang w:val="de-DE"/>
        </w:rPr>
        <w:t xml:space="preserve">Aus diesen </w:t>
      </w:r>
      <w:r w:rsidRPr="008415E4">
        <w:rPr>
          <w:rFonts w:ascii="Times New Roman" w:hAnsi="Times New Roman" w:cs="Times New Roman"/>
          <w:sz w:val="20"/>
          <w:szCs w:val="20"/>
          <w:lang w:val="de-DE"/>
        </w:rPr>
        <w:t xml:space="preserve">Büchern </w:t>
      </w:r>
      <w:r>
        <w:rPr>
          <w:rFonts w:ascii="Times New Roman" w:hAnsi="Times New Roman" w:cs="Times New Roman"/>
          <w:sz w:val="20"/>
          <w:szCs w:val="20"/>
          <w:lang w:val="de-DE"/>
        </w:rPr>
        <w:t>kann man die geheime Weisheit der Kabbalistik schöpfen.</w:t>
      </w:r>
      <w:r w:rsidRPr="008415E4">
        <w:rPr>
          <w:rFonts w:ascii="Times New Roman" w:hAnsi="Times New Roman" w:cs="Times New Roman"/>
          <w:sz w:val="20"/>
          <w:szCs w:val="20"/>
          <w:lang w:val="de-DE"/>
        </w:rPr>
        <w:t xml:space="preserve"> Das Bessere darin bewegt sich in ähnliche</w:t>
      </w:r>
      <w:r>
        <w:rPr>
          <w:rFonts w:ascii="Times New Roman" w:hAnsi="Times New Roman" w:cs="Times New Roman"/>
          <w:sz w:val="20"/>
          <w:szCs w:val="20"/>
          <w:lang w:val="de-DE"/>
        </w:rPr>
        <w:t>n Vorstellungen wie bei Philon</w:t>
      </w:r>
      <w:r w:rsidRPr="008415E4">
        <w:rPr>
          <w:rFonts w:ascii="Times New Roman" w:hAnsi="Times New Roman" w:cs="Times New Roman"/>
          <w:sz w:val="20"/>
          <w:szCs w:val="20"/>
          <w:lang w:val="de-DE"/>
        </w:rPr>
        <w:t>»</w:t>
      </w:r>
      <w:r w:rsidRPr="008415E4">
        <w:rPr>
          <w:rStyle w:val="Rimandonotaapidipagina"/>
          <w:rFonts w:ascii="Times New Roman" w:hAnsi="Times New Roman" w:cs="Times New Roman"/>
          <w:sz w:val="20"/>
          <w:szCs w:val="20"/>
          <w:lang w:val="de-DE"/>
        </w:rPr>
        <w:footnoteReference w:id="793"/>
      </w:r>
      <w:r w:rsidRPr="008415E4">
        <w:rPr>
          <w:rFonts w:ascii="Times New Roman" w:hAnsi="Times New Roman" w:cs="Times New Roman"/>
          <w:sz w:val="20"/>
          <w:szCs w:val="20"/>
          <w:lang w:val="de-DE"/>
        </w:rPr>
        <w:t>.</w:t>
      </w:r>
    </w:p>
    <w:p w14:paraId="14DB7D10" w14:textId="77777777" w:rsidR="001B7751" w:rsidRPr="009D79E7" w:rsidRDefault="001B7751" w:rsidP="001B7751">
      <w:pPr>
        <w:spacing w:line="360" w:lineRule="auto"/>
        <w:ind w:left="567" w:firstLine="567"/>
        <w:jc w:val="both"/>
        <w:rPr>
          <w:rFonts w:ascii="Times New Roman" w:hAnsi="Times New Roman" w:cs="Times New Roman"/>
          <w:lang w:val="de-DE"/>
        </w:rPr>
      </w:pPr>
    </w:p>
    <w:p w14:paraId="435978C6" w14:textId="77777777" w:rsidR="001B7751" w:rsidRPr="00C42893" w:rsidRDefault="001B7751" w:rsidP="001B7751">
      <w:pPr>
        <w:spacing w:line="360" w:lineRule="auto"/>
        <w:ind w:firstLine="567"/>
        <w:jc w:val="both"/>
        <w:rPr>
          <w:rFonts w:ascii="Times New Roman" w:hAnsi="Times New Roman" w:cs="Times New Roman"/>
          <w:lang w:val="de-DE"/>
        </w:rPr>
      </w:pPr>
      <w:r w:rsidRPr="00C42893">
        <w:rPr>
          <w:rFonts w:ascii="Times New Roman" w:hAnsi="Times New Roman" w:cs="Times New Roman"/>
          <w:lang w:val="de-DE"/>
        </w:rPr>
        <w:t>E a queste osservazioni si sovrappongono quelle raccolte da Michelet, che arricchiscono, apportando alcune modifiche nel contenuto, le informazioni appena introdotte:</w:t>
      </w:r>
    </w:p>
    <w:p w14:paraId="5A7B12FA" w14:textId="77777777" w:rsidR="001B7751" w:rsidRDefault="001B7751" w:rsidP="001B7751">
      <w:pPr>
        <w:spacing w:line="360" w:lineRule="auto"/>
        <w:ind w:firstLine="567"/>
        <w:jc w:val="both"/>
        <w:rPr>
          <w:rFonts w:ascii="Times New Roman" w:hAnsi="Times New Roman" w:cs="Times New Roman"/>
          <w:lang w:val="de-DE"/>
        </w:rPr>
      </w:pPr>
    </w:p>
    <w:p w14:paraId="3E93F2DD" w14:textId="77777777" w:rsidR="001B7751" w:rsidRDefault="001B7751" w:rsidP="001B7751">
      <w:pPr>
        <w:spacing w:line="360" w:lineRule="auto"/>
        <w:ind w:left="567" w:firstLine="567"/>
        <w:jc w:val="both"/>
        <w:rPr>
          <w:rFonts w:ascii="Times New Roman" w:hAnsi="Times New Roman" w:cs="Times New Roman"/>
          <w:lang w:val="de-DE"/>
        </w:rPr>
      </w:pPr>
      <w:r w:rsidRPr="00DA5FAF">
        <w:rPr>
          <w:rFonts w:ascii="Times New Roman" w:hAnsi="Times New Roman" w:cs="Times New Roman"/>
          <w:sz w:val="20"/>
          <w:szCs w:val="20"/>
          <w:lang w:val="de-DE"/>
        </w:rPr>
        <w:t>«Ein spekulativer Israelit, der Rabbi Abraham Cohen Irira, hat auch ein Buch geschrieben, das Himmelstor (Porta Coelorum); es ist spater, aus dem 15. Jahrhundert, und enthalt Beziehungen auf Araber und Scholastiker. Die sind die Quellen der hohen kabbalistischen Weisheit. Es ist trübes Gemenge; das Buch hat allgemeine Grundlage. Das Bessere darin bewegt sich in ähnlichen Vorstellungen wie bei Philon. In diesen Büchern sind gewisse recht interessante Grundbestimmung, von denen man aber zu trüben Phantastereien fortgegangen ist»</w:t>
      </w:r>
      <w:r w:rsidRPr="00DA5FAF">
        <w:rPr>
          <w:rStyle w:val="Rimandonotaapidipagina"/>
          <w:rFonts w:ascii="Times New Roman" w:hAnsi="Times New Roman" w:cs="Times New Roman"/>
          <w:sz w:val="20"/>
          <w:szCs w:val="20"/>
          <w:lang w:val="de-DE"/>
        </w:rPr>
        <w:footnoteReference w:id="794"/>
      </w:r>
    </w:p>
    <w:p w14:paraId="4CD8CD4B" w14:textId="77777777" w:rsidR="001B7751" w:rsidRDefault="001B7751" w:rsidP="001B7751">
      <w:pPr>
        <w:spacing w:line="360" w:lineRule="auto"/>
        <w:jc w:val="both"/>
        <w:rPr>
          <w:rFonts w:ascii="Times New Roman" w:hAnsi="Times New Roman" w:cs="Times New Roman"/>
          <w:lang w:val="de-DE"/>
        </w:rPr>
      </w:pPr>
    </w:p>
    <w:p w14:paraId="34489B40" w14:textId="0F14DB66" w:rsidR="001B7751" w:rsidRDefault="001B7751" w:rsidP="001B7751">
      <w:pPr>
        <w:spacing w:line="360" w:lineRule="auto"/>
        <w:ind w:firstLine="567"/>
        <w:jc w:val="both"/>
        <w:rPr>
          <w:rFonts w:ascii="Times New Roman" w:hAnsi="Times New Roman" w:cs="Times New Roman"/>
        </w:rPr>
      </w:pPr>
      <w:r w:rsidRPr="006439E5">
        <w:rPr>
          <w:rFonts w:ascii="Times New Roman" w:hAnsi="Times New Roman" w:cs="Times New Roman"/>
        </w:rPr>
        <w:t xml:space="preserve">Il quadro di riferimento, non è difficile vederlo, subisce delle flessioni tematiche di non poco conto. Alla datazione erronea della </w:t>
      </w:r>
      <w:r w:rsidRPr="006439E5">
        <w:rPr>
          <w:rFonts w:ascii="Times New Roman" w:hAnsi="Times New Roman" w:cs="Times New Roman"/>
          <w:i/>
        </w:rPr>
        <w:t>Porta Coelorum</w:t>
      </w:r>
      <w:r w:rsidRPr="006439E5">
        <w:rPr>
          <w:rFonts w:ascii="Times New Roman" w:hAnsi="Times New Roman" w:cs="Times New Roman"/>
        </w:rPr>
        <w:t xml:space="preserve"> nel XV secolo, seguono una serie di osservazioni che ne riducono fortemente l’impatto speculativo. Nel trattato di Herrera sono presenti dei riferimenti alla filosofia araba e scolastica. Quest’eredità storico-culturale, coniugata con il pensiero di Filone d’Alessandria, determina la formazione di alcuni principi universali, la cui intellegibilità va incontro ad un intorbidimento fantastico. Le determinazioni fondamentali della </w:t>
      </w:r>
      <w:r w:rsidRPr="006439E5">
        <w:rPr>
          <w:rFonts w:ascii="Times New Roman" w:hAnsi="Times New Roman" w:cs="Times New Roman"/>
          <w:i/>
        </w:rPr>
        <w:t>Porta Coelorum</w:t>
      </w:r>
      <w:r w:rsidRPr="006439E5">
        <w:rPr>
          <w:rFonts w:ascii="Times New Roman" w:hAnsi="Times New Roman" w:cs="Times New Roman"/>
        </w:rPr>
        <w:t xml:space="preserve"> e, più in generale</w:t>
      </w:r>
      <w:r>
        <w:rPr>
          <w:rFonts w:ascii="Times New Roman" w:hAnsi="Times New Roman" w:cs="Times New Roman"/>
        </w:rPr>
        <w:t xml:space="preserve"> ancora</w:t>
      </w:r>
      <w:r w:rsidRPr="006439E5">
        <w:rPr>
          <w:rFonts w:ascii="Times New Roman" w:hAnsi="Times New Roman" w:cs="Times New Roman"/>
        </w:rPr>
        <w:t xml:space="preserve">, della </w:t>
      </w:r>
      <w:r>
        <w:rPr>
          <w:rFonts w:ascii="Times New Roman" w:hAnsi="Times New Roman" w:cs="Times New Roman"/>
        </w:rPr>
        <w:t xml:space="preserve">filosofia </w:t>
      </w:r>
      <w:r w:rsidRPr="006439E5">
        <w:rPr>
          <w:rFonts w:ascii="Times New Roman" w:hAnsi="Times New Roman" w:cs="Times New Roman"/>
        </w:rPr>
        <w:t xml:space="preserve">cabbalistica mostrano una strutturale mancanza d’intellegibilità: </w:t>
      </w:r>
      <w:r>
        <w:rPr>
          <w:rFonts w:ascii="Times New Roman" w:hAnsi="Times New Roman" w:cs="Times New Roman"/>
        </w:rPr>
        <w:t>il risultato dell’esercizio non controllato della fantasia è una torbida miscela (</w:t>
      </w:r>
      <w:r w:rsidRPr="00F56CFB">
        <w:rPr>
          <w:rFonts w:ascii="Times New Roman" w:hAnsi="Times New Roman" w:cs="Times New Roman"/>
          <w:i/>
        </w:rPr>
        <w:t xml:space="preserve">ein </w:t>
      </w:r>
      <w:r w:rsidRPr="00463262">
        <w:rPr>
          <w:rFonts w:ascii="Times New Roman" w:hAnsi="Times New Roman" w:cs="Times New Roman"/>
          <w:i/>
          <w:lang w:val="de-DE"/>
        </w:rPr>
        <w:t>trübes Gemenge</w:t>
      </w:r>
      <w:r>
        <w:rPr>
          <w:rFonts w:ascii="Times New Roman" w:hAnsi="Times New Roman" w:cs="Times New Roman"/>
        </w:rPr>
        <w:t xml:space="preserve">) di determinazioni di pensiero. Cadono i riferimenti allo sforzo che la ragione dovrebbe fare per cogliere, al di là di una forma espositiva </w:t>
      </w:r>
      <w:r w:rsidRPr="002D3D94">
        <w:rPr>
          <w:rFonts w:ascii="Times New Roman" w:hAnsi="Times New Roman" w:cs="Times New Roman"/>
        </w:rPr>
        <w:t>inadeguata e torbida, dei pensieri dotati di spessore speculativo. A questo riguardo, Hegel recupera l’idea – già espressa nel manoscritto Meyer – che alla torbidezza formale segua un’oscurità contenutistica.</w:t>
      </w:r>
      <w:r w:rsidRPr="00391C00">
        <w:rPr>
          <w:rFonts w:ascii="Times New Roman" w:hAnsi="Times New Roman" w:cs="Times New Roman"/>
        </w:rPr>
        <w:t xml:space="preserve"> </w:t>
      </w:r>
      <w:r w:rsidRPr="006439E5">
        <w:rPr>
          <w:rFonts w:ascii="Times New Roman" w:hAnsi="Times New Roman" w:cs="Times New Roman"/>
        </w:rPr>
        <w:t>Già da queste note introduttive, s’evince il mutato atteggiamento hegeliano nei confronti della sapienza ebraica: se nel manoscritto</w:t>
      </w:r>
      <w:r w:rsidRPr="00391C00">
        <w:rPr>
          <w:rFonts w:ascii="Times New Roman" w:hAnsi="Times New Roman" w:cs="Times New Roman"/>
        </w:rPr>
        <w:t xml:space="preserve"> Häring è percepibile un entusiasmo prossimo, in un certo senso, a quanto osservato nella ricezione della filosofia di Böhme, nel</w:t>
      </w:r>
      <w:r w:rsidR="008138D7">
        <w:rPr>
          <w:rFonts w:ascii="Times New Roman" w:hAnsi="Times New Roman" w:cs="Times New Roman"/>
        </w:rPr>
        <w:t>le</w:t>
      </w:r>
      <w:r w:rsidRPr="00391C00">
        <w:rPr>
          <w:rFonts w:ascii="Times New Roman" w:hAnsi="Times New Roman" w:cs="Times New Roman"/>
        </w:rPr>
        <w:t xml:space="preserve"> </w:t>
      </w:r>
      <w:r w:rsidRPr="00391C00">
        <w:rPr>
          <w:rFonts w:ascii="Times New Roman" w:hAnsi="Times New Roman" w:cs="Times New Roman"/>
          <w:i/>
        </w:rPr>
        <w:t xml:space="preserve">Vorlesungen </w:t>
      </w:r>
      <w:r w:rsidRPr="00391C00">
        <w:rPr>
          <w:rFonts w:ascii="Times New Roman" w:hAnsi="Times New Roman" w:cs="Times New Roman"/>
        </w:rPr>
        <w:t>del 1825/26 e dell’edizione Michel</w:t>
      </w:r>
      <w:r w:rsidR="008138D7">
        <w:rPr>
          <w:rFonts w:ascii="Times New Roman" w:hAnsi="Times New Roman" w:cs="Times New Roman"/>
        </w:rPr>
        <w:t>et (</w:t>
      </w:r>
      <w:r w:rsidR="00D07489" w:rsidRPr="0013418E">
        <w:rPr>
          <w:rFonts w:ascii="Times New Roman" w:hAnsi="Times New Roman" w:cs="Times New Roman"/>
        </w:rPr>
        <w:t>1833</w:t>
      </w:r>
      <w:r w:rsidR="009E6F9F">
        <w:rPr>
          <w:rFonts w:ascii="Times New Roman" w:hAnsi="Times New Roman" w:cs="Times New Roman"/>
        </w:rPr>
        <w:t>/36</w:t>
      </w:r>
      <w:r w:rsidR="00D07489" w:rsidRPr="0013418E">
        <w:rPr>
          <w:rFonts w:ascii="Times New Roman" w:hAnsi="Times New Roman" w:cs="Times New Roman"/>
        </w:rPr>
        <w:t xml:space="preserve"> e 18</w:t>
      </w:r>
      <w:r w:rsidR="009E6F9F">
        <w:rPr>
          <w:rFonts w:ascii="Times New Roman" w:hAnsi="Times New Roman" w:cs="Times New Roman"/>
        </w:rPr>
        <w:t>40/</w:t>
      </w:r>
      <w:r w:rsidR="00D07489" w:rsidRPr="0013418E">
        <w:rPr>
          <w:rFonts w:ascii="Times New Roman" w:hAnsi="Times New Roman" w:cs="Times New Roman"/>
        </w:rPr>
        <w:t>44</w:t>
      </w:r>
      <w:r w:rsidRPr="00391C00">
        <w:rPr>
          <w:rFonts w:ascii="Times New Roman" w:hAnsi="Times New Roman" w:cs="Times New Roman"/>
        </w:rPr>
        <w:t>) si osserva un certo distacco per una materia in cui sembra smarrirsi il pensare speculativo.</w:t>
      </w:r>
      <w:r>
        <w:rPr>
          <w:rFonts w:ascii="Times New Roman" w:hAnsi="Times New Roman" w:cs="Times New Roman"/>
        </w:rPr>
        <w:t xml:space="preserve"> </w:t>
      </w:r>
    </w:p>
    <w:p w14:paraId="6078BA65" w14:textId="77777777" w:rsidR="001B7751" w:rsidRDefault="001B7751" w:rsidP="001B7751">
      <w:pPr>
        <w:spacing w:line="360" w:lineRule="auto"/>
        <w:ind w:firstLine="567"/>
        <w:jc w:val="both"/>
        <w:rPr>
          <w:rFonts w:ascii="Times New Roman" w:hAnsi="Times New Roman" w:cs="Times New Roman"/>
        </w:rPr>
      </w:pPr>
      <w:r w:rsidRPr="00E8537C">
        <w:rPr>
          <w:rFonts w:ascii="Times New Roman" w:hAnsi="Times New Roman" w:cs="Times New Roman"/>
        </w:rPr>
        <w:t xml:space="preserve">Dopo queste considerazioni di carattere introduttivo, segue una concisa discussione delle </w:t>
      </w:r>
      <w:r w:rsidRPr="00E8537C">
        <w:rPr>
          <w:rFonts w:ascii="Times New Roman" w:hAnsi="Times New Roman" w:cs="Times New Roman"/>
          <w:i/>
        </w:rPr>
        <w:t xml:space="preserve">Grundbestimmungen </w:t>
      </w:r>
      <w:r w:rsidRPr="00E8537C">
        <w:rPr>
          <w:rFonts w:ascii="Times New Roman" w:hAnsi="Times New Roman" w:cs="Times New Roman"/>
        </w:rPr>
        <w:t>cabbalistiche. Sulla costellazione di senso presente all’interno della Qabbalah, Hegel osserva nelle lezioni del 1825/26:</w:t>
      </w:r>
    </w:p>
    <w:p w14:paraId="12938DDC" w14:textId="77777777" w:rsidR="001B7751" w:rsidRDefault="001B7751" w:rsidP="001B7751">
      <w:pPr>
        <w:spacing w:line="360" w:lineRule="auto"/>
        <w:ind w:firstLine="567"/>
        <w:jc w:val="both"/>
        <w:rPr>
          <w:rFonts w:ascii="Times New Roman" w:hAnsi="Times New Roman" w:cs="Times New Roman"/>
        </w:rPr>
      </w:pPr>
    </w:p>
    <w:p w14:paraId="41B5EA3E" w14:textId="77777777" w:rsidR="001B7751" w:rsidRPr="00BA5FC5" w:rsidRDefault="001B7751" w:rsidP="001B7751">
      <w:pPr>
        <w:spacing w:line="360" w:lineRule="auto"/>
        <w:ind w:left="567" w:firstLine="567"/>
        <w:jc w:val="both"/>
        <w:rPr>
          <w:rFonts w:ascii="Times New Roman" w:hAnsi="Times New Roman" w:cs="Times New Roman"/>
          <w:sz w:val="20"/>
          <w:szCs w:val="20"/>
        </w:rPr>
      </w:pPr>
      <w:r w:rsidRPr="00BA5FC5">
        <w:rPr>
          <w:rFonts w:ascii="Times New Roman" w:hAnsi="Times New Roman" w:cs="Times New Roman"/>
          <w:sz w:val="20"/>
          <w:szCs w:val="20"/>
        </w:rPr>
        <w:t>«</w:t>
      </w:r>
      <w:r>
        <w:rPr>
          <w:rFonts w:ascii="Times New Roman" w:hAnsi="Times New Roman" w:cs="Times New Roman"/>
          <w:sz w:val="20"/>
          <w:szCs w:val="20"/>
        </w:rPr>
        <w:t xml:space="preserve">Wie das Eine </w:t>
      </w:r>
      <w:r w:rsidRPr="008415E4">
        <w:rPr>
          <w:rFonts w:ascii="Times New Roman" w:eastAsia="Times New Roman" w:hAnsi="Times New Roman" w:cs="Times New Roman"/>
          <w:color w:val="000000"/>
          <w:sz w:val="20"/>
          <w:szCs w:val="20"/>
          <w:shd w:val="clear" w:color="auto" w:fill="FFFFFF"/>
          <w:lang w:val="de-DE"/>
        </w:rPr>
        <w:t>der Urquell aller Zahlen ist</w:t>
      </w:r>
      <w:r>
        <w:rPr>
          <w:rFonts w:ascii="Times New Roman" w:eastAsia="Times New Roman" w:hAnsi="Times New Roman" w:cs="Times New Roman"/>
          <w:color w:val="000000"/>
          <w:sz w:val="20"/>
          <w:szCs w:val="20"/>
          <w:shd w:val="clear" w:color="auto" w:fill="FFFFFF"/>
          <w:lang w:val="de-DE"/>
        </w:rPr>
        <w:t xml:space="preserve"> und nicht selber eine Zahl ist, als Einheit betrachtet, so ist Gott das Prinzip aller Dinge. In dem Ersten, Einen, ist alles eminenter enthalten, aber nicht formaliter, sondern causaliter: Das Erste darin ist der Adam Kadmon, Αδαμ Καδμον, der erste Mensch, die höchste Krone; durch weiteres Herausgehen, durch Emanation sind dann die anderen Sphären, Kreise und Welt geformt, und diese Emanation wird als Lichtströme von Zephyrin dargestellt – diese azilutische Welt [usf.] Die reinen Geister sind weitere Unterscheidungen, in denen diese trübe Weise fortgeht</w:t>
      </w:r>
      <w:r w:rsidRPr="008415E4">
        <w:rPr>
          <w:rFonts w:ascii="Times New Roman" w:hAnsi="Times New Roman" w:cs="Times New Roman"/>
          <w:sz w:val="20"/>
          <w:szCs w:val="20"/>
          <w:lang w:val="de-DE"/>
        </w:rPr>
        <w:t>»</w:t>
      </w:r>
      <w:r>
        <w:rPr>
          <w:rStyle w:val="Rimandonotaapidipagina"/>
          <w:rFonts w:ascii="Times New Roman" w:hAnsi="Times New Roman" w:cs="Times New Roman"/>
          <w:sz w:val="20"/>
          <w:szCs w:val="20"/>
          <w:lang w:val="de-DE"/>
        </w:rPr>
        <w:footnoteReference w:id="795"/>
      </w:r>
      <w:r>
        <w:rPr>
          <w:rFonts w:ascii="Times New Roman" w:hAnsi="Times New Roman" w:cs="Times New Roman"/>
          <w:sz w:val="20"/>
          <w:szCs w:val="20"/>
          <w:lang w:val="de-DE"/>
        </w:rPr>
        <w:t>.</w:t>
      </w:r>
    </w:p>
    <w:p w14:paraId="7AE824A3" w14:textId="77777777" w:rsidR="001B7751" w:rsidRDefault="001B7751" w:rsidP="001B7751">
      <w:pPr>
        <w:spacing w:line="360" w:lineRule="auto"/>
        <w:ind w:left="567" w:firstLine="567"/>
        <w:jc w:val="both"/>
        <w:rPr>
          <w:rFonts w:ascii="Times New Roman" w:hAnsi="Times New Roman" w:cs="Times New Roman"/>
        </w:rPr>
      </w:pPr>
    </w:p>
    <w:p w14:paraId="36D2726F" w14:textId="77777777" w:rsidR="001B7751" w:rsidRDefault="001B7751" w:rsidP="001B7751">
      <w:pPr>
        <w:spacing w:line="360" w:lineRule="auto"/>
        <w:ind w:firstLine="567"/>
        <w:jc w:val="both"/>
        <w:rPr>
          <w:rFonts w:ascii="Times New Roman" w:hAnsi="Times New Roman" w:cs="Times New Roman"/>
        </w:rPr>
      </w:pPr>
      <w:r>
        <w:rPr>
          <w:rFonts w:ascii="Times New Roman" w:hAnsi="Times New Roman" w:cs="Times New Roman"/>
        </w:rPr>
        <w:t xml:space="preserve">A ciò la prima e la seconda edizione delle </w:t>
      </w:r>
      <w:r w:rsidRPr="00817D27">
        <w:rPr>
          <w:rFonts w:ascii="Times New Roman" w:hAnsi="Times New Roman" w:cs="Times New Roman"/>
          <w:i/>
        </w:rPr>
        <w:t>Vorlesungen</w:t>
      </w:r>
      <w:r>
        <w:rPr>
          <w:rFonts w:ascii="Times New Roman" w:hAnsi="Times New Roman" w:cs="Times New Roman"/>
        </w:rPr>
        <w:t xml:space="preserve"> edite da Michelet aggiungono:</w:t>
      </w:r>
    </w:p>
    <w:p w14:paraId="427CD17C" w14:textId="77777777" w:rsidR="001B7751" w:rsidRPr="008415E4" w:rsidRDefault="001B7751" w:rsidP="001B7751">
      <w:pPr>
        <w:spacing w:line="360" w:lineRule="auto"/>
        <w:ind w:left="567" w:firstLine="567"/>
        <w:jc w:val="both"/>
        <w:rPr>
          <w:rFonts w:ascii="Times New Roman" w:hAnsi="Times New Roman" w:cs="Times New Roman"/>
        </w:rPr>
      </w:pPr>
    </w:p>
    <w:p w14:paraId="497D4EA0" w14:textId="2035B0A3" w:rsidR="001B7751" w:rsidRPr="008415E4" w:rsidRDefault="001B7751" w:rsidP="001B7751">
      <w:pPr>
        <w:spacing w:line="360" w:lineRule="auto"/>
        <w:ind w:left="567" w:firstLine="567"/>
        <w:jc w:val="both"/>
        <w:rPr>
          <w:rFonts w:ascii="Times New Roman" w:hAnsi="Times New Roman" w:cs="Times New Roman"/>
          <w:lang w:val="de-DE"/>
        </w:rPr>
      </w:pPr>
      <w:r w:rsidRPr="008415E4">
        <w:rPr>
          <w:rFonts w:ascii="Times New Roman" w:eastAsia="Times New Roman" w:hAnsi="Times New Roman" w:cs="Times New Roman"/>
          <w:color w:val="000000"/>
          <w:sz w:val="20"/>
          <w:szCs w:val="20"/>
          <w:shd w:val="clear" w:color="auto" w:fill="FFFFFF"/>
          <w:lang w:val="de-DE"/>
        </w:rPr>
        <w:t>«Was das Nähere der Kabbala betrifft, so ist es folgendes. Das Eins ist als Prinzip aller Dinge ausgesprochen, wie dieses auch der Urquell aller Zahlen ist. Wie die Zahleneinheit selber keine von allen Zahlen ist, so auf gleiche Weise Gott Grund aller Dinge (Ensoph). Die damit zusammenhängende Emanation ist Wirkung aus der ersten Ursache, durch Einschränkung jenes ersten Unendlichen; sie ist Grenze (</w:t>
      </w:r>
      <w:r w:rsidRPr="008415E4">
        <w:rPr>
          <w:rFonts w:ascii="Times New Roman" w:eastAsia="Times New Roman" w:hAnsi="Times New Roman" w:cs="Times New Roman"/>
          <w:iCs/>
          <w:color w:val="000000"/>
          <w:sz w:val="20"/>
          <w:szCs w:val="20"/>
          <w:shd w:val="clear" w:color="auto" w:fill="FFFFFF"/>
          <w:lang w:val="de-DE"/>
        </w:rPr>
        <w:t>horos</w:t>
      </w:r>
      <w:r w:rsidRPr="008415E4">
        <w:rPr>
          <w:rFonts w:ascii="Times New Roman" w:eastAsia="Times New Roman" w:hAnsi="Times New Roman" w:cs="Times New Roman"/>
          <w:color w:val="000000"/>
          <w:sz w:val="20"/>
          <w:szCs w:val="20"/>
          <w:shd w:val="clear" w:color="auto" w:fill="FFFFFF"/>
          <w:lang w:val="de-DE"/>
        </w:rPr>
        <w:t>) de</w:t>
      </w:r>
      <w:r w:rsidR="00984A84">
        <w:rPr>
          <w:rFonts w:ascii="Times New Roman" w:eastAsia="Times New Roman" w:hAnsi="Times New Roman" w:cs="Times New Roman"/>
          <w:color w:val="000000"/>
          <w:sz w:val="20"/>
          <w:szCs w:val="20"/>
          <w:shd w:val="clear" w:color="auto" w:fill="FFFFFF"/>
          <w:lang w:val="de-DE"/>
        </w:rPr>
        <w:t>s Ersten. In dieser ersten eine</w:t>
      </w:r>
      <w:r w:rsidR="009C1B87">
        <w:rPr>
          <w:rFonts w:ascii="Times New Roman" w:eastAsia="Times New Roman" w:hAnsi="Times New Roman" w:cs="Times New Roman"/>
          <w:color w:val="000000"/>
          <w:sz w:val="20"/>
          <w:szCs w:val="20"/>
          <w:shd w:val="clear" w:color="auto" w:fill="FFFFFF"/>
          <w:lang w:val="de-DE"/>
        </w:rPr>
        <w:t>n</w:t>
      </w:r>
      <w:r w:rsidRPr="008415E4">
        <w:rPr>
          <w:rFonts w:ascii="Times New Roman" w:eastAsia="Times New Roman" w:hAnsi="Times New Roman" w:cs="Times New Roman"/>
          <w:color w:val="000000"/>
          <w:sz w:val="20"/>
          <w:szCs w:val="20"/>
          <w:shd w:val="clear" w:color="auto" w:fill="FFFFFF"/>
          <w:lang w:val="de-DE"/>
        </w:rPr>
        <w:t xml:space="preserve"> Ursache ist alles</w:t>
      </w:r>
      <w:r w:rsidRPr="008415E4">
        <w:rPr>
          <w:rFonts w:ascii="Times New Roman" w:eastAsia="Times New Roman" w:hAnsi="Times New Roman" w:cs="Times New Roman"/>
          <w:iCs/>
          <w:color w:val="000000"/>
          <w:sz w:val="20"/>
          <w:szCs w:val="20"/>
          <w:shd w:val="clear" w:color="auto" w:fill="FFFFFF"/>
          <w:lang w:val="de-DE"/>
        </w:rPr>
        <w:t> eminenter</w:t>
      </w:r>
      <w:r w:rsidRPr="008415E4">
        <w:rPr>
          <w:rFonts w:ascii="Times New Roman" w:eastAsia="Times New Roman" w:hAnsi="Times New Roman" w:cs="Times New Roman"/>
          <w:color w:val="000000"/>
          <w:sz w:val="20"/>
          <w:szCs w:val="20"/>
          <w:shd w:val="clear" w:color="auto" w:fill="FFFFFF"/>
          <w:lang w:val="de-DE"/>
        </w:rPr>
        <w:t> nicht </w:t>
      </w:r>
      <w:r w:rsidRPr="008415E4">
        <w:rPr>
          <w:rFonts w:ascii="Times New Roman" w:eastAsia="Times New Roman" w:hAnsi="Times New Roman" w:cs="Times New Roman"/>
          <w:iCs/>
          <w:color w:val="000000"/>
          <w:sz w:val="20"/>
          <w:szCs w:val="20"/>
          <w:shd w:val="clear" w:color="auto" w:fill="FFFFFF"/>
          <w:lang w:val="de-DE"/>
        </w:rPr>
        <w:t>formaliter</w:t>
      </w:r>
      <w:r w:rsidRPr="008415E4">
        <w:rPr>
          <w:rFonts w:ascii="Times New Roman" w:eastAsia="Times New Roman" w:hAnsi="Times New Roman" w:cs="Times New Roman"/>
          <w:color w:val="000000"/>
          <w:sz w:val="20"/>
          <w:szCs w:val="20"/>
          <w:shd w:val="clear" w:color="auto" w:fill="FFFFFF"/>
          <w:lang w:val="de-DE"/>
        </w:rPr>
        <w:t>, sondern </w:t>
      </w:r>
      <w:r w:rsidRPr="008415E4">
        <w:rPr>
          <w:rFonts w:ascii="Times New Roman" w:eastAsia="Times New Roman" w:hAnsi="Times New Roman" w:cs="Times New Roman"/>
          <w:iCs/>
          <w:color w:val="000000"/>
          <w:sz w:val="20"/>
          <w:szCs w:val="20"/>
          <w:shd w:val="clear" w:color="auto" w:fill="FFFFFF"/>
          <w:lang w:val="de-DE"/>
        </w:rPr>
        <w:t>causaliter</w:t>
      </w:r>
      <w:r w:rsidRPr="008415E4">
        <w:rPr>
          <w:rFonts w:ascii="Times New Roman" w:eastAsia="Times New Roman" w:hAnsi="Times New Roman" w:cs="Times New Roman"/>
          <w:color w:val="000000"/>
          <w:sz w:val="20"/>
          <w:szCs w:val="20"/>
          <w:shd w:val="clear" w:color="auto" w:fill="FFFFFF"/>
          <w:lang w:val="de-DE"/>
        </w:rPr>
        <w:t> enthalten. Das zweite Hauptmoment ist der Adam Kadmon, der erste Mensch, Keter, das erste Entstandene, die höchste Krone, der Mikrokosmos, der Makrokosmos, womit die emanierte Welt als Ausfluß des Lichtes zusammenhängt. Durch weiteres Herausgehen sind dann die anderen Sphären, Kreise der Welt geworden; und diese Emanation wird als Lichtströme dargestellt. Da gehe es fort zu zehn Lichtströmen: diese Ausflüsse (Sephiroth) bilden die reine, azilutische Welt, welche ohne alle Veränderlichkeit in sich ist; zweitens die briahtische Welt,  welche veränderlich ist; drittens die geformte, jeziratische Welt, – die reinen Geister in die Materie gesetzt, die Seelen der Gestirne (die reinen Geister sind weitere Unterscheidungen, in denen diese trübe Weise fortgeht); viertens die gemachte Welt, die asiahtische: es ist die unterste, vegetierende und empfindende Welt</w:t>
      </w:r>
      <w:r w:rsidRPr="008415E4">
        <w:rPr>
          <w:rFonts w:ascii="Times New Roman" w:hAnsi="Times New Roman" w:cs="Times New Roman"/>
          <w:sz w:val="20"/>
          <w:szCs w:val="20"/>
          <w:lang w:val="de-DE"/>
        </w:rPr>
        <w:t>»</w:t>
      </w:r>
      <w:r w:rsidRPr="008415E4">
        <w:rPr>
          <w:rStyle w:val="Rimandonotaapidipagina"/>
          <w:rFonts w:ascii="Times New Roman" w:eastAsia="Times New Roman" w:hAnsi="Times New Roman" w:cs="Times New Roman"/>
          <w:color w:val="000000"/>
          <w:sz w:val="20"/>
          <w:szCs w:val="20"/>
          <w:shd w:val="clear" w:color="auto" w:fill="FFFFFF"/>
          <w:lang w:val="de-DE"/>
        </w:rPr>
        <w:footnoteReference w:id="796"/>
      </w:r>
      <w:r w:rsidRPr="008415E4">
        <w:rPr>
          <w:rFonts w:ascii="Times New Roman" w:hAnsi="Times New Roman" w:cs="Times New Roman"/>
          <w:sz w:val="20"/>
          <w:szCs w:val="20"/>
          <w:lang w:val="de-DE"/>
        </w:rPr>
        <w:t>.</w:t>
      </w:r>
    </w:p>
    <w:p w14:paraId="673E1C06" w14:textId="77777777" w:rsidR="001B7751" w:rsidRDefault="001B7751" w:rsidP="001B7751">
      <w:pPr>
        <w:spacing w:line="360" w:lineRule="auto"/>
        <w:jc w:val="both"/>
        <w:rPr>
          <w:rFonts w:ascii="Times New Roman" w:hAnsi="Times New Roman" w:cs="Times New Roman"/>
        </w:rPr>
      </w:pPr>
    </w:p>
    <w:p w14:paraId="54C61275" w14:textId="3E3079F0" w:rsidR="001B7751" w:rsidRPr="003D56BD" w:rsidRDefault="001B7751" w:rsidP="001B7751">
      <w:pPr>
        <w:spacing w:line="360" w:lineRule="auto"/>
        <w:ind w:firstLine="567"/>
        <w:jc w:val="both"/>
        <w:rPr>
          <w:rFonts w:ascii="Times New Roman" w:hAnsi="Times New Roman" w:cs="Times New Roman"/>
        </w:rPr>
      </w:pPr>
      <w:r>
        <w:rPr>
          <w:rFonts w:ascii="Times New Roman" w:hAnsi="Times New Roman" w:cs="Times New Roman"/>
        </w:rPr>
        <w:t>Rip</w:t>
      </w:r>
      <w:r w:rsidRPr="00014211">
        <w:rPr>
          <w:rFonts w:ascii="Times New Roman" w:hAnsi="Times New Roman" w:cs="Times New Roman"/>
        </w:rPr>
        <w:t xml:space="preserve">rendendo non soltanto il </w:t>
      </w:r>
      <w:r w:rsidRPr="00014211">
        <w:rPr>
          <w:rFonts w:ascii="Times New Roman" w:hAnsi="Times New Roman" w:cs="Times New Roman"/>
          <w:i/>
          <w:lang w:val="de-DE"/>
        </w:rPr>
        <w:t>Lehrbuch</w:t>
      </w:r>
      <w:r w:rsidRPr="00014211">
        <w:rPr>
          <w:rFonts w:ascii="Times New Roman" w:hAnsi="Times New Roman" w:cs="Times New Roman"/>
        </w:rPr>
        <w:t xml:space="preserve"> di Buhle, ma anche il </w:t>
      </w:r>
      <w:r w:rsidRPr="00014211">
        <w:rPr>
          <w:rFonts w:ascii="Times New Roman" w:hAnsi="Times New Roman" w:cs="Times New Roman"/>
          <w:i/>
          <w:lang w:val="de-DE"/>
        </w:rPr>
        <w:t>Geist der spekulativen Philosophie</w:t>
      </w:r>
      <w:r w:rsidRPr="00014211">
        <w:rPr>
          <w:rFonts w:ascii="Times New Roman" w:hAnsi="Times New Roman" w:cs="Times New Roman"/>
        </w:rPr>
        <w:t xml:space="preserve"> di Tiedemann, Hegel espone le </w:t>
      </w:r>
      <w:r w:rsidRPr="00014211">
        <w:rPr>
          <w:rFonts w:ascii="Times New Roman" w:hAnsi="Times New Roman" w:cs="Times New Roman"/>
          <w:i/>
          <w:lang w:val="de-DE"/>
        </w:rPr>
        <w:t>Grundbestimmungen</w:t>
      </w:r>
      <w:r w:rsidRPr="00014211">
        <w:rPr>
          <w:rFonts w:ascii="Times New Roman" w:hAnsi="Times New Roman" w:cs="Times New Roman"/>
        </w:rPr>
        <w:t xml:space="preserve"> della </w:t>
      </w:r>
      <w:r w:rsidRPr="00014211">
        <w:rPr>
          <w:rFonts w:ascii="Times New Roman" w:hAnsi="Times New Roman" w:cs="Times New Roman"/>
          <w:i/>
        </w:rPr>
        <w:t>Porta Coelorum</w:t>
      </w:r>
      <w:r w:rsidRPr="00014211">
        <w:rPr>
          <w:rFonts w:ascii="Times New Roman" w:hAnsi="Times New Roman" w:cs="Times New Roman"/>
        </w:rPr>
        <w:t xml:space="preserve"> di Abraham Cohen de Herrera. Al pari dell’unità numerica, che contiene in sé ogni numero senza identificarsi con alcuno dei suoi elementi, Dio è fondamento di tutto ciò che è fatta salva la sua eccedenza ontologica. Rispetto al manoscritto Häring (1820/21) e alle </w:t>
      </w:r>
      <w:r w:rsidRPr="00014211">
        <w:rPr>
          <w:rFonts w:ascii="Times New Roman" w:hAnsi="Times New Roman" w:cs="Times New Roman"/>
          <w:i/>
        </w:rPr>
        <w:t>Vorlesungen</w:t>
      </w:r>
      <w:r w:rsidRPr="00014211">
        <w:rPr>
          <w:rFonts w:ascii="Times New Roman" w:hAnsi="Times New Roman" w:cs="Times New Roman"/>
        </w:rPr>
        <w:t xml:space="preserve"> del 1825/26, che introducono, con un salto argomentativo, </w:t>
      </w:r>
      <w:r>
        <w:rPr>
          <w:rFonts w:ascii="Times New Roman" w:hAnsi="Times New Roman" w:cs="Times New Roman"/>
        </w:rPr>
        <w:t>il passaggio dall’En-sof al</w:t>
      </w:r>
      <w:r w:rsidRPr="00014211">
        <w:rPr>
          <w:rFonts w:ascii="Times New Roman" w:hAnsi="Times New Roman" w:cs="Times New Roman"/>
        </w:rPr>
        <w:t xml:space="preserve">l’Adam Kadmon, le </w:t>
      </w:r>
      <w:r w:rsidRPr="00014211">
        <w:rPr>
          <w:rFonts w:ascii="Times New Roman" w:hAnsi="Times New Roman" w:cs="Times New Roman"/>
          <w:i/>
        </w:rPr>
        <w:t>Vorlesungen</w:t>
      </w:r>
      <w:r w:rsidRPr="00014211">
        <w:rPr>
          <w:rFonts w:ascii="Times New Roman" w:hAnsi="Times New Roman" w:cs="Times New Roman"/>
        </w:rPr>
        <w:t xml:space="preserve"> edite Michelet discutono brevemente la nozione di </w:t>
      </w:r>
      <w:r w:rsidRPr="00014211">
        <w:rPr>
          <w:rFonts w:ascii="Times New Roman" w:hAnsi="Times New Roman" w:cs="Times New Roman"/>
          <w:i/>
        </w:rPr>
        <w:t>tzimtzum</w:t>
      </w:r>
      <w:r w:rsidRPr="00014211">
        <w:rPr>
          <w:rFonts w:ascii="Times New Roman" w:hAnsi="Times New Roman" w:cs="Times New Roman"/>
        </w:rPr>
        <w:t>: attraverso una limitazione di sé, o un atto contrattivo, l’Uno produce immediatamente un solo effetto, che è prossim</w:t>
      </w:r>
      <w:r>
        <w:rPr>
          <w:rFonts w:ascii="Times New Roman" w:hAnsi="Times New Roman" w:cs="Times New Roman"/>
        </w:rPr>
        <w:t xml:space="preserve">o alla perfezione </w:t>
      </w:r>
      <w:r w:rsidRPr="00014211">
        <w:rPr>
          <w:rFonts w:ascii="Times New Roman" w:hAnsi="Times New Roman" w:cs="Times New Roman"/>
        </w:rPr>
        <w:t>dell’essenza divina.</w:t>
      </w:r>
      <w:r>
        <w:rPr>
          <w:rFonts w:ascii="Times New Roman" w:hAnsi="Times New Roman" w:cs="Times New Roman"/>
        </w:rPr>
        <w:t xml:space="preserve"> Questo effetto, come sappiamo, è l’uomo primordiale, il </w:t>
      </w:r>
      <w:r w:rsidRPr="005D242F">
        <w:rPr>
          <w:rFonts w:ascii="Times New Roman" w:hAnsi="Times New Roman" w:cs="Times New Roman"/>
          <w:i/>
        </w:rPr>
        <w:t>λογος</w:t>
      </w:r>
      <w:r>
        <w:rPr>
          <w:rFonts w:ascii="Times New Roman" w:hAnsi="Times New Roman" w:cs="Times New Roman"/>
        </w:rPr>
        <w:t xml:space="preserve"> di Filone d’Alessandria: esso è il medio attraverso cui la Causa incausata è fondamento di ogni cosa. È per mezzo dell’Adam Kadmon che la divinità (l’Uno) s’espande nei livelli gerarchicamente strutturati della cosmologia cabbalistica. Sebbene tutto sia contenuto e </w:t>
      </w:r>
      <w:r w:rsidRPr="00014211">
        <w:rPr>
          <w:rFonts w:ascii="Times New Roman" w:hAnsi="Times New Roman" w:cs="Times New Roman"/>
        </w:rPr>
        <w:t>derivi dall’Uno, non si potrebbe parlare del molteplice se non fosse emanato dall’infinito l’Adam Kadmon: da ciò che è semplice e uno deriva un unico effetto che, per quanto prossimo</w:t>
      </w:r>
      <w:r>
        <w:rPr>
          <w:rFonts w:ascii="Times New Roman" w:hAnsi="Times New Roman" w:cs="Times New Roman"/>
        </w:rPr>
        <w:t xml:space="preserve"> all’essenza divina, se ne differenzia. </w:t>
      </w:r>
      <w:r w:rsidRPr="00014211">
        <w:rPr>
          <w:rFonts w:ascii="Times New Roman" w:hAnsi="Times New Roman" w:cs="Times New Roman"/>
        </w:rPr>
        <w:t>Grazie a questa differenza, l’En-sof s’espande nelle sfere e nei mondi della cosmologia cabbalistica</w:t>
      </w:r>
      <w:r w:rsidRPr="00904E22">
        <w:rPr>
          <w:rFonts w:ascii="Times New Roman" w:hAnsi="Times New Roman" w:cs="Times New Roman"/>
        </w:rPr>
        <w:t xml:space="preserve">. Abbozzata nelle </w:t>
      </w:r>
      <w:r w:rsidRPr="00904E22">
        <w:rPr>
          <w:rFonts w:ascii="Times New Roman" w:hAnsi="Times New Roman" w:cs="Times New Roman"/>
          <w:i/>
        </w:rPr>
        <w:t>Vorlesungen</w:t>
      </w:r>
      <w:r w:rsidRPr="00904E22">
        <w:rPr>
          <w:rFonts w:ascii="Times New Roman" w:hAnsi="Times New Roman" w:cs="Times New Roman"/>
        </w:rPr>
        <w:t xml:space="preserve"> del 1825/26 e delineata con maggiore </w:t>
      </w:r>
      <w:r>
        <w:rPr>
          <w:rFonts w:ascii="Times New Roman" w:hAnsi="Times New Roman" w:cs="Times New Roman"/>
        </w:rPr>
        <w:t xml:space="preserve">nitidezza </w:t>
      </w:r>
      <w:r w:rsidRPr="00904E22">
        <w:rPr>
          <w:rFonts w:ascii="Times New Roman" w:hAnsi="Times New Roman" w:cs="Times New Roman"/>
        </w:rPr>
        <w:t xml:space="preserve">nelle lezioni </w:t>
      </w:r>
      <w:r>
        <w:rPr>
          <w:rFonts w:ascii="Times New Roman" w:hAnsi="Times New Roman" w:cs="Times New Roman"/>
        </w:rPr>
        <w:t>edit</w:t>
      </w:r>
      <w:r w:rsidRPr="00904E22">
        <w:rPr>
          <w:rFonts w:ascii="Times New Roman" w:hAnsi="Times New Roman" w:cs="Times New Roman"/>
        </w:rPr>
        <w:t>e da Michelet, l’immagine della luce, che riflette la natura semplice</w:t>
      </w:r>
      <w:r>
        <w:rPr>
          <w:rFonts w:ascii="Times New Roman" w:hAnsi="Times New Roman" w:cs="Times New Roman"/>
        </w:rPr>
        <w:t xml:space="preserve"> del divino e lo zampillare dell’Uno dal suo centro, costituisce quella nozione dal gusto </w:t>
      </w:r>
      <w:r w:rsidRPr="00014211">
        <w:rPr>
          <w:rFonts w:ascii="Times New Roman" w:hAnsi="Times New Roman" w:cs="Times New Roman"/>
          <w:i/>
        </w:rPr>
        <w:t>orientaleggiante</w:t>
      </w:r>
      <w:r>
        <w:rPr>
          <w:rFonts w:ascii="Times New Roman" w:hAnsi="Times New Roman" w:cs="Times New Roman"/>
        </w:rPr>
        <w:t xml:space="preserve"> su cui la </w:t>
      </w:r>
      <w:r w:rsidRPr="00ED50DA">
        <w:rPr>
          <w:rFonts w:ascii="Times New Roman" w:hAnsi="Times New Roman" w:cs="Times New Roman"/>
        </w:rPr>
        <w:t xml:space="preserve">Qabbalah edifica </w:t>
      </w:r>
      <w:r>
        <w:rPr>
          <w:rFonts w:ascii="Times New Roman" w:hAnsi="Times New Roman" w:cs="Times New Roman"/>
        </w:rPr>
        <w:t>l</w:t>
      </w:r>
      <w:r w:rsidRPr="00ED50DA">
        <w:rPr>
          <w:rFonts w:ascii="Times New Roman" w:hAnsi="Times New Roman" w:cs="Times New Roman"/>
        </w:rPr>
        <w:t>a</w:t>
      </w:r>
      <w:r>
        <w:rPr>
          <w:rFonts w:ascii="Times New Roman" w:hAnsi="Times New Roman" w:cs="Times New Roman"/>
        </w:rPr>
        <w:t xml:space="preserve"> struttura portante della sua cosmo-teogonia. Il fatto che Hegel ometta tutti i riferimenti alla natura dinamica dell’intelletto divino e sottolinei la </w:t>
      </w:r>
      <w:r w:rsidRPr="00ED50DA">
        <w:rPr>
          <w:rFonts w:ascii="Times New Roman" w:hAnsi="Times New Roman" w:cs="Times New Roman"/>
          <w:i/>
        </w:rPr>
        <w:t>simbologia luminosa</w:t>
      </w:r>
      <w:r w:rsidRPr="00ED50DA">
        <w:rPr>
          <w:rFonts w:ascii="Times New Roman" w:hAnsi="Times New Roman" w:cs="Times New Roman"/>
        </w:rPr>
        <w:t xml:space="preserve"> attesta una precisa finalità argomentativa: alla sovrapposizione di schemi dinamico-dialettici d’ispirazione </w:t>
      </w:r>
      <w:r w:rsidRPr="00D27C89">
        <w:rPr>
          <w:rFonts w:ascii="Times New Roman" w:hAnsi="Times New Roman" w:cs="Times New Roman"/>
        </w:rPr>
        <w:t>filoniana e plotiniana su strutture concettuali cabbalistiche, sono preferite, adesso, alcune immagini e rappresentazioni più vaghe, riconducibili all’emanatismo orientale. La definizione della causalità dell’infinito come espansione luminosa, il venire meno della causalità dell’intelletto divino e l’associazione</w:t>
      </w:r>
      <w:r w:rsidR="003420B2" w:rsidRPr="00D27C89">
        <w:rPr>
          <w:rFonts w:ascii="Times New Roman" w:hAnsi="Times New Roman" w:cs="Times New Roman"/>
        </w:rPr>
        <w:t xml:space="preserve"> della processualità assoluta con il</w:t>
      </w:r>
      <w:r w:rsidRPr="00D27C89">
        <w:rPr>
          <w:rFonts w:ascii="Times New Roman" w:hAnsi="Times New Roman" w:cs="Times New Roman"/>
        </w:rPr>
        <w:t xml:space="preserve"> </w:t>
      </w:r>
      <w:r w:rsidRPr="00D27C89">
        <w:rPr>
          <w:rFonts w:ascii="Times New Roman" w:hAnsi="Times New Roman" w:cs="Times New Roman"/>
          <w:i/>
        </w:rPr>
        <w:t>transitare</w:t>
      </w:r>
      <w:r w:rsidRPr="00070107">
        <w:rPr>
          <w:rFonts w:ascii="Times New Roman" w:hAnsi="Times New Roman" w:cs="Times New Roman"/>
        </w:rPr>
        <w:t xml:space="preserve"> del divino nei gradi inferiori del sistema emanativo testimoniano un ripensamento di quanto trasmessoci dal manoscritto Häring.</w:t>
      </w:r>
      <w:r w:rsidRPr="00ED50DA">
        <w:rPr>
          <w:rFonts w:ascii="Times New Roman" w:hAnsi="Times New Roman" w:cs="Times New Roman"/>
        </w:rPr>
        <w:t xml:space="preserve"> Più che essere una </w:t>
      </w:r>
      <w:r w:rsidRPr="00ED50DA">
        <w:rPr>
          <w:rFonts w:ascii="Times New Roman" w:hAnsi="Times New Roman" w:cs="Times New Roman"/>
          <w:i/>
        </w:rPr>
        <w:t xml:space="preserve">torbida </w:t>
      </w:r>
      <w:r w:rsidRPr="00ED50DA">
        <w:rPr>
          <w:rFonts w:ascii="Times New Roman" w:hAnsi="Times New Roman" w:cs="Times New Roman"/>
        </w:rPr>
        <w:t xml:space="preserve">realizzazione di certi insegnamenti </w:t>
      </w:r>
      <w:r w:rsidRPr="00DC62AA">
        <w:rPr>
          <w:rFonts w:ascii="Times New Roman" w:hAnsi="Times New Roman" w:cs="Times New Roman"/>
        </w:rPr>
        <w:t xml:space="preserve">alessandrini, la Qabbalah è un sistema di pensiero ibrido, in cui elementi greci si trovano inseriti in una simbologia dal gusto </w:t>
      </w:r>
      <w:r w:rsidRPr="003D56BD">
        <w:rPr>
          <w:rFonts w:ascii="Times New Roman" w:hAnsi="Times New Roman" w:cs="Times New Roman"/>
        </w:rPr>
        <w:t xml:space="preserve">orientaleggiante. Anche là dove la filosofia cabbalistica raggiunge il suo massimo di complessità, ossia nella </w:t>
      </w:r>
      <w:r w:rsidRPr="003D56BD">
        <w:rPr>
          <w:rFonts w:ascii="Times New Roman" w:hAnsi="Times New Roman" w:cs="Times New Roman"/>
          <w:i/>
        </w:rPr>
        <w:t>Porta Coelorum</w:t>
      </w:r>
      <w:r w:rsidRPr="003D56BD">
        <w:rPr>
          <w:rFonts w:ascii="Times New Roman" w:hAnsi="Times New Roman" w:cs="Times New Roman"/>
        </w:rPr>
        <w:t xml:space="preserve"> di Herrera (esempio precipuo della compresenza di elementi ebraici con nozioni della filosofia araba e scolastica), non è superata una certa limitatezza del contenuto e della forma, che declassa la tradizione ebraica a momento di passaggio fra la filosofia di Filone d’Alessandria e il pensiero neoplatonico.</w:t>
      </w:r>
    </w:p>
    <w:p w14:paraId="4DBEEB25" w14:textId="49994CE1" w:rsidR="001B7751" w:rsidRDefault="000F3F55" w:rsidP="001B7751">
      <w:pPr>
        <w:spacing w:line="360" w:lineRule="auto"/>
        <w:ind w:firstLine="567"/>
        <w:jc w:val="both"/>
        <w:rPr>
          <w:rFonts w:ascii="Times New Roman" w:hAnsi="Times New Roman" w:cs="Times New Roman"/>
        </w:rPr>
      </w:pPr>
      <w:r w:rsidRPr="003D56BD">
        <w:rPr>
          <w:rFonts w:ascii="Times New Roman" w:hAnsi="Times New Roman" w:cs="Times New Roman"/>
        </w:rPr>
        <w:t>D</w:t>
      </w:r>
      <w:r w:rsidR="001B7751" w:rsidRPr="003D56BD">
        <w:rPr>
          <w:rFonts w:ascii="Times New Roman" w:hAnsi="Times New Roman" w:cs="Times New Roman"/>
        </w:rPr>
        <w:t>all’Adam Kadmon</w:t>
      </w:r>
      <w:r w:rsidRPr="003D56BD">
        <w:rPr>
          <w:rFonts w:ascii="Times New Roman" w:hAnsi="Times New Roman" w:cs="Times New Roman"/>
        </w:rPr>
        <w:t>,</w:t>
      </w:r>
      <w:r w:rsidR="001B7751" w:rsidRPr="003D56BD">
        <w:rPr>
          <w:rFonts w:ascii="Times New Roman" w:hAnsi="Times New Roman" w:cs="Times New Roman"/>
        </w:rPr>
        <w:t xml:space="preserve"> si diramano</w:t>
      </w:r>
      <w:r w:rsidRPr="003D56BD">
        <w:rPr>
          <w:rFonts w:ascii="Times New Roman" w:hAnsi="Times New Roman" w:cs="Times New Roman"/>
        </w:rPr>
        <w:t xml:space="preserve"> e articolano</w:t>
      </w:r>
      <w:r w:rsidR="001B7751" w:rsidRPr="003D56BD">
        <w:rPr>
          <w:rFonts w:ascii="Times New Roman" w:hAnsi="Times New Roman" w:cs="Times New Roman"/>
        </w:rPr>
        <w:t xml:space="preserve"> le </w:t>
      </w:r>
      <w:r w:rsidRPr="003D56BD">
        <w:rPr>
          <w:rFonts w:ascii="Times New Roman" w:hAnsi="Times New Roman" w:cs="Times New Roman"/>
        </w:rPr>
        <w:t xml:space="preserve">dieci </w:t>
      </w:r>
      <w:r w:rsidR="001B7751" w:rsidRPr="003D56BD">
        <w:rPr>
          <w:rFonts w:ascii="Times New Roman" w:hAnsi="Times New Roman" w:cs="Times New Roman"/>
        </w:rPr>
        <w:t>Sefiroth, che formano il mondo puro, non soggetto al mutamento, il</w:t>
      </w:r>
      <w:r w:rsidR="001B7751">
        <w:rPr>
          <w:rFonts w:ascii="Times New Roman" w:hAnsi="Times New Roman" w:cs="Times New Roman"/>
        </w:rPr>
        <w:t xml:space="preserve"> mondo aziluthico. Da questa</w:t>
      </w:r>
      <w:r w:rsidR="001B7751" w:rsidRPr="002F315B">
        <w:rPr>
          <w:rFonts w:ascii="Times New Roman" w:hAnsi="Times New Roman" w:cs="Times New Roman"/>
        </w:rPr>
        <w:t xml:space="preserve"> dimensione di realtà non soggetta al mutamento, seguono il mondo della creazione (Briah), il mondo della formazione (Jezirah) e il mondo della fabbricazione</w:t>
      </w:r>
      <w:r w:rsidR="001B7751">
        <w:rPr>
          <w:rFonts w:ascii="Times New Roman" w:hAnsi="Times New Roman" w:cs="Times New Roman"/>
        </w:rPr>
        <w:t xml:space="preserve"> (Asiah). Dalla luce originaria</w:t>
      </w:r>
      <w:r w:rsidR="001B7751" w:rsidRPr="002F315B">
        <w:rPr>
          <w:rFonts w:ascii="Times New Roman" w:hAnsi="Times New Roman" w:cs="Times New Roman"/>
        </w:rPr>
        <w:t xml:space="preserve"> si procede, livello dopo livello, fino alla sfera materiale, dove la luce è offuscata dalle concrezioni materiali</w:t>
      </w:r>
      <w:r w:rsidR="001B7751" w:rsidRPr="007E521A">
        <w:rPr>
          <w:rFonts w:ascii="Times New Roman" w:hAnsi="Times New Roman" w:cs="Times New Roman"/>
        </w:rPr>
        <w:t>.</w:t>
      </w:r>
      <w:r w:rsidR="001B7751">
        <w:rPr>
          <w:rFonts w:ascii="Times New Roman" w:hAnsi="Times New Roman" w:cs="Times New Roman"/>
        </w:rPr>
        <w:t xml:space="preserve"> Su</w:t>
      </w:r>
      <w:r w:rsidR="001B7751" w:rsidRPr="007E521A">
        <w:rPr>
          <w:rFonts w:ascii="Times New Roman" w:hAnsi="Times New Roman" w:cs="Times New Roman"/>
        </w:rPr>
        <w:t xml:space="preserve">ll’origine storico-filosofica della simbologia luminosa, Hegel </w:t>
      </w:r>
      <w:r w:rsidR="001B7751">
        <w:rPr>
          <w:rFonts w:ascii="Times New Roman" w:hAnsi="Times New Roman" w:cs="Times New Roman"/>
        </w:rPr>
        <w:t>afferma</w:t>
      </w:r>
      <w:r w:rsidR="001B7751" w:rsidRPr="007E521A">
        <w:rPr>
          <w:rFonts w:ascii="Times New Roman" w:hAnsi="Times New Roman" w:cs="Times New Roman"/>
        </w:rPr>
        <w:t xml:space="preserve"> che la sapienza ebraica, in un periodo sicuramente successivo alla distruzione del primo tempio, ha assorbito una concezione del reale dai gusti zoroastriani:</w:t>
      </w:r>
    </w:p>
    <w:p w14:paraId="304FBFB6" w14:textId="77777777" w:rsidR="001B7751" w:rsidRDefault="001B7751" w:rsidP="001B7751">
      <w:pPr>
        <w:spacing w:line="360" w:lineRule="auto"/>
        <w:ind w:firstLine="567"/>
        <w:jc w:val="both"/>
        <w:rPr>
          <w:rFonts w:ascii="Times New Roman" w:hAnsi="Times New Roman" w:cs="Times New Roman"/>
        </w:rPr>
      </w:pPr>
    </w:p>
    <w:p w14:paraId="7E7A77B7" w14:textId="77777777" w:rsidR="001B7751" w:rsidRPr="007D7326" w:rsidRDefault="001B7751" w:rsidP="001B7751">
      <w:pPr>
        <w:spacing w:line="360" w:lineRule="auto"/>
        <w:ind w:left="567" w:firstLine="567"/>
        <w:jc w:val="both"/>
        <w:rPr>
          <w:rFonts w:ascii="Times New Roman" w:eastAsia="Times New Roman" w:hAnsi="Times New Roman" w:cs="Times New Roman"/>
          <w:color w:val="000000"/>
          <w:shd w:val="clear" w:color="auto" w:fill="FFFFFF"/>
          <w:lang w:val="de-DE"/>
        </w:rPr>
      </w:pPr>
      <w:r w:rsidRPr="008415E4">
        <w:rPr>
          <w:rFonts w:ascii="Times New Roman" w:hAnsi="Times New Roman" w:cs="Times New Roman"/>
          <w:sz w:val="20"/>
          <w:szCs w:val="20"/>
        </w:rPr>
        <w:t>«</w:t>
      </w:r>
      <w:r w:rsidRPr="008415E4">
        <w:rPr>
          <w:rFonts w:ascii="Times New Roman" w:eastAsia="Times New Roman" w:hAnsi="Times New Roman" w:cs="Times New Roman"/>
          <w:color w:val="000000"/>
          <w:sz w:val="20"/>
          <w:szCs w:val="20"/>
          <w:shd w:val="clear" w:color="auto" w:fill="FFFFFF"/>
          <w:lang w:val="de-DE"/>
        </w:rPr>
        <w:t xml:space="preserve">Früher findet sich bei den Juden nichts von den Vorstellungen Gottes als eines Lichtwesens, von einem Gegenteile desselben, der Finsternis und dem Bösen, das in Streit mit dem Lichte ist, nichts von guten und bösen Engeln, von dem Abfalle der Bösen, ihrer Verdammnis, ihrem Aufenthalte in der Hölle, künftigem Weltgerichte über die Guten und Bösen, </w:t>
      </w:r>
      <w:r w:rsidRPr="007D7326">
        <w:rPr>
          <w:rFonts w:ascii="Times New Roman" w:eastAsia="Times New Roman" w:hAnsi="Times New Roman" w:cs="Times New Roman"/>
          <w:color w:val="000000"/>
          <w:sz w:val="20"/>
          <w:szCs w:val="20"/>
          <w:shd w:val="clear" w:color="auto" w:fill="FFFFFF"/>
          <w:lang w:val="de-DE"/>
        </w:rPr>
        <w:t>von der Verderbnis des Fleisches. Die Juden fangen hier erst an, ihre Gedanken über ihre Wirklichkeit hinauszutragen, eine Geistes- oder wenigstens Geisterwelt sich ihnen aufzuschließen, da vorher sie, diese Juden, allein sich galten, in den Schmutz und den Eigendünkel ihres Daseins und der Erhaltung ihres Volkes und ihrer Geschlechter versenkt waren</w:t>
      </w:r>
      <w:r w:rsidRPr="007D7326">
        <w:rPr>
          <w:rFonts w:ascii="Times New Roman" w:hAnsi="Times New Roman" w:cs="Times New Roman"/>
          <w:sz w:val="20"/>
          <w:szCs w:val="20"/>
          <w:lang w:val="de-DE"/>
        </w:rPr>
        <w:t>»</w:t>
      </w:r>
      <w:r w:rsidRPr="007D7326">
        <w:rPr>
          <w:rStyle w:val="Rimandonotaapidipagina"/>
          <w:rFonts w:ascii="Times New Roman" w:eastAsia="Times New Roman" w:hAnsi="Times New Roman" w:cs="Times New Roman"/>
          <w:color w:val="000000"/>
          <w:sz w:val="20"/>
          <w:szCs w:val="20"/>
          <w:shd w:val="clear" w:color="auto" w:fill="FFFFFF"/>
          <w:lang w:val="de-DE"/>
        </w:rPr>
        <w:footnoteReference w:id="797"/>
      </w:r>
      <w:r w:rsidRPr="007D7326">
        <w:rPr>
          <w:rFonts w:ascii="Times New Roman" w:hAnsi="Times New Roman" w:cs="Times New Roman"/>
          <w:sz w:val="20"/>
          <w:szCs w:val="20"/>
          <w:lang w:val="de-DE"/>
        </w:rPr>
        <w:t>.</w:t>
      </w:r>
    </w:p>
    <w:p w14:paraId="3B4F9613" w14:textId="77777777" w:rsidR="001B7751" w:rsidRPr="007D7326" w:rsidRDefault="001B7751" w:rsidP="001B7751">
      <w:pPr>
        <w:spacing w:line="360" w:lineRule="auto"/>
        <w:ind w:left="567" w:firstLine="567"/>
        <w:jc w:val="both"/>
        <w:rPr>
          <w:rFonts w:ascii="Times New Roman" w:eastAsia="Times New Roman" w:hAnsi="Times New Roman" w:cs="Times New Roman"/>
          <w:color w:val="000000"/>
          <w:shd w:val="clear" w:color="auto" w:fill="FFFFFF"/>
          <w:lang w:val="de-DE"/>
        </w:rPr>
      </w:pPr>
    </w:p>
    <w:p w14:paraId="773D34A2" w14:textId="20CF6F39" w:rsidR="001B7751" w:rsidRDefault="001B7751" w:rsidP="001B7751">
      <w:pPr>
        <w:spacing w:line="360" w:lineRule="auto"/>
        <w:ind w:firstLine="567"/>
        <w:jc w:val="both"/>
        <w:rPr>
          <w:rFonts w:ascii="Times New Roman" w:hAnsi="Times New Roman" w:cs="Times New Roman"/>
        </w:rPr>
      </w:pPr>
      <w:r w:rsidRPr="00985C4E">
        <w:rPr>
          <w:rFonts w:ascii="Times New Roman" w:hAnsi="Times New Roman" w:cs="Times New Roman"/>
        </w:rPr>
        <w:t xml:space="preserve">Questa citazione, assente nelle </w:t>
      </w:r>
      <w:r w:rsidRPr="00985C4E">
        <w:rPr>
          <w:rFonts w:ascii="Times New Roman" w:hAnsi="Times New Roman" w:cs="Times New Roman"/>
          <w:i/>
        </w:rPr>
        <w:t>Vorlesung</w:t>
      </w:r>
      <w:r w:rsidRPr="00985C4E">
        <w:rPr>
          <w:rFonts w:ascii="Times New Roman" w:hAnsi="Times New Roman" w:cs="Times New Roman"/>
        </w:rPr>
        <w:t xml:space="preserve"> del 1825/26 e riportata in entrambe le edizioni Michelet</w:t>
      </w:r>
      <w:r w:rsidR="008138D7" w:rsidRPr="00985C4E">
        <w:rPr>
          <w:rFonts w:ascii="Times New Roman" w:hAnsi="Times New Roman" w:cs="Times New Roman"/>
        </w:rPr>
        <w:t xml:space="preserve"> (</w:t>
      </w:r>
      <w:r w:rsidR="009E6F9F" w:rsidRPr="0013418E">
        <w:rPr>
          <w:rFonts w:ascii="Times New Roman" w:hAnsi="Times New Roman" w:cs="Times New Roman"/>
        </w:rPr>
        <w:t>1833</w:t>
      </w:r>
      <w:r w:rsidR="009E6F9F">
        <w:rPr>
          <w:rFonts w:ascii="Times New Roman" w:hAnsi="Times New Roman" w:cs="Times New Roman"/>
        </w:rPr>
        <w:t>/36</w:t>
      </w:r>
      <w:r w:rsidR="009E6F9F" w:rsidRPr="0013418E">
        <w:rPr>
          <w:rFonts w:ascii="Times New Roman" w:hAnsi="Times New Roman" w:cs="Times New Roman"/>
        </w:rPr>
        <w:t xml:space="preserve"> e 18</w:t>
      </w:r>
      <w:r w:rsidR="009E6F9F">
        <w:rPr>
          <w:rFonts w:ascii="Times New Roman" w:hAnsi="Times New Roman" w:cs="Times New Roman"/>
        </w:rPr>
        <w:t>40/</w:t>
      </w:r>
      <w:r w:rsidR="009E6F9F" w:rsidRPr="0013418E">
        <w:rPr>
          <w:rFonts w:ascii="Times New Roman" w:hAnsi="Times New Roman" w:cs="Times New Roman"/>
        </w:rPr>
        <w:t>44</w:t>
      </w:r>
      <w:r w:rsidRPr="00985C4E">
        <w:rPr>
          <w:rFonts w:ascii="Times New Roman" w:hAnsi="Times New Roman" w:cs="Times New Roman"/>
        </w:rPr>
        <w:t>), offre alcuni spunti di riflessione non banali. Per Hegel, la rappresentazione del divino come essenza luminosa, lo scontro fra due principi antitetici, la caduta degli angeli malvagi, la concezione escatologica della storia e la dannazione della carne sono rappresentazioni originariamente non ebraiche che informano la rifl</w:t>
      </w:r>
      <w:r w:rsidRPr="00D27C89">
        <w:rPr>
          <w:rFonts w:ascii="Times New Roman" w:hAnsi="Times New Roman" w:cs="Times New Roman"/>
        </w:rPr>
        <w:t>essione cabbalistica</w:t>
      </w:r>
      <w:r w:rsidR="000F3F55" w:rsidRPr="00D27C89">
        <w:rPr>
          <w:rFonts w:ascii="Times New Roman" w:hAnsi="Times New Roman" w:cs="Times New Roman"/>
        </w:rPr>
        <w:t>. Vista la natura antagonistica di queste immagini, s</w:t>
      </w:r>
      <w:r w:rsidRPr="00D27C89">
        <w:rPr>
          <w:rFonts w:ascii="Times New Roman" w:hAnsi="Times New Roman" w:cs="Times New Roman"/>
        </w:rPr>
        <w:t>i potrebbe pensare ad una possibile svolta nella comprensione hegeliana della filosofia cabbalistica:</w:t>
      </w:r>
      <w:r w:rsidRPr="009F1702">
        <w:rPr>
          <w:rFonts w:ascii="Times New Roman" w:hAnsi="Times New Roman" w:cs="Times New Roman"/>
        </w:rPr>
        <w:t xml:space="preserve"> </w:t>
      </w:r>
      <w:r w:rsidR="00D27C89" w:rsidRPr="009F1702">
        <w:rPr>
          <w:rFonts w:ascii="Times New Roman" w:hAnsi="Times New Roman" w:cs="Times New Roman"/>
        </w:rPr>
        <w:t xml:space="preserve">in effetti, </w:t>
      </w:r>
      <w:r w:rsidRPr="009F1702">
        <w:rPr>
          <w:rFonts w:ascii="Times New Roman" w:hAnsi="Times New Roman" w:cs="Times New Roman"/>
        </w:rPr>
        <w:t>quelli che sono inseriti nella logica del discor</w:t>
      </w:r>
      <w:r w:rsidR="00D27C89">
        <w:rPr>
          <w:rFonts w:ascii="Times New Roman" w:hAnsi="Times New Roman" w:cs="Times New Roman"/>
        </w:rPr>
        <w:t xml:space="preserve">so sono </w:t>
      </w:r>
      <w:r w:rsidRPr="009F1702">
        <w:rPr>
          <w:rFonts w:ascii="Times New Roman" w:hAnsi="Times New Roman" w:cs="Times New Roman"/>
        </w:rPr>
        <w:t xml:space="preserve">elementi </w:t>
      </w:r>
      <w:r w:rsidR="000F3F55">
        <w:rPr>
          <w:rFonts w:ascii="Times New Roman" w:hAnsi="Times New Roman" w:cs="Times New Roman"/>
        </w:rPr>
        <w:t xml:space="preserve">teorici </w:t>
      </w:r>
      <w:r w:rsidRPr="009F1702">
        <w:rPr>
          <w:rFonts w:ascii="Times New Roman" w:hAnsi="Times New Roman" w:cs="Times New Roman"/>
        </w:rPr>
        <w:t>che Hegel ha già valorizzato in occasione del confronto con il pensiero böhmiano.</w:t>
      </w:r>
      <w:r>
        <w:rPr>
          <w:rFonts w:ascii="Times New Roman" w:hAnsi="Times New Roman" w:cs="Times New Roman"/>
        </w:rPr>
        <w:t xml:space="preserve"> Nel secondo capitolo, è stato discusso il quesito, sollevato di Moshe Idel ne </w:t>
      </w:r>
      <w:r w:rsidRPr="00386EEE">
        <w:rPr>
          <w:rFonts w:ascii="Times New Roman" w:hAnsi="Times New Roman" w:cs="Times New Roman"/>
          <w:i/>
        </w:rPr>
        <w:t xml:space="preserve">Il male </w:t>
      </w:r>
      <w:r w:rsidR="00F415AC">
        <w:rPr>
          <w:rFonts w:ascii="Times New Roman" w:hAnsi="Times New Roman" w:cs="Times New Roman"/>
          <w:i/>
        </w:rPr>
        <w:t xml:space="preserve">primordiale </w:t>
      </w:r>
      <w:r w:rsidRPr="00386EEE">
        <w:rPr>
          <w:rFonts w:ascii="Times New Roman" w:hAnsi="Times New Roman" w:cs="Times New Roman"/>
          <w:i/>
        </w:rPr>
        <w:t>nella Qabbalah</w:t>
      </w:r>
      <w:r>
        <w:rPr>
          <w:rFonts w:ascii="Times New Roman" w:hAnsi="Times New Roman" w:cs="Times New Roman"/>
        </w:rPr>
        <w:t xml:space="preserve">, relativo al cabbalismo della logica </w:t>
      </w:r>
      <w:r w:rsidRPr="007D7326">
        <w:rPr>
          <w:rFonts w:ascii="Times New Roman" w:hAnsi="Times New Roman" w:cs="Times New Roman"/>
        </w:rPr>
        <w:t>hegeliana</w:t>
      </w:r>
      <w:r w:rsidRPr="007D7326">
        <w:rPr>
          <w:rStyle w:val="Rimandonotaapidipagina"/>
          <w:rFonts w:ascii="Times New Roman" w:hAnsi="Times New Roman" w:cs="Times New Roman"/>
        </w:rPr>
        <w:footnoteReference w:id="798"/>
      </w:r>
      <w:r w:rsidRPr="007D7326">
        <w:rPr>
          <w:rFonts w:ascii="Times New Roman" w:hAnsi="Times New Roman" w:cs="Times New Roman"/>
        </w:rPr>
        <w:t>. In</w:t>
      </w:r>
      <w:r>
        <w:rPr>
          <w:rFonts w:ascii="Times New Roman" w:hAnsi="Times New Roman" w:cs="Times New Roman"/>
        </w:rPr>
        <w:t xml:space="preserve"> quella sede, si era ritenuto inappropriato parlare di un’influenza diretta della Qabbalah sul pensiero hegeliano: </w:t>
      </w:r>
      <w:r w:rsidRPr="00D27C89">
        <w:rPr>
          <w:rFonts w:ascii="Times New Roman" w:hAnsi="Times New Roman" w:cs="Times New Roman"/>
        </w:rPr>
        <w:t xml:space="preserve">Hegel desume da altre fonti </w:t>
      </w:r>
      <w:r w:rsidR="004F7FA2" w:rsidRPr="00D27C89">
        <w:rPr>
          <w:rFonts w:ascii="Times New Roman" w:hAnsi="Times New Roman" w:cs="Times New Roman"/>
        </w:rPr>
        <w:t>– da</w:t>
      </w:r>
      <w:r w:rsidR="000F3F55" w:rsidRPr="00D27C89">
        <w:rPr>
          <w:rFonts w:ascii="Times New Roman" w:hAnsi="Times New Roman" w:cs="Times New Roman"/>
        </w:rPr>
        <w:t xml:space="preserve"> Jakob</w:t>
      </w:r>
      <w:r w:rsidR="004F7FA2" w:rsidRPr="00D27C89">
        <w:rPr>
          <w:rFonts w:ascii="Times New Roman" w:hAnsi="Times New Roman" w:cs="Times New Roman"/>
        </w:rPr>
        <w:t xml:space="preserve"> Böhme </w:t>
      </w:r>
      <w:r w:rsidR="004F7FA2" w:rsidRPr="00D27C89">
        <w:rPr>
          <w:rFonts w:ascii="Times New Roman" w:hAnsi="Times New Roman" w:cs="Times New Roman"/>
          <w:i/>
        </w:rPr>
        <w:t>in primis</w:t>
      </w:r>
      <w:r w:rsidR="004F7FA2" w:rsidRPr="00D27C89">
        <w:rPr>
          <w:rFonts w:ascii="Times New Roman" w:hAnsi="Times New Roman" w:cs="Times New Roman"/>
        </w:rPr>
        <w:t xml:space="preserve"> – un’</w:t>
      </w:r>
      <w:r w:rsidRPr="00D27C89">
        <w:rPr>
          <w:rFonts w:ascii="Times New Roman" w:hAnsi="Times New Roman" w:cs="Times New Roman"/>
        </w:rPr>
        <w:t>antic</w:t>
      </w:r>
      <w:r w:rsidR="004F7FA2" w:rsidRPr="00D27C89">
        <w:rPr>
          <w:rFonts w:ascii="Times New Roman" w:hAnsi="Times New Roman" w:cs="Times New Roman"/>
        </w:rPr>
        <w:t xml:space="preserve">ipazione formalmente inadeguata </w:t>
      </w:r>
      <w:r w:rsidR="000F3F55" w:rsidRPr="00D27C89">
        <w:rPr>
          <w:rFonts w:ascii="Times New Roman" w:hAnsi="Times New Roman" w:cs="Times New Roman"/>
        </w:rPr>
        <w:t>della nozione dell’</w:t>
      </w:r>
      <w:r w:rsidR="000F3F55" w:rsidRPr="00D27C89">
        <w:rPr>
          <w:rFonts w:ascii="Times New Roman" w:hAnsi="Times New Roman" w:cs="Times New Roman"/>
          <w:i/>
        </w:rPr>
        <w:t>absolute Negativit</w:t>
      </w:r>
      <w:r w:rsidR="00A74782" w:rsidRPr="00D27C89">
        <w:rPr>
          <w:rFonts w:ascii="Times New Roman" w:hAnsi="Times New Roman" w:cs="Times New Roman"/>
          <w:i/>
        </w:rPr>
        <w:t>ät</w:t>
      </w:r>
      <w:r w:rsidRPr="00D27C89">
        <w:rPr>
          <w:rFonts w:ascii="Times New Roman" w:hAnsi="Times New Roman" w:cs="Times New Roman"/>
        </w:rPr>
        <w:t>.</w:t>
      </w:r>
      <w:r w:rsidRPr="007D7326">
        <w:rPr>
          <w:rFonts w:ascii="Times New Roman" w:hAnsi="Times New Roman" w:cs="Times New Roman"/>
        </w:rPr>
        <w:t xml:space="preserve"> Sempre in quel contesto, avevamo indicato nella concezione böhmiana della </w:t>
      </w:r>
      <w:r w:rsidRPr="007D7326">
        <w:rPr>
          <w:rFonts w:ascii="Times New Roman" w:hAnsi="Times New Roman" w:cs="Times New Roman"/>
          <w:i/>
          <w:lang w:val="de-DE"/>
        </w:rPr>
        <w:t>Zorn Gottes</w:t>
      </w:r>
      <w:r w:rsidRPr="007D7326">
        <w:rPr>
          <w:rFonts w:ascii="Times New Roman" w:hAnsi="Times New Roman" w:cs="Times New Roman"/>
        </w:rPr>
        <w:t xml:space="preserve"> e </w:t>
      </w:r>
      <w:r w:rsidRPr="007D7326">
        <w:rPr>
          <w:rFonts w:ascii="Times New Roman" w:hAnsi="Times New Roman" w:cs="Times New Roman"/>
          <w:lang w:val="de-DE"/>
        </w:rPr>
        <w:t>dell’</w:t>
      </w:r>
      <w:r w:rsidRPr="007D7326">
        <w:rPr>
          <w:rFonts w:ascii="Times New Roman" w:hAnsi="Times New Roman" w:cs="Times New Roman"/>
          <w:i/>
          <w:lang w:val="de-DE"/>
        </w:rPr>
        <w:t>Abfall Lucifers</w:t>
      </w:r>
      <w:r w:rsidRPr="007D7326">
        <w:rPr>
          <w:rFonts w:ascii="Times New Roman" w:hAnsi="Times New Roman" w:cs="Times New Roman"/>
        </w:rPr>
        <w:t xml:space="preserve"> due nozioni ispiratrici della </w:t>
      </w:r>
      <w:r w:rsidRPr="007D7326">
        <w:rPr>
          <w:rFonts w:ascii="Times New Roman" w:hAnsi="Times New Roman" w:cs="Times New Roman"/>
          <w:i/>
        </w:rPr>
        <w:t>fenomenologica</w:t>
      </w:r>
      <w:r w:rsidRPr="007D7326">
        <w:rPr>
          <w:rFonts w:ascii="Times New Roman" w:hAnsi="Times New Roman" w:cs="Times New Roman"/>
        </w:rPr>
        <w:t xml:space="preserve"> negatività del primo regno del pensiero (</w:t>
      </w:r>
      <w:r w:rsidRPr="007D7326">
        <w:rPr>
          <w:rFonts w:ascii="Times New Roman" w:hAnsi="Times New Roman" w:cs="Times New Roman"/>
          <w:i/>
          <w:lang w:val="de-DE"/>
        </w:rPr>
        <w:t>das erste Reich des Denkens</w:t>
      </w:r>
      <w:r w:rsidRPr="007D7326">
        <w:rPr>
          <w:rFonts w:ascii="Times New Roman" w:hAnsi="Times New Roman" w:cs="Times New Roman"/>
        </w:rPr>
        <w:t>). Negatività del puro pensiero che va incontro</w:t>
      </w:r>
      <w:r>
        <w:rPr>
          <w:rFonts w:ascii="Times New Roman" w:hAnsi="Times New Roman" w:cs="Times New Roman"/>
        </w:rPr>
        <w:t xml:space="preserve"> </w:t>
      </w:r>
      <w:r w:rsidRPr="007D7326">
        <w:rPr>
          <w:rFonts w:ascii="Times New Roman" w:hAnsi="Times New Roman" w:cs="Times New Roman"/>
        </w:rPr>
        <w:t xml:space="preserve">ad un processo di “semplificazione” – senza che ciò determini un disconoscimento delle acquisizioni del </w:t>
      </w:r>
      <w:r w:rsidRPr="007D7326">
        <w:rPr>
          <w:rFonts w:ascii="Times New Roman" w:hAnsi="Times New Roman" w:cs="Times New Roman"/>
          <w:i/>
          <w:lang w:val="de-DE"/>
        </w:rPr>
        <w:t>Religionskapitel</w:t>
      </w:r>
      <w:r w:rsidRPr="007D7326">
        <w:rPr>
          <w:rFonts w:ascii="Times New Roman" w:hAnsi="Times New Roman" w:cs="Times New Roman"/>
        </w:rPr>
        <w:t xml:space="preserve"> – nella </w:t>
      </w:r>
      <w:r w:rsidRPr="007D7326">
        <w:rPr>
          <w:rFonts w:ascii="Times New Roman" w:hAnsi="Times New Roman" w:cs="Times New Roman"/>
          <w:i/>
        </w:rPr>
        <w:t>Wissenschaft der Logik</w:t>
      </w:r>
      <w:r w:rsidRPr="007D7326">
        <w:rPr>
          <w:rFonts w:ascii="Times New Roman" w:hAnsi="Times New Roman" w:cs="Times New Roman"/>
        </w:rPr>
        <w:t>, dove la nozione d’</w:t>
      </w:r>
      <w:r w:rsidRPr="007D7326">
        <w:rPr>
          <w:rFonts w:ascii="Times New Roman" w:hAnsi="Times New Roman" w:cs="Times New Roman"/>
          <w:i/>
        </w:rPr>
        <w:t>Inqualierung</w:t>
      </w:r>
      <w:r w:rsidRPr="007D7326">
        <w:rPr>
          <w:rFonts w:ascii="Times New Roman" w:hAnsi="Times New Roman" w:cs="Times New Roman"/>
        </w:rPr>
        <w:t xml:space="preserve"> esprime </w:t>
      </w:r>
      <w:r w:rsidRPr="007D7326">
        <w:rPr>
          <w:rFonts w:ascii="Times New Roman" w:hAnsi="Times New Roman" w:cs="Times New Roman"/>
          <w:i/>
        </w:rPr>
        <w:t>torbidamente</w:t>
      </w:r>
      <w:r w:rsidRPr="007D7326">
        <w:rPr>
          <w:rFonts w:ascii="Times New Roman" w:hAnsi="Times New Roman" w:cs="Times New Roman"/>
        </w:rPr>
        <w:t xml:space="preserve"> l’oppo</w:t>
      </w:r>
      <w:r>
        <w:rPr>
          <w:rFonts w:ascii="Times New Roman" w:hAnsi="Times New Roman" w:cs="Times New Roman"/>
        </w:rPr>
        <w:t xml:space="preserve">sizione di positivo e negativo. </w:t>
      </w:r>
      <w:r w:rsidRPr="007D7326">
        <w:rPr>
          <w:rFonts w:ascii="Times New Roman" w:hAnsi="Times New Roman" w:cs="Times New Roman"/>
        </w:rPr>
        <w:t xml:space="preserve">Quest’approssimazione dell’immaginario böhmiano a categorie logiche comporta una dismissione di tutte quelle </w:t>
      </w:r>
      <w:r w:rsidRPr="007D7326">
        <w:rPr>
          <w:rFonts w:ascii="Times New Roman" w:hAnsi="Times New Roman" w:cs="Times New Roman"/>
          <w:i/>
        </w:rPr>
        <w:t>espressioni</w:t>
      </w:r>
      <w:r w:rsidRPr="007D7326">
        <w:rPr>
          <w:rFonts w:ascii="Times New Roman" w:hAnsi="Times New Roman" w:cs="Times New Roman"/>
        </w:rPr>
        <w:t xml:space="preserve"> </w:t>
      </w:r>
      <w:r w:rsidRPr="007D7326">
        <w:rPr>
          <w:rFonts w:ascii="Times New Roman" w:hAnsi="Times New Roman" w:cs="Times New Roman"/>
          <w:i/>
        </w:rPr>
        <w:t>barbariche</w:t>
      </w:r>
      <w:r w:rsidRPr="007D7326">
        <w:rPr>
          <w:rFonts w:ascii="Times New Roman" w:hAnsi="Times New Roman" w:cs="Times New Roman"/>
        </w:rPr>
        <w:t xml:space="preserve"> – come </w:t>
      </w:r>
      <w:r w:rsidRPr="007D7326">
        <w:rPr>
          <w:rFonts w:ascii="Times New Roman" w:hAnsi="Times New Roman" w:cs="Times New Roman"/>
          <w:i/>
        </w:rPr>
        <w:t xml:space="preserve">Zorn Gottes </w:t>
      </w:r>
      <w:r w:rsidRPr="007D7326">
        <w:rPr>
          <w:rFonts w:ascii="Times New Roman" w:hAnsi="Times New Roman" w:cs="Times New Roman"/>
        </w:rPr>
        <w:t xml:space="preserve">e </w:t>
      </w:r>
      <w:r w:rsidRPr="007D7326">
        <w:rPr>
          <w:rFonts w:ascii="Times New Roman" w:hAnsi="Times New Roman" w:cs="Times New Roman"/>
          <w:i/>
        </w:rPr>
        <w:t>Abfall Lucifers</w:t>
      </w:r>
      <w:r w:rsidRPr="007D7326">
        <w:rPr>
          <w:rFonts w:ascii="Times New Roman" w:hAnsi="Times New Roman" w:cs="Times New Roman"/>
        </w:rPr>
        <w:t xml:space="preserve"> –</w:t>
      </w:r>
      <w:r>
        <w:rPr>
          <w:rFonts w:ascii="Times New Roman" w:hAnsi="Times New Roman" w:cs="Times New Roman"/>
        </w:rPr>
        <w:t xml:space="preserve"> contigue, in una certa misura, </w:t>
      </w:r>
      <w:r w:rsidRPr="007D7326">
        <w:rPr>
          <w:rFonts w:ascii="Times New Roman" w:hAnsi="Times New Roman" w:cs="Times New Roman"/>
        </w:rPr>
        <w:t>alla cosmogonia cabbalistica.</w:t>
      </w:r>
      <w:r>
        <w:rPr>
          <w:rFonts w:ascii="Times New Roman" w:hAnsi="Times New Roman" w:cs="Times New Roman"/>
        </w:rPr>
        <w:t xml:space="preserve"> Pensare che in Dio vi sia uno scontro fra destra e sinistra, fra luce e tenebra, fra amore e ira, e che una parte delle schiere angeliche sia consumata dal fuoco dell’ira sono tracce di un fondo ebraico presente nella riflessione di Jakob Böhme</w:t>
      </w:r>
      <w:r>
        <w:rPr>
          <w:rStyle w:val="Rimandonotaapidipagina"/>
          <w:rFonts w:ascii="Times New Roman" w:hAnsi="Times New Roman" w:cs="Times New Roman"/>
        </w:rPr>
        <w:footnoteReference w:id="799"/>
      </w:r>
      <w:r>
        <w:rPr>
          <w:rFonts w:ascii="Times New Roman" w:hAnsi="Times New Roman" w:cs="Times New Roman"/>
        </w:rPr>
        <w:t>. Quando nelle</w:t>
      </w:r>
      <w:r w:rsidRPr="003F1B75">
        <w:rPr>
          <w:rFonts w:ascii="Times New Roman" w:hAnsi="Times New Roman" w:cs="Times New Roman"/>
          <w:i/>
        </w:rPr>
        <w:t xml:space="preserve"> </w:t>
      </w:r>
      <w:r w:rsidRPr="003F1B75">
        <w:rPr>
          <w:rFonts w:ascii="Times New Roman" w:hAnsi="Times New Roman" w:cs="Times New Roman"/>
          <w:i/>
          <w:lang w:val="de-DE"/>
        </w:rPr>
        <w:t>Vorlesungen</w:t>
      </w:r>
      <w:r>
        <w:rPr>
          <w:rFonts w:ascii="Times New Roman" w:hAnsi="Times New Roman" w:cs="Times New Roman"/>
          <w:i/>
        </w:rPr>
        <w:t xml:space="preserve"> </w:t>
      </w:r>
      <w:r>
        <w:rPr>
          <w:rFonts w:ascii="Times New Roman" w:hAnsi="Times New Roman" w:cs="Times New Roman"/>
        </w:rPr>
        <w:t xml:space="preserve">Hegel introduce quelle rappresentazioni comuni alla Qabbalah e alla riflessione böhmiana, sarebbe lecito aspettarsi una valorizzazione di questi elementi analoga a quanto visto nei precedenti capitoli. </w:t>
      </w:r>
      <w:r w:rsidRPr="00905002">
        <w:rPr>
          <w:rFonts w:ascii="Times New Roman" w:hAnsi="Times New Roman" w:cs="Times New Roman"/>
        </w:rPr>
        <w:t xml:space="preserve">O almeno: sarebbe legittimo </w:t>
      </w:r>
      <w:r>
        <w:rPr>
          <w:rFonts w:ascii="Times New Roman" w:hAnsi="Times New Roman" w:cs="Times New Roman"/>
        </w:rPr>
        <w:t xml:space="preserve">aspettarsi </w:t>
      </w:r>
      <w:r w:rsidRPr="00905002">
        <w:rPr>
          <w:rFonts w:ascii="Times New Roman" w:hAnsi="Times New Roman" w:cs="Times New Roman"/>
        </w:rPr>
        <w:t>una discussione critica di questo insieme tematico e del suo rapporto – di prossimità o distanza – con il pensiero di Böhme.</w:t>
      </w:r>
      <w:r>
        <w:rPr>
          <w:rFonts w:ascii="Times New Roman" w:hAnsi="Times New Roman" w:cs="Times New Roman"/>
        </w:rPr>
        <w:t xml:space="preserve"> </w:t>
      </w:r>
    </w:p>
    <w:p w14:paraId="021933F9" w14:textId="29BD2F33" w:rsidR="001B7751" w:rsidRDefault="001B7751" w:rsidP="001B7751">
      <w:pPr>
        <w:spacing w:line="360" w:lineRule="auto"/>
        <w:ind w:firstLine="567"/>
        <w:jc w:val="both"/>
        <w:rPr>
          <w:rFonts w:ascii="Times New Roman" w:hAnsi="Times New Roman" w:cs="Times New Roman"/>
        </w:rPr>
      </w:pPr>
      <w:r w:rsidRPr="007135F0">
        <w:rPr>
          <w:rFonts w:ascii="Times New Roman" w:hAnsi="Times New Roman" w:cs="Times New Roman"/>
        </w:rPr>
        <w:t xml:space="preserve">Tutte queste aspettative, che si creano dalla lettura del testo hegeliano, sono in realtà disattese. Hegel tocca soltanto di passaggio questo punto, che è funzionale ad introdurre alcune determinazioni della </w:t>
      </w:r>
      <w:r w:rsidRPr="007135F0">
        <w:rPr>
          <w:rFonts w:ascii="Times New Roman" w:hAnsi="Times New Roman" w:cs="Times New Roman"/>
          <w:i/>
        </w:rPr>
        <w:t>Porta Coelorum</w:t>
      </w:r>
      <w:r w:rsidRPr="007135F0">
        <w:rPr>
          <w:rFonts w:ascii="Times New Roman" w:hAnsi="Times New Roman" w:cs="Times New Roman"/>
        </w:rPr>
        <w:t>. Se si presta attenzione al</w:t>
      </w:r>
      <w:r>
        <w:rPr>
          <w:rFonts w:ascii="Times New Roman" w:hAnsi="Times New Roman" w:cs="Times New Roman"/>
        </w:rPr>
        <w:t xml:space="preserve">le espressioni e al lessico </w:t>
      </w:r>
      <w:r w:rsidRPr="007135F0">
        <w:rPr>
          <w:rFonts w:ascii="Times New Roman" w:hAnsi="Times New Roman" w:cs="Times New Roman"/>
        </w:rPr>
        <w:t xml:space="preserve">hegeliano, è chiaro il recupero del </w:t>
      </w:r>
      <w:r w:rsidRPr="007135F0">
        <w:rPr>
          <w:rFonts w:ascii="Times New Roman" w:hAnsi="Times New Roman" w:cs="Times New Roman"/>
          <w:i/>
          <w:lang w:val="de-DE"/>
        </w:rPr>
        <w:t>Lehrbuch der Geschichte der Philosophie</w:t>
      </w:r>
      <w:r w:rsidRPr="007135F0">
        <w:rPr>
          <w:rFonts w:ascii="Times New Roman" w:hAnsi="Times New Roman" w:cs="Times New Roman"/>
        </w:rPr>
        <w:t xml:space="preserve"> che, differenziandosi dalle altre fonti storiografiche del tempo, si era in parte occupato dell’</w:t>
      </w:r>
      <w:r w:rsidRPr="007135F0">
        <w:rPr>
          <w:rFonts w:ascii="Times New Roman" w:hAnsi="Times New Roman" w:cs="Times New Roman"/>
          <w:i/>
        </w:rPr>
        <w:t>orientalizzazione</w:t>
      </w:r>
      <w:r w:rsidRPr="007135F0">
        <w:rPr>
          <w:rFonts w:ascii="Times New Roman" w:hAnsi="Times New Roman" w:cs="Times New Roman"/>
        </w:rPr>
        <w:t xml:space="preserve"> della filosofia ebraica</w:t>
      </w:r>
      <w:r w:rsidRPr="007135F0">
        <w:rPr>
          <w:rStyle w:val="Rimandonotaapidipagina"/>
          <w:rFonts w:ascii="Times New Roman" w:hAnsi="Times New Roman" w:cs="Times New Roman"/>
        </w:rPr>
        <w:footnoteReference w:id="800"/>
      </w:r>
      <w:r w:rsidRPr="007135F0">
        <w:rPr>
          <w:rFonts w:ascii="Times New Roman" w:hAnsi="Times New Roman" w:cs="Times New Roman"/>
        </w:rPr>
        <w:t>.</w:t>
      </w:r>
      <w:r>
        <w:rPr>
          <w:rFonts w:ascii="Times New Roman" w:hAnsi="Times New Roman" w:cs="Times New Roman"/>
        </w:rPr>
        <w:t xml:space="preserve"> Per Buhle, lo si ricorderà, questo incontro con la filosofia orientale </w:t>
      </w:r>
      <w:r w:rsidRPr="007135F0">
        <w:rPr>
          <w:rFonts w:ascii="Times New Roman" w:hAnsi="Times New Roman" w:cs="Times New Roman"/>
        </w:rPr>
        <w:t xml:space="preserve">è un momento di passaggio e transizione: è Filone d’Alessandria, non la filosofia dei Parsi, a definire la </w:t>
      </w:r>
      <w:r w:rsidRPr="007E521A">
        <w:rPr>
          <w:rFonts w:ascii="Times New Roman" w:hAnsi="Times New Roman" w:cs="Times New Roman"/>
        </w:rPr>
        <w:t>base teorica dell’emanazionismo cabbalistico, che riconduce tutto ciò che è ad un unico principio spirituale</w:t>
      </w:r>
      <w:r w:rsidRPr="007E521A">
        <w:rPr>
          <w:rStyle w:val="Rimandonotaapidipagina"/>
          <w:rFonts w:ascii="Times New Roman" w:hAnsi="Times New Roman" w:cs="Times New Roman"/>
        </w:rPr>
        <w:footnoteReference w:id="801"/>
      </w:r>
      <w:r w:rsidRPr="007E521A">
        <w:rPr>
          <w:rFonts w:ascii="Times New Roman" w:hAnsi="Times New Roman" w:cs="Times New Roman"/>
        </w:rPr>
        <w:t>. Tutte le cose derivano dall’infinto per mezzo dell’intelletto divino (Adam Kadmon) e la materia, intesa in termini privativi, non è. Schemi d’ispirazione neoplatonica</w:t>
      </w:r>
      <w:r w:rsidRPr="000B34BF">
        <w:rPr>
          <w:rFonts w:ascii="Times New Roman" w:hAnsi="Times New Roman" w:cs="Times New Roman"/>
        </w:rPr>
        <w:t>,</w:t>
      </w:r>
      <w:r>
        <w:rPr>
          <w:rFonts w:ascii="Times New Roman" w:hAnsi="Times New Roman" w:cs="Times New Roman"/>
        </w:rPr>
        <w:t xml:space="preserve"> mediati dalle sedici tesi di Henry More, riassumono, esaurendola, la filosofia cabbalistica, che testimonia, </w:t>
      </w:r>
      <w:r w:rsidRPr="000542C0">
        <w:rPr>
          <w:rFonts w:ascii="Times New Roman" w:hAnsi="Times New Roman" w:cs="Times New Roman"/>
        </w:rPr>
        <w:t>secondo Buhle, il connubio fra pensiero greco e filosofia orientale. Quanto ricordato del</w:t>
      </w:r>
      <w:r w:rsidRPr="000542C0">
        <w:rPr>
          <w:rFonts w:ascii="Times New Roman" w:hAnsi="Times New Roman" w:cs="Times New Roman"/>
          <w:i/>
        </w:rPr>
        <w:t xml:space="preserve"> Lehrbuch</w:t>
      </w:r>
      <w:r w:rsidRPr="000542C0">
        <w:rPr>
          <w:rFonts w:ascii="Times New Roman" w:hAnsi="Times New Roman" w:cs="Times New Roman"/>
        </w:rPr>
        <w:t xml:space="preserve"> vale anche per le </w:t>
      </w:r>
      <w:r w:rsidRPr="000542C0">
        <w:rPr>
          <w:rFonts w:ascii="Times New Roman" w:hAnsi="Times New Roman" w:cs="Times New Roman"/>
          <w:i/>
        </w:rPr>
        <w:t>Vorlesungen</w:t>
      </w:r>
      <w:r w:rsidRPr="000542C0">
        <w:rPr>
          <w:rFonts w:ascii="Times New Roman" w:hAnsi="Times New Roman" w:cs="Times New Roman"/>
        </w:rPr>
        <w:t xml:space="preserve"> hegeliane: </w:t>
      </w:r>
      <w:r w:rsidRPr="00A74782">
        <w:rPr>
          <w:rFonts w:ascii="Times New Roman" w:hAnsi="Times New Roman" w:cs="Times New Roman"/>
        </w:rPr>
        <w:t>Hegel deve spiegare come certe rappresentazioni “luminose”, considerate estranee al pensiero ebraico</w:t>
      </w:r>
      <w:r w:rsidR="00E11A00" w:rsidRPr="00A74782">
        <w:rPr>
          <w:rFonts w:ascii="Times New Roman" w:hAnsi="Times New Roman" w:cs="Times New Roman"/>
        </w:rPr>
        <w:t xml:space="preserve"> e prossime alle riflessione orientale</w:t>
      </w:r>
      <w:r w:rsidRPr="00A74782">
        <w:rPr>
          <w:rFonts w:ascii="Times New Roman" w:hAnsi="Times New Roman" w:cs="Times New Roman"/>
        </w:rPr>
        <w:t>, entrino a far parte dell’universo simbolico</w:t>
      </w:r>
      <w:r>
        <w:rPr>
          <w:rFonts w:ascii="Times New Roman" w:hAnsi="Times New Roman" w:cs="Times New Roman"/>
        </w:rPr>
        <w:t xml:space="preserve"> della Qabbalah. Senza approfondirlo, né tantomeno problematizzarlo, è recuperato un passaggio del manuale di Buhle, dove è giustificata, da un punto di vista prettamente storico, la formazione di alcune strutture concettuali </w:t>
      </w:r>
      <w:r w:rsidRPr="00905002">
        <w:rPr>
          <w:rFonts w:ascii="Times New Roman" w:hAnsi="Times New Roman" w:cs="Times New Roman"/>
        </w:rPr>
        <w:t>presenti nella riflessione cabbalistica. Senza vagliarle criticamente, Hegel introduce alcune immagini che, se indagate più a fondo, avrebbero portato, con tutta probabilità, ad una comprensione della sapienza ebraica speculativamente più articolata rispetto a quella offerta dalle lezioni curate da Michelet.</w:t>
      </w:r>
      <w:r>
        <w:rPr>
          <w:rFonts w:ascii="Times New Roman" w:hAnsi="Times New Roman" w:cs="Times New Roman"/>
        </w:rPr>
        <w:t xml:space="preserve"> </w:t>
      </w:r>
    </w:p>
    <w:p w14:paraId="1BEB9A85" w14:textId="0C6CC71F" w:rsidR="001B7751" w:rsidRPr="00940744" w:rsidRDefault="001B7751" w:rsidP="001B7751">
      <w:pPr>
        <w:spacing w:line="360" w:lineRule="auto"/>
        <w:ind w:firstLine="567"/>
        <w:jc w:val="both"/>
        <w:rPr>
          <w:rFonts w:ascii="Times New Roman" w:hAnsi="Times New Roman" w:cs="Times New Roman"/>
        </w:rPr>
      </w:pPr>
      <w:r w:rsidRPr="00940744">
        <w:rPr>
          <w:rFonts w:ascii="Times New Roman" w:hAnsi="Times New Roman" w:cs="Times New Roman"/>
        </w:rPr>
        <w:t xml:space="preserve">Nella descrizione dell’emanatismo cabbalistico, Hegel riprende quanto messo a disposizione della storiografia anteriore: riguardo all’equiparazione dell’unità numerica con l’Uno, non è difficile indicare in Tiedemann – e anche in </w:t>
      </w:r>
      <w:r w:rsidR="009A1CA9">
        <w:rPr>
          <w:rFonts w:ascii="Times New Roman" w:hAnsi="Times New Roman" w:cs="Times New Roman"/>
        </w:rPr>
        <w:t>Tennemann</w:t>
      </w:r>
      <w:r w:rsidRPr="00940744">
        <w:rPr>
          <w:rFonts w:ascii="Times New Roman" w:hAnsi="Times New Roman" w:cs="Times New Roman"/>
        </w:rPr>
        <w:t xml:space="preserve"> che segue il </w:t>
      </w:r>
      <w:r w:rsidRPr="00940744">
        <w:rPr>
          <w:rFonts w:ascii="Times New Roman" w:hAnsi="Times New Roman" w:cs="Times New Roman"/>
          <w:i/>
        </w:rPr>
        <w:t>Geist der spekulativen Philosophie</w:t>
      </w:r>
      <w:r w:rsidRPr="00940744">
        <w:rPr>
          <w:rStyle w:val="Rimandonotaapidipagina"/>
          <w:rFonts w:ascii="Times New Roman" w:hAnsi="Times New Roman" w:cs="Times New Roman"/>
          <w:i/>
        </w:rPr>
        <w:footnoteReference w:id="802"/>
      </w:r>
      <w:r w:rsidRPr="00940744">
        <w:rPr>
          <w:rFonts w:ascii="Times New Roman" w:hAnsi="Times New Roman" w:cs="Times New Roman"/>
          <w:i/>
        </w:rPr>
        <w:t xml:space="preserve"> </w:t>
      </w:r>
      <w:r w:rsidRPr="00940744">
        <w:rPr>
          <w:rFonts w:ascii="Times New Roman" w:hAnsi="Times New Roman" w:cs="Times New Roman"/>
        </w:rPr>
        <w:t xml:space="preserve">– la fonte utilizzata nelle </w:t>
      </w:r>
      <w:r w:rsidRPr="00940744">
        <w:rPr>
          <w:rFonts w:ascii="Times New Roman" w:hAnsi="Times New Roman" w:cs="Times New Roman"/>
          <w:i/>
        </w:rPr>
        <w:t>Vorlesung</w:t>
      </w:r>
      <w:r w:rsidRPr="00940744">
        <w:rPr>
          <w:rFonts w:ascii="Times New Roman" w:hAnsi="Times New Roman" w:cs="Times New Roman"/>
        </w:rPr>
        <w:t xml:space="preserve">; riguardo alla cosmologia cabbalistica, si osserva </w:t>
      </w:r>
      <w:r>
        <w:rPr>
          <w:rFonts w:ascii="Times New Roman" w:hAnsi="Times New Roman" w:cs="Times New Roman"/>
        </w:rPr>
        <w:t xml:space="preserve">una ripresa del </w:t>
      </w:r>
      <w:r w:rsidRPr="00511EE3">
        <w:rPr>
          <w:rFonts w:ascii="Times New Roman" w:hAnsi="Times New Roman" w:cs="Times New Roman"/>
          <w:i/>
        </w:rPr>
        <w:t>Lehrbuch der Geschichte der Philosophie</w:t>
      </w:r>
      <w:r>
        <w:rPr>
          <w:rFonts w:ascii="Times New Roman" w:hAnsi="Times New Roman" w:cs="Times New Roman"/>
        </w:rPr>
        <w:t xml:space="preserve"> e </w:t>
      </w:r>
      <w:r w:rsidR="00DB5284">
        <w:rPr>
          <w:rFonts w:ascii="Times New Roman" w:hAnsi="Times New Roman" w:cs="Times New Roman"/>
        </w:rPr>
        <w:t xml:space="preserve">una sintesi d’informazioni </w:t>
      </w:r>
      <w:r w:rsidR="00DB5284" w:rsidRPr="00A74782">
        <w:rPr>
          <w:rFonts w:ascii="Times New Roman" w:hAnsi="Times New Roman" w:cs="Times New Roman"/>
        </w:rPr>
        <w:t>reperibili</w:t>
      </w:r>
      <w:r w:rsidRPr="00A74782">
        <w:rPr>
          <w:rFonts w:ascii="Times New Roman" w:hAnsi="Times New Roman" w:cs="Times New Roman"/>
        </w:rPr>
        <w:t xml:space="preserve">, bene o male, in tutti i manuali </w:t>
      </w:r>
      <w:r w:rsidR="00A74782">
        <w:rPr>
          <w:rFonts w:ascii="Times New Roman" w:hAnsi="Times New Roman" w:cs="Times New Roman"/>
        </w:rPr>
        <w:t xml:space="preserve">di storia della filosofia </w:t>
      </w:r>
      <w:r w:rsidRPr="00A74782">
        <w:rPr>
          <w:rFonts w:ascii="Times New Roman" w:hAnsi="Times New Roman" w:cs="Times New Roman"/>
        </w:rPr>
        <w:t>del tempo.</w:t>
      </w:r>
      <w:r w:rsidRPr="00940744">
        <w:rPr>
          <w:rFonts w:ascii="Times New Roman" w:hAnsi="Times New Roman" w:cs="Times New Roman"/>
        </w:rPr>
        <w:t xml:space="preserve"> La prima conclusione, che si p</w:t>
      </w:r>
      <w:r w:rsidR="00984A84">
        <w:rPr>
          <w:rFonts w:ascii="Times New Roman" w:hAnsi="Times New Roman" w:cs="Times New Roman"/>
        </w:rPr>
        <w:t>uò trarre da queste osservazioni</w:t>
      </w:r>
      <w:r w:rsidRPr="00940744">
        <w:rPr>
          <w:rFonts w:ascii="Times New Roman" w:hAnsi="Times New Roman" w:cs="Times New Roman"/>
        </w:rPr>
        <w:t xml:space="preserve">, è la seguente: Hegel introduce un contenuto funzionale alla descrizione dello sviluppo storico-filosofico del neoplatonismo. La concisione delle note hegeliane manifesta, a mio modo di vedere, una mancanza d’interesse per questo momento del pensiero ebraico. Vi sono due momenti delle </w:t>
      </w:r>
      <w:r w:rsidRPr="00940744">
        <w:rPr>
          <w:rFonts w:ascii="Times New Roman" w:hAnsi="Times New Roman" w:cs="Times New Roman"/>
          <w:i/>
        </w:rPr>
        <w:t>Vorlesungen</w:t>
      </w:r>
      <w:r w:rsidRPr="00940744">
        <w:rPr>
          <w:rFonts w:ascii="Times New Roman" w:hAnsi="Times New Roman" w:cs="Times New Roman"/>
        </w:rPr>
        <w:t xml:space="preserve"> in cui Hegel annota dei contenuti che potrebbero determinare una comprensione differente della Qabbalah. Primo: l’Adam Kadmon è associato con l’intelletto (</w:t>
      </w:r>
      <w:r w:rsidRPr="00940744">
        <w:rPr>
          <w:rFonts w:ascii="Times New Roman" w:hAnsi="Times New Roman" w:cs="Times New Roman"/>
          <w:i/>
        </w:rPr>
        <w:t xml:space="preserve">λογος </w:t>
      </w:r>
      <w:r w:rsidRPr="00940744">
        <w:rPr>
          <w:rFonts w:ascii="Times New Roman" w:hAnsi="Times New Roman" w:cs="Times New Roman"/>
        </w:rPr>
        <w:t xml:space="preserve">e </w:t>
      </w:r>
      <w:r w:rsidRPr="00940744">
        <w:rPr>
          <w:rFonts w:ascii="Times New Roman" w:eastAsia="Times New Roman" w:hAnsi="Times New Roman" w:cs="Times New Roman"/>
          <w:i/>
          <w:color w:val="000000"/>
          <w:shd w:val="clear" w:color="auto" w:fill="FFFFFF"/>
          <w:lang w:val="de-DE"/>
        </w:rPr>
        <w:t>νους</w:t>
      </w:r>
      <w:r w:rsidRPr="00940744">
        <w:rPr>
          <w:rFonts w:ascii="Times New Roman" w:hAnsi="Times New Roman" w:cs="Times New Roman"/>
        </w:rPr>
        <w:t xml:space="preserve">) di stampo filoniano e plotiniano. Con questa mossa, Hegel sembra indicare una radice dinamica nella filosofia cabbalistica, che riflette, al di là delle incongruenze formali, degli schemi logico-relazionali di natura dialettico-speculativa. Secondo: l’incontro fra filosofia ebraica e orientale è occasione di una rielaborazione cabbalistica di rappresentazioni antagonistiche – quali lo scontro fra due principi antitetici, la caduta degli angeli malvagi etc. – </w:t>
      </w:r>
      <w:r>
        <w:rPr>
          <w:rFonts w:ascii="Times New Roman" w:hAnsi="Times New Roman" w:cs="Times New Roman"/>
        </w:rPr>
        <w:t>che hanno echi nell’opera di</w:t>
      </w:r>
      <w:r w:rsidRPr="00940744">
        <w:rPr>
          <w:rFonts w:ascii="Times New Roman" w:hAnsi="Times New Roman" w:cs="Times New Roman"/>
        </w:rPr>
        <w:t xml:space="preserve"> Jakob Böhme. Sia l’omissione di una nozione precedentemente inserita nella caratterizzazione di un sistema di pensiero, che l’annotazione fine a se stessa di certe rappresentazioni di spessore teoretico, manifestano la convinzione della non centralità di quei contenuti all’interno della costellazione di senso descritta. Interpretare l’Adam Kadmon come </w:t>
      </w:r>
      <w:r w:rsidRPr="00940744">
        <w:rPr>
          <w:rFonts w:ascii="Times New Roman" w:hAnsi="Times New Roman" w:cs="Times New Roman"/>
          <w:i/>
        </w:rPr>
        <w:t xml:space="preserve">agente </w:t>
      </w:r>
      <w:r w:rsidRPr="00940744">
        <w:rPr>
          <w:rFonts w:ascii="Times New Roman" w:hAnsi="Times New Roman" w:cs="Times New Roman"/>
        </w:rPr>
        <w:t xml:space="preserve">dotato </w:t>
      </w:r>
      <w:r w:rsidRPr="00A061F6">
        <w:rPr>
          <w:rFonts w:ascii="Times New Roman" w:hAnsi="Times New Roman" w:cs="Times New Roman"/>
        </w:rPr>
        <w:t xml:space="preserve">d’effettualità è sovrainterpretazione di un concetto che, tutt’al più, è tramite della luce divina; cogliere la natura oppositiva dell’essenza divina esula da una tradizione </w:t>
      </w:r>
      <w:r w:rsidR="00984A84" w:rsidRPr="00A061F6">
        <w:rPr>
          <w:rFonts w:ascii="Times New Roman" w:hAnsi="Times New Roman" w:cs="Times New Roman"/>
        </w:rPr>
        <w:t>di pensiero che</w:t>
      </w:r>
      <w:r w:rsidR="00DB5284" w:rsidRPr="00A061F6">
        <w:rPr>
          <w:rFonts w:ascii="Times New Roman" w:hAnsi="Times New Roman" w:cs="Times New Roman"/>
        </w:rPr>
        <w:t xml:space="preserve"> </w:t>
      </w:r>
      <w:r w:rsidRPr="00A061F6">
        <w:rPr>
          <w:rFonts w:ascii="Times New Roman" w:hAnsi="Times New Roman" w:cs="Times New Roman"/>
        </w:rPr>
        <w:t>s’arresta</w:t>
      </w:r>
      <w:r w:rsidR="00DB5284" w:rsidRPr="00A061F6">
        <w:rPr>
          <w:rFonts w:ascii="Times New Roman" w:hAnsi="Times New Roman" w:cs="Times New Roman"/>
        </w:rPr>
        <w:t xml:space="preserve">, in tutte le sue manifestazioni particolari, </w:t>
      </w:r>
      <w:r w:rsidRPr="00A061F6">
        <w:rPr>
          <w:rFonts w:ascii="Times New Roman" w:hAnsi="Times New Roman" w:cs="Times New Roman"/>
        </w:rPr>
        <w:t>ad una comprensione a-dialettica dell’Assoluto</w:t>
      </w:r>
      <w:r w:rsidRPr="00A061F6">
        <w:rPr>
          <w:rStyle w:val="PidipaginaCarattere"/>
          <w:rFonts w:ascii="Times New Roman" w:hAnsi="Times New Roman" w:cs="Times New Roman"/>
        </w:rPr>
        <w:t xml:space="preserve"> </w:t>
      </w:r>
      <w:r w:rsidRPr="00A061F6">
        <w:rPr>
          <w:rStyle w:val="Rimandonotaapidipagina"/>
          <w:rFonts w:ascii="Times New Roman" w:hAnsi="Times New Roman" w:cs="Times New Roman"/>
        </w:rPr>
        <w:footnoteReference w:id="803"/>
      </w:r>
      <w:r w:rsidRPr="00A061F6">
        <w:rPr>
          <w:rFonts w:ascii="Times New Roman" w:hAnsi="Times New Roman" w:cs="Times New Roman"/>
        </w:rPr>
        <w:t>. Se da un lato Hegel aggiusta</w:t>
      </w:r>
      <w:r w:rsidR="00DB5284" w:rsidRPr="00A061F6">
        <w:rPr>
          <w:rFonts w:ascii="Times New Roman" w:hAnsi="Times New Roman" w:cs="Times New Roman"/>
        </w:rPr>
        <w:t xml:space="preserve"> il tiro e ridimensiona ciò che</w:t>
      </w:r>
      <w:r w:rsidRPr="00A061F6">
        <w:rPr>
          <w:rFonts w:ascii="Times New Roman" w:hAnsi="Times New Roman" w:cs="Times New Roman"/>
        </w:rPr>
        <w:t xml:space="preserve"> nel m</w:t>
      </w:r>
      <w:r w:rsidR="00DB5284" w:rsidRPr="00A061F6">
        <w:rPr>
          <w:rFonts w:ascii="Times New Roman" w:hAnsi="Times New Roman" w:cs="Times New Roman"/>
        </w:rPr>
        <w:t>anoscritto Häring</w:t>
      </w:r>
      <w:r w:rsidRPr="00A061F6">
        <w:rPr>
          <w:rFonts w:ascii="Times New Roman" w:hAnsi="Times New Roman" w:cs="Times New Roman"/>
        </w:rPr>
        <w:t xml:space="preserve"> appariva sovradimensionato, dall’altro l</w:t>
      </w:r>
      <w:r w:rsidR="00DB5284" w:rsidRPr="00A061F6">
        <w:rPr>
          <w:rFonts w:ascii="Times New Roman" w:hAnsi="Times New Roman" w:cs="Times New Roman"/>
        </w:rPr>
        <w:t>ato Hegel valorizza quell’</w:t>
      </w:r>
      <w:r w:rsidRPr="00A061F6">
        <w:rPr>
          <w:rFonts w:ascii="Times New Roman" w:hAnsi="Times New Roman" w:cs="Times New Roman"/>
        </w:rPr>
        <w:t>elemento</w:t>
      </w:r>
      <w:r w:rsidR="00DB5284" w:rsidRPr="00A061F6">
        <w:rPr>
          <w:rFonts w:ascii="Times New Roman" w:hAnsi="Times New Roman" w:cs="Times New Roman"/>
        </w:rPr>
        <w:t xml:space="preserve"> teorico</w:t>
      </w:r>
      <w:r w:rsidRPr="00A061F6">
        <w:rPr>
          <w:rFonts w:ascii="Times New Roman" w:hAnsi="Times New Roman" w:cs="Times New Roman"/>
        </w:rPr>
        <w:t xml:space="preserve"> – l’equiparazione del divino con la luce – capace di restituire la natura astratta</w:t>
      </w:r>
      <w:r w:rsidR="00DB5284" w:rsidRPr="00A061F6">
        <w:rPr>
          <w:rFonts w:ascii="Times New Roman" w:hAnsi="Times New Roman" w:cs="Times New Roman"/>
        </w:rPr>
        <w:t xml:space="preserve"> </w:t>
      </w:r>
      <w:r w:rsidRPr="00A061F6">
        <w:rPr>
          <w:rFonts w:ascii="Times New Roman" w:hAnsi="Times New Roman" w:cs="Times New Roman"/>
        </w:rPr>
        <w:t xml:space="preserve">della </w:t>
      </w:r>
      <w:r w:rsidR="00A061F6">
        <w:rPr>
          <w:rFonts w:ascii="Times New Roman" w:hAnsi="Times New Roman" w:cs="Times New Roman"/>
        </w:rPr>
        <w:t>riflessione cabbalastica</w:t>
      </w:r>
      <w:r w:rsidRPr="00A061F6">
        <w:rPr>
          <w:rFonts w:ascii="Times New Roman" w:hAnsi="Times New Roman" w:cs="Times New Roman"/>
        </w:rPr>
        <w:t>.</w:t>
      </w:r>
    </w:p>
    <w:p w14:paraId="2BE2539A" w14:textId="3334D0FA" w:rsidR="00BC3832" w:rsidRDefault="001B7751" w:rsidP="00A74782">
      <w:pPr>
        <w:spacing w:line="360" w:lineRule="auto"/>
        <w:ind w:firstLine="567"/>
        <w:jc w:val="both"/>
        <w:rPr>
          <w:rFonts w:ascii="Times New Roman" w:hAnsi="Times New Roman" w:cs="Times New Roman"/>
        </w:rPr>
      </w:pPr>
      <w:r w:rsidRPr="00940744">
        <w:rPr>
          <w:rFonts w:ascii="Times New Roman" w:hAnsi="Times New Roman" w:cs="Times New Roman"/>
        </w:rPr>
        <w:t>Dalla ricostruzione offerta della cosmologia cabbalistica, s’evince che Hegel non riconosce una portata speculativa autonoma alla sapienza eb</w:t>
      </w:r>
      <w:r w:rsidR="00DB66BD">
        <w:rPr>
          <w:rFonts w:ascii="Times New Roman" w:hAnsi="Times New Roman" w:cs="Times New Roman"/>
        </w:rPr>
        <w:t xml:space="preserve">raica. E ciò per almeno cinque </w:t>
      </w:r>
      <w:r w:rsidRPr="00940744">
        <w:rPr>
          <w:rFonts w:ascii="Times New Roman" w:hAnsi="Times New Roman" w:cs="Times New Roman"/>
        </w:rPr>
        <w:t xml:space="preserve">motivi: 1. si utilizza un commento tardo, la </w:t>
      </w:r>
      <w:r w:rsidRPr="00940744">
        <w:rPr>
          <w:rFonts w:ascii="Times New Roman" w:hAnsi="Times New Roman" w:cs="Times New Roman"/>
          <w:i/>
        </w:rPr>
        <w:t>Porta Coelorum</w:t>
      </w:r>
      <w:r w:rsidRPr="00940744">
        <w:rPr>
          <w:rFonts w:ascii="Times New Roman" w:hAnsi="Times New Roman" w:cs="Times New Roman"/>
        </w:rPr>
        <w:t>, come strumento chiarificatore di un insieme torbido di rappresentazioni, 2. si sostiene che gli aspetti migli</w:t>
      </w:r>
      <w:r w:rsidR="001C7409">
        <w:rPr>
          <w:rFonts w:ascii="Times New Roman" w:hAnsi="Times New Roman" w:cs="Times New Roman"/>
        </w:rPr>
        <w:t>ori di quest’opera so</w:t>
      </w:r>
      <w:r w:rsidRPr="00940744">
        <w:rPr>
          <w:rFonts w:ascii="Times New Roman" w:hAnsi="Times New Roman" w:cs="Times New Roman"/>
        </w:rPr>
        <w:t xml:space="preserve">no prossimi alla filosofia alessandrina e arabo-cristiana, 3. dalla discussione tematica della Qabbalah si evince una concezione emanatistica del reale (comune al pensiero orientale, alessandrino e neoplatonico), in cui la luce, o l’infinito, si espande nei diversi e gerarchicamente strutturati livelli </w:t>
      </w:r>
      <w:r>
        <w:rPr>
          <w:rFonts w:ascii="Times New Roman" w:hAnsi="Times New Roman" w:cs="Times New Roman"/>
        </w:rPr>
        <w:t>del processo emanativo</w:t>
      </w:r>
      <w:r w:rsidRPr="00940744">
        <w:rPr>
          <w:rFonts w:ascii="Times New Roman" w:hAnsi="Times New Roman" w:cs="Times New Roman"/>
        </w:rPr>
        <w:t>, 4. il fascio luminoso, più vigoroso in ciò che è prossimo alla sorgente della luce infinita, si affievolisce sempre più e si perde, infine, nell’estremo termine del processo emanativo (materia) e 5. l’idea di un affievolimento costante della luce si ricollega ad una concezione del cosmo in cui viene a mancare la dialettica dei due principi, ossia l’opposizione, ricondotta all’unità del fondamento, fra positivo (luce) e negativo (tenebra)</w:t>
      </w:r>
      <w:r w:rsidRPr="00940744">
        <w:rPr>
          <w:rStyle w:val="Rimandonotaapidipagina"/>
          <w:rFonts w:ascii="Times New Roman" w:hAnsi="Times New Roman" w:cs="Times New Roman"/>
        </w:rPr>
        <w:footnoteReference w:id="804"/>
      </w:r>
      <w:r w:rsidRPr="00940744">
        <w:rPr>
          <w:rFonts w:ascii="Times New Roman" w:hAnsi="Times New Roman" w:cs="Times New Roman"/>
        </w:rPr>
        <w:t xml:space="preserve">. Hegel non fornisce nessun dettaglio ulteriore su che cosa la Qabbalah intenda con il mondo materiale e, in particolare, con la materia. Sebbene sia quesito eluso e non ulteriormente tematizzato, ritengo che si possa chiarire questo nodo concettuale. Se Hegel recuperasse l’immagine dell’emanazionismo incontrata, ad esempio, nella </w:t>
      </w:r>
      <w:r w:rsidRPr="00940744">
        <w:rPr>
          <w:rFonts w:ascii="Times New Roman" w:hAnsi="Times New Roman" w:cs="Times New Roman"/>
          <w:i/>
          <w:lang w:val="de-DE"/>
        </w:rPr>
        <w:t>Jenaer Logik und Metaphysik</w:t>
      </w:r>
      <w:r w:rsidRPr="00940744">
        <w:rPr>
          <w:rFonts w:ascii="Times New Roman" w:hAnsi="Times New Roman" w:cs="Times New Roman"/>
        </w:rPr>
        <w:t xml:space="preserve"> e nella </w:t>
      </w:r>
      <w:r w:rsidRPr="00940744">
        <w:rPr>
          <w:rFonts w:ascii="Times New Roman" w:hAnsi="Times New Roman" w:cs="Times New Roman"/>
          <w:i/>
          <w:lang w:val="de-DE"/>
        </w:rPr>
        <w:t>Wissenschaft der Logik</w:t>
      </w:r>
      <w:r w:rsidRPr="00940744">
        <w:rPr>
          <w:rFonts w:ascii="Times New Roman" w:hAnsi="Times New Roman" w:cs="Times New Roman"/>
        </w:rPr>
        <w:t>, allora la materia non sarebbe relazionata con la luce infinita</w:t>
      </w:r>
      <w:r w:rsidRPr="00940744">
        <w:rPr>
          <w:rStyle w:val="Rimandonotaapidipagina"/>
          <w:rFonts w:ascii="Times New Roman" w:hAnsi="Times New Roman" w:cs="Times New Roman"/>
        </w:rPr>
        <w:footnoteReference w:id="805"/>
      </w:r>
      <w:r w:rsidRPr="00940744">
        <w:rPr>
          <w:rFonts w:ascii="Times New Roman" w:hAnsi="Times New Roman" w:cs="Times New Roman"/>
        </w:rPr>
        <w:t xml:space="preserve">. Se fosse recuperata la lettura del </w:t>
      </w:r>
      <w:r w:rsidRPr="00940744">
        <w:rPr>
          <w:rFonts w:ascii="Times New Roman" w:hAnsi="Times New Roman" w:cs="Times New Roman"/>
          <w:i/>
        </w:rPr>
        <w:t>Lehrbuch</w:t>
      </w:r>
      <w:r w:rsidRPr="00940744">
        <w:rPr>
          <w:rFonts w:ascii="Times New Roman" w:hAnsi="Times New Roman" w:cs="Times New Roman"/>
        </w:rPr>
        <w:t xml:space="preserve"> di Buhle – e con essa le sedici tesi di Henry More –, allora tutto sarebbe spirito, anche il mondo visibile, e non si potrebbe parlare, se non in termini privativi, della materia. In un caso e nell’altro, la materia, il negativo, non costituirebbe un estremo dotato di una propria consistenza ontologica, ma una privazione del principio luminoso, mai veramente in rela</w:t>
      </w:r>
      <w:r w:rsidR="00A74782">
        <w:rPr>
          <w:rFonts w:ascii="Times New Roman" w:hAnsi="Times New Roman" w:cs="Times New Roman"/>
        </w:rPr>
        <w:t>zione con ciò che è altro da sé.</w:t>
      </w:r>
    </w:p>
    <w:p w14:paraId="45C7B009" w14:textId="77777777" w:rsidR="00BC3832" w:rsidRPr="008B6B98" w:rsidRDefault="00BC3832" w:rsidP="009949BD">
      <w:pPr>
        <w:spacing w:line="360" w:lineRule="auto"/>
        <w:jc w:val="both"/>
        <w:rPr>
          <w:rFonts w:ascii="Times New Roman" w:hAnsi="Times New Roman" w:cs="Times New Roman"/>
        </w:rPr>
      </w:pPr>
    </w:p>
    <w:p w14:paraId="4EC24CBD" w14:textId="2355F24B" w:rsidR="001B7751" w:rsidRPr="00376B1C" w:rsidRDefault="008A4ACC" w:rsidP="001B7751">
      <w:pPr>
        <w:spacing w:line="360" w:lineRule="auto"/>
        <w:jc w:val="both"/>
        <w:rPr>
          <w:rFonts w:ascii="Times New Roman" w:hAnsi="Times New Roman" w:cs="Times New Roman"/>
          <w:i/>
        </w:rPr>
      </w:pPr>
      <w:r>
        <w:rPr>
          <w:rFonts w:ascii="Times New Roman" w:hAnsi="Times New Roman" w:cs="Times New Roman"/>
          <w:i/>
        </w:rPr>
        <w:t>3.</w:t>
      </w:r>
      <w:r w:rsidR="001B7751">
        <w:rPr>
          <w:rFonts w:ascii="Times New Roman" w:hAnsi="Times New Roman" w:cs="Times New Roman"/>
          <w:i/>
        </w:rPr>
        <w:t>10 Acosmismo, eleatismo e Qabbalah: l’ontologia di Spinoza nella produzione berlinese di Hegel</w:t>
      </w:r>
    </w:p>
    <w:p w14:paraId="0F06DE02" w14:textId="77777777" w:rsidR="001B7751" w:rsidRDefault="001B7751" w:rsidP="001B7751">
      <w:pPr>
        <w:spacing w:line="360" w:lineRule="auto"/>
        <w:ind w:firstLine="567"/>
        <w:jc w:val="both"/>
        <w:rPr>
          <w:rFonts w:ascii="Times New Roman" w:hAnsi="Times New Roman" w:cs="Times New Roman"/>
        </w:rPr>
      </w:pPr>
    </w:p>
    <w:p w14:paraId="157FA30F" w14:textId="05CFA4D0" w:rsidR="001B7751" w:rsidRPr="0008309F" w:rsidRDefault="001B7751" w:rsidP="001B7751">
      <w:pPr>
        <w:spacing w:line="360" w:lineRule="auto"/>
        <w:ind w:firstLine="567"/>
        <w:jc w:val="both"/>
        <w:rPr>
          <w:rFonts w:ascii="Times New Roman" w:hAnsi="Times New Roman" w:cs="Times New Roman"/>
        </w:rPr>
      </w:pPr>
      <w:r w:rsidRPr="00E62308">
        <w:rPr>
          <w:rFonts w:ascii="Times New Roman" w:hAnsi="Times New Roman" w:cs="Times New Roman"/>
        </w:rPr>
        <w:t xml:space="preserve">Nei precedenti sottocapitoli, è stato mostrato come la discussione sul misticismo ebraico fosse condotta, con una certa costanza, assieme all’indagine sul cabbalismo di Spinoza. </w:t>
      </w:r>
      <w:r>
        <w:rPr>
          <w:rFonts w:ascii="Times New Roman" w:hAnsi="Times New Roman" w:cs="Times New Roman"/>
        </w:rPr>
        <w:t>A</w:t>
      </w:r>
      <w:r w:rsidRPr="00E62308">
        <w:rPr>
          <w:rFonts w:ascii="Times New Roman" w:hAnsi="Times New Roman" w:cs="Times New Roman"/>
        </w:rPr>
        <w:t>ttraversa</w:t>
      </w:r>
      <w:r>
        <w:rPr>
          <w:rFonts w:ascii="Times New Roman" w:hAnsi="Times New Roman" w:cs="Times New Roman"/>
        </w:rPr>
        <w:t>ndo</w:t>
      </w:r>
      <w:r w:rsidRPr="00E62308">
        <w:rPr>
          <w:rFonts w:ascii="Times New Roman" w:hAnsi="Times New Roman" w:cs="Times New Roman"/>
        </w:rPr>
        <w:t xml:space="preserve"> lo </w:t>
      </w:r>
      <w:r w:rsidRPr="00E62308">
        <w:rPr>
          <w:rFonts w:ascii="Times New Roman" w:hAnsi="Times New Roman" w:cs="Times New Roman"/>
          <w:i/>
        </w:rPr>
        <w:t xml:space="preserve">Spinozismusstreit </w:t>
      </w:r>
      <w:r w:rsidRPr="00E62308">
        <w:rPr>
          <w:rFonts w:ascii="Times New Roman" w:hAnsi="Times New Roman" w:cs="Times New Roman"/>
        </w:rPr>
        <w:t>settecentesco e</w:t>
      </w:r>
      <w:r>
        <w:rPr>
          <w:rFonts w:ascii="Times New Roman" w:hAnsi="Times New Roman" w:cs="Times New Roman"/>
        </w:rPr>
        <w:t xml:space="preserve"> informando larga parte della storiografia tedesca sette-ottocentesca, il quesito aveva perso centralità nelle sintesi manualistiche di Friedrich Ast </w:t>
      </w:r>
      <w:r w:rsidRPr="00A15D90">
        <w:rPr>
          <w:rFonts w:ascii="Times New Roman" w:hAnsi="Times New Roman" w:cs="Times New Roman"/>
        </w:rPr>
        <w:t xml:space="preserve">e Gottlieb </w:t>
      </w:r>
      <w:r w:rsidR="009A1CA9">
        <w:rPr>
          <w:rFonts w:ascii="Times New Roman" w:hAnsi="Times New Roman" w:cs="Times New Roman"/>
        </w:rPr>
        <w:t>Tennemann</w:t>
      </w:r>
      <w:r w:rsidRPr="00A15D90">
        <w:rPr>
          <w:rFonts w:ascii="Times New Roman" w:hAnsi="Times New Roman" w:cs="Times New Roman"/>
        </w:rPr>
        <w:t>, che avevano valutato e letto lo spinozismo non tanto da un punto di vista storico, quanto da un punto di vista teorico, in base alla sua prossimità o distanza da un’idea di verità assunta come paradigma dello sviluppo del pensiero filosofico</w:t>
      </w:r>
      <w:r w:rsidRPr="00A15D90">
        <w:rPr>
          <w:rStyle w:val="Rimandonotaapidipagina"/>
          <w:rFonts w:ascii="Times New Roman" w:hAnsi="Times New Roman" w:cs="Times New Roman"/>
        </w:rPr>
        <w:footnoteReference w:id="806"/>
      </w:r>
      <w:r w:rsidRPr="00A15D90">
        <w:rPr>
          <w:rFonts w:ascii="Times New Roman" w:hAnsi="Times New Roman" w:cs="Times New Roman"/>
        </w:rPr>
        <w:t>.</w:t>
      </w:r>
      <w:r>
        <w:rPr>
          <w:rFonts w:ascii="Times New Roman" w:hAnsi="Times New Roman" w:cs="Times New Roman"/>
        </w:rPr>
        <w:t xml:space="preserve"> Anche Hegel, dal canto suo, sviluppa un’idea precisa di che </w:t>
      </w:r>
      <w:r w:rsidRPr="00A15D90">
        <w:rPr>
          <w:rFonts w:ascii="Times New Roman" w:hAnsi="Times New Roman" w:cs="Times New Roman"/>
        </w:rPr>
        <w:t>cosa sia la verità e di come</w:t>
      </w:r>
      <w:r>
        <w:rPr>
          <w:rFonts w:ascii="Times New Roman" w:hAnsi="Times New Roman" w:cs="Times New Roman"/>
        </w:rPr>
        <w:t xml:space="preserve"> essa</w:t>
      </w:r>
      <w:r w:rsidRPr="00A15D90">
        <w:rPr>
          <w:rFonts w:ascii="Times New Roman" w:hAnsi="Times New Roman" w:cs="Times New Roman"/>
        </w:rPr>
        <w:t>, calata nel tempo, ma non soggetta ad un accrescimento quantitativo, prenda</w:t>
      </w:r>
      <w:r>
        <w:rPr>
          <w:rFonts w:ascii="Times New Roman" w:hAnsi="Times New Roman" w:cs="Times New Roman"/>
        </w:rPr>
        <w:t xml:space="preserve"> coscienza di sé nel plurisecolare sviluppo del pensiero filosofico. Dall’Oriente all’Occidente, passando dall’Egitto, terra d’incontro fra cultura greca e orientale, l’Idea approfondisce se stessa nel continente europeo e s’afferma attraverso la riflessione araba e scolastica, la rinascita del XV secolo, la riforma protestante, la rivoluzione scientifica, l’illuminismo e </w:t>
      </w:r>
      <w:r w:rsidRPr="00EB479C">
        <w:rPr>
          <w:rFonts w:ascii="Times New Roman" w:hAnsi="Times New Roman" w:cs="Times New Roman"/>
        </w:rPr>
        <w:t xml:space="preserve">l’idealismo, articolato in soggettivo, oggettivo e assoluto. </w:t>
      </w:r>
      <w:r w:rsidRPr="008E2AAE">
        <w:rPr>
          <w:rFonts w:ascii="Times New Roman" w:hAnsi="Times New Roman" w:cs="Times New Roman"/>
        </w:rPr>
        <w:t xml:space="preserve">Considerando l’Idea come ciò che </w:t>
      </w:r>
      <w:r w:rsidR="00B74E8C" w:rsidRPr="008E2AAE">
        <w:rPr>
          <w:rFonts w:ascii="Times New Roman" w:hAnsi="Times New Roman" w:cs="Times New Roman"/>
        </w:rPr>
        <w:t xml:space="preserve">innerva </w:t>
      </w:r>
      <w:r w:rsidRPr="008E2AAE">
        <w:rPr>
          <w:rFonts w:ascii="Times New Roman" w:hAnsi="Times New Roman" w:cs="Times New Roman"/>
        </w:rPr>
        <w:t>l’identità e la non-identità di oggetto e soggetto,</w:t>
      </w:r>
      <w:r w:rsidRPr="00EB479C">
        <w:rPr>
          <w:rFonts w:ascii="Times New Roman" w:hAnsi="Times New Roman" w:cs="Times New Roman"/>
        </w:rPr>
        <w:t xml:space="preserve"> Hegel espone e valuta i vari momenti della storia della filosofia alla luce di questo assunto ontologico.</w:t>
      </w:r>
      <w:r>
        <w:rPr>
          <w:rFonts w:ascii="Times New Roman" w:hAnsi="Times New Roman" w:cs="Times New Roman"/>
        </w:rPr>
        <w:t xml:space="preserve"> Nel dettaglio, abbiamo visto come la Qabbalah sia sistema emanatistico dalle sfumature filonian</w:t>
      </w:r>
      <w:r w:rsidRPr="00362EF2">
        <w:rPr>
          <w:rFonts w:ascii="Times New Roman" w:hAnsi="Times New Roman" w:cs="Times New Roman"/>
        </w:rPr>
        <w:t>e, orientaleggianti e neoplatoniche,</w:t>
      </w:r>
      <w:r>
        <w:rPr>
          <w:rFonts w:ascii="Times New Roman" w:hAnsi="Times New Roman" w:cs="Times New Roman"/>
        </w:rPr>
        <w:t xml:space="preserve"> che riconduce tutto ciò che è all’Uno, ossia ad un unico principio. L’Uno – lo si ricorderà – è natura semplicissima, luce contratta ed espansa nei diversi livelli emanatistici, </w:t>
      </w:r>
      <w:r w:rsidRPr="002E6047">
        <w:rPr>
          <w:rFonts w:ascii="Times New Roman" w:hAnsi="Times New Roman" w:cs="Times New Roman"/>
        </w:rPr>
        <w:t>che non legittima l’essere per sé del proprio essere altro</w:t>
      </w:r>
      <w:r>
        <w:rPr>
          <w:rFonts w:ascii="Times New Roman" w:hAnsi="Times New Roman" w:cs="Times New Roman"/>
        </w:rPr>
        <w:t>.</w:t>
      </w:r>
      <w:r w:rsidRPr="00EB479C">
        <w:rPr>
          <w:rFonts w:ascii="Times New Roman" w:hAnsi="Times New Roman" w:cs="Times New Roman"/>
        </w:rPr>
        <w:t xml:space="preserve"> </w:t>
      </w:r>
      <w:r>
        <w:rPr>
          <w:rFonts w:ascii="Times New Roman" w:hAnsi="Times New Roman" w:cs="Times New Roman"/>
        </w:rPr>
        <w:t>L</w:t>
      </w:r>
      <w:r w:rsidRPr="0000731C">
        <w:rPr>
          <w:rFonts w:ascii="Times New Roman" w:hAnsi="Times New Roman" w:cs="Times New Roman"/>
        </w:rPr>
        <w:t>a materia, il male, il finito e il negativo o non sono toccati dalla luce divina, risultando così irrelati con il proprio essere altro, o sono negati da un punto di vista metafisico</w:t>
      </w:r>
      <w:r w:rsidRPr="00EB479C">
        <w:rPr>
          <w:rFonts w:ascii="Times New Roman" w:hAnsi="Times New Roman" w:cs="Times New Roman"/>
        </w:rPr>
        <w:t>. A causa della concisione delle note hegeliane, non si è potuta indicare con certezza una della due alternative. In entrambi i casi, e questo è ciò che conta, l’infinito cabbalistico è un principio astratto e manchevole di una dialettica interna, che recide la possibilità di una relazione fondante, opponente e riconciliante di sé con l’altro da sé.</w:t>
      </w:r>
      <w:r w:rsidRPr="00096C63">
        <w:rPr>
          <w:rFonts w:ascii="Times New Roman" w:hAnsi="Times New Roman" w:cs="Times New Roman"/>
        </w:rPr>
        <w:t xml:space="preserve"> Si è sostenuto, pertanto, che Hegel valuta la Qabbalah come un momento di transizione fra </w:t>
      </w:r>
      <w:r>
        <w:rPr>
          <w:rFonts w:ascii="Times New Roman" w:hAnsi="Times New Roman" w:cs="Times New Roman"/>
        </w:rPr>
        <w:t xml:space="preserve">il </w:t>
      </w:r>
      <w:r w:rsidRPr="00096C63">
        <w:rPr>
          <w:rFonts w:ascii="Times New Roman" w:hAnsi="Times New Roman" w:cs="Times New Roman"/>
        </w:rPr>
        <w:t xml:space="preserve">pensiero </w:t>
      </w:r>
      <w:r>
        <w:rPr>
          <w:rFonts w:ascii="Times New Roman" w:hAnsi="Times New Roman" w:cs="Times New Roman"/>
        </w:rPr>
        <w:t>filonia</w:t>
      </w:r>
      <w:r w:rsidRPr="00096C63">
        <w:rPr>
          <w:rFonts w:ascii="Times New Roman" w:hAnsi="Times New Roman" w:cs="Times New Roman"/>
        </w:rPr>
        <w:t xml:space="preserve">no e </w:t>
      </w:r>
      <w:r w:rsidRPr="00DD0584">
        <w:rPr>
          <w:rFonts w:ascii="Times New Roman" w:hAnsi="Times New Roman" w:cs="Times New Roman"/>
        </w:rPr>
        <w:t xml:space="preserve">neoplatonico: anche là dove la sapienza ebraica raggiunge il suo massimo vigore filosofico (nella </w:t>
      </w:r>
      <w:r w:rsidRPr="00DD0584">
        <w:rPr>
          <w:rFonts w:ascii="Times New Roman" w:hAnsi="Times New Roman" w:cs="Times New Roman"/>
          <w:i/>
        </w:rPr>
        <w:t>Porta Coelorum</w:t>
      </w:r>
      <w:r w:rsidRPr="00DD0584">
        <w:rPr>
          <w:rFonts w:ascii="Times New Roman" w:hAnsi="Times New Roman" w:cs="Times New Roman"/>
        </w:rPr>
        <w:t>) non sono dismesse quelle incongruenze formali e q</w:t>
      </w:r>
      <w:r w:rsidR="008E2AAE">
        <w:rPr>
          <w:rFonts w:ascii="Times New Roman" w:hAnsi="Times New Roman" w:cs="Times New Roman"/>
        </w:rPr>
        <w:t>uella semplicità contenutistica</w:t>
      </w:r>
      <w:r w:rsidRPr="00DD0584">
        <w:rPr>
          <w:rFonts w:ascii="Times New Roman" w:hAnsi="Times New Roman" w:cs="Times New Roman"/>
        </w:rPr>
        <w:t xml:space="preserve"> che la distanziano dai più complessi intrecci dialettici di Filone d’Alessandria e dei neoplatonici.</w:t>
      </w:r>
      <w:r>
        <w:rPr>
          <w:rFonts w:ascii="Times New Roman" w:hAnsi="Times New Roman" w:cs="Times New Roman"/>
        </w:rPr>
        <w:t xml:space="preserve"> </w:t>
      </w:r>
    </w:p>
    <w:p w14:paraId="5C9F2FFE" w14:textId="37CD194F" w:rsidR="001B7751" w:rsidRDefault="001B7751" w:rsidP="001B7751">
      <w:pPr>
        <w:spacing w:line="360" w:lineRule="auto"/>
        <w:ind w:firstLine="567"/>
        <w:jc w:val="both"/>
        <w:rPr>
          <w:rFonts w:ascii="Times New Roman" w:hAnsi="Times New Roman" w:cs="Times New Roman"/>
        </w:rPr>
      </w:pPr>
      <w:r>
        <w:rPr>
          <w:rFonts w:ascii="Times New Roman" w:hAnsi="Times New Roman" w:cs="Times New Roman"/>
        </w:rPr>
        <w:t xml:space="preserve">Vista l’impostazione generale delle </w:t>
      </w:r>
      <w:r w:rsidRPr="00E80C07">
        <w:rPr>
          <w:rFonts w:ascii="Times New Roman" w:hAnsi="Times New Roman" w:cs="Times New Roman"/>
          <w:i/>
        </w:rPr>
        <w:t>Vorlesungen</w:t>
      </w:r>
      <w:r>
        <w:rPr>
          <w:rFonts w:ascii="Times New Roman" w:hAnsi="Times New Roman" w:cs="Times New Roman"/>
        </w:rPr>
        <w:t xml:space="preserve"> e visti gli antecedenti storiografici più prossimi ai corsi sulla storia della filosofia (Ast e </w:t>
      </w:r>
      <w:r w:rsidR="009A1CA9">
        <w:rPr>
          <w:rFonts w:ascii="Times New Roman" w:hAnsi="Times New Roman" w:cs="Times New Roman"/>
        </w:rPr>
        <w:t>Tennemann</w:t>
      </w:r>
      <w:r>
        <w:rPr>
          <w:rFonts w:ascii="Times New Roman" w:hAnsi="Times New Roman" w:cs="Times New Roman"/>
        </w:rPr>
        <w:t xml:space="preserve">), sarebbe lecito aspettarsi una valutazione schiettamente teorica di quel momento – dello spinozismo – solitamente connesso con la filosofia cabbalistica. Sebbene non si confronti esplicitamente con la questione, Hegel riprende questo interrogativo da una prospettiva </w:t>
      </w:r>
      <w:r w:rsidRPr="00E0576B">
        <w:rPr>
          <w:rFonts w:ascii="Times New Roman" w:hAnsi="Times New Roman" w:cs="Times New Roman"/>
        </w:rPr>
        <w:t>storico-concettuale</w:t>
      </w:r>
      <w:r>
        <w:rPr>
          <w:rFonts w:ascii="Times New Roman" w:hAnsi="Times New Roman" w:cs="Times New Roman"/>
        </w:rPr>
        <w:t xml:space="preserve">. Dal manoscritto Häring del 1821 in poi, il pensiero di Spinoza è categorizzato in termini acosmistici: </w:t>
      </w:r>
      <w:r w:rsidRPr="00750C8D">
        <w:rPr>
          <w:rFonts w:ascii="Times New Roman" w:hAnsi="Times New Roman" w:cs="Times New Roman"/>
        </w:rPr>
        <w:t>«</w:t>
      </w:r>
      <w:r w:rsidRPr="00750C8D">
        <w:rPr>
          <w:rFonts w:ascii="Times New Roman" w:hAnsi="Times New Roman" w:cs="Times New Roman"/>
          <w:lang w:val="de-DE"/>
        </w:rPr>
        <w:t>Der Spinocismus ist verschrieen, wegen der Einheit Gottes und der Natur; in der That ist aber nur im Spinozismus nur Gott und es gilt gar keine Natur in demselben, Die Philosophie des Spinoza ist so zu sagen Akosmismus und so gerade das Gegentheil des Atheismus</w:t>
      </w:r>
      <w:r w:rsidRPr="00750C8D">
        <w:rPr>
          <w:rFonts w:ascii="Times New Roman" w:hAnsi="Times New Roman" w:cs="Times New Roman"/>
        </w:rPr>
        <w:t>»</w:t>
      </w:r>
      <w:r w:rsidRPr="00750C8D">
        <w:rPr>
          <w:rStyle w:val="Rimandonotaapidipagina"/>
          <w:rFonts w:ascii="Times New Roman" w:hAnsi="Times New Roman" w:cs="Times New Roman"/>
        </w:rPr>
        <w:footnoteReference w:id="807"/>
      </w:r>
      <w:r w:rsidRPr="00750C8D">
        <w:rPr>
          <w:rFonts w:ascii="Times New Roman" w:hAnsi="Times New Roman" w:cs="Times New Roman"/>
        </w:rPr>
        <w:t>.</w:t>
      </w:r>
      <w:r>
        <w:rPr>
          <w:rFonts w:ascii="Times New Roman" w:hAnsi="Times New Roman" w:cs="Times New Roman"/>
        </w:rPr>
        <w:t xml:space="preserve"> </w:t>
      </w:r>
      <w:r w:rsidRPr="00E0576B">
        <w:rPr>
          <w:rFonts w:ascii="Times New Roman" w:hAnsi="Times New Roman" w:cs="Times New Roman"/>
        </w:rPr>
        <w:t xml:space="preserve">Questa definizione trova il suo </w:t>
      </w:r>
      <w:r w:rsidRPr="00E0576B">
        <w:rPr>
          <w:rFonts w:ascii="Times New Roman" w:hAnsi="Times New Roman" w:cs="Times New Roman"/>
          <w:i/>
        </w:rPr>
        <w:t>locus</w:t>
      </w:r>
      <w:r w:rsidRPr="00E0576B">
        <w:rPr>
          <w:rFonts w:ascii="Times New Roman" w:hAnsi="Times New Roman" w:cs="Times New Roman"/>
        </w:rPr>
        <w:t xml:space="preserve"> genetico nella </w:t>
      </w:r>
      <w:r w:rsidRPr="00E0576B">
        <w:rPr>
          <w:rFonts w:ascii="Times New Roman" w:hAnsi="Times New Roman" w:cs="Times New Roman"/>
          <w:i/>
        </w:rPr>
        <w:t>Lebensgeschichte</w:t>
      </w:r>
      <w:r w:rsidRPr="00E0576B">
        <w:rPr>
          <w:rFonts w:ascii="Times New Roman" w:hAnsi="Times New Roman" w:cs="Times New Roman"/>
        </w:rPr>
        <w:t xml:space="preserve"> di Salomon Maimon, ad essere precisi in quei passaggi dove è </w:t>
      </w:r>
      <w:r w:rsidR="00B74E8C">
        <w:rPr>
          <w:rFonts w:ascii="Times New Roman" w:hAnsi="Times New Roman" w:cs="Times New Roman"/>
        </w:rPr>
        <w:t xml:space="preserve">tematizzata </w:t>
      </w:r>
      <w:r w:rsidRPr="00E0576B">
        <w:rPr>
          <w:rFonts w:ascii="Times New Roman" w:hAnsi="Times New Roman" w:cs="Times New Roman"/>
        </w:rPr>
        <w:t>l’unità speculativa di Qabbalah e spinozi</w:t>
      </w:r>
      <w:r w:rsidR="00B74E8C">
        <w:rPr>
          <w:rFonts w:ascii="Times New Roman" w:hAnsi="Times New Roman" w:cs="Times New Roman"/>
        </w:rPr>
        <w:t>smo</w:t>
      </w:r>
      <w:r w:rsidRPr="00E0576B">
        <w:rPr>
          <w:rStyle w:val="Rimandonotaapidipagina"/>
          <w:rFonts w:ascii="Times New Roman" w:hAnsi="Times New Roman" w:cs="Times New Roman"/>
        </w:rPr>
        <w:footnoteReference w:id="808"/>
      </w:r>
      <w:r w:rsidRPr="00E0576B">
        <w:rPr>
          <w:rFonts w:ascii="Times New Roman" w:hAnsi="Times New Roman" w:cs="Times New Roman"/>
        </w:rPr>
        <w:t>.</w:t>
      </w:r>
      <w:r>
        <w:rPr>
          <w:rFonts w:ascii="Times New Roman" w:hAnsi="Times New Roman" w:cs="Times New Roman"/>
        </w:rPr>
        <w:t xml:space="preserve"> </w:t>
      </w:r>
      <w:r w:rsidRPr="00A87475">
        <w:rPr>
          <w:rFonts w:ascii="Times New Roman" w:hAnsi="Times New Roman" w:cs="Times New Roman"/>
        </w:rPr>
        <w:t xml:space="preserve">Il fatto che Hegel assuma questa categorizzazione e che la ripeta nei testi editi e inediti del periodo berlinese testimonia una ripresa di un dibattito storiografico secolare sulla genesi storico-concettuale del pensiero di Spinoza. Astrazione fatta da questioni di cornice, Hegel incapsula – ed è questa la </w:t>
      </w:r>
      <w:r>
        <w:rPr>
          <w:rFonts w:ascii="Times New Roman" w:hAnsi="Times New Roman" w:cs="Times New Roman"/>
        </w:rPr>
        <w:t xml:space="preserve">forza di una </w:t>
      </w:r>
      <w:r w:rsidRPr="00A87475">
        <w:rPr>
          <w:rFonts w:ascii="Times New Roman" w:hAnsi="Times New Roman" w:cs="Times New Roman"/>
          <w:i/>
        </w:rPr>
        <w:t>storia concettualmente intesa</w:t>
      </w:r>
      <w:r>
        <w:rPr>
          <w:rFonts w:ascii="Times New Roman" w:hAnsi="Times New Roman" w:cs="Times New Roman"/>
        </w:rPr>
        <w:t xml:space="preserve"> – in una categoria una questione storica e teorica decisiva per la ricezione dello spinozismo nella Germania del XVIII e XIX secolo. </w:t>
      </w:r>
      <w:r w:rsidRPr="00515D05">
        <w:rPr>
          <w:rFonts w:ascii="Times New Roman" w:hAnsi="Times New Roman" w:cs="Times New Roman"/>
        </w:rPr>
        <w:t xml:space="preserve">Rispetto ai suoi predecessori, che avevano tematizzato questa contiguità teorica al fine di mostrare gli esiti più o meno </w:t>
      </w:r>
      <w:r>
        <w:rPr>
          <w:rFonts w:ascii="Times New Roman" w:hAnsi="Times New Roman" w:cs="Times New Roman"/>
        </w:rPr>
        <w:t>eterodossi dello</w:t>
      </w:r>
      <w:r w:rsidRPr="00515D05">
        <w:rPr>
          <w:rFonts w:ascii="Times New Roman" w:hAnsi="Times New Roman" w:cs="Times New Roman"/>
        </w:rPr>
        <w:t xml:space="preserve"> spinozismo, Hegel recupera l’accezione positiva della nozione d’acosmismo già delineata da Salomon Maimon</w:t>
      </w:r>
      <w:r w:rsidRPr="00515D05">
        <w:rPr>
          <w:rStyle w:val="Rimandonotaapidipagina"/>
          <w:rFonts w:ascii="Times New Roman" w:hAnsi="Times New Roman" w:cs="Times New Roman"/>
        </w:rPr>
        <w:footnoteReference w:id="809"/>
      </w:r>
      <w:r>
        <w:rPr>
          <w:rFonts w:ascii="Times New Roman" w:hAnsi="Times New Roman" w:cs="Times New Roman"/>
        </w:rPr>
        <w:t xml:space="preserve">. </w:t>
      </w:r>
      <w:r w:rsidRPr="008E2AAE">
        <w:rPr>
          <w:rFonts w:ascii="Times New Roman" w:hAnsi="Times New Roman" w:cs="Times New Roman"/>
        </w:rPr>
        <w:t xml:space="preserve">A testimonianza di ciò, si veda il §50 del </w:t>
      </w:r>
      <w:r w:rsidRPr="008E2AAE">
        <w:rPr>
          <w:rFonts w:ascii="Times New Roman" w:hAnsi="Times New Roman" w:cs="Times New Roman"/>
          <w:i/>
        </w:rPr>
        <w:t>Vorbegriff</w:t>
      </w:r>
      <w:r w:rsidRPr="008E2AAE">
        <w:rPr>
          <w:rFonts w:ascii="Times New Roman" w:hAnsi="Times New Roman" w:cs="Times New Roman"/>
        </w:rPr>
        <w:t>, contenutisticamente</w:t>
      </w:r>
      <w:r w:rsidRPr="008E2AAE">
        <w:rPr>
          <w:rFonts w:ascii="Times New Roman" w:hAnsi="Times New Roman" w:cs="Times New Roman"/>
          <w:i/>
        </w:rPr>
        <w:t xml:space="preserve"> </w:t>
      </w:r>
      <w:r w:rsidRPr="008E2AAE">
        <w:rPr>
          <w:rFonts w:ascii="Times New Roman" w:hAnsi="Times New Roman" w:cs="Times New Roman"/>
        </w:rPr>
        <w:t>invaria</w:t>
      </w:r>
      <w:r w:rsidR="004A6551" w:rsidRPr="008E2AAE">
        <w:rPr>
          <w:rFonts w:ascii="Times New Roman" w:hAnsi="Times New Roman" w:cs="Times New Roman"/>
        </w:rPr>
        <w:t>to nella seconda e terza edizion</w:t>
      </w:r>
      <w:r w:rsidRPr="008E2AAE">
        <w:rPr>
          <w:rFonts w:ascii="Times New Roman" w:hAnsi="Times New Roman" w:cs="Times New Roman"/>
        </w:rPr>
        <w:t>e dell’</w:t>
      </w:r>
      <w:r w:rsidRPr="008E2AAE">
        <w:rPr>
          <w:rFonts w:ascii="Times New Roman" w:hAnsi="Times New Roman" w:cs="Times New Roman"/>
          <w:i/>
        </w:rPr>
        <w:t>Enzyklopädie</w:t>
      </w:r>
      <w:r w:rsidRPr="008E2AAE">
        <w:rPr>
          <w:rFonts w:ascii="Times New Roman" w:hAnsi="Times New Roman" w:cs="Times New Roman"/>
        </w:rPr>
        <w:t>:</w:t>
      </w:r>
    </w:p>
    <w:p w14:paraId="6201104B" w14:textId="77777777" w:rsidR="001B7751" w:rsidRDefault="001B7751" w:rsidP="001B7751">
      <w:pPr>
        <w:spacing w:line="360" w:lineRule="auto"/>
        <w:ind w:left="567" w:firstLine="567"/>
        <w:jc w:val="both"/>
        <w:rPr>
          <w:rFonts w:ascii="Times New Roman" w:hAnsi="Times New Roman" w:cs="Times New Roman"/>
        </w:rPr>
      </w:pPr>
    </w:p>
    <w:p w14:paraId="5DDAF219" w14:textId="0839F624" w:rsidR="001B7751" w:rsidRDefault="001B7751" w:rsidP="001B7751">
      <w:pPr>
        <w:spacing w:line="360" w:lineRule="auto"/>
        <w:ind w:left="567" w:firstLine="567"/>
        <w:jc w:val="both"/>
        <w:rPr>
          <w:rFonts w:ascii="Times New Roman" w:hAnsi="Times New Roman" w:cs="Times New Roman"/>
          <w:sz w:val="20"/>
          <w:szCs w:val="20"/>
        </w:rPr>
      </w:pPr>
      <w:r w:rsidRPr="00362E84">
        <w:rPr>
          <w:rFonts w:ascii="Times New Roman" w:hAnsi="Times New Roman" w:cs="Times New Roman"/>
          <w:sz w:val="20"/>
          <w:szCs w:val="20"/>
        </w:rPr>
        <w:t>«</w:t>
      </w:r>
      <w:r w:rsidRPr="00362E84">
        <w:rPr>
          <w:rFonts w:ascii="Times New Roman" w:hAnsi="Times New Roman" w:cs="Times New Roman"/>
          <w:sz w:val="20"/>
          <w:szCs w:val="20"/>
          <w:lang w:val="de-DE"/>
        </w:rPr>
        <w:t>Zur Erläuterung von dem Übersehen des negativen Moments kann beispielweise der Vorwurf angeführt werden, der dem Spinozismus gemacht wird, daß e</w:t>
      </w:r>
      <w:r w:rsidR="001F41A8">
        <w:rPr>
          <w:rFonts w:ascii="Times New Roman" w:hAnsi="Times New Roman" w:cs="Times New Roman"/>
          <w:sz w:val="20"/>
          <w:szCs w:val="20"/>
          <w:lang w:val="de-DE"/>
        </w:rPr>
        <w:t>r Pantheismus und Atheismus sey.</w:t>
      </w:r>
      <w:r w:rsidRPr="00362E84">
        <w:rPr>
          <w:rFonts w:ascii="Times New Roman" w:hAnsi="Times New Roman" w:cs="Times New Roman"/>
          <w:sz w:val="20"/>
          <w:szCs w:val="20"/>
          <w:lang w:val="de-DE"/>
        </w:rPr>
        <w:t xml:space="preserve"> Die absolute Substanz Spinozas ist freilich noch nicht der absolute Geist, und es wird mit Recht gefordert, daß Gott als absoluter Geist bestimmt werden musse […] Abgesehen davon, daß Spinoza Gott nicht so definiert [unito al mondo], sondern daß er die Einheit des Denkens und der Ausdehnung (der materiellen Welt) sei, so liegt es schon in dieser Einheit, selbst auch wenn sie auf jene erste, ganz ungeschickte Weise genommen wird, daß in dem Spinozistischen Systeme vielmehr die Welt nur als Phänomen, dem nicht wirkliche Realität zukomme, bestimmt wird, so daß dieses System als Akosmismus anzusehen ist. Eine Philosophie, welche behauptet, daß Gott und nur Gott ist, dürfte nicht für Atheismus ausgegeben werden</w:t>
      </w:r>
      <w:r w:rsidRPr="00362E84">
        <w:rPr>
          <w:rFonts w:ascii="Times New Roman" w:hAnsi="Times New Roman" w:cs="Times New Roman"/>
          <w:sz w:val="20"/>
          <w:szCs w:val="20"/>
        </w:rPr>
        <w:t>»</w:t>
      </w:r>
      <w:r w:rsidRPr="00362E84">
        <w:rPr>
          <w:rStyle w:val="Rimandonotaapidipagina"/>
          <w:rFonts w:ascii="Times New Roman" w:hAnsi="Times New Roman" w:cs="Times New Roman"/>
          <w:sz w:val="20"/>
          <w:szCs w:val="20"/>
        </w:rPr>
        <w:footnoteReference w:id="810"/>
      </w:r>
      <w:r w:rsidRPr="00362E84">
        <w:rPr>
          <w:rFonts w:ascii="Times New Roman" w:hAnsi="Times New Roman" w:cs="Times New Roman"/>
          <w:sz w:val="20"/>
          <w:szCs w:val="20"/>
        </w:rPr>
        <w:t>.</w:t>
      </w:r>
    </w:p>
    <w:p w14:paraId="338695A7" w14:textId="77777777" w:rsidR="001B7751" w:rsidRPr="003E2605" w:rsidRDefault="001B7751" w:rsidP="001B7751">
      <w:pPr>
        <w:spacing w:line="360" w:lineRule="auto"/>
        <w:ind w:left="567" w:firstLine="567"/>
        <w:jc w:val="both"/>
        <w:rPr>
          <w:rFonts w:ascii="Times New Roman" w:hAnsi="Times New Roman" w:cs="Times New Roman"/>
        </w:rPr>
      </w:pPr>
    </w:p>
    <w:p w14:paraId="4D280913" w14:textId="77777777" w:rsidR="001B7751" w:rsidRDefault="001B7751" w:rsidP="001B7751">
      <w:pPr>
        <w:spacing w:line="360" w:lineRule="auto"/>
        <w:ind w:firstLine="567"/>
        <w:jc w:val="both"/>
        <w:rPr>
          <w:rFonts w:ascii="Times New Roman" w:eastAsia="Times New Roman" w:hAnsi="Times New Roman" w:cs="Times New Roman"/>
        </w:rPr>
      </w:pPr>
      <w:r>
        <w:rPr>
          <w:rFonts w:ascii="Times New Roman" w:hAnsi="Times New Roman" w:cs="Times New Roman"/>
        </w:rPr>
        <w:t xml:space="preserve">A cui si sommano le osservazioni del </w:t>
      </w:r>
      <w:r>
        <w:rPr>
          <w:rFonts w:ascii="Times New Roman" w:eastAsia="Times New Roman" w:hAnsi="Times New Roman" w:cs="Times New Roman"/>
        </w:rPr>
        <w:t>§573</w:t>
      </w:r>
      <w:r w:rsidRPr="00441CE9">
        <w:rPr>
          <w:rFonts w:ascii="Times New Roman" w:eastAsia="Times New Roman" w:hAnsi="Times New Roman" w:cs="Times New Roman"/>
        </w:rPr>
        <w:t xml:space="preserve"> dell’</w:t>
      </w:r>
      <w:r w:rsidRPr="00441CE9">
        <w:rPr>
          <w:rFonts w:ascii="Times New Roman" w:eastAsia="Times New Roman" w:hAnsi="Times New Roman" w:cs="Times New Roman"/>
          <w:i/>
        </w:rPr>
        <w:t>absolutes Wissen</w:t>
      </w:r>
      <w:r>
        <w:rPr>
          <w:rFonts w:ascii="Times New Roman" w:eastAsia="Times New Roman" w:hAnsi="Times New Roman" w:cs="Times New Roman"/>
        </w:rPr>
        <w:t>, anche in questo caso speculari nelle due versioni berlinesi dell’</w:t>
      </w:r>
      <w:r w:rsidRPr="00541D3E">
        <w:rPr>
          <w:rFonts w:ascii="Times New Roman" w:hAnsi="Times New Roman" w:cs="Times New Roman"/>
          <w:i/>
        </w:rPr>
        <w:t>Enzyklopädi</w:t>
      </w:r>
      <w:r>
        <w:rPr>
          <w:rFonts w:ascii="Times New Roman" w:hAnsi="Times New Roman" w:cs="Times New Roman"/>
          <w:i/>
        </w:rPr>
        <w:t>e</w:t>
      </w:r>
      <w:r>
        <w:rPr>
          <w:rFonts w:ascii="Times New Roman" w:eastAsia="Times New Roman" w:hAnsi="Times New Roman" w:cs="Times New Roman"/>
        </w:rPr>
        <w:t>:</w:t>
      </w:r>
    </w:p>
    <w:p w14:paraId="13F0FCD7" w14:textId="77777777" w:rsidR="001B7751" w:rsidRPr="00362E84" w:rsidRDefault="001B7751" w:rsidP="001B7751">
      <w:pPr>
        <w:spacing w:line="360" w:lineRule="auto"/>
        <w:ind w:left="567" w:firstLine="567"/>
        <w:jc w:val="both"/>
        <w:rPr>
          <w:rFonts w:ascii="Times New Roman" w:hAnsi="Times New Roman" w:cs="Times New Roman"/>
        </w:rPr>
      </w:pPr>
    </w:p>
    <w:p w14:paraId="1F207CE7" w14:textId="77777777" w:rsidR="001B7751" w:rsidRPr="00362E84" w:rsidRDefault="001B7751" w:rsidP="001B7751">
      <w:pPr>
        <w:spacing w:line="360" w:lineRule="auto"/>
        <w:ind w:left="567" w:firstLine="567"/>
        <w:jc w:val="both"/>
        <w:rPr>
          <w:rFonts w:ascii="Times New Roman" w:hAnsi="Times New Roman" w:cs="Times New Roman"/>
          <w:lang w:val="de-DE"/>
        </w:rPr>
      </w:pPr>
      <w:r w:rsidRPr="00362E84">
        <w:rPr>
          <w:rFonts w:ascii="Times New Roman" w:hAnsi="Times New Roman" w:cs="Times New Roman"/>
          <w:sz w:val="20"/>
          <w:szCs w:val="20"/>
        </w:rPr>
        <w:t>«</w:t>
      </w:r>
      <w:r w:rsidRPr="00362E84">
        <w:rPr>
          <w:rFonts w:ascii="Times New Roman" w:eastAsia="Times New Roman" w:hAnsi="Times New Roman" w:cs="Times New Roman"/>
          <w:color w:val="000000"/>
          <w:sz w:val="20"/>
          <w:szCs w:val="20"/>
          <w:shd w:val="clear" w:color="auto" w:fill="FFFFFF"/>
          <w:lang w:val="de-DE"/>
        </w:rPr>
        <w:t>Von den Philosophien, welchen man eben diesen Namen gegeben, z.B. der Eleatischen oder Spinozistischen, ist schon früher (§ 50 Anm.) erinnert worden, daß sie so wenig Gott mit der Welt identifizieren und endlich machen, daß in diesen Philosophien dies</w:t>
      </w:r>
      <w:r w:rsidRPr="00362E84">
        <w:rPr>
          <w:rFonts w:ascii="Times New Roman" w:eastAsia="Times New Roman" w:hAnsi="Times New Roman" w:cs="Times New Roman"/>
          <w:iCs/>
          <w:color w:val="000000"/>
          <w:sz w:val="20"/>
          <w:szCs w:val="20"/>
          <w:shd w:val="clear" w:color="auto" w:fill="FFFFFF"/>
          <w:lang w:val="de-DE"/>
        </w:rPr>
        <w:t> Alles</w:t>
      </w:r>
      <w:r w:rsidRPr="00362E84">
        <w:rPr>
          <w:rFonts w:ascii="Times New Roman" w:eastAsia="Times New Roman" w:hAnsi="Times New Roman" w:cs="Times New Roman"/>
          <w:color w:val="000000"/>
          <w:sz w:val="20"/>
          <w:szCs w:val="20"/>
          <w:shd w:val="clear" w:color="auto" w:fill="FFFFFF"/>
          <w:lang w:val="de-DE"/>
        </w:rPr>
        <w:t> vielmehr keine Wahrheit hat und daß man sie richtiger als </w:t>
      </w:r>
      <w:r w:rsidRPr="00362E84">
        <w:rPr>
          <w:rFonts w:ascii="Times New Roman" w:eastAsia="Times New Roman" w:hAnsi="Times New Roman" w:cs="Times New Roman"/>
          <w:iCs/>
          <w:color w:val="000000"/>
          <w:sz w:val="20"/>
          <w:szCs w:val="20"/>
          <w:shd w:val="clear" w:color="auto" w:fill="FFFFFF"/>
          <w:lang w:val="de-DE"/>
        </w:rPr>
        <w:t>Monotheismen</w:t>
      </w:r>
      <w:r w:rsidRPr="00362E84">
        <w:rPr>
          <w:rFonts w:ascii="Times New Roman" w:eastAsia="Times New Roman" w:hAnsi="Times New Roman" w:cs="Times New Roman"/>
          <w:color w:val="000000"/>
          <w:sz w:val="20"/>
          <w:szCs w:val="20"/>
          <w:shd w:val="clear" w:color="auto" w:fill="FFFFFF"/>
          <w:lang w:val="de-DE"/>
        </w:rPr>
        <w:t> und, in Beziehung auf die Vorstellung von der Welt, als </w:t>
      </w:r>
      <w:r w:rsidRPr="00362E84">
        <w:rPr>
          <w:rFonts w:ascii="Times New Roman" w:eastAsia="Times New Roman" w:hAnsi="Times New Roman" w:cs="Times New Roman"/>
          <w:iCs/>
          <w:color w:val="000000"/>
          <w:sz w:val="20"/>
          <w:szCs w:val="20"/>
          <w:shd w:val="clear" w:color="auto" w:fill="FFFFFF"/>
          <w:lang w:val="de-DE"/>
        </w:rPr>
        <w:t>Akosmismen</w:t>
      </w:r>
      <w:r w:rsidRPr="00362E84">
        <w:rPr>
          <w:rFonts w:ascii="Times New Roman" w:eastAsia="Times New Roman" w:hAnsi="Times New Roman" w:cs="Times New Roman"/>
          <w:color w:val="000000"/>
          <w:sz w:val="20"/>
          <w:szCs w:val="20"/>
          <w:shd w:val="clear" w:color="auto" w:fill="FFFFFF"/>
          <w:lang w:val="de-DE"/>
        </w:rPr>
        <w:t> zu bezeichnen hätte. Am genauesten würden sie als die Systeme bestimmt, welche das Absolute nur als die </w:t>
      </w:r>
      <w:r w:rsidRPr="00362E84">
        <w:rPr>
          <w:rFonts w:ascii="Times New Roman" w:eastAsia="Times New Roman" w:hAnsi="Times New Roman" w:cs="Times New Roman"/>
          <w:iCs/>
          <w:color w:val="000000"/>
          <w:sz w:val="20"/>
          <w:szCs w:val="20"/>
          <w:shd w:val="clear" w:color="auto" w:fill="FFFFFF"/>
          <w:lang w:val="de-DE"/>
        </w:rPr>
        <w:t>Substanz</w:t>
      </w:r>
      <w:r w:rsidRPr="00362E84">
        <w:rPr>
          <w:rFonts w:ascii="Times New Roman" w:eastAsia="Times New Roman" w:hAnsi="Times New Roman" w:cs="Times New Roman"/>
          <w:color w:val="000000"/>
          <w:sz w:val="20"/>
          <w:szCs w:val="20"/>
          <w:shd w:val="clear" w:color="auto" w:fill="FFFFFF"/>
          <w:lang w:val="de-DE"/>
        </w:rPr>
        <w:t> fassen</w:t>
      </w:r>
      <w:r w:rsidRPr="00362E84">
        <w:rPr>
          <w:rFonts w:ascii="Times New Roman" w:hAnsi="Times New Roman" w:cs="Times New Roman"/>
          <w:sz w:val="20"/>
          <w:szCs w:val="20"/>
          <w:lang w:val="de-DE"/>
        </w:rPr>
        <w:t>»</w:t>
      </w:r>
      <w:r w:rsidRPr="00362E84">
        <w:rPr>
          <w:rStyle w:val="Rimandonotaapidipagina"/>
          <w:rFonts w:ascii="Times New Roman" w:hAnsi="Times New Roman" w:cs="Times New Roman"/>
          <w:sz w:val="20"/>
          <w:szCs w:val="20"/>
          <w:lang w:val="de-DE"/>
        </w:rPr>
        <w:footnoteReference w:id="811"/>
      </w:r>
      <w:r w:rsidRPr="00362E84">
        <w:rPr>
          <w:rFonts w:ascii="Times New Roman" w:hAnsi="Times New Roman" w:cs="Times New Roman"/>
          <w:sz w:val="20"/>
          <w:szCs w:val="20"/>
          <w:lang w:val="de-DE"/>
        </w:rPr>
        <w:t>.</w:t>
      </w:r>
    </w:p>
    <w:p w14:paraId="3C64779F" w14:textId="77777777" w:rsidR="001B7751" w:rsidRPr="00894F67" w:rsidRDefault="001B7751" w:rsidP="001B7751">
      <w:pPr>
        <w:spacing w:line="360" w:lineRule="auto"/>
        <w:ind w:left="1134" w:firstLine="567"/>
        <w:jc w:val="both"/>
        <w:rPr>
          <w:rFonts w:ascii="Times New Roman" w:hAnsi="Times New Roman" w:cs="Times New Roman"/>
        </w:rPr>
      </w:pPr>
    </w:p>
    <w:p w14:paraId="754DD019" w14:textId="77777777" w:rsidR="001B7751" w:rsidRDefault="001B7751" w:rsidP="001B7751">
      <w:pPr>
        <w:spacing w:line="360" w:lineRule="auto"/>
        <w:ind w:firstLine="567"/>
        <w:jc w:val="both"/>
        <w:rPr>
          <w:rFonts w:ascii="Times New Roman" w:hAnsi="Times New Roman" w:cs="Times New Roman"/>
        </w:rPr>
      </w:pPr>
      <w:r w:rsidRPr="00894F67">
        <w:rPr>
          <w:rFonts w:ascii="Times New Roman" w:hAnsi="Times New Roman" w:cs="Times New Roman"/>
        </w:rPr>
        <w:t>Lo spinozismo</w:t>
      </w:r>
      <w:r>
        <w:rPr>
          <w:rFonts w:ascii="Times New Roman" w:hAnsi="Times New Roman" w:cs="Times New Roman"/>
        </w:rPr>
        <w:t xml:space="preserve"> non può essere accusato d’ateismo, poiché in esso soltanto Dio è, mentre il mondo, inteso come molteplicità ontica, possiede un’esistenza apparente (fenomeno contrapposto a sostanza). Seguendo la </w:t>
      </w:r>
      <w:r w:rsidRPr="00894F67">
        <w:rPr>
          <w:rFonts w:ascii="Times New Roman" w:hAnsi="Times New Roman" w:cs="Times New Roman"/>
          <w:i/>
        </w:rPr>
        <w:t>Lebensgeschichte</w:t>
      </w:r>
      <w:r>
        <w:rPr>
          <w:rFonts w:ascii="Times New Roman" w:hAnsi="Times New Roman" w:cs="Times New Roman"/>
        </w:rPr>
        <w:t xml:space="preserve">, Hegel sostiene che non si può definire in termini panteistici il sistema di Spinoza: nella metafisica spinoziana, non si assiste a forma alcuna di deificazione dell’essere finito; al contrario, si afferma l’assoluta unità della sostanza e si nega al molteplice uno statuto ontologico autonomo. La liberazione spinoziana dell’accusa d’ateismo, pertanto, ruota attorno al recupero di una nozione – quella d’acosmismo appunto – sviluppatasi all’interno del dibattito sul presunto cabbalismo di Spinoza. </w:t>
      </w:r>
      <w:r w:rsidRPr="00357BF8">
        <w:rPr>
          <w:rFonts w:ascii="Times New Roman" w:hAnsi="Times New Roman" w:cs="Times New Roman"/>
        </w:rPr>
        <w:t>Dal recupero hegeliano di questa nozione s’evince, inoltre, l’assunzione di quei principi sui quali Maimon ha definito la contiguità di Qabbalah e spinozismo: assunta la riconduzione cabbalistica della molteplicità all’unità logico-causale dell’En-sof, l’</w:t>
      </w:r>
      <w:r w:rsidRPr="00357BF8">
        <w:rPr>
          <w:rFonts w:ascii="Times New Roman" w:hAnsi="Times New Roman" w:cs="Times New Roman"/>
          <w:i/>
        </w:rPr>
        <w:t>Ethica</w:t>
      </w:r>
      <w:r w:rsidRPr="00357BF8">
        <w:rPr>
          <w:rFonts w:ascii="Times New Roman" w:hAnsi="Times New Roman" w:cs="Times New Roman"/>
        </w:rPr>
        <w:t xml:space="preserve"> sviluppa una concezione dell’Intero che afferma come reale soltanto l’esistenza indivisa della sostanza divina.</w:t>
      </w:r>
      <w:r>
        <w:rPr>
          <w:rFonts w:ascii="Times New Roman" w:hAnsi="Times New Roman" w:cs="Times New Roman"/>
        </w:rPr>
        <w:t xml:space="preserve">  </w:t>
      </w:r>
    </w:p>
    <w:p w14:paraId="453537E8" w14:textId="09F27F55" w:rsidR="001B7751" w:rsidRDefault="001B7751" w:rsidP="001B7751">
      <w:pPr>
        <w:spacing w:line="360" w:lineRule="auto"/>
        <w:ind w:firstLine="567"/>
        <w:jc w:val="both"/>
        <w:rPr>
          <w:rFonts w:ascii="Times New Roman" w:hAnsi="Times New Roman" w:cs="Times New Roman"/>
        </w:rPr>
      </w:pPr>
      <w:r>
        <w:rPr>
          <w:rFonts w:ascii="Times New Roman" w:hAnsi="Times New Roman" w:cs="Times New Roman"/>
        </w:rPr>
        <w:t>È a questo punto che Hegel muta da positivo in negativo il segno dell’acosmismo spinoziano. La nozione di Salomon Maimon permette ad Hegel di rafforzare la critica – già discussa nei precedenti capitoli – ad un pensiero che, nonostante tutto, rimane un esempio paradigmatico di sistema dell’identità astratta. L’aver chiamato in causa una categorizzazione, che sancisce la prossimità speculativa dell’</w:t>
      </w:r>
      <w:r w:rsidRPr="00350925">
        <w:rPr>
          <w:rFonts w:ascii="Times New Roman" w:hAnsi="Times New Roman" w:cs="Times New Roman"/>
          <w:i/>
        </w:rPr>
        <w:t>Ethica</w:t>
      </w:r>
      <w:r>
        <w:rPr>
          <w:rFonts w:ascii="Times New Roman" w:hAnsi="Times New Roman" w:cs="Times New Roman"/>
        </w:rPr>
        <w:t xml:space="preserve"> e della Qabbalah, risponde ad una finalità argomentativa ben precisa: l’astratta unità dell’Uno cabbalistico traspare anche nello spinozismo, </w:t>
      </w:r>
      <w:r w:rsidRPr="003D394D">
        <w:rPr>
          <w:rFonts w:ascii="Times New Roman" w:hAnsi="Times New Roman" w:cs="Times New Roman"/>
        </w:rPr>
        <w:t xml:space="preserve">che recupera quell’unità dell’essere messa </w:t>
      </w:r>
      <w:r>
        <w:rPr>
          <w:rFonts w:ascii="Times New Roman" w:hAnsi="Times New Roman" w:cs="Times New Roman"/>
        </w:rPr>
        <w:t>a punto dalla sapienza ebraica. D</w:t>
      </w:r>
      <w:r w:rsidRPr="003D394D">
        <w:rPr>
          <w:rFonts w:ascii="Times New Roman" w:hAnsi="Times New Roman" w:cs="Times New Roman"/>
        </w:rPr>
        <w:t xml:space="preserve">a un lato l’acosmismo libera Spinoza dall’accusa d’ateismo, dall’altro lato esso </w:t>
      </w:r>
      <w:r w:rsidRPr="008E2AAE">
        <w:rPr>
          <w:rFonts w:ascii="Times New Roman" w:hAnsi="Times New Roman" w:cs="Times New Roman"/>
        </w:rPr>
        <w:t>evidenzia la non compatibilità della sostanza spinoziana con una concezione soggettiv</w:t>
      </w:r>
      <w:r w:rsidR="008E2AAE" w:rsidRPr="008E2AAE">
        <w:rPr>
          <w:rFonts w:ascii="Times New Roman" w:hAnsi="Times New Roman" w:cs="Times New Roman"/>
        </w:rPr>
        <w:t>istic</w:t>
      </w:r>
      <w:r w:rsidRPr="008E2AAE">
        <w:rPr>
          <w:rFonts w:ascii="Times New Roman" w:hAnsi="Times New Roman" w:cs="Times New Roman"/>
        </w:rPr>
        <w:t>a dell’Assoluto (</w:t>
      </w:r>
      <w:r w:rsidRPr="008E2AAE">
        <w:rPr>
          <w:rFonts w:ascii="Times New Roman" w:hAnsi="Times New Roman" w:cs="Times New Roman"/>
          <w:i/>
        </w:rPr>
        <w:t>l’absoluter Geist</w:t>
      </w:r>
      <w:r w:rsidRPr="008E2AAE">
        <w:rPr>
          <w:rFonts w:ascii="Times New Roman" w:hAnsi="Times New Roman" w:cs="Times New Roman"/>
        </w:rPr>
        <w:t xml:space="preserve"> del §50).</w:t>
      </w:r>
      <w:r w:rsidRPr="003D394D">
        <w:rPr>
          <w:rFonts w:ascii="Times New Roman" w:hAnsi="Times New Roman" w:cs="Times New Roman"/>
        </w:rPr>
        <w:t xml:space="preserve"> Nella sua indivisa unità e indeterminata realtà, l’</w:t>
      </w:r>
      <w:r w:rsidRPr="003D394D">
        <w:rPr>
          <w:rFonts w:ascii="Times New Roman" w:hAnsi="Times New Roman" w:cs="Times New Roman"/>
          <w:i/>
        </w:rPr>
        <w:t>essere</w:t>
      </w:r>
      <w:r w:rsidRPr="003D394D">
        <w:rPr>
          <w:rFonts w:ascii="Times New Roman" w:hAnsi="Times New Roman" w:cs="Times New Roman"/>
        </w:rPr>
        <w:t xml:space="preserve"> della sostanza si trasforma nel limite insormontabile di un sistema </w:t>
      </w:r>
      <w:r>
        <w:rPr>
          <w:rFonts w:ascii="Times New Roman" w:hAnsi="Times New Roman" w:cs="Times New Roman"/>
        </w:rPr>
        <w:t xml:space="preserve">filosofico </w:t>
      </w:r>
      <w:r w:rsidRPr="003D394D">
        <w:rPr>
          <w:rFonts w:ascii="Times New Roman" w:hAnsi="Times New Roman" w:cs="Times New Roman"/>
        </w:rPr>
        <w:t xml:space="preserve">che rifugge la pulsione vitale del negativo. </w:t>
      </w:r>
      <w:r w:rsidRPr="00356C23">
        <w:rPr>
          <w:rFonts w:ascii="Times New Roman" w:hAnsi="Times New Roman" w:cs="Times New Roman"/>
        </w:rPr>
        <w:t>Un essere astratto, quello della sostanza, che non conosce mutamento, che non è soggetto a forma alcuna di sviluppo e non possiede effettualità.</w:t>
      </w:r>
      <w:r w:rsidRPr="003D394D">
        <w:rPr>
          <w:rFonts w:ascii="Times New Roman" w:hAnsi="Times New Roman" w:cs="Times New Roman"/>
        </w:rPr>
        <w:t xml:space="preserve"> Se da questo </w:t>
      </w:r>
      <w:r>
        <w:rPr>
          <w:rFonts w:ascii="Times New Roman" w:hAnsi="Times New Roman" w:cs="Times New Roman"/>
        </w:rPr>
        <w:t xml:space="preserve">essere, che è </w:t>
      </w:r>
      <w:r w:rsidRPr="003D394D">
        <w:rPr>
          <w:rFonts w:ascii="Times New Roman" w:hAnsi="Times New Roman" w:cs="Times New Roman"/>
        </w:rPr>
        <w:t>astratta e immota affermazione di sé</w:t>
      </w:r>
      <w:r>
        <w:rPr>
          <w:rFonts w:ascii="Times New Roman" w:hAnsi="Times New Roman" w:cs="Times New Roman"/>
        </w:rPr>
        <w:t>, non segue alcunché</w:t>
      </w:r>
      <w:r w:rsidRPr="003D394D">
        <w:rPr>
          <w:rFonts w:ascii="Times New Roman" w:hAnsi="Times New Roman" w:cs="Times New Roman"/>
        </w:rPr>
        <w:t xml:space="preserve">, allora non è errato ripetere l’antica formula </w:t>
      </w:r>
      <w:r w:rsidRPr="003D394D">
        <w:rPr>
          <w:rFonts w:ascii="Times New Roman" w:hAnsi="Times New Roman" w:cs="Times New Roman"/>
          <w:i/>
        </w:rPr>
        <w:t>ex nihilo nihil fit</w:t>
      </w:r>
      <w:r w:rsidRPr="003D394D">
        <w:rPr>
          <w:rFonts w:ascii="Times New Roman" w:hAnsi="Times New Roman" w:cs="Times New Roman"/>
        </w:rPr>
        <w:t xml:space="preserve"> e, assieme ad  essa, la radice cabbalistica del pensiero di Spinoza. Al riguardo, Hegel </w:t>
      </w:r>
      <w:r>
        <w:rPr>
          <w:rFonts w:ascii="Times New Roman" w:hAnsi="Times New Roman" w:cs="Times New Roman"/>
        </w:rPr>
        <w:t xml:space="preserve">annota </w:t>
      </w:r>
      <w:r w:rsidRPr="003D394D">
        <w:rPr>
          <w:rFonts w:ascii="Times New Roman" w:hAnsi="Times New Roman" w:cs="Times New Roman"/>
        </w:rPr>
        <w:t xml:space="preserve">nella prima </w:t>
      </w:r>
      <w:r w:rsidRPr="003D394D">
        <w:rPr>
          <w:rFonts w:ascii="Times New Roman" w:hAnsi="Times New Roman" w:cs="Times New Roman"/>
          <w:i/>
        </w:rPr>
        <w:t>Anmerkung</w:t>
      </w:r>
      <w:r w:rsidRPr="003D394D">
        <w:rPr>
          <w:rFonts w:ascii="Times New Roman" w:hAnsi="Times New Roman" w:cs="Times New Roman"/>
        </w:rPr>
        <w:t xml:space="preserve"> alla triade </w:t>
      </w:r>
      <w:r w:rsidRPr="003D394D">
        <w:rPr>
          <w:rFonts w:ascii="Times New Roman" w:hAnsi="Times New Roman" w:cs="Times New Roman"/>
          <w:i/>
        </w:rPr>
        <w:t>Seyn</w:t>
      </w:r>
      <w:r w:rsidRPr="003D394D">
        <w:rPr>
          <w:rFonts w:ascii="Times New Roman" w:hAnsi="Times New Roman" w:cs="Times New Roman"/>
        </w:rPr>
        <w:t>-</w:t>
      </w:r>
      <w:r w:rsidRPr="003D394D">
        <w:rPr>
          <w:rFonts w:ascii="Times New Roman" w:hAnsi="Times New Roman" w:cs="Times New Roman"/>
          <w:i/>
        </w:rPr>
        <w:t>Nichts</w:t>
      </w:r>
      <w:r w:rsidRPr="003D394D">
        <w:rPr>
          <w:rFonts w:ascii="Times New Roman" w:hAnsi="Times New Roman" w:cs="Times New Roman"/>
        </w:rPr>
        <w:t>-</w:t>
      </w:r>
      <w:r w:rsidRPr="003D394D">
        <w:rPr>
          <w:rFonts w:ascii="Times New Roman" w:hAnsi="Times New Roman" w:cs="Times New Roman"/>
          <w:i/>
        </w:rPr>
        <w:t xml:space="preserve">Werden </w:t>
      </w:r>
      <w:r w:rsidRPr="003D394D">
        <w:rPr>
          <w:rFonts w:ascii="Times New Roman" w:hAnsi="Times New Roman" w:cs="Times New Roman"/>
        </w:rPr>
        <w:t xml:space="preserve">della </w:t>
      </w:r>
      <w:r w:rsidRPr="003D394D">
        <w:rPr>
          <w:rFonts w:ascii="Times New Roman" w:hAnsi="Times New Roman" w:cs="Times New Roman"/>
          <w:i/>
        </w:rPr>
        <w:t xml:space="preserve">Logik des Seyns </w:t>
      </w:r>
      <w:r w:rsidRPr="003D394D">
        <w:rPr>
          <w:rFonts w:ascii="Times New Roman" w:hAnsi="Times New Roman" w:cs="Times New Roman"/>
        </w:rPr>
        <w:t>(</w:t>
      </w:r>
      <w:r>
        <w:rPr>
          <w:rFonts w:ascii="Times New Roman" w:hAnsi="Times New Roman" w:cs="Times New Roman"/>
        </w:rPr>
        <w:t>1832</w:t>
      </w:r>
      <w:r w:rsidRPr="003D394D">
        <w:rPr>
          <w:rFonts w:ascii="Times New Roman" w:hAnsi="Times New Roman" w:cs="Times New Roman"/>
        </w:rPr>
        <w:t>):</w:t>
      </w:r>
    </w:p>
    <w:p w14:paraId="25AE9D9E" w14:textId="77777777" w:rsidR="001B7751" w:rsidRDefault="001B7751" w:rsidP="001B7751">
      <w:pPr>
        <w:spacing w:line="360" w:lineRule="auto"/>
        <w:ind w:left="567" w:firstLine="567"/>
        <w:jc w:val="both"/>
        <w:rPr>
          <w:rFonts w:ascii="Times New Roman" w:hAnsi="Times New Roman" w:cs="Times New Roman"/>
        </w:rPr>
      </w:pPr>
    </w:p>
    <w:p w14:paraId="36E1842D" w14:textId="754F065B" w:rsidR="001B7751" w:rsidRPr="00EA0211" w:rsidRDefault="001B7751" w:rsidP="001B7751">
      <w:pPr>
        <w:spacing w:line="360" w:lineRule="auto"/>
        <w:ind w:left="567" w:firstLine="567"/>
        <w:jc w:val="both"/>
        <w:rPr>
          <w:rFonts w:ascii="Times New Roman" w:hAnsi="Times New Roman" w:cs="Times New Roman"/>
        </w:rPr>
      </w:pPr>
      <w:r w:rsidRPr="00EA0211">
        <w:rPr>
          <w:rFonts w:ascii="Times New Roman" w:hAnsi="Times New Roman" w:cs="Times New Roman"/>
          <w:sz w:val="20"/>
          <w:szCs w:val="20"/>
          <w:lang w:val="de-DE"/>
        </w:rPr>
        <w:t>«E</w:t>
      </w:r>
      <w:r w:rsidR="00DB66BD">
        <w:rPr>
          <w:rFonts w:ascii="Times New Roman" w:hAnsi="Times New Roman" w:cs="Times New Roman"/>
          <w:sz w:val="20"/>
          <w:szCs w:val="20"/>
          <w:lang w:val="de-DE"/>
        </w:rPr>
        <w:t>x nihilo nihil fit ist einer dem</w:t>
      </w:r>
      <w:r w:rsidRPr="00EA0211">
        <w:rPr>
          <w:rFonts w:ascii="Times New Roman" w:hAnsi="Times New Roman" w:cs="Times New Roman"/>
          <w:sz w:val="20"/>
          <w:szCs w:val="20"/>
          <w:lang w:val="de-DE"/>
        </w:rPr>
        <w:t xml:space="preserve"> Satze, denen in der Metaphysik große Bedeutung zugeschrieben wurde […] Seine eigentliche Wichtigkeit hat der Satz «Aus Nichts wird Nichts, Nichts ist eben Nichts</w:t>
      </w:r>
      <w:r w:rsidRPr="00EA0211">
        <w:rPr>
          <w:rFonts w:ascii="Times New Roman" w:hAnsi="Times New Roman" w:cs="Times New Roman"/>
          <w:sz w:val="20"/>
          <w:szCs w:val="20"/>
        </w:rPr>
        <w:t>»</w:t>
      </w:r>
      <w:r w:rsidRPr="00EA0211">
        <w:rPr>
          <w:rFonts w:ascii="Times New Roman" w:hAnsi="Times New Roman" w:cs="Times New Roman"/>
          <w:sz w:val="20"/>
          <w:szCs w:val="20"/>
          <w:lang w:val="de-DE"/>
        </w:rPr>
        <w:t xml:space="preserve"> durch seinen Gegensatz gegen das Werden überhaupt und damit auch gegen die Erschaffung der Welt aus Nichts. Diejenige, welche den Satz «Nichts ist eben Nichts</w:t>
      </w:r>
      <w:r w:rsidRPr="00EA0211">
        <w:rPr>
          <w:rFonts w:ascii="Times New Roman" w:hAnsi="Times New Roman" w:cs="Times New Roman"/>
          <w:sz w:val="20"/>
          <w:szCs w:val="20"/>
        </w:rPr>
        <w:t>»</w:t>
      </w:r>
      <w:r w:rsidRPr="00EA0211">
        <w:rPr>
          <w:rFonts w:ascii="Times New Roman" w:hAnsi="Times New Roman" w:cs="Times New Roman"/>
          <w:sz w:val="20"/>
          <w:szCs w:val="20"/>
          <w:lang w:val="de-DE"/>
        </w:rPr>
        <w:t>, sogar sich dafür ereifernd, behaupten, sind bewußtlos darübe</w:t>
      </w:r>
      <w:r w:rsidR="00DB66BD">
        <w:rPr>
          <w:rFonts w:ascii="Times New Roman" w:hAnsi="Times New Roman" w:cs="Times New Roman"/>
          <w:sz w:val="20"/>
          <w:szCs w:val="20"/>
          <w:lang w:val="de-DE"/>
        </w:rPr>
        <w:t xml:space="preserve">r, daß sie damit dem abstrakten </w:t>
      </w:r>
      <w:r w:rsidRPr="00EA0211">
        <w:rPr>
          <w:rFonts w:ascii="Times New Roman" w:hAnsi="Times New Roman" w:cs="Times New Roman"/>
          <w:sz w:val="20"/>
          <w:szCs w:val="20"/>
          <w:lang w:val="de-DE"/>
        </w:rPr>
        <w:t>Pantheismus der Eleaten, der Sache nach auch dem spinozistischen, beipflichten. Die philosophische Ansicht, welcher «Seyn nur Seyn, Nichts ist nur das Nichts</w:t>
      </w:r>
      <w:r w:rsidRPr="00EA0211">
        <w:rPr>
          <w:rFonts w:ascii="Times New Roman" w:hAnsi="Times New Roman" w:cs="Times New Roman"/>
          <w:sz w:val="20"/>
          <w:szCs w:val="20"/>
        </w:rPr>
        <w:t>»</w:t>
      </w:r>
      <w:r w:rsidRPr="00EA0211">
        <w:rPr>
          <w:rFonts w:ascii="Times New Roman" w:hAnsi="Times New Roman" w:cs="Times New Roman"/>
          <w:sz w:val="20"/>
          <w:szCs w:val="20"/>
          <w:lang w:val="de-DE"/>
        </w:rPr>
        <w:t xml:space="preserve"> als Prinzip gilt, verdient den Namen Identitätsystem; diese abstrakte Identität ist das Wesen des Pantheismus</w:t>
      </w:r>
      <w:r w:rsidRPr="00EA0211">
        <w:rPr>
          <w:rFonts w:ascii="Times New Roman" w:hAnsi="Times New Roman" w:cs="Times New Roman"/>
          <w:sz w:val="20"/>
          <w:szCs w:val="20"/>
        </w:rPr>
        <w:t>»</w:t>
      </w:r>
      <w:r w:rsidRPr="00EA0211">
        <w:rPr>
          <w:rStyle w:val="Rimandonotaapidipagina"/>
          <w:rFonts w:ascii="Times New Roman" w:hAnsi="Times New Roman" w:cs="Times New Roman"/>
          <w:sz w:val="20"/>
          <w:szCs w:val="20"/>
        </w:rPr>
        <w:footnoteReference w:id="812"/>
      </w:r>
      <w:r w:rsidRPr="00EA0211">
        <w:rPr>
          <w:rFonts w:ascii="Times New Roman" w:hAnsi="Times New Roman" w:cs="Times New Roman"/>
          <w:sz w:val="20"/>
          <w:szCs w:val="20"/>
        </w:rPr>
        <w:t>.</w:t>
      </w:r>
    </w:p>
    <w:p w14:paraId="04987AA8" w14:textId="77777777" w:rsidR="001B7751" w:rsidRDefault="001B7751" w:rsidP="001B7751">
      <w:pPr>
        <w:spacing w:line="360" w:lineRule="auto"/>
        <w:ind w:left="1134" w:firstLine="567"/>
        <w:jc w:val="both"/>
        <w:rPr>
          <w:rFonts w:ascii="Times New Roman" w:hAnsi="Times New Roman" w:cs="Times New Roman"/>
        </w:rPr>
      </w:pPr>
    </w:p>
    <w:p w14:paraId="68A63D5F" w14:textId="62D07063" w:rsidR="001B7751" w:rsidRDefault="001B7751" w:rsidP="001B7751">
      <w:pPr>
        <w:spacing w:line="360" w:lineRule="auto"/>
        <w:ind w:firstLine="567"/>
        <w:jc w:val="both"/>
        <w:rPr>
          <w:rFonts w:ascii="Times New Roman" w:hAnsi="Times New Roman" w:cs="Times New Roman"/>
        </w:rPr>
      </w:pPr>
      <w:r>
        <w:rPr>
          <w:rFonts w:ascii="Times New Roman" w:hAnsi="Times New Roman" w:cs="Times New Roman"/>
        </w:rPr>
        <w:t>Hegel osserva che q</w:t>
      </w:r>
      <w:r w:rsidRPr="00B66FEA">
        <w:rPr>
          <w:rFonts w:ascii="Times New Roman" w:hAnsi="Times New Roman" w:cs="Times New Roman"/>
        </w:rPr>
        <w:t>uesta proposizione ha riscosso grande importanza nel dibattito teologico-metafisico relativo alla creazione del mondo. “Dal nulla non viene nulla e il nulla è appunto nulla” è posizione teorica di coloro che negano la creazione del mondo, o il divenire in generale, e che affermano l’eternità, e con ciò anc</w:t>
      </w:r>
      <w:r>
        <w:rPr>
          <w:rFonts w:ascii="Times New Roman" w:hAnsi="Times New Roman" w:cs="Times New Roman"/>
        </w:rPr>
        <w:t xml:space="preserve">he l’immutabilità, dell’essere. </w:t>
      </w:r>
      <w:r w:rsidRPr="005A2BED">
        <w:rPr>
          <w:rFonts w:ascii="Times New Roman" w:hAnsi="Times New Roman" w:cs="Times New Roman"/>
        </w:rPr>
        <w:t>Il sistema dell’identit</w:t>
      </w:r>
      <w:r>
        <w:rPr>
          <w:rFonts w:ascii="Times New Roman" w:hAnsi="Times New Roman" w:cs="Times New Roman"/>
        </w:rPr>
        <w:t>à astratta,</w:t>
      </w:r>
      <w:r w:rsidRPr="005A2BED">
        <w:rPr>
          <w:rFonts w:ascii="Times New Roman" w:hAnsi="Times New Roman" w:cs="Times New Roman"/>
        </w:rPr>
        <w:t xml:space="preserve"> </w:t>
      </w:r>
      <w:r>
        <w:rPr>
          <w:rFonts w:ascii="Times New Roman" w:hAnsi="Times New Roman" w:cs="Times New Roman"/>
        </w:rPr>
        <w:t xml:space="preserve">in quanto </w:t>
      </w:r>
      <w:r w:rsidRPr="005A2BED">
        <w:rPr>
          <w:rFonts w:ascii="Times New Roman" w:hAnsi="Times New Roman" w:cs="Times New Roman"/>
        </w:rPr>
        <w:t xml:space="preserve">immediata </w:t>
      </w:r>
      <w:r>
        <w:rPr>
          <w:rFonts w:ascii="Times New Roman" w:hAnsi="Times New Roman" w:cs="Times New Roman"/>
        </w:rPr>
        <w:t>auto</w:t>
      </w:r>
      <w:r w:rsidRPr="005A2BED">
        <w:rPr>
          <w:rFonts w:ascii="Times New Roman" w:hAnsi="Times New Roman" w:cs="Times New Roman"/>
        </w:rPr>
        <w:t xml:space="preserve">comprensione del pensiero, esprime l’essenza del panteismo di Parmenide e di </w:t>
      </w:r>
      <w:r w:rsidRPr="005104BF">
        <w:rPr>
          <w:rFonts w:ascii="Times New Roman" w:hAnsi="Times New Roman" w:cs="Times New Roman"/>
        </w:rPr>
        <w:t>Spinoza.</w:t>
      </w:r>
      <w:r>
        <w:rPr>
          <w:rFonts w:ascii="Times New Roman" w:hAnsi="Times New Roman" w:cs="Times New Roman"/>
        </w:rPr>
        <w:t xml:space="preserve"> </w:t>
      </w:r>
      <w:r w:rsidRPr="00317A77">
        <w:rPr>
          <w:rFonts w:ascii="Times New Roman" w:hAnsi="Times New Roman" w:cs="Times New Roman"/>
        </w:rPr>
        <w:t xml:space="preserve">Con una certa sorpresa, Hegel utilizza un termine – </w:t>
      </w:r>
      <w:r w:rsidRPr="00317A77">
        <w:rPr>
          <w:rFonts w:ascii="Times New Roman" w:hAnsi="Times New Roman" w:cs="Times New Roman"/>
          <w:i/>
        </w:rPr>
        <w:t>panteismo</w:t>
      </w:r>
      <w:r w:rsidRPr="00317A77">
        <w:rPr>
          <w:rFonts w:ascii="Times New Roman" w:hAnsi="Times New Roman" w:cs="Times New Roman"/>
        </w:rPr>
        <w:t xml:space="preserve"> – che aveva considerato inadeguato ai fini della comprensione del sistema spinoziano. Più che panteistico, infatti, il sistema di Spinoza, che affer</w:t>
      </w:r>
      <w:r>
        <w:rPr>
          <w:rFonts w:ascii="Times New Roman" w:hAnsi="Times New Roman" w:cs="Times New Roman"/>
        </w:rPr>
        <w:t>ma l’essere del divino e il non-</w:t>
      </w:r>
      <w:r w:rsidRPr="00317A77">
        <w:rPr>
          <w:rFonts w:ascii="Times New Roman" w:hAnsi="Times New Roman" w:cs="Times New Roman"/>
        </w:rPr>
        <w:t>essere del mondo</w:t>
      </w:r>
      <w:r>
        <w:rPr>
          <w:rFonts w:ascii="Times New Roman" w:hAnsi="Times New Roman" w:cs="Times New Roman"/>
        </w:rPr>
        <w:t xml:space="preserve"> (sfera del finito e del mutamento)</w:t>
      </w:r>
      <w:r w:rsidRPr="00317A77">
        <w:rPr>
          <w:rFonts w:ascii="Times New Roman" w:hAnsi="Times New Roman" w:cs="Times New Roman"/>
        </w:rPr>
        <w:t xml:space="preserve">, possiede una natura acosmistica. </w:t>
      </w:r>
      <w:r>
        <w:rPr>
          <w:rFonts w:ascii="Times New Roman" w:hAnsi="Times New Roman" w:cs="Times New Roman"/>
        </w:rPr>
        <w:t>Stessa cosa può dirsi per l’eleatismo che,</w:t>
      </w:r>
      <w:r w:rsidRPr="00D80298">
        <w:rPr>
          <w:rFonts w:ascii="Times New Roman" w:hAnsi="Times New Roman" w:cs="Times New Roman"/>
        </w:rPr>
        <w:t xml:space="preserve"> n</w:t>
      </w:r>
      <w:r>
        <w:rPr>
          <w:rFonts w:ascii="Times New Roman" w:hAnsi="Times New Roman" w:cs="Times New Roman"/>
        </w:rPr>
        <w:t>egato l’</w:t>
      </w:r>
      <w:r w:rsidRPr="00D80298">
        <w:rPr>
          <w:rFonts w:ascii="Times New Roman" w:hAnsi="Times New Roman" w:cs="Times New Roman"/>
        </w:rPr>
        <w:t xml:space="preserve">essere per sé al mondo e </w:t>
      </w:r>
      <w:r>
        <w:rPr>
          <w:rFonts w:ascii="Times New Roman" w:hAnsi="Times New Roman" w:cs="Times New Roman"/>
        </w:rPr>
        <w:t>affermata</w:t>
      </w:r>
      <w:r w:rsidRPr="00D80298">
        <w:rPr>
          <w:rFonts w:ascii="Times New Roman" w:hAnsi="Times New Roman" w:cs="Times New Roman"/>
        </w:rPr>
        <w:t xml:space="preserve"> l’</w:t>
      </w:r>
      <w:r>
        <w:rPr>
          <w:rFonts w:ascii="Times New Roman" w:hAnsi="Times New Roman" w:cs="Times New Roman"/>
        </w:rPr>
        <w:t>eternità dell’</w:t>
      </w:r>
      <w:r w:rsidRPr="00D80298">
        <w:rPr>
          <w:rFonts w:ascii="Times New Roman" w:hAnsi="Times New Roman" w:cs="Times New Roman"/>
        </w:rPr>
        <w:t>essere</w:t>
      </w:r>
      <w:r w:rsidR="00DB66BD">
        <w:rPr>
          <w:rFonts w:ascii="Times New Roman" w:hAnsi="Times New Roman" w:cs="Times New Roman"/>
        </w:rPr>
        <w:t xml:space="preserve">, ricade sotto un </w:t>
      </w:r>
      <w:r>
        <w:rPr>
          <w:rFonts w:ascii="Times New Roman" w:hAnsi="Times New Roman" w:cs="Times New Roman"/>
        </w:rPr>
        <w:t>paradigma interpretativo acosmistico</w:t>
      </w:r>
      <w:r w:rsidRPr="00D80298">
        <w:rPr>
          <w:rFonts w:ascii="Times New Roman" w:hAnsi="Times New Roman" w:cs="Times New Roman"/>
        </w:rPr>
        <w:t xml:space="preserve">. Al saldarsi </w:t>
      </w:r>
      <w:r>
        <w:rPr>
          <w:rFonts w:ascii="Times New Roman" w:hAnsi="Times New Roman" w:cs="Times New Roman"/>
        </w:rPr>
        <w:t>di queste due momenti storico-filosofici</w:t>
      </w:r>
      <w:r w:rsidRPr="00D80298">
        <w:rPr>
          <w:rFonts w:ascii="Times New Roman" w:hAnsi="Times New Roman" w:cs="Times New Roman"/>
        </w:rPr>
        <w:t xml:space="preserve">, inoltre, contribuisce il già ricordato </w:t>
      </w:r>
      <w:r>
        <w:rPr>
          <w:rFonts w:ascii="Times New Roman" w:hAnsi="Times New Roman" w:cs="Times New Roman"/>
        </w:rPr>
        <w:t xml:space="preserve">– e </w:t>
      </w:r>
      <w:r w:rsidRPr="00D80298">
        <w:rPr>
          <w:rFonts w:ascii="Times New Roman" w:hAnsi="Times New Roman" w:cs="Times New Roman"/>
        </w:rPr>
        <w:t xml:space="preserve">qui implicitamente assunto – principio </w:t>
      </w:r>
      <w:r w:rsidRPr="00D80298">
        <w:rPr>
          <w:rFonts w:ascii="Times New Roman" w:hAnsi="Times New Roman" w:cs="Times New Roman"/>
          <w:i/>
        </w:rPr>
        <w:t>determinatio est negatio</w:t>
      </w:r>
      <w:r w:rsidRPr="00D80298">
        <w:rPr>
          <w:rFonts w:ascii="Times New Roman" w:hAnsi="Times New Roman" w:cs="Times New Roman"/>
        </w:rPr>
        <w:t>:</w:t>
      </w:r>
      <w:r>
        <w:rPr>
          <w:rFonts w:ascii="Times New Roman" w:hAnsi="Times New Roman" w:cs="Times New Roman"/>
        </w:rPr>
        <w:t xml:space="preserve"> </w:t>
      </w:r>
      <w:r w:rsidRPr="005A2BED">
        <w:rPr>
          <w:rFonts w:ascii="Times New Roman" w:hAnsi="Times New Roman" w:cs="Times New Roman"/>
        </w:rPr>
        <w:t>Dio è puro essere, che non conosce forma alcuna di determinazione, perché la determinazione, intesa in termini puramente qualitativi, è limite e negazione. Non avendo relazione con ciò che è altro da sé, il divino s’afferma</w:t>
      </w:r>
      <w:r>
        <w:rPr>
          <w:rFonts w:ascii="Times New Roman" w:hAnsi="Times New Roman" w:cs="Times New Roman"/>
        </w:rPr>
        <w:t xml:space="preserve"> come puro essere</w:t>
      </w:r>
      <w:r w:rsidRPr="005A2BED">
        <w:rPr>
          <w:rFonts w:ascii="Times New Roman" w:hAnsi="Times New Roman" w:cs="Times New Roman"/>
        </w:rPr>
        <w:t xml:space="preserve"> identico con sé, conchiuso nella sua indeterminatezza ed estraneo a forma alcuna di mutamento, perché ciò che soggiace alle leggi del nascere e del perire – il negativo – semplicemente non è</w:t>
      </w:r>
      <w:r>
        <w:rPr>
          <w:rStyle w:val="Rimandonotaapidipagina"/>
          <w:rFonts w:ascii="Times New Roman" w:hAnsi="Times New Roman" w:cs="Times New Roman"/>
        </w:rPr>
        <w:footnoteReference w:id="813"/>
      </w:r>
      <w:r w:rsidRPr="005A2BED">
        <w:rPr>
          <w:rFonts w:ascii="Times New Roman" w:hAnsi="Times New Roman" w:cs="Times New Roman"/>
        </w:rPr>
        <w:t>. Pertanto: 1. l’Essere è, il non essere non è, 2. l’essere è affermazione, il non essere negazione, 3. l’affermazione è indeterm</w:t>
      </w:r>
      <w:r>
        <w:rPr>
          <w:rFonts w:ascii="Times New Roman" w:hAnsi="Times New Roman" w:cs="Times New Roman"/>
        </w:rPr>
        <w:t>inata, la negazione determinata e</w:t>
      </w:r>
      <w:r w:rsidRPr="005A2BED">
        <w:rPr>
          <w:rFonts w:ascii="Times New Roman" w:hAnsi="Times New Roman" w:cs="Times New Roman"/>
        </w:rPr>
        <w:t xml:space="preserve"> 4. l’indeterminatezza è identità con sé, la determinazione è dipendenza da altro.</w:t>
      </w:r>
      <w:r>
        <w:rPr>
          <w:rFonts w:ascii="Times New Roman" w:hAnsi="Times New Roman" w:cs="Times New Roman"/>
        </w:rPr>
        <w:t xml:space="preserve"> </w:t>
      </w:r>
    </w:p>
    <w:p w14:paraId="4C8D4425" w14:textId="787DB825" w:rsidR="001B7751" w:rsidRDefault="001B7751" w:rsidP="001B7751">
      <w:pPr>
        <w:spacing w:line="360" w:lineRule="auto"/>
        <w:ind w:firstLine="567"/>
        <w:jc w:val="both"/>
        <w:rPr>
          <w:rFonts w:ascii="Times New Roman" w:hAnsi="Times New Roman" w:cs="Times New Roman"/>
        </w:rPr>
      </w:pPr>
      <w:r w:rsidRPr="008A554C">
        <w:rPr>
          <w:rFonts w:ascii="Times New Roman" w:hAnsi="Times New Roman" w:cs="Times New Roman"/>
        </w:rPr>
        <w:t xml:space="preserve">In questo contesto, le nozioni d’acosmismo e panteismo non sono due categorizzazioni opposte del pensiero spinoziano, ma uno stesso modo di concepire l’impianto ontologico alla base del </w:t>
      </w:r>
      <w:r w:rsidRPr="008A554C">
        <w:rPr>
          <w:rFonts w:ascii="Times New Roman" w:hAnsi="Times New Roman" w:cs="Times New Roman"/>
          <w:i/>
        </w:rPr>
        <w:t>De Deo</w:t>
      </w:r>
      <w:r w:rsidRPr="008A554C">
        <w:rPr>
          <w:rFonts w:ascii="Times New Roman" w:hAnsi="Times New Roman" w:cs="Times New Roman"/>
        </w:rPr>
        <w:t xml:space="preserve">. Potrebbe sembrare contraddittoria l’oscillazione terminologica del testo hegeliano, che si serve della </w:t>
      </w:r>
      <w:r w:rsidRPr="008A554C">
        <w:rPr>
          <w:rFonts w:ascii="Times New Roman" w:hAnsi="Times New Roman" w:cs="Times New Roman"/>
          <w:i/>
        </w:rPr>
        <w:t>Lebensgeschichte</w:t>
      </w:r>
      <w:r w:rsidRPr="008A554C">
        <w:rPr>
          <w:rFonts w:ascii="Times New Roman" w:hAnsi="Times New Roman" w:cs="Times New Roman"/>
        </w:rPr>
        <w:t xml:space="preserve"> per riabilitare lo spinozismo e sembra dismetterla in nome di una categorizzazione </w:t>
      </w:r>
      <w:r w:rsidRPr="008A554C">
        <w:rPr>
          <w:rFonts w:ascii="Times New Roman" w:hAnsi="Times New Roman" w:cs="Times New Roman"/>
          <w:i/>
        </w:rPr>
        <w:t>panteistica</w:t>
      </w:r>
      <w:r w:rsidRPr="008A554C">
        <w:rPr>
          <w:rFonts w:ascii="Times New Roman" w:hAnsi="Times New Roman" w:cs="Times New Roman"/>
        </w:rPr>
        <w:t xml:space="preserve"> (canonica dunque) dello spinozismo. Sostenere che lo spinozismo è </w:t>
      </w:r>
      <w:r w:rsidRPr="008A554C">
        <w:rPr>
          <w:rFonts w:ascii="Times New Roman" w:hAnsi="Times New Roman" w:cs="Times New Roman"/>
          <w:i/>
        </w:rPr>
        <w:t>panteismo astratto</w:t>
      </w:r>
      <w:r w:rsidRPr="008A554C">
        <w:rPr>
          <w:rFonts w:ascii="Times New Roman" w:hAnsi="Times New Roman" w:cs="Times New Roman"/>
        </w:rPr>
        <w:t xml:space="preserve"> è cosa ben diversa dal dire che esso è panteismo </w:t>
      </w:r>
      <w:r w:rsidRPr="008A554C">
        <w:rPr>
          <w:rFonts w:ascii="Times New Roman" w:hAnsi="Times New Roman" w:cs="Times New Roman"/>
          <w:i/>
        </w:rPr>
        <w:t>tout court</w:t>
      </w:r>
      <w:r w:rsidRPr="008A554C">
        <w:rPr>
          <w:rFonts w:ascii="Times New Roman" w:hAnsi="Times New Roman" w:cs="Times New Roman"/>
        </w:rPr>
        <w:t xml:space="preserve">: il richiamo all’astrazione inficia la deificazione dell’essere finito e rimanda all’indivisa unità della sostanza, che è determinazione precipua di ciò che Hegel considera acosmismo. Rispetto a Salomon Maimon, Hegel intreccia al significato positivo dell’acosmismo la sua critica all’astrattismo di Spinoza. Se il recupero di questa nozione restituiva già la prossimità teorica di spinozismo e Qabbalah, il ricorso al principio </w:t>
      </w:r>
      <w:r w:rsidRPr="008A554C">
        <w:rPr>
          <w:rFonts w:ascii="Times New Roman" w:hAnsi="Times New Roman" w:cs="Times New Roman"/>
          <w:i/>
        </w:rPr>
        <w:t>ex nihilo nihil fit</w:t>
      </w:r>
      <w:r w:rsidRPr="008A554C">
        <w:rPr>
          <w:rFonts w:ascii="Times New Roman" w:hAnsi="Times New Roman" w:cs="Times New Roman"/>
        </w:rPr>
        <w:t xml:space="preserve"> rafforza ancor di più questa contiguità speculativa. </w:t>
      </w:r>
      <w:r w:rsidRPr="007F7B5F">
        <w:rPr>
          <w:rFonts w:ascii="Times New Roman" w:hAnsi="Times New Roman" w:cs="Times New Roman"/>
        </w:rPr>
        <w:t>Rifacendosi ad un preciso modello interpretativo, che s’impone grazie all</w:t>
      </w:r>
      <w:r w:rsidR="00DB66BD">
        <w:rPr>
          <w:rFonts w:ascii="Times New Roman" w:hAnsi="Times New Roman" w:cs="Times New Roman"/>
        </w:rPr>
        <w:t xml:space="preserve">e riflessioni di More, Wachter </w:t>
      </w:r>
      <w:r w:rsidRPr="007F7B5F">
        <w:rPr>
          <w:rFonts w:ascii="Times New Roman" w:hAnsi="Times New Roman" w:cs="Times New Roman"/>
        </w:rPr>
        <w:t xml:space="preserve">e Jacobi,  Hegel </w:t>
      </w:r>
      <w:r>
        <w:rPr>
          <w:rFonts w:ascii="Times New Roman" w:hAnsi="Times New Roman" w:cs="Times New Roman"/>
        </w:rPr>
        <w:t xml:space="preserve">ci dice </w:t>
      </w:r>
      <w:r w:rsidRPr="007F7B5F">
        <w:rPr>
          <w:rFonts w:ascii="Times New Roman" w:hAnsi="Times New Roman" w:cs="Times New Roman"/>
        </w:rPr>
        <w:t xml:space="preserve">che la tradizione ebraica, a prescindere dall’accezione attribuita all’essere altro dell’infinito (essere privativo o estremo </w:t>
      </w:r>
      <w:r w:rsidRPr="008E2AAE">
        <w:rPr>
          <w:rFonts w:ascii="Times New Roman" w:hAnsi="Times New Roman" w:cs="Times New Roman"/>
        </w:rPr>
        <w:t>irrelato), perviene ad una concezione astratta dell’Assoluto</w:t>
      </w:r>
      <w:r w:rsidR="00200A79" w:rsidRPr="008E2AAE">
        <w:rPr>
          <w:rFonts w:ascii="Times New Roman" w:hAnsi="Times New Roman" w:cs="Times New Roman"/>
        </w:rPr>
        <w:t>,</w:t>
      </w:r>
      <w:r w:rsidR="00677AA5" w:rsidRPr="008E2AAE">
        <w:rPr>
          <w:rFonts w:ascii="Times New Roman" w:hAnsi="Times New Roman" w:cs="Times New Roman"/>
        </w:rPr>
        <w:t xml:space="preserve"> in cui </w:t>
      </w:r>
      <w:r w:rsidR="0033194A" w:rsidRPr="008E2AAE">
        <w:rPr>
          <w:rFonts w:ascii="Times New Roman" w:hAnsi="Times New Roman" w:cs="Times New Roman"/>
        </w:rPr>
        <w:t xml:space="preserve">viene </w:t>
      </w:r>
      <w:r w:rsidR="00E452FF" w:rsidRPr="008E2AAE">
        <w:rPr>
          <w:rFonts w:ascii="Times New Roman" w:hAnsi="Times New Roman" w:cs="Times New Roman"/>
        </w:rPr>
        <w:t>meno l</w:t>
      </w:r>
      <w:r w:rsidRPr="008E2AAE">
        <w:rPr>
          <w:rFonts w:ascii="Times New Roman" w:hAnsi="Times New Roman" w:cs="Times New Roman"/>
        </w:rPr>
        <w:t>a relazione con l’altro da sé</w:t>
      </w:r>
      <w:r w:rsidRPr="008E2AAE">
        <w:rPr>
          <w:rStyle w:val="Rimandonotaapidipagina"/>
          <w:rFonts w:ascii="Times New Roman" w:hAnsi="Times New Roman" w:cs="Times New Roman"/>
        </w:rPr>
        <w:footnoteReference w:id="814"/>
      </w:r>
      <w:r w:rsidRPr="008E2AAE">
        <w:rPr>
          <w:rFonts w:ascii="Times New Roman" w:hAnsi="Times New Roman" w:cs="Times New Roman"/>
        </w:rPr>
        <w:t>.</w:t>
      </w:r>
      <w:r>
        <w:rPr>
          <w:rFonts w:ascii="Times New Roman" w:hAnsi="Times New Roman" w:cs="Times New Roman"/>
        </w:rPr>
        <w:t xml:space="preserve"> Questa unità dell’essere è il punto di contatto fra pensiero spinoziano e cabbalistico: così la pensa Maimon, così la pensa Hegel. Il passo in avanti – o il passo indietro, a seconda della prospettiva assunta – di Hegel consiste nel rafforzare il carattere astratto dello spinozismo per mezzo dell’</w:t>
      </w:r>
      <w:r w:rsidRPr="00B13861">
        <w:rPr>
          <w:rFonts w:ascii="Times New Roman" w:hAnsi="Times New Roman" w:cs="Times New Roman"/>
          <w:i/>
        </w:rPr>
        <w:t>ex nihilo nihil fit</w:t>
      </w:r>
      <w:r>
        <w:rPr>
          <w:rFonts w:ascii="Times New Roman" w:hAnsi="Times New Roman" w:cs="Times New Roman"/>
        </w:rPr>
        <w:t>. Ciò che libera e ciò che condanna speculativamente lo spinozismo è la radice astratta del suo filosofare. E non è difficile vedere come la Qabbalah, condensata nella categorizzazione d’</w:t>
      </w:r>
      <w:r>
        <w:rPr>
          <w:rFonts w:ascii="Times New Roman" w:hAnsi="Times New Roman" w:cs="Times New Roman"/>
          <w:i/>
        </w:rPr>
        <w:t xml:space="preserve">acosmismo </w:t>
      </w:r>
      <w:r>
        <w:rPr>
          <w:rFonts w:ascii="Times New Roman" w:hAnsi="Times New Roman" w:cs="Times New Roman"/>
        </w:rPr>
        <w:t xml:space="preserve">e nel principio </w:t>
      </w:r>
      <w:r w:rsidRPr="00B13861">
        <w:rPr>
          <w:rFonts w:ascii="Times New Roman" w:hAnsi="Times New Roman" w:cs="Times New Roman"/>
          <w:i/>
        </w:rPr>
        <w:t>ex nihilo nihil fit</w:t>
      </w:r>
      <w:r>
        <w:rPr>
          <w:rFonts w:ascii="Times New Roman" w:hAnsi="Times New Roman" w:cs="Times New Roman"/>
        </w:rPr>
        <w:t xml:space="preserve">, sia il retroterra storico-concettuale da cui ha preso forma l’astratta e sostanzialistica ontologia di Spinoza. </w:t>
      </w:r>
    </w:p>
    <w:p w14:paraId="627C2917" w14:textId="0C456CC7" w:rsidR="001B7751" w:rsidRPr="004C2358" w:rsidRDefault="001B7751" w:rsidP="001B7751">
      <w:pPr>
        <w:spacing w:line="360" w:lineRule="auto"/>
        <w:ind w:firstLine="567"/>
        <w:jc w:val="both"/>
        <w:rPr>
          <w:rFonts w:ascii="Times New Roman" w:hAnsi="Times New Roman" w:cs="Times New Roman"/>
          <w:highlight w:val="yellow"/>
        </w:rPr>
      </w:pPr>
      <w:r>
        <w:rPr>
          <w:rFonts w:ascii="Times New Roman" w:hAnsi="Times New Roman" w:cs="Times New Roman"/>
        </w:rPr>
        <w:t>A questo punto, è opportuno sviluppare due considerazioni di carattere conclusivo. La prima verte su quanto appena discusso; la seconda su questioni di carattere più generali, che permettono di fare il quadro del rapporto hegeliano con il pensiero ebraico. Sebbene sia un principio molto vago, che si estende, in linea teorica, a diversi sistemi filosofici, non di necessità connessi l’uno con l’altro, l’</w:t>
      </w:r>
      <w:r w:rsidRPr="00CD05E5">
        <w:rPr>
          <w:rFonts w:ascii="Times New Roman" w:hAnsi="Times New Roman" w:cs="Times New Roman"/>
          <w:i/>
        </w:rPr>
        <w:t xml:space="preserve">ex nihilo nihil </w:t>
      </w:r>
      <w:r w:rsidRPr="00CD05E5">
        <w:rPr>
          <w:rFonts w:ascii="Times New Roman" w:hAnsi="Times New Roman" w:cs="Times New Roman"/>
        </w:rPr>
        <w:t>fit</w:t>
      </w:r>
      <w:r>
        <w:rPr>
          <w:rFonts w:ascii="Times New Roman" w:hAnsi="Times New Roman" w:cs="Times New Roman"/>
        </w:rPr>
        <w:t xml:space="preserve">, se assimilato ad un assunto spinoziano, si riferisce ad una comprensione del </w:t>
      </w:r>
      <w:r w:rsidRPr="00CD05E5">
        <w:rPr>
          <w:rFonts w:ascii="Times New Roman" w:hAnsi="Times New Roman" w:cs="Times New Roman"/>
          <w:i/>
        </w:rPr>
        <w:t>De Deo</w:t>
      </w:r>
      <w:r>
        <w:rPr>
          <w:rFonts w:ascii="Times New Roman" w:hAnsi="Times New Roman" w:cs="Times New Roman"/>
        </w:rPr>
        <w:t xml:space="preserve"> maturata nel corso della </w:t>
      </w:r>
      <w:r w:rsidRPr="00A74782">
        <w:rPr>
          <w:rFonts w:ascii="Times New Roman" w:hAnsi="Times New Roman" w:cs="Times New Roman"/>
          <w:i/>
        </w:rPr>
        <w:t>querelle</w:t>
      </w:r>
      <w:r w:rsidRPr="00A74782">
        <w:rPr>
          <w:rFonts w:ascii="Times New Roman" w:hAnsi="Times New Roman" w:cs="Times New Roman"/>
        </w:rPr>
        <w:t xml:space="preserve"> sul cabbalismo di Spinoza. Pertanto, la categorizzazione hegeliana, proposta nel</w:t>
      </w:r>
      <w:r w:rsidR="00EB6B07" w:rsidRPr="00A74782">
        <w:rPr>
          <w:rFonts w:ascii="Times New Roman" w:hAnsi="Times New Roman" w:cs="Times New Roman"/>
        </w:rPr>
        <w:t>l</w:t>
      </w:r>
      <w:r w:rsidRPr="00A74782">
        <w:rPr>
          <w:rFonts w:ascii="Times New Roman" w:hAnsi="Times New Roman" w:cs="Times New Roman"/>
        </w:rPr>
        <w:t xml:space="preserve">a </w:t>
      </w:r>
      <w:r w:rsidRPr="00A74782">
        <w:rPr>
          <w:rFonts w:ascii="Times New Roman" w:hAnsi="Times New Roman" w:cs="Times New Roman"/>
          <w:i/>
        </w:rPr>
        <w:t>Logik des Seyns</w:t>
      </w:r>
      <w:r w:rsidR="00EB6B07" w:rsidRPr="00A74782">
        <w:rPr>
          <w:rFonts w:ascii="Times New Roman" w:hAnsi="Times New Roman" w:cs="Times New Roman"/>
        </w:rPr>
        <w:t xml:space="preserve"> (1832),</w:t>
      </w:r>
      <w:r w:rsidRPr="002143AC">
        <w:rPr>
          <w:rFonts w:ascii="Times New Roman" w:hAnsi="Times New Roman" w:cs="Times New Roman"/>
        </w:rPr>
        <w:t xml:space="preserve"> non si svincola né dalla nozione d’acosmismo, occorsa per la prima volta nel manoscritto Häring e ripetuta in ben due occasioni – </w:t>
      </w:r>
      <w:r w:rsidRPr="002143AC">
        <w:rPr>
          <w:rFonts w:ascii="Times New Roman" w:hAnsi="Times New Roman" w:cs="Times New Roman"/>
          <w:i/>
          <w:lang w:val="de-DE"/>
        </w:rPr>
        <w:t>Vorbegriff</w:t>
      </w:r>
      <w:r w:rsidRPr="002143AC">
        <w:rPr>
          <w:rFonts w:ascii="Times New Roman" w:hAnsi="Times New Roman" w:cs="Times New Roman"/>
        </w:rPr>
        <w:t xml:space="preserve"> e </w:t>
      </w:r>
      <w:r w:rsidRPr="002143AC">
        <w:rPr>
          <w:rFonts w:ascii="Times New Roman" w:hAnsi="Times New Roman" w:cs="Times New Roman"/>
          <w:i/>
          <w:lang w:val="de-DE"/>
        </w:rPr>
        <w:t>Absoluter Geist</w:t>
      </w:r>
      <w:r w:rsidRPr="002143AC">
        <w:rPr>
          <w:rFonts w:ascii="Times New Roman" w:hAnsi="Times New Roman" w:cs="Times New Roman"/>
        </w:rPr>
        <w:t xml:space="preserve"> – nell’</w:t>
      </w:r>
      <w:r w:rsidRPr="002143AC">
        <w:rPr>
          <w:rFonts w:ascii="Times New Roman" w:hAnsi="Times New Roman" w:cs="Times New Roman"/>
          <w:i/>
          <w:lang w:val="de-DE"/>
        </w:rPr>
        <w:t>Enzyklopädie</w:t>
      </w:r>
      <w:r w:rsidRPr="002143AC">
        <w:rPr>
          <w:rFonts w:ascii="Times New Roman" w:hAnsi="Times New Roman" w:cs="Times New Roman"/>
        </w:rPr>
        <w:t xml:space="preserve"> (1827 e 1830), né da quel dibattitto sullo spinozismo innescato dai testi di Wachter e dalle </w:t>
      </w:r>
      <w:r w:rsidRPr="002143AC">
        <w:rPr>
          <w:rFonts w:ascii="Times New Roman" w:hAnsi="Times New Roman" w:cs="Times New Roman"/>
          <w:i/>
        </w:rPr>
        <w:t>Spinozabriefe</w:t>
      </w:r>
      <w:r w:rsidRPr="002143AC">
        <w:rPr>
          <w:rFonts w:ascii="Times New Roman" w:hAnsi="Times New Roman" w:cs="Times New Roman"/>
        </w:rPr>
        <w:t xml:space="preserve">. L’intreccio di Qabbalah e spinozismo, quale si delinea nell’ultimo decennio della produzione hegeliana, risente dell’approfondimento di una tematica impostasi all’attenzione di Hegel in occasione dei cicli di lezioni tenuti sulla storia della filosofia. </w:t>
      </w:r>
      <w:r w:rsidR="007D15DE">
        <w:rPr>
          <w:rFonts w:ascii="Times New Roman" w:hAnsi="Times New Roman" w:cs="Times New Roman"/>
        </w:rPr>
        <w:t>Accanto alla consultazione d</w:t>
      </w:r>
      <w:r w:rsidR="00EB6B07">
        <w:rPr>
          <w:rFonts w:ascii="Times New Roman" w:hAnsi="Times New Roman" w:cs="Times New Roman"/>
        </w:rPr>
        <w:t>elle</w:t>
      </w:r>
      <w:r w:rsidRPr="002143AC">
        <w:rPr>
          <w:rFonts w:ascii="Times New Roman" w:hAnsi="Times New Roman" w:cs="Times New Roman"/>
        </w:rPr>
        <w:t xml:space="preserve"> fonti storiografiche del tempo – fra tutte i manuali di Tiedemann e Buhle – si nota l’utilizzo della </w:t>
      </w:r>
      <w:r w:rsidRPr="002143AC">
        <w:rPr>
          <w:rFonts w:ascii="Times New Roman" w:hAnsi="Times New Roman" w:cs="Times New Roman"/>
          <w:i/>
        </w:rPr>
        <w:t>Lebensgeschichte</w:t>
      </w:r>
      <w:r w:rsidRPr="002143AC">
        <w:rPr>
          <w:rFonts w:ascii="Times New Roman" w:hAnsi="Times New Roman" w:cs="Times New Roman"/>
        </w:rPr>
        <w:t xml:space="preserve"> di Maimon, che lascia il segno non tanto sulla comprensione hegeliana della tradizione ebraica, quanto sull’interpretazione dell’ontologia spinoziana. </w:t>
      </w:r>
      <w:r>
        <w:rPr>
          <w:rFonts w:ascii="Times New Roman" w:hAnsi="Times New Roman" w:cs="Times New Roman"/>
        </w:rPr>
        <w:t>Si deve nota</w:t>
      </w:r>
      <w:r w:rsidRPr="002143AC">
        <w:rPr>
          <w:rFonts w:ascii="Times New Roman" w:hAnsi="Times New Roman" w:cs="Times New Roman"/>
        </w:rPr>
        <w:t xml:space="preserve">re che la definizione acosmistica dello spinozismo, da un punto di vista contenutistico, non aggiunge niente a quanto maturato da Hegel fra Jena e Norimberga: astratto è il pensiero di Spinoza nella </w:t>
      </w:r>
      <w:r w:rsidRPr="002143AC">
        <w:rPr>
          <w:rFonts w:ascii="Times New Roman" w:hAnsi="Times New Roman" w:cs="Times New Roman"/>
          <w:i/>
        </w:rPr>
        <w:t>Jenaer Logik und Metaphysik</w:t>
      </w:r>
      <w:r w:rsidRPr="002143AC">
        <w:rPr>
          <w:rFonts w:ascii="Times New Roman" w:hAnsi="Times New Roman" w:cs="Times New Roman"/>
        </w:rPr>
        <w:t xml:space="preserve">, nella </w:t>
      </w:r>
      <w:r w:rsidRPr="002143AC">
        <w:rPr>
          <w:rFonts w:ascii="Times New Roman" w:hAnsi="Times New Roman" w:cs="Times New Roman"/>
          <w:i/>
        </w:rPr>
        <w:t>Phänomenologie des Geistes</w:t>
      </w:r>
      <w:r w:rsidRPr="002143AC">
        <w:rPr>
          <w:rFonts w:ascii="Times New Roman" w:hAnsi="Times New Roman" w:cs="Times New Roman"/>
        </w:rPr>
        <w:t xml:space="preserve"> e nella </w:t>
      </w:r>
      <w:r w:rsidRPr="002143AC">
        <w:rPr>
          <w:rFonts w:ascii="Times New Roman" w:hAnsi="Times New Roman" w:cs="Times New Roman"/>
          <w:i/>
        </w:rPr>
        <w:t>Wissenschaft der Logik</w:t>
      </w:r>
      <w:r w:rsidRPr="002143AC">
        <w:rPr>
          <w:rFonts w:ascii="Times New Roman" w:hAnsi="Times New Roman" w:cs="Times New Roman"/>
        </w:rPr>
        <w:t xml:space="preserve">. Il confronto con Maimon, combinato con il recupero della lettura anti-creazionistica delle </w:t>
      </w:r>
      <w:r w:rsidRPr="002143AC">
        <w:rPr>
          <w:rFonts w:ascii="Times New Roman" w:hAnsi="Times New Roman" w:cs="Times New Roman"/>
          <w:i/>
        </w:rPr>
        <w:t>Spinozabriefe</w:t>
      </w:r>
      <w:r w:rsidRPr="002143AC">
        <w:rPr>
          <w:rFonts w:ascii="Times New Roman" w:hAnsi="Times New Roman" w:cs="Times New Roman"/>
        </w:rPr>
        <w:t xml:space="preserve"> (</w:t>
      </w:r>
      <w:r w:rsidRPr="002143AC">
        <w:rPr>
          <w:rFonts w:ascii="Times New Roman" w:hAnsi="Times New Roman" w:cs="Times New Roman"/>
          <w:i/>
        </w:rPr>
        <w:t>ex nihilo nihil fit</w:t>
      </w:r>
      <w:r w:rsidRPr="002143AC">
        <w:rPr>
          <w:rFonts w:ascii="Times New Roman" w:hAnsi="Times New Roman" w:cs="Times New Roman"/>
        </w:rPr>
        <w:t xml:space="preserve">), permette di rafforzare, attingendo ad un notissimo paradigma interpretativo del </w:t>
      </w:r>
      <w:r w:rsidRPr="002143AC">
        <w:rPr>
          <w:rFonts w:ascii="Times New Roman" w:hAnsi="Times New Roman" w:cs="Times New Roman"/>
          <w:i/>
        </w:rPr>
        <w:t>De Deo</w:t>
      </w:r>
      <w:r w:rsidRPr="002143AC">
        <w:rPr>
          <w:rFonts w:ascii="Times New Roman" w:hAnsi="Times New Roman" w:cs="Times New Roman"/>
        </w:rPr>
        <w:t xml:space="preserve">, il carattere non dialettico della filosofia spinoziana, del momento speculativamente più alto </w:t>
      </w:r>
      <w:r>
        <w:rPr>
          <w:rFonts w:ascii="Times New Roman" w:hAnsi="Times New Roman" w:cs="Times New Roman"/>
        </w:rPr>
        <w:t xml:space="preserve">e significativo del </w:t>
      </w:r>
      <w:r w:rsidRPr="002143AC">
        <w:rPr>
          <w:rFonts w:ascii="Times New Roman" w:hAnsi="Times New Roman" w:cs="Times New Roman"/>
        </w:rPr>
        <w:t xml:space="preserve">pensiero ebraico. </w:t>
      </w:r>
    </w:p>
    <w:p w14:paraId="5041358A" w14:textId="1D4874C3" w:rsidR="001B7751" w:rsidRDefault="001B7751" w:rsidP="001B7751">
      <w:pPr>
        <w:spacing w:line="360" w:lineRule="auto"/>
        <w:ind w:firstLine="567"/>
        <w:jc w:val="both"/>
        <w:rPr>
          <w:rFonts w:ascii="Times New Roman" w:hAnsi="Times New Roman" w:cs="Times New Roman"/>
        </w:rPr>
      </w:pPr>
      <w:r w:rsidRPr="00D27C89">
        <w:rPr>
          <w:rFonts w:ascii="Times New Roman" w:hAnsi="Times New Roman" w:cs="Times New Roman"/>
        </w:rPr>
        <w:t xml:space="preserve">E con ciò è possibile sviluppare la seconda e ultima considerazione. Dagli </w:t>
      </w:r>
      <w:r w:rsidRPr="00D27C89">
        <w:rPr>
          <w:rFonts w:ascii="Times New Roman" w:hAnsi="Times New Roman" w:cs="Times New Roman"/>
          <w:i/>
        </w:rPr>
        <w:t>Jugendschriften</w:t>
      </w:r>
      <w:r w:rsidRPr="00D27C89">
        <w:rPr>
          <w:rFonts w:ascii="Times New Roman" w:hAnsi="Times New Roman" w:cs="Times New Roman"/>
        </w:rPr>
        <w:t xml:space="preserve"> in poi, Hegel considera </w:t>
      </w:r>
      <w:r w:rsidR="00ED4361">
        <w:rPr>
          <w:rFonts w:ascii="Times New Roman" w:hAnsi="Times New Roman" w:cs="Times New Roman"/>
        </w:rPr>
        <w:t xml:space="preserve">l’ebraismo </w:t>
      </w:r>
      <w:r w:rsidRPr="00D27C89">
        <w:rPr>
          <w:rFonts w:ascii="Times New Roman" w:hAnsi="Times New Roman" w:cs="Times New Roman"/>
        </w:rPr>
        <w:t>come una forma precipua del pensare astratto.</w:t>
      </w:r>
      <w:r w:rsidRPr="00011950">
        <w:rPr>
          <w:rFonts w:ascii="Times New Roman" w:hAnsi="Times New Roman" w:cs="Times New Roman"/>
        </w:rPr>
        <w:t xml:space="preserve"> Sebbene </w:t>
      </w:r>
      <w:r>
        <w:rPr>
          <w:rFonts w:ascii="Times New Roman" w:hAnsi="Times New Roman" w:cs="Times New Roman"/>
        </w:rPr>
        <w:t>manifestino una presa di distanza</w:t>
      </w:r>
      <w:r w:rsidRPr="00011950">
        <w:rPr>
          <w:rFonts w:ascii="Times New Roman" w:hAnsi="Times New Roman" w:cs="Times New Roman"/>
        </w:rPr>
        <w:t xml:space="preserve"> </w:t>
      </w:r>
      <w:r>
        <w:rPr>
          <w:rFonts w:ascii="Times New Roman" w:hAnsi="Times New Roman" w:cs="Times New Roman"/>
        </w:rPr>
        <w:t xml:space="preserve">dalla datità e dall’immediatezza sensibile, la religione e la filosofia ebraica non conferiscono ulteriore sviluppo a ciò che </w:t>
      </w:r>
      <w:r w:rsidRPr="002143AC">
        <w:rPr>
          <w:rFonts w:ascii="Times New Roman" w:hAnsi="Times New Roman" w:cs="Times New Roman"/>
          <w:i/>
        </w:rPr>
        <w:t>astraggono</w:t>
      </w:r>
      <w:r>
        <w:rPr>
          <w:rFonts w:ascii="Times New Roman" w:hAnsi="Times New Roman" w:cs="Times New Roman"/>
        </w:rPr>
        <w:t xml:space="preserve"> dalla realtà. Il Dio d’Israele, ad esempio, resta un al di là che non si rivela e non instaura una relazione con l’uomo e la natura, con ciò che è altro da sé. A sua volta, la Qabbalah è un sistema emanatistico astratto, in cui tutto è ricompreso nell’espansione e contrazione della luce divina</w:t>
      </w:r>
      <w:r w:rsidRPr="00F22F93">
        <w:rPr>
          <w:rFonts w:ascii="Times New Roman" w:hAnsi="Times New Roman" w:cs="Times New Roman"/>
        </w:rPr>
        <w:t>. Un discorso analogo può essere sviluppato anche per lo spinozismo: innegabile è la liberazione insita nel punto di vista spinoziano, che supera le antinomie del sapere finito e approda a quella concezione dell’</w:t>
      </w:r>
      <w:r w:rsidRPr="00F22F93">
        <w:rPr>
          <w:rFonts w:ascii="Times New Roman" w:hAnsi="Times New Roman" w:cs="Times New Roman"/>
          <w:i/>
        </w:rPr>
        <w:t xml:space="preserve">Absolutes Nichts </w:t>
      </w:r>
      <w:r w:rsidRPr="00F22F93">
        <w:rPr>
          <w:rFonts w:ascii="Times New Roman" w:hAnsi="Times New Roman" w:cs="Times New Roman"/>
        </w:rPr>
        <w:t xml:space="preserve">presupposto del pensare puro. Altrettanto innegabile è l’incapacità spinoziana di pensare l’Assoluto come </w:t>
      </w:r>
      <w:r w:rsidRPr="00F22F93">
        <w:rPr>
          <w:rFonts w:ascii="Times New Roman" w:hAnsi="Times New Roman" w:cs="Times New Roman"/>
          <w:i/>
        </w:rPr>
        <w:t>absoluter Geist</w:t>
      </w:r>
      <w:r w:rsidRPr="00F22F93">
        <w:rPr>
          <w:rFonts w:ascii="Times New Roman" w:hAnsi="Times New Roman" w:cs="Times New Roman"/>
        </w:rPr>
        <w:t>, citando l’</w:t>
      </w:r>
      <w:r w:rsidRPr="00F22F93">
        <w:rPr>
          <w:rFonts w:ascii="Times New Roman" w:hAnsi="Times New Roman" w:cs="Times New Roman"/>
          <w:i/>
        </w:rPr>
        <w:t>Enzyklopädie</w:t>
      </w:r>
      <w:r w:rsidRPr="00F22F93">
        <w:rPr>
          <w:rFonts w:ascii="Times New Roman" w:hAnsi="Times New Roman" w:cs="Times New Roman"/>
        </w:rPr>
        <w:t xml:space="preserve">, o come soggettività assoluta, ricorrendo alla </w:t>
      </w:r>
      <w:r w:rsidRPr="00F22F93">
        <w:rPr>
          <w:rFonts w:ascii="Times New Roman" w:hAnsi="Times New Roman" w:cs="Times New Roman"/>
          <w:i/>
        </w:rPr>
        <w:t>Phänomenologie</w:t>
      </w:r>
      <w:r w:rsidRPr="00F22F93">
        <w:rPr>
          <w:rFonts w:ascii="Times New Roman" w:hAnsi="Times New Roman" w:cs="Times New Roman"/>
        </w:rPr>
        <w:t xml:space="preserve"> e alla </w:t>
      </w:r>
      <w:r w:rsidRPr="00F22F93">
        <w:rPr>
          <w:rFonts w:ascii="Times New Roman" w:hAnsi="Times New Roman" w:cs="Times New Roman"/>
          <w:i/>
        </w:rPr>
        <w:t>Wissenschaft der Logik</w:t>
      </w:r>
      <w:r w:rsidRPr="00F22F93">
        <w:rPr>
          <w:rFonts w:ascii="Times New Roman" w:hAnsi="Times New Roman" w:cs="Times New Roman"/>
        </w:rPr>
        <w:t xml:space="preserve">. Tanto nella logica dell’essere quanto in quella dell’essenza, Spinoza offre un superamento di quell’intellettualismo che impedisce alla </w:t>
      </w:r>
      <w:r w:rsidRPr="00F22F93">
        <w:rPr>
          <w:rFonts w:ascii="Times New Roman" w:hAnsi="Times New Roman" w:cs="Times New Roman"/>
          <w:i/>
        </w:rPr>
        <w:t>Reflexionsphilosophie</w:t>
      </w:r>
      <w:r w:rsidRPr="00F22F93">
        <w:rPr>
          <w:rFonts w:ascii="Times New Roman" w:hAnsi="Times New Roman" w:cs="Times New Roman"/>
        </w:rPr>
        <w:t xml:space="preserve"> di pensare puramente e superare le dicotomie che l’affliggono. Se </w:t>
      </w:r>
      <w:r w:rsidRPr="00F22F93">
        <w:rPr>
          <w:rFonts w:ascii="Times New Roman" w:hAnsi="Times New Roman" w:cs="Times New Roman"/>
          <w:i/>
        </w:rPr>
        <w:t>essere</w:t>
      </w:r>
      <w:r w:rsidRPr="00F22F93">
        <w:rPr>
          <w:rFonts w:ascii="Times New Roman" w:hAnsi="Times New Roman" w:cs="Times New Roman"/>
        </w:rPr>
        <w:t xml:space="preserve"> e </w:t>
      </w:r>
      <w:r w:rsidRPr="00F22F93">
        <w:rPr>
          <w:rFonts w:ascii="Times New Roman" w:hAnsi="Times New Roman" w:cs="Times New Roman"/>
          <w:i/>
        </w:rPr>
        <w:t>identità</w:t>
      </w:r>
      <w:r w:rsidRPr="00F22F93">
        <w:rPr>
          <w:rFonts w:ascii="Times New Roman" w:hAnsi="Times New Roman" w:cs="Times New Roman"/>
        </w:rPr>
        <w:t xml:space="preserve"> rappresentano una liberazione necessaria del pensiero, essi formano altresì una gabbia speculativa per la ragione: ricondotto il due all’uno, non segue una fondazione e uno sviluppo del due da parte dell’uno. Lo spinozismo è un momento necessario del pensiero e della sua autocomprensione come struttura ontologica assoluta, ma, nonostante ciò, la sostanza di Spinoza, assunta nella sua immediatezza (come puro essere) o nella sua </w:t>
      </w:r>
      <w:r w:rsidRPr="00A74782">
        <w:rPr>
          <w:rFonts w:ascii="Times New Roman" w:hAnsi="Times New Roman" w:cs="Times New Roman"/>
        </w:rPr>
        <w:t>mediatezza (come identità</w:t>
      </w:r>
      <w:r w:rsidR="00152AC4" w:rsidRPr="00A74782">
        <w:rPr>
          <w:rFonts w:ascii="Times New Roman" w:hAnsi="Times New Roman" w:cs="Times New Roman"/>
        </w:rPr>
        <w:t xml:space="preserve"> assoluta</w:t>
      </w:r>
      <w:r w:rsidRPr="00A74782">
        <w:rPr>
          <w:rFonts w:ascii="Times New Roman" w:hAnsi="Times New Roman" w:cs="Times New Roman"/>
        </w:rPr>
        <w:t>), non è concetto, né tantomeno idea, proprio perché non fonda ciò che toglie e riattiva il bisogno del tolto di essere fondato.</w:t>
      </w:r>
      <w:r>
        <w:rPr>
          <w:rFonts w:ascii="Times New Roman" w:hAnsi="Times New Roman" w:cs="Times New Roman"/>
        </w:rPr>
        <w:t xml:space="preserve"> </w:t>
      </w:r>
    </w:p>
    <w:p w14:paraId="6AC2A563" w14:textId="3B56594F" w:rsidR="003B4794" w:rsidRDefault="001B7751" w:rsidP="007D15DE">
      <w:pPr>
        <w:spacing w:line="360" w:lineRule="auto"/>
        <w:ind w:firstLine="567"/>
        <w:jc w:val="both"/>
        <w:rPr>
          <w:rFonts w:ascii="Times New Roman" w:hAnsi="Times New Roman" w:cs="Times New Roman"/>
        </w:rPr>
      </w:pPr>
      <w:r w:rsidRPr="00801A6B">
        <w:rPr>
          <w:rFonts w:ascii="Times New Roman" w:hAnsi="Times New Roman" w:cs="Times New Roman"/>
        </w:rPr>
        <w:t xml:space="preserve">Dal superamento dell’immediatezza naturale, passando per l’unità en-sofica e </w:t>
      </w:r>
      <w:r w:rsidRPr="00A74782">
        <w:rPr>
          <w:rFonts w:ascii="Times New Roman" w:hAnsi="Times New Roman" w:cs="Times New Roman"/>
        </w:rPr>
        <w:t>arrivando, infine, all’astrattismo immediato</w:t>
      </w:r>
      <w:r w:rsidR="00152AC4" w:rsidRPr="00A74782">
        <w:rPr>
          <w:rFonts w:ascii="Times New Roman" w:hAnsi="Times New Roman" w:cs="Times New Roman"/>
        </w:rPr>
        <w:t xml:space="preserve"> (</w:t>
      </w:r>
      <w:r w:rsidR="00152AC4" w:rsidRPr="00A74782">
        <w:rPr>
          <w:rFonts w:ascii="Times New Roman" w:hAnsi="Times New Roman" w:cs="Times New Roman"/>
          <w:i/>
        </w:rPr>
        <w:t>Logik des Seyns</w:t>
      </w:r>
      <w:r w:rsidR="00152AC4" w:rsidRPr="00A74782">
        <w:rPr>
          <w:rFonts w:ascii="Times New Roman" w:hAnsi="Times New Roman" w:cs="Times New Roman"/>
        </w:rPr>
        <w:t>)</w:t>
      </w:r>
      <w:r w:rsidRPr="00A74782">
        <w:rPr>
          <w:rFonts w:ascii="Times New Roman" w:hAnsi="Times New Roman" w:cs="Times New Roman"/>
        </w:rPr>
        <w:t xml:space="preserve"> e mediato </w:t>
      </w:r>
      <w:r w:rsidR="00152AC4" w:rsidRPr="00A74782">
        <w:rPr>
          <w:rFonts w:ascii="Times New Roman" w:hAnsi="Times New Roman" w:cs="Times New Roman"/>
        </w:rPr>
        <w:t>(</w:t>
      </w:r>
      <w:r w:rsidR="00152AC4" w:rsidRPr="00A74782">
        <w:rPr>
          <w:rFonts w:ascii="Times New Roman" w:hAnsi="Times New Roman" w:cs="Times New Roman"/>
          <w:i/>
        </w:rPr>
        <w:t>Wesenslogik</w:t>
      </w:r>
      <w:r w:rsidR="00152AC4" w:rsidRPr="00A74782">
        <w:rPr>
          <w:rFonts w:ascii="Times New Roman" w:hAnsi="Times New Roman" w:cs="Times New Roman"/>
        </w:rPr>
        <w:t>)</w:t>
      </w:r>
      <w:r w:rsidR="00152AC4">
        <w:rPr>
          <w:rFonts w:ascii="Times New Roman" w:hAnsi="Times New Roman" w:cs="Times New Roman"/>
        </w:rPr>
        <w:t xml:space="preserve"> </w:t>
      </w:r>
      <w:r w:rsidRPr="00801A6B">
        <w:rPr>
          <w:rFonts w:ascii="Times New Roman" w:hAnsi="Times New Roman" w:cs="Times New Roman"/>
        </w:rPr>
        <w:t xml:space="preserve">di Spinoza, si sviluppa e consolida quello che si può definire, utilizzando una meta-categoria, lo spirito del pensiero ebraico. Reciso il legame con la natura, </w:t>
      </w:r>
      <w:r>
        <w:rPr>
          <w:rFonts w:ascii="Times New Roman" w:hAnsi="Times New Roman" w:cs="Times New Roman"/>
        </w:rPr>
        <w:t xml:space="preserve">l’astrattezza del </w:t>
      </w:r>
      <w:r w:rsidRPr="00801A6B">
        <w:rPr>
          <w:rFonts w:ascii="Times New Roman" w:hAnsi="Times New Roman" w:cs="Times New Roman"/>
        </w:rPr>
        <w:t xml:space="preserve">Dio ebraico è struttura teorica che si comunica alla Qabbalah e alla filosofia di Spinoza. Dalla </w:t>
      </w:r>
      <w:r>
        <w:rPr>
          <w:rFonts w:ascii="Times New Roman" w:hAnsi="Times New Roman" w:cs="Times New Roman"/>
          <w:i/>
        </w:rPr>
        <w:t xml:space="preserve">Trennung </w:t>
      </w:r>
      <w:r w:rsidRPr="00801A6B">
        <w:rPr>
          <w:rFonts w:ascii="Times New Roman" w:hAnsi="Times New Roman" w:cs="Times New Roman"/>
        </w:rPr>
        <w:t>originaria e fondat</w:t>
      </w:r>
      <w:r>
        <w:rPr>
          <w:rFonts w:ascii="Times New Roman" w:hAnsi="Times New Roman" w:cs="Times New Roman"/>
        </w:rPr>
        <w:t xml:space="preserve">iva dello </w:t>
      </w:r>
      <w:r w:rsidRPr="004A1532">
        <w:rPr>
          <w:rFonts w:ascii="Times New Roman" w:hAnsi="Times New Roman" w:cs="Times New Roman"/>
          <w:i/>
        </w:rPr>
        <w:t>Judenthum</w:t>
      </w:r>
      <w:r w:rsidRPr="00801A6B">
        <w:rPr>
          <w:rFonts w:ascii="Times New Roman" w:hAnsi="Times New Roman" w:cs="Times New Roman"/>
        </w:rPr>
        <w:t>, seguono, pertanto, una serie d’astrazioni che scandiscono i limiti – postivi e negativi – della comprensione ebraica di ciò che è l’Idea.</w:t>
      </w:r>
      <w:r>
        <w:rPr>
          <w:rFonts w:ascii="Times New Roman" w:hAnsi="Times New Roman" w:cs="Times New Roman"/>
        </w:rPr>
        <w:t xml:space="preserve"> Quando si legge che il pensiero hegeliano è stato influenzato dalla mistica ebraica, bisogna </w:t>
      </w:r>
      <w:r w:rsidRPr="00801A6B">
        <w:rPr>
          <w:rFonts w:ascii="Times New Roman" w:hAnsi="Times New Roman" w:cs="Times New Roman"/>
        </w:rPr>
        <w:t>sempre assumere una prospettiva cauta, basata sulla conoscenza dei modelli storiografici diffusi al tempo dell’</w:t>
      </w:r>
      <w:r w:rsidR="00021560">
        <w:rPr>
          <w:rFonts w:ascii="Times New Roman" w:hAnsi="Times New Roman" w:cs="Times New Roman"/>
        </w:rPr>
        <w:t>autore</w:t>
      </w:r>
      <w:r w:rsidRPr="00801A6B">
        <w:rPr>
          <w:rFonts w:ascii="Times New Roman" w:hAnsi="Times New Roman" w:cs="Times New Roman"/>
        </w:rPr>
        <w:t xml:space="preserve">. Sulla base dei materiali analizzati in questo capitolo, si può dire che Hegel possedeva una conoscenza del </w:t>
      </w:r>
      <w:r w:rsidRPr="001C7409">
        <w:rPr>
          <w:rFonts w:ascii="Times New Roman" w:hAnsi="Times New Roman" w:cs="Times New Roman"/>
        </w:rPr>
        <w:t>tutto inadeguata della letteratura cabbalistica e che la sintesi offerta della sapienza ebraica non si dissocia dal paradigma dominante nella storiografia tedesca sette-ottocentesca. Se si può sostenere che la nozione hegeliana di negatività assoluta del pensiero puro ha matrice</w:t>
      </w:r>
      <w:r>
        <w:rPr>
          <w:rFonts w:ascii="Times New Roman" w:hAnsi="Times New Roman" w:cs="Times New Roman"/>
        </w:rPr>
        <w:t xml:space="preserve"> cabbalistica, ciò può essere fatto a partire dal confronto hegeliano con fonti ispirate al misticismo ebraico</w:t>
      </w:r>
      <w:r w:rsidRPr="00A74782">
        <w:rPr>
          <w:rFonts w:ascii="Times New Roman" w:hAnsi="Times New Roman" w:cs="Times New Roman"/>
        </w:rPr>
        <w:t xml:space="preserve">. </w:t>
      </w:r>
      <w:r w:rsidRPr="008E2AAE">
        <w:rPr>
          <w:rFonts w:ascii="Times New Roman" w:hAnsi="Times New Roman" w:cs="Times New Roman"/>
        </w:rPr>
        <w:t>Abbi</w:t>
      </w:r>
      <w:r w:rsidR="00152AC4" w:rsidRPr="008E2AAE">
        <w:rPr>
          <w:rFonts w:ascii="Times New Roman" w:hAnsi="Times New Roman" w:cs="Times New Roman"/>
        </w:rPr>
        <w:t xml:space="preserve">amo visto che Jakob Böhme è un </w:t>
      </w:r>
      <w:r w:rsidR="00021560" w:rsidRPr="008E2AAE">
        <w:rPr>
          <w:rFonts w:ascii="Times New Roman" w:hAnsi="Times New Roman" w:cs="Times New Roman"/>
        </w:rPr>
        <w:t>autore</w:t>
      </w:r>
      <w:r w:rsidRPr="008E2AAE">
        <w:rPr>
          <w:rFonts w:ascii="Times New Roman" w:hAnsi="Times New Roman" w:cs="Times New Roman"/>
        </w:rPr>
        <w:t xml:space="preserve"> che attinge liberamente da quell’insieme di immagini e rappresentazioni cabbalistiche che Hegel annota nelle </w:t>
      </w:r>
      <w:r w:rsidRPr="008E2AAE">
        <w:rPr>
          <w:rFonts w:ascii="Times New Roman" w:hAnsi="Times New Roman" w:cs="Times New Roman"/>
          <w:i/>
        </w:rPr>
        <w:t>Vorlesungen</w:t>
      </w:r>
      <w:r w:rsidRPr="008E2AAE">
        <w:rPr>
          <w:rFonts w:ascii="Times New Roman" w:hAnsi="Times New Roman" w:cs="Times New Roman"/>
        </w:rPr>
        <w:t xml:space="preserve"> edite da Michelet.</w:t>
      </w:r>
      <w:r>
        <w:rPr>
          <w:rFonts w:ascii="Times New Roman" w:hAnsi="Times New Roman" w:cs="Times New Roman"/>
        </w:rPr>
        <w:t xml:space="preserve"> Il fatto che questi contenuti non si attivino nella Qabbalah è dettato da almeno due ragioni: </w:t>
      </w:r>
      <w:r w:rsidRPr="00624F65">
        <w:rPr>
          <w:rFonts w:ascii="Times New Roman" w:hAnsi="Times New Roman" w:cs="Times New Roman"/>
        </w:rPr>
        <w:t xml:space="preserve">1. Hegel non aveva conoscenza </w:t>
      </w:r>
      <w:r w:rsidR="00F71308">
        <w:rPr>
          <w:rFonts w:ascii="Times New Roman" w:hAnsi="Times New Roman" w:cs="Times New Roman"/>
        </w:rPr>
        <w:t xml:space="preserve">diretta </w:t>
      </w:r>
      <w:r w:rsidRPr="00624F65">
        <w:rPr>
          <w:rFonts w:ascii="Times New Roman" w:hAnsi="Times New Roman" w:cs="Times New Roman"/>
        </w:rPr>
        <w:t xml:space="preserve">degli originali cabbalistici e 2. il fatto che certe costellazioni di senso siano presenti in un sistema di pensiero non determina </w:t>
      </w:r>
      <w:r w:rsidRPr="00A02597">
        <w:rPr>
          <w:rFonts w:ascii="Times New Roman" w:hAnsi="Times New Roman" w:cs="Times New Roman"/>
        </w:rPr>
        <w:t>una loro attivazione nel proprio contesto d’</w:t>
      </w:r>
      <w:r>
        <w:rPr>
          <w:rFonts w:ascii="Times New Roman" w:hAnsi="Times New Roman" w:cs="Times New Roman"/>
        </w:rPr>
        <w:t>emissione</w:t>
      </w:r>
      <w:r w:rsidRPr="00A02597">
        <w:rPr>
          <w:rStyle w:val="Rimandonotaapidipagina"/>
          <w:rFonts w:ascii="Times New Roman" w:hAnsi="Times New Roman" w:cs="Times New Roman"/>
        </w:rPr>
        <w:footnoteReference w:id="815"/>
      </w:r>
      <w:r w:rsidRPr="00A02597">
        <w:rPr>
          <w:rFonts w:ascii="Times New Roman" w:hAnsi="Times New Roman" w:cs="Times New Roman"/>
        </w:rPr>
        <w:t>.</w:t>
      </w:r>
      <w:r>
        <w:rPr>
          <w:rFonts w:ascii="Times New Roman" w:hAnsi="Times New Roman" w:cs="Times New Roman"/>
        </w:rPr>
        <w:t xml:space="preserve"> Riguardo a quest’ultimo punto basti ricordare che Hegel, dal periodo di Jena in poi, interpreta quei contenuti böhmiani (</w:t>
      </w:r>
      <w:r w:rsidRPr="00B37176">
        <w:rPr>
          <w:rFonts w:ascii="Times New Roman" w:hAnsi="Times New Roman" w:cs="Times New Roman"/>
          <w:i/>
        </w:rPr>
        <w:t>Zorn Gottes</w:t>
      </w:r>
      <w:r>
        <w:rPr>
          <w:rFonts w:ascii="Times New Roman" w:hAnsi="Times New Roman" w:cs="Times New Roman"/>
        </w:rPr>
        <w:t xml:space="preserve"> e </w:t>
      </w:r>
      <w:r w:rsidRPr="00B37176">
        <w:rPr>
          <w:rFonts w:ascii="Times New Roman" w:hAnsi="Times New Roman" w:cs="Times New Roman"/>
          <w:i/>
        </w:rPr>
        <w:t>Abfall Lucifers</w:t>
      </w:r>
      <w:r>
        <w:rPr>
          <w:rFonts w:ascii="Times New Roman" w:hAnsi="Times New Roman" w:cs="Times New Roman"/>
        </w:rPr>
        <w:t xml:space="preserve">), tematicamente affini ad alcuni insegnamenti del misticismo ebraico, come delle prefigurazioni formalmente inadeguate, ma speculativamente pregnanti, </w:t>
      </w:r>
      <w:r w:rsidRPr="00A74782">
        <w:rPr>
          <w:rFonts w:ascii="Times New Roman" w:hAnsi="Times New Roman" w:cs="Times New Roman"/>
        </w:rPr>
        <w:t>dell’automovimento del pensiero. Superando le unilateralità della filosofia spinoziana e leibniziana, Böhme è quel pensatore moderno che ha pensato – con tutti i limiti della forma rappresentativa – il male, o il negativo, come struttura interna del divino, il compenetrarsi di positivo e negativo</w:t>
      </w:r>
      <w:r w:rsidR="007369D7" w:rsidRPr="00A74782">
        <w:rPr>
          <w:rFonts w:ascii="Times New Roman" w:hAnsi="Times New Roman" w:cs="Times New Roman"/>
        </w:rPr>
        <w:t xml:space="preserve"> e il porsi della contraddizione all’interno del</w:t>
      </w:r>
      <w:r w:rsidRPr="00A74782">
        <w:rPr>
          <w:rFonts w:ascii="Times New Roman" w:hAnsi="Times New Roman" w:cs="Times New Roman"/>
        </w:rPr>
        <w:t xml:space="preserve"> divino</w:t>
      </w:r>
      <w:r w:rsidR="007369D7" w:rsidRPr="00A74782">
        <w:rPr>
          <w:rFonts w:ascii="Times New Roman" w:hAnsi="Times New Roman" w:cs="Times New Roman"/>
        </w:rPr>
        <w:t xml:space="preserve"> stesso</w:t>
      </w:r>
      <w:r w:rsidRPr="00A74782">
        <w:rPr>
          <w:rFonts w:ascii="Times New Roman" w:hAnsi="Times New Roman" w:cs="Times New Roman"/>
        </w:rPr>
        <w:t>.</w:t>
      </w:r>
      <w:r>
        <w:rPr>
          <w:rFonts w:ascii="Times New Roman" w:hAnsi="Times New Roman" w:cs="Times New Roman"/>
        </w:rPr>
        <w:t xml:space="preserve"> </w:t>
      </w:r>
      <w:r w:rsidRPr="00267DB8">
        <w:rPr>
          <w:rFonts w:ascii="Times New Roman" w:hAnsi="Times New Roman" w:cs="Times New Roman"/>
        </w:rPr>
        <w:t>Non è dal confronto diretto con il misticismo ebraico, pittusto è a partire dall’approfondimento del pensiero böhmiano,</w:t>
      </w:r>
      <w:r w:rsidRPr="00197FB8">
        <w:rPr>
          <w:rFonts w:ascii="Times New Roman" w:hAnsi="Times New Roman" w:cs="Times New Roman"/>
        </w:rPr>
        <w:t xml:space="preserve"> che si può parlare di un apporto tutt’altro che marginale della tradizione mistica nella formazione del pensare dialettico </w:t>
      </w:r>
      <w:r>
        <w:rPr>
          <w:rFonts w:ascii="Times New Roman" w:hAnsi="Times New Roman" w:cs="Times New Roman"/>
        </w:rPr>
        <w:t>di Hegel</w:t>
      </w:r>
      <w:r w:rsidRPr="00197FB8">
        <w:rPr>
          <w:rFonts w:ascii="Times New Roman" w:hAnsi="Times New Roman" w:cs="Times New Roman"/>
        </w:rPr>
        <w:t>.</w:t>
      </w:r>
      <w:r>
        <w:rPr>
          <w:rFonts w:ascii="Times New Roman" w:hAnsi="Times New Roman" w:cs="Times New Roman"/>
        </w:rPr>
        <w:t xml:space="preserve"> Anche là dove sembra mancare una base teorica comune si distingue, in verità, un elemento mediatore, che consente di tracciare una linea di continuità fra sistemi di pensiero lontanissimi l’uno dall’altro. Questo è il caso della Qabbalah e della riflessione hegeliana, che s’incontrano grazie alla mediazione di Jakob Böhme. </w:t>
      </w:r>
      <w:r w:rsidRPr="008565F1">
        <w:rPr>
          <w:rFonts w:ascii="Times New Roman" w:hAnsi="Times New Roman" w:cs="Times New Roman"/>
        </w:rPr>
        <w:t>La negatività assoluta del pensiero puro, regolativa delle leggi di sviluppo dell’elemento logico, annovera, fra i suoi elementi ispiratori, l’apporto di una tradizione di pensiero a torto assimilata ad una forma d’astrattismo teorico e riscattata, nei suoi tratti speculativamente pregnanti, da un filosofare che, sebbene ammantato da una forma barbarica, esprime quella tensione a pensare l’Intero su cui convergono, fatte salve le loro differenze formali e di contenuto, la tradizione mistica e uno dei massimi momenti del pensiero occi</w:t>
      </w:r>
      <w:r w:rsidR="003B4794">
        <w:rPr>
          <w:rFonts w:ascii="Times New Roman" w:hAnsi="Times New Roman" w:cs="Times New Roman"/>
        </w:rPr>
        <w:t>dentale, la filosofia hegeliana.</w:t>
      </w:r>
    </w:p>
    <w:p w14:paraId="611C50BD" w14:textId="77777777" w:rsidR="003B4794" w:rsidRDefault="003B4794" w:rsidP="007D15DE">
      <w:pPr>
        <w:spacing w:line="360" w:lineRule="auto"/>
        <w:ind w:firstLine="567"/>
        <w:jc w:val="both"/>
        <w:rPr>
          <w:rFonts w:ascii="Times New Roman" w:hAnsi="Times New Roman" w:cs="Times New Roman"/>
        </w:rPr>
      </w:pPr>
    </w:p>
    <w:p w14:paraId="16524D49" w14:textId="77777777" w:rsidR="003B4794" w:rsidRDefault="003B4794" w:rsidP="007D15DE">
      <w:pPr>
        <w:spacing w:line="360" w:lineRule="auto"/>
        <w:ind w:firstLine="567"/>
        <w:jc w:val="both"/>
        <w:rPr>
          <w:rFonts w:ascii="Times New Roman" w:hAnsi="Times New Roman" w:cs="Times New Roman"/>
        </w:rPr>
        <w:sectPr w:rsidR="003B4794" w:rsidSect="001B7751">
          <w:footnotePr>
            <w:numRestart w:val="eachSect"/>
          </w:footnotePr>
          <w:type w:val="continuous"/>
          <w:pgSz w:w="11900" w:h="16840"/>
          <w:pgMar w:top="1418" w:right="1418" w:bottom="1418" w:left="1985" w:header="708" w:footer="708" w:gutter="0"/>
          <w:cols w:space="708"/>
          <w:docGrid w:linePitch="360"/>
        </w:sectPr>
      </w:pPr>
    </w:p>
    <w:p w14:paraId="45FB8386" w14:textId="77777777" w:rsidR="00F870FA" w:rsidRPr="00921BB8" w:rsidRDefault="00F870FA" w:rsidP="006B16F8">
      <w:pPr>
        <w:spacing w:line="360" w:lineRule="auto"/>
        <w:jc w:val="both"/>
        <w:rPr>
          <w:rFonts w:ascii="Times New Roman" w:hAnsi="Times New Roman" w:cs="Times New Roman"/>
          <w:b/>
          <w:sz w:val="28"/>
          <w:szCs w:val="28"/>
        </w:rPr>
      </w:pPr>
      <w:r w:rsidRPr="00921BB8">
        <w:rPr>
          <w:rFonts w:ascii="Times New Roman" w:hAnsi="Times New Roman" w:cs="Times New Roman"/>
          <w:b/>
          <w:sz w:val="28"/>
          <w:szCs w:val="28"/>
        </w:rPr>
        <w:t xml:space="preserve">Zusammenfassung der Dissertation </w:t>
      </w:r>
    </w:p>
    <w:p w14:paraId="1D98AC19" w14:textId="77777777" w:rsidR="006C5179" w:rsidRPr="00921BB8" w:rsidRDefault="006C5179" w:rsidP="006B16F8">
      <w:pPr>
        <w:spacing w:line="360" w:lineRule="auto"/>
        <w:jc w:val="both"/>
        <w:rPr>
          <w:rFonts w:ascii="Times New Roman" w:hAnsi="Times New Roman" w:cs="Times New Roman"/>
          <w:b/>
          <w:sz w:val="28"/>
          <w:szCs w:val="28"/>
        </w:rPr>
      </w:pPr>
    </w:p>
    <w:p w14:paraId="050F0125" w14:textId="77777777" w:rsidR="006C5179" w:rsidRPr="00921BB8" w:rsidRDefault="006C5179" w:rsidP="006B16F8">
      <w:pPr>
        <w:spacing w:line="360" w:lineRule="auto"/>
        <w:jc w:val="both"/>
        <w:rPr>
          <w:rFonts w:ascii="Times New Roman" w:hAnsi="Times New Roman" w:cs="Times New Roman"/>
          <w:b/>
          <w:sz w:val="28"/>
          <w:szCs w:val="28"/>
        </w:rPr>
      </w:pPr>
    </w:p>
    <w:p w14:paraId="4C72C3C7" w14:textId="77777777" w:rsidR="001B6629" w:rsidRPr="00921BB8" w:rsidRDefault="001B6629" w:rsidP="001B6629">
      <w:pPr>
        <w:spacing w:line="360" w:lineRule="auto"/>
        <w:jc w:val="both"/>
        <w:rPr>
          <w:rFonts w:ascii="Times New Roman" w:hAnsi="Times New Roman" w:cs="Times New Roman"/>
          <w:b/>
          <w:sz w:val="28"/>
          <w:szCs w:val="28"/>
          <w:lang w:val="de-DE"/>
        </w:rPr>
      </w:pPr>
      <w:r w:rsidRPr="00921BB8">
        <w:rPr>
          <w:rFonts w:ascii="Times New Roman" w:hAnsi="Times New Roman" w:cs="Times New Roman"/>
          <w:b/>
          <w:sz w:val="28"/>
          <w:szCs w:val="28"/>
          <w:lang w:val="de-DE"/>
        </w:rPr>
        <w:t xml:space="preserve">Einleitung </w:t>
      </w:r>
    </w:p>
    <w:p w14:paraId="69CD8740" w14:textId="77777777" w:rsidR="001B6629" w:rsidRPr="00921BB8" w:rsidRDefault="001B6629" w:rsidP="001B6629">
      <w:pPr>
        <w:spacing w:line="360" w:lineRule="auto"/>
        <w:jc w:val="both"/>
        <w:rPr>
          <w:rFonts w:ascii="Times New Roman" w:hAnsi="Times New Roman" w:cs="Times New Roman"/>
          <w:lang w:val="de-DE"/>
        </w:rPr>
      </w:pPr>
    </w:p>
    <w:p w14:paraId="0CCA99EA" w14:textId="77777777" w:rsidR="001B6629" w:rsidRPr="00921BB8" w:rsidRDefault="001B6629" w:rsidP="001B6629">
      <w:pPr>
        <w:spacing w:line="360" w:lineRule="auto"/>
        <w:ind w:firstLine="567"/>
        <w:jc w:val="both"/>
        <w:rPr>
          <w:rFonts w:ascii="Times New Roman" w:hAnsi="Times New Roman" w:cs="Times New Roman"/>
          <w:lang w:val="de-DE"/>
        </w:rPr>
      </w:pPr>
      <w:r w:rsidRPr="00921BB8">
        <w:rPr>
          <w:rFonts w:ascii="Times New Roman" w:hAnsi="Times New Roman" w:cs="Times New Roman"/>
          <w:lang w:val="de-DE"/>
        </w:rPr>
        <w:t xml:space="preserve">In Bezug auf Adolphe Francks Ansicht, die das Buch </w:t>
      </w:r>
      <w:r w:rsidRPr="00921BB8">
        <w:rPr>
          <w:rFonts w:ascii="Times New Roman" w:hAnsi="Times New Roman" w:cs="Times New Roman"/>
          <w:i/>
          <w:lang w:val="de-DE"/>
        </w:rPr>
        <w:t>Hydra Zuta</w:t>
      </w:r>
      <w:r w:rsidRPr="00921BB8">
        <w:rPr>
          <w:rFonts w:ascii="Times New Roman" w:hAnsi="Times New Roman" w:cs="Times New Roman"/>
          <w:lang w:val="de-DE"/>
        </w:rPr>
        <w:t xml:space="preserve"> als kabbalistische Quelle des Hegelschen Begriffs des Nichts betrachtet</w:t>
      </w:r>
      <w:r w:rsidRPr="00921BB8">
        <w:rPr>
          <w:rStyle w:val="Rimandonotaapidipagina"/>
          <w:rFonts w:ascii="Times New Roman" w:hAnsi="Times New Roman" w:cs="Times New Roman"/>
          <w:lang w:val="de-DE"/>
        </w:rPr>
        <w:footnoteReference w:id="816"/>
      </w:r>
      <w:r w:rsidRPr="00921BB8">
        <w:rPr>
          <w:rFonts w:ascii="Times New Roman" w:hAnsi="Times New Roman" w:cs="Times New Roman"/>
          <w:lang w:val="de-DE"/>
        </w:rPr>
        <w:t xml:space="preserve">, hat Moshe Idel in der Monographie </w:t>
      </w:r>
      <w:r w:rsidRPr="00921BB8">
        <w:rPr>
          <w:rFonts w:ascii="Times New Roman" w:hAnsi="Times New Roman" w:cs="Times New Roman"/>
          <w:i/>
          <w:lang w:val="de-DE"/>
        </w:rPr>
        <w:t xml:space="preserve">Il male primordiale nella Qabbalah </w:t>
      </w:r>
      <w:r w:rsidRPr="00921BB8">
        <w:rPr>
          <w:rFonts w:ascii="Times New Roman" w:hAnsi="Times New Roman" w:cs="Times New Roman"/>
          <w:lang w:val="de-DE"/>
        </w:rPr>
        <w:t>den Einfluss der jüdischen Mystik auf die Hegelsche Theorie der absoluten Negativität des reinen Denkens theoretisiert</w:t>
      </w:r>
      <w:r w:rsidRPr="00921BB8">
        <w:rPr>
          <w:rStyle w:val="Rimandonotaapidipagina"/>
          <w:rFonts w:ascii="Times New Roman" w:hAnsi="Times New Roman" w:cs="Times New Roman"/>
          <w:lang w:val="de-DE"/>
        </w:rPr>
        <w:footnoteReference w:id="817"/>
      </w:r>
      <w:r w:rsidRPr="00921BB8">
        <w:rPr>
          <w:rFonts w:ascii="Times New Roman" w:hAnsi="Times New Roman" w:cs="Times New Roman"/>
          <w:lang w:val="de-DE"/>
        </w:rPr>
        <w:t xml:space="preserve">. Da diese Position eine Minderheit innerhalb der internationalen </w:t>
      </w:r>
      <w:r w:rsidRPr="00921BB8">
        <w:rPr>
          <w:rFonts w:ascii="Times New Roman" w:hAnsi="Times New Roman" w:cs="Times New Roman"/>
          <w:i/>
          <w:lang w:val="de-DE"/>
        </w:rPr>
        <w:t>Hegel-Forschung</w:t>
      </w:r>
      <w:r w:rsidRPr="00921BB8">
        <w:rPr>
          <w:rFonts w:ascii="Times New Roman" w:hAnsi="Times New Roman" w:cs="Times New Roman"/>
          <w:lang w:val="de-DE"/>
        </w:rPr>
        <w:t xml:space="preserve"> darstellt, hat die Neuartigkeit der Arbeit Idels unter den Hegel-ForscherInnen nicht die nötige Aufmerksamkeit erhalten. Um diese historisch-philosophische Stellung zu bestätigen oder zu widerlegen, habe ich entschieden, α) die Grundlagen der Hegelschen Theorie der absoluten Negativität des reinen Denkens darzustellen und β) ihre theoretische Abhängigkeit oder Selbständigkeit von der jüdischen Kabbala zu zeigen.</w:t>
      </w:r>
    </w:p>
    <w:p w14:paraId="537F5C8E" w14:textId="59FB8479" w:rsidR="001B6629" w:rsidRPr="00921BB8" w:rsidRDefault="001B6629" w:rsidP="001B6629">
      <w:pPr>
        <w:spacing w:line="360" w:lineRule="auto"/>
        <w:ind w:firstLine="567"/>
        <w:jc w:val="both"/>
        <w:rPr>
          <w:rFonts w:ascii="Times New Roman" w:hAnsi="Times New Roman" w:cs="Times New Roman"/>
          <w:lang w:val="de-DE"/>
        </w:rPr>
      </w:pPr>
      <w:r w:rsidRPr="00921BB8">
        <w:rPr>
          <w:rFonts w:ascii="Times New Roman" w:hAnsi="Times New Roman" w:cs="Times New Roman"/>
          <w:lang w:val="de-DE"/>
        </w:rPr>
        <w:t xml:space="preserve">Im ersten Kapitel dieser Arbeit werde ich die </w:t>
      </w:r>
      <w:r w:rsidRPr="00921BB8">
        <w:rPr>
          <w:rFonts w:ascii="Times New Roman" w:hAnsi="Times New Roman" w:cs="Times New Roman"/>
          <w:i/>
          <w:lang w:val="de-DE"/>
        </w:rPr>
        <w:t>Jenaer Schriften</w:t>
      </w:r>
      <w:r w:rsidRPr="00921BB8">
        <w:rPr>
          <w:rFonts w:ascii="Times New Roman" w:hAnsi="Times New Roman" w:cs="Times New Roman"/>
          <w:lang w:val="de-DE"/>
        </w:rPr>
        <w:t xml:space="preserve"> und die spekulativen Stufen untersuchen, die die Hegelsche </w:t>
      </w:r>
      <w:r w:rsidRPr="00921BB8">
        <w:rPr>
          <w:rFonts w:ascii="Times New Roman" w:hAnsi="Times New Roman" w:cs="Times New Roman"/>
          <w:i/>
          <w:lang w:val="de-DE"/>
        </w:rPr>
        <w:t>Subjektivierung</w:t>
      </w:r>
      <w:r w:rsidRPr="00921BB8">
        <w:rPr>
          <w:rFonts w:ascii="Times New Roman" w:hAnsi="Times New Roman" w:cs="Times New Roman"/>
          <w:lang w:val="de-DE"/>
        </w:rPr>
        <w:t xml:space="preserve"> des Absoluten ermöglicht haben. Dank der Analyse der Exzer</w:t>
      </w:r>
      <w:r w:rsidR="00275EFB">
        <w:rPr>
          <w:rFonts w:ascii="Times New Roman" w:hAnsi="Times New Roman" w:cs="Times New Roman"/>
          <w:lang w:val="de-DE"/>
        </w:rPr>
        <w:t>pte und Systementwürfe von 1804/</w:t>
      </w:r>
      <w:r w:rsidRPr="00921BB8">
        <w:rPr>
          <w:rFonts w:ascii="Times New Roman" w:hAnsi="Times New Roman" w:cs="Times New Roman"/>
          <w:lang w:val="de-DE"/>
        </w:rPr>
        <w:t xml:space="preserve">06 und der </w:t>
      </w:r>
      <w:r w:rsidRPr="00921BB8">
        <w:rPr>
          <w:rFonts w:ascii="Times New Roman" w:hAnsi="Times New Roman" w:cs="Times New Roman"/>
          <w:i/>
          <w:lang w:val="de-DE"/>
        </w:rPr>
        <w:t>Phänomenologie des Geistes</w:t>
      </w:r>
      <w:r w:rsidRPr="00921BB8">
        <w:rPr>
          <w:rFonts w:ascii="Times New Roman" w:hAnsi="Times New Roman" w:cs="Times New Roman"/>
          <w:lang w:val="de-DE"/>
        </w:rPr>
        <w:t xml:space="preserve"> wird die Wichtigkeit von Jakob Böhme in Bezug auf Hegels Formulierung einer Theorie des Unbedingten erklärt, die auf der Absolutheit und Selbst-bezüglichkeit der Negation beruht. Die fortschreitende Anpassung der Böhmeschen Vorstellungen des </w:t>
      </w:r>
      <w:r w:rsidRPr="00921BB8">
        <w:rPr>
          <w:rFonts w:ascii="Times New Roman" w:hAnsi="Times New Roman" w:cs="Times New Roman"/>
          <w:i/>
          <w:lang w:val="de-DE"/>
        </w:rPr>
        <w:t>Zornes Gottes</w:t>
      </w:r>
      <w:r w:rsidRPr="00921BB8">
        <w:rPr>
          <w:rFonts w:ascii="Times New Roman" w:hAnsi="Times New Roman" w:cs="Times New Roman"/>
          <w:lang w:val="de-DE"/>
        </w:rPr>
        <w:t xml:space="preserve"> und des </w:t>
      </w:r>
      <w:r w:rsidRPr="00921BB8">
        <w:rPr>
          <w:rFonts w:ascii="Times New Roman" w:hAnsi="Times New Roman" w:cs="Times New Roman"/>
          <w:i/>
          <w:lang w:val="de-DE"/>
        </w:rPr>
        <w:t>Abfalls Luzifers</w:t>
      </w:r>
      <w:r w:rsidRPr="00921BB8">
        <w:rPr>
          <w:rFonts w:ascii="Times New Roman" w:hAnsi="Times New Roman" w:cs="Times New Roman"/>
          <w:lang w:val="de-DE"/>
        </w:rPr>
        <w:t xml:space="preserve"> an die voraussetzungslose Negativität des Absoluten bestätigt zum Teil die Hypothese von Moshe Idel: Jakob Böhmes Denken, insbesondere die Theorie, die in der Dunkelheit (der </w:t>
      </w:r>
      <w:r w:rsidRPr="00921BB8">
        <w:rPr>
          <w:rFonts w:ascii="Times New Roman" w:hAnsi="Times New Roman" w:cs="Times New Roman"/>
          <w:i/>
          <w:lang w:val="de-DE"/>
        </w:rPr>
        <w:t>Zorn Gottes</w:t>
      </w:r>
      <w:r w:rsidRPr="00921BB8">
        <w:rPr>
          <w:rFonts w:ascii="Times New Roman" w:hAnsi="Times New Roman" w:cs="Times New Roman"/>
          <w:lang w:val="de-DE"/>
        </w:rPr>
        <w:t xml:space="preserve">, das Negative </w:t>
      </w:r>
      <w:r w:rsidRPr="00921BB8">
        <w:rPr>
          <w:rFonts w:ascii="Times New Roman" w:hAnsi="Times New Roman" w:cs="Times New Roman"/>
          <w:i/>
          <w:lang w:val="fr-FR"/>
        </w:rPr>
        <w:t>tout court</w:t>
      </w:r>
      <w:r w:rsidRPr="00921BB8">
        <w:rPr>
          <w:rFonts w:ascii="Times New Roman" w:hAnsi="Times New Roman" w:cs="Times New Roman"/>
          <w:lang w:val="de-DE"/>
        </w:rPr>
        <w:t xml:space="preserve">) ein grundlegendes Prinzip der göttlichen Natur erkennt, vermittelt ein inhaltliches und symbolisches Universum, das bereits in der jüdischen Kabbala vorhanden war. Obwohl die </w:t>
      </w:r>
      <w:r w:rsidRPr="00921BB8">
        <w:rPr>
          <w:rFonts w:ascii="Times New Roman" w:hAnsi="Times New Roman" w:cs="Times New Roman"/>
          <w:i/>
          <w:lang w:val="de-DE"/>
        </w:rPr>
        <w:t>Jenaer Schriften</w:t>
      </w:r>
      <w:r w:rsidRPr="00921BB8">
        <w:rPr>
          <w:rFonts w:ascii="Times New Roman" w:hAnsi="Times New Roman" w:cs="Times New Roman"/>
          <w:lang w:val="de-DE"/>
        </w:rPr>
        <w:t xml:space="preserve"> keine direkten Kenntnisse des jüdischen Mystizismus bezeugen, hat Hegel eine Auslegung der Böhmeschen Vorstellungen – die der jüdischen Mystik nahe stehen – entwickelt, die mit der (bereits kabbalistischen) Theorie einer ursprünglichen Negativität des göttlichen Denkens übereinstimmen. </w:t>
      </w:r>
    </w:p>
    <w:p w14:paraId="580E966A" w14:textId="77777777" w:rsidR="001B6629" w:rsidRPr="00921BB8" w:rsidRDefault="001B6629" w:rsidP="001B6629">
      <w:pPr>
        <w:spacing w:line="360" w:lineRule="auto"/>
        <w:ind w:firstLine="567"/>
        <w:jc w:val="both"/>
        <w:rPr>
          <w:rFonts w:ascii="Times New Roman" w:hAnsi="Times New Roman" w:cs="Times New Roman"/>
          <w:lang w:val="de-DE"/>
        </w:rPr>
      </w:pPr>
      <w:r w:rsidRPr="00921BB8">
        <w:rPr>
          <w:rFonts w:ascii="Times New Roman" w:hAnsi="Times New Roman" w:cs="Times New Roman"/>
          <w:lang w:val="de-DE"/>
        </w:rPr>
        <w:t xml:space="preserve">Diese Interpretation des Gedankens Böhmes wird auch innerhalb der </w:t>
      </w:r>
      <w:r w:rsidRPr="00921BB8">
        <w:rPr>
          <w:rFonts w:ascii="Times New Roman" w:hAnsi="Times New Roman" w:cs="Times New Roman"/>
          <w:i/>
          <w:lang w:val="de-DE"/>
        </w:rPr>
        <w:t>Wissenschaft der Logik</w:t>
      </w:r>
      <w:r w:rsidRPr="00921BB8">
        <w:rPr>
          <w:rFonts w:ascii="Times New Roman" w:hAnsi="Times New Roman" w:cs="Times New Roman"/>
          <w:lang w:val="de-DE"/>
        </w:rPr>
        <w:t xml:space="preserve"> beibehalten. Im zweiten Kapitel dieser Untersuchung werde ich die logische Bedeutung des Böhmeschen Begriffes „Inqualierung</w:t>
      </w:r>
      <w:r w:rsidRPr="00921BB8">
        <w:rPr>
          <w:rFonts w:ascii="Times New Roman" w:eastAsia="Times New Roman" w:hAnsi="Times New Roman" w:cs="Times New Roman"/>
          <w:color w:val="000000"/>
          <w:sz w:val="20"/>
          <w:szCs w:val="20"/>
          <w:lang w:val="de-DE"/>
        </w:rPr>
        <w:t>”</w:t>
      </w:r>
      <w:r w:rsidRPr="00921BB8">
        <w:rPr>
          <w:rFonts w:ascii="Times New Roman" w:hAnsi="Times New Roman" w:cs="Times New Roman"/>
          <w:lang w:val="de-DE"/>
        </w:rPr>
        <w:t xml:space="preserve"> analysieren. Als Ausdruck der Unruhe, die sowohl die </w:t>
      </w:r>
      <w:r w:rsidRPr="00921BB8">
        <w:rPr>
          <w:rFonts w:ascii="Times New Roman" w:hAnsi="Times New Roman" w:cs="Times New Roman"/>
          <w:i/>
          <w:lang w:val="de-DE"/>
        </w:rPr>
        <w:t>Bestimmtheit</w:t>
      </w:r>
      <w:r w:rsidRPr="00921BB8">
        <w:rPr>
          <w:rFonts w:ascii="Times New Roman" w:hAnsi="Times New Roman" w:cs="Times New Roman"/>
          <w:lang w:val="de-DE"/>
        </w:rPr>
        <w:t xml:space="preserve"> als auch den </w:t>
      </w:r>
      <w:r w:rsidRPr="00921BB8">
        <w:rPr>
          <w:rFonts w:ascii="Times New Roman" w:hAnsi="Times New Roman" w:cs="Times New Roman"/>
          <w:i/>
          <w:lang w:val="de-DE"/>
        </w:rPr>
        <w:t>Gegensatz</w:t>
      </w:r>
      <w:r w:rsidRPr="00921BB8">
        <w:rPr>
          <w:rFonts w:ascii="Times New Roman" w:hAnsi="Times New Roman" w:cs="Times New Roman"/>
          <w:lang w:val="de-DE"/>
        </w:rPr>
        <w:t xml:space="preserve"> durchdringt, spiegelt die </w:t>
      </w:r>
      <w:r w:rsidRPr="00921BB8">
        <w:rPr>
          <w:rFonts w:ascii="Times New Roman" w:hAnsi="Times New Roman" w:cs="Times New Roman"/>
          <w:i/>
          <w:lang w:val="de-DE"/>
        </w:rPr>
        <w:t>Inqualierung</w:t>
      </w:r>
      <w:r w:rsidRPr="00921BB8">
        <w:rPr>
          <w:rFonts w:ascii="Times New Roman" w:hAnsi="Times New Roman" w:cs="Times New Roman"/>
          <w:lang w:val="de-DE"/>
        </w:rPr>
        <w:t xml:space="preserve"> die widersprüchliche Natur des logischen Elements wider. Die direkten und indirekten Hinweise auf den Görlitzer Schuster in der </w:t>
      </w:r>
      <w:r w:rsidRPr="00921BB8">
        <w:rPr>
          <w:rFonts w:ascii="Times New Roman" w:hAnsi="Times New Roman" w:cs="Times New Roman"/>
          <w:i/>
          <w:lang w:val="de-DE"/>
        </w:rPr>
        <w:t>Wissenschaft der Logik</w:t>
      </w:r>
      <w:r w:rsidRPr="00921BB8">
        <w:rPr>
          <w:rFonts w:ascii="Times New Roman" w:hAnsi="Times New Roman" w:cs="Times New Roman"/>
          <w:lang w:val="de-DE"/>
        </w:rPr>
        <w:t xml:space="preserve"> richten sich auf das bereits in den </w:t>
      </w:r>
      <w:r w:rsidRPr="00921BB8">
        <w:rPr>
          <w:rFonts w:ascii="Times New Roman" w:hAnsi="Times New Roman" w:cs="Times New Roman"/>
          <w:i/>
          <w:lang w:val="de-DE"/>
        </w:rPr>
        <w:t>Jenaer Schriften</w:t>
      </w:r>
      <w:r w:rsidRPr="00921BB8">
        <w:rPr>
          <w:rFonts w:ascii="Times New Roman" w:hAnsi="Times New Roman" w:cs="Times New Roman"/>
          <w:lang w:val="de-DE"/>
        </w:rPr>
        <w:t xml:space="preserve"> vorhandene theoretische Bedürfnis, das Wahre ebenso sehr als Subjekt zu erfassen. Die absolute Negativität oder die Widersprüchlichkeit des reinen Denkens bezieht sich auf jene </w:t>
      </w:r>
      <w:r w:rsidRPr="00921BB8">
        <w:rPr>
          <w:rFonts w:ascii="Times New Roman" w:hAnsi="Times New Roman" w:cs="Times New Roman"/>
          <w:i/>
          <w:lang w:val="de-DE"/>
        </w:rPr>
        <w:t>Unruhe</w:t>
      </w:r>
      <w:r w:rsidRPr="00921BB8">
        <w:rPr>
          <w:rFonts w:ascii="Times New Roman" w:hAnsi="Times New Roman" w:cs="Times New Roman"/>
          <w:lang w:val="de-DE"/>
        </w:rPr>
        <w:t xml:space="preserve">, die die </w:t>
      </w:r>
      <w:r w:rsidRPr="00921BB8">
        <w:rPr>
          <w:rFonts w:ascii="Times New Roman" w:hAnsi="Times New Roman" w:cs="Times New Roman"/>
          <w:i/>
          <w:lang w:val="de-DE"/>
        </w:rPr>
        <w:t xml:space="preserve">Quelle </w:t>
      </w:r>
      <w:r w:rsidRPr="00921BB8">
        <w:rPr>
          <w:rFonts w:ascii="Times New Roman" w:hAnsi="Times New Roman" w:cs="Times New Roman"/>
          <w:lang w:val="de-DE"/>
        </w:rPr>
        <w:t xml:space="preserve">(die Böhmesche Inqualierung) der Entwicklung sowohl der logischen Denkbestimmungen als auch der </w:t>
      </w:r>
      <w:r w:rsidRPr="00921BB8">
        <w:rPr>
          <w:rFonts w:ascii="Times New Roman" w:hAnsi="Times New Roman" w:cs="Times New Roman"/>
          <w:i/>
          <w:lang w:val="de-DE"/>
        </w:rPr>
        <w:t>Wirklichkeit</w:t>
      </w:r>
      <w:r w:rsidRPr="00921BB8">
        <w:rPr>
          <w:rFonts w:ascii="Times New Roman" w:hAnsi="Times New Roman" w:cs="Times New Roman"/>
          <w:lang w:val="de-DE"/>
        </w:rPr>
        <w:t xml:space="preserve"> ist. </w:t>
      </w:r>
    </w:p>
    <w:p w14:paraId="7B27EA8C" w14:textId="5D03A0AE" w:rsidR="00A46823" w:rsidRDefault="001B6629" w:rsidP="00A46823">
      <w:pPr>
        <w:spacing w:line="360" w:lineRule="auto"/>
        <w:ind w:firstLine="567"/>
        <w:jc w:val="both"/>
        <w:rPr>
          <w:rFonts w:ascii="Times New Roman" w:hAnsi="Times New Roman" w:cs="Times New Roman"/>
          <w:lang w:val="de-DE"/>
        </w:rPr>
      </w:pPr>
      <w:r w:rsidRPr="00921BB8">
        <w:rPr>
          <w:rFonts w:ascii="Times New Roman" w:hAnsi="Times New Roman" w:cs="Times New Roman"/>
          <w:lang w:val="de-DE"/>
        </w:rPr>
        <w:t xml:space="preserve">Dass die Hegelsche Theorie der </w:t>
      </w:r>
      <w:r w:rsidRPr="00921BB8">
        <w:rPr>
          <w:rFonts w:ascii="Times New Roman" w:eastAsia="Times New Roman" w:hAnsi="Times New Roman" w:cs="Times New Roman"/>
          <w:i/>
          <w:color w:val="000000"/>
          <w:lang w:val="de-DE"/>
        </w:rPr>
        <w:t>Ursprünglichkeit</w:t>
      </w:r>
      <w:r w:rsidRPr="00921BB8">
        <w:rPr>
          <w:rFonts w:ascii="Times New Roman" w:hAnsi="Times New Roman" w:cs="Times New Roman"/>
          <w:lang w:val="de-DE"/>
        </w:rPr>
        <w:t xml:space="preserve"> (Negativität) des reinen Denkens nicht direkt von der jüdischen Kabbala, sondern von kabbalistisch inspirierten Inhalten (wie dem </w:t>
      </w:r>
      <w:r w:rsidRPr="00921BB8">
        <w:rPr>
          <w:rFonts w:ascii="Times New Roman" w:hAnsi="Times New Roman" w:cs="Times New Roman"/>
          <w:i/>
          <w:lang w:val="de-DE"/>
        </w:rPr>
        <w:t>Zorn Gottes</w:t>
      </w:r>
      <w:r w:rsidRPr="00921BB8">
        <w:rPr>
          <w:rFonts w:ascii="Times New Roman" w:hAnsi="Times New Roman" w:cs="Times New Roman"/>
          <w:lang w:val="de-DE"/>
        </w:rPr>
        <w:t xml:space="preserve"> und dem </w:t>
      </w:r>
      <w:r w:rsidRPr="00921BB8">
        <w:rPr>
          <w:rFonts w:ascii="Times New Roman" w:hAnsi="Times New Roman" w:cs="Times New Roman"/>
          <w:i/>
          <w:lang w:val="de-DE"/>
        </w:rPr>
        <w:t>Abfall Lucifers</w:t>
      </w:r>
      <w:r w:rsidRPr="00921BB8">
        <w:rPr>
          <w:rFonts w:ascii="Times New Roman" w:hAnsi="Times New Roman" w:cs="Times New Roman"/>
          <w:lang w:val="de-DE"/>
        </w:rPr>
        <w:t xml:space="preserve">) beeinflusst wurde, wird eine Bestätigung im dritten Kapitel dieser Arbeit finden, in dem ich mich auf die Rezeption der jüdischen Mystik im Deutschland des 18. und 19. Jahrhunderts konzentrieren werde. Das Schlusskapitel dieser Forschung, das inhaltlich mehr als Einleitung geeignet wäre, ist aufgrund der zeitlich späten Auseinandersetzung Hegels mit dem kabbalistischen Denken gerechtfertigt: anlässlich der </w:t>
      </w:r>
      <w:r w:rsidRPr="00921BB8">
        <w:rPr>
          <w:rFonts w:ascii="Times New Roman" w:hAnsi="Times New Roman" w:cs="Times New Roman"/>
          <w:i/>
          <w:lang w:val="de-DE"/>
        </w:rPr>
        <w:t>Vorlesungen zur Geschichte der Philosophie</w:t>
      </w:r>
      <w:r w:rsidRPr="00921BB8">
        <w:rPr>
          <w:rFonts w:ascii="Times New Roman" w:hAnsi="Times New Roman" w:cs="Times New Roman"/>
          <w:lang w:val="de-DE"/>
        </w:rPr>
        <w:t xml:space="preserve"> hat Hegel die Kenntnis der Historiografie seiner Zeit vertieft, um schematische Informationen eines für ihn unbekannten Momentes des philosophischen Denkens – der jüdischen Kabbala – zu sammeln. Obwohl diese Beschäftigung mit der kabbalistischen Philosophie keinen Wendepunkt im Hegelschen Verständnis der jüdischen Mystik darstellt, ergibt sich daraus jedoch die akosmistische Kategorisierung des Spinozismus (Vorlesungen des Wintersemesters 1820/21). In Anlehnung an die Historiographie seiner Zeit und den </w:t>
      </w:r>
      <w:r w:rsidRPr="00921BB8">
        <w:rPr>
          <w:rFonts w:ascii="Times New Roman" w:hAnsi="Times New Roman" w:cs="Times New Roman"/>
          <w:i/>
          <w:lang w:val="de-DE"/>
        </w:rPr>
        <w:t>Spinozismusstreit</w:t>
      </w:r>
      <w:r w:rsidRPr="00921BB8">
        <w:rPr>
          <w:rFonts w:ascii="Times New Roman" w:hAnsi="Times New Roman" w:cs="Times New Roman"/>
          <w:lang w:val="de-DE"/>
        </w:rPr>
        <w:t xml:space="preserve"> der zweiten Hälfte des 18. Jahrhunderts verwendet Hegel absichtlich eine Kategorisierung des Spinozismus, die bereits von Salomon Maimon entwickelt wurde, um die Lurianische Kabbala und die Spinozistische Philosophie vom Vorwurf des Atheismus freizusprechen: die Affirmation des unbestimmten Seins Gottes und die Verleugnung des Daseins der Welt sind jene Denkbestimmungen, die das Wesen der kabbalistischen und Spinozistischen Gottheitslehre beschreiben. Dieser Definition zufolge kategorisiert Hegel in der </w:t>
      </w:r>
      <w:r w:rsidRPr="00921BB8">
        <w:rPr>
          <w:rFonts w:ascii="Times New Roman" w:hAnsi="Times New Roman" w:cs="Times New Roman"/>
          <w:i/>
          <w:lang w:val="de-DE"/>
        </w:rPr>
        <w:t>Enzyklopädie der philosophischen Wissenschaften</w:t>
      </w:r>
      <w:r w:rsidRPr="00921BB8">
        <w:rPr>
          <w:rFonts w:ascii="Times New Roman" w:hAnsi="Times New Roman" w:cs="Times New Roman"/>
          <w:lang w:val="de-DE"/>
        </w:rPr>
        <w:t xml:space="preserve"> (1827/30) die Spinozistische Ontologie als logische Voraussetzung des reinen Denkens: einerseits hebt sie den Gegensatz zwischen Subjekt und Objekt auf und gelangt zum</w:t>
      </w:r>
      <w:r w:rsidRPr="00921BB8">
        <w:rPr>
          <w:rFonts w:ascii="Times New Roman" w:hAnsi="Times New Roman" w:cs="Times New Roman"/>
          <w:i/>
          <w:lang w:val="de-DE"/>
        </w:rPr>
        <w:t xml:space="preserve"> reinen Sein</w:t>
      </w:r>
      <w:r w:rsidRPr="00921BB8">
        <w:rPr>
          <w:rFonts w:ascii="Times New Roman" w:hAnsi="Times New Roman" w:cs="Times New Roman"/>
          <w:lang w:val="de-DE"/>
        </w:rPr>
        <w:t xml:space="preserve">; andererseits gründet das reine Sein (die </w:t>
      </w:r>
      <w:r w:rsidRPr="00921BB8">
        <w:rPr>
          <w:rFonts w:ascii="Times New Roman" w:hAnsi="Times New Roman" w:cs="Times New Roman"/>
          <w:i/>
          <w:lang w:val="de-DE"/>
        </w:rPr>
        <w:t>abstrakte</w:t>
      </w:r>
      <w:r w:rsidRPr="00921BB8">
        <w:rPr>
          <w:rFonts w:ascii="Times New Roman" w:hAnsi="Times New Roman" w:cs="Times New Roman"/>
          <w:lang w:val="de-DE"/>
        </w:rPr>
        <w:t xml:space="preserve"> und </w:t>
      </w:r>
      <w:r w:rsidRPr="00921BB8">
        <w:rPr>
          <w:rFonts w:ascii="Times New Roman" w:hAnsi="Times New Roman" w:cs="Times New Roman"/>
          <w:i/>
          <w:lang w:val="de-DE"/>
        </w:rPr>
        <w:t>lebenslose</w:t>
      </w:r>
      <w:r w:rsidRPr="00921BB8">
        <w:rPr>
          <w:rFonts w:ascii="Times New Roman" w:hAnsi="Times New Roman" w:cs="Times New Roman"/>
          <w:lang w:val="de-DE"/>
        </w:rPr>
        <w:t xml:space="preserve"> Substanz) die aufgehobenen Termini nicht von neuem. Aus historisch-philosophischer Sicht bedeutet die Hegelsche Verbindung der Reinheit und der Unbestimmtheit der Spinozistischen Substanz mit dem Begriff des Akosmismus, dass die </w:t>
      </w:r>
      <w:r w:rsidRPr="00921BB8">
        <w:rPr>
          <w:rFonts w:ascii="Times New Roman" w:hAnsi="Times New Roman" w:cs="Times New Roman"/>
          <w:i/>
          <w:lang w:val="de-DE"/>
        </w:rPr>
        <w:t>Abstraktion</w:t>
      </w:r>
      <w:r w:rsidRPr="00921BB8">
        <w:rPr>
          <w:rFonts w:ascii="Times New Roman" w:hAnsi="Times New Roman" w:cs="Times New Roman"/>
          <w:lang w:val="de-DE"/>
        </w:rPr>
        <w:t xml:space="preserve"> (vom Negativen) nicht nur als Merkmal des Spinozismus, sondern auch des jüdischen mystisch-religiösen Kontextes, aus dem die Philosophie Spinozas hervorgegangen ist, angesehen werden muss. </w:t>
      </w:r>
    </w:p>
    <w:p w14:paraId="57A0D7A1" w14:textId="77777777" w:rsidR="00A46823" w:rsidRDefault="00A46823" w:rsidP="00A46823">
      <w:pPr>
        <w:spacing w:line="360" w:lineRule="auto"/>
        <w:jc w:val="both"/>
        <w:rPr>
          <w:rFonts w:ascii="Times New Roman" w:hAnsi="Times New Roman" w:cs="Times New Roman"/>
          <w:lang w:val="de-DE"/>
        </w:rPr>
        <w:sectPr w:rsidR="00A46823" w:rsidSect="003B4794">
          <w:footnotePr>
            <w:numRestart w:val="eachSect"/>
          </w:footnotePr>
          <w:pgSz w:w="11900" w:h="16840"/>
          <w:pgMar w:top="1418" w:right="1418" w:bottom="1418" w:left="1985" w:header="708" w:footer="708" w:gutter="0"/>
          <w:cols w:space="708"/>
          <w:docGrid w:linePitch="360"/>
        </w:sectPr>
      </w:pPr>
    </w:p>
    <w:p w14:paraId="4FB64BB0" w14:textId="77777777" w:rsidR="001B6629" w:rsidRPr="00921BB8" w:rsidRDefault="001B6629" w:rsidP="006B16F8">
      <w:pPr>
        <w:spacing w:line="360" w:lineRule="auto"/>
        <w:jc w:val="both"/>
        <w:rPr>
          <w:rFonts w:ascii="Times New Roman" w:hAnsi="Times New Roman" w:cs="Times New Roman"/>
          <w:b/>
          <w:sz w:val="28"/>
          <w:szCs w:val="28"/>
        </w:rPr>
      </w:pPr>
    </w:p>
    <w:p w14:paraId="53AB9724" w14:textId="50A4A56B" w:rsidR="0040352C" w:rsidRPr="00921BB8" w:rsidRDefault="0040352C" w:rsidP="001C3D81">
      <w:pPr>
        <w:spacing w:line="360" w:lineRule="auto"/>
        <w:jc w:val="both"/>
        <w:rPr>
          <w:rFonts w:ascii="Times New Roman" w:hAnsi="Times New Roman" w:cs="Times New Roman"/>
          <w:b/>
          <w:sz w:val="28"/>
          <w:szCs w:val="28"/>
          <w:lang w:val="de-DE"/>
        </w:rPr>
      </w:pPr>
      <w:r w:rsidRPr="00921BB8">
        <w:rPr>
          <w:rFonts w:ascii="Times New Roman" w:hAnsi="Times New Roman" w:cs="Times New Roman"/>
          <w:b/>
          <w:sz w:val="28"/>
          <w:szCs w:val="28"/>
          <w:lang w:val="de-DE"/>
        </w:rPr>
        <w:t>Erstes Kapitel</w:t>
      </w:r>
      <w:r w:rsidR="001C3D81" w:rsidRPr="00921BB8">
        <w:rPr>
          <w:rFonts w:ascii="Times New Roman" w:hAnsi="Times New Roman" w:cs="Times New Roman"/>
          <w:b/>
          <w:sz w:val="28"/>
          <w:szCs w:val="28"/>
          <w:lang w:val="de-DE"/>
        </w:rPr>
        <w:t xml:space="preserve"> </w:t>
      </w:r>
    </w:p>
    <w:p w14:paraId="311368B5" w14:textId="77777777" w:rsidR="0040352C" w:rsidRPr="00921BB8" w:rsidRDefault="0040352C" w:rsidP="001C3D81">
      <w:pPr>
        <w:spacing w:line="360" w:lineRule="auto"/>
        <w:jc w:val="both"/>
        <w:rPr>
          <w:rFonts w:ascii="Times New Roman" w:hAnsi="Times New Roman" w:cs="Times New Roman"/>
          <w:b/>
          <w:lang w:val="de-DE"/>
        </w:rPr>
      </w:pPr>
    </w:p>
    <w:p w14:paraId="5C5D070A" w14:textId="78D22647" w:rsidR="001C3D81" w:rsidRPr="00921BB8" w:rsidRDefault="001C3D81" w:rsidP="001C3D81">
      <w:pPr>
        <w:spacing w:line="360" w:lineRule="auto"/>
        <w:jc w:val="both"/>
        <w:rPr>
          <w:rFonts w:ascii="Times New Roman" w:hAnsi="Times New Roman"/>
          <w:b/>
          <w:lang w:val="de-DE"/>
        </w:rPr>
      </w:pPr>
      <w:r w:rsidRPr="00921BB8">
        <w:rPr>
          <w:rFonts w:ascii="Times New Roman" w:hAnsi="Times New Roman" w:cs="Times New Roman"/>
          <w:b/>
          <w:lang w:val="de-DE"/>
        </w:rPr>
        <w:t xml:space="preserve">Vom Abstrakten zum Konkreten: die Jenaer Jahre und die Herausbildung der Theorie der absoluten Negativität </w:t>
      </w:r>
    </w:p>
    <w:p w14:paraId="77E3E345" w14:textId="77777777" w:rsidR="001C3D81" w:rsidRPr="00921BB8" w:rsidRDefault="001C3D81" w:rsidP="001C3D81">
      <w:pPr>
        <w:spacing w:line="360" w:lineRule="auto"/>
        <w:jc w:val="both"/>
        <w:rPr>
          <w:rFonts w:ascii="Times New Roman" w:hAnsi="Times New Roman"/>
          <w:i/>
          <w:lang w:val="de-DE"/>
        </w:rPr>
      </w:pPr>
    </w:p>
    <w:p w14:paraId="7C92C9B2" w14:textId="77777777" w:rsidR="001C3D81" w:rsidRPr="00921BB8" w:rsidRDefault="001C3D81" w:rsidP="001C3D81">
      <w:pPr>
        <w:spacing w:line="360" w:lineRule="auto"/>
        <w:ind w:firstLine="567"/>
        <w:jc w:val="both"/>
        <w:rPr>
          <w:rFonts w:ascii="Times New Roman" w:eastAsia="Times New Roman" w:hAnsi="Times New Roman" w:cs="Times New Roman"/>
          <w:color w:val="000000"/>
          <w:lang w:val="de-DE"/>
        </w:rPr>
      </w:pPr>
      <w:r w:rsidRPr="00921BB8">
        <w:rPr>
          <w:rFonts w:ascii="Times New Roman" w:hAnsi="Times New Roman"/>
          <w:lang w:val="de-DE"/>
        </w:rPr>
        <w:t xml:space="preserve">In </w:t>
      </w:r>
      <w:r w:rsidRPr="00921BB8">
        <w:rPr>
          <w:rFonts w:ascii="Times New Roman" w:hAnsi="Times New Roman"/>
          <w:i/>
          <w:lang w:val="de-DE"/>
        </w:rPr>
        <w:t xml:space="preserve">Hegel à Ièna </w:t>
      </w:r>
      <w:r w:rsidRPr="00921BB8">
        <w:rPr>
          <w:rFonts w:ascii="Times New Roman" w:hAnsi="Times New Roman"/>
          <w:lang w:val="de-DE"/>
        </w:rPr>
        <w:t>(1934)</w:t>
      </w:r>
      <w:r w:rsidRPr="00921BB8">
        <w:rPr>
          <w:rStyle w:val="Rimandonotaapidipagina"/>
          <w:rFonts w:ascii="Times New Roman" w:hAnsi="Times New Roman"/>
          <w:lang w:val="de-DE"/>
        </w:rPr>
        <w:footnoteReference w:id="818"/>
      </w:r>
      <w:r w:rsidRPr="00921BB8">
        <w:rPr>
          <w:rFonts w:ascii="Times New Roman" w:hAnsi="Times New Roman"/>
          <w:i/>
          <w:lang w:val="de-DE"/>
        </w:rPr>
        <w:t xml:space="preserve"> </w:t>
      </w:r>
      <w:r w:rsidRPr="00921BB8">
        <w:rPr>
          <w:rFonts w:ascii="Times New Roman" w:eastAsia="Times New Roman" w:hAnsi="Times New Roman" w:cs="Times New Roman"/>
          <w:color w:val="000000"/>
          <w:lang w:val="de-DE"/>
        </w:rPr>
        <w:t xml:space="preserve">behauptet </w:t>
      </w:r>
      <w:r w:rsidRPr="00921BB8">
        <w:rPr>
          <w:rFonts w:ascii="Times New Roman" w:hAnsi="Times New Roman"/>
          <w:lang w:val="de-DE"/>
        </w:rPr>
        <w:t>Alexander Koyré</w:t>
      </w:r>
      <w:r w:rsidRPr="00921BB8">
        <w:rPr>
          <w:rFonts w:ascii="Times New Roman" w:eastAsia="Times New Roman" w:hAnsi="Times New Roman" w:cs="Times New Roman"/>
          <w:color w:val="000000"/>
          <w:lang w:val="de-DE"/>
        </w:rPr>
        <w:t>, dass die Konzeption der Negativität als</w:t>
      </w:r>
      <w:r w:rsidRPr="00921BB8">
        <w:rPr>
          <w:rFonts w:ascii="Times New Roman" w:eastAsia="Times New Roman" w:hAnsi="Times New Roman" w:cs="Times New Roman"/>
          <w:i/>
          <w:color w:val="000000"/>
          <w:lang w:val="de-DE"/>
        </w:rPr>
        <w:t xml:space="preserve"> inquiétude, </w:t>
      </w:r>
      <w:r w:rsidRPr="00921BB8">
        <w:rPr>
          <w:rFonts w:ascii="Times New Roman" w:eastAsia="Times New Roman" w:hAnsi="Times New Roman" w:cs="Times New Roman"/>
          <w:color w:val="000000"/>
          <w:lang w:val="de-DE"/>
        </w:rPr>
        <w:t xml:space="preserve">als </w:t>
      </w:r>
      <w:r w:rsidRPr="00921BB8">
        <w:rPr>
          <w:rFonts w:ascii="Times New Roman" w:eastAsia="Times New Roman" w:hAnsi="Times New Roman" w:cs="Times New Roman"/>
          <w:i/>
          <w:color w:val="000000"/>
          <w:lang w:val="de-DE"/>
        </w:rPr>
        <w:t xml:space="preserve">Unruhe, </w:t>
      </w:r>
      <w:r w:rsidRPr="00921BB8">
        <w:rPr>
          <w:rFonts w:ascii="Times New Roman" w:eastAsia="Times New Roman" w:hAnsi="Times New Roman" w:cs="Times New Roman"/>
          <w:color w:val="000000"/>
          <w:lang w:val="de-DE"/>
        </w:rPr>
        <w:t>es Hegel ermöglicht hat, Fichtes und Schellings Modelle des Absoluten zu überwinden, welche unfähig waren, „la valeur positiv du negatif, le rôle de la négation</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819"/>
      </w:r>
      <w:r w:rsidRPr="00921BB8">
        <w:rPr>
          <w:rFonts w:ascii="Times New Roman" w:eastAsia="Times New Roman" w:hAnsi="Times New Roman" w:cs="Times New Roman"/>
          <w:color w:val="000000"/>
        </w:rPr>
        <w:t xml:space="preserve"> </w:t>
      </w:r>
      <w:r w:rsidRPr="00921BB8">
        <w:rPr>
          <w:rFonts w:ascii="Times New Roman" w:eastAsia="Times New Roman" w:hAnsi="Times New Roman" w:cs="Times New Roman"/>
          <w:color w:val="000000"/>
          <w:lang w:val="de-DE"/>
        </w:rPr>
        <w:t xml:space="preserve">zu erfassen. Die Verbindung zwischen Negativität und Unruhe, die willkürlich erscheinen kann, erlaubte Koyré, zwei mögliche Quellen des Hegelschen Begriffs der </w:t>
      </w:r>
      <w:r w:rsidRPr="00921BB8">
        <w:rPr>
          <w:rFonts w:ascii="Times New Roman" w:eastAsia="Times New Roman" w:hAnsi="Times New Roman" w:cs="Times New Roman"/>
          <w:i/>
          <w:color w:val="000000"/>
          <w:lang w:val="de-DE"/>
        </w:rPr>
        <w:t>Negativität</w:t>
      </w:r>
      <w:r w:rsidRPr="00921BB8">
        <w:rPr>
          <w:rFonts w:ascii="Times New Roman" w:eastAsia="Times New Roman" w:hAnsi="Times New Roman" w:cs="Times New Roman"/>
          <w:color w:val="000000"/>
          <w:lang w:val="de-DE"/>
        </w:rPr>
        <w:t xml:space="preserve"> aufzuzeigen: Elemente aus den Werken von Paracelsus und Böhme haben in der Herausbildung der Hegelschen Theorie der Negativität eine entscheidende Rolle gespielt</w:t>
      </w:r>
      <w:r w:rsidRPr="00921BB8">
        <w:rPr>
          <w:rStyle w:val="Rimandonotaapidipagina"/>
          <w:rFonts w:ascii="Times New Roman" w:eastAsia="Times New Roman" w:hAnsi="Times New Roman" w:cs="Times New Roman"/>
          <w:color w:val="000000"/>
          <w:lang w:val="de-DE"/>
        </w:rPr>
        <w:t xml:space="preserve"> </w:t>
      </w:r>
      <w:r w:rsidRPr="00921BB8">
        <w:rPr>
          <w:rStyle w:val="Rimandonotaapidipagina"/>
          <w:rFonts w:ascii="Times New Roman" w:eastAsia="Times New Roman" w:hAnsi="Times New Roman" w:cs="Times New Roman"/>
          <w:color w:val="000000"/>
          <w:lang w:val="de-DE"/>
        </w:rPr>
        <w:footnoteReference w:id="820"/>
      </w:r>
      <w:r w:rsidRPr="00921BB8">
        <w:rPr>
          <w:rFonts w:ascii="Times New Roman" w:eastAsia="Times New Roman" w:hAnsi="Times New Roman" w:cs="Times New Roman"/>
          <w:color w:val="000000"/>
          <w:lang w:val="de-DE"/>
        </w:rPr>
        <w:t xml:space="preserve">. Diese Interpretationsperspektive, die in Koyrés Beitrag keine eigene Entwicklung findet, wurde in einer Reihe von Werken aufgegriffen, die seit der zweiten Hälfte des 20. Jahrhunderts erschienen sind und bis heute andauern. </w:t>
      </w:r>
    </w:p>
    <w:p w14:paraId="2650A6C7" w14:textId="249B6045" w:rsidR="001C3D81" w:rsidRPr="00921BB8" w:rsidRDefault="001C3D81" w:rsidP="001C3D81">
      <w:pPr>
        <w:spacing w:line="360" w:lineRule="auto"/>
        <w:ind w:firstLine="567"/>
        <w:jc w:val="both"/>
        <w:rPr>
          <w:rFonts w:ascii="Times New Roman" w:hAnsi="Times New Roman" w:cs="Times New Roman"/>
          <w:lang w:val="de-DE"/>
        </w:rPr>
      </w:pPr>
      <w:r w:rsidRPr="00921BB8">
        <w:rPr>
          <w:rFonts w:ascii="Times New Roman" w:eastAsia="Times New Roman" w:hAnsi="Times New Roman" w:cs="Times New Roman"/>
          <w:color w:val="000000"/>
          <w:lang w:val="de-DE"/>
        </w:rPr>
        <w:t xml:space="preserve">Wolfgang Bonsiepens Monographie über die Hegelsche Konzeption der Negativität in Jena ist aufgrund ihrer Fähigkeit, die Entwicklungsstufe dieser Theorie in den </w:t>
      </w:r>
      <w:r w:rsidRPr="00921BB8">
        <w:rPr>
          <w:rFonts w:ascii="Times New Roman" w:eastAsia="Times New Roman" w:hAnsi="Times New Roman" w:cs="Times New Roman"/>
          <w:i/>
          <w:color w:val="000000"/>
          <w:lang w:val="de-DE"/>
        </w:rPr>
        <w:t>Jenaer Schriften</w:t>
      </w:r>
      <w:r w:rsidRPr="00921BB8">
        <w:rPr>
          <w:rFonts w:ascii="Times New Roman" w:eastAsia="Times New Roman" w:hAnsi="Times New Roman" w:cs="Times New Roman"/>
          <w:color w:val="000000"/>
          <w:lang w:val="de-DE"/>
        </w:rPr>
        <w:t xml:space="preserve"> darzustellen, von grundlegender Bedeutung. Sie hat das Verdienst, ein genaues – wenn auch hier und da unvollständiges – Bild eines zentralen Themas der Hegelschen Architektonik zu zeigen</w:t>
      </w:r>
      <w:r w:rsidRPr="00921BB8">
        <w:rPr>
          <w:rStyle w:val="Rimandonotaapidipagina"/>
          <w:rFonts w:ascii="Times New Roman" w:eastAsia="Times New Roman" w:hAnsi="Times New Roman" w:cs="Times New Roman"/>
          <w:color w:val="000000"/>
          <w:lang w:val="de-DE"/>
        </w:rPr>
        <w:t xml:space="preserve"> </w:t>
      </w:r>
      <w:r w:rsidRPr="00921BB8">
        <w:rPr>
          <w:rStyle w:val="Rimandonotaapidipagina"/>
          <w:rFonts w:ascii="Times New Roman" w:eastAsia="Times New Roman" w:hAnsi="Times New Roman" w:cs="Times New Roman"/>
          <w:color w:val="000000"/>
          <w:lang w:val="de-DE"/>
        </w:rPr>
        <w:footnoteReference w:id="821"/>
      </w:r>
      <w:r w:rsidRPr="00921BB8">
        <w:rPr>
          <w:rFonts w:ascii="Times New Roman" w:eastAsia="Times New Roman" w:hAnsi="Times New Roman" w:cs="Times New Roman"/>
          <w:color w:val="000000"/>
          <w:lang w:val="de-DE"/>
        </w:rPr>
        <w:t>. In Bezug auf diesen Beitrag findet sich Piero Codas Werk</w:t>
      </w:r>
      <w:r w:rsidRPr="00921BB8">
        <w:rPr>
          <w:rFonts w:ascii="Times New Roman" w:eastAsia="Times New Roman" w:hAnsi="Times New Roman" w:cs="Times New Roman"/>
          <w:i/>
          <w:color w:val="000000"/>
          <w:lang w:val="de-DE"/>
        </w:rPr>
        <w:t xml:space="preserve"> Il negativo e la trinità</w:t>
      </w:r>
      <w:r w:rsidRPr="00921BB8">
        <w:rPr>
          <w:rFonts w:ascii="Times New Roman" w:eastAsia="Times New Roman" w:hAnsi="Times New Roman" w:cs="Times New Roman"/>
          <w:color w:val="000000"/>
          <w:lang w:val="de-DE"/>
        </w:rPr>
        <w:t>, das die Negativitätstheorie Hegels mit der Jenaer Rezeption Jakob Böhmes verbunden hat</w:t>
      </w:r>
      <w:r w:rsidRPr="00921BB8">
        <w:rPr>
          <w:rStyle w:val="Rimandonotaapidipagina"/>
          <w:rFonts w:ascii="Times New Roman" w:eastAsia="Times New Roman" w:hAnsi="Times New Roman" w:cs="Times New Roman"/>
          <w:color w:val="000000"/>
          <w:lang w:val="de-DE"/>
        </w:rPr>
        <w:t xml:space="preserve"> </w:t>
      </w:r>
      <w:r w:rsidRPr="00921BB8">
        <w:rPr>
          <w:rStyle w:val="Rimandonotaapidipagina"/>
          <w:rFonts w:ascii="Times New Roman" w:eastAsia="Times New Roman" w:hAnsi="Times New Roman" w:cs="Times New Roman"/>
          <w:color w:val="000000"/>
          <w:lang w:val="de-DE"/>
        </w:rPr>
        <w:footnoteReference w:id="822"/>
      </w:r>
      <w:r w:rsidRPr="00921BB8">
        <w:rPr>
          <w:rFonts w:ascii="Times New Roman" w:eastAsia="Times New Roman" w:hAnsi="Times New Roman" w:cs="Times New Roman"/>
          <w:color w:val="000000"/>
          <w:lang w:val="de-DE"/>
        </w:rPr>
        <w:t>. Trotz der unbestrittenen Vorzüge dieser Analyse gibt es in Codas Monographie einen kritischen Punkt</w:t>
      </w:r>
      <w:r w:rsidRPr="00921BB8">
        <w:rPr>
          <w:rFonts w:ascii="Times New Roman" w:hAnsi="Times New Roman" w:cs="Times New Roman"/>
          <w:lang w:val="de-DE"/>
        </w:rPr>
        <w:t xml:space="preserve">: da, wo man eine Diskussion des Einflusses </w:t>
      </w:r>
      <w:r w:rsidRPr="00921BB8">
        <w:rPr>
          <w:rFonts w:ascii="Times New Roman" w:eastAsia="Times New Roman" w:hAnsi="Times New Roman" w:cs="Times New Roman"/>
          <w:color w:val="000000"/>
          <w:lang w:val="de-DE"/>
        </w:rPr>
        <w:t>Böhmes</w:t>
      </w:r>
      <w:r w:rsidRPr="00921BB8">
        <w:rPr>
          <w:rFonts w:ascii="Times New Roman" w:hAnsi="Times New Roman" w:cs="Times New Roman"/>
          <w:lang w:val="de-DE"/>
        </w:rPr>
        <w:t xml:space="preserve"> auf die Hegelsche Negativitätstheorie</w:t>
      </w:r>
      <w:r w:rsidRPr="00921BB8">
        <w:rPr>
          <w:rFonts w:ascii="Times New Roman" w:hAnsi="Times New Roman" w:cs="Times New Roman"/>
          <w:i/>
          <w:lang w:val="de-DE"/>
        </w:rPr>
        <w:t xml:space="preserve"> </w:t>
      </w:r>
      <w:r w:rsidRPr="00921BB8">
        <w:rPr>
          <w:rFonts w:ascii="Times New Roman" w:hAnsi="Times New Roman" w:cs="Times New Roman"/>
          <w:lang w:val="de-DE"/>
        </w:rPr>
        <w:t xml:space="preserve">erwarten würde (d.h. in der </w:t>
      </w:r>
      <w:r w:rsidRPr="00921BB8">
        <w:rPr>
          <w:rFonts w:ascii="Times New Roman" w:hAnsi="Times New Roman" w:cs="Times New Roman"/>
          <w:i/>
          <w:lang w:val="de-DE"/>
        </w:rPr>
        <w:t xml:space="preserve">Jenaer Logik und Metaphysik </w:t>
      </w:r>
      <w:r w:rsidRPr="00921BB8">
        <w:rPr>
          <w:rFonts w:ascii="Times New Roman" w:hAnsi="Times New Roman" w:cs="Times New Roman"/>
          <w:lang w:val="de-DE"/>
        </w:rPr>
        <w:t xml:space="preserve">und in der </w:t>
      </w:r>
      <w:r w:rsidRPr="00921BB8">
        <w:rPr>
          <w:rFonts w:ascii="Times New Roman" w:hAnsi="Times New Roman" w:cs="Times New Roman"/>
          <w:i/>
          <w:lang w:val="de-DE"/>
        </w:rPr>
        <w:t>Phänomenologie des Geistes</w:t>
      </w:r>
      <w:r w:rsidRPr="00921BB8">
        <w:rPr>
          <w:rFonts w:ascii="Times New Roman" w:hAnsi="Times New Roman" w:cs="Times New Roman"/>
          <w:lang w:val="de-DE"/>
        </w:rPr>
        <w:t xml:space="preserve">), sieht </w:t>
      </w:r>
      <w:r w:rsidRPr="00921BB8">
        <w:rPr>
          <w:rFonts w:ascii="Times New Roman" w:eastAsia="Times New Roman" w:hAnsi="Times New Roman" w:cs="Times New Roman"/>
          <w:i/>
          <w:color w:val="000000"/>
          <w:lang w:val="de-DE"/>
        </w:rPr>
        <w:t>Il negativo e la trinità</w:t>
      </w:r>
      <w:r w:rsidRPr="00921BB8">
        <w:rPr>
          <w:rFonts w:ascii="Times New Roman" w:hAnsi="Times New Roman" w:cs="Times New Roman"/>
          <w:lang w:val="de-DE"/>
        </w:rPr>
        <w:t xml:space="preserve"> einfach darüber hinweg. In Übereinstimmung mit dem Werk Codas verweise ich auf die Beiträge von Glenn Alexander Magee und Cecilia Muratori, die die Böhme-Rezeption</w:t>
      </w:r>
      <w:r w:rsidRPr="00921BB8">
        <w:rPr>
          <w:rFonts w:ascii="Times New Roman" w:hAnsi="Times New Roman" w:cs="Times New Roman"/>
          <w:i/>
          <w:lang w:val="de-DE"/>
        </w:rPr>
        <w:t xml:space="preserve"> </w:t>
      </w:r>
      <w:r w:rsidRPr="00921BB8">
        <w:rPr>
          <w:rFonts w:ascii="Times New Roman" w:hAnsi="Times New Roman" w:cs="Times New Roman"/>
          <w:lang w:val="de-DE"/>
        </w:rPr>
        <w:t xml:space="preserve">nicht nur in den </w:t>
      </w:r>
      <w:r w:rsidRPr="00921BB8">
        <w:rPr>
          <w:rFonts w:ascii="Times New Roman" w:hAnsi="Times New Roman" w:cs="Times New Roman"/>
          <w:i/>
          <w:lang w:val="de-DE"/>
        </w:rPr>
        <w:t>Jenaer Schriften</w:t>
      </w:r>
      <w:r w:rsidRPr="00921BB8">
        <w:rPr>
          <w:rFonts w:ascii="Times New Roman" w:hAnsi="Times New Roman" w:cs="Times New Roman"/>
          <w:lang w:val="de-DE"/>
        </w:rPr>
        <w:t>, sondern auch</w:t>
      </w:r>
      <w:r w:rsidRPr="00921BB8">
        <w:rPr>
          <w:rFonts w:ascii="Times New Roman" w:eastAsia="Times New Roman" w:hAnsi="Times New Roman" w:cs="Times New Roman"/>
          <w:color w:val="000000"/>
          <w:lang w:val="de-DE"/>
        </w:rPr>
        <w:t xml:space="preserve"> </w:t>
      </w:r>
      <w:r w:rsidRPr="00921BB8">
        <w:rPr>
          <w:rFonts w:ascii="Times New Roman" w:hAnsi="Times New Roman" w:cs="Times New Roman"/>
          <w:lang w:val="de-DE"/>
        </w:rPr>
        <w:t>in den systematischen Werken Hegels hervorgehoben haben</w:t>
      </w:r>
      <w:r w:rsidRPr="00921BB8">
        <w:rPr>
          <w:rStyle w:val="Rimandonotaapidipagina"/>
          <w:rFonts w:ascii="Times New Roman" w:hAnsi="Times New Roman" w:cs="Times New Roman"/>
          <w:lang w:val="de-DE"/>
        </w:rPr>
        <w:t xml:space="preserve"> </w:t>
      </w:r>
      <w:r w:rsidRPr="00921BB8">
        <w:rPr>
          <w:rStyle w:val="Rimandonotaapidipagina"/>
          <w:rFonts w:ascii="Times New Roman" w:hAnsi="Times New Roman" w:cs="Times New Roman"/>
          <w:lang w:val="de-DE"/>
        </w:rPr>
        <w:footnoteReference w:id="823"/>
      </w:r>
      <w:r w:rsidRPr="00921BB8">
        <w:rPr>
          <w:rFonts w:ascii="Times New Roman" w:hAnsi="Times New Roman" w:cs="Times New Roman"/>
          <w:lang w:val="de-DE"/>
        </w:rPr>
        <w:t xml:space="preserve">. Auch in diesen Fällen werden weder die </w:t>
      </w:r>
      <w:r w:rsidRPr="00921BB8">
        <w:rPr>
          <w:rFonts w:ascii="Times New Roman" w:hAnsi="Times New Roman" w:cs="Times New Roman"/>
          <w:i/>
          <w:lang w:val="de-DE"/>
        </w:rPr>
        <w:t>Jenaer Logik und Metaphysik</w:t>
      </w:r>
      <w:r w:rsidRPr="00921BB8">
        <w:rPr>
          <w:rFonts w:ascii="Times New Roman" w:hAnsi="Times New Roman" w:cs="Times New Roman"/>
          <w:lang w:val="de-DE"/>
        </w:rPr>
        <w:t xml:space="preserve"> noch die </w:t>
      </w:r>
      <w:r w:rsidRPr="00921BB8">
        <w:rPr>
          <w:rFonts w:ascii="Times New Roman" w:hAnsi="Times New Roman" w:cs="Times New Roman"/>
          <w:i/>
          <w:lang w:val="de-DE"/>
        </w:rPr>
        <w:t>Phänomenologie des Geistes</w:t>
      </w:r>
      <w:r w:rsidRPr="00921BB8">
        <w:rPr>
          <w:rFonts w:ascii="Times New Roman" w:hAnsi="Times New Roman" w:cs="Times New Roman"/>
          <w:lang w:val="de-DE"/>
        </w:rPr>
        <w:t xml:space="preserve"> von den </w:t>
      </w:r>
      <w:r w:rsidR="00021560">
        <w:rPr>
          <w:rFonts w:ascii="Times New Roman" w:hAnsi="Times New Roman" w:cs="Times New Roman"/>
          <w:lang w:val="de-DE"/>
        </w:rPr>
        <w:t>Autore</w:t>
      </w:r>
      <w:r w:rsidRPr="00921BB8">
        <w:rPr>
          <w:rFonts w:ascii="Times New Roman" w:hAnsi="Times New Roman" w:cs="Times New Roman"/>
          <w:lang w:val="de-DE"/>
        </w:rPr>
        <w:t xml:space="preserve">n zufriedenstellend untersucht. Diese Auslassung verhindert die Verwirklichung jenes Forschungsgebietes, das Koyré in seinem Aufsatz von 1934 skizziert hatte. </w:t>
      </w:r>
    </w:p>
    <w:p w14:paraId="7F1AF688" w14:textId="77777777" w:rsidR="001C3D81" w:rsidRPr="00921BB8" w:rsidRDefault="001C3D81" w:rsidP="001C3D81">
      <w:pPr>
        <w:spacing w:line="360" w:lineRule="auto"/>
        <w:ind w:firstLine="567"/>
        <w:jc w:val="both"/>
        <w:rPr>
          <w:rFonts w:ascii="Times New Roman" w:hAnsi="Times New Roman" w:cs="Times New Roman"/>
          <w:lang w:val="de-DE"/>
        </w:rPr>
      </w:pPr>
      <w:r w:rsidRPr="00921BB8">
        <w:rPr>
          <w:rFonts w:ascii="Times New Roman" w:hAnsi="Times New Roman" w:cs="Times New Roman"/>
          <w:lang w:val="de-DE"/>
        </w:rPr>
        <w:t xml:space="preserve">Dank der Diskussion der Sekundärliteratur kann man sagen, dass Hegels Theorie der </w:t>
      </w:r>
      <w:r w:rsidRPr="00921BB8">
        <w:rPr>
          <w:rFonts w:ascii="Times New Roman" w:hAnsi="Times New Roman" w:cs="Times New Roman"/>
          <w:i/>
          <w:lang w:val="de-DE"/>
        </w:rPr>
        <w:t xml:space="preserve">Negativität </w:t>
      </w:r>
      <w:r w:rsidRPr="00921BB8">
        <w:rPr>
          <w:rFonts w:ascii="Times New Roman" w:hAnsi="Times New Roman" w:cs="Times New Roman"/>
          <w:lang w:val="de-DE"/>
        </w:rPr>
        <w:t>und ihre Verbindung mit der Böhmeschen Reflexion einen Bereich der Hegel-Forschung darstellt, der</w:t>
      </w:r>
      <w:r w:rsidRPr="00921BB8">
        <w:rPr>
          <w:rFonts w:ascii="Times New Roman" w:hAnsi="Times New Roman" w:cs="Times New Roman"/>
          <w:i/>
          <w:lang w:val="de-DE"/>
        </w:rPr>
        <w:t xml:space="preserve"> </w:t>
      </w:r>
      <w:r w:rsidRPr="00921BB8">
        <w:rPr>
          <w:rFonts w:ascii="Times New Roman" w:hAnsi="Times New Roman" w:cs="Times New Roman"/>
          <w:lang w:val="de-DE"/>
        </w:rPr>
        <w:t xml:space="preserve">einer entscheidenden Neuausrichtung bedarf. Der Beweis eines nicht marginalen Einflusses der mystischen Tradition, insbesondere des Gedankens Jakob Böhmes, auf die Hegelsche Theorie der </w:t>
      </w:r>
      <w:r w:rsidRPr="00921BB8">
        <w:rPr>
          <w:rFonts w:ascii="Times New Roman" w:hAnsi="Times New Roman" w:cs="Times New Roman"/>
          <w:i/>
          <w:lang w:val="de-DE"/>
        </w:rPr>
        <w:t>absoluten Negativität</w:t>
      </w:r>
      <w:r w:rsidRPr="00921BB8">
        <w:rPr>
          <w:rStyle w:val="Rimandonotaapidipagina"/>
          <w:rFonts w:ascii="Times New Roman" w:hAnsi="Times New Roman" w:cs="Times New Roman"/>
          <w:i/>
          <w:lang w:val="de-DE"/>
        </w:rPr>
        <w:footnoteReference w:id="824"/>
      </w:r>
      <w:r w:rsidRPr="00921BB8">
        <w:rPr>
          <w:rFonts w:ascii="Times New Roman" w:hAnsi="Times New Roman" w:cs="Times New Roman"/>
          <w:i/>
          <w:lang w:val="de-DE"/>
        </w:rPr>
        <w:t xml:space="preserve"> </w:t>
      </w:r>
      <w:r w:rsidRPr="00921BB8">
        <w:rPr>
          <w:rFonts w:ascii="Times New Roman" w:hAnsi="Times New Roman" w:cs="Times New Roman"/>
          <w:lang w:val="de-DE"/>
        </w:rPr>
        <w:t xml:space="preserve">würde es erlauben, ein neues Licht auf eine entscheidende Periode (1801/06) der intellektuellen Ausbildung des Autors zu werfen. Im Folgenden werde ich mich kurz auf die Themenschwerpunkte der </w:t>
      </w:r>
      <w:r w:rsidRPr="00921BB8">
        <w:rPr>
          <w:rFonts w:ascii="Times New Roman" w:hAnsi="Times New Roman" w:cs="Times New Roman"/>
          <w:i/>
          <w:lang w:val="de-DE"/>
        </w:rPr>
        <w:t xml:space="preserve">Jugendschriften </w:t>
      </w:r>
      <w:r w:rsidRPr="00921BB8">
        <w:rPr>
          <w:rFonts w:ascii="Times New Roman" w:hAnsi="Times New Roman" w:cs="Times New Roman"/>
          <w:lang w:val="de-DE"/>
        </w:rPr>
        <w:t xml:space="preserve">konzentrieren, die zur Einführung in den </w:t>
      </w:r>
      <w:r w:rsidRPr="00921BB8">
        <w:rPr>
          <w:rFonts w:ascii="Times New Roman" w:hAnsi="Times New Roman" w:cs="Times New Roman"/>
          <w:i/>
          <w:lang w:val="de-DE"/>
        </w:rPr>
        <w:t xml:space="preserve">Jenaer Schriften </w:t>
      </w:r>
      <w:r w:rsidRPr="00921BB8">
        <w:rPr>
          <w:rFonts w:ascii="Times New Roman" w:hAnsi="Times New Roman" w:cs="Times New Roman"/>
          <w:lang w:val="de-DE"/>
        </w:rPr>
        <w:t>dienen. Danach werde ich Böhmes Einfluss auf die Erarbeitung einer Theorie des Absoluten zeigen, die sich auf der Produktivität des Negativen begründet.</w:t>
      </w:r>
    </w:p>
    <w:p w14:paraId="4870C23B" w14:textId="77777777" w:rsidR="001C3D81" w:rsidRDefault="001C3D81" w:rsidP="001C3D81">
      <w:pPr>
        <w:spacing w:line="360" w:lineRule="auto"/>
        <w:ind w:firstLine="567"/>
        <w:jc w:val="both"/>
        <w:rPr>
          <w:rFonts w:ascii="Times New Roman" w:hAnsi="Times New Roman" w:cs="Times New Roman"/>
          <w:lang w:val="de-DE"/>
        </w:rPr>
      </w:pPr>
    </w:p>
    <w:p w14:paraId="27979A3A" w14:textId="77777777" w:rsidR="007944E7" w:rsidRPr="00921BB8" w:rsidRDefault="007944E7" w:rsidP="001C3D81">
      <w:pPr>
        <w:spacing w:line="360" w:lineRule="auto"/>
        <w:ind w:firstLine="567"/>
        <w:jc w:val="both"/>
        <w:rPr>
          <w:rFonts w:ascii="Times New Roman" w:hAnsi="Times New Roman" w:cs="Times New Roman"/>
          <w:lang w:val="de-DE"/>
        </w:rPr>
      </w:pPr>
    </w:p>
    <w:p w14:paraId="28D830F8" w14:textId="77777777" w:rsidR="001C3D81" w:rsidRPr="00921BB8" w:rsidRDefault="001C3D81" w:rsidP="001C3D81">
      <w:pPr>
        <w:spacing w:line="360" w:lineRule="auto"/>
        <w:jc w:val="both"/>
        <w:rPr>
          <w:rFonts w:ascii="Times New Roman" w:eastAsia="Times New Roman" w:hAnsi="Times New Roman" w:cs="Times New Roman"/>
          <w:i/>
          <w:color w:val="000000"/>
          <w:lang w:val="de-DE"/>
        </w:rPr>
      </w:pPr>
      <w:r w:rsidRPr="00921BB8">
        <w:rPr>
          <w:rFonts w:ascii="Times New Roman" w:eastAsia="Times New Roman" w:hAnsi="Times New Roman" w:cs="Times New Roman"/>
          <w:i/>
          <w:color w:val="000000"/>
          <w:lang w:val="de-DE"/>
        </w:rPr>
        <w:t>1.1 Historische und philosophische Kritik an dem Fichteschen Idealismus in der Berner Zeit</w:t>
      </w:r>
    </w:p>
    <w:p w14:paraId="08DB6447" w14:textId="77777777" w:rsidR="001C3D81" w:rsidRPr="00921BB8" w:rsidRDefault="001C3D81" w:rsidP="001C3D81">
      <w:pPr>
        <w:spacing w:line="360" w:lineRule="auto"/>
        <w:jc w:val="both"/>
        <w:rPr>
          <w:rFonts w:ascii="Times New Roman" w:hAnsi="Times New Roman" w:cs="Times New Roman"/>
          <w:lang w:val="de-DE"/>
        </w:rPr>
      </w:pPr>
    </w:p>
    <w:p w14:paraId="63A2A486" w14:textId="77777777" w:rsidR="001C3D81" w:rsidRPr="00921BB8" w:rsidRDefault="001C3D81" w:rsidP="001C3D81">
      <w:pPr>
        <w:spacing w:line="360" w:lineRule="auto"/>
        <w:ind w:firstLine="567"/>
        <w:jc w:val="both"/>
        <w:rPr>
          <w:rFonts w:ascii="Times New Roman" w:eastAsia="Times New Roman" w:hAnsi="Times New Roman" w:cs="Times New Roman"/>
          <w:color w:val="000000"/>
          <w:lang w:val="de-DE"/>
        </w:rPr>
      </w:pPr>
      <w:r w:rsidRPr="00921BB8">
        <w:rPr>
          <w:rFonts w:ascii="Times New Roman" w:eastAsia="Times New Roman" w:hAnsi="Times New Roman" w:cs="Times New Roman"/>
          <w:color w:val="000000"/>
          <w:lang w:val="de-DE"/>
        </w:rPr>
        <w:t xml:space="preserve">Zwischen Januar und Februar 1795 erhielt Hegel zwei Briefe – den ersten von Hölderlin, den zweiten von Schelling – die seine jugendlichen </w:t>
      </w:r>
      <w:r w:rsidRPr="00921BB8">
        <w:rPr>
          <w:rFonts w:ascii="Trebuchet MS" w:eastAsia="Times New Roman" w:hAnsi="Trebuchet MS" w:cs="Times New Roman"/>
          <w:color w:val="000000"/>
          <w:lang w:val="de-DE"/>
        </w:rPr>
        <w:t>Ü</w:t>
      </w:r>
      <w:r w:rsidRPr="00921BB8">
        <w:rPr>
          <w:rFonts w:ascii="Times New Roman" w:eastAsia="Times New Roman" w:hAnsi="Times New Roman" w:cs="Times New Roman"/>
          <w:color w:val="000000"/>
          <w:lang w:val="de-DE"/>
        </w:rPr>
        <w:t xml:space="preserve">berlegungen stark beeinflusst haben. Gemeinsames Thema dieser Zeugnisse ist die Fichtesche Theorie des absoluten Ichs, die von Hölderlin und Schelling nach gegensätzlichen theoretischen Gesichtspunkten diskutiert wird: während Hölderlin die Fichtesche Perspektive kritisch betrachtet und ihre innere Zerbrechlichkeit entlarvt, erkennt Schelling in Fichtes Konzeption des Ichs ein theoretisches Modell, das die Verwirklichung des Unbedingten zu definieren ermöglicht. Dass Hegel sich nach Hölderlins Bemerkungen richtete, wird durch das Antwortschreiben an Schelling vom 30. August 1795 bezeugt, in dem die Ablehnung einiger Grundsätze des Schellingschen </w:t>
      </w:r>
      <w:r w:rsidRPr="00921BB8">
        <w:rPr>
          <w:rFonts w:ascii="Times New Roman" w:eastAsia="Times New Roman" w:hAnsi="Times New Roman" w:cs="Times New Roman"/>
          <w:i/>
          <w:color w:val="000000"/>
          <w:lang w:val="de-DE"/>
        </w:rPr>
        <w:t>Vom Ich</w:t>
      </w:r>
      <w:r w:rsidRPr="00921BB8">
        <w:rPr>
          <w:rFonts w:ascii="Times New Roman" w:eastAsia="Times New Roman" w:hAnsi="Times New Roman" w:cs="Times New Roman"/>
          <w:color w:val="000000"/>
          <w:lang w:val="de-DE"/>
        </w:rPr>
        <w:t xml:space="preserve"> theoretisch auf Hölderlins Kritiken an den </w:t>
      </w:r>
      <w:r w:rsidRPr="00921BB8">
        <w:rPr>
          <w:rFonts w:ascii="Times New Roman" w:eastAsia="Times New Roman" w:hAnsi="Times New Roman" w:cs="Times New Roman"/>
          <w:i/>
          <w:color w:val="000000"/>
          <w:lang w:val="de-DE"/>
        </w:rPr>
        <w:t xml:space="preserve">Grundlage der gesamten Wissenschaftslehre </w:t>
      </w:r>
      <w:r w:rsidRPr="00921BB8">
        <w:rPr>
          <w:rFonts w:ascii="Times New Roman" w:eastAsia="Times New Roman" w:hAnsi="Times New Roman" w:cs="Times New Roman"/>
          <w:color w:val="000000"/>
          <w:lang w:val="de-DE"/>
        </w:rPr>
        <w:t>hinweist.</w:t>
      </w:r>
    </w:p>
    <w:p w14:paraId="434F2AE2" w14:textId="77777777" w:rsidR="00156420" w:rsidRDefault="001C3D81" w:rsidP="001C3D81">
      <w:pPr>
        <w:spacing w:line="360" w:lineRule="auto"/>
        <w:ind w:firstLine="567"/>
        <w:jc w:val="both"/>
        <w:rPr>
          <w:rFonts w:ascii="Times New Roman" w:eastAsia="Times New Roman" w:hAnsi="Times New Roman" w:cs="Times New Roman"/>
          <w:color w:val="000000"/>
          <w:lang w:val="de-DE"/>
        </w:rPr>
      </w:pPr>
      <w:r w:rsidRPr="00921BB8">
        <w:rPr>
          <w:rFonts w:ascii="Times New Roman" w:hAnsi="Times New Roman"/>
          <w:lang w:val="de-DE"/>
        </w:rPr>
        <w:t xml:space="preserve">Hölderlins theoretischer Verdienst besteht in der </w:t>
      </w:r>
      <w:r w:rsidRPr="00921BB8">
        <w:rPr>
          <w:rFonts w:ascii="Times New Roman" w:eastAsia="Times New Roman" w:hAnsi="Times New Roman" w:cs="Times New Roman"/>
          <w:color w:val="000000"/>
          <w:lang w:val="de-DE"/>
        </w:rPr>
        <w:t>Widerlegung</w:t>
      </w:r>
      <w:r w:rsidRPr="00921BB8">
        <w:rPr>
          <w:rFonts w:ascii="Times New Roman" w:hAnsi="Times New Roman"/>
          <w:lang w:val="de-DE"/>
        </w:rPr>
        <w:t xml:space="preserve"> des Prinzips der </w:t>
      </w:r>
      <w:r w:rsidRPr="00921BB8">
        <w:rPr>
          <w:rFonts w:ascii="Times New Roman" w:hAnsi="Times New Roman"/>
          <w:i/>
          <w:lang w:val="de-DE"/>
        </w:rPr>
        <w:t>Wissenschaftslsehre</w:t>
      </w:r>
      <w:r w:rsidRPr="00921BB8">
        <w:rPr>
          <w:rFonts w:ascii="Times New Roman" w:hAnsi="Times New Roman"/>
          <w:lang w:val="de-DE"/>
        </w:rPr>
        <w:t>: das absolute Ich bestimmt kein selbständiges Objekt, weil eine setzende und gleichzeitig selbst-beschränkende Tätigkeit den Verlust seiner Absolutheit implizieren würde. Sich selbst zu beschränken und wiederum durch ein Objekt beschränkt zu werden beschreibt zwei verbundene Dynamiken, die das Absolute – die gesamte Realität – rechtfertigen k</w:t>
      </w:r>
      <w:r w:rsidRPr="00921BB8">
        <w:rPr>
          <w:rFonts w:ascii="Times New Roman" w:hAnsi="Times New Roman" w:cs="Times New Roman"/>
          <w:lang w:val="de-DE"/>
        </w:rPr>
        <w:t>ö</w:t>
      </w:r>
      <w:r w:rsidRPr="00921BB8">
        <w:rPr>
          <w:rFonts w:ascii="Times New Roman" w:hAnsi="Times New Roman"/>
          <w:lang w:val="de-DE"/>
        </w:rPr>
        <w:t>nnte, wenn es auf seine Unbedingtheit verzichten w</w:t>
      </w:r>
      <w:r w:rsidRPr="00921BB8">
        <w:rPr>
          <w:rFonts w:ascii="Times New Roman" w:hAnsi="Times New Roman" w:cs="Times New Roman"/>
          <w:lang w:val="de-DE"/>
        </w:rPr>
        <w:t>ü</w:t>
      </w:r>
      <w:r w:rsidRPr="00921BB8">
        <w:rPr>
          <w:rFonts w:ascii="Times New Roman" w:hAnsi="Times New Roman"/>
          <w:lang w:val="de-DE"/>
        </w:rPr>
        <w:t>rde</w:t>
      </w:r>
      <w:r w:rsidRPr="00921BB8">
        <w:rPr>
          <w:rFonts w:ascii="Times New Roman" w:eastAsia="Times New Roman" w:hAnsi="Times New Roman" w:cs="Times New Roman"/>
          <w:color w:val="000000"/>
          <w:lang w:val="de-DE"/>
        </w:rPr>
        <w:t>. Deswegen ist das Objekt – entweder real oder ideal (endliches Bewusstsein) – in sich selbst und für das absolute Ich ein Nichts. Ebenso das absolute Ich: um seine Absloutheit zu bewahren, muss es paradoxerweise ein Nichts bleiben, das kein positives Verhältnis mit seinem Anderssein unterhalten kann</w:t>
      </w:r>
      <w:r w:rsidRPr="00921BB8">
        <w:rPr>
          <w:rStyle w:val="Rimandonotaapidipagina"/>
          <w:rFonts w:ascii="Times New Roman" w:eastAsia="Times New Roman" w:hAnsi="Times New Roman" w:cs="Times New Roman"/>
          <w:color w:val="000000"/>
          <w:lang w:val="de-DE"/>
        </w:rPr>
        <w:footnoteReference w:id="825"/>
      </w:r>
      <w:r w:rsidRPr="00921BB8">
        <w:rPr>
          <w:rFonts w:ascii="Times New Roman" w:eastAsia="Times New Roman" w:hAnsi="Times New Roman" w:cs="Times New Roman"/>
          <w:color w:val="000000"/>
          <w:lang w:val="de-DE"/>
        </w:rPr>
        <w:t xml:space="preserve">. </w:t>
      </w:r>
    </w:p>
    <w:p w14:paraId="718E9360" w14:textId="4F2D06E7" w:rsidR="001C3D81" w:rsidRPr="00921BB8" w:rsidRDefault="001C3D81" w:rsidP="001C3D81">
      <w:pPr>
        <w:spacing w:line="360" w:lineRule="auto"/>
        <w:ind w:firstLine="567"/>
        <w:jc w:val="both"/>
        <w:rPr>
          <w:rFonts w:ascii="Times New Roman" w:eastAsia="Times New Roman" w:hAnsi="Times New Roman" w:cs="Times New Roman"/>
          <w:color w:val="000000"/>
          <w:lang w:val="de-DE"/>
        </w:rPr>
      </w:pPr>
      <w:r w:rsidRPr="00921BB8">
        <w:rPr>
          <w:rFonts w:ascii="Times New Roman" w:hAnsi="Times New Roman"/>
          <w:lang w:val="de-DE"/>
        </w:rPr>
        <w:t>Das Prinzip der Einschränkung, das nach Hölderlin nicht dem absoluten Ich zugeschrieben werden kann, wird von Schelling übernommen. In seinem Brief vom 4. Februar 1795 teilt Schelling Hegel mit, dass er eine Theorie des Unbedingten entwickelt hat, die in der Lage ist, die theoretischen Ergebnisse des Kritizismus und Spinozismus zusammenzusetzen. Die Substanz Spinozas, hier interpretiert im Hinblick auf die Theori</w:t>
      </w:r>
      <w:r w:rsidR="00D822E7">
        <w:rPr>
          <w:rFonts w:ascii="Times New Roman" w:hAnsi="Times New Roman"/>
          <w:lang w:val="de-DE"/>
        </w:rPr>
        <w:t>e des absoluten Ichs, stellt die</w:t>
      </w:r>
      <w:r w:rsidRPr="00921BB8">
        <w:rPr>
          <w:rFonts w:ascii="Times New Roman" w:hAnsi="Times New Roman"/>
          <w:lang w:val="de-DE"/>
        </w:rPr>
        <w:t xml:space="preserve"> Grundlage dar, von der „die Philosophie ausgehen muß</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826"/>
      </w:r>
      <w:r w:rsidRPr="00921BB8">
        <w:rPr>
          <w:rFonts w:ascii="Times New Roman" w:eastAsia="Times New Roman" w:hAnsi="Times New Roman" w:cs="Times New Roman"/>
          <w:color w:val="000000"/>
          <w:lang w:val="de-DE"/>
        </w:rPr>
        <w:t>. Wegen der inneren Einschränkung der unendlichen Sphäre versteht man das Verlassen der Absolutheit des Ichs und die Hervorbringung einer Objektivität,</w:t>
      </w:r>
      <w:r w:rsidRPr="00921BB8">
        <w:rPr>
          <w:rFonts w:ascii="Times New Roman" w:eastAsia="Times New Roman" w:hAnsi="Times New Roman" w:cs="Times New Roman"/>
          <w:i/>
          <w:color w:val="000000"/>
          <w:lang w:val="de-DE"/>
        </w:rPr>
        <w:t xml:space="preserve"> </w:t>
      </w:r>
      <w:r w:rsidRPr="00921BB8">
        <w:rPr>
          <w:rFonts w:ascii="Times New Roman" w:eastAsia="Times New Roman" w:hAnsi="Times New Roman" w:cs="Times New Roman"/>
          <w:color w:val="000000"/>
          <w:lang w:val="de-DE"/>
        </w:rPr>
        <w:t xml:space="preserve">die </w:t>
      </w:r>
      <w:r w:rsidRPr="00921BB8">
        <w:rPr>
          <w:rFonts w:ascii="Times New Roman" w:eastAsia="Times New Roman" w:hAnsi="Times New Roman" w:cs="Times New Roman"/>
          <w:i/>
          <w:color w:val="000000"/>
          <w:lang w:val="de-DE"/>
        </w:rPr>
        <w:t xml:space="preserve">praktisch </w:t>
      </w:r>
      <w:r w:rsidRPr="00921BB8">
        <w:rPr>
          <w:rFonts w:ascii="Times New Roman" w:eastAsia="Times New Roman" w:hAnsi="Times New Roman" w:cs="Times New Roman"/>
          <w:color w:val="000000"/>
          <w:lang w:val="de-DE"/>
        </w:rPr>
        <w:t>auf das Absolute zurückgeführt werden kann</w:t>
      </w:r>
      <w:r w:rsidRPr="00921BB8">
        <w:rPr>
          <w:rStyle w:val="Rimandonotaapidipagina"/>
          <w:rFonts w:ascii="Times New Roman" w:eastAsia="Times New Roman" w:hAnsi="Times New Roman" w:cs="Times New Roman"/>
          <w:color w:val="000000"/>
          <w:lang w:val="de-DE"/>
        </w:rPr>
        <w:t xml:space="preserve"> </w:t>
      </w:r>
      <w:r w:rsidRPr="00921BB8">
        <w:rPr>
          <w:rStyle w:val="Rimandonotaapidipagina"/>
          <w:rFonts w:ascii="Times New Roman" w:eastAsia="Times New Roman" w:hAnsi="Times New Roman" w:cs="Times New Roman"/>
          <w:color w:val="000000"/>
          <w:lang w:val="de-DE"/>
        </w:rPr>
        <w:footnoteReference w:id="827"/>
      </w:r>
      <w:r w:rsidRPr="00921BB8">
        <w:rPr>
          <w:rFonts w:ascii="Times New Roman" w:eastAsia="Times New Roman" w:hAnsi="Times New Roman" w:cs="Times New Roman"/>
          <w:color w:val="000000"/>
          <w:lang w:val="de-DE"/>
        </w:rPr>
        <w:t xml:space="preserve">. </w:t>
      </w:r>
    </w:p>
    <w:p w14:paraId="05B8BCE5" w14:textId="77777777" w:rsidR="001C3D81" w:rsidRPr="00921BB8" w:rsidRDefault="001C3D81" w:rsidP="001C3D81">
      <w:pPr>
        <w:spacing w:line="360" w:lineRule="auto"/>
        <w:ind w:firstLine="567"/>
        <w:jc w:val="both"/>
        <w:rPr>
          <w:rFonts w:ascii="Times New Roman" w:eastAsia="Times New Roman" w:hAnsi="Times New Roman" w:cs="Times New Roman"/>
          <w:color w:val="000000"/>
          <w:lang w:val="de-DE"/>
        </w:rPr>
      </w:pPr>
      <w:r w:rsidRPr="00921BB8">
        <w:rPr>
          <w:rFonts w:ascii="Times New Roman" w:eastAsia="Times New Roman" w:hAnsi="Times New Roman" w:cs="Times New Roman"/>
          <w:color w:val="000000"/>
          <w:lang w:val="de-DE"/>
        </w:rPr>
        <w:t xml:space="preserve">Die Ideen einer inneren </w:t>
      </w:r>
      <w:r w:rsidRPr="00921BB8">
        <w:rPr>
          <w:rFonts w:ascii="Times New Roman" w:hAnsi="Times New Roman"/>
          <w:lang w:val="de-DE"/>
        </w:rPr>
        <w:t>Einschränkung</w:t>
      </w:r>
      <w:r w:rsidRPr="00921BB8">
        <w:rPr>
          <w:rFonts w:ascii="Times New Roman" w:eastAsia="Times New Roman" w:hAnsi="Times New Roman" w:cs="Times New Roman"/>
          <w:color w:val="000000"/>
          <w:lang w:val="de-DE"/>
        </w:rPr>
        <w:t xml:space="preserve"> und einer äußeren Beschränkung werden von Hegel in seinem Brief an Schelling vom 30. August 1795 bestritten. In Übereinstimmung mit Hölderlins Auslegung der Fichteschen Philosophie </w:t>
      </w:r>
      <w:r w:rsidRPr="00921BB8">
        <w:rPr>
          <w:rFonts w:ascii="Times New Roman" w:hAnsi="Times New Roman"/>
          <w:lang w:val="de-DE"/>
        </w:rPr>
        <w:t>betrachtet Hegel das absolute Ich als die Vereinigung der „höchsten These und Antithese</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828"/>
      </w:r>
      <w:r w:rsidRPr="00921BB8">
        <w:rPr>
          <w:rFonts w:ascii="Times New Roman" w:eastAsia="Times New Roman" w:hAnsi="Times New Roman" w:cs="Times New Roman"/>
          <w:color w:val="000000"/>
          <w:lang w:val="de-DE"/>
        </w:rPr>
        <w:t>. Die ewige Auflösung und Überwindung der objektiven Sphäre ist eine wesentliche Bestimmung des absoluten Ichs. Im Gegenteil beschreibt die Entgegensetzung zwischen Ich und Nicht-Ich das Verhalten des empirischen Ichs mit der Objektivität</w:t>
      </w:r>
      <w:r w:rsidRPr="00921BB8">
        <w:rPr>
          <w:rStyle w:val="Rimandonotaapidipagina"/>
          <w:rFonts w:ascii="Times New Roman" w:eastAsia="Times New Roman" w:hAnsi="Times New Roman" w:cs="Times New Roman"/>
          <w:color w:val="000000"/>
          <w:lang w:val="de-DE"/>
        </w:rPr>
        <w:footnoteReference w:id="829"/>
      </w:r>
      <w:r w:rsidRPr="00921BB8">
        <w:rPr>
          <w:rFonts w:ascii="Times New Roman" w:eastAsia="Times New Roman" w:hAnsi="Times New Roman" w:cs="Times New Roman"/>
          <w:color w:val="000000"/>
          <w:lang w:val="de-DE"/>
        </w:rPr>
        <w:t xml:space="preserve">. Die Unmöglichkeit, das absolute Ich als innerlich und äußerlich beschränkt zu denken (wenn das Unbedingte beschränkt wäre, wäre es nicht mehr das Unbedingte), stellt ein ungelöstes Problem der Philosophie Fichtes und Schellings dar, dem Hegel einige entscheidende Seiten der Berner Fragmente widmen wird. </w:t>
      </w:r>
    </w:p>
    <w:p w14:paraId="1B3349C7" w14:textId="003E33ED" w:rsidR="001C3D81" w:rsidRPr="00921BB8" w:rsidRDefault="001C3D81" w:rsidP="001C3D81">
      <w:pPr>
        <w:spacing w:line="360" w:lineRule="auto"/>
        <w:ind w:firstLine="567"/>
        <w:jc w:val="both"/>
        <w:rPr>
          <w:rFonts w:ascii="Times New Roman" w:eastAsia="Times New Roman" w:hAnsi="Times New Roman" w:cs="Times New Roman"/>
          <w:color w:val="000000"/>
          <w:lang w:val="de-DE"/>
        </w:rPr>
      </w:pPr>
      <w:r w:rsidRPr="00921BB8">
        <w:rPr>
          <w:rFonts w:ascii="Times New Roman" w:eastAsia="Times New Roman" w:hAnsi="Times New Roman" w:cs="Times New Roman"/>
          <w:color w:val="000000"/>
          <w:lang w:val="de-DE"/>
        </w:rPr>
        <w:t xml:space="preserve">Im </w:t>
      </w:r>
      <w:r w:rsidRPr="00921BB8">
        <w:rPr>
          <w:rFonts w:ascii="Times New Roman" w:eastAsia="Times New Roman" w:hAnsi="Times New Roman" w:cs="Times New Roman"/>
          <w:i/>
          <w:color w:val="000000"/>
          <w:lang w:val="de-DE"/>
        </w:rPr>
        <w:t>Text 34</w:t>
      </w:r>
      <w:r w:rsidRPr="00921BB8">
        <w:rPr>
          <w:rFonts w:ascii="Times New Roman" w:eastAsia="Times New Roman" w:hAnsi="Times New Roman" w:cs="Times New Roman"/>
          <w:color w:val="000000"/>
          <w:lang w:val="de-DE"/>
        </w:rPr>
        <w:t xml:space="preserve"> skizziert Hegel den historischen Hintergrund, aus dem das Fichtesche Modell des Absoluten stammte</w:t>
      </w:r>
      <w:r w:rsidRPr="00921BB8">
        <w:rPr>
          <w:rStyle w:val="Rimandonotaapidipagina"/>
          <w:rFonts w:ascii="Times New Roman" w:eastAsia="Times New Roman" w:hAnsi="Times New Roman" w:cs="Times New Roman"/>
          <w:color w:val="000000"/>
          <w:lang w:val="de-DE"/>
        </w:rPr>
        <w:footnoteReference w:id="830"/>
      </w:r>
      <w:r w:rsidRPr="00921BB8">
        <w:rPr>
          <w:rFonts w:ascii="Times New Roman" w:eastAsia="Times New Roman" w:hAnsi="Times New Roman" w:cs="Times New Roman"/>
          <w:color w:val="000000"/>
          <w:lang w:val="de-DE"/>
        </w:rPr>
        <w:t>. Im Christentum sind Gott</w:t>
      </w:r>
      <w:r w:rsidR="00156420">
        <w:rPr>
          <w:rFonts w:ascii="Times New Roman" w:eastAsia="Times New Roman" w:hAnsi="Times New Roman" w:cs="Times New Roman"/>
          <w:color w:val="000000"/>
          <w:lang w:val="de-DE"/>
        </w:rPr>
        <w:t xml:space="preserve"> und Mensch unendlich entfernt: </w:t>
      </w:r>
      <w:r w:rsidRPr="00921BB8">
        <w:rPr>
          <w:rFonts w:ascii="Times New Roman" w:eastAsia="Times New Roman" w:hAnsi="Times New Roman" w:cs="Times New Roman"/>
          <w:color w:val="000000"/>
          <w:lang w:val="de-DE"/>
        </w:rPr>
        <w:t>die Gottheit ist ein Jenseits, an der die Menschheit aufgrund ihrer Verdorbenheit nicht teilnimmt. Der Christliche Gott ist eine Unendlichkeit, die für sich eine Welt beansprucht, die der Endlichkeit des Menschen nicht angemessen ist</w:t>
      </w:r>
      <w:r w:rsidRPr="00921BB8">
        <w:rPr>
          <w:rStyle w:val="Rimandonotaapidipagina"/>
          <w:rFonts w:ascii="Times New Roman" w:eastAsia="Times New Roman" w:hAnsi="Times New Roman" w:cs="Times New Roman"/>
          <w:color w:val="000000"/>
          <w:lang w:val="de-DE"/>
        </w:rPr>
        <w:t xml:space="preserve"> </w:t>
      </w:r>
      <w:r w:rsidRPr="00921BB8">
        <w:rPr>
          <w:rStyle w:val="Rimandonotaapidipagina"/>
          <w:rFonts w:ascii="Times New Roman" w:eastAsia="Times New Roman" w:hAnsi="Times New Roman" w:cs="Times New Roman"/>
          <w:color w:val="000000"/>
          <w:lang w:val="de-DE"/>
        </w:rPr>
        <w:footnoteReference w:id="831"/>
      </w:r>
      <w:r w:rsidRPr="00921BB8">
        <w:rPr>
          <w:rFonts w:ascii="Times New Roman" w:eastAsia="Times New Roman" w:hAnsi="Times New Roman" w:cs="Times New Roman"/>
          <w:color w:val="000000"/>
          <w:lang w:val="de-DE"/>
        </w:rPr>
        <w:t>. Unter keinen Umständen kann sich der Mensch zu Gott erheben und Gott sich zu den Menschen erniedrigen: „der Mensch selbst ein nicht-Ich und seine Gottheit ein anderes nicht-Ich</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832"/>
      </w:r>
      <w:r w:rsidRPr="00921BB8">
        <w:rPr>
          <w:rFonts w:ascii="Times New Roman" w:eastAsia="Times New Roman" w:hAnsi="Times New Roman" w:cs="Times New Roman"/>
          <w:color w:val="000000"/>
          <w:lang w:val="de-DE"/>
        </w:rPr>
        <w:t xml:space="preserve">. Da die Gottheit ein objektives Wesen ist, das nichts Menschliches hat, reduziert sie sich auf ein Nicht-Ich, </w:t>
      </w:r>
      <w:r w:rsidRPr="00980229">
        <w:rPr>
          <w:rFonts w:ascii="Times New Roman" w:eastAsia="Times New Roman" w:hAnsi="Times New Roman" w:cs="Times New Roman"/>
          <w:color w:val="000000"/>
          <w:lang w:val="de-DE"/>
        </w:rPr>
        <w:t>auf ein bloßes Negativ</w:t>
      </w:r>
      <w:r w:rsidR="00980229" w:rsidRPr="00980229">
        <w:rPr>
          <w:rFonts w:ascii="Times New Roman" w:eastAsia="Times New Roman" w:hAnsi="Times New Roman" w:cs="Times New Roman"/>
          <w:color w:val="000000"/>
          <w:lang w:val="de-DE"/>
        </w:rPr>
        <w:t>e</w:t>
      </w:r>
      <w:r w:rsidRPr="00980229">
        <w:rPr>
          <w:rFonts w:ascii="Times New Roman" w:eastAsia="Times New Roman" w:hAnsi="Times New Roman" w:cs="Times New Roman"/>
          <w:color w:val="000000"/>
          <w:lang w:val="de-DE"/>
        </w:rPr>
        <w:t>;</w:t>
      </w:r>
      <w:r w:rsidRPr="00921BB8">
        <w:rPr>
          <w:rFonts w:ascii="Times New Roman" w:eastAsia="Times New Roman" w:hAnsi="Times New Roman" w:cs="Times New Roman"/>
          <w:color w:val="000000"/>
          <w:lang w:val="de-DE"/>
        </w:rPr>
        <w:t xml:space="preserve"> </w:t>
      </w:r>
      <w:r w:rsidRPr="003F64AF">
        <w:rPr>
          <w:rFonts w:ascii="Times New Roman" w:eastAsia="Times New Roman" w:hAnsi="Times New Roman" w:cs="Times New Roman"/>
          <w:color w:val="000000"/>
          <w:lang w:val="de-DE"/>
        </w:rPr>
        <w:t xml:space="preserve">die Menschheit, die die Sehnsucht nach Gott spürt, stellt sich als ein anderes Nicht-Ich dar, das den immanenten Zweck </w:t>
      </w:r>
      <w:r w:rsidR="00156420" w:rsidRPr="003F64AF">
        <w:rPr>
          <w:rFonts w:ascii="Times New Roman" w:eastAsia="Times New Roman" w:hAnsi="Times New Roman" w:cs="Times New Roman"/>
          <w:color w:val="000000"/>
          <w:lang w:val="de-DE"/>
        </w:rPr>
        <w:t>ihr</w:t>
      </w:r>
      <w:r w:rsidRPr="003F64AF">
        <w:rPr>
          <w:rFonts w:ascii="Times New Roman" w:eastAsia="Times New Roman" w:hAnsi="Times New Roman" w:cs="Times New Roman"/>
          <w:color w:val="000000"/>
          <w:lang w:val="de-DE"/>
        </w:rPr>
        <w:t>er Welt</w:t>
      </w:r>
      <w:r w:rsidRPr="00921BB8">
        <w:rPr>
          <w:rFonts w:ascii="Times New Roman" w:eastAsia="Times New Roman" w:hAnsi="Times New Roman" w:cs="Times New Roman"/>
          <w:color w:val="000000"/>
          <w:lang w:val="de-DE"/>
        </w:rPr>
        <w:t xml:space="preserve"> verloren hat. Gott ist negativ an sich und für den Menschen, und der Mensch ist negativ an sich und für Gott. Hegels Meinung nach gründet sich die Nichtigkeit des Unendlichen und Endlichen, die in der Fichteschen Philosophie noch spürbar ist, historisch auf der jüdischen und christlichen Trennung zwischen Gott und Mensch.</w:t>
      </w:r>
    </w:p>
    <w:p w14:paraId="19A20DB2" w14:textId="77777777" w:rsidR="001C3D81" w:rsidRPr="00921BB8" w:rsidRDefault="001C3D81" w:rsidP="001C3D81">
      <w:pPr>
        <w:spacing w:line="360" w:lineRule="auto"/>
        <w:ind w:firstLine="567"/>
        <w:jc w:val="both"/>
        <w:rPr>
          <w:rFonts w:ascii="Times New Roman" w:eastAsia="Times New Roman" w:hAnsi="Times New Roman" w:cs="Times New Roman"/>
          <w:color w:val="000000"/>
          <w:lang w:val="de-DE"/>
        </w:rPr>
      </w:pPr>
      <w:r w:rsidRPr="00921BB8">
        <w:rPr>
          <w:rFonts w:ascii="Times New Roman" w:eastAsia="Times New Roman" w:hAnsi="Times New Roman" w:cs="Times New Roman"/>
          <w:color w:val="000000"/>
          <w:lang w:val="de-DE"/>
        </w:rPr>
        <w:t xml:space="preserve"> </w:t>
      </w:r>
    </w:p>
    <w:p w14:paraId="78F41431" w14:textId="0A5FE02B" w:rsidR="001C3D81" w:rsidRPr="00921BB8" w:rsidRDefault="001C3D81" w:rsidP="001C3D81">
      <w:pPr>
        <w:spacing w:line="360" w:lineRule="auto"/>
        <w:jc w:val="both"/>
        <w:rPr>
          <w:rFonts w:ascii="Times New Roman" w:eastAsia="Times New Roman" w:hAnsi="Times New Roman" w:cs="Times New Roman"/>
          <w:color w:val="000000"/>
          <w:lang w:val="de-DE"/>
        </w:rPr>
      </w:pPr>
      <w:r w:rsidRPr="00921BB8">
        <w:rPr>
          <w:rFonts w:ascii="Times New Roman" w:eastAsia="Times New Roman" w:hAnsi="Times New Roman" w:cs="Times New Roman"/>
          <w:i/>
          <w:color w:val="000000"/>
          <w:lang w:val="de-DE"/>
        </w:rPr>
        <w:t>1.2 Das Schachmatt des Glaubens und das Bedürfnis der Philosophie. Geschichte und Schicksal des jüdischen Volkes</w:t>
      </w:r>
      <w:r w:rsidR="006C6F7E">
        <w:rPr>
          <w:rFonts w:ascii="Times New Roman" w:eastAsia="Times New Roman" w:hAnsi="Times New Roman" w:cs="Times New Roman"/>
          <w:i/>
          <w:color w:val="000000"/>
          <w:lang w:val="de-DE"/>
        </w:rPr>
        <w:t xml:space="preserve"> und der christlichen Gemeinde</w:t>
      </w:r>
    </w:p>
    <w:p w14:paraId="46B79449" w14:textId="77777777" w:rsidR="001C3D81" w:rsidRPr="00921BB8" w:rsidRDefault="001C3D81" w:rsidP="001C3D81">
      <w:pPr>
        <w:spacing w:line="360" w:lineRule="auto"/>
        <w:jc w:val="both"/>
        <w:rPr>
          <w:rFonts w:ascii="Times New Roman" w:eastAsia="Times New Roman" w:hAnsi="Times New Roman" w:cs="Times New Roman"/>
          <w:i/>
          <w:color w:val="000000"/>
          <w:lang w:val="de-DE"/>
        </w:rPr>
      </w:pPr>
    </w:p>
    <w:p w14:paraId="0BC0915C" w14:textId="77777777" w:rsidR="001C3D81" w:rsidRPr="00921BB8" w:rsidRDefault="001C3D81" w:rsidP="001C3D81">
      <w:pPr>
        <w:spacing w:line="360" w:lineRule="auto"/>
        <w:ind w:firstLine="567"/>
        <w:jc w:val="both"/>
        <w:rPr>
          <w:rFonts w:ascii="Times New Roman" w:eastAsia="Times New Roman" w:hAnsi="Times New Roman" w:cs="Times New Roman"/>
          <w:color w:val="000000"/>
          <w:lang w:val="de-DE"/>
        </w:rPr>
      </w:pPr>
      <w:r w:rsidRPr="00921BB8">
        <w:rPr>
          <w:rFonts w:ascii="Times New Roman" w:eastAsia="Times New Roman" w:hAnsi="Times New Roman" w:cs="Times New Roman"/>
          <w:color w:val="000000"/>
          <w:lang w:val="de-DE"/>
        </w:rPr>
        <w:t xml:space="preserve">In den Frankfurter Fragmenten (1796/99) wird Hegel sich noch mit der jüdischen und christlichen Konzeption der Gottheit beschäftigen. Im </w:t>
      </w:r>
      <w:r w:rsidRPr="00921BB8">
        <w:rPr>
          <w:rFonts w:ascii="Times New Roman" w:eastAsia="Times New Roman" w:hAnsi="Times New Roman" w:cs="Times New Roman"/>
          <w:i/>
          <w:color w:val="000000"/>
          <w:lang w:val="de-DE"/>
        </w:rPr>
        <w:t xml:space="preserve">Text 61 </w:t>
      </w:r>
      <w:r w:rsidRPr="00921BB8">
        <w:rPr>
          <w:rFonts w:ascii="Times New Roman" w:eastAsia="Times New Roman" w:hAnsi="Times New Roman" w:cs="Times New Roman"/>
          <w:color w:val="000000"/>
          <w:lang w:val="de-DE"/>
        </w:rPr>
        <w:t>schreibt Hegel, dass die Juden sich nicht mit der Natur versöhnen können. Noah ist sich seiner eigenen Ohnmacht bewusst und unterwirft sich und die Natur einem „Mächtigern</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833"/>
      </w:r>
      <w:r w:rsidRPr="00921BB8">
        <w:rPr>
          <w:rFonts w:ascii="Times New Roman" w:eastAsia="Times New Roman" w:hAnsi="Times New Roman" w:cs="Times New Roman"/>
          <w:color w:val="000000"/>
          <w:lang w:val="de-DE"/>
        </w:rPr>
        <w:t xml:space="preserve">, </w:t>
      </w:r>
      <w:r w:rsidRPr="00921BB8">
        <w:rPr>
          <w:rFonts w:ascii="Times New Roman" w:eastAsia="Times New Roman" w:hAnsi="Times New Roman" w:cs="Times New Roman"/>
          <w:i/>
          <w:color w:val="000000"/>
          <w:lang w:val="de-DE"/>
        </w:rPr>
        <w:t>einem Gedachten</w:t>
      </w:r>
      <w:r w:rsidRPr="00921BB8">
        <w:rPr>
          <w:rFonts w:ascii="Times New Roman" w:eastAsia="Times New Roman" w:hAnsi="Times New Roman" w:cs="Times New Roman"/>
          <w:color w:val="000000"/>
          <w:lang w:val="de-DE"/>
        </w:rPr>
        <w:t xml:space="preserve">, das alles beherrscht und von nichts beherrscht und beschränkt wird. Der denkenden Zusammensetzung von Natur und Mensch entspricht keine reelle Überwindung ihrer Fremdartigkeit: die entgegengesetzten Termini werden </w:t>
      </w:r>
      <w:r w:rsidRPr="00921BB8">
        <w:rPr>
          <w:rFonts w:ascii="Times New Roman" w:eastAsia="Times New Roman" w:hAnsi="Times New Roman" w:cs="Times New Roman"/>
          <w:i/>
          <w:color w:val="000000"/>
          <w:lang w:val="de-DE"/>
        </w:rPr>
        <w:t xml:space="preserve">ideell </w:t>
      </w:r>
      <w:r w:rsidRPr="00921BB8">
        <w:rPr>
          <w:rFonts w:ascii="Times New Roman" w:eastAsia="Times New Roman" w:hAnsi="Times New Roman" w:cs="Times New Roman"/>
          <w:color w:val="000000"/>
          <w:lang w:val="de-DE"/>
        </w:rPr>
        <w:t xml:space="preserve">in einem Objekt aufgelöst, das zum Garanten der Koexistenz zweier Extreme wird, die auf keinen Fall </w:t>
      </w:r>
      <w:r w:rsidRPr="00921BB8">
        <w:rPr>
          <w:rFonts w:ascii="Times New Roman" w:eastAsia="Times New Roman" w:hAnsi="Times New Roman" w:cs="Times New Roman"/>
          <w:i/>
          <w:color w:val="000000"/>
          <w:lang w:val="de-DE"/>
        </w:rPr>
        <w:t xml:space="preserve">reell </w:t>
      </w:r>
      <w:r w:rsidRPr="00921BB8">
        <w:rPr>
          <w:rFonts w:ascii="Times New Roman" w:eastAsia="Times New Roman" w:hAnsi="Times New Roman" w:cs="Times New Roman"/>
          <w:color w:val="000000"/>
          <w:lang w:val="de-DE"/>
        </w:rPr>
        <w:t xml:space="preserve">versöhnbar sind. Das Denken als Grund der Herrschaft über die Realität ist das von Abraham wiedergewonnene und radikalisierte Noachische Prinzip. Indem Abraham der Liebe und der Verbindung mit anderen Völkern entsagt, erhebt er die </w:t>
      </w:r>
      <w:r w:rsidRPr="00921BB8">
        <w:rPr>
          <w:rFonts w:ascii="Times New Roman" w:eastAsia="Times New Roman" w:hAnsi="Times New Roman" w:cs="Times New Roman"/>
          <w:i/>
          <w:color w:val="000000"/>
          <w:lang w:val="de-DE"/>
        </w:rPr>
        <w:t xml:space="preserve">Trennung </w:t>
      </w:r>
      <w:r w:rsidRPr="00921BB8">
        <w:rPr>
          <w:rFonts w:ascii="Times New Roman" w:eastAsia="Times New Roman" w:hAnsi="Times New Roman" w:cs="Times New Roman"/>
          <w:color w:val="000000"/>
          <w:lang w:val="de-DE"/>
        </w:rPr>
        <w:t>als Prinzip seines Daseins in der Welt. Weil er nicht in der Lage war, eine wirkliche Herrschaft über die „die ganze schlechtin entgegengesetzte Welt</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834"/>
      </w:r>
      <w:r w:rsidRPr="00921BB8">
        <w:rPr>
          <w:rFonts w:ascii="Times New Roman" w:eastAsia="Times New Roman" w:hAnsi="Times New Roman" w:cs="Times New Roman"/>
          <w:color w:val="000000"/>
        </w:rPr>
        <w:t xml:space="preserve"> </w:t>
      </w:r>
      <w:r w:rsidRPr="00921BB8">
        <w:rPr>
          <w:rFonts w:ascii="Times New Roman" w:eastAsia="Times New Roman" w:hAnsi="Times New Roman" w:cs="Times New Roman"/>
          <w:color w:val="000000"/>
          <w:lang w:val="de-DE"/>
        </w:rPr>
        <w:t>herzustellen, hat sich Abraham einem Gott unterworfen, der nicht nur über alle Dinge, sondern auch über Abraham und seine Nachkommenschaft herrschte. Die Unterwerfung des jüdischen Volkes unter die Macht eines unendlichen Objektes wird durch die Verfassung des jüdischen Staates verstärkt: die Juden, die „keine Freiheit und keine Rechte hatten</w:t>
      </w:r>
      <w:r w:rsidRPr="00921BB8">
        <w:rPr>
          <w:rFonts w:ascii="Times New Roman" w:eastAsia="Times New Roman" w:hAnsi="Times New Roman" w:cs="Times New Roman"/>
          <w:color w:val="000000"/>
        </w:rPr>
        <w:t>”</w:t>
      </w:r>
      <w:r w:rsidRPr="00921BB8">
        <w:rPr>
          <w:rFonts w:ascii="Times New Roman" w:eastAsia="Times New Roman" w:hAnsi="Times New Roman" w:cs="Times New Roman"/>
          <w:color w:val="000000"/>
          <w:lang w:val="de-DE"/>
        </w:rPr>
        <w:t>, nichts als „Staatsbürger</w:t>
      </w:r>
      <w:r w:rsidRPr="00921BB8">
        <w:rPr>
          <w:rFonts w:ascii="Times New Roman" w:eastAsia="Times New Roman" w:hAnsi="Times New Roman" w:cs="Times New Roman"/>
          <w:color w:val="000000"/>
        </w:rPr>
        <w:t>” waren</w:t>
      </w:r>
      <w:r w:rsidRPr="00921BB8">
        <w:rPr>
          <w:rFonts w:ascii="Times New Roman" w:eastAsia="Times New Roman" w:hAnsi="Times New Roman" w:cs="Times New Roman"/>
          <w:color w:val="000000"/>
          <w:lang w:val="de-DE"/>
        </w:rPr>
        <w:t xml:space="preserve"> und sich der „Fähigkeit des Selbstbestehens</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835"/>
      </w:r>
      <w:r w:rsidRPr="00921BB8">
        <w:rPr>
          <w:rFonts w:ascii="Times New Roman" w:eastAsia="Times New Roman" w:hAnsi="Times New Roman" w:cs="Times New Roman"/>
          <w:color w:val="000000"/>
        </w:rPr>
        <w:t xml:space="preserve"> </w:t>
      </w:r>
      <w:r w:rsidRPr="00921BB8">
        <w:rPr>
          <w:rFonts w:ascii="Times New Roman" w:eastAsia="Times New Roman" w:hAnsi="Times New Roman" w:cs="Times New Roman"/>
          <w:color w:val="000000"/>
          <w:lang w:val="de-DE"/>
        </w:rPr>
        <w:t xml:space="preserve">nicht bewusst, waren völlig von ihrem Gott abhängig. Hölderlins kritische Bemerkungen zur Fichtes Theorie des absoluten Ichs, das Hegel bereits im </w:t>
      </w:r>
      <w:r w:rsidRPr="00921BB8">
        <w:rPr>
          <w:rFonts w:ascii="Times New Roman" w:eastAsia="Times New Roman" w:hAnsi="Times New Roman" w:cs="Times New Roman"/>
          <w:i/>
          <w:color w:val="000000"/>
          <w:lang w:val="de-DE"/>
        </w:rPr>
        <w:t xml:space="preserve">Text 34 </w:t>
      </w:r>
      <w:r w:rsidRPr="00921BB8">
        <w:rPr>
          <w:rFonts w:ascii="Times New Roman" w:eastAsia="Times New Roman" w:hAnsi="Times New Roman" w:cs="Times New Roman"/>
          <w:color w:val="000000"/>
          <w:lang w:val="de-DE"/>
        </w:rPr>
        <w:t xml:space="preserve">zur Definition der </w:t>
      </w:r>
      <w:r w:rsidRPr="00921BB8">
        <w:rPr>
          <w:rFonts w:ascii="Times New Roman" w:eastAsia="Times New Roman" w:hAnsi="Times New Roman" w:cs="Times New Roman"/>
          <w:i/>
          <w:color w:val="000000"/>
          <w:lang w:val="de-DE"/>
        </w:rPr>
        <w:t xml:space="preserve">Nichtigkeit </w:t>
      </w:r>
      <w:r w:rsidRPr="00921BB8">
        <w:rPr>
          <w:rFonts w:ascii="Times New Roman" w:eastAsia="Times New Roman" w:hAnsi="Times New Roman" w:cs="Times New Roman"/>
          <w:color w:val="000000"/>
          <w:lang w:val="de-DE"/>
        </w:rPr>
        <w:t>des Menschen und Gottes übernommen hat, kehren zum Kernpunkt dieser dem Judentum gewidmeten Seiten zurück: die Herrschaft über alles impliziert α) die Unabhängigkeit von allem und β) die Vernichtung der subsumierten Elemente. Die vernichtende Synthese des Seins im Denken stellt keine Überwindung der reellen Entgegensetzung von Gott, Mensch und Natur dar. Die jüdische Synthese dieser Extreme ist nur eine gewaltsame (gedachte) Auflösung ihrer Trennung im Gedanken, aber nicht in der Wirklichkeit, die in sich zerrissen und unversöhnt bleibt.</w:t>
      </w:r>
    </w:p>
    <w:p w14:paraId="75952BEB" w14:textId="61F86458" w:rsidR="001C3D81" w:rsidRPr="00921BB8" w:rsidRDefault="001C3D81" w:rsidP="001C3D81">
      <w:pPr>
        <w:spacing w:line="360" w:lineRule="auto"/>
        <w:ind w:firstLine="567"/>
        <w:jc w:val="both"/>
        <w:rPr>
          <w:rFonts w:ascii="Times New Roman" w:eastAsia="Times New Roman" w:hAnsi="Times New Roman" w:cs="Times New Roman"/>
          <w:color w:val="000000"/>
          <w:lang w:val="de-DE"/>
        </w:rPr>
      </w:pPr>
      <w:r w:rsidRPr="00921BB8">
        <w:rPr>
          <w:rFonts w:ascii="Times New Roman" w:eastAsia="Times New Roman" w:hAnsi="Times New Roman" w:cs="Times New Roman"/>
          <w:color w:val="000000"/>
          <w:lang w:val="de-DE"/>
        </w:rPr>
        <w:t xml:space="preserve">Obwohl die Juden kein freies Dasein besaßen, empfanden sie das </w:t>
      </w:r>
      <w:r w:rsidRPr="00921BB8">
        <w:rPr>
          <w:rFonts w:ascii="Times New Roman" w:eastAsia="Times New Roman" w:hAnsi="Times New Roman" w:cs="Times New Roman"/>
          <w:color w:val="000000"/>
        </w:rPr>
        <w:t>„Bedürfnis nach etwas reinerem”</w:t>
      </w:r>
      <w:r w:rsidRPr="00921BB8">
        <w:rPr>
          <w:rStyle w:val="Rimandonotaapidipagina"/>
          <w:rFonts w:ascii="Times New Roman" w:eastAsia="Times New Roman" w:hAnsi="Times New Roman" w:cs="Times New Roman"/>
          <w:color w:val="000000"/>
        </w:rPr>
        <w:footnoteReference w:id="836"/>
      </w:r>
      <w:r w:rsidRPr="00921BB8">
        <w:rPr>
          <w:rFonts w:ascii="Times New Roman" w:eastAsia="Times New Roman" w:hAnsi="Times New Roman" w:cs="Times New Roman"/>
          <w:color w:val="000000"/>
          <w:lang w:val="de-DE"/>
        </w:rPr>
        <w:t xml:space="preserve">, d.h. am Göttlichen teilzunehmen und die </w:t>
      </w:r>
      <w:r w:rsidRPr="00921BB8">
        <w:rPr>
          <w:rFonts w:ascii="Times New Roman" w:eastAsia="Times New Roman" w:hAnsi="Times New Roman" w:cs="Times New Roman"/>
          <w:i/>
          <w:color w:val="000000"/>
          <w:lang w:val="de-DE"/>
        </w:rPr>
        <w:t>menschliche Natur</w:t>
      </w:r>
      <w:r w:rsidRPr="00921BB8">
        <w:rPr>
          <w:rFonts w:ascii="Times New Roman" w:eastAsia="Times New Roman" w:hAnsi="Times New Roman" w:cs="Times New Roman"/>
          <w:color w:val="000000"/>
          <w:lang w:val="de-DE"/>
        </w:rPr>
        <w:t xml:space="preserve"> wieder zu adeln. Derjenige, der versucht hat, die Heiligkeit der menschlichen Natur und die Menschlichkeit Gottes wiederherzustellen, ist Jesus. Nach seiner Lehre ist das Reich Gottes nahe: „ändert euch, denn das Reich Gottes ist nahe</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837"/>
      </w:r>
      <w:r w:rsidRPr="00921BB8">
        <w:rPr>
          <w:rFonts w:ascii="Times New Roman" w:eastAsia="Times New Roman" w:hAnsi="Times New Roman" w:cs="Times New Roman"/>
          <w:color w:val="000000"/>
          <w:lang w:val="de-DE"/>
        </w:rPr>
        <w:t xml:space="preserve"> . Der Zugang zu diesem Reich wird durch die Befolgung des Liebesgebotes gewährleistet, das alle äußeren Zwänge (das Mosaische Gesetz) und die Trennung zwischen Mensch und Mensch aufhebt. Wer der Lehre des Menschensohnes folgt, wird ein Bürger des Reiches Gottes, ein Mitglied einer geistigen Gemeinde, in der die Göttlichkeit sich verwirklicht hat. Da der Ruf nach der inneren Veränderung ungehört bleibt, flieht die christliche Gemeinde vor den Modifikationen des Lebendigen und strukturiert sich als ein </w:t>
      </w:r>
      <w:r w:rsidRPr="00921BB8">
        <w:rPr>
          <w:rFonts w:ascii="Times New Roman" w:eastAsia="Times New Roman" w:hAnsi="Times New Roman" w:cs="Times New Roman"/>
          <w:i/>
          <w:color w:val="000000"/>
          <w:lang w:val="de-DE"/>
        </w:rPr>
        <w:t xml:space="preserve">Jenseits </w:t>
      </w:r>
      <w:r w:rsidRPr="00921BB8">
        <w:rPr>
          <w:rFonts w:ascii="Times New Roman" w:eastAsia="Times New Roman" w:hAnsi="Times New Roman" w:cs="Times New Roman"/>
          <w:color w:val="000000"/>
          <w:lang w:val="de-DE"/>
        </w:rPr>
        <w:t>der</w:t>
      </w:r>
      <w:r w:rsidRPr="00921BB8">
        <w:rPr>
          <w:rFonts w:ascii="Times New Roman" w:eastAsia="Times New Roman" w:hAnsi="Times New Roman" w:cs="Times New Roman"/>
          <w:i/>
          <w:color w:val="000000"/>
          <w:lang w:val="de-DE"/>
        </w:rPr>
        <w:t xml:space="preserve"> </w:t>
      </w:r>
      <w:r w:rsidRPr="00921BB8">
        <w:rPr>
          <w:rFonts w:ascii="Times New Roman" w:eastAsia="Times New Roman" w:hAnsi="Times New Roman" w:cs="Times New Roman"/>
          <w:color w:val="000000"/>
          <w:lang w:val="de-DE"/>
        </w:rPr>
        <w:t>Welt. Das Göttliche entkommt den in der Wirklichkeit verwurzelten Trennungen, aber es findet keine Herrschaft des Abstrakten (der christlichen Gemeinde) über sein Gegenteil (die Welt) statt. Das Reelle greift die leblose Einheit der Gemeinde an und bestimmt den Tod Jesu: diese tragische Tatsache kehrt die Spaltung zwischen Gott und menschlicher Natur in die Aufmerksamkeit der christlichen Gemeinde um. Die Notwendigkeit, der vergänglichen Einheit zwischen menschlicher Natur und Gott Stabilität zu verleihen, definiert den Fokus des</w:t>
      </w:r>
      <w:r w:rsidRPr="00921BB8">
        <w:rPr>
          <w:rFonts w:ascii="Times New Roman" w:eastAsia="Times New Roman" w:hAnsi="Times New Roman" w:cs="Times New Roman"/>
          <w:i/>
          <w:color w:val="000000"/>
          <w:lang w:val="de-DE"/>
        </w:rPr>
        <w:t xml:space="preserve"> </w:t>
      </w:r>
      <w:r w:rsidRPr="00750586">
        <w:rPr>
          <w:rFonts w:ascii="Times New Roman" w:eastAsia="Times New Roman" w:hAnsi="Times New Roman" w:cs="Times New Roman"/>
          <w:i/>
          <w:color w:val="000000"/>
          <w:lang w:val="de-DE"/>
        </w:rPr>
        <w:t>Bedürfnisses nach Religion</w:t>
      </w:r>
      <w:r w:rsidRPr="00921BB8">
        <w:rPr>
          <w:rFonts w:ascii="Times New Roman" w:eastAsia="Times New Roman" w:hAnsi="Times New Roman" w:cs="Times New Roman"/>
          <w:color w:val="000000"/>
          <w:lang w:val="de-DE"/>
        </w:rPr>
        <w:t xml:space="preserve">. Unsichtbares und Sichtbares vereinigen sich in einem </w:t>
      </w:r>
      <w:r w:rsidRPr="00921BB8">
        <w:rPr>
          <w:rFonts w:ascii="Times New Roman" w:eastAsia="Times New Roman" w:hAnsi="Times New Roman" w:cs="Times New Roman"/>
          <w:i/>
          <w:color w:val="000000"/>
          <w:lang w:val="de-DE"/>
        </w:rPr>
        <w:t>schönen Objekt</w:t>
      </w:r>
      <w:r w:rsidRPr="00921BB8">
        <w:rPr>
          <w:rFonts w:ascii="Times New Roman" w:eastAsia="Times New Roman" w:hAnsi="Times New Roman" w:cs="Times New Roman"/>
          <w:color w:val="000000"/>
          <w:lang w:val="de-DE"/>
        </w:rPr>
        <w:t xml:space="preserve">, in dem Gott, der die Trennung zwischen Sinnlichem und Übersinnlichem überwunden hat. Eine wahre Synthese der getrennten Termini findet jedoch nur bei glücklichen Völkern statt, die die </w:t>
      </w:r>
      <w:r w:rsidRPr="00107597">
        <w:rPr>
          <w:rFonts w:ascii="Times New Roman" w:eastAsia="Times New Roman" w:hAnsi="Times New Roman" w:cs="Times New Roman"/>
          <w:color w:val="000000"/>
          <w:lang w:val="de-DE"/>
        </w:rPr>
        <w:t xml:space="preserve">Macht der Trennung noch nicht erfahren haben. Ein unglückliches Volk wie das jüdische kann sich nur für einen Augenblick zum unendlichen Leben erheben: die Auflösung der Entgegensetzung zwischen Göttlichem und Menschlichem enthält in sich die </w:t>
      </w:r>
      <w:r w:rsidRPr="00107597">
        <w:rPr>
          <w:rFonts w:ascii="Times New Roman" w:eastAsia="Times New Roman" w:hAnsi="Times New Roman" w:cs="Times New Roman"/>
          <w:i/>
          <w:color w:val="000000"/>
          <w:lang w:val="de-DE"/>
        </w:rPr>
        <w:t>ratio seminalis</w:t>
      </w:r>
      <w:r w:rsidRPr="00107597">
        <w:rPr>
          <w:rFonts w:ascii="Times New Roman" w:eastAsia="Times New Roman" w:hAnsi="Times New Roman" w:cs="Times New Roman"/>
          <w:color w:val="000000"/>
          <w:lang w:val="de-DE"/>
        </w:rPr>
        <w:t xml:space="preserve"> </w:t>
      </w:r>
      <w:r w:rsidR="00107597" w:rsidRPr="00107597">
        <w:rPr>
          <w:rFonts w:ascii="Times New Roman" w:eastAsia="Times New Roman" w:hAnsi="Times New Roman" w:cs="Times New Roman"/>
          <w:color w:val="000000"/>
          <w:lang w:val="de-DE"/>
        </w:rPr>
        <w:t>ihr</w:t>
      </w:r>
      <w:r w:rsidRPr="00107597">
        <w:rPr>
          <w:rFonts w:ascii="Times New Roman" w:eastAsia="Times New Roman" w:hAnsi="Times New Roman" w:cs="Times New Roman"/>
          <w:color w:val="000000"/>
          <w:lang w:val="de-DE"/>
        </w:rPr>
        <w:t>er Wiedergeburt.</w:t>
      </w:r>
      <w:r w:rsidRPr="00921BB8">
        <w:rPr>
          <w:rFonts w:ascii="Times New Roman" w:eastAsia="Times New Roman" w:hAnsi="Times New Roman" w:cs="Times New Roman"/>
          <w:color w:val="000000"/>
          <w:lang w:val="de-DE"/>
        </w:rPr>
        <w:t xml:space="preserve"> Das Verhältnis des christlichen Gottes zu seiner Gemeinde zeigt in der Tat jüdische Merkmale: da Gott ein Objekt des Glaubens wird, steht Er der Menschheit gegenüber und die Menschheit ist völlig abhängig von «ein Positives für sie, sie erkannte [...] sich als abhängig von ihm</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838"/>
      </w:r>
      <w:r w:rsidRPr="00921BB8">
        <w:rPr>
          <w:rFonts w:ascii="Times New Roman" w:eastAsia="Times New Roman" w:hAnsi="Times New Roman" w:cs="Times New Roman"/>
          <w:color w:val="000000"/>
          <w:lang w:val="de-DE"/>
        </w:rPr>
        <w:t xml:space="preserve">. </w:t>
      </w:r>
    </w:p>
    <w:p w14:paraId="76C2CABB" w14:textId="77777777" w:rsidR="001C3D81" w:rsidRPr="00921BB8" w:rsidRDefault="001C3D81" w:rsidP="001C3D81">
      <w:pPr>
        <w:spacing w:line="360" w:lineRule="auto"/>
        <w:ind w:firstLine="567"/>
        <w:jc w:val="both"/>
        <w:rPr>
          <w:rFonts w:ascii="Times New Roman" w:eastAsia="Times New Roman" w:hAnsi="Times New Roman" w:cs="Times New Roman"/>
          <w:color w:val="000000"/>
          <w:lang w:val="de-DE"/>
        </w:rPr>
      </w:pPr>
      <w:r w:rsidRPr="00921BB8">
        <w:rPr>
          <w:rFonts w:ascii="Times New Roman" w:eastAsia="Times New Roman" w:hAnsi="Times New Roman" w:cs="Times New Roman"/>
          <w:color w:val="000000"/>
          <w:lang w:val="de-DE"/>
        </w:rPr>
        <w:t xml:space="preserve">Die </w:t>
      </w:r>
      <w:r w:rsidRPr="00921BB8">
        <w:rPr>
          <w:rFonts w:ascii="Times New Roman" w:eastAsia="Times New Roman" w:hAnsi="Times New Roman" w:cs="Times New Roman"/>
          <w:i/>
          <w:color w:val="000000"/>
          <w:lang w:val="de-DE"/>
        </w:rPr>
        <w:t>Jugendschriften</w:t>
      </w:r>
      <w:r w:rsidRPr="00921BB8">
        <w:rPr>
          <w:rFonts w:ascii="Times New Roman" w:eastAsia="Times New Roman" w:hAnsi="Times New Roman" w:cs="Times New Roman"/>
          <w:color w:val="000000"/>
          <w:lang w:val="de-DE"/>
        </w:rPr>
        <w:t xml:space="preserve"> erreichen ihr Ziel, insofern Hegel versteht, dass die Religion nicht in der Lage ist, die Verhältnisse zwischen Menschheit (Endlichkeit) und Gottheit (Unendlichkeit) zu erklären. Das Bedürfnis nach Religion weicht einem neuen Bedürfnis, dem nach Philosophie, das die jüdisch-christliche Erbschaft übernehmen kann, von der die Hegelsche Gegenwart noch belastet war</w:t>
      </w:r>
      <w:r w:rsidRPr="00921BB8">
        <w:rPr>
          <w:rStyle w:val="Rimandonotaapidipagina"/>
          <w:rFonts w:ascii="Times New Roman" w:eastAsia="Times New Roman" w:hAnsi="Times New Roman" w:cs="Times New Roman"/>
          <w:color w:val="000000"/>
          <w:lang w:val="de-DE"/>
        </w:rPr>
        <w:footnoteReference w:id="839"/>
      </w:r>
      <w:r w:rsidRPr="00921BB8">
        <w:rPr>
          <w:rFonts w:ascii="Times New Roman" w:eastAsia="Times New Roman" w:hAnsi="Times New Roman" w:cs="Times New Roman"/>
          <w:color w:val="000000"/>
          <w:lang w:val="de-DE"/>
        </w:rPr>
        <w:t xml:space="preserve">. </w:t>
      </w:r>
    </w:p>
    <w:p w14:paraId="29E86B96" w14:textId="77777777" w:rsidR="001C3D81" w:rsidRPr="00921BB8" w:rsidRDefault="001C3D81" w:rsidP="001C3D81">
      <w:pPr>
        <w:spacing w:line="360" w:lineRule="auto"/>
        <w:ind w:firstLine="567"/>
        <w:jc w:val="both"/>
        <w:rPr>
          <w:rFonts w:ascii="Times New Roman" w:eastAsia="Times New Roman" w:hAnsi="Times New Roman" w:cs="Times New Roman"/>
          <w:color w:val="000000"/>
        </w:rPr>
      </w:pPr>
    </w:p>
    <w:p w14:paraId="54741283" w14:textId="77777777" w:rsidR="001C3D81" w:rsidRPr="00921BB8" w:rsidRDefault="001C3D81" w:rsidP="001C3D81">
      <w:pPr>
        <w:spacing w:line="360" w:lineRule="auto"/>
        <w:jc w:val="both"/>
        <w:rPr>
          <w:rFonts w:ascii="Times New Roman" w:eastAsia="Times New Roman" w:hAnsi="Times New Roman" w:cs="Times New Roman"/>
          <w:color w:val="000000"/>
          <w:lang w:val="de-DE"/>
        </w:rPr>
      </w:pPr>
      <w:r w:rsidRPr="00921BB8">
        <w:rPr>
          <w:rFonts w:ascii="Times New Roman" w:hAnsi="Times New Roman" w:cs="Times New Roman"/>
          <w:i/>
          <w:lang w:val="de-DE"/>
        </w:rPr>
        <w:t xml:space="preserve">1.3 Kabbala und Spinozismus: das Problem des Nichts in den </w:t>
      </w:r>
      <w:r w:rsidRPr="00921BB8">
        <w:rPr>
          <w:rFonts w:ascii="Times New Roman" w:hAnsi="Times New Roman" w:cs="Times New Roman"/>
          <w:lang w:val="de-DE"/>
        </w:rPr>
        <w:t>Kritischen Schriften</w:t>
      </w:r>
    </w:p>
    <w:p w14:paraId="03F70E33" w14:textId="77777777" w:rsidR="001C3D81" w:rsidRPr="00921BB8" w:rsidRDefault="001C3D81" w:rsidP="001C3D81">
      <w:pPr>
        <w:spacing w:line="360" w:lineRule="auto"/>
        <w:jc w:val="both"/>
        <w:rPr>
          <w:rFonts w:ascii="Times New Roman" w:eastAsia="Times New Roman" w:hAnsi="Times New Roman" w:cs="Times New Roman"/>
          <w:color w:val="000000"/>
          <w:lang w:val="de-DE"/>
        </w:rPr>
      </w:pPr>
    </w:p>
    <w:p w14:paraId="37E86F81" w14:textId="77777777" w:rsidR="001C3D81" w:rsidRPr="00921BB8" w:rsidRDefault="001C3D81" w:rsidP="001C3D81">
      <w:pPr>
        <w:spacing w:line="360" w:lineRule="auto"/>
        <w:ind w:firstLine="567"/>
        <w:jc w:val="both"/>
        <w:rPr>
          <w:rFonts w:ascii="Times New Roman" w:eastAsia="Times New Roman" w:hAnsi="Times New Roman" w:cs="Times New Roman"/>
          <w:color w:val="000000"/>
          <w:lang w:val="de-DE"/>
        </w:rPr>
      </w:pPr>
      <w:r w:rsidRPr="00921BB8">
        <w:rPr>
          <w:rFonts w:ascii="Times New Roman" w:eastAsia="Times New Roman" w:hAnsi="Times New Roman" w:cs="Times New Roman"/>
          <w:color w:val="000000"/>
          <w:lang w:val="de-DE"/>
        </w:rPr>
        <w:t xml:space="preserve">Das Problem der Negativität und des Nichts, das Hegel in den </w:t>
      </w:r>
      <w:r w:rsidRPr="00921BB8">
        <w:rPr>
          <w:rFonts w:ascii="Times New Roman" w:eastAsia="Times New Roman" w:hAnsi="Times New Roman" w:cs="Times New Roman"/>
          <w:i/>
          <w:color w:val="000000"/>
          <w:lang w:val="de-DE"/>
        </w:rPr>
        <w:t>Jenaer Schriften</w:t>
      </w:r>
      <w:r w:rsidRPr="00921BB8">
        <w:rPr>
          <w:rFonts w:ascii="Times New Roman" w:eastAsia="Times New Roman" w:hAnsi="Times New Roman" w:cs="Times New Roman"/>
          <w:color w:val="000000"/>
          <w:lang w:val="de-DE"/>
        </w:rPr>
        <w:t xml:space="preserve"> entwickeln wird, ist nicht nur eine bloße Wiederholung der Problematik der </w:t>
      </w:r>
      <w:r w:rsidRPr="00921BB8">
        <w:rPr>
          <w:rFonts w:ascii="Times New Roman" w:eastAsia="Times New Roman" w:hAnsi="Times New Roman" w:cs="Times New Roman"/>
          <w:i/>
          <w:color w:val="000000"/>
          <w:lang w:val="de-DE"/>
        </w:rPr>
        <w:t>Jugendschriften</w:t>
      </w:r>
      <w:r w:rsidRPr="00921BB8">
        <w:rPr>
          <w:rFonts w:ascii="Times New Roman" w:eastAsia="Times New Roman" w:hAnsi="Times New Roman" w:cs="Times New Roman"/>
          <w:color w:val="000000"/>
          <w:lang w:val="de-DE"/>
        </w:rPr>
        <w:t>, sondern auch eine Auseinandersetzung mit der Debatte über den Nihilismus, den die Schriften Jacobis (</w:t>
      </w:r>
      <w:r w:rsidRPr="00921BB8">
        <w:rPr>
          <w:rFonts w:ascii="Times New Roman" w:eastAsia="Times New Roman" w:hAnsi="Times New Roman" w:cs="Times New Roman"/>
          <w:i/>
          <w:color w:val="000000"/>
          <w:lang w:val="de-DE"/>
        </w:rPr>
        <w:t>Spinozabriefen</w:t>
      </w:r>
      <w:r w:rsidRPr="00921BB8">
        <w:rPr>
          <w:rFonts w:ascii="Times New Roman" w:eastAsia="Times New Roman" w:hAnsi="Times New Roman" w:cs="Times New Roman"/>
          <w:color w:val="000000"/>
          <w:lang w:val="de-DE"/>
        </w:rPr>
        <w:t xml:space="preserve"> und </w:t>
      </w:r>
      <w:r w:rsidRPr="00921BB8">
        <w:rPr>
          <w:rFonts w:ascii="Times New Roman" w:hAnsi="Times New Roman" w:cs="Times New Roman"/>
          <w:i/>
        </w:rPr>
        <w:t>Jacobi an Fichte</w:t>
      </w:r>
      <w:r w:rsidRPr="00921BB8">
        <w:rPr>
          <w:rFonts w:ascii="Times New Roman" w:eastAsia="Times New Roman" w:hAnsi="Times New Roman" w:cs="Times New Roman"/>
          <w:color w:val="000000"/>
          <w:lang w:val="de-DE"/>
        </w:rPr>
        <w:t>) angeregt hatten. Im Briefwechsel mit Fichte bietet Jacobi eine Dekonstruktion des Prozesses dar, auf den das Ich die wissenschaftliche Wahrheit gründet. Nihilistisch in seinem zugrundeliegenden Wesen ist der Idealismus Fichtes, der eine ideale Vernichtung und Erschaffung der Objektivität betreibt. Weil die Realität ontologisch unabhängig von der Vernunft ist, lässt sie sich nicht vom menschlichen Erkenntnisvermögen ableiten. Die Tätigkeit des Denkens schafft das idealisierte Objekt nicht und stellt sie sich im Gegenteil als eine Bewegung „aus Nichts, zu Nichts, für Nichts, in Nichts</w:t>
      </w:r>
      <w:r w:rsidRPr="00921BB8">
        <w:rPr>
          <w:rFonts w:ascii="Times New Roman" w:hAnsi="Times New Roman" w:cs="Times New Roman"/>
        </w:rPr>
        <w:t>”</w:t>
      </w:r>
      <w:r w:rsidRPr="00921BB8">
        <w:rPr>
          <w:rStyle w:val="Rimandonotaapidipagina"/>
          <w:rFonts w:ascii="Times New Roman" w:eastAsia="Times New Roman" w:hAnsi="Times New Roman" w:cs="Times New Roman"/>
          <w:color w:val="000000"/>
          <w:lang w:val="de-DE"/>
        </w:rPr>
        <w:footnoteReference w:id="840"/>
      </w:r>
      <w:r w:rsidRPr="00921BB8">
        <w:rPr>
          <w:rFonts w:ascii="Times New Roman" w:hAnsi="Times New Roman" w:cs="Times New Roman"/>
        </w:rPr>
        <w:t xml:space="preserve"> dar</w:t>
      </w:r>
      <w:r w:rsidRPr="00921BB8">
        <w:rPr>
          <w:rFonts w:ascii="Times New Roman" w:eastAsia="Times New Roman" w:hAnsi="Times New Roman" w:cs="Times New Roman"/>
          <w:color w:val="000000"/>
          <w:lang w:val="de-DE"/>
        </w:rPr>
        <w:t xml:space="preserve">. </w:t>
      </w:r>
    </w:p>
    <w:p w14:paraId="6B0A6B72" w14:textId="623D799C" w:rsidR="001C3D81" w:rsidRPr="00921BB8" w:rsidRDefault="001C3D81" w:rsidP="001C3D81">
      <w:pPr>
        <w:spacing w:line="360" w:lineRule="auto"/>
        <w:ind w:firstLine="567"/>
        <w:jc w:val="both"/>
        <w:rPr>
          <w:rFonts w:ascii="Times New Roman" w:eastAsia="Times New Roman" w:hAnsi="Times New Roman" w:cs="Times New Roman"/>
          <w:color w:val="000000"/>
          <w:lang w:val="de-DE"/>
        </w:rPr>
      </w:pPr>
      <w:r w:rsidRPr="00921BB8">
        <w:rPr>
          <w:rFonts w:ascii="Times New Roman" w:eastAsia="Times New Roman" w:hAnsi="Times New Roman" w:cs="Times New Roman"/>
          <w:color w:val="000000"/>
          <w:lang w:val="de-DE"/>
        </w:rPr>
        <w:t>Schon vor der Fichteschen Reduktion des Objekts auf ein phantasmatisches Produkt der menschlichen Vernunft hat Spinoza versucht, die ontologische Autonomie der Objektivität zu vernichten. Aufgrund des kabbalistischen Prinzips „a nihilo nihil fit</w:t>
      </w:r>
      <w:r w:rsidRPr="00921BB8">
        <w:rPr>
          <w:rFonts w:ascii="Times New Roman" w:hAnsi="Times New Roman" w:cs="Times New Roman"/>
        </w:rPr>
        <w:t>”</w:t>
      </w:r>
      <w:r w:rsidRPr="00921BB8">
        <w:rPr>
          <w:rStyle w:val="Rimandonotaapidipagina"/>
          <w:rFonts w:ascii="Times New Roman" w:eastAsia="Times New Roman" w:hAnsi="Times New Roman" w:cs="Times New Roman"/>
          <w:color w:val="000000"/>
          <w:lang w:val="de-DE"/>
        </w:rPr>
        <w:footnoteReference w:id="841"/>
      </w:r>
      <w:r w:rsidRPr="00921BB8">
        <w:rPr>
          <w:rFonts w:ascii="Times New Roman" w:hAnsi="Times New Roman" w:cs="Times New Roman"/>
        </w:rPr>
        <w:t xml:space="preserve"> </w:t>
      </w:r>
      <w:r w:rsidRPr="00921BB8">
        <w:rPr>
          <w:rFonts w:ascii="Times New Roman" w:hAnsi="Times New Roman" w:cs="Times New Roman"/>
          <w:lang w:val="de-DE"/>
        </w:rPr>
        <w:t xml:space="preserve">ist die Spinozistische Substanz </w:t>
      </w:r>
      <w:r w:rsidRPr="00921BB8">
        <w:rPr>
          <w:rFonts w:ascii="Times New Roman" w:eastAsia="Times New Roman" w:hAnsi="Times New Roman" w:cs="Times New Roman"/>
          <w:iCs/>
          <w:color w:val="222222"/>
          <w:shd w:val="clear" w:color="auto" w:fill="FFFFFF"/>
          <w:lang w:val="de-DE"/>
        </w:rPr>
        <w:t>„ein nur immanentes En-Sof; eine inwohnende, ewig in sich unveränderliche Ursache der Welt</w:t>
      </w:r>
      <w:r w:rsidRPr="00921BB8">
        <w:rPr>
          <w:rFonts w:ascii="Times New Roman" w:hAnsi="Times New Roman" w:cs="Times New Roman"/>
        </w:rPr>
        <w:t>”</w:t>
      </w:r>
      <w:r w:rsidRPr="00921BB8">
        <w:rPr>
          <w:rStyle w:val="Rimandonotaapidipagina"/>
          <w:rFonts w:ascii="Times New Roman" w:eastAsia="Times New Roman" w:hAnsi="Times New Roman" w:cs="Times New Roman"/>
          <w:iCs/>
          <w:color w:val="222222"/>
          <w:shd w:val="clear" w:color="auto" w:fill="FFFFFF"/>
          <w:lang w:val="de-DE"/>
        </w:rPr>
        <w:footnoteReference w:id="842"/>
      </w:r>
      <w:r w:rsidRPr="00921BB8">
        <w:rPr>
          <w:rFonts w:ascii="Times New Roman" w:eastAsia="Times New Roman" w:hAnsi="Times New Roman" w:cs="Times New Roman"/>
          <w:iCs/>
          <w:color w:val="222222"/>
          <w:shd w:val="clear" w:color="auto" w:fill="FFFFFF"/>
          <w:lang w:val="de-DE"/>
        </w:rPr>
        <w:t xml:space="preserve">. Der Spinozismus verleugnet die Idee einer </w:t>
      </w:r>
      <w:r w:rsidRPr="00921BB8">
        <w:rPr>
          <w:rFonts w:ascii="Times New Roman" w:eastAsia="Times New Roman" w:hAnsi="Times New Roman" w:cs="Times New Roman"/>
          <w:i/>
          <w:iCs/>
          <w:color w:val="222222"/>
          <w:shd w:val="clear" w:color="auto" w:fill="FFFFFF"/>
          <w:lang w:val="de-DE"/>
        </w:rPr>
        <w:t>creatio ex nihilo</w:t>
      </w:r>
      <w:r w:rsidRPr="00921BB8">
        <w:rPr>
          <w:rFonts w:ascii="Times New Roman" w:eastAsia="Times New Roman" w:hAnsi="Times New Roman" w:cs="Times New Roman"/>
          <w:iCs/>
          <w:color w:val="222222"/>
          <w:shd w:val="clear" w:color="auto" w:fill="FFFFFF"/>
          <w:lang w:val="de-DE"/>
        </w:rPr>
        <w:t xml:space="preserve">: der unzertrennbaren Substanz, die ewig in sich das Für-sich-sein ihrer Modifikationen überwindet, entspricht </w:t>
      </w:r>
      <w:r w:rsidR="00BD604A">
        <w:rPr>
          <w:rFonts w:ascii="Times New Roman" w:eastAsia="Times New Roman" w:hAnsi="Times New Roman" w:cs="Times New Roman"/>
          <w:iCs/>
          <w:color w:val="222222"/>
          <w:shd w:val="clear" w:color="auto" w:fill="FFFFFF"/>
          <w:lang w:val="de-DE"/>
        </w:rPr>
        <w:t xml:space="preserve">– aufgrund des Prinzips </w:t>
      </w:r>
      <w:r w:rsidR="00BD604A">
        <w:rPr>
          <w:rFonts w:ascii="Times New Roman" w:eastAsia="Times New Roman" w:hAnsi="Times New Roman" w:cs="Times New Roman"/>
          <w:i/>
          <w:iCs/>
          <w:color w:val="222222"/>
          <w:shd w:val="clear" w:color="auto" w:fill="FFFFFF"/>
          <w:lang w:val="de-DE"/>
        </w:rPr>
        <w:t>determinatio est negatio</w:t>
      </w:r>
      <w:r w:rsidR="00BD604A">
        <w:rPr>
          <w:rStyle w:val="Rimandonotaapidipagina"/>
          <w:rFonts w:ascii="Times New Roman" w:eastAsia="Times New Roman" w:hAnsi="Times New Roman" w:cs="Times New Roman"/>
          <w:i/>
          <w:iCs/>
          <w:color w:val="222222"/>
          <w:shd w:val="clear" w:color="auto" w:fill="FFFFFF"/>
          <w:lang w:val="de-DE"/>
        </w:rPr>
        <w:footnoteReference w:id="843"/>
      </w:r>
      <w:r w:rsidR="00BD604A">
        <w:rPr>
          <w:rFonts w:ascii="Times New Roman" w:eastAsia="Times New Roman" w:hAnsi="Times New Roman" w:cs="Times New Roman"/>
          <w:i/>
          <w:iCs/>
          <w:color w:val="222222"/>
          <w:shd w:val="clear" w:color="auto" w:fill="FFFFFF"/>
          <w:lang w:val="de-DE"/>
        </w:rPr>
        <w:t xml:space="preserve"> </w:t>
      </w:r>
      <w:r w:rsidR="00BD604A">
        <w:rPr>
          <w:rFonts w:ascii="Times New Roman" w:eastAsia="Times New Roman" w:hAnsi="Times New Roman" w:cs="Times New Roman"/>
          <w:iCs/>
          <w:color w:val="222222"/>
          <w:shd w:val="clear" w:color="auto" w:fill="FFFFFF"/>
          <w:lang w:val="de-DE"/>
        </w:rPr>
        <w:t xml:space="preserve">– </w:t>
      </w:r>
      <w:r w:rsidRPr="00921BB8">
        <w:rPr>
          <w:rFonts w:ascii="Times New Roman" w:eastAsia="Times New Roman" w:hAnsi="Times New Roman" w:cs="Times New Roman"/>
          <w:iCs/>
          <w:color w:val="222222"/>
          <w:shd w:val="clear" w:color="auto" w:fill="FFFFFF"/>
          <w:lang w:val="de-DE"/>
        </w:rPr>
        <w:t xml:space="preserve">ein unbestimmtes </w:t>
      </w:r>
      <w:r w:rsidRPr="00921BB8">
        <w:rPr>
          <w:rFonts w:ascii="Times New Roman" w:eastAsia="Times New Roman" w:hAnsi="Times New Roman" w:cs="Times New Roman"/>
          <w:i/>
          <w:iCs/>
          <w:color w:val="222222"/>
          <w:shd w:val="clear" w:color="auto" w:fill="FFFFFF"/>
          <w:lang w:val="de-DE"/>
        </w:rPr>
        <w:t>omne esse</w:t>
      </w:r>
      <w:r w:rsidRPr="00921BB8">
        <w:rPr>
          <w:rFonts w:ascii="Times New Roman" w:eastAsia="Times New Roman" w:hAnsi="Times New Roman" w:cs="Times New Roman"/>
          <w:iCs/>
          <w:color w:val="222222"/>
          <w:shd w:val="clear" w:color="auto" w:fill="FFFFFF"/>
          <w:lang w:val="de-DE"/>
        </w:rPr>
        <w:t>.</w:t>
      </w:r>
      <w:r w:rsidRPr="00921BB8">
        <w:rPr>
          <w:rFonts w:ascii="Times New Roman" w:eastAsia="Times New Roman" w:hAnsi="Times New Roman" w:cs="Times New Roman"/>
          <w:i/>
          <w:iCs/>
          <w:color w:val="222222"/>
          <w:shd w:val="clear" w:color="auto" w:fill="FFFFFF"/>
          <w:lang w:val="de-DE"/>
        </w:rPr>
        <w:t xml:space="preserve"> </w:t>
      </w:r>
      <w:r w:rsidRPr="00921BB8">
        <w:rPr>
          <w:rFonts w:ascii="Times New Roman" w:eastAsia="Times New Roman" w:hAnsi="Times New Roman" w:cs="Times New Roman"/>
          <w:color w:val="000000"/>
          <w:lang w:val="de-DE"/>
        </w:rPr>
        <w:t>Jacobis Meinung nach kann Spinoza keine „natürliche Erklärung des Daseyns endlicher und aufeinanderfolgender Dinge</w:t>
      </w:r>
      <w:r w:rsidRPr="00921BB8">
        <w:rPr>
          <w:rFonts w:ascii="Times New Roman" w:eastAsia="Times New Roman" w:hAnsi="Times New Roman" w:cs="Times New Roman"/>
          <w:color w:val="000000"/>
        </w:rPr>
        <w:t>”</w:t>
      </w:r>
      <w:r w:rsidRPr="00921BB8">
        <w:rPr>
          <w:rStyle w:val="Rimandonotaapidipagina"/>
          <w:rFonts w:ascii="Times New Roman" w:hAnsi="Times New Roman" w:cs="Times New Roman"/>
          <w:lang w:val="de-DE"/>
        </w:rPr>
        <w:footnoteReference w:id="844"/>
      </w:r>
      <w:r w:rsidRPr="00921BB8">
        <w:rPr>
          <w:rFonts w:ascii="Times New Roman" w:eastAsia="Times New Roman" w:hAnsi="Times New Roman" w:cs="Times New Roman"/>
          <w:color w:val="000000"/>
          <w:lang w:val="de-DE"/>
        </w:rPr>
        <w:t xml:space="preserve"> entwickeln, </w:t>
      </w:r>
      <w:r w:rsidRPr="00921BB8">
        <w:rPr>
          <w:rFonts w:ascii="Times New Roman" w:hAnsi="Times New Roman" w:cs="Times New Roman"/>
          <w:lang w:val="de-DE"/>
        </w:rPr>
        <w:t>weil die Substanz ein bloßes Gedachtes ist, das keinen Übergang vom Denken zur Realität (die ontologisch unabhängig ist) vorsieht und ein rein logisches Verhältnis zwischen Grund und Begründetem ausdrückt</w:t>
      </w:r>
      <w:r w:rsidRPr="00921BB8">
        <w:rPr>
          <w:rStyle w:val="Rimandonotaapidipagina"/>
          <w:rFonts w:ascii="Times New Roman" w:hAnsi="Times New Roman" w:cs="Times New Roman"/>
          <w:lang w:val="de-DE"/>
        </w:rPr>
        <w:footnoteReference w:id="845"/>
      </w:r>
      <w:r w:rsidRPr="00921BB8">
        <w:rPr>
          <w:rFonts w:ascii="Times New Roman" w:hAnsi="Times New Roman" w:cs="Times New Roman"/>
          <w:lang w:val="de-DE"/>
        </w:rPr>
        <w:t xml:space="preserve">. </w:t>
      </w:r>
    </w:p>
    <w:p w14:paraId="09C8EE7A" w14:textId="76C75CA7" w:rsidR="001C3D81" w:rsidRPr="00921BB8" w:rsidRDefault="001C3D81" w:rsidP="001C3D81">
      <w:pPr>
        <w:spacing w:line="360" w:lineRule="auto"/>
        <w:ind w:firstLine="567"/>
        <w:jc w:val="both"/>
        <w:rPr>
          <w:rFonts w:ascii="Times New Roman" w:eastAsia="Times New Roman" w:hAnsi="Times New Roman" w:cs="Times New Roman"/>
          <w:color w:val="000000"/>
          <w:lang w:val="de-DE"/>
        </w:rPr>
      </w:pPr>
      <w:r w:rsidRPr="00921BB8">
        <w:rPr>
          <w:rFonts w:ascii="Times New Roman" w:hAnsi="Times New Roman" w:cs="Times New Roman"/>
          <w:lang w:val="de-DE"/>
        </w:rPr>
        <w:t xml:space="preserve">Jacobis Auslegung des Kritizismus und Spinozismus spielt eine entscheidende Rolle für die Einführung der Hegelschen Betrachtung über den Nihilismus Fichtes und Spinozas in </w:t>
      </w:r>
      <w:r w:rsidRPr="00921BB8">
        <w:rPr>
          <w:rFonts w:ascii="Times New Roman" w:hAnsi="Times New Roman" w:cs="Times New Roman"/>
          <w:i/>
          <w:lang w:val="de-DE"/>
        </w:rPr>
        <w:t>Glauben und Wissen</w:t>
      </w:r>
      <w:r w:rsidRPr="00921BB8">
        <w:rPr>
          <w:rFonts w:ascii="Times New Roman" w:hAnsi="Times New Roman" w:cs="Times New Roman"/>
          <w:lang w:val="de-DE"/>
        </w:rPr>
        <w:t xml:space="preserve">. Nach Hegel </w:t>
      </w:r>
      <w:r w:rsidRPr="00921BB8">
        <w:rPr>
          <w:rFonts w:ascii="Times New Roman" w:eastAsia="Times New Roman" w:hAnsi="Times New Roman" w:cs="Times New Roman"/>
          <w:color w:val="000000"/>
          <w:lang w:val="de-DE"/>
        </w:rPr>
        <w:t xml:space="preserve">bleibt </w:t>
      </w:r>
      <w:r w:rsidRPr="00921BB8">
        <w:rPr>
          <w:rFonts w:ascii="Times New Roman" w:eastAsia="Times New Roman" w:hAnsi="Times New Roman" w:cs="Times New Roman"/>
          <w:i/>
          <w:color w:val="000000"/>
          <w:lang w:val="de-DE"/>
        </w:rPr>
        <w:t xml:space="preserve">das </w:t>
      </w:r>
      <w:r w:rsidRPr="00921BB8">
        <w:rPr>
          <w:rFonts w:ascii="Times New Roman" w:hAnsi="Times New Roman" w:cs="Times New Roman"/>
          <w:i/>
          <w:lang w:val="de-DE"/>
        </w:rPr>
        <w:t>absolute Nichts</w:t>
      </w:r>
      <w:r w:rsidRPr="00921BB8">
        <w:rPr>
          <w:rFonts w:ascii="Times New Roman" w:eastAsia="Times New Roman" w:hAnsi="Times New Roman" w:cs="Times New Roman"/>
          <w:color w:val="000000"/>
          <w:lang w:val="de-DE"/>
        </w:rPr>
        <w:t>, das Erste, was die Philosophie erkennen muss, um voraussetzungslos zu denken, f</w:t>
      </w:r>
      <w:r w:rsidRPr="00921BB8">
        <w:rPr>
          <w:rFonts w:ascii="Times New Roman" w:hAnsi="Times New Roman" w:cs="Times New Roman"/>
          <w:lang w:val="de-DE"/>
        </w:rPr>
        <w:t>ü</w:t>
      </w:r>
      <w:r w:rsidRPr="00921BB8">
        <w:rPr>
          <w:rFonts w:ascii="Times New Roman" w:eastAsia="Times New Roman" w:hAnsi="Times New Roman" w:cs="Times New Roman"/>
          <w:color w:val="000000"/>
          <w:lang w:val="de-DE"/>
        </w:rPr>
        <w:t>r den Fichteschen Idealismus, der sich noch nicht von der Entgegensetzung zwischen Ich und Nicht-Ich befreit hat, ein unerreichbares Ziel</w:t>
      </w:r>
      <w:r w:rsidR="00D936C7">
        <w:rPr>
          <w:rStyle w:val="Rimandonotaapidipagina"/>
          <w:rFonts w:ascii="Times New Roman" w:eastAsia="Times New Roman" w:hAnsi="Times New Roman" w:cs="Times New Roman"/>
          <w:color w:val="000000"/>
          <w:lang w:val="de-DE"/>
        </w:rPr>
        <w:footnoteReference w:id="846"/>
      </w:r>
      <w:r w:rsidRPr="00921BB8">
        <w:rPr>
          <w:rFonts w:ascii="Times New Roman" w:eastAsia="Times New Roman" w:hAnsi="Times New Roman" w:cs="Times New Roman"/>
          <w:color w:val="000000"/>
          <w:lang w:val="de-DE"/>
        </w:rPr>
        <w:t xml:space="preserve">. Im Gegensatz dazu stellt der </w:t>
      </w:r>
      <w:r w:rsidRPr="00921BB8">
        <w:rPr>
          <w:rFonts w:ascii="Times New Roman" w:hAnsi="Times New Roman" w:cs="Times New Roman"/>
          <w:lang w:val="de-DE"/>
        </w:rPr>
        <w:t xml:space="preserve">Spinozismus – hier interpretiert angesichts der </w:t>
      </w:r>
      <w:r w:rsidRPr="00921BB8">
        <w:rPr>
          <w:rFonts w:ascii="Times New Roman" w:hAnsi="Times New Roman" w:cs="Times New Roman"/>
          <w:i/>
          <w:lang w:val="de-DE"/>
        </w:rPr>
        <w:t xml:space="preserve">Darstellung meines Systems der Philosophie </w:t>
      </w:r>
      <w:r w:rsidRPr="00921BB8">
        <w:rPr>
          <w:rFonts w:ascii="Times New Roman" w:hAnsi="Times New Roman" w:cs="Times New Roman"/>
          <w:lang w:val="de-DE"/>
        </w:rPr>
        <w:t xml:space="preserve">von Schelling – jene Form des neuzeitlichen Denkens dar, die in der Lage ist, den Begriff des </w:t>
      </w:r>
      <w:r w:rsidRPr="00921BB8">
        <w:rPr>
          <w:rFonts w:ascii="Times New Roman" w:hAnsi="Times New Roman" w:cs="Times New Roman"/>
          <w:i/>
          <w:lang w:val="de-DE"/>
        </w:rPr>
        <w:t xml:space="preserve">absoluten Nichts </w:t>
      </w:r>
      <w:r w:rsidRPr="00921BB8">
        <w:rPr>
          <w:rFonts w:ascii="Times New Roman" w:hAnsi="Times New Roman" w:cs="Times New Roman"/>
          <w:lang w:val="de-DE"/>
        </w:rPr>
        <w:t>kohärent zu</w:t>
      </w:r>
      <w:r w:rsidRPr="00921BB8">
        <w:rPr>
          <w:rFonts w:ascii="Times New Roman" w:hAnsi="Times New Roman" w:cs="Times New Roman"/>
          <w:i/>
          <w:lang w:val="de-DE"/>
        </w:rPr>
        <w:t xml:space="preserve"> </w:t>
      </w:r>
      <w:r w:rsidRPr="00921BB8">
        <w:rPr>
          <w:rFonts w:ascii="Times New Roman" w:hAnsi="Times New Roman" w:cs="Times New Roman"/>
          <w:lang w:val="de-DE"/>
        </w:rPr>
        <w:t xml:space="preserve">erfassen. </w:t>
      </w:r>
      <w:r w:rsidRPr="00921BB8">
        <w:rPr>
          <w:rFonts w:ascii="Times New Roman" w:eastAsia="Times New Roman" w:hAnsi="Times New Roman" w:cs="Times New Roman"/>
          <w:color w:val="000000"/>
          <w:lang w:val="de-DE"/>
        </w:rPr>
        <w:t>Da die Spinozistische Substanz in sich die qualitative Indifferenz und die quantitative Differenz von Sein und Denken enthält</w:t>
      </w:r>
      <w:r w:rsidRPr="00921BB8">
        <w:rPr>
          <w:rStyle w:val="Rimandonotaapidipagina"/>
          <w:rFonts w:ascii="Times New Roman" w:eastAsia="Times New Roman" w:hAnsi="Times New Roman" w:cs="Times New Roman"/>
          <w:color w:val="000000"/>
          <w:lang w:val="de-DE"/>
        </w:rPr>
        <w:footnoteReference w:id="847"/>
      </w:r>
      <w:r w:rsidRPr="00921BB8">
        <w:rPr>
          <w:rFonts w:ascii="Times New Roman" w:eastAsia="Times New Roman" w:hAnsi="Times New Roman" w:cs="Times New Roman"/>
          <w:color w:val="000000"/>
          <w:lang w:val="de-DE"/>
        </w:rPr>
        <w:t>, wird sie mit dem Ausgangspunkt der Philosophie (mit dem absoluten Nichts) identifiziert. Das absolute Nichts ist nicht nur eine durchsichtige Leerheit, sondern auch eine Grundlage, von der aus die Entgegensetzung von Subjektivem und Objektivem überwunden wird und alles Seins ausgegangen ist. Die Spinozistische Substanz manifestiert sich als absolute Affirmation seiner selbst und seinem Anderssein, d.h. als „das Erste, worauf alles Sein, alle Mannigfaltigkeit des Endlichen hervorgegangen ist</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848"/>
      </w:r>
      <w:r w:rsidRPr="00921BB8">
        <w:rPr>
          <w:rFonts w:ascii="Times New Roman" w:eastAsia="Times New Roman" w:hAnsi="Times New Roman" w:cs="Times New Roman"/>
          <w:color w:val="000000"/>
          <w:lang w:val="de-DE"/>
        </w:rPr>
        <w:t>.</w:t>
      </w:r>
    </w:p>
    <w:p w14:paraId="7C716DBF" w14:textId="77777777" w:rsidR="001C3D81" w:rsidRPr="00921BB8" w:rsidRDefault="001C3D81" w:rsidP="001C3D81">
      <w:pPr>
        <w:spacing w:line="360" w:lineRule="auto"/>
        <w:jc w:val="both"/>
        <w:rPr>
          <w:rFonts w:ascii="Times New Roman" w:eastAsia="Times New Roman" w:hAnsi="Times New Roman" w:cs="Times New Roman"/>
          <w:color w:val="000000"/>
        </w:rPr>
      </w:pPr>
    </w:p>
    <w:p w14:paraId="268C37C4" w14:textId="77777777" w:rsidR="001C3D81" w:rsidRPr="00921BB8" w:rsidRDefault="001C3D81" w:rsidP="001C3D81">
      <w:pPr>
        <w:spacing w:line="360" w:lineRule="auto"/>
        <w:jc w:val="both"/>
        <w:rPr>
          <w:rFonts w:ascii="Times New Roman" w:hAnsi="Times New Roman" w:cs="Times New Roman"/>
          <w:i/>
        </w:rPr>
      </w:pPr>
      <w:r w:rsidRPr="00921BB8">
        <w:rPr>
          <w:rFonts w:ascii="Times New Roman" w:hAnsi="Times New Roman" w:cs="Times New Roman"/>
          <w:i/>
        </w:rPr>
        <w:t xml:space="preserve">1.4. Barbarei und Lebenslauf Gottes: das </w:t>
      </w:r>
      <w:r w:rsidRPr="00921BB8">
        <w:rPr>
          <w:rFonts w:ascii="Times New Roman" w:hAnsi="Times New Roman" w:cs="Times New Roman"/>
        </w:rPr>
        <w:t xml:space="preserve">Fragment 49 </w:t>
      </w:r>
      <w:r w:rsidRPr="00921BB8">
        <w:rPr>
          <w:rFonts w:ascii="Times New Roman" w:hAnsi="Times New Roman" w:cs="Times New Roman"/>
          <w:i/>
        </w:rPr>
        <w:t>und die Hegelsche Theorie der Prozessualität des Absoluten.</w:t>
      </w:r>
    </w:p>
    <w:p w14:paraId="6C442BF3" w14:textId="77777777" w:rsidR="001C3D81" w:rsidRPr="00921BB8" w:rsidRDefault="001C3D81" w:rsidP="001C3D81">
      <w:pPr>
        <w:spacing w:line="360" w:lineRule="auto"/>
        <w:jc w:val="both"/>
        <w:rPr>
          <w:rFonts w:ascii="Times New Roman" w:hAnsi="Times New Roman" w:cs="Times New Roman"/>
          <w:i/>
        </w:rPr>
      </w:pPr>
    </w:p>
    <w:p w14:paraId="0E56E9A3" w14:textId="77777777" w:rsidR="001C3D81" w:rsidRPr="00921BB8" w:rsidRDefault="001C3D81" w:rsidP="001C3D81">
      <w:pPr>
        <w:spacing w:line="360" w:lineRule="auto"/>
        <w:ind w:firstLine="567"/>
        <w:jc w:val="both"/>
        <w:rPr>
          <w:rFonts w:ascii="Times New Roman" w:hAnsi="Times New Roman" w:cs="Times New Roman"/>
          <w:i/>
          <w:lang w:val="de-DE"/>
        </w:rPr>
      </w:pPr>
      <w:r w:rsidRPr="00921BB8">
        <w:rPr>
          <w:rFonts w:ascii="Times New Roman" w:hAnsi="Times New Roman" w:cs="Times New Roman"/>
          <w:lang w:val="de-DE"/>
        </w:rPr>
        <w:t xml:space="preserve">Die oben analysierten Stellungen werden zwischen 1803 und 1807 einer radikalen Revision unterzogen. Es geht um die Auffassung des Wahren, des Absoluten, </w:t>
      </w:r>
      <w:r w:rsidRPr="00921BB8">
        <w:rPr>
          <w:rFonts w:ascii="Times New Roman" w:eastAsia="Times New Roman" w:hAnsi="Times New Roman" w:cs="Times New Roman"/>
          <w:color w:val="000000"/>
          <w:lang w:val="de-DE"/>
        </w:rPr>
        <w:t xml:space="preserve">als Subjekt, das α) sich auf sich negativ bezieht, β) sich als das Andere seiner selbst setzt und γ) durch die Aufhebung seines Andersseins zu sich zurückkehrt. Um dieses theoretische Ergebnis zu erreichen, entwickelt Hegel eine innovative </w:t>
      </w:r>
      <w:r w:rsidRPr="00921BB8">
        <w:rPr>
          <w:rFonts w:ascii="Times New Roman" w:eastAsia="Times New Roman" w:hAnsi="Times New Roman" w:cs="Times New Roman"/>
          <w:i/>
          <w:color w:val="000000"/>
          <w:lang w:val="de-DE"/>
        </w:rPr>
        <w:t>Form</w:t>
      </w:r>
      <w:r w:rsidRPr="00921BB8">
        <w:rPr>
          <w:rFonts w:ascii="Times New Roman" w:eastAsia="Times New Roman" w:hAnsi="Times New Roman" w:cs="Times New Roman"/>
          <w:color w:val="000000"/>
          <w:lang w:val="de-DE"/>
        </w:rPr>
        <w:t xml:space="preserve"> – die Dialektik – des absoluten Inhalts. Die „entwickelte Form</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849"/>
      </w:r>
      <w:r w:rsidRPr="00921BB8">
        <w:rPr>
          <w:rFonts w:ascii="Times New Roman" w:eastAsia="Times New Roman" w:hAnsi="Times New Roman" w:cs="Times New Roman"/>
          <w:color w:val="000000"/>
          <w:lang w:val="de-DE"/>
        </w:rPr>
        <w:t xml:space="preserve"> des Inhaltes richtet sich auf ein Verständnis des Absoluten (des Inhaltes) als unbedingte Wirklichkeit: der Auslegung des Absoluten, das sich von sich abstößt und sich als Gegenteil seiner selbst freilich setzt, entspricht eine Form des Inhaltes, die der selbstbestimmenden Entwicklung desselben nicht außerlich, sondern gemäß und kongruent ist. </w:t>
      </w:r>
    </w:p>
    <w:p w14:paraId="374DDC78" w14:textId="77777777" w:rsidR="001C3D81" w:rsidRPr="00921BB8" w:rsidRDefault="001C3D81" w:rsidP="001C3D81">
      <w:pPr>
        <w:spacing w:line="360" w:lineRule="auto"/>
        <w:ind w:firstLine="567"/>
        <w:jc w:val="both"/>
        <w:rPr>
          <w:rFonts w:ascii="Times New Roman" w:eastAsia="Times New Roman" w:hAnsi="Times New Roman" w:cs="Times New Roman"/>
          <w:color w:val="000000"/>
          <w:lang w:val="de-DE"/>
        </w:rPr>
      </w:pPr>
      <w:r w:rsidRPr="00921BB8">
        <w:rPr>
          <w:rFonts w:ascii="Times New Roman" w:eastAsia="Times New Roman" w:hAnsi="Times New Roman" w:cs="Times New Roman"/>
          <w:color w:val="000000"/>
          <w:lang w:val="de-DE"/>
        </w:rPr>
        <w:t xml:space="preserve">Aufgrund dieser theoretischen Koordinaten werde ich ein Exzerpt von 1804/05 – das </w:t>
      </w:r>
      <w:r w:rsidRPr="00921BB8">
        <w:rPr>
          <w:rFonts w:ascii="Times New Roman" w:eastAsia="Times New Roman" w:hAnsi="Times New Roman" w:cs="Times New Roman"/>
          <w:i/>
          <w:color w:val="000000"/>
          <w:lang w:val="de-DE"/>
        </w:rPr>
        <w:t xml:space="preserve">Fragment 49 – </w:t>
      </w:r>
      <w:r w:rsidRPr="00921BB8">
        <w:rPr>
          <w:rFonts w:ascii="Times New Roman" w:eastAsia="Times New Roman" w:hAnsi="Times New Roman" w:cs="Times New Roman"/>
          <w:color w:val="000000"/>
          <w:lang w:val="de-DE"/>
        </w:rPr>
        <w:t xml:space="preserve">in Betracht ziehen. Das Ziel dieser Analyse besteht in dem Verständnis der Hegelschen Anwendung einiger Gedanken Böhmes in der Beschreibung der Rolle des Gegensatzes im </w:t>
      </w:r>
      <w:r w:rsidRPr="00921BB8">
        <w:rPr>
          <w:rFonts w:ascii="Times New Roman" w:eastAsia="Times New Roman" w:hAnsi="Times New Roman" w:cs="Times New Roman"/>
          <w:i/>
          <w:color w:val="000000"/>
          <w:lang w:val="de-DE"/>
        </w:rPr>
        <w:t xml:space="preserve">Lebenslauf Gottes </w:t>
      </w:r>
      <w:r w:rsidRPr="00921BB8">
        <w:rPr>
          <w:rFonts w:ascii="Times New Roman" w:eastAsia="Times New Roman" w:hAnsi="Times New Roman" w:cs="Times New Roman"/>
          <w:color w:val="000000"/>
          <w:lang w:val="de-DE"/>
        </w:rPr>
        <w:t xml:space="preserve">und des Verhältnisses zwischen Wissenschaft und Religion. Ich zitiere fast vollständig dieses Fragment des </w:t>
      </w:r>
      <w:r w:rsidRPr="00921BB8">
        <w:rPr>
          <w:rFonts w:ascii="Times New Roman" w:eastAsia="Times New Roman" w:hAnsi="Times New Roman" w:cs="Times New Roman"/>
          <w:i/>
          <w:color w:val="000000"/>
          <w:lang w:val="de-DE"/>
        </w:rPr>
        <w:t>Jena Wastebook</w:t>
      </w:r>
      <w:r w:rsidRPr="00921BB8">
        <w:rPr>
          <w:rFonts w:ascii="Times New Roman" w:eastAsia="Times New Roman" w:hAnsi="Times New Roman" w:cs="Times New Roman"/>
          <w:color w:val="000000"/>
          <w:lang w:val="de-DE"/>
        </w:rPr>
        <w:t>:</w:t>
      </w:r>
    </w:p>
    <w:p w14:paraId="410FC1A8" w14:textId="77777777" w:rsidR="001C3D81" w:rsidRPr="00921BB8" w:rsidRDefault="001C3D81" w:rsidP="001C3D81">
      <w:pPr>
        <w:spacing w:line="360" w:lineRule="auto"/>
        <w:ind w:firstLine="567"/>
        <w:jc w:val="both"/>
        <w:rPr>
          <w:rFonts w:ascii="Times New Roman" w:eastAsia="Times New Roman" w:hAnsi="Times New Roman" w:cs="Times New Roman"/>
          <w:color w:val="000000"/>
          <w:lang w:val="de-DE"/>
        </w:rPr>
      </w:pPr>
    </w:p>
    <w:p w14:paraId="1485309C" w14:textId="77777777" w:rsidR="001C3D81" w:rsidRPr="00921BB8" w:rsidRDefault="001C3D81" w:rsidP="001C3D81">
      <w:pPr>
        <w:spacing w:line="360" w:lineRule="auto"/>
        <w:ind w:left="567"/>
        <w:jc w:val="both"/>
        <w:rPr>
          <w:lang w:val="de-DE"/>
        </w:rPr>
      </w:pPr>
      <w:r w:rsidRPr="00921BB8">
        <w:rPr>
          <w:rFonts w:ascii="Times New Roman" w:eastAsia="Times New Roman" w:hAnsi="Times New Roman" w:cs="Times New Roman"/>
          <w:color w:val="000000"/>
          <w:sz w:val="20"/>
          <w:szCs w:val="20"/>
          <w:lang w:val="de-DE"/>
        </w:rPr>
        <w:t>Gott, zur Natur geworden, hat sich ausgebreitet in die Pracht und den stummen Kreislauf der Gestaltungen, wird sich der Expansion, der verlorenen Punctualität bewußt und ergrimmt darüber […] Dieser Grimm, indem er dies Hinausfahren ist, ist die Zerstörung der Natur […]</w:t>
      </w:r>
      <w:r w:rsidRPr="00921BB8">
        <w:rPr>
          <w:rFonts w:ascii="Times New Roman" w:eastAsia="Times New Roman" w:hAnsi="Times New Roman" w:cs="Times New Roman"/>
          <w:color w:val="000000"/>
          <w:sz w:val="20"/>
          <w:szCs w:val="20"/>
        </w:rPr>
        <w:t xml:space="preserve"> </w:t>
      </w:r>
      <w:r w:rsidRPr="00921BB8">
        <w:rPr>
          <w:rFonts w:ascii="Times New Roman" w:eastAsia="Times New Roman" w:hAnsi="Times New Roman" w:cs="Times New Roman"/>
          <w:color w:val="000000"/>
          <w:sz w:val="20"/>
          <w:szCs w:val="20"/>
          <w:lang w:val="de-DE"/>
        </w:rPr>
        <w:t>Der Zorn Gottes über sich selbst in seinem Anderssein, der gefallene Luzifer, hier fixirt, empört sich gegen Gott und seine Schönheit macht ihn hoffärtig. Die Natur mit dem Bewußtseyn über ihre Gestalt trägt sich zur Schau und gefällt sich selbst in sich. Aber dies ihr Für-sich-Seyn oder ihr Seyn als Bewutßseyn ist nicht ihr Seyn in immer ruhiger Vorstellung ihrer selbst […] Die verzehrte Natur steigt in neuer idealer Gestalt als ein Schattenreich empor, das jenes erste Leben verloren hat […]. Diese neue Gestalt ist die Ueberwindung des Bösen […]. Solche Mythen, solche Anschauungen sind die Anschauungen der Barbarei […] Jene Anschauung muß noch einen zweiten Prozeß durchgehen, um absolut zu sein. Dieser ist die Wissenschaft oder das Erkennen, daß jenes sich in sich hinein Imaginieren, jener Lebenslauf Gottes, aus dem Erkennen selbst hervorgeht […]. Jene Anschauung der Religion ist allgemeine Religion und sie ist dies nur als Wissenschaft</w:t>
      </w:r>
      <w:r w:rsidRPr="00921BB8">
        <w:rPr>
          <w:rStyle w:val="Rimandonotaapidipagina"/>
          <w:rFonts w:ascii="Times New Roman" w:eastAsia="Times New Roman" w:hAnsi="Times New Roman" w:cs="Times New Roman"/>
          <w:color w:val="000000"/>
          <w:sz w:val="20"/>
          <w:szCs w:val="20"/>
          <w:lang w:val="de-DE"/>
        </w:rPr>
        <w:footnoteReference w:id="850"/>
      </w:r>
      <w:r w:rsidRPr="00921BB8">
        <w:rPr>
          <w:rFonts w:ascii="Times New Roman" w:eastAsia="Times New Roman" w:hAnsi="Times New Roman" w:cs="Times New Roman"/>
          <w:color w:val="000000"/>
          <w:sz w:val="20"/>
          <w:szCs w:val="20"/>
          <w:lang w:val="de-DE"/>
        </w:rPr>
        <w:t>.</w:t>
      </w:r>
    </w:p>
    <w:p w14:paraId="54A69DB2" w14:textId="77777777" w:rsidR="001C3D81" w:rsidRPr="00921BB8" w:rsidRDefault="001C3D81" w:rsidP="001C3D81">
      <w:pPr>
        <w:spacing w:line="360" w:lineRule="auto"/>
        <w:jc w:val="both"/>
        <w:rPr>
          <w:rFonts w:ascii="Times New Roman" w:eastAsia="Times New Roman" w:hAnsi="Times New Roman" w:cs="Times New Roman"/>
          <w:color w:val="000000"/>
          <w:lang w:val="de-DE"/>
        </w:rPr>
      </w:pPr>
    </w:p>
    <w:p w14:paraId="16FCAB61" w14:textId="2FB04C4E" w:rsidR="001C3D81" w:rsidRPr="00921BB8" w:rsidRDefault="001C3D81" w:rsidP="001C3D81">
      <w:pPr>
        <w:spacing w:line="360" w:lineRule="auto"/>
        <w:ind w:firstLine="567"/>
        <w:jc w:val="both"/>
        <w:rPr>
          <w:rFonts w:ascii="Times New Roman" w:eastAsia="Times New Roman" w:hAnsi="Times New Roman" w:cs="Times New Roman"/>
          <w:color w:val="000000"/>
          <w:lang w:val="de-DE"/>
        </w:rPr>
      </w:pPr>
      <w:r w:rsidRPr="00921BB8">
        <w:rPr>
          <w:rFonts w:ascii="Times New Roman" w:eastAsia="Times New Roman" w:hAnsi="Times New Roman" w:cs="Times New Roman"/>
          <w:color w:val="000000"/>
          <w:lang w:val="de-DE"/>
        </w:rPr>
        <w:t xml:space="preserve">Im </w:t>
      </w:r>
      <w:r w:rsidRPr="00921BB8">
        <w:rPr>
          <w:rFonts w:ascii="Times New Roman" w:eastAsia="Times New Roman" w:hAnsi="Times New Roman" w:cs="Times New Roman"/>
          <w:i/>
          <w:color w:val="000000"/>
          <w:lang w:val="de-DE"/>
        </w:rPr>
        <w:t xml:space="preserve">Fragment 49 </w:t>
      </w:r>
      <w:r w:rsidRPr="00921BB8">
        <w:rPr>
          <w:rFonts w:ascii="Times New Roman" w:eastAsia="Times New Roman" w:hAnsi="Times New Roman" w:cs="Times New Roman"/>
          <w:color w:val="000000"/>
          <w:lang w:val="de-DE"/>
        </w:rPr>
        <w:t xml:space="preserve">führt Hegel den Konflikt zwischen Gott und Luzifer ein und beschreibt den gefallenen Engel als die höchste </w:t>
      </w:r>
      <w:r w:rsidRPr="00921BB8">
        <w:rPr>
          <w:rFonts w:ascii="Times New Roman" w:eastAsia="Times New Roman" w:hAnsi="Times New Roman" w:cs="Times New Roman"/>
          <w:i/>
          <w:color w:val="000000"/>
          <w:lang w:val="de-DE"/>
        </w:rPr>
        <w:t xml:space="preserve">Gestalt </w:t>
      </w:r>
      <w:r w:rsidRPr="00921BB8">
        <w:rPr>
          <w:rFonts w:ascii="Times New Roman" w:eastAsia="Times New Roman" w:hAnsi="Times New Roman" w:cs="Times New Roman"/>
          <w:color w:val="000000"/>
          <w:lang w:val="de-DE"/>
        </w:rPr>
        <w:t xml:space="preserve">der Natur, die durch ihre eigene Schönheit </w:t>
      </w:r>
      <w:r w:rsidRPr="00921BB8">
        <w:rPr>
          <w:rFonts w:ascii="Times New Roman" w:eastAsia="Times New Roman" w:hAnsi="Times New Roman" w:cs="Times New Roman"/>
          <w:i/>
          <w:color w:val="000000"/>
          <w:lang w:val="de-DE"/>
        </w:rPr>
        <w:t>hoffärtig</w:t>
      </w:r>
      <w:r w:rsidRPr="00921BB8">
        <w:rPr>
          <w:rFonts w:ascii="Times New Roman" w:eastAsia="Times New Roman" w:hAnsi="Times New Roman" w:cs="Times New Roman"/>
          <w:color w:val="000000"/>
          <w:lang w:val="de-DE"/>
        </w:rPr>
        <w:t xml:space="preserve"> wird</w:t>
      </w:r>
      <w:r w:rsidRPr="00921BB8">
        <w:rPr>
          <w:rStyle w:val="Rimandonotaapidipagina"/>
          <w:rFonts w:ascii="Times New Roman" w:eastAsia="Times New Roman" w:hAnsi="Times New Roman" w:cs="Times New Roman"/>
          <w:color w:val="000000"/>
          <w:lang w:val="de-DE"/>
        </w:rPr>
        <w:footnoteReference w:id="851"/>
      </w:r>
      <w:r w:rsidRPr="00921BB8">
        <w:rPr>
          <w:rFonts w:ascii="Times New Roman" w:eastAsia="Times New Roman" w:hAnsi="Times New Roman" w:cs="Times New Roman"/>
          <w:color w:val="000000"/>
          <w:lang w:val="de-DE"/>
        </w:rPr>
        <w:t xml:space="preserve">. Meiner Meinung nach bezieht Hegel sich auf einen Paragraph von </w:t>
      </w:r>
      <w:r w:rsidRPr="00921BB8">
        <w:rPr>
          <w:rFonts w:ascii="Times New Roman" w:eastAsia="Times New Roman" w:hAnsi="Times New Roman" w:cs="Times New Roman"/>
          <w:i/>
          <w:color w:val="000000"/>
          <w:lang w:val="de-DE"/>
        </w:rPr>
        <w:t>Morgenröte</w:t>
      </w:r>
      <w:r w:rsidRPr="00921BB8">
        <w:rPr>
          <w:rFonts w:ascii="Times New Roman" w:eastAsia="Times New Roman" w:hAnsi="Times New Roman" w:cs="Times New Roman"/>
          <w:color w:val="000000"/>
          <w:lang w:val="de-DE"/>
        </w:rPr>
        <w:t>, in dem Luzifer wegen seiner „</w:t>
      </w:r>
      <w:r w:rsidRPr="00921BB8">
        <w:rPr>
          <w:rFonts w:ascii="Times New Roman" w:hAnsi="Times New Roman" w:cs="Times New Roman"/>
          <w:lang w:val="de-DE"/>
        </w:rPr>
        <w:t>schönen Gestalt</w:t>
      </w:r>
      <w:r w:rsidRPr="00921BB8">
        <w:rPr>
          <w:rFonts w:ascii="Times New Roman" w:eastAsia="Times New Roman" w:hAnsi="Times New Roman" w:cs="Times New Roman"/>
          <w:color w:val="000000"/>
        </w:rPr>
        <w:t>”</w:t>
      </w:r>
      <w:r w:rsidRPr="00921BB8">
        <w:rPr>
          <w:rFonts w:ascii="Times New Roman" w:hAnsi="Times New Roman" w:cs="Times New Roman"/>
          <w:lang w:val="de-DE"/>
        </w:rPr>
        <w:t xml:space="preserve"> </w:t>
      </w:r>
      <w:r w:rsidRPr="00921BB8">
        <w:rPr>
          <w:rFonts w:ascii="Times New Roman" w:eastAsia="Times New Roman" w:hAnsi="Times New Roman" w:cs="Times New Roman"/>
          <w:color w:val="000000"/>
          <w:lang w:val="de-DE"/>
        </w:rPr>
        <w:t>als „</w:t>
      </w:r>
      <w:r w:rsidRPr="00921BB8">
        <w:rPr>
          <w:rFonts w:ascii="Times New Roman" w:hAnsi="Times New Roman" w:cs="Times New Roman"/>
          <w:lang w:val="de-DE"/>
        </w:rPr>
        <w:t>König in der Natur</w:t>
      </w:r>
      <w:r w:rsidRPr="00921BB8">
        <w:rPr>
          <w:rFonts w:ascii="Times New Roman" w:eastAsia="Times New Roman" w:hAnsi="Times New Roman" w:cs="Times New Roman"/>
          <w:color w:val="000000"/>
        </w:rPr>
        <w:t>”</w:t>
      </w:r>
      <w:r w:rsidRPr="00921BB8">
        <w:rPr>
          <w:rStyle w:val="Rimandonotaapidipagina"/>
          <w:rFonts w:ascii="Times New Roman" w:hAnsi="Times New Roman" w:cs="Times New Roman"/>
          <w:lang w:val="de-DE"/>
        </w:rPr>
        <w:footnoteReference w:id="852"/>
      </w:r>
      <w:r w:rsidRPr="00921BB8">
        <w:rPr>
          <w:rFonts w:ascii="Times New Roman" w:eastAsia="Times New Roman" w:hAnsi="Times New Roman" w:cs="Times New Roman"/>
          <w:color w:val="000000"/>
          <w:lang w:val="de-DE"/>
        </w:rPr>
        <w:t xml:space="preserve"> definiert wird. </w:t>
      </w:r>
      <w:r w:rsidRPr="00921BB8">
        <w:rPr>
          <w:rFonts w:ascii="Times New Roman" w:hAnsi="Times New Roman" w:cs="Times New Roman"/>
          <w:lang w:val="de-DE"/>
        </w:rPr>
        <w:t xml:space="preserve">Die Widerspiegelung der Natur im gefallenen Engel wird als ein dramatischer Moment des </w:t>
      </w:r>
      <w:r w:rsidRPr="00921BB8">
        <w:rPr>
          <w:rFonts w:ascii="Times New Roman" w:hAnsi="Times New Roman" w:cs="Times New Roman"/>
          <w:i/>
          <w:lang w:val="de-DE"/>
        </w:rPr>
        <w:t xml:space="preserve">Anderswerdens </w:t>
      </w:r>
      <w:r w:rsidRPr="00921BB8">
        <w:rPr>
          <w:rFonts w:ascii="Times New Roman" w:hAnsi="Times New Roman" w:cs="Times New Roman"/>
          <w:lang w:val="de-DE"/>
        </w:rPr>
        <w:t xml:space="preserve">Gottes ausgelegt: </w:t>
      </w:r>
      <w:r w:rsidRPr="00921BB8">
        <w:rPr>
          <w:rFonts w:ascii="Times New Roman" w:eastAsia="Times New Roman" w:hAnsi="Times New Roman" w:cs="Times New Roman"/>
          <w:color w:val="000000"/>
          <w:lang w:val="de-DE"/>
        </w:rPr>
        <w:t xml:space="preserve">der Wille Luzifers, seine Unabhängigkeit geltend zu machen, wird durch den </w:t>
      </w:r>
      <w:r w:rsidRPr="00921BB8">
        <w:rPr>
          <w:rFonts w:ascii="Times New Roman" w:eastAsia="Times New Roman" w:hAnsi="Times New Roman" w:cs="Times New Roman"/>
          <w:i/>
          <w:color w:val="000000"/>
          <w:lang w:val="de-DE"/>
        </w:rPr>
        <w:t>Zorn Gottes</w:t>
      </w:r>
      <w:r w:rsidRPr="00921BB8">
        <w:rPr>
          <w:rFonts w:ascii="Times New Roman" w:eastAsia="Times New Roman" w:hAnsi="Times New Roman" w:cs="Times New Roman"/>
          <w:color w:val="000000"/>
          <w:lang w:val="de-DE"/>
        </w:rPr>
        <w:t xml:space="preserve">, d.h. das Bewusstsein Gottes über den Verlust seiner </w:t>
      </w:r>
      <w:r w:rsidRPr="00921BB8">
        <w:rPr>
          <w:rFonts w:ascii="Times New Roman" w:eastAsia="Times New Roman" w:hAnsi="Times New Roman" w:cs="Times New Roman"/>
          <w:i/>
          <w:color w:val="000000"/>
          <w:lang w:val="de-DE"/>
        </w:rPr>
        <w:t xml:space="preserve">Pünktlichkeit </w:t>
      </w:r>
      <w:r w:rsidRPr="00921BB8">
        <w:rPr>
          <w:rFonts w:ascii="Times New Roman" w:eastAsia="Times New Roman" w:hAnsi="Times New Roman" w:cs="Times New Roman"/>
          <w:color w:val="000000"/>
          <w:lang w:val="de-DE"/>
        </w:rPr>
        <w:t>in der Natur, überwunden</w:t>
      </w:r>
      <w:r w:rsidRPr="00921BB8">
        <w:rPr>
          <w:rStyle w:val="Rimandonotaapidipagina"/>
          <w:rFonts w:ascii="Times New Roman" w:eastAsia="Times New Roman" w:hAnsi="Times New Roman" w:cs="Times New Roman"/>
          <w:color w:val="000000"/>
          <w:lang w:val="de-DE"/>
        </w:rPr>
        <w:footnoteReference w:id="853"/>
      </w:r>
      <w:r w:rsidRPr="00921BB8">
        <w:rPr>
          <w:rFonts w:ascii="Times New Roman" w:eastAsia="Times New Roman" w:hAnsi="Times New Roman" w:cs="Times New Roman"/>
          <w:color w:val="000000"/>
          <w:lang w:val="de-DE"/>
        </w:rPr>
        <w:t>. Über die Böhmesche Kosmogonie hinausgehend</w:t>
      </w:r>
      <w:r w:rsidRPr="00921BB8">
        <w:rPr>
          <w:rStyle w:val="Rimandonotaapidipagina"/>
          <w:rFonts w:ascii="Times New Roman" w:eastAsia="Times New Roman" w:hAnsi="Times New Roman" w:cs="Times New Roman"/>
          <w:color w:val="000000"/>
          <w:lang w:val="de-DE"/>
        </w:rPr>
        <w:footnoteReference w:id="854"/>
      </w:r>
      <w:r w:rsidRPr="00921BB8">
        <w:rPr>
          <w:rFonts w:ascii="Times New Roman" w:eastAsia="Times New Roman" w:hAnsi="Times New Roman" w:cs="Times New Roman"/>
          <w:color w:val="000000"/>
          <w:lang w:val="de-DE"/>
        </w:rPr>
        <w:t>, glaubt Hegel, dass der gefallene Luzifer</w:t>
      </w:r>
      <w:r w:rsidRPr="00921BB8">
        <w:rPr>
          <w:rFonts w:ascii="Times New Roman" w:eastAsia="Times New Roman" w:hAnsi="Times New Roman" w:cs="Times New Roman"/>
          <w:i/>
          <w:color w:val="000000"/>
          <w:lang w:val="de-DE"/>
        </w:rPr>
        <w:t xml:space="preserve"> </w:t>
      </w:r>
      <w:r w:rsidRPr="00921BB8">
        <w:rPr>
          <w:rFonts w:ascii="Times New Roman" w:eastAsia="Times New Roman" w:hAnsi="Times New Roman" w:cs="Times New Roman"/>
          <w:color w:val="000000"/>
          <w:lang w:val="de-DE"/>
        </w:rPr>
        <w:t xml:space="preserve">dann zu einer Idealform erhoben wird. All diese Bilder, die aus der Theorie des </w:t>
      </w:r>
      <w:r w:rsidRPr="00921BB8">
        <w:rPr>
          <w:rFonts w:ascii="Times New Roman" w:eastAsia="Times New Roman" w:hAnsi="Times New Roman" w:cs="Times New Roman"/>
          <w:i/>
          <w:color w:val="000000"/>
          <w:lang w:val="de-DE"/>
        </w:rPr>
        <w:t>Abfalles Luzifers</w:t>
      </w:r>
      <w:r w:rsidRPr="00921BB8">
        <w:rPr>
          <w:rFonts w:ascii="Times New Roman" w:eastAsia="Times New Roman" w:hAnsi="Times New Roman" w:cs="Times New Roman"/>
          <w:color w:val="000000"/>
          <w:lang w:val="de-DE"/>
        </w:rPr>
        <w:t xml:space="preserve"> entnommen sind, drücken mit barbarischen Begriffen denselben Prozess des Absoluten aus, der Gegenstand der philosophischen Reflexion ist. Religion und Philosophie teilen denselben Inhalt, der nach unterschiedlichen formalen Kanons dargestellt wird: die wissenschaftliche Entwicklung der Böhmeschen Barbarei spiegelt einen </w:t>
      </w:r>
      <w:r w:rsidRPr="00921BB8">
        <w:rPr>
          <w:rFonts w:ascii="Times New Roman" w:eastAsia="Times New Roman" w:hAnsi="Times New Roman" w:cs="Times New Roman"/>
          <w:i/>
          <w:color w:val="000000"/>
          <w:lang w:val="de-DE"/>
        </w:rPr>
        <w:t xml:space="preserve">Lebenslauf Gottes </w:t>
      </w:r>
      <w:r w:rsidR="004F5B02">
        <w:rPr>
          <w:rFonts w:ascii="Times New Roman" w:eastAsia="Times New Roman" w:hAnsi="Times New Roman" w:cs="Times New Roman"/>
          <w:color w:val="000000"/>
          <w:lang w:val="de-DE"/>
        </w:rPr>
        <w:t>wi</w:t>
      </w:r>
      <w:r w:rsidRPr="00921BB8">
        <w:rPr>
          <w:rFonts w:ascii="Times New Roman" w:eastAsia="Times New Roman" w:hAnsi="Times New Roman" w:cs="Times New Roman"/>
          <w:color w:val="000000"/>
          <w:lang w:val="de-DE"/>
        </w:rPr>
        <w:t xml:space="preserve">der, in dem der Geist das einzige Subjekt ist, das den </w:t>
      </w:r>
      <w:r w:rsidRPr="00921BB8">
        <w:rPr>
          <w:rFonts w:ascii="Times New Roman" w:eastAsia="Times New Roman" w:hAnsi="Times New Roman" w:cs="Times New Roman"/>
          <w:i/>
          <w:color w:val="000000"/>
          <w:lang w:val="de-DE"/>
        </w:rPr>
        <w:t>Gegensatz</w:t>
      </w:r>
      <w:r w:rsidRPr="00921BB8">
        <w:rPr>
          <w:rFonts w:ascii="Times New Roman" w:eastAsia="Times New Roman" w:hAnsi="Times New Roman" w:cs="Times New Roman"/>
          <w:color w:val="000000"/>
          <w:lang w:val="de-DE"/>
        </w:rPr>
        <w:t xml:space="preserve"> der Natur (sich selbst als das Anderssein seiner selbst) aufhebt und sich als gewordene</w:t>
      </w:r>
      <w:r w:rsidRPr="00921BB8">
        <w:rPr>
          <w:rFonts w:ascii="Times New Roman" w:eastAsia="Times New Roman" w:hAnsi="Times New Roman" w:cs="Times New Roman"/>
          <w:i/>
          <w:color w:val="000000"/>
        </w:rPr>
        <w:t xml:space="preserve"> Sichselbstgleichheit</w:t>
      </w:r>
      <w:r w:rsidRPr="00921BB8">
        <w:rPr>
          <w:rFonts w:ascii="Times New Roman" w:eastAsia="Times New Roman" w:hAnsi="Times New Roman" w:cs="Times New Roman"/>
          <w:color w:val="000000"/>
          <w:lang w:val="de-DE"/>
        </w:rPr>
        <w:t xml:space="preserve"> herstellt. Der </w:t>
      </w:r>
      <w:r w:rsidRPr="00921BB8">
        <w:rPr>
          <w:rFonts w:ascii="Times New Roman" w:eastAsia="Times New Roman" w:hAnsi="Times New Roman" w:cs="Times New Roman"/>
          <w:i/>
          <w:color w:val="000000"/>
          <w:lang w:val="de-DE"/>
        </w:rPr>
        <w:t>Kreislauf</w:t>
      </w:r>
      <w:r w:rsidRPr="00921BB8">
        <w:rPr>
          <w:rFonts w:ascii="Times New Roman" w:eastAsia="Times New Roman" w:hAnsi="Times New Roman" w:cs="Times New Roman"/>
          <w:color w:val="000000"/>
          <w:lang w:val="de-DE"/>
        </w:rPr>
        <w:t xml:space="preserve"> des Absoluten findet im Böhmeschen barbarischen </w:t>
      </w:r>
      <w:r w:rsidRPr="00921BB8">
        <w:rPr>
          <w:rFonts w:ascii="Times New Roman" w:eastAsia="Times New Roman" w:hAnsi="Times New Roman" w:cs="Times New Roman"/>
          <w:i/>
          <w:color w:val="000000"/>
          <w:lang w:val="de-DE"/>
        </w:rPr>
        <w:t xml:space="preserve">sich in sich hinein Imaginieren </w:t>
      </w:r>
      <w:r w:rsidRPr="00921BB8">
        <w:rPr>
          <w:rFonts w:ascii="Times New Roman" w:eastAsia="Times New Roman" w:hAnsi="Times New Roman" w:cs="Times New Roman"/>
          <w:color w:val="000000"/>
          <w:lang w:val="de-DE"/>
        </w:rPr>
        <w:t>eine inhaltlich zureichende und formal unzureichende Vorwegnahme.</w:t>
      </w:r>
    </w:p>
    <w:p w14:paraId="7647696C" w14:textId="77777777" w:rsidR="001C3D81" w:rsidRPr="00921BB8" w:rsidRDefault="001C3D81" w:rsidP="001C3D81">
      <w:pPr>
        <w:spacing w:line="360" w:lineRule="auto"/>
        <w:ind w:firstLine="567"/>
        <w:jc w:val="both"/>
        <w:rPr>
          <w:rFonts w:ascii="Times New Roman" w:eastAsia="Times New Roman" w:hAnsi="Times New Roman" w:cs="Times New Roman"/>
          <w:iCs/>
          <w:color w:val="222222"/>
          <w:shd w:val="clear" w:color="auto" w:fill="FFFFFF"/>
        </w:rPr>
      </w:pPr>
    </w:p>
    <w:p w14:paraId="2CA4557D" w14:textId="77777777" w:rsidR="001C3D81" w:rsidRPr="00921BB8" w:rsidRDefault="001C3D81" w:rsidP="001C3D81">
      <w:pPr>
        <w:spacing w:line="360" w:lineRule="auto"/>
        <w:jc w:val="both"/>
        <w:rPr>
          <w:rFonts w:ascii="Times New Roman" w:hAnsi="Times New Roman" w:cs="Times New Roman"/>
          <w:lang w:val="de-DE"/>
        </w:rPr>
      </w:pPr>
      <w:r w:rsidRPr="00921BB8">
        <w:rPr>
          <w:rFonts w:ascii="Times New Roman" w:hAnsi="Times New Roman" w:cs="Times New Roman"/>
          <w:i/>
          <w:lang w:val="de-DE"/>
        </w:rPr>
        <w:t xml:space="preserve">1.5 Licht und Finsternis: die Widerlegung des Spinozismus in der </w:t>
      </w:r>
      <w:r w:rsidRPr="00921BB8">
        <w:rPr>
          <w:rFonts w:ascii="Times New Roman" w:hAnsi="Times New Roman" w:cs="Times New Roman"/>
          <w:lang w:val="de-DE"/>
        </w:rPr>
        <w:t>Jenaer Logik und Metaphysik</w:t>
      </w:r>
    </w:p>
    <w:p w14:paraId="37705CA0" w14:textId="77777777" w:rsidR="001C3D81" w:rsidRPr="00921BB8" w:rsidRDefault="001C3D81" w:rsidP="001C3D81">
      <w:pPr>
        <w:spacing w:line="360" w:lineRule="auto"/>
        <w:ind w:firstLine="567"/>
        <w:jc w:val="both"/>
        <w:rPr>
          <w:rFonts w:ascii="Times New Roman" w:eastAsia="Times New Roman" w:hAnsi="Times New Roman" w:cs="Times New Roman"/>
          <w:iCs/>
          <w:color w:val="222222"/>
          <w:shd w:val="clear" w:color="auto" w:fill="FFFFFF"/>
          <w:lang w:val="de-DE"/>
        </w:rPr>
      </w:pPr>
    </w:p>
    <w:p w14:paraId="6C9E3326" w14:textId="37599A57" w:rsidR="001C3D81" w:rsidRPr="00921BB8" w:rsidRDefault="001C3D81" w:rsidP="001C3D81">
      <w:pPr>
        <w:spacing w:line="360" w:lineRule="auto"/>
        <w:ind w:firstLine="567"/>
        <w:jc w:val="both"/>
        <w:rPr>
          <w:rFonts w:ascii="Times New Roman" w:hAnsi="Times New Roman" w:cs="Times New Roman"/>
          <w:lang w:val="de-DE"/>
        </w:rPr>
      </w:pPr>
      <w:r w:rsidRPr="00921BB8">
        <w:rPr>
          <w:rFonts w:ascii="Times New Roman" w:hAnsi="Times New Roman" w:cs="Times New Roman"/>
          <w:lang w:val="de-DE"/>
        </w:rPr>
        <w:t xml:space="preserve">In der </w:t>
      </w:r>
      <w:r w:rsidRPr="00921BB8">
        <w:rPr>
          <w:rFonts w:ascii="Times New Roman" w:hAnsi="Times New Roman" w:cs="Times New Roman"/>
          <w:i/>
          <w:lang w:val="de-DE"/>
        </w:rPr>
        <w:t xml:space="preserve">Jenaer Logik und Metaphysik </w:t>
      </w:r>
      <w:r w:rsidRPr="00921BB8">
        <w:rPr>
          <w:rFonts w:ascii="Times New Roman" w:hAnsi="Times New Roman" w:cs="Times New Roman"/>
          <w:lang w:val="de-DE"/>
        </w:rPr>
        <w:t xml:space="preserve">(1804/05) findet die Frage nach dem Nichts, der Selbstbewegung des Absoluten und der gemäßen Form des absoluten Inhaltes eine neue und entscheidende Entwicklung. Im Abschnitt der </w:t>
      </w:r>
      <w:r w:rsidRPr="00921BB8">
        <w:rPr>
          <w:rFonts w:ascii="Times New Roman" w:hAnsi="Times New Roman" w:cs="Times New Roman"/>
          <w:i/>
          <w:lang w:val="de-DE"/>
        </w:rPr>
        <w:t xml:space="preserve">einfachen Beziehung </w:t>
      </w:r>
      <w:r w:rsidRPr="00921BB8">
        <w:rPr>
          <w:rFonts w:ascii="Times New Roman" w:hAnsi="Times New Roman" w:cs="Times New Roman"/>
          <w:lang w:val="de-DE"/>
        </w:rPr>
        <w:t xml:space="preserve">führt Hegel einen Begriff der </w:t>
      </w:r>
      <w:r w:rsidRPr="00921BB8">
        <w:rPr>
          <w:rFonts w:ascii="Times New Roman" w:hAnsi="Times New Roman" w:cs="Times New Roman"/>
          <w:i/>
          <w:lang w:val="de-DE"/>
        </w:rPr>
        <w:t xml:space="preserve">Unendlichkeit </w:t>
      </w:r>
      <w:r w:rsidRPr="00921BB8">
        <w:rPr>
          <w:rFonts w:ascii="Times New Roman" w:hAnsi="Times New Roman" w:cs="Times New Roman"/>
          <w:lang w:val="de-DE"/>
        </w:rPr>
        <w:t xml:space="preserve">ein, der die spekulative Funktion des Gegensatzes zeigt. Durch den </w:t>
      </w:r>
      <w:r w:rsidRPr="00921BB8">
        <w:rPr>
          <w:rFonts w:ascii="Times New Roman" w:hAnsi="Times New Roman" w:cs="Times New Roman"/>
          <w:i/>
          <w:lang w:val="de-DE"/>
        </w:rPr>
        <w:t xml:space="preserve">absoluten Gegensatz </w:t>
      </w:r>
      <w:r w:rsidRPr="00921BB8">
        <w:rPr>
          <w:rFonts w:ascii="Times New Roman" w:hAnsi="Times New Roman" w:cs="Times New Roman"/>
          <w:lang w:val="de-DE"/>
        </w:rPr>
        <w:t>wird die Entgegensetzung von Unendlichem und Endlichem, Unbestimmten und Bestimmten überwunden: das Wesen des Endlichen ist das Aufheben seiner selbst in das Unendliche; das Unendliche wiederum ist „das Nichts oder das Seyn, die Leerheit überhaupt</w:t>
      </w:r>
      <w:r w:rsidRPr="00921BB8">
        <w:rPr>
          <w:rFonts w:ascii="Times New Roman" w:eastAsia="Times New Roman" w:hAnsi="Times New Roman" w:cs="Times New Roman"/>
          <w:color w:val="000000"/>
        </w:rPr>
        <w:t>”</w:t>
      </w:r>
      <w:r w:rsidRPr="00921BB8">
        <w:rPr>
          <w:rFonts w:ascii="Times New Roman" w:hAnsi="Times New Roman" w:cs="Times New Roman"/>
          <w:lang w:val="de-DE"/>
        </w:rPr>
        <w:t>, „das Gegentheil seiner selbst</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855"/>
      </w:r>
      <w:r w:rsidRPr="00921BB8">
        <w:rPr>
          <w:rFonts w:ascii="Times New Roman" w:eastAsia="Times New Roman" w:hAnsi="Times New Roman" w:cs="Times New Roman"/>
          <w:color w:val="000000"/>
        </w:rPr>
        <w:t xml:space="preserve">, </w:t>
      </w:r>
      <w:r w:rsidRPr="00921BB8">
        <w:rPr>
          <w:rFonts w:ascii="Times New Roman" w:eastAsia="Times New Roman" w:hAnsi="Times New Roman" w:cs="Times New Roman"/>
          <w:color w:val="000000"/>
          <w:lang w:val="de-DE"/>
        </w:rPr>
        <w:t>d.h. das Endliche. Da das Nichts das Gegenteil seiner selbst ist, ist es die Bestimmtheit (das Endliche), die ihrerseits das Andere ihrer selbst, „das Nichts</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856"/>
      </w:r>
      <w:r w:rsidRPr="00921BB8">
        <w:rPr>
          <w:rFonts w:ascii="Times New Roman" w:eastAsia="Times New Roman" w:hAnsi="Times New Roman" w:cs="Times New Roman"/>
          <w:color w:val="000000"/>
        </w:rPr>
        <w:t>, ist</w:t>
      </w:r>
      <w:r w:rsidRPr="00921BB8">
        <w:rPr>
          <w:rFonts w:ascii="Times New Roman" w:hAnsi="Times New Roman" w:cs="Times New Roman"/>
          <w:lang w:val="de-DE"/>
        </w:rPr>
        <w:t xml:space="preserve">. </w:t>
      </w:r>
      <w:r w:rsidRPr="00921BB8">
        <w:rPr>
          <w:rFonts w:ascii="Times New Roman" w:eastAsia="Times New Roman" w:hAnsi="Times New Roman" w:cs="Times New Roman"/>
          <w:color w:val="000000"/>
          <w:lang w:val="de-DE"/>
        </w:rPr>
        <w:t>In dieser Entwicklungsdynamik der Unendlichkeit</w:t>
      </w:r>
      <w:r w:rsidRPr="00921BB8">
        <w:rPr>
          <w:rFonts w:ascii="Times New Roman" w:eastAsia="Times New Roman" w:hAnsi="Times New Roman" w:cs="Times New Roman"/>
          <w:i/>
          <w:color w:val="000000"/>
          <w:lang w:val="de-DE"/>
        </w:rPr>
        <w:t xml:space="preserve"> </w:t>
      </w:r>
      <w:r w:rsidRPr="00921BB8">
        <w:rPr>
          <w:rFonts w:ascii="Times New Roman" w:eastAsia="Times New Roman" w:hAnsi="Times New Roman" w:cs="Times New Roman"/>
          <w:color w:val="000000"/>
          <w:lang w:val="de-DE"/>
        </w:rPr>
        <w:t xml:space="preserve">zeigt sich die Idee einer Form des Inhaltes, die seiner Selbstentfaltung gemäß ist. Die </w:t>
      </w:r>
      <w:r w:rsidRPr="00921BB8">
        <w:rPr>
          <w:rFonts w:ascii="Times New Roman" w:eastAsia="Times New Roman" w:hAnsi="Times New Roman" w:cs="Times New Roman"/>
          <w:i/>
          <w:color w:val="000000"/>
          <w:lang w:val="de-DE"/>
        </w:rPr>
        <w:t>einfache Beziehung</w:t>
      </w:r>
      <w:r w:rsidRPr="00921BB8">
        <w:rPr>
          <w:rFonts w:ascii="Times New Roman" w:eastAsia="Times New Roman" w:hAnsi="Times New Roman" w:cs="Times New Roman"/>
          <w:color w:val="000000"/>
          <w:lang w:val="de-DE"/>
        </w:rPr>
        <w:t xml:space="preserve"> gründet sich auf jener methodischen Errungenschaft, die </w:t>
      </w:r>
      <w:r w:rsidRPr="00921BB8">
        <w:rPr>
          <w:rFonts w:ascii="Times New Roman" w:eastAsia="Times New Roman" w:hAnsi="Times New Roman" w:cs="Times New Roman"/>
          <w:i/>
          <w:color w:val="000000"/>
          <w:lang w:val="de-DE"/>
        </w:rPr>
        <w:t>duplicis negationis</w:t>
      </w:r>
      <w:r w:rsidRPr="00921BB8">
        <w:rPr>
          <w:rFonts w:ascii="Times New Roman" w:eastAsia="Times New Roman" w:hAnsi="Times New Roman" w:cs="Times New Roman"/>
          <w:color w:val="000000"/>
          <w:lang w:val="de-DE"/>
        </w:rPr>
        <w:t xml:space="preserve">, die die Hegelsche Neugründung der Dialektik auszeichnet. Was Hegel dargelegt hat, ist nicht die Unendlichkeit an-sich-und-für-sich, sondern die </w:t>
      </w:r>
      <w:r w:rsidRPr="00921BB8">
        <w:rPr>
          <w:rFonts w:ascii="Times New Roman" w:eastAsia="Times New Roman" w:hAnsi="Times New Roman" w:cs="Times New Roman"/>
          <w:i/>
          <w:color w:val="000000"/>
          <w:lang w:val="de-DE"/>
        </w:rPr>
        <w:t>Unendlichkeit</w:t>
      </w:r>
      <w:r w:rsidRPr="00921BB8">
        <w:rPr>
          <w:rFonts w:ascii="Times New Roman" w:eastAsia="Times New Roman" w:hAnsi="Times New Roman" w:cs="Times New Roman"/>
          <w:color w:val="000000"/>
          <w:lang w:val="de-DE"/>
        </w:rPr>
        <w:t xml:space="preserve">, die </w:t>
      </w:r>
      <w:r w:rsidRPr="00921BB8">
        <w:rPr>
          <w:rFonts w:ascii="Times New Roman" w:eastAsia="Times New Roman" w:hAnsi="Times New Roman" w:cs="Times New Roman"/>
          <w:i/>
          <w:color w:val="000000"/>
          <w:lang w:val="de-DE"/>
        </w:rPr>
        <w:t xml:space="preserve">für uns </w:t>
      </w:r>
      <w:r w:rsidRPr="00921BB8">
        <w:rPr>
          <w:rFonts w:ascii="Times New Roman" w:eastAsia="Times New Roman" w:hAnsi="Times New Roman" w:cs="Times New Roman"/>
          <w:color w:val="000000"/>
          <w:lang w:val="de-DE"/>
        </w:rPr>
        <w:t xml:space="preserve">wird. Innerhalb der </w:t>
      </w:r>
      <w:r w:rsidRPr="00921BB8">
        <w:rPr>
          <w:rFonts w:ascii="Times New Roman" w:eastAsia="Times New Roman" w:hAnsi="Times New Roman" w:cs="Times New Roman"/>
          <w:i/>
          <w:color w:val="000000"/>
          <w:lang w:val="de-DE"/>
        </w:rPr>
        <w:t>Jenaer Logik</w:t>
      </w:r>
      <w:r w:rsidRPr="00921BB8">
        <w:rPr>
          <w:rFonts w:ascii="Times New Roman" w:eastAsia="Times New Roman" w:hAnsi="Times New Roman" w:cs="Times New Roman"/>
          <w:color w:val="000000"/>
          <w:lang w:val="de-DE"/>
        </w:rPr>
        <w:t xml:space="preserve"> findet keine Selbst-reflexion der Bestimmungen statt, die von dem </w:t>
      </w:r>
      <w:r w:rsidRPr="00921BB8">
        <w:rPr>
          <w:rFonts w:ascii="Times New Roman" w:eastAsia="Times New Roman" w:hAnsi="Times New Roman" w:cs="Times New Roman"/>
          <w:i/>
          <w:color w:val="000000"/>
          <w:lang w:val="de-DE"/>
        </w:rPr>
        <w:t xml:space="preserve">uns angehörenden Gedanken </w:t>
      </w:r>
      <w:r w:rsidRPr="00921BB8">
        <w:rPr>
          <w:rFonts w:ascii="Times New Roman" w:eastAsia="Times New Roman" w:hAnsi="Times New Roman" w:cs="Times New Roman"/>
          <w:color w:val="000000"/>
          <w:lang w:val="de-DE"/>
        </w:rPr>
        <w:t>in Bewegung gesetzt werden</w:t>
      </w:r>
      <w:r w:rsidRPr="00921BB8">
        <w:rPr>
          <w:rStyle w:val="Rimandonotaapidipagina"/>
          <w:rFonts w:ascii="Times New Roman" w:eastAsia="Times New Roman" w:hAnsi="Times New Roman" w:cs="Times New Roman"/>
          <w:color w:val="000000"/>
          <w:lang w:val="de-DE"/>
        </w:rPr>
        <w:footnoteReference w:id="857"/>
      </w:r>
      <w:r w:rsidRPr="00921BB8">
        <w:rPr>
          <w:rFonts w:ascii="Times New Roman" w:eastAsia="Times New Roman" w:hAnsi="Times New Roman" w:cs="Times New Roman"/>
          <w:color w:val="000000"/>
          <w:lang w:val="de-DE"/>
        </w:rPr>
        <w:t xml:space="preserve">. Erst in der </w:t>
      </w:r>
      <w:r w:rsidRPr="00921BB8">
        <w:rPr>
          <w:rFonts w:ascii="Times New Roman" w:eastAsia="Times New Roman" w:hAnsi="Times New Roman" w:cs="Times New Roman"/>
          <w:i/>
          <w:color w:val="000000"/>
          <w:lang w:val="de-DE"/>
        </w:rPr>
        <w:t>Metaphysik</w:t>
      </w:r>
      <w:r w:rsidRPr="00921BB8">
        <w:rPr>
          <w:rFonts w:ascii="Times New Roman" w:eastAsia="Times New Roman" w:hAnsi="Times New Roman" w:cs="Times New Roman"/>
          <w:color w:val="000000"/>
          <w:lang w:val="de-DE"/>
        </w:rPr>
        <w:t xml:space="preserve"> wird der </w:t>
      </w:r>
      <w:r w:rsidRPr="00921BB8">
        <w:rPr>
          <w:rFonts w:ascii="Times New Roman" w:hAnsi="Times New Roman" w:cs="Times New Roman"/>
          <w:i/>
          <w:lang w:val="de-DE"/>
        </w:rPr>
        <w:t xml:space="preserve">uns angehörende Gedanke </w:t>
      </w:r>
      <w:r w:rsidRPr="00921BB8">
        <w:rPr>
          <w:rFonts w:ascii="Times New Roman" w:hAnsi="Times New Roman" w:cs="Times New Roman"/>
          <w:lang w:val="de-DE"/>
        </w:rPr>
        <w:t xml:space="preserve">überwunden und wird die Dialektik des </w:t>
      </w:r>
      <w:r w:rsidRPr="00921BB8">
        <w:rPr>
          <w:rFonts w:ascii="Times New Roman" w:hAnsi="Times New Roman" w:cs="Times New Roman"/>
          <w:i/>
          <w:lang w:val="de-DE"/>
        </w:rPr>
        <w:t xml:space="preserve">für uns </w:t>
      </w:r>
      <w:r w:rsidRPr="00921BB8">
        <w:rPr>
          <w:rFonts w:ascii="Times New Roman" w:hAnsi="Times New Roman" w:cs="Times New Roman"/>
          <w:lang w:val="de-DE"/>
        </w:rPr>
        <w:t xml:space="preserve">in den Bestimmungen selbst verinnerlicht.  </w:t>
      </w:r>
    </w:p>
    <w:p w14:paraId="0C1D2E85" w14:textId="77777777" w:rsidR="001C3D81" w:rsidRPr="00921BB8" w:rsidRDefault="001C3D81" w:rsidP="001C3D81">
      <w:pPr>
        <w:spacing w:line="360" w:lineRule="auto"/>
        <w:ind w:firstLine="567"/>
        <w:jc w:val="both"/>
        <w:rPr>
          <w:rFonts w:ascii="Times New Roman" w:hAnsi="Times New Roman" w:cs="Times New Roman"/>
          <w:lang w:val="de-DE"/>
        </w:rPr>
      </w:pPr>
      <w:r w:rsidRPr="00921BB8">
        <w:rPr>
          <w:rFonts w:ascii="Times New Roman" w:hAnsi="Times New Roman" w:cs="Times New Roman"/>
          <w:lang w:val="de-DE"/>
        </w:rPr>
        <w:t xml:space="preserve">Die Beziehung zwischen Unendlichem (Nichts) und Endlichem (Bestimmtem) wird im Abschnitt des </w:t>
      </w:r>
      <w:r w:rsidRPr="00921BB8">
        <w:rPr>
          <w:rFonts w:ascii="Times New Roman" w:hAnsi="Times New Roman" w:cs="Times New Roman"/>
          <w:i/>
          <w:lang w:val="de-DE"/>
        </w:rPr>
        <w:t xml:space="preserve">Höchstes Wesens metaphysisch </w:t>
      </w:r>
      <w:r w:rsidRPr="00921BB8">
        <w:rPr>
          <w:rFonts w:ascii="Times New Roman" w:hAnsi="Times New Roman" w:cs="Times New Roman"/>
          <w:lang w:val="de-DE"/>
        </w:rPr>
        <w:t xml:space="preserve">aufgegriffen. Obwohl dieser Abschnitt der </w:t>
      </w:r>
      <w:r w:rsidRPr="00921BB8">
        <w:rPr>
          <w:rFonts w:ascii="Times New Roman" w:hAnsi="Times New Roman" w:cs="Times New Roman"/>
          <w:i/>
          <w:lang w:val="de-DE"/>
        </w:rPr>
        <w:t>Metaphysik der Objectivität</w:t>
      </w:r>
      <w:r w:rsidRPr="00921BB8">
        <w:rPr>
          <w:rFonts w:ascii="Times New Roman" w:hAnsi="Times New Roman" w:cs="Times New Roman"/>
          <w:lang w:val="de-DE"/>
        </w:rPr>
        <w:t xml:space="preserve"> einen Kantischen Ausdruck – «das höchste Wesen</w:t>
      </w:r>
      <w:r w:rsidRPr="00921BB8">
        <w:rPr>
          <w:rFonts w:ascii="Times New Roman" w:eastAsia="Times New Roman" w:hAnsi="Times New Roman" w:cs="Times New Roman"/>
          <w:color w:val="000000"/>
        </w:rPr>
        <w:t>»</w:t>
      </w:r>
      <w:r w:rsidRPr="00921BB8">
        <w:rPr>
          <w:rStyle w:val="Rimandonotaapidipagina"/>
          <w:rFonts w:ascii="Times New Roman" w:hAnsi="Times New Roman" w:cs="Times New Roman"/>
          <w:lang w:val="de-DE"/>
        </w:rPr>
        <w:footnoteReference w:id="858"/>
      </w:r>
      <w:r w:rsidRPr="00921BB8">
        <w:rPr>
          <w:rFonts w:ascii="Times New Roman" w:eastAsia="Times New Roman" w:hAnsi="Times New Roman" w:cs="Times New Roman"/>
          <w:color w:val="000000"/>
          <w:lang w:val="de-DE"/>
        </w:rPr>
        <w:t xml:space="preserve"> – wiedergewinnt</w:t>
      </w:r>
      <w:r w:rsidRPr="00921BB8">
        <w:rPr>
          <w:rFonts w:ascii="Times New Roman" w:hAnsi="Times New Roman" w:cs="Times New Roman"/>
          <w:lang w:val="de-DE"/>
        </w:rPr>
        <w:t xml:space="preserve">, konzentriert Hegel sich auf eine kritische Darstellung der Spinozistischen Ontologie. </w:t>
      </w:r>
      <w:r w:rsidRPr="00921BB8">
        <w:rPr>
          <w:rFonts w:ascii="Times New Roman" w:eastAsia="Times New Roman" w:hAnsi="Times New Roman" w:cs="Times New Roman"/>
          <w:color w:val="000000"/>
          <w:lang w:val="de-DE"/>
        </w:rPr>
        <w:t xml:space="preserve">Wenn Hegel schreibt, dass das </w:t>
      </w:r>
      <w:r w:rsidRPr="00921BB8">
        <w:rPr>
          <w:rFonts w:ascii="Times New Roman" w:hAnsi="Times New Roman" w:cs="Times New Roman"/>
          <w:lang w:val="de-DE"/>
        </w:rPr>
        <w:t>höchste</w:t>
      </w:r>
      <w:r w:rsidRPr="00921BB8">
        <w:rPr>
          <w:rFonts w:ascii="Times New Roman" w:eastAsia="Times New Roman" w:hAnsi="Times New Roman" w:cs="Times New Roman"/>
          <w:color w:val="000000"/>
          <w:lang w:val="de-DE"/>
        </w:rPr>
        <w:t xml:space="preserve"> Wesen „</w:t>
      </w:r>
      <w:r w:rsidRPr="00921BB8">
        <w:rPr>
          <w:rFonts w:ascii="Times New Roman" w:hAnsi="Times New Roman" w:cs="Times New Roman"/>
          <w:lang w:val="de-DE"/>
        </w:rPr>
        <w:t>die absolute Negation und diese absoluteinfach</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859"/>
      </w:r>
      <w:r w:rsidRPr="00921BB8">
        <w:rPr>
          <w:rFonts w:ascii="Times New Roman" w:eastAsia="Times New Roman" w:hAnsi="Times New Roman" w:cs="Times New Roman"/>
          <w:color w:val="000000"/>
        </w:rPr>
        <w:t xml:space="preserve"> ist, </w:t>
      </w:r>
      <w:r w:rsidRPr="00921BB8">
        <w:rPr>
          <w:rFonts w:ascii="Times New Roman" w:eastAsia="Times New Roman" w:hAnsi="Times New Roman" w:cs="Times New Roman"/>
          <w:color w:val="000000"/>
          <w:lang w:val="de-DE"/>
        </w:rPr>
        <w:t xml:space="preserve">teilt er uns mit, dass die Substanz Spinozas weder die Selbständigkeit ihres Andersseins noch die Aufbewahrung desselben in ihrer Identität vorsieht. Da die Substanz absoluteinfache Reflexion ist, kann sie sich nicht konkret bestimmen: α) die </w:t>
      </w:r>
      <w:r w:rsidRPr="00921BB8">
        <w:rPr>
          <w:rFonts w:ascii="Times New Roman" w:hAnsi="Times New Roman" w:cs="Times New Roman"/>
          <w:lang w:val="de-DE"/>
        </w:rPr>
        <w:t>Attribute sind keine an sich seiende Bestimmungen, sondern verschwindende Momente des höchsten Wesens, und β) die Modi „</w:t>
      </w:r>
      <w:r w:rsidRPr="00921BB8">
        <w:rPr>
          <w:rFonts w:ascii="Times New Roman" w:eastAsia="Times New Roman" w:hAnsi="Times New Roman" w:cs="Times New Roman"/>
          <w:color w:val="000000"/>
          <w:lang w:val="de-DE"/>
        </w:rPr>
        <w:t>kehren in die Nichtexistenz und in das höchste Wesen zurück</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860"/>
      </w:r>
      <w:r w:rsidRPr="00921BB8">
        <w:rPr>
          <w:rFonts w:ascii="Times New Roman" w:eastAsia="Times New Roman" w:hAnsi="Times New Roman" w:cs="Times New Roman"/>
          <w:color w:val="000000"/>
          <w:lang w:val="de-DE"/>
        </w:rPr>
        <w:t xml:space="preserve">. Einerseits bringt </w:t>
      </w:r>
      <w:r w:rsidRPr="00921BB8">
        <w:rPr>
          <w:rFonts w:ascii="Times New Roman" w:hAnsi="Times New Roman" w:cs="Times New Roman"/>
          <w:lang w:val="de-DE"/>
        </w:rPr>
        <w:t xml:space="preserve">das </w:t>
      </w:r>
      <w:r w:rsidRPr="00921BB8">
        <w:rPr>
          <w:rFonts w:ascii="Times New Roman" w:eastAsia="Times New Roman" w:hAnsi="Times New Roman" w:cs="Times New Roman"/>
          <w:color w:val="000000"/>
          <w:lang w:val="de-DE"/>
        </w:rPr>
        <w:t>höchste Wesen</w:t>
      </w:r>
      <w:r w:rsidRPr="00921BB8">
        <w:rPr>
          <w:rFonts w:ascii="Times New Roman" w:eastAsia="Times New Roman" w:hAnsi="Times New Roman" w:cs="Times New Roman"/>
          <w:i/>
          <w:color w:val="000000"/>
          <w:lang w:val="de-DE"/>
        </w:rPr>
        <w:t xml:space="preserve"> </w:t>
      </w:r>
      <w:r w:rsidRPr="00921BB8">
        <w:rPr>
          <w:rFonts w:ascii="Times New Roman" w:hAnsi="Times New Roman" w:cs="Times New Roman"/>
          <w:lang w:val="de-DE"/>
        </w:rPr>
        <w:t>die Modi in Einheit mit sich und entzieht</w:t>
      </w:r>
      <w:r w:rsidRPr="00921BB8">
        <w:rPr>
          <w:rFonts w:ascii="Times New Roman" w:eastAsia="Times New Roman" w:hAnsi="Times New Roman" w:cs="Times New Roman"/>
          <w:color w:val="000000"/>
          <w:lang w:val="de-DE"/>
        </w:rPr>
        <w:t xml:space="preserve"> </w:t>
      </w:r>
      <w:r w:rsidRPr="00921BB8">
        <w:rPr>
          <w:rFonts w:ascii="Times New Roman" w:hAnsi="Times New Roman" w:cs="Times New Roman"/>
          <w:lang w:val="de-DE"/>
        </w:rPr>
        <w:t>ihnen ihr Das</w:t>
      </w:r>
      <w:r w:rsidRPr="00921BB8">
        <w:rPr>
          <w:rFonts w:ascii="Times New Roman" w:eastAsia="Times New Roman" w:hAnsi="Times New Roman" w:cs="Times New Roman"/>
          <w:color w:val="000000"/>
          <w:lang w:val="de-DE"/>
        </w:rPr>
        <w:t xml:space="preserve">ein (wenn es bewahrt würde, würde es Bestimmtheit in die </w:t>
      </w:r>
      <w:r w:rsidRPr="00921BB8">
        <w:rPr>
          <w:rFonts w:ascii="Times New Roman" w:hAnsi="Times New Roman" w:cs="Times New Roman"/>
          <w:i/>
          <w:lang w:val="de-DE"/>
        </w:rPr>
        <w:t xml:space="preserve">absoluteinfache und bestimmunglose Reflexion </w:t>
      </w:r>
      <w:r w:rsidRPr="00921BB8">
        <w:rPr>
          <w:rFonts w:ascii="Times New Roman" w:hAnsi="Times New Roman" w:cs="Times New Roman"/>
          <w:lang w:val="de-DE"/>
        </w:rPr>
        <w:t xml:space="preserve">der Substanz </w:t>
      </w:r>
      <w:r w:rsidRPr="00921BB8">
        <w:rPr>
          <w:rFonts w:ascii="Times New Roman" w:eastAsia="Times New Roman" w:hAnsi="Times New Roman" w:cs="Times New Roman"/>
          <w:color w:val="000000"/>
          <w:lang w:val="de-DE"/>
        </w:rPr>
        <w:t>einführen</w:t>
      </w:r>
      <w:r w:rsidRPr="00921BB8">
        <w:rPr>
          <w:rFonts w:ascii="Times New Roman" w:hAnsi="Times New Roman" w:cs="Times New Roman"/>
          <w:lang w:val="de-DE"/>
        </w:rPr>
        <w:t>); andererseits beansprucht die Negativität des Endlichen ein unabhängiges F</w:t>
      </w:r>
      <w:r w:rsidRPr="00921BB8">
        <w:rPr>
          <w:rFonts w:ascii="Times New Roman" w:eastAsia="Times New Roman" w:hAnsi="Times New Roman" w:cs="Times New Roman"/>
          <w:color w:val="000000"/>
          <w:lang w:val="de-DE"/>
        </w:rPr>
        <w:t>ü</w:t>
      </w:r>
      <w:r w:rsidRPr="00921BB8">
        <w:rPr>
          <w:rFonts w:ascii="Times New Roman" w:hAnsi="Times New Roman" w:cs="Times New Roman"/>
          <w:lang w:val="de-DE"/>
        </w:rPr>
        <w:t xml:space="preserve">r-sich-sein und macht sich von der substantiellen Einheit los. </w:t>
      </w:r>
      <w:r w:rsidRPr="00921BB8">
        <w:rPr>
          <w:rFonts w:ascii="Times New Roman" w:eastAsia="Times New Roman" w:hAnsi="Times New Roman" w:cs="Times New Roman"/>
          <w:color w:val="000000"/>
          <w:lang w:val="de-DE"/>
        </w:rPr>
        <w:t xml:space="preserve">Das höchste Wesen, das Hegel mit reinem Licht gleichsetzt, nimmt die Dunkelheit nicht in sich auf. Das Endliche, die Finsternis, meidet wiederum das Licht und stellt sich als Für-sich-sein dar: </w:t>
      </w:r>
    </w:p>
    <w:p w14:paraId="568E6594" w14:textId="77777777" w:rsidR="001C3D81" w:rsidRPr="00921BB8" w:rsidRDefault="001C3D81" w:rsidP="001C3D81">
      <w:pPr>
        <w:spacing w:line="360" w:lineRule="auto"/>
        <w:ind w:firstLine="567"/>
        <w:jc w:val="both"/>
        <w:rPr>
          <w:rFonts w:ascii="Times New Roman" w:eastAsia="Times New Roman" w:hAnsi="Times New Roman" w:cs="Times New Roman"/>
          <w:color w:val="000000"/>
          <w:lang w:val="de-DE"/>
        </w:rPr>
      </w:pPr>
    </w:p>
    <w:p w14:paraId="2FDBC0A0" w14:textId="77777777" w:rsidR="001C3D81" w:rsidRPr="00921BB8" w:rsidRDefault="001C3D81" w:rsidP="001C3D81">
      <w:pPr>
        <w:spacing w:line="360" w:lineRule="auto"/>
        <w:ind w:left="567"/>
        <w:jc w:val="both"/>
        <w:rPr>
          <w:rFonts w:ascii="Times New Roman" w:eastAsia="Times New Roman" w:hAnsi="Times New Roman" w:cs="Times New Roman"/>
          <w:color w:val="000000"/>
          <w:sz w:val="20"/>
          <w:szCs w:val="20"/>
          <w:lang w:val="de-DE"/>
        </w:rPr>
      </w:pPr>
      <w:r w:rsidRPr="00921BB8">
        <w:rPr>
          <w:rFonts w:ascii="Times New Roman" w:eastAsia="Times New Roman" w:hAnsi="Times New Roman" w:cs="Times New Roman"/>
          <w:color w:val="000000"/>
          <w:sz w:val="20"/>
          <w:szCs w:val="20"/>
          <w:lang w:val="de-DE"/>
        </w:rPr>
        <w:t>Diesem [dem höchsten Wesen] steht in seiner Sichselbstgleichheit schlechthin die Negation, als das böse Prinzip, das sich in sich einbildet gegenüber; in seiner Klarheit ist diese Finsterniß nicht; denn diese ist das Nichts für das Licht, und jene ist diesem schlechthin, als sich gleich, aber ebenso ist das Licht nicht ohne Finsterniß, als diese ohne das Licht ist […].Es ist erwiesen, daß nur die höchste Wesen an sich ist; aber dieses für sichseyn der Welt steht dieser Notwendigkeit schlechthin gegenüber; sein Sein ist ein Nichtseyn; aber diß Nichtseyn ist selbst ist jenem absoluten Seyn gegenüber […] und dies für sichseyn und das absolute Wesen bleiben getrennt</w:t>
      </w:r>
      <w:r w:rsidRPr="00921BB8">
        <w:rPr>
          <w:rStyle w:val="Rimandonotaapidipagina"/>
          <w:rFonts w:ascii="Times New Roman" w:eastAsia="Times New Roman" w:hAnsi="Times New Roman" w:cs="Times New Roman"/>
          <w:color w:val="000000"/>
          <w:sz w:val="20"/>
          <w:szCs w:val="20"/>
          <w:lang w:val="de-DE"/>
        </w:rPr>
        <w:footnoteReference w:id="861"/>
      </w:r>
      <w:r w:rsidRPr="00921BB8">
        <w:rPr>
          <w:rFonts w:ascii="Times New Roman" w:eastAsia="Times New Roman" w:hAnsi="Times New Roman" w:cs="Times New Roman"/>
          <w:color w:val="000000"/>
          <w:sz w:val="20"/>
          <w:szCs w:val="20"/>
          <w:lang w:val="de-DE"/>
        </w:rPr>
        <w:t>.</w:t>
      </w:r>
    </w:p>
    <w:p w14:paraId="1C797625" w14:textId="77777777" w:rsidR="001C3D81" w:rsidRPr="00921BB8" w:rsidRDefault="001C3D81" w:rsidP="001C3D81">
      <w:pPr>
        <w:spacing w:line="360" w:lineRule="auto"/>
        <w:jc w:val="both"/>
        <w:rPr>
          <w:rFonts w:ascii="Times New Roman" w:eastAsia="Times New Roman" w:hAnsi="Times New Roman" w:cs="Times New Roman"/>
          <w:color w:val="000000"/>
          <w:lang w:val="de-DE"/>
        </w:rPr>
      </w:pPr>
    </w:p>
    <w:p w14:paraId="55D39EC6" w14:textId="248151DC" w:rsidR="00C1065B" w:rsidRDefault="001C3D81" w:rsidP="00824BEC">
      <w:pPr>
        <w:spacing w:line="360" w:lineRule="auto"/>
        <w:ind w:firstLine="567"/>
        <w:jc w:val="both"/>
        <w:rPr>
          <w:rFonts w:ascii="Times New Roman" w:eastAsia="Times New Roman" w:hAnsi="Times New Roman" w:cs="Times New Roman"/>
          <w:color w:val="000000"/>
          <w:lang w:val="de-DE"/>
        </w:rPr>
      </w:pPr>
      <w:r w:rsidRPr="00921BB8">
        <w:rPr>
          <w:rFonts w:ascii="Times New Roman" w:eastAsia="Times New Roman" w:hAnsi="Times New Roman" w:cs="Times New Roman"/>
          <w:color w:val="000000"/>
          <w:lang w:val="de-DE"/>
        </w:rPr>
        <w:t xml:space="preserve">Um das Absolute als Identität von zwei entgegengesetzten Prinzipien (Licht und Finsternis; das gute </w:t>
      </w:r>
      <w:r w:rsidR="00824BEC">
        <w:rPr>
          <w:rFonts w:ascii="Times New Roman" w:eastAsia="Times New Roman" w:hAnsi="Times New Roman" w:cs="Times New Roman"/>
          <w:color w:val="000000"/>
          <w:lang w:val="de-DE"/>
        </w:rPr>
        <w:t xml:space="preserve">Prinzip </w:t>
      </w:r>
      <w:r w:rsidRPr="00921BB8">
        <w:rPr>
          <w:rFonts w:ascii="Times New Roman" w:eastAsia="Times New Roman" w:hAnsi="Times New Roman" w:cs="Times New Roman"/>
          <w:color w:val="000000"/>
          <w:lang w:val="de-DE"/>
        </w:rPr>
        <w:t>und</w:t>
      </w:r>
      <w:r w:rsidR="00824BEC">
        <w:rPr>
          <w:rFonts w:ascii="Times New Roman" w:eastAsia="Times New Roman" w:hAnsi="Times New Roman" w:cs="Times New Roman"/>
          <w:color w:val="000000"/>
          <w:lang w:val="de-DE"/>
        </w:rPr>
        <w:t xml:space="preserve"> das</w:t>
      </w:r>
      <w:r w:rsidRPr="00921BB8">
        <w:rPr>
          <w:rFonts w:ascii="Times New Roman" w:eastAsia="Times New Roman" w:hAnsi="Times New Roman" w:cs="Times New Roman"/>
          <w:color w:val="000000"/>
          <w:lang w:val="de-DE"/>
        </w:rPr>
        <w:t xml:space="preserve"> böse Prinzip) zu begreifen, ist es nötig, di</w:t>
      </w:r>
      <w:r w:rsidR="00AF651E">
        <w:rPr>
          <w:rFonts w:ascii="Times New Roman" w:eastAsia="Times New Roman" w:hAnsi="Times New Roman" w:cs="Times New Roman"/>
          <w:color w:val="000000"/>
          <w:lang w:val="de-DE"/>
        </w:rPr>
        <w:t xml:space="preserve">e bestimmunglose Reflexion der </w:t>
      </w:r>
      <w:r w:rsidRPr="00921BB8">
        <w:rPr>
          <w:rFonts w:ascii="Times New Roman" w:eastAsia="Times New Roman" w:hAnsi="Times New Roman" w:cs="Times New Roman"/>
          <w:color w:val="000000"/>
          <w:lang w:val="de-DE"/>
        </w:rPr>
        <w:t xml:space="preserve">Spinozistischen Substanz aufzuheben. Die Erfüllung dieses theoretischen Ziels, das Hegel am Schluss von </w:t>
      </w:r>
      <w:r w:rsidRPr="00921BB8">
        <w:rPr>
          <w:rFonts w:ascii="Times New Roman" w:eastAsia="Times New Roman" w:hAnsi="Times New Roman" w:cs="Times New Roman"/>
          <w:i/>
          <w:color w:val="000000"/>
          <w:lang w:val="de-DE"/>
        </w:rPr>
        <w:t>Höchstes Wesen</w:t>
      </w:r>
      <w:r w:rsidRPr="00921BB8">
        <w:rPr>
          <w:rFonts w:ascii="Times New Roman" w:eastAsia="Times New Roman" w:hAnsi="Times New Roman" w:cs="Times New Roman"/>
          <w:color w:val="000000"/>
          <w:lang w:val="de-DE"/>
        </w:rPr>
        <w:t xml:space="preserve"> nur programmatisch skizziert hat, wird zur Auffassung einer Theorie der Unendlichkeit leiten, die die spekulativen Elemente der </w:t>
      </w:r>
      <w:r w:rsidRPr="00921BB8">
        <w:rPr>
          <w:rFonts w:ascii="Times New Roman" w:eastAsia="Times New Roman" w:hAnsi="Times New Roman" w:cs="Times New Roman"/>
          <w:i/>
          <w:color w:val="000000"/>
          <w:lang w:val="de-DE"/>
        </w:rPr>
        <w:t xml:space="preserve">einfachen Beziehung </w:t>
      </w:r>
      <w:r w:rsidRPr="00921BB8">
        <w:rPr>
          <w:rFonts w:ascii="Times New Roman" w:eastAsia="Times New Roman" w:hAnsi="Times New Roman" w:cs="Times New Roman"/>
          <w:color w:val="000000"/>
          <w:lang w:val="de-DE"/>
        </w:rPr>
        <w:t>vollständig darlegt.</w:t>
      </w:r>
    </w:p>
    <w:p w14:paraId="23F620A1" w14:textId="77777777" w:rsidR="00AF5A62" w:rsidRPr="00824BEC" w:rsidRDefault="00AF5A62" w:rsidP="00824BEC">
      <w:pPr>
        <w:spacing w:line="360" w:lineRule="auto"/>
        <w:ind w:firstLine="567"/>
        <w:jc w:val="both"/>
        <w:rPr>
          <w:rFonts w:ascii="Times New Roman" w:eastAsia="Times New Roman" w:hAnsi="Times New Roman" w:cs="Times New Roman"/>
          <w:color w:val="000000"/>
          <w:lang w:val="de-DE"/>
        </w:rPr>
      </w:pPr>
    </w:p>
    <w:p w14:paraId="481666CC" w14:textId="77777777" w:rsidR="001C3D81" w:rsidRPr="00921BB8" w:rsidRDefault="001C3D81" w:rsidP="001C3D81">
      <w:pPr>
        <w:spacing w:line="360" w:lineRule="auto"/>
        <w:jc w:val="both"/>
        <w:rPr>
          <w:rFonts w:ascii="Times New Roman" w:eastAsia="Times New Roman" w:hAnsi="Times New Roman" w:cs="Times New Roman"/>
          <w:color w:val="000000"/>
          <w:lang w:val="de-DE"/>
        </w:rPr>
      </w:pPr>
      <w:r w:rsidRPr="00921BB8">
        <w:rPr>
          <w:rFonts w:ascii="Times New Roman" w:eastAsia="Times New Roman" w:hAnsi="Times New Roman" w:cs="Times New Roman"/>
          <w:i/>
          <w:color w:val="000000"/>
        </w:rPr>
        <w:t xml:space="preserve">1.6 Zwischen Kant und Böhme: die Theorie der zwei Prinzipien in der </w:t>
      </w:r>
      <w:r w:rsidRPr="00921BB8">
        <w:rPr>
          <w:rFonts w:ascii="Times New Roman" w:eastAsia="Times New Roman" w:hAnsi="Times New Roman" w:cs="Times New Roman"/>
          <w:color w:val="000000"/>
          <w:lang w:val="de-DE"/>
        </w:rPr>
        <w:t>Metaphysik der Objektivität</w:t>
      </w:r>
    </w:p>
    <w:p w14:paraId="1E72875D" w14:textId="77777777" w:rsidR="001C3D81" w:rsidRPr="00921BB8" w:rsidRDefault="001C3D81" w:rsidP="001C3D81">
      <w:pPr>
        <w:spacing w:line="360" w:lineRule="auto"/>
        <w:jc w:val="both"/>
        <w:rPr>
          <w:rFonts w:ascii="Times New Roman" w:eastAsia="Times New Roman" w:hAnsi="Times New Roman" w:cs="Times New Roman"/>
          <w:color w:val="000000"/>
        </w:rPr>
      </w:pPr>
    </w:p>
    <w:p w14:paraId="2ABFB9CD" w14:textId="16D5EBF5" w:rsidR="001C3D81" w:rsidRPr="00921BB8" w:rsidRDefault="001C3D81" w:rsidP="001C3D81">
      <w:pPr>
        <w:spacing w:line="360" w:lineRule="auto"/>
        <w:ind w:firstLine="567"/>
        <w:jc w:val="both"/>
        <w:rPr>
          <w:rFonts w:ascii="Times New Roman" w:eastAsia="Times New Roman" w:hAnsi="Times New Roman" w:cs="Times New Roman"/>
          <w:color w:val="000000"/>
          <w:lang w:val="de-DE"/>
        </w:rPr>
      </w:pPr>
      <w:r w:rsidRPr="00921BB8">
        <w:rPr>
          <w:rFonts w:ascii="Times New Roman" w:eastAsia="Times New Roman" w:hAnsi="Times New Roman" w:cs="Times New Roman"/>
          <w:color w:val="000000"/>
          <w:lang w:val="de-DE"/>
        </w:rPr>
        <w:t xml:space="preserve">Die Betonung der rein theoretischen Kernpunkte des </w:t>
      </w:r>
      <w:r w:rsidRPr="00921BB8">
        <w:rPr>
          <w:rFonts w:ascii="Times New Roman" w:eastAsia="Times New Roman" w:hAnsi="Times New Roman" w:cs="Times New Roman"/>
          <w:i/>
          <w:color w:val="000000"/>
          <w:lang w:val="de-DE"/>
        </w:rPr>
        <w:t>Höchsten Wesens</w:t>
      </w:r>
      <w:r w:rsidRPr="00921BB8">
        <w:rPr>
          <w:rFonts w:ascii="Times New Roman" w:eastAsia="Times New Roman" w:hAnsi="Times New Roman" w:cs="Times New Roman"/>
          <w:color w:val="000000"/>
          <w:lang w:val="de-DE"/>
        </w:rPr>
        <w:t xml:space="preserve"> führt uns jetzt dazu, die philosophischen Quellen zu hinterfragen, die im Rahmen dieses Abschnitts der </w:t>
      </w:r>
      <w:r w:rsidRPr="00921BB8">
        <w:rPr>
          <w:rFonts w:ascii="Times New Roman" w:eastAsia="Times New Roman" w:hAnsi="Times New Roman" w:cs="Times New Roman"/>
          <w:i/>
          <w:color w:val="000000"/>
          <w:lang w:val="de-DE"/>
        </w:rPr>
        <w:t>Metaphysik der Objektivität</w:t>
      </w:r>
      <w:r w:rsidRPr="00921BB8">
        <w:rPr>
          <w:rFonts w:ascii="Times New Roman" w:eastAsia="Times New Roman" w:hAnsi="Times New Roman" w:cs="Times New Roman"/>
          <w:color w:val="000000"/>
          <w:lang w:val="de-DE"/>
        </w:rPr>
        <w:t xml:space="preserve"> enthalten sind. Das theoretische Ziel, die Identität der zwei Prinzipien zu begreifen, wird durch eine Kantische Terminologie ausgedrückt. In Übereinstimmung mit dem </w:t>
      </w:r>
      <w:r w:rsidRPr="00921BB8">
        <w:rPr>
          <w:rFonts w:ascii="Times New Roman" w:eastAsia="Times New Roman" w:hAnsi="Times New Roman" w:cs="Times New Roman"/>
          <w:i/>
          <w:color w:val="000000"/>
          <w:lang w:val="de-DE"/>
        </w:rPr>
        <w:t xml:space="preserve">Neuen Testament </w:t>
      </w:r>
      <w:r w:rsidRPr="00921BB8">
        <w:rPr>
          <w:rFonts w:ascii="Times New Roman" w:eastAsia="Times New Roman" w:hAnsi="Times New Roman" w:cs="Times New Roman"/>
          <w:color w:val="000000"/>
          <w:lang w:val="de-DE"/>
        </w:rPr>
        <w:t xml:space="preserve">definiert Kant in der </w:t>
      </w:r>
      <w:r w:rsidRPr="00921BB8">
        <w:rPr>
          <w:rFonts w:ascii="Times New Roman" w:eastAsia="Times New Roman" w:hAnsi="Times New Roman" w:cs="Times New Roman"/>
          <w:i/>
          <w:color w:val="000000"/>
          <w:lang w:val="de-DE"/>
        </w:rPr>
        <w:t>Religion innerhalb der Grenzen der bloßen Vernunft</w:t>
      </w:r>
      <w:r w:rsidRPr="00921BB8">
        <w:rPr>
          <w:rFonts w:ascii="Times New Roman" w:eastAsia="Times New Roman" w:hAnsi="Times New Roman" w:cs="Times New Roman"/>
          <w:color w:val="000000"/>
          <w:lang w:val="de-DE"/>
        </w:rPr>
        <w:t xml:space="preserve"> den Sohn Gottes, oder die „personifizierte Idee des guten Prinzips</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862"/>
      </w:r>
      <w:r w:rsidRPr="00921BB8">
        <w:rPr>
          <w:rFonts w:ascii="Times New Roman" w:eastAsia="Times New Roman" w:hAnsi="Times New Roman" w:cs="Times New Roman"/>
          <w:color w:val="000000"/>
          <w:lang w:val="de-DE"/>
        </w:rPr>
        <w:t xml:space="preserve">, als Vertreter des guten Prinzips, und den Teufel, oder einen </w:t>
      </w:r>
      <w:r w:rsidRPr="00921BB8">
        <w:rPr>
          <w:rFonts w:ascii="Times New Roman" w:eastAsia="Times New Roman" w:hAnsi="Times New Roman" w:cs="Times New Roman"/>
          <w:i/>
          <w:color w:val="000000"/>
          <w:lang w:val="de-DE"/>
        </w:rPr>
        <w:t xml:space="preserve">Geist </w:t>
      </w:r>
      <w:r w:rsidRPr="00921BB8">
        <w:rPr>
          <w:rFonts w:ascii="Times New Roman" w:eastAsia="Times New Roman" w:hAnsi="Times New Roman" w:cs="Times New Roman"/>
          <w:color w:val="000000"/>
          <w:lang w:val="de-DE"/>
        </w:rPr>
        <w:t>„von ursprünglich erhabener Bestimmung voranschickt</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863"/>
      </w:r>
      <w:r w:rsidRPr="00921BB8">
        <w:rPr>
          <w:rFonts w:ascii="Times New Roman" w:eastAsia="Times New Roman" w:hAnsi="Times New Roman" w:cs="Times New Roman"/>
          <w:color w:val="000000"/>
          <w:lang w:val="de-DE"/>
        </w:rPr>
        <w:t xml:space="preserve">, als Vertreter des schlechten Prinzips. Wegen seines </w:t>
      </w:r>
      <w:r w:rsidRPr="00921BB8">
        <w:rPr>
          <w:rFonts w:ascii="Times New Roman" w:eastAsia="Times New Roman" w:hAnsi="Times New Roman" w:cs="Times New Roman"/>
          <w:i/>
          <w:color w:val="000000"/>
          <w:lang w:val="de-DE"/>
        </w:rPr>
        <w:t xml:space="preserve">Abfalls </w:t>
      </w:r>
      <w:r w:rsidRPr="00921BB8">
        <w:rPr>
          <w:rFonts w:ascii="Times New Roman" w:eastAsia="Times New Roman" w:hAnsi="Times New Roman" w:cs="Times New Roman"/>
          <w:color w:val="000000"/>
          <w:lang w:val="de-DE"/>
        </w:rPr>
        <w:t xml:space="preserve">wendet </w:t>
      </w:r>
      <w:r w:rsidR="00AF5A62">
        <w:rPr>
          <w:rFonts w:ascii="Times New Roman" w:eastAsia="Times New Roman" w:hAnsi="Times New Roman" w:cs="Times New Roman"/>
          <w:color w:val="000000"/>
          <w:lang w:val="de-DE"/>
        </w:rPr>
        <w:t xml:space="preserve">der Teufel </w:t>
      </w:r>
      <w:r w:rsidRPr="00921BB8">
        <w:rPr>
          <w:rFonts w:ascii="Times New Roman" w:eastAsia="Times New Roman" w:hAnsi="Times New Roman" w:cs="Times New Roman"/>
          <w:color w:val="000000"/>
          <w:lang w:val="de-DE"/>
        </w:rPr>
        <w:t>seine Herrschaftslust auf den Menschen, auf einen Geist „ursprünglich zum Eigenthümer aller Güter der Erde eingesetzt</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864"/>
      </w:r>
      <w:r w:rsidRPr="00921BB8">
        <w:rPr>
          <w:rFonts w:ascii="Times New Roman" w:eastAsia="Times New Roman" w:hAnsi="Times New Roman" w:cs="Times New Roman"/>
          <w:color w:val="000000"/>
          <w:lang w:val="de-DE"/>
        </w:rPr>
        <w:t xml:space="preserve">. Durch die Korruption der Stammväter der Menschen errichtet </w:t>
      </w:r>
      <w:r w:rsidR="00AF5A62">
        <w:rPr>
          <w:rFonts w:ascii="Times New Roman" w:eastAsia="Times New Roman" w:hAnsi="Times New Roman" w:cs="Times New Roman"/>
          <w:color w:val="000000"/>
          <w:lang w:val="de-DE"/>
        </w:rPr>
        <w:t xml:space="preserve">er </w:t>
      </w:r>
      <w:r w:rsidRPr="00921BB8">
        <w:rPr>
          <w:rFonts w:ascii="Times New Roman" w:eastAsia="Times New Roman" w:hAnsi="Times New Roman" w:cs="Times New Roman"/>
          <w:color w:val="000000"/>
          <w:lang w:val="de-DE"/>
        </w:rPr>
        <w:t>eine Herrschaft über die Erde. In Bezug auf den Sündenfall des Menschen stellt Kant fest, dass „nur als durch Verführung in Böse gefallen, auch nicht von Grund aus verderbt</w:t>
      </w:r>
      <w:r w:rsidRPr="00921BB8">
        <w:rPr>
          <w:rFonts w:ascii="Times New Roman" w:eastAsia="Times New Roman" w:hAnsi="Times New Roman" w:cs="Times New Roman"/>
          <w:color w:val="000000"/>
        </w:rPr>
        <w:t>”</w:t>
      </w:r>
      <w:r w:rsidRPr="00921BB8">
        <w:rPr>
          <w:rFonts w:ascii="Times New Roman" w:eastAsia="Times New Roman" w:hAnsi="Times New Roman" w:cs="Times New Roman"/>
          <w:color w:val="000000"/>
          <w:lang w:val="de-DE"/>
        </w:rPr>
        <w:t>, d.h. das Böse für den Menschen kann „nur aus dem Moralisch-Bösen [...] entspringen […], und doch ist die ursprüngliche Anlage [...] eine Anlage zum Guten</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865"/>
      </w:r>
      <w:r w:rsidRPr="00921BB8">
        <w:rPr>
          <w:rFonts w:ascii="Times New Roman" w:eastAsia="Times New Roman" w:hAnsi="Times New Roman" w:cs="Times New Roman"/>
          <w:color w:val="000000"/>
          <w:lang w:val="de-DE"/>
        </w:rPr>
        <w:t>. In Bezug auf den Abfall</w:t>
      </w:r>
      <w:r w:rsidR="00AF5A62">
        <w:rPr>
          <w:rFonts w:ascii="Times New Roman" w:eastAsia="Times New Roman" w:hAnsi="Times New Roman" w:cs="Times New Roman"/>
          <w:color w:val="000000"/>
          <w:lang w:val="de-DE"/>
        </w:rPr>
        <w:t xml:space="preserve"> des Teufels</w:t>
      </w:r>
      <w:r w:rsidRPr="00921BB8">
        <w:rPr>
          <w:rFonts w:ascii="Times New Roman" w:eastAsia="Times New Roman" w:hAnsi="Times New Roman" w:cs="Times New Roman"/>
          <w:color w:val="000000"/>
          <w:lang w:val="de-DE"/>
        </w:rPr>
        <w:t xml:space="preserve">, der nicht als eine Versuchung, sondern als eine </w:t>
      </w:r>
      <w:r w:rsidRPr="00921BB8">
        <w:rPr>
          <w:rFonts w:ascii="Times New Roman" w:eastAsia="Times New Roman" w:hAnsi="Times New Roman" w:cs="Times New Roman"/>
          <w:i/>
          <w:color w:val="000000"/>
          <w:lang w:val="de-DE"/>
        </w:rPr>
        <w:t xml:space="preserve">radikale </w:t>
      </w:r>
      <w:r w:rsidRPr="00921BB8">
        <w:rPr>
          <w:rFonts w:ascii="Times New Roman" w:eastAsia="Times New Roman" w:hAnsi="Times New Roman" w:cs="Times New Roman"/>
          <w:color w:val="000000"/>
          <w:lang w:val="de-DE"/>
        </w:rPr>
        <w:t xml:space="preserve">Entartung seines Wesens beschrieben wird, bietet Kant keine plausible Erklärung dar: der Ursprung des Bösen in einem </w:t>
      </w:r>
      <w:r w:rsidRPr="00921BB8">
        <w:rPr>
          <w:rFonts w:ascii="Times New Roman" w:eastAsia="Times New Roman" w:hAnsi="Times New Roman" w:cs="Times New Roman"/>
          <w:i/>
          <w:color w:val="000000"/>
          <w:lang w:val="de-DE"/>
        </w:rPr>
        <w:t xml:space="preserve">ursprünglich </w:t>
      </w:r>
      <w:r w:rsidRPr="00921BB8">
        <w:rPr>
          <w:rFonts w:ascii="Times New Roman" w:eastAsia="Times New Roman" w:hAnsi="Times New Roman" w:cs="Times New Roman"/>
          <w:color w:val="000000"/>
          <w:lang w:val="de-DE"/>
        </w:rPr>
        <w:t>guten Wesen bleibt „für uns unbegreiflich (denn woher bei jenem Geist das Böse?)</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866"/>
      </w:r>
      <w:r w:rsidRPr="00921BB8">
        <w:rPr>
          <w:rFonts w:ascii="Times New Roman" w:eastAsia="Times New Roman" w:hAnsi="Times New Roman" w:cs="Times New Roman"/>
          <w:color w:val="000000"/>
          <w:lang w:val="de-DE"/>
        </w:rPr>
        <w:t>.</w:t>
      </w:r>
    </w:p>
    <w:p w14:paraId="1847BE19" w14:textId="7635D053" w:rsidR="001C3D81" w:rsidRPr="00921BB8" w:rsidRDefault="001C3D81" w:rsidP="001C3D81">
      <w:pPr>
        <w:spacing w:line="360" w:lineRule="auto"/>
        <w:ind w:firstLine="567"/>
        <w:jc w:val="both"/>
        <w:rPr>
          <w:rFonts w:ascii="Times New Roman" w:eastAsia="Times New Roman" w:hAnsi="Times New Roman" w:cs="Times New Roman"/>
          <w:color w:val="000000"/>
          <w:lang w:val="de-DE"/>
        </w:rPr>
      </w:pPr>
      <w:r w:rsidRPr="00FE43D1">
        <w:rPr>
          <w:rFonts w:ascii="Times New Roman" w:eastAsia="Times New Roman" w:hAnsi="Times New Roman" w:cs="Times New Roman"/>
          <w:color w:val="000000"/>
          <w:lang w:val="de-DE"/>
        </w:rPr>
        <w:t xml:space="preserve">Um die Unbestimmtheit des Spinozismus und </w:t>
      </w:r>
      <w:r w:rsidR="00FE43D1">
        <w:rPr>
          <w:rFonts w:ascii="Times New Roman" w:eastAsia="Times New Roman" w:hAnsi="Times New Roman" w:cs="Times New Roman"/>
          <w:color w:val="000000"/>
          <w:lang w:val="de-DE"/>
        </w:rPr>
        <w:t>das K</w:t>
      </w:r>
      <w:r w:rsidR="00603E11" w:rsidRPr="00FE43D1">
        <w:rPr>
          <w:rFonts w:ascii="Times New Roman" w:eastAsia="Times New Roman" w:hAnsi="Times New Roman" w:cs="Times New Roman"/>
          <w:color w:val="000000"/>
          <w:lang w:val="de-DE"/>
        </w:rPr>
        <w:t xml:space="preserve">antische </w:t>
      </w:r>
      <w:r w:rsidR="00FE43D1" w:rsidRPr="00FE43D1">
        <w:rPr>
          <w:rFonts w:ascii="Times New Roman" w:eastAsia="Times New Roman" w:hAnsi="Times New Roman" w:cs="Times New Roman"/>
          <w:color w:val="000000"/>
          <w:lang w:val="de-DE"/>
        </w:rPr>
        <w:t xml:space="preserve">Ausweichen der Frage nach dem </w:t>
      </w:r>
      <w:r w:rsidR="00603E11" w:rsidRPr="00FE43D1">
        <w:rPr>
          <w:rFonts w:ascii="Times New Roman" w:eastAsia="Times New Roman" w:hAnsi="Times New Roman" w:cs="Times New Roman"/>
          <w:color w:val="000000"/>
          <w:lang w:val="de-DE"/>
        </w:rPr>
        <w:t xml:space="preserve">Ursprung des Bösen in einem </w:t>
      </w:r>
      <w:r w:rsidR="00FE43D1" w:rsidRPr="00FE43D1">
        <w:rPr>
          <w:rFonts w:ascii="Times New Roman" w:eastAsia="Times New Roman" w:hAnsi="Times New Roman" w:cs="Times New Roman"/>
          <w:i/>
          <w:color w:val="000000"/>
          <w:lang w:val="de-DE"/>
        </w:rPr>
        <w:t>ursprünglich</w:t>
      </w:r>
      <w:r w:rsidR="00FE43D1" w:rsidRPr="00FE43D1">
        <w:rPr>
          <w:rFonts w:ascii="Times New Roman" w:eastAsia="Times New Roman" w:hAnsi="Times New Roman" w:cs="Times New Roman"/>
          <w:color w:val="000000"/>
          <w:lang w:val="de-DE"/>
        </w:rPr>
        <w:t xml:space="preserve"> </w:t>
      </w:r>
      <w:r w:rsidR="00603E11" w:rsidRPr="00FE43D1">
        <w:rPr>
          <w:rFonts w:ascii="Times New Roman" w:eastAsia="Times New Roman" w:hAnsi="Times New Roman" w:cs="Times New Roman"/>
          <w:color w:val="000000"/>
          <w:lang w:val="de-DE"/>
        </w:rPr>
        <w:t>guten Wesen</w:t>
      </w:r>
      <w:r w:rsidRPr="00FE43D1">
        <w:rPr>
          <w:rFonts w:ascii="Times New Roman" w:eastAsia="Times New Roman" w:hAnsi="Times New Roman" w:cs="Times New Roman"/>
          <w:color w:val="000000"/>
          <w:lang w:val="de-DE"/>
        </w:rPr>
        <w:t xml:space="preserve"> zu</w:t>
      </w:r>
      <w:r w:rsidRPr="00921BB8">
        <w:rPr>
          <w:rFonts w:ascii="Times New Roman" w:eastAsia="Times New Roman" w:hAnsi="Times New Roman" w:cs="Times New Roman"/>
          <w:color w:val="000000"/>
          <w:lang w:val="de-DE"/>
        </w:rPr>
        <w:t xml:space="preserve"> überwinden, zieht Hegel andere theoretische Elemente in Betracht. Aufgrund der thematischen und zeitlichen Kontinuität der </w:t>
      </w:r>
      <w:r w:rsidRPr="00921BB8">
        <w:rPr>
          <w:rFonts w:ascii="Times New Roman" w:eastAsia="Times New Roman" w:hAnsi="Times New Roman" w:cs="Times New Roman"/>
          <w:i/>
          <w:color w:val="000000"/>
          <w:lang w:val="de-DE"/>
        </w:rPr>
        <w:t>Jenaer Logik und Metaphysik</w:t>
      </w:r>
      <w:r w:rsidRPr="00921BB8">
        <w:rPr>
          <w:rFonts w:ascii="Times New Roman" w:eastAsia="Times New Roman" w:hAnsi="Times New Roman" w:cs="Times New Roman"/>
          <w:color w:val="000000"/>
          <w:lang w:val="de-DE"/>
        </w:rPr>
        <w:t xml:space="preserve"> und dem </w:t>
      </w:r>
      <w:r w:rsidRPr="00921BB8">
        <w:rPr>
          <w:rFonts w:ascii="Times New Roman" w:eastAsia="Times New Roman" w:hAnsi="Times New Roman" w:cs="Times New Roman"/>
          <w:i/>
          <w:color w:val="000000"/>
          <w:lang w:val="de-DE"/>
        </w:rPr>
        <w:t xml:space="preserve">Fragment 49 </w:t>
      </w:r>
      <w:r w:rsidRPr="00921BB8">
        <w:rPr>
          <w:rFonts w:ascii="Times New Roman" w:eastAsia="Times New Roman" w:hAnsi="Times New Roman" w:cs="Times New Roman"/>
          <w:color w:val="000000"/>
          <w:lang w:val="de-DE"/>
        </w:rPr>
        <w:t xml:space="preserve">bin ich der Auffassung, dass Jakob Böhme eine nicht sekundäre Quelle der </w:t>
      </w:r>
      <w:r w:rsidRPr="00921BB8">
        <w:rPr>
          <w:rFonts w:ascii="Times New Roman" w:eastAsia="Times New Roman" w:hAnsi="Times New Roman" w:cs="Times New Roman"/>
          <w:i/>
          <w:color w:val="000000"/>
          <w:lang w:val="de-DE"/>
        </w:rPr>
        <w:t>Metaphysik der Objectivität</w:t>
      </w:r>
      <w:r w:rsidRPr="00921BB8">
        <w:rPr>
          <w:rFonts w:ascii="Times New Roman" w:eastAsia="Times New Roman" w:hAnsi="Times New Roman" w:cs="Times New Roman"/>
          <w:color w:val="000000"/>
          <w:lang w:val="de-DE"/>
        </w:rPr>
        <w:t xml:space="preserve"> darstellt. Hegels Hinweis auf das Denken Jakob Böhmes wird durch ein Zitat aus den </w:t>
      </w:r>
      <w:r w:rsidRPr="00921BB8">
        <w:rPr>
          <w:rFonts w:ascii="Times New Roman" w:eastAsia="Times New Roman" w:hAnsi="Times New Roman" w:cs="Times New Roman"/>
          <w:i/>
          <w:color w:val="000000"/>
          <w:lang w:val="de-DE"/>
        </w:rPr>
        <w:t>Vorlesungen über die Geschichte der Philosophie</w:t>
      </w:r>
      <w:r w:rsidR="00685134" w:rsidRPr="00921BB8">
        <w:rPr>
          <w:rFonts w:ascii="Times New Roman" w:eastAsia="Times New Roman" w:hAnsi="Times New Roman" w:cs="Times New Roman"/>
          <w:color w:val="000000"/>
          <w:lang w:val="de-DE"/>
        </w:rPr>
        <w:t xml:space="preserve"> (Michelet 1833</w:t>
      </w:r>
      <w:r w:rsidR="002532AE">
        <w:rPr>
          <w:rFonts w:ascii="Times New Roman" w:eastAsia="Times New Roman" w:hAnsi="Times New Roman" w:cs="Times New Roman"/>
          <w:color w:val="000000"/>
          <w:lang w:val="de-DE"/>
        </w:rPr>
        <w:t>/36</w:t>
      </w:r>
      <w:r w:rsidRPr="00921BB8">
        <w:rPr>
          <w:rFonts w:ascii="Times New Roman" w:eastAsia="Times New Roman" w:hAnsi="Times New Roman" w:cs="Times New Roman"/>
          <w:color w:val="000000"/>
          <w:lang w:val="de-DE"/>
        </w:rPr>
        <w:t>) erhellt, in dem man liest: „Böhme ist unendlich erhaben über das leere Abstraktum des höchsten Wesens</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867"/>
      </w:r>
      <w:r w:rsidRPr="00921BB8">
        <w:rPr>
          <w:rFonts w:ascii="Times New Roman" w:eastAsia="Times New Roman" w:hAnsi="Times New Roman" w:cs="Times New Roman"/>
          <w:color w:val="000000"/>
          <w:lang w:val="de-DE"/>
        </w:rPr>
        <w:t xml:space="preserve">. Obwohl es nicht so einfach ist zu bestimmen, welche Passagen der Hegelschen Argumentation den verlorenen Jenaer Heften über die Geschichte der Philosophie angehören, glaube ich, dass dieser Satz begrifflich und terminologisch dem letzten Abschnitt der </w:t>
      </w:r>
      <w:r w:rsidRPr="00921BB8">
        <w:rPr>
          <w:rFonts w:ascii="Times New Roman" w:eastAsia="Times New Roman" w:hAnsi="Times New Roman" w:cs="Times New Roman"/>
          <w:i/>
          <w:color w:val="000000"/>
          <w:lang w:val="de-DE"/>
        </w:rPr>
        <w:t xml:space="preserve">Metaphysik der Objektivität </w:t>
      </w:r>
      <w:r w:rsidRPr="00921BB8">
        <w:rPr>
          <w:rFonts w:ascii="Times New Roman" w:eastAsia="Times New Roman" w:hAnsi="Times New Roman" w:cs="Times New Roman"/>
          <w:color w:val="000000"/>
          <w:lang w:val="de-DE"/>
        </w:rPr>
        <w:t>gemäß ist. Wenn wir in den von Michelet herausgegebenen Vorlesungen lesen, dass Jakob Böhme das leere Abstraktum des höchsten Wesens</w:t>
      </w:r>
      <w:r w:rsidRPr="00921BB8">
        <w:rPr>
          <w:rFonts w:ascii="Times New Roman" w:eastAsia="Times New Roman" w:hAnsi="Times New Roman" w:cs="Times New Roman"/>
          <w:i/>
          <w:color w:val="000000"/>
          <w:lang w:val="de-DE"/>
        </w:rPr>
        <w:t xml:space="preserve"> </w:t>
      </w:r>
      <w:r w:rsidRPr="00921BB8">
        <w:rPr>
          <w:rFonts w:ascii="Times New Roman" w:eastAsia="Times New Roman" w:hAnsi="Times New Roman" w:cs="Times New Roman"/>
          <w:color w:val="000000"/>
          <w:lang w:val="de-DE"/>
        </w:rPr>
        <w:t>überwunden hat, betrachten wir wahrscheinlich ein</w:t>
      </w:r>
      <w:r w:rsidR="00C1065B">
        <w:rPr>
          <w:rFonts w:ascii="Times New Roman" w:eastAsia="Times New Roman" w:hAnsi="Times New Roman" w:cs="Times New Roman"/>
          <w:color w:val="000000"/>
          <w:lang w:val="de-DE"/>
        </w:rPr>
        <w:t>e</w:t>
      </w:r>
      <w:r w:rsidRPr="00921BB8">
        <w:rPr>
          <w:rFonts w:ascii="Times New Roman" w:eastAsia="Times New Roman" w:hAnsi="Times New Roman" w:cs="Times New Roman"/>
          <w:color w:val="000000"/>
          <w:lang w:val="de-DE"/>
        </w:rPr>
        <w:t xml:space="preserve"> Zeile aus den Jenaer Heften, die Hegel weiterhin als Modell der Berliner </w:t>
      </w:r>
      <w:r w:rsidRPr="00921BB8">
        <w:rPr>
          <w:rFonts w:ascii="Times New Roman" w:eastAsia="Times New Roman" w:hAnsi="Times New Roman" w:cs="Times New Roman"/>
          <w:i/>
          <w:color w:val="000000"/>
          <w:lang w:val="de-DE"/>
        </w:rPr>
        <w:t>Vorlesungen über die Geschichte der Philosophie</w:t>
      </w:r>
      <w:r w:rsidRPr="00921BB8">
        <w:rPr>
          <w:rFonts w:ascii="Times New Roman" w:eastAsia="Times New Roman" w:hAnsi="Times New Roman" w:cs="Times New Roman"/>
          <w:color w:val="000000"/>
          <w:lang w:val="de-DE"/>
        </w:rPr>
        <w:t xml:space="preserve"> benutzte.</w:t>
      </w:r>
    </w:p>
    <w:p w14:paraId="135489A5" w14:textId="6FD8B2AC" w:rsidR="001C3D81" w:rsidRPr="00921BB8" w:rsidRDefault="001C3D81" w:rsidP="001C3D81">
      <w:pPr>
        <w:spacing w:line="360" w:lineRule="auto"/>
        <w:ind w:firstLine="567"/>
        <w:jc w:val="both"/>
        <w:rPr>
          <w:rFonts w:ascii="Times New Roman" w:hAnsi="Times New Roman" w:cs="Times New Roman"/>
          <w:lang w:val="de-DE"/>
        </w:rPr>
      </w:pPr>
      <w:r w:rsidRPr="00921BB8">
        <w:rPr>
          <w:rFonts w:ascii="Times New Roman" w:hAnsi="Times New Roman" w:cs="Times New Roman"/>
          <w:lang w:val="de-DE"/>
        </w:rPr>
        <w:t xml:space="preserve">Nach dieser Bemerkung werde ich einige terminologische Entscheidungen Hegels im Abschnitt des </w:t>
      </w:r>
      <w:r w:rsidRPr="00921BB8">
        <w:rPr>
          <w:rFonts w:ascii="Times New Roman" w:hAnsi="Times New Roman" w:cs="Times New Roman"/>
          <w:i/>
          <w:lang w:val="de-DE"/>
        </w:rPr>
        <w:t>Höchsten Wesens</w:t>
      </w:r>
      <w:r w:rsidRPr="00921BB8">
        <w:rPr>
          <w:rFonts w:ascii="Times New Roman" w:hAnsi="Times New Roman" w:cs="Times New Roman"/>
          <w:lang w:val="de-DE"/>
        </w:rPr>
        <w:t xml:space="preserve"> untersuchen. Der Prozess, durch den die Finsternis sich dem Licht entgegensetzt, wird als ein </w:t>
      </w:r>
      <w:r w:rsidRPr="00921BB8">
        <w:rPr>
          <w:rFonts w:ascii="Times New Roman" w:hAnsi="Times New Roman" w:cs="Times New Roman"/>
          <w:i/>
          <w:lang w:val="de-DE"/>
        </w:rPr>
        <w:t xml:space="preserve">sich in sich Einbilden </w:t>
      </w:r>
      <w:r w:rsidRPr="00921BB8">
        <w:rPr>
          <w:rFonts w:ascii="Times New Roman" w:hAnsi="Times New Roman" w:cs="Times New Roman"/>
          <w:lang w:val="de-DE"/>
        </w:rPr>
        <w:t xml:space="preserve">beschrieben. Dieser Ausdruck bezeichnet nicht nur die Tätigkeit, sich konkret zu gestalten, sondern auch ein Bild, oder ein Wissen, seiner selbst zu erzeugen. Dank des semantischen Reichtums dieses Wortes drückt Hegel sowohl die Einbildung des bösen Prinzips als </w:t>
      </w:r>
      <w:r w:rsidRPr="00921BB8">
        <w:rPr>
          <w:rFonts w:ascii="Times New Roman" w:hAnsi="Times New Roman" w:cs="Times New Roman"/>
          <w:i/>
          <w:lang w:val="de-DE"/>
        </w:rPr>
        <w:t>Fürsichseyn</w:t>
      </w:r>
      <w:r w:rsidRPr="00921BB8">
        <w:rPr>
          <w:rFonts w:ascii="Times New Roman" w:hAnsi="Times New Roman" w:cs="Times New Roman"/>
          <w:lang w:val="de-DE"/>
        </w:rPr>
        <w:t xml:space="preserve"> als auch seinen Gegensatz zum </w:t>
      </w:r>
      <w:r w:rsidRPr="00921BB8">
        <w:rPr>
          <w:rFonts w:ascii="Times New Roman" w:hAnsi="Times New Roman" w:cs="Times New Roman"/>
          <w:i/>
          <w:lang w:val="de-DE"/>
        </w:rPr>
        <w:t>höchsten</w:t>
      </w:r>
      <w:r w:rsidRPr="00921BB8">
        <w:rPr>
          <w:rFonts w:ascii="Times New Roman" w:hAnsi="Times New Roman" w:cs="Times New Roman"/>
          <w:lang w:val="de-DE"/>
        </w:rPr>
        <w:t xml:space="preserve"> Wesen aus. Meiner Meinung nach entspricht die Herausbildung des bösen Prinzips dem </w:t>
      </w:r>
      <w:r w:rsidRPr="00921BB8">
        <w:rPr>
          <w:rFonts w:ascii="Times New Roman" w:hAnsi="Times New Roman" w:cs="Times New Roman"/>
          <w:i/>
          <w:lang w:val="de-DE"/>
        </w:rPr>
        <w:t xml:space="preserve">sich in sich hinein Imaginieren </w:t>
      </w:r>
      <w:r w:rsidRPr="00921BB8">
        <w:rPr>
          <w:rFonts w:ascii="Times New Roman" w:hAnsi="Times New Roman" w:cs="Times New Roman"/>
          <w:lang w:val="de-DE"/>
        </w:rPr>
        <w:t xml:space="preserve">(dem Fürsichsein der Natur und ihrer Idealisierung im Geiste) des </w:t>
      </w:r>
      <w:r w:rsidRPr="00921BB8">
        <w:rPr>
          <w:rFonts w:ascii="Times New Roman" w:eastAsia="Times New Roman" w:hAnsi="Times New Roman" w:cs="Times New Roman"/>
          <w:i/>
          <w:color w:val="000000"/>
          <w:lang w:val="de-DE"/>
        </w:rPr>
        <w:t>Fragment 49</w:t>
      </w:r>
      <w:r w:rsidRPr="00921BB8">
        <w:rPr>
          <w:rFonts w:ascii="Times New Roman" w:hAnsi="Times New Roman" w:cs="Times New Roman"/>
          <w:lang w:val="de-DE"/>
        </w:rPr>
        <w:t xml:space="preserve">. Für Hegel bezeichnen das </w:t>
      </w:r>
      <w:r w:rsidRPr="00921BB8">
        <w:rPr>
          <w:rFonts w:ascii="Times New Roman" w:hAnsi="Times New Roman" w:cs="Times New Roman"/>
          <w:i/>
          <w:lang w:val="de-DE"/>
        </w:rPr>
        <w:t xml:space="preserve">sich in sich hinein Imaginieren </w:t>
      </w:r>
      <w:r w:rsidRPr="00921BB8">
        <w:rPr>
          <w:rFonts w:ascii="Times New Roman" w:hAnsi="Times New Roman" w:cs="Times New Roman"/>
          <w:lang w:val="de-DE"/>
        </w:rPr>
        <w:t xml:space="preserve">und das </w:t>
      </w:r>
      <w:r w:rsidRPr="00921BB8">
        <w:rPr>
          <w:rFonts w:ascii="Times New Roman" w:hAnsi="Times New Roman" w:cs="Times New Roman"/>
          <w:i/>
          <w:lang w:val="de-DE"/>
        </w:rPr>
        <w:t xml:space="preserve">sich in sich Einbilden </w:t>
      </w:r>
      <w:r w:rsidRPr="00921BB8">
        <w:rPr>
          <w:rFonts w:ascii="Times New Roman" w:hAnsi="Times New Roman" w:cs="Times New Roman"/>
          <w:lang w:val="de-DE"/>
        </w:rPr>
        <w:t xml:space="preserve">denselben Prozeß. Die </w:t>
      </w:r>
      <w:r w:rsidRPr="00921BB8">
        <w:rPr>
          <w:rFonts w:ascii="Times New Roman" w:hAnsi="Times New Roman" w:cs="Times New Roman"/>
          <w:i/>
          <w:lang w:val="de-DE"/>
        </w:rPr>
        <w:t xml:space="preserve">Vorlesungen </w:t>
      </w:r>
      <w:r w:rsidRPr="00921BB8">
        <w:rPr>
          <w:rFonts w:ascii="Times New Roman" w:hAnsi="Times New Roman" w:cs="Times New Roman"/>
          <w:lang w:val="de-DE"/>
        </w:rPr>
        <w:t>Michelets (18</w:t>
      </w:r>
      <w:r w:rsidR="002532AE">
        <w:rPr>
          <w:rFonts w:ascii="Times New Roman" w:hAnsi="Times New Roman" w:cs="Times New Roman"/>
          <w:lang w:val="de-DE"/>
        </w:rPr>
        <w:t>33/</w:t>
      </w:r>
      <w:r w:rsidRPr="00921BB8">
        <w:rPr>
          <w:rFonts w:ascii="Times New Roman" w:hAnsi="Times New Roman" w:cs="Times New Roman"/>
          <w:lang w:val="de-DE"/>
        </w:rPr>
        <w:t xml:space="preserve">36) weisen auf die Synonymie von </w:t>
      </w:r>
      <w:r w:rsidRPr="00921BB8">
        <w:rPr>
          <w:rFonts w:ascii="Times New Roman" w:hAnsi="Times New Roman" w:cs="Times New Roman"/>
          <w:i/>
          <w:lang w:val="de-DE"/>
        </w:rPr>
        <w:t xml:space="preserve">imaginieren </w:t>
      </w:r>
      <w:r w:rsidRPr="00921BB8">
        <w:rPr>
          <w:rFonts w:ascii="Times New Roman" w:hAnsi="Times New Roman" w:cs="Times New Roman"/>
          <w:lang w:val="de-DE"/>
        </w:rPr>
        <w:t>und</w:t>
      </w:r>
      <w:r w:rsidRPr="00921BB8">
        <w:rPr>
          <w:rFonts w:ascii="Times New Roman" w:hAnsi="Times New Roman" w:cs="Times New Roman"/>
          <w:i/>
          <w:lang w:val="de-DE"/>
        </w:rPr>
        <w:t xml:space="preserve"> einbilden</w:t>
      </w:r>
      <w:r w:rsidRPr="00921BB8">
        <w:rPr>
          <w:rFonts w:ascii="Times New Roman" w:hAnsi="Times New Roman" w:cs="Times New Roman"/>
          <w:lang w:val="de-DE"/>
        </w:rPr>
        <w:t xml:space="preserve"> hin: „Dieser Luzifer ist abgefallen. Denn das Ichts – das Sichselbstwissen, Ichheit (ein Wort, das bei ihm vorkommt) – ist das Sich-in-sich-Hineineinbilden, das Sich-in-sich-Hineinimaginieren, das Fürsichsein</w:t>
      </w:r>
      <w:r w:rsidRPr="00921BB8">
        <w:rPr>
          <w:rFonts w:ascii="Times New Roman" w:eastAsia="Times New Roman" w:hAnsi="Times New Roman" w:cs="Times New Roman"/>
          <w:color w:val="000000"/>
        </w:rPr>
        <w:t>”</w:t>
      </w:r>
      <w:r w:rsidRPr="00921BB8">
        <w:rPr>
          <w:rStyle w:val="Rimandonotaapidipagina"/>
          <w:rFonts w:ascii="Times New Roman" w:hAnsi="Times New Roman" w:cs="Times New Roman"/>
          <w:lang w:val="de-DE"/>
        </w:rPr>
        <w:footnoteReference w:id="868"/>
      </w:r>
      <w:r w:rsidRPr="00921BB8">
        <w:rPr>
          <w:rFonts w:ascii="Times New Roman" w:eastAsia="Times New Roman" w:hAnsi="Times New Roman" w:cs="Times New Roman"/>
          <w:color w:val="000000"/>
          <w:lang w:val="de-DE"/>
        </w:rPr>
        <w:t>. Das sich in sich hinein Imaginieren, das sich in sich Einbilden und das Fürsichsein erleuchten den Gegensatz und die Rückkehr der Natur (des bösen Prinzips) zu Gott (zum guten Prinzip).</w:t>
      </w:r>
    </w:p>
    <w:p w14:paraId="29AF0CBB" w14:textId="77777777" w:rsidR="00FE43D1" w:rsidRDefault="001C3D81" w:rsidP="001C3D81">
      <w:pPr>
        <w:spacing w:line="360" w:lineRule="auto"/>
        <w:ind w:firstLine="567"/>
        <w:jc w:val="both"/>
        <w:rPr>
          <w:rFonts w:ascii="Times New Roman" w:eastAsia="Times New Roman" w:hAnsi="Times New Roman" w:cs="Times New Roman"/>
          <w:color w:val="000000"/>
          <w:lang w:val="de-DE"/>
        </w:rPr>
      </w:pPr>
      <w:r w:rsidRPr="00921BB8">
        <w:rPr>
          <w:rFonts w:ascii="Times New Roman" w:eastAsia="Times New Roman" w:hAnsi="Times New Roman" w:cs="Times New Roman"/>
          <w:color w:val="000000"/>
          <w:lang w:val="de-DE"/>
        </w:rPr>
        <w:t xml:space="preserve">Außerdem verbindet der Gegensatz zwischen zwei Prinzipien (Licht und Finsternis, das gute und böse Prinzip) sich mit der Böhmeschen Theorie der </w:t>
      </w:r>
      <w:r w:rsidRPr="00921BB8">
        <w:rPr>
          <w:rFonts w:ascii="Times New Roman" w:eastAsia="Times New Roman" w:hAnsi="Times New Roman" w:cs="Times New Roman"/>
          <w:i/>
          <w:color w:val="000000"/>
          <w:lang w:val="de-DE"/>
        </w:rPr>
        <w:t>Qualitäten</w:t>
      </w:r>
      <w:r w:rsidRPr="00921BB8">
        <w:rPr>
          <w:rFonts w:ascii="Times New Roman" w:eastAsia="Times New Roman" w:hAnsi="Times New Roman" w:cs="Times New Roman"/>
          <w:color w:val="000000"/>
          <w:lang w:val="de-DE"/>
        </w:rPr>
        <w:t xml:space="preserve">. Für den Görlitzer Schuster besteht das Göttliche aus einem </w:t>
      </w:r>
      <w:r w:rsidRPr="00921BB8">
        <w:rPr>
          <w:rFonts w:ascii="Times New Roman" w:eastAsia="Times New Roman" w:hAnsi="Times New Roman" w:cs="Times New Roman"/>
          <w:i/>
          <w:color w:val="000000"/>
          <w:lang w:val="de-DE"/>
        </w:rPr>
        <w:t>dunklen Prinzip</w:t>
      </w:r>
      <w:r w:rsidRPr="00921BB8">
        <w:rPr>
          <w:rFonts w:ascii="Times New Roman" w:eastAsia="Times New Roman" w:hAnsi="Times New Roman" w:cs="Times New Roman"/>
          <w:color w:val="000000"/>
          <w:lang w:val="de-DE"/>
        </w:rPr>
        <w:t xml:space="preserve">, das seine tiefe Natur ausdrückt, und einem </w:t>
      </w:r>
      <w:r w:rsidRPr="00921BB8">
        <w:rPr>
          <w:rFonts w:ascii="Times New Roman" w:eastAsia="Times New Roman" w:hAnsi="Times New Roman" w:cs="Times New Roman"/>
          <w:i/>
          <w:color w:val="000000"/>
          <w:lang w:val="de-DE"/>
        </w:rPr>
        <w:t>leuchtenden Prinzip</w:t>
      </w:r>
      <w:r w:rsidRPr="00921BB8">
        <w:rPr>
          <w:rFonts w:ascii="Times New Roman" w:eastAsia="Times New Roman" w:hAnsi="Times New Roman" w:cs="Times New Roman"/>
          <w:color w:val="000000"/>
          <w:lang w:val="de-DE"/>
        </w:rPr>
        <w:t>, das die innere und verborgene Geburt Gottes (das dunkle Prinzip) mildert. Mit den Worten Böhmes: „Gott ist alles. Er ist Finsternis und Licht, Liebe und Zorn, Feuer und Licht. Aber er nennet sich allein Gott nach dem Licht seiner Liebe</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869"/>
      </w:r>
      <w:r w:rsidRPr="00921BB8">
        <w:rPr>
          <w:rFonts w:ascii="Times New Roman" w:eastAsia="Times New Roman" w:hAnsi="Times New Roman" w:cs="Times New Roman"/>
          <w:color w:val="000000"/>
          <w:lang w:val="de-DE"/>
        </w:rPr>
        <w:t xml:space="preserve">. Solange die dunklen Qualitäten Gottes durch das liebevolle Licht des Sohnes erhellt werden, kommt das tiefe Wesen des Vaters nicht zum Vorschein. Die zwei Prinzipien offenbaren sich anlässlich der Rebellion Lucifers (geschaffen durch alle Kräfte Gotte, aber völlig besassen vom dunkeln Prinzip), die die Versöhnung der Gottheit mit sich selbst durchbricht und ihre dunkle Natur ans Licht bringt. Licht und Finsternis, Zorn und Liebe, das gute und das böse Prinzip sind jene Gegensatzpaare, die die wahrhafte Struktur sowohl des unendlichen als auch des endlichen Wesens ausdrücken. Vom Abendland zum Morgenland wiederholen sich die antagonistischen Schemen, auf die das Denken Jakob Böhmes sich bezieht. </w:t>
      </w:r>
    </w:p>
    <w:p w14:paraId="2D313A23" w14:textId="3B88249F" w:rsidR="001C3D81" w:rsidRPr="00921BB8" w:rsidRDefault="001C3D81" w:rsidP="001C3D81">
      <w:pPr>
        <w:spacing w:line="360" w:lineRule="auto"/>
        <w:ind w:firstLine="567"/>
        <w:jc w:val="both"/>
        <w:rPr>
          <w:rFonts w:ascii="Times New Roman" w:eastAsia="Times New Roman" w:hAnsi="Times New Roman" w:cs="Times New Roman"/>
          <w:color w:val="000000"/>
          <w:lang w:val="de-DE"/>
        </w:rPr>
      </w:pPr>
      <w:r w:rsidRPr="00921BB8">
        <w:rPr>
          <w:rFonts w:ascii="Times New Roman" w:eastAsia="Times New Roman" w:hAnsi="Times New Roman" w:cs="Times New Roman"/>
          <w:color w:val="000000"/>
          <w:lang w:val="de-DE"/>
        </w:rPr>
        <w:t>Es ist unter Kritikern verbreitete Meinung, dass die jüdische Kabbala einen Einfluss auf Böhme ausgeübt hat: dass Gott sich nach seinem Zorn und seiner Liebe, seiner dunklen und hellen Natur, seinen einschränkenden und expansiven Qualitäten manifestiert, stellt eine freie Wiederaufnahme von Themen dar, die in der kabbalistischen Literatur weit verbreitet sind</w:t>
      </w:r>
      <w:r w:rsidRPr="00921BB8">
        <w:rPr>
          <w:rStyle w:val="Rimandonotaapidipagina"/>
          <w:rFonts w:ascii="Times New Roman" w:eastAsia="Times New Roman" w:hAnsi="Times New Roman" w:cs="Times New Roman"/>
          <w:color w:val="000000"/>
          <w:lang w:val="de-DE"/>
        </w:rPr>
        <w:footnoteReference w:id="870"/>
      </w:r>
      <w:r w:rsidRPr="00921BB8">
        <w:rPr>
          <w:rFonts w:ascii="Times New Roman" w:eastAsia="Times New Roman" w:hAnsi="Times New Roman" w:cs="Times New Roman"/>
          <w:color w:val="000000"/>
          <w:lang w:val="de-DE"/>
        </w:rPr>
        <w:t xml:space="preserve">. Ich glaube, dass es eine Passage aus dem </w:t>
      </w:r>
      <w:r w:rsidRPr="00921BB8">
        <w:rPr>
          <w:rFonts w:ascii="Times New Roman" w:eastAsia="Times New Roman" w:hAnsi="Times New Roman" w:cs="Times New Roman"/>
          <w:i/>
          <w:color w:val="000000"/>
          <w:lang w:val="de-DE"/>
        </w:rPr>
        <w:t xml:space="preserve">Zohar </w:t>
      </w:r>
      <w:r w:rsidRPr="00921BB8">
        <w:rPr>
          <w:rFonts w:ascii="Times New Roman" w:eastAsia="Times New Roman" w:hAnsi="Times New Roman" w:cs="Times New Roman"/>
          <w:color w:val="000000"/>
          <w:lang w:val="de-DE"/>
        </w:rPr>
        <w:t>gibt, die inhaltlich den oben analysierten Gedanken Böhmes ähnelt, in der der Gegensatz zwischen der linken (zornigen) und der rechten (mitleidigen) Seite der Gottheit, die Glut des Zorns Gottes und der Fall der vom Zorn überwältigten Engel beschrieben werden:</w:t>
      </w:r>
    </w:p>
    <w:p w14:paraId="54901739" w14:textId="77777777" w:rsidR="001C3D81" w:rsidRPr="00921BB8" w:rsidRDefault="001C3D81" w:rsidP="001C3D81">
      <w:pPr>
        <w:spacing w:line="360" w:lineRule="auto"/>
        <w:ind w:firstLine="567"/>
        <w:jc w:val="both"/>
        <w:rPr>
          <w:rFonts w:ascii="Times New Roman" w:eastAsia="Times New Roman" w:hAnsi="Times New Roman" w:cs="Times New Roman"/>
          <w:color w:val="000000"/>
          <w:lang w:val="de-DE"/>
        </w:rPr>
      </w:pPr>
    </w:p>
    <w:p w14:paraId="36D7BCA0" w14:textId="77777777" w:rsidR="001C3D81" w:rsidRPr="00921BB8" w:rsidRDefault="001C3D81" w:rsidP="00C9037C">
      <w:pPr>
        <w:spacing w:line="360" w:lineRule="auto"/>
        <w:ind w:left="567"/>
        <w:jc w:val="both"/>
        <w:rPr>
          <w:rFonts w:ascii="Times New Roman" w:eastAsia="Times New Roman" w:hAnsi="Times New Roman" w:cs="Times New Roman"/>
          <w:color w:val="000000"/>
          <w:lang w:val="de-DE"/>
        </w:rPr>
      </w:pPr>
      <w:r w:rsidRPr="00921BB8">
        <w:rPr>
          <w:rFonts w:ascii="Times New Roman" w:hAnsi="Times New Roman" w:cs="Times New Roman"/>
          <w:sz w:val="20"/>
          <w:szCs w:val="20"/>
        </w:rPr>
        <w:t>In the act of Creation a conflict arose between left and right, and in that conflict aroused by the left, Hell emerged, clinging there. […]</w:t>
      </w:r>
      <w:r w:rsidRPr="00921BB8">
        <w:rPr>
          <w:rFonts w:ascii="Times New Roman" w:eastAsia="Times New Roman" w:hAnsi="Times New Roman" w:cs="Times New Roman"/>
          <w:color w:val="000000"/>
          <w:sz w:val="20"/>
          <w:szCs w:val="20"/>
        </w:rPr>
        <w:t xml:space="preserve"> So separation is always on the second, which is the left, at the outbreak of intense fury aroused by the left in the conflict, before it subsides into calm. On it, Hell was created, and the all those angels who denounce their Master above and are burned, consumed by fire; and all those others who vanish, unenduring, devoured by fire</w:t>
      </w:r>
      <w:r w:rsidRPr="00921BB8">
        <w:rPr>
          <w:rStyle w:val="Rimandonotaapidipagina"/>
          <w:rFonts w:ascii="Times New Roman" w:eastAsia="Times New Roman" w:hAnsi="Times New Roman" w:cs="Times New Roman"/>
          <w:color w:val="000000"/>
          <w:sz w:val="20"/>
          <w:szCs w:val="20"/>
          <w:lang w:val="de-DE"/>
        </w:rPr>
        <w:footnoteReference w:id="871"/>
      </w:r>
      <w:r w:rsidRPr="00921BB8">
        <w:rPr>
          <w:rFonts w:ascii="Times New Roman" w:eastAsia="Times New Roman" w:hAnsi="Times New Roman" w:cs="Times New Roman"/>
          <w:color w:val="000000"/>
          <w:sz w:val="20"/>
          <w:szCs w:val="20"/>
          <w:lang w:val="de-DE"/>
        </w:rPr>
        <w:t xml:space="preserve"> </w:t>
      </w:r>
      <w:r w:rsidRPr="00921BB8">
        <w:rPr>
          <w:rFonts w:ascii="Times New Roman" w:eastAsia="Times New Roman" w:hAnsi="Times New Roman" w:cs="Times New Roman"/>
          <w:color w:val="000000"/>
          <w:lang w:val="de-DE"/>
        </w:rPr>
        <w:t xml:space="preserve">. </w:t>
      </w:r>
    </w:p>
    <w:p w14:paraId="0D6C1494" w14:textId="77777777" w:rsidR="001C3D81" w:rsidRPr="00921BB8" w:rsidRDefault="001C3D81" w:rsidP="001C3D81">
      <w:pPr>
        <w:spacing w:line="360" w:lineRule="auto"/>
        <w:ind w:left="567" w:firstLine="567"/>
        <w:jc w:val="both"/>
        <w:rPr>
          <w:rFonts w:ascii="Times New Roman" w:eastAsia="Times New Roman" w:hAnsi="Times New Roman" w:cs="Times New Roman"/>
          <w:color w:val="000000"/>
          <w:lang w:val="de-DE"/>
        </w:rPr>
      </w:pPr>
    </w:p>
    <w:p w14:paraId="065E2C10" w14:textId="7EB9ACDC" w:rsidR="001C3D81" w:rsidRPr="00921BB8" w:rsidRDefault="001C3D81" w:rsidP="001C3D81">
      <w:pPr>
        <w:spacing w:line="360" w:lineRule="auto"/>
        <w:ind w:firstLine="567"/>
        <w:jc w:val="both"/>
        <w:rPr>
          <w:rFonts w:ascii="Times New Roman" w:eastAsia="Times New Roman" w:hAnsi="Times New Roman" w:cs="Times New Roman"/>
          <w:color w:val="000000"/>
          <w:lang w:val="de-DE"/>
        </w:rPr>
      </w:pPr>
      <w:r w:rsidRPr="00921BB8">
        <w:rPr>
          <w:rFonts w:ascii="Times New Roman" w:eastAsia="Times New Roman" w:hAnsi="Times New Roman" w:cs="Times New Roman"/>
          <w:color w:val="000000"/>
          <w:lang w:val="de-DE"/>
        </w:rPr>
        <w:t xml:space="preserve">Die Koexistenz eines dunklen und leuchtenden Prinzips in Gott, die Verbindung des Feuers und der Finsternis mit dem Zorn Gottes </w:t>
      </w:r>
      <w:r w:rsidRPr="00921BB8">
        <w:rPr>
          <w:rStyle w:val="Rimandonotaapidipagina"/>
          <w:rFonts w:ascii="Times New Roman" w:eastAsia="Times New Roman" w:hAnsi="Times New Roman" w:cs="Times New Roman"/>
          <w:color w:val="000000"/>
          <w:lang w:val="de-DE"/>
        </w:rPr>
        <w:footnoteReference w:id="872"/>
      </w:r>
      <w:r w:rsidRPr="00921BB8">
        <w:rPr>
          <w:rFonts w:ascii="Times New Roman" w:eastAsia="Times New Roman" w:hAnsi="Times New Roman" w:cs="Times New Roman"/>
          <w:color w:val="000000"/>
          <w:lang w:val="de-DE"/>
        </w:rPr>
        <w:t xml:space="preserve">, die Verdunkelung der vom göttlichen Zorn besessenen Geschöpfe </w:t>
      </w:r>
      <w:r w:rsidR="00824BEC">
        <w:rPr>
          <w:rFonts w:ascii="Times New Roman" w:eastAsia="Times New Roman" w:hAnsi="Times New Roman" w:cs="Times New Roman"/>
          <w:color w:val="000000"/>
          <w:lang w:val="de-DE"/>
        </w:rPr>
        <w:t xml:space="preserve">(Engel) </w:t>
      </w:r>
      <w:r w:rsidRPr="00921BB8">
        <w:rPr>
          <w:rFonts w:ascii="Times New Roman" w:eastAsia="Times New Roman" w:hAnsi="Times New Roman" w:cs="Times New Roman"/>
          <w:color w:val="000000"/>
          <w:lang w:val="de-DE"/>
        </w:rPr>
        <w:t xml:space="preserve">verweisen auf eine symbolische kabbalistische Konstellation, die selbst innerhalb der Böhmeschen </w:t>
      </w:r>
      <w:r w:rsidRPr="00921BB8">
        <w:rPr>
          <w:rFonts w:ascii="Times New Roman" w:eastAsia="Times New Roman" w:hAnsi="Times New Roman" w:cs="Times New Roman"/>
          <w:i/>
          <w:color w:val="000000"/>
          <w:lang w:val="de-DE"/>
        </w:rPr>
        <w:t xml:space="preserve">Theogonie </w:t>
      </w:r>
      <w:r w:rsidRPr="00921BB8">
        <w:rPr>
          <w:rFonts w:ascii="Times New Roman" w:eastAsia="Times New Roman" w:hAnsi="Times New Roman" w:cs="Times New Roman"/>
          <w:color w:val="000000"/>
          <w:lang w:val="de-DE"/>
        </w:rPr>
        <w:t>spürbar ist.</w:t>
      </w:r>
    </w:p>
    <w:p w14:paraId="65CD216D" w14:textId="77777777" w:rsidR="001C3D81" w:rsidRPr="00921BB8" w:rsidRDefault="001C3D81" w:rsidP="001C3D81">
      <w:pPr>
        <w:spacing w:line="360" w:lineRule="auto"/>
        <w:ind w:firstLine="567"/>
        <w:jc w:val="both"/>
        <w:rPr>
          <w:rFonts w:ascii="Times New Roman" w:eastAsia="Times New Roman" w:hAnsi="Times New Roman" w:cs="Times New Roman"/>
          <w:color w:val="000000"/>
          <w:lang w:val="de-DE"/>
        </w:rPr>
      </w:pPr>
    </w:p>
    <w:p w14:paraId="0988349C" w14:textId="77777777" w:rsidR="001C3D81" w:rsidRPr="00921BB8" w:rsidRDefault="001C3D81" w:rsidP="001C3D81">
      <w:pPr>
        <w:widowControl w:val="0"/>
        <w:autoSpaceDE w:val="0"/>
        <w:autoSpaceDN w:val="0"/>
        <w:adjustRightInd w:val="0"/>
        <w:spacing w:after="240" w:line="360" w:lineRule="auto"/>
        <w:jc w:val="both"/>
        <w:rPr>
          <w:rFonts w:ascii="Times New Roman" w:eastAsia="Times New Roman" w:hAnsi="Times New Roman" w:cs="Times New Roman"/>
          <w:color w:val="000000"/>
          <w:lang w:val="de-DE"/>
        </w:rPr>
      </w:pPr>
      <w:r w:rsidRPr="00921BB8">
        <w:rPr>
          <w:rFonts w:ascii="Times New Roman" w:eastAsia="Times New Roman" w:hAnsi="Times New Roman" w:cs="Times New Roman"/>
          <w:i/>
          <w:color w:val="000000"/>
          <w:lang w:val="de-DE"/>
        </w:rPr>
        <w:t xml:space="preserve">1.7 Das gute und das böse Prinzip. Das kosmisch-historische Epos in Schellings </w:t>
      </w:r>
      <w:r w:rsidRPr="00921BB8">
        <w:rPr>
          <w:rFonts w:ascii="Times New Roman" w:eastAsia="Times New Roman" w:hAnsi="Times New Roman" w:cs="Times New Roman"/>
          <w:color w:val="000000"/>
          <w:lang w:val="de-DE"/>
        </w:rPr>
        <w:t>Philosophie und Religion</w:t>
      </w:r>
    </w:p>
    <w:p w14:paraId="4956E843" w14:textId="6FC2B32B" w:rsidR="001C3D81" w:rsidRPr="00921BB8" w:rsidRDefault="001C3D81" w:rsidP="001C3D81">
      <w:pPr>
        <w:spacing w:line="360" w:lineRule="auto"/>
        <w:ind w:firstLine="567"/>
        <w:jc w:val="both"/>
        <w:rPr>
          <w:rFonts w:ascii="Times New Roman" w:eastAsia="Times New Roman" w:hAnsi="Times New Roman" w:cs="Times New Roman"/>
          <w:color w:val="000000"/>
          <w:lang w:val="de-DE"/>
        </w:rPr>
      </w:pPr>
      <w:r w:rsidRPr="00921BB8">
        <w:rPr>
          <w:rFonts w:ascii="Times New Roman" w:eastAsia="Times New Roman" w:hAnsi="Times New Roman" w:cs="Times New Roman"/>
          <w:color w:val="000000"/>
          <w:lang w:val="de-DE"/>
        </w:rPr>
        <w:t>Das Hegelsche Interesse an dem Böhmeschen Denken ist keine zufällige Episode des 19. Jahrhunderts. Eine Wiederentdeckung Böhm</w:t>
      </w:r>
      <w:r w:rsidR="00617108">
        <w:rPr>
          <w:rFonts w:ascii="Times New Roman" w:eastAsia="Times New Roman" w:hAnsi="Times New Roman" w:cs="Times New Roman"/>
          <w:color w:val="000000"/>
          <w:lang w:val="de-DE"/>
        </w:rPr>
        <w:t xml:space="preserve">es flammte am Ende des 18. und </w:t>
      </w:r>
      <w:r w:rsidRPr="00921BB8">
        <w:rPr>
          <w:rFonts w:ascii="Times New Roman" w:eastAsia="Times New Roman" w:hAnsi="Times New Roman" w:cs="Times New Roman"/>
          <w:color w:val="000000"/>
          <w:lang w:val="de-DE"/>
        </w:rPr>
        <w:t xml:space="preserve">Anfang des 19. Jahrhunderts in Jena auf, wo es eine </w:t>
      </w:r>
      <w:r w:rsidRPr="00921BB8">
        <w:rPr>
          <w:rFonts w:ascii="Times New Roman" w:eastAsia="Times New Roman" w:hAnsi="Times New Roman" w:cs="Times New Roman"/>
          <w:i/>
          <w:color w:val="000000"/>
          <w:lang w:val="de-DE"/>
        </w:rPr>
        <w:t xml:space="preserve">Böhme-Renaissance </w:t>
      </w:r>
      <w:r w:rsidRPr="00921BB8">
        <w:rPr>
          <w:rFonts w:ascii="Times New Roman" w:eastAsia="Times New Roman" w:hAnsi="Times New Roman" w:cs="Times New Roman"/>
          <w:color w:val="000000"/>
          <w:lang w:val="de-DE"/>
        </w:rPr>
        <w:t>gab</w:t>
      </w:r>
      <w:r w:rsidRPr="00921BB8">
        <w:rPr>
          <w:rStyle w:val="Rimandonotaapidipagina"/>
          <w:rFonts w:ascii="Times New Roman" w:eastAsia="Times New Roman" w:hAnsi="Times New Roman" w:cs="Times New Roman"/>
          <w:color w:val="000000"/>
          <w:lang w:val="de-DE"/>
        </w:rPr>
        <w:footnoteReference w:id="873"/>
      </w:r>
      <w:r w:rsidRPr="00921BB8">
        <w:rPr>
          <w:rFonts w:ascii="Times New Roman" w:eastAsia="Times New Roman" w:hAnsi="Times New Roman" w:cs="Times New Roman"/>
          <w:color w:val="000000"/>
          <w:lang w:val="de-DE"/>
        </w:rPr>
        <w:t xml:space="preserve">. Nicht zuletzt interessiert Schelling sich für das Denken des Görlitzer Schusters. 1804 veröffentlichte Schelling </w:t>
      </w:r>
      <w:r w:rsidRPr="00921BB8">
        <w:rPr>
          <w:rFonts w:ascii="Times New Roman" w:eastAsia="Times New Roman" w:hAnsi="Times New Roman" w:cs="Times New Roman"/>
          <w:i/>
          <w:color w:val="000000"/>
          <w:lang w:val="de-DE"/>
        </w:rPr>
        <w:t>Philosophie und Religion</w:t>
      </w:r>
      <w:r w:rsidRPr="00921BB8">
        <w:rPr>
          <w:rFonts w:ascii="Times New Roman" w:eastAsia="Times New Roman" w:hAnsi="Times New Roman" w:cs="Times New Roman"/>
          <w:color w:val="000000"/>
          <w:lang w:val="de-DE"/>
        </w:rPr>
        <w:t xml:space="preserve">, ein Werk, das den Übergang vom Unendlichen zum Endlichen problematisierte. Schellings Argumentation gründet sich auf den Begriff des </w:t>
      </w:r>
      <w:r w:rsidRPr="00921BB8">
        <w:rPr>
          <w:rFonts w:ascii="Times New Roman" w:eastAsia="Times New Roman" w:hAnsi="Times New Roman" w:cs="Times New Roman"/>
          <w:i/>
          <w:color w:val="000000"/>
          <w:lang w:val="de-DE"/>
        </w:rPr>
        <w:t>Abfalls</w:t>
      </w:r>
      <w:r w:rsidRPr="00921BB8">
        <w:rPr>
          <w:rFonts w:ascii="Times New Roman" w:eastAsia="Times New Roman" w:hAnsi="Times New Roman" w:cs="Times New Roman"/>
          <w:color w:val="000000"/>
          <w:lang w:val="de-DE"/>
        </w:rPr>
        <w:t xml:space="preserve">: um unabhängig vom Absoluten zu werden, muss das Gegenbild (des Absoluten) seine </w:t>
      </w:r>
      <w:r w:rsidRPr="00921BB8">
        <w:rPr>
          <w:rFonts w:ascii="Times New Roman" w:eastAsia="Times New Roman" w:hAnsi="Times New Roman" w:cs="Times New Roman"/>
          <w:i/>
          <w:color w:val="000000"/>
          <w:lang w:val="de-DE"/>
        </w:rPr>
        <w:t xml:space="preserve">Ichheit </w:t>
      </w:r>
      <w:r w:rsidRPr="00921BB8">
        <w:rPr>
          <w:rFonts w:ascii="Times New Roman" w:eastAsia="Times New Roman" w:hAnsi="Times New Roman" w:cs="Times New Roman"/>
          <w:color w:val="000000"/>
          <w:lang w:val="de-DE"/>
        </w:rPr>
        <w:t xml:space="preserve">verwirklichen. Der </w:t>
      </w:r>
      <w:r w:rsidRPr="00921BB8">
        <w:rPr>
          <w:rFonts w:ascii="Times New Roman" w:eastAsia="Times New Roman" w:hAnsi="Times New Roman" w:cs="Times New Roman"/>
          <w:i/>
          <w:color w:val="000000"/>
          <w:lang w:val="de-DE"/>
        </w:rPr>
        <w:t xml:space="preserve">Abfall </w:t>
      </w:r>
      <w:r w:rsidRPr="00921BB8">
        <w:rPr>
          <w:rFonts w:ascii="Times New Roman" w:eastAsia="Times New Roman" w:hAnsi="Times New Roman" w:cs="Times New Roman"/>
          <w:color w:val="000000"/>
          <w:lang w:val="de-DE"/>
        </w:rPr>
        <w:t>ist insofern notwendig, als er den kosmisch-historischen</w:t>
      </w:r>
      <w:r w:rsidRPr="00921BB8">
        <w:rPr>
          <w:rFonts w:ascii="Times New Roman" w:eastAsia="Times New Roman" w:hAnsi="Times New Roman" w:cs="Times New Roman"/>
          <w:i/>
          <w:color w:val="000000"/>
          <w:lang w:val="de-DE"/>
        </w:rPr>
        <w:t xml:space="preserve"> </w:t>
      </w:r>
      <w:r w:rsidRPr="00921BB8">
        <w:rPr>
          <w:rFonts w:ascii="Times New Roman" w:eastAsia="Times New Roman" w:hAnsi="Times New Roman" w:cs="Times New Roman"/>
          <w:color w:val="000000"/>
          <w:lang w:val="de-DE"/>
        </w:rPr>
        <w:t>Prozess einleitet, der das Gefallene wieder in Einheit mit dem Absoluten bringen wird. Im Ver</w:t>
      </w:r>
      <w:r w:rsidR="00617108">
        <w:rPr>
          <w:rFonts w:ascii="Times New Roman" w:eastAsia="Times New Roman" w:hAnsi="Times New Roman" w:cs="Times New Roman"/>
          <w:color w:val="000000"/>
          <w:lang w:val="de-DE"/>
        </w:rPr>
        <w:t xml:space="preserve">lauf der Ilias und </w:t>
      </w:r>
      <w:r w:rsidRPr="00921BB8">
        <w:rPr>
          <w:rFonts w:ascii="Times New Roman" w:eastAsia="Times New Roman" w:hAnsi="Times New Roman" w:cs="Times New Roman"/>
          <w:color w:val="000000"/>
          <w:lang w:val="de-DE"/>
        </w:rPr>
        <w:t>Odyssee, die das Absolute vollbringen wird, gewinnt „das Princip des Sündenfalls</w:t>
      </w:r>
      <w:r w:rsidRPr="00921BB8">
        <w:rPr>
          <w:rFonts w:ascii="Times New Roman" w:eastAsia="Times New Roman" w:hAnsi="Times New Roman" w:cs="Times New Roman"/>
          <w:color w:val="000000"/>
          <w:lang w:val="en-GB"/>
        </w:rPr>
        <w:t>”</w:t>
      </w:r>
      <w:r w:rsidRPr="00921BB8">
        <w:rPr>
          <w:rStyle w:val="Rimandonotaapidipagina"/>
          <w:rFonts w:ascii="Times New Roman" w:eastAsia="Times New Roman" w:hAnsi="Times New Roman" w:cs="Times New Roman"/>
          <w:color w:val="000000"/>
          <w:lang w:val="de-DE"/>
        </w:rPr>
        <w:footnoteReference w:id="874"/>
      </w:r>
      <w:r w:rsidRPr="00921BB8">
        <w:rPr>
          <w:rFonts w:ascii="Times New Roman" w:eastAsia="Times New Roman" w:hAnsi="Times New Roman" w:cs="Times New Roman"/>
          <w:color w:val="000000"/>
          <w:lang w:val="de-DE"/>
        </w:rPr>
        <w:t xml:space="preserve"> eine entscheidende Rolle. Philosophisch erlaubt dieser Mythos uns, die Trennung des Reichs des Nichts vom Reich der Realität und die Rolle des Negativen im Prozess der Wiederherstellung des Lichts durch die Finsternis zu verstehen</w:t>
      </w:r>
      <w:r w:rsidRPr="00921BB8">
        <w:rPr>
          <w:rStyle w:val="Rimandonotaapidipagina"/>
          <w:rFonts w:ascii="Times New Roman" w:eastAsia="Times New Roman" w:hAnsi="Times New Roman" w:cs="Times New Roman"/>
          <w:color w:val="000000"/>
          <w:lang w:val="de-DE"/>
        </w:rPr>
        <w:footnoteReference w:id="875"/>
      </w:r>
      <w:r w:rsidRPr="00921BB8">
        <w:rPr>
          <w:rFonts w:ascii="Times New Roman" w:eastAsia="Times New Roman" w:hAnsi="Times New Roman" w:cs="Times New Roman"/>
          <w:color w:val="000000"/>
          <w:lang w:val="de-DE"/>
        </w:rPr>
        <w:t>. Schelling behauptet, dass es ein schwerwiegender Irrtum sei, „das gute Prinzip ohne das böse</w:t>
      </w:r>
      <w:r w:rsidRPr="00921BB8">
        <w:rPr>
          <w:rFonts w:ascii="Times New Roman" w:eastAsia="Times New Roman" w:hAnsi="Times New Roman" w:cs="Times New Roman"/>
          <w:color w:val="000000"/>
          <w:lang w:val="en-GB"/>
        </w:rPr>
        <w:t>”</w:t>
      </w:r>
      <w:r w:rsidRPr="00921BB8">
        <w:rPr>
          <w:rStyle w:val="Rimandonotaapidipagina"/>
          <w:rFonts w:ascii="Times New Roman" w:eastAsia="Times New Roman" w:hAnsi="Times New Roman" w:cs="Times New Roman"/>
          <w:color w:val="000000"/>
          <w:lang w:val="de-DE"/>
        </w:rPr>
        <w:footnoteReference w:id="876"/>
      </w:r>
      <w:r w:rsidRPr="00921BB8">
        <w:rPr>
          <w:rFonts w:ascii="Times New Roman" w:eastAsia="Times New Roman" w:hAnsi="Times New Roman" w:cs="Times New Roman"/>
          <w:color w:val="000000"/>
          <w:lang w:val="en-GB"/>
        </w:rPr>
        <w:t xml:space="preserve"> </w:t>
      </w:r>
      <w:r w:rsidRPr="00921BB8">
        <w:rPr>
          <w:rFonts w:ascii="Times New Roman" w:eastAsia="Times New Roman" w:hAnsi="Times New Roman" w:cs="Times New Roman"/>
          <w:color w:val="000000"/>
          <w:lang w:val="de-DE"/>
        </w:rPr>
        <w:t xml:space="preserve">zu kennen, weil sie die Stufen des kosmisch-historischen Prozesses darstellen, durch die das Absolute von seinem Zentrum abweicht und zu seinem </w:t>
      </w:r>
      <w:r w:rsidRPr="00921BB8">
        <w:rPr>
          <w:rFonts w:ascii="Times New Roman" w:eastAsia="Times New Roman" w:hAnsi="Times New Roman" w:cs="Times New Roman"/>
          <w:i/>
          <w:color w:val="000000"/>
          <w:lang w:val="de-DE"/>
        </w:rPr>
        <w:t>Indifferenzpunkt</w:t>
      </w:r>
      <w:r w:rsidRPr="00921BB8">
        <w:rPr>
          <w:rFonts w:ascii="Times New Roman" w:eastAsia="Times New Roman" w:hAnsi="Times New Roman" w:cs="Times New Roman"/>
          <w:color w:val="000000"/>
          <w:lang w:val="de-DE"/>
        </w:rPr>
        <w:t xml:space="preserve"> zurückkehrt. </w:t>
      </w:r>
    </w:p>
    <w:p w14:paraId="261936E5" w14:textId="77777777" w:rsidR="001C3D81" w:rsidRPr="00921BB8" w:rsidRDefault="001C3D81" w:rsidP="001C3D81">
      <w:pPr>
        <w:spacing w:line="360" w:lineRule="auto"/>
        <w:ind w:firstLine="567"/>
        <w:jc w:val="both"/>
        <w:rPr>
          <w:rFonts w:ascii="Times New Roman" w:eastAsia="Times New Roman" w:hAnsi="Times New Roman" w:cs="Times New Roman"/>
          <w:color w:val="000000"/>
          <w:lang w:val="de-DE"/>
        </w:rPr>
      </w:pPr>
      <w:r w:rsidRPr="00921BB8">
        <w:rPr>
          <w:rFonts w:ascii="Times New Roman" w:eastAsia="Times New Roman" w:hAnsi="Times New Roman" w:cs="Times New Roman"/>
          <w:color w:val="000000"/>
          <w:lang w:val="de-DE"/>
        </w:rPr>
        <w:t xml:space="preserve">Obwohl </w:t>
      </w:r>
      <w:r w:rsidRPr="00921BB8">
        <w:rPr>
          <w:rFonts w:ascii="Times New Roman" w:eastAsia="Times New Roman" w:hAnsi="Times New Roman" w:cs="Times New Roman"/>
          <w:i/>
          <w:color w:val="000000"/>
          <w:lang w:val="de-DE"/>
        </w:rPr>
        <w:t xml:space="preserve">Philosophie und Religion </w:t>
      </w:r>
      <w:r w:rsidRPr="00921BB8">
        <w:rPr>
          <w:rFonts w:ascii="Times New Roman" w:eastAsia="Times New Roman" w:hAnsi="Times New Roman" w:cs="Times New Roman"/>
          <w:color w:val="000000"/>
          <w:lang w:val="de-DE"/>
        </w:rPr>
        <w:t xml:space="preserve">eine Kantische Terminologie anwendet, unterscheidet sie sich von der </w:t>
      </w:r>
      <w:r w:rsidRPr="00921BB8">
        <w:rPr>
          <w:rFonts w:ascii="Times New Roman" w:hAnsi="Times New Roman" w:cs="Times New Roman"/>
          <w:i/>
          <w:lang w:val="de-DE"/>
        </w:rPr>
        <w:t xml:space="preserve">Religion innerhalb der Grenzen der bloßen Vernunft </w:t>
      </w:r>
      <w:r w:rsidRPr="00921BB8">
        <w:rPr>
          <w:rFonts w:ascii="Times New Roman" w:hAnsi="Times New Roman" w:cs="Times New Roman"/>
          <w:lang w:val="de-DE"/>
        </w:rPr>
        <w:t xml:space="preserve">aufgrund der </w:t>
      </w:r>
      <w:r w:rsidRPr="00921BB8">
        <w:rPr>
          <w:rFonts w:ascii="Times New Roman" w:eastAsia="Times New Roman" w:hAnsi="Times New Roman" w:cs="Times New Roman"/>
          <w:color w:val="000000"/>
          <w:lang w:val="de-DE"/>
        </w:rPr>
        <w:t>Ontologisierung der zwei Prinzipien, die die zentripetale und zentrifugale Bewegung des Absoluten (Gottes) beschreiben. Dass Schelling sich auf einige Böhmesche Kategorien beziehen konnte (das bedeutet nicht, andere Denktraditionen, wie die Platonische, auszuschließen), scheint mir durch einige Zeugnisse bestätigt zu werden, die zwischen 1802 und 1804 datierbar sind. Die Briefe von Prezer, Schellings Bekanntem seit 1803, und Schubert, Schellings Schüler an der Universität Jena, berichten von einer frühen Vertrautheit Schellings mit Böhmes und Oettingers Gedanken</w:t>
      </w:r>
      <w:r w:rsidRPr="00921BB8">
        <w:rPr>
          <w:rStyle w:val="Rimandonotaapidipagina"/>
          <w:rFonts w:ascii="Times New Roman" w:eastAsia="Times New Roman" w:hAnsi="Times New Roman" w:cs="Times New Roman"/>
          <w:color w:val="000000"/>
          <w:lang w:val="de-DE"/>
        </w:rPr>
        <w:footnoteReference w:id="877"/>
      </w:r>
      <w:r w:rsidRPr="00921BB8">
        <w:rPr>
          <w:rFonts w:ascii="Times New Roman" w:eastAsia="Times New Roman" w:hAnsi="Times New Roman" w:cs="Times New Roman"/>
          <w:color w:val="000000"/>
          <w:lang w:val="de-DE"/>
        </w:rPr>
        <w:t>. Außerdem hat Schelling einen Brief an Arthur Wilhelm Schlegel (Juli 1802) geschickt, in dem er sich über die 8. Ausgabe der Werke Böhmes beklagte</w:t>
      </w:r>
      <w:r w:rsidRPr="00921BB8">
        <w:rPr>
          <w:rStyle w:val="Rimandonotaapidipagina"/>
          <w:rFonts w:ascii="Times New Roman" w:eastAsia="Times New Roman" w:hAnsi="Times New Roman" w:cs="Times New Roman"/>
          <w:color w:val="000000"/>
          <w:lang w:val="de-DE"/>
        </w:rPr>
        <w:footnoteReference w:id="878"/>
      </w:r>
      <w:r w:rsidRPr="00921BB8">
        <w:rPr>
          <w:rFonts w:ascii="Times New Roman" w:eastAsia="Times New Roman" w:hAnsi="Times New Roman" w:cs="Times New Roman"/>
          <w:color w:val="000000"/>
          <w:lang w:val="de-DE"/>
        </w:rPr>
        <w:t xml:space="preserve">. Im Brief an Windschmann vom 25. Februar 1804 kündigte Schelling an, dass er die Quartoausgabe der Werke des Görlitzer Schusters in Besitz genommen hat </w:t>
      </w:r>
      <w:r w:rsidRPr="00921BB8">
        <w:rPr>
          <w:rStyle w:val="Rimandonotaapidipagina"/>
          <w:rFonts w:ascii="Times New Roman" w:eastAsia="Times New Roman" w:hAnsi="Times New Roman" w:cs="Times New Roman"/>
          <w:color w:val="000000"/>
          <w:sz w:val="20"/>
          <w:szCs w:val="20"/>
          <w:lang w:val="de-DE"/>
        </w:rPr>
        <w:footnoteReference w:id="879"/>
      </w:r>
      <w:r w:rsidRPr="00921BB8">
        <w:rPr>
          <w:rFonts w:ascii="Times New Roman" w:eastAsia="Times New Roman" w:hAnsi="Times New Roman" w:cs="Times New Roman"/>
          <w:color w:val="000000"/>
          <w:sz w:val="20"/>
          <w:szCs w:val="20"/>
          <w:lang w:val="de-DE"/>
        </w:rPr>
        <w:t xml:space="preserve">. </w:t>
      </w:r>
      <w:r w:rsidRPr="00921BB8">
        <w:rPr>
          <w:rFonts w:ascii="Times New Roman" w:eastAsia="Times New Roman" w:hAnsi="Times New Roman" w:cs="Times New Roman"/>
          <w:color w:val="000000"/>
          <w:lang w:val="de-DE"/>
        </w:rPr>
        <w:t xml:space="preserve">Diese biographischen Elemente lassen sich nicht von theoretischen Gründen trennen: Schellings Ontologie der zwei Prinzipien, die in den nachfolgenden </w:t>
      </w:r>
      <w:r w:rsidRPr="00921BB8">
        <w:rPr>
          <w:rFonts w:ascii="Times New Roman" w:eastAsia="Times New Roman" w:hAnsi="Times New Roman" w:cs="Times New Roman"/>
          <w:i/>
          <w:color w:val="000000"/>
          <w:lang w:val="de-DE"/>
        </w:rPr>
        <w:t>Stuttgarter Privatvorlesungen</w:t>
      </w:r>
      <w:r w:rsidRPr="00921BB8">
        <w:rPr>
          <w:rFonts w:ascii="Times New Roman" w:eastAsia="Times New Roman" w:hAnsi="Times New Roman" w:cs="Times New Roman"/>
          <w:color w:val="000000"/>
          <w:lang w:val="de-DE"/>
        </w:rPr>
        <w:t xml:space="preserve"> weiter entwickelt wird, wurzelt in einem breiten theoretischen Rahmen, in dem sich die ersten Spuren der Schellingschen Aufnahme von Böhmeschen Philosophemen andeuten.</w:t>
      </w:r>
    </w:p>
    <w:p w14:paraId="305BBFE4" w14:textId="77777777" w:rsidR="001C3D81" w:rsidRPr="00921BB8" w:rsidRDefault="001C3D81" w:rsidP="001C3D81">
      <w:pPr>
        <w:spacing w:line="360" w:lineRule="auto"/>
        <w:ind w:firstLine="567"/>
        <w:jc w:val="both"/>
        <w:rPr>
          <w:rFonts w:ascii="Times New Roman" w:eastAsia="Times New Roman" w:hAnsi="Times New Roman" w:cs="Times New Roman"/>
          <w:color w:val="000000"/>
          <w:lang w:val="de-DE"/>
        </w:rPr>
      </w:pPr>
      <w:r w:rsidRPr="00921BB8">
        <w:rPr>
          <w:rFonts w:ascii="Times New Roman" w:eastAsia="Times New Roman" w:hAnsi="Times New Roman" w:cs="Times New Roman"/>
          <w:color w:val="000000"/>
          <w:lang w:val="de-DE"/>
        </w:rPr>
        <w:t xml:space="preserve">Es ist ganz klar, dass die Hegelschen Überlegungen von 1804/05 einen entscheidenden Impuls von </w:t>
      </w:r>
      <w:r w:rsidRPr="00921BB8">
        <w:rPr>
          <w:rFonts w:ascii="Times New Roman" w:eastAsia="Times New Roman" w:hAnsi="Times New Roman" w:cs="Times New Roman"/>
          <w:i/>
          <w:color w:val="000000"/>
          <w:lang w:val="de-DE"/>
        </w:rPr>
        <w:t>Philosophie und Religion</w:t>
      </w:r>
      <w:r w:rsidRPr="00921BB8">
        <w:rPr>
          <w:rFonts w:ascii="Times New Roman" w:eastAsia="Times New Roman" w:hAnsi="Times New Roman" w:cs="Times New Roman"/>
          <w:color w:val="000000"/>
          <w:lang w:val="de-DE"/>
        </w:rPr>
        <w:t xml:space="preserve"> erhalten haben. Schellings Begriffe – die auf den Gedanken Böhmes hinweisen – stellen einen weiteren Bestandteil jener theoretischen Konstellation dar, durch die Hegel die Überwindung des inhaltlichen Formalismus der Kantischen und Spinozistischen Philosophie entwickelt hat. </w:t>
      </w:r>
    </w:p>
    <w:p w14:paraId="292B763D" w14:textId="77777777" w:rsidR="00617108" w:rsidRPr="00921BB8" w:rsidRDefault="00617108" w:rsidP="00C9037C">
      <w:pPr>
        <w:spacing w:line="360" w:lineRule="auto"/>
        <w:jc w:val="both"/>
        <w:rPr>
          <w:rFonts w:ascii="Times New Roman" w:eastAsia="Times New Roman" w:hAnsi="Times New Roman" w:cs="Times New Roman"/>
          <w:color w:val="000000"/>
          <w:lang w:val="de-DE"/>
        </w:rPr>
      </w:pPr>
    </w:p>
    <w:p w14:paraId="28B9D57F" w14:textId="77777777" w:rsidR="001C3D81" w:rsidRPr="00921BB8" w:rsidRDefault="001C3D81" w:rsidP="001C3D81">
      <w:pPr>
        <w:spacing w:line="360" w:lineRule="auto"/>
        <w:jc w:val="both"/>
        <w:rPr>
          <w:rFonts w:ascii="Times New Roman" w:hAnsi="Times New Roman" w:cs="Times New Roman"/>
          <w:lang w:val="de-DE"/>
        </w:rPr>
      </w:pPr>
      <w:r w:rsidRPr="00921BB8">
        <w:rPr>
          <w:rFonts w:ascii="Times New Roman" w:hAnsi="Times New Roman" w:cs="Times New Roman"/>
          <w:i/>
          <w:lang w:val="de-DE"/>
        </w:rPr>
        <w:t xml:space="preserve">1.8 Der Abfall, oder die Reflexivität des Geistes, im Abschnitt des </w:t>
      </w:r>
      <w:r w:rsidRPr="00921BB8">
        <w:rPr>
          <w:rFonts w:ascii="Times New Roman" w:hAnsi="Times New Roman" w:cs="Times New Roman"/>
          <w:lang w:val="de-DE"/>
        </w:rPr>
        <w:t>Absoluten Geistes</w:t>
      </w:r>
    </w:p>
    <w:p w14:paraId="7C403004" w14:textId="77777777" w:rsidR="001C3D81" w:rsidRPr="00921BB8" w:rsidRDefault="001C3D81" w:rsidP="001C3D81">
      <w:pPr>
        <w:spacing w:line="360" w:lineRule="auto"/>
        <w:jc w:val="both"/>
        <w:rPr>
          <w:rFonts w:ascii="Times New Roman" w:hAnsi="Times New Roman" w:cs="Times New Roman"/>
          <w:lang w:val="de-DE"/>
        </w:rPr>
      </w:pPr>
    </w:p>
    <w:p w14:paraId="457F0336" w14:textId="77777777" w:rsidR="001C3D81" w:rsidRPr="00921BB8" w:rsidRDefault="001C3D81" w:rsidP="001C3D81">
      <w:pPr>
        <w:spacing w:line="360" w:lineRule="auto"/>
        <w:ind w:firstLine="567"/>
        <w:jc w:val="both"/>
        <w:rPr>
          <w:rFonts w:ascii="Times New Roman" w:eastAsia="Times New Roman" w:hAnsi="Times New Roman" w:cs="Times New Roman"/>
          <w:color w:val="000000"/>
          <w:lang w:val="de-DE"/>
        </w:rPr>
      </w:pPr>
      <w:r w:rsidRPr="00921BB8">
        <w:rPr>
          <w:rFonts w:ascii="Times New Roman" w:eastAsia="Times New Roman" w:hAnsi="Times New Roman" w:cs="Times New Roman"/>
          <w:color w:val="000000"/>
          <w:lang w:val="de-DE"/>
        </w:rPr>
        <w:t xml:space="preserve">In der </w:t>
      </w:r>
      <w:r w:rsidRPr="00921BB8">
        <w:rPr>
          <w:rFonts w:ascii="Times New Roman" w:eastAsia="Times New Roman" w:hAnsi="Times New Roman" w:cs="Times New Roman"/>
          <w:i/>
          <w:color w:val="000000"/>
          <w:lang w:val="de-DE"/>
        </w:rPr>
        <w:t xml:space="preserve">Metaphysik der Subjektivität </w:t>
      </w:r>
      <w:r w:rsidRPr="00921BB8">
        <w:rPr>
          <w:rFonts w:ascii="Times New Roman" w:eastAsia="Times New Roman" w:hAnsi="Times New Roman" w:cs="Times New Roman"/>
          <w:color w:val="000000"/>
          <w:lang w:val="de-DE"/>
        </w:rPr>
        <w:t xml:space="preserve">versucht Hegel, das Für-sich-sein der äußeren Bestimmung (des bösen Prinzips) ins Ich zurückzubringen. Das </w:t>
      </w:r>
      <w:r w:rsidRPr="00921BB8">
        <w:rPr>
          <w:rFonts w:ascii="Times New Roman" w:eastAsia="Times New Roman" w:hAnsi="Times New Roman" w:cs="Times New Roman"/>
          <w:i/>
          <w:color w:val="000000"/>
          <w:lang w:val="de-DE"/>
        </w:rPr>
        <w:t>theoretische Ich</w:t>
      </w:r>
      <w:r w:rsidRPr="00921BB8">
        <w:rPr>
          <w:rFonts w:ascii="Times New Roman" w:eastAsia="Times New Roman" w:hAnsi="Times New Roman" w:cs="Times New Roman"/>
          <w:color w:val="000000"/>
          <w:lang w:val="de-DE"/>
        </w:rPr>
        <w:t xml:space="preserve"> kann nicht völlig die </w:t>
      </w:r>
      <w:r w:rsidRPr="00921BB8">
        <w:rPr>
          <w:rFonts w:ascii="Times New Roman" w:eastAsia="Times New Roman" w:hAnsi="Times New Roman" w:cs="Times New Roman"/>
          <w:i/>
          <w:color w:val="000000"/>
          <w:lang w:val="de-DE"/>
        </w:rPr>
        <w:t>Bestimmtheit</w:t>
      </w:r>
      <w:r w:rsidRPr="00921BB8">
        <w:rPr>
          <w:rFonts w:ascii="Times New Roman" w:eastAsia="Times New Roman" w:hAnsi="Times New Roman" w:cs="Times New Roman"/>
          <w:color w:val="000000"/>
          <w:lang w:val="de-DE"/>
        </w:rPr>
        <w:t xml:space="preserve"> auflösen, weil sie unabhängig vom Ich und auf es irreduzibel ist. Die absolute Unendlichkeit des </w:t>
      </w:r>
      <w:r w:rsidRPr="00921BB8">
        <w:rPr>
          <w:rFonts w:ascii="Times New Roman" w:eastAsia="Times New Roman" w:hAnsi="Times New Roman" w:cs="Times New Roman"/>
          <w:i/>
          <w:color w:val="000000"/>
          <w:lang w:val="de-DE"/>
        </w:rPr>
        <w:t>praktischen Ichs</w:t>
      </w:r>
      <w:r w:rsidRPr="00921BB8">
        <w:rPr>
          <w:rFonts w:ascii="Times New Roman" w:eastAsia="Times New Roman" w:hAnsi="Times New Roman" w:cs="Times New Roman"/>
          <w:color w:val="000000"/>
          <w:lang w:val="de-DE"/>
        </w:rPr>
        <w:t xml:space="preserve"> besteht vielmehr in der Fähigkeit des </w:t>
      </w:r>
      <w:r w:rsidRPr="00921BB8">
        <w:rPr>
          <w:rFonts w:ascii="Times New Roman" w:eastAsia="Times New Roman" w:hAnsi="Times New Roman" w:cs="Times New Roman"/>
          <w:i/>
          <w:color w:val="000000"/>
          <w:lang w:val="de-DE"/>
        </w:rPr>
        <w:t xml:space="preserve">sich-selbst-Findens </w:t>
      </w:r>
      <w:r w:rsidRPr="00921BB8">
        <w:rPr>
          <w:rFonts w:ascii="Times New Roman" w:eastAsia="Times New Roman" w:hAnsi="Times New Roman" w:cs="Times New Roman"/>
          <w:color w:val="000000"/>
          <w:lang w:val="de-DE"/>
        </w:rPr>
        <w:t xml:space="preserve">im Anderssein. Insofern die Bestimmtheit auf das praktische Ich zurückgeführt wird, stellt sie sich als einen unendlichen Ausdruck der Tätigkeit des praktischen Ichs dar. Nachdem die Absolutheit der </w:t>
      </w:r>
      <w:r w:rsidRPr="00921BB8">
        <w:rPr>
          <w:rFonts w:ascii="Times New Roman" w:eastAsia="Times New Roman" w:hAnsi="Times New Roman" w:cs="Times New Roman"/>
          <w:i/>
          <w:color w:val="000000"/>
          <w:lang w:val="de-DE"/>
        </w:rPr>
        <w:t>Bestimmtheit</w:t>
      </w:r>
      <w:r w:rsidRPr="00921BB8">
        <w:rPr>
          <w:rFonts w:ascii="Times New Roman" w:eastAsia="Times New Roman" w:hAnsi="Times New Roman" w:cs="Times New Roman"/>
          <w:color w:val="000000"/>
          <w:lang w:val="de-DE"/>
        </w:rPr>
        <w:t xml:space="preserve"> ans Licht gebracht wird, ist jene </w:t>
      </w:r>
      <w:r w:rsidRPr="00921BB8">
        <w:rPr>
          <w:rFonts w:ascii="Times New Roman" w:eastAsia="Times New Roman" w:hAnsi="Times New Roman" w:cs="Times New Roman"/>
          <w:i/>
          <w:color w:val="000000"/>
          <w:lang w:val="de-DE"/>
        </w:rPr>
        <w:t xml:space="preserve">theoretische </w:t>
      </w:r>
      <w:r w:rsidRPr="00921BB8">
        <w:rPr>
          <w:rFonts w:ascii="Times New Roman" w:eastAsia="Times New Roman" w:hAnsi="Times New Roman" w:cs="Times New Roman"/>
          <w:color w:val="000000"/>
          <w:lang w:val="de-DE"/>
        </w:rPr>
        <w:t xml:space="preserve">und </w:t>
      </w:r>
      <w:r w:rsidRPr="00921BB8">
        <w:rPr>
          <w:rFonts w:ascii="Times New Roman" w:eastAsia="Times New Roman" w:hAnsi="Times New Roman" w:cs="Times New Roman"/>
          <w:i/>
          <w:color w:val="000000"/>
          <w:lang w:val="de-DE"/>
        </w:rPr>
        <w:t xml:space="preserve">praktische </w:t>
      </w:r>
      <w:r w:rsidRPr="00921BB8">
        <w:rPr>
          <w:rFonts w:ascii="Times New Roman" w:eastAsia="Times New Roman" w:hAnsi="Times New Roman" w:cs="Times New Roman"/>
          <w:color w:val="000000"/>
          <w:lang w:val="de-DE"/>
        </w:rPr>
        <w:t xml:space="preserve">Einheit verwirklicht, die den Übergang von der endlichen zur absoluten Subjektivität bestimmt. </w:t>
      </w:r>
      <w:r w:rsidRPr="00921BB8">
        <w:rPr>
          <w:rFonts w:ascii="Times New Roman" w:eastAsia="Times New Roman" w:hAnsi="Times New Roman" w:cs="Times New Roman"/>
          <w:i/>
          <w:color w:val="000000"/>
          <w:lang w:val="de-DE"/>
        </w:rPr>
        <w:t xml:space="preserve">Der absolute Geist </w:t>
      </w:r>
      <w:r w:rsidRPr="00921BB8">
        <w:rPr>
          <w:rFonts w:ascii="Times New Roman" w:eastAsia="Times New Roman" w:hAnsi="Times New Roman" w:cs="Times New Roman"/>
          <w:color w:val="000000"/>
          <w:lang w:val="de-DE"/>
        </w:rPr>
        <w:t xml:space="preserve">taucht als absolute Selbstgleichheit auf, die sich als Identität und Gegensatz des guten und des bösen Prinzips entfaltet: An-sich-sein und Für-sich-sein sind das Gleiche und das Ungleiche seiner selbst. Hier findet die Unendlichkeit der </w:t>
      </w:r>
      <w:r w:rsidRPr="00921BB8">
        <w:rPr>
          <w:rFonts w:ascii="Times New Roman" w:eastAsia="Times New Roman" w:hAnsi="Times New Roman" w:cs="Times New Roman"/>
          <w:i/>
          <w:color w:val="000000"/>
          <w:lang w:val="de-DE"/>
        </w:rPr>
        <w:t xml:space="preserve">einfachen Beziehung </w:t>
      </w:r>
      <w:r w:rsidRPr="00921BB8">
        <w:rPr>
          <w:rFonts w:ascii="Times New Roman" w:eastAsia="Times New Roman" w:hAnsi="Times New Roman" w:cs="Times New Roman"/>
          <w:color w:val="000000"/>
          <w:lang w:val="de-DE"/>
        </w:rPr>
        <w:t>ihre volle Verwirklichung: der Geist, oder das An-sich-gleiche, kehrt sich in seine Ungleichheit, in die Natur, um, die wiederum an sich selbst ungleich, also das An-sich-Gleiche, d.h. der Geist, ist. Der absolute Geist wird sich selbst fremd und erkennt sich darin wieder: „Es ist das Nichts; oder es ist als das absolute Gegentheil seiner selbst, und als diß Gegentheil seiner selbst wieder das Gegentheil, die absolute Unruhe, es ist der absolute Begriff, die Unendlichkeit</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880"/>
      </w:r>
      <w:r w:rsidRPr="00921BB8">
        <w:rPr>
          <w:rFonts w:ascii="Times New Roman" w:eastAsia="Times New Roman" w:hAnsi="Times New Roman" w:cs="Times New Roman"/>
          <w:color w:val="000000"/>
          <w:lang w:val="de-DE"/>
        </w:rPr>
        <w:t xml:space="preserve">. Der Kreislauf der Unendlichkeit wird durch einen Begriff von </w:t>
      </w:r>
      <w:r w:rsidRPr="00921BB8">
        <w:rPr>
          <w:rFonts w:ascii="Times New Roman" w:eastAsia="Times New Roman" w:hAnsi="Times New Roman" w:cs="Times New Roman"/>
          <w:i/>
          <w:color w:val="000000"/>
          <w:lang w:val="de-DE"/>
        </w:rPr>
        <w:t>Philosophie und Religion</w:t>
      </w:r>
      <w:r w:rsidRPr="00921BB8">
        <w:rPr>
          <w:rFonts w:ascii="Times New Roman" w:eastAsia="Times New Roman" w:hAnsi="Times New Roman" w:cs="Times New Roman"/>
          <w:color w:val="000000"/>
          <w:lang w:val="de-DE"/>
        </w:rPr>
        <w:t xml:space="preserve"> weiter verdeutlicht:</w:t>
      </w:r>
    </w:p>
    <w:p w14:paraId="34AB0EE7" w14:textId="77777777" w:rsidR="001C3D81" w:rsidRPr="00921BB8" w:rsidRDefault="001C3D81" w:rsidP="001C3D81">
      <w:pPr>
        <w:spacing w:line="360" w:lineRule="auto"/>
        <w:ind w:firstLine="567"/>
        <w:jc w:val="both"/>
        <w:rPr>
          <w:rFonts w:ascii="Times New Roman" w:eastAsia="Times New Roman" w:hAnsi="Times New Roman" w:cs="Times New Roman"/>
          <w:color w:val="000000"/>
          <w:lang w:val="de-DE"/>
        </w:rPr>
      </w:pPr>
    </w:p>
    <w:p w14:paraId="2167770E" w14:textId="77777777" w:rsidR="001C3D81" w:rsidRPr="00921BB8" w:rsidRDefault="001C3D81" w:rsidP="001C3D81">
      <w:pPr>
        <w:spacing w:line="360" w:lineRule="auto"/>
        <w:ind w:left="567"/>
        <w:jc w:val="both"/>
        <w:rPr>
          <w:rFonts w:ascii="Times New Roman" w:eastAsia="Times New Roman" w:hAnsi="Times New Roman" w:cs="Times New Roman"/>
          <w:color w:val="000000"/>
          <w:sz w:val="20"/>
          <w:szCs w:val="20"/>
          <w:lang w:val="de-DE"/>
        </w:rPr>
      </w:pPr>
      <w:r w:rsidRPr="00921BB8">
        <w:rPr>
          <w:rFonts w:ascii="Times New Roman" w:eastAsia="Times New Roman" w:hAnsi="Times New Roman" w:cs="Times New Roman"/>
          <w:color w:val="000000"/>
          <w:sz w:val="20"/>
          <w:szCs w:val="20"/>
          <w:lang w:val="de-DE"/>
        </w:rPr>
        <w:t>Nicht als dieser, der sich gefunden sich ein Anderes ist, nicht als er zu sichselbstkommt, und als ein solcher sich gefunden, dem der Geist selbst als Geist gegenübertreten, der aus diesem Abfall der Unendlichkeit als Sieger über einen Geist zu sich zurückkehrt, und ebenso ewig zurückgekehrt ist. Erst diese Totalität der Rückkehr ist an sich, und geht nicht in anders mehr über</w:t>
      </w:r>
      <w:r w:rsidRPr="00921BB8">
        <w:rPr>
          <w:rStyle w:val="Rimandonotaapidipagina"/>
          <w:rFonts w:ascii="Times New Roman" w:eastAsia="Times New Roman" w:hAnsi="Times New Roman" w:cs="Times New Roman"/>
          <w:color w:val="000000"/>
          <w:sz w:val="20"/>
          <w:szCs w:val="20"/>
          <w:lang w:val="de-DE"/>
        </w:rPr>
        <w:footnoteReference w:id="881"/>
      </w:r>
      <w:r w:rsidRPr="00921BB8">
        <w:rPr>
          <w:rFonts w:ascii="Times New Roman" w:eastAsia="Times New Roman" w:hAnsi="Times New Roman" w:cs="Times New Roman"/>
          <w:color w:val="000000"/>
          <w:sz w:val="20"/>
          <w:szCs w:val="20"/>
          <w:lang w:val="de-DE"/>
        </w:rPr>
        <w:t>.</w:t>
      </w:r>
    </w:p>
    <w:p w14:paraId="194F2456" w14:textId="77777777" w:rsidR="001C3D81" w:rsidRPr="00921BB8" w:rsidRDefault="001C3D81" w:rsidP="001C3D81">
      <w:pPr>
        <w:spacing w:line="360" w:lineRule="auto"/>
        <w:ind w:firstLine="567"/>
        <w:jc w:val="both"/>
        <w:rPr>
          <w:rFonts w:ascii="Times New Roman" w:eastAsia="Times New Roman" w:hAnsi="Times New Roman" w:cs="Times New Roman"/>
          <w:iCs/>
          <w:color w:val="222222"/>
          <w:shd w:val="clear" w:color="auto" w:fill="FFFFFF"/>
          <w:lang w:val="de-DE"/>
        </w:rPr>
      </w:pPr>
    </w:p>
    <w:p w14:paraId="0C31BF54" w14:textId="5876DBD1" w:rsidR="001C3D81" w:rsidRPr="00921BB8" w:rsidRDefault="001C3D81" w:rsidP="001C3D81">
      <w:pPr>
        <w:spacing w:line="360" w:lineRule="auto"/>
        <w:ind w:firstLine="567"/>
        <w:jc w:val="both"/>
        <w:rPr>
          <w:rFonts w:ascii="Times New Roman" w:eastAsia="Times New Roman" w:hAnsi="Times New Roman" w:cs="Times New Roman"/>
          <w:color w:val="000000"/>
          <w:lang w:val="de-DE"/>
        </w:rPr>
      </w:pPr>
      <w:r w:rsidRPr="00921BB8">
        <w:rPr>
          <w:rFonts w:ascii="Times New Roman" w:eastAsia="Times New Roman" w:hAnsi="Times New Roman" w:cs="Times New Roman"/>
          <w:color w:val="000000"/>
          <w:lang w:val="de-DE"/>
        </w:rPr>
        <w:t>Schelling zufolge schreibt Hegel, dass man nicht fragen kann, warum die Unendlichkeit aus sich selbst herauskommt und endlich wird</w:t>
      </w:r>
      <w:r w:rsidRPr="00921BB8">
        <w:rPr>
          <w:rStyle w:val="Rimandonotaapidipagina"/>
          <w:rFonts w:ascii="Times New Roman" w:eastAsia="Times New Roman" w:hAnsi="Times New Roman" w:cs="Times New Roman"/>
          <w:color w:val="000000"/>
          <w:lang w:val="de-DE"/>
        </w:rPr>
        <w:footnoteReference w:id="882"/>
      </w:r>
      <w:r w:rsidRPr="00921BB8">
        <w:rPr>
          <w:rFonts w:ascii="Times New Roman" w:eastAsia="Times New Roman" w:hAnsi="Times New Roman" w:cs="Times New Roman"/>
          <w:color w:val="000000"/>
          <w:lang w:val="de-DE"/>
        </w:rPr>
        <w:t xml:space="preserve">. Der Abfall hängt mit dem Anderswerden des Geistes zusammen, mit seiner ursprünglichen Negation und seinem Sich-setzen als das Endliche. Abfall und Sündenfall, wie sie in </w:t>
      </w:r>
      <w:r w:rsidRPr="00921BB8">
        <w:rPr>
          <w:rFonts w:ascii="Times New Roman" w:eastAsia="Times New Roman" w:hAnsi="Times New Roman" w:cs="Times New Roman"/>
          <w:i/>
          <w:color w:val="000000"/>
          <w:lang w:val="de-DE"/>
        </w:rPr>
        <w:t xml:space="preserve">Philosophie und Religion </w:t>
      </w:r>
      <w:r w:rsidRPr="00921BB8">
        <w:rPr>
          <w:rFonts w:ascii="Times New Roman" w:eastAsia="Times New Roman" w:hAnsi="Times New Roman" w:cs="Times New Roman"/>
          <w:color w:val="000000"/>
          <w:lang w:val="de-DE"/>
        </w:rPr>
        <w:t>eingeführt werden, beziehen sich auf Platons</w:t>
      </w:r>
      <w:r w:rsidRPr="00921BB8">
        <w:rPr>
          <w:rFonts w:ascii="Times New Roman" w:eastAsia="Times New Roman" w:hAnsi="Times New Roman" w:cs="Times New Roman"/>
          <w:i/>
          <w:color w:val="000000"/>
          <w:lang w:val="de-DE"/>
        </w:rPr>
        <w:t xml:space="preserve"> Timaios </w:t>
      </w:r>
      <w:r w:rsidRPr="00921BB8">
        <w:rPr>
          <w:rFonts w:ascii="Times New Roman" w:eastAsia="Times New Roman" w:hAnsi="Times New Roman" w:cs="Times New Roman"/>
          <w:color w:val="000000"/>
          <w:lang w:val="de-DE"/>
        </w:rPr>
        <w:t xml:space="preserve">und </w:t>
      </w:r>
      <w:r w:rsidRPr="00921BB8">
        <w:rPr>
          <w:rFonts w:ascii="Times New Roman" w:eastAsia="Times New Roman" w:hAnsi="Times New Roman" w:cs="Times New Roman"/>
          <w:i/>
          <w:color w:val="000000"/>
          <w:lang w:val="de-DE"/>
        </w:rPr>
        <w:t>Phaedon</w:t>
      </w:r>
      <w:r w:rsidRPr="00921BB8">
        <w:rPr>
          <w:rStyle w:val="Rimandonotaapidipagina"/>
          <w:rFonts w:ascii="Times New Roman" w:eastAsia="Times New Roman" w:hAnsi="Times New Roman" w:cs="Times New Roman"/>
          <w:color w:val="000000"/>
          <w:lang w:val="de-DE"/>
        </w:rPr>
        <w:footnoteReference w:id="883"/>
      </w:r>
      <w:r w:rsidRPr="00921BB8">
        <w:rPr>
          <w:rFonts w:ascii="Times New Roman" w:eastAsia="Times New Roman" w:hAnsi="Times New Roman" w:cs="Times New Roman"/>
          <w:color w:val="000000"/>
          <w:lang w:val="de-DE"/>
        </w:rPr>
        <w:t xml:space="preserve">. Meiner Meinung nach schließt das Schellingsche Interesse am Gedanken Böhmes nicht den Einfluss des Görlitzer Schusters auf die Erfassung eines Begriffs aus, der eine Konstellation von theoretischen Elementen, die dem philosophisch-religiösen Denken aller Zeiten angehören, in Frage stellt. In der Tat schreibt Böhme, wie der Platonismus, dem Mythos des Abfalles einen adäquaten spekulativen Wert zu, der (Schellings Meinung nach) als Erklärungselement der zentrifugalen und zentripetalen Bewegung Gottes interpretiert werden kann. Wie wir schon gesehen haben, stellt die Kantische Theorie der zwei Prinzipien (und auch des Abfalles), auf die Schelling sich in </w:t>
      </w:r>
      <w:r w:rsidRPr="00921BB8">
        <w:rPr>
          <w:rFonts w:ascii="Times New Roman" w:eastAsia="Times New Roman" w:hAnsi="Times New Roman" w:cs="Times New Roman"/>
          <w:i/>
          <w:color w:val="000000"/>
          <w:lang w:val="de-DE"/>
        </w:rPr>
        <w:t>Philosophie und Religion</w:t>
      </w:r>
      <w:r w:rsidRPr="00921BB8">
        <w:rPr>
          <w:rFonts w:ascii="Times New Roman" w:eastAsia="Times New Roman" w:hAnsi="Times New Roman" w:cs="Times New Roman"/>
          <w:color w:val="000000"/>
          <w:lang w:val="de-DE"/>
        </w:rPr>
        <w:t xml:space="preserve"> bezieht, kein „Mittel der vollendeten Offenbarung Gottes</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884"/>
      </w:r>
      <w:r w:rsidRPr="00921BB8">
        <w:rPr>
          <w:rFonts w:ascii="Times New Roman" w:eastAsia="Times New Roman" w:hAnsi="Times New Roman" w:cs="Times New Roman"/>
          <w:color w:val="000000"/>
        </w:rPr>
        <w:t xml:space="preserve"> </w:t>
      </w:r>
      <w:r w:rsidRPr="00921BB8">
        <w:rPr>
          <w:rFonts w:ascii="Times New Roman" w:eastAsia="Times New Roman" w:hAnsi="Times New Roman" w:cs="Times New Roman"/>
          <w:color w:val="000000"/>
          <w:lang w:val="de-DE"/>
        </w:rPr>
        <w:t>dar. Diese Unzulänglichkeit der Kantischen Religionsphilosophie</w:t>
      </w:r>
      <w:r w:rsidRPr="00921BB8">
        <w:rPr>
          <w:rFonts w:ascii="Times New Roman" w:eastAsia="Times New Roman" w:hAnsi="Times New Roman" w:cs="Times New Roman"/>
          <w:i/>
          <w:color w:val="000000"/>
          <w:lang w:val="de-DE"/>
        </w:rPr>
        <w:t xml:space="preserve"> </w:t>
      </w:r>
      <w:r w:rsidRPr="00921BB8">
        <w:rPr>
          <w:rFonts w:ascii="Times New Roman" w:eastAsia="Times New Roman" w:hAnsi="Times New Roman" w:cs="Times New Roman"/>
          <w:color w:val="000000"/>
          <w:lang w:val="de-DE"/>
        </w:rPr>
        <w:t>mag Schelling veranlasst haben, Antworten auch bei Böhme zu suchen, der sich wie Platon das „Princip des Sündenfalls, in der höchsten Allgemeinheit ausgesprochen, wenn auch unbewusst</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885"/>
      </w:r>
      <w:r w:rsidRPr="00921BB8">
        <w:rPr>
          <w:rFonts w:ascii="Times New Roman" w:eastAsia="Times New Roman" w:hAnsi="Times New Roman" w:cs="Times New Roman"/>
          <w:color w:val="000000"/>
          <w:lang w:val="de-DE"/>
        </w:rPr>
        <w:t xml:space="preserve"> zu eigen gemacht hat. Außerdem ermöglicht die Aufnahme dieses Böhmeschen Prinzips das Verständnis der Notwendigkeit des Abfalles der Geister aus ihrem Zentrum, die Unterwerfung derselben unter die „Macht des bösen Prinzips</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886"/>
      </w:r>
      <w:r w:rsidRPr="00921BB8">
        <w:rPr>
          <w:rFonts w:ascii="Times New Roman" w:eastAsia="Times New Roman" w:hAnsi="Times New Roman" w:cs="Times New Roman"/>
          <w:color w:val="000000"/>
        </w:rPr>
        <w:t xml:space="preserve"> </w:t>
      </w:r>
      <w:r w:rsidRPr="00921BB8">
        <w:rPr>
          <w:rFonts w:ascii="Times New Roman" w:eastAsia="Times New Roman" w:hAnsi="Times New Roman" w:cs="Times New Roman"/>
          <w:color w:val="000000"/>
          <w:lang w:val="de-DE"/>
        </w:rPr>
        <w:t xml:space="preserve">und ihre Rückkehr zu Gott (zur absoluten Indifferenz). </w:t>
      </w:r>
    </w:p>
    <w:p w14:paraId="22789D7F" w14:textId="1797B078" w:rsidR="00F0454D" w:rsidRDefault="001C3D81" w:rsidP="00F0454D">
      <w:pPr>
        <w:spacing w:line="360" w:lineRule="auto"/>
        <w:ind w:firstLine="567"/>
        <w:jc w:val="both"/>
        <w:rPr>
          <w:rFonts w:ascii="Times New Roman" w:eastAsia="Times New Roman" w:hAnsi="Times New Roman" w:cs="Times New Roman"/>
          <w:color w:val="000000"/>
          <w:lang w:val="de-DE"/>
        </w:rPr>
      </w:pPr>
      <w:r w:rsidRPr="00921BB8">
        <w:rPr>
          <w:rFonts w:ascii="Times New Roman" w:eastAsia="Times New Roman" w:hAnsi="Times New Roman" w:cs="Times New Roman"/>
          <w:color w:val="000000"/>
          <w:lang w:val="de-DE"/>
        </w:rPr>
        <w:t xml:space="preserve">Wenn die Platonische Tradition nicht den Einfluss Böhmes auf </w:t>
      </w:r>
      <w:r w:rsidRPr="00921BB8">
        <w:rPr>
          <w:rFonts w:ascii="Times New Roman" w:eastAsia="Times New Roman" w:hAnsi="Times New Roman" w:cs="Times New Roman"/>
          <w:i/>
          <w:color w:val="000000"/>
          <w:lang w:val="de-DE"/>
        </w:rPr>
        <w:t>Philosophie und Religion</w:t>
      </w:r>
      <w:r w:rsidRPr="00921BB8">
        <w:rPr>
          <w:rFonts w:ascii="Times New Roman" w:eastAsia="Times New Roman" w:hAnsi="Times New Roman" w:cs="Times New Roman"/>
          <w:color w:val="000000"/>
          <w:lang w:val="de-DE"/>
        </w:rPr>
        <w:t xml:space="preserve"> ausschließt, so gilt dasselbe auch für die </w:t>
      </w:r>
      <w:r w:rsidRPr="00921BB8">
        <w:rPr>
          <w:rFonts w:ascii="Times New Roman" w:eastAsia="Times New Roman" w:hAnsi="Times New Roman" w:cs="Times New Roman"/>
          <w:i/>
          <w:color w:val="000000"/>
          <w:lang w:val="de-DE"/>
        </w:rPr>
        <w:t>Jenaer Metaphysik</w:t>
      </w:r>
      <w:r w:rsidRPr="00921BB8">
        <w:rPr>
          <w:rFonts w:ascii="Times New Roman" w:eastAsia="Times New Roman" w:hAnsi="Times New Roman" w:cs="Times New Roman"/>
          <w:color w:val="000000"/>
          <w:lang w:val="de-DE"/>
        </w:rPr>
        <w:t xml:space="preserve">: es ist klar, dass die Idee des </w:t>
      </w:r>
      <w:r w:rsidRPr="00921BB8">
        <w:rPr>
          <w:rFonts w:ascii="Times New Roman" w:eastAsia="Times New Roman" w:hAnsi="Times New Roman" w:cs="Times New Roman"/>
          <w:i/>
          <w:color w:val="000000"/>
          <w:lang w:val="de-DE"/>
        </w:rPr>
        <w:t xml:space="preserve">Abfalls </w:t>
      </w:r>
      <w:r w:rsidRPr="00921BB8">
        <w:rPr>
          <w:rFonts w:ascii="Times New Roman" w:eastAsia="Times New Roman" w:hAnsi="Times New Roman" w:cs="Times New Roman"/>
          <w:color w:val="000000"/>
          <w:lang w:val="de-DE"/>
        </w:rPr>
        <w:t xml:space="preserve">den Platonismus in Frage stellt; es ist bekannt, dass Hegel das </w:t>
      </w:r>
      <w:r w:rsidRPr="00921BB8">
        <w:rPr>
          <w:rFonts w:ascii="Times New Roman" w:eastAsia="Times New Roman" w:hAnsi="Times New Roman" w:cs="Times New Roman"/>
          <w:i/>
          <w:color w:val="000000"/>
          <w:lang w:val="de-DE"/>
        </w:rPr>
        <w:t xml:space="preserve">Fragment 49 </w:t>
      </w:r>
      <w:r w:rsidRPr="00921BB8">
        <w:rPr>
          <w:rFonts w:ascii="Times New Roman" w:eastAsia="Times New Roman" w:hAnsi="Times New Roman" w:cs="Times New Roman"/>
          <w:color w:val="000000"/>
          <w:lang w:val="de-DE"/>
        </w:rPr>
        <w:t xml:space="preserve">und das platonische </w:t>
      </w:r>
      <w:r w:rsidRPr="00921BB8">
        <w:rPr>
          <w:rFonts w:ascii="Times New Roman" w:eastAsia="Times New Roman" w:hAnsi="Times New Roman" w:cs="Times New Roman"/>
          <w:i/>
          <w:color w:val="000000"/>
          <w:lang w:val="de-DE"/>
        </w:rPr>
        <w:t>Dreiecksfragment</w:t>
      </w:r>
      <w:r w:rsidRPr="00921BB8">
        <w:rPr>
          <w:rStyle w:val="Rimandonotaapidipagina"/>
          <w:rFonts w:ascii="Times New Roman" w:eastAsia="Times New Roman" w:hAnsi="Times New Roman" w:cs="Times New Roman"/>
          <w:color w:val="000000"/>
          <w:lang w:val="de-DE"/>
        </w:rPr>
        <w:footnoteReference w:id="887"/>
      </w:r>
      <w:r w:rsidRPr="00921BB8">
        <w:rPr>
          <w:rFonts w:ascii="Times New Roman" w:eastAsia="Times New Roman" w:hAnsi="Times New Roman" w:cs="Times New Roman"/>
          <w:i/>
          <w:color w:val="000000"/>
          <w:lang w:val="de-DE"/>
        </w:rPr>
        <w:t xml:space="preserve"> </w:t>
      </w:r>
      <w:r w:rsidRPr="00921BB8">
        <w:rPr>
          <w:rFonts w:ascii="Times New Roman" w:eastAsia="Times New Roman" w:hAnsi="Times New Roman" w:cs="Times New Roman"/>
          <w:color w:val="000000"/>
          <w:lang w:val="de-DE"/>
        </w:rPr>
        <w:t xml:space="preserve">gleichzeitig geschrieben hat; aber es ist ebenso wahr, dass im </w:t>
      </w:r>
      <w:r w:rsidRPr="00921BB8">
        <w:rPr>
          <w:rFonts w:ascii="Times New Roman" w:eastAsia="Times New Roman" w:hAnsi="Times New Roman" w:cs="Times New Roman"/>
          <w:i/>
          <w:color w:val="000000"/>
          <w:lang w:val="de-DE"/>
        </w:rPr>
        <w:t xml:space="preserve">Fragment 49, </w:t>
      </w:r>
      <w:r w:rsidRPr="00921BB8">
        <w:rPr>
          <w:rFonts w:ascii="Times New Roman" w:eastAsia="Times New Roman" w:hAnsi="Times New Roman" w:cs="Times New Roman"/>
          <w:color w:val="000000"/>
          <w:lang w:val="de-DE"/>
        </w:rPr>
        <w:t xml:space="preserve">wie später in der </w:t>
      </w:r>
      <w:r w:rsidRPr="00921BB8">
        <w:rPr>
          <w:rFonts w:ascii="Times New Roman" w:eastAsia="Times New Roman" w:hAnsi="Times New Roman" w:cs="Times New Roman"/>
          <w:i/>
          <w:color w:val="000000"/>
          <w:lang w:val="de-DE"/>
        </w:rPr>
        <w:t xml:space="preserve">Phänomenologie des Geistes, </w:t>
      </w:r>
      <w:r w:rsidRPr="00921BB8">
        <w:rPr>
          <w:rFonts w:ascii="Times New Roman" w:eastAsia="Times New Roman" w:hAnsi="Times New Roman" w:cs="Times New Roman"/>
          <w:color w:val="000000"/>
          <w:lang w:val="de-DE"/>
        </w:rPr>
        <w:t xml:space="preserve">der Begriff des </w:t>
      </w:r>
      <w:r w:rsidRPr="00921BB8">
        <w:rPr>
          <w:rFonts w:ascii="Times New Roman" w:eastAsia="Times New Roman" w:hAnsi="Times New Roman" w:cs="Times New Roman"/>
          <w:i/>
          <w:color w:val="000000"/>
          <w:lang w:val="de-DE"/>
        </w:rPr>
        <w:t xml:space="preserve">Abfalles </w:t>
      </w:r>
      <w:r w:rsidRPr="00921BB8">
        <w:rPr>
          <w:rFonts w:ascii="Times New Roman" w:eastAsia="Times New Roman" w:hAnsi="Times New Roman" w:cs="Times New Roman"/>
          <w:color w:val="000000"/>
          <w:lang w:val="de-DE"/>
        </w:rPr>
        <w:t xml:space="preserve">auf den Böhmeschen Gedanken hinweist. </w:t>
      </w:r>
      <w:r w:rsidR="00D43DF5" w:rsidRPr="00ED0D31">
        <w:rPr>
          <w:rFonts w:ascii="Times New Roman" w:eastAsia="Times New Roman" w:hAnsi="Times New Roman" w:cs="Times New Roman"/>
          <w:color w:val="000000"/>
          <w:lang w:val="de-DE"/>
        </w:rPr>
        <w:t>D</w:t>
      </w:r>
      <w:r w:rsidRPr="00ED0D31">
        <w:rPr>
          <w:rFonts w:ascii="Times New Roman" w:eastAsia="Times New Roman" w:hAnsi="Times New Roman" w:cs="Times New Roman"/>
          <w:color w:val="000000"/>
          <w:lang w:val="de-DE"/>
        </w:rPr>
        <w:t>er Abfall als Verzehr des Für-sich-seins der Natur (</w:t>
      </w:r>
      <w:r w:rsidRPr="00ED0D31">
        <w:rPr>
          <w:rFonts w:ascii="Times New Roman" w:eastAsia="Times New Roman" w:hAnsi="Times New Roman" w:cs="Times New Roman"/>
          <w:i/>
          <w:color w:val="000000"/>
          <w:lang w:val="de-DE"/>
        </w:rPr>
        <w:t>Fragment 49</w:t>
      </w:r>
      <w:r w:rsidRPr="00ED0D31">
        <w:rPr>
          <w:rFonts w:ascii="Times New Roman" w:eastAsia="Times New Roman" w:hAnsi="Times New Roman" w:cs="Times New Roman"/>
          <w:color w:val="000000"/>
          <w:lang w:val="de-DE"/>
        </w:rPr>
        <w:t xml:space="preserve">) wird in der </w:t>
      </w:r>
      <w:r w:rsidRPr="00920224">
        <w:rPr>
          <w:rFonts w:ascii="Times New Roman" w:eastAsia="Times New Roman" w:hAnsi="Times New Roman" w:cs="Times New Roman"/>
          <w:i/>
          <w:color w:val="000000"/>
          <w:lang w:val="de-DE"/>
        </w:rPr>
        <w:t>Phänomenologie des Geistes</w:t>
      </w:r>
      <w:r w:rsidRPr="00920224">
        <w:rPr>
          <w:rFonts w:ascii="Times New Roman" w:eastAsia="Times New Roman" w:hAnsi="Times New Roman" w:cs="Times New Roman"/>
          <w:color w:val="000000"/>
          <w:lang w:val="de-DE"/>
        </w:rPr>
        <w:t xml:space="preserve"> als einfache Negation der absoluten Selbstgleichheit neu interpretiert. Im Rahmen der begrifflichen Entwicklung dieser Bestimmung spielt der letzte Abschnitt der </w:t>
      </w:r>
      <w:r w:rsidRPr="00920224">
        <w:rPr>
          <w:rFonts w:ascii="Times New Roman" w:eastAsia="Times New Roman" w:hAnsi="Times New Roman" w:cs="Times New Roman"/>
          <w:i/>
          <w:color w:val="000000"/>
          <w:lang w:val="de-DE"/>
        </w:rPr>
        <w:t>Metaphysik der Subjectivität</w:t>
      </w:r>
      <w:r w:rsidRPr="00920224">
        <w:rPr>
          <w:rFonts w:ascii="Times New Roman" w:eastAsia="Times New Roman" w:hAnsi="Times New Roman" w:cs="Times New Roman"/>
          <w:color w:val="000000"/>
          <w:lang w:val="de-DE"/>
        </w:rPr>
        <w:t xml:space="preserve"> eine entscheidende Rolle, weil der Abfall im </w:t>
      </w:r>
      <w:r w:rsidRPr="00920224">
        <w:rPr>
          <w:rFonts w:ascii="Times New Roman" w:eastAsia="Times New Roman" w:hAnsi="Times New Roman" w:cs="Times New Roman"/>
          <w:i/>
          <w:color w:val="000000"/>
          <w:lang w:val="de-DE"/>
        </w:rPr>
        <w:t>absoluten Geist</w:t>
      </w:r>
      <w:r w:rsidRPr="00920224">
        <w:rPr>
          <w:rFonts w:ascii="Times New Roman" w:eastAsia="Times New Roman" w:hAnsi="Times New Roman" w:cs="Times New Roman"/>
          <w:color w:val="000000"/>
          <w:lang w:val="de-DE"/>
        </w:rPr>
        <w:t xml:space="preserve"> sich mit jener </w:t>
      </w:r>
      <w:r w:rsidR="00920224">
        <w:rPr>
          <w:rFonts w:ascii="Times New Roman" w:eastAsia="Times New Roman" w:hAnsi="Times New Roman" w:cs="Times New Roman"/>
          <w:color w:val="000000"/>
          <w:lang w:val="de-DE"/>
        </w:rPr>
        <w:t xml:space="preserve">einfachen </w:t>
      </w:r>
      <w:r w:rsidR="00920224" w:rsidRPr="00920224">
        <w:rPr>
          <w:rFonts w:ascii="Times New Roman" w:eastAsia="Times New Roman" w:hAnsi="Times New Roman" w:cs="Times New Roman"/>
          <w:color w:val="000000"/>
          <w:lang w:val="de-DE"/>
        </w:rPr>
        <w:t xml:space="preserve">und </w:t>
      </w:r>
      <w:r w:rsidR="00F0454D" w:rsidRPr="00920224">
        <w:rPr>
          <w:rFonts w:ascii="Times New Roman" w:eastAsia="Times New Roman" w:hAnsi="Times New Roman" w:cs="Times New Roman"/>
          <w:color w:val="000000"/>
          <w:lang w:val="de-DE"/>
        </w:rPr>
        <w:t>ürsprunglichen Negativität</w:t>
      </w:r>
      <w:r w:rsidRPr="00920224">
        <w:rPr>
          <w:rFonts w:ascii="Times New Roman" w:eastAsia="Times New Roman" w:hAnsi="Times New Roman" w:cs="Times New Roman"/>
          <w:i/>
          <w:color w:val="000000"/>
          <w:lang w:val="de-DE"/>
        </w:rPr>
        <w:t xml:space="preserve"> </w:t>
      </w:r>
      <w:r w:rsidRPr="00920224">
        <w:rPr>
          <w:rFonts w:ascii="Times New Roman" w:eastAsia="Times New Roman" w:hAnsi="Times New Roman" w:cs="Times New Roman"/>
          <w:color w:val="000000"/>
          <w:lang w:val="de-DE"/>
        </w:rPr>
        <w:t xml:space="preserve">identifiziert, </w:t>
      </w:r>
      <w:r w:rsidR="00F0454D" w:rsidRPr="00920224">
        <w:rPr>
          <w:rFonts w:ascii="Times New Roman" w:eastAsia="Times New Roman" w:hAnsi="Times New Roman" w:cs="Times New Roman"/>
          <w:color w:val="000000"/>
          <w:lang w:val="de-DE"/>
        </w:rPr>
        <w:t xml:space="preserve">die den Kernpunkt der Hegelschen Auslegung von Jakob Bohme in der </w:t>
      </w:r>
      <w:r w:rsidR="00F0454D" w:rsidRPr="00920224">
        <w:rPr>
          <w:rFonts w:ascii="Times New Roman" w:eastAsia="Times New Roman" w:hAnsi="Times New Roman" w:cs="Times New Roman"/>
          <w:i/>
          <w:color w:val="000000"/>
          <w:lang w:val="de-DE"/>
        </w:rPr>
        <w:t xml:space="preserve">Phänomenologie des Geistes </w:t>
      </w:r>
      <w:r w:rsidR="00D4751F" w:rsidRPr="00920224">
        <w:rPr>
          <w:rFonts w:ascii="Times New Roman" w:eastAsia="Times New Roman" w:hAnsi="Times New Roman" w:cs="Times New Roman"/>
          <w:color w:val="000000"/>
          <w:lang w:val="de-DE"/>
        </w:rPr>
        <w:t>darstellt</w:t>
      </w:r>
      <w:r w:rsidR="00F0454D" w:rsidRPr="00920224">
        <w:rPr>
          <w:rFonts w:ascii="Times New Roman" w:eastAsia="Times New Roman" w:hAnsi="Times New Roman" w:cs="Times New Roman"/>
          <w:color w:val="000000"/>
          <w:lang w:val="de-DE"/>
        </w:rPr>
        <w:t>.</w:t>
      </w:r>
      <w:r w:rsidR="00D4751F" w:rsidRPr="00920224">
        <w:rPr>
          <w:rFonts w:ascii="Times New Roman" w:eastAsia="Times New Roman" w:hAnsi="Times New Roman" w:cs="Times New Roman"/>
          <w:color w:val="000000"/>
          <w:lang w:val="de-DE"/>
        </w:rPr>
        <w:t xml:space="preserve"> </w:t>
      </w:r>
      <w:r w:rsidR="0074219E" w:rsidRPr="00792700">
        <w:rPr>
          <w:rFonts w:ascii="Times New Roman" w:eastAsia="Times New Roman" w:hAnsi="Times New Roman" w:cs="Times New Roman"/>
          <w:color w:val="000000"/>
          <w:lang w:val="de-DE"/>
        </w:rPr>
        <w:t>Aufgrund d</w:t>
      </w:r>
      <w:r w:rsidR="008F7877" w:rsidRPr="00792700">
        <w:rPr>
          <w:rFonts w:ascii="Times New Roman" w:eastAsia="Times New Roman" w:hAnsi="Times New Roman" w:cs="Times New Roman"/>
          <w:color w:val="000000"/>
          <w:lang w:val="de-DE"/>
        </w:rPr>
        <w:t xml:space="preserve">er theoretischen Kontinuität </w:t>
      </w:r>
      <w:r w:rsidR="0074219E" w:rsidRPr="00792700">
        <w:rPr>
          <w:rFonts w:ascii="Times New Roman" w:eastAsia="Times New Roman" w:hAnsi="Times New Roman" w:cs="Times New Roman"/>
          <w:color w:val="000000"/>
          <w:lang w:val="de-DE"/>
        </w:rPr>
        <w:t xml:space="preserve">dieser zwei Werke </w:t>
      </w:r>
      <w:r w:rsidR="008F7877" w:rsidRPr="00792700">
        <w:rPr>
          <w:rFonts w:ascii="Times New Roman" w:eastAsia="Times New Roman" w:hAnsi="Times New Roman" w:cs="Times New Roman"/>
          <w:color w:val="000000"/>
          <w:lang w:val="de-DE"/>
        </w:rPr>
        <w:t xml:space="preserve">scheint es mir nicht legitim, </w:t>
      </w:r>
      <w:r w:rsidR="0074219E" w:rsidRPr="00792700">
        <w:rPr>
          <w:rFonts w:ascii="Times New Roman" w:eastAsia="Times New Roman" w:hAnsi="Times New Roman" w:cs="Times New Roman"/>
          <w:color w:val="000000"/>
          <w:lang w:val="de-DE"/>
        </w:rPr>
        <w:t xml:space="preserve">die Frage nach der </w:t>
      </w:r>
      <w:r w:rsidR="00C3372A">
        <w:rPr>
          <w:rFonts w:ascii="Times New Roman" w:eastAsia="Times New Roman" w:hAnsi="Times New Roman" w:cs="Times New Roman"/>
          <w:color w:val="000000"/>
          <w:lang w:val="de-DE"/>
        </w:rPr>
        <w:t>von Hegel</w:t>
      </w:r>
      <w:r w:rsidR="0074219E" w:rsidRPr="00792700">
        <w:rPr>
          <w:rFonts w:ascii="Times New Roman" w:eastAsia="Times New Roman" w:hAnsi="Times New Roman" w:cs="Times New Roman"/>
          <w:color w:val="000000"/>
          <w:lang w:val="de-DE"/>
        </w:rPr>
        <w:t xml:space="preserve"> verwendete</w:t>
      </w:r>
      <w:r w:rsidR="00920224" w:rsidRPr="00792700">
        <w:rPr>
          <w:rFonts w:ascii="Times New Roman" w:eastAsia="Times New Roman" w:hAnsi="Times New Roman" w:cs="Times New Roman"/>
          <w:color w:val="000000"/>
          <w:lang w:val="de-DE"/>
        </w:rPr>
        <w:t>n</w:t>
      </w:r>
      <w:r w:rsidR="0074219E" w:rsidRPr="00792700">
        <w:rPr>
          <w:rFonts w:ascii="Times New Roman" w:eastAsia="Times New Roman" w:hAnsi="Times New Roman" w:cs="Times New Roman"/>
          <w:color w:val="000000"/>
          <w:lang w:val="de-DE"/>
        </w:rPr>
        <w:t xml:space="preserve"> Quelle</w:t>
      </w:r>
      <w:r w:rsidR="00920224" w:rsidRPr="00792700">
        <w:rPr>
          <w:rFonts w:ascii="Times New Roman" w:eastAsia="Times New Roman" w:hAnsi="Times New Roman" w:cs="Times New Roman"/>
          <w:color w:val="000000"/>
          <w:lang w:val="de-DE"/>
        </w:rPr>
        <w:t>n</w:t>
      </w:r>
      <w:r w:rsidR="0074219E" w:rsidRPr="00792700">
        <w:rPr>
          <w:rFonts w:ascii="Times New Roman" w:eastAsia="Times New Roman" w:hAnsi="Times New Roman" w:cs="Times New Roman"/>
          <w:color w:val="000000"/>
          <w:lang w:val="de-DE"/>
        </w:rPr>
        <w:t xml:space="preserve"> auf die Platonisiche Traditi</w:t>
      </w:r>
      <w:r w:rsidR="00920224" w:rsidRPr="00792700">
        <w:rPr>
          <w:rFonts w:ascii="Times New Roman" w:eastAsia="Times New Roman" w:hAnsi="Times New Roman" w:cs="Times New Roman"/>
          <w:color w:val="000000"/>
          <w:lang w:val="de-DE"/>
        </w:rPr>
        <w:t xml:space="preserve">on zu beschränken, ohne den Böhmeschen Gedanken </w:t>
      </w:r>
      <w:r w:rsidR="00C3372A">
        <w:rPr>
          <w:rFonts w:ascii="Times New Roman" w:eastAsia="Times New Roman" w:hAnsi="Times New Roman" w:cs="Times New Roman"/>
          <w:color w:val="000000"/>
          <w:lang w:val="de-DE"/>
        </w:rPr>
        <w:t xml:space="preserve">auch </w:t>
      </w:r>
      <w:r w:rsidR="00920224" w:rsidRPr="00792700">
        <w:rPr>
          <w:rFonts w:ascii="Times New Roman" w:eastAsia="Times New Roman" w:hAnsi="Times New Roman" w:cs="Times New Roman"/>
          <w:color w:val="000000"/>
          <w:lang w:val="de-DE"/>
        </w:rPr>
        <w:t xml:space="preserve">in Betracht zu ziehen. </w:t>
      </w:r>
    </w:p>
    <w:p w14:paraId="00C92F47" w14:textId="083EDF5E" w:rsidR="001C3D81" w:rsidRPr="00F0454D" w:rsidRDefault="00F0454D" w:rsidP="00F0454D">
      <w:pPr>
        <w:spacing w:line="360" w:lineRule="auto"/>
        <w:ind w:firstLine="567"/>
        <w:jc w:val="both"/>
        <w:rPr>
          <w:rFonts w:ascii="Times New Roman" w:eastAsia="Times New Roman" w:hAnsi="Times New Roman" w:cs="Times New Roman"/>
          <w:color w:val="000000"/>
          <w:lang w:val="de-DE"/>
        </w:rPr>
      </w:pPr>
      <w:r>
        <w:rPr>
          <w:rFonts w:ascii="Times New Roman" w:eastAsia="Times New Roman" w:hAnsi="Times New Roman" w:cs="Times New Roman"/>
          <w:color w:val="000000"/>
          <w:lang w:val="de-DE"/>
        </w:rPr>
        <w:t xml:space="preserve"> </w:t>
      </w:r>
    </w:p>
    <w:p w14:paraId="412778F4" w14:textId="77088394" w:rsidR="001C3D81" w:rsidRPr="00921BB8" w:rsidRDefault="001C3D81" w:rsidP="001C3D81">
      <w:pPr>
        <w:spacing w:line="360" w:lineRule="auto"/>
        <w:jc w:val="both"/>
        <w:rPr>
          <w:rFonts w:ascii="Times New Roman" w:hAnsi="Times New Roman" w:cs="Times New Roman"/>
          <w:lang w:val="de-DE"/>
        </w:rPr>
      </w:pPr>
      <w:r w:rsidRPr="00921BB8">
        <w:rPr>
          <w:rFonts w:ascii="Times New Roman" w:hAnsi="Times New Roman" w:cs="Times New Roman"/>
          <w:i/>
          <w:lang w:val="de-DE"/>
        </w:rPr>
        <w:t xml:space="preserve">1.9 Zwischen </w:t>
      </w:r>
      <w:r w:rsidR="00CA62C2">
        <w:rPr>
          <w:rFonts w:ascii="Times New Roman" w:hAnsi="Times New Roman" w:cs="Times New Roman"/>
          <w:i/>
          <w:lang w:val="de-DE"/>
        </w:rPr>
        <w:t xml:space="preserve">Vorstellung </w:t>
      </w:r>
      <w:r w:rsidRPr="00921BB8">
        <w:rPr>
          <w:rFonts w:ascii="Times New Roman" w:hAnsi="Times New Roman" w:cs="Times New Roman"/>
          <w:i/>
          <w:lang w:val="de-DE"/>
        </w:rPr>
        <w:t xml:space="preserve">und Begriff: der Zorn Gottes, der Abfall Luzifers und die Negativität des Absoluten in der </w:t>
      </w:r>
      <w:r w:rsidRPr="00921BB8">
        <w:rPr>
          <w:rFonts w:ascii="Times New Roman" w:hAnsi="Times New Roman" w:cs="Times New Roman"/>
          <w:lang w:val="de-DE"/>
        </w:rPr>
        <w:t>Phänomenologie des Geistes</w:t>
      </w:r>
    </w:p>
    <w:p w14:paraId="22581165" w14:textId="77777777" w:rsidR="001C3D81" w:rsidRPr="00921BB8" w:rsidRDefault="001C3D81" w:rsidP="001C3D81">
      <w:pPr>
        <w:spacing w:line="360" w:lineRule="auto"/>
        <w:jc w:val="both"/>
        <w:rPr>
          <w:rFonts w:ascii="Times New Roman" w:hAnsi="Times New Roman" w:cs="Times New Roman"/>
          <w:lang w:val="de-DE"/>
        </w:rPr>
      </w:pPr>
    </w:p>
    <w:p w14:paraId="27A00C16" w14:textId="77777777" w:rsidR="001C3D81" w:rsidRPr="00921BB8" w:rsidRDefault="001C3D81" w:rsidP="001C3D81">
      <w:pPr>
        <w:spacing w:line="360" w:lineRule="auto"/>
        <w:ind w:firstLine="567"/>
        <w:jc w:val="both"/>
        <w:rPr>
          <w:rFonts w:ascii="Times New Roman" w:hAnsi="Times New Roman" w:cs="Times New Roman"/>
          <w:lang w:val="de-DE"/>
        </w:rPr>
      </w:pPr>
      <w:r w:rsidRPr="00921BB8">
        <w:rPr>
          <w:rFonts w:ascii="Times New Roman" w:eastAsia="Times New Roman" w:hAnsi="Times New Roman" w:cs="Times New Roman"/>
          <w:color w:val="000000"/>
          <w:lang w:val="de-DE"/>
        </w:rPr>
        <w:t xml:space="preserve">Die Begriffe des </w:t>
      </w:r>
      <w:r w:rsidRPr="00921BB8">
        <w:rPr>
          <w:rFonts w:ascii="Times New Roman" w:eastAsia="Times New Roman" w:hAnsi="Times New Roman" w:cs="Times New Roman"/>
          <w:i/>
          <w:color w:val="000000"/>
          <w:lang w:val="de-DE"/>
        </w:rPr>
        <w:t xml:space="preserve">Zorns Gottes </w:t>
      </w:r>
      <w:r w:rsidRPr="00921BB8">
        <w:rPr>
          <w:rFonts w:ascii="Times New Roman" w:eastAsia="Times New Roman" w:hAnsi="Times New Roman" w:cs="Times New Roman"/>
          <w:color w:val="000000"/>
          <w:lang w:val="de-DE"/>
        </w:rPr>
        <w:t xml:space="preserve">und des </w:t>
      </w:r>
      <w:r w:rsidRPr="00921BB8">
        <w:rPr>
          <w:rFonts w:ascii="Times New Roman" w:eastAsia="Times New Roman" w:hAnsi="Times New Roman" w:cs="Times New Roman"/>
          <w:i/>
          <w:color w:val="000000"/>
          <w:lang w:val="de-DE"/>
        </w:rPr>
        <w:t>Abfalls</w:t>
      </w:r>
      <w:r w:rsidRPr="00921BB8">
        <w:rPr>
          <w:rFonts w:ascii="Times New Roman" w:eastAsia="Times New Roman" w:hAnsi="Times New Roman" w:cs="Times New Roman"/>
          <w:color w:val="000000"/>
          <w:lang w:val="de-DE"/>
        </w:rPr>
        <w:t xml:space="preserve">, die bereits im </w:t>
      </w:r>
      <w:r w:rsidRPr="00921BB8">
        <w:rPr>
          <w:rFonts w:ascii="Times New Roman" w:eastAsia="Times New Roman" w:hAnsi="Times New Roman" w:cs="Times New Roman"/>
          <w:i/>
          <w:color w:val="000000"/>
          <w:lang w:val="de-DE"/>
        </w:rPr>
        <w:t xml:space="preserve">Fragment 49 </w:t>
      </w:r>
      <w:r w:rsidRPr="00921BB8">
        <w:rPr>
          <w:rFonts w:ascii="Times New Roman" w:eastAsia="Times New Roman" w:hAnsi="Times New Roman" w:cs="Times New Roman"/>
          <w:color w:val="000000"/>
          <w:lang w:val="de-DE"/>
        </w:rPr>
        <w:t xml:space="preserve">und in der </w:t>
      </w:r>
      <w:r w:rsidRPr="00921BB8">
        <w:rPr>
          <w:rFonts w:ascii="Times New Roman" w:eastAsia="Times New Roman" w:hAnsi="Times New Roman" w:cs="Times New Roman"/>
          <w:i/>
          <w:color w:val="000000"/>
          <w:lang w:val="de-DE"/>
        </w:rPr>
        <w:t xml:space="preserve">Jenaer Logik und Metaphysik </w:t>
      </w:r>
      <w:r w:rsidRPr="00921BB8">
        <w:rPr>
          <w:rFonts w:ascii="Times New Roman" w:eastAsia="Times New Roman" w:hAnsi="Times New Roman" w:cs="Times New Roman"/>
          <w:color w:val="000000"/>
          <w:lang w:val="de-DE"/>
        </w:rPr>
        <w:t xml:space="preserve">vorhanden waren, finden in der </w:t>
      </w:r>
      <w:r w:rsidRPr="00921BB8">
        <w:rPr>
          <w:rFonts w:ascii="Times New Roman" w:eastAsia="Times New Roman" w:hAnsi="Times New Roman" w:cs="Times New Roman"/>
          <w:i/>
          <w:color w:val="000000"/>
          <w:lang w:val="de-DE"/>
        </w:rPr>
        <w:t xml:space="preserve">Phänomenologie des Geistes, </w:t>
      </w:r>
      <w:r w:rsidRPr="00921BB8">
        <w:rPr>
          <w:rFonts w:ascii="Times New Roman" w:eastAsia="Times New Roman" w:hAnsi="Times New Roman" w:cs="Times New Roman"/>
          <w:color w:val="000000"/>
          <w:lang w:val="de-DE"/>
        </w:rPr>
        <w:t xml:space="preserve">im Rahmen der Diskussion der Trinitätslehre, eine neue und originelle Interpretation. Es geht nicht darum, eine historische Rekonstruktion eines theoretischen Problems zu erwarten, das im Mittelpunkt der Patristischen und Mittelalterlichen Philosophie stand. Die </w:t>
      </w:r>
      <w:r w:rsidRPr="00921BB8">
        <w:rPr>
          <w:rFonts w:ascii="Times New Roman" w:eastAsia="Times New Roman" w:hAnsi="Times New Roman" w:cs="Times New Roman"/>
          <w:i/>
          <w:color w:val="000000"/>
          <w:lang w:val="de-DE"/>
        </w:rPr>
        <w:t xml:space="preserve">Phänomenologie des Geistes </w:t>
      </w:r>
      <w:r w:rsidRPr="00921BB8">
        <w:rPr>
          <w:rFonts w:ascii="Times New Roman" w:eastAsia="Times New Roman" w:hAnsi="Times New Roman" w:cs="Times New Roman"/>
          <w:color w:val="000000"/>
          <w:lang w:val="de-DE"/>
        </w:rPr>
        <w:t>ist eine „begriffne Geschichte</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888"/>
      </w:r>
      <w:r w:rsidRPr="00921BB8">
        <w:rPr>
          <w:rFonts w:ascii="Times New Roman" w:eastAsia="Times New Roman" w:hAnsi="Times New Roman" w:cs="Times New Roman"/>
          <w:color w:val="000000"/>
        </w:rPr>
        <w:t xml:space="preserve">, oder </w:t>
      </w:r>
      <w:r w:rsidRPr="00921BB8">
        <w:rPr>
          <w:rFonts w:ascii="Times New Roman" w:eastAsia="Times New Roman" w:hAnsi="Times New Roman" w:cs="Times New Roman"/>
          <w:color w:val="000000"/>
          <w:lang w:val="de-DE"/>
        </w:rPr>
        <w:t>eine begriffne Organisation der historischen Phänomene.</w:t>
      </w:r>
    </w:p>
    <w:p w14:paraId="41FC6AE7" w14:textId="6F42B1E7" w:rsidR="001C3D81" w:rsidRPr="00921BB8" w:rsidRDefault="001C3D81" w:rsidP="001C3D81">
      <w:pPr>
        <w:spacing w:line="360" w:lineRule="auto"/>
        <w:ind w:firstLine="567"/>
        <w:jc w:val="both"/>
        <w:rPr>
          <w:rFonts w:ascii="Times New Roman" w:eastAsia="Times New Roman" w:hAnsi="Times New Roman" w:cs="Times New Roman"/>
          <w:color w:val="000000"/>
          <w:lang w:val="de-DE"/>
        </w:rPr>
      </w:pPr>
      <w:r w:rsidRPr="00921BB8">
        <w:rPr>
          <w:rFonts w:ascii="Times New Roman" w:eastAsia="Times New Roman" w:hAnsi="Times New Roman" w:cs="Times New Roman"/>
          <w:color w:val="000000"/>
          <w:lang w:val="de-DE"/>
        </w:rPr>
        <w:t xml:space="preserve">Im Element des reinen Denkens gibt es keine wirkliche Unterscheidung des absoluten Wesens. In der ersten </w:t>
      </w:r>
      <w:r w:rsidRPr="00921BB8">
        <w:rPr>
          <w:rFonts w:ascii="Times New Roman" w:eastAsia="Times New Roman" w:hAnsi="Times New Roman" w:cs="Times New Roman"/>
          <w:i/>
          <w:color w:val="000000"/>
          <w:lang w:val="de-DE"/>
        </w:rPr>
        <w:t>Realisierung</w:t>
      </w:r>
      <w:r w:rsidRPr="00921BB8">
        <w:rPr>
          <w:rFonts w:ascii="Times New Roman" w:eastAsia="Times New Roman" w:hAnsi="Times New Roman" w:cs="Times New Roman"/>
          <w:color w:val="000000"/>
          <w:lang w:val="de-DE"/>
        </w:rPr>
        <w:t xml:space="preserve"> des G</w:t>
      </w:r>
      <w:r w:rsidR="00816D2C">
        <w:rPr>
          <w:rFonts w:ascii="Times New Roman" w:eastAsia="Times New Roman" w:hAnsi="Times New Roman" w:cs="Times New Roman"/>
          <w:color w:val="000000"/>
          <w:lang w:val="de-DE"/>
        </w:rPr>
        <w:t xml:space="preserve">öttlichen spielt der Gegensatz keine </w:t>
      </w:r>
      <w:r w:rsidRPr="00921BB8">
        <w:rPr>
          <w:rFonts w:ascii="Times New Roman" w:eastAsia="Times New Roman" w:hAnsi="Times New Roman" w:cs="Times New Roman"/>
          <w:color w:val="000000"/>
          <w:lang w:val="de-DE"/>
        </w:rPr>
        <w:t>Rolle in dem sogenannten „Spiel der Liebe mit sich selbst</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889"/>
      </w:r>
      <w:r w:rsidRPr="00921BB8">
        <w:rPr>
          <w:rFonts w:ascii="Times New Roman" w:eastAsia="Times New Roman" w:hAnsi="Times New Roman" w:cs="Times New Roman"/>
          <w:color w:val="000000"/>
        </w:rPr>
        <w:t>.</w:t>
      </w:r>
      <w:r w:rsidRPr="00921BB8">
        <w:rPr>
          <w:rFonts w:ascii="Times New Roman" w:eastAsia="Times New Roman" w:hAnsi="Times New Roman" w:cs="Times New Roman"/>
          <w:color w:val="000000"/>
          <w:lang w:val="de-DE"/>
        </w:rPr>
        <w:t xml:space="preserve"> Der Vater erkennt sich im Sohn wieder und spiegelt sich in sich selbst wider. Bei der Anerkennung der Liebe beansprucht das Anderssein (der Sohn) seine eigene Autonomie nicht: das Band der Liebe reduziert den Unterschied (das Anderssein) auf nichts. Wo reine Liebe vorhanden ist, fehlt jene innere Lebendigkeit, die das ewige Wesen als lebendige Substanz zu denken erlaubt. In ihrer unmittelbaren Darlegung gibt uns die Trinitätslehre eine einfache Allgemeinheit zurück, die Unterschiede in einer stillen Indifferenz sublimiert. Mit dem Ziel, die </w:t>
      </w:r>
      <w:r w:rsidRPr="00921BB8">
        <w:rPr>
          <w:rFonts w:ascii="Times New Roman" w:eastAsia="Times New Roman" w:hAnsi="Times New Roman" w:cs="Times New Roman"/>
          <w:i/>
          <w:color w:val="000000"/>
          <w:lang w:val="de-DE"/>
        </w:rPr>
        <w:t xml:space="preserve">ewige Ruhe </w:t>
      </w:r>
      <w:r w:rsidRPr="00921BB8">
        <w:rPr>
          <w:rFonts w:ascii="Times New Roman" w:eastAsia="Times New Roman" w:hAnsi="Times New Roman" w:cs="Times New Roman"/>
          <w:color w:val="000000"/>
          <w:lang w:val="de-DE"/>
        </w:rPr>
        <w:t xml:space="preserve">des höchsten Wesens aufzuheben, führt Hegel den Begriff des </w:t>
      </w:r>
      <w:r w:rsidRPr="00921BB8">
        <w:rPr>
          <w:rFonts w:ascii="Times New Roman" w:eastAsia="Times New Roman" w:hAnsi="Times New Roman" w:cs="Times New Roman"/>
          <w:i/>
          <w:color w:val="000000"/>
          <w:lang w:val="de-DE"/>
        </w:rPr>
        <w:t xml:space="preserve">Zorn Gottes </w:t>
      </w:r>
      <w:r w:rsidRPr="00921BB8">
        <w:rPr>
          <w:rFonts w:ascii="Times New Roman" w:eastAsia="Times New Roman" w:hAnsi="Times New Roman" w:cs="Times New Roman"/>
          <w:color w:val="000000"/>
          <w:lang w:val="de-DE"/>
        </w:rPr>
        <w:t>ein, d.h. eine Böhmesche</w:t>
      </w:r>
      <w:r w:rsidRPr="00921BB8">
        <w:rPr>
          <w:rFonts w:ascii="Times New Roman" w:eastAsia="Times New Roman" w:hAnsi="Times New Roman" w:cs="Times New Roman"/>
          <w:i/>
          <w:color w:val="000000"/>
          <w:lang w:val="de-DE"/>
        </w:rPr>
        <w:t xml:space="preserve"> Vorstellung</w:t>
      </w:r>
      <w:r w:rsidRPr="00921BB8">
        <w:rPr>
          <w:rFonts w:ascii="Times New Roman" w:eastAsia="Times New Roman" w:hAnsi="Times New Roman" w:cs="Times New Roman"/>
          <w:color w:val="000000"/>
          <w:lang w:val="de-DE"/>
        </w:rPr>
        <w:t xml:space="preserve">, verbunden mit dem symbolischen Universum der jüdischen Kabbala, die die innere </w:t>
      </w:r>
      <w:r w:rsidRPr="00921BB8">
        <w:rPr>
          <w:rFonts w:ascii="Times New Roman" w:eastAsia="Times New Roman" w:hAnsi="Times New Roman" w:cs="Times New Roman"/>
          <w:i/>
          <w:color w:val="000000"/>
          <w:lang w:val="de-DE"/>
        </w:rPr>
        <w:t>Negativität</w:t>
      </w:r>
      <w:r w:rsidRPr="00921BB8">
        <w:rPr>
          <w:rFonts w:ascii="Times New Roman" w:eastAsia="Times New Roman" w:hAnsi="Times New Roman" w:cs="Times New Roman"/>
          <w:color w:val="000000"/>
          <w:lang w:val="de-DE"/>
        </w:rPr>
        <w:t xml:space="preserve"> (Lebendigkeit) des Göttlichen </w:t>
      </w:r>
      <w:r w:rsidRPr="00921BB8">
        <w:rPr>
          <w:rFonts w:ascii="Times New Roman" w:eastAsia="Times New Roman" w:hAnsi="Times New Roman" w:cs="Times New Roman"/>
          <w:i/>
          <w:color w:val="000000"/>
          <w:lang w:val="de-DE"/>
        </w:rPr>
        <w:t xml:space="preserve">metaphorisch </w:t>
      </w:r>
      <w:r w:rsidRPr="00921BB8">
        <w:rPr>
          <w:rFonts w:ascii="Times New Roman" w:eastAsia="Times New Roman" w:hAnsi="Times New Roman" w:cs="Times New Roman"/>
          <w:color w:val="000000"/>
          <w:lang w:val="de-DE"/>
        </w:rPr>
        <w:t>ausdrückt. Die erste Wurzel des Bösen ist nicht im Sündenfall des Menschen zu finden, sondern in dem „erste Reich des Denkens</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890"/>
      </w:r>
      <w:r w:rsidRPr="00921BB8">
        <w:rPr>
          <w:rFonts w:ascii="Times New Roman" w:eastAsia="Times New Roman" w:hAnsi="Times New Roman" w:cs="Times New Roman"/>
          <w:color w:val="000000"/>
          <w:lang w:val="de-DE"/>
        </w:rPr>
        <w:t>. In dieser Sphäre, in der die trinitarischen Unterschiede sich auf die abstrakte Indifferenz des absoluten Wesens reduzieren, taucht Luzifer – „der erstgeborene Lichtsohn</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891"/>
      </w:r>
      <w:r w:rsidRPr="00921BB8">
        <w:rPr>
          <w:rFonts w:ascii="Times New Roman" w:eastAsia="Times New Roman" w:hAnsi="Times New Roman" w:cs="Times New Roman"/>
          <w:color w:val="000000"/>
          <w:lang w:val="de-DE"/>
        </w:rPr>
        <w:t xml:space="preserve"> – auf, der sich gegen Gott auflehnt und dadurch den Zorn Gottes entfesselt. Was in Gott erweckt wird, ist das dunkle Prinzip, die </w:t>
      </w:r>
      <w:r w:rsidRPr="00921BB8">
        <w:rPr>
          <w:rFonts w:ascii="Times New Roman" w:eastAsia="Times New Roman" w:hAnsi="Times New Roman" w:cs="Times New Roman"/>
          <w:i/>
          <w:color w:val="000000"/>
          <w:lang w:val="de-DE"/>
        </w:rPr>
        <w:t>allertieffste Geburt</w:t>
      </w:r>
      <w:r w:rsidRPr="00921BB8">
        <w:rPr>
          <w:rFonts w:ascii="Times New Roman" w:eastAsia="Times New Roman" w:hAnsi="Times New Roman" w:cs="Times New Roman"/>
          <w:color w:val="000000"/>
          <w:lang w:val="de-DE"/>
        </w:rPr>
        <w:t xml:space="preserve"> Gottes. Wegen der Rebellion Luzifers werden die einschränkenden Qualitäten Gottes freigesetzt. Im 16. Kapitel von </w:t>
      </w:r>
      <w:r w:rsidRPr="00921BB8">
        <w:rPr>
          <w:rFonts w:ascii="Times New Roman" w:eastAsia="Times New Roman" w:hAnsi="Times New Roman" w:cs="Times New Roman"/>
          <w:i/>
          <w:color w:val="000000"/>
          <w:lang w:val="de-DE"/>
        </w:rPr>
        <w:t xml:space="preserve">Morgenröte </w:t>
      </w:r>
      <w:r w:rsidRPr="00921BB8">
        <w:rPr>
          <w:rFonts w:ascii="Times New Roman" w:eastAsia="Times New Roman" w:hAnsi="Times New Roman" w:cs="Times New Roman"/>
          <w:color w:val="000000"/>
          <w:lang w:val="de-DE"/>
        </w:rPr>
        <w:t xml:space="preserve">liest man: </w:t>
      </w:r>
      <w:r w:rsidRPr="00921BB8">
        <w:rPr>
          <w:rFonts w:ascii="Times New Roman" w:hAnsi="Times New Roman" w:cs="Times New Roman"/>
          <w:lang w:val="de-DE"/>
        </w:rPr>
        <w:t>„Got</w:t>
      </w:r>
      <w:r w:rsidR="00816D2C">
        <w:rPr>
          <w:rFonts w:ascii="Times New Roman" w:hAnsi="Times New Roman" w:cs="Times New Roman"/>
          <w:lang w:val="de-DE"/>
        </w:rPr>
        <w:t>t hätte ihm [Luzifer] sollen Wi</w:t>
      </w:r>
      <w:r w:rsidRPr="00921BB8">
        <w:rPr>
          <w:rFonts w:ascii="Times New Roman" w:hAnsi="Times New Roman" w:cs="Times New Roman"/>
          <w:lang w:val="de-DE"/>
        </w:rPr>
        <w:t xml:space="preserve">derstand thun, daß so weit nicht kommen würde. Ja lieber blinder Mensch, es stund nicht ein Mensch oder Thiere vor Gott: aber es war Gott wieder Gott, ein Stärker wieder einen Starcken: </w:t>
      </w:r>
      <w:r w:rsidR="00816D2C">
        <w:rPr>
          <w:rFonts w:ascii="Times New Roman" w:hAnsi="Times New Roman" w:cs="Times New Roman"/>
        </w:rPr>
        <w:t>Darzu wie solte ihm Gott Wi</w:t>
      </w:r>
      <w:r w:rsidRPr="00921BB8">
        <w:rPr>
          <w:rFonts w:ascii="Times New Roman" w:hAnsi="Times New Roman" w:cs="Times New Roman"/>
        </w:rPr>
        <w:t>derstand thun? mir der freundlichen Liebe wolte es nicht gelten, Lucifer verachtete es nur, und wollte se</w:t>
      </w:r>
      <w:r w:rsidRPr="0063491A">
        <w:rPr>
          <w:rFonts w:ascii="Times New Roman" w:hAnsi="Times New Roman" w:cs="Times New Roman"/>
        </w:rPr>
        <w:t>lber Gott seyn</w:t>
      </w:r>
      <w:r w:rsidRPr="0063491A">
        <w:rPr>
          <w:rFonts w:ascii="Times New Roman" w:eastAsia="Times New Roman" w:hAnsi="Times New Roman" w:cs="Times New Roman"/>
          <w:color w:val="000000"/>
        </w:rPr>
        <w:t>”</w:t>
      </w:r>
      <w:r w:rsidRPr="0063491A">
        <w:rPr>
          <w:rStyle w:val="Rimandonotaapidipagina"/>
          <w:rFonts w:ascii="Times New Roman" w:eastAsia="Times New Roman" w:hAnsi="Times New Roman" w:cs="Times New Roman"/>
          <w:color w:val="000000"/>
          <w:lang w:val="de-DE"/>
        </w:rPr>
        <w:footnoteReference w:id="892"/>
      </w:r>
      <w:r w:rsidRPr="0063491A">
        <w:rPr>
          <w:rFonts w:ascii="Times New Roman" w:eastAsia="Times New Roman" w:hAnsi="Times New Roman" w:cs="Times New Roman"/>
          <w:color w:val="000000"/>
          <w:lang w:val="de-DE"/>
        </w:rPr>
        <w:t>. Also Gott gegen Gott. Die Liebe kann nichts gegen die gewaltige Revolte Luzifers tun. Was Böhme darstellt, ist e</w:t>
      </w:r>
      <w:r w:rsidR="004858DC" w:rsidRPr="0063491A">
        <w:rPr>
          <w:rFonts w:ascii="Times New Roman" w:eastAsia="Times New Roman" w:hAnsi="Times New Roman" w:cs="Times New Roman"/>
          <w:color w:val="000000"/>
          <w:lang w:val="de-DE"/>
        </w:rPr>
        <w:t>in Kampf zwischen Gleichen, ein Gegensatz</w:t>
      </w:r>
      <w:r w:rsidRPr="0063491A">
        <w:rPr>
          <w:rFonts w:ascii="Times New Roman" w:eastAsia="Times New Roman" w:hAnsi="Times New Roman" w:cs="Times New Roman"/>
          <w:color w:val="000000"/>
          <w:lang w:val="de-DE"/>
        </w:rPr>
        <w:t xml:space="preserve"> zwischen zwei Mächten, die sich auf </w:t>
      </w:r>
      <w:r w:rsidR="004858DC" w:rsidRPr="0063491A">
        <w:rPr>
          <w:rFonts w:ascii="Times New Roman" w:eastAsia="Times New Roman" w:hAnsi="Times New Roman" w:cs="Times New Roman"/>
          <w:color w:val="000000"/>
          <w:lang w:val="de-DE"/>
        </w:rPr>
        <w:t xml:space="preserve">ihre gegenseitige </w:t>
      </w:r>
      <w:r w:rsidRPr="0063491A">
        <w:rPr>
          <w:rFonts w:ascii="Times New Roman" w:eastAsia="Times New Roman" w:hAnsi="Times New Roman" w:cs="Times New Roman"/>
          <w:color w:val="000000"/>
          <w:lang w:val="de-DE"/>
        </w:rPr>
        <w:t xml:space="preserve">Beherrschung richten. Obwohl Hegel nicht direkt auf Böhmes </w:t>
      </w:r>
      <w:r w:rsidRPr="0063491A">
        <w:rPr>
          <w:rFonts w:ascii="Times New Roman" w:eastAsia="Times New Roman" w:hAnsi="Times New Roman" w:cs="Times New Roman"/>
          <w:i/>
          <w:color w:val="000000"/>
          <w:lang w:val="de-DE"/>
        </w:rPr>
        <w:t>Gott wieder Gott</w:t>
      </w:r>
      <w:r w:rsidRPr="0063491A">
        <w:rPr>
          <w:rFonts w:ascii="Times New Roman" w:eastAsia="Times New Roman" w:hAnsi="Times New Roman" w:cs="Times New Roman"/>
          <w:color w:val="000000"/>
          <w:lang w:val="de-DE"/>
        </w:rPr>
        <w:t xml:space="preserve"> hinweist, denke ich, dass dieser</w:t>
      </w:r>
      <w:r w:rsidRPr="00921BB8">
        <w:rPr>
          <w:rFonts w:ascii="Times New Roman" w:eastAsia="Times New Roman" w:hAnsi="Times New Roman" w:cs="Times New Roman"/>
          <w:color w:val="000000"/>
          <w:lang w:val="de-DE"/>
        </w:rPr>
        <w:t xml:space="preserve"> Ausdruck die Verbindung des Ursprungs des Bösen direkt im Gott andeutet. In der Tat sind der Zorn Gottes und der Abfall Luzifers zwei verbundene Vorstellungen, die auf die erste und einfache Negativität des ewigen Wesens hindeuten: </w:t>
      </w:r>
    </w:p>
    <w:p w14:paraId="0B9E01A1" w14:textId="77777777" w:rsidR="001C3D81" w:rsidRPr="00921BB8" w:rsidRDefault="001C3D81" w:rsidP="001C3D81">
      <w:pPr>
        <w:spacing w:line="360" w:lineRule="auto"/>
        <w:ind w:firstLine="567"/>
        <w:jc w:val="both"/>
        <w:rPr>
          <w:rFonts w:ascii="Times New Roman" w:eastAsia="Times New Roman" w:hAnsi="Times New Roman" w:cs="Times New Roman"/>
          <w:color w:val="000000"/>
          <w:lang w:val="de-DE"/>
        </w:rPr>
      </w:pPr>
    </w:p>
    <w:p w14:paraId="47B12B92" w14:textId="77777777" w:rsidR="001C3D81" w:rsidRPr="00921BB8" w:rsidRDefault="001C3D81" w:rsidP="001C3D81">
      <w:pPr>
        <w:spacing w:line="360" w:lineRule="auto"/>
        <w:ind w:left="567"/>
        <w:jc w:val="both"/>
        <w:rPr>
          <w:rFonts w:ascii="Times New Roman" w:eastAsia="Times New Roman" w:hAnsi="Times New Roman" w:cs="Times New Roman"/>
          <w:color w:val="000000"/>
          <w:lang w:val="de-DE"/>
        </w:rPr>
      </w:pPr>
      <w:r w:rsidRPr="00921BB8">
        <w:rPr>
          <w:rFonts w:ascii="Times New Roman" w:eastAsia="Times New Roman" w:hAnsi="Times New Roman" w:cs="Times New Roman"/>
          <w:color w:val="000000"/>
          <w:sz w:val="20"/>
          <w:szCs w:val="20"/>
          <w:lang w:val="de-DE"/>
        </w:rPr>
        <w:t>Was im rein gedachten Geiste als Anderswerden des göttlichen Wesens überhaupt nur angedeutet ist, tritt hier seiner Realisierung für das Vorstellen näher; sie besteht ihm in der Selbsterniedrigung des göttlichen Wesens, das auf seine Abstraction und Unwirklichkeit Verzicht thut. – Die andere Seite, das Böse, nimmt das Vorstellen als ein dem göttlichen Wesen fremdes Geschehen; es in demselben selbst, als seinen Zorn zu fassen, ist die höchste, härteste Anstrengung des mit sich selbst ringenden Vorstellens, die, da sie des Begriffes entbehrt, fruchtlos bleibt</w:t>
      </w:r>
      <w:r w:rsidRPr="00921BB8">
        <w:rPr>
          <w:rStyle w:val="Rimandonotaapidipagina"/>
          <w:rFonts w:ascii="Times New Roman" w:eastAsia="Times New Roman" w:hAnsi="Times New Roman" w:cs="Times New Roman"/>
          <w:color w:val="000000"/>
          <w:sz w:val="20"/>
          <w:szCs w:val="20"/>
          <w:lang w:val="de-DE"/>
        </w:rPr>
        <w:footnoteReference w:id="893"/>
      </w:r>
      <w:r w:rsidRPr="00921BB8">
        <w:rPr>
          <w:rFonts w:ascii="Times New Roman" w:eastAsia="Times New Roman" w:hAnsi="Times New Roman" w:cs="Times New Roman"/>
          <w:color w:val="000000"/>
          <w:sz w:val="20"/>
          <w:szCs w:val="20"/>
          <w:lang w:val="de-DE"/>
        </w:rPr>
        <w:t>.</w:t>
      </w:r>
    </w:p>
    <w:p w14:paraId="72E14EB6" w14:textId="77777777" w:rsidR="001C3D81" w:rsidRPr="00921BB8" w:rsidRDefault="001C3D81" w:rsidP="001C3D81">
      <w:pPr>
        <w:spacing w:line="360" w:lineRule="auto"/>
        <w:jc w:val="both"/>
        <w:rPr>
          <w:rFonts w:ascii="Times New Roman" w:eastAsia="Times New Roman" w:hAnsi="Times New Roman" w:cs="Times New Roman"/>
          <w:color w:val="000000"/>
          <w:lang w:val="de-DE"/>
        </w:rPr>
      </w:pPr>
    </w:p>
    <w:p w14:paraId="489591AE" w14:textId="60ACAD2D" w:rsidR="001C3D81" w:rsidRPr="00921BB8" w:rsidRDefault="001C3D81" w:rsidP="001C3D81">
      <w:pPr>
        <w:spacing w:line="360" w:lineRule="auto"/>
        <w:ind w:firstLine="567"/>
        <w:jc w:val="both"/>
        <w:rPr>
          <w:rFonts w:ascii="Times New Roman" w:eastAsia="Times New Roman" w:hAnsi="Times New Roman" w:cs="Times New Roman"/>
          <w:color w:val="000000"/>
          <w:lang w:val="de-DE"/>
        </w:rPr>
      </w:pPr>
      <w:r w:rsidRPr="00921BB8">
        <w:rPr>
          <w:rFonts w:ascii="Times New Roman" w:eastAsia="Times New Roman" w:hAnsi="Times New Roman" w:cs="Times New Roman"/>
          <w:color w:val="000000"/>
          <w:lang w:val="de-DE"/>
        </w:rPr>
        <w:t>Hegel verbindet den Zorn Gottes</w:t>
      </w:r>
      <w:r w:rsidRPr="00921BB8">
        <w:rPr>
          <w:rFonts w:ascii="Times New Roman" w:eastAsia="Times New Roman" w:hAnsi="Times New Roman" w:cs="Times New Roman"/>
          <w:i/>
          <w:color w:val="000000"/>
          <w:lang w:val="de-DE"/>
        </w:rPr>
        <w:t xml:space="preserve"> </w:t>
      </w:r>
      <w:r w:rsidRPr="00921BB8">
        <w:rPr>
          <w:rFonts w:ascii="Times New Roman" w:eastAsia="Times New Roman" w:hAnsi="Times New Roman" w:cs="Times New Roman"/>
          <w:color w:val="000000"/>
          <w:lang w:val="de-DE"/>
        </w:rPr>
        <w:t xml:space="preserve">mit der selbstbezogenen Negativität des göttlichen Wesens: im ersten Reich des Denkens entsteht das Böse, die Selbst-negation des An-sich-seins Gottes und damit die Herausbildung einer für-sich-seienden Alterität (eines echten Gegensatzes). Das Vorstellen unternimmt seine härteste Anstrengung gerade in dem Versuch, das Böse, das Negative, bereits im Gott zu erfassen. Hier liegt das Verdienst des </w:t>
      </w:r>
      <w:r w:rsidRPr="00921BB8">
        <w:rPr>
          <w:rFonts w:ascii="Times New Roman" w:eastAsia="Times New Roman" w:hAnsi="Times New Roman" w:cs="Times New Roman"/>
          <w:i/>
          <w:color w:val="000000"/>
          <w:lang w:val="de-DE"/>
        </w:rPr>
        <w:t xml:space="preserve">Vorstellens, </w:t>
      </w:r>
      <w:r w:rsidRPr="00921BB8">
        <w:rPr>
          <w:rFonts w:ascii="Times New Roman" w:eastAsia="Times New Roman" w:hAnsi="Times New Roman" w:cs="Times New Roman"/>
          <w:color w:val="000000"/>
          <w:lang w:val="de-DE"/>
        </w:rPr>
        <w:t>aber auch seine Grenze, weil das Vorstellen ohne die Führung der Vernunft in seinen rohen und gewaltsamen Ausdrücken gefangen wäre. Das spekulative Denken bringt Licht in die Dunkelheit des barbarischen Elements, das wiederum der Vernunft jene theoretischen Materialien zurückgibt, die sie braucht, um sich siegreich über den Abgrund des Denkens zu erheben.</w:t>
      </w:r>
    </w:p>
    <w:p w14:paraId="3D1989D3" w14:textId="77777777" w:rsidR="00B27CFD" w:rsidRPr="00921BB8" w:rsidRDefault="00B27CFD" w:rsidP="001C3D81">
      <w:pPr>
        <w:spacing w:line="360" w:lineRule="auto"/>
        <w:ind w:firstLine="567"/>
        <w:jc w:val="both"/>
        <w:rPr>
          <w:rFonts w:ascii="Times New Roman" w:eastAsia="Times New Roman" w:hAnsi="Times New Roman" w:cs="Times New Roman"/>
          <w:color w:val="000000"/>
          <w:lang w:val="de-DE"/>
        </w:rPr>
      </w:pPr>
    </w:p>
    <w:p w14:paraId="33A0A7AB" w14:textId="77777777" w:rsidR="00B27CFD" w:rsidRPr="00921BB8" w:rsidRDefault="00B27CFD" w:rsidP="00921BB8">
      <w:pPr>
        <w:spacing w:line="360" w:lineRule="auto"/>
        <w:jc w:val="both"/>
        <w:rPr>
          <w:rFonts w:ascii="Times New Roman" w:eastAsia="Times New Roman" w:hAnsi="Times New Roman" w:cs="Times New Roman"/>
          <w:color w:val="000000"/>
          <w:lang w:val="de-DE"/>
        </w:rPr>
        <w:sectPr w:rsidR="00B27CFD" w:rsidRPr="00921BB8" w:rsidSect="003B4794">
          <w:footnotePr>
            <w:numRestart w:val="eachSect"/>
          </w:footnotePr>
          <w:pgSz w:w="11900" w:h="16840"/>
          <w:pgMar w:top="1418" w:right="1418" w:bottom="1418" w:left="1985" w:header="708" w:footer="708" w:gutter="0"/>
          <w:cols w:space="708"/>
          <w:docGrid w:linePitch="360"/>
        </w:sectPr>
      </w:pPr>
    </w:p>
    <w:p w14:paraId="17C929B7" w14:textId="1B51FE97" w:rsidR="00B27CFD" w:rsidRPr="00921BB8" w:rsidRDefault="00B27CFD" w:rsidP="00921BB8">
      <w:pPr>
        <w:spacing w:line="360" w:lineRule="auto"/>
        <w:jc w:val="both"/>
        <w:rPr>
          <w:rFonts w:ascii="Times New Roman" w:eastAsia="Times New Roman" w:hAnsi="Times New Roman" w:cs="Times New Roman"/>
          <w:color w:val="000000"/>
          <w:lang w:val="de-DE"/>
        </w:rPr>
      </w:pPr>
    </w:p>
    <w:p w14:paraId="233582C8" w14:textId="77777777" w:rsidR="0040352C" w:rsidRPr="00921BB8" w:rsidRDefault="001C3D81" w:rsidP="001C3D81">
      <w:pPr>
        <w:pStyle w:val="Paragrafoelenco"/>
        <w:spacing w:line="360" w:lineRule="auto"/>
        <w:ind w:left="0"/>
        <w:jc w:val="both"/>
        <w:rPr>
          <w:rFonts w:ascii="Times New Roman" w:hAnsi="Times New Roman" w:cs="Times New Roman"/>
          <w:b/>
          <w:sz w:val="28"/>
          <w:szCs w:val="28"/>
          <w:lang w:val="de-DE"/>
        </w:rPr>
      </w:pPr>
      <w:r w:rsidRPr="00921BB8">
        <w:rPr>
          <w:rFonts w:ascii="Times New Roman" w:eastAsia="Times New Roman" w:hAnsi="Times New Roman" w:cs="Times New Roman"/>
          <w:b/>
          <w:color w:val="000000"/>
          <w:sz w:val="28"/>
          <w:szCs w:val="28"/>
        </w:rPr>
        <w:t xml:space="preserve"> </w:t>
      </w:r>
      <w:r w:rsidR="0040352C" w:rsidRPr="00921BB8">
        <w:rPr>
          <w:rFonts w:ascii="Times New Roman" w:hAnsi="Times New Roman" w:cs="Times New Roman"/>
          <w:b/>
          <w:sz w:val="28"/>
          <w:szCs w:val="28"/>
          <w:lang w:val="de-DE"/>
        </w:rPr>
        <w:t>Zweites Kapitel</w:t>
      </w:r>
    </w:p>
    <w:p w14:paraId="733FB636" w14:textId="77777777" w:rsidR="0040352C" w:rsidRPr="00921BB8" w:rsidRDefault="0040352C" w:rsidP="001C3D81">
      <w:pPr>
        <w:pStyle w:val="Paragrafoelenco"/>
        <w:spacing w:line="360" w:lineRule="auto"/>
        <w:ind w:left="0"/>
        <w:jc w:val="both"/>
        <w:rPr>
          <w:rFonts w:ascii="Times New Roman" w:hAnsi="Times New Roman" w:cs="Times New Roman"/>
          <w:b/>
          <w:lang w:val="de-DE"/>
        </w:rPr>
      </w:pPr>
    </w:p>
    <w:p w14:paraId="57D6F6A7" w14:textId="56E6E72E" w:rsidR="001C3D81" w:rsidRPr="00921BB8" w:rsidRDefault="001C3D81" w:rsidP="001C3D81">
      <w:pPr>
        <w:pStyle w:val="Paragrafoelenco"/>
        <w:spacing w:line="360" w:lineRule="auto"/>
        <w:ind w:left="0"/>
        <w:jc w:val="both"/>
        <w:rPr>
          <w:rFonts w:ascii="Times New Roman" w:hAnsi="Times New Roman" w:cs="Times New Roman"/>
          <w:b/>
          <w:i/>
          <w:lang w:val="de-DE"/>
        </w:rPr>
      </w:pPr>
      <w:r w:rsidRPr="00921BB8">
        <w:rPr>
          <w:rFonts w:ascii="Times New Roman" w:hAnsi="Times New Roman" w:cs="Times New Roman"/>
          <w:b/>
          <w:lang w:val="de-DE"/>
        </w:rPr>
        <w:t xml:space="preserve"> Negativität und </w:t>
      </w:r>
      <w:r w:rsidRPr="00921BB8">
        <w:rPr>
          <w:rFonts w:ascii="Times New Roman" w:hAnsi="Times New Roman" w:cs="Times New Roman"/>
          <w:b/>
          <w:i/>
          <w:lang w:val="de-DE"/>
        </w:rPr>
        <w:t>Wissenschaft der Logik</w:t>
      </w:r>
    </w:p>
    <w:p w14:paraId="6CC1464C" w14:textId="77777777" w:rsidR="001C3D81" w:rsidRPr="00921BB8" w:rsidRDefault="001C3D81" w:rsidP="001C3D81">
      <w:pPr>
        <w:pStyle w:val="Paragrafoelenco"/>
        <w:spacing w:line="360" w:lineRule="auto"/>
        <w:ind w:left="0"/>
        <w:jc w:val="both"/>
        <w:rPr>
          <w:rFonts w:ascii="Times New Roman" w:hAnsi="Times New Roman" w:cs="Times New Roman"/>
          <w:i/>
          <w:lang w:val="de-DE"/>
        </w:rPr>
      </w:pPr>
    </w:p>
    <w:p w14:paraId="4DB2C573" w14:textId="77777777" w:rsidR="001C3D81" w:rsidRPr="00921BB8" w:rsidRDefault="001C3D81" w:rsidP="001C3D81">
      <w:pPr>
        <w:pStyle w:val="Paragrafoelenco"/>
        <w:spacing w:line="360" w:lineRule="auto"/>
        <w:ind w:left="0" w:firstLine="567"/>
        <w:jc w:val="both"/>
        <w:rPr>
          <w:rFonts w:ascii="Times New Roman" w:hAnsi="Times New Roman" w:cs="Times New Roman"/>
          <w:i/>
          <w:lang w:val="de-DE"/>
        </w:rPr>
      </w:pPr>
      <w:r w:rsidRPr="00921BB8">
        <w:rPr>
          <w:rFonts w:ascii="Times New Roman" w:hAnsi="Times New Roman" w:cs="Times New Roman"/>
          <w:lang w:val="de-DE"/>
        </w:rPr>
        <w:t xml:space="preserve">In den </w:t>
      </w:r>
      <w:r w:rsidRPr="00921BB8">
        <w:rPr>
          <w:rFonts w:ascii="Times New Roman" w:hAnsi="Times New Roman" w:cs="Times New Roman"/>
          <w:i/>
          <w:lang w:val="de-DE"/>
        </w:rPr>
        <w:t>Jenaer Schriften</w:t>
      </w:r>
      <w:r w:rsidRPr="00921BB8">
        <w:rPr>
          <w:rFonts w:ascii="Times New Roman" w:hAnsi="Times New Roman" w:cs="Times New Roman"/>
          <w:lang w:val="de-DE"/>
        </w:rPr>
        <w:t xml:space="preserve"> hat Hegel die Bestandteile des Böhmeschen Denkens übernommen, die den </w:t>
      </w:r>
      <w:r w:rsidRPr="00921BB8">
        <w:rPr>
          <w:rFonts w:ascii="Times New Roman" w:hAnsi="Times New Roman" w:cs="Times New Roman"/>
          <w:i/>
          <w:lang w:val="de-DE"/>
        </w:rPr>
        <w:t xml:space="preserve">Lebenslauf Gottes </w:t>
      </w:r>
      <w:r w:rsidRPr="00921BB8">
        <w:rPr>
          <w:rFonts w:ascii="Times New Roman" w:hAnsi="Times New Roman" w:cs="Times New Roman"/>
          <w:lang w:val="de-DE"/>
        </w:rPr>
        <w:t xml:space="preserve">als Kreislauf, als Setzen seiner selbst als Anderssein und als Rückkehr zu sich durch die Aufhebung der gesetzten Alterität, zu denken vermögen. Meiner Meinung nach erlaubte es die Auseinandersetzung Hegels mit Böhme, dem Thema des </w:t>
      </w:r>
      <w:r w:rsidRPr="00921BB8">
        <w:rPr>
          <w:rFonts w:ascii="Times New Roman" w:hAnsi="Times New Roman" w:cs="Times New Roman"/>
          <w:i/>
          <w:lang w:val="de-DE"/>
        </w:rPr>
        <w:t xml:space="preserve">absoluten Nichts </w:t>
      </w:r>
      <w:r w:rsidRPr="00921BB8">
        <w:rPr>
          <w:rFonts w:ascii="Times New Roman" w:hAnsi="Times New Roman" w:cs="Times New Roman"/>
          <w:lang w:val="de-DE"/>
        </w:rPr>
        <w:t xml:space="preserve">einen neuen Trieb zu geben und die vorhandene Aporie der </w:t>
      </w:r>
      <w:r w:rsidRPr="00921BB8">
        <w:rPr>
          <w:rFonts w:ascii="Times New Roman" w:hAnsi="Times New Roman" w:cs="Times New Roman"/>
          <w:i/>
          <w:lang w:val="de-DE"/>
        </w:rPr>
        <w:t xml:space="preserve">Identitäts- </w:t>
      </w:r>
      <w:r w:rsidRPr="00921BB8">
        <w:rPr>
          <w:rFonts w:ascii="Times New Roman" w:hAnsi="Times New Roman" w:cs="Times New Roman"/>
          <w:lang w:val="de-DE"/>
        </w:rPr>
        <w:t xml:space="preserve">und </w:t>
      </w:r>
      <w:r w:rsidRPr="00921BB8">
        <w:rPr>
          <w:rFonts w:ascii="Times New Roman" w:hAnsi="Times New Roman" w:cs="Times New Roman"/>
          <w:i/>
          <w:lang w:val="de-DE"/>
        </w:rPr>
        <w:t xml:space="preserve">Reflexionsphilosophie </w:t>
      </w:r>
      <w:r w:rsidRPr="00921BB8">
        <w:rPr>
          <w:rFonts w:ascii="Times New Roman" w:hAnsi="Times New Roman" w:cs="Times New Roman"/>
          <w:lang w:val="de-DE"/>
        </w:rPr>
        <w:t xml:space="preserve">aufzulösen. In der </w:t>
      </w:r>
      <w:r w:rsidRPr="00921BB8">
        <w:rPr>
          <w:rFonts w:ascii="Times New Roman" w:hAnsi="Times New Roman" w:cs="Times New Roman"/>
          <w:i/>
          <w:lang w:val="de-DE"/>
        </w:rPr>
        <w:t xml:space="preserve">Jenaer Logik und Metaphysik </w:t>
      </w:r>
      <w:r w:rsidRPr="00921BB8">
        <w:rPr>
          <w:rFonts w:ascii="Times New Roman" w:hAnsi="Times New Roman" w:cs="Times New Roman"/>
          <w:lang w:val="de-DE"/>
        </w:rPr>
        <w:t>wird α) die Unendlichkeit als absolute Unruhe, d.h. als Identität, nicht-Identität und wiederhergestellte Identität, gedacht und β) die Bestimmtheit des subjektiven Idealismus (</w:t>
      </w:r>
      <w:r w:rsidRPr="00921BB8">
        <w:rPr>
          <w:rFonts w:ascii="Times New Roman" w:hAnsi="Times New Roman" w:cs="Times New Roman"/>
          <w:i/>
          <w:lang w:val="de-DE"/>
        </w:rPr>
        <w:t>Reflexionsphilosophie</w:t>
      </w:r>
      <w:r w:rsidRPr="00921BB8">
        <w:rPr>
          <w:rFonts w:ascii="Times New Roman" w:hAnsi="Times New Roman" w:cs="Times New Roman"/>
          <w:lang w:val="de-DE"/>
        </w:rPr>
        <w:t xml:space="preserve">) im Absoluten verinnerlicht und in eine dynamische und negative Quelle seiner Auslegung verwandelt. Die Negativität des Absoluten, die das Unbedingte dazu bringt, seine Unbestimmtheit aufzugeben, ist eine entscheidende Bestimmung der Hegelschen Dialektik, die sich auch auf die Auslegung des Böhmeschen Gedankens zurückführen lässt. Sowohl die </w:t>
      </w:r>
      <w:r w:rsidRPr="00921BB8">
        <w:rPr>
          <w:rFonts w:ascii="Times New Roman" w:hAnsi="Times New Roman" w:cs="Times New Roman"/>
          <w:i/>
          <w:lang w:val="de-DE"/>
        </w:rPr>
        <w:t xml:space="preserve">Jenaer Logik und Metaphysik </w:t>
      </w:r>
      <w:r w:rsidRPr="00921BB8">
        <w:rPr>
          <w:rFonts w:ascii="Times New Roman" w:hAnsi="Times New Roman" w:cs="Times New Roman"/>
          <w:lang w:val="de-DE"/>
        </w:rPr>
        <w:t xml:space="preserve">als auch die </w:t>
      </w:r>
      <w:r w:rsidRPr="00921BB8">
        <w:rPr>
          <w:rFonts w:ascii="Times New Roman" w:hAnsi="Times New Roman" w:cs="Times New Roman"/>
          <w:i/>
          <w:lang w:val="de-DE"/>
        </w:rPr>
        <w:t xml:space="preserve">Phänomenologie des Geistes </w:t>
      </w:r>
      <w:r w:rsidRPr="00921BB8">
        <w:rPr>
          <w:rFonts w:ascii="Times New Roman" w:hAnsi="Times New Roman" w:cs="Times New Roman"/>
          <w:lang w:val="de-DE"/>
        </w:rPr>
        <w:t>haben mir geholfen, diese These zu unterstützen: der Zorn Gottes und der Abfall Luzifers</w:t>
      </w:r>
      <w:r w:rsidRPr="00921BB8">
        <w:rPr>
          <w:rFonts w:ascii="Times New Roman" w:hAnsi="Times New Roman" w:cs="Times New Roman"/>
          <w:i/>
          <w:lang w:val="de-DE"/>
        </w:rPr>
        <w:t xml:space="preserve"> </w:t>
      </w:r>
      <w:r w:rsidRPr="00921BB8">
        <w:rPr>
          <w:rFonts w:ascii="Times New Roman" w:hAnsi="Times New Roman" w:cs="Times New Roman"/>
          <w:lang w:val="de-DE"/>
        </w:rPr>
        <w:t xml:space="preserve">spiegeln die einfache Negativität wider, durch die die Substanz sich selbst vermittelt und als </w:t>
      </w:r>
      <w:r w:rsidRPr="00921BB8">
        <w:rPr>
          <w:rFonts w:ascii="Times New Roman" w:hAnsi="Times New Roman" w:cs="Times New Roman"/>
          <w:i/>
          <w:lang w:val="de-DE"/>
        </w:rPr>
        <w:t xml:space="preserve">lebendige Substanz </w:t>
      </w:r>
      <w:r w:rsidRPr="00921BB8">
        <w:rPr>
          <w:rFonts w:ascii="Times New Roman" w:hAnsi="Times New Roman" w:cs="Times New Roman"/>
          <w:lang w:val="de-DE"/>
        </w:rPr>
        <w:t>entwickelt. Die Vermittlung, die einfache und selbst-gerichtete Negativität, die innere Unruhe des Wirklichen, stellen das spekulative Element dar, das Hegel aus dem Denken Böhmes entnommen hat.</w:t>
      </w:r>
    </w:p>
    <w:p w14:paraId="5E4D9FB9" w14:textId="5914E9B6" w:rsidR="001C3D81" w:rsidRPr="00921BB8" w:rsidRDefault="001C3D81" w:rsidP="001C3D81">
      <w:pPr>
        <w:pStyle w:val="Paragrafoelenco"/>
        <w:spacing w:line="360" w:lineRule="auto"/>
        <w:ind w:left="0" w:firstLine="567"/>
        <w:jc w:val="both"/>
        <w:rPr>
          <w:rFonts w:ascii="Times New Roman" w:hAnsi="Times New Roman" w:cs="Times New Roman"/>
          <w:lang w:val="de-DE"/>
        </w:rPr>
      </w:pPr>
      <w:r w:rsidRPr="00921BB8">
        <w:rPr>
          <w:rFonts w:ascii="Times New Roman" w:hAnsi="Times New Roman" w:cs="Times New Roman"/>
          <w:lang w:val="de-DE"/>
        </w:rPr>
        <w:t xml:space="preserve">Die Plausibilität dieser letzteren Behauptung wird durch die Produktion der Nürnberger und Berliner Zeit weiter bestätigt. Insbesondere in der </w:t>
      </w:r>
      <w:r w:rsidRPr="00921BB8">
        <w:rPr>
          <w:rFonts w:ascii="Times New Roman" w:hAnsi="Times New Roman" w:cs="Times New Roman"/>
          <w:i/>
          <w:lang w:val="de-DE"/>
        </w:rPr>
        <w:t xml:space="preserve">Wissenschaft der Logik </w:t>
      </w:r>
      <w:r w:rsidRPr="00921BB8">
        <w:rPr>
          <w:rFonts w:ascii="Times New Roman" w:hAnsi="Times New Roman" w:cs="Times New Roman"/>
          <w:lang w:val="de-DE"/>
        </w:rPr>
        <w:t xml:space="preserve">wiederholen sich die Böhmeschen Elemente, die bereits in den </w:t>
      </w:r>
      <w:r w:rsidRPr="00921BB8">
        <w:rPr>
          <w:rFonts w:ascii="Times New Roman" w:hAnsi="Times New Roman" w:cs="Times New Roman"/>
          <w:i/>
          <w:lang w:val="de-DE"/>
        </w:rPr>
        <w:t xml:space="preserve">Jenaer Schriften </w:t>
      </w:r>
      <w:r w:rsidRPr="00921BB8">
        <w:rPr>
          <w:rFonts w:ascii="Times New Roman" w:hAnsi="Times New Roman" w:cs="Times New Roman"/>
          <w:lang w:val="de-DE"/>
        </w:rPr>
        <w:t xml:space="preserve">im Mittelpunkt standen. Was ich betonen möchte, ist das Fortbestehen eines Einflusses von Jakob Böhme, den Hegel auch in der </w:t>
      </w:r>
      <w:r w:rsidRPr="00921BB8">
        <w:rPr>
          <w:rFonts w:ascii="Times New Roman" w:hAnsi="Times New Roman" w:cs="Times New Roman"/>
          <w:i/>
          <w:lang w:val="de-DE"/>
        </w:rPr>
        <w:t>Wissenschaft der Logik</w:t>
      </w:r>
      <w:r w:rsidRPr="00921BB8">
        <w:rPr>
          <w:rFonts w:ascii="Times New Roman" w:hAnsi="Times New Roman" w:cs="Times New Roman"/>
          <w:lang w:val="de-DE"/>
        </w:rPr>
        <w:t xml:space="preserve"> nicht verleugnen wird. Das Ziel dieses Kapitels besteht darin, die theoretische Wichtigkeit Böhmes für die Hegelsche Logik zu betonen. Es wäre viel einfacher, die äußerliche Übereinstimmung zwischen dem Böhmeschen Werk und der Hegelschen Logik zu zeigen</w:t>
      </w:r>
      <w:r w:rsidR="00B84D58" w:rsidRPr="00921BB8">
        <w:rPr>
          <w:rFonts w:ascii="Times New Roman" w:hAnsi="Times New Roman" w:cs="Times New Roman"/>
          <w:lang w:val="de-DE"/>
        </w:rPr>
        <w:t>. Die Notwendigkeit, diese Interpretation mit einer stringenten Analyse der Texte zu ersetzen, stellt eine dringende Aufgabe für all jene dar, die den wissenschaftlichen Zustand eines Forschungsgebiets wiederherstellen wollen, in dem ein begründeter Skeptizismus besteht</w:t>
      </w:r>
      <w:r w:rsidRPr="00921BB8">
        <w:rPr>
          <w:rStyle w:val="Rimandonotaapidipagina"/>
          <w:rFonts w:ascii="Times New Roman" w:hAnsi="Times New Roman" w:cs="Times New Roman"/>
          <w:lang w:val="de-DE"/>
        </w:rPr>
        <w:footnoteReference w:id="894"/>
      </w:r>
      <w:r w:rsidRPr="00921BB8">
        <w:rPr>
          <w:rFonts w:ascii="Times New Roman" w:hAnsi="Times New Roman" w:cs="Times New Roman"/>
          <w:lang w:val="de-DE"/>
        </w:rPr>
        <w:t xml:space="preserve">. </w:t>
      </w:r>
    </w:p>
    <w:p w14:paraId="62F558F7" w14:textId="77777777" w:rsidR="001C3D81" w:rsidRPr="00921BB8" w:rsidRDefault="001C3D81" w:rsidP="001C3D81">
      <w:pPr>
        <w:spacing w:line="360" w:lineRule="auto"/>
        <w:jc w:val="both"/>
        <w:rPr>
          <w:rFonts w:ascii="Times New Roman" w:eastAsia="Times New Roman" w:hAnsi="Times New Roman" w:cs="Times New Roman"/>
          <w:color w:val="000000"/>
        </w:rPr>
      </w:pPr>
    </w:p>
    <w:p w14:paraId="7962F6FC" w14:textId="77777777" w:rsidR="001C3D81" w:rsidRPr="00921BB8" w:rsidRDefault="001C3D81" w:rsidP="001C3D81">
      <w:pPr>
        <w:pStyle w:val="Paragrafoelenco"/>
        <w:spacing w:line="360" w:lineRule="auto"/>
        <w:ind w:left="0"/>
        <w:jc w:val="both"/>
        <w:rPr>
          <w:rFonts w:ascii="Times New Roman" w:hAnsi="Times New Roman" w:cs="Times New Roman"/>
          <w:i/>
        </w:rPr>
      </w:pPr>
      <w:r w:rsidRPr="00921BB8">
        <w:rPr>
          <w:rFonts w:ascii="Times New Roman" w:hAnsi="Times New Roman" w:cs="Times New Roman"/>
          <w:i/>
        </w:rPr>
        <w:t xml:space="preserve">2.1 „Ein Nichts, aus dem etwas hervorgehen muss”: das Problem des Anfangs in der </w:t>
      </w:r>
      <w:r w:rsidRPr="00921BB8">
        <w:rPr>
          <w:rFonts w:ascii="Times New Roman" w:hAnsi="Times New Roman" w:cs="Times New Roman"/>
        </w:rPr>
        <w:t>Wissenschaft der Logik</w:t>
      </w:r>
    </w:p>
    <w:p w14:paraId="64AA1A08" w14:textId="77777777" w:rsidR="001C3D81" w:rsidRPr="00921BB8" w:rsidRDefault="001C3D81" w:rsidP="001C3D81">
      <w:pPr>
        <w:pStyle w:val="Paragrafoelenco"/>
        <w:spacing w:line="360" w:lineRule="auto"/>
        <w:ind w:left="0"/>
        <w:jc w:val="both"/>
        <w:rPr>
          <w:rFonts w:ascii="Times New Roman" w:hAnsi="Times New Roman" w:cs="Times New Roman"/>
          <w:i/>
        </w:rPr>
      </w:pPr>
    </w:p>
    <w:p w14:paraId="6CB581BD" w14:textId="77777777" w:rsidR="001C3D81" w:rsidRPr="00921BB8" w:rsidRDefault="001C3D81" w:rsidP="001C3D81">
      <w:pPr>
        <w:pStyle w:val="Paragrafoelenco"/>
        <w:spacing w:line="360" w:lineRule="auto"/>
        <w:ind w:left="0" w:firstLine="567"/>
        <w:jc w:val="both"/>
        <w:rPr>
          <w:rFonts w:ascii="Times New Roman" w:eastAsia="Times New Roman" w:hAnsi="Times New Roman" w:cs="Times New Roman"/>
          <w:color w:val="000000"/>
          <w:lang w:val="de-DE"/>
        </w:rPr>
      </w:pPr>
      <w:r w:rsidRPr="00921BB8">
        <w:rPr>
          <w:rFonts w:ascii="Times New Roman" w:hAnsi="Times New Roman" w:cs="Times New Roman"/>
          <w:lang w:val="de-DE"/>
        </w:rPr>
        <w:t xml:space="preserve">In Übereinstimmung mit </w:t>
      </w:r>
      <w:r w:rsidRPr="00921BB8">
        <w:rPr>
          <w:rFonts w:ascii="Times New Roman" w:hAnsi="Times New Roman" w:cs="Times New Roman"/>
          <w:i/>
          <w:lang w:val="de-DE"/>
        </w:rPr>
        <w:t>La Kabbale ou la philosophie religieuse des Hébreu</w:t>
      </w:r>
      <w:r w:rsidRPr="00921BB8">
        <w:rPr>
          <w:rFonts w:ascii="Times New Roman" w:hAnsi="Times New Roman" w:cs="Times New Roman"/>
          <w:lang w:val="de-DE"/>
        </w:rPr>
        <w:t>x von Adolphe Frank</w:t>
      </w:r>
      <w:r w:rsidRPr="00921BB8">
        <w:rPr>
          <w:rStyle w:val="Rimandonotaapidipagina"/>
          <w:rFonts w:ascii="Times New Roman" w:hAnsi="Times New Roman" w:cs="Times New Roman"/>
          <w:lang w:val="de-DE"/>
        </w:rPr>
        <w:footnoteReference w:id="895"/>
      </w:r>
      <w:r w:rsidRPr="00921BB8">
        <w:rPr>
          <w:rFonts w:ascii="Times New Roman" w:hAnsi="Times New Roman" w:cs="Times New Roman"/>
          <w:i/>
          <w:lang w:val="de-DE"/>
        </w:rPr>
        <w:t xml:space="preserve"> </w:t>
      </w:r>
      <w:r w:rsidRPr="00921BB8">
        <w:rPr>
          <w:rFonts w:ascii="Times New Roman" w:hAnsi="Times New Roman" w:cs="Times New Roman"/>
          <w:lang w:val="de-DE"/>
        </w:rPr>
        <w:t>hat Moshe Idel bemerkt</w:t>
      </w:r>
      <w:r w:rsidRPr="00921BB8">
        <w:rPr>
          <w:rFonts w:ascii="Times New Roman" w:hAnsi="Times New Roman" w:cs="Times New Roman"/>
          <w:i/>
          <w:lang w:val="de-DE"/>
        </w:rPr>
        <w:t xml:space="preserve">, </w:t>
      </w:r>
      <w:r w:rsidRPr="00921BB8">
        <w:rPr>
          <w:rFonts w:ascii="Times New Roman" w:hAnsi="Times New Roman" w:cs="Times New Roman"/>
          <w:lang w:val="de-DE"/>
        </w:rPr>
        <w:t>dass „</w:t>
      </w:r>
      <w:r w:rsidRPr="00921BB8">
        <w:rPr>
          <w:rFonts w:ascii="Times New Roman" w:hAnsi="Times New Roman" w:cs="Times New Roman"/>
        </w:rPr>
        <w:t>alcuni concetti che compaiono nell’Idra Zuta – relativi all’Ayin metafisico, al Nihil da cui è stato emanato tutto – e il concetto di tzimtzum appaiano anche in un passo significato di Hegel</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896"/>
      </w:r>
      <w:r w:rsidRPr="00921BB8">
        <w:rPr>
          <w:rFonts w:ascii="Times New Roman" w:eastAsia="Times New Roman" w:hAnsi="Times New Roman" w:cs="Times New Roman"/>
          <w:color w:val="000000"/>
          <w:lang w:val="de-DE"/>
        </w:rPr>
        <w:t xml:space="preserve">. Nach Idel und Franck gibt es einen Einfluss der jüdischen Kabbala auf Hegels </w:t>
      </w:r>
      <w:r w:rsidRPr="00921BB8">
        <w:rPr>
          <w:rFonts w:ascii="Times New Roman" w:eastAsia="Times New Roman" w:hAnsi="Times New Roman" w:cs="Times New Roman"/>
          <w:i/>
          <w:color w:val="000000"/>
          <w:lang w:val="de-DE"/>
        </w:rPr>
        <w:t>Enzyklopädie der philosophischen Wissenschaften</w:t>
      </w:r>
      <w:r w:rsidRPr="00921BB8">
        <w:rPr>
          <w:rFonts w:ascii="Times New Roman" w:eastAsia="Times New Roman" w:hAnsi="Times New Roman" w:cs="Times New Roman"/>
          <w:color w:val="000000"/>
          <w:lang w:val="de-DE"/>
        </w:rPr>
        <w:t>, insbesondere auf die Paragraphen, die dem Sein und dem Nichts gewidmet sind. Die Erfassung «</w:t>
      </w:r>
      <w:r w:rsidRPr="00921BB8">
        <w:rPr>
          <w:rFonts w:ascii="Times New Roman" w:eastAsia="Times New Roman" w:hAnsi="Times New Roman" w:cs="Times New Roman"/>
          <w:color w:val="000000"/>
        </w:rPr>
        <w:t>del pensiero puro come luogo di negatività assoluta» erleuchtet „il nesso tra Hegel e la Qabbalah”</w:t>
      </w:r>
      <w:r w:rsidRPr="00921BB8">
        <w:rPr>
          <w:rStyle w:val="Rimandonotaapidipagina"/>
          <w:rFonts w:ascii="Times New Roman" w:eastAsia="Times New Roman" w:hAnsi="Times New Roman" w:cs="Times New Roman"/>
          <w:color w:val="000000"/>
          <w:lang w:val="de-DE"/>
        </w:rPr>
        <w:footnoteReference w:id="897"/>
      </w:r>
      <w:r w:rsidRPr="00921BB8">
        <w:rPr>
          <w:rFonts w:ascii="Times New Roman" w:eastAsia="Times New Roman" w:hAnsi="Times New Roman" w:cs="Times New Roman"/>
          <w:color w:val="000000"/>
          <w:lang w:val="de-DE"/>
        </w:rPr>
        <w:t>. Idel stellt dann die von Hegel angewendeten Quellen in Frage und sagt uns, dass es nicht möglich sei, die kabbalistischen Texte zu identifizieren, auf die sich die Hegelsche Theorie der absoluten Negativität des reinen Denkens bezogen hat. Ohne die Identifizierung der Quellen läuft die Auslegung Idels Gefahr, in eine Sackgasse zu geraten. Ein möglicher Ausweg aus dieser Sackgasse</w:t>
      </w:r>
      <w:r w:rsidRPr="00921BB8">
        <w:rPr>
          <w:rFonts w:ascii="Times New Roman" w:eastAsia="Times New Roman" w:hAnsi="Times New Roman" w:cs="Times New Roman"/>
          <w:i/>
          <w:color w:val="000000"/>
          <w:lang w:val="de-DE"/>
        </w:rPr>
        <w:t xml:space="preserve"> </w:t>
      </w:r>
      <w:r w:rsidRPr="00921BB8">
        <w:rPr>
          <w:rFonts w:ascii="Times New Roman" w:eastAsia="Times New Roman" w:hAnsi="Times New Roman" w:cs="Times New Roman"/>
          <w:color w:val="000000"/>
          <w:lang w:val="de-DE"/>
        </w:rPr>
        <w:t>wird von Idel selbst aufgezeigt: einige Grundbegriffe des Hegelschen Denkens wurden mittelbar von kabbalistischen Elementen beeinflusst, wie „</w:t>
      </w:r>
      <w:r w:rsidRPr="00921BB8">
        <w:rPr>
          <w:rFonts w:ascii="Times New Roman" w:eastAsia="Times New Roman" w:hAnsi="Times New Roman" w:cs="Times New Roman"/>
          <w:color w:val="000000"/>
        </w:rPr>
        <w:t>le fonti della dialettica hegeliana bene/male in Dio sono state influenzate senz’ombra di dubbio dagli scritti di Jakob Böhme […] e che le fonti stesse di Böhme sono state riferite da altri studiosi alla Qabbalah”</w:t>
      </w:r>
      <w:r w:rsidRPr="00921BB8">
        <w:rPr>
          <w:rStyle w:val="Rimandonotaapidipagina"/>
          <w:rFonts w:ascii="Times New Roman" w:eastAsia="Times New Roman" w:hAnsi="Times New Roman" w:cs="Times New Roman"/>
          <w:color w:val="000000"/>
          <w:lang w:val="de-DE"/>
        </w:rPr>
        <w:footnoteReference w:id="898"/>
      </w:r>
      <w:r w:rsidRPr="00921BB8">
        <w:rPr>
          <w:rFonts w:ascii="Times New Roman" w:eastAsia="Times New Roman" w:hAnsi="Times New Roman" w:cs="Times New Roman"/>
          <w:color w:val="000000"/>
          <w:lang w:val="de-DE"/>
        </w:rPr>
        <w:t>. Wenn der Böhmesche Gedanke als Medium der kabbalistischen Theorie des Guten und Bösen betrachtet werden kann, warum k</w:t>
      </w:r>
      <w:r w:rsidRPr="00921BB8">
        <w:rPr>
          <w:rFonts w:ascii="Times New Roman" w:eastAsia="Times New Roman" w:hAnsi="Times New Roman" w:cs="Times New Roman"/>
          <w:color w:val="000000"/>
        </w:rPr>
        <w:t>ann</w:t>
      </w:r>
      <w:r w:rsidRPr="00921BB8">
        <w:rPr>
          <w:rFonts w:ascii="Times New Roman" w:eastAsia="Times New Roman" w:hAnsi="Times New Roman" w:cs="Times New Roman"/>
          <w:color w:val="000000"/>
          <w:lang w:val="de-DE"/>
        </w:rPr>
        <w:t xml:space="preserve"> er ebendarum als christliche Quelle der kabbalistischen Negativität des reinen Denkens angesehen werden? Nach Idel ist es nicht möglich, Böhme als Verbindungsglied zwischen der Hegelschen Logik und der jüdischen Mystik anzusehen, weil „</w:t>
      </w:r>
      <w:r w:rsidRPr="00921BB8">
        <w:rPr>
          <w:rFonts w:ascii="Times New Roman" w:eastAsia="Times New Roman" w:hAnsi="Times New Roman" w:cs="Times New Roman"/>
          <w:color w:val="000000"/>
        </w:rPr>
        <w:t>nell’opera di Böhme non vi è traccia della connessione fra negatività e pensiero puro”</w:t>
      </w:r>
      <w:r w:rsidRPr="00921BB8">
        <w:rPr>
          <w:rStyle w:val="Rimandonotaapidipagina"/>
          <w:rFonts w:ascii="Times New Roman" w:eastAsia="Times New Roman" w:hAnsi="Times New Roman" w:cs="Times New Roman"/>
          <w:color w:val="000000"/>
          <w:lang w:val="de-DE"/>
        </w:rPr>
        <w:footnoteReference w:id="899"/>
      </w:r>
      <w:r w:rsidRPr="00921BB8">
        <w:rPr>
          <w:rFonts w:ascii="Times New Roman" w:eastAsia="Times New Roman" w:hAnsi="Times New Roman" w:cs="Times New Roman"/>
          <w:color w:val="000000"/>
          <w:lang w:val="de-DE"/>
        </w:rPr>
        <w:t xml:space="preserve">. Im Gegenteil entspricht die Böhme-Rezeption der </w:t>
      </w:r>
      <w:r w:rsidRPr="00921BB8">
        <w:rPr>
          <w:rFonts w:ascii="Times New Roman" w:eastAsia="Times New Roman" w:hAnsi="Times New Roman" w:cs="Times New Roman"/>
          <w:i/>
          <w:color w:val="000000"/>
          <w:lang w:val="de-DE"/>
        </w:rPr>
        <w:t>Jenaer Schriften</w:t>
      </w:r>
      <w:r w:rsidRPr="00921BB8">
        <w:rPr>
          <w:rFonts w:ascii="Times New Roman" w:eastAsia="Times New Roman" w:hAnsi="Times New Roman" w:cs="Times New Roman"/>
          <w:color w:val="000000"/>
          <w:lang w:val="de-DE"/>
        </w:rPr>
        <w:t xml:space="preserve"> der von Idel betonten kabbalistischen Theorie der Negativität des reinen Denkens: Hegel hat das Böhmesche Denken – insbesondere die Böhmeschen Vorstellungen, die dem jüdischen Mystizismus näher sind – in der Richtung der kabbalistischen Theorie der absoluten Negativität des reinen Denkens ausgelegt. Ich sehe die Idee Idels eines Einflusses der Kabbala auf die Hegelsche Logik philosophisch als legitim an, solange die Böhmesrezeption der Jenaer Zeit beibehalten wird.</w:t>
      </w:r>
    </w:p>
    <w:p w14:paraId="0A3F31E4" w14:textId="470FAE7E" w:rsidR="001C3D81" w:rsidRPr="00921BB8" w:rsidRDefault="001C3D81" w:rsidP="001C3D81">
      <w:pPr>
        <w:pStyle w:val="Paragrafoelenco"/>
        <w:spacing w:line="360" w:lineRule="auto"/>
        <w:ind w:left="0" w:firstLine="567"/>
        <w:jc w:val="both"/>
        <w:rPr>
          <w:rFonts w:ascii="Times New Roman" w:eastAsia="Times New Roman" w:hAnsi="Times New Roman" w:cs="Times New Roman"/>
          <w:color w:val="000000"/>
          <w:lang w:val="de-DE"/>
        </w:rPr>
      </w:pPr>
      <w:r w:rsidRPr="00921BB8">
        <w:rPr>
          <w:rFonts w:ascii="Times New Roman" w:eastAsia="Times New Roman" w:hAnsi="Times New Roman" w:cs="Times New Roman"/>
          <w:color w:val="000000"/>
          <w:lang w:val="de-DE"/>
        </w:rPr>
        <w:t xml:space="preserve">Nach dieser langen Prämisse beginnt unsere Analyse der </w:t>
      </w:r>
      <w:r w:rsidRPr="00921BB8">
        <w:rPr>
          <w:rFonts w:ascii="Times New Roman" w:eastAsia="Times New Roman" w:hAnsi="Times New Roman" w:cs="Times New Roman"/>
          <w:i/>
          <w:color w:val="000000"/>
          <w:lang w:val="de-DE"/>
        </w:rPr>
        <w:t>Wissenschaft der Logik</w:t>
      </w:r>
      <w:r w:rsidRPr="00921BB8">
        <w:rPr>
          <w:rFonts w:ascii="Times New Roman" w:eastAsia="Times New Roman" w:hAnsi="Times New Roman" w:cs="Times New Roman"/>
          <w:color w:val="000000"/>
          <w:lang w:val="de-DE"/>
        </w:rPr>
        <w:t xml:space="preserve">. Dank seiner Unbestimmtheit entspricht das reine Sein </w:t>
      </w:r>
      <w:r w:rsidR="000D60FC" w:rsidRPr="000D60FC">
        <w:rPr>
          <w:rFonts w:ascii="Times New Roman" w:eastAsia="Times New Roman" w:hAnsi="Times New Roman" w:cs="Times New Roman"/>
          <w:color w:val="000000"/>
          <w:lang w:val="de-DE"/>
        </w:rPr>
        <w:t>dem</w:t>
      </w:r>
      <w:r w:rsidRPr="000D60FC">
        <w:rPr>
          <w:rFonts w:ascii="Times New Roman" w:eastAsia="Times New Roman" w:hAnsi="Times New Roman" w:cs="Times New Roman"/>
          <w:color w:val="000000"/>
          <w:lang w:val="de-DE"/>
        </w:rPr>
        <w:t xml:space="preserve"> Erfordernis</w:t>
      </w:r>
      <w:r w:rsidRPr="00921BB8">
        <w:rPr>
          <w:rFonts w:ascii="Times New Roman" w:eastAsia="Times New Roman" w:hAnsi="Times New Roman" w:cs="Times New Roman"/>
          <w:color w:val="000000"/>
          <w:lang w:val="de-DE"/>
        </w:rPr>
        <w:t xml:space="preserve"> des Anfangs der Wissenschaft: es ist in der Tat die einfachste Denkbestimmung, die „der Natur des Anfangs selbst</w:t>
      </w:r>
      <w:r w:rsidRPr="00921BB8">
        <w:rPr>
          <w:rFonts w:ascii="Times New Roman" w:eastAsia="Times New Roman" w:hAnsi="Times New Roman" w:cs="Times New Roman"/>
          <w:color w:val="000000"/>
        </w:rPr>
        <w:t xml:space="preserve">” </w:t>
      </w:r>
      <w:r w:rsidRPr="00921BB8">
        <w:rPr>
          <w:rStyle w:val="Rimandonotaapidipagina"/>
          <w:rFonts w:ascii="Times New Roman" w:eastAsia="Times New Roman" w:hAnsi="Times New Roman" w:cs="Times New Roman"/>
          <w:color w:val="000000"/>
          <w:lang w:val="de-DE"/>
        </w:rPr>
        <w:footnoteReference w:id="900"/>
      </w:r>
      <w:r w:rsidRPr="00921BB8">
        <w:rPr>
          <w:rFonts w:ascii="Times New Roman" w:eastAsia="Times New Roman" w:hAnsi="Times New Roman" w:cs="Times New Roman"/>
          <w:color w:val="000000"/>
        </w:rPr>
        <w:t xml:space="preserve"> </w:t>
      </w:r>
      <w:r w:rsidRPr="00921BB8">
        <w:rPr>
          <w:rFonts w:ascii="Times New Roman" w:eastAsia="Times New Roman" w:hAnsi="Times New Roman" w:cs="Times New Roman"/>
          <w:color w:val="000000"/>
          <w:lang w:val="de-DE"/>
        </w:rPr>
        <w:t xml:space="preserve">gehört. Die Unbestimmtheit des Anfangs muß nicht als eine bloße Abstraktion betrachtet werden, von der nichts abgeleitet werden kann: der Übergang vom Sein zum Nichts (die zweite Denkbestimmung, die mit dem reinen Sein identisch ist) und vom Nichts zum Sein ist das, was Hegel als </w:t>
      </w:r>
      <w:r w:rsidRPr="00921BB8">
        <w:rPr>
          <w:rFonts w:ascii="Times New Roman" w:eastAsia="Times New Roman" w:hAnsi="Times New Roman" w:cs="Times New Roman"/>
          <w:i/>
          <w:color w:val="000000"/>
          <w:lang w:val="de-DE"/>
        </w:rPr>
        <w:t xml:space="preserve">Werden </w:t>
      </w:r>
      <w:r w:rsidRPr="00921BB8">
        <w:rPr>
          <w:rFonts w:ascii="Times New Roman" w:eastAsia="Times New Roman" w:hAnsi="Times New Roman" w:cs="Times New Roman"/>
          <w:color w:val="000000"/>
          <w:lang w:val="de-DE"/>
        </w:rPr>
        <w:t>definiert</w:t>
      </w:r>
      <w:r w:rsidRPr="00921BB8">
        <w:rPr>
          <w:rStyle w:val="Rimandonotaapidipagina"/>
          <w:rFonts w:ascii="Times New Roman" w:eastAsia="Times New Roman" w:hAnsi="Times New Roman" w:cs="Times New Roman"/>
          <w:color w:val="000000"/>
          <w:lang w:val="de-DE"/>
        </w:rPr>
        <w:footnoteReference w:id="901"/>
      </w:r>
      <w:r w:rsidRPr="00921BB8">
        <w:rPr>
          <w:rFonts w:ascii="Times New Roman" w:eastAsia="Times New Roman" w:hAnsi="Times New Roman" w:cs="Times New Roman"/>
          <w:color w:val="000000"/>
          <w:lang w:val="de-DE"/>
        </w:rPr>
        <w:t>. Im Werden richtet das Sein sich an das Nichts und das Nichts an das Sein. Zunächst stabilisiert dieser Unterschied der Bestimmungen (sie bewegen sich in unterschiedliche Richtungen) sich nicht: das Werden ist nichts anderes als eine „haltungslose Unruhe</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902"/>
      </w:r>
      <w:r w:rsidRPr="00921BB8">
        <w:rPr>
          <w:rFonts w:ascii="Times New Roman" w:eastAsia="Times New Roman" w:hAnsi="Times New Roman" w:cs="Times New Roman"/>
          <w:color w:val="000000"/>
        </w:rPr>
        <w:t xml:space="preserve">, </w:t>
      </w:r>
      <w:r w:rsidRPr="00921BB8">
        <w:rPr>
          <w:rFonts w:ascii="Times New Roman" w:eastAsia="Times New Roman" w:hAnsi="Times New Roman" w:cs="Times New Roman"/>
          <w:color w:val="000000"/>
          <w:lang w:val="de-DE"/>
        </w:rPr>
        <w:t>als eine unmittelbare Verschwindung der Denkbestimmungen. Das Anhalten dieser haltungslosen Unruhe</w:t>
      </w:r>
      <w:r w:rsidRPr="00921BB8">
        <w:rPr>
          <w:rFonts w:ascii="Times New Roman" w:eastAsia="Times New Roman" w:hAnsi="Times New Roman" w:cs="Times New Roman"/>
          <w:i/>
          <w:color w:val="000000"/>
          <w:lang w:val="de-DE"/>
        </w:rPr>
        <w:t xml:space="preserve"> </w:t>
      </w:r>
      <w:r w:rsidRPr="00921BB8">
        <w:rPr>
          <w:rFonts w:ascii="Times New Roman" w:eastAsia="Times New Roman" w:hAnsi="Times New Roman" w:cs="Times New Roman"/>
          <w:color w:val="000000"/>
          <w:lang w:val="de-DE"/>
        </w:rPr>
        <w:t>findet</w:t>
      </w:r>
      <w:r w:rsidRPr="00921BB8">
        <w:rPr>
          <w:rFonts w:ascii="Times New Roman" w:eastAsia="Times New Roman" w:hAnsi="Times New Roman" w:cs="Times New Roman"/>
          <w:i/>
          <w:color w:val="000000"/>
          <w:lang w:val="de-DE"/>
        </w:rPr>
        <w:t xml:space="preserve"> </w:t>
      </w:r>
      <w:r w:rsidRPr="00921BB8">
        <w:rPr>
          <w:rFonts w:ascii="Times New Roman" w:eastAsia="Times New Roman" w:hAnsi="Times New Roman" w:cs="Times New Roman"/>
          <w:color w:val="000000"/>
          <w:lang w:val="de-DE"/>
        </w:rPr>
        <w:t xml:space="preserve">in der Rückgewinnung des Unterschieds zwischen Sein und Nichts statt: die Denkbestimmungen beschreiben eine gegensätzliche Bewegung (vom Sein zum Nichts und vom Nichts zum Sein), durch die sie ihre Einheit und ihren Unterschied geltend machen. Was an sich </w:t>
      </w:r>
      <w:r w:rsidRPr="00921BB8">
        <w:rPr>
          <w:rFonts w:ascii="Times New Roman" w:eastAsia="Times New Roman" w:hAnsi="Times New Roman" w:cs="Times New Roman"/>
          <w:i/>
          <w:color w:val="000000"/>
          <w:lang w:val="de-DE"/>
        </w:rPr>
        <w:t xml:space="preserve">entgegengesetzte </w:t>
      </w:r>
      <w:r w:rsidRPr="00921BB8">
        <w:rPr>
          <w:rFonts w:ascii="Times New Roman" w:eastAsia="Times New Roman" w:hAnsi="Times New Roman" w:cs="Times New Roman"/>
          <w:color w:val="000000"/>
          <w:lang w:val="de-DE"/>
        </w:rPr>
        <w:t>Begriffe enthält, widerspricht sich selbst und hebt sich selbst auf</w:t>
      </w:r>
      <w:r w:rsidRPr="00921BB8">
        <w:rPr>
          <w:rFonts w:ascii="Times New Roman" w:eastAsia="Times New Roman" w:hAnsi="Times New Roman" w:cs="Times New Roman"/>
          <w:color w:val="000000"/>
          <w:sz w:val="20"/>
          <w:szCs w:val="20"/>
          <w:lang w:val="de-DE"/>
        </w:rPr>
        <w:t xml:space="preserve">. </w:t>
      </w:r>
      <w:r w:rsidRPr="00921BB8">
        <w:rPr>
          <w:rFonts w:ascii="Times New Roman" w:eastAsia="Times New Roman" w:hAnsi="Times New Roman" w:cs="Times New Roman"/>
          <w:color w:val="000000"/>
          <w:lang w:val="de-DE"/>
        </w:rPr>
        <w:t>Der Widerspruch entfernt eine instabile Dynamik weg und lässt ein „Daseyn</w:t>
      </w:r>
      <w:r w:rsidRPr="00921BB8">
        <w:rPr>
          <w:rFonts w:ascii="Times New Roman" w:eastAsia="Times New Roman" w:hAnsi="Times New Roman" w:cs="Times New Roman"/>
          <w:color w:val="000000"/>
        </w:rPr>
        <w:t>”</w:t>
      </w:r>
      <w:r w:rsidRPr="00921BB8">
        <w:rPr>
          <w:rFonts w:ascii="Times New Roman" w:eastAsia="Times New Roman" w:hAnsi="Times New Roman" w:cs="Times New Roman"/>
          <w:color w:val="000000"/>
          <w:lang w:val="de-DE"/>
        </w:rPr>
        <w:t>, oder ein „Seyn mit einem Nichtseyn</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sz w:val="20"/>
          <w:szCs w:val="20"/>
          <w:lang w:val="de-DE"/>
        </w:rPr>
        <w:footnoteReference w:id="903"/>
      </w:r>
      <w:r w:rsidRPr="00921BB8">
        <w:rPr>
          <w:rFonts w:ascii="Times New Roman" w:eastAsia="Times New Roman" w:hAnsi="Times New Roman" w:cs="Times New Roman"/>
          <w:color w:val="000000"/>
        </w:rPr>
        <w:t xml:space="preserve"> entstehen</w:t>
      </w:r>
      <w:r w:rsidRPr="00921BB8">
        <w:rPr>
          <w:rFonts w:ascii="Times New Roman" w:eastAsia="Times New Roman" w:hAnsi="Times New Roman" w:cs="Times New Roman"/>
          <w:color w:val="000000"/>
          <w:sz w:val="20"/>
          <w:szCs w:val="20"/>
          <w:lang w:val="de-DE"/>
        </w:rPr>
        <w:t xml:space="preserve">. </w:t>
      </w:r>
      <w:r w:rsidRPr="00921BB8">
        <w:rPr>
          <w:rFonts w:ascii="Times New Roman" w:eastAsia="Times New Roman" w:hAnsi="Times New Roman" w:cs="Times New Roman"/>
          <w:color w:val="000000"/>
          <w:lang w:val="de-DE"/>
        </w:rPr>
        <w:t xml:space="preserve">Das Aufheben erfordert eine Bewahrung der überwundenen Termini in den folgenden und komplexeren Denkbestimmungen. In diesem Fall stellt das Übergehen und Verschwinden – die erste und unzureichende Form von logischer Negativität – einer Denkbestimmung in ihr Anderssein das Kennzeichen dar, das der Anfang auf die gesamte Sphäre des Seins prägt. Die Überwindung des Untergehens der Denkbestimmungen der </w:t>
      </w:r>
      <w:r w:rsidRPr="00921BB8">
        <w:rPr>
          <w:rFonts w:ascii="Times New Roman" w:eastAsia="Times New Roman" w:hAnsi="Times New Roman" w:cs="Times New Roman"/>
          <w:i/>
          <w:color w:val="000000"/>
          <w:lang w:val="de-DE"/>
        </w:rPr>
        <w:t>Logik des Seins</w:t>
      </w:r>
      <w:r w:rsidRPr="00921BB8">
        <w:rPr>
          <w:rFonts w:ascii="Times New Roman" w:eastAsia="Times New Roman" w:hAnsi="Times New Roman" w:cs="Times New Roman"/>
          <w:color w:val="000000"/>
          <w:lang w:val="de-DE"/>
        </w:rPr>
        <w:t xml:space="preserve"> hängt von der Erfassung einer Theorie der Negativitat ab, die das Negative als </w:t>
      </w:r>
      <w:r w:rsidRPr="00921BB8">
        <w:rPr>
          <w:rFonts w:ascii="Times New Roman" w:eastAsia="Times New Roman" w:hAnsi="Times New Roman" w:cs="Times New Roman"/>
          <w:i/>
          <w:color w:val="000000"/>
          <w:lang w:val="de-DE"/>
        </w:rPr>
        <w:t>Vermittlung</w:t>
      </w:r>
      <w:r w:rsidRPr="00921BB8">
        <w:rPr>
          <w:rFonts w:ascii="Times New Roman" w:eastAsia="Times New Roman" w:hAnsi="Times New Roman" w:cs="Times New Roman"/>
          <w:color w:val="000000"/>
          <w:lang w:val="de-DE"/>
        </w:rPr>
        <w:t>, als „innere Abstoßen</w:t>
      </w:r>
      <w:r w:rsidRPr="00921BB8">
        <w:rPr>
          <w:rFonts w:ascii="Times New Roman" w:eastAsia="Times New Roman" w:hAnsi="Times New Roman" w:cs="Times New Roman"/>
          <w:color w:val="000000"/>
        </w:rPr>
        <w:t xml:space="preserve">” </w:t>
      </w:r>
      <w:r w:rsidRPr="00921BB8">
        <w:rPr>
          <w:rFonts w:ascii="Times New Roman" w:eastAsia="Times New Roman" w:hAnsi="Times New Roman" w:cs="Times New Roman"/>
          <w:color w:val="000000"/>
          <w:lang w:val="de-DE"/>
        </w:rPr>
        <w:t>betrachtet, d.h. „es Reflexion in sich, unmittelbar sich in sich zurücknehmendes Abstoßen ist</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sz w:val="20"/>
          <w:szCs w:val="20"/>
          <w:lang w:val="de-DE"/>
        </w:rPr>
        <w:footnoteReference w:id="904"/>
      </w:r>
      <w:r w:rsidRPr="00921BB8">
        <w:rPr>
          <w:rFonts w:ascii="Times New Roman" w:eastAsia="Times New Roman" w:hAnsi="Times New Roman" w:cs="Times New Roman"/>
          <w:color w:val="000000"/>
          <w:sz w:val="20"/>
          <w:szCs w:val="20"/>
          <w:lang w:val="de-DE"/>
        </w:rPr>
        <w:t xml:space="preserve">. </w:t>
      </w:r>
    </w:p>
    <w:p w14:paraId="35699F9E" w14:textId="77777777" w:rsidR="001C3D81" w:rsidRPr="00921BB8" w:rsidRDefault="001C3D81" w:rsidP="001C3D81">
      <w:pPr>
        <w:pStyle w:val="Paragrafoelenco"/>
        <w:ind w:left="0"/>
        <w:jc w:val="both"/>
        <w:rPr>
          <w:rFonts w:ascii="Times New Roman" w:hAnsi="Times New Roman" w:cs="Times New Roman"/>
          <w:i/>
        </w:rPr>
      </w:pPr>
    </w:p>
    <w:p w14:paraId="301D352F" w14:textId="77777777" w:rsidR="001C3D81" w:rsidRPr="00921BB8" w:rsidRDefault="001C3D81" w:rsidP="001C3D81">
      <w:pPr>
        <w:pStyle w:val="Paragrafoelenco"/>
        <w:spacing w:line="360" w:lineRule="auto"/>
        <w:ind w:left="0"/>
        <w:jc w:val="both"/>
        <w:rPr>
          <w:rFonts w:ascii="Times New Roman" w:hAnsi="Times New Roman" w:cs="Times New Roman"/>
          <w:lang w:val="de-DE"/>
        </w:rPr>
      </w:pPr>
      <w:r w:rsidRPr="00921BB8">
        <w:rPr>
          <w:rFonts w:ascii="Times New Roman" w:hAnsi="Times New Roman" w:cs="Times New Roman"/>
          <w:i/>
          <w:lang w:val="de-DE"/>
        </w:rPr>
        <w:t xml:space="preserve">2.2 Determinatio est negatio und Inqualierung. Spinoza und Böhme in der </w:t>
      </w:r>
      <w:r w:rsidRPr="00921BB8">
        <w:rPr>
          <w:rFonts w:ascii="Times New Roman" w:hAnsi="Times New Roman" w:cs="Times New Roman"/>
          <w:lang w:val="de-DE"/>
        </w:rPr>
        <w:t>Logik des Seins</w:t>
      </w:r>
    </w:p>
    <w:p w14:paraId="6B8E1C2C" w14:textId="77777777" w:rsidR="001C3D81" w:rsidRPr="00921BB8" w:rsidRDefault="001C3D81" w:rsidP="001C3D81">
      <w:pPr>
        <w:pStyle w:val="Paragrafoelenco"/>
        <w:spacing w:line="360" w:lineRule="auto"/>
        <w:ind w:left="0"/>
        <w:jc w:val="both"/>
        <w:rPr>
          <w:rFonts w:ascii="Times New Roman" w:hAnsi="Times New Roman" w:cs="Times New Roman"/>
          <w:lang w:val="de-DE"/>
        </w:rPr>
      </w:pPr>
    </w:p>
    <w:p w14:paraId="45DBA47E" w14:textId="77777777" w:rsidR="001C3D81" w:rsidRPr="00921BB8" w:rsidRDefault="001C3D81" w:rsidP="001C3D81">
      <w:pPr>
        <w:pStyle w:val="Paragrafoelenco"/>
        <w:spacing w:line="360" w:lineRule="auto"/>
        <w:ind w:left="0" w:firstLine="567"/>
        <w:jc w:val="both"/>
        <w:rPr>
          <w:rFonts w:ascii="Times New Roman" w:eastAsia="Times New Roman" w:hAnsi="Times New Roman" w:cs="Times New Roman"/>
          <w:color w:val="000000"/>
          <w:lang w:val="de-DE"/>
        </w:rPr>
      </w:pPr>
      <w:r w:rsidRPr="00921BB8">
        <w:rPr>
          <w:rFonts w:ascii="Times New Roman" w:eastAsia="Times New Roman" w:hAnsi="Times New Roman" w:cs="Times New Roman"/>
          <w:color w:val="000000"/>
          <w:lang w:val="de-DE"/>
        </w:rPr>
        <w:t xml:space="preserve">Die </w:t>
      </w:r>
      <w:r w:rsidRPr="00921BB8">
        <w:rPr>
          <w:rFonts w:ascii="Times New Roman" w:eastAsia="Times New Roman" w:hAnsi="Times New Roman" w:cs="Times New Roman"/>
          <w:i/>
          <w:color w:val="000000"/>
          <w:lang w:val="de-DE"/>
        </w:rPr>
        <w:t>Wesenslogik</w:t>
      </w:r>
      <w:r w:rsidRPr="00921BB8">
        <w:rPr>
          <w:rFonts w:ascii="Times New Roman" w:eastAsia="Times New Roman" w:hAnsi="Times New Roman" w:cs="Times New Roman"/>
          <w:color w:val="000000"/>
          <w:lang w:val="de-DE"/>
        </w:rPr>
        <w:t xml:space="preserve"> scheint</w:t>
      </w:r>
      <w:r w:rsidRPr="00921BB8">
        <w:rPr>
          <w:rFonts w:ascii="Times New Roman" w:eastAsia="Times New Roman" w:hAnsi="Times New Roman" w:cs="Times New Roman"/>
          <w:i/>
          <w:color w:val="000000"/>
          <w:lang w:val="de-DE"/>
        </w:rPr>
        <w:t xml:space="preserve"> </w:t>
      </w:r>
      <w:r w:rsidRPr="00921BB8">
        <w:rPr>
          <w:rFonts w:ascii="Times New Roman" w:eastAsia="Times New Roman" w:hAnsi="Times New Roman" w:cs="Times New Roman"/>
          <w:color w:val="000000"/>
          <w:lang w:val="de-DE"/>
        </w:rPr>
        <w:t xml:space="preserve">den geeigneten spekulativen Rahmen zu bieten, um einen Begriff von Unruhe abzuleiten, der die Haltungslosigkeit des Negativen (wie in der </w:t>
      </w:r>
      <w:r w:rsidRPr="00921BB8">
        <w:rPr>
          <w:rFonts w:ascii="Times New Roman" w:eastAsia="Times New Roman" w:hAnsi="Times New Roman" w:cs="Times New Roman"/>
          <w:i/>
          <w:color w:val="000000"/>
          <w:lang w:val="de-DE"/>
        </w:rPr>
        <w:t>Logik des Seins</w:t>
      </w:r>
      <w:r w:rsidRPr="00921BB8">
        <w:rPr>
          <w:rFonts w:ascii="Times New Roman" w:eastAsia="Times New Roman" w:hAnsi="Times New Roman" w:cs="Times New Roman"/>
          <w:color w:val="000000"/>
          <w:lang w:val="de-DE"/>
        </w:rPr>
        <w:t xml:space="preserve">) aufheben kann. Hegel führt das Thema eigentlich bereits in der </w:t>
      </w:r>
      <w:r w:rsidRPr="00921BB8">
        <w:rPr>
          <w:rFonts w:ascii="Times New Roman" w:eastAsia="Times New Roman" w:hAnsi="Times New Roman" w:cs="Times New Roman"/>
          <w:i/>
          <w:color w:val="000000"/>
          <w:lang w:val="de-DE"/>
        </w:rPr>
        <w:t xml:space="preserve">Anmerkung </w:t>
      </w:r>
      <w:r w:rsidRPr="00921BB8">
        <w:rPr>
          <w:rFonts w:ascii="Times New Roman" w:eastAsia="Times New Roman" w:hAnsi="Times New Roman" w:cs="Times New Roman"/>
          <w:color w:val="000000"/>
          <w:lang w:val="de-DE"/>
        </w:rPr>
        <w:t xml:space="preserve">zur </w:t>
      </w:r>
      <w:r w:rsidRPr="00921BB8">
        <w:rPr>
          <w:rFonts w:ascii="Times New Roman" w:eastAsia="Times New Roman" w:hAnsi="Times New Roman" w:cs="Times New Roman"/>
          <w:i/>
          <w:color w:val="000000"/>
          <w:lang w:val="de-DE"/>
        </w:rPr>
        <w:t xml:space="preserve">Qualität </w:t>
      </w:r>
      <w:r w:rsidRPr="00921BB8">
        <w:rPr>
          <w:rFonts w:ascii="Times New Roman" w:eastAsia="Times New Roman" w:hAnsi="Times New Roman" w:cs="Times New Roman"/>
          <w:color w:val="000000"/>
          <w:lang w:val="de-DE"/>
        </w:rPr>
        <w:t>ein:</w:t>
      </w:r>
    </w:p>
    <w:p w14:paraId="16424DD1" w14:textId="77777777" w:rsidR="001C3D81" w:rsidRPr="00921BB8" w:rsidRDefault="001C3D81" w:rsidP="001C3D81">
      <w:pPr>
        <w:pStyle w:val="Paragrafoelenco"/>
        <w:spacing w:line="360" w:lineRule="auto"/>
        <w:ind w:left="708" w:firstLine="567"/>
        <w:jc w:val="both"/>
        <w:rPr>
          <w:rFonts w:ascii="Times New Roman" w:eastAsia="Times New Roman" w:hAnsi="Times New Roman" w:cs="Times New Roman"/>
          <w:color w:val="000000"/>
          <w:lang w:val="de-DE"/>
        </w:rPr>
      </w:pPr>
    </w:p>
    <w:p w14:paraId="08B00ED1" w14:textId="77777777" w:rsidR="001C3D81" w:rsidRPr="00921BB8" w:rsidRDefault="001C3D81" w:rsidP="001C3D81">
      <w:pPr>
        <w:spacing w:line="360" w:lineRule="auto"/>
        <w:ind w:left="567"/>
        <w:jc w:val="both"/>
        <w:rPr>
          <w:rFonts w:ascii="Times New Roman" w:eastAsia="Times New Roman" w:hAnsi="Times New Roman" w:cs="Times New Roman"/>
          <w:color w:val="000000"/>
          <w:sz w:val="20"/>
          <w:szCs w:val="20"/>
          <w:lang w:val="de-DE"/>
        </w:rPr>
      </w:pPr>
      <w:r w:rsidRPr="00921BB8">
        <w:rPr>
          <w:rFonts w:ascii="Times New Roman" w:eastAsia="Times New Roman" w:hAnsi="Times New Roman" w:cs="Times New Roman"/>
          <w:color w:val="000000"/>
          <w:sz w:val="20"/>
          <w:szCs w:val="20"/>
          <w:lang w:val="de-DE"/>
        </w:rPr>
        <w:t>Die Qualierung oder Inqualierung einer in die Tiefe aber in eine trübe Tiefe gehenden Philosophie, bezieht sich auf die Bestimmtheit, insofern sie an sich, aber zugleich ein Anderes an sich ist; oder auf die nähere Natur des Gegensatzes, wie er im Wesen ist, insofern er die innere Natur der Qualität und wesentlich ihre Selbstbewegung in sich ausmacht. Die Qualierung bedeutet daher in jener Philosophie die Bewegung einer Bestimmtheit in ihr selbst, insofern sie in ihrer negativen Natur (ihr Qual) sich aus anderem setzt und befestigt, überhaupt die Unruhe ihrer an ihr selbst, nach der sie nur im Kampfe sich hervorbringt und erhält</w:t>
      </w:r>
      <w:r w:rsidRPr="00921BB8">
        <w:rPr>
          <w:rStyle w:val="Rimandonotaapidipagina"/>
          <w:rFonts w:ascii="Times New Roman" w:eastAsia="Times New Roman" w:hAnsi="Times New Roman" w:cs="Times New Roman"/>
          <w:color w:val="000000"/>
          <w:sz w:val="20"/>
          <w:szCs w:val="20"/>
          <w:lang w:val="de-DE"/>
        </w:rPr>
        <w:footnoteReference w:id="905"/>
      </w:r>
      <w:r w:rsidRPr="00921BB8">
        <w:rPr>
          <w:rFonts w:ascii="Times New Roman" w:eastAsia="Times New Roman" w:hAnsi="Times New Roman" w:cs="Times New Roman"/>
          <w:color w:val="000000"/>
          <w:sz w:val="20"/>
          <w:szCs w:val="20"/>
          <w:lang w:val="de-DE"/>
        </w:rPr>
        <w:t>.</w:t>
      </w:r>
    </w:p>
    <w:p w14:paraId="65350AC4" w14:textId="77777777" w:rsidR="001C3D81" w:rsidRPr="00921BB8" w:rsidRDefault="001C3D81" w:rsidP="001C3D81">
      <w:pPr>
        <w:spacing w:line="360" w:lineRule="auto"/>
        <w:ind w:firstLine="567"/>
        <w:jc w:val="both"/>
        <w:rPr>
          <w:rFonts w:ascii="Times New Roman" w:eastAsia="Times New Roman" w:hAnsi="Times New Roman" w:cs="Times New Roman"/>
          <w:color w:val="000000"/>
          <w:lang w:val="de-DE"/>
        </w:rPr>
      </w:pPr>
    </w:p>
    <w:p w14:paraId="3EEAECCD" w14:textId="147142AA" w:rsidR="001C3D81" w:rsidRPr="00921BB8" w:rsidRDefault="001C3D81" w:rsidP="001C3D81">
      <w:pPr>
        <w:pStyle w:val="Paragrafoelenco"/>
        <w:spacing w:line="360" w:lineRule="auto"/>
        <w:ind w:left="0" w:firstLine="567"/>
        <w:jc w:val="both"/>
        <w:rPr>
          <w:rFonts w:ascii="Times New Roman" w:eastAsia="Times New Roman" w:hAnsi="Times New Roman" w:cs="Times New Roman"/>
          <w:color w:val="000000"/>
          <w:lang w:val="de-DE"/>
        </w:rPr>
      </w:pPr>
      <w:r w:rsidRPr="00921BB8">
        <w:rPr>
          <w:rFonts w:ascii="Times New Roman" w:eastAsia="Times New Roman" w:hAnsi="Times New Roman" w:cs="Times New Roman"/>
          <w:color w:val="000000"/>
          <w:lang w:val="de-DE"/>
        </w:rPr>
        <w:t>Die Inqualierung</w:t>
      </w:r>
      <w:r w:rsidRPr="00921BB8">
        <w:rPr>
          <w:rFonts w:ascii="Times New Roman" w:eastAsia="Times New Roman" w:hAnsi="Times New Roman" w:cs="Times New Roman"/>
          <w:i/>
          <w:color w:val="000000"/>
          <w:lang w:val="de-DE"/>
        </w:rPr>
        <w:t xml:space="preserve"> </w:t>
      </w:r>
      <w:r w:rsidRPr="00921BB8">
        <w:rPr>
          <w:rFonts w:ascii="Times New Roman" w:eastAsia="Times New Roman" w:hAnsi="Times New Roman" w:cs="Times New Roman"/>
          <w:color w:val="000000"/>
          <w:lang w:val="de-DE"/>
        </w:rPr>
        <w:t xml:space="preserve">ist eine Böhmesche Bestimmung, das Ergebnis eines trüben Denkens, das noch nicht durch die vernünftige Erkenntnis erhellt wird. Im Vergleich zur qualitativen Auffassung der Negation drückt die Inqualierung die Natur des Gegensatzes aus, wie er im </w:t>
      </w:r>
      <w:r w:rsidRPr="00921BB8">
        <w:rPr>
          <w:rFonts w:ascii="Times New Roman" w:eastAsia="Times New Roman" w:hAnsi="Times New Roman" w:cs="Times New Roman"/>
          <w:i/>
          <w:color w:val="000000"/>
          <w:lang w:val="de-DE"/>
        </w:rPr>
        <w:t xml:space="preserve">Wesen </w:t>
      </w:r>
      <w:r w:rsidRPr="00921BB8">
        <w:rPr>
          <w:rFonts w:ascii="Times New Roman" w:eastAsia="Times New Roman" w:hAnsi="Times New Roman" w:cs="Times New Roman"/>
          <w:color w:val="000000"/>
          <w:lang w:val="de-DE"/>
        </w:rPr>
        <w:t xml:space="preserve">ist. Die </w:t>
      </w:r>
      <w:r w:rsidRPr="00921BB8">
        <w:rPr>
          <w:rFonts w:ascii="Times New Roman" w:eastAsia="Times New Roman" w:hAnsi="Times New Roman" w:cs="Times New Roman"/>
          <w:i/>
          <w:color w:val="000000"/>
          <w:lang w:val="de-DE"/>
        </w:rPr>
        <w:t>Selbstbewegung</w:t>
      </w:r>
      <w:r w:rsidRPr="00921BB8">
        <w:rPr>
          <w:rFonts w:ascii="Times New Roman" w:eastAsia="Times New Roman" w:hAnsi="Times New Roman" w:cs="Times New Roman"/>
          <w:color w:val="000000"/>
          <w:lang w:val="de-DE"/>
        </w:rPr>
        <w:t xml:space="preserve">, die </w:t>
      </w:r>
      <w:r w:rsidRPr="00921BB8">
        <w:rPr>
          <w:rFonts w:ascii="Times New Roman" w:eastAsia="Times New Roman" w:hAnsi="Times New Roman" w:cs="Times New Roman"/>
          <w:i/>
          <w:color w:val="000000"/>
          <w:lang w:val="de-DE"/>
        </w:rPr>
        <w:t>negative Natur</w:t>
      </w:r>
      <w:r w:rsidRPr="00921BB8">
        <w:rPr>
          <w:rFonts w:ascii="Times New Roman" w:eastAsia="Times New Roman" w:hAnsi="Times New Roman" w:cs="Times New Roman"/>
          <w:color w:val="000000"/>
          <w:lang w:val="de-DE"/>
        </w:rPr>
        <w:t xml:space="preserve"> (ihre Qual) und die </w:t>
      </w:r>
      <w:r w:rsidRPr="00921BB8">
        <w:rPr>
          <w:rFonts w:ascii="Times New Roman" w:eastAsia="Times New Roman" w:hAnsi="Times New Roman" w:cs="Times New Roman"/>
          <w:i/>
          <w:color w:val="000000"/>
          <w:lang w:val="de-DE"/>
        </w:rPr>
        <w:t xml:space="preserve">Unruhe </w:t>
      </w:r>
      <w:r w:rsidRPr="00921BB8">
        <w:rPr>
          <w:rFonts w:ascii="Times New Roman" w:eastAsia="Times New Roman" w:hAnsi="Times New Roman" w:cs="Times New Roman"/>
          <w:color w:val="000000"/>
          <w:lang w:val="de-DE"/>
        </w:rPr>
        <w:t xml:space="preserve">einer Bestimmtheit spiegeln keinen abstrakten Gegensatz zwischen einem Positiven und einem Negativen, sondern eine Dynamik des Sich-selbst-setzens als Anderssein (das Positive setzt sich als das Negative) und der Reflektion des Andersseins in sich selbst (das Negative </w:t>
      </w:r>
      <w:r w:rsidR="00C618A2">
        <w:rPr>
          <w:rFonts w:ascii="Times New Roman" w:eastAsia="Times New Roman" w:hAnsi="Times New Roman" w:cs="Times New Roman"/>
          <w:color w:val="000000"/>
          <w:lang w:val="de-DE"/>
        </w:rPr>
        <w:t>setzt sich als das Positive) wi</w:t>
      </w:r>
      <w:r w:rsidRPr="00921BB8">
        <w:rPr>
          <w:rFonts w:ascii="Times New Roman" w:eastAsia="Times New Roman" w:hAnsi="Times New Roman" w:cs="Times New Roman"/>
          <w:color w:val="000000"/>
          <w:lang w:val="de-DE"/>
        </w:rPr>
        <w:t xml:space="preserve">der. Die </w:t>
      </w:r>
      <w:r w:rsidRPr="00921BB8">
        <w:rPr>
          <w:rFonts w:ascii="Times New Roman" w:eastAsia="Times New Roman" w:hAnsi="Times New Roman" w:cs="Times New Roman"/>
          <w:i/>
          <w:color w:val="000000"/>
          <w:lang w:val="de-DE"/>
        </w:rPr>
        <w:t xml:space="preserve">Logik des Seyns </w:t>
      </w:r>
      <w:r w:rsidRPr="00921BB8">
        <w:rPr>
          <w:rFonts w:ascii="Times New Roman" w:eastAsia="Times New Roman" w:hAnsi="Times New Roman" w:cs="Times New Roman"/>
          <w:color w:val="000000"/>
          <w:lang w:val="de-DE"/>
        </w:rPr>
        <w:t>zeigt bereits die Inqualierung</w:t>
      </w:r>
      <w:r w:rsidRPr="00921BB8">
        <w:rPr>
          <w:rFonts w:ascii="Times New Roman" w:eastAsia="Times New Roman" w:hAnsi="Times New Roman" w:cs="Times New Roman"/>
          <w:i/>
          <w:color w:val="000000"/>
          <w:lang w:val="de-DE"/>
        </w:rPr>
        <w:t xml:space="preserve"> </w:t>
      </w:r>
      <w:r w:rsidRPr="00921BB8">
        <w:rPr>
          <w:rFonts w:ascii="Times New Roman" w:eastAsia="Times New Roman" w:hAnsi="Times New Roman" w:cs="Times New Roman"/>
          <w:color w:val="000000"/>
          <w:lang w:val="de-DE"/>
        </w:rPr>
        <w:t>als Überwindung des Spinozistischen Standpunktes: in einer folgenden Anmerkung,</w:t>
      </w:r>
      <w:r w:rsidRPr="00921BB8">
        <w:rPr>
          <w:rFonts w:ascii="Times New Roman" w:eastAsia="Times New Roman" w:hAnsi="Times New Roman" w:cs="Times New Roman"/>
          <w:i/>
          <w:color w:val="000000"/>
          <w:lang w:val="de-DE"/>
        </w:rPr>
        <w:t xml:space="preserve"> </w:t>
      </w:r>
      <w:r w:rsidRPr="00921BB8">
        <w:rPr>
          <w:rFonts w:ascii="Times New Roman" w:eastAsia="Times New Roman" w:hAnsi="Times New Roman" w:cs="Times New Roman"/>
          <w:color w:val="000000"/>
          <w:lang w:val="de-DE"/>
        </w:rPr>
        <w:t xml:space="preserve">die sich inhaltlich mit der Böhmeschen Theorie der Inqualierung verbunden ist, betont Hegel die Grenze des Spinozistischen Prinzips </w:t>
      </w:r>
      <w:r w:rsidRPr="00921BB8">
        <w:rPr>
          <w:rFonts w:ascii="Times New Roman" w:eastAsia="Times New Roman" w:hAnsi="Times New Roman" w:cs="Times New Roman"/>
          <w:i/>
          <w:color w:val="000000"/>
          <w:lang w:val="de-DE"/>
        </w:rPr>
        <w:t>determinatio est negatio</w:t>
      </w:r>
      <w:r w:rsidRPr="00921BB8">
        <w:rPr>
          <w:rFonts w:ascii="Times New Roman" w:eastAsia="Times New Roman" w:hAnsi="Times New Roman" w:cs="Times New Roman"/>
          <w:color w:val="000000"/>
          <w:lang w:val="de-DE"/>
        </w:rPr>
        <w:t>.</w:t>
      </w:r>
      <w:r w:rsidRPr="00921BB8">
        <w:rPr>
          <w:rFonts w:ascii="Times New Roman" w:eastAsia="Times New Roman" w:hAnsi="Times New Roman" w:cs="Times New Roman"/>
          <w:i/>
          <w:color w:val="000000"/>
          <w:lang w:val="de-DE"/>
        </w:rPr>
        <w:t xml:space="preserve"> </w:t>
      </w:r>
      <w:r w:rsidRPr="00921BB8">
        <w:rPr>
          <w:rFonts w:ascii="Times New Roman" w:eastAsia="Times New Roman" w:hAnsi="Times New Roman" w:cs="Times New Roman"/>
          <w:color w:val="000000"/>
          <w:lang w:val="de-DE"/>
        </w:rPr>
        <w:t xml:space="preserve">Da die Negation Bestimmtheit oder Qualität ist, bleibt die </w:t>
      </w:r>
      <w:r w:rsidRPr="00921BB8">
        <w:rPr>
          <w:rFonts w:ascii="Times New Roman" w:eastAsia="Times New Roman" w:hAnsi="Times New Roman" w:cs="Times New Roman"/>
          <w:i/>
          <w:color w:val="000000"/>
          <w:lang w:val="de-DE"/>
        </w:rPr>
        <w:t>unendliche</w:t>
      </w:r>
      <w:r w:rsidRPr="00921BB8">
        <w:rPr>
          <w:rFonts w:ascii="Times New Roman" w:eastAsia="Times New Roman" w:hAnsi="Times New Roman" w:cs="Times New Roman"/>
          <w:color w:val="000000"/>
          <w:lang w:val="de-DE"/>
        </w:rPr>
        <w:t xml:space="preserve"> Substanz unbestimmt. Die substantielle Einheit folgt gemäß des Spinozismus als „notwendige Consequenz</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906"/>
      </w:r>
      <w:r w:rsidRPr="00921BB8">
        <w:rPr>
          <w:rFonts w:ascii="Times New Roman" w:eastAsia="Times New Roman" w:hAnsi="Times New Roman" w:cs="Times New Roman"/>
          <w:color w:val="000000"/>
          <w:lang w:val="de-DE"/>
        </w:rPr>
        <w:t>. Wenn die Attribute und Modi ein Für-sich-sein geltend machen könnten, wären sie Bestimmtheiten der Substanz. Die Substanz muss aber ein reines Positives bleiben, das den „Gegensatz des Positiven und Negativen [...] wie er im Wesen ist</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907"/>
      </w:r>
      <w:r w:rsidRPr="00921BB8">
        <w:rPr>
          <w:rFonts w:ascii="Times New Roman" w:eastAsia="Times New Roman" w:hAnsi="Times New Roman" w:cs="Times New Roman"/>
          <w:color w:val="000000"/>
        </w:rPr>
        <w:t xml:space="preserve"> nicht begreifen kann</w:t>
      </w:r>
      <w:r w:rsidRPr="00921BB8">
        <w:rPr>
          <w:rFonts w:ascii="Times New Roman" w:eastAsia="Times New Roman" w:hAnsi="Times New Roman" w:cs="Times New Roman"/>
          <w:color w:val="000000"/>
          <w:lang w:val="de-DE"/>
        </w:rPr>
        <w:t>.</w:t>
      </w:r>
    </w:p>
    <w:p w14:paraId="558B4804" w14:textId="77777777" w:rsidR="001C3D81" w:rsidRPr="00921BB8" w:rsidRDefault="001C3D81" w:rsidP="001C3D81">
      <w:pPr>
        <w:pStyle w:val="Paragrafoelenco"/>
        <w:spacing w:line="360" w:lineRule="auto"/>
        <w:ind w:left="0" w:firstLine="567"/>
        <w:jc w:val="both"/>
        <w:rPr>
          <w:rFonts w:ascii="Times New Roman" w:eastAsia="Times New Roman" w:hAnsi="Times New Roman" w:cs="Times New Roman"/>
          <w:color w:val="000000"/>
          <w:lang w:val="de-DE"/>
        </w:rPr>
      </w:pPr>
      <w:r w:rsidRPr="00921BB8">
        <w:rPr>
          <w:rFonts w:ascii="Times New Roman" w:eastAsia="Times New Roman" w:hAnsi="Times New Roman" w:cs="Times New Roman"/>
          <w:color w:val="000000"/>
          <w:lang w:val="de-DE"/>
        </w:rPr>
        <w:t>Wenn die Inqualierung</w:t>
      </w:r>
      <w:r w:rsidRPr="00921BB8">
        <w:rPr>
          <w:rFonts w:ascii="Times New Roman" w:eastAsia="Times New Roman" w:hAnsi="Times New Roman" w:cs="Times New Roman"/>
          <w:i/>
          <w:color w:val="000000"/>
          <w:lang w:val="de-DE"/>
        </w:rPr>
        <w:t xml:space="preserve"> </w:t>
      </w:r>
      <w:r w:rsidRPr="00921BB8">
        <w:rPr>
          <w:rFonts w:ascii="Times New Roman" w:eastAsia="Times New Roman" w:hAnsi="Times New Roman" w:cs="Times New Roman"/>
          <w:color w:val="000000"/>
          <w:lang w:val="de-DE"/>
        </w:rPr>
        <w:t xml:space="preserve">einen Fortschritt gegenüber der Spinozistischen Substanz darstellt, warum hat Hegel die zwei Momente nicht in einer einzigen Anmerkung eingesetzt? Diese Frage wird in der zweiten Ausgabe der </w:t>
      </w:r>
      <w:r w:rsidRPr="00921BB8">
        <w:rPr>
          <w:rFonts w:ascii="Times New Roman" w:eastAsia="Times New Roman" w:hAnsi="Times New Roman" w:cs="Times New Roman"/>
          <w:i/>
          <w:color w:val="000000"/>
          <w:lang w:val="de-DE"/>
        </w:rPr>
        <w:t>Logik des Seyns</w:t>
      </w:r>
      <w:r w:rsidRPr="00921BB8">
        <w:rPr>
          <w:rFonts w:ascii="Times New Roman" w:eastAsia="Times New Roman" w:hAnsi="Times New Roman" w:cs="Times New Roman"/>
          <w:color w:val="000000"/>
          <w:lang w:val="de-DE"/>
        </w:rPr>
        <w:t xml:space="preserve"> beantwortet. Nach der Diskussion des Spinozistischen Prinzips </w:t>
      </w:r>
      <w:r w:rsidRPr="00921BB8">
        <w:rPr>
          <w:rFonts w:ascii="Times New Roman" w:eastAsia="Times New Roman" w:hAnsi="Times New Roman" w:cs="Times New Roman"/>
          <w:i/>
          <w:color w:val="000000"/>
          <w:lang w:val="de-DE"/>
        </w:rPr>
        <w:t>determinatio est negatio</w:t>
      </w:r>
      <w:r w:rsidRPr="00921BB8">
        <w:rPr>
          <w:rFonts w:ascii="Times New Roman" w:eastAsia="Times New Roman" w:hAnsi="Times New Roman" w:cs="Times New Roman"/>
          <w:color w:val="000000"/>
          <w:lang w:val="de-DE"/>
        </w:rPr>
        <w:t xml:space="preserve"> – die sich mit denselben theoretischen Punkten der ersten Ausgabe befasst – führt Hegel die Böhmesche Theorie der Inqualierung als Überwindung des bloßen qualitativen</w:t>
      </w:r>
      <w:r w:rsidRPr="00921BB8">
        <w:rPr>
          <w:rFonts w:ascii="Times New Roman" w:eastAsia="Times New Roman" w:hAnsi="Times New Roman" w:cs="Times New Roman"/>
          <w:i/>
          <w:color w:val="000000"/>
          <w:lang w:val="de-DE"/>
        </w:rPr>
        <w:t xml:space="preserve"> </w:t>
      </w:r>
      <w:r w:rsidRPr="00921BB8">
        <w:rPr>
          <w:rFonts w:ascii="Times New Roman" w:eastAsia="Times New Roman" w:hAnsi="Times New Roman" w:cs="Times New Roman"/>
          <w:color w:val="000000"/>
          <w:lang w:val="de-DE"/>
        </w:rPr>
        <w:t>Verständnisses der Bestimmtheit ein:</w:t>
      </w:r>
      <w:r w:rsidRPr="00921BB8">
        <w:rPr>
          <w:rFonts w:ascii="Times New Roman" w:eastAsia="Times New Roman" w:hAnsi="Times New Roman" w:cs="Times New Roman"/>
          <w:i/>
          <w:color w:val="000000"/>
          <w:lang w:val="de-DE"/>
        </w:rPr>
        <w:t xml:space="preserve"> </w:t>
      </w:r>
    </w:p>
    <w:p w14:paraId="5B56AF99" w14:textId="77777777" w:rsidR="001C3D81" w:rsidRPr="00921BB8" w:rsidRDefault="001C3D81" w:rsidP="001C3D81">
      <w:pPr>
        <w:pStyle w:val="Paragrafoelenco"/>
        <w:spacing w:line="360" w:lineRule="auto"/>
        <w:ind w:left="567" w:firstLine="567"/>
        <w:jc w:val="both"/>
        <w:rPr>
          <w:rFonts w:ascii="Times New Roman" w:eastAsia="Times New Roman" w:hAnsi="Times New Roman" w:cs="Times New Roman"/>
          <w:color w:val="000000"/>
          <w:lang w:val="de-DE"/>
        </w:rPr>
      </w:pPr>
    </w:p>
    <w:p w14:paraId="279B5ADF" w14:textId="77777777" w:rsidR="001C3D81" w:rsidRPr="00921BB8" w:rsidRDefault="001C3D81" w:rsidP="001C3D81">
      <w:pPr>
        <w:pStyle w:val="Paragrafoelenco"/>
        <w:spacing w:line="360" w:lineRule="auto"/>
        <w:ind w:left="567"/>
        <w:jc w:val="both"/>
        <w:rPr>
          <w:rFonts w:ascii="Times New Roman" w:eastAsia="Times New Roman" w:hAnsi="Times New Roman" w:cs="Times New Roman"/>
          <w:color w:val="000000"/>
          <w:sz w:val="20"/>
          <w:szCs w:val="20"/>
          <w:lang w:val="de-DE"/>
        </w:rPr>
      </w:pPr>
      <w:r w:rsidRPr="00921BB8">
        <w:rPr>
          <w:rFonts w:ascii="Times New Roman" w:eastAsia="Times New Roman" w:hAnsi="Times New Roman" w:cs="Times New Roman"/>
          <w:color w:val="000000"/>
          <w:sz w:val="20"/>
          <w:szCs w:val="20"/>
          <w:lang w:val="de-DE"/>
        </w:rPr>
        <w:t>Die Qualierung oder Inqualierung, ein Ausdruck der Jakob Böhmischen, einer in die Tiefe aber in eine trübe Tiefe gehenden Philosophie, bedeutet die Bewegung einer Qualität (der sauren, herben, feurigen usf.) in ihr selbst, insofern sie in ihrer negativen Natur (in ihrer Qual) sich aus anderem setzt und befestigt, überhaupt die Unruhe ihrer an ihr selbst, nach der sie nur im Kampfe sich hervorbringt und erhält</w:t>
      </w:r>
      <w:r w:rsidRPr="00921BB8">
        <w:rPr>
          <w:rStyle w:val="Rimandonotaapidipagina"/>
          <w:rFonts w:ascii="Times New Roman" w:eastAsia="Times New Roman" w:hAnsi="Times New Roman" w:cs="Times New Roman"/>
          <w:color w:val="000000"/>
          <w:sz w:val="20"/>
          <w:szCs w:val="20"/>
          <w:lang w:val="de-DE"/>
        </w:rPr>
        <w:footnoteReference w:id="908"/>
      </w:r>
      <w:r w:rsidRPr="00921BB8">
        <w:rPr>
          <w:rFonts w:ascii="Times New Roman" w:eastAsia="Times New Roman" w:hAnsi="Times New Roman" w:cs="Times New Roman"/>
          <w:color w:val="000000"/>
          <w:sz w:val="20"/>
          <w:szCs w:val="20"/>
          <w:lang w:val="de-DE"/>
        </w:rPr>
        <w:t xml:space="preserve">. </w:t>
      </w:r>
    </w:p>
    <w:p w14:paraId="0DF9F222" w14:textId="77777777" w:rsidR="001C3D81" w:rsidRPr="00921BB8" w:rsidRDefault="001C3D81" w:rsidP="001C3D81">
      <w:pPr>
        <w:pStyle w:val="Paragrafoelenco"/>
        <w:spacing w:line="360" w:lineRule="auto"/>
        <w:ind w:left="0" w:firstLine="567"/>
        <w:jc w:val="both"/>
        <w:rPr>
          <w:rFonts w:ascii="Times New Roman" w:eastAsia="Times New Roman" w:hAnsi="Times New Roman" w:cs="Times New Roman"/>
          <w:color w:val="000000"/>
          <w:lang w:val="de-DE"/>
        </w:rPr>
      </w:pPr>
    </w:p>
    <w:p w14:paraId="48CAC304" w14:textId="7B40EC1E" w:rsidR="001C3D81" w:rsidRPr="00921BB8" w:rsidRDefault="001C3D81" w:rsidP="001C3D81">
      <w:pPr>
        <w:pStyle w:val="Paragrafoelenco"/>
        <w:spacing w:line="360" w:lineRule="auto"/>
        <w:ind w:left="0" w:firstLine="567"/>
        <w:jc w:val="both"/>
        <w:rPr>
          <w:rFonts w:ascii="Times New Roman" w:eastAsia="Times New Roman" w:hAnsi="Times New Roman" w:cs="Times New Roman"/>
          <w:color w:val="000000"/>
          <w:lang w:val="de-DE"/>
        </w:rPr>
      </w:pPr>
      <w:r w:rsidRPr="00921BB8">
        <w:rPr>
          <w:rFonts w:ascii="Times New Roman" w:eastAsia="Times New Roman" w:hAnsi="Times New Roman" w:cs="Times New Roman"/>
          <w:color w:val="000000"/>
          <w:lang w:val="de-DE"/>
        </w:rPr>
        <w:t xml:space="preserve">Die Inqualierung erklärt die </w:t>
      </w:r>
      <w:r w:rsidRPr="00921BB8">
        <w:rPr>
          <w:rFonts w:ascii="Times New Roman" w:eastAsia="Times New Roman" w:hAnsi="Times New Roman" w:cs="Times New Roman"/>
          <w:i/>
          <w:color w:val="000000"/>
          <w:lang w:val="de-DE"/>
        </w:rPr>
        <w:t>Bewegung</w:t>
      </w:r>
      <w:r w:rsidRPr="00921BB8">
        <w:rPr>
          <w:rFonts w:ascii="Times New Roman" w:eastAsia="Times New Roman" w:hAnsi="Times New Roman" w:cs="Times New Roman"/>
          <w:color w:val="000000"/>
          <w:lang w:val="de-DE"/>
        </w:rPr>
        <w:t xml:space="preserve"> einer Qualität in sich selbst, die Hervorbringung ihrer selbst durch den Kampf mit ihrem Anderssein. Die Hinweise auf den </w:t>
      </w:r>
      <w:r w:rsidRPr="00921BB8">
        <w:rPr>
          <w:rFonts w:ascii="Times New Roman" w:eastAsia="Times New Roman" w:hAnsi="Times New Roman" w:cs="Times New Roman"/>
          <w:i/>
          <w:color w:val="000000"/>
          <w:lang w:val="de-DE"/>
        </w:rPr>
        <w:t xml:space="preserve">Gegensatz </w:t>
      </w:r>
      <w:r w:rsidRPr="00921BB8">
        <w:rPr>
          <w:rFonts w:ascii="Times New Roman" w:eastAsia="Times New Roman" w:hAnsi="Times New Roman" w:cs="Times New Roman"/>
          <w:color w:val="000000"/>
          <w:lang w:val="de-DE"/>
        </w:rPr>
        <w:t xml:space="preserve">und das </w:t>
      </w:r>
      <w:r w:rsidRPr="00921BB8">
        <w:rPr>
          <w:rFonts w:ascii="Times New Roman" w:eastAsia="Times New Roman" w:hAnsi="Times New Roman" w:cs="Times New Roman"/>
          <w:i/>
          <w:color w:val="000000"/>
          <w:lang w:val="de-DE"/>
        </w:rPr>
        <w:t>Wesen</w:t>
      </w:r>
      <w:r w:rsidRPr="00921BB8">
        <w:rPr>
          <w:rFonts w:ascii="Times New Roman" w:eastAsia="Times New Roman" w:hAnsi="Times New Roman" w:cs="Times New Roman"/>
          <w:color w:val="000000"/>
          <w:lang w:val="de-DE"/>
        </w:rPr>
        <w:t xml:space="preserve">, die in der ersten Ausgabe der </w:t>
      </w:r>
      <w:r w:rsidRPr="00921BB8">
        <w:rPr>
          <w:rFonts w:ascii="Times New Roman" w:eastAsia="Times New Roman" w:hAnsi="Times New Roman" w:cs="Times New Roman"/>
          <w:i/>
          <w:color w:val="000000"/>
          <w:lang w:val="de-DE"/>
        </w:rPr>
        <w:t>Logik des Seyns</w:t>
      </w:r>
      <w:r w:rsidRPr="00921BB8">
        <w:rPr>
          <w:rFonts w:ascii="Times New Roman" w:eastAsia="Times New Roman" w:hAnsi="Times New Roman" w:cs="Times New Roman"/>
          <w:color w:val="000000"/>
          <w:lang w:val="de-DE"/>
        </w:rPr>
        <w:t xml:space="preserve"> enthalten waren, werden jetzt ausgelassen. Diese Veränderungen des Textes wurden – wenn auch nicht korrekt – von einigen Kritikern übernommen. Alexander Glenn Magee denkt, dass die von Hegel entfernten Zeilen nur „the more opaque lines</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909"/>
      </w:r>
      <w:r w:rsidRPr="00921BB8">
        <w:rPr>
          <w:rFonts w:ascii="Times New Roman" w:eastAsia="Times New Roman" w:hAnsi="Times New Roman" w:cs="Times New Roman"/>
          <w:color w:val="000000"/>
          <w:lang w:val="de-DE"/>
        </w:rPr>
        <w:t xml:space="preserve"> seiner Argumentation sind. Es ist klar, dass eine so oberflächliche Analyse, die in keinem Verhältnis zur inneren Struktur der Logik steht, auf keinen Fall die theoretische Bedeutung dieser Umschreibung verstehen kann. Auch Cecelia Muratori hat eine Interpretationshypothese zu den zwei Fassungen der Böhmeschen Inqualierung entwickelt</w:t>
      </w:r>
      <w:r w:rsidRPr="00921BB8">
        <w:rPr>
          <w:rStyle w:val="Rimandonotaapidipagina"/>
          <w:rFonts w:ascii="Times New Roman" w:eastAsia="Times New Roman" w:hAnsi="Times New Roman" w:cs="Times New Roman"/>
          <w:color w:val="000000"/>
          <w:lang w:val="de-DE"/>
        </w:rPr>
        <w:footnoteReference w:id="910"/>
      </w:r>
      <w:r w:rsidRPr="00921BB8">
        <w:rPr>
          <w:rFonts w:ascii="Times New Roman" w:eastAsia="Times New Roman" w:hAnsi="Times New Roman" w:cs="Times New Roman"/>
          <w:color w:val="000000"/>
          <w:lang w:val="de-DE"/>
        </w:rPr>
        <w:t xml:space="preserve">. Nach Muratori zeigt die Umschreibung dieser Passage eine fortschreitende Erweiterung der Hegelschen Bekanntschaft mit den Werken Böhmes. Es scheint mir jedoch, dass diese Analyse sich keine Frage zum spekulativen Wert dieser </w:t>
      </w:r>
      <w:r w:rsidRPr="00921BB8">
        <w:rPr>
          <w:rFonts w:ascii="Times New Roman" w:eastAsia="Times New Roman" w:hAnsi="Times New Roman" w:cs="Times New Roman"/>
          <w:i/>
          <w:color w:val="000000"/>
          <w:lang w:val="de-DE"/>
        </w:rPr>
        <w:t>Anmerkungen</w:t>
      </w:r>
      <w:r w:rsidRPr="00921BB8">
        <w:rPr>
          <w:rFonts w:ascii="Times New Roman" w:eastAsia="Times New Roman" w:hAnsi="Times New Roman" w:cs="Times New Roman"/>
          <w:color w:val="000000"/>
          <w:lang w:val="de-DE"/>
        </w:rPr>
        <w:t xml:space="preserve"> stellt: es geht einfach um einen beschränkten Inhalt (die Bewegung der Qualität), der nur mit präziseren Bestimmungen aus den Schriften Böhmes dargestellt wird. Ich finde, dass die zwei Fassungen auf ein Bedürfnis nach theoretischer Ordnung hinweisen, die in der </w:t>
      </w:r>
      <w:r w:rsidRPr="00921BB8">
        <w:rPr>
          <w:rFonts w:ascii="Times New Roman" w:eastAsia="Times New Roman" w:hAnsi="Times New Roman" w:cs="Times New Roman"/>
          <w:i/>
          <w:color w:val="000000"/>
          <w:lang w:val="de-DE"/>
        </w:rPr>
        <w:t>Logik des Seins</w:t>
      </w:r>
      <w:r w:rsidRPr="00921BB8">
        <w:rPr>
          <w:rFonts w:ascii="Times New Roman" w:eastAsia="Times New Roman" w:hAnsi="Times New Roman" w:cs="Times New Roman"/>
          <w:color w:val="000000"/>
          <w:lang w:val="de-DE"/>
        </w:rPr>
        <w:t xml:space="preserve"> (1832) bereits spürbar ist und in der </w:t>
      </w:r>
      <w:r w:rsidRPr="00921BB8">
        <w:rPr>
          <w:rFonts w:ascii="Times New Roman" w:eastAsia="Times New Roman" w:hAnsi="Times New Roman" w:cs="Times New Roman"/>
          <w:i/>
          <w:color w:val="000000"/>
          <w:lang w:val="de-DE"/>
        </w:rPr>
        <w:t>Wesenslogik</w:t>
      </w:r>
      <w:r w:rsidRPr="00921BB8">
        <w:rPr>
          <w:rFonts w:ascii="Times New Roman" w:eastAsia="Times New Roman" w:hAnsi="Times New Roman" w:cs="Times New Roman"/>
          <w:color w:val="000000"/>
          <w:lang w:val="de-DE"/>
        </w:rPr>
        <w:t xml:space="preserve"> –aufgrund des Todes Hegels – nicht mehr weitergeführt werden konnte. Da die Logik sich rekursiv entwickelt</w:t>
      </w:r>
      <w:r w:rsidRPr="00921BB8">
        <w:rPr>
          <w:rStyle w:val="Rimandonotaapidipagina"/>
          <w:rFonts w:ascii="Times New Roman" w:eastAsia="Times New Roman" w:hAnsi="Times New Roman" w:cs="Times New Roman"/>
          <w:color w:val="000000"/>
          <w:lang w:val="de-DE"/>
        </w:rPr>
        <w:footnoteReference w:id="911"/>
      </w:r>
      <w:r w:rsidRPr="00921BB8">
        <w:rPr>
          <w:rFonts w:ascii="Times New Roman" w:eastAsia="Times New Roman" w:hAnsi="Times New Roman" w:cs="Times New Roman"/>
          <w:color w:val="000000"/>
          <w:lang w:val="de-DE"/>
        </w:rPr>
        <w:t xml:space="preserve">, scheint es mir plausibel, dass die Thematisierung eines Inhaltes zu einer niedrigeren Stufe der logischen Entwicklung sein Wiedererscheinen in einer höheren und symmetrischen Entwicklungsstufe nicht verhindert. Die Frage nach der Negativität, die sich als Auseinandersetzung zwischen zwei gegensätzlichen Theorien der </w:t>
      </w:r>
      <w:r w:rsidRPr="00921BB8">
        <w:rPr>
          <w:rFonts w:ascii="Times New Roman" w:eastAsia="Times New Roman" w:hAnsi="Times New Roman" w:cs="Times New Roman"/>
          <w:i/>
          <w:color w:val="000000"/>
          <w:lang w:val="de-DE"/>
        </w:rPr>
        <w:t xml:space="preserve">Bestimmtheit </w:t>
      </w:r>
      <w:r w:rsidRPr="00921BB8">
        <w:rPr>
          <w:rFonts w:ascii="Times New Roman" w:eastAsia="Times New Roman" w:hAnsi="Times New Roman" w:cs="Times New Roman"/>
          <w:color w:val="000000"/>
          <w:lang w:val="de-DE"/>
        </w:rPr>
        <w:t xml:space="preserve">(Qualität) darstellt, hätte damit eine theoretisch spiegelbildliche Systematisierung in der (neuen und nicht geschriebenen) </w:t>
      </w:r>
      <w:r w:rsidRPr="00921BB8">
        <w:rPr>
          <w:rFonts w:ascii="Times New Roman" w:eastAsia="Times New Roman" w:hAnsi="Times New Roman" w:cs="Times New Roman"/>
          <w:i/>
          <w:color w:val="000000"/>
          <w:lang w:val="de-DE"/>
        </w:rPr>
        <w:t>Wesenslogik</w:t>
      </w:r>
      <w:r w:rsidRPr="00921BB8">
        <w:rPr>
          <w:rFonts w:ascii="Times New Roman" w:eastAsia="Times New Roman" w:hAnsi="Times New Roman" w:cs="Times New Roman"/>
          <w:color w:val="000000"/>
          <w:lang w:val="de-DE"/>
        </w:rPr>
        <w:t xml:space="preserve"> gefunden. Es findet sich ein Beweis dieser Hypothese in der </w:t>
      </w:r>
      <w:r w:rsidR="00140AA8" w:rsidRPr="00921BB8">
        <w:rPr>
          <w:rFonts w:ascii="Times New Roman" w:eastAsia="Times New Roman" w:hAnsi="Times New Roman" w:cs="Times New Roman"/>
          <w:color w:val="000000"/>
          <w:lang w:val="de-DE"/>
        </w:rPr>
        <w:t xml:space="preserve">uns überlieferten </w:t>
      </w:r>
      <w:r w:rsidRPr="00921BB8">
        <w:rPr>
          <w:rFonts w:ascii="Times New Roman" w:eastAsia="Times New Roman" w:hAnsi="Times New Roman" w:cs="Times New Roman"/>
          <w:color w:val="000000"/>
          <w:lang w:val="de-DE"/>
        </w:rPr>
        <w:t xml:space="preserve">Ausgabe der </w:t>
      </w:r>
      <w:r w:rsidRPr="00921BB8">
        <w:rPr>
          <w:rFonts w:ascii="Times New Roman" w:eastAsia="Times New Roman" w:hAnsi="Times New Roman" w:cs="Times New Roman"/>
          <w:i/>
          <w:color w:val="000000"/>
          <w:lang w:val="de-DE"/>
        </w:rPr>
        <w:t>Wesenslogik</w:t>
      </w:r>
      <w:r w:rsidRPr="00921BB8">
        <w:rPr>
          <w:rFonts w:ascii="Times New Roman" w:eastAsia="Times New Roman" w:hAnsi="Times New Roman" w:cs="Times New Roman"/>
          <w:color w:val="000000"/>
          <w:lang w:val="de-DE"/>
        </w:rPr>
        <w:t xml:space="preserve">, in der das Verhältnis zwischen Positivem und Negativem erneut thematisiert wird.  </w:t>
      </w:r>
    </w:p>
    <w:p w14:paraId="25A840EE" w14:textId="77777777" w:rsidR="001C3D81" w:rsidRPr="00921BB8" w:rsidRDefault="001C3D81" w:rsidP="001C3D81">
      <w:pPr>
        <w:pStyle w:val="Paragrafoelenco"/>
        <w:spacing w:line="360" w:lineRule="auto"/>
        <w:ind w:left="0" w:firstLine="567"/>
        <w:jc w:val="both"/>
        <w:rPr>
          <w:rFonts w:ascii="Times New Roman" w:eastAsia="Times New Roman" w:hAnsi="Times New Roman" w:cs="Times New Roman"/>
          <w:color w:val="000000"/>
        </w:rPr>
      </w:pPr>
    </w:p>
    <w:p w14:paraId="42CFA115" w14:textId="77777777" w:rsidR="001C3D81" w:rsidRPr="00921BB8" w:rsidRDefault="001C3D81" w:rsidP="001C3D81">
      <w:pPr>
        <w:pStyle w:val="Paragrafoelenco"/>
        <w:spacing w:line="360" w:lineRule="auto"/>
        <w:ind w:left="0"/>
        <w:jc w:val="both"/>
        <w:rPr>
          <w:rFonts w:ascii="Times New Roman" w:eastAsia="Times New Roman" w:hAnsi="Times New Roman" w:cs="Times New Roman"/>
          <w:color w:val="000000"/>
        </w:rPr>
      </w:pPr>
      <w:r w:rsidRPr="00921BB8">
        <w:rPr>
          <w:rFonts w:ascii="Times New Roman" w:hAnsi="Times New Roman" w:cs="Times New Roman"/>
          <w:i/>
        </w:rPr>
        <w:t xml:space="preserve">2.3 Indifferenz, Negativität und Gegensatz in der </w:t>
      </w:r>
      <w:r w:rsidRPr="00921BB8">
        <w:rPr>
          <w:rFonts w:ascii="Times New Roman" w:hAnsi="Times New Roman" w:cs="Times New Roman"/>
        </w:rPr>
        <w:t xml:space="preserve">Wesenslogik  </w:t>
      </w:r>
    </w:p>
    <w:p w14:paraId="32638C6E" w14:textId="77777777" w:rsidR="001C3D81" w:rsidRPr="00921BB8" w:rsidRDefault="001C3D81" w:rsidP="001C3D81">
      <w:pPr>
        <w:pStyle w:val="Paragrafoelenco"/>
        <w:spacing w:line="360" w:lineRule="auto"/>
        <w:ind w:left="0" w:firstLine="567"/>
        <w:jc w:val="both"/>
        <w:rPr>
          <w:rFonts w:ascii="Times New Roman" w:eastAsia="Times New Roman" w:hAnsi="Times New Roman" w:cs="Times New Roman"/>
          <w:color w:val="000000"/>
        </w:rPr>
      </w:pPr>
    </w:p>
    <w:p w14:paraId="300F1DB8" w14:textId="0E14BA45" w:rsidR="001C3D81" w:rsidRPr="00921BB8" w:rsidRDefault="001C3D81" w:rsidP="001C3D81">
      <w:pPr>
        <w:pStyle w:val="Paragrafoelenco"/>
        <w:spacing w:line="360" w:lineRule="auto"/>
        <w:ind w:left="0" w:firstLine="567"/>
        <w:jc w:val="both"/>
        <w:rPr>
          <w:rFonts w:ascii="Times New Roman" w:eastAsia="Times New Roman" w:hAnsi="Times New Roman" w:cs="Times New Roman"/>
          <w:color w:val="000000"/>
          <w:lang w:val="de-DE"/>
        </w:rPr>
      </w:pPr>
      <w:r w:rsidRPr="00921BB8">
        <w:rPr>
          <w:rFonts w:ascii="Times New Roman" w:eastAsia="Times New Roman" w:hAnsi="Times New Roman" w:cs="Times New Roman"/>
          <w:color w:val="000000"/>
          <w:lang w:val="de-DE"/>
        </w:rPr>
        <w:t>In der Schlußanmerkung</w:t>
      </w:r>
      <w:r w:rsidRPr="00921BB8">
        <w:rPr>
          <w:rFonts w:ascii="Times New Roman" w:eastAsia="Times New Roman" w:hAnsi="Times New Roman" w:cs="Times New Roman"/>
          <w:i/>
          <w:color w:val="000000"/>
          <w:lang w:val="de-DE"/>
        </w:rPr>
        <w:t xml:space="preserve"> </w:t>
      </w:r>
      <w:r w:rsidRPr="00921BB8">
        <w:rPr>
          <w:rFonts w:ascii="Times New Roman" w:eastAsia="Times New Roman" w:hAnsi="Times New Roman" w:cs="Times New Roman"/>
          <w:color w:val="000000"/>
          <w:lang w:val="de-DE"/>
        </w:rPr>
        <w:t xml:space="preserve">der </w:t>
      </w:r>
      <w:r w:rsidRPr="00921BB8">
        <w:rPr>
          <w:rFonts w:ascii="Times New Roman" w:eastAsia="Times New Roman" w:hAnsi="Times New Roman" w:cs="Times New Roman"/>
          <w:i/>
          <w:color w:val="000000"/>
          <w:lang w:val="de-DE"/>
        </w:rPr>
        <w:t xml:space="preserve">Logik des Seyns </w:t>
      </w:r>
      <w:r w:rsidRPr="00921BB8">
        <w:rPr>
          <w:rFonts w:ascii="Times New Roman" w:eastAsia="Times New Roman" w:hAnsi="Times New Roman" w:cs="Times New Roman"/>
          <w:color w:val="000000"/>
          <w:lang w:val="de-DE"/>
        </w:rPr>
        <w:t xml:space="preserve">wird die Ontologie Spinozas noch einmal in Frage gestellt. Die absolute Indifferenz stellt die grundlegende Bestimmung des Spinozismus dar. </w:t>
      </w:r>
      <w:r w:rsidRPr="00345C9A">
        <w:rPr>
          <w:rFonts w:ascii="Times New Roman" w:eastAsia="Times New Roman" w:hAnsi="Times New Roman" w:cs="Times New Roman"/>
          <w:color w:val="000000"/>
          <w:lang w:val="de-DE"/>
        </w:rPr>
        <w:t xml:space="preserve">Die Indifferenz </w:t>
      </w:r>
      <w:r w:rsidR="00C618A2" w:rsidRPr="00345C9A">
        <w:rPr>
          <w:rFonts w:ascii="Times New Roman" w:eastAsia="Times New Roman" w:hAnsi="Times New Roman" w:cs="Times New Roman"/>
          <w:color w:val="000000"/>
          <w:lang w:val="de-DE"/>
        </w:rPr>
        <w:t>vom Sein und Denken kann bis zu</w:t>
      </w:r>
      <w:r w:rsidRPr="00345C9A">
        <w:rPr>
          <w:rFonts w:ascii="Times New Roman" w:eastAsia="Times New Roman" w:hAnsi="Times New Roman" w:cs="Times New Roman"/>
          <w:color w:val="000000"/>
          <w:lang w:val="de-DE"/>
        </w:rPr>
        <w:t xml:space="preserve"> ihrer Unterscheidung entwickelt werden, wenn eine Reflexion außerhalb des Absoluten eingeführt wird. Eine Reflexion, die der</w:t>
      </w:r>
      <w:r w:rsidRPr="00921BB8">
        <w:rPr>
          <w:rFonts w:ascii="Times New Roman" w:eastAsia="Times New Roman" w:hAnsi="Times New Roman" w:cs="Times New Roman"/>
          <w:color w:val="000000"/>
          <w:lang w:val="de-DE"/>
        </w:rPr>
        <w:t xml:space="preserve"> Indifferenz äußerlich bleibt, kann nur vorläufige Bestimmungen des Unendlichen ableiten: ihr Unterschied und ihr Bestehen ist gleichgültig und nicht an-und-für-sich-seiend. Wenn die Indifferenz als absolut aufgefasst wird, enthüllt sie die Wahrheit der Sphäre des Seins: sie offenbart sich nicht mehr als eine </w:t>
      </w:r>
      <w:r w:rsidRPr="00921BB8">
        <w:rPr>
          <w:rFonts w:ascii="Times New Roman" w:eastAsia="Times New Roman" w:hAnsi="Times New Roman" w:cs="Times New Roman"/>
          <w:i/>
          <w:color w:val="000000"/>
          <w:lang w:val="de-DE"/>
        </w:rPr>
        <w:t>qualitativ abstrakte</w:t>
      </w:r>
      <w:r w:rsidRPr="00921BB8">
        <w:rPr>
          <w:rFonts w:ascii="Times New Roman" w:eastAsia="Times New Roman" w:hAnsi="Times New Roman" w:cs="Times New Roman"/>
          <w:color w:val="000000"/>
          <w:lang w:val="de-DE"/>
        </w:rPr>
        <w:t xml:space="preserve">, sondern als eine </w:t>
      </w:r>
      <w:r w:rsidRPr="00921BB8">
        <w:rPr>
          <w:rFonts w:ascii="Times New Roman" w:eastAsia="Times New Roman" w:hAnsi="Times New Roman" w:cs="Times New Roman"/>
          <w:i/>
          <w:color w:val="000000"/>
          <w:lang w:val="de-DE"/>
        </w:rPr>
        <w:t xml:space="preserve">absolute </w:t>
      </w:r>
      <w:r w:rsidRPr="00921BB8">
        <w:rPr>
          <w:rFonts w:ascii="Times New Roman" w:eastAsia="Times New Roman" w:hAnsi="Times New Roman" w:cs="Times New Roman"/>
          <w:color w:val="000000"/>
          <w:lang w:val="de-DE"/>
        </w:rPr>
        <w:t xml:space="preserve">Indifferenz, in der die </w:t>
      </w:r>
      <w:r w:rsidRPr="00921BB8">
        <w:rPr>
          <w:rFonts w:ascii="Times New Roman" w:eastAsia="Times New Roman" w:hAnsi="Times New Roman" w:cs="Times New Roman"/>
          <w:i/>
          <w:color w:val="000000"/>
          <w:lang w:val="de-DE"/>
        </w:rPr>
        <w:t>Logik des Seins</w:t>
      </w:r>
      <w:r w:rsidRPr="00921BB8">
        <w:rPr>
          <w:rFonts w:ascii="Times New Roman" w:eastAsia="Times New Roman" w:hAnsi="Times New Roman" w:cs="Times New Roman"/>
          <w:color w:val="000000"/>
          <w:lang w:val="de-DE"/>
        </w:rPr>
        <w:t xml:space="preserve"> (und die Negation als bloßes Übergehen) zu Grunde geht. Das Sein hebt sich in die Indifferenz auf und zeigt sich als „vermittelt mit sich durch seine Negation</w:t>
      </w:r>
      <w:r w:rsidRPr="00921BB8">
        <w:rPr>
          <w:rFonts w:ascii="Times New Roman" w:eastAsia="Times New Roman" w:hAnsi="Times New Roman" w:cs="Times New Roman"/>
          <w:color w:val="000000"/>
        </w:rPr>
        <w:t>”</w:t>
      </w:r>
      <w:r w:rsidRPr="00921BB8">
        <w:rPr>
          <w:rFonts w:ascii="Times New Roman" w:eastAsia="Times New Roman" w:hAnsi="Times New Roman" w:cs="Times New Roman"/>
          <w:color w:val="000000"/>
          <w:lang w:val="de-DE"/>
        </w:rPr>
        <w:t xml:space="preserve"> d.h. als Wesen, „das Seyn [...] als diese einfache Negativität seiner selbst</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912"/>
      </w:r>
      <w:r w:rsidRPr="00921BB8">
        <w:rPr>
          <w:rFonts w:ascii="Times New Roman" w:eastAsia="Times New Roman" w:hAnsi="Times New Roman" w:cs="Times New Roman"/>
          <w:color w:val="000000"/>
          <w:lang w:val="de-DE"/>
        </w:rPr>
        <w:t xml:space="preserve">. </w:t>
      </w:r>
    </w:p>
    <w:p w14:paraId="4EF3F9CE" w14:textId="6EC1C821" w:rsidR="001C3D81" w:rsidRPr="00921BB8" w:rsidRDefault="001C3D81" w:rsidP="001C3D81">
      <w:pPr>
        <w:pStyle w:val="Paragrafoelenco"/>
        <w:spacing w:line="360" w:lineRule="auto"/>
        <w:ind w:left="0" w:firstLine="567"/>
        <w:jc w:val="both"/>
        <w:rPr>
          <w:rFonts w:ascii="Times New Roman" w:eastAsia="Times New Roman" w:hAnsi="Times New Roman" w:cs="Times New Roman"/>
          <w:color w:val="000000"/>
          <w:lang w:val="de-DE"/>
        </w:rPr>
      </w:pPr>
      <w:r w:rsidRPr="00921BB8">
        <w:rPr>
          <w:rFonts w:ascii="Times New Roman" w:eastAsia="Times New Roman" w:hAnsi="Times New Roman" w:cs="Times New Roman"/>
          <w:color w:val="000000"/>
          <w:lang w:val="de-DE"/>
        </w:rPr>
        <w:t xml:space="preserve">Das Wesen ist Negativität, die keine Beziehung auf etwas anderes hat, d.h. „die </w:t>
      </w:r>
      <w:r w:rsidRPr="00926765">
        <w:rPr>
          <w:rFonts w:ascii="Times New Roman" w:eastAsia="Times New Roman" w:hAnsi="Times New Roman" w:cs="Times New Roman"/>
          <w:color w:val="000000"/>
          <w:lang w:val="de-DE"/>
        </w:rPr>
        <w:t>Reflexion [...] das Scheinen des Wesens in sich selbst</w:t>
      </w:r>
      <w:r w:rsidRPr="00926765">
        <w:rPr>
          <w:rFonts w:ascii="Times New Roman" w:eastAsia="Times New Roman" w:hAnsi="Times New Roman" w:cs="Times New Roman"/>
          <w:color w:val="000000"/>
        </w:rPr>
        <w:t>”</w:t>
      </w:r>
      <w:r w:rsidRPr="00926765">
        <w:rPr>
          <w:rStyle w:val="Rimandonotaapidipagina"/>
          <w:rFonts w:ascii="Times New Roman" w:eastAsia="Times New Roman" w:hAnsi="Times New Roman" w:cs="Times New Roman"/>
          <w:color w:val="000000"/>
          <w:lang w:val="de-DE"/>
        </w:rPr>
        <w:footnoteReference w:id="913"/>
      </w:r>
      <w:r w:rsidRPr="00926765">
        <w:rPr>
          <w:rFonts w:ascii="Times New Roman" w:eastAsia="Times New Roman" w:hAnsi="Times New Roman" w:cs="Times New Roman"/>
          <w:color w:val="000000"/>
          <w:lang w:val="de-DE"/>
        </w:rPr>
        <w:t xml:space="preserve">. Durch das </w:t>
      </w:r>
      <w:r w:rsidRPr="00926765">
        <w:rPr>
          <w:rFonts w:ascii="Times New Roman" w:eastAsia="Times New Roman" w:hAnsi="Times New Roman" w:cs="Times New Roman"/>
          <w:i/>
          <w:color w:val="000000"/>
          <w:lang w:val="de-DE"/>
        </w:rPr>
        <w:t xml:space="preserve">Scheinen </w:t>
      </w:r>
      <w:r w:rsidRPr="00926765">
        <w:rPr>
          <w:rFonts w:ascii="Times New Roman" w:eastAsia="Times New Roman" w:hAnsi="Times New Roman" w:cs="Times New Roman"/>
          <w:color w:val="000000"/>
          <w:lang w:val="de-DE"/>
        </w:rPr>
        <w:t>in sich selbst bestimmt sich das Wesen als „absolute Vermittlung mit sich</w:t>
      </w:r>
      <w:r w:rsidRPr="00926765">
        <w:rPr>
          <w:rFonts w:ascii="Times New Roman" w:eastAsia="Times New Roman" w:hAnsi="Times New Roman" w:cs="Times New Roman"/>
          <w:color w:val="000000"/>
        </w:rPr>
        <w:t>”</w:t>
      </w:r>
      <w:r w:rsidRPr="00926765">
        <w:rPr>
          <w:rStyle w:val="Rimandonotaapidipagina"/>
          <w:rFonts w:ascii="Times New Roman" w:eastAsia="Times New Roman" w:hAnsi="Times New Roman" w:cs="Times New Roman"/>
          <w:color w:val="000000"/>
          <w:lang w:val="de-DE"/>
        </w:rPr>
        <w:footnoteReference w:id="914"/>
      </w:r>
      <w:r w:rsidRPr="00926765">
        <w:rPr>
          <w:rFonts w:ascii="Times New Roman" w:eastAsia="Times New Roman" w:hAnsi="Times New Roman" w:cs="Times New Roman"/>
          <w:color w:val="000000"/>
          <w:lang w:val="de-DE"/>
        </w:rPr>
        <w:t xml:space="preserve">. </w:t>
      </w:r>
      <w:r w:rsidR="00926765" w:rsidRPr="00926765">
        <w:rPr>
          <w:rFonts w:ascii="Times New Roman" w:eastAsia="Times New Roman" w:hAnsi="Times New Roman" w:cs="Times New Roman"/>
          <w:color w:val="000000"/>
          <w:lang w:val="de-DE"/>
        </w:rPr>
        <w:t>Als Unmittelbarkeit oder einfache Beziehung auf sich selbst ist das Wesen „reine Identität”</w:t>
      </w:r>
      <w:r w:rsidR="00926765" w:rsidRPr="00926765">
        <w:rPr>
          <w:rStyle w:val="Rimandonotaapidipagina"/>
          <w:rFonts w:ascii="Times New Roman" w:eastAsia="Times New Roman" w:hAnsi="Times New Roman" w:cs="Times New Roman"/>
          <w:color w:val="000000"/>
          <w:lang w:val="de-DE"/>
        </w:rPr>
        <w:footnoteReference w:id="915"/>
      </w:r>
      <w:r w:rsidR="00926765" w:rsidRPr="00926765">
        <w:rPr>
          <w:rFonts w:ascii="Times New Roman" w:eastAsia="Times New Roman" w:hAnsi="Times New Roman" w:cs="Times New Roman"/>
          <w:color w:val="000000"/>
          <w:lang w:val="de-DE"/>
        </w:rPr>
        <w:t xml:space="preserve">. Diese Unmittelbarkeit </w:t>
      </w:r>
      <w:r w:rsidRPr="00926765">
        <w:rPr>
          <w:rFonts w:ascii="Times New Roman" w:eastAsia="Times New Roman" w:hAnsi="Times New Roman" w:cs="Times New Roman"/>
          <w:color w:val="000000"/>
          <w:lang w:val="de-DE"/>
        </w:rPr>
        <w:t>der</w:t>
      </w:r>
      <w:r w:rsidRPr="00921BB8">
        <w:rPr>
          <w:rFonts w:ascii="Times New Roman" w:eastAsia="Times New Roman" w:hAnsi="Times New Roman" w:cs="Times New Roman"/>
          <w:color w:val="000000"/>
          <w:lang w:val="de-DE"/>
        </w:rPr>
        <w:t xml:space="preserve"> Identität, die dem Anfang der Logik des Seyns zum Teil entspricht</w:t>
      </w:r>
      <w:r w:rsidRPr="00921BB8">
        <w:rPr>
          <w:rStyle w:val="Rimandonotaapidipagina"/>
          <w:rFonts w:ascii="Times New Roman" w:eastAsia="Times New Roman" w:hAnsi="Times New Roman" w:cs="Times New Roman"/>
          <w:color w:val="000000"/>
          <w:lang w:val="de-DE"/>
        </w:rPr>
        <w:footnoteReference w:id="916"/>
      </w:r>
      <w:r w:rsidRPr="00921BB8">
        <w:rPr>
          <w:rFonts w:ascii="Times New Roman" w:eastAsia="Times New Roman" w:hAnsi="Times New Roman" w:cs="Times New Roman"/>
          <w:color w:val="000000"/>
          <w:lang w:val="de-DE"/>
        </w:rPr>
        <w:t>, ist „die Reflexion in sich selbst [...] als innerliches Abstoßen, und diß Abstoßen ist es als Reflexion in sich, unmittelbar sich in sich zurücknehmendes Abstoßen</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917"/>
      </w:r>
      <w:r w:rsidRPr="00921BB8">
        <w:rPr>
          <w:rFonts w:ascii="Times New Roman" w:eastAsia="Times New Roman" w:hAnsi="Times New Roman" w:cs="Times New Roman"/>
          <w:color w:val="000000"/>
          <w:lang w:val="de-DE"/>
        </w:rPr>
        <w:t xml:space="preserve">. Aufgrund dieser abstoßenden Bewegung </w:t>
      </w:r>
      <w:r w:rsidRPr="00921BB8">
        <w:rPr>
          <w:rFonts w:ascii="Times New Roman" w:eastAsia="Times New Roman" w:hAnsi="Times New Roman" w:cs="Times New Roman"/>
          <w:i/>
          <w:color w:val="000000"/>
          <w:lang w:val="de-DE"/>
        </w:rPr>
        <w:t>unterscheidet</w:t>
      </w:r>
      <w:r w:rsidRPr="00921BB8">
        <w:rPr>
          <w:rFonts w:ascii="Times New Roman" w:eastAsia="Times New Roman" w:hAnsi="Times New Roman" w:cs="Times New Roman"/>
          <w:color w:val="000000"/>
          <w:lang w:val="de-DE"/>
        </w:rPr>
        <w:t xml:space="preserve"> sich die Identität: der Unterschied als „absolute Nichtidentität</w:t>
      </w:r>
      <w:r w:rsidRPr="00921BB8">
        <w:rPr>
          <w:rFonts w:ascii="Times New Roman" w:eastAsia="Times New Roman" w:hAnsi="Times New Roman" w:cs="Times New Roman"/>
          <w:color w:val="000000"/>
        </w:rPr>
        <w:t>”</w:t>
      </w:r>
      <w:r w:rsidRPr="00921BB8">
        <w:rPr>
          <w:rFonts w:ascii="Times New Roman" w:eastAsia="Times New Roman" w:hAnsi="Times New Roman" w:cs="Times New Roman"/>
          <w:color w:val="000000"/>
          <w:lang w:val="de-DE"/>
        </w:rPr>
        <w:t xml:space="preserve"> schließt die Identität aus und enthält in sich nichts anderes al</w:t>
      </w:r>
      <w:r w:rsidR="00C618A2">
        <w:rPr>
          <w:rFonts w:ascii="Times New Roman" w:eastAsia="Times New Roman" w:hAnsi="Times New Roman" w:cs="Times New Roman"/>
          <w:color w:val="000000"/>
          <w:lang w:val="de-DE"/>
        </w:rPr>
        <w:t xml:space="preserve">s sich selbst. Der Unterschied </w:t>
      </w:r>
      <w:r w:rsidRPr="00921BB8">
        <w:rPr>
          <w:rFonts w:ascii="Times New Roman" w:eastAsia="Times New Roman" w:hAnsi="Times New Roman" w:cs="Times New Roman"/>
          <w:color w:val="000000"/>
          <w:lang w:val="de-DE"/>
        </w:rPr>
        <w:t>ist deswegen „absolute Identität mit sich selbst</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918"/>
      </w:r>
      <w:r w:rsidRPr="00921BB8">
        <w:rPr>
          <w:rFonts w:ascii="Times New Roman" w:eastAsia="Times New Roman" w:hAnsi="Times New Roman" w:cs="Times New Roman"/>
          <w:color w:val="000000"/>
          <w:lang w:val="de-DE"/>
        </w:rPr>
        <w:t>: durch das Ausschließen seines Anderssein</w:t>
      </w:r>
      <w:r w:rsidR="004A4CB5">
        <w:rPr>
          <w:rFonts w:ascii="Times New Roman" w:eastAsia="Times New Roman" w:hAnsi="Times New Roman" w:cs="Times New Roman"/>
          <w:color w:val="000000"/>
          <w:lang w:val="de-DE"/>
        </w:rPr>
        <w:t>s</w:t>
      </w:r>
      <w:r w:rsidRPr="00921BB8">
        <w:rPr>
          <w:rFonts w:ascii="Times New Roman" w:eastAsia="Times New Roman" w:hAnsi="Times New Roman" w:cs="Times New Roman"/>
          <w:color w:val="000000"/>
          <w:lang w:val="de-DE"/>
        </w:rPr>
        <w:t xml:space="preserve"> hebt der Unterschied sich als Unterschied auf und setzt sich als Identität.</w:t>
      </w:r>
    </w:p>
    <w:p w14:paraId="00C32523" w14:textId="77777777" w:rsidR="001C3D81" w:rsidRPr="00921BB8" w:rsidRDefault="001C3D81" w:rsidP="001C3D81">
      <w:pPr>
        <w:pStyle w:val="Paragrafoelenco"/>
        <w:spacing w:line="360" w:lineRule="auto"/>
        <w:ind w:left="0" w:firstLine="567"/>
        <w:jc w:val="both"/>
        <w:rPr>
          <w:rFonts w:ascii="Times New Roman" w:eastAsia="Times New Roman" w:hAnsi="Times New Roman" w:cs="Times New Roman"/>
          <w:color w:val="000000"/>
          <w:lang w:val="de-DE"/>
        </w:rPr>
      </w:pPr>
      <w:r w:rsidRPr="00921BB8">
        <w:rPr>
          <w:rFonts w:ascii="Times New Roman" w:eastAsia="Times New Roman" w:hAnsi="Times New Roman" w:cs="Times New Roman"/>
          <w:i/>
          <w:color w:val="000000"/>
          <w:lang w:val="de-DE"/>
        </w:rPr>
        <w:t>Prima facie</w:t>
      </w:r>
      <w:r w:rsidRPr="00921BB8">
        <w:rPr>
          <w:rFonts w:ascii="Times New Roman" w:eastAsia="Times New Roman" w:hAnsi="Times New Roman" w:cs="Times New Roman"/>
          <w:color w:val="000000"/>
          <w:lang w:val="de-DE"/>
        </w:rPr>
        <w:t xml:space="preserve"> stellt sich ein </w:t>
      </w:r>
      <w:r w:rsidRPr="00921BB8">
        <w:rPr>
          <w:rFonts w:ascii="Times New Roman" w:eastAsia="Times New Roman" w:hAnsi="Times New Roman" w:cs="Times New Roman"/>
          <w:i/>
          <w:color w:val="000000"/>
          <w:lang w:val="de-DE"/>
        </w:rPr>
        <w:t xml:space="preserve">inklusives </w:t>
      </w:r>
      <w:r w:rsidRPr="00921BB8">
        <w:rPr>
          <w:rFonts w:ascii="Times New Roman" w:eastAsia="Times New Roman" w:hAnsi="Times New Roman" w:cs="Times New Roman"/>
          <w:color w:val="000000"/>
          <w:lang w:val="de-DE"/>
        </w:rPr>
        <w:t xml:space="preserve">Verhältnis zwischen Unmittelbarem und Mittelbarem her. Kurz danach schreibt Hegel, dass Identität und Unterschied sich als Reflexion-in-sich bestimmen und die Beziehung auf ihr Anderssein ausschließen. Was folgt, ist ihre </w:t>
      </w:r>
      <w:r w:rsidRPr="00921BB8">
        <w:rPr>
          <w:rFonts w:ascii="Times New Roman" w:eastAsia="Times New Roman" w:hAnsi="Times New Roman" w:cs="Times New Roman"/>
          <w:i/>
          <w:color w:val="000000"/>
          <w:lang w:val="de-DE"/>
        </w:rPr>
        <w:t>Verschiedenheit</w:t>
      </w:r>
      <w:r w:rsidRPr="00921BB8">
        <w:rPr>
          <w:rFonts w:ascii="Times New Roman" w:eastAsia="Times New Roman" w:hAnsi="Times New Roman" w:cs="Times New Roman"/>
          <w:color w:val="000000"/>
          <w:lang w:val="de-DE"/>
        </w:rPr>
        <w:t>. Die äußere Tätigkeit der Reflexion, die die Identität als Gleichheit und den Unterschied als Ungleichheit definiert, enthüllt das Wesen dieser Reflexionsbestimmungen: sie sind, was sie sind, weil sie nicht ihr eigenes Anderssein sind. Da sie sich nicht ohne die Beziehung auf das, was sie ausschließen, definieren können, kehren sie sich in das „Ungleiche ihrer selbst</w:t>
      </w:r>
      <w:r w:rsidRPr="00921BB8">
        <w:rPr>
          <w:rFonts w:ascii="Times New Roman" w:eastAsia="Times New Roman" w:hAnsi="Times New Roman" w:cs="Times New Roman"/>
          <w:color w:val="000000"/>
        </w:rPr>
        <w:t>”</w:t>
      </w:r>
      <w:r w:rsidRPr="00921BB8">
        <w:rPr>
          <w:rFonts w:ascii="Times New Roman" w:eastAsia="Times New Roman" w:hAnsi="Times New Roman" w:cs="Times New Roman"/>
          <w:color w:val="000000"/>
          <w:lang w:val="de-DE"/>
        </w:rPr>
        <w:t xml:space="preserve"> um, d.h. „jedes ist somit diese Reflexion, die Gleichheit, daß sie selbst und die Ungleichheit, daß sie selbst und die Gleichheit ist</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919"/>
      </w:r>
      <w:r w:rsidRPr="00921BB8">
        <w:rPr>
          <w:rFonts w:ascii="Times New Roman" w:eastAsia="Times New Roman" w:hAnsi="Times New Roman" w:cs="Times New Roman"/>
          <w:color w:val="000000"/>
          <w:lang w:val="de-DE"/>
        </w:rPr>
        <w:t xml:space="preserve">. An diesem Punkt wird die Äußerlichkeit der Reflexion verinnerlicht und die </w:t>
      </w:r>
      <w:r w:rsidRPr="00921BB8">
        <w:rPr>
          <w:rFonts w:ascii="Times New Roman" w:eastAsia="Times New Roman" w:hAnsi="Times New Roman" w:cs="Times New Roman"/>
          <w:i/>
          <w:color w:val="000000"/>
          <w:lang w:val="de-DE"/>
        </w:rPr>
        <w:t>Verschiedenheit</w:t>
      </w:r>
      <w:r w:rsidRPr="00921BB8">
        <w:rPr>
          <w:rFonts w:ascii="Times New Roman" w:eastAsia="Times New Roman" w:hAnsi="Times New Roman" w:cs="Times New Roman"/>
          <w:color w:val="000000"/>
          <w:lang w:val="de-DE"/>
        </w:rPr>
        <w:t xml:space="preserve"> verwandelt sich in </w:t>
      </w:r>
      <w:r w:rsidRPr="00921BB8">
        <w:rPr>
          <w:rFonts w:ascii="Times New Roman" w:eastAsia="Times New Roman" w:hAnsi="Times New Roman" w:cs="Times New Roman"/>
          <w:i/>
          <w:color w:val="000000"/>
          <w:lang w:val="de-DE"/>
        </w:rPr>
        <w:t>Gegensatz</w:t>
      </w:r>
      <w:r w:rsidRPr="00921BB8">
        <w:rPr>
          <w:rFonts w:ascii="Times New Roman" w:eastAsia="Times New Roman" w:hAnsi="Times New Roman" w:cs="Times New Roman"/>
          <w:color w:val="000000"/>
          <w:lang w:val="de-DE"/>
        </w:rPr>
        <w:t>: die sich-in-sich reflektierte Gleichheit ist das Positive und die sich-in-sich-reflektierte Ungleichheit ist das Negative</w:t>
      </w:r>
      <w:r w:rsidRPr="00921BB8">
        <w:rPr>
          <w:rStyle w:val="Rimandonotaapidipagina"/>
          <w:rFonts w:ascii="Times New Roman" w:eastAsia="Times New Roman" w:hAnsi="Times New Roman" w:cs="Times New Roman"/>
          <w:color w:val="000000"/>
          <w:lang w:val="de-DE"/>
        </w:rPr>
        <w:footnoteReference w:id="920"/>
      </w:r>
      <w:r w:rsidRPr="00921BB8">
        <w:rPr>
          <w:rFonts w:ascii="Times New Roman" w:eastAsia="Times New Roman" w:hAnsi="Times New Roman" w:cs="Times New Roman"/>
          <w:color w:val="000000"/>
          <w:lang w:val="de-DE"/>
        </w:rPr>
        <w:t>. Das Positive und das Negative sind sowohl Reflexion-an-sich als auch Gesetztsein: „sie sind auch nicht außer der Beziehung auf anderen, sondern daß diese Beziehung und zwar als ausschließende, die Bestimmung oder das Ansichseyn derselben ausmacht; hierin sind sie es auch gleichzeitig an und für sich</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921"/>
      </w:r>
      <w:r w:rsidRPr="00921BB8">
        <w:rPr>
          <w:rFonts w:ascii="Times New Roman" w:eastAsia="Times New Roman" w:hAnsi="Times New Roman" w:cs="Times New Roman"/>
          <w:color w:val="000000"/>
          <w:lang w:val="de-DE"/>
        </w:rPr>
        <w:t xml:space="preserve"> . Das Positive nimmt das Negative wieder in sich auf und das Negative nimmt in sich die Bestimmtheit seines Andersseins auf. Die erreichte Einheit von Positivem und Negativem ist „der gesetzte Widerspruch</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rPr>
        <w:footnoteReference w:id="922"/>
      </w:r>
      <w:r w:rsidRPr="00921BB8">
        <w:rPr>
          <w:rFonts w:ascii="Times New Roman" w:eastAsia="Times New Roman" w:hAnsi="Times New Roman" w:cs="Times New Roman"/>
          <w:color w:val="000000"/>
          <w:lang w:val="de-DE"/>
        </w:rPr>
        <w:t>, der „nicht bloß das Negative sondern auch das Positive enthält</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923"/>
      </w:r>
      <w:r w:rsidRPr="00921BB8">
        <w:rPr>
          <w:rFonts w:ascii="Times New Roman" w:eastAsia="Times New Roman" w:hAnsi="Times New Roman" w:cs="Times New Roman"/>
          <w:color w:val="000000"/>
          <w:lang w:val="de-DE"/>
        </w:rPr>
        <w:t xml:space="preserve">. </w:t>
      </w:r>
    </w:p>
    <w:p w14:paraId="59746643" w14:textId="77777777" w:rsidR="001C3D81" w:rsidRPr="00921BB8" w:rsidRDefault="001C3D81" w:rsidP="001C3D81">
      <w:pPr>
        <w:pStyle w:val="Paragrafoelenco"/>
        <w:spacing w:line="360" w:lineRule="auto"/>
        <w:ind w:left="0" w:firstLine="567"/>
        <w:jc w:val="both"/>
        <w:rPr>
          <w:rFonts w:ascii="Times New Roman" w:eastAsia="Times New Roman" w:hAnsi="Times New Roman" w:cs="Times New Roman"/>
          <w:color w:val="000000"/>
          <w:lang w:val="de-DE"/>
        </w:rPr>
      </w:pPr>
      <w:r w:rsidRPr="00921BB8">
        <w:rPr>
          <w:rFonts w:ascii="Times New Roman" w:eastAsia="Times New Roman" w:hAnsi="Times New Roman" w:cs="Times New Roman"/>
          <w:color w:val="000000"/>
          <w:lang w:val="de-DE"/>
        </w:rPr>
        <w:t xml:space="preserve">Die Negation wird nicht mehr als </w:t>
      </w:r>
      <w:r w:rsidRPr="00921BB8">
        <w:rPr>
          <w:rFonts w:ascii="Times New Roman" w:eastAsia="Times New Roman" w:hAnsi="Times New Roman" w:cs="Times New Roman"/>
          <w:i/>
          <w:color w:val="000000"/>
          <w:lang w:val="de-DE"/>
        </w:rPr>
        <w:t>Bestimmtheit</w:t>
      </w:r>
      <w:r w:rsidRPr="00921BB8">
        <w:rPr>
          <w:rFonts w:ascii="Times New Roman" w:eastAsia="Times New Roman" w:hAnsi="Times New Roman" w:cs="Times New Roman"/>
          <w:color w:val="000000"/>
          <w:lang w:val="de-DE"/>
        </w:rPr>
        <w:t xml:space="preserve"> begriffen, sondern als entwickelten Widerspruch zwischen Positivem und Negativem. Wir haben gesehen, dass Hegel auf einen Denker – Jakob Böhme – hingewiesen hat, der in der Lage ist, die Bedeutung des Gegensatzes, wie er im </w:t>
      </w:r>
      <w:r w:rsidRPr="00921BB8">
        <w:rPr>
          <w:rFonts w:ascii="Times New Roman" w:eastAsia="Times New Roman" w:hAnsi="Times New Roman" w:cs="Times New Roman"/>
          <w:i/>
          <w:color w:val="000000"/>
          <w:lang w:val="de-DE"/>
        </w:rPr>
        <w:t xml:space="preserve">Wesen </w:t>
      </w:r>
      <w:r w:rsidRPr="00921BB8">
        <w:rPr>
          <w:rFonts w:ascii="Times New Roman" w:eastAsia="Times New Roman" w:hAnsi="Times New Roman" w:cs="Times New Roman"/>
          <w:color w:val="000000"/>
          <w:lang w:val="de-DE"/>
        </w:rPr>
        <w:t xml:space="preserve">ist, zu erfassen. Wenn der in der Identität verborgene Widerspruch aufgezeigt wird, gewinnt Hegel den spekulativen Wert der Böhmeschen Inqualierung wieder: der bis zum Widerspruch entwickelte Gegensatz von Positivem und Negativem spiegelt jene </w:t>
      </w:r>
      <w:r w:rsidRPr="00921BB8">
        <w:rPr>
          <w:rFonts w:ascii="Times New Roman" w:eastAsia="Times New Roman" w:hAnsi="Times New Roman" w:cs="Times New Roman"/>
          <w:i/>
          <w:color w:val="000000"/>
          <w:lang w:val="de-DE"/>
        </w:rPr>
        <w:t xml:space="preserve">Selbstbewegung </w:t>
      </w:r>
      <w:r w:rsidRPr="00921BB8">
        <w:rPr>
          <w:rFonts w:ascii="Times New Roman" w:eastAsia="Times New Roman" w:hAnsi="Times New Roman" w:cs="Times New Roman"/>
          <w:color w:val="000000"/>
          <w:lang w:val="de-DE"/>
        </w:rPr>
        <w:t xml:space="preserve">des Denkens wider, aufgrund derer das logische Element gleichzeitig positiv und negativ – oder in sich widersprechend – ist. </w:t>
      </w:r>
    </w:p>
    <w:p w14:paraId="6183FB2B" w14:textId="77777777" w:rsidR="001C3D81" w:rsidRPr="00921BB8" w:rsidRDefault="001C3D81" w:rsidP="001C3D81">
      <w:pPr>
        <w:pStyle w:val="Paragrafoelenco"/>
        <w:spacing w:line="360" w:lineRule="auto"/>
        <w:ind w:left="0" w:firstLine="567"/>
        <w:jc w:val="both"/>
        <w:rPr>
          <w:rFonts w:ascii="Times New Roman" w:eastAsia="Times New Roman" w:hAnsi="Times New Roman" w:cs="Times New Roman"/>
          <w:color w:val="000000"/>
        </w:rPr>
      </w:pPr>
    </w:p>
    <w:p w14:paraId="1F479C54" w14:textId="77777777" w:rsidR="001C3D81" w:rsidRPr="00921BB8" w:rsidRDefault="001C3D81" w:rsidP="001C3D81">
      <w:pPr>
        <w:pStyle w:val="Paragrafoelenco"/>
        <w:spacing w:line="360" w:lineRule="auto"/>
        <w:ind w:left="0"/>
        <w:jc w:val="both"/>
        <w:rPr>
          <w:rFonts w:ascii="Times New Roman" w:hAnsi="Times New Roman" w:cs="Times New Roman"/>
          <w:i/>
        </w:rPr>
      </w:pPr>
      <w:r w:rsidRPr="00921BB8">
        <w:rPr>
          <w:rFonts w:ascii="Times New Roman" w:hAnsi="Times New Roman" w:cs="Times New Roman"/>
          <w:i/>
        </w:rPr>
        <w:t xml:space="preserve">2.4 Zwischen Dunkelheit und Licht: Spinoza, Leibniz und Böhme </w:t>
      </w:r>
    </w:p>
    <w:p w14:paraId="19451816" w14:textId="77777777" w:rsidR="001C3D81" w:rsidRPr="00921BB8" w:rsidRDefault="001C3D81" w:rsidP="001C3D81">
      <w:pPr>
        <w:pStyle w:val="Paragrafoelenco"/>
        <w:spacing w:line="360" w:lineRule="auto"/>
        <w:ind w:left="0"/>
        <w:jc w:val="both"/>
        <w:rPr>
          <w:rFonts w:ascii="Times New Roman" w:hAnsi="Times New Roman" w:cs="Times New Roman"/>
          <w:i/>
        </w:rPr>
      </w:pPr>
    </w:p>
    <w:p w14:paraId="0AB9C81B" w14:textId="2264C82F" w:rsidR="001C3D81" w:rsidRPr="00921BB8" w:rsidRDefault="001C3D81" w:rsidP="001C3D81">
      <w:pPr>
        <w:spacing w:line="360" w:lineRule="auto"/>
        <w:ind w:firstLine="567"/>
        <w:jc w:val="both"/>
        <w:rPr>
          <w:rFonts w:ascii="Times New Roman" w:eastAsia="Times New Roman" w:hAnsi="Times New Roman" w:cs="Times New Roman"/>
          <w:color w:val="000000"/>
          <w:lang w:val="de-DE"/>
        </w:rPr>
      </w:pPr>
      <w:r w:rsidRPr="00921BB8">
        <w:rPr>
          <w:rFonts w:ascii="Times New Roman" w:eastAsia="Times New Roman" w:hAnsi="Times New Roman" w:cs="Times New Roman"/>
          <w:color w:val="000000"/>
          <w:lang w:val="de-DE"/>
        </w:rPr>
        <w:t xml:space="preserve">Nachdem der Gegensatz von Positivem und Negativem die widersprüchliche Natur des Denkens erwiesen hat, folgt in der </w:t>
      </w:r>
      <w:r w:rsidRPr="00921BB8">
        <w:rPr>
          <w:rFonts w:ascii="Times New Roman" w:eastAsia="Times New Roman" w:hAnsi="Times New Roman" w:cs="Times New Roman"/>
          <w:i/>
          <w:color w:val="000000"/>
          <w:lang w:val="de-DE"/>
        </w:rPr>
        <w:t xml:space="preserve">Wesenslogik </w:t>
      </w:r>
      <w:r w:rsidRPr="00921BB8">
        <w:rPr>
          <w:rFonts w:ascii="Times New Roman" w:eastAsia="Times New Roman" w:hAnsi="Times New Roman" w:cs="Times New Roman"/>
          <w:color w:val="000000"/>
          <w:lang w:val="de-DE"/>
        </w:rPr>
        <w:t xml:space="preserve">eine Wiederherstellung der Identität in dem der </w:t>
      </w:r>
      <w:r w:rsidRPr="00921BB8">
        <w:rPr>
          <w:rFonts w:ascii="Times New Roman" w:eastAsia="Times New Roman" w:hAnsi="Times New Roman" w:cs="Times New Roman"/>
          <w:i/>
          <w:color w:val="000000"/>
          <w:lang w:val="de-DE"/>
        </w:rPr>
        <w:t>Wirklichkeit</w:t>
      </w:r>
      <w:r w:rsidRPr="00921BB8">
        <w:rPr>
          <w:rStyle w:val="Rimandonotaapidipagina"/>
          <w:rFonts w:ascii="Times New Roman" w:eastAsia="Times New Roman" w:hAnsi="Times New Roman" w:cs="Times New Roman"/>
          <w:color w:val="000000"/>
          <w:lang w:val="de-DE"/>
        </w:rPr>
        <w:footnoteReference w:id="924"/>
      </w:r>
      <w:r w:rsidRPr="00921BB8">
        <w:rPr>
          <w:rFonts w:ascii="Times New Roman" w:eastAsia="Times New Roman" w:hAnsi="Times New Roman" w:cs="Times New Roman"/>
          <w:i/>
          <w:color w:val="000000"/>
          <w:lang w:val="de-DE"/>
        </w:rPr>
        <w:t xml:space="preserve"> </w:t>
      </w:r>
      <w:r w:rsidRPr="00921BB8">
        <w:rPr>
          <w:rFonts w:ascii="Times New Roman" w:eastAsia="Times New Roman" w:hAnsi="Times New Roman" w:cs="Times New Roman"/>
          <w:color w:val="000000"/>
          <w:lang w:val="de-DE"/>
        </w:rPr>
        <w:t xml:space="preserve">gewidmeten Abschnitt. Wesen und Erscheinung werden in der absoluten Wirklichkeit wiedervereinigt, die sich als Aufhebung des Gegensatzes zwischen einem Positiven (einem wesentlichen Inneren) und einem Negativen (einem unwesentlichen Äußeren) darstellt. Bei der ersten Auslegung der absoluten Identität können keine Reflexion des Inneren im Äußeren und keine Aufhebung des Äußeren im Inneren thematisiert werden, weil das Äußere, das Endliche, als bloßes </w:t>
      </w:r>
      <w:r w:rsidRPr="00921BB8">
        <w:rPr>
          <w:rFonts w:ascii="Times New Roman" w:eastAsia="Times New Roman" w:hAnsi="Times New Roman" w:cs="Times New Roman"/>
          <w:i/>
          <w:color w:val="000000"/>
          <w:lang w:val="de-DE"/>
        </w:rPr>
        <w:t xml:space="preserve">Verschwinden </w:t>
      </w:r>
      <w:r w:rsidRPr="00921BB8">
        <w:rPr>
          <w:rFonts w:ascii="Times New Roman" w:eastAsia="Times New Roman" w:hAnsi="Times New Roman" w:cs="Times New Roman"/>
          <w:color w:val="000000"/>
          <w:lang w:val="de-DE"/>
        </w:rPr>
        <w:t>begriffen wird. Das Endliche ist ein Medium, durch das die absolute Identität scheint: es (das Endliche) gibt nur die reine und einfache Durchsichtigkeit der Unendlichkeit zurü</w:t>
      </w:r>
      <w:r w:rsidR="00456168">
        <w:rPr>
          <w:rFonts w:ascii="Times New Roman" w:eastAsia="Times New Roman" w:hAnsi="Times New Roman" w:cs="Times New Roman"/>
          <w:color w:val="000000"/>
          <w:lang w:val="de-DE"/>
        </w:rPr>
        <w:t xml:space="preserve">ck. Die Auslegung des Absoluten, die unmittelbar </w:t>
      </w:r>
      <w:r w:rsidRPr="00921BB8">
        <w:rPr>
          <w:rFonts w:ascii="Times New Roman" w:eastAsia="Times New Roman" w:hAnsi="Times New Roman" w:cs="Times New Roman"/>
          <w:color w:val="000000"/>
          <w:lang w:val="de-DE"/>
        </w:rPr>
        <w:t>kein</w:t>
      </w:r>
      <w:r w:rsidR="00456168">
        <w:rPr>
          <w:rFonts w:ascii="Times New Roman" w:eastAsia="Times New Roman" w:hAnsi="Times New Roman" w:cs="Times New Roman"/>
          <w:color w:val="000000"/>
          <w:lang w:val="de-DE"/>
        </w:rPr>
        <w:t>e unterscheidende Kraft besitzt,</w:t>
      </w:r>
      <w:r w:rsidRPr="00921BB8">
        <w:rPr>
          <w:rFonts w:ascii="Times New Roman" w:eastAsia="Times New Roman" w:hAnsi="Times New Roman" w:cs="Times New Roman"/>
          <w:color w:val="000000"/>
          <w:lang w:val="de-DE"/>
        </w:rPr>
        <w:t xml:space="preserve"> kann bis zum inneren Unterscheiden gedrängt werden, wenn sie als </w:t>
      </w:r>
      <w:r w:rsidRPr="00921BB8">
        <w:rPr>
          <w:rFonts w:ascii="Times New Roman" w:eastAsia="Times New Roman" w:hAnsi="Times New Roman" w:cs="Times New Roman"/>
          <w:i/>
          <w:color w:val="000000"/>
          <w:lang w:val="de-DE"/>
        </w:rPr>
        <w:t>Scheinen des Scheinens</w:t>
      </w:r>
      <w:r w:rsidRPr="00921BB8">
        <w:rPr>
          <w:rFonts w:ascii="Times New Roman" w:eastAsia="Times New Roman" w:hAnsi="Times New Roman" w:cs="Times New Roman"/>
          <w:color w:val="000000"/>
          <w:lang w:val="de-DE"/>
        </w:rPr>
        <w:t>, als Negation des Verschwindens der Bestimmungen d</w:t>
      </w:r>
      <w:r w:rsidR="00C618A2">
        <w:rPr>
          <w:rFonts w:ascii="Times New Roman" w:eastAsia="Times New Roman" w:hAnsi="Times New Roman" w:cs="Times New Roman"/>
          <w:color w:val="000000"/>
          <w:lang w:val="de-DE"/>
        </w:rPr>
        <w:t xml:space="preserve">es Absoluten, erfasst wird. Im </w:t>
      </w:r>
      <w:r w:rsidRPr="00921BB8">
        <w:rPr>
          <w:rFonts w:ascii="Times New Roman" w:eastAsia="Times New Roman" w:hAnsi="Times New Roman" w:cs="Times New Roman"/>
          <w:color w:val="000000"/>
          <w:lang w:val="de-DE"/>
        </w:rPr>
        <w:t>„Modus des Absoluten</w:t>
      </w:r>
      <w:r w:rsidRPr="00921BB8">
        <w:rPr>
          <w:rFonts w:ascii="Times New Roman" w:eastAsia="Times New Roman" w:hAnsi="Times New Roman" w:cs="Times New Roman"/>
          <w:color w:val="000000"/>
        </w:rPr>
        <w:t>”</w:t>
      </w:r>
      <w:r w:rsidRPr="00921BB8">
        <w:rPr>
          <w:rFonts w:ascii="Times New Roman" w:eastAsia="Times New Roman" w:hAnsi="Times New Roman" w:cs="Times New Roman"/>
          <w:color w:val="000000"/>
          <w:lang w:val="de-DE"/>
        </w:rPr>
        <w:t xml:space="preserve"> hebt sich die bloße Negativität des Endlichen (der Modifikation) auf und wird zur Grundlage für die konkrete Manifestation der absoluten Identität gesetzt. </w:t>
      </w:r>
    </w:p>
    <w:p w14:paraId="143E6B8F" w14:textId="4FCCEBE3" w:rsidR="001C3D81" w:rsidRPr="00921BB8" w:rsidRDefault="001C3D81" w:rsidP="001C3D81">
      <w:pPr>
        <w:spacing w:line="360" w:lineRule="auto"/>
        <w:ind w:firstLine="567"/>
        <w:jc w:val="both"/>
        <w:rPr>
          <w:rFonts w:ascii="Times New Roman" w:eastAsia="Times New Roman" w:hAnsi="Times New Roman" w:cs="Times New Roman"/>
          <w:color w:val="000000"/>
          <w:lang w:val="de-DE"/>
        </w:rPr>
      </w:pPr>
      <w:r w:rsidRPr="00921BB8">
        <w:rPr>
          <w:rFonts w:ascii="Times New Roman" w:eastAsia="Times New Roman" w:hAnsi="Times New Roman" w:cs="Times New Roman"/>
          <w:color w:val="000000"/>
          <w:lang w:val="de-DE"/>
        </w:rPr>
        <w:t xml:space="preserve">In der ersten </w:t>
      </w:r>
      <w:r w:rsidRPr="00921BB8">
        <w:rPr>
          <w:rFonts w:ascii="Times New Roman" w:eastAsia="Times New Roman" w:hAnsi="Times New Roman" w:cs="Times New Roman"/>
          <w:i/>
          <w:color w:val="000000"/>
          <w:lang w:val="de-DE"/>
        </w:rPr>
        <w:t xml:space="preserve">Anmerkung </w:t>
      </w:r>
      <w:r w:rsidRPr="00921BB8">
        <w:rPr>
          <w:rFonts w:ascii="Times New Roman" w:eastAsia="Times New Roman" w:hAnsi="Times New Roman" w:cs="Times New Roman"/>
          <w:color w:val="000000"/>
          <w:lang w:val="de-DE"/>
        </w:rPr>
        <w:t xml:space="preserve">zur </w:t>
      </w:r>
      <w:r w:rsidRPr="00921BB8">
        <w:rPr>
          <w:rFonts w:ascii="Times New Roman" w:eastAsia="Times New Roman" w:hAnsi="Times New Roman" w:cs="Times New Roman"/>
          <w:i/>
          <w:color w:val="000000"/>
          <w:lang w:val="de-DE"/>
        </w:rPr>
        <w:t xml:space="preserve">Wirklichkeit </w:t>
      </w:r>
      <w:r w:rsidRPr="00921BB8">
        <w:rPr>
          <w:rFonts w:ascii="Times New Roman" w:eastAsia="Times New Roman" w:hAnsi="Times New Roman" w:cs="Times New Roman"/>
          <w:color w:val="000000"/>
          <w:lang w:val="de-DE"/>
        </w:rPr>
        <w:t xml:space="preserve">stellt Hegel fest, dass das oben dargestellte Modell des Absoluten dem </w:t>
      </w:r>
      <w:r w:rsidRPr="00921BB8">
        <w:rPr>
          <w:rFonts w:ascii="Times New Roman" w:eastAsia="Times New Roman" w:hAnsi="Times New Roman" w:cs="Times New Roman"/>
          <w:i/>
          <w:color w:val="000000"/>
          <w:lang w:val="de-DE"/>
        </w:rPr>
        <w:t xml:space="preserve">Begriff der Spinozistischen Substanz </w:t>
      </w:r>
      <w:r w:rsidRPr="00921BB8">
        <w:rPr>
          <w:rFonts w:ascii="Times New Roman" w:eastAsia="Times New Roman" w:hAnsi="Times New Roman" w:cs="Times New Roman"/>
          <w:color w:val="000000"/>
          <w:lang w:val="de-DE"/>
        </w:rPr>
        <w:t xml:space="preserve">entspricht. Das Spinozistische Prinzip </w:t>
      </w:r>
      <w:r w:rsidRPr="00921BB8">
        <w:rPr>
          <w:rFonts w:ascii="Times New Roman" w:eastAsia="Times New Roman" w:hAnsi="Times New Roman" w:cs="Times New Roman"/>
          <w:i/>
          <w:color w:val="000000"/>
          <w:lang w:val="de-DE"/>
        </w:rPr>
        <w:t xml:space="preserve">determinatio est negatio </w:t>
      </w:r>
      <w:r w:rsidRPr="00921BB8">
        <w:rPr>
          <w:rFonts w:ascii="Times New Roman" w:eastAsia="Times New Roman" w:hAnsi="Times New Roman" w:cs="Times New Roman"/>
          <w:color w:val="000000"/>
          <w:lang w:val="de-DE"/>
        </w:rPr>
        <w:t>reduziert das Göttliche auf ein einfaches Positives, das nicht „zur Erkenntniß derselben [Negation] als absoluter, das heißt, sich negierender Negation</w:t>
      </w:r>
      <w:r w:rsidRPr="00921BB8">
        <w:rPr>
          <w:rFonts w:ascii="Times New Roman" w:eastAsia="Times New Roman" w:hAnsi="Times New Roman" w:cs="Times New Roman"/>
          <w:color w:val="000000"/>
        </w:rPr>
        <w:t>”</w:t>
      </w:r>
      <w:r w:rsidRPr="00921BB8">
        <w:rPr>
          <w:rFonts w:ascii="Times New Roman" w:eastAsia="Times New Roman" w:hAnsi="Times New Roman" w:cs="Times New Roman"/>
          <w:color w:val="000000"/>
          <w:lang w:val="de-DE"/>
        </w:rPr>
        <w:t xml:space="preserve"> kommt, d.h. „seine Substanz enthält nicht selbst die absolute Form, und das Erkennen derselben ist kein immanentes Erkennen</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925"/>
      </w:r>
      <w:r w:rsidRPr="00921BB8">
        <w:rPr>
          <w:rFonts w:ascii="Times New Roman" w:eastAsia="Times New Roman" w:hAnsi="Times New Roman" w:cs="Times New Roman"/>
          <w:color w:val="000000"/>
          <w:lang w:val="de-DE"/>
        </w:rPr>
        <w:t>. Die sich selbst negierende Negation, d.h. die Negation, die an sich auch positiv ist, spiegelt die logische Natur des Gegensatzes wider, die dem Böhmeschen Begriff der Inqualierung</w:t>
      </w:r>
      <w:r w:rsidRPr="00921BB8">
        <w:rPr>
          <w:rFonts w:ascii="Times New Roman" w:eastAsia="Times New Roman" w:hAnsi="Times New Roman" w:cs="Times New Roman"/>
          <w:i/>
          <w:color w:val="000000"/>
          <w:lang w:val="de-DE"/>
        </w:rPr>
        <w:t xml:space="preserve"> </w:t>
      </w:r>
      <w:r w:rsidRPr="00921BB8">
        <w:rPr>
          <w:rFonts w:ascii="Times New Roman" w:eastAsia="Times New Roman" w:hAnsi="Times New Roman" w:cs="Times New Roman"/>
          <w:color w:val="000000"/>
          <w:lang w:val="de-DE"/>
        </w:rPr>
        <w:t xml:space="preserve">zugeschrieben wird. In dieser </w:t>
      </w:r>
      <w:r w:rsidRPr="00921BB8">
        <w:rPr>
          <w:rFonts w:ascii="Times New Roman" w:eastAsia="Times New Roman" w:hAnsi="Times New Roman" w:cs="Times New Roman"/>
          <w:i/>
          <w:color w:val="000000"/>
          <w:lang w:val="de-DE"/>
        </w:rPr>
        <w:t xml:space="preserve">Anmerkung </w:t>
      </w:r>
      <w:r w:rsidRPr="00921BB8">
        <w:rPr>
          <w:rFonts w:ascii="Times New Roman" w:eastAsia="Times New Roman" w:hAnsi="Times New Roman" w:cs="Times New Roman"/>
          <w:color w:val="000000"/>
          <w:lang w:val="de-DE"/>
        </w:rPr>
        <w:t>wäre es legitim,</w:t>
      </w:r>
      <w:r w:rsidRPr="00921BB8">
        <w:rPr>
          <w:rFonts w:ascii="Times New Roman" w:eastAsia="Times New Roman" w:hAnsi="Times New Roman" w:cs="Times New Roman"/>
          <w:i/>
          <w:color w:val="000000"/>
          <w:lang w:val="de-DE"/>
        </w:rPr>
        <w:t xml:space="preserve"> </w:t>
      </w:r>
      <w:r w:rsidRPr="00921BB8">
        <w:rPr>
          <w:rFonts w:ascii="Times New Roman" w:eastAsia="Times New Roman" w:hAnsi="Times New Roman" w:cs="Times New Roman"/>
          <w:color w:val="000000"/>
          <w:lang w:val="de-DE"/>
        </w:rPr>
        <w:t xml:space="preserve">einen Hinweis auf den Gedanken Böhmes zu erwarten. Diese Erwartung wird jedoch von Hegel missachtet, weil er sich niemals direkt auf den Görlitzer Schuster bezieht. Trotzdem legt Hegel Denkbestimmungen dar, die in Verbindung mit dem Böhmeschen Denken stehen. Die Analyse </w:t>
      </w:r>
      <w:r w:rsidR="00E45320">
        <w:rPr>
          <w:rFonts w:ascii="Times New Roman" w:eastAsia="Times New Roman" w:hAnsi="Times New Roman" w:cs="Times New Roman"/>
          <w:color w:val="000000"/>
          <w:lang w:val="de-DE"/>
        </w:rPr>
        <w:t>der Leibniz’schen Monadenlehre</w:t>
      </w:r>
      <w:r w:rsidRPr="00921BB8">
        <w:rPr>
          <w:rFonts w:ascii="Times New Roman" w:eastAsia="Times New Roman" w:hAnsi="Times New Roman" w:cs="Times New Roman"/>
          <w:color w:val="000000"/>
          <w:lang w:val="de-DE"/>
        </w:rPr>
        <w:t xml:space="preserve">, die </w:t>
      </w:r>
      <w:r w:rsidRPr="00921BB8">
        <w:rPr>
          <w:rFonts w:ascii="Times New Roman" w:eastAsia="Times New Roman" w:hAnsi="Times New Roman" w:cs="Times New Roman"/>
          <w:i/>
          <w:color w:val="000000"/>
          <w:lang w:val="de-DE"/>
        </w:rPr>
        <w:t xml:space="preserve">prima facie </w:t>
      </w:r>
      <w:r w:rsidRPr="00921BB8">
        <w:rPr>
          <w:rFonts w:ascii="Times New Roman" w:eastAsia="Times New Roman" w:hAnsi="Times New Roman" w:cs="Times New Roman"/>
          <w:color w:val="000000"/>
          <w:lang w:val="de-DE"/>
        </w:rPr>
        <w:t xml:space="preserve">eine Überwindung des Spinozismus anbietet, schließt einen argumentativen Böhmeschen Hintergrund nicht aus. </w:t>
      </w:r>
    </w:p>
    <w:p w14:paraId="39B105D2" w14:textId="77777777" w:rsidR="001C3D81" w:rsidRPr="00F73F19" w:rsidRDefault="001C3D81" w:rsidP="001C3D81">
      <w:pPr>
        <w:pStyle w:val="Paragrafoelenco"/>
        <w:spacing w:line="360" w:lineRule="auto"/>
        <w:ind w:left="0" w:firstLine="567"/>
        <w:jc w:val="both"/>
        <w:rPr>
          <w:rFonts w:ascii="Times New Roman" w:eastAsia="Times New Roman" w:hAnsi="Times New Roman" w:cs="Times New Roman"/>
          <w:color w:val="000000"/>
          <w:lang w:val="de-DE"/>
        </w:rPr>
      </w:pPr>
      <w:r w:rsidRPr="00921BB8">
        <w:rPr>
          <w:rFonts w:ascii="Times New Roman" w:eastAsia="Times New Roman" w:hAnsi="Times New Roman" w:cs="Times New Roman"/>
          <w:color w:val="000000"/>
          <w:lang w:val="de-DE"/>
        </w:rPr>
        <w:t>Die Monaden, die von Gott geschaffen werden, gewinnen einen begrenzten Inhalt, dem eine unbegrenzte Form desselben entspricht. Da „les monades n'ont point de fenêtres</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926"/>
      </w:r>
      <w:r w:rsidRPr="00921BB8">
        <w:rPr>
          <w:rFonts w:ascii="Times New Roman" w:eastAsia="Times New Roman" w:hAnsi="Times New Roman" w:cs="Times New Roman"/>
          <w:color w:val="000000"/>
          <w:lang w:val="de-DE"/>
        </w:rPr>
        <w:t>, entwickeln sie aufgrund der prästabilierten Harmonie eine Reihe von ähnlichen und sich überschneidenden Inhalten. Gott, oder die „sich auf sich selbst beziehende Negativität</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927"/>
      </w:r>
      <w:r w:rsidRPr="00921BB8">
        <w:rPr>
          <w:rFonts w:ascii="Times New Roman" w:eastAsia="Times New Roman" w:hAnsi="Times New Roman" w:cs="Times New Roman"/>
          <w:color w:val="000000"/>
          <w:lang w:val="de-DE"/>
        </w:rPr>
        <w:t>, bestimmt sein Anderssein und bringt Individuen hervor, in denen keine widerspiegelnde Dynamik stattfindet. Gott ist „Quelle der Existenz und des Wesens der Monaden</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928"/>
      </w:r>
      <w:r w:rsidRPr="00921BB8">
        <w:rPr>
          <w:rFonts w:ascii="Times New Roman" w:eastAsia="Times New Roman" w:hAnsi="Times New Roman" w:cs="Times New Roman"/>
          <w:color w:val="000000"/>
          <w:lang w:val="de-DE"/>
        </w:rPr>
        <w:t xml:space="preserve">, ohne dass ihre Unterscheidung, ihr gegenseitiger Zusammenhang und ihre Beziehung auf das Absolute eine spekulative Entwicklungsform gewinnt. Die absolute Monade ist </w:t>
      </w:r>
      <w:r w:rsidRPr="00921BB8">
        <w:rPr>
          <w:rFonts w:ascii="Times New Roman" w:eastAsia="Times New Roman" w:hAnsi="Times New Roman" w:cs="Times New Roman"/>
          <w:i/>
          <w:color w:val="000000"/>
          <w:lang w:val="de-DE"/>
        </w:rPr>
        <w:t xml:space="preserve">Quelle </w:t>
      </w:r>
      <w:r w:rsidRPr="00921BB8">
        <w:rPr>
          <w:rFonts w:ascii="Times New Roman" w:eastAsia="Times New Roman" w:hAnsi="Times New Roman" w:cs="Times New Roman"/>
          <w:color w:val="000000"/>
          <w:lang w:val="de-DE"/>
        </w:rPr>
        <w:t xml:space="preserve">ihrer Bestimmungen, die sich aber nicht in ihrem Anderssein </w:t>
      </w:r>
      <w:r w:rsidRPr="00921BB8">
        <w:rPr>
          <w:rFonts w:ascii="Times New Roman" w:eastAsia="Times New Roman" w:hAnsi="Times New Roman" w:cs="Times New Roman"/>
          <w:i/>
          <w:color w:val="000000"/>
          <w:lang w:val="de-DE"/>
        </w:rPr>
        <w:t>verklären</w:t>
      </w:r>
      <w:r w:rsidRPr="00921BB8">
        <w:rPr>
          <w:rFonts w:ascii="Times New Roman" w:eastAsia="Times New Roman" w:hAnsi="Times New Roman" w:cs="Times New Roman"/>
          <w:color w:val="000000"/>
          <w:lang w:val="de-DE"/>
        </w:rPr>
        <w:t xml:space="preserve">. Im Vergleich zu Spinozas Ontologie des reinen Lichts (Substanz=Positive) ist der Leibniz’sche Kosmos ein Zusammenhang von </w:t>
      </w:r>
      <w:r w:rsidRPr="00F73F19">
        <w:rPr>
          <w:rFonts w:ascii="Times New Roman" w:eastAsia="Times New Roman" w:hAnsi="Times New Roman" w:cs="Times New Roman"/>
          <w:color w:val="000000"/>
          <w:lang w:val="de-DE"/>
        </w:rPr>
        <w:t xml:space="preserve">dunklen und unreflektierten Punkten (Monaden=Negative), die nicht vom Licht des Verhältnisses zum Anderssein erleuchtet werden. </w:t>
      </w:r>
    </w:p>
    <w:p w14:paraId="453F2395" w14:textId="233CF9E1" w:rsidR="001C3D81" w:rsidRDefault="001C3D81" w:rsidP="0083266E">
      <w:pPr>
        <w:pStyle w:val="Paragrafoelenco"/>
        <w:spacing w:line="360" w:lineRule="auto"/>
        <w:ind w:left="0" w:firstLine="567"/>
        <w:jc w:val="both"/>
        <w:rPr>
          <w:rFonts w:ascii="Times New Roman" w:eastAsia="Times New Roman" w:hAnsi="Times New Roman" w:cs="Times New Roman"/>
          <w:color w:val="000000"/>
          <w:lang w:val="de-DE"/>
        </w:rPr>
      </w:pPr>
      <w:r w:rsidRPr="00F73F19">
        <w:rPr>
          <w:rFonts w:ascii="Times New Roman" w:eastAsia="Times New Roman" w:hAnsi="Times New Roman" w:cs="Times New Roman"/>
          <w:color w:val="000000"/>
          <w:lang w:val="de-DE"/>
        </w:rPr>
        <w:t>Etymolo</w:t>
      </w:r>
      <w:r w:rsidR="003453A5" w:rsidRPr="00F73F19">
        <w:rPr>
          <w:rFonts w:ascii="Times New Roman" w:eastAsia="Times New Roman" w:hAnsi="Times New Roman" w:cs="Times New Roman"/>
          <w:color w:val="000000"/>
          <w:lang w:val="de-DE"/>
        </w:rPr>
        <w:t>gisch und semantisch beziehen die Ausdrü</w:t>
      </w:r>
      <w:r w:rsidRPr="00F73F19">
        <w:rPr>
          <w:rFonts w:ascii="Times New Roman" w:eastAsia="Times New Roman" w:hAnsi="Times New Roman" w:cs="Times New Roman"/>
          <w:color w:val="000000"/>
          <w:lang w:val="de-DE"/>
        </w:rPr>
        <w:t>ck</w:t>
      </w:r>
      <w:r w:rsidR="003453A5" w:rsidRPr="00F73F19">
        <w:rPr>
          <w:rFonts w:ascii="Times New Roman" w:eastAsia="Times New Roman" w:hAnsi="Times New Roman" w:cs="Times New Roman"/>
          <w:color w:val="000000"/>
          <w:lang w:val="de-DE"/>
        </w:rPr>
        <w:t xml:space="preserve">e </w:t>
      </w:r>
      <w:r w:rsidR="003453A5" w:rsidRPr="00F73F19">
        <w:rPr>
          <w:rFonts w:ascii="Times New Roman" w:eastAsia="Times New Roman" w:hAnsi="Times New Roman" w:cs="Times New Roman"/>
          <w:i/>
          <w:color w:val="000000"/>
          <w:lang w:val="de-DE"/>
        </w:rPr>
        <w:t>Negativität</w:t>
      </w:r>
      <w:r w:rsidR="003453A5" w:rsidRPr="00F73F19">
        <w:rPr>
          <w:rFonts w:ascii="Times New Roman" w:eastAsia="Times New Roman" w:hAnsi="Times New Roman" w:cs="Times New Roman"/>
          <w:color w:val="000000"/>
          <w:lang w:val="de-DE"/>
        </w:rPr>
        <w:t xml:space="preserve"> und</w:t>
      </w:r>
      <w:r w:rsidRPr="00F73F19">
        <w:rPr>
          <w:rFonts w:ascii="Times New Roman" w:eastAsia="Times New Roman" w:hAnsi="Times New Roman" w:cs="Times New Roman"/>
          <w:color w:val="000000"/>
          <w:lang w:val="de-DE"/>
        </w:rPr>
        <w:t xml:space="preserve"> </w:t>
      </w:r>
      <w:r w:rsidRPr="00F73F19">
        <w:rPr>
          <w:rFonts w:ascii="Times New Roman" w:eastAsia="Times New Roman" w:hAnsi="Times New Roman" w:cs="Times New Roman"/>
          <w:i/>
          <w:color w:val="000000"/>
          <w:lang w:val="de-DE"/>
        </w:rPr>
        <w:t>Quelle</w:t>
      </w:r>
      <w:r w:rsidRPr="00F73F19">
        <w:rPr>
          <w:rFonts w:ascii="Times New Roman" w:eastAsia="Times New Roman" w:hAnsi="Times New Roman" w:cs="Times New Roman"/>
          <w:color w:val="000000"/>
          <w:lang w:val="de-DE"/>
        </w:rPr>
        <w:t xml:space="preserve"> sich</w:t>
      </w:r>
      <w:r w:rsidR="00E45320" w:rsidRPr="00F73F19">
        <w:rPr>
          <w:rFonts w:ascii="Times New Roman" w:eastAsia="Times New Roman" w:hAnsi="Times New Roman" w:cs="Times New Roman"/>
          <w:color w:val="000000"/>
          <w:lang w:val="de-DE"/>
        </w:rPr>
        <w:t xml:space="preserve"> nicht nur auf die Leibniz’sche Monadenlehre, sondern auch</w:t>
      </w:r>
      <w:r w:rsidRPr="00F73F19">
        <w:rPr>
          <w:rFonts w:ascii="Times New Roman" w:eastAsia="Times New Roman" w:hAnsi="Times New Roman" w:cs="Times New Roman"/>
          <w:color w:val="000000"/>
          <w:lang w:val="de-DE"/>
        </w:rPr>
        <w:t xml:space="preserve"> auf den Böhmeschen Begriff der Inqualierung.</w:t>
      </w:r>
      <w:r w:rsidRPr="00921BB8">
        <w:rPr>
          <w:rFonts w:ascii="Times New Roman" w:eastAsia="Times New Roman" w:hAnsi="Times New Roman" w:cs="Times New Roman"/>
          <w:color w:val="000000"/>
          <w:lang w:val="de-DE"/>
        </w:rPr>
        <w:t xml:space="preserve"> Im </w:t>
      </w:r>
      <w:r w:rsidRPr="00921BB8">
        <w:rPr>
          <w:rFonts w:ascii="Times New Roman" w:eastAsia="Times New Roman" w:hAnsi="Times New Roman" w:cs="Times New Roman"/>
          <w:i/>
          <w:color w:val="000000"/>
          <w:lang w:val="de-DE"/>
        </w:rPr>
        <w:t xml:space="preserve">Von den drey Prinzipien Göttliches Wesens </w:t>
      </w:r>
      <w:r w:rsidRPr="00921BB8">
        <w:rPr>
          <w:rFonts w:ascii="Times New Roman" w:eastAsia="Times New Roman" w:hAnsi="Times New Roman" w:cs="Times New Roman"/>
          <w:color w:val="000000"/>
          <w:lang w:val="de-DE"/>
        </w:rPr>
        <w:t xml:space="preserve">hat Böhme den Zusammenhang zwischen </w:t>
      </w:r>
      <w:r w:rsidRPr="00921BB8">
        <w:rPr>
          <w:rFonts w:ascii="Times New Roman" w:eastAsia="Times New Roman" w:hAnsi="Times New Roman" w:cs="Times New Roman"/>
          <w:i/>
          <w:color w:val="000000"/>
          <w:lang w:val="de-DE"/>
        </w:rPr>
        <w:t>Quelle</w:t>
      </w:r>
      <w:r w:rsidRPr="00921BB8">
        <w:rPr>
          <w:rFonts w:ascii="Times New Roman" w:eastAsia="Times New Roman" w:hAnsi="Times New Roman" w:cs="Times New Roman"/>
          <w:color w:val="000000"/>
          <w:lang w:val="de-DE"/>
        </w:rPr>
        <w:t xml:space="preserve">, </w:t>
      </w:r>
      <w:r w:rsidRPr="00921BB8">
        <w:rPr>
          <w:rFonts w:ascii="Times New Roman" w:eastAsia="Times New Roman" w:hAnsi="Times New Roman" w:cs="Times New Roman"/>
          <w:i/>
          <w:color w:val="000000"/>
          <w:lang w:val="de-DE"/>
        </w:rPr>
        <w:t xml:space="preserve">Qual </w:t>
      </w:r>
      <w:r w:rsidRPr="00921BB8">
        <w:rPr>
          <w:rFonts w:ascii="Times New Roman" w:eastAsia="Times New Roman" w:hAnsi="Times New Roman" w:cs="Times New Roman"/>
          <w:color w:val="000000"/>
          <w:lang w:val="de-DE"/>
        </w:rPr>
        <w:t xml:space="preserve">und </w:t>
      </w:r>
      <w:r w:rsidRPr="00921BB8">
        <w:rPr>
          <w:rFonts w:ascii="Times New Roman" w:eastAsia="Times New Roman" w:hAnsi="Times New Roman" w:cs="Times New Roman"/>
          <w:i/>
          <w:color w:val="000000"/>
          <w:lang w:val="de-DE"/>
        </w:rPr>
        <w:t xml:space="preserve">Qualität </w:t>
      </w:r>
      <w:r w:rsidRPr="00921BB8">
        <w:rPr>
          <w:rFonts w:ascii="Times New Roman" w:eastAsia="Times New Roman" w:hAnsi="Times New Roman" w:cs="Times New Roman"/>
          <w:color w:val="000000"/>
          <w:lang w:val="de-DE"/>
        </w:rPr>
        <w:t>vorgeschlagen: „nun ist im ängstlichen Gemüthe der Finsterniß die unaussprechliche Quall, davon der Name Qualität, als von vielen Qualen in einer Quell urkundet</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929"/>
      </w:r>
      <w:r w:rsidRPr="00921BB8">
        <w:rPr>
          <w:rFonts w:ascii="Times New Roman" w:eastAsia="Times New Roman" w:hAnsi="Times New Roman" w:cs="Times New Roman"/>
          <w:color w:val="000000"/>
          <w:lang w:val="de-DE"/>
        </w:rPr>
        <w:t xml:space="preserve">. Eine unaussprechliche Qual, die sich mit der Dunkelheit identifiziert und die gemeinsame Wurzel der </w:t>
      </w:r>
      <w:r w:rsidRPr="00921BB8">
        <w:rPr>
          <w:rFonts w:ascii="Times New Roman" w:eastAsia="Times New Roman" w:hAnsi="Times New Roman" w:cs="Times New Roman"/>
          <w:i/>
          <w:color w:val="000000"/>
          <w:lang w:val="de-DE"/>
        </w:rPr>
        <w:t xml:space="preserve">vielen Qualen </w:t>
      </w:r>
      <w:r w:rsidRPr="00921BB8">
        <w:rPr>
          <w:rFonts w:ascii="Times New Roman" w:eastAsia="Times New Roman" w:hAnsi="Times New Roman" w:cs="Times New Roman"/>
          <w:color w:val="000000"/>
          <w:lang w:val="de-DE"/>
        </w:rPr>
        <w:t xml:space="preserve">ist. Nach Böhme ist das Göttliche die </w:t>
      </w:r>
      <w:r w:rsidRPr="00921BB8">
        <w:rPr>
          <w:rFonts w:ascii="Times New Roman" w:eastAsia="Times New Roman" w:hAnsi="Times New Roman" w:cs="Times New Roman"/>
          <w:i/>
          <w:color w:val="000000"/>
          <w:lang w:val="de-DE"/>
        </w:rPr>
        <w:t xml:space="preserve">Quelle </w:t>
      </w:r>
      <w:r w:rsidRPr="00921BB8">
        <w:rPr>
          <w:rFonts w:ascii="Times New Roman" w:eastAsia="Times New Roman" w:hAnsi="Times New Roman" w:cs="Times New Roman"/>
          <w:color w:val="000000"/>
          <w:lang w:val="de-DE"/>
        </w:rPr>
        <w:t xml:space="preserve">seiner selbst: ohne diese dunkle Begierde nach </w:t>
      </w:r>
      <w:r w:rsidRPr="00921BB8">
        <w:rPr>
          <w:rFonts w:ascii="Times New Roman" w:eastAsia="Times New Roman" w:hAnsi="Times New Roman" w:cs="Times New Roman"/>
          <w:i/>
          <w:color w:val="000000"/>
          <w:lang w:val="de-DE"/>
        </w:rPr>
        <w:t>Klarheit</w:t>
      </w:r>
      <w:r w:rsidRPr="00921BB8">
        <w:rPr>
          <w:rFonts w:ascii="Times New Roman" w:eastAsia="Times New Roman" w:hAnsi="Times New Roman" w:cs="Times New Roman"/>
          <w:color w:val="000000"/>
          <w:lang w:val="de-DE"/>
        </w:rPr>
        <w:t xml:space="preserve"> (seine Offenbarung) wäre die Gottheit nur „ein Nichtes [...] nur das Einige</w:t>
      </w:r>
      <w:r w:rsidRPr="00921BB8">
        <w:rPr>
          <w:rFonts w:ascii="Times New Roman" w:eastAsia="Times New Roman" w:hAnsi="Times New Roman" w:cs="Times New Roman"/>
          <w:color w:val="000000"/>
        </w:rPr>
        <w:t>”</w:t>
      </w:r>
      <w:r w:rsidRPr="00921BB8">
        <w:rPr>
          <w:rFonts w:ascii="Times New Roman" w:eastAsia="Times New Roman" w:hAnsi="Times New Roman" w:cs="Times New Roman"/>
          <w:color w:val="000000"/>
          <w:lang w:val="de-DE"/>
        </w:rPr>
        <w:t>, „denn so das Gemüthe nicht mehr gebäre den Willen, so gebäre der Wille nicht das Herze, und das Herze das Licht, und das Licht die Kraft, und die Kraft den Geist</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930"/>
      </w:r>
      <w:r w:rsidRPr="00921BB8">
        <w:rPr>
          <w:rFonts w:ascii="Times New Roman" w:eastAsia="Times New Roman" w:hAnsi="Times New Roman" w:cs="Times New Roman"/>
          <w:color w:val="000000"/>
          <w:lang w:val="de-DE"/>
        </w:rPr>
        <w:t xml:space="preserve">. Der Ausdruck </w:t>
      </w:r>
      <w:r w:rsidRPr="00921BB8">
        <w:rPr>
          <w:rFonts w:ascii="Times New Roman" w:eastAsia="Times New Roman" w:hAnsi="Times New Roman" w:cs="Times New Roman"/>
          <w:i/>
          <w:color w:val="000000"/>
          <w:lang w:val="de-DE"/>
        </w:rPr>
        <w:t>Quell von vielen Qualen</w:t>
      </w:r>
      <w:r w:rsidRPr="00921BB8">
        <w:rPr>
          <w:rFonts w:ascii="Times New Roman" w:eastAsia="Times New Roman" w:hAnsi="Times New Roman" w:cs="Times New Roman"/>
          <w:color w:val="000000"/>
          <w:lang w:val="de-DE"/>
        </w:rPr>
        <w:t xml:space="preserve"> bedeutet,</w:t>
      </w:r>
      <w:r w:rsidRPr="00921BB8">
        <w:rPr>
          <w:rFonts w:ascii="Times New Roman" w:eastAsia="Times New Roman" w:hAnsi="Times New Roman" w:cs="Times New Roman"/>
          <w:i/>
          <w:color w:val="000000"/>
          <w:lang w:val="de-DE"/>
        </w:rPr>
        <w:t xml:space="preserve"> </w:t>
      </w:r>
      <w:r w:rsidRPr="00921BB8">
        <w:rPr>
          <w:rFonts w:ascii="Times New Roman" w:eastAsia="Times New Roman" w:hAnsi="Times New Roman" w:cs="Times New Roman"/>
          <w:color w:val="000000"/>
          <w:lang w:val="de-DE"/>
        </w:rPr>
        <w:t xml:space="preserve">dass das Göttliche freilich sich bestimmt (es geht aus seiner Nichtigkeit heraus) und bewahrt die verschiedenen Momente seiner Entwicklung in sich auf. Was sich aus der argumentativen und </w:t>
      </w:r>
      <w:r w:rsidRPr="00F73F19">
        <w:rPr>
          <w:rFonts w:ascii="Times New Roman" w:eastAsia="Times New Roman" w:hAnsi="Times New Roman" w:cs="Times New Roman"/>
          <w:color w:val="000000"/>
          <w:lang w:val="de-DE"/>
        </w:rPr>
        <w:t xml:space="preserve">terminologischen Struktur dieser </w:t>
      </w:r>
      <w:r w:rsidRPr="00F73F19">
        <w:rPr>
          <w:rFonts w:ascii="Times New Roman" w:eastAsia="Times New Roman" w:hAnsi="Times New Roman" w:cs="Times New Roman"/>
          <w:i/>
          <w:color w:val="000000"/>
          <w:lang w:val="de-DE"/>
        </w:rPr>
        <w:t xml:space="preserve">Anmerkung </w:t>
      </w:r>
      <w:r w:rsidRPr="00F73F19">
        <w:rPr>
          <w:rFonts w:ascii="Times New Roman" w:eastAsia="Times New Roman" w:hAnsi="Times New Roman" w:cs="Times New Roman"/>
          <w:color w:val="000000"/>
          <w:lang w:val="de-DE"/>
        </w:rPr>
        <w:t xml:space="preserve">ergibt, ist der implizite Hinweis auf einen Denker, auf Jakob Böhme, der eine barbarische Theorie des Absoluten entwickelt hat, die in der Lage ist, </w:t>
      </w:r>
      <w:r w:rsidR="00427907" w:rsidRPr="00F73F19">
        <w:rPr>
          <w:rFonts w:ascii="Times New Roman" w:eastAsia="Times New Roman" w:hAnsi="Times New Roman" w:cs="Times New Roman"/>
          <w:color w:val="000000"/>
          <w:lang w:val="de-DE"/>
        </w:rPr>
        <w:t>den Formalismus der Monadenlehre aufzuheben und das Göttliche als sich auf sich beziehende Negativität, als Quelle der Existenz und des Wesen seines Andersseins (als Qual von vielen Qualen) zu erfassen</w:t>
      </w:r>
      <w:r w:rsidR="00EF08B5" w:rsidRPr="00F73F19">
        <w:rPr>
          <w:rStyle w:val="Rimandonotaapidipagina"/>
          <w:rFonts w:ascii="Times New Roman" w:eastAsia="Times New Roman" w:hAnsi="Times New Roman" w:cs="Times New Roman"/>
          <w:color w:val="000000"/>
          <w:lang w:val="de-DE"/>
        </w:rPr>
        <w:footnoteReference w:id="931"/>
      </w:r>
      <w:r w:rsidR="00427907" w:rsidRPr="00F73F19">
        <w:rPr>
          <w:rFonts w:ascii="Times New Roman" w:eastAsia="Times New Roman" w:hAnsi="Times New Roman" w:cs="Times New Roman"/>
          <w:color w:val="000000"/>
          <w:lang w:val="de-DE"/>
        </w:rPr>
        <w:t>.</w:t>
      </w:r>
    </w:p>
    <w:p w14:paraId="67734175" w14:textId="77777777" w:rsidR="00427907" w:rsidRPr="0083266E" w:rsidRDefault="00427907" w:rsidP="0083266E">
      <w:pPr>
        <w:pStyle w:val="Paragrafoelenco"/>
        <w:spacing w:line="360" w:lineRule="auto"/>
        <w:ind w:left="0" w:firstLine="567"/>
        <w:jc w:val="both"/>
        <w:rPr>
          <w:rFonts w:ascii="Times New Roman" w:eastAsia="Times New Roman" w:hAnsi="Times New Roman" w:cs="Times New Roman"/>
          <w:color w:val="000000"/>
          <w:lang w:val="de-DE"/>
        </w:rPr>
      </w:pPr>
    </w:p>
    <w:p w14:paraId="2244F455" w14:textId="4229CE03" w:rsidR="001C3D81" w:rsidRPr="00921BB8" w:rsidRDefault="00171A01" w:rsidP="001C3D81">
      <w:pPr>
        <w:pStyle w:val="Paragrafoelenco"/>
        <w:spacing w:line="360" w:lineRule="auto"/>
        <w:ind w:left="0"/>
        <w:jc w:val="both"/>
        <w:rPr>
          <w:rFonts w:ascii="Times New Roman" w:eastAsia="Times New Roman" w:hAnsi="Times New Roman" w:cs="Times New Roman"/>
          <w:i/>
          <w:color w:val="000000"/>
          <w:lang w:val="de-DE"/>
        </w:rPr>
      </w:pPr>
      <w:r>
        <w:rPr>
          <w:rFonts w:ascii="Times New Roman" w:eastAsia="Times New Roman" w:hAnsi="Times New Roman" w:cs="Times New Roman"/>
          <w:i/>
          <w:color w:val="000000"/>
        </w:rPr>
        <w:t>2.5 Die wirkliche Quelle</w:t>
      </w:r>
      <w:r w:rsidR="001C3D81" w:rsidRPr="00921BB8">
        <w:rPr>
          <w:rFonts w:ascii="Times New Roman" w:eastAsia="Times New Roman" w:hAnsi="Times New Roman" w:cs="Times New Roman"/>
          <w:i/>
          <w:color w:val="000000"/>
        </w:rPr>
        <w:t xml:space="preserve"> oder der Böhmesche Beitrag zur Hegelschen Konzeption der </w:t>
      </w:r>
      <w:r w:rsidR="001C3D81" w:rsidRPr="00921BB8">
        <w:rPr>
          <w:rFonts w:ascii="Times New Roman" w:eastAsia="Times New Roman" w:hAnsi="Times New Roman" w:cs="Times New Roman"/>
          <w:color w:val="000000"/>
          <w:lang w:val="de-DE"/>
        </w:rPr>
        <w:t>Wirklichkeit</w:t>
      </w:r>
    </w:p>
    <w:p w14:paraId="4A5E1541" w14:textId="77777777" w:rsidR="001C3D81" w:rsidRPr="00921BB8" w:rsidRDefault="001C3D81" w:rsidP="001C3D81">
      <w:pPr>
        <w:pStyle w:val="Paragrafoelenco"/>
        <w:spacing w:line="360" w:lineRule="auto"/>
        <w:ind w:left="0"/>
        <w:jc w:val="both"/>
        <w:rPr>
          <w:rFonts w:ascii="Times New Roman" w:hAnsi="Times New Roman" w:cs="Times New Roman"/>
          <w:i/>
        </w:rPr>
      </w:pPr>
    </w:p>
    <w:p w14:paraId="1662372E" w14:textId="77777777" w:rsidR="001C3D81" w:rsidRPr="00921BB8" w:rsidRDefault="001C3D81" w:rsidP="001C3D81">
      <w:pPr>
        <w:pStyle w:val="Paragrafoelenco"/>
        <w:spacing w:line="360" w:lineRule="auto"/>
        <w:ind w:left="0" w:firstLine="567"/>
        <w:jc w:val="both"/>
        <w:rPr>
          <w:rFonts w:ascii="Times New Roman" w:eastAsia="Times New Roman" w:hAnsi="Times New Roman" w:cs="Times New Roman"/>
          <w:color w:val="000000"/>
          <w:lang w:val="de-DE"/>
        </w:rPr>
      </w:pPr>
      <w:r w:rsidRPr="00921BB8">
        <w:rPr>
          <w:rFonts w:ascii="Times New Roman" w:eastAsia="Times New Roman" w:hAnsi="Times New Roman" w:cs="Times New Roman"/>
          <w:color w:val="000000"/>
          <w:lang w:val="de-DE"/>
        </w:rPr>
        <w:t>Dank der Aufhebung seiner scheinenden Auslegung manifestiert sich das Innere in der Sphäre der Äußerlichkeit: „es manifestiert sich; das heißt, es ist in seiner Äußerlichkeit es selbst</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932"/>
      </w:r>
      <w:r w:rsidRPr="00921BB8">
        <w:rPr>
          <w:rFonts w:ascii="Times New Roman" w:eastAsia="Times New Roman" w:hAnsi="Times New Roman" w:cs="Times New Roman"/>
          <w:color w:val="000000"/>
          <w:lang w:val="de-DE"/>
        </w:rPr>
        <w:t>. Diese Dynamik des sich-Manifestierens erfordert eine Erklärung der Möglichkeitsbedingungen, aus denen sich das Innere äußern kann. Hegels Analyse beschäftigt sich mit den modalen Kategorien</w:t>
      </w:r>
      <w:r w:rsidRPr="00921BB8">
        <w:rPr>
          <w:rStyle w:val="Rimandonotaapidipagina"/>
          <w:rFonts w:ascii="Times New Roman" w:eastAsia="Times New Roman" w:hAnsi="Times New Roman" w:cs="Times New Roman"/>
          <w:color w:val="000000"/>
          <w:lang w:val="de-DE"/>
        </w:rPr>
        <w:footnoteReference w:id="933"/>
      </w:r>
      <w:r w:rsidRPr="00921BB8">
        <w:rPr>
          <w:rFonts w:ascii="Times New Roman" w:eastAsia="Times New Roman" w:hAnsi="Times New Roman" w:cs="Times New Roman"/>
          <w:color w:val="000000"/>
          <w:lang w:val="de-DE"/>
        </w:rPr>
        <w:t>. Das Wirkliche definiert sich als das, was möglich und nicht widersprüchlich ist. Um sich selbst zu verwirklichen, muss der Inhalt dem Satz des Widerspruchs entsprechen</w:t>
      </w:r>
      <w:r w:rsidRPr="00921BB8">
        <w:rPr>
          <w:rFonts w:ascii="Times New Roman" w:eastAsia="Times New Roman" w:hAnsi="Times New Roman" w:cs="Times New Roman"/>
          <w:color w:val="000000"/>
        </w:rPr>
        <w:t xml:space="preserve">. </w:t>
      </w:r>
      <w:r w:rsidRPr="00921BB8">
        <w:rPr>
          <w:rFonts w:ascii="Times New Roman" w:eastAsia="Times New Roman" w:hAnsi="Times New Roman" w:cs="Times New Roman"/>
          <w:color w:val="000000"/>
          <w:lang w:val="de-DE"/>
        </w:rPr>
        <w:t xml:space="preserve">In Übereinstimmung mit diesem Prinzip folgt die erste Einheit von Innen und Außen, die </w:t>
      </w:r>
      <w:r w:rsidRPr="00921BB8">
        <w:rPr>
          <w:rFonts w:ascii="Times New Roman" w:eastAsia="Times New Roman" w:hAnsi="Times New Roman" w:cs="Times New Roman"/>
          <w:i/>
          <w:color w:val="000000"/>
          <w:lang w:val="de-DE"/>
        </w:rPr>
        <w:t>Zufälligkeit</w:t>
      </w:r>
      <w:r w:rsidRPr="00921BB8">
        <w:rPr>
          <w:rFonts w:ascii="Times New Roman" w:eastAsia="Times New Roman" w:hAnsi="Times New Roman" w:cs="Times New Roman"/>
          <w:color w:val="000000"/>
          <w:lang w:val="de-DE"/>
        </w:rPr>
        <w:t xml:space="preserve">. Das Zufällige ist ein Mögliches, das sich entwickelt hat, und dessen Gegenteil, wenn es nicht widersprüchlich ist, ebenso möglich ist. Als einfache Existenz ist das Zufällige etwas Unmittelbares, das keinen Grund hat. Zugleich hat das Zufällige einen Grund, weil es wirklich geworden ist. Wenn die Bestimmungen sich vereinigen, erhebt sich das Zufällige </w:t>
      </w:r>
      <w:r w:rsidRPr="00921BB8">
        <w:rPr>
          <w:rFonts w:ascii="Times New Roman" w:eastAsia="Times New Roman" w:hAnsi="Times New Roman" w:cs="Times New Roman"/>
          <w:i/>
          <w:color w:val="000000"/>
          <w:lang w:val="de-DE"/>
        </w:rPr>
        <w:t>zum Nothwendigen</w:t>
      </w:r>
      <w:r w:rsidRPr="00921BB8">
        <w:rPr>
          <w:rFonts w:ascii="Times New Roman" w:eastAsia="Times New Roman" w:hAnsi="Times New Roman" w:cs="Times New Roman"/>
          <w:color w:val="000000"/>
          <w:lang w:val="de-DE"/>
        </w:rPr>
        <w:t>.</w:t>
      </w:r>
    </w:p>
    <w:p w14:paraId="50EBAE03" w14:textId="701450B0" w:rsidR="001C3D81" w:rsidRPr="00921BB8" w:rsidRDefault="001C3D81" w:rsidP="001C3D81">
      <w:pPr>
        <w:pStyle w:val="Paragrafoelenco"/>
        <w:spacing w:line="360" w:lineRule="auto"/>
        <w:ind w:left="0" w:firstLine="567"/>
        <w:jc w:val="both"/>
        <w:rPr>
          <w:rFonts w:ascii="Times New Roman" w:eastAsia="Times New Roman" w:hAnsi="Times New Roman" w:cs="Times New Roman"/>
          <w:color w:val="000000"/>
          <w:lang w:val="de-DE"/>
        </w:rPr>
      </w:pPr>
      <w:r w:rsidRPr="00921BB8">
        <w:rPr>
          <w:rFonts w:ascii="Times New Roman" w:eastAsia="Times New Roman" w:hAnsi="Times New Roman" w:cs="Times New Roman"/>
          <w:color w:val="000000"/>
          <w:lang w:val="de-DE"/>
        </w:rPr>
        <w:t xml:space="preserve">Die Notwendigkeit ist zunächst </w:t>
      </w:r>
      <w:r w:rsidRPr="00921BB8">
        <w:rPr>
          <w:rFonts w:ascii="Times New Roman" w:eastAsia="Times New Roman" w:hAnsi="Times New Roman" w:cs="Times New Roman"/>
          <w:i/>
          <w:color w:val="000000"/>
        </w:rPr>
        <w:t>formelle Notwendigkeit</w:t>
      </w:r>
      <w:r w:rsidRPr="00921BB8">
        <w:rPr>
          <w:rFonts w:ascii="Times New Roman" w:eastAsia="Times New Roman" w:hAnsi="Times New Roman" w:cs="Times New Roman"/>
          <w:color w:val="000000"/>
          <w:lang w:val="de-DE"/>
        </w:rPr>
        <w:t xml:space="preserve">: wegen </w:t>
      </w:r>
      <w:r w:rsidR="00D20A26">
        <w:rPr>
          <w:rFonts w:ascii="Times New Roman" w:eastAsia="Times New Roman" w:hAnsi="Times New Roman" w:cs="Times New Roman"/>
          <w:color w:val="000000"/>
          <w:lang w:val="de-DE"/>
        </w:rPr>
        <w:t>ihr</w:t>
      </w:r>
      <w:r w:rsidR="00D20A26" w:rsidRPr="00802DA1">
        <w:rPr>
          <w:rFonts w:ascii="Times New Roman" w:eastAsia="Times New Roman" w:hAnsi="Times New Roman" w:cs="Times New Roman"/>
          <w:color w:val="000000"/>
          <w:lang w:val="de-DE"/>
        </w:rPr>
        <w:t xml:space="preserve">er </w:t>
      </w:r>
      <w:r w:rsidRPr="00921BB8">
        <w:rPr>
          <w:rFonts w:ascii="Times New Roman" w:eastAsia="Times New Roman" w:hAnsi="Times New Roman" w:cs="Times New Roman"/>
          <w:color w:val="000000"/>
          <w:lang w:val="de-DE"/>
        </w:rPr>
        <w:t xml:space="preserve">Gleichgültigkeit gegen die </w:t>
      </w:r>
      <w:r w:rsidRPr="00921BB8">
        <w:rPr>
          <w:rFonts w:ascii="Times New Roman" w:eastAsia="Times New Roman" w:hAnsi="Times New Roman" w:cs="Times New Roman"/>
          <w:i/>
          <w:color w:val="000000"/>
          <w:lang w:val="de-DE"/>
        </w:rPr>
        <w:t>Formbestimmungen</w:t>
      </w:r>
      <w:r w:rsidRPr="00921BB8">
        <w:rPr>
          <w:rFonts w:ascii="Times New Roman" w:eastAsia="Times New Roman" w:hAnsi="Times New Roman" w:cs="Times New Roman"/>
          <w:color w:val="000000"/>
          <w:lang w:val="de-DE"/>
        </w:rPr>
        <w:t xml:space="preserve"> hat sie einen indifferenten und mannigfaltigen Inhalt. Die Wirklichkeit wird noch nicht als Substanz, sondern als logischer Spiegel der „existierenden Welt</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934"/>
      </w:r>
      <w:r w:rsidRPr="00921BB8">
        <w:rPr>
          <w:rFonts w:ascii="Times New Roman" w:eastAsia="Times New Roman" w:hAnsi="Times New Roman" w:cs="Times New Roman"/>
          <w:color w:val="000000"/>
          <w:lang w:val="de-DE"/>
        </w:rPr>
        <w:t xml:space="preserve"> aufgefasst. Was wirklich ist, manifestiert sich durch seine Fähigkeit zu wirken: „was wirklich ist, kann wirken</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935"/>
      </w:r>
      <w:r w:rsidRPr="00921BB8">
        <w:rPr>
          <w:rFonts w:ascii="Times New Roman" w:eastAsia="Times New Roman" w:hAnsi="Times New Roman" w:cs="Times New Roman"/>
          <w:color w:val="000000"/>
          <w:lang w:val="de-DE"/>
        </w:rPr>
        <w:t xml:space="preserve">. Die Fähigkeit zu wirken und die Wirklichkeit einer Sache setzen ihrerseits eine Reihe von gegebenen </w:t>
      </w:r>
      <w:r w:rsidRPr="00921BB8">
        <w:rPr>
          <w:rFonts w:ascii="Times New Roman" w:eastAsia="Times New Roman" w:hAnsi="Times New Roman" w:cs="Times New Roman"/>
          <w:i/>
          <w:color w:val="000000"/>
          <w:lang w:val="de-DE"/>
        </w:rPr>
        <w:t xml:space="preserve">Umständen </w:t>
      </w:r>
      <w:r w:rsidRPr="00921BB8">
        <w:rPr>
          <w:rFonts w:ascii="Times New Roman" w:eastAsia="Times New Roman" w:hAnsi="Times New Roman" w:cs="Times New Roman"/>
          <w:color w:val="000000"/>
          <w:lang w:val="de-DE"/>
        </w:rPr>
        <w:t xml:space="preserve">und </w:t>
      </w:r>
      <w:r w:rsidRPr="00921BB8">
        <w:rPr>
          <w:rFonts w:ascii="Times New Roman" w:eastAsia="Times New Roman" w:hAnsi="Times New Roman" w:cs="Times New Roman"/>
          <w:i/>
          <w:color w:val="000000"/>
          <w:lang w:val="de-DE"/>
        </w:rPr>
        <w:t xml:space="preserve">Bedingungen </w:t>
      </w:r>
      <w:r w:rsidRPr="00921BB8">
        <w:rPr>
          <w:rFonts w:ascii="Times New Roman" w:eastAsia="Times New Roman" w:hAnsi="Times New Roman" w:cs="Times New Roman"/>
          <w:color w:val="000000"/>
          <w:lang w:val="de-DE"/>
        </w:rPr>
        <w:t>voraus. Wenn alle Bedingungen einer Sache gegeben sind, dann tritt sie notwendigerweise in die Wirklichkeit ein: „die Vollständigkeit der Bedingungen ist die Totalität als am Inhalte, und die Sache selbst ist dieser Inhalt bestimmt eben so ein Wirkliches als Mögliches zu seyn</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936"/>
      </w:r>
      <w:r w:rsidRPr="00921BB8">
        <w:rPr>
          <w:rFonts w:ascii="Times New Roman" w:eastAsia="Times New Roman" w:hAnsi="Times New Roman" w:cs="Times New Roman"/>
          <w:color w:val="000000"/>
          <w:lang w:val="de-DE"/>
        </w:rPr>
        <w:t xml:space="preserve">. </w:t>
      </w:r>
      <w:r w:rsidRPr="00921BB8">
        <w:rPr>
          <w:rFonts w:ascii="Times New Roman" w:eastAsia="Times New Roman" w:hAnsi="Times New Roman" w:cs="Times New Roman"/>
          <w:color w:val="000000"/>
        </w:rPr>
        <w:t xml:space="preserve">Die </w:t>
      </w:r>
      <w:r w:rsidRPr="00921BB8">
        <w:rPr>
          <w:rFonts w:ascii="Times New Roman" w:eastAsia="Times New Roman" w:hAnsi="Times New Roman" w:cs="Times New Roman"/>
          <w:color w:val="000000"/>
          <w:lang w:val="de-DE"/>
        </w:rPr>
        <w:t>reale Notwendigkeit</w:t>
      </w:r>
      <w:r w:rsidRPr="00921BB8">
        <w:rPr>
          <w:rFonts w:ascii="Times New Roman" w:eastAsia="Times New Roman" w:hAnsi="Times New Roman" w:cs="Times New Roman"/>
          <w:color w:val="000000"/>
        </w:rPr>
        <w:t xml:space="preserve"> </w:t>
      </w:r>
      <w:r w:rsidRPr="00921BB8">
        <w:rPr>
          <w:rFonts w:ascii="Times New Roman" w:eastAsia="Times New Roman" w:hAnsi="Times New Roman" w:cs="Times New Roman"/>
          <w:color w:val="000000"/>
          <w:lang w:val="de-DE"/>
        </w:rPr>
        <w:t>ergibt sich aus bestimmten Umständen und Bedingungen, deren Dasein völlig zufällig ist. Aufgrund dieser Abhängigkeit von zufälligen Bedingungen manifestiert sich die reale Notwendigkeit als eine relative Notwendigkeit, die „an dem Zufälligen ihren Ausgangspunkt</w:t>
      </w:r>
      <w:r w:rsidRPr="00921BB8">
        <w:rPr>
          <w:rFonts w:ascii="Times New Roman" w:eastAsia="Times New Roman" w:hAnsi="Times New Roman" w:cs="Times New Roman"/>
          <w:color w:val="000000"/>
        </w:rPr>
        <w:t>”</w:t>
      </w:r>
      <w:r w:rsidRPr="00921BB8">
        <w:rPr>
          <w:rFonts w:ascii="Times New Roman" w:eastAsia="Times New Roman" w:hAnsi="Times New Roman" w:cs="Times New Roman"/>
          <w:color w:val="000000"/>
          <w:lang w:val="de-DE"/>
        </w:rPr>
        <w:t xml:space="preserve"> hat</w:t>
      </w:r>
      <w:r w:rsidRPr="00921BB8">
        <w:rPr>
          <w:rStyle w:val="Rimandonotaapidipagina"/>
          <w:rFonts w:ascii="Times New Roman" w:eastAsia="Times New Roman" w:hAnsi="Times New Roman" w:cs="Times New Roman"/>
          <w:color w:val="000000"/>
          <w:lang w:val="de-DE"/>
        </w:rPr>
        <w:footnoteReference w:id="937"/>
      </w:r>
      <w:r w:rsidRPr="00921BB8">
        <w:rPr>
          <w:rFonts w:ascii="Times New Roman" w:eastAsia="Times New Roman" w:hAnsi="Times New Roman" w:cs="Times New Roman"/>
          <w:color w:val="000000"/>
          <w:lang w:val="de-DE"/>
        </w:rPr>
        <w:t>. Wenn die zufälligen Bedingungen vorhanden sind, hebt die Zufälligkeit sich selbst auf: die Notwendigkeit, die die Zufälligkeit in sich enthält, überwindet sowohl die formale Notwendigkeit als auch die reale Notwendigkeit.</w:t>
      </w:r>
    </w:p>
    <w:p w14:paraId="7C7F7BCF" w14:textId="1FAA4E85" w:rsidR="001C3D81" w:rsidRPr="00921BB8" w:rsidRDefault="001C3D81" w:rsidP="001C3D81">
      <w:pPr>
        <w:pStyle w:val="Paragrafoelenco"/>
        <w:spacing w:line="360" w:lineRule="auto"/>
        <w:ind w:left="0" w:firstLine="567"/>
        <w:jc w:val="both"/>
        <w:rPr>
          <w:rFonts w:ascii="Times New Roman" w:eastAsia="Times New Roman" w:hAnsi="Times New Roman" w:cs="Times New Roman"/>
          <w:color w:val="000000"/>
          <w:lang w:val="de-DE"/>
        </w:rPr>
      </w:pPr>
      <w:r w:rsidRPr="00921BB8">
        <w:rPr>
          <w:rFonts w:ascii="Times New Roman" w:eastAsia="Times New Roman" w:hAnsi="Times New Roman" w:cs="Times New Roman"/>
          <w:color w:val="000000"/>
          <w:lang w:val="de-DE"/>
        </w:rPr>
        <w:t xml:space="preserve">Die </w:t>
      </w:r>
      <w:r w:rsidRPr="00921BB8">
        <w:rPr>
          <w:rFonts w:ascii="Times New Roman" w:eastAsia="Times New Roman" w:hAnsi="Times New Roman" w:cs="Times New Roman"/>
          <w:i/>
          <w:color w:val="000000"/>
          <w:lang w:val="de-DE"/>
        </w:rPr>
        <w:t xml:space="preserve">absolute Notwendigkeit </w:t>
      </w:r>
      <w:r w:rsidRPr="00921BB8">
        <w:rPr>
          <w:rFonts w:ascii="Times New Roman" w:eastAsia="Times New Roman" w:hAnsi="Times New Roman" w:cs="Times New Roman"/>
          <w:color w:val="000000"/>
          <w:lang w:val="de-DE"/>
        </w:rPr>
        <w:t xml:space="preserve">enthält in sich die </w:t>
      </w:r>
      <w:r w:rsidR="00F257A1" w:rsidRPr="00921BB8">
        <w:rPr>
          <w:rFonts w:ascii="Times New Roman" w:eastAsia="Times New Roman" w:hAnsi="Times New Roman" w:cs="Times New Roman"/>
          <w:color w:val="000000"/>
          <w:lang w:val="de-DE"/>
        </w:rPr>
        <w:t xml:space="preserve">Mannigfaltigkeit </w:t>
      </w:r>
      <w:r w:rsidRPr="00921BB8">
        <w:rPr>
          <w:rFonts w:ascii="Times New Roman" w:eastAsia="Times New Roman" w:hAnsi="Times New Roman" w:cs="Times New Roman"/>
          <w:color w:val="000000"/>
          <w:lang w:val="de-DE"/>
        </w:rPr>
        <w:t xml:space="preserve">der Bedingungen; die </w:t>
      </w:r>
      <w:r w:rsidR="00F257A1" w:rsidRPr="00921BB8">
        <w:rPr>
          <w:rFonts w:ascii="Times New Roman" w:eastAsia="Times New Roman" w:hAnsi="Times New Roman" w:cs="Times New Roman"/>
          <w:color w:val="000000"/>
          <w:lang w:val="de-DE"/>
        </w:rPr>
        <w:t xml:space="preserve">Mannigfaltigkeit </w:t>
      </w:r>
      <w:r w:rsidRPr="00921BB8">
        <w:rPr>
          <w:rFonts w:ascii="Times New Roman" w:eastAsia="Times New Roman" w:hAnsi="Times New Roman" w:cs="Times New Roman"/>
          <w:color w:val="000000"/>
          <w:lang w:val="de-DE"/>
        </w:rPr>
        <w:t>der Bedingungen, die in Einheit mit der Notwendigkeit gesetzt wird, wird in der absoluten Identität aufgehoben. Das, was aufgehoben wird, wird in der folgenden Reflexionsbestimmung aufbewahrt; das, was sein Anderssein in sich enthält, kann es als ein Material seiner Tätigkeit benutzen. Aufgrund ihrer absoluten Negativität bestimmt sich die absolute Notwendigkeit als Zufälligkeit: „in ihrem Seyn sich von sich abstößt, in diesem Abstoßen selbst nur in sich zurückgekehrt ist und in dieser Rückkehr als ihr Seyn sich von sich selbst abgestoßen hat</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938"/>
      </w:r>
      <w:r w:rsidRPr="00921BB8">
        <w:rPr>
          <w:rFonts w:ascii="Times New Roman" w:eastAsia="Times New Roman" w:hAnsi="Times New Roman" w:cs="Times New Roman"/>
          <w:color w:val="000000"/>
          <w:lang w:val="de-DE"/>
        </w:rPr>
        <w:t>. Das Unterschiedene stellt jedoch eine „seyende Mannichfaltigkeit</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939"/>
      </w:r>
      <w:r w:rsidRPr="00921BB8">
        <w:rPr>
          <w:rFonts w:ascii="Times New Roman" w:eastAsia="Times New Roman" w:hAnsi="Times New Roman" w:cs="Times New Roman"/>
          <w:color w:val="000000"/>
        </w:rPr>
        <w:t xml:space="preserve"> dar, </w:t>
      </w:r>
      <w:r w:rsidRPr="00921BB8">
        <w:rPr>
          <w:rFonts w:ascii="Times New Roman" w:eastAsia="Times New Roman" w:hAnsi="Times New Roman" w:cs="Times New Roman"/>
          <w:color w:val="000000"/>
          <w:lang w:val="de-DE"/>
        </w:rPr>
        <w:t>die sich selbständig gegenüber der absoluten Notwendigkeit strukturiert. Es entsteht eine relationale Dynamik, die der Leibniz’schen Monadologie entspricht: „dieses Wesen ist die Lichtscheue, weil an diesen Wirklichkeiten kein Scheinen, kein Reflex ist, weil sie nur rein in sich gegründet, für sich gestaltet sind, sich nur selbst manifestieren – weil sie nur Seyn sind</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940"/>
      </w:r>
      <w:r w:rsidRPr="00921BB8">
        <w:rPr>
          <w:rFonts w:ascii="Times New Roman" w:eastAsia="Times New Roman" w:hAnsi="Times New Roman" w:cs="Times New Roman"/>
          <w:color w:val="000000"/>
          <w:lang w:val="de-DE"/>
        </w:rPr>
        <w:t>. Die Scheu vor dem Licht lässt diese Mannigfaltigkeit für sich existieren. Die Manifestation der absoluten Notwendigkeit bildet sich als ein Befreiungsprozess der seienden Mannigfaltigkeit vom Wesen heraus. Die Zufälligkeit wird nicht mehr in der Einheit bewahrt, weil keine Reflexion-in-sich durch das Andere seiner selbst stattfindet.</w:t>
      </w:r>
    </w:p>
    <w:p w14:paraId="41BDA26B" w14:textId="060270EB" w:rsidR="001C3D81" w:rsidRPr="00921BB8" w:rsidRDefault="001C3D81" w:rsidP="001C3D81">
      <w:pPr>
        <w:pStyle w:val="Paragrafoelenco"/>
        <w:spacing w:line="360" w:lineRule="auto"/>
        <w:ind w:left="0" w:firstLine="567"/>
        <w:jc w:val="both"/>
        <w:rPr>
          <w:rFonts w:ascii="Times New Roman" w:eastAsia="Times New Roman" w:hAnsi="Times New Roman" w:cs="Times New Roman"/>
          <w:color w:val="000000"/>
          <w:lang w:val="de-DE"/>
        </w:rPr>
      </w:pPr>
      <w:r w:rsidRPr="00921BB8">
        <w:rPr>
          <w:rFonts w:ascii="Times New Roman" w:eastAsia="Times New Roman" w:hAnsi="Times New Roman" w:cs="Times New Roman"/>
          <w:color w:val="000000"/>
          <w:lang w:val="de-DE"/>
        </w:rPr>
        <w:t>Gerade am Punkt der maximalen Entfernung der Extreme äußert die Substanz sich und verinnerlicht sich die für-sich-seiende Mannigfaltigkeit sich. Als „negative Beziehung auf sich selbst</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941"/>
      </w:r>
      <w:r w:rsidRPr="00921BB8">
        <w:rPr>
          <w:rFonts w:ascii="Times New Roman" w:eastAsia="Times New Roman" w:hAnsi="Times New Roman" w:cs="Times New Roman"/>
          <w:color w:val="000000"/>
        </w:rPr>
        <w:t xml:space="preserve"> </w:t>
      </w:r>
      <w:r w:rsidRPr="00921BB8">
        <w:rPr>
          <w:rFonts w:ascii="Times New Roman" w:eastAsia="Times New Roman" w:hAnsi="Times New Roman" w:cs="Times New Roman"/>
          <w:color w:val="000000"/>
          <w:lang w:val="de-DE"/>
        </w:rPr>
        <w:t>geht d</w:t>
      </w:r>
      <w:r w:rsidRPr="00921BB8">
        <w:rPr>
          <w:rFonts w:ascii="Times New Roman" w:eastAsia="Times New Roman" w:hAnsi="Times New Roman" w:cs="Times New Roman"/>
          <w:color w:val="000000"/>
        </w:rPr>
        <w:t xml:space="preserve">ie </w:t>
      </w:r>
      <w:r w:rsidRPr="00921BB8">
        <w:rPr>
          <w:rFonts w:ascii="Times New Roman" w:eastAsia="Times New Roman" w:hAnsi="Times New Roman" w:cs="Times New Roman"/>
          <w:color w:val="000000"/>
          <w:lang w:val="de-DE"/>
        </w:rPr>
        <w:t xml:space="preserve">absolute Notwendigkeit in ihr Anderssein über; das Andere reflektiert sich wiederum in sich, entfaltet seine innere Negativität und kehrt in das Wesentliche zurück. Aus der monadischen Zerstreuung werden wir in die Einheit der Substanz zurückgedrängt. Im Abschnitt über das </w:t>
      </w:r>
      <w:r w:rsidRPr="00921BB8">
        <w:rPr>
          <w:rFonts w:ascii="Times New Roman" w:eastAsia="Times New Roman" w:hAnsi="Times New Roman" w:cs="Times New Roman"/>
          <w:i/>
          <w:color w:val="000000"/>
          <w:lang w:val="de-DE"/>
        </w:rPr>
        <w:t xml:space="preserve">Verhältnis der Substantialität </w:t>
      </w:r>
      <w:r w:rsidRPr="00921BB8">
        <w:rPr>
          <w:rFonts w:ascii="Times New Roman" w:eastAsia="Times New Roman" w:hAnsi="Times New Roman" w:cs="Times New Roman"/>
          <w:color w:val="000000"/>
          <w:lang w:val="de-DE"/>
        </w:rPr>
        <w:t>schreibt Hegel, dass „das Absolute, zuerst von äußerer Reflexion ausgelegt, nun als absolute Form oder als Notwendigkeit sich s</w:t>
      </w:r>
      <w:r w:rsidR="008E4949">
        <w:rPr>
          <w:rFonts w:ascii="Times New Roman" w:eastAsia="Times New Roman" w:hAnsi="Times New Roman" w:cs="Times New Roman"/>
          <w:color w:val="000000"/>
          <w:lang w:val="de-DE"/>
        </w:rPr>
        <w:t>elbst aus</w:t>
      </w:r>
      <w:r w:rsidRPr="00921BB8">
        <w:rPr>
          <w:rFonts w:ascii="Times New Roman" w:eastAsia="Times New Roman" w:hAnsi="Times New Roman" w:cs="Times New Roman"/>
          <w:color w:val="000000"/>
          <w:lang w:val="de-DE"/>
        </w:rPr>
        <w:t>legt</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942"/>
      </w:r>
      <w:r w:rsidRPr="00921BB8">
        <w:rPr>
          <w:rFonts w:ascii="Times New Roman" w:eastAsia="Times New Roman" w:hAnsi="Times New Roman" w:cs="Times New Roman"/>
          <w:color w:val="000000"/>
          <w:lang w:val="de-DE"/>
        </w:rPr>
        <w:t>. Aufgrund ihrer eigenen Negativität „ist [die Substanz] nicht thätig gegen Etwas, sondern nur gegen sich selbst als einfaches widerstandloses Element</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943"/>
      </w:r>
      <w:r w:rsidRPr="00921BB8">
        <w:rPr>
          <w:rFonts w:ascii="Times New Roman" w:eastAsia="Times New Roman" w:hAnsi="Times New Roman" w:cs="Times New Roman"/>
          <w:color w:val="000000"/>
          <w:lang w:val="de-DE"/>
        </w:rPr>
        <w:t>. In Bezug auf die Äußerung der Substanz in den Akzidenzen bemerkt Hegel, dass sie (die Substanz) als „scheinende Totalität</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944"/>
      </w:r>
      <w:r w:rsidRPr="00921BB8">
        <w:rPr>
          <w:rFonts w:ascii="Times New Roman" w:eastAsia="Times New Roman" w:hAnsi="Times New Roman" w:cs="Times New Roman"/>
          <w:color w:val="000000"/>
          <w:lang w:val="de-DE"/>
        </w:rPr>
        <w:t xml:space="preserve"> kein wirkliches Bestehen ihrer gesetzten Unterschiede gibt. Die Akzidenzen sind nur möglich: ihre Geburt und ihr Untergang werden als eine Bewegung des Eintritts in die Wirklichkeit und des Zurückgehens in die reine Möglichkeit (die Substanz) beschrieben. Die werdende Substanz manifestiert sich „als schaffende [...] und als zerstörende Macht</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945"/>
      </w:r>
      <w:r w:rsidRPr="00921BB8">
        <w:rPr>
          <w:rFonts w:ascii="Times New Roman" w:eastAsia="Times New Roman" w:hAnsi="Times New Roman" w:cs="Times New Roman"/>
          <w:color w:val="000000"/>
          <w:lang w:val="de-DE"/>
        </w:rPr>
        <w:t>. Da die Akzidenzen dem Gesetz von Geburt und Vergehen unterliegen, sind sie vorübergehend oder zufällig. Diese Beziehung zwischen Substanz und Akzidenzen stellt „die scheinende Totalität des Werdens</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946"/>
      </w:r>
      <w:r w:rsidRPr="00921BB8">
        <w:rPr>
          <w:rFonts w:ascii="Times New Roman" w:eastAsia="Times New Roman" w:hAnsi="Times New Roman" w:cs="Times New Roman"/>
          <w:color w:val="000000"/>
          <w:lang w:val="de-DE"/>
        </w:rPr>
        <w:t xml:space="preserve"> dar, die die Reflexion-in-sich der Bestimmungen der Substanz von sich ausschließt. </w:t>
      </w:r>
    </w:p>
    <w:p w14:paraId="230CC434" w14:textId="25C6E0A1" w:rsidR="001C3D81" w:rsidRPr="00921BB8" w:rsidRDefault="001C3D81" w:rsidP="001C3D81">
      <w:pPr>
        <w:pStyle w:val="Paragrafoelenco"/>
        <w:spacing w:line="360" w:lineRule="auto"/>
        <w:ind w:left="0" w:firstLine="567"/>
        <w:jc w:val="both"/>
        <w:rPr>
          <w:rFonts w:ascii="Times New Roman" w:eastAsia="Times New Roman" w:hAnsi="Times New Roman" w:cs="Times New Roman"/>
          <w:color w:val="000000"/>
          <w:lang w:val="de-DE"/>
        </w:rPr>
      </w:pPr>
      <w:r w:rsidRPr="00921BB8">
        <w:rPr>
          <w:rFonts w:ascii="Times New Roman" w:eastAsia="Times New Roman" w:hAnsi="Times New Roman" w:cs="Times New Roman"/>
          <w:color w:val="000000"/>
          <w:lang w:val="de-DE"/>
        </w:rPr>
        <w:t>Um die Akzidenzen als für-sich-bestehende Bestimmungen der Substanz zu begreifen, die „in sich reflektierte nicht bloß übergehende, sondern die Bestimmungen setzende und von sich unterscheidende Macht ist</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947"/>
      </w:r>
      <w:r w:rsidRPr="00921BB8">
        <w:rPr>
          <w:rFonts w:ascii="Times New Roman" w:eastAsia="Times New Roman" w:hAnsi="Times New Roman" w:cs="Times New Roman"/>
          <w:color w:val="000000"/>
          <w:lang w:val="de-DE"/>
        </w:rPr>
        <w:t xml:space="preserve">, führt Hegel das </w:t>
      </w:r>
      <w:r w:rsidRPr="00921BB8">
        <w:rPr>
          <w:rFonts w:ascii="Times New Roman" w:eastAsia="Times New Roman" w:hAnsi="Times New Roman" w:cs="Times New Roman"/>
          <w:i/>
          <w:color w:val="000000"/>
          <w:lang w:val="de-DE"/>
        </w:rPr>
        <w:t>Kausalitätsverhältnis</w:t>
      </w:r>
      <w:r w:rsidRPr="00921BB8">
        <w:rPr>
          <w:rFonts w:ascii="Times New Roman" w:eastAsia="Times New Roman" w:hAnsi="Times New Roman" w:cs="Times New Roman"/>
          <w:color w:val="000000"/>
          <w:lang w:val="de-DE"/>
        </w:rPr>
        <w:t xml:space="preserve"> ein. Die Substanz, die ihre eigenen Bestimmungen setzt, wird als </w:t>
      </w:r>
      <w:r w:rsidRPr="00921BB8">
        <w:rPr>
          <w:rFonts w:ascii="Times New Roman" w:eastAsia="Times New Roman" w:hAnsi="Times New Roman" w:cs="Times New Roman"/>
          <w:i/>
          <w:color w:val="000000"/>
          <w:lang w:val="de-DE"/>
        </w:rPr>
        <w:t xml:space="preserve">Ursache </w:t>
      </w:r>
      <w:r w:rsidRPr="00921BB8">
        <w:rPr>
          <w:rFonts w:ascii="Times New Roman" w:eastAsia="Times New Roman" w:hAnsi="Times New Roman" w:cs="Times New Roman"/>
          <w:color w:val="000000"/>
          <w:lang w:val="de-DE"/>
        </w:rPr>
        <w:t xml:space="preserve">definiert. </w:t>
      </w:r>
      <w:r w:rsidR="002D6AA6">
        <w:rPr>
          <w:rFonts w:ascii="Times New Roman" w:eastAsia="Times New Roman" w:hAnsi="Times New Roman" w:cs="Times New Roman"/>
          <w:color w:val="000000"/>
          <w:lang w:val="de-DE"/>
        </w:rPr>
        <w:t>Ihr</w:t>
      </w:r>
      <w:r w:rsidR="002D6AA6" w:rsidRPr="00802DA1">
        <w:rPr>
          <w:rFonts w:ascii="Times New Roman" w:eastAsia="Times New Roman" w:hAnsi="Times New Roman" w:cs="Times New Roman"/>
          <w:color w:val="000000"/>
          <w:lang w:val="de-DE"/>
        </w:rPr>
        <w:t>erseits</w:t>
      </w:r>
      <w:r w:rsidR="002D6AA6" w:rsidRPr="00921BB8">
        <w:rPr>
          <w:rFonts w:ascii="Times New Roman" w:eastAsia="Times New Roman" w:hAnsi="Times New Roman" w:cs="Times New Roman"/>
          <w:color w:val="000000"/>
          <w:lang w:val="de-DE"/>
        </w:rPr>
        <w:t xml:space="preserve"> </w:t>
      </w:r>
      <w:r w:rsidRPr="00921BB8">
        <w:rPr>
          <w:rFonts w:ascii="Times New Roman" w:eastAsia="Times New Roman" w:hAnsi="Times New Roman" w:cs="Times New Roman"/>
          <w:color w:val="000000"/>
          <w:lang w:val="de-DE"/>
        </w:rPr>
        <w:t xml:space="preserve">wird die gesetzte Akzidenz als </w:t>
      </w:r>
      <w:r w:rsidRPr="00921BB8">
        <w:rPr>
          <w:rFonts w:ascii="Times New Roman" w:eastAsia="Times New Roman" w:hAnsi="Times New Roman" w:cs="Times New Roman"/>
          <w:i/>
          <w:color w:val="000000"/>
          <w:lang w:val="de-DE"/>
        </w:rPr>
        <w:t>Wirkung</w:t>
      </w:r>
      <w:r w:rsidRPr="00921BB8">
        <w:rPr>
          <w:rFonts w:ascii="Times New Roman" w:eastAsia="Times New Roman" w:hAnsi="Times New Roman" w:cs="Times New Roman"/>
          <w:color w:val="000000"/>
          <w:lang w:val="de-DE"/>
        </w:rPr>
        <w:t xml:space="preserve"> betrachtet. Das Kausalitätsverhältnis</w:t>
      </w:r>
      <w:r w:rsidRPr="00921BB8">
        <w:rPr>
          <w:rFonts w:ascii="Times New Roman" w:eastAsia="Times New Roman" w:hAnsi="Times New Roman" w:cs="Times New Roman"/>
          <w:i/>
          <w:color w:val="000000"/>
          <w:lang w:val="de-DE"/>
        </w:rPr>
        <w:t xml:space="preserve"> </w:t>
      </w:r>
      <w:r w:rsidRPr="00921BB8">
        <w:rPr>
          <w:rFonts w:ascii="Times New Roman" w:eastAsia="Times New Roman" w:hAnsi="Times New Roman" w:cs="Times New Roman"/>
          <w:color w:val="000000"/>
          <w:lang w:val="de-DE"/>
        </w:rPr>
        <w:t xml:space="preserve">entwickelt sich zunächst </w:t>
      </w:r>
      <w:r w:rsidRPr="00921BB8">
        <w:rPr>
          <w:rFonts w:ascii="Times New Roman" w:eastAsia="Times New Roman" w:hAnsi="Times New Roman" w:cs="Times New Roman"/>
          <w:i/>
          <w:color w:val="000000"/>
          <w:lang w:val="de-DE"/>
        </w:rPr>
        <w:t>formell</w:t>
      </w:r>
      <w:r w:rsidRPr="00921BB8">
        <w:rPr>
          <w:rFonts w:ascii="Times New Roman" w:eastAsia="Times New Roman" w:hAnsi="Times New Roman" w:cs="Times New Roman"/>
          <w:color w:val="000000"/>
          <w:lang w:val="de-DE"/>
        </w:rPr>
        <w:t xml:space="preserve">: die Ursache hat eine bestimmte Wirkung und erlischt in ihr; die Wirkung hört zu sein auf, wenn die Ursache nicht mehr wirkt. Bevor wir in unsere Analyse fortsetzen, ist es nötig, sich auf eine Passage des </w:t>
      </w:r>
      <w:r w:rsidRPr="00921BB8">
        <w:rPr>
          <w:rFonts w:ascii="Times New Roman" w:eastAsia="Times New Roman" w:hAnsi="Times New Roman" w:cs="Times New Roman"/>
          <w:i/>
          <w:color w:val="000000"/>
          <w:lang w:val="de-DE"/>
        </w:rPr>
        <w:t>formalen Kausalitätsverhältnisses</w:t>
      </w:r>
      <w:r w:rsidRPr="00921BB8">
        <w:rPr>
          <w:rFonts w:ascii="Times New Roman" w:eastAsia="Times New Roman" w:hAnsi="Times New Roman" w:cs="Times New Roman"/>
          <w:color w:val="000000"/>
          <w:lang w:val="de-DE"/>
        </w:rPr>
        <w:t xml:space="preserve"> zu konzentrieren, die sich auf einige oben diskutierte theoretische Themen bezieht:</w:t>
      </w:r>
    </w:p>
    <w:p w14:paraId="3BCFD6DB" w14:textId="77777777" w:rsidR="001C3D81" w:rsidRPr="00921BB8" w:rsidRDefault="001C3D81" w:rsidP="001C3D81">
      <w:pPr>
        <w:pStyle w:val="Paragrafoelenco"/>
        <w:spacing w:line="360" w:lineRule="auto"/>
        <w:ind w:left="708" w:firstLine="567"/>
        <w:jc w:val="both"/>
        <w:rPr>
          <w:rFonts w:ascii="Times New Roman" w:eastAsia="Times New Roman" w:hAnsi="Times New Roman" w:cs="Times New Roman"/>
          <w:color w:val="000000"/>
          <w:lang w:val="de-DE"/>
        </w:rPr>
      </w:pPr>
    </w:p>
    <w:p w14:paraId="2F7272D7" w14:textId="77777777" w:rsidR="001C3D81" w:rsidRPr="00921BB8" w:rsidRDefault="001C3D81" w:rsidP="001C3D81">
      <w:pPr>
        <w:pStyle w:val="Paragrafoelenco"/>
        <w:spacing w:line="360" w:lineRule="auto"/>
        <w:ind w:left="567"/>
        <w:jc w:val="both"/>
        <w:rPr>
          <w:rFonts w:ascii="Times New Roman" w:eastAsia="Times New Roman" w:hAnsi="Times New Roman" w:cs="Times New Roman"/>
          <w:color w:val="000000"/>
          <w:lang w:val="de-DE"/>
        </w:rPr>
      </w:pPr>
      <w:r w:rsidRPr="00921BB8">
        <w:rPr>
          <w:rFonts w:ascii="Times New Roman" w:eastAsia="Times New Roman" w:hAnsi="Times New Roman" w:cs="Times New Roman"/>
          <w:color w:val="000000"/>
          <w:sz w:val="20"/>
          <w:szCs w:val="20"/>
          <w:lang w:val="de-DE"/>
        </w:rPr>
        <w:t>Die Ursache ist daher erst in ihrer Wirkung das wahrhaft Wirkliche und mit sich identische […] Nur als diese Nothwendigkeit ist die Ursache selbst bewegend, aus sich anfangend, ohne von einem andern sollizitiert zu werden, und selbständige Quelle des Hervorbringens aus sich; – sie muß wirken, ihre Ursprünglichkeit ist diß, daß ihre Reflexion-in-sich bestimmendes Setzen und umgekehrt, bydes eine Einheit ist</w:t>
      </w:r>
      <w:r w:rsidRPr="00921BB8">
        <w:rPr>
          <w:rStyle w:val="Rimandonotaapidipagina"/>
          <w:rFonts w:ascii="Times New Roman" w:eastAsia="Times New Roman" w:hAnsi="Times New Roman" w:cs="Times New Roman"/>
          <w:color w:val="000000"/>
          <w:lang w:val="de-DE"/>
        </w:rPr>
        <w:footnoteReference w:id="948"/>
      </w:r>
      <w:r w:rsidRPr="00921BB8">
        <w:rPr>
          <w:rFonts w:ascii="Times New Roman" w:eastAsia="Times New Roman" w:hAnsi="Times New Roman" w:cs="Times New Roman"/>
          <w:color w:val="000000"/>
          <w:lang w:val="de-DE"/>
        </w:rPr>
        <w:t>.</w:t>
      </w:r>
    </w:p>
    <w:p w14:paraId="54AC6F6E" w14:textId="77777777" w:rsidR="001C3D81" w:rsidRPr="00921BB8" w:rsidRDefault="001C3D81" w:rsidP="001C3D81">
      <w:pPr>
        <w:pStyle w:val="Paragrafoelenco"/>
        <w:spacing w:line="360" w:lineRule="auto"/>
        <w:ind w:left="567"/>
        <w:jc w:val="both"/>
        <w:rPr>
          <w:rFonts w:ascii="Times New Roman" w:eastAsia="Times New Roman" w:hAnsi="Times New Roman" w:cs="Times New Roman"/>
          <w:color w:val="000000"/>
          <w:lang w:val="de-DE"/>
        </w:rPr>
      </w:pPr>
    </w:p>
    <w:p w14:paraId="763BBA2E" w14:textId="77777777" w:rsidR="001C3D81" w:rsidRPr="00921BB8" w:rsidRDefault="001C3D81" w:rsidP="001C3D81">
      <w:pPr>
        <w:pStyle w:val="Paragrafoelenco"/>
        <w:tabs>
          <w:tab w:val="left" w:pos="567"/>
        </w:tabs>
        <w:spacing w:line="360" w:lineRule="auto"/>
        <w:ind w:left="0" w:firstLine="567"/>
        <w:jc w:val="both"/>
        <w:rPr>
          <w:rFonts w:ascii="Times New Roman" w:eastAsia="Times New Roman" w:hAnsi="Times New Roman" w:cs="Times New Roman"/>
          <w:color w:val="000000"/>
          <w:lang w:val="de-DE"/>
        </w:rPr>
      </w:pPr>
      <w:r w:rsidRPr="00921BB8">
        <w:rPr>
          <w:rFonts w:ascii="Times New Roman" w:eastAsia="Times New Roman" w:hAnsi="Times New Roman" w:cs="Times New Roman"/>
          <w:color w:val="000000"/>
          <w:lang w:val="de-DE"/>
        </w:rPr>
        <w:t xml:space="preserve">Die Ursache gewinnt ihre Wirklichkeit in der Wirkung. Die Wirkung ist Manifestation der Ursache. Die Ursache ist Selbstbewegung, die keine äußere Sollizitation voraussetzt, und </w:t>
      </w:r>
      <w:r w:rsidRPr="00921BB8">
        <w:rPr>
          <w:rFonts w:ascii="Times New Roman" w:eastAsia="Times New Roman" w:hAnsi="Times New Roman" w:cs="Times New Roman"/>
          <w:i/>
          <w:color w:val="000000"/>
          <w:lang w:val="de-DE"/>
        </w:rPr>
        <w:t xml:space="preserve">Quelle </w:t>
      </w:r>
      <w:r w:rsidRPr="00921BB8">
        <w:rPr>
          <w:rFonts w:ascii="Times New Roman" w:eastAsia="Times New Roman" w:hAnsi="Times New Roman" w:cs="Times New Roman"/>
          <w:color w:val="000000"/>
          <w:lang w:val="de-DE"/>
        </w:rPr>
        <w:t xml:space="preserve">ihrer Entwicklung. Diese Bestimmung (Quelle), die sich mit dem Begriff der </w:t>
      </w:r>
      <w:r w:rsidRPr="00921BB8">
        <w:rPr>
          <w:rFonts w:ascii="Times New Roman" w:eastAsia="Times New Roman" w:hAnsi="Times New Roman" w:cs="Times New Roman"/>
          <w:i/>
          <w:color w:val="000000"/>
          <w:lang w:val="de-DE"/>
        </w:rPr>
        <w:t>Selbstbewegung</w:t>
      </w:r>
      <w:r w:rsidRPr="00921BB8">
        <w:rPr>
          <w:rFonts w:ascii="Times New Roman" w:eastAsia="Times New Roman" w:hAnsi="Times New Roman" w:cs="Times New Roman"/>
          <w:color w:val="000000"/>
          <w:lang w:val="de-DE"/>
        </w:rPr>
        <w:t xml:space="preserve"> verbindet, ist ein logisches Element, das bereits in der </w:t>
      </w:r>
      <w:r w:rsidRPr="00921BB8">
        <w:rPr>
          <w:rFonts w:ascii="Times New Roman" w:eastAsia="Times New Roman" w:hAnsi="Times New Roman" w:cs="Times New Roman"/>
          <w:i/>
          <w:color w:val="000000"/>
          <w:lang w:val="de-DE"/>
        </w:rPr>
        <w:t xml:space="preserve">Logik des Seyns </w:t>
      </w:r>
      <w:r w:rsidRPr="00921BB8">
        <w:rPr>
          <w:rFonts w:ascii="Times New Roman" w:eastAsia="Times New Roman" w:hAnsi="Times New Roman" w:cs="Times New Roman"/>
          <w:color w:val="000000"/>
          <w:lang w:val="de-DE"/>
        </w:rPr>
        <w:t xml:space="preserve">angetroffen wurde. Der Ausdruck „Quelle“ bezieht sich auf die Böhmesche Qual, die auf die </w:t>
      </w:r>
      <w:r w:rsidRPr="00921BB8">
        <w:rPr>
          <w:rFonts w:ascii="Times New Roman" w:eastAsia="Times New Roman" w:hAnsi="Times New Roman" w:cs="Times New Roman"/>
          <w:i/>
          <w:color w:val="000000"/>
          <w:lang w:val="de-DE"/>
        </w:rPr>
        <w:t xml:space="preserve">Unruhe </w:t>
      </w:r>
      <w:r w:rsidRPr="00921BB8">
        <w:rPr>
          <w:rFonts w:ascii="Times New Roman" w:eastAsia="Times New Roman" w:hAnsi="Times New Roman" w:cs="Times New Roman"/>
          <w:color w:val="000000"/>
          <w:lang w:val="de-DE"/>
        </w:rPr>
        <w:t>verweist</w:t>
      </w:r>
      <w:r w:rsidRPr="00921BB8">
        <w:rPr>
          <w:rFonts w:ascii="Times New Roman" w:eastAsia="Times New Roman" w:hAnsi="Times New Roman" w:cs="Times New Roman"/>
          <w:i/>
          <w:color w:val="000000"/>
          <w:lang w:val="de-DE"/>
        </w:rPr>
        <w:t xml:space="preserve">, </w:t>
      </w:r>
      <w:r w:rsidRPr="00921BB8">
        <w:rPr>
          <w:rFonts w:ascii="Times New Roman" w:eastAsia="Times New Roman" w:hAnsi="Times New Roman" w:cs="Times New Roman"/>
          <w:color w:val="000000"/>
          <w:lang w:val="de-DE"/>
        </w:rPr>
        <w:t>auf das, was sich von sich abstößt, sich selbst als das Andere seiner selbst setzt und eins mit ihm ist. Die Ursprünglichkeit (oder Negativität) der Substanz ist Beziehung auf sich, durch die das Positive in sich negativ und das Negative (weil es die Substanz oder Ursache manifestiert) in sich positiv ist. Dank impliziten begrifflichen Hinweisen hält Hegel an der Interpretation Böhmes fest, die ihn als Vorreiter des Modells der Negativität anerkennt, das die bedingungslose Manifestation des absoluten Inhalts widerspiegelt.</w:t>
      </w:r>
    </w:p>
    <w:p w14:paraId="21D186D1" w14:textId="37151AB9" w:rsidR="001C0BC9" w:rsidRDefault="001C3D81" w:rsidP="001C0BC9">
      <w:pPr>
        <w:pStyle w:val="Paragrafoelenco"/>
        <w:spacing w:line="360" w:lineRule="auto"/>
        <w:ind w:left="0" w:firstLine="567"/>
        <w:jc w:val="both"/>
        <w:rPr>
          <w:rFonts w:ascii="Times New Roman" w:eastAsia="Times New Roman" w:hAnsi="Times New Roman" w:cs="Times New Roman"/>
          <w:color w:val="000000"/>
          <w:lang w:val="de-DE"/>
        </w:rPr>
      </w:pPr>
      <w:r w:rsidRPr="00921BB8">
        <w:rPr>
          <w:rFonts w:ascii="Times New Roman" w:eastAsia="Times New Roman" w:hAnsi="Times New Roman" w:cs="Times New Roman"/>
          <w:color w:val="000000"/>
          <w:lang w:val="de-DE"/>
        </w:rPr>
        <w:t xml:space="preserve">Im </w:t>
      </w:r>
      <w:r w:rsidRPr="00921BB8">
        <w:rPr>
          <w:rFonts w:ascii="Times New Roman" w:eastAsia="Times New Roman" w:hAnsi="Times New Roman" w:cs="Times New Roman"/>
          <w:i/>
          <w:color w:val="000000"/>
          <w:lang w:val="de-DE"/>
        </w:rPr>
        <w:t xml:space="preserve">bestimmten Kausalitätsverhältnis </w:t>
      </w:r>
      <w:r w:rsidRPr="00921BB8">
        <w:rPr>
          <w:rFonts w:ascii="Times New Roman" w:eastAsia="Times New Roman" w:hAnsi="Times New Roman" w:cs="Times New Roman"/>
          <w:color w:val="000000"/>
          <w:lang w:val="de-DE"/>
        </w:rPr>
        <w:t xml:space="preserve">macht Hegel einen weiteren Schritt in Richtung der Thematisierung α) der Ursache als </w:t>
      </w:r>
      <w:r w:rsidRPr="00921BB8">
        <w:rPr>
          <w:rFonts w:ascii="Times New Roman" w:eastAsia="Times New Roman" w:hAnsi="Times New Roman" w:cs="Times New Roman"/>
          <w:i/>
          <w:color w:val="000000"/>
          <w:lang w:val="de-DE"/>
        </w:rPr>
        <w:t>selbständige Quelle</w:t>
      </w:r>
      <w:r w:rsidR="00905A7B">
        <w:rPr>
          <w:rFonts w:ascii="Times New Roman" w:eastAsia="Times New Roman" w:hAnsi="Times New Roman" w:cs="Times New Roman"/>
          <w:color w:val="000000"/>
          <w:lang w:val="de-DE"/>
        </w:rPr>
        <w:t xml:space="preserve"> ihr</w:t>
      </w:r>
      <w:r w:rsidRPr="00921BB8">
        <w:rPr>
          <w:rFonts w:ascii="Times New Roman" w:eastAsia="Times New Roman" w:hAnsi="Times New Roman" w:cs="Times New Roman"/>
          <w:color w:val="000000"/>
          <w:lang w:val="de-DE"/>
        </w:rPr>
        <w:t xml:space="preserve">er selbst und β) der Überwindung des </w:t>
      </w:r>
      <w:r w:rsidRPr="00921BB8">
        <w:rPr>
          <w:rFonts w:ascii="Times New Roman" w:eastAsia="Times New Roman" w:hAnsi="Times New Roman" w:cs="Times New Roman"/>
          <w:i/>
          <w:color w:val="000000"/>
          <w:lang w:val="de-DE"/>
        </w:rPr>
        <w:t>formalen Kausalitätsverhältnisses</w:t>
      </w:r>
      <w:r w:rsidRPr="00921BB8">
        <w:rPr>
          <w:rFonts w:ascii="Times New Roman" w:eastAsia="Times New Roman" w:hAnsi="Times New Roman" w:cs="Times New Roman"/>
          <w:color w:val="000000"/>
          <w:lang w:val="de-DE"/>
        </w:rPr>
        <w:t>. Eine bestimmte Ursache wird in einen relationalen Zusammenhang eingefügt, in dem sie als Tätiges oder Passives betrachtet werden kann. Das Bestimmen und Bestimmtsein ermöglichen es, etwas als Ursache und Wirkung gleichzeitig zu sehen. Diese Dynamik impliziert einen Begriff von schlechter Unendlichkeit, d.h. die Regression von Ursache zu Ursache und das Fortschreiten von Wirkung zu Wirkung. Dieser Rückschritt/Fortschritt wird unterbrochen, wenn jede Reflexionsbestimmung „hebt sich in ihrem Setzen auf, und sich in ihrem Aufheben setzt</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949"/>
      </w:r>
      <w:r w:rsidRPr="00921BB8">
        <w:rPr>
          <w:rFonts w:ascii="Times New Roman" w:eastAsia="Times New Roman" w:hAnsi="Times New Roman" w:cs="Times New Roman"/>
          <w:color w:val="000000"/>
          <w:lang w:val="de-DE"/>
        </w:rPr>
        <w:t xml:space="preserve">. Die Ursache übersetzt sich in die Wirkung und die Wirkung übersetzt sich wiederum in die Ursache. Ihr Einssein bestimmt nun eine Kausalität, die </w:t>
      </w:r>
      <w:r w:rsidRPr="00921BB8">
        <w:rPr>
          <w:rFonts w:ascii="Times New Roman" w:eastAsia="Times New Roman" w:hAnsi="Times New Roman" w:cs="Times New Roman"/>
          <w:i/>
          <w:color w:val="000000"/>
          <w:lang w:val="de-DE"/>
        </w:rPr>
        <w:t xml:space="preserve">sich selbst </w:t>
      </w:r>
      <w:r w:rsidRPr="00921BB8">
        <w:rPr>
          <w:rFonts w:ascii="Times New Roman" w:eastAsia="Times New Roman" w:hAnsi="Times New Roman" w:cs="Times New Roman"/>
          <w:color w:val="000000"/>
          <w:lang w:val="de-DE"/>
        </w:rPr>
        <w:t>als</w:t>
      </w:r>
      <w:r w:rsidRPr="00921BB8">
        <w:rPr>
          <w:rFonts w:ascii="Times New Roman" w:eastAsia="Times New Roman" w:hAnsi="Times New Roman" w:cs="Times New Roman"/>
          <w:i/>
          <w:color w:val="000000"/>
          <w:lang w:val="de-DE"/>
        </w:rPr>
        <w:t xml:space="preserve"> </w:t>
      </w:r>
      <w:r w:rsidRPr="00921BB8">
        <w:rPr>
          <w:rFonts w:ascii="Times New Roman" w:eastAsia="Times New Roman" w:hAnsi="Times New Roman" w:cs="Times New Roman"/>
          <w:color w:val="000000"/>
          <w:lang w:val="de-DE"/>
        </w:rPr>
        <w:t>Bedingung ihrer eigenen Tätigkeit hat. Die Ursache setzt sich als Gegenstand ihrer Tätigkeit voraus; das Sich-voraussetzen als Gegenstand ih</w:t>
      </w:r>
      <w:r w:rsidR="008E4949">
        <w:rPr>
          <w:rFonts w:ascii="Times New Roman" w:eastAsia="Times New Roman" w:hAnsi="Times New Roman" w:cs="Times New Roman"/>
          <w:color w:val="000000"/>
          <w:lang w:val="de-DE"/>
        </w:rPr>
        <w:t xml:space="preserve">rer </w:t>
      </w:r>
      <w:r w:rsidRPr="00921BB8">
        <w:rPr>
          <w:rFonts w:ascii="Times New Roman" w:eastAsia="Times New Roman" w:hAnsi="Times New Roman" w:cs="Times New Roman"/>
          <w:color w:val="000000"/>
          <w:lang w:val="de-DE"/>
        </w:rPr>
        <w:t xml:space="preserve">Tätigkeit wird aber bis zur Selbständigkeit der Voraussetzung gedrängt. Was sich letztendlich des </w:t>
      </w:r>
      <w:r w:rsidRPr="00921BB8">
        <w:rPr>
          <w:rFonts w:ascii="Times New Roman" w:eastAsia="Times New Roman" w:hAnsi="Times New Roman" w:cs="Times New Roman"/>
          <w:i/>
          <w:color w:val="000000"/>
          <w:lang w:val="de-DE"/>
        </w:rPr>
        <w:t xml:space="preserve">bestimmten Kausalitätsverhältnisses </w:t>
      </w:r>
      <w:r w:rsidRPr="00921BB8">
        <w:rPr>
          <w:rFonts w:ascii="Times New Roman" w:eastAsia="Times New Roman" w:hAnsi="Times New Roman" w:cs="Times New Roman"/>
          <w:color w:val="000000"/>
          <w:lang w:val="de-DE"/>
        </w:rPr>
        <w:t xml:space="preserve">vereinigt hat, wird im Abschnitt </w:t>
      </w:r>
      <w:r w:rsidRPr="00921BB8">
        <w:rPr>
          <w:rFonts w:ascii="Times New Roman" w:eastAsia="Times New Roman" w:hAnsi="Times New Roman" w:cs="Times New Roman"/>
          <w:i/>
          <w:color w:val="000000"/>
          <w:lang w:val="de-DE"/>
        </w:rPr>
        <w:t xml:space="preserve">Wirkung und Gegenwirkung </w:t>
      </w:r>
      <w:r w:rsidRPr="00921BB8">
        <w:rPr>
          <w:rFonts w:ascii="Times New Roman" w:eastAsia="Times New Roman" w:hAnsi="Times New Roman" w:cs="Times New Roman"/>
          <w:color w:val="000000"/>
          <w:lang w:val="de-DE"/>
        </w:rPr>
        <w:t xml:space="preserve">über sich selbst hinaus vorangetrieben. Die Ursache (die tätige Substanz) setzt </w:t>
      </w:r>
      <w:r w:rsidR="008E4949">
        <w:rPr>
          <w:rFonts w:ascii="Times New Roman" w:eastAsia="Times New Roman" w:hAnsi="Times New Roman" w:cs="Times New Roman"/>
          <w:color w:val="000000"/>
          <w:lang w:val="de-DE"/>
        </w:rPr>
        <w:t>als Voraussetzung und Bedingung</w:t>
      </w:r>
      <w:r w:rsidRPr="00921BB8">
        <w:rPr>
          <w:rFonts w:ascii="Times New Roman" w:eastAsia="Times New Roman" w:hAnsi="Times New Roman" w:cs="Times New Roman"/>
          <w:color w:val="000000"/>
          <w:lang w:val="de-DE"/>
        </w:rPr>
        <w:t xml:space="preserve"> ihrer Tätigkeit die passive Substanz. Durch das Wirken auf die passive Substanz wird die vorausgesetzte Substanz aufgehoben und die bloße Passivität derselben mit einer Fähigkeit zum Gegenwirken ersetzt. Wegen der Gegenwirkung der passiven Substanz werden die voraussetzende Tätigkeit und das vorausgesetzte Ziel des substanziellen Tuns aufgehoben. Das Entlassen der Passivität und das Einssein der zwei Substanzen bilden die Grundlage der „unendlichen Wechselwirkung</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950"/>
      </w:r>
      <w:r w:rsidRPr="00921BB8">
        <w:rPr>
          <w:rFonts w:ascii="Times New Roman" w:eastAsia="Times New Roman" w:hAnsi="Times New Roman" w:cs="Times New Roman"/>
          <w:color w:val="000000"/>
          <w:lang w:val="de-DE"/>
        </w:rPr>
        <w:t>. Die Wechselwirkung setzt nämlich die Aufhebung des Dualismus der Substanzen und ihre absolute Einheit voraus. Die Überwindung der Trennung dieser Termini bestimmt das „Entstehen der Ursache; und damit die Ursprünglichkeit als durch ihre Negation sich mit sich selbst vermittelnd</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951"/>
      </w:r>
      <w:r w:rsidRPr="00921BB8">
        <w:rPr>
          <w:rFonts w:ascii="Times New Roman" w:eastAsia="Times New Roman" w:hAnsi="Times New Roman" w:cs="Times New Roman"/>
          <w:color w:val="000000"/>
          <w:lang w:val="de-DE"/>
        </w:rPr>
        <w:t>. Der Zusammenhalt der zwei Su</w:t>
      </w:r>
      <w:r w:rsidR="000115CA">
        <w:rPr>
          <w:rFonts w:ascii="Times New Roman" w:eastAsia="Times New Roman" w:hAnsi="Times New Roman" w:cs="Times New Roman"/>
          <w:color w:val="000000"/>
          <w:lang w:val="de-DE"/>
        </w:rPr>
        <w:t>bstanzen wird als „der absolute</w:t>
      </w:r>
      <w:r w:rsidRPr="00921BB8">
        <w:rPr>
          <w:rFonts w:ascii="Times New Roman" w:eastAsia="Times New Roman" w:hAnsi="Times New Roman" w:cs="Times New Roman"/>
          <w:color w:val="000000"/>
          <w:lang w:val="de-DE"/>
        </w:rPr>
        <w:t xml:space="preserve"> Widerspruch</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952"/>
      </w:r>
      <w:r w:rsidRPr="00921BB8">
        <w:rPr>
          <w:rFonts w:ascii="Times New Roman" w:eastAsia="Times New Roman" w:hAnsi="Times New Roman" w:cs="Times New Roman"/>
          <w:color w:val="000000"/>
          <w:lang w:val="de-DE"/>
        </w:rPr>
        <w:t xml:space="preserve"> bezeichnet. Wenn die äußere Bestimmung einer vorausgesetzten Substanz überwunden wird, wird die Substanz eine mit sich selbst vermittelte Ursprünglichkeit, die sich durch die Negation ihrer selbst verwirklicht: „die Negation, welche Grund der Ursache ist, ist ihr positives Zusammengehen mit sich selbst</w:t>
      </w:r>
      <w:r w:rsidRPr="00921BB8">
        <w:rPr>
          <w:rFonts w:ascii="Times New Roman" w:eastAsia="Times New Roman" w:hAnsi="Times New Roman" w:cs="Times New Roman"/>
          <w:color w:val="000000"/>
        </w:rPr>
        <w:t>”</w:t>
      </w:r>
      <w:r w:rsidRPr="00921BB8">
        <w:rPr>
          <w:rStyle w:val="Rimandonotaapidipagina"/>
          <w:rFonts w:ascii="Times New Roman" w:eastAsia="Times New Roman" w:hAnsi="Times New Roman" w:cs="Times New Roman"/>
          <w:color w:val="000000"/>
          <w:lang w:val="de-DE"/>
        </w:rPr>
        <w:footnoteReference w:id="953"/>
      </w:r>
      <w:r w:rsidRPr="00921BB8">
        <w:rPr>
          <w:rFonts w:ascii="Times New Roman" w:eastAsia="Times New Roman" w:hAnsi="Times New Roman" w:cs="Times New Roman"/>
          <w:color w:val="000000"/>
          <w:lang w:val="de-DE"/>
        </w:rPr>
        <w:t xml:space="preserve">. Die Widersprüchlichkeit der Substanz bezieht sich auf die Ursprünglichkeit, die der Selbstbewegung der absoluten Identität zugrunde liegt. Was schon im </w:t>
      </w:r>
      <w:r w:rsidRPr="00921BB8">
        <w:rPr>
          <w:rFonts w:ascii="Times New Roman" w:eastAsia="Times New Roman" w:hAnsi="Times New Roman" w:cs="Times New Roman"/>
          <w:i/>
          <w:color w:val="000000"/>
          <w:lang w:val="de-DE"/>
        </w:rPr>
        <w:t>formalen Kausalitätsverhältnis</w:t>
      </w:r>
      <w:r w:rsidRPr="00921BB8">
        <w:rPr>
          <w:rFonts w:ascii="Times New Roman" w:eastAsia="Times New Roman" w:hAnsi="Times New Roman" w:cs="Times New Roman"/>
          <w:color w:val="000000"/>
          <w:lang w:val="de-DE"/>
        </w:rPr>
        <w:t xml:space="preserve"> analysiert wurde, findet eine vollständige Verwirklichung in der </w:t>
      </w:r>
      <w:r w:rsidRPr="00921BB8">
        <w:rPr>
          <w:rFonts w:ascii="Times New Roman" w:eastAsia="Times New Roman" w:hAnsi="Times New Roman" w:cs="Times New Roman"/>
          <w:i/>
          <w:color w:val="000000"/>
          <w:lang w:val="de-DE"/>
        </w:rPr>
        <w:t>Wechselwirkung</w:t>
      </w:r>
      <w:r w:rsidRPr="00921BB8">
        <w:rPr>
          <w:rFonts w:ascii="Times New Roman" w:eastAsia="Times New Roman" w:hAnsi="Times New Roman" w:cs="Times New Roman"/>
          <w:color w:val="000000"/>
          <w:lang w:val="de-DE"/>
        </w:rPr>
        <w:t xml:space="preserve">. Die Vereinigung von Ursprünglichkeit und Negativität bestimmt die absolute Notwendigkeit des substantiellen Wirkens: nicht mehr das Wirken als Möglichkeit zu wirken, sondern als absolut notwendige und von äußeren Bedingungen befreite Tätigkeit. Als </w:t>
      </w:r>
      <w:r w:rsidRPr="00921BB8">
        <w:rPr>
          <w:rFonts w:ascii="Times New Roman" w:eastAsia="Times New Roman" w:hAnsi="Times New Roman" w:cs="Times New Roman"/>
          <w:i/>
          <w:color w:val="000000"/>
          <w:lang w:val="de-DE"/>
        </w:rPr>
        <w:t xml:space="preserve">Quelle </w:t>
      </w:r>
      <w:r w:rsidRPr="00921BB8">
        <w:rPr>
          <w:rFonts w:ascii="Times New Roman" w:eastAsia="Times New Roman" w:hAnsi="Times New Roman" w:cs="Times New Roman"/>
          <w:color w:val="000000"/>
          <w:lang w:val="de-DE"/>
        </w:rPr>
        <w:t xml:space="preserve">ihrer selbst verwirklicht sich die Substanz </w:t>
      </w:r>
      <w:r w:rsidRPr="00921BB8">
        <w:rPr>
          <w:rFonts w:ascii="Times New Roman" w:eastAsia="Times New Roman" w:hAnsi="Times New Roman" w:cs="Times New Roman"/>
          <w:i/>
          <w:color w:val="000000"/>
          <w:lang w:val="de-DE"/>
        </w:rPr>
        <w:t>eben so sehr als Subjekt</w:t>
      </w:r>
      <w:r w:rsidR="001C0BC9">
        <w:rPr>
          <w:rFonts w:ascii="Times New Roman" w:eastAsia="Times New Roman" w:hAnsi="Times New Roman" w:cs="Times New Roman"/>
          <w:color w:val="000000"/>
          <w:lang w:val="de-DE"/>
        </w:rPr>
        <w:t>:</w:t>
      </w:r>
      <w:r w:rsidR="00615E9E">
        <w:rPr>
          <w:rFonts w:ascii="Times New Roman" w:eastAsia="Times New Roman" w:hAnsi="Times New Roman" w:cs="Times New Roman"/>
          <w:color w:val="000000"/>
          <w:lang w:val="de-DE"/>
        </w:rPr>
        <w:t xml:space="preserve"> </w:t>
      </w:r>
    </w:p>
    <w:p w14:paraId="3BCC56A2" w14:textId="77777777" w:rsidR="001C0BC9" w:rsidRDefault="001C0BC9" w:rsidP="001C0BC9">
      <w:pPr>
        <w:pStyle w:val="Paragrafoelenco"/>
        <w:spacing w:line="360" w:lineRule="auto"/>
        <w:ind w:left="0" w:firstLine="567"/>
        <w:jc w:val="both"/>
        <w:rPr>
          <w:rFonts w:ascii="Times New Roman" w:eastAsia="Times New Roman" w:hAnsi="Times New Roman" w:cs="Times New Roman"/>
          <w:color w:val="000000"/>
          <w:lang w:val="de-DE"/>
        </w:rPr>
      </w:pPr>
    </w:p>
    <w:p w14:paraId="1A92F82F" w14:textId="0F7F13D8" w:rsidR="00615E9E" w:rsidRPr="001C0BC9" w:rsidRDefault="001C0BC9" w:rsidP="0028724B">
      <w:pPr>
        <w:pStyle w:val="Paragrafoelenco"/>
        <w:spacing w:line="360" w:lineRule="auto"/>
        <w:ind w:left="567"/>
        <w:jc w:val="both"/>
        <w:rPr>
          <w:rFonts w:ascii="Times New Roman" w:eastAsia="Times New Roman" w:hAnsi="Times New Roman" w:cs="Times New Roman"/>
          <w:color w:val="000000"/>
          <w:lang w:val="de-DE"/>
        </w:rPr>
      </w:pPr>
      <w:r w:rsidRPr="00EA2A01">
        <w:rPr>
          <w:rFonts w:ascii="Times New Roman" w:hAnsi="Times New Roman" w:cs="Times New Roman"/>
          <w:sz w:val="20"/>
          <w:szCs w:val="20"/>
          <w:lang w:val="de-DE"/>
        </w:rPr>
        <w:t>Die betrachtete Negativität macht nun den Wendungspunkt der Bewegung des Begriffes aus. Sie ist der einfache Punkt der negativen Beziehung auf sich, der innerste Quell aller Tätigkeit, lebendiger und geistiger Selbstbewegung, die dialektische Seele, die alles Wahre an ihm selbst hat, durch die es allein Wahres ist; denn auf dieser Subjektivität allein ruht das Aufheben des Gegensatzes zwischen Begriff und Realität und die Einheit, welche die Wahrheit ist</w:t>
      </w:r>
      <w:r w:rsidR="00615E9E">
        <w:rPr>
          <w:rStyle w:val="Rimandonotaapidipagina"/>
          <w:rFonts w:ascii="Times New Roman" w:eastAsia="Times New Roman" w:hAnsi="Times New Roman" w:cs="Times New Roman"/>
          <w:color w:val="000000"/>
          <w:sz w:val="20"/>
          <w:szCs w:val="20"/>
          <w:lang w:val="de-DE"/>
        </w:rPr>
        <w:footnoteReference w:id="954"/>
      </w:r>
      <w:r w:rsidR="00615E9E">
        <w:rPr>
          <w:rFonts w:ascii="Times New Roman" w:eastAsia="Times New Roman" w:hAnsi="Times New Roman" w:cs="Times New Roman"/>
          <w:color w:val="000000"/>
          <w:sz w:val="20"/>
          <w:szCs w:val="20"/>
          <w:lang w:val="de-DE"/>
        </w:rPr>
        <w:t>.</w:t>
      </w:r>
    </w:p>
    <w:p w14:paraId="6C627423" w14:textId="40C07C76" w:rsidR="001C3D81" w:rsidRPr="0028724B" w:rsidRDefault="001C3D81" w:rsidP="0028724B">
      <w:pPr>
        <w:spacing w:line="360" w:lineRule="auto"/>
        <w:jc w:val="both"/>
        <w:rPr>
          <w:rFonts w:ascii="Times New Roman" w:eastAsia="Times New Roman" w:hAnsi="Times New Roman" w:cs="Times New Roman"/>
          <w:color w:val="000000"/>
          <w:lang w:val="de-DE"/>
        </w:rPr>
      </w:pPr>
    </w:p>
    <w:p w14:paraId="180E659E" w14:textId="63F8A175" w:rsidR="001C3D81" w:rsidRPr="00921BB8" w:rsidRDefault="001C3D81" w:rsidP="001C3D81">
      <w:pPr>
        <w:pStyle w:val="Paragrafoelenco"/>
        <w:spacing w:line="360" w:lineRule="auto"/>
        <w:ind w:left="0" w:firstLine="567"/>
        <w:jc w:val="both"/>
        <w:rPr>
          <w:rFonts w:ascii="Times New Roman" w:eastAsia="Times New Roman" w:hAnsi="Times New Roman" w:cs="Times New Roman"/>
          <w:color w:val="000000"/>
          <w:lang w:val="de-DE"/>
        </w:rPr>
      </w:pPr>
      <w:r w:rsidRPr="00921BB8">
        <w:rPr>
          <w:rFonts w:ascii="Times New Roman" w:eastAsia="Times New Roman" w:hAnsi="Times New Roman" w:cs="Times New Roman"/>
          <w:color w:val="000000"/>
          <w:lang w:val="de-DE"/>
        </w:rPr>
        <w:t>Die Spinozistische Ontologie und die Leibniz’sche Monadologie bieten zwei spekulativ unbefriedigende Darstellungen der Entwicklung des Absoluten an. Das theoretische Element, das die Einseitigkeiten des Spinozismus und der Monadologie aufhebt und vereint, ist der Böhmesche Begriff der Inqualierung</w:t>
      </w:r>
      <w:r w:rsidR="00894231">
        <w:rPr>
          <w:rStyle w:val="Rimandonotaapidipagina"/>
          <w:rFonts w:ascii="Times New Roman" w:eastAsia="Times New Roman" w:hAnsi="Times New Roman" w:cs="Times New Roman"/>
          <w:color w:val="000000"/>
          <w:lang w:val="de-DE"/>
        </w:rPr>
        <w:footnoteReference w:id="955"/>
      </w:r>
      <w:r w:rsidRPr="00921BB8">
        <w:rPr>
          <w:rFonts w:ascii="Times New Roman" w:eastAsia="Times New Roman" w:hAnsi="Times New Roman" w:cs="Times New Roman"/>
          <w:color w:val="000000"/>
          <w:lang w:val="de-DE"/>
        </w:rPr>
        <w:t xml:space="preserve">. Dass die Substanz die </w:t>
      </w:r>
      <w:r w:rsidRPr="00921BB8">
        <w:rPr>
          <w:rFonts w:ascii="Times New Roman" w:eastAsia="Times New Roman" w:hAnsi="Times New Roman" w:cs="Times New Roman"/>
          <w:i/>
          <w:color w:val="000000"/>
          <w:lang w:val="de-DE"/>
        </w:rPr>
        <w:t xml:space="preserve">Quelle </w:t>
      </w:r>
      <w:r w:rsidRPr="00921BB8">
        <w:rPr>
          <w:rFonts w:ascii="Times New Roman" w:eastAsia="Times New Roman" w:hAnsi="Times New Roman" w:cs="Times New Roman"/>
          <w:color w:val="000000"/>
          <w:lang w:val="de-DE"/>
        </w:rPr>
        <w:t xml:space="preserve">ihrer eigenen Hervorbringung und dass sie sowohl positiv (Licht) als auch negativ (Finsternis) ist, gibt uns nicht nur einen der bedeutendsten Momente der </w:t>
      </w:r>
      <w:r w:rsidRPr="00921BB8">
        <w:rPr>
          <w:rFonts w:ascii="Times New Roman" w:eastAsia="Times New Roman" w:hAnsi="Times New Roman" w:cs="Times New Roman"/>
          <w:i/>
          <w:color w:val="000000"/>
          <w:lang w:val="de-DE"/>
        </w:rPr>
        <w:t xml:space="preserve">Wesenslogik </w:t>
      </w:r>
      <w:r w:rsidRPr="00921BB8">
        <w:rPr>
          <w:rFonts w:ascii="Times New Roman" w:eastAsia="Times New Roman" w:hAnsi="Times New Roman" w:cs="Times New Roman"/>
          <w:color w:val="000000"/>
          <w:lang w:val="de-DE"/>
        </w:rPr>
        <w:t>zurück, sondern auch eine der überraschendsten historisch-philosophischen Auslegungen Hegels. Die absolute Negativität des reinen Denkens ist eine der wichtigsten spekulativen Aneignungen Hegels, die auch den Böhmeschen Gedanken als eins ihrer konstitutiven Elemente annimmt.</w:t>
      </w:r>
    </w:p>
    <w:p w14:paraId="7036BB43" w14:textId="77777777" w:rsidR="00006D7F" w:rsidRPr="00921BB8" w:rsidRDefault="00006D7F" w:rsidP="00006D7F">
      <w:pPr>
        <w:spacing w:line="360" w:lineRule="auto"/>
        <w:jc w:val="both"/>
        <w:rPr>
          <w:rFonts w:ascii="Times New Roman" w:eastAsia="Times New Roman" w:hAnsi="Times New Roman" w:cs="Times New Roman"/>
          <w:color w:val="000000"/>
        </w:rPr>
      </w:pPr>
    </w:p>
    <w:p w14:paraId="64D91EF6" w14:textId="77777777" w:rsidR="00006D7F" w:rsidRPr="00921BB8" w:rsidRDefault="00006D7F" w:rsidP="00006D7F">
      <w:pPr>
        <w:spacing w:line="360" w:lineRule="auto"/>
        <w:jc w:val="both"/>
        <w:rPr>
          <w:rFonts w:ascii="Times New Roman" w:eastAsia="Times New Roman" w:hAnsi="Times New Roman" w:cs="Times New Roman"/>
          <w:color w:val="000000"/>
        </w:rPr>
        <w:sectPr w:rsidR="00006D7F" w:rsidRPr="00921BB8" w:rsidSect="003B4794">
          <w:footnotePr>
            <w:numRestart w:val="eachSect"/>
          </w:footnotePr>
          <w:pgSz w:w="11900" w:h="16840"/>
          <w:pgMar w:top="1418" w:right="1418" w:bottom="1418" w:left="1985" w:header="708" w:footer="708" w:gutter="0"/>
          <w:cols w:space="708"/>
          <w:docGrid w:linePitch="360"/>
        </w:sectPr>
      </w:pPr>
    </w:p>
    <w:p w14:paraId="531CECEF" w14:textId="77777777" w:rsidR="0040352C" w:rsidRPr="00921BB8" w:rsidRDefault="0040352C" w:rsidP="001C3D81">
      <w:pPr>
        <w:pStyle w:val="Paragrafoelenco"/>
        <w:spacing w:line="360" w:lineRule="auto"/>
        <w:ind w:left="0"/>
        <w:jc w:val="both"/>
        <w:rPr>
          <w:rFonts w:ascii="Times New Roman" w:hAnsi="Times New Roman"/>
          <w:b/>
          <w:sz w:val="28"/>
          <w:szCs w:val="28"/>
        </w:rPr>
      </w:pPr>
      <w:r w:rsidRPr="00921BB8">
        <w:rPr>
          <w:rFonts w:ascii="Times New Roman" w:hAnsi="Times New Roman"/>
          <w:b/>
          <w:sz w:val="28"/>
          <w:szCs w:val="28"/>
        </w:rPr>
        <w:t>Drittes Kapitel</w:t>
      </w:r>
    </w:p>
    <w:p w14:paraId="2B5BDB41" w14:textId="77777777" w:rsidR="0040352C" w:rsidRPr="00921BB8" w:rsidRDefault="0040352C" w:rsidP="001C3D81">
      <w:pPr>
        <w:pStyle w:val="Paragrafoelenco"/>
        <w:spacing w:line="360" w:lineRule="auto"/>
        <w:ind w:left="0"/>
        <w:jc w:val="both"/>
        <w:rPr>
          <w:rFonts w:ascii="Times New Roman" w:hAnsi="Times New Roman"/>
          <w:b/>
        </w:rPr>
      </w:pPr>
    </w:p>
    <w:p w14:paraId="3E667A52" w14:textId="28BFFC12" w:rsidR="001C3D81" w:rsidRPr="00921BB8" w:rsidRDefault="001C3D81" w:rsidP="001C3D81">
      <w:pPr>
        <w:pStyle w:val="Paragrafoelenco"/>
        <w:spacing w:line="360" w:lineRule="auto"/>
        <w:ind w:left="0"/>
        <w:jc w:val="both"/>
        <w:rPr>
          <w:rFonts w:ascii="Times New Roman" w:hAnsi="Times New Roman"/>
          <w:b/>
        </w:rPr>
      </w:pPr>
      <w:r w:rsidRPr="00921BB8">
        <w:rPr>
          <w:rFonts w:ascii="Times New Roman" w:hAnsi="Times New Roman"/>
          <w:b/>
        </w:rPr>
        <w:t xml:space="preserve"> Rezeption u</w:t>
      </w:r>
      <w:r w:rsidR="00921BB8">
        <w:rPr>
          <w:rFonts w:ascii="Times New Roman" w:hAnsi="Times New Roman"/>
          <w:b/>
        </w:rPr>
        <w:t>nd Interpretation der Kabbala im</w:t>
      </w:r>
      <w:r w:rsidRPr="00921BB8">
        <w:rPr>
          <w:rFonts w:ascii="Times New Roman" w:hAnsi="Times New Roman"/>
          <w:b/>
        </w:rPr>
        <w:t xml:space="preserve"> Deutschland des 18. und 19. Jahrhunderts</w:t>
      </w:r>
    </w:p>
    <w:p w14:paraId="7C6F7387" w14:textId="77777777" w:rsidR="001C3D81" w:rsidRPr="00921BB8" w:rsidRDefault="001C3D81" w:rsidP="001C3D81">
      <w:pPr>
        <w:pStyle w:val="Paragrafoelenco"/>
        <w:spacing w:line="360" w:lineRule="auto"/>
        <w:ind w:left="0"/>
        <w:jc w:val="both"/>
        <w:rPr>
          <w:rFonts w:ascii="Times New Roman" w:hAnsi="Times New Roman"/>
          <w:i/>
        </w:rPr>
      </w:pPr>
    </w:p>
    <w:p w14:paraId="5AAFF6C8" w14:textId="65662526" w:rsidR="001C3D81" w:rsidRPr="00921BB8" w:rsidRDefault="001C3D81" w:rsidP="001C3D81">
      <w:pPr>
        <w:pStyle w:val="Paragrafoelenco"/>
        <w:spacing w:line="360" w:lineRule="auto"/>
        <w:ind w:left="0" w:firstLine="567"/>
        <w:jc w:val="both"/>
        <w:rPr>
          <w:rFonts w:ascii="Times New Roman" w:hAnsi="Times New Roman"/>
          <w:lang w:val="de-DE"/>
        </w:rPr>
      </w:pPr>
      <w:r w:rsidRPr="00921BB8">
        <w:rPr>
          <w:rFonts w:ascii="Times New Roman" w:hAnsi="Times New Roman"/>
          <w:lang w:val="de-DE"/>
        </w:rPr>
        <w:t>Es ist m</w:t>
      </w:r>
      <w:r w:rsidRPr="00921BB8">
        <w:rPr>
          <w:rFonts w:ascii="Times New Roman" w:hAnsi="Times New Roman" w:cs="Times New Roman"/>
          <w:lang w:val="de-DE"/>
        </w:rPr>
        <w:t>ö</w:t>
      </w:r>
      <w:r w:rsidRPr="00921BB8">
        <w:rPr>
          <w:rFonts w:ascii="Times New Roman" w:hAnsi="Times New Roman"/>
          <w:lang w:val="de-DE"/>
        </w:rPr>
        <w:t xml:space="preserve">glich, von einem Einfluss der Kabbala auf die Hegelsche Logik zu sprechen, wenn man sich die </w:t>
      </w:r>
      <w:r w:rsidRPr="00921BB8">
        <w:rPr>
          <w:rFonts w:ascii="Times New Roman" w:hAnsi="Times New Roman"/>
          <w:i/>
          <w:lang w:val="de-DE"/>
        </w:rPr>
        <w:t>Auseinandersetzung</w:t>
      </w:r>
      <w:r w:rsidRPr="00921BB8">
        <w:rPr>
          <w:rFonts w:ascii="Times New Roman" w:hAnsi="Times New Roman"/>
          <w:lang w:val="de-DE"/>
        </w:rPr>
        <w:t xml:space="preserve"> Hegels</w:t>
      </w:r>
      <w:r w:rsidRPr="00921BB8">
        <w:rPr>
          <w:rFonts w:ascii="Times New Roman" w:hAnsi="Times New Roman"/>
          <w:i/>
          <w:lang w:val="de-DE"/>
        </w:rPr>
        <w:t xml:space="preserve"> </w:t>
      </w:r>
      <w:r w:rsidRPr="00921BB8">
        <w:rPr>
          <w:rFonts w:ascii="Times New Roman" w:hAnsi="Times New Roman"/>
          <w:lang w:val="de-DE"/>
        </w:rPr>
        <w:t xml:space="preserve">mit dem Gedanken Böhmes vor Augen hält. Im vorherigen Kapitel haben wir gesehen, wie die Hegelsche Aufhebung des Spinozismus der Anwendung einiger Böhmeschen </w:t>
      </w:r>
      <w:r w:rsidRPr="003F613C">
        <w:rPr>
          <w:rFonts w:ascii="Times New Roman" w:hAnsi="Times New Roman"/>
          <w:lang w:val="de-DE"/>
        </w:rPr>
        <w:t xml:space="preserve">Vorstellungen, die sich mit der jüdischen Kabbala verbinden, erleichtert wurde. Dass Hegel </w:t>
      </w:r>
      <w:r w:rsidR="001A6DA0" w:rsidRPr="003F613C">
        <w:rPr>
          <w:rFonts w:ascii="Times New Roman" w:hAnsi="Times New Roman"/>
          <w:lang w:val="de-DE"/>
        </w:rPr>
        <w:t>den kabbalistischen Hintergrund</w:t>
      </w:r>
      <w:r w:rsidRPr="003F613C">
        <w:rPr>
          <w:rFonts w:ascii="Times New Roman" w:hAnsi="Times New Roman"/>
          <w:lang w:val="de-DE"/>
        </w:rPr>
        <w:t xml:space="preserve"> des </w:t>
      </w:r>
      <w:r w:rsidRPr="003F613C">
        <w:rPr>
          <w:rFonts w:ascii="Times New Roman" w:hAnsi="Times New Roman"/>
          <w:i/>
          <w:lang w:val="de-DE"/>
        </w:rPr>
        <w:t>Zorns Gottes</w:t>
      </w:r>
      <w:r w:rsidR="003F613C" w:rsidRPr="003F613C">
        <w:rPr>
          <w:rFonts w:ascii="Times New Roman" w:hAnsi="Times New Roman"/>
          <w:i/>
          <w:lang w:val="de-DE"/>
        </w:rPr>
        <w:t xml:space="preserve"> </w:t>
      </w:r>
      <w:r w:rsidR="003F613C" w:rsidRPr="003F613C">
        <w:rPr>
          <w:rFonts w:ascii="Times New Roman" w:hAnsi="Times New Roman"/>
          <w:lang w:val="de-DE"/>
        </w:rPr>
        <w:t>nicht</w:t>
      </w:r>
      <w:r w:rsidRPr="003F613C">
        <w:rPr>
          <w:rFonts w:ascii="Times New Roman" w:hAnsi="Times New Roman"/>
          <w:i/>
          <w:lang w:val="de-DE"/>
        </w:rPr>
        <w:t xml:space="preserve"> </w:t>
      </w:r>
      <w:r w:rsidR="001A6DA0" w:rsidRPr="003F613C">
        <w:rPr>
          <w:rFonts w:ascii="Times New Roman" w:hAnsi="Times New Roman"/>
          <w:lang w:val="de-DE"/>
        </w:rPr>
        <w:t xml:space="preserve">betonen </w:t>
      </w:r>
      <w:r w:rsidRPr="003F613C">
        <w:rPr>
          <w:rFonts w:ascii="Times New Roman" w:hAnsi="Times New Roman"/>
          <w:lang w:val="de-DE"/>
        </w:rPr>
        <w:t>konnte</w:t>
      </w:r>
      <w:r w:rsidRPr="003F613C">
        <w:rPr>
          <w:rFonts w:ascii="Times New Roman" w:hAnsi="Times New Roman"/>
          <w:i/>
          <w:lang w:val="de-DE"/>
        </w:rPr>
        <w:t>,</w:t>
      </w:r>
      <w:r w:rsidRPr="00921BB8">
        <w:rPr>
          <w:rFonts w:ascii="Times New Roman" w:hAnsi="Times New Roman"/>
          <w:i/>
          <w:lang w:val="de-DE"/>
        </w:rPr>
        <w:t xml:space="preserve"> </w:t>
      </w:r>
      <w:r w:rsidRPr="00921BB8">
        <w:rPr>
          <w:rFonts w:ascii="Times New Roman" w:hAnsi="Times New Roman"/>
          <w:lang w:val="de-DE"/>
        </w:rPr>
        <w:t>hängt vom historischen Kontext ab, in dem Hegel erzogen wurde. In der deutschen Historiografie des 18. und 19. Jahrhunderts gab es eine verbreitete Kategorisierung der jüdischen Kabbala, die die Möglichkeit ausschloss, das</w:t>
      </w:r>
      <w:r w:rsidR="00921A63">
        <w:rPr>
          <w:rFonts w:ascii="Times New Roman" w:hAnsi="Times New Roman"/>
          <w:lang w:val="de-DE"/>
        </w:rPr>
        <w:t xml:space="preserve"> Böse (den Zorn Gottes) als ein</w:t>
      </w:r>
      <w:r w:rsidRPr="00921BB8">
        <w:rPr>
          <w:rFonts w:ascii="Times New Roman" w:hAnsi="Times New Roman"/>
          <w:lang w:val="de-DE"/>
        </w:rPr>
        <w:t xml:space="preserve"> innere</w:t>
      </w:r>
      <w:r w:rsidR="00921A63">
        <w:rPr>
          <w:rFonts w:ascii="Times New Roman" w:hAnsi="Times New Roman"/>
          <w:lang w:val="de-DE"/>
        </w:rPr>
        <w:t>s Prinzip</w:t>
      </w:r>
      <w:r w:rsidRPr="00921BB8">
        <w:rPr>
          <w:rFonts w:ascii="Times New Roman" w:hAnsi="Times New Roman"/>
          <w:lang w:val="de-DE"/>
        </w:rPr>
        <w:t xml:space="preserve"> Gottes zu denken. Die verschiedenen Handbücher zur </w:t>
      </w:r>
      <w:r w:rsidRPr="00921BB8">
        <w:rPr>
          <w:rFonts w:ascii="Times New Roman" w:hAnsi="Times New Roman"/>
          <w:i/>
          <w:lang w:val="de-DE"/>
        </w:rPr>
        <w:t>Geschichte der Philosophie</w:t>
      </w:r>
      <w:r w:rsidRPr="00921BB8">
        <w:rPr>
          <w:rFonts w:ascii="Times New Roman" w:hAnsi="Times New Roman"/>
          <w:lang w:val="de-DE"/>
        </w:rPr>
        <w:t xml:space="preserve">, die zu Hegels Zeit bekannt waren, beweisen diese Tatsache: von der </w:t>
      </w:r>
      <w:r w:rsidRPr="00921BB8">
        <w:rPr>
          <w:rFonts w:ascii="Times New Roman" w:hAnsi="Times New Roman"/>
          <w:i/>
          <w:lang w:val="de-DE"/>
        </w:rPr>
        <w:t xml:space="preserve">Historia critica philosophiae </w:t>
      </w:r>
      <w:r w:rsidRPr="00921BB8">
        <w:rPr>
          <w:rFonts w:ascii="Times New Roman" w:hAnsi="Times New Roman"/>
          <w:lang w:val="de-DE"/>
        </w:rPr>
        <w:t xml:space="preserve">(1742) Bruckers bis zur </w:t>
      </w:r>
      <w:r w:rsidRPr="00921BB8">
        <w:rPr>
          <w:rFonts w:ascii="Times New Roman" w:hAnsi="Times New Roman"/>
          <w:i/>
          <w:lang w:val="de-DE"/>
        </w:rPr>
        <w:t xml:space="preserve">Geschichte der Philosophie </w:t>
      </w:r>
      <w:r w:rsidRPr="00921BB8">
        <w:rPr>
          <w:rFonts w:ascii="Times New Roman" w:hAnsi="Times New Roman"/>
          <w:lang w:val="de-DE"/>
        </w:rPr>
        <w:t>(1814) Tennemanns folgen sich Auslegungen der Kabbala (eines verworrenen Zusammenhangs alexandrinischer, orientalischer und neoplatonischer Elemente), nach denen das kabbalistische En-sof ein reines Licht ist, das sich der Finsternis (der Materie) entgegengesetzt, die wiederum kein Fürsichsein beibehalten kann.</w:t>
      </w:r>
    </w:p>
    <w:p w14:paraId="2B9B307F" w14:textId="5411FFB7" w:rsidR="001C3D81" w:rsidRPr="00921BB8" w:rsidRDefault="001C3D81" w:rsidP="001C3D81">
      <w:pPr>
        <w:pStyle w:val="Paragrafoelenco"/>
        <w:spacing w:line="360" w:lineRule="auto"/>
        <w:ind w:left="0" w:firstLine="567"/>
        <w:jc w:val="both"/>
        <w:rPr>
          <w:rFonts w:ascii="Times New Roman" w:hAnsi="Times New Roman"/>
          <w:lang w:val="de-DE"/>
        </w:rPr>
      </w:pPr>
      <w:r w:rsidRPr="00921BB8">
        <w:rPr>
          <w:rFonts w:ascii="Times New Roman" w:hAnsi="Times New Roman"/>
          <w:lang w:val="de-DE"/>
        </w:rPr>
        <w:t>In diesem</w:t>
      </w:r>
      <w:r w:rsidR="000115CA">
        <w:rPr>
          <w:rFonts w:ascii="Times New Roman" w:hAnsi="Times New Roman"/>
          <w:lang w:val="de-DE"/>
        </w:rPr>
        <w:t xml:space="preserve"> Kapitel werde ich zeigen, wie </w:t>
      </w:r>
      <w:r w:rsidRPr="00921BB8">
        <w:rPr>
          <w:rFonts w:ascii="Times New Roman" w:hAnsi="Times New Roman"/>
          <w:lang w:val="de-DE"/>
        </w:rPr>
        <w:t xml:space="preserve">Hegel diese Interpretation der kabbalistischen Philosophie in den </w:t>
      </w:r>
      <w:r w:rsidRPr="00921BB8">
        <w:rPr>
          <w:rFonts w:ascii="Times New Roman" w:hAnsi="Times New Roman"/>
          <w:i/>
          <w:lang w:val="de-DE"/>
        </w:rPr>
        <w:t xml:space="preserve">Vorlesungen über die </w:t>
      </w:r>
      <w:r w:rsidRPr="00921BB8">
        <w:rPr>
          <w:rFonts w:ascii="Times New Roman" w:hAnsi="Times New Roman" w:cs="Times New Roman"/>
          <w:i/>
          <w:lang w:val="de-DE"/>
        </w:rPr>
        <w:t>Geschichte der Philosophie (</w:t>
      </w:r>
      <w:r w:rsidRPr="00921BB8">
        <w:rPr>
          <w:rFonts w:ascii="Times New Roman" w:hAnsi="Times New Roman" w:cs="Times New Roman"/>
          <w:lang w:val="de-DE"/>
        </w:rPr>
        <w:t>1818/19; 1820/21; 1825/26 und Michelets Ausgabe</w:t>
      </w:r>
      <w:r w:rsidR="00E92B05">
        <w:rPr>
          <w:rFonts w:ascii="Times New Roman" w:hAnsi="Times New Roman" w:cs="Times New Roman"/>
          <w:lang w:val="de-DE"/>
        </w:rPr>
        <w:t>n</w:t>
      </w:r>
      <w:r w:rsidRPr="00921BB8">
        <w:rPr>
          <w:rFonts w:ascii="Times New Roman" w:hAnsi="Times New Roman" w:cs="Times New Roman"/>
          <w:lang w:val="de-DE"/>
        </w:rPr>
        <w:t xml:space="preserve">) </w:t>
      </w:r>
      <w:r w:rsidRPr="00921BB8">
        <w:rPr>
          <w:rFonts w:ascii="Times New Roman" w:hAnsi="Times New Roman"/>
          <w:lang w:val="de-DE"/>
        </w:rPr>
        <w:t xml:space="preserve">aufgenommen hat. Parallel zu dieser Analyse werde ich die Phasen einer Interpretation des Spinozismus zurückverfolgen, die sich auf die Rezeption der jüdischen Kabbala in Deutschland bezieht. Dass Hegel die Spinozistische Ontologie stufenweise als ein System der abstrakten Identität definiert hat, stellt keine isolierte historisch-philosophische Operation, sondern das theoretische Ergebnis einer kabbalistischen Auslegung der Werke Spinozas dar. Es ist kein Zufall, dass in der vor 1821 datierbaren Hegelschen Produktion die akosmistische Definition des Spinozismus nie auftaucht. Für Hegel nennt sich </w:t>
      </w:r>
      <w:r w:rsidRPr="00E92B05">
        <w:rPr>
          <w:rFonts w:ascii="Times New Roman" w:hAnsi="Times New Roman"/>
          <w:lang w:val="de-DE"/>
        </w:rPr>
        <w:t>„akosmistisch“</w:t>
      </w:r>
      <w:r w:rsidRPr="00921BB8">
        <w:rPr>
          <w:rFonts w:ascii="Times New Roman" w:hAnsi="Times New Roman"/>
          <w:lang w:val="de-DE"/>
        </w:rPr>
        <w:t xml:space="preserve"> jene Philosophie, die Gott das Sein zuschreibt und die Welt als bloßes Negatives (Nichtsein) betrachtet. Diese Definition des Akosmismus findet ihre Formulierung in einem Text, in </w:t>
      </w:r>
      <w:r w:rsidRPr="00921BB8">
        <w:rPr>
          <w:rFonts w:ascii="Times New Roman" w:hAnsi="Times New Roman"/>
          <w:i/>
          <w:lang w:val="de-DE"/>
        </w:rPr>
        <w:t xml:space="preserve">Salomon Maimons Lebensgeschichte </w:t>
      </w:r>
      <w:r w:rsidRPr="00921BB8">
        <w:rPr>
          <w:rFonts w:ascii="Times New Roman" w:hAnsi="Times New Roman"/>
          <w:lang w:val="de-DE"/>
        </w:rPr>
        <w:t>(1792/93), der gerade im Begriff von Akosmismus die theoretische Einheit von Spinozismus und jüdischer Kabbala erkannte. Meiner Meinung nach stellt die Annahme einer solchen Kategorie ei</w:t>
      </w:r>
      <w:r w:rsidRPr="00921BB8">
        <w:rPr>
          <w:rFonts w:ascii="Times New Roman" w:hAnsi="Times New Roman" w:cs="Times New Roman"/>
          <w:lang w:val="de-DE"/>
        </w:rPr>
        <w:t>n</w:t>
      </w:r>
      <w:r w:rsidRPr="00921BB8">
        <w:rPr>
          <w:rFonts w:ascii="Times New Roman" w:hAnsi="Times New Roman"/>
          <w:lang w:val="de-DE"/>
        </w:rPr>
        <w:t>en Hinweis der Hegelschen Rezeption von kabbalistischen Themen dar, die erstmals in H</w:t>
      </w:r>
      <w:r w:rsidRPr="00921BB8">
        <w:rPr>
          <w:rFonts w:ascii="Times New Roman" w:hAnsi="Times New Roman" w:cs="Times New Roman"/>
          <w:lang w:val="de-DE"/>
        </w:rPr>
        <w:t>ä</w:t>
      </w:r>
      <w:r w:rsidRPr="00921BB8">
        <w:rPr>
          <w:rFonts w:ascii="Times New Roman" w:hAnsi="Times New Roman"/>
          <w:lang w:val="de-DE"/>
        </w:rPr>
        <w:t>rings Vorlesungsmanuskript (1820/21) nachweisbar sind. Die akademischen Pflichten – in diesem Fall die Vorlesungen</w:t>
      </w:r>
      <w:r w:rsidRPr="00921BB8">
        <w:rPr>
          <w:rFonts w:ascii="Times New Roman" w:hAnsi="Times New Roman" w:cs="Times New Roman"/>
          <w:lang w:val="de-DE"/>
        </w:rPr>
        <w:t xml:space="preserve"> über die</w:t>
      </w:r>
      <w:r w:rsidRPr="00921BB8">
        <w:rPr>
          <w:rFonts w:ascii="Times New Roman" w:hAnsi="Times New Roman"/>
          <w:lang w:val="de-DE"/>
        </w:rPr>
        <w:t xml:space="preserve"> Geschichte der Philosophie – haben Hegel gezwungen, Momente des philosophischen Denkens zu vertiefen (wie die jüdische Mystik), für die er kein eigenes Interesse hatte. </w:t>
      </w:r>
      <w:r w:rsidRPr="00921BB8">
        <w:rPr>
          <w:rFonts w:ascii="Times New Roman" w:hAnsi="Times New Roman" w:cs="Times New Roman"/>
          <w:lang w:val="de-DE"/>
        </w:rPr>
        <w:t xml:space="preserve">Es ist sehr (höchst) </w:t>
      </w:r>
      <w:r w:rsidRPr="00921BB8">
        <w:rPr>
          <w:rFonts w:ascii="Times New Roman" w:hAnsi="Times New Roman"/>
          <w:lang w:val="de-DE"/>
        </w:rPr>
        <w:t>wahrscheinlich (Buhles und Asts Geschichte</w:t>
      </w:r>
      <w:r w:rsidR="00E92B05">
        <w:rPr>
          <w:rFonts w:ascii="Times New Roman" w:hAnsi="Times New Roman"/>
          <w:lang w:val="de-DE"/>
        </w:rPr>
        <w:t>n</w:t>
      </w:r>
      <w:r w:rsidRPr="00921BB8">
        <w:rPr>
          <w:rFonts w:ascii="Times New Roman" w:hAnsi="Times New Roman"/>
          <w:lang w:val="de-DE"/>
        </w:rPr>
        <w:t xml:space="preserve"> der Philosophie, die Hegel in den Vorlesungen zitiert, haben beide Maimons Autobiographie für ein besseres Verständnis der Kabbala empfohlen)</w:t>
      </w:r>
      <w:r w:rsidRPr="00921BB8">
        <w:rPr>
          <w:rStyle w:val="Rimandonotaapidipagina"/>
          <w:rFonts w:ascii="Times New Roman" w:hAnsi="Times New Roman"/>
          <w:lang w:val="de-DE"/>
        </w:rPr>
        <w:footnoteReference w:id="956"/>
      </w:r>
      <w:r w:rsidRPr="00921BB8">
        <w:rPr>
          <w:rFonts w:ascii="Times New Roman" w:hAnsi="Times New Roman"/>
          <w:lang w:val="de-DE"/>
        </w:rPr>
        <w:t xml:space="preserve">, dass die Lektüre von </w:t>
      </w:r>
      <w:r w:rsidRPr="00921BB8">
        <w:rPr>
          <w:rFonts w:ascii="Times New Roman" w:hAnsi="Times New Roman"/>
          <w:i/>
          <w:lang w:val="de-DE"/>
        </w:rPr>
        <w:t>Salomon Maimons</w:t>
      </w:r>
      <w:r w:rsidRPr="00921BB8">
        <w:rPr>
          <w:rFonts w:ascii="Times New Roman" w:hAnsi="Times New Roman"/>
          <w:lang w:val="de-DE"/>
        </w:rPr>
        <w:t xml:space="preserve"> </w:t>
      </w:r>
      <w:r w:rsidRPr="00921BB8">
        <w:rPr>
          <w:rFonts w:ascii="Times New Roman" w:hAnsi="Times New Roman"/>
          <w:i/>
          <w:lang w:val="de-DE"/>
        </w:rPr>
        <w:t xml:space="preserve">Lebensgeschichte </w:t>
      </w:r>
      <w:r w:rsidRPr="00921BB8">
        <w:rPr>
          <w:rFonts w:ascii="Times New Roman" w:hAnsi="Times New Roman"/>
          <w:lang w:val="de-DE"/>
        </w:rPr>
        <w:t>auf die Sammlung schematischer Informationen über die jüdische Kabbala gerichtet war. Statt einer argumentativen Grundlage für den jüdischen Mystizismus hat die Autobiographie Maiomons</w:t>
      </w:r>
      <w:r w:rsidRPr="00921BB8">
        <w:rPr>
          <w:rFonts w:ascii="Times New Roman" w:hAnsi="Times New Roman"/>
          <w:i/>
          <w:lang w:val="de-DE"/>
        </w:rPr>
        <w:t xml:space="preserve"> </w:t>
      </w:r>
      <w:r w:rsidRPr="00921BB8">
        <w:rPr>
          <w:rFonts w:ascii="Times New Roman" w:hAnsi="Times New Roman"/>
          <w:lang w:val="de-DE"/>
        </w:rPr>
        <w:t xml:space="preserve">vielmehr eine Kategorisierung der Spinozistischen Ontologie dargeboten, die Hegel organisch in der </w:t>
      </w:r>
      <w:r w:rsidRPr="00921BB8">
        <w:rPr>
          <w:rFonts w:ascii="Times New Roman" w:hAnsi="Times New Roman"/>
          <w:i/>
          <w:lang w:val="de-DE"/>
        </w:rPr>
        <w:t xml:space="preserve">Enzyklopädie </w:t>
      </w:r>
      <w:r w:rsidRPr="00921BB8">
        <w:rPr>
          <w:rFonts w:ascii="Times New Roman" w:hAnsi="Times New Roman" w:cs="Times New Roman"/>
          <w:lang w:val="de-DE"/>
        </w:rPr>
        <w:t xml:space="preserve">(1827; 1830) und in der </w:t>
      </w:r>
      <w:r w:rsidRPr="00921BB8">
        <w:rPr>
          <w:rFonts w:ascii="Times New Roman" w:hAnsi="Times New Roman"/>
          <w:i/>
          <w:lang w:val="de-DE"/>
        </w:rPr>
        <w:t xml:space="preserve">Logik des Seyns </w:t>
      </w:r>
      <w:r w:rsidRPr="00921BB8">
        <w:rPr>
          <w:rFonts w:ascii="Times New Roman" w:hAnsi="Times New Roman"/>
          <w:lang w:val="de-DE"/>
        </w:rPr>
        <w:t>(Ausgabe von 1832) dargelegt hat.</w:t>
      </w:r>
    </w:p>
    <w:p w14:paraId="7BA049CE" w14:textId="77777777" w:rsidR="001C3D81" w:rsidRPr="00921BB8" w:rsidRDefault="001C3D81" w:rsidP="001C3D81">
      <w:pPr>
        <w:pStyle w:val="Paragrafoelenco"/>
        <w:spacing w:line="360" w:lineRule="auto"/>
        <w:ind w:left="0" w:firstLine="567"/>
        <w:jc w:val="both"/>
        <w:rPr>
          <w:rFonts w:ascii="Times New Roman" w:hAnsi="Times New Roman"/>
          <w:lang w:val="de-DE"/>
        </w:rPr>
      </w:pPr>
    </w:p>
    <w:p w14:paraId="4F3C6397" w14:textId="77777777" w:rsidR="001C3D81" w:rsidRPr="00921BB8" w:rsidRDefault="001C3D81" w:rsidP="001C3D81">
      <w:pPr>
        <w:tabs>
          <w:tab w:val="left" w:pos="6601"/>
        </w:tabs>
        <w:spacing w:line="360" w:lineRule="auto"/>
        <w:jc w:val="both"/>
        <w:rPr>
          <w:rFonts w:ascii="Times New Roman" w:hAnsi="Times New Roman"/>
          <w:i/>
        </w:rPr>
      </w:pPr>
      <w:r w:rsidRPr="00921BB8">
        <w:rPr>
          <w:rFonts w:ascii="Times New Roman" w:hAnsi="Times New Roman"/>
          <w:i/>
        </w:rPr>
        <w:t>3.1 "Ex nihilo nihil posse creari": die jüdische Qabbala zwischen Emanatismus und Pantheismus</w:t>
      </w:r>
    </w:p>
    <w:p w14:paraId="5AC56627" w14:textId="77777777" w:rsidR="001C3D81" w:rsidRPr="00921BB8" w:rsidRDefault="001C3D81" w:rsidP="001C3D81">
      <w:pPr>
        <w:tabs>
          <w:tab w:val="left" w:pos="6601"/>
        </w:tabs>
        <w:spacing w:line="360" w:lineRule="auto"/>
        <w:jc w:val="both"/>
        <w:rPr>
          <w:rFonts w:ascii="Times New Roman" w:hAnsi="Times New Roman"/>
          <w:i/>
        </w:rPr>
      </w:pPr>
    </w:p>
    <w:p w14:paraId="61ECDF40" w14:textId="77777777" w:rsidR="001C3D81" w:rsidRPr="00921BB8" w:rsidRDefault="001C3D81" w:rsidP="001C3D81">
      <w:pPr>
        <w:pStyle w:val="Paragrafoelenco"/>
        <w:spacing w:line="360" w:lineRule="auto"/>
        <w:ind w:left="0" w:firstLine="567"/>
        <w:jc w:val="both"/>
        <w:rPr>
          <w:rFonts w:ascii="Times New Roman" w:hAnsi="Times New Roman" w:cs="Times New Roman"/>
          <w:lang w:val="de-DE"/>
        </w:rPr>
      </w:pPr>
      <w:r w:rsidRPr="00921BB8">
        <w:rPr>
          <w:rFonts w:ascii="Times New Roman" w:hAnsi="Times New Roman"/>
          <w:lang w:val="de-DE"/>
        </w:rPr>
        <w:t xml:space="preserve">Dank der Veröffentlichung der </w:t>
      </w:r>
      <w:r w:rsidRPr="00921BB8">
        <w:rPr>
          <w:rFonts w:ascii="Times New Roman" w:hAnsi="Times New Roman" w:cs="Times New Roman"/>
          <w:i/>
          <w:lang w:val="de-DE"/>
        </w:rPr>
        <w:t xml:space="preserve">Kabbala denudata, </w:t>
      </w:r>
      <w:r w:rsidRPr="00921BB8">
        <w:rPr>
          <w:rFonts w:ascii="Times New Roman" w:eastAsia="Times New Roman" w:hAnsi="Times New Roman" w:cs="Times New Roman"/>
          <w:i/>
          <w:iCs/>
          <w:color w:val="222222"/>
          <w:shd w:val="clear" w:color="auto" w:fill="FFFFFF"/>
          <w:lang w:val="de-DE"/>
        </w:rPr>
        <w:t xml:space="preserve">sive Doctrina Hebræorum Transcendentalis et Metaphysica Atque Theologia </w:t>
      </w:r>
      <w:r w:rsidRPr="00921BB8">
        <w:rPr>
          <w:rFonts w:ascii="Times New Roman" w:eastAsia="Times New Roman" w:hAnsi="Times New Roman" w:cs="Times New Roman"/>
          <w:iCs/>
          <w:color w:val="222222"/>
          <w:shd w:val="clear" w:color="auto" w:fill="FFFFFF"/>
          <w:lang w:val="de-DE"/>
        </w:rPr>
        <w:t xml:space="preserve">(Sulzbach 1677 und 1684) </w:t>
      </w:r>
      <w:r w:rsidRPr="00921BB8">
        <w:rPr>
          <w:rFonts w:ascii="Times New Roman" w:hAnsi="Times New Roman"/>
          <w:lang w:val="de-DE"/>
        </w:rPr>
        <w:t>stellte Christian Knorr von Rosenroth (1636-1689) dem Europäischen Publikum eine beträchtliche Anzahl kabbalistischer Werke in lateinischer Übersetzung zur Verfügung</w:t>
      </w:r>
      <w:r w:rsidRPr="00921BB8">
        <w:rPr>
          <w:rStyle w:val="Rimandonotaapidipagina"/>
          <w:rFonts w:ascii="Times New Roman" w:hAnsi="Times New Roman"/>
          <w:lang w:val="de-DE"/>
        </w:rPr>
        <w:footnoteReference w:id="957"/>
      </w:r>
      <w:r w:rsidRPr="00921BB8">
        <w:rPr>
          <w:rFonts w:ascii="Times New Roman" w:hAnsi="Times New Roman"/>
          <w:lang w:val="de-DE"/>
        </w:rPr>
        <w:t xml:space="preserve">. </w:t>
      </w:r>
      <w:r w:rsidRPr="00921BB8">
        <w:rPr>
          <w:rFonts w:ascii="Times New Roman" w:hAnsi="Times New Roman" w:cs="Times New Roman"/>
          <w:lang w:val="de-DE"/>
        </w:rPr>
        <w:t xml:space="preserve">Für die Rezeption der jüdischen Kabbala im Deutschland waren vor allem zwei Werke entscheidend: die </w:t>
      </w:r>
      <w:r w:rsidRPr="00921BB8">
        <w:rPr>
          <w:rFonts w:ascii="Times New Roman" w:hAnsi="Times New Roman" w:cs="Times New Roman"/>
          <w:i/>
          <w:lang w:val="de-DE"/>
        </w:rPr>
        <w:t xml:space="preserve">Porta Coelorum </w:t>
      </w:r>
      <w:r w:rsidRPr="00921BB8">
        <w:rPr>
          <w:rFonts w:ascii="Times New Roman" w:hAnsi="Times New Roman" w:cs="Times New Roman"/>
          <w:lang w:val="de-DE"/>
        </w:rPr>
        <w:t xml:space="preserve">von Abraham Cohen de Herrera, einem Kabbalisten des 17. Jahrhunderts, und die </w:t>
      </w:r>
      <w:r w:rsidRPr="00921BB8">
        <w:rPr>
          <w:rFonts w:ascii="Times New Roman" w:hAnsi="Times New Roman" w:cs="Times New Roman"/>
          <w:i/>
          <w:lang w:val="de-DE"/>
        </w:rPr>
        <w:t xml:space="preserve">Fundamenta philosophiae sive Cabbalae Aëto-Paedo-Melissae </w:t>
      </w:r>
      <w:r w:rsidRPr="00921BB8">
        <w:rPr>
          <w:rFonts w:ascii="Times New Roman" w:hAnsi="Times New Roman" w:cs="Times New Roman"/>
          <w:lang w:val="de-DE"/>
        </w:rPr>
        <w:t>von Henry More, einem der bekanntesten Philosophen der Platonischen Schule von Cambridge.</w:t>
      </w:r>
    </w:p>
    <w:p w14:paraId="573D8878" w14:textId="0CD8FC84" w:rsidR="001C3D81" w:rsidRPr="00921BB8" w:rsidRDefault="001C3D81" w:rsidP="001C3D81">
      <w:pPr>
        <w:tabs>
          <w:tab w:val="left" w:pos="6601"/>
        </w:tabs>
        <w:spacing w:line="360" w:lineRule="auto"/>
        <w:ind w:firstLine="567"/>
        <w:jc w:val="both"/>
        <w:rPr>
          <w:rFonts w:ascii="Times New Roman" w:hAnsi="Times New Roman" w:cs="Times New Roman"/>
          <w:lang w:val="de-DE"/>
        </w:rPr>
      </w:pPr>
      <w:r w:rsidRPr="00921BB8">
        <w:rPr>
          <w:rFonts w:ascii="Times New Roman" w:hAnsi="Times New Roman" w:cs="Times New Roman"/>
          <w:lang w:val="de-DE"/>
        </w:rPr>
        <w:t xml:space="preserve">Die </w:t>
      </w:r>
      <w:r w:rsidRPr="00921BB8">
        <w:rPr>
          <w:rFonts w:ascii="Times New Roman" w:hAnsi="Times New Roman" w:cs="Times New Roman"/>
          <w:i/>
          <w:lang w:val="de-DE"/>
        </w:rPr>
        <w:t>Puerta del Cielo</w:t>
      </w:r>
      <w:r w:rsidRPr="00921BB8">
        <w:rPr>
          <w:rFonts w:ascii="Times New Roman" w:hAnsi="Times New Roman" w:cs="Times New Roman"/>
          <w:lang w:val="de-DE"/>
        </w:rPr>
        <w:t>, die zwischen 1621 und 1631 in Amsterdam auf Spanisch verfasst wurde, wurde von Knorr von Rosenroth aus der hebräischen Übersetzung des 1655 erschienenen Textes in Latein übersetzt</w:t>
      </w:r>
      <w:r w:rsidRPr="00921BB8">
        <w:rPr>
          <w:rStyle w:val="Rimandonotaapidipagina"/>
          <w:rFonts w:ascii="Times New Roman" w:hAnsi="Times New Roman" w:cs="Times New Roman"/>
          <w:lang w:val="de-DE"/>
        </w:rPr>
        <w:footnoteReference w:id="958"/>
      </w:r>
      <w:r w:rsidRPr="00921BB8">
        <w:rPr>
          <w:rFonts w:ascii="Times New Roman" w:hAnsi="Times New Roman" w:cs="Times New Roman"/>
          <w:lang w:val="de-DE"/>
        </w:rPr>
        <w:t xml:space="preserve">. Nach Herrera wird </w:t>
      </w:r>
      <w:r w:rsidRPr="00921BB8">
        <w:rPr>
          <w:rFonts w:ascii="Times New Roman" w:hAnsi="Times New Roman"/>
          <w:lang w:val="de-DE"/>
        </w:rPr>
        <w:t>die Ursache aller Dinge, die von nichts verursacht wird, als notwendig bezeichnet. Dank seiner Güte, Einfachheit und Erhabenheit ist Gott das notwendige Wesen, die Ursache aller Wesen. Im Gegensatz zum Möglichen, das immer durch etwas anderes bestimmt wird, stellt sich das Notwendige (Gott) als die numerische Einheit dar, aus der alles abgeleitet wird und in dem alles enthalten ist</w:t>
      </w:r>
      <w:r w:rsidRPr="00921BB8">
        <w:rPr>
          <w:rStyle w:val="Rimandonotaapidipagina"/>
          <w:rFonts w:ascii="Times New Roman" w:hAnsi="Times New Roman" w:cs="Times New Roman"/>
          <w:lang w:val="de-DE"/>
        </w:rPr>
        <w:footnoteReference w:id="959"/>
      </w:r>
      <w:r w:rsidRPr="00921BB8">
        <w:rPr>
          <w:rFonts w:ascii="Times New Roman" w:hAnsi="Times New Roman"/>
          <w:lang w:val="de-DE"/>
        </w:rPr>
        <w:t>: „Causa prima vocatur Una, id fieri ad analogiam et cum respectu ad Unitatem, quae est principium Numbers. Nam haec est Caput omnium numerorum, ita ut non fit unus ex ipsis, nec omnes simul sumti: sed omnes complectitur impliciter, ut tamen non determineretur vel ad unum vel ad omnes</w:t>
      </w:r>
      <w:r w:rsidRPr="00921BB8">
        <w:rPr>
          <w:rFonts w:ascii="Times New Roman" w:eastAsia="Times New Roman" w:hAnsi="Times New Roman" w:cs="Times New Roman"/>
          <w:color w:val="000000"/>
        </w:rPr>
        <w:t>”</w:t>
      </w:r>
      <w:r w:rsidRPr="00921BB8">
        <w:rPr>
          <w:rStyle w:val="Rimandonotaapidipagina"/>
          <w:rFonts w:ascii="Times New Roman" w:hAnsi="Times New Roman" w:cs="Times New Roman"/>
          <w:lang w:val="de-DE"/>
        </w:rPr>
        <w:footnoteReference w:id="960"/>
      </w:r>
      <w:r w:rsidRPr="00921BB8">
        <w:rPr>
          <w:rFonts w:ascii="Times New Roman" w:hAnsi="Times New Roman" w:cs="Times New Roman"/>
          <w:lang w:val="de-DE"/>
        </w:rPr>
        <w:t xml:space="preserve"> . Aus dem Einen geht aber unmittelbar eine Wirkung</w:t>
      </w:r>
      <w:r w:rsidRPr="00921BB8">
        <w:rPr>
          <w:rStyle w:val="Rimandonotaapidipagina"/>
          <w:rFonts w:ascii="Times New Roman" w:hAnsi="Times New Roman" w:cs="Times New Roman"/>
          <w:lang w:val="de-DE"/>
        </w:rPr>
        <w:footnoteReference w:id="961"/>
      </w:r>
      <w:r w:rsidRPr="00921BB8">
        <w:rPr>
          <w:rFonts w:ascii="Times New Roman" w:hAnsi="Times New Roman" w:cs="Times New Roman"/>
          <w:lang w:val="de-DE"/>
        </w:rPr>
        <w:t xml:space="preserve"> – der Adam Kadmon – hervor: obwohl er sich der Erhabenheit des En-sofs annähert, ist er nicht unbestimmt wie die </w:t>
      </w:r>
      <w:r w:rsidRPr="00921BB8">
        <w:rPr>
          <w:rFonts w:ascii="Times New Roman" w:hAnsi="Times New Roman" w:cs="Times New Roman"/>
          <w:i/>
          <w:lang w:val="de-DE"/>
        </w:rPr>
        <w:t>Causa incausata</w:t>
      </w:r>
      <w:r w:rsidRPr="00921BB8">
        <w:rPr>
          <w:rFonts w:ascii="Times New Roman" w:hAnsi="Times New Roman" w:cs="Times New Roman"/>
          <w:lang w:val="de-DE"/>
        </w:rPr>
        <w:t xml:space="preserve">. Aus dem Adam Kadmon folgen die Bestimmungen, die Sefiroth, die die Manifestation der Gottheit ausmachen. Der Akt, durch den die </w:t>
      </w:r>
      <w:r w:rsidRPr="00921BB8">
        <w:rPr>
          <w:rFonts w:ascii="Times New Roman" w:hAnsi="Times New Roman" w:cs="Times New Roman"/>
          <w:i/>
          <w:lang w:val="de-DE"/>
        </w:rPr>
        <w:t>Causa incausata</w:t>
      </w:r>
      <w:r w:rsidRPr="00921BB8">
        <w:rPr>
          <w:rFonts w:ascii="Times New Roman" w:hAnsi="Times New Roman" w:cs="Times New Roman"/>
          <w:lang w:val="de-DE"/>
        </w:rPr>
        <w:t xml:space="preserve"> den Urmenschen hervorbringt, ist eine Einschränkung: „Hoc est, quaod Doctor noster vocat </w:t>
      </w:r>
      <w:r w:rsidRPr="00921BB8">
        <w:rPr>
          <w:rFonts w:ascii="Times New Roman" w:eastAsia="Times New Roman" w:hAnsi="Times New Roman" w:cs="Times New Roman"/>
          <w:color w:val="222222"/>
          <w:shd w:val="clear" w:color="auto" w:fill="FFFFFF"/>
          <w:lang w:val="de-DE"/>
        </w:rPr>
        <w:t>צמצו</w:t>
      </w:r>
      <w:r w:rsidR="000115CA">
        <w:rPr>
          <w:rFonts w:ascii="Times New Roman" w:eastAsia="Times New Roman" w:hAnsi="Times New Roman" w:cs="Times New Roman"/>
          <w:color w:val="222222"/>
          <w:shd w:val="clear" w:color="auto" w:fill="FFFFFF"/>
          <w:lang w:val="de-DE"/>
        </w:rPr>
        <w:t>ם</w:t>
      </w:r>
      <w:r w:rsidRPr="00921BB8">
        <w:rPr>
          <w:rFonts w:ascii="Times New Roman" w:eastAsia="Times New Roman" w:hAnsi="Times New Roman" w:cs="Times New Roman"/>
          <w:color w:val="222222"/>
          <w:shd w:val="clear" w:color="auto" w:fill="FFFFFF"/>
          <w:lang w:val="de-DE"/>
        </w:rPr>
        <w:t xml:space="preserve"> </w:t>
      </w:r>
      <w:r w:rsidRPr="00921BB8">
        <w:rPr>
          <w:rFonts w:ascii="Times New Roman" w:hAnsi="Times New Roman" w:cs="Times New Roman"/>
          <w:lang w:val="de-DE"/>
        </w:rPr>
        <w:t>vel restrictionem illam, qua mediante Aen-sof res emanare fecerit extra se, sed ita,</w:t>
      </w:r>
      <w:r w:rsidR="00B45C64">
        <w:rPr>
          <w:rFonts w:ascii="Times New Roman" w:hAnsi="Times New Roman" w:cs="Times New Roman"/>
          <w:lang w:val="de-DE"/>
        </w:rPr>
        <w:t xml:space="preserve"> ut non separaverit ab iis [...</w:t>
      </w:r>
      <w:r w:rsidRPr="00921BB8">
        <w:rPr>
          <w:rFonts w:ascii="Times New Roman" w:hAnsi="Times New Roman" w:cs="Times New Roman"/>
          <w:lang w:val="de-DE"/>
        </w:rPr>
        <w:t>] Et sic clare satis explicatur, quid intelligat Doctor noster, dum dicit: Deum, ut sese posset extendere, oportuisse semet contrahere</w:t>
      </w:r>
      <w:r w:rsidRPr="00921BB8">
        <w:rPr>
          <w:rFonts w:ascii="Times New Roman" w:eastAsia="Times New Roman" w:hAnsi="Times New Roman" w:cs="Times New Roman"/>
          <w:color w:val="000000"/>
        </w:rPr>
        <w:t>”</w:t>
      </w:r>
      <w:r w:rsidRPr="00921BB8">
        <w:rPr>
          <w:rStyle w:val="Rimandonotaapidipagina"/>
          <w:rFonts w:ascii="Times New Roman" w:hAnsi="Times New Roman" w:cs="Times New Roman"/>
          <w:lang w:val="de-DE"/>
        </w:rPr>
        <w:footnoteReference w:id="962"/>
      </w:r>
      <w:r w:rsidRPr="00921BB8">
        <w:rPr>
          <w:rFonts w:ascii="Times New Roman" w:hAnsi="Times New Roman" w:cs="Times New Roman"/>
          <w:lang w:val="de-DE"/>
        </w:rPr>
        <w:t xml:space="preserve">. </w:t>
      </w:r>
      <w:r w:rsidRPr="00921BB8">
        <w:rPr>
          <w:rFonts w:ascii="Times New Roman" w:hAnsi="Times New Roman"/>
          <w:i/>
          <w:lang w:val="de-DE"/>
        </w:rPr>
        <w:t xml:space="preserve">Tzimtzum </w:t>
      </w:r>
      <w:r w:rsidRPr="00921BB8">
        <w:rPr>
          <w:rFonts w:ascii="Times New Roman" w:hAnsi="Times New Roman"/>
          <w:lang w:val="de-DE"/>
        </w:rPr>
        <w:t xml:space="preserve">ist eine einschränkende und expansive Tätigkeit, die sich innerhalb der verschiedenen Stufen des Emanationsprozesses </w:t>
      </w:r>
      <w:r w:rsidRPr="00921BB8">
        <w:rPr>
          <w:rFonts w:ascii="Times New Roman" w:hAnsi="Times New Roman"/>
          <w:i/>
          <w:lang w:val="de-DE"/>
        </w:rPr>
        <w:t>ausdehnt</w:t>
      </w:r>
      <w:r w:rsidRPr="00921BB8">
        <w:rPr>
          <w:rFonts w:ascii="Times New Roman" w:hAnsi="Times New Roman"/>
          <w:lang w:val="de-DE"/>
        </w:rPr>
        <w:t xml:space="preserve">: </w:t>
      </w:r>
      <w:r w:rsidRPr="00921BB8">
        <w:rPr>
          <w:rFonts w:ascii="Times New Roman" w:hAnsi="Times New Roman" w:cs="Times New Roman"/>
        </w:rPr>
        <w:t>„Et sic intelligitur, quid sit contractiones illae, quae statuuntur in Adam Kadmon: et quid sint contractiones, quod lumina summa duplicata fuerint per triades Sephirarum: et per hanc contractionem produxerint causa inferiora, inque illa contractionem produxerint cuasa inferiora, inque illa immiserint essentiam et naturam suam”</w:t>
      </w:r>
      <w:r w:rsidRPr="00921BB8">
        <w:rPr>
          <w:rStyle w:val="Rimandonotaapidipagina"/>
          <w:rFonts w:ascii="Times New Roman" w:hAnsi="Times New Roman"/>
          <w:lang w:val="de-DE"/>
        </w:rPr>
        <w:t xml:space="preserve"> </w:t>
      </w:r>
      <w:r w:rsidRPr="00921BB8">
        <w:rPr>
          <w:rStyle w:val="Rimandonotaapidipagina"/>
          <w:rFonts w:ascii="Times New Roman" w:hAnsi="Times New Roman"/>
          <w:lang w:val="de-DE"/>
        </w:rPr>
        <w:footnoteReference w:id="963"/>
      </w:r>
      <w:r w:rsidRPr="00921BB8">
        <w:rPr>
          <w:rFonts w:ascii="Times New Roman" w:hAnsi="Times New Roman" w:cs="Times New Roman"/>
          <w:lang w:val="de-DE"/>
        </w:rPr>
        <w:t xml:space="preserve">. </w:t>
      </w:r>
    </w:p>
    <w:p w14:paraId="6EA944D9" w14:textId="77777777" w:rsidR="001C3D81" w:rsidRPr="00921BB8" w:rsidRDefault="001C3D81" w:rsidP="001C3D81">
      <w:pPr>
        <w:spacing w:line="360" w:lineRule="auto"/>
        <w:ind w:firstLine="567"/>
        <w:jc w:val="both"/>
        <w:rPr>
          <w:rFonts w:ascii="Times New Roman" w:hAnsi="Times New Roman" w:cs="Times New Roman"/>
          <w:lang w:val="de-DE"/>
        </w:rPr>
      </w:pPr>
      <w:r w:rsidRPr="00921BB8">
        <w:rPr>
          <w:rFonts w:ascii="Times New Roman" w:hAnsi="Times New Roman" w:cs="Times New Roman"/>
          <w:lang w:val="de-DE"/>
        </w:rPr>
        <w:t xml:space="preserve">Zusammen mit Herreras Meisterwerk wurde eine andere Schrift als Kompendium der jüdischen Kabbala betrachtet. Ich beziehe mich auf die </w:t>
      </w:r>
      <w:r w:rsidRPr="00921BB8">
        <w:rPr>
          <w:rFonts w:ascii="Times New Roman" w:hAnsi="Times New Roman" w:cs="Times New Roman"/>
          <w:i/>
          <w:lang w:val="de-DE"/>
        </w:rPr>
        <w:t>Kabbala Aëto-Paedo-Melissae</w:t>
      </w:r>
      <w:r w:rsidRPr="00921BB8">
        <w:rPr>
          <w:rFonts w:ascii="Times New Roman" w:hAnsi="Times New Roman" w:cs="Times New Roman"/>
          <w:lang w:val="de-DE"/>
        </w:rPr>
        <w:t xml:space="preserve"> von Henry More, die im zweiten Band der </w:t>
      </w:r>
      <w:r w:rsidRPr="00921BB8">
        <w:rPr>
          <w:rFonts w:ascii="Times New Roman" w:hAnsi="Times New Roman" w:cs="Times New Roman"/>
          <w:i/>
          <w:lang w:val="de-DE"/>
        </w:rPr>
        <w:t xml:space="preserve">Kabbala Denudata </w:t>
      </w:r>
      <w:r w:rsidRPr="00921BB8">
        <w:rPr>
          <w:rFonts w:ascii="Times New Roman" w:hAnsi="Times New Roman" w:cs="Times New Roman"/>
          <w:lang w:val="de-DE"/>
        </w:rPr>
        <w:t>enthalten ist</w:t>
      </w:r>
      <w:r w:rsidRPr="00921BB8">
        <w:rPr>
          <w:rStyle w:val="Rimandonotaapidipagina"/>
          <w:rFonts w:ascii="Times New Roman" w:hAnsi="Times New Roman" w:cs="Times New Roman"/>
          <w:lang w:val="de-DE"/>
        </w:rPr>
        <w:footnoteReference w:id="964"/>
      </w:r>
      <w:r w:rsidRPr="00921BB8">
        <w:rPr>
          <w:rFonts w:ascii="Times New Roman" w:hAnsi="Times New Roman" w:cs="Times New Roman"/>
          <w:lang w:val="de-DE"/>
        </w:rPr>
        <w:t xml:space="preserve">. Von den sechzehn Thesen, mit denen More die grundlegenden theoretischen Strukturen der jüdischen Mystik zusammenfasst, gebe ich die wichtigsten an: </w:t>
      </w:r>
    </w:p>
    <w:p w14:paraId="6EC33031" w14:textId="77777777" w:rsidR="001C3D81" w:rsidRPr="00921BB8" w:rsidRDefault="001C3D81" w:rsidP="001C3D81">
      <w:pPr>
        <w:spacing w:line="360" w:lineRule="auto"/>
        <w:ind w:firstLine="567"/>
        <w:jc w:val="both"/>
        <w:rPr>
          <w:rFonts w:ascii="Times New Roman" w:hAnsi="Times New Roman" w:cs="Times New Roman"/>
          <w:lang w:val="de-DE"/>
        </w:rPr>
      </w:pPr>
    </w:p>
    <w:p w14:paraId="511CAF47" w14:textId="77777777" w:rsidR="001C3D81" w:rsidRPr="00921BB8" w:rsidRDefault="001C3D81" w:rsidP="001C3D81">
      <w:pPr>
        <w:spacing w:line="360" w:lineRule="auto"/>
        <w:ind w:left="567"/>
        <w:jc w:val="both"/>
        <w:rPr>
          <w:rFonts w:ascii="Times New Roman" w:hAnsi="Times New Roman" w:cs="Times New Roman"/>
          <w:sz w:val="20"/>
          <w:szCs w:val="20"/>
          <w:lang w:val="de-DE"/>
        </w:rPr>
      </w:pPr>
      <w:r w:rsidRPr="00921BB8">
        <w:rPr>
          <w:rFonts w:ascii="Times New Roman" w:hAnsi="Times New Roman" w:cs="Times New Roman"/>
          <w:sz w:val="20"/>
          <w:szCs w:val="20"/>
          <w:lang w:val="de-DE"/>
        </w:rPr>
        <w:t>Ex nihilo nihil posse creari, 2. ac proinde nec Materiam creari posse, 3. nec ob viltatem naturae suae à se existere. Cuius Consectarium, aut Fundamentum potius sit, Nullam rem vilem à se existere posse, 4. Nullam igitur Materiam esse in Rerum natura, 5. quicquid veró est, Spiritum esse, 6. Spiritum autem autem hunc increatum esse, &amp; aeternum, intellectualem, sensibilem, vitalem, per se moventem, infinitum amplitudine, &amp; à se necessario existentem, 7, Ac proinde Spiritum hunc revera esse Essentiam Divinam, 8. Nec ullam Essentiam praeter Divinam à se existere posse, 9. Cum verò nulla omnino sit essentia praeter hanc in rerum Universitate per Axiom. 1. 2. 3. 8. Cum veró Essentia Divina sit, singulas particulas infinitas esse, &amp; in orbes infinitae virtutis et amplitudinis posse extendi expandive, 11. et verò cum singulae arenulae, lapidumve granulae particulaeque Aëris. Ätheris, &amp;c., sint partes Divinae essentiae, aeque manifestum esse, quod in minutissimas has partes possint contrahi &amp; constringi, 12. ex contractis his partibus constare Mundum, qui vocatur, Materialem, cùm reverà adhuc spiritualis sit, constans utique ex divisis Spiritibus, particulisve Divinae Essentiae, in Monadas Punctave Physica contractis &amp; constipatis, [...] 16. Idemque dici posse de singulis Divinae Essentiae Particulis, quas necesse esse est aut actu separatas esse et separabiles, nempe omnes aut esse, aut esse posse Deos Terrarum Coelorumque Creatores</w:t>
      </w:r>
      <w:r w:rsidRPr="00921BB8">
        <w:rPr>
          <w:rStyle w:val="Rimandonotaapidipagina"/>
          <w:rFonts w:ascii="Times New Roman" w:hAnsi="Times New Roman" w:cs="Times New Roman"/>
          <w:sz w:val="20"/>
          <w:szCs w:val="20"/>
          <w:lang w:val="de-DE"/>
        </w:rPr>
        <w:footnoteReference w:id="965"/>
      </w:r>
      <w:r w:rsidRPr="00921BB8">
        <w:rPr>
          <w:rFonts w:ascii="Times New Roman" w:hAnsi="Times New Roman" w:cs="Times New Roman"/>
          <w:sz w:val="20"/>
          <w:szCs w:val="20"/>
          <w:lang w:val="de-DE"/>
        </w:rPr>
        <w:t>.</w:t>
      </w:r>
    </w:p>
    <w:p w14:paraId="547D0AC9" w14:textId="77777777" w:rsidR="001C3D81" w:rsidRPr="00921BB8" w:rsidRDefault="001C3D81" w:rsidP="001C3D81">
      <w:pPr>
        <w:spacing w:line="360" w:lineRule="auto"/>
        <w:ind w:left="567" w:firstLine="567"/>
        <w:jc w:val="both"/>
        <w:rPr>
          <w:rFonts w:ascii="Times New Roman" w:hAnsi="Times New Roman" w:cs="Times New Roman"/>
          <w:lang w:val="de-DE"/>
        </w:rPr>
      </w:pPr>
    </w:p>
    <w:p w14:paraId="5C13B29C" w14:textId="77777777" w:rsidR="001C3D81" w:rsidRPr="00921BB8" w:rsidRDefault="001C3D81" w:rsidP="001C3D81">
      <w:pPr>
        <w:spacing w:line="360" w:lineRule="auto"/>
        <w:ind w:firstLine="567"/>
        <w:jc w:val="both"/>
        <w:rPr>
          <w:rFonts w:ascii="Times New Roman" w:hAnsi="Times New Roman" w:cs="Times New Roman"/>
          <w:lang w:val="de-DE"/>
        </w:rPr>
      </w:pPr>
      <w:r w:rsidRPr="00921BB8">
        <w:rPr>
          <w:rFonts w:ascii="Times New Roman" w:hAnsi="Times New Roman" w:cs="Times New Roman"/>
          <w:lang w:val="de-DE"/>
        </w:rPr>
        <w:t>Aus nichts kann nichts erschaffen werden. Gott erschafft keine Materie, denn er ist „</w:t>
      </w:r>
      <w:r w:rsidRPr="00921BB8">
        <w:rPr>
          <w:rFonts w:ascii="Times New Roman" w:hAnsi="Times New Roman" w:cs="Times New Roman"/>
        </w:rPr>
        <w:t>summe perfecto, summe intelligente, summe libero, motum per se habente in summo gradu</w:t>
      </w:r>
      <w:r w:rsidRPr="00921BB8">
        <w:rPr>
          <w:rFonts w:ascii="Times New Roman" w:hAnsi="Times New Roman" w:cs="Times New Roman"/>
          <w:lang w:val="de-DE"/>
        </w:rPr>
        <w:t xml:space="preserve"> [...] </w:t>
      </w:r>
      <w:r w:rsidRPr="00921BB8">
        <w:rPr>
          <w:rFonts w:ascii="Times New Roman" w:hAnsi="Times New Roman" w:cs="Times New Roman"/>
        </w:rPr>
        <w:t>positivo, summe vivo</w:t>
      </w:r>
      <w:r w:rsidRPr="00921BB8">
        <w:rPr>
          <w:rFonts w:ascii="Times New Roman" w:hAnsi="Times New Roman" w:cs="Times New Roman"/>
          <w:lang w:val="de-DE"/>
        </w:rPr>
        <w:t>, &amp; c.e.</w:t>
      </w:r>
      <w:r w:rsidRPr="00921BB8">
        <w:rPr>
          <w:rFonts w:ascii="Times New Roman" w:hAnsi="Times New Roman" w:cs="Times New Roman"/>
        </w:rPr>
        <w:t>”</w:t>
      </w:r>
      <w:r w:rsidRPr="00921BB8">
        <w:rPr>
          <w:rStyle w:val="Rimandonotaapidipagina"/>
          <w:rFonts w:ascii="Times New Roman" w:hAnsi="Times New Roman" w:cs="Times New Roman"/>
        </w:rPr>
        <w:footnoteReference w:id="966"/>
      </w:r>
      <w:r w:rsidRPr="00921BB8">
        <w:rPr>
          <w:rFonts w:ascii="Times New Roman" w:hAnsi="Times New Roman" w:cs="Times New Roman"/>
        </w:rPr>
        <w:t>.</w:t>
      </w:r>
      <w:r w:rsidRPr="00921BB8">
        <w:rPr>
          <w:rFonts w:ascii="Times New Roman" w:hAnsi="Times New Roman" w:cs="Times New Roman"/>
          <w:lang w:val="de-DE"/>
        </w:rPr>
        <w:t xml:space="preserve"> Wenn das Unvollkommenste vom Vollkommensten erschaffen würde, wäre Gott, oder das vollkommenste Wesen, nicht mehr göttlich. Die Materie „non existit ex se, sed ne existit quidem positiv, sed privative, sicut umbra</w:t>
      </w:r>
      <w:r w:rsidRPr="00921BB8">
        <w:rPr>
          <w:rFonts w:ascii="Times New Roman" w:hAnsi="Times New Roman" w:cs="Times New Roman"/>
        </w:rPr>
        <w:t>”</w:t>
      </w:r>
      <w:r w:rsidRPr="00921BB8">
        <w:rPr>
          <w:rStyle w:val="Rimandonotaapidipagina"/>
          <w:rFonts w:ascii="Times New Roman" w:hAnsi="Times New Roman" w:cs="Times New Roman"/>
          <w:lang w:val="de-DE"/>
        </w:rPr>
        <w:footnoteReference w:id="967"/>
      </w:r>
      <w:r w:rsidRPr="00921BB8">
        <w:rPr>
          <w:rFonts w:ascii="Times New Roman" w:hAnsi="Times New Roman" w:cs="Times New Roman"/>
          <w:lang w:val="de-DE"/>
        </w:rPr>
        <w:t xml:space="preserve"> . </w:t>
      </w:r>
      <w:r w:rsidRPr="00921BB8">
        <w:rPr>
          <w:rFonts w:ascii="Times New Roman" w:hAnsi="Times New Roman" w:cs="Times New Roman"/>
        </w:rPr>
        <w:t xml:space="preserve">Alles, was ist, ist von geistlicher Natur. </w:t>
      </w:r>
      <w:r w:rsidRPr="00921BB8">
        <w:rPr>
          <w:rFonts w:ascii="Times New Roman" w:hAnsi="Times New Roman" w:cs="Times New Roman"/>
          <w:lang w:val="de-DE"/>
        </w:rPr>
        <w:t>Der Geist ist ewig, unendlich, intellektuell, selbstbeweglich und lebendig: er fällt mit dem Göttlichen Wesen zusammen, das die Mannigfaltigkeit der endlichen Naturen belebt und durchdringt. Diese Wesen, die aus der Göttlichkeit folgen, werden nicht in der Zeit, sondern „ordine naturae; licet non temporis</w:t>
      </w:r>
      <w:r w:rsidRPr="00921BB8">
        <w:rPr>
          <w:rFonts w:ascii="Times New Roman" w:hAnsi="Times New Roman" w:cs="Times New Roman"/>
        </w:rPr>
        <w:t>”</w:t>
      </w:r>
      <w:r w:rsidRPr="00921BB8">
        <w:rPr>
          <w:rStyle w:val="Rimandonotaapidipagina"/>
          <w:rFonts w:ascii="Times New Roman" w:hAnsi="Times New Roman" w:cs="Times New Roman"/>
          <w:lang w:val="de-DE"/>
        </w:rPr>
        <w:footnoteReference w:id="968"/>
      </w:r>
      <w:r w:rsidRPr="00921BB8">
        <w:rPr>
          <w:rFonts w:ascii="Times New Roman" w:hAnsi="Times New Roman" w:cs="Times New Roman"/>
          <w:lang w:val="de-DE"/>
        </w:rPr>
        <w:t xml:space="preserve"> erschaffen. Durch die Erschaffung erweitert sich das göttliche Wesen und beschränkt sich in eine Mannigfaltigkeit von geistlichen Gestalten, die als selbständige Bestimmungen der </w:t>
      </w:r>
      <w:r w:rsidRPr="00921BB8">
        <w:rPr>
          <w:rFonts w:ascii="Times New Roman" w:hAnsi="Times New Roman" w:cs="Times New Roman"/>
          <w:i/>
          <w:lang w:val="de-DE"/>
        </w:rPr>
        <w:t>Causa incausata</w:t>
      </w:r>
      <w:r w:rsidRPr="00921BB8">
        <w:rPr>
          <w:rFonts w:ascii="Times New Roman" w:hAnsi="Times New Roman" w:cs="Times New Roman"/>
          <w:lang w:val="de-DE"/>
        </w:rPr>
        <w:t xml:space="preserve"> betrachtet werden können. Gott bringt physische Punkte (die Monaden) hervor, die als die Schöpfergottheit von Himmel und Erde angesehen werden können. Die Kabbala stellt ein System dar, das den Glauben an den einzigen Gott leugnet und sich offen zum Polytheismus bekennt.</w:t>
      </w:r>
    </w:p>
    <w:p w14:paraId="606EEE56" w14:textId="77777777" w:rsidR="005B26F9" w:rsidRPr="00921BB8" w:rsidRDefault="005B26F9" w:rsidP="001C3D81">
      <w:pPr>
        <w:spacing w:line="360" w:lineRule="auto"/>
        <w:ind w:firstLine="567"/>
        <w:jc w:val="both"/>
        <w:rPr>
          <w:lang w:val="de-DE"/>
        </w:rPr>
      </w:pPr>
    </w:p>
    <w:p w14:paraId="7AB7F298" w14:textId="77777777" w:rsidR="001C3D81" w:rsidRPr="00921BB8" w:rsidRDefault="001C3D81" w:rsidP="001C3D81">
      <w:pPr>
        <w:spacing w:line="360" w:lineRule="auto"/>
        <w:jc w:val="both"/>
        <w:rPr>
          <w:rFonts w:ascii="Times New Roman" w:hAnsi="Times New Roman" w:cs="Times New Roman"/>
          <w:i/>
          <w:lang w:val="de-DE"/>
        </w:rPr>
      </w:pPr>
      <w:r w:rsidRPr="00921BB8">
        <w:rPr>
          <w:rFonts w:ascii="Times New Roman" w:hAnsi="Times New Roman" w:cs="Times New Roman"/>
          <w:i/>
          <w:lang w:val="de-DE"/>
        </w:rPr>
        <w:t>3.2 Zwischen Materialismus und Spiritualismus: Johan Georg Wachter und die Geburt des Spinozismusstreits</w:t>
      </w:r>
    </w:p>
    <w:p w14:paraId="7DE2AEF2" w14:textId="77777777" w:rsidR="001C3D81" w:rsidRPr="00921BB8" w:rsidRDefault="001C3D81" w:rsidP="001C3D81">
      <w:pPr>
        <w:pStyle w:val="Paragrafoelenco"/>
        <w:spacing w:line="360" w:lineRule="auto"/>
        <w:ind w:left="0" w:firstLine="567"/>
        <w:jc w:val="both"/>
        <w:rPr>
          <w:rFonts w:ascii="Times New Roman" w:eastAsia="Times New Roman" w:hAnsi="Times New Roman" w:cs="Times New Roman"/>
          <w:color w:val="000000"/>
          <w:lang w:val="de-DE"/>
        </w:rPr>
      </w:pPr>
    </w:p>
    <w:p w14:paraId="7C5E7252" w14:textId="0F015A0E" w:rsidR="001C3D81" w:rsidRPr="00921BB8" w:rsidRDefault="001C3D81" w:rsidP="001C3D81">
      <w:pPr>
        <w:spacing w:line="360" w:lineRule="auto"/>
        <w:ind w:firstLine="567"/>
        <w:jc w:val="both"/>
        <w:rPr>
          <w:rFonts w:ascii="Times New Roman" w:hAnsi="Times New Roman" w:cs="Times New Roman"/>
          <w:lang w:val="de-DE"/>
        </w:rPr>
      </w:pPr>
      <w:r w:rsidRPr="00921BB8">
        <w:rPr>
          <w:rFonts w:ascii="Times New Roman" w:hAnsi="Times New Roman" w:cs="Times New Roman"/>
          <w:lang w:val="de-DE"/>
        </w:rPr>
        <w:t xml:space="preserve">Am Ende des 17. Jahrhunderts </w:t>
      </w:r>
      <w:r w:rsidRPr="00921BB8">
        <w:rPr>
          <w:rFonts w:ascii="Times New Roman" w:eastAsia="Times New Roman" w:hAnsi="Times New Roman" w:cs="Times New Roman"/>
          <w:iCs/>
          <w:color w:val="222222"/>
          <w:shd w:val="clear" w:color="auto" w:fill="FFFFFF"/>
          <w:lang w:val="de-DE"/>
        </w:rPr>
        <w:t xml:space="preserve">veröffentlichte </w:t>
      </w:r>
      <w:r w:rsidRPr="00921BB8">
        <w:rPr>
          <w:rFonts w:ascii="Times New Roman" w:hAnsi="Times New Roman" w:cs="Times New Roman"/>
          <w:lang w:val="de-DE"/>
        </w:rPr>
        <w:t xml:space="preserve">Johan Georg Wachter </w:t>
      </w:r>
      <w:r w:rsidRPr="00921BB8">
        <w:rPr>
          <w:rFonts w:ascii="Times New Roman" w:eastAsia="Times New Roman" w:hAnsi="Times New Roman" w:cs="Times New Roman"/>
          <w:iCs/>
          <w:color w:val="222222"/>
          <w:shd w:val="clear" w:color="auto" w:fill="FFFFFF"/>
          <w:lang w:val="de-DE"/>
        </w:rPr>
        <w:t xml:space="preserve">(1673-1757) </w:t>
      </w:r>
      <w:r w:rsidR="00E37463">
        <w:rPr>
          <w:rFonts w:ascii="Times New Roman" w:eastAsia="Times New Roman" w:hAnsi="Times New Roman" w:cs="Times New Roman"/>
          <w:i/>
          <w:iCs/>
          <w:color w:val="222222"/>
          <w:shd w:val="clear" w:color="auto" w:fill="FFFFFF"/>
          <w:lang w:val="de-DE"/>
        </w:rPr>
        <w:t>Der Spinozismus in Jü</w:t>
      </w:r>
      <w:r w:rsidRPr="00921BB8">
        <w:rPr>
          <w:rFonts w:ascii="Times New Roman" w:eastAsia="Times New Roman" w:hAnsi="Times New Roman" w:cs="Times New Roman"/>
          <w:i/>
          <w:iCs/>
          <w:color w:val="222222"/>
          <w:shd w:val="clear" w:color="auto" w:fill="FFFFFF"/>
          <w:lang w:val="de-DE"/>
        </w:rPr>
        <w:t xml:space="preserve">denthumb </w:t>
      </w:r>
      <w:r w:rsidRPr="00921BB8">
        <w:rPr>
          <w:rFonts w:ascii="Times New Roman" w:eastAsia="Times New Roman" w:hAnsi="Times New Roman" w:cs="Times New Roman"/>
          <w:iCs/>
          <w:color w:val="222222"/>
          <w:shd w:val="clear" w:color="auto" w:fill="FFFFFF"/>
          <w:lang w:val="de-DE"/>
        </w:rPr>
        <w:t xml:space="preserve">(1699), ein Werk, das die Rezeption der Kabbala und den </w:t>
      </w:r>
      <w:r w:rsidRPr="00921BB8">
        <w:rPr>
          <w:rFonts w:ascii="Times New Roman" w:eastAsia="Times New Roman" w:hAnsi="Times New Roman" w:cs="Times New Roman"/>
          <w:i/>
          <w:iCs/>
          <w:color w:val="222222"/>
          <w:shd w:val="clear" w:color="auto" w:fill="FFFFFF"/>
          <w:lang w:val="de-DE"/>
        </w:rPr>
        <w:t xml:space="preserve">Spinozisumsstreit </w:t>
      </w:r>
      <w:r w:rsidRPr="00921BB8">
        <w:rPr>
          <w:rFonts w:ascii="Times New Roman" w:eastAsia="Times New Roman" w:hAnsi="Times New Roman" w:cs="Times New Roman"/>
          <w:iCs/>
          <w:color w:val="222222"/>
          <w:shd w:val="clear" w:color="auto" w:fill="FFFFFF"/>
          <w:lang w:val="de-DE"/>
        </w:rPr>
        <w:t xml:space="preserve">in Deutschland nachhaltig beeinflusste. </w:t>
      </w:r>
      <w:r w:rsidRPr="00921BB8">
        <w:rPr>
          <w:rFonts w:ascii="Times New Roman" w:hAnsi="Times New Roman" w:cs="Times New Roman"/>
          <w:lang w:val="de-DE"/>
        </w:rPr>
        <w:t>In Übereinstimmung mit den 16 Thesen von Henry More</w:t>
      </w:r>
      <w:r w:rsidRPr="00921BB8">
        <w:rPr>
          <w:rStyle w:val="Rimandonotaapidipagina"/>
          <w:rFonts w:ascii="Times New Roman" w:hAnsi="Times New Roman" w:cs="Times New Roman"/>
          <w:lang w:val="de-DE"/>
        </w:rPr>
        <w:footnoteReference w:id="969"/>
      </w:r>
      <w:r w:rsidRPr="00921BB8">
        <w:rPr>
          <w:rFonts w:ascii="Times New Roman" w:hAnsi="Times New Roman" w:cs="Times New Roman"/>
          <w:lang w:val="de-DE"/>
        </w:rPr>
        <w:t xml:space="preserve"> glaubt Wachter, dass die jüdische Kabbala – dem Prinzip „ex nihilo nihil nihil fit</w:t>
      </w:r>
      <w:r w:rsidRPr="00921BB8">
        <w:rPr>
          <w:rFonts w:ascii="Times New Roman" w:hAnsi="Times New Roman" w:cs="Times New Roman"/>
        </w:rPr>
        <w:t>”</w:t>
      </w:r>
      <w:r w:rsidRPr="00921BB8">
        <w:rPr>
          <w:rStyle w:val="Rimandonotaapidipagina"/>
          <w:rFonts w:ascii="Times New Roman" w:hAnsi="Times New Roman" w:cs="Times New Roman"/>
          <w:lang w:val="de-DE"/>
        </w:rPr>
        <w:footnoteReference w:id="970"/>
      </w:r>
      <w:r w:rsidRPr="00921BB8">
        <w:rPr>
          <w:rFonts w:ascii="Times New Roman" w:hAnsi="Times New Roman" w:cs="Times New Roman"/>
        </w:rPr>
        <w:t xml:space="preserve"> zufolge</w:t>
      </w:r>
      <w:r w:rsidRPr="00921BB8">
        <w:rPr>
          <w:rFonts w:ascii="Times New Roman" w:hAnsi="Times New Roman" w:cs="Times New Roman"/>
          <w:lang w:val="de-DE"/>
        </w:rPr>
        <w:t xml:space="preserve"> – die Idee der </w:t>
      </w:r>
      <w:r w:rsidRPr="00921BB8">
        <w:rPr>
          <w:rFonts w:ascii="Times New Roman" w:hAnsi="Times New Roman" w:cs="Times New Roman"/>
          <w:i/>
          <w:lang w:val="de-DE"/>
        </w:rPr>
        <w:t xml:space="preserve">creatio ex nihilo </w:t>
      </w:r>
      <w:r w:rsidRPr="00921BB8">
        <w:rPr>
          <w:rFonts w:ascii="Times New Roman" w:hAnsi="Times New Roman" w:cs="Times New Roman"/>
          <w:lang w:val="de-DE"/>
        </w:rPr>
        <w:t xml:space="preserve">verneint und das Mannigfaltige als eine Modifikation der göttlichen Einheit betrachtet. Nach Wachter hat der Spinozismus von der jüdischen Kabbala, insbesondere vom </w:t>
      </w:r>
      <w:r w:rsidRPr="00921BB8">
        <w:rPr>
          <w:rFonts w:ascii="Times New Roman" w:hAnsi="Times New Roman" w:cs="Times New Roman"/>
          <w:i/>
          <w:lang w:val="de-DE"/>
        </w:rPr>
        <w:t xml:space="preserve">Himmelspforte </w:t>
      </w:r>
      <w:r w:rsidRPr="00921BB8">
        <w:rPr>
          <w:rFonts w:ascii="Times New Roman" w:hAnsi="Times New Roman" w:cs="Times New Roman"/>
          <w:lang w:val="de-DE"/>
        </w:rPr>
        <w:t>Herreras, eine monistische Theorie des Kosmos aufgenommen: „den spanischen Rabbiner / Abr. Cohen Irira, dessen Porta Coelorum oder Himmel Pforte ja so deutlich abgefasst ist / daβ mann eure Cabalistische Künsten und in denselben die Spinozistiche Gottlosigkeit [...] hier mit Händen greiffen kann</w:t>
      </w:r>
      <w:r w:rsidRPr="00921BB8">
        <w:rPr>
          <w:rFonts w:ascii="Times New Roman" w:hAnsi="Times New Roman" w:cs="Times New Roman"/>
        </w:rPr>
        <w:t>”</w:t>
      </w:r>
      <w:r w:rsidRPr="00921BB8">
        <w:rPr>
          <w:rStyle w:val="Rimandonotaapidipagina"/>
          <w:rFonts w:ascii="Times New Roman" w:hAnsi="Times New Roman" w:cs="Times New Roman"/>
          <w:lang w:val="de-DE"/>
        </w:rPr>
        <w:footnoteReference w:id="971"/>
      </w:r>
      <w:r w:rsidRPr="00921BB8">
        <w:rPr>
          <w:rFonts w:ascii="Times New Roman" w:hAnsi="Times New Roman" w:cs="Times New Roman"/>
          <w:lang w:val="de-DE"/>
        </w:rPr>
        <w:t>. In Bezug auf die These Herreras „Deum esse unum individum in omnibus, &amp; totum in singulis</w:t>
      </w:r>
      <w:r w:rsidRPr="00921BB8">
        <w:rPr>
          <w:rFonts w:ascii="Times New Roman" w:hAnsi="Times New Roman" w:cs="Times New Roman"/>
        </w:rPr>
        <w:t>”</w:t>
      </w:r>
      <w:r w:rsidRPr="00921BB8">
        <w:rPr>
          <w:rStyle w:val="Rimandonotaapidipagina"/>
          <w:rFonts w:ascii="Times New Roman" w:hAnsi="Times New Roman" w:cs="Times New Roman"/>
          <w:lang w:val="de-DE"/>
        </w:rPr>
        <w:footnoteReference w:id="972"/>
      </w:r>
      <w:r w:rsidRPr="00921BB8">
        <w:rPr>
          <w:rFonts w:ascii="Times New Roman" w:hAnsi="Times New Roman" w:cs="Times New Roman"/>
        </w:rPr>
        <w:t xml:space="preserve"> </w:t>
      </w:r>
      <w:r w:rsidRPr="00921BB8">
        <w:rPr>
          <w:rFonts w:ascii="Times New Roman" w:hAnsi="Times New Roman" w:cs="Times New Roman"/>
          <w:lang w:val="de-DE"/>
        </w:rPr>
        <w:t xml:space="preserve">stellt </w:t>
      </w:r>
      <w:r w:rsidRPr="00921BB8">
        <w:rPr>
          <w:rFonts w:ascii="Times New Roman" w:hAnsi="Times New Roman" w:cs="Times New Roman"/>
        </w:rPr>
        <w:t xml:space="preserve">Spinoza </w:t>
      </w:r>
      <w:r w:rsidRPr="00921BB8">
        <w:rPr>
          <w:rFonts w:ascii="Times New Roman" w:hAnsi="Times New Roman" w:cs="Times New Roman"/>
          <w:lang w:val="de-DE"/>
        </w:rPr>
        <w:t>fest, dass Gott „aller Dingen inwendig bleibende (natürliche) nicht vorübergängliche Ursache</w:t>
      </w:r>
      <w:r w:rsidRPr="00921BB8">
        <w:rPr>
          <w:rFonts w:ascii="Times New Roman" w:hAnsi="Times New Roman" w:cs="Times New Roman"/>
        </w:rPr>
        <w:t>”</w:t>
      </w:r>
      <w:r w:rsidRPr="00921BB8">
        <w:rPr>
          <w:rStyle w:val="Rimandonotaapidipagina"/>
          <w:rFonts w:ascii="Times New Roman" w:hAnsi="Times New Roman" w:cs="Times New Roman"/>
          <w:lang w:val="de-DE"/>
        </w:rPr>
        <w:footnoteReference w:id="973"/>
      </w:r>
      <w:r w:rsidRPr="00921BB8">
        <w:rPr>
          <w:rFonts w:ascii="Times New Roman" w:hAnsi="Times New Roman" w:cs="Times New Roman"/>
        </w:rPr>
        <w:t xml:space="preserve"> ist</w:t>
      </w:r>
      <w:r w:rsidRPr="00921BB8">
        <w:rPr>
          <w:rFonts w:ascii="Times New Roman" w:hAnsi="Times New Roman" w:cs="Times New Roman"/>
          <w:lang w:val="de-DE"/>
        </w:rPr>
        <w:t>. In ihren Denksystemen drücken Herrera und Spinoza eine radikale Form von Eleatismus aus: „Gott ein unzertheiltes Eins in allen und ganz in jeden Dingen sey: Was ist das anders gesagt, als was die Eleatici, und die aus Sicilien sagen, daß alles Eines seye, [...] in der 8. Thesi sagte, dass in der Welt nichts weiter vorhanden sey als das einige göttliche Wesen</w:t>
      </w:r>
      <w:r w:rsidRPr="00921BB8">
        <w:rPr>
          <w:rFonts w:ascii="Times New Roman" w:hAnsi="Times New Roman" w:cs="Times New Roman"/>
        </w:rPr>
        <w:t>”</w:t>
      </w:r>
      <w:r w:rsidRPr="00921BB8">
        <w:rPr>
          <w:rStyle w:val="Rimandonotaapidipagina"/>
          <w:rFonts w:ascii="Times New Roman" w:hAnsi="Times New Roman" w:cs="Times New Roman"/>
          <w:lang w:val="de-DE"/>
        </w:rPr>
        <w:footnoteReference w:id="974"/>
      </w:r>
      <w:r w:rsidRPr="00921BB8">
        <w:rPr>
          <w:rFonts w:ascii="Times New Roman" w:hAnsi="Times New Roman" w:cs="Times New Roman"/>
          <w:lang w:val="de-DE"/>
        </w:rPr>
        <w:t xml:space="preserve">. </w:t>
      </w:r>
      <w:r w:rsidRPr="0063491A">
        <w:rPr>
          <w:rFonts w:ascii="Times New Roman" w:hAnsi="Times New Roman" w:cs="Times New Roman"/>
          <w:lang w:val="de-DE"/>
        </w:rPr>
        <w:t>Aufgrund des Eleatismus und der achten These Mores sind das Eine und das Viele keine sich ausschließenden Bestimmungen, sondern Momente einer</w:t>
      </w:r>
      <w:r w:rsidR="00E5750C" w:rsidRPr="0063491A">
        <w:rPr>
          <w:rFonts w:ascii="Times New Roman" w:hAnsi="Times New Roman" w:cs="Times New Roman"/>
          <w:lang w:val="de-DE"/>
        </w:rPr>
        <w:t xml:space="preserve"> Gesamtheit, in der die Vielheit</w:t>
      </w:r>
      <w:r w:rsidRPr="0063491A">
        <w:rPr>
          <w:rFonts w:ascii="Times New Roman" w:hAnsi="Times New Roman" w:cs="Times New Roman"/>
          <w:lang w:val="de-DE"/>
        </w:rPr>
        <w:t xml:space="preserve"> zur Einheit zurückgebracht wird. Da die </w:t>
      </w:r>
      <w:r w:rsidR="00C27EA2">
        <w:rPr>
          <w:rFonts w:ascii="Times New Roman" w:hAnsi="Times New Roman" w:cs="Times New Roman"/>
          <w:lang w:val="de-DE"/>
        </w:rPr>
        <w:t xml:space="preserve">ontischen </w:t>
      </w:r>
      <w:r w:rsidRPr="0063491A">
        <w:rPr>
          <w:rFonts w:ascii="Times New Roman" w:hAnsi="Times New Roman" w:cs="Times New Roman"/>
          <w:lang w:val="de-DE"/>
        </w:rPr>
        <w:t xml:space="preserve">Mannigfaltigkeit mit dem göttlichen Wesen vereinigt wird, folgt </w:t>
      </w:r>
      <w:r w:rsidRPr="001A6DA0">
        <w:rPr>
          <w:rFonts w:ascii="Times New Roman" w:hAnsi="Times New Roman" w:cs="Times New Roman"/>
          <w:lang w:val="de-DE"/>
        </w:rPr>
        <w:t>das Einssein von Gott und Welt: „daß die Welt nichts von Gott unterschiedenes noch getrenntes Auge hat</w:t>
      </w:r>
      <w:r w:rsidRPr="001A6DA0">
        <w:rPr>
          <w:rFonts w:ascii="Times New Roman" w:hAnsi="Times New Roman" w:cs="Times New Roman"/>
        </w:rPr>
        <w:t>”</w:t>
      </w:r>
      <w:r w:rsidRPr="001A6DA0">
        <w:rPr>
          <w:rStyle w:val="Rimandonotaapidipagina"/>
          <w:rFonts w:ascii="Times New Roman" w:hAnsi="Times New Roman" w:cs="Times New Roman"/>
          <w:lang w:val="de-DE"/>
        </w:rPr>
        <w:footnoteReference w:id="975"/>
      </w:r>
      <w:r w:rsidRPr="001A6DA0">
        <w:rPr>
          <w:rFonts w:ascii="Times New Roman" w:hAnsi="Times New Roman" w:cs="Times New Roman"/>
          <w:lang w:val="de-DE"/>
        </w:rPr>
        <w:t xml:space="preserve">. Der Pantheismus ist die logische Folge sowohl der </w:t>
      </w:r>
      <w:r w:rsidRPr="001A6DA0">
        <w:rPr>
          <w:rFonts w:ascii="Times New Roman" w:hAnsi="Times New Roman" w:cs="Times New Roman"/>
          <w:i/>
          <w:lang w:val="de-DE"/>
        </w:rPr>
        <w:t xml:space="preserve">Himmelspforte </w:t>
      </w:r>
      <w:r w:rsidRPr="001A6DA0">
        <w:rPr>
          <w:rFonts w:ascii="Times New Roman" w:hAnsi="Times New Roman" w:cs="Times New Roman"/>
          <w:lang w:val="de-DE"/>
        </w:rPr>
        <w:t>Herreras, die „die Welt, Natur und Kreatur von Gott nicht weiter unterscheidet</w:t>
      </w:r>
      <w:r w:rsidRPr="001A6DA0">
        <w:rPr>
          <w:rFonts w:ascii="Times New Roman" w:hAnsi="Times New Roman" w:cs="Times New Roman"/>
        </w:rPr>
        <w:t>”</w:t>
      </w:r>
      <w:r w:rsidRPr="001A6DA0">
        <w:rPr>
          <w:rStyle w:val="Rimandonotaapidipagina"/>
          <w:rFonts w:ascii="Times New Roman" w:hAnsi="Times New Roman" w:cs="Times New Roman"/>
          <w:lang w:val="de-DE"/>
        </w:rPr>
        <w:footnoteReference w:id="976"/>
      </w:r>
      <w:r w:rsidRPr="001A6DA0">
        <w:rPr>
          <w:rFonts w:ascii="Times New Roman" w:hAnsi="Times New Roman" w:cs="Times New Roman"/>
          <w:lang w:val="de-DE"/>
        </w:rPr>
        <w:t xml:space="preserve">, als auch der </w:t>
      </w:r>
      <w:r w:rsidRPr="001A6DA0">
        <w:rPr>
          <w:rFonts w:ascii="Times New Roman" w:hAnsi="Times New Roman" w:cs="Times New Roman"/>
          <w:i/>
          <w:lang w:val="de-DE"/>
        </w:rPr>
        <w:t xml:space="preserve">Ethik </w:t>
      </w:r>
      <w:r w:rsidRPr="001A6DA0">
        <w:rPr>
          <w:rFonts w:ascii="Times New Roman" w:hAnsi="Times New Roman" w:cs="Times New Roman"/>
          <w:lang w:val="de-DE"/>
        </w:rPr>
        <w:t>Spinozas, laut welcher</w:t>
      </w:r>
      <w:r w:rsidRPr="001A6DA0">
        <w:rPr>
          <w:rFonts w:ascii="Times New Roman" w:hAnsi="Times New Roman" w:cs="Times New Roman"/>
          <w:i/>
          <w:lang w:val="de-DE"/>
        </w:rPr>
        <w:t xml:space="preserve"> </w:t>
      </w:r>
      <w:r w:rsidRPr="001A6DA0">
        <w:rPr>
          <w:rFonts w:ascii="Times New Roman" w:hAnsi="Times New Roman" w:cs="Times New Roman"/>
          <w:lang w:val="de-DE"/>
        </w:rPr>
        <w:t>„alles was da ist, ist in Gott, und ohne Gott zu seyn, kann nichts concepiert werden</w:t>
      </w:r>
      <w:r w:rsidRPr="001A6DA0">
        <w:rPr>
          <w:rFonts w:ascii="Times New Roman" w:hAnsi="Times New Roman" w:cs="Times New Roman"/>
        </w:rPr>
        <w:t>”</w:t>
      </w:r>
      <w:r w:rsidRPr="001A6DA0">
        <w:rPr>
          <w:rStyle w:val="Rimandonotaapidipagina"/>
          <w:rFonts w:ascii="Times New Roman" w:hAnsi="Times New Roman" w:cs="Times New Roman"/>
          <w:lang w:val="de-DE"/>
        </w:rPr>
        <w:footnoteReference w:id="977"/>
      </w:r>
      <w:r w:rsidRPr="001A6DA0">
        <w:rPr>
          <w:rFonts w:ascii="Times New Roman" w:hAnsi="Times New Roman" w:cs="Times New Roman"/>
          <w:lang w:val="de-DE"/>
        </w:rPr>
        <w:t xml:space="preserve">. Der Spinozismus stellt – wie die Kabbala – eine radikale Form der Vergötterung der </w:t>
      </w:r>
      <w:r w:rsidR="00C27EA2" w:rsidRPr="001A6DA0">
        <w:rPr>
          <w:rFonts w:ascii="Times New Roman" w:hAnsi="Times New Roman" w:cs="Times New Roman"/>
          <w:lang w:val="de-DE"/>
        </w:rPr>
        <w:t xml:space="preserve">materiellen </w:t>
      </w:r>
      <w:r w:rsidRPr="001A6DA0">
        <w:rPr>
          <w:rFonts w:ascii="Times New Roman" w:hAnsi="Times New Roman" w:cs="Times New Roman"/>
          <w:lang w:val="de-DE"/>
        </w:rPr>
        <w:t>Welt dar.</w:t>
      </w:r>
      <w:r w:rsidRPr="00921BB8">
        <w:rPr>
          <w:rFonts w:ascii="Times New Roman" w:hAnsi="Times New Roman" w:cs="Times New Roman"/>
          <w:lang w:val="de-DE"/>
        </w:rPr>
        <w:t xml:space="preserve"> </w:t>
      </w:r>
    </w:p>
    <w:p w14:paraId="4E54B018" w14:textId="3B0ED013" w:rsidR="001C3D81" w:rsidRPr="00921BB8" w:rsidRDefault="001C3D81" w:rsidP="001C3D81">
      <w:pPr>
        <w:spacing w:line="360" w:lineRule="auto"/>
        <w:ind w:firstLine="567"/>
        <w:jc w:val="both"/>
        <w:rPr>
          <w:rFonts w:ascii="Times New Roman" w:hAnsi="Times New Roman" w:cs="Times New Roman"/>
          <w:lang w:val="de-DE"/>
        </w:rPr>
      </w:pPr>
      <w:r w:rsidRPr="00921BB8">
        <w:rPr>
          <w:rFonts w:ascii="Times New Roman" w:hAnsi="Times New Roman" w:cs="Times New Roman"/>
          <w:lang w:val="de-DE"/>
        </w:rPr>
        <w:t xml:space="preserve">Nach dem </w:t>
      </w:r>
      <w:r w:rsidRPr="00921BB8">
        <w:rPr>
          <w:rFonts w:ascii="Times New Roman" w:hAnsi="Times New Roman" w:cs="Times New Roman"/>
          <w:i/>
          <w:lang w:val="de-DE"/>
        </w:rPr>
        <w:t xml:space="preserve">Spinozismus </w:t>
      </w:r>
      <w:r w:rsidR="00A76F84">
        <w:rPr>
          <w:rFonts w:ascii="Times New Roman" w:hAnsi="Times New Roman" w:cs="Times New Roman"/>
          <w:i/>
          <w:lang w:val="de-DE"/>
        </w:rPr>
        <w:t>in J</w:t>
      </w:r>
      <w:r w:rsidR="00A76F84">
        <w:rPr>
          <w:rFonts w:ascii="Times New Roman" w:eastAsia="Times New Roman" w:hAnsi="Times New Roman" w:cs="Times New Roman"/>
          <w:i/>
          <w:iCs/>
          <w:color w:val="222222"/>
          <w:shd w:val="clear" w:color="auto" w:fill="FFFFFF"/>
          <w:lang w:val="de-DE"/>
        </w:rPr>
        <w:t>ü</w:t>
      </w:r>
      <w:r w:rsidRPr="00921BB8">
        <w:rPr>
          <w:rFonts w:ascii="Times New Roman" w:hAnsi="Times New Roman" w:cs="Times New Roman"/>
          <w:i/>
          <w:lang w:val="de-DE"/>
        </w:rPr>
        <w:t>denthumb</w:t>
      </w:r>
      <w:r w:rsidRPr="00921BB8">
        <w:rPr>
          <w:rFonts w:ascii="Times New Roman" w:hAnsi="Times New Roman" w:cs="Times New Roman"/>
          <w:lang w:val="de-DE"/>
        </w:rPr>
        <w:t xml:space="preserve"> hat Wachter den </w:t>
      </w:r>
      <w:r w:rsidRPr="00921BB8">
        <w:rPr>
          <w:rFonts w:ascii="Times New Roman" w:hAnsi="Times New Roman" w:cs="Times New Roman"/>
          <w:i/>
          <w:lang w:val="de-DE"/>
        </w:rPr>
        <w:t xml:space="preserve">Elucidarius Cabalisticus </w:t>
      </w:r>
      <w:r w:rsidRPr="00921BB8">
        <w:rPr>
          <w:rFonts w:ascii="Times New Roman" w:hAnsi="Times New Roman" w:cs="Times New Roman"/>
          <w:lang w:val="de-DE"/>
        </w:rPr>
        <w:t xml:space="preserve">(Halle 1706) veröffentlicht. </w:t>
      </w:r>
      <w:r w:rsidRPr="00921BB8">
        <w:rPr>
          <w:rFonts w:ascii="Times New Roman" w:eastAsia="Times New Roman" w:hAnsi="Times New Roman" w:cs="Times New Roman"/>
          <w:iCs/>
          <w:color w:val="222222"/>
          <w:shd w:val="clear" w:color="auto" w:fill="FFFFFF"/>
          <w:lang w:val="de-DE"/>
        </w:rPr>
        <w:t xml:space="preserve">Mit dem Ziel, seine vorherigen Meinungen zu ändern, nimmt Wachter die ersten fünf Thesen der </w:t>
      </w:r>
      <w:r w:rsidRPr="00921BB8">
        <w:rPr>
          <w:rFonts w:ascii="Times New Roman" w:hAnsi="Times New Roman" w:cs="Times New Roman"/>
          <w:i/>
          <w:lang w:val="de-DE"/>
        </w:rPr>
        <w:t>Cabbalae Aëto-Paedo-Melissae</w:t>
      </w:r>
      <w:r w:rsidRPr="00921BB8">
        <w:rPr>
          <w:rFonts w:ascii="Times New Roman" w:eastAsia="Times New Roman" w:hAnsi="Times New Roman" w:cs="Times New Roman"/>
          <w:iCs/>
          <w:color w:val="222222"/>
          <w:shd w:val="clear" w:color="auto" w:fill="FFFFFF"/>
          <w:lang w:val="de-DE"/>
        </w:rPr>
        <w:t xml:space="preserve"> auf: </w:t>
      </w:r>
      <w:r w:rsidRPr="00921BB8">
        <w:rPr>
          <w:rFonts w:ascii="Times New Roman" w:hAnsi="Times New Roman" w:cs="Times New Roman"/>
          <w:lang w:val="de-DE"/>
        </w:rPr>
        <w:t>„nulla igitur juxta Spinozam in universo materia est, sed quidquid est, res funditus praestantissima est, id est, uti Cabalei vocant, Spiritus […] Erit ergo universorum Substantia juxta Spinozam Spiritus, quia omnes concipiunt, rem immaterialem esse Spiritum</w:t>
      </w:r>
      <w:r w:rsidRPr="00921BB8">
        <w:rPr>
          <w:rFonts w:ascii="Times New Roman" w:hAnsi="Times New Roman" w:cs="Times New Roman"/>
        </w:rPr>
        <w:t>”</w:t>
      </w:r>
      <w:r w:rsidRPr="00921BB8">
        <w:rPr>
          <w:rStyle w:val="Rimandonotaapidipagina"/>
          <w:rFonts w:ascii="Times New Roman" w:hAnsi="Times New Roman" w:cs="Times New Roman"/>
          <w:lang w:val="de-DE"/>
        </w:rPr>
        <w:footnoteReference w:id="978"/>
      </w:r>
      <w:r w:rsidRPr="00921BB8">
        <w:rPr>
          <w:rFonts w:ascii="Times New Roman" w:hAnsi="Times New Roman" w:cs="Times New Roman"/>
          <w:lang w:val="de-DE"/>
        </w:rPr>
        <w:t xml:space="preserve">. Im Gegensatz zu More schreibt Wachter, dass göttlicher Geist und materielle Welt in der Kabbala nicht identifizierbar sind: „substantiam divinam esse natura priorem affectionibus sui, adeoque Mundum esse Deo posteriore, non Deum, sed manifestationem e revelationem Dei, in se occulti. Negantem autem Mundum esse Deum, de Deo in </w:t>
      </w:r>
      <w:r w:rsidRPr="00921BB8">
        <w:rPr>
          <w:rFonts w:ascii="Times" w:hAnsi="Times" w:cs="Times New Roman"/>
          <w:lang w:val="de-DE"/>
        </w:rPr>
        <w:t>se spectato (id est quatenus spectatur ut En Soph, seu occultus e se solo contentus) intelligi volunt</w:t>
      </w:r>
      <w:r w:rsidRPr="00921BB8">
        <w:rPr>
          <w:rFonts w:ascii="Times New Roman" w:hAnsi="Times New Roman" w:cs="Times New Roman"/>
        </w:rPr>
        <w:t>”</w:t>
      </w:r>
      <w:r w:rsidRPr="00921BB8">
        <w:rPr>
          <w:rStyle w:val="Rimandonotaapidipagina"/>
          <w:rFonts w:ascii="Times" w:hAnsi="Times"/>
          <w:lang w:val="de-DE"/>
        </w:rPr>
        <w:footnoteReference w:id="979"/>
      </w:r>
      <w:r w:rsidRPr="00921BB8">
        <w:rPr>
          <w:rFonts w:ascii="Times" w:hAnsi="Times"/>
          <w:lang w:val="de-DE"/>
        </w:rPr>
        <w:t>.</w:t>
      </w:r>
      <w:r w:rsidRPr="00921BB8">
        <w:rPr>
          <w:rFonts w:ascii="Times New Roman" w:hAnsi="Times New Roman" w:cs="Times New Roman"/>
          <w:lang w:val="de-DE"/>
        </w:rPr>
        <w:t xml:space="preserve"> Da En-soph okkult und von allem getrennt ist, ist es nicht eins mit der Welt, die nur eine Manifestation der göttlichen Macht ist. Statt einer </w:t>
      </w:r>
      <w:r w:rsidRPr="00921BB8">
        <w:rPr>
          <w:rFonts w:ascii="Times New Roman" w:hAnsi="Times New Roman" w:cs="Times New Roman"/>
          <w:i/>
          <w:lang w:val="de-DE"/>
        </w:rPr>
        <w:t xml:space="preserve">pantheistisch-materialistischen </w:t>
      </w:r>
      <w:r w:rsidRPr="00921BB8">
        <w:rPr>
          <w:rFonts w:ascii="Times New Roman" w:hAnsi="Times New Roman" w:cs="Times New Roman"/>
          <w:lang w:val="de-DE"/>
        </w:rPr>
        <w:t xml:space="preserve">Interpretation der jüdischen Kabbala und des Spinozismus entsteht ein </w:t>
      </w:r>
      <w:r w:rsidRPr="00921BB8">
        <w:rPr>
          <w:rFonts w:ascii="Times New Roman" w:hAnsi="Times New Roman" w:cs="Times New Roman"/>
          <w:i/>
          <w:lang w:val="de-DE"/>
        </w:rPr>
        <w:t xml:space="preserve">spiritualistisches </w:t>
      </w:r>
      <w:r w:rsidRPr="00921BB8">
        <w:rPr>
          <w:rFonts w:ascii="Times New Roman" w:hAnsi="Times New Roman" w:cs="Times New Roman"/>
          <w:lang w:val="de-DE"/>
        </w:rPr>
        <w:t>Verständnis der jüdischen Philosophie (sowohl kabbalistisch als auch Spinozistisch): die Welt ist eine Manifestation des göttlichen Wesens, das</w:t>
      </w:r>
      <w:r w:rsidR="005C724C" w:rsidRPr="00921BB8">
        <w:rPr>
          <w:rFonts w:ascii="Times New Roman" w:hAnsi="Times New Roman" w:cs="Times New Roman"/>
          <w:lang w:val="de-DE"/>
        </w:rPr>
        <w:t xml:space="preserve"> nicht auf die ontische Vielheit</w:t>
      </w:r>
      <w:r w:rsidRPr="00921BB8">
        <w:rPr>
          <w:rFonts w:ascii="Times New Roman" w:hAnsi="Times New Roman" w:cs="Times New Roman"/>
          <w:lang w:val="de-DE"/>
        </w:rPr>
        <w:t xml:space="preserve"> reduzierbar ist</w:t>
      </w:r>
      <w:r w:rsidRPr="00921BB8">
        <w:rPr>
          <w:rStyle w:val="Rimandonotaapidipagina"/>
          <w:rFonts w:ascii="Times New Roman" w:hAnsi="Times New Roman" w:cs="Times New Roman"/>
          <w:lang w:val="de-DE"/>
        </w:rPr>
        <w:footnoteReference w:id="980"/>
      </w:r>
      <w:r w:rsidRPr="00921BB8">
        <w:rPr>
          <w:rFonts w:ascii="Times New Roman" w:hAnsi="Times New Roman" w:cs="Times New Roman"/>
          <w:lang w:val="de-DE"/>
        </w:rPr>
        <w:t xml:space="preserve">. Diese sind die Schwerpunkte der Wachterschen Revision des </w:t>
      </w:r>
      <w:r w:rsidRPr="00921BB8">
        <w:rPr>
          <w:rFonts w:ascii="Times New Roman" w:hAnsi="Times New Roman" w:cs="Times New Roman"/>
          <w:i/>
          <w:lang w:val="de-DE"/>
        </w:rPr>
        <w:t>Spinozismus im Judentum</w:t>
      </w:r>
      <w:r w:rsidRPr="00921BB8">
        <w:rPr>
          <w:rFonts w:ascii="Times New Roman" w:hAnsi="Times New Roman" w:cs="Times New Roman"/>
          <w:lang w:val="de-DE"/>
        </w:rPr>
        <w:t xml:space="preserve">. In den nächsten Unterkapiteln werden wir den Einfluss des </w:t>
      </w:r>
      <w:r w:rsidR="00A76F84">
        <w:rPr>
          <w:rFonts w:ascii="Times New Roman" w:hAnsi="Times New Roman" w:cs="Times New Roman"/>
          <w:i/>
          <w:lang w:val="de-DE"/>
        </w:rPr>
        <w:t>Spinozismus im J</w:t>
      </w:r>
      <w:r w:rsidR="00A76F84">
        <w:rPr>
          <w:rFonts w:ascii="Times New Roman" w:eastAsia="Times New Roman" w:hAnsi="Times New Roman" w:cs="Times New Roman"/>
          <w:i/>
          <w:iCs/>
          <w:color w:val="222222"/>
          <w:shd w:val="clear" w:color="auto" w:fill="FFFFFF"/>
          <w:lang w:val="de-DE"/>
        </w:rPr>
        <w:t>ü</w:t>
      </w:r>
      <w:r w:rsidRPr="00921BB8">
        <w:rPr>
          <w:rFonts w:ascii="Times New Roman" w:hAnsi="Times New Roman" w:cs="Times New Roman"/>
          <w:i/>
          <w:lang w:val="de-DE"/>
        </w:rPr>
        <w:t xml:space="preserve">denthumb </w:t>
      </w:r>
      <w:r w:rsidRPr="00921BB8">
        <w:rPr>
          <w:rFonts w:ascii="Times New Roman" w:hAnsi="Times New Roman" w:cs="Times New Roman"/>
          <w:lang w:val="de-DE"/>
        </w:rPr>
        <w:t xml:space="preserve">und des </w:t>
      </w:r>
      <w:r w:rsidRPr="00921BB8">
        <w:rPr>
          <w:rFonts w:ascii="Times New Roman" w:hAnsi="Times New Roman" w:cs="Times New Roman"/>
          <w:i/>
          <w:lang w:val="de-DE"/>
        </w:rPr>
        <w:t>Elucidarius Cabalisticus</w:t>
      </w:r>
      <w:r w:rsidRPr="00921BB8">
        <w:rPr>
          <w:rFonts w:ascii="Times New Roman" w:hAnsi="Times New Roman" w:cs="Times New Roman"/>
          <w:lang w:val="de-DE"/>
        </w:rPr>
        <w:t xml:space="preserve"> auf die deutsche Historiographie und den </w:t>
      </w:r>
      <w:r w:rsidRPr="00921BB8">
        <w:rPr>
          <w:rFonts w:ascii="Times New Roman" w:hAnsi="Times New Roman" w:cs="Times New Roman"/>
          <w:i/>
          <w:lang w:val="de-DE"/>
        </w:rPr>
        <w:t xml:space="preserve">Spinozismusstreit </w:t>
      </w:r>
      <w:r w:rsidRPr="00921BB8">
        <w:rPr>
          <w:rFonts w:ascii="Times New Roman" w:hAnsi="Times New Roman" w:cs="Times New Roman"/>
          <w:lang w:val="de-DE"/>
        </w:rPr>
        <w:t>des 18. Jahrhunderts untersuchen.</w:t>
      </w:r>
    </w:p>
    <w:p w14:paraId="21F46FBF" w14:textId="77777777" w:rsidR="001C3D81" w:rsidRPr="00921BB8" w:rsidRDefault="001C3D81" w:rsidP="001C3D81">
      <w:pPr>
        <w:spacing w:line="360" w:lineRule="auto"/>
        <w:ind w:firstLine="567"/>
        <w:jc w:val="both"/>
        <w:rPr>
          <w:rFonts w:ascii="Times New Roman" w:hAnsi="Times New Roman" w:cs="Times New Roman"/>
        </w:rPr>
      </w:pPr>
    </w:p>
    <w:p w14:paraId="396FC2DC" w14:textId="77777777" w:rsidR="001C3D81" w:rsidRPr="00921BB8" w:rsidRDefault="001C3D81" w:rsidP="001C3D81">
      <w:pPr>
        <w:spacing w:line="360" w:lineRule="auto"/>
        <w:jc w:val="both"/>
        <w:rPr>
          <w:rFonts w:ascii="Times New Roman" w:hAnsi="Times New Roman" w:cs="Times New Roman"/>
          <w:i/>
          <w:lang w:val="de-DE"/>
        </w:rPr>
      </w:pPr>
      <w:r w:rsidRPr="00921BB8">
        <w:rPr>
          <w:rFonts w:ascii="Times New Roman" w:hAnsi="Times New Roman" w:cs="Times New Roman"/>
          <w:i/>
          <w:lang w:val="de-DE"/>
        </w:rPr>
        <w:t xml:space="preserve">3.3 Die </w:t>
      </w:r>
      <w:r w:rsidRPr="00921BB8">
        <w:rPr>
          <w:rFonts w:ascii="Times New Roman" w:hAnsi="Times New Roman" w:cs="Times New Roman"/>
          <w:lang w:val="de-DE"/>
        </w:rPr>
        <w:t>Philosophia Iudeorum Esoterica</w:t>
      </w:r>
      <w:r w:rsidRPr="00921BB8">
        <w:rPr>
          <w:rFonts w:ascii="Times New Roman" w:hAnsi="Times New Roman" w:cs="Times New Roman"/>
          <w:i/>
          <w:lang w:val="de-DE"/>
        </w:rPr>
        <w:t xml:space="preserve"> in der </w:t>
      </w:r>
      <w:r w:rsidRPr="00921BB8">
        <w:rPr>
          <w:rFonts w:ascii="Times New Roman" w:hAnsi="Times New Roman" w:cs="Times New Roman"/>
          <w:lang w:val="de-DE"/>
        </w:rPr>
        <w:t>Historia critique philosophiae</w:t>
      </w:r>
    </w:p>
    <w:p w14:paraId="0F934EE9" w14:textId="77777777" w:rsidR="001C3D81" w:rsidRPr="00921BB8" w:rsidRDefault="001C3D81" w:rsidP="001C3D81">
      <w:pPr>
        <w:spacing w:line="360" w:lineRule="auto"/>
        <w:jc w:val="both"/>
        <w:rPr>
          <w:rFonts w:ascii="Times New Roman" w:eastAsia="Times New Roman" w:hAnsi="Times New Roman" w:cs="Times New Roman"/>
          <w:iCs/>
          <w:color w:val="222222"/>
          <w:shd w:val="clear" w:color="auto" w:fill="FFFFFF"/>
          <w:lang w:val="de-DE"/>
        </w:rPr>
      </w:pPr>
    </w:p>
    <w:p w14:paraId="21470415" w14:textId="41DDBCF1" w:rsidR="001C3D81" w:rsidRPr="00921BB8" w:rsidRDefault="001C3D81" w:rsidP="001C3D81">
      <w:pPr>
        <w:spacing w:line="360" w:lineRule="auto"/>
        <w:ind w:firstLine="567"/>
        <w:jc w:val="both"/>
        <w:rPr>
          <w:rFonts w:ascii="Times New Roman" w:hAnsi="Times New Roman" w:cs="Times New Roman"/>
          <w:lang w:val="de-DE"/>
        </w:rPr>
      </w:pPr>
      <w:r w:rsidRPr="00921BB8">
        <w:rPr>
          <w:rFonts w:ascii="Times New Roman" w:eastAsia="Times New Roman" w:hAnsi="Times New Roman" w:cs="Times New Roman"/>
          <w:iCs/>
          <w:color w:val="222222"/>
          <w:shd w:val="clear" w:color="auto" w:fill="FFFFFF"/>
          <w:lang w:val="de-DE"/>
        </w:rPr>
        <w:t xml:space="preserve">Johann Jakob Brucker (Augsburg 1699-1770) ist der Autor der monumentalen </w:t>
      </w:r>
      <w:r w:rsidRPr="00921BB8">
        <w:rPr>
          <w:rFonts w:ascii="Times New Roman" w:eastAsia="Times New Roman" w:hAnsi="Times New Roman" w:cs="Times New Roman"/>
          <w:i/>
          <w:iCs/>
          <w:color w:val="222222"/>
          <w:shd w:val="clear" w:color="auto" w:fill="FFFFFF"/>
          <w:lang w:val="de-DE"/>
        </w:rPr>
        <w:t>Historia critica philosophiae</w:t>
      </w:r>
      <w:r w:rsidRPr="00921BB8">
        <w:rPr>
          <w:rFonts w:ascii="Times New Roman" w:eastAsia="Times New Roman" w:hAnsi="Times New Roman" w:cs="Times New Roman"/>
          <w:iCs/>
          <w:color w:val="222222"/>
          <w:shd w:val="clear" w:color="auto" w:fill="FFFFFF"/>
          <w:lang w:val="de-DE"/>
        </w:rPr>
        <w:t xml:space="preserve">, die zwischen 1742 und 1767 in sechs Bänden in Leipzig veröffentlicht wurde. </w:t>
      </w:r>
      <w:r w:rsidRPr="00921BB8">
        <w:rPr>
          <w:rFonts w:ascii="Times New Roman" w:hAnsi="Times New Roman" w:cs="Times New Roman"/>
          <w:lang w:val="de-DE"/>
        </w:rPr>
        <w:t>Bruckers Meinung nach muss der Historiker der Philosophie eine rationalistische Methode</w:t>
      </w:r>
      <w:r w:rsidRPr="00921BB8">
        <w:rPr>
          <w:rStyle w:val="Rimandonotaapidipagina"/>
          <w:rFonts w:ascii="Times New Roman" w:hAnsi="Times New Roman" w:cs="Times New Roman"/>
          <w:lang w:val="de-DE"/>
        </w:rPr>
        <w:footnoteReference w:id="981"/>
      </w:r>
      <w:r w:rsidRPr="00921BB8">
        <w:rPr>
          <w:rFonts w:ascii="Times New Roman" w:hAnsi="Times New Roman" w:cs="Times New Roman"/>
          <w:lang w:val="de-DE"/>
        </w:rPr>
        <w:t xml:space="preserve"> mit einer Vorkenntnis der primären und sekundären Quellen und der unterschiedlichen historisch-kulturellen Kontexte verbinden. In Bezug auf die </w:t>
      </w:r>
      <w:r w:rsidRPr="00921BB8">
        <w:rPr>
          <w:rFonts w:ascii="Times New Roman" w:hAnsi="Times New Roman" w:cs="Times New Roman"/>
          <w:i/>
          <w:lang w:val="de-DE"/>
        </w:rPr>
        <w:t>Philosophia Iudeorum Esoterica</w:t>
      </w:r>
      <w:r w:rsidRPr="00921BB8">
        <w:rPr>
          <w:rFonts w:ascii="Times New Roman" w:hAnsi="Times New Roman" w:cs="Times New Roman"/>
          <w:lang w:val="de-DE"/>
        </w:rPr>
        <w:t xml:space="preserve"> versucht Brucker, die</w:t>
      </w:r>
      <w:r w:rsidR="008A1B66">
        <w:rPr>
          <w:rFonts w:ascii="Times New Roman" w:hAnsi="Times New Roman" w:cs="Times New Roman"/>
          <w:lang w:val="de-DE"/>
        </w:rPr>
        <w:t xml:space="preserve"> Vorurteile gegen die jüdische </w:t>
      </w:r>
      <w:r w:rsidRPr="00921BB8">
        <w:rPr>
          <w:rFonts w:ascii="Times New Roman" w:hAnsi="Times New Roman" w:cs="Times New Roman"/>
          <w:lang w:val="de-DE"/>
        </w:rPr>
        <w:t>Kabbala abzubauen und die grundlegenden Inhalte dieser Tradition deutlicher zu machen. Wahrscheinlich in Ägypten geboren, richtet sich die Kabbala an die Philosophie von Philon und an das morgenländische Denken. Nach dieser historisch-kulturellen Prämisse beschäftigt Brucker sich mit einem Vergleich zwischen alexandrinischem, morgenländischem und kabbalistischem Denken. Diese philosophischen Systeme nehmen das Prinzip „ex nihilo nihil fit</w:t>
      </w:r>
      <w:r w:rsidRPr="00921BB8">
        <w:rPr>
          <w:rFonts w:ascii="Times New Roman" w:hAnsi="Times New Roman" w:cs="Times New Roman"/>
        </w:rPr>
        <w:t>”</w:t>
      </w:r>
      <w:r w:rsidRPr="00921BB8">
        <w:rPr>
          <w:rStyle w:val="Rimandonotaapidipagina"/>
          <w:rFonts w:ascii="Times New Roman" w:hAnsi="Times New Roman" w:cs="Times New Roman"/>
          <w:lang w:val="de-DE"/>
        </w:rPr>
        <w:footnoteReference w:id="982"/>
      </w:r>
      <w:r w:rsidRPr="00921BB8">
        <w:rPr>
          <w:rFonts w:ascii="Times New Roman" w:hAnsi="Times New Roman" w:cs="Times New Roman"/>
        </w:rPr>
        <w:t xml:space="preserve"> </w:t>
      </w:r>
      <w:r w:rsidRPr="00921BB8">
        <w:rPr>
          <w:rFonts w:ascii="Times New Roman" w:hAnsi="Times New Roman" w:cs="Times New Roman"/>
          <w:lang w:val="de-DE"/>
        </w:rPr>
        <w:t xml:space="preserve">(offensichtlich verbunden mit Mores </w:t>
      </w:r>
      <w:r w:rsidRPr="00921BB8">
        <w:rPr>
          <w:rFonts w:ascii="Times New Roman" w:hAnsi="Times New Roman" w:cs="Times New Roman"/>
          <w:i/>
          <w:lang w:val="de-DE"/>
        </w:rPr>
        <w:t>ex nihilo nihil creari posset</w:t>
      </w:r>
      <w:r w:rsidRPr="00921BB8">
        <w:rPr>
          <w:rFonts w:ascii="Times New Roman" w:hAnsi="Times New Roman" w:cs="Times New Roman"/>
          <w:lang w:val="de-DE"/>
        </w:rPr>
        <w:t xml:space="preserve">) auf. Aufgrund der Verneinung der </w:t>
      </w:r>
      <w:r w:rsidRPr="00921BB8">
        <w:rPr>
          <w:rFonts w:ascii="Times New Roman" w:hAnsi="Times New Roman" w:cs="Times New Roman"/>
          <w:i/>
          <w:lang w:val="de-DE"/>
        </w:rPr>
        <w:t xml:space="preserve">creatio ex nihilo </w:t>
      </w:r>
      <w:r w:rsidRPr="00921BB8">
        <w:rPr>
          <w:rFonts w:ascii="Times New Roman" w:hAnsi="Times New Roman" w:cs="Times New Roman"/>
          <w:lang w:val="de-DE"/>
        </w:rPr>
        <w:t>entwic</w:t>
      </w:r>
      <w:r w:rsidR="008A1B66">
        <w:rPr>
          <w:rFonts w:ascii="Times New Roman" w:hAnsi="Times New Roman" w:cs="Times New Roman"/>
          <w:lang w:val="de-DE"/>
        </w:rPr>
        <w:t xml:space="preserve">keln sie ein Emanationssystem: </w:t>
      </w:r>
      <w:r w:rsidRPr="00921BB8">
        <w:rPr>
          <w:rFonts w:ascii="Times New Roman" w:hAnsi="Times New Roman" w:cs="Times New Roman"/>
          <w:lang w:val="de-DE"/>
        </w:rPr>
        <w:t>„ex uno sunt omnia</w:t>
      </w:r>
      <w:r w:rsidRPr="00921BB8">
        <w:rPr>
          <w:rFonts w:ascii="Times New Roman" w:hAnsi="Times New Roman" w:cs="Times New Roman"/>
        </w:rPr>
        <w:t>”</w:t>
      </w:r>
      <w:r w:rsidRPr="00921BB8">
        <w:rPr>
          <w:rFonts w:ascii="Times New Roman" w:hAnsi="Times New Roman" w:cs="Times New Roman"/>
          <w:lang w:val="de-DE"/>
        </w:rPr>
        <w:t xml:space="preserve"> und das Eine ist „principium rerum omnium, quod est super omnia, est seniorum, occultus occultorum, ex quo sunt efformationes omnium regum, d. h. sephirarum emanantium</w:t>
      </w:r>
      <w:r w:rsidRPr="00921BB8">
        <w:rPr>
          <w:rFonts w:ascii="Times New Roman" w:hAnsi="Times New Roman" w:cs="Times New Roman"/>
        </w:rPr>
        <w:t>”</w:t>
      </w:r>
      <w:r w:rsidRPr="00921BB8">
        <w:rPr>
          <w:rStyle w:val="Rimandonotaapidipagina"/>
          <w:rFonts w:ascii="Times New Roman" w:hAnsi="Times New Roman" w:cs="Times New Roman"/>
          <w:lang w:val="de-DE"/>
        </w:rPr>
        <w:footnoteReference w:id="983"/>
      </w:r>
      <w:r w:rsidRPr="00921BB8">
        <w:rPr>
          <w:rFonts w:ascii="Times New Roman" w:hAnsi="Times New Roman" w:cs="Times New Roman"/>
          <w:lang w:val="de-DE"/>
        </w:rPr>
        <w:t>. Abgesehen von gewissen lexikalischen Unterschieden machen sich diese drei Systeme ein theoretisches Element – aus dem Einen folgt nur das Eine – das sich auf den alexandrinischen Platonismus bezieht, zu eigen</w:t>
      </w:r>
      <w:r w:rsidRPr="00921BB8">
        <w:rPr>
          <w:rStyle w:val="Rimandonotaapidipagina"/>
          <w:rFonts w:ascii="Times New Roman" w:hAnsi="Times New Roman" w:cs="Times New Roman"/>
          <w:lang w:val="de-DE"/>
        </w:rPr>
        <w:footnoteReference w:id="984"/>
      </w:r>
      <w:r w:rsidRPr="00921BB8">
        <w:rPr>
          <w:rFonts w:ascii="Times New Roman" w:hAnsi="Times New Roman" w:cs="Times New Roman"/>
          <w:lang w:val="de-DE"/>
        </w:rPr>
        <w:t>. Außerdem behaupten sie, dass „materia itaque retractis divini luminis radiis per privationem frigida er tenebriscosa, facta non-ens est (Materia itaque retractis divini luminis radiis per privationem frigida er tenebriscosa, facta non-ens est)</w:t>
      </w:r>
      <w:r w:rsidRPr="00921BB8">
        <w:rPr>
          <w:rFonts w:ascii="Times New Roman" w:hAnsi="Times New Roman" w:cs="Times New Roman"/>
        </w:rPr>
        <w:t xml:space="preserve"> ”</w:t>
      </w:r>
      <w:r w:rsidRPr="00921BB8">
        <w:rPr>
          <w:rStyle w:val="Rimandonotaapidipagina"/>
          <w:rFonts w:ascii="Times New Roman" w:hAnsi="Times New Roman" w:cs="Times New Roman"/>
          <w:lang w:val="de-DE"/>
        </w:rPr>
        <w:footnoteReference w:id="985"/>
      </w:r>
      <w:r w:rsidRPr="00921BB8">
        <w:rPr>
          <w:rFonts w:ascii="Times New Roman" w:hAnsi="Times New Roman" w:cs="Times New Roman"/>
          <w:lang w:val="de-DE"/>
        </w:rPr>
        <w:t>. Die Expansion der Unendlichkeit bestimmt den fortschreitenden Verlust des göttlichen Lichts in den verschiedenen Stufen des Emanationsprozesses: die Materie, weil sie keine positive Verbindung mit dem Licht hat, ist einfach nicht (</w:t>
      </w:r>
      <w:r w:rsidRPr="00921BB8">
        <w:rPr>
          <w:rFonts w:ascii="Times New Roman" w:hAnsi="Times New Roman" w:cs="Times New Roman"/>
          <w:i/>
          <w:lang w:val="de-DE"/>
        </w:rPr>
        <w:t>privatio boni</w:t>
      </w:r>
      <w:r w:rsidRPr="00921BB8">
        <w:rPr>
          <w:rFonts w:ascii="Times New Roman" w:hAnsi="Times New Roman" w:cs="Times New Roman"/>
          <w:lang w:val="de-DE"/>
        </w:rPr>
        <w:t>).</w:t>
      </w:r>
    </w:p>
    <w:p w14:paraId="3C745F63" w14:textId="77777777" w:rsidR="001C3D81" w:rsidRPr="00C27EA2" w:rsidRDefault="001C3D81" w:rsidP="001C3D81">
      <w:pPr>
        <w:spacing w:line="360" w:lineRule="auto"/>
        <w:ind w:firstLine="567"/>
        <w:jc w:val="both"/>
        <w:rPr>
          <w:rFonts w:ascii="Times New Roman" w:hAnsi="Times New Roman" w:cs="Times New Roman"/>
          <w:lang w:val="de-DE"/>
        </w:rPr>
      </w:pPr>
      <w:r w:rsidRPr="00921BB8">
        <w:rPr>
          <w:rFonts w:ascii="Times New Roman" w:hAnsi="Times New Roman" w:cs="Times New Roman"/>
          <w:lang w:val="de-DE"/>
        </w:rPr>
        <w:t xml:space="preserve">Ein anderes Thema, das sich auf die </w:t>
      </w:r>
      <w:r w:rsidRPr="00921BB8">
        <w:rPr>
          <w:rFonts w:ascii="Times New Roman" w:hAnsi="Times New Roman" w:cs="Times New Roman"/>
          <w:i/>
          <w:lang w:val="de-DE"/>
        </w:rPr>
        <w:t>esoterische Philosophie der Juden</w:t>
      </w:r>
      <w:r w:rsidRPr="00921BB8">
        <w:rPr>
          <w:rFonts w:ascii="Times New Roman" w:hAnsi="Times New Roman" w:cs="Times New Roman"/>
          <w:lang w:val="de-DE"/>
        </w:rPr>
        <w:t xml:space="preserve"> bezieht, ist die Frage nach dem Kabbalismus Spinozas. Wie der </w:t>
      </w:r>
      <w:r w:rsidRPr="00921BB8">
        <w:rPr>
          <w:rFonts w:ascii="Times" w:eastAsia="Times New Roman" w:hAnsi="Times" w:cs="Times New Roman"/>
          <w:iCs/>
          <w:color w:val="222222"/>
          <w:shd w:val="clear" w:color="auto" w:fill="FFFFFF"/>
          <w:lang w:val="de-DE"/>
        </w:rPr>
        <w:t>„acutissimus Wachterus</w:t>
      </w:r>
      <w:r w:rsidRPr="00921BB8">
        <w:rPr>
          <w:rFonts w:ascii="Times New Roman" w:hAnsi="Times New Roman" w:cs="Times New Roman"/>
        </w:rPr>
        <w:t>”</w:t>
      </w:r>
      <w:r w:rsidRPr="00921BB8">
        <w:rPr>
          <w:rStyle w:val="Rimandonotaapidipagina"/>
          <w:rFonts w:ascii="Times" w:hAnsi="Times" w:cs="Times New Roman"/>
          <w:lang w:val="de-DE"/>
        </w:rPr>
        <w:footnoteReference w:id="986"/>
      </w:r>
      <w:r w:rsidRPr="00921BB8">
        <w:rPr>
          <w:rFonts w:ascii="Times New Roman" w:hAnsi="Times New Roman" w:cs="Times New Roman"/>
        </w:rPr>
        <w:t xml:space="preserve"> </w:t>
      </w:r>
      <w:r w:rsidRPr="00921BB8">
        <w:rPr>
          <w:rFonts w:ascii="Times New Roman" w:hAnsi="Times New Roman" w:cs="Times New Roman"/>
          <w:lang w:val="de-DE"/>
        </w:rPr>
        <w:t xml:space="preserve">hinterfragt Brucker das Verhältnis zwischen Spinozoismus und Kabbala. </w:t>
      </w:r>
      <w:r w:rsidRPr="00921BB8">
        <w:rPr>
          <w:rFonts w:ascii="Times New Roman" w:eastAsia="Times New Roman" w:hAnsi="Times New Roman" w:cs="Times New Roman"/>
          <w:iCs/>
          <w:color w:val="222222"/>
          <w:shd w:val="clear" w:color="auto" w:fill="FFFFFF"/>
          <w:lang w:val="de-DE"/>
        </w:rPr>
        <w:t xml:space="preserve">Spinoza definiert die Substanz als die immanente Ursache aller Dinge und hebt den Unterschied zwischen </w:t>
      </w:r>
      <w:r w:rsidRPr="00921BB8">
        <w:rPr>
          <w:rFonts w:ascii="Times New Roman" w:eastAsia="Times New Roman" w:hAnsi="Times New Roman" w:cs="Times New Roman"/>
          <w:i/>
          <w:iCs/>
          <w:color w:val="222222"/>
          <w:shd w:val="clear" w:color="auto" w:fill="FFFFFF"/>
          <w:lang w:val="de-DE"/>
        </w:rPr>
        <w:t xml:space="preserve">Deus absconditus </w:t>
      </w:r>
      <w:r w:rsidRPr="00921BB8">
        <w:rPr>
          <w:rFonts w:ascii="Times New Roman" w:eastAsia="Times New Roman" w:hAnsi="Times New Roman" w:cs="Times New Roman"/>
          <w:iCs/>
          <w:color w:val="222222"/>
          <w:shd w:val="clear" w:color="auto" w:fill="FFFFFF"/>
          <w:lang w:val="de-DE"/>
        </w:rPr>
        <w:t xml:space="preserve">und </w:t>
      </w:r>
      <w:r w:rsidRPr="00921BB8">
        <w:rPr>
          <w:rFonts w:ascii="Times New Roman" w:eastAsia="Times New Roman" w:hAnsi="Times New Roman" w:cs="Times New Roman"/>
          <w:i/>
          <w:iCs/>
          <w:color w:val="222222"/>
          <w:shd w:val="clear" w:color="auto" w:fill="FFFFFF"/>
          <w:lang w:val="de-DE"/>
        </w:rPr>
        <w:t xml:space="preserve">Deus manifestus </w:t>
      </w:r>
      <w:r w:rsidRPr="00921BB8">
        <w:rPr>
          <w:rFonts w:ascii="Times New Roman" w:eastAsia="Times New Roman" w:hAnsi="Times New Roman" w:cs="Times New Roman"/>
          <w:iCs/>
          <w:color w:val="222222"/>
          <w:shd w:val="clear" w:color="auto" w:fill="FFFFFF"/>
          <w:lang w:val="de-DE"/>
        </w:rPr>
        <w:t xml:space="preserve">auf. Die Immanenz Gottes in der Welt, die die Folge einer Radikalisierung der Emanationslehre ist, unterscheidet den Spinozismus von der jüdischen Mystik. </w:t>
      </w:r>
      <w:r w:rsidRPr="00921BB8">
        <w:rPr>
          <w:rFonts w:ascii="Times New Roman" w:hAnsi="Times New Roman" w:cs="Times New Roman"/>
          <w:lang w:val="de-DE"/>
        </w:rPr>
        <w:t xml:space="preserve">Die kabbalistische Philosophie verwickelt sich nicht in die Widersprüche, die sich aus dem Begriff </w:t>
      </w:r>
      <w:r w:rsidRPr="00921BB8">
        <w:rPr>
          <w:rFonts w:ascii="Times New Roman" w:hAnsi="Times New Roman" w:cs="Times New Roman"/>
          <w:i/>
          <w:lang w:val="de-DE"/>
        </w:rPr>
        <w:t xml:space="preserve">causa immanens omnium rerum </w:t>
      </w:r>
      <w:r w:rsidRPr="00921BB8">
        <w:rPr>
          <w:rFonts w:ascii="Times New Roman" w:hAnsi="Times New Roman" w:cs="Times New Roman"/>
          <w:lang w:val="de-DE"/>
        </w:rPr>
        <w:t xml:space="preserve">ergeben: der Unterschied zwischen Einem und Vielem (ein Leitmotiv der Emanationslehre) befreit von der theoretischen Schwierigkeit, endlose und </w:t>
      </w:r>
      <w:r w:rsidRPr="00C27EA2">
        <w:rPr>
          <w:rFonts w:ascii="Times New Roman" w:hAnsi="Times New Roman" w:cs="Times New Roman"/>
          <w:lang w:val="de-DE"/>
        </w:rPr>
        <w:t>aufeinanderfolgende Veränderungen aus einer unveränderlichen Substanz abzuleiten</w:t>
      </w:r>
      <w:r w:rsidRPr="00C27EA2">
        <w:rPr>
          <w:rStyle w:val="Rimandonotaapidipagina"/>
          <w:rFonts w:ascii="Times New Roman" w:hAnsi="Times New Roman" w:cs="Times New Roman"/>
          <w:lang w:val="de-DE"/>
        </w:rPr>
        <w:footnoteReference w:id="987"/>
      </w:r>
      <w:r w:rsidRPr="00C27EA2">
        <w:rPr>
          <w:rFonts w:ascii="Times New Roman" w:hAnsi="Times New Roman" w:cs="Times New Roman"/>
          <w:lang w:val="de-DE"/>
        </w:rPr>
        <w:t xml:space="preserve">. In einem gewissen Sinn werden der Spinozismus nach dem </w:t>
      </w:r>
      <w:r w:rsidRPr="00C27EA2">
        <w:rPr>
          <w:rFonts w:ascii="Times New Roman" w:hAnsi="Times New Roman" w:cs="Times New Roman"/>
          <w:i/>
          <w:lang w:val="de-DE"/>
        </w:rPr>
        <w:t xml:space="preserve">Spinozismus im Judentum </w:t>
      </w:r>
      <w:r w:rsidRPr="00C27EA2">
        <w:rPr>
          <w:rFonts w:ascii="Times New Roman" w:hAnsi="Times New Roman" w:cs="Times New Roman"/>
          <w:lang w:val="de-DE"/>
        </w:rPr>
        <w:t xml:space="preserve">und die jüdische Kabbala nach dem </w:t>
      </w:r>
      <w:r w:rsidRPr="00C27EA2">
        <w:rPr>
          <w:rFonts w:ascii="Times New Roman" w:hAnsi="Times New Roman" w:cs="Times New Roman"/>
          <w:i/>
          <w:lang w:val="de-DE"/>
        </w:rPr>
        <w:t xml:space="preserve">Elucidarius Cabalisticus </w:t>
      </w:r>
      <w:r w:rsidRPr="00C27EA2">
        <w:rPr>
          <w:rFonts w:ascii="Times New Roman" w:hAnsi="Times New Roman" w:cs="Times New Roman"/>
          <w:lang w:val="de-DE"/>
        </w:rPr>
        <w:t>kategorisiert.</w:t>
      </w:r>
    </w:p>
    <w:p w14:paraId="577C36EC" w14:textId="77777777" w:rsidR="001C3D81" w:rsidRPr="00921BB8" w:rsidRDefault="001C3D81" w:rsidP="001C3D81">
      <w:pPr>
        <w:spacing w:line="360" w:lineRule="auto"/>
        <w:ind w:firstLine="567"/>
        <w:jc w:val="both"/>
        <w:rPr>
          <w:rFonts w:ascii="Times New Roman" w:hAnsi="Times New Roman" w:cs="Times New Roman"/>
          <w:lang w:val="de-DE"/>
        </w:rPr>
      </w:pPr>
      <w:r w:rsidRPr="00C27EA2">
        <w:rPr>
          <w:rFonts w:ascii="Times New Roman" w:hAnsi="Times New Roman" w:cs="Times New Roman"/>
          <w:lang w:val="de-DE"/>
        </w:rPr>
        <w:t xml:space="preserve">Abschließend ist es nötig, eine Bilanz aus der historisch-philosophischen Tätigkeit Bruckers zu ziehen. Er hat α) ein weit verbreitetes Interpretationsmodell des jüdisch-mystischen Denkens wiederholt und β) die Debatte über den Kabbalismus Spinozas historiographisch lebendig gehalten. Dank der </w:t>
      </w:r>
      <w:r w:rsidRPr="00C27EA2">
        <w:rPr>
          <w:rFonts w:ascii="Times New Roman" w:hAnsi="Times New Roman" w:cs="Times New Roman"/>
          <w:i/>
          <w:lang w:val="de-DE"/>
        </w:rPr>
        <w:t>Historia critica</w:t>
      </w:r>
      <w:r w:rsidRPr="00C27EA2">
        <w:rPr>
          <w:rFonts w:ascii="Times New Roman" w:hAnsi="Times New Roman" w:cs="Times New Roman"/>
          <w:lang w:val="de-DE"/>
        </w:rPr>
        <w:t xml:space="preserve"> </w:t>
      </w:r>
      <w:r w:rsidRPr="00C27EA2">
        <w:rPr>
          <w:rFonts w:ascii="Times New Roman" w:hAnsi="Times New Roman" w:cs="Times New Roman"/>
          <w:i/>
          <w:lang w:val="de-DE"/>
        </w:rPr>
        <w:t xml:space="preserve">philosophie </w:t>
      </w:r>
      <w:r w:rsidRPr="00C27EA2">
        <w:rPr>
          <w:rFonts w:ascii="Times New Roman" w:hAnsi="Times New Roman" w:cs="Times New Roman"/>
          <w:lang w:val="de-DE"/>
        </w:rPr>
        <w:t xml:space="preserve">werden jene begrifflichen Koordinaten systematisiert, auf die die deutsche Historiografie und der </w:t>
      </w:r>
      <w:r w:rsidRPr="00C27EA2">
        <w:rPr>
          <w:rFonts w:ascii="Times New Roman" w:hAnsi="Times New Roman" w:cs="Times New Roman"/>
          <w:i/>
          <w:lang w:val="de-DE"/>
        </w:rPr>
        <w:t xml:space="preserve">Spinozismusstreit </w:t>
      </w:r>
      <w:r w:rsidRPr="00C27EA2">
        <w:rPr>
          <w:rFonts w:ascii="Times New Roman" w:hAnsi="Times New Roman" w:cs="Times New Roman"/>
          <w:lang w:val="de-DE"/>
        </w:rPr>
        <w:t>des 18. Jahrhunderts ihr Verständnis der kabbalistischen und Spinozistischen Philosophie stützen werden.</w:t>
      </w:r>
    </w:p>
    <w:p w14:paraId="5353F365" w14:textId="77777777" w:rsidR="001C3D81" w:rsidRDefault="001C3D81" w:rsidP="001C3D81">
      <w:pPr>
        <w:spacing w:line="360" w:lineRule="auto"/>
        <w:jc w:val="both"/>
        <w:rPr>
          <w:rFonts w:ascii="Times New Roman" w:hAnsi="Times New Roman" w:cs="Times New Roman"/>
        </w:rPr>
      </w:pPr>
    </w:p>
    <w:p w14:paraId="72A65346" w14:textId="77777777" w:rsidR="008A1B66" w:rsidRPr="00921BB8" w:rsidRDefault="008A1B66" w:rsidP="001C3D81">
      <w:pPr>
        <w:spacing w:line="360" w:lineRule="auto"/>
        <w:jc w:val="both"/>
        <w:rPr>
          <w:rFonts w:ascii="Times New Roman" w:hAnsi="Times New Roman" w:cs="Times New Roman"/>
        </w:rPr>
      </w:pPr>
    </w:p>
    <w:p w14:paraId="56AD469A" w14:textId="77777777" w:rsidR="001C3D81" w:rsidRPr="00921BB8" w:rsidRDefault="001C3D81" w:rsidP="001C3D81">
      <w:pPr>
        <w:spacing w:line="360" w:lineRule="auto"/>
        <w:jc w:val="both"/>
        <w:rPr>
          <w:rFonts w:ascii="Times New Roman" w:hAnsi="Times New Roman" w:cs="Times New Roman"/>
          <w:i/>
        </w:rPr>
      </w:pPr>
      <w:r w:rsidRPr="00921BB8">
        <w:rPr>
          <w:rFonts w:ascii="Times New Roman" w:hAnsi="Times New Roman" w:cs="Times New Roman"/>
          <w:i/>
        </w:rPr>
        <w:t xml:space="preserve">3.4 Kabbala und Spinozismus in den </w:t>
      </w:r>
      <w:r w:rsidRPr="00921BB8">
        <w:rPr>
          <w:rFonts w:ascii="Times New Roman" w:hAnsi="Times New Roman" w:cs="Times New Roman"/>
        </w:rPr>
        <w:t>Spinozabriefen</w:t>
      </w:r>
      <w:r w:rsidRPr="00921BB8">
        <w:rPr>
          <w:rFonts w:ascii="Times New Roman" w:hAnsi="Times New Roman" w:cs="Times New Roman"/>
          <w:i/>
        </w:rPr>
        <w:t xml:space="preserve"> und </w:t>
      </w:r>
      <w:r w:rsidRPr="00921BB8">
        <w:rPr>
          <w:rFonts w:ascii="Times New Roman" w:hAnsi="Times New Roman" w:cs="Times New Roman"/>
          <w:lang w:val="de-DE"/>
        </w:rPr>
        <w:t>Salomon Maimons Lebensgeschichte</w:t>
      </w:r>
      <w:r w:rsidRPr="00921BB8">
        <w:rPr>
          <w:rFonts w:ascii="Times New Roman" w:hAnsi="Times New Roman" w:cs="Times New Roman"/>
          <w:i/>
          <w:lang w:val="de-DE"/>
        </w:rPr>
        <w:t>.</w:t>
      </w:r>
    </w:p>
    <w:p w14:paraId="507A64C6" w14:textId="77777777" w:rsidR="001C3D81" w:rsidRPr="00921BB8" w:rsidRDefault="001C3D81" w:rsidP="001C3D81">
      <w:pPr>
        <w:spacing w:line="360" w:lineRule="auto"/>
        <w:jc w:val="both"/>
        <w:rPr>
          <w:rFonts w:ascii="Times New Roman" w:hAnsi="Times New Roman" w:cs="Times New Roman"/>
          <w:i/>
        </w:rPr>
      </w:pPr>
    </w:p>
    <w:p w14:paraId="2E537121" w14:textId="77777777" w:rsidR="00AA6D16" w:rsidRDefault="001C3D81" w:rsidP="001C3D81">
      <w:pPr>
        <w:spacing w:line="360" w:lineRule="auto"/>
        <w:ind w:firstLine="567"/>
        <w:jc w:val="both"/>
        <w:rPr>
          <w:rFonts w:ascii="Times New Roman" w:hAnsi="Times New Roman" w:cs="Times New Roman"/>
          <w:lang w:val="de-DE"/>
        </w:rPr>
      </w:pPr>
      <w:r w:rsidRPr="00921BB8">
        <w:rPr>
          <w:rFonts w:ascii="Times New Roman" w:hAnsi="Times New Roman" w:cs="Times New Roman"/>
          <w:lang w:val="de-DE"/>
        </w:rPr>
        <w:t xml:space="preserve">Dank der Veröffentlichung der </w:t>
      </w:r>
      <w:r w:rsidRPr="00921BB8">
        <w:rPr>
          <w:rFonts w:ascii="Times New Roman" w:hAnsi="Times New Roman" w:cs="Times New Roman"/>
          <w:i/>
          <w:lang w:val="de-DE"/>
        </w:rPr>
        <w:t xml:space="preserve">Spinozabriefe </w:t>
      </w:r>
      <w:r w:rsidRPr="00921BB8">
        <w:rPr>
          <w:rFonts w:ascii="Times New Roman" w:hAnsi="Times New Roman" w:cs="Times New Roman"/>
          <w:lang w:val="de-DE"/>
        </w:rPr>
        <w:t xml:space="preserve">(1785; 1789) hat die Wachtersche Frage nach dem Kabbalismus Spinozas eine neue Entwicklungsphase erfahren. In den einleitenden Anmerkungen des Werks fasst Jacobi die Prinzipien der Philosophie Spinozas zusammen: </w:t>
      </w:r>
    </w:p>
    <w:p w14:paraId="38C09091" w14:textId="77777777" w:rsidR="00AA6D16" w:rsidRDefault="00AA6D16" w:rsidP="00AA6D16">
      <w:pPr>
        <w:spacing w:line="360" w:lineRule="auto"/>
        <w:jc w:val="both"/>
        <w:rPr>
          <w:rFonts w:ascii="Times New Roman" w:hAnsi="Times New Roman" w:cs="Times New Roman"/>
          <w:lang w:val="de-DE"/>
        </w:rPr>
      </w:pPr>
    </w:p>
    <w:p w14:paraId="1E810A2D" w14:textId="362E430C" w:rsidR="00AA6D16" w:rsidRPr="00AA6D16" w:rsidRDefault="00AA6D16" w:rsidP="00AA6D16">
      <w:pPr>
        <w:spacing w:line="360" w:lineRule="auto"/>
        <w:jc w:val="both"/>
        <w:rPr>
          <w:rFonts w:ascii="Times New Roman" w:hAnsi="Times New Roman" w:cs="Times New Roman"/>
          <w:sz w:val="20"/>
          <w:szCs w:val="20"/>
          <w:lang w:val="de-DE"/>
        </w:rPr>
      </w:pPr>
      <w:r w:rsidRPr="00AA6D16">
        <w:rPr>
          <w:rFonts w:ascii="Times New Roman" w:hAnsi="Times New Roman" w:cs="Times New Roman"/>
          <w:sz w:val="20"/>
          <w:szCs w:val="20"/>
          <w:lang w:val="de-DE"/>
        </w:rPr>
        <w:t>D</w:t>
      </w:r>
      <w:r w:rsidR="001C3D81" w:rsidRPr="00AA6D16">
        <w:rPr>
          <w:rFonts w:ascii="Times New Roman" w:hAnsi="Times New Roman" w:cs="Times New Roman"/>
          <w:sz w:val="20"/>
          <w:szCs w:val="20"/>
          <w:lang w:val="de-DE"/>
        </w:rPr>
        <w:t>as ist wohl kein anderes gewesen, als das Uralte: a nihilo nihil fit; welches Spinoza, nach abgezogenem Begriffen, als die philosophierenden Kabbalisten und andere vor ihm, in Betrachtung zog [...] Er verwarf auch jeden Übergang des Unendlichen zum Endlichen! [...] und setzte an die Stelle des emanierenden ein nur immanenten Ensoph; eine innewohnende, ewig in sich unveränderliche Ursache der Welt, welche mit allen ihren Folgen zusammengenommen – ein und dasselbe wäre</w:t>
      </w:r>
      <w:r w:rsidR="001C3D81" w:rsidRPr="00AA6D16">
        <w:rPr>
          <w:rStyle w:val="Rimandonotaapidipagina"/>
          <w:rFonts w:ascii="Times New Roman" w:hAnsi="Times New Roman" w:cs="Times New Roman"/>
          <w:sz w:val="20"/>
          <w:szCs w:val="20"/>
          <w:lang w:val="de-DE"/>
        </w:rPr>
        <w:footnoteReference w:id="988"/>
      </w:r>
      <w:r w:rsidRPr="00AA6D16">
        <w:rPr>
          <w:rFonts w:ascii="Times New Roman" w:hAnsi="Times New Roman" w:cs="Times New Roman"/>
          <w:sz w:val="20"/>
          <w:szCs w:val="20"/>
        </w:rPr>
        <w:t>.</w:t>
      </w:r>
      <w:r w:rsidRPr="00AA6D16">
        <w:rPr>
          <w:rFonts w:ascii="Times New Roman" w:hAnsi="Times New Roman" w:cs="Times New Roman"/>
          <w:sz w:val="20"/>
          <w:szCs w:val="20"/>
          <w:lang w:val="de-DE"/>
        </w:rPr>
        <w:t xml:space="preserve"> </w:t>
      </w:r>
      <w:r w:rsidR="001C3D81" w:rsidRPr="00AA6D16">
        <w:rPr>
          <w:rFonts w:ascii="Times New Roman" w:hAnsi="Times New Roman" w:cs="Times New Roman"/>
          <w:sz w:val="20"/>
          <w:szCs w:val="20"/>
          <w:lang w:val="de-DE"/>
        </w:rPr>
        <w:t xml:space="preserve"> </w:t>
      </w:r>
    </w:p>
    <w:p w14:paraId="036A43AC" w14:textId="77777777" w:rsidR="00AA6D16" w:rsidRDefault="00AA6D16" w:rsidP="00AA6D16">
      <w:pPr>
        <w:spacing w:line="360" w:lineRule="auto"/>
        <w:jc w:val="both"/>
        <w:rPr>
          <w:rFonts w:ascii="Times New Roman" w:hAnsi="Times New Roman" w:cs="Times New Roman"/>
          <w:lang w:val="de-DE"/>
        </w:rPr>
      </w:pPr>
    </w:p>
    <w:p w14:paraId="0278F02D" w14:textId="57701F36" w:rsidR="001C3D81" w:rsidRPr="00921BB8" w:rsidRDefault="001C3D81" w:rsidP="00AA6D16">
      <w:pPr>
        <w:spacing w:line="360" w:lineRule="auto"/>
        <w:ind w:firstLine="567"/>
        <w:jc w:val="both"/>
        <w:rPr>
          <w:rFonts w:ascii="Times New Roman" w:hAnsi="Times New Roman" w:cs="Times New Roman"/>
          <w:lang w:val="de-DE"/>
        </w:rPr>
      </w:pPr>
      <w:r w:rsidRPr="00921BB8">
        <w:rPr>
          <w:rFonts w:ascii="Times New Roman" w:hAnsi="Times New Roman" w:cs="Times New Roman"/>
          <w:lang w:val="de-DE"/>
        </w:rPr>
        <w:t xml:space="preserve">Die Annahme des kabbalistischen Prinzips </w:t>
      </w:r>
      <w:r w:rsidRPr="00921BB8">
        <w:rPr>
          <w:rFonts w:ascii="Times New Roman" w:hAnsi="Times New Roman" w:cs="Times New Roman"/>
          <w:i/>
          <w:lang w:val="de-DE"/>
        </w:rPr>
        <w:t xml:space="preserve">a nihilo nihil fit </w:t>
      </w:r>
      <w:r w:rsidRPr="00921BB8">
        <w:rPr>
          <w:rFonts w:ascii="Times New Roman" w:hAnsi="Times New Roman" w:cs="Times New Roman"/>
          <w:lang w:val="de-DE"/>
        </w:rPr>
        <w:t>und die Vernichtung</w:t>
      </w:r>
      <w:r w:rsidRPr="00921BB8">
        <w:rPr>
          <w:rFonts w:ascii="Times New Roman" w:hAnsi="Times New Roman" w:cs="Times New Roman"/>
          <w:i/>
          <w:lang w:val="de-DE"/>
        </w:rPr>
        <w:t xml:space="preserve"> </w:t>
      </w:r>
      <w:r w:rsidRPr="00921BB8">
        <w:rPr>
          <w:rFonts w:ascii="Times New Roman" w:hAnsi="Times New Roman" w:cs="Times New Roman"/>
          <w:lang w:val="de-DE"/>
        </w:rPr>
        <w:t xml:space="preserve">des Überganges vom Unendlichen zum Endlichen im Namen einer ewigen Gegenwärtigkeit Gottes in der Welt weisen auf die Interpretation Bruckers des Spinozismus hin. Nach Jacobi verstoße Spinoza – der in diesem Fall radikaler als die Kabbala ist – gegen das kabbalistische Prinzip, dass </w:t>
      </w:r>
      <w:r w:rsidRPr="00921BB8">
        <w:rPr>
          <w:rFonts w:ascii="Times New Roman" w:eastAsia="Times New Roman" w:hAnsi="Times New Roman" w:cs="Times New Roman"/>
          <w:iCs/>
          <w:shd w:val="clear" w:color="auto" w:fill="FFFFFF"/>
          <w:lang w:val="de-DE"/>
        </w:rPr>
        <w:t>„es an und für sich selbst unmöglich sey, das Unendliche aus dem Endlichen zu entwickeln, und den Uebergang des einen zu dem anderen, oder ihre Proportion, durch irgend eine Formel heraus zu bringen</w:t>
      </w:r>
      <w:r w:rsidRPr="00921BB8">
        <w:rPr>
          <w:rFonts w:ascii="Times New Roman" w:hAnsi="Times New Roman" w:cs="Times New Roman"/>
        </w:rPr>
        <w:t>”</w:t>
      </w:r>
      <w:r w:rsidRPr="00921BB8">
        <w:rPr>
          <w:rStyle w:val="Rimandonotaapidipagina"/>
          <w:rFonts w:ascii="Times New Roman" w:eastAsia="Times New Roman" w:hAnsi="Times New Roman" w:cs="Times New Roman"/>
          <w:iCs/>
          <w:shd w:val="clear" w:color="auto" w:fill="FFFFFF"/>
          <w:lang w:val="de-DE"/>
        </w:rPr>
        <w:footnoteReference w:id="989"/>
      </w:r>
      <w:r w:rsidRPr="00921BB8">
        <w:rPr>
          <w:rFonts w:ascii="Times New Roman" w:hAnsi="Times New Roman" w:cs="Times New Roman"/>
          <w:lang w:val="de-DE"/>
        </w:rPr>
        <w:t xml:space="preserve">. Für die Qabbala ist es unmöglich, aus dem Endlichen das Unendliche abzuleiten und den Übergang des einen zu dem anderen zu bestimmen. In diesem Kontext gewinnt die Beschreibung Jacobis der kabbalistischen Philosophie eine präzise Bedeutung: die theoretische Unmöglichkeit, die Beziehung zwischen Unendlichkeit und Endlichkeit zu erklären, führt eine Kenntnis des göttlich-kreatürlichen Bandes (den Glauben) ein, die sich von den Widersprüchen der reinen Vernunft völlig unterscheidet. </w:t>
      </w:r>
    </w:p>
    <w:p w14:paraId="74A2A591" w14:textId="0C216D61" w:rsidR="001C3D81" w:rsidRPr="00921BB8" w:rsidRDefault="001C3D81" w:rsidP="001C3D81">
      <w:pPr>
        <w:spacing w:line="360" w:lineRule="auto"/>
        <w:ind w:firstLine="567"/>
        <w:jc w:val="both"/>
        <w:rPr>
          <w:rFonts w:ascii="Times New Roman" w:hAnsi="Times New Roman" w:cs="Times New Roman"/>
          <w:lang w:val="de-DE"/>
        </w:rPr>
      </w:pPr>
      <w:r w:rsidRPr="00921BB8">
        <w:rPr>
          <w:rFonts w:ascii="Times New Roman" w:hAnsi="Times New Roman" w:cs="Times New Roman"/>
          <w:lang w:val="de-DE"/>
        </w:rPr>
        <w:t xml:space="preserve">Welche sind die innewohnenden Widersprüche der vernünftigen Erkenntnis und insbesondere der Philosophie Spinozas? In Bezug auf die </w:t>
      </w:r>
      <w:r w:rsidRPr="00921BB8">
        <w:rPr>
          <w:rFonts w:ascii="Times New Roman" w:hAnsi="Times New Roman" w:cs="Times New Roman"/>
          <w:i/>
          <w:lang w:val="de-DE"/>
        </w:rPr>
        <w:t>Historia critica philosophiae</w:t>
      </w:r>
      <w:r w:rsidRPr="00921BB8">
        <w:rPr>
          <w:rFonts w:ascii="Times New Roman" w:hAnsi="Times New Roman" w:cs="Times New Roman"/>
          <w:lang w:val="de-DE"/>
        </w:rPr>
        <w:t xml:space="preserve">, die die Idee der unendlichen Veränderungen in eine unveränderliche Substanz widersprüchlich findet, schreibt Jacobi, dass Spinoza α) die Schöpfung leugnet, β) das Bestimmte als ewige und nicht für-sich-seiende Modifikation des Göttlichen begreift und γ) trotzdem versucht, </w:t>
      </w:r>
      <w:r w:rsidRPr="00921BB8">
        <w:rPr>
          <w:rFonts w:ascii="Times New Roman" w:eastAsia="Times New Roman" w:hAnsi="Times New Roman" w:cs="Times New Roman"/>
          <w:color w:val="000000"/>
          <w:lang w:val="de-DE"/>
        </w:rPr>
        <w:t>„eine natürliche Erklärung des Daseyns endlicher und sukzessiver Dinge</w:t>
      </w:r>
      <w:r w:rsidRPr="00921BB8">
        <w:rPr>
          <w:rFonts w:ascii="Times New Roman" w:hAnsi="Times New Roman" w:cs="Times New Roman"/>
        </w:rPr>
        <w:t>”</w:t>
      </w:r>
      <w:r w:rsidRPr="00921BB8">
        <w:rPr>
          <w:rFonts w:ascii="Times New Roman" w:hAnsi="Times New Roman" w:cs="Times New Roman"/>
          <w:lang w:val="de-DE"/>
        </w:rPr>
        <w:t xml:space="preserve"> zu entwickeln. Dem Prinzip </w:t>
      </w:r>
      <w:r w:rsidRPr="00921BB8">
        <w:rPr>
          <w:rFonts w:ascii="Times New Roman" w:hAnsi="Times New Roman" w:cs="Times New Roman"/>
          <w:i/>
          <w:lang w:val="de-DE"/>
        </w:rPr>
        <w:t>a nihilo nihil fit</w:t>
      </w:r>
      <w:r w:rsidRPr="00921BB8">
        <w:rPr>
          <w:rFonts w:ascii="Times New Roman" w:hAnsi="Times New Roman" w:cs="Times New Roman"/>
          <w:lang w:val="de-DE"/>
        </w:rPr>
        <w:t xml:space="preserve"> zufolge werden die Modifikationen der Substanz aus dem „unendlichen Begriff Gottes“</w:t>
      </w:r>
      <w:r w:rsidRPr="00921BB8">
        <w:rPr>
          <w:rStyle w:val="Rimandonotaapidipagina"/>
          <w:rFonts w:ascii="Times New Roman" w:hAnsi="Times New Roman" w:cs="Times New Roman"/>
          <w:lang w:val="de-DE"/>
        </w:rPr>
        <w:footnoteReference w:id="990"/>
      </w:r>
      <w:r w:rsidRPr="00921BB8">
        <w:rPr>
          <w:rFonts w:ascii="Times New Roman" w:hAnsi="Times New Roman" w:cs="Times New Roman"/>
          <w:lang w:val="de-DE"/>
        </w:rPr>
        <w:t xml:space="preserve"> abgeleitet, der auf keinen Fall als Ursache seiner Veränderung betrachtet werden kann, denn die Ursache muss konkret wirken und die Wirkung muss durch etwas Konkretes hervorgebracht werden</w:t>
      </w:r>
      <w:r w:rsidRPr="00921BB8">
        <w:rPr>
          <w:rStyle w:val="Rimandonotaapidipagina"/>
          <w:rFonts w:ascii="Times New Roman" w:hAnsi="Times New Roman" w:cs="Times New Roman"/>
          <w:lang w:val="de-DE"/>
        </w:rPr>
        <w:footnoteReference w:id="991"/>
      </w:r>
      <w:r w:rsidRPr="00921BB8">
        <w:rPr>
          <w:rFonts w:ascii="Times New Roman" w:hAnsi="Times New Roman" w:cs="Times New Roman"/>
          <w:lang w:val="de-DE"/>
        </w:rPr>
        <w:t xml:space="preserve">. Wenn die Idee der </w:t>
      </w:r>
      <w:r w:rsidRPr="00921BB8">
        <w:rPr>
          <w:rFonts w:ascii="Times New Roman" w:hAnsi="Times New Roman" w:cs="Times New Roman"/>
          <w:i/>
          <w:lang w:val="de-DE"/>
        </w:rPr>
        <w:t xml:space="preserve">creatio ex nihilo </w:t>
      </w:r>
      <w:r w:rsidRPr="00921BB8">
        <w:rPr>
          <w:rFonts w:ascii="Times New Roman" w:hAnsi="Times New Roman" w:cs="Times New Roman"/>
          <w:lang w:val="de-DE"/>
        </w:rPr>
        <w:t>geleugnet wird, findet das Kausalitätsverhältnis nicht statt: der Begriff der einzigen Substanz, d</w:t>
      </w:r>
      <w:r w:rsidR="00B973DB" w:rsidRPr="00921BB8">
        <w:rPr>
          <w:rFonts w:ascii="Times New Roman" w:hAnsi="Times New Roman" w:cs="Times New Roman"/>
          <w:lang w:val="de-DE"/>
        </w:rPr>
        <w:t>ie</w:t>
      </w:r>
      <w:r w:rsidRPr="00921BB8">
        <w:rPr>
          <w:rFonts w:ascii="Times New Roman" w:hAnsi="Times New Roman" w:cs="Times New Roman"/>
          <w:lang w:val="de-DE"/>
        </w:rPr>
        <w:t xml:space="preserve"> „einzig und unheilbar</w:t>
      </w:r>
      <w:r w:rsidRPr="00921BB8">
        <w:rPr>
          <w:rFonts w:ascii="Times New Roman" w:hAnsi="Times New Roman" w:cs="Times New Roman"/>
        </w:rPr>
        <w:t>”</w:t>
      </w:r>
      <w:r w:rsidRPr="00921BB8">
        <w:rPr>
          <w:rFonts w:ascii="Times New Roman" w:hAnsi="Times New Roman" w:cs="Times New Roman"/>
          <w:lang w:val="de-DE"/>
        </w:rPr>
        <w:t xml:space="preserve"> ist, „muß auch, wie im Ganzen, so auch in jedem Theile sich befinden</w:t>
      </w:r>
      <w:r w:rsidRPr="00921BB8">
        <w:rPr>
          <w:rFonts w:ascii="Times New Roman" w:hAnsi="Times New Roman" w:cs="Times New Roman"/>
        </w:rPr>
        <w:t>”</w:t>
      </w:r>
      <w:r w:rsidRPr="00921BB8">
        <w:rPr>
          <w:rStyle w:val="Rimandonotaapidipagina"/>
          <w:rFonts w:ascii="Times New Roman" w:hAnsi="Times New Roman" w:cs="Times New Roman"/>
          <w:lang w:val="de-DE"/>
        </w:rPr>
        <w:footnoteReference w:id="992"/>
      </w:r>
      <w:r w:rsidRPr="00921BB8">
        <w:rPr>
          <w:rFonts w:ascii="Times New Roman" w:hAnsi="Times New Roman" w:cs="Times New Roman"/>
          <w:lang w:val="de-DE"/>
        </w:rPr>
        <w:t xml:space="preserve">. Um die substantielle Unteilbarkeit auf Kosten der ontischen Mannigfaltigkeit zu bewahren, leistet das Spinozistische Prinzip </w:t>
      </w:r>
      <w:r w:rsidRPr="00921BB8">
        <w:rPr>
          <w:rFonts w:ascii="Times New Roman" w:hAnsi="Times New Roman" w:cs="Times New Roman"/>
          <w:i/>
          <w:lang w:val="de-DE"/>
        </w:rPr>
        <w:t xml:space="preserve">determinatio est negatio </w:t>
      </w:r>
      <w:r w:rsidRPr="00921BB8">
        <w:rPr>
          <w:rFonts w:ascii="Times New Roman" w:hAnsi="Times New Roman" w:cs="Times New Roman"/>
          <w:lang w:val="de-DE"/>
        </w:rPr>
        <w:t>einen weiteren Stützpunkt: die ewige und unendliche Substanz ist unbeschränkt und unbestimmt; die Modi im Gegenteil sind wegen ihrer beschränkten und bestimmten Natur einfach nicht. Wenn die Modi auch wären, wären sie nicht für sich selbst, sondern in der unbestimmten Affirmation, oder im abstrakten Sein, der Substanz. Logische und ontologische Argumente verstärken sich gegenseitig und stimmen in Bezug auf die Auflösung des Endlichen und die unbestimmte Einheit der Substanz überein. Nihilismus und Atheismus sind daher die theoretischen Ergebnisse des rationalistischen Kabbalismus Spinozas.</w:t>
      </w:r>
    </w:p>
    <w:p w14:paraId="1EB6A6DD" w14:textId="7192F225" w:rsidR="001C3D81" w:rsidRPr="00921BB8" w:rsidRDefault="001C3D81" w:rsidP="001C3D81">
      <w:pPr>
        <w:spacing w:line="360" w:lineRule="auto"/>
        <w:ind w:firstLine="567"/>
        <w:jc w:val="both"/>
        <w:rPr>
          <w:rFonts w:ascii="Times New Roman" w:hAnsi="Times New Roman" w:cs="Times New Roman"/>
          <w:lang w:val="de-DE"/>
        </w:rPr>
      </w:pPr>
      <w:r w:rsidRPr="00921BB8">
        <w:rPr>
          <w:rFonts w:ascii="Times New Roman" w:hAnsi="Times New Roman" w:cs="Times New Roman"/>
          <w:lang w:val="de-DE"/>
        </w:rPr>
        <w:t xml:space="preserve">Bevor wir uns auf die Auswirkung der </w:t>
      </w:r>
      <w:r w:rsidRPr="00921BB8">
        <w:rPr>
          <w:rFonts w:ascii="Times New Roman" w:hAnsi="Times New Roman" w:cs="Times New Roman"/>
          <w:i/>
          <w:lang w:val="de-DE"/>
        </w:rPr>
        <w:t>Spinozabriefe</w:t>
      </w:r>
      <w:r w:rsidRPr="00921BB8">
        <w:rPr>
          <w:rFonts w:ascii="Times New Roman" w:hAnsi="Times New Roman" w:cs="Times New Roman"/>
          <w:lang w:val="de-DE"/>
        </w:rPr>
        <w:t xml:space="preserve"> auf die deutsche Historiographie des 19. Jahrhunderts konzentrieren, ist es nötig, einen Denker in Betracht zu ziehen, der einige Themen der </w:t>
      </w:r>
      <w:r w:rsidRPr="00921BB8">
        <w:rPr>
          <w:rFonts w:ascii="Times New Roman" w:hAnsi="Times New Roman" w:cs="Times New Roman"/>
          <w:i/>
          <w:lang w:val="de-DE"/>
        </w:rPr>
        <w:t xml:space="preserve">Spinozabreife </w:t>
      </w:r>
      <w:r w:rsidR="00716BC1" w:rsidRPr="00921BB8">
        <w:rPr>
          <w:rFonts w:ascii="Times New Roman" w:hAnsi="Times New Roman" w:cs="Times New Roman"/>
          <w:lang w:val="de-DE"/>
        </w:rPr>
        <w:t xml:space="preserve">originell </w:t>
      </w:r>
      <w:r w:rsidRPr="00921BB8">
        <w:rPr>
          <w:rFonts w:ascii="Times New Roman" w:hAnsi="Times New Roman" w:cs="Times New Roman"/>
          <w:lang w:val="de-DE"/>
        </w:rPr>
        <w:t>weiterentwickelt hat. Ich spreche von Salomon Maimon</w:t>
      </w:r>
      <w:r w:rsidRPr="00921BB8">
        <w:rPr>
          <w:rStyle w:val="Rimandonotaapidipagina"/>
          <w:rFonts w:ascii="Times New Roman" w:hAnsi="Times New Roman" w:cs="Times New Roman"/>
          <w:lang w:val="de-DE"/>
        </w:rPr>
        <w:footnoteReference w:id="993"/>
      </w:r>
      <w:r w:rsidRPr="00921BB8">
        <w:rPr>
          <w:rFonts w:ascii="Times New Roman" w:hAnsi="Times New Roman" w:cs="Times New Roman"/>
          <w:lang w:val="de-DE"/>
        </w:rPr>
        <w:t xml:space="preserve"> und seiner Schrift </w:t>
      </w:r>
      <w:r w:rsidRPr="00921BB8">
        <w:rPr>
          <w:rFonts w:ascii="Times New Roman" w:eastAsia="Times New Roman" w:hAnsi="Times New Roman" w:cs="Times New Roman"/>
          <w:i/>
          <w:iCs/>
          <w:color w:val="222222"/>
          <w:shd w:val="clear" w:color="auto" w:fill="FFFFFF"/>
          <w:lang w:val="de-DE"/>
        </w:rPr>
        <w:t xml:space="preserve">Salomon Maimons Lebensgeschichte </w:t>
      </w:r>
      <w:r w:rsidRPr="00921BB8">
        <w:rPr>
          <w:rFonts w:ascii="Times New Roman" w:eastAsia="Times New Roman" w:hAnsi="Times New Roman" w:cs="Times New Roman"/>
          <w:iCs/>
          <w:color w:val="222222"/>
          <w:shd w:val="clear" w:color="auto" w:fill="FFFFFF"/>
          <w:lang w:val="de-DE"/>
        </w:rPr>
        <w:t>(1792/93)</w:t>
      </w:r>
      <w:r w:rsidRPr="00921BB8">
        <w:rPr>
          <w:rStyle w:val="Rimandonotaapidipagina"/>
          <w:rFonts w:ascii="Times New Roman" w:eastAsia="Times New Roman" w:hAnsi="Times New Roman" w:cs="Times New Roman"/>
          <w:iCs/>
          <w:color w:val="222222"/>
          <w:shd w:val="clear" w:color="auto" w:fill="FFFFFF"/>
          <w:lang w:val="de-DE"/>
        </w:rPr>
        <w:footnoteReference w:id="994"/>
      </w:r>
      <w:r w:rsidRPr="00921BB8">
        <w:rPr>
          <w:rFonts w:ascii="Times New Roman" w:eastAsia="Times New Roman" w:hAnsi="Times New Roman" w:cs="Times New Roman"/>
          <w:iCs/>
          <w:color w:val="222222"/>
          <w:shd w:val="clear" w:color="auto" w:fill="FFFFFF"/>
          <w:lang w:val="de-DE"/>
        </w:rPr>
        <w:t xml:space="preserve">. In seiner Autobiografie beschreibt Maimon die wichtigsten Momente seines Lebens und seiner Ausbildung. Der Begegnung mit der Kabbala sind einige der bedeutendsten Seiten des vierzehnten und fünfzehnten Kapitels des ersten Bandes der </w:t>
      </w:r>
      <w:r w:rsidRPr="00921BB8">
        <w:rPr>
          <w:rFonts w:ascii="Times New Roman" w:eastAsia="Times New Roman" w:hAnsi="Times New Roman" w:cs="Times New Roman"/>
          <w:i/>
          <w:iCs/>
          <w:color w:val="222222"/>
          <w:shd w:val="clear" w:color="auto" w:fill="FFFFFF"/>
          <w:lang w:val="de-DE"/>
        </w:rPr>
        <w:t xml:space="preserve">Lebensgeschichte </w:t>
      </w:r>
      <w:r w:rsidRPr="00921BB8">
        <w:rPr>
          <w:rFonts w:ascii="Times New Roman" w:eastAsia="Times New Roman" w:hAnsi="Times New Roman" w:cs="Times New Roman"/>
          <w:iCs/>
          <w:color w:val="222222"/>
          <w:shd w:val="clear" w:color="auto" w:fill="FFFFFF"/>
          <w:lang w:val="de-DE"/>
        </w:rPr>
        <w:t xml:space="preserve">gewidmet. </w:t>
      </w:r>
      <w:r w:rsidRPr="00921BB8">
        <w:rPr>
          <w:rFonts w:ascii="Times New Roman" w:hAnsi="Times New Roman" w:cs="Times New Roman"/>
          <w:lang w:val="de-DE"/>
        </w:rPr>
        <w:t>Die Kabbala lehrt „die Geheimnisse der Natur in Fabeln und Allegorien eingehüllt</w:t>
      </w:r>
      <w:r w:rsidRPr="00921BB8">
        <w:rPr>
          <w:rFonts w:ascii="Times New Roman" w:hAnsi="Times New Roman" w:cs="Times New Roman"/>
        </w:rPr>
        <w:t>”</w:t>
      </w:r>
      <w:r w:rsidRPr="00921BB8">
        <w:rPr>
          <w:rStyle w:val="Rimandonotaapidipagina"/>
          <w:rFonts w:ascii="Times New Roman" w:hAnsi="Times New Roman" w:cs="Times New Roman"/>
          <w:lang w:val="de-DE"/>
        </w:rPr>
        <w:footnoteReference w:id="995"/>
      </w:r>
      <w:r w:rsidRPr="00921BB8">
        <w:rPr>
          <w:rFonts w:ascii="Times New Roman" w:hAnsi="Times New Roman" w:cs="Times New Roman"/>
          <w:lang w:val="de-DE"/>
        </w:rPr>
        <w:t>. Jenseits der „literarischen Erkenntniß</w:t>
      </w:r>
      <w:r w:rsidRPr="00921BB8">
        <w:rPr>
          <w:rFonts w:ascii="Times New Roman" w:hAnsi="Times New Roman" w:cs="Times New Roman"/>
        </w:rPr>
        <w:t>”</w:t>
      </w:r>
      <w:r w:rsidRPr="00921BB8">
        <w:rPr>
          <w:rFonts w:ascii="Times New Roman" w:hAnsi="Times New Roman" w:cs="Times New Roman"/>
          <w:lang w:val="de-DE"/>
        </w:rPr>
        <w:t xml:space="preserve"> der kabbalistischen Allegorien und Fabeln ist es möglich, dieselben Inhalte „zu einer Vernunfterkenntniß</w:t>
      </w:r>
      <w:r w:rsidRPr="00921BB8">
        <w:rPr>
          <w:rFonts w:ascii="Times New Roman" w:hAnsi="Times New Roman" w:cs="Times New Roman"/>
        </w:rPr>
        <w:t>”</w:t>
      </w:r>
      <w:r w:rsidRPr="00921BB8">
        <w:rPr>
          <w:rStyle w:val="Rimandonotaapidipagina"/>
          <w:rFonts w:ascii="Times New Roman" w:hAnsi="Times New Roman" w:cs="Times New Roman"/>
          <w:lang w:val="de-DE"/>
        </w:rPr>
        <w:footnoteReference w:id="996"/>
      </w:r>
      <w:r w:rsidRPr="00921BB8">
        <w:rPr>
          <w:rFonts w:ascii="Times New Roman" w:hAnsi="Times New Roman" w:cs="Times New Roman"/>
          <w:lang w:val="de-DE"/>
        </w:rPr>
        <w:t xml:space="preserve"> zu erheben. Als Beispiel dafür erinnert Maimon an die Schöpfungslehre Isaak Lurias:</w:t>
      </w:r>
    </w:p>
    <w:p w14:paraId="602C2827" w14:textId="77777777" w:rsidR="001C3D81" w:rsidRPr="00921BB8" w:rsidRDefault="001C3D81" w:rsidP="001C3D81">
      <w:pPr>
        <w:spacing w:line="360" w:lineRule="auto"/>
        <w:ind w:left="567" w:firstLine="567"/>
        <w:jc w:val="both"/>
        <w:rPr>
          <w:rFonts w:ascii="Times New Roman" w:hAnsi="Times New Roman" w:cs="Times New Roman"/>
        </w:rPr>
      </w:pPr>
    </w:p>
    <w:p w14:paraId="190D3F08" w14:textId="77777777" w:rsidR="001C3D81" w:rsidRPr="00921BB8" w:rsidRDefault="001C3D81" w:rsidP="001C3D81">
      <w:pPr>
        <w:spacing w:line="360" w:lineRule="auto"/>
        <w:ind w:left="567"/>
        <w:jc w:val="both"/>
        <w:rPr>
          <w:rFonts w:ascii="Times New Roman" w:hAnsi="Times New Roman" w:cs="Times New Roman"/>
          <w:sz w:val="20"/>
          <w:szCs w:val="20"/>
        </w:rPr>
      </w:pPr>
      <w:r w:rsidRPr="00921BB8">
        <w:rPr>
          <w:rFonts w:ascii="Times New Roman" w:eastAsia="Times New Roman" w:hAnsi="Times New Roman" w:cs="Times New Roman"/>
          <w:iCs/>
          <w:color w:val="222222"/>
          <w:sz w:val="20"/>
          <w:szCs w:val="20"/>
          <w:shd w:val="clear" w:color="auto" w:fill="FFFFFF"/>
          <w:lang w:val="de-DE"/>
        </w:rPr>
        <w:t>Sondern ich suchte mir dieses alles auf folgende Art zu erklären: Gott ist nicht der Zeit nach, sondern seinem nothwendigen Wesen nach, als Bedingung der Welt, eher als dieselbe. Alle Dinge außer Gott mußten, sowohl ihrem Wesen, als ihrer Existenz nach, von ihm als ihrer Ursache abhängen. Die Erschaffung der Welt konnte also nicht als eine Hervorbringung aus nichts, auch nicht als eine Bildung eines, von ihm Unabhängigen, sondern nur als eine Hervorbringung aus sich selbst gedacht werden</w:t>
      </w:r>
      <w:r w:rsidRPr="00921BB8">
        <w:rPr>
          <w:rStyle w:val="Rimandonotaapidipagina"/>
          <w:rFonts w:ascii="Times New Roman" w:eastAsia="Times New Roman" w:hAnsi="Times New Roman" w:cs="Times New Roman"/>
          <w:iCs/>
          <w:color w:val="222222"/>
          <w:sz w:val="20"/>
          <w:szCs w:val="20"/>
          <w:shd w:val="clear" w:color="auto" w:fill="FFFFFF"/>
          <w:lang w:val="de-DE"/>
        </w:rPr>
        <w:footnoteReference w:id="997"/>
      </w:r>
      <w:r w:rsidRPr="00921BB8">
        <w:rPr>
          <w:rFonts w:ascii="Times New Roman" w:hAnsi="Times New Roman" w:cs="Times New Roman"/>
          <w:sz w:val="20"/>
          <w:szCs w:val="20"/>
        </w:rPr>
        <w:t>.</w:t>
      </w:r>
    </w:p>
    <w:p w14:paraId="2C37C7BC" w14:textId="77777777" w:rsidR="001C3D81" w:rsidRPr="00921BB8" w:rsidRDefault="001C3D81" w:rsidP="001C3D81">
      <w:pPr>
        <w:spacing w:line="360" w:lineRule="auto"/>
        <w:ind w:firstLine="567"/>
        <w:jc w:val="both"/>
        <w:rPr>
          <w:rFonts w:ascii="Times New Roman" w:hAnsi="Times New Roman" w:cs="Times New Roman"/>
          <w:sz w:val="20"/>
          <w:szCs w:val="20"/>
        </w:rPr>
      </w:pPr>
    </w:p>
    <w:p w14:paraId="72F6491E" w14:textId="1C08A7AA" w:rsidR="001C3D81" w:rsidRPr="00921BB8" w:rsidRDefault="001C3D81" w:rsidP="001C3D81">
      <w:pPr>
        <w:spacing w:line="360" w:lineRule="auto"/>
        <w:ind w:firstLine="567"/>
        <w:jc w:val="both"/>
        <w:rPr>
          <w:rFonts w:ascii="Times New Roman" w:hAnsi="Times New Roman" w:cs="Times New Roman"/>
          <w:lang w:val="de-DE"/>
        </w:rPr>
      </w:pPr>
      <w:r w:rsidRPr="00921BB8">
        <w:rPr>
          <w:rFonts w:ascii="Times New Roman" w:eastAsia="Times New Roman" w:hAnsi="Times New Roman" w:cs="Times New Roman"/>
          <w:iCs/>
          <w:color w:val="222222"/>
          <w:shd w:val="clear" w:color="auto" w:fill="FFFFFF"/>
          <w:lang w:val="de-DE"/>
        </w:rPr>
        <w:t xml:space="preserve">Im Gegensatz zu den Kabbalisten, die sich an der wörtlichen Bedeutung der Lehre Lurias (insbesondere des </w:t>
      </w:r>
      <w:r w:rsidRPr="00921BB8">
        <w:rPr>
          <w:rFonts w:ascii="Times New Roman" w:eastAsia="Times New Roman" w:hAnsi="Times New Roman" w:cs="Times New Roman"/>
          <w:i/>
          <w:iCs/>
          <w:color w:val="222222"/>
          <w:shd w:val="clear" w:color="auto" w:fill="FFFFFF"/>
          <w:lang w:val="de-DE"/>
        </w:rPr>
        <w:t>Tzimtzums</w:t>
      </w:r>
      <w:r w:rsidRPr="00921BB8">
        <w:rPr>
          <w:rFonts w:ascii="Times New Roman" w:eastAsia="Times New Roman" w:hAnsi="Times New Roman" w:cs="Times New Roman"/>
          <w:iCs/>
          <w:color w:val="222222"/>
          <w:shd w:val="clear" w:color="auto" w:fill="FFFFFF"/>
          <w:lang w:val="de-DE"/>
        </w:rPr>
        <w:t>) festhalten, stellt Maimon fest, dass es nicht möglich ist, sich auf die gewöhnliche Bedeutung seiner Worte zu beschränken</w:t>
      </w:r>
      <w:r w:rsidR="00716BC1" w:rsidRPr="00921BB8">
        <w:rPr>
          <w:rFonts w:ascii="Times New Roman" w:eastAsia="Times New Roman" w:hAnsi="Times New Roman" w:cs="Times New Roman"/>
          <w:iCs/>
          <w:color w:val="222222"/>
          <w:shd w:val="clear" w:color="auto" w:fill="FFFFFF"/>
          <w:lang w:val="de-DE"/>
        </w:rPr>
        <w:t>, die die Vernünftigkeit s</w:t>
      </w:r>
      <w:r w:rsidRPr="00921BB8">
        <w:rPr>
          <w:rFonts w:ascii="Times New Roman" w:eastAsia="Times New Roman" w:hAnsi="Times New Roman" w:cs="Times New Roman"/>
          <w:iCs/>
          <w:color w:val="222222"/>
          <w:shd w:val="clear" w:color="auto" w:fill="FFFFFF"/>
          <w:lang w:val="de-DE"/>
        </w:rPr>
        <w:t>e</w:t>
      </w:r>
      <w:r w:rsidR="00716BC1" w:rsidRPr="00921BB8">
        <w:rPr>
          <w:rFonts w:ascii="Times New Roman" w:eastAsia="Times New Roman" w:hAnsi="Times New Roman" w:cs="Times New Roman"/>
          <w:iCs/>
          <w:color w:val="222222"/>
          <w:shd w:val="clear" w:color="auto" w:fill="FFFFFF"/>
          <w:lang w:val="de-DE"/>
        </w:rPr>
        <w:t>ine</w:t>
      </w:r>
      <w:r w:rsidRPr="00921BB8">
        <w:rPr>
          <w:rFonts w:ascii="Times New Roman" w:eastAsia="Times New Roman" w:hAnsi="Times New Roman" w:cs="Times New Roman"/>
          <w:iCs/>
          <w:color w:val="222222"/>
          <w:shd w:val="clear" w:color="auto" w:fill="FFFFFF"/>
          <w:lang w:val="de-DE"/>
        </w:rPr>
        <w:t xml:space="preserve">r Lehre verdecken. Wenn dieser theoretische Schritt nicht unternommen würde, könnten Inhalte als wahr angenommen werden, die nicht wahr sind. </w:t>
      </w:r>
      <w:r w:rsidRPr="00921BB8">
        <w:rPr>
          <w:rFonts w:ascii="Times New Roman" w:hAnsi="Times New Roman" w:cs="Times New Roman"/>
          <w:lang w:val="de-DE"/>
        </w:rPr>
        <w:t xml:space="preserve">Eine Schöpfung aus dem Nichts würde eine Veränderung in etwas einführen, das unveränderlich ist. Ebensowenig ist die Bildung einer von Gott </w:t>
      </w:r>
      <w:r w:rsidRPr="00921BB8">
        <w:rPr>
          <w:rFonts w:ascii="Times New Roman" w:eastAsia="Times New Roman" w:hAnsi="Times New Roman" w:cs="Times New Roman"/>
          <w:iCs/>
          <w:color w:val="222222"/>
          <w:shd w:val="clear" w:color="auto" w:fill="FFFFFF"/>
          <w:lang w:val="de-DE"/>
        </w:rPr>
        <w:t xml:space="preserve">unabhängigen </w:t>
      </w:r>
      <w:r w:rsidRPr="00921BB8">
        <w:rPr>
          <w:rFonts w:ascii="Times New Roman" w:hAnsi="Times New Roman" w:cs="Times New Roman"/>
          <w:lang w:val="de-DE"/>
        </w:rPr>
        <w:t xml:space="preserve">Welt denkbar, denn dies würde das Für-sich-sein der Welt (ihre Unabhängigkeit von Gott) nicht erklären. Die Schöpfung ist eine Dynamik, die nicht außerhalb, sondern innerhalb der Gottheit stattfindet: alles, was ist, hängt sowohl in seinem Wesen, als auch in seiner Existenz, von Gott ab. Maimon benutzt eine Spinozistische Terminologie, um Lurias Theorie des </w:t>
      </w:r>
      <w:r w:rsidRPr="00921BB8">
        <w:rPr>
          <w:rFonts w:ascii="Times New Roman" w:hAnsi="Times New Roman" w:cs="Times New Roman"/>
          <w:i/>
          <w:lang w:val="de-DE"/>
        </w:rPr>
        <w:t xml:space="preserve">Tzimtzum </w:t>
      </w:r>
      <w:r w:rsidRPr="00921BB8">
        <w:rPr>
          <w:rFonts w:ascii="Times New Roman" w:hAnsi="Times New Roman" w:cs="Times New Roman"/>
          <w:lang w:val="de-DE"/>
        </w:rPr>
        <w:t>verständlich zu machen: die Versagung der Schöpfung aus dem Nichts, die Definition Gottes als notwendiges Wesen und die ideelle und reelle</w:t>
      </w:r>
      <w:r w:rsidRPr="00921BB8">
        <w:rPr>
          <w:rFonts w:ascii="Times New Roman" w:hAnsi="Times New Roman" w:cs="Times New Roman"/>
          <w:i/>
          <w:lang w:val="de-DE"/>
        </w:rPr>
        <w:t xml:space="preserve"> </w:t>
      </w:r>
      <w:r w:rsidRPr="00921BB8">
        <w:rPr>
          <w:rFonts w:ascii="Times New Roman" w:hAnsi="Times New Roman" w:cs="Times New Roman"/>
          <w:lang w:val="de-DE"/>
        </w:rPr>
        <w:t xml:space="preserve">Abhängigkeit aller Dinge von Gott sind Begriffe, die sich in der </w:t>
      </w:r>
      <w:r w:rsidRPr="00921BB8">
        <w:rPr>
          <w:rFonts w:ascii="Times New Roman" w:hAnsi="Times New Roman" w:cs="Times New Roman"/>
          <w:i/>
          <w:lang w:val="de-DE"/>
        </w:rPr>
        <w:t xml:space="preserve">Ethik </w:t>
      </w:r>
      <w:r w:rsidRPr="00921BB8">
        <w:rPr>
          <w:rFonts w:ascii="Times New Roman" w:hAnsi="Times New Roman" w:cs="Times New Roman"/>
          <w:lang w:val="de-DE"/>
        </w:rPr>
        <w:t>Spinozas finden lassen. Wenn diese Bemerkungen nicht ausreichend wären, würde es genügen, Maimons Argumentation weiter zu folgen. In einer überraschenden Passage seiner Autobiographie vergleicht Maimon die kabbalistische Philosophiemit mit dem Spinozismus:</w:t>
      </w:r>
    </w:p>
    <w:p w14:paraId="6D5FEB39" w14:textId="77777777" w:rsidR="001C3D81" w:rsidRPr="00921BB8" w:rsidRDefault="001C3D81" w:rsidP="001C3D81">
      <w:pPr>
        <w:spacing w:line="360" w:lineRule="auto"/>
        <w:jc w:val="both"/>
        <w:rPr>
          <w:rFonts w:ascii="Times New Roman" w:hAnsi="Times New Roman" w:cs="Times New Roman"/>
        </w:rPr>
      </w:pPr>
    </w:p>
    <w:p w14:paraId="13CFD622" w14:textId="77777777" w:rsidR="001C3D81" w:rsidRPr="00921BB8" w:rsidRDefault="001C3D81" w:rsidP="001C3D81">
      <w:pPr>
        <w:spacing w:line="360" w:lineRule="auto"/>
        <w:ind w:left="567"/>
        <w:jc w:val="both"/>
        <w:rPr>
          <w:rFonts w:ascii="Times New Roman" w:eastAsia="Times New Roman" w:hAnsi="Times New Roman" w:cs="Times New Roman"/>
          <w:iCs/>
          <w:color w:val="222222"/>
          <w:sz w:val="20"/>
          <w:szCs w:val="20"/>
          <w:shd w:val="clear" w:color="auto" w:fill="FFFFFF"/>
          <w:lang w:val="de-DE"/>
        </w:rPr>
      </w:pPr>
      <w:r w:rsidRPr="00921BB8">
        <w:rPr>
          <w:rFonts w:ascii="Times New Roman" w:eastAsia="Times New Roman" w:hAnsi="Times New Roman" w:cs="Times New Roman"/>
          <w:color w:val="000000"/>
          <w:sz w:val="20"/>
          <w:szCs w:val="20"/>
          <w:shd w:val="clear" w:color="auto" w:fill="FFFFFF"/>
          <w:lang w:val="de-DE"/>
        </w:rPr>
        <w:t>In der Tat ist die Kabbala nichts anderes als erweiterter Spinozismus, worin nicht nur die Entstehung der Welt aus der Einschränkung des göttlichen Wesens überhaupt erklärt, sondern auch die Entstehung einer jeden Art von Wesen und ihr Verhältnis zu allen übrigen aus einer besonderen Eigenschaft Gottes hergeleitet wird. Gott als das letzte Subjekt und die letzte Ursache aller Wesen heißt En-ßof (das Unendliche, wovon an sich betrachtet nichts prädiziert werden kann). In Beziehung auf die unendlichen Wesen aber werden ihm positive Eigenschaften beigelegt, diese werden von den Kabbalisten auf zehn reduziert, welche die zehn Sephirot genannt werden</w:t>
      </w:r>
      <w:r w:rsidRPr="00921BB8">
        <w:rPr>
          <w:rStyle w:val="Rimandonotaapidipagina"/>
          <w:rFonts w:ascii="Times New Roman" w:eastAsia="Times New Roman" w:hAnsi="Times New Roman" w:cs="Times New Roman"/>
          <w:iCs/>
          <w:color w:val="222222"/>
          <w:sz w:val="20"/>
          <w:szCs w:val="20"/>
          <w:shd w:val="clear" w:color="auto" w:fill="FFFFFF"/>
          <w:lang w:val="de-DE"/>
        </w:rPr>
        <w:footnoteReference w:id="998"/>
      </w:r>
      <w:r w:rsidRPr="00921BB8">
        <w:rPr>
          <w:rFonts w:ascii="Times New Roman" w:eastAsia="Times New Roman" w:hAnsi="Times New Roman" w:cs="Times New Roman"/>
          <w:iCs/>
          <w:color w:val="222222"/>
          <w:sz w:val="20"/>
          <w:szCs w:val="20"/>
          <w:shd w:val="clear" w:color="auto" w:fill="FFFFFF"/>
          <w:lang w:val="de-DE"/>
        </w:rPr>
        <w:t>.</w:t>
      </w:r>
    </w:p>
    <w:p w14:paraId="27568389" w14:textId="77777777" w:rsidR="001C3D81" w:rsidRPr="00921BB8" w:rsidRDefault="001C3D81" w:rsidP="001C3D81">
      <w:pPr>
        <w:spacing w:line="360" w:lineRule="auto"/>
        <w:ind w:firstLine="567"/>
        <w:jc w:val="both"/>
        <w:rPr>
          <w:rFonts w:ascii="Times New Roman" w:hAnsi="Times New Roman" w:cs="Times New Roman"/>
        </w:rPr>
      </w:pPr>
    </w:p>
    <w:p w14:paraId="3D00E68D" w14:textId="79270D91" w:rsidR="001C3D81" w:rsidRPr="00921BB8" w:rsidRDefault="001C3D81" w:rsidP="001C3D81">
      <w:pPr>
        <w:spacing w:line="360" w:lineRule="auto"/>
        <w:ind w:firstLine="567"/>
        <w:jc w:val="both"/>
        <w:rPr>
          <w:rFonts w:ascii="Times New Roman" w:hAnsi="Times New Roman" w:cs="Times New Roman"/>
          <w:lang w:val="de-DE"/>
        </w:rPr>
      </w:pPr>
      <w:r w:rsidRPr="003F613C">
        <w:rPr>
          <w:rFonts w:ascii="Times New Roman" w:hAnsi="Times New Roman" w:cs="Times New Roman"/>
          <w:lang w:val="de-DE"/>
        </w:rPr>
        <w:t>In Übereinstimmung mit Spinoza sieht die Kabbala das unendliche Wesen als das letzte Subjekt (</w:t>
      </w:r>
      <w:r w:rsidRPr="003F613C">
        <w:rPr>
          <w:rFonts w:ascii="Times New Roman" w:hAnsi="Times New Roman" w:cs="Times New Roman"/>
          <w:i/>
          <w:lang w:val="de-DE"/>
        </w:rPr>
        <w:t>res cogitans</w:t>
      </w:r>
      <w:r w:rsidRPr="003F613C">
        <w:rPr>
          <w:rFonts w:ascii="Times New Roman" w:hAnsi="Times New Roman" w:cs="Times New Roman"/>
          <w:lang w:val="de-DE"/>
        </w:rPr>
        <w:t>) und die letzte Ursache (</w:t>
      </w:r>
      <w:r w:rsidRPr="003F613C">
        <w:rPr>
          <w:rFonts w:ascii="Times New Roman" w:hAnsi="Times New Roman" w:cs="Times New Roman"/>
          <w:i/>
          <w:lang w:val="de-DE"/>
        </w:rPr>
        <w:t>res extensa</w:t>
      </w:r>
      <w:r w:rsidRPr="003F613C">
        <w:rPr>
          <w:rFonts w:ascii="Times New Roman" w:hAnsi="Times New Roman" w:cs="Times New Roman"/>
          <w:lang w:val="de-DE"/>
        </w:rPr>
        <w:t xml:space="preserve">) aller Dinge an. </w:t>
      </w:r>
      <w:r w:rsidR="004A2270" w:rsidRPr="003F613C">
        <w:rPr>
          <w:rFonts w:ascii="Times New Roman" w:hAnsi="Times New Roman" w:cs="Times New Roman"/>
          <w:lang w:val="de-DE"/>
        </w:rPr>
        <w:t xml:space="preserve">Außerdem </w:t>
      </w:r>
      <w:r w:rsidRPr="003F613C">
        <w:rPr>
          <w:rFonts w:ascii="Times New Roman" w:hAnsi="Times New Roman" w:cs="Times New Roman"/>
          <w:lang w:val="de-DE"/>
        </w:rPr>
        <w:t>manifestiert das unendliche Wesen sich durch positive Eigenschaften (die Sefiroth</w:t>
      </w:r>
      <w:r w:rsidRPr="00921BB8">
        <w:rPr>
          <w:rFonts w:ascii="Times New Roman" w:hAnsi="Times New Roman" w:cs="Times New Roman"/>
          <w:lang w:val="de-DE"/>
        </w:rPr>
        <w:t xml:space="preserve"> als Vorwegnahme der Spinozistischen Theorie der Attribute). Kabbala und Spinozismus entsagen der </w:t>
      </w:r>
      <w:r w:rsidRPr="00921BB8">
        <w:rPr>
          <w:rFonts w:ascii="Times New Roman" w:hAnsi="Times New Roman" w:cs="Times New Roman"/>
          <w:i/>
          <w:lang w:val="de-DE"/>
        </w:rPr>
        <w:t xml:space="preserve">creatio ex nihilo </w:t>
      </w:r>
      <w:r w:rsidRPr="00921BB8">
        <w:rPr>
          <w:rFonts w:ascii="Times New Roman" w:hAnsi="Times New Roman" w:cs="Times New Roman"/>
          <w:lang w:val="de-DE"/>
        </w:rPr>
        <w:t xml:space="preserve">und behaupten, dass alles, was ist, aus der Einschränkung des göttlichen Wesens abgeleitet werden kann. Im fünfzehnten Kapitel des ersten Bandes der </w:t>
      </w:r>
      <w:r w:rsidRPr="00921BB8">
        <w:rPr>
          <w:rFonts w:ascii="Times New Roman" w:hAnsi="Times New Roman" w:cs="Times New Roman"/>
          <w:i/>
          <w:lang w:val="de-DE"/>
        </w:rPr>
        <w:t xml:space="preserve">Lebensgeschichte </w:t>
      </w:r>
      <w:r w:rsidRPr="00921BB8">
        <w:rPr>
          <w:rFonts w:ascii="Times New Roman" w:hAnsi="Times New Roman" w:cs="Times New Roman"/>
          <w:lang w:val="de-DE"/>
        </w:rPr>
        <w:t xml:space="preserve">betont Maimon noch deutlicher die theoretische Kontiguität zwischen kabbalistischer und Spinozistischer Philosophie: </w:t>
      </w:r>
    </w:p>
    <w:p w14:paraId="66998982" w14:textId="77777777" w:rsidR="001C3D81" w:rsidRPr="00921BB8" w:rsidRDefault="001C3D81" w:rsidP="001C3D81">
      <w:pPr>
        <w:spacing w:line="360" w:lineRule="auto"/>
        <w:ind w:firstLine="567"/>
        <w:jc w:val="both"/>
        <w:rPr>
          <w:rFonts w:ascii="Times New Roman" w:hAnsi="Times New Roman" w:cs="Times New Roman"/>
        </w:rPr>
      </w:pPr>
    </w:p>
    <w:p w14:paraId="2B3D3BB6" w14:textId="5EE1BC67" w:rsidR="001C3D81" w:rsidRPr="00921BB8" w:rsidRDefault="001C3D81" w:rsidP="001C3D81">
      <w:pPr>
        <w:spacing w:line="360" w:lineRule="auto"/>
        <w:ind w:left="567"/>
        <w:jc w:val="both"/>
        <w:rPr>
          <w:rFonts w:ascii="Times New Roman" w:hAnsi="Times New Roman" w:cs="Times New Roman"/>
          <w:sz w:val="20"/>
          <w:szCs w:val="20"/>
        </w:rPr>
      </w:pPr>
      <w:r w:rsidRPr="00921BB8">
        <w:rPr>
          <w:rFonts w:ascii="Times New Roman" w:hAnsi="Times New Roman" w:cs="Times New Roman"/>
          <w:sz w:val="20"/>
          <w:szCs w:val="20"/>
          <w:lang w:val="de-DE"/>
        </w:rPr>
        <w:t>Das atheistische System der Theologie, wenn man es so nennen darf, verwirft den Gebrauch des Begriffs von einer ersten Ursache ganz und gar (da er dem kritischen System zufolge zum wenigsten, als eine nothwendi</w:t>
      </w:r>
      <w:r w:rsidR="00B53540">
        <w:rPr>
          <w:rFonts w:ascii="Times New Roman" w:hAnsi="Times New Roman" w:cs="Times New Roman"/>
          <w:sz w:val="20"/>
          <w:szCs w:val="20"/>
          <w:lang w:val="de-DE"/>
        </w:rPr>
        <w:t>ge Vernunftidee, von regulativem</w:t>
      </w:r>
      <w:r w:rsidRPr="00921BB8">
        <w:rPr>
          <w:rFonts w:ascii="Times New Roman" w:hAnsi="Times New Roman" w:cs="Times New Roman"/>
          <w:sz w:val="20"/>
          <w:szCs w:val="20"/>
          <w:lang w:val="de-DE"/>
        </w:rPr>
        <w:t xml:space="preserve"> Gebrauch ist) […] Das Spinozistische System hingegen supponiert eine und eben dieselbe Substanz als unmittelbare Ursache aller verschiedenen Wirkungen, die als Prädikate eines und eben desselben Subjekts betrachtet werden müssen</w:t>
      </w:r>
      <w:r w:rsidRPr="00921BB8">
        <w:rPr>
          <w:rStyle w:val="Rimandonotaapidipagina"/>
          <w:rFonts w:ascii="Times New Roman" w:hAnsi="Times New Roman" w:cs="Times New Roman"/>
          <w:sz w:val="20"/>
          <w:szCs w:val="20"/>
          <w:lang w:val="de-DE"/>
        </w:rPr>
        <w:footnoteReference w:id="999"/>
      </w:r>
      <w:r w:rsidRPr="00921BB8">
        <w:rPr>
          <w:rFonts w:ascii="Times New Roman" w:hAnsi="Times New Roman" w:cs="Times New Roman"/>
          <w:sz w:val="20"/>
          <w:szCs w:val="20"/>
        </w:rPr>
        <w:t>.</w:t>
      </w:r>
    </w:p>
    <w:p w14:paraId="672875C7" w14:textId="77777777" w:rsidR="001C3D81" w:rsidRPr="00921BB8" w:rsidRDefault="001C3D81" w:rsidP="001C3D81">
      <w:pPr>
        <w:spacing w:line="360" w:lineRule="auto"/>
        <w:jc w:val="both"/>
        <w:rPr>
          <w:rFonts w:ascii="Times New Roman" w:eastAsia="Times New Roman" w:hAnsi="Times New Roman" w:cs="Times New Roman"/>
          <w:iCs/>
          <w:color w:val="222222"/>
          <w:shd w:val="clear" w:color="auto" w:fill="FFFFFF"/>
          <w:lang w:val="de-DE"/>
        </w:rPr>
      </w:pPr>
    </w:p>
    <w:p w14:paraId="163B4A22" w14:textId="77777777" w:rsidR="001C3D81" w:rsidRPr="00921BB8" w:rsidRDefault="001C3D81" w:rsidP="001C3D81">
      <w:pPr>
        <w:spacing w:line="360" w:lineRule="auto"/>
        <w:ind w:firstLine="567"/>
        <w:jc w:val="both"/>
        <w:rPr>
          <w:rFonts w:ascii="Times New Roman" w:hAnsi="Times New Roman" w:cs="Times New Roman"/>
          <w:lang w:val="de-DE"/>
        </w:rPr>
      </w:pPr>
      <w:r w:rsidRPr="00921BB8">
        <w:rPr>
          <w:rFonts w:ascii="Times New Roman" w:eastAsia="Times New Roman" w:hAnsi="Times New Roman" w:cs="Times New Roman"/>
          <w:iCs/>
          <w:color w:val="222222"/>
          <w:shd w:val="clear" w:color="auto" w:fill="FFFFFF"/>
          <w:lang w:val="de-DE"/>
        </w:rPr>
        <w:t>Im Gegensatz zum Atheismus, der den Begriff einer ersten Ursache verwift, und zum Kritizismus, der dieselben Begriff als regulative Idee der Vernunft annimmt, leitet der Spinozismus eine einzige Ursache ab, aus der sich mannigfaltige Wirkungen ergeben, und ein einziges Subjekt, dem dieselben Wirkungen als Prädikate inhärent sind</w:t>
      </w:r>
      <w:r w:rsidRPr="00921BB8">
        <w:rPr>
          <w:rFonts w:ascii="Times New Roman" w:hAnsi="Times New Roman" w:cs="Times New Roman"/>
          <w:lang w:val="de-DE"/>
        </w:rPr>
        <w:t xml:space="preserve">. Diese zwei Bestimmungen sind bereits in der Definition des kabbalistischen En-sophs, des letzten Subjekts und der letzten Ursache aller Dinge angewendet worden. Jenseits einiger formeller und inhaltlicher Unterschiede behaupten die kabbalistische und Spinozistische Ontologie die Einheit des Ganzen aufgrund des notwendigen Daseins Gottes: </w:t>
      </w:r>
    </w:p>
    <w:p w14:paraId="7B97B0F9" w14:textId="77777777" w:rsidR="001C3D81" w:rsidRPr="00921BB8" w:rsidRDefault="001C3D81" w:rsidP="001C3D81">
      <w:pPr>
        <w:spacing w:line="360" w:lineRule="auto"/>
        <w:ind w:left="567" w:firstLine="567"/>
        <w:jc w:val="both"/>
        <w:rPr>
          <w:rFonts w:ascii="Times New Roman" w:hAnsi="Times New Roman" w:cs="Times New Roman"/>
        </w:rPr>
      </w:pPr>
    </w:p>
    <w:p w14:paraId="056D2A42" w14:textId="77777777" w:rsidR="001C3D81" w:rsidRPr="00921BB8" w:rsidRDefault="001C3D81" w:rsidP="001C3D81">
      <w:pPr>
        <w:spacing w:line="360" w:lineRule="auto"/>
        <w:ind w:left="567"/>
        <w:jc w:val="both"/>
        <w:rPr>
          <w:rFonts w:ascii="Times New Roman" w:eastAsia="Times New Roman" w:hAnsi="Times New Roman" w:cs="Times New Roman"/>
          <w:iCs/>
          <w:color w:val="222222"/>
          <w:sz w:val="20"/>
          <w:szCs w:val="20"/>
          <w:shd w:val="clear" w:color="auto" w:fill="FFFFFF"/>
          <w:lang w:val="de-DE"/>
        </w:rPr>
      </w:pPr>
      <w:r w:rsidRPr="00921BB8">
        <w:rPr>
          <w:rFonts w:ascii="Times New Roman" w:eastAsia="Times New Roman" w:hAnsi="Times New Roman" w:cs="Times New Roman"/>
          <w:iCs/>
          <w:color w:val="222222"/>
          <w:sz w:val="20"/>
          <w:szCs w:val="20"/>
          <w:shd w:val="clear" w:color="auto" w:fill="FFFFFF"/>
          <w:lang w:val="de-DE"/>
        </w:rPr>
        <w:t>In diesem System ist die Einheit reel; das Mannigfaltige aber bloß idealistisch. In dem atheistischen System hingegen ist es gerade umgekehrt. Das Mannigfaltige ist reel, in der Natur der Dinge selbst gegr</w:t>
      </w:r>
      <w:r w:rsidRPr="00921BB8">
        <w:rPr>
          <w:rFonts w:ascii="Times New Roman" w:hAnsi="Times New Roman" w:cs="Times New Roman"/>
          <w:sz w:val="20"/>
          <w:szCs w:val="20"/>
          <w:lang w:val="de-DE"/>
        </w:rPr>
        <w:t xml:space="preserve">ündet. Die Einheit hingegen die man in der Ordnung und Gesetzmäßigkeit der Natur bemerkt, ist diesem zufolge bloß zufällig, wodurch wir unser willkürliches System zum Behuf der Erkenntniß, zu bestimmten pflege. </w:t>
      </w:r>
      <w:r w:rsidRPr="00921BB8">
        <w:rPr>
          <w:rFonts w:ascii="Times New Roman" w:eastAsia="Times New Roman" w:hAnsi="Times New Roman" w:cs="Times New Roman"/>
          <w:iCs/>
          <w:color w:val="222222"/>
          <w:sz w:val="20"/>
          <w:szCs w:val="20"/>
          <w:shd w:val="clear" w:color="auto" w:fill="FFFFFF"/>
          <w:lang w:val="de-DE"/>
        </w:rPr>
        <w:t>Es ist unbegreiflich, wie man das spinozistische System zum atheistischen machen können? da sie doch einander gerade entgegengesetzt sind. In diesem wird das Dasein Gottes, in jenem das Dasein der Welt geleugnet. Es müβte also eher das akosmische System heiβen</w:t>
      </w:r>
      <w:r w:rsidRPr="00921BB8">
        <w:rPr>
          <w:rStyle w:val="Rimandonotaapidipagina"/>
          <w:rFonts w:ascii="Times New Roman" w:eastAsia="Times New Roman" w:hAnsi="Times New Roman" w:cs="Times New Roman"/>
          <w:iCs/>
          <w:color w:val="222222"/>
          <w:sz w:val="20"/>
          <w:szCs w:val="20"/>
          <w:shd w:val="clear" w:color="auto" w:fill="FFFFFF"/>
          <w:lang w:val="de-DE"/>
        </w:rPr>
        <w:footnoteReference w:id="1000"/>
      </w:r>
      <w:r w:rsidRPr="00921BB8">
        <w:rPr>
          <w:rFonts w:ascii="Times New Roman" w:eastAsia="Times New Roman" w:hAnsi="Times New Roman" w:cs="Times New Roman"/>
          <w:iCs/>
          <w:color w:val="222222"/>
          <w:sz w:val="20"/>
          <w:szCs w:val="20"/>
          <w:shd w:val="clear" w:color="auto" w:fill="FFFFFF"/>
          <w:lang w:val="de-DE"/>
        </w:rPr>
        <w:t>.</w:t>
      </w:r>
    </w:p>
    <w:p w14:paraId="47FAEBBC" w14:textId="77777777" w:rsidR="001C3D81" w:rsidRPr="00921BB8" w:rsidRDefault="001C3D81" w:rsidP="001C3D81">
      <w:pPr>
        <w:spacing w:line="360" w:lineRule="auto"/>
        <w:ind w:left="1134" w:firstLine="567"/>
        <w:jc w:val="both"/>
        <w:rPr>
          <w:rFonts w:ascii="Times New Roman" w:eastAsia="Times New Roman" w:hAnsi="Times New Roman" w:cs="Times New Roman"/>
          <w:iCs/>
          <w:color w:val="222222"/>
          <w:shd w:val="clear" w:color="auto" w:fill="FFFFFF"/>
          <w:lang w:val="de-DE"/>
        </w:rPr>
      </w:pPr>
    </w:p>
    <w:p w14:paraId="00326943" w14:textId="3F947DED" w:rsidR="001C3D81" w:rsidRPr="00921BB8" w:rsidRDefault="001C3D81" w:rsidP="001C3D81">
      <w:pPr>
        <w:spacing w:line="360" w:lineRule="auto"/>
        <w:ind w:firstLine="567"/>
        <w:jc w:val="both"/>
        <w:rPr>
          <w:rFonts w:ascii="Times New Roman" w:eastAsia="Times New Roman" w:hAnsi="Times New Roman" w:cs="Times New Roman"/>
          <w:iCs/>
          <w:color w:val="222222"/>
          <w:shd w:val="clear" w:color="auto" w:fill="FFFFFF"/>
          <w:lang w:val="de-DE"/>
        </w:rPr>
      </w:pPr>
      <w:r w:rsidRPr="00921BB8">
        <w:rPr>
          <w:rFonts w:ascii="Times New Roman" w:eastAsia="Times New Roman" w:hAnsi="Times New Roman" w:cs="Times New Roman"/>
          <w:iCs/>
          <w:color w:val="222222"/>
          <w:shd w:val="clear" w:color="auto" w:fill="FFFFFF"/>
          <w:lang w:val="de-DE"/>
        </w:rPr>
        <w:t xml:space="preserve">Im Spinozistischen System, wie bereits in der jüdischen Kabbala, ist die göttliche Einheit reell. Weder ist die Realität der endlichen Dinge in sich begründet (Atheismus), noch ist die Einheit eine Idee, die das menschliche Bedürfnis erfüllt, in der Natur eine Zweckmäßigkeit zu finden (Kritizismus). Im System Spinozas gewinnt nur Gott (die Ursache und das Subjekt aller Dinge) </w:t>
      </w:r>
      <w:r w:rsidRPr="00921BB8">
        <w:rPr>
          <w:rFonts w:ascii="Times New Roman" w:eastAsia="Times New Roman" w:hAnsi="Times New Roman" w:cs="Times New Roman"/>
          <w:i/>
          <w:iCs/>
          <w:color w:val="222222"/>
          <w:shd w:val="clear" w:color="auto" w:fill="FFFFFF"/>
          <w:lang w:val="de-DE"/>
        </w:rPr>
        <w:t>Realität</w:t>
      </w:r>
      <w:r w:rsidRPr="00921BB8">
        <w:rPr>
          <w:rFonts w:ascii="Times New Roman" w:eastAsia="Times New Roman" w:hAnsi="Times New Roman" w:cs="Times New Roman"/>
          <w:iCs/>
          <w:color w:val="222222"/>
          <w:shd w:val="clear" w:color="auto" w:fill="FFFFFF"/>
          <w:lang w:val="de-DE"/>
        </w:rPr>
        <w:t xml:space="preserve">. Der Akosmismus, nicht der Atheismus (das Gegenteil der </w:t>
      </w:r>
      <w:r w:rsidRPr="00921BB8">
        <w:rPr>
          <w:rFonts w:ascii="Times New Roman" w:eastAsia="Times New Roman" w:hAnsi="Times New Roman" w:cs="Times New Roman"/>
          <w:i/>
          <w:iCs/>
          <w:color w:val="222222"/>
          <w:shd w:val="clear" w:color="auto" w:fill="FFFFFF"/>
          <w:lang w:val="de-DE"/>
        </w:rPr>
        <w:t>Spinozabriefe</w:t>
      </w:r>
      <w:r w:rsidRPr="00921BB8">
        <w:rPr>
          <w:rFonts w:ascii="Times New Roman" w:eastAsia="Times New Roman" w:hAnsi="Times New Roman" w:cs="Times New Roman"/>
          <w:iCs/>
          <w:color w:val="222222"/>
          <w:shd w:val="clear" w:color="auto" w:fill="FFFFFF"/>
          <w:lang w:val="de-DE"/>
        </w:rPr>
        <w:t>), spiegelt die Architektonik des Spinozistischen u</w:t>
      </w:r>
      <w:r w:rsidR="0000296D">
        <w:rPr>
          <w:rFonts w:ascii="Times New Roman" w:eastAsia="Times New Roman" w:hAnsi="Times New Roman" w:cs="Times New Roman"/>
          <w:iCs/>
          <w:color w:val="222222"/>
          <w:shd w:val="clear" w:color="auto" w:fill="FFFFFF"/>
          <w:lang w:val="de-DE"/>
        </w:rPr>
        <w:t>nd Kabbalistischen Gedankens wi</w:t>
      </w:r>
      <w:r w:rsidRPr="00921BB8">
        <w:rPr>
          <w:rFonts w:ascii="Times New Roman" w:eastAsia="Times New Roman" w:hAnsi="Times New Roman" w:cs="Times New Roman"/>
          <w:iCs/>
          <w:color w:val="222222"/>
          <w:shd w:val="clear" w:color="auto" w:fill="FFFFFF"/>
          <w:lang w:val="de-DE"/>
        </w:rPr>
        <w:t>der, die dieselben Prinzipien in einer mehr oder weniger vernünftigen Form thematisieren.</w:t>
      </w:r>
    </w:p>
    <w:p w14:paraId="28FCDA47" w14:textId="77777777" w:rsidR="001C3D81" w:rsidRPr="00921BB8" w:rsidRDefault="001C3D81" w:rsidP="001C3D81">
      <w:pPr>
        <w:spacing w:line="360" w:lineRule="auto"/>
        <w:jc w:val="both"/>
      </w:pPr>
    </w:p>
    <w:p w14:paraId="074E8C59" w14:textId="77777777" w:rsidR="001C3D81" w:rsidRPr="00921BB8" w:rsidRDefault="001C3D81" w:rsidP="001C3D81">
      <w:pPr>
        <w:spacing w:line="360" w:lineRule="auto"/>
        <w:jc w:val="both"/>
        <w:rPr>
          <w:rFonts w:ascii="Times New Roman" w:eastAsia="Times New Roman" w:hAnsi="Times New Roman" w:cs="Times New Roman"/>
          <w:iCs/>
          <w:color w:val="222222"/>
          <w:shd w:val="clear" w:color="auto" w:fill="FFFFFF"/>
        </w:rPr>
      </w:pPr>
      <w:r w:rsidRPr="00921BB8">
        <w:rPr>
          <w:rFonts w:ascii="Times New Roman" w:eastAsia="Times New Roman" w:hAnsi="Times New Roman" w:cs="Times New Roman"/>
          <w:i/>
          <w:iCs/>
          <w:color w:val="222222"/>
          <w:shd w:val="clear" w:color="auto" w:fill="FFFFFF"/>
        </w:rPr>
        <w:t xml:space="preserve">3.5 Kabbalistischer Materialismus und Spinozistischer Nihilismus: </w:t>
      </w:r>
      <w:r w:rsidRPr="00921BB8">
        <w:rPr>
          <w:rFonts w:ascii="Times New Roman" w:eastAsia="Times New Roman" w:hAnsi="Times New Roman" w:cs="Times New Roman"/>
          <w:iCs/>
          <w:color w:val="222222"/>
          <w:shd w:val="clear" w:color="auto" w:fill="FFFFFF"/>
        </w:rPr>
        <w:t>Der Geist der spekulativen Philosophie</w:t>
      </w:r>
      <w:r w:rsidRPr="00921BB8">
        <w:rPr>
          <w:rFonts w:ascii="Times New Roman" w:eastAsia="Times New Roman" w:hAnsi="Times New Roman" w:cs="Times New Roman"/>
          <w:i/>
          <w:iCs/>
          <w:color w:val="222222"/>
          <w:shd w:val="clear" w:color="auto" w:fill="FFFFFF"/>
        </w:rPr>
        <w:t xml:space="preserve"> zwischen dem </w:t>
      </w:r>
      <w:r w:rsidRPr="00921BB8">
        <w:rPr>
          <w:rFonts w:ascii="Times New Roman" w:eastAsia="Times New Roman" w:hAnsi="Times New Roman" w:cs="Times New Roman"/>
          <w:iCs/>
          <w:color w:val="222222"/>
          <w:shd w:val="clear" w:color="auto" w:fill="FFFFFF"/>
        </w:rPr>
        <w:t>Spinozismus im Judentum</w:t>
      </w:r>
      <w:r w:rsidRPr="00921BB8">
        <w:rPr>
          <w:rFonts w:ascii="Times New Roman" w:eastAsia="Times New Roman" w:hAnsi="Times New Roman" w:cs="Times New Roman"/>
          <w:i/>
          <w:iCs/>
          <w:color w:val="222222"/>
          <w:shd w:val="clear" w:color="auto" w:fill="FFFFFF"/>
        </w:rPr>
        <w:t xml:space="preserve"> und den </w:t>
      </w:r>
      <w:r w:rsidRPr="00921BB8">
        <w:rPr>
          <w:rFonts w:ascii="Times New Roman" w:eastAsia="Times New Roman" w:hAnsi="Times New Roman" w:cs="Times New Roman"/>
          <w:iCs/>
          <w:color w:val="222222"/>
          <w:shd w:val="clear" w:color="auto" w:fill="FFFFFF"/>
        </w:rPr>
        <w:t>Spinozabriefen</w:t>
      </w:r>
    </w:p>
    <w:p w14:paraId="6B6AD6D2" w14:textId="77777777" w:rsidR="001C3D81" w:rsidRPr="00921BB8" w:rsidRDefault="001C3D81" w:rsidP="001C3D81">
      <w:pPr>
        <w:spacing w:line="360" w:lineRule="auto"/>
        <w:jc w:val="both"/>
        <w:rPr>
          <w:rFonts w:ascii="Times New Roman" w:eastAsia="Times New Roman" w:hAnsi="Times New Roman" w:cs="Times New Roman"/>
          <w:i/>
          <w:iCs/>
          <w:color w:val="222222"/>
          <w:shd w:val="clear" w:color="auto" w:fill="FFFFFF"/>
        </w:rPr>
      </w:pPr>
    </w:p>
    <w:p w14:paraId="7CC021BC" w14:textId="3626EBDE" w:rsidR="001C3D81" w:rsidRPr="00921BB8" w:rsidRDefault="001C3D81" w:rsidP="001C3D81">
      <w:pPr>
        <w:spacing w:line="360" w:lineRule="auto"/>
        <w:ind w:firstLine="567"/>
        <w:jc w:val="both"/>
        <w:rPr>
          <w:rFonts w:ascii="Times New Roman" w:eastAsia="Times New Roman" w:hAnsi="Times New Roman" w:cs="Times New Roman"/>
          <w:iCs/>
          <w:color w:val="222222"/>
          <w:shd w:val="clear" w:color="auto" w:fill="FFFFFF"/>
          <w:lang w:val="de-DE"/>
        </w:rPr>
      </w:pPr>
      <w:r w:rsidRPr="00921BB8">
        <w:rPr>
          <w:rFonts w:ascii="Times New Roman" w:eastAsia="Times New Roman" w:hAnsi="Times New Roman" w:cs="Times New Roman"/>
          <w:iCs/>
          <w:color w:val="222222"/>
          <w:shd w:val="clear" w:color="auto" w:fill="FFFFFF"/>
          <w:lang w:val="de-DE"/>
        </w:rPr>
        <w:t xml:space="preserve">Wir werden uns mit Dietrich Tiedemann, dem Autor des </w:t>
      </w:r>
      <w:r w:rsidRPr="00921BB8">
        <w:rPr>
          <w:rFonts w:ascii="Times New Roman" w:eastAsia="Times New Roman" w:hAnsi="Times New Roman" w:cs="Times New Roman"/>
          <w:i/>
          <w:iCs/>
          <w:color w:val="222222"/>
          <w:shd w:val="clear" w:color="auto" w:fill="FFFFFF"/>
          <w:lang w:val="de-DE"/>
        </w:rPr>
        <w:t>Geistes der spekulativen Philosophie</w:t>
      </w:r>
      <w:r w:rsidRPr="00921BB8">
        <w:rPr>
          <w:rStyle w:val="Rimandonotaapidipagina"/>
          <w:rFonts w:ascii="Times New Roman" w:eastAsia="Times New Roman" w:hAnsi="Times New Roman" w:cs="Times New Roman"/>
          <w:iCs/>
          <w:color w:val="222222"/>
          <w:shd w:val="clear" w:color="auto" w:fill="FFFFFF"/>
          <w:lang w:val="de-DE"/>
        </w:rPr>
        <w:footnoteReference w:id="1001"/>
      </w:r>
      <w:r w:rsidRPr="00921BB8">
        <w:rPr>
          <w:rFonts w:ascii="Times New Roman" w:eastAsia="Times New Roman" w:hAnsi="Times New Roman" w:cs="Times New Roman"/>
          <w:i/>
          <w:iCs/>
          <w:color w:val="222222"/>
          <w:shd w:val="clear" w:color="auto" w:fill="FFFFFF"/>
          <w:lang w:val="de-DE"/>
        </w:rPr>
        <w:t xml:space="preserve"> </w:t>
      </w:r>
      <w:r w:rsidRPr="00921BB8">
        <w:rPr>
          <w:rFonts w:ascii="Times New Roman" w:eastAsia="Times New Roman" w:hAnsi="Times New Roman" w:cs="Times New Roman"/>
          <w:iCs/>
          <w:color w:val="222222"/>
          <w:shd w:val="clear" w:color="auto" w:fill="FFFFFF"/>
          <w:lang w:val="de-DE"/>
        </w:rPr>
        <w:t>(1791/97), beschäftigen. Um die unterschiedlichen Phasen der Geschichte der Philosophie darzustellen, folgt Tiedemann drei historisch-philosophischen</w:t>
      </w:r>
      <w:r w:rsidR="001A4601" w:rsidRPr="00921BB8">
        <w:rPr>
          <w:rFonts w:ascii="Times New Roman" w:eastAsia="Times New Roman" w:hAnsi="Times New Roman" w:cs="Times New Roman"/>
          <w:iCs/>
          <w:color w:val="222222"/>
          <w:shd w:val="clear" w:color="auto" w:fill="FFFFFF"/>
          <w:lang w:val="de-DE"/>
        </w:rPr>
        <w:t xml:space="preserve"> Richtlinien: α) K</w:t>
      </w:r>
      <w:r w:rsidRPr="00921BB8">
        <w:rPr>
          <w:rFonts w:ascii="Times New Roman" w:eastAsia="Times New Roman" w:hAnsi="Times New Roman" w:cs="Times New Roman"/>
          <w:iCs/>
          <w:color w:val="222222"/>
          <w:shd w:val="clear" w:color="auto" w:fill="FFFFFF"/>
          <w:lang w:val="de-DE"/>
        </w:rPr>
        <w:t>enntnis der Primärquellen, β) Verständnis der historisch-kulturellen Kontexte, in denen sich die verschiedenen Denksysteme entwickelt haben, und γ) Bewertung der einzelnen Philosophien in Bezug auf ihren Beitrag zum Fortschritt des menschlichen Verstandes</w:t>
      </w:r>
      <w:r w:rsidRPr="00921BB8">
        <w:rPr>
          <w:rStyle w:val="Rimandonotaapidipagina"/>
          <w:rFonts w:ascii="Times New Roman" w:eastAsia="Times New Roman" w:hAnsi="Times New Roman" w:cs="Times New Roman"/>
          <w:iCs/>
          <w:color w:val="222222"/>
          <w:shd w:val="clear" w:color="auto" w:fill="FFFFFF"/>
          <w:lang w:val="de-DE"/>
        </w:rPr>
        <w:footnoteReference w:id="1002"/>
      </w:r>
      <w:r w:rsidRPr="00921BB8">
        <w:rPr>
          <w:rFonts w:ascii="Times New Roman" w:eastAsia="Times New Roman" w:hAnsi="Times New Roman" w:cs="Times New Roman"/>
          <w:iCs/>
          <w:color w:val="222222"/>
          <w:shd w:val="clear" w:color="auto" w:fill="FFFFFF"/>
          <w:lang w:val="de-DE"/>
        </w:rPr>
        <w:t xml:space="preserve">. </w:t>
      </w:r>
    </w:p>
    <w:p w14:paraId="71DB156A" w14:textId="77777777" w:rsidR="001C3D81" w:rsidRPr="00921BB8" w:rsidRDefault="001C3D81" w:rsidP="001C3D81">
      <w:pPr>
        <w:spacing w:line="360" w:lineRule="auto"/>
        <w:ind w:firstLine="567"/>
        <w:jc w:val="both"/>
        <w:rPr>
          <w:rFonts w:ascii="Times New Roman" w:hAnsi="Times New Roman" w:cs="Times New Roman"/>
          <w:lang w:val="de-DE"/>
        </w:rPr>
      </w:pPr>
      <w:r w:rsidRPr="00921BB8">
        <w:rPr>
          <w:rFonts w:ascii="Times New Roman" w:hAnsi="Times New Roman" w:cs="Times New Roman"/>
          <w:lang w:val="de-DE"/>
        </w:rPr>
        <w:t xml:space="preserve">Mit dem Ziel, eine Ordnung in das kabbalistische </w:t>
      </w:r>
      <w:r w:rsidRPr="00921BB8">
        <w:rPr>
          <w:rFonts w:ascii="Times New Roman" w:hAnsi="Times New Roman" w:cs="Times New Roman"/>
          <w:i/>
          <w:lang w:val="de-DE"/>
        </w:rPr>
        <w:t xml:space="preserve">mare magnum </w:t>
      </w:r>
      <w:r w:rsidRPr="00921BB8">
        <w:rPr>
          <w:rFonts w:ascii="Times New Roman" w:hAnsi="Times New Roman" w:cs="Times New Roman"/>
          <w:lang w:val="de-DE"/>
        </w:rPr>
        <w:t xml:space="preserve">zu bringen, benutzt Tiedemann – und er widerspricht seinen methodologischen Prinzipien </w:t>
      </w:r>
      <w:r w:rsidRPr="00921BB8">
        <w:rPr>
          <w:rFonts w:ascii="Times New Roman" w:hAnsi="Times New Roman" w:cs="Times New Roman"/>
          <w:lang w:val="de-DE"/>
        </w:rPr>
        <w:softHyphen/>
        <w:t xml:space="preserve">– eine sekundäre Quelle, die </w:t>
      </w:r>
      <w:r w:rsidRPr="00921BB8">
        <w:rPr>
          <w:rFonts w:ascii="Times New Roman" w:hAnsi="Times New Roman" w:cs="Times New Roman"/>
          <w:i/>
          <w:lang w:val="de-DE"/>
        </w:rPr>
        <w:t>Porta Coelorum</w:t>
      </w:r>
      <w:r w:rsidRPr="00921BB8">
        <w:rPr>
          <w:rFonts w:ascii="Times New Roman" w:hAnsi="Times New Roman" w:cs="Times New Roman"/>
          <w:lang w:val="de-DE"/>
        </w:rPr>
        <w:t xml:space="preserve"> Herreras, um die thematischen Punkte der jüdischen Kabbala zu beleuchten. Tiedemann zitiert jene Passage von Herrera, in der die numerische Einheit analysiert wird: „wie die Urquell aller Zahlen Einheit ist, so ist auch das Prinzip aller Dinge Eins, und diese Einheit gleicht der Einheit in den Zahlen darin, daß wie Zahleneinheit von allen Zahlen keine ist, sondern vorzugsweise (eminenter) alle enthält</w:t>
      </w:r>
      <w:r w:rsidRPr="00921BB8">
        <w:rPr>
          <w:rFonts w:ascii="Times New Roman" w:hAnsi="Times New Roman" w:cs="Times New Roman"/>
        </w:rPr>
        <w:t>”</w:t>
      </w:r>
      <w:r w:rsidRPr="00921BB8">
        <w:rPr>
          <w:rStyle w:val="Rimandonotaapidipagina"/>
          <w:rFonts w:ascii="Times New Roman" w:hAnsi="Times New Roman" w:cs="Times New Roman"/>
          <w:lang w:val="de-DE"/>
        </w:rPr>
        <w:footnoteReference w:id="1003"/>
      </w:r>
      <w:r w:rsidRPr="00921BB8">
        <w:rPr>
          <w:rFonts w:ascii="Times New Roman" w:hAnsi="Times New Roman" w:cs="Times New Roman"/>
          <w:lang w:val="de-DE"/>
        </w:rPr>
        <w:t>. Die Quelle aller Zahlen enthält in sich jede Zahl und ist keine von diesen. Der En-soph kann nur „eine Wirkung unmittelbar hervorbringen, welche Wirkung von einigen Kabbalisten Adam Kadmon, der erste Mensch, von anderen Keter, die höchste Krone [...] gennant wird</w:t>
      </w:r>
      <w:r w:rsidRPr="00921BB8">
        <w:rPr>
          <w:rFonts w:ascii="Times New Roman" w:hAnsi="Times New Roman" w:cs="Times New Roman"/>
        </w:rPr>
        <w:t>”</w:t>
      </w:r>
      <w:r w:rsidRPr="00921BB8">
        <w:rPr>
          <w:rStyle w:val="Rimandonotaapidipagina"/>
          <w:rFonts w:ascii="Times New Roman" w:hAnsi="Times New Roman" w:cs="Times New Roman"/>
          <w:lang w:val="de-DE"/>
        </w:rPr>
        <w:footnoteReference w:id="1004"/>
      </w:r>
      <w:r w:rsidRPr="00921BB8">
        <w:rPr>
          <w:rFonts w:ascii="Times New Roman" w:hAnsi="Times New Roman" w:cs="Times New Roman"/>
          <w:lang w:val="de-DE"/>
        </w:rPr>
        <w:t>. Aus dieser Wirkung, der „Plan der Welt</w:t>
      </w:r>
      <w:r w:rsidRPr="00921BB8">
        <w:rPr>
          <w:rFonts w:ascii="Times New Roman" w:hAnsi="Times New Roman" w:cs="Times New Roman"/>
        </w:rPr>
        <w:t>”</w:t>
      </w:r>
      <w:r w:rsidRPr="00921BB8">
        <w:rPr>
          <w:rStyle w:val="Rimandonotaapidipagina"/>
          <w:rFonts w:ascii="Times New Roman" w:hAnsi="Times New Roman" w:cs="Times New Roman"/>
          <w:lang w:val="de-DE"/>
        </w:rPr>
        <w:footnoteReference w:id="1005"/>
      </w:r>
      <w:r w:rsidRPr="00921BB8">
        <w:rPr>
          <w:rFonts w:ascii="Times New Roman" w:hAnsi="Times New Roman" w:cs="Times New Roman"/>
          <w:lang w:val="de-DE"/>
        </w:rPr>
        <w:t>, folgt „die Aziluthische Welt [...] die Briatische Welt [....] die Jezirathisce Welt [...] und die Asiatische Welt</w:t>
      </w:r>
      <w:r w:rsidRPr="00921BB8">
        <w:rPr>
          <w:rFonts w:ascii="Times New Roman" w:hAnsi="Times New Roman" w:cs="Times New Roman"/>
        </w:rPr>
        <w:t>”</w:t>
      </w:r>
      <w:r w:rsidRPr="00921BB8">
        <w:rPr>
          <w:rStyle w:val="Rimandonotaapidipagina"/>
          <w:rFonts w:ascii="Times New Roman" w:hAnsi="Times New Roman" w:cs="Times New Roman"/>
          <w:lang w:val="de-DE"/>
        </w:rPr>
        <w:footnoteReference w:id="1006"/>
      </w:r>
      <w:r w:rsidRPr="00921BB8">
        <w:rPr>
          <w:rFonts w:ascii="Times New Roman" w:hAnsi="Times New Roman" w:cs="Times New Roman"/>
          <w:lang w:val="de-DE"/>
        </w:rPr>
        <w:t xml:space="preserve"> . Die Gottheit schränkt sich ein und leitet den Emanation-prozeß ein: </w:t>
      </w:r>
    </w:p>
    <w:p w14:paraId="7CD187E7" w14:textId="77777777" w:rsidR="001C3D81" w:rsidRPr="00921BB8" w:rsidRDefault="001C3D81" w:rsidP="001C3D81">
      <w:pPr>
        <w:spacing w:line="360" w:lineRule="auto"/>
        <w:ind w:firstLine="567"/>
        <w:jc w:val="both"/>
        <w:rPr>
          <w:rFonts w:ascii="Times New Roman" w:hAnsi="Times New Roman" w:cs="Times New Roman"/>
        </w:rPr>
      </w:pPr>
    </w:p>
    <w:p w14:paraId="0D57A7A0" w14:textId="77777777" w:rsidR="001C3D81" w:rsidRPr="00921BB8" w:rsidRDefault="001C3D81" w:rsidP="001C3D81">
      <w:pPr>
        <w:spacing w:line="360" w:lineRule="auto"/>
        <w:ind w:left="567"/>
        <w:jc w:val="both"/>
        <w:rPr>
          <w:rFonts w:ascii="Times New Roman" w:eastAsia="Times New Roman" w:hAnsi="Times New Roman" w:cs="Times New Roman"/>
          <w:iCs/>
          <w:color w:val="222222"/>
          <w:sz w:val="20"/>
          <w:szCs w:val="20"/>
          <w:shd w:val="clear" w:color="auto" w:fill="FFFFFF"/>
          <w:lang w:val="de-DE"/>
        </w:rPr>
      </w:pPr>
      <w:r w:rsidRPr="00921BB8">
        <w:rPr>
          <w:rFonts w:ascii="Times New Roman" w:hAnsi="Times New Roman" w:cs="Times New Roman"/>
          <w:sz w:val="20"/>
          <w:szCs w:val="20"/>
          <w:lang w:val="de-DE"/>
        </w:rPr>
        <w:t>Gott ist nach ihr endlos, überall gegenwärtiges, reines Licht; damit nun etwas anders, als Gott, etwas endliches werden könnte, begränzte sich dies Licht, das ist, es zog sich in sich selbst zurück, und bildete dadurch in seinem Mittelpunkt einen leeren, mithin dunkeln Raum, In diesem Raum ließ das Urlicht wieder Strahlen fallen […] Weil in Gott schon Ausdehnung war, Gott schon einen Raum einnahm, mithin der Raum unerschaffen ist. Auch würde man dann gestehen müssen, daβ die göttliche Ausdehnung Materie, mithin Gott und Materie wesentlich einerlei ist. Der offenbare Spinozismus! ohne Zweifel aus diesen Sätzen auch zuerst entsprungen</w:t>
      </w:r>
      <w:r w:rsidRPr="00921BB8">
        <w:rPr>
          <w:rStyle w:val="Rimandonotaapidipagina"/>
          <w:rFonts w:ascii="Times New Roman" w:hAnsi="Times New Roman" w:cs="Times New Roman"/>
          <w:sz w:val="20"/>
          <w:szCs w:val="20"/>
          <w:lang w:val="de-DE"/>
        </w:rPr>
        <w:footnoteReference w:id="1007"/>
      </w:r>
      <w:r w:rsidRPr="00921BB8">
        <w:rPr>
          <w:rFonts w:ascii="Times New Roman" w:hAnsi="Times New Roman" w:cs="Times New Roman"/>
          <w:sz w:val="20"/>
          <w:szCs w:val="20"/>
          <w:lang w:val="de-DE"/>
        </w:rPr>
        <w:t>.</w:t>
      </w:r>
    </w:p>
    <w:p w14:paraId="76C65E98" w14:textId="77777777" w:rsidR="001C3D81" w:rsidRPr="00921BB8" w:rsidRDefault="001C3D81" w:rsidP="001C3D81">
      <w:pPr>
        <w:spacing w:line="360" w:lineRule="auto"/>
        <w:ind w:firstLine="567"/>
        <w:jc w:val="both"/>
        <w:rPr>
          <w:rFonts w:ascii="Times New Roman" w:hAnsi="Times New Roman" w:cs="Times New Roman"/>
        </w:rPr>
      </w:pPr>
    </w:p>
    <w:p w14:paraId="3327D346" w14:textId="1DBB6BC1" w:rsidR="001C3D81" w:rsidRPr="00921BB8" w:rsidRDefault="001C3D81" w:rsidP="001C3D81">
      <w:pPr>
        <w:spacing w:line="360" w:lineRule="auto"/>
        <w:ind w:firstLine="567"/>
        <w:jc w:val="both"/>
        <w:rPr>
          <w:rFonts w:ascii="Times New Roman" w:hAnsi="Times New Roman" w:cs="Times New Roman"/>
          <w:lang w:val="de-DE"/>
        </w:rPr>
      </w:pPr>
      <w:r w:rsidRPr="00830C98">
        <w:rPr>
          <w:rFonts w:ascii="Times New Roman" w:hAnsi="Times New Roman" w:cs="Times New Roman"/>
          <w:lang w:val="de-DE"/>
        </w:rPr>
        <w:t xml:space="preserve">Um das Endliche zu erschaffen, zieht sich die Gottheit in sich selbst zurück und bildet einen leeren Raum, in dem sie ihre Strahlen ergießt. Die Beschreibung Gottes als </w:t>
      </w:r>
      <w:r w:rsidR="00986273" w:rsidRPr="00830C98">
        <w:rPr>
          <w:rFonts w:ascii="Times New Roman" w:hAnsi="Times New Roman" w:cs="Times New Roman"/>
          <w:lang w:val="de-DE"/>
        </w:rPr>
        <w:t>ausgedehntes Licht bedeutet, seine materielle</w:t>
      </w:r>
      <w:r w:rsidRPr="00830C98">
        <w:rPr>
          <w:rFonts w:ascii="Times New Roman" w:hAnsi="Times New Roman" w:cs="Times New Roman"/>
          <w:lang w:val="de-DE"/>
        </w:rPr>
        <w:t xml:space="preserve"> Natur zu behaupten.</w:t>
      </w:r>
      <w:r w:rsidRPr="00921BB8">
        <w:rPr>
          <w:rFonts w:ascii="Times New Roman" w:hAnsi="Times New Roman" w:cs="Times New Roman"/>
          <w:lang w:val="de-DE"/>
        </w:rPr>
        <w:t xml:space="preserve"> Die Emanationslehre, die Gott mit „einer allgemeinen Materie</w:t>
      </w:r>
      <w:r w:rsidRPr="00921BB8">
        <w:rPr>
          <w:rFonts w:ascii="Times New Roman" w:hAnsi="Times New Roman" w:cs="Times New Roman"/>
        </w:rPr>
        <w:t>”</w:t>
      </w:r>
      <w:r w:rsidRPr="00921BB8">
        <w:rPr>
          <w:rStyle w:val="Rimandonotaapidipagina"/>
          <w:rFonts w:ascii="Times New Roman" w:hAnsi="Times New Roman" w:cs="Times New Roman"/>
          <w:lang w:val="de-DE"/>
        </w:rPr>
        <w:footnoteReference w:id="1008"/>
      </w:r>
      <w:r w:rsidRPr="00921BB8">
        <w:rPr>
          <w:rFonts w:ascii="Times New Roman" w:hAnsi="Times New Roman" w:cs="Times New Roman"/>
          <w:lang w:val="de-DE"/>
        </w:rPr>
        <w:t xml:space="preserve"> identifiziert, stellt die theoretische Voraussetzung dar, auf der die Heterodoxie Spinozas beruht. In Anlehnung an Wachter verbindet Tiedemann den Materialismus, der der kabbalistischen Kosmologie zugrunde liegt, mit der Spinozistischen Theorie der ausgedehnten Natur Gottes. Im Gegensatz zum </w:t>
      </w:r>
      <w:r w:rsidRPr="00921BB8">
        <w:rPr>
          <w:rFonts w:ascii="Times New Roman" w:hAnsi="Times New Roman" w:cs="Times New Roman"/>
          <w:i/>
          <w:lang w:val="de-DE"/>
        </w:rPr>
        <w:t>Spinozismus im Judentum</w:t>
      </w:r>
      <w:r w:rsidRPr="00921BB8">
        <w:rPr>
          <w:rFonts w:ascii="Times New Roman" w:hAnsi="Times New Roman" w:cs="Times New Roman"/>
          <w:lang w:val="de-DE"/>
        </w:rPr>
        <w:t xml:space="preserve"> entwickelt Tiedemann eine Lesart des Spinozismus, die sich von der Idee einer Vergötterung der Welt unterscheidet. Das theoretische Element, das die Entfernung von einer materialistischen Kategorisierung des Spinozismus bestimmt, ist der Jacobische Unterschied zwischen Ursache und Grund</w:t>
      </w:r>
      <w:r w:rsidRPr="00921BB8">
        <w:rPr>
          <w:rFonts w:ascii="Times New Roman" w:hAnsi="Times New Roman" w:cs="Times New Roman"/>
          <w:i/>
          <w:lang w:val="de-DE"/>
        </w:rPr>
        <w:t xml:space="preserve"> </w:t>
      </w:r>
      <w:r w:rsidRPr="00921BB8">
        <w:rPr>
          <w:rFonts w:ascii="Times New Roman" w:hAnsi="Times New Roman" w:cs="Times New Roman"/>
          <w:lang w:val="de-DE"/>
        </w:rPr>
        <w:t>(</w:t>
      </w:r>
      <w:r w:rsidRPr="00921BB8">
        <w:rPr>
          <w:rFonts w:ascii="Times New Roman" w:hAnsi="Times New Roman" w:cs="Times New Roman"/>
          <w:i/>
          <w:lang w:val="de-DE"/>
        </w:rPr>
        <w:t xml:space="preserve">Spinozabriefe </w:t>
      </w:r>
      <w:r w:rsidRPr="00921BB8">
        <w:rPr>
          <w:rFonts w:ascii="Times New Roman" w:hAnsi="Times New Roman" w:cs="Times New Roman"/>
          <w:lang w:val="de-DE"/>
        </w:rPr>
        <w:t xml:space="preserve">1789). </w:t>
      </w:r>
      <w:r w:rsidRPr="00921BB8">
        <w:rPr>
          <w:rFonts w:ascii="Times New Roman" w:eastAsia="Times New Roman" w:hAnsi="Times New Roman" w:cs="Times New Roman"/>
          <w:iCs/>
          <w:color w:val="222222"/>
          <w:shd w:val="clear" w:color="auto" w:fill="FFFFFF"/>
          <w:lang w:val="de-DE"/>
        </w:rPr>
        <w:t>Spinoza hat den Begriff der Ursache mit dem des Grundes verwechselt: „wird die</w:t>
      </w:r>
      <w:r w:rsidR="0000296D">
        <w:rPr>
          <w:rFonts w:ascii="Times New Roman" w:eastAsia="Times New Roman" w:hAnsi="Times New Roman" w:cs="Times New Roman"/>
          <w:iCs/>
          <w:color w:val="222222"/>
          <w:shd w:val="clear" w:color="auto" w:fill="FFFFFF"/>
          <w:lang w:val="de-DE"/>
        </w:rPr>
        <w:t xml:space="preserve"> wirkende Ursache mit dem bloßen</w:t>
      </w:r>
      <w:r w:rsidRPr="00921BB8">
        <w:rPr>
          <w:rFonts w:ascii="Times New Roman" w:eastAsia="Times New Roman" w:hAnsi="Times New Roman" w:cs="Times New Roman"/>
          <w:iCs/>
          <w:color w:val="222222"/>
          <w:shd w:val="clear" w:color="auto" w:fill="FFFFFF"/>
          <w:lang w:val="de-DE"/>
        </w:rPr>
        <w:t xml:space="preserve"> Grunde künstlich verwechselt </w:t>
      </w:r>
      <w:r w:rsidRPr="00921BB8">
        <w:rPr>
          <w:rFonts w:ascii="Times New Roman" w:hAnsi="Times New Roman" w:cs="Times New Roman"/>
          <w:lang w:val="de-DE"/>
        </w:rPr>
        <w:t>[...] ist die erste Materie, das erste Subject, nicht das Prinzip, welches alle seine Modifikationen zur Wirklichkeit bringt, sondern nur das, aus welchem die Möglichkeit gewißer Bestimmungen begriffen wird</w:t>
      </w:r>
      <w:r w:rsidRPr="00921BB8">
        <w:rPr>
          <w:rFonts w:ascii="Times New Roman" w:hAnsi="Times New Roman" w:cs="Times New Roman"/>
        </w:rPr>
        <w:t>”</w:t>
      </w:r>
      <w:r w:rsidRPr="00921BB8">
        <w:rPr>
          <w:rStyle w:val="Rimandonotaapidipagina"/>
          <w:rFonts w:ascii="Times New Roman" w:hAnsi="Times New Roman" w:cs="Times New Roman"/>
          <w:lang w:val="de-DE"/>
        </w:rPr>
        <w:footnoteReference w:id="1009"/>
      </w:r>
      <w:r w:rsidRPr="00921BB8">
        <w:rPr>
          <w:rFonts w:ascii="Times New Roman" w:hAnsi="Times New Roman" w:cs="Times New Roman"/>
          <w:lang w:val="de-DE"/>
        </w:rPr>
        <w:t>. Gott „ist die Substanz überhaupt, [...] welche keine Einschränkung hat, mit anderen Worten, die abstrakte Substanz, und ein bloßes Gedankending</w:t>
      </w:r>
      <w:r w:rsidRPr="00921BB8">
        <w:rPr>
          <w:rFonts w:ascii="Times New Roman" w:hAnsi="Times New Roman" w:cs="Times New Roman"/>
        </w:rPr>
        <w:t>”</w:t>
      </w:r>
      <w:r w:rsidRPr="00921BB8">
        <w:rPr>
          <w:rStyle w:val="Rimandonotaapidipagina"/>
          <w:rFonts w:ascii="Times New Roman" w:hAnsi="Times New Roman" w:cs="Times New Roman"/>
          <w:lang w:val="de-DE"/>
        </w:rPr>
        <w:footnoteReference w:id="1010"/>
      </w:r>
      <w:r w:rsidRPr="00921BB8">
        <w:rPr>
          <w:rFonts w:ascii="Times New Roman" w:hAnsi="Times New Roman" w:cs="Times New Roman"/>
          <w:lang w:val="de-DE"/>
        </w:rPr>
        <w:t xml:space="preserve">. Zur Wachterschen Identifizierung der </w:t>
      </w:r>
      <w:r w:rsidRPr="00921BB8">
        <w:rPr>
          <w:rFonts w:ascii="Times New Roman" w:hAnsi="Times New Roman" w:cs="Times New Roman"/>
          <w:i/>
          <w:lang w:val="de-DE"/>
        </w:rPr>
        <w:t>Porta Coelorum</w:t>
      </w:r>
      <w:r w:rsidRPr="00921BB8">
        <w:rPr>
          <w:rFonts w:ascii="Times New Roman" w:hAnsi="Times New Roman" w:cs="Times New Roman"/>
          <w:lang w:val="de-DE"/>
        </w:rPr>
        <w:t xml:space="preserve"> mit dem Spinozismus überlagert Tiedemann die </w:t>
      </w:r>
      <w:r w:rsidRPr="00921BB8">
        <w:rPr>
          <w:rFonts w:ascii="Times New Roman" w:hAnsi="Times New Roman" w:cs="Times New Roman"/>
          <w:i/>
          <w:lang w:val="de-DE"/>
        </w:rPr>
        <w:t>Spinozabriefe</w:t>
      </w:r>
      <w:r w:rsidRPr="00921BB8">
        <w:rPr>
          <w:rFonts w:ascii="Times New Roman" w:hAnsi="Times New Roman" w:cs="Times New Roman"/>
          <w:lang w:val="de-DE"/>
        </w:rPr>
        <w:t xml:space="preserve">, die es ihm ermöglichen, die </w:t>
      </w:r>
      <w:r w:rsidRPr="00921BB8">
        <w:rPr>
          <w:rFonts w:ascii="Times New Roman" w:hAnsi="Times New Roman" w:cs="Times New Roman"/>
          <w:i/>
          <w:lang w:val="de-DE"/>
        </w:rPr>
        <w:t xml:space="preserve">materialistische </w:t>
      </w:r>
      <w:r w:rsidRPr="00921BB8">
        <w:rPr>
          <w:rFonts w:ascii="Times New Roman" w:hAnsi="Times New Roman" w:cs="Times New Roman"/>
          <w:lang w:val="de-DE"/>
        </w:rPr>
        <w:t xml:space="preserve">und </w:t>
      </w:r>
      <w:r w:rsidRPr="00921BB8">
        <w:rPr>
          <w:rFonts w:ascii="Times New Roman" w:hAnsi="Times New Roman" w:cs="Times New Roman"/>
          <w:i/>
          <w:lang w:val="de-DE"/>
        </w:rPr>
        <w:t xml:space="preserve">nihilistische </w:t>
      </w:r>
      <w:r w:rsidRPr="00921BB8">
        <w:rPr>
          <w:rFonts w:ascii="Times New Roman" w:hAnsi="Times New Roman" w:cs="Times New Roman"/>
          <w:lang w:val="de-DE"/>
        </w:rPr>
        <w:t>Natur der Ontologie Spinozas zu betonen.</w:t>
      </w:r>
    </w:p>
    <w:p w14:paraId="3480739F" w14:textId="77777777" w:rsidR="00336616" w:rsidRPr="00921BB8" w:rsidRDefault="00336616" w:rsidP="001C3D81">
      <w:pPr>
        <w:spacing w:line="360" w:lineRule="auto"/>
        <w:ind w:firstLine="567"/>
        <w:jc w:val="both"/>
        <w:rPr>
          <w:rFonts w:ascii="Times New Roman" w:hAnsi="Times New Roman" w:cs="Times New Roman"/>
          <w:lang w:val="de-DE"/>
        </w:rPr>
      </w:pPr>
    </w:p>
    <w:p w14:paraId="19E0E732" w14:textId="77777777" w:rsidR="001C3D81" w:rsidRPr="00921BB8" w:rsidRDefault="001C3D81" w:rsidP="001C3D81">
      <w:pPr>
        <w:spacing w:line="360" w:lineRule="auto"/>
        <w:jc w:val="both"/>
        <w:rPr>
          <w:rFonts w:ascii="Times New Roman" w:hAnsi="Times New Roman" w:cs="Times New Roman"/>
          <w:i/>
          <w:lang w:val="de-DE"/>
        </w:rPr>
      </w:pPr>
      <w:r w:rsidRPr="00921BB8">
        <w:rPr>
          <w:rFonts w:ascii="Times New Roman" w:hAnsi="Times New Roman" w:cs="Times New Roman"/>
          <w:i/>
        </w:rPr>
        <w:t xml:space="preserve">3.6 Der Nihilismus Spinozas und die kabbalistische Emanationslehre: Variationen zum Thema im </w:t>
      </w:r>
      <w:r w:rsidRPr="00921BB8">
        <w:rPr>
          <w:rFonts w:ascii="Times New Roman" w:hAnsi="Times New Roman" w:cs="Times New Roman"/>
          <w:lang w:val="de-DE"/>
        </w:rPr>
        <w:t>Lehrbuch der Geschichte der Philosophie</w:t>
      </w:r>
    </w:p>
    <w:p w14:paraId="64121692" w14:textId="77777777" w:rsidR="001C3D81" w:rsidRPr="00921BB8" w:rsidRDefault="001C3D81" w:rsidP="001C3D81">
      <w:pPr>
        <w:spacing w:line="360" w:lineRule="auto"/>
        <w:jc w:val="both"/>
        <w:rPr>
          <w:rFonts w:ascii="Times New Roman" w:hAnsi="Times New Roman" w:cs="Times New Roman"/>
          <w:i/>
          <w:lang w:val="de-DE"/>
        </w:rPr>
      </w:pPr>
    </w:p>
    <w:p w14:paraId="24F8BBBA" w14:textId="6F70F36C" w:rsidR="001C3D81" w:rsidRPr="00921BB8" w:rsidRDefault="001C3D81" w:rsidP="001C3D81">
      <w:pPr>
        <w:spacing w:line="360" w:lineRule="auto"/>
        <w:ind w:firstLine="567"/>
        <w:jc w:val="both"/>
        <w:rPr>
          <w:rFonts w:ascii="Times New Roman" w:hAnsi="Times New Roman" w:cs="Times New Roman"/>
          <w:lang w:val="de-DE"/>
        </w:rPr>
      </w:pPr>
      <w:r w:rsidRPr="00E81287">
        <w:rPr>
          <w:rFonts w:ascii="Times New Roman" w:hAnsi="Times New Roman" w:cs="Times New Roman"/>
          <w:lang w:val="de-DE"/>
        </w:rPr>
        <w:t>In Übereinstimmung mit Brucker und Tiedemann denkt Buhle, dass die Geschichte der Philosophie sich mit dem Studium der primären und sekundären Quellen und der Kenntnis der historischen Kontexte,</w:t>
      </w:r>
      <w:r w:rsidRPr="00921BB8">
        <w:rPr>
          <w:rFonts w:ascii="Times New Roman" w:hAnsi="Times New Roman" w:cs="Times New Roman"/>
          <w:lang w:val="de-DE"/>
        </w:rPr>
        <w:t xml:space="preserve"> in denen die verschiedenen Denksysteme entwickelt wurden, beschäftigt</w:t>
      </w:r>
      <w:r w:rsidRPr="00921BB8">
        <w:rPr>
          <w:rStyle w:val="Rimandonotaapidipagina"/>
          <w:rFonts w:ascii="Times New Roman" w:hAnsi="Times New Roman" w:cs="Times New Roman"/>
          <w:lang w:val="de-DE"/>
        </w:rPr>
        <w:footnoteReference w:id="1011"/>
      </w:r>
      <w:r w:rsidRPr="00921BB8">
        <w:rPr>
          <w:rFonts w:ascii="Times New Roman" w:hAnsi="Times New Roman" w:cs="Times New Roman"/>
          <w:lang w:val="de-DE"/>
        </w:rPr>
        <w:t xml:space="preserve">. Im vierten Band des </w:t>
      </w:r>
      <w:r w:rsidRPr="00921BB8">
        <w:rPr>
          <w:rFonts w:ascii="Times New Roman" w:hAnsi="Times New Roman" w:cs="Times New Roman"/>
          <w:i/>
          <w:lang w:val="de-DE"/>
        </w:rPr>
        <w:t xml:space="preserve">Lehrbuchs der Geschichte der Philosophie </w:t>
      </w:r>
      <w:r w:rsidRPr="00921BB8">
        <w:rPr>
          <w:rFonts w:ascii="Times New Roman" w:hAnsi="Times New Roman" w:cs="Times New Roman"/>
          <w:lang w:val="de-DE"/>
        </w:rPr>
        <w:t xml:space="preserve">wird der Abschnitt, der der jüdischen Kabbala gewidmet ist, in die </w:t>
      </w:r>
      <w:r w:rsidRPr="00921BB8">
        <w:rPr>
          <w:rFonts w:ascii="Times New Roman" w:hAnsi="Times New Roman" w:cs="Times New Roman"/>
          <w:i/>
          <w:lang w:val="de-DE"/>
        </w:rPr>
        <w:t>Philosophie der Juden</w:t>
      </w:r>
      <w:r w:rsidRPr="00921BB8">
        <w:rPr>
          <w:rFonts w:ascii="Times New Roman" w:hAnsi="Times New Roman" w:cs="Times New Roman"/>
          <w:lang w:val="de-DE"/>
        </w:rPr>
        <w:t xml:space="preserve"> eingefügt. Die babylonische Gefangenschaft der Juden stellt einen entscheidenden Moment für die Entwicklung der jüdischen Philosophie dar: „in den älteren hebräischen Urkunden bis auf die Zeiten Esdras haben die hebräischen Religion und Philosopheme einen ganz andern Charakter, als wie sie in den biblischen Büchern nach jener Periode haben. In jenem findet man von den Vorstellungen Gottes als eines Lichtwesens; von der Finsterniß als dem Principe des Bösen im Streite mit dem Lichte; von guten und bösen Engeln; von dem Abfalle der letzteren und ihrer Verdamniß, ihrem Aufenthalte in der Hölle</w:t>
      </w:r>
      <w:r w:rsidRPr="00921BB8">
        <w:rPr>
          <w:rFonts w:ascii="Times New Roman" w:hAnsi="Times New Roman" w:cs="Times New Roman"/>
        </w:rPr>
        <w:t>”</w:t>
      </w:r>
      <w:r w:rsidRPr="00921BB8">
        <w:rPr>
          <w:rStyle w:val="Rimandonotaapidipagina"/>
          <w:rFonts w:ascii="Times New Roman" w:hAnsi="Times New Roman" w:cs="Times New Roman"/>
          <w:lang w:val="de-DE"/>
        </w:rPr>
        <w:footnoteReference w:id="1012"/>
      </w:r>
      <w:r w:rsidRPr="00921BB8">
        <w:rPr>
          <w:rFonts w:ascii="Times New Roman" w:hAnsi="Times New Roman" w:cs="Times New Roman"/>
          <w:lang w:val="de-DE"/>
        </w:rPr>
        <w:t xml:space="preserve"> . Die morgenländische Philosophie führt in die jüdische religiöse Reflexion eine Reihe von Philosophemen ein, die sowohl die einfache (leuchtende) Natur Gottes als auch den Gegensatz der Prinzipien, die das göttliche Wesen ausdrücken, widerspiegeln. Auf die babylonische Gefangenschaft folgt die bedeutendere griechisch-römische Herrschaft. In Alexandria findet die Begegnung zwischen der griechischen und der jüdischen Kultur statt. Dank Philon von Alexandria ersezt die jüdische Philosophie – und auch die Kabbala – morgenländische Philosopheme durch Platonische Begriffe: Philon zufolge stammt der </w:t>
      </w:r>
      <w:r w:rsidRPr="00921BB8">
        <w:rPr>
          <w:rFonts w:ascii="Times New Roman" w:hAnsi="Times New Roman" w:cs="Times New Roman"/>
          <w:i/>
          <w:lang w:val="de-DE"/>
        </w:rPr>
        <w:t>Logos</w:t>
      </w:r>
      <w:r w:rsidRPr="00921BB8">
        <w:rPr>
          <w:rFonts w:ascii="Times New Roman" w:hAnsi="Times New Roman" w:cs="Times New Roman"/>
          <w:lang w:val="de-DE"/>
        </w:rPr>
        <w:t>, der dem guten Prinzip (Ormuzd) des Zoroastrismus entspricht</w:t>
      </w:r>
      <w:r w:rsidRPr="00921BB8">
        <w:rPr>
          <w:rStyle w:val="Rimandonotaapidipagina"/>
          <w:rFonts w:ascii="Times New Roman" w:hAnsi="Times New Roman" w:cs="Times New Roman"/>
          <w:lang w:val="de-DE"/>
        </w:rPr>
        <w:footnoteReference w:id="1013"/>
      </w:r>
      <w:r w:rsidRPr="00921BB8">
        <w:rPr>
          <w:rFonts w:ascii="Times New Roman" w:hAnsi="Times New Roman" w:cs="Times New Roman"/>
          <w:lang w:val="de-DE"/>
        </w:rPr>
        <w:t>, unmittelbar aus dem Sein</w:t>
      </w:r>
      <w:r w:rsidR="009A3232" w:rsidRPr="00921BB8">
        <w:rPr>
          <w:rFonts w:ascii="Times New Roman" w:hAnsi="Times New Roman" w:cs="Times New Roman"/>
          <w:lang w:val="de-DE"/>
        </w:rPr>
        <w:t>. Mit anderen Wo</w:t>
      </w:r>
      <w:r w:rsidRPr="00921BB8">
        <w:rPr>
          <w:rFonts w:ascii="Times New Roman" w:hAnsi="Times New Roman" w:cs="Times New Roman"/>
          <w:lang w:val="de-DE"/>
        </w:rPr>
        <w:t xml:space="preserve">rten wird die morgenländische Konzeption der Realität (als Gegensatz der zwei Prinzipien) durch die Idee der Ableitung des Guten aus dem Guten – nur zum Teil verbunden mit dem Zoroastrismus – ersezt. </w:t>
      </w:r>
    </w:p>
    <w:p w14:paraId="75469C7E" w14:textId="6E19DC87" w:rsidR="001C3D81" w:rsidRPr="00921BB8" w:rsidRDefault="001C3D81" w:rsidP="001C3D81">
      <w:pPr>
        <w:spacing w:line="360" w:lineRule="auto"/>
        <w:ind w:firstLine="567"/>
        <w:jc w:val="both"/>
        <w:rPr>
          <w:rFonts w:ascii="Times New Roman" w:hAnsi="Times New Roman" w:cs="Times New Roman"/>
          <w:lang w:val="de-DE"/>
        </w:rPr>
      </w:pPr>
      <w:r w:rsidRPr="00921BB8">
        <w:rPr>
          <w:rFonts w:ascii="Times New Roman" w:hAnsi="Times New Roman" w:cs="Times New Roman"/>
          <w:lang w:val="de-DE"/>
        </w:rPr>
        <w:t xml:space="preserve">Im Gegensatz zu Tiedemann, der die Schriften Herreras und Wachters zur Erklärung der kabbalistischen Philosophien benutzt hat, analysiert Buhle die Kabbala anhand der </w:t>
      </w:r>
      <w:r w:rsidRPr="00921BB8">
        <w:rPr>
          <w:rFonts w:ascii="Times New Roman" w:hAnsi="Times New Roman" w:cs="Times New Roman"/>
          <w:i/>
          <w:lang w:val="de-DE"/>
        </w:rPr>
        <w:t xml:space="preserve">Kabbala Aëto-Paedo-Melissae </w:t>
      </w:r>
      <w:r w:rsidRPr="00921BB8">
        <w:rPr>
          <w:rFonts w:ascii="Times New Roman" w:hAnsi="Times New Roman" w:cs="Times New Roman"/>
          <w:lang w:val="de-DE"/>
        </w:rPr>
        <w:t>von Henry More. Die jüdische Mystik gründet sich auf dem Prinzip „aus nichts kann nichts entstehen</w:t>
      </w:r>
      <w:r w:rsidRPr="00921BB8">
        <w:rPr>
          <w:rFonts w:ascii="Times New Roman" w:hAnsi="Times New Roman" w:cs="Times New Roman"/>
        </w:rPr>
        <w:t>”</w:t>
      </w:r>
      <w:r w:rsidRPr="00921BB8">
        <w:rPr>
          <w:rStyle w:val="Rimandonotaapidipagina"/>
          <w:rFonts w:ascii="Times New Roman" w:hAnsi="Times New Roman" w:cs="Times New Roman"/>
          <w:lang w:val="de-DE"/>
        </w:rPr>
        <w:footnoteReference w:id="1014"/>
      </w:r>
      <w:r w:rsidRPr="00921BB8">
        <w:rPr>
          <w:rFonts w:ascii="Times New Roman" w:hAnsi="Times New Roman" w:cs="Times New Roman"/>
          <w:lang w:val="de-DE"/>
        </w:rPr>
        <w:t>. Seit jeher gibt es „eine Substanz, die bloß aus Nichts hervorgegangen, oder durch Nichts geschaffen wäre</w:t>
      </w:r>
      <w:r w:rsidRPr="00921BB8">
        <w:rPr>
          <w:rFonts w:ascii="Times New Roman" w:hAnsi="Times New Roman" w:cs="Times New Roman"/>
        </w:rPr>
        <w:t>”</w:t>
      </w:r>
      <w:r w:rsidRPr="00921BB8">
        <w:rPr>
          <w:rStyle w:val="Rimandonotaapidipagina"/>
          <w:rFonts w:ascii="Times New Roman" w:hAnsi="Times New Roman" w:cs="Times New Roman"/>
          <w:lang w:val="de-DE"/>
        </w:rPr>
        <w:footnoteReference w:id="1015"/>
      </w:r>
      <w:r w:rsidRPr="00921BB8">
        <w:rPr>
          <w:rFonts w:ascii="Times New Roman" w:hAnsi="Times New Roman" w:cs="Times New Roman"/>
          <w:lang w:val="de-DE"/>
        </w:rPr>
        <w:t>. Das Unendliche ist eine „geistige Natur</w:t>
      </w:r>
      <w:r w:rsidRPr="00921BB8">
        <w:rPr>
          <w:rFonts w:ascii="Times New Roman" w:hAnsi="Times New Roman" w:cs="Times New Roman"/>
        </w:rPr>
        <w:t>”</w:t>
      </w:r>
      <w:r w:rsidRPr="00921BB8">
        <w:rPr>
          <w:rFonts w:ascii="Times New Roman" w:hAnsi="Times New Roman" w:cs="Times New Roman"/>
          <w:lang w:val="de-DE"/>
        </w:rPr>
        <w:t>, die „unerschaffen ewig, intellektuell, empfindend und lebendig, selbstbewegend, unermeßlich, und aus sich selbst nothwendig vorhanden</w:t>
      </w:r>
      <w:r w:rsidRPr="00921BB8">
        <w:rPr>
          <w:rFonts w:ascii="Times New Roman" w:hAnsi="Times New Roman" w:cs="Times New Roman"/>
        </w:rPr>
        <w:t>”</w:t>
      </w:r>
      <w:r w:rsidRPr="00921BB8">
        <w:rPr>
          <w:rFonts w:ascii="Times New Roman" w:hAnsi="Times New Roman" w:cs="Times New Roman"/>
          <w:lang w:val="de-DE"/>
        </w:rPr>
        <w:t xml:space="preserve"> ist</w:t>
      </w:r>
      <w:r w:rsidRPr="00921BB8">
        <w:rPr>
          <w:rStyle w:val="Rimandonotaapidipagina"/>
          <w:rFonts w:ascii="Times New Roman" w:hAnsi="Times New Roman" w:cs="Times New Roman"/>
          <w:lang w:val="de-DE"/>
        </w:rPr>
        <w:footnoteReference w:id="1016"/>
      </w:r>
      <w:r w:rsidRPr="00921BB8">
        <w:rPr>
          <w:rFonts w:ascii="Times New Roman" w:hAnsi="Times New Roman" w:cs="Times New Roman"/>
          <w:lang w:val="de-DE"/>
        </w:rPr>
        <w:t>. Wegen der V</w:t>
      </w:r>
      <w:r w:rsidR="0086543A">
        <w:rPr>
          <w:rFonts w:ascii="Times New Roman" w:hAnsi="Times New Roman" w:cs="Times New Roman"/>
          <w:lang w:val="de-DE"/>
        </w:rPr>
        <w:t>ermittlung des Adam Kadmons breite</w:t>
      </w:r>
      <w:r w:rsidRPr="00921BB8">
        <w:rPr>
          <w:rFonts w:ascii="Times New Roman" w:hAnsi="Times New Roman" w:cs="Times New Roman"/>
          <w:lang w:val="de-DE"/>
        </w:rPr>
        <w:t>t sich das Unendliche (nach seiner ursprünglichen Einschränkung) in die vier Welten der kabbalistischen Kosmologie aus, die in sich verschiedene Grade des göttlichen Urlichts</w:t>
      </w:r>
      <w:r w:rsidR="0086543A">
        <w:rPr>
          <w:rFonts w:ascii="Times New Roman" w:hAnsi="Times New Roman" w:cs="Times New Roman"/>
          <w:lang w:val="de-DE"/>
        </w:rPr>
        <w:t xml:space="preserve"> </w:t>
      </w:r>
      <w:r w:rsidRPr="00921BB8">
        <w:rPr>
          <w:rFonts w:ascii="Times New Roman" w:hAnsi="Times New Roman" w:cs="Times New Roman"/>
          <w:lang w:val="de-DE"/>
        </w:rPr>
        <w:t>behalten</w:t>
      </w:r>
      <w:r w:rsidRPr="00921BB8">
        <w:rPr>
          <w:rStyle w:val="Rimandonotaapidipagina"/>
          <w:rFonts w:ascii="Times New Roman" w:hAnsi="Times New Roman" w:cs="Times New Roman"/>
          <w:lang w:val="de-DE"/>
        </w:rPr>
        <w:t xml:space="preserve"> </w:t>
      </w:r>
      <w:r w:rsidRPr="00921BB8">
        <w:rPr>
          <w:rStyle w:val="Rimandonotaapidipagina"/>
          <w:rFonts w:ascii="Times New Roman" w:hAnsi="Times New Roman" w:cs="Times New Roman"/>
          <w:lang w:val="de-DE"/>
        </w:rPr>
        <w:footnoteReference w:id="1017"/>
      </w:r>
      <w:r w:rsidRPr="00921BB8">
        <w:rPr>
          <w:rFonts w:ascii="Times New Roman" w:hAnsi="Times New Roman" w:cs="Times New Roman"/>
          <w:lang w:val="de-DE"/>
        </w:rPr>
        <w:t>. Ihrem Spiritualismus zufolge „wird von den Kabbalisten gefolgert, daß eigentlich und überhaupt keine Materie an und für sich existiere</w:t>
      </w:r>
      <w:r w:rsidRPr="00921BB8">
        <w:rPr>
          <w:rFonts w:ascii="Times New Roman" w:hAnsi="Times New Roman" w:cs="Times New Roman"/>
        </w:rPr>
        <w:t>”</w:t>
      </w:r>
      <w:r w:rsidRPr="00921BB8">
        <w:rPr>
          <w:rStyle w:val="Rimandonotaapidipagina"/>
          <w:rFonts w:ascii="Times New Roman" w:hAnsi="Times New Roman" w:cs="Times New Roman"/>
          <w:lang w:val="de-DE"/>
        </w:rPr>
        <w:footnoteReference w:id="1018"/>
      </w:r>
      <w:r w:rsidRPr="00921BB8">
        <w:rPr>
          <w:rFonts w:ascii="Times New Roman" w:hAnsi="Times New Roman" w:cs="Times New Roman"/>
          <w:lang w:val="de-DE"/>
        </w:rPr>
        <w:t xml:space="preserve"> .</w:t>
      </w:r>
    </w:p>
    <w:p w14:paraId="30EE8A61" w14:textId="77777777" w:rsidR="001C3D81" w:rsidRPr="00921BB8" w:rsidRDefault="001C3D81" w:rsidP="001C3D81">
      <w:pPr>
        <w:spacing w:line="360" w:lineRule="auto"/>
        <w:ind w:firstLine="567"/>
        <w:jc w:val="both"/>
        <w:rPr>
          <w:rFonts w:ascii="Times New Roman" w:hAnsi="Times New Roman" w:cs="Times New Roman"/>
          <w:lang w:val="de-DE"/>
        </w:rPr>
      </w:pPr>
      <w:r w:rsidRPr="00921BB8">
        <w:rPr>
          <w:rFonts w:ascii="Times New Roman" w:hAnsi="Times New Roman" w:cs="Times New Roman"/>
          <w:lang w:val="de-DE"/>
        </w:rPr>
        <w:t>Die Frage nach der theoretischen „Verwandtschaft</w:t>
      </w:r>
      <w:r w:rsidRPr="00921BB8">
        <w:rPr>
          <w:rFonts w:ascii="Times New Roman" w:hAnsi="Times New Roman" w:cs="Times New Roman"/>
        </w:rPr>
        <w:t>”</w:t>
      </w:r>
      <w:r w:rsidRPr="00921BB8">
        <w:rPr>
          <w:rFonts w:ascii="Times New Roman" w:hAnsi="Times New Roman" w:cs="Times New Roman"/>
          <w:lang w:val="de-DE"/>
        </w:rPr>
        <w:t xml:space="preserve"> von Kabbala und Spinozismus wird im sechsten Band des </w:t>
      </w:r>
      <w:r w:rsidRPr="00921BB8">
        <w:rPr>
          <w:rFonts w:ascii="Times New Roman" w:hAnsi="Times New Roman" w:cs="Times New Roman"/>
          <w:i/>
          <w:lang w:val="de-DE"/>
        </w:rPr>
        <w:t xml:space="preserve">Lehrbuchs </w:t>
      </w:r>
      <w:r w:rsidRPr="00921BB8">
        <w:rPr>
          <w:rFonts w:ascii="Times New Roman" w:hAnsi="Times New Roman" w:cs="Times New Roman"/>
          <w:lang w:val="de-DE"/>
        </w:rPr>
        <w:t xml:space="preserve">(1801) thematisiert. Um das Spinozistische System darzustellen, folgt Buhle dem Interpretationsmodell der </w:t>
      </w:r>
      <w:r w:rsidRPr="00921BB8">
        <w:rPr>
          <w:rFonts w:ascii="Times New Roman" w:hAnsi="Times New Roman" w:cs="Times New Roman"/>
          <w:i/>
          <w:lang w:val="de-DE"/>
        </w:rPr>
        <w:t>Spinozabriefe</w:t>
      </w:r>
      <w:r w:rsidRPr="00921BB8">
        <w:rPr>
          <w:rFonts w:ascii="Times New Roman" w:hAnsi="Times New Roman" w:cs="Times New Roman"/>
          <w:lang w:val="de-DE"/>
        </w:rPr>
        <w:t>. Aufgrund des kabbalistischen Prinzips „aus Nichts wird Nichts</w:t>
      </w:r>
      <w:r w:rsidRPr="00921BB8">
        <w:rPr>
          <w:rFonts w:ascii="Times New Roman" w:hAnsi="Times New Roman" w:cs="Times New Roman"/>
        </w:rPr>
        <w:t>”</w:t>
      </w:r>
      <w:r w:rsidRPr="00921BB8">
        <w:rPr>
          <w:rStyle w:val="Rimandonotaapidipagina"/>
          <w:rFonts w:ascii="Times New Roman" w:hAnsi="Times New Roman" w:cs="Times New Roman"/>
          <w:lang w:val="de-DE"/>
        </w:rPr>
        <w:footnoteReference w:id="1019"/>
      </w:r>
      <w:r w:rsidRPr="00921BB8">
        <w:rPr>
          <w:rFonts w:ascii="Times New Roman" w:hAnsi="Times New Roman" w:cs="Times New Roman"/>
          <w:lang w:val="de-DE"/>
        </w:rPr>
        <w:t xml:space="preserve"> gibt es nur ein Wesen, das „in sich selbst Bestehende, ewig Unveränderliche</w:t>
      </w:r>
      <w:r w:rsidRPr="00921BB8">
        <w:rPr>
          <w:rFonts w:ascii="Times New Roman" w:hAnsi="Times New Roman" w:cs="Times New Roman"/>
        </w:rPr>
        <w:t>”</w:t>
      </w:r>
      <w:r w:rsidRPr="00921BB8">
        <w:rPr>
          <w:rFonts w:ascii="Times New Roman" w:hAnsi="Times New Roman" w:cs="Times New Roman"/>
          <w:lang w:val="de-DE"/>
        </w:rPr>
        <w:t>, das „als solches nie ein Wandelbares hervorbringen kann</w:t>
      </w:r>
      <w:r w:rsidRPr="00921BB8">
        <w:rPr>
          <w:rFonts w:ascii="Times New Roman" w:hAnsi="Times New Roman" w:cs="Times New Roman"/>
        </w:rPr>
        <w:t>”</w:t>
      </w:r>
      <w:r w:rsidRPr="00921BB8">
        <w:rPr>
          <w:rStyle w:val="Rimandonotaapidipagina"/>
          <w:rFonts w:ascii="Times New Roman" w:hAnsi="Times New Roman" w:cs="Times New Roman"/>
          <w:lang w:val="de-DE"/>
        </w:rPr>
        <w:footnoteReference w:id="1020"/>
      </w:r>
      <w:r w:rsidRPr="00921BB8">
        <w:rPr>
          <w:rFonts w:ascii="Times New Roman" w:hAnsi="Times New Roman" w:cs="Times New Roman"/>
          <w:lang w:val="de-DE"/>
        </w:rPr>
        <w:t xml:space="preserve"> . In Bezug auf die Jacobische Auslegung des Ausdruckes Spinozas „</w:t>
      </w:r>
      <w:r w:rsidRPr="00921BB8">
        <w:rPr>
          <w:rFonts w:ascii="Times New Roman" w:hAnsi="Times New Roman" w:cs="Times New Roman"/>
          <w:i/>
          <w:lang w:val="de-DE"/>
        </w:rPr>
        <w:t>determinatio est negatio</w:t>
      </w:r>
      <w:r w:rsidRPr="00921BB8">
        <w:rPr>
          <w:rFonts w:ascii="Times New Roman" w:hAnsi="Times New Roman" w:cs="Times New Roman"/>
          <w:lang w:val="de-DE"/>
        </w:rPr>
        <w:t>”</w:t>
      </w:r>
      <w:r w:rsidRPr="00921BB8">
        <w:rPr>
          <w:rFonts w:ascii="Times New Roman" w:hAnsi="Times New Roman" w:cs="Times New Roman"/>
          <w:i/>
          <w:lang w:val="de-DE"/>
        </w:rPr>
        <w:t xml:space="preserve"> </w:t>
      </w:r>
      <w:r w:rsidRPr="00921BB8">
        <w:rPr>
          <w:rFonts w:ascii="Times New Roman" w:hAnsi="Times New Roman" w:cs="Times New Roman"/>
          <w:lang w:val="de-DE"/>
        </w:rPr>
        <w:t>bemerkt Buhle: „das Endliche kann nicht ausser dem Unendlichen seyn; denn wäre es dieses, da muss es entweder ein für sich bestehendes Wesen, oder aus dem Nichts hervorgegangenen seyn [...] Das Endliche ist auch in und mit dem Unendlichen, und beyde machen eine Absolute Einheit</w:t>
      </w:r>
      <w:r w:rsidRPr="00921BB8">
        <w:rPr>
          <w:rFonts w:ascii="Times New Roman" w:hAnsi="Times New Roman" w:cs="Times New Roman"/>
        </w:rPr>
        <w:t>”</w:t>
      </w:r>
      <w:r w:rsidRPr="00921BB8">
        <w:rPr>
          <w:rStyle w:val="Rimandonotaapidipagina"/>
          <w:rFonts w:ascii="Times New Roman" w:hAnsi="Times New Roman" w:cs="Times New Roman"/>
          <w:lang w:val="de-DE"/>
        </w:rPr>
        <w:footnoteReference w:id="1021"/>
      </w:r>
      <w:r w:rsidRPr="00921BB8">
        <w:rPr>
          <w:rFonts w:ascii="Times New Roman" w:hAnsi="Times New Roman" w:cs="Times New Roman"/>
          <w:lang w:val="de-DE"/>
        </w:rPr>
        <w:t>. Die Annahme des kabbalistischen Grundsatzes „</w:t>
      </w:r>
      <w:r w:rsidRPr="00921BB8">
        <w:rPr>
          <w:rFonts w:ascii="Times New Roman" w:hAnsi="Times New Roman" w:cs="Times New Roman"/>
          <w:i/>
          <w:lang w:val="de-DE"/>
        </w:rPr>
        <w:t>aus Nichts wird Nichts</w:t>
      </w:r>
      <w:r w:rsidRPr="00921BB8">
        <w:rPr>
          <w:rFonts w:ascii="Times New Roman" w:hAnsi="Times New Roman" w:cs="Times New Roman"/>
        </w:rPr>
        <w:t>”</w:t>
      </w:r>
      <w:r w:rsidRPr="00921BB8">
        <w:rPr>
          <w:rFonts w:ascii="Times New Roman" w:hAnsi="Times New Roman" w:cs="Times New Roman"/>
          <w:i/>
          <w:lang w:val="de-DE"/>
        </w:rPr>
        <w:t xml:space="preserve"> </w:t>
      </w:r>
      <w:r w:rsidRPr="00921BB8">
        <w:rPr>
          <w:rFonts w:ascii="Times New Roman" w:hAnsi="Times New Roman" w:cs="Times New Roman"/>
          <w:lang w:val="de-DE"/>
        </w:rPr>
        <w:t xml:space="preserve">und des Prinzips </w:t>
      </w:r>
      <w:r w:rsidRPr="00921BB8">
        <w:rPr>
          <w:rFonts w:ascii="Times New Roman" w:hAnsi="Times New Roman" w:cs="Times New Roman"/>
          <w:i/>
          <w:lang w:val="de-DE"/>
        </w:rPr>
        <w:t xml:space="preserve">determinatio est negatio </w:t>
      </w:r>
      <w:r w:rsidRPr="00921BB8">
        <w:rPr>
          <w:rFonts w:ascii="Times New Roman" w:hAnsi="Times New Roman" w:cs="Times New Roman"/>
          <w:lang w:val="de-DE"/>
        </w:rPr>
        <w:t xml:space="preserve">bestimmen α) die unbestimmte und unbestimmbare Affirmation der unendlichen Substanz, β) die Negation der göttlichen Kausalität und γ) die scheinbare Existenz des Endlichen. </w:t>
      </w:r>
    </w:p>
    <w:p w14:paraId="4A3F87C6" w14:textId="77777777" w:rsidR="001C3D81" w:rsidRPr="00921BB8" w:rsidRDefault="001C3D81" w:rsidP="001C3D81">
      <w:pPr>
        <w:spacing w:line="360" w:lineRule="auto"/>
        <w:jc w:val="both"/>
        <w:rPr>
          <w:rFonts w:ascii="Times New Roman" w:hAnsi="Times New Roman" w:cs="Times New Roman"/>
        </w:rPr>
      </w:pPr>
    </w:p>
    <w:p w14:paraId="02489D49" w14:textId="77777777" w:rsidR="001C3D81" w:rsidRPr="00921BB8" w:rsidRDefault="001C3D81" w:rsidP="001C3D81">
      <w:pPr>
        <w:spacing w:line="360" w:lineRule="auto"/>
        <w:jc w:val="both"/>
        <w:rPr>
          <w:rFonts w:ascii="Times New Roman" w:hAnsi="Times New Roman" w:cs="Times New Roman"/>
          <w:i/>
        </w:rPr>
      </w:pPr>
      <w:r w:rsidRPr="00921BB8">
        <w:rPr>
          <w:rFonts w:ascii="Times New Roman" w:hAnsi="Times New Roman" w:cs="Times New Roman"/>
          <w:i/>
        </w:rPr>
        <w:t xml:space="preserve">3.7 Einheit und Gegensatz: Kabbala und Spinozismus im </w:t>
      </w:r>
      <w:r w:rsidRPr="00921BB8">
        <w:rPr>
          <w:rFonts w:ascii="Times New Roman" w:hAnsi="Times New Roman" w:cs="Times New Roman"/>
        </w:rPr>
        <w:t>Grundriss einer Geschichte der Philosophie</w:t>
      </w:r>
      <w:r w:rsidRPr="00921BB8">
        <w:rPr>
          <w:rFonts w:ascii="Times New Roman" w:hAnsi="Times New Roman" w:cs="Times New Roman"/>
          <w:i/>
        </w:rPr>
        <w:t xml:space="preserve">. </w:t>
      </w:r>
    </w:p>
    <w:p w14:paraId="36C6B1A4" w14:textId="77777777" w:rsidR="001C3D81" w:rsidRPr="00921BB8" w:rsidRDefault="001C3D81" w:rsidP="001C3D81">
      <w:pPr>
        <w:spacing w:line="360" w:lineRule="auto"/>
        <w:ind w:firstLine="567"/>
        <w:jc w:val="both"/>
        <w:rPr>
          <w:rFonts w:ascii="Times New Roman" w:hAnsi="Times New Roman" w:cs="Times New Roman"/>
        </w:rPr>
      </w:pPr>
    </w:p>
    <w:p w14:paraId="7F99BC4A" w14:textId="77777777" w:rsidR="001C3D81" w:rsidRPr="00921BB8" w:rsidRDefault="001C3D81" w:rsidP="001C3D81">
      <w:pPr>
        <w:spacing w:line="360" w:lineRule="auto"/>
        <w:ind w:firstLine="567"/>
        <w:jc w:val="both"/>
        <w:rPr>
          <w:rFonts w:ascii="Times New Roman" w:hAnsi="Times New Roman" w:cs="Times New Roman"/>
          <w:lang w:val="de-DE"/>
        </w:rPr>
      </w:pPr>
      <w:r w:rsidRPr="00921BB8">
        <w:rPr>
          <w:rFonts w:ascii="Times New Roman" w:hAnsi="Times New Roman" w:cs="Times New Roman"/>
          <w:lang w:val="de-DE"/>
        </w:rPr>
        <w:t xml:space="preserve">In den einleitenden Bemerkungen seines </w:t>
      </w:r>
      <w:r w:rsidRPr="00921BB8">
        <w:rPr>
          <w:rFonts w:ascii="Times New Roman" w:hAnsi="Times New Roman" w:cs="Times New Roman"/>
          <w:i/>
          <w:lang w:val="de-DE"/>
        </w:rPr>
        <w:t xml:space="preserve">Grundrisses einer Geschichte der Philosophie </w:t>
      </w:r>
      <w:r w:rsidRPr="00921BB8">
        <w:rPr>
          <w:rFonts w:ascii="Times New Roman" w:hAnsi="Times New Roman" w:cs="Times New Roman"/>
          <w:lang w:val="de-DE"/>
        </w:rPr>
        <w:t>(Landshut 1807) schreibt Friedrich Ast, dass „alle Systeme, Ideen und Meinungen sind Offenbarungen Eines Geistes, und durch diesen in sich selbst verbunden</w:t>
      </w:r>
      <w:r w:rsidRPr="00921BB8">
        <w:rPr>
          <w:rFonts w:ascii="Times New Roman" w:hAnsi="Times New Roman" w:cs="Times New Roman"/>
        </w:rPr>
        <w:t>”</w:t>
      </w:r>
      <w:r w:rsidRPr="00921BB8">
        <w:rPr>
          <w:rStyle w:val="Rimandonotaapidipagina"/>
          <w:rFonts w:ascii="Times New Roman" w:hAnsi="Times New Roman" w:cs="Times New Roman"/>
          <w:lang w:val="de-DE"/>
        </w:rPr>
        <w:footnoteReference w:id="1022"/>
      </w:r>
      <w:r w:rsidRPr="00921BB8">
        <w:rPr>
          <w:rFonts w:ascii="Times New Roman" w:hAnsi="Times New Roman" w:cs="Times New Roman"/>
          <w:lang w:val="de-DE"/>
        </w:rPr>
        <w:t>. Dieser Geist ist das Ewige, „die Philosophie</w:t>
      </w:r>
      <w:r w:rsidRPr="00921BB8">
        <w:rPr>
          <w:rFonts w:ascii="Times New Roman" w:hAnsi="Times New Roman" w:cs="Times New Roman"/>
        </w:rPr>
        <w:t>”</w:t>
      </w:r>
      <w:r w:rsidRPr="00921BB8">
        <w:rPr>
          <w:rStyle w:val="Rimandonotaapidipagina"/>
          <w:rFonts w:ascii="Times New Roman" w:hAnsi="Times New Roman" w:cs="Times New Roman"/>
          <w:lang w:val="de-DE"/>
        </w:rPr>
        <w:footnoteReference w:id="1023"/>
      </w:r>
      <w:r w:rsidRPr="00921BB8">
        <w:rPr>
          <w:rFonts w:ascii="Times New Roman" w:hAnsi="Times New Roman" w:cs="Times New Roman"/>
          <w:lang w:val="de-DE"/>
        </w:rPr>
        <w:t>, die sich der Anschauung hingibt und zeitlich verwirklicht. Die Zeit ist in der Tat nichts anderes als „die Darstellung und Nachbildung des Ewigen</w:t>
      </w:r>
      <w:r w:rsidRPr="00921BB8">
        <w:rPr>
          <w:rFonts w:ascii="Times New Roman" w:hAnsi="Times New Roman" w:cs="Times New Roman"/>
        </w:rPr>
        <w:t>”</w:t>
      </w:r>
      <w:r w:rsidRPr="00921BB8">
        <w:rPr>
          <w:rStyle w:val="Rimandonotaapidipagina"/>
          <w:rFonts w:ascii="Times New Roman" w:hAnsi="Times New Roman" w:cs="Times New Roman"/>
          <w:lang w:val="de-DE"/>
        </w:rPr>
        <w:footnoteReference w:id="1024"/>
      </w:r>
      <w:r w:rsidRPr="00921BB8">
        <w:rPr>
          <w:rFonts w:ascii="Times New Roman" w:hAnsi="Times New Roman" w:cs="Times New Roman"/>
          <w:lang w:val="de-DE"/>
        </w:rPr>
        <w:t>; und die mannigfaltigen Darstellungen des Ewigen machen die Nachbilder seiner Lebendigkeit aus</w:t>
      </w:r>
      <w:r w:rsidRPr="00921BB8">
        <w:rPr>
          <w:rStyle w:val="Rimandonotaapidipagina"/>
          <w:rFonts w:ascii="Times New Roman" w:hAnsi="Times New Roman" w:cs="Times New Roman"/>
          <w:lang w:val="de-DE"/>
        </w:rPr>
        <w:footnoteReference w:id="1025"/>
      </w:r>
      <w:r w:rsidRPr="00921BB8">
        <w:rPr>
          <w:rFonts w:ascii="Times New Roman" w:hAnsi="Times New Roman" w:cs="Times New Roman"/>
          <w:lang w:val="de-DE"/>
        </w:rPr>
        <w:t xml:space="preserve">. Die harmonische Einheit von Unendlichem (Ewigkeit) und Endlichem (Zeitlichkeit) stellt das Gesetz der Bildung des Lebendigen dar. Da die Philosophie ein lebendiges (nicht abstraktes) Wissen ist, entwickelt sie sich organisch: das Ewige α) opfert seine Einheit auf, β) gestaltet sich zeitlich, γ) überwindet seine zeitlichen Darstellungen und δ) kehrt zu sich selbst zurück. </w:t>
      </w:r>
    </w:p>
    <w:p w14:paraId="47D96050" w14:textId="77777777" w:rsidR="001C3D81" w:rsidRPr="00921BB8" w:rsidRDefault="001C3D81" w:rsidP="001C3D81">
      <w:pPr>
        <w:spacing w:line="360" w:lineRule="auto"/>
        <w:ind w:firstLine="567"/>
        <w:jc w:val="both"/>
        <w:rPr>
          <w:rFonts w:ascii="Times New Roman" w:hAnsi="Times New Roman" w:cs="Times New Roman"/>
          <w:lang w:val="de-DE"/>
        </w:rPr>
      </w:pPr>
      <w:r w:rsidRPr="00921BB8">
        <w:rPr>
          <w:rFonts w:ascii="Times New Roman" w:hAnsi="Times New Roman" w:cs="Times New Roman"/>
          <w:lang w:val="de-DE"/>
        </w:rPr>
        <w:t xml:space="preserve">Nach der Definition dieses Begriffes der Geschichte der Philosophie ist es nötig, Asts Analyse der kabbalistischen Philosophie in Betracht zu ziehen. Als theoretische Basis seiner Darstellung nimmt der </w:t>
      </w:r>
      <w:r w:rsidRPr="00921BB8">
        <w:rPr>
          <w:rFonts w:ascii="Times New Roman" w:hAnsi="Times New Roman" w:cs="Times New Roman"/>
          <w:i/>
          <w:lang w:val="de-DE"/>
        </w:rPr>
        <w:t xml:space="preserve">Grundriss </w:t>
      </w:r>
      <w:r w:rsidRPr="00921BB8">
        <w:rPr>
          <w:rFonts w:ascii="Times New Roman" w:hAnsi="Times New Roman" w:cs="Times New Roman"/>
          <w:lang w:val="de-DE"/>
        </w:rPr>
        <w:t xml:space="preserve">das </w:t>
      </w:r>
      <w:r w:rsidRPr="00921BB8">
        <w:rPr>
          <w:rFonts w:ascii="Times New Roman" w:hAnsi="Times New Roman" w:cs="Times New Roman"/>
          <w:i/>
          <w:lang w:val="de-DE"/>
        </w:rPr>
        <w:t>Lehrbuch der Geschichte der Philosophie</w:t>
      </w:r>
      <w:r w:rsidRPr="00921BB8">
        <w:rPr>
          <w:rFonts w:ascii="Times New Roman" w:hAnsi="Times New Roman" w:cs="Times New Roman"/>
          <w:lang w:val="de-DE"/>
        </w:rPr>
        <w:t xml:space="preserve"> auf. Die Argumentation Buhles wird fast wörtlich wiederholt:</w:t>
      </w:r>
    </w:p>
    <w:p w14:paraId="7950B999" w14:textId="77777777" w:rsidR="001C3D81" w:rsidRPr="00921BB8" w:rsidRDefault="001C3D81" w:rsidP="001C3D81">
      <w:pPr>
        <w:spacing w:line="360" w:lineRule="auto"/>
        <w:ind w:left="567" w:firstLine="567"/>
        <w:jc w:val="both"/>
        <w:rPr>
          <w:rFonts w:ascii="Times New Roman" w:hAnsi="Times New Roman" w:cs="Times New Roman"/>
        </w:rPr>
      </w:pPr>
    </w:p>
    <w:p w14:paraId="28ED08F0" w14:textId="77777777" w:rsidR="001C3D81" w:rsidRPr="00921BB8" w:rsidRDefault="001C3D81" w:rsidP="001C3D81">
      <w:pPr>
        <w:spacing w:line="360" w:lineRule="auto"/>
        <w:ind w:left="567"/>
        <w:jc w:val="both"/>
        <w:rPr>
          <w:rFonts w:ascii="Times New Roman" w:hAnsi="Times New Roman" w:cs="Times New Roman"/>
          <w:sz w:val="20"/>
          <w:szCs w:val="20"/>
          <w:lang w:val="de-DE"/>
        </w:rPr>
      </w:pPr>
      <w:r w:rsidRPr="00921BB8">
        <w:rPr>
          <w:rFonts w:ascii="Times New Roman" w:hAnsi="Times New Roman" w:cs="Times New Roman"/>
          <w:sz w:val="20"/>
          <w:szCs w:val="20"/>
          <w:lang w:val="de-DE"/>
        </w:rPr>
        <w:t>Aus Nichts kann Nichts enstehen. Die Materie kann daher nicht aus Nichts entstanden sey, eben so wenig aber aus sich selbst, weil sie keine Form hat. Folglich giebt es überhaupt keine Materie an sich, und alles ist geistiger Natur, ewig, sich selbst bewegend, unendlich und durch sich selbst seyend. Das Geistige ist das Ensoph, die unendliche Gottheit, der Realgrund alles Seyns. Aus ihm fliesst alles aus; weil die Dinge aber nur aus ihm emanieren können, so bestehen sie auch nur in ihm. Die Welt ist daher die immanente Wirkung der Gottheit, durch welche sie ihre Wesenheiten nach unendlichen Stufen und Arten dargestellt hat</w:t>
      </w:r>
      <w:r w:rsidRPr="00921BB8">
        <w:rPr>
          <w:rStyle w:val="Rimandonotaapidipagina"/>
          <w:rFonts w:ascii="Times New Roman" w:hAnsi="Times New Roman" w:cs="Times New Roman"/>
          <w:sz w:val="20"/>
          <w:szCs w:val="20"/>
          <w:lang w:val="de-DE"/>
        </w:rPr>
        <w:footnoteReference w:id="1026"/>
      </w:r>
      <w:r w:rsidRPr="00921BB8">
        <w:rPr>
          <w:rFonts w:ascii="Times New Roman" w:hAnsi="Times New Roman" w:cs="Times New Roman"/>
          <w:sz w:val="20"/>
          <w:szCs w:val="20"/>
          <w:lang w:val="de-DE"/>
        </w:rPr>
        <w:t>.</w:t>
      </w:r>
    </w:p>
    <w:p w14:paraId="287C9776" w14:textId="77777777" w:rsidR="001C3D81" w:rsidRPr="00921BB8" w:rsidRDefault="001C3D81" w:rsidP="001C3D81">
      <w:pPr>
        <w:spacing w:line="360" w:lineRule="auto"/>
        <w:ind w:left="1134" w:firstLine="567"/>
        <w:jc w:val="both"/>
        <w:rPr>
          <w:rFonts w:ascii="Times New Roman" w:hAnsi="Times New Roman" w:cs="Times New Roman"/>
          <w:lang w:val="de-DE"/>
        </w:rPr>
      </w:pPr>
    </w:p>
    <w:p w14:paraId="4ECB4D27" w14:textId="22428D9A" w:rsidR="001C3D81" w:rsidRPr="00E81287" w:rsidRDefault="001C3D81" w:rsidP="001C3D81">
      <w:pPr>
        <w:spacing w:line="360" w:lineRule="auto"/>
        <w:ind w:firstLine="567"/>
        <w:jc w:val="both"/>
        <w:rPr>
          <w:rFonts w:ascii="Times New Roman" w:hAnsi="Times New Roman" w:cs="Times New Roman"/>
          <w:lang w:val="de-DE"/>
        </w:rPr>
      </w:pPr>
      <w:r w:rsidRPr="00E81287">
        <w:rPr>
          <w:rFonts w:ascii="Times New Roman" w:hAnsi="Times New Roman" w:cs="Times New Roman"/>
          <w:lang w:val="de-DE"/>
        </w:rPr>
        <w:t>Aus Nichts kann nichts entstehen und seit jeher gibt es eine geistliche Natur, die sich mit der unendlichen Gottheit, mit dem En-soph, identifiziert. Ast greift die Interpretationen Buhles und Mores auf und behauptet, dass die kabbalistische Kosmologie der Materie kein Dasein zuschreibt. Der Emanationslehre zufolge fliesst aus dem Unendlichen unmittelbar eine Wirkung (der Urmensch), die die Grundlage der aufeinanderfolg</w:t>
      </w:r>
      <w:r w:rsidR="002E0089" w:rsidRPr="00E81287">
        <w:rPr>
          <w:rFonts w:ascii="Times New Roman" w:hAnsi="Times New Roman" w:cs="Times New Roman"/>
          <w:lang w:val="de-DE"/>
        </w:rPr>
        <w:t>enden Emanationsstufen ist: „um alle Wesenheiten aus seiner Verborgenheit hervorgehen zu lassen, liess Gott einen ersten Grundquell der Dinge aus sich fliessen, den erstgebohrnen Sohn, Adam Kadmon</w:t>
      </w:r>
      <w:r w:rsidR="002E0089" w:rsidRPr="00E81287">
        <w:rPr>
          <w:rFonts w:ascii="Times New Roman" w:hAnsi="Times New Roman" w:cs="Times New Roman"/>
        </w:rPr>
        <w:t>”</w:t>
      </w:r>
      <w:r w:rsidR="002E0089" w:rsidRPr="00E81287">
        <w:rPr>
          <w:rStyle w:val="Rimandonotaapidipagina"/>
          <w:rFonts w:ascii="Times New Roman" w:hAnsi="Times New Roman" w:cs="Times New Roman"/>
        </w:rPr>
        <w:footnoteReference w:id="1027"/>
      </w:r>
      <w:r w:rsidR="002E0089" w:rsidRPr="00E81287">
        <w:rPr>
          <w:rFonts w:ascii="Times New Roman" w:hAnsi="Times New Roman" w:cs="Times New Roman"/>
        </w:rPr>
        <w:t>.</w:t>
      </w:r>
      <w:r w:rsidRPr="00921BB8">
        <w:rPr>
          <w:rFonts w:ascii="Times New Roman" w:hAnsi="Times New Roman" w:cs="Times New Roman"/>
          <w:lang w:val="de-DE"/>
        </w:rPr>
        <w:t xml:space="preserve"> Nach der Entstehung der aziluthischen Welt, die mit Adam Kadmon vereinigt ist, folgen noch drei weitere Welten aufeinander, die unterschiedlich vom göttlichen Licht durchdrungen sind</w:t>
      </w:r>
      <w:r w:rsidRPr="00921BB8">
        <w:rPr>
          <w:rStyle w:val="Rimandonotaapidipagina"/>
          <w:rFonts w:ascii="Times New Roman" w:hAnsi="Times New Roman" w:cs="Times New Roman"/>
          <w:lang w:val="de-DE"/>
        </w:rPr>
        <w:footnoteReference w:id="1028"/>
      </w:r>
      <w:r w:rsidRPr="00921BB8">
        <w:rPr>
          <w:rFonts w:ascii="Times New Roman" w:hAnsi="Times New Roman" w:cs="Times New Roman"/>
          <w:lang w:val="de-DE"/>
        </w:rPr>
        <w:t xml:space="preserve">. Die jüdische Kabbala strukturiert sich als ein spiritualistischer Monismus, in dem das </w:t>
      </w:r>
      <w:r w:rsidRPr="00E81287">
        <w:rPr>
          <w:rFonts w:ascii="Times New Roman" w:hAnsi="Times New Roman" w:cs="Times New Roman"/>
          <w:lang w:val="de-DE"/>
        </w:rPr>
        <w:t>göttliche Wesen die Emanationsstufen durchdringt und in Einheit mit sich bewahrt.</w:t>
      </w:r>
    </w:p>
    <w:p w14:paraId="685BAF5A" w14:textId="0B20E52F" w:rsidR="001C3D81" w:rsidRPr="00921BB8" w:rsidRDefault="001C3D81" w:rsidP="001C3D81">
      <w:pPr>
        <w:spacing w:line="360" w:lineRule="auto"/>
        <w:ind w:firstLine="567"/>
        <w:jc w:val="both"/>
        <w:rPr>
          <w:rFonts w:ascii="Times New Roman" w:hAnsi="Times New Roman" w:cs="Times New Roman"/>
          <w:lang w:val="de-DE"/>
        </w:rPr>
      </w:pPr>
      <w:r w:rsidRPr="00E81287">
        <w:rPr>
          <w:rFonts w:ascii="Times New Roman" w:hAnsi="Times New Roman" w:cs="Times New Roman"/>
          <w:lang w:val="de-DE"/>
        </w:rPr>
        <w:t xml:space="preserve">Die Frage nach der Beziehung zwischen Spinozismus und Kabbala wird nicht im </w:t>
      </w:r>
      <w:r w:rsidRPr="00E81287">
        <w:rPr>
          <w:rFonts w:ascii="Times New Roman" w:hAnsi="Times New Roman" w:cs="Times New Roman"/>
          <w:i/>
          <w:lang w:val="de-DE"/>
        </w:rPr>
        <w:t>Grundriss einer Geschichte der Philosophie</w:t>
      </w:r>
      <w:r w:rsidRPr="00E81287">
        <w:rPr>
          <w:rFonts w:ascii="Times New Roman" w:hAnsi="Times New Roman" w:cs="Times New Roman"/>
          <w:lang w:val="de-DE"/>
        </w:rPr>
        <w:t xml:space="preserve"> thematisiert: Friedrich Ast interessiert sich für den theoretischen Wert und nicht für den historisch-kulturellen Hintergrund des Spinozismus. Im Gegensatz zu Descartes bietet der Spinozismus eine Auflösung des Dualismus der Substanzen dar, die sich mit dem eleatischen Gedanken verbindet: Spinoza hebt die Antinomien der </w:t>
      </w:r>
      <w:r w:rsidR="003C2EE8" w:rsidRPr="00E81287">
        <w:rPr>
          <w:rFonts w:ascii="Times New Roman" w:hAnsi="Times New Roman" w:cs="Times New Roman"/>
          <w:lang w:val="de-DE"/>
        </w:rPr>
        <w:t xml:space="preserve">modernen Philosophie </w:t>
      </w:r>
      <w:r w:rsidRPr="00E81287">
        <w:rPr>
          <w:rFonts w:ascii="Times New Roman" w:hAnsi="Times New Roman" w:cs="Times New Roman"/>
          <w:lang w:val="de-DE"/>
        </w:rPr>
        <w:t>auf und</w:t>
      </w:r>
      <w:r w:rsidRPr="00921BB8">
        <w:rPr>
          <w:rFonts w:ascii="Times New Roman" w:hAnsi="Times New Roman" w:cs="Times New Roman"/>
          <w:lang w:val="de-DE"/>
        </w:rPr>
        <w:t xml:space="preserve"> erhebt das Absolute, „die Eine, absolute, unendliche, schlechthin einfache und unheilbare Substanz</w:t>
      </w:r>
      <w:r w:rsidRPr="00921BB8">
        <w:rPr>
          <w:rFonts w:ascii="Times New Roman" w:hAnsi="Times New Roman" w:cs="Times New Roman"/>
        </w:rPr>
        <w:t>”</w:t>
      </w:r>
      <w:r w:rsidRPr="00921BB8">
        <w:rPr>
          <w:rStyle w:val="Rimandonotaapidipagina"/>
          <w:rFonts w:ascii="Times New Roman" w:hAnsi="Times New Roman" w:cs="Times New Roman"/>
          <w:lang w:val="de-DE"/>
        </w:rPr>
        <w:footnoteReference w:id="1029"/>
      </w:r>
      <w:r w:rsidRPr="00921BB8">
        <w:rPr>
          <w:rFonts w:ascii="Times New Roman" w:hAnsi="Times New Roman" w:cs="Times New Roman"/>
          <w:lang w:val="de-DE"/>
        </w:rPr>
        <w:t>, zum Prinzip seines Systems. Obwohl die Spinozistische Substanz den kartesianischen Dualismus überwunden hat, stellt Ast fest, dass der Gegensatz, der das Wesen des Fichteschen Idealismus ausmacht, ein wesentliches Moment des geistlichen Lebens ist, das dem System Spinozas nicht zugeschrieben werden kann. Die Lebendigkeit und Wahrhei</w:t>
      </w:r>
      <w:r w:rsidR="006639C6">
        <w:rPr>
          <w:rFonts w:ascii="Times New Roman" w:hAnsi="Times New Roman" w:cs="Times New Roman"/>
          <w:lang w:val="de-DE"/>
        </w:rPr>
        <w:t>t des philosophischen Wissens we</w:t>
      </w:r>
      <w:r w:rsidRPr="00921BB8">
        <w:rPr>
          <w:rFonts w:ascii="Times New Roman" w:hAnsi="Times New Roman" w:cs="Times New Roman"/>
          <w:lang w:val="de-DE"/>
        </w:rPr>
        <w:t>rd</w:t>
      </w:r>
      <w:r w:rsidR="006639C6">
        <w:rPr>
          <w:rFonts w:ascii="Times New Roman" w:hAnsi="Times New Roman" w:cs="Times New Roman"/>
          <w:lang w:val="de-DE"/>
        </w:rPr>
        <w:t>en</w:t>
      </w:r>
      <w:r w:rsidRPr="00921BB8">
        <w:rPr>
          <w:rFonts w:ascii="Times New Roman" w:hAnsi="Times New Roman" w:cs="Times New Roman"/>
          <w:lang w:val="de-DE"/>
        </w:rPr>
        <w:t xml:space="preserve"> jedoch von Schelling erreicht, der die absolute Identität erkannt hat, wo die vorherigen Systeme entweder die abstrakte Identität von Sein und Denken (Spinoza) oder den unauflösbaren Gegensatz von Realismus und Idealismus (Fichte) erfasst hatten.</w:t>
      </w:r>
    </w:p>
    <w:p w14:paraId="2062F5E6" w14:textId="77777777" w:rsidR="001C3D81" w:rsidRPr="00921BB8" w:rsidRDefault="001C3D81" w:rsidP="001C3D81">
      <w:pPr>
        <w:spacing w:line="360" w:lineRule="auto"/>
        <w:ind w:firstLine="567"/>
        <w:jc w:val="both"/>
        <w:rPr>
          <w:rFonts w:ascii="Times New Roman" w:hAnsi="Times New Roman" w:cs="Times New Roman"/>
          <w:lang w:val="de-DE"/>
        </w:rPr>
      </w:pPr>
    </w:p>
    <w:p w14:paraId="0F80491B" w14:textId="77777777" w:rsidR="001C3D81" w:rsidRPr="00921BB8" w:rsidRDefault="001C3D81" w:rsidP="001C3D81">
      <w:pPr>
        <w:spacing w:line="360" w:lineRule="auto"/>
        <w:jc w:val="both"/>
        <w:rPr>
          <w:rFonts w:ascii="Times New Roman" w:hAnsi="Times New Roman" w:cs="Times New Roman"/>
          <w:i/>
          <w:lang w:val="de-DE"/>
        </w:rPr>
      </w:pPr>
      <w:r w:rsidRPr="00921BB8">
        <w:rPr>
          <w:rFonts w:ascii="Times New Roman" w:hAnsi="Times New Roman" w:cs="Times New Roman"/>
          <w:i/>
          <w:lang w:val="de-DE"/>
        </w:rPr>
        <w:t>3.8 Vorstellung und Vernunft in der Interpretation Tennemanns der Kabbala und des Spinozismus</w:t>
      </w:r>
    </w:p>
    <w:p w14:paraId="47814E66" w14:textId="77777777" w:rsidR="001C3D81" w:rsidRPr="00921BB8" w:rsidRDefault="001C3D81" w:rsidP="001C3D81">
      <w:pPr>
        <w:spacing w:line="360" w:lineRule="auto"/>
        <w:ind w:firstLine="567"/>
        <w:jc w:val="both"/>
        <w:rPr>
          <w:rFonts w:ascii="Times New Roman" w:hAnsi="Times New Roman" w:cs="Times New Roman"/>
        </w:rPr>
      </w:pPr>
    </w:p>
    <w:p w14:paraId="46A984BB" w14:textId="77777777" w:rsidR="001C3D81" w:rsidRPr="00921BB8" w:rsidRDefault="001C3D81" w:rsidP="001C3D81">
      <w:pPr>
        <w:spacing w:line="360" w:lineRule="auto"/>
        <w:ind w:firstLine="567"/>
        <w:jc w:val="both"/>
        <w:rPr>
          <w:rFonts w:ascii="Times New Roman" w:hAnsi="Times New Roman" w:cs="Times New Roman"/>
          <w:lang w:val="de-DE"/>
        </w:rPr>
      </w:pPr>
      <w:r w:rsidRPr="00921BB8">
        <w:rPr>
          <w:rFonts w:ascii="Times New Roman" w:hAnsi="Times New Roman" w:cs="Times New Roman"/>
          <w:lang w:val="de-DE"/>
        </w:rPr>
        <w:t xml:space="preserve">Die </w:t>
      </w:r>
      <w:r w:rsidRPr="00921BB8">
        <w:rPr>
          <w:rFonts w:ascii="Times New Roman" w:hAnsi="Times New Roman" w:cs="Times New Roman"/>
          <w:i/>
          <w:lang w:val="de-DE"/>
        </w:rPr>
        <w:t>Geschichte der Philosophi</w:t>
      </w:r>
      <w:r w:rsidRPr="00921BB8">
        <w:rPr>
          <w:rFonts w:ascii="Times New Roman" w:hAnsi="Times New Roman" w:cs="Times New Roman"/>
          <w:lang w:val="de-DE"/>
        </w:rPr>
        <w:t xml:space="preserve">e (1798-1819) war das Ergebnis der Bemühungen von Wilhelm Gottlieb Tennemann. Tennemann, der schon ein aufmerksamer Gelehrter des griechischen Denkens war, interessierte sich auch für die Kantische Philosophie. Auf dem Kantischen Denken gründet sich die Idee der </w:t>
      </w:r>
      <w:r w:rsidRPr="00921BB8">
        <w:rPr>
          <w:rFonts w:ascii="Times New Roman" w:hAnsi="Times New Roman" w:cs="Times New Roman"/>
          <w:i/>
          <w:lang w:val="de-DE"/>
        </w:rPr>
        <w:t>Geschichte der Philosophie</w:t>
      </w:r>
      <w:r w:rsidRPr="00921BB8">
        <w:rPr>
          <w:rStyle w:val="Rimandonotaapidipagina"/>
          <w:rFonts w:ascii="Times New Roman" w:hAnsi="Times New Roman" w:cs="Times New Roman"/>
          <w:lang w:val="de-DE"/>
        </w:rPr>
        <w:footnoteReference w:id="1030"/>
      </w:r>
      <w:r w:rsidRPr="00921BB8">
        <w:rPr>
          <w:rFonts w:ascii="Times New Roman" w:hAnsi="Times New Roman" w:cs="Times New Roman"/>
          <w:lang w:val="de-DE"/>
        </w:rPr>
        <w:t xml:space="preserve"> sich: die Philosophie erreicht ihr Ziel (sich selbst wissenschaftlich zu erfassen), wenn sie die eigenen Gesetze und die wechselseitigen Verhältnisse von Natur und Freiheit bestimmt und erklärt</w:t>
      </w:r>
      <w:r w:rsidRPr="00921BB8">
        <w:rPr>
          <w:rStyle w:val="Rimandonotaapidipagina"/>
          <w:rFonts w:ascii="Times New Roman" w:hAnsi="Times New Roman" w:cs="Times New Roman"/>
          <w:lang w:val="de-DE"/>
        </w:rPr>
        <w:footnoteReference w:id="1031"/>
      </w:r>
      <w:r w:rsidRPr="00921BB8">
        <w:rPr>
          <w:rFonts w:ascii="Times New Roman" w:hAnsi="Times New Roman" w:cs="Times New Roman"/>
          <w:lang w:val="de-DE"/>
        </w:rPr>
        <w:t xml:space="preserve">. Die Wissenschaftlichkeit belebt jeden echten Ausdruck der </w:t>
      </w:r>
      <w:r w:rsidRPr="00E81287">
        <w:rPr>
          <w:rFonts w:ascii="Times New Roman" w:hAnsi="Times New Roman" w:cs="Times New Roman"/>
          <w:lang w:val="de-DE"/>
        </w:rPr>
        <w:t>Vernunft: „alles Philosophieren ist ein Streben der Vernunft, diese Idee von Wissenschaft wirklich zu machen</w:t>
      </w:r>
      <w:r w:rsidRPr="00E81287">
        <w:rPr>
          <w:rFonts w:ascii="Times New Roman" w:hAnsi="Times New Roman" w:cs="Times New Roman"/>
        </w:rPr>
        <w:t>”</w:t>
      </w:r>
      <w:r w:rsidRPr="00E81287">
        <w:rPr>
          <w:rStyle w:val="Rimandonotaapidipagina"/>
          <w:rFonts w:ascii="Times New Roman" w:hAnsi="Times New Roman" w:cs="Times New Roman"/>
          <w:lang w:val="de-DE"/>
        </w:rPr>
        <w:footnoteReference w:id="1032"/>
      </w:r>
      <w:r w:rsidRPr="00E81287">
        <w:rPr>
          <w:rFonts w:ascii="Times New Roman" w:hAnsi="Times New Roman" w:cs="Times New Roman"/>
          <w:lang w:val="de-DE"/>
        </w:rPr>
        <w:t xml:space="preserve">. </w:t>
      </w:r>
      <w:r w:rsidRPr="00E81287">
        <w:rPr>
          <w:rFonts w:ascii="Times New Roman" w:hAnsi="Times New Roman" w:cs="Times New Roman"/>
          <w:i/>
          <w:lang w:val="de-DE"/>
        </w:rPr>
        <w:t>A priori</w:t>
      </w:r>
      <w:r w:rsidRPr="00E81287">
        <w:rPr>
          <w:rFonts w:ascii="Times New Roman" w:hAnsi="Times New Roman" w:cs="Times New Roman"/>
          <w:lang w:val="de-DE"/>
        </w:rPr>
        <w:t xml:space="preserve"> könnten die verschiedenen Formen des Philosophierens nach ihrer Nähe zu diesem Ideal bewertet werden. Parallel dazu muss das historische Element des philosophischen Denkens in Betracht ziehen: die Idee der Philosophie besteht aus einem fortschreitenden Annäherungsprozess an das, was Tennemann als Ziel des Philosophierens definiert hat</w:t>
      </w:r>
      <w:r w:rsidRPr="00E81287">
        <w:rPr>
          <w:rStyle w:val="Rimandonotaapidipagina"/>
          <w:rFonts w:ascii="Times New Roman" w:hAnsi="Times New Roman" w:cs="Times New Roman"/>
          <w:lang w:val="de-DE"/>
        </w:rPr>
        <w:footnoteReference w:id="1033"/>
      </w:r>
      <w:r w:rsidRPr="00E81287">
        <w:rPr>
          <w:rFonts w:ascii="Times New Roman" w:hAnsi="Times New Roman" w:cs="Times New Roman"/>
          <w:lang w:val="de-DE"/>
        </w:rPr>
        <w:t>.</w:t>
      </w:r>
      <w:r w:rsidRPr="00921BB8">
        <w:rPr>
          <w:rFonts w:ascii="Times New Roman" w:hAnsi="Times New Roman" w:cs="Times New Roman"/>
          <w:lang w:val="de-DE"/>
        </w:rPr>
        <w:t xml:space="preserve"> </w:t>
      </w:r>
    </w:p>
    <w:p w14:paraId="7055E66D" w14:textId="4232B134" w:rsidR="001C3D81" w:rsidRPr="00921BB8" w:rsidRDefault="001C3D81" w:rsidP="001C3D81">
      <w:pPr>
        <w:spacing w:line="360" w:lineRule="auto"/>
        <w:ind w:firstLine="567"/>
        <w:jc w:val="both"/>
        <w:rPr>
          <w:rFonts w:ascii="Times New Roman" w:hAnsi="Times New Roman" w:cs="Times New Roman"/>
          <w:lang w:val="de-DE"/>
        </w:rPr>
      </w:pPr>
      <w:r w:rsidRPr="00921BB8">
        <w:rPr>
          <w:rFonts w:ascii="Times New Roman" w:hAnsi="Times New Roman" w:cs="Times New Roman"/>
          <w:lang w:val="de-DE"/>
        </w:rPr>
        <w:t>Die jüdische Kabbala stellt einen mystischen Versuch dar, die Erschaffung der Welt durch die Emanationstheorie zu verstehen: „die Vorstellungen von einer Emanation, wie sie im Orient verbreitet waren und besonders die Alexandrinische Neuplatonische Philosophie die Hauptingredienz der Kabbala sind</w:t>
      </w:r>
      <w:r w:rsidRPr="00921BB8">
        <w:rPr>
          <w:rFonts w:ascii="Times New Roman" w:hAnsi="Times New Roman" w:cs="Times New Roman"/>
        </w:rPr>
        <w:t>”</w:t>
      </w:r>
      <w:r w:rsidRPr="00921BB8">
        <w:rPr>
          <w:rStyle w:val="Rimandonotaapidipagina"/>
          <w:rFonts w:ascii="Times New Roman" w:hAnsi="Times New Roman" w:cs="Times New Roman"/>
          <w:lang w:val="de-DE"/>
        </w:rPr>
        <w:footnoteReference w:id="1034"/>
      </w:r>
      <w:r w:rsidRPr="00921BB8">
        <w:rPr>
          <w:rFonts w:ascii="Times New Roman" w:hAnsi="Times New Roman" w:cs="Times New Roman"/>
          <w:lang w:val="de-DE"/>
        </w:rPr>
        <w:t xml:space="preserve">. Um die Beziehungen zwischen Einheit und Vielheit zu erklären, zitiert Tennemann Herreras </w:t>
      </w:r>
      <w:r w:rsidRPr="00921BB8">
        <w:rPr>
          <w:rFonts w:ascii="Times New Roman" w:hAnsi="Times New Roman" w:cs="Times New Roman"/>
          <w:i/>
          <w:lang w:val="de-DE"/>
        </w:rPr>
        <w:t>Porta Coelorum</w:t>
      </w:r>
      <w:r w:rsidRPr="00921BB8">
        <w:rPr>
          <w:rFonts w:ascii="Times New Roman" w:hAnsi="Times New Roman" w:cs="Times New Roman"/>
          <w:lang w:val="de-DE"/>
        </w:rPr>
        <w:t>, insbesondere die Gleichsetzung der Zahleneinheit mit der göttlichen Einheit: „So wie die Zahleneinheit von allen Zahlen keine ist, sondern die vorzugweise (eminenter) alle enthalt; so enthalt das erste Wesen, die Gottheit alle in sich, ohne eines derselben bestimmt zu seyn</w:t>
      </w:r>
      <w:r w:rsidRPr="00921BB8">
        <w:rPr>
          <w:rFonts w:ascii="Times New Roman" w:hAnsi="Times New Roman" w:cs="Times New Roman"/>
        </w:rPr>
        <w:t>”</w:t>
      </w:r>
      <w:r w:rsidRPr="00921BB8">
        <w:rPr>
          <w:rStyle w:val="Rimandonotaapidipagina"/>
          <w:rFonts w:ascii="Times New Roman" w:hAnsi="Times New Roman" w:cs="Times New Roman"/>
          <w:lang w:val="de-DE"/>
        </w:rPr>
        <w:footnoteReference w:id="1035"/>
      </w:r>
      <w:r w:rsidRPr="00921BB8">
        <w:rPr>
          <w:rFonts w:ascii="Times New Roman" w:hAnsi="Times New Roman" w:cs="Times New Roman"/>
          <w:lang w:val="de-DE"/>
        </w:rPr>
        <w:t xml:space="preserve">. Da das göttliche Wesen, das „Seyn durch kein </w:t>
      </w:r>
      <w:r w:rsidRPr="003C2EE8">
        <w:rPr>
          <w:rFonts w:ascii="Times New Roman" w:hAnsi="Times New Roman" w:cs="Times New Roman"/>
          <w:lang w:val="de-DE"/>
        </w:rPr>
        <w:t>Vermögen oder Mangel</w:t>
      </w:r>
      <w:r w:rsidRPr="003C2EE8">
        <w:rPr>
          <w:rFonts w:ascii="Times New Roman" w:hAnsi="Times New Roman" w:cs="Times New Roman"/>
        </w:rPr>
        <w:t>”</w:t>
      </w:r>
      <w:r w:rsidRPr="003C2EE8">
        <w:rPr>
          <w:rStyle w:val="Rimandonotaapidipagina"/>
          <w:rFonts w:ascii="Times New Roman" w:hAnsi="Times New Roman" w:cs="Times New Roman"/>
          <w:lang w:val="de-DE"/>
        </w:rPr>
        <w:footnoteReference w:id="1036"/>
      </w:r>
      <w:r w:rsidRPr="003C2EE8">
        <w:rPr>
          <w:rFonts w:ascii="Times New Roman" w:hAnsi="Times New Roman" w:cs="Times New Roman"/>
        </w:rPr>
        <w:t>,</w:t>
      </w:r>
      <w:r w:rsidRPr="003C2EE8">
        <w:rPr>
          <w:rFonts w:ascii="Times New Roman" w:hAnsi="Times New Roman" w:cs="Times New Roman"/>
          <w:lang w:val="de-DE"/>
        </w:rPr>
        <w:t xml:space="preserve"> sich offenbaren wollte, schränkte es sich ein</w:t>
      </w:r>
      <w:r w:rsidRPr="003C2EE8">
        <w:rPr>
          <w:rStyle w:val="Rimandonotaapidipagina"/>
          <w:rFonts w:ascii="Times New Roman" w:hAnsi="Times New Roman" w:cs="Times New Roman"/>
          <w:lang w:val="de-DE"/>
        </w:rPr>
        <w:footnoteReference w:id="1037"/>
      </w:r>
      <w:r w:rsidR="003C2EE8" w:rsidRPr="003C2EE8">
        <w:rPr>
          <w:rFonts w:ascii="Times New Roman" w:hAnsi="Times New Roman" w:cs="Times New Roman"/>
          <w:lang w:val="de-DE"/>
        </w:rPr>
        <w:t>. Nach der Ein</w:t>
      </w:r>
      <w:r w:rsidRPr="003C2EE8">
        <w:rPr>
          <w:rFonts w:ascii="Times New Roman" w:hAnsi="Times New Roman" w:cs="Times New Roman"/>
          <w:lang w:val="de-DE"/>
        </w:rPr>
        <w:t>schränkung des Göttlichen folgte</w:t>
      </w:r>
      <w:r w:rsidR="0069715B" w:rsidRPr="003C2EE8">
        <w:rPr>
          <w:rFonts w:ascii="Times New Roman" w:hAnsi="Times New Roman" w:cs="Times New Roman"/>
          <w:lang w:val="de-DE"/>
        </w:rPr>
        <w:t xml:space="preserve"> die</w:t>
      </w:r>
      <w:r w:rsidR="0069715B">
        <w:rPr>
          <w:rFonts w:ascii="Times New Roman" w:hAnsi="Times New Roman" w:cs="Times New Roman"/>
          <w:lang w:val="de-DE"/>
        </w:rPr>
        <w:t xml:space="preserve"> Expansion desselben in die </w:t>
      </w:r>
      <w:r w:rsidRPr="00921BB8">
        <w:rPr>
          <w:rFonts w:ascii="Times New Roman" w:hAnsi="Times New Roman" w:cs="Times New Roman"/>
          <w:lang w:val="de-DE"/>
        </w:rPr>
        <w:t>absteig</w:t>
      </w:r>
      <w:r w:rsidR="0069715B">
        <w:rPr>
          <w:rFonts w:ascii="Times New Roman" w:hAnsi="Times New Roman" w:cs="Times New Roman"/>
          <w:lang w:val="de-DE"/>
        </w:rPr>
        <w:t xml:space="preserve">ende </w:t>
      </w:r>
      <w:r w:rsidRPr="00921BB8">
        <w:rPr>
          <w:rFonts w:ascii="Times New Roman" w:hAnsi="Times New Roman" w:cs="Times New Roman"/>
          <w:lang w:val="de-DE"/>
        </w:rPr>
        <w:t>Emanationsstufe. Aus dem En-soph floss „durch einen einzigen von ihm unzertrennlichen Act nur ein Hervorgebrachtes</w:t>
      </w:r>
      <w:r w:rsidRPr="00921BB8">
        <w:rPr>
          <w:rFonts w:ascii="Times New Roman" w:hAnsi="Times New Roman" w:cs="Times New Roman"/>
        </w:rPr>
        <w:t>” aus</w:t>
      </w:r>
      <w:r w:rsidRPr="00921BB8">
        <w:rPr>
          <w:rFonts w:ascii="Times New Roman" w:hAnsi="Times New Roman" w:cs="Times New Roman"/>
          <w:lang w:val="de-DE"/>
        </w:rPr>
        <w:t>, das „Instrument und Mittel zu allen folgenden Wirkungen</w:t>
      </w:r>
      <w:r w:rsidRPr="00921BB8">
        <w:rPr>
          <w:rFonts w:ascii="Times New Roman" w:hAnsi="Times New Roman" w:cs="Times New Roman"/>
        </w:rPr>
        <w:t>”</w:t>
      </w:r>
      <w:r w:rsidRPr="00921BB8">
        <w:rPr>
          <w:rStyle w:val="Rimandonotaapidipagina"/>
          <w:rFonts w:ascii="Times New Roman" w:hAnsi="Times New Roman" w:cs="Times New Roman"/>
          <w:lang w:val="de-DE"/>
        </w:rPr>
        <w:footnoteReference w:id="1038"/>
      </w:r>
      <w:r w:rsidRPr="00921BB8">
        <w:rPr>
          <w:rFonts w:ascii="Times New Roman" w:hAnsi="Times New Roman" w:cs="Times New Roman"/>
          <w:lang w:val="de-DE"/>
        </w:rPr>
        <w:t>. Diese sind d</w:t>
      </w:r>
      <w:r w:rsidR="0069715B">
        <w:rPr>
          <w:rFonts w:ascii="Times New Roman" w:hAnsi="Times New Roman" w:cs="Times New Roman"/>
          <w:lang w:val="de-DE"/>
        </w:rPr>
        <w:t xml:space="preserve">ie kabbalistischen Grundsätze, </w:t>
      </w:r>
      <w:r w:rsidRPr="00921BB8">
        <w:rPr>
          <w:rFonts w:ascii="Times New Roman" w:hAnsi="Times New Roman" w:cs="Times New Roman"/>
          <w:lang w:val="de-DE"/>
        </w:rPr>
        <w:t xml:space="preserve">die sich aus der Kabbala (insbesondere aus der </w:t>
      </w:r>
      <w:r w:rsidRPr="00921BB8">
        <w:rPr>
          <w:rFonts w:ascii="Times New Roman" w:hAnsi="Times New Roman" w:cs="Times New Roman"/>
          <w:i/>
          <w:lang w:val="de-DE"/>
        </w:rPr>
        <w:t xml:space="preserve">Himmelpforte </w:t>
      </w:r>
      <w:r w:rsidRPr="00921BB8">
        <w:rPr>
          <w:rFonts w:ascii="Times New Roman" w:hAnsi="Times New Roman" w:cs="Times New Roman"/>
          <w:lang w:val="de-DE"/>
        </w:rPr>
        <w:t>Herreras) ableiten lassen: „Es ist unmöglich, in dieses Aggregat von schwärmerischen und mystischen Vorstellungen einen philosophischen Sinn zu bringen</w:t>
      </w:r>
      <w:r w:rsidRPr="00921BB8">
        <w:rPr>
          <w:rFonts w:ascii="Times New Roman" w:hAnsi="Times New Roman" w:cs="Times New Roman"/>
        </w:rPr>
        <w:t>”</w:t>
      </w:r>
      <w:r w:rsidRPr="00921BB8">
        <w:rPr>
          <w:rStyle w:val="Rimandonotaapidipagina"/>
          <w:rFonts w:ascii="Times New Roman" w:hAnsi="Times New Roman" w:cs="Times New Roman"/>
          <w:lang w:val="de-DE"/>
        </w:rPr>
        <w:footnoteReference w:id="1039"/>
      </w:r>
      <w:r w:rsidRPr="00921BB8">
        <w:rPr>
          <w:rFonts w:ascii="Times New Roman" w:hAnsi="Times New Roman" w:cs="Times New Roman"/>
          <w:lang w:val="de-DE"/>
        </w:rPr>
        <w:t>.</w:t>
      </w:r>
    </w:p>
    <w:p w14:paraId="2A75E467" w14:textId="3BD6D48F" w:rsidR="001C3D81" w:rsidRPr="00921BB8" w:rsidRDefault="001C3D81" w:rsidP="001C3D81">
      <w:pPr>
        <w:spacing w:line="360" w:lineRule="auto"/>
        <w:ind w:firstLine="567"/>
        <w:jc w:val="both"/>
        <w:rPr>
          <w:rFonts w:ascii="Times New Roman" w:hAnsi="Times New Roman" w:cs="Times New Roman"/>
          <w:lang w:val="de-DE"/>
        </w:rPr>
      </w:pPr>
      <w:r w:rsidRPr="00921BB8">
        <w:rPr>
          <w:rFonts w:ascii="Times New Roman" w:hAnsi="Times New Roman" w:cs="Times New Roman"/>
          <w:lang w:val="de-DE"/>
        </w:rPr>
        <w:t>Tennemann interessiert sich nicht besonders für die jüdische Kabbal</w:t>
      </w:r>
      <w:r w:rsidR="0069715B">
        <w:rPr>
          <w:rFonts w:ascii="Times New Roman" w:hAnsi="Times New Roman" w:cs="Times New Roman"/>
          <w:lang w:val="de-DE"/>
        </w:rPr>
        <w:t>a (ein schwärmerisches</w:t>
      </w:r>
      <w:r w:rsidRPr="00921BB8">
        <w:rPr>
          <w:rFonts w:ascii="Times New Roman" w:hAnsi="Times New Roman" w:cs="Times New Roman"/>
          <w:lang w:val="de-DE"/>
        </w:rPr>
        <w:t xml:space="preserve"> Aggregat von Vorstellungen). Dies gilt jedoch nicht für die Philosophie Spinozas. Asts Analysen zufolge konzentriert Tennemann sich nicht auf die Erklärung der historisch-philosophischen Quellen des Spinozismus, sondern auf den rein spekulativen Wert dieses Systems. Nach der </w:t>
      </w:r>
      <w:r w:rsidRPr="00921BB8">
        <w:rPr>
          <w:rFonts w:ascii="Times New Roman" w:hAnsi="Times New Roman" w:cs="Times New Roman"/>
          <w:i/>
          <w:lang w:val="de-DE"/>
        </w:rPr>
        <w:t>Geschichte der Philosophie</w:t>
      </w:r>
      <w:r w:rsidRPr="00921BB8">
        <w:rPr>
          <w:rFonts w:ascii="Times New Roman" w:hAnsi="Times New Roman" w:cs="Times New Roman"/>
          <w:lang w:val="de-DE"/>
        </w:rPr>
        <w:t xml:space="preserve"> hatte Spinoza das Verdienst, aus einer wahren Idee (die Idee der göttlichen Substanz) „alle übrigen Ideen durch richtige Schlusse […] so daß jene als die Quelle aller übrigen erkannt wurde</w:t>
      </w:r>
      <w:r w:rsidRPr="00921BB8">
        <w:rPr>
          <w:rFonts w:ascii="Times New Roman" w:hAnsi="Times New Roman" w:cs="Times New Roman"/>
        </w:rPr>
        <w:t>”</w:t>
      </w:r>
      <w:r w:rsidRPr="00921BB8">
        <w:rPr>
          <w:rStyle w:val="Rimandonotaapidipagina"/>
          <w:rFonts w:ascii="Times New Roman" w:hAnsi="Times New Roman" w:cs="Times New Roman"/>
          <w:lang w:val="de-DE"/>
        </w:rPr>
        <w:footnoteReference w:id="1040"/>
      </w:r>
      <w:r w:rsidRPr="00921BB8">
        <w:rPr>
          <w:rFonts w:ascii="Times New Roman" w:hAnsi="Times New Roman" w:cs="Times New Roman"/>
          <w:lang w:val="de-DE"/>
        </w:rPr>
        <w:t xml:space="preserve"> abzuleiten. Die Ableitung aller übrigen Ideen aus einer wahren Idee stellt die wesentliche Anstrengung der Vernunft dar, die das „Genie des Spinoza</w:t>
      </w:r>
      <w:r w:rsidRPr="00921BB8">
        <w:rPr>
          <w:rFonts w:ascii="Times New Roman" w:hAnsi="Times New Roman" w:cs="Times New Roman"/>
        </w:rPr>
        <w:t>”</w:t>
      </w:r>
      <w:r w:rsidRPr="00921BB8">
        <w:rPr>
          <w:rStyle w:val="Rimandonotaapidipagina"/>
          <w:rFonts w:ascii="Times New Roman" w:hAnsi="Times New Roman" w:cs="Times New Roman"/>
          <w:lang w:val="de-DE"/>
        </w:rPr>
        <w:footnoteReference w:id="1041"/>
      </w:r>
      <w:r w:rsidRPr="00921BB8">
        <w:rPr>
          <w:rFonts w:ascii="Times New Roman" w:hAnsi="Times New Roman" w:cs="Times New Roman"/>
          <w:lang w:val="de-DE"/>
        </w:rPr>
        <w:t xml:space="preserve"> bezeugt. Aus der göttlichen Substanz, die ewig und unendlich ist, können nur ewige oder unendliche Ausdrücke ihres Wesens (die Attribute) folgen. Aus den Attributen folgen wiederum nur notwendige und unendliche Modifikationen (z. B. die Bewegungsgesetze). Aus diesen unendlic</w:t>
      </w:r>
      <w:r w:rsidR="00F44C0E">
        <w:rPr>
          <w:rFonts w:ascii="Times New Roman" w:hAnsi="Times New Roman" w:cs="Times New Roman"/>
          <w:lang w:val="de-DE"/>
        </w:rPr>
        <w:t xml:space="preserve">hen Modifikationen ist es nicht </w:t>
      </w:r>
      <w:r w:rsidRPr="00921BB8">
        <w:rPr>
          <w:rFonts w:ascii="Times New Roman" w:hAnsi="Times New Roman" w:cs="Times New Roman"/>
          <w:lang w:val="de-DE"/>
        </w:rPr>
        <w:t>möglich  (weder unmittelbar noch mittelbar), den Ursprung einer unendliche</w:t>
      </w:r>
      <w:r w:rsidR="00C47654">
        <w:rPr>
          <w:rFonts w:ascii="Times New Roman" w:hAnsi="Times New Roman" w:cs="Times New Roman"/>
          <w:lang w:val="de-DE"/>
        </w:rPr>
        <w:t>n Reihe von endlichen Modi der Substanz</w:t>
      </w:r>
      <w:r w:rsidRPr="00921BB8">
        <w:rPr>
          <w:rFonts w:ascii="Times New Roman" w:hAnsi="Times New Roman" w:cs="Times New Roman"/>
          <w:lang w:val="de-DE"/>
        </w:rPr>
        <w:t xml:space="preserve"> herzuleiten</w:t>
      </w:r>
      <w:r w:rsidRPr="00921BB8">
        <w:rPr>
          <w:rStyle w:val="Rimandonotaapidipagina"/>
          <w:rFonts w:ascii="Times New Roman" w:hAnsi="Times New Roman" w:cs="Times New Roman"/>
          <w:lang w:val="de-DE"/>
        </w:rPr>
        <w:footnoteReference w:id="1042"/>
      </w:r>
      <w:r w:rsidRPr="00921BB8">
        <w:rPr>
          <w:rFonts w:ascii="Times New Roman" w:hAnsi="Times New Roman" w:cs="Times New Roman"/>
          <w:lang w:val="de-DE"/>
        </w:rPr>
        <w:t>. Aus dem Unendlichen folgen nur unendliche – nicht endliche – Attribute und Modifikationen.</w:t>
      </w:r>
      <w:r w:rsidR="00C62B88" w:rsidRPr="00921BB8">
        <w:rPr>
          <w:rFonts w:ascii="Times New Roman" w:hAnsi="Times New Roman" w:cs="Times New Roman"/>
          <w:lang w:val="de-DE"/>
        </w:rPr>
        <w:t xml:space="preserve"> </w:t>
      </w:r>
      <w:r w:rsidRPr="00921BB8">
        <w:rPr>
          <w:rFonts w:ascii="Times New Roman" w:hAnsi="Times New Roman" w:cs="Times New Roman"/>
          <w:lang w:val="de-DE"/>
        </w:rPr>
        <w:t>Der theoretischen Unfähigkeit, das Endliche mit dem Unendlichen zu verbinden, entspricht der praktische Gegensatz zwischen freiem und erzwungenem Wesen: nur Gott, das an-und-für-sich-seiende-und-tätige Wesen, definiert sich als frei oder absolut notwendig; im Gegensatz dazu definieren die Modi der Attribute (in unserem Fall der Mensch) sich als gezwungen (</w:t>
      </w:r>
      <w:r w:rsidRPr="00921BB8">
        <w:rPr>
          <w:rFonts w:ascii="Times New Roman" w:hAnsi="Times New Roman" w:cs="Times New Roman"/>
          <w:i/>
          <w:lang w:val="de-DE"/>
        </w:rPr>
        <w:t>coacti</w:t>
      </w:r>
      <w:r w:rsidRPr="00921BB8">
        <w:rPr>
          <w:rFonts w:ascii="Times New Roman" w:hAnsi="Times New Roman" w:cs="Times New Roman"/>
          <w:lang w:val="de-DE"/>
        </w:rPr>
        <w:t>), weil ihr Handeln von äußeren Gründen bestimmt wird. Sowohl theoretisch als auch praktisch kann die</w:t>
      </w:r>
      <w:r w:rsidRPr="00921BB8">
        <w:rPr>
          <w:rFonts w:ascii="Times New Roman" w:hAnsi="Times New Roman" w:cs="Times New Roman"/>
          <w:i/>
          <w:lang w:val="de-DE"/>
        </w:rPr>
        <w:t xml:space="preserve"> Ethik </w:t>
      </w:r>
      <w:r w:rsidRPr="00921BB8">
        <w:rPr>
          <w:rFonts w:ascii="Times New Roman" w:hAnsi="Times New Roman" w:cs="Times New Roman"/>
          <w:lang w:val="de-DE"/>
        </w:rPr>
        <w:t>keine echte Architektonik begründen: die Substanz (Idee) gliedert sich nicht in ihre Teile (</w:t>
      </w:r>
      <w:r w:rsidRPr="00921BB8">
        <w:rPr>
          <w:rFonts w:ascii="Times New Roman" w:hAnsi="Times New Roman" w:cs="Times New Roman"/>
          <w:i/>
          <w:lang w:val="de-DE"/>
        </w:rPr>
        <w:t>Schema der Idee)</w:t>
      </w:r>
      <w:r w:rsidRPr="00921BB8">
        <w:rPr>
          <w:rFonts w:ascii="Times New Roman" w:hAnsi="Times New Roman" w:cs="Times New Roman"/>
          <w:lang w:val="de-DE"/>
        </w:rPr>
        <w:t xml:space="preserve"> und die Teile (Menschen), die sich ontologisch von der Substanz unterscheiden, vereinigen sich nicht mit der Idee. Abgesehen von den deduktiven Lücken der </w:t>
      </w:r>
      <w:r w:rsidRPr="00921BB8">
        <w:rPr>
          <w:rFonts w:ascii="Times New Roman" w:hAnsi="Times New Roman" w:cs="Times New Roman"/>
          <w:i/>
          <w:lang w:val="de-DE"/>
        </w:rPr>
        <w:t>Ethik</w:t>
      </w:r>
      <w:r w:rsidRPr="00921BB8">
        <w:rPr>
          <w:rFonts w:ascii="Times New Roman" w:hAnsi="Times New Roman" w:cs="Times New Roman"/>
          <w:lang w:val="de-DE"/>
        </w:rPr>
        <w:t xml:space="preserve"> schätzt T</w:t>
      </w:r>
      <w:r w:rsidR="00481B88" w:rsidRPr="00921BB8">
        <w:rPr>
          <w:rFonts w:ascii="Times New Roman" w:hAnsi="Times New Roman" w:cs="Times New Roman"/>
          <w:lang w:val="de-DE"/>
        </w:rPr>
        <w:t>ennemann den Spinozismus für das</w:t>
      </w:r>
      <w:r w:rsidRPr="00921BB8">
        <w:rPr>
          <w:rFonts w:ascii="Times New Roman" w:hAnsi="Times New Roman" w:cs="Times New Roman"/>
          <w:lang w:val="de-DE"/>
        </w:rPr>
        <w:t xml:space="preserve"> ori</w:t>
      </w:r>
      <w:r w:rsidR="00481B88" w:rsidRPr="00921BB8">
        <w:rPr>
          <w:rFonts w:ascii="Times New Roman" w:hAnsi="Times New Roman" w:cs="Times New Roman"/>
          <w:lang w:val="de-DE"/>
        </w:rPr>
        <w:t>ginelle – wenn auch erfolglose</w:t>
      </w:r>
      <w:r w:rsidRPr="00921BB8">
        <w:rPr>
          <w:rFonts w:ascii="Times New Roman" w:hAnsi="Times New Roman" w:cs="Times New Roman"/>
          <w:lang w:val="de-DE"/>
        </w:rPr>
        <w:t xml:space="preserve"> – Bemühen der Vernunft, sich </w:t>
      </w:r>
      <w:r w:rsidRPr="00921BB8">
        <w:rPr>
          <w:rFonts w:ascii="Times New Roman" w:hAnsi="Times New Roman" w:cs="Times New Roman"/>
          <w:i/>
          <w:lang w:val="de-DE"/>
        </w:rPr>
        <w:t xml:space="preserve">wissenschaftlich </w:t>
      </w:r>
      <w:r w:rsidRPr="00921BB8">
        <w:rPr>
          <w:rFonts w:ascii="Times New Roman" w:hAnsi="Times New Roman" w:cs="Times New Roman"/>
          <w:lang w:val="de-DE"/>
        </w:rPr>
        <w:t>zu erfassen.</w:t>
      </w:r>
    </w:p>
    <w:p w14:paraId="07C80030" w14:textId="77777777" w:rsidR="001C3D81" w:rsidRPr="00921BB8" w:rsidRDefault="001C3D81" w:rsidP="001C3D81">
      <w:pPr>
        <w:spacing w:line="360" w:lineRule="auto"/>
        <w:ind w:firstLine="567"/>
        <w:jc w:val="both"/>
        <w:rPr>
          <w:rFonts w:ascii="Times New Roman" w:hAnsi="Times New Roman" w:cs="Times New Roman"/>
          <w:lang w:val="de-DE"/>
        </w:rPr>
      </w:pPr>
    </w:p>
    <w:p w14:paraId="1EBBF0D4" w14:textId="77777777" w:rsidR="001C3D81" w:rsidRPr="00921BB8" w:rsidRDefault="001C3D81" w:rsidP="001C3D81">
      <w:pPr>
        <w:spacing w:line="360" w:lineRule="auto"/>
        <w:jc w:val="both"/>
        <w:rPr>
          <w:rFonts w:ascii="Times New Roman" w:hAnsi="Times New Roman" w:cs="Times New Roman"/>
          <w:i/>
        </w:rPr>
      </w:pPr>
      <w:r w:rsidRPr="00921BB8">
        <w:rPr>
          <w:rFonts w:ascii="Times New Roman" w:hAnsi="Times New Roman" w:cs="Times New Roman"/>
          <w:i/>
        </w:rPr>
        <w:t xml:space="preserve">3.9 Hegel und die Kabbala: </w:t>
      </w:r>
      <w:r w:rsidRPr="00921BB8">
        <w:rPr>
          <w:rFonts w:ascii="Times New Roman" w:hAnsi="Times New Roman" w:cs="Times New Roman"/>
          <w:i/>
          <w:lang w:val="de-DE"/>
        </w:rPr>
        <w:t>eine verpasste Gelegenheit</w:t>
      </w:r>
    </w:p>
    <w:p w14:paraId="2B12C21E" w14:textId="77777777" w:rsidR="001C3D81" w:rsidRPr="00921BB8" w:rsidRDefault="001C3D81" w:rsidP="001C3D81">
      <w:pPr>
        <w:spacing w:line="360" w:lineRule="auto"/>
        <w:jc w:val="both"/>
      </w:pPr>
    </w:p>
    <w:p w14:paraId="09ADCF38" w14:textId="577C0CF8" w:rsidR="001C3D81" w:rsidRPr="00E81287" w:rsidRDefault="001C3D81" w:rsidP="001C3D81">
      <w:pPr>
        <w:spacing w:line="360" w:lineRule="auto"/>
        <w:ind w:firstLine="567"/>
        <w:jc w:val="both"/>
        <w:rPr>
          <w:rFonts w:ascii="Times New Roman" w:hAnsi="Times New Roman" w:cs="Times New Roman"/>
          <w:lang w:val="de-DE"/>
        </w:rPr>
      </w:pPr>
      <w:r w:rsidRPr="00921BB8">
        <w:rPr>
          <w:rFonts w:ascii="Times New Roman" w:hAnsi="Times New Roman" w:cs="Times New Roman"/>
          <w:lang w:val="de-DE"/>
        </w:rPr>
        <w:t xml:space="preserve">Um seinen Zuhörern einen Überblick über die </w:t>
      </w:r>
      <w:r w:rsidRPr="00921BB8">
        <w:rPr>
          <w:rFonts w:ascii="Times New Roman" w:hAnsi="Times New Roman" w:cs="Times New Roman"/>
          <w:i/>
          <w:lang w:val="de-DE"/>
        </w:rPr>
        <w:t xml:space="preserve">Geschichte der Philosophie </w:t>
      </w:r>
      <w:r w:rsidRPr="00921BB8">
        <w:rPr>
          <w:rFonts w:ascii="Times New Roman" w:hAnsi="Times New Roman" w:cs="Times New Roman"/>
          <w:lang w:val="de-DE"/>
        </w:rPr>
        <w:t xml:space="preserve">zu vermitteln, hat Hegel Momente des spekulativen Denkens in Betracht gezogen, die er sich zuvor nicht interessiert hatte. In dieser Hinsicht sind die Seiten, die der jüdischen Kabbala gewidmet sind, paradigmatisch: die mangelnde Kenntnis der Primärquellen und das geringe Interesse an diesem Thema verbinden sich mit dem didaktischen Bedürfnis, eine vollständige Darstellung des philosophischen Wissens darzubieten. </w:t>
      </w:r>
      <w:r w:rsidR="00773AA8" w:rsidRPr="00921BB8">
        <w:rPr>
          <w:rFonts w:ascii="Times New Roman" w:hAnsi="Times New Roman" w:cs="Times New Roman"/>
          <w:lang w:val="de-DE"/>
        </w:rPr>
        <w:t xml:space="preserve">Das </w:t>
      </w:r>
      <w:r w:rsidR="00F44C0E">
        <w:rPr>
          <w:rFonts w:ascii="Times New Roman" w:hAnsi="Times New Roman" w:cs="Times New Roman"/>
          <w:lang w:val="de-DE"/>
        </w:rPr>
        <w:t xml:space="preserve">Resultat der Hegelschen </w:t>
      </w:r>
      <w:r w:rsidRPr="00921BB8">
        <w:rPr>
          <w:rFonts w:ascii="Times New Roman" w:hAnsi="Times New Roman" w:cs="Times New Roman"/>
          <w:lang w:val="de-DE"/>
        </w:rPr>
        <w:t xml:space="preserve">Interpretation ist eine Sammlung und Wiederholung von </w:t>
      </w:r>
      <w:r w:rsidRPr="00E81287">
        <w:rPr>
          <w:rFonts w:ascii="Times New Roman" w:hAnsi="Times New Roman" w:cs="Times New Roman"/>
          <w:lang w:val="de-DE"/>
        </w:rPr>
        <w:t>Informationen, die bereits in den oben analysierten Handbüchern der Geschichte der Philosophie vorhanden waren.</w:t>
      </w:r>
    </w:p>
    <w:p w14:paraId="6BF35468" w14:textId="4DE4A668" w:rsidR="001C3D81" w:rsidRPr="00921BB8" w:rsidRDefault="001C3D81" w:rsidP="001C3D81">
      <w:pPr>
        <w:spacing w:line="360" w:lineRule="auto"/>
        <w:ind w:firstLine="567"/>
        <w:jc w:val="both"/>
        <w:rPr>
          <w:rFonts w:ascii="Times New Roman" w:hAnsi="Times New Roman" w:cs="Times New Roman"/>
          <w:lang w:val="de-DE"/>
        </w:rPr>
      </w:pPr>
      <w:r w:rsidRPr="00E81287">
        <w:rPr>
          <w:rFonts w:ascii="Times New Roman" w:hAnsi="Times New Roman" w:cs="Times New Roman"/>
          <w:lang w:val="de-DE"/>
        </w:rPr>
        <w:t xml:space="preserve">Seit den </w:t>
      </w:r>
      <w:r w:rsidRPr="00E81287">
        <w:rPr>
          <w:rFonts w:ascii="Times New Roman" w:hAnsi="Times New Roman" w:cs="Times New Roman"/>
          <w:i/>
          <w:lang w:val="de-DE"/>
        </w:rPr>
        <w:t>Jenaer Schriften</w:t>
      </w:r>
      <w:r w:rsidRPr="00E81287">
        <w:rPr>
          <w:rFonts w:ascii="Times New Roman" w:hAnsi="Times New Roman" w:cs="Times New Roman"/>
          <w:lang w:val="de-DE"/>
        </w:rPr>
        <w:t xml:space="preserve"> denkt Hegel, dass die Philosophie keine handwerkliche Tätigkeit ist, die „durch immer neu erfundene Handgriffe</w:t>
      </w:r>
      <w:r w:rsidRPr="00E81287">
        <w:rPr>
          <w:rFonts w:ascii="Times New Roman" w:hAnsi="Times New Roman" w:cs="Times New Roman"/>
        </w:rPr>
        <w:t>”</w:t>
      </w:r>
      <w:r w:rsidRPr="00E81287">
        <w:rPr>
          <w:rStyle w:val="Rimandonotaapidipagina"/>
          <w:rFonts w:ascii="Times New Roman" w:hAnsi="Times New Roman" w:cs="Times New Roman"/>
          <w:lang w:val="de-DE"/>
        </w:rPr>
        <w:footnoteReference w:id="1043"/>
      </w:r>
      <w:r w:rsidRPr="00E81287">
        <w:rPr>
          <w:rFonts w:ascii="Times New Roman" w:hAnsi="Times New Roman" w:cs="Times New Roman"/>
          <w:lang w:val="de-DE"/>
        </w:rPr>
        <w:t xml:space="preserve"> verbessert werden kann, sondern ein </w:t>
      </w:r>
      <w:r w:rsidR="00C47654" w:rsidRPr="00E81287">
        <w:rPr>
          <w:rFonts w:ascii="Times New Roman" w:hAnsi="Times New Roman" w:cs="Times New Roman"/>
          <w:lang w:val="de-DE"/>
        </w:rPr>
        <w:t xml:space="preserve">fortdauerndes </w:t>
      </w:r>
      <w:r w:rsidRPr="00E81287">
        <w:rPr>
          <w:rFonts w:ascii="Times New Roman" w:hAnsi="Times New Roman" w:cs="Times New Roman"/>
          <w:lang w:val="de-DE"/>
        </w:rPr>
        <w:t>Bemühen der</w:t>
      </w:r>
      <w:r w:rsidRPr="00921BB8">
        <w:rPr>
          <w:rFonts w:ascii="Times New Roman" w:hAnsi="Times New Roman" w:cs="Times New Roman"/>
          <w:lang w:val="de-DE"/>
        </w:rPr>
        <w:t xml:space="preserve"> Vernunft, sich selbst zu verstehen. Wer das philosophische Denken studiert, beschäftigt sich nicht mit dem neuesten Produkt, sondern mit dem „ältesten Alten</w:t>
      </w:r>
      <w:r w:rsidRPr="00921BB8">
        <w:rPr>
          <w:rFonts w:ascii="Times New Roman" w:hAnsi="Times New Roman" w:cs="Times New Roman"/>
        </w:rPr>
        <w:t>”</w:t>
      </w:r>
      <w:r w:rsidRPr="00921BB8">
        <w:rPr>
          <w:rStyle w:val="Rimandonotaapidipagina"/>
          <w:rFonts w:ascii="Times New Roman" w:hAnsi="Times New Roman" w:cs="Times New Roman"/>
          <w:lang w:val="de-DE"/>
        </w:rPr>
        <w:footnoteReference w:id="1044"/>
      </w:r>
      <w:r w:rsidRPr="00921BB8">
        <w:rPr>
          <w:rFonts w:ascii="Times New Roman" w:hAnsi="Times New Roman" w:cs="Times New Roman"/>
        </w:rPr>
        <w:t>, das nicht einer quantitativen oder rein zeitlichen Vermehrung unterworfen ist</w:t>
      </w:r>
      <w:r w:rsidRPr="00921BB8">
        <w:rPr>
          <w:rFonts w:ascii="Times New Roman" w:hAnsi="Times New Roman" w:cs="Times New Roman"/>
          <w:lang w:val="de-DE"/>
        </w:rPr>
        <w:t xml:space="preserve">. </w:t>
      </w:r>
      <w:r w:rsidRPr="00921BB8">
        <w:rPr>
          <w:rFonts w:ascii="Times New Roman" w:hAnsi="Times New Roman" w:cs="Times New Roman"/>
          <w:i/>
          <w:lang w:val="de-DE"/>
        </w:rPr>
        <w:t xml:space="preserve">Prima facie </w:t>
      </w:r>
      <w:r w:rsidRPr="00921BB8">
        <w:rPr>
          <w:rFonts w:ascii="Times New Roman" w:hAnsi="Times New Roman" w:cs="Times New Roman"/>
          <w:lang w:val="de-DE"/>
        </w:rPr>
        <w:t>schließen Vernunft und Zeit sich gegen</w:t>
      </w:r>
      <w:r w:rsidR="00773AA8" w:rsidRPr="00921BB8">
        <w:rPr>
          <w:rFonts w:ascii="Times New Roman" w:hAnsi="Times New Roman" w:cs="Times New Roman"/>
          <w:lang w:val="de-DE"/>
        </w:rPr>
        <w:t>seitig</w:t>
      </w:r>
      <w:r w:rsidRPr="00921BB8">
        <w:rPr>
          <w:rFonts w:ascii="Times New Roman" w:hAnsi="Times New Roman" w:cs="Times New Roman"/>
          <w:lang w:val="de-DE"/>
        </w:rPr>
        <w:t xml:space="preserve"> aus. Im Gegensatz dazu hat Hegel bereits in der </w:t>
      </w:r>
      <w:r w:rsidRPr="00921BB8">
        <w:rPr>
          <w:rFonts w:ascii="Times New Roman" w:hAnsi="Times New Roman" w:cs="Times New Roman"/>
          <w:i/>
          <w:lang w:val="de-DE"/>
        </w:rPr>
        <w:t>Differenzschrift</w:t>
      </w:r>
      <w:r w:rsidRPr="00921BB8">
        <w:rPr>
          <w:rFonts w:ascii="Times New Roman" w:hAnsi="Times New Roman" w:cs="Times New Roman"/>
          <w:lang w:val="de-DE"/>
        </w:rPr>
        <w:t xml:space="preserve"> erklärt, dass es keinen Bruch zwischen den zwei Termini gibt: die selbst-begründete Natur des Inhaltes schließt nicht aus, dass er in Geschichte und Zeit anwesend und erkennbar ist</w:t>
      </w:r>
      <w:r w:rsidRPr="00921BB8">
        <w:rPr>
          <w:rStyle w:val="Rimandonotaapidipagina"/>
          <w:rFonts w:ascii="Times New Roman" w:hAnsi="Times New Roman" w:cs="Times New Roman"/>
          <w:lang w:val="de-DE"/>
        </w:rPr>
        <w:footnoteReference w:id="1045"/>
      </w:r>
      <w:r w:rsidRPr="00921BB8">
        <w:rPr>
          <w:rFonts w:ascii="Times New Roman" w:hAnsi="Times New Roman" w:cs="Times New Roman"/>
          <w:lang w:val="de-DE"/>
        </w:rPr>
        <w:t xml:space="preserve">. Als zeitliches Wissen, das die Vernunft von sich selbst entwickelt, hat die Philosophie eine historische Dimension, der das fortschreitende Bewusstwerden der </w:t>
      </w:r>
      <w:r w:rsidRPr="00921BB8">
        <w:rPr>
          <w:rFonts w:ascii="Times New Roman" w:hAnsi="Times New Roman" w:cs="Times New Roman"/>
          <w:i/>
          <w:lang w:val="de-DE"/>
        </w:rPr>
        <w:t xml:space="preserve">Objektivität </w:t>
      </w:r>
      <w:r w:rsidRPr="00921BB8">
        <w:rPr>
          <w:rFonts w:ascii="Times New Roman" w:hAnsi="Times New Roman" w:cs="Times New Roman"/>
          <w:lang w:val="de-DE"/>
        </w:rPr>
        <w:t xml:space="preserve">der Vernunft entspricht. </w:t>
      </w:r>
    </w:p>
    <w:p w14:paraId="70FA1B68" w14:textId="77777777" w:rsidR="001C3D81" w:rsidRPr="00921BB8" w:rsidRDefault="001C3D81" w:rsidP="001C3D81">
      <w:pPr>
        <w:spacing w:line="360" w:lineRule="auto"/>
        <w:ind w:firstLine="567"/>
        <w:jc w:val="both"/>
        <w:rPr>
          <w:rFonts w:ascii="Times New Roman" w:hAnsi="Times New Roman" w:cs="Times New Roman"/>
          <w:lang w:val="de-DE"/>
        </w:rPr>
      </w:pPr>
      <w:r w:rsidRPr="00921BB8">
        <w:rPr>
          <w:rFonts w:ascii="Times New Roman" w:hAnsi="Times New Roman" w:cs="Times New Roman"/>
          <w:lang w:val="de-DE"/>
        </w:rPr>
        <w:t>Das erste Zeugnis der Hegelschen Beschäftigung mit der jüdischen Kabbala ist das Manuskript Meyers (1818/19). Viele trübe Lehren stammten aus der Philosophie des Philon von Alexandria. Unter ihnen auch die Qabbalah, deren Inhalte „meist rohe, astrologische, medicinische und dergleichen Dinge</w:t>
      </w:r>
      <w:r w:rsidRPr="00921BB8">
        <w:rPr>
          <w:rFonts w:ascii="Times New Roman" w:hAnsi="Times New Roman" w:cs="Times New Roman"/>
        </w:rPr>
        <w:t>” sind</w:t>
      </w:r>
      <w:r w:rsidRPr="00921BB8">
        <w:rPr>
          <w:rFonts w:ascii="Times New Roman" w:hAnsi="Times New Roman" w:cs="Times New Roman"/>
          <w:lang w:val="de-DE"/>
        </w:rPr>
        <w:t>, die „durch trübe Zahlenbestimmungen verhüllt</w:t>
      </w:r>
      <w:r w:rsidRPr="00921BB8">
        <w:rPr>
          <w:rFonts w:ascii="Times New Roman" w:hAnsi="Times New Roman" w:cs="Times New Roman"/>
        </w:rPr>
        <w:t>”</w:t>
      </w:r>
      <w:r w:rsidRPr="00921BB8">
        <w:rPr>
          <w:rStyle w:val="Rimandonotaapidipagina"/>
          <w:rFonts w:ascii="Times New Roman" w:hAnsi="Times New Roman" w:cs="Times New Roman"/>
          <w:lang w:val="de-DE"/>
        </w:rPr>
        <w:footnoteReference w:id="1046"/>
      </w:r>
      <w:r w:rsidRPr="00921BB8">
        <w:rPr>
          <w:rFonts w:ascii="Times New Roman" w:hAnsi="Times New Roman" w:cs="Times New Roman"/>
        </w:rPr>
        <w:t xml:space="preserve"> </w:t>
      </w:r>
      <w:r w:rsidRPr="00921BB8">
        <w:rPr>
          <w:rFonts w:ascii="Times New Roman" w:hAnsi="Times New Roman" w:cs="Times New Roman"/>
          <w:lang w:val="de-DE"/>
        </w:rPr>
        <w:t xml:space="preserve">werden. Man bemerkt sowohl eine voreilige Behandlung der Materie als auch einen Mangel an Interesse an der formalen und inhaltlichen Trübheit der jüdischen Kabbala. </w:t>
      </w:r>
    </w:p>
    <w:p w14:paraId="45FA47E9" w14:textId="1B0A0E9C" w:rsidR="001C3D81" w:rsidRPr="00921BB8" w:rsidRDefault="001C3D81" w:rsidP="001C3D81">
      <w:pPr>
        <w:spacing w:line="360" w:lineRule="auto"/>
        <w:ind w:firstLine="567"/>
        <w:jc w:val="both"/>
        <w:rPr>
          <w:rFonts w:ascii="Times New Roman" w:hAnsi="Times New Roman" w:cs="Times New Roman"/>
          <w:lang w:val="de-DE"/>
        </w:rPr>
      </w:pPr>
      <w:r w:rsidRPr="00921BB8">
        <w:rPr>
          <w:rFonts w:ascii="Times New Roman" w:hAnsi="Times New Roman" w:cs="Times New Roman"/>
          <w:lang w:val="de-DE"/>
        </w:rPr>
        <w:t xml:space="preserve">Wir müssen noch zwei Jahre warten, um neue und verbesserte Belege hinsichtlich der kabbalistischen Philosophie zu finden. Im Manuskript Härings (1820/21) beginnt Hegel seine Analyse der jüdischen Mystik mit einigen historischen Bemerkungen: nach dem </w:t>
      </w:r>
      <w:r w:rsidRPr="00921BB8">
        <w:rPr>
          <w:rFonts w:ascii="Times New Roman" w:hAnsi="Times New Roman" w:cs="Times New Roman"/>
          <w:i/>
          <w:lang w:val="de-DE"/>
        </w:rPr>
        <w:t xml:space="preserve">Sefer Jezirah </w:t>
      </w:r>
      <w:r w:rsidRPr="00921BB8">
        <w:rPr>
          <w:rFonts w:ascii="Times New Roman" w:hAnsi="Times New Roman" w:cs="Times New Roman"/>
          <w:lang w:val="de-DE"/>
        </w:rPr>
        <w:t>von Rabbi Akhiva erinnert Hegel sich an Abraham Cohen de Herrera, „einer Hauptperson</w:t>
      </w:r>
      <w:r w:rsidRPr="00921BB8">
        <w:rPr>
          <w:rFonts w:ascii="Times New Roman" w:hAnsi="Times New Roman" w:cs="Times New Roman"/>
        </w:rPr>
        <w:t>”</w:t>
      </w:r>
      <w:r w:rsidRPr="00921BB8">
        <w:rPr>
          <w:rFonts w:ascii="Times New Roman" w:hAnsi="Times New Roman" w:cs="Times New Roman"/>
          <w:lang w:val="de-DE"/>
        </w:rPr>
        <w:t>, die in Spanien „im 15. Jahrhundert</w:t>
      </w:r>
      <w:r w:rsidRPr="00921BB8">
        <w:rPr>
          <w:rFonts w:ascii="Times New Roman" w:hAnsi="Times New Roman" w:cs="Times New Roman"/>
        </w:rPr>
        <w:t>”</w:t>
      </w:r>
      <w:r w:rsidRPr="00921BB8">
        <w:rPr>
          <w:rStyle w:val="Rimandonotaapidipagina"/>
          <w:rFonts w:ascii="Times New Roman" w:hAnsi="Times New Roman" w:cs="Times New Roman"/>
          <w:lang w:val="de-DE"/>
        </w:rPr>
        <w:footnoteReference w:id="1047"/>
      </w:r>
      <w:r w:rsidRPr="00921BB8">
        <w:rPr>
          <w:rFonts w:ascii="Times New Roman" w:hAnsi="Times New Roman" w:cs="Times New Roman"/>
          <w:lang w:val="de-DE"/>
        </w:rPr>
        <w:t xml:space="preserve"> gelebt hat und die jüdische Weisheit in Dialog mit der arabischen und scholastischen Philosophie gebracht hat.</w:t>
      </w:r>
      <w:r w:rsidR="00D07DB8">
        <w:rPr>
          <w:rFonts w:ascii="Times New Roman" w:hAnsi="Times New Roman" w:cs="Times New Roman"/>
          <w:lang w:val="de-DE"/>
        </w:rPr>
        <w:t xml:space="preserve"> </w:t>
      </w:r>
      <w:r w:rsidRPr="00921BB8">
        <w:rPr>
          <w:rFonts w:ascii="Times New Roman" w:hAnsi="Times New Roman" w:cs="Times New Roman"/>
          <w:lang w:val="de-DE"/>
        </w:rPr>
        <w:t xml:space="preserve">Aufgrund dieser historischen Prämisse legt Hegel die Grundbegriffe der kabbalistischen Philosophie Tiedemanns Zusammenfassung der </w:t>
      </w:r>
      <w:r w:rsidRPr="00921BB8">
        <w:rPr>
          <w:rFonts w:ascii="Times New Roman" w:hAnsi="Times New Roman" w:cs="Times New Roman"/>
          <w:i/>
          <w:lang w:val="de-DE"/>
        </w:rPr>
        <w:t xml:space="preserve">Himmelspforte </w:t>
      </w:r>
      <w:r w:rsidRPr="00921BB8">
        <w:rPr>
          <w:rFonts w:ascii="Times New Roman" w:hAnsi="Times New Roman" w:cs="Times New Roman"/>
          <w:lang w:val="de-DE"/>
        </w:rPr>
        <w:t>zufolge dar</w:t>
      </w:r>
      <w:r w:rsidRPr="00921BB8">
        <w:rPr>
          <w:rFonts w:ascii="Times New Roman" w:hAnsi="Times New Roman" w:cs="Times New Roman"/>
          <w:i/>
          <w:lang w:val="de-DE"/>
        </w:rPr>
        <w:t xml:space="preserve">. </w:t>
      </w:r>
      <w:r w:rsidRPr="00921BB8">
        <w:rPr>
          <w:rFonts w:ascii="Times New Roman" w:hAnsi="Times New Roman" w:cs="Times New Roman"/>
          <w:lang w:val="de-DE"/>
        </w:rPr>
        <w:t>Die Kabbala entwickelt eine Emanationslehre, die mit der Zahleneinheit vergleichbar ist: „die Zahlen wurden dadurch als Grundquelle aller Dinge dargestellt. Gott ist das Eins und aus diesem Eins emanieren denn alle Dinge. Es war Philo den λογος nannte, das ist in der Kabbala der Adam Kadmon heißt</w:t>
      </w:r>
      <w:r w:rsidRPr="00921BB8">
        <w:rPr>
          <w:rFonts w:ascii="Times New Roman" w:hAnsi="Times New Roman" w:cs="Times New Roman"/>
        </w:rPr>
        <w:t>”</w:t>
      </w:r>
      <w:r w:rsidRPr="00921BB8">
        <w:rPr>
          <w:rStyle w:val="Rimandonotaapidipagina"/>
          <w:rFonts w:ascii="Times New Roman" w:hAnsi="Times New Roman" w:cs="Times New Roman"/>
          <w:lang w:val="de-DE"/>
        </w:rPr>
        <w:footnoteReference w:id="1048"/>
      </w:r>
      <w:r w:rsidRPr="00921BB8">
        <w:rPr>
          <w:rFonts w:ascii="Times New Roman" w:hAnsi="Times New Roman" w:cs="Times New Roman"/>
          <w:lang w:val="de-DE"/>
        </w:rPr>
        <w:t xml:space="preserve"> . Die jüdische Tradition bewahrt Hauptgedanken, die durch eine barbarische Darstellungsform verdeckt werden. Im Gegensatz zum Manuskript Meyers, wo die Trübheit der Form die Verständlichkeit des Inhalts beeinträchtigte, glaubt Hegel in diesem Fall, dass „man hat aber Muhe, diese Grundgedanken durch alle Barbarei, und allen Unsinn durch zu erkennen</w:t>
      </w:r>
      <w:r w:rsidRPr="00921BB8">
        <w:rPr>
          <w:rFonts w:ascii="Times New Roman" w:hAnsi="Times New Roman" w:cs="Times New Roman"/>
        </w:rPr>
        <w:t>”</w:t>
      </w:r>
      <w:r w:rsidRPr="00921BB8">
        <w:rPr>
          <w:rStyle w:val="Rimandonotaapidipagina"/>
          <w:rFonts w:ascii="Times New Roman" w:hAnsi="Times New Roman" w:cs="Times New Roman"/>
          <w:lang w:val="de-DE"/>
        </w:rPr>
        <w:footnoteReference w:id="1049"/>
      </w:r>
      <w:r w:rsidRPr="00921BB8">
        <w:rPr>
          <w:rFonts w:ascii="Times New Roman" w:hAnsi="Times New Roman" w:cs="Times New Roman"/>
          <w:lang w:val="de-DE"/>
        </w:rPr>
        <w:t xml:space="preserve"> . Die Vorstellung des Adam Kadmons drückt die Idee eines wirkenden λογος aus, der die Entstehung der vier kabbalistischen Welten verursacht. Aus dem Einen folgt unmittelbar das Eine (der λογος, der sich selbst denkt und aktiv ist) und aus ihm die Vielheit. Der </w:t>
      </w:r>
      <w:r w:rsidRPr="00921BB8">
        <w:rPr>
          <w:rFonts w:ascii="Times New Roman" w:hAnsi="Times New Roman" w:cs="Times New Roman"/>
          <w:i/>
          <w:lang w:val="de-DE"/>
        </w:rPr>
        <w:t>Porta Coelorum</w:t>
      </w:r>
      <w:r w:rsidRPr="00921BB8">
        <w:rPr>
          <w:rFonts w:ascii="Times New Roman" w:hAnsi="Times New Roman" w:cs="Times New Roman"/>
          <w:lang w:val="de-DE"/>
        </w:rPr>
        <w:t xml:space="preserve"> zufolge spiegelt die Ka</w:t>
      </w:r>
      <w:r w:rsidR="00F44C0E">
        <w:rPr>
          <w:rFonts w:ascii="Times New Roman" w:hAnsi="Times New Roman" w:cs="Times New Roman"/>
          <w:lang w:val="de-DE"/>
        </w:rPr>
        <w:t>bbala jene spekulative Natur wi</w:t>
      </w:r>
      <w:r w:rsidRPr="00921BB8">
        <w:rPr>
          <w:rFonts w:ascii="Times New Roman" w:hAnsi="Times New Roman" w:cs="Times New Roman"/>
          <w:lang w:val="de-DE"/>
        </w:rPr>
        <w:t>der, die Hegel dem Gedanken von Phylon und Plotin zuschreibt</w:t>
      </w:r>
      <w:r w:rsidRPr="00921BB8">
        <w:rPr>
          <w:rStyle w:val="Rimandonotaapidipagina"/>
          <w:rFonts w:ascii="Times New Roman" w:hAnsi="Times New Roman" w:cs="Times New Roman"/>
          <w:lang w:val="de-DE"/>
        </w:rPr>
        <w:footnoteReference w:id="1050"/>
      </w:r>
      <w:r w:rsidRPr="00921BB8">
        <w:rPr>
          <w:rFonts w:ascii="Times New Roman" w:hAnsi="Times New Roman" w:cs="Times New Roman"/>
          <w:lang w:val="de-DE"/>
        </w:rPr>
        <w:t>.</w:t>
      </w:r>
    </w:p>
    <w:p w14:paraId="2DA59B79" w14:textId="31DA8C23" w:rsidR="001C3D81" w:rsidRPr="00921BB8" w:rsidRDefault="001C3D81" w:rsidP="001C3D81">
      <w:pPr>
        <w:spacing w:line="360" w:lineRule="auto"/>
        <w:ind w:firstLine="567"/>
        <w:jc w:val="both"/>
        <w:rPr>
          <w:rFonts w:ascii="Times New Roman" w:hAnsi="Times New Roman" w:cs="Times New Roman"/>
          <w:lang w:val="de-DE"/>
        </w:rPr>
      </w:pPr>
      <w:r w:rsidRPr="00921BB8">
        <w:rPr>
          <w:rFonts w:ascii="Times New Roman" w:hAnsi="Times New Roman" w:cs="Times New Roman"/>
          <w:lang w:val="de-DE"/>
        </w:rPr>
        <w:t>Die Manuskripte</w:t>
      </w:r>
      <w:r w:rsidRPr="00921BB8">
        <w:rPr>
          <w:rFonts w:ascii="Times New Roman" w:hAnsi="Times New Roman" w:cs="Times New Roman"/>
          <w:i/>
          <w:lang w:val="de-DE"/>
        </w:rPr>
        <w:t xml:space="preserve"> </w:t>
      </w:r>
      <w:r w:rsidRPr="00921BB8">
        <w:rPr>
          <w:rFonts w:ascii="Times New Roman" w:hAnsi="Times New Roman" w:cs="Times New Roman"/>
          <w:lang w:val="de-DE"/>
        </w:rPr>
        <w:t>von 1825/26 und die Vorlesungen der Ausgabe</w:t>
      </w:r>
      <w:r w:rsidR="00032DC2">
        <w:rPr>
          <w:rFonts w:ascii="Times New Roman" w:hAnsi="Times New Roman" w:cs="Times New Roman"/>
          <w:lang w:val="de-DE"/>
        </w:rPr>
        <w:t>n</w:t>
      </w:r>
      <w:r w:rsidRPr="00921BB8">
        <w:rPr>
          <w:rFonts w:ascii="Times New Roman" w:hAnsi="Times New Roman" w:cs="Times New Roman"/>
          <w:lang w:val="de-DE"/>
        </w:rPr>
        <w:t xml:space="preserve"> von Michelet (18</w:t>
      </w:r>
      <w:r w:rsidR="002532AE">
        <w:rPr>
          <w:rFonts w:ascii="Times New Roman" w:hAnsi="Times New Roman" w:cs="Times New Roman"/>
          <w:lang w:val="de-DE"/>
        </w:rPr>
        <w:t>33/</w:t>
      </w:r>
      <w:r w:rsidRPr="00921BB8">
        <w:rPr>
          <w:rFonts w:ascii="Times New Roman" w:hAnsi="Times New Roman" w:cs="Times New Roman"/>
          <w:lang w:val="de-DE"/>
        </w:rPr>
        <w:t>36; 18</w:t>
      </w:r>
      <w:r w:rsidR="002532AE">
        <w:rPr>
          <w:rFonts w:ascii="Times New Roman" w:hAnsi="Times New Roman" w:cs="Times New Roman"/>
          <w:lang w:val="de-DE"/>
        </w:rPr>
        <w:t>40/</w:t>
      </w:r>
      <w:r w:rsidRPr="00921BB8">
        <w:rPr>
          <w:rFonts w:ascii="Times New Roman" w:hAnsi="Times New Roman" w:cs="Times New Roman"/>
          <w:lang w:val="de-DE"/>
        </w:rPr>
        <w:t xml:space="preserve">44) bieten ein </w:t>
      </w:r>
      <w:r w:rsidRPr="00921BB8">
        <w:rPr>
          <w:rFonts w:ascii="Times New Roman" w:hAnsi="Times New Roman" w:cs="Times New Roman"/>
          <w:i/>
          <w:lang w:val="de-DE"/>
        </w:rPr>
        <w:t>alternatives</w:t>
      </w:r>
      <w:r w:rsidRPr="00921BB8">
        <w:rPr>
          <w:rFonts w:ascii="Times New Roman" w:hAnsi="Times New Roman" w:cs="Times New Roman"/>
          <w:lang w:val="de-DE"/>
        </w:rPr>
        <w:t xml:space="preserve"> Modell des kabbalistischen Denkens dar. Die im Kontext von Alexandria entstandene jüdische Kabbala stellt eine Kombination aus griechischen und morgenländischen Philosophemen dar. Die Schrift, die die zwei Seelen der kabbalistischen Philosophie vereinigt, ist die </w:t>
      </w:r>
      <w:r w:rsidRPr="00921BB8">
        <w:rPr>
          <w:rFonts w:ascii="Times New Roman" w:hAnsi="Times New Roman" w:cs="Times New Roman"/>
          <w:i/>
          <w:lang w:val="de-DE"/>
        </w:rPr>
        <w:t>Porta Coelorum</w:t>
      </w:r>
      <w:r w:rsidRPr="00921BB8">
        <w:rPr>
          <w:rFonts w:ascii="Times New Roman" w:hAnsi="Times New Roman" w:cs="Times New Roman"/>
          <w:lang w:val="de-DE"/>
        </w:rPr>
        <w:t xml:space="preserve"> von Abraham Cohen de Herrera</w:t>
      </w:r>
      <w:r w:rsidRPr="00921BB8">
        <w:rPr>
          <w:rStyle w:val="Rimandonotaapidipagina"/>
          <w:rFonts w:ascii="Times New Roman" w:hAnsi="Times New Roman" w:cs="Times New Roman"/>
          <w:lang w:val="de-DE"/>
        </w:rPr>
        <w:footnoteReference w:id="1051"/>
      </w:r>
      <w:r w:rsidRPr="00921BB8">
        <w:rPr>
          <w:rFonts w:ascii="Times New Roman" w:hAnsi="Times New Roman" w:cs="Times New Roman"/>
          <w:lang w:val="de-DE"/>
        </w:rPr>
        <w:t xml:space="preserve">. In Übereinstimmung mit Tiedemanns Ananlyse der </w:t>
      </w:r>
      <w:r w:rsidRPr="00921BB8">
        <w:rPr>
          <w:rFonts w:ascii="Times New Roman" w:hAnsi="Times New Roman" w:cs="Times New Roman"/>
          <w:i/>
          <w:lang w:val="de-DE"/>
        </w:rPr>
        <w:t xml:space="preserve">Himmelspforte </w:t>
      </w:r>
      <w:r w:rsidRPr="00921BB8">
        <w:rPr>
          <w:rFonts w:ascii="Times New Roman" w:hAnsi="Times New Roman" w:cs="Times New Roman"/>
          <w:lang w:val="de-DE"/>
        </w:rPr>
        <w:t>fasst Hegel die Grundbestimmungen der Kabbala zusammen: wie die Zahleneinheit die Quelle aller Zahlen ist und nicht selbst eine dieser Zahlen ist, so ist das En-soph der Grund aller Dinge und nicht selbst eins dieser Dinge</w:t>
      </w:r>
      <w:r w:rsidRPr="00921BB8">
        <w:rPr>
          <w:rStyle w:val="Rimandonotaapidipagina"/>
          <w:rFonts w:ascii="Times New Roman" w:hAnsi="Times New Roman" w:cs="Times New Roman"/>
          <w:lang w:val="de-DE"/>
        </w:rPr>
        <w:footnoteReference w:id="1052"/>
      </w:r>
      <w:r w:rsidRPr="00921BB8">
        <w:rPr>
          <w:rFonts w:ascii="Times New Roman" w:hAnsi="Times New Roman" w:cs="Times New Roman"/>
          <w:lang w:val="de-DE"/>
        </w:rPr>
        <w:t>. „</w:t>
      </w:r>
      <w:r w:rsidRPr="00921BB8">
        <w:rPr>
          <w:rFonts w:ascii="Times New Roman" w:eastAsia="Times New Roman" w:hAnsi="Times New Roman" w:cs="Times New Roman"/>
          <w:color w:val="000000"/>
          <w:shd w:val="clear" w:color="auto" w:fill="FFFFFF"/>
          <w:lang w:val="de-DE"/>
        </w:rPr>
        <w:t>Durch Einschränkung</w:t>
      </w:r>
      <w:r w:rsidRPr="00921BB8">
        <w:rPr>
          <w:rFonts w:ascii="Times New Roman" w:hAnsi="Times New Roman" w:cs="Times New Roman"/>
        </w:rPr>
        <w:t>”</w:t>
      </w:r>
      <w:r w:rsidRPr="00921BB8">
        <w:rPr>
          <w:rStyle w:val="Rimandonotaapidipagina"/>
          <w:rFonts w:ascii="Times New Roman" w:hAnsi="Times New Roman" w:cs="Times New Roman"/>
          <w:lang w:val="de-DE"/>
        </w:rPr>
        <w:footnoteReference w:id="1053"/>
      </w:r>
      <w:r w:rsidRPr="00921BB8">
        <w:rPr>
          <w:rFonts w:ascii="Times New Roman" w:hAnsi="Times New Roman" w:cs="Times New Roman"/>
          <w:lang w:val="de-DE"/>
        </w:rPr>
        <w:t xml:space="preserve"> erzeugt das Eine (das En-soph) nur eine Wirkung, die sich der Vollkommenheit des göttlichen Wesens nähert. Adam Kadmon ist das Medium, durch das das Eine, das reine Licht, sich in die Emanationsstufen der kabbalistischen Kosmologie ausbreitet. In den </w:t>
      </w:r>
      <w:r w:rsidRPr="00921BB8">
        <w:rPr>
          <w:rFonts w:ascii="Times New Roman" w:hAnsi="Times New Roman" w:cs="Times New Roman"/>
          <w:i/>
          <w:lang w:val="de-DE"/>
        </w:rPr>
        <w:t xml:space="preserve">Vorlesungen </w:t>
      </w:r>
      <w:r w:rsidRPr="00921BB8">
        <w:rPr>
          <w:rFonts w:ascii="Times New Roman" w:hAnsi="Times New Roman" w:cs="Times New Roman"/>
          <w:lang w:val="de-DE"/>
        </w:rPr>
        <w:t>von 1825/26 schreibt Hegel, dass „</w:t>
      </w:r>
      <w:r w:rsidRPr="00921BB8">
        <w:rPr>
          <w:rFonts w:ascii="Times New Roman" w:eastAsia="Times New Roman" w:hAnsi="Times New Roman" w:cs="Times New Roman"/>
          <w:color w:val="000000"/>
          <w:shd w:val="clear" w:color="auto" w:fill="FFFFFF"/>
          <w:lang w:val="de-DE"/>
        </w:rPr>
        <w:t>das Erste darin ist der Adam Kadmon [...] durch Emanation sind dann die anderen Sphären, Kreise und Welt geformt, und diese Emanation wird als Lichtströme von Zephyrin dargestellt</w:t>
      </w:r>
      <w:r w:rsidRPr="00921BB8">
        <w:rPr>
          <w:rFonts w:ascii="Times New Roman" w:hAnsi="Times New Roman" w:cs="Times New Roman"/>
        </w:rPr>
        <w:t>”</w:t>
      </w:r>
      <w:r w:rsidRPr="00921BB8">
        <w:rPr>
          <w:rStyle w:val="Rimandonotaapidipagina"/>
          <w:rFonts w:ascii="Times New Roman" w:hAnsi="Times New Roman" w:cs="Times New Roman"/>
          <w:lang w:val="de-DE"/>
        </w:rPr>
        <w:footnoteReference w:id="1054"/>
      </w:r>
      <w:r w:rsidRPr="00921BB8">
        <w:rPr>
          <w:rFonts w:ascii="Times New Roman" w:hAnsi="Times New Roman" w:cs="Times New Roman"/>
          <w:lang w:val="de-DE"/>
        </w:rPr>
        <w:t xml:space="preserve"> . Und noch in den von Michelet herausgegebenen Vorlesungen: „</w:t>
      </w:r>
      <w:r w:rsidRPr="00921BB8">
        <w:rPr>
          <w:rFonts w:ascii="Times New Roman" w:eastAsia="Times New Roman" w:hAnsi="Times New Roman" w:cs="Times New Roman"/>
          <w:color w:val="000000"/>
          <w:shd w:val="clear" w:color="auto" w:fill="FFFFFF"/>
          <w:lang w:val="de-DE"/>
        </w:rPr>
        <w:t>das zweite Hauptmoment ist der Adam Kadmon, der erste Mensch, Keter [...] womit die emanierte Welt als Ausfluß des Lichtes zusammenhängt. Durch weiteres Herausgehen sind dann die anderen Sphären, Kreise der Welt geworden; und diese Emanation wird als Lichtströme dargestellt</w:t>
      </w:r>
      <w:r w:rsidRPr="00921BB8">
        <w:rPr>
          <w:rFonts w:ascii="Times New Roman" w:hAnsi="Times New Roman" w:cs="Times New Roman"/>
          <w:sz w:val="20"/>
          <w:szCs w:val="20"/>
        </w:rPr>
        <w:t>”</w:t>
      </w:r>
      <w:r w:rsidRPr="00921BB8">
        <w:rPr>
          <w:rStyle w:val="Rimandonotaapidipagina"/>
          <w:rFonts w:ascii="Times New Roman" w:eastAsia="Times New Roman" w:hAnsi="Times New Roman" w:cs="Times New Roman"/>
          <w:color w:val="000000"/>
          <w:shd w:val="clear" w:color="auto" w:fill="FFFFFF"/>
          <w:lang w:val="de-DE"/>
        </w:rPr>
        <w:footnoteReference w:id="1055"/>
      </w:r>
      <w:r w:rsidRPr="00921BB8">
        <w:rPr>
          <w:rFonts w:ascii="Times New Roman" w:hAnsi="Times New Roman" w:cs="Times New Roman"/>
          <w:lang w:val="de-DE"/>
        </w:rPr>
        <w:t xml:space="preserve">. Dass Hegel sich nicht mehr über die dynamische Natur des göttlichen Verstandes auslässt, spiegelt ein theoretisches Ziel wider: statt einer Identifizierung der kabbalistischen Gedanken mit den dialektischen Schemen von Philon und Plotin betont Hegel jene Vorstellungen, die sich auf die morgenländischen Emanationslehre, auf den </w:t>
      </w:r>
      <w:r w:rsidRPr="00921BB8">
        <w:rPr>
          <w:rFonts w:ascii="Times New Roman" w:hAnsi="Times New Roman" w:cs="Times New Roman"/>
          <w:i/>
          <w:lang w:val="de-DE"/>
        </w:rPr>
        <w:t xml:space="preserve">verschwindenden </w:t>
      </w:r>
      <w:r w:rsidRPr="00921BB8">
        <w:rPr>
          <w:rFonts w:ascii="Times New Roman" w:hAnsi="Times New Roman" w:cs="Times New Roman"/>
          <w:lang w:val="de-DE"/>
        </w:rPr>
        <w:t xml:space="preserve">und </w:t>
      </w:r>
      <w:r w:rsidRPr="00921BB8">
        <w:rPr>
          <w:rFonts w:ascii="Times New Roman" w:hAnsi="Times New Roman" w:cs="Times New Roman"/>
          <w:i/>
          <w:lang w:val="de-DE"/>
        </w:rPr>
        <w:t xml:space="preserve">nicht-dialektischen Übergang </w:t>
      </w:r>
      <w:r w:rsidRPr="00921BB8">
        <w:rPr>
          <w:rFonts w:ascii="Times New Roman" w:hAnsi="Times New Roman" w:cs="Times New Roman"/>
          <w:lang w:val="de-DE"/>
        </w:rPr>
        <w:t xml:space="preserve">des göttlichen Lichts in das Emanationssystem zurückführen lassen. </w:t>
      </w:r>
    </w:p>
    <w:p w14:paraId="454A4507" w14:textId="18F4498A" w:rsidR="001C3D81" w:rsidRPr="00921BB8" w:rsidRDefault="001C3D81" w:rsidP="001C3D81">
      <w:pPr>
        <w:spacing w:line="360" w:lineRule="auto"/>
        <w:ind w:firstLine="567"/>
        <w:jc w:val="both"/>
        <w:rPr>
          <w:rFonts w:ascii="Times New Roman" w:hAnsi="Times New Roman" w:cs="Times New Roman"/>
          <w:lang w:val="de-DE"/>
        </w:rPr>
      </w:pPr>
      <w:r w:rsidRPr="00921BB8">
        <w:rPr>
          <w:rFonts w:ascii="Times New Roman" w:hAnsi="Times New Roman" w:cs="Times New Roman"/>
          <w:lang w:val="de-DE"/>
        </w:rPr>
        <w:t>Im Hinblick auf den historisch-philosophischen Ursprung dieser leuchtenden Symbolik behauptet Hegel (anhand der Analysen Buhles), dass die jüdische Kabbala die Theorie des Göttlichen mit zoroastrischen Elementen zusammengestellt hat: „</w:t>
      </w:r>
      <w:r w:rsidRPr="00921BB8">
        <w:rPr>
          <w:rFonts w:ascii="Times New Roman" w:eastAsia="Times New Roman" w:hAnsi="Times New Roman" w:cs="Times New Roman"/>
          <w:color w:val="000000"/>
          <w:shd w:val="clear" w:color="auto" w:fill="FFFFFF"/>
          <w:lang w:val="de-DE"/>
        </w:rPr>
        <w:t>früher findet sich bei den Juden nichts von den Vorstellungen Gottes als eines Lichtwesens, von einem Gegenteile desselben, der Finsternis und dem Bösen, das in Streit mit dem Lichte ist, nichts von guten und bösen Engeln, von dem Abfalle der Bösen, ihrer Verdammnis, ihrer Aufenthalte in der Hölle, künftigem Weltgerichte über die Guten und Bösen, von der Verderbnis des Fleisches</w:t>
      </w:r>
      <w:r w:rsidRPr="00921BB8">
        <w:rPr>
          <w:rFonts w:ascii="Times New Roman" w:hAnsi="Times New Roman" w:cs="Times New Roman"/>
          <w:sz w:val="20"/>
          <w:szCs w:val="20"/>
        </w:rPr>
        <w:t>”</w:t>
      </w:r>
      <w:r w:rsidRPr="00921BB8">
        <w:rPr>
          <w:rStyle w:val="Rimandonotaapidipagina"/>
          <w:rFonts w:ascii="Times New Roman" w:eastAsia="Times New Roman" w:hAnsi="Times New Roman" w:cs="Times New Roman"/>
          <w:color w:val="000000"/>
          <w:shd w:val="clear" w:color="auto" w:fill="FFFFFF"/>
          <w:lang w:val="de-DE"/>
        </w:rPr>
        <w:footnoteReference w:id="1056"/>
      </w:r>
      <w:r w:rsidRPr="00921BB8">
        <w:rPr>
          <w:rFonts w:ascii="Times New Roman" w:hAnsi="Times New Roman" w:cs="Times New Roman"/>
          <w:lang w:val="de-DE"/>
        </w:rPr>
        <w:t xml:space="preserve">. Dieses Zitat, das noch nicht in der </w:t>
      </w:r>
      <w:r w:rsidRPr="00921BB8">
        <w:rPr>
          <w:rFonts w:ascii="Times New Roman" w:hAnsi="Times New Roman" w:cs="Times New Roman"/>
          <w:i/>
          <w:lang w:val="de-DE"/>
        </w:rPr>
        <w:t xml:space="preserve">Vorlesung </w:t>
      </w:r>
      <w:r w:rsidRPr="00921BB8">
        <w:rPr>
          <w:rFonts w:ascii="Times New Roman" w:hAnsi="Times New Roman" w:cs="Times New Roman"/>
          <w:lang w:val="de-DE"/>
        </w:rPr>
        <w:t>von 1825/26 enthalten ist und in beiden Michelets Ausgaben der Vorlesungen (1833</w:t>
      </w:r>
      <w:r w:rsidR="002532AE">
        <w:rPr>
          <w:rFonts w:ascii="Times New Roman" w:hAnsi="Times New Roman" w:cs="Times New Roman"/>
          <w:lang w:val="de-DE"/>
        </w:rPr>
        <w:t>/36</w:t>
      </w:r>
      <w:r w:rsidRPr="00921BB8">
        <w:rPr>
          <w:rFonts w:ascii="Times New Roman" w:hAnsi="Times New Roman" w:cs="Times New Roman"/>
          <w:lang w:val="de-DE"/>
        </w:rPr>
        <w:t>; 18</w:t>
      </w:r>
      <w:r w:rsidR="002532AE">
        <w:rPr>
          <w:rFonts w:ascii="Times New Roman" w:hAnsi="Times New Roman" w:cs="Times New Roman"/>
          <w:lang w:val="de-DE"/>
        </w:rPr>
        <w:t>40/</w:t>
      </w:r>
      <w:r w:rsidRPr="00921BB8">
        <w:rPr>
          <w:rFonts w:ascii="Times New Roman" w:hAnsi="Times New Roman" w:cs="Times New Roman"/>
          <w:lang w:val="de-DE"/>
        </w:rPr>
        <w:t>4</w:t>
      </w:r>
      <w:r w:rsidR="00F44C0E">
        <w:rPr>
          <w:rFonts w:ascii="Times New Roman" w:hAnsi="Times New Roman" w:cs="Times New Roman"/>
          <w:lang w:val="de-DE"/>
        </w:rPr>
        <w:t xml:space="preserve">4) aufgenommen wird, ermöglicht </w:t>
      </w:r>
      <w:r w:rsidRPr="00921BB8">
        <w:rPr>
          <w:rFonts w:ascii="Times New Roman" w:hAnsi="Times New Roman" w:cs="Times New Roman"/>
          <w:lang w:val="de-DE"/>
        </w:rPr>
        <w:t xml:space="preserve">es, einige nicht triviale Bemerkungen zu entwickeln. In seiner Argumentation fügt Hegel theoretische Elemente ein, die bereits anlässlich der Auseinandersetzung mit dem Böhmeschen Denken geschätzt wurden. Wenn Hegel in den </w:t>
      </w:r>
      <w:r w:rsidRPr="00921BB8">
        <w:rPr>
          <w:rFonts w:ascii="Times New Roman" w:hAnsi="Times New Roman" w:cs="Times New Roman"/>
          <w:i/>
          <w:lang w:val="de-DE"/>
        </w:rPr>
        <w:t xml:space="preserve">Vorlesungen </w:t>
      </w:r>
      <w:r w:rsidRPr="00921BB8">
        <w:rPr>
          <w:rFonts w:ascii="Times New Roman" w:hAnsi="Times New Roman" w:cs="Times New Roman"/>
          <w:lang w:val="de-DE"/>
        </w:rPr>
        <w:t xml:space="preserve">jene Vorstellungen einführt, in denen die jüdische Kabbala und das Böhmesche Denken übereinstimmen (der Gegensatz zwischen Licht und Finsternis und der Abfall der bösen Engel), wäre es legitim, einen Vergleich dieser kabbalistischen Inhalte mit dem Böhmeschen Gedanken </w:t>
      </w:r>
      <w:r w:rsidRPr="00012775">
        <w:rPr>
          <w:rFonts w:ascii="Times New Roman" w:hAnsi="Times New Roman" w:cs="Times New Roman"/>
          <w:lang w:val="de-DE"/>
        </w:rPr>
        <w:t xml:space="preserve">zu erwarten. All diese Erwartungen bleiben aber unerfüllt: Hegel zitiert eine Passage aus dem </w:t>
      </w:r>
      <w:r w:rsidRPr="00012775">
        <w:rPr>
          <w:rFonts w:ascii="Times New Roman" w:hAnsi="Times New Roman" w:cs="Times New Roman"/>
          <w:i/>
          <w:lang w:val="de-DE"/>
        </w:rPr>
        <w:t>Lehrbuch der Geschichte der Philosophie</w:t>
      </w:r>
      <w:r w:rsidRPr="00012775">
        <w:rPr>
          <w:rFonts w:ascii="Times New Roman" w:hAnsi="Times New Roman" w:cs="Times New Roman"/>
          <w:lang w:val="de-DE"/>
        </w:rPr>
        <w:t xml:space="preserve">, die ihm dabei helfen kann, die historische Entstehung </w:t>
      </w:r>
      <w:r w:rsidR="009E4655" w:rsidRPr="00012775">
        <w:rPr>
          <w:rFonts w:ascii="Times New Roman" w:hAnsi="Times New Roman" w:cs="Times New Roman"/>
          <w:lang w:val="de-DE"/>
        </w:rPr>
        <w:t>der ka</w:t>
      </w:r>
      <w:r w:rsidR="00883497" w:rsidRPr="00012775">
        <w:rPr>
          <w:rFonts w:ascii="Times New Roman" w:hAnsi="Times New Roman" w:cs="Times New Roman"/>
          <w:lang w:val="de-DE"/>
        </w:rPr>
        <w:t>bbalistischen Emanationslehre au</w:t>
      </w:r>
      <w:r w:rsidR="009E4655" w:rsidRPr="00012775">
        <w:rPr>
          <w:rFonts w:ascii="Times New Roman" w:hAnsi="Times New Roman" w:cs="Times New Roman"/>
          <w:lang w:val="de-DE"/>
        </w:rPr>
        <w:t>s</w:t>
      </w:r>
      <w:r w:rsidR="00883497" w:rsidRPr="00012775">
        <w:rPr>
          <w:rFonts w:ascii="Times New Roman" w:hAnsi="Times New Roman" w:cs="Times New Roman"/>
          <w:lang w:val="de-DE"/>
        </w:rPr>
        <w:t xml:space="preserve"> der</w:t>
      </w:r>
      <w:r w:rsidR="009E4655" w:rsidRPr="00012775">
        <w:rPr>
          <w:rFonts w:ascii="Times New Roman" w:hAnsi="Times New Roman" w:cs="Times New Roman"/>
          <w:lang w:val="de-DE"/>
        </w:rPr>
        <w:t xml:space="preserve"> </w:t>
      </w:r>
      <w:r w:rsidR="00883497" w:rsidRPr="00012775">
        <w:rPr>
          <w:rFonts w:ascii="Times New Roman" w:hAnsi="Times New Roman" w:cs="Times New Roman"/>
          <w:lang w:val="de-DE"/>
        </w:rPr>
        <w:t>morgenländischen Philosophie</w:t>
      </w:r>
      <w:r w:rsidR="00012775">
        <w:rPr>
          <w:rFonts w:ascii="Times New Roman" w:hAnsi="Times New Roman" w:cs="Times New Roman"/>
          <w:lang w:val="de-DE"/>
        </w:rPr>
        <w:t xml:space="preserve"> zu erklären</w:t>
      </w:r>
      <w:r w:rsidR="00883497" w:rsidRPr="00012775">
        <w:rPr>
          <w:rFonts w:ascii="Times New Roman" w:hAnsi="Times New Roman" w:cs="Times New Roman"/>
          <w:lang w:val="de-DE"/>
        </w:rPr>
        <w:t xml:space="preserve">. </w:t>
      </w:r>
      <w:r w:rsidRPr="00012775">
        <w:rPr>
          <w:rFonts w:ascii="Times New Roman" w:hAnsi="Times New Roman" w:cs="Times New Roman"/>
          <w:lang w:val="de-DE"/>
        </w:rPr>
        <w:t xml:space="preserve">Hegels Meinung </w:t>
      </w:r>
      <w:r w:rsidR="00012775">
        <w:rPr>
          <w:rFonts w:ascii="Times New Roman" w:hAnsi="Times New Roman" w:cs="Times New Roman"/>
          <w:lang w:val="de-DE"/>
        </w:rPr>
        <w:t xml:space="preserve">nach </w:t>
      </w:r>
      <w:r w:rsidR="00883497" w:rsidRPr="00012775">
        <w:rPr>
          <w:rFonts w:ascii="Times New Roman" w:hAnsi="Times New Roman" w:cs="Times New Roman"/>
          <w:lang w:val="de-DE"/>
        </w:rPr>
        <w:t xml:space="preserve">gehört </w:t>
      </w:r>
      <w:r w:rsidRPr="00012775">
        <w:rPr>
          <w:rFonts w:ascii="Times New Roman" w:hAnsi="Times New Roman" w:cs="Times New Roman"/>
          <w:lang w:val="de-DE"/>
        </w:rPr>
        <w:t>die gegensätzliche Natur des Göttlichen nicht einem Denken, das sowohl mystisch als auch religiös-philosophisch bei einem a-dialektischen Verständnis des Absoluten stehen bleibt</w:t>
      </w:r>
      <w:r w:rsidRPr="00012775">
        <w:rPr>
          <w:rStyle w:val="Rimandonotaapidipagina"/>
          <w:rFonts w:ascii="Times New Roman" w:hAnsi="Times New Roman" w:cs="Times New Roman"/>
          <w:lang w:val="de-DE"/>
        </w:rPr>
        <w:footnoteReference w:id="1057"/>
      </w:r>
      <w:r w:rsidRPr="00012775">
        <w:rPr>
          <w:rFonts w:ascii="Times New Roman" w:hAnsi="Times New Roman" w:cs="Times New Roman"/>
          <w:lang w:val="de-DE"/>
        </w:rPr>
        <w:t>.</w:t>
      </w:r>
    </w:p>
    <w:p w14:paraId="4D46EFBD" w14:textId="77777777" w:rsidR="001C3D81" w:rsidRPr="00921BB8" w:rsidRDefault="001C3D81" w:rsidP="001C3D81">
      <w:pPr>
        <w:spacing w:line="360" w:lineRule="auto"/>
        <w:ind w:firstLine="567"/>
        <w:jc w:val="both"/>
        <w:rPr>
          <w:rFonts w:ascii="Times New Roman" w:hAnsi="Times New Roman" w:cs="Times New Roman"/>
        </w:rPr>
      </w:pPr>
      <w:r w:rsidRPr="00921BB8">
        <w:rPr>
          <w:rFonts w:ascii="Times New Roman" w:hAnsi="Times New Roman" w:cs="Times New Roman"/>
        </w:rPr>
        <w:t xml:space="preserve"> </w:t>
      </w:r>
    </w:p>
    <w:p w14:paraId="35680977" w14:textId="725560C2" w:rsidR="001C3D81" w:rsidRPr="00921BB8" w:rsidRDefault="00083023" w:rsidP="001C3D81">
      <w:pPr>
        <w:spacing w:line="360" w:lineRule="auto"/>
        <w:jc w:val="both"/>
        <w:rPr>
          <w:rFonts w:ascii="Times New Roman" w:hAnsi="Times New Roman" w:cs="Times New Roman"/>
          <w:lang w:val="de-DE"/>
        </w:rPr>
      </w:pPr>
      <w:r w:rsidRPr="00921BB8">
        <w:rPr>
          <w:rFonts w:ascii="Times New Roman" w:hAnsi="Times New Roman" w:cs="Times New Roman"/>
          <w:i/>
          <w:lang w:val="de-DE"/>
        </w:rPr>
        <w:t>3.</w:t>
      </w:r>
      <w:r w:rsidR="001C3D81" w:rsidRPr="00921BB8">
        <w:rPr>
          <w:rFonts w:ascii="Times New Roman" w:hAnsi="Times New Roman" w:cs="Times New Roman"/>
          <w:i/>
          <w:lang w:val="de-DE"/>
        </w:rPr>
        <w:t>10 Akosmismus und Kabbala: Spinozas Ontologie in</w:t>
      </w:r>
      <w:r w:rsidR="00773AA8" w:rsidRPr="00921BB8">
        <w:rPr>
          <w:rFonts w:ascii="Times New Roman" w:hAnsi="Times New Roman" w:cs="Times New Roman"/>
          <w:i/>
          <w:lang w:val="de-DE"/>
        </w:rPr>
        <w:t xml:space="preserve"> den </w:t>
      </w:r>
      <w:r w:rsidR="001C3D81" w:rsidRPr="00921BB8">
        <w:rPr>
          <w:rFonts w:ascii="Times New Roman" w:hAnsi="Times New Roman" w:cs="Times New Roman"/>
          <w:i/>
          <w:lang w:val="de-DE"/>
        </w:rPr>
        <w:t>Berliner</w:t>
      </w:r>
      <w:r w:rsidR="00773AA8" w:rsidRPr="00921BB8">
        <w:rPr>
          <w:rFonts w:ascii="Times New Roman" w:hAnsi="Times New Roman" w:cs="Times New Roman"/>
          <w:i/>
          <w:lang w:val="de-DE"/>
        </w:rPr>
        <w:t xml:space="preserve"> Schriften</w:t>
      </w:r>
      <w:r w:rsidR="001C3D81" w:rsidRPr="00921BB8">
        <w:rPr>
          <w:rFonts w:ascii="Times New Roman" w:hAnsi="Times New Roman" w:cs="Times New Roman"/>
          <w:i/>
          <w:lang w:val="de-DE"/>
        </w:rPr>
        <w:t xml:space="preserve"> </w:t>
      </w:r>
    </w:p>
    <w:p w14:paraId="733FF1F8" w14:textId="77777777" w:rsidR="001C3D81" w:rsidRPr="00921BB8" w:rsidRDefault="001C3D81" w:rsidP="001C3D81">
      <w:pPr>
        <w:spacing w:line="360" w:lineRule="auto"/>
        <w:jc w:val="both"/>
        <w:rPr>
          <w:rFonts w:ascii="Times New Roman" w:hAnsi="Times New Roman" w:cs="Times New Roman"/>
          <w:i/>
          <w:lang w:val="de-DE"/>
        </w:rPr>
      </w:pPr>
    </w:p>
    <w:p w14:paraId="7732ABD4" w14:textId="36BB152A" w:rsidR="001C3D81" w:rsidRPr="00921BB8" w:rsidRDefault="001C3D81" w:rsidP="001C3D81">
      <w:pPr>
        <w:spacing w:line="360" w:lineRule="auto"/>
        <w:ind w:firstLine="567"/>
        <w:jc w:val="both"/>
        <w:rPr>
          <w:rFonts w:ascii="Times New Roman" w:hAnsi="Times New Roman" w:cs="Times New Roman"/>
          <w:lang w:val="de-DE"/>
        </w:rPr>
      </w:pPr>
      <w:r w:rsidRPr="00921BB8">
        <w:rPr>
          <w:rFonts w:ascii="Times New Roman" w:hAnsi="Times New Roman" w:cs="Times New Roman"/>
          <w:lang w:val="de-DE"/>
        </w:rPr>
        <w:t>Seit 1821 kategorisiert Hegel das Denken Spinozas als akosmistisch: „der Spinocismus ist verschrieen, wegen der Einheit Gottes und der Natur; in der That [...] die Philosophie des Spinoza ist so zu sagen Akosmismus und so gerade das Gegentheil des Atheismus</w:t>
      </w:r>
      <w:r w:rsidRPr="00921BB8">
        <w:rPr>
          <w:rFonts w:ascii="Times New Roman" w:hAnsi="Times New Roman" w:cs="Times New Roman"/>
          <w:sz w:val="20"/>
          <w:szCs w:val="20"/>
        </w:rPr>
        <w:t>”</w:t>
      </w:r>
      <w:r w:rsidRPr="00921BB8">
        <w:rPr>
          <w:rStyle w:val="Rimandonotaapidipagina"/>
          <w:rFonts w:ascii="Times New Roman" w:hAnsi="Times New Roman" w:cs="Times New Roman"/>
          <w:lang w:val="de-DE"/>
        </w:rPr>
        <w:footnoteReference w:id="1058"/>
      </w:r>
      <w:r w:rsidRPr="00921BB8">
        <w:rPr>
          <w:rFonts w:ascii="Times New Roman" w:hAnsi="Times New Roman" w:cs="Times New Roman"/>
          <w:lang w:val="de-DE"/>
        </w:rPr>
        <w:t xml:space="preserve">. Die folgende Definition findet ihren Ursprung in der </w:t>
      </w:r>
      <w:r w:rsidRPr="00921BB8">
        <w:rPr>
          <w:rFonts w:ascii="Times New Roman" w:hAnsi="Times New Roman" w:cs="Times New Roman"/>
          <w:i/>
          <w:lang w:val="de-DE"/>
        </w:rPr>
        <w:t xml:space="preserve">Lebensgeschichte </w:t>
      </w:r>
      <w:r w:rsidRPr="00921BB8">
        <w:rPr>
          <w:rFonts w:ascii="Times New Roman" w:hAnsi="Times New Roman" w:cs="Times New Roman"/>
          <w:lang w:val="de-DE"/>
        </w:rPr>
        <w:t xml:space="preserve">von Salomon Maimon. Im Gegensatz zu seinen Vorgängern, die die theoretische Kontiguität Spinozas mit der jüdischen Kabbala betont hatten, um die Heterodoxie des holländischen Philosophen darzustellen, gewinnt Hegel die positive Bedeutung des Akosmismus – bereits in Maimons Autobiographie vorhanden – zurück. In §50 des </w:t>
      </w:r>
      <w:r w:rsidRPr="00921BB8">
        <w:rPr>
          <w:rFonts w:ascii="Times New Roman" w:hAnsi="Times New Roman" w:cs="Times New Roman"/>
          <w:i/>
          <w:lang w:val="de-DE"/>
        </w:rPr>
        <w:t xml:space="preserve">Vorbegriffs </w:t>
      </w:r>
      <w:r w:rsidRPr="00921BB8">
        <w:rPr>
          <w:rFonts w:ascii="Times New Roman" w:hAnsi="Times New Roman" w:cs="Times New Roman"/>
          <w:lang w:val="de-DE"/>
        </w:rPr>
        <w:t>(</w:t>
      </w:r>
      <w:r w:rsidRPr="00921BB8">
        <w:rPr>
          <w:rFonts w:ascii="Times New Roman" w:hAnsi="Times New Roman" w:cs="Times New Roman"/>
          <w:i/>
          <w:lang w:val="de-DE"/>
        </w:rPr>
        <w:t xml:space="preserve">Enzyklopädie </w:t>
      </w:r>
      <w:r w:rsidRPr="00921BB8">
        <w:rPr>
          <w:rFonts w:ascii="Times New Roman" w:hAnsi="Times New Roman" w:cs="Times New Roman"/>
          <w:lang w:val="de-DE"/>
        </w:rPr>
        <w:t>’27 und ’30) schreibt Hegel:</w:t>
      </w:r>
    </w:p>
    <w:p w14:paraId="6DF6E437" w14:textId="77777777" w:rsidR="001C3D81" w:rsidRPr="00921BB8" w:rsidRDefault="001C3D81" w:rsidP="001C3D81">
      <w:pPr>
        <w:spacing w:line="360" w:lineRule="auto"/>
        <w:jc w:val="both"/>
        <w:rPr>
          <w:rFonts w:ascii="Times New Roman" w:hAnsi="Times New Roman" w:cs="Times New Roman"/>
          <w:lang w:val="de-DE"/>
        </w:rPr>
      </w:pPr>
    </w:p>
    <w:p w14:paraId="339E0A17" w14:textId="77777777" w:rsidR="001C3D81" w:rsidRPr="00921BB8" w:rsidRDefault="001C3D81" w:rsidP="001C3D81">
      <w:pPr>
        <w:spacing w:line="360" w:lineRule="auto"/>
        <w:ind w:left="709"/>
        <w:jc w:val="both"/>
        <w:rPr>
          <w:rFonts w:ascii="Times New Roman" w:hAnsi="Times New Roman" w:cs="Times New Roman"/>
          <w:lang w:val="de-DE"/>
        </w:rPr>
      </w:pPr>
      <w:r w:rsidRPr="00921BB8">
        <w:rPr>
          <w:rFonts w:ascii="Times New Roman" w:hAnsi="Times New Roman" w:cs="Times New Roman"/>
          <w:sz w:val="20"/>
          <w:szCs w:val="20"/>
          <w:lang w:val="de-DE"/>
        </w:rPr>
        <w:t>Die absolute Substanz Spinozas ist freilich noch nicht der absolute Geist, und es wird mit Recht gefordert, daß Gott als absoluter Geist bestimmt werden musse […] In dem Spinozistischen Systeme vielmehr die Welt nur als Phänomen, dem nicht wirkliche Realität zukomme, bestimmt wird, so daß dieses System als Akosmismus anzusehen ist. Eine Philosophie, welche behauptet, daß Gott und nur Gott ist, dürfte nicht für Atheismus ausgegeben werden</w:t>
      </w:r>
      <w:r w:rsidRPr="00921BB8">
        <w:rPr>
          <w:rStyle w:val="Rimandonotaapidipagina"/>
          <w:rFonts w:ascii="Times New Roman" w:hAnsi="Times New Roman" w:cs="Times New Roman"/>
          <w:sz w:val="20"/>
          <w:szCs w:val="20"/>
          <w:lang w:val="de-DE"/>
        </w:rPr>
        <w:footnoteReference w:id="1059"/>
      </w:r>
      <w:r w:rsidRPr="00921BB8">
        <w:rPr>
          <w:rFonts w:ascii="Times New Roman" w:hAnsi="Times New Roman" w:cs="Times New Roman"/>
          <w:sz w:val="20"/>
          <w:szCs w:val="20"/>
          <w:lang w:val="de-DE"/>
        </w:rPr>
        <w:t>.</w:t>
      </w:r>
    </w:p>
    <w:p w14:paraId="50F5F4CA" w14:textId="77777777" w:rsidR="001C3D81" w:rsidRPr="00921BB8" w:rsidRDefault="001C3D81" w:rsidP="001C3D81">
      <w:pPr>
        <w:spacing w:line="360" w:lineRule="auto"/>
        <w:ind w:firstLine="567"/>
        <w:jc w:val="both"/>
        <w:rPr>
          <w:rFonts w:ascii="Times New Roman" w:hAnsi="Times New Roman" w:cs="Times New Roman"/>
          <w:lang w:val="de-DE"/>
        </w:rPr>
      </w:pPr>
    </w:p>
    <w:p w14:paraId="06BCBA76" w14:textId="77777777" w:rsidR="001C3D81" w:rsidRPr="00921BB8" w:rsidRDefault="001C3D81" w:rsidP="001C3D81">
      <w:pPr>
        <w:spacing w:line="360" w:lineRule="auto"/>
        <w:ind w:firstLine="567"/>
        <w:jc w:val="both"/>
        <w:rPr>
          <w:rFonts w:ascii="Times New Roman" w:eastAsia="Times New Roman" w:hAnsi="Times New Roman" w:cs="Times New Roman"/>
          <w:lang w:val="de-DE"/>
        </w:rPr>
      </w:pPr>
      <w:r w:rsidRPr="00921BB8">
        <w:rPr>
          <w:rFonts w:ascii="Times New Roman" w:hAnsi="Times New Roman" w:cs="Times New Roman"/>
          <w:lang w:val="de-DE"/>
        </w:rPr>
        <w:t xml:space="preserve">In Bezug darauf liest man in der Anmerkung des </w:t>
      </w:r>
      <w:r w:rsidRPr="00921BB8">
        <w:rPr>
          <w:rFonts w:ascii="Times New Roman" w:eastAsia="Times New Roman" w:hAnsi="Times New Roman" w:cs="Times New Roman"/>
          <w:lang w:val="de-DE"/>
        </w:rPr>
        <w:t xml:space="preserve">§573 (unverändert in den Berliner Fassungen der </w:t>
      </w:r>
      <w:r w:rsidRPr="00921BB8">
        <w:rPr>
          <w:rFonts w:ascii="Times New Roman" w:hAnsi="Times New Roman" w:cs="Times New Roman"/>
          <w:i/>
          <w:lang w:val="de-DE"/>
        </w:rPr>
        <w:t>Enzyklopädie</w:t>
      </w:r>
      <w:r w:rsidRPr="00921BB8">
        <w:rPr>
          <w:rFonts w:ascii="Times New Roman" w:eastAsia="Times New Roman" w:hAnsi="Times New Roman" w:cs="Times New Roman"/>
          <w:lang w:val="de-DE"/>
        </w:rPr>
        <w:t>):</w:t>
      </w:r>
    </w:p>
    <w:p w14:paraId="1149E283" w14:textId="77777777" w:rsidR="001C3D81" w:rsidRPr="00921BB8" w:rsidRDefault="001C3D81" w:rsidP="001C3D81">
      <w:pPr>
        <w:spacing w:line="360" w:lineRule="auto"/>
        <w:ind w:left="567" w:firstLine="567"/>
        <w:jc w:val="both"/>
        <w:rPr>
          <w:rFonts w:ascii="Times New Roman" w:hAnsi="Times New Roman" w:cs="Times New Roman"/>
          <w:lang w:val="de-DE"/>
        </w:rPr>
      </w:pPr>
    </w:p>
    <w:p w14:paraId="5A83846B" w14:textId="77777777" w:rsidR="001C3D81" w:rsidRPr="00921BB8" w:rsidRDefault="001C3D81" w:rsidP="001C3D81">
      <w:pPr>
        <w:spacing w:line="360" w:lineRule="auto"/>
        <w:ind w:left="567"/>
        <w:jc w:val="both"/>
        <w:rPr>
          <w:rFonts w:ascii="Times New Roman" w:hAnsi="Times New Roman" w:cs="Times New Roman"/>
          <w:sz w:val="20"/>
          <w:szCs w:val="20"/>
          <w:lang w:val="de-DE"/>
        </w:rPr>
      </w:pPr>
      <w:r w:rsidRPr="00921BB8">
        <w:rPr>
          <w:rFonts w:ascii="Times New Roman" w:eastAsia="Times New Roman" w:hAnsi="Times New Roman" w:cs="Times New Roman"/>
          <w:color w:val="000000"/>
          <w:sz w:val="20"/>
          <w:szCs w:val="20"/>
          <w:shd w:val="clear" w:color="auto" w:fill="FFFFFF"/>
          <w:lang w:val="de-DE"/>
        </w:rPr>
        <w:t>Von den Philosophien, welchen man eben diesen Namen gegeben, z.B. der Eleatischen oder Spinozistischen, ist schon früher (§ 50 Anm.) erinnert worden, daß sie so wenig Gott mit der Welt identifizieren und endlich machen, daß in diesen Philosophien dies</w:t>
      </w:r>
      <w:r w:rsidRPr="00921BB8">
        <w:rPr>
          <w:rFonts w:ascii="Times New Roman" w:eastAsia="Times New Roman" w:hAnsi="Times New Roman" w:cs="Times New Roman"/>
          <w:iCs/>
          <w:color w:val="000000"/>
          <w:sz w:val="20"/>
          <w:szCs w:val="20"/>
          <w:shd w:val="clear" w:color="auto" w:fill="FFFFFF"/>
          <w:lang w:val="de-DE"/>
        </w:rPr>
        <w:t> Alles</w:t>
      </w:r>
      <w:r w:rsidRPr="00921BB8">
        <w:rPr>
          <w:rFonts w:ascii="Times New Roman" w:eastAsia="Times New Roman" w:hAnsi="Times New Roman" w:cs="Times New Roman"/>
          <w:color w:val="000000"/>
          <w:sz w:val="20"/>
          <w:szCs w:val="20"/>
          <w:shd w:val="clear" w:color="auto" w:fill="FFFFFF"/>
          <w:lang w:val="de-DE"/>
        </w:rPr>
        <w:t> vielmehr keine Wahrheit hat und daß man sie richtiger als </w:t>
      </w:r>
      <w:r w:rsidRPr="00921BB8">
        <w:rPr>
          <w:rFonts w:ascii="Times New Roman" w:eastAsia="Times New Roman" w:hAnsi="Times New Roman" w:cs="Times New Roman"/>
          <w:iCs/>
          <w:color w:val="000000"/>
          <w:sz w:val="20"/>
          <w:szCs w:val="20"/>
          <w:shd w:val="clear" w:color="auto" w:fill="FFFFFF"/>
          <w:lang w:val="de-DE"/>
        </w:rPr>
        <w:t>Monotheismen</w:t>
      </w:r>
      <w:r w:rsidRPr="00921BB8">
        <w:rPr>
          <w:rFonts w:ascii="Times New Roman" w:eastAsia="Times New Roman" w:hAnsi="Times New Roman" w:cs="Times New Roman"/>
          <w:color w:val="000000"/>
          <w:sz w:val="20"/>
          <w:szCs w:val="20"/>
          <w:shd w:val="clear" w:color="auto" w:fill="FFFFFF"/>
          <w:lang w:val="de-DE"/>
        </w:rPr>
        <w:t> und, in Beziehung auf die Vorstellung von der Welt, als </w:t>
      </w:r>
      <w:r w:rsidRPr="00921BB8">
        <w:rPr>
          <w:rFonts w:ascii="Times New Roman" w:eastAsia="Times New Roman" w:hAnsi="Times New Roman" w:cs="Times New Roman"/>
          <w:iCs/>
          <w:color w:val="000000"/>
          <w:sz w:val="20"/>
          <w:szCs w:val="20"/>
          <w:shd w:val="clear" w:color="auto" w:fill="FFFFFF"/>
          <w:lang w:val="de-DE"/>
        </w:rPr>
        <w:t>Akosmismen</w:t>
      </w:r>
      <w:r w:rsidRPr="00921BB8">
        <w:rPr>
          <w:rFonts w:ascii="Times New Roman" w:eastAsia="Times New Roman" w:hAnsi="Times New Roman" w:cs="Times New Roman"/>
          <w:color w:val="000000"/>
          <w:sz w:val="20"/>
          <w:szCs w:val="20"/>
          <w:shd w:val="clear" w:color="auto" w:fill="FFFFFF"/>
          <w:lang w:val="de-DE"/>
        </w:rPr>
        <w:t> zu bezeichnen hätte</w:t>
      </w:r>
      <w:r w:rsidRPr="00921BB8">
        <w:rPr>
          <w:rStyle w:val="Rimandonotaapidipagina"/>
          <w:rFonts w:ascii="Times New Roman" w:hAnsi="Times New Roman" w:cs="Times New Roman"/>
          <w:sz w:val="20"/>
          <w:szCs w:val="20"/>
          <w:lang w:val="de-DE"/>
        </w:rPr>
        <w:footnoteReference w:id="1060"/>
      </w:r>
      <w:r w:rsidRPr="00921BB8">
        <w:rPr>
          <w:rFonts w:ascii="Times New Roman" w:hAnsi="Times New Roman" w:cs="Times New Roman"/>
          <w:sz w:val="20"/>
          <w:szCs w:val="20"/>
          <w:lang w:val="de-DE"/>
        </w:rPr>
        <w:t>.</w:t>
      </w:r>
    </w:p>
    <w:p w14:paraId="027BEBFE" w14:textId="77777777" w:rsidR="001C3D81" w:rsidRPr="00921BB8" w:rsidRDefault="001C3D81" w:rsidP="001C3D81">
      <w:pPr>
        <w:spacing w:line="360" w:lineRule="auto"/>
        <w:ind w:left="567" w:firstLine="567"/>
        <w:jc w:val="both"/>
        <w:rPr>
          <w:rFonts w:ascii="Times New Roman" w:hAnsi="Times New Roman" w:cs="Times New Roman"/>
          <w:lang w:val="de-DE"/>
        </w:rPr>
      </w:pPr>
    </w:p>
    <w:p w14:paraId="6719310F" w14:textId="5B03316B" w:rsidR="001C3D81" w:rsidRPr="00921BB8" w:rsidRDefault="001C3D81" w:rsidP="001C3D81">
      <w:pPr>
        <w:spacing w:line="360" w:lineRule="auto"/>
        <w:ind w:firstLine="567"/>
        <w:jc w:val="both"/>
        <w:rPr>
          <w:rFonts w:ascii="Times New Roman" w:hAnsi="Times New Roman" w:cs="Times New Roman"/>
          <w:lang w:val="de-DE"/>
        </w:rPr>
      </w:pPr>
      <w:r w:rsidRPr="002346CB">
        <w:rPr>
          <w:rFonts w:ascii="Times New Roman" w:hAnsi="Times New Roman" w:cs="Times New Roman"/>
          <w:lang w:val="de-DE"/>
        </w:rPr>
        <w:t>In der Spinozistischen Metaphysik gibt es keine Vergötterung der Welt. Im Gegenteil wird die unbestimmte Einheit d</w:t>
      </w:r>
      <w:r w:rsidR="00883497" w:rsidRPr="002346CB">
        <w:rPr>
          <w:rFonts w:ascii="Times New Roman" w:hAnsi="Times New Roman" w:cs="Times New Roman"/>
          <w:lang w:val="de-DE"/>
        </w:rPr>
        <w:t>er Substanz ausgesagt und der W</w:t>
      </w:r>
      <w:r w:rsidRPr="002346CB">
        <w:rPr>
          <w:rFonts w:ascii="Times New Roman" w:hAnsi="Times New Roman" w:cs="Times New Roman"/>
          <w:lang w:val="de-DE"/>
        </w:rPr>
        <w:t>e</w:t>
      </w:r>
      <w:r w:rsidR="00883497" w:rsidRPr="002346CB">
        <w:rPr>
          <w:rFonts w:ascii="Times New Roman" w:hAnsi="Times New Roman" w:cs="Times New Roman"/>
          <w:lang w:val="de-DE"/>
        </w:rPr>
        <w:t>l</w:t>
      </w:r>
      <w:r w:rsidRPr="002346CB">
        <w:rPr>
          <w:rFonts w:ascii="Times New Roman" w:hAnsi="Times New Roman" w:cs="Times New Roman"/>
          <w:lang w:val="de-DE"/>
        </w:rPr>
        <w:t xml:space="preserve">t ein eigenes Dasein abgesprochen. Bei der Befreiung Spinozas vom Vorwurf des Atheismus geht um die Wiedereinführung eines Begriffs (Akosmismus), der im Rahmen der Debatte über Spinozas Kabbalismus entwickelt wurde. </w:t>
      </w:r>
      <w:r w:rsidR="002346CB">
        <w:rPr>
          <w:rFonts w:ascii="Times New Roman" w:hAnsi="Times New Roman" w:cs="Times New Roman"/>
          <w:lang w:val="de-DE"/>
        </w:rPr>
        <w:t xml:space="preserve">Infolgedessen </w:t>
      </w:r>
      <w:r w:rsidRPr="002346CB">
        <w:rPr>
          <w:rFonts w:ascii="Times New Roman" w:hAnsi="Times New Roman" w:cs="Times New Roman"/>
          <w:lang w:val="de-DE"/>
        </w:rPr>
        <w:t>ändert Hegel das Vorzeichen des Akosmismus vom Positiven ins Negative:</w:t>
      </w:r>
      <w:r w:rsidRPr="00921BB8">
        <w:rPr>
          <w:rFonts w:ascii="Times New Roman" w:hAnsi="Times New Roman" w:cs="Times New Roman"/>
          <w:lang w:val="de-DE"/>
        </w:rPr>
        <w:t xml:space="preserve"> der Einfachheit des En-sophischen Lichts zufolge stellt die Unbestimmtheit der Substanz die unüberwindbare Grenze eines philosophischen Systems dar, das den lebendigen Trieb des Negativen scheut. Wenn aus dem göttlichen Wesen nichts folgen kann, dann ist es richtig, das alte Prinzip </w:t>
      </w:r>
      <w:r w:rsidRPr="00921BB8">
        <w:rPr>
          <w:rFonts w:ascii="Times New Roman" w:hAnsi="Times New Roman" w:cs="Times New Roman"/>
          <w:i/>
          <w:lang w:val="de-DE"/>
        </w:rPr>
        <w:t xml:space="preserve">ex nihilo nihil nihil fit </w:t>
      </w:r>
      <w:r w:rsidRPr="00921BB8">
        <w:rPr>
          <w:rFonts w:ascii="Times New Roman" w:hAnsi="Times New Roman" w:cs="Times New Roman"/>
          <w:lang w:val="de-DE"/>
        </w:rPr>
        <w:t xml:space="preserve">und damit die kabbalistischen Wurzeln des Gedankens Spinozas zu wiederholen. In der </w:t>
      </w:r>
      <w:r w:rsidRPr="00921BB8">
        <w:rPr>
          <w:rFonts w:ascii="Times New Roman" w:hAnsi="Times New Roman" w:cs="Times New Roman"/>
          <w:i/>
          <w:lang w:val="de-DE"/>
        </w:rPr>
        <w:t xml:space="preserve">Logik des Seyns </w:t>
      </w:r>
      <w:r w:rsidRPr="00921BB8">
        <w:rPr>
          <w:rFonts w:ascii="Times New Roman" w:hAnsi="Times New Roman" w:cs="Times New Roman"/>
          <w:lang w:val="de-DE"/>
        </w:rPr>
        <w:t>(1832) bemerkt Hegel:</w:t>
      </w:r>
    </w:p>
    <w:p w14:paraId="4C7BF8B9" w14:textId="77777777" w:rsidR="001C3D81" w:rsidRPr="00921BB8" w:rsidRDefault="001C3D81" w:rsidP="001C3D81">
      <w:pPr>
        <w:spacing w:line="360" w:lineRule="auto"/>
        <w:ind w:firstLine="567"/>
        <w:jc w:val="both"/>
        <w:rPr>
          <w:rFonts w:ascii="Times New Roman" w:hAnsi="Times New Roman" w:cs="Times New Roman"/>
          <w:lang w:val="de-DE"/>
        </w:rPr>
      </w:pPr>
    </w:p>
    <w:p w14:paraId="4B01ADBE" w14:textId="440E0F87" w:rsidR="001C3D81" w:rsidRPr="00921BB8" w:rsidRDefault="001C3D81" w:rsidP="001C3D81">
      <w:pPr>
        <w:spacing w:line="360" w:lineRule="auto"/>
        <w:ind w:left="567"/>
        <w:jc w:val="both"/>
        <w:rPr>
          <w:rFonts w:ascii="Times New Roman" w:hAnsi="Times New Roman" w:cs="Times New Roman"/>
          <w:lang w:val="de-DE"/>
        </w:rPr>
      </w:pPr>
      <w:r w:rsidRPr="00921BB8">
        <w:rPr>
          <w:rFonts w:ascii="Times New Roman" w:hAnsi="Times New Roman" w:cs="Times New Roman"/>
          <w:sz w:val="20"/>
          <w:szCs w:val="20"/>
          <w:lang w:val="de-DE"/>
        </w:rPr>
        <w:t>Ex n</w:t>
      </w:r>
      <w:r w:rsidR="00A432FA">
        <w:rPr>
          <w:rFonts w:ascii="Times New Roman" w:hAnsi="Times New Roman" w:cs="Times New Roman"/>
          <w:sz w:val="20"/>
          <w:szCs w:val="20"/>
          <w:lang w:val="de-DE"/>
        </w:rPr>
        <w:t>ihilo nihil fit ist einer der Sä</w:t>
      </w:r>
      <w:r w:rsidRPr="00921BB8">
        <w:rPr>
          <w:rFonts w:ascii="Times New Roman" w:hAnsi="Times New Roman" w:cs="Times New Roman"/>
          <w:sz w:val="20"/>
          <w:szCs w:val="20"/>
          <w:lang w:val="de-DE"/>
        </w:rPr>
        <w:t>tze, denen in der Metaphysik große Bedeutung zugeschrieben wurde […] Seine eigentliche Wichtigkeit hat der Satz «Aus Nichts wird Nichts, Nichts ist eben Nichts» durch seinen Gegensatz gegen das Werden überhaupt und damit auch gegen die Erschaffung der Welt aus Nichts. Diejenige, welche den Satz «Nichts ist eben Nichts», sogar sich dafür ereifernd, behaupten, sind bewußtlos darüber, daß sie damit dem abstrakten Pantheismus der Eleaten, der Sache nach auch dem spinozistischen, beipflichten</w:t>
      </w:r>
      <w:r w:rsidRPr="00921BB8">
        <w:rPr>
          <w:rStyle w:val="Rimandonotaapidipagina"/>
          <w:rFonts w:ascii="Times New Roman" w:hAnsi="Times New Roman" w:cs="Times New Roman"/>
          <w:sz w:val="20"/>
          <w:szCs w:val="20"/>
          <w:lang w:val="de-DE"/>
        </w:rPr>
        <w:footnoteReference w:id="1061"/>
      </w:r>
      <w:r w:rsidRPr="00921BB8">
        <w:rPr>
          <w:rFonts w:ascii="Times New Roman" w:hAnsi="Times New Roman" w:cs="Times New Roman"/>
          <w:sz w:val="20"/>
          <w:szCs w:val="20"/>
          <w:lang w:val="de-DE"/>
        </w:rPr>
        <w:t>.</w:t>
      </w:r>
    </w:p>
    <w:p w14:paraId="1A733861" w14:textId="77777777" w:rsidR="001C3D81" w:rsidRPr="00921BB8" w:rsidRDefault="001C3D81" w:rsidP="001C3D81">
      <w:pPr>
        <w:spacing w:line="360" w:lineRule="auto"/>
        <w:ind w:firstLine="567"/>
        <w:jc w:val="both"/>
        <w:rPr>
          <w:rFonts w:ascii="Times New Roman" w:hAnsi="Times New Roman" w:cs="Times New Roman"/>
          <w:lang w:val="de-DE"/>
        </w:rPr>
      </w:pPr>
    </w:p>
    <w:p w14:paraId="5146995C" w14:textId="6A4ADDC0" w:rsidR="001C3D81" w:rsidRPr="00921BB8" w:rsidRDefault="001C3D81" w:rsidP="001C3D81">
      <w:pPr>
        <w:spacing w:line="360" w:lineRule="auto"/>
        <w:ind w:firstLine="567"/>
        <w:jc w:val="both"/>
        <w:rPr>
          <w:rFonts w:ascii="Times New Roman" w:hAnsi="Times New Roman" w:cs="Times New Roman"/>
          <w:lang w:val="de-DE"/>
        </w:rPr>
      </w:pPr>
      <w:r w:rsidRPr="00012775">
        <w:rPr>
          <w:rFonts w:ascii="Times New Roman" w:hAnsi="Times New Roman" w:cs="Times New Roman"/>
          <w:lang w:val="de-DE"/>
        </w:rPr>
        <w:t xml:space="preserve">Das abstrakte Identitätssystem, indem es die Ewigkeit des Seins bekennt, drückt das Wesen des abstrakten Pantheismus von Parmenides und Spinoza aus. Die Negation des Für-sich-Seins der Welt und die Affirmation des reinen Seins verbinden sich – wenn auch implizit – mit dem Prinzip </w:t>
      </w:r>
      <w:r w:rsidRPr="00012775">
        <w:rPr>
          <w:rFonts w:ascii="Times New Roman" w:hAnsi="Times New Roman" w:cs="Times New Roman"/>
          <w:i/>
          <w:lang w:val="de-DE"/>
        </w:rPr>
        <w:t>determinatio est negatio</w:t>
      </w:r>
      <w:r w:rsidR="00012775" w:rsidRPr="00012775">
        <w:rPr>
          <w:rFonts w:ascii="Times New Roman" w:hAnsi="Times New Roman" w:cs="Times New Roman"/>
          <w:lang w:val="de-DE"/>
        </w:rPr>
        <w:t xml:space="preserve"> (</w:t>
      </w:r>
      <w:r w:rsidR="00012775">
        <w:rPr>
          <w:rFonts w:ascii="Times New Roman" w:hAnsi="Times New Roman" w:cs="Times New Roman"/>
          <w:lang w:val="de-DE"/>
        </w:rPr>
        <w:t xml:space="preserve">insbesondere von Jacobi </w:t>
      </w:r>
      <w:r w:rsidR="00012775" w:rsidRPr="00012775">
        <w:rPr>
          <w:rFonts w:ascii="Times New Roman" w:hAnsi="Times New Roman" w:cs="Times New Roman"/>
          <w:lang w:val="de-DE"/>
        </w:rPr>
        <w:t>betont)</w:t>
      </w:r>
      <w:r w:rsidRPr="00012775">
        <w:rPr>
          <w:rFonts w:ascii="Times New Roman" w:hAnsi="Times New Roman" w:cs="Times New Roman"/>
          <w:lang w:val="de-DE"/>
        </w:rPr>
        <w:t>:</w:t>
      </w:r>
      <w:r w:rsidRPr="00921BB8">
        <w:rPr>
          <w:rFonts w:ascii="Times New Roman" w:hAnsi="Times New Roman" w:cs="Times New Roman"/>
          <w:lang w:val="de-DE"/>
        </w:rPr>
        <w:t xml:space="preserve"> Gott ist reines und ungetrübtes Sein, das keine Bestimmung an sich enthält, weil die Bestimmung, wenn sie qualitativ erfasst wird, Grenze und Negation impliziert. Die Definition des Spinozismus als Akosmismus und die implizite Anwendung des Prinzips </w:t>
      </w:r>
      <w:r w:rsidRPr="00921BB8">
        <w:rPr>
          <w:rFonts w:ascii="Times New Roman" w:hAnsi="Times New Roman" w:cs="Times New Roman"/>
          <w:i/>
          <w:lang w:val="de-DE"/>
        </w:rPr>
        <w:t>ex nihilo nihil fit</w:t>
      </w:r>
      <w:r w:rsidRPr="00921BB8">
        <w:rPr>
          <w:rFonts w:ascii="Times New Roman" w:hAnsi="Times New Roman" w:cs="Times New Roman"/>
          <w:lang w:val="de-DE"/>
        </w:rPr>
        <w:t xml:space="preserve"> betonen die spekulative Kontiguität zwischen dem Spinozismus und der jüdischen Kabbalah. </w:t>
      </w:r>
    </w:p>
    <w:p w14:paraId="1C763A23" w14:textId="402E1A85" w:rsidR="001C3D81" w:rsidRPr="00921BB8" w:rsidRDefault="001C3D81" w:rsidP="001C3D81">
      <w:pPr>
        <w:spacing w:line="360" w:lineRule="auto"/>
        <w:ind w:firstLine="567"/>
        <w:jc w:val="both"/>
        <w:rPr>
          <w:rFonts w:ascii="Times New Roman" w:hAnsi="Times New Roman" w:cs="Times New Roman"/>
          <w:lang w:val="de-DE"/>
        </w:rPr>
      </w:pPr>
      <w:r w:rsidRPr="00921BB8">
        <w:rPr>
          <w:rFonts w:ascii="Times New Roman" w:hAnsi="Times New Roman" w:cs="Times New Roman"/>
          <w:lang w:val="de-DE"/>
        </w:rPr>
        <w:t>Obwohl die jüdische Religion und Philosophie sich von Unmittelbarkeit und Endlichkeit befreien, entwickeln sie das, was sie aus der Wirklichkeit abstrahieren,</w:t>
      </w:r>
      <w:r w:rsidRPr="00921BB8">
        <w:rPr>
          <w:rFonts w:ascii="Times New Roman" w:hAnsi="Times New Roman" w:cs="Times New Roman"/>
          <w:i/>
          <w:lang w:val="de-DE"/>
        </w:rPr>
        <w:t xml:space="preserve"> </w:t>
      </w:r>
      <w:r w:rsidRPr="00921BB8">
        <w:rPr>
          <w:rFonts w:ascii="Times New Roman" w:hAnsi="Times New Roman" w:cs="Times New Roman"/>
          <w:lang w:val="de-DE"/>
        </w:rPr>
        <w:t xml:space="preserve">nicht weiter. Der Gott Israels bleibt ein Jenseits, das sich nicht auf sein Anderssein bezieht. Die Kabbala wiederum ist ein abstraktes Emanationssystem, das seinem Anderssein (der Materie) kein Für-sich-sein zuschreibt. Auch für den Spinozismus gilt etwas Analoges: einerseits hebt er die Antinomien des endlichen Wissens auf und gelangt zum </w:t>
      </w:r>
      <w:r w:rsidRPr="00921BB8">
        <w:rPr>
          <w:rFonts w:ascii="Times New Roman" w:hAnsi="Times New Roman" w:cs="Times New Roman"/>
          <w:i/>
          <w:lang w:val="de-DE"/>
        </w:rPr>
        <w:t>Absoluten Nichts</w:t>
      </w:r>
      <w:r w:rsidRPr="00921BB8">
        <w:rPr>
          <w:rFonts w:ascii="Times New Roman" w:hAnsi="Times New Roman" w:cs="Times New Roman"/>
          <w:lang w:val="de-DE"/>
        </w:rPr>
        <w:t xml:space="preserve">; andererseits entwickelt das absolute Nichts (die Substanz) sich nicht bis zum </w:t>
      </w:r>
      <w:r w:rsidRPr="00921BB8">
        <w:rPr>
          <w:rFonts w:ascii="Times New Roman" w:hAnsi="Times New Roman" w:cs="Times New Roman"/>
          <w:i/>
          <w:lang w:val="de-DE"/>
        </w:rPr>
        <w:t xml:space="preserve">absoluten Geist </w:t>
      </w:r>
      <w:r w:rsidRPr="00921BB8">
        <w:rPr>
          <w:rFonts w:ascii="Times New Roman" w:hAnsi="Times New Roman" w:cs="Times New Roman"/>
          <w:lang w:val="de-DE"/>
        </w:rPr>
        <w:t xml:space="preserve">(absolute Negation und Affirmation seiner selbst). Sowohl in der Logik des Seins als auch in der Wesenslogik bietet Spinoza eine Aufhebung des Intellektualismus an, der die Reflexionsphilosophie daran hindert, rein zu denken. </w:t>
      </w:r>
      <w:r w:rsidRPr="00921BB8">
        <w:rPr>
          <w:rFonts w:ascii="Times New Roman" w:hAnsi="Times New Roman" w:cs="Times New Roman"/>
          <w:i/>
          <w:lang w:val="de-DE"/>
        </w:rPr>
        <w:t xml:space="preserve">Sein </w:t>
      </w:r>
      <w:r w:rsidRPr="00921BB8">
        <w:rPr>
          <w:rFonts w:ascii="Times New Roman" w:hAnsi="Times New Roman" w:cs="Times New Roman"/>
          <w:lang w:val="de-DE"/>
        </w:rPr>
        <w:t xml:space="preserve">und </w:t>
      </w:r>
      <w:r w:rsidR="00FF3364" w:rsidRPr="00FF3364">
        <w:rPr>
          <w:rFonts w:ascii="Times New Roman" w:hAnsi="Times New Roman" w:cs="Times New Roman"/>
          <w:i/>
          <w:lang w:val="de-DE"/>
        </w:rPr>
        <w:t xml:space="preserve">absolute </w:t>
      </w:r>
      <w:r w:rsidRPr="00921BB8">
        <w:rPr>
          <w:rFonts w:ascii="Times New Roman" w:hAnsi="Times New Roman" w:cs="Times New Roman"/>
          <w:i/>
          <w:lang w:val="de-DE"/>
        </w:rPr>
        <w:t xml:space="preserve">Identität </w:t>
      </w:r>
      <w:r w:rsidRPr="00921BB8">
        <w:rPr>
          <w:rFonts w:ascii="Times New Roman" w:hAnsi="Times New Roman" w:cs="Times New Roman"/>
          <w:lang w:val="de-DE"/>
        </w:rPr>
        <w:t xml:space="preserve">stellen eine notwendige Befreiung des Denkens dar und bestimmen gleichzeitig einen spekulativen Käfig der Vernunft: die Zweiheit, die zur Einheit zurückgebracht wird, geht einfach zu Grunde und nicht aus dem Grunde heraus. Entweder als Unmittelbarkeit (Sein) oder als Vermittlung (absolute Identität) ist die Substanz Spinozas nicht der Begriff, weil sie nicht das, was sie aufhebt, begründet und das Bedürfnis des Aufgehoben nach Begründung unerfüllt lässt. </w:t>
      </w:r>
    </w:p>
    <w:p w14:paraId="7EA110C6" w14:textId="62729CEB" w:rsidR="001C3D81" w:rsidRPr="0092145E" w:rsidRDefault="001C3D81" w:rsidP="001C3D81">
      <w:pPr>
        <w:spacing w:line="360" w:lineRule="auto"/>
        <w:ind w:firstLine="567"/>
        <w:jc w:val="both"/>
        <w:rPr>
          <w:lang w:val="de-DE"/>
        </w:rPr>
      </w:pPr>
      <w:r w:rsidRPr="00921BB8">
        <w:rPr>
          <w:rFonts w:ascii="Times New Roman" w:hAnsi="Times New Roman" w:cs="Times New Roman"/>
          <w:lang w:val="de-DE"/>
        </w:rPr>
        <w:t>Es ist theoretisch legitim, von einem Einfluss der jüdischen Mystik auf das Hegelsche Denken zu sprechen, wenn wir eine hermeneutische Perspektive annehmen, d</w:t>
      </w:r>
      <w:r w:rsidR="00E16744" w:rsidRPr="00921BB8">
        <w:rPr>
          <w:rFonts w:ascii="Times New Roman" w:hAnsi="Times New Roman" w:cs="Times New Roman"/>
          <w:lang w:val="de-DE"/>
        </w:rPr>
        <w:t>ie auf der K</w:t>
      </w:r>
      <w:r w:rsidRPr="00921BB8">
        <w:rPr>
          <w:rFonts w:ascii="Times New Roman" w:hAnsi="Times New Roman" w:cs="Times New Roman"/>
          <w:lang w:val="de-DE"/>
        </w:rPr>
        <w:t xml:space="preserve">enntnis der zur Zeit Hegels historiographischen Modelle beruht. Aufgrund der Materialien, die in diesem Kapitel analysiert wurden, haben wir verstanden, dass Hegel ein Lehrbuchwissen über die Kabbala besaß und die jüdische Kultur zu einer Hauptform des abstrakten Denkens assimilierte. </w:t>
      </w:r>
      <w:r w:rsidRPr="00AB5768">
        <w:rPr>
          <w:rFonts w:ascii="Times New Roman" w:hAnsi="Times New Roman" w:cs="Times New Roman"/>
          <w:lang w:val="de-DE"/>
        </w:rPr>
        <w:t>Dass der Hegelsche Begriff der absoluten Negativität des reinen Denkens eine kabbalistische Wurzel aufzeigt, stellt eine legitime Interpretation dar, wenn jene Quellen in Betracht gezogen werden, die von der Kabbala beeinflusst wurden (z. B. die Theogonie Böhm</w:t>
      </w:r>
      <w:r w:rsidRPr="00921BB8">
        <w:rPr>
          <w:rFonts w:ascii="Times New Roman" w:hAnsi="Times New Roman" w:cs="Times New Roman"/>
          <w:lang w:val="de-DE"/>
        </w:rPr>
        <w:t>es). Die Hegelsche Theorie der absoluten Negativität enthält einen vermittelten Beitrag der jüdischen Mystik, die fälschlicherweise auf eine Form des abstrakten Denkens reduziert wurde und von einem Philosophieren erlöst wurde (in diesem Fall vom Böhmeschen Gedanken)</w:t>
      </w:r>
      <w:r w:rsidR="00A11C2A">
        <w:rPr>
          <w:rFonts w:ascii="Times New Roman" w:hAnsi="Times New Roman" w:cs="Times New Roman"/>
          <w:lang w:val="de-DE"/>
        </w:rPr>
        <w:t xml:space="preserve">, </w:t>
      </w:r>
      <w:r w:rsidRPr="00921BB8">
        <w:rPr>
          <w:rFonts w:ascii="Times New Roman" w:hAnsi="Times New Roman" w:cs="Times New Roman"/>
          <w:lang w:val="de-DE"/>
        </w:rPr>
        <w:t>das barbarisch jenes Streben nach dem Ganzen ausdrückt, an das sich sowohl die mystische Tradition als auch die Hegelsche Philosophie richten.</w:t>
      </w:r>
    </w:p>
    <w:p w14:paraId="5B57DBAF" w14:textId="77777777" w:rsidR="00F975AD" w:rsidRDefault="00F975AD" w:rsidP="006B16F8">
      <w:pPr>
        <w:spacing w:line="360" w:lineRule="auto"/>
        <w:jc w:val="both"/>
        <w:rPr>
          <w:rFonts w:ascii="Times New Roman" w:hAnsi="Times New Roman" w:cs="Times New Roman"/>
          <w:b/>
          <w:sz w:val="28"/>
          <w:szCs w:val="28"/>
        </w:rPr>
      </w:pPr>
    </w:p>
    <w:p w14:paraId="59260562" w14:textId="3AC01947" w:rsidR="00276556" w:rsidRPr="006B16F8" w:rsidRDefault="00276556" w:rsidP="006B16F8">
      <w:pPr>
        <w:spacing w:line="360" w:lineRule="auto"/>
        <w:jc w:val="both"/>
        <w:rPr>
          <w:rFonts w:ascii="Times New Roman" w:hAnsi="Times New Roman" w:cs="Times New Roman"/>
          <w:b/>
          <w:sz w:val="28"/>
          <w:szCs w:val="28"/>
        </w:rPr>
      </w:pPr>
      <w:r w:rsidRPr="006B16F8">
        <w:rPr>
          <w:rFonts w:ascii="Times New Roman" w:hAnsi="Times New Roman" w:cs="Times New Roman"/>
          <w:b/>
          <w:sz w:val="28"/>
          <w:szCs w:val="28"/>
        </w:rPr>
        <w:t>Bibliografia</w:t>
      </w:r>
      <w:r w:rsidR="002B585D">
        <w:rPr>
          <w:rFonts w:ascii="Times New Roman" w:hAnsi="Times New Roman" w:cs="Times New Roman"/>
          <w:b/>
          <w:sz w:val="28"/>
          <w:szCs w:val="28"/>
        </w:rPr>
        <w:t>/Bibliographie</w:t>
      </w:r>
      <w:r w:rsidRPr="006B16F8">
        <w:rPr>
          <w:rFonts w:ascii="Times New Roman" w:hAnsi="Times New Roman" w:cs="Times New Roman"/>
          <w:b/>
          <w:sz w:val="28"/>
          <w:szCs w:val="28"/>
        </w:rPr>
        <w:t xml:space="preserve"> </w:t>
      </w:r>
    </w:p>
    <w:p w14:paraId="549DA60F" w14:textId="77777777" w:rsidR="00DB1926" w:rsidRDefault="00DB1926" w:rsidP="006B16F8">
      <w:pPr>
        <w:spacing w:line="360" w:lineRule="auto"/>
        <w:jc w:val="both"/>
        <w:rPr>
          <w:rFonts w:ascii="Times New Roman" w:hAnsi="Times New Roman" w:cs="Times New Roman"/>
          <w:b/>
        </w:rPr>
      </w:pPr>
    </w:p>
    <w:p w14:paraId="539CDEB0" w14:textId="402D8362" w:rsidR="00EF407F" w:rsidRDefault="00123ACB" w:rsidP="006B16F8">
      <w:pPr>
        <w:spacing w:line="360" w:lineRule="auto"/>
        <w:jc w:val="both"/>
        <w:rPr>
          <w:rFonts w:ascii="Times New Roman" w:hAnsi="Times New Roman" w:cs="Times New Roman"/>
          <w:i/>
        </w:rPr>
      </w:pPr>
      <w:r w:rsidRPr="003F6B27">
        <w:rPr>
          <w:rFonts w:ascii="Times New Roman" w:hAnsi="Times New Roman" w:cs="Times New Roman"/>
          <w:b/>
        </w:rPr>
        <w:t>Opere di Hegel</w:t>
      </w:r>
    </w:p>
    <w:p w14:paraId="4B7B54F2" w14:textId="77777777" w:rsidR="00123ACB" w:rsidRDefault="00123ACB" w:rsidP="006B16F8">
      <w:pPr>
        <w:spacing w:line="360" w:lineRule="auto"/>
        <w:jc w:val="both"/>
        <w:rPr>
          <w:rFonts w:ascii="Times New Roman" w:hAnsi="Times New Roman" w:cs="Times New Roman"/>
          <w:i/>
        </w:rPr>
      </w:pPr>
    </w:p>
    <w:p w14:paraId="3B32D863" w14:textId="58FFF0ED" w:rsidR="00123ACB" w:rsidRPr="008E1231" w:rsidRDefault="00DC0252" w:rsidP="006B16F8">
      <w:pPr>
        <w:spacing w:line="360" w:lineRule="auto"/>
        <w:jc w:val="both"/>
        <w:rPr>
          <w:rFonts w:ascii="Times New Roman" w:hAnsi="Times New Roman" w:cs="Times New Roman"/>
          <w:lang w:val="de-DE"/>
        </w:rPr>
      </w:pPr>
      <w:r>
        <w:rPr>
          <w:rFonts w:ascii="Times New Roman" w:hAnsi="Times New Roman" w:cs="Times New Roman"/>
          <w:lang w:val="de-DE"/>
        </w:rPr>
        <w:t>G.W.F. Hegel,</w:t>
      </w:r>
      <w:r w:rsidR="00123ACB">
        <w:rPr>
          <w:rFonts w:ascii="Times New Roman" w:hAnsi="Times New Roman" w:cs="Times New Roman"/>
          <w:lang w:val="de-DE"/>
        </w:rPr>
        <w:t xml:space="preserve"> </w:t>
      </w:r>
      <w:r w:rsidR="00123ACB" w:rsidRPr="008E1231">
        <w:rPr>
          <w:rFonts w:ascii="Times New Roman" w:hAnsi="Times New Roman" w:cs="Times New Roman"/>
          <w:i/>
          <w:lang w:val="de-DE"/>
        </w:rPr>
        <w:t>Frühe Schriften I</w:t>
      </w:r>
      <w:r w:rsidR="00123ACB" w:rsidRPr="008E1231">
        <w:rPr>
          <w:rFonts w:ascii="Times New Roman" w:hAnsi="Times New Roman" w:cs="Times New Roman"/>
          <w:lang w:val="de-DE"/>
        </w:rPr>
        <w:t xml:space="preserve">, hrsg. von F. Nicolin und G. Schüler, in </w:t>
      </w:r>
      <w:r w:rsidR="00123ACB" w:rsidRPr="008E1231">
        <w:rPr>
          <w:rFonts w:ascii="Times New Roman" w:hAnsi="Times New Roman" w:cs="Times New Roman"/>
          <w:i/>
          <w:lang w:val="de-DE"/>
        </w:rPr>
        <w:t>Gesammelte Werke</w:t>
      </w:r>
      <w:r w:rsidR="00123ACB" w:rsidRPr="008E1231">
        <w:rPr>
          <w:rFonts w:ascii="Times New Roman" w:hAnsi="Times New Roman" w:cs="Times New Roman"/>
          <w:lang w:val="de-DE"/>
        </w:rPr>
        <w:t xml:space="preserve">, </w:t>
      </w:r>
      <w:r w:rsidRPr="008E1231">
        <w:rPr>
          <w:rFonts w:ascii="Times New Roman" w:hAnsi="Times New Roman" w:cs="Times New Roman"/>
          <w:lang w:val="de-DE"/>
        </w:rPr>
        <w:t xml:space="preserve">Felix Meiner Verlag, Hamburg </w:t>
      </w:r>
      <w:r w:rsidR="00123ACB" w:rsidRPr="008E1231">
        <w:rPr>
          <w:rFonts w:ascii="Times New Roman" w:hAnsi="Times New Roman" w:cs="Times New Roman"/>
          <w:lang w:val="de-DE"/>
        </w:rPr>
        <w:t>1989</w:t>
      </w:r>
      <w:r>
        <w:rPr>
          <w:rFonts w:ascii="Times New Roman" w:hAnsi="Times New Roman" w:cs="Times New Roman"/>
          <w:lang w:val="de-DE"/>
        </w:rPr>
        <w:t xml:space="preserve">, </w:t>
      </w:r>
      <w:r w:rsidRPr="008E1231">
        <w:rPr>
          <w:rFonts w:ascii="Times New Roman" w:hAnsi="Times New Roman" w:cs="Times New Roman"/>
          <w:lang w:val="de-DE"/>
        </w:rPr>
        <w:t>Bd. I</w:t>
      </w:r>
      <w:r w:rsidR="00123ACB" w:rsidRPr="008E1231">
        <w:rPr>
          <w:rFonts w:ascii="Times New Roman" w:hAnsi="Times New Roman" w:cs="Times New Roman"/>
          <w:lang w:val="de-DE"/>
        </w:rPr>
        <w:t>.</w:t>
      </w:r>
    </w:p>
    <w:p w14:paraId="28A41B98" w14:textId="77777777" w:rsidR="00123ACB" w:rsidRPr="008E1231" w:rsidRDefault="00123ACB" w:rsidP="006B16F8">
      <w:pPr>
        <w:spacing w:line="360" w:lineRule="auto"/>
        <w:jc w:val="both"/>
        <w:rPr>
          <w:rFonts w:ascii="Times New Roman" w:hAnsi="Times New Roman" w:cs="Times New Roman"/>
          <w:lang w:val="de-DE"/>
        </w:rPr>
      </w:pPr>
    </w:p>
    <w:p w14:paraId="3AC35097" w14:textId="7AABC7D9" w:rsidR="00123ACB" w:rsidRPr="008E1231" w:rsidRDefault="00123ACB" w:rsidP="006B16F8">
      <w:pPr>
        <w:spacing w:line="360" w:lineRule="auto"/>
        <w:jc w:val="both"/>
        <w:rPr>
          <w:rFonts w:ascii="Times New Roman" w:hAnsi="Times New Roman" w:cs="Times New Roman"/>
          <w:lang w:val="de-DE"/>
        </w:rPr>
      </w:pPr>
      <w:r>
        <w:rPr>
          <w:rFonts w:ascii="Times New Roman" w:hAnsi="Times New Roman" w:cs="Times New Roman"/>
          <w:lang w:val="de-DE"/>
        </w:rPr>
        <w:t xml:space="preserve">- </w:t>
      </w:r>
      <w:r w:rsidRPr="008E1231">
        <w:rPr>
          <w:rFonts w:ascii="Times New Roman" w:hAnsi="Times New Roman" w:cs="Times New Roman"/>
          <w:i/>
          <w:lang w:val="de-DE"/>
        </w:rPr>
        <w:t>Frühe Schriften II</w:t>
      </w:r>
      <w:r w:rsidRPr="008E1231">
        <w:rPr>
          <w:rFonts w:ascii="Times New Roman" w:hAnsi="Times New Roman" w:cs="Times New Roman"/>
          <w:lang w:val="de-DE"/>
        </w:rPr>
        <w:t xml:space="preserve">, hrsg. von W. Jaeschke, in </w:t>
      </w:r>
      <w:r w:rsidRPr="008E1231">
        <w:rPr>
          <w:rFonts w:ascii="Times New Roman" w:hAnsi="Times New Roman" w:cs="Times New Roman"/>
          <w:i/>
          <w:lang w:val="de-DE"/>
        </w:rPr>
        <w:t>Gesammelte Werke</w:t>
      </w:r>
      <w:r w:rsidRPr="008E1231">
        <w:rPr>
          <w:rFonts w:ascii="Times New Roman" w:hAnsi="Times New Roman" w:cs="Times New Roman"/>
          <w:lang w:val="de-DE"/>
        </w:rPr>
        <w:t xml:space="preserve">, </w:t>
      </w:r>
      <w:r w:rsidR="00DC0252" w:rsidRPr="008E1231">
        <w:rPr>
          <w:rFonts w:ascii="Times New Roman" w:hAnsi="Times New Roman" w:cs="Times New Roman"/>
          <w:lang w:val="de-DE"/>
        </w:rPr>
        <w:t xml:space="preserve">Felix Meiner Verlag, Hamburg </w:t>
      </w:r>
      <w:r w:rsidRPr="008E1231">
        <w:rPr>
          <w:rFonts w:ascii="Times New Roman" w:hAnsi="Times New Roman" w:cs="Times New Roman"/>
          <w:lang w:val="de-DE"/>
        </w:rPr>
        <w:t>2014</w:t>
      </w:r>
      <w:r w:rsidR="00DC0252">
        <w:rPr>
          <w:rFonts w:ascii="Times New Roman" w:hAnsi="Times New Roman" w:cs="Times New Roman"/>
          <w:lang w:val="de-DE"/>
        </w:rPr>
        <w:t xml:space="preserve">, </w:t>
      </w:r>
      <w:r w:rsidR="00DC0252" w:rsidRPr="008E1231">
        <w:rPr>
          <w:rFonts w:ascii="Times New Roman" w:hAnsi="Times New Roman" w:cs="Times New Roman"/>
          <w:lang w:val="de-DE"/>
        </w:rPr>
        <w:t>Bd. II</w:t>
      </w:r>
      <w:r w:rsidRPr="008E1231">
        <w:rPr>
          <w:rFonts w:ascii="Times New Roman" w:hAnsi="Times New Roman" w:cs="Times New Roman"/>
          <w:lang w:val="de-DE"/>
        </w:rPr>
        <w:t xml:space="preserve">. </w:t>
      </w:r>
    </w:p>
    <w:p w14:paraId="71F7776F" w14:textId="77777777" w:rsidR="00123ACB" w:rsidRPr="008E1231" w:rsidRDefault="00123ACB" w:rsidP="006B16F8">
      <w:pPr>
        <w:spacing w:line="360" w:lineRule="auto"/>
        <w:jc w:val="both"/>
        <w:rPr>
          <w:rFonts w:ascii="Times New Roman" w:hAnsi="Times New Roman" w:cs="Times New Roman"/>
          <w:lang w:val="de-DE"/>
        </w:rPr>
      </w:pPr>
    </w:p>
    <w:p w14:paraId="3DADE193" w14:textId="201DB41B" w:rsidR="00123ACB" w:rsidRDefault="00123ACB" w:rsidP="006B16F8">
      <w:pPr>
        <w:spacing w:line="360" w:lineRule="auto"/>
        <w:jc w:val="both"/>
        <w:rPr>
          <w:rFonts w:ascii="Times New Roman" w:hAnsi="Times New Roman" w:cs="Times New Roman"/>
          <w:lang w:val="de-DE"/>
        </w:rPr>
      </w:pPr>
      <w:r>
        <w:rPr>
          <w:rFonts w:ascii="Times New Roman" w:hAnsi="Times New Roman" w:cs="Times New Roman"/>
          <w:lang w:val="de-DE"/>
        </w:rPr>
        <w:t xml:space="preserve">- </w:t>
      </w:r>
      <w:r w:rsidRPr="008E1231">
        <w:rPr>
          <w:rFonts w:ascii="Times New Roman" w:hAnsi="Times New Roman" w:cs="Times New Roman"/>
          <w:i/>
          <w:lang w:val="de-DE"/>
        </w:rPr>
        <w:t>Differenz der Fichte’schen und Schelling’schen Systems der Philosophie</w:t>
      </w:r>
      <w:r w:rsidRPr="008E1231">
        <w:rPr>
          <w:rFonts w:ascii="Times New Roman" w:hAnsi="Times New Roman" w:cs="Times New Roman"/>
          <w:lang w:val="de-DE"/>
        </w:rPr>
        <w:t xml:space="preserve">, in </w:t>
      </w:r>
      <w:r w:rsidRPr="008E1231">
        <w:rPr>
          <w:rFonts w:ascii="Times New Roman" w:hAnsi="Times New Roman" w:cs="Times New Roman"/>
          <w:i/>
          <w:lang w:val="de-DE"/>
        </w:rPr>
        <w:t>Jenaer Kritischen Schriften</w:t>
      </w:r>
      <w:r w:rsidRPr="008E1231">
        <w:rPr>
          <w:rFonts w:ascii="Times New Roman" w:hAnsi="Times New Roman" w:cs="Times New Roman"/>
          <w:lang w:val="de-DE"/>
        </w:rPr>
        <w:t xml:space="preserve">, hrsg. von H. Buchner und O. Pöggeler, in </w:t>
      </w:r>
      <w:r w:rsidRPr="008E1231">
        <w:rPr>
          <w:rFonts w:ascii="Times New Roman" w:hAnsi="Times New Roman" w:cs="Times New Roman"/>
          <w:i/>
          <w:lang w:val="de-DE"/>
        </w:rPr>
        <w:t>Gesammelte Werke</w:t>
      </w:r>
      <w:r w:rsidR="00DC0252">
        <w:rPr>
          <w:rFonts w:ascii="Times New Roman" w:hAnsi="Times New Roman" w:cs="Times New Roman"/>
          <w:lang w:val="de-DE"/>
        </w:rPr>
        <w:t xml:space="preserve">, </w:t>
      </w:r>
      <w:r w:rsidR="00DC0252" w:rsidRPr="008E1231">
        <w:rPr>
          <w:rFonts w:ascii="Times New Roman" w:hAnsi="Times New Roman" w:cs="Times New Roman"/>
          <w:lang w:val="de-DE"/>
        </w:rPr>
        <w:t xml:space="preserve">Felix Meiner Verlag, Hamburg </w:t>
      </w:r>
      <w:r w:rsidRPr="008E1231">
        <w:rPr>
          <w:rFonts w:ascii="Times New Roman" w:hAnsi="Times New Roman" w:cs="Times New Roman"/>
          <w:lang w:val="de-DE"/>
        </w:rPr>
        <w:t>1968</w:t>
      </w:r>
      <w:r w:rsidR="00DC0252">
        <w:rPr>
          <w:rFonts w:ascii="Times New Roman" w:hAnsi="Times New Roman" w:cs="Times New Roman"/>
          <w:lang w:val="de-DE"/>
        </w:rPr>
        <w:t xml:space="preserve">, </w:t>
      </w:r>
      <w:r w:rsidR="00DC0252" w:rsidRPr="008E1231">
        <w:rPr>
          <w:rFonts w:ascii="Times New Roman" w:hAnsi="Times New Roman" w:cs="Times New Roman"/>
          <w:lang w:val="de-DE"/>
        </w:rPr>
        <w:t>Bd. IV</w:t>
      </w:r>
      <w:r w:rsidRPr="008E1231">
        <w:rPr>
          <w:rFonts w:ascii="Times New Roman" w:hAnsi="Times New Roman" w:cs="Times New Roman"/>
          <w:lang w:val="de-DE"/>
        </w:rPr>
        <w:t xml:space="preserve">. </w:t>
      </w:r>
    </w:p>
    <w:p w14:paraId="52B38ECE" w14:textId="77777777" w:rsidR="00123ACB" w:rsidRPr="008E1231" w:rsidRDefault="00123ACB" w:rsidP="006B16F8">
      <w:pPr>
        <w:spacing w:line="360" w:lineRule="auto"/>
        <w:jc w:val="both"/>
        <w:rPr>
          <w:rFonts w:ascii="Times New Roman" w:hAnsi="Times New Roman" w:cs="Times New Roman"/>
          <w:lang w:val="de-DE"/>
        </w:rPr>
      </w:pPr>
    </w:p>
    <w:p w14:paraId="4D7A5CD6" w14:textId="3502339D" w:rsidR="00123ACB" w:rsidRPr="008E1231" w:rsidRDefault="00123ACB" w:rsidP="006B16F8">
      <w:pPr>
        <w:spacing w:line="360" w:lineRule="auto"/>
        <w:jc w:val="both"/>
        <w:rPr>
          <w:rFonts w:ascii="Times New Roman" w:hAnsi="Times New Roman" w:cs="Times New Roman"/>
          <w:lang w:val="de-DE"/>
        </w:rPr>
      </w:pPr>
      <w:r>
        <w:rPr>
          <w:rFonts w:ascii="Times New Roman" w:hAnsi="Times New Roman" w:cs="Times New Roman"/>
          <w:lang w:val="de-DE"/>
        </w:rPr>
        <w:t xml:space="preserve">- </w:t>
      </w:r>
      <w:r w:rsidRPr="008E1231">
        <w:rPr>
          <w:rFonts w:ascii="Times New Roman" w:hAnsi="Times New Roman" w:cs="Times New Roman"/>
          <w:i/>
          <w:lang w:val="de-DE"/>
        </w:rPr>
        <w:t>Glauben und Wissen</w:t>
      </w:r>
      <w:r w:rsidRPr="008E1231">
        <w:rPr>
          <w:rFonts w:ascii="Times New Roman" w:hAnsi="Times New Roman" w:cs="Times New Roman"/>
          <w:lang w:val="de-DE"/>
        </w:rPr>
        <w:t xml:space="preserve">, in </w:t>
      </w:r>
      <w:r w:rsidRPr="008E1231">
        <w:rPr>
          <w:rFonts w:ascii="Times New Roman" w:hAnsi="Times New Roman" w:cs="Times New Roman"/>
          <w:i/>
          <w:lang w:val="de-DE"/>
        </w:rPr>
        <w:t>Jenaer Kritischen Schriften</w:t>
      </w:r>
      <w:r w:rsidRPr="008E1231">
        <w:rPr>
          <w:rFonts w:ascii="Times New Roman" w:hAnsi="Times New Roman" w:cs="Times New Roman"/>
          <w:lang w:val="de-DE"/>
        </w:rPr>
        <w:t>, cit.</w:t>
      </w:r>
    </w:p>
    <w:p w14:paraId="6A485C13" w14:textId="77777777" w:rsidR="00123ACB" w:rsidRPr="008E1231" w:rsidRDefault="00123ACB" w:rsidP="006B16F8">
      <w:pPr>
        <w:spacing w:line="360" w:lineRule="auto"/>
        <w:jc w:val="both"/>
        <w:rPr>
          <w:rFonts w:ascii="Times New Roman" w:hAnsi="Times New Roman" w:cs="Times New Roman"/>
          <w:lang w:val="de-DE"/>
        </w:rPr>
      </w:pPr>
    </w:p>
    <w:p w14:paraId="7501390A" w14:textId="3851C581" w:rsidR="00123ACB" w:rsidRDefault="00123ACB" w:rsidP="006B16F8">
      <w:pPr>
        <w:spacing w:line="360" w:lineRule="auto"/>
        <w:jc w:val="both"/>
        <w:rPr>
          <w:rFonts w:ascii="Times New Roman" w:hAnsi="Times New Roman" w:cs="Times New Roman"/>
          <w:lang w:val="de-DE"/>
        </w:rPr>
      </w:pPr>
      <w:r>
        <w:rPr>
          <w:rFonts w:ascii="Times New Roman" w:hAnsi="Times New Roman" w:cs="Times New Roman"/>
          <w:lang w:val="de-DE"/>
        </w:rPr>
        <w:t xml:space="preserve">- </w:t>
      </w:r>
      <w:r w:rsidRPr="008E1231">
        <w:rPr>
          <w:rFonts w:ascii="Times New Roman" w:hAnsi="Times New Roman" w:cs="Times New Roman"/>
          <w:i/>
          <w:lang w:val="de-DE"/>
        </w:rPr>
        <w:t>Schriften und Entwürfe</w:t>
      </w:r>
      <w:r w:rsidRPr="008E1231">
        <w:rPr>
          <w:rFonts w:ascii="Times New Roman" w:hAnsi="Times New Roman" w:cs="Times New Roman"/>
          <w:lang w:val="de-DE"/>
        </w:rPr>
        <w:t xml:space="preserve">, hrsg. von M. Baum und K. R. Meist, in </w:t>
      </w:r>
      <w:r w:rsidRPr="008E1231">
        <w:rPr>
          <w:rFonts w:ascii="Times New Roman" w:hAnsi="Times New Roman" w:cs="Times New Roman"/>
          <w:i/>
          <w:lang w:val="de-DE"/>
        </w:rPr>
        <w:t>Gesammelte Werke</w:t>
      </w:r>
      <w:r w:rsidR="00DC0252">
        <w:rPr>
          <w:rFonts w:ascii="Times New Roman" w:hAnsi="Times New Roman" w:cs="Times New Roman"/>
          <w:lang w:val="de-DE"/>
        </w:rPr>
        <w:t xml:space="preserve">, </w:t>
      </w:r>
      <w:r w:rsidR="00DC0252" w:rsidRPr="008E1231">
        <w:rPr>
          <w:rFonts w:ascii="Times New Roman" w:hAnsi="Times New Roman" w:cs="Times New Roman"/>
          <w:lang w:val="de-DE"/>
        </w:rPr>
        <w:t xml:space="preserve">Felix Meiner Verlag, Hamburg </w:t>
      </w:r>
      <w:r w:rsidRPr="008E1231">
        <w:rPr>
          <w:rFonts w:ascii="Times New Roman" w:hAnsi="Times New Roman" w:cs="Times New Roman"/>
          <w:lang w:val="de-DE"/>
        </w:rPr>
        <w:t>1998</w:t>
      </w:r>
      <w:r w:rsidR="00DC0252">
        <w:rPr>
          <w:rFonts w:ascii="Times New Roman" w:hAnsi="Times New Roman" w:cs="Times New Roman"/>
          <w:lang w:val="de-DE"/>
        </w:rPr>
        <w:t xml:space="preserve">, </w:t>
      </w:r>
      <w:r w:rsidR="00DC0252" w:rsidRPr="008E1231">
        <w:rPr>
          <w:rFonts w:ascii="Times New Roman" w:hAnsi="Times New Roman" w:cs="Times New Roman"/>
          <w:lang w:val="de-DE"/>
        </w:rPr>
        <w:t>Bd. V</w:t>
      </w:r>
      <w:r w:rsidRPr="008E1231">
        <w:rPr>
          <w:rFonts w:ascii="Times New Roman" w:hAnsi="Times New Roman" w:cs="Times New Roman"/>
          <w:lang w:val="de-DE"/>
        </w:rPr>
        <w:t xml:space="preserve">. </w:t>
      </w:r>
    </w:p>
    <w:p w14:paraId="5493A423" w14:textId="77777777" w:rsidR="00F975AD" w:rsidRDefault="00F975AD" w:rsidP="006B16F8">
      <w:pPr>
        <w:spacing w:line="360" w:lineRule="auto"/>
        <w:jc w:val="both"/>
        <w:rPr>
          <w:rFonts w:ascii="Times New Roman" w:hAnsi="Times New Roman" w:cs="Times New Roman"/>
          <w:lang w:val="de-DE"/>
        </w:rPr>
      </w:pPr>
    </w:p>
    <w:p w14:paraId="3F0CAB35" w14:textId="6B7E1946" w:rsidR="00F975AD" w:rsidRPr="00F975AD" w:rsidRDefault="00F975AD" w:rsidP="006B16F8">
      <w:pPr>
        <w:spacing w:line="360" w:lineRule="auto"/>
        <w:jc w:val="both"/>
        <w:rPr>
          <w:rFonts w:ascii="Times New Roman" w:hAnsi="Times New Roman" w:cs="Times New Roman"/>
          <w:i/>
          <w:lang w:val="de-DE"/>
        </w:rPr>
      </w:pPr>
      <w:r>
        <w:rPr>
          <w:rFonts w:ascii="Times New Roman" w:hAnsi="Times New Roman" w:cs="Times New Roman"/>
          <w:i/>
          <w:lang w:val="de-DE"/>
        </w:rPr>
        <w:t xml:space="preserve">- </w:t>
      </w:r>
      <w:r w:rsidRPr="008E1231">
        <w:rPr>
          <w:rFonts w:ascii="Times New Roman" w:hAnsi="Times New Roman" w:cs="Times New Roman"/>
          <w:i/>
          <w:lang w:val="de-DE"/>
        </w:rPr>
        <w:t>Schriften und Entwürfe</w:t>
      </w:r>
      <w:r>
        <w:rPr>
          <w:rFonts w:ascii="Times New Roman" w:hAnsi="Times New Roman" w:cs="Times New Roman"/>
          <w:i/>
          <w:lang w:val="de-DE"/>
        </w:rPr>
        <w:t xml:space="preserve"> II</w:t>
      </w:r>
      <w:r w:rsidRPr="008E1231">
        <w:rPr>
          <w:rFonts w:ascii="Times New Roman" w:hAnsi="Times New Roman" w:cs="Times New Roman"/>
          <w:lang w:val="de-DE"/>
        </w:rPr>
        <w:t>, hrsg. von</w:t>
      </w:r>
      <w:r>
        <w:rPr>
          <w:rFonts w:ascii="Times New Roman" w:hAnsi="Times New Roman" w:cs="Times New Roman"/>
          <w:lang w:val="de-DE"/>
        </w:rPr>
        <w:t xml:space="preserve"> F. Hogemann, in </w:t>
      </w:r>
      <w:r w:rsidRPr="008E1231">
        <w:rPr>
          <w:rFonts w:ascii="Times New Roman" w:hAnsi="Times New Roman" w:cs="Times New Roman"/>
          <w:i/>
          <w:lang w:val="de-DE"/>
        </w:rPr>
        <w:t>Gesammelte Werke</w:t>
      </w:r>
      <w:r>
        <w:rPr>
          <w:rFonts w:ascii="Times New Roman" w:hAnsi="Times New Roman" w:cs="Times New Roman"/>
          <w:lang w:val="de-DE"/>
        </w:rPr>
        <w:t xml:space="preserve">, </w:t>
      </w:r>
      <w:r w:rsidRPr="008E1231">
        <w:rPr>
          <w:rFonts w:ascii="Times New Roman" w:hAnsi="Times New Roman" w:cs="Times New Roman"/>
          <w:lang w:val="de-DE"/>
        </w:rPr>
        <w:t>Felix Meiner Verlag, Hamburg</w:t>
      </w:r>
      <w:r>
        <w:rPr>
          <w:rFonts w:ascii="Times New Roman" w:hAnsi="Times New Roman" w:cs="Times New Roman"/>
          <w:lang w:val="de-DE"/>
        </w:rPr>
        <w:t xml:space="preserve"> 2001, Bd. XVI.</w:t>
      </w:r>
    </w:p>
    <w:p w14:paraId="4AF6234D" w14:textId="77777777" w:rsidR="00123ACB" w:rsidRPr="008E1231" w:rsidRDefault="00123ACB" w:rsidP="006B16F8">
      <w:pPr>
        <w:spacing w:line="360" w:lineRule="auto"/>
        <w:jc w:val="both"/>
        <w:rPr>
          <w:rFonts w:ascii="Times New Roman" w:hAnsi="Times New Roman" w:cs="Times New Roman"/>
          <w:lang w:val="de-DE"/>
        </w:rPr>
      </w:pPr>
    </w:p>
    <w:p w14:paraId="5FB525C0" w14:textId="50ACD4A3" w:rsidR="00123ACB" w:rsidRPr="008E1231" w:rsidRDefault="00123ACB" w:rsidP="006B16F8">
      <w:pPr>
        <w:spacing w:line="360" w:lineRule="auto"/>
        <w:jc w:val="both"/>
        <w:rPr>
          <w:rFonts w:ascii="Times New Roman" w:hAnsi="Times New Roman" w:cs="Times New Roman"/>
          <w:lang w:val="de-DE"/>
        </w:rPr>
      </w:pPr>
      <w:r>
        <w:rPr>
          <w:rFonts w:ascii="Times New Roman" w:hAnsi="Times New Roman" w:cs="Times New Roman"/>
          <w:lang w:val="de-DE"/>
        </w:rPr>
        <w:t xml:space="preserve">- </w:t>
      </w:r>
      <w:r w:rsidRPr="008E1231">
        <w:rPr>
          <w:rFonts w:ascii="Times New Roman" w:hAnsi="Times New Roman" w:cs="Times New Roman"/>
          <w:i/>
          <w:lang w:val="de-DE"/>
        </w:rPr>
        <w:t>Jenaer Systementwürfe I: Das System der spekulativen Philosophie. Fragmente aus Vorlesungsmanuskripte zur Philosophie der Natur und des Geistes 1803/04</w:t>
      </w:r>
      <w:r w:rsidR="003F6B27">
        <w:rPr>
          <w:rFonts w:ascii="Times New Roman" w:hAnsi="Times New Roman" w:cs="Times New Roman"/>
          <w:lang w:val="de-DE"/>
        </w:rPr>
        <w:t xml:space="preserve">, </w:t>
      </w:r>
      <w:r w:rsidRPr="008E1231">
        <w:rPr>
          <w:rFonts w:ascii="Times New Roman" w:hAnsi="Times New Roman" w:cs="Times New Roman"/>
          <w:lang w:val="de-DE"/>
        </w:rPr>
        <w:t xml:space="preserve">hrsg. von K. Düsing und H. Kimmerle, in </w:t>
      </w:r>
      <w:r w:rsidRPr="008E1231">
        <w:rPr>
          <w:rFonts w:ascii="Times New Roman" w:hAnsi="Times New Roman" w:cs="Times New Roman"/>
          <w:i/>
          <w:lang w:val="de-DE"/>
        </w:rPr>
        <w:t>Gesammelte Werke</w:t>
      </w:r>
      <w:r w:rsidRPr="008E1231">
        <w:rPr>
          <w:rFonts w:ascii="Times New Roman" w:hAnsi="Times New Roman" w:cs="Times New Roman"/>
          <w:lang w:val="de-DE"/>
        </w:rPr>
        <w:t xml:space="preserve">, </w:t>
      </w:r>
      <w:r w:rsidR="00DC0252">
        <w:rPr>
          <w:rFonts w:ascii="Times New Roman" w:hAnsi="Times New Roman" w:cs="Times New Roman"/>
          <w:lang w:val="de-DE"/>
        </w:rPr>
        <w:t xml:space="preserve">Felix Meiner Verlag, Hamburg </w:t>
      </w:r>
      <w:r w:rsidRPr="008E1231">
        <w:rPr>
          <w:rFonts w:ascii="Times New Roman" w:hAnsi="Times New Roman" w:cs="Times New Roman"/>
          <w:lang w:val="de-DE"/>
        </w:rPr>
        <w:t>1975</w:t>
      </w:r>
      <w:r w:rsidR="00DC0252">
        <w:rPr>
          <w:rFonts w:ascii="Times New Roman" w:hAnsi="Times New Roman" w:cs="Times New Roman"/>
          <w:lang w:val="de-DE"/>
        </w:rPr>
        <w:t xml:space="preserve">, </w:t>
      </w:r>
      <w:r w:rsidR="00DC0252" w:rsidRPr="008E1231">
        <w:rPr>
          <w:rFonts w:ascii="Times New Roman" w:hAnsi="Times New Roman" w:cs="Times New Roman"/>
          <w:lang w:val="de-DE"/>
        </w:rPr>
        <w:t>Bd. VI</w:t>
      </w:r>
      <w:r w:rsidRPr="008E1231">
        <w:rPr>
          <w:rFonts w:ascii="Times New Roman" w:hAnsi="Times New Roman" w:cs="Times New Roman"/>
          <w:lang w:val="de-DE"/>
        </w:rPr>
        <w:t>.</w:t>
      </w:r>
    </w:p>
    <w:p w14:paraId="43761C5A" w14:textId="77777777" w:rsidR="00123ACB" w:rsidRPr="008E1231" w:rsidRDefault="00123ACB" w:rsidP="006B16F8">
      <w:pPr>
        <w:spacing w:line="360" w:lineRule="auto"/>
        <w:jc w:val="both"/>
        <w:rPr>
          <w:rFonts w:ascii="Times New Roman" w:hAnsi="Times New Roman" w:cs="Times New Roman"/>
          <w:lang w:val="de-DE"/>
        </w:rPr>
      </w:pPr>
    </w:p>
    <w:p w14:paraId="252A8E3A" w14:textId="1CADD903" w:rsidR="00123ACB" w:rsidRPr="008E1231" w:rsidRDefault="00123ACB" w:rsidP="006B16F8">
      <w:pPr>
        <w:spacing w:line="360" w:lineRule="auto"/>
        <w:jc w:val="both"/>
        <w:rPr>
          <w:rFonts w:ascii="Times New Roman" w:hAnsi="Times New Roman" w:cs="Times New Roman"/>
          <w:lang w:val="de-DE"/>
        </w:rPr>
      </w:pPr>
      <w:r w:rsidRPr="00123ACB">
        <w:rPr>
          <w:rFonts w:ascii="Times New Roman" w:hAnsi="Times New Roman" w:cs="Times New Roman"/>
          <w:lang w:val="de-DE"/>
        </w:rPr>
        <w:t xml:space="preserve">- </w:t>
      </w:r>
      <w:r w:rsidRPr="008E1231">
        <w:rPr>
          <w:rFonts w:ascii="Times New Roman" w:hAnsi="Times New Roman" w:cs="Times New Roman"/>
          <w:i/>
          <w:lang w:val="de-DE"/>
        </w:rPr>
        <w:t>Jenaer Systementwürfe II: Logik, Metaphysik, und Naturphilosophie</w:t>
      </w:r>
      <w:r w:rsidRPr="008E1231">
        <w:rPr>
          <w:rFonts w:ascii="Times New Roman" w:hAnsi="Times New Roman" w:cs="Times New Roman"/>
          <w:lang w:val="de-DE"/>
        </w:rPr>
        <w:t xml:space="preserve">, hrsg. von R.-P. Horstmann und J. H. Trede, in </w:t>
      </w:r>
      <w:r w:rsidRPr="008E1231">
        <w:rPr>
          <w:rFonts w:ascii="Times New Roman" w:hAnsi="Times New Roman" w:cs="Times New Roman"/>
          <w:i/>
          <w:lang w:val="de-DE"/>
        </w:rPr>
        <w:t>Gesammelte Werke</w:t>
      </w:r>
      <w:r w:rsidRPr="008E1231">
        <w:rPr>
          <w:rFonts w:ascii="Times New Roman" w:hAnsi="Times New Roman" w:cs="Times New Roman"/>
          <w:lang w:val="de-DE"/>
        </w:rPr>
        <w:t xml:space="preserve">, </w:t>
      </w:r>
      <w:r w:rsidR="00DC0252">
        <w:rPr>
          <w:rFonts w:ascii="Times New Roman" w:hAnsi="Times New Roman" w:cs="Times New Roman"/>
          <w:lang w:val="de-DE"/>
        </w:rPr>
        <w:t xml:space="preserve">Felix Meiner Verlag, Hamburg </w:t>
      </w:r>
      <w:r w:rsidRPr="008E1231">
        <w:rPr>
          <w:rFonts w:ascii="Times New Roman" w:hAnsi="Times New Roman" w:cs="Times New Roman"/>
          <w:lang w:val="de-DE"/>
        </w:rPr>
        <w:t>1971</w:t>
      </w:r>
      <w:r w:rsidR="00DC0252">
        <w:rPr>
          <w:rFonts w:ascii="Times New Roman" w:hAnsi="Times New Roman" w:cs="Times New Roman"/>
          <w:lang w:val="de-DE"/>
        </w:rPr>
        <w:t xml:space="preserve">, </w:t>
      </w:r>
      <w:r w:rsidR="00DC0252" w:rsidRPr="008E1231">
        <w:rPr>
          <w:rFonts w:ascii="Times New Roman" w:hAnsi="Times New Roman" w:cs="Times New Roman"/>
          <w:lang w:val="de-DE"/>
        </w:rPr>
        <w:t>Bd. VII</w:t>
      </w:r>
      <w:r w:rsidRPr="008E1231">
        <w:rPr>
          <w:rFonts w:ascii="Times New Roman" w:hAnsi="Times New Roman" w:cs="Times New Roman"/>
          <w:lang w:val="de-DE"/>
        </w:rPr>
        <w:t>.</w:t>
      </w:r>
    </w:p>
    <w:p w14:paraId="6C9EFF44" w14:textId="77777777" w:rsidR="00123ACB" w:rsidRPr="008E1231" w:rsidRDefault="00123ACB" w:rsidP="006B16F8">
      <w:pPr>
        <w:spacing w:line="360" w:lineRule="auto"/>
        <w:jc w:val="both"/>
        <w:rPr>
          <w:rFonts w:ascii="Times New Roman" w:hAnsi="Times New Roman" w:cs="Times New Roman"/>
          <w:lang w:val="de-DE"/>
        </w:rPr>
      </w:pPr>
    </w:p>
    <w:p w14:paraId="2AB3B663" w14:textId="546AF652" w:rsidR="00123ACB" w:rsidRPr="008E1231" w:rsidRDefault="00123ACB" w:rsidP="006B16F8">
      <w:pPr>
        <w:spacing w:line="360" w:lineRule="auto"/>
        <w:jc w:val="both"/>
        <w:rPr>
          <w:rFonts w:ascii="Times New Roman" w:hAnsi="Times New Roman" w:cs="Times New Roman"/>
          <w:lang w:val="de-DE"/>
        </w:rPr>
      </w:pPr>
      <w:r>
        <w:rPr>
          <w:rFonts w:ascii="Times New Roman" w:hAnsi="Times New Roman" w:cs="Times New Roman"/>
          <w:lang w:val="de-DE"/>
        </w:rPr>
        <w:t xml:space="preserve">- </w:t>
      </w:r>
      <w:r w:rsidRPr="008E1231">
        <w:rPr>
          <w:rFonts w:ascii="Times New Roman" w:hAnsi="Times New Roman" w:cs="Times New Roman"/>
          <w:i/>
          <w:lang w:val="de-DE"/>
        </w:rPr>
        <w:t>Jenaer Systementwürfe III: Naturphilosophie und Philosophie des Geistes. Vorlesungsmanuskripte zur Realphilosophie 1805/06</w:t>
      </w:r>
      <w:r w:rsidRPr="008E1231">
        <w:rPr>
          <w:rFonts w:ascii="Times New Roman" w:hAnsi="Times New Roman" w:cs="Times New Roman"/>
          <w:lang w:val="de-DE"/>
        </w:rPr>
        <w:t xml:space="preserve">, hrsg. von R.-P. Horstmann, in </w:t>
      </w:r>
      <w:r w:rsidRPr="008E1231">
        <w:rPr>
          <w:rFonts w:ascii="Times New Roman" w:hAnsi="Times New Roman" w:cs="Times New Roman"/>
          <w:i/>
          <w:lang w:val="de-DE"/>
        </w:rPr>
        <w:t>Gesammelte Werke</w:t>
      </w:r>
      <w:r w:rsidRPr="008E1231">
        <w:rPr>
          <w:rFonts w:ascii="Times New Roman" w:hAnsi="Times New Roman" w:cs="Times New Roman"/>
          <w:lang w:val="de-DE"/>
        </w:rPr>
        <w:t xml:space="preserve">, </w:t>
      </w:r>
      <w:r w:rsidR="00DC0252" w:rsidRPr="008E1231">
        <w:rPr>
          <w:rFonts w:ascii="Times New Roman" w:hAnsi="Times New Roman" w:cs="Times New Roman"/>
          <w:lang w:val="de-DE"/>
        </w:rPr>
        <w:t xml:space="preserve">Felix Meiner Verlag, Hamburg </w:t>
      </w:r>
      <w:r w:rsidRPr="008E1231">
        <w:rPr>
          <w:rFonts w:ascii="Times New Roman" w:hAnsi="Times New Roman" w:cs="Times New Roman"/>
          <w:lang w:val="de-DE"/>
        </w:rPr>
        <w:t>1976</w:t>
      </w:r>
      <w:r w:rsidR="00DC0252">
        <w:rPr>
          <w:rFonts w:ascii="Times New Roman" w:hAnsi="Times New Roman" w:cs="Times New Roman"/>
          <w:lang w:val="de-DE"/>
        </w:rPr>
        <w:t xml:space="preserve">, </w:t>
      </w:r>
      <w:r w:rsidR="00DC0252" w:rsidRPr="008E1231">
        <w:rPr>
          <w:rFonts w:ascii="Times New Roman" w:hAnsi="Times New Roman" w:cs="Times New Roman"/>
          <w:lang w:val="de-DE"/>
        </w:rPr>
        <w:t>Bd. VIII</w:t>
      </w:r>
      <w:r w:rsidRPr="008E1231">
        <w:rPr>
          <w:rFonts w:ascii="Times New Roman" w:hAnsi="Times New Roman" w:cs="Times New Roman"/>
          <w:lang w:val="de-DE"/>
        </w:rPr>
        <w:t>.</w:t>
      </w:r>
    </w:p>
    <w:p w14:paraId="4B68AFFB" w14:textId="77777777" w:rsidR="00123ACB" w:rsidRPr="008E1231" w:rsidRDefault="00123ACB" w:rsidP="006B16F8">
      <w:pPr>
        <w:spacing w:line="360" w:lineRule="auto"/>
        <w:jc w:val="both"/>
        <w:rPr>
          <w:rFonts w:ascii="Times New Roman" w:hAnsi="Times New Roman" w:cs="Times New Roman"/>
          <w:lang w:val="de-DE"/>
        </w:rPr>
      </w:pPr>
    </w:p>
    <w:p w14:paraId="0A341CFC" w14:textId="26788467" w:rsidR="00123ACB" w:rsidRPr="008E1231" w:rsidRDefault="00123ACB" w:rsidP="006B16F8">
      <w:pPr>
        <w:spacing w:line="360" w:lineRule="auto"/>
        <w:jc w:val="both"/>
        <w:rPr>
          <w:rFonts w:ascii="Times New Roman" w:hAnsi="Times New Roman" w:cs="Times New Roman"/>
          <w:lang w:val="de-DE"/>
        </w:rPr>
      </w:pPr>
      <w:r w:rsidRPr="00123ACB">
        <w:rPr>
          <w:rFonts w:ascii="Times New Roman" w:hAnsi="Times New Roman" w:cs="Times New Roman"/>
          <w:lang w:val="de-DE"/>
        </w:rPr>
        <w:t xml:space="preserve">- </w:t>
      </w:r>
      <w:r w:rsidRPr="008E1231">
        <w:rPr>
          <w:rFonts w:ascii="Times New Roman" w:hAnsi="Times New Roman" w:cs="Times New Roman"/>
          <w:i/>
          <w:lang w:val="de-DE"/>
        </w:rPr>
        <w:t>Phänomenologie des Geistes</w:t>
      </w:r>
      <w:r w:rsidRPr="008E1231">
        <w:rPr>
          <w:rFonts w:ascii="Times New Roman" w:hAnsi="Times New Roman" w:cs="Times New Roman"/>
          <w:lang w:val="de-DE"/>
        </w:rPr>
        <w:t xml:space="preserve">, hrsg. von W. Bonsiepen und R. Heede, in </w:t>
      </w:r>
      <w:r w:rsidRPr="008E1231">
        <w:rPr>
          <w:rFonts w:ascii="Times New Roman" w:hAnsi="Times New Roman" w:cs="Times New Roman"/>
          <w:i/>
          <w:lang w:val="de-DE"/>
        </w:rPr>
        <w:t>Gesammelte Werke</w:t>
      </w:r>
      <w:r w:rsidRPr="008E1231">
        <w:rPr>
          <w:rFonts w:ascii="Times New Roman" w:hAnsi="Times New Roman" w:cs="Times New Roman"/>
          <w:lang w:val="de-DE"/>
        </w:rPr>
        <w:t xml:space="preserve">, </w:t>
      </w:r>
      <w:r w:rsidR="00DC0252" w:rsidRPr="008E1231">
        <w:rPr>
          <w:rFonts w:ascii="Times New Roman" w:hAnsi="Times New Roman" w:cs="Times New Roman"/>
          <w:lang w:val="de-DE"/>
        </w:rPr>
        <w:t xml:space="preserve">Felix Meiner Verlag, Hamburg </w:t>
      </w:r>
      <w:r w:rsidRPr="008E1231">
        <w:rPr>
          <w:rFonts w:ascii="Times New Roman" w:hAnsi="Times New Roman" w:cs="Times New Roman"/>
          <w:lang w:val="de-DE"/>
        </w:rPr>
        <w:t>1980</w:t>
      </w:r>
      <w:r w:rsidR="00DC0252">
        <w:rPr>
          <w:rFonts w:ascii="Times New Roman" w:hAnsi="Times New Roman" w:cs="Times New Roman"/>
          <w:lang w:val="de-DE"/>
        </w:rPr>
        <w:t xml:space="preserve">, </w:t>
      </w:r>
      <w:r w:rsidR="00DC0252" w:rsidRPr="008E1231">
        <w:rPr>
          <w:rFonts w:ascii="Times New Roman" w:hAnsi="Times New Roman" w:cs="Times New Roman"/>
          <w:lang w:val="de-DE"/>
        </w:rPr>
        <w:t>Bd. IX</w:t>
      </w:r>
      <w:r w:rsidRPr="008E1231">
        <w:rPr>
          <w:rFonts w:ascii="Times New Roman" w:hAnsi="Times New Roman" w:cs="Times New Roman"/>
          <w:lang w:val="de-DE"/>
        </w:rPr>
        <w:t>.</w:t>
      </w:r>
    </w:p>
    <w:p w14:paraId="0C489923" w14:textId="77777777" w:rsidR="00123ACB" w:rsidRPr="008E1231" w:rsidRDefault="00123ACB" w:rsidP="006B16F8">
      <w:pPr>
        <w:spacing w:line="360" w:lineRule="auto"/>
        <w:jc w:val="both"/>
        <w:rPr>
          <w:rFonts w:ascii="Times New Roman" w:hAnsi="Times New Roman" w:cs="Times New Roman"/>
          <w:lang w:val="de-DE"/>
        </w:rPr>
      </w:pPr>
    </w:p>
    <w:p w14:paraId="58277FEC" w14:textId="19882366" w:rsidR="00123ACB" w:rsidRPr="008E1231" w:rsidRDefault="00123ACB" w:rsidP="006B16F8">
      <w:pPr>
        <w:spacing w:line="360" w:lineRule="auto"/>
        <w:jc w:val="both"/>
        <w:rPr>
          <w:rFonts w:ascii="Times New Roman" w:hAnsi="Times New Roman" w:cs="Times New Roman"/>
          <w:lang w:val="de-DE"/>
        </w:rPr>
      </w:pPr>
      <w:r w:rsidRPr="00123ACB">
        <w:rPr>
          <w:rFonts w:ascii="Times New Roman" w:hAnsi="Times New Roman" w:cs="Times New Roman"/>
          <w:lang w:val="de-DE"/>
        </w:rPr>
        <w:t xml:space="preserve">- </w:t>
      </w:r>
      <w:r w:rsidRPr="008E1231">
        <w:rPr>
          <w:rFonts w:ascii="Times New Roman" w:hAnsi="Times New Roman" w:cs="Times New Roman"/>
          <w:i/>
          <w:lang w:val="de-DE"/>
        </w:rPr>
        <w:t>Wissenschaft der Logik. Erster Band: Die objektive Logik (1812-1813)</w:t>
      </w:r>
      <w:r w:rsidRPr="008E1231">
        <w:rPr>
          <w:rFonts w:ascii="Times New Roman" w:hAnsi="Times New Roman" w:cs="Times New Roman"/>
          <w:lang w:val="de-DE"/>
        </w:rPr>
        <w:t xml:space="preserve">, hrsg. von F. Hogemann und W. Jaeschke, in </w:t>
      </w:r>
      <w:r w:rsidRPr="008E1231">
        <w:rPr>
          <w:rFonts w:ascii="Times New Roman" w:hAnsi="Times New Roman" w:cs="Times New Roman"/>
          <w:i/>
          <w:lang w:val="de-DE"/>
        </w:rPr>
        <w:t>Gesammelte Werk</w:t>
      </w:r>
      <w:r w:rsidR="00DC0252">
        <w:rPr>
          <w:rFonts w:ascii="Times New Roman" w:hAnsi="Times New Roman" w:cs="Times New Roman"/>
          <w:i/>
          <w:lang w:val="de-DE"/>
        </w:rPr>
        <w:t>e</w:t>
      </w:r>
      <w:r w:rsidRPr="008E1231">
        <w:rPr>
          <w:rFonts w:ascii="Times New Roman" w:hAnsi="Times New Roman" w:cs="Times New Roman"/>
          <w:lang w:val="de-DE"/>
        </w:rPr>
        <w:t xml:space="preserve">, </w:t>
      </w:r>
      <w:r w:rsidR="00DC0252">
        <w:rPr>
          <w:rFonts w:ascii="Times New Roman" w:hAnsi="Times New Roman" w:cs="Times New Roman"/>
          <w:lang w:val="de-DE"/>
        </w:rPr>
        <w:t xml:space="preserve">Felix Meiner Verlag, Hamburg </w:t>
      </w:r>
      <w:r w:rsidRPr="008E1231">
        <w:rPr>
          <w:rFonts w:ascii="Times New Roman" w:hAnsi="Times New Roman" w:cs="Times New Roman"/>
          <w:lang w:val="de-DE"/>
        </w:rPr>
        <w:t>1978</w:t>
      </w:r>
      <w:r w:rsidR="00DC0252">
        <w:rPr>
          <w:rFonts w:ascii="Times New Roman" w:hAnsi="Times New Roman" w:cs="Times New Roman"/>
          <w:lang w:val="de-DE"/>
        </w:rPr>
        <w:t xml:space="preserve">, </w:t>
      </w:r>
      <w:r w:rsidR="00DC0252" w:rsidRPr="008E1231">
        <w:rPr>
          <w:rFonts w:ascii="Times New Roman" w:hAnsi="Times New Roman" w:cs="Times New Roman"/>
          <w:lang w:val="de-DE"/>
        </w:rPr>
        <w:t>,</w:t>
      </w:r>
      <w:r w:rsidR="00DC0252" w:rsidRPr="008E1231">
        <w:rPr>
          <w:rFonts w:ascii="Times New Roman" w:hAnsi="Times New Roman" w:cs="Times New Roman"/>
          <w:i/>
          <w:lang w:val="de-DE"/>
        </w:rPr>
        <w:t xml:space="preserve"> </w:t>
      </w:r>
      <w:r w:rsidR="00DC0252">
        <w:rPr>
          <w:rFonts w:ascii="Times New Roman" w:hAnsi="Times New Roman" w:cs="Times New Roman"/>
          <w:lang w:val="de-DE"/>
        </w:rPr>
        <w:t xml:space="preserve">Bd. </w:t>
      </w:r>
      <w:r w:rsidR="00DC0252" w:rsidRPr="008E1231">
        <w:rPr>
          <w:rFonts w:ascii="Times New Roman" w:hAnsi="Times New Roman" w:cs="Times New Roman"/>
          <w:lang w:val="de-DE"/>
        </w:rPr>
        <w:t>XI</w:t>
      </w:r>
      <w:r w:rsidRPr="008E1231">
        <w:rPr>
          <w:rFonts w:ascii="Times New Roman" w:hAnsi="Times New Roman" w:cs="Times New Roman"/>
          <w:lang w:val="de-DE"/>
        </w:rPr>
        <w:t xml:space="preserve">. </w:t>
      </w:r>
    </w:p>
    <w:p w14:paraId="7E636104" w14:textId="77777777" w:rsidR="00123ACB" w:rsidRPr="008E1231" w:rsidRDefault="00123ACB" w:rsidP="006B16F8">
      <w:pPr>
        <w:spacing w:line="360" w:lineRule="auto"/>
        <w:jc w:val="both"/>
        <w:rPr>
          <w:rFonts w:ascii="Times New Roman" w:hAnsi="Times New Roman" w:cs="Times New Roman"/>
          <w:lang w:val="de-DE"/>
        </w:rPr>
      </w:pPr>
    </w:p>
    <w:p w14:paraId="458DBFF4" w14:textId="16C2CA89" w:rsidR="00123ACB" w:rsidRPr="008E1231" w:rsidRDefault="00123ACB" w:rsidP="006B16F8">
      <w:pPr>
        <w:spacing w:line="360" w:lineRule="auto"/>
        <w:jc w:val="both"/>
        <w:rPr>
          <w:rFonts w:ascii="Times New Roman" w:hAnsi="Times New Roman" w:cs="Times New Roman"/>
          <w:lang w:val="de-DE"/>
        </w:rPr>
      </w:pPr>
      <w:r w:rsidRPr="00123ACB">
        <w:rPr>
          <w:rFonts w:ascii="Times New Roman" w:hAnsi="Times New Roman" w:cs="Times New Roman"/>
          <w:lang w:val="de-DE"/>
        </w:rPr>
        <w:t>-</w:t>
      </w:r>
      <w:r>
        <w:rPr>
          <w:rFonts w:ascii="Times New Roman" w:hAnsi="Times New Roman" w:cs="Times New Roman"/>
          <w:i/>
          <w:lang w:val="de-DE"/>
        </w:rPr>
        <w:t xml:space="preserve"> </w:t>
      </w:r>
      <w:r w:rsidRPr="008E1231">
        <w:rPr>
          <w:rFonts w:ascii="Times New Roman" w:hAnsi="Times New Roman" w:cs="Times New Roman"/>
          <w:i/>
          <w:lang w:val="de-DE"/>
        </w:rPr>
        <w:t>Wissenschaft der Logik. Erster Band: Die objektive Logik: Lehre vom Sein (1832)</w:t>
      </w:r>
      <w:r w:rsidRPr="008E1231">
        <w:rPr>
          <w:rFonts w:ascii="Times New Roman" w:hAnsi="Times New Roman" w:cs="Times New Roman"/>
          <w:lang w:val="de-DE"/>
        </w:rPr>
        <w:t xml:space="preserve">, hrsg. von F. Hogemann und W. Jaeschke, in </w:t>
      </w:r>
      <w:r w:rsidRPr="008E1231">
        <w:rPr>
          <w:rFonts w:ascii="Times New Roman" w:hAnsi="Times New Roman" w:cs="Times New Roman"/>
          <w:i/>
          <w:lang w:val="de-DE"/>
        </w:rPr>
        <w:t>Gesammelte Werke</w:t>
      </w:r>
      <w:r w:rsidRPr="008E1231">
        <w:rPr>
          <w:rFonts w:ascii="Times New Roman" w:hAnsi="Times New Roman" w:cs="Times New Roman"/>
          <w:lang w:val="de-DE"/>
        </w:rPr>
        <w:t xml:space="preserve">, </w:t>
      </w:r>
      <w:r w:rsidR="00DC0252" w:rsidRPr="008E1231">
        <w:rPr>
          <w:rFonts w:ascii="Times New Roman" w:hAnsi="Times New Roman" w:cs="Times New Roman"/>
          <w:lang w:val="de-DE"/>
        </w:rPr>
        <w:t xml:space="preserve">Felix Meiner Verlag, Hamburg </w:t>
      </w:r>
      <w:r w:rsidRPr="008E1231">
        <w:rPr>
          <w:rFonts w:ascii="Times New Roman" w:hAnsi="Times New Roman" w:cs="Times New Roman"/>
          <w:lang w:val="de-DE"/>
        </w:rPr>
        <w:t>1985</w:t>
      </w:r>
      <w:r w:rsidR="00DC0252">
        <w:rPr>
          <w:rFonts w:ascii="Times New Roman" w:hAnsi="Times New Roman" w:cs="Times New Roman"/>
          <w:lang w:val="de-DE"/>
        </w:rPr>
        <w:t xml:space="preserve">, Bd. </w:t>
      </w:r>
      <w:r w:rsidR="00DC0252" w:rsidRPr="008E1231">
        <w:rPr>
          <w:rFonts w:ascii="Times New Roman" w:hAnsi="Times New Roman" w:cs="Times New Roman"/>
          <w:lang w:val="de-DE"/>
        </w:rPr>
        <w:t>XXI</w:t>
      </w:r>
      <w:r w:rsidRPr="008E1231">
        <w:rPr>
          <w:rFonts w:ascii="Times New Roman" w:hAnsi="Times New Roman" w:cs="Times New Roman"/>
          <w:lang w:val="de-DE"/>
        </w:rPr>
        <w:t>.</w:t>
      </w:r>
    </w:p>
    <w:p w14:paraId="6A09C3E3" w14:textId="77777777" w:rsidR="00123ACB" w:rsidRPr="008E1231" w:rsidRDefault="00123ACB" w:rsidP="006B16F8">
      <w:pPr>
        <w:spacing w:line="360" w:lineRule="auto"/>
        <w:jc w:val="both"/>
        <w:rPr>
          <w:rFonts w:ascii="Times New Roman" w:hAnsi="Times New Roman" w:cs="Times New Roman"/>
          <w:lang w:val="de-DE"/>
        </w:rPr>
      </w:pPr>
    </w:p>
    <w:p w14:paraId="13ACC9EA" w14:textId="49E0B260" w:rsidR="00123ACB" w:rsidRPr="008E1231" w:rsidRDefault="00123ACB" w:rsidP="006B16F8">
      <w:pPr>
        <w:spacing w:line="360" w:lineRule="auto"/>
        <w:jc w:val="both"/>
        <w:rPr>
          <w:rFonts w:ascii="Times New Roman" w:hAnsi="Times New Roman" w:cs="Times New Roman"/>
          <w:lang w:val="de-DE"/>
        </w:rPr>
      </w:pPr>
      <w:r w:rsidRPr="00123ACB">
        <w:rPr>
          <w:rFonts w:ascii="Times New Roman" w:hAnsi="Times New Roman" w:cs="Times New Roman"/>
          <w:lang w:val="de-DE"/>
        </w:rPr>
        <w:t xml:space="preserve">- </w:t>
      </w:r>
      <w:r w:rsidRPr="008E1231">
        <w:rPr>
          <w:rFonts w:ascii="Times New Roman" w:hAnsi="Times New Roman" w:cs="Times New Roman"/>
          <w:i/>
          <w:lang w:val="de-DE"/>
        </w:rPr>
        <w:t>Wissenschaft der Logik. Zweiter Band: Die subjektive Logik</w:t>
      </w:r>
      <w:r w:rsidRPr="008E1231">
        <w:rPr>
          <w:rFonts w:ascii="Times New Roman" w:hAnsi="Times New Roman" w:cs="Times New Roman"/>
          <w:lang w:val="de-DE"/>
        </w:rPr>
        <w:t xml:space="preserve">, hrsg. von F. Hogemann und W. Jaeschke, </w:t>
      </w:r>
      <w:r w:rsidRPr="008E1231">
        <w:rPr>
          <w:rFonts w:ascii="Times New Roman" w:hAnsi="Times New Roman" w:cs="Times New Roman"/>
          <w:i/>
          <w:lang w:val="de-DE"/>
        </w:rPr>
        <w:t>Gesammelte Werke</w:t>
      </w:r>
      <w:r w:rsidRPr="008E1231">
        <w:rPr>
          <w:rFonts w:ascii="Times New Roman" w:hAnsi="Times New Roman" w:cs="Times New Roman"/>
          <w:lang w:val="de-DE"/>
        </w:rPr>
        <w:t xml:space="preserve">, </w:t>
      </w:r>
      <w:r w:rsidR="00DC0252" w:rsidRPr="008E1231">
        <w:rPr>
          <w:rFonts w:ascii="Times New Roman" w:hAnsi="Times New Roman" w:cs="Times New Roman"/>
          <w:lang w:val="de-DE"/>
        </w:rPr>
        <w:t xml:space="preserve">Felix Meiner Verlag, Hamburg </w:t>
      </w:r>
      <w:r w:rsidRPr="008E1231">
        <w:rPr>
          <w:rFonts w:ascii="Times New Roman" w:hAnsi="Times New Roman" w:cs="Times New Roman"/>
          <w:lang w:val="de-DE"/>
        </w:rPr>
        <w:t>1981</w:t>
      </w:r>
      <w:r w:rsidR="00DC0252">
        <w:rPr>
          <w:rFonts w:ascii="Times New Roman" w:hAnsi="Times New Roman" w:cs="Times New Roman"/>
          <w:lang w:val="de-DE"/>
        </w:rPr>
        <w:t xml:space="preserve">, </w:t>
      </w:r>
      <w:r w:rsidR="00DC0252" w:rsidRPr="008E1231">
        <w:rPr>
          <w:rFonts w:ascii="Times New Roman" w:hAnsi="Times New Roman" w:cs="Times New Roman"/>
          <w:lang w:val="de-DE"/>
        </w:rPr>
        <w:t>Bd. XII</w:t>
      </w:r>
      <w:r w:rsidRPr="008E1231">
        <w:rPr>
          <w:rFonts w:ascii="Times New Roman" w:hAnsi="Times New Roman" w:cs="Times New Roman"/>
          <w:lang w:val="de-DE"/>
        </w:rPr>
        <w:t>.</w:t>
      </w:r>
    </w:p>
    <w:p w14:paraId="66CABF71" w14:textId="77777777" w:rsidR="00123ACB" w:rsidRPr="008E1231" w:rsidRDefault="00123ACB" w:rsidP="006B16F8">
      <w:pPr>
        <w:spacing w:line="360" w:lineRule="auto"/>
        <w:jc w:val="both"/>
        <w:rPr>
          <w:rFonts w:ascii="Times New Roman" w:hAnsi="Times New Roman" w:cs="Times New Roman"/>
          <w:lang w:val="de-DE"/>
        </w:rPr>
      </w:pPr>
    </w:p>
    <w:p w14:paraId="0B1F3D0D" w14:textId="4C27E717" w:rsidR="00123ACB" w:rsidRPr="008E1231" w:rsidRDefault="00123ACB" w:rsidP="006B16F8">
      <w:pPr>
        <w:spacing w:line="360" w:lineRule="auto"/>
        <w:jc w:val="both"/>
        <w:rPr>
          <w:lang w:val="de-DE"/>
        </w:rPr>
      </w:pPr>
      <w:r w:rsidRPr="00123ACB">
        <w:rPr>
          <w:rFonts w:ascii="Times New Roman" w:hAnsi="Times New Roman" w:cs="Times New Roman"/>
          <w:lang w:val="de-DE"/>
        </w:rPr>
        <w:t xml:space="preserve">- </w:t>
      </w:r>
      <w:r w:rsidRPr="008E1231">
        <w:rPr>
          <w:rFonts w:ascii="Times New Roman" w:hAnsi="Times New Roman" w:cs="Times New Roman"/>
          <w:i/>
          <w:lang w:val="de-DE"/>
        </w:rPr>
        <w:t>Enzyklopädie der philosophischen Wissenschaften im Grundrisse (1817)</w:t>
      </w:r>
      <w:r w:rsidRPr="008E1231">
        <w:rPr>
          <w:rFonts w:ascii="Times New Roman" w:hAnsi="Times New Roman" w:cs="Times New Roman"/>
          <w:lang w:val="de-DE"/>
        </w:rPr>
        <w:t xml:space="preserve">, hrsg. von W. Bonsiepen und K. Grotsch, in </w:t>
      </w:r>
      <w:r w:rsidRPr="008E1231">
        <w:rPr>
          <w:rFonts w:ascii="Times New Roman" w:hAnsi="Times New Roman" w:cs="Times New Roman"/>
          <w:i/>
          <w:lang w:val="de-DE"/>
        </w:rPr>
        <w:t>Gesammelte Werke</w:t>
      </w:r>
      <w:r w:rsidRPr="008E1231">
        <w:rPr>
          <w:rFonts w:ascii="Times New Roman" w:hAnsi="Times New Roman" w:cs="Times New Roman"/>
          <w:lang w:val="de-DE"/>
        </w:rPr>
        <w:t xml:space="preserve">, </w:t>
      </w:r>
      <w:r w:rsidR="00DC0252" w:rsidRPr="008E1231">
        <w:rPr>
          <w:rFonts w:ascii="Times New Roman" w:hAnsi="Times New Roman" w:cs="Times New Roman"/>
          <w:lang w:val="de-DE"/>
        </w:rPr>
        <w:t xml:space="preserve">Felix Meiner Verlag, Hamburg </w:t>
      </w:r>
      <w:r w:rsidRPr="008E1231">
        <w:rPr>
          <w:rFonts w:ascii="Times New Roman" w:hAnsi="Times New Roman" w:cs="Times New Roman"/>
          <w:lang w:val="de-DE"/>
        </w:rPr>
        <w:t>2000</w:t>
      </w:r>
      <w:r w:rsidR="00DC0252">
        <w:rPr>
          <w:rFonts w:ascii="Times New Roman" w:hAnsi="Times New Roman" w:cs="Times New Roman"/>
          <w:lang w:val="de-DE"/>
        </w:rPr>
        <w:t xml:space="preserve">, </w:t>
      </w:r>
      <w:r w:rsidR="00DC0252" w:rsidRPr="008E1231">
        <w:rPr>
          <w:rFonts w:ascii="Times New Roman" w:hAnsi="Times New Roman" w:cs="Times New Roman"/>
          <w:lang w:val="de-DE"/>
        </w:rPr>
        <w:t>Bd. XIII</w:t>
      </w:r>
      <w:r w:rsidRPr="008E1231">
        <w:rPr>
          <w:rFonts w:ascii="Times New Roman" w:hAnsi="Times New Roman" w:cs="Times New Roman"/>
          <w:lang w:val="de-DE"/>
        </w:rPr>
        <w:t>.</w:t>
      </w:r>
    </w:p>
    <w:p w14:paraId="4875DDE2" w14:textId="77777777" w:rsidR="00123ACB" w:rsidRPr="008E1231" w:rsidRDefault="00123ACB" w:rsidP="006B16F8">
      <w:pPr>
        <w:spacing w:line="360" w:lineRule="auto"/>
        <w:jc w:val="both"/>
        <w:rPr>
          <w:rFonts w:ascii="Times New Roman" w:hAnsi="Times New Roman" w:cs="Times New Roman"/>
          <w:lang w:val="de-DE"/>
        </w:rPr>
      </w:pPr>
    </w:p>
    <w:p w14:paraId="6CCE0FD9" w14:textId="31D92B82" w:rsidR="00123ACB" w:rsidRPr="008E1231" w:rsidRDefault="00123ACB" w:rsidP="006B16F8">
      <w:pPr>
        <w:spacing w:line="360" w:lineRule="auto"/>
        <w:jc w:val="both"/>
        <w:rPr>
          <w:rFonts w:ascii="Times New Roman" w:hAnsi="Times New Roman" w:cs="Times New Roman"/>
          <w:lang w:val="de-DE"/>
        </w:rPr>
      </w:pPr>
      <w:r>
        <w:rPr>
          <w:rFonts w:ascii="Times New Roman" w:hAnsi="Times New Roman" w:cs="Times New Roman"/>
          <w:lang w:val="de-DE"/>
        </w:rPr>
        <w:t xml:space="preserve">- </w:t>
      </w:r>
      <w:r w:rsidRPr="008E1231">
        <w:rPr>
          <w:rFonts w:ascii="Times New Roman" w:hAnsi="Times New Roman" w:cs="Times New Roman"/>
          <w:i/>
          <w:lang w:val="de-DE"/>
        </w:rPr>
        <w:t>Enzyklopädie der philosophischen Wissenschaften im Grundrisse (1827)</w:t>
      </w:r>
      <w:r w:rsidRPr="008E1231">
        <w:rPr>
          <w:rFonts w:ascii="Times New Roman" w:hAnsi="Times New Roman" w:cs="Times New Roman"/>
          <w:lang w:val="de-DE"/>
        </w:rPr>
        <w:t xml:space="preserve">, hrsg. von W. Bonsiepen und H.-C. Lucas, in </w:t>
      </w:r>
      <w:r w:rsidRPr="008E1231">
        <w:rPr>
          <w:rFonts w:ascii="Times New Roman" w:hAnsi="Times New Roman" w:cs="Times New Roman"/>
          <w:i/>
          <w:lang w:val="de-DE"/>
        </w:rPr>
        <w:t>Gesammelte Werke</w:t>
      </w:r>
      <w:r w:rsidRPr="008E1231">
        <w:rPr>
          <w:rFonts w:ascii="Times New Roman" w:hAnsi="Times New Roman" w:cs="Times New Roman"/>
          <w:lang w:val="de-DE"/>
        </w:rPr>
        <w:t xml:space="preserve">, </w:t>
      </w:r>
      <w:r w:rsidR="00DC0252" w:rsidRPr="008E1231">
        <w:rPr>
          <w:rFonts w:ascii="Times New Roman" w:hAnsi="Times New Roman" w:cs="Times New Roman"/>
          <w:lang w:val="de-DE"/>
        </w:rPr>
        <w:t xml:space="preserve">Felix Meiner Verlag, Hamburg </w:t>
      </w:r>
      <w:r w:rsidRPr="008E1231">
        <w:rPr>
          <w:rFonts w:ascii="Times New Roman" w:hAnsi="Times New Roman" w:cs="Times New Roman"/>
          <w:lang w:val="de-DE"/>
        </w:rPr>
        <w:t>1989</w:t>
      </w:r>
      <w:r w:rsidR="00DC0252">
        <w:rPr>
          <w:rFonts w:ascii="Times New Roman" w:hAnsi="Times New Roman" w:cs="Times New Roman"/>
          <w:lang w:val="de-DE"/>
        </w:rPr>
        <w:t xml:space="preserve">, </w:t>
      </w:r>
      <w:r w:rsidR="00DC0252" w:rsidRPr="008E1231">
        <w:rPr>
          <w:rFonts w:ascii="Times New Roman" w:hAnsi="Times New Roman" w:cs="Times New Roman"/>
          <w:lang w:val="de-DE"/>
        </w:rPr>
        <w:t>Bd. XIX</w:t>
      </w:r>
      <w:r w:rsidRPr="008E1231">
        <w:rPr>
          <w:rFonts w:ascii="Times New Roman" w:hAnsi="Times New Roman" w:cs="Times New Roman"/>
          <w:lang w:val="de-DE"/>
        </w:rPr>
        <w:t>.</w:t>
      </w:r>
    </w:p>
    <w:p w14:paraId="3842F57D" w14:textId="77777777" w:rsidR="00123ACB" w:rsidRPr="008E1231" w:rsidRDefault="00123ACB" w:rsidP="006B16F8">
      <w:pPr>
        <w:spacing w:line="360" w:lineRule="auto"/>
        <w:jc w:val="both"/>
        <w:rPr>
          <w:rFonts w:ascii="Times New Roman" w:hAnsi="Times New Roman" w:cs="Times New Roman"/>
          <w:lang w:val="de-DE"/>
        </w:rPr>
      </w:pPr>
    </w:p>
    <w:p w14:paraId="7BD08769" w14:textId="7366DF02" w:rsidR="00123ACB" w:rsidRPr="008E1231" w:rsidRDefault="00123ACB" w:rsidP="006B16F8">
      <w:pPr>
        <w:spacing w:line="360" w:lineRule="auto"/>
        <w:jc w:val="both"/>
        <w:rPr>
          <w:rFonts w:ascii="Times New Roman" w:hAnsi="Times New Roman" w:cs="Times New Roman"/>
          <w:lang w:val="de-DE"/>
        </w:rPr>
      </w:pPr>
      <w:r>
        <w:rPr>
          <w:rFonts w:ascii="Times New Roman" w:hAnsi="Times New Roman" w:cs="Times New Roman"/>
          <w:lang w:val="de-DE"/>
        </w:rPr>
        <w:t xml:space="preserve">- </w:t>
      </w:r>
      <w:r w:rsidRPr="008E1231">
        <w:rPr>
          <w:rFonts w:ascii="Times New Roman" w:hAnsi="Times New Roman" w:cs="Times New Roman"/>
          <w:i/>
          <w:lang w:val="de-DE"/>
        </w:rPr>
        <w:t>Enzyklopädie der philosophischen Wissenschaften im Grundrisse (1830)</w:t>
      </w:r>
      <w:r w:rsidRPr="008E1231">
        <w:rPr>
          <w:rFonts w:ascii="Times New Roman" w:hAnsi="Times New Roman" w:cs="Times New Roman"/>
          <w:lang w:val="de-DE"/>
        </w:rPr>
        <w:t xml:space="preserve">, hrsg. von W. Bonsiepen und H.-C. Lucas, in </w:t>
      </w:r>
      <w:r w:rsidRPr="008E1231">
        <w:rPr>
          <w:rFonts w:ascii="Times New Roman" w:hAnsi="Times New Roman" w:cs="Times New Roman"/>
          <w:i/>
          <w:lang w:val="de-DE"/>
        </w:rPr>
        <w:t>Gesammelte Werke</w:t>
      </w:r>
      <w:r w:rsidRPr="008E1231">
        <w:rPr>
          <w:rFonts w:ascii="Times New Roman" w:hAnsi="Times New Roman" w:cs="Times New Roman"/>
          <w:lang w:val="de-DE"/>
        </w:rPr>
        <w:t xml:space="preserve">, </w:t>
      </w:r>
      <w:r w:rsidR="00DC0252" w:rsidRPr="008E1231">
        <w:rPr>
          <w:rFonts w:ascii="Times New Roman" w:hAnsi="Times New Roman" w:cs="Times New Roman"/>
          <w:lang w:val="de-DE"/>
        </w:rPr>
        <w:t xml:space="preserve">Felix Meiner Verlag, Hamburg </w:t>
      </w:r>
      <w:r w:rsidRPr="008E1231">
        <w:rPr>
          <w:rFonts w:ascii="Times New Roman" w:hAnsi="Times New Roman" w:cs="Times New Roman"/>
          <w:lang w:val="de-DE"/>
        </w:rPr>
        <w:t>1992</w:t>
      </w:r>
      <w:r w:rsidR="00DC0252">
        <w:rPr>
          <w:rFonts w:ascii="Times New Roman" w:hAnsi="Times New Roman" w:cs="Times New Roman"/>
          <w:lang w:val="de-DE"/>
        </w:rPr>
        <w:t xml:space="preserve">, </w:t>
      </w:r>
      <w:r w:rsidR="00DC0252" w:rsidRPr="008E1231">
        <w:rPr>
          <w:rFonts w:ascii="Times New Roman" w:hAnsi="Times New Roman" w:cs="Times New Roman"/>
          <w:lang w:val="de-DE"/>
        </w:rPr>
        <w:t>Bd. XX</w:t>
      </w:r>
      <w:r w:rsidRPr="008E1231">
        <w:rPr>
          <w:rFonts w:ascii="Times New Roman" w:hAnsi="Times New Roman" w:cs="Times New Roman"/>
          <w:lang w:val="de-DE"/>
        </w:rPr>
        <w:t>.</w:t>
      </w:r>
    </w:p>
    <w:p w14:paraId="09E7C088" w14:textId="77777777" w:rsidR="00123ACB" w:rsidRPr="008E1231" w:rsidRDefault="00123ACB" w:rsidP="006B16F8">
      <w:pPr>
        <w:spacing w:line="360" w:lineRule="auto"/>
        <w:jc w:val="both"/>
        <w:rPr>
          <w:rFonts w:ascii="Times New Roman" w:hAnsi="Times New Roman" w:cs="Times New Roman"/>
          <w:lang w:val="de-DE"/>
        </w:rPr>
      </w:pPr>
    </w:p>
    <w:p w14:paraId="1AD1DEC6" w14:textId="4C864630" w:rsidR="00123ACB" w:rsidRPr="008E1231" w:rsidRDefault="00123ACB" w:rsidP="006B16F8">
      <w:pPr>
        <w:spacing w:line="360" w:lineRule="auto"/>
        <w:jc w:val="both"/>
        <w:rPr>
          <w:rFonts w:ascii="Times New Roman" w:hAnsi="Times New Roman" w:cs="Times New Roman"/>
          <w:lang w:val="de-DE"/>
        </w:rPr>
      </w:pPr>
      <w:r>
        <w:rPr>
          <w:rFonts w:ascii="Times New Roman" w:hAnsi="Times New Roman" w:cs="Times New Roman"/>
          <w:lang w:val="de-DE"/>
        </w:rPr>
        <w:t xml:space="preserve">- </w:t>
      </w:r>
      <w:r w:rsidRPr="008E1231">
        <w:rPr>
          <w:rFonts w:ascii="Times New Roman" w:hAnsi="Times New Roman" w:cs="Times New Roman"/>
          <w:i/>
          <w:lang w:val="de-DE"/>
        </w:rPr>
        <w:t>Grundlinien der Philosophie des Rechts</w:t>
      </w:r>
      <w:r w:rsidRPr="008E1231">
        <w:rPr>
          <w:rFonts w:ascii="Times New Roman" w:hAnsi="Times New Roman" w:cs="Times New Roman"/>
          <w:lang w:val="de-DE"/>
        </w:rPr>
        <w:t xml:space="preserve">, hrsg. von K. Grotsch und E. Weisser-Lohmann, in </w:t>
      </w:r>
      <w:r w:rsidRPr="008E1231">
        <w:rPr>
          <w:rFonts w:ascii="Times New Roman" w:hAnsi="Times New Roman" w:cs="Times New Roman"/>
          <w:i/>
          <w:lang w:val="de-DE"/>
        </w:rPr>
        <w:t>Gesammelte Werke</w:t>
      </w:r>
      <w:r w:rsidRPr="008E1231">
        <w:rPr>
          <w:rFonts w:ascii="Times New Roman" w:hAnsi="Times New Roman" w:cs="Times New Roman"/>
          <w:lang w:val="de-DE"/>
        </w:rPr>
        <w:t xml:space="preserve">, </w:t>
      </w:r>
      <w:r w:rsidR="00DC0252" w:rsidRPr="008E1231">
        <w:rPr>
          <w:rFonts w:ascii="Times New Roman" w:hAnsi="Times New Roman" w:cs="Times New Roman"/>
          <w:lang w:val="de-DE"/>
        </w:rPr>
        <w:t xml:space="preserve">Felix Meiner Verlag, Hamburg </w:t>
      </w:r>
      <w:r w:rsidRPr="008E1231">
        <w:rPr>
          <w:rFonts w:ascii="Times New Roman" w:hAnsi="Times New Roman" w:cs="Times New Roman"/>
          <w:lang w:val="de-DE"/>
        </w:rPr>
        <w:t>2009</w:t>
      </w:r>
      <w:r w:rsidR="00DC0252">
        <w:rPr>
          <w:rFonts w:ascii="Times New Roman" w:hAnsi="Times New Roman" w:cs="Times New Roman"/>
          <w:lang w:val="de-DE"/>
        </w:rPr>
        <w:t xml:space="preserve">, </w:t>
      </w:r>
      <w:r w:rsidR="00DC0252" w:rsidRPr="008E1231">
        <w:rPr>
          <w:rFonts w:ascii="Times New Roman" w:hAnsi="Times New Roman" w:cs="Times New Roman"/>
          <w:lang w:val="de-DE"/>
        </w:rPr>
        <w:t>Bd. XIV</w:t>
      </w:r>
      <w:r w:rsidRPr="008E1231">
        <w:rPr>
          <w:rFonts w:ascii="Times New Roman" w:hAnsi="Times New Roman" w:cs="Times New Roman"/>
          <w:lang w:val="de-DE"/>
        </w:rPr>
        <w:t>.</w:t>
      </w:r>
    </w:p>
    <w:p w14:paraId="005C22B5" w14:textId="77777777" w:rsidR="00123ACB" w:rsidRPr="008E1231" w:rsidRDefault="00123ACB" w:rsidP="006B16F8">
      <w:pPr>
        <w:spacing w:line="360" w:lineRule="auto"/>
        <w:jc w:val="both"/>
        <w:rPr>
          <w:rFonts w:ascii="Times New Roman" w:hAnsi="Times New Roman" w:cs="Times New Roman"/>
          <w:lang w:val="de-DE"/>
        </w:rPr>
      </w:pPr>
    </w:p>
    <w:p w14:paraId="69AC25E2" w14:textId="563F8005" w:rsidR="00123ACB" w:rsidRPr="008E1231" w:rsidRDefault="00123ACB" w:rsidP="006B16F8">
      <w:pPr>
        <w:spacing w:line="360" w:lineRule="auto"/>
        <w:jc w:val="both"/>
        <w:rPr>
          <w:rFonts w:ascii="Times New Roman" w:hAnsi="Times New Roman" w:cs="Times New Roman"/>
          <w:lang w:val="de-DE"/>
        </w:rPr>
      </w:pPr>
      <w:r>
        <w:rPr>
          <w:rFonts w:ascii="Times New Roman" w:hAnsi="Times New Roman" w:cs="Times New Roman"/>
          <w:lang w:val="de-DE"/>
        </w:rPr>
        <w:t xml:space="preserve">- </w:t>
      </w:r>
      <w:r w:rsidRPr="008E1231">
        <w:rPr>
          <w:rFonts w:ascii="Times New Roman" w:hAnsi="Times New Roman" w:cs="Times New Roman"/>
          <w:i/>
          <w:lang w:val="de-DE"/>
        </w:rPr>
        <w:t>Vorlesungen über die Geschichte der Philosophie. Sommersemester 1819: Anonymes Heft aus dem Nachlasse von Jürgen Bona Meyer</w:t>
      </w:r>
      <w:r w:rsidRPr="008E1231">
        <w:rPr>
          <w:rFonts w:ascii="Times New Roman" w:hAnsi="Times New Roman" w:cs="Times New Roman"/>
          <w:lang w:val="de-DE"/>
        </w:rPr>
        <w:t xml:space="preserve">, hrsg. von K. Grotsch, in </w:t>
      </w:r>
      <w:r w:rsidRPr="008E1231">
        <w:rPr>
          <w:rFonts w:ascii="Times New Roman" w:hAnsi="Times New Roman" w:cs="Times New Roman"/>
          <w:i/>
          <w:lang w:val="de-DE"/>
        </w:rPr>
        <w:t>Gesammelte Werke</w:t>
      </w:r>
      <w:r w:rsidRPr="008E1231">
        <w:rPr>
          <w:rFonts w:ascii="Times New Roman" w:hAnsi="Times New Roman" w:cs="Times New Roman"/>
          <w:lang w:val="de-DE"/>
        </w:rPr>
        <w:t xml:space="preserve">, </w:t>
      </w:r>
      <w:r w:rsidR="00DC0252" w:rsidRPr="008E1231">
        <w:rPr>
          <w:rFonts w:ascii="Times New Roman" w:hAnsi="Times New Roman" w:cs="Times New Roman"/>
          <w:lang w:val="de-DE"/>
        </w:rPr>
        <w:t xml:space="preserve">Felix Meiner Verlag, Hamburg </w:t>
      </w:r>
      <w:r w:rsidRPr="008E1231">
        <w:rPr>
          <w:rFonts w:ascii="Times New Roman" w:hAnsi="Times New Roman" w:cs="Times New Roman"/>
          <w:lang w:val="de-DE"/>
        </w:rPr>
        <w:t>2016</w:t>
      </w:r>
      <w:r w:rsidR="00DC0252">
        <w:rPr>
          <w:rFonts w:ascii="Times New Roman" w:hAnsi="Times New Roman" w:cs="Times New Roman"/>
          <w:lang w:val="de-DE"/>
        </w:rPr>
        <w:t xml:space="preserve">, </w:t>
      </w:r>
      <w:r w:rsidR="00DC0252" w:rsidRPr="008E1231">
        <w:rPr>
          <w:rFonts w:ascii="Times New Roman" w:hAnsi="Times New Roman" w:cs="Times New Roman"/>
          <w:lang w:val="de-DE"/>
        </w:rPr>
        <w:t>Bd. XXX</w:t>
      </w:r>
      <w:r w:rsidRPr="008E1231">
        <w:rPr>
          <w:rFonts w:ascii="Times New Roman" w:hAnsi="Times New Roman" w:cs="Times New Roman"/>
          <w:lang w:val="de-DE"/>
        </w:rPr>
        <w:t>.</w:t>
      </w:r>
    </w:p>
    <w:p w14:paraId="0C364EC9" w14:textId="77777777" w:rsidR="00123ACB" w:rsidRPr="008E1231" w:rsidRDefault="00123ACB" w:rsidP="006B16F8">
      <w:pPr>
        <w:spacing w:line="360" w:lineRule="auto"/>
        <w:jc w:val="both"/>
        <w:rPr>
          <w:rFonts w:ascii="Times New Roman" w:hAnsi="Times New Roman" w:cs="Times New Roman"/>
          <w:lang w:val="de-DE"/>
        </w:rPr>
      </w:pPr>
    </w:p>
    <w:p w14:paraId="1A79244D" w14:textId="5D1F1ED3" w:rsidR="00123ACB" w:rsidRPr="008E1231" w:rsidRDefault="00123ACB" w:rsidP="006B16F8">
      <w:pPr>
        <w:spacing w:line="360" w:lineRule="auto"/>
        <w:jc w:val="both"/>
        <w:rPr>
          <w:rFonts w:ascii="Times New Roman" w:hAnsi="Times New Roman" w:cs="Times New Roman"/>
          <w:lang w:val="de-DE"/>
        </w:rPr>
      </w:pPr>
      <w:r>
        <w:rPr>
          <w:rFonts w:ascii="Times New Roman" w:hAnsi="Times New Roman" w:cs="Times New Roman"/>
          <w:lang w:val="de-DE"/>
        </w:rPr>
        <w:t xml:space="preserve">- </w:t>
      </w:r>
      <w:r w:rsidRPr="008E1231">
        <w:rPr>
          <w:rFonts w:ascii="Times New Roman" w:hAnsi="Times New Roman" w:cs="Times New Roman"/>
          <w:i/>
          <w:lang w:val="de-DE"/>
        </w:rPr>
        <w:t>Vorlesungen über die Geschichte der Philosophie, Wintersemester 1820/21: Nachschrift Georg Wilhelm Heinrich Häring</w:t>
      </w:r>
      <w:r w:rsidRPr="008E1231">
        <w:rPr>
          <w:rFonts w:ascii="Times New Roman" w:hAnsi="Times New Roman" w:cs="Times New Roman"/>
          <w:lang w:val="de-DE"/>
        </w:rPr>
        <w:t xml:space="preserve">, hrsg. von K. Grotsch, in </w:t>
      </w:r>
      <w:r w:rsidRPr="008E1231">
        <w:rPr>
          <w:rFonts w:ascii="Times New Roman" w:hAnsi="Times New Roman" w:cs="Times New Roman"/>
          <w:i/>
          <w:lang w:val="de-DE"/>
        </w:rPr>
        <w:t>Gesammelte Werke</w:t>
      </w:r>
      <w:r w:rsidRPr="008E1231">
        <w:rPr>
          <w:rFonts w:ascii="Times New Roman" w:hAnsi="Times New Roman" w:cs="Times New Roman"/>
          <w:lang w:val="de-DE"/>
        </w:rPr>
        <w:t xml:space="preserve">, </w:t>
      </w:r>
      <w:r w:rsidR="00DC0252" w:rsidRPr="008E1231">
        <w:rPr>
          <w:rFonts w:ascii="Times New Roman" w:hAnsi="Times New Roman" w:cs="Times New Roman"/>
          <w:lang w:val="de-DE"/>
        </w:rPr>
        <w:t xml:space="preserve">Felix Meiner Verlag, Hamburg </w:t>
      </w:r>
      <w:r w:rsidRPr="008E1231">
        <w:rPr>
          <w:rFonts w:ascii="Times New Roman" w:hAnsi="Times New Roman" w:cs="Times New Roman"/>
          <w:lang w:val="de-DE"/>
        </w:rPr>
        <w:t>2016</w:t>
      </w:r>
      <w:r w:rsidR="00DC0252">
        <w:rPr>
          <w:rFonts w:ascii="Times New Roman" w:hAnsi="Times New Roman" w:cs="Times New Roman"/>
          <w:lang w:val="de-DE"/>
        </w:rPr>
        <w:t xml:space="preserve">, </w:t>
      </w:r>
      <w:r w:rsidR="00DC0252" w:rsidRPr="008E1231">
        <w:rPr>
          <w:rFonts w:ascii="Times New Roman" w:hAnsi="Times New Roman" w:cs="Times New Roman"/>
          <w:lang w:val="de-DE"/>
        </w:rPr>
        <w:t>Bd. XXX</w:t>
      </w:r>
      <w:r w:rsidRPr="008E1231">
        <w:rPr>
          <w:rFonts w:ascii="Times New Roman" w:hAnsi="Times New Roman" w:cs="Times New Roman"/>
          <w:lang w:val="de-DE"/>
        </w:rPr>
        <w:t>.</w:t>
      </w:r>
    </w:p>
    <w:p w14:paraId="3472690D" w14:textId="77777777" w:rsidR="00123ACB" w:rsidRPr="008E1231" w:rsidRDefault="00123ACB" w:rsidP="006B16F8">
      <w:pPr>
        <w:spacing w:line="360" w:lineRule="auto"/>
        <w:jc w:val="both"/>
        <w:rPr>
          <w:rFonts w:ascii="Times New Roman" w:hAnsi="Times New Roman" w:cs="Times New Roman"/>
          <w:lang w:val="de-DE"/>
        </w:rPr>
      </w:pPr>
    </w:p>
    <w:p w14:paraId="2434F1B7" w14:textId="7ED8EAD0" w:rsidR="00123ACB" w:rsidRPr="008E1231" w:rsidRDefault="00123ACB" w:rsidP="006B16F8">
      <w:pPr>
        <w:spacing w:line="360" w:lineRule="auto"/>
        <w:jc w:val="both"/>
        <w:rPr>
          <w:rFonts w:ascii="Times New Roman" w:hAnsi="Times New Roman" w:cs="Times New Roman"/>
          <w:lang w:val="de-DE"/>
        </w:rPr>
      </w:pPr>
      <w:r>
        <w:rPr>
          <w:rFonts w:ascii="Times New Roman" w:hAnsi="Times New Roman" w:cs="Times New Roman"/>
          <w:lang w:val="de-DE"/>
        </w:rPr>
        <w:t xml:space="preserve">- </w:t>
      </w:r>
      <w:r w:rsidRPr="008E1231">
        <w:rPr>
          <w:rFonts w:ascii="Times New Roman" w:hAnsi="Times New Roman" w:cs="Times New Roman"/>
          <w:i/>
          <w:lang w:val="de-DE"/>
        </w:rPr>
        <w:t>Vorlesungen über die Geschichte der Philosophie.</w:t>
      </w:r>
      <w:r w:rsidRPr="008E1231">
        <w:rPr>
          <w:rFonts w:ascii="Times New Roman" w:hAnsi="Times New Roman" w:cs="Times New Roman"/>
          <w:lang w:val="de-DE"/>
        </w:rPr>
        <w:t xml:space="preserve"> </w:t>
      </w:r>
      <w:r w:rsidRPr="008E1231">
        <w:rPr>
          <w:rFonts w:ascii="Times New Roman" w:hAnsi="Times New Roman" w:cs="Times New Roman"/>
          <w:i/>
          <w:lang w:val="de-DE"/>
        </w:rPr>
        <w:t xml:space="preserve">Ausgewählte Nachschriften und Manuskripte, </w:t>
      </w:r>
      <w:r w:rsidRPr="008E1231">
        <w:rPr>
          <w:rFonts w:ascii="Times New Roman" w:hAnsi="Times New Roman" w:cs="Times New Roman"/>
          <w:lang w:val="de-DE"/>
        </w:rPr>
        <w:t>hrsg. von P. Garnion und W. Jaeschke, Felix Meiner Verlag, Hamburg 1993.</w:t>
      </w:r>
    </w:p>
    <w:p w14:paraId="1E29B2BA" w14:textId="77777777" w:rsidR="00123ACB" w:rsidRPr="008E1231" w:rsidRDefault="00123ACB" w:rsidP="006B16F8">
      <w:pPr>
        <w:spacing w:line="360" w:lineRule="auto"/>
        <w:jc w:val="both"/>
        <w:rPr>
          <w:rFonts w:ascii="Times New Roman" w:hAnsi="Times New Roman" w:cs="Times New Roman"/>
          <w:lang w:val="de-DE"/>
        </w:rPr>
      </w:pPr>
    </w:p>
    <w:p w14:paraId="40BA5AB8" w14:textId="592B639C" w:rsidR="00123ACB" w:rsidRPr="008E1231" w:rsidRDefault="00123ACB" w:rsidP="006B16F8">
      <w:pPr>
        <w:spacing w:line="360" w:lineRule="auto"/>
        <w:jc w:val="both"/>
        <w:rPr>
          <w:rFonts w:ascii="Times New Roman" w:hAnsi="Times New Roman" w:cs="Times New Roman"/>
          <w:lang w:val="de-DE"/>
        </w:rPr>
      </w:pPr>
      <w:r>
        <w:rPr>
          <w:rFonts w:ascii="Times New Roman" w:hAnsi="Times New Roman" w:cs="Times New Roman"/>
          <w:lang w:val="de-DE"/>
        </w:rPr>
        <w:t xml:space="preserve">- </w:t>
      </w:r>
      <w:r w:rsidRPr="008E1231">
        <w:rPr>
          <w:rFonts w:ascii="Times New Roman" w:hAnsi="Times New Roman" w:cs="Times New Roman"/>
          <w:i/>
          <w:lang w:val="de-DE"/>
        </w:rPr>
        <w:t>Vorlesungen über die Philosophie der Religion II</w:t>
      </w:r>
      <w:r w:rsidRPr="008E1231">
        <w:rPr>
          <w:rFonts w:ascii="Times New Roman" w:hAnsi="Times New Roman" w:cs="Times New Roman"/>
          <w:lang w:val="de-DE"/>
        </w:rPr>
        <w:t xml:space="preserve">, in </w:t>
      </w:r>
      <w:r w:rsidRPr="008E1231">
        <w:rPr>
          <w:rFonts w:ascii="Times New Roman" w:hAnsi="Times New Roman" w:cs="Times New Roman"/>
          <w:i/>
          <w:lang w:val="de-DE"/>
        </w:rPr>
        <w:t>Werke in 20 Bände</w:t>
      </w:r>
      <w:r>
        <w:rPr>
          <w:rFonts w:ascii="Times New Roman" w:hAnsi="Times New Roman" w:cs="Times New Roman"/>
          <w:lang w:val="de-DE"/>
        </w:rPr>
        <w:t xml:space="preserve">, </w:t>
      </w:r>
      <w:r w:rsidRPr="008E1231">
        <w:rPr>
          <w:rFonts w:ascii="Times New Roman" w:hAnsi="Times New Roman" w:cs="Times New Roman"/>
          <w:lang w:val="de-DE"/>
        </w:rPr>
        <w:t xml:space="preserve">hrsg. von </w:t>
      </w:r>
      <w:r w:rsidR="00DC0252">
        <w:rPr>
          <w:rFonts w:ascii="Times New Roman" w:hAnsi="Times New Roman" w:cs="Times New Roman"/>
          <w:lang w:val="de-DE"/>
        </w:rPr>
        <w:t>E. Moldenhauer und K.M. Michel</w:t>
      </w:r>
      <w:r w:rsidRPr="008E1231">
        <w:rPr>
          <w:rFonts w:ascii="Times New Roman" w:hAnsi="Times New Roman" w:cs="Times New Roman"/>
          <w:lang w:val="de-DE"/>
        </w:rPr>
        <w:t>, Suhrkamp, Frankfurt am Main 1971</w:t>
      </w:r>
      <w:r w:rsidR="00DC0252">
        <w:rPr>
          <w:rFonts w:ascii="Times New Roman" w:hAnsi="Times New Roman" w:cs="Times New Roman"/>
          <w:lang w:val="de-DE"/>
        </w:rPr>
        <w:t xml:space="preserve">, </w:t>
      </w:r>
      <w:r w:rsidR="00DC0252" w:rsidRPr="008E1231">
        <w:rPr>
          <w:rFonts w:ascii="Times New Roman" w:hAnsi="Times New Roman" w:cs="Times New Roman"/>
          <w:lang w:val="de-DE"/>
        </w:rPr>
        <w:t>Bd. XVII</w:t>
      </w:r>
      <w:r w:rsidRPr="008E1231">
        <w:rPr>
          <w:rFonts w:ascii="Times New Roman" w:hAnsi="Times New Roman" w:cs="Times New Roman"/>
          <w:lang w:val="de-DE"/>
        </w:rPr>
        <w:t>.</w:t>
      </w:r>
    </w:p>
    <w:p w14:paraId="483713D1" w14:textId="77777777" w:rsidR="00123ACB" w:rsidRPr="008E1231" w:rsidRDefault="00123ACB" w:rsidP="006B16F8">
      <w:pPr>
        <w:spacing w:line="360" w:lineRule="auto"/>
        <w:jc w:val="both"/>
        <w:rPr>
          <w:rFonts w:ascii="Times New Roman" w:hAnsi="Times New Roman" w:cs="Times New Roman"/>
          <w:i/>
          <w:lang w:val="de-DE"/>
        </w:rPr>
      </w:pPr>
    </w:p>
    <w:p w14:paraId="04002401" w14:textId="5DD730DC" w:rsidR="00123ACB" w:rsidRPr="008E1231" w:rsidRDefault="00123ACB" w:rsidP="006B16F8">
      <w:pPr>
        <w:spacing w:line="360" w:lineRule="auto"/>
        <w:jc w:val="both"/>
        <w:rPr>
          <w:rFonts w:ascii="Times New Roman" w:hAnsi="Times New Roman" w:cs="Times New Roman"/>
          <w:lang w:val="de-DE"/>
        </w:rPr>
      </w:pPr>
      <w:r>
        <w:rPr>
          <w:rFonts w:ascii="Times New Roman" w:hAnsi="Times New Roman" w:cs="Times New Roman"/>
          <w:lang w:val="de-DE"/>
        </w:rPr>
        <w:t xml:space="preserve">- </w:t>
      </w:r>
      <w:r w:rsidRPr="008E1231">
        <w:rPr>
          <w:rFonts w:ascii="Times New Roman" w:hAnsi="Times New Roman" w:cs="Times New Roman"/>
          <w:i/>
          <w:lang w:val="de-DE"/>
        </w:rPr>
        <w:t>Vorlesungen über die Geschichte der Philosophie II</w:t>
      </w:r>
      <w:r w:rsidRPr="008E1231">
        <w:rPr>
          <w:rFonts w:ascii="Times New Roman" w:hAnsi="Times New Roman" w:cs="Times New Roman"/>
          <w:lang w:val="de-DE"/>
        </w:rPr>
        <w:t xml:space="preserve">, in </w:t>
      </w:r>
      <w:r w:rsidRPr="008E1231">
        <w:rPr>
          <w:rFonts w:ascii="Times New Roman" w:hAnsi="Times New Roman" w:cs="Times New Roman"/>
          <w:i/>
          <w:lang w:val="de-DE"/>
        </w:rPr>
        <w:t>Werke in 20 Bände</w:t>
      </w:r>
      <w:r w:rsidRPr="008E1231">
        <w:rPr>
          <w:rFonts w:ascii="Times New Roman" w:hAnsi="Times New Roman" w:cs="Times New Roman"/>
          <w:lang w:val="de-DE"/>
        </w:rPr>
        <w:t>, cit.</w:t>
      </w:r>
      <w:r>
        <w:rPr>
          <w:rFonts w:ascii="Times New Roman" w:hAnsi="Times New Roman" w:cs="Times New Roman"/>
          <w:lang w:val="de-DE"/>
        </w:rPr>
        <w:t xml:space="preserve">, </w:t>
      </w:r>
      <w:r w:rsidRPr="008E1231">
        <w:rPr>
          <w:rFonts w:ascii="Times New Roman" w:hAnsi="Times New Roman" w:cs="Times New Roman"/>
          <w:lang w:val="de-DE"/>
        </w:rPr>
        <w:t>Bd. XIX</w:t>
      </w:r>
      <w:r>
        <w:rPr>
          <w:rFonts w:ascii="Times New Roman" w:hAnsi="Times New Roman" w:cs="Times New Roman"/>
          <w:lang w:val="de-DE"/>
        </w:rPr>
        <w:t>.</w:t>
      </w:r>
    </w:p>
    <w:p w14:paraId="1471DD22" w14:textId="77777777" w:rsidR="00123ACB" w:rsidRPr="008E1231" w:rsidRDefault="00123ACB" w:rsidP="006B16F8">
      <w:pPr>
        <w:spacing w:line="360" w:lineRule="auto"/>
        <w:jc w:val="both"/>
        <w:rPr>
          <w:rFonts w:ascii="Times New Roman" w:hAnsi="Times New Roman" w:cs="Times New Roman"/>
          <w:i/>
          <w:lang w:val="de-DE"/>
        </w:rPr>
      </w:pPr>
    </w:p>
    <w:p w14:paraId="6F3D1F9D" w14:textId="237A4E6D" w:rsidR="00123ACB" w:rsidRPr="008E1231" w:rsidRDefault="00123ACB" w:rsidP="006B16F8">
      <w:pPr>
        <w:spacing w:line="360" w:lineRule="auto"/>
        <w:jc w:val="both"/>
        <w:rPr>
          <w:rFonts w:ascii="Times New Roman" w:hAnsi="Times New Roman" w:cs="Times New Roman"/>
          <w:lang w:val="de-DE"/>
        </w:rPr>
      </w:pPr>
      <w:r>
        <w:rPr>
          <w:rFonts w:ascii="Times New Roman" w:hAnsi="Times New Roman" w:cs="Times New Roman"/>
          <w:lang w:val="de-DE"/>
        </w:rPr>
        <w:t xml:space="preserve">- </w:t>
      </w:r>
      <w:r w:rsidRPr="008E1231">
        <w:rPr>
          <w:rFonts w:ascii="Times New Roman" w:hAnsi="Times New Roman" w:cs="Times New Roman"/>
          <w:i/>
          <w:lang w:val="de-DE"/>
        </w:rPr>
        <w:t>Vorlesungen über die Geschichte der Philosophie III</w:t>
      </w:r>
      <w:r w:rsidRPr="008E1231">
        <w:rPr>
          <w:rFonts w:ascii="Times New Roman" w:hAnsi="Times New Roman" w:cs="Times New Roman"/>
          <w:lang w:val="de-DE"/>
        </w:rPr>
        <w:t xml:space="preserve">, </w:t>
      </w:r>
      <w:r>
        <w:rPr>
          <w:rFonts w:ascii="Times New Roman" w:hAnsi="Times New Roman" w:cs="Times New Roman"/>
          <w:lang w:val="de-DE"/>
        </w:rPr>
        <w:t xml:space="preserve">in </w:t>
      </w:r>
      <w:r w:rsidRPr="008E1231">
        <w:rPr>
          <w:rFonts w:ascii="Times New Roman" w:hAnsi="Times New Roman" w:cs="Times New Roman"/>
          <w:i/>
          <w:lang w:val="de-DE"/>
        </w:rPr>
        <w:t>Werke in 20 Bände</w:t>
      </w:r>
      <w:r w:rsidRPr="008E1231">
        <w:rPr>
          <w:rFonts w:ascii="Times New Roman" w:hAnsi="Times New Roman" w:cs="Times New Roman"/>
          <w:lang w:val="de-DE"/>
        </w:rPr>
        <w:t>, cit.</w:t>
      </w:r>
      <w:r>
        <w:rPr>
          <w:rFonts w:ascii="Times New Roman" w:hAnsi="Times New Roman" w:cs="Times New Roman"/>
          <w:lang w:val="de-DE"/>
        </w:rPr>
        <w:t>, Bd. XX.</w:t>
      </w:r>
    </w:p>
    <w:p w14:paraId="16F2C811" w14:textId="77777777" w:rsidR="00123ACB" w:rsidRPr="008E1231" w:rsidRDefault="00123ACB" w:rsidP="006B16F8">
      <w:pPr>
        <w:spacing w:line="360" w:lineRule="auto"/>
        <w:jc w:val="both"/>
        <w:rPr>
          <w:rFonts w:ascii="Times New Roman" w:hAnsi="Times New Roman" w:cs="Times New Roman"/>
          <w:i/>
          <w:lang w:val="de-DE"/>
        </w:rPr>
      </w:pPr>
    </w:p>
    <w:p w14:paraId="7AF1FBBB" w14:textId="520374FA" w:rsidR="00123ACB" w:rsidRDefault="00123ACB" w:rsidP="006B16F8">
      <w:pPr>
        <w:spacing w:line="360" w:lineRule="auto"/>
        <w:jc w:val="both"/>
        <w:rPr>
          <w:rFonts w:ascii="Times New Roman" w:hAnsi="Times New Roman" w:cs="Times New Roman"/>
          <w:lang w:val="de-DE"/>
        </w:rPr>
      </w:pPr>
      <w:r>
        <w:rPr>
          <w:rFonts w:ascii="Times New Roman" w:hAnsi="Times New Roman" w:cs="Times New Roman"/>
          <w:lang w:val="de-DE"/>
        </w:rPr>
        <w:t xml:space="preserve">- </w:t>
      </w:r>
      <w:r w:rsidRPr="008E1231">
        <w:rPr>
          <w:rFonts w:ascii="Times New Roman" w:hAnsi="Times New Roman" w:cs="Times New Roman"/>
          <w:i/>
          <w:lang w:val="de-DE"/>
        </w:rPr>
        <w:t>Vorlesungen über die Geschichte der Philosophie</w:t>
      </w:r>
      <w:r w:rsidRPr="008E1231">
        <w:rPr>
          <w:rFonts w:ascii="Times New Roman" w:hAnsi="Times New Roman" w:cs="Times New Roman"/>
          <w:lang w:val="de-DE"/>
        </w:rPr>
        <w:t xml:space="preserve">, hrsg. von K. L. Michelet, in </w:t>
      </w:r>
      <w:r w:rsidRPr="008E1231">
        <w:rPr>
          <w:rFonts w:ascii="Times New Roman" w:hAnsi="Times New Roman" w:cs="Times New Roman"/>
          <w:i/>
          <w:lang w:val="de-DE"/>
        </w:rPr>
        <w:t>Georg Wilhelm Friedrich Hegel’s Werke. Vollständige Ausgabe durch einen Verein von Freunden des Verewigten</w:t>
      </w:r>
      <w:r w:rsidRPr="008E1231">
        <w:rPr>
          <w:rFonts w:ascii="Times New Roman" w:hAnsi="Times New Roman" w:cs="Times New Roman"/>
          <w:lang w:val="de-DE"/>
        </w:rPr>
        <w:t>, Duncker und Humblot Verlag, Berlin 1844</w:t>
      </w:r>
      <w:r w:rsidR="00DC0252">
        <w:rPr>
          <w:rFonts w:ascii="Times New Roman" w:hAnsi="Times New Roman" w:cs="Times New Roman"/>
          <w:lang w:val="de-DE"/>
        </w:rPr>
        <w:t xml:space="preserve">, </w:t>
      </w:r>
      <w:r w:rsidR="00DC0252" w:rsidRPr="008E1231">
        <w:rPr>
          <w:rFonts w:ascii="Times New Roman" w:hAnsi="Times New Roman" w:cs="Times New Roman"/>
          <w:lang w:val="de-DE"/>
        </w:rPr>
        <w:t>Bd. XV</w:t>
      </w:r>
      <w:r w:rsidRPr="008E1231">
        <w:rPr>
          <w:rFonts w:ascii="Times New Roman" w:hAnsi="Times New Roman" w:cs="Times New Roman"/>
          <w:lang w:val="de-DE"/>
        </w:rPr>
        <w:t>.</w:t>
      </w:r>
    </w:p>
    <w:p w14:paraId="4580FFC2" w14:textId="77777777" w:rsidR="00123ACB" w:rsidRDefault="00123ACB" w:rsidP="006B16F8">
      <w:pPr>
        <w:spacing w:line="360" w:lineRule="auto"/>
        <w:jc w:val="both"/>
        <w:rPr>
          <w:rFonts w:ascii="Times New Roman" w:hAnsi="Times New Roman" w:cs="Times New Roman"/>
          <w:i/>
        </w:rPr>
      </w:pPr>
    </w:p>
    <w:p w14:paraId="22A95C64" w14:textId="77777777" w:rsidR="00276556" w:rsidRPr="00276556" w:rsidRDefault="00276556" w:rsidP="006B16F8">
      <w:pPr>
        <w:spacing w:line="360" w:lineRule="auto"/>
        <w:jc w:val="both"/>
        <w:rPr>
          <w:rFonts w:ascii="Times New Roman" w:hAnsi="Times New Roman" w:cs="Times New Roman"/>
          <w:i/>
        </w:rPr>
      </w:pPr>
    </w:p>
    <w:p w14:paraId="3EA08AE1" w14:textId="526DB74B" w:rsidR="00123ACB" w:rsidRPr="003F6B27" w:rsidRDefault="00276556" w:rsidP="006B16F8">
      <w:pPr>
        <w:spacing w:line="360" w:lineRule="auto"/>
        <w:jc w:val="both"/>
        <w:rPr>
          <w:rFonts w:ascii="Times New Roman" w:hAnsi="Times New Roman" w:cs="Times New Roman"/>
          <w:b/>
        </w:rPr>
      </w:pPr>
      <w:r w:rsidRPr="003F6B27">
        <w:rPr>
          <w:rFonts w:ascii="Times New Roman" w:hAnsi="Times New Roman" w:cs="Times New Roman"/>
          <w:b/>
        </w:rPr>
        <w:t>Altre fonti primarie</w:t>
      </w:r>
    </w:p>
    <w:p w14:paraId="3CE5A3E6" w14:textId="77777777" w:rsidR="00276556" w:rsidRPr="008E0C6A" w:rsidRDefault="00276556" w:rsidP="006B16F8">
      <w:pPr>
        <w:spacing w:line="360" w:lineRule="auto"/>
        <w:jc w:val="both"/>
        <w:rPr>
          <w:rFonts w:ascii="Times New Roman" w:hAnsi="Times New Roman" w:cs="Times New Roman"/>
        </w:rPr>
      </w:pPr>
    </w:p>
    <w:p w14:paraId="50CD71FD"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Aristotele, </w:t>
      </w:r>
      <w:r w:rsidRPr="008E0C6A">
        <w:rPr>
          <w:rFonts w:ascii="Times New Roman" w:hAnsi="Times New Roman" w:cs="Times New Roman"/>
          <w:i/>
        </w:rPr>
        <w:t>Metafisica</w:t>
      </w:r>
      <w:r w:rsidRPr="008E0C6A">
        <w:rPr>
          <w:rFonts w:ascii="Times New Roman" w:hAnsi="Times New Roman" w:cs="Times New Roman"/>
        </w:rPr>
        <w:t>, a cura di G. Reale, Rusconi, Milano 1997 (prima ed. 1993).</w:t>
      </w:r>
    </w:p>
    <w:p w14:paraId="749AE307" w14:textId="77777777" w:rsidR="00276556" w:rsidRPr="008E0C6A" w:rsidRDefault="00276556" w:rsidP="006B16F8">
      <w:pPr>
        <w:spacing w:line="360" w:lineRule="auto"/>
        <w:jc w:val="both"/>
        <w:rPr>
          <w:rFonts w:ascii="Times New Roman" w:hAnsi="Times New Roman" w:cs="Times New Roman"/>
        </w:rPr>
      </w:pPr>
    </w:p>
    <w:p w14:paraId="750487DD"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F. Ast, </w:t>
      </w:r>
      <w:r w:rsidRPr="008E0C6A">
        <w:rPr>
          <w:rFonts w:ascii="Times New Roman" w:hAnsi="Times New Roman" w:cs="Times New Roman"/>
          <w:i/>
          <w:lang w:val="de-DE"/>
        </w:rPr>
        <w:t>Grundriss einer Geschichte der Philosophie</w:t>
      </w:r>
      <w:r w:rsidRPr="008E0C6A">
        <w:rPr>
          <w:rFonts w:ascii="Times New Roman" w:hAnsi="Times New Roman" w:cs="Times New Roman"/>
        </w:rPr>
        <w:t>, Landshut 1807.</w:t>
      </w:r>
    </w:p>
    <w:p w14:paraId="49DD2118" w14:textId="77777777" w:rsidR="00276556" w:rsidRPr="008E0C6A" w:rsidRDefault="00276556" w:rsidP="006B16F8">
      <w:pPr>
        <w:spacing w:line="360" w:lineRule="auto"/>
        <w:jc w:val="both"/>
        <w:rPr>
          <w:rFonts w:ascii="Times New Roman" w:hAnsi="Times New Roman" w:cs="Times New Roman"/>
        </w:rPr>
      </w:pPr>
    </w:p>
    <w:p w14:paraId="434B80A4" w14:textId="7D8574F4" w:rsidR="00276556" w:rsidRPr="008E0C6A" w:rsidRDefault="00276556" w:rsidP="006B16F8">
      <w:pPr>
        <w:spacing w:line="360" w:lineRule="auto"/>
        <w:jc w:val="both"/>
        <w:rPr>
          <w:rFonts w:ascii="Times New Roman" w:eastAsia="Times New Roman" w:hAnsi="Times New Roman" w:cs="Times New Roman"/>
          <w:color w:val="000000"/>
        </w:rPr>
      </w:pPr>
      <w:r w:rsidRPr="008E0C6A">
        <w:rPr>
          <w:rFonts w:ascii="Times New Roman" w:eastAsia="Times New Roman" w:hAnsi="Times New Roman" w:cs="Times New Roman"/>
          <w:color w:val="000000"/>
        </w:rPr>
        <w:t xml:space="preserve">J. </w:t>
      </w:r>
      <w:r w:rsidRPr="008E0C6A">
        <w:rPr>
          <w:rFonts w:ascii="Times New Roman" w:hAnsi="Times New Roman" w:cs="Times New Roman"/>
        </w:rPr>
        <w:t>B</w:t>
      </w:r>
      <w:r w:rsidRPr="008E0C6A">
        <w:rPr>
          <w:rFonts w:ascii="Times New Roman" w:eastAsia="Times New Roman" w:hAnsi="Times New Roman" w:cs="Times New Roman"/>
          <w:color w:val="000000"/>
        </w:rPr>
        <w:t xml:space="preserve">öhme, </w:t>
      </w:r>
      <w:r w:rsidRPr="008E0C6A">
        <w:rPr>
          <w:rFonts w:ascii="Times New Roman" w:eastAsia="Times New Roman" w:hAnsi="Times New Roman" w:cs="Times New Roman"/>
          <w:i/>
          <w:color w:val="000000"/>
        </w:rPr>
        <w:t>Aurora</w:t>
      </w:r>
      <w:r w:rsidRPr="008E0C6A">
        <w:rPr>
          <w:rFonts w:ascii="Times New Roman" w:eastAsia="Times New Roman" w:hAnsi="Times New Roman" w:cs="Times New Roman"/>
          <w:color w:val="000000"/>
        </w:rPr>
        <w:t xml:space="preserve">, in </w:t>
      </w:r>
      <w:r w:rsidRPr="008E0C6A">
        <w:rPr>
          <w:rFonts w:ascii="Times New Roman" w:eastAsia="Times New Roman" w:hAnsi="Times New Roman" w:cs="Times New Roman"/>
          <w:i/>
          <w:color w:val="000000"/>
        </w:rPr>
        <w:t>Sämtliche Schriften</w:t>
      </w:r>
      <w:r w:rsidR="005E670B">
        <w:rPr>
          <w:rFonts w:ascii="Times New Roman" w:eastAsia="Times New Roman" w:hAnsi="Times New Roman" w:cs="Times New Roman"/>
          <w:color w:val="000000"/>
        </w:rPr>
        <w:t>, hrsg. von W.-E. Peuckert</w:t>
      </w:r>
      <w:r>
        <w:rPr>
          <w:rFonts w:ascii="Times New Roman" w:eastAsia="Times New Roman" w:hAnsi="Times New Roman" w:cs="Times New Roman"/>
          <w:color w:val="000000"/>
        </w:rPr>
        <w:t>,</w:t>
      </w:r>
      <w:r w:rsidRPr="008E0C6A">
        <w:rPr>
          <w:rFonts w:ascii="Times New Roman" w:eastAsia="Times New Roman" w:hAnsi="Times New Roman" w:cs="Times New Roman"/>
          <w:color w:val="000000"/>
        </w:rPr>
        <w:t xml:space="preserve"> Fromman-Holzboog, Stuttgart 1956</w:t>
      </w:r>
      <w:r w:rsidR="005E670B">
        <w:rPr>
          <w:rFonts w:ascii="Times New Roman" w:eastAsia="Times New Roman" w:hAnsi="Times New Roman" w:cs="Times New Roman"/>
          <w:color w:val="000000"/>
        </w:rPr>
        <w:t xml:space="preserve">, </w:t>
      </w:r>
      <w:r w:rsidR="005E670B" w:rsidRPr="008E0C6A">
        <w:rPr>
          <w:rFonts w:ascii="Times New Roman" w:eastAsia="Times New Roman" w:hAnsi="Times New Roman" w:cs="Times New Roman"/>
          <w:color w:val="000000"/>
        </w:rPr>
        <w:t>Bd. I</w:t>
      </w:r>
      <w:r w:rsidRPr="008E0C6A">
        <w:rPr>
          <w:rFonts w:ascii="Times New Roman" w:eastAsia="Times New Roman" w:hAnsi="Times New Roman" w:cs="Times New Roman"/>
          <w:color w:val="000000"/>
        </w:rPr>
        <w:t>.</w:t>
      </w:r>
    </w:p>
    <w:p w14:paraId="4292F523" w14:textId="77777777" w:rsidR="00276556" w:rsidRPr="008E0C6A" w:rsidRDefault="00276556" w:rsidP="006B16F8">
      <w:pPr>
        <w:spacing w:line="360" w:lineRule="auto"/>
        <w:jc w:val="both"/>
        <w:rPr>
          <w:rFonts w:ascii="Times New Roman" w:eastAsia="Times New Roman" w:hAnsi="Times New Roman" w:cs="Times New Roman"/>
          <w:color w:val="000000"/>
        </w:rPr>
      </w:pPr>
    </w:p>
    <w:p w14:paraId="1AD3063A" w14:textId="2D4FC497" w:rsidR="00276556" w:rsidRPr="008E0C6A" w:rsidRDefault="00276556" w:rsidP="006B16F8">
      <w:pPr>
        <w:spacing w:line="360" w:lineRule="auto"/>
        <w:jc w:val="both"/>
        <w:rPr>
          <w:rFonts w:ascii="Times New Roman" w:eastAsia="Times New Roman" w:hAnsi="Times New Roman" w:cs="Times New Roman"/>
          <w:color w:val="000000"/>
        </w:rPr>
      </w:pPr>
      <w:r w:rsidRPr="008E0C6A">
        <w:rPr>
          <w:rFonts w:ascii="Times New Roman" w:eastAsia="Times New Roman" w:hAnsi="Times New Roman" w:cs="Times New Roman"/>
          <w:color w:val="000000"/>
        </w:rPr>
        <w:t xml:space="preserve">- </w:t>
      </w:r>
      <w:r w:rsidRPr="008E0C6A">
        <w:rPr>
          <w:rFonts w:ascii="Times New Roman" w:hAnsi="Times New Roman" w:cs="Times New Roman"/>
          <w:i/>
        </w:rPr>
        <w:t>Beschreibung der drey Principien göttliches Wesens</w:t>
      </w:r>
      <w:r w:rsidRPr="008E0C6A">
        <w:rPr>
          <w:rFonts w:ascii="Times New Roman" w:hAnsi="Times New Roman" w:cs="Times New Roman"/>
        </w:rPr>
        <w:t>,</w:t>
      </w:r>
      <w:r w:rsidRPr="008E0C6A">
        <w:rPr>
          <w:rFonts w:ascii="Times New Roman" w:eastAsia="Times New Roman" w:hAnsi="Times New Roman" w:cs="Times New Roman"/>
          <w:color w:val="000000"/>
        </w:rPr>
        <w:t xml:space="preserve"> in </w:t>
      </w:r>
      <w:r w:rsidRPr="008E0C6A">
        <w:rPr>
          <w:rFonts w:ascii="Times New Roman" w:eastAsia="Times New Roman" w:hAnsi="Times New Roman" w:cs="Times New Roman"/>
          <w:i/>
          <w:color w:val="000000"/>
        </w:rPr>
        <w:t>Sämtliche Schriften</w:t>
      </w:r>
      <w:r w:rsidRPr="008E0C6A">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 xml:space="preserve">cit., </w:t>
      </w:r>
      <w:r w:rsidR="00CC4C93">
        <w:rPr>
          <w:rFonts w:ascii="Times New Roman" w:eastAsia="Times New Roman" w:hAnsi="Times New Roman" w:cs="Times New Roman"/>
          <w:color w:val="000000"/>
        </w:rPr>
        <w:t>Bd. II</w:t>
      </w:r>
      <w:r w:rsidRPr="008E0C6A">
        <w:rPr>
          <w:rFonts w:ascii="Times New Roman" w:eastAsia="Times New Roman" w:hAnsi="Times New Roman" w:cs="Times New Roman"/>
          <w:color w:val="000000"/>
        </w:rPr>
        <w:t>.</w:t>
      </w:r>
    </w:p>
    <w:p w14:paraId="2CA28FA0" w14:textId="77777777" w:rsidR="00276556" w:rsidRPr="008E0C6A" w:rsidRDefault="00276556" w:rsidP="006B16F8">
      <w:pPr>
        <w:spacing w:line="360" w:lineRule="auto"/>
        <w:jc w:val="both"/>
        <w:rPr>
          <w:rFonts w:ascii="Times New Roman" w:eastAsia="Times New Roman" w:hAnsi="Times New Roman" w:cs="Times New Roman"/>
          <w:color w:val="000000"/>
        </w:rPr>
      </w:pPr>
    </w:p>
    <w:p w14:paraId="736CBB92" w14:textId="6ABB9F87" w:rsidR="00276556" w:rsidRPr="008E0C6A" w:rsidRDefault="00276556" w:rsidP="006B16F8">
      <w:pPr>
        <w:spacing w:line="360" w:lineRule="auto"/>
        <w:jc w:val="both"/>
        <w:rPr>
          <w:rFonts w:ascii="Times New Roman" w:hAnsi="Times New Roman" w:cs="Times New Roman"/>
          <w:lang w:val="de-DE"/>
        </w:rPr>
      </w:pPr>
      <w:r w:rsidRPr="008E0C6A">
        <w:rPr>
          <w:rFonts w:ascii="Times New Roman" w:hAnsi="Times New Roman" w:cs="Times New Roman"/>
        </w:rPr>
        <w:t xml:space="preserve">- </w:t>
      </w:r>
      <w:r w:rsidRPr="008E0C6A">
        <w:rPr>
          <w:rFonts w:ascii="Times New Roman" w:hAnsi="Times New Roman" w:cs="Times New Roman"/>
          <w:i/>
          <w:lang w:val="de-DE"/>
        </w:rPr>
        <w:t>De Aequanimitate oder von der wahren Gelassenheit</w:t>
      </w:r>
      <w:r w:rsidRPr="008E0C6A">
        <w:rPr>
          <w:rFonts w:ascii="Times New Roman" w:hAnsi="Times New Roman" w:cs="Times New Roman"/>
          <w:lang w:val="de-DE"/>
        </w:rPr>
        <w:t xml:space="preserve">, </w:t>
      </w:r>
      <w:r w:rsidRPr="008E0C6A">
        <w:rPr>
          <w:rFonts w:ascii="Times New Roman" w:eastAsia="Times New Roman" w:hAnsi="Times New Roman" w:cs="Times New Roman"/>
          <w:color w:val="000000"/>
        </w:rPr>
        <w:t xml:space="preserve">in </w:t>
      </w:r>
      <w:r w:rsidRPr="008E0C6A">
        <w:rPr>
          <w:rFonts w:ascii="Times New Roman" w:eastAsia="Times New Roman" w:hAnsi="Times New Roman" w:cs="Times New Roman"/>
          <w:i/>
          <w:color w:val="000000"/>
        </w:rPr>
        <w:t>Sämtliche Schriften</w:t>
      </w:r>
      <w:r w:rsidRPr="008E0C6A">
        <w:rPr>
          <w:rFonts w:ascii="Times New Roman" w:hAnsi="Times New Roman" w:cs="Times New Roman"/>
          <w:lang w:val="de-DE"/>
        </w:rPr>
        <w:t xml:space="preserve">, </w:t>
      </w:r>
      <w:r>
        <w:rPr>
          <w:rFonts w:ascii="Times New Roman" w:hAnsi="Times New Roman" w:cs="Times New Roman"/>
          <w:lang w:val="de-DE"/>
        </w:rPr>
        <w:t xml:space="preserve">cit., </w:t>
      </w:r>
      <w:r w:rsidR="00CC4C93">
        <w:rPr>
          <w:rFonts w:ascii="Times New Roman" w:hAnsi="Times New Roman" w:cs="Times New Roman"/>
          <w:lang w:val="de-DE"/>
        </w:rPr>
        <w:t>Bd. IX</w:t>
      </w:r>
      <w:r w:rsidRPr="008E0C6A">
        <w:rPr>
          <w:rFonts w:ascii="Times New Roman" w:hAnsi="Times New Roman" w:cs="Times New Roman"/>
          <w:lang w:val="de-DE"/>
        </w:rPr>
        <w:t>.</w:t>
      </w:r>
    </w:p>
    <w:p w14:paraId="2D64D710" w14:textId="77777777" w:rsidR="00276556" w:rsidRPr="008E0C6A" w:rsidRDefault="00276556" w:rsidP="006B16F8">
      <w:pPr>
        <w:spacing w:line="360" w:lineRule="auto"/>
        <w:jc w:val="both"/>
        <w:rPr>
          <w:rFonts w:ascii="Times New Roman" w:hAnsi="Times New Roman" w:cs="Times New Roman"/>
        </w:rPr>
      </w:pPr>
    </w:p>
    <w:p w14:paraId="109B4094" w14:textId="56DA115A" w:rsidR="00276556" w:rsidRPr="008E0C6A" w:rsidRDefault="00276556" w:rsidP="006B16F8">
      <w:pPr>
        <w:spacing w:line="360" w:lineRule="auto"/>
        <w:jc w:val="both"/>
        <w:rPr>
          <w:rFonts w:ascii="Times New Roman" w:eastAsia="Times New Roman" w:hAnsi="Times New Roman" w:cs="Times New Roman"/>
          <w:color w:val="000000"/>
        </w:rPr>
      </w:pPr>
      <w:r w:rsidRPr="008E0C6A">
        <w:rPr>
          <w:rFonts w:ascii="Times New Roman" w:eastAsia="Times New Roman" w:hAnsi="Times New Roman" w:cs="Times New Roman"/>
          <w:i/>
          <w:color w:val="000000"/>
        </w:rPr>
        <w:t>- Questiones Theosophicae, oder Betrachtung Göttlicher Offenbarung</w:t>
      </w:r>
      <w:r w:rsidRPr="008E0C6A">
        <w:rPr>
          <w:rFonts w:ascii="Times New Roman" w:eastAsia="Times New Roman" w:hAnsi="Times New Roman" w:cs="Times New Roman"/>
          <w:color w:val="000000"/>
        </w:rPr>
        <w:t xml:space="preserve">, in </w:t>
      </w:r>
      <w:r w:rsidRPr="008E0C6A">
        <w:rPr>
          <w:rFonts w:ascii="Times New Roman" w:eastAsia="Times New Roman" w:hAnsi="Times New Roman" w:cs="Times New Roman"/>
          <w:i/>
          <w:color w:val="000000"/>
        </w:rPr>
        <w:t>Sämtliche Schriften</w:t>
      </w:r>
      <w:r w:rsidRPr="008E0C6A">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 xml:space="preserve">cit., </w:t>
      </w:r>
      <w:r w:rsidR="00CC4C93">
        <w:rPr>
          <w:rFonts w:ascii="Times New Roman" w:eastAsia="Times New Roman" w:hAnsi="Times New Roman" w:cs="Times New Roman"/>
          <w:color w:val="000000"/>
        </w:rPr>
        <w:t>Bd. XVIII</w:t>
      </w:r>
      <w:r w:rsidRPr="008E0C6A">
        <w:rPr>
          <w:rFonts w:ascii="Times New Roman" w:eastAsia="Times New Roman" w:hAnsi="Times New Roman" w:cs="Times New Roman"/>
          <w:color w:val="000000"/>
        </w:rPr>
        <w:t>.</w:t>
      </w:r>
    </w:p>
    <w:p w14:paraId="2F093759" w14:textId="77777777" w:rsidR="00276556" w:rsidRPr="008E0C6A" w:rsidRDefault="00276556" w:rsidP="006B16F8">
      <w:pPr>
        <w:spacing w:line="360" w:lineRule="auto"/>
        <w:rPr>
          <w:rFonts w:ascii="Times New Roman" w:hAnsi="Times New Roman" w:cs="Times New Roman"/>
        </w:rPr>
      </w:pPr>
    </w:p>
    <w:p w14:paraId="0F9D130C"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J. Brucker, </w:t>
      </w:r>
      <w:r w:rsidRPr="008E0C6A">
        <w:rPr>
          <w:rFonts w:ascii="Times New Roman" w:hAnsi="Times New Roman" w:cs="Times New Roman"/>
          <w:i/>
        </w:rPr>
        <w:t>Historia critica philosophiae ab initiis monarchiae romanae ad repurgatas usque literas</w:t>
      </w:r>
      <w:r w:rsidRPr="008E0C6A">
        <w:rPr>
          <w:rFonts w:ascii="Times New Roman" w:hAnsi="Times New Roman" w:cs="Times New Roman"/>
        </w:rPr>
        <w:t>, Vol. I, Leipzig 1742.</w:t>
      </w:r>
    </w:p>
    <w:p w14:paraId="17F0724D" w14:textId="77777777" w:rsidR="00276556" w:rsidRPr="008E0C6A" w:rsidRDefault="00276556" w:rsidP="006B16F8">
      <w:pPr>
        <w:spacing w:line="360" w:lineRule="auto"/>
        <w:jc w:val="both"/>
        <w:rPr>
          <w:rFonts w:ascii="Times New Roman" w:hAnsi="Times New Roman" w:cs="Times New Roman"/>
        </w:rPr>
      </w:pPr>
    </w:p>
    <w:p w14:paraId="7E5DBDA0" w14:textId="77777777" w:rsidR="00276556" w:rsidRPr="008E0C6A" w:rsidRDefault="00276556" w:rsidP="006B16F8">
      <w:pPr>
        <w:spacing w:line="360" w:lineRule="auto"/>
        <w:jc w:val="both"/>
        <w:rPr>
          <w:rFonts w:ascii="Times New Roman" w:eastAsia="Times New Roman" w:hAnsi="Times New Roman" w:cs="Times New Roman"/>
          <w:iCs/>
          <w:color w:val="222222"/>
          <w:shd w:val="clear" w:color="auto" w:fill="FFFFFF"/>
        </w:rPr>
      </w:pPr>
      <w:r w:rsidRPr="008E0C6A">
        <w:rPr>
          <w:rFonts w:ascii="Times New Roman" w:eastAsia="Times New Roman" w:hAnsi="Times New Roman" w:cs="Times New Roman"/>
          <w:i/>
          <w:iCs/>
          <w:color w:val="222222"/>
          <w:shd w:val="clear" w:color="auto" w:fill="FFFFFF"/>
        </w:rPr>
        <w:t>- Historia critica philosophiae a mundi incalculabilis ad nostram usque aetatem deducta</w:t>
      </w:r>
      <w:r w:rsidRPr="008E0C6A">
        <w:rPr>
          <w:rFonts w:ascii="Times New Roman" w:eastAsia="Times New Roman" w:hAnsi="Times New Roman" w:cs="Times New Roman"/>
          <w:iCs/>
          <w:color w:val="222222"/>
          <w:shd w:val="clear" w:color="auto" w:fill="FFFFFF"/>
        </w:rPr>
        <w:t>, Vol. II, Lipsia 1742.</w:t>
      </w:r>
    </w:p>
    <w:p w14:paraId="6D40922B" w14:textId="77777777" w:rsidR="00276556" w:rsidRPr="008E0C6A" w:rsidRDefault="00276556" w:rsidP="006B16F8">
      <w:pPr>
        <w:spacing w:line="360" w:lineRule="auto"/>
      </w:pPr>
    </w:p>
    <w:p w14:paraId="61345CF4" w14:textId="77777777" w:rsidR="00276556" w:rsidRPr="008E0C6A" w:rsidRDefault="00276556" w:rsidP="006B16F8">
      <w:pPr>
        <w:spacing w:line="360" w:lineRule="auto"/>
        <w:jc w:val="both"/>
      </w:pPr>
      <w:r w:rsidRPr="008E0C6A">
        <w:rPr>
          <w:rFonts w:ascii="Times New Roman" w:hAnsi="Times New Roman" w:cs="Times New Roman"/>
        </w:rPr>
        <w:t xml:space="preserve">- </w:t>
      </w:r>
      <w:r w:rsidRPr="008E0C6A">
        <w:rPr>
          <w:rFonts w:ascii="Times New Roman" w:eastAsia="Times New Roman" w:hAnsi="Times New Roman" w:cs="Times New Roman"/>
          <w:i/>
          <w:iCs/>
          <w:color w:val="222222"/>
          <w:shd w:val="clear" w:color="auto" w:fill="FFFFFF"/>
        </w:rPr>
        <w:t>Historia critica philosophiae a mundi incalculabilis ad nostram usque aetatem deducta</w:t>
      </w:r>
      <w:r w:rsidRPr="008E0C6A">
        <w:rPr>
          <w:rFonts w:ascii="Times New Roman" w:eastAsia="Times New Roman" w:hAnsi="Times New Roman" w:cs="Times New Roman"/>
          <w:iCs/>
          <w:color w:val="222222"/>
          <w:shd w:val="clear" w:color="auto" w:fill="FFFFFF"/>
        </w:rPr>
        <w:t xml:space="preserve">, </w:t>
      </w:r>
      <w:r w:rsidRPr="008E0C6A">
        <w:rPr>
          <w:rFonts w:ascii="Times New Roman" w:hAnsi="Times New Roman" w:cs="Times New Roman"/>
        </w:rPr>
        <w:t>Vol. IV, Lipsia 1744.</w:t>
      </w:r>
    </w:p>
    <w:p w14:paraId="30DED4AF" w14:textId="77777777" w:rsidR="00276556" w:rsidRPr="008E0C6A" w:rsidRDefault="00276556" w:rsidP="006B16F8">
      <w:pPr>
        <w:spacing w:line="360" w:lineRule="auto"/>
        <w:jc w:val="both"/>
        <w:rPr>
          <w:rFonts w:ascii="Times New Roman" w:hAnsi="Times New Roman" w:cs="Times New Roman"/>
        </w:rPr>
      </w:pPr>
    </w:p>
    <w:p w14:paraId="6F920175" w14:textId="77777777" w:rsidR="00276556" w:rsidRPr="008E0C6A" w:rsidRDefault="00276556" w:rsidP="006B16F8">
      <w:pPr>
        <w:spacing w:line="360" w:lineRule="auto"/>
        <w:jc w:val="both"/>
        <w:rPr>
          <w:rFonts w:ascii="Times New Roman" w:eastAsia="Times New Roman" w:hAnsi="Times New Roman" w:cs="Times New Roman"/>
          <w:iCs/>
          <w:color w:val="222222"/>
          <w:shd w:val="clear" w:color="auto" w:fill="FFFFFF"/>
        </w:rPr>
      </w:pPr>
      <w:r w:rsidRPr="008E0C6A">
        <w:rPr>
          <w:rFonts w:ascii="Times New Roman" w:hAnsi="Times New Roman" w:cs="Times New Roman"/>
        </w:rPr>
        <w:t xml:space="preserve">J. F. Buddeus, </w:t>
      </w:r>
      <w:r w:rsidRPr="008E0C6A">
        <w:rPr>
          <w:rFonts w:ascii="Times New Roman" w:eastAsia="Times New Roman" w:hAnsi="Times New Roman" w:cs="Times New Roman"/>
          <w:i/>
          <w:iCs/>
          <w:color w:val="222222"/>
          <w:shd w:val="clear" w:color="auto" w:fill="FFFFFF"/>
        </w:rPr>
        <w:t>Defensio Cabbalae Ebraeorum contra auctores quosdam modernos</w:t>
      </w:r>
      <w:r w:rsidRPr="008E0C6A">
        <w:rPr>
          <w:rFonts w:ascii="Times New Roman" w:eastAsia="Times New Roman" w:hAnsi="Times New Roman" w:cs="Times New Roman"/>
          <w:iCs/>
          <w:color w:val="222222"/>
          <w:shd w:val="clear" w:color="auto" w:fill="FFFFFF"/>
        </w:rPr>
        <w:t>, Halle, 1700.</w:t>
      </w:r>
    </w:p>
    <w:p w14:paraId="4F4ED512" w14:textId="77777777" w:rsidR="00276556" w:rsidRPr="008E0C6A" w:rsidRDefault="00276556" w:rsidP="006B16F8">
      <w:pPr>
        <w:spacing w:line="360" w:lineRule="auto"/>
        <w:jc w:val="both"/>
        <w:rPr>
          <w:rFonts w:ascii="Times New Roman" w:eastAsia="Times New Roman" w:hAnsi="Times New Roman" w:cs="Times New Roman"/>
          <w:iCs/>
          <w:color w:val="222222"/>
          <w:shd w:val="clear" w:color="auto" w:fill="FFFFFF"/>
        </w:rPr>
      </w:pPr>
    </w:p>
    <w:p w14:paraId="1E50FF37"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J.G. Buhle, </w:t>
      </w:r>
      <w:r w:rsidRPr="008E0C6A">
        <w:rPr>
          <w:rFonts w:ascii="Times New Roman" w:hAnsi="Times New Roman" w:cs="Times New Roman"/>
          <w:i/>
        </w:rPr>
        <w:t>Lehrbuch der Geschichte der Philosophie</w:t>
      </w:r>
      <w:r w:rsidRPr="008E0C6A">
        <w:rPr>
          <w:rFonts w:ascii="Times New Roman" w:hAnsi="Times New Roman" w:cs="Times New Roman"/>
        </w:rPr>
        <w:t xml:space="preserve">, </w:t>
      </w:r>
      <w:r w:rsidRPr="008E0C6A">
        <w:rPr>
          <w:rFonts w:ascii="Times New Roman" w:hAnsi="Times New Roman" w:cs="Times New Roman"/>
          <w:i/>
        </w:rPr>
        <w:t>Erster Theil</w:t>
      </w:r>
      <w:r w:rsidRPr="008E0C6A">
        <w:rPr>
          <w:rFonts w:ascii="Times New Roman" w:hAnsi="Times New Roman" w:cs="Times New Roman"/>
        </w:rPr>
        <w:t>, Göttingen 1796.</w:t>
      </w:r>
    </w:p>
    <w:p w14:paraId="245B9522" w14:textId="77777777" w:rsidR="00276556" w:rsidRPr="008E0C6A" w:rsidRDefault="00276556" w:rsidP="006B16F8">
      <w:pPr>
        <w:spacing w:line="360" w:lineRule="auto"/>
        <w:jc w:val="both"/>
        <w:rPr>
          <w:rFonts w:ascii="Times New Roman" w:hAnsi="Times New Roman" w:cs="Times New Roman"/>
        </w:rPr>
      </w:pPr>
    </w:p>
    <w:p w14:paraId="6874FD02"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i/>
          <w:lang w:val="de-DE"/>
        </w:rPr>
        <w:t>- Lehrbuch der Geschichte der Philosophie und einer kritischen Literatur derselben</w:t>
      </w:r>
      <w:r w:rsidRPr="008E0C6A">
        <w:rPr>
          <w:rFonts w:ascii="Times New Roman" w:hAnsi="Times New Roman" w:cs="Times New Roman"/>
        </w:rPr>
        <w:t>, Bd. IV, Göttingen 1799.</w:t>
      </w:r>
    </w:p>
    <w:p w14:paraId="6B1B36C0" w14:textId="77777777" w:rsidR="00276556" w:rsidRPr="008E0C6A" w:rsidRDefault="00276556" w:rsidP="006B16F8">
      <w:pPr>
        <w:spacing w:line="360" w:lineRule="auto"/>
        <w:jc w:val="both"/>
      </w:pPr>
    </w:p>
    <w:p w14:paraId="0E105BB7" w14:textId="18118C5A" w:rsidR="00276556" w:rsidRPr="008E0C6A" w:rsidRDefault="00276556" w:rsidP="006B16F8">
      <w:pPr>
        <w:spacing w:line="360" w:lineRule="auto"/>
        <w:jc w:val="both"/>
      </w:pPr>
      <w:r w:rsidRPr="008E0C6A">
        <w:t>-</w:t>
      </w:r>
      <w:r w:rsidRPr="008E0C6A">
        <w:rPr>
          <w:rFonts w:ascii="Times New Roman" w:hAnsi="Times New Roman" w:cs="Times New Roman"/>
        </w:rPr>
        <w:t xml:space="preserve"> </w:t>
      </w:r>
      <w:r w:rsidRPr="008E0C6A">
        <w:rPr>
          <w:rFonts w:ascii="Times New Roman" w:hAnsi="Times New Roman" w:cs="Times New Roman"/>
          <w:i/>
          <w:lang w:val="de-DE"/>
        </w:rPr>
        <w:t>Lehrbuch der Geschichte der Philosophie und einer</w:t>
      </w:r>
      <w:r>
        <w:rPr>
          <w:rFonts w:ascii="Times New Roman" w:hAnsi="Times New Roman" w:cs="Times New Roman"/>
          <w:i/>
          <w:lang w:val="de-DE"/>
        </w:rPr>
        <w:t xml:space="preserve"> kritischen Literatur derselben</w:t>
      </w:r>
      <w:r w:rsidRPr="008E0C6A">
        <w:rPr>
          <w:rFonts w:ascii="Times New Roman" w:hAnsi="Times New Roman" w:cs="Times New Roman"/>
          <w:i/>
          <w:lang w:val="de-DE"/>
        </w:rPr>
        <w:t>,</w:t>
      </w:r>
      <w:r>
        <w:rPr>
          <w:rFonts w:ascii="Times New Roman" w:hAnsi="Times New Roman" w:cs="Times New Roman"/>
          <w:i/>
          <w:lang w:val="de-DE"/>
        </w:rPr>
        <w:t xml:space="preserve"> </w:t>
      </w:r>
      <w:r>
        <w:rPr>
          <w:rFonts w:ascii="Times New Roman" w:hAnsi="Times New Roman" w:cs="Times New Roman"/>
          <w:lang w:val="de-DE"/>
        </w:rPr>
        <w:t xml:space="preserve">Bd. VI, </w:t>
      </w:r>
      <w:r w:rsidRPr="008E0C6A">
        <w:rPr>
          <w:rFonts w:ascii="Times New Roman" w:hAnsi="Times New Roman" w:cs="Times New Roman"/>
        </w:rPr>
        <w:t>Göttingen 1801.</w:t>
      </w:r>
    </w:p>
    <w:p w14:paraId="249B279E" w14:textId="77777777" w:rsidR="00276556" w:rsidRPr="008E0C6A" w:rsidRDefault="00276556" w:rsidP="006B16F8">
      <w:pPr>
        <w:spacing w:line="360" w:lineRule="auto"/>
        <w:jc w:val="both"/>
        <w:rPr>
          <w:rFonts w:ascii="Times New Roman" w:hAnsi="Times New Roman" w:cs="Times New Roman"/>
        </w:rPr>
      </w:pPr>
    </w:p>
    <w:p w14:paraId="6F4B8B59"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A.C. Herrera, </w:t>
      </w:r>
      <w:r w:rsidRPr="008E0C6A">
        <w:rPr>
          <w:rFonts w:ascii="Times New Roman" w:hAnsi="Times New Roman" w:cs="Times New Roman"/>
          <w:i/>
        </w:rPr>
        <w:t>Porta Coelorum</w:t>
      </w:r>
      <w:r w:rsidRPr="008E0C6A">
        <w:rPr>
          <w:rFonts w:ascii="Times New Roman" w:hAnsi="Times New Roman" w:cs="Times New Roman"/>
        </w:rPr>
        <w:t xml:space="preserve">, in </w:t>
      </w:r>
      <w:r w:rsidRPr="008E0C6A">
        <w:rPr>
          <w:rFonts w:ascii="Times New Roman" w:hAnsi="Times New Roman" w:cs="Times New Roman"/>
          <w:i/>
        </w:rPr>
        <w:t>Kabbala Denudata</w:t>
      </w:r>
      <w:r w:rsidRPr="008E0C6A">
        <w:rPr>
          <w:rFonts w:ascii="Times New Roman" w:hAnsi="Times New Roman" w:cs="Times New Roman"/>
        </w:rPr>
        <w:t>, Sulzbach 1677.</w:t>
      </w:r>
    </w:p>
    <w:p w14:paraId="402DC2F4" w14:textId="77777777" w:rsidR="00276556" w:rsidRPr="008E0C6A" w:rsidRDefault="00276556" w:rsidP="006B16F8">
      <w:pPr>
        <w:spacing w:line="360" w:lineRule="auto"/>
        <w:jc w:val="both"/>
        <w:rPr>
          <w:rFonts w:ascii="Times New Roman" w:hAnsi="Times New Roman" w:cs="Times New Roman"/>
        </w:rPr>
      </w:pPr>
    </w:p>
    <w:p w14:paraId="369CDA97"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K.H. Heydenreich, </w:t>
      </w:r>
      <w:r w:rsidRPr="008E0C6A">
        <w:rPr>
          <w:rFonts w:ascii="Times New Roman" w:hAnsi="Times New Roman" w:cs="Times New Roman"/>
          <w:i/>
        </w:rPr>
        <w:t>Natur und Gott nach Spinoza</w:t>
      </w:r>
      <w:r w:rsidRPr="008E0C6A">
        <w:rPr>
          <w:rFonts w:ascii="Times New Roman" w:hAnsi="Times New Roman" w:cs="Times New Roman"/>
        </w:rPr>
        <w:t>, Leipzig 1789.</w:t>
      </w:r>
    </w:p>
    <w:p w14:paraId="3A7AA56D" w14:textId="77777777" w:rsidR="00276556" w:rsidRPr="008E0C6A" w:rsidRDefault="00276556" w:rsidP="006B16F8">
      <w:pPr>
        <w:spacing w:line="360" w:lineRule="auto"/>
        <w:jc w:val="both"/>
        <w:rPr>
          <w:rFonts w:ascii="Times New Roman" w:hAnsi="Times New Roman" w:cs="Times New Roman"/>
        </w:rPr>
      </w:pPr>
    </w:p>
    <w:p w14:paraId="0E2926E2" w14:textId="7E1DF15E"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F. Hölderlin, </w:t>
      </w:r>
      <w:r w:rsidRPr="008E0C6A">
        <w:rPr>
          <w:rFonts w:ascii="Times New Roman" w:hAnsi="Times New Roman" w:cs="Times New Roman"/>
          <w:i/>
        </w:rPr>
        <w:t>Briefe und Dokumente</w:t>
      </w:r>
      <w:r w:rsidRPr="008E0C6A">
        <w:rPr>
          <w:rFonts w:ascii="Times New Roman" w:hAnsi="Times New Roman" w:cs="Times New Roman"/>
        </w:rPr>
        <w:t xml:space="preserve">, in </w:t>
      </w:r>
      <w:r w:rsidRPr="008E0C6A">
        <w:rPr>
          <w:rFonts w:ascii="Times New Roman" w:hAnsi="Times New Roman" w:cs="Times New Roman"/>
          <w:i/>
        </w:rPr>
        <w:t>Sämtliche Werke</w:t>
      </w:r>
      <w:r>
        <w:rPr>
          <w:rFonts w:ascii="Times New Roman" w:hAnsi="Times New Roman" w:cs="Times New Roman"/>
        </w:rPr>
        <w:t xml:space="preserve">, </w:t>
      </w:r>
      <w:r w:rsidRPr="008E0C6A">
        <w:rPr>
          <w:rFonts w:ascii="Times New Roman" w:hAnsi="Times New Roman" w:cs="Times New Roman"/>
        </w:rPr>
        <w:t xml:space="preserve">hrsg. von D. E. Sattler, in </w:t>
      </w:r>
      <w:r w:rsidRPr="008E0C6A">
        <w:rPr>
          <w:rFonts w:ascii="Times New Roman" w:hAnsi="Times New Roman" w:cs="Times New Roman"/>
          <w:i/>
        </w:rPr>
        <w:t>Sämtliche Werke</w:t>
      </w:r>
      <w:r w:rsidRPr="008E0C6A">
        <w:rPr>
          <w:rFonts w:ascii="Times New Roman" w:hAnsi="Times New Roman" w:cs="Times New Roman"/>
        </w:rPr>
        <w:t>, Luchterhand, München 2011</w:t>
      </w:r>
      <w:r w:rsidR="00FA7319">
        <w:rPr>
          <w:rFonts w:ascii="Times New Roman" w:hAnsi="Times New Roman" w:cs="Times New Roman"/>
        </w:rPr>
        <w:t>,</w:t>
      </w:r>
      <w:r w:rsidR="00FA7319" w:rsidRPr="00FA7319">
        <w:rPr>
          <w:rFonts w:ascii="Times New Roman" w:hAnsi="Times New Roman" w:cs="Times New Roman"/>
        </w:rPr>
        <w:t xml:space="preserve"> </w:t>
      </w:r>
      <w:r w:rsidR="00FA7319" w:rsidRPr="008E0C6A">
        <w:rPr>
          <w:rFonts w:ascii="Times New Roman" w:hAnsi="Times New Roman" w:cs="Times New Roman"/>
        </w:rPr>
        <w:t>Bd. V</w:t>
      </w:r>
      <w:r w:rsidRPr="008E0C6A">
        <w:rPr>
          <w:rFonts w:ascii="Times New Roman" w:hAnsi="Times New Roman" w:cs="Times New Roman"/>
        </w:rPr>
        <w:t>.</w:t>
      </w:r>
    </w:p>
    <w:p w14:paraId="5BC56F3C" w14:textId="77777777" w:rsidR="00276556" w:rsidRPr="008E0C6A" w:rsidRDefault="00276556" w:rsidP="006B16F8">
      <w:pPr>
        <w:spacing w:line="360" w:lineRule="auto"/>
        <w:jc w:val="both"/>
        <w:rPr>
          <w:rFonts w:ascii="Times New Roman" w:hAnsi="Times New Roman" w:cs="Times New Roman"/>
        </w:rPr>
      </w:pPr>
    </w:p>
    <w:p w14:paraId="40494769" w14:textId="3CEA1D0B"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 </w:t>
      </w:r>
      <w:r w:rsidRPr="008E0C6A">
        <w:rPr>
          <w:rFonts w:ascii="Times New Roman" w:hAnsi="Times New Roman" w:cs="Times New Roman"/>
          <w:i/>
        </w:rPr>
        <w:t>Hyperion oder Der Eremit in Griechland</w:t>
      </w:r>
      <w:r w:rsidRPr="008E0C6A">
        <w:rPr>
          <w:rFonts w:ascii="Times New Roman" w:hAnsi="Times New Roman" w:cs="Times New Roman"/>
        </w:rPr>
        <w:t xml:space="preserve">, in </w:t>
      </w:r>
      <w:r w:rsidRPr="008E0C6A">
        <w:rPr>
          <w:rFonts w:ascii="Times New Roman" w:hAnsi="Times New Roman" w:cs="Times New Roman"/>
          <w:i/>
        </w:rPr>
        <w:t>Sämtliche Werke</w:t>
      </w:r>
      <w:r w:rsidRPr="008E0C6A">
        <w:rPr>
          <w:rFonts w:ascii="Times New Roman" w:hAnsi="Times New Roman" w:cs="Times New Roman"/>
        </w:rPr>
        <w:t xml:space="preserve">, </w:t>
      </w:r>
      <w:r>
        <w:rPr>
          <w:rFonts w:ascii="Times New Roman" w:hAnsi="Times New Roman" w:cs="Times New Roman"/>
        </w:rPr>
        <w:t xml:space="preserve">cit., </w:t>
      </w:r>
      <w:r w:rsidR="00CC4C93">
        <w:rPr>
          <w:rFonts w:ascii="Times New Roman" w:hAnsi="Times New Roman" w:cs="Times New Roman"/>
        </w:rPr>
        <w:t>Bd. IV</w:t>
      </w:r>
      <w:r w:rsidRPr="008E0C6A">
        <w:rPr>
          <w:rFonts w:ascii="Times New Roman" w:hAnsi="Times New Roman" w:cs="Times New Roman"/>
        </w:rPr>
        <w:t>.</w:t>
      </w:r>
    </w:p>
    <w:p w14:paraId="56454F39" w14:textId="77777777" w:rsidR="00276556" w:rsidRPr="008E0C6A" w:rsidRDefault="00276556" w:rsidP="006B16F8">
      <w:pPr>
        <w:spacing w:line="360" w:lineRule="auto"/>
        <w:jc w:val="both"/>
        <w:rPr>
          <w:rFonts w:ascii="Times New Roman" w:hAnsi="Times New Roman" w:cs="Times New Roman"/>
        </w:rPr>
      </w:pPr>
    </w:p>
    <w:p w14:paraId="3BFD33DF" w14:textId="79C300DD" w:rsidR="00276556" w:rsidRPr="008E0C6A" w:rsidRDefault="00276556" w:rsidP="006B16F8">
      <w:pPr>
        <w:spacing w:line="360" w:lineRule="auto"/>
        <w:jc w:val="both"/>
        <w:rPr>
          <w:rFonts w:ascii="Times New Roman" w:hAnsi="Times New Roman" w:cs="Times New Roman"/>
        </w:rPr>
      </w:pPr>
      <w:r w:rsidRPr="00B07100">
        <w:rPr>
          <w:rFonts w:ascii="Times New Roman" w:hAnsi="Times New Roman" w:cs="Times New Roman"/>
        </w:rPr>
        <w:t>F. H. Jacobi,</w:t>
      </w:r>
      <w:r w:rsidRPr="008E0C6A">
        <w:rPr>
          <w:rFonts w:ascii="Times New Roman" w:hAnsi="Times New Roman" w:cs="Times New Roman"/>
          <w:i/>
        </w:rPr>
        <w:t xml:space="preserve"> Schriften zum Spinozastreit</w:t>
      </w:r>
      <w:r w:rsidRPr="008E0C6A">
        <w:rPr>
          <w:rFonts w:ascii="Times New Roman" w:hAnsi="Times New Roman" w:cs="Times New Roman"/>
        </w:rPr>
        <w:t xml:space="preserve">, in </w:t>
      </w:r>
      <w:r w:rsidRPr="008E0C6A">
        <w:rPr>
          <w:rFonts w:ascii="Times New Roman" w:hAnsi="Times New Roman" w:cs="Times New Roman"/>
          <w:i/>
        </w:rPr>
        <w:t>Friedrich Heinrich Jacobi: Werke</w:t>
      </w:r>
      <w:r w:rsidRPr="008E0C6A">
        <w:rPr>
          <w:rFonts w:ascii="Times New Roman" w:hAnsi="Times New Roman" w:cs="Times New Roman"/>
        </w:rPr>
        <w:t>,</w:t>
      </w:r>
      <w:r>
        <w:rPr>
          <w:rFonts w:ascii="Times New Roman" w:hAnsi="Times New Roman" w:cs="Times New Roman"/>
        </w:rPr>
        <w:t xml:space="preserve"> </w:t>
      </w:r>
      <w:r w:rsidRPr="008E0C6A">
        <w:rPr>
          <w:rFonts w:ascii="Times New Roman" w:hAnsi="Times New Roman" w:cs="Times New Roman"/>
        </w:rPr>
        <w:t>hrsg. v</w:t>
      </w:r>
      <w:r w:rsidR="00FA7319">
        <w:rPr>
          <w:rFonts w:ascii="Times New Roman" w:hAnsi="Times New Roman" w:cs="Times New Roman"/>
        </w:rPr>
        <w:t>on K. Hammacher und I.-M. Piske</w:t>
      </w:r>
      <w:r w:rsidRPr="008E0C6A">
        <w:rPr>
          <w:rFonts w:ascii="Times New Roman" w:hAnsi="Times New Roman" w:cs="Times New Roman"/>
        </w:rPr>
        <w:t>, Felix Meiner Verlag, Hamburg 1998</w:t>
      </w:r>
      <w:r w:rsidR="00FA7319">
        <w:rPr>
          <w:rFonts w:ascii="Times New Roman" w:hAnsi="Times New Roman" w:cs="Times New Roman"/>
        </w:rPr>
        <w:t>, Bd. 1.</w:t>
      </w:r>
      <w:r w:rsidR="00FA7319" w:rsidRPr="008E0C6A">
        <w:rPr>
          <w:rFonts w:ascii="Times New Roman" w:hAnsi="Times New Roman" w:cs="Times New Roman"/>
        </w:rPr>
        <w:t>1</w:t>
      </w:r>
      <w:r w:rsidRPr="008E0C6A">
        <w:rPr>
          <w:rFonts w:ascii="Times New Roman" w:hAnsi="Times New Roman" w:cs="Times New Roman"/>
        </w:rPr>
        <w:t>.</w:t>
      </w:r>
    </w:p>
    <w:p w14:paraId="7BBBB6A5" w14:textId="77777777" w:rsidR="00276556" w:rsidRPr="008E0C6A" w:rsidRDefault="00276556" w:rsidP="006B16F8">
      <w:pPr>
        <w:spacing w:line="360" w:lineRule="auto"/>
        <w:jc w:val="both"/>
        <w:rPr>
          <w:rFonts w:ascii="Times New Roman" w:hAnsi="Times New Roman" w:cs="Times New Roman"/>
        </w:rPr>
      </w:pPr>
    </w:p>
    <w:p w14:paraId="6B5AC077"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 </w:t>
      </w:r>
      <w:r w:rsidRPr="008E0C6A">
        <w:rPr>
          <w:rFonts w:ascii="Times New Roman" w:hAnsi="Times New Roman" w:cs="Times New Roman"/>
          <w:i/>
        </w:rPr>
        <w:t>Jacobi an Fichte</w:t>
      </w:r>
      <w:r w:rsidRPr="008E0C6A">
        <w:rPr>
          <w:rFonts w:ascii="Times New Roman" w:hAnsi="Times New Roman" w:cs="Times New Roman"/>
        </w:rPr>
        <w:t xml:space="preserve">, in </w:t>
      </w:r>
      <w:r w:rsidRPr="008E0C6A">
        <w:rPr>
          <w:rFonts w:ascii="Times New Roman" w:hAnsi="Times New Roman" w:cs="Times New Roman"/>
          <w:i/>
        </w:rPr>
        <w:t>Friedrich Heinrich Jacobi Werke</w:t>
      </w:r>
      <w:r w:rsidRPr="008E0C6A">
        <w:rPr>
          <w:rFonts w:ascii="Times New Roman" w:hAnsi="Times New Roman" w:cs="Times New Roman"/>
        </w:rPr>
        <w:t>,</w:t>
      </w:r>
      <w:r>
        <w:rPr>
          <w:rFonts w:ascii="Times New Roman" w:hAnsi="Times New Roman" w:cs="Times New Roman"/>
        </w:rPr>
        <w:t xml:space="preserve"> cit.</w:t>
      </w:r>
      <w:r w:rsidRPr="008E0C6A">
        <w:rPr>
          <w:rFonts w:ascii="Times New Roman" w:hAnsi="Times New Roman" w:cs="Times New Roman"/>
        </w:rPr>
        <w:t xml:space="preserve"> </w:t>
      </w:r>
      <w:r>
        <w:rPr>
          <w:rFonts w:ascii="Times New Roman" w:hAnsi="Times New Roman" w:cs="Times New Roman"/>
        </w:rPr>
        <w:t>B</w:t>
      </w:r>
      <w:r w:rsidRPr="008E0C6A">
        <w:rPr>
          <w:rFonts w:ascii="Times New Roman" w:hAnsi="Times New Roman" w:cs="Times New Roman"/>
        </w:rPr>
        <w:t>d</w:t>
      </w:r>
      <w:r>
        <w:rPr>
          <w:rFonts w:ascii="Times New Roman" w:hAnsi="Times New Roman" w:cs="Times New Roman"/>
        </w:rPr>
        <w:t>. 2,1</w:t>
      </w:r>
      <w:r w:rsidRPr="008E0C6A">
        <w:rPr>
          <w:rFonts w:ascii="Times New Roman" w:hAnsi="Times New Roman" w:cs="Times New Roman"/>
        </w:rPr>
        <w:t>.</w:t>
      </w:r>
    </w:p>
    <w:p w14:paraId="13967E0F" w14:textId="77777777" w:rsidR="00276556" w:rsidRPr="008E0C6A" w:rsidRDefault="00276556" w:rsidP="006B16F8">
      <w:pPr>
        <w:spacing w:line="360" w:lineRule="auto"/>
        <w:jc w:val="both"/>
        <w:rPr>
          <w:rFonts w:ascii="Times New Roman" w:hAnsi="Times New Roman" w:cs="Times New Roman"/>
        </w:rPr>
      </w:pPr>
    </w:p>
    <w:p w14:paraId="0F6EBD6D" w14:textId="4724679D" w:rsidR="00276556" w:rsidRPr="00FA7319" w:rsidRDefault="00276556" w:rsidP="006B16F8">
      <w:pPr>
        <w:spacing w:line="360" w:lineRule="auto"/>
        <w:jc w:val="both"/>
        <w:rPr>
          <w:rFonts w:ascii="Times New Roman" w:hAnsi="Times New Roman" w:cs="Times New Roman"/>
          <w:b/>
        </w:rPr>
      </w:pPr>
      <w:r w:rsidRPr="008E0C6A">
        <w:rPr>
          <w:rFonts w:ascii="Times New Roman" w:hAnsi="Times New Roman" w:cs="Times New Roman"/>
        </w:rPr>
        <w:t xml:space="preserve">I. Kant, </w:t>
      </w:r>
      <w:r w:rsidRPr="008E0C6A">
        <w:rPr>
          <w:rFonts w:ascii="Times New Roman" w:hAnsi="Times New Roman" w:cs="Times New Roman"/>
          <w:i/>
        </w:rPr>
        <w:t>Kritik der reinen Vernunft</w:t>
      </w:r>
      <w:r w:rsidRPr="008E0C6A">
        <w:rPr>
          <w:rFonts w:ascii="Times New Roman" w:hAnsi="Times New Roman" w:cs="Times New Roman"/>
        </w:rPr>
        <w:t xml:space="preserve">, in </w:t>
      </w:r>
      <w:r w:rsidRPr="008E0C6A">
        <w:rPr>
          <w:rFonts w:ascii="Times New Roman" w:hAnsi="Times New Roman" w:cs="Times New Roman"/>
          <w:i/>
        </w:rPr>
        <w:t>Kant’s Werke</w:t>
      </w:r>
      <w:r w:rsidRPr="008E0C6A">
        <w:rPr>
          <w:rFonts w:ascii="Times New Roman" w:hAnsi="Times New Roman" w:cs="Times New Roman"/>
        </w:rPr>
        <w:t>, Georg Reimer Verlag, Berlin 1911</w:t>
      </w:r>
      <w:r w:rsidR="00FA7319">
        <w:rPr>
          <w:rFonts w:ascii="Times New Roman" w:hAnsi="Times New Roman" w:cs="Times New Roman"/>
        </w:rPr>
        <w:t xml:space="preserve">, </w:t>
      </w:r>
      <w:r w:rsidR="00FA7319" w:rsidRPr="008E0C6A">
        <w:rPr>
          <w:rFonts w:ascii="Times New Roman" w:hAnsi="Times New Roman" w:cs="Times New Roman"/>
        </w:rPr>
        <w:t>Bd. III</w:t>
      </w:r>
      <w:r w:rsidR="00FA7319">
        <w:rPr>
          <w:rFonts w:ascii="Times New Roman" w:hAnsi="Times New Roman" w:cs="Times New Roman"/>
        </w:rPr>
        <w:t>.</w:t>
      </w:r>
    </w:p>
    <w:p w14:paraId="2665A603" w14:textId="77777777" w:rsidR="00276556" w:rsidRPr="008E0C6A" w:rsidRDefault="00276556" w:rsidP="006B16F8">
      <w:pPr>
        <w:spacing w:line="360" w:lineRule="auto"/>
        <w:jc w:val="both"/>
        <w:rPr>
          <w:rFonts w:ascii="Times New Roman" w:hAnsi="Times New Roman" w:cs="Times New Roman"/>
        </w:rPr>
      </w:pPr>
    </w:p>
    <w:p w14:paraId="249E8966"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 </w:t>
      </w:r>
      <w:r w:rsidRPr="008E0C6A">
        <w:rPr>
          <w:rFonts w:ascii="Times New Roman" w:hAnsi="Times New Roman" w:cs="Times New Roman"/>
          <w:i/>
        </w:rPr>
        <w:t>Die Religion innerhalb der Grenzen der bloßen Vernunft</w:t>
      </w:r>
      <w:r w:rsidRPr="008E0C6A">
        <w:rPr>
          <w:rFonts w:ascii="Times New Roman" w:hAnsi="Times New Roman" w:cs="Times New Roman"/>
        </w:rPr>
        <w:t xml:space="preserve"> in </w:t>
      </w:r>
      <w:r w:rsidRPr="008E0C6A">
        <w:rPr>
          <w:rFonts w:ascii="Times New Roman" w:hAnsi="Times New Roman" w:cs="Times New Roman"/>
          <w:i/>
        </w:rPr>
        <w:t>Kant’s Werke</w:t>
      </w:r>
      <w:r w:rsidRPr="008E0C6A">
        <w:rPr>
          <w:rFonts w:ascii="Times New Roman" w:hAnsi="Times New Roman" w:cs="Times New Roman"/>
        </w:rPr>
        <w:t>,</w:t>
      </w:r>
      <w:r>
        <w:rPr>
          <w:rFonts w:ascii="Times New Roman" w:hAnsi="Times New Roman" w:cs="Times New Roman"/>
        </w:rPr>
        <w:t xml:space="preserve"> cit. Bd. VI</w:t>
      </w:r>
      <w:r w:rsidRPr="008E0C6A">
        <w:rPr>
          <w:rFonts w:ascii="Times New Roman" w:hAnsi="Times New Roman" w:cs="Times New Roman"/>
        </w:rPr>
        <w:t>.</w:t>
      </w:r>
    </w:p>
    <w:p w14:paraId="7109CC64" w14:textId="77777777" w:rsidR="00276556" w:rsidRPr="008E0C6A" w:rsidRDefault="00276556" w:rsidP="006B16F8">
      <w:pPr>
        <w:spacing w:line="360" w:lineRule="auto"/>
        <w:jc w:val="both"/>
        <w:rPr>
          <w:rFonts w:ascii="Times New Roman" w:hAnsi="Times New Roman" w:cs="Times New Roman"/>
        </w:rPr>
      </w:pPr>
    </w:p>
    <w:p w14:paraId="1FF31D54"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i/>
        </w:rPr>
        <w:t>- Muthmaßlicher Anfang der Menschengeschichte</w:t>
      </w:r>
      <w:r w:rsidRPr="008E0C6A">
        <w:rPr>
          <w:rFonts w:ascii="Times New Roman" w:hAnsi="Times New Roman" w:cs="Times New Roman"/>
        </w:rPr>
        <w:t xml:space="preserve">, in </w:t>
      </w:r>
      <w:r w:rsidRPr="008E0C6A">
        <w:rPr>
          <w:rFonts w:ascii="Times New Roman" w:hAnsi="Times New Roman" w:cs="Times New Roman"/>
          <w:i/>
        </w:rPr>
        <w:t>Kant’s Werke</w:t>
      </w:r>
      <w:r w:rsidRPr="008E0C6A">
        <w:rPr>
          <w:rFonts w:ascii="Times New Roman" w:hAnsi="Times New Roman" w:cs="Times New Roman"/>
        </w:rPr>
        <w:t xml:space="preserve">, </w:t>
      </w:r>
      <w:r>
        <w:rPr>
          <w:rFonts w:ascii="Times New Roman" w:hAnsi="Times New Roman" w:cs="Times New Roman"/>
        </w:rPr>
        <w:t>cit., Bd. VIII</w:t>
      </w:r>
      <w:r w:rsidRPr="008E0C6A">
        <w:rPr>
          <w:rFonts w:ascii="Times New Roman" w:hAnsi="Times New Roman" w:cs="Times New Roman"/>
        </w:rPr>
        <w:t>.</w:t>
      </w:r>
    </w:p>
    <w:p w14:paraId="4CB8E2E0" w14:textId="77777777" w:rsidR="00276556" w:rsidRPr="008E0C6A" w:rsidRDefault="00276556" w:rsidP="006B16F8">
      <w:pPr>
        <w:spacing w:line="360" w:lineRule="auto"/>
        <w:rPr>
          <w:rFonts w:ascii="Times New Roman" w:hAnsi="Times New Roman" w:cs="Times New Roman"/>
        </w:rPr>
      </w:pPr>
    </w:p>
    <w:p w14:paraId="6BE49087" w14:textId="6028A9FA"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G. W. Leibniz, </w:t>
      </w:r>
      <w:r w:rsidRPr="008E0C6A">
        <w:rPr>
          <w:rFonts w:ascii="Times New Roman" w:hAnsi="Times New Roman" w:cs="Times New Roman"/>
          <w:i/>
        </w:rPr>
        <w:t>Monadologie</w:t>
      </w:r>
      <w:r w:rsidRPr="008E0C6A">
        <w:rPr>
          <w:rFonts w:ascii="Times New Roman" w:hAnsi="Times New Roman" w:cs="Times New Roman"/>
        </w:rPr>
        <w:t xml:space="preserve">, in </w:t>
      </w:r>
      <w:r w:rsidRPr="008E0C6A">
        <w:rPr>
          <w:rFonts w:ascii="Times New Roman" w:hAnsi="Times New Roman" w:cs="Times New Roman"/>
          <w:i/>
        </w:rPr>
        <w:t>Die philosophischen Schriften von Gottfried Wilhelm Leibniz</w:t>
      </w:r>
      <w:r w:rsidRPr="008E0C6A">
        <w:rPr>
          <w:rFonts w:ascii="Times New Roman" w:hAnsi="Times New Roman" w:cs="Times New Roman"/>
        </w:rPr>
        <w:t xml:space="preserve">, hrsg. von C. </w:t>
      </w:r>
      <w:r w:rsidR="00FA7319">
        <w:rPr>
          <w:rFonts w:ascii="Times New Roman" w:hAnsi="Times New Roman" w:cs="Times New Roman"/>
        </w:rPr>
        <w:t>J. Gerhardt, Georg Olms Verlag</w:t>
      </w:r>
      <w:r>
        <w:rPr>
          <w:rFonts w:ascii="Times New Roman" w:hAnsi="Times New Roman" w:cs="Times New Roman"/>
        </w:rPr>
        <w:t xml:space="preserve">, </w:t>
      </w:r>
      <w:r w:rsidRPr="008E0C6A">
        <w:rPr>
          <w:rFonts w:ascii="Times New Roman" w:hAnsi="Times New Roman" w:cs="Times New Roman"/>
        </w:rPr>
        <w:t>Hildesheim New York 1978</w:t>
      </w:r>
      <w:r w:rsidR="00FA7319">
        <w:rPr>
          <w:rFonts w:ascii="Times New Roman" w:hAnsi="Times New Roman" w:cs="Times New Roman"/>
        </w:rPr>
        <w:t xml:space="preserve">, </w:t>
      </w:r>
      <w:r w:rsidR="00FA7319" w:rsidRPr="008E0C6A">
        <w:rPr>
          <w:rFonts w:ascii="Times New Roman" w:hAnsi="Times New Roman" w:cs="Times New Roman"/>
        </w:rPr>
        <w:t>Bd. VI</w:t>
      </w:r>
      <w:r w:rsidRPr="008E0C6A">
        <w:rPr>
          <w:rFonts w:ascii="Times New Roman" w:hAnsi="Times New Roman" w:cs="Times New Roman"/>
        </w:rPr>
        <w:t>.</w:t>
      </w:r>
    </w:p>
    <w:p w14:paraId="3A896D20" w14:textId="77777777" w:rsidR="00276556" w:rsidRPr="008E0C6A" w:rsidRDefault="00276556" w:rsidP="006B16F8">
      <w:pPr>
        <w:spacing w:line="360" w:lineRule="auto"/>
        <w:jc w:val="both"/>
        <w:rPr>
          <w:rFonts w:ascii="Times New Roman" w:hAnsi="Times New Roman" w:cs="Times New Roman"/>
        </w:rPr>
      </w:pPr>
    </w:p>
    <w:p w14:paraId="452C359F" w14:textId="36F0E0DA"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rPr>
        <w:t xml:space="preserve">S. </w:t>
      </w:r>
      <w:r w:rsidR="00B07100">
        <w:rPr>
          <w:rFonts w:ascii="Times New Roman" w:hAnsi="Times New Roman" w:cs="Times New Roman"/>
        </w:rPr>
        <w:t>Mai</w:t>
      </w:r>
      <w:r w:rsidRPr="008E0C6A">
        <w:rPr>
          <w:rFonts w:ascii="Times New Roman" w:hAnsi="Times New Roman" w:cs="Times New Roman"/>
        </w:rPr>
        <w:t xml:space="preserve">mon, </w:t>
      </w:r>
      <w:r w:rsidRPr="008E0C6A">
        <w:rPr>
          <w:rFonts w:ascii="Times New Roman" w:hAnsi="Times New Roman" w:cs="Times New Roman"/>
          <w:i/>
        </w:rPr>
        <w:t>Lebensgeschichte</w:t>
      </w:r>
      <w:r w:rsidRPr="008E0C6A">
        <w:rPr>
          <w:rFonts w:ascii="Times New Roman" w:hAnsi="Times New Roman" w:cs="Times New Roman"/>
        </w:rPr>
        <w:t xml:space="preserve">, in </w:t>
      </w:r>
      <w:r w:rsidRPr="008E0C6A">
        <w:rPr>
          <w:rFonts w:ascii="Times New Roman" w:hAnsi="Times New Roman" w:cs="Times New Roman"/>
          <w:i/>
        </w:rPr>
        <w:t>Salomon Maimon Gesammlte Werke</w:t>
      </w:r>
      <w:r w:rsidRPr="008E0C6A">
        <w:rPr>
          <w:rFonts w:ascii="Times New Roman" w:hAnsi="Times New Roman" w:cs="Times New Roman"/>
        </w:rPr>
        <w:t xml:space="preserve">, </w:t>
      </w:r>
      <w:r>
        <w:rPr>
          <w:rFonts w:ascii="Times New Roman" w:hAnsi="Times New Roman" w:cs="Times New Roman"/>
        </w:rPr>
        <w:t xml:space="preserve">hrsg. von </w:t>
      </w:r>
      <w:r w:rsidRPr="008E0C6A">
        <w:rPr>
          <w:rFonts w:ascii="Times New Roman" w:hAnsi="Times New Roman" w:cs="Times New Roman"/>
        </w:rPr>
        <w:t>V. Verra, Georg Olm Verlag, Hilderheim- Zürich-New York 2000.</w:t>
      </w:r>
    </w:p>
    <w:p w14:paraId="4C11FC2A" w14:textId="77777777" w:rsidR="00276556" w:rsidRPr="008E0C6A" w:rsidRDefault="00276556" w:rsidP="006B16F8">
      <w:pPr>
        <w:spacing w:line="360" w:lineRule="auto"/>
        <w:jc w:val="both"/>
        <w:rPr>
          <w:rFonts w:ascii="Times New Roman" w:hAnsi="Times New Roman" w:cs="Times New Roman"/>
        </w:rPr>
      </w:pPr>
    </w:p>
    <w:p w14:paraId="6903A435" w14:textId="77777777" w:rsidR="00276556" w:rsidRDefault="00276556" w:rsidP="006B16F8">
      <w:pPr>
        <w:pStyle w:val="Testonotaapidipagina"/>
        <w:spacing w:line="360" w:lineRule="auto"/>
        <w:jc w:val="both"/>
        <w:rPr>
          <w:rFonts w:ascii="Times New Roman" w:hAnsi="Times New Roman" w:cs="Times New Roman"/>
        </w:rPr>
      </w:pPr>
      <w:r w:rsidRPr="008E0C6A">
        <w:rPr>
          <w:rFonts w:ascii="Times New Roman" w:hAnsi="Times New Roman" w:cs="Times New Roman"/>
        </w:rPr>
        <w:t xml:space="preserve">H. More, </w:t>
      </w:r>
      <w:r w:rsidRPr="008E0C6A">
        <w:rPr>
          <w:rFonts w:ascii="Times New Roman" w:hAnsi="Times New Roman" w:cs="Times New Roman"/>
          <w:i/>
        </w:rPr>
        <w:t>Fundamenta Philosophiae sive Cabbalae Aëto-Paedo-Melissae</w:t>
      </w:r>
      <w:r w:rsidRPr="008E0C6A">
        <w:rPr>
          <w:rFonts w:ascii="Times New Roman" w:hAnsi="Times New Roman" w:cs="Times New Roman"/>
        </w:rPr>
        <w:t xml:space="preserve">, in </w:t>
      </w:r>
      <w:r w:rsidRPr="008E0C6A">
        <w:rPr>
          <w:rFonts w:ascii="Times New Roman" w:hAnsi="Times New Roman" w:cs="Times New Roman"/>
          <w:i/>
        </w:rPr>
        <w:t>Kabbala Denudata</w:t>
      </w:r>
      <w:r w:rsidRPr="008E0C6A">
        <w:rPr>
          <w:rFonts w:ascii="Times New Roman" w:hAnsi="Times New Roman" w:cs="Times New Roman"/>
        </w:rPr>
        <w:t>, cit.</w:t>
      </w:r>
    </w:p>
    <w:p w14:paraId="22812BB1" w14:textId="77777777" w:rsidR="00B07100" w:rsidRPr="008E0C6A" w:rsidRDefault="00B07100" w:rsidP="006B16F8">
      <w:pPr>
        <w:pStyle w:val="Testonotaapidipagina"/>
        <w:spacing w:line="360" w:lineRule="auto"/>
        <w:jc w:val="both"/>
        <w:rPr>
          <w:rFonts w:ascii="Times New Roman" w:hAnsi="Times New Roman" w:cs="Times New Roman"/>
        </w:rPr>
      </w:pPr>
    </w:p>
    <w:p w14:paraId="51EA3F09" w14:textId="48999DD9" w:rsidR="00B07100" w:rsidRDefault="00B07100" w:rsidP="00B07100">
      <w:pPr>
        <w:spacing w:line="360" w:lineRule="auto"/>
        <w:jc w:val="both"/>
        <w:rPr>
          <w:rFonts w:ascii="Times New Roman" w:hAnsi="Times New Roman" w:cs="Times New Roman"/>
        </w:rPr>
      </w:pPr>
      <w:r w:rsidRPr="008E0C6A">
        <w:rPr>
          <w:rFonts w:ascii="Times New Roman" w:hAnsi="Times New Roman" w:cs="Times New Roman"/>
        </w:rPr>
        <w:t xml:space="preserve">J. Reuchlin, </w:t>
      </w:r>
      <w:r w:rsidRPr="008E0C6A">
        <w:rPr>
          <w:rFonts w:ascii="Times New Roman" w:hAnsi="Times New Roman" w:cs="Times New Roman"/>
          <w:i/>
        </w:rPr>
        <w:t>De arte cabalistica</w:t>
      </w:r>
      <w:r w:rsidRPr="008E0C6A">
        <w:rPr>
          <w:rFonts w:ascii="Times New Roman" w:hAnsi="Times New Roman" w:cs="Times New Roman"/>
        </w:rPr>
        <w:t>, hrsg. von W.-W. Ehelrs und F. Felgentreu,</w:t>
      </w:r>
      <w:r w:rsidRPr="00323D11">
        <w:rPr>
          <w:rFonts w:ascii="Times New Roman" w:hAnsi="Times New Roman" w:cs="Times New Roman"/>
        </w:rPr>
        <w:t xml:space="preserve"> </w:t>
      </w:r>
      <w:r w:rsidRPr="008E0C6A">
        <w:rPr>
          <w:rFonts w:ascii="Times New Roman" w:hAnsi="Times New Roman" w:cs="Times New Roman"/>
        </w:rPr>
        <w:t>Frommann-</w:t>
      </w:r>
      <w:r>
        <w:rPr>
          <w:rFonts w:ascii="Times New Roman" w:hAnsi="Times New Roman" w:cs="Times New Roman"/>
        </w:rPr>
        <w:t>Holzboog Verlag, Stuttgart 2010</w:t>
      </w:r>
      <w:r w:rsidR="00FA7319">
        <w:rPr>
          <w:rFonts w:ascii="Times New Roman" w:hAnsi="Times New Roman" w:cs="Times New Roman"/>
        </w:rPr>
        <w:t xml:space="preserve">, </w:t>
      </w:r>
      <w:r w:rsidR="00FA7319" w:rsidRPr="008E0C6A">
        <w:rPr>
          <w:rFonts w:ascii="Times New Roman" w:hAnsi="Times New Roman" w:cs="Times New Roman"/>
        </w:rPr>
        <w:t>Bd. II,1</w:t>
      </w:r>
      <w:r w:rsidRPr="008E0C6A">
        <w:rPr>
          <w:rFonts w:ascii="Times New Roman" w:hAnsi="Times New Roman" w:cs="Times New Roman"/>
        </w:rPr>
        <w:t>.</w:t>
      </w:r>
    </w:p>
    <w:p w14:paraId="4E749F94" w14:textId="77777777" w:rsidR="00F86E66" w:rsidRDefault="00F86E66" w:rsidP="00B07100">
      <w:pPr>
        <w:spacing w:line="360" w:lineRule="auto"/>
        <w:jc w:val="both"/>
        <w:rPr>
          <w:rFonts w:ascii="Times New Roman" w:hAnsi="Times New Roman" w:cs="Times New Roman"/>
        </w:rPr>
      </w:pPr>
    </w:p>
    <w:p w14:paraId="7DB60FA9" w14:textId="77777777" w:rsidR="00F86E66" w:rsidRPr="008E0C6A" w:rsidRDefault="00F86E66" w:rsidP="00F86E66">
      <w:pPr>
        <w:spacing w:line="360" w:lineRule="auto"/>
        <w:jc w:val="both"/>
        <w:rPr>
          <w:rFonts w:ascii="Times New Roman" w:hAnsi="Times New Roman" w:cs="Times New Roman"/>
        </w:rPr>
      </w:pPr>
      <w:r w:rsidRPr="008E0C6A">
        <w:rPr>
          <w:rFonts w:ascii="Times New Roman" w:hAnsi="Times New Roman" w:cs="Times New Roman"/>
        </w:rPr>
        <w:t xml:space="preserve">C. Ripa, </w:t>
      </w:r>
      <w:r w:rsidRPr="008E0C6A">
        <w:rPr>
          <w:rFonts w:ascii="Times New Roman" w:hAnsi="Times New Roman" w:cs="Times New Roman"/>
          <w:i/>
        </w:rPr>
        <w:t>Iconologia</w:t>
      </w:r>
      <w:r w:rsidRPr="008E0C6A">
        <w:rPr>
          <w:rFonts w:ascii="Times New Roman" w:hAnsi="Times New Roman" w:cs="Times New Roman"/>
        </w:rPr>
        <w:t>, a cura di S. Maffei, Einaudi, Torino 2012.</w:t>
      </w:r>
    </w:p>
    <w:p w14:paraId="5F1E513D" w14:textId="77777777" w:rsidR="00276556" w:rsidRPr="008E0C6A" w:rsidRDefault="00276556" w:rsidP="006B16F8">
      <w:pPr>
        <w:spacing w:line="360" w:lineRule="auto"/>
        <w:jc w:val="both"/>
        <w:rPr>
          <w:rFonts w:ascii="Times New Roman" w:hAnsi="Times New Roman" w:cs="Times New Roman"/>
        </w:rPr>
      </w:pPr>
    </w:p>
    <w:p w14:paraId="291F8946" w14:textId="77777777" w:rsidR="00276556"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K. Rosenkranz, </w:t>
      </w:r>
      <w:r w:rsidRPr="008E0C6A">
        <w:rPr>
          <w:rFonts w:ascii="Times New Roman" w:hAnsi="Times New Roman" w:cs="Times New Roman"/>
          <w:i/>
        </w:rPr>
        <w:t>Schelling. Vorlesungen, gehalten im Sommer 1842 an der Universität Königsberg</w:t>
      </w:r>
      <w:r w:rsidRPr="008E0C6A">
        <w:rPr>
          <w:rFonts w:ascii="Times New Roman" w:hAnsi="Times New Roman" w:cs="Times New Roman"/>
        </w:rPr>
        <w:t>, Scientia Verlag, Aalen 1969, (prima ed. Danzig 1843).</w:t>
      </w:r>
    </w:p>
    <w:p w14:paraId="39E1FC6D" w14:textId="77777777" w:rsidR="00276556" w:rsidRPr="008E0C6A" w:rsidRDefault="00276556" w:rsidP="006B16F8">
      <w:pPr>
        <w:spacing w:line="360" w:lineRule="auto"/>
        <w:jc w:val="both"/>
        <w:rPr>
          <w:rFonts w:ascii="Times New Roman" w:hAnsi="Times New Roman" w:cs="Times New Roman"/>
        </w:rPr>
      </w:pPr>
    </w:p>
    <w:p w14:paraId="2D9DABB4" w14:textId="77777777" w:rsidR="00276556"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 </w:t>
      </w:r>
      <w:r w:rsidRPr="008E0C6A">
        <w:rPr>
          <w:rFonts w:ascii="Times New Roman" w:hAnsi="Times New Roman" w:cs="Times New Roman"/>
          <w:i/>
        </w:rPr>
        <w:t>Hegel’s Leben</w:t>
      </w:r>
      <w:r w:rsidRPr="008E0C6A">
        <w:rPr>
          <w:rFonts w:ascii="Times New Roman" w:hAnsi="Times New Roman" w:cs="Times New Roman"/>
        </w:rPr>
        <w:t>, Duncker und Humbolt Verlag, Berlin 1844.</w:t>
      </w:r>
    </w:p>
    <w:p w14:paraId="7FFC2B8E" w14:textId="77777777" w:rsidR="00B07100" w:rsidRPr="008E0C6A" w:rsidRDefault="00B07100" w:rsidP="006B16F8">
      <w:pPr>
        <w:spacing w:line="360" w:lineRule="auto"/>
        <w:jc w:val="both"/>
        <w:rPr>
          <w:rFonts w:ascii="Times New Roman" w:hAnsi="Times New Roman" w:cs="Times New Roman"/>
        </w:rPr>
      </w:pPr>
    </w:p>
    <w:p w14:paraId="30491D77" w14:textId="77777777" w:rsidR="00B07100" w:rsidRPr="008E0C6A" w:rsidRDefault="00B07100" w:rsidP="00B07100">
      <w:pPr>
        <w:spacing w:line="360" w:lineRule="auto"/>
        <w:jc w:val="both"/>
        <w:rPr>
          <w:rFonts w:ascii="Times New Roman" w:hAnsi="Times New Roman" w:cs="Times New Roman"/>
        </w:rPr>
      </w:pPr>
      <w:r w:rsidRPr="008E0C6A">
        <w:rPr>
          <w:rFonts w:ascii="Times New Roman" w:hAnsi="Times New Roman" w:cs="Times New Roman"/>
        </w:rPr>
        <w:t xml:space="preserve">F. Rosenzweig, </w:t>
      </w:r>
      <w:r w:rsidRPr="008E0C6A">
        <w:rPr>
          <w:rFonts w:ascii="Times New Roman" w:hAnsi="Times New Roman" w:cs="Times New Roman"/>
          <w:i/>
        </w:rPr>
        <w:t>Der Stern der Erlösung</w:t>
      </w:r>
      <w:r w:rsidRPr="008E0C6A">
        <w:rPr>
          <w:rFonts w:ascii="Times New Roman" w:hAnsi="Times New Roman" w:cs="Times New Roman"/>
        </w:rPr>
        <w:t>, hrsg. von A. Raffelt, Universitätsbibliothek, Freiburg in Breisgau 2002.</w:t>
      </w:r>
    </w:p>
    <w:p w14:paraId="7D679A34" w14:textId="77777777" w:rsidR="00276556" w:rsidRPr="008E0C6A" w:rsidRDefault="00276556" w:rsidP="006B16F8">
      <w:pPr>
        <w:spacing w:line="360" w:lineRule="auto"/>
        <w:jc w:val="both"/>
        <w:rPr>
          <w:rFonts w:ascii="Times New Roman" w:hAnsi="Times New Roman" w:cs="Times New Roman"/>
        </w:rPr>
      </w:pPr>
    </w:p>
    <w:p w14:paraId="0A93B9A6" w14:textId="7CD07AD6"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F.W.J. Schelling, </w:t>
      </w:r>
      <w:r w:rsidRPr="008E0C6A">
        <w:rPr>
          <w:rFonts w:ascii="Times New Roman" w:hAnsi="Times New Roman" w:cs="Times New Roman"/>
          <w:i/>
        </w:rPr>
        <w:t>Briefe über Dogmatismus und Kritizismus</w:t>
      </w:r>
      <w:r w:rsidRPr="008E0C6A">
        <w:rPr>
          <w:rFonts w:ascii="Times New Roman" w:hAnsi="Times New Roman" w:cs="Times New Roman"/>
        </w:rPr>
        <w:t xml:space="preserve">, in </w:t>
      </w:r>
      <w:r w:rsidRPr="008E0C6A">
        <w:rPr>
          <w:rFonts w:ascii="Times New Roman" w:hAnsi="Times New Roman" w:cs="Times New Roman"/>
          <w:i/>
        </w:rPr>
        <w:t>Schellings Werke</w:t>
      </w:r>
      <w:r w:rsidR="00842904">
        <w:rPr>
          <w:rFonts w:ascii="Times New Roman" w:hAnsi="Times New Roman" w:cs="Times New Roman"/>
        </w:rPr>
        <w:t>, hrsg. von M. Schröter</w:t>
      </w:r>
      <w:r w:rsidRPr="008E0C6A">
        <w:rPr>
          <w:rFonts w:ascii="Times New Roman" w:hAnsi="Times New Roman" w:cs="Times New Roman"/>
        </w:rPr>
        <w:t>, C. H. Beck Verlag, München 1958</w:t>
      </w:r>
      <w:r w:rsidR="00842904">
        <w:rPr>
          <w:rFonts w:ascii="Times New Roman" w:hAnsi="Times New Roman" w:cs="Times New Roman"/>
        </w:rPr>
        <w:t xml:space="preserve">, </w:t>
      </w:r>
      <w:r w:rsidR="00842904" w:rsidRPr="008E0C6A">
        <w:rPr>
          <w:rFonts w:ascii="Times New Roman" w:hAnsi="Times New Roman" w:cs="Times New Roman"/>
        </w:rPr>
        <w:t>Bd. I</w:t>
      </w:r>
      <w:r w:rsidRPr="008E0C6A">
        <w:rPr>
          <w:rFonts w:ascii="Times New Roman" w:hAnsi="Times New Roman" w:cs="Times New Roman"/>
        </w:rPr>
        <w:t>.</w:t>
      </w:r>
    </w:p>
    <w:p w14:paraId="6045D96A" w14:textId="77777777" w:rsidR="00276556" w:rsidRPr="008E0C6A" w:rsidRDefault="00276556" w:rsidP="006B16F8">
      <w:pPr>
        <w:spacing w:line="360" w:lineRule="auto"/>
        <w:jc w:val="both"/>
        <w:rPr>
          <w:rFonts w:ascii="Times New Roman" w:hAnsi="Times New Roman" w:cs="Times New Roman"/>
        </w:rPr>
      </w:pPr>
    </w:p>
    <w:p w14:paraId="72B2959D" w14:textId="77777777" w:rsidR="00276556" w:rsidRPr="00D14160" w:rsidRDefault="00276556" w:rsidP="006B16F8">
      <w:pPr>
        <w:spacing w:line="360" w:lineRule="auto"/>
        <w:jc w:val="both"/>
        <w:rPr>
          <w:rFonts w:ascii="Times New Roman" w:hAnsi="Times New Roman" w:cs="Times New Roman"/>
        </w:rPr>
      </w:pPr>
      <w:r w:rsidRPr="00D14160">
        <w:rPr>
          <w:rFonts w:ascii="Times New Roman" w:hAnsi="Times New Roman" w:cs="Times New Roman"/>
        </w:rPr>
        <w:t xml:space="preserve">- </w:t>
      </w:r>
      <w:r w:rsidRPr="00D14160">
        <w:rPr>
          <w:rFonts w:ascii="Times New Roman" w:hAnsi="Times New Roman" w:cs="Times New Roman"/>
          <w:i/>
        </w:rPr>
        <w:t>Darstellung meines Systems der Philosophie</w:t>
      </w:r>
      <w:r w:rsidRPr="00D14160">
        <w:rPr>
          <w:rFonts w:ascii="Times New Roman" w:hAnsi="Times New Roman" w:cs="Times New Roman"/>
        </w:rPr>
        <w:t xml:space="preserve">, in </w:t>
      </w:r>
      <w:r w:rsidRPr="00D14160">
        <w:rPr>
          <w:rFonts w:ascii="Times New Roman" w:hAnsi="Times New Roman" w:cs="Times New Roman"/>
          <w:i/>
        </w:rPr>
        <w:t>Schelling Werke</w:t>
      </w:r>
      <w:r w:rsidRPr="00D14160">
        <w:rPr>
          <w:rFonts w:ascii="Times New Roman" w:hAnsi="Times New Roman" w:cs="Times New Roman"/>
        </w:rPr>
        <w:t>, cit., Bd. III.</w:t>
      </w:r>
    </w:p>
    <w:p w14:paraId="4822ADA2" w14:textId="77777777" w:rsidR="00276556" w:rsidRPr="00D14160" w:rsidRDefault="00276556" w:rsidP="006B16F8">
      <w:pPr>
        <w:spacing w:line="360" w:lineRule="auto"/>
        <w:jc w:val="both"/>
        <w:rPr>
          <w:rFonts w:ascii="Times New Roman" w:hAnsi="Times New Roman" w:cs="Times New Roman"/>
        </w:rPr>
      </w:pPr>
    </w:p>
    <w:p w14:paraId="756BF498" w14:textId="77777777" w:rsidR="00276556" w:rsidRPr="00D14160" w:rsidRDefault="00276556" w:rsidP="006B16F8">
      <w:pPr>
        <w:spacing w:line="360" w:lineRule="auto"/>
        <w:jc w:val="both"/>
        <w:rPr>
          <w:rFonts w:ascii="Times New Roman" w:hAnsi="Times New Roman" w:cs="Times New Roman"/>
        </w:rPr>
      </w:pPr>
      <w:r w:rsidRPr="00D14160">
        <w:rPr>
          <w:rFonts w:ascii="Times New Roman" w:hAnsi="Times New Roman" w:cs="Times New Roman"/>
        </w:rPr>
        <w:t xml:space="preserve">- </w:t>
      </w:r>
      <w:r w:rsidRPr="00D14160">
        <w:rPr>
          <w:rFonts w:ascii="Times New Roman" w:hAnsi="Times New Roman" w:cs="Times New Roman"/>
          <w:i/>
        </w:rPr>
        <w:t>Bruno, oder über die göttliche und natürliche Prinzip der Dinge</w:t>
      </w:r>
      <w:r w:rsidRPr="00D14160">
        <w:rPr>
          <w:rFonts w:ascii="Times New Roman" w:hAnsi="Times New Roman" w:cs="Times New Roman"/>
        </w:rPr>
        <w:t xml:space="preserve">, in </w:t>
      </w:r>
      <w:r w:rsidRPr="00D14160">
        <w:rPr>
          <w:rFonts w:ascii="Times New Roman" w:hAnsi="Times New Roman" w:cs="Times New Roman"/>
          <w:i/>
        </w:rPr>
        <w:t>Schellings Werke</w:t>
      </w:r>
      <w:r w:rsidRPr="00D14160">
        <w:rPr>
          <w:rFonts w:ascii="Times New Roman" w:hAnsi="Times New Roman" w:cs="Times New Roman"/>
        </w:rPr>
        <w:t>, cit., Bd. III.</w:t>
      </w:r>
    </w:p>
    <w:p w14:paraId="499355C4" w14:textId="77777777" w:rsidR="00276556" w:rsidRPr="00D14160" w:rsidRDefault="00276556" w:rsidP="006B16F8">
      <w:pPr>
        <w:spacing w:line="360" w:lineRule="auto"/>
        <w:jc w:val="both"/>
        <w:rPr>
          <w:rFonts w:ascii="Times New Roman" w:hAnsi="Times New Roman" w:cs="Times New Roman"/>
        </w:rPr>
      </w:pPr>
    </w:p>
    <w:p w14:paraId="344E256F" w14:textId="77777777" w:rsidR="00276556" w:rsidRPr="00D14160" w:rsidRDefault="00276556" w:rsidP="006B16F8">
      <w:pPr>
        <w:spacing w:line="360" w:lineRule="auto"/>
        <w:jc w:val="both"/>
        <w:rPr>
          <w:rFonts w:ascii="Times New Roman" w:hAnsi="Times New Roman" w:cs="Times New Roman"/>
        </w:rPr>
      </w:pPr>
      <w:r w:rsidRPr="00D14160">
        <w:rPr>
          <w:rFonts w:ascii="Times New Roman" w:hAnsi="Times New Roman" w:cs="Times New Roman"/>
        </w:rPr>
        <w:t xml:space="preserve">- </w:t>
      </w:r>
      <w:r w:rsidRPr="00D14160">
        <w:rPr>
          <w:rFonts w:ascii="Times New Roman" w:hAnsi="Times New Roman" w:cs="Times New Roman"/>
          <w:i/>
        </w:rPr>
        <w:t>Philosophie und Religion</w:t>
      </w:r>
      <w:r w:rsidRPr="00D14160">
        <w:rPr>
          <w:rFonts w:ascii="Times New Roman" w:hAnsi="Times New Roman" w:cs="Times New Roman"/>
        </w:rPr>
        <w:t xml:space="preserve">, in </w:t>
      </w:r>
      <w:r w:rsidRPr="00D14160">
        <w:rPr>
          <w:rFonts w:ascii="Times New Roman" w:hAnsi="Times New Roman" w:cs="Times New Roman"/>
          <w:i/>
        </w:rPr>
        <w:t>Schellings Werke</w:t>
      </w:r>
      <w:r w:rsidRPr="00D14160">
        <w:rPr>
          <w:rFonts w:ascii="Times New Roman" w:hAnsi="Times New Roman" w:cs="Times New Roman"/>
        </w:rPr>
        <w:t>, cit., Bd. IV.</w:t>
      </w:r>
    </w:p>
    <w:p w14:paraId="34FED603" w14:textId="77777777" w:rsidR="00276556" w:rsidRPr="00D14160" w:rsidRDefault="00276556" w:rsidP="006B16F8">
      <w:pPr>
        <w:spacing w:line="360" w:lineRule="auto"/>
        <w:jc w:val="both"/>
        <w:rPr>
          <w:rFonts w:ascii="Times New Roman" w:hAnsi="Times New Roman" w:cs="Times New Roman"/>
        </w:rPr>
      </w:pPr>
    </w:p>
    <w:p w14:paraId="2F64FDE5" w14:textId="097B0ADB" w:rsidR="00276556" w:rsidRPr="00D14160" w:rsidRDefault="00276556" w:rsidP="006B16F8">
      <w:pPr>
        <w:spacing w:line="360" w:lineRule="auto"/>
        <w:jc w:val="both"/>
        <w:rPr>
          <w:rFonts w:ascii="Times New Roman" w:hAnsi="Times New Roman" w:cs="Times New Roman"/>
        </w:rPr>
      </w:pPr>
      <w:r w:rsidRPr="00D14160">
        <w:rPr>
          <w:rFonts w:ascii="Times New Roman" w:hAnsi="Times New Roman" w:cs="Times New Roman"/>
        </w:rPr>
        <w:t xml:space="preserve">- </w:t>
      </w:r>
      <w:r w:rsidRPr="00D14160">
        <w:rPr>
          <w:rFonts w:ascii="Times New Roman" w:hAnsi="Times New Roman" w:cs="Times New Roman"/>
          <w:i/>
        </w:rPr>
        <w:t>Über das Wesen der menschlichen Freiheit und die damit zusammenhängenden Gegenstände</w:t>
      </w:r>
      <w:r w:rsidRPr="00D14160">
        <w:rPr>
          <w:rFonts w:ascii="Times New Roman" w:hAnsi="Times New Roman" w:cs="Times New Roman"/>
        </w:rPr>
        <w:t xml:space="preserve">, in </w:t>
      </w:r>
      <w:r w:rsidRPr="00D14160">
        <w:rPr>
          <w:rFonts w:ascii="Times New Roman" w:hAnsi="Times New Roman" w:cs="Times New Roman"/>
          <w:i/>
        </w:rPr>
        <w:t>Schellings Werke</w:t>
      </w:r>
      <w:r w:rsidR="00D14160" w:rsidRPr="00D14160">
        <w:rPr>
          <w:rFonts w:ascii="Times New Roman" w:hAnsi="Times New Roman" w:cs="Times New Roman"/>
        </w:rPr>
        <w:t>, cit., Bd. IV</w:t>
      </w:r>
      <w:r w:rsidRPr="00D14160">
        <w:rPr>
          <w:rFonts w:ascii="Times New Roman" w:hAnsi="Times New Roman" w:cs="Times New Roman"/>
        </w:rPr>
        <w:t>.</w:t>
      </w:r>
    </w:p>
    <w:p w14:paraId="506CF4A3" w14:textId="77777777" w:rsidR="00276556" w:rsidRPr="00D14160" w:rsidRDefault="00276556" w:rsidP="006B16F8">
      <w:pPr>
        <w:spacing w:line="360" w:lineRule="auto"/>
        <w:jc w:val="both"/>
        <w:rPr>
          <w:rFonts w:ascii="Times New Roman" w:hAnsi="Times New Roman" w:cs="Times New Roman"/>
        </w:rPr>
      </w:pPr>
    </w:p>
    <w:p w14:paraId="7EF1DEC3" w14:textId="1FC8374C" w:rsidR="00276556" w:rsidRPr="00D14160" w:rsidRDefault="00276556" w:rsidP="006B16F8">
      <w:pPr>
        <w:spacing w:line="360" w:lineRule="auto"/>
        <w:jc w:val="both"/>
        <w:rPr>
          <w:rFonts w:ascii="Times New Roman" w:hAnsi="Times New Roman" w:cs="Times New Roman"/>
        </w:rPr>
      </w:pPr>
      <w:r w:rsidRPr="00D14160">
        <w:rPr>
          <w:rFonts w:ascii="Times New Roman" w:hAnsi="Times New Roman" w:cs="Times New Roman"/>
        </w:rPr>
        <w:t xml:space="preserve">- </w:t>
      </w:r>
      <w:r w:rsidRPr="00D14160">
        <w:rPr>
          <w:rFonts w:ascii="Times New Roman" w:hAnsi="Times New Roman" w:cs="Times New Roman"/>
          <w:i/>
        </w:rPr>
        <w:t>Stuttgarter Privatvorlesungen</w:t>
      </w:r>
      <w:r w:rsidRPr="00D14160">
        <w:rPr>
          <w:rFonts w:ascii="Times New Roman" w:hAnsi="Times New Roman" w:cs="Times New Roman"/>
        </w:rPr>
        <w:t>, in</w:t>
      </w:r>
      <w:r w:rsidRPr="00D14160">
        <w:rPr>
          <w:rFonts w:ascii="Times New Roman" w:hAnsi="Times New Roman" w:cs="Times New Roman"/>
          <w:i/>
        </w:rPr>
        <w:t xml:space="preserve"> Schellings Werke</w:t>
      </w:r>
      <w:r w:rsidR="00D14160" w:rsidRPr="00D14160">
        <w:rPr>
          <w:rFonts w:ascii="Times New Roman" w:hAnsi="Times New Roman" w:cs="Times New Roman"/>
        </w:rPr>
        <w:t xml:space="preserve">, cit., Bd. </w:t>
      </w:r>
      <w:r w:rsidRPr="00D14160">
        <w:rPr>
          <w:rFonts w:ascii="Times New Roman" w:hAnsi="Times New Roman" w:cs="Times New Roman"/>
        </w:rPr>
        <w:t>I</w:t>
      </w:r>
      <w:r w:rsidR="00D14160" w:rsidRPr="00D14160">
        <w:rPr>
          <w:rFonts w:ascii="Times New Roman" w:hAnsi="Times New Roman" w:cs="Times New Roman"/>
        </w:rPr>
        <w:t>V</w:t>
      </w:r>
      <w:r w:rsidRPr="00D14160">
        <w:rPr>
          <w:rFonts w:ascii="Times New Roman" w:hAnsi="Times New Roman" w:cs="Times New Roman"/>
        </w:rPr>
        <w:t>.</w:t>
      </w:r>
    </w:p>
    <w:p w14:paraId="1FFBDEF8" w14:textId="77777777" w:rsidR="00276556" w:rsidRPr="00D14160" w:rsidRDefault="00276556" w:rsidP="006B16F8">
      <w:pPr>
        <w:spacing w:line="360" w:lineRule="auto"/>
        <w:jc w:val="both"/>
        <w:rPr>
          <w:rFonts w:ascii="Times New Roman" w:hAnsi="Times New Roman" w:cs="Times New Roman"/>
        </w:rPr>
      </w:pPr>
    </w:p>
    <w:p w14:paraId="1CA59AF3" w14:textId="16DA1C56" w:rsidR="00276556" w:rsidRPr="00D14160" w:rsidRDefault="00276556" w:rsidP="006B16F8">
      <w:pPr>
        <w:spacing w:line="360" w:lineRule="auto"/>
        <w:jc w:val="both"/>
        <w:rPr>
          <w:rFonts w:ascii="Times New Roman" w:hAnsi="Times New Roman" w:cs="Times New Roman"/>
        </w:rPr>
      </w:pPr>
      <w:r w:rsidRPr="00D14160">
        <w:rPr>
          <w:rFonts w:ascii="Times New Roman" w:hAnsi="Times New Roman" w:cs="Times New Roman"/>
        </w:rPr>
        <w:t xml:space="preserve">- </w:t>
      </w:r>
      <w:r w:rsidRPr="00D14160">
        <w:rPr>
          <w:rFonts w:ascii="Times New Roman" w:hAnsi="Times New Roman" w:cs="Times New Roman"/>
          <w:i/>
        </w:rPr>
        <w:t>Vierter Ergänzungband. Persönliches Nachlaß 1810-1850</w:t>
      </w:r>
      <w:r w:rsidRPr="00D14160">
        <w:rPr>
          <w:rFonts w:ascii="Times New Roman" w:hAnsi="Times New Roman" w:cs="Times New Roman"/>
        </w:rPr>
        <w:t xml:space="preserve">, in </w:t>
      </w:r>
      <w:r w:rsidRPr="00D14160">
        <w:rPr>
          <w:rFonts w:ascii="Times New Roman" w:hAnsi="Times New Roman" w:cs="Times New Roman"/>
          <w:i/>
        </w:rPr>
        <w:t>Schellings Werke</w:t>
      </w:r>
      <w:r w:rsidRPr="00D14160">
        <w:rPr>
          <w:rFonts w:ascii="Times New Roman" w:hAnsi="Times New Roman" w:cs="Times New Roman"/>
        </w:rPr>
        <w:t xml:space="preserve">, cit. </w:t>
      </w:r>
    </w:p>
    <w:p w14:paraId="1836215D" w14:textId="77777777" w:rsidR="00276556" w:rsidRPr="00D14160" w:rsidRDefault="00276556" w:rsidP="006B16F8">
      <w:pPr>
        <w:spacing w:line="360" w:lineRule="auto"/>
        <w:jc w:val="both"/>
        <w:rPr>
          <w:rFonts w:ascii="Times New Roman" w:hAnsi="Times New Roman" w:cs="Times New Roman"/>
        </w:rPr>
      </w:pPr>
    </w:p>
    <w:p w14:paraId="6FAAB264" w14:textId="77777777" w:rsidR="00276556" w:rsidRPr="00D14160" w:rsidRDefault="00276556" w:rsidP="006B16F8">
      <w:pPr>
        <w:spacing w:line="360" w:lineRule="auto"/>
        <w:jc w:val="both"/>
        <w:rPr>
          <w:rFonts w:ascii="Times New Roman" w:hAnsi="Times New Roman" w:cs="Times New Roman"/>
        </w:rPr>
      </w:pPr>
      <w:r w:rsidRPr="00D14160">
        <w:rPr>
          <w:rFonts w:ascii="Times New Roman" w:hAnsi="Times New Roman" w:cs="Times New Roman"/>
        </w:rPr>
        <w:t xml:space="preserve">- </w:t>
      </w:r>
      <w:r w:rsidRPr="00D14160">
        <w:rPr>
          <w:rFonts w:ascii="Times New Roman" w:hAnsi="Times New Roman" w:cs="Times New Roman"/>
          <w:i/>
        </w:rPr>
        <w:t>Briefe und Dokumente III</w:t>
      </w:r>
      <w:r w:rsidRPr="00D14160">
        <w:rPr>
          <w:rFonts w:ascii="Times New Roman" w:hAnsi="Times New Roman" w:cs="Times New Roman"/>
        </w:rPr>
        <w:t>, hrsg. von H. Fuhrmans, Bouvier, Bonn 1975.</w:t>
      </w:r>
    </w:p>
    <w:p w14:paraId="028A9CB8" w14:textId="77777777" w:rsidR="00276556" w:rsidRPr="00D14160" w:rsidRDefault="00276556" w:rsidP="006B16F8">
      <w:pPr>
        <w:spacing w:line="360" w:lineRule="auto"/>
        <w:jc w:val="both"/>
        <w:rPr>
          <w:rFonts w:ascii="Times New Roman" w:hAnsi="Times New Roman" w:cs="Times New Roman"/>
        </w:rPr>
      </w:pPr>
    </w:p>
    <w:p w14:paraId="1AAAF206" w14:textId="77777777" w:rsidR="00276556" w:rsidRPr="008E0C6A" w:rsidRDefault="00276556" w:rsidP="006B16F8">
      <w:pPr>
        <w:spacing w:line="360" w:lineRule="auto"/>
        <w:jc w:val="both"/>
        <w:rPr>
          <w:rFonts w:ascii="Times New Roman" w:eastAsia="Times New Roman" w:hAnsi="Times New Roman" w:cs="Times New Roman"/>
          <w:color w:val="000000"/>
        </w:rPr>
      </w:pPr>
      <w:r w:rsidRPr="00D14160">
        <w:rPr>
          <w:rFonts w:ascii="Times New Roman" w:hAnsi="Times New Roman" w:cs="Times New Roman"/>
        </w:rPr>
        <w:t xml:space="preserve">F. Schiller, </w:t>
      </w:r>
      <w:r w:rsidRPr="00D14160">
        <w:rPr>
          <w:rFonts w:ascii="Times New Roman" w:eastAsia="Times New Roman" w:hAnsi="Times New Roman" w:cs="Times New Roman"/>
          <w:i/>
          <w:color w:val="000000"/>
        </w:rPr>
        <w:t>Über die ästethische Erziehung des Menschen in einer Reihe von Briefen</w:t>
      </w:r>
      <w:r w:rsidRPr="00D14160">
        <w:rPr>
          <w:rFonts w:ascii="Times New Roman" w:eastAsia="Times New Roman" w:hAnsi="Times New Roman" w:cs="Times New Roman"/>
          <w:color w:val="000000"/>
        </w:rPr>
        <w:t xml:space="preserve">, in </w:t>
      </w:r>
      <w:r w:rsidRPr="00D14160">
        <w:rPr>
          <w:rFonts w:ascii="Times New Roman" w:eastAsia="Times New Roman" w:hAnsi="Times New Roman" w:cs="Times New Roman"/>
          <w:i/>
          <w:color w:val="000000"/>
        </w:rPr>
        <w:t>Schillers Werke</w:t>
      </w:r>
      <w:r w:rsidRPr="00D14160">
        <w:rPr>
          <w:rFonts w:ascii="Times New Roman" w:eastAsia="Times New Roman" w:hAnsi="Times New Roman" w:cs="Times New Roman"/>
          <w:color w:val="000000"/>
        </w:rPr>
        <w:t>, Nationalausgabe, Weimer 1943.</w:t>
      </w:r>
    </w:p>
    <w:p w14:paraId="2B1385FB" w14:textId="77777777" w:rsidR="00276556" w:rsidRPr="008E0C6A" w:rsidRDefault="00276556" w:rsidP="006B16F8">
      <w:pPr>
        <w:spacing w:line="360" w:lineRule="auto"/>
        <w:jc w:val="both"/>
        <w:rPr>
          <w:rFonts w:ascii="Times New Roman" w:eastAsia="Times New Roman" w:hAnsi="Times New Roman" w:cs="Times New Roman"/>
          <w:color w:val="000000"/>
        </w:rPr>
      </w:pPr>
    </w:p>
    <w:p w14:paraId="2707C8B3"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B. Spinoza, </w:t>
      </w:r>
      <w:r w:rsidRPr="008E0C6A">
        <w:rPr>
          <w:rFonts w:ascii="Times New Roman" w:hAnsi="Times New Roman" w:cs="Times New Roman"/>
          <w:i/>
        </w:rPr>
        <w:t>Baruch Spinoza</w:t>
      </w:r>
      <w:r w:rsidRPr="008E0C6A">
        <w:rPr>
          <w:rFonts w:ascii="Times New Roman" w:hAnsi="Times New Roman" w:cs="Times New Roman"/>
        </w:rPr>
        <w:t xml:space="preserve">. </w:t>
      </w:r>
      <w:r w:rsidRPr="008E0C6A">
        <w:rPr>
          <w:rFonts w:ascii="Times New Roman" w:hAnsi="Times New Roman" w:cs="Times New Roman"/>
          <w:i/>
        </w:rPr>
        <w:t>Tutte le opere</w:t>
      </w:r>
      <w:r w:rsidRPr="008E0C6A">
        <w:rPr>
          <w:rFonts w:ascii="Times New Roman" w:hAnsi="Times New Roman" w:cs="Times New Roman"/>
        </w:rPr>
        <w:t>, a cura di A. Sangiacomo, Bompiani, Milano 2010.</w:t>
      </w:r>
    </w:p>
    <w:p w14:paraId="70AB3EAF" w14:textId="77777777" w:rsidR="00276556" w:rsidRPr="008E0C6A" w:rsidRDefault="00276556" w:rsidP="006B16F8">
      <w:pPr>
        <w:spacing w:line="360" w:lineRule="auto"/>
        <w:jc w:val="both"/>
        <w:rPr>
          <w:rFonts w:ascii="Times New Roman" w:hAnsi="Times New Roman" w:cs="Times New Roman"/>
        </w:rPr>
      </w:pPr>
    </w:p>
    <w:p w14:paraId="7490C099" w14:textId="77777777" w:rsidR="00276556" w:rsidRPr="00323D11" w:rsidRDefault="00276556" w:rsidP="006B16F8">
      <w:pPr>
        <w:spacing w:line="360" w:lineRule="auto"/>
        <w:jc w:val="both"/>
        <w:rPr>
          <w:rFonts w:ascii="Times New Roman" w:hAnsi="Times New Roman" w:cs="Times New Roman"/>
        </w:rPr>
      </w:pPr>
      <w:r w:rsidRPr="00613A0F">
        <w:rPr>
          <w:rFonts w:ascii="Times New Roman" w:hAnsi="Times New Roman" w:cs="Times New Roman"/>
        </w:rPr>
        <w:t xml:space="preserve">W.G. Tennemann, </w:t>
      </w:r>
      <w:r w:rsidRPr="00613A0F">
        <w:rPr>
          <w:rFonts w:ascii="Times New Roman" w:hAnsi="Times New Roman" w:cs="Times New Roman"/>
          <w:i/>
        </w:rPr>
        <w:t>Geschichte der Philosophie</w:t>
      </w:r>
      <w:r w:rsidRPr="00613A0F">
        <w:rPr>
          <w:rFonts w:ascii="Times New Roman" w:hAnsi="Times New Roman" w:cs="Times New Roman"/>
        </w:rPr>
        <w:t xml:space="preserve">, </w:t>
      </w:r>
      <w:r w:rsidRPr="00323D11">
        <w:rPr>
          <w:rFonts w:ascii="Times New Roman" w:hAnsi="Times New Roman" w:cs="Times New Roman"/>
        </w:rPr>
        <w:t>Bd</w:t>
      </w:r>
      <w:r>
        <w:rPr>
          <w:rFonts w:ascii="Times New Roman" w:hAnsi="Times New Roman" w:cs="Times New Roman"/>
        </w:rPr>
        <w:t>.</w:t>
      </w:r>
      <w:r w:rsidRPr="00323D11">
        <w:rPr>
          <w:rFonts w:ascii="Times New Roman" w:hAnsi="Times New Roman" w:cs="Times New Roman"/>
        </w:rPr>
        <w:t xml:space="preserve"> I, Leipzig 1798.</w:t>
      </w:r>
    </w:p>
    <w:p w14:paraId="7039A5B1" w14:textId="77777777" w:rsidR="00276556" w:rsidRPr="00613A0F" w:rsidRDefault="00276556" w:rsidP="006B16F8">
      <w:pPr>
        <w:spacing w:line="360" w:lineRule="auto"/>
        <w:jc w:val="both"/>
        <w:rPr>
          <w:rFonts w:ascii="Times New Roman" w:hAnsi="Times New Roman" w:cs="Times New Roman"/>
        </w:rPr>
      </w:pPr>
    </w:p>
    <w:p w14:paraId="6E9657BB" w14:textId="77777777" w:rsidR="00276556" w:rsidRPr="00613A0F" w:rsidRDefault="00276556" w:rsidP="006B16F8">
      <w:pPr>
        <w:spacing w:line="360" w:lineRule="auto"/>
        <w:jc w:val="both"/>
        <w:rPr>
          <w:rFonts w:ascii="Times New Roman" w:hAnsi="Times New Roman" w:cs="Times New Roman"/>
        </w:rPr>
      </w:pPr>
      <w:r w:rsidRPr="00613A0F">
        <w:rPr>
          <w:rFonts w:ascii="Times New Roman" w:hAnsi="Times New Roman" w:cs="Times New Roman"/>
          <w:i/>
        </w:rPr>
        <w:t>- Geschichte der Philosophie</w:t>
      </w:r>
      <w:r w:rsidRPr="00613A0F">
        <w:rPr>
          <w:rFonts w:ascii="Times New Roman" w:hAnsi="Times New Roman" w:cs="Times New Roman"/>
        </w:rPr>
        <w:t>, Bd. IX, Leipzig 1814.</w:t>
      </w:r>
    </w:p>
    <w:p w14:paraId="18B09872" w14:textId="77777777" w:rsidR="00276556" w:rsidRPr="00613A0F" w:rsidRDefault="00276556" w:rsidP="006B16F8">
      <w:pPr>
        <w:spacing w:line="360" w:lineRule="auto"/>
        <w:jc w:val="both"/>
      </w:pPr>
    </w:p>
    <w:p w14:paraId="49D51C77" w14:textId="77777777" w:rsidR="00276556" w:rsidRPr="00613A0F" w:rsidRDefault="00276556" w:rsidP="006B16F8">
      <w:pPr>
        <w:spacing w:line="360" w:lineRule="auto"/>
        <w:jc w:val="both"/>
      </w:pPr>
      <w:r w:rsidRPr="00613A0F">
        <w:t xml:space="preserve">- </w:t>
      </w:r>
      <w:r w:rsidRPr="00613A0F">
        <w:rPr>
          <w:rFonts w:ascii="Times New Roman" w:hAnsi="Times New Roman" w:cs="Times New Roman"/>
          <w:i/>
        </w:rPr>
        <w:t>Geschichte der Philosophie</w:t>
      </w:r>
      <w:r w:rsidRPr="00613A0F">
        <w:rPr>
          <w:rFonts w:ascii="Times New Roman" w:hAnsi="Times New Roman" w:cs="Times New Roman"/>
        </w:rPr>
        <w:t>, Bd. X, Leipzig 1817.</w:t>
      </w:r>
    </w:p>
    <w:p w14:paraId="0FB1CCE9" w14:textId="77777777" w:rsidR="00276556" w:rsidRPr="008E0C6A" w:rsidRDefault="00276556" w:rsidP="006B16F8">
      <w:pPr>
        <w:spacing w:line="360" w:lineRule="auto"/>
        <w:jc w:val="both"/>
        <w:rPr>
          <w:rFonts w:ascii="Times New Roman" w:hAnsi="Times New Roman" w:cs="Times New Roman"/>
        </w:rPr>
      </w:pPr>
    </w:p>
    <w:p w14:paraId="330ECBA8"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D. Tiedemann, </w:t>
      </w:r>
      <w:r w:rsidRPr="008E0C6A">
        <w:rPr>
          <w:rFonts w:ascii="Times New Roman" w:hAnsi="Times New Roman" w:cs="Times New Roman"/>
          <w:i/>
        </w:rPr>
        <w:t>Geist der speculativen Philosophie</w:t>
      </w:r>
      <w:r w:rsidRPr="008E0C6A">
        <w:rPr>
          <w:rFonts w:ascii="Times New Roman" w:hAnsi="Times New Roman" w:cs="Times New Roman"/>
        </w:rPr>
        <w:t xml:space="preserve">, </w:t>
      </w:r>
      <w:r w:rsidRPr="008E0C6A">
        <w:rPr>
          <w:rFonts w:ascii="Times New Roman" w:hAnsi="Times New Roman" w:cs="Times New Roman"/>
          <w:i/>
        </w:rPr>
        <w:t>Erster Band</w:t>
      </w:r>
      <w:r w:rsidRPr="008E0C6A">
        <w:rPr>
          <w:rFonts w:ascii="Times New Roman" w:hAnsi="Times New Roman" w:cs="Times New Roman"/>
        </w:rPr>
        <w:t>, Marburg 1791.</w:t>
      </w:r>
    </w:p>
    <w:p w14:paraId="59A7AAAC" w14:textId="77777777" w:rsidR="00276556" w:rsidRPr="008E0C6A" w:rsidRDefault="00276556" w:rsidP="006B16F8">
      <w:pPr>
        <w:spacing w:line="360" w:lineRule="auto"/>
        <w:jc w:val="both"/>
        <w:rPr>
          <w:rFonts w:ascii="Times New Roman" w:hAnsi="Times New Roman" w:cs="Times New Roman"/>
        </w:rPr>
      </w:pPr>
    </w:p>
    <w:p w14:paraId="362D65A7" w14:textId="5268A75F" w:rsidR="00276556" w:rsidRPr="006F5B3F" w:rsidRDefault="00276556" w:rsidP="006F5B3F">
      <w:pPr>
        <w:spacing w:line="360" w:lineRule="auto"/>
        <w:jc w:val="both"/>
        <w:rPr>
          <w:rFonts w:ascii="Times New Roman" w:hAnsi="Times New Roman" w:cs="Times New Roman"/>
        </w:rPr>
      </w:pPr>
      <w:r w:rsidRPr="008E0C6A">
        <w:rPr>
          <w:rFonts w:ascii="Times New Roman" w:hAnsi="Times New Roman" w:cs="Times New Roman"/>
          <w:i/>
        </w:rPr>
        <w:t>- Geist der speculativen Philosophie</w:t>
      </w:r>
      <w:r w:rsidRPr="008E0C6A">
        <w:rPr>
          <w:rFonts w:ascii="Times New Roman" w:hAnsi="Times New Roman" w:cs="Times New Roman"/>
        </w:rPr>
        <w:t xml:space="preserve">, </w:t>
      </w:r>
      <w:r w:rsidRPr="008E0C6A">
        <w:rPr>
          <w:rFonts w:ascii="Times New Roman" w:hAnsi="Times New Roman" w:cs="Times New Roman"/>
          <w:i/>
        </w:rPr>
        <w:t>Dritter Band</w:t>
      </w:r>
      <w:r w:rsidRPr="008E0C6A">
        <w:rPr>
          <w:rFonts w:ascii="Times New Roman" w:hAnsi="Times New Roman" w:cs="Times New Roman"/>
        </w:rPr>
        <w:t>, Marburg 1793.</w:t>
      </w:r>
    </w:p>
    <w:p w14:paraId="06A1975B" w14:textId="77777777" w:rsidR="00276556" w:rsidRPr="008E0C6A" w:rsidRDefault="00276556" w:rsidP="006B16F8">
      <w:pPr>
        <w:spacing w:line="360" w:lineRule="auto"/>
      </w:pPr>
      <w:r w:rsidRPr="008E0C6A">
        <w:t xml:space="preserve">- </w:t>
      </w:r>
      <w:r w:rsidRPr="008E0C6A">
        <w:rPr>
          <w:rFonts w:ascii="Times New Roman" w:hAnsi="Times New Roman" w:cs="Times New Roman"/>
          <w:i/>
        </w:rPr>
        <w:t>Geist der speculativen Philosophie</w:t>
      </w:r>
      <w:r w:rsidRPr="008E0C6A">
        <w:rPr>
          <w:rFonts w:ascii="Times New Roman" w:hAnsi="Times New Roman" w:cs="Times New Roman"/>
        </w:rPr>
        <w:t xml:space="preserve">, </w:t>
      </w:r>
      <w:r w:rsidRPr="008E0C6A">
        <w:rPr>
          <w:rFonts w:ascii="Times New Roman" w:hAnsi="Times New Roman" w:cs="Times New Roman"/>
          <w:i/>
        </w:rPr>
        <w:t>Sechster Band, welcher von Thomas Hobbes bis auf Georg Berkley geht</w:t>
      </w:r>
      <w:r w:rsidRPr="008E0C6A">
        <w:rPr>
          <w:rFonts w:ascii="Times New Roman" w:hAnsi="Times New Roman" w:cs="Times New Roman"/>
        </w:rPr>
        <w:t>, Marburg 1797</w:t>
      </w:r>
    </w:p>
    <w:p w14:paraId="00382FD1" w14:textId="77777777" w:rsidR="00276556" w:rsidRPr="008E0C6A" w:rsidRDefault="00276556" w:rsidP="006B16F8">
      <w:pPr>
        <w:spacing w:line="360" w:lineRule="auto"/>
        <w:jc w:val="both"/>
        <w:rPr>
          <w:rFonts w:ascii="Times New Roman" w:hAnsi="Times New Roman" w:cs="Times New Roman"/>
        </w:rPr>
      </w:pPr>
    </w:p>
    <w:p w14:paraId="068F096B" w14:textId="48622D48"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J. G. Wachter, </w:t>
      </w:r>
      <w:r w:rsidR="00A76F84">
        <w:rPr>
          <w:rFonts w:ascii="Times New Roman" w:hAnsi="Times New Roman" w:cs="Times New Roman"/>
          <w:i/>
        </w:rPr>
        <w:t>Spinozismus in J</w:t>
      </w:r>
      <w:r w:rsidR="00A76F84">
        <w:rPr>
          <w:rFonts w:ascii="Times New Roman" w:eastAsia="Times New Roman" w:hAnsi="Times New Roman" w:cs="Times New Roman"/>
          <w:i/>
          <w:iCs/>
          <w:color w:val="222222"/>
          <w:shd w:val="clear" w:color="auto" w:fill="FFFFFF"/>
          <w:lang w:val="de-DE"/>
        </w:rPr>
        <w:t>ü</w:t>
      </w:r>
      <w:r w:rsidRPr="008E0C6A">
        <w:rPr>
          <w:rFonts w:ascii="Times New Roman" w:hAnsi="Times New Roman" w:cs="Times New Roman"/>
          <w:i/>
        </w:rPr>
        <w:t>denthumb, oder die von dem heütigen Jüdenthumb und dessen geheimen Kabbala</w:t>
      </w:r>
      <w:r w:rsidRPr="008E0C6A">
        <w:rPr>
          <w:rFonts w:ascii="Times New Roman" w:hAnsi="Times New Roman" w:cs="Times New Roman"/>
        </w:rPr>
        <w:t>, Amsterdam, 1699.</w:t>
      </w:r>
    </w:p>
    <w:p w14:paraId="386912F5" w14:textId="77777777" w:rsidR="00276556" w:rsidRPr="008E0C6A" w:rsidRDefault="00276556" w:rsidP="006B16F8">
      <w:pPr>
        <w:spacing w:line="360" w:lineRule="auto"/>
        <w:jc w:val="both"/>
        <w:rPr>
          <w:rFonts w:ascii="Times New Roman" w:hAnsi="Times New Roman" w:cs="Times New Roman"/>
        </w:rPr>
      </w:pPr>
    </w:p>
    <w:p w14:paraId="320914FC" w14:textId="2E956C88" w:rsidR="00276556" w:rsidRPr="008E0C6A" w:rsidRDefault="00773ACB" w:rsidP="006B16F8">
      <w:pPr>
        <w:spacing w:line="360" w:lineRule="auto"/>
        <w:jc w:val="both"/>
        <w:rPr>
          <w:rFonts w:ascii="Times New Roman" w:hAnsi="Times New Roman" w:cs="Times New Roman"/>
        </w:rPr>
      </w:pPr>
      <w:r>
        <w:rPr>
          <w:rFonts w:ascii="Times New Roman" w:hAnsi="Times New Roman" w:cs="Times New Roman"/>
        </w:rPr>
        <w:t xml:space="preserve">- </w:t>
      </w:r>
      <w:r w:rsidR="00276556" w:rsidRPr="008E0C6A">
        <w:rPr>
          <w:rFonts w:ascii="Times New Roman" w:hAnsi="Times New Roman" w:cs="Times New Roman"/>
          <w:i/>
        </w:rPr>
        <w:t>Elucidarius Cabalisticus</w:t>
      </w:r>
      <w:r w:rsidR="00276556" w:rsidRPr="008E0C6A">
        <w:rPr>
          <w:rFonts w:ascii="Times New Roman" w:hAnsi="Times New Roman" w:cs="Times New Roman"/>
        </w:rPr>
        <w:t>, Roma 1706.</w:t>
      </w:r>
    </w:p>
    <w:p w14:paraId="2176E24A" w14:textId="77777777" w:rsidR="00276556" w:rsidRPr="008E0C6A" w:rsidRDefault="00276556" w:rsidP="006B16F8">
      <w:pPr>
        <w:spacing w:line="360" w:lineRule="auto"/>
        <w:jc w:val="both"/>
        <w:rPr>
          <w:rFonts w:ascii="Times New Roman" w:hAnsi="Times New Roman" w:cs="Times New Roman"/>
        </w:rPr>
      </w:pPr>
    </w:p>
    <w:p w14:paraId="0FC6CA31" w14:textId="4AA1E726" w:rsidR="003F6B27"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i/>
        </w:rPr>
        <w:t>The Zohar</w:t>
      </w:r>
      <w:r w:rsidRPr="008E0C6A">
        <w:rPr>
          <w:rFonts w:ascii="Times New Roman" w:hAnsi="Times New Roman" w:cs="Times New Roman"/>
        </w:rPr>
        <w:t>, translation and commentatary by D. C. Matt, Stanford University Press, Stanford (California) 2004</w:t>
      </w:r>
      <w:r w:rsidR="003F6B27">
        <w:rPr>
          <w:rFonts w:ascii="Times New Roman" w:hAnsi="Times New Roman" w:cs="Times New Roman"/>
        </w:rPr>
        <w:t>.</w:t>
      </w:r>
    </w:p>
    <w:p w14:paraId="6DC1BCF7" w14:textId="77777777" w:rsidR="00276556" w:rsidRDefault="00276556" w:rsidP="006B16F8">
      <w:pPr>
        <w:spacing w:line="360" w:lineRule="auto"/>
        <w:jc w:val="both"/>
        <w:rPr>
          <w:rFonts w:ascii="Times New Roman" w:hAnsi="Times New Roman" w:cs="Times New Roman"/>
        </w:rPr>
      </w:pPr>
    </w:p>
    <w:p w14:paraId="561D9322" w14:textId="77777777" w:rsidR="003F6B27" w:rsidRPr="008E0C6A" w:rsidRDefault="003F6B27" w:rsidP="006B16F8">
      <w:pPr>
        <w:spacing w:line="360" w:lineRule="auto"/>
        <w:jc w:val="both"/>
        <w:rPr>
          <w:rFonts w:ascii="Times New Roman" w:hAnsi="Times New Roman" w:cs="Times New Roman"/>
        </w:rPr>
      </w:pPr>
    </w:p>
    <w:p w14:paraId="3C7B3DF3" w14:textId="54F11858" w:rsidR="00276556" w:rsidRPr="003F6B27" w:rsidRDefault="006B16F8" w:rsidP="006B16F8">
      <w:pPr>
        <w:spacing w:line="360" w:lineRule="auto"/>
        <w:jc w:val="both"/>
        <w:rPr>
          <w:rFonts w:ascii="Times New Roman" w:hAnsi="Times New Roman" w:cs="Times New Roman"/>
          <w:b/>
        </w:rPr>
      </w:pPr>
      <w:r w:rsidRPr="003F6B27">
        <w:rPr>
          <w:rFonts w:ascii="Times New Roman" w:hAnsi="Times New Roman" w:cs="Times New Roman"/>
          <w:b/>
        </w:rPr>
        <w:t>Altri riferimenti bibliografici</w:t>
      </w:r>
    </w:p>
    <w:p w14:paraId="5F04749C" w14:textId="77777777" w:rsidR="00276556" w:rsidRPr="008E0C6A" w:rsidRDefault="00276556" w:rsidP="006B16F8">
      <w:pPr>
        <w:spacing w:line="360" w:lineRule="auto"/>
        <w:jc w:val="both"/>
        <w:rPr>
          <w:rFonts w:ascii="Times New Roman" w:hAnsi="Times New Roman" w:cs="Times New Roman"/>
        </w:rPr>
      </w:pPr>
    </w:p>
    <w:p w14:paraId="48FA5CA3"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S. Achella, </w:t>
      </w:r>
      <w:r w:rsidRPr="008E0C6A">
        <w:rPr>
          <w:rFonts w:ascii="Times New Roman" w:hAnsi="Times New Roman" w:cs="Times New Roman"/>
          <w:i/>
        </w:rPr>
        <w:t>La religione nella Differenzschrift</w:t>
      </w:r>
      <w:r w:rsidRPr="008E0C6A">
        <w:rPr>
          <w:rFonts w:ascii="Times New Roman" w:hAnsi="Times New Roman" w:cs="Times New Roman"/>
        </w:rPr>
        <w:t xml:space="preserve">, in </w:t>
      </w:r>
      <w:r w:rsidRPr="008E0C6A">
        <w:rPr>
          <w:rFonts w:ascii="Times New Roman" w:hAnsi="Times New Roman" w:cs="Times New Roman"/>
          <w:i/>
        </w:rPr>
        <w:t>L’esordio pubblico di Hegel</w:t>
      </w:r>
      <w:r w:rsidRPr="008E0C6A">
        <w:rPr>
          <w:rFonts w:ascii="Times New Roman" w:hAnsi="Times New Roman" w:cs="Times New Roman"/>
        </w:rPr>
        <w:t>, Guerini, Milano 2004</w:t>
      </w:r>
      <w:r>
        <w:rPr>
          <w:rFonts w:ascii="Times New Roman" w:hAnsi="Times New Roman" w:cs="Times New Roman"/>
        </w:rPr>
        <w:t>, pp. 227-237</w:t>
      </w:r>
      <w:r w:rsidRPr="008E0C6A">
        <w:rPr>
          <w:rFonts w:ascii="Times New Roman" w:hAnsi="Times New Roman" w:cs="Times New Roman"/>
        </w:rPr>
        <w:t>.</w:t>
      </w:r>
    </w:p>
    <w:p w14:paraId="47C0BC7F" w14:textId="77777777" w:rsidR="00276556" w:rsidRPr="008E0C6A" w:rsidRDefault="00276556" w:rsidP="006B16F8">
      <w:pPr>
        <w:spacing w:line="360" w:lineRule="auto"/>
        <w:jc w:val="both"/>
        <w:rPr>
          <w:rFonts w:ascii="Times New Roman" w:hAnsi="Times New Roman" w:cs="Times New Roman"/>
        </w:rPr>
      </w:pPr>
    </w:p>
    <w:p w14:paraId="480C2176"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 </w:t>
      </w:r>
      <w:r w:rsidRPr="008E0C6A">
        <w:rPr>
          <w:rFonts w:ascii="Times New Roman" w:hAnsi="Times New Roman" w:cs="Times New Roman"/>
          <w:i/>
        </w:rPr>
        <w:t>Tra storia e politica: la religione nel giovane Hegel,</w:t>
      </w:r>
      <w:r w:rsidRPr="008E0C6A">
        <w:rPr>
          <w:rFonts w:ascii="Times New Roman" w:hAnsi="Times New Roman" w:cs="Times New Roman"/>
        </w:rPr>
        <w:t xml:space="preserve"> Editoriale scientifica, Napoli 2005.</w:t>
      </w:r>
    </w:p>
    <w:p w14:paraId="146C9718" w14:textId="77777777" w:rsidR="00276556" w:rsidRPr="008E0C6A" w:rsidRDefault="00276556" w:rsidP="006B16F8">
      <w:pPr>
        <w:spacing w:line="360" w:lineRule="auto"/>
        <w:jc w:val="both"/>
        <w:rPr>
          <w:rFonts w:ascii="Times New Roman" w:eastAsia="Times New Roman" w:hAnsi="Times New Roman" w:cs="Times New Roman"/>
          <w:color w:val="000000"/>
        </w:rPr>
      </w:pPr>
    </w:p>
    <w:p w14:paraId="24ED246D" w14:textId="77777777" w:rsidR="00276556" w:rsidRPr="008E0C6A" w:rsidRDefault="00276556" w:rsidP="006B16F8">
      <w:pPr>
        <w:spacing w:line="360" w:lineRule="auto"/>
        <w:jc w:val="both"/>
        <w:rPr>
          <w:rFonts w:ascii="Times New Roman" w:eastAsia="Times New Roman" w:hAnsi="Times New Roman" w:cs="Times New Roman"/>
          <w:color w:val="000000"/>
        </w:rPr>
      </w:pPr>
      <w:r w:rsidRPr="008E0C6A">
        <w:rPr>
          <w:rFonts w:ascii="Times New Roman" w:eastAsia="Times New Roman" w:hAnsi="Times New Roman" w:cs="Times New Roman"/>
          <w:color w:val="000000"/>
        </w:rPr>
        <w:t xml:space="preserve">- </w:t>
      </w:r>
      <w:r w:rsidRPr="008E0C6A">
        <w:rPr>
          <w:rFonts w:ascii="Times New Roman" w:eastAsia="Times New Roman" w:hAnsi="Times New Roman" w:cs="Times New Roman"/>
          <w:i/>
          <w:color w:val="000000"/>
        </w:rPr>
        <w:t>Pensare la vita</w:t>
      </w:r>
      <w:r w:rsidRPr="008E0C6A">
        <w:rPr>
          <w:rFonts w:ascii="Times New Roman" w:eastAsia="Times New Roman" w:hAnsi="Times New Roman" w:cs="Times New Roman"/>
          <w:color w:val="000000"/>
        </w:rPr>
        <w:t>, il Mulino, Bologna 2019.</w:t>
      </w:r>
    </w:p>
    <w:p w14:paraId="389B1F9F" w14:textId="77777777" w:rsidR="00276556" w:rsidRPr="008E0C6A" w:rsidRDefault="00276556" w:rsidP="006B16F8">
      <w:pPr>
        <w:spacing w:line="360" w:lineRule="auto"/>
        <w:jc w:val="both"/>
        <w:rPr>
          <w:rFonts w:ascii="Times New Roman" w:eastAsia="Times New Roman" w:hAnsi="Times New Roman" w:cs="Times New Roman"/>
          <w:color w:val="000000"/>
        </w:rPr>
      </w:pPr>
    </w:p>
    <w:p w14:paraId="3218EF2E"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K. Appel und T. Auinger (Hrsg.), </w:t>
      </w:r>
      <w:r w:rsidRPr="008E0C6A">
        <w:rPr>
          <w:rFonts w:ascii="Times New Roman" w:hAnsi="Times New Roman" w:cs="Times New Roman"/>
          <w:i/>
        </w:rPr>
        <w:t>Eine Lektüre von Hegels Phänomenologie des Geistes. Teil 2: Von der Sittlichkeit zur offenbaren Religion</w:t>
      </w:r>
      <w:r w:rsidRPr="008E0C6A">
        <w:rPr>
          <w:rFonts w:ascii="Times New Roman" w:hAnsi="Times New Roman" w:cs="Times New Roman"/>
        </w:rPr>
        <w:t>, Peter Lang, Frankfurt am Main 2012.</w:t>
      </w:r>
    </w:p>
    <w:p w14:paraId="019C7814" w14:textId="77777777" w:rsidR="00276556" w:rsidRPr="008E0C6A" w:rsidRDefault="00276556" w:rsidP="006B16F8">
      <w:pPr>
        <w:spacing w:line="360" w:lineRule="auto"/>
        <w:jc w:val="both"/>
        <w:rPr>
          <w:rFonts w:ascii="Times New Roman" w:hAnsi="Times New Roman" w:cs="Times New Roman"/>
        </w:rPr>
      </w:pPr>
    </w:p>
    <w:p w14:paraId="6AB74BDD" w14:textId="47A265DA"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A. Arndt, </w:t>
      </w:r>
      <w:r w:rsidRPr="008E0C6A">
        <w:rPr>
          <w:rFonts w:ascii="Times New Roman" w:hAnsi="Times New Roman" w:cs="Times New Roman"/>
          <w:i/>
        </w:rPr>
        <w:t>Die Anfangende Reflexion. Anmerkungen zum Anfang der Wissenschaft der Logik</w:t>
      </w:r>
      <w:r w:rsidRPr="008E0C6A">
        <w:rPr>
          <w:rFonts w:ascii="Times New Roman" w:hAnsi="Times New Roman" w:cs="Times New Roman"/>
        </w:rPr>
        <w:t xml:space="preserve">, in </w:t>
      </w:r>
      <w:r w:rsidRPr="008E0C6A">
        <w:rPr>
          <w:rFonts w:ascii="Times New Roman" w:hAnsi="Times New Roman" w:cs="Times New Roman"/>
          <w:i/>
        </w:rPr>
        <w:t>Hegels Seinslogik. Interpretationen und Perspektiven</w:t>
      </w:r>
      <w:r w:rsidRPr="008E0C6A">
        <w:rPr>
          <w:rFonts w:ascii="Times New Roman" w:hAnsi="Times New Roman" w:cs="Times New Roman"/>
        </w:rPr>
        <w:t>, hrsg. von A. Arndt und C. Iber, Akademie Verlag, Berlin 2000, pp. 126-140</w:t>
      </w:r>
      <w:r w:rsidR="003F6B27">
        <w:rPr>
          <w:rFonts w:ascii="Times New Roman" w:hAnsi="Times New Roman" w:cs="Times New Roman"/>
        </w:rPr>
        <w:t>.</w:t>
      </w:r>
    </w:p>
    <w:p w14:paraId="14E64AC2" w14:textId="77777777" w:rsidR="00276556" w:rsidRPr="008E0C6A" w:rsidRDefault="00276556" w:rsidP="006B16F8">
      <w:pPr>
        <w:spacing w:line="360" w:lineRule="auto"/>
        <w:jc w:val="both"/>
        <w:rPr>
          <w:rFonts w:ascii="Times New Roman" w:hAnsi="Times New Roman" w:cs="Times New Roman"/>
        </w:rPr>
      </w:pPr>
    </w:p>
    <w:p w14:paraId="61CEC1E0"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C. Asmuth, </w:t>
      </w:r>
      <w:r w:rsidRPr="008E0C6A">
        <w:rPr>
          <w:rFonts w:ascii="Times New Roman" w:hAnsi="Times New Roman" w:cs="Times New Roman"/>
          <w:i/>
        </w:rPr>
        <w:t>Philosophie und Religion und der Platonismus</w:t>
      </w:r>
      <w:r w:rsidRPr="008E0C6A">
        <w:rPr>
          <w:rFonts w:ascii="Times New Roman" w:hAnsi="Times New Roman" w:cs="Times New Roman"/>
        </w:rPr>
        <w:t xml:space="preserve">, in </w:t>
      </w:r>
      <w:r w:rsidRPr="008E0C6A">
        <w:rPr>
          <w:rFonts w:ascii="Times New Roman" w:hAnsi="Times New Roman" w:cs="Times New Roman"/>
          <w:i/>
        </w:rPr>
        <w:t>Philosophie und Religion</w:t>
      </w:r>
      <w:r w:rsidRPr="008E0C6A">
        <w:rPr>
          <w:rFonts w:ascii="Times New Roman" w:hAnsi="Times New Roman" w:cs="Times New Roman"/>
        </w:rPr>
        <w:t>, Karl Alber Verlag, Freiburg/München 2008, pp. 98-108.</w:t>
      </w:r>
    </w:p>
    <w:p w14:paraId="53F0A091" w14:textId="77777777" w:rsidR="00276556" w:rsidRPr="008E0C6A" w:rsidRDefault="00276556" w:rsidP="006B16F8">
      <w:pPr>
        <w:spacing w:line="360" w:lineRule="auto"/>
        <w:jc w:val="both"/>
        <w:rPr>
          <w:rFonts w:ascii="Times New Roman" w:hAnsi="Times New Roman" w:cs="Times New Roman"/>
        </w:rPr>
      </w:pPr>
    </w:p>
    <w:p w14:paraId="514CAD9F" w14:textId="77777777" w:rsidR="00276556" w:rsidRPr="008E0C6A" w:rsidRDefault="00276556" w:rsidP="006B16F8">
      <w:pPr>
        <w:spacing w:line="360" w:lineRule="auto"/>
        <w:jc w:val="both"/>
        <w:rPr>
          <w:rFonts w:ascii="Times New Roman" w:eastAsia="Times New Roman" w:hAnsi="Times New Roman" w:cs="Times New Roman"/>
          <w:color w:val="000000"/>
        </w:rPr>
      </w:pPr>
      <w:r w:rsidRPr="008E0C6A">
        <w:rPr>
          <w:rFonts w:ascii="Times New Roman" w:hAnsi="Times New Roman" w:cs="Times New Roman"/>
        </w:rPr>
        <w:t xml:space="preserve">I.F. Balbo, </w:t>
      </w:r>
      <w:r w:rsidRPr="008E0C6A">
        <w:rPr>
          <w:rFonts w:ascii="Times New Roman" w:hAnsi="Times New Roman" w:cs="Times New Roman"/>
          <w:i/>
        </w:rPr>
        <w:t>The Göttingen School and Popularphilosophie</w:t>
      </w:r>
      <w:r w:rsidRPr="008E0C6A">
        <w:rPr>
          <w:rFonts w:ascii="Times New Roman" w:hAnsi="Times New Roman" w:cs="Times New Roman"/>
        </w:rPr>
        <w:t xml:space="preserve">, in </w:t>
      </w:r>
      <w:r w:rsidRPr="008E0C6A">
        <w:rPr>
          <w:rFonts w:ascii="Times New Roman" w:hAnsi="Times New Roman" w:cs="Times New Roman"/>
          <w:i/>
        </w:rPr>
        <w:t xml:space="preserve">Models of History of Philosophy </w:t>
      </w:r>
      <w:r w:rsidRPr="008E0C6A">
        <w:rPr>
          <w:rFonts w:ascii="Times New Roman" w:hAnsi="Times New Roman" w:cs="Times New Roman"/>
        </w:rPr>
        <w:t xml:space="preserve">(ed. by G. Piaia and G. Santiello), </w:t>
      </w:r>
      <w:r w:rsidRPr="008E0C6A">
        <w:rPr>
          <w:rFonts w:ascii="Times New Roman" w:hAnsi="Times New Roman" w:cs="Times New Roman"/>
          <w:i/>
        </w:rPr>
        <w:t>Volume III: The Second Enlightment and the Kantian Age</w:t>
      </w:r>
      <w:r w:rsidRPr="008E0C6A">
        <w:rPr>
          <w:rFonts w:ascii="Times New Roman" w:hAnsi="Times New Roman" w:cs="Times New Roman"/>
        </w:rPr>
        <w:t>, Springer, Dordrecht/Heidelberg/London/New York 2011, pp. 670-693</w:t>
      </w:r>
      <w:r>
        <w:rPr>
          <w:rFonts w:ascii="Times New Roman" w:hAnsi="Times New Roman" w:cs="Times New Roman"/>
        </w:rPr>
        <w:t>.</w:t>
      </w:r>
    </w:p>
    <w:p w14:paraId="05AD8987" w14:textId="77777777" w:rsidR="00276556" w:rsidRPr="008E0C6A" w:rsidRDefault="00276556" w:rsidP="006B16F8">
      <w:pPr>
        <w:spacing w:line="360" w:lineRule="auto"/>
        <w:jc w:val="both"/>
        <w:rPr>
          <w:rFonts w:ascii="Times New Roman" w:eastAsia="Times New Roman" w:hAnsi="Times New Roman" w:cs="Times New Roman"/>
          <w:color w:val="000000"/>
        </w:rPr>
      </w:pPr>
    </w:p>
    <w:p w14:paraId="6D81AE92"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G. Baum, </w:t>
      </w:r>
      <w:r w:rsidRPr="008E0C6A">
        <w:rPr>
          <w:rFonts w:ascii="Times New Roman" w:hAnsi="Times New Roman" w:cs="Times New Roman"/>
          <w:i/>
        </w:rPr>
        <w:t xml:space="preserve">Friedrich Heinrich Jacobi und die Philosophie </w:t>
      </w:r>
      <w:r w:rsidRPr="008E0C6A">
        <w:rPr>
          <w:rFonts w:ascii="Times New Roman" w:hAnsi="Times New Roman" w:cs="Times New Roman"/>
        </w:rPr>
        <w:t xml:space="preserve">Spinozas, in </w:t>
      </w:r>
      <w:r w:rsidRPr="008E0C6A">
        <w:rPr>
          <w:rFonts w:ascii="Times New Roman" w:hAnsi="Times New Roman" w:cs="Times New Roman"/>
          <w:i/>
        </w:rPr>
        <w:t>Spinoza im Deutschland des 18. Jahrhunderts</w:t>
      </w:r>
      <w:r w:rsidRPr="008E0C6A">
        <w:rPr>
          <w:rFonts w:ascii="Times New Roman" w:hAnsi="Times New Roman" w:cs="Times New Roman"/>
        </w:rPr>
        <w:t>, hrsg. von E. Schürmann, N. Waszek und F. Weinreich, Frie</w:t>
      </w:r>
      <w:r>
        <w:rPr>
          <w:rFonts w:ascii="Times New Roman" w:hAnsi="Times New Roman" w:cs="Times New Roman"/>
        </w:rPr>
        <w:t>drich Fromman Verlag, Stuttgart</w:t>
      </w:r>
      <w:r w:rsidRPr="008E0C6A">
        <w:rPr>
          <w:rFonts w:ascii="Times New Roman" w:hAnsi="Times New Roman" w:cs="Times New Roman"/>
        </w:rPr>
        <w:t xml:space="preserve"> 2002, pp. 251-265.</w:t>
      </w:r>
    </w:p>
    <w:p w14:paraId="23130F87" w14:textId="77777777" w:rsidR="00276556" w:rsidRPr="008E0C6A" w:rsidRDefault="00276556" w:rsidP="006B16F8">
      <w:pPr>
        <w:spacing w:line="360" w:lineRule="auto"/>
        <w:jc w:val="both"/>
        <w:rPr>
          <w:rFonts w:ascii="Times New Roman" w:hAnsi="Times New Roman" w:cs="Times New Roman"/>
        </w:rPr>
      </w:pPr>
    </w:p>
    <w:p w14:paraId="2D476484"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M. Baum, </w:t>
      </w:r>
      <w:r w:rsidRPr="008E0C6A">
        <w:rPr>
          <w:rFonts w:ascii="Times New Roman" w:hAnsi="Times New Roman" w:cs="Times New Roman"/>
          <w:i/>
        </w:rPr>
        <w:t>Die Entstehung der Hegelschen Dialektik</w:t>
      </w:r>
      <w:r w:rsidRPr="008E0C6A">
        <w:rPr>
          <w:rFonts w:ascii="Times New Roman" w:hAnsi="Times New Roman" w:cs="Times New Roman"/>
        </w:rPr>
        <w:t>, Bouvier, Bonn 1989.</w:t>
      </w:r>
    </w:p>
    <w:p w14:paraId="26E7F7D1" w14:textId="77777777" w:rsidR="00276556" w:rsidRPr="008E0C6A" w:rsidRDefault="00276556" w:rsidP="006B16F8">
      <w:pPr>
        <w:spacing w:line="360" w:lineRule="auto"/>
        <w:jc w:val="both"/>
        <w:rPr>
          <w:rFonts w:ascii="Times New Roman" w:hAnsi="Times New Roman" w:cs="Times New Roman"/>
        </w:rPr>
      </w:pPr>
    </w:p>
    <w:p w14:paraId="2C1ADAED"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E. Benz, </w:t>
      </w:r>
      <w:r w:rsidRPr="008E0C6A">
        <w:rPr>
          <w:rFonts w:ascii="Times New Roman" w:hAnsi="Times New Roman" w:cs="Times New Roman"/>
          <w:i/>
        </w:rPr>
        <w:t>Les sources mystiques de la philosophie allemande</w:t>
      </w:r>
      <w:r w:rsidRPr="008E0C6A">
        <w:rPr>
          <w:rFonts w:ascii="Times New Roman" w:hAnsi="Times New Roman" w:cs="Times New Roman"/>
        </w:rPr>
        <w:t>, Vrin, Paris 1968.</w:t>
      </w:r>
    </w:p>
    <w:p w14:paraId="1D4D9350" w14:textId="77777777" w:rsidR="00276556" w:rsidRPr="008E0C6A" w:rsidRDefault="00276556" w:rsidP="006B16F8">
      <w:pPr>
        <w:spacing w:line="360" w:lineRule="auto"/>
        <w:jc w:val="both"/>
        <w:rPr>
          <w:rFonts w:ascii="Times New Roman" w:hAnsi="Times New Roman" w:cs="Times New Roman"/>
        </w:rPr>
      </w:pPr>
    </w:p>
    <w:p w14:paraId="4419160A"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 </w:t>
      </w:r>
      <w:r w:rsidRPr="008E0C6A">
        <w:rPr>
          <w:rFonts w:ascii="Times New Roman" w:hAnsi="Times New Roman" w:cs="Times New Roman"/>
          <w:i/>
          <w:lang w:val="fr-CA"/>
        </w:rPr>
        <w:t xml:space="preserve">La Kabbale chrétienne en Allemagne, du XVI au XVIII </w:t>
      </w:r>
      <w:r w:rsidRPr="008E0C6A">
        <w:rPr>
          <w:rFonts w:ascii="Times New Roman" w:hAnsi="Times New Roman" w:cs="Times New Roman"/>
          <w:lang w:val="fr-CA"/>
        </w:rPr>
        <w:t>siècle, in «Cahiers de l’Hermétisme»,</w:t>
      </w:r>
      <w:r w:rsidRPr="008E0C6A">
        <w:rPr>
          <w:rFonts w:ascii="Times New Roman" w:hAnsi="Times New Roman" w:cs="Times New Roman"/>
        </w:rPr>
        <w:t xml:space="preserve"> 1979.</w:t>
      </w:r>
    </w:p>
    <w:p w14:paraId="116F5D65" w14:textId="77777777" w:rsidR="00276556" w:rsidRPr="008E0C6A" w:rsidRDefault="00276556" w:rsidP="006B16F8">
      <w:pPr>
        <w:spacing w:line="360" w:lineRule="auto"/>
        <w:jc w:val="both"/>
        <w:rPr>
          <w:rFonts w:ascii="Times New Roman" w:hAnsi="Times New Roman" w:cs="Times New Roman"/>
        </w:rPr>
      </w:pPr>
    </w:p>
    <w:p w14:paraId="785EA469"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F. Biasutti, </w:t>
      </w:r>
      <w:r w:rsidRPr="008E0C6A">
        <w:rPr>
          <w:rFonts w:ascii="Times New Roman" w:hAnsi="Times New Roman" w:cs="Times New Roman"/>
          <w:i/>
        </w:rPr>
        <w:t>Assolutezza e soggettività. L’idea di religione in Hegel</w:t>
      </w:r>
      <w:r w:rsidRPr="008E0C6A">
        <w:rPr>
          <w:rFonts w:ascii="Times New Roman" w:hAnsi="Times New Roman" w:cs="Times New Roman"/>
        </w:rPr>
        <w:t>, Verifiche, Trento 1979.</w:t>
      </w:r>
    </w:p>
    <w:p w14:paraId="61D63D3D" w14:textId="77777777" w:rsidR="00276556" w:rsidRPr="008E0C6A" w:rsidRDefault="00276556" w:rsidP="006B16F8">
      <w:pPr>
        <w:spacing w:line="360" w:lineRule="auto"/>
        <w:jc w:val="both"/>
        <w:rPr>
          <w:rFonts w:ascii="Times New Roman" w:hAnsi="Times New Roman" w:cs="Times New Roman"/>
        </w:rPr>
      </w:pPr>
    </w:p>
    <w:p w14:paraId="72F838FB" w14:textId="7442148F"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R. Bodei, </w:t>
      </w:r>
      <w:r w:rsidRPr="008E0C6A">
        <w:rPr>
          <w:rFonts w:ascii="Times New Roman" w:hAnsi="Times New Roman" w:cs="Times New Roman"/>
          <w:i/>
        </w:rPr>
        <w:t>Die Metaphysik der Zeit in Hegels Geschichte der Philosophie</w:t>
      </w:r>
      <w:r w:rsidRPr="008E0C6A">
        <w:rPr>
          <w:rFonts w:ascii="Times New Roman" w:hAnsi="Times New Roman" w:cs="Times New Roman"/>
        </w:rPr>
        <w:t xml:space="preserve">, in </w:t>
      </w:r>
      <w:r w:rsidRPr="008E0C6A">
        <w:rPr>
          <w:rFonts w:ascii="Times New Roman" w:hAnsi="Times New Roman" w:cs="Times New Roman"/>
          <w:i/>
        </w:rPr>
        <w:t xml:space="preserve">Hegels Logik der Philosophie: Religion und Philosophie in der Theorie des absoluten Geistes, </w:t>
      </w:r>
      <w:r w:rsidRPr="008E0C6A">
        <w:rPr>
          <w:rFonts w:ascii="Times New Roman" w:hAnsi="Times New Roman" w:cs="Times New Roman"/>
        </w:rPr>
        <w:t>hrsg. von D. Henrich und R.-P. Horstmann, Klett-Cotta, Stuttgart 1984, pp. 79-98.</w:t>
      </w:r>
    </w:p>
    <w:p w14:paraId="37AEDDA2" w14:textId="77777777" w:rsidR="00276556" w:rsidRPr="008E0C6A" w:rsidRDefault="00276556" w:rsidP="006B16F8">
      <w:pPr>
        <w:spacing w:line="360" w:lineRule="auto"/>
        <w:jc w:val="both"/>
        <w:rPr>
          <w:rFonts w:ascii="Times New Roman" w:hAnsi="Times New Roman" w:cs="Times New Roman"/>
        </w:rPr>
      </w:pPr>
    </w:p>
    <w:p w14:paraId="4A7971C8"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W. Bonsiepen, </w:t>
      </w:r>
      <w:r w:rsidRPr="008E0C6A">
        <w:rPr>
          <w:rFonts w:ascii="Times New Roman" w:hAnsi="Times New Roman" w:cs="Times New Roman"/>
          <w:i/>
        </w:rPr>
        <w:t>Der Begriff der Negativität in den Jenaer Schriften Hegels</w:t>
      </w:r>
      <w:r w:rsidRPr="008E0C6A">
        <w:rPr>
          <w:rFonts w:ascii="Times New Roman" w:hAnsi="Times New Roman" w:cs="Times New Roman"/>
        </w:rPr>
        <w:t>, «Hegel–Studien</w:t>
      </w:r>
      <w:r w:rsidRPr="008E0C6A">
        <w:rPr>
          <w:rFonts w:ascii="Times New Roman" w:eastAsia="Times New Roman" w:hAnsi="Times New Roman" w:cs="Times New Roman"/>
          <w:color w:val="000000"/>
        </w:rPr>
        <w:t>»,</w:t>
      </w:r>
      <w:r w:rsidRPr="008E0C6A">
        <w:rPr>
          <w:rFonts w:ascii="Times New Roman" w:hAnsi="Times New Roman" w:cs="Times New Roman"/>
        </w:rPr>
        <w:t xml:space="preserve"> Beiheft 16, 1972.</w:t>
      </w:r>
    </w:p>
    <w:p w14:paraId="300EEF02" w14:textId="77777777" w:rsidR="00276556" w:rsidRPr="008E0C6A" w:rsidRDefault="00276556" w:rsidP="006B16F8">
      <w:pPr>
        <w:spacing w:line="360" w:lineRule="auto"/>
        <w:jc w:val="both"/>
        <w:rPr>
          <w:rFonts w:ascii="Times New Roman" w:hAnsi="Times New Roman" w:cs="Times New Roman"/>
        </w:rPr>
      </w:pPr>
    </w:p>
    <w:p w14:paraId="47F3E20A" w14:textId="77777777" w:rsidR="00276556"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 </w:t>
      </w:r>
      <w:r w:rsidRPr="008E0C6A">
        <w:rPr>
          <w:rFonts w:ascii="Times New Roman" w:hAnsi="Times New Roman" w:cs="Times New Roman"/>
          <w:i/>
        </w:rPr>
        <w:t>Salomon Maimons Einsicht in die Unausführbarkeit seines Versuchs einer Verneinung von Kantischer Philosophie und Spinozismus</w:t>
      </w:r>
      <w:r w:rsidRPr="008E0C6A">
        <w:rPr>
          <w:rFonts w:ascii="Times New Roman" w:hAnsi="Times New Roman" w:cs="Times New Roman"/>
        </w:rPr>
        <w:t xml:space="preserve">, in </w:t>
      </w:r>
      <w:r w:rsidRPr="008E0C6A">
        <w:rPr>
          <w:rFonts w:ascii="Times New Roman" w:hAnsi="Times New Roman" w:cs="Times New Roman"/>
          <w:i/>
        </w:rPr>
        <w:t>Spinoza im 18. Jahrhundert</w:t>
      </w:r>
      <w:r w:rsidRPr="008E0C6A">
        <w:rPr>
          <w:rFonts w:ascii="Times New Roman" w:hAnsi="Times New Roman" w:cs="Times New Roman"/>
        </w:rPr>
        <w:t>, cit., pp. 377-407.</w:t>
      </w:r>
    </w:p>
    <w:p w14:paraId="5F5086ED" w14:textId="77777777" w:rsidR="00DC3C28" w:rsidRDefault="00DC3C28" w:rsidP="006B16F8">
      <w:pPr>
        <w:spacing w:line="360" w:lineRule="auto"/>
        <w:jc w:val="both"/>
        <w:rPr>
          <w:rFonts w:ascii="Times New Roman" w:hAnsi="Times New Roman" w:cs="Times New Roman"/>
        </w:rPr>
      </w:pPr>
    </w:p>
    <w:p w14:paraId="07048A7F" w14:textId="51F93540" w:rsidR="00DC3C28" w:rsidRPr="00DC3C28" w:rsidRDefault="00DC3C28" w:rsidP="006B16F8">
      <w:pPr>
        <w:spacing w:line="360" w:lineRule="auto"/>
        <w:jc w:val="both"/>
        <w:rPr>
          <w:rFonts w:ascii="Times New Roman" w:hAnsi="Times New Roman" w:cs="Times New Roman"/>
        </w:rPr>
      </w:pPr>
      <w:r w:rsidRPr="00DC3C28">
        <w:rPr>
          <w:rFonts w:ascii="Times New Roman" w:eastAsia="Times New Roman" w:hAnsi="Times New Roman" w:cs="Times New Roman"/>
          <w:color w:val="000000"/>
          <w:lang w:val="de-DE"/>
        </w:rPr>
        <w:t xml:space="preserve">M. Borghesi, </w:t>
      </w:r>
      <w:r w:rsidRPr="00DC3C28">
        <w:rPr>
          <w:rFonts w:ascii="Times New Roman" w:eastAsia="Times New Roman" w:hAnsi="Times New Roman" w:cs="Times New Roman"/>
          <w:i/>
          <w:color w:val="000000"/>
          <w:lang w:val="de-DE"/>
        </w:rPr>
        <w:t>Dialettica e malinconia in Hegel</w:t>
      </w:r>
      <w:r w:rsidRPr="00DC3C28">
        <w:rPr>
          <w:rFonts w:ascii="Times New Roman" w:eastAsia="Times New Roman" w:hAnsi="Times New Roman" w:cs="Times New Roman"/>
          <w:color w:val="000000"/>
          <w:lang w:val="de-DE"/>
        </w:rPr>
        <w:t xml:space="preserve">, </w:t>
      </w:r>
      <w:r w:rsidRPr="00DC3C28">
        <w:rPr>
          <w:rFonts w:ascii="Times New Roman" w:hAnsi="Times New Roman" w:cs="Times New Roman"/>
        </w:rPr>
        <w:t xml:space="preserve">in </w:t>
      </w:r>
      <w:r w:rsidRPr="00DC3C28">
        <w:rPr>
          <w:rFonts w:ascii="Times New Roman" w:hAnsi="Times New Roman" w:cs="Times New Roman"/>
          <w:i/>
        </w:rPr>
        <w:t>Il giovane Hegel: la dialettica e le sue prospettive</w:t>
      </w:r>
      <w:r w:rsidRPr="00DC3C28">
        <w:rPr>
          <w:rFonts w:ascii="Times New Roman" w:hAnsi="Times New Roman" w:cs="Times New Roman"/>
        </w:rPr>
        <w:t>, cit., pp. 23-35.</w:t>
      </w:r>
    </w:p>
    <w:p w14:paraId="63B92CD1" w14:textId="77777777" w:rsidR="00DC3C28" w:rsidRDefault="00DC3C28" w:rsidP="006B16F8">
      <w:pPr>
        <w:spacing w:line="360" w:lineRule="auto"/>
        <w:jc w:val="both"/>
        <w:rPr>
          <w:rFonts w:ascii="Times New Roman" w:hAnsi="Times New Roman" w:cs="Times New Roman"/>
        </w:rPr>
      </w:pPr>
    </w:p>
    <w:p w14:paraId="1BA3CAA6" w14:textId="2D8EEE16" w:rsidR="005B593F" w:rsidRPr="005B593F" w:rsidRDefault="00DC3C28" w:rsidP="006B16F8">
      <w:pPr>
        <w:spacing w:line="360" w:lineRule="auto"/>
        <w:jc w:val="both"/>
        <w:rPr>
          <w:rFonts w:ascii="Times New Roman" w:hAnsi="Times New Roman" w:cs="Times New Roman"/>
        </w:rPr>
      </w:pPr>
      <w:r>
        <w:rPr>
          <w:rFonts w:ascii="Times New Roman" w:hAnsi="Times New Roman" w:cs="Times New Roman"/>
        </w:rPr>
        <w:t xml:space="preserve">- </w:t>
      </w:r>
      <w:r w:rsidR="005B593F" w:rsidRPr="005B593F">
        <w:rPr>
          <w:rFonts w:ascii="Times New Roman" w:hAnsi="Times New Roman" w:cs="Times New Roman"/>
          <w:i/>
        </w:rPr>
        <w:t>Hegel. La cristologia idealista</w:t>
      </w:r>
      <w:r w:rsidR="005B593F" w:rsidRPr="005B593F">
        <w:rPr>
          <w:rFonts w:ascii="Times New Roman" w:hAnsi="Times New Roman" w:cs="Times New Roman"/>
        </w:rPr>
        <w:t>, Studium, Roma 2018.</w:t>
      </w:r>
    </w:p>
    <w:p w14:paraId="723369F4" w14:textId="77777777" w:rsidR="00276556" w:rsidRPr="008E0C6A" w:rsidRDefault="00276556" w:rsidP="006B16F8">
      <w:pPr>
        <w:spacing w:line="360" w:lineRule="auto"/>
        <w:jc w:val="both"/>
        <w:rPr>
          <w:rFonts w:ascii="Times New Roman" w:hAnsi="Times New Roman" w:cs="Times New Roman"/>
        </w:rPr>
      </w:pPr>
    </w:p>
    <w:p w14:paraId="3974AB0E"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B. Bowman, </w:t>
      </w:r>
      <w:r w:rsidRPr="008E0C6A">
        <w:rPr>
          <w:rFonts w:ascii="Times New Roman" w:hAnsi="Times New Roman" w:cs="Times New Roman"/>
          <w:i/>
        </w:rPr>
        <w:t>Hegel and the Metaphysics of Absolute Negativity</w:t>
      </w:r>
      <w:r w:rsidRPr="008E0C6A">
        <w:rPr>
          <w:rFonts w:ascii="Times New Roman" w:hAnsi="Times New Roman" w:cs="Times New Roman"/>
        </w:rPr>
        <w:t>, Cambridge University Press, Cambridge 2013.</w:t>
      </w:r>
    </w:p>
    <w:p w14:paraId="4BD303D7" w14:textId="77777777" w:rsidR="00276556" w:rsidRPr="008E0C6A" w:rsidRDefault="00276556" w:rsidP="006B16F8">
      <w:pPr>
        <w:spacing w:line="360" w:lineRule="auto"/>
        <w:jc w:val="both"/>
        <w:rPr>
          <w:rFonts w:ascii="Times New Roman" w:hAnsi="Times New Roman" w:cs="Times New Roman"/>
        </w:rPr>
      </w:pPr>
    </w:p>
    <w:p w14:paraId="79471B14"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i/>
        </w:rPr>
        <w:t xml:space="preserve">- Self-determination and Ideality in Hegel’s Logic of Being, </w:t>
      </w:r>
      <w:r w:rsidRPr="008E0C6A">
        <w:rPr>
          <w:rFonts w:ascii="Times New Roman" w:hAnsi="Times New Roman" w:cs="Times New Roman"/>
        </w:rPr>
        <w:t xml:space="preserve">in </w:t>
      </w:r>
      <w:r w:rsidRPr="008E0C6A">
        <w:rPr>
          <w:rFonts w:ascii="Times New Roman" w:hAnsi="Times New Roman" w:cs="Times New Roman"/>
          <w:i/>
        </w:rPr>
        <w:t>The Oxford Handbook of Hegel</w:t>
      </w:r>
      <w:r w:rsidRPr="008E0C6A">
        <w:rPr>
          <w:rFonts w:ascii="Times New Roman" w:hAnsi="Times New Roman" w:cs="Times New Roman"/>
        </w:rPr>
        <w:t>, edited by D. Moyar, Oxford University Press, New York 2017, pp. 219-242</w:t>
      </w:r>
      <w:r>
        <w:rPr>
          <w:rFonts w:ascii="Times New Roman" w:hAnsi="Times New Roman" w:cs="Times New Roman"/>
        </w:rPr>
        <w:t>.</w:t>
      </w:r>
    </w:p>
    <w:p w14:paraId="37E6D583" w14:textId="77777777" w:rsidR="00276556" w:rsidRPr="008E0C6A" w:rsidRDefault="00276556" w:rsidP="006B16F8">
      <w:pPr>
        <w:spacing w:line="360" w:lineRule="auto"/>
        <w:jc w:val="both"/>
        <w:rPr>
          <w:rFonts w:ascii="Times New Roman" w:hAnsi="Times New Roman" w:cs="Times New Roman"/>
        </w:rPr>
      </w:pPr>
    </w:p>
    <w:p w14:paraId="2D99D72F"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R. F. Brown, </w:t>
      </w:r>
      <w:r w:rsidRPr="008E0C6A">
        <w:rPr>
          <w:rFonts w:ascii="Times New Roman" w:hAnsi="Times New Roman" w:cs="Times New Roman"/>
          <w:i/>
        </w:rPr>
        <w:t>The later Philosophy of Schelling: The Influence of Boehme on the Works of 1809-1815</w:t>
      </w:r>
      <w:r w:rsidRPr="008E0C6A">
        <w:rPr>
          <w:rFonts w:ascii="Times New Roman" w:hAnsi="Times New Roman" w:cs="Times New Roman"/>
        </w:rPr>
        <w:t>, Bucknell University Press, Lewisburg 1977.</w:t>
      </w:r>
    </w:p>
    <w:p w14:paraId="01E102B1" w14:textId="77777777" w:rsidR="00276556" w:rsidRPr="008E0C6A" w:rsidRDefault="00276556" w:rsidP="006B16F8">
      <w:pPr>
        <w:spacing w:line="360" w:lineRule="auto"/>
        <w:jc w:val="both"/>
        <w:rPr>
          <w:rFonts w:ascii="Times New Roman" w:hAnsi="Times New Roman" w:cs="Times New Roman"/>
        </w:rPr>
      </w:pPr>
    </w:p>
    <w:p w14:paraId="3030E0E5"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J. W. Burbidge, </w:t>
      </w:r>
      <w:r w:rsidRPr="008E0C6A">
        <w:rPr>
          <w:rFonts w:ascii="Times New Roman" w:hAnsi="Times New Roman" w:cs="Times New Roman"/>
          <w:i/>
        </w:rPr>
        <w:t>On Hegel’s Logic. Fragment of a Commentary</w:t>
      </w:r>
      <w:r w:rsidRPr="008E0C6A">
        <w:rPr>
          <w:rFonts w:ascii="Times New Roman" w:hAnsi="Times New Roman" w:cs="Times New Roman"/>
        </w:rPr>
        <w:t>, Humanity Press, New Yersey 1995.</w:t>
      </w:r>
    </w:p>
    <w:p w14:paraId="5E308B8E" w14:textId="77777777" w:rsidR="00276556" w:rsidRPr="008E0C6A" w:rsidRDefault="00276556" w:rsidP="006B16F8">
      <w:pPr>
        <w:spacing w:line="360" w:lineRule="auto"/>
        <w:jc w:val="both"/>
        <w:rPr>
          <w:rFonts w:ascii="Times New Roman" w:hAnsi="Times New Roman" w:cs="Times New Roman"/>
        </w:rPr>
      </w:pPr>
    </w:p>
    <w:p w14:paraId="0766B9AE" w14:textId="77777777" w:rsidR="00276556"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 </w:t>
      </w:r>
      <w:r w:rsidRPr="008E0C6A">
        <w:rPr>
          <w:rFonts w:ascii="Times New Roman" w:hAnsi="Times New Roman" w:cs="Times New Roman"/>
          <w:i/>
        </w:rPr>
        <w:t>Real Process: How Logic and Chemestry combine in Hegel’s Philosophy of Nature</w:t>
      </w:r>
      <w:r w:rsidRPr="008E0C6A">
        <w:rPr>
          <w:rFonts w:ascii="Times New Roman" w:hAnsi="Times New Roman" w:cs="Times New Roman"/>
        </w:rPr>
        <w:t>, University of Toronto Press, Toronto/Buffalo/London 1996.</w:t>
      </w:r>
    </w:p>
    <w:p w14:paraId="2F3D629A" w14:textId="77777777" w:rsidR="00844F1B" w:rsidRPr="008E0C6A" w:rsidRDefault="00844F1B" w:rsidP="006B16F8">
      <w:pPr>
        <w:spacing w:line="360" w:lineRule="auto"/>
        <w:jc w:val="both"/>
        <w:rPr>
          <w:rFonts w:ascii="Times New Roman" w:hAnsi="Times New Roman" w:cs="Times New Roman"/>
        </w:rPr>
      </w:pPr>
    </w:p>
    <w:p w14:paraId="0AEDFBB1" w14:textId="71642302" w:rsidR="00276556" w:rsidRPr="00844F1B" w:rsidRDefault="00844F1B" w:rsidP="00844F1B">
      <w:pPr>
        <w:pStyle w:val="Testonotaapidipagina"/>
        <w:jc w:val="both"/>
        <w:rPr>
          <w:rFonts w:ascii="Times New Roman" w:hAnsi="Times New Roman" w:cs="Times New Roman"/>
          <w:lang w:val="de-DE"/>
        </w:rPr>
      </w:pPr>
      <w:r w:rsidRPr="00844F1B">
        <w:rPr>
          <w:rFonts w:ascii="Times New Roman" w:hAnsi="Times New Roman" w:cs="Times New Roman"/>
          <w:lang w:val="de-DE"/>
        </w:rPr>
        <w:t xml:space="preserve">G. Cantillo, </w:t>
      </w:r>
      <w:r w:rsidRPr="00844F1B">
        <w:rPr>
          <w:rFonts w:ascii="Times New Roman" w:hAnsi="Times New Roman" w:cs="Times New Roman"/>
          <w:i/>
          <w:lang w:val="de-DE"/>
        </w:rPr>
        <w:t>Hegel a Jena. Dall'«ideale degli anni giovanili» alla elaborazione del «Gesamtsystem»</w:t>
      </w:r>
      <w:r w:rsidRPr="00844F1B">
        <w:rPr>
          <w:rFonts w:ascii="Times New Roman" w:hAnsi="Times New Roman" w:cs="Times New Roman"/>
          <w:lang w:val="de-DE"/>
        </w:rPr>
        <w:t>, in «Atti dell’Accademia di Scienze Morali e Politiche», vol. XC (1979), pp. 97-141</w:t>
      </w:r>
      <w:r>
        <w:rPr>
          <w:rFonts w:ascii="Times New Roman" w:hAnsi="Times New Roman" w:cs="Times New Roman"/>
          <w:lang w:val="de-DE"/>
        </w:rPr>
        <w:t>.</w:t>
      </w:r>
      <w:r w:rsidRPr="00844F1B">
        <w:rPr>
          <w:rFonts w:ascii="Times New Roman" w:hAnsi="Times New Roman" w:cs="Times New Roman"/>
          <w:lang w:val="de-DE"/>
        </w:rPr>
        <w:t xml:space="preserve"> </w:t>
      </w:r>
    </w:p>
    <w:p w14:paraId="24291DD3" w14:textId="77777777" w:rsidR="00844F1B" w:rsidRPr="008E0C6A" w:rsidRDefault="00844F1B" w:rsidP="00844F1B">
      <w:pPr>
        <w:pStyle w:val="Testonotaapidipagina"/>
        <w:jc w:val="both"/>
        <w:rPr>
          <w:rFonts w:ascii="Times New Roman" w:hAnsi="Times New Roman" w:cs="Times New Roman"/>
        </w:rPr>
      </w:pPr>
    </w:p>
    <w:p w14:paraId="66DD609B" w14:textId="4A48FA05" w:rsidR="00276556" w:rsidRPr="008E0C6A" w:rsidRDefault="00844F1B" w:rsidP="006B16F8">
      <w:pPr>
        <w:spacing w:line="360" w:lineRule="auto"/>
        <w:jc w:val="both"/>
        <w:rPr>
          <w:rFonts w:ascii="Times New Roman" w:eastAsia="Times New Roman" w:hAnsi="Times New Roman" w:cs="Times New Roman"/>
          <w:color w:val="000000"/>
          <w:lang w:val="de-DE"/>
        </w:rPr>
      </w:pPr>
      <w:r>
        <w:rPr>
          <w:rFonts w:ascii="Times New Roman" w:eastAsia="Times New Roman" w:hAnsi="Times New Roman" w:cs="Times New Roman"/>
          <w:color w:val="000000"/>
          <w:lang w:val="de-DE"/>
        </w:rPr>
        <w:t xml:space="preserve">- </w:t>
      </w:r>
      <w:r w:rsidR="00276556" w:rsidRPr="008E0C6A">
        <w:rPr>
          <w:rFonts w:ascii="Times New Roman" w:eastAsia="Times New Roman" w:hAnsi="Times New Roman" w:cs="Times New Roman"/>
          <w:i/>
          <w:color w:val="000000"/>
          <w:lang w:val="de-DE"/>
        </w:rPr>
        <w:t>Osservazioni sulla coscienza religiosa in Hegel</w:t>
      </w:r>
      <w:r w:rsidR="00276556" w:rsidRPr="008E0C6A">
        <w:rPr>
          <w:rFonts w:ascii="Times New Roman" w:eastAsia="Times New Roman" w:hAnsi="Times New Roman" w:cs="Times New Roman"/>
          <w:color w:val="000000"/>
          <w:lang w:val="de-DE"/>
        </w:rPr>
        <w:t xml:space="preserve">, in </w:t>
      </w:r>
      <w:r w:rsidR="00276556" w:rsidRPr="008E0C6A">
        <w:rPr>
          <w:rFonts w:ascii="Times New Roman" w:eastAsia="Times New Roman" w:hAnsi="Times New Roman" w:cs="Times New Roman"/>
          <w:i/>
          <w:color w:val="000000"/>
          <w:lang w:val="de-DE"/>
        </w:rPr>
        <w:t>Studi su Hegel</w:t>
      </w:r>
      <w:r w:rsidR="00276556" w:rsidRPr="008E0C6A">
        <w:rPr>
          <w:rFonts w:ascii="Times New Roman" w:eastAsia="Times New Roman" w:hAnsi="Times New Roman" w:cs="Times New Roman"/>
          <w:color w:val="000000"/>
          <w:lang w:val="de-DE"/>
        </w:rPr>
        <w:t>, Carocci, Roma 2020, pp. 125-141.</w:t>
      </w:r>
    </w:p>
    <w:p w14:paraId="55D01A0F" w14:textId="77777777" w:rsidR="00276556" w:rsidRPr="008E0C6A" w:rsidRDefault="00276556" w:rsidP="006B16F8">
      <w:pPr>
        <w:spacing w:line="360" w:lineRule="auto"/>
        <w:jc w:val="both"/>
        <w:rPr>
          <w:rFonts w:ascii="Times New Roman" w:hAnsi="Times New Roman" w:cs="Times New Roman"/>
        </w:rPr>
      </w:pPr>
    </w:p>
    <w:p w14:paraId="2B84A60A"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 </w:t>
      </w:r>
      <w:r w:rsidRPr="008E0C6A">
        <w:rPr>
          <w:rFonts w:ascii="Times New Roman" w:hAnsi="Times New Roman" w:cs="Times New Roman"/>
          <w:i/>
        </w:rPr>
        <w:t>La folgore incandescente dell’Assoluto</w:t>
      </w:r>
      <w:r w:rsidRPr="008E0C6A">
        <w:rPr>
          <w:rFonts w:ascii="Times New Roman" w:hAnsi="Times New Roman" w:cs="Times New Roman"/>
        </w:rPr>
        <w:t xml:space="preserve">, in </w:t>
      </w:r>
      <w:r w:rsidRPr="008E0C6A">
        <w:rPr>
          <w:rFonts w:ascii="Times New Roman" w:hAnsi="Times New Roman" w:cs="Times New Roman"/>
          <w:i/>
        </w:rPr>
        <w:t>Scritti su Hegel</w:t>
      </w:r>
      <w:r w:rsidRPr="008E0C6A">
        <w:rPr>
          <w:rFonts w:ascii="Times New Roman" w:hAnsi="Times New Roman" w:cs="Times New Roman"/>
        </w:rPr>
        <w:t>, cit., pp. 141-153.</w:t>
      </w:r>
    </w:p>
    <w:p w14:paraId="1AE29963" w14:textId="77777777" w:rsidR="00276556" w:rsidRPr="008E0C6A" w:rsidRDefault="00276556" w:rsidP="006B16F8">
      <w:pPr>
        <w:spacing w:line="360" w:lineRule="auto"/>
        <w:jc w:val="both"/>
        <w:rPr>
          <w:rFonts w:ascii="Times New Roman" w:eastAsia="Times New Roman" w:hAnsi="Times New Roman" w:cs="Times New Roman"/>
          <w:color w:val="000000"/>
          <w:lang w:val="de-DE"/>
        </w:rPr>
      </w:pPr>
    </w:p>
    <w:p w14:paraId="022336F2"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F. Chiereghin, </w:t>
      </w:r>
      <w:r w:rsidRPr="008E0C6A">
        <w:rPr>
          <w:rFonts w:ascii="Times New Roman" w:hAnsi="Times New Roman" w:cs="Times New Roman"/>
          <w:i/>
        </w:rPr>
        <w:t>L’influenza dello spinozismo nella formazione della filosofia hegeliana,</w:t>
      </w:r>
      <w:r w:rsidRPr="008E0C6A">
        <w:rPr>
          <w:rFonts w:ascii="Times New Roman" w:hAnsi="Times New Roman" w:cs="Times New Roman"/>
        </w:rPr>
        <w:t xml:space="preserve"> Padova,</w:t>
      </w:r>
      <w:r w:rsidRPr="008E0C6A">
        <w:rPr>
          <w:rFonts w:ascii="Times New Roman" w:hAnsi="Times New Roman" w:cs="Times New Roman"/>
          <w:i/>
        </w:rPr>
        <w:t xml:space="preserve"> </w:t>
      </w:r>
      <w:r w:rsidRPr="008E0C6A">
        <w:rPr>
          <w:rFonts w:ascii="Times New Roman" w:hAnsi="Times New Roman" w:cs="Times New Roman"/>
        </w:rPr>
        <w:t>CEDAM, 1961.</w:t>
      </w:r>
    </w:p>
    <w:p w14:paraId="1BFF9C70" w14:textId="77777777" w:rsidR="00276556" w:rsidRPr="008E0C6A" w:rsidRDefault="00276556" w:rsidP="006B16F8">
      <w:pPr>
        <w:spacing w:line="360" w:lineRule="auto"/>
        <w:jc w:val="both"/>
        <w:rPr>
          <w:rFonts w:ascii="Times New Roman" w:hAnsi="Times New Roman" w:cs="Times New Roman"/>
        </w:rPr>
      </w:pPr>
    </w:p>
    <w:p w14:paraId="382122D9" w14:textId="77777777" w:rsidR="00276556" w:rsidRPr="008E0C6A" w:rsidRDefault="00276556" w:rsidP="006B16F8">
      <w:pPr>
        <w:spacing w:line="360" w:lineRule="auto"/>
        <w:jc w:val="both"/>
        <w:rPr>
          <w:rFonts w:ascii="Times New Roman" w:eastAsia="Times New Roman" w:hAnsi="Times New Roman" w:cs="Times New Roman"/>
          <w:color w:val="000000"/>
        </w:rPr>
      </w:pPr>
      <w:r w:rsidRPr="008E0C6A">
        <w:rPr>
          <w:rFonts w:ascii="Times New Roman" w:eastAsia="Times New Roman" w:hAnsi="Times New Roman" w:cs="Times New Roman"/>
          <w:color w:val="000000"/>
        </w:rPr>
        <w:t xml:space="preserve">- </w:t>
      </w:r>
      <w:r w:rsidRPr="008E0C6A">
        <w:rPr>
          <w:rFonts w:ascii="Times New Roman" w:eastAsia="Times New Roman" w:hAnsi="Times New Roman" w:cs="Times New Roman"/>
          <w:i/>
          <w:color w:val="000000"/>
        </w:rPr>
        <w:t>Hegel e la metafisica classica</w:t>
      </w:r>
      <w:r w:rsidRPr="008E0C6A">
        <w:rPr>
          <w:rFonts w:ascii="Times New Roman" w:eastAsia="Times New Roman" w:hAnsi="Times New Roman" w:cs="Times New Roman"/>
          <w:color w:val="000000"/>
        </w:rPr>
        <w:t>, CEDAM, Padova 1966.</w:t>
      </w:r>
    </w:p>
    <w:p w14:paraId="6A42A51D" w14:textId="77777777" w:rsidR="00276556" w:rsidRPr="008E0C6A" w:rsidRDefault="00276556" w:rsidP="006B16F8">
      <w:pPr>
        <w:spacing w:line="360" w:lineRule="auto"/>
        <w:jc w:val="both"/>
        <w:rPr>
          <w:rFonts w:ascii="Times New Roman" w:eastAsia="Times New Roman" w:hAnsi="Times New Roman" w:cs="Times New Roman"/>
          <w:color w:val="000000"/>
        </w:rPr>
      </w:pPr>
    </w:p>
    <w:p w14:paraId="19C531EA" w14:textId="77777777" w:rsidR="00276556" w:rsidRPr="008E0C6A" w:rsidRDefault="00276556" w:rsidP="006B16F8">
      <w:pPr>
        <w:spacing w:line="360" w:lineRule="auto"/>
        <w:jc w:val="both"/>
        <w:rPr>
          <w:rFonts w:ascii="Times New Roman" w:hAnsi="Times New Roman" w:cs="Times New Roman"/>
        </w:rPr>
      </w:pPr>
      <w:r>
        <w:rPr>
          <w:rFonts w:ascii="Times New Roman" w:hAnsi="Times New Roman" w:cs="Times New Roman"/>
        </w:rPr>
        <w:t xml:space="preserve">- </w:t>
      </w:r>
      <w:r w:rsidRPr="008E0C6A">
        <w:rPr>
          <w:rFonts w:ascii="Times New Roman" w:hAnsi="Times New Roman" w:cs="Times New Roman"/>
          <w:i/>
        </w:rPr>
        <w:t>Dialettica dell’assoluto e ontologia della soggettività in Hegel</w:t>
      </w:r>
      <w:r w:rsidRPr="008E0C6A">
        <w:rPr>
          <w:rFonts w:ascii="Times New Roman" w:hAnsi="Times New Roman" w:cs="Times New Roman"/>
        </w:rPr>
        <w:t>, Verifiche, Trento 1980.</w:t>
      </w:r>
    </w:p>
    <w:p w14:paraId="3D189275" w14:textId="77777777" w:rsidR="00276556" w:rsidRPr="008E0C6A" w:rsidRDefault="00276556" w:rsidP="006B16F8">
      <w:pPr>
        <w:spacing w:line="360" w:lineRule="auto"/>
        <w:jc w:val="both"/>
        <w:rPr>
          <w:rFonts w:ascii="Times New Roman" w:hAnsi="Times New Roman" w:cs="Times New Roman"/>
        </w:rPr>
      </w:pPr>
    </w:p>
    <w:p w14:paraId="72B77209"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eastAsia="Times New Roman" w:hAnsi="Times New Roman" w:cs="Times New Roman"/>
          <w:color w:val="000000"/>
        </w:rPr>
        <w:t xml:space="preserve">- </w:t>
      </w:r>
      <w:r w:rsidRPr="008E0C6A">
        <w:rPr>
          <w:rFonts w:ascii="Times New Roman" w:eastAsia="Times New Roman" w:hAnsi="Times New Roman" w:cs="Times New Roman"/>
          <w:i/>
          <w:color w:val="000000"/>
        </w:rPr>
        <w:t>La metafisica dell’oggettività</w:t>
      </w:r>
      <w:r w:rsidRPr="008E0C6A">
        <w:rPr>
          <w:rFonts w:ascii="Times New Roman" w:eastAsia="Times New Roman" w:hAnsi="Times New Roman" w:cs="Times New Roman"/>
          <w:color w:val="000000"/>
        </w:rPr>
        <w:t xml:space="preserve">, in </w:t>
      </w:r>
      <w:r w:rsidRPr="008E0C6A">
        <w:rPr>
          <w:rFonts w:ascii="Times New Roman" w:eastAsia="Times New Roman" w:hAnsi="Times New Roman" w:cs="Times New Roman"/>
          <w:i/>
          <w:color w:val="000000"/>
        </w:rPr>
        <w:t>Logica e metafisica di Jena</w:t>
      </w:r>
      <w:r w:rsidRPr="008E0C6A">
        <w:rPr>
          <w:rFonts w:ascii="Times New Roman" w:eastAsia="Times New Roman" w:hAnsi="Times New Roman" w:cs="Times New Roman"/>
          <w:color w:val="000000"/>
        </w:rPr>
        <w:t xml:space="preserve"> (a cura di F. Chiereghin), traduzione, introduzione e commento di F. Biasutti, L. Bignami, F. Chiereghin, A. Gaiarsa, M. Giacin, F. Longato, F. Menegoni, A. Moretto, G. Perin Rossi, Verifiche, Trento 1980, pp. 494-501.</w:t>
      </w:r>
    </w:p>
    <w:p w14:paraId="029EB3D1" w14:textId="77777777" w:rsidR="00276556" w:rsidRPr="008E0C6A" w:rsidRDefault="00276556" w:rsidP="006B16F8">
      <w:pPr>
        <w:spacing w:line="360" w:lineRule="auto"/>
        <w:jc w:val="both"/>
        <w:rPr>
          <w:rFonts w:ascii="Times New Roman" w:hAnsi="Times New Roman" w:cs="Times New Roman"/>
        </w:rPr>
      </w:pPr>
    </w:p>
    <w:p w14:paraId="1D6505CF"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 </w:t>
      </w:r>
      <w:r w:rsidRPr="008E0C6A">
        <w:rPr>
          <w:rFonts w:ascii="Times New Roman" w:hAnsi="Times New Roman" w:cs="Times New Roman"/>
          <w:i/>
        </w:rPr>
        <w:t>Filologia spinoziana e spinozismo nella concezione politica di Hegel a Jena</w:t>
      </w:r>
      <w:r>
        <w:rPr>
          <w:rFonts w:ascii="Times New Roman" w:hAnsi="Times New Roman" w:cs="Times New Roman"/>
        </w:rPr>
        <w:t>, in «Verifiche», n. 4 (</w:t>
      </w:r>
      <w:r w:rsidRPr="008E0C6A">
        <w:rPr>
          <w:rFonts w:ascii="Times New Roman" w:hAnsi="Times New Roman" w:cs="Times New Roman"/>
        </w:rPr>
        <w:t>1997</w:t>
      </w:r>
      <w:r>
        <w:rPr>
          <w:rFonts w:ascii="Times New Roman" w:hAnsi="Times New Roman" w:cs="Times New Roman"/>
        </w:rPr>
        <w:t>)</w:t>
      </w:r>
      <w:r w:rsidRPr="008E0C6A">
        <w:rPr>
          <w:rFonts w:ascii="Times New Roman" w:hAnsi="Times New Roman" w:cs="Times New Roman"/>
        </w:rPr>
        <w:t>, pp. 707-731.</w:t>
      </w:r>
    </w:p>
    <w:p w14:paraId="479CA879" w14:textId="77777777" w:rsidR="00276556" w:rsidRPr="008E0C6A" w:rsidRDefault="00276556" w:rsidP="006B16F8">
      <w:pPr>
        <w:spacing w:line="360" w:lineRule="auto"/>
        <w:jc w:val="both"/>
        <w:rPr>
          <w:rFonts w:ascii="Times New Roman" w:hAnsi="Times New Roman" w:cs="Times New Roman"/>
        </w:rPr>
      </w:pPr>
    </w:p>
    <w:p w14:paraId="5FF8055E"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 </w:t>
      </w:r>
      <w:r w:rsidRPr="008E0C6A">
        <w:rPr>
          <w:rFonts w:ascii="Times New Roman" w:hAnsi="Times New Roman" w:cs="Times New Roman"/>
          <w:i/>
        </w:rPr>
        <w:t>Rileggere la Scienza della Logica. Ricorsività, retroazioni, ologrammi</w:t>
      </w:r>
      <w:r w:rsidRPr="008E0C6A">
        <w:rPr>
          <w:rFonts w:ascii="Times New Roman" w:hAnsi="Times New Roman" w:cs="Times New Roman"/>
        </w:rPr>
        <w:t>, Carocci, Roma 2011.</w:t>
      </w:r>
    </w:p>
    <w:p w14:paraId="48F2D811" w14:textId="77777777" w:rsidR="00276556" w:rsidRPr="008E0C6A" w:rsidRDefault="00276556" w:rsidP="006B16F8">
      <w:pPr>
        <w:spacing w:line="360" w:lineRule="auto"/>
        <w:jc w:val="both"/>
        <w:rPr>
          <w:rFonts w:ascii="Times New Roman" w:hAnsi="Times New Roman" w:cs="Times New Roman"/>
        </w:rPr>
      </w:pPr>
    </w:p>
    <w:p w14:paraId="2757D3C0" w14:textId="77777777" w:rsidR="00276556" w:rsidRPr="008E0C6A" w:rsidRDefault="00276556" w:rsidP="006B16F8">
      <w:pPr>
        <w:pStyle w:val="Testonotaapidipagina"/>
        <w:spacing w:line="360" w:lineRule="auto"/>
        <w:jc w:val="both"/>
        <w:rPr>
          <w:rFonts w:ascii="Times New Roman" w:hAnsi="Times New Roman" w:cs="Times New Roman"/>
        </w:rPr>
      </w:pPr>
      <w:r w:rsidRPr="008E0C6A">
        <w:rPr>
          <w:rFonts w:ascii="Times New Roman" w:hAnsi="Times New Roman" w:cs="Times New Roman"/>
          <w:i/>
        </w:rPr>
        <w:t>- De l’organisation de la logique hégéliene à son auto-organisation entre 1804-1805 et 1805-1806</w:t>
      </w:r>
      <w:r w:rsidRPr="008E0C6A">
        <w:rPr>
          <w:rFonts w:ascii="Times New Roman" w:hAnsi="Times New Roman" w:cs="Times New Roman"/>
        </w:rPr>
        <w:t xml:space="preserve">, in </w:t>
      </w:r>
      <w:r w:rsidRPr="008E0C6A">
        <w:rPr>
          <w:rFonts w:ascii="Times New Roman" w:hAnsi="Times New Roman" w:cs="Times New Roman"/>
          <w:i/>
        </w:rPr>
        <w:t>Hegel à Iéna</w:t>
      </w:r>
      <w:r w:rsidRPr="008E0C6A">
        <w:rPr>
          <w:rFonts w:ascii="Times New Roman" w:hAnsi="Times New Roman" w:cs="Times New Roman"/>
        </w:rPr>
        <w:t>, a cura di J.-M. Buée e E. Renault, Ens Editiones, Paris 2015, pp. 64-79.</w:t>
      </w:r>
    </w:p>
    <w:p w14:paraId="6F6342D7" w14:textId="77777777" w:rsidR="00276556" w:rsidRPr="008E0C6A" w:rsidRDefault="00276556" w:rsidP="006B16F8">
      <w:pPr>
        <w:pStyle w:val="Testonotaapidipagina"/>
        <w:spacing w:line="360" w:lineRule="auto"/>
        <w:jc w:val="both"/>
        <w:rPr>
          <w:rFonts w:ascii="Times New Roman" w:hAnsi="Times New Roman" w:cs="Times New Roman"/>
        </w:rPr>
      </w:pPr>
    </w:p>
    <w:p w14:paraId="4E0826FE"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M. Cingoli, </w:t>
      </w:r>
      <w:r w:rsidRPr="008E0C6A">
        <w:rPr>
          <w:rFonts w:ascii="Times New Roman" w:hAnsi="Times New Roman" w:cs="Times New Roman"/>
          <w:i/>
        </w:rPr>
        <w:t>La Qualità nella Scienza della Logica di Hegel. Commento al Libro I, Sezione I</w:t>
      </w:r>
      <w:r w:rsidRPr="008E0C6A">
        <w:rPr>
          <w:rFonts w:ascii="Times New Roman" w:hAnsi="Times New Roman" w:cs="Times New Roman"/>
        </w:rPr>
        <w:t>, Gerini, Milano 1997.</w:t>
      </w:r>
    </w:p>
    <w:p w14:paraId="29CCC5E7" w14:textId="77777777" w:rsidR="00276556" w:rsidRPr="008E0C6A" w:rsidRDefault="00276556" w:rsidP="006B16F8">
      <w:pPr>
        <w:spacing w:line="360" w:lineRule="auto"/>
        <w:jc w:val="both"/>
        <w:rPr>
          <w:rFonts w:ascii="Times New Roman" w:hAnsi="Times New Roman" w:cs="Times New Roman"/>
        </w:rPr>
      </w:pPr>
    </w:p>
    <w:p w14:paraId="2FD0EA6A" w14:textId="77777777" w:rsidR="00276556"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P. Coda, </w:t>
      </w:r>
      <w:r w:rsidRPr="008E0C6A">
        <w:rPr>
          <w:rFonts w:ascii="Times New Roman" w:hAnsi="Times New Roman" w:cs="Times New Roman"/>
          <w:i/>
        </w:rPr>
        <w:t>Il negativo e la Trinità. Ipotesi su Hegel</w:t>
      </w:r>
      <w:r w:rsidRPr="008E0C6A">
        <w:rPr>
          <w:rFonts w:ascii="Times New Roman" w:hAnsi="Times New Roman" w:cs="Times New Roman"/>
        </w:rPr>
        <w:t>, Città Nuova Editrice, Roma 1986.</w:t>
      </w:r>
    </w:p>
    <w:p w14:paraId="585AF72D" w14:textId="77777777" w:rsidR="00E75349" w:rsidRPr="00E75349" w:rsidRDefault="00E75349" w:rsidP="006B16F8">
      <w:pPr>
        <w:spacing w:line="360" w:lineRule="auto"/>
        <w:jc w:val="both"/>
        <w:rPr>
          <w:rFonts w:ascii="Times New Roman" w:hAnsi="Times New Roman" w:cs="Times New Roman"/>
        </w:rPr>
      </w:pPr>
    </w:p>
    <w:p w14:paraId="34C96745" w14:textId="5CD82842" w:rsidR="00E75349" w:rsidRPr="00E75349" w:rsidRDefault="00E75349" w:rsidP="006B16F8">
      <w:pPr>
        <w:spacing w:line="360" w:lineRule="auto"/>
        <w:jc w:val="both"/>
        <w:rPr>
          <w:rFonts w:ascii="Times New Roman" w:hAnsi="Times New Roman" w:cs="Times New Roman"/>
        </w:rPr>
      </w:pPr>
      <w:r w:rsidRPr="00E75349">
        <w:rPr>
          <w:rFonts w:ascii="Times New Roman" w:hAnsi="Times New Roman" w:cs="Times New Roman"/>
        </w:rPr>
        <w:t xml:space="preserve">L. Corti, </w:t>
      </w:r>
      <w:r w:rsidRPr="00E75349">
        <w:rPr>
          <w:rFonts w:ascii="Times New Roman" w:hAnsi="Times New Roman" w:cs="Times New Roman"/>
          <w:i/>
        </w:rPr>
        <w:t>Ritratti hegeliani</w:t>
      </w:r>
      <w:r w:rsidRPr="00E75349">
        <w:rPr>
          <w:rFonts w:ascii="Times New Roman" w:hAnsi="Times New Roman" w:cs="Times New Roman"/>
        </w:rPr>
        <w:t>, Carocci, Roma 2014</w:t>
      </w:r>
      <w:r>
        <w:rPr>
          <w:rFonts w:ascii="Times New Roman" w:hAnsi="Times New Roman" w:cs="Times New Roman"/>
        </w:rPr>
        <w:t>.</w:t>
      </w:r>
    </w:p>
    <w:p w14:paraId="7CBDA086" w14:textId="77777777" w:rsidR="00276556" w:rsidRPr="008E0C6A" w:rsidRDefault="00276556" w:rsidP="006B16F8">
      <w:pPr>
        <w:spacing w:line="360" w:lineRule="auto"/>
        <w:jc w:val="both"/>
        <w:rPr>
          <w:rFonts w:ascii="Times New Roman" w:hAnsi="Times New Roman" w:cs="Times New Roman"/>
        </w:rPr>
      </w:pPr>
    </w:p>
    <w:p w14:paraId="11C4217B" w14:textId="77777777" w:rsidR="00276556"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F. Cuniberto, </w:t>
      </w:r>
      <w:r w:rsidRPr="008E0C6A">
        <w:rPr>
          <w:rFonts w:ascii="Times New Roman" w:hAnsi="Times New Roman" w:cs="Times New Roman"/>
          <w:i/>
        </w:rPr>
        <w:t>Jakob Böhme</w:t>
      </w:r>
      <w:r w:rsidRPr="008E0C6A">
        <w:rPr>
          <w:rFonts w:ascii="Times New Roman" w:hAnsi="Times New Roman" w:cs="Times New Roman"/>
        </w:rPr>
        <w:t>, Morscelliana, Brescia 2000.</w:t>
      </w:r>
    </w:p>
    <w:p w14:paraId="207D4FAC" w14:textId="77777777" w:rsidR="00B606AE" w:rsidRPr="00C3338C" w:rsidRDefault="00B606AE" w:rsidP="006B16F8">
      <w:pPr>
        <w:spacing w:line="360" w:lineRule="auto"/>
        <w:jc w:val="both"/>
        <w:rPr>
          <w:rFonts w:ascii="Times New Roman" w:hAnsi="Times New Roman" w:cs="Times New Roman"/>
        </w:rPr>
      </w:pPr>
    </w:p>
    <w:p w14:paraId="0763F366" w14:textId="77777777" w:rsidR="00B606AE" w:rsidRPr="008E0C6A" w:rsidRDefault="00B606AE" w:rsidP="00B606AE">
      <w:pPr>
        <w:spacing w:line="360" w:lineRule="auto"/>
        <w:jc w:val="both"/>
        <w:rPr>
          <w:rFonts w:ascii="Times New Roman" w:hAnsi="Times New Roman" w:cs="Times New Roman"/>
        </w:rPr>
      </w:pPr>
      <w:r w:rsidRPr="008E0C6A">
        <w:rPr>
          <w:rFonts w:ascii="Times New Roman" w:hAnsi="Times New Roman" w:cs="Times New Roman"/>
        </w:rPr>
        <w:t xml:space="preserve">F. D’Agostini, </w:t>
      </w:r>
      <w:r w:rsidRPr="008E0C6A">
        <w:rPr>
          <w:rFonts w:ascii="Times New Roman" w:hAnsi="Times New Roman" w:cs="Times New Roman"/>
          <w:i/>
        </w:rPr>
        <w:t>Il nulla e la nascita filosofica dell’Europa</w:t>
      </w:r>
      <w:r w:rsidRPr="008E0C6A">
        <w:rPr>
          <w:rFonts w:ascii="Times New Roman" w:hAnsi="Times New Roman" w:cs="Times New Roman"/>
        </w:rPr>
        <w:t>, in «Consecutio rerum»</w:t>
      </w:r>
      <w:r>
        <w:rPr>
          <w:rFonts w:ascii="Times New Roman" w:hAnsi="Times New Roman" w:cs="Times New Roman"/>
        </w:rPr>
        <w:t>, n. 2</w:t>
      </w:r>
      <w:r w:rsidRPr="008E0C6A">
        <w:rPr>
          <w:rFonts w:ascii="Times New Roman" w:hAnsi="Times New Roman" w:cs="Times New Roman"/>
        </w:rPr>
        <w:t xml:space="preserve"> </w:t>
      </w:r>
      <w:r>
        <w:rPr>
          <w:rFonts w:ascii="Times New Roman" w:hAnsi="Times New Roman" w:cs="Times New Roman"/>
        </w:rPr>
        <w:t>(</w:t>
      </w:r>
      <w:r w:rsidRPr="008E0C6A">
        <w:rPr>
          <w:rFonts w:ascii="Times New Roman" w:hAnsi="Times New Roman" w:cs="Times New Roman"/>
        </w:rPr>
        <w:t>2017</w:t>
      </w:r>
      <w:r>
        <w:rPr>
          <w:rFonts w:ascii="Times New Roman" w:hAnsi="Times New Roman" w:cs="Times New Roman"/>
        </w:rPr>
        <w:t>)</w:t>
      </w:r>
      <w:r w:rsidRPr="008E0C6A">
        <w:rPr>
          <w:rFonts w:ascii="Times New Roman" w:hAnsi="Times New Roman" w:cs="Times New Roman"/>
        </w:rPr>
        <w:t>, pp. 11-31.</w:t>
      </w:r>
    </w:p>
    <w:p w14:paraId="2C451545" w14:textId="77777777" w:rsidR="00276556" w:rsidRPr="008E0C6A" w:rsidRDefault="00276556" w:rsidP="006B16F8">
      <w:pPr>
        <w:spacing w:line="360" w:lineRule="auto"/>
        <w:jc w:val="both"/>
        <w:rPr>
          <w:rFonts w:ascii="Times New Roman" w:hAnsi="Times New Roman" w:cs="Times New Roman"/>
        </w:rPr>
      </w:pPr>
    </w:p>
    <w:p w14:paraId="714DCAA2"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T. Dagron, </w:t>
      </w:r>
      <w:r w:rsidRPr="008E0C6A">
        <w:rPr>
          <w:rFonts w:ascii="Times New Roman" w:hAnsi="Times New Roman" w:cs="Times New Roman"/>
          <w:i/>
        </w:rPr>
        <w:t>Toland et Leibniz. L’invention du Néo-Spinozisme</w:t>
      </w:r>
      <w:r w:rsidRPr="008E0C6A">
        <w:rPr>
          <w:rFonts w:ascii="Times New Roman" w:hAnsi="Times New Roman" w:cs="Times New Roman"/>
        </w:rPr>
        <w:t>, Librairie Philosophique J. Vrin, Paris, 2009.</w:t>
      </w:r>
    </w:p>
    <w:p w14:paraId="5063AF7F" w14:textId="77777777" w:rsidR="00276556" w:rsidRPr="008E0C6A" w:rsidRDefault="00276556" w:rsidP="006B16F8">
      <w:pPr>
        <w:spacing w:line="360" w:lineRule="auto"/>
        <w:jc w:val="both"/>
        <w:rPr>
          <w:rFonts w:ascii="Times New Roman" w:hAnsi="Times New Roman" w:cs="Times New Roman"/>
        </w:rPr>
      </w:pPr>
    </w:p>
    <w:p w14:paraId="1B5084B7"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C. Danz (hrsg. von), </w:t>
      </w:r>
      <w:r w:rsidRPr="008E0C6A">
        <w:rPr>
          <w:rFonts w:ascii="Times New Roman" w:hAnsi="Times New Roman" w:cs="Times New Roman"/>
          <w:i/>
        </w:rPr>
        <w:t>Schelling in Würzburg</w:t>
      </w:r>
      <w:r w:rsidRPr="008E0C6A">
        <w:rPr>
          <w:rFonts w:ascii="Times New Roman" w:hAnsi="Times New Roman" w:cs="Times New Roman"/>
        </w:rPr>
        <w:t>, Fromman-Holzboog, Stuttgart 2017.</w:t>
      </w:r>
    </w:p>
    <w:p w14:paraId="10CA9F24" w14:textId="77777777" w:rsidR="00276556" w:rsidRPr="008E0C6A" w:rsidRDefault="00276556" w:rsidP="006B16F8">
      <w:pPr>
        <w:spacing w:line="360" w:lineRule="auto"/>
        <w:jc w:val="both"/>
        <w:rPr>
          <w:rFonts w:ascii="Times New Roman" w:hAnsi="Times New Roman" w:cs="Times New Roman"/>
        </w:rPr>
      </w:pPr>
    </w:p>
    <w:p w14:paraId="4847F029" w14:textId="77777777" w:rsidR="00276556" w:rsidRDefault="00276556" w:rsidP="006B16F8">
      <w:pPr>
        <w:spacing w:line="360" w:lineRule="auto"/>
        <w:jc w:val="both"/>
        <w:rPr>
          <w:rFonts w:ascii="Times New Roman" w:eastAsia="Times New Roman" w:hAnsi="Times New Roman" w:cs="Times New Roman"/>
          <w:color w:val="000000"/>
          <w:lang w:val="de-DE"/>
        </w:rPr>
      </w:pPr>
      <w:r w:rsidRPr="008E0C6A">
        <w:rPr>
          <w:rFonts w:ascii="Times New Roman" w:hAnsi="Times New Roman" w:cs="Times New Roman"/>
        </w:rPr>
        <w:t xml:space="preserve">D. Di Cesare, </w:t>
      </w:r>
      <w:r w:rsidRPr="008E0C6A">
        <w:rPr>
          <w:rFonts w:ascii="Times New Roman" w:hAnsi="Times New Roman" w:cs="Times New Roman"/>
          <w:i/>
        </w:rPr>
        <w:t>Heidegger e gli ebrei. I «Quaderni neri</w:t>
      </w:r>
      <w:r w:rsidRPr="008E0C6A">
        <w:rPr>
          <w:rFonts w:ascii="Times New Roman" w:eastAsia="Times New Roman" w:hAnsi="Times New Roman" w:cs="Times New Roman"/>
          <w:i/>
          <w:color w:val="000000"/>
          <w:lang w:val="de-DE"/>
        </w:rPr>
        <w:t>»</w:t>
      </w:r>
      <w:r w:rsidRPr="008E0C6A">
        <w:rPr>
          <w:rFonts w:ascii="Times New Roman" w:eastAsia="Times New Roman" w:hAnsi="Times New Roman" w:cs="Times New Roman"/>
          <w:color w:val="000000"/>
          <w:lang w:val="de-DE"/>
        </w:rPr>
        <w:t>, Bollati Boringhieri, Torino 2014.</w:t>
      </w:r>
    </w:p>
    <w:p w14:paraId="1A834372" w14:textId="77777777" w:rsidR="00E75349" w:rsidRDefault="00E75349" w:rsidP="006B16F8">
      <w:pPr>
        <w:spacing w:line="360" w:lineRule="auto"/>
        <w:jc w:val="both"/>
        <w:rPr>
          <w:rFonts w:ascii="Times New Roman" w:eastAsia="Times New Roman" w:hAnsi="Times New Roman" w:cs="Times New Roman"/>
          <w:color w:val="000000"/>
          <w:lang w:val="de-DE"/>
        </w:rPr>
      </w:pPr>
    </w:p>
    <w:p w14:paraId="38BF3133" w14:textId="23D46A14" w:rsidR="00E75349" w:rsidRPr="00E75349" w:rsidRDefault="00E75349" w:rsidP="006B16F8">
      <w:pPr>
        <w:spacing w:line="360" w:lineRule="auto"/>
        <w:jc w:val="both"/>
        <w:rPr>
          <w:rFonts w:ascii="Times New Roman" w:eastAsia="Times New Roman" w:hAnsi="Times New Roman" w:cs="Times New Roman"/>
          <w:color w:val="000000"/>
          <w:lang w:val="de-DE"/>
        </w:rPr>
      </w:pPr>
      <w:r w:rsidRPr="00E75349">
        <w:rPr>
          <w:rFonts w:ascii="Times New Roman" w:hAnsi="Times New Roman" w:cs="Times New Roman"/>
        </w:rPr>
        <w:t xml:space="preserve">W. Dilthey, </w:t>
      </w:r>
      <w:r w:rsidRPr="00E75349">
        <w:rPr>
          <w:rFonts w:ascii="Times New Roman" w:hAnsi="Times New Roman" w:cs="Times New Roman"/>
          <w:i/>
        </w:rPr>
        <w:t>Die Jugendgeschichte Hegels</w:t>
      </w:r>
      <w:r w:rsidRPr="00E75349">
        <w:rPr>
          <w:rFonts w:ascii="Times New Roman" w:hAnsi="Times New Roman" w:cs="Times New Roman"/>
        </w:rPr>
        <w:t xml:space="preserve">, in </w:t>
      </w:r>
      <w:r w:rsidRPr="00E75349">
        <w:rPr>
          <w:rFonts w:ascii="Times New Roman" w:hAnsi="Times New Roman" w:cs="Times New Roman"/>
          <w:i/>
        </w:rPr>
        <w:t>Gesammelte Schriften</w:t>
      </w:r>
      <w:r w:rsidRPr="00E75349">
        <w:rPr>
          <w:rFonts w:ascii="Times New Roman" w:hAnsi="Times New Roman" w:cs="Times New Roman"/>
        </w:rPr>
        <w:t xml:space="preserve"> </w:t>
      </w:r>
      <w:r w:rsidRPr="00E75349">
        <w:rPr>
          <w:rFonts w:ascii="Times New Roman" w:hAnsi="Times New Roman" w:cs="Times New Roman"/>
          <w:i/>
        </w:rPr>
        <w:t>IV</w:t>
      </w:r>
      <w:r w:rsidRPr="00E75349">
        <w:rPr>
          <w:rFonts w:ascii="Times New Roman" w:hAnsi="Times New Roman" w:cs="Times New Roman"/>
        </w:rPr>
        <w:t>, Teubner Verlagsgesellschaft, Stuttgart 1959</w:t>
      </w:r>
      <w:r>
        <w:rPr>
          <w:rFonts w:ascii="Times New Roman" w:hAnsi="Times New Roman" w:cs="Times New Roman"/>
        </w:rPr>
        <w:t>.</w:t>
      </w:r>
    </w:p>
    <w:p w14:paraId="0AD524B2" w14:textId="77777777" w:rsidR="00276556" w:rsidRPr="008E0C6A" w:rsidRDefault="00276556" w:rsidP="006B16F8">
      <w:pPr>
        <w:spacing w:line="360" w:lineRule="auto"/>
        <w:jc w:val="both"/>
        <w:rPr>
          <w:rFonts w:ascii="Times New Roman" w:eastAsia="Times New Roman" w:hAnsi="Times New Roman" w:cs="Times New Roman"/>
          <w:color w:val="000000"/>
          <w:lang w:val="de-DE"/>
        </w:rPr>
      </w:pPr>
    </w:p>
    <w:p w14:paraId="2DED854D" w14:textId="77777777" w:rsidR="00276556" w:rsidRPr="008E0C6A" w:rsidRDefault="00276556" w:rsidP="006B16F8">
      <w:pPr>
        <w:spacing w:line="360" w:lineRule="auto"/>
        <w:jc w:val="both"/>
        <w:rPr>
          <w:rFonts w:ascii="Times New Roman" w:eastAsia="Times New Roman" w:hAnsi="Times New Roman" w:cs="Times New Roman"/>
          <w:color w:val="000000"/>
          <w:lang w:val="de-DE"/>
        </w:rPr>
      </w:pPr>
      <w:r w:rsidRPr="008E0C6A">
        <w:rPr>
          <w:rFonts w:ascii="Times New Roman" w:hAnsi="Times New Roman" w:cs="Times New Roman"/>
        </w:rPr>
        <w:t xml:space="preserve">K. Düsing, </w:t>
      </w:r>
      <w:r w:rsidRPr="008E0C6A">
        <w:rPr>
          <w:rFonts w:ascii="Times New Roman" w:hAnsi="Times New Roman" w:cs="Times New Roman"/>
          <w:i/>
        </w:rPr>
        <w:t>Hegel und die Geschichte der Philosophie</w:t>
      </w:r>
      <w:r w:rsidRPr="008E0C6A">
        <w:rPr>
          <w:rFonts w:ascii="Times New Roman" w:hAnsi="Times New Roman" w:cs="Times New Roman"/>
        </w:rPr>
        <w:t>, Wissenschaftliche Buchgesellschaft, Darmstadt 1983.</w:t>
      </w:r>
    </w:p>
    <w:p w14:paraId="0C1F9D23" w14:textId="77777777" w:rsidR="00276556" w:rsidRPr="008E0C6A" w:rsidRDefault="00276556" w:rsidP="006B16F8">
      <w:pPr>
        <w:spacing w:line="360" w:lineRule="auto"/>
        <w:jc w:val="both"/>
        <w:rPr>
          <w:rFonts w:ascii="Times New Roman" w:eastAsia="Times New Roman" w:hAnsi="Times New Roman" w:cs="Times New Roman"/>
          <w:color w:val="000000"/>
          <w:lang w:val="de-DE"/>
        </w:rPr>
      </w:pPr>
    </w:p>
    <w:p w14:paraId="33DC0A1A" w14:textId="3C2A489E" w:rsidR="00276556" w:rsidRPr="008E0C6A" w:rsidRDefault="00276556" w:rsidP="006B16F8">
      <w:pPr>
        <w:spacing w:line="360" w:lineRule="auto"/>
        <w:jc w:val="both"/>
        <w:rPr>
          <w:rFonts w:ascii="Times New Roman" w:eastAsia="Times New Roman" w:hAnsi="Times New Roman" w:cs="Times New Roman"/>
          <w:color w:val="000000"/>
        </w:rPr>
      </w:pPr>
      <w:r w:rsidRPr="008E0C6A">
        <w:rPr>
          <w:rFonts w:ascii="Times New Roman" w:hAnsi="Times New Roman" w:cs="Times New Roman"/>
          <w:lang w:val="de-DE"/>
        </w:rPr>
        <w:t xml:space="preserve">S. Edel, </w:t>
      </w:r>
      <w:r w:rsidRPr="008E0C6A">
        <w:rPr>
          <w:rFonts w:ascii="Times New Roman" w:hAnsi="Times New Roman" w:cs="Times New Roman"/>
          <w:i/>
          <w:lang w:val="de-DE"/>
        </w:rPr>
        <w:t>Die individuelle Substanz bei Böhme und Leibniz. Die Kabbala als tertium comparationis für eine rezeptionsgeschichtliche Untersuchung</w:t>
      </w:r>
      <w:r w:rsidRPr="008E0C6A">
        <w:rPr>
          <w:rFonts w:ascii="Times New Roman" w:hAnsi="Times New Roman" w:cs="Times New Roman"/>
          <w:lang w:val="de-DE"/>
        </w:rPr>
        <w:t>, Franz Steiner Verlag, Stuttgart 1995</w:t>
      </w:r>
      <w:r w:rsidR="003F6B27">
        <w:rPr>
          <w:rFonts w:ascii="Times New Roman" w:hAnsi="Times New Roman" w:cs="Times New Roman"/>
          <w:lang w:val="de-DE"/>
        </w:rPr>
        <w:t>.</w:t>
      </w:r>
    </w:p>
    <w:p w14:paraId="1B7C5EBD" w14:textId="77777777" w:rsidR="00276556" w:rsidRPr="008E0C6A" w:rsidRDefault="00276556" w:rsidP="006B16F8">
      <w:pPr>
        <w:spacing w:line="360" w:lineRule="auto"/>
        <w:jc w:val="both"/>
        <w:rPr>
          <w:rFonts w:ascii="Times New Roman" w:eastAsia="Times New Roman" w:hAnsi="Times New Roman" w:cs="Times New Roman"/>
          <w:color w:val="000000"/>
          <w:lang w:val="de-DE"/>
        </w:rPr>
      </w:pPr>
    </w:p>
    <w:p w14:paraId="0D4B4398" w14:textId="77777777" w:rsidR="00276556" w:rsidRPr="008E0C6A" w:rsidRDefault="00276556" w:rsidP="006B16F8">
      <w:pPr>
        <w:spacing w:line="360" w:lineRule="auto"/>
        <w:jc w:val="both"/>
        <w:rPr>
          <w:rFonts w:ascii="Times New Roman" w:eastAsia="Times New Roman" w:hAnsi="Times New Roman" w:cs="Times New Roman"/>
          <w:color w:val="000000"/>
        </w:rPr>
      </w:pPr>
      <w:r w:rsidRPr="008E0C6A">
        <w:rPr>
          <w:rFonts w:ascii="Times New Roman" w:hAnsi="Times New Roman" w:cs="Times New Roman"/>
        </w:rPr>
        <w:t xml:space="preserve">S. Farinella, </w:t>
      </w:r>
      <w:r w:rsidRPr="008E0C6A">
        <w:rPr>
          <w:rFonts w:ascii="Times New Roman" w:hAnsi="Times New Roman" w:cs="Times New Roman"/>
          <w:i/>
        </w:rPr>
        <w:t>Da Wachter ad Hegel: genesi e sviluppo del concetto d’acosmismo nella filosofia moderna e classica tedesca</w:t>
      </w:r>
      <w:r w:rsidRPr="008E0C6A">
        <w:rPr>
          <w:rFonts w:ascii="Times New Roman" w:hAnsi="Times New Roman" w:cs="Times New Roman"/>
        </w:rPr>
        <w:t>, in «Quaderni materialisti</w:t>
      </w:r>
      <w:r w:rsidRPr="008E0C6A">
        <w:rPr>
          <w:rFonts w:ascii="Times New Roman" w:eastAsia="Times New Roman" w:hAnsi="Times New Roman" w:cs="Times New Roman"/>
          <w:color w:val="000000"/>
        </w:rPr>
        <w:t>», vol. 17</w:t>
      </w:r>
      <w:r>
        <w:rPr>
          <w:rFonts w:ascii="Times New Roman" w:eastAsia="Times New Roman" w:hAnsi="Times New Roman" w:cs="Times New Roman"/>
          <w:color w:val="000000"/>
        </w:rPr>
        <w:t xml:space="preserve"> (2019)</w:t>
      </w:r>
      <w:r w:rsidRPr="008E0C6A">
        <w:rPr>
          <w:rFonts w:ascii="Times New Roman" w:eastAsia="Times New Roman" w:hAnsi="Times New Roman" w:cs="Times New Roman"/>
          <w:color w:val="000000"/>
        </w:rPr>
        <w:t>, pp. 189-205.</w:t>
      </w:r>
    </w:p>
    <w:p w14:paraId="1B6CC3E9" w14:textId="77777777" w:rsidR="00276556" w:rsidRPr="008E0C6A" w:rsidRDefault="00276556" w:rsidP="006B16F8">
      <w:pPr>
        <w:spacing w:line="360" w:lineRule="auto"/>
        <w:jc w:val="both"/>
        <w:rPr>
          <w:rFonts w:ascii="Times New Roman" w:eastAsia="Times New Roman" w:hAnsi="Times New Roman" w:cs="Times New Roman"/>
          <w:color w:val="000000"/>
        </w:rPr>
      </w:pPr>
    </w:p>
    <w:p w14:paraId="36A48322"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N. Fazioni, </w:t>
      </w:r>
      <w:r w:rsidRPr="008E0C6A">
        <w:rPr>
          <w:rFonts w:ascii="Times New Roman" w:hAnsi="Times New Roman" w:cs="Times New Roman"/>
          <w:i/>
        </w:rPr>
        <w:t>Il problema della contingenza. Logica e politica in Hegel</w:t>
      </w:r>
      <w:r w:rsidRPr="008E0C6A">
        <w:rPr>
          <w:rFonts w:ascii="Times New Roman" w:hAnsi="Times New Roman" w:cs="Times New Roman"/>
        </w:rPr>
        <w:t>, Franco Angeli, Milano 2014.</w:t>
      </w:r>
    </w:p>
    <w:p w14:paraId="60477FBF" w14:textId="77777777" w:rsidR="00276556" w:rsidRPr="008E0C6A" w:rsidRDefault="00276556" w:rsidP="006B16F8">
      <w:pPr>
        <w:spacing w:line="360" w:lineRule="auto"/>
        <w:jc w:val="both"/>
        <w:rPr>
          <w:rFonts w:ascii="Times New Roman" w:eastAsia="Times New Roman" w:hAnsi="Times New Roman" w:cs="Times New Roman"/>
          <w:color w:val="000000"/>
        </w:rPr>
      </w:pPr>
    </w:p>
    <w:p w14:paraId="31FCBEC5" w14:textId="77777777" w:rsidR="00276556"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A. Ferrarin, </w:t>
      </w:r>
      <w:r w:rsidRPr="008E0C6A">
        <w:rPr>
          <w:rFonts w:ascii="Times New Roman" w:hAnsi="Times New Roman" w:cs="Times New Roman"/>
          <w:i/>
        </w:rPr>
        <w:t>Hegel and Aristotle</w:t>
      </w:r>
      <w:r w:rsidRPr="008E0C6A">
        <w:rPr>
          <w:rFonts w:ascii="Times New Roman" w:hAnsi="Times New Roman" w:cs="Times New Roman"/>
        </w:rPr>
        <w:t>, Cambridge University Press, Cambridge 2001.</w:t>
      </w:r>
    </w:p>
    <w:p w14:paraId="0102D6D8" w14:textId="77777777" w:rsidR="00B43240" w:rsidRDefault="00B43240" w:rsidP="006B16F8">
      <w:pPr>
        <w:spacing w:line="360" w:lineRule="auto"/>
        <w:jc w:val="both"/>
        <w:rPr>
          <w:rFonts w:ascii="Times New Roman" w:hAnsi="Times New Roman" w:cs="Times New Roman"/>
        </w:rPr>
      </w:pPr>
    </w:p>
    <w:p w14:paraId="64F8BC89" w14:textId="120C6E4D" w:rsidR="00B43240" w:rsidRPr="008E0C6A" w:rsidRDefault="00B43240" w:rsidP="006B16F8">
      <w:pPr>
        <w:spacing w:line="360" w:lineRule="auto"/>
        <w:jc w:val="both"/>
        <w:rPr>
          <w:rFonts w:ascii="Times New Roman" w:hAnsi="Times New Roman" w:cs="Times New Roman"/>
        </w:rPr>
      </w:pPr>
      <w:r>
        <w:rPr>
          <w:rFonts w:ascii="Times New Roman" w:hAnsi="Times New Roman" w:cs="Times New Roman"/>
        </w:rPr>
        <w:t xml:space="preserve">- </w:t>
      </w:r>
      <w:r w:rsidRPr="00B43240">
        <w:rPr>
          <w:rFonts w:ascii="Times New Roman" w:hAnsi="Times New Roman" w:cs="Times New Roman"/>
          <w:i/>
        </w:rPr>
        <w:t>Thinking and the I: Hegel and the Critique of Kant</w:t>
      </w:r>
      <w:r>
        <w:rPr>
          <w:rFonts w:ascii="Times New Roman" w:hAnsi="Times New Roman" w:cs="Times New Roman"/>
        </w:rPr>
        <w:t>, Northwestern University Press, Evanston 2019.</w:t>
      </w:r>
    </w:p>
    <w:p w14:paraId="482F531F" w14:textId="77777777" w:rsidR="00276556" w:rsidRPr="008E0C6A" w:rsidRDefault="00276556" w:rsidP="006B16F8">
      <w:pPr>
        <w:spacing w:line="360" w:lineRule="auto"/>
        <w:jc w:val="both"/>
        <w:rPr>
          <w:rFonts w:ascii="Times New Roman" w:eastAsia="Times New Roman" w:hAnsi="Times New Roman" w:cs="Times New Roman"/>
          <w:color w:val="000000"/>
        </w:rPr>
      </w:pPr>
    </w:p>
    <w:p w14:paraId="5A94B802" w14:textId="77777777" w:rsidR="00276556" w:rsidRPr="008E0C6A" w:rsidRDefault="00276556" w:rsidP="006B16F8">
      <w:pPr>
        <w:spacing w:line="360" w:lineRule="auto"/>
        <w:jc w:val="both"/>
        <w:rPr>
          <w:rFonts w:ascii="Times New Roman" w:hAnsi="Times New Roman" w:cs="Times New Roman"/>
          <w:color w:val="000000"/>
        </w:rPr>
      </w:pPr>
      <w:r w:rsidRPr="008E0C6A">
        <w:rPr>
          <w:rFonts w:ascii="Times New Roman" w:hAnsi="Times New Roman" w:cs="Times New Roman"/>
        </w:rPr>
        <w:t>E. Fleischmann</w:t>
      </w:r>
      <w:r w:rsidRPr="008E0C6A">
        <w:rPr>
          <w:rStyle w:val="eintragtitel"/>
          <w:rFonts w:ascii="Times New Roman" w:hAnsi="Times New Roman" w:cs="Times New Roman"/>
          <w:iCs/>
          <w:color w:val="000000"/>
        </w:rPr>
        <w:t>,</w:t>
      </w:r>
      <w:r w:rsidRPr="008E0C6A">
        <w:rPr>
          <w:rStyle w:val="eintragtitel"/>
          <w:rFonts w:ascii="Times New Roman" w:hAnsi="Times New Roman" w:cs="Times New Roman"/>
          <w:i/>
          <w:iCs/>
          <w:color w:val="000000"/>
        </w:rPr>
        <w:t xml:space="preserve"> Die Wirklichkeit in </w:t>
      </w:r>
      <w:r w:rsidRPr="008E0C6A">
        <w:rPr>
          <w:rStyle w:val="apple-converted-space"/>
          <w:rFonts w:ascii="Times New Roman" w:hAnsi="Times New Roman" w:cs="Times New Roman"/>
          <w:i/>
          <w:iCs/>
          <w:color w:val="000000"/>
        </w:rPr>
        <w:t>Hegel</w:t>
      </w:r>
      <w:r w:rsidRPr="008E0C6A">
        <w:rPr>
          <w:rStyle w:val="eintragtitel"/>
          <w:rFonts w:ascii="Times New Roman" w:hAnsi="Times New Roman" w:cs="Times New Roman"/>
          <w:i/>
          <w:iCs/>
          <w:color w:val="000000"/>
        </w:rPr>
        <w:t>s Logik: Ideengeschichtliche Beziehungen zu</w:t>
      </w:r>
      <w:r w:rsidRPr="008E0C6A">
        <w:rPr>
          <w:rStyle w:val="apple-converted-space"/>
          <w:rFonts w:ascii="Times New Roman" w:hAnsi="Times New Roman" w:cs="Times New Roman"/>
          <w:i/>
          <w:iCs/>
          <w:color w:val="000000"/>
        </w:rPr>
        <w:t xml:space="preserve"> Spinoza, </w:t>
      </w:r>
      <w:r w:rsidRPr="008E0C6A">
        <w:rPr>
          <w:rStyle w:val="eintraglabel"/>
          <w:rFonts w:ascii="Times New Roman" w:hAnsi="Times New Roman" w:cs="Times New Roman"/>
          <w:iCs/>
          <w:color w:val="444444"/>
        </w:rPr>
        <w:t>in «</w:t>
      </w:r>
      <w:r w:rsidRPr="008E0C6A">
        <w:rPr>
          <w:rFonts w:ascii="Times New Roman" w:hAnsi="Times New Roman" w:cs="Times New Roman"/>
          <w:color w:val="000000"/>
        </w:rPr>
        <w:t>Zeitschrift für philosophische Forschung</w:t>
      </w:r>
      <w:r w:rsidRPr="008E0C6A">
        <w:rPr>
          <w:rFonts w:ascii="Times New Roman" w:hAnsi="Times New Roman" w:cs="Times New Roman"/>
          <w:lang w:val="en-GB"/>
        </w:rPr>
        <w:t>»</w:t>
      </w:r>
      <w:r w:rsidRPr="008E0C6A">
        <w:rPr>
          <w:rFonts w:ascii="Times New Roman" w:hAnsi="Times New Roman" w:cs="Times New Roman"/>
          <w:color w:val="000000"/>
        </w:rPr>
        <w:t>, n. 18 (1964), pp. 3-29.</w:t>
      </w:r>
    </w:p>
    <w:p w14:paraId="16640636" w14:textId="77777777" w:rsidR="00276556" w:rsidRPr="008E0C6A" w:rsidRDefault="00276556" w:rsidP="006B16F8">
      <w:pPr>
        <w:spacing w:line="360" w:lineRule="auto"/>
        <w:jc w:val="both"/>
        <w:rPr>
          <w:rFonts w:ascii="Times New Roman" w:hAnsi="Times New Roman" w:cs="Times New Roman"/>
          <w:color w:val="000000"/>
        </w:rPr>
      </w:pPr>
    </w:p>
    <w:p w14:paraId="164F0529" w14:textId="77777777" w:rsidR="00276556" w:rsidRPr="008E0C6A" w:rsidRDefault="00276556" w:rsidP="006B16F8">
      <w:pPr>
        <w:spacing w:line="360" w:lineRule="auto"/>
        <w:jc w:val="both"/>
        <w:rPr>
          <w:rFonts w:ascii="Times New Roman" w:eastAsia="Times New Roman" w:hAnsi="Times New Roman" w:cs="Times New Roman"/>
          <w:color w:val="000000"/>
        </w:rPr>
      </w:pPr>
      <w:r w:rsidRPr="008E0C6A">
        <w:rPr>
          <w:rFonts w:ascii="Times New Roman" w:eastAsia="Times New Roman" w:hAnsi="Times New Roman" w:cs="Times New Roman"/>
          <w:lang w:val="de-DE"/>
        </w:rPr>
        <w:t xml:space="preserve">E. Förster, </w:t>
      </w:r>
      <w:r w:rsidRPr="008E0C6A">
        <w:rPr>
          <w:rFonts w:ascii="Times New Roman" w:eastAsia="Times New Roman" w:hAnsi="Times New Roman" w:cs="Times New Roman"/>
          <w:i/>
          <w:lang w:val="de-DE"/>
        </w:rPr>
        <w:t>Hegel in Jena</w:t>
      </w:r>
      <w:r w:rsidRPr="008E0C6A">
        <w:rPr>
          <w:rFonts w:ascii="Times New Roman" w:eastAsia="Times New Roman" w:hAnsi="Times New Roman" w:cs="Times New Roman"/>
          <w:lang w:val="de-DE"/>
        </w:rPr>
        <w:t xml:space="preserve">, in </w:t>
      </w:r>
      <w:r w:rsidRPr="008E0C6A">
        <w:rPr>
          <w:rFonts w:ascii="Times New Roman" w:eastAsia="Times New Roman" w:hAnsi="Times New Roman" w:cs="Times New Roman"/>
          <w:i/>
          <w:lang w:val="de-DE"/>
        </w:rPr>
        <w:t>Das Interesse des Denkens. Hegel als heutiger Sicht</w:t>
      </w:r>
      <w:r w:rsidRPr="008E0C6A">
        <w:rPr>
          <w:rFonts w:ascii="Times New Roman" w:eastAsia="Times New Roman" w:hAnsi="Times New Roman" w:cs="Times New Roman"/>
          <w:lang w:val="de-DE"/>
        </w:rPr>
        <w:t>, hrsg. von K. Vieweg und W. Welsch, Wilhelm Fink, München 2007, pp. 109-131.</w:t>
      </w:r>
    </w:p>
    <w:p w14:paraId="7085AA91" w14:textId="77777777" w:rsidR="00276556" w:rsidRPr="008E0C6A" w:rsidRDefault="00276556" w:rsidP="006B16F8">
      <w:pPr>
        <w:spacing w:line="360" w:lineRule="auto"/>
        <w:jc w:val="both"/>
        <w:rPr>
          <w:rFonts w:ascii="Times New Roman" w:eastAsia="Times New Roman" w:hAnsi="Times New Roman" w:cs="Times New Roman"/>
          <w:color w:val="000000"/>
        </w:rPr>
      </w:pPr>
    </w:p>
    <w:p w14:paraId="52ED711D" w14:textId="77777777" w:rsidR="00276556" w:rsidRPr="008E0C6A" w:rsidRDefault="00276556" w:rsidP="006B16F8">
      <w:pPr>
        <w:spacing w:line="360" w:lineRule="auto"/>
        <w:jc w:val="both"/>
        <w:rPr>
          <w:rFonts w:ascii="Times New Roman" w:eastAsia="Times New Roman" w:hAnsi="Times New Roman" w:cs="Times New Roman"/>
          <w:color w:val="000000"/>
        </w:rPr>
      </w:pPr>
      <w:r w:rsidRPr="008E0C6A">
        <w:rPr>
          <w:rFonts w:ascii="Times New Roman" w:hAnsi="Times New Roman" w:cs="Times New Roman"/>
        </w:rPr>
        <w:t xml:space="preserve">A. Franck, </w:t>
      </w:r>
      <w:r w:rsidRPr="008E0C6A">
        <w:rPr>
          <w:rFonts w:ascii="Times New Roman" w:hAnsi="Times New Roman" w:cs="Times New Roman"/>
          <w:i/>
        </w:rPr>
        <w:t>La Kabbale ou la philosophie religouse des Hébreux</w:t>
      </w:r>
      <w:r w:rsidRPr="008E0C6A">
        <w:rPr>
          <w:rFonts w:ascii="Times New Roman" w:hAnsi="Times New Roman" w:cs="Times New Roman"/>
        </w:rPr>
        <w:t>, Paris 1843.</w:t>
      </w:r>
    </w:p>
    <w:p w14:paraId="7A1949DC" w14:textId="77777777" w:rsidR="00276556" w:rsidRPr="008E0C6A" w:rsidRDefault="00276556" w:rsidP="006B16F8">
      <w:pPr>
        <w:spacing w:line="360" w:lineRule="auto"/>
        <w:jc w:val="both"/>
        <w:rPr>
          <w:rFonts w:ascii="Times New Roman" w:eastAsia="Times New Roman" w:hAnsi="Times New Roman" w:cs="Times New Roman"/>
          <w:color w:val="000000"/>
        </w:rPr>
      </w:pPr>
    </w:p>
    <w:p w14:paraId="37338571" w14:textId="77777777" w:rsidR="00276556" w:rsidRPr="00A52E79" w:rsidRDefault="00276556" w:rsidP="006B16F8">
      <w:pPr>
        <w:spacing w:line="360" w:lineRule="auto"/>
        <w:jc w:val="both"/>
        <w:rPr>
          <w:rFonts w:ascii="Times New Roman" w:hAnsi="Times New Roman" w:cs="Times New Roman"/>
          <w:lang w:val="en-GB"/>
        </w:rPr>
      </w:pPr>
      <w:r w:rsidRPr="00A52E79">
        <w:rPr>
          <w:rFonts w:ascii="Times New Roman" w:hAnsi="Times New Roman" w:cs="Times New Roman"/>
          <w:lang w:val="en-GB"/>
        </w:rPr>
        <w:t xml:space="preserve">P. Franks, </w:t>
      </w:r>
      <w:r w:rsidRPr="00A52E79">
        <w:rPr>
          <w:rFonts w:ascii="Times New Roman" w:hAnsi="Times New Roman" w:cs="Times New Roman"/>
          <w:i/>
          <w:lang w:val="en-GB"/>
        </w:rPr>
        <w:t>Nothing comes from nothing. Judaism, the Orient and Kabbalah in Hegel’s Reception of Spinoza</w:t>
      </w:r>
      <w:r w:rsidRPr="00A52E79">
        <w:rPr>
          <w:rFonts w:ascii="Times New Roman" w:hAnsi="Times New Roman" w:cs="Times New Roman"/>
          <w:lang w:val="en-GB"/>
        </w:rPr>
        <w:t xml:space="preserve">, in </w:t>
      </w:r>
      <w:r w:rsidRPr="00A52E79">
        <w:rPr>
          <w:rFonts w:ascii="Times New Roman" w:hAnsi="Times New Roman" w:cs="Times New Roman"/>
          <w:i/>
          <w:lang w:val="en-GB"/>
        </w:rPr>
        <w:t>The Oxford Handbook of Spinoza</w:t>
      </w:r>
      <w:r w:rsidRPr="00A52E79">
        <w:rPr>
          <w:rFonts w:ascii="Times New Roman" w:hAnsi="Times New Roman" w:cs="Times New Roman"/>
          <w:lang w:val="en-GB"/>
        </w:rPr>
        <w:t xml:space="preserve">, edited by M. Della Rocca, Oxford University Press, Oxford 2017, pp. 512-540. </w:t>
      </w:r>
    </w:p>
    <w:p w14:paraId="4E931817" w14:textId="77777777" w:rsidR="00276556" w:rsidRPr="008E0C6A" w:rsidRDefault="00276556" w:rsidP="006B16F8">
      <w:pPr>
        <w:spacing w:line="360" w:lineRule="auto"/>
        <w:jc w:val="both"/>
        <w:rPr>
          <w:rFonts w:ascii="Times New Roman" w:hAnsi="Times New Roman" w:cs="Times New Roman"/>
        </w:rPr>
      </w:pPr>
    </w:p>
    <w:p w14:paraId="7C10149A"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G. Freudenthal (edited by) </w:t>
      </w:r>
      <w:r w:rsidRPr="008E0C6A">
        <w:rPr>
          <w:rFonts w:ascii="Times New Roman" w:hAnsi="Times New Roman" w:cs="Times New Roman"/>
          <w:i/>
        </w:rPr>
        <w:t>Salomon Maimon: rational dogmatist, logical skeptic</w:t>
      </w:r>
      <w:r w:rsidRPr="008E0C6A">
        <w:rPr>
          <w:rFonts w:ascii="Times New Roman" w:hAnsi="Times New Roman" w:cs="Times New Roman"/>
        </w:rPr>
        <w:t>, Kluwer Academic Publishers, Dordrect, 2003.</w:t>
      </w:r>
    </w:p>
    <w:p w14:paraId="0FF34784" w14:textId="77777777" w:rsidR="00276556" w:rsidRPr="008E0C6A" w:rsidRDefault="00276556" w:rsidP="006B16F8">
      <w:pPr>
        <w:spacing w:line="360" w:lineRule="auto"/>
        <w:jc w:val="both"/>
        <w:rPr>
          <w:rFonts w:ascii="Times New Roman" w:hAnsi="Times New Roman" w:cs="Times New Roman"/>
        </w:rPr>
      </w:pPr>
    </w:p>
    <w:p w14:paraId="030B5844"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G. Frilli, </w:t>
      </w:r>
      <w:r w:rsidRPr="008E0C6A">
        <w:rPr>
          <w:rFonts w:ascii="Times New Roman" w:hAnsi="Times New Roman" w:cs="Times New Roman"/>
          <w:i/>
        </w:rPr>
        <w:t>Passato senza tempo. Tempo, storia e memoria nella Fenomenologia dello spirito di Hegel</w:t>
      </w:r>
      <w:r w:rsidRPr="008E0C6A">
        <w:rPr>
          <w:rFonts w:ascii="Times New Roman" w:hAnsi="Times New Roman" w:cs="Times New Roman"/>
        </w:rPr>
        <w:t>, Verifiche, Trento 2015.</w:t>
      </w:r>
    </w:p>
    <w:p w14:paraId="6545DCDA" w14:textId="77777777" w:rsidR="00276556" w:rsidRPr="008E0C6A" w:rsidRDefault="00276556" w:rsidP="006B16F8">
      <w:pPr>
        <w:spacing w:line="360" w:lineRule="auto"/>
        <w:jc w:val="both"/>
        <w:rPr>
          <w:rFonts w:ascii="Times New Roman" w:hAnsi="Times New Roman" w:cs="Times New Roman"/>
        </w:rPr>
      </w:pPr>
    </w:p>
    <w:p w14:paraId="44368139" w14:textId="5B2B06B1" w:rsidR="00276556" w:rsidRPr="008E0C6A" w:rsidRDefault="00990F3D" w:rsidP="006B16F8">
      <w:pPr>
        <w:spacing w:line="360" w:lineRule="auto"/>
        <w:jc w:val="both"/>
        <w:rPr>
          <w:rFonts w:ascii="Times New Roman" w:eastAsia="Times New Roman" w:hAnsi="Times New Roman" w:cs="Times New Roman"/>
          <w:color w:val="000000"/>
        </w:rPr>
      </w:pPr>
      <w:r>
        <w:rPr>
          <w:rFonts w:ascii="Times New Roman" w:hAnsi="Times New Roman" w:cs="Times New Roman"/>
        </w:rPr>
        <w:t xml:space="preserve">H.-J. </w:t>
      </w:r>
      <w:r w:rsidR="00276556" w:rsidRPr="008E0C6A">
        <w:rPr>
          <w:rFonts w:ascii="Times New Roman" w:hAnsi="Times New Roman" w:cs="Times New Roman"/>
        </w:rPr>
        <w:t xml:space="preserve">Gawoll, </w:t>
      </w:r>
      <w:r w:rsidR="00276556" w:rsidRPr="008E0C6A">
        <w:rPr>
          <w:rFonts w:ascii="Times New Roman" w:hAnsi="Times New Roman" w:cs="Times New Roman"/>
          <w:i/>
        </w:rPr>
        <w:t>Karl Heinrich Heydenreich: Spinozismus als Metaphysik und Vernunftglaube</w:t>
      </w:r>
      <w:r w:rsidR="00276556" w:rsidRPr="008E0C6A">
        <w:rPr>
          <w:rFonts w:ascii="Times New Roman" w:hAnsi="Times New Roman" w:cs="Times New Roman"/>
        </w:rPr>
        <w:t xml:space="preserve">, in </w:t>
      </w:r>
      <w:r w:rsidR="00276556" w:rsidRPr="008E0C6A">
        <w:rPr>
          <w:rFonts w:ascii="Times New Roman" w:hAnsi="Times New Roman" w:cs="Times New Roman"/>
          <w:i/>
        </w:rPr>
        <w:t>Spinoza im 18. Jahrhundert</w:t>
      </w:r>
      <w:r w:rsidR="00276556" w:rsidRPr="008E0C6A">
        <w:rPr>
          <w:rFonts w:ascii="Times New Roman" w:hAnsi="Times New Roman" w:cs="Times New Roman"/>
        </w:rPr>
        <w:t>, cit., pp. 407-429.</w:t>
      </w:r>
    </w:p>
    <w:p w14:paraId="7A083302" w14:textId="77777777" w:rsidR="00276556" w:rsidRPr="008E0C6A" w:rsidRDefault="00276556" w:rsidP="006B16F8">
      <w:pPr>
        <w:spacing w:line="360" w:lineRule="auto"/>
        <w:jc w:val="both"/>
        <w:rPr>
          <w:rFonts w:ascii="Times New Roman" w:eastAsia="Times New Roman" w:hAnsi="Times New Roman" w:cs="Times New Roman"/>
          <w:color w:val="000000"/>
        </w:rPr>
      </w:pPr>
    </w:p>
    <w:p w14:paraId="2799C29F" w14:textId="77777777" w:rsidR="00276556" w:rsidRPr="008E0C6A" w:rsidRDefault="00276556" w:rsidP="006B16F8">
      <w:pPr>
        <w:spacing w:line="360" w:lineRule="auto"/>
        <w:jc w:val="both"/>
        <w:rPr>
          <w:rFonts w:ascii="Times New Roman" w:eastAsia="Times New Roman" w:hAnsi="Times New Roman" w:cs="Times New Roman"/>
          <w:color w:val="000000"/>
          <w:lang w:val="de-DE"/>
        </w:rPr>
      </w:pPr>
      <w:r w:rsidRPr="008E0C6A">
        <w:rPr>
          <w:rFonts w:ascii="Times New Roman" w:hAnsi="Times New Roman" w:cs="Times New Roman"/>
        </w:rPr>
        <w:t xml:space="preserve">G. Giordano, </w:t>
      </w:r>
      <w:r w:rsidRPr="008E0C6A">
        <w:rPr>
          <w:rFonts w:ascii="Times New Roman" w:hAnsi="Times New Roman" w:cs="Times New Roman"/>
          <w:i/>
        </w:rPr>
        <w:t xml:space="preserve">Dimostrazione filosofica e dimostrazione matematica nella Prefazione alla Fenomenologia dello </w:t>
      </w:r>
      <w:r w:rsidRPr="008E0C6A">
        <w:rPr>
          <w:rFonts w:ascii="Times New Roman" w:hAnsi="Times New Roman" w:cs="Times New Roman"/>
        </w:rPr>
        <w:t xml:space="preserve">spirito, in </w:t>
      </w:r>
      <w:r w:rsidRPr="008E0C6A">
        <w:rPr>
          <w:rFonts w:ascii="Times New Roman" w:hAnsi="Times New Roman" w:cs="Times New Roman"/>
          <w:i/>
        </w:rPr>
        <w:t xml:space="preserve">La Fenomenologia dello spirito dopo duecento </w:t>
      </w:r>
      <w:r w:rsidRPr="008E0C6A">
        <w:rPr>
          <w:rFonts w:ascii="Times New Roman" w:hAnsi="Times New Roman" w:cs="Times New Roman"/>
        </w:rPr>
        <w:t>anni, a cura di G. Cortoneo, G. Furnari Luvarà e F. Rizzo, Bibliopolis, Napoli 2008, pp. 281-311.</w:t>
      </w:r>
    </w:p>
    <w:p w14:paraId="50CC2102" w14:textId="77777777" w:rsidR="00276556" w:rsidRPr="008E0C6A" w:rsidRDefault="00276556" w:rsidP="006B16F8">
      <w:pPr>
        <w:spacing w:line="360" w:lineRule="auto"/>
        <w:jc w:val="both"/>
        <w:rPr>
          <w:rFonts w:ascii="Times New Roman" w:eastAsia="Times New Roman" w:hAnsi="Times New Roman" w:cs="Times New Roman"/>
          <w:color w:val="000000"/>
          <w:lang w:val="de-DE"/>
        </w:rPr>
      </w:pPr>
    </w:p>
    <w:p w14:paraId="421B1BFF"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S. Givone, </w:t>
      </w:r>
      <w:r w:rsidRPr="008E0C6A">
        <w:rPr>
          <w:rFonts w:ascii="Times New Roman" w:hAnsi="Times New Roman" w:cs="Times New Roman"/>
          <w:i/>
        </w:rPr>
        <w:t>Storia del nulla</w:t>
      </w:r>
      <w:r w:rsidRPr="008E0C6A">
        <w:rPr>
          <w:rFonts w:ascii="Times New Roman" w:hAnsi="Times New Roman" w:cs="Times New Roman"/>
        </w:rPr>
        <w:t>, Laterza, Bari 2019.</w:t>
      </w:r>
    </w:p>
    <w:p w14:paraId="250DF069" w14:textId="77777777" w:rsidR="00276556" w:rsidRPr="008E0C6A" w:rsidRDefault="00276556" w:rsidP="006B16F8">
      <w:pPr>
        <w:spacing w:line="360" w:lineRule="auto"/>
        <w:jc w:val="both"/>
        <w:rPr>
          <w:rFonts w:ascii="Times New Roman" w:hAnsi="Times New Roman" w:cs="Times New Roman"/>
        </w:rPr>
      </w:pPr>
    </w:p>
    <w:p w14:paraId="22CCBFC4" w14:textId="77777777" w:rsidR="00276556" w:rsidRDefault="00276556" w:rsidP="006B16F8">
      <w:pPr>
        <w:spacing w:line="360" w:lineRule="auto"/>
        <w:jc w:val="both"/>
        <w:rPr>
          <w:rFonts w:ascii="Times New Roman" w:hAnsi="Times New Roman" w:cs="Times New Roman"/>
          <w:lang w:val="fr-CA"/>
        </w:rPr>
      </w:pPr>
      <w:r w:rsidRPr="008E0C6A">
        <w:rPr>
          <w:rFonts w:ascii="Times New Roman" w:hAnsi="Times New Roman" w:cs="Times New Roman"/>
        </w:rPr>
        <w:t xml:space="preserve">H. Greive, </w:t>
      </w:r>
      <w:r w:rsidRPr="008E0C6A">
        <w:rPr>
          <w:rFonts w:ascii="Times New Roman" w:hAnsi="Times New Roman" w:cs="Times New Roman"/>
          <w:i/>
          <w:lang w:val="fr-FR"/>
        </w:rPr>
        <w:t>La Kabbale chrétienne de Jean Pic de la Mirandole</w:t>
      </w:r>
      <w:r w:rsidRPr="008E0C6A">
        <w:rPr>
          <w:rFonts w:ascii="Times New Roman" w:hAnsi="Times New Roman" w:cs="Times New Roman"/>
        </w:rPr>
        <w:t xml:space="preserve">, </w:t>
      </w:r>
      <w:r w:rsidRPr="008E0C6A">
        <w:rPr>
          <w:rFonts w:ascii="Times New Roman" w:hAnsi="Times New Roman" w:cs="Times New Roman"/>
          <w:lang w:val="de-DE"/>
        </w:rPr>
        <w:t>in</w:t>
      </w:r>
      <w:r w:rsidRPr="008E0C6A">
        <w:rPr>
          <w:rFonts w:ascii="Times New Roman" w:hAnsi="Times New Roman" w:cs="Times New Roman"/>
          <w:lang w:val="fr-CA"/>
        </w:rPr>
        <w:t xml:space="preserve"> «Cahiers de l’Hermétisme», cit., pp. 159-181.</w:t>
      </w:r>
    </w:p>
    <w:p w14:paraId="4694A6F5" w14:textId="77777777" w:rsidR="002C00C7" w:rsidRDefault="002C00C7" w:rsidP="006B16F8">
      <w:pPr>
        <w:spacing w:line="360" w:lineRule="auto"/>
        <w:jc w:val="both"/>
        <w:rPr>
          <w:rFonts w:ascii="Times New Roman" w:hAnsi="Times New Roman" w:cs="Times New Roman"/>
          <w:lang w:val="fr-CA"/>
        </w:rPr>
      </w:pPr>
    </w:p>
    <w:p w14:paraId="4FD5DADF" w14:textId="10DA1044" w:rsidR="002C00C7" w:rsidRPr="002C00C7" w:rsidRDefault="002C00C7" w:rsidP="006B16F8">
      <w:pPr>
        <w:spacing w:line="360" w:lineRule="auto"/>
        <w:jc w:val="both"/>
        <w:rPr>
          <w:rFonts w:ascii="Times New Roman" w:hAnsi="Times New Roman" w:cs="Times New Roman"/>
          <w:lang w:val="fr-CA"/>
        </w:rPr>
      </w:pPr>
      <w:r w:rsidRPr="002C00C7">
        <w:rPr>
          <w:rFonts w:ascii="Times New Roman" w:hAnsi="Times New Roman" w:cs="Times New Roman"/>
        </w:rPr>
        <w:t xml:space="preserve">H. Gutschmidt, </w:t>
      </w:r>
      <w:r w:rsidRPr="002C00C7">
        <w:rPr>
          <w:rFonts w:ascii="Times New Roman" w:hAnsi="Times New Roman" w:cs="Times New Roman"/>
          <w:i/>
        </w:rPr>
        <w:t>Hegel gegen Spinoza…und gegen Hegel. Hegel späte Kritik an der Substanzphilosophie und sein eigener Übergang von der „Substanz” zum „Subjekt”</w:t>
      </w:r>
      <w:r w:rsidRPr="002C00C7">
        <w:rPr>
          <w:rFonts w:ascii="Times New Roman" w:hAnsi="Times New Roman" w:cs="Times New Roman"/>
        </w:rPr>
        <w:t>, in Übergänge in der klassischen deutschen Philosophie, hrsg. von J. Karásek, L. Kollert und T. MatějčkovaWilhelm Fink Verlag, München 2019, pp. 169-193.</w:t>
      </w:r>
    </w:p>
    <w:p w14:paraId="23E590F4" w14:textId="77777777" w:rsidR="00276556" w:rsidRPr="008E0C6A" w:rsidRDefault="00276556" w:rsidP="006B16F8">
      <w:pPr>
        <w:spacing w:line="360" w:lineRule="auto"/>
        <w:jc w:val="both"/>
        <w:rPr>
          <w:rFonts w:ascii="Times New Roman" w:hAnsi="Times New Roman" w:cs="Times New Roman"/>
        </w:rPr>
      </w:pPr>
    </w:p>
    <w:p w14:paraId="38F6B6CF" w14:textId="261BB72C"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H. Haagen, </w:t>
      </w:r>
      <w:r w:rsidRPr="008E0C6A">
        <w:rPr>
          <w:rFonts w:ascii="Times New Roman" w:hAnsi="Times New Roman" w:cs="Times New Roman"/>
          <w:bCs/>
          <w:i/>
        </w:rPr>
        <w:t>Die Logik der Wirklichkeit:</w:t>
      </w:r>
      <w:r w:rsidR="001275E5">
        <w:rPr>
          <w:rFonts w:ascii="Times New Roman" w:hAnsi="Times New Roman" w:cs="Times New Roman"/>
          <w:bCs/>
          <w:i/>
        </w:rPr>
        <w:t xml:space="preserve"> </w:t>
      </w:r>
      <w:r w:rsidRPr="008E0C6A">
        <w:rPr>
          <w:rFonts w:ascii="Times New Roman" w:hAnsi="Times New Roman" w:cs="Times New Roman"/>
          <w:bCs/>
          <w:i/>
        </w:rPr>
        <w:t>eine Entwicklung vom Absoluten bis zur Wechselwirkung</w:t>
      </w:r>
      <w:r w:rsidRPr="008E0C6A">
        <w:rPr>
          <w:rFonts w:ascii="Times New Roman" w:hAnsi="Times New Roman" w:cs="Times New Roman"/>
          <w:bCs/>
        </w:rPr>
        <w:t xml:space="preserve">, in </w:t>
      </w:r>
      <w:r w:rsidRPr="008E0C6A">
        <w:rPr>
          <w:rFonts w:ascii="Times New Roman" w:hAnsi="Times New Roman" w:cs="Times New Roman"/>
          <w:bCs/>
          <w:i/>
        </w:rPr>
        <w:t>Hegels „Lehre vom Wesen“</w:t>
      </w:r>
      <w:r w:rsidRPr="008E0C6A">
        <w:rPr>
          <w:rFonts w:ascii="Times New Roman" w:hAnsi="Times New Roman" w:cs="Times New Roman"/>
          <w:bCs/>
        </w:rPr>
        <w:t>, hrsg. von A. Arndt, M. Gerhard und J. Z</w:t>
      </w:r>
      <w:r>
        <w:rPr>
          <w:rFonts w:ascii="Times New Roman" w:hAnsi="Times New Roman" w:cs="Times New Roman"/>
          <w:bCs/>
        </w:rPr>
        <w:t>ovko, Berlin-Boston, De Gruyter</w:t>
      </w:r>
      <w:r w:rsidRPr="008E0C6A">
        <w:rPr>
          <w:rFonts w:ascii="Times New Roman" w:hAnsi="Times New Roman" w:cs="Times New Roman"/>
          <w:bCs/>
        </w:rPr>
        <w:t xml:space="preserve"> 2016, pp. 129-159.</w:t>
      </w:r>
    </w:p>
    <w:p w14:paraId="6BCFF8B1" w14:textId="77777777" w:rsidR="00276556" w:rsidRPr="008E0C6A" w:rsidRDefault="00276556" w:rsidP="006B16F8">
      <w:pPr>
        <w:spacing w:line="360" w:lineRule="auto"/>
        <w:jc w:val="both"/>
        <w:rPr>
          <w:rFonts w:ascii="Times New Roman" w:hAnsi="Times New Roman" w:cs="Times New Roman"/>
        </w:rPr>
      </w:pPr>
    </w:p>
    <w:p w14:paraId="248481CF" w14:textId="77777777" w:rsidR="00276556" w:rsidRPr="008E0C6A" w:rsidRDefault="00276556" w:rsidP="006B16F8">
      <w:pPr>
        <w:spacing w:line="360" w:lineRule="auto"/>
        <w:jc w:val="both"/>
        <w:rPr>
          <w:rFonts w:ascii="Times New Roman" w:eastAsia="Times New Roman" w:hAnsi="Times New Roman" w:cs="Times New Roman"/>
          <w:color w:val="000000"/>
        </w:rPr>
      </w:pPr>
      <w:r w:rsidRPr="008E0C6A">
        <w:rPr>
          <w:rFonts w:ascii="Times New Roman" w:eastAsia="Times New Roman" w:hAnsi="Times New Roman" w:cs="Times New Roman"/>
          <w:color w:val="000000"/>
        </w:rPr>
        <w:t xml:space="preserve">J. Habermas, </w:t>
      </w:r>
      <w:r w:rsidRPr="008E0C6A">
        <w:rPr>
          <w:rFonts w:ascii="Times New Roman" w:eastAsia="Times New Roman" w:hAnsi="Times New Roman" w:cs="Times New Roman"/>
          <w:i/>
          <w:color w:val="000000"/>
        </w:rPr>
        <w:t>Dialektischer Idealismus im Übergang zum Materialismus – Geschichtsphilosophische Folgerungen aus Schellings Idee einer Contraction Gottes</w:t>
      </w:r>
      <w:r w:rsidRPr="008E0C6A">
        <w:rPr>
          <w:rFonts w:ascii="Times New Roman" w:eastAsia="Times New Roman" w:hAnsi="Times New Roman" w:cs="Times New Roman"/>
          <w:color w:val="000000"/>
        </w:rPr>
        <w:t xml:space="preserve">, in </w:t>
      </w:r>
      <w:r w:rsidRPr="008E0C6A">
        <w:rPr>
          <w:rFonts w:ascii="Times New Roman" w:eastAsia="Times New Roman" w:hAnsi="Times New Roman" w:cs="Times New Roman"/>
          <w:i/>
          <w:color w:val="000000"/>
        </w:rPr>
        <w:t>Theorie und Praxis. Sozialphilosophische Studien</w:t>
      </w:r>
      <w:r w:rsidRPr="008E0C6A">
        <w:rPr>
          <w:rFonts w:ascii="Times New Roman" w:eastAsia="Times New Roman" w:hAnsi="Times New Roman" w:cs="Times New Roman"/>
          <w:color w:val="000000"/>
        </w:rPr>
        <w:t>, Suhrkamp, Frankfurt am Main 1978, pp. 172-228.</w:t>
      </w:r>
    </w:p>
    <w:p w14:paraId="0A749E12" w14:textId="77777777" w:rsidR="00276556" w:rsidRPr="008E0C6A" w:rsidRDefault="00276556" w:rsidP="006B16F8">
      <w:pPr>
        <w:spacing w:line="360" w:lineRule="auto"/>
        <w:jc w:val="both"/>
        <w:rPr>
          <w:rFonts w:ascii="Times New Roman" w:eastAsia="Times New Roman" w:hAnsi="Times New Roman" w:cs="Times New Roman"/>
          <w:color w:val="000000"/>
        </w:rPr>
      </w:pPr>
    </w:p>
    <w:p w14:paraId="36E0D109" w14:textId="77777777" w:rsidR="00276556" w:rsidRPr="008E0C6A" w:rsidRDefault="00276556" w:rsidP="006B16F8">
      <w:pPr>
        <w:spacing w:line="360" w:lineRule="auto"/>
        <w:jc w:val="both"/>
        <w:rPr>
          <w:rFonts w:ascii="Times New Roman" w:eastAsia="Times New Roman" w:hAnsi="Times New Roman" w:cs="Times New Roman"/>
          <w:color w:val="000000"/>
        </w:rPr>
      </w:pPr>
      <w:r w:rsidRPr="008E0C6A">
        <w:rPr>
          <w:rFonts w:ascii="Times New Roman" w:hAnsi="Times New Roman" w:cs="Times New Roman"/>
        </w:rPr>
        <w:t xml:space="preserve">J. Halfwassen, </w:t>
      </w:r>
      <w:r w:rsidRPr="008E0C6A">
        <w:rPr>
          <w:rFonts w:ascii="Times New Roman" w:hAnsi="Times New Roman" w:cs="Times New Roman"/>
          <w:i/>
        </w:rPr>
        <w:t>Hegel und die negative Theologie</w:t>
      </w:r>
      <w:r w:rsidRPr="008E0C6A">
        <w:rPr>
          <w:rFonts w:ascii="Times New Roman" w:hAnsi="Times New Roman" w:cs="Times New Roman"/>
        </w:rPr>
        <w:t xml:space="preserve">, in </w:t>
      </w:r>
      <w:r w:rsidRPr="008E0C6A">
        <w:rPr>
          <w:rFonts w:ascii="Times New Roman" w:hAnsi="Times New Roman" w:cs="Times New Roman"/>
          <w:i/>
        </w:rPr>
        <w:t>Hegels «Lehre vom Wesen</w:t>
      </w:r>
      <w:r w:rsidRPr="008E0C6A">
        <w:rPr>
          <w:rFonts w:ascii="Times New Roman" w:eastAsia="Times New Roman" w:hAnsi="Times New Roman" w:cs="Times New Roman"/>
          <w:i/>
          <w:color w:val="000000"/>
          <w:lang w:val="de-DE"/>
        </w:rPr>
        <w:t>»</w:t>
      </w:r>
      <w:r w:rsidRPr="008E0C6A">
        <w:rPr>
          <w:rFonts w:ascii="Times New Roman" w:hAnsi="Times New Roman" w:cs="Times New Roman"/>
        </w:rPr>
        <w:t>, cit., pp.116-127.</w:t>
      </w:r>
    </w:p>
    <w:p w14:paraId="69C01E75" w14:textId="77777777" w:rsidR="00276556" w:rsidRPr="008E0C6A" w:rsidRDefault="00276556" w:rsidP="006B16F8">
      <w:pPr>
        <w:spacing w:line="360" w:lineRule="auto"/>
        <w:jc w:val="both"/>
        <w:rPr>
          <w:rFonts w:ascii="Times New Roman" w:eastAsia="Times New Roman" w:hAnsi="Times New Roman" w:cs="Times New Roman"/>
          <w:color w:val="000000"/>
        </w:rPr>
      </w:pPr>
    </w:p>
    <w:p w14:paraId="0A5D66B1"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H. S. Harris, </w:t>
      </w:r>
      <w:r w:rsidRPr="008E0C6A">
        <w:rPr>
          <w:rFonts w:ascii="Times New Roman" w:hAnsi="Times New Roman" w:cs="Times New Roman"/>
          <w:i/>
        </w:rPr>
        <w:t>Hegel’s Development. Night Thoughts (Jena 1801-1806)</w:t>
      </w:r>
      <w:r w:rsidRPr="008E0C6A">
        <w:rPr>
          <w:rFonts w:ascii="Times New Roman" w:hAnsi="Times New Roman" w:cs="Times New Roman"/>
        </w:rPr>
        <w:t>,</w:t>
      </w:r>
      <w:r w:rsidRPr="008E0C6A">
        <w:rPr>
          <w:rFonts w:ascii="Times New Roman" w:hAnsi="Times New Roman" w:cs="Times New Roman"/>
          <w:i/>
        </w:rPr>
        <w:t xml:space="preserve"> </w:t>
      </w:r>
      <w:r w:rsidRPr="008E0C6A">
        <w:rPr>
          <w:rFonts w:ascii="Times New Roman" w:hAnsi="Times New Roman" w:cs="Times New Roman"/>
        </w:rPr>
        <w:t>Oxford University Press, Oxford 1983</w:t>
      </w:r>
      <w:r>
        <w:rPr>
          <w:rFonts w:ascii="Times New Roman" w:hAnsi="Times New Roman" w:cs="Times New Roman"/>
        </w:rPr>
        <w:t>.</w:t>
      </w:r>
    </w:p>
    <w:p w14:paraId="3C395544" w14:textId="77777777" w:rsidR="00276556" w:rsidRPr="008E0C6A" w:rsidRDefault="00276556" w:rsidP="006B16F8">
      <w:pPr>
        <w:spacing w:line="360" w:lineRule="auto"/>
        <w:jc w:val="both"/>
        <w:rPr>
          <w:rFonts w:ascii="Times New Roman" w:hAnsi="Times New Roman" w:cs="Times New Roman"/>
        </w:rPr>
      </w:pPr>
    </w:p>
    <w:p w14:paraId="7E88D7AF"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H. Harris, </w:t>
      </w:r>
      <w:r w:rsidRPr="008E0C6A">
        <w:rPr>
          <w:rFonts w:ascii="Times New Roman" w:hAnsi="Times New Roman" w:cs="Times New Roman"/>
          <w:i/>
        </w:rPr>
        <w:t>Hegel’s Ladder. I: The Pilgrame of Reason</w:t>
      </w:r>
      <w:r w:rsidRPr="008E0C6A">
        <w:rPr>
          <w:rFonts w:ascii="Times New Roman" w:hAnsi="Times New Roman" w:cs="Times New Roman"/>
        </w:rPr>
        <w:t>, Hackett Publishing Company, Indianapolis/Cambridge 1997.</w:t>
      </w:r>
    </w:p>
    <w:p w14:paraId="62C74770" w14:textId="77777777" w:rsidR="00276556" w:rsidRPr="008E0C6A" w:rsidRDefault="00276556" w:rsidP="006B16F8">
      <w:pPr>
        <w:spacing w:line="360" w:lineRule="auto"/>
        <w:jc w:val="both"/>
        <w:rPr>
          <w:rFonts w:ascii="Times New Roman" w:hAnsi="Times New Roman" w:cs="Times New Roman"/>
        </w:rPr>
      </w:pPr>
    </w:p>
    <w:p w14:paraId="120C7F10" w14:textId="77777777" w:rsidR="00276556" w:rsidRDefault="00276556" w:rsidP="006B16F8">
      <w:pPr>
        <w:spacing w:line="360" w:lineRule="auto"/>
        <w:jc w:val="both"/>
        <w:rPr>
          <w:rFonts w:ascii="Times New Roman" w:hAnsi="Times New Roman" w:cs="Times New Roman"/>
          <w:lang w:val="de-DE"/>
        </w:rPr>
      </w:pPr>
      <w:r w:rsidRPr="008E0C6A">
        <w:rPr>
          <w:rFonts w:ascii="Times New Roman" w:hAnsi="Times New Roman" w:cs="Times New Roman"/>
        </w:rPr>
        <w:t xml:space="preserve">W. Hartkopf, </w:t>
      </w:r>
      <w:r w:rsidRPr="008E0C6A">
        <w:rPr>
          <w:rFonts w:ascii="Times New Roman" w:hAnsi="Times New Roman" w:cs="Times New Roman"/>
          <w:i/>
          <w:lang w:val="de-DE"/>
        </w:rPr>
        <w:t>Der Durchbruch zur Dialektik in Hegels Denken. Studien zur Entwicklung der modernen Dialektik</w:t>
      </w:r>
      <w:r w:rsidRPr="008E0C6A">
        <w:rPr>
          <w:rFonts w:ascii="Times New Roman" w:hAnsi="Times New Roman" w:cs="Times New Roman"/>
          <w:lang w:val="de-DE"/>
        </w:rPr>
        <w:t>, Meisenheim am Glan, Hain 1976.</w:t>
      </w:r>
    </w:p>
    <w:p w14:paraId="1377A1E2" w14:textId="77777777" w:rsidR="00990F3D" w:rsidRDefault="00990F3D" w:rsidP="006B16F8">
      <w:pPr>
        <w:spacing w:line="360" w:lineRule="auto"/>
        <w:jc w:val="both"/>
        <w:rPr>
          <w:rFonts w:ascii="Times New Roman" w:hAnsi="Times New Roman" w:cs="Times New Roman"/>
          <w:lang w:val="de-DE"/>
        </w:rPr>
      </w:pPr>
    </w:p>
    <w:p w14:paraId="6F8A105F" w14:textId="7103309A" w:rsidR="00990F3D" w:rsidRPr="008E0C6A" w:rsidRDefault="00990F3D" w:rsidP="006B16F8">
      <w:pPr>
        <w:spacing w:line="360" w:lineRule="auto"/>
        <w:jc w:val="both"/>
        <w:rPr>
          <w:rFonts w:ascii="Times New Roman" w:hAnsi="Times New Roman" w:cs="Times New Roman"/>
          <w:lang w:val="de-DE"/>
        </w:rPr>
      </w:pPr>
      <w:r w:rsidRPr="008E0C6A">
        <w:rPr>
          <w:rFonts w:ascii="Times New Roman" w:hAnsi="Times New Roman" w:cs="Times New Roman"/>
        </w:rPr>
        <w:t xml:space="preserve">K. Hartmann, </w:t>
      </w:r>
      <w:r w:rsidRPr="008E0C6A">
        <w:rPr>
          <w:rFonts w:ascii="Times New Roman" w:hAnsi="Times New Roman" w:cs="Times New Roman"/>
          <w:i/>
        </w:rPr>
        <w:t>Hegels Logik</w:t>
      </w:r>
      <w:r w:rsidRPr="008E0C6A">
        <w:rPr>
          <w:rFonts w:ascii="Times New Roman" w:hAnsi="Times New Roman" w:cs="Times New Roman"/>
        </w:rPr>
        <w:t>, De Gruyter, Berlin/New York 1999</w:t>
      </w:r>
      <w:r>
        <w:rPr>
          <w:rFonts w:ascii="Times New Roman" w:hAnsi="Times New Roman" w:cs="Times New Roman"/>
        </w:rPr>
        <w:t>.</w:t>
      </w:r>
    </w:p>
    <w:p w14:paraId="04734775" w14:textId="77777777" w:rsidR="00276556" w:rsidRPr="008E0C6A" w:rsidRDefault="00276556" w:rsidP="006B16F8">
      <w:pPr>
        <w:spacing w:line="360" w:lineRule="auto"/>
        <w:jc w:val="both"/>
        <w:rPr>
          <w:rFonts w:ascii="Times New Roman" w:hAnsi="Times New Roman" w:cs="Times New Roman"/>
          <w:lang w:val="de-DE"/>
        </w:rPr>
      </w:pPr>
    </w:p>
    <w:p w14:paraId="55890149" w14:textId="77777777" w:rsidR="00276556" w:rsidRPr="008E0C6A" w:rsidRDefault="00276556" w:rsidP="006B16F8">
      <w:pPr>
        <w:spacing w:line="360" w:lineRule="auto"/>
        <w:jc w:val="both"/>
        <w:rPr>
          <w:rFonts w:ascii="Times New Roman" w:hAnsi="Times New Roman" w:cs="Times New Roman"/>
          <w:lang w:val="de-DE"/>
        </w:rPr>
      </w:pPr>
      <w:r w:rsidRPr="008E0C6A">
        <w:rPr>
          <w:rFonts w:ascii="Times New Roman" w:hAnsi="Times New Roman" w:cs="Times New Roman"/>
        </w:rPr>
        <w:t xml:space="preserve">M. Häußler, </w:t>
      </w:r>
      <w:r w:rsidRPr="008E0C6A">
        <w:rPr>
          <w:rFonts w:ascii="Times New Roman" w:hAnsi="Times New Roman" w:cs="Times New Roman"/>
          <w:i/>
        </w:rPr>
        <w:t>Der Religionsbegriff in Hegels «Phänomenologie des Geistes</w:t>
      </w:r>
      <w:r w:rsidRPr="008E0C6A">
        <w:rPr>
          <w:rFonts w:ascii="Times New Roman" w:eastAsia="Times New Roman" w:hAnsi="Times New Roman" w:cs="Times New Roman"/>
          <w:i/>
          <w:color w:val="000000"/>
        </w:rPr>
        <w:t>»</w:t>
      </w:r>
      <w:r w:rsidRPr="008E0C6A">
        <w:rPr>
          <w:rFonts w:ascii="Times New Roman" w:hAnsi="Times New Roman" w:cs="Times New Roman"/>
        </w:rPr>
        <w:t>, Karl Alber Verlag, München 2008.</w:t>
      </w:r>
    </w:p>
    <w:p w14:paraId="040326B0" w14:textId="77777777" w:rsidR="00276556" w:rsidRPr="008E0C6A" w:rsidRDefault="00276556" w:rsidP="006B16F8">
      <w:pPr>
        <w:spacing w:line="360" w:lineRule="auto"/>
        <w:jc w:val="both"/>
        <w:rPr>
          <w:rFonts w:ascii="Times New Roman" w:hAnsi="Times New Roman" w:cs="Times New Roman"/>
          <w:lang w:val="de-DE"/>
        </w:rPr>
      </w:pPr>
    </w:p>
    <w:p w14:paraId="07EFE743"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D. H. Heidemann, </w:t>
      </w:r>
      <w:r w:rsidRPr="008E0C6A">
        <w:rPr>
          <w:rFonts w:ascii="Times New Roman" w:hAnsi="Times New Roman" w:cs="Times New Roman"/>
          <w:i/>
        </w:rPr>
        <w:t xml:space="preserve">Substance, subject, system: the justification of science in Hegel’s Phenomenology of Spirit, in Hegel’s Phenomenology of </w:t>
      </w:r>
      <w:r w:rsidRPr="008E0C6A">
        <w:rPr>
          <w:rFonts w:ascii="Times New Roman" w:hAnsi="Times New Roman" w:cs="Times New Roman"/>
        </w:rPr>
        <w:t>Spirit, ed. by D. Moyar and M. Quante, Cambridge University Press, Cambridge 2008.</w:t>
      </w:r>
    </w:p>
    <w:p w14:paraId="1987A718" w14:textId="77777777" w:rsidR="00276556" w:rsidRPr="008E0C6A" w:rsidRDefault="00276556" w:rsidP="006B16F8">
      <w:pPr>
        <w:spacing w:line="360" w:lineRule="auto"/>
        <w:jc w:val="both"/>
        <w:rPr>
          <w:rFonts w:ascii="Times New Roman" w:hAnsi="Times New Roman" w:cs="Times New Roman"/>
        </w:rPr>
      </w:pPr>
    </w:p>
    <w:p w14:paraId="496161BC" w14:textId="104EEB54" w:rsidR="004E7F81" w:rsidRDefault="00276556" w:rsidP="006B16F8">
      <w:pPr>
        <w:spacing w:line="360" w:lineRule="auto"/>
        <w:jc w:val="both"/>
        <w:rPr>
          <w:rFonts w:ascii="Times New Roman" w:hAnsi="Times New Roman" w:cs="Times New Roman"/>
        </w:rPr>
      </w:pPr>
      <w:r w:rsidRPr="001275E5">
        <w:rPr>
          <w:rFonts w:ascii="Times New Roman" w:hAnsi="Times New Roman" w:cs="Times New Roman"/>
        </w:rPr>
        <w:t xml:space="preserve">D. Henrich, </w:t>
      </w:r>
      <w:r w:rsidR="004E7F81" w:rsidRPr="001275E5">
        <w:rPr>
          <w:rFonts w:ascii="Times New Roman" w:hAnsi="Times New Roman" w:cs="Times New Roman"/>
          <w:i/>
        </w:rPr>
        <w:t>Hegels Logik der Reflexion. Neue Fassung</w:t>
      </w:r>
      <w:r w:rsidR="004E7F81" w:rsidRPr="001275E5">
        <w:rPr>
          <w:rFonts w:ascii="Times New Roman" w:hAnsi="Times New Roman" w:cs="Times New Roman"/>
        </w:rPr>
        <w:t>, in «Hegel-Studien</w:t>
      </w:r>
      <w:r w:rsidR="004E7F81" w:rsidRPr="001275E5">
        <w:rPr>
          <w:rFonts w:ascii="Times New Roman" w:eastAsia="Times New Roman" w:hAnsi="Times New Roman" w:cs="Times New Roman"/>
          <w:color w:val="000000"/>
        </w:rPr>
        <w:t>»</w:t>
      </w:r>
      <w:r w:rsidR="004E7F81" w:rsidRPr="001275E5">
        <w:rPr>
          <w:rFonts w:ascii="Times New Roman" w:hAnsi="Times New Roman" w:cs="Times New Roman"/>
        </w:rPr>
        <w:t>, Beiheft 18 (1978), pp. 203–325.</w:t>
      </w:r>
    </w:p>
    <w:p w14:paraId="633D5F26" w14:textId="77777777" w:rsidR="004E7F81" w:rsidRPr="002E6722" w:rsidRDefault="004E7F81" w:rsidP="006B16F8">
      <w:pPr>
        <w:spacing w:line="360" w:lineRule="auto"/>
        <w:jc w:val="both"/>
        <w:rPr>
          <w:rFonts w:ascii="Times New Roman" w:hAnsi="Times New Roman" w:cs="Times New Roman"/>
        </w:rPr>
      </w:pPr>
    </w:p>
    <w:p w14:paraId="716B64FB" w14:textId="5E5D07A0" w:rsidR="004E7F81" w:rsidRPr="004E7F81" w:rsidRDefault="004E7F81" w:rsidP="006B16F8">
      <w:pPr>
        <w:spacing w:line="360" w:lineRule="auto"/>
        <w:jc w:val="both"/>
        <w:rPr>
          <w:rFonts w:ascii="Times New Roman" w:hAnsi="Times New Roman" w:cs="Times New Roman"/>
        </w:rPr>
      </w:pPr>
      <w:r w:rsidRPr="004E7F81">
        <w:rPr>
          <w:rFonts w:ascii="Times New Roman" w:hAnsi="Times New Roman" w:cs="Times New Roman"/>
          <w:i/>
        </w:rPr>
        <w:t>-</w:t>
      </w:r>
      <w:r>
        <w:rPr>
          <w:rFonts w:ascii="Times New Roman" w:hAnsi="Times New Roman" w:cs="Times New Roman"/>
          <w:i/>
        </w:rPr>
        <w:t xml:space="preserve"> </w:t>
      </w:r>
      <w:r w:rsidRPr="004E7F81">
        <w:rPr>
          <w:rFonts w:ascii="Times New Roman" w:hAnsi="Times New Roman" w:cs="Times New Roman"/>
          <w:i/>
        </w:rPr>
        <w:t>Between Kant and Hegel: Lectures on German Idealism</w:t>
      </w:r>
      <w:r w:rsidRPr="004E7F81">
        <w:rPr>
          <w:rFonts w:ascii="Times New Roman" w:hAnsi="Times New Roman" w:cs="Times New Roman"/>
        </w:rPr>
        <w:t>, Harvard University Press, Cambridge 2003.</w:t>
      </w:r>
    </w:p>
    <w:p w14:paraId="51FB2662" w14:textId="77777777" w:rsidR="004E7F81" w:rsidRPr="004E7F81" w:rsidRDefault="004E7F81" w:rsidP="006B16F8">
      <w:pPr>
        <w:spacing w:line="360" w:lineRule="auto"/>
      </w:pPr>
    </w:p>
    <w:p w14:paraId="04220E93" w14:textId="31FA60EA" w:rsidR="00276556" w:rsidRPr="002E6722" w:rsidRDefault="004E7F81" w:rsidP="006B16F8">
      <w:pPr>
        <w:spacing w:line="360" w:lineRule="auto"/>
        <w:jc w:val="both"/>
        <w:rPr>
          <w:rFonts w:ascii="Times New Roman" w:hAnsi="Times New Roman" w:cs="Times New Roman"/>
        </w:rPr>
      </w:pPr>
      <w:r>
        <w:rPr>
          <w:rFonts w:ascii="Times New Roman" w:eastAsia="Times New Roman" w:hAnsi="Times New Roman" w:cs="Times New Roman"/>
          <w:color w:val="000000"/>
        </w:rPr>
        <w:t xml:space="preserve">- </w:t>
      </w:r>
      <w:r w:rsidR="00276556" w:rsidRPr="008E0C6A">
        <w:rPr>
          <w:rFonts w:ascii="Times New Roman" w:eastAsia="Times New Roman" w:hAnsi="Times New Roman" w:cs="Times New Roman"/>
          <w:i/>
          <w:color w:val="000000"/>
        </w:rPr>
        <w:t>Hegel im Kontext</w:t>
      </w:r>
      <w:r w:rsidR="00276556" w:rsidRPr="008E0C6A">
        <w:rPr>
          <w:rFonts w:ascii="Times New Roman" w:eastAsia="Times New Roman" w:hAnsi="Times New Roman" w:cs="Times New Roman"/>
          <w:color w:val="000000"/>
        </w:rPr>
        <w:t xml:space="preserve">, Suhrkamp, Frankfurt am Main </w:t>
      </w:r>
      <w:r w:rsidR="00F43B42">
        <w:rPr>
          <w:rFonts w:ascii="Times New Roman" w:eastAsia="Times New Roman" w:hAnsi="Times New Roman" w:cs="Times New Roman"/>
          <w:color w:val="000000"/>
        </w:rPr>
        <w:t xml:space="preserve">2010 (prima ed. </w:t>
      </w:r>
      <w:r>
        <w:rPr>
          <w:rFonts w:ascii="Times New Roman" w:eastAsia="Times New Roman" w:hAnsi="Times New Roman" w:cs="Times New Roman"/>
          <w:color w:val="000000"/>
        </w:rPr>
        <w:t xml:space="preserve">Suhrkamp, Frankfurt am Main </w:t>
      </w:r>
      <w:r w:rsidR="00F43B42">
        <w:rPr>
          <w:rFonts w:ascii="Times New Roman" w:eastAsia="Times New Roman" w:hAnsi="Times New Roman" w:cs="Times New Roman"/>
          <w:color w:val="000000"/>
        </w:rPr>
        <w:t>1971)</w:t>
      </w:r>
      <w:r w:rsidR="00276556">
        <w:rPr>
          <w:rFonts w:ascii="Times New Roman" w:eastAsia="Times New Roman" w:hAnsi="Times New Roman" w:cs="Times New Roman"/>
          <w:color w:val="000000"/>
        </w:rPr>
        <w:t>.</w:t>
      </w:r>
    </w:p>
    <w:p w14:paraId="2995E27D" w14:textId="77777777" w:rsidR="00276556" w:rsidRPr="008E0C6A" w:rsidRDefault="00276556" w:rsidP="006B16F8">
      <w:pPr>
        <w:spacing w:line="360" w:lineRule="auto"/>
        <w:jc w:val="both"/>
        <w:rPr>
          <w:rFonts w:ascii="Times New Roman" w:eastAsia="Times New Roman" w:hAnsi="Times New Roman" w:cs="Times New Roman"/>
          <w:color w:val="000000"/>
        </w:rPr>
      </w:pPr>
    </w:p>
    <w:p w14:paraId="761E9B04" w14:textId="77777777" w:rsidR="00276556" w:rsidRPr="008E0C6A" w:rsidRDefault="00276556" w:rsidP="006B16F8">
      <w:pPr>
        <w:spacing w:line="360" w:lineRule="auto"/>
        <w:jc w:val="both"/>
        <w:rPr>
          <w:rFonts w:ascii="Times New Roman" w:eastAsia="Times New Roman" w:hAnsi="Times New Roman" w:cs="Times New Roman"/>
          <w:color w:val="000000"/>
        </w:rPr>
      </w:pPr>
      <w:r w:rsidRPr="008E0C6A">
        <w:rPr>
          <w:rFonts w:ascii="Times New Roman" w:eastAsia="Times New Roman" w:hAnsi="Times New Roman" w:cs="Times New Roman"/>
          <w:i/>
          <w:color w:val="000000"/>
        </w:rPr>
        <w:t>- Hegel und Hölderlin</w:t>
      </w:r>
      <w:r w:rsidRPr="008E0C6A">
        <w:rPr>
          <w:rFonts w:ascii="Times New Roman" w:eastAsia="Times New Roman" w:hAnsi="Times New Roman" w:cs="Times New Roman"/>
          <w:color w:val="000000"/>
        </w:rPr>
        <w:t xml:space="preserve">, in </w:t>
      </w:r>
      <w:r w:rsidRPr="008E0C6A">
        <w:rPr>
          <w:rFonts w:ascii="Times New Roman" w:eastAsia="Times New Roman" w:hAnsi="Times New Roman" w:cs="Times New Roman"/>
          <w:i/>
          <w:color w:val="000000"/>
        </w:rPr>
        <w:t>Hegel im Kontext</w:t>
      </w:r>
      <w:r w:rsidRPr="008E0C6A">
        <w:rPr>
          <w:rFonts w:ascii="Times New Roman" w:eastAsia="Times New Roman" w:hAnsi="Times New Roman" w:cs="Times New Roman"/>
          <w:color w:val="000000"/>
        </w:rPr>
        <w:t>, cit., pp. 9-73.</w:t>
      </w:r>
    </w:p>
    <w:p w14:paraId="0F2DDED8" w14:textId="77777777" w:rsidR="00276556" w:rsidRPr="008E0C6A" w:rsidRDefault="00276556" w:rsidP="006B16F8">
      <w:pPr>
        <w:spacing w:line="360" w:lineRule="auto"/>
        <w:jc w:val="both"/>
        <w:rPr>
          <w:rFonts w:ascii="Times New Roman" w:hAnsi="Times New Roman" w:cs="Times New Roman"/>
        </w:rPr>
      </w:pPr>
    </w:p>
    <w:p w14:paraId="6DCAB7A4"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i/>
        </w:rPr>
        <w:t>- “Hegels Logik der Reflexion”</w:t>
      </w:r>
      <w:r w:rsidRPr="008E0C6A">
        <w:rPr>
          <w:rFonts w:ascii="Times New Roman" w:hAnsi="Times New Roman" w:cs="Times New Roman"/>
        </w:rPr>
        <w:t xml:space="preserve">, in </w:t>
      </w:r>
      <w:r w:rsidRPr="008E0C6A">
        <w:rPr>
          <w:rFonts w:ascii="Times New Roman" w:hAnsi="Times New Roman" w:cs="Times New Roman"/>
          <w:i/>
        </w:rPr>
        <w:t>Hegel im Kontext</w:t>
      </w:r>
      <w:r w:rsidRPr="008E0C6A">
        <w:rPr>
          <w:rFonts w:ascii="Times New Roman" w:hAnsi="Times New Roman" w:cs="Times New Roman"/>
        </w:rPr>
        <w:t>, cit., pp. 95-157.</w:t>
      </w:r>
    </w:p>
    <w:p w14:paraId="14F4111B" w14:textId="77777777" w:rsidR="00276556" w:rsidRPr="008E0C6A" w:rsidRDefault="00276556" w:rsidP="006B16F8">
      <w:pPr>
        <w:spacing w:line="360" w:lineRule="auto"/>
        <w:jc w:val="both"/>
        <w:rPr>
          <w:rFonts w:ascii="Times New Roman" w:hAnsi="Times New Roman" w:cs="Times New Roman"/>
        </w:rPr>
      </w:pPr>
    </w:p>
    <w:p w14:paraId="7240FC77" w14:textId="77777777" w:rsidR="00276556" w:rsidRPr="002E6722" w:rsidRDefault="00276556" w:rsidP="006B16F8">
      <w:pPr>
        <w:spacing w:line="360" w:lineRule="auto"/>
        <w:jc w:val="both"/>
        <w:rPr>
          <w:rFonts w:ascii="Times New Roman" w:hAnsi="Times New Roman" w:cs="Times New Roman"/>
        </w:rPr>
      </w:pPr>
      <w:r w:rsidRPr="002E6722">
        <w:rPr>
          <w:rFonts w:ascii="Times New Roman" w:hAnsi="Times New Roman" w:cs="Times New Roman"/>
          <w:i/>
        </w:rPr>
        <w:t>-</w:t>
      </w:r>
      <w:r>
        <w:rPr>
          <w:rFonts w:ascii="Times New Roman" w:hAnsi="Times New Roman" w:cs="Times New Roman"/>
          <w:i/>
        </w:rPr>
        <w:t xml:space="preserve"> </w:t>
      </w:r>
      <w:r w:rsidRPr="002E6722">
        <w:rPr>
          <w:rFonts w:ascii="Times New Roman" w:hAnsi="Times New Roman" w:cs="Times New Roman"/>
          <w:i/>
        </w:rPr>
        <w:t>Anfang und Methode der Logik</w:t>
      </w:r>
      <w:r w:rsidRPr="002E6722">
        <w:rPr>
          <w:rFonts w:ascii="Times New Roman" w:hAnsi="Times New Roman" w:cs="Times New Roman"/>
        </w:rPr>
        <w:t xml:space="preserve">, in </w:t>
      </w:r>
      <w:r w:rsidRPr="002E6722">
        <w:rPr>
          <w:rFonts w:ascii="Times New Roman" w:hAnsi="Times New Roman" w:cs="Times New Roman"/>
          <w:i/>
        </w:rPr>
        <w:t>Hegel im Kontext</w:t>
      </w:r>
      <w:r w:rsidRPr="002E6722">
        <w:rPr>
          <w:rFonts w:ascii="Times New Roman" w:hAnsi="Times New Roman" w:cs="Times New Roman"/>
        </w:rPr>
        <w:t>, cit., pp. 73-81.</w:t>
      </w:r>
    </w:p>
    <w:p w14:paraId="68D63B79" w14:textId="7A225DDB" w:rsidR="00276556" w:rsidRPr="008E0C6A" w:rsidRDefault="00276556" w:rsidP="006B16F8">
      <w:pPr>
        <w:spacing w:line="360" w:lineRule="auto"/>
        <w:jc w:val="both"/>
        <w:rPr>
          <w:rFonts w:ascii="Times New Roman" w:hAnsi="Times New Roman" w:cs="Times New Roman"/>
        </w:rPr>
      </w:pPr>
    </w:p>
    <w:p w14:paraId="13508A33" w14:textId="77777777" w:rsidR="00276556" w:rsidRPr="008E0C6A" w:rsidRDefault="00276556" w:rsidP="006B16F8">
      <w:pPr>
        <w:spacing w:line="360" w:lineRule="auto"/>
        <w:jc w:val="both"/>
        <w:rPr>
          <w:rFonts w:ascii="Times New Roman" w:hAnsi="Times New Roman" w:cs="Times New Roman"/>
          <w:lang w:val="de-DE"/>
        </w:rPr>
      </w:pPr>
      <w:r w:rsidRPr="008E0C6A">
        <w:rPr>
          <w:rFonts w:ascii="Times New Roman" w:hAnsi="Times New Roman" w:cs="Times New Roman"/>
        </w:rPr>
        <w:t xml:space="preserve">P. C. Hodgson, </w:t>
      </w:r>
      <w:r w:rsidRPr="008E0C6A">
        <w:rPr>
          <w:rFonts w:ascii="Times New Roman" w:hAnsi="Times New Roman" w:cs="Times New Roman"/>
          <w:i/>
        </w:rPr>
        <w:t>The Metamorphosis of Judaism in Hegel’s Philosophy of Religion</w:t>
      </w:r>
      <w:r w:rsidRPr="008E0C6A">
        <w:rPr>
          <w:rFonts w:ascii="Times New Roman" w:hAnsi="Times New Roman" w:cs="Times New Roman"/>
        </w:rPr>
        <w:t>, in «The Owl of Minerva</w:t>
      </w:r>
      <w:r w:rsidRPr="008E0C6A">
        <w:rPr>
          <w:rFonts w:ascii="Times New Roman" w:hAnsi="Times New Roman" w:cs="Times New Roman"/>
          <w:lang w:val="de-DE"/>
        </w:rPr>
        <w:t>», n. 1</w:t>
      </w:r>
      <w:r>
        <w:rPr>
          <w:rFonts w:ascii="Times New Roman" w:hAnsi="Times New Roman" w:cs="Times New Roman"/>
          <w:lang w:val="de-DE"/>
        </w:rPr>
        <w:t xml:space="preserve"> (1987)</w:t>
      </w:r>
      <w:r w:rsidRPr="008E0C6A">
        <w:rPr>
          <w:rFonts w:ascii="Times New Roman" w:hAnsi="Times New Roman" w:cs="Times New Roman"/>
          <w:lang w:val="de-DE"/>
        </w:rPr>
        <w:t>, pp. 41-52.</w:t>
      </w:r>
    </w:p>
    <w:p w14:paraId="13D27583" w14:textId="77777777" w:rsidR="00276556" w:rsidRPr="008E0C6A" w:rsidRDefault="00276556" w:rsidP="006B16F8">
      <w:pPr>
        <w:spacing w:line="360" w:lineRule="auto"/>
        <w:jc w:val="both"/>
        <w:rPr>
          <w:rFonts w:ascii="Times New Roman" w:hAnsi="Times New Roman" w:cs="Times New Roman"/>
          <w:lang w:val="de-DE"/>
        </w:rPr>
      </w:pPr>
    </w:p>
    <w:p w14:paraId="0BF2D1CC" w14:textId="234E8752" w:rsidR="00276556" w:rsidRDefault="00990F3D" w:rsidP="006B16F8">
      <w:pPr>
        <w:spacing w:line="360" w:lineRule="auto"/>
        <w:jc w:val="both"/>
        <w:rPr>
          <w:rFonts w:ascii="Times New Roman" w:hAnsi="Times New Roman" w:cs="Times New Roman"/>
          <w:lang w:val="de-DE"/>
        </w:rPr>
      </w:pPr>
      <w:r>
        <w:rPr>
          <w:rFonts w:ascii="Times New Roman" w:hAnsi="Times New Roman" w:cs="Times New Roman"/>
        </w:rPr>
        <w:t xml:space="preserve">- </w:t>
      </w:r>
      <w:r w:rsidR="00276556" w:rsidRPr="008E0C6A">
        <w:rPr>
          <w:rFonts w:ascii="Times New Roman" w:hAnsi="Times New Roman" w:cs="Times New Roman"/>
          <w:i/>
        </w:rPr>
        <w:t>Logic, History, and Alternative Paradigm in Hegel’s Interpretation of the Religions</w:t>
      </w:r>
      <w:r w:rsidR="00276556" w:rsidRPr="008E0C6A">
        <w:rPr>
          <w:rFonts w:ascii="Times New Roman" w:hAnsi="Times New Roman" w:cs="Times New Roman"/>
        </w:rPr>
        <w:t>, in «The Journal of Religion</w:t>
      </w:r>
      <w:r w:rsidR="00276556" w:rsidRPr="008E0C6A">
        <w:rPr>
          <w:rFonts w:ascii="Times New Roman" w:hAnsi="Times New Roman" w:cs="Times New Roman"/>
          <w:lang w:val="de-DE"/>
        </w:rPr>
        <w:t>», vol. 68, n. 1</w:t>
      </w:r>
      <w:r w:rsidR="00276556">
        <w:rPr>
          <w:rFonts w:ascii="Times New Roman" w:hAnsi="Times New Roman" w:cs="Times New Roman"/>
          <w:lang w:val="de-DE"/>
        </w:rPr>
        <w:t xml:space="preserve"> </w:t>
      </w:r>
      <w:r w:rsidR="00276556" w:rsidRPr="008E0C6A">
        <w:rPr>
          <w:rFonts w:ascii="Times New Roman" w:hAnsi="Times New Roman" w:cs="Times New Roman"/>
          <w:lang w:val="de-DE"/>
        </w:rPr>
        <w:t>(1988), pp. 1-20.</w:t>
      </w:r>
    </w:p>
    <w:p w14:paraId="16AA1A8D" w14:textId="77777777" w:rsidR="00990F3D" w:rsidRDefault="00990F3D" w:rsidP="006B16F8">
      <w:pPr>
        <w:spacing w:line="360" w:lineRule="auto"/>
        <w:jc w:val="both"/>
        <w:rPr>
          <w:rFonts w:ascii="Times New Roman" w:hAnsi="Times New Roman" w:cs="Times New Roman"/>
        </w:rPr>
      </w:pPr>
    </w:p>
    <w:p w14:paraId="16C94AD3" w14:textId="6645B03F" w:rsidR="00990F3D" w:rsidRDefault="00990F3D" w:rsidP="006B16F8">
      <w:pPr>
        <w:spacing w:line="360" w:lineRule="auto"/>
        <w:jc w:val="both"/>
        <w:rPr>
          <w:rFonts w:ascii="Times New Roman" w:hAnsi="Times New Roman" w:cs="Times New Roman"/>
        </w:rPr>
      </w:pPr>
      <w:r w:rsidRPr="00990F3D">
        <w:rPr>
          <w:rFonts w:ascii="Times New Roman" w:hAnsi="Times New Roman" w:cs="Times New Roman"/>
        </w:rPr>
        <w:t xml:space="preserve">A. Honneth, </w:t>
      </w:r>
      <w:r w:rsidRPr="00990F3D">
        <w:rPr>
          <w:rFonts w:ascii="Times New Roman" w:hAnsi="Times New Roman" w:cs="Times New Roman"/>
          <w:i/>
        </w:rPr>
        <w:t>Kampf um Anerkennung</w:t>
      </w:r>
      <w:r w:rsidRPr="00990F3D">
        <w:rPr>
          <w:rFonts w:ascii="Times New Roman" w:hAnsi="Times New Roman" w:cs="Times New Roman"/>
        </w:rPr>
        <w:t>, Suhrkamp, Frankfurt am Main 1992.</w:t>
      </w:r>
    </w:p>
    <w:p w14:paraId="24125E03" w14:textId="77777777" w:rsidR="00AC32CA" w:rsidRPr="00AC32CA" w:rsidRDefault="00AC32CA" w:rsidP="006B16F8">
      <w:pPr>
        <w:spacing w:line="360" w:lineRule="auto"/>
        <w:jc w:val="both"/>
        <w:rPr>
          <w:rFonts w:ascii="Times New Roman" w:hAnsi="Times New Roman" w:cs="Times New Roman"/>
        </w:rPr>
      </w:pPr>
    </w:p>
    <w:p w14:paraId="6DBBD09D" w14:textId="402801A6" w:rsidR="00AC32CA" w:rsidRPr="00AC32CA" w:rsidRDefault="00AC32CA" w:rsidP="006B16F8">
      <w:pPr>
        <w:spacing w:line="360" w:lineRule="auto"/>
        <w:jc w:val="both"/>
        <w:rPr>
          <w:rFonts w:ascii="Times New Roman" w:hAnsi="Times New Roman" w:cs="Times New Roman"/>
        </w:rPr>
      </w:pPr>
      <w:r w:rsidRPr="00AC32CA">
        <w:rPr>
          <w:rFonts w:ascii="Times New Roman" w:hAnsi="Times New Roman" w:cs="Times New Roman"/>
        </w:rPr>
        <w:t xml:space="preserve">- </w:t>
      </w:r>
      <w:r w:rsidRPr="00AC32CA">
        <w:rPr>
          <w:rFonts w:ascii="Times New Roman" w:hAnsi="Times New Roman" w:cs="Times New Roman"/>
          <w:i/>
        </w:rPr>
        <w:t>Das Ich im Wir</w:t>
      </w:r>
      <w:r w:rsidRPr="00AC32CA">
        <w:rPr>
          <w:rFonts w:ascii="Times New Roman" w:hAnsi="Times New Roman" w:cs="Times New Roman"/>
        </w:rPr>
        <w:t xml:space="preserve">. </w:t>
      </w:r>
      <w:r w:rsidRPr="00AC32CA">
        <w:rPr>
          <w:rFonts w:ascii="Times New Roman" w:hAnsi="Times New Roman" w:cs="Times New Roman"/>
          <w:i/>
        </w:rPr>
        <w:t>Studien zur Anerkennungstheorie</w:t>
      </w:r>
      <w:r w:rsidRPr="00AC32CA">
        <w:rPr>
          <w:rFonts w:ascii="Times New Roman" w:hAnsi="Times New Roman" w:cs="Times New Roman"/>
        </w:rPr>
        <w:t>, Suhrkamp, Frankfurt am Main 2010.</w:t>
      </w:r>
    </w:p>
    <w:p w14:paraId="63F29656" w14:textId="77777777" w:rsidR="00AC32CA" w:rsidRPr="00AC32CA" w:rsidRDefault="00AC32CA" w:rsidP="006B16F8">
      <w:pPr>
        <w:spacing w:line="360" w:lineRule="auto"/>
        <w:jc w:val="both"/>
        <w:rPr>
          <w:rFonts w:ascii="Times New Roman" w:hAnsi="Times New Roman" w:cs="Times New Roman"/>
        </w:rPr>
      </w:pPr>
    </w:p>
    <w:p w14:paraId="6FAD6597" w14:textId="6C7E553B" w:rsidR="00AC32CA" w:rsidRPr="00AC32CA" w:rsidRDefault="00AC32CA" w:rsidP="006B16F8">
      <w:pPr>
        <w:spacing w:line="360" w:lineRule="auto"/>
        <w:jc w:val="both"/>
        <w:rPr>
          <w:rFonts w:ascii="Times New Roman" w:hAnsi="Times New Roman" w:cs="Times New Roman"/>
        </w:rPr>
      </w:pPr>
      <w:r w:rsidRPr="00AC32CA">
        <w:rPr>
          <w:rFonts w:ascii="Times New Roman" w:hAnsi="Times New Roman" w:cs="Times New Roman"/>
        </w:rPr>
        <w:t xml:space="preserve">- </w:t>
      </w:r>
      <w:r w:rsidRPr="00AC32CA">
        <w:rPr>
          <w:rFonts w:ascii="Times New Roman" w:hAnsi="Times New Roman" w:cs="Times New Roman"/>
          <w:i/>
        </w:rPr>
        <w:t>Die Armut unserer Freiheit</w:t>
      </w:r>
      <w:r w:rsidRPr="00AC32CA">
        <w:rPr>
          <w:rFonts w:ascii="Times New Roman" w:hAnsi="Times New Roman" w:cs="Times New Roman"/>
        </w:rPr>
        <w:t>. Aufsätze 2012-2019, Suhrkamp, Frankfurt am Main 2020.</w:t>
      </w:r>
    </w:p>
    <w:p w14:paraId="7D674337" w14:textId="77777777" w:rsidR="00276556" w:rsidRPr="008E0C6A" w:rsidRDefault="00276556" w:rsidP="006B16F8">
      <w:pPr>
        <w:spacing w:line="360" w:lineRule="auto"/>
        <w:jc w:val="both"/>
        <w:rPr>
          <w:rFonts w:ascii="Times New Roman" w:hAnsi="Times New Roman" w:cs="Times New Roman"/>
        </w:rPr>
      </w:pPr>
    </w:p>
    <w:p w14:paraId="7D8A9973"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S. Houlgate, </w:t>
      </w:r>
      <w:r w:rsidRPr="008E0C6A">
        <w:rPr>
          <w:rFonts w:ascii="Times New Roman" w:hAnsi="Times New Roman" w:cs="Times New Roman"/>
          <w:i/>
        </w:rPr>
        <w:t>The Opening of Hegel’s Logic</w:t>
      </w:r>
      <w:r w:rsidRPr="008E0C6A">
        <w:rPr>
          <w:rFonts w:ascii="Times New Roman" w:hAnsi="Times New Roman" w:cs="Times New Roman"/>
        </w:rPr>
        <w:t>, Purdue University Press, Idiana 2006.</w:t>
      </w:r>
    </w:p>
    <w:p w14:paraId="492DD660" w14:textId="77777777" w:rsidR="00276556" w:rsidRPr="008E0C6A" w:rsidRDefault="00276556" w:rsidP="006B16F8">
      <w:pPr>
        <w:spacing w:line="360" w:lineRule="auto"/>
        <w:jc w:val="both"/>
        <w:rPr>
          <w:rFonts w:ascii="Times New Roman" w:hAnsi="Times New Roman" w:cs="Times New Roman"/>
        </w:rPr>
      </w:pPr>
    </w:p>
    <w:p w14:paraId="7E85F59E" w14:textId="77777777" w:rsidR="00276556" w:rsidRPr="002A09E0" w:rsidRDefault="00276556" w:rsidP="006B16F8">
      <w:pPr>
        <w:spacing w:line="360" w:lineRule="auto"/>
        <w:jc w:val="both"/>
        <w:rPr>
          <w:rFonts w:ascii="Times New Roman" w:hAnsi="Times New Roman" w:cs="Times New Roman"/>
        </w:rPr>
      </w:pPr>
      <w:r w:rsidRPr="002A09E0">
        <w:rPr>
          <w:rFonts w:ascii="Times New Roman" w:hAnsi="Times New Roman" w:cs="Times New Roman"/>
          <w:i/>
        </w:rPr>
        <w:t>-</w:t>
      </w:r>
      <w:r>
        <w:rPr>
          <w:rFonts w:ascii="Times New Roman" w:hAnsi="Times New Roman" w:cs="Times New Roman"/>
          <w:i/>
        </w:rPr>
        <w:t xml:space="preserve"> </w:t>
      </w:r>
      <w:r w:rsidRPr="002A09E0">
        <w:rPr>
          <w:rFonts w:ascii="Times New Roman" w:hAnsi="Times New Roman" w:cs="Times New Roman"/>
          <w:i/>
        </w:rPr>
        <w:t>Essence, Reflection, and Immediacy in Hegel’s Science of Logic</w:t>
      </w:r>
      <w:r w:rsidRPr="002A09E0">
        <w:rPr>
          <w:rFonts w:ascii="Times New Roman" w:hAnsi="Times New Roman" w:cs="Times New Roman"/>
        </w:rPr>
        <w:t xml:space="preserve">, in </w:t>
      </w:r>
      <w:r w:rsidRPr="002A09E0">
        <w:rPr>
          <w:rFonts w:ascii="Times New Roman" w:hAnsi="Times New Roman" w:cs="Times New Roman"/>
          <w:i/>
        </w:rPr>
        <w:t>A Companion to Hegel</w:t>
      </w:r>
      <w:r w:rsidRPr="002A09E0">
        <w:rPr>
          <w:rFonts w:ascii="Times New Roman" w:hAnsi="Times New Roman" w:cs="Times New Roman"/>
        </w:rPr>
        <w:t>, edited by S. Houlgate and M. Baur, Wiley-Blackwell, Hoboken 2011, pp. 139-159.</w:t>
      </w:r>
    </w:p>
    <w:p w14:paraId="742C98F2" w14:textId="77777777" w:rsidR="00276556" w:rsidRPr="002A09E0" w:rsidRDefault="00276556" w:rsidP="006B16F8">
      <w:pPr>
        <w:spacing w:line="360" w:lineRule="auto"/>
        <w:jc w:val="both"/>
      </w:pPr>
    </w:p>
    <w:p w14:paraId="6DF46124" w14:textId="77777777" w:rsidR="00276556" w:rsidRPr="008E0C6A" w:rsidRDefault="00276556" w:rsidP="006B16F8">
      <w:pPr>
        <w:spacing w:line="360" w:lineRule="auto"/>
        <w:jc w:val="both"/>
        <w:rPr>
          <w:rFonts w:ascii="Times New Roman" w:hAnsi="Times New Roman" w:cs="Times New Roman"/>
          <w:lang w:val="fr-CA"/>
        </w:rPr>
      </w:pPr>
      <w:r w:rsidRPr="008E0C6A">
        <w:rPr>
          <w:rFonts w:ascii="Times New Roman" w:hAnsi="Times New Roman" w:cs="Times New Roman"/>
        </w:rPr>
        <w:t xml:space="preserve">S. Hutin, </w:t>
      </w:r>
      <w:r w:rsidRPr="008E0C6A">
        <w:rPr>
          <w:rFonts w:ascii="Times New Roman" w:hAnsi="Times New Roman" w:cs="Times New Roman"/>
          <w:i/>
          <w:lang w:val="fr-FR"/>
        </w:rPr>
        <w:t>Note sur la Création chez trois Kabbalistes Chrétiens anglais: Robert Fludd, Henry More et Isaac Newton</w:t>
      </w:r>
      <w:r w:rsidRPr="008E0C6A">
        <w:rPr>
          <w:rFonts w:ascii="Times New Roman" w:hAnsi="Times New Roman" w:cs="Times New Roman"/>
        </w:rPr>
        <w:t>, in</w:t>
      </w:r>
      <w:r w:rsidRPr="008E0C6A">
        <w:rPr>
          <w:rFonts w:ascii="Times New Roman" w:hAnsi="Times New Roman" w:cs="Times New Roman"/>
          <w:lang w:val="fr-CA"/>
        </w:rPr>
        <w:t xml:space="preserve"> «Cahiers de l’Hermétisme», cit., pp. 149-159.</w:t>
      </w:r>
    </w:p>
    <w:p w14:paraId="533F8B34" w14:textId="77777777" w:rsidR="00276556" w:rsidRPr="008E0C6A" w:rsidRDefault="00276556" w:rsidP="006B16F8">
      <w:pPr>
        <w:spacing w:line="360" w:lineRule="auto"/>
        <w:jc w:val="both"/>
        <w:rPr>
          <w:rFonts w:ascii="Times New Roman" w:hAnsi="Times New Roman" w:cs="Times New Roman"/>
          <w:b/>
        </w:rPr>
      </w:pPr>
    </w:p>
    <w:p w14:paraId="47CC1DBC" w14:textId="77777777" w:rsidR="00276556" w:rsidRDefault="00276556" w:rsidP="006B16F8">
      <w:pPr>
        <w:spacing w:line="360" w:lineRule="auto"/>
        <w:jc w:val="both"/>
        <w:rPr>
          <w:rFonts w:ascii="Times New Roman" w:eastAsia="Times New Roman" w:hAnsi="Times New Roman" w:cs="Times New Roman"/>
          <w:color w:val="000000"/>
        </w:rPr>
      </w:pPr>
      <w:r w:rsidRPr="008E0C6A">
        <w:rPr>
          <w:rFonts w:ascii="Times New Roman" w:hAnsi="Times New Roman" w:cs="Times New Roman"/>
        </w:rPr>
        <w:t xml:space="preserve">J. Hyppolite, </w:t>
      </w:r>
      <w:r w:rsidRPr="008E0C6A">
        <w:rPr>
          <w:rFonts w:ascii="Times New Roman" w:hAnsi="Times New Roman" w:cs="Times New Roman"/>
          <w:i/>
        </w:rPr>
        <w:t>Genèse et structure de la «Phénoménologie de l’esprit de Hegel</w:t>
      </w:r>
      <w:r w:rsidRPr="008E0C6A">
        <w:rPr>
          <w:rFonts w:ascii="Times New Roman" w:eastAsia="Times New Roman" w:hAnsi="Times New Roman" w:cs="Times New Roman"/>
          <w:i/>
          <w:color w:val="000000"/>
        </w:rPr>
        <w:t>»</w:t>
      </w:r>
      <w:r w:rsidRPr="008E0C6A">
        <w:rPr>
          <w:rFonts w:ascii="Times New Roman" w:eastAsia="Times New Roman" w:hAnsi="Times New Roman" w:cs="Times New Roman"/>
          <w:color w:val="000000"/>
        </w:rPr>
        <w:t>, Aubier, Paris 1946.</w:t>
      </w:r>
    </w:p>
    <w:p w14:paraId="2F3D0912" w14:textId="77777777" w:rsidR="00694D73" w:rsidRDefault="00694D73" w:rsidP="006B16F8">
      <w:pPr>
        <w:spacing w:line="360" w:lineRule="auto"/>
        <w:jc w:val="both"/>
        <w:rPr>
          <w:rFonts w:ascii="Times New Roman" w:eastAsia="Times New Roman" w:hAnsi="Times New Roman" w:cs="Times New Roman"/>
          <w:color w:val="000000"/>
        </w:rPr>
      </w:pPr>
    </w:p>
    <w:p w14:paraId="5391C949" w14:textId="75D33A09" w:rsidR="00694D73" w:rsidRPr="00694D73" w:rsidRDefault="00694D73" w:rsidP="006B16F8">
      <w:pPr>
        <w:spacing w:line="360" w:lineRule="auto"/>
        <w:jc w:val="both"/>
        <w:rPr>
          <w:rFonts w:ascii="Times New Roman" w:eastAsia="Times New Roman" w:hAnsi="Times New Roman" w:cs="Times New Roman"/>
          <w:color w:val="000000"/>
        </w:rPr>
      </w:pPr>
      <w:r w:rsidRPr="00694D73">
        <w:rPr>
          <w:rFonts w:ascii="Times New Roman" w:hAnsi="Times New Roman" w:cs="Times New Roman"/>
        </w:rPr>
        <w:t xml:space="preserve">- </w:t>
      </w:r>
      <w:r w:rsidRPr="00694D73">
        <w:rPr>
          <w:rFonts w:ascii="Times New Roman" w:hAnsi="Times New Roman" w:cs="Times New Roman"/>
          <w:i/>
        </w:rPr>
        <w:t>Logique et existence</w:t>
      </w:r>
      <w:r w:rsidRPr="00694D73">
        <w:rPr>
          <w:rFonts w:ascii="Times New Roman" w:hAnsi="Times New Roman" w:cs="Times New Roman"/>
        </w:rPr>
        <w:t>, PUF, Paris 1953</w:t>
      </w:r>
      <w:r>
        <w:rPr>
          <w:rFonts w:ascii="Times New Roman" w:hAnsi="Times New Roman" w:cs="Times New Roman"/>
        </w:rPr>
        <w:t>.</w:t>
      </w:r>
    </w:p>
    <w:p w14:paraId="7C9D98F3" w14:textId="77777777" w:rsidR="00276556" w:rsidRPr="008E0C6A" w:rsidRDefault="00276556" w:rsidP="006B16F8">
      <w:pPr>
        <w:spacing w:line="360" w:lineRule="auto"/>
        <w:jc w:val="both"/>
        <w:rPr>
          <w:rFonts w:ascii="Times New Roman" w:eastAsia="Times New Roman" w:hAnsi="Times New Roman" w:cs="Times New Roman"/>
          <w:color w:val="000000"/>
        </w:rPr>
      </w:pPr>
    </w:p>
    <w:p w14:paraId="45019272" w14:textId="36E7CDE9"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i/>
        </w:rPr>
        <w:t>- Introduction à la philosophie de l’historie de Hegel</w:t>
      </w:r>
      <w:r w:rsidR="00694D73">
        <w:rPr>
          <w:rFonts w:ascii="Times New Roman" w:hAnsi="Times New Roman" w:cs="Times New Roman"/>
        </w:rPr>
        <w:t>, Marcel Rivière et Cie,</w:t>
      </w:r>
      <w:r w:rsidRPr="008E0C6A">
        <w:rPr>
          <w:rFonts w:ascii="Times New Roman" w:hAnsi="Times New Roman" w:cs="Times New Roman"/>
        </w:rPr>
        <w:t xml:space="preserve"> Paris 1968.</w:t>
      </w:r>
    </w:p>
    <w:p w14:paraId="685BF61B" w14:textId="77777777" w:rsidR="00276556" w:rsidRPr="008E0C6A" w:rsidRDefault="00276556" w:rsidP="006B16F8">
      <w:pPr>
        <w:spacing w:line="360" w:lineRule="auto"/>
        <w:jc w:val="both"/>
        <w:rPr>
          <w:rFonts w:ascii="Times New Roman" w:hAnsi="Times New Roman" w:cs="Times New Roman"/>
        </w:rPr>
      </w:pPr>
    </w:p>
    <w:p w14:paraId="2AFD49B8" w14:textId="77777777" w:rsidR="00276556" w:rsidRDefault="00276556" w:rsidP="006B16F8">
      <w:pPr>
        <w:spacing w:line="360" w:lineRule="auto"/>
        <w:jc w:val="both"/>
        <w:rPr>
          <w:rFonts w:ascii="Times New Roman" w:eastAsia="Times New Roman" w:hAnsi="Times New Roman" w:cs="Times New Roman"/>
          <w:color w:val="000000"/>
        </w:rPr>
      </w:pPr>
      <w:r w:rsidRPr="001275E5">
        <w:rPr>
          <w:rFonts w:ascii="Times New Roman" w:hAnsi="Times New Roman" w:cs="Times New Roman"/>
        </w:rPr>
        <w:t xml:space="preserve">W. Jaeschke, </w:t>
      </w:r>
      <w:r w:rsidRPr="001275E5">
        <w:rPr>
          <w:rFonts w:ascii="Times New Roman" w:hAnsi="Times New Roman" w:cs="Times New Roman"/>
          <w:i/>
        </w:rPr>
        <w:t>Äußerliche und immanente Reflexion</w:t>
      </w:r>
      <w:r w:rsidRPr="001275E5">
        <w:rPr>
          <w:rFonts w:ascii="Times New Roman" w:hAnsi="Times New Roman" w:cs="Times New Roman"/>
        </w:rPr>
        <w:t>, in «Hegel-Studien</w:t>
      </w:r>
      <w:r w:rsidRPr="001275E5">
        <w:rPr>
          <w:rFonts w:ascii="Times New Roman" w:eastAsia="Times New Roman" w:hAnsi="Times New Roman" w:cs="Times New Roman"/>
          <w:color w:val="000000"/>
        </w:rPr>
        <w:t>», Bd. XIII (1978), pp. 85-119.</w:t>
      </w:r>
    </w:p>
    <w:p w14:paraId="5201DE80" w14:textId="77777777" w:rsidR="00276556" w:rsidRPr="002A09E0" w:rsidRDefault="00276556" w:rsidP="006B16F8">
      <w:pPr>
        <w:spacing w:line="360" w:lineRule="auto"/>
        <w:jc w:val="both"/>
        <w:rPr>
          <w:rFonts w:ascii="Times New Roman" w:hAnsi="Times New Roman" w:cs="Times New Roman"/>
        </w:rPr>
      </w:pPr>
    </w:p>
    <w:p w14:paraId="2CC1B95B" w14:textId="77777777" w:rsidR="00276556" w:rsidRPr="008E0C6A" w:rsidRDefault="00276556" w:rsidP="006B16F8">
      <w:pPr>
        <w:spacing w:line="360" w:lineRule="auto"/>
        <w:jc w:val="both"/>
        <w:rPr>
          <w:rFonts w:ascii="Times New Roman" w:hAnsi="Times New Roman" w:cs="Times New Roman"/>
        </w:rPr>
      </w:pPr>
      <w:r>
        <w:rPr>
          <w:rFonts w:ascii="Times New Roman" w:hAnsi="Times New Roman" w:cs="Times New Roman"/>
          <w:i/>
        </w:rPr>
        <w:t xml:space="preserve">- </w:t>
      </w:r>
      <w:r w:rsidRPr="008E0C6A">
        <w:rPr>
          <w:rFonts w:ascii="Times New Roman" w:hAnsi="Times New Roman" w:cs="Times New Roman"/>
          <w:i/>
        </w:rPr>
        <w:t>Vernunft in der Religion</w:t>
      </w:r>
      <w:r w:rsidRPr="008E0C6A">
        <w:rPr>
          <w:rFonts w:ascii="Times New Roman" w:hAnsi="Times New Roman" w:cs="Times New Roman"/>
        </w:rPr>
        <w:t>, Frommann-Holzboog Verlag, Stuttgart 1986.</w:t>
      </w:r>
    </w:p>
    <w:p w14:paraId="1EF09E45" w14:textId="77777777" w:rsidR="00276556" w:rsidRPr="008E0C6A" w:rsidRDefault="00276556" w:rsidP="006B16F8">
      <w:pPr>
        <w:spacing w:line="360" w:lineRule="auto"/>
        <w:jc w:val="both"/>
        <w:rPr>
          <w:rFonts w:eastAsia="Times New Roman"/>
          <w:color w:val="000000"/>
        </w:rPr>
      </w:pPr>
    </w:p>
    <w:p w14:paraId="0FF4781D" w14:textId="1B90FFBB" w:rsidR="00276556" w:rsidRPr="008E0C6A" w:rsidRDefault="00276556" w:rsidP="006B16F8">
      <w:pPr>
        <w:spacing w:line="360" w:lineRule="auto"/>
        <w:jc w:val="both"/>
        <w:rPr>
          <w:rFonts w:eastAsia="Times New Roman"/>
          <w:color w:val="000000"/>
        </w:rPr>
      </w:pPr>
      <w:r w:rsidRPr="008E0C6A">
        <w:rPr>
          <w:rFonts w:ascii="Times New Roman" w:hAnsi="Times New Roman" w:cs="Times New Roman"/>
        </w:rPr>
        <w:t xml:space="preserve">- </w:t>
      </w:r>
      <w:r w:rsidRPr="008E0C6A">
        <w:rPr>
          <w:rFonts w:ascii="Times New Roman" w:hAnsi="Times New Roman" w:cs="Times New Roman"/>
          <w:i/>
        </w:rPr>
        <w:t>L’‘oggettività’ nella logica di Hegel</w:t>
      </w:r>
      <w:r w:rsidR="001275E5">
        <w:rPr>
          <w:rFonts w:ascii="Times New Roman" w:hAnsi="Times New Roman" w:cs="Times New Roman"/>
        </w:rPr>
        <w:t xml:space="preserve">, </w:t>
      </w:r>
      <w:r w:rsidRPr="008E0C6A">
        <w:rPr>
          <w:rFonts w:ascii="Times New Roman" w:hAnsi="Times New Roman" w:cs="Times New Roman"/>
        </w:rPr>
        <w:t xml:space="preserve">in </w:t>
      </w:r>
      <w:r w:rsidRPr="008E0C6A">
        <w:rPr>
          <w:rFonts w:ascii="Times New Roman" w:hAnsi="Times New Roman" w:cs="Times New Roman"/>
          <w:i/>
        </w:rPr>
        <w:t>Lezioni hegeliane</w:t>
      </w:r>
      <w:r w:rsidRPr="008E0C6A">
        <w:rPr>
          <w:rFonts w:ascii="Times New Roman" w:hAnsi="Times New Roman" w:cs="Times New Roman"/>
        </w:rPr>
        <w:t xml:space="preserve">, </w:t>
      </w:r>
      <w:r>
        <w:rPr>
          <w:rFonts w:ascii="Times New Roman" w:hAnsi="Times New Roman" w:cs="Times New Roman"/>
        </w:rPr>
        <w:t xml:space="preserve">a cura di S. Achella, </w:t>
      </w:r>
      <w:r w:rsidRPr="008E0C6A">
        <w:rPr>
          <w:rFonts w:ascii="Times New Roman" w:hAnsi="Times New Roman" w:cs="Times New Roman"/>
        </w:rPr>
        <w:t>Edizioni della Normale, Pisa 2016, pp. 97-115</w:t>
      </w:r>
      <w:r w:rsidR="003F6B27">
        <w:rPr>
          <w:rFonts w:ascii="Times New Roman" w:hAnsi="Times New Roman" w:cs="Times New Roman"/>
        </w:rPr>
        <w:t>.</w:t>
      </w:r>
    </w:p>
    <w:p w14:paraId="30B0A91B" w14:textId="77777777" w:rsidR="00276556" w:rsidRPr="008E0C6A" w:rsidRDefault="00276556" w:rsidP="006B16F8">
      <w:pPr>
        <w:spacing w:line="360" w:lineRule="auto"/>
        <w:jc w:val="both"/>
        <w:rPr>
          <w:rFonts w:ascii="Times New Roman" w:hAnsi="Times New Roman" w:cs="Times New Roman"/>
        </w:rPr>
      </w:pPr>
    </w:p>
    <w:p w14:paraId="04544FF9" w14:textId="77777777" w:rsidR="00276556" w:rsidRPr="008E0C6A" w:rsidRDefault="00276556" w:rsidP="006B16F8">
      <w:pPr>
        <w:spacing w:line="360" w:lineRule="auto"/>
        <w:jc w:val="both"/>
        <w:rPr>
          <w:rFonts w:ascii="Times New Roman" w:eastAsia="Times New Roman" w:hAnsi="Times New Roman" w:cs="Times New Roman"/>
          <w:color w:val="000000"/>
        </w:rPr>
      </w:pPr>
      <w:r w:rsidRPr="008E0C6A">
        <w:rPr>
          <w:rFonts w:ascii="Times New Roman" w:hAnsi="Times New Roman" w:cs="Times New Roman"/>
        </w:rPr>
        <w:t xml:space="preserve">- </w:t>
      </w:r>
      <w:r w:rsidRPr="008E0C6A">
        <w:rPr>
          <w:rFonts w:ascii="Times New Roman" w:hAnsi="Times New Roman" w:cs="Times New Roman"/>
          <w:i/>
        </w:rPr>
        <w:t>Hegels Philosophie</w:t>
      </w:r>
      <w:r w:rsidRPr="008E0C6A">
        <w:rPr>
          <w:rFonts w:ascii="Times New Roman" w:hAnsi="Times New Roman" w:cs="Times New Roman"/>
        </w:rPr>
        <w:t>, Felix Meiner Verlag, Hamburg 2019.</w:t>
      </w:r>
    </w:p>
    <w:p w14:paraId="318CAACC" w14:textId="77777777" w:rsidR="00276556" w:rsidRPr="008E0C6A" w:rsidRDefault="00276556" w:rsidP="006B16F8">
      <w:pPr>
        <w:spacing w:line="360" w:lineRule="auto"/>
        <w:jc w:val="both"/>
        <w:rPr>
          <w:rFonts w:ascii="Times New Roman" w:hAnsi="Times New Roman" w:cs="Times New Roman"/>
        </w:rPr>
      </w:pPr>
    </w:p>
    <w:p w14:paraId="7C811572" w14:textId="77777777" w:rsidR="00276556" w:rsidRPr="008E0C6A" w:rsidRDefault="00276556" w:rsidP="006B16F8">
      <w:pPr>
        <w:spacing w:line="360" w:lineRule="auto"/>
        <w:jc w:val="both"/>
        <w:rPr>
          <w:rFonts w:ascii="Times New Roman" w:hAnsi="Times New Roman" w:cs="Times New Roman"/>
        </w:rPr>
      </w:pPr>
      <w:r w:rsidRPr="00773ACB">
        <w:rPr>
          <w:rFonts w:ascii="Times New Roman" w:hAnsi="Times New Roman" w:cs="Times New Roman"/>
        </w:rPr>
        <w:t xml:space="preserve">W. Jaeschke und B. Sandkaulen (hrsg.), </w:t>
      </w:r>
      <w:r w:rsidRPr="00773ACB">
        <w:rPr>
          <w:rFonts w:ascii="Times New Roman" w:hAnsi="Times New Roman" w:cs="Times New Roman"/>
          <w:i/>
        </w:rPr>
        <w:t>Friedrich Heinrich Jacobi. Ein Wendepunkt der geistigen Bildung der Zeit</w:t>
      </w:r>
      <w:r w:rsidRPr="00773ACB">
        <w:rPr>
          <w:rFonts w:ascii="Times New Roman" w:hAnsi="Times New Roman" w:cs="Times New Roman"/>
        </w:rPr>
        <w:t>, Felix Meiner Verlag, Hamburg, 2014.</w:t>
      </w:r>
    </w:p>
    <w:p w14:paraId="7F209F3C" w14:textId="77777777" w:rsidR="00276556" w:rsidRPr="008E0C6A" w:rsidRDefault="00276556" w:rsidP="006B16F8">
      <w:pPr>
        <w:spacing w:line="360" w:lineRule="auto"/>
        <w:jc w:val="both"/>
        <w:rPr>
          <w:rFonts w:ascii="Times New Roman" w:eastAsia="Times New Roman" w:hAnsi="Times New Roman" w:cs="Times New Roman"/>
          <w:color w:val="000000"/>
        </w:rPr>
      </w:pPr>
    </w:p>
    <w:p w14:paraId="2189C57F" w14:textId="77777777" w:rsidR="00276556" w:rsidRPr="008E0C6A" w:rsidRDefault="00276556" w:rsidP="006B16F8">
      <w:pPr>
        <w:spacing w:line="360" w:lineRule="auto"/>
        <w:jc w:val="both"/>
        <w:rPr>
          <w:rFonts w:ascii="Times New Roman" w:eastAsia="Times New Roman" w:hAnsi="Times New Roman" w:cs="Times New Roman"/>
          <w:color w:val="000000"/>
        </w:rPr>
      </w:pPr>
      <w:r w:rsidRPr="008E0C6A">
        <w:rPr>
          <w:rFonts w:ascii="Times New Roman" w:eastAsia="Times New Roman" w:hAnsi="Times New Roman" w:cs="Times New Roman"/>
          <w:color w:val="000000"/>
        </w:rPr>
        <w:t xml:space="preserve">C. Jamme, </w:t>
      </w:r>
      <w:r w:rsidRPr="008E0C6A">
        <w:rPr>
          <w:rFonts w:ascii="Times New Roman" w:eastAsia="Times New Roman" w:hAnsi="Times New Roman" w:cs="Times New Roman"/>
          <w:i/>
          <w:color w:val="000000"/>
        </w:rPr>
        <w:t>“Ein ungelerhrtes Buch”. Die philosophische Gemeinschaft zwischen Hölderlin und Hegel in Frankfurt 1797-1800</w:t>
      </w:r>
      <w:r w:rsidRPr="008E0C6A">
        <w:rPr>
          <w:rFonts w:ascii="Times New Roman" w:eastAsia="Times New Roman" w:hAnsi="Times New Roman" w:cs="Times New Roman"/>
          <w:color w:val="000000"/>
        </w:rPr>
        <w:t>, Bonn, Bouvier 1983.</w:t>
      </w:r>
    </w:p>
    <w:p w14:paraId="3D6A66FD" w14:textId="77777777" w:rsidR="00276556" w:rsidRPr="008E0C6A" w:rsidRDefault="00276556" w:rsidP="006B16F8">
      <w:pPr>
        <w:spacing w:line="360" w:lineRule="auto"/>
        <w:jc w:val="both"/>
        <w:rPr>
          <w:rFonts w:ascii="Times New Roman" w:eastAsia="Times New Roman" w:hAnsi="Times New Roman" w:cs="Times New Roman"/>
          <w:color w:val="000000"/>
        </w:rPr>
      </w:pPr>
    </w:p>
    <w:p w14:paraId="35FDC72F" w14:textId="77777777" w:rsidR="00276556" w:rsidRPr="008E0C6A" w:rsidRDefault="00276556" w:rsidP="006B16F8">
      <w:pP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C. Jamme und</w:t>
      </w:r>
      <w:r w:rsidRPr="008E0C6A">
        <w:rPr>
          <w:rFonts w:ascii="Times New Roman" w:eastAsia="Times New Roman" w:hAnsi="Times New Roman" w:cs="Times New Roman"/>
          <w:color w:val="000000"/>
        </w:rPr>
        <w:t xml:space="preserve"> H. Schneider (Hrsg.), </w:t>
      </w:r>
      <w:r w:rsidRPr="008E0C6A">
        <w:rPr>
          <w:rFonts w:ascii="Times New Roman" w:eastAsia="Times New Roman" w:hAnsi="Times New Roman" w:cs="Times New Roman"/>
          <w:i/>
          <w:color w:val="000000"/>
        </w:rPr>
        <w:t>Mythologie der Vernunft. Hegels «älteste Systemprogramm des deutschen Idealismus»</w:t>
      </w:r>
      <w:r w:rsidRPr="008E0C6A">
        <w:rPr>
          <w:rFonts w:ascii="Times New Roman" w:eastAsia="Times New Roman" w:hAnsi="Times New Roman" w:cs="Times New Roman"/>
          <w:color w:val="000000"/>
        </w:rPr>
        <w:t>, Suhrkamp, Frankfurt am Main 1984.</w:t>
      </w:r>
    </w:p>
    <w:p w14:paraId="63CF36A8" w14:textId="77777777" w:rsidR="00276556" w:rsidRPr="008E0C6A" w:rsidRDefault="00276556" w:rsidP="006B16F8">
      <w:pPr>
        <w:spacing w:line="360" w:lineRule="auto"/>
        <w:jc w:val="both"/>
        <w:rPr>
          <w:rFonts w:ascii="Times New Roman" w:eastAsia="Times New Roman" w:hAnsi="Times New Roman" w:cs="Times New Roman"/>
          <w:color w:val="000000"/>
        </w:rPr>
      </w:pPr>
    </w:p>
    <w:p w14:paraId="1F70AA0B"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H. Karasek, J. Kunes und I. Landa (hrsg.), </w:t>
      </w:r>
      <w:r w:rsidRPr="008E0C6A">
        <w:rPr>
          <w:rFonts w:ascii="Times New Roman" w:hAnsi="Times New Roman" w:cs="Times New Roman"/>
          <w:i/>
        </w:rPr>
        <w:t>Hegels Einleitung in die Phänomenologie des Geistes</w:t>
      </w:r>
      <w:r w:rsidRPr="008E0C6A">
        <w:rPr>
          <w:rFonts w:ascii="Times New Roman" w:hAnsi="Times New Roman" w:cs="Times New Roman"/>
        </w:rPr>
        <w:t>, Königshausen &amp; Neumann, Würzburg 2006.</w:t>
      </w:r>
    </w:p>
    <w:p w14:paraId="403827C3" w14:textId="77777777" w:rsidR="00276556" w:rsidRPr="008E0C6A" w:rsidRDefault="00276556" w:rsidP="006B16F8">
      <w:pPr>
        <w:spacing w:line="360" w:lineRule="auto"/>
        <w:jc w:val="both"/>
        <w:rPr>
          <w:rFonts w:ascii="Times New Roman" w:hAnsi="Times New Roman" w:cs="Times New Roman"/>
        </w:rPr>
      </w:pPr>
    </w:p>
    <w:p w14:paraId="455A2D6B"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J.-F. Kervégan, </w:t>
      </w:r>
      <w:r w:rsidRPr="008E0C6A">
        <w:rPr>
          <w:rFonts w:ascii="Times New Roman" w:hAnsi="Times New Roman" w:cs="Times New Roman"/>
          <w:i/>
        </w:rPr>
        <w:t>Esiste una filosofia della storia?</w:t>
      </w:r>
      <w:r w:rsidRPr="008E0C6A">
        <w:rPr>
          <w:rFonts w:ascii="Times New Roman" w:hAnsi="Times New Roman" w:cs="Times New Roman"/>
        </w:rPr>
        <w:t xml:space="preserve">, in </w:t>
      </w:r>
      <w:r w:rsidRPr="008E0C6A">
        <w:rPr>
          <w:rFonts w:ascii="Times New Roman" w:hAnsi="Times New Roman" w:cs="Times New Roman"/>
          <w:i/>
        </w:rPr>
        <w:t>Lezioni hegeliane</w:t>
      </w:r>
      <w:r w:rsidRPr="008E0C6A">
        <w:rPr>
          <w:rFonts w:ascii="Times New Roman" w:hAnsi="Times New Roman" w:cs="Times New Roman"/>
        </w:rPr>
        <w:t>, cit., pp. 53-75.</w:t>
      </w:r>
    </w:p>
    <w:p w14:paraId="2F8D49F3" w14:textId="77777777" w:rsidR="00276556" w:rsidRPr="008E0C6A" w:rsidRDefault="00276556" w:rsidP="006B16F8">
      <w:pPr>
        <w:spacing w:line="360" w:lineRule="auto"/>
        <w:jc w:val="both"/>
        <w:rPr>
          <w:rFonts w:ascii="Times New Roman" w:hAnsi="Times New Roman" w:cs="Times New Roman"/>
        </w:rPr>
      </w:pPr>
    </w:p>
    <w:p w14:paraId="5A5AAE37" w14:textId="67809809" w:rsidR="00276556" w:rsidRPr="008E0C6A" w:rsidRDefault="00276556" w:rsidP="006B16F8">
      <w:pPr>
        <w:spacing w:line="360" w:lineRule="auto"/>
        <w:jc w:val="both"/>
        <w:rPr>
          <w:rFonts w:ascii="Times New Roman" w:hAnsi="Times New Roman" w:cs="Times New Roman"/>
        </w:rPr>
      </w:pPr>
      <w:r w:rsidRPr="001275E5">
        <w:rPr>
          <w:rFonts w:ascii="Times New Roman" w:hAnsi="Times New Roman" w:cs="Times New Roman"/>
        </w:rPr>
        <w:t>H. Kimmerle</w:t>
      </w:r>
      <w:r w:rsidRPr="001275E5">
        <w:rPr>
          <w:rFonts w:ascii="Times New Roman" w:eastAsia="Times New Roman" w:hAnsi="Times New Roman" w:cs="Times New Roman"/>
          <w:lang w:val="de-DE"/>
        </w:rPr>
        <w:t xml:space="preserve">, </w:t>
      </w:r>
      <w:r w:rsidRPr="001275E5">
        <w:rPr>
          <w:rFonts w:ascii="Times New Roman" w:eastAsia="Times New Roman" w:hAnsi="Times New Roman" w:cs="Times New Roman"/>
          <w:i/>
          <w:lang w:val="de-DE"/>
        </w:rPr>
        <w:t>Das Problem der Abgeschlossenheit des Denken</w:t>
      </w:r>
      <w:r w:rsidRPr="001275E5">
        <w:rPr>
          <w:rFonts w:ascii="Times New Roman" w:eastAsia="Times New Roman" w:hAnsi="Times New Roman" w:cs="Times New Roman"/>
          <w:lang w:val="de-DE"/>
        </w:rPr>
        <w:t xml:space="preserve">. </w:t>
      </w:r>
      <w:r w:rsidRPr="001275E5">
        <w:rPr>
          <w:rFonts w:ascii="Times New Roman" w:eastAsia="Times New Roman" w:hAnsi="Times New Roman" w:cs="Times New Roman"/>
          <w:i/>
        </w:rPr>
        <w:t>Hegels System der Philosophie in den Jahren 1800 bis 1804</w:t>
      </w:r>
      <w:r w:rsidRPr="001275E5">
        <w:rPr>
          <w:rFonts w:ascii="Times New Roman" w:eastAsia="Times New Roman" w:hAnsi="Times New Roman" w:cs="Times New Roman"/>
          <w:lang w:val="de-DE"/>
        </w:rPr>
        <w:t>, in «Hegel-Studien</w:t>
      </w:r>
      <w:r w:rsidRPr="001275E5">
        <w:rPr>
          <w:rFonts w:ascii="Times New Roman" w:eastAsia="Times New Roman" w:hAnsi="Times New Roman" w:cs="Times New Roman"/>
          <w:color w:val="000000"/>
        </w:rPr>
        <w:t xml:space="preserve">», </w:t>
      </w:r>
      <w:r w:rsidR="006E2829" w:rsidRPr="001275E5">
        <w:rPr>
          <w:rFonts w:ascii="Times New Roman" w:eastAsia="Times New Roman" w:hAnsi="Times New Roman" w:cs="Times New Roman"/>
          <w:color w:val="000000"/>
        </w:rPr>
        <w:t xml:space="preserve">Beiheft VIII, </w:t>
      </w:r>
      <w:r w:rsidRPr="001275E5">
        <w:rPr>
          <w:rFonts w:ascii="Times New Roman" w:eastAsia="Times New Roman" w:hAnsi="Times New Roman" w:cs="Times New Roman"/>
          <w:color w:val="000000"/>
        </w:rPr>
        <w:t>Bonn, Bouvier 1970.</w:t>
      </w:r>
    </w:p>
    <w:p w14:paraId="63DA63FF" w14:textId="77777777" w:rsidR="00276556" w:rsidRPr="008E0C6A" w:rsidRDefault="00276556" w:rsidP="006B16F8">
      <w:pPr>
        <w:spacing w:line="360" w:lineRule="auto"/>
        <w:jc w:val="both"/>
        <w:rPr>
          <w:rFonts w:ascii="Times New Roman" w:eastAsia="Times New Roman" w:hAnsi="Times New Roman" w:cs="Times New Roman"/>
          <w:color w:val="000000"/>
        </w:rPr>
      </w:pPr>
    </w:p>
    <w:p w14:paraId="4C3B1CAE" w14:textId="77777777" w:rsidR="00276556" w:rsidRPr="008E0C6A" w:rsidRDefault="00276556" w:rsidP="006B16F8">
      <w:pPr>
        <w:spacing w:line="360" w:lineRule="auto"/>
        <w:jc w:val="both"/>
        <w:rPr>
          <w:rFonts w:ascii="Times New Roman" w:eastAsia="Times New Roman" w:hAnsi="Times New Roman" w:cs="Times New Roman"/>
          <w:color w:val="000000"/>
        </w:rPr>
      </w:pPr>
      <w:r w:rsidRPr="008E0C6A">
        <w:rPr>
          <w:rFonts w:ascii="Times New Roman" w:eastAsia="Times New Roman" w:hAnsi="Times New Roman" w:cs="Times New Roman"/>
          <w:color w:val="000000"/>
        </w:rPr>
        <w:t xml:space="preserve">A. Kojeve, </w:t>
      </w:r>
      <w:r w:rsidRPr="008E0C6A">
        <w:rPr>
          <w:rFonts w:ascii="Times New Roman" w:eastAsia="Times New Roman" w:hAnsi="Times New Roman" w:cs="Times New Roman"/>
          <w:i/>
          <w:color w:val="000000"/>
        </w:rPr>
        <w:t>Introduction à la lecture de Hegel</w:t>
      </w:r>
      <w:r w:rsidRPr="008E0C6A">
        <w:rPr>
          <w:rFonts w:ascii="Times New Roman" w:eastAsia="Times New Roman" w:hAnsi="Times New Roman" w:cs="Times New Roman"/>
          <w:color w:val="000000"/>
        </w:rPr>
        <w:t>, Paris, Gallimard 1968.</w:t>
      </w:r>
    </w:p>
    <w:p w14:paraId="12C82065" w14:textId="77777777" w:rsidR="00276556" w:rsidRPr="008E0C6A" w:rsidRDefault="00276556" w:rsidP="006B16F8">
      <w:pPr>
        <w:spacing w:line="360" w:lineRule="auto"/>
        <w:jc w:val="both"/>
        <w:rPr>
          <w:rFonts w:ascii="Times New Roman" w:eastAsia="Times New Roman" w:hAnsi="Times New Roman" w:cs="Times New Roman"/>
          <w:color w:val="000000"/>
        </w:rPr>
      </w:pPr>
    </w:p>
    <w:p w14:paraId="228F8CB9" w14:textId="77777777" w:rsidR="00276556" w:rsidRPr="008E0C6A" w:rsidRDefault="00276556" w:rsidP="006B16F8">
      <w:pPr>
        <w:spacing w:line="360" w:lineRule="auto"/>
        <w:jc w:val="both"/>
        <w:rPr>
          <w:rFonts w:ascii="Times New Roman" w:eastAsia="Times New Roman" w:hAnsi="Times New Roman" w:cs="Times New Roman"/>
          <w:color w:val="000000"/>
        </w:rPr>
      </w:pPr>
      <w:r w:rsidRPr="008E0C6A">
        <w:rPr>
          <w:rFonts w:ascii="Times New Roman" w:hAnsi="Times New Roman" w:cs="Times New Roman"/>
        </w:rPr>
        <w:t xml:space="preserve">A. Koyré, </w:t>
      </w:r>
      <w:r w:rsidRPr="008E0C6A">
        <w:rPr>
          <w:rFonts w:ascii="Times New Roman" w:hAnsi="Times New Roman" w:cs="Times New Roman"/>
          <w:i/>
        </w:rPr>
        <w:t>La philosophie de Jakob Boehme</w:t>
      </w:r>
      <w:r w:rsidRPr="008E0C6A">
        <w:rPr>
          <w:rFonts w:ascii="Times New Roman" w:hAnsi="Times New Roman" w:cs="Times New Roman"/>
        </w:rPr>
        <w:t>, Vrin, Paris 1928.</w:t>
      </w:r>
    </w:p>
    <w:p w14:paraId="78165A5D" w14:textId="77777777" w:rsidR="00276556" w:rsidRPr="008E0C6A" w:rsidRDefault="00276556" w:rsidP="006B16F8">
      <w:pPr>
        <w:spacing w:line="360" w:lineRule="auto"/>
        <w:jc w:val="both"/>
        <w:rPr>
          <w:rFonts w:ascii="Times New Roman" w:hAnsi="Times New Roman" w:cs="Times New Roman"/>
        </w:rPr>
      </w:pPr>
    </w:p>
    <w:p w14:paraId="0C9594BB"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  </w:t>
      </w:r>
      <w:r w:rsidRPr="008E0C6A">
        <w:rPr>
          <w:rFonts w:ascii="Times New Roman" w:hAnsi="Times New Roman" w:cs="Times New Roman"/>
          <w:i/>
        </w:rPr>
        <w:t>Etudes d’historie de le penseé philosophique</w:t>
      </w:r>
      <w:r w:rsidRPr="008E0C6A">
        <w:rPr>
          <w:rFonts w:ascii="Times New Roman" w:hAnsi="Times New Roman" w:cs="Times New Roman"/>
        </w:rPr>
        <w:t>, Gallimard, Paris 1961.</w:t>
      </w:r>
    </w:p>
    <w:p w14:paraId="61776F9F" w14:textId="77777777" w:rsidR="00276556" w:rsidRPr="008E0C6A" w:rsidRDefault="00276556" w:rsidP="006B16F8">
      <w:pPr>
        <w:spacing w:line="360" w:lineRule="auto"/>
        <w:jc w:val="both"/>
        <w:rPr>
          <w:rFonts w:ascii="Times New Roman" w:hAnsi="Times New Roman" w:cs="Times New Roman"/>
        </w:rPr>
      </w:pPr>
    </w:p>
    <w:p w14:paraId="3E020E9D"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H. Küng, </w:t>
      </w:r>
      <w:r w:rsidRPr="008E0C6A">
        <w:rPr>
          <w:rFonts w:ascii="Times New Roman" w:hAnsi="Times New Roman" w:cs="Times New Roman"/>
          <w:i/>
        </w:rPr>
        <w:t>Menschenwerdung Gottes</w:t>
      </w:r>
      <w:r w:rsidRPr="008E0C6A">
        <w:rPr>
          <w:rFonts w:ascii="Times New Roman" w:hAnsi="Times New Roman" w:cs="Times New Roman"/>
        </w:rPr>
        <w:t>, Herder Verlag, Freiburg 1970.</w:t>
      </w:r>
    </w:p>
    <w:p w14:paraId="6FF76D6E" w14:textId="77777777" w:rsidR="00276556" w:rsidRPr="008E0C6A" w:rsidRDefault="00276556" w:rsidP="006B16F8">
      <w:pPr>
        <w:spacing w:line="360" w:lineRule="auto"/>
        <w:jc w:val="both"/>
        <w:rPr>
          <w:rFonts w:ascii="Times New Roman" w:hAnsi="Times New Roman" w:cs="Times New Roman"/>
        </w:rPr>
      </w:pPr>
    </w:p>
    <w:p w14:paraId="022E1159" w14:textId="7E74EEA6"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M. Idel, </w:t>
      </w:r>
      <w:r w:rsidRPr="008E0C6A">
        <w:rPr>
          <w:rFonts w:ascii="Times New Roman" w:hAnsi="Times New Roman" w:cs="Times New Roman"/>
          <w:i/>
        </w:rPr>
        <w:t xml:space="preserve">Il male </w:t>
      </w:r>
      <w:r w:rsidR="00D254AC">
        <w:rPr>
          <w:rFonts w:ascii="Times New Roman" w:hAnsi="Times New Roman" w:cs="Times New Roman"/>
          <w:i/>
        </w:rPr>
        <w:t xml:space="preserve">primordiale </w:t>
      </w:r>
      <w:r w:rsidRPr="008E0C6A">
        <w:rPr>
          <w:rFonts w:ascii="Times New Roman" w:hAnsi="Times New Roman" w:cs="Times New Roman"/>
          <w:i/>
        </w:rPr>
        <w:t>della Qabbalah</w:t>
      </w:r>
      <w:r w:rsidRPr="008E0C6A">
        <w:rPr>
          <w:rFonts w:ascii="Times New Roman" w:hAnsi="Times New Roman" w:cs="Times New Roman"/>
        </w:rPr>
        <w:t>, Adelphi, Milano 2016.</w:t>
      </w:r>
    </w:p>
    <w:p w14:paraId="3C5C2487" w14:textId="77777777" w:rsidR="00276556" w:rsidRPr="008E0C6A" w:rsidRDefault="00276556" w:rsidP="006B16F8">
      <w:pPr>
        <w:spacing w:line="360" w:lineRule="auto"/>
        <w:jc w:val="both"/>
        <w:rPr>
          <w:rFonts w:ascii="Times New Roman" w:hAnsi="Times New Roman" w:cs="Times New Roman"/>
        </w:rPr>
      </w:pPr>
    </w:p>
    <w:p w14:paraId="35F2146E"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B. Lakebrink, </w:t>
      </w:r>
      <w:r w:rsidRPr="008E0C6A">
        <w:rPr>
          <w:rFonts w:ascii="Times New Roman" w:hAnsi="Times New Roman" w:cs="Times New Roman"/>
          <w:i/>
        </w:rPr>
        <w:t>Hegels Metaphysik der Zeit</w:t>
      </w:r>
      <w:r w:rsidRPr="008E0C6A">
        <w:rPr>
          <w:rFonts w:ascii="Times New Roman" w:hAnsi="Times New Roman" w:cs="Times New Roman"/>
        </w:rPr>
        <w:t xml:space="preserve">, in «Philosophisches </w:t>
      </w:r>
      <w:r w:rsidRPr="00C473F2">
        <w:rPr>
          <w:rFonts w:ascii="Times New Roman" w:hAnsi="Times New Roman" w:cs="Times New Roman"/>
        </w:rPr>
        <w:t>Jahrbuch</w:t>
      </w:r>
      <w:r w:rsidRPr="00C473F2">
        <w:rPr>
          <w:rFonts w:ascii="Times New Roman" w:eastAsia="Times New Roman" w:hAnsi="Times New Roman" w:cs="Times New Roman"/>
          <w:color w:val="000000"/>
        </w:rPr>
        <w:t>»</w:t>
      </w:r>
      <w:r w:rsidRPr="00C473F2">
        <w:rPr>
          <w:rFonts w:ascii="Times New Roman" w:hAnsi="Times New Roman" w:cs="Times New Roman"/>
        </w:rPr>
        <w:t>, n. 74 (1966/67), pp. 284-293.</w:t>
      </w:r>
    </w:p>
    <w:p w14:paraId="23069216" w14:textId="77777777" w:rsidR="00276556" w:rsidRPr="008E0C6A" w:rsidRDefault="00276556" w:rsidP="006B16F8">
      <w:pPr>
        <w:spacing w:line="360" w:lineRule="auto"/>
        <w:jc w:val="both"/>
        <w:rPr>
          <w:rFonts w:ascii="Times New Roman" w:hAnsi="Times New Roman" w:cs="Times New Roman"/>
        </w:rPr>
      </w:pPr>
    </w:p>
    <w:p w14:paraId="4E1F0C77"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Z. Levy, </w:t>
      </w:r>
      <w:r w:rsidRPr="008E0C6A">
        <w:rPr>
          <w:rFonts w:ascii="Times New Roman" w:hAnsi="Times New Roman" w:cs="Times New Roman"/>
          <w:i/>
        </w:rPr>
        <w:t xml:space="preserve">Baruch Spinoza. Seine Aufnahme durch die jüdischen Denker in </w:t>
      </w:r>
      <w:r w:rsidRPr="008E0C6A">
        <w:rPr>
          <w:rFonts w:ascii="Times New Roman" w:hAnsi="Times New Roman" w:cs="Times New Roman"/>
        </w:rPr>
        <w:t>Deutschland, Kohlhammer, Stuttgart 2001.</w:t>
      </w:r>
    </w:p>
    <w:p w14:paraId="182E0D18" w14:textId="77777777" w:rsidR="00276556" w:rsidRPr="008E0C6A" w:rsidRDefault="00276556" w:rsidP="006B16F8">
      <w:pPr>
        <w:spacing w:line="360" w:lineRule="auto"/>
        <w:jc w:val="both"/>
        <w:rPr>
          <w:rFonts w:ascii="Times New Roman" w:hAnsi="Times New Roman" w:cs="Times New Roman"/>
        </w:rPr>
      </w:pPr>
    </w:p>
    <w:p w14:paraId="39B91FB8" w14:textId="2D121D1E"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M. Longo, </w:t>
      </w:r>
      <w:r w:rsidRPr="008E0C6A">
        <w:rPr>
          <w:rFonts w:ascii="Times New Roman" w:hAnsi="Times New Roman" w:cs="Times New Roman"/>
          <w:i/>
        </w:rPr>
        <w:t>A “Critical” History of Philo</w:t>
      </w:r>
      <w:r w:rsidR="005D688B">
        <w:rPr>
          <w:rFonts w:ascii="Times New Roman" w:hAnsi="Times New Roman" w:cs="Times New Roman"/>
          <w:i/>
        </w:rPr>
        <w:t>so</w:t>
      </w:r>
      <w:r w:rsidRPr="008E0C6A">
        <w:rPr>
          <w:rFonts w:ascii="Times New Roman" w:hAnsi="Times New Roman" w:cs="Times New Roman"/>
          <w:i/>
        </w:rPr>
        <w:t>phy and the Early Enlightment: Johann Jacob Brucker</w:t>
      </w:r>
      <w:r w:rsidRPr="008E0C6A">
        <w:rPr>
          <w:rFonts w:ascii="Times New Roman" w:hAnsi="Times New Roman" w:cs="Times New Roman"/>
        </w:rPr>
        <w:t xml:space="preserve">, in </w:t>
      </w:r>
      <w:r w:rsidRPr="008E0C6A">
        <w:rPr>
          <w:rFonts w:ascii="Times New Roman" w:hAnsi="Times New Roman" w:cs="Times New Roman"/>
          <w:i/>
        </w:rPr>
        <w:t xml:space="preserve">Models of History of Philosophy </w:t>
      </w:r>
      <w:r w:rsidRPr="008E0C6A">
        <w:rPr>
          <w:rFonts w:ascii="Times New Roman" w:hAnsi="Times New Roman" w:cs="Times New Roman"/>
        </w:rPr>
        <w:t xml:space="preserve">(ed. by G. Piaia and G. Santiello), </w:t>
      </w:r>
      <w:r w:rsidRPr="008E0C6A">
        <w:rPr>
          <w:rFonts w:ascii="Times New Roman" w:hAnsi="Times New Roman" w:cs="Times New Roman"/>
          <w:i/>
        </w:rPr>
        <w:t>Volume II: From the Cartesian Age to Brucke</w:t>
      </w:r>
      <w:r w:rsidRPr="008E0C6A">
        <w:rPr>
          <w:rFonts w:ascii="Times New Roman" w:hAnsi="Times New Roman" w:cs="Times New Roman"/>
        </w:rPr>
        <w:t>r, Springer, Dordrecht/Heidelberg/London/New York 2011, pp. 477-579.</w:t>
      </w:r>
    </w:p>
    <w:p w14:paraId="0E02B30F" w14:textId="77777777" w:rsidR="00276556" w:rsidRPr="008E0C6A" w:rsidRDefault="00276556" w:rsidP="006B16F8">
      <w:pPr>
        <w:spacing w:line="360" w:lineRule="auto"/>
        <w:jc w:val="both"/>
        <w:rPr>
          <w:rFonts w:ascii="Times New Roman" w:hAnsi="Times New Roman" w:cs="Times New Roman"/>
        </w:rPr>
      </w:pPr>
    </w:p>
    <w:p w14:paraId="189BF86E" w14:textId="0ECB33D4"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H. C. Lucas, </w:t>
      </w:r>
      <w:r w:rsidRPr="008E0C6A">
        <w:rPr>
          <w:rFonts w:ascii="Times New Roman" w:hAnsi="Times New Roman" w:cs="Times New Roman"/>
          <w:i/>
        </w:rPr>
        <w:t>Hegel et l’edicion de Spinoza par Paulus</w:t>
      </w:r>
      <w:r w:rsidRPr="008E0C6A">
        <w:rPr>
          <w:rFonts w:ascii="Times New Roman" w:hAnsi="Times New Roman" w:cs="Times New Roman"/>
        </w:rPr>
        <w:t>, in «Cahiers</w:t>
      </w:r>
      <w:r w:rsidRPr="008E0C6A">
        <w:rPr>
          <w:rFonts w:ascii="Times New Roman" w:hAnsi="Times New Roman" w:cs="Times New Roman"/>
          <w:lang w:val="en-GB"/>
        </w:rPr>
        <w:t xml:space="preserve"> </w:t>
      </w:r>
      <w:r w:rsidRPr="008E0C6A">
        <w:rPr>
          <w:rFonts w:ascii="Times New Roman" w:hAnsi="Times New Roman" w:cs="Times New Roman"/>
        </w:rPr>
        <w:t>Spinoza</w:t>
      </w:r>
      <w:r w:rsidRPr="008E0C6A">
        <w:rPr>
          <w:rFonts w:ascii="Times New Roman" w:hAnsi="Times New Roman" w:cs="Times New Roman"/>
          <w:lang w:val="en-GB"/>
        </w:rPr>
        <w:t>»</w:t>
      </w:r>
      <w:r w:rsidRPr="008E0C6A">
        <w:rPr>
          <w:rFonts w:ascii="Times New Roman" w:hAnsi="Times New Roman" w:cs="Times New Roman"/>
        </w:rPr>
        <w:t>, n. 4</w:t>
      </w:r>
      <w:r>
        <w:rPr>
          <w:rFonts w:ascii="Times New Roman" w:hAnsi="Times New Roman" w:cs="Times New Roman"/>
        </w:rPr>
        <w:t xml:space="preserve"> (1982/</w:t>
      </w:r>
      <w:r w:rsidRPr="008E0C6A">
        <w:rPr>
          <w:rFonts w:ascii="Times New Roman" w:hAnsi="Times New Roman" w:cs="Times New Roman"/>
        </w:rPr>
        <w:t>83</w:t>
      </w:r>
      <w:r>
        <w:rPr>
          <w:rFonts w:ascii="Times New Roman" w:hAnsi="Times New Roman" w:cs="Times New Roman"/>
        </w:rPr>
        <w:t>)</w:t>
      </w:r>
      <w:r w:rsidRPr="008E0C6A">
        <w:rPr>
          <w:rFonts w:ascii="Times New Roman" w:hAnsi="Times New Roman" w:cs="Times New Roman"/>
        </w:rPr>
        <w:t>, pp. 171-204</w:t>
      </w:r>
      <w:r w:rsidR="003F6B27">
        <w:rPr>
          <w:rFonts w:ascii="Times New Roman" w:hAnsi="Times New Roman" w:cs="Times New Roman"/>
        </w:rPr>
        <w:t>.</w:t>
      </w:r>
    </w:p>
    <w:p w14:paraId="32964D5B" w14:textId="77777777" w:rsidR="00276556" w:rsidRPr="008E0C6A" w:rsidRDefault="00276556" w:rsidP="006B16F8">
      <w:pPr>
        <w:spacing w:line="360" w:lineRule="auto"/>
        <w:jc w:val="both"/>
        <w:rPr>
          <w:rFonts w:ascii="Times New Roman" w:hAnsi="Times New Roman" w:cs="Times New Roman"/>
        </w:rPr>
      </w:pPr>
    </w:p>
    <w:p w14:paraId="4B227B24"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G. Luckás, </w:t>
      </w:r>
      <w:r w:rsidRPr="008E0C6A">
        <w:rPr>
          <w:rFonts w:ascii="Times New Roman" w:hAnsi="Times New Roman" w:cs="Times New Roman"/>
          <w:i/>
        </w:rPr>
        <w:t>Der junge Hegel. Über die Beziehung von Dialektik</w:t>
      </w:r>
      <w:r w:rsidRPr="008E0C6A">
        <w:rPr>
          <w:rFonts w:ascii="Times New Roman" w:hAnsi="Times New Roman" w:cs="Times New Roman"/>
        </w:rPr>
        <w:t>, Europa Verlag, Zürich/Wien 1948.</w:t>
      </w:r>
    </w:p>
    <w:p w14:paraId="04DB012D" w14:textId="77777777" w:rsidR="00276556" w:rsidRPr="008E0C6A" w:rsidRDefault="00276556" w:rsidP="006B16F8">
      <w:pPr>
        <w:spacing w:line="360" w:lineRule="auto"/>
        <w:jc w:val="both"/>
        <w:rPr>
          <w:rFonts w:ascii="Times New Roman" w:hAnsi="Times New Roman" w:cs="Times New Roman"/>
        </w:rPr>
      </w:pPr>
    </w:p>
    <w:p w14:paraId="60C8E0CE" w14:textId="77777777" w:rsidR="00276556"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L. Lugarini, </w:t>
      </w:r>
      <w:r w:rsidRPr="008E0C6A">
        <w:rPr>
          <w:rFonts w:ascii="Times New Roman" w:hAnsi="Times New Roman" w:cs="Times New Roman"/>
          <w:i/>
        </w:rPr>
        <w:t>Hegel dal mondo storico alla filosofia</w:t>
      </w:r>
      <w:r w:rsidRPr="008E0C6A">
        <w:rPr>
          <w:rFonts w:ascii="Times New Roman" w:hAnsi="Times New Roman" w:cs="Times New Roman"/>
        </w:rPr>
        <w:t>, Armando, Roma 1973.</w:t>
      </w:r>
    </w:p>
    <w:p w14:paraId="778890B1" w14:textId="77777777" w:rsidR="00A83DF5" w:rsidRDefault="00A83DF5" w:rsidP="006B16F8">
      <w:pPr>
        <w:spacing w:line="360" w:lineRule="auto"/>
        <w:jc w:val="both"/>
        <w:rPr>
          <w:rFonts w:ascii="Times New Roman" w:hAnsi="Times New Roman" w:cs="Times New Roman"/>
        </w:rPr>
      </w:pPr>
    </w:p>
    <w:p w14:paraId="1565274A" w14:textId="70F4BB1C" w:rsidR="00276556" w:rsidRPr="00A83DF5" w:rsidRDefault="00A83DF5" w:rsidP="006B16F8">
      <w:pPr>
        <w:spacing w:line="360" w:lineRule="auto"/>
        <w:jc w:val="both"/>
        <w:rPr>
          <w:rFonts w:ascii="Times New Roman" w:hAnsi="Times New Roman" w:cs="Times New Roman"/>
        </w:rPr>
      </w:pPr>
      <w:r w:rsidRPr="00A83DF5">
        <w:rPr>
          <w:rFonts w:ascii="Times New Roman" w:hAnsi="Times New Roman" w:cs="Times New Roman"/>
        </w:rPr>
        <w:t xml:space="preserve">- </w:t>
      </w:r>
      <w:r w:rsidRPr="00A83DF5">
        <w:rPr>
          <w:rFonts w:ascii="Times New Roman" w:hAnsi="Times New Roman" w:cs="Times New Roman"/>
          <w:i/>
        </w:rPr>
        <w:t xml:space="preserve">Hegel et la question de l’être: un renouvellement, </w:t>
      </w:r>
      <w:r w:rsidRPr="00A83DF5">
        <w:rPr>
          <w:rFonts w:ascii="Times New Roman" w:hAnsi="Times New Roman" w:cs="Times New Roman"/>
        </w:rPr>
        <w:t xml:space="preserve">in </w:t>
      </w:r>
      <w:r w:rsidRPr="00A83DF5">
        <w:rPr>
          <w:rFonts w:ascii="Times New Roman" w:hAnsi="Times New Roman" w:cs="Times New Roman"/>
          <w:i/>
        </w:rPr>
        <w:t>Metaphysik nach Kant?</w:t>
      </w:r>
      <w:r w:rsidRPr="00A83DF5">
        <w:rPr>
          <w:rFonts w:ascii="Times New Roman" w:hAnsi="Times New Roman" w:cs="Times New Roman"/>
        </w:rPr>
        <w:t>, hrsg. von D. Henrich R.-P. Horstmann, Klett-Cotta, Stuttgart 1988, pp. 201-221.</w:t>
      </w:r>
    </w:p>
    <w:p w14:paraId="4D23C977" w14:textId="77777777" w:rsidR="00A83DF5" w:rsidRPr="008E0C6A" w:rsidRDefault="00A83DF5" w:rsidP="006B16F8">
      <w:pPr>
        <w:spacing w:line="360" w:lineRule="auto"/>
        <w:jc w:val="both"/>
        <w:rPr>
          <w:rFonts w:ascii="Times New Roman" w:hAnsi="Times New Roman" w:cs="Times New Roman"/>
        </w:rPr>
      </w:pPr>
    </w:p>
    <w:p w14:paraId="64A0FD4D" w14:textId="77777777" w:rsidR="00276556" w:rsidRPr="00CA166C" w:rsidRDefault="00276556" w:rsidP="006B16F8">
      <w:pPr>
        <w:spacing w:line="360" w:lineRule="auto"/>
        <w:jc w:val="both"/>
        <w:rPr>
          <w:rFonts w:ascii="Times New Roman" w:hAnsi="Times New Roman" w:cs="Times New Roman"/>
        </w:rPr>
      </w:pPr>
      <w:r w:rsidRPr="005D688B">
        <w:rPr>
          <w:rFonts w:ascii="Times New Roman" w:hAnsi="Times New Roman" w:cs="Times New Roman"/>
        </w:rPr>
        <w:t xml:space="preserve">- </w:t>
      </w:r>
      <w:r w:rsidRPr="005D688B">
        <w:rPr>
          <w:rFonts w:ascii="Times New Roman" w:hAnsi="Times New Roman" w:cs="Times New Roman"/>
          <w:i/>
        </w:rPr>
        <w:t>Die Bedeutung des Problems des Ganzen in der Hegelschen Logik</w:t>
      </w:r>
      <w:r w:rsidRPr="005D688B">
        <w:rPr>
          <w:rFonts w:ascii="Times New Roman" w:hAnsi="Times New Roman" w:cs="Times New Roman"/>
        </w:rPr>
        <w:t>, in «Hegel-Studien</w:t>
      </w:r>
      <w:r w:rsidRPr="005D688B">
        <w:rPr>
          <w:rFonts w:ascii="Times New Roman" w:eastAsia="Times New Roman" w:hAnsi="Times New Roman" w:cs="Times New Roman"/>
          <w:color w:val="000000"/>
        </w:rPr>
        <w:t>»</w:t>
      </w:r>
      <w:r w:rsidRPr="005D688B">
        <w:rPr>
          <w:rFonts w:ascii="Times New Roman" w:hAnsi="Times New Roman" w:cs="Times New Roman"/>
        </w:rPr>
        <w:t>, Beiheft 18 (1978), pp. 19-37.</w:t>
      </w:r>
    </w:p>
    <w:p w14:paraId="0F224E63" w14:textId="77777777" w:rsidR="00276556" w:rsidRPr="00CA166C" w:rsidRDefault="00276556" w:rsidP="006B16F8">
      <w:pPr>
        <w:spacing w:line="360" w:lineRule="auto"/>
      </w:pPr>
    </w:p>
    <w:p w14:paraId="3225F685"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 </w:t>
      </w:r>
      <w:r w:rsidRPr="008E0C6A">
        <w:rPr>
          <w:rFonts w:ascii="Times New Roman" w:hAnsi="Times New Roman" w:cs="Times New Roman"/>
          <w:i/>
        </w:rPr>
        <w:t>Orizzonti hegeliani di comprensione dell’essere. Rileggendo la Scienza della Logica</w:t>
      </w:r>
      <w:r w:rsidRPr="008E0C6A">
        <w:rPr>
          <w:rFonts w:ascii="Times New Roman" w:hAnsi="Times New Roman" w:cs="Times New Roman"/>
        </w:rPr>
        <w:t>, Guerini, Milano 1998.</w:t>
      </w:r>
    </w:p>
    <w:p w14:paraId="756F1BE3" w14:textId="77777777" w:rsidR="00276556" w:rsidRPr="008E0C6A" w:rsidRDefault="00276556" w:rsidP="006B16F8">
      <w:pPr>
        <w:spacing w:line="360" w:lineRule="auto"/>
        <w:jc w:val="both"/>
        <w:rPr>
          <w:rFonts w:ascii="Times New Roman" w:hAnsi="Times New Roman" w:cs="Times New Roman"/>
        </w:rPr>
      </w:pPr>
    </w:p>
    <w:p w14:paraId="428DCFEC" w14:textId="26418638"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P. Macherey</w:t>
      </w:r>
      <w:r w:rsidR="007D76DF">
        <w:rPr>
          <w:rFonts w:ascii="Times New Roman" w:hAnsi="Times New Roman" w:cs="Times New Roman"/>
        </w:rPr>
        <w:t xml:space="preserve">, </w:t>
      </w:r>
      <w:r w:rsidRPr="008E0C6A">
        <w:rPr>
          <w:rFonts w:ascii="Times New Roman" w:hAnsi="Times New Roman" w:cs="Times New Roman"/>
          <w:i/>
        </w:rPr>
        <w:t>Hegel au Spinoza</w:t>
      </w:r>
      <w:r w:rsidR="007D76DF">
        <w:rPr>
          <w:rFonts w:ascii="Times New Roman" w:hAnsi="Times New Roman" w:cs="Times New Roman"/>
        </w:rPr>
        <w:t xml:space="preserve">, Maspero, Paris 1979 (trad. it. </w:t>
      </w:r>
      <w:r w:rsidR="0034348B">
        <w:rPr>
          <w:rFonts w:ascii="Times New Roman" w:hAnsi="Times New Roman" w:cs="Times New Roman"/>
        </w:rPr>
        <w:t xml:space="preserve">di E. Marra, </w:t>
      </w:r>
      <w:r w:rsidR="007D76DF" w:rsidRPr="008E0C6A">
        <w:rPr>
          <w:rFonts w:ascii="Times New Roman" w:hAnsi="Times New Roman" w:cs="Times New Roman"/>
          <w:i/>
        </w:rPr>
        <w:t>Hegel o Spinoza</w:t>
      </w:r>
      <w:r w:rsidR="007D76DF" w:rsidRPr="008E0C6A">
        <w:rPr>
          <w:rFonts w:ascii="Times New Roman" w:hAnsi="Times New Roman" w:cs="Times New Roman"/>
        </w:rPr>
        <w:t>, Ombre Corte, Verona 2016</w:t>
      </w:r>
      <w:r w:rsidR="007D76DF">
        <w:rPr>
          <w:rFonts w:ascii="Times New Roman" w:hAnsi="Times New Roman" w:cs="Times New Roman"/>
        </w:rPr>
        <w:t>)</w:t>
      </w:r>
      <w:r w:rsidRPr="008E0C6A">
        <w:rPr>
          <w:rFonts w:ascii="Times New Roman" w:hAnsi="Times New Roman" w:cs="Times New Roman"/>
        </w:rPr>
        <w:t>.</w:t>
      </w:r>
    </w:p>
    <w:p w14:paraId="556E5F55" w14:textId="77777777" w:rsidR="00276556" w:rsidRPr="008E0C6A" w:rsidRDefault="00276556" w:rsidP="006B16F8">
      <w:pPr>
        <w:spacing w:line="360" w:lineRule="auto"/>
        <w:jc w:val="both"/>
        <w:rPr>
          <w:rFonts w:ascii="Times New Roman" w:hAnsi="Times New Roman" w:cs="Times New Roman"/>
        </w:rPr>
      </w:pPr>
    </w:p>
    <w:p w14:paraId="064C2E7A" w14:textId="77777777" w:rsidR="00276556" w:rsidRPr="008E0C6A" w:rsidRDefault="00276556" w:rsidP="006B16F8">
      <w:pPr>
        <w:pStyle w:val="Testonotaapidipagina"/>
        <w:spacing w:line="360" w:lineRule="auto"/>
        <w:jc w:val="both"/>
        <w:rPr>
          <w:rFonts w:ascii="Times New Roman" w:hAnsi="Times New Roman" w:cs="Times New Roman"/>
        </w:rPr>
      </w:pPr>
      <w:r w:rsidRPr="008E0C6A">
        <w:rPr>
          <w:rFonts w:ascii="Times New Roman" w:hAnsi="Times New Roman" w:cs="Times New Roman"/>
          <w:i/>
        </w:rPr>
        <w:t>- Le Spinoza idéaliste de Hegel</w:t>
      </w:r>
      <w:r w:rsidRPr="008E0C6A">
        <w:rPr>
          <w:rFonts w:ascii="Times New Roman" w:hAnsi="Times New Roman" w:cs="Times New Roman"/>
        </w:rPr>
        <w:t xml:space="preserve">, in </w:t>
      </w:r>
      <w:r w:rsidRPr="008E0C6A">
        <w:rPr>
          <w:rFonts w:ascii="Times New Roman" w:hAnsi="Times New Roman" w:cs="Times New Roman"/>
          <w:i/>
        </w:rPr>
        <w:t>Spinoza und der deutsche Idealismus</w:t>
      </w:r>
      <w:r w:rsidRPr="008E0C6A">
        <w:rPr>
          <w:rFonts w:ascii="Times New Roman" w:hAnsi="Times New Roman" w:cs="Times New Roman"/>
        </w:rPr>
        <w:t>, hrsg. von M. Walther, Königshausen &amp; Neumann, Würzburg 1992, pp. 146-163.</w:t>
      </w:r>
    </w:p>
    <w:p w14:paraId="339FB5B2" w14:textId="77777777" w:rsidR="00276556" w:rsidRPr="008E0C6A" w:rsidRDefault="00276556" w:rsidP="006B16F8">
      <w:pPr>
        <w:pStyle w:val="Testonotaapidipagina"/>
        <w:spacing w:line="360" w:lineRule="auto"/>
        <w:jc w:val="both"/>
        <w:rPr>
          <w:rFonts w:ascii="Times New Roman" w:hAnsi="Times New Roman" w:cs="Times New Roman"/>
        </w:rPr>
      </w:pPr>
    </w:p>
    <w:p w14:paraId="110A2A0F" w14:textId="77777777" w:rsidR="00276556" w:rsidRPr="008E0C6A" w:rsidRDefault="00276556" w:rsidP="006B16F8">
      <w:pPr>
        <w:spacing w:line="360" w:lineRule="auto"/>
        <w:jc w:val="both"/>
        <w:rPr>
          <w:rFonts w:ascii="Times New Roman" w:hAnsi="Times New Roman" w:cs="Times New Roman"/>
          <w:lang w:val="de-DE"/>
        </w:rPr>
      </w:pPr>
      <w:r w:rsidRPr="008E0C6A">
        <w:rPr>
          <w:rFonts w:ascii="Times New Roman" w:hAnsi="Times New Roman" w:cs="Times New Roman"/>
          <w:lang w:val="de-DE"/>
        </w:rPr>
        <w:t xml:space="preserve">M. Mack, </w:t>
      </w:r>
      <w:r w:rsidRPr="008E0C6A">
        <w:rPr>
          <w:rFonts w:ascii="Times New Roman" w:hAnsi="Times New Roman" w:cs="Times New Roman"/>
          <w:i/>
          <w:lang w:val="de-DE"/>
        </w:rPr>
        <w:t>German Idealism and the Jews</w:t>
      </w:r>
      <w:r w:rsidRPr="008E0C6A">
        <w:rPr>
          <w:rFonts w:ascii="Times New Roman" w:hAnsi="Times New Roman" w:cs="Times New Roman"/>
          <w:lang w:val="de-DE"/>
        </w:rPr>
        <w:t>, The University of Chicago Press, Chicago-London 2003.</w:t>
      </w:r>
    </w:p>
    <w:p w14:paraId="4DFC445C" w14:textId="77777777" w:rsidR="00276556" w:rsidRPr="008E0C6A" w:rsidRDefault="00276556" w:rsidP="006B16F8">
      <w:pPr>
        <w:spacing w:line="360" w:lineRule="auto"/>
        <w:jc w:val="both"/>
        <w:rPr>
          <w:rFonts w:ascii="Times New Roman" w:hAnsi="Times New Roman" w:cs="Times New Roman"/>
        </w:rPr>
      </w:pPr>
    </w:p>
    <w:p w14:paraId="61D75F20"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G. A. Magee, </w:t>
      </w:r>
      <w:r w:rsidRPr="008E0C6A">
        <w:rPr>
          <w:rFonts w:ascii="Times New Roman" w:hAnsi="Times New Roman" w:cs="Times New Roman"/>
          <w:i/>
        </w:rPr>
        <w:t>Hegel and the Hermetic Tradition</w:t>
      </w:r>
      <w:r w:rsidRPr="008E0C6A">
        <w:rPr>
          <w:rFonts w:ascii="Times New Roman" w:hAnsi="Times New Roman" w:cs="Times New Roman"/>
        </w:rPr>
        <w:t>, Cornell University Press, Ithaca 2001.</w:t>
      </w:r>
    </w:p>
    <w:p w14:paraId="1E69496F"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 </w:t>
      </w:r>
    </w:p>
    <w:p w14:paraId="4832F600" w14:textId="77777777" w:rsidR="00276556" w:rsidRDefault="00276556" w:rsidP="006B16F8">
      <w:pPr>
        <w:spacing w:line="360" w:lineRule="auto"/>
        <w:jc w:val="both"/>
        <w:rPr>
          <w:rFonts w:ascii="Times New Roman" w:hAnsi="Times New Roman" w:cs="Times New Roman"/>
          <w:lang w:val="en-GB"/>
        </w:rPr>
      </w:pPr>
      <w:r w:rsidRPr="008E0C6A">
        <w:rPr>
          <w:rFonts w:ascii="Times New Roman" w:hAnsi="Times New Roman" w:cs="Times New Roman"/>
        </w:rPr>
        <w:t xml:space="preserve">- </w:t>
      </w:r>
      <w:r w:rsidRPr="008E0C6A">
        <w:rPr>
          <w:rFonts w:ascii="Times New Roman" w:hAnsi="Times New Roman" w:cs="Times New Roman"/>
          <w:i/>
          <w:lang w:val="en-GB"/>
        </w:rPr>
        <w:t>Hegel and Mysticism</w:t>
      </w:r>
      <w:r w:rsidRPr="008E0C6A">
        <w:rPr>
          <w:rFonts w:ascii="Times New Roman" w:hAnsi="Times New Roman" w:cs="Times New Roman"/>
          <w:lang w:val="en-GB"/>
        </w:rPr>
        <w:t xml:space="preserve">, in </w:t>
      </w:r>
      <w:r w:rsidRPr="008E0C6A">
        <w:rPr>
          <w:rFonts w:ascii="Times New Roman" w:hAnsi="Times New Roman" w:cs="Times New Roman"/>
          <w:i/>
          <w:lang w:val="en-GB"/>
        </w:rPr>
        <w:t>The Cambridge Companion to Hegel and the Nineteenth–Century Philosophy</w:t>
      </w:r>
      <w:r w:rsidRPr="008E0C6A">
        <w:rPr>
          <w:rFonts w:ascii="Times New Roman" w:hAnsi="Times New Roman" w:cs="Times New Roman"/>
          <w:lang w:val="en-GB"/>
        </w:rPr>
        <w:t>, ed. by F. Beiser, Cambridge University Press, Cambridge 2008.</w:t>
      </w:r>
    </w:p>
    <w:p w14:paraId="3215CE2A" w14:textId="77777777" w:rsidR="00B12C6E" w:rsidRDefault="00B12C6E" w:rsidP="006B16F8">
      <w:pPr>
        <w:spacing w:line="360" w:lineRule="auto"/>
        <w:jc w:val="both"/>
        <w:rPr>
          <w:rFonts w:ascii="Times New Roman" w:hAnsi="Times New Roman" w:cs="Times New Roman"/>
          <w:lang w:val="en-GB"/>
        </w:rPr>
      </w:pPr>
    </w:p>
    <w:p w14:paraId="0992F8C7" w14:textId="3464E522" w:rsidR="00B12C6E" w:rsidRPr="00B12C6E" w:rsidRDefault="00B12C6E" w:rsidP="006B16F8">
      <w:pPr>
        <w:spacing w:line="360" w:lineRule="auto"/>
        <w:jc w:val="both"/>
        <w:rPr>
          <w:rFonts w:ascii="Times New Roman" w:hAnsi="Times New Roman" w:cs="Times New Roman"/>
          <w:lang w:val="en-GB"/>
        </w:rPr>
      </w:pPr>
      <w:r w:rsidRPr="00B12C6E">
        <w:rPr>
          <w:rFonts w:ascii="Times New Roman" w:hAnsi="Times New Roman" w:cs="Times New Roman"/>
        </w:rPr>
        <w:t xml:space="preserve">- </w:t>
      </w:r>
      <w:r w:rsidRPr="00B12C6E">
        <w:rPr>
          <w:rFonts w:ascii="Times New Roman" w:hAnsi="Times New Roman" w:cs="Times New Roman"/>
          <w:i/>
        </w:rPr>
        <w:t>Hegel’s Reception of Jakob Boehme</w:t>
      </w:r>
      <w:r w:rsidRPr="00B12C6E">
        <w:rPr>
          <w:rFonts w:ascii="Times New Roman" w:hAnsi="Times New Roman" w:cs="Times New Roman"/>
        </w:rPr>
        <w:t xml:space="preserve">, in </w:t>
      </w:r>
      <w:r w:rsidRPr="00B12C6E">
        <w:rPr>
          <w:rFonts w:ascii="Times New Roman" w:hAnsi="Times New Roman" w:cs="Times New Roman"/>
          <w:i/>
        </w:rPr>
        <w:t>An Introduction to Jakob Boehme. Four Centuries of Thought and Reception</w:t>
      </w:r>
      <w:r w:rsidRPr="00B12C6E">
        <w:rPr>
          <w:rFonts w:ascii="Times New Roman" w:hAnsi="Times New Roman" w:cs="Times New Roman"/>
        </w:rPr>
        <w:t>, edited by A. Hessayon and S. Apetrei, Routledge, New York 2014</w:t>
      </w:r>
      <w:r w:rsidR="00820544">
        <w:rPr>
          <w:rFonts w:ascii="Times New Roman" w:hAnsi="Times New Roman" w:cs="Times New Roman"/>
        </w:rPr>
        <w:t>, pp. 224-244</w:t>
      </w:r>
      <w:r>
        <w:rPr>
          <w:rFonts w:ascii="Times New Roman" w:hAnsi="Times New Roman" w:cs="Times New Roman"/>
        </w:rPr>
        <w:t>.</w:t>
      </w:r>
    </w:p>
    <w:p w14:paraId="2F16D725" w14:textId="43F2AF60" w:rsidR="00276556" w:rsidRPr="008E0C6A" w:rsidRDefault="00276556" w:rsidP="006B16F8">
      <w:pPr>
        <w:spacing w:line="360" w:lineRule="auto"/>
        <w:jc w:val="both"/>
        <w:rPr>
          <w:rFonts w:ascii="Times New Roman" w:hAnsi="Times New Roman" w:cs="Times New Roman"/>
        </w:rPr>
      </w:pPr>
    </w:p>
    <w:p w14:paraId="6612CE01" w14:textId="77777777" w:rsidR="00276556" w:rsidRDefault="00276556" w:rsidP="006B16F8">
      <w:pPr>
        <w:spacing w:line="360" w:lineRule="auto"/>
        <w:jc w:val="both"/>
        <w:rPr>
          <w:rFonts w:ascii="Times New Roman" w:hAnsi="Times New Roman" w:cs="Times New Roman"/>
          <w:lang w:val="de-DE"/>
        </w:rPr>
      </w:pPr>
      <w:r w:rsidRPr="008E0C6A">
        <w:rPr>
          <w:rFonts w:ascii="Times New Roman" w:hAnsi="Times New Roman" w:cs="Times New Roman"/>
          <w:lang w:val="de-DE"/>
        </w:rPr>
        <w:t xml:space="preserve">H. Marcuse, </w:t>
      </w:r>
      <w:r w:rsidRPr="008E0C6A">
        <w:rPr>
          <w:rFonts w:ascii="Times New Roman" w:hAnsi="Times New Roman" w:cs="Times New Roman"/>
          <w:i/>
          <w:lang w:val="de-DE"/>
        </w:rPr>
        <w:t>Hegels Ontologie und die Grundlegung einer Theorie der Geschichtlichkeit</w:t>
      </w:r>
      <w:r w:rsidRPr="008E0C6A">
        <w:rPr>
          <w:rFonts w:ascii="Times New Roman" w:hAnsi="Times New Roman" w:cs="Times New Roman"/>
          <w:lang w:val="de-DE"/>
        </w:rPr>
        <w:t xml:space="preserve">, in </w:t>
      </w:r>
      <w:r w:rsidRPr="008E0C6A">
        <w:rPr>
          <w:rFonts w:ascii="Times New Roman" w:hAnsi="Times New Roman" w:cs="Times New Roman"/>
          <w:i/>
          <w:lang w:val="de-DE"/>
        </w:rPr>
        <w:t>Herbert Marcuse Schriften</w:t>
      </w:r>
      <w:r w:rsidRPr="008E0C6A">
        <w:rPr>
          <w:rFonts w:ascii="Times New Roman" w:hAnsi="Times New Roman" w:cs="Times New Roman"/>
          <w:lang w:val="de-DE"/>
        </w:rPr>
        <w:t>, Bd. II, Suhrkamp, Frankfurt am Main 1989.</w:t>
      </w:r>
    </w:p>
    <w:p w14:paraId="2F9A08AF" w14:textId="77777777" w:rsidR="00833627" w:rsidRDefault="00833627" w:rsidP="006B16F8">
      <w:pPr>
        <w:spacing w:line="360" w:lineRule="auto"/>
        <w:jc w:val="both"/>
        <w:rPr>
          <w:rFonts w:ascii="Times New Roman" w:hAnsi="Times New Roman" w:cs="Times New Roman"/>
          <w:lang w:val="de-DE"/>
        </w:rPr>
      </w:pPr>
    </w:p>
    <w:p w14:paraId="503ED808" w14:textId="1390A86D" w:rsidR="00833627" w:rsidRDefault="00833627" w:rsidP="006B16F8">
      <w:pPr>
        <w:spacing w:line="360" w:lineRule="auto"/>
        <w:jc w:val="both"/>
        <w:rPr>
          <w:rFonts w:ascii="Times New Roman" w:hAnsi="Times New Roman" w:cs="Times New Roman"/>
        </w:rPr>
      </w:pPr>
      <w:r w:rsidRPr="008E0C6A">
        <w:rPr>
          <w:rFonts w:ascii="Times New Roman" w:hAnsi="Times New Roman" w:cs="Times New Roman"/>
        </w:rPr>
        <w:t xml:space="preserve">P. Mayer, </w:t>
      </w:r>
      <w:r w:rsidRPr="008E0C6A">
        <w:rPr>
          <w:rFonts w:ascii="Times New Roman" w:hAnsi="Times New Roman" w:cs="Times New Roman"/>
          <w:i/>
        </w:rPr>
        <w:t>Jena Romanticism and Its Appropriation of Jakob Böhme</w:t>
      </w:r>
      <w:r w:rsidRPr="008E0C6A">
        <w:rPr>
          <w:rFonts w:ascii="Times New Roman" w:hAnsi="Times New Roman" w:cs="Times New Roman"/>
        </w:rPr>
        <w:t>, McGill-Queen’s University Press, Montreal 1999</w:t>
      </w:r>
      <w:r>
        <w:rPr>
          <w:rFonts w:ascii="Times New Roman" w:hAnsi="Times New Roman" w:cs="Times New Roman"/>
        </w:rPr>
        <w:t>.</w:t>
      </w:r>
    </w:p>
    <w:p w14:paraId="29A0038E" w14:textId="77777777" w:rsidR="00844F1B" w:rsidRDefault="00844F1B" w:rsidP="006B16F8">
      <w:pPr>
        <w:spacing w:line="360" w:lineRule="auto"/>
        <w:jc w:val="both"/>
        <w:rPr>
          <w:rFonts w:ascii="Times New Roman" w:hAnsi="Times New Roman" w:cs="Times New Roman"/>
        </w:rPr>
      </w:pPr>
    </w:p>
    <w:p w14:paraId="14960708" w14:textId="77777777" w:rsidR="00844F1B" w:rsidRPr="00844F1B" w:rsidRDefault="00844F1B" w:rsidP="00844F1B">
      <w:pPr>
        <w:pStyle w:val="Testonotaapidipagina"/>
        <w:jc w:val="both"/>
        <w:rPr>
          <w:rFonts w:ascii="Times New Roman" w:hAnsi="Times New Roman" w:cs="Times New Roman"/>
        </w:rPr>
      </w:pPr>
      <w:r w:rsidRPr="00844F1B">
        <w:rPr>
          <w:rFonts w:ascii="Times New Roman" w:hAnsi="Times New Roman" w:cs="Times New Roman"/>
          <w:lang w:val="de-DE"/>
        </w:rPr>
        <w:t xml:space="preserve">K. R. Meist, </w:t>
      </w:r>
      <w:r w:rsidRPr="00844F1B">
        <w:rPr>
          <w:rFonts w:ascii="Times New Roman" w:hAnsi="Times New Roman" w:cs="Times New Roman"/>
          <w:i/>
          <w:lang w:val="de-DE"/>
        </w:rPr>
        <w:t>Hegels Systemkonzeption in der frühen Jenaer Zeit</w:t>
      </w:r>
      <w:r w:rsidRPr="00844F1B">
        <w:rPr>
          <w:rFonts w:ascii="Times New Roman" w:hAnsi="Times New Roman" w:cs="Times New Roman"/>
          <w:lang w:val="de-DE"/>
        </w:rPr>
        <w:t>, in «Hegel-Studien», Beiheft 20 (1980), pp. 59-80.</w:t>
      </w:r>
    </w:p>
    <w:p w14:paraId="7A75EFD3" w14:textId="77777777" w:rsidR="00276556" w:rsidRPr="008E0C6A" w:rsidRDefault="00276556" w:rsidP="006B16F8">
      <w:pPr>
        <w:spacing w:line="360" w:lineRule="auto"/>
        <w:jc w:val="both"/>
        <w:rPr>
          <w:rFonts w:ascii="Times New Roman" w:hAnsi="Times New Roman" w:cs="Times New Roman"/>
          <w:lang w:val="en-GB"/>
        </w:rPr>
      </w:pPr>
    </w:p>
    <w:p w14:paraId="197E6E56" w14:textId="77777777" w:rsidR="00276556" w:rsidRPr="008E0C6A" w:rsidRDefault="00276556" w:rsidP="006B16F8">
      <w:pPr>
        <w:spacing w:line="360" w:lineRule="auto"/>
        <w:jc w:val="both"/>
        <w:rPr>
          <w:rFonts w:ascii="Times New Roman" w:eastAsia="Times New Roman" w:hAnsi="Times New Roman" w:cs="Times New Roman"/>
          <w:color w:val="000000"/>
        </w:rPr>
      </w:pPr>
      <w:r w:rsidRPr="008E0C6A">
        <w:rPr>
          <w:rFonts w:ascii="Times New Roman" w:hAnsi="Times New Roman" w:cs="Times New Roman"/>
        </w:rPr>
        <w:t xml:space="preserve">S.J. McGrath, </w:t>
      </w:r>
      <w:r w:rsidRPr="008E0C6A">
        <w:rPr>
          <w:rFonts w:ascii="Times New Roman" w:hAnsi="Times New Roman" w:cs="Times New Roman"/>
          <w:i/>
        </w:rPr>
        <w:t>Boehme, Hegel, Schelling and the Hermetic Theology of Evil</w:t>
      </w:r>
      <w:r w:rsidRPr="008E0C6A">
        <w:rPr>
          <w:rFonts w:ascii="Times New Roman" w:hAnsi="Times New Roman" w:cs="Times New Roman"/>
        </w:rPr>
        <w:t>, in «Philosophy &amp; Theology</w:t>
      </w:r>
      <w:r w:rsidRPr="008E0C6A">
        <w:rPr>
          <w:rFonts w:ascii="Times New Roman" w:eastAsia="Times New Roman" w:hAnsi="Times New Roman" w:cs="Times New Roman"/>
          <w:color w:val="000000"/>
        </w:rPr>
        <w:t>», XVIII/2 (2006), pp. 257-285.</w:t>
      </w:r>
    </w:p>
    <w:p w14:paraId="225B9650" w14:textId="77777777" w:rsidR="00276556" w:rsidRPr="008E0C6A" w:rsidRDefault="00276556" w:rsidP="006B16F8">
      <w:pPr>
        <w:spacing w:line="360" w:lineRule="auto"/>
        <w:jc w:val="both"/>
        <w:rPr>
          <w:rFonts w:ascii="Times New Roman" w:eastAsia="Times New Roman" w:hAnsi="Times New Roman" w:cs="Times New Roman"/>
          <w:color w:val="000000"/>
        </w:rPr>
      </w:pPr>
    </w:p>
    <w:p w14:paraId="2EA22FF7" w14:textId="77777777" w:rsidR="00276556" w:rsidRPr="008E0C6A" w:rsidRDefault="00276556" w:rsidP="006B16F8">
      <w:pPr>
        <w:spacing w:line="360" w:lineRule="auto"/>
        <w:jc w:val="both"/>
        <w:rPr>
          <w:rFonts w:ascii="Times New Roman" w:hAnsi="Times New Roman" w:cs="Times New Roman"/>
          <w:lang w:val="en-GB"/>
        </w:rPr>
      </w:pPr>
      <w:r w:rsidRPr="008E0C6A">
        <w:rPr>
          <w:rFonts w:ascii="Times New Roman" w:hAnsi="Times New Roman" w:cs="Times New Roman"/>
        </w:rPr>
        <w:t xml:space="preserve">J. Mctaggart, </w:t>
      </w:r>
      <w:r w:rsidRPr="008E0C6A">
        <w:rPr>
          <w:rFonts w:ascii="Times New Roman" w:hAnsi="Times New Roman" w:cs="Times New Roman"/>
          <w:i/>
        </w:rPr>
        <w:t>A commentary on Hegel’s logic</w:t>
      </w:r>
      <w:r w:rsidRPr="008E0C6A">
        <w:rPr>
          <w:rFonts w:ascii="Times New Roman" w:hAnsi="Times New Roman" w:cs="Times New Roman"/>
        </w:rPr>
        <w:t>, Cambridge, Cambridge University Press, 1910, pp. 155-187.</w:t>
      </w:r>
    </w:p>
    <w:p w14:paraId="1F16D35A" w14:textId="77777777" w:rsidR="00276556" w:rsidRPr="008E0C6A" w:rsidRDefault="00276556" w:rsidP="006B16F8">
      <w:pPr>
        <w:spacing w:line="360" w:lineRule="auto"/>
        <w:jc w:val="both"/>
        <w:rPr>
          <w:rFonts w:ascii="Times New Roman" w:hAnsi="Times New Roman" w:cs="Times New Roman"/>
          <w:lang w:val="en-GB"/>
        </w:rPr>
      </w:pPr>
    </w:p>
    <w:p w14:paraId="49B6D526" w14:textId="77777777" w:rsidR="00276556" w:rsidRPr="008E0C6A" w:rsidRDefault="00276556" w:rsidP="006B16F8">
      <w:pPr>
        <w:spacing w:line="360" w:lineRule="auto"/>
        <w:jc w:val="both"/>
        <w:rPr>
          <w:rFonts w:ascii="Times New Roman" w:eastAsia="Times New Roman" w:hAnsi="Times New Roman" w:cs="Times New Roman"/>
          <w:color w:val="000000"/>
        </w:rPr>
      </w:pPr>
      <w:r w:rsidRPr="008E0C6A">
        <w:rPr>
          <w:rFonts w:ascii="Times New Roman" w:hAnsi="Times New Roman" w:cs="Times New Roman"/>
        </w:rPr>
        <w:t xml:space="preserve">Y. Melamed, </w:t>
      </w:r>
      <w:r w:rsidRPr="008E0C6A">
        <w:rPr>
          <w:rFonts w:ascii="Times New Roman" w:hAnsi="Times New Roman" w:cs="Times New Roman"/>
          <w:i/>
        </w:rPr>
        <w:t>Acomism or weak individualism? Hegel, Spinoza and the Reality of Finite</w:t>
      </w:r>
      <w:r w:rsidRPr="008E0C6A">
        <w:rPr>
          <w:rFonts w:ascii="Times New Roman" w:hAnsi="Times New Roman" w:cs="Times New Roman"/>
        </w:rPr>
        <w:t>, in «Journal of the History of Philosophy</w:t>
      </w:r>
      <w:r w:rsidRPr="008E0C6A">
        <w:rPr>
          <w:rFonts w:ascii="Times New Roman" w:eastAsia="Times New Roman" w:hAnsi="Times New Roman" w:cs="Times New Roman"/>
          <w:color w:val="000000"/>
        </w:rPr>
        <w:t>, vol. 48, n. 1 (2010), pp. 77-92.</w:t>
      </w:r>
    </w:p>
    <w:p w14:paraId="061BE827" w14:textId="77777777" w:rsidR="00276556" w:rsidRPr="008E0C6A" w:rsidRDefault="00276556" w:rsidP="006B16F8">
      <w:pPr>
        <w:spacing w:line="360" w:lineRule="auto"/>
        <w:jc w:val="both"/>
        <w:rPr>
          <w:rFonts w:ascii="Times New Roman" w:eastAsia="Times New Roman" w:hAnsi="Times New Roman" w:cs="Times New Roman"/>
          <w:color w:val="000000"/>
        </w:rPr>
      </w:pPr>
    </w:p>
    <w:p w14:paraId="77A5CF5F" w14:textId="24900410" w:rsidR="00276556" w:rsidRPr="008E0C6A" w:rsidRDefault="00276556" w:rsidP="006B16F8">
      <w:pPr>
        <w:spacing w:line="360" w:lineRule="auto"/>
        <w:jc w:val="both"/>
        <w:rPr>
          <w:rFonts w:ascii="Times New Roman" w:eastAsia="Times New Roman" w:hAnsi="Times New Roman" w:cs="Times New Roman"/>
          <w:color w:val="000000"/>
        </w:rPr>
      </w:pPr>
      <w:r w:rsidRPr="008E0C6A">
        <w:rPr>
          <w:rFonts w:ascii="Times New Roman" w:hAnsi="Times New Roman" w:cs="Times New Roman"/>
        </w:rPr>
        <w:t>- Y. Melamed, “</w:t>
      </w:r>
      <w:r w:rsidRPr="008E0C6A">
        <w:rPr>
          <w:rFonts w:ascii="Times New Roman" w:hAnsi="Times New Roman" w:cs="Times New Roman"/>
          <w:i/>
        </w:rPr>
        <w:t>Omnis determinatio est negatio”: Determination, Negation, and Self-Negation in Spinoza, Kant, and Hegel</w:t>
      </w:r>
      <w:r w:rsidRPr="008E0C6A">
        <w:rPr>
          <w:rFonts w:ascii="Times New Roman" w:hAnsi="Times New Roman" w:cs="Times New Roman"/>
        </w:rPr>
        <w:t xml:space="preserve">, in </w:t>
      </w:r>
      <w:r w:rsidRPr="008E0C6A">
        <w:rPr>
          <w:rFonts w:ascii="Times New Roman" w:hAnsi="Times New Roman" w:cs="Times New Roman"/>
          <w:i/>
        </w:rPr>
        <w:t>Spinoza and German Idealism</w:t>
      </w:r>
      <w:r w:rsidRPr="008E0C6A">
        <w:rPr>
          <w:rFonts w:ascii="Times New Roman" w:hAnsi="Times New Roman" w:cs="Times New Roman"/>
        </w:rPr>
        <w:t>, cit.</w:t>
      </w:r>
      <w:r w:rsidRPr="008E0C6A">
        <w:rPr>
          <w:rFonts w:ascii="Times New Roman" w:eastAsia="Times New Roman" w:hAnsi="Times New Roman" w:cs="Times New Roman"/>
          <w:color w:val="000000"/>
        </w:rPr>
        <w:t>, pp. 175-196</w:t>
      </w:r>
      <w:r w:rsidR="003F6B27">
        <w:rPr>
          <w:rFonts w:ascii="Times New Roman" w:eastAsia="Times New Roman" w:hAnsi="Times New Roman" w:cs="Times New Roman"/>
          <w:color w:val="000000"/>
        </w:rPr>
        <w:t>.</w:t>
      </w:r>
    </w:p>
    <w:p w14:paraId="2F1159FC" w14:textId="77777777" w:rsidR="00276556" w:rsidRPr="008E0C6A" w:rsidRDefault="00276556" w:rsidP="006B16F8">
      <w:pPr>
        <w:spacing w:line="360" w:lineRule="auto"/>
        <w:jc w:val="both"/>
        <w:rPr>
          <w:rFonts w:ascii="Times New Roman" w:hAnsi="Times New Roman" w:cs="Times New Roman"/>
          <w:lang w:val="en-GB"/>
        </w:rPr>
      </w:pPr>
    </w:p>
    <w:p w14:paraId="47B5F6BB"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F. Menegoni, </w:t>
      </w:r>
      <w:r w:rsidRPr="008E0C6A">
        <w:rPr>
          <w:rFonts w:ascii="Times New Roman" w:hAnsi="Times New Roman" w:cs="Times New Roman"/>
          <w:i/>
        </w:rPr>
        <w:t>Die offenbare Religion</w:t>
      </w:r>
      <w:r w:rsidRPr="008E0C6A">
        <w:rPr>
          <w:rFonts w:ascii="Times New Roman" w:hAnsi="Times New Roman" w:cs="Times New Roman"/>
        </w:rPr>
        <w:t xml:space="preserve">, in </w:t>
      </w:r>
      <w:r w:rsidRPr="008E0C6A">
        <w:rPr>
          <w:rFonts w:ascii="Times New Roman" w:hAnsi="Times New Roman" w:cs="Times New Roman"/>
          <w:i/>
        </w:rPr>
        <w:t>Hegels Phänomenologie des Geistes</w:t>
      </w:r>
      <w:r w:rsidRPr="008E0C6A">
        <w:rPr>
          <w:rFonts w:ascii="Times New Roman" w:hAnsi="Times New Roman" w:cs="Times New Roman"/>
        </w:rPr>
        <w:t>, hrsg. von K. Vieweg und W. Welsch, Suhrkamp, Frankfurt am Main 2008, pp. 562-581.</w:t>
      </w:r>
    </w:p>
    <w:p w14:paraId="2AC74A23" w14:textId="77777777" w:rsidR="00276556" w:rsidRPr="008E0C6A" w:rsidRDefault="00276556" w:rsidP="006B16F8">
      <w:pPr>
        <w:spacing w:line="360" w:lineRule="auto"/>
        <w:jc w:val="both"/>
        <w:rPr>
          <w:rFonts w:ascii="Times New Roman" w:hAnsi="Times New Roman" w:cs="Times New Roman"/>
        </w:rPr>
      </w:pPr>
    </w:p>
    <w:p w14:paraId="3A73F143"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G. Micheli, </w:t>
      </w:r>
      <w:r w:rsidRPr="008E0C6A">
        <w:rPr>
          <w:rFonts w:ascii="Times New Roman" w:hAnsi="Times New Roman" w:cs="Times New Roman"/>
          <w:i/>
        </w:rPr>
        <w:t>Philosophy and Historiography: The Kantian Turningpoint</w:t>
      </w:r>
      <w:r w:rsidRPr="008E0C6A">
        <w:rPr>
          <w:rFonts w:ascii="Times New Roman" w:hAnsi="Times New Roman" w:cs="Times New Roman"/>
        </w:rPr>
        <w:t xml:space="preserve">, in </w:t>
      </w:r>
      <w:r w:rsidRPr="008E0C6A">
        <w:rPr>
          <w:rFonts w:ascii="Times New Roman" w:hAnsi="Times New Roman" w:cs="Times New Roman"/>
          <w:i/>
        </w:rPr>
        <w:t>Models of History of Philosophy</w:t>
      </w:r>
      <w:r w:rsidRPr="008E0C6A">
        <w:rPr>
          <w:rFonts w:ascii="Times New Roman" w:hAnsi="Times New Roman" w:cs="Times New Roman"/>
        </w:rPr>
        <w:t>, cit., pp. 697-768.</w:t>
      </w:r>
    </w:p>
    <w:p w14:paraId="0CFB7B4C" w14:textId="77777777" w:rsidR="00276556" w:rsidRPr="008E0C6A" w:rsidRDefault="00276556" w:rsidP="006B16F8">
      <w:pPr>
        <w:spacing w:line="360" w:lineRule="auto"/>
        <w:jc w:val="both"/>
        <w:rPr>
          <w:rFonts w:ascii="Times New Roman" w:hAnsi="Times New Roman" w:cs="Times New Roman"/>
        </w:rPr>
      </w:pPr>
    </w:p>
    <w:p w14:paraId="26B5D1ED" w14:textId="43F8AE8E"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 </w:t>
      </w:r>
      <w:r w:rsidRPr="008E0C6A">
        <w:rPr>
          <w:rFonts w:ascii="Times New Roman" w:hAnsi="Times New Roman" w:cs="Times New Roman"/>
          <w:i/>
        </w:rPr>
        <w:t>Kantianism and the Historiography of Philosphy</w:t>
      </w:r>
      <w:r w:rsidRPr="008E0C6A">
        <w:rPr>
          <w:rFonts w:ascii="Times New Roman" w:hAnsi="Times New Roman" w:cs="Times New Roman"/>
        </w:rPr>
        <w:t xml:space="preserve">, in </w:t>
      </w:r>
      <w:r w:rsidRPr="008E0C6A">
        <w:rPr>
          <w:rFonts w:ascii="Times New Roman" w:hAnsi="Times New Roman" w:cs="Times New Roman"/>
          <w:i/>
        </w:rPr>
        <w:t>Models of History of Philosophy</w:t>
      </w:r>
      <w:r w:rsidRPr="008E0C6A">
        <w:rPr>
          <w:rFonts w:ascii="Times New Roman" w:hAnsi="Times New Roman" w:cs="Times New Roman"/>
        </w:rPr>
        <w:t>, cit., pp. 769-963</w:t>
      </w:r>
      <w:r w:rsidR="003F6B27">
        <w:rPr>
          <w:rFonts w:ascii="Times New Roman" w:hAnsi="Times New Roman" w:cs="Times New Roman"/>
        </w:rPr>
        <w:t>.</w:t>
      </w:r>
    </w:p>
    <w:p w14:paraId="2843373B" w14:textId="77777777" w:rsidR="00276556" w:rsidRPr="008E0C6A" w:rsidRDefault="00276556" w:rsidP="006B16F8">
      <w:pPr>
        <w:spacing w:line="360" w:lineRule="auto"/>
        <w:jc w:val="both"/>
        <w:rPr>
          <w:rFonts w:ascii="Times New Roman" w:hAnsi="Times New Roman" w:cs="Times New Roman"/>
        </w:rPr>
      </w:pPr>
    </w:p>
    <w:p w14:paraId="35AAACDF"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M. H. Miller, </w:t>
      </w:r>
      <w:r w:rsidRPr="008E0C6A">
        <w:rPr>
          <w:rFonts w:ascii="Times New Roman" w:hAnsi="Times New Roman" w:cs="Times New Roman"/>
          <w:i/>
        </w:rPr>
        <w:t>The Attainment of the Absolute Standpoint in Hegel’s Phenomenology</w:t>
      </w:r>
      <w:r w:rsidRPr="008E0C6A">
        <w:rPr>
          <w:rFonts w:ascii="Times New Roman" w:hAnsi="Times New Roman" w:cs="Times New Roman"/>
        </w:rPr>
        <w:t xml:space="preserve">, in </w:t>
      </w:r>
      <w:r w:rsidRPr="008E0C6A">
        <w:rPr>
          <w:rFonts w:ascii="Times New Roman" w:hAnsi="Times New Roman" w:cs="Times New Roman"/>
          <w:i/>
        </w:rPr>
        <w:t>The Phenomenology of Spirit. Critical and Interpretative Essays</w:t>
      </w:r>
      <w:r w:rsidRPr="008E0C6A">
        <w:rPr>
          <w:rFonts w:ascii="Times New Roman" w:hAnsi="Times New Roman" w:cs="Times New Roman"/>
        </w:rPr>
        <w:t>, cit., pp. 427-444.</w:t>
      </w:r>
    </w:p>
    <w:p w14:paraId="6FB6CA10" w14:textId="77777777" w:rsidR="00276556" w:rsidRPr="008E0C6A" w:rsidRDefault="00276556" w:rsidP="006B16F8">
      <w:pPr>
        <w:spacing w:line="360" w:lineRule="auto"/>
        <w:jc w:val="both"/>
        <w:rPr>
          <w:rFonts w:ascii="Times New Roman" w:hAnsi="Times New Roman" w:cs="Times New Roman"/>
        </w:rPr>
      </w:pPr>
    </w:p>
    <w:p w14:paraId="5272CCF6" w14:textId="77777777" w:rsidR="00276556" w:rsidRPr="008E0C6A" w:rsidRDefault="00276556" w:rsidP="006B16F8">
      <w:pPr>
        <w:spacing w:line="360" w:lineRule="auto"/>
        <w:jc w:val="both"/>
        <w:rPr>
          <w:rFonts w:ascii="Times New Roman" w:hAnsi="Times New Roman" w:cs="Times New Roman"/>
          <w:lang w:val="en-GB"/>
        </w:rPr>
      </w:pPr>
      <w:r w:rsidRPr="008E0C6A">
        <w:rPr>
          <w:rFonts w:ascii="Times New Roman" w:hAnsi="Times New Roman" w:cs="Times New Roman"/>
        </w:rPr>
        <w:t xml:space="preserve">V. Morfino, </w:t>
      </w:r>
      <w:r w:rsidRPr="008E0C6A">
        <w:rPr>
          <w:rFonts w:ascii="Times New Roman" w:hAnsi="Times New Roman" w:cs="Times New Roman"/>
          <w:i/>
        </w:rPr>
        <w:t>Substantia sive organismus: immagine e funzione teorica di Spinoza negli scritti jenesi di Hegel</w:t>
      </w:r>
      <w:r w:rsidRPr="008E0C6A">
        <w:rPr>
          <w:rFonts w:ascii="Times New Roman" w:hAnsi="Times New Roman" w:cs="Times New Roman"/>
        </w:rPr>
        <w:t>, Milano, Guerini 1997.</w:t>
      </w:r>
    </w:p>
    <w:p w14:paraId="192DCAAB" w14:textId="77777777" w:rsidR="00276556" w:rsidRPr="008E0C6A" w:rsidRDefault="00276556" w:rsidP="006B16F8">
      <w:pPr>
        <w:spacing w:line="360" w:lineRule="auto"/>
        <w:jc w:val="both"/>
        <w:rPr>
          <w:rFonts w:ascii="Times New Roman" w:hAnsi="Times New Roman" w:cs="Times New Roman"/>
          <w:lang w:val="en-GB"/>
        </w:rPr>
      </w:pPr>
    </w:p>
    <w:p w14:paraId="0CC4B8AC" w14:textId="364D6823"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i/>
        </w:rPr>
        <w:t>- Genealogia di un pregiudizio. L’immagine di Spinoza da Leibniz a Marx</w:t>
      </w:r>
      <w:r w:rsidRPr="008E0C6A">
        <w:rPr>
          <w:rFonts w:ascii="Times New Roman" w:hAnsi="Times New Roman" w:cs="Times New Roman"/>
        </w:rPr>
        <w:t>, Georg Olms Verlag, Hildesheim-Zürich-New York 2016</w:t>
      </w:r>
      <w:r w:rsidR="003F6B27">
        <w:rPr>
          <w:rFonts w:ascii="Times New Roman" w:hAnsi="Times New Roman" w:cs="Times New Roman"/>
        </w:rPr>
        <w:t>.</w:t>
      </w:r>
    </w:p>
    <w:p w14:paraId="71ED5AF3" w14:textId="77777777" w:rsidR="00276556" w:rsidRPr="008E0C6A" w:rsidRDefault="00276556" w:rsidP="006B16F8">
      <w:pPr>
        <w:spacing w:line="360" w:lineRule="auto"/>
        <w:rPr>
          <w:rFonts w:ascii="Times New Roman" w:hAnsi="Times New Roman" w:cs="Times New Roman"/>
          <w:lang w:val="en-GB"/>
        </w:rPr>
      </w:pPr>
    </w:p>
    <w:p w14:paraId="39C70C85" w14:textId="77777777" w:rsidR="00276556" w:rsidRPr="008E0C6A" w:rsidRDefault="00276556" w:rsidP="006B16F8">
      <w:pPr>
        <w:spacing w:line="360" w:lineRule="auto"/>
        <w:rPr>
          <w:rFonts w:ascii="Times New Roman" w:hAnsi="Times New Roman" w:cs="Times New Roman"/>
          <w:lang w:val="en-GB"/>
        </w:rPr>
      </w:pPr>
      <w:r w:rsidRPr="008E0C6A">
        <w:rPr>
          <w:rFonts w:ascii="Times New Roman" w:hAnsi="Times New Roman" w:cs="Times New Roman"/>
        </w:rPr>
        <w:t xml:space="preserve">G. Movia, </w:t>
      </w:r>
      <w:r w:rsidRPr="008E0C6A">
        <w:rPr>
          <w:rFonts w:ascii="Times New Roman" w:hAnsi="Times New Roman" w:cs="Times New Roman"/>
          <w:i/>
        </w:rPr>
        <w:t>Über den Anfang der Wissenschaft der Logik</w:t>
      </w:r>
      <w:r w:rsidRPr="008E0C6A">
        <w:rPr>
          <w:rFonts w:ascii="Times New Roman" w:hAnsi="Times New Roman" w:cs="Times New Roman"/>
        </w:rPr>
        <w:t xml:space="preserve">, in </w:t>
      </w:r>
      <w:r w:rsidRPr="008E0C6A">
        <w:rPr>
          <w:rFonts w:ascii="Times New Roman" w:hAnsi="Times New Roman" w:cs="Times New Roman"/>
          <w:i/>
        </w:rPr>
        <w:t>Wissenschaft der Logik</w:t>
      </w:r>
      <w:r w:rsidRPr="008E0C6A">
        <w:rPr>
          <w:rFonts w:ascii="Times New Roman" w:hAnsi="Times New Roman" w:cs="Times New Roman"/>
        </w:rPr>
        <w:t>, hrsg. von A. F. Koch, F. Schick, Akademie Verlag, Berlin 2002, pp.11-27.</w:t>
      </w:r>
    </w:p>
    <w:p w14:paraId="2438280E" w14:textId="77777777" w:rsidR="00276556" w:rsidRPr="008E0C6A" w:rsidRDefault="00276556" w:rsidP="006B16F8">
      <w:pPr>
        <w:spacing w:line="360" w:lineRule="auto"/>
        <w:jc w:val="both"/>
        <w:rPr>
          <w:rFonts w:ascii="Times New Roman" w:hAnsi="Times New Roman" w:cs="Times New Roman"/>
          <w:lang w:val="en-GB"/>
        </w:rPr>
      </w:pPr>
    </w:p>
    <w:p w14:paraId="19655D7B" w14:textId="77777777" w:rsidR="00276556" w:rsidRPr="008E0C6A" w:rsidRDefault="00276556" w:rsidP="006B16F8">
      <w:pPr>
        <w:spacing w:line="360" w:lineRule="auto"/>
        <w:jc w:val="both"/>
        <w:rPr>
          <w:rFonts w:ascii="Times New Roman" w:hAnsi="Times New Roman" w:cs="Times New Roman"/>
          <w:lang w:val="en-GB"/>
        </w:rPr>
      </w:pPr>
      <w:r w:rsidRPr="008E0C6A">
        <w:rPr>
          <w:rFonts w:ascii="Times New Roman" w:hAnsi="Times New Roman" w:cs="Times New Roman"/>
        </w:rPr>
        <w:t xml:space="preserve">P. Muller, </w:t>
      </w:r>
      <w:r w:rsidRPr="008E0C6A">
        <w:rPr>
          <w:rFonts w:ascii="Times New Roman" w:hAnsi="Times New Roman" w:cs="Times New Roman"/>
          <w:i/>
        </w:rPr>
        <w:t>Hegel und Gibbon. Oder wie der Philosoph dank der Lektüre des Historikers zu sich selbst findet</w:t>
      </w:r>
      <w:r w:rsidRPr="008E0C6A">
        <w:rPr>
          <w:rFonts w:ascii="Times New Roman" w:hAnsi="Times New Roman" w:cs="Times New Roman"/>
        </w:rPr>
        <w:t xml:space="preserve">, in </w:t>
      </w:r>
      <w:r w:rsidRPr="008E0C6A">
        <w:rPr>
          <w:rFonts w:ascii="Times New Roman" w:hAnsi="Times New Roman" w:cs="Times New Roman"/>
          <w:i/>
        </w:rPr>
        <w:t>Hegel in der Schweiz</w:t>
      </w:r>
      <w:r w:rsidRPr="008E0C6A">
        <w:rPr>
          <w:rFonts w:ascii="Times New Roman" w:hAnsi="Times New Roman" w:cs="Times New Roman"/>
        </w:rPr>
        <w:t>, hrsg. von H. Schneider und N. Waszek, Peter Lang, Frankfurt am Main 1997.</w:t>
      </w:r>
    </w:p>
    <w:p w14:paraId="60BFFA98" w14:textId="77777777" w:rsidR="00276556" w:rsidRPr="008E0C6A" w:rsidRDefault="00276556" w:rsidP="006B16F8">
      <w:pPr>
        <w:spacing w:line="360" w:lineRule="auto"/>
        <w:jc w:val="both"/>
        <w:rPr>
          <w:rFonts w:ascii="Times New Roman" w:hAnsi="Times New Roman" w:cs="Times New Roman"/>
          <w:lang w:val="en-GB"/>
        </w:rPr>
      </w:pPr>
    </w:p>
    <w:p w14:paraId="3FFD7AED"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C. Muratori, </w:t>
      </w:r>
      <w:r w:rsidRPr="008E0C6A">
        <w:rPr>
          <w:rFonts w:ascii="Times New Roman" w:hAnsi="Times New Roman" w:cs="Times New Roman"/>
          <w:i/>
        </w:rPr>
        <w:t>Il figlio caduto e l’origine del male. Una lettura del §568 dell’Enciclopedia</w:t>
      </w:r>
      <w:r w:rsidRPr="008E0C6A">
        <w:rPr>
          <w:rFonts w:ascii="Times New Roman" w:hAnsi="Times New Roman" w:cs="Times New Roman"/>
        </w:rPr>
        <w:t>, in «Archivio di Filosofia», vol. 2/3 (2010), pp. 107-118.</w:t>
      </w:r>
    </w:p>
    <w:p w14:paraId="7A61AA8A" w14:textId="77777777" w:rsidR="00276556" w:rsidRPr="008E0C6A" w:rsidRDefault="00276556" w:rsidP="006B16F8">
      <w:pPr>
        <w:spacing w:line="360" w:lineRule="auto"/>
        <w:jc w:val="both"/>
        <w:rPr>
          <w:rFonts w:ascii="Times New Roman" w:hAnsi="Times New Roman" w:cs="Times New Roman"/>
        </w:rPr>
      </w:pPr>
    </w:p>
    <w:p w14:paraId="0FD8652D"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 </w:t>
      </w:r>
      <w:r w:rsidRPr="008E0C6A">
        <w:rPr>
          <w:rFonts w:ascii="Times New Roman" w:hAnsi="Times New Roman" w:cs="Times New Roman"/>
          <w:i/>
        </w:rPr>
        <w:t>The First German Philosopher. The Mysticism of Jakob Böhme as interpreted by Hegel</w:t>
      </w:r>
      <w:r w:rsidRPr="008E0C6A">
        <w:rPr>
          <w:rFonts w:ascii="Times New Roman" w:hAnsi="Times New Roman" w:cs="Times New Roman"/>
        </w:rPr>
        <w:t>, Springer, Dordrecht 2016.</w:t>
      </w:r>
    </w:p>
    <w:p w14:paraId="7BAE1855" w14:textId="77777777" w:rsidR="00276556" w:rsidRPr="008E0C6A" w:rsidRDefault="00276556" w:rsidP="006B16F8">
      <w:pPr>
        <w:spacing w:line="360" w:lineRule="auto"/>
        <w:jc w:val="both"/>
        <w:rPr>
          <w:rFonts w:ascii="Times New Roman" w:hAnsi="Times New Roman" w:cs="Times New Roman"/>
        </w:rPr>
      </w:pPr>
    </w:p>
    <w:p w14:paraId="60E85C6E" w14:textId="77777777" w:rsidR="00276556" w:rsidRPr="008E0C6A" w:rsidRDefault="00276556" w:rsidP="006B16F8">
      <w:pPr>
        <w:spacing w:line="360" w:lineRule="auto"/>
        <w:jc w:val="both"/>
        <w:rPr>
          <w:rFonts w:ascii="Times New Roman" w:eastAsia="Times New Roman" w:hAnsi="Times New Roman" w:cs="Times New Roman"/>
          <w:color w:val="000000"/>
        </w:rPr>
      </w:pPr>
      <w:r w:rsidRPr="008E0C6A">
        <w:rPr>
          <w:rFonts w:ascii="Times New Roman" w:hAnsi="Times New Roman" w:cs="Times New Roman"/>
        </w:rPr>
        <w:t xml:space="preserve">J.-L. Nancy, </w:t>
      </w:r>
      <w:r w:rsidRPr="008E0C6A">
        <w:rPr>
          <w:rFonts w:ascii="Times New Roman" w:eastAsia="Times New Roman" w:hAnsi="Times New Roman" w:cs="Times New Roman"/>
          <w:i/>
          <w:color w:val="000000"/>
        </w:rPr>
        <w:t>Hegel. L’inquiétude du négatif</w:t>
      </w:r>
      <w:r w:rsidRPr="008E0C6A">
        <w:rPr>
          <w:rFonts w:ascii="Times New Roman" w:eastAsia="Times New Roman" w:hAnsi="Times New Roman" w:cs="Times New Roman"/>
          <w:color w:val="000000"/>
        </w:rPr>
        <w:t>, Galilée, Paris 1997.</w:t>
      </w:r>
    </w:p>
    <w:p w14:paraId="4D2EC300" w14:textId="77777777" w:rsidR="00276556" w:rsidRPr="008E0C6A" w:rsidRDefault="00276556" w:rsidP="006B16F8">
      <w:pPr>
        <w:spacing w:line="360" w:lineRule="auto"/>
        <w:jc w:val="both"/>
        <w:rPr>
          <w:rFonts w:ascii="Times New Roman" w:eastAsia="Times New Roman" w:hAnsi="Times New Roman" w:cs="Times New Roman"/>
          <w:color w:val="000000"/>
        </w:rPr>
      </w:pPr>
    </w:p>
    <w:p w14:paraId="15FBA514" w14:textId="77777777" w:rsidR="00276556" w:rsidRPr="008E0C6A" w:rsidRDefault="00276556" w:rsidP="006B16F8">
      <w:pPr>
        <w:spacing w:line="360" w:lineRule="auto"/>
        <w:jc w:val="both"/>
        <w:rPr>
          <w:rFonts w:ascii="Times New Roman" w:eastAsia="Times New Roman" w:hAnsi="Times New Roman" w:cs="Times New Roman"/>
          <w:color w:val="000000"/>
        </w:rPr>
      </w:pPr>
      <w:r w:rsidRPr="008E0C6A">
        <w:rPr>
          <w:rFonts w:ascii="Times New Roman" w:hAnsi="Times New Roman" w:cs="Times New Roman"/>
        </w:rPr>
        <w:t xml:space="preserve">G. Necker, </w:t>
      </w:r>
      <w:r w:rsidRPr="008E0C6A">
        <w:rPr>
          <w:rFonts w:ascii="Times New Roman" w:hAnsi="Times New Roman" w:cs="Times New Roman"/>
          <w:i/>
        </w:rPr>
        <w:t>Humanistische Kabbala im Barock: Leben und Werk des Abraham Cohen de Herrera</w:t>
      </w:r>
      <w:r w:rsidRPr="008E0C6A">
        <w:rPr>
          <w:rFonts w:ascii="Times New Roman" w:hAnsi="Times New Roman" w:cs="Times New Roman"/>
        </w:rPr>
        <w:t>, De Gruyter, Berlin/Boston 2011.</w:t>
      </w:r>
    </w:p>
    <w:p w14:paraId="71F8AE14" w14:textId="77777777" w:rsidR="00276556" w:rsidRPr="008E0C6A" w:rsidRDefault="00276556" w:rsidP="006B16F8">
      <w:pPr>
        <w:spacing w:line="360" w:lineRule="auto"/>
        <w:jc w:val="both"/>
        <w:rPr>
          <w:rFonts w:ascii="Times New Roman" w:hAnsi="Times New Roman" w:cs="Times New Roman"/>
        </w:rPr>
      </w:pPr>
    </w:p>
    <w:p w14:paraId="6C3B2FD9" w14:textId="77777777" w:rsidR="00276556" w:rsidRPr="008E0C6A" w:rsidRDefault="00276556" w:rsidP="006B16F8">
      <w:pPr>
        <w:spacing w:line="360" w:lineRule="auto"/>
        <w:jc w:val="both"/>
        <w:rPr>
          <w:rFonts w:ascii="Times New Roman" w:hAnsi="Times New Roman" w:cs="Times New Roman"/>
        </w:rPr>
      </w:pPr>
      <w:r w:rsidRPr="00C22F28">
        <w:rPr>
          <w:rFonts w:ascii="Times New Roman" w:hAnsi="Times New Roman" w:cs="Times New Roman"/>
        </w:rPr>
        <w:t xml:space="preserve">A. Nuzzo, </w:t>
      </w:r>
      <w:r w:rsidRPr="00C22F28">
        <w:rPr>
          <w:rFonts w:ascii="Times New Roman" w:hAnsi="Times New Roman" w:cs="Times New Roman"/>
          <w:i/>
        </w:rPr>
        <w:t>La Logica</w:t>
      </w:r>
      <w:r w:rsidRPr="00C22F28">
        <w:rPr>
          <w:rFonts w:ascii="Times New Roman" w:hAnsi="Times New Roman" w:cs="Times New Roman"/>
        </w:rPr>
        <w:t xml:space="preserve">, in </w:t>
      </w:r>
      <w:r w:rsidRPr="00C22F28">
        <w:rPr>
          <w:rFonts w:ascii="Times New Roman" w:hAnsi="Times New Roman" w:cs="Times New Roman"/>
          <w:i/>
        </w:rPr>
        <w:t>Guida a Hegel</w:t>
      </w:r>
      <w:r w:rsidRPr="00C22F28">
        <w:rPr>
          <w:rFonts w:ascii="Times New Roman" w:hAnsi="Times New Roman" w:cs="Times New Roman"/>
        </w:rPr>
        <w:t>, a cura di C. Cesa, Laterza, Bari 1998, pp. 39-82.</w:t>
      </w:r>
    </w:p>
    <w:p w14:paraId="35A777F7" w14:textId="77777777" w:rsidR="00276556" w:rsidRPr="008E0C6A" w:rsidRDefault="00276556" w:rsidP="006B16F8">
      <w:pPr>
        <w:spacing w:line="360" w:lineRule="auto"/>
        <w:jc w:val="both"/>
        <w:rPr>
          <w:rFonts w:ascii="Times New Roman" w:hAnsi="Times New Roman" w:cs="Times New Roman"/>
        </w:rPr>
      </w:pPr>
    </w:p>
    <w:p w14:paraId="74B21A5D"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C. O’Regan, </w:t>
      </w:r>
      <w:r w:rsidRPr="008E0C6A">
        <w:rPr>
          <w:rFonts w:ascii="Times New Roman" w:hAnsi="Times New Roman" w:cs="Times New Roman"/>
          <w:i/>
        </w:rPr>
        <w:t>Hegel and Anti-Judaism: Narrative and the Inner Circulation of the Kabbalah</w:t>
      </w:r>
      <w:r w:rsidRPr="008E0C6A">
        <w:rPr>
          <w:rFonts w:ascii="Times New Roman" w:hAnsi="Times New Roman" w:cs="Times New Roman"/>
        </w:rPr>
        <w:t>, in «The Owl of Minerva</w:t>
      </w:r>
      <w:r>
        <w:rPr>
          <w:rFonts w:ascii="Times New Roman" w:eastAsia="Times New Roman" w:hAnsi="Times New Roman" w:cs="Times New Roman"/>
          <w:color w:val="000000"/>
        </w:rPr>
        <w:t>», 28</w:t>
      </w:r>
      <w:r w:rsidRPr="008E0C6A">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w:t>
      </w:r>
      <w:r w:rsidRPr="008E0C6A">
        <w:rPr>
          <w:rFonts w:ascii="Times New Roman" w:eastAsia="Times New Roman" w:hAnsi="Times New Roman" w:cs="Times New Roman"/>
          <w:color w:val="000000"/>
        </w:rPr>
        <w:t>1997</w:t>
      </w:r>
      <w:r>
        <w:rPr>
          <w:rFonts w:ascii="Times New Roman" w:eastAsia="Times New Roman" w:hAnsi="Times New Roman" w:cs="Times New Roman"/>
          <w:color w:val="000000"/>
        </w:rPr>
        <w:t>)</w:t>
      </w:r>
      <w:r w:rsidRPr="008E0C6A">
        <w:rPr>
          <w:rFonts w:ascii="Times New Roman" w:eastAsia="Times New Roman" w:hAnsi="Times New Roman" w:cs="Times New Roman"/>
          <w:color w:val="000000"/>
        </w:rPr>
        <w:t>, pp. 141-182.</w:t>
      </w:r>
    </w:p>
    <w:p w14:paraId="6FAA679B" w14:textId="77777777" w:rsidR="00276556" w:rsidRPr="008E0C6A" w:rsidRDefault="00276556" w:rsidP="006B16F8">
      <w:pPr>
        <w:spacing w:line="360" w:lineRule="auto"/>
        <w:jc w:val="both"/>
        <w:rPr>
          <w:rFonts w:ascii="Times New Roman" w:hAnsi="Times New Roman" w:cs="Times New Roman"/>
        </w:rPr>
      </w:pPr>
    </w:p>
    <w:p w14:paraId="77558F08"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 </w:t>
      </w:r>
      <w:r w:rsidRPr="008E0C6A">
        <w:rPr>
          <w:rFonts w:ascii="Times New Roman" w:hAnsi="Times New Roman" w:cs="Times New Roman"/>
          <w:i/>
        </w:rPr>
        <w:t>Gnostic Apocalypse</w:t>
      </w:r>
      <w:r w:rsidRPr="008E0C6A">
        <w:rPr>
          <w:rFonts w:ascii="Times New Roman" w:hAnsi="Times New Roman" w:cs="Times New Roman"/>
        </w:rPr>
        <w:t>, State of New York Press, Albany 2002.</w:t>
      </w:r>
    </w:p>
    <w:p w14:paraId="285D0B23" w14:textId="77777777" w:rsidR="00276556" w:rsidRDefault="00276556" w:rsidP="006B16F8">
      <w:pPr>
        <w:spacing w:line="360" w:lineRule="auto"/>
        <w:jc w:val="both"/>
        <w:rPr>
          <w:rFonts w:ascii="Times New Roman" w:hAnsi="Times New Roman" w:cs="Times New Roman"/>
        </w:rPr>
      </w:pPr>
    </w:p>
    <w:p w14:paraId="1481007B" w14:textId="77777777" w:rsidR="00276556" w:rsidRDefault="00276556" w:rsidP="006B16F8">
      <w:pPr>
        <w:spacing w:line="360" w:lineRule="auto"/>
        <w:jc w:val="both"/>
        <w:rPr>
          <w:rFonts w:ascii="Times New Roman" w:hAnsi="Times New Roman" w:cs="Times New Roman"/>
        </w:rPr>
      </w:pPr>
      <w:r w:rsidRPr="00D70F78">
        <w:rPr>
          <w:rFonts w:ascii="Times New Roman" w:hAnsi="Times New Roman" w:cs="Times New Roman"/>
        </w:rPr>
        <w:t xml:space="preserve">G. Oswald, </w:t>
      </w:r>
      <w:r w:rsidRPr="00D70F78">
        <w:rPr>
          <w:rFonts w:ascii="Times New Roman" w:hAnsi="Times New Roman" w:cs="Times New Roman"/>
          <w:i/>
        </w:rPr>
        <w:t>Das freie Sich-entlassen der Idee in der Natur in Hegels „Wissenschaft der Logik”</w:t>
      </w:r>
      <w:r w:rsidRPr="00D70F78">
        <w:rPr>
          <w:rFonts w:ascii="Times New Roman" w:hAnsi="Times New Roman" w:cs="Times New Roman"/>
        </w:rPr>
        <w:t>, in «Hegel-Studien</w:t>
      </w:r>
      <w:r w:rsidRPr="00D70F78">
        <w:rPr>
          <w:rFonts w:ascii="Times New Roman" w:eastAsia="Times New Roman" w:hAnsi="Times New Roman" w:cs="Times New Roman"/>
          <w:color w:val="000000"/>
        </w:rPr>
        <w:t xml:space="preserve">», Beiheft 70, </w:t>
      </w:r>
      <w:r w:rsidRPr="00D70F78">
        <w:rPr>
          <w:rFonts w:ascii="Times New Roman" w:hAnsi="Times New Roman" w:cs="Times New Roman"/>
        </w:rPr>
        <w:t>Felix Meiner Verlag, Hamburg 2020.</w:t>
      </w:r>
    </w:p>
    <w:p w14:paraId="33FC1C17" w14:textId="77777777" w:rsidR="00276556" w:rsidRPr="008E0C6A" w:rsidRDefault="00276556" w:rsidP="006B16F8">
      <w:pPr>
        <w:spacing w:line="360" w:lineRule="auto"/>
        <w:jc w:val="both"/>
        <w:rPr>
          <w:rFonts w:ascii="Times New Roman" w:hAnsi="Times New Roman" w:cs="Times New Roman"/>
        </w:rPr>
      </w:pPr>
    </w:p>
    <w:p w14:paraId="69CE7B0A"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R. Otto, </w:t>
      </w:r>
      <w:r w:rsidRPr="008E0C6A">
        <w:rPr>
          <w:rFonts w:ascii="Times New Roman" w:hAnsi="Times New Roman" w:cs="Times New Roman"/>
          <w:i/>
        </w:rPr>
        <w:t>Studien zur Spinozarezeption in Deutschland im 18. Jahrhundert</w:t>
      </w:r>
      <w:r w:rsidRPr="008E0C6A">
        <w:rPr>
          <w:rFonts w:ascii="Times New Roman" w:hAnsi="Times New Roman" w:cs="Times New Roman"/>
        </w:rPr>
        <w:t>, Peter Lang Verlang, Fr</w:t>
      </w:r>
      <w:r>
        <w:rPr>
          <w:rFonts w:ascii="Times New Roman" w:hAnsi="Times New Roman" w:cs="Times New Roman"/>
        </w:rPr>
        <w:t>ankfurt am Main</w:t>
      </w:r>
      <w:r w:rsidRPr="008E0C6A">
        <w:rPr>
          <w:rFonts w:ascii="Times New Roman" w:hAnsi="Times New Roman" w:cs="Times New Roman"/>
        </w:rPr>
        <w:t xml:space="preserve"> 1994.</w:t>
      </w:r>
    </w:p>
    <w:p w14:paraId="315322EC" w14:textId="77777777" w:rsidR="00276556" w:rsidRPr="008E0C6A" w:rsidRDefault="00276556" w:rsidP="006B16F8">
      <w:pPr>
        <w:spacing w:line="360" w:lineRule="auto"/>
        <w:jc w:val="both"/>
        <w:rPr>
          <w:rFonts w:ascii="Times New Roman" w:hAnsi="Times New Roman" w:cs="Times New Roman"/>
        </w:rPr>
      </w:pPr>
    </w:p>
    <w:p w14:paraId="5D6F8DFA"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M. Pagano, </w:t>
      </w:r>
      <w:r w:rsidRPr="008E0C6A">
        <w:rPr>
          <w:rFonts w:ascii="Times New Roman" w:hAnsi="Times New Roman" w:cs="Times New Roman"/>
          <w:i/>
        </w:rPr>
        <w:t xml:space="preserve">Hegel: il soggetto e l’assoluto, </w:t>
      </w:r>
      <w:r w:rsidRPr="008E0C6A">
        <w:rPr>
          <w:rFonts w:ascii="Times New Roman" w:hAnsi="Times New Roman" w:cs="Times New Roman"/>
        </w:rPr>
        <w:t>in «Teoria</w:t>
      </w:r>
      <w:r w:rsidRPr="008E0C6A">
        <w:rPr>
          <w:rFonts w:ascii="Times New Roman" w:hAnsi="Times New Roman" w:cs="Times New Roman"/>
          <w:lang w:val="en-GB"/>
        </w:rPr>
        <w:t>»</w:t>
      </w:r>
      <w:r w:rsidRPr="008E0C6A">
        <w:rPr>
          <w:rFonts w:ascii="Times New Roman" w:hAnsi="Times New Roman" w:cs="Times New Roman"/>
        </w:rPr>
        <w:t>, n. 1 (2015), pp. 81-99.</w:t>
      </w:r>
    </w:p>
    <w:p w14:paraId="1BA68C49" w14:textId="77777777" w:rsidR="00276556" w:rsidRPr="008E0C6A" w:rsidRDefault="00276556" w:rsidP="006B16F8">
      <w:pPr>
        <w:spacing w:line="360" w:lineRule="auto"/>
        <w:jc w:val="both"/>
        <w:rPr>
          <w:rFonts w:ascii="Times New Roman" w:hAnsi="Times New Roman" w:cs="Times New Roman"/>
        </w:rPr>
      </w:pPr>
    </w:p>
    <w:p w14:paraId="5F60858A"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S. V. Palermo, </w:t>
      </w:r>
      <w:r w:rsidRPr="008E0C6A">
        <w:rPr>
          <w:rFonts w:ascii="Times New Roman" w:hAnsi="Times New Roman" w:cs="Times New Roman"/>
          <w:i/>
        </w:rPr>
        <w:t>Il bisogno della filosofia. L’itinerario speculativo di Hegel tra Francoforte e Jena (1797-1803)</w:t>
      </w:r>
      <w:r w:rsidRPr="008E0C6A">
        <w:rPr>
          <w:rFonts w:ascii="Times New Roman" w:hAnsi="Times New Roman" w:cs="Times New Roman"/>
        </w:rPr>
        <w:t>, Mimesis, Milano 2011.</w:t>
      </w:r>
    </w:p>
    <w:p w14:paraId="14EFE1BE" w14:textId="77777777" w:rsidR="00276556" w:rsidRPr="008E0C6A" w:rsidRDefault="00276556" w:rsidP="006B16F8">
      <w:pPr>
        <w:spacing w:line="360" w:lineRule="auto"/>
        <w:jc w:val="both"/>
        <w:rPr>
          <w:rFonts w:ascii="Times New Roman" w:hAnsi="Times New Roman" w:cs="Times New Roman"/>
        </w:rPr>
      </w:pPr>
    </w:p>
    <w:p w14:paraId="51B3EAFF"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eastAsia="Times New Roman" w:hAnsi="Times New Roman" w:cs="Times New Roman"/>
          <w:i/>
        </w:rPr>
        <w:t>- La sostanza come genesi del concetto. Sulla lettura hegeliana di Spinoza nella ‘Wesenslogik’</w:t>
      </w:r>
      <w:r w:rsidRPr="008E0C6A">
        <w:rPr>
          <w:rFonts w:ascii="Times New Roman" w:hAnsi="Times New Roman" w:cs="Times New Roman"/>
        </w:rPr>
        <w:t xml:space="preserve">, in </w:t>
      </w:r>
      <w:r w:rsidRPr="008E0C6A">
        <w:rPr>
          <w:rFonts w:ascii="Times New Roman" w:hAnsi="Times New Roman" w:cs="Times New Roman"/>
          <w:i/>
        </w:rPr>
        <w:t>System und Logik bei Hegel</w:t>
      </w:r>
      <w:r w:rsidRPr="008E0C6A">
        <w:rPr>
          <w:rFonts w:ascii="Times New Roman" w:hAnsi="Times New Roman" w:cs="Times New Roman"/>
        </w:rPr>
        <w:t>, a cura di L. Fonnesu e L. Ziglioli, Hildesheim, Olms, 2016, pp. 155-233.</w:t>
      </w:r>
    </w:p>
    <w:p w14:paraId="7E4B2295" w14:textId="77777777" w:rsidR="00276556" w:rsidRPr="008E0C6A" w:rsidRDefault="00276556" w:rsidP="006B16F8">
      <w:pPr>
        <w:spacing w:line="360" w:lineRule="auto"/>
        <w:jc w:val="both"/>
        <w:rPr>
          <w:rFonts w:ascii="Times New Roman" w:hAnsi="Times New Roman" w:cs="Times New Roman"/>
        </w:rPr>
      </w:pPr>
    </w:p>
    <w:p w14:paraId="237AA830" w14:textId="77777777" w:rsidR="00276556"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L. Payerson, </w:t>
      </w:r>
      <w:r w:rsidRPr="008E0C6A">
        <w:rPr>
          <w:rFonts w:ascii="Times New Roman" w:hAnsi="Times New Roman" w:cs="Times New Roman"/>
          <w:i/>
        </w:rPr>
        <w:t>La «domanda fondamentale»: «Perché l’essere piuttosto del nulla?»</w:t>
      </w:r>
      <w:r w:rsidRPr="008E0C6A">
        <w:rPr>
          <w:rFonts w:ascii="Times New Roman" w:hAnsi="Times New Roman" w:cs="Times New Roman"/>
        </w:rPr>
        <w:t>, in «Annuario filosofico», n. 8 (1992), pp. 12-33.</w:t>
      </w:r>
    </w:p>
    <w:p w14:paraId="65DE672F" w14:textId="77777777" w:rsidR="00B12C6E" w:rsidRDefault="00B12C6E" w:rsidP="006B16F8">
      <w:pPr>
        <w:spacing w:line="360" w:lineRule="auto"/>
        <w:jc w:val="both"/>
        <w:rPr>
          <w:rFonts w:ascii="Times New Roman" w:hAnsi="Times New Roman" w:cs="Times New Roman"/>
        </w:rPr>
      </w:pPr>
    </w:p>
    <w:p w14:paraId="20296C63" w14:textId="785F3C0D" w:rsidR="00B12C6E" w:rsidRPr="00B12C6E" w:rsidRDefault="00B12C6E" w:rsidP="006B16F8">
      <w:pPr>
        <w:spacing w:line="360" w:lineRule="auto"/>
        <w:jc w:val="both"/>
        <w:rPr>
          <w:rFonts w:ascii="Times New Roman" w:hAnsi="Times New Roman" w:cs="Times New Roman"/>
        </w:rPr>
      </w:pPr>
      <w:r w:rsidRPr="00B12C6E">
        <w:rPr>
          <w:rFonts w:ascii="Times New Roman" w:hAnsi="Times New Roman" w:cs="Times New Roman"/>
        </w:rPr>
        <w:t xml:space="preserve">T. I. Penman, </w:t>
      </w:r>
      <w:r w:rsidRPr="00B12C6E">
        <w:rPr>
          <w:rFonts w:ascii="Times New Roman" w:hAnsi="Times New Roman" w:cs="Times New Roman"/>
          <w:i/>
        </w:rPr>
        <w:t>Boehme’s Intellectual Networks and the Heterodox Milieu</w:t>
      </w:r>
      <w:r w:rsidRPr="00B12C6E">
        <w:rPr>
          <w:rFonts w:ascii="Times New Roman" w:hAnsi="Times New Roman" w:cs="Times New Roman"/>
        </w:rPr>
        <w:t xml:space="preserve">, in </w:t>
      </w:r>
      <w:r w:rsidRPr="00B12C6E">
        <w:rPr>
          <w:rFonts w:ascii="Times New Roman" w:hAnsi="Times New Roman" w:cs="Times New Roman"/>
          <w:i/>
        </w:rPr>
        <w:t>An Introduction to Jocob Boehme</w:t>
      </w:r>
      <w:r w:rsidRPr="00B12C6E">
        <w:rPr>
          <w:rFonts w:ascii="Times New Roman" w:hAnsi="Times New Roman" w:cs="Times New Roman"/>
        </w:rPr>
        <w:t>, cit., pp. 57-77.</w:t>
      </w:r>
    </w:p>
    <w:p w14:paraId="33930F3B" w14:textId="77777777" w:rsidR="00276556" w:rsidRPr="008E0C6A" w:rsidRDefault="00276556" w:rsidP="006B16F8">
      <w:pPr>
        <w:spacing w:line="360" w:lineRule="auto"/>
        <w:jc w:val="both"/>
        <w:rPr>
          <w:rFonts w:ascii="Times New Roman" w:hAnsi="Times New Roman" w:cs="Times New Roman"/>
        </w:rPr>
      </w:pPr>
    </w:p>
    <w:p w14:paraId="2BBC2373"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A. Peperzak, </w:t>
      </w:r>
      <w:r w:rsidRPr="008E0C6A">
        <w:rPr>
          <w:rFonts w:ascii="Times New Roman" w:hAnsi="Times New Roman" w:cs="Times New Roman"/>
          <w:i/>
        </w:rPr>
        <w:t>Le jeune Hegel et la vision morale du mond</w:t>
      </w:r>
      <w:r w:rsidRPr="008E0C6A">
        <w:rPr>
          <w:rFonts w:ascii="Times New Roman" w:hAnsi="Times New Roman" w:cs="Times New Roman"/>
        </w:rPr>
        <w:t>, Martinus Nijhoff, La Haye 1960.</w:t>
      </w:r>
    </w:p>
    <w:p w14:paraId="6BA8C486" w14:textId="77777777" w:rsidR="00276556" w:rsidRPr="008E0C6A" w:rsidRDefault="00276556" w:rsidP="006B16F8">
      <w:pPr>
        <w:spacing w:line="360" w:lineRule="auto"/>
        <w:jc w:val="both"/>
        <w:rPr>
          <w:rFonts w:ascii="Times New Roman" w:hAnsi="Times New Roman" w:cs="Times New Roman"/>
        </w:rPr>
      </w:pPr>
    </w:p>
    <w:p w14:paraId="4488290A" w14:textId="77777777" w:rsidR="00276556" w:rsidRPr="008E0C6A" w:rsidRDefault="00276556" w:rsidP="006B16F8">
      <w:pPr>
        <w:spacing w:line="360" w:lineRule="auto"/>
        <w:jc w:val="both"/>
        <w:rPr>
          <w:rFonts w:ascii="Times New Roman" w:eastAsia="Times New Roman" w:hAnsi="Times New Roman" w:cs="Times New Roman"/>
          <w:color w:val="000000"/>
        </w:rPr>
      </w:pPr>
      <w:r w:rsidRPr="008E0C6A">
        <w:rPr>
          <w:rFonts w:ascii="Times New Roman" w:eastAsia="Times New Roman" w:hAnsi="Times New Roman" w:cs="Times New Roman"/>
          <w:color w:val="000000"/>
        </w:rPr>
        <w:t xml:space="preserve">- </w:t>
      </w:r>
      <w:r w:rsidRPr="008E0C6A">
        <w:rPr>
          <w:rFonts w:ascii="Times New Roman" w:eastAsia="Times New Roman" w:hAnsi="Times New Roman" w:cs="Times New Roman"/>
          <w:i/>
          <w:color w:val="000000"/>
        </w:rPr>
        <w:t>Philosophy and Politics: A Commentary on the Preface to Hegel’s Philosophy of Right</w:t>
      </w:r>
      <w:r w:rsidRPr="008E0C6A">
        <w:rPr>
          <w:rFonts w:ascii="Times New Roman" w:eastAsia="Times New Roman" w:hAnsi="Times New Roman" w:cs="Times New Roman"/>
          <w:color w:val="000000"/>
        </w:rPr>
        <w:t>, Martinus Nijhof, Boston-The Hague 1987.</w:t>
      </w:r>
    </w:p>
    <w:p w14:paraId="369B2EE3" w14:textId="77777777" w:rsidR="00276556" w:rsidRPr="008E0C6A" w:rsidRDefault="00276556" w:rsidP="006B16F8">
      <w:pPr>
        <w:spacing w:line="360" w:lineRule="auto"/>
        <w:jc w:val="both"/>
        <w:rPr>
          <w:rFonts w:ascii="Times New Roman" w:eastAsia="Times New Roman" w:hAnsi="Times New Roman" w:cs="Times New Roman"/>
          <w:color w:val="000000"/>
        </w:rPr>
      </w:pPr>
    </w:p>
    <w:p w14:paraId="7A629487"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G. Petrarca, </w:t>
      </w:r>
      <w:r w:rsidRPr="008E0C6A">
        <w:rPr>
          <w:rFonts w:ascii="Times New Roman" w:hAnsi="Times New Roman" w:cs="Times New Roman"/>
          <w:i/>
        </w:rPr>
        <w:t>Del non-Amare. Hegel e l’ebraismo</w:t>
      </w:r>
      <w:r w:rsidRPr="008E0C6A">
        <w:rPr>
          <w:rFonts w:ascii="Times New Roman" w:hAnsi="Times New Roman" w:cs="Times New Roman"/>
        </w:rPr>
        <w:t xml:space="preserve">, in </w:t>
      </w:r>
      <w:r w:rsidRPr="008E0C6A">
        <w:rPr>
          <w:rFonts w:ascii="Times New Roman" w:hAnsi="Times New Roman" w:cs="Times New Roman"/>
          <w:i/>
        </w:rPr>
        <w:t>Il giovane Hegel: la dialettica e le sue prospettive</w:t>
      </w:r>
      <w:r w:rsidRPr="008E0C6A">
        <w:rPr>
          <w:rFonts w:ascii="Times New Roman" w:hAnsi="Times New Roman" w:cs="Times New Roman"/>
        </w:rPr>
        <w:t>, cit., pp. 167-187.</w:t>
      </w:r>
    </w:p>
    <w:p w14:paraId="4F53B264" w14:textId="77777777" w:rsidR="00FB38CB" w:rsidRDefault="00FB38CB" w:rsidP="006B16F8">
      <w:pPr>
        <w:spacing w:line="360" w:lineRule="auto"/>
        <w:jc w:val="both"/>
        <w:rPr>
          <w:rFonts w:ascii="Times New Roman" w:hAnsi="Times New Roman" w:cs="Times New Roman"/>
        </w:rPr>
      </w:pPr>
    </w:p>
    <w:p w14:paraId="31E6C443" w14:textId="56B73954" w:rsidR="004257D8" w:rsidRPr="004257D8" w:rsidRDefault="004257D8" w:rsidP="006B16F8">
      <w:pPr>
        <w:spacing w:line="360" w:lineRule="auto"/>
        <w:jc w:val="both"/>
        <w:rPr>
          <w:rFonts w:ascii="Times New Roman" w:hAnsi="Times New Roman" w:cs="Times New Roman"/>
        </w:rPr>
      </w:pPr>
      <w:r w:rsidRPr="004257D8">
        <w:rPr>
          <w:rFonts w:ascii="Times New Roman" w:hAnsi="Times New Roman" w:cs="Times New Roman"/>
        </w:rPr>
        <w:t xml:space="preserve">R. Pippin, </w:t>
      </w:r>
      <w:r w:rsidRPr="004257D8">
        <w:rPr>
          <w:rFonts w:ascii="Times New Roman" w:hAnsi="Times New Roman" w:cs="Times New Roman"/>
          <w:i/>
        </w:rPr>
        <w:t>Hegel’s Idealism: The Satisfaction of Self-Consciousness</w:t>
      </w:r>
      <w:r w:rsidRPr="004257D8">
        <w:rPr>
          <w:rFonts w:ascii="Times New Roman" w:hAnsi="Times New Roman" w:cs="Times New Roman"/>
        </w:rPr>
        <w:t>, Cambridge University Press, Cambridge 1989.</w:t>
      </w:r>
    </w:p>
    <w:p w14:paraId="20E6F0F9" w14:textId="77777777" w:rsidR="004257D8" w:rsidRDefault="004257D8" w:rsidP="006B16F8">
      <w:pPr>
        <w:spacing w:line="360" w:lineRule="auto"/>
        <w:jc w:val="both"/>
        <w:rPr>
          <w:rFonts w:ascii="Times New Roman" w:hAnsi="Times New Roman" w:cs="Times New Roman"/>
          <w:sz w:val="20"/>
          <w:szCs w:val="20"/>
        </w:rPr>
      </w:pPr>
    </w:p>
    <w:p w14:paraId="58EF8496" w14:textId="7D0416AD" w:rsidR="00FB38CB" w:rsidRPr="003A6D10" w:rsidRDefault="004257D8" w:rsidP="006B16F8">
      <w:pPr>
        <w:spacing w:line="360" w:lineRule="auto"/>
        <w:jc w:val="both"/>
        <w:rPr>
          <w:rFonts w:ascii="Times New Roman" w:hAnsi="Times New Roman" w:cs="Times New Roman"/>
        </w:rPr>
      </w:pPr>
      <w:r>
        <w:rPr>
          <w:rFonts w:ascii="Times New Roman" w:hAnsi="Times New Roman" w:cs="Times New Roman"/>
        </w:rPr>
        <w:t xml:space="preserve">- </w:t>
      </w:r>
      <w:r w:rsidR="00FB38CB" w:rsidRPr="003A6D10">
        <w:rPr>
          <w:rFonts w:ascii="Times New Roman" w:hAnsi="Times New Roman" w:cs="Times New Roman"/>
          <w:i/>
        </w:rPr>
        <w:t>Hegel’s Practical Philosophy</w:t>
      </w:r>
      <w:r w:rsidR="00FB38CB" w:rsidRPr="003A6D10">
        <w:rPr>
          <w:rFonts w:ascii="Times New Roman" w:hAnsi="Times New Roman" w:cs="Times New Roman"/>
        </w:rPr>
        <w:t>, Cambridge University Press, Cambridge 2008.</w:t>
      </w:r>
    </w:p>
    <w:p w14:paraId="533FD065" w14:textId="77777777" w:rsidR="00FB38CB" w:rsidRPr="003A6D10" w:rsidRDefault="00FB38CB" w:rsidP="006B16F8">
      <w:pPr>
        <w:spacing w:line="360" w:lineRule="auto"/>
        <w:jc w:val="both"/>
        <w:rPr>
          <w:rFonts w:ascii="Times New Roman" w:hAnsi="Times New Roman" w:cs="Times New Roman"/>
        </w:rPr>
      </w:pPr>
    </w:p>
    <w:p w14:paraId="47EA91B9" w14:textId="77777777" w:rsidR="00FB38CB" w:rsidRDefault="00FB38CB" w:rsidP="006B16F8">
      <w:pPr>
        <w:spacing w:line="360" w:lineRule="auto"/>
        <w:jc w:val="both"/>
        <w:rPr>
          <w:rFonts w:ascii="Times New Roman" w:hAnsi="Times New Roman" w:cs="Times New Roman"/>
        </w:rPr>
      </w:pPr>
      <w:r w:rsidRPr="003A6D10">
        <w:rPr>
          <w:rFonts w:ascii="Times New Roman" w:hAnsi="Times New Roman" w:cs="Times New Roman"/>
        </w:rPr>
        <w:t xml:space="preserve">- </w:t>
      </w:r>
      <w:r w:rsidRPr="003A6D10">
        <w:rPr>
          <w:rFonts w:ascii="Times New Roman" w:hAnsi="Times New Roman" w:cs="Times New Roman"/>
          <w:i/>
        </w:rPr>
        <w:t>Hegel’s Realm of Shadows. Logica s Metaphysics in The Science of Logic</w:t>
      </w:r>
      <w:r w:rsidRPr="003A6D10">
        <w:rPr>
          <w:rFonts w:ascii="Times New Roman" w:hAnsi="Times New Roman" w:cs="Times New Roman"/>
        </w:rPr>
        <w:t>, The University of Chicago Press, Chicago/London 2019.</w:t>
      </w:r>
    </w:p>
    <w:p w14:paraId="2C28E19B" w14:textId="77777777" w:rsidR="00276556" w:rsidRPr="008E0C6A" w:rsidRDefault="00276556" w:rsidP="006B16F8">
      <w:pPr>
        <w:spacing w:line="360" w:lineRule="auto"/>
        <w:jc w:val="both"/>
        <w:rPr>
          <w:rFonts w:ascii="Times New Roman" w:hAnsi="Times New Roman" w:cs="Times New Roman"/>
        </w:rPr>
      </w:pPr>
    </w:p>
    <w:p w14:paraId="3763B460" w14:textId="77777777" w:rsidR="00276556" w:rsidRPr="008E0C6A" w:rsidRDefault="00276556" w:rsidP="006B16F8">
      <w:pPr>
        <w:spacing w:line="360" w:lineRule="auto"/>
        <w:jc w:val="both"/>
        <w:rPr>
          <w:rFonts w:ascii="Times New Roman" w:eastAsia="Times New Roman" w:hAnsi="Times New Roman" w:cs="Times New Roman"/>
          <w:color w:val="000000"/>
        </w:rPr>
      </w:pPr>
      <w:r w:rsidRPr="008E0C6A">
        <w:rPr>
          <w:rFonts w:ascii="Times New Roman" w:eastAsia="Times New Roman" w:hAnsi="Times New Roman" w:cs="Times New Roman"/>
          <w:color w:val="000000"/>
        </w:rPr>
        <w:t xml:space="preserve">G. L. Plitt, </w:t>
      </w:r>
      <w:r w:rsidRPr="008E0C6A">
        <w:rPr>
          <w:rFonts w:ascii="Times New Roman" w:eastAsia="Times New Roman" w:hAnsi="Times New Roman" w:cs="Times New Roman"/>
          <w:i/>
          <w:color w:val="000000"/>
        </w:rPr>
        <w:t>Zweiter Band</w:t>
      </w:r>
      <w:r w:rsidRPr="008E0C6A">
        <w:rPr>
          <w:rFonts w:ascii="Times New Roman" w:eastAsia="Times New Roman" w:hAnsi="Times New Roman" w:cs="Times New Roman"/>
          <w:color w:val="000000"/>
        </w:rPr>
        <w:t xml:space="preserve"> </w:t>
      </w:r>
      <w:r w:rsidRPr="008E0C6A">
        <w:rPr>
          <w:rFonts w:ascii="Times New Roman" w:eastAsia="Times New Roman" w:hAnsi="Times New Roman" w:cs="Times New Roman"/>
          <w:i/>
          <w:color w:val="000000"/>
        </w:rPr>
        <w:t>1803-1820</w:t>
      </w:r>
      <w:r w:rsidRPr="008E0C6A">
        <w:rPr>
          <w:rFonts w:ascii="Times New Roman" w:eastAsia="Times New Roman" w:hAnsi="Times New Roman" w:cs="Times New Roman"/>
          <w:color w:val="000000"/>
        </w:rPr>
        <w:t>, Verlag von S. Hirzel, Leipzig 1870.</w:t>
      </w:r>
    </w:p>
    <w:p w14:paraId="070BA224" w14:textId="77777777" w:rsidR="00276556" w:rsidRPr="008E0C6A" w:rsidRDefault="00276556" w:rsidP="006B16F8">
      <w:pPr>
        <w:spacing w:line="360" w:lineRule="auto"/>
        <w:jc w:val="both"/>
        <w:rPr>
          <w:rFonts w:ascii="Times New Roman" w:eastAsia="Times New Roman" w:hAnsi="Times New Roman" w:cs="Times New Roman"/>
          <w:color w:val="000000"/>
        </w:rPr>
      </w:pPr>
    </w:p>
    <w:p w14:paraId="6457FBB1" w14:textId="0A8B199B" w:rsidR="00276556" w:rsidRPr="008E0C6A" w:rsidRDefault="00276556" w:rsidP="006B16F8">
      <w:pPr>
        <w:spacing w:line="360" w:lineRule="auto"/>
        <w:jc w:val="both"/>
        <w:rPr>
          <w:rFonts w:ascii="Times New Roman" w:eastAsia="Times New Roman" w:hAnsi="Times New Roman" w:cs="Times New Roman"/>
          <w:color w:val="000000"/>
          <w:lang w:val="de-DE"/>
        </w:rPr>
      </w:pPr>
      <w:r w:rsidRPr="008E0C6A">
        <w:rPr>
          <w:rFonts w:ascii="Times New Roman" w:hAnsi="Times New Roman" w:cs="Times New Roman"/>
        </w:rPr>
        <w:t xml:space="preserve">O. Pöggler, </w:t>
      </w:r>
      <w:r w:rsidR="00C473F2">
        <w:rPr>
          <w:rFonts w:ascii="Times New Roman" w:hAnsi="Times New Roman" w:cs="Times New Roman"/>
          <w:i/>
        </w:rPr>
        <w:t>L’“</w:t>
      </w:r>
      <w:r w:rsidRPr="008E0C6A">
        <w:rPr>
          <w:rFonts w:ascii="Times New Roman" w:hAnsi="Times New Roman" w:cs="Times New Roman"/>
          <w:i/>
        </w:rPr>
        <w:t>Esprit du Christianisme” de Hegel</w:t>
      </w:r>
      <w:r w:rsidRPr="008E0C6A">
        <w:rPr>
          <w:rFonts w:ascii="Times New Roman" w:hAnsi="Times New Roman" w:cs="Times New Roman"/>
        </w:rPr>
        <w:t>, in «Archives de Philosophie</w:t>
      </w:r>
      <w:r w:rsidRPr="008E0C6A">
        <w:rPr>
          <w:rFonts w:ascii="Times New Roman" w:eastAsia="Times New Roman" w:hAnsi="Times New Roman" w:cs="Times New Roman"/>
          <w:color w:val="000000"/>
          <w:lang w:val="de-DE"/>
        </w:rPr>
        <w:t>», Vol. XXXIII, N. IV (1970), pp. 719-754.</w:t>
      </w:r>
    </w:p>
    <w:p w14:paraId="1E5FB37B" w14:textId="77777777" w:rsidR="00276556" w:rsidRPr="008E0C6A" w:rsidRDefault="00276556" w:rsidP="006B16F8">
      <w:pPr>
        <w:spacing w:line="360" w:lineRule="auto"/>
        <w:jc w:val="both"/>
        <w:rPr>
          <w:rFonts w:ascii="Times New Roman" w:eastAsia="Times New Roman" w:hAnsi="Times New Roman" w:cs="Times New Roman"/>
          <w:color w:val="000000"/>
          <w:lang w:val="de-DE"/>
        </w:rPr>
      </w:pPr>
    </w:p>
    <w:p w14:paraId="58754B07"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M. Quante, </w:t>
      </w:r>
      <w:r w:rsidRPr="008E0C6A">
        <w:rPr>
          <w:rFonts w:ascii="Times New Roman" w:hAnsi="Times New Roman" w:cs="Times New Roman"/>
          <w:i/>
        </w:rPr>
        <w:t>The Logic of Essence as Internal Reflection</w:t>
      </w:r>
      <w:r w:rsidRPr="008E0C6A">
        <w:rPr>
          <w:rFonts w:ascii="Times New Roman" w:hAnsi="Times New Roman" w:cs="Times New Roman"/>
        </w:rPr>
        <w:t xml:space="preserve">, in </w:t>
      </w:r>
      <w:r w:rsidRPr="008E0C6A">
        <w:rPr>
          <w:rFonts w:ascii="Times New Roman" w:hAnsi="Times New Roman" w:cs="Times New Roman"/>
          <w:i/>
        </w:rPr>
        <w:t>The Oxford Handbook of Hegel</w:t>
      </w:r>
      <w:r w:rsidRPr="008E0C6A">
        <w:rPr>
          <w:rFonts w:ascii="Times New Roman" w:hAnsi="Times New Roman" w:cs="Times New Roman"/>
        </w:rPr>
        <w:t>, cit., pp. 242-269.</w:t>
      </w:r>
    </w:p>
    <w:p w14:paraId="26CC211D" w14:textId="77777777" w:rsidR="00276556" w:rsidRPr="008E0C6A" w:rsidRDefault="00276556" w:rsidP="006B16F8">
      <w:pPr>
        <w:spacing w:line="360" w:lineRule="auto"/>
        <w:jc w:val="both"/>
        <w:rPr>
          <w:rFonts w:ascii="Times New Roman" w:eastAsia="Times New Roman" w:hAnsi="Times New Roman" w:cs="Times New Roman"/>
          <w:color w:val="000000"/>
        </w:rPr>
      </w:pPr>
    </w:p>
    <w:p w14:paraId="001F19A6"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A. Rotolo, </w:t>
      </w:r>
      <w:r w:rsidRPr="008E0C6A">
        <w:rPr>
          <w:rFonts w:ascii="Times New Roman" w:hAnsi="Times New Roman" w:cs="Times New Roman"/>
          <w:i/>
          <w:iCs/>
        </w:rPr>
        <w:t xml:space="preserve">Hegel interprete di Montesquieu. </w:t>
      </w:r>
      <w:r w:rsidRPr="008E0C6A">
        <w:rPr>
          <w:rFonts w:ascii="Times New Roman" w:hAnsi="Times New Roman" w:cs="Times New Roman"/>
          <w:i/>
        </w:rPr>
        <w:t>Geist der Gesetze</w:t>
      </w:r>
      <w:r w:rsidRPr="008E0C6A">
        <w:rPr>
          <w:rFonts w:ascii="Times New Roman" w:hAnsi="Times New Roman" w:cs="Times New Roman"/>
        </w:rPr>
        <w:t xml:space="preserve"> </w:t>
      </w:r>
      <w:r w:rsidRPr="008E0C6A">
        <w:rPr>
          <w:rFonts w:ascii="Times New Roman" w:hAnsi="Times New Roman" w:cs="Times New Roman"/>
          <w:i/>
          <w:iCs/>
        </w:rPr>
        <w:t xml:space="preserve">e dominio della politica, </w:t>
      </w:r>
      <w:r w:rsidRPr="008E0C6A">
        <w:rPr>
          <w:rFonts w:ascii="Times New Roman" w:hAnsi="Times New Roman" w:cs="Times New Roman"/>
        </w:rPr>
        <w:t xml:space="preserve">in D. de Felice (ed.), </w:t>
      </w:r>
      <w:r w:rsidRPr="008E0C6A">
        <w:rPr>
          <w:rFonts w:ascii="Times New Roman" w:hAnsi="Times New Roman" w:cs="Times New Roman"/>
          <w:i/>
          <w:iCs/>
        </w:rPr>
        <w:t>Montesquieu e i suoi interpreti</w:t>
      </w:r>
      <w:r w:rsidRPr="008E0C6A">
        <w:rPr>
          <w:rFonts w:ascii="Times New Roman" w:hAnsi="Times New Roman" w:cs="Times New Roman"/>
        </w:rPr>
        <w:t>, ETS, Pisa 2005.</w:t>
      </w:r>
    </w:p>
    <w:p w14:paraId="4427AD0D" w14:textId="77777777" w:rsidR="00276556" w:rsidRPr="008E0C6A" w:rsidRDefault="00276556" w:rsidP="006B16F8">
      <w:pPr>
        <w:spacing w:line="360" w:lineRule="auto"/>
        <w:jc w:val="both"/>
        <w:rPr>
          <w:rFonts w:ascii="Times New Roman" w:hAnsi="Times New Roman" w:cs="Times New Roman"/>
        </w:rPr>
      </w:pPr>
    </w:p>
    <w:p w14:paraId="4126AAF5"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J. Sallis, </w:t>
      </w:r>
      <w:r w:rsidRPr="008E0C6A">
        <w:rPr>
          <w:rFonts w:ascii="Times New Roman" w:hAnsi="Times New Roman" w:cs="Times New Roman"/>
          <w:i/>
        </w:rPr>
        <w:t>Hegel’s Concept of Presentation: Its Determination in the Preface to the Phenomenology of Spirit</w:t>
      </w:r>
      <w:r w:rsidRPr="008E0C6A">
        <w:rPr>
          <w:rFonts w:ascii="Times New Roman" w:hAnsi="Times New Roman" w:cs="Times New Roman"/>
        </w:rPr>
        <w:t xml:space="preserve">, in </w:t>
      </w:r>
      <w:r w:rsidRPr="008E0C6A">
        <w:rPr>
          <w:rFonts w:ascii="Times New Roman" w:hAnsi="Times New Roman" w:cs="Times New Roman"/>
          <w:i/>
        </w:rPr>
        <w:t>The Phenomenology of Spirit. Critical and Interpretative Essays</w:t>
      </w:r>
      <w:r w:rsidRPr="008E0C6A">
        <w:rPr>
          <w:rFonts w:ascii="Times New Roman" w:hAnsi="Times New Roman" w:cs="Times New Roman"/>
        </w:rPr>
        <w:t>, ed. by J. Stewart, State University of New York Press, Albany 1998, pp. 25-52.</w:t>
      </w:r>
    </w:p>
    <w:p w14:paraId="03795C10" w14:textId="77777777" w:rsidR="00276556" w:rsidRPr="008E0C6A" w:rsidRDefault="00276556" w:rsidP="006B16F8">
      <w:pPr>
        <w:spacing w:line="360" w:lineRule="auto"/>
        <w:jc w:val="both"/>
        <w:rPr>
          <w:rFonts w:ascii="Times New Roman" w:hAnsi="Times New Roman" w:cs="Times New Roman"/>
        </w:rPr>
      </w:pPr>
    </w:p>
    <w:p w14:paraId="61CD8A3B"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B. Sandkaulen, </w:t>
      </w:r>
      <w:r w:rsidRPr="008E0C6A">
        <w:rPr>
          <w:rFonts w:ascii="Times New Roman" w:hAnsi="Times New Roman" w:cs="Times New Roman"/>
          <w:i/>
        </w:rPr>
        <w:t>Grund und Ursache. Die Vernunftkritk Jacobis</w:t>
      </w:r>
      <w:r w:rsidRPr="008E0C6A">
        <w:rPr>
          <w:rFonts w:ascii="Times New Roman" w:hAnsi="Times New Roman" w:cs="Times New Roman"/>
        </w:rPr>
        <w:t>, Wilhelm Fink, München 2000.</w:t>
      </w:r>
    </w:p>
    <w:p w14:paraId="253CF105" w14:textId="77777777" w:rsidR="00276556" w:rsidRPr="008E0C6A" w:rsidRDefault="00276556" w:rsidP="006B16F8">
      <w:pPr>
        <w:spacing w:line="360" w:lineRule="auto"/>
        <w:jc w:val="both"/>
        <w:rPr>
          <w:rFonts w:ascii="Times New Roman" w:hAnsi="Times New Roman" w:cs="Times New Roman"/>
        </w:rPr>
      </w:pPr>
    </w:p>
    <w:p w14:paraId="2DF722C3" w14:textId="52A0C56E"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 </w:t>
      </w:r>
      <w:r w:rsidRPr="008E0C6A">
        <w:rPr>
          <w:rFonts w:ascii="Times New Roman" w:eastAsia="Times New Roman" w:hAnsi="Times New Roman" w:cs="Times New Roman"/>
          <w:i/>
          <w:color w:val="222222"/>
          <w:shd w:val="clear" w:color="auto" w:fill="FFFFFF"/>
        </w:rPr>
        <w:t>Die Ontologie der Substanz, der Begriff der Subjektivität und die Faktizität des Einzelnen. Hegels Widerlegung des Spinozanischen Metaphysik</w:t>
      </w:r>
      <w:r w:rsidRPr="008E0C6A">
        <w:rPr>
          <w:rFonts w:ascii="Times New Roman" w:eastAsia="Times New Roman" w:hAnsi="Times New Roman" w:cs="Times New Roman"/>
          <w:color w:val="222222"/>
          <w:shd w:val="clear" w:color="auto" w:fill="FFFFFF"/>
        </w:rPr>
        <w:t xml:space="preserve">, in </w:t>
      </w:r>
      <w:r w:rsidRPr="008E0C6A">
        <w:rPr>
          <w:rFonts w:ascii="Times New Roman" w:eastAsia="Times New Roman" w:hAnsi="Times New Roman" w:cs="Times New Roman"/>
          <w:i/>
          <w:color w:val="222222"/>
          <w:shd w:val="clear" w:color="auto" w:fill="FFFFFF"/>
        </w:rPr>
        <w:t>Internationales Jahrbuch des Deutschen Idealismus,</w:t>
      </w:r>
      <w:r w:rsidRPr="008E0C6A">
        <w:rPr>
          <w:rFonts w:ascii="Times New Roman" w:eastAsia="Times New Roman" w:hAnsi="Times New Roman" w:cs="Times New Roman"/>
          <w:color w:val="222222"/>
          <w:shd w:val="clear" w:color="auto" w:fill="FFFFFF"/>
        </w:rPr>
        <w:t xml:space="preserve"> hrsg. von D. Emundts und S. Sedgwick, Berlin, De Gruyter, 2007, pp. 235-275</w:t>
      </w:r>
      <w:r w:rsidR="003F6B27">
        <w:rPr>
          <w:rFonts w:ascii="Times New Roman" w:eastAsia="Times New Roman" w:hAnsi="Times New Roman" w:cs="Times New Roman"/>
          <w:color w:val="222222"/>
          <w:shd w:val="clear" w:color="auto" w:fill="FFFFFF"/>
        </w:rPr>
        <w:t>.</w:t>
      </w:r>
    </w:p>
    <w:p w14:paraId="7CFD536D" w14:textId="77777777" w:rsidR="00276556" w:rsidRPr="008E0C6A" w:rsidRDefault="00276556" w:rsidP="006B16F8">
      <w:pPr>
        <w:spacing w:line="360" w:lineRule="auto"/>
        <w:jc w:val="both"/>
        <w:rPr>
          <w:rFonts w:ascii="Times New Roman" w:hAnsi="Times New Roman" w:cs="Times New Roman"/>
        </w:rPr>
      </w:pPr>
    </w:p>
    <w:p w14:paraId="1D766C78"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R. Scheerlink, </w:t>
      </w:r>
      <w:r w:rsidRPr="008E0C6A">
        <w:rPr>
          <w:rFonts w:ascii="Times New Roman" w:hAnsi="Times New Roman" w:cs="Times New Roman"/>
          <w:i/>
        </w:rPr>
        <w:t>«Philosophie und Religion</w:t>
      </w:r>
      <w:r w:rsidRPr="008E0C6A">
        <w:rPr>
          <w:rFonts w:ascii="Times New Roman" w:eastAsia="Times New Roman" w:hAnsi="Times New Roman" w:cs="Times New Roman"/>
          <w:i/>
          <w:color w:val="000000"/>
        </w:rPr>
        <w:t>». Schellings politische Philosophie</w:t>
      </w:r>
      <w:r w:rsidRPr="008E0C6A">
        <w:rPr>
          <w:rFonts w:ascii="Times New Roman" w:eastAsia="Times New Roman" w:hAnsi="Times New Roman" w:cs="Times New Roman"/>
          <w:color w:val="000000"/>
        </w:rPr>
        <w:t>, Karl Aber, Freiburg/München 2017.</w:t>
      </w:r>
    </w:p>
    <w:p w14:paraId="632BF269" w14:textId="77777777" w:rsidR="00276556" w:rsidRPr="008E0C6A" w:rsidRDefault="00276556" w:rsidP="006B16F8">
      <w:pPr>
        <w:spacing w:line="360" w:lineRule="auto"/>
        <w:jc w:val="both"/>
        <w:rPr>
          <w:rFonts w:ascii="Times New Roman" w:hAnsi="Times New Roman" w:cs="Times New Roman"/>
        </w:rPr>
      </w:pPr>
    </w:p>
    <w:p w14:paraId="27FF968A"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J. Schmidt, </w:t>
      </w:r>
      <w:r w:rsidRPr="008E0C6A">
        <w:rPr>
          <w:rFonts w:ascii="Times New Roman" w:hAnsi="Times New Roman" w:cs="Times New Roman"/>
          <w:i/>
        </w:rPr>
        <w:t>“Geist”, “Religion” und “absolutes Wissen”. Ein Kommentar zu den drei gleichnamigen Kapiteln aus Hegels Phänomenologie des Geistes</w:t>
      </w:r>
      <w:r w:rsidRPr="008E0C6A">
        <w:rPr>
          <w:rFonts w:ascii="Times New Roman" w:hAnsi="Times New Roman" w:cs="Times New Roman"/>
        </w:rPr>
        <w:t>, Kohlhammer Verlag, Stuttgart 1997.</w:t>
      </w:r>
    </w:p>
    <w:p w14:paraId="133EF14B" w14:textId="77777777" w:rsidR="00276556" w:rsidRPr="008E0C6A" w:rsidRDefault="00276556" w:rsidP="006B16F8">
      <w:pPr>
        <w:spacing w:line="360" w:lineRule="auto"/>
        <w:jc w:val="both"/>
        <w:rPr>
          <w:rFonts w:ascii="Times New Roman" w:hAnsi="Times New Roman" w:cs="Times New Roman"/>
        </w:rPr>
      </w:pPr>
    </w:p>
    <w:p w14:paraId="70BB96D2" w14:textId="7CC2E812" w:rsidR="00276556" w:rsidRPr="008E0C6A" w:rsidRDefault="00276556" w:rsidP="006B16F8">
      <w:pPr>
        <w:spacing w:line="360" w:lineRule="auto"/>
        <w:jc w:val="both"/>
        <w:rPr>
          <w:rFonts w:ascii="Times New Roman" w:hAnsi="Times New Roman" w:cs="Times New Roman"/>
          <w:lang w:val="de-DE"/>
        </w:rPr>
      </w:pPr>
      <w:r w:rsidRPr="008E0C6A">
        <w:rPr>
          <w:rFonts w:ascii="Times New Roman" w:hAnsi="Times New Roman" w:cs="Times New Roman"/>
        </w:rPr>
        <w:t>W. Schmidt-Big</w:t>
      </w:r>
      <w:r w:rsidR="000B39F9">
        <w:rPr>
          <w:rFonts w:ascii="Times New Roman" w:hAnsi="Times New Roman" w:cs="Times New Roman"/>
        </w:rPr>
        <w:t>g</w:t>
      </w:r>
      <w:r w:rsidRPr="008E0C6A">
        <w:rPr>
          <w:rFonts w:ascii="Times New Roman" w:hAnsi="Times New Roman" w:cs="Times New Roman"/>
        </w:rPr>
        <w:t xml:space="preserve">emann, </w:t>
      </w:r>
      <w:r w:rsidRPr="008E0C6A">
        <w:rPr>
          <w:rFonts w:ascii="Times New Roman" w:hAnsi="Times New Roman" w:cs="Times New Roman"/>
          <w:i/>
          <w:lang w:val="de-DE"/>
        </w:rPr>
        <w:t xml:space="preserve">Geschichte der christlichen Kabbala, </w:t>
      </w:r>
      <w:r w:rsidRPr="008E0C6A">
        <w:rPr>
          <w:rFonts w:ascii="Times New Roman" w:hAnsi="Times New Roman" w:cs="Times New Roman"/>
          <w:lang w:val="de-DE"/>
        </w:rPr>
        <w:t>Bd. I, Frommann-Holzboog, Stuttgart 2011</w:t>
      </w:r>
      <w:r w:rsidR="003F6B27">
        <w:rPr>
          <w:rFonts w:ascii="Times New Roman" w:hAnsi="Times New Roman" w:cs="Times New Roman"/>
          <w:lang w:val="de-DE"/>
        </w:rPr>
        <w:t>.</w:t>
      </w:r>
    </w:p>
    <w:p w14:paraId="6795E88D" w14:textId="77777777" w:rsidR="00276556" w:rsidRPr="008E0C6A" w:rsidRDefault="00276556" w:rsidP="006B16F8">
      <w:pPr>
        <w:spacing w:line="360" w:lineRule="auto"/>
        <w:jc w:val="both"/>
        <w:rPr>
          <w:rFonts w:ascii="Times New Roman" w:hAnsi="Times New Roman" w:cs="Times New Roman"/>
          <w:lang w:val="de-DE"/>
        </w:rPr>
      </w:pPr>
    </w:p>
    <w:p w14:paraId="7D076992" w14:textId="77777777" w:rsidR="00276556" w:rsidRPr="008E0C6A" w:rsidRDefault="00276556" w:rsidP="006B16F8">
      <w:pPr>
        <w:spacing w:line="360" w:lineRule="auto"/>
        <w:jc w:val="both"/>
        <w:rPr>
          <w:rFonts w:ascii="Times New Roman" w:hAnsi="Times New Roman" w:cs="Times New Roman"/>
          <w:lang w:val="de-DE"/>
        </w:rPr>
      </w:pPr>
      <w:r w:rsidRPr="008E0C6A">
        <w:rPr>
          <w:rFonts w:ascii="Times New Roman" w:hAnsi="Times New Roman" w:cs="Times New Roman"/>
          <w:lang w:val="de-DE"/>
        </w:rPr>
        <w:t>-</w:t>
      </w:r>
      <w:r w:rsidRPr="008E0C6A">
        <w:rPr>
          <w:rFonts w:ascii="Times New Roman" w:hAnsi="Times New Roman" w:cs="Times New Roman"/>
        </w:rPr>
        <w:t xml:space="preserve"> </w:t>
      </w:r>
      <w:r w:rsidRPr="008E0C6A">
        <w:rPr>
          <w:rFonts w:ascii="Times New Roman" w:hAnsi="Times New Roman" w:cs="Times New Roman"/>
          <w:i/>
          <w:lang w:val="de-DE"/>
        </w:rPr>
        <w:t xml:space="preserve">Geschichte der christlichen Kabbala, </w:t>
      </w:r>
      <w:r w:rsidRPr="008E0C6A">
        <w:rPr>
          <w:rFonts w:ascii="Times New Roman" w:hAnsi="Times New Roman" w:cs="Times New Roman"/>
          <w:lang w:val="de-DE"/>
        </w:rPr>
        <w:t>Bd. II, Frommann-Holzboog Verlag, Stuttgart 2013.</w:t>
      </w:r>
    </w:p>
    <w:p w14:paraId="206A0C03" w14:textId="77777777" w:rsidR="00276556" w:rsidRPr="008E0C6A" w:rsidRDefault="00276556" w:rsidP="006B16F8">
      <w:pPr>
        <w:spacing w:line="360" w:lineRule="auto"/>
        <w:jc w:val="both"/>
        <w:rPr>
          <w:rFonts w:ascii="Times New Roman" w:hAnsi="Times New Roman" w:cs="Times New Roman"/>
          <w:lang w:val="de-DE"/>
        </w:rPr>
      </w:pPr>
    </w:p>
    <w:p w14:paraId="1F5BA03D" w14:textId="5C4DF5F2" w:rsidR="00276556" w:rsidRPr="008E0C6A" w:rsidRDefault="00276556" w:rsidP="006B16F8">
      <w:pPr>
        <w:spacing w:line="360" w:lineRule="auto"/>
        <w:jc w:val="both"/>
        <w:rPr>
          <w:rFonts w:ascii="Times New Roman" w:hAnsi="Times New Roman" w:cs="Times New Roman"/>
          <w:lang w:val="de-DE"/>
        </w:rPr>
      </w:pPr>
      <w:r w:rsidRPr="008E0C6A">
        <w:rPr>
          <w:rFonts w:ascii="Times New Roman" w:hAnsi="Times New Roman" w:cs="Times New Roman"/>
          <w:lang w:val="de-DE"/>
        </w:rPr>
        <w:t xml:space="preserve">- </w:t>
      </w:r>
      <w:r w:rsidRPr="008E0C6A">
        <w:rPr>
          <w:rFonts w:ascii="Times New Roman" w:hAnsi="Times New Roman" w:cs="Times New Roman"/>
          <w:i/>
          <w:lang w:val="de-DE"/>
        </w:rPr>
        <w:t xml:space="preserve">Geschichte der christlichen Kabbala, </w:t>
      </w:r>
      <w:r w:rsidRPr="008E0C6A">
        <w:rPr>
          <w:rFonts w:ascii="Times New Roman" w:hAnsi="Times New Roman" w:cs="Times New Roman"/>
          <w:lang w:val="de-DE"/>
        </w:rPr>
        <w:t>Bd. III, Frommann-Holzboog, Stuttgart 2013</w:t>
      </w:r>
      <w:r w:rsidR="003F6B27">
        <w:rPr>
          <w:rFonts w:ascii="Times New Roman" w:hAnsi="Times New Roman" w:cs="Times New Roman"/>
          <w:lang w:val="de-DE"/>
        </w:rPr>
        <w:t>.</w:t>
      </w:r>
    </w:p>
    <w:p w14:paraId="191F1323" w14:textId="77777777" w:rsidR="00276556" w:rsidRPr="008E0C6A" w:rsidRDefault="00276556" w:rsidP="006B16F8">
      <w:pPr>
        <w:spacing w:line="360" w:lineRule="auto"/>
        <w:jc w:val="both"/>
        <w:rPr>
          <w:rFonts w:ascii="Times New Roman" w:hAnsi="Times New Roman" w:cs="Times New Roman"/>
          <w:lang w:val="de-DE"/>
        </w:rPr>
      </w:pPr>
    </w:p>
    <w:p w14:paraId="582DEA6C"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H. Schneider (hrsg</w:t>
      </w:r>
      <w:r w:rsidRPr="00B07100">
        <w:rPr>
          <w:rFonts w:ascii="Times New Roman" w:hAnsi="Times New Roman" w:cs="Times New Roman"/>
        </w:rPr>
        <w:t xml:space="preserve">.), </w:t>
      </w:r>
      <w:r w:rsidRPr="00B07100">
        <w:rPr>
          <w:rFonts w:ascii="Times New Roman" w:hAnsi="Times New Roman" w:cs="Times New Roman"/>
          <w:i/>
          <w:lang w:val="de-DE"/>
        </w:rPr>
        <w:t>Hegels Bibliothek. Der Versteigerungskatalog</w:t>
      </w:r>
      <w:r w:rsidRPr="00B07100">
        <w:rPr>
          <w:rFonts w:ascii="Times New Roman" w:hAnsi="Times New Roman" w:cs="Times New Roman"/>
          <w:i/>
        </w:rPr>
        <w:t xml:space="preserve"> von 1832</w:t>
      </w:r>
      <w:r w:rsidRPr="00B07100">
        <w:rPr>
          <w:rFonts w:ascii="Times New Roman" w:hAnsi="Times New Roman" w:cs="Times New Roman"/>
        </w:rPr>
        <w:t>, in «Jahrbuch für Hegelforschung», Bd. 12-14 (2006/2009), pp. 69-147.</w:t>
      </w:r>
    </w:p>
    <w:p w14:paraId="748720BA" w14:textId="77777777" w:rsidR="00276556" w:rsidRPr="008E0C6A" w:rsidRDefault="00276556" w:rsidP="006B16F8">
      <w:pPr>
        <w:spacing w:line="360" w:lineRule="auto"/>
        <w:jc w:val="both"/>
        <w:rPr>
          <w:rFonts w:ascii="Times New Roman" w:hAnsi="Times New Roman" w:cs="Times New Roman"/>
        </w:rPr>
      </w:pPr>
    </w:p>
    <w:p w14:paraId="7EFF6432"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 </w:t>
      </w:r>
      <w:r w:rsidRPr="008E0C6A">
        <w:rPr>
          <w:rFonts w:ascii="Times New Roman" w:hAnsi="Times New Roman" w:cs="Times New Roman"/>
          <w:i/>
        </w:rPr>
        <w:t>Anfänge der Systementwicklung Hegels in Jena</w:t>
      </w:r>
      <w:r w:rsidRPr="008E0C6A">
        <w:rPr>
          <w:rFonts w:ascii="Times New Roman" w:hAnsi="Times New Roman" w:cs="Times New Roman"/>
        </w:rPr>
        <w:t>, in «Hegel Studien</w:t>
      </w:r>
      <w:r w:rsidRPr="008E0C6A">
        <w:rPr>
          <w:rFonts w:ascii="Times New Roman" w:eastAsia="Times New Roman" w:hAnsi="Times New Roman" w:cs="Times New Roman"/>
          <w:color w:val="000000"/>
        </w:rPr>
        <w:t>», Bd. X (1975), pp. 133-173.</w:t>
      </w:r>
    </w:p>
    <w:p w14:paraId="26B3D045" w14:textId="77777777" w:rsidR="00276556" w:rsidRPr="008E0C6A" w:rsidRDefault="00276556" w:rsidP="006B16F8">
      <w:pPr>
        <w:spacing w:line="360" w:lineRule="auto"/>
        <w:jc w:val="both"/>
        <w:rPr>
          <w:rFonts w:ascii="Times New Roman" w:hAnsi="Times New Roman" w:cs="Times New Roman"/>
        </w:rPr>
      </w:pPr>
    </w:p>
    <w:p w14:paraId="5B49B584"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G. Scholem, </w:t>
      </w:r>
      <w:r w:rsidRPr="008E0C6A">
        <w:rPr>
          <w:rFonts w:ascii="Times New Roman" w:hAnsi="Times New Roman" w:cs="Times New Roman"/>
          <w:i/>
        </w:rPr>
        <w:t>Ursprung und Anfänge der Kabbala</w:t>
      </w:r>
      <w:r w:rsidRPr="008E0C6A">
        <w:rPr>
          <w:rFonts w:ascii="Times New Roman" w:hAnsi="Times New Roman" w:cs="Times New Roman"/>
        </w:rPr>
        <w:t>, De Gruyter, Berlin 1962.</w:t>
      </w:r>
    </w:p>
    <w:p w14:paraId="35C5699D" w14:textId="77777777" w:rsidR="00276556" w:rsidRPr="008E0C6A" w:rsidRDefault="00276556" w:rsidP="006B16F8">
      <w:pPr>
        <w:spacing w:line="360" w:lineRule="auto"/>
        <w:jc w:val="both"/>
        <w:rPr>
          <w:rFonts w:ascii="Times New Roman" w:hAnsi="Times New Roman" w:cs="Times New Roman"/>
        </w:rPr>
      </w:pPr>
    </w:p>
    <w:p w14:paraId="71716BA6" w14:textId="35E1250C"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i/>
        </w:rPr>
        <w:t>- Kabbalah,</w:t>
      </w:r>
      <w:r w:rsidRPr="008E0C6A">
        <w:rPr>
          <w:rFonts w:ascii="Times New Roman" w:hAnsi="Times New Roman" w:cs="Times New Roman"/>
        </w:rPr>
        <w:t xml:space="preserve"> Keter Publishing House, Jerusalem 1974</w:t>
      </w:r>
      <w:r w:rsidR="003F6B27">
        <w:rPr>
          <w:rFonts w:ascii="Times New Roman" w:hAnsi="Times New Roman" w:cs="Times New Roman"/>
        </w:rPr>
        <w:t>.</w:t>
      </w:r>
    </w:p>
    <w:p w14:paraId="273BA150" w14:textId="77777777" w:rsidR="00276556" w:rsidRPr="008E0C6A" w:rsidRDefault="00276556" w:rsidP="006B16F8">
      <w:pPr>
        <w:spacing w:line="360" w:lineRule="auto"/>
        <w:rPr>
          <w:rFonts w:ascii="Times New Roman" w:hAnsi="Times New Roman" w:cs="Times New Roman"/>
        </w:rPr>
      </w:pPr>
    </w:p>
    <w:p w14:paraId="35A84405" w14:textId="77777777" w:rsidR="00276556" w:rsidRPr="008E0C6A" w:rsidRDefault="00276556" w:rsidP="006B16F8">
      <w:pPr>
        <w:spacing w:line="360" w:lineRule="auto"/>
        <w:jc w:val="both"/>
        <w:rPr>
          <w:rFonts w:ascii="Times New Roman" w:hAnsi="Times New Roman" w:cs="Times New Roman"/>
          <w:lang w:val="fr-CA"/>
        </w:rPr>
      </w:pPr>
      <w:r w:rsidRPr="008E0C6A">
        <w:rPr>
          <w:rFonts w:ascii="Times New Roman" w:hAnsi="Times New Roman" w:cs="Times New Roman"/>
          <w:i/>
          <w:lang w:val="de-DE"/>
        </w:rPr>
        <w:t>-</w:t>
      </w:r>
      <w:r w:rsidRPr="008E0C6A">
        <w:rPr>
          <w:rFonts w:ascii="Times New Roman" w:hAnsi="Times New Roman" w:cs="Times New Roman"/>
          <w:i/>
          <w:lang w:val="fr-FR"/>
        </w:rPr>
        <w:t xml:space="preserve"> Considérations sur l’histoire des débuts de la Kabbale chrétienne</w:t>
      </w:r>
      <w:r w:rsidRPr="008E0C6A">
        <w:rPr>
          <w:rFonts w:ascii="Times New Roman" w:hAnsi="Times New Roman" w:cs="Times New Roman"/>
          <w:lang w:val="fr-FR"/>
        </w:rPr>
        <w:t>,</w:t>
      </w:r>
      <w:r w:rsidRPr="008E0C6A">
        <w:rPr>
          <w:rFonts w:ascii="Times New Roman" w:hAnsi="Times New Roman" w:cs="Times New Roman"/>
          <w:lang w:val="de-DE"/>
        </w:rPr>
        <w:t xml:space="preserve"> in</w:t>
      </w:r>
      <w:r w:rsidRPr="008E0C6A">
        <w:rPr>
          <w:rFonts w:ascii="Times New Roman" w:hAnsi="Times New Roman" w:cs="Times New Roman"/>
          <w:lang w:val="fr-CA"/>
        </w:rPr>
        <w:t xml:space="preserve"> «Cahiers de l’Hermétisme», cit., pp. 17-49.</w:t>
      </w:r>
    </w:p>
    <w:p w14:paraId="13463203" w14:textId="77777777" w:rsidR="00276556" w:rsidRPr="008E0C6A" w:rsidRDefault="00276556" w:rsidP="006B16F8">
      <w:pPr>
        <w:spacing w:line="360" w:lineRule="auto"/>
        <w:rPr>
          <w:rFonts w:ascii="Times New Roman" w:hAnsi="Times New Roman" w:cs="Times New Roman"/>
        </w:rPr>
      </w:pPr>
    </w:p>
    <w:p w14:paraId="06F9476E"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 </w:t>
      </w:r>
      <w:r w:rsidRPr="008E0C6A">
        <w:rPr>
          <w:rFonts w:ascii="Times New Roman" w:hAnsi="Times New Roman" w:cs="Times New Roman"/>
          <w:i/>
        </w:rPr>
        <w:t>Die jüdische Mystik in ihren Hauptströmungen</w:t>
      </w:r>
      <w:r w:rsidRPr="008E0C6A">
        <w:rPr>
          <w:rFonts w:ascii="Times New Roman" w:hAnsi="Times New Roman" w:cs="Times New Roman"/>
        </w:rPr>
        <w:t>, Suhrkamp, Frankfurt am Main 1980.</w:t>
      </w:r>
    </w:p>
    <w:p w14:paraId="2435EC21" w14:textId="77777777" w:rsidR="00276556" w:rsidRPr="008E0C6A" w:rsidRDefault="00276556" w:rsidP="006B16F8">
      <w:pPr>
        <w:spacing w:line="360" w:lineRule="auto"/>
        <w:jc w:val="both"/>
        <w:rPr>
          <w:rFonts w:ascii="Times New Roman" w:hAnsi="Times New Roman" w:cs="Times New Roman"/>
        </w:rPr>
      </w:pPr>
    </w:p>
    <w:p w14:paraId="43B06510" w14:textId="195718ED"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 </w:t>
      </w:r>
      <w:r w:rsidRPr="008E0C6A">
        <w:rPr>
          <w:rFonts w:ascii="Times New Roman" w:hAnsi="Times New Roman" w:cs="Times New Roman"/>
          <w:i/>
        </w:rPr>
        <w:t>Die Wachtersche Kontroverse über den Spinozismus und ihre Folgen</w:t>
      </w:r>
      <w:r w:rsidRPr="008E0C6A">
        <w:rPr>
          <w:rFonts w:ascii="Times New Roman" w:hAnsi="Times New Roman" w:cs="Times New Roman"/>
        </w:rPr>
        <w:t xml:space="preserve">, in </w:t>
      </w:r>
      <w:r w:rsidRPr="008E0C6A">
        <w:rPr>
          <w:rFonts w:ascii="Times New Roman" w:hAnsi="Times New Roman" w:cs="Times New Roman"/>
          <w:i/>
        </w:rPr>
        <w:t>Spinoza in der Frühzeit seiner religiösen Wirkung</w:t>
      </w:r>
      <w:r w:rsidRPr="008E0C6A">
        <w:rPr>
          <w:rFonts w:ascii="Times New Roman" w:hAnsi="Times New Roman" w:cs="Times New Roman"/>
        </w:rPr>
        <w:t>, hrsg. von K. Gründer und W. Schmidt-Biggemann, Lambert Schneider, Heidelberg, 1984, pp.15-25</w:t>
      </w:r>
      <w:r w:rsidR="003F6B27">
        <w:rPr>
          <w:rFonts w:ascii="Times New Roman" w:hAnsi="Times New Roman" w:cs="Times New Roman"/>
        </w:rPr>
        <w:t>.</w:t>
      </w:r>
    </w:p>
    <w:p w14:paraId="6121DDB1" w14:textId="77777777" w:rsidR="00276556" w:rsidRPr="008E0C6A" w:rsidRDefault="00276556" w:rsidP="006B16F8">
      <w:pPr>
        <w:spacing w:line="360" w:lineRule="auto"/>
        <w:jc w:val="both"/>
        <w:rPr>
          <w:rFonts w:ascii="Times New Roman" w:hAnsi="Times New Roman" w:cs="Times New Roman"/>
        </w:rPr>
      </w:pPr>
    </w:p>
    <w:p w14:paraId="6B42C90F"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 </w:t>
      </w:r>
      <w:r w:rsidRPr="008E0C6A">
        <w:rPr>
          <w:rFonts w:ascii="Times New Roman" w:hAnsi="Times New Roman" w:cs="Times New Roman"/>
          <w:i/>
        </w:rPr>
        <w:t>Spinoza in der deutschen Frühaufklärung</w:t>
      </w:r>
      <w:r w:rsidRPr="008E0C6A">
        <w:rPr>
          <w:rFonts w:ascii="Times New Roman" w:hAnsi="Times New Roman" w:cs="Times New Roman"/>
        </w:rPr>
        <w:t>, Königshausen &amp; Neumann Verlag, Würzburg, 1987.</w:t>
      </w:r>
    </w:p>
    <w:p w14:paraId="7C2824A7" w14:textId="77777777" w:rsidR="00276556" w:rsidRPr="008E0C6A" w:rsidRDefault="00276556" w:rsidP="006B16F8">
      <w:pPr>
        <w:spacing w:line="360" w:lineRule="auto"/>
        <w:jc w:val="both"/>
        <w:rPr>
          <w:rFonts w:ascii="Times New Roman" w:hAnsi="Times New Roman" w:cs="Times New Roman"/>
        </w:rPr>
      </w:pPr>
    </w:p>
    <w:p w14:paraId="2B132390"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W. Schröder, “</w:t>
      </w:r>
      <w:r w:rsidRPr="008E0C6A">
        <w:rPr>
          <w:rFonts w:ascii="Times New Roman" w:hAnsi="Times New Roman" w:cs="Times New Roman"/>
          <w:i/>
        </w:rPr>
        <w:t>Die ungereimste Meinung, die jemals von Menschen ersonnen worden” – Spinozismus in der deutschen Frühaufklärung?</w:t>
      </w:r>
      <w:r w:rsidRPr="008E0C6A">
        <w:rPr>
          <w:rFonts w:ascii="Times New Roman" w:hAnsi="Times New Roman" w:cs="Times New Roman"/>
        </w:rPr>
        <w:t xml:space="preserve">, in </w:t>
      </w:r>
      <w:r w:rsidRPr="008E0C6A">
        <w:rPr>
          <w:rFonts w:ascii="Times New Roman" w:hAnsi="Times New Roman" w:cs="Times New Roman"/>
          <w:i/>
        </w:rPr>
        <w:t>Spinoza im 18. Jahrhundert</w:t>
      </w:r>
      <w:r w:rsidRPr="008E0C6A">
        <w:rPr>
          <w:rFonts w:ascii="Times New Roman" w:hAnsi="Times New Roman" w:cs="Times New Roman"/>
        </w:rPr>
        <w:t>, hrsg. von E. Schürmann, N. Waszek und F. Weinreich, Friedrich Fromman Verlag, Stuttgart, 2002.</w:t>
      </w:r>
    </w:p>
    <w:p w14:paraId="18481FC2" w14:textId="77777777" w:rsidR="00276556" w:rsidRPr="008E0C6A" w:rsidRDefault="00276556" w:rsidP="006B16F8">
      <w:pPr>
        <w:spacing w:line="360" w:lineRule="auto"/>
        <w:jc w:val="both"/>
        <w:rPr>
          <w:rFonts w:ascii="Times New Roman" w:hAnsi="Times New Roman" w:cs="Times New Roman"/>
        </w:rPr>
      </w:pPr>
    </w:p>
    <w:p w14:paraId="21F72427" w14:textId="77777777" w:rsidR="00276556"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J. Schulitz, </w:t>
      </w:r>
      <w:r w:rsidRPr="008E0C6A">
        <w:rPr>
          <w:rFonts w:ascii="Times New Roman" w:hAnsi="Times New Roman" w:cs="Times New Roman"/>
          <w:i/>
        </w:rPr>
        <w:t>Jakob Böhme und die Kabbalah</w:t>
      </w:r>
      <w:r w:rsidRPr="008E0C6A">
        <w:rPr>
          <w:rFonts w:ascii="Times New Roman" w:hAnsi="Times New Roman" w:cs="Times New Roman"/>
        </w:rPr>
        <w:t>, Peter Lang, Frankfurt am Maim 1993.</w:t>
      </w:r>
    </w:p>
    <w:p w14:paraId="012DBBE9" w14:textId="77777777" w:rsidR="0012167E" w:rsidRPr="008E0C6A" w:rsidRDefault="0012167E" w:rsidP="006B16F8">
      <w:pPr>
        <w:spacing w:line="360" w:lineRule="auto"/>
        <w:jc w:val="both"/>
        <w:rPr>
          <w:rFonts w:ascii="Times New Roman" w:hAnsi="Times New Roman" w:cs="Times New Roman"/>
        </w:rPr>
      </w:pPr>
    </w:p>
    <w:p w14:paraId="2132BB5F" w14:textId="40198355" w:rsidR="00276556" w:rsidRPr="0012167E" w:rsidRDefault="0012167E" w:rsidP="006B16F8">
      <w:pPr>
        <w:spacing w:line="360" w:lineRule="auto"/>
        <w:jc w:val="both"/>
        <w:rPr>
          <w:rFonts w:ascii="Times New Roman" w:hAnsi="Times New Roman" w:cs="Times New Roman"/>
        </w:rPr>
      </w:pPr>
      <w:r w:rsidRPr="0012167E">
        <w:rPr>
          <w:rFonts w:ascii="Times New Roman" w:hAnsi="Times New Roman" w:cs="Times New Roman"/>
        </w:rPr>
        <w:t xml:space="preserve">C. Schulte, </w:t>
      </w:r>
      <w:r w:rsidRPr="0012167E">
        <w:rPr>
          <w:rFonts w:ascii="Times New Roman" w:hAnsi="Times New Roman" w:cs="Times New Roman"/>
          <w:i/>
        </w:rPr>
        <w:t>Zimzum bei Schelling</w:t>
      </w:r>
      <w:r w:rsidRPr="0012167E">
        <w:rPr>
          <w:rFonts w:ascii="Times New Roman" w:hAnsi="Times New Roman" w:cs="Times New Roman"/>
        </w:rPr>
        <w:t xml:space="preserve">, in </w:t>
      </w:r>
      <w:r w:rsidRPr="0012167E">
        <w:rPr>
          <w:rFonts w:ascii="Times New Roman" w:hAnsi="Times New Roman" w:cs="Times New Roman"/>
          <w:i/>
        </w:rPr>
        <w:t>Kabbala und Romantik</w:t>
      </w:r>
      <w:r w:rsidRPr="0012167E">
        <w:rPr>
          <w:rFonts w:ascii="Times New Roman" w:hAnsi="Times New Roman" w:cs="Times New Roman"/>
        </w:rPr>
        <w:t>, hrsg. von E. Goodman-Thau, G. Mattenklott und C. Schulte, Max Niemeyer Verlag, Tübingen 1994, pp. 97-119</w:t>
      </w:r>
      <w:r>
        <w:rPr>
          <w:rFonts w:ascii="Times New Roman" w:hAnsi="Times New Roman" w:cs="Times New Roman"/>
        </w:rPr>
        <w:t>.</w:t>
      </w:r>
    </w:p>
    <w:p w14:paraId="528E81E1" w14:textId="77777777" w:rsidR="0012167E" w:rsidRPr="008E0C6A" w:rsidRDefault="0012167E" w:rsidP="006B16F8">
      <w:pPr>
        <w:spacing w:line="360" w:lineRule="auto"/>
        <w:jc w:val="both"/>
        <w:rPr>
          <w:rFonts w:ascii="Times New Roman" w:hAnsi="Times New Roman" w:cs="Times New Roman"/>
        </w:rPr>
      </w:pPr>
    </w:p>
    <w:p w14:paraId="324ADEC4" w14:textId="2D445E17" w:rsidR="00276556" w:rsidRPr="008E0C6A" w:rsidRDefault="0012167E" w:rsidP="006B16F8">
      <w:pPr>
        <w:spacing w:line="360" w:lineRule="auto"/>
        <w:jc w:val="both"/>
        <w:rPr>
          <w:rFonts w:ascii="Times New Roman" w:hAnsi="Times New Roman" w:cs="Times New Roman"/>
        </w:rPr>
      </w:pPr>
      <w:r>
        <w:rPr>
          <w:rFonts w:ascii="Times New Roman" w:hAnsi="Times New Roman" w:cs="Times New Roman"/>
        </w:rPr>
        <w:t>-</w:t>
      </w:r>
      <w:r w:rsidR="00276556" w:rsidRPr="008E0C6A">
        <w:rPr>
          <w:rFonts w:ascii="Times New Roman" w:hAnsi="Times New Roman" w:cs="Times New Roman"/>
        </w:rPr>
        <w:t xml:space="preserve"> </w:t>
      </w:r>
      <w:r w:rsidR="00276556" w:rsidRPr="008E0C6A">
        <w:rPr>
          <w:rFonts w:ascii="Times New Roman" w:hAnsi="Times New Roman" w:cs="Times New Roman"/>
          <w:i/>
        </w:rPr>
        <w:t>Kabbala-Rezeption in der Deutschen Romantik</w:t>
      </w:r>
      <w:r w:rsidR="00276556" w:rsidRPr="008E0C6A">
        <w:rPr>
          <w:rFonts w:ascii="Times New Roman" w:hAnsi="Times New Roman" w:cs="Times New Roman"/>
        </w:rPr>
        <w:t xml:space="preserve">, in </w:t>
      </w:r>
      <w:r w:rsidR="00276556" w:rsidRPr="008E0C6A">
        <w:rPr>
          <w:rFonts w:ascii="Times New Roman" w:hAnsi="Times New Roman" w:cs="Times New Roman"/>
          <w:i/>
        </w:rPr>
        <w:t>Mysticism, Magic and Kabbalah in Ashkenazi Judaism</w:t>
      </w:r>
      <w:r w:rsidR="00276556" w:rsidRPr="008E0C6A">
        <w:rPr>
          <w:rFonts w:ascii="Times New Roman" w:hAnsi="Times New Roman" w:cs="Times New Roman"/>
        </w:rPr>
        <w:t>, De Gruyter, Berlin/New York 1995, pp. 295-314.</w:t>
      </w:r>
    </w:p>
    <w:p w14:paraId="7D50C1F7" w14:textId="77777777" w:rsidR="00276556" w:rsidRPr="008E0C6A" w:rsidRDefault="00276556" w:rsidP="006B16F8">
      <w:pPr>
        <w:spacing w:line="360" w:lineRule="auto"/>
        <w:jc w:val="both"/>
        <w:rPr>
          <w:rFonts w:ascii="Times New Roman" w:hAnsi="Times New Roman" w:cs="Times New Roman"/>
        </w:rPr>
      </w:pPr>
    </w:p>
    <w:p w14:paraId="1E2E2CD9" w14:textId="6BCEE7CC" w:rsidR="00276556" w:rsidRPr="008E0C6A" w:rsidRDefault="0012167E" w:rsidP="006B16F8">
      <w:pPr>
        <w:spacing w:line="360" w:lineRule="auto"/>
        <w:jc w:val="both"/>
        <w:rPr>
          <w:rFonts w:ascii="Times New Roman" w:hAnsi="Times New Roman" w:cs="Times New Roman"/>
        </w:rPr>
      </w:pPr>
      <w:r>
        <w:rPr>
          <w:rFonts w:ascii="Times New Roman" w:hAnsi="Times New Roman" w:cs="Times New Roman"/>
        </w:rPr>
        <w:t xml:space="preserve">- </w:t>
      </w:r>
      <w:r w:rsidR="00276556" w:rsidRPr="008E0C6A">
        <w:rPr>
          <w:rFonts w:ascii="Times New Roman" w:hAnsi="Times New Roman" w:cs="Times New Roman"/>
          <w:i/>
        </w:rPr>
        <w:t>Zimzum</w:t>
      </w:r>
      <w:r w:rsidR="00276556" w:rsidRPr="008E0C6A">
        <w:rPr>
          <w:rFonts w:ascii="Times New Roman" w:hAnsi="Times New Roman" w:cs="Times New Roman"/>
        </w:rPr>
        <w:t>, Suhrkamp, Frankfurt am Main 2014.</w:t>
      </w:r>
    </w:p>
    <w:p w14:paraId="6C7B4E15" w14:textId="77777777" w:rsidR="00276556" w:rsidRPr="008E0C6A" w:rsidRDefault="00276556" w:rsidP="006B16F8">
      <w:pPr>
        <w:spacing w:line="360" w:lineRule="auto"/>
        <w:jc w:val="both"/>
        <w:rPr>
          <w:rFonts w:ascii="Times New Roman" w:hAnsi="Times New Roman" w:cs="Times New Roman"/>
        </w:rPr>
      </w:pPr>
    </w:p>
    <w:p w14:paraId="516F5FE2" w14:textId="77777777" w:rsidR="00276556" w:rsidRPr="008E0C6A" w:rsidRDefault="00276556" w:rsidP="006B16F8">
      <w:pPr>
        <w:spacing w:line="360" w:lineRule="auto"/>
        <w:jc w:val="both"/>
        <w:rPr>
          <w:rFonts w:ascii="Times New Roman" w:eastAsia="Times New Roman" w:hAnsi="Times New Roman" w:cs="Times New Roman"/>
          <w:color w:val="000000"/>
        </w:rPr>
      </w:pPr>
      <w:r w:rsidRPr="008E0C6A">
        <w:rPr>
          <w:rFonts w:ascii="Times New Roman" w:hAnsi="Times New Roman" w:cs="Times New Roman"/>
        </w:rPr>
        <w:t xml:space="preserve">W. A. Schulze, </w:t>
      </w:r>
      <w:r w:rsidRPr="008E0C6A">
        <w:rPr>
          <w:rFonts w:ascii="Times New Roman" w:hAnsi="Times New Roman" w:cs="Times New Roman"/>
          <w:i/>
        </w:rPr>
        <w:t>Jakob Böhme und die Kabbalah</w:t>
      </w:r>
      <w:r w:rsidRPr="008E0C6A">
        <w:rPr>
          <w:rFonts w:ascii="Times New Roman" w:hAnsi="Times New Roman" w:cs="Times New Roman"/>
        </w:rPr>
        <w:t>, in «Zeitschrift für philosophische Forschung</w:t>
      </w:r>
      <w:r w:rsidRPr="008E0C6A">
        <w:rPr>
          <w:rFonts w:ascii="Times New Roman" w:eastAsia="Times New Roman" w:hAnsi="Times New Roman" w:cs="Times New Roman"/>
          <w:color w:val="000000"/>
        </w:rPr>
        <w:t>», Bd. 9, Heft 3 (1955), pp. 447-460.</w:t>
      </w:r>
    </w:p>
    <w:p w14:paraId="38BE3C71" w14:textId="77777777" w:rsidR="00276556" w:rsidRPr="008E0C6A" w:rsidRDefault="00276556" w:rsidP="006B16F8">
      <w:pPr>
        <w:spacing w:line="360" w:lineRule="auto"/>
        <w:jc w:val="both"/>
        <w:rPr>
          <w:rFonts w:ascii="Times New Roman" w:eastAsia="Times New Roman" w:hAnsi="Times New Roman" w:cs="Times New Roman"/>
          <w:color w:val="000000"/>
        </w:rPr>
      </w:pPr>
    </w:p>
    <w:p w14:paraId="75217EA2" w14:textId="77777777" w:rsidR="00276556" w:rsidRPr="008E0C6A" w:rsidRDefault="00276556" w:rsidP="006B16F8">
      <w:pPr>
        <w:pStyle w:val="Testonotaapidipagina"/>
        <w:spacing w:line="360" w:lineRule="auto"/>
        <w:jc w:val="both"/>
        <w:rPr>
          <w:rFonts w:ascii="Times New Roman" w:hAnsi="Times New Roman" w:cs="Times New Roman"/>
        </w:rPr>
      </w:pPr>
      <w:r w:rsidRPr="008E0C6A">
        <w:rPr>
          <w:rFonts w:ascii="Times New Roman" w:hAnsi="Times New Roman" w:cs="Times New Roman"/>
        </w:rPr>
        <w:t xml:space="preserve">W. Schulze, </w:t>
      </w:r>
      <w:r w:rsidRPr="008E0C6A">
        <w:rPr>
          <w:rFonts w:ascii="Times New Roman" w:hAnsi="Times New Roman" w:cs="Times New Roman"/>
          <w:i/>
        </w:rPr>
        <w:t>Zum Verständniss der Stuttgarter Privatvorlesungen Schellings</w:t>
      </w:r>
      <w:r w:rsidRPr="008E0C6A">
        <w:rPr>
          <w:rFonts w:ascii="Times New Roman" w:hAnsi="Times New Roman" w:cs="Times New Roman"/>
        </w:rPr>
        <w:t>, in «Zeitschrift für philosophische Forschung</w:t>
      </w:r>
      <w:r>
        <w:rPr>
          <w:rFonts w:ascii="Times New Roman" w:eastAsia="Times New Roman" w:hAnsi="Times New Roman" w:cs="Times New Roman"/>
          <w:color w:val="000000"/>
        </w:rPr>
        <w:t>», Bd. 11, Heft</w:t>
      </w:r>
      <w:r w:rsidRPr="008E0C6A">
        <w:rPr>
          <w:rFonts w:ascii="Times New Roman" w:eastAsia="Times New Roman" w:hAnsi="Times New Roman" w:cs="Times New Roman"/>
          <w:color w:val="000000"/>
        </w:rPr>
        <w:t xml:space="preserve"> 4 (1957), pp. 575-593.</w:t>
      </w:r>
    </w:p>
    <w:p w14:paraId="210406E9" w14:textId="77777777" w:rsidR="00276556" w:rsidRPr="008E0C6A" w:rsidRDefault="00276556" w:rsidP="006B16F8">
      <w:pPr>
        <w:spacing w:line="360" w:lineRule="auto"/>
        <w:jc w:val="both"/>
        <w:rPr>
          <w:rFonts w:ascii="Times New Roman" w:eastAsia="Times New Roman" w:hAnsi="Times New Roman" w:cs="Times New Roman"/>
          <w:color w:val="000000"/>
        </w:rPr>
      </w:pPr>
    </w:p>
    <w:p w14:paraId="3289EE70"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I. Schüßler, </w:t>
      </w:r>
      <w:r w:rsidRPr="008E0C6A">
        <w:rPr>
          <w:rFonts w:ascii="Times New Roman" w:hAnsi="Times New Roman" w:cs="Times New Roman"/>
          <w:i/>
        </w:rPr>
        <w:t>Böhme und Hegel</w:t>
      </w:r>
      <w:r w:rsidRPr="008E0C6A">
        <w:rPr>
          <w:rFonts w:ascii="Times New Roman" w:hAnsi="Times New Roman" w:cs="Times New Roman"/>
        </w:rPr>
        <w:t>, in «Jahrbuch der Schlesischen Friedrich-Wilhelms-Universität zu Breslau</w:t>
      </w:r>
      <w:r w:rsidRPr="008E0C6A">
        <w:rPr>
          <w:rFonts w:ascii="Times New Roman" w:eastAsia="Times New Roman" w:hAnsi="Times New Roman" w:cs="Times New Roman"/>
          <w:color w:val="000000"/>
          <w:lang w:val="de-DE"/>
        </w:rPr>
        <w:t>»</w:t>
      </w:r>
      <w:r w:rsidRPr="008E0C6A">
        <w:rPr>
          <w:rFonts w:ascii="Times New Roman" w:hAnsi="Times New Roman" w:cs="Times New Roman"/>
        </w:rPr>
        <w:t>, Bd. X (1965), pp. 46-58.</w:t>
      </w:r>
    </w:p>
    <w:p w14:paraId="011D4A7E" w14:textId="77777777" w:rsidR="00E75349" w:rsidRDefault="00E75349" w:rsidP="006B16F8">
      <w:pPr>
        <w:spacing w:line="360" w:lineRule="auto"/>
        <w:jc w:val="both"/>
        <w:rPr>
          <w:rFonts w:ascii="Times New Roman" w:hAnsi="Times New Roman" w:cs="Times New Roman"/>
        </w:rPr>
      </w:pPr>
    </w:p>
    <w:p w14:paraId="5BBF8017" w14:textId="06B953FE" w:rsidR="00E75349" w:rsidRPr="00E75349" w:rsidRDefault="00E75349" w:rsidP="006B16F8">
      <w:pPr>
        <w:spacing w:line="360" w:lineRule="auto"/>
        <w:jc w:val="both"/>
        <w:rPr>
          <w:rFonts w:ascii="Times New Roman" w:hAnsi="Times New Roman" w:cs="Times New Roman"/>
        </w:rPr>
      </w:pPr>
      <w:r w:rsidRPr="00E75349">
        <w:rPr>
          <w:rFonts w:ascii="Times New Roman" w:hAnsi="Times New Roman" w:cs="Times New Roman"/>
          <w:lang w:val="en-GB"/>
        </w:rPr>
        <w:t xml:space="preserve">W. Sellars, </w:t>
      </w:r>
      <w:r w:rsidRPr="00E75349">
        <w:rPr>
          <w:rFonts w:ascii="Times New Roman" w:hAnsi="Times New Roman" w:cs="Times New Roman"/>
          <w:i/>
          <w:lang w:val="en-GB"/>
        </w:rPr>
        <w:t>Empiricism and the Philosophy of Mind</w:t>
      </w:r>
      <w:r w:rsidRPr="00E75349">
        <w:rPr>
          <w:rFonts w:ascii="Times New Roman" w:hAnsi="Times New Roman" w:cs="Times New Roman"/>
          <w:lang w:val="en-GB"/>
        </w:rPr>
        <w:t>, with an introduction of R. Rorty and a study guide of R. Brandom, Harvard University Press, Cambridge (Massachusetts) 1997</w:t>
      </w:r>
      <w:r>
        <w:rPr>
          <w:rFonts w:ascii="Times New Roman" w:hAnsi="Times New Roman" w:cs="Times New Roman"/>
          <w:lang w:val="en-GB"/>
        </w:rPr>
        <w:t>.</w:t>
      </w:r>
    </w:p>
    <w:p w14:paraId="5CA1D4A9" w14:textId="77777777" w:rsidR="00E75349" w:rsidRDefault="00E75349" w:rsidP="006B16F8">
      <w:pPr>
        <w:spacing w:line="360" w:lineRule="auto"/>
        <w:jc w:val="both"/>
        <w:rPr>
          <w:rFonts w:ascii="Times New Roman" w:hAnsi="Times New Roman" w:cs="Times New Roman"/>
        </w:rPr>
      </w:pPr>
    </w:p>
    <w:p w14:paraId="6FD32623"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C. Senigaglia, </w:t>
      </w:r>
      <w:r w:rsidRPr="008E0C6A">
        <w:rPr>
          <w:rFonts w:ascii="Times New Roman" w:hAnsi="Times New Roman" w:cs="Times New Roman"/>
          <w:i/>
          <w:iCs/>
        </w:rPr>
        <w:t>Verfassungseinheit und Gewaltenausgleich: Hegels Auseinandersetzung mit Montesquieu</w:t>
      </w:r>
      <w:r w:rsidRPr="008E0C6A">
        <w:rPr>
          <w:rFonts w:ascii="Times New Roman" w:hAnsi="Times New Roman" w:cs="Times New Roman"/>
        </w:rPr>
        <w:t>, in «</w:t>
      </w:r>
      <w:r w:rsidRPr="008E0C6A">
        <w:rPr>
          <w:rFonts w:ascii="Times New Roman" w:hAnsi="Times New Roman" w:cs="Times New Roman"/>
          <w:lang w:val="en-GB"/>
        </w:rPr>
        <w:t>Parliament, Estates and Representation</w:t>
      </w:r>
      <w:r w:rsidRPr="008E0C6A">
        <w:rPr>
          <w:rFonts w:ascii="Times New Roman" w:hAnsi="Times New Roman" w:cs="Times New Roman"/>
        </w:rPr>
        <w:t>», 27 (2007), pp. 37-56.</w:t>
      </w:r>
    </w:p>
    <w:p w14:paraId="126AED27" w14:textId="77777777" w:rsidR="00276556" w:rsidRPr="008E0C6A" w:rsidRDefault="00276556" w:rsidP="006B16F8">
      <w:pPr>
        <w:spacing w:line="360" w:lineRule="auto"/>
        <w:jc w:val="both"/>
        <w:rPr>
          <w:rFonts w:ascii="Times New Roman" w:hAnsi="Times New Roman" w:cs="Times New Roman"/>
        </w:rPr>
      </w:pPr>
    </w:p>
    <w:p w14:paraId="2B189BF4"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F. Silva, </w:t>
      </w:r>
      <w:r w:rsidRPr="008E0C6A">
        <w:rPr>
          <w:rFonts w:ascii="Times New Roman" w:hAnsi="Times New Roman" w:cs="Times New Roman"/>
          <w:i/>
        </w:rPr>
        <w:t>Sullo spirito del cristianesimo e il suo destino</w:t>
      </w:r>
      <w:r w:rsidRPr="008E0C6A">
        <w:rPr>
          <w:rFonts w:ascii="Times New Roman" w:hAnsi="Times New Roman" w:cs="Times New Roman"/>
        </w:rPr>
        <w:t>, in «Il Pensiero</w:t>
      </w:r>
      <w:r w:rsidRPr="008E0C6A">
        <w:rPr>
          <w:rFonts w:ascii="Times New Roman" w:eastAsia="Times New Roman" w:hAnsi="Times New Roman" w:cs="Times New Roman"/>
          <w:color w:val="000000"/>
          <w:lang w:val="de-DE"/>
        </w:rPr>
        <w:t>»</w:t>
      </w:r>
      <w:r w:rsidRPr="008E0C6A">
        <w:rPr>
          <w:rFonts w:ascii="Times New Roman" w:hAnsi="Times New Roman" w:cs="Times New Roman"/>
        </w:rPr>
        <w:t>, Vol. 2 (2011), pp. 145-168.</w:t>
      </w:r>
    </w:p>
    <w:p w14:paraId="6A23AE9D" w14:textId="77777777" w:rsidR="00276556" w:rsidRPr="008E0C6A" w:rsidRDefault="00276556" w:rsidP="006B16F8">
      <w:pPr>
        <w:spacing w:line="360" w:lineRule="auto"/>
        <w:jc w:val="both"/>
        <w:rPr>
          <w:rFonts w:ascii="Times New Roman" w:hAnsi="Times New Roman" w:cs="Times New Roman"/>
        </w:rPr>
      </w:pPr>
    </w:p>
    <w:p w14:paraId="75EEA81B"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P. Stekeler, </w:t>
      </w:r>
      <w:r w:rsidRPr="008E0C6A">
        <w:rPr>
          <w:rFonts w:ascii="Times New Roman" w:hAnsi="Times New Roman" w:cs="Times New Roman"/>
          <w:i/>
        </w:rPr>
        <w:t>Hegels Phänomenologie des Geistes. Ein dialogischer Kommentar</w:t>
      </w:r>
      <w:r w:rsidRPr="008E0C6A">
        <w:rPr>
          <w:rFonts w:ascii="Times New Roman" w:hAnsi="Times New Roman" w:cs="Times New Roman"/>
        </w:rPr>
        <w:t>, Bd. 2, Felix Meiner Verlag, Hamburg 2014.</w:t>
      </w:r>
    </w:p>
    <w:p w14:paraId="5FB4034D" w14:textId="77777777" w:rsidR="00276556" w:rsidRPr="008E0C6A" w:rsidRDefault="00276556" w:rsidP="006B16F8">
      <w:pPr>
        <w:spacing w:line="360" w:lineRule="auto"/>
        <w:jc w:val="both"/>
        <w:rPr>
          <w:rFonts w:ascii="Times New Roman" w:hAnsi="Times New Roman" w:cs="Times New Roman"/>
        </w:rPr>
      </w:pPr>
    </w:p>
    <w:p w14:paraId="17EF859B"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A. Tassi, </w:t>
      </w:r>
      <w:r w:rsidRPr="008E0C6A">
        <w:rPr>
          <w:rFonts w:ascii="Times New Roman" w:hAnsi="Times New Roman" w:cs="Times New Roman"/>
          <w:i/>
        </w:rPr>
        <w:t>G.W.F. Hegel e gli anni si Stuttgart e Tübingen</w:t>
      </w:r>
      <w:r w:rsidRPr="008E0C6A">
        <w:rPr>
          <w:rFonts w:ascii="Times New Roman" w:hAnsi="Times New Roman" w:cs="Times New Roman"/>
        </w:rPr>
        <w:t>, Guerini, Milano 1996.</w:t>
      </w:r>
    </w:p>
    <w:p w14:paraId="5AE53C9C" w14:textId="77777777" w:rsidR="00276556" w:rsidRPr="008E0C6A" w:rsidRDefault="00276556" w:rsidP="006B16F8">
      <w:pPr>
        <w:spacing w:line="360" w:lineRule="auto"/>
        <w:jc w:val="both"/>
        <w:rPr>
          <w:rFonts w:ascii="Times New Roman" w:eastAsia="Times New Roman" w:hAnsi="Times New Roman" w:cs="Times New Roman"/>
          <w:color w:val="000000"/>
        </w:rPr>
      </w:pPr>
    </w:p>
    <w:p w14:paraId="27531A72" w14:textId="77777777" w:rsidR="00276556" w:rsidRPr="008E0C6A" w:rsidRDefault="00276556" w:rsidP="006B16F8">
      <w:pPr>
        <w:spacing w:line="360" w:lineRule="auto"/>
        <w:jc w:val="both"/>
        <w:rPr>
          <w:rFonts w:ascii="Times New Roman" w:eastAsia="Times New Roman" w:hAnsi="Times New Roman" w:cs="Times New Roman"/>
          <w:color w:val="000000"/>
        </w:rPr>
      </w:pPr>
      <w:r w:rsidRPr="008E0C6A">
        <w:rPr>
          <w:rFonts w:ascii="Times New Roman" w:hAnsi="Times New Roman" w:cs="Times New Roman"/>
        </w:rPr>
        <w:t xml:space="preserve">H. Trescher, </w:t>
      </w:r>
      <w:r w:rsidRPr="008E0C6A">
        <w:rPr>
          <w:rFonts w:ascii="Times New Roman" w:hAnsi="Times New Roman" w:cs="Times New Roman"/>
          <w:i/>
          <w:iCs/>
        </w:rPr>
        <w:t>Montesquieus Einfluß auf die philosophischen Grundlagender Staatslehre Hegels</w:t>
      </w:r>
      <w:r w:rsidRPr="008E0C6A">
        <w:rPr>
          <w:rFonts w:ascii="Times New Roman" w:hAnsi="Times New Roman" w:cs="Times New Roman"/>
        </w:rPr>
        <w:t>, «Schmollers Jahrbuch», 42 (1918), Heft 2., pp. 471-501 und Heft 3. pp. 907-944.</w:t>
      </w:r>
    </w:p>
    <w:p w14:paraId="3A2A3EDD" w14:textId="77777777" w:rsidR="00276556" w:rsidRPr="008E0C6A" w:rsidRDefault="00276556" w:rsidP="006B16F8">
      <w:pPr>
        <w:spacing w:line="360" w:lineRule="auto"/>
        <w:jc w:val="both"/>
        <w:rPr>
          <w:rFonts w:ascii="Times New Roman" w:eastAsia="Times New Roman" w:hAnsi="Times New Roman" w:cs="Times New Roman"/>
          <w:color w:val="000000"/>
        </w:rPr>
      </w:pPr>
    </w:p>
    <w:p w14:paraId="01BA67A6"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F. Valori, </w:t>
      </w:r>
      <w:r w:rsidRPr="008E0C6A">
        <w:rPr>
          <w:rFonts w:ascii="Times New Roman" w:hAnsi="Times New Roman" w:cs="Times New Roman"/>
          <w:i/>
        </w:rPr>
        <w:t>Destino, ragione e positività nel giovane Hege</w:t>
      </w:r>
      <w:r w:rsidRPr="008E0C6A">
        <w:rPr>
          <w:rFonts w:ascii="Times New Roman" w:hAnsi="Times New Roman" w:cs="Times New Roman"/>
        </w:rPr>
        <w:t xml:space="preserve">l, in </w:t>
      </w:r>
      <w:r w:rsidRPr="008E0C6A">
        <w:rPr>
          <w:rFonts w:ascii="Times New Roman" w:hAnsi="Times New Roman" w:cs="Times New Roman"/>
          <w:i/>
        </w:rPr>
        <w:t>Il giovane Hegel. La dialettica e le sue prospettive</w:t>
      </w:r>
      <w:r w:rsidRPr="008E0C6A">
        <w:rPr>
          <w:rFonts w:ascii="Times New Roman" w:hAnsi="Times New Roman" w:cs="Times New Roman"/>
        </w:rPr>
        <w:t>, a cura di M. Moschini, Napoli-Salerno, Orthotes 2017.</w:t>
      </w:r>
    </w:p>
    <w:p w14:paraId="67270A18" w14:textId="77777777" w:rsidR="00276556" w:rsidRPr="008E0C6A" w:rsidRDefault="00276556" w:rsidP="006B16F8">
      <w:pPr>
        <w:spacing w:line="360" w:lineRule="auto"/>
        <w:jc w:val="both"/>
        <w:rPr>
          <w:rFonts w:ascii="Times New Roman" w:hAnsi="Times New Roman" w:cs="Times New Roman"/>
        </w:rPr>
      </w:pPr>
    </w:p>
    <w:p w14:paraId="5FBB1CCD"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M. Vassányi, </w:t>
      </w:r>
      <w:r w:rsidRPr="008E0C6A">
        <w:rPr>
          <w:rFonts w:ascii="Times New Roman" w:hAnsi="Times New Roman" w:cs="Times New Roman"/>
          <w:i/>
        </w:rPr>
        <w:t>Anima Mundi: The Rise of the World Soul Theory in Modern German Philosophy,</w:t>
      </w:r>
      <w:r w:rsidRPr="008E0C6A">
        <w:rPr>
          <w:rFonts w:ascii="Times New Roman" w:hAnsi="Times New Roman" w:cs="Times New Roman"/>
        </w:rPr>
        <w:t xml:space="preserve"> Springer, Dordrecht, 2011.</w:t>
      </w:r>
    </w:p>
    <w:p w14:paraId="284CCC66" w14:textId="77777777" w:rsidR="00276556" w:rsidRPr="008E0C6A" w:rsidRDefault="00276556" w:rsidP="006B16F8">
      <w:pPr>
        <w:spacing w:line="360" w:lineRule="auto"/>
        <w:jc w:val="both"/>
        <w:rPr>
          <w:rFonts w:ascii="Times New Roman" w:hAnsi="Times New Roman" w:cs="Times New Roman"/>
        </w:rPr>
      </w:pPr>
    </w:p>
    <w:p w14:paraId="254A3C6C"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M. Vater, </w:t>
      </w:r>
      <w:r w:rsidRPr="008E0C6A">
        <w:rPr>
          <w:rFonts w:ascii="Times New Roman" w:hAnsi="Times New Roman" w:cs="Times New Roman"/>
          <w:i/>
        </w:rPr>
        <w:t>“Omnis determinatio est negatio”: determination, negation and self-negation in Spinoza</w:t>
      </w:r>
      <w:r w:rsidRPr="008E0C6A">
        <w:rPr>
          <w:rFonts w:ascii="Times New Roman" w:hAnsi="Times New Roman" w:cs="Times New Roman"/>
        </w:rPr>
        <w:t xml:space="preserve">, in </w:t>
      </w:r>
      <w:r w:rsidRPr="008E0C6A">
        <w:rPr>
          <w:rFonts w:ascii="Times New Roman" w:hAnsi="Times New Roman" w:cs="Times New Roman"/>
          <w:i/>
        </w:rPr>
        <w:t>Spinoza and German Idealism</w:t>
      </w:r>
      <w:r w:rsidRPr="008E0C6A">
        <w:rPr>
          <w:rFonts w:ascii="Times New Roman" w:hAnsi="Times New Roman" w:cs="Times New Roman"/>
        </w:rPr>
        <w:t xml:space="preserve">, ed. by E. Förster and Y. Melamed, Cambridge University Press, New York 2012, pp. 175-197.  </w:t>
      </w:r>
    </w:p>
    <w:p w14:paraId="2BFCCD22" w14:textId="77777777" w:rsidR="00276556" w:rsidRPr="008E0C6A" w:rsidRDefault="00276556" w:rsidP="006B16F8">
      <w:pPr>
        <w:spacing w:line="360" w:lineRule="auto"/>
        <w:jc w:val="both"/>
        <w:rPr>
          <w:rFonts w:ascii="Times New Roman" w:hAnsi="Times New Roman" w:cs="Times New Roman"/>
        </w:rPr>
      </w:pPr>
    </w:p>
    <w:p w14:paraId="1C565949"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V. Verra, </w:t>
      </w:r>
      <w:r w:rsidRPr="008E0C6A">
        <w:rPr>
          <w:rFonts w:ascii="Times New Roman" w:hAnsi="Times New Roman" w:cs="Times New Roman"/>
          <w:i/>
        </w:rPr>
        <w:t>F.H. Jacobi dall’illuminismo all’idealismo</w:t>
      </w:r>
      <w:r w:rsidRPr="008E0C6A">
        <w:rPr>
          <w:rFonts w:ascii="Times New Roman" w:hAnsi="Times New Roman" w:cs="Times New Roman"/>
        </w:rPr>
        <w:t>, Edizioni di filosofia, Torino 1963.</w:t>
      </w:r>
    </w:p>
    <w:p w14:paraId="37AC0762" w14:textId="77777777" w:rsidR="00276556" w:rsidRPr="008E0C6A" w:rsidRDefault="00276556" w:rsidP="006B16F8">
      <w:pPr>
        <w:spacing w:line="360" w:lineRule="auto"/>
        <w:jc w:val="both"/>
        <w:rPr>
          <w:rFonts w:ascii="Times New Roman" w:hAnsi="Times New Roman" w:cs="Times New Roman"/>
        </w:rPr>
      </w:pPr>
    </w:p>
    <w:p w14:paraId="5DA4077A" w14:textId="77777777" w:rsidR="00276556" w:rsidRPr="008E0C6A" w:rsidRDefault="00276556" w:rsidP="006B16F8">
      <w:pPr>
        <w:spacing w:line="360" w:lineRule="auto"/>
        <w:jc w:val="both"/>
        <w:rPr>
          <w:rFonts w:ascii="Times New Roman" w:eastAsia="Times New Roman" w:hAnsi="Times New Roman" w:cs="Times New Roman"/>
          <w:color w:val="000000"/>
        </w:rPr>
      </w:pPr>
      <w:r w:rsidRPr="008E0C6A">
        <w:rPr>
          <w:rFonts w:ascii="Times New Roman" w:eastAsia="Times New Roman" w:hAnsi="Times New Roman" w:cs="Times New Roman"/>
          <w:color w:val="000000"/>
        </w:rPr>
        <w:t xml:space="preserve">M. Vetö, </w:t>
      </w:r>
      <w:r w:rsidRPr="008E0C6A">
        <w:rPr>
          <w:rFonts w:ascii="Times New Roman" w:eastAsia="Times New Roman" w:hAnsi="Times New Roman" w:cs="Times New Roman"/>
          <w:i/>
          <w:color w:val="000000"/>
        </w:rPr>
        <w:t xml:space="preserve">Ontologie, Anthropologie, Théologie dans les </w:t>
      </w:r>
      <w:r w:rsidRPr="008E0C6A">
        <w:rPr>
          <w:rFonts w:ascii="Times New Roman" w:eastAsia="Times New Roman" w:hAnsi="Times New Roman" w:cs="Times New Roman"/>
          <w:color w:val="000000"/>
        </w:rPr>
        <w:t>“Conférences de Stuttgart”</w:t>
      </w:r>
      <w:r w:rsidRPr="008E0C6A">
        <w:rPr>
          <w:rFonts w:ascii="Times New Roman" w:eastAsia="Times New Roman" w:hAnsi="Times New Roman" w:cs="Times New Roman"/>
          <w:i/>
          <w:color w:val="000000"/>
        </w:rPr>
        <w:t xml:space="preserve"> de Schelling</w:t>
      </w:r>
      <w:r w:rsidRPr="008E0C6A">
        <w:rPr>
          <w:rFonts w:ascii="Times New Roman" w:eastAsia="Times New Roman" w:hAnsi="Times New Roman" w:cs="Times New Roman"/>
          <w:color w:val="000000"/>
        </w:rPr>
        <w:t>, in «Revue Philosophique de la France et de l’Étranger», No. 4 (2014), pp. 451-476.</w:t>
      </w:r>
    </w:p>
    <w:p w14:paraId="78BFBB18" w14:textId="77777777" w:rsidR="00276556" w:rsidRPr="008E0C6A" w:rsidRDefault="00276556" w:rsidP="006B16F8">
      <w:pPr>
        <w:spacing w:line="360" w:lineRule="auto"/>
        <w:jc w:val="both"/>
        <w:rPr>
          <w:rFonts w:ascii="Times New Roman" w:eastAsia="Times New Roman" w:hAnsi="Times New Roman" w:cs="Times New Roman"/>
          <w:color w:val="000000"/>
        </w:rPr>
      </w:pPr>
    </w:p>
    <w:p w14:paraId="6E797782"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K. Vieweg, </w:t>
      </w:r>
      <w:r w:rsidRPr="008E0C6A">
        <w:rPr>
          <w:rFonts w:ascii="Times New Roman" w:hAnsi="Times New Roman" w:cs="Times New Roman"/>
          <w:i/>
        </w:rPr>
        <w:t xml:space="preserve">Religion und absolutes Wissen. Der Übergang von der Vorstellung zum </w:t>
      </w:r>
      <w:r w:rsidRPr="008E0C6A">
        <w:rPr>
          <w:rFonts w:ascii="Times New Roman" w:hAnsi="Times New Roman" w:cs="Times New Roman"/>
        </w:rPr>
        <w:t xml:space="preserve">Begriff, in </w:t>
      </w:r>
      <w:r w:rsidRPr="008E0C6A">
        <w:rPr>
          <w:rFonts w:ascii="Times New Roman" w:hAnsi="Times New Roman" w:cs="Times New Roman"/>
          <w:i/>
        </w:rPr>
        <w:t>Hegels Phänomenologie des Geistes</w:t>
      </w:r>
      <w:r w:rsidRPr="008E0C6A">
        <w:rPr>
          <w:rFonts w:ascii="Times New Roman" w:hAnsi="Times New Roman" w:cs="Times New Roman"/>
        </w:rPr>
        <w:t>, cit., pp. 581-601.</w:t>
      </w:r>
    </w:p>
    <w:p w14:paraId="44EAB6BB" w14:textId="77777777" w:rsidR="00276556" w:rsidRPr="008E0C6A" w:rsidRDefault="00276556" w:rsidP="006B16F8">
      <w:pPr>
        <w:spacing w:line="360" w:lineRule="auto"/>
        <w:jc w:val="both"/>
        <w:rPr>
          <w:rFonts w:ascii="Times New Roman" w:hAnsi="Times New Roman" w:cs="Times New Roman"/>
        </w:rPr>
      </w:pPr>
    </w:p>
    <w:p w14:paraId="7B70EB30" w14:textId="77777777" w:rsidR="00276556"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V. Vitiello, </w:t>
      </w:r>
      <w:r w:rsidRPr="008E0C6A">
        <w:rPr>
          <w:rFonts w:ascii="Times New Roman" w:hAnsi="Times New Roman" w:cs="Times New Roman"/>
          <w:i/>
        </w:rPr>
        <w:t>Gesù doveva morire</w:t>
      </w:r>
      <w:r w:rsidRPr="008E0C6A">
        <w:rPr>
          <w:rFonts w:ascii="Times New Roman" w:hAnsi="Times New Roman" w:cs="Times New Roman"/>
        </w:rPr>
        <w:t xml:space="preserve">, in </w:t>
      </w:r>
      <w:r w:rsidRPr="008E0C6A">
        <w:rPr>
          <w:rFonts w:ascii="Times New Roman" w:hAnsi="Times New Roman" w:cs="Times New Roman"/>
          <w:i/>
        </w:rPr>
        <w:t>Il giovane Hegel. La dialettica e le sue prospettive</w:t>
      </w:r>
      <w:r w:rsidRPr="008E0C6A">
        <w:rPr>
          <w:rFonts w:ascii="Times New Roman" w:hAnsi="Times New Roman" w:cs="Times New Roman"/>
        </w:rPr>
        <w:t>, cit., pp. 265-287.</w:t>
      </w:r>
    </w:p>
    <w:p w14:paraId="42987059" w14:textId="77777777" w:rsidR="00290078" w:rsidRDefault="00290078" w:rsidP="006B16F8">
      <w:pPr>
        <w:spacing w:line="360" w:lineRule="auto"/>
        <w:jc w:val="both"/>
        <w:rPr>
          <w:rFonts w:ascii="Times New Roman" w:hAnsi="Times New Roman" w:cs="Times New Roman"/>
        </w:rPr>
      </w:pPr>
    </w:p>
    <w:p w14:paraId="6D1ADE5F" w14:textId="33C53785" w:rsidR="00290078" w:rsidRPr="00290078" w:rsidRDefault="00290078" w:rsidP="006B16F8">
      <w:pPr>
        <w:spacing w:line="360" w:lineRule="auto"/>
        <w:jc w:val="both"/>
        <w:rPr>
          <w:rFonts w:ascii="Times New Roman" w:hAnsi="Times New Roman" w:cs="Times New Roman"/>
        </w:rPr>
      </w:pPr>
      <w:r w:rsidRPr="00290078">
        <w:rPr>
          <w:rFonts w:ascii="Times New Roman" w:hAnsi="Times New Roman" w:cs="Times New Roman"/>
        </w:rPr>
        <w:t xml:space="preserve">C. Vittone , </w:t>
      </w:r>
      <w:r w:rsidRPr="00290078">
        <w:rPr>
          <w:rFonts w:ascii="Times New Roman" w:hAnsi="Times New Roman" w:cs="Times New Roman"/>
          <w:i/>
        </w:rPr>
        <w:t>G.W.F. Hegel,</w:t>
      </w:r>
      <w:r w:rsidRPr="00290078">
        <w:rPr>
          <w:rFonts w:ascii="Times New Roman" w:hAnsi="Times New Roman" w:cs="Times New Roman"/>
        </w:rPr>
        <w:t xml:space="preserve"> </w:t>
      </w:r>
      <w:r w:rsidRPr="00290078">
        <w:rPr>
          <w:rFonts w:ascii="Times New Roman" w:hAnsi="Times New Roman" w:cs="Times New Roman"/>
          <w:i/>
        </w:rPr>
        <w:t>Aforismi jenesi (Hegels Wastebook 1803-1806)</w:t>
      </w:r>
      <w:r w:rsidRPr="00290078">
        <w:rPr>
          <w:rFonts w:ascii="Times New Roman" w:hAnsi="Times New Roman" w:cs="Times New Roman"/>
        </w:rPr>
        <w:t>, Feltrinelli, Milano 1981, pp. 17-50.</w:t>
      </w:r>
    </w:p>
    <w:p w14:paraId="3DAB8BBC" w14:textId="77777777" w:rsidR="00061413" w:rsidRDefault="00061413" w:rsidP="006B16F8">
      <w:pPr>
        <w:spacing w:line="360" w:lineRule="auto"/>
        <w:jc w:val="both"/>
        <w:rPr>
          <w:rFonts w:ascii="Times New Roman" w:hAnsi="Times New Roman" w:cs="Times New Roman"/>
        </w:rPr>
      </w:pPr>
    </w:p>
    <w:p w14:paraId="58099762" w14:textId="77777777" w:rsidR="00061413" w:rsidRPr="00061413" w:rsidRDefault="00061413" w:rsidP="006B16F8">
      <w:pPr>
        <w:pStyle w:val="Testonotaapidipagina"/>
        <w:spacing w:line="360" w:lineRule="auto"/>
        <w:jc w:val="both"/>
        <w:rPr>
          <w:rFonts w:ascii="Times New Roman" w:hAnsi="Times New Roman" w:cs="Times New Roman"/>
        </w:rPr>
      </w:pPr>
      <w:r w:rsidRPr="00061413">
        <w:rPr>
          <w:rFonts w:ascii="Times New Roman" w:hAnsi="Times New Roman" w:cs="Times New Roman"/>
        </w:rPr>
        <w:t xml:space="preserve">E. Voegelin, </w:t>
      </w:r>
      <w:r w:rsidRPr="00061413">
        <w:rPr>
          <w:rFonts w:ascii="Times New Roman" w:hAnsi="Times New Roman" w:cs="Times New Roman"/>
          <w:i/>
        </w:rPr>
        <w:t>Science, Politics, and Gnosticism,</w:t>
      </w:r>
      <w:r w:rsidRPr="00061413">
        <w:rPr>
          <w:rFonts w:ascii="Times New Roman" w:hAnsi="Times New Roman" w:cs="Times New Roman"/>
        </w:rPr>
        <w:t xml:space="preserve"> Regnery Gateway, Washington 1968.</w:t>
      </w:r>
    </w:p>
    <w:p w14:paraId="0301627F" w14:textId="77777777" w:rsidR="00061413" w:rsidRPr="008E0C6A" w:rsidRDefault="00061413" w:rsidP="006B16F8">
      <w:pPr>
        <w:spacing w:line="360" w:lineRule="auto"/>
        <w:jc w:val="both"/>
        <w:rPr>
          <w:rFonts w:ascii="Times New Roman" w:hAnsi="Times New Roman" w:cs="Times New Roman"/>
        </w:rPr>
      </w:pPr>
    </w:p>
    <w:p w14:paraId="0D6A669B"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F. Volpi, </w:t>
      </w:r>
      <w:r w:rsidRPr="008E0C6A">
        <w:rPr>
          <w:rFonts w:ascii="Times New Roman" w:hAnsi="Times New Roman" w:cs="Times New Roman"/>
          <w:i/>
        </w:rPr>
        <w:t>Il nichilismo</w:t>
      </w:r>
      <w:r w:rsidRPr="008E0C6A">
        <w:rPr>
          <w:rFonts w:ascii="Times New Roman" w:hAnsi="Times New Roman" w:cs="Times New Roman"/>
        </w:rPr>
        <w:t>, Laterza, Bari 2005.</w:t>
      </w:r>
    </w:p>
    <w:p w14:paraId="45EEEDEC" w14:textId="77777777" w:rsidR="00276556" w:rsidRPr="008E0C6A" w:rsidRDefault="00276556" w:rsidP="006B16F8">
      <w:pPr>
        <w:spacing w:line="360" w:lineRule="auto"/>
        <w:jc w:val="both"/>
        <w:rPr>
          <w:rFonts w:ascii="Times New Roman" w:hAnsi="Times New Roman" w:cs="Times New Roman"/>
        </w:rPr>
      </w:pPr>
    </w:p>
    <w:p w14:paraId="7A2A579D" w14:textId="6D7A7D8F" w:rsidR="00276556" w:rsidRDefault="00276556" w:rsidP="006B16F8">
      <w:pPr>
        <w:spacing w:line="360" w:lineRule="auto"/>
        <w:jc w:val="both"/>
        <w:rPr>
          <w:rFonts w:ascii="Times New Roman" w:eastAsia="Times New Roman" w:hAnsi="Times New Roman" w:cs="Times New Roman"/>
          <w:color w:val="000000"/>
          <w:lang w:val="de-DE"/>
        </w:rPr>
      </w:pPr>
      <w:r w:rsidRPr="008E0C6A">
        <w:rPr>
          <w:rFonts w:ascii="Times New Roman" w:eastAsia="Times New Roman" w:hAnsi="Times New Roman" w:cs="Times New Roman"/>
          <w:color w:val="000000"/>
        </w:rPr>
        <w:t xml:space="preserve">J. Wahl, </w:t>
      </w:r>
      <w:r w:rsidRPr="008E0C6A">
        <w:rPr>
          <w:rFonts w:ascii="Times New Roman" w:eastAsia="Times New Roman" w:hAnsi="Times New Roman" w:cs="Times New Roman"/>
          <w:i/>
          <w:color w:val="000000"/>
        </w:rPr>
        <w:t xml:space="preserve">Le malheur de la conscience </w:t>
      </w:r>
      <w:r w:rsidRPr="008E0C6A">
        <w:rPr>
          <w:rFonts w:ascii="Times New Roman" w:eastAsia="Times New Roman" w:hAnsi="Times New Roman" w:cs="Times New Roman"/>
          <w:i/>
          <w:color w:val="000000"/>
          <w:lang w:val="de-DE"/>
        </w:rPr>
        <w:t>dans la philosophie de Hegel</w:t>
      </w:r>
      <w:r w:rsidRPr="008E0C6A">
        <w:rPr>
          <w:rFonts w:ascii="Times New Roman" w:eastAsia="Times New Roman" w:hAnsi="Times New Roman" w:cs="Times New Roman"/>
          <w:color w:val="000000"/>
          <w:lang w:val="de-DE"/>
        </w:rPr>
        <w:t>,</w:t>
      </w:r>
      <w:r>
        <w:rPr>
          <w:rFonts w:ascii="Times New Roman" w:eastAsia="Times New Roman" w:hAnsi="Times New Roman" w:cs="Times New Roman"/>
          <w:color w:val="000000"/>
          <w:lang w:val="de-DE"/>
        </w:rPr>
        <w:t xml:space="preserve"> PUF, Paris 1951 (prima ed.</w:t>
      </w:r>
      <w:r w:rsidRPr="008E0C6A">
        <w:rPr>
          <w:rFonts w:ascii="Times New Roman" w:eastAsia="Times New Roman" w:hAnsi="Times New Roman" w:cs="Times New Roman"/>
          <w:color w:val="000000"/>
          <w:lang w:val="de-DE"/>
        </w:rPr>
        <w:t xml:space="preserve"> 1929).</w:t>
      </w:r>
    </w:p>
    <w:p w14:paraId="1E5175E6" w14:textId="77777777" w:rsidR="00061413" w:rsidRDefault="00061413" w:rsidP="006B16F8">
      <w:pPr>
        <w:spacing w:line="360" w:lineRule="auto"/>
        <w:jc w:val="both"/>
        <w:rPr>
          <w:rFonts w:ascii="Times New Roman" w:eastAsia="Times New Roman" w:hAnsi="Times New Roman" w:cs="Times New Roman"/>
          <w:color w:val="000000"/>
          <w:lang w:val="de-DE"/>
        </w:rPr>
      </w:pPr>
    </w:p>
    <w:p w14:paraId="3624C967" w14:textId="496BAC4B" w:rsidR="00061413" w:rsidRPr="00061413" w:rsidRDefault="00061413" w:rsidP="006B16F8">
      <w:pPr>
        <w:spacing w:line="360" w:lineRule="auto"/>
        <w:jc w:val="both"/>
        <w:rPr>
          <w:rFonts w:ascii="Times New Roman" w:hAnsi="Times New Roman" w:cs="Times New Roman"/>
        </w:rPr>
      </w:pPr>
      <w:r w:rsidRPr="00061413">
        <w:rPr>
          <w:rFonts w:ascii="Times New Roman" w:hAnsi="Times New Roman" w:cs="Times New Roman"/>
        </w:rPr>
        <w:t xml:space="preserve">R. R. Williams, </w:t>
      </w:r>
      <w:r w:rsidRPr="00061413">
        <w:rPr>
          <w:rFonts w:ascii="Times New Roman" w:hAnsi="Times New Roman" w:cs="Times New Roman"/>
          <w:i/>
        </w:rPr>
        <w:t>Hegel on the Proofs and the Personhood of God</w:t>
      </w:r>
      <w:r w:rsidRPr="00061413">
        <w:rPr>
          <w:rFonts w:ascii="Times New Roman" w:hAnsi="Times New Roman" w:cs="Times New Roman"/>
        </w:rPr>
        <w:t>, Oxford University Press, Oxford 2017.</w:t>
      </w:r>
    </w:p>
    <w:p w14:paraId="45701CEB" w14:textId="77777777" w:rsidR="00276556" w:rsidRPr="008E0C6A" w:rsidRDefault="00276556" w:rsidP="006B16F8">
      <w:pPr>
        <w:spacing w:line="360" w:lineRule="auto"/>
        <w:jc w:val="both"/>
        <w:rPr>
          <w:rFonts w:ascii="Times New Roman" w:hAnsi="Times New Roman" w:cs="Times New Roman"/>
        </w:rPr>
      </w:pPr>
    </w:p>
    <w:p w14:paraId="79123903"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G. M. Wölfle, </w:t>
      </w:r>
      <w:r w:rsidRPr="008E0C6A">
        <w:rPr>
          <w:rFonts w:ascii="Times New Roman" w:hAnsi="Times New Roman" w:cs="Times New Roman"/>
          <w:i/>
        </w:rPr>
        <w:t>Die Wesenslogik in Hegels “Wissenschaft der Logik”</w:t>
      </w:r>
      <w:r w:rsidRPr="008E0C6A">
        <w:rPr>
          <w:rFonts w:ascii="Times New Roman" w:hAnsi="Times New Roman" w:cs="Times New Roman"/>
        </w:rPr>
        <w:t>, Frommann-Holzboog, Stuttgart 1994.</w:t>
      </w:r>
    </w:p>
    <w:p w14:paraId="4B221988" w14:textId="77777777" w:rsidR="00276556" w:rsidRPr="008E0C6A" w:rsidRDefault="00276556" w:rsidP="006B16F8">
      <w:pPr>
        <w:spacing w:line="360" w:lineRule="auto"/>
        <w:jc w:val="both"/>
        <w:rPr>
          <w:rFonts w:ascii="Times New Roman" w:hAnsi="Times New Roman" w:cs="Times New Roman"/>
        </w:rPr>
      </w:pPr>
    </w:p>
    <w:p w14:paraId="763A508B" w14:textId="77777777" w:rsidR="00276556" w:rsidRPr="008E0C6A" w:rsidRDefault="00276556" w:rsidP="006B16F8">
      <w:pPr>
        <w:spacing w:line="360" w:lineRule="auto"/>
        <w:jc w:val="both"/>
        <w:rPr>
          <w:rFonts w:ascii="Times New Roman" w:hAnsi="Times New Roman" w:cs="Times New Roman"/>
        </w:rPr>
      </w:pPr>
      <w:r w:rsidRPr="008E0C6A">
        <w:rPr>
          <w:rFonts w:ascii="Times New Roman" w:hAnsi="Times New Roman" w:cs="Times New Roman"/>
        </w:rPr>
        <w:t xml:space="preserve">F. Yates, </w:t>
      </w:r>
      <w:r w:rsidRPr="008E0C6A">
        <w:rPr>
          <w:rFonts w:ascii="Times New Roman" w:hAnsi="Times New Roman" w:cs="Times New Roman"/>
          <w:i/>
        </w:rPr>
        <w:t>The Occult Philosophy in the Elizabethan Age</w:t>
      </w:r>
      <w:r w:rsidRPr="008E0C6A">
        <w:rPr>
          <w:rFonts w:ascii="Times New Roman" w:hAnsi="Times New Roman" w:cs="Times New Roman"/>
        </w:rPr>
        <w:t>, Routledge Classics, London/New York 2001, pp. 19-27 (prima ed. 1979).</w:t>
      </w:r>
    </w:p>
    <w:p w14:paraId="3630D20B" w14:textId="77777777" w:rsidR="00276556" w:rsidRPr="008E0C6A" w:rsidRDefault="00276556" w:rsidP="006B16F8">
      <w:pPr>
        <w:spacing w:line="360" w:lineRule="auto"/>
        <w:jc w:val="both"/>
        <w:rPr>
          <w:rFonts w:ascii="Times New Roman" w:hAnsi="Times New Roman" w:cs="Times New Roman"/>
        </w:rPr>
      </w:pPr>
    </w:p>
    <w:p w14:paraId="2DC2909B" w14:textId="21D5FC6D" w:rsidR="001C489E" w:rsidRDefault="00276556" w:rsidP="006B16F8">
      <w:pPr>
        <w:spacing w:line="360" w:lineRule="auto"/>
        <w:jc w:val="both"/>
        <w:rPr>
          <w:rFonts w:ascii="Times New Roman" w:hAnsi="Times New Roman" w:cs="Times New Roman"/>
          <w:lang w:val="de-DE"/>
        </w:rPr>
      </w:pPr>
      <w:r w:rsidRPr="008E0C6A">
        <w:rPr>
          <w:rFonts w:ascii="Times New Roman" w:hAnsi="Times New Roman" w:cs="Times New Roman"/>
          <w:lang w:val="de-DE"/>
        </w:rPr>
        <w:t xml:space="preserve">Yovel, </w:t>
      </w:r>
      <w:r w:rsidRPr="008E0C6A">
        <w:rPr>
          <w:rFonts w:ascii="Times New Roman" w:hAnsi="Times New Roman" w:cs="Times New Roman"/>
          <w:i/>
          <w:lang w:val="de-DE"/>
        </w:rPr>
        <w:t>Dark Riddle: Hegel, Nietzsche, and the Jews</w:t>
      </w:r>
      <w:r w:rsidRPr="008E0C6A">
        <w:rPr>
          <w:rFonts w:ascii="Times New Roman" w:hAnsi="Times New Roman" w:cs="Times New Roman"/>
          <w:lang w:val="de-DE"/>
        </w:rPr>
        <w:t>, Penn State University Press, University Park 1998</w:t>
      </w:r>
      <w:r w:rsidR="003C19CC">
        <w:rPr>
          <w:rFonts w:ascii="Times New Roman" w:hAnsi="Times New Roman" w:cs="Times New Roman"/>
          <w:lang w:val="de-DE"/>
        </w:rPr>
        <w:t>.</w:t>
      </w:r>
    </w:p>
    <w:p w14:paraId="1C324428" w14:textId="77777777" w:rsidR="001C489E" w:rsidRDefault="001C489E" w:rsidP="006B16F8">
      <w:pPr>
        <w:spacing w:line="360" w:lineRule="auto"/>
        <w:jc w:val="both"/>
        <w:rPr>
          <w:rFonts w:ascii="Times New Roman" w:hAnsi="Times New Roman" w:cs="Times New Roman"/>
        </w:rPr>
      </w:pPr>
    </w:p>
    <w:p w14:paraId="3F626410" w14:textId="77777777" w:rsidR="004A43BF" w:rsidRDefault="004A43BF" w:rsidP="006B16F8">
      <w:pPr>
        <w:spacing w:line="360" w:lineRule="auto"/>
        <w:jc w:val="both"/>
        <w:rPr>
          <w:rFonts w:ascii="Times New Roman" w:hAnsi="Times New Roman" w:cs="Times New Roman"/>
        </w:rPr>
      </w:pPr>
    </w:p>
    <w:p w14:paraId="3CA5880A" w14:textId="77777777" w:rsidR="004A43BF" w:rsidRDefault="004A43BF" w:rsidP="006B16F8">
      <w:pPr>
        <w:spacing w:line="360" w:lineRule="auto"/>
        <w:jc w:val="both"/>
        <w:rPr>
          <w:rFonts w:ascii="Times New Roman" w:hAnsi="Times New Roman" w:cs="Times New Roman"/>
        </w:rPr>
      </w:pPr>
    </w:p>
    <w:p w14:paraId="3560B363" w14:textId="77777777" w:rsidR="004A43BF" w:rsidRDefault="004A43BF" w:rsidP="006B16F8">
      <w:pPr>
        <w:spacing w:line="360" w:lineRule="auto"/>
        <w:jc w:val="both"/>
        <w:rPr>
          <w:rFonts w:ascii="Times New Roman" w:hAnsi="Times New Roman" w:cs="Times New Roman"/>
        </w:rPr>
      </w:pPr>
    </w:p>
    <w:p w14:paraId="59CEA8F1" w14:textId="77777777" w:rsidR="004A43BF" w:rsidRDefault="004A43BF" w:rsidP="006B16F8">
      <w:pPr>
        <w:spacing w:line="360" w:lineRule="auto"/>
        <w:jc w:val="both"/>
        <w:rPr>
          <w:rFonts w:ascii="Times New Roman" w:hAnsi="Times New Roman" w:cs="Times New Roman"/>
        </w:rPr>
      </w:pPr>
    </w:p>
    <w:p w14:paraId="6834066E" w14:textId="77777777" w:rsidR="004A43BF" w:rsidRDefault="004A43BF" w:rsidP="006B16F8">
      <w:pPr>
        <w:spacing w:line="360" w:lineRule="auto"/>
        <w:jc w:val="both"/>
        <w:rPr>
          <w:rFonts w:ascii="Times New Roman" w:hAnsi="Times New Roman" w:cs="Times New Roman"/>
        </w:rPr>
      </w:pPr>
    </w:p>
    <w:p w14:paraId="2EE7A4D8" w14:textId="77777777" w:rsidR="004A43BF" w:rsidRDefault="004A43BF" w:rsidP="006B16F8">
      <w:pPr>
        <w:spacing w:line="360" w:lineRule="auto"/>
        <w:jc w:val="both"/>
        <w:rPr>
          <w:rFonts w:ascii="Times New Roman" w:hAnsi="Times New Roman" w:cs="Times New Roman"/>
        </w:rPr>
      </w:pPr>
    </w:p>
    <w:p w14:paraId="07ABC81E" w14:textId="77777777" w:rsidR="004A43BF" w:rsidRDefault="004A43BF" w:rsidP="006B16F8">
      <w:pPr>
        <w:spacing w:line="360" w:lineRule="auto"/>
        <w:jc w:val="both"/>
        <w:rPr>
          <w:rFonts w:ascii="Times New Roman" w:hAnsi="Times New Roman" w:cs="Times New Roman"/>
        </w:rPr>
      </w:pPr>
    </w:p>
    <w:p w14:paraId="6428CB9D" w14:textId="77777777" w:rsidR="004A43BF" w:rsidRDefault="004A43BF" w:rsidP="006B16F8">
      <w:pPr>
        <w:spacing w:line="360" w:lineRule="auto"/>
        <w:jc w:val="both"/>
        <w:rPr>
          <w:rFonts w:ascii="Times New Roman" w:hAnsi="Times New Roman" w:cs="Times New Roman"/>
        </w:rPr>
      </w:pPr>
    </w:p>
    <w:p w14:paraId="0C182007" w14:textId="77777777" w:rsidR="004A43BF" w:rsidRDefault="004A43BF" w:rsidP="006B16F8">
      <w:pPr>
        <w:spacing w:line="360" w:lineRule="auto"/>
        <w:jc w:val="both"/>
        <w:rPr>
          <w:rFonts w:ascii="Times New Roman" w:hAnsi="Times New Roman" w:cs="Times New Roman"/>
        </w:rPr>
      </w:pPr>
    </w:p>
    <w:p w14:paraId="149165CB" w14:textId="77777777" w:rsidR="004A43BF" w:rsidRDefault="004A43BF" w:rsidP="006B16F8">
      <w:pPr>
        <w:spacing w:line="360" w:lineRule="auto"/>
        <w:jc w:val="both"/>
        <w:rPr>
          <w:rFonts w:ascii="Times New Roman" w:hAnsi="Times New Roman" w:cs="Times New Roman"/>
        </w:rPr>
      </w:pPr>
    </w:p>
    <w:p w14:paraId="28FAC788" w14:textId="77777777" w:rsidR="004A43BF" w:rsidRDefault="004A43BF" w:rsidP="006B16F8">
      <w:pPr>
        <w:spacing w:line="360" w:lineRule="auto"/>
        <w:jc w:val="both"/>
        <w:rPr>
          <w:rFonts w:ascii="Times New Roman" w:hAnsi="Times New Roman" w:cs="Times New Roman"/>
        </w:rPr>
      </w:pPr>
    </w:p>
    <w:p w14:paraId="37C57B62" w14:textId="77777777" w:rsidR="004A43BF" w:rsidRDefault="004A43BF" w:rsidP="006B16F8">
      <w:pPr>
        <w:spacing w:line="360" w:lineRule="auto"/>
        <w:jc w:val="both"/>
        <w:rPr>
          <w:rFonts w:ascii="Times New Roman" w:hAnsi="Times New Roman" w:cs="Times New Roman"/>
        </w:rPr>
      </w:pPr>
    </w:p>
    <w:p w14:paraId="2E1B2350" w14:textId="77777777" w:rsidR="004A43BF" w:rsidRDefault="004A43BF" w:rsidP="006B16F8">
      <w:pPr>
        <w:spacing w:line="360" w:lineRule="auto"/>
        <w:jc w:val="both"/>
        <w:rPr>
          <w:rFonts w:ascii="Times New Roman" w:hAnsi="Times New Roman" w:cs="Times New Roman"/>
        </w:rPr>
      </w:pPr>
    </w:p>
    <w:p w14:paraId="62267D31" w14:textId="77777777" w:rsidR="004A43BF" w:rsidRDefault="004A43BF" w:rsidP="006B16F8">
      <w:pPr>
        <w:spacing w:line="360" w:lineRule="auto"/>
        <w:jc w:val="both"/>
        <w:rPr>
          <w:rFonts w:ascii="Times New Roman" w:hAnsi="Times New Roman" w:cs="Times New Roman"/>
        </w:rPr>
      </w:pPr>
    </w:p>
    <w:p w14:paraId="799DA56D" w14:textId="77777777" w:rsidR="004A43BF" w:rsidRDefault="004A43BF" w:rsidP="006B16F8">
      <w:pPr>
        <w:spacing w:line="360" w:lineRule="auto"/>
        <w:jc w:val="both"/>
        <w:rPr>
          <w:rFonts w:ascii="Times New Roman" w:hAnsi="Times New Roman" w:cs="Times New Roman"/>
        </w:rPr>
      </w:pPr>
    </w:p>
    <w:p w14:paraId="2FE044A1" w14:textId="77777777" w:rsidR="004A43BF" w:rsidRDefault="004A43BF" w:rsidP="006B16F8">
      <w:pPr>
        <w:spacing w:line="360" w:lineRule="auto"/>
        <w:jc w:val="both"/>
        <w:rPr>
          <w:rFonts w:ascii="Times New Roman" w:hAnsi="Times New Roman" w:cs="Times New Roman"/>
        </w:rPr>
      </w:pPr>
    </w:p>
    <w:p w14:paraId="49B59C0B" w14:textId="77777777" w:rsidR="004A43BF" w:rsidRDefault="004A43BF" w:rsidP="006B16F8">
      <w:pPr>
        <w:spacing w:line="360" w:lineRule="auto"/>
        <w:jc w:val="both"/>
        <w:rPr>
          <w:rFonts w:ascii="Times New Roman" w:hAnsi="Times New Roman" w:cs="Times New Roman"/>
        </w:rPr>
      </w:pPr>
    </w:p>
    <w:p w14:paraId="57303DBE" w14:textId="77777777" w:rsidR="004A43BF" w:rsidRDefault="004A43BF" w:rsidP="006B16F8">
      <w:pPr>
        <w:spacing w:line="360" w:lineRule="auto"/>
        <w:jc w:val="both"/>
        <w:rPr>
          <w:rFonts w:ascii="Times New Roman" w:hAnsi="Times New Roman" w:cs="Times New Roman"/>
        </w:rPr>
      </w:pPr>
    </w:p>
    <w:p w14:paraId="70BD8381" w14:textId="77777777" w:rsidR="004A43BF" w:rsidRDefault="004A43BF" w:rsidP="006B16F8">
      <w:pPr>
        <w:spacing w:line="360" w:lineRule="auto"/>
        <w:jc w:val="both"/>
        <w:rPr>
          <w:rFonts w:ascii="Times New Roman" w:hAnsi="Times New Roman" w:cs="Times New Roman"/>
        </w:rPr>
      </w:pPr>
    </w:p>
    <w:p w14:paraId="316AD1C4" w14:textId="77777777" w:rsidR="004A43BF" w:rsidRDefault="004A43BF" w:rsidP="006B16F8">
      <w:pPr>
        <w:spacing w:line="360" w:lineRule="auto"/>
        <w:jc w:val="both"/>
        <w:rPr>
          <w:rFonts w:ascii="Times New Roman" w:hAnsi="Times New Roman" w:cs="Times New Roman"/>
        </w:rPr>
      </w:pPr>
    </w:p>
    <w:p w14:paraId="69FE273D" w14:textId="77777777" w:rsidR="004A43BF" w:rsidRDefault="004A43BF" w:rsidP="006B16F8">
      <w:pPr>
        <w:spacing w:line="360" w:lineRule="auto"/>
        <w:jc w:val="both"/>
        <w:rPr>
          <w:rFonts w:ascii="Times New Roman" w:hAnsi="Times New Roman" w:cs="Times New Roman"/>
        </w:rPr>
      </w:pPr>
    </w:p>
    <w:p w14:paraId="56344399" w14:textId="77777777" w:rsidR="004A43BF" w:rsidRDefault="004A43BF" w:rsidP="006B16F8">
      <w:pPr>
        <w:spacing w:line="360" w:lineRule="auto"/>
        <w:jc w:val="both"/>
        <w:rPr>
          <w:rFonts w:ascii="Times New Roman" w:hAnsi="Times New Roman" w:cs="Times New Roman"/>
        </w:rPr>
      </w:pPr>
    </w:p>
    <w:p w14:paraId="2E1228C3" w14:textId="77777777" w:rsidR="004A43BF" w:rsidRDefault="004A43BF" w:rsidP="006B16F8">
      <w:pPr>
        <w:spacing w:line="360" w:lineRule="auto"/>
        <w:jc w:val="both"/>
        <w:rPr>
          <w:rFonts w:ascii="Times New Roman" w:hAnsi="Times New Roman" w:cs="Times New Roman"/>
        </w:rPr>
      </w:pPr>
    </w:p>
    <w:p w14:paraId="09B29510" w14:textId="77777777" w:rsidR="004A43BF" w:rsidRPr="00AD6A18" w:rsidRDefault="004A43BF" w:rsidP="006B16F8">
      <w:pPr>
        <w:spacing w:line="360" w:lineRule="auto"/>
        <w:jc w:val="both"/>
        <w:rPr>
          <w:rFonts w:ascii="Times New Roman" w:hAnsi="Times New Roman" w:cs="Times New Roman"/>
        </w:rPr>
      </w:pPr>
    </w:p>
    <w:p w14:paraId="5E7CE661" w14:textId="77777777" w:rsidR="00395FBC" w:rsidRPr="00290078" w:rsidRDefault="00395FBC" w:rsidP="00395FBC">
      <w:pPr>
        <w:spacing w:line="360" w:lineRule="auto"/>
        <w:jc w:val="both"/>
        <w:rPr>
          <w:rFonts w:ascii="Times New Roman" w:eastAsia="Times New Roman" w:hAnsi="Times New Roman" w:cs="Times New Roman"/>
          <w:b/>
          <w:color w:val="000000"/>
          <w:lang w:val="de-DE"/>
        </w:rPr>
      </w:pPr>
      <w:r w:rsidRPr="00290078">
        <w:rPr>
          <w:rFonts w:ascii="Times New Roman" w:eastAsia="Times New Roman" w:hAnsi="Times New Roman" w:cs="Times New Roman"/>
          <w:b/>
          <w:color w:val="000000"/>
          <w:lang w:val="de-DE"/>
        </w:rPr>
        <w:t>Ehrenwörtliche Erklärung</w:t>
      </w:r>
    </w:p>
    <w:p w14:paraId="789F0947" w14:textId="77777777" w:rsidR="00395FBC" w:rsidRPr="002655A0" w:rsidRDefault="00395FBC" w:rsidP="00395FBC">
      <w:pPr>
        <w:spacing w:line="360" w:lineRule="auto"/>
        <w:jc w:val="both"/>
        <w:rPr>
          <w:rFonts w:ascii="Times New Roman" w:eastAsia="Times New Roman" w:hAnsi="Times New Roman" w:cs="Times New Roman"/>
          <w:color w:val="000000"/>
          <w:lang w:val="de-DE"/>
        </w:rPr>
      </w:pPr>
    </w:p>
    <w:p w14:paraId="0833D42B" w14:textId="77777777" w:rsidR="00395FBC" w:rsidRDefault="00395FBC" w:rsidP="00395FBC">
      <w:pPr>
        <w:spacing w:line="360" w:lineRule="auto"/>
        <w:jc w:val="both"/>
        <w:rPr>
          <w:rFonts w:ascii="Times New Roman" w:eastAsia="Times New Roman" w:hAnsi="Times New Roman" w:cs="Times New Roman"/>
          <w:color w:val="000000"/>
          <w:lang w:val="de-DE"/>
        </w:rPr>
      </w:pPr>
      <w:r w:rsidRPr="002655A0">
        <w:rPr>
          <w:rFonts w:ascii="Times New Roman" w:eastAsia="Times New Roman" w:hAnsi="Times New Roman" w:cs="Times New Roman"/>
          <w:color w:val="000000"/>
          <w:lang w:val="de-DE"/>
        </w:rPr>
        <w:t>Ich erkläre hiermit, dass mir die geltende Promotionsordnung der Philosophischen Fakultät der Friedrich-Schiller-Universität Jena bekannt ist. Ferner erkläre ich, dass ich diese Dissertation selbst ohne unzulässige Hilfe Dritter verfasst habe. Alle von mir benutzten Hilfsmittel und Quellen in dieser Arbeit sind angegeben. Weitere Personen waren an der inhaltlich-materiellen Erstellung der Arbeit nicht beteiligt. Insbesondere wurde die Hilfe eines Promotionsberate</w:t>
      </w:r>
      <w:r>
        <w:rPr>
          <w:rFonts w:ascii="Times New Roman" w:eastAsia="Times New Roman" w:hAnsi="Times New Roman" w:cs="Times New Roman"/>
          <w:color w:val="000000"/>
          <w:lang w:val="de-DE"/>
        </w:rPr>
        <w:t>r</w:t>
      </w:r>
      <w:r w:rsidRPr="002655A0">
        <w:rPr>
          <w:rFonts w:ascii="Times New Roman" w:eastAsia="Times New Roman" w:hAnsi="Times New Roman" w:cs="Times New Roman"/>
          <w:color w:val="000000"/>
          <w:lang w:val="de-DE"/>
        </w:rPr>
        <w:t>s nicht in Anspruch genommen. Niemand hat von mir unmittelbar oder mittelbar geldwerte Leistungen für Arbeiten erhalten, die im Zusammenhang mit dem Inhalt der vorliegende Dissertation stehen.</w:t>
      </w:r>
    </w:p>
    <w:p w14:paraId="475F3456" w14:textId="77777777" w:rsidR="00395FBC" w:rsidRDefault="00395FBC" w:rsidP="00395FBC">
      <w:pPr>
        <w:spacing w:line="360" w:lineRule="auto"/>
        <w:jc w:val="both"/>
        <w:rPr>
          <w:rFonts w:ascii="Times New Roman" w:eastAsia="Times New Roman" w:hAnsi="Times New Roman" w:cs="Times New Roman"/>
          <w:color w:val="000000"/>
          <w:lang w:val="de-DE"/>
        </w:rPr>
      </w:pPr>
    </w:p>
    <w:p w14:paraId="2A67A25B" w14:textId="77777777" w:rsidR="00395FBC" w:rsidRPr="002655A0" w:rsidRDefault="00395FBC" w:rsidP="00395FBC">
      <w:pPr>
        <w:spacing w:line="360" w:lineRule="auto"/>
        <w:jc w:val="both"/>
        <w:rPr>
          <w:rFonts w:ascii="Times New Roman" w:eastAsia="Times New Roman" w:hAnsi="Times New Roman" w:cs="Times New Roman"/>
          <w:color w:val="000000"/>
          <w:lang w:val="de-DE"/>
        </w:rPr>
      </w:pPr>
      <w:r>
        <w:rPr>
          <w:rFonts w:ascii="Times New Roman" w:eastAsia="Times New Roman" w:hAnsi="Times New Roman" w:cs="Times New Roman"/>
          <w:color w:val="000000"/>
          <w:lang w:val="de-DE"/>
        </w:rPr>
        <w:t xml:space="preserve">Diese Dissertation wurde im Rahmen eines doppelt betreuten Promotionsverfahrens zwischen der Università degli Studi di Firenze und der </w:t>
      </w:r>
      <w:r w:rsidRPr="002655A0">
        <w:rPr>
          <w:rFonts w:ascii="Times New Roman" w:eastAsia="Times New Roman" w:hAnsi="Times New Roman" w:cs="Times New Roman"/>
          <w:color w:val="000000"/>
          <w:lang w:val="de-DE"/>
        </w:rPr>
        <w:t>Friedrich-Schiller-Universität Jena</w:t>
      </w:r>
      <w:r>
        <w:rPr>
          <w:rFonts w:ascii="Times New Roman" w:eastAsia="Times New Roman" w:hAnsi="Times New Roman" w:cs="Times New Roman"/>
          <w:color w:val="000000"/>
          <w:lang w:val="de-DE"/>
        </w:rPr>
        <w:t xml:space="preserve"> verfasst. Die Eröffnung des  Promotionsverfahrens sowie die Modalität der mündlichen Promotionsprüfung und die Erlangung des akademischen Titels werden nach einem speziellen, von dem Rektor der Università degli Studi di Firenze und dem Rektor der </w:t>
      </w:r>
      <w:r w:rsidRPr="002655A0">
        <w:rPr>
          <w:rFonts w:ascii="Times New Roman" w:eastAsia="Times New Roman" w:hAnsi="Times New Roman" w:cs="Times New Roman"/>
          <w:color w:val="000000"/>
          <w:lang w:val="de-DE"/>
        </w:rPr>
        <w:t>Friedrich-Schiller-Universität Jena</w:t>
      </w:r>
      <w:r>
        <w:rPr>
          <w:rFonts w:ascii="Times New Roman" w:eastAsia="Times New Roman" w:hAnsi="Times New Roman" w:cs="Times New Roman"/>
          <w:color w:val="000000"/>
          <w:lang w:val="de-DE"/>
        </w:rPr>
        <w:t xml:space="preserve"> unterschriebenen Vertag geregelt.</w:t>
      </w:r>
    </w:p>
    <w:p w14:paraId="64CC521A" w14:textId="77777777" w:rsidR="00395FBC" w:rsidRDefault="00395FBC" w:rsidP="00395FBC">
      <w:pPr>
        <w:rPr>
          <w:rFonts w:ascii="Times New Roman" w:eastAsia="Times New Roman" w:hAnsi="Times New Roman" w:cs="Times New Roman"/>
          <w:color w:val="000000"/>
        </w:rPr>
      </w:pPr>
    </w:p>
    <w:p w14:paraId="0D768F82" w14:textId="77777777" w:rsidR="00395FBC" w:rsidRDefault="00395FBC" w:rsidP="00395FBC">
      <w:pPr>
        <w:jc w:val="right"/>
        <w:rPr>
          <w:rFonts w:ascii="Times New Roman" w:eastAsia="Times New Roman" w:hAnsi="Times New Roman" w:cs="Times New Roman"/>
          <w:color w:val="000000"/>
        </w:rPr>
      </w:pPr>
      <w:r>
        <w:rPr>
          <w:rFonts w:ascii="Times New Roman" w:eastAsia="Times New Roman" w:hAnsi="Times New Roman" w:cs="Times New Roman"/>
          <w:color w:val="000000"/>
        </w:rPr>
        <w:t xml:space="preserve">Jena, den. </w:t>
      </w:r>
    </w:p>
    <w:p w14:paraId="186C1C76" w14:textId="77777777" w:rsidR="00395FBC" w:rsidRDefault="00395FBC" w:rsidP="00395FBC">
      <w:pPr>
        <w:rPr>
          <w:rFonts w:ascii="Times New Roman" w:eastAsia="Times New Roman" w:hAnsi="Times New Roman" w:cs="Times New Roman"/>
          <w:color w:val="000000"/>
        </w:rPr>
      </w:pPr>
    </w:p>
    <w:p w14:paraId="068C911E" w14:textId="77777777" w:rsidR="00395FBC" w:rsidRDefault="00395FBC" w:rsidP="00395FBC">
      <w:pPr>
        <w:rPr>
          <w:rFonts w:ascii="Times New Roman" w:eastAsia="Times New Roman" w:hAnsi="Times New Roman" w:cs="Times New Roman"/>
          <w:color w:val="000000"/>
        </w:rPr>
      </w:pPr>
    </w:p>
    <w:p w14:paraId="59A7F2DB" w14:textId="77777777" w:rsidR="00395FBC" w:rsidRDefault="00395FBC" w:rsidP="00395FBC">
      <w:pPr>
        <w:jc w:val="right"/>
        <w:rPr>
          <w:rFonts w:ascii="Times New Roman" w:eastAsia="Times New Roman" w:hAnsi="Times New Roman" w:cs="Times New Roman"/>
          <w:color w:val="000000"/>
        </w:rPr>
      </w:pPr>
      <w:r>
        <w:rPr>
          <w:rFonts w:ascii="Times New Roman" w:eastAsia="Times New Roman" w:hAnsi="Times New Roman" w:cs="Times New Roman"/>
          <w:color w:val="000000"/>
        </w:rPr>
        <w:t>Simone Farinella</w:t>
      </w:r>
    </w:p>
    <w:p w14:paraId="1B1C95ED" w14:textId="77777777" w:rsidR="00395FBC" w:rsidRDefault="00395FBC" w:rsidP="00395FBC">
      <w:pPr>
        <w:rPr>
          <w:rFonts w:ascii="Times New Roman" w:eastAsia="Times New Roman" w:hAnsi="Times New Roman" w:cs="Times New Roman"/>
          <w:color w:val="000000"/>
        </w:rPr>
      </w:pPr>
    </w:p>
    <w:p w14:paraId="092B92B1" w14:textId="77777777" w:rsidR="001C489E" w:rsidRDefault="001C489E" w:rsidP="00395FBC"/>
    <w:p w14:paraId="2556E8B0" w14:textId="77777777" w:rsidR="008B7873" w:rsidRDefault="008B7873" w:rsidP="00395FBC"/>
    <w:p w14:paraId="6C4EB9B9" w14:textId="77777777" w:rsidR="00B12C6E" w:rsidRDefault="00B12C6E" w:rsidP="00395FBC"/>
    <w:p w14:paraId="230D4096" w14:textId="77777777" w:rsidR="004A43BF" w:rsidRDefault="004A43BF" w:rsidP="00395FBC"/>
    <w:p w14:paraId="4E736FB1" w14:textId="77777777" w:rsidR="004A43BF" w:rsidRDefault="004A43BF" w:rsidP="00395FBC"/>
    <w:p w14:paraId="3D90B1CB" w14:textId="77777777" w:rsidR="004A43BF" w:rsidRDefault="004A43BF" w:rsidP="00395FBC"/>
    <w:p w14:paraId="73018013" w14:textId="77777777" w:rsidR="004A43BF" w:rsidRDefault="004A43BF" w:rsidP="00395FBC"/>
    <w:p w14:paraId="1B9B561C" w14:textId="77777777" w:rsidR="004A43BF" w:rsidRDefault="004A43BF" w:rsidP="00395FBC"/>
    <w:p w14:paraId="314337BB" w14:textId="77777777" w:rsidR="004A43BF" w:rsidRDefault="004A43BF" w:rsidP="00395FBC"/>
    <w:p w14:paraId="7ABDC650" w14:textId="77777777" w:rsidR="004A43BF" w:rsidRDefault="004A43BF" w:rsidP="00395FBC"/>
    <w:p w14:paraId="5D6DF2E8" w14:textId="77777777" w:rsidR="004A43BF" w:rsidRDefault="004A43BF" w:rsidP="00395FBC"/>
    <w:p w14:paraId="5E0C9442" w14:textId="77777777" w:rsidR="004A43BF" w:rsidRDefault="004A43BF" w:rsidP="00395FBC"/>
    <w:p w14:paraId="23A089FC" w14:textId="77777777" w:rsidR="004A43BF" w:rsidRDefault="004A43BF" w:rsidP="00395FBC"/>
    <w:p w14:paraId="60DA5280" w14:textId="77777777" w:rsidR="004A43BF" w:rsidRDefault="004A43BF" w:rsidP="00395FBC"/>
    <w:p w14:paraId="329BDD0E" w14:textId="77777777" w:rsidR="004A43BF" w:rsidRDefault="004A43BF" w:rsidP="00395FBC"/>
    <w:p w14:paraId="207C32C9" w14:textId="77777777" w:rsidR="004A43BF" w:rsidRDefault="004A43BF" w:rsidP="00395FBC"/>
    <w:p w14:paraId="57B5148C" w14:textId="77777777" w:rsidR="004A43BF" w:rsidRDefault="004A43BF" w:rsidP="00395FBC"/>
    <w:p w14:paraId="2337E340" w14:textId="77777777" w:rsidR="00B12C6E" w:rsidRDefault="00B12C6E" w:rsidP="00395FBC"/>
    <w:p w14:paraId="04387CBE" w14:textId="77777777" w:rsidR="00395FBC" w:rsidRPr="00290078" w:rsidRDefault="00395FBC" w:rsidP="00395FBC">
      <w:pPr>
        <w:spacing w:line="360" w:lineRule="auto"/>
        <w:jc w:val="both"/>
        <w:rPr>
          <w:rFonts w:ascii="Times New Roman" w:hAnsi="Times New Roman" w:cs="Times New Roman"/>
          <w:b/>
          <w:lang w:val="de-DE"/>
        </w:rPr>
      </w:pPr>
      <w:r w:rsidRPr="00290078">
        <w:rPr>
          <w:rFonts w:ascii="Times New Roman" w:hAnsi="Times New Roman" w:cs="Times New Roman"/>
          <w:b/>
          <w:lang w:val="de-DE"/>
        </w:rPr>
        <w:t xml:space="preserve">Lebenslauf </w:t>
      </w:r>
    </w:p>
    <w:p w14:paraId="061645B1" w14:textId="77777777" w:rsidR="00395FBC" w:rsidRDefault="00395FBC" w:rsidP="00395FBC">
      <w:pPr>
        <w:spacing w:line="360" w:lineRule="auto"/>
        <w:jc w:val="both"/>
        <w:rPr>
          <w:rFonts w:ascii="Times New Roman" w:hAnsi="Times New Roman" w:cs="Times New Roman"/>
          <w:lang w:val="de-DE"/>
        </w:rPr>
      </w:pPr>
    </w:p>
    <w:p w14:paraId="1F7C416A" w14:textId="77777777" w:rsidR="00395FBC" w:rsidRDefault="00395FBC" w:rsidP="00395FBC">
      <w:pPr>
        <w:spacing w:line="360" w:lineRule="auto"/>
        <w:jc w:val="both"/>
        <w:rPr>
          <w:rFonts w:ascii="Times New Roman" w:hAnsi="Times New Roman" w:cs="Times New Roman"/>
          <w:lang w:val="de-DE"/>
        </w:rPr>
      </w:pPr>
      <w:r>
        <w:rPr>
          <w:rFonts w:ascii="Times New Roman" w:hAnsi="Times New Roman" w:cs="Times New Roman"/>
          <w:lang w:val="de-DE"/>
        </w:rPr>
        <w:t>Name: Simone Farinella</w:t>
      </w:r>
    </w:p>
    <w:p w14:paraId="7CE63621" w14:textId="77777777" w:rsidR="00395FBC" w:rsidRDefault="00395FBC" w:rsidP="00395FBC">
      <w:pPr>
        <w:spacing w:line="360" w:lineRule="auto"/>
        <w:jc w:val="both"/>
        <w:rPr>
          <w:rFonts w:ascii="Times New Roman" w:hAnsi="Times New Roman" w:cs="Times New Roman"/>
          <w:lang w:val="de-DE"/>
        </w:rPr>
      </w:pPr>
    </w:p>
    <w:p w14:paraId="26B779CA" w14:textId="77777777" w:rsidR="00395FBC" w:rsidRDefault="00395FBC" w:rsidP="00395FBC">
      <w:pPr>
        <w:spacing w:line="360" w:lineRule="auto"/>
        <w:jc w:val="both"/>
        <w:rPr>
          <w:rFonts w:ascii="Times New Roman" w:hAnsi="Times New Roman" w:cs="Times New Roman"/>
          <w:lang w:val="de-DE"/>
        </w:rPr>
      </w:pPr>
      <w:r>
        <w:rPr>
          <w:rFonts w:ascii="Times New Roman" w:hAnsi="Times New Roman" w:cs="Times New Roman"/>
          <w:lang w:val="de-DE"/>
        </w:rPr>
        <w:t>Geburtsdatum: 10/05/1992</w:t>
      </w:r>
    </w:p>
    <w:p w14:paraId="67C80024" w14:textId="77777777" w:rsidR="00395FBC" w:rsidRDefault="00395FBC" w:rsidP="00395FBC">
      <w:pPr>
        <w:spacing w:line="360" w:lineRule="auto"/>
        <w:jc w:val="both"/>
        <w:rPr>
          <w:rFonts w:ascii="Times New Roman" w:hAnsi="Times New Roman" w:cs="Times New Roman"/>
          <w:lang w:val="de-DE"/>
        </w:rPr>
      </w:pPr>
    </w:p>
    <w:p w14:paraId="7EBA4309" w14:textId="77777777" w:rsidR="00395FBC" w:rsidRDefault="00395FBC" w:rsidP="00395FBC">
      <w:pPr>
        <w:spacing w:line="360" w:lineRule="auto"/>
        <w:jc w:val="both"/>
        <w:rPr>
          <w:rFonts w:ascii="Times New Roman" w:hAnsi="Times New Roman" w:cs="Times New Roman"/>
          <w:lang w:val="de-DE"/>
        </w:rPr>
      </w:pPr>
      <w:r>
        <w:rPr>
          <w:rFonts w:ascii="Times New Roman" w:hAnsi="Times New Roman" w:cs="Times New Roman"/>
          <w:lang w:val="de-DE"/>
        </w:rPr>
        <w:t>Geburtsort: Pisa</w:t>
      </w:r>
    </w:p>
    <w:p w14:paraId="4AAAA7EE" w14:textId="77777777" w:rsidR="00395FBC" w:rsidRDefault="00395FBC" w:rsidP="00395FBC">
      <w:pPr>
        <w:spacing w:line="360" w:lineRule="auto"/>
        <w:jc w:val="both"/>
        <w:rPr>
          <w:rFonts w:ascii="Times New Roman" w:hAnsi="Times New Roman" w:cs="Times New Roman"/>
          <w:lang w:val="de-DE"/>
        </w:rPr>
      </w:pPr>
    </w:p>
    <w:p w14:paraId="0FF93273" w14:textId="77777777" w:rsidR="00395FBC" w:rsidRDefault="00395FBC" w:rsidP="00395FBC">
      <w:pPr>
        <w:spacing w:line="360" w:lineRule="auto"/>
        <w:jc w:val="both"/>
        <w:rPr>
          <w:rFonts w:ascii="Times New Roman" w:hAnsi="Times New Roman" w:cs="Times New Roman"/>
          <w:lang w:val="de-DE"/>
        </w:rPr>
      </w:pPr>
      <w:r>
        <w:rPr>
          <w:rFonts w:ascii="Times New Roman" w:hAnsi="Times New Roman" w:cs="Times New Roman"/>
          <w:lang w:val="de-DE"/>
        </w:rPr>
        <w:t>Familienstand: ledig</w:t>
      </w:r>
    </w:p>
    <w:p w14:paraId="66112936" w14:textId="77777777" w:rsidR="00395FBC" w:rsidRDefault="00395FBC" w:rsidP="00395FBC">
      <w:pPr>
        <w:spacing w:line="360" w:lineRule="auto"/>
        <w:jc w:val="both"/>
        <w:rPr>
          <w:rFonts w:ascii="Times New Roman" w:hAnsi="Times New Roman" w:cs="Times New Roman"/>
          <w:lang w:val="de-DE"/>
        </w:rPr>
      </w:pPr>
    </w:p>
    <w:p w14:paraId="3B66E8BD" w14:textId="1B2601C7" w:rsidR="00395FBC" w:rsidRDefault="00395FBC" w:rsidP="00395FBC">
      <w:pPr>
        <w:spacing w:line="360" w:lineRule="auto"/>
        <w:jc w:val="both"/>
        <w:rPr>
          <w:rFonts w:ascii="Times New Roman" w:hAnsi="Times New Roman" w:cs="Times New Roman"/>
          <w:lang w:val="de-DE"/>
        </w:rPr>
      </w:pPr>
      <w:r>
        <w:rPr>
          <w:rFonts w:ascii="Times New Roman" w:hAnsi="Times New Roman" w:cs="Times New Roman"/>
          <w:lang w:val="de-DE"/>
        </w:rPr>
        <w:t>Staat</w:t>
      </w:r>
      <w:r w:rsidR="00750046">
        <w:rPr>
          <w:rFonts w:ascii="Times New Roman" w:hAnsi="Times New Roman" w:cs="Times New Roman"/>
          <w:lang w:val="de-DE"/>
        </w:rPr>
        <w:t>an</w:t>
      </w:r>
      <w:r>
        <w:rPr>
          <w:rFonts w:ascii="Times New Roman" w:hAnsi="Times New Roman" w:cs="Times New Roman"/>
          <w:lang w:val="de-DE"/>
        </w:rPr>
        <w:t>gehörigkeit: italienisch</w:t>
      </w:r>
    </w:p>
    <w:p w14:paraId="75FB789E" w14:textId="77777777" w:rsidR="00395FBC" w:rsidRDefault="00395FBC" w:rsidP="00395FBC">
      <w:pPr>
        <w:spacing w:line="360" w:lineRule="auto"/>
        <w:jc w:val="both"/>
        <w:rPr>
          <w:rFonts w:ascii="Times New Roman" w:hAnsi="Times New Roman" w:cs="Times New Roman"/>
          <w:lang w:val="de-DE"/>
        </w:rPr>
      </w:pPr>
    </w:p>
    <w:p w14:paraId="4B4F3D0F" w14:textId="77777777" w:rsidR="00395FBC" w:rsidRDefault="00395FBC" w:rsidP="00395FBC">
      <w:pPr>
        <w:spacing w:line="360" w:lineRule="auto"/>
        <w:jc w:val="both"/>
        <w:rPr>
          <w:rFonts w:ascii="Times New Roman" w:hAnsi="Times New Roman" w:cs="Times New Roman"/>
          <w:lang w:val="de-DE"/>
        </w:rPr>
      </w:pPr>
      <w:r>
        <w:rPr>
          <w:rFonts w:ascii="Times New Roman" w:hAnsi="Times New Roman" w:cs="Times New Roman"/>
          <w:lang w:val="de-DE"/>
        </w:rPr>
        <w:t>2006-2011: Liceo scientifico Francesco Cecioni, Livorno</w:t>
      </w:r>
    </w:p>
    <w:p w14:paraId="39E64570" w14:textId="77777777" w:rsidR="00395FBC" w:rsidRDefault="00395FBC" w:rsidP="00395FBC">
      <w:pPr>
        <w:spacing w:line="360" w:lineRule="auto"/>
        <w:jc w:val="both"/>
        <w:rPr>
          <w:rFonts w:ascii="Times New Roman" w:hAnsi="Times New Roman" w:cs="Times New Roman"/>
          <w:lang w:val="de-DE"/>
        </w:rPr>
      </w:pPr>
    </w:p>
    <w:p w14:paraId="52029D1F" w14:textId="77777777" w:rsidR="00395FBC" w:rsidRDefault="00395FBC" w:rsidP="00395FBC">
      <w:pPr>
        <w:spacing w:line="360" w:lineRule="auto"/>
        <w:jc w:val="both"/>
        <w:rPr>
          <w:rFonts w:ascii="Times New Roman" w:hAnsi="Times New Roman" w:cs="Times New Roman"/>
          <w:lang w:val="de-DE"/>
        </w:rPr>
      </w:pPr>
      <w:r>
        <w:rPr>
          <w:rFonts w:ascii="Times New Roman" w:hAnsi="Times New Roman" w:cs="Times New Roman"/>
          <w:lang w:val="de-DE"/>
        </w:rPr>
        <w:t>2011: Abitur (Note: 100/100)</w:t>
      </w:r>
    </w:p>
    <w:p w14:paraId="49529A62" w14:textId="77777777" w:rsidR="00395FBC" w:rsidRDefault="00395FBC" w:rsidP="00395FBC">
      <w:pPr>
        <w:spacing w:line="360" w:lineRule="auto"/>
        <w:jc w:val="both"/>
        <w:rPr>
          <w:rFonts w:ascii="Times New Roman" w:hAnsi="Times New Roman" w:cs="Times New Roman"/>
          <w:lang w:val="de-DE"/>
        </w:rPr>
      </w:pPr>
    </w:p>
    <w:p w14:paraId="00F97F91" w14:textId="77777777" w:rsidR="00395FBC" w:rsidRDefault="00395FBC" w:rsidP="00395FBC">
      <w:pPr>
        <w:spacing w:line="360" w:lineRule="auto"/>
        <w:jc w:val="both"/>
        <w:rPr>
          <w:rFonts w:ascii="Times New Roman" w:hAnsi="Times New Roman" w:cs="Times New Roman"/>
          <w:lang w:val="de-DE"/>
        </w:rPr>
      </w:pPr>
      <w:r>
        <w:rPr>
          <w:rFonts w:ascii="Times New Roman" w:hAnsi="Times New Roman" w:cs="Times New Roman"/>
          <w:lang w:val="de-DE"/>
        </w:rPr>
        <w:t>2011-2017: Studium der Philosophie an der Università degli Studi di Pisa</w:t>
      </w:r>
    </w:p>
    <w:p w14:paraId="7E9F889B" w14:textId="77777777" w:rsidR="00395FBC" w:rsidRDefault="00395FBC" w:rsidP="00395FBC">
      <w:pPr>
        <w:spacing w:line="360" w:lineRule="auto"/>
        <w:jc w:val="both"/>
        <w:rPr>
          <w:rFonts w:ascii="Times New Roman" w:hAnsi="Times New Roman" w:cs="Times New Roman"/>
          <w:lang w:val="de-DE"/>
        </w:rPr>
      </w:pPr>
    </w:p>
    <w:p w14:paraId="4948A595" w14:textId="77777777" w:rsidR="00395FBC" w:rsidRDefault="00395FBC" w:rsidP="00395FBC">
      <w:pPr>
        <w:spacing w:line="360" w:lineRule="auto"/>
        <w:jc w:val="both"/>
        <w:rPr>
          <w:rFonts w:ascii="Times New Roman" w:hAnsi="Times New Roman" w:cs="Times New Roman"/>
          <w:lang w:val="de-DE"/>
        </w:rPr>
      </w:pPr>
      <w:r>
        <w:rPr>
          <w:rFonts w:ascii="Times New Roman" w:hAnsi="Times New Roman" w:cs="Times New Roman"/>
          <w:lang w:val="de-DE"/>
        </w:rPr>
        <w:t>2014: BA (Note: 110/110 cum laude)</w:t>
      </w:r>
    </w:p>
    <w:p w14:paraId="03053381" w14:textId="77777777" w:rsidR="00395FBC" w:rsidRDefault="00395FBC" w:rsidP="00395FBC">
      <w:pPr>
        <w:spacing w:line="360" w:lineRule="auto"/>
        <w:jc w:val="both"/>
        <w:rPr>
          <w:rFonts w:ascii="Times New Roman" w:hAnsi="Times New Roman" w:cs="Times New Roman"/>
          <w:lang w:val="de-DE"/>
        </w:rPr>
      </w:pPr>
    </w:p>
    <w:p w14:paraId="79957E54" w14:textId="1FBB0E68" w:rsidR="00395FBC" w:rsidRDefault="00395FBC" w:rsidP="00395FBC">
      <w:pPr>
        <w:spacing w:line="360" w:lineRule="auto"/>
        <w:jc w:val="both"/>
        <w:rPr>
          <w:rFonts w:ascii="Times New Roman" w:eastAsia="Times New Roman" w:hAnsi="Times New Roman" w:cs="Times New Roman"/>
          <w:color w:val="000000"/>
          <w:lang w:val="de-DE"/>
        </w:rPr>
      </w:pPr>
      <w:r>
        <w:rPr>
          <w:rFonts w:ascii="Times New Roman" w:hAnsi="Times New Roman" w:cs="Times New Roman"/>
          <w:lang w:val="de-DE"/>
        </w:rPr>
        <w:t xml:space="preserve">2015-2016: </w:t>
      </w:r>
      <w:r w:rsidRPr="002655A0">
        <w:rPr>
          <w:rFonts w:ascii="Times New Roman" w:eastAsia="Times New Roman" w:hAnsi="Times New Roman" w:cs="Times New Roman"/>
          <w:color w:val="000000"/>
          <w:lang w:val="de-DE"/>
        </w:rPr>
        <w:t>Friedrich-Schiller-Universität Jena</w:t>
      </w:r>
      <w:r>
        <w:rPr>
          <w:rFonts w:ascii="Times New Roman" w:eastAsia="Times New Roman" w:hAnsi="Times New Roman" w:cs="Times New Roman"/>
          <w:color w:val="000000"/>
          <w:lang w:val="de-DE"/>
        </w:rPr>
        <w:t xml:space="preserve">: Erasmus </w:t>
      </w:r>
      <w:r w:rsidR="00C4453A">
        <w:rPr>
          <w:rFonts w:ascii="Times New Roman" w:eastAsia="Times New Roman" w:hAnsi="Times New Roman" w:cs="Times New Roman"/>
          <w:color w:val="000000"/>
          <w:lang w:val="de-DE"/>
        </w:rPr>
        <w:t xml:space="preserve">+ Programm </w:t>
      </w:r>
      <w:r>
        <w:rPr>
          <w:rFonts w:ascii="Times New Roman" w:eastAsia="Times New Roman" w:hAnsi="Times New Roman" w:cs="Times New Roman"/>
          <w:color w:val="000000"/>
          <w:lang w:val="de-DE"/>
        </w:rPr>
        <w:t>(Oktober-April)</w:t>
      </w:r>
    </w:p>
    <w:p w14:paraId="771C4BA2" w14:textId="77777777" w:rsidR="00395FBC" w:rsidRDefault="00395FBC" w:rsidP="00395FBC">
      <w:pPr>
        <w:spacing w:line="360" w:lineRule="auto"/>
        <w:jc w:val="both"/>
        <w:rPr>
          <w:rFonts w:ascii="Times New Roman" w:eastAsia="Times New Roman" w:hAnsi="Times New Roman" w:cs="Times New Roman"/>
          <w:color w:val="000000"/>
          <w:lang w:val="de-DE"/>
        </w:rPr>
      </w:pPr>
    </w:p>
    <w:p w14:paraId="138E8502" w14:textId="77777777" w:rsidR="00395FBC" w:rsidRDefault="00395FBC" w:rsidP="00395FBC">
      <w:pPr>
        <w:spacing w:line="360" w:lineRule="auto"/>
        <w:jc w:val="both"/>
        <w:rPr>
          <w:rFonts w:ascii="Times New Roman" w:hAnsi="Times New Roman" w:cs="Times New Roman"/>
          <w:lang w:val="de-DE"/>
        </w:rPr>
      </w:pPr>
      <w:r>
        <w:rPr>
          <w:rFonts w:ascii="Times New Roman" w:eastAsia="Times New Roman" w:hAnsi="Times New Roman" w:cs="Times New Roman"/>
          <w:color w:val="000000"/>
          <w:lang w:val="de-DE"/>
        </w:rPr>
        <w:t xml:space="preserve">2017: MA </w:t>
      </w:r>
      <w:r>
        <w:rPr>
          <w:rFonts w:ascii="Times New Roman" w:hAnsi="Times New Roman" w:cs="Times New Roman"/>
          <w:lang w:val="de-DE"/>
        </w:rPr>
        <w:t>(Note: 110/110 cum laude)</w:t>
      </w:r>
    </w:p>
    <w:p w14:paraId="5D915AA4" w14:textId="77777777" w:rsidR="00395FBC" w:rsidRDefault="00395FBC" w:rsidP="00395FBC">
      <w:pPr>
        <w:spacing w:line="360" w:lineRule="auto"/>
        <w:jc w:val="both"/>
        <w:rPr>
          <w:rFonts w:ascii="Times New Roman" w:hAnsi="Times New Roman" w:cs="Times New Roman"/>
          <w:lang w:val="de-DE"/>
        </w:rPr>
      </w:pPr>
    </w:p>
    <w:p w14:paraId="2C4F3945" w14:textId="77777777" w:rsidR="00395FBC" w:rsidRDefault="00395FBC" w:rsidP="00395FBC">
      <w:pPr>
        <w:spacing w:line="360" w:lineRule="auto"/>
        <w:jc w:val="both"/>
        <w:rPr>
          <w:rFonts w:ascii="Times New Roman" w:hAnsi="Times New Roman" w:cs="Times New Roman"/>
          <w:lang w:val="de-DE"/>
        </w:rPr>
      </w:pPr>
      <w:r>
        <w:rPr>
          <w:rFonts w:ascii="Times New Roman" w:hAnsi="Times New Roman" w:cs="Times New Roman"/>
          <w:lang w:val="de-DE"/>
        </w:rPr>
        <w:t xml:space="preserve">2017-2020: Promotionsverfahren (Cotutelle): </w:t>
      </w:r>
      <w:r>
        <w:rPr>
          <w:rFonts w:ascii="Times New Roman" w:eastAsia="Times New Roman" w:hAnsi="Times New Roman" w:cs="Times New Roman"/>
          <w:color w:val="000000"/>
          <w:lang w:val="de-DE"/>
        </w:rPr>
        <w:t xml:space="preserve">Università degli Studi di Firenze und </w:t>
      </w:r>
      <w:r w:rsidRPr="002655A0">
        <w:rPr>
          <w:rFonts w:ascii="Times New Roman" w:eastAsia="Times New Roman" w:hAnsi="Times New Roman" w:cs="Times New Roman"/>
          <w:color w:val="000000"/>
          <w:lang w:val="de-DE"/>
        </w:rPr>
        <w:t>Friedrich-Schiller-Universität Jena</w:t>
      </w:r>
    </w:p>
    <w:p w14:paraId="5F1FB558" w14:textId="77777777" w:rsidR="00395FBC" w:rsidRPr="00D97F7B" w:rsidRDefault="00395FBC" w:rsidP="006B16F8">
      <w:pPr>
        <w:spacing w:line="360" w:lineRule="auto"/>
        <w:jc w:val="both"/>
        <w:rPr>
          <w:rFonts w:ascii="Times New Roman" w:eastAsia="Times New Roman" w:hAnsi="Times New Roman" w:cs="Times New Roman"/>
          <w:color w:val="000000"/>
        </w:rPr>
      </w:pPr>
    </w:p>
    <w:sectPr w:rsidR="00395FBC" w:rsidRPr="00D97F7B" w:rsidSect="003B4794">
      <w:footnotePr>
        <w:numRestart w:val="eachSect"/>
      </w:footnotePr>
      <w:pgSz w:w="11900" w:h="16840"/>
      <w:pgMar w:top="1418" w:right="1418" w:bottom="1418" w:left="1985"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7082BD5" w14:textId="77777777" w:rsidR="00B34CC2" w:rsidRDefault="00B34CC2" w:rsidP="008D7266">
      <w:r>
        <w:separator/>
      </w:r>
    </w:p>
  </w:endnote>
  <w:endnote w:type="continuationSeparator" w:id="0">
    <w:p w14:paraId="3D643C32" w14:textId="77777777" w:rsidR="00B34CC2" w:rsidRDefault="00B34CC2" w:rsidP="008D72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ＭＳ 明朝">
    <w:charset w:val="4E"/>
    <w:family w:val="auto"/>
    <w:pitch w:val="variable"/>
    <w:sig w:usb0="E00002FF" w:usb1="6AC7FDFB" w:usb2="00000012" w:usb3="00000000" w:csb0="0002009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Lucida Grande">
    <w:panose1 w:val="020B0600040502020204"/>
    <w:charset w:val="00"/>
    <w:family w:val="auto"/>
    <w:pitch w:val="variable"/>
    <w:sig w:usb0="E1000AEF" w:usb1="5000A1FF" w:usb2="00000000" w:usb3="00000000" w:csb0="000001BF" w:csb1="00000000"/>
  </w:font>
  <w:font w:name="Verdana">
    <w:panose1 w:val="020B0604030504040204"/>
    <w:charset w:val="00"/>
    <w:family w:val="auto"/>
    <w:pitch w:val="variable"/>
    <w:sig w:usb0="A10006FF" w:usb1="4000205B" w:usb2="00000010" w:usb3="00000000" w:csb0="0000019F" w:csb1="00000000"/>
  </w:font>
  <w:font w:name="Helvetica">
    <w:panose1 w:val="00000000000000000000"/>
    <w:charset w:val="00"/>
    <w:family w:val="auto"/>
    <w:pitch w:val="variable"/>
    <w:sig w:usb0="E00002FF" w:usb1="5000785B" w:usb2="00000000" w:usb3="00000000" w:csb0="0000019F" w:csb1="00000000"/>
  </w:font>
  <w:font w:name="Times">
    <w:panose1 w:val="02000500000000000000"/>
    <w:charset w:val="00"/>
    <w:family w:val="auto"/>
    <w:pitch w:val="variable"/>
    <w:sig w:usb0="00000003" w:usb1="00000000" w:usb2="00000000" w:usb3="00000000" w:csb0="00000001" w:csb1="00000000"/>
  </w:font>
  <w:font w:name="Trebuchet MS">
    <w:panose1 w:val="020B0603020202020204"/>
    <w:charset w:val="00"/>
    <w:family w:val="auto"/>
    <w:pitch w:val="variable"/>
    <w:sig w:usb0="00000287" w:usb1="00000000" w:usb2="00000000" w:usb3="00000000" w:csb0="000000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239298" w14:textId="77777777" w:rsidR="00B34CC2" w:rsidRDefault="00B34CC2" w:rsidP="002564E2">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14:paraId="1FADB5C9" w14:textId="77777777" w:rsidR="00B34CC2" w:rsidRDefault="00B34CC2" w:rsidP="005905FF">
    <w:pPr>
      <w:pStyle w:val="Pidipagina"/>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B9749B" w14:textId="25BB29FD" w:rsidR="00B34CC2" w:rsidRDefault="00B34CC2" w:rsidP="002564E2">
    <w:pPr>
      <w:pStyle w:val="Pidipagina"/>
      <w:framePr w:wrap="around" w:vAnchor="text" w:hAnchor="page" w:x="1986" w:y="-134"/>
      <w:rPr>
        <w:rStyle w:val="Numeropagina"/>
      </w:rPr>
    </w:pPr>
    <w:r>
      <w:rPr>
        <w:rStyle w:val="Numeropagina"/>
      </w:rPr>
      <w:tab/>
      <w:t xml:space="preserve">                                                                                                                                           </w:t>
    </w:r>
    <w:r>
      <w:rPr>
        <w:rStyle w:val="Numeropagina"/>
      </w:rPr>
      <w:fldChar w:fldCharType="begin"/>
    </w:r>
    <w:r>
      <w:rPr>
        <w:rStyle w:val="Numeropagina"/>
      </w:rPr>
      <w:instrText xml:space="preserve">PAGE  </w:instrText>
    </w:r>
    <w:r>
      <w:rPr>
        <w:rStyle w:val="Numeropagina"/>
      </w:rPr>
      <w:fldChar w:fldCharType="separate"/>
    </w:r>
    <w:r w:rsidR="00CE0028">
      <w:rPr>
        <w:rStyle w:val="Numeropagina"/>
        <w:noProof/>
      </w:rPr>
      <w:t>1</w:t>
    </w:r>
    <w:r>
      <w:rPr>
        <w:rStyle w:val="Numeropagina"/>
      </w:rPr>
      <w:fldChar w:fldCharType="end"/>
    </w:r>
  </w:p>
  <w:p w14:paraId="15A57247" w14:textId="03F61BC9" w:rsidR="00B34CC2" w:rsidRDefault="00B34CC2" w:rsidP="002564E2">
    <w:pPr>
      <w:pStyle w:val="Pidipagina"/>
      <w:framePr w:wrap="around" w:vAnchor="text" w:hAnchor="page" w:x="1986" w:y="-134"/>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0E444D1" w14:textId="77777777" w:rsidR="00B34CC2" w:rsidRDefault="00B34CC2" w:rsidP="008D7266">
      <w:r>
        <w:separator/>
      </w:r>
    </w:p>
  </w:footnote>
  <w:footnote w:type="continuationSeparator" w:id="0">
    <w:p w14:paraId="3D363D30" w14:textId="77777777" w:rsidR="00B34CC2" w:rsidRDefault="00B34CC2" w:rsidP="008D7266">
      <w:r>
        <w:continuationSeparator/>
      </w:r>
    </w:p>
  </w:footnote>
  <w:footnote w:id="1">
    <w:p w14:paraId="281369D3" w14:textId="14E714C6" w:rsidR="00B34CC2" w:rsidRPr="0063336B" w:rsidRDefault="00B34CC2" w:rsidP="00F721A9">
      <w:pPr>
        <w:pStyle w:val="Testonotaapidipagina"/>
        <w:jc w:val="both"/>
        <w:rPr>
          <w:rFonts w:ascii="Times New Roman" w:hAnsi="Times New Roman" w:cs="Times New Roman"/>
          <w:sz w:val="20"/>
          <w:szCs w:val="20"/>
          <w:lang w:val="en-GB"/>
        </w:rPr>
      </w:pPr>
      <w:r w:rsidRPr="0063336B">
        <w:rPr>
          <w:rStyle w:val="Rimandonotaapidipagina"/>
          <w:rFonts w:ascii="Times New Roman" w:hAnsi="Times New Roman" w:cs="Times New Roman"/>
          <w:sz w:val="20"/>
          <w:szCs w:val="20"/>
          <w:lang w:val="en-GB"/>
        </w:rPr>
        <w:footnoteRef/>
      </w:r>
      <w:r>
        <w:rPr>
          <w:rFonts w:ascii="Times New Roman" w:hAnsi="Times New Roman" w:cs="Times New Roman"/>
          <w:sz w:val="20"/>
          <w:szCs w:val="20"/>
          <w:lang w:val="en-GB"/>
        </w:rPr>
        <w:t xml:space="preserve"> W</w:t>
      </w:r>
      <w:r w:rsidRPr="0063336B">
        <w:rPr>
          <w:rFonts w:ascii="Times New Roman" w:hAnsi="Times New Roman" w:cs="Times New Roman"/>
          <w:sz w:val="20"/>
          <w:szCs w:val="20"/>
          <w:lang w:val="en-GB"/>
        </w:rPr>
        <w:t xml:space="preserve">. Sellars, </w:t>
      </w:r>
      <w:r w:rsidRPr="0063336B">
        <w:rPr>
          <w:rFonts w:ascii="Times New Roman" w:hAnsi="Times New Roman" w:cs="Times New Roman"/>
          <w:i/>
          <w:sz w:val="20"/>
          <w:szCs w:val="20"/>
          <w:lang w:val="en-GB"/>
        </w:rPr>
        <w:t>Empiricism and the Philosophy of Mind</w:t>
      </w:r>
      <w:r w:rsidRPr="0063336B">
        <w:rPr>
          <w:rFonts w:ascii="Times New Roman" w:hAnsi="Times New Roman" w:cs="Times New Roman"/>
          <w:sz w:val="20"/>
          <w:szCs w:val="20"/>
          <w:lang w:val="en-GB"/>
        </w:rPr>
        <w:t xml:space="preserve">, with an introduction of R. Rorty and a study guide </w:t>
      </w:r>
      <w:r>
        <w:rPr>
          <w:rFonts w:ascii="Times New Roman" w:hAnsi="Times New Roman" w:cs="Times New Roman"/>
          <w:sz w:val="20"/>
          <w:szCs w:val="20"/>
          <w:lang w:val="en-GB"/>
        </w:rPr>
        <w:t>of R. Brandom, Harvard Universit</w:t>
      </w:r>
      <w:r w:rsidRPr="0063336B">
        <w:rPr>
          <w:rFonts w:ascii="Times New Roman" w:hAnsi="Times New Roman" w:cs="Times New Roman"/>
          <w:sz w:val="20"/>
          <w:szCs w:val="20"/>
          <w:lang w:val="en-GB"/>
        </w:rPr>
        <w:t>y Press, Cambridge (Massachusetts) 1997.</w:t>
      </w:r>
    </w:p>
  </w:footnote>
  <w:footnote w:id="2">
    <w:p w14:paraId="2C9B6F3B" w14:textId="1F1BC06D" w:rsidR="00B34CC2" w:rsidRPr="0063336B" w:rsidRDefault="00B34CC2" w:rsidP="00F721A9">
      <w:pPr>
        <w:pStyle w:val="Testonotaapidipagina"/>
        <w:jc w:val="both"/>
        <w:rPr>
          <w:rFonts w:ascii="Times New Roman" w:hAnsi="Times New Roman" w:cs="Times New Roman"/>
          <w:sz w:val="20"/>
          <w:szCs w:val="20"/>
        </w:rPr>
      </w:pPr>
      <w:r w:rsidRPr="006C0B44">
        <w:rPr>
          <w:rStyle w:val="Rimandonotaapidipagina"/>
          <w:rFonts w:ascii="Times New Roman" w:hAnsi="Times New Roman" w:cs="Times New Roman"/>
          <w:sz w:val="20"/>
          <w:szCs w:val="20"/>
        </w:rPr>
        <w:footnoteRef/>
      </w:r>
      <w:r w:rsidRPr="006C0B44">
        <w:rPr>
          <w:rFonts w:ascii="Times New Roman" w:hAnsi="Times New Roman" w:cs="Times New Roman"/>
          <w:sz w:val="20"/>
          <w:szCs w:val="20"/>
        </w:rPr>
        <w:t xml:space="preserve"> A testimonianza del rilevanza dell’interpretazione americana del pensiero di Hegel, si può ricordare – volendosi limitare al dibattito filosofico italiano – il lavoro di Luca Corti, </w:t>
      </w:r>
      <w:r w:rsidRPr="006C0B44">
        <w:rPr>
          <w:rFonts w:ascii="Times New Roman" w:hAnsi="Times New Roman" w:cs="Times New Roman"/>
          <w:i/>
          <w:sz w:val="20"/>
          <w:szCs w:val="20"/>
        </w:rPr>
        <w:t>Ritratti hegeliani</w:t>
      </w:r>
      <w:r w:rsidRPr="006C0B44">
        <w:rPr>
          <w:rFonts w:ascii="Times New Roman" w:hAnsi="Times New Roman" w:cs="Times New Roman"/>
          <w:sz w:val="20"/>
          <w:szCs w:val="20"/>
        </w:rPr>
        <w:t>, Carocci, Roma 2014, in cui sono discusse le proposte filosofiche di Wilfred Sellars, John Mcdowell, Robert Brandom, Robert Pippin and Terry Pinkard.</w:t>
      </w:r>
    </w:p>
  </w:footnote>
  <w:footnote w:id="3">
    <w:p w14:paraId="0BA7EABE" w14:textId="77777777" w:rsidR="00B34CC2" w:rsidRPr="00A42379" w:rsidRDefault="00B34CC2" w:rsidP="00F721A9">
      <w:pPr>
        <w:pStyle w:val="Testonotaapidipagina"/>
        <w:jc w:val="both"/>
        <w:rPr>
          <w:rFonts w:ascii="Times New Roman" w:hAnsi="Times New Roman" w:cs="Times New Roman"/>
          <w:sz w:val="20"/>
          <w:szCs w:val="20"/>
        </w:rPr>
      </w:pPr>
      <w:r w:rsidRPr="00E244E7">
        <w:rPr>
          <w:rStyle w:val="Rimandonotaapidipagina"/>
          <w:rFonts w:ascii="Times New Roman" w:hAnsi="Times New Roman" w:cs="Times New Roman"/>
          <w:sz w:val="20"/>
          <w:szCs w:val="20"/>
        </w:rPr>
        <w:footnoteRef/>
      </w:r>
      <w:r w:rsidRPr="00E244E7">
        <w:rPr>
          <w:rFonts w:ascii="Times New Roman" w:hAnsi="Times New Roman" w:cs="Times New Roman"/>
          <w:sz w:val="20"/>
          <w:szCs w:val="20"/>
        </w:rPr>
        <w:t xml:space="preserve"> Di Houlgate vedi </w:t>
      </w:r>
      <w:r w:rsidRPr="00E244E7">
        <w:rPr>
          <w:rFonts w:ascii="Times New Roman" w:hAnsi="Times New Roman" w:cs="Times New Roman"/>
          <w:i/>
          <w:sz w:val="20"/>
          <w:szCs w:val="20"/>
        </w:rPr>
        <w:t>The Opening of Hegel’s Logic,</w:t>
      </w:r>
      <w:r w:rsidRPr="00E244E7">
        <w:rPr>
          <w:rFonts w:ascii="Times New Roman" w:hAnsi="Times New Roman" w:cs="Times New Roman"/>
          <w:sz w:val="20"/>
          <w:szCs w:val="20"/>
        </w:rPr>
        <w:t xml:space="preserve"> Purdue University Press, Idiana 2006, pp. 137-143, in cui è rigettata la lettura trascendentale della logica hegeliana offerta da Pippin in </w:t>
      </w:r>
      <w:r w:rsidRPr="00E244E7">
        <w:rPr>
          <w:rFonts w:ascii="Times New Roman" w:hAnsi="Times New Roman" w:cs="Times New Roman"/>
          <w:i/>
          <w:sz w:val="20"/>
          <w:szCs w:val="20"/>
        </w:rPr>
        <w:t>Hegel’s Idealism: The Satisfaction of Self-Consciousness</w:t>
      </w:r>
      <w:r w:rsidRPr="00E244E7">
        <w:rPr>
          <w:rFonts w:ascii="Times New Roman" w:hAnsi="Times New Roman" w:cs="Times New Roman"/>
          <w:sz w:val="20"/>
          <w:szCs w:val="20"/>
        </w:rPr>
        <w:t xml:space="preserve">. Di Ferrarin cfr. </w:t>
      </w:r>
      <w:r w:rsidRPr="00E244E7">
        <w:rPr>
          <w:rFonts w:ascii="Times New Roman" w:hAnsi="Times New Roman" w:cs="Times New Roman"/>
          <w:i/>
          <w:sz w:val="20"/>
          <w:szCs w:val="20"/>
        </w:rPr>
        <w:t>Thinking and the I: Hegel and the Critique of Kant</w:t>
      </w:r>
      <w:r w:rsidRPr="00E244E7">
        <w:rPr>
          <w:rFonts w:ascii="Times New Roman" w:hAnsi="Times New Roman" w:cs="Times New Roman"/>
          <w:sz w:val="20"/>
          <w:szCs w:val="20"/>
        </w:rPr>
        <w:t>, Northwestern University Press, 2019, pp. 36-39, in cui sono analizzate criticamente alcune interpretazioni recenti (Brandom e Pippin) della tematica hegeliana del riconoscimento.</w:t>
      </w:r>
      <w:r>
        <w:rPr>
          <w:rFonts w:ascii="Times New Roman" w:hAnsi="Times New Roman" w:cs="Times New Roman"/>
          <w:sz w:val="20"/>
          <w:szCs w:val="20"/>
        </w:rPr>
        <w:t xml:space="preserve"> </w:t>
      </w:r>
    </w:p>
  </w:footnote>
  <w:footnote w:id="4">
    <w:p w14:paraId="43E538FD" w14:textId="77777777" w:rsidR="00B34CC2" w:rsidRPr="00041588" w:rsidRDefault="00B34CC2" w:rsidP="00F721A9">
      <w:pPr>
        <w:pStyle w:val="Testonotaapidipagina"/>
        <w:jc w:val="both"/>
      </w:pPr>
      <w:r w:rsidRPr="00A42379">
        <w:rPr>
          <w:rStyle w:val="Rimandonotaapidipagina"/>
          <w:rFonts w:ascii="Times New Roman" w:hAnsi="Times New Roman" w:cs="Times New Roman"/>
          <w:sz w:val="20"/>
          <w:szCs w:val="20"/>
        </w:rPr>
        <w:footnoteRef/>
      </w:r>
      <w:r w:rsidRPr="00A42379">
        <w:rPr>
          <w:rFonts w:ascii="Times New Roman" w:hAnsi="Times New Roman" w:cs="Times New Roman"/>
          <w:sz w:val="20"/>
          <w:szCs w:val="20"/>
        </w:rPr>
        <w:t xml:space="preserve"> R. Pippin, </w:t>
      </w:r>
      <w:r w:rsidRPr="00A42379">
        <w:rPr>
          <w:rFonts w:ascii="Times New Roman" w:hAnsi="Times New Roman" w:cs="Times New Roman"/>
          <w:i/>
          <w:sz w:val="20"/>
          <w:szCs w:val="20"/>
        </w:rPr>
        <w:t>Hegel’s Idealism: The Satisfaction of Self-Consciousness</w:t>
      </w:r>
      <w:r w:rsidRPr="00A42379">
        <w:rPr>
          <w:rFonts w:ascii="Times New Roman" w:hAnsi="Times New Roman" w:cs="Times New Roman"/>
          <w:sz w:val="20"/>
          <w:szCs w:val="20"/>
        </w:rPr>
        <w:t>, Cambridge University Press, Cambridge 1989.</w:t>
      </w:r>
    </w:p>
  </w:footnote>
  <w:footnote w:id="5">
    <w:p w14:paraId="2FD85488" w14:textId="77777777" w:rsidR="00B34CC2" w:rsidRPr="00E244E7" w:rsidRDefault="00B34CC2" w:rsidP="00F721A9">
      <w:pPr>
        <w:pStyle w:val="Testonotaapidipagina"/>
        <w:jc w:val="both"/>
        <w:rPr>
          <w:rFonts w:ascii="Times New Roman" w:hAnsi="Times New Roman" w:cs="Times New Roman"/>
          <w:sz w:val="20"/>
          <w:szCs w:val="20"/>
          <w:lang w:val="en-GB"/>
        </w:rPr>
      </w:pPr>
      <w:r w:rsidRPr="00E244E7">
        <w:rPr>
          <w:rStyle w:val="Rimandonotaapidipagina"/>
          <w:rFonts w:ascii="Times New Roman" w:hAnsi="Times New Roman" w:cs="Times New Roman"/>
          <w:sz w:val="20"/>
          <w:szCs w:val="20"/>
          <w:lang w:val="en-GB"/>
        </w:rPr>
        <w:footnoteRef/>
      </w:r>
      <w:r w:rsidRPr="00E244E7">
        <w:rPr>
          <w:rFonts w:ascii="Times New Roman" w:hAnsi="Times New Roman" w:cs="Times New Roman"/>
          <w:sz w:val="20"/>
          <w:szCs w:val="20"/>
          <w:lang w:val="en-GB"/>
        </w:rPr>
        <w:t xml:space="preserve"> R. Pippin, </w:t>
      </w:r>
      <w:r w:rsidRPr="00E244E7">
        <w:rPr>
          <w:rFonts w:ascii="Times New Roman" w:hAnsi="Times New Roman" w:cs="Times New Roman"/>
          <w:i/>
          <w:sz w:val="20"/>
          <w:szCs w:val="20"/>
          <w:lang w:val="en-GB"/>
        </w:rPr>
        <w:t>Hegel’s Realm of Shadows. Logic as Metaphysics in The Science of Logic</w:t>
      </w:r>
      <w:r w:rsidRPr="00E244E7">
        <w:rPr>
          <w:rFonts w:ascii="Times New Roman" w:hAnsi="Times New Roman" w:cs="Times New Roman"/>
          <w:sz w:val="20"/>
          <w:szCs w:val="20"/>
          <w:lang w:val="en-GB"/>
        </w:rPr>
        <w:t>, The University of Chicago Press, Chicago/London 2019.</w:t>
      </w:r>
    </w:p>
  </w:footnote>
  <w:footnote w:id="6">
    <w:p w14:paraId="15D93EBE" w14:textId="5FD45086" w:rsidR="00B34CC2" w:rsidRPr="005B57E0" w:rsidRDefault="00B34CC2" w:rsidP="00F721A9">
      <w:pPr>
        <w:pStyle w:val="Testonotaapidipagina"/>
        <w:jc w:val="both"/>
        <w:rPr>
          <w:rFonts w:ascii="Times New Roman" w:hAnsi="Times New Roman" w:cs="Times New Roman"/>
          <w:sz w:val="20"/>
          <w:szCs w:val="20"/>
        </w:rPr>
      </w:pPr>
      <w:r w:rsidRPr="00E244E7">
        <w:rPr>
          <w:rStyle w:val="Rimandonotaapidipagina"/>
          <w:rFonts w:ascii="Times New Roman" w:hAnsi="Times New Roman" w:cs="Times New Roman"/>
          <w:sz w:val="20"/>
          <w:szCs w:val="20"/>
        </w:rPr>
        <w:footnoteRef/>
      </w:r>
      <w:r w:rsidRPr="00E244E7">
        <w:rPr>
          <w:rFonts w:ascii="Times New Roman" w:hAnsi="Times New Roman" w:cs="Times New Roman"/>
          <w:sz w:val="20"/>
          <w:szCs w:val="20"/>
        </w:rPr>
        <w:t xml:space="preserve"> Di questo atteggiamento, capace di far interagire i classici della tradizione continentale con alcuni interpreti e momenti del pensiero filosofico americano, mi sembrano significativi i contributi di Axel Honneth </w:t>
      </w:r>
      <w:r w:rsidRPr="00E244E7">
        <w:rPr>
          <w:rFonts w:ascii="Times New Roman" w:hAnsi="Times New Roman" w:cs="Times New Roman"/>
          <w:i/>
          <w:sz w:val="20"/>
          <w:szCs w:val="20"/>
        </w:rPr>
        <w:t>Das Ich im Wir</w:t>
      </w:r>
      <w:r w:rsidRPr="00E244E7">
        <w:rPr>
          <w:rFonts w:ascii="Times New Roman" w:hAnsi="Times New Roman" w:cs="Times New Roman"/>
          <w:sz w:val="20"/>
          <w:szCs w:val="20"/>
        </w:rPr>
        <w:t xml:space="preserve">. </w:t>
      </w:r>
      <w:r w:rsidRPr="00E244E7">
        <w:rPr>
          <w:rFonts w:ascii="Times New Roman" w:hAnsi="Times New Roman" w:cs="Times New Roman"/>
          <w:i/>
          <w:sz w:val="20"/>
          <w:szCs w:val="20"/>
        </w:rPr>
        <w:t>Studien zur Anerkennungstheorie</w:t>
      </w:r>
      <w:r w:rsidRPr="00E244E7">
        <w:rPr>
          <w:rFonts w:ascii="Times New Roman" w:hAnsi="Times New Roman" w:cs="Times New Roman"/>
          <w:sz w:val="20"/>
          <w:szCs w:val="20"/>
        </w:rPr>
        <w:t xml:space="preserve">, Suhrkamp, Frankfurt am Main 2010 e </w:t>
      </w:r>
      <w:r w:rsidRPr="00E244E7">
        <w:rPr>
          <w:rFonts w:ascii="Times New Roman" w:hAnsi="Times New Roman" w:cs="Times New Roman"/>
          <w:i/>
          <w:sz w:val="20"/>
          <w:szCs w:val="20"/>
        </w:rPr>
        <w:t>Die Armut unserer Freiheit</w:t>
      </w:r>
      <w:r w:rsidRPr="00DB59EB">
        <w:rPr>
          <w:rFonts w:ascii="Times New Roman" w:hAnsi="Times New Roman" w:cs="Times New Roman"/>
          <w:i/>
          <w:sz w:val="20"/>
          <w:szCs w:val="20"/>
        </w:rPr>
        <w:t>. Aufsätze 2012-2019</w:t>
      </w:r>
      <w:r w:rsidRPr="00E244E7">
        <w:rPr>
          <w:rFonts w:ascii="Times New Roman" w:hAnsi="Times New Roman" w:cs="Times New Roman"/>
          <w:sz w:val="20"/>
          <w:szCs w:val="20"/>
        </w:rPr>
        <w:t>, Suhrkamp, Frankfurt am Main 2020.</w:t>
      </w:r>
    </w:p>
  </w:footnote>
  <w:footnote w:id="7">
    <w:p w14:paraId="4A48B220" w14:textId="7335C2A9" w:rsidR="00B34CC2" w:rsidRPr="000F4BD2" w:rsidRDefault="00B34CC2" w:rsidP="00F721A9">
      <w:pPr>
        <w:pStyle w:val="Testonotaapidipagina"/>
        <w:jc w:val="both"/>
        <w:rPr>
          <w:rFonts w:ascii="Times New Roman" w:hAnsi="Times New Roman" w:cs="Times New Roman"/>
          <w:sz w:val="20"/>
          <w:szCs w:val="20"/>
        </w:rPr>
      </w:pPr>
      <w:r w:rsidRPr="00FF541D">
        <w:rPr>
          <w:rStyle w:val="Rimandonotaapidipagina"/>
          <w:rFonts w:ascii="Times New Roman" w:hAnsi="Times New Roman" w:cs="Times New Roman"/>
          <w:sz w:val="20"/>
          <w:szCs w:val="20"/>
        </w:rPr>
        <w:footnoteRef/>
      </w:r>
      <w:r w:rsidRPr="00FF541D">
        <w:rPr>
          <w:rFonts w:ascii="Times New Roman" w:hAnsi="Times New Roman" w:cs="Times New Roman"/>
          <w:sz w:val="20"/>
          <w:szCs w:val="20"/>
        </w:rPr>
        <w:t xml:space="preserve"> Il testo di Honneth </w:t>
      </w:r>
      <w:r w:rsidRPr="00FF541D">
        <w:rPr>
          <w:rFonts w:ascii="Times New Roman" w:hAnsi="Times New Roman" w:cs="Times New Roman"/>
          <w:i/>
          <w:sz w:val="20"/>
          <w:szCs w:val="20"/>
        </w:rPr>
        <w:t>Kampf um Anerkennung</w:t>
      </w:r>
      <w:r>
        <w:rPr>
          <w:rFonts w:ascii="Times New Roman" w:hAnsi="Times New Roman" w:cs="Times New Roman"/>
          <w:sz w:val="20"/>
          <w:szCs w:val="20"/>
        </w:rPr>
        <w:t xml:space="preserve"> (Suhrkamp 1992)</w:t>
      </w:r>
      <w:r w:rsidRPr="00FF541D">
        <w:rPr>
          <w:rFonts w:ascii="Times New Roman" w:hAnsi="Times New Roman" w:cs="Times New Roman"/>
          <w:sz w:val="20"/>
          <w:szCs w:val="20"/>
        </w:rPr>
        <w:t xml:space="preserve"> fu tradotto in inglese per la MIT University Press nel 1996 (</w:t>
      </w:r>
      <w:r w:rsidRPr="00FF541D">
        <w:rPr>
          <w:rFonts w:ascii="Times New Roman" w:hAnsi="Times New Roman" w:cs="Times New Roman"/>
          <w:i/>
          <w:sz w:val="20"/>
          <w:szCs w:val="20"/>
        </w:rPr>
        <w:t>The Struggle for Recognition. The Moral Grammar of Social Conflicts</w:t>
      </w:r>
      <w:r w:rsidRPr="00FF541D">
        <w:rPr>
          <w:rFonts w:ascii="Times New Roman" w:hAnsi="Times New Roman" w:cs="Times New Roman"/>
          <w:sz w:val="20"/>
          <w:szCs w:val="20"/>
        </w:rPr>
        <w:t xml:space="preserve">). Sull’impatto di Honneth sulla riflessione filosofica americana, vedi, ad esempio, R. Pippin </w:t>
      </w:r>
      <w:r w:rsidRPr="00FF541D">
        <w:rPr>
          <w:rFonts w:ascii="Times New Roman" w:hAnsi="Times New Roman" w:cs="Times New Roman"/>
          <w:i/>
          <w:sz w:val="20"/>
          <w:szCs w:val="20"/>
        </w:rPr>
        <w:t>Hegel’s Practical Philosophy</w:t>
      </w:r>
      <w:r w:rsidRPr="00FF541D">
        <w:rPr>
          <w:rFonts w:ascii="Times New Roman" w:hAnsi="Times New Roman" w:cs="Times New Roman"/>
          <w:sz w:val="20"/>
          <w:szCs w:val="20"/>
        </w:rPr>
        <w:t>, Cambridge University Press, Cambridge 2008.</w:t>
      </w:r>
    </w:p>
  </w:footnote>
  <w:footnote w:id="8">
    <w:p w14:paraId="61E661D2" w14:textId="57FD8FA4" w:rsidR="00B34CC2" w:rsidRPr="00195692" w:rsidRDefault="00B34CC2" w:rsidP="00F721A9">
      <w:pPr>
        <w:pStyle w:val="Testonotaapidipagina"/>
        <w:jc w:val="both"/>
        <w:rPr>
          <w:rFonts w:ascii="Times New Roman" w:hAnsi="Times New Roman"/>
          <w:sz w:val="20"/>
          <w:szCs w:val="20"/>
        </w:rPr>
      </w:pPr>
      <w:r w:rsidRPr="00FF541D">
        <w:rPr>
          <w:rStyle w:val="Rimandonotaapidipagina"/>
          <w:rFonts w:ascii="Times New Roman" w:hAnsi="Times New Roman"/>
          <w:sz w:val="20"/>
          <w:szCs w:val="20"/>
        </w:rPr>
        <w:footnoteRef/>
      </w:r>
      <w:r w:rsidRPr="00FF541D">
        <w:rPr>
          <w:rFonts w:ascii="Times New Roman" w:hAnsi="Times New Roman"/>
          <w:sz w:val="20"/>
          <w:szCs w:val="20"/>
        </w:rPr>
        <w:t xml:space="preserve"> </w:t>
      </w:r>
      <w:r w:rsidRPr="00FF541D">
        <w:rPr>
          <w:rFonts w:ascii="Times New Roman" w:hAnsi="Times New Roman" w:cs="Times New Roman"/>
          <w:sz w:val="20"/>
          <w:szCs w:val="20"/>
        </w:rPr>
        <w:t xml:space="preserve">Riguardo all’edizione delle </w:t>
      </w:r>
      <w:r w:rsidRPr="00FF541D">
        <w:rPr>
          <w:rFonts w:ascii="Times New Roman" w:hAnsi="Times New Roman" w:cs="Times New Roman"/>
          <w:i/>
          <w:sz w:val="20"/>
          <w:szCs w:val="20"/>
        </w:rPr>
        <w:t>Vorlesungen</w:t>
      </w:r>
      <w:r w:rsidRPr="00FF541D">
        <w:rPr>
          <w:rFonts w:ascii="Times New Roman" w:hAnsi="Times New Roman" w:cs="Times New Roman"/>
          <w:sz w:val="20"/>
          <w:szCs w:val="20"/>
        </w:rPr>
        <w:t xml:space="preserve"> curata da Jaeschke cfr. G.W.F. Hegel, </w:t>
      </w:r>
      <w:r w:rsidRPr="00FF541D">
        <w:rPr>
          <w:rFonts w:ascii="Times New Roman" w:hAnsi="Times New Roman" w:cs="Times New Roman"/>
          <w:i/>
          <w:sz w:val="20"/>
          <w:szCs w:val="20"/>
        </w:rPr>
        <w:t>Vorlesungen über die Philosophie der Religion</w:t>
      </w:r>
      <w:r w:rsidRPr="00FF541D">
        <w:rPr>
          <w:rFonts w:ascii="Times New Roman" w:hAnsi="Times New Roman" w:cs="Times New Roman"/>
          <w:sz w:val="20"/>
          <w:szCs w:val="20"/>
        </w:rPr>
        <w:t>, hrsg. von W. Jaeschke, Bände III-IVa-IVb-V, Felix Meiner Verlag, Hamburg 1983-1985.</w:t>
      </w:r>
    </w:p>
  </w:footnote>
  <w:footnote w:id="9">
    <w:p w14:paraId="3E907855" w14:textId="3BC9EBD9" w:rsidR="00B34CC2" w:rsidRPr="00F46A5E" w:rsidRDefault="00B34CC2" w:rsidP="00F721A9">
      <w:pPr>
        <w:pStyle w:val="Testonotaapidipagina"/>
        <w:jc w:val="both"/>
        <w:rPr>
          <w:rFonts w:ascii="Times New Roman" w:hAnsi="Times New Roman" w:cs="Times New Roman"/>
          <w:sz w:val="20"/>
          <w:szCs w:val="20"/>
        </w:rPr>
      </w:pPr>
      <w:r w:rsidRPr="00F46A5E">
        <w:rPr>
          <w:rStyle w:val="Rimandonotaapidipagina"/>
          <w:rFonts w:ascii="Times New Roman" w:hAnsi="Times New Roman" w:cs="Times New Roman"/>
          <w:sz w:val="20"/>
          <w:szCs w:val="20"/>
        </w:rPr>
        <w:footnoteRef/>
      </w:r>
      <w:r w:rsidRPr="00F46A5E">
        <w:rPr>
          <w:rFonts w:ascii="Times New Roman" w:hAnsi="Times New Roman" w:cs="Times New Roman"/>
          <w:sz w:val="20"/>
          <w:szCs w:val="20"/>
        </w:rPr>
        <w:t xml:space="preserve"> W. Jaeschke, </w:t>
      </w:r>
      <w:r w:rsidRPr="00F46A5E">
        <w:rPr>
          <w:rFonts w:ascii="Times New Roman" w:hAnsi="Times New Roman" w:cs="Times New Roman"/>
          <w:i/>
          <w:sz w:val="20"/>
          <w:szCs w:val="20"/>
        </w:rPr>
        <w:t>Vernunft in der Religion</w:t>
      </w:r>
      <w:r w:rsidRPr="00F46A5E">
        <w:rPr>
          <w:rFonts w:ascii="Times New Roman" w:hAnsi="Times New Roman" w:cs="Times New Roman"/>
          <w:sz w:val="20"/>
          <w:szCs w:val="20"/>
        </w:rPr>
        <w:t>, Frommann-Holzboog Verlag, Stuttgart 1986.</w:t>
      </w:r>
    </w:p>
  </w:footnote>
  <w:footnote w:id="10">
    <w:p w14:paraId="5E439A37" w14:textId="6287C930" w:rsidR="00B34CC2" w:rsidRPr="007A0D00" w:rsidRDefault="00B34CC2" w:rsidP="00F721A9">
      <w:pPr>
        <w:pStyle w:val="Testonotaapidipagina"/>
        <w:jc w:val="both"/>
        <w:rPr>
          <w:rFonts w:ascii="Times New Roman" w:hAnsi="Times New Roman" w:cs="Times New Roman"/>
          <w:sz w:val="20"/>
          <w:szCs w:val="20"/>
        </w:rPr>
      </w:pPr>
      <w:r w:rsidRPr="005947DF">
        <w:rPr>
          <w:rStyle w:val="Rimandonotaapidipagina"/>
          <w:rFonts w:ascii="Times New Roman" w:hAnsi="Times New Roman" w:cs="Times New Roman"/>
          <w:sz w:val="20"/>
          <w:szCs w:val="20"/>
        </w:rPr>
        <w:footnoteRef/>
      </w:r>
      <w:r w:rsidRPr="005947DF">
        <w:rPr>
          <w:rFonts w:ascii="Times New Roman" w:hAnsi="Times New Roman" w:cs="Times New Roman"/>
          <w:sz w:val="20"/>
          <w:szCs w:val="20"/>
        </w:rPr>
        <w:t xml:space="preserve"> Dei molti contributi di Hodgson, di cui si darà una breve rassegna nel terzo capitolo, si </w:t>
      </w:r>
      <w:r>
        <w:rPr>
          <w:rFonts w:ascii="Times New Roman" w:hAnsi="Times New Roman" w:cs="Times New Roman"/>
          <w:sz w:val="20"/>
          <w:szCs w:val="20"/>
        </w:rPr>
        <w:t>ricorda, da ultimo,</w:t>
      </w:r>
      <w:r w:rsidRPr="005947DF">
        <w:rPr>
          <w:rFonts w:ascii="Times New Roman" w:hAnsi="Times New Roman" w:cs="Times New Roman"/>
          <w:sz w:val="20"/>
          <w:szCs w:val="20"/>
        </w:rPr>
        <w:t xml:space="preserve"> P. Hodgson, </w:t>
      </w:r>
      <w:r w:rsidRPr="005947DF">
        <w:rPr>
          <w:rFonts w:ascii="Times New Roman" w:hAnsi="Times New Roman" w:cs="Times New Roman"/>
          <w:i/>
          <w:sz w:val="20"/>
          <w:szCs w:val="20"/>
        </w:rPr>
        <w:t>Hegel on the Proofs, Personhood, and Freedom of God</w:t>
      </w:r>
      <w:r w:rsidRPr="005947DF">
        <w:rPr>
          <w:rFonts w:ascii="Times New Roman" w:hAnsi="Times New Roman" w:cs="Times New Roman"/>
          <w:sz w:val="20"/>
          <w:szCs w:val="20"/>
        </w:rPr>
        <w:t>, in «The Owl of Minerva</w:t>
      </w:r>
      <w:r w:rsidRPr="005B3A08">
        <w:rPr>
          <w:rFonts w:ascii="Times New Roman" w:eastAsia="Times New Roman" w:hAnsi="Times New Roman" w:cs="Times New Roman"/>
          <w:color w:val="000000"/>
          <w:sz w:val="20"/>
          <w:szCs w:val="20"/>
        </w:rPr>
        <w:t>»</w:t>
      </w:r>
      <w:r w:rsidRPr="005947DF">
        <w:rPr>
          <w:rFonts w:ascii="Times New Roman" w:hAnsi="Times New Roman" w:cs="Times New Roman"/>
          <w:sz w:val="20"/>
          <w:szCs w:val="20"/>
        </w:rPr>
        <w:t>, 49, 1/2 (2018)</w:t>
      </w:r>
      <w:r>
        <w:rPr>
          <w:rFonts w:ascii="Times New Roman" w:hAnsi="Times New Roman" w:cs="Times New Roman"/>
          <w:sz w:val="20"/>
          <w:szCs w:val="20"/>
        </w:rPr>
        <w:t xml:space="preserve">, pp. 23-38. Riguardo alla traduzione inglese delle </w:t>
      </w:r>
      <w:r w:rsidRPr="00C7474E">
        <w:rPr>
          <w:rFonts w:ascii="Times New Roman" w:hAnsi="Times New Roman" w:cs="Times New Roman"/>
          <w:i/>
          <w:sz w:val="20"/>
          <w:szCs w:val="20"/>
        </w:rPr>
        <w:t>Vorlesungen</w:t>
      </w:r>
      <w:r>
        <w:rPr>
          <w:rFonts w:ascii="Times New Roman" w:hAnsi="Times New Roman" w:cs="Times New Roman"/>
          <w:sz w:val="20"/>
          <w:szCs w:val="20"/>
        </w:rPr>
        <w:t xml:space="preserve"> hegeliane cfr. G.W.F. Hegel, </w:t>
      </w:r>
      <w:r w:rsidRPr="007A0D00">
        <w:rPr>
          <w:rFonts w:ascii="Times New Roman" w:hAnsi="Times New Roman" w:cs="Times New Roman"/>
          <w:i/>
          <w:sz w:val="20"/>
          <w:szCs w:val="20"/>
        </w:rPr>
        <w:t>Lectures on the Philosophy of Religion</w:t>
      </w:r>
      <w:r>
        <w:rPr>
          <w:rFonts w:ascii="Times New Roman" w:hAnsi="Times New Roman" w:cs="Times New Roman"/>
          <w:sz w:val="20"/>
          <w:szCs w:val="20"/>
        </w:rPr>
        <w:t>, ed. by P. C. Hodgson, trans. by R. F. Brown, P. C. Hodgson, and J. M. Stewart, 3 volumes, Universirty of California Press, Berkley 1984-1987.</w:t>
      </w:r>
    </w:p>
  </w:footnote>
  <w:footnote w:id="11">
    <w:p w14:paraId="62802385" w14:textId="77777777" w:rsidR="00B34CC2" w:rsidRPr="007A0D00" w:rsidRDefault="00B34CC2" w:rsidP="00F721A9">
      <w:pPr>
        <w:pStyle w:val="Testonotaapidipagina"/>
        <w:jc w:val="both"/>
        <w:rPr>
          <w:rFonts w:ascii="Times New Roman" w:hAnsi="Times New Roman" w:cs="Times New Roman"/>
          <w:sz w:val="20"/>
          <w:szCs w:val="20"/>
        </w:rPr>
      </w:pPr>
      <w:r w:rsidRPr="007A0D00">
        <w:rPr>
          <w:rStyle w:val="Rimandonotaapidipagina"/>
          <w:rFonts w:ascii="Times New Roman" w:hAnsi="Times New Roman" w:cs="Times New Roman"/>
          <w:sz w:val="20"/>
          <w:szCs w:val="20"/>
        </w:rPr>
        <w:footnoteRef/>
      </w:r>
      <w:r w:rsidRPr="007A0D00">
        <w:rPr>
          <w:rFonts w:ascii="Times New Roman" w:hAnsi="Times New Roman" w:cs="Times New Roman"/>
          <w:sz w:val="20"/>
          <w:szCs w:val="20"/>
        </w:rPr>
        <w:t xml:space="preserve"> Vedi R. R. Williams, </w:t>
      </w:r>
      <w:r w:rsidRPr="007A0D00">
        <w:rPr>
          <w:rFonts w:ascii="Times New Roman" w:hAnsi="Times New Roman" w:cs="Times New Roman"/>
          <w:i/>
          <w:sz w:val="20"/>
          <w:szCs w:val="20"/>
        </w:rPr>
        <w:t>Hegel on the Proofs and the Personhood of God</w:t>
      </w:r>
      <w:r w:rsidRPr="007A0D00">
        <w:rPr>
          <w:rFonts w:ascii="Times New Roman" w:hAnsi="Times New Roman" w:cs="Times New Roman"/>
          <w:sz w:val="20"/>
          <w:szCs w:val="20"/>
        </w:rPr>
        <w:t>, Oxford University Press, Oxford 2017.</w:t>
      </w:r>
    </w:p>
  </w:footnote>
  <w:footnote w:id="12">
    <w:p w14:paraId="68DF829A" w14:textId="77777777" w:rsidR="00B34CC2" w:rsidRPr="00D55046" w:rsidRDefault="00B34CC2" w:rsidP="00F721A9">
      <w:pPr>
        <w:pStyle w:val="Testonotaapidipagina"/>
        <w:jc w:val="both"/>
        <w:rPr>
          <w:rFonts w:ascii="Times New Roman" w:hAnsi="Times New Roman" w:cs="Times New Roman"/>
          <w:sz w:val="20"/>
          <w:szCs w:val="20"/>
        </w:rPr>
      </w:pPr>
      <w:r w:rsidRPr="00D55046">
        <w:rPr>
          <w:rStyle w:val="Rimandonotaapidipagina"/>
          <w:rFonts w:ascii="Times New Roman" w:hAnsi="Times New Roman" w:cs="Times New Roman"/>
          <w:sz w:val="20"/>
          <w:szCs w:val="20"/>
        </w:rPr>
        <w:footnoteRef/>
      </w:r>
      <w:r w:rsidRPr="00D55046">
        <w:rPr>
          <w:rFonts w:ascii="Times New Roman" w:hAnsi="Times New Roman" w:cs="Times New Roman"/>
          <w:sz w:val="20"/>
          <w:szCs w:val="20"/>
        </w:rPr>
        <w:t xml:space="preserve"> </w:t>
      </w:r>
      <w:r>
        <w:rPr>
          <w:rFonts w:ascii="Times New Roman" w:hAnsi="Times New Roman" w:cs="Times New Roman"/>
          <w:sz w:val="20"/>
          <w:szCs w:val="20"/>
        </w:rPr>
        <w:t>E.</w:t>
      </w:r>
      <w:r w:rsidRPr="00FF0332">
        <w:rPr>
          <w:rFonts w:ascii="Times New Roman" w:hAnsi="Times New Roman" w:cs="Times New Roman"/>
          <w:sz w:val="20"/>
          <w:szCs w:val="20"/>
        </w:rPr>
        <w:t xml:space="preserve"> Benz</w:t>
      </w:r>
      <w:r>
        <w:rPr>
          <w:rFonts w:ascii="Times New Roman" w:hAnsi="Times New Roman" w:cs="Times New Roman"/>
          <w:sz w:val="20"/>
          <w:szCs w:val="20"/>
        </w:rPr>
        <w:t xml:space="preserve">, </w:t>
      </w:r>
      <w:r w:rsidRPr="00FF0332">
        <w:rPr>
          <w:rFonts w:ascii="Times New Roman" w:hAnsi="Times New Roman" w:cs="Times New Roman"/>
          <w:i/>
          <w:sz w:val="20"/>
          <w:szCs w:val="20"/>
        </w:rPr>
        <w:t>Les sources mystiques de la philosophie allemande</w:t>
      </w:r>
      <w:r w:rsidRPr="00FF0332">
        <w:rPr>
          <w:rFonts w:ascii="Times New Roman" w:hAnsi="Times New Roman" w:cs="Times New Roman"/>
          <w:sz w:val="20"/>
          <w:szCs w:val="20"/>
        </w:rPr>
        <w:t xml:space="preserve">, Vrin, Paris 1968. </w:t>
      </w:r>
    </w:p>
  </w:footnote>
  <w:footnote w:id="13">
    <w:p w14:paraId="61A22D41" w14:textId="77777777" w:rsidR="00B34CC2" w:rsidRPr="00FF0332" w:rsidRDefault="00B34CC2" w:rsidP="00F721A9">
      <w:pPr>
        <w:pStyle w:val="Testonotaapidipagina"/>
        <w:jc w:val="both"/>
        <w:rPr>
          <w:rFonts w:ascii="Times New Roman" w:hAnsi="Times New Roman" w:cs="Times New Roman"/>
          <w:sz w:val="20"/>
          <w:szCs w:val="20"/>
        </w:rPr>
      </w:pPr>
      <w:r w:rsidRPr="00FF0332">
        <w:rPr>
          <w:rStyle w:val="Rimandonotaapidipagina"/>
          <w:rFonts w:ascii="Times New Roman" w:hAnsi="Times New Roman" w:cs="Times New Roman"/>
          <w:sz w:val="20"/>
          <w:szCs w:val="20"/>
        </w:rPr>
        <w:footnoteRef/>
      </w:r>
      <w:r w:rsidRPr="00FF0332">
        <w:rPr>
          <w:rFonts w:ascii="Times New Roman" w:hAnsi="Times New Roman" w:cs="Times New Roman"/>
          <w:sz w:val="20"/>
          <w:szCs w:val="20"/>
        </w:rPr>
        <w:t xml:space="preserve"> </w:t>
      </w:r>
      <w:r>
        <w:rPr>
          <w:rFonts w:ascii="Times New Roman" w:hAnsi="Times New Roman" w:cs="Times New Roman"/>
          <w:sz w:val="20"/>
          <w:szCs w:val="20"/>
        </w:rPr>
        <w:t xml:space="preserve">E. Voegelin, </w:t>
      </w:r>
      <w:r w:rsidRPr="00D55046">
        <w:rPr>
          <w:rFonts w:ascii="Times New Roman" w:hAnsi="Times New Roman" w:cs="Times New Roman"/>
          <w:i/>
          <w:sz w:val="20"/>
          <w:szCs w:val="20"/>
        </w:rPr>
        <w:t>Science, Polit</w:t>
      </w:r>
      <w:r>
        <w:rPr>
          <w:rFonts w:ascii="Times New Roman" w:hAnsi="Times New Roman" w:cs="Times New Roman"/>
          <w:i/>
          <w:sz w:val="20"/>
          <w:szCs w:val="20"/>
        </w:rPr>
        <w:t>i</w:t>
      </w:r>
      <w:r w:rsidRPr="00D55046">
        <w:rPr>
          <w:rFonts w:ascii="Times New Roman" w:hAnsi="Times New Roman" w:cs="Times New Roman"/>
          <w:i/>
          <w:sz w:val="20"/>
          <w:szCs w:val="20"/>
        </w:rPr>
        <w:t>cs, and Gnosticism,</w:t>
      </w:r>
      <w:r>
        <w:rPr>
          <w:rFonts w:ascii="Times New Roman" w:hAnsi="Times New Roman" w:cs="Times New Roman"/>
          <w:sz w:val="20"/>
          <w:szCs w:val="20"/>
        </w:rPr>
        <w:t xml:space="preserve"> Regnery Gateway, Washington 1968.</w:t>
      </w:r>
    </w:p>
  </w:footnote>
  <w:footnote w:id="14">
    <w:p w14:paraId="25AEF241" w14:textId="77777777" w:rsidR="00B34CC2" w:rsidRPr="008B6917" w:rsidRDefault="00B34CC2" w:rsidP="00F721A9">
      <w:pPr>
        <w:pStyle w:val="Testonotaapidipagina"/>
        <w:jc w:val="both"/>
        <w:rPr>
          <w:rFonts w:ascii="Times New Roman" w:hAnsi="Times New Roman" w:cs="Times New Roman"/>
          <w:sz w:val="20"/>
          <w:szCs w:val="20"/>
        </w:rPr>
      </w:pPr>
      <w:r w:rsidRPr="008B6917">
        <w:rPr>
          <w:rStyle w:val="Rimandonotaapidipagina"/>
          <w:rFonts w:ascii="Times New Roman" w:hAnsi="Times New Roman" w:cs="Times New Roman"/>
          <w:sz w:val="20"/>
          <w:szCs w:val="20"/>
        </w:rPr>
        <w:footnoteRef/>
      </w:r>
      <w:r w:rsidRPr="008B6917">
        <w:rPr>
          <w:rFonts w:ascii="Times New Roman" w:hAnsi="Times New Roman" w:cs="Times New Roman"/>
          <w:sz w:val="20"/>
          <w:szCs w:val="20"/>
        </w:rPr>
        <w:t xml:space="preserve"> C. O’Regan, </w:t>
      </w:r>
      <w:r w:rsidRPr="00D37F03">
        <w:rPr>
          <w:rFonts w:ascii="Times New Roman" w:hAnsi="Times New Roman" w:cs="Times New Roman"/>
          <w:i/>
          <w:sz w:val="20"/>
          <w:szCs w:val="20"/>
        </w:rPr>
        <w:t>The Heterodox Hegel</w:t>
      </w:r>
      <w:r w:rsidRPr="008B6917">
        <w:rPr>
          <w:rFonts w:ascii="Times New Roman" w:hAnsi="Times New Roman" w:cs="Times New Roman"/>
          <w:sz w:val="20"/>
          <w:szCs w:val="20"/>
        </w:rPr>
        <w:t>, SUNY, Albany 1994</w:t>
      </w:r>
      <w:r>
        <w:rPr>
          <w:rFonts w:ascii="Times New Roman" w:hAnsi="Times New Roman" w:cs="Times New Roman"/>
          <w:sz w:val="20"/>
          <w:szCs w:val="20"/>
        </w:rPr>
        <w:t>;</w:t>
      </w:r>
      <w:r w:rsidRPr="008B6917">
        <w:rPr>
          <w:rFonts w:ascii="Times New Roman" w:hAnsi="Times New Roman" w:cs="Times New Roman"/>
          <w:sz w:val="20"/>
          <w:szCs w:val="20"/>
        </w:rPr>
        <w:t xml:space="preserve"> C. O’Regan, </w:t>
      </w:r>
      <w:r w:rsidRPr="008B6917">
        <w:rPr>
          <w:rFonts w:ascii="Times New Roman" w:hAnsi="Times New Roman" w:cs="Times New Roman"/>
          <w:i/>
          <w:sz w:val="20"/>
          <w:szCs w:val="20"/>
        </w:rPr>
        <w:t>Gnostic Apocalypse</w:t>
      </w:r>
      <w:r w:rsidRPr="008B6917">
        <w:rPr>
          <w:rFonts w:ascii="Times New Roman" w:hAnsi="Times New Roman" w:cs="Times New Roman"/>
          <w:sz w:val="20"/>
          <w:szCs w:val="20"/>
        </w:rPr>
        <w:t>, State of New York Press, Albany 2002.</w:t>
      </w:r>
    </w:p>
  </w:footnote>
  <w:footnote w:id="15">
    <w:p w14:paraId="439060B5" w14:textId="77777777" w:rsidR="00B34CC2" w:rsidRDefault="00B34CC2" w:rsidP="00F721A9">
      <w:pPr>
        <w:pStyle w:val="Testonotaapidipagina"/>
        <w:jc w:val="both"/>
      </w:pPr>
      <w:r w:rsidRPr="008B6917">
        <w:rPr>
          <w:rStyle w:val="Rimandonotaapidipagina"/>
          <w:rFonts w:ascii="Times New Roman" w:hAnsi="Times New Roman" w:cs="Times New Roman"/>
          <w:sz w:val="20"/>
          <w:szCs w:val="20"/>
        </w:rPr>
        <w:footnoteRef/>
      </w:r>
      <w:r w:rsidRPr="008B6917">
        <w:rPr>
          <w:rFonts w:ascii="Times New Roman" w:hAnsi="Times New Roman" w:cs="Times New Roman"/>
          <w:sz w:val="20"/>
          <w:szCs w:val="20"/>
        </w:rPr>
        <w:t xml:space="preserve"> </w:t>
      </w:r>
      <w:r w:rsidRPr="00812B33">
        <w:rPr>
          <w:rFonts w:ascii="Times New Roman" w:hAnsi="Times New Roman" w:cs="Times New Roman"/>
          <w:sz w:val="20"/>
          <w:szCs w:val="20"/>
        </w:rPr>
        <w:t>G.A. Magee, Hegel and the Hermetic Tradition, Cornell University Press, Ithaca 2001</w:t>
      </w:r>
      <w:r>
        <w:rPr>
          <w:rFonts w:ascii="Times New Roman" w:hAnsi="Times New Roman" w:cs="Times New Roman"/>
          <w:sz w:val="20"/>
          <w:szCs w:val="20"/>
        </w:rPr>
        <w:t>.</w:t>
      </w:r>
    </w:p>
  </w:footnote>
  <w:footnote w:id="16">
    <w:p w14:paraId="14DAE955" w14:textId="40250C6D" w:rsidR="00B34CC2" w:rsidRPr="00441DCC" w:rsidRDefault="00B34CC2" w:rsidP="00F721A9">
      <w:pPr>
        <w:pStyle w:val="Testonotaapidipagina"/>
        <w:jc w:val="both"/>
        <w:rPr>
          <w:rFonts w:ascii="Times New Roman" w:hAnsi="Times New Roman" w:cs="Times New Roman"/>
          <w:sz w:val="20"/>
          <w:szCs w:val="20"/>
        </w:rPr>
      </w:pPr>
      <w:r w:rsidRPr="00441DCC">
        <w:rPr>
          <w:rStyle w:val="Rimandonotaapidipagina"/>
          <w:rFonts w:ascii="Times New Roman" w:hAnsi="Times New Roman" w:cs="Times New Roman"/>
          <w:sz w:val="20"/>
          <w:szCs w:val="20"/>
        </w:rPr>
        <w:footnoteRef/>
      </w:r>
      <w:r w:rsidRPr="00441DCC">
        <w:rPr>
          <w:rFonts w:ascii="Times New Roman" w:hAnsi="Times New Roman" w:cs="Times New Roman"/>
          <w:sz w:val="20"/>
          <w:szCs w:val="20"/>
        </w:rPr>
        <w:t xml:space="preserve"> </w:t>
      </w:r>
      <w:r>
        <w:rPr>
          <w:rFonts w:ascii="Times New Roman" w:hAnsi="Times New Roman" w:cs="Times New Roman"/>
          <w:sz w:val="20"/>
          <w:szCs w:val="20"/>
        </w:rPr>
        <w:t xml:space="preserve">M. Idel, </w:t>
      </w:r>
      <w:r>
        <w:rPr>
          <w:rFonts w:ascii="Times New Roman" w:hAnsi="Times New Roman" w:cs="Times New Roman"/>
          <w:i/>
          <w:sz w:val="20"/>
          <w:szCs w:val="20"/>
        </w:rPr>
        <w:t>Il male primordiale nella Qabbalah</w:t>
      </w:r>
      <w:r>
        <w:rPr>
          <w:rFonts w:ascii="Times New Roman" w:hAnsi="Times New Roman" w:cs="Times New Roman"/>
          <w:sz w:val="20"/>
          <w:szCs w:val="20"/>
        </w:rPr>
        <w:t>, Adelphi, Milano 2016.</w:t>
      </w:r>
    </w:p>
  </w:footnote>
  <w:footnote w:id="17">
    <w:p w14:paraId="2D3612BC" w14:textId="77777777" w:rsidR="00B34CC2" w:rsidRPr="00812B33" w:rsidRDefault="00B34CC2" w:rsidP="00F721A9">
      <w:pPr>
        <w:pStyle w:val="Testonotaapidipagina"/>
        <w:jc w:val="both"/>
        <w:rPr>
          <w:rFonts w:ascii="Times New Roman" w:hAnsi="Times New Roman" w:cs="Times New Roman"/>
          <w:sz w:val="20"/>
          <w:szCs w:val="20"/>
        </w:rPr>
      </w:pPr>
      <w:r w:rsidRPr="00812B33">
        <w:rPr>
          <w:rStyle w:val="Rimandonotaapidipagina"/>
          <w:rFonts w:ascii="Times New Roman" w:hAnsi="Times New Roman" w:cs="Times New Roman"/>
          <w:sz w:val="20"/>
          <w:szCs w:val="20"/>
        </w:rPr>
        <w:footnoteRef/>
      </w:r>
      <w:r w:rsidRPr="00812B33">
        <w:rPr>
          <w:rFonts w:ascii="Times New Roman" w:hAnsi="Times New Roman" w:cs="Times New Roman"/>
          <w:sz w:val="20"/>
          <w:szCs w:val="20"/>
        </w:rPr>
        <w:t xml:space="preserve"> C. O’Regan, </w:t>
      </w:r>
      <w:r w:rsidRPr="00812B33">
        <w:rPr>
          <w:rFonts w:ascii="Times New Roman" w:hAnsi="Times New Roman" w:cs="Times New Roman"/>
          <w:i/>
          <w:sz w:val="20"/>
          <w:szCs w:val="20"/>
        </w:rPr>
        <w:t>Hegel and Anti-Judaism: Narrative and the Inner Circulation of the Kabbalah</w:t>
      </w:r>
      <w:r w:rsidRPr="00812B33">
        <w:rPr>
          <w:rFonts w:ascii="Times New Roman" w:hAnsi="Times New Roman" w:cs="Times New Roman"/>
          <w:sz w:val="20"/>
          <w:szCs w:val="20"/>
        </w:rPr>
        <w:t>, in «The Owl of Minerva</w:t>
      </w:r>
      <w:r w:rsidRPr="00812B33">
        <w:rPr>
          <w:rFonts w:ascii="Times New Roman" w:eastAsia="Times New Roman" w:hAnsi="Times New Roman" w:cs="Times New Roman"/>
          <w:color w:val="000000"/>
          <w:sz w:val="20"/>
          <w:szCs w:val="20"/>
        </w:rPr>
        <w:t>», 28 (1997)</w:t>
      </w:r>
      <w:r>
        <w:rPr>
          <w:rFonts w:ascii="Times New Roman" w:eastAsia="Times New Roman" w:hAnsi="Times New Roman" w:cs="Times New Roman"/>
          <w:color w:val="000000"/>
          <w:sz w:val="20"/>
          <w:szCs w:val="20"/>
        </w:rPr>
        <w:t>, p. 161.</w:t>
      </w:r>
    </w:p>
  </w:footnote>
  <w:footnote w:id="18">
    <w:p w14:paraId="0E797A43" w14:textId="77777777" w:rsidR="00B34CC2" w:rsidRDefault="00B34CC2" w:rsidP="00F721A9">
      <w:pPr>
        <w:pStyle w:val="Testonotaapidipagina"/>
        <w:jc w:val="both"/>
      </w:pPr>
      <w:r w:rsidRPr="00812B33">
        <w:rPr>
          <w:rStyle w:val="Rimandonotaapidipagina"/>
          <w:rFonts w:ascii="Times New Roman" w:hAnsi="Times New Roman" w:cs="Times New Roman"/>
          <w:sz w:val="20"/>
          <w:szCs w:val="20"/>
        </w:rPr>
        <w:footnoteRef/>
      </w:r>
      <w:r w:rsidRPr="00812B33">
        <w:rPr>
          <w:rFonts w:ascii="Times New Roman" w:hAnsi="Times New Roman" w:cs="Times New Roman"/>
          <w:sz w:val="20"/>
          <w:szCs w:val="20"/>
        </w:rPr>
        <w:t xml:space="preserve"> G.A. Magee, Hegel and the Hermetic Tradition, Cornell University Press, Ithaca 2001</w:t>
      </w:r>
      <w:r>
        <w:rPr>
          <w:rFonts w:ascii="Times New Roman" w:hAnsi="Times New Roman" w:cs="Times New Roman"/>
          <w:sz w:val="20"/>
          <w:szCs w:val="20"/>
        </w:rPr>
        <w:t>, pp. 160-177</w:t>
      </w:r>
      <w:r w:rsidRPr="00812B33">
        <w:rPr>
          <w:rFonts w:ascii="Times New Roman" w:hAnsi="Times New Roman" w:cs="Times New Roman"/>
          <w:sz w:val="20"/>
          <w:szCs w:val="20"/>
        </w:rPr>
        <w:t>.</w:t>
      </w:r>
    </w:p>
  </w:footnote>
  <w:footnote w:id="19">
    <w:p w14:paraId="65540626" w14:textId="77777777" w:rsidR="00B34CC2" w:rsidRPr="005B3A08" w:rsidRDefault="00B34CC2" w:rsidP="00F721A9">
      <w:pPr>
        <w:pStyle w:val="Testonotaapidipagina"/>
        <w:jc w:val="both"/>
        <w:rPr>
          <w:rFonts w:ascii="Times New Roman" w:hAnsi="Times New Roman" w:cs="Times New Roman"/>
          <w:sz w:val="20"/>
          <w:szCs w:val="20"/>
        </w:rPr>
      </w:pPr>
      <w:r w:rsidRPr="005B3A08">
        <w:rPr>
          <w:rStyle w:val="Rimandonotaapidipagina"/>
          <w:rFonts w:ascii="Times New Roman" w:hAnsi="Times New Roman" w:cs="Times New Roman"/>
          <w:sz w:val="20"/>
          <w:szCs w:val="20"/>
        </w:rPr>
        <w:footnoteRef/>
      </w:r>
      <w:r w:rsidRPr="005B3A08">
        <w:rPr>
          <w:rFonts w:ascii="Times New Roman" w:hAnsi="Times New Roman" w:cs="Times New Roman"/>
          <w:sz w:val="20"/>
          <w:szCs w:val="20"/>
        </w:rPr>
        <w:t xml:space="preserve"> Ad esempio, in </w:t>
      </w:r>
      <w:r w:rsidRPr="005B3A08">
        <w:rPr>
          <w:rFonts w:ascii="Times New Roman" w:hAnsi="Times New Roman" w:cs="Times New Roman"/>
          <w:i/>
          <w:sz w:val="20"/>
          <w:szCs w:val="20"/>
        </w:rPr>
        <w:t>Hegel and the Hermetic Tradition</w:t>
      </w:r>
      <w:r>
        <w:rPr>
          <w:rFonts w:ascii="Times New Roman" w:hAnsi="Times New Roman" w:cs="Times New Roman"/>
          <w:sz w:val="20"/>
          <w:szCs w:val="20"/>
        </w:rPr>
        <w:t xml:space="preserve">, </w:t>
      </w:r>
      <w:r w:rsidRPr="005B3A08">
        <w:rPr>
          <w:rFonts w:ascii="Times New Roman" w:hAnsi="Times New Roman" w:cs="Times New Roman"/>
          <w:sz w:val="20"/>
          <w:szCs w:val="20"/>
        </w:rPr>
        <w:t>si legge che: «The Kabbalistic treatment of Din, or evil, as a moment of God’s being corresponds to Hegel’s sublation of the negativity of Desire within his system</w:t>
      </w:r>
      <w:r w:rsidRPr="005B3A08">
        <w:rPr>
          <w:rFonts w:ascii="Times New Roman" w:eastAsia="Times New Roman" w:hAnsi="Times New Roman" w:cs="Times New Roman"/>
          <w:color w:val="000000"/>
          <w:sz w:val="20"/>
          <w:szCs w:val="20"/>
        </w:rPr>
        <w:t>»</w:t>
      </w:r>
      <w:r>
        <w:rPr>
          <w:rFonts w:ascii="Times New Roman" w:eastAsia="Times New Roman" w:hAnsi="Times New Roman" w:cs="Times New Roman"/>
          <w:color w:val="000000"/>
          <w:sz w:val="20"/>
          <w:szCs w:val="20"/>
        </w:rPr>
        <w:t xml:space="preserve"> (G.A. Magee, </w:t>
      </w:r>
      <w:r>
        <w:rPr>
          <w:rFonts w:ascii="Times New Roman" w:eastAsia="Times New Roman" w:hAnsi="Times New Roman" w:cs="Times New Roman"/>
          <w:i/>
          <w:color w:val="000000"/>
          <w:sz w:val="20"/>
          <w:szCs w:val="20"/>
        </w:rPr>
        <w:t>Hegel and the Hermetic Tradition</w:t>
      </w:r>
      <w:r>
        <w:rPr>
          <w:rFonts w:ascii="Times New Roman" w:eastAsia="Times New Roman" w:hAnsi="Times New Roman" w:cs="Times New Roman"/>
          <w:color w:val="000000"/>
          <w:sz w:val="20"/>
          <w:szCs w:val="20"/>
        </w:rPr>
        <w:t>, cit., p. 177)</w:t>
      </w:r>
      <w:r w:rsidRPr="005B3A08">
        <w:rPr>
          <w:rFonts w:ascii="Times New Roman" w:eastAsia="Times New Roman" w:hAnsi="Times New Roman" w:cs="Times New Roman"/>
          <w:color w:val="000000"/>
          <w:sz w:val="20"/>
          <w:szCs w:val="20"/>
        </w:rPr>
        <w:t>.</w:t>
      </w:r>
      <w:r>
        <w:rPr>
          <w:rFonts w:ascii="Times New Roman" w:eastAsia="Times New Roman" w:hAnsi="Times New Roman" w:cs="Times New Roman"/>
          <w:color w:val="000000"/>
          <w:sz w:val="20"/>
          <w:szCs w:val="20"/>
        </w:rPr>
        <w:t xml:space="preserve"> </w:t>
      </w:r>
      <w:r w:rsidRPr="00F721A9">
        <w:rPr>
          <w:rFonts w:ascii="Times New Roman" w:eastAsia="Times New Roman" w:hAnsi="Times New Roman" w:cs="Times New Roman"/>
          <w:color w:val="000000"/>
          <w:sz w:val="20"/>
          <w:szCs w:val="20"/>
          <w:highlight w:val="yellow"/>
        </w:rPr>
        <w:t>O’Regan</w:t>
      </w:r>
    </w:p>
  </w:footnote>
  <w:footnote w:id="20">
    <w:p w14:paraId="44F5E913" w14:textId="77777777" w:rsidR="00B34CC2" w:rsidRPr="00A96C04" w:rsidRDefault="00B34CC2" w:rsidP="00F721A9">
      <w:pPr>
        <w:pStyle w:val="Testonotaapidipagina"/>
        <w:jc w:val="both"/>
        <w:rPr>
          <w:rFonts w:ascii="Times New Roman" w:hAnsi="Times New Roman" w:cs="Times New Roman"/>
          <w:sz w:val="20"/>
          <w:szCs w:val="20"/>
        </w:rPr>
      </w:pPr>
      <w:r w:rsidRPr="00A96C04">
        <w:rPr>
          <w:rStyle w:val="Rimandonotaapidipagina"/>
          <w:rFonts w:ascii="Times New Roman" w:hAnsi="Times New Roman" w:cs="Times New Roman"/>
          <w:sz w:val="20"/>
          <w:szCs w:val="20"/>
        </w:rPr>
        <w:footnoteRef/>
      </w:r>
      <w:r w:rsidRPr="00A96C04">
        <w:rPr>
          <w:rFonts w:ascii="Times New Roman" w:hAnsi="Times New Roman" w:cs="Times New Roman"/>
          <w:sz w:val="20"/>
          <w:szCs w:val="20"/>
        </w:rPr>
        <w:t xml:space="preserve"> A. Franck, </w:t>
      </w:r>
      <w:r w:rsidRPr="00A96C04">
        <w:rPr>
          <w:rFonts w:ascii="Times New Roman" w:hAnsi="Times New Roman" w:cs="Times New Roman"/>
          <w:i/>
          <w:sz w:val="20"/>
          <w:szCs w:val="20"/>
        </w:rPr>
        <w:t>La Kabbale ou la philosophie religouse des Hébreux</w:t>
      </w:r>
      <w:r>
        <w:rPr>
          <w:rFonts w:ascii="Times New Roman" w:hAnsi="Times New Roman" w:cs="Times New Roman"/>
          <w:sz w:val="20"/>
          <w:szCs w:val="20"/>
        </w:rPr>
        <w:t xml:space="preserve">, Paris 1843, p. 186: </w:t>
      </w:r>
      <w:r w:rsidRPr="008B2F22">
        <w:rPr>
          <w:rFonts w:ascii="Times New Roman" w:hAnsi="Times New Roman" w:cs="Times New Roman"/>
          <w:sz w:val="20"/>
          <w:szCs w:val="20"/>
          <w:lang w:val="fr-FR"/>
        </w:rPr>
        <w:t>«“On le nomme ainsi, dit l’Idra souta, parce que nous ne connaissons pas, et qu’il est impossible de connaître ce qu’il y a dans ce principe; parce qu’il ne descend jamais jusqu’à notre ignorance et qu’il est au-dessus de la sagesse elle-même”. Nous ne pouvons pas nous empêcher de faire remarquer que l’on retrouve la même idée et jusqu’aux mêmes expressions dans l’un des plus vastes et des plus célèbres systèmes de métaphysique dont notre époque puisse se glorifier aux yeux de la postérité. “Tout commence, dit Hegel, par l’être pur, qui n’est qu’une pensée entièrement indéterminée, simple et immédiate, car le vrai commencement ne peut pas être antre chose… Mais cet être pur n’est que la plus pure abstraction; c’est un terme absolument négatif, qui peut aussi, si on le conçoit d’une manière immédiate, être appelé le non-être”</w:t>
      </w:r>
      <w:r>
        <w:rPr>
          <w:rFonts w:ascii="Times New Roman" w:hAnsi="Times New Roman" w:cs="Times New Roman"/>
          <w:sz w:val="20"/>
          <w:szCs w:val="20"/>
          <w:lang w:val="fr-FR"/>
        </w:rPr>
        <w:t>».</w:t>
      </w:r>
    </w:p>
  </w:footnote>
  <w:footnote w:id="21">
    <w:p w14:paraId="28FB6887" w14:textId="6DB20C45" w:rsidR="00B34CC2" w:rsidRPr="00B35533" w:rsidRDefault="00B34CC2" w:rsidP="00F721A9">
      <w:pPr>
        <w:pStyle w:val="Testonotaapidipagina"/>
        <w:jc w:val="both"/>
        <w:rPr>
          <w:rFonts w:ascii="Times New Roman" w:hAnsi="Times New Roman" w:cs="Times New Roman"/>
          <w:sz w:val="20"/>
          <w:szCs w:val="20"/>
        </w:rPr>
      </w:pPr>
      <w:r w:rsidRPr="00B35533">
        <w:rPr>
          <w:rStyle w:val="Rimandonotaapidipagina"/>
          <w:rFonts w:ascii="Times New Roman" w:hAnsi="Times New Roman" w:cs="Times New Roman"/>
          <w:sz w:val="20"/>
          <w:szCs w:val="20"/>
        </w:rPr>
        <w:footnoteRef/>
      </w:r>
      <w:r w:rsidRPr="00B35533">
        <w:rPr>
          <w:rFonts w:ascii="Times New Roman" w:hAnsi="Times New Roman" w:cs="Times New Roman"/>
          <w:sz w:val="20"/>
          <w:szCs w:val="20"/>
        </w:rPr>
        <w:t xml:space="preserve"> Su</w:t>
      </w:r>
      <w:r>
        <w:rPr>
          <w:rFonts w:ascii="Times New Roman" w:hAnsi="Times New Roman" w:cs="Times New Roman"/>
          <w:sz w:val="20"/>
          <w:szCs w:val="20"/>
        </w:rPr>
        <w:t xml:space="preserve"> questa posizione di Idel tornerò nel secondo capitolo.</w:t>
      </w:r>
      <w:r w:rsidRPr="00B35533">
        <w:rPr>
          <w:rFonts w:ascii="Times New Roman" w:hAnsi="Times New Roman" w:cs="Times New Roman"/>
          <w:sz w:val="20"/>
          <w:szCs w:val="20"/>
        </w:rPr>
        <w:t xml:space="preserve"> </w:t>
      </w:r>
      <w:r>
        <w:rPr>
          <w:rFonts w:ascii="Times New Roman" w:hAnsi="Times New Roman" w:cs="Times New Roman"/>
          <w:sz w:val="20"/>
          <w:szCs w:val="20"/>
        </w:rPr>
        <w:t xml:space="preserve">Cfr. </w:t>
      </w:r>
      <w:r w:rsidRPr="00F541B8">
        <w:rPr>
          <w:rFonts w:ascii="Times New Roman" w:hAnsi="Times New Roman" w:cs="Times New Roman"/>
          <w:i/>
          <w:sz w:val="20"/>
          <w:szCs w:val="20"/>
        </w:rPr>
        <w:t>infra</w:t>
      </w:r>
      <w:r>
        <w:rPr>
          <w:rFonts w:ascii="Times New Roman" w:hAnsi="Times New Roman" w:cs="Times New Roman"/>
          <w:sz w:val="20"/>
          <w:szCs w:val="20"/>
        </w:rPr>
        <w:t>, pp. 108-111.</w:t>
      </w:r>
    </w:p>
  </w:footnote>
  <w:footnote w:id="22">
    <w:p w14:paraId="4FE5C8BA" w14:textId="46A466BA" w:rsidR="00B34CC2" w:rsidRDefault="00B34CC2" w:rsidP="00F721A9">
      <w:pPr>
        <w:pStyle w:val="Testonotaapidipagina"/>
        <w:jc w:val="both"/>
      </w:pPr>
      <w:r w:rsidRPr="008C42BC">
        <w:rPr>
          <w:rStyle w:val="Rimandonotaapidipagina"/>
          <w:rFonts w:ascii="Times New Roman" w:hAnsi="Times New Roman" w:cs="Times New Roman"/>
          <w:sz w:val="20"/>
          <w:szCs w:val="20"/>
        </w:rPr>
        <w:footnoteRef/>
      </w:r>
      <w:r w:rsidRPr="008C42BC">
        <w:rPr>
          <w:rFonts w:ascii="Times New Roman" w:hAnsi="Times New Roman" w:cs="Times New Roman"/>
          <w:sz w:val="20"/>
          <w:szCs w:val="20"/>
        </w:rPr>
        <w:t xml:space="preserve"> </w:t>
      </w:r>
      <w:r w:rsidRPr="00171614">
        <w:rPr>
          <w:rFonts w:ascii="Times New Roman" w:hAnsi="Times New Roman" w:cs="Times New Roman"/>
          <w:sz w:val="20"/>
          <w:szCs w:val="20"/>
        </w:rPr>
        <w:t>Sul</w:t>
      </w:r>
      <w:r>
        <w:rPr>
          <w:rFonts w:ascii="Times New Roman" w:hAnsi="Times New Roman" w:cs="Times New Roman"/>
          <w:sz w:val="20"/>
          <w:szCs w:val="20"/>
        </w:rPr>
        <w:t>la</w:t>
      </w:r>
      <w:r w:rsidRPr="00171614">
        <w:rPr>
          <w:rFonts w:ascii="Times New Roman" w:hAnsi="Times New Roman" w:cs="Times New Roman"/>
          <w:sz w:val="20"/>
          <w:szCs w:val="20"/>
        </w:rPr>
        <w:t xml:space="preserve"> </w:t>
      </w:r>
      <w:r>
        <w:rPr>
          <w:rFonts w:ascii="Times New Roman" w:hAnsi="Times New Roman" w:cs="Times New Roman"/>
          <w:sz w:val="20"/>
          <w:szCs w:val="20"/>
        </w:rPr>
        <w:t>tematica dell’</w:t>
      </w:r>
      <w:r w:rsidRPr="00B30E56">
        <w:rPr>
          <w:rFonts w:ascii="Times New Roman" w:hAnsi="Times New Roman" w:cs="Times New Roman"/>
          <w:i/>
          <w:sz w:val="20"/>
          <w:szCs w:val="20"/>
        </w:rPr>
        <w:t>absolute Negativität</w:t>
      </w:r>
      <w:r>
        <w:rPr>
          <w:rFonts w:ascii="Times New Roman" w:hAnsi="Times New Roman" w:cs="Times New Roman"/>
          <w:sz w:val="20"/>
          <w:szCs w:val="20"/>
        </w:rPr>
        <w:t xml:space="preserve"> </w:t>
      </w:r>
      <w:r w:rsidRPr="00171614">
        <w:rPr>
          <w:rFonts w:ascii="Times New Roman" w:hAnsi="Times New Roman" w:cs="Times New Roman"/>
          <w:sz w:val="20"/>
          <w:szCs w:val="20"/>
        </w:rPr>
        <w:t xml:space="preserve">vedi W. Bonsiepen, </w:t>
      </w:r>
      <w:r w:rsidRPr="00171614">
        <w:rPr>
          <w:rFonts w:ascii="Times New Roman" w:hAnsi="Times New Roman" w:cs="Times New Roman"/>
          <w:i/>
          <w:sz w:val="20"/>
          <w:szCs w:val="20"/>
        </w:rPr>
        <w:t>Der Begriff der Negativität in den Jenaer Schriften Hegels</w:t>
      </w:r>
      <w:r w:rsidRPr="00171614">
        <w:rPr>
          <w:rFonts w:ascii="Times New Roman" w:hAnsi="Times New Roman" w:cs="Times New Roman"/>
          <w:sz w:val="20"/>
          <w:szCs w:val="20"/>
        </w:rPr>
        <w:t>,</w:t>
      </w:r>
      <w:r>
        <w:rPr>
          <w:rFonts w:ascii="Times New Roman" w:hAnsi="Times New Roman" w:cs="Times New Roman"/>
          <w:sz w:val="20"/>
          <w:szCs w:val="20"/>
        </w:rPr>
        <w:t xml:space="preserve"> cit.</w:t>
      </w:r>
      <w:r w:rsidRPr="00171614">
        <w:rPr>
          <w:rFonts w:ascii="Times New Roman" w:hAnsi="Times New Roman" w:cs="Times New Roman"/>
          <w:sz w:val="20"/>
          <w:szCs w:val="20"/>
        </w:rPr>
        <w:t xml:space="preserve">; B. Bowman, </w:t>
      </w:r>
      <w:r w:rsidRPr="00171614">
        <w:rPr>
          <w:rFonts w:ascii="Times New Roman" w:hAnsi="Times New Roman" w:cs="Times New Roman"/>
          <w:i/>
          <w:sz w:val="20"/>
          <w:szCs w:val="20"/>
        </w:rPr>
        <w:t>Hegel and the Metaphysics of Absolute Negativity</w:t>
      </w:r>
      <w:r w:rsidRPr="00171614">
        <w:rPr>
          <w:rFonts w:ascii="Times New Roman" w:hAnsi="Times New Roman" w:cs="Times New Roman"/>
          <w:sz w:val="20"/>
          <w:szCs w:val="20"/>
        </w:rPr>
        <w:t xml:space="preserve">, Cambridge University Press, Cambridge 2013; P. Coda, </w:t>
      </w:r>
      <w:r w:rsidRPr="00171614">
        <w:rPr>
          <w:rFonts w:ascii="Times New Roman" w:hAnsi="Times New Roman" w:cs="Times New Roman"/>
          <w:i/>
          <w:sz w:val="20"/>
          <w:szCs w:val="20"/>
        </w:rPr>
        <w:t>Il negativo e la Trinità</w:t>
      </w:r>
      <w:r w:rsidRPr="00171614">
        <w:rPr>
          <w:rFonts w:ascii="Times New Roman" w:hAnsi="Times New Roman" w:cs="Times New Roman"/>
          <w:sz w:val="20"/>
          <w:szCs w:val="20"/>
        </w:rPr>
        <w:t>,</w:t>
      </w:r>
      <w:r>
        <w:rPr>
          <w:rFonts w:ascii="Times New Roman" w:hAnsi="Times New Roman" w:cs="Times New Roman"/>
          <w:sz w:val="20"/>
          <w:szCs w:val="20"/>
        </w:rPr>
        <w:t xml:space="preserve"> cit.</w:t>
      </w:r>
      <w:r w:rsidRPr="00171614">
        <w:rPr>
          <w:rFonts w:ascii="Times New Roman" w:hAnsi="Times New Roman" w:cs="Times New Roman"/>
          <w:sz w:val="20"/>
          <w:szCs w:val="20"/>
        </w:rPr>
        <w:t xml:space="preserve">; D. Henrich, </w:t>
      </w:r>
      <w:r w:rsidRPr="00171614">
        <w:rPr>
          <w:rFonts w:ascii="Times New Roman" w:hAnsi="Times New Roman" w:cs="Times New Roman"/>
          <w:i/>
          <w:sz w:val="20"/>
          <w:szCs w:val="20"/>
        </w:rPr>
        <w:t>Hegel im Kontext</w:t>
      </w:r>
      <w:r w:rsidRPr="00171614">
        <w:rPr>
          <w:rFonts w:ascii="Times New Roman" w:hAnsi="Times New Roman" w:cs="Times New Roman"/>
          <w:sz w:val="20"/>
          <w:szCs w:val="20"/>
        </w:rPr>
        <w:t xml:space="preserve">, cit., pp. 95-157; D. Henrich, </w:t>
      </w:r>
      <w:r w:rsidRPr="00171614">
        <w:rPr>
          <w:rFonts w:ascii="Times New Roman" w:hAnsi="Times New Roman" w:cs="Times New Roman"/>
          <w:i/>
          <w:sz w:val="20"/>
          <w:szCs w:val="20"/>
        </w:rPr>
        <w:t>Hegels Logik der Reflexion. Neue Fassung</w:t>
      </w:r>
      <w:r w:rsidRPr="00171614">
        <w:rPr>
          <w:rFonts w:ascii="Times New Roman" w:hAnsi="Times New Roman" w:cs="Times New Roman"/>
          <w:sz w:val="20"/>
          <w:szCs w:val="20"/>
        </w:rPr>
        <w:t>, «Hegel–Studien</w:t>
      </w:r>
      <w:r w:rsidRPr="00171614">
        <w:rPr>
          <w:rFonts w:ascii="Times New Roman" w:eastAsia="Times New Roman" w:hAnsi="Times New Roman" w:cs="Times New Roman"/>
          <w:color w:val="000000"/>
          <w:sz w:val="20"/>
          <w:szCs w:val="20"/>
        </w:rPr>
        <w:t>»</w:t>
      </w:r>
      <w:r w:rsidRPr="00171614">
        <w:rPr>
          <w:rFonts w:ascii="Times New Roman" w:hAnsi="Times New Roman" w:cs="Times New Roman"/>
          <w:sz w:val="20"/>
          <w:szCs w:val="20"/>
        </w:rPr>
        <w:t>, Beiheft 18</w:t>
      </w:r>
      <w:r>
        <w:rPr>
          <w:rFonts w:ascii="Times New Roman" w:hAnsi="Times New Roman" w:cs="Times New Roman"/>
          <w:sz w:val="20"/>
          <w:szCs w:val="20"/>
        </w:rPr>
        <w:t xml:space="preserve"> (1978)</w:t>
      </w:r>
      <w:r w:rsidRPr="00171614">
        <w:rPr>
          <w:rFonts w:ascii="Times New Roman" w:hAnsi="Times New Roman" w:cs="Times New Roman"/>
          <w:sz w:val="20"/>
          <w:szCs w:val="20"/>
        </w:rPr>
        <w:t xml:space="preserve">: 203–325; D. Henrich, </w:t>
      </w:r>
      <w:r w:rsidRPr="00171614">
        <w:rPr>
          <w:rFonts w:ascii="Times New Roman" w:hAnsi="Times New Roman" w:cs="Times New Roman"/>
          <w:i/>
          <w:sz w:val="20"/>
          <w:szCs w:val="20"/>
        </w:rPr>
        <w:t>Between Kant and Hegel: Lectures on German Idealism</w:t>
      </w:r>
      <w:r w:rsidRPr="00171614">
        <w:rPr>
          <w:rFonts w:ascii="Times New Roman" w:hAnsi="Times New Roman" w:cs="Times New Roman"/>
          <w:sz w:val="20"/>
          <w:szCs w:val="20"/>
        </w:rPr>
        <w:t>, Harvard University Press, Cambridge 2003</w:t>
      </w:r>
      <w:r>
        <w:rPr>
          <w:rFonts w:ascii="Times New Roman" w:hAnsi="Times New Roman" w:cs="Times New Roman"/>
          <w:sz w:val="20"/>
          <w:szCs w:val="20"/>
        </w:rPr>
        <w:t xml:space="preserve">; J. Hyppolite, </w:t>
      </w:r>
      <w:r w:rsidRPr="000938AC">
        <w:rPr>
          <w:rFonts w:ascii="Times New Roman" w:hAnsi="Times New Roman" w:cs="Times New Roman"/>
          <w:i/>
          <w:sz w:val="20"/>
          <w:szCs w:val="20"/>
        </w:rPr>
        <w:t>Logique et existence</w:t>
      </w:r>
      <w:r>
        <w:rPr>
          <w:rFonts w:ascii="Times New Roman" w:hAnsi="Times New Roman" w:cs="Times New Roman"/>
          <w:sz w:val="20"/>
          <w:szCs w:val="20"/>
        </w:rPr>
        <w:t>, PUF, Paris 1953, pp. 135-163.</w:t>
      </w:r>
    </w:p>
  </w:footnote>
  <w:footnote w:id="23">
    <w:p w14:paraId="06983D40" w14:textId="1FC95204" w:rsidR="00B34CC2" w:rsidRPr="008D7266" w:rsidRDefault="00B34CC2" w:rsidP="00F721A9">
      <w:pPr>
        <w:pStyle w:val="Testonotaapidipagina"/>
        <w:jc w:val="both"/>
        <w:rPr>
          <w:rFonts w:ascii="Times New Roman" w:hAnsi="Times New Roman"/>
          <w:sz w:val="20"/>
          <w:szCs w:val="20"/>
        </w:rPr>
      </w:pPr>
      <w:r w:rsidRPr="008D7266">
        <w:rPr>
          <w:rStyle w:val="Rimandonotaapidipagina"/>
          <w:rFonts w:ascii="Times New Roman" w:hAnsi="Times New Roman"/>
          <w:sz w:val="20"/>
          <w:szCs w:val="20"/>
        </w:rPr>
        <w:footnoteRef/>
      </w:r>
      <w:r w:rsidRPr="008D7266">
        <w:rPr>
          <w:rFonts w:ascii="Times New Roman" w:hAnsi="Times New Roman"/>
          <w:sz w:val="20"/>
          <w:szCs w:val="20"/>
        </w:rPr>
        <w:t xml:space="preserve"> </w:t>
      </w:r>
      <w:r>
        <w:rPr>
          <w:rFonts w:ascii="Times New Roman" w:hAnsi="Times New Roman"/>
          <w:sz w:val="20"/>
          <w:szCs w:val="20"/>
        </w:rPr>
        <w:t xml:space="preserve">A. Koyré, </w:t>
      </w:r>
      <w:r>
        <w:rPr>
          <w:rFonts w:ascii="Times New Roman" w:hAnsi="Times New Roman"/>
          <w:i/>
          <w:sz w:val="20"/>
          <w:szCs w:val="20"/>
        </w:rPr>
        <w:t>Hegel à Iéna</w:t>
      </w:r>
      <w:r>
        <w:rPr>
          <w:rFonts w:ascii="Times New Roman" w:hAnsi="Times New Roman"/>
          <w:sz w:val="20"/>
          <w:szCs w:val="20"/>
        </w:rPr>
        <w:t xml:space="preserve">, in </w:t>
      </w:r>
      <w:r>
        <w:rPr>
          <w:rFonts w:ascii="Times New Roman" w:hAnsi="Times New Roman"/>
          <w:i/>
          <w:sz w:val="20"/>
          <w:szCs w:val="20"/>
        </w:rPr>
        <w:t>Etudes d’historie de le penseé philosophique</w:t>
      </w:r>
      <w:r>
        <w:rPr>
          <w:rFonts w:ascii="Times New Roman" w:hAnsi="Times New Roman"/>
          <w:sz w:val="20"/>
          <w:szCs w:val="20"/>
        </w:rPr>
        <w:t>, Gallimard, Paris 1961, pp. 147-150.</w:t>
      </w:r>
    </w:p>
  </w:footnote>
  <w:footnote w:id="24">
    <w:p w14:paraId="1972753A" w14:textId="3CC0BD22" w:rsidR="00B34CC2" w:rsidRPr="008D7266" w:rsidRDefault="00B34CC2" w:rsidP="00F721A9">
      <w:pPr>
        <w:pStyle w:val="Testonotaapidipagina"/>
        <w:jc w:val="both"/>
      </w:pPr>
      <w:r w:rsidRPr="008D7266">
        <w:rPr>
          <w:rStyle w:val="Rimandonotaapidipagina"/>
          <w:rFonts w:ascii="Times New Roman" w:hAnsi="Times New Roman"/>
          <w:sz w:val="20"/>
          <w:szCs w:val="20"/>
        </w:rPr>
        <w:footnoteRef/>
      </w:r>
      <w:r w:rsidRPr="008D7266">
        <w:rPr>
          <w:rFonts w:ascii="Times New Roman" w:hAnsi="Times New Roman"/>
          <w:sz w:val="20"/>
          <w:szCs w:val="20"/>
        </w:rPr>
        <w:t xml:space="preserve"> </w:t>
      </w:r>
      <w:r w:rsidRPr="008D7266">
        <w:rPr>
          <w:rFonts w:ascii="Times New Roman" w:hAnsi="Times New Roman"/>
          <w:i/>
          <w:sz w:val="20"/>
          <w:szCs w:val="20"/>
        </w:rPr>
        <w:t>Briefe</w:t>
      </w:r>
      <w:r w:rsidRPr="008D7266">
        <w:rPr>
          <w:rFonts w:ascii="Times New Roman" w:hAnsi="Times New Roman"/>
          <w:sz w:val="20"/>
          <w:szCs w:val="20"/>
        </w:rPr>
        <w:t xml:space="preserve">, p. </w:t>
      </w:r>
      <w:r>
        <w:rPr>
          <w:rFonts w:ascii="Times New Roman" w:hAnsi="Times New Roman"/>
          <w:sz w:val="20"/>
          <w:szCs w:val="20"/>
        </w:rPr>
        <w:t>59</w:t>
      </w:r>
      <w:r w:rsidRPr="008D7266">
        <w:rPr>
          <w:rFonts w:ascii="Times New Roman" w:hAnsi="Times New Roman"/>
          <w:sz w:val="20"/>
          <w:szCs w:val="20"/>
        </w:rPr>
        <w:t>.</w:t>
      </w:r>
    </w:p>
  </w:footnote>
  <w:footnote w:id="25">
    <w:p w14:paraId="5707F5A8" w14:textId="77777777" w:rsidR="00B34CC2" w:rsidRPr="008D7266" w:rsidRDefault="00B34CC2" w:rsidP="00F721A9">
      <w:pPr>
        <w:pStyle w:val="Testonotaapidipagina"/>
        <w:jc w:val="both"/>
        <w:rPr>
          <w:rFonts w:ascii="Times New Roman" w:hAnsi="Times New Roman"/>
          <w:sz w:val="20"/>
          <w:szCs w:val="20"/>
        </w:rPr>
      </w:pPr>
      <w:r w:rsidRPr="008D7266">
        <w:rPr>
          <w:rStyle w:val="Rimandonotaapidipagina"/>
          <w:rFonts w:ascii="Times New Roman" w:hAnsi="Times New Roman"/>
          <w:sz w:val="20"/>
          <w:szCs w:val="20"/>
        </w:rPr>
        <w:footnoteRef/>
      </w:r>
      <w:r>
        <w:rPr>
          <w:rFonts w:ascii="Times New Roman" w:hAnsi="Times New Roman"/>
          <w:sz w:val="20"/>
          <w:szCs w:val="20"/>
        </w:rPr>
        <w:t xml:space="preserve"> </w:t>
      </w:r>
      <w:r w:rsidRPr="008D7266">
        <w:rPr>
          <w:rFonts w:ascii="Times New Roman" w:hAnsi="Times New Roman"/>
          <w:i/>
          <w:sz w:val="20"/>
          <w:szCs w:val="20"/>
        </w:rPr>
        <w:t>Ibidem</w:t>
      </w:r>
      <w:r w:rsidRPr="008D7266">
        <w:rPr>
          <w:rFonts w:ascii="Times New Roman" w:hAnsi="Times New Roman"/>
          <w:sz w:val="20"/>
          <w:szCs w:val="20"/>
        </w:rPr>
        <w:t xml:space="preserve">. </w:t>
      </w:r>
    </w:p>
  </w:footnote>
  <w:footnote w:id="26">
    <w:p w14:paraId="676801B9" w14:textId="77777777" w:rsidR="00B34CC2" w:rsidRPr="008D7266" w:rsidRDefault="00B34CC2" w:rsidP="00F721A9">
      <w:pPr>
        <w:pStyle w:val="Testonotaapidipagina"/>
        <w:jc w:val="both"/>
        <w:rPr>
          <w:rFonts w:ascii="Times New Roman" w:hAnsi="Times New Roman" w:cs="Times New Roman"/>
          <w:sz w:val="20"/>
          <w:szCs w:val="20"/>
        </w:rPr>
      </w:pPr>
      <w:r w:rsidRPr="008D7266">
        <w:rPr>
          <w:rStyle w:val="Rimandonotaapidipagina"/>
          <w:rFonts w:ascii="Times New Roman" w:hAnsi="Times New Roman" w:cs="Times New Roman"/>
          <w:sz w:val="20"/>
          <w:szCs w:val="20"/>
        </w:rPr>
        <w:footnoteRef/>
      </w:r>
      <w:r w:rsidRPr="008D7266">
        <w:rPr>
          <w:rFonts w:ascii="Times New Roman" w:hAnsi="Times New Roman" w:cs="Times New Roman"/>
          <w:sz w:val="20"/>
          <w:szCs w:val="20"/>
        </w:rPr>
        <w:t xml:space="preserve"> </w:t>
      </w:r>
      <w:r>
        <w:rPr>
          <w:rFonts w:ascii="Times New Roman" w:hAnsi="Times New Roman" w:cs="Times New Roman"/>
          <w:sz w:val="20"/>
          <w:szCs w:val="20"/>
        </w:rPr>
        <w:t xml:space="preserve">A. Koyré, </w:t>
      </w:r>
      <w:r>
        <w:rPr>
          <w:rFonts w:ascii="Times New Roman" w:hAnsi="Times New Roman"/>
          <w:i/>
          <w:sz w:val="20"/>
          <w:szCs w:val="20"/>
        </w:rPr>
        <w:t>Hegel à Iéna</w:t>
      </w:r>
      <w:r>
        <w:rPr>
          <w:rFonts w:ascii="Times New Roman" w:hAnsi="Times New Roman"/>
          <w:sz w:val="20"/>
          <w:szCs w:val="20"/>
        </w:rPr>
        <w:t>, cit., p. 151.</w:t>
      </w:r>
    </w:p>
  </w:footnote>
  <w:footnote w:id="27">
    <w:p w14:paraId="1C17124A" w14:textId="03B54799" w:rsidR="00B34CC2" w:rsidRPr="00D005FA" w:rsidRDefault="00B34CC2" w:rsidP="00F721A9">
      <w:pPr>
        <w:pStyle w:val="Testonotaapidipagina"/>
        <w:jc w:val="both"/>
        <w:rPr>
          <w:rFonts w:ascii="Times New Roman" w:hAnsi="Times New Roman" w:cs="Times New Roman"/>
          <w:sz w:val="20"/>
          <w:szCs w:val="20"/>
        </w:rPr>
      </w:pPr>
      <w:r w:rsidRPr="00907024">
        <w:rPr>
          <w:rStyle w:val="Rimandonotaapidipagina"/>
          <w:rFonts w:ascii="Times New Roman" w:hAnsi="Times New Roman" w:cs="Times New Roman"/>
          <w:sz w:val="20"/>
          <w:szCs w:val="20"/>
        </w:rPr>
        <w:footnoteRef/>
      </w:r>
      <w:r w:rsidRPr="00907024">
        <w:rPr>
          <w:rFonts w:ascii="Times New Roman" w:hAnsi="Times New Roman" w:cs="Times New Roman"/>
          <w:sz w:val="20"/>
          <w:szCs w:val="20"/>
        </w:rPr>
        <w:t xml:space="preserve"> J. Hyppolite, </w:t>
      </w:r>
      <w:r w:rsidRPr="00907024">
        <w:rPr>
          <w:rFonts w:ascii="Times New Roman" w:hAnsi="Times New Roman" w:cs="Times New Roman"/>
          <w:i/>
          <w:sz w:val="20"/>
          <w:szCs w:val="20"/>
        </w:rPr>
        <w:t>Genèse et structure de la «Phénoménologie de l’esprit de Hegel</w:t>
      </w:r>
      <w:r w:rsidRPr="00907024">
        <w:rPr>
          <w:rFonts w:ascii="Times New Roman" w:eastAsia="Times New Roman" w:hAnsi="Times New Roman" w:cs="Times New Roman"/>
          <w:i/>
          <w:color w:val="000000"/>
          <w:sz w:val="20"/>
          <w:szCs w:val="20"/>
        </w:rPr>
        <w:t>»</w:t>
      </w:r>
      <w:r w:rsidRPr="00907024">
        <w:rPr>
          <w:rFonts w:ascii="Times New Roman" w:eastAsia="Times New Roman" w:hAnsi="Times New Roman" w:cs="Times New Roman"/>
          <w:color w:val="000000"/>
          <w:sz w:val="20"/>
          <w:szCs w:val="20"/>
        </w:rPr>
        <w:t>, Aubier, Paris 1946, p. 470.</w:t>
      </w:r>
    </w:p>
  </w:footnote>
  <w:footnote w:id="28">
    <w:p w14:paraId="3C2572EE" w14:textId="77777777" w:rsidR="00B34CC2" w:rsidRPr="004F1BAF" w:rsidRDefault="00B34CC2" w:rsidP="00F721A9">
      <w:pPr>
        <w:pStyle w:val="Testonotaapidipagina"/>
        <w:jc w:val="both"/>
        <w:rPr>
          <w:rFonts w:ascii="Times New Roman" w:hAnsi="Times New Roman" w:cs="Times New Roman"/>
          <w:sz w:val="20"/>
          <w:szCs w:val="20"/>
        </w:rPr>
      </w:pPr>
      <w:r w:rsidRPr="004F1BAF">
        <w:rPr>
          <w:rStyle w:val="Rimandonotaapidipagina"/>
          <w:rFonts w:ascii="Times New Roman" w:hAnsi="Times New Roman" w:cs="Times New Roman"/>
          <w:sz w:val="20"/>
          <w:szCs w:val="20"/>
        </w:rPr>
        <w:footnoteRef/>
      </w:r>
      <w:r w:rsidRPr="004F1BAF">
        <w:rPr>
          <w:rFonts w:ascii="Times New Roman" w:hAnsi="Times New Roman" w:cs="Times New Roman"/>
          <w:sz w:val="20"/>
          <w:szCs w:val="20"/>
        </w:rPr>
        <w:t xml:space="preserve"> </w:t>
      </w:r>
      <w:r>
        <w:rPr>
          <w:rFonts w:ascii="Times New Roman" w:hAnsi="Times New Roman" w:cs="Times New Roman"/>
          <w:sz w:val="20"/>
          <w:szCs w:val="20"/>
        </w:rPr>
        <w:t xml:space="preserve">A. Koyré, </w:t>
      </w:r>
      <w:r>
        <w:rPr>
          <w:rFonts w:ascii="Times New Roman" w:hAnsi="Times New Roman"/>
          <w:i/>
          <w:sz w:val="20"/>
          <w:szCs w:val="20"/>
        </w:rPr>
        <w:t>Hegel à Iéna</w:t>
      </w:r>
      <w:r>
        <w:rPr>
          <w:rFonts w:ascii="Times New Roman" w:hAnsi="Times New Roman"/>
          <w:sz w:val="20"/>
          <w:szCs w:val="20"/>
        </w:rPr>
        <w:t>, cit., p. 162.</w:t>
      </w:r>
    </w:p>
  </w:footnote>
  <w:footnote w:id="29">
    <w:p w14:paraId="6ACA7CF1" w14:textId="05E5CA32" w:rsidR="00B34CC2" w:rsidRPr="00C228D0" w:rsidRDefault="00B34CC2" w:rsidP="00F721A9">
      <w:pPr>
        <w:pStyle w:val="Testonotaapidipagina"/>
        <w:jc w:val="both"/>
        <w:rPr>
          <w:rFonts w:ascii="Times New Roman" w:hAnsi="Times New Roman" w:cs="Times New Roman"/>
          <w:sz w:val="20"/>
          <w:szCs w:val="20"/>
        </w:rPr>
      </w:pPr>
      <w:r w:rsidRPr="00BB529A">
        <w:rPr>
          <w:rStyle w:val="Rimandonotaapidipagina"/>
          <w:rFonts w:ascii="Times New Roman" w:hAnsi="Times New Roman" w:cs="Times New Roman"/>
          <w:sz w:val="20"/>
          <w:szCs w:val="20"/>
        </w:rPr>
        <w:footnoteRef/>
      </w:r>
      <w:r w:rsidRPr="00BB529A">
        <w:rPr>
          <w:rFonts w:ascii="Times New Roman" w:hAnsi="Times New Roman" w:cs="Times New Roman"/>
          <w:sz w:val="20"/>
          <w:szCs w:val="20"/>
        </w:rPr>
        <w:t xml:space="preserve"> </w:t>
      </w:r>
      <w:r>
        <w:rPr>
          <w:rFonts w:ascii="Times New Roman" w:hAnsi="Times New Roman" w:cs="Times New Roman"/>
          <w:sz w:val="20"/>
          <w:szCs w:val="20"/>
        </w:rPr>
        <w:t xml:space="preserve">Cfr. </w:t>
      </w:r>
      <w:r w:rsidRPr="005B66A9">
        <w:rPr>
          <w:rFonts w:ascii="Times New Roman" w:hAnsi="Times New Roman" w:cs="Times New Roman"/>
          <w:i/>
          <w:sz w:val="20"/>
          <w:szCs w:val="20"/>
        </w:rPr>
        <w:t>Ibidem</w:t>
      </w:r>
      <w:r>
        <w:rPr>
          <w:rFonts w:ascii="Times New Roman" w:hAnsi="Times New Roman" w:cs="Times New Roman"/>
          <w:sz w:val="20"/>
          <w:szCs w:val="20"/>
        </w:rPr>
        <w:t xml:space="preserve">: </w:t>
      </w:r>
      <w:r w:rsidRPr="00C228D0">
        <w:rPr>
          <w:rFonts w:ascii="Times New Roman" w:hAnsi="Times New Roman" w:cs="Times New Roman"/>
          <w:sz w:val="20"/>
          <w:szCs w:val="20"/>
        </w:rPr>
        <w:t>«En fait, l’Absolu fichtéen supprime le non; l’Absolu schellingien l’ignore. Et touts les deux restent par là même ab-solus, séparés, transcendants à l’être, à la raison. Restent immobiles et inconscients</w:t>
      </w:r>
      <w:r w:rsidRPr="00C228D0">
        <w:rPr>
          <w:rFonts w:ascii="Times New Roman" w:eastAsia="Times New Roman" w:hAnsi="Times New Roman" w:cs="Times New Roman"/>
          <w:color w:val="000000"/>
          <w:sz w:val="20"/>
          <w:szCs w:val="20"/>
        </w:rPr>
        <w:t>».</w:t>
      </w:r>
    </w:p>
  </w:footnote>
  <w:footnote w:id="30">
    <w:p w14:paraId="34A01BEF" w14:textId="2175ECC0" w:rsidR="00B34CC2" w:rsidRPr="00BB529A" w:rsidRDefault="00B34CC2" w:rsidP="00F721A9">
      <w:pPr>
        <w:pStyle w:val="Testonotaapidipagina"/>
        <w:jc w:val="both"/>
        <w:rPr>
          <w:rFonts w:ascii="Times New Roman" w:hAnsi="Times New Roman" w:cs="Times New Roman"/>
          <w:sz w:val="20"/>
          <w:szCs w:val="20"/>
        </w:rPr>
      </w:pPr>
      <w:r w:rsidRPr="00BB529A">
        <w:rPr>
          <w:rStyle w:val="Rimandonotaapidipagina"/>
          <w:rFonts w:ascii="Times New Roman" w:hAnsi="Times New Roman" w:cs="Times New Roman"/>
          <w:sz w:val="20"/>
          <w:szCs w:val="20"/>
        </w:rPr>
        <w:footnoteRef/>
      </w:r>
      <w:r w:rsidRPr="00BB529A">
        <w:rPr>
          <w:rFonts w:ascii="Times New Roman" w:hAnsi="Times New Roman" w:cs="Times New Roman"/>
          <w:sz w:val="20"/>
          <w:szCs w:val="20"/>
        </w:rPr>
        <w:t xml:space="preserve"> </w:t>
      </w:r>
      <w:r w:rsidRPr="00BB529A">
        <w:rPr>
          <w:rFonts w:ascii="Times New Roman" w:hAnsi="Times New Roman" w:cs="Times New Roman"/>
          <w:i/>
          <w:sz w:val="20"/>
          <w:szCs w:val="20"/>
        </w:rPr>
        <w:t>Ibidem.</w:t>
      </w:r>
    </w:p>
  </w:footnote>
  <w:footnote w:id="31">
    <w:p w14:paraId="6D7B5848" w14:textId="5C66FE50" w:rsidR="00B34CC2" w:rsidRPr="005D454E" w:rsidRDefault="00B34CC2" w:rsidP="00F721A9">
      <w:pPr>
        <w:pStyle w:val="Testonotaapidipagina"/>
        <w:jc w:val="both"/>
        <w:rPr>
          <w:rFonts w:ascii="Times New Roman" w:hAnsi="Times New Roman" w:cs="Times New Roman"/>
          <w:i/>
          <w:sz w:val="20"/>
          <w:szCs w:val="20"/>
        </w:rPr>
      </w:pPr>
      <w:r w:rsidRPr="005B66A9">
        <w:rPr>
          <w:rStyle w:val="Rimandonotaapidipagina"/>
          <w:rFonts w:ascii="Times New Roman" w:hAnsi="Times New Roman" w:cs="Times New Roman"/>
          <w:sz w:val="20"/>
          <w:szCs w:val="20"/>
        </w:rPr>
        <w:footnoteRef/>
      </w:r>
      <w:r w:rsidRPr="005B66A9">
        <w:rPr>
          <w:rFonts w:ascii="Times New Roman" w:hAnsi="Times New Roman" w:cs="Times New Roman"/>
          <w:sz w:val="20"/>
          <w:szCs w:val="20"/>
        </w:rPr>
        <w:t xml:space="preserve"> </w:t>
      </w:r>
      <w:r>
        <w:rPr>
          <w:rFonts w:ascii="Times New Roman" w:hAnsi="Times New Roman" w:cs="Times New Roman"/>
          <w:sz w:val="20"/>
          <w:szCs w:val="20"/>
        </w:rPr>
        <w:t xml:space="preserve">Vedi </w:t>
      </w:r>
      <w:r>
        <w:rPr>
          <w:rFonts w:ascii="Times New Roman" w:hAnsi="Times New Roman" w:cs="Times New Roman"/>
          <w:i/>
          <w:sz w:val="20"/>
          <w:szCs w:val="20"/>
        </w:rPr>
        <w:t>Ibidem</w:t>
      </w:r>
      <w:r>
        <w:rPr>
          <w:rFonts w:ascii="Times New Roman" w:hAnsi="Times New Roman" w:cs="Times New Roman"/>
          <w:sz w:val="20"/>
          <w:szCs w:val="20"/>
        </w:rPr>
        <w:t xml:space="preserve">: </w:t>
      </w:r>
      <w:r w:rsidRPr="00250F54">
        <w:rPr>
          <w:rFonts w:ascii="Times New Roman" w:hAnsi="Times New Roman" w:cs="Times New Roman"/>
          <w:sz w:val="20"/>
          <w:szCs w:val="20"/>
        </w:rPr>
        <w:t xml:space="preserve">«Il est fort possible, et même fort probable, que c’est la méditation de thèmes </w:t>
      </w:r>
      <w:r w:rsidRPr="005D454E">
        <w:rPr>
          <w:rFonts w:ascii="Times New Roman" w:hAnsi="Times New Roman" w:cs="Times New Roman"/>
          <w:sz w:val="20"/>
          <w:szCs w:val="20"/>
        </w:rPr>
        <w:t>paracelsiestes et boehmistes qui aide Hegel à prendre conscience du rôle de la négation, du Non</w:t>
      </w:r>
      <w:r w:rsidRPr="005D454E">
        <w:rPr>
          <w:rFonts w:ascii="Times New Roman" w:eastAsia="Times New Roman" w:hAnsi="Times New Roman" w:cs="Times New Roman"/>
          <w:color w:val="000000"/>
          <w:sz w:val="20"/>
          <w:szCs w:val="20"/>
        </w:rPr>
        <w:t>».</w:t>
      </w:r>
    </w:p>
  </w:footnote>
  <w:footnote w:id="32">
    <w:p w14:paraId="5F70CF6A" w14:textId="716961E5" w:rsidR="00B34CC2" w:rsidRPr="004C3BE4" w:rsidRDefault="00B34CC2" w:rsidP="00F721A9">
      <w:pPr>
        <w:pStyle w:val="Testonotaapidipagina"/>
        <w:jc w:val="both"/>
        <w:rPr>
          <w:rFonts w:ascii="Times New Roman" w:hAnsi="Times New Roman" w:cs="Times New Roman"/>
          <w:b/>
          <w:sz w:val="20"/>
          <w:szCs w:val="20"/>
        </w:rPr>
      </w:pPr>
      <w:r w:rsidRPr="005D454E">
        <w:rPr>
          <w:rStyle w:val="Rimandonotaapidipagina"/>
          <w:rFonts w:ascii="Times New Roman" w:hAnsi="Times New Roman" w:cs="Times New Roman"/>
        </w:rPr>
        <w:footnoteRef/>
      </w:r>
      <w:r w:rsidRPr="005D454E">
        <w:rPr>
          <w:rFonts w:ascii="Times New Roman" w:hAnsi="Times New Roman" w:cs="Times New Roman"/>
        </w:rPr>
        <w:t xml:space="preserve"> </w:t>
      </w:r>
      <w:r w:rsidRPr="005D454E">
        <w:rPr>
          <w:rFonts w:ascii="Times New Roman" w:hAnsi="Times New Roman" w:cs="Times New Roman"/>
          <w:sz w:val="20"/>
          <w:szCs w:val="20"/>
        </w:rPr>
        <w:t xml:space="preserve">W. Bonsiepen, </w:t>
      </w:r>
      <w:r w:rsidRPr="005D454E">
        <w:rPr>
          <w:rFonts w:ascii="Times New Roman" w:hAnsi="Times New Roman" w:cs="Times New Roman"/>
          <w:i/>
          <w:sz w:val="20"/>
          <w:szCs w:val="20"/>
        </w:rPr>
        <w:t>Der Begriff der Negativität in den Jenaer Schriften Hegels</w:t>
      </w:r>
      <w:r w:rsidRPr="005D454E">
        <w:rPr>
          <w:rFonts w:ascii="Times New Roman" w:hAnsi="Times New Roman" w:cs="Times New Roman"/>
          <w:sz w:val="20"/>
          <w:szCs w:val="20"/>
        </w:rPr>
        <w:t>, «Hegel–Studien</w:t>
      </w:r>
      <w:r w:rsidRPr="005D454E">
        <w:rPr>
          <w:rFonts w:ascii="Times New Roman" w:eastAsia="Times New Roman" w:hAnsi="Times New Roman" w:cs="Times New Roman"/>
          <w:color w:val="000000"/>
          <w:sz w:val="20"/>
          <w:szCs w:val="20"/>
        </w:rPr>
        <w:t>»,</w:t>
      </w:r>
      <w:r w:rsidRPr="005D454E">
        <w:rPr>
          <w:rFonts w:ascii="Times New Roman" w:hAnsi="Times New Roman" w:cs="Times New Roman"/>
          <w:sz w:val="20"/>
          <w:szCs w:val="20"/>
        </w:rPr>
        <w:t xml:space="preserve"> Beiheft 16. In linea con la lettura di Koyré, anche Bonsiepen riconosce a Jena un primo contatto con il pensiero di Jakob Böhme, precisamente nella </w:t>
      </w:r>
      <w:r w:rsidRPr="005D454E">
        <w:rPr>
          <w:rFonts w:ascii="Times New Roman" w:hAnsi="Times New Roman" w:cs="Times New Roman"/>
          <w:i/>
          <w:sz w:val="20"/>
          <w:szCs w:val="20"/>
        </w:rPr>
        <w:t>Jenaer Logik und Metaphysik</w:t>
      </w:r>
      <w:r w:rsidRPr="005D454E">
        <w:rPr>
          <w:rFonts w:ascii="Times New Roman" w:hAnsi="Times New Roman" w:cs="Times New Roman"/>
          <w:sz w:val="20"/>
          <w:szCs w:val="20"/>
        </w:rPr>
        <w:t xml:space="preserve">, dove Hegel introduce, in chiusura della </w:t>
      </w:r>
      <w:r w:rsidRPr="005D454E">
        <w:rPr>
          <w:rFonts w:ascii="Times New Roman" w:hAnsi="Times New Roman" w:cs="Times New Roman"/>
          <w:i/>
          <w:sz w:val="20"/>
          <w:szCs w:val="20"/>
        </w:rPr>
        <w:t>Metaphysik der Subjectivität</w:t>
      </w:r>
      <w:r>
        <w:rPr>
          <w:rFonts w:ascii="Times New Roman" w:hAnsi="Times New Roman" w:cs="Times New Roman"/>
          <w:sz w:val="20"/>
          <w:szCs w:val="20"/>
        </w:rPr>
        <w:t>, la nozione della</w:t>
      </w:r>
      <w:r w:rsidRPr="005D454E">
        <w:rPr>
          <w:rFonts w:ascii="Times New Roman" w:hAnsi="Times New Roman" w:cs="Times New Roman"/>
          <w:sz w:val="20"/>
          <w:szCs w:val="20"/>
        </w:rPr>
        <w:t xml:space="preserve"> caduta (</w:t>
      </w:r>
      <w:r w:rsidRPr="005D454E">
        <w:rPr>
          <w:rFonts w:ascii="Times New Roman" w:hAnsi="Times New Roman" w:cs="Times New Roman"/>
          <w:i/>
          <w:sz w:val="20"/>
          <w:szCs w:val="20"/>
        </w:rPr>
        <w:t>Abfall</w:t>
      </w:r>
      <w:r w:rsidRPr="005D454E">
        <w:rPr>
          <w:rFonts w:ascii="Times New Roman" w:hAnsi="Times New Roman" w:cs="Times New Roman"/>
          <w:sz w:val="20"/>
          <w:szCs w:val="20"/>
        </w:rPr>
        <w:t>).</w:t>
      </w:r>
      <w:r w:rsidRPr="003D0689">
        <w:rPr>
          <w:rFonts w:ascii="Times New Roman" w:hAnsi="Times New Roman" w:cs="Times New Roman"/>
          <w:sz w:val="20"/>
          <w:szCs w:val="20"/>
        </w:rPr>
        <w:t xml:space="preserve"> </w:t>
      </w:r>
      <w:r w:rsidRPr="00B638E1">
        <w:rPr>
          <w:rFonts w:ascii="Times New Roman" w:hAnsi="Times New Roman" w:cs="Times New Roman"/>
          <w:sz w:val="20"/>
          <w:szCs w:val="20"/>
        </w:rPr>
        <w:t xml:space="preserve">Per Bonsiepen, il tema della caduta trova una riformulazione nella </w:t>
      </w:r>
      <w:r w:rsidRPr="00B638E1">
        <w:rPr>
          <w:rFonts w:ascii="Times New Roman" w:hAnsi="Times New Roman" w:cs="Times New Roman"/>
          <w:i/>
          <w:sz w:val="20"/>
          <w:szCs w:val="20"/>
        </w:rPr>
        <w:t xml:space="preserve">Phänomenologie des </w:t>
      </w:r>
      <w:r w:rsidRPr="006978C0">
        <w:rPr>
          <w:rFonts w:ascii="Times New Roman" w:hAnsi="Times New Roman" w:cs="Times New Roman"/>
          <w:i/>
          <w:sz w:val="20"/>
          <w:szCs w:val="20"/>
        </w:rPr>
        <w:t>Geistes</w:t>
      </w:r>
      <w:r w:rsidRPr="006978C0">
        <w:rPr>
          <w:rFonts w:ascii="Times New Roman" w:hAnsi="Times New Roman" w:cs="Times New Roman"/>
          <w:sz w:val="20"/>
          <w:szCs w:val="20"/>
        </w:rPr>
        <w:t>, dove è riconosciuto un</w:t>
      </w:r>
      <w:r w:rsidRPr="00B638E1">
        <w:rPr>
          <w:rFonts w:ascii="Times New Roman" w:hAnsi="Times New Roman" w:cs="Times New Roman"/>
          <w:sz w:val="20"/>
          <w:szCs w:val="20"/>
        </w:rPr>
        <w:t xml:space="preserve"> influsso diretto di Böhme sul </w:t>
      </w:r>
      <w:r w:rsidRPr="00B638E1">
        <w:rPr>
          <w:rFonts w:ascii="Times New Roman" w:hAnsi="Times New Roman" w:cs="Times New Roman"/>
          <w:i/>
          <w:sz w:val="20"/>
          <w:szCs w:val="20"/>
        </w:rPr>
        <w:t>Religionskapitel</w:t>
      </w:r>
      <w:r w:rsidRPr="00B638E1">
        <w:rPr>
          <w:rFonts w:ascii="Times New Roman" w:hAnsi="Times New Roman" w:cs="Times New Roman"/>
          <w:sz w:val="20"/>
          <w:szCs w:val="20"/>
        </w:rPr>
        <w:t>.</w:t>
      </w:r>
      <w:r>
        <w:rPr>
          <w:rFonts w:ascii="Times New Roman" w:hAnsi="Times New Roman" w:cs="Times New Roman"/>
          <w:sz w:val="20"/>
          <w:szCs w:val="20"/>
        </w:rPr>
        <w:t xml:space="preserve"> Cfr. W. Bonsiepen, </w:t>
      </w:r>
      <w:r>
        <w:rPr>
          <w:rFonts w:ascii="Times New Roman" w:hAnsi="Times New Roman" w:cs="Times New Roman"/>
          <w:i/>
          <w:sz w:val="20"/>
          <w:szCs w:val="20"/>
        </w:rPr>
        <w:t>Der Begriff der Negativität in den Jenaer Schriften Hegels</w:t>
      </w:r>
      <w:r>
        <w:rPr>
          <w:rFonts w:ascii="Times New Roman" w:hAnsi="Times New Roman" w:cs="Times New Roman"/>
          <w:sz w:val="20"/>
          <w:szCs w:val="20"/>
        </w:rPr>
        <w:t>, cit.</w:t>
      </w:r>
      <w:r>
        <w:rPr>
          <w:rFonts w:ascii="Times New Roman" w:eastAsia="Times New Roman" w:hAnsi="Times New Roman" w:cs="Times New Roman"/>
          <w:color w:val="000000"/>
          <w:sz w:val="20"/>
          <w:szCs w:val="20"/>
        </w:rPr>
        <w:t xml:space="preserve">, p. 51: </w:t>
      </w:r>
      <w:r w:rsidRPr="00C94FB4">
        <w:rPr>
          <w:rFonts w:ascii="Times New Roman" w:eastAsia="Times New Roman" w:hAnsi="Times New Roman" w:cs="Times New Roman"/>
          <w:color w:val="000000"/>
          <w:sz w:val="20"/>
          <w:szCs w:val="20"/>
        </w:rPr>
        <w:t xml:space="preserve">«Ein direkter Einfluß J. Böhmes ist erst für die Phänomenologie nachweisbar, in der im Religionskapitel die Rede von Abfall des erstgeborenen Lichtsohnes und vom Zorn Gottes ist. Schon in der Jenaer Logik und Metaphysik </w:t>
      </w:r>
      <w:r>
        <w:rPr>
          <w:rFonts w:ascii="Times New Roman" w:eastAsia="Times New Roman" w:hAnsi="Times New Roman" w:cs="Times New Roman"/>
          <w:color w:val="000000"/>
          <w:sz w:val="20"/>
          <w:szCs w:val="20"/>
        </w:rPr>
        <w:t xml:space="preserve">von 1804/05 taucht der Begriff </w:t>
      </w:r>
      <w:r w:rsidRPr="00C94FB4">
        <w:rPr>
          <w:rFonts w:ascii="Times New Roman" w:eastAsia="Times New Roman" w:hAnsi="Times New Roman" w:cs="Times New Roman"/>
          <w:color w:val="000000"/>
          <w:sz w:val="20"/>
          <w:szCs w:val="20"/>
        </w:rPr>
        <w:t>“Abfall” . Diese teilweise Übernahme Böhmescher Termin</w:t>
      </w:r>
      <w:r>
        <w:rPr>
          <w:rFonts w:ascii="Times New Roman" w:eastAsia="Times New Roman" w:hAnsi="Times New Roman" w:cs="Times New Roman"/>
          <w:color w:val="000000"/>
          <w:sz w:val="20"/>
          <w:szCs w:val="20"/>
        </w:rPr>
        <w:t xml:space="preserve">i bedeutet aber keine Bekehrung </w:t>
      </w:r>
      <w:r w:rsidRPr="00C94FB4">
        <w:rPr>
          <w:rFonts w:ascii="Times New Roman" w:eastAsia="Times New Roman" w:hAnsi="Times New Roman" w:cs="Times New Roman"/>
          <w:color w:val="000000"/>
          <w:sz w:val="20"/>
          <w:szCs w:val="20"/>
        </w:rPr>
        <w:t>Hegels zum theosophischen Standpunkt». Si deve notare che questa posizione di Bonsiepen, se contestualizzata all’interno del suo lavoro, non assume alcuna funzione teorica di rilievo. Anzi, è del tutto</w:t>
      </w:r>
      <w:r w:rsidRPr="00963C91">
        <w:rPr>
          <w:rFonts w:ascii="Times New Roman" w:eastAsia="Times New Roman" w:hAnsi="Times New Roman" w:cs="Times New Roman"/>
          <w:color w:val="000000"/>
          <w:sz w:val="20"/>
          <w:szCs w:val="20"/>
        </w:rPr>
        <w:t xml:space="preserve"> marginale nell’economia generale dello scritto, che trae le sue conclusioni sul </w:t>
      </w:r>
      <w:r w:rsidRPr="00963C91">
        <w:rPr>
          <w:rFonts w:ascii="Times New Roman" w:eastAsia="Times New Roman" w:hAnsi="Times New Roman" w:cs="Times New Roman"/>
          <w:i/>
          <w:color w:val="000000"/>
          <w:sz w:val="20"/>
          <w:szCs w:val="20"/>
        </w:rPr>
        <w:t>Begriff der Negativität</w:t>
      </w:r>
      <w:r w:rsidRPr="00963C91">
        <w:rPr>
          <w:rFonts w:ascii="Times New Roman" w:eastAsia="Times New Roman" w:hAnsi="Times New Roman" w:cs="Times New Roman"/>
          <w:color w:val="000000"/>
          <w:sz w:val="20"/>
          <w:szCs w:val="20"/>
        </w:rPr>
        <w:t xml:space="preserve"> a partire da un confronto con la </w:t>
      </w:r>
      <w:r w:rsidRPr="00963C91">
        <w:rPr>
          <w:rFonts w:ascii="Times New Roman" w:eastAsia="Times New Roman" w:hAnsi="Times New Roman" w:cs="Times New Roman"/>
          <w:i/>
          <w:color w:val="000000"/>
          <w:sz w:val="20"/>
          <w:szCs w:val="20"/>
        </w:rPr>
        <w:t xml:space="preserve">Realphilosophie </w:t>
      </w:r>
      <w:r w:rsidRPr="00963C91">
        <w:rPr>
          <w:rFonts w:ascii="Times New Roman" w:eastAsia="Times New Roman" w:hAnsi="Times New Roman" w:cs="Times New Roman"/>
          <w:color w:val="000000"/>
          <w:sz w:val="20"/>
          <w:szCs w:val="20"/>
        </w:rPr>
        <w:t>hegeliana. La secondarietà</w:t>
      </w:r>
      <w:r>
        <w:rPr>
          <w:rFonts w:ascii="Times New Roman" w:eastAsia="Times New Roman" w:hAnsi="Times New Roman" w:cs="Times New Roman"/>
          <w:color w:val="000000"/>
          <w:sz w:val="20"/>
          <w:szCs w:val="20"/>
        </w:rPr>
        <w:t xml:space="preserve"> di questo </w:t>
      </w:r>
      <w:r w:rsidRPr="005E7BBA">
        <w:rPr>
          <w:rFonts w:ascii="Times New Roman" w:eastAsia="Times New Roman" w:hAnsi="Times New Roman" w:cs="Times New Roman"/>
          <w:color w:val="000000"/>
          <w:sz w:val="20"/>
          <w:szCs w:val="20"/>
        </w:rPr>
        <w:t xml:space="preserve">tema è restituita anche dalla mancata discussione del cosiddetto </w:t>
      </w:r>
      <w:r w:rsidRPr="005E7BBA">
        <w:rPr>
          <w:rFonts w:ascii="Times New Roman" w:eastAsia="Times New Roman" w:hAnsi="Times New Roman" w:cs="Times New Roman"/>
          <w:i/>
          <w:color w:val="000000"/>
          <w:sz w:val="20"/>
          <w:szCs w:val="20"/>
        </w:rPr>
        <w:t>Fragment 49</w:t>
      </w:r>
      <w:r w:rsidRPr="005E7BBA">
        <w:rPr>
          <w:rFonts w:ascii="Times New Roman" w:eastAsia="Times New Roman" w:hAnsi="Times New Roman" w:cs="Times New Roman"/>
          <w:color w:val="000000"/>
          <w:sz w:val="20"/>
          <w:szCs w:val="20"/>
        </w:rPr>
        <w:t xml:space="preserve">, ossia di un appunto del 1804/05, praticamente coevo alle </w:t>
      </w:r>
      <w:r w:rsidRPr="005E7BBA">
        <w:rPr>
          <w:rFonts w:ascii="Times New Roman" w:hAnsi="Times New Roman" w:cs="Times New Roman"/>
          <w:i/>
          <w:sz w:val="20"/>
          <w:szCs w:val="20"/>
        </w:rPr>
        <w:t>Jenaer Logik und Metaphysik</w:t>
      </w:r>
      <w:r w:rsidRPr="005E7BBA">
        <w:rPr>
          <w:rFonts w:ascii="Times New Roman" w:hAnsi="Times New Roman" w:cs="Times New Roman"/>
          <w:sz w:val="20"/>
          <w:szCs w:val="20"/>
        </w:rPr>
        <w:t xml:space="preserve">, in cui Hegel delinea un </w:t>
      </w:r>
      <w:r w:rsidRPr="005E7BBA">
        <w:rPr>
          <w:rFonts w:ascii="Times New Roman" w:hAnsi="Times New Roman" w:cs="Times New Roman"/>
          <w:i/>
          <w:sz w:val="20"/>
          <w:szCs w:val="20"/>
        </w:rPr>
        <w:t>Lebenslauf Gottes</w:t>
      </w:r>
      <w:r w:rsidRPr="005E7BBA">
        <w:rPr>
          <w:rFonts w:ascii="Times New Roman" w:hAnsi="Times New Roman" w:cs="Times New Roman"/>
          <w:sz w:val="20"/>
          <w:szCs w:val="20"/>
        </w:rPr>
        <w:t xml:space="preserve"> ispirato al pensiero del ciabattino di Görlitz. Questa omissione, a mio modo di vedere, non consente a Bonsiepen d’afferrare la portata teorica del confronto hegeliano con l’opera di Böhme: ciò che viene a mancare in questa analisi è la ricorsività e la centralità di alcuni concetti böhmiani, quali la </w:t>
      </w:r>
      <w:r w:rsidRPr="005E7BBA">
        <w:rPr>
          <w:rFonts w:ascii="Times New Roman" w:hAnsi="Times New Roman" w:cs="Times New Roman"/>
          <w:i/>
          <w:sz w:val="20"/>
          <w:szCs w:val="20"/>
        </w:rPr>
        <w:t>Zorn Gottes</w:t>
      </w:r>
      <w:r w:rsidRPr="005E7BBA">
        <w:rPr>
          <w:rFonts w:ascii="Times New Roman" w:hAnsi="Times New Roman" w:cs="Times New Roman"/>
          <w:sz w:val="20"/>
          <w:szCs w:val="20"/>
        </w:rPr>
        <w:t xml:space="preserve"> e l’</w:t>
      </w:r>
      <w:r w:rsidRPr="005E7BBA">
        <w:rPr>
          <w:rFonts w:ascii="Times New Roman" w:hAnsi="Times New Roman" w:cs="Times New Roman"/>
          <w:i/>
          <w:sz w:val="20"/>
          <w:szCs w:val="20"/>
        </w:rPr>
        <w:t xml:space="preserve">Abfall </w:t>
      </w:r>
      <w:r w:rsidRPr="005E7BBA">
        <w:rPr>
          <w:rFonts w:ascii="Times New Roman" w:eastAsia="Times New Roman" w:hAnsi="Times New Roman" w:cs="Times New Roman"/>
          <w:i/>
          <w:color w:val="000000"/>
          <w:sz w:val="20"/>
          <w:szCs w:val="20"/>
        </w:rPr>
        <w:t>des erstgeborenen Lichtsohnes</w:t>
      </w:r>
      <w:r w:rsidRPr="005E7BBA">
        <w:rPr>
          <w:rFonts w:ascii="Times New Roman" w:hAnsi="Times New Roman" w:cs="Times New Roman"/>
          <w:sz w:val="20"/>
          <w:szCs w:val="20"/>
        </w:rPr>
        <w:t>, nella definizione di una teoria dell’</w:t>
      </w:r>
      <w:r w:rsidRPr="005E7BBA">
        <w:rPr>
          <w:rFonts w:ascii="Times New Roman" w:hAnsi="Times New Roman" w:cs="Times New Roman"/>
          <w:i/>
          <w:sz w:val="20"/>
          <w:szCs w:val="20"/>
        </w:rPr>
        <w:t xml:space="preserve">absolute Negativität </w:t>
      </w:r>
      <w:r w:rsidRPr="005E7BBA">
        <w:rPr>
          <w:rFonts w:ascii="Times New Roman" w:hAnsi="Times New Roman" w:cs="Times New Roman"/>
          <w:sz w:val="20"/>
          <w:szCs w:val="20"/>
        </w:rPr>
        <w:t>capace di restituire la natura incondizionata dell’Assoluto.</w:t>
      </w:r>
    </w:p>
  </w:footnote>
  <w:footnote w:id="33">
    <w:p w14:paraId="0CE86562" w14:textId="6503F707" w:rsidR="00B34CC2" w:rsidRPr="008A76D6" w:rsidRDefault="00B34CC2" w:rsidP="00F721A9">
      <w:pPr>
        <w:pStyle w:val="Testonotaapidipagina"/>
        <w:jc w:val="both"/>
        <w:rPr>
          <w:rFonts w:ascii="Times New Roman" w:hAnsi="Times New Roman" w:cs="Times New Roman"/>
          <w:sz w:val="20"/>
          <w:szCs w:val="20"/>
        </w:rPr>
      </w:pPr>
      <w:r w:rsidRPr="004C3BE4">
        <w:rPr>
          <w:rStyle w:val="Rimandonotaapidipagina"/>
          <w:rFonts w:ascii="Times New Roman" w:hAnsi="Times New Roman" w:cs="Times New Roman"/>
          <w:sz w:val="20"/>
          <w:szCs w:val="20"/>
        </w:rPr>
        <w:footnoteRef/>
      </w:r>
      <w:r w:rsidRPr="004C3BE4">
        <w:rPr>
          <w:rFonts w:ascii="Times New Roman" w:hAnsi="Times New Roman" w:cs="Times New Roman"/>
          <w:sz w:val="20"/>
          <w:szCs w:val="20"/>
        </w:rPr>
        <w:t xml:space="preserve"> </w:t>
      </w:r>
      <w:r w:rsidRPr="00171614">
        <w:rPr>
          <w:rFonts w:ascii="Times New Roman" w:hAnsi="Times New Roman" w:cs="Times New Roman"/>
          <w:sz w:val="20"/>
          <w:szCs w:val="20"/>
        </w:rPr>
        <w:t xml:space="preserve">P. Coda, </w:t>
      </w:r>
      <w:r w:rsidRPr="00171614">
        <w:rPr>
          <w:rFonts w:ascii="Times New Roman" w:hAnsi="Times New Roman" w:cs="Times New Roman"/>
          <w:i/>
          <w:sz w:val="20"/>
          <w:szCs w:val="20"/>
        </w:rPr>
        <w:t>Il negativo e la Trinità</w:t>
      </w:r>
      <w:r>
        <w:rPr>
          <w:rFonts w:ascii="Times New Roman" w:hAnsi="Times New Roman" w:cs="Times New Roman"/>
          <w:i/>
          <w:sz w:val="20"/>
          <w:szCs w:val="20"/>
        </w:rPr>
        <w:t>. Ipotesi su Hegel</w:t>
      </w:r>
      <w:r w:rsidRPr="00171614">
        <w:rPr>
          <w:rFonts w:ascii="Times New Roman" w:hAnsi="Times New Roman" w:cs="Times New Roman"/>
          <w:sz w:val="20"/>
          <w:szCs w:val="20"/>
        </w:rPr>
        <w:t>,</w:t>
      </w:r>
      <w:r w:rsidRPr="00171614">
        <w:rPr>
          <w:rFonts w:ascii="Times New Roman" w:hAnsi="Times New Roman" w:cs="Times New Roman"/>
        </w:rPr>
        <w:t xml:space="preserve"> </w:t>
      </w:r>
      <w:r w:rsidRPr="00171614">
        <w:rPr>
          <w:rFonts w:ascii="Times New Roman" w:hAnsi="Times New Roman" w:cs="Times New Roman"/>
          <w:sz w:val="20"/>
          <w:szCs w:val="20"/>
        </w:rPr>
        <w:t>Città Nuova Editrice, Roma 1986</w:t>
      </w:r>
      <w:r>
        <w:rPr>
          <w:rFonts w:ascii="Times New Roman" w:hAnsi="Times New Roman" w:cs="Times New Roman"/>
          <w:sz w:val="20"/>
          <w:szCs w:val="20"/>
        </w:rPr>
        <w:t>.</w:t>
      </w:r>
    </w:p>
  </w:footnote>
  <w:footnote w:id="34">
    <w:p w14:paraId="5639FA96" w14:textId="6F435ED7" w:rsidR="00B34CC2" w:rsidRPr="00540BC1" w:rsidRDefault="00B34CC2" w:rsidP="00F721A9">
      <w:pPr>
        <w:pStyle w:val="Testonotaapidipagina"/>
        <w:jc w:val="both"/>
        <w:rPr>
          <w:rFonts w:ascii="Times New Roman" w:hAnsi="Times New Roman" w:cs="Times New Roman"/>
          <w:sz w:val="20"/>
          <w:szCs w:val="20"/>
        </w:rPr>
      </w:pPr>
      <w:r w:rsidRPr="00540BC1">
        <w:rPr>
          <w:rStyle w:val="Rimandonotaapidipagina"/>
          <w:rFonts w:ascii="Times New Roman" w:hAnsi="Times New Roman" w:cs="Times New Roman"/>
          <w:sz w:val="20"/>
          <w:szCs w:val="20"/>
        </w:rPr>
        <w:footnoteRef/>
      </w:r>
      <w:r w:rsidRPr="00540BC1">
        <w:rPr>
          <w:rFonts w:ascii="Times New Roman" w:hAnsi="Times New Roman" w:cs="Times New Roman"/>
          <w:sz w:val="20"/>
          <w:szCs w:val="20"/>
        </w:rPr>
        <w:t xml:space="preserve"> </w:t>
      </w:r>
      <w:r>
        <w:rPr>
          <w:rFonts w:ascii="Times New Roman" w:hAnsi="Times New Roman" w:cs="Times New Roman"/>
          <w:sz w:val="20"/>
          <w:szCs w:val="20"/>
        </w:rPr>
        <w:t xml:space="preserve">In effetti, là dove ci si aspetterebbe una trattazione dell’influenza del ciabattino di Görlitz sulla teoria hegeliana della </w:t>
      </w:r>
      <w:r w:rsidRPr="00AA2217">
        <w:rPr>
          <w:rFonts w:ascii="Times New Roman" w:hAnsi="Times New Roman" w:cs="Times New Roman"/>
          <w:i/>
          <w:sz w:val="20"/>
          <w:szCs w:val="20"/>
        </w:rPr>
        <w:t>Negativität</w:t>
      </w:r>
      <w:r>
        <w:rPr>
          <w:rFonts w:ascii="Times New Roman" w:hAnsi="Times New Roman" w:cs="Times New Roman"/>
          <w:sz w:val="20"/>
          <w:szCs w:val="20"/>
        </w:rPr>
        <w:t xml:space="preserve">, ossia nella </w:t>
      </w:r>
      <w:r w:rsidRPr="004720FE">
        <w:rPr>
          <w:rFonts w:ascii="Times New Roman" w:hAnsi="Times New Roman" w:cs="Times New Roman"/>
          <w:i/>
          <w:sz w:val="20"/>
          <w:szCs w:val="20"/>
        </w:rPr>
        <w:t>Jenaer Logik und Metaphysik</w:t>
      </w:r>
      <w:r>
        <w:rPr>
          <w:rFonts w:ascii="Times New Roman" w:hAnsi="Times New Roman" w:cs="Times New Roman"/>
          <w:i/>
          <w:sz w:val="20"/>
          <w:szCs w:val="20"/>
        </w:rPr>
        <w:t xml:space="preserve"> </w:t>
      </w:r>
      <w:r>
        <w:rPr>
          <w:rFonts w:ascii="Times New Roman" w:hAnsi="Times New Roman" w:cs="Times New Roman"/>
          <w:sz w:val="20"/>
          <w:szCs w:val="20"/>
        </w:rPr>
        <w:t xml:space="preserve">e nel </w:t>
      </w:r>
      <w:r w:rsidRPr="00540BC1">
        <w:rPr>
          <w:rFonts w:ascii="Times New Roman" w:hAnsi="Times New Roman" w:cs="Times New Roman"/>
          <w:i/>
          <w:sz w:val="20"/>
          <w:szCs w:val="20"/>
        </w:rPr>
        <w:t xml:space="preserve">Religionskapitel </w:t>
      </w:r>
      <w:r>
        <w:rPr>
          <w:rFonts w:ascii="Times New Roman" w:hAnsi="Times New Roman" w:cs="Times New Roman"/>
          <w:sz w:val="20"/>
          <w:szCs w:val="20"/>
        </w:rPr>
        <w:t xml:space="preserve">della </w:t>
      </w:r>
      <w:r w:rsidRPr="00540BC1">
        <w:rPr>
          <w:rFonts w:ascii="Times New Roman" w:hAnsi="Times New Roman" w:cs="Times New Roman"/>
          <w:i/>
          <w:sz w:val="20"/>
          <w:szCs w:val="20"/>
        </w:rPr>
        <w:t>Phänomenologie des Geistes</w:t>
      </w:r>
      <w:r>
        <w:rPr>
          <w:rFonts w:ascii="Times New Roman" w:hAnsi="Times New Roman" w:cs="Times New Roman"/>
          <w:sz w:val="20"/>
          <w:szCs w:val="20"/>
        </w:rPr>
        <w:t xml:space="preserve">, Coda semplicemente soprassiede. Ne </w:t>
      </w:r>
      <w:r w:rsidRPr="00540BC1">
        <w:rPr>
          <w:rFonts w:ascii="Times New Roman" w:hAnsi="Times New Roman" w:cs="Times New Roman"/>
          <w:i/>
          <w:sz w:val="20"/>
          <w:szCs w:val="20"/>
        </w:rPr>
        <w:t>Il negativo e la Trinità</w:t>
      </w:r>
      <w:r>
        <w:rPr>
          <w:rFonts w:ascii="Times New Roman" w:hAnsi="Times New Roman" w:cs="Times New Roman"/>
          <w:sz w:val="20"/>
          <w:szCs w:val="20"/>
        </w:rPr>
        <w:t xml:space="preserve">, soltanto il </w:t>
      </w:r>
      <w:r w:rsidRPr="00540BC1">
        <w:rPr>
          <w:rFonts w:ascii="Times New Roman" w:hAnsi="Times New Roman" w:cs="Times New Roman"/>
          <w:i/>
          <w:sz w:val="20"/>
          <w:szCs w:val="20"/>
        </w:rPr>
        <w:t>Fragment 49</w:t>
      </w:r>
      <w:r>
        <w:rPr>
          <w:rFonts w:ascii="Times New Roman" w:hAnsi="Times New Roman" w:cs="Times New Roman"/>
          <w:sz w:val="20"/>
          <w:szCs w:val="20"/>
        </w:rPr>
        <w:t xml:space="preserve"> è preso in considerazione dall’autore</w:t>
      </w:r>
      <w:r w:rsidRPr="00917330">
        <w:rPr>
          <w:rFonts w:ascii="Times New Roman" w:hAnsi="Times New Roman" w:cs="Times New Roman"/>
          <w:sz w:val="20"/>
          <w:szCs w:val="20"/>
        </w:rPr>
        <w:t xml:space="preserve">: se da un lato è compiuto un passo in avanti rispetto al </w:t>
      </w:r>
      <w:r w:rsidRPr="00917330">
        <w:rPr>
          <w:rFonts w:ascii="Times New Roman" w:hAnsi="Times New Roman" w:cs="Times New Roman"/>
          <w:i/>
          <w:sz w:val="20"/>
          <w:szCs w:val="20"/>
        </w:rPr>
        <w:t>Der Begriff der Negativität</w:t>
      </w:r>
      <w:r w:rsidRPr="00917330">
        <w:rPr>
          <w:rFonts w:ascii="Times New Roman" w:hAnsi="Times New Roman" w:cs="Times New Roman"/>
          <w:sz w:val="20"/>
          <w:szCs w:val="20"/>
        </w:rPr>
        <w:t>, dall’altro lato non si guadagna ulteriore</w:t>
      </w:r>
      <w:r w:rsidRPr="00963C91">
        <w:rPr>
          <w:rFonts w:ascii="Times New Roman" w:hAnsi="Times New Roman" w:cs="Times New Roman"/>
          <w:sz w:val="20"/>
          <w:szCs w:val="20"/>
        </w:rPr>
        <w:t xml:space="preserve"> terreno </w:t>
      </w:r>
      <w:r>
        <w:rPr>
          <w:rFonts w:ascii="Times New Roman" w:hAnsi="Times New Roman" w:cs="Times New Roman"/>
          <w:sz w:val="20"/>
          <w:szCs w:val="20"/>
        </w:rPr>
        <w:t xml:space="preserve">visto </w:t>
      </w:r>
      <w:r w:rsidRPr="00963C91">
        <w:rPr>
          <w:rFonts w:ascii="Times New Roman" w:hAnsi="Times New Roman" w:cs="Times New Roman"/>
          <w:sz w:val="20"/>
          <w:szCs w:val="20"/>
        </w:rPr>
        <w:t>che vengono tralasciati quegli scritti di Hegel in cui Bonsiepen aveva intravisto un’incidenza böhmiana.</w:t>
      </w:r>
      <w:r>
        <w:rPr>
          <w:rFonts w:ascii="Times New Roman" w:hAnsi="Times New Roman" w:cs="Times New Roman"/>
          <w:sz w:val="20"/>
          <w:szCs w:val="20"/>
        </w:rPr>
        <w:t xml:space="preserve"> </w:t>
      </w:r>
    </w:p>
  </w:footnote>
  <w:footnote w:id="35">
    <w:p w14:paraId="2A069480" w14:textId="33A02D75" w:rsidR="00B34CC2" w:rsidRPr="00443970" w:rsidRDefault="00B34CC2" w:rsidP="00F721A9">
      <w:pPr>
        <w:pStyle w:val="Testonotaapidipagina"/>
        <w:jc w:val="both"/>
        <w:rPr>
          <w:rFonts w:ascii="Times New Roman" w:hAnsi="Times New Roman" w:cs="Times New Roman"/>
          <w:sz w:val="20"/>
          <w:szCs w:val="20"/>
        </w:rPr>
      </w:pPr>
      <w:r w:rsidRPr="003D0689">
        <w:rPr>
          <w:rStyle w:val="Rimandonotaapidipagina"/>
          <w:rFonts w:ascii="Times New Roman" w:hAnsi="Times New Roman" w:cs="Times New Roman"/>
          <w:sz w:val="20"/>
          <w:szCs w:val="20"/>
        </w:rPr>
        <w:footnoteRef/>
      </w:r>
      <w:r w:rsidRPr="003D0689">
        <w:rPr>
          <w:rFonts w:ascii="Times New Roman" w:hAnsi="Times New Roman" w:cs="Times New Roman"/>
          <w:sz w:val="20"/>
          <w:szCs w:val="20"/>
        </w:rPr>
        <w:t xml:space="preserve"> </w:t>
      </w:r>
      <w:r>
        <w:rPr>
          <w:rFonts w:ascii="Times New Roman" w:hAnsi="Times New Roman"/>
          <w:sz w:val="20"/>
          <w:szCs w:val="20"/>
        </w:rPr>
        <w:t xml:space="preserve">Di questi due autori vedi G. </w:t>
      </w:r>
      <w:r w:rsidRPr="00705099">
        <w:rPr>
          <w:rFonts w:ascii="Times New Roman" w:hAnsi="Times New Roman"/>
          <w:sz w:val="20"/>
          <w:szCs w:val="20"/>
        </w:rPr>
        <w:t xml:space="preserve">A. Magee, </w:t>
      </w:r>
      <w:r w:rsidRPr="00705099">
        <w:rPr>
          <w:rFonts w:ascii="Times New Roman" w:hAnsi="Times New Roman"/>
          <w:i/>
          <w:sz w:val="20"/>
          <w:szCs w:val="20"/>
        </w:rPr>
        <w:t>Hegel and the Hermetic Tradition</w:t>
      </w:r>
      <w:r w:rsidRPr="00705099">
        <w:rPr>
          <w:rFonts w:ascii="Times New Roman" w:hAnsi="Times New Roman"/>
          <w:sz w:val="20"/>
          <w:szCs w:val="20"/>
        </w:rPr>
        <w:t>, Cornell University Press, Ithaca 2001;</w:t>
      </w:r>
      <w:r>
        <w:rPr>
          <w:rFonts w:ascii="Times New Roman" w:hAnsi="Times New Roman"/>
          <w:sz w:val="20"/>
          <w:szCs w:val="20"/>
        </w:rPr>
        <w:t xml:space="preserve"> </w:t>
      </w:r>
      <w:r w:rsidRPr="00705099">
        <w:rPr>
          <w:rFonts w:ascii="Times New Roman" w:hAnsi="Times New Roman" w:cs="Times New Roman"/>
          <w:sz w:val="20"/>
          <w:szCs w:val="20"/>
        </w:rPr>
        <w:t>G.</w:t>
      </w:r>
      <w:r>
        <w:rPr>
          <w:rFonts w:ascii="Times New Roman" w:hAnsi="Times New Roman" w:cs="Times New Roman"/>
          <w:sz w:val="20"/>
          <w:szCs w:val="20"/>
        </w:rPr>
        <w:t xml:space="preserve"> </w:t>
      </w:r>
      <w:r w:rsidRPr="00705099">
        <w:rPr>
          <w:rFonts w:ascii="Times New Roman" w:hAnsi="Times New Roman" w:cs="Times New Roman"/>
          <w:sz w:val="20"/>
          <w:szCs w:val="20"/>
        </w:rPr>
        <w:t xml:space="preserve">A. Magee, </w:t>
      </w:r>
      <w:r w:rsidRPr="00705099">
        <w:rPr>
          <w:rFonts w:ascii="Times New Roman" w:hAnsi="Times New Roman" w:cs="Times New Roman"/>
          <w:i/>
          <w:sz w:val="20"/>
          <w:szCs w:val="20"/>
          <w:lang w:val="en-GB"/>
        </w:rPr>
        <w:t>Hegel and Mysticism</w:t>
      </w:r>
      <w:r w:rsidRPr="00705099">
        <w:rPr>
          <w:rFonts w:ascii="Times New Roman" w:hAnsi="Times New Roman" w:cs="Times New Roman"/>
          <w:sz w:val="20"/>
          <w:szCs w:val="20"/>
          <w:lang w:val="en-GB"/>
        </w:rPr>
        <w:t xml:space="preserve">, in </w:t>
      </w:r>
      <w:r w:rsidRPr="00705099">
        <w:rPr>
          <w:rFonts w:ascii="Times New Roman" w:hAnsi="Times New Roman" w:cs="Times New Roman"/>
          <w:i/>
          <w:sz w:val="20"/>
          <w:szCs w:val="20"/>
          <w:lang w:val="en-GB"/>
        </w:rPr>
        <w:t>The Cambridge Companion to Hegel and the Nineteenth–Century Philosophy</w:t>
      </w:r>
      <w:r w:rsidRPr="00705099">
        <w:rPr>
          <w:rFonts w:ascii="Times New Roman" w:hAnsi="Times New Roman" w:cs="Times New Roman"/>
          <w:sz w:val="20"/>
          <w:szCs w:val="20"/>
          <w:lang w:val="en-GB"/>
        </w:rPr>
        <w:t>, ed. by F. Beiser, Cambridge University Press, Cambridge 2008</w:t>
      </w:r>
      <w:r>
        <w:rPr>
          <w:rFonts w:ascii="Times New Roman" w:hAnsi="Times New Roman" w:cs="Times New Roman"/>
          <w:sz w:val="20"/>
          <w:szCs w:val="20"/>
        </w:rPr>
        <w:t xml:space="preserve">; </w:t>
      </w:r>
      <w:r w:rsidRPr="00705099">
        <w:rPr>
          <w:rFonts w:ascii="Times New Roman" w:hAnsi="Times New Roman" w:cs="Times New Roman"/>
          <w:sz w:val="20"/>
          <w:szCs w:val="20"/>
        </w:rPr>
        <w:t>G.</w:t>
      </w:r>
      <w:r>
        <w:rPr>
          <w:rFonts w:ascii="Times New Roman" w:hAnsi="Times New Roman" w:cs="Times New Roman"/>
          <w:sz w:val="20"/>
          <w:szCs w:val="20"/>
        </w:rPr>
        <w:t xml:space="preserve"> </w:t>
      </w:r>
      <w:r w:rsidRPr="00705099">
        <w:rPr>
          <w:rFonts w:ascii="Times New Roman" w:hAnsi="Times New Roman" w:cs="Times New Roman"/>
          <w:sz w:val="20"/>
          <w:szCs w:val="20"/>
        </w:rPr>
        <w:t xml:space="preserve">A. Magee, </w:t>
      </w:r>
      <w:r>
        <w:rPr>
          <w:rFonts w:ascii="Times New Roman" w:hAnsi="Times New Roman" w:cs="Times New Roman"/>
          <w:i/>
          <w:sz w:val="20"/>
          <w:szCs w:val="20"/>
        </w:rPr>
        <w:t>Hegel’s Reception of Jakob Boehme</w:t>
      </w:r>
      <w:r>
        <w:rPr>
          <w:rFonts w:ascii="Times New Roman" w:hAnsi="Times New Roman" w:cs="Times New Roman"/>
          <w:sz w:val="20"/>
          <w:szCs w:val="20"/>
        </w:rPr>
        <w:t xml:space="preserve">, in </w:t>
      </w:r>
      <w:r>
        <w:rPr>
          <w:rFonts w:ascii="Times New Roman" w:hAnsi="Times New Roman" w:cs="Times New Roman"/>
          <w:i/>
          <w:sz w:val="20"/>
          <w:szCs w:val="20"/>
        </w:rPr>
        <w:t>An Introduction to Jakob Boehme. Four Centuries of Thought and Reception</w:t>
      </w:r>
      <w:r>
        <w:rPr>
          <w:rFonts w:ascii="Times New Roman" w:hAnsi="Times New Roman" w:cs="Times New Roman"/>
          <w:sz w:val="20"/>
          <w:szCs w:val="20"/>
        </w:rPr>
        <w:t>, edited by A. Hessayon and S. Apetrei, Routledge, New York 2014, pp. 224-244;</w:t>
      </w:r>
      <w:r w:rsidRPr="00705099">
        <w:rPr>
          <w:rFonts w:ascii="Times New Roman" w:hAnsi="Times New Roman" w:cs="Times New Roman"/>
          <w:sz w:val="20"/>
          <w:szCs w:val="20"/>
        </w:rPr>
        <w:t xml:space="preserve"> C. Muratori, </w:t>
      </w:r>
      <w:r w:rsidRPr="00705099">
        <w:rPr>
          <w:rFonts w:ascii="Times New Roman" w:hAnsi="Times New Roman" w:cs="Times New Roman"/>
          <w:i/>
          <w:sz w:val="20"/>
          <w:szCs w:val="20"/>
        </w:rPr>
        <w:t>Il figlio caduto e l’origine del male. Una lettura del §568 dell’Enciclopedia</w:t>
      </w:r>
      <w:r w:rsidRPr="00705099">
        <w:rPr>
          <w:rFonts w:ascii="Times New Roman" w:hAnsi="Times New Roman" w:cs="Times New Roman"/>
          <w:sz w:val="20"/>
          <w:szCs w:val="20"/>
        </w:rPr>
        <w:t xml:space="preserve">, in «Archivio di Filosofia», vol. 2/3, 2010, pp. 107-118; </w:t>
      </w:r>
      <w:r w:rsidRPr="00705099">
        <w:rPr>
          <w:rFonts w:ascii="Times New Roman" w:hAnsi="Times New Roman"/>
          <w:sz w:val="20"/>
          <w:szCs w:val="20"/>
        </w:rPr>
        <w:t xml:space="preserve">C. Muratori, </w:t>
      </w:r>
      <w:r w:rsidRPr="00705099">
        <w:rPr>
          <w:rFonts w:ascii="Times New Roman" w:hAnsi="Times New Roman" w:cs="Times New Roman"/>
          <w:i/>
          <w:sz w:val="20"/>
          <w:szCs w:val="20"/>
        </w:rPr>
        <w:t xml:space="preserve">The First German Philosopher. The Mysticism of </w:t>
      </w:r>
      <w:r>
        <w:rPr>
          <w:rFonts w:ascii="Times New Roman" w:hAnsi="Times New Roman" w:cs="Times New Roman"/>
          <w:i/>
          <w:sz w:val="20"/>
          <w:szCs w:val="20"/>
        </w:rPr>
        <w:t>Jakd</w:t>
      </w:r>
      <w:r w:rsidRPr="00443970">
        <w:rPr>
          <w:rFonts w:ascii="Times New Roman" w:hAnsi="Times New Roman" w:cs="Times New Roman"/>
          <w:i/>
          <w:sz w:val="20"/>
          <w:szCs w:val="20"/>
        </w:rPr>
        <w:t>b Böhme as interpreted by Hegel</w:t>
      </w:r>
      <w:r w:rsidRPr="00443970">
        <w:rPr>
          <w:rFonts w:ascii="Times New Roman" w:hAnsi="Times New Roman" w:cs="Times New Roman"/>
          <w:sz w:val="20"/>
          <w:szCs w:val="20"/>
        </w:rPr>
        <w:t>, Springer, Dordrecht 2015.</w:t>
      </w:r>
    </w:p>
  </w:footnote>
  <w:footnote w:id="36">
    <w:p w14:paraId="602A26A8" w14:textId="5AC96FC0" w:rsidR="00B34CC2" w:rsidRPr="00C551D0" w:rsidRDefault="00B34CC2" w:rsidP="00F721A9">
      <w:pPr>
        <w:pStyle w:val="Testonotaapidipagina"/>
        <w:jc w:val="both"/>
        <w:rPr>
          <w:rFonts w:ascii="Times New Roman" w:hAnsi="Times New Roman" w:cs="Times New Roman"/>
          <w:sz w:val="20"/>
          <w:szCs w:val="20"/>
        </w:rPr>
      </w:pPr>
      <w:r w:rsidRPr="00443970">
        <w:rPr>
          <w:rStyle w:val="Rimandonotaapidipagina"/>
          <w:rFonts w:ascii="Times New Roman" w:hAnsi="Times New Roman" w:cs="Times New Roman"/>
          <w:sz w:val="20"/>
          <w:szCs w:val="20"/>
        </w:rPr>
        <w:footnoteRef/>
      </w:r>
      <w:r w:rsidRPr="00443970">
        <w:rPr>
          <w:rFonts w:ascii="Times New Roman" w:hAnsi="Times New Roman" w:cs="Times New Roman"/>
          <w:sz w:val="20"/>
          <w:szCs w:val="20"/>
        </w:rPr>
        <w:t xml:space="preserve"> A mio avviso, i contributi di Magee presentano una significativa mancanza di metodo. Per citare un esempio: nel già ricordato </w:t>
      </w:r>
      <w:r w:rsidRPr="00443970">
        <w:rPr>
          <w:rFonts w:ascii="Times New Roman" w:hAnsi="Times New Roman" w:cs="Times New Roman"/>
          <w:i/>
          <w:sz w:val="20"/>
          <w:szCs w:val="20"/>
        </w:rPr>
        <w:t>Hegel and Mysticism</w:t>
      </w:r>
      <w:r w:rsidRPr="00443970">
        <w:rPr>
          <w:rFonts w:ascii="Times New Roman" w:hAnsi="Times New Roman" w:cs="Times New Roman"/>
          <w:sz w:val="20"/>
          <w:szCs w:val="20"/>
        </w:rPr>
        <w:t xml:space="preserve">, Magee si avventura in un’analisi delle </w:t>
      </w:r>
      <w:r w:rsidRPr="00443970">
        <w:rPr>
          <w:rFonts w:ascii="Times New Roman" w:eastAsia="Times New Roman" w:hAnsi="Times New Roman" w:cs="Times New Roman"/>
          <w:i/>
          <w:color w:val="000000"/>
          <w:sz w:val="20"/>
          <w:szCs w:val="20"/>
        </w:rPr>
        <w:t xml:space="preserve">Vorlesungen über </w:t>
      </w:r>
      <w:r w:rsidRPr="005E7BBA">
        <w:rPr>
          <w:rFonts w:ascii="Times New Roman" w:eastAsia="Times New Roman" w:hAnsi="Times New Roman" w:cs="Times New Roman"/>
          <w:i/>
          <w:color w:val="000000"/>
          <w:sz w:val="20"/>
          <w:szCs w:val="20"/>
        </w:rPr>
        <w:t xml:space="preserve">die Geschichte der Philosophie </w:t>
      </w:r>
      <w:r w:rsidRPr="005E7BBA">
        <w:rPr>
          <w:rFonts w:ascii="Times New Roman" w:eastAsia="Times New Roman" w:hAnsi="Times New Roman" w:cs="Times New Roman"/>
          <w:color w:val="000000"/>
          <w:sz w:val="20"/>
          <w:szCs w:val="20"/>
        </w:rPr>
        <w:t xml:space="preserve">jenesi (cfr. </w:t>
      </w:r>
      <w:r w:rsidRPr="005E7BBA">
        <w:rPr>
          <w:rFonts w:ascii="Times New Roman" w:hAnsi="Times New Roman" w:cs="Times New Roman"/>
          <w:sz w:val="20"/>
          <w:szCs w:val="20"/>
        </w:rPr>
        <w:t xml:space="preserve">G. A. Magee, </w:t>
      </w:r>
      <w:r w:rsidRPr="005E7BBA">
        <w:rPr>
          <w:rFonts w:ascii="Times New Roman" w:hAnsi="Times New Roman" w:cs="Times New Roman"/>
          <w:i/>
          <w:sz w:val="20"/>
          <w:szCs w:val="20"/>
          <w:lang w:val="en-GB"/>
        </w:rPr>
        <w:t>Hegel and Mysticism</w:t>
      </w:r>
      <w:r w:rsidRPr="005E7BBA">
        <w:rPr>
          <w:rFonts w:ascii="Times New Roman" w:hAnsi="Times New Roman" w:cs="Times New Roman"/>
          <w:sz w:val="20"/>
          <w:szCs w:val="20"/>
          <w:lang w:val="en-GB"/>
        </w:rPr>
        <w:t xml:space="preserve">, cit., </w:t>
      </w:r>
      <w:r w:rsidRPr="005E7BBA">
        <w:rPr>
          <w:rFonts w:ascii="Times New Roman" w:eastAsia="Times New Roman" w:hAnsi="Times New Roman" w:cs="Times New Roman"/>
          <w:color w:val="000000"/>
          <w:sz w:val="20"/>
          <w:szCs w:val="20"/>
        </w:rPr>
        <w:t>cfr. p. 258), dove, a detta dell’</w:t>
      </w:r>
      <w:r>
        <w:rPr>
          <w:rFonts w:ascii="Times New Roman" w:eastAsia="Times New Roman" w:hAnsi="Times New Roman" w:cs="Times New Roman"/>
          <w:color w:val="000000"/>
          <w:sz w:val="20"/>
          <w:szCs w:val="20"/>
        </w:rPr>
        <w:t>autore</w:t>
      </w:r>
      <w:r w:rsidRPr="005E7BBA">
        <w:rPr>
          <w:rFonts w:ascii="Times New Roman" w:eastAsia="Times New Roman" w:hAnsi="Times New Roman" w:cs="Times New Roman"/>
          <w:color w:val="000000"/>
          <w:sz w:val="20"/>
          <w:szCs w:val="20"/>
        </w:rPr>
        <w:t xml:space="preserve">, sarebbe attestata la conoscenza hegeliana dell’opera di Böhme. Com’è noto, queste lezioni del periodo jenese sono andate perdute: le uniche </w:t>
      </w:r>
      <w:r w:rsidRPr="005E7BBA">
        <w:rPr>
          <w:rFonts w:ascii="Times New Roman" w:eastAsia="Times New Roman" w:hAnsi="Times New Roman" w:cs="Times New Roman"/>
          <w:i/>
          <w:color w:val="000000"/>
          <w:sz w:val="20"/>
          <w:szCs w:val="20"/>
        </w:rPr>
        <w:t>Vorlesungen</w:t>
      </w:r>
      <w:r w:rsidRPr="005E7BBA">
        <w:rPr>
          <w:rFonts w:ascii="Times New Roman" w:eastAsia="Times New Roman" w:hAnsi="Times New Roman" w:cs="Times New Roman"/>
          <w:color w:val="000000"/>
          <w:sz w:val="20"/>
          <w:szCs w:val="20"/>
        </w:rPr>
        <w:t>, che mantengono una traccia dei manoscritti del 1805/06,</w:t>
      </w:r>
      <w:r w:rsidRPr="00443970">
        <w:rPr>
          <w:rFonts w:ascii="Times New Roman" w:eastAsia="Times New Roman" w:hAnsi="Times New Roman" w:cs="Times New Roman"/>
          <w:color w:val="000000"/>
          <w:sz w:val="20"/>
          <w:szCs w:val="20"/>
        </w:rPr>
        <w:t xml:space="preserve"> sono quelle edite da Karl Ludwig Michelet fra il 1833 ed il 1844. Ottenute dal </w:t>
      </w:r>
      <w:r w:rsidRPr="00443970">
        <w:rPr>
          <w:rFonts w:ascii="Times New Roman" w:eastAsia="Times New Roman" w:hAnsi="Times New Roman" w:cs="Times New Roman"/>
          <w:i/>
          <w:color w:val="000000"/>
          <w:sz w:val="20"/>
          <w:szCs w:val="20"/>
        </w:rPr>
        <w:t>collage</w:t>
      </w:r>
      <w:r w:rsidRPr="00443970">
        <w:rPr>
          <w:rFonts w:ascii="Times New Roman" w:eastAsia="Times New Roman" w:hAnsi="Times New Roman" w:cs="Times New Roman"/>
          <w:color w:val="000000"/>
          <w:sz w:val="20"/>
          <w:szCs w:val="20"/>
        </w:rPr>
        <w:t xml:space="preserve"> di materiali eterogenei, appartenenti ai periodi più disparati dell’attività didattica hegeliana, queste </w:t>
      </w:r>
      <w:r w:rsidRPr="00240E8F">
        <w:rPr>
          <w:rFonts w:ascii="Times New Roman" w:eastAsia="Times New Roman" w:hAnsi="Times New Roman" w:cs="Times New Roman"/>
          <w:color w:val="000000"/>
          <w:sz w:val="20"/>
          <w:szCs w:val="20"/>
        </w:rPr>
        <w:t>lezioni restituiscono al lettore un discorso organico all’interno del quale</w:t>
      </w:r>
      <w:r>
        <w:rPr>
          <w:rFonts w:ascii="Times New Roman" w:eastAsia="Times New Roman" w:hAnsi="Times New Roman" w:cs="Times New Roman"/>
          <w:color w:val="000000"/>
          <w:sz w:val="20"/>
          <w:szCs w:val="20"/>
        </w:rPr>
        <w:t xml:space="preserve"> </w:t>
      </w:r>
      <w:r w:rsidRPr="005E7BBA">
        <w:rPr>
          <w:rFonts w:ascii="Times New Roman" w:eastAsia="Times New Roman" w:hAnsi="Times New Roman" w:cs="Times New Roman"/>
          <w:color w:val="000000"/>
          <w:sz w:val="20"/>
          <w:szCs w:val="20"/>
        </w:rPr>
        <w:t>risulta difficoltoso individuare ciò che è ascrivibile alla riflessione jenese e ciò che è collocabile in una fase successiva del pensiero hegeliano. Senza le dovute precauzioni interpretative, Magee assume come genuina testimonianza del periodo jenese un testo spurio, nel quale coesistono disparate stratificazioni</w:t>
      </w:r>
      <w:r w:rsidRPr="00240E8F">
        <w:rPr>
          <w:rFonts w:ascii="Times New Roman" w:eastAsia="Times New Roman" w:hAnsi="Times New Roman" w:cs="Times New Roman"/>
          <w:color w:val="000000"/>
          <w:sz w:val="20"/>
          <w:szCs w:val="20"/>
        </w:rPr>
        <w:t xml:space="preserve"> testuali, irriduc</w:t>
      </w:r>
      <w:r>
        <w:rPr>
          <w:rFonts w:ascii="Times New Roman" w:eastAsia="Times New Roman" w:hAnsi="Times New Roman" w:cs="Times New Roman"/>
          <w:color w:val="000000"/>
          <w:sz w:val="20"/>
          <w:szCs w:val="20"/>
        </w:rPr>
        <w:t>ibili in blocco al biennio 1805/</w:t>
      </w:r>
      <w:r w:rsidRPr="00240E8F">
        <w:rPr>
          <w:rFonts w:ascii="Times New Roman" w:eastAsia="Times New Roman" w:hAnsi="Times New Roman" w:cs="Times New Roman"/>
          <w:color w:val="000000"/>
          <w:sz w:val="20"/>
          <w:szCs w:val="20"/>
        </w:rPr>
        <w:t>06. Riguardo ad altre e non meno suggestive interpretazioni di Magee, citerò un caso emblematico: il riferimento</w:t>
      </w:r>
      <w:r w:rsidRPr="009A07F9">
        <w:rPr>
          <w:rFonts w:ascii="Times New Roman" w:eastAsia="Times New Roman" w:hAnsi="Times New Roman" w:cs="Times New Roman"/>
          <w:color w:val="000000"/>
          <w:sz w:val="20"/>
          <w:szCs w:val="20"/>
        </w:rPr>
        <w:t xml:space="preserve"> alla «rosa nella croce del presente» nei </w:t>
      </w:r>
      <w:r w:rsidRPr="009A07F9">
        <w:rPr>
          <w:rFonts w:ascii="Times New Roman" w:eastAsia="Times New Roman" w:hAnsi="Times New Roman" w:cs="Times New Roman"/>
          <w:i/>
          <w:color w:val="000000"/>
          <w:sz w:val="20"/>
          <w:szCs w:val="20"/>
        </w:rPr>
        <w:t xml:space="preserve">Grundlinien </w:t>
      </w:r>
      <w:r w:rsidRPr="009A07F9">
        <w:rPr>
          <w:rFonts w:ascii="Times New Roman" w:eastAsia="Times New Roman" w:hAnsi="Times New Roman" w:cs="Times New Roman"/>
          <w:color w:val="000000"/>
          <w:sz w:val="20"/>
          <w:szCs w:val="20"/>
        </w:rPr>
        <w:t>(</w:t>
      </w:r>
      <w:r w:rsidRPr="009A07F9">
        <w:rPr>
          <w:rFonts w:ascii="Times New Roman" w:eastAsia="Times New Roman" w:hAnsi="Times New Roman" w:cs="Times New Roman"/>
          <w:i/>
          <w:color w:val="000000"/>
          <w:sz w:val="20"/>
          <w:szCs w:val="20"/>
        </w:rPr>
        <w:t>Rph</w:t>
      </w:r>
      <w:r w:rsidRPr="009A07F9">
        <w:rPr>
          <w:rFonts w:ascii="Times New Roman" w:eastAsia="Times New Roman" w:hAnsi="Times New Roman" w:cs="Times New Roman"/>
          <w:color w:val="000000"/>
          <w:sz w:val="20"/>
          <w:szCs w:val="20"/>
        </w:rPr>
        <w:t>, p. 16) denoterebbe un messaggio in codice inviato da Hegel alla vecchia classe dirigente prussiana rosacruciana (cfr.</w:t>
      </w:r>
      <w:r w:rsidRPr="009A07F9">
        <w:rPr>
          <w:rFonts w:ascii="Times New Roman" w:hAnsi="Times New Roman"/>
          <w:sz w:val="20"/>
          <w:szCs w:val="20"/>
        </w:rPr>
        <w:t xml:space="preserve"> A. G. Magee, </w:t>
      </w:r>
      <w:r w:rsidRPr="009A07F9">
        <w:rPr>
          <w:rFonts w:ascii="Times New Roman" w:hAnsi="Times New Roman"/>
          <w:i/>
          <w:sz w:val="20"/>
          <w:szCs w:val="20"/>
        </w:rPr>
        <w:t>Hegel and the Hermetic Tradition</w:t>
      </w:r>
      <w:r w:rsidRPr="009A07F9">
        <w:rPr>
          <w:rFonts w:ascii="Times New Roman" w:hAnsi="Times New Roman"/>
          <w:sz w:val="20"/>
          <w:szCs w:val="20"/>
        </w:rPr>
        <w:t>, cit., pp.</w:t>
      </w:r>
      <w:r w:rsidRPr="009A07F9">
        <w:rPr>
          <w:rFonts w:ascii="Times New Roman" w:eastAsia="Times New Roman" w:hAnsi="Times New Roman" w:cs="Times New Roman"/>
          <w:color w:val="000000"/>
          <w:sz w:val="20"/>
          <w:szCs w:val="20"/>
        </w:rPr>
        <w:t xml:space="preserve"> 247-257). Che sia superfluo, se non addirittura inutile, decostruire quest’analisi mi sembra sugger</w:t>
      </w:r>
      <w:r>
        <w:rPr>
          <w:rFonts w:ascii="Times New Roman" w:eastAsia="Times New Roman" w:hAnsi="Times New Roman" w:cs="Times New Roman"/>
          <w:color w:val="000000"/>
          <w:sz w:val="20"/>
          <w:szCs w:val="20"/>
        </w:rPr>
        <w:t>ito dal livello argomentativo e</w:t>
      </w:r>
      <w:r w:rsidRPr="009A07F9">
        <w:rPr>
          <w:rFonts w:ascii="Times New Roman" w:eastAsia="Times New Roman" w:hAnsi="Times New Roman" w:cs="Times New Roman"/>
          <w:color w:val="000000"/>
          <w:sz w:val="20"/>
          <w:szCs w:val="20"/>
        </w:rPr>
        <w:t xml:space="preserve"> interpretativo della stessa. Se si vogliono cogliere il contesto storico e i bersagli critici della </w:t>
      </w:r>
      <w:r w:rsidRPr="009A07F9">
        <w:rPr>
          <w:rFonts w:ascii="Times New Roman" w:eastAsia="Times New Roman" w:hAnsi="Times New Roman" w:cs="Times New Roman"/>
          <w:i/>
          <w:color w:val="000000"/>
          <w:sz w:val="20"/>
          <w:szCs w:val="20"/>
        </w:rPr>
        <w:t>Einleitung</w:t>
      </w:r>
      <w:r w:rsidRPr="009A07F9">
        <w:rPr>
          <w:rFonts w:ascii="Times New Roman" w:eastAsia="Times New Roman" w:hAnsi="Times New Roman" w:cs="Times New Roman"/>
          <w:color w:val="000000"/>
          <w:sz w:val="20"/>
          <w:szCs w:val="20"/>
        </w:rPr>
        <w:t xml:space="preserve"> ai </w:t>
      </w:r>
      <w:r w:rsidRPr="009A07F9">
        <w:rPr>
          <w:rFonts w:ascii="Times New Roman" w:eastAsia="Times New Roman" w:hAnsi="Times New Roman" w:cs="Times New Roman"/>
          <w:i/>
          <w:color w:val="000000"/>
          <w:sz w:val="20"/>
          <w:szCs w:val="20"/>
        </w:rPr>
        <w:t>Grundlinien</w:t>
      </w:r>
      <w:r w:rsidRPr="009A07F9">
        <w:rPr>
          <w:rFonts w:ascii="Times New Roman" w:eastAsia="Times New Roman" w:hAnsi="Times New Roman" w:cs="Times New Roman"/>
          <w:color w:val="000000"/>
          <w:sz w:val="20"/>
          <w:szCs w:val="20"/>
        </w:rPr>
        <w:t xml:space="preserve">, si raccomanda la lettura di A. Peperzak, </w:t>
      </w:r>
      <w:r w:rsidRPr="009A07F9">
        <w:rPr>
          <w:rFonts w:ascii="Times New Roman" w:eastAsia="Times New Roman" w:hAnsi="Times New Roman" w:cs="Times New Roman"/>
          <w:i/>
          <w:color w:val="000000"/>
          <w:sz w:val="20"/>
          <w:szCs w:val="20"/>
        </w:rPr>
        <w:t>Philosophy and Politics: A Commentary on the Preface to Hegel’s Philosophy of Right</w:t>
      </w:r>
      <w:r w:rsidRPr="009A07F9">
        <w:rPr>
          <w:rFonts w:ascii="Times New Roman" w:eastAsia="Times New Roman" w:hAnsi="Times New Roman" w:cs="Times New Roman"/>
          <w:color w:val="000000"/>
          <w:sz w:val="20"/>
          <w:szCs w:val="20"/>
        </w:rPr>
        <w:t>, Martinus Nijhof, Boston-The Hague</w:t>
      </w:r>
      <w:r>
        <w:rPr>
          <w:rFonts w:ascii="Times New Roman" w:eastAsia="Times New Roman" w:hAnsi="Times New Roman" w:cs="Times New Roman"/>
          <w:color w:val="000000"/>
          <w:sz w:val="20"/>
          <w:szCs w:val="20"/>
        </w:rPr>
        <w:t xml:space="preserve"> 1987.</w:t>
      </w:r>
    </w:p>
  </w:footnote>
  <w:footnote w:id="37">
    <w:p w14:paraId="2174DACA" w14:textId="0C5769C6" w:rsidR="00B34CC2" w:rsidRPr="00CA2868" w:rsidRDefault="00B34CC2" w:rsidP="00F721A9">
      <w:pPr>
        <w:pStyle w:val="Testonotaapidipagina"/>
        <w:jc w:val="both"/>
        <w:rPr>
          <w:rFonts w:ascii="Times New Roman" w:hAnsi="Times New Roman" w:cs="Times New Roman"/>
          <w:sz w:val="20"/>
          <w:szCs w:val="20"/>
        </w:rPr>
      </w:pPr>
      <w:r w:rsidRPr="00CA2868">
        <w:rPr>
          <w:rStyle w:val="Rimandonotaapidipagina"/>
          <w:rFonts w:ascii="Times New Roman" w:hAnsi="Times New Roman" w:cs="Times New Roman"/>
          <w:sz w:val="20"/>
          <w:szCs w:val="20"/>
        </w:rPr>
        <w:footnoteRef/>
      </w:r>
      <w:r w:rsidRPr="00CA2868">
        <w:rPr>
          <w:rFonts w:ascii="Times New Roman" w:hAnsi="Times New Roman" w:cs="Times New Roman"/>
          <w:sz w:val="20"/>
          <w:szCs w:val="20"/>
        </w:rPr>
        <w:t xml:space="preserve"> </w:t>
      </w:r>
      <w:r>
        <w:rPr>
          <w:rFonts w:ascii="Times New Roman" w:hAnsi="Times New Roman" w:cs="Times New Roman"/>
          <w:sz w:val="20"/>
          <w:szCs w:val="20"/>
        </w:rPr>
        <w:t xml:space="preserve">Vedi l’introduzione di Carlo Vittone a G.W.F. Hegel, </w:t>
      </w:r>
      <w:r>
        <w:rPr>
          <w:rFonts w:ascii="Times New Roman" w:hAnsi="Times New Roman" w:cs="Times New Roman"/>
          <w:i/>
          <w:sz w:val="20"/>
          <w:szCs w:val="20"/>
        </w:rPr>
        <w:t>Aforismi jenesi (Hegels Wastebook 1803-1806)</w:t>
      </w:r>
      <w:r>
        <w:rPr>
          <w:rFonts w:ascii="Times New Roman" w:hAnsi="Times New Roman" w:cs="Times New Roman"/>
          <w:sz w:val="20"/>
          <w:szCs w:val="20"/>
        </w:rPr>
        <w:t>, Feltrinelli, Milano 1981, p. 47.</w:t>
      </w:r>
    </w:p>
  </w:footnote>
  <w:footnote w:id="38">
    <w:p w14:paraId="35BAB460" w14:textId="24C0CDEA" w:rsidR="00B34CC2" w:rsidRDefault="00B34CC2" w:rsidP="00F721A9">
      <w:pPr>
        <w:pStyle w:val="Testonotaapidipagina"/>
        <w:jc w:val="both"/>
      </w:pPr>
      <w:r w:rsidRPr="00B6292B">
        <w:rPr>
          <w:rStyle w:val="Rimandonotaapidipagina"/>
          <w:rFonts w:ascii="Times New Roman" w:hAnsi="Times New Roman" w:cs="Times New Roman"/>
          <w:sz w:val="20"/>
          <w:szCs w:val="20"/>
        </w:rPr>
        <w:footnoteRef/>
      </w:r>
      <w:r>
        <w:t xml:space="preserve"> </w:t>
      </w:r>
      <w:r>
        <w:rPr>
          <w:rFonts w:ascii="Times New Roman" w:hAnsi="Times New Roman" w:cs="Times New Roman"/>
          <w:sz w:val="20"/>
          <w:szCs w:val="20"/>
        </w:rPr>
        <w:t xml:space="preserve">Cfr. </w:t>
      </w:r>
      <w:r w:rsidRPr="005E6581">
        <w:rPr>
          <w:rFonts w:ascii="Times New Roman" w:hAnsi="Times New Roman" w:cs="Times New Roman"/>
          <w:i/>
          <w:sz w:val="20"/>
          <w:szCs w:val="20"/>
        </w:rPr>
        <w:t>supra</w:t>
      </w:r>
      <w:r>
        <w:rPr>
          <w:rFonts w:ascii="Times New Roman" w:hAnsi="Times New Roman" w:cs="Times New Roman"/>
          <w:sz w:val="20"/>
          <w:szCs w:val="20"/>
        </w:rPr>
        <w:t>, p. 10, nota 24.</w:t>
      </w:r>
    </w:p>
  </w:footnote>
  <w:footnote w:id="39">
    <w:p w14:paraId="78E3D390" w14:textId="450EE79F" w:rsidR="00B34CC2" w:rsidRPr="00B771BF" w:rsidRDefault="00B34CC2" w:rsidP="00F721A9">
      <w:pPr>
        <w:pStyle w:val="Testonotaapidipagina"/>
        <w:jc w:val="both"/>
        <w:rPr>
          <w:rFonts w:ascii="Times New Roman" w:hAnsi="Times New Roman" w:cs="Times New Roman"/>
          <w:sz w:val="20"/>
          <w:szCs w:val="20"/>
        </w:rPr>
      </w:pPr>
      <w:r w:rsidRPr="005B71FC">
        <w:rPr>
          <w:rStyle w:val="Rimandonotaapidipagina"/>
          <w:rFonts w:ascii="Times New Roman" w:hAnsi="Times New Roman" w:cs="Times New Roman"/>
          <w:sz w:val="20"/>
          <w:szCs w:val="20"/>
        </w:rPr>
        <w:footnoteRef/>
      </w:r>
      <w:r>
        <w:rPr>
          <w:rFonts w:ascii="Times New Roman" w:hAnsi="Times New Roman" w:cs="Times New Roman"/>
          <w:sz w:val="20"/>
          <w:szCs w:val="20"/>
        </w:rPr>
        <w:t xml:space="preserve"> S</w:t>
      </w:r>
      <w:r w:rsidRPr="005B71FC">
        <w:rPr>
          <w:rFonts w:ascii="Times New Roman" w:hAnsi="Times New Roman" w:cs="Times New Roman"/>
          <w:sz w:val="20"/>
          <w:szCs w:val="20"/>
        </w:rPr>
        <w:t>ull’influenza di H</w:t>
      </w:r>
      <w:r w:rsidRPr="005B71FC">
        <w:rPr>
          <w:rFonts w:ascii="Times New Roman" w:eastAsia="Times New Roman" w:hAnsi="Times New Roman" w:cs="Times New Roman"/>
          <w:color w:val="000000"/>
          <w:sz w:val="20"/>
          <w:szCs w:val="20"/>
        </w:rPr>
        <w:t xml:space="preserve">ölderlin sulla produzione hegeliana cfr. </w:t>
      </w:r>
      <w:r>
        <w:rPr>
          <w:rFonts w:ascii="Times New Roman" w:eastAsia="Times New Roman" w:hAnsi="Times New Roman" w:cs="Times New Roman"/>
          <w:color w:val="000000"/>
          <w:sz w:val="20"/>
          <w:szCs w:val="20"/>
        </w:rPr>
        <w:t xml:space="preserve">S. Achella, </w:t>
      </w:r>
      <w:r>
        <w:rPr>
          <w:rFonts w:ascii="Times New Roman" w:eastAsia="Times New Roman" w:hAnsi="Times New Roman" w:cs="Times New Roman"/>
          <w:i/>
          <w:color w:val="000000"/>
          <w:sz w:val="20"/>
          <w:szCs w:val="20"/>
        </w:rPr>
        <w:t xml:space="preserve">Pensare la </w:t>
      </w:r>
      <w:r w:rsidRPr="00F870CC">
        <w:rPr>
          <w:rFonts w:ascii="Times New Roman" w:eastAsia="Times New Roman" w:hAnsi="Times New Roman" w:cs="Times New Roman"/>
          <w:i/>
          <w:color w:val="000000"/>
          <w:sz w:val="20"/>
          <w:szCs w:val="20"/>
        </w:rPr>
        <w:t>vita</w:t>
      </w:r>
      <w:r>
        <w:rPr>
          <w:rFonts w:ascii="Times New Roman" w:eastAsia="Times New Roman" w:hAnsi="Times New Roman" w:cs="Times New Roman"/>
          <w:color w:val="000000"/>
          <w:sz w:val="20"/>
          <w:szCs w:val="20"/>
        </w:rPr>
        <w:t xml:space="preserve">, il Mulino, Bologna 2019, pp. 35-47; </w:t>
      </w:r>
      <w:r w:rsidRPr="00F870CC">
        <w:rPr>
          <w:rFonts w:ascii="Times New Roman" w:eastAsia="Times New Roman" w:hAnsi="Times New Roman" w:cs="Times New Roman"/>
          <w:color w:val="000000"/>
          <w:sz w:val="20"/>
          <w:szCs w:val="20"/>
        </w:rPr>
        <w:t>F</w:t>
      </w:r>
      <w:r>
        <w:rPr>
          <w:rFonts w:ascii="Times New Roman" w:eastAsia="Times New Roman" w:hAnsi="Times New Roman" w:cs="Times New Roman"/>
          <w:color w:val="000000"/>
          <w:sz w:val="20"/>
          <w:szCs w:val="20"/>
        </w:rPr>
        <w:t xml:space="preserve">. Chiereghin, </w:t>
      </w:r>
      <w:r w:rsidRPr="00F870CC">
        <w:rPr>
          <w:rFonts w:ascii="Times New Roman" w:eastAsia="Times New Roman" w:hAnsi="Times New Roman" w:cs="Times New Roman"/>
          <w:i/>
          <w:color w:val="000000"/>
          <w:sz w:val="20"/>
          <w:szCs w:val="20"/>
        </w:rPr>
        <w:t>Hegel e la metafisica classica</w:t>
      </w:r>
      <w:r>
        <w:rPr>
          <w:rFonts w:ascii="Times New Roman" w:eastAsia="Times New Roman" w:hAnsi="Times New Roman" w:cs="Times New Roman"/>
          <w:color w:val="000000"/>
          <w:sz w:val="20"/>
          <w:szCs w:val="20"/>
        </w:rPr>
        <w:t xml:space="preserve">, CEDAM, Padova 1966, pp. 22-31; D. Henrich, </w:t>
      </w:r>
      <w:r w:rsidRPr="005B71FC">
        <w:rPr>
          <w:rFonts w:ascii="Times New Roman" w:eastAsia="Times New Roman" w:hAnsi="Times New Roman" w:cs="Times New Roman"/>
          <w:i/>
          <w:color w:val="000000"/>
          <w:sz w:val="20"/>
          <w:szCs w:val="20"/>
        </w:rPr>
        <w:t>Hegel und Hölderlin</w:t>
      </w:r>
      <w:r>
        <w:rPr>
          <w:rFonts w:ascii="Times New Roman" w:eastAsia="Times New Roman" w:hAnsi="Times New Roman" w:cs="Times New Roman"/>
          <w:color w:val="000000"/>
          <w:sz w:val="20"/>
          <w:szCs w:val="20"/>
        </w:rPr>
        <w:t xml:space="preserve">, in </w:t>
      </w:r>
      <w:r>
        <w:rPr>
          <w:rFonts w:ascii="Times New Roman" w:eastAsia="Times New Roman" w:hAnsi="Times New Roman" w:cs="Times New Roman"/>
          <w:i/>
          <w:color w:val="000000"/>
          <w:sz w:val="20"/>
          <w:szCs w:val="20"/>
        </w:rPr>
        <w:t>Hegel im Kontext</w:t>
      </w:r>
      <w:r>
        <w:rPr>
          <w:rFonts w:ascii="Times New Roman" w:eastAsia="Times New Roman" w:hAnsi="Times New Roman" w:cs="Times New Roman"/>
          <w:color w:val="000000"/>
          <w:sz w:val="20"/>
          <w:szCs w:val="20"/>
        </w:rPr>
        <w:t xml:space="preserve">, Suhrkamp, Frankfurt am Main 2010, pp. 9-73; C. Jamme e H. Schneider (Hrsg.), </w:t>
      </w:r>
      <w:r>
        <w:rPr>
          <w:rFonts w:ascii="Times New Roman" w:eastAsia="Times New Roman" w:hAnsi="Times New Roman" w:cs="Times New Roman"/>
          <w:i/>
          <w:color w:val="000000"/>
          <w:sz w:val="20"/>
          <w:szCs w:val="20"/>
        </w:rPr>
        <w:t>Mythologie der Vernunft. Hegels «älteste Systemprogramm des deutschen Idealismu</w:t>
      </w:r>
      <w:r w:rsidRPr="00F870CC">
        <w:rPr>
          <w:rFonts w:ascii="Times New Roman" w:eastAsia="Times New Roman" w:hAnsi="Times New Roman" w:cs="Times New Roman"/>
          <w:i/>
          <w:color w:val="000000"/>
          <w:sz w:val="20"/>
          <w:szCs w:val="20"/>
        </w:rPr>
        <w:t>s»</w:t>
      </w:r>
      <w:r>
        <w:rPr>
          <w:rFonts w:ascii="Times New Roman" w:eastAsia="Times New Roman" w:hAnsi="Times New Roman" w:cs="Times New Roman"/>
          <w:color w:val="000000"/>
          <w:sz w:val="20"/>
          <w:szCs w:val="20"/>
        </w:rPr>
        <w:t xml:space="preserve">, Suhrkamp, Frankfurt am Main 1984; C. Jamme, </w:t>
      </w:r>
      <w:r>
        <w:rPr>
          <w:rFonts w:ascii="Times New Roman" w:eastAsia="Times New Roman" w:hAnsi="Times New Roman" w:cs="Times New Roman"/>
          <w:i/>
          <w:color w:val="000000"/>
          <w:sz w:val="20"/>
          <w:szCs w:val="20"/>
        </w:rPr>
        <w:t xml:space="preserve">“Ein ungelerhrtes Buch”. Die philosophische Gemeinschaft zwischen </w:t>
      </w:r>
      <w:r w:rsidRPr="005B71FC">
        <w:rPr>
          <w:rFonts w:ascii="Times New Roman" w:eastAsia="Times New Roman" w:hAnsi="Times New Roman" w:cs="Times New Roman"/>
          <w:i/>
          <w:color w:val="000000"/>
          <w:sz w:val="20"/>
          <w:szCs w:val="20"/>
        </w:rPr>
        <w:t>Hölderlin</w:t>
      </w:r>
      <w:r>
        <w:rPr>
          <w:rFonts w:ascii="Times New Roman" w:eastAsia="Times New Roman" w:hAnsi="Times New Roman" w:cs="Times New Roman"/>
          <w:i/>
          <w:color w:val="000000"/>
          <w:sz w:val="20"/>
          <w:szCs w:val="20"/>
        </w:rPr>
        <w:t xml:space="preserve"> und Hegel in Frankfurt 1797-1800</w:t>
      </w:r>
      <w:r>
        <w:rPr>
          <w:rFonts w:ascii="Times New Roman" w:eastAsia="Times New Roman" w:hAnsi="Times New Roman" w:cs="Times New Roman"/>
          <w:color w:val="000000"/>
          <w:sz w:val="20"/>
          <w:szCs w:val="20"/>
        </w:rPr>
        <w:t xml:space="preserve">, Bonn, Bouvier 1983. </w:t>
      </w:r>
    </w:p>
  </w:footnote>
  <w:footnote w:id="40">
    <w:p w14:paraId="57382376" w14:textId="77777777" w:rsidR="00B34CC2" w:rsidRPr="00D42DF0" w:rsidRDefault="00B34CC2" w:rsidP="00F721A9">
      <w:pPr>
        <w:pStyle w:val="Testonotaapidipagina"/>
        <w:jc w:val="both"/>
        <w:rPr>
          <w:rFonts w:ascii="Times New Roman" w:hAnsi="Times New Roman" w:cs="Times New Roman"/>
          <w:sz w:val="20"/>
          <w:szCs w:val="20"/>
        </w:rPr>
      </w:pPr>
      <w:r w:rsidRPr="00D42DF0">
        <w:rPr>
          <w:rStyle w:val="Rimandonotaapidipagina"/>
          <w:rFonts w:ascii="Times New Roman" w:hAnsi="Times New Roman" w:cs="Times New Roman"/>
          <w:sz w:val="20"/>
          <w:szCs w:val="20"/>
        </w:rPr>
        <w:footnoteRef/>
      </w:r>
      <w:r w:rsidRPr="00D42DF0">
        <w:rPr>
          <w:rFonts w:ascii="Times New Roman" w:hAnsi="Times New Roman" w:cs="Times New Roman"/>
          <w:sz w:val="20"/>
          <w:szCs w:val="20"/>
        </w:rPr>
        <w:t xml:space="preserve"> </w:t>
      </w:r>
      <w:r w:rsidRPr="00E74853">
        <w:rPr>
          <w:rFonts w:ascii="Times New Roman" w:hAnsi="Times New Roman" w:cs="Times New Roman"/>
          <w:i/>
          <w:sz w:val="20"/>
          <w:szCs w:val="20"/>
        </w:rPr>
        <w:t>Briefe</w:t>
      </w:r>
      <w:r>
        <w:rPr>
          <w:rFonts w:ascii="Times New Roman" w:hAnsi="Times New Roman" w:cs="Times New Roman"/>
          <w:sz w:val="20"/>
          <w:szCs w:val="20"/>
        </w:rPr>
        <w:t>, pp. 19-20.</w:t>
      </w:r>
    </w:p>
  </w:footnote>
  <w:footnote w:id="41">
    <w:p w14:paraId="1FB5524A" w14:textId="77777777" w:rsidR="00B34CC2" w:rsidRPr="00C62C4A" w:rsidRDefault="00B34CC2" w:rsidP="00F721A9">
      <w:pPr>
        <w:jc w:val="both"/>
        <w:rPr>
          <w:rFonts w:ascii="Times New Roman" w:hAnsi="Times New Roman" w:cs="Times New Roman"/>
          <w:sz w:val="20"/>
          <w:szCs w:val="20"/>
        </w:rPr>
      </w:pPr>
      <w:r w:rsidRPr="00682249">
        <w:rPr>
          <w:rStyle w:val="Rimandonotaapidipagina"/>
          <w:rFonts w:ascii="Times New Roman" w:hAnsi="Times New Roman" w:cs="Times New Roman"/>
          <w:sz w:val="20"/>
          <w:szCs w:val="20"/>
        </w:rPr>
        <w:footnoteRef/>
      </w:r>
      <w:r w:rsidRPr="00682249">
        <w:rPr>
          <w:rFonts w:ascii="Times New Roman" w:hAnsi="Times New Roman" w:cs="Times New Roman"/>
          <w:sz w:val="20"/>
          <w:szCs w:val="20"/>
        </w:rPr>
        <w:t xml:space="preserve"> Questo giudizio è ribadito da Hölderlin in una lettera inviata a Schiller il 4 settembre 1795: «</w:t>
      </w:r>
      <w:r w:rsidRPr="00682249">
        <w:rPr>
          <w:rFonts w:ascii="Times New Roman" w:hAnsi="Times New Roman" w:cs="Times New Roman"/>
          <w:sz w:val="20"/>
          <w:szCs w:val="20"/>
          <w:lang w:val="de-DE"/>
        </w:rPr>
        <w:t>Das Mißfallen an mir selbst und dem was mich umgiebt hat mich in die Abstraction hineingetrieben; ich suche mir die Idee eines unendlichen Progresses der Philosophie zu entwikeln, ich suche zu zeigen, daß die unnachläßliche Forderung, die an jedes System gemacht werden muß, die Vereinigung des Subjects und Objects in einem absoluten – Ich oder wie man es nennen will – zwar ästhetisch, in der intellectualen Anschauung, theoretisch aber nur durch eine unendliche Annäherung möglich ist, wie die Annäherung des Quadrats zum Zirkel, und daß, um ein System des Denkens zu realisiren, eine Unsterblichkeit eben so nothwendig ist, als sie es ist für ein System des Handelns. Ich glaube, dadurch beweisen zu können, in wie ferne die Skeptiker Recht haben und inwieferne nicht</w:t>
      </w:r>
      <w:r w:rsidRPr="00682249">
        <w:rPr>
          <w:rFonts w:ascii="Times New Roman" w:eastAsia="Times New Roman" w:hAnsi="Times New Roman" w:cs="Times New Roman"/>
          <w:color w:val="000000"/>
          <w:sz w:val="20"/>
          <w:szCs w:val="20"/>
          <w:lang w:val="de-DE"/>
        </w:rPr>
        <w:t xml:space="preserve">» (F. </w:t>
      </w:r>
      <w:r w:rsidRPr="00682249">
        <w:rPr>
          <w:rFonts w:ascii="Times New Roman" w:hAnsi="Times New Roman" w:cs="Times New Roman"/>
          <w:sz w:val="20"/>
          <w:szCs w:val="20"/>
        </w:rPr>
        <w:t xml:space="preserve">Hölderlin, </w:t>
      </w:r>
      <w:r w:rsidRPr="00682249">
        <w:rPr>
          <w:rFonts w:ascii="Times New Roman" w:hAnsi="Times New Roman" w:cs="Times New Roman"/>
          <w:i/>
          <w:sz w:val="20"/>
          <w:szCs w:val="20"/>
        </w:rPr>
        <w:t>Briefe und Dokumente</w:t>
      </w:r>
      <w:r w:rsidRPr="00682249">
        <w:rPr>
          <w:rFonts w:ascii="Times New Roman" w:hAnsi="Times New Roman" w:cs="Times New Roman"/>
          <w:sz w:val="20"/>
          <w:szCs w:val="20"/>
        </w:rPr>
        <w:t xml:space="preserve">, in </w:t>
      </w:r>
      <w:r w:rsidRPr="00682249">
        <w:rPr>
          <w:rFonts w:ascii="Times New Roman" w:hAnsi="Times New Roman" w:cs="Times New Roman"/>
          <w:i/>
          <w:sz w:val="20"/>
          <w:szCs w:val="20"/>
        </w:rPr>
        <w:t>Sämtliche Werke</w:t>
      </w:r>
      <w:r w:rsidRPr="00682249">
        <w:rPr>
          <w:rFonts w:ascii="Times New Roman" w:hAnsi="Times New Roman" w:cs="Times New Roman"/>
          <w:sz w:val="20"/>
          <w:szCs w:val="20"/>
        </w:rPr>
        <w:t>, hrsg. von D. E. Sattler, Bd. V, Luchterhand, München 2011, p. 313</w:t>
      </w:r>
      <w:r w:rsidRPr="00682249">
        <w:rPr>
          <w:rFonts w:ascii="Times New Roman" w:eastAsia="Times New Roman" w:hAnsi="Times New Roman" w:cs="Times New Roman"/>
          <w:color w:val="000000"/>
          <w:sz w:val="20"/>
          <w:szCs w:val="20"/>
          <w:lang w:val="de-DE"/>
        </w:rPr>
        <w:t xml:space="preserve">). </w:t>
      </w:r>
      <w:r w:rsidRPr="00682249">
        <w:rPr>
          <w:rFonts w:ascii="Times New Roman" w:eastAsia="Times New Roman" w:hAnsi="Times New Roman" w:cs="Times New Roman"/>
          <w:color w:val="000000"/>
          <w:sz w:val="20"/>
          <w:szCs w:val="20"/>
        </w:rPr>
        <w:t>É interessante notare come Hölderlin rifiuti quei principi della filosofia fichtiana ripresi da Schelling nella lettera ad Hegel del 4 febbraio 1795.</w:t>
      </w:r>
    </w:p>
  </w:footnote>
  <w:footnote w:id="42">
    <w:p w14:paraId="0A22B45B" w14:textId="77777777" w:rsidR="00B34CC2" w:rsidRPr="00E74853" w:rsidRDefault="00B34CC2" w:rsidP="00F721A9">
      <w:pPr>
        <w:pStyle w:val="Testonotaapidipagina"/>
        <w:jc w:val="both"/>
        <w:rPr>
          <w:rFonts w:ascii="Times New Roman" w:hAnsi="Times New Roman" w:cs="Times New Roman"/>
          <w:sz w:val="20"/>
          <w:szCs w:val="20"/>
        </w:rPr>
      </w:pPr>
      <w:r w:rsidRPr="00E74853">
        <w:rPr>
          <w:rStyle w:val="Rimandonotaapidipagina"/>
          <w:rFonts w:ascii="Times New Roman" w:hAnsi="Times New Roman" w:cs="Times New Roman"/>
          <w:sz w:val="20"/>
          <w:szCs w:val="20"/>
        </w:rPr>
        <w:footnoteRef/>
      </w:r>
      <w:r w:rsidRPr="00E74853">
        <w:rPr>
          <w:rFonts w:ascii="Times New Roman" w:hAnsi="Times New Roman" w:cs="Times New Roman"/>
          <w:sz w:val="20"/>
          <w:szCs w:val="20"/>
        </w:rPr>
        <w:t xml:space="preserve"> </w:t>
      </w:r>
      <w:r w:rsidRPr="00E74853">
        <w:rPr>
          <w:rFonts w:ascii="Times New Roman" w:hAnsi="Times New Roman" w:cs="Times New Roman"/>
          <w:i/>
          <w:sz w:val="20"/>
          <w:szCs w:val="20"/>
        </w:rPr>
        <w:t>Ivi</w:t>
      </w:r>
      <w:r w:rsidRPr="00E74853">
        <w:rPr>
          <w:rFonts w:ascii="Times New Roman" w:hAnsi="Times New Roman" w:cs="Times New Roman"/>
          <w:sz w:val="20"/>
          <w:szCs w:val="20"/>
        </w:rPr>
        <w:t>, p. 22.</w:t>
      </w:r>
    </w:p>
  </w:footnote>
  <w:footnote w:id="43">
    <w:p w14:paraId="706DC7DE" w14:textId="27D5A77A" w:rsidR="00B34CC2" w:rsidRPr="00C5339F" w:rsidRDefault="00B34CC2" w:rsidP="00F721A9">
      <w:pPr>
        <w:pStyle w:val="Testonotaapidipagina"/>
        <w:jc w:val="both"/>
        <w:rPr>
          <w:rFonts w:ascii="Times New Roman" w:hAnsi="Times New Roman" w:cs="Times New Roman"/>
          <w:sz w:val="20"/>
          <w:szCs w:val="20"/>
        </w:rPr>
      </w:pPr>
      <w:r w:rsidRPr="00E2558B">
        <w:rPr>
          <w:rStyle w:val="Rimandonotaapidipagina"/>
          <w:rFonts w:ascii="Times New Roman" w:hAnsi="Times New Roman" w:cs="Times New Roman"/>
          <w:sz w:val="20"/>
          <w:szCs w:val="20"/>
        </w:rPr>
        <w:footnoteRef/>
      </w:r>
      <w:r w:rsidRPr="00E2558B">
        <w:rPr>
          <w:rFonts w:ascii="Times New Roman" w:hAnsi="Times New Roman" w:cs="Times New Roman"/>
          <w:sz w:val="20"/>
          <w:szCs w:val="20"/>
        </w:rPr>
        <w:t xml:space="preserve"> Su questo punto si veda, ad esempio, F.W.J. Schelling, </w:t>
      </w:r>
      <w:r w:rsidRPr="00E2558B">
        <w:rPr>
          <w:rFonts w:ascii="Times New Roman" w:hAnsi="Times New Roman" w:cs="Times New Roman"/>
          <w:i/>
          <w:sz w:val="20"/>
          <w:szCs w:val="20"/>
        </w:rPr>
        <w:t>Briefe über Dogmatismus und Kritizismus</w:t>
      </w:r>
      <w:r w:rsidRPr="00E2558B">
        <w:rPr>
          <w:rFonts w:ascii="Times New Roman" w:hAnsi="Times New Roman" w:cs="Times New Roman"/>
          <w:sz w:val="20"/>
          <w:szCs w:val="20"/>
        </w:rPr>
        <w:t xml:space="preserve">, </w:t>
      </w:r>
      <w:r w:rsidRPr="00E2558B">
        <w:rPr>
          <w:rFonts w:ascii="Times New Roman" w:hAnsi="Times New Roman"/>
          <w:sz w:val="20"/>
          <w:szCs w:val="20"/>
        </w:rPr>
        <w:t xml:space="preserve">in </w:t>
      </w:r>
      <w:r w:rsidRPr="00E2558B">
        <w:rPr>
          <w:rFonts w:ascii="Times New Roman" w:hAnsi="Times New Roman"/>
          <w:i/>
          <w:sz w:val="20"/>
          <w:szCs w:val="20"/>
        </w:rPr>
        <w:t>Schellings Werke</w:t>
      </w:r>
      <w:r w:rsidRPr="00E2558B">
        <w:rPr>
          <w:rFonts w:ascii="Times New Roman" w:hAnsi="Times New Roman"/>
          <w:sz w:val="20"/>
          <w:szCs w:val="20"/>
        </w:rPr>
        <w:t>, Bd. I</w:t>
      </w:r>
      <w:r w:rsidRPr="00E2558B">
        <w:rPr>
          <w:rFonts w:ascii="Times New Roman" w:hAnsi="Times New Roman" w:cs="Times New Roman"/>
          <w:sz w:val="20"/>
          <w:szCs w:val="20"/>
        </w:rPr>
        <w:t>,</w:t>
      </w:r>
      <w:r>
        <w:rPr>
          <w:rFonts w:ascii="Times New Roman" w:hAnsi="Times New Roman" w:cs="Times New Roman"/>
          <w:sz w:val="20"/>
          <w:szCs w:val="20"/>
        </w:rPr>
        <w:t xml:space="preserve"> </w:t>
      </w:r>
      <w:r w:rsidRPr="00E2558B">
        <w:rPr>
          <w:rFonts w:ascii="Times New Roman" w:hAnsi="Times New Roman"/>
          <w:sz w:val="20"/>
          <w:szCs w:val="20"/>
        </w:rPr>
        <w:t>hrsg. von</w:t>
      </w:r>
      <w:r w:rsidRPr="00E2558B">
        <w:rPr>
          <w:rFonts w:ascii="Times New Roman" w:hAnsi="Times New Roman" w:cs="Times New Roman"/>
          <w:sz w:val="20"/>
          <w:szCs w:val="20"/>
        </w:rPr>
        <w:t xml:space="preserve"> M. Schröter</w:t>
      </w:r>
      <w:r>
        <w:rPr>
          <w:rFonts w:ascii="Times New Roman" w:hAnsi="Times New Roman" w:cs="Times New Roman"/>
          <w:sz w:val="20"/>
          <w:szCs w:val="20"/>
        </w:rPr>
        <w:t>, C. H. Beck Verlag, München 1958</w:t>
      </w:r>
      <w:r>
        <w:rPr>
          <w:rFonts w:ascii="Times New Roman" w:hAnsi="Times New Roman"/>
          <w:sz w:val="20"/>
          <w:szCs w:val="20"/>
        </w:rPr>
        <w:t>, p. 255</w:t>
      </w:r>
      <w:r w:rsidRPr="00E2558B">
        <w:rPr>
          <w:rFonts w:ascii="Times New Roman" w:hAnsi="Times New Roman" w:cs="Times New Roman"/>
          <w:sz w:val="20"/>
          <w:szCs w:val="20"/>
        </w:rPr>
        <w:t xml:space="preserve">: </w:t>
      </w:r>
      <w:r w:rsidRPr="00E2558B">
        <w:rPr>
          <w:rFonts w:ascii="Times New Roman" w:hAnsi="Times New Roman" w:cs="Times New Roman"/>
          <w:sz w:val="20"/>
          <w:szCs w:val="20"/>
          <w:lang w:val="de-DE"/>
        </w:rPr>
        <w:t>«Dogmatismus und Kritizismus können sich nur in der Annährung zum letzten Ziele als widersprechende Systeme behaupten. Eben deswegen muß der Kritizismus das letzte Ziel nur als Gegenstand einer unendlichen gabe betrachten; er wird selbst nothwendig zum Dogmatismus, sobald er das letzte Ziel als realisiert (in einem Object) oder als realisi</w:t>
      </w:r>
      <w:r>
        <w:rPr>
          <w:rFonts w:ascii="Times New Roman" w:hAnsi="Times New Roman" w:cs="Times New Roman"/>
          <w:sz w:val="20"/>
          <w:szCs w:val="20"/>
          <w:lang w:val="de-DE"/>
        </w:rPr>
        <w:t>e</w:t>
      </w:r>
      <w:r w:rsidRPr="00E2558B">
        <w:rPr>
          <w:rFonts w:ascii="Times New Roman" w:hAnsi="Times New Roman" w:cs="Times New Roman"/>
          <w:sz w:val="20"/>
          <w:szCs w:val="20"/>
          <w:lang w:val="de-DE"/>
        </w:rPr>
        <w:t>rbar (in irgend einem einzelnen Zeitpunkte) stellt</w:t>
      </w:r>
      <w:r w:rsidRPr="00E2558B">
        <w:rPr>
          <w:rFonts w:ascii="Times New Roman" w:eastAsia="Times New Roman" w:hAnsi="Times New Roman" w:cs="Times New Roman"/>
          <w:color w:val="000000"/>
          <w:sz w:val="20"/>
          <w:szCs w:val="20"/>
          <w:lang w:val="de-DE"/>
        </w:rPr>
        <w:t>».</w:t>
      </w:r>
    </w:p>
  </w:footnote>
  <w:footnote w:id="44">
    <w:p w14:paraId="3E99946C" w14:textId="7A5CCA4B" w:rsidR="00B34CC2" w:rsidRPr="00497F0B" w:rsidRDefault="00B34CC2" w:rsidP="00F721A9">
      <w:pPr>
        <w:pStyle w:val="Testonotaapidipagina"/>
        <w:jc w:val="both"/>
        <w:rPr>
          <w:rFonts w:ascii="Times New Roman" w:hAnsi="Times New Roman" w:cs="Times New Roman"/>
          <w:sz w:val="20"/>
          <w:szCs w:val="20"/>
          <w:lang w:val="de-DE"/>
        </w:rPr>
      </w:pPr>
      <w:r w:rsidRPr="00CF709E">
        <w:rPr>
          <w:rStyle w:val="Rimandonotaapidipagina"/>
          <w:rFonts w:ascii="Times New Roman" w:hAnsi="Times New Roman" w:cs="Times New Roman"/>
          <w:sz w:val="20"/>
          <w:szCs w:val="20"/>
        </w:rPr>
        <w:footnoteRef/>
      </w:r>
      <w:r>
        <w:rPr>
          <w:rFonts w:ascii="Times New Roman" w:hAnsi="Times New Roman" w:cs="Times New Roman"/>
          <w:i/>
          <w:sz w:val="20"/>
          <w:szCs w:val="20"/>
        </w:rPr>
        <w:t xml:space="preserve"> Briefe</w:t>
      </w:r>
      <w:r>
        <w:rPr>
          <w:rFonts w:ascii="Times New Roman" w:hAnsi="Times New Roman" w:cs="Times New Roman"/>
          <w:sz w:val="20"/>
          <w:szCs w:val="20"/>
        </w:rPr>
        <w:t>, p. 22: «</w:t>
      </w:r>
      <w:r w:rsidRPr="00497F0B">
        <w:rPr>
          <w:rFonts w:ascii="Times New Roman" w:hAnsi="Times New Roman" w:cs="Times New Roman"/>
          <w:sz w:val="20"/>
          <w:szCs w:val="20"/>
          <w:lang w:val="de-DE"/>
        </w:rPr>
        <w:t>Es gibt keine übersinnliche Welt für uns als die des absoluten Ichs. – Gott ist nichts als das absolute Ich, das Ich, insofern es alles Theoretische zernichtet hat, in der theoretischen Philosophie also = 0 ist</w:t>
      </w:r>
      <w:r w:rsidRPr="00497F0B">
        <w:rPr>
          <w:rFonts w:ascii="Times New Roman" w:eastAsia="Times New Roman" w:hAnsi="Times New Roman" w:cs="Times New Roman"/>
          <w:color w:val="000000"/>
          <w:sz w:val="20"/>
          <w:szCs w:val="20"/>
          <w:lang w:val="de-DE"/>
        </w:rPr>
        <w:t>»</w:t>
      </w:r>
      <w:r w:rsidRPr="00497F0B">
        <w:rPr>
          <w:rFonts w:ascii="Times New Roman" w:hAnsi="Times New Roman" w:cs="Times New Roman"/>
          <w:sz w:val="20"/>
          <w:szCs w:val="20"/>
          <w:lang w:val="de-DE"/>
        </w:rPr>
        <w:t>.</w:t>
      </w:r>
    </w:p>
  </w:footnote>
  <w:footnote w:id="45">
    <w:p w14:paraId="24DFC7FB" w14:textId="77777777" w:rsidR="00B34CC2" w:rsidRPr="00486183" w:rsidRDefault="00B34CC2" w:rsidP="00F721A9">
      <w:pPr>
        <w:pStyle w:val="Testonotaapidipagina"/>
        <w:jc w:val="both"/>
        <w:rPr>
          <w:rFonts w:ascii="Times New Roman" w:hAnsi="Times New Roman" w:cs="Times New Roman"/>
          <w:sz w:val="20"/>
          <w:szCs w:val="20"/>
        </w:rPr>
      </w:pPr>
      <w:r w:rsidRPr="00486183">
        <w:rPr>
          <w:rStyle w:val="Rimandonotaapidipagina"/>
          <w:rFonts w:ascii="Times New Roman" w:hAnsi="Times New Roman" w:cs="Times New Roman"/>
          <w:sz w:val="20"/>
          <w:szCs w:val="20"/>
        </w:rPr>
        <w:footnoteRef/>
      </w:r>
      <w:r w:rsidRPr="00486183">
        <w:rPr>
          <w:rFonts w:ascii="Times New Roman" w:hAnsi="Times New Roman" w:cs="Times New Roman"/>
          <w:sz w:val="20"/>
          <w:szCs w:val="20"/>
        </w:rPr>
        <w:t xml:space="preserve"> </w:t>
      </w:r>
      <w:r w:rsidRPr="00486183">
        <w:rPr>
          <w:rFonts w:ascii="Times New Roman" w:hAnsi="Times New Roman" w:cs="Times New Roman"/>
          <w:i/>
          <w:sz w:val="20"/>
          <w:szCs w:val="20"/>
        </w:rPr>
        <w:t>Ibidem</w:t>
      </w:r>
      <w:r w:rsidRPr="00486183">
        <w:rPr>
          <w:rFonts w:ascii="Times New Roman" w:hAnsi="Times New Roman" w:cs="Times New Roman"/>
          <w:sz w:val="20"/>
          <w:szCs w:val="20"/>
        </w:rPr>
        <w:t>.</w:t>
      </w:r>
    </w:p>
  </w:footnote>
  <w:footnote w:id="46">
    <w:p w14:paraId="3807AC5F" w14:textId="69F1833F" w:rsidR="00B34CC2" w:rsidRPr="004851A8" w:rsidRDefault="00B34CC2" w:rsidP="00F721A9">
      <w:pPr>
        <w:pStyle w:val="Testonotaapidipagina"/>
        <w:jc w:val="both"/>
        <w:rPr>
          <w:rFonts w:ascii="Times New Roman" w:hAnsi="Times New Roman" w:cs="Times New Roman"/>
          <w:sz w:val="20"/>
          <w:szCs w:val="20"/>
        </w:rPr>
      </w:pPr>
      <w:r w:rsidRPr="00053C96">
        <w:rPr>
          <w:rStyle w:val="Rimandonotaapidipagina"/>
          <w:rFonts w:ascii="Times New Roman" w:hAnsi="Times New Roman" w:cs="Times New Roman"/>
          <w:sz w:val="20"/>
          <w:szCs w:val="20"/>
        </w:rPr>
        <w:footnoteRef/>
      </w:r>
      <w:r w:rsidRPr="00053C96">
        <w:rPr>
          <w:rFonts w:ascii="Times New Roman" w:hAnsi="Times New Roman" w:cs="Times New Roman"/>
          <w:sz w:val="20"/>
          <w:szCs w:val="20"/>
        </w:rPr>
        <w:t xml:space="preserve"> F.W.J. Schelling, </w:t>
      </w:r>
      <w:r w:rsidRPr="00053C96">
        <w:rPr>
          <w:rFonts w:ascii="Times New Roman" w:hAnsi="Times New Roman" w:cs="Times New Roman"/>
          <w:i/>
          <w:sz w:val="20"/>
          <w:szCs w:val="20"/>
        </w:rPr>
        <w:t>Briefe über Dogmatismus und Kritizismus</w:t>
      </w:r>
      <w:r w:rsidRPr="00053C96">
        <w:rPr>
          <w:rFonts w:ascii="Times New Roman" w:hAnsi="Times New Roman" w:cs="Times New Roman"/>
          <w:sz w:val="20"/>
          <w:szCs w:val="20"/>
        </w:rPr>
        <w:t>, cit., p. 259.</w:t>
      </w:r>
    </w:p>
  </w:footnote>
  <w:footnote w:id="47">
    <w:p w14:paraId="196C773B" w14:textId="77777777" w:rsidR="00B34CC2" w:rsidRPr="001B1B6F" w:rsidRDefault="00B34CC2" w:rsidP="00F721A9">
      <w:pPr>
        <w:pStyle w:val="Testonotaapidipagina"/>
        <w:jc w:val="both"/>
        <w:rPr>
          <w:rFonts w:ascii="Times New Roman" w:hAnsi="Times New Roman" w:cs="Times New Roman"/>
          <w:sz w:val="20"/>
          <w:szCs w:val="20"/>
        </w:rPr>
      </w:pPr>
      <w:r w:rsidRPr="001B1B6F">
        <w:rPr>
          <w:rStyle w:val="Rimandonotaapidipagina"/>
          <w:rFonts w:ascii="Times New Roman" w:hAnsi="Times New Roman" w:cs="Times New Roman"/>
          <w:sz w:val="20"/>
          <w:szCs w:val="20"/>
        </w:rPr>
        <w:footnoteRef/>
      </w:r>
      <w:r w:rsidRPr="001B1B6F">
        <w:rPr>
          <w:rFonts w:ascii="Times New Roman" w:hAnsi="Times New Roman" w:cs="Times New Roman"/>
          <w:sz w:val="20"/>
          <w:szCs w:val="20"/>
        </w:rPr>
        <w:t xml:space="preserve"> </w:t>
      </w:r>
      <w:r w:rsidRPr="001B1B6F">
        <w:rPr>
          <w:rFonts w:ascii="Times New Roman" w:hAnsi="Times New Roman" w:cs="Times New Roman"/>
          <w:i/>
          <w:sz w:val="20"/>
          <w:szCs w:val="20"/>
        </w:rPr>
        <w:t>Ivi</w:t>
      </w:r>
      <w:r w:rsidRPr="001B1B6F">
        <w:rPr>
          <w:rFonts w:ascii="Times New Roman" w:hAnsi="Times New Roman" w:cs="Times New Roman"/>
          <w:sz w:val="20"/>
          <w:szCs w:val="20"/>
        </w:rPr>
        <w:t>, p. 32.</w:t>
      </w:r>
    </w:p>
  </w:footnote>
  <w:footnote w:id="48">
    <w:p w14:paraId="7126C72E" w14:textId="77777777" w:rsidR="00B34CC2" w:rsidRPr="005C2876" w:rsidRDefault="00B34CC2" w:rsidP="00F721A9">
      <w:pPr>
        <w:pStyle w:val="Testonotaapidipagina"/>
        <w:jc w:val="both"/>
        <w:rPr>
          <w:rFonts w:ascii="Times New Roman" w:hAnsi="Times New Roman" w:cs="Times New Roman"/>
          <w:sz w:val="20"/>
          <w:szCs w:val="20"/>
        </w:rPr>
      </w:pPr>
      <w:r w:rsidRPr="005C2876">
        <w:rPr>
          <w:rStyle w:val="Rimandonotaapidipagina"/>
          <w:rFonts w:ascii="Times New Roman" w:hAnsi="Times New Roman" w:cs="Times New Roman"/>
          <w:sz w:val="20"/>
          <w:szCs w:val="20"/>
        </w:rPr>
        <w:footnoteRef/>
      </w:r>
      <w:r w:rsidRPr="005C2876">
        <w:rPr>
          <w:rFonts w:ascii="Times New Roman" w:hAnsi="Times New Roman" w:cs="Times New Roman"/>
          <w:sz w:val="20"/>
          <w:szCs w:val="20"/>
        </w:rPr>
        <w:t xml:space="preserve"> </w:t>
      </w:r>
      <w:r w:rsidRPr="005C2876">
        <w:rPr>
          <w:rFonts w:ascii="Times New Roman" w:hAnsi="Times New Roman" w:cs="Times New Roman"/>
          <w:i/>
          <w:sz w:val="20"/>
          <w:szCs w:val="20"/>
        </w:rPr>
        <w:t>Ibidem</w:t>
      </w:r>
      <w:r w:rsidRPr="005C2876">
        <w:rPr>
          <w:rFonts w:ascii="Times New Roman" w:hAnsi="Times New Roman" w:cs="Times New Roman"/>
          <w:sz w:val="20"/>
          <w:szCs w:val="20"/>
        </w:rPr>
        <w:t>.</w:t>
      </w:r>
    </w:p>
  </w:footnote>
  <w:footnote w:id="49">
    <w:p w14:paraId="77B42B1D" w14:textId="5CEC8F1C" w:rsidR="00B34CC2" w:rsidRPr="0088017B" w:rsidRDefault="00B34CC2" w:rsidP="00F721A9">
      <w:pPr>
        <w:pStyle w:val="Testonotaapidipagina"/>
        <w:jc w:val="both"/>
        <w:rPr>
          <w:rFonts w:ascii="Times New Roman" w:hAnsi="Times New Roman" w:cs="Times New Roman"/>
          <w:sz w:val="20"/>
          <w:szCs w:val="20"/>
        </w:rPr>
      </w:pPr>
      <w:r w:rsidRPr="0088017B">
        <w:rPr>
          <w:rStyle w:val="Rimandonotaapidipagina"/>
          <w:rFonts w:ascii="Times New Roman" w:hAnsi="Times New Roman" w:cs="Times New Roman"/>
          <w:sz w:val="20"/>
          <w:szCs w:val="20"/>
        </w:rPr>
        <w:footnoteRef/>
      </w:r>
      <w:r w:rsidRPr="0088017B">
        <w:rPr>
          <w:rFonts w:ascii="Times New Roman" w:hAnsi="Times New Roman" w:cs="Times New Roman"/>
          <w:sz w:val="20"/>
          <w:szCs w:val="20"/>
        </w:rPr>
        <w:t xml:space="preserve"> Mi riferisco al </w:t>
      </w:r>
      <w:r w:rsidRPr="0088017B">
        <w:rPr>
          <w:rFonts w:ascii="Times New Roman" w:hAnsi="Times New Roman" w:cs="Times New Roman"/>
          <w:i/>
          <w:sz w:val="20"/>
          <w:szCs w:val="20"/>
        </w:rPr>
        <w:t>Text 34</w:t>
      </w:r>
      <w:r w:rsidRPr="0088017B">
        <w:rPr>
          <w:rFonts w:ascii="Times New Roman" w:hAnsi="Times New Roman" w:cs="Times New Roman"/>
          <w:sz w:val="20"/>
          <w:szCs w:val="20"/>
        </w:rPr>
        <w:t xml:space="preserve">, titolato da Nohl come </w:t>
      </w:r>
      <w:r w:rsidRPr="0088017B">
        <w:rPr>
          <w:rFonts w:ascii="Times New Roman" w:hAnsi="Times New Roman" w:cs="Times New Roman"/>
          <w:i/>
          <w:sz w:val="20"/>
          <w:szCs w:val="20"/>
          <w:lang w:val="de-DE"/>
        </w:rPr>
        <w:t>Unterschied zwischen griechischer Phantasie- und christlicher positiver Religion</w:t>
      </w:r>
      <w:r>
        <w:rPr>
          <w:rFonts w:ascii="Times New Roman" w:hAnsi="Times New Roman" w:cs="Times New Roman"/>
          <w:sz w:val="20"/>
          <w:szCs w:val="20"/>
          <w:lang w:val="de-DE"/>
        </w:rPr>
        <w:t xml:space="preserve">. </w:t>
      </w:r>
      <w:r w:rsidRPr="0088017B">
        <w:rPr>
          <w:rFonts w:ascii="Times New Roman" w:hAnsi="Times New Roman" w:cs="Times New Roman"/>
          <w:sz w:val="20"/>
          <w:szCs w:val="20"/>
        </w:rPr>
        <w:t>Sull’importanza</w:t>
      </w:r>
      <w:r>
        <w:rPr>
          <w:rFonts w:ascii="Times New Roman" w:hAnsi="Times New Roman" w:cs="Times New Roman"/>
          <w:sz w:val="20"/>
          <w:szCs w:val="20"/>
        </w:rPr>
        <w:t xml:space="preserve"> di questo scritto, che coniuga, in modo personale, elementi teorici desunti dal criticismo kantiano e dalla trattatistica illuministica (Montesquieu e Gibbon), si veda F. Chiereghin, </w:t>
      </w:r>
      <w:r>
        <w:rPr>
          <w:rFonts w:ascii="Times New Roman" w:hAnsi="Times New Roman" w:cs="Times New Roman"/>
          <w:i/>
          <w:sz w:val="20"/>
          <w:szCs w:val="20"/>
        </w:rPr>
        <w:t xml:space="preserve">Dialettica dell’assoluto e ontologia della soggettività in </w:t>
      </w:r>
      <w:r w:rsidRPr="00752E61">
        <w:rPr>
          <w:rFonts w:ascii="Times New Roman" w:hAnsi="Times New Roman" w:cs="Times New Roman"/>
          <w:i/>
          <w:sz w:val="20"/>
          <w:szCs w:val="20"/>
        </w:rPr>
        <w:t>Hegel</w:t>
      </w:r>
      <w:r>
        <w:rPr>
          <w:rFonts w:ascii="Times New Roman" w:hAnsi="Times New Roman" w:cs="Times New Roman"/>
          <w:sz w:val="20"/>
          <w:szCs w:val="20"/>
        </w:rPr>
        <w:t xml:space="preserve">, Verifiche, Trento 1980, pp. 149-153; W. Hartkopf, </w:t>
      </w:r>
      <w:r w:rsidRPr="001B0652">
        <w:rPr>
          <w:rFonts w:ascii="Times New Roman" w:hAnsi="Times New Roman" w:cs="Times New Roman"/>
          <w:i/>
          <w:sz w:val="20"/>
          <w:szCs w:val="20"/>
          <w:lang w:val="de-DE"/>
        </w:rPr>
        <w:t>Der Durchbruch zur Dialektik in Hegels Denken. Studien zur Entwicklung der modernen Dialektik</w:t>
      </w:r>
      <w:r w:rsidRPr="001B0652">
        <w:rPr>
          <w:rFonts w:ascii="Times New Roman" w:hAnsi="Times New Roman" w:cs="Times New Roman"/>
          <w:sz w:val="20"/>
          <w:szCs w:val="20"/>
          <w:lang w:val="de-DE"/>
        </w:rPr>
        <w:t>, Meisenheim am Glan, Hain 1976, pp. 37-44</w:t>
      </w:r>
      <w:r>
        <w:rPr>
          <w:rFonts w:ascii="Times New Roman" w:hAnsi="Times New Roman" w:cs="Times New Roman"/>
          <w:sz w:val="20"/>
          <w:szCs w:val="20"/>
        </w:rPr>
        <w:t xml:space="preserve">; </w:t>
      </w:r>
      <w:r w:rsidRPr="001B0652">
        <w:rPr>
          <w:rFonts w:ascii="Times New Roman" w:hAnsi="Times New Roman" w:cs="Times New Roman"/>
          <w:sz w:val="20"/>
          <w:szCs w:val="20"/>
        </w:rPr>
        <w:t>J</w:t>
      </w:r>
      <w:r>
        <w:rPr>
          <w:rFonts w:ascii="Times New Roman" w:hAnsi="Times New Roman" w:cs="Times New Roman"/>
          <w:sz w:val="20"/>
          <w:szCs w:val="20"/>
        </w:rPr>
        <w:t xml:space="preserve">. Hyppolite, </w:t>
      </w:r>
      <w:r w:rsidRPr="00D27C3A">
        <w:rPr>
          <w:rFonts w:ascii="Times New Roman" w:hAnsi="Times New Roman" w:cs="Times New Roman"/>
          <w:i/>
          <w:sz w:val="20"/>
          <w:szCs w:val="20"/>
        </w:rPr>
        <w:t>Introduction à la philosophie de l’historie de Hegel</w:t>
      </w:r>
      <w:r>
        <w:rPr>
          <w:rFonts w:ascii="Times New Roman" w:hAnsi="Times New Roman" w:cs="Times New Roman"/>
          <w:sz w:val="20"/>
          <w:szCs w:val="20"/>
        </w:rPr>
        <w:t xml:space="preserve">, Marcel Rivière et Cie, Paris 1968, pp. 31-39 (prima ed. Paris 1949); F. Valori, </w:t>
      </w:r>
      <w:r w:rsidRPr="002C714D">
        <w:rPr>
          <w:rFonts w:ascii="Times New Roman" w:hAnsi="Times New Roman" w:cs="Times New Roman"/>
          <w:i/>
          <w:sz w:val="20"/>
          <w:szCs w:val="20"/>
        </w:rPr>
        <w:t>Destino, ragione e positività nel giovane Hege</w:t>
      </w:r>
      <w:r>
        <w:rPr>
          <w:rFonts w:ascii="Times New Roman" w:hAnsi="Times New Roman" w:cs="Times New Roman"/>
          <w:sz w:val="20"/>
          <w:szCs w:val="20"/>
        </w:rPr>
        <w:t xml:space="preserve">l, in </w:t>
      </w:r>
      <w:r w:rsidRPr="002C714D">
        <w:rPr>
          <w:rFonts w:ascii="Times New Roman" w:hAnsi="Times New Roman" w:cs="Times New Roman"/>
          <w:i/>
          <w:sz w:val="20"/>
          <w:szCs w:val="20"/>
        </w:rPr>
        <w:t>Il giovane Hegel. La dialettica e le sue prospettive</w:t>
      </w:r>
      <w:r>
        <w:rPr>
          <w:rFonts w:ascii="Times New Roman" w:hAnsi="Times New Roman" w:cs="Times New Roman"/>
          <w:sz w:val="20"/>
          <w:szCs w:val="20"/>
        </w:rPr>
        <w:t>, a cura di M. Moschini, Napoli-Salerno, Orthotes 2017, pp. 229-247.</w:t>
      </w:r>
    </w:p>
  </w:footnote>
  <w:footnote w:id="50">
    <w:p w14:paraId="55E6FE08" w14:textId="7B6A2510" w:rsidR="00B34CC2" w:rsidRPr="000429F9" w:rsidRDefault="00B34CC2" w:rsidP="00F721A9">
      <w:pPr>
        <w:pStyle w:val="Testonotaapidipagina"/>
        <w:jc w:val="both"/>
        <w:rPr>
          <w:rFonts w:ascii="Times New Roman" w:hAnsi="Times New Roman" w:cs="Times New Roman"/>
          <w:sz w:val="20"/>
          <w:szCs w:val="20"/>
        </w:rPr>
      </w:pPr>
      <w:r w:rsidRPr="0078778A">
        <w:rPr>
          <w:rStyle w:val="Rimandonotaapidipagina"/>
          <w:rFonts w:ascii="Times New Roman" w:hAnsi="Times New Roman" w:cs="Times New Roman"/>
          <w:sz w:val="20"/>
          <w:szCs w:val="20"/>
        </w:rPr>
        <w:footnoteRef/>
      </w:r>
      <w:r w:rsidRPr="0078778A">
        <w:rPr>
          <w:rFonts w:ascii="Times New Roman" w:hAnsi="Times New Roman" w:cs="Times New Roman"/>
          <w:sz w:val="20"/>
          <w:szCs w:val="20"/>
        </w:rPr>
        <w:t xml:space="preserve"> </w:t>
      </w:r>
      <w:r w:rsidRPr="0078778A">
        <w:rPr>
          <w:rFonts w:ascii="Times New Roman" w:hAnsi="Times New Roman" w:cs="Times New Roman"/>
          <w:i/>
          <w:sz w:val="20"/>
          <w:szCs w:val="20"/>
        </w:rPr>
        <w:t>FS I</w:t>
      </w:r>
      <w:r w:rsidRPr="0078778A">
        <w:rPr>
          <w:rFonts w:ascii="Times New Roman" w:hAnsi="Times New Roman" w:cs="Times New Roman"/>
          <w:sz w:val="20"/>
          <w:szCs w:val="20"/>
        </w:rPr>
        <w:t>, pp. 365-366.</w:t>
      </w:r>
    </w:p>
  </w:footnote>
  <w:footnote w:id="51">
    <w:p w14:paraId="19AC548C" w14:textId="15A61033" w:rsidR="00B34CC2" w:rsidRPr="003D07DF" w:rsidRDefault="00B34CC2" w:rsidP="00F721A9">
      <w:pPr>
        <w:pStyle w:val="Testonotaapidipagina"/>
        <w:jc w:val="both"/>
        <w:rPr>
          <w:rFonts w:ascii="Times New Roman" w:hAnsi="Times New Roman" w:cs="Times New Roman"/>
          <w:sz w:val="20"/>
          <w:szCs w:val="20"/>
        </w:rPr>
      </w:pPr>
      <w:r w:rsidRPr="003D07DF">
        <w:rPr>
          <w:rStyle w:val="Rimandonotaapidipagina"/>
          <w:rFonts w:ascii="Times New Roman" w:hAnsi="Times New Roman" w:cs="Times New Roman"/>
          <w:sz w:val="20"/>
          <w:szCs w:val="20"/>
        </w:rPr>
        <w:footnoteRef/>
      </w:r>
      <w:r w:rsidRPr="003D07DF">
        <w:rPr>
          <w:rFonts w:ascii="Times New Roman" w:hAnsi="Times New Roman" w:cs="Times New Roman"/>
          <w:sz w:val="20"/>
          <w:szCs w:val="20"/>
        </w:rPr>
        <w:t xml:space="preserve"> </w:t>
      </w:r>
      <w:r>
        <w:rPr>
          <w:rFonts w:ascii="Times New Roman" w:hAnsi="Times New Roman" w:cs="Times New Roman"/>
          <w:sz w:val="20"/>
          <w:szCs w:val="20"/>
        </w:rPr>
        <w:t xml:space="preserve">Sulla ripresa hegeliana di Gibbon cfr. J. Hyppolite, </w:t>
      </w:r>
      <w:r w:rsidRPr="00D27C3A">
        <w:rPr>
          <w:rFonts w:ascii="Times New Roman" w:hAnsi="Times New Roman" w:cs="Times New Roman"/>
          <w:i/>
          <w:sz w:val="20"/>
          <w:szCs w:val="20"/>
        </w:rPr>
        <w:t>Introduction à la philosophie de l’historie de Hegel</w:t>
      </w:r>
      <w:r>
        <w:rPr>
          <w:rFonts w:ascii="Times New Roman" w:hAnsi="Times New Roman" w:cs="Times New Roman"/>
          <w:sz w:val="20"/>
          <w:szCs w:val="20"/>
        </w:rPr>
        <w:t xml:space="preserve">, cit., p. 33; P. Muller, </w:t>
      </w:r>
      <w:r w:rsidRPr="00A73951">
        <w:rPr>
          <w:rFonts w:ascii="Times New Roman" w:hAnsi="Times New Roman" w:cs="Times New Roman"/>
          <w:i/>
          <w:sz w:val="20"/>
          <w:szCs w:val="20"/>
        </w:rPr>
        <w:t>Hegel und Gibbon. Oder wie der Philosoph dank der Lektüre des Historikers zu sich selbst findet</w:t>
      </w:r>
      <w:r>
        <w:rPr>
          <w:rFonts w:ascii="Times New Roman" w:hAnsi="Times New Roman" w:cs="Times New Roman"/>
          <w:sz w:val="20"/>
          <w:szCs w:val="20"/>
        </w:rPr>
        <w:t xml:space="preserve">, in </w:t>
      </w:r>
      <w:r w:rsidRPr="00A73951">
        <w:rPr>
          <w:rFonts w:ascii="Times New Roman" w:hAnsi="Times New Roman" w:cs="Times New Roman"/>
          <w:i/>
          <w:sz w:val="20"/>
          <w:szCs w:val="20"/>
        </w:rPr>
        <w:t>Hegel in der Schweiz</w:t>
      </w:r>
      <w:r>
        <w:rPr>
          <w:rFonts w:ascii="Times New Roman" w:hAnsi="Times New Roman" w:cs="Times New Roman"/>
          <w:sz w:val="20"/>
          <w:szCs w:val="20"/>
        </w:rPr>
        <w:t xml:space="preserve">, hrsg. von H. Schneider und N. Waszek, Peter Lang, Frankfurt am Main, 1997, pp. 145-173. </w:t>
      </w:r>
      <w:r w:rsidRPr="00371B81">
        <w:rPr>
          <w:rFonts w:ascii="Times New Roman" w:hAnsi="Times New Roman" w:cs="Times New Roman"/>
          <w:sz w:val="20"/>
          <w:szCs w:val="20"/>
        </w:rPr>
        <w:t>Sulla rilevanza della lettura di Gibbon ai fini della</w:t>
      </w:r>
      <w:r w:rsidRPr="00371B81">
        <w:rPr>
          <w:rFonts w:ascii="Times New Roman" w:hAnsi="Times New Roman" w:cs="Times New Roman"/>
          <w:sz w:val="20"/>
          <w:szCs w:val="20"/>
          <w:lang w:val="de-DE"/>
        </w:rPr>
        <w:t xml:space="preserve"> </w:t>
      </w:r>
      <w:r w:rsidRPr="00371B81">
        <w:rPr>
          <w:rFonts w:ascii="Times New Roman" w:hAnsi="Times New Roman" w:cs="Times New Roman"/>
          <w:i/>
          <w:sz w:val="20"/>
          <w:szCs w:val="20"/>
          <w:lang w:val="de-DE"/>
        </w:rPr>
        <w:t>Denkentwicklung</w:t>
      </w:r>
      <w:r w:rsidRPr="00371B81">
        <w:rPr>
          <w:rFonts w:ascii="Times New Roman" w:hAnsi="Times New Roman" w:cs="Times New Roman"/>
          <w:sz w:val="20"/>
          <w:szCs w:val="20"/>
        </w:rPr>
        <w:t xml:space="preserve"> hegeliana si confronti quel passo del</w:t>
      </w:r>
      <w:r w:rsidRPr="00371B81">
        <w:rPr>
          <w:rFonts w:ascii="Times New Roman" w:hAnsi="Times New Roman" w:cs="Times New Roman"/>
          <w:i/>
          <w:sz w:val="20"/>
          <w:szCs w:val="20"/>
        </w:rPr>
        <w:t xml:space="preserve"> </w:t>
      </w:r>
      <w:r w:rsidRPr="00371B81">
        <w:rPr>
          <w:rFonts w:ascii="Times New Roman" w:hAnsi="Times New Roman" w:cs="Times New Roman"/>
          <w:i/>
          <w:sz w:val="20"/>
          <w:szCs w:val="20"/>
          <w:lang w:val="de-DE"/>
        </w:rPr>
        <w:t>Naturrechtsaufsatz</w:t>
      </w:r>
      <w:r>
        <w:rPr>
          <w:rFonts w:ascii="Times New Roman" w:hAnsi="Times New Roman" w:cs="Times New Roman"/>
          <w:sz w:val="20"/>
          <w:szCs w:val="20"/>
        </w:rPr>
        <w:t xml:space="preserve"> in cui Hegel, parafrasando </w:t>
      </w:r>
      <w:r w:rsidRPr="00004396">
        <w:rPr>
          <w:rFonts w:ascii="Times New Roman" w:hAnsi="Times New Roman" w:cs="Times New Roman"/>
          <w:i/>
          <w:sz w:val="20"/>
          <w:szCs w:val="20"/>
          <w:lang w:val="en-GB"/>
        </w:rPr>
        <w:t xml:space="preserve">The </w:t>
      </w:r>
      <w:r w:rsidRPr="00004396">
        <w:rPr>
          <w:rFonts w:ascii="Times New Roman" w:eastAsia="Times New Roman" w:hAnsi="Times New Roman" w:cs="Times New Roman"/>
          <w:i/>
          <w:color w:val="000000"/>
          <w:sz w:val="20"/>
          <w:szCs w:val="20"/>
          <w:lang w:val="en-GB"/>
        </w:rPr>
        <w:t>History of the Decline and Fall of the Roman Empire</w:t>
      </w:r>
      <w:r>
        <w:rPr>
          <w:rFonts w:ascii="Times New Roman" w:hAnsi="Times New Roman" w:cs="Times New Roman"/>
          <w:sz w:val="20"/>
          <w:szCs w:val="20"/>
        </w:rPr>
        <w:t xml:space="preserve">, afferma che l’eticità classica è trapassata a causa di un’estensione della logica del secondo stato all’interno corpo politico: </w:t>
      </w:r>
      <w:r>
        <w:rPr>
          <w:rFonts w:ascii="Times New Roman" w:eastAsia="Times New Roman" w:hAnsi="Times New Roman" w:cs="Times New Roman"/>
          <w:color w:val="000000"/>
          <w:sz w:val="20"/>
          <w:szCs w:val="20"/>
          <w:lang w:val="de-DE"/>
        </w:rPr>
        <w:t>«</w:t>
      </w:r>
      <w:r w:rsidRPr="00EE5CB2">
        <w:rPr>
          <w:rFonts w:ascii="Times New Roman" w:eastAsia="Times New Roman" w:hAnsi="Times New Roman" w:cs="Times New Roman"/>
          <w:color w:val="000000"/>
          <w:sz w:val="20"/>
          <w:szCs w:val="20"/>
          <w:lang w:val="de-DE"/>
        </w:rPr>
        <w:t>Der lange Friede und die gleichförmige Herrschaft der Römer führte ein langsames und geheimes Gift in die Lebenskräfte des Reichs […] Der persönliche Muth, aber sie besaßen nicht mehr diesen öffentlichen Muth, welcher von der Liebe zur Unabhängigkeit, dem Sinne der National-Ehre, der Gegenwart der Gefahr, und der Gewohnheit zu befehlen genährt wird […]. Mit diesem allgemeinen Privatleben, und für den Zustand, in welchem das Volk nur aus einem zweyten Stande besteht, ist unmittelbar das formale Rechtverhältniß, welches das Einzelnseyn fixiert und absolut setzt, vorhanden</w:t>
      </w:r>
      <w:r w:rsidRPr="00FE626D">
        <w:rPr>
          <w:rFonts w:ascii="Times New Roman" w:eastAsia="Times New Roman" w:hAnsi="Times New Roman" w:cs="Times New Roman"/>
          <w:color w:val="000000"/>
          <w:sz w:val="20"/>
          <w:szCs w:val="20"/>
          <w:lang w:val="de-DE"/>
        </w:rPr>
        <w:t>»</w:t>
      </w:r>
      <w:r>
        <w:rPr>
          <w:rFonts w:ascii="Times New Roman" w:eastAsia="Times New Roman" w:hAnsi="Times New Roman" w:cs="Times New Roman"/>
          <w:color w:val="000000"/>
          <w:sz w:val="20"/>
          <w:szCs w:val="20"/>
          <w:lang w:val="de-DE"/>
        </w:rPr>
        <w:t xml:space="preserve"> (</w:t>
      </w:r>
      <w:r w:rsidRPr="00A73951">
        <w:rPr>
          <w:rFonts w:ascii="Times New Roman" w:eastAsia="Times New Roman" w:hAnsi="Times New Roman" w:cs="Times New Roman"/>
          <w:i/>
          <w:color w:val="000000"/>
          <w:sz w:val="20"/>
          <w:szCs w:val="20"/>
          <w:lang w:val="de-DE"/>
        </w:rPr>
        <w:t>NR</w:t>
      </w:r>
      <w:r>
        <w:rPr>
          <w:rFonts w:ascii="Times New Roman" w:eastAsia="Times New Roman" w:hAnsi="Times New Roman" w:cs="Times New Roman"/>
          <w:color w:val="000000"/>
          <w:sz w:val="20"/>
          <w:szCs w:val="20"/>
          <w:lang w:val="de-DE"/>
        </w:rPr>
        <w:t>, pp. 456-457).</w:t>
      </w:r>
    </w:p>
  </w:footnote>
  <w:footnote w:id="52">
    <w:p w14:paraId="033437F5" w14:textId="180AA919" w:rsidR="00B34CC2" w:rsidRPr="000C64C5" w:rsidRDefault="00B34CC2" w:rsidP="00F721A9">
      <w:pPr>
        <w:pStyle w:val="Testonotaapidipagina"/>
        <w:jc w:val="both"/>
        <w:rPr>
          <w:rFonts w:ascii="Times New Roman" w:hAnsi="Times New Roman" w:cs="Times New Roman"/>
          <w:sz w:val="20"/>
          <w:szCs w:val="20"/>
        </w:rPr>
      </w:pPr>
      <w:r w:rsidRPr="000C64C5">
        <w:rPr>
          <w:rStyle w:val="Rimandonotaapidipagina"/>
          <w:rFonts w:ascii="Times New Roman" w:hAnsi="Times New Roman" w:cs="Times New Roman"/>
          <w:sz w:val="20"/>
          <w:szCs w:val="20"/>
        </w:rPr>
        <w:footnoteRef/>
      </w:r>
      <w:r w:rsidRPr="000C64C5">
        <w:rPr>
          <w:rFonts w:ascii="Times New Roman" w:hAnsi="Times New Roman" w:cs="Times New Roman"/>
          <w:sz w:val="20"/>
          <w:szCs w:val="20"/>
        </w:rPr>
        <w:t xml:space="preserve"> </w:t>
      </w:r>
      <w:r w:rsidRPr="000C64C5">
        <w:rPr>
          <w:rFonts w:ascii="Times New Roman" w:hAnsi="Times New Roman" w:cs="Times New Roman"/>
          <w:i/>
          <w:sz w:val="20"/>
          <w:szCs w:val="20"/>
        </w:rPr>
        <w:t>FS I</w:t>
      </w:r>
      <w:r w:rsidRPr="000C64C5">
        <w:rPr>
          <w:rFonts w:ascii="Times New Roman" w:hAnsi="Times New Roman" w:cs="Times New Roman"/>
          <w:sz w:val="20"/>
          <w:szCs w:val="20"/>
        </w:rPr>
        <w:t>, p. 368.</w:t>
      </w:r>
    </w:p>
  </w:footnote>
  <w:footnote w:id="53">
    <w:p w14:paraId="05537538" w14:textId="7E814DD1" w:rsidR="00B34CC2" w:rsidRPr="008E039F" w:rsidRDefault="00B34CC2" w:rsidP="00F721A9">
      <w:pPr>
        <w:pStyle w:val="Testonotaapidipagina"/>
        <w:jc w:val="both"/>
        <w:rPr>
          <w:rFonts w:ascii="Times New Roman" w:hAnsi="Times New Roman" w:cs="Times New Roman"/>
          <w:sz w:val="20"/>
          <w:szCs w:val="20"/>
        </w:rPr>
      </w:pPr>
      <w:r w:rsidRPr="000C64C5">
        <w:rPr>
          <w:rStyle w:val="Rimandonotaapidipagina"/>
          <w:rFonts w:ascii="Times New Roman" w:hAnsi="Times New Roman" w:cs="Times New Roman"/>
          <w:sz w:val="20"/>
          <w:szCs w:val="20"/>
        </w:rPr>
        <w:footnoteRef/>
      </w:r>
      <w:r w:rsidRPr="000C64C5">
        <w:rPr>
          <w:rFonts w:ascii="Times New Roman" w:hAnsi="Times New Roman" w:cs="Times New Roman"/>
          <w:i/>
          <w:sz w:val="20"/>
          <w:szCs w:val="20"/>
        </w:rPr>
        <w:t xml:space="preserve"> Ivi</w:t>
      </w:r>
      <w:r w:rsidRPr="000C64C5">
        <w:rPr>
          <w:rFonts w:ascii="Times New Roman" w:hAnsi="Times New Roman" w:cs="Times New Roman"/>
          <w:sz w:val="20"/>
          <w:szCs w:val="20"/>
        </w:rPr>
        <w:t>, p</w:t>
      </w:r>
      <w:r>
        <w:rPr>
          <w:rFonts w:ascii="Times New Roman" w:hAnsi="Times New Roman" w:cs="Times New Roman"/>
          <w:sz w:val="20"/>
          <w:szCs w:val="20"/>
        </w:rPr>
        <w:t>p</w:t>
      </w:r>
      <w:r w:rsidRPr="000C64C5">
        <w:rPr>
          <w:rFonts w:ascii="Times New Roman" w:hAnsi="Times New Roman" w:cs="Times New Roman"/>
          <w:sz w:val="20"/>
          <w:szCs w:val="20"/>
        </w:rPr>
        <w:t>. 369</w:t>
      </w:r>
      <w:r>
        <w:rPr>
          <w:rFonts w:ascii="Times New Roman" w:hAnsi="Times New Roman" w:cs="Times New Roman"/>
          <w:sz w:val="20"/>
          <w:szCs w:val="20"/>
        </w:rPr>
        <w:t>-370</w:t>
      </w:r>
      <w:r w:rsidRPr="000C64C5">
        <w:rPr>
          <w:rFonts w:ascii="Times New Roman" w:hAnsi="Times New Roman" w:cs="Times New Roman"/>
          <w:sz w:val="20"/>
          <w:szCs w:val="20"/>
        </w:rPr>
        <w:t>.</w:t>
      </w:r>
    </w:p>
  </w:footnote>
  <w:footnote w:id="54">
    <w:p w14:paraId="6DC49632" w14:textId="30E9313B" w:rsidR="00B34CC2" w:rsidRPr="006F5076" w:rsidRDefault="00B34CC2" w:rsidP="00F721A9">
      <w:pPr>
        <w:pStyle w:val="Testonotaapidipagina"/>
        <w:jc w:val="both"/>
        <w:rPr>
          <w:rFonts w:ascii="Times New Roman" w:hAnsi="Times New Roman" w:cs="Times New Roman"/>
          <w:sz w:val="20"/>
          <w:szCs w:val="20"/>
        </w:rPr>
      </w:pPr>
      <w:r w:rsidRPr="000C64C5">
        <w:rPr>
          <w:rStyle w:val="Rimandonotaapidipagina"/>
          <w:rFonts w:ascii="Times New Roman" w:hAnsi="Times New Roman" w:cs="Times New Roman"/>
          <w:sz w:val="20"/>
          <w:szCs w:val="20"/>
        </w:rPr>
        <w:footnoteRef/>
      </w:r>
      <w:r>
        <w:rPr>
          <w:rFonts w:ascii="Times New Roman" w:hAnsi="Times New Roman" w:cs="Times New Roman"/>
          <w:i/>
          <w:sz w:val="20"/>
          <w:szCs w:val="20"/>
        </w:rPr>
        <w:t>Ivi</w:t>
      </w:r>
      <w:r>
        <w:rPr>
          <w:rFonts w:ascii="Times New Roman" w:hAnsi="Times New Roman" w:cs="Times New Roman"/>
          <w:sz w:val="20"/>
          <w:szCs w:val="20"/>
        </w:rPr>
        <w:t>, p. 368</w:t>
      </w:r>
      <w:r w:rsidRPr="000C64C5">
        <w:rPr>
          <w:rFonts w:ascii="Times New Roman" w:hAnsi="Times New Roman" w:cs="Times New Roman"/>
          <w:sz w:val="20"/>
          <w:szCs w:val="20"/>
        </w:rPr>
        <w:t>:</w:t>
      </w:r>
      <w:r w:rsidRPr="000C64C5">
        <w:rPr>
          <w:rFonts w:ascii="Times New Roman" w:hAnsi="Times New Roman" w:cs="Times New Roman"/>
          <w:i/>
          <w:sz w:val="20"/>
          <w:szCs w:val="20"/>
        </w:rPr>
        <w:t xml:space="preserve"> </w:t>
      </w:r>
      <w:r w:rsidRPr="000C64C5">
        <w:rPr>
          <w:rFonts w:ascii="Times New Roman" w:hAnsi="Times New Roman" w:cs="Times New Roman"/>
          <w:sz w:val="20"/>
          <w:szCs w:val="20"/>
        </w:rPr>
        <w:t>«</w:t>
      </w:r>
      <w:r w:rsidRPr="006F5076">
        <w:rPr>
          <w:rFonts w:ascii="Times New Roman" w:hAnsi="Times New Roman" w:cs="Times New Roman"/>
          <w:sz w:val="20"/>
          <w:szCs w:val="20"/>
          <w:lang w:val="de-DE"/>
        </w:rPr>
        <w:t>Glückliche Kriege, Vermehrung des Reichthums und Bekanntschaft mit mehreren Bequemlichkeiten des Lebens und mit Luxus, erzeugten in Athen und Rom eine Aristokratie des Kriegsruhms und des Reichthums, und [man] gab ihnen eine Herrschaft und Einfluß über viele Menschen, die ihnen, bestochen durch die Taten jener Männer und mehr noch durch den Gebrauch, den sie von ihren Reichtumern machten, gern und freiwillig, eine Übermacht und Gewalt im Staate einräumten</w:t>
      </w:r>
      <w:r w:rsidRPr="003C7D29">
        <w:rPr>
          <w:rFonts w:ascii="Times New Roman" w:hAnsi="Times New Roman" w:cs="Times New Roman"/>
          <w:sz w:val="20"/>
          <w:szCs w:val="20"/>
        </w:rPr>
        <w:t>»</w:t>
      </w:r>
      <w:r>
        <w:rPr>
          <w:rFonts w:ascii="Times New Roman" w:hAnsi="Times New Roman" w:cs="Times New Roman"/>
          <w:sz w:val="20"/>
          <w:szCs w:val="20"/>
        </w:rPr>
        <w:t>.</w:t>
      </w:r>
    </w:p>
  </w:footnote>
  <w:footnote w:id="55">
    <w:p w14:paraId="29C2FD7C" w14:textId="1067D6DB" w:rsidR="00B34CC2" w:rsidRPr="003C7D29" w:rsidRDefault="00B34CC2" w:rsidP="00F721A9">
      <w:pPr>
        <w:pStyle w:val="Testonotaapidipagina"/>
        <w:jc w:val="both"/>
        <w:rPr>
          <w:rFonts w:ascii="Times New Roman" w:hAnsi="Times New Roman" w:cs="Times New Roman"/>
          <w:sz w:val="20"/>
          <w:szCs w:val="20"/>
        </w:rPr>
      </w:pPr>
      <w:r w:rsidRPr="00475977">
        <w:rPr>
          <w:rStyle w:val="Rimandonotaapidipagina"/>
          <w:rFonts w:ascii="Times New Roman" w:hAnsi="Times New Roman" w:cs="Times New Roman"/>
          <w:sz w:val="20"/>
          <w:szCs w:val="20"/>
        </w:rPr>
        <w:footnoteRef/>
      </w:r>
      <w:r w:rsidRPr="00475977">
        <w:rPr>
          <w:rFonts w:ascii="Times New Roman" w:hAnsi="Times New Roman" w:cs="Times New Roman"/>
          <w:sz w:val="20"/>
          <w:szCs w:val="20"/>
        </w:rPr>
        <w:t xml:space="preserve"> </w:t>
      </w:r>
      <w:r>
        <w:rPr>
          <w:rFonts w:ascii="Times New Roman" w:hAnsi="Times New Roman" w:cs="Times New Roman"/>
          <w:i/>
          <w:sz w:val="20"/>
          <w:szCs w:val="20"/>
        </w:rPr>
        <w:t>Ivi</w:t>
      </w:r>
      <w:r>
        <w:rPr>
          <w:rFonts w:ascii="Times New Roman" w:hAnsi="Times New Roman" w:cs="Times New Roman"/>
          <w:sz w:val="20"/>
          <w:szCs w:val="20"/>
        </w:rPr>
        <w:t>, p. 369</w:t>
      </w:r>
      <w:r w:rsidRPr="00475977">
        <w:rPr>
          <w:rFonts w:ascii="Times New Roman" w:hAnsi="Times New Roman" w:cs="Times New Roman"/>
          <w:sz w:val="20"/>
          <w:szCs w:val="20"/>
        </w:rPr>
        <w:t>.</w:t>
      </w:r>
      <w:r w:rsidRPr="003C7D29">
        <w:rPr>
          <w:rFonts w:ascii="Times New Roman" w:hAnsi="Times New Roman" w:cs="Times New Roman"/>
          <w:sz w:val="20"/>
          <w:szCs w:val="20"/>
        </w:rPr>
        <w:t xml:space="preserve"> Sul rapporto Hegel-Montesquieu cfr. J. Hyppolite,</w:t>
      </w:r>
      <w:r w:rsidRPr="003C7D29">
        <w:rPr>
          <w:rFonts w:ascii="Times New Roman" w:hAnsi="Times New Roman" w:cs="Times New Roman"/>
          <w:i/>
          <w:sz w:val="20"/>
          <w:szCs w:val="20"/>
        </w:rPr>
        <w:t xml:space="preserve"> Introduction à la philosophie de l’historie de Hegel</w:t>
      </w:r>
      <w:r w:rsidRPr="003C7D29">
        <w:rPr>
          <w:rFonts w:ascii="Times New Roman" w:hAnsi="Times New Roman" w:cs="Times New Roman"/>
          <w:sz w:val="20"/>
          <w:szCs w:val="20"/>
        </w:rPr>
        <w:t xml:space="preserve">, cit., pp. </w:t>
      </w:r>
      <w:r>
        <w:rPr>
          <w:rFonts w:ascii="Times New Roman" w:hAnsi="Times New Roman" w:cs="Times New Roman"/>
          <w:sz w:val="20"/>
          <w:szCs w:val="20"/>
        </w:rPr>
        <w:t>31-39</w:t>
      </w:r>
      <w:r w:rsidRPr="003C7D29">
        <w:rPr>
          <w:rFonts w:ascii="Times New Roman" w:hAnsi="Times New Roman" w:cs="Times New Roman"/>
          <w:sz w:val="20"/>
          <w:szCs w:val="20"/>
        </w:rPr>
        <w:t xml:space="preserve">; H. Trescher, </w:t>
      </w:r>
      <w:r w:rsidRPr="003C7D29">
        <w:rPr>
          <w:rFonts w:ascii="Times New Roman" w:hAnsi="Times New Roman" w:cs="Times New Roman"/>
          <w:i/>
          <w:iCs/>
          <w:sz w:val="20"/>
          <w:szCs w:val="20"/>
        </w:rPr>
        <w:t>Montesquieus Einfluß  die philosophischen Grundlagender Staatslehre Hegels</w:t>
      </w:r>
      <w:r w:rsidRPr="003C7D29">
        <w:rPr>
          <w:rFonts w:ascii="Times New Roman" w:hAnsi="Times New Roman" w:cs="Times New Roman"/>
          <w:sz w:val="20"/>
          <w:szCs w:val="20"/>
        </w:rPr>
        <w:t>, «Schmollers Jahrbuch», 42 (1918), Heft 2.</w:t>
      </w:r>
      <w:r>
        <w:rPr>
          <w:rFonts w:ascii="Times New Roman" w:hAnsi="Times New Roman" w:cs="Times New Roman"/>
          <w:sz w:val="20"/>
          <w:szCs w:val="20"/>
        </w:rPr>
        <w:t>,</w:t>
      </w:r>
      <w:r w:rsidRPr="003C7D29">
        <w:rPr>
          <w:rFonts w:ascii="Times New Roman" w:hAnsi="Times New Roman" w:cs="Times New Roman"/>
          <w:sz w:val="20"/>
          <w:szCs w:val="20"/>
        </w:rPr>
        <w:t xml:space="preserve"> pp. 471-501; Heft 3. pp. 907-944;</w:t>
      </w:r>
      <w:r>
        <w:rPr>
          <w:rFonts w:ascii="Times New Roman" w:hAnsi="Times New Roman" w:cs="Times New Roman"/>
          <w:sz w:val="20"/>
          <w:szCs w:val="20"/>
        </w:rPr>
        <w:t xml:space="preserve"> </w:t>
      </w:r>
      <w:r w:rsidRPr="003C7D29">
        <w:rPr>
          <w:rFonts w:ascii="Times New Roman" w:hAnsi="Times New Roman" w:cs="Times New Roman"/>
          <w:sz w:val="20"/>
          <w:szCs w:val="20"/>
        </w:rPr>
        <w:t xml:space="preserve">A. Rotolo, </w:t>
      </w:r>
      <w:r w:rsidRPr="003C7D29">
        <w:rPr>
          <w:rFonts w:ascii="Times New Roman" w:hAnsi="Times New Roman" w:cs="Times New Roman"/>
          <w:i/>
          <w:iCs/>
          <w:sz w:val="20"/>
          <w:szCs w:val="20"/>
        </w:rPr>
        <w:t xml:space="preserve">Hegel interprete di Montesquieu. </w:t>
      </w:r>
      <w:r w:rsidRPr="003C7D29">
        <w:rPr>
          <w:rFonts w:ascii="Times New Roman" w:hAnsi="Times New Roman" w:cs="Times New Roman"/>
          <w:i/>
          <w:sz w:val="20"/>
          <w:szCs w:val="20"/>
        </w:rPr>
        <w:t>Geist der Gesetze</w:t>
      </w:r>
      <w:r w:rsidRPr="003C7D29">
        <w:rPr>
          <w:rFonts w:ascii="Times New Roman" w:hAnsi="Times New Roman" w:cs="Times New Roman"/>
          <w:sz w:val="20"/>
          <w:szCs w:val="20"/>
        </w:rPr>
        <w:t xml:space="preserve"> </w:t>
      </w:r>
      <w:r w:rsidRPr="003C7D29">
        <w:rPr>
          <w:rFonts w:ascii="Times New Roman" w:hAnsi="Times New Roman" w:cs="Times New Roman"/>
          <w:i/>
          <w:iCs/>
          <w:sz w:val="20"/>
          <w:szCs w:val="20"/>
        </w:rPr>
        <w:t xml:space="preserve">e dominio della politica, </w:t>
      </w:r>
      <w:r w:rsidRPr="003C7D29">
        <w:rPr>
          <w:rFonts w:ascii="Times New Roman" w:hAnsi="Times New Roman" w:cs="Times New Roman"/>
          <w:sz w:val="20"/>
          <w:szCs w:val="20"/>
        </w:rPr>
        <w:t xml:space="preserve">in D. de Felice (ed.), </w:t>
      </w:r>
      <w:r w:rsidRPr="003C7D29">
        <w:rPr>
          <w:rFonts w:ascii="Times New Roman" w:hAnsi="Times New Roman" w:cs="Times New Roman"/>
          <w:i/>
          <w:iCs/>
          <w:sz w:val="20"/>
          <w:szCs w:val="20"/>
        </w:rPr>
        <w:t>Montesquieu e i suoi interpreti</w:t>
      </w:r>
      <w:r>
        <w:rPr>
          <w:rFonts w:ascii="Times New Roman" w:hAnsi="Times New Roman" w:cs="Times New Roman"/>
          <w:sz w:val="20"/>
          <w:szCs w:val="20"/>
        </w:rPr>
        <w:t>, ETS, Pisa 2005,</w:t>
      </w:r>
      <w:r w:rsidRPr="003C7D29">
        <w:rPr>
          <w:rFonts w:ascii="Times New Roman" w:hAnsi="Times New Roman" w:cs="Times New Roman"/>
          <w:sz w:val="20"/>
          <w:szCs w:val="20"/>
        </w:rPr>
        <w:t xml:space="preserve"> pp. 505-549; C. Senigaglia, </w:t>
      </w:r>
      <w:r w:rsidRPr="003C7D29">
        <w:rPr>
          <w:rFonts w:ascii="Times New Roman" w:hAnsi="Times New Roman" w:cs="Times New Roman"/>
          <w:i/>
          <w:iCs/>
          <w:sz w:val="20"/>
          <w:szCs w:val="20"/>
        </w:rPr>
        <w:t>Verfassungseinheit und Gewaltenausgleich: Hegels Auseinandersetzung mit Montesquieu</w:t>
      </w:r>
      <w:r w:rsidRPr="003C7D29">
        <w:rPr>
          <w:rFonts w:ascii="Times New Roman" w:hAnsi="Times New Roman" w:cs="Times New Roman"/>
          <w:sz w:val="20"/>
          <w:szCs w:val="20"/>
        </w:rPr>
        <w:t>, in «</w:t>
      </w:r>
      <w:r w:rsidRPr="0020742C">
        <w:rPr>
          <w:rFonts w:ascii="Times New Roman" w:hAnsi="Times New Roman" w:cs="Times New Roman"/>
          <w:sz w:val="20"/>
          <w:szCs w:val="20"/>
          <w:lang w:val="en-GB"/>
        </w:rPr>
        <w:t>Parliament, Estates and Representation</w:t>
      </w:r>
      <w:r w:rsidRPr="003C7D29">
        <w:rPr>
          <w:rFonts w:ascii="Times New Roman" w:hAnsi="Times New Roman" w:cs="Times New Roman"/>
          <w:sz w:val="20"/>
          <w:szCs w:val="20"/>
        </w:rPr>
        <w:t>», 27 (2007), pp. 37-56.</w:t>
      </w:r>
    </w:p>
  </w:footnote>
  <w:footnote w:id="56">
    <w:p w14:paraId="38833605" w14:textId="2F11AADD" w:rsidR="00B34CC2" w:rsidRPr="002826D2" w:rsidRDefault="00B34CC2" w:rsidP="00F721A9">
      <w:pPr>
        <w:pStyle w:val="Testonotaapidipagina"/>
        <w:jc w:val="both"/>
        <w:rPr>
          <w:rFonts w:ascii="Times New Roman" w:hAnsi="Times New Roman" w:cs="Times New Roman"/>
          <w:sz w:val="20"/>
          <w:szCs w:val="20"/>
        </w:rPr>
      </w:pPr>
      <w:r w:rsidRPr="002826D2">
        <w:rPr>
          <w:rStyle w:val="Rimandonotaapidipagina"/>
          <w:rFonts w:ascii="Times New Roman" w:hAnsi="Times New Roman" w:cs="Times New Roman"/>
          <w:sz w:val="20"/>
          <w:szCs w:val="20"/>
        </w:rPr>
        <w:footnoteRef/>
      </w:r>
      <w:r w:rsidRPr="002826D2">
        <w:rPr>
          <w:rFonts w:ascii="Times New Roman" w:hAnsi="Times New Roman" w:cs="Times New Roman"/>
          <w:sz w:val="20"/>
          <w:szCs w:val="20"/>
        </w:rPr>
        <w:t xml:space="preserve"> </w:t>
      </w:r>
      <w:r w:rsidRPr="002826D2">
        <w:rPr>
          <w:rFonts w:ascii="Times New Roman" w:hAnsi="Times New Roman" w:cs="Times New Roman"/>
          <w:i/>
          <w:sz w:val="20"/>
          <w:szCs w:val="20"/>
        </w:rPr>
        <w:t>Ivi</w:t>
      </w:r>
      <w:r w:rsidRPr="002826D2">
        <w:rPr>
          <w:rFonts w:ascii="Times New Roman" w:hAnsi="Times New Roman" w:cs="Times New Roman"/>
          <w:sz w:val="20"/>
          <w:szCs w:val="20"/>
        </w:rPr>
        <w:t>, p. 374.</w:t>
      </w:r>
    </w:p>
  </w:footnote>
  <w:footnote w:id="57">
    <w:p w14:paraId="1CBC2B98" w14:textId="5A049191" w:rsidR="00B34CC2" w:rsidRPr="00EC5E63" w:rsidRDefault="00B34CC2" w:rsidP="00F721A9">
      <w:pPr>
        <w:pStyle w:val="Testonotaapidipagina"/>
        <w:jc w:val="both"/>
        <w:rPr>
          <w:rFonts w:ascii="Times New Roman" w:hAnsi="Times New Roman" w:cs="Times New Roman"/>
          <w:sz w:val="20"/>
          <w:szCs w:val="20"/>
          <w:highlight w:val="yellow"/>
        </w:rPr>
      </w:pPr>
      <w:r w:rsidRPr="002826D2">
        <w:rPr>
          <w:rStyle w:val="Rimandonotaapidipagina"/>
          <w:rFonts w:ascii="Times New Roman" w:hAnsi="Times New Roman" w:cs="Times New Roman"/>
          <w:sz w:val="20"/>
          <w:szCs w:val="20"/>
        </w:rPr>
        <w:footnoteRef/>
      </w:r>
      <w:r w:rsidRPr="002826D2">
        <w:rPr>
          <w:rFonts w:ascii="Times New Roman" w:hAnsi="Times New Roman" w:cs="Times New Roman"/>
          <w:sz w:val="20"/>
          <w:szCs w:val="20"/>
        </w:rPr>
        <w:t xml:space="preserve"> </w:t>
      </w:r>
      <w:r w:rsidRPr="002826D2">
        <w:rPr>
          <w:rFonts w:ascii="Times New Roman" w:hAnsi="Times New Roman" w:cs="Times New Roman"/>
          <w:i/>
          <w:sz w:val="20"/>
          <w:szCs w:val="20"/>
        </w:rPr>
        <w:t>Ivi</w:t>
      </w:r>
      <w:r w:rsidRPr="002826D2">
        <w:rPr>
          <w:rFonts w:ascii="Times New Roman" w:hAnsi="Times New Roman" w:cs="Times New Roman"/>
          <w:sz w:val="20"/>
          <w:szCs w:val="20"/>
        </w:rPr>
        <w:t>, p. 372.</w:t>
      </w:r>
      <w:r w:rsidRPr="00A732E2">
        <w:rPr>
          <w:rFonts w:ascii="Times New Roman" w:hAnsi="Times New Roman" w:cs="Times New Roman"/>
          <w:sz w:val="20"/>
          <w:szCs w:val="20"/>
        </w:rPr>
        <w:t xml:space="preserve"> </w:t>
      </w:r>
    </w:p>
  </w:footnote>
  <w:footnote w:id="58">
    <w:p w14:paraId="79E12E85" w14:textId="4B8D5B95" w:rsidR="00B34CC2" w:rsidRPr="00D422C9" w:rsidRDefault="00B34CC2" w:rsidP="00F721A9">
      <w:pPr>
        <w:pStyle w:val="Testonotaapidipagina"/>
        <w:jc w:val="both"/>
        <w:rPr>
          <w:rFonts w:ascii="Times New Roman" w:hAnsi="Times New Roman" w:cs="Times New Roman"/>
          <w:sz w:val="20"/>
          <w:szCs w:val="20"/>
        </w:rPr>
      </w:pPr>
      <w:r w:rsidRPr="00D422C9">
        <w:rPr>
          <w:rStyle w:val="Rimandonotaapidipagina"/>
          <w:rFonts w:ascii="Times New Roman" w:hAnsi="Times New Roman" w:cs="Times New Roman"/>
          <w:sz w:val="20"/>
          <w:szCs w:val="20"/>
        </w:rPr>
        <w:footnoteRef/>
      </w:r>
      <w:r w:rsidRPr="00D422C9">
        <w:rPr>
          <w:rFonts w:ascii="Times New Roman" w:hAnsi="Times New Roman" w:cs="Times New Roman"/>
          <w:sz w:val="20"/>
          <w:szCs w:val="20"/>
        </w:rPr>
        <w:t xml:space="preserve"> </w:t>
      </w:r>
      <w:r w:rsidRPr="00D422C9">
        <w:rPr>
          <w:rFonts w:ascii="Times New Roman" w:hAnsi="Times New Roman" w:cs="Times New Roman"/>
          <w:i/>
          <w:sz w:val="20"/>
          <w:szCs w:val="20"/>
        </w:rPr>
        <w:t>Ivi</w:t>
      </w:r>
      <w:r w:rsidRPr="00D422C9">
        <w:rPr>
          <w:rFonts w:ascii="Times New Roman" w:hAnsi="Times New Roman" w:cs="Times New Roman"/>
          <w:sz w:val="20"/>
          <w:szCs w:val="20"/>
        </w:rPr>
        <w:t>, p. 371.</w:t>
      </w:r>
    </w:p>
  </w:footnote>
  <w:footnote w:id="59">
    <w:p w14:paraId="4EC2AF62" w14:textId="77777777" w:rsidR="00B34CC2" w:rsidRPr="00D422C9" w:rsidRDefault="00B34CC2" w:rsidP="00F721A9">
      <w:pPr>
        <w:pStyle w:val="Testonotaapidipagina"/>
        <w:jc w:val="both"/>
        <w:rPr>
          <w:rFonts w:ascii="Times New Roman" w:hAnsi="Times New Roman" w:cs="Times New Roman"/>
          <w:sz w:val="20"/>
          <w:szCs w:val="20"/>
        </w:rPr>
      </w:pPr>
      <w:r w:rsidRPr="00D422C9">
        <w:rPr>
          <w:rStyle w:val="Rimandonotaapidipagina"/>
          <w:rFonts w:ascii="Times New Roman" w:hAnsi="Times New Roman" w:cs="Times New Roman"/>
          <w:sz w:val="20"/>
          <w:szCs w:val="20"/>
        </w:rPr>
        <w:footnoteRef/>
      </w:r>
      <w:r w:rsidRPr="00D422C9">
        <w:rPr>
          <w:rFonts w:ascii="Times New Roman" w:hAnsi="Times New Roman" w:cs="Times New Roman"/>
          <w:i/>
          <w:sz w:val="20"/>
          <w:szCs w:val="20"/>
        </w:rPr>
        <w:t xml:space="preserve"> Ibidem</w:t>
      </w:r>
      <w:r w:rsidRPr="00D422C9">
        <w:rPr>
          <w:rFonts w:ascii="Times New Roman" w:hAnsi="Times New Roman" w:cs="Times New Roman"/>
          <w:sz w:val="20"/>
          <w:szCs w:val="20"/>
        </w:rPr>
        <w:t>.</w:t>
      </w:r>
    </w:p>
  </w:footnote>
  <w:footnote w:id="60">
    <w:p w14:paraId="1DCF213D" w14:textId="6628AC4F" w:rsidR="00B34CC2" w:rsidRPr="00D422C9" w:rsidRDefault="00B34CC2" w:rsidP="00F721A9">
      <w:pPr>
        <w:pStyle w:val="Testonotaapidipagina"/>
        <w:jc w:val="both"/>
        <w:rPr>
          <w:rFonts w:ascii="Times New Roman" w:hAnsi="Times New Roman" w:cs="Times New Roman"/>
          <w:sz w:val="20"/>
          <w:szCs w:val="20"/>
        </w:rPr>
      </w:pPr>
      <w:r w:rsidRPr="00D422C9">
        <w:rPr>
          <w:rStyle w:val="Rimandonotaapidipagina"/>
          <w:rFonts w:ascii="Times New Roman" w:hAnsi="Times New Roman" w:cs="Times New Roman"/>
          <w:sz w:val="20"/>
          <w:szCs w:val="20"/>
        </w:rPr>
        <w:footnoteRef/>
      </w:r>
      <w:r w:rsidRPr="00D422C9">
        <w:rPr>
          <w:rFonts w:ascii="Times New Roman" w:hAnsi="Times New Roman" w:cs="Times New Roman"/>
          <w:sz w:val="20"/>
          <w:szCs w:val="20"/>
        </w:rPr>
        <w:t xml:space="preserve"> </w:t>
      </w:r>
      <w:r w:rsidRPr="00D422C9">
        <w:rPr>
          <w:rFonts w:ascii="Times New Roman" w:hAnsi="Times New Roman" w:cs="Times New Roman"/>
          <w:i/>
          <w:sz w:val="20"/>
          <w:szCs w:val="20"/>
        </w:rPr>
        <w:t>Ivi</w:t>
      </w:r>
      <w:r w:rsidRPr="00D422C9">
        <w:rPr>
          <w:rFonts w:ascii="Times New Roman" w:hAnsi="Times New Roman" w:cs="Times New Roman"/>
          <w:sz w:val="20"/>
          <w:szCs w:val="20"/>
        </w:rPr>
        <w:t>, p. 375.</w:t>
      </w:r>
    </w:p>
  </w:footnote>
  <w:footnote w:id="61">
    <w:p w14:paraId="2E3AE472" w14:textId="6B089F50" w:rsidR="00B34CC2" w:rsidRPr="00D422C9" w:rsidRDefault="00B34CC2" w:rsidP="00F721A9">
      <w:pPr>
        <w:pStyle w:val="Testonotaapidipagina"/>
        <w:jc w:val="both"/>
        <w:rPr>
          <w:rFonts w:ascii="Times New Roman" w:hAnsi="Times New Roman" w:cs="Times New Roman"/>
          <w:sz w:val="20"/>
          <w:szCs w:val="20"/>
          <w:lang w:val="de-DE"/>
        </w:rPr>
      </w:pPr>
      <w:r w:rsidRPr="00D422C9">
        <w:rPr>
          <w:rStyle w:val="Rimandonotaapidipagina"/>
          <w:rFonts w:ascii="Times New Roman" w:hAnsi="Times New Roman" w:cs="Times New Roman"/>
          <w:sz w:val="20"/>
          <w:szCs w:val="20"/>
          <w:lang w:val="de-DE"/>
        </w:rPr>
        <w:footnoteRef/>
      </w:r>
      <w:r w:rsidRPr="00D422C9">
        <w:rPr>
          <w:rFonts w:ascii="Times New Roman" w:hAnsi="Times New Roman" w:cs="Times New Roman"/>
          <w:sz w:val="20"/>
          <w:szCs w:val="20"/>
          <w:lang w:val="de-DE"/>
        </w:rPr>
        <w:t xml:space="preserve"> </w:t>
      </w:r>
      <w:r w:rsidRPr="00D422C9">
        <w:rPr>
          <w:rFonts w:ascii="Times New Roman" w:hAnsi="Times New Roman" w:cs="Times New Roman"/>
          <w:i/>
          <w:sz w:val="20"/>
          <w:szCs w:val="20"/>
          <w:lang w:val="de-DE"/>
        </w:rPr>
        <w:t>Ibidem</w:t>
      </w:r>
      <w:r w:rsidRPr="00D422C9">
        <w:rPr>
          <w:rFonts w:ascii="Times New Roman" w:hAnsi="Times New Roman" w:cs="Times New Roman"/>
          <w:sz w:val="20"/>
          <w:szCs w:val="20"/>
          <w:lang w:val="de-DE"/>
        </w:rPr>
        <w:t>: «Der Geist der Zeit offenbarte sich in der Objectivität seines Gottes, als er, nicht dem Maße nach in die Unendlichkeit hinaus, sondern in eine uns fremde Welt gesetzt wurde</w:t>
      </w:r>
      <w:r w:rsidRPr="00D422C9">
        <w:rPr>
          <w:rFonts w:ascii="Times New Roman" w:eastAsia="Times New Roman" w:hAnsi="Times New Roman" w:cs="Times New Roman"/>
          <w:color w:val="000000"/>
          <w:sz w:val="20"/>
          <w:szCs w:val="20"/>
          <w:lang w:val="de-DE"/>
        </w:rPr>
        <w:t>».</w:t>
      </w:r>
    </w:p>
  </w:footnote>
  <w:footnote w:id="62">
    <w:p w14:paraId="245AC79A" w14:textId="77777777" w:rsidR="00B34CC2" w:rsidRPr="007D0D81" w:rsidRDefault="00B34CC2" w:rsidP="00F721A9">
      <w:pPr>
        <w:pStyle w:val="Testonotaapidipagina"/>
        <w:jc w:val="both"/>
        <w:rPr>
          <w:rFonts w:ascii="Times New Roman" w:hAnsi="Times New Roman" w:cs="Times New Roman"/>
          <w:sz w:val="20"/>
          <w:szCs w:val="20"/>
        </w:rPr>
      </w:pPr>
      <w:r w:rsidRPr="00D422C9">
        <w:rPr>
          <w:rStyle w:val="Rimandonotaapidipagina"/>
          <w:rFonts w:ascii="Times New Roman" w:hAnsi="Times New Roman" w:cs="Times New Roman"/>
          <w:sz w:val="20"/>
          <w:szCs w:val="20"/>
        </w:rPr>
        <w:footnoteRef/>
      </w:r>
      <w:r w:rsidRPr="00D422C9">
        <w:rPr>
          <w:rFonts w:ascii="Times New Roman" w:hAnsi="Times New Roman" w:cs="Times New Roman"/>
          <w:sz w:val="20"/>
          <w:szCs w:val="20"/>
        </w:rPr>
        <w:t xml:space="preserve"> </w:t>
      </w:r>
      <w:r w:rsidRPr="00D422C9">
        <w:rPr>
          <w:rFonts w:ascii="Times New Roman" w:hAnsi="Times New Roman" w:cs="Times New Roman"/>
          <w:i/>
          <w:sz w:val="20"/>
          <w:szCs w:val="20"/>
        </w:rPr>
        <w:t>Ibidem</w:t>
      </w:r>
      <w:r w:rsidRPr="00D422C9">
        <w:rPr>
          <w:rFonts w:ascii="Times New Roman" w:hAnsi="Times New Roman" w:cs="Times New Roman"/>
          <w:sz w:val="20"/>
          <w:szCs w:val="20"/>
        </w:rPr>
        <w:t>.</w:t>
      </w:r>
    </w:p>
  </w:footnote>
  <w:footnote w:id="63">
    <w:p w14:paraId="5A1FED60" w14:textId="136B223A" w:rsidR="00B34CC2" w:rsidRPr="00D27ED3" w:rsidRDefault="00B34CC2" w:rsidP="00F721A9">
      <w:pPr>
        <w:pStyle w:val="Testonotaapidipagina"/>
        <w:jc w:val="both"/>
        <w:rPr>
          <w:rFonts w:ascii="Times New Roman" w:hAnsi="Times New Roman" w:cs="Times New Roman"/>
          <w:sz w:val="20"/>
          <w:szCs w:val="20"/>
        </w:rPr>
      </w:pPr>
      <w:r w:rsidRPr="00D27ED3">
        <w:rPr>
          <w:rStyle w:val="Rimandonotaapidipagina"/>
          <w:rFonts w:ascii="Times New Roman" w:hAnsi="Times New Roman" w:cs="Times New Roman"/>
          <w:sz w:val="20"/>
          <w:szCs w:val="20"/>
        </w:rPr>
        <w:footnoteRef/>
      </w:r>
      <w:r>
        <w:rPr>
          <w:rFonts w:ascii="Times New Roman" w:hAnsi="Times New Roman" w:cs="Times New Roman"/>
          <w:sz w:val="20"/>
          <w:szCs w:val="20"/>
        </w:rPr>
        <w:t xml:space="preserve"> Mi riferisco ai testi 32</w:t>
      </w:r>
      <w:r w:rsidRPr="00D27ED3">
        <w:rPr>
          <w:rFonts w:ascii="Times New Roman" w:hAnsi="Times New Roman" w:cs="Times New Roman"/>
          <w:sz w:val="20"/>
          <w:szCs w:val="20"/>
        </w:rPr>
        <w:t xml:space="preserve"> e 65 (</w:t>
      </w:r>
      <w:r>
        <w:rPr>
          <w:rFonts w:ascii="Times New Roman" w:hAnsi="Times New Roman" w:cs="Times New Roman"/>
          <w:sz w:val="20"/>
          <w:szCs w:val="20"/>
        </w:rPr>
        <w:t xml:space="preserve">quest’ultimo </w:t>
      </w:r>
      <w:r w:rsidRPr="00D27ED3">
        <w:rPr>
          <w:rFonts w:ascii="Times New Roman" w:hAnsi="Times New Roman" w:cs="Times New Roman"/>
          <w:sz w:val="20"/>
          <w:szCs w:val="20"/>
        </w:rPr>
        <w:t xml:space="preserve">definito dal Nohl come </w:t>
      </w:r>
      <w:r w:rsidRPr="00D27ED3">
        <w:rPr>
          <w:rFonts w:ascii="Times New Roman" w:hAnsi="Times New Roman" w:cs="Times New Roman"/>
          <w:i/>
          <w:sz w:val="20"/>
          <w:szCs w:val="20"/>
        </w:rPr>
        <w:t xml:space="preserve">Neufassung </w:t>
      </w:r>
      <w:r w:rsidRPr="00D27ED3">
        <w:rPr>
          <w:rFonts w:ascii="Times New Roman" w:hAnsi="Times New Roman" w:cs="Times New Roman"/>
          <w:sz w:val="20"/>
          <w:szCs w:val="20"/>
        </w:rPr>
        <w:t xml:space="preserve">della </w:t>
      </w:r>
      <w:r w:rsidRPr="00D27ED3">
        <w:rPr>
          <w:rFonts w:ascii="Times New Roman" w:hAnsi="Times New Roman" w:cs="Times New Roman"/>
          <w:i/>
          <w:sz w:val="20"/>
          <w:szCs w:val="20"/>
        </w:rPr>
        <w:t>Positivität der christlichen Religion</w:t>
      </w:r>
      <w:r w:rsidRPr="00D27ED3">
        <w:rPr>
          <w:rFonts w:ascii="Times New Roman" w:hAnsi="Times New Roman" w:cs="Times New Roman"/>
          <w:sz w:val="20"/>
          <w:szCs w:val="20"/>
        </w:rPr>
        <w:t>)</w:t>
      </w:r>
      <w:r>
        <w:rPr>
          <w:rFonts w:ascii="Times New Roman" w:hAnsi="Times New Roman" w:cs="Times New Roman"/>
          <w:sz w:val="20"/>
          <w:szCs w:val="20"/>
        </w:rPr>
        <w:t xml:space="preserve"> della nuova edizione degli </w:t>
      </w:r>
      <w:r w:rsidRPr="00405EC9">
        <w:rPr>
          <w:rFonts w:ascii="Times New Roman" w:hAnsi="Times New Roman" w:cs="Times New Roman"/>
          <w:i/>
          <w:sz w:val="20"/>
          <w:szCs w:val="20"/>
        </w:rPr>
        <w:t>Jugendschriften</w:t>
      </w:r>
      <w:r>
        <w:rPr>
          <w:rFonts w:ascii="Times New Roman" w:hAnsi="Times New Roman" w:cs="Times New Roman"/>
          <w:sz w:val="20"/>
          <w:szCs w:val="20"/>
        </w:rPr>
        <w:t>.</w:t>
      </w:r>
    </w:p>
  </w:footnote>
  <w:footnote w:id="64">
    <w:p w14:paraId="15E250FF" w14:textId="7AAA3B9D" w:rsidR="00B34CC2" w:rsidRPr="00E24BD5" w:rsidRDefault="00B34CC2" w:rsidP="00F721A9">
      <w:pPr>
        <w:pStyle w:val="Testonotaapidipagina"/>
        <w:jc w:val="both"/>
        <w:rPr>
          <w:rFonts w:ascii="Times New Roman" w:hAnsi="Times New Roman" w:cs="Times New Roman"/>
          <w:sz w:val="20"/>
          <w:szCs w:val="20"/>
          <w:lang w:val="de-DE"/>
        </w:rPr>
      </w:pPr>
      <w:r w:rsidRPr="00054EE8">
        <w:rPr>
          <w:rStyle w:val="Rimandonotaapidipagina"/>
          <w:rFonts w:ascii="Times New Roman" w:hAnsi="Times New Roman" w:cs="Times New Roman"/>
          <w:sz w:val="20"/>
          <w:szCs w:val="20"/>
        </w:rPr>
        <w:footnoteRef/>
      </w:r>
      <w:r w:rsidRPr="00054EE8">
        <w:rPr>
          <w:rFonts w:ascii="Times New Roman" w:hAnsi="Times New Roman" w:cs="Times New Roman"/>
          <w:sz w:val="20"/>
          <w:szCs w:val="20"/>
        </w:rPr>
        <w:t xml:space="preserve"> Cfr. </w:t>
      </w:r>
      <w:r w:rsidRPr="00054EE8">
        <w:rPr>
          <w:rFonts w:ascii="Times New Roman" w:hAnsi="Times New Roman" w:cs="Times New Roman"/>
          <w:i/>
          <w:sz w:val="20"/>
          <w:szCs w:val="20"/>
        </w:rPr>
        <w:t>FS I</w:t>
      </w:r>
      <w:r w:rsidRPr="00054EE8">
        <w:rPr>
          <w:rFonts w:ascii="Times New Roman" w:hAnsi="Times New Roman" w:cs="Times New Roman"/>
          <w:sz w:val="20"/>
          <w:szCs w:val="20"/>
        </w:rPr>
        <w:t>, p. 288:</w:t>
      </w:r>
      <w:r>
        <w:rPr>
          <w:rFonts w:ascii="Times New Roman" w:hAnsi="Times New Roman" w:cs="Times New Roman"/>
          <w:sz w:val="20"/>
          <w:szCs w:val="20"/>
        </w:rPr>
        <w:t xml:space="preserve"> </w:t>
      </w:r>
      <w:r w:rsidRPr="00E20572">
        <w:rPr>
          <w:rFonts w:ascii="Times New Roman" w:hAnsi="Times New Roman" w:cs="Times New Roman"/>
          <w:sz w:val="20"/>
          <w:szCs w:val="20"/>
          <w:lang w:val="de-DE"/>
        </w:rPr>
        <w:t>«Man könnte zwischen diesen zwei Arten eine dritte setzen, eine solche, die zwar von einer Seite das positive Prinzip des Glaubens und der Erkenntnis von dem, was Willen Gottes und Pflicht ist, als heilig zur Basis des Glaubens macht, aber für das Wesentliche in demselben nicht die gebotenen darin etwa vorkommenden positiven Lehren und befohlenen Gebräuche, sondern die Tugendgebote hält. Von dieser Art war die Lehre Jesu</w:t>
      </w:r>
      <w:r w:rsidRPr="00E20572">
        <w:rPr>
          <w:rFonts w:ascii="Times New Roman" w:hAnsi="Times New Roman" w:cs="Times New Roman"/>
          <w:sz w:val="20"/>
          <w:szCs w:val="20"/>
        </w:rPr>
        <w:t xml:space="preserve">». Cfr. </w:t>
      </w:r>
      <w:r w:rsidRPr="00E20572">
        <w:rPr>
          <w:rFonts w:ascii="Times New Roman" w:hAnsi="Times New Roman" w:cs="Times New Roman"/>
          <w:i/>
          <w:sz w:val="20"/>
          <w:szCs w:val="20"/>
        </w:rPr>
        <w:t>FS II</w:t>
      </w:r>
      <w:r w:rsidRPr="00E20572">
        <w:rPr>
          <w:rFonts w:ascii="Times New Roman" w:hAnsi="Times New Roman" w:cs="Times New Roman"/>
          <w:sz w:val="20"/>
          <w:szCs w:val="20"/>
        </w:rPr>
        <w:t xml:space="preserve">, p. 367: </w:t>
      </w:r>
      <w:r w:rsidRPr="00E20572">
        <w:rPr>
          <w:rFonts w:ascii="Times New Roman" w:hAnsi="Times New Roman" w:cs="Times New Roman"/>
          <w:sz w:val="20"/>
          <w:szCs w:val="20"/>
          <w:lang w:val="de-DE"/>
        </w:rPr>
        <w:t>«Es ist sehr natürlich zu erwarten, daß die neue Lehre des Jesus von Judenköpfen genommen, so frey sie für sich und mehr nur polemisch war, in etwas positives verwandelt werden mußte».</w:t>
      </w:r>
      <w:r>
        <w:rPr>
          <w:rFonts w:ascii="Times New Roman" w:hAnsi="Times New Roman" w:cs="Times New Roman"/>
          <w:sz w:val="20"/>
          <w:szCs w:val="20"/>
          <w:lang w:val="de-DE"/>
        </w:rPr>
        <w:t xml:space="preserve"> </w:t>
      </w:r>
      <w:r w:rsidRPr="003832FF">
        <w:rPr>
          <w:rFonts w:ascii="Times New Roman" w:hAnsi="Times New Roman" w:cs="Times New Roman"/>
          <w:sz w:val="20"/>
          <w:szCs w:val="20"/>
        </w:rPr>
        <w:t>Su questo tema si veda l’ormai classico</w:t>
      </w:r>
      <w:r w:rsidRPr="003832FF">
        <w:rPr>
          <w:rFonts w:ascii="Times New Roman" w:hAnsi="Times New Roman" w:cs="Times New Roman"/>
          <w:sz w:val="20"/>
          <w:szCs w:val="20"/>
          <w:lang w:val="de-DE"/>
        </w:rPr>
        <w:t xml:space="preserve"> G. della Volpe, </w:t>
      </w:r>
      <w:r w:rsidRPr="003832FF">
        <w:rPr>
          <w:rFonts w:ascii="Times New Roman" w:hAnsi="Times New Roman" w:cs="Times New Roman"/>
          <w:i/>
          <w:sz w:val="20"/>
          <w:szCs w:val="20"/>
          <w:lang w:val="de-DE"/>
        </w:rPr>
        <w:t>Hegel romantico e mistico</w:t>
      </w:r>
      <w:r w:rsidRPr="003832FF">
        <w:rPr>
          <w:rFonts w:ascii="Times New Roman" w:hAnsi="Times New Roman" w:cs="Times New Roman"/>
          <w:sz w:val="20"/>
          <w:szCs w:val="20"/>
          <w:lang w:val="de-DE"/>
        </w:rPr>
        <w:t>, cit., pp. 48-54 e pp. 217-224.</w:t>
      </w:r>
      <w:r>
        <w:rPr>
          <w:rFonts w:ascii="Times New Roman" w:hAnsi="Times New Roman" w:cs="Times New Roman"/>
          <w:sz w:val="20"/>
          <w:szCs w:val="20"/>
          <w:lang w:val="de-DE"/>
        </w:rPr>
        <w:t xml:space="preserve"> </w:t>
      </w:r>
    </w:p>
  </w:footnote>
  <w:footnote w:id="65">
    <w:p w14:paraId="264A074D" w14:textId="77777777" w:rsidR="00B34CC2" w:rsidRPr="00F56E3A" w:rsidRDefault="00B34CC2" w:rsidP="00F721A9">
      <w:pPr>
        <w:jc w:val="both"/>
        <w:rPr>
          <w:rFonts w:ascii="Times New Roman" w:hAnsi="Times New Roman" w:cs="Times New Roman"/>
          <w:sz w:val="20"/>
          <w:szCs w:val="20"/>
        </w:rPr>
      </w:pPr>
      <w:r w:rsidRPr="00F56E3A">
        <w:rPr>
          <w:rStyle w:val="Rimandonotaapidipagina"/>
          <w:rFonts w:ascii="Times New Roman" w:hAnsi="Times New Roman" w:cs="Times New Roman"/>
          <w:sz w:val="20"/>
          <w:szCs w:val="20"/>
        </w:rPr>
        <w:footnoteRef/>
      </w:r>
      <w:r w:rsidRPr="00F56E3A">
        <w:rPr>
          <w:rFonts w:ascii="Times New Roman" w:hAnsi="Times New Roman" w:cs="Times New Roman"/>
          <w:sz w:val="20"/>
          <w:szCs w:val="20"/>
        </w:rPr>
        <w:t xml:space="preserve"> Per un’analisi critica dell’attività editoriale di Nohl</w:t>
      </w:r>
      <w:r>
        <w:rPr>
          <w:rFonts w:ascii="Times New Roman" w:hAnsi="Times New Roman" w:cs="Times New Roman"/>
          <w:sz w:val="20"/>
          <w:szCs w:val="20"/>
        </w:rPr>
        <w:t xml:space="preserve">, nonché per una messa in chiaro dei principi guida della nuova edizione degli </w:t>
      </w:r>
      <w:r w:rsidRPr="009755A4">
        <w:rPr>
          <w:rFonts w:ascii="Times New Roman" w:hAnsi="Times New Roman" w:cs="Times New Roman"/>
          <w:i/>
          <w:sz w:val="20"/>
          <w:szCs w:val="20"/>
          <w:lang w:val="de-DE"/>
        </w:rPr>
        <w:t>Jugendschriften</w:t>
      </w:r>
      <w:r>
        <w:rPr>
          <w:rFonts w:ascii="Times New Roman" w:hAnsi="Times New Roman" w:cs="Times New Roman"/>
          <w:sz w:val="20"/>
          <w:szCs w:val="20"/>
        </w:rPr>
        <w:t>,</w:t>
      </w:r>
      <w:r w:rsidRPr="00F56E3A">
        <w:rPr>
          <w:rFonts w:ascii="Times New Roman" w:hAnsi="Times New Roman" w:cs="Times New Roman"/>
          <w:sz w:val="20"/>
          <w:szCs w:val="20"/>
        </w:rPr>
        <w:t xml:space="preserve"> cfr. W. Jaeschke, </w:t>
      </w:r>
      <w:r w:rsidRPr="00F56E3A">
        <w:rPr>
          <w:rFonts w:ascii="Times New Roman" w:hAnsi="Times New Roman" w:cs="Times New Roman"/>
          <w:i/>
          <w:sz w:val="20"/>
          <w:szCs w:val="20"/>
        </w:rPr>
        <w:t>Hegels Philosophie</w:t>
      </w:r>
      <w:r w:rsidRPr="00F56E3A">
        <w:rPr>
          <w:rFonts w:ascii="Times New Roman" w:hAnsi="Times New Roman" w:cs="Times New Roman"/>
          <w:sz w:val="20"/>
          <w:szCs w:val="20"/>
        </w:rPr>
        <w:t>, Felix Meiner Verlag, Hamburg 2019, pp. 21-29.</w:t>
      </w:r>
      <w:r>
        <w:rPr>
          <w:rFonts w:ascii="Times New Roman" w:hAnsi="Times New Roman" w:cs="Times New Roman"/>
          <w:sz w:val="20"/>
          <w:szCs w:val="20"/>
        </w:rPr>
        <w:t xml:space="preserve"> </w:t>
      </w:r>
    </w:p>
  </w:footnote>
  <w:footnote w:id="66">
    <w:p w14:paraId="0106E573" w14:textId="77777777" w:rsidR="00B34CC2" w:rsidRPr="00016798" w:rsidRDefault="00B34CC2" w:rsidP="00F721A9">
      <w:pPr>
        <w:pStyle w:val="Testonotaapidipagina"/>
        <w:jc w:val="both"/>
        <w:rPr>
          <w:rFonts w:ascii="Times New Roman" w:hAnsi="Times New Roman" w:cs="Times New Roman"/>
          <w:sz w:val="20"/>
          <w:szCs w:val="20"/>
        </w:rPr>
      </w:pPr>
      <w:r w:rsidRPr="00016798">
        <w:rPr>
          <w:rStyle w:val="Rimandonotaapidipagina"/>
          <w:rFonts w:ascii="Times New Roman" w:hAnsi="Times New Roman" w:cs="Times New Roman"/>
          <w:sz w:val="20"/>
          <w:szCs w:val="20"/>
        </w:rPr>
        <w:footnoteRef/>
      </w:r>
      <w:r w:rsidRPr="00016798">
        <w:rPr>
          <w:rFonts w:ascii="Times New Roman" w:hAnsi="Times New Roman" w:cs="Times New Roman"/>
          <w:sz w:val="20"/>
          <w:szCs w:val="20"/>
        </w:rPr>
        <w:t xml:space="preserve"> </w:t>
      </w:r>
      <w:r w:rsidRPr="00016798">
        <w:rPr>
          <w:rFonts w:ascii="Times New Roman" w:hAnsi="Times New Roman" w:cs="Times New Roman"/>
          <w:i/>
          <w:sz w:val="20"/>
          <w:szCs w:val="20"/>
        </w:rPr>
        <w:t>FS II</w:t>
      </w:r>
      <w:r w:rsidRPr="00016798">
        <w:rPr>
          <w:rFonts w:ascii="Times New Roman" w:hAnsi="Times New Roman" w:cs="Times New Roman"/>
          <w:sz w:val="20"/>
          <w:szCs w:val="20"/>
        </w:rPr>
        <w:t>, pp. 331-332.</w:t>
      </w:r>
    </w:p>
  </w:footnote>
  <w:footnote w:id="67">
    <w:p w14:paraId="009D2367" w14:textId="77777777" w:rsidR="00B34CC2" w:rsidRPr="00635489" w:rsidRDefault="00B34CC2" w:rsidP="00F721A9">
      <w:pPr>
        <w:pStyle w:val="Testonotaapidipagina"/>
        <w:jc w:val="both"/>
        <w:rPr>
          <w:rFonts w:ascii="Times New Roman" w:hAnsi="Times New Roman" w:cs="Times New Roman"/>
          <w:sz w:val="20"/>
          <w:szCs w:val="20"/>
        </w:rPr>
      </w:pPr>
      <w:r w:rsidRPr="00635489">
        <w:rPr>
          <w:rStyle w:val="Rimandonotaapidipagina"/>
          <w:rFonts w:ascii="Times New Roman" w:hAnsi="Times New Roman" w:cs="Times New Roman"/>
          <w:sz w:val="20"/>
          <w:szCs w:val="20"/>
        </w:rPr>
        <w:footnoteRef/>
      </w:r>
      <w:r w:rsidRPr="00635489">
        <w:rPr>
          <w:rFonts w:ascii="Times New Roman" w:hAnsi="Times New Roman" w:cs="Times New Roman"/>
          <w:sz w:val="20"/>
          <w:szCs w:val="20"/>
        </w:rPr>
        <w:t xml:space="preserve"> </w:t>
      </w:r>
      <w:r w:rsidRPr="00635489">
        <w:rPr>
          <w:rFonts w:ascii="Times New Roman" w:hAnsi="Times New Roman" w:cs="Times New Roman"/>
          <w:i/>
          <w:sz w:val="20"/>
          <w:szCs w:val="20"/>
        </w:rPr>
        <w:t>Ivi</w:t>
      </w:r>
      <w:r w:rsidRPr="00635489">
        <w:rPr>
          <w:rFonts w:ascii="Times New Roman" w:hAnsi="Times New Roman" w:cs="Times New Roman"/>
          <w:sz w:val="20"/>
          <w:szCs w:val="20"/>
        </w:rPr>
        <w:t>, p. 335</w:t>
      </w:r>
      <w:r>
        <w:rPr>
          <w:rFonts w:ascii="Times New Roman" w:hAnsi="Times New Roman" w:cs="Times New Roman"/>
          <w:sz w:val="20"/>
          <w:szCs w:val="20"/>
        </w:rPr>
        <w:t>.</w:t>
      </w:r>
    </w:p>
  </w:footnote>
  <w:footnote w:id="68">
    <w:p w14:paraId="2763E9DB" w14:textId="77777777" w:rsidR="00B34CC2" w:rsidRPr="00635489" w:rsidRDefault="00B34CC2" w:rsidP="00F721A9">
      <w:pPr>
        <w:pStyle w:val="Testonotaapidipagina"/>
        <w:jc w:val="both"/>
        <w:rPr>
          <w:rFonts w:ascii="Times New Roman" w:hAnsi="Times New Roman" w:cs="Times New Roman"/>
          <w:sz w:val="20"/>
          <w:szCs w:val="20"/>
        </w:rPr>
      </w:pPr>
      <w:r w:rsidRPr="00635489">
        <w:rPr>
          <w:rStyle w:val="Rimandonotaapidipagina"/>
          <w:rFonts w:ascii="Times New Roman" w:hAnsi="Times New Roman" w:cs="Times New Roman"/>
          <w:sz w:val="20"/>
          <w:szCs w:val="20"/>
        </w:rPr>
        <w:footnoteRef/>
      </w:r>
      <w:r>
        <w:rPr>
          <w:rFonts w:ascii="Times New Roman" w:hAnsi="Times New Roman" w:cs="Times New Roman"/>
          <w:i/>
          <w:sz w:val="20"/>
          <w:szCs w:val="20"/>
        </w:rPr>
        <w:t xml:space="preserve"> Ivi</w:t>
      </w:r>
      <w:r>
        <w:rPr>
          <w:rFonts w:ascii="Times New Roman" w:hAnsi="Times New Roman" w:cs="Times New Roman"/>
          <w:sz w:val="20"/>
          <w:szCs w:val="20"/>
        </w:rPr>
        <w:t>, p. 336.</w:t>
      </w:r>
    </w:p>
  </w:footnote>
  <w:footnote w:id="69">
    <w:p w14:paraId="3F0F47D1" w14:textId="77777777" w:rsidR="00B34CC2" w:rsidRPr="00210326" w:rsidRDefault="00B34CC2" w:rsidP="00F721A9">
      <w:pPr>
        <w:pStyle w:val="Testonotaapidipagina"/>
        <w:jc w:val="both"/>
        <w:rPr>
          <w:rFonts w:ascii="Times New Roman" w:hAnsi="Times New Roman" w:cs="Times New Roman"/>
          <w:sz w:val="20"/>
          <w:szCs w:val="20"/>
        </w:rPr>
      </w:pPr>
      <w:r w:rsidRPr="00210326">
        <w:rPr>
          <w:rStyle w:val="Rimandonotaapidipagina"/>
          <w:rFonts w:ascii="Times New Roman" w:hAnsi="Times New Roman" w:cs="Times New Roman"/>
          <w:sz w:val="20"/>
          <w:szCs w:val="20"/>
        </w:rPr>
        <w:footnoteRef/>
      </w:r>
      <w:r w:rsidRPr="00210326">
        <w:rPr>
          <w:rFonts w:ascii="Times New Roman" w:hAnsi="Times New Roman" w:cs="Times New Roman"/>
          <w:sz w:val="20"/>
          <w:szCs w:val="20"/>
        </w:rPr>
        <w:t xml:space="preserve"> </w:t>
      </w:r>
      <w:r w:rsidRPr="00210326">
        <w:rPr>
          <w:rFonts w:ascii="Times New Roman" w:hAnsi="Times New Roman" w:cs="Times New Roman"/>
          <w:i/>
          <w:sz w:val="20"/>
          <w:szCs w:val="20"/>
        </w:rPr>
        <w:t>Ibidem</w:t>
      </w:r>
      <w:r w:rsidRPr="00210326">
        <w:rPr>
          <w:rFonts w:ascii="Times New Roman" w:hAnsi="Times New Roman" w:cs="Times New Roman"/>
          <w:sz w:val="20"/>
          <w:szCs w:val="20"/>
        </w:rPr>
        <w:t>.</w:t>
      </w:r>
    </w:p>
  </w:footnote>
  <w:footnote w:id="70">
    <w:p w14:paraId="4842F288" w14:textId="77777777" w:rsidR="00B34CC2" w:rsidRPr="000821B6" w:rsidRDefault="00B34CC2" w:rsidP="00F721A9">
      <w:pPr>
        <w:pStyle w:val="Testonotaapidipagina"/>
        <w:jc w:val="both"/>
        <w:rPr>
          <w:rFonts w:ascii="Times New Roman" w:hAnsi="Times New Roman" w:cs="Times New Roman"/>
          <w:sz w:val="20"/>
          <w:szCs w:val="20"/>
        </w:rPr>
      </w:pPr>
      <w:r w:rsidRPr="000821B6">
        <w:rPr>
          <w:rStyle w:val="Rimandonotaapidipagina"/>
          <w:rFonts w:ascii="Times New Roman" w:hAnsi="Times New Roman" w:cs="Times New Roman"/>
          <w:sz w:val="20"/>
          <w:szCs w:val="20"/>
        </w:rPr>
        <w:footnoteRef/>
      </w:r>
      <w:r w:rsidRPr="000821B6">
        <w:rPr>
          <w:rFonts w:ascii="Times New Roman" w:hAnsi="Times New Roman" w:cs="Times New Roman"/>
          <w:sz w:val="20"/>
          <w:szCs w:val="20"/>
        </w:rPr>
        <w:t xml:space="preserve"> </w:t>
      </w:r>
      <w:r w:rsidRPr="000821B6">
        <w:rPr>
          <w:rFonts w:ascii="Times New Roman" w:hAnsi="Times New Roman" w:cs="Times New Roman"/>
          <w:i/>
          <w:sz w:val="20"/>
          <w:szCs w:val="20"/>
        </w:rPr>
        <w:t>Ivi</w:t>
      </w:r>
      <w:r>
        <w:rPr>
          <w:rFonts w:ascii="Times New Roman" w:hAnsi="Times New Roman" w:cs="Times New Roman"/>
          <w:sz w:val="20"/>
          <w:szCs w:val="20"/>
        </w:rPr>
        <w:t>, p. 333</w:t>
      </w:r>
      <w:r w:rsidRPr="000821B6">
        <w:rPr>
          <w:rFonts w:ascii="Times New Roman" w:hAnsi="Times New Roman" w:cs="Times New Roman"/>
          <w:sz w:val="20"/>
          <w:szCs w:val="20"/>
        </w:rPr>
        <w:t>: «</w:t>
      </w:r>
      <w:r w:rsidRPr="000821B6">
        <w:rPr>
          <w:rFonts w:ascii="Times New Roman" w:hAnsi="Times New Roman" w:cs="Times New Roman"/>
          <w:sz w:val="20"/>
          <w:szCs w:val="20"/>
          <w:lang w:val="de-DE"/>
        </w:rPr>
        <w:t>In jenem baute Noah die zerrissene Welt zusammen, sein gedachtes Ideal machte er zum Seyenden, und ihm dann gegenüber setzte er alles al</w:t>
      </w:r>
      <w:r>
        <w:rPr>
          <w:rFonts w:ascii="Times New Roman" w:hAnsi="Times New Roman" w:cs="Times New Roman"/>
          <w:sz w:val="20"/>
          <w:szCs w:val="20"/>
          <w:lang w:val="de-DE"/>
        </w:rPr>
        <w:t>s Gedachtes, d. h. als b</w:t>
      </w:r>
      <w:r w:rsidRPr="000821B6">
        <w:rPr>
          <w:rFonts w:ascii="Times New Roman" w:hAnsi="Times New Roman" w:cs="Times New Roman"/>
          <w:sz w:val="20"/>
          <w:szCs w:val="20"/>
          <w:lang w:val="de-DE"/>
        </w:rPr>
        <w:t>eherrschtes</w:t>
      </w:r>
      <w:r w:rsidRPr="000821B6">
        <w:rPr>
          <w:rFonts w:ascii="Times New Roman" w:eastAsia="Times New Roman" w:hAnsi="Times New Roman" w:cs="Times New Roman"/>
          <w:color w:val="000000"/>
          <w:sz w:val="20"/>
          <w:szCs w:val="20"/>
          <w:lang w:val="de-DE"/>
        </w:rPr>
        <w:t>».</w:t>
      </w:r>
    </w:p>
  </w:footnote>
  <w:footnote w:id="71">
    <w:p w14:paraId="4B5F2638" w14:textId="77777777" w:rsidR="00B34CC2" w:rsidRPr="00016798" w:rsidRDefault="00B34CC2" w:rsidP="00F721A9">
      <w:pPr>
        <w:pStyle w:val="Testonotaapidipagina"/>
        <w:jc w:val="both"/>
        <w:rPr>
          <w:rFonts w:ascii="Times New Roman" w:hAnsi="Times New Roman" w:cs="Times New Roman"/>
          <w:sz w:val="20"/>
          <w:szCs w:val="20"/>
        </w:rPr>
      </w:pPr>
      <w:r w:rsidRPr="00016798">
        <w:rPr>
          <w:rStyle w:val="Rimandonotaapidipagina"/>
          <w:rFonts w:ascii="Times New Roman" w:hAnsi="Times New Roman" w:cs="Times New Roman"/>
          <w:sz w:val="20"/>
          <w:szCs w:val="20"/>
        </w:rPr>
        <w:footnoteRef/>
      </w:r>
      <w:r>
        <w:rPr>
          <w:rFonts w:ascii="Times New Roman" w:hAnsi="Times New Roman" w:cs="Times New Roman"/>
          <w:i/>
          <w:sz w:val="20"/>
          <w:szCs w:val="20"/>
        </w:rPr>
        <w:t xml:space="preserve"> Ivi</w:t>
      </w:r>
      <w:r>
        <w:rPr>
          <w:rFonts w:ascii="Times New Roman" w:hAnsi="Times New Roman" w:cs="Times New Roman"/>
          <w:sz w:val="20"/>
          <w:szCs w:val="20"/>
        </w:rPr>
        <w:t>, p. 36</w:t>
      </w:r>
      <w:r w:rsidRPr="00016798">
        <w:rPr>
          <w:rFonts w:ascii="Times New Roman" w:hAnsi="Times New Roman" w:cs="Times New Roman"/>
          <w:sz w:val="20"/>
          <w:szCs w:val="20"/>
        </w:rPr>
        <w:t>.</w:t>
      </w:r>
    </w:p>
  </w:footnote>
  <w:footnote w:id="72">
    <w:p w14:paraId="1C4A11E1" w14:textId="6FBDEEBE" w:rsidR="00B34CC2" w:rsidRPr="00D26790" w:rsidRDefault="00B34CC2" w:rsidP="00F721A9">
      <w:pPr>
        <w:pStyle w:val="Testonotaapidipagina"/>
        <w:jc w:val="both"/>
        <w:rPr>
          <w:rFonts w:ascii="Times New Roman" w:hAnsi="Times New Roman" w:cs="Times New Roman"/>
          <w:sz w:val="20"/>
          <w:szCs w:val="20"/>
        </w:rPr>
      </w:pPr>
      <w:r w:rsidRPr="00695DE6">
        <w:rPr>
          <w:rStyle w:val="Rimandonotaapidipagina"/>
          <w:rFonts w:ascii="Times New Roman" w:hAnsi="Times New Roman" w:cs="Times New Roman"/>
          <w:sz w:val="20"/>
          <w:szCs w:val="20"/>
        </w:rPr>
        <w:footnoteRef/>
      </w:r>
      <w:r w:rsidRPr="00695DE6">
        <w:rPr>
          <w:rFonts w:ascii="Times New Roman" w:hAnsi="Times New Roman" w:cs="Times New Roman"/>
          <w:sz w:val="20"/>
          <w:szCs w:val="20"/>
        </w:rPr>
        <w:t xml:space="preserve"> </w:t>
      </w:r>
      <w:r>
        <w:rPr>
          <w:rFonts w:ascii="Times New Roman" w:hAnsi="Times New Roman" w:cs="Times New Roman"/>
          <w:i/>
          <w:sz w:val="20"/>
          <w:szCs w:val="20"/>
        </w:rPr>
        <w:t>Ivi</w:t>
      </w:r>
      <w:r>
        <w:rPr>
          <w:rFonts w:ascii="Times New Roman" w:hAnsi="Times New Roman" w:cs="Times New Roman"/>
          <w:sz w:val="20"/>
          <w:szCs w:val="20"/>
        </w:rPr>
        <w:t>, p. 40: «Er war ein Fremdling  Erden, wie gegen den Boden, so auch gegen die Menschen, unter denen er immer ein Fremder war und blieb</w:t>
      </w:r>
      <w:r w:rsidRPr="000821B6">
        <w:rPr>
          <w:rFonts w:ascii="Times New Roman" w:eastAsia="Times New Roman" w:hAnsi="Times New Roman" w:cs="Times New Roman"/>
          <w:color w:val="000000"/>
          <w:sz w:val="20"/>
          <w:szCs w:val="20"/>
          <w:lang w:val="de-DE"/>
        </w:rPr>
        <w:t>»</w:t>
      </w:r>
      <w:r>
        <w:rPr>
          <w:rFonts w:ascii="Times New Roman" w:eastAsia="Times New Roman" w:hAnsi="Times New Roman" w:cs="Times New Roman"/>
          <w:color w:val="000000"/>
          <w:sz w:val="20"/>
          <w:szCs w:val="20"/>
          <w:lang w:val="de-DE"/>
        </w:rPr>
        <w:t>.</w:t>
      </w:r>
      <w:r>
        <w:rPr>
          <w:rFonts w:ascii="Times New Roman" w:hAnsi="Times New Roman" w:cs="Times New Roman"/>
          <w:sz w:val="20"/>
          <w:szCs w:val="20"/>
        </w:rPr>
        <w:t xml:space="preserve"> Sulla negatività a-dialettica della </w:t>
      </w:r>
      <w:r w:rsidRPr="00695DE6">
        <w:rPr>
          <w:rFonts w:ascii="Times New Roman" w:hAnsi="Times New Roman" w:cs="Times New Roman"/>
          <w:i/>
          <w:sz w:val="20"/>
          <w:szCs w:val="20"/>
        </w:rPr>
        <w:t>Trennung</w:t>
      </w:r>
      <w:r>
        <w:rPr>
          <w:rFonts w:ascii="Times New Roman" w:hAnsi="Times New Roman" w:cs="Times New Roman"/>
          <w:sz w:val="20"/>
          <w:szCs w:val="20"/>
        </w:rPr>
        <w:t xml:space="preserve">, che astrae dalla relazione e perpetua la scissione dei termini opposti, si veda D. Di Cesare, </w:t>
      </w:r>
      <w:r>
        <w:rPr>
          <w:rFonts w:ascii="Times New Roman" w:hAnsi="Times New Roman" w:cs="Times New Roman"/>
          <w:i/>
          <w:sz w:val="20"/>
          <w:szCs w:val="20"/>
        </w:rPr>
        <w:t>Heidegger e gli ebrei. I «Quaderni ner</w:t>
      </w:r>
      <w:r w:rsidRPr="000A41E3">
        <w:rPr>
          <w:rFonts w:ascii="Times New Roman" w:hAnsi="Times New Roman" w:cs="Times New Roman"/>
          <w:i/>
          <w:sz w:val="20"/>
          <w:szCs w:val="20"/>
        </w:rPr>
        <w:t>i</w:t>
      </w:r>
      <w:r w:rsidRPr="000A41E3">
        <w:rPr>
          <w:rFonts w:ascii="Times New Roman" w:eastAsia="Times New Roman" w:hAnsi="Times New Roman" w:cs="Times New Roman"/>
          <w:i/>
          <w:color w:val="000000"/>
          <w:sz w:val="20"/>
          <w:szCs w:val="20"/>
          <w:lang w:val="de-DE"/>
        </w:rPr>
        <w:t>»</w:t>
      </w:r>
      <w:r>
        <w:rPr>
          <w:rFonts w:ascii="Times New Roman" w:eastAsia="Times New Roman" w:hAnsi="Times New Roman" w:cs="Times New Roman"/>
          <w:color w:val="000000"/>
          <w:sz w:val="20"/>
          <w:szCs w:val="20"/>
          <w:lang w:val="de-DE"/>
        </w:rPr>
        <w:t>, Bollati Boringhieri, Torino 2014, pp. 48-60</w:t>
      </w:r>
      <w:r>
        <w:rPr>
          <w:rFonts w:ascii="Times New Roman" w:hAnsi="Times New Roman" w:cs="Times New Roman"/>
          <w:sz w:val="20"/>
          <w:szCs w:val="20"/>
        </w:rPr>
        <w:t xml:space="preserve">; G. Petrarca, </w:t>
      </w:r>
      <w:r>
        <w:rPr>
          <w:rFonts w:ascii="Times New Roman" w:hAnsi="Times New Roman" w:cs="Times New Roman"/>
          <w:i/>
          <w:sz w:val="20"/>
          <w:szCs w:val="20"/>
        </w:rPr>
        <w:t>Del non-Amare. Hegel e l’ebraismo</w:t>
      </w:r>
      <w:r>
        <w:rPr>
          <w:rFonts w:ascii="Times New Roman" w:hAnsi="Times New Roman" w:cs="Times New Roman"/>
          <w:sz w:val="20"/>
          <w:szCs w:val="20"/>
        </w:rPr>
        <w:t xml:space="preserve">, in </w:t>
      </w:r>
      <w:r>
        <w:rPr>
          <w:rFonts w:ascii="Times New Roman" w:hAnsi="Times New Roman" w:cs="Times New Roman"/>
          <w:i/>
          <w:sz w:val="20"/>
          <w:szCs w:val="20"/>
        </w:rPr>
        <w:t>Il giovane Hegel: la dialettica e le sue prospettive</w:t>
      </w:r>
      <w:r>
        <w:rPr>
          <w:rFonts w:ascii="Times New Roman" w:hAnsi="Times New Roman" w:cs="Times New Roman"/>
          <w:sz w:val="20"/>
          <w:szCs w:val="20"/>
        </w:rPr>
        <w:t>, cit., pp. 167-187.</w:t>
      </w:r>
    </w:p>
  </w:footnote>
  <w:footnote w:id="73">
    <w:p w14:paraId="609CAEEA" w14:textId="0F509917" w:rsidR="00B34CC2" w:rsidRPr="00B74376" w:rsidRDefault="00B34CC2" w:rsidP="00F721A9">
      <w:pPr>
        <w:pStyle w:val="Testonotaapidipagina"/>
        <w:jc w:val="both"/>
        <w:rPr>
          <w:rFonts w:ascii="Times New Roman" w:hAnsi="Times New Roman" w:cs="Times New Roman"/>
          <w:sz w:val="20"/>
          <w:szCs w:val="20"/>
        </w:rPr>
      </w:pPr>
      <w:r w:rsidRPr="00B74376">
        <w:rPr>
          <w:rStyle w:val="Rimandonotaapidipagina"/>
          <w:rFonts w:ascii="Times New Roman" w:hAnsi="Times New Roman" w:cs="Times New Roman"/>
          <w:sz w:val="20"/>
          <w:szCs w:val="20"/>
        </w:rPr>
        <w:footnoteRef/>
      </w:r>
      <w:r w:rsidRPr="00B74376">
        <w:rPr>
          <w:rFonts w:ascii="Times New Roman" w:hAnsi="Times New Roman" w:cs="Times New Roman"/>
          <w:sz w:val="20"/>
          <w:szCs w:val="20"/>
        </w:rPr>
        <w:t xml:space="preserve"> </w:t>
      </w:r>
      <w:r w:rsidRPr="00B74376">
        <w:rPr>
          <w:rFonts w:ascii="Times New Roman" w:hAnsi="Times New Roman" w:cs="Times New Roman"/>
          <w:i/>
          <w:sz w:val="20"/>
          <w:szCs w:val="20"/>
        </w:rPr>
        <w:t>Ivi</w:t>
      </w:r>
      <w:r w:rsidRPr="00B74376">
        <w:rPr>
          <w:rFonts w:ascii="Times New Roman" w:hAnsi="Times New Roman" w:cs="Times New Roman"/>
          <w:sz w:val="20"/>
          <w:szCs w:val="20"/>
        </w:rPr>
        <w:t xml:space="preserve">, p. </w:t>
      </w:r>
      <w:r>
        <w:rPr>
          <w:rFonts w:ascii="Times New Roman" w:hAnsi="Times New Roman" w:cs="Times New Roman"/>
          <w:sz w:val="20"/>
          <w:szCs w:val="20"/>
        </w:rPr>
        <w:t>37</w:t>
      </w:r>
      <w:r w:rsidRPr="00B74376">
        <w:rPr>
          <w:rFonts w:ascii="Times New Roman" w:hAnsi="Times New Roman" w:cs="Times New Roman"/>
          <w:sz w:val="20"/>
          <w:szCs w:val="20"/>
        </w:rPr>
        <w:t xml:space="preserve">: </w:t>
      </w:r>
      <w:r w:rsidRPr="00B74376">
        <w:rPr>
          <w:rFonts w:ascii="Times New Roman" w:hAnsi="Times New Roman" w:cs="Times New Roman"/>
          <w:sz w:val="20"/>
          <w:szCs w:val="20"/>
          <w:lang w:val="de-DE"/>
        </w:rPr>
        <w:t>«A</w:t>
      </w:r>
      <w:r>
        <w:rPr>
          <w:rFonts w:ascii="Times New Roman" w:hAnsi="Times New Roman" w:cs="Times New Roman"/>
          <w:sz w:val="20"/>
          <w:szCs w:val="20"/>
          <w:lang w:val="de-DE"/>
        </w:rPr>
        <w:t xml:space="preserve">braham irrte mit seinen Herden </w:t>
      </w:r>
      <w:r w:rsidRPr="00B74376">
        <w:rPr>
          <w:rFonts w:ascii="Times New Roman" w:hAnsi="Times New Roman" w:cs="Times New Roman"/>
          <w:sz w:val="20"/>
          <w:szCs w:val="20"/>
          <w:lang w:val="de-DE"/>
        </w:rPr>
        <w:t>einem grenzenlosen Boden umher, von dem er nicht einzelne Stücke sich durch Bebauung, Verschönerung nähergebracht und so liebgewonnen und als Teil seiner Welt genommen hätte; den Boden weidete nur sein Vieh ab. Das Wasser ruhte in tiefen Brunnen, ohne lebende Bewegung; mühsam war es gegraben, theuer erkt oder erstritten, ein erzwungenes Eigenthum, ein Bedürfnis der Not für ihn und sein Vieh</w:t>
      </w:r>
      <w:r w:rsidRPr="00B74376">
        <w:rPr>
          <w:rFonts w:ascii="Times New Roman" w:eastAsia="Times New Roman" w:hAnsi="Times New Roman" w:cs="Times New Roman"/>
          <w:color w:val="000000"/>
          <w:sz w:val="20"/>
          <w:szCs w:val="20"/>
          <w:lang w:val="de-DE"/>
        </w:rPr>
        <w:t>».</w:t>
      </w:r>
    </w:p>
  </w:footnote>
  <w:footnote w:id="74">
    <w:p w14:paraId="75EF4077" w14:textId="6D7EBC67" w:rsidR="00B34CC2" w:rsidRPr="00B00BFA" w:rsidRDefault="00B34CC2" w:rsidP="00F721A9">
      <w:pPr>
        <w:pStyle w:val="Testonotaapidipagina"/>
        <w:jc w:val="both"/>
        <w:rPr>
          <w:rFonts w:ascii="Times New Roman" w:hAnsi="Times New Roman" w:cs="Times New Roman"/>
          <w:sz w:val="20"/>
          <w:szCs w:val="20"/>
        </w:rPr>
      </w:pPr>
      <w:r w:rsidRPr="00B00BFA">
        <w:rPr>
          <w:rStyle w:val="Rimandonotaapidipagina"/>
          <w:rFonts w:ascii="Times New Roman" w:hAnsi="Times New Roman" w:cs="Times New Roman"/>
          <w:sz w:val="20"/>
          <w:szCs w:val="20"/>
        </w:rPr>
        <w:footnoteRef/>
      </w:r>
      <w:r w:rsidRPr="00B00BFA">
        <w:rPr>
          <w:rFonts w:ascii="Times New Roman" w:hAnsi="Times New Roman" w:cs="Times New Roman"/>
          <w:sz w:val="20"/>
          <w:szCs w:val="20"/>
        </w:rPr>
        <w:t xml:space="preserve"> </w:t>
      </w:r>
      <w:r>
        <w:rPr>
          <w:rFonts w:ascii="Times New Roman" w:hAnsi="Times New Roman" w:cs="Times New Roman"/>
          <w:sz w:val="20"/>
          <w:szCs w:val="20"/>
        </w:rPr>
        <w:t xml:space="preserve">Hegel si riferisce chiaramente alla circoncisone: </w:t>
      </w:r>
      <w:r w:rsidRPr="00B00BFA">
        <w:rPr>
          <w:rFonts w:ascii="Times New Roman" w:hAnsi="Times New Roman" w:cs="Times New Roman"/>
          <w:sz w:val="20"/>
          <w:szCs w:val="20"/>
          <w:lang w:val="de-DE"/>
        </w:rPr>
        <w:t>«Er [Abraham] hielt an seiner Absonderung fest, die er auch durch eine sich und seinen Nachkommen erlegte körperliche Eigenheit fallend machte</w:t>
      </w:r>
      <w:r w:rsidRPr="000821B6">
        <w:rPr>
          <w:rFonts w:ascii="Times New Roman" w:eastAsia="Times New Roman" w:hAnsi="Times New Roman" w:cs="Times New Roman"/>
          <w:color w:val="000000"/>
          <w:sz w:val="20"/>
          <w:szCs w:val="20"/>
          <w:lang w:val="de-DE"/>
        </w:rPr>
        <w:t>»</w:t>
      </w:r>
      <w:r>
        <w:rPr>
          <w:rFonts w:ascii="Times New Roman" w:hAnsi="Times New Roman" w:cs="Times New Roman"/>
          <w:sz w:val="20"/>
          <w:szCs w:val="20"/>
          <w:lang w:val="de-DE"/>
        </w:rPr>
        <w:t xml:space="preserve"> (</w:t>
      </w:r>
      <w:r w:rsidRPr="00B00BFA">
        <w:rPr>
          <w:rFonts w:ascii="Times New Roman" w:hAnsi="Times New Roman" w:cs="Times New Roman"/>
          <w:i/>
          <w:sz w:val="20"/>
          <w:szCs w:val="20"/>
          <w:lang w:val="de-DE"/>
        </w:rPr>
        <w:t>Ivi</w:t>
      </w:r>
      <w:r>
        <w:rPr>
          <w:rFonts w:ascii="Times New Roman" w:hAnsi="Times New Roman" w:cs="Times New Roman"/>
          <w:sz w:val="20"/>
          <w:szCs w:val="20"/>
          <w:lang w:val="de-DE"/>
        </w:rPr>
        <w:t>, pp. 40-41).</w:t>
      </w:r>
    </w:p>
  </w:footnote>
  <w:footnote w:id="75">
    <w:p w14:paraId="7688FFED" w14:textId="77777777" w:rsidR="00B34CC2" w:rsidRDefault="00B34CC2" w:rsidP="00F721A9">
      <w:pPr>
        <w:pStyle w:val="Testonotaapidipagina"/>
        <w:jc w:val="both"/>
      </w:pPr>
      <w:r w:rsidRPr="00F875A1">
        <w:rPr>
          <w:rStyle w:val="Rimandonotaapidipagina"/>
          <w:rFonts w:ascii="Times New Roman" w:hAnsi="Times New Roman" w:cs="Times New Roman"/>
          <w:sz w:val="20"/>
          <w:szCs w:val="20"/>
        </w:rPr>
        <w:footnoteRef/>
      </w:r>
      <w:r>
        <w:t xml:space="preserve"> </w:t>
      </w:r>
      <w:r>
        <w:rPr>
          <w:rFonts w:ascii="Times New Roman" w:hAnsi="Times New Roman" w:cs="Times New Roman"/>
          <w:i/>
          <w:sz w:val="20"/>
          <w:szCs w:val="20"/>
        </w:rPr>
        <w:t>Ibidem</w:t>
      </w:r>
      <w:r>
        <w:rPr>
          <w:rFonts w:ascii="Times New Roman" w:hAnsi="Times New Roman" w:cs="Times New Roman"/>
          <w:sz w:val="20"/>
          <w:szCs w:val="20"/>
        </w:rPr>
        <w:t>.</w:t>
      </w:r>
    </w:p>
  </w:footnote>
  <w:footnote w:id="76">
    <w:p w14:paraId="00CF1A1E" w14:textId="77777777" w:rsidR="00B34CC2" w:rsidRPr="009A5E3E" w:rsidRDefault="00B34CC2" w:rsidP="00F721A9">
      <w:pPr>
        <w:pStyle w:val="Testonotaapidipagina"/>
        <w:jc w:val="both"/>
        <w:rPr>
          <w:rFonts w:ascii="Times New Roman" w:hAnsi="Times New Roman" w:cs="Times New Roman"/>
          <w:sz w:val="20"/>
          <w:szCs w:val="20"/>
        </w:rPr>
      </w:pPr>
      <w:r w:rsidRPr="009A5E3E">
        <w:rPr>
          <w:rStyle w:val="Rimandonotaapidipagina"/>
          <w:rFonts w:ascii="Times New Roman" w:hAnsi="Times New Roman" w:cs="Times New Roman"/>
          <w:sz w:val="20"/>
          <w:szCs w:val="20"/>
        </w:rPr>
        <w:footnoteRef/>
      </w:r>
      <w:r w:rsidRPr="009A5E3E">
        <w:rPr>
          <w:rFonts w:ascii="Times New Roman" w:hAnsi="Times New Roman" w:cs="Times New Roman"/>
          <w:sz w:val="20"/>
          <w:szCs w:val="20"/>
        </w:rPr>
        <w:t xml:space="preserve"> </w:t>
      </w:r>
      <w:r w:rsidRPr="009A5E3E">
        <w:rPr>
          <w:rFonts w:ascii="Times New Roman" w:hAnsi="Times New Roman" w:cs="Times New Roman"/>
          <w:i/>
          <w:sz w:val="20"/>
          <w:szCs w:val="20"/>
        </w:rPr>
        <w:t>Ivi</w:t>
      </w:r>
      <w:r w:rsidRPr="009A5E3E">
        <w:rPr>
          <w:rFonts w:ascii="Times New Roman" w:hAnsi="Times New Roman" w:cs="Times New Roman"/>
          <w:sz w:val="20"/>
          <w:szCs w:val="20"/>
        </w:rPr>
        <w:t>, p. 37.</w:t>
      </w:r>
    </w:p>
  </w:footnote>
  <w:footnote w:id="77">
    <w:p w14:paraId="24299D7C" w14:textId="77777777" w:rsidR="00B34CC2" w:rsidRPr="009A5E3E" w:rsidRDefault="00B34CC2" w:rsidP="00F721A9">
      <w:pPr>
        <w:pStyle w:val="Testonotaapidipagina"/>
        <w:jc w:val="both"/>
        <w:rPr>
          <w:rFonts w:ascii="Times New Roman" w:hAnsi="Times New Roman" w:cs="Times New Roman"/>
          <w:sz w:val="20"/>
          <w:szCs w:val="20"/>
        </w:rPr>
      </w:pPr>
      <w:r w:rsidRPr="009A5E3E">
        <w:rPr>
          <w:rStyle w:val="Rimandonotaapidipagina"/>
          <w:rFonts w:ascii="Times New Roman" w:hAnsi="Times New Roman" w:cs="Times New Roman"/>
          <w:sz w:val="20"/>
          <w:szCs w:val="20"/>
        </w:rPr>
        <w:footnoteRef/>
      </w:r>
      <w:r w:rsidRPr="009A5E3E">
        <w:rPr>
          <w:rFonts w:ascii="Times New Roman" w:hAnsi="Times New Roman" w:cs="Times New Roman"/>
          <w:sz w:val="20"/>
          <w:szCs w:val="20"/>
        </w:rPr>
        <w:t xml:space="preserve"> </w:t>
      </w:r>
      <w:r w:rsidRPr="009A5E3E">
        <w:rPr>
          <w:rFonts w:ascii="Times New Roman" w:hAnsi="Times New Roman" w:cs="Times New Roman"/>
          <w:i/>
          <w:sz w:val="20"/>
          <w:szCs w:val="20"/>
        </w:rPr>
        <w:t>Ivi</w:t>
      </w:r>
      <w:r w:rsidRPr="009A5E3E">
        <w:rPr>
          <w:rFonts w:ascii="Times New Roman" w:hAnsi="Times New Roman" w:cs="Times New Roman"/>
          <w:sz w:val="20"/>
          <w:szCs w:val="20"/>
        </w:rPr>
        <w:t xml:space="preserve">, p. </w:t>
      </w:r>
      <w:r>
        <w:rPr>
          <w:rFonts w:ascii="Times New Roman" w:hAnsi="Times New Roman" w:cs="Times New Roman"/>
          <w:sz w:val="20"/>
          <w:szCs w:val="20"/>
        </w:rPr>
        <w:t>41</w:t>
      </w:r>
      <w:r w:rsidRPr="009A5E3E">
        <w:rPr>
          <w:rFonts w:ascii="Times New Roman" w:hAnsi="Times New Roman" w:cs="Times New Roman"/>
          <w:sz w:val="20"/>
          <w:szCs w:val="20"/>
        </w:rPr>
        <w:t>.</w:t>
      </w:r>
    </w:p>
  </w:footnote>
  <w:footnote w:id="78">
    <w:p w14:paraId="6B8B5472" w14:textId="646FDE08" w:rsidR="00B34CC2" w:rsidRPr="00B43DA6" w:rsidRDefault="00B34CC2" w:rsidP="00F721A9">
      <w:pPr>
        <w:pStyle w:val="Testonotaapidipagina"/>
        <w:jc w:val="both"/>
        <w:rPr>
          <w:rFonts w:ascii="Times New Roman" w:hAnsi="Times New Roman" w:cs="Times New Roman"/>
          <w:sz w:val="20"/>
          <w:szCs w:val="20"/>
        </w:rPr>
      </w:pPr>
      <w:r w:rsidRPr="00B43DA6">
        <w:rPr>
          <w:rStyle w:val="Rimandonotaapidipagina"/>
          <w:rFonts w:ascii="Times New Roman" w:hAnsi="Times New Roman" w:cs="Times New Roman"/>
          <w:sz w:val="20"/>
          <w:szCs w:val="20"/>
        </w:rPr>
        <w:footnoteRef/>
      </w:r>
      <w:r w:rsidRPr="00B43DA6">
        <w:rPr>
          <w:rFonts w:ascii="Times New Roman" w:hAnsi="Times New Roman" w:cs="Times New Roman"/>
          <w:sz w:val="20"/>
          <w:szCs w:val="20"/>
        </w:rPr>
        <w:t xml:space="preserve"> </w:t>
      </w:r>
      <w:r w:rsidRPr="00B43DA6">
        <w:rPr>
          <w:rFonts w:ascii="Times New Roman" w:hAnsi="Times New Roman" w:cs="Times New Roman"/>
          <w:i/>
          <w:sz w:val="20"/>
          <w:szCs w:val="20"/>
        </w:rPr>
        <w:t>Ivi</w:t>
      </w:r>
      <w:r>
        <w:rPr>
          <w:rFonts w:ascii="Times New Roman" w:hAnsi="Times New Roman" w:cs="Times New Roman"/>
          <w:sz w:val="20"/>
          <w:szCs w:val="20"/>
        </w:rPr>
        <w:t>, p. 38</w:t>
      </w:r>
      <w:r w:rsidRPr="00B43DA6">
        <w:rPr>
          <w:rFonts w:ascii="Times New Roman" w:hAnsi="Times New Roman" w:cs="Times New Roman"/>
          <w:sz w:val="20"/>
          <w:szCs w:val="20"/>
        </w:rPr>
        <w:t>.</w:t>
      </w:r>
    </w:p>
  </w:footnote>
  <w:footnote w:id="79">
    <w:p w14:paraId="5B3379CF" w14:textId="77777777" w:rsidR="00B34CC2" w:rsidRPr="00056DB1" w:rsidRDefault="00B34CC2" w:rsidP="00F721A9">
      <w:pPr>
        <w:pStyle w:val="Testonotaapidipagina"/>
        <w:jc w:val="both"/>
        <w:rPr>
          <w:rFonts w:ascii="Times New Roman" w:hAnsi="Times New Roman" w:cs="Times New Roman"/>
          <w:sz w:val="20"/>
          <w:szCs w:val="20"/>
        </w:rPr>
      </w:pPr>
      <w:r w:rsidRPr="00056DB1">
        <w:rPr>
          <w:rStyle w:val="Rimandonotaapidipagina"/>
          <w:rFonts w:ascii="Times New Roman" w:hAnsi="Times New Roman" w:cs="Times New Roman"/>
          <w:sz w:val="20"/>
          <w:szCs w:val="20"/>
        </w:rPr>
        <w:footnoteRef/>
      </w:r>
      <w:r w:rsidRPr="00056DB1">
        <w:rPr>
          <w:rFonts w:ascii="Times New Roman" w:hAnsi="Times New Roman" w:cs="Times New Roman"/>
          <w:sz w:val="20"/>
          <w:szCs w:val="20"/>
        </w:rPr>
        <w:t xml:space="preserve"> </w:t>
      </w:r>
      <w:r w:rsidRPr="00056DB1">
        <w:rPr>
          <w:rFonts w:ascii="Times New Roman" w:hAnsi="Times New Roman" w:cs="Times New Roman"/>
          <w:i/>
          <w:sz w:val="20"/>
          <w:szCs w:val="20"/>
        </w:rPr>
        <w:t>Ivi</w:t>
      </w:r>
      <w:r w:rsidRPr="00056DB1">
        <w:rPr>
          <w:rFonts w:ascii="Times New Roman" w:hAnsi="Times New Roman" w:cs="Times New Roman"/>
          <w:sz w:val="20"/>
          <w:szCs w:val="20"/>
        </w:rPr>
        <w:t>, p. 48.</w:t>
      </w:r>
    </w:p>
  </w:footnote>
  <w:footnote w:id="80">
    <w:p w14:paraId="60D4DB14" w14:textId="59DB7847" w:rsidR="00B34CC2" w:rsidRPr="00B11D76" w:rsidRDefault="00B34CC2" w:rsidP="00F721A9">
      <w:pPr>
        <w:pStyle w:val="Testonotaapidipagina"/>
        <w:jc w:val="both"/>
        <w:rPr>
          <w:rFonts w:ascii="Times New Roman" w:hAnsi="Times New Roman" w:cs="Times New Roman"/>
          <w:sz w:val="20"/>
          <w:szCs w:val="20"/>
          <w:lang w:val="de-DE"/>
        </w:rPr>
      </w:pPr>
      <w:r w:rsidRPr="00B11D76">
        <w:rPr>
          <w:rStyle w:val="Rimandonotaapidipagina"/>
          <w:rFonts w:ascii="Times New Roman" w:hAnsi="Times New Roman" w:cs="Times New Roman"/>
          <w:sz w:val="20"/>
          <w:szCs w:val="20"/>
        </w:rPr>
        <w:footnoteRef/>
      </w:r>
      <w:r w:rsidRPr="00B11D76">
        <w:rPr>
          <w:rFonts w:ascii="Times New Roman" w:hAnsi="Times New Roman" w:cs="Times New Roman"/>
          <w:sz w:val="20"/>
          <w:szCs w:val="20"/>
        </w:rPr>
        <w:t xml:space="preserve"> </w:t>
      </w:r>
      <w:r w:rsidRPr="00B11D76">
        <w:rPr>
          <w:rFonts w:ascii="Times New Roman" w:hAnsi="Times New Roman" w:cs="Times New Roman"/>
          <w:i/>
          <w:sz w:val="20"/>
          <w:szCs w:val="20"/>
        </w:rPr>
        <w:t>Ivi</w:t>
      </w:r>
      <w:r w:rsidRPr="00B11D76">
        <w:rPr>
          <w:rFonts w:ascii="Times New Roman" w:hAnsi="Times New Roman" w:cs="Times New Roman"/>
          <w:sz w:val="20"/>
          <w:szCs w:val="20"/>
        </w:rPr>
        <w:t>, p. 47: «</w:t>
      </w:r>
      <w:r w:rsidRPr="00B11D76">
        <w:rPr>
          <w:rFonts w:ascii="Times New Roman" w:hAnsi="Times New Roman" w:cs="Times New Roman"/>
          <w:sz w:val="20"/>
          <w:szCs w:val="20"/>
          <w:lang w:val="de-DE"/>
        </w:rPr>
        <w:t>Der Befreier seines Volkes wurde auch sein Gesezgeber; – diß konnte nichts anders heissen, als, derjenige der es von einem Joch losgema</w:t>
      </w:r>
      <w:r>
        <w:rPr>
          <w:rFonts w:ascii="Times New Roman" w:hAnsi="Times New Roman" w:cs="Times New Roman"/>
          <w:sz w:val="20"/>
          <w:szCs w:val="20"/>
          <w:lang w:val="de-DE"/>
        </w:rPr>
        <w:t>cht hatte, legte ihm ein anders</w:t>
      </w:r>
      <w:r w:rsidRPr="00B11D76">
        <w:rPr>
          <w:rFonts w:ascii="Times New Roman" w:hAnsi="Times New Roman" w:cs="Times New Roman"/>
          <w:sz w:val="20"/>
          <w:szCs w:val="20"/>
          <w:lang w:val="de-DE"/>
        </w:rPr>
        <w:t>. Er bestimmte die Gesezgebung näher, je nach dem Bedürfnis der vorkommenden Fälle</w:t>
      </w:r>
      <w:r w:rsidRPr="00B43DA6">
        <w:rPr>
          <w:rFonts w:ascii="Times New Roman" w:eastAsia="Times New Roman" w:hAnsi="Times New Roman" w:cs="Times New Roman"/>
          <w:color w:val="000000"/>
          <w:sz w:val="20"/>
          <w:szCs w:val="20"/>
          <w:lang w:val="de-DE"/>
        </w:rPr>
        <w:t>»</w:t>
      </w:r>
      <w:r>
        <w:rPr>
          <w:rFonts w:ascii="Times New Roman" w:eastAsia="Times New Roman" w:hAnsi="Times New Roman" w:cs="Times New Roman"/>
          <w:color w:val="000000"/>
          <w:sz w:val="20"/>
          <w:szCs w:val="20"/>
          <w:lang w:val="de-DE"/>
        </w:rPr>
        <w:t>.</w:t>
      </w:r>
    </w:p>
  </w:footnote>
  <w:footnote w:id="81">
    <w:p w14:paraId="60E58925" w14:textId="77777777" w:rsidR="00B34CC2" w:rsidRPr="0023434B" w:rsidRDefault="00B34CC2" w:rsidP="00F721A9">
      <w:pPr>
        <w:pStyle w:val="Testonotaapidipagina"/>
        <w:jc w:val="both"/>
        <w:rPr>
          <w:rFonts w:ascii="Times New Roman" w:hAnsi="Times New Roman" w:cs="Times New Roman"/>
          <w:sz w:val="20"/>
          <w:szCs w:val="20"/>
        </w:rPr>
      </w:pPr>
      <w:r w:rsidRPr="0023434B">
        <w:rPr>
          <w:rStyle w:val="Rimandonotaapidipagina"/>
          <w:rFonts w:ascii="Times New Roman" w:hAnsi="Times New Roman" w:cs="Times New Roman"/>
          <w:sz w:val="20"/>
          <w:szCs w:val="20"/>
        </w:rPr>
        <w:footnoteRef/>
      </w:r>
      <w:r w:rsidRPr="0023434B">
        <w:rPr>
          <w:rFonts w:ascii="Times New Roman" w:hAnsi="Times New Roman" w:cs="Times New Roman"/>
          <w:sz w:val="20"/>
          <w:szCs w:val="20"/>
        </w:rPr>
        <w:t xml:space="preserve"> </w:t>
      </w:r>
      <w:r w:rsidRPr="0023434B">
        <w:rPr>
          <w:rFonts w:ascii="Times New Roman" w:hAnsi="Times New Roman" w:cs="Times New Roman"/>
          <w:i/>
          <w:sz w:val="20"/>
          <w:szCs w:val="20"/>
        </w:rPr>
        <w:t>Ivi</w:t>
      </w:r>
      <w:r w:rsidRPr="0023434B">
        <w:rPr>
          <w:rFonts w:ascii="Times New Roman" w:hAnsi="Times New Roman" w:cs="Times New Roman"/>
          <w:sz w:val="20"/>
          <w:szCs w:val="20"/>
        </w:rPr>
        <w:t>, p. 63.</w:t>
      </w:r>
    </w:p>
  </w:footnote>
  <w:footnote w:id="82">
    <w:p w14:paraId="60CB4C72" w14:textId="77777777" w:rsidR="00B34CC2" w:rsidRPr="002F070F" w:rsidRDefault="00B34CC2" w:rsidP="00F721A9">
      <w:pPr>
        <w:pStyle w:val="Testonotaapidipagina"/>
        <w:jc w:val="both"/>
        <w:rPr>
          <w:rFonts w:ascii="Times New Roman" w:hAnsi="Times New Roman" w:cs="Times New Roman"/>
          <w:sz w:val="20"/>
          <w:szCs w:val="20"/>
          <w:lang w:val="de-DE"/>
        </w:rPr>
      </w:pPr>
      <w:r w:rsidRPr="002F070F">
        <w:rPr>
          <w:rStyle w:val="Rimandonotaapidipagina"/>
          <w:rFonts w:ascii="Times New Roman" w:hAnsi="Times New Roman" w:cs="Times New Roman"/>
          <w:sz w:val="20"/>
          <w:szCs w:val="20"/>
        </w:rPr>
        <w:footnoteRef/>
      </w:r>
      <w:r w:rsidRPr="002F070F">
        <w:rPr>
          <w:rFonts w:ascii="Times New Roman" w:hAnsi="Times New Roman" w:cs="Times New Roman"/>
          <w:sz w:val="20"/>
          <w:szCs w:val="20"/>
        </w:rPr>
        <w:t xml:space="preserve"> </w:t>
      </w:r>
      <w:r w:rsidRPr="002F070F">
        <w:rPr>
          <w:rFonts w:ascii="Times New Roman" w:hAnsi="Times New Roman" w:cs="Times New Roman"/>
          <w:i/>
          <w:sz w:val="20"/>
          <w:szCs w:val="20"/>
        </w:rPr>
        <w:t>Ivi</w:t>
      </w:r>
      <w:r w:rsidRPr="002F070F">
        <w:rPr>
          <w:rFonts w:ascii="Times New Roman" w:hAnsi="Times New Roman" w:cs="Times New Roman"/>
          <w:sz w:val="20"/>
          <w:szCs w:val="20"/>
        </w:rPr>
        <w:t>, p. 59: «Daß ein Gott ist, steht an der Spitze der Staatsgesezte, und wenn man ein in dieser Form gebotenes eine Wahrheit nennen könnte so liesse sich freilich sagen, welche tiefere Wahrheit gibt es für Knechte, als die daß sie einen Herrn haben</w:t>
      </w:r>
      <w:r w:rsidRPr="002F070F">
        <w:rPr>
          <w:rFonts w:ascii="Times New Roman" w:eastAsia="Times New Roman" w:hAnsi="Times New Roman" w:cs="Times New Roman"/>
          <w:color w:val="000000"/>
          <w:sz w:val="20"/>
          <w:szCs w:val="20"/>
          <w:lang w:val="de-DE"/>
        </w:rPr>
        <w:t>».</w:t>
      </w:r>
    </w:p>
  </w:footnote>
  <w:footnote w:id="83">
    <w:p w14:paraId="7240A2DA" w14:textId="77777777" w:rsidR="00B34CC2" w:rsidRDefault="00B34CC2" w:rsidP="00F721A9">
      <w:pPr>
        <w:pStyle w:val="Testonotaapidipagina"/>
        <w:jc w:val="both"/>
      </w:pPr>
      <w:r w:rsidRPr="002F070F">
        <w:rPr>
          <w:rStyle w:val="Rimandonotaapidipagina"/>
          <w:rFonts w:ascii="Times New Roman" w:hAnsi="Times New Roman" w:cs="Times New Roman"/>
          <w:sz w:val="20"/>
          <w:szCs w:val="20"/>
        </w:rPr>
        <w:footnoteRef/>
      </w:r>
      <w:r w:rsidRPr="002F070F">
        <w:rPr>
          <w:rFonts w:ascii="Times New Roman" w:hAnsi="Times New Roman" w:cs="Times New Roman"/>
          <w:sz w:val="20"/>
          <w:szCs w:val="20"/>
        </w:rPr>
        <w:t xml:space="preserve"> </w:t>
      </w:r>
      <w:r w:rsidRPr="002F070F">
        <w:rPr>
          <w:rFonts w:ascii="Times New Roman" w:hAnsi="Times New Roman" w:cs="Times New Roman"/>
          <w:i/>
          <w:sz w:val="20"/>
          <w:szCs w:val="20"/>
        </w:rPr>
        <w:t>Ivi</w:t>
      </w:r>
      <w:r w:rsidRPr="002F070F">
        <w:rPr>
          <w:rFonts w:ascii="Times New Roman" w:hAnsi="Times New Roman" w:cs="Times New Roman"/>
          <w:sz w:val="20"/>
          <w:szCs w:val="20"/>
        </w:rPr>
        <w:t>, p. 49-51.</w:t>
      </w:r>
    </w:p>
  </w:footnote>
  <w:footnote w:id="84">
    <w:p w14:paraId="34B4858C" w14:textId="77777777" w:rsidR="00B34CC2" w:rsidRPr="00DD1DDD" w:rsidRDefault="00B34CC2" w:rsidP="00F721A9">
      <w:pPr>
        <w:pStyle w:val="Testonotaapidipagina"/>
        <w:jc w:val="both"/>
        <w:rPr>
          <w:rFonts w:ascii="Times New Roman" w:hAnsi="Times New Roman" w:cs="Times New Roman"/>
          <w:sz w:val="20"/>
          <w:szCs w:val="20"/>
        </w:rPr>
      </w:pPr>
      <w:r w:rsidRPr="00DD1DDD">
        <w:rPr>
          <w:rStyle w:val="Rimandonotaapidipagina"/>
          <w:rFonts w:ascii="Times New Roman" w:hAnsi="Times New Roman" w:cs="Times New Roman"/>
          <w:sz w:val="20"/>
          <w:szCs w:val="20"/>
        </w:rPr>
        <w:footnoteRef/>
      </w:r>
      <w:r w:rsidRPr="00DD1DDD">
        <w:rPr>
          <w:rFonts w:ascii="Times New Roman" w:hAnsi="Times New Roman" w:cs="Times New Roman"/>
          <w:sz w:val="20"/>
          <w:szCs w:val="20"/>
        </w:rPr>
        <w:t xml:space="preserve"> </w:t>
      </w:r>
      <w:r w:rsidRPr="00DD1DDD">
        <w:rPr>
          <w:rFonts w:ascii="Times New Roman" w:hAnsi="Times New Roman" w:cs="Times New Roman"/>
          <w:i/>
          <w:sz w:val="20"/>
          <w:szCs w:val="20"/>
        </w:rPr>
        <w:t>Ivi</w:t>
      </w:r>
      <w:r w:rsidRPr="00DD1DDD">
        <w:rPr>
          <w:rFonts w:ascii="Times New Roman" w:hAnsi="Times New Roman" w:cs="Times New Roman"/>
          <w:sz w:val="20"/>
          <w:szCs w:val="20"/>
        </w:rPr>
        <w:t>, p. 366.</w:t>
      </w:r>
    </w:p>
  </w:footnote>
  <w:footnote w:id="85">
    <w:p w14:paraId="0C742B8C" w14:textId="77777777" w:rsidR="00B34CC2" w:rsidRPr="00DD1DDD" w:rsidRDefault="00B34CC2" w:rsidP="00F721A9">
      <w:pPr>
        <w:pStyle w:val="Testonotaapidipagina"/>
        <w:jc w:val="both"/>
        <w:rPr>
          <w:rFonts w:ascii="Times New Roman" w:hAnsi="Times New Roman" w:cs="Times New Roman"/>
          <w:sz w:val="20"/>
          <w:szCs w:val="20"/>
        </w:rPr>
      </w:pPr>
      <w:r w:rsidRPr="00DD1DDD">
        <w:rPr>
          <w:rStyle w:val="Rimandonotaapidipagina"/>
          <w:rFonts w:ascii="Times New Roman" w:hAnsi="Times New Roman" w:cs="Times New Roman"/>
          <w:sz w:val="20"/>
          <w:szCs w:val="20"/>
        </w:rPr>
        <w:footnoteRef/>
      </w:r>
      <w:r w:rsidRPr="00DD1DDD">
        <w:rPr>
          <w:rFonts w:ascii="Times New Roman" w:hAnsi="Times New Roman" w:cs="Times New Roman"/>
          <w:sz w:val="20"/>
          <w:szCs w:val="20"/>
        </w:rPr>
        <w:t xml:space="preserve"> </w:t>
      </w:r>
      <w:r w:rsidRPr="00DD1DDD">
        <w:rPr>
          <w:rFonts w:ascii="Times New Roman" w:hAnsi="Times New Roman" w:cs="Times New Roman"/>
          <w:i/>
          <w:sz w:val="20"/>
          <w:szCs w:val="20"/>
        </w:rPr>
        <w:t>Ivi</w:t>
      </w:r>
      <w:r w:rsidRPr="00DD1DDD">
        <w:rPr>
          <w:rFonts w:ascii="Times New Roman" w:hAnsi="Times New Roman" w:cs="Times New Roman"/>
          <w:sz w:val="20"/>
          <w:szCs w:val="20"/>
        </w:rPr>
        <w:t>, p. 286.</w:t>
      </w:r>
    </w:p>
  </w:footnote>
  <w:footnote w:id="86">
    <w:p w14:paraId="5FB74B9C" w14:textId="0CE23C2A" w:rsidR="00B34CC2" w:rsidRPr="00A34E2B" w:rsidRDefault="00B34CC2" w:rsidP="00F721A9">
      <w:pPr>
        <w:pStyle w:val="Testonotaapidipagina"/>
        <w:jc w:val="both"/>
        <w:rPr>
          <w:rFonts w:ascii="Times New Roman" w:hAnsi="Times New Roman" w:cs="Times New Roman"/>
          <w:i/>
          <w:sz w:val="20"/>
          <w:szCs w:val="20"/>
        </w:rPr>
      </w:pPr>
      <w:r w:rsidRPr="00DD1DDD">
        <w:rPr>
          <w:rStyle w:val="Rimandonotaapidipagina"/>
          <w:rFonts w:ascii="Times New Roman" w:hAnsi="Times New Roman" w:cs="Times New Roman"/>
          <w:sz w:val="20"/>
          <w:szCs w:val="20"/>
        </w:rPr>
        <w:footnoteRef/>
      </w:r>
      <w:r w:rsidRPr="00DD1DDD">
        <w:rPr>
          <w:rFonts w:ascii="Times New Roman" w:hAnsi="Times New Roman" w:cs="Times New Roman"/>
          <w:sz w:val="20"/>
          <w:szCs w:val="20"/>
        </w:rPr>
        <w:t xml:space="preserve"> </w:t>
      </w:r>
      <w:r w:rsidRPr="00817774">
        <w:rPr>
          <w:rFonts w:ascii="Times New Roman" w:hAnsi="Times New Roman" w:cs="Times New Roman"/>
          <w:sz w:val="20"/>
          <w:szCs w:val="20"/>
        </w:rPr>
        <w:t xml:space="preserve">Il </w:t>
      </w:r>
      <w:r w:rsidRPr="00817774">
        <w:rPr>
          <w:rFonts w:ascii="Times New Roman" w:hAnsi="Times New Roman" w:cs="Times New Roman"/>
          <w:i/>
          <w:sz w:val="20"/>
          <w:szCs w:val="20"/>
        </w:rPr>
        <w:t>regno di Dio</w:t>
      </w:r>
      <w:r w:rsidRPr="00817774">
        <w:rPr>
          <w:rFonts w:ascii="Times New Roman" w:hAnsi="Times New Roman" w:cs="Times New Roman"/>
          <w:sz w:val="20"/>
          <w:szCs w:val="20"/>
        </w:rPr>
        <w:t xml:space="preserve"> rappresenta una delle acquisiz</w:t>
      </w:r>
      <w:r>
        <w:rPr>
          <w:rFonts w:ascii="Times New Roman" w:hAnsi="Times New Roman" w:cs="Times New Roman"/>
          <w:sz w:val="20"/>
          <w:szCs w:val="20"/>
        </w:rPr>
        <w:t xml:space="preserve">ioni teoriche più rilevanti degli </w:t>
      </w:r>
      <w:r w:rsidRPr="00A34E2B">
        <w:rPr>
          <w:rFonts w:ascii="Times New Roman" w:hAnsi="Times New Roman" w:cs="Times New Roman"/>
          <w:i/>
          <w:sz w:val="20"/>
          <w:szCs w:val="20"/>
        </w:rPr>
        <w:t>Jugendschriften</w:t>
      </w:r>
      <w:r w:rsidRPr="00817774">
        <w:rPr>
          <w:rFonts w:ascii="Times New Roman" w:hAnsi="Times New Roman" w:cs="Times New Roman"/>
          <w:sz w:val="20"/>
          <w:szCs w:val="20"/>
        </w:rPr>
        <w:t xml:space="preserve">. </w:t>
      </w:r>
      <w:r>
        <w:rPr>
          <w:rFonts w:ascii="Times New Roman" w:hAnsi="Times New Roman" w:cs="Times New Roman"/>
          <w:sz w:val="20"/>
          <w:szCs w:val="20"/>
        </w:rPr>
        <w:t xml:space="preserve">Riguardo alle fonti rielaborate e utilizzate dal nostro autore, si può ricordare </w:t>
      </w:r>
      <w:r w:rsidRPr="00817774">
        <w:rPr>
          <w:rFonts w:ascii="Times New Roman" w:hAnsi="Times New Roman" w:cs="Times New Roman"/>
          <w:sz w:val="20"/>
          <w:szCs w:val="20"/>
        </w:rPr>
        <w:t xml:space="preserve">Gottlob Christian Storr, esponente di punta del </w:t>
      </w:r>
      <w:r w:rsidRPr="00817774">
        <w:rPr>
          <w:rFonts w:ascii="Times New Roman" w:hAnsi="Times New Roman" w:cs="Times New Roman"/>
          <w:i/>
          <w:sz w:val="20"/>
          <w:szCs w:val="20"/>
        </w:rPr>
        <w:t xml:space="preserve">soprannaturalismo biblico </w:t>
      </w:r>
      <w:r w:rsidRPr="00817774">
        <w:rPr>
          <w:rFonts w:ascii="Times New Roman" w:hAnsi="Times New Roman" w:cs="Times New Roman"/>
          <w:sz w:val="20"/>
          <w:szCs w:val="20"/>
        </w:rPr>
        <w:t>a Tubinga, di cui Hegel seguì, fra il 1790 e il 1793,</w:t>
      </w:r>
      <w:r w:rsidRPr="00CD0A7D">
        <w:rPr>
          <w:rFonts w:ascii="Times New Roman" w:hAnsi="Times New Roman" w:cs="Times New Roman"/>
          <w:sz w:val="20"/>
          <w:szCs w:val="20"/>
        </w:rPr>
        <w:t xml:space="preserve"> numerosi corsi sul </w:t>
      </w:r>
      <w:r w:rsidRPr="00CD0A7D">
        <w:rPr>
          <w:rFonts w:ascii="Times New Roman" w:hAnsi="Times New Roman" w:cs="Times New Roman"/>
          <w:i/>
          <w:sz w:val="20"/>
          <w:szCs w:val="20"/>
        </w:rPr>
        <w:t>Nuovo Testamento</w:t>
      </w:r>
      <w:r w:rsidRPr="00CD0A7D">
        <w:rPr>
          <w:rFonts w:ascii="Times New Roman" w:hAnsi="Times New Roman" w:cs="Times New Roman"/>
          <w:sz w:val="20"/>
          <w:szCs w:val="20"/>
        </w:rPr>
        <w:t xml:space="preserve">, in particolare sui </w:t>
      </w:r>
      <w:r w:rsidRPr="00CD0A7D">
        <w:rPr>
          <w:rFonts w:ascii="Times New Roman" w:hAnsi="Times New Roman" w:cs="Times New Roman"/>
          <w:i/>
          <w:sz w:val="20"/>
          <w:szCs w:val="20"/>
        </w:rPr>
        <w:t>Vangeli</w:t>
      </w:r>
      <w:r w:rsidRPr="00CD0A7D">
        <w:rPr>
          <w:rFonts w:ascii="Times New Roman" w:hAnsi="Times New Roman" w:cs="Times New Roman"/>
          <w:sz w:val="20"/>
          <w:szCs w:val="20"/>
        </w:rPr>
        <w:t xml:space="preserve"> di Luca, Matteo e Giovanni e sulle </w:t>
      </w:r>
      <w:r w:rsidRPr="00CD0A7D">
        <w:rPr>
          <w:rFonts w:ascii="Times New Roman" w:hAnsi="Times New Roman" w:cs="Times New Roman"/>
          <w:i/>
          <w:sz w:val="20"/>
          <w:szCs w:val="20"/>
        </w:rPr>
        <w:t>Epistole paoline</w:t>
      </w:r>
      <w:r w:rsidRPr="00CD0A7D">
        <w:rPr>
          <w:rFonts w:ascii="Times New Roman" w:hAnsi="Times New Roman" w:cs="Times New Roman"/>
          <w:sz w:val="20"/>
          <w:szCs w:val="20"/>
        </w:rPr>
        <w:t xml:space="preserve">. Riguardo all’autorità accademica e teologica esercitata da Storr all’interno dello </w:t>
      </w:r>
      <w:r w:rsidRPr="00CD0A7D">
        <w:rPr>
          <w:rFonts w:ascii="Times New Roman" w:hAnsi="Times New Roman" w:cs="Times New Roman"/>
          <w:i/>
          <w:sz w:val="20"/>
          <w:szCs w:val="20"/>
        </w:rPr>
        <w:t>Stift</w:t>
      </w:r>
      <w:r w:rsidRPr="00CD0A7D">
        <w:rPr>
          <w:rFonts w:ascii="Times New Roman" w:hAnsi="Times New Roman" w:cs="Times New Roman"/>
          <w:sz w:val="20"/>
          <w:szCs w:val="20"/>
        </w:rPr>
        <w:t xml:space="preserve">, vedi A. Tassi, </w:t>
      </w:r>
      <w:r w:rsidRPr="00B07383">
        <w:rPr>
          <w:rFonts w:ascii="Times New Roman" w:hAnsi="Times New Roman" w:cs="Times New Roman"/>
          <w:i/>
          <w:sz w:val="20"/>
          <w:szCs w:val="20"/>
        </w:rPr>
        <w:t>G.W.F. Hegel e gli anni si Stuttgart e Tübingen</w:t>
      </w:r>
      <w:r w:rsidRPr="00B07383">
        <w:rPr>
          <w:rFonts w:ascii="Times New Roman" w:hAnsi="Times New Roman" w:cs="Times New Roman"/>
          <w:sz w:val="20"/>
          <w:szCs w:val="20"/>
        </w:rPr>
        <w:t>, Guerini, Milano</w:t>
      </w:r>
      <w:r>
        <w:rPr>
          <w:rFonts w:ascii="Times New Roman" w:hAnsi="Times New Roman" w:cs="Times New Roman"/>
          <w:sz w:val="20"/>
          <w:szCs w:val="20"/>
        </w:rPr>
        <w:t xml:space="preserve"> 1996, </w:t>
      </w:r>
      <w:r w:rsidRPr="00CD0A7D">
        <w:rPr>
          <w:rFonts w:ascii="Times New Roman" w:hAnsi="Times New Roman" w:cs="Times New Roman"/>
          <w:sz w:val="20"/>
          <w:szCs w:val="20"/>
        </w:rPr>
        <w:t xml:space="preserve">pp. 106-127 e </w:t>
      </w:r>
      <w:r w:rsidRPr="00A34E2B">
        <w:rPr>
          <w:rFonts w:ascii="Times New Roman" w:hAnsi="Times New Roman" w:cs="Times New Roman"/>
          <w:sz w:val="20"/>
          <w:szCs w:val="20"/>
        </w:rPr>
        <w:t>S. Achella,</w:t>
      </w:r>
      <w:r w:rsidRPr="00A34E2B">
        <w:rPr>
          <w:rFonts w:ascii="Times New Roman" w:hAnsi="Times New Roman" w:cs="Times New Roman"/>
          <w:i/>
          <w:sz w:val="20"/>
          <w:szCs w:val="20"/>
        </w:rPr>
        <w:t xml:space="preserve"> Tra storia e politica: la religione nel giovane Hegel,</w:t>
      </w:r>
      <w:r w:rsidRPr="00A34E2B">
        <w:rPr>
          <w:rFonts w:ascii="Times New Roman" w:hAnsi="Times New Roman" w:cs="Times New Roman"/>
          <w:sz w:val="20"/>
          <w:szCs w:val="20"/>
        </w:rPr>
        <w:t xml:space="preserve"> Editoriale scientifica, Napoli 2005</w:t>
      </w:r>
      <w:r>
        <w:rPr>
          <w:rFonts w:ascii="Times New Roman" w:hAnsi="Times New Roman" w:cs="Times New Roman"/>
          <w:sz w:val="20"/>
          <w:szCs w:val="20"/>
        </w:rPr>
        <w:t>,</w:t>
      </w:r>
      <w:r>
        <w:rPr>
          <w:rFonts w:ascii="Times New Roman" w:hAnsi="Times New Roman" w:cs="Times New Roman"/>
          <w:i/>
          <w:sz w:val="20"/>
          <w:szCs w:val="20"/>
        </w:rPr>
        <w:t xml:space="preserve"> </w:t>
      </w:r>
      <w:r w:rsidRPr="00CD0A7D">
        <w:rPr>
          <w:rFonts w:ascii="Times New Roman" w:hAnsi="Times New Roman" w:cs="Times New Roman"/>
          <w:sz w:val="20"/>
          <w:szCs w:val="20"/>
        </w:rPr>
        <w:t xml:space="preserve">pp. 22-24. Altro </w:t>
      </w:r>
      <w:r>
        <w:rPr>
          <w:rFonts w:ascii="Times New Roman" w:hAnsi="Times New Roman" w:cs="Times New Roman"/>
          <w:sz w:val="20"/>
          <w:szCs w:val="20"/>
        </w:rPr>
        <w:t>autore</w:t>
      </w:r>
      <w:r w:rsidRPr="00CD0A7D">
        <w:rPr>
          <w:rFonts w:ascii="Times New Roman" w:hAnsi="Times New Roman" w:cs="Times New Roman"/>
          <w:sz w:val="20"/>
          <w:szCs w:val="20"/>
        </w:rPr>
        <w:t xml:space="preserve"> da pr</w:t>
      </w:r>
      <w:r>
        <w:rPr>
          <w:rFonts w:ascii="Times New Roman" w:hAnsi="Times New Roman" w:cs="Times New Roman"/>
          <w:sz w:val="20"/>
          <w:szCs w:val="20"/>
        </w:rPr>
        <w:t>endere in considerazione è Kant,</w:t>
      </w:r>
      <w:r w:rsidRPr="00CD0A7D">
        <w:rPr>
          <w:rFonts w:ascii="Times New Roman" w:hAnsi="Times New Roman" w:cs="Times New Roman"/>
          <w:sz w:val="20"/>
          <w:szCs w:val="20"/>
        </w:rPr>
        <w:t xml:space="preserve"> che nel marzo del 1793</w:t>
      </w:r>
      <w:r>
        <w:rPr>
          <w:rFonts w:ascii="Times New Roman" w:hAnsi="Times New Roman" w:cs="Times New Roman"/>
          <w:sz w:val="20"/>
          <w:szCs w:val="20"/>
        </w:rPr>
        <w:t xml:space="preserve"> e nel gennaio del 1794 diede</w:t>
      </w:r>
      <w:r w:rsidRPr="00CD0A7D">
        <w:rPr>
          <w:rFonts w:ascii="Times New Roman" w:hAnsi="Times New Roman" w:cs="Times New Roman"/>
          <w:sz w:val="20"/>
          <w:szCs w:val="20"/>
        </w:rPr>
        <w:t xml:space="preserve"> alle stampe la </w:t>
      </w:r>
      <w:r>
        <w:rPr>
          <w:rFonts w:ascii="Times New Roman" w:hAnsi="Times New Roman" w:cs="Times New Roman"/>
          <w:sz w:val="20"/>
          <w:szCs w:val="20"/>
        </w:rPr>
        <w:t xml:space="preserve">prima e la seconda edizione della </w:t>
      </w:r>
      <w:r w:rsidRPr="00CD0A7D">
        <w:rPr>
          <w:rFonts w:ascii="Times New Roman" w:hAnsi="Times New Roman" w:cs="Times New Roman"/>
          <w:i/>
          <w:sz w:val="20"/>
          <w:szCs w:val="20"/>
        </w:rPr>
        <w:t>Religion innerhalb der Grenzen der blossen Vernunft</w:t>
      </w:r>
      <w:r w:rsidRPr="00CD0A7D">
        <w:rPr>
          <w:rFonts w:ascii="Times New Roman" w:hAnsi="Times New Roman" w:cs="Times New Roman"/>
          <w:sz w:val="20"/>
          <w:szCs w:val="20"/>
        </w:rPr>
        <w:t>. In questo testo, il filosofo di Königsberg aveva tratteggiato una fede morale pura, incentrat</w:t>
      </w:r>
      <w:r>
        <w:rPr>
          <w:rFonts w:ascii="Times New Roman" w:hAnsi="Times New Roman" w:cs="Times New Roman"/>
          <w:sz w:val="20"/>
          <w:szCs w:val="20"/>
        </w:rPr>
        <w:t>a sull’osservanza del dovere, e</w:t>
      </w:r>
      <w:r w:rsidRPr="00CD0A7D">
        <w:rPr>
          <w:rFonts w:ascii="Times New Roman" w:hAnsi="Times New Roman" w:cs="Times New Roman"/>
          <w:sz w:val="20"/>
          <w:szCs w:val="20"/>
        </w:rPr>
        <w:t xml:space="preserve"> aveva intravisto nel regno di Dio l’unità realizzata fra uomo e u</w:t>
      </w:r>
      <w:r>
        <w:rPr>
          <w:rFonts w:ascii="Times New Roman" w:hAnsi="Times New Roman" w:cs="Times New Roman"/>
          <w:sz w:val="20"/>
          <w:szCs w:val="20"/>
        </w:rPr>
        <w:t xml:space="preserve">omo nella pura virtù. Per Kant </w:t>
      </w:r>
      <w:r w:rsidRPr="00CD0A7D">
        <w:rPr>
          <w:rFonts w:ascii="Times New Roman" w:hAnsi="Times New Roman" w:cs="Times New Roman"/>
          <w:sz w:val="20"/>
          <w:szCs w:val="20"/>
        </w:rPr>
        <w:t xml:space="preserve">il regno di Dio non è identificabile con alcuna istituzione mondana e non è contraddistinguibile da nessuna forma di culto esteriore. Cfr. I. Kant, </w:t>
      </w:r>
      <w:r w:rsidRPr="00CD0A7D">
        <w:rPr>
          <w:rFonts w:ascii="Times New Roman" w:hAnsi="Times New Roman" w:cs="Times New Roman"/>
          <w:i/>
          <w:sz w:val="20"/>
          <w:szCs w:val="20"/>
        </w:rPr>
        <w:t>Die Religion innerhalb der Grenzen der blossen Vernunft</w:t>
      </w:r>
      <w:r w:rsidRPr="00CD0A7D">
        <w:rPr>
          <w:rFonts w:ascii="Times New Roman" w:hAnsi="Times New Roman" w:cs="Times New Roman"/>
          <w:sz w:val="20"/>
          <w:szCs w:val="20"/>
        </w:rPr>
        <w:t xml:space="preserve">, in </w:t>
      </w:r>
      <w:r w:rsidRPr="00CD0A7D">
        <w:rPr>
          <w:rFonts w:ascii="Times New Roman" w:hAnsi="Times New Roman" w:cs="Times New Roman"/>
          <w:i/>
          <w:sz w:val="20"/>
          <w:szCs w:val="20"/>
        </w:rPr>
        <w:t>Gesammelte Schriften</w:t>
      </w:r>
      <w:r>
        <w:rPr>
          <w:rFonts w:ascii="Times New Roman" w:hAnsi="Times New Roman" w:cs="Times New Roman"/>
          <w:sz w:val="20"/>
          <w:szCs w:val="20"/>
        </w:rPr>
        <w:t xml:space="preserve">, </w:t>
      </w:r>
      <w:r w:rsidRPr="00CD0A7D">
        <w:rPr>
          <w:rFonts w:ascii="Times New Roman" w:hAnsi="Times New Roman" w:cs="Times New Roman"/>
          <w:sz w:val="20"/>
          <w:szCs w:val="20"/>
        </w:rPr>
        <w:t>hrsg. von der Königlich Preußischen Akademie der Wissensc</w:t>
      </w:r>
      <w:r>
        <w:rPr>
          <w:rFonts w:ascii="Times New Roman" w:hAnsi="Times New Roman" w:cs="Times New Roman"/>
          <w:sz w:val="20"/>
          <w:szCs w:val="20"/>
        </w:rPr>
        <w:t>haften, Berlin 1907, Bd. VI, pp. 136-192</w:t>
      </w:r>
      <w:r w:rsidRPr="00CD0A7D">
        <w:rPr>
          <w:rFonts w:ascii="Times New Roman" w:hAnsi="Times New Roman" w:cs="Times New Roman"/>
          <w:sz w:val="20"/>
          <w:szCs w:val="20"/>
        </w:rPr>
        <w:t>.</w:t>
      </w:r>
      <w:r>
        <w:rPr>
          <w:rFonts w:ascii="Times New Roman" w:hAnsi="Times New Roman" w:cs="Times New Roman"/>
          <w:sz w:val="20"/>
          <w:szCs w:val="20"/>
        </w:rPr>
        <w:t xml:space="preserve"> </w:t>
      </w:r>
    </w:p>
  </w:footnote>
  <w:footnote w:id="87">
    <w:p w14:paraId="15DC90E4" w14:textId="77777777" w:rsidR="00B34CC2" w:rsidRPr="00DD1DDD" w:rsidRDefault="00B34CC2" w:rsidP="00F721A9">
      <w:pPr>
        <w:pStyle w:val="Testonotaapidipagina"/>
        <w:jc w:val="both"/>
        <w:rPr>
          <w:rFonts w:ascii="Times New Roman" w:hAnsi="Times New Roman" w:cs="Times New Roman"/>
          <w:sz w:val="20"/>
          <w:szCs w:val="20"/>
        </w:rPr>
      </w:pPr>
      <w:r w:rsidRPr="00DD1DDD">
        <w:rPr>
          <w:rStyle w:val="Rimandonotaapidipagina"/>
          <w:rFonts w:ascii="Times New Roman" w:hAnsi="Times New Roman" w:cs="Times New Roman"/>
          <w:sz w:val="20"/>
          <w:szCs w:val="20"/>
        </w:rPr>
        <w:footnoteRef/>
      </w:r>
      <w:r w:rsidRPr="00DD1DDD">
        <w:rPr>
          <w:rFonts w:ascii="Times New Roman" w:hAnsi="Times New Roman" w:cs="Times New Roman"/>
          <w:sz w:val="20"/>
          <w:szCs w:val="20"/>
        </w:rPr>
        <w:t xml:space="preserve"> </w:t>
      </w:r>
      <w:r w:rsidRPr="00DD1DDD">
        <w:rPr>
          <w:rFonts w:ascii="Times New Roman" w:hAnsi="Times New Roman" w:cs="Times New Roman"/>
          <w:i/>
          <w:sz w:val="20"/>
          <w:szCs w:val="20"/>
        </w:rPr>
        <w:t>Ivi</w:t>
      </w:r>
      <w:r w:rsidRPr="00DD1DDD">
        <w:rPr>
          <w:rFonts w:ascii="Times New Roman" w:hAnsi="Times New Roman" w:cs="Times New Roman"/>
          <w:sz w:val="20"/>
          <w:szCs w:val="20"/>
        </w:rPr>
        <w:t>, p. 282.</w:t>
      </w:r>
    </w:p>
  </w:footnote>
  <w:footnote w:id="88">
    <w:p w14:paraId="49AF3FE9" w14:textId="39FAC4B5" w:rsidR="00B34CC2" w:rsidRPr="00CC6456" w:rsidRDefault="00B34CC2" w:rsidP="00F721A9">
      <w:pPr>
        <w:pStyle w:val="Testonotaapidipagina"/>
        <w:jc w:val="both"/>
        <w:rPr>
          <w:rFonts w:ascii="Times New Roman" w:hAnsi="Times New Roman" w:cs="Times New Roman"/>
          <w:sz w:val="20"/>
          <w:szCs w:val="20"/>
        </w:rPr>
      </w:pPr>
      <w:r w:rsidRPr="00CC6456">
        <w:rPr>
          <w:rStyle w:val="Rimandonotaapidipagina"/>
          <w:rFonts w:ascii="Times New Roman" w:hAnsi="Times New Roman" w:cs="Times New Roman"/>
          <w:sz w:val="20"/>
          <w:szCs w:val="20"/>
        </w:rPr>
        <w:footnoteRef/>
      </w:r>
      <w:r w:rsidRPr="00CC6456">
        <w:rPr>
          <w:rFonts w:ascii="Times New Roman" w:hAnsi="Times New Roman" w:cs="Times New Roman"/>
          <w:sz w:val="20"/>
          <w:szCs w:val="20"/>
        </w:rPr>
        <w:t xml:space="preserve"> </w:t>
      </w:r>
      <w:r>
        <w:rPr>
          <w:rFonts w:ascii="Times New Roman" w:hAnsi="Times New Roman" w:cs="Times New Roman"/>
          <w:sz w:val="20"/>
          <w:szCs w:val="20"/>
        </w:rPr>
        <w:t>C</w:t>
      </w:r>
      <w:r w:rsidRPr="00CC6456">
        <w:rPr>
          <w:rFonts w:ascii="Times New Roman" w:hAnsi="Times New Roman" w:cs="Times New Roman"/>
          <w:sz w:val="20"/>
          <w:szCs w:val="20"/>
        </w:rPr>
        <w:t xml:space="preserve">he la fede in Gesù </w:t>
      </w:r>
      <w:r>
        <w:rPr>
          <w:rFonts w:ascii="Times New Roman" w:hAnsi="Times New Roman" w:cs="Times New Roman"/>
          <w:sz w:val="20"/>
          <w:szCs w:val="20"/>
        </w:rPr>
        <w:t xml:space="preserve">apra le porte al regno di Dio e determini un legame vivente – divino – all’interno della comunità </w:t>
      </w:r>
      <w:r w:rsidRPr="00CC6456">
        <w:rPr>
          <w:rFonts w:ascii="Times New Roman" w:hAnsi="Times New Roman" w:cs="Times New Roman"/>
          <w:sz w:val="20"/>
          <w:szCs w:val="20"/>
        </w:rPr>
        <w:t xml:space="preserve">cfr. </w:t>
      </w:r>
      <w:r w:rsidRPr="00DD1DDD">
        <w:rPr>
          <w:rFonts w:ascii="Times New Roman" w:hAnsi="Times New Roman" w:cs="Times New Roman"/>
          <w:i/>
          <w:sz w:val="20"/>
          <w:szCs w:val="20"/>
        </w:rPr>
        <w:t>Ivi</w:t>
      </w:r>
      <w:r>
        <w:rPr>
          <w:rFonts w:ascii="Times New Roman" w:hAnsi="Times New Roman" w:cs="Times New Roman"/>
          <w:sz w:val="20"/>
          <w:szCs w:val="20"/>
        </w:rPr>
        <w:t>, p. 125</w:t>
      </w:r>
      <w:r w:rsidRPr="00CC6456">
        <w:rPr>
          <w:rFonts w:ascii="Times New Roman" w:hAnsi="Times New Roman" w:cs="Times New Roman"/>
          <w:sz w:val="20"/>
          <w:szCs w:val="20"/>
        </w:rPr>
        <w:t xml:space="preserve">: </w:t>
      </w:r>
      <w:r w:rsidRPr="00CC6456">
        <w:rPr>
          <w:rFonts w:ascii="Times New Roman" w:hAnsi="Times New Roman" w:cs="Times New Roman"/>
          <w:sz w:val="20"/>
          <w:szCs w:val="20"/>
          <w:lang w:val="de-DE"/>
        </w:rPr>
        <w:t>«Diesen Glauben an ihn fordert Jesus, – Glauben an den Menschensohn; daß der Vater in ihm wohne, und wer an ihn glaube, in dem wohne auch der Vater […] Gott ist die Liebe, die Liebe ist Gott, es gibt keine andere Gottheit als die Liebe</w:t>
      </w:r>
      <w:r w:rsidRPr="00CC6456">
        <w:rPr>
          <w:rFonts w:ascii="Times New Roman" w:eastAsia="Times New Roman" w:hAnsi="Times New Roman" w:cs="Times New Roman"/>
          <w:color w:val="000000"/>
          <w:sz w:val="20"/>
          <w:szCs w:val="20"/>
          <w:lang w:val="de-DE"/>
        </w:rPr>
        <w:t>».</w:t>
      </w:r>
    </w:p>
  </w:footnote>
  <w:footnote w:id="89">
    <w:p w14:paraId="6333B99D" w14:textId="13BC3D45" w:rsidR="00B34CC2" w:rsidRPr="007155CE" w:rsidRDefault="00B34CC2" w:rsidP="00F721A9">
      <w:pPr>
        <w:pStyle w:val="Testonotaapidipagina"/>
        <w:jc w:val="both"/>
        <w:rPr>
          <w:rFonts w:ascii="Times New Roman" w:hAnsi="Times New Roman" w:cs="Times New Roman"/>
          <w:sz w:val="20"/>
          <w:szCs w:val="20"/>
        </w:rPr>
      </w:pPr>
      <w:r w:rsidRPr="00B241EB">
        <w:rPr>
          <w:rStyle w:val="Rimandonotaapidipagina"/>
          <w:rFonts w:ascii="Times New Roman" w:hAnsi="Times New Roman" w:cs="Times New Roman"/>
          <w:sz w:val="20"/>
          <w:szCs w:val="20"/>
        </w:rPr>
        <w:footnoteRef/>
      </w:r>
      <w:r w:rsidRPr="00B241EB">
        <w:rPr>
          <w:rFonts w:ascii="Times New Roman" w:hAnsi="Times New Roman" w:cs="Times New Roman"/>
          <w:sz w:val="20"/>
          <w:szCs w:val="20"/>
        </w:rPr>
        <w:t xml:space="preserve"> </w:t>
      </w:r>
      <w:r w:rsidRPr="008B5009">
        <w:rPr>
          <w:rFonts w:ascii="Times New Roman" w:hAnsi="Times New Roman" w:cs="Times New Roman"/>
          <w:i/>
          <w:sz w:val="20"/>
          <w:szCs w:val="20"/>
        </w:rPr>
        <w:t>Ivi</w:t>
      </w:r>
      <w:r w:rsidRPr="008B5009">
        <w:rPr>
          <w:rFonts w:ascii="Times New Roman" w:hAnsi="Times New Roman" w:cs="Times New Roman"/>
          <w:sz w:val="20"/>
          <w:szCs w:val="20"/>
        </w:rPr>
        <w:t xml:space="preserve">, </w:t>
      </w:r>
      <w:r>
        <w:rPr>
          <w:rFonts w:ascii="Times New Roman" w:hAnsi="Times New Roman" w:cs="Times New Roman"/>
          <w:sz w:val="20"/>
          <w:szCs w:val="20"/>
        </w:rPr>
        <w:t xml:space="preserve">p. 289: </w:t>
      </w:r>
      <w:r w:rsidRPr="00B241EB">
        <w:rPr>
          <w:rFonts w:ascii="Times New Roman" w:hAnsi="Times New Roman" w:cs="Times New Roman"/>
          <w:sz w:val="20"/>
          <w:szCs w:val="20"/>
          <w:lang w:val="de-DE"/>
        </w:rPr>
        <w:t>«</w:t>
      </w:r>
      <w:r>
        <w:rPr>
          <w:rFonts w:ascii="Times New Roman" w:hAnsi="Times New Roman" w:cs="Times New Roman"/>
          <w:sz w:val="20"/>
          <w:szCs w:val="20"/>
          <w:lang w:val="de-DE"/>
        </w:rPr>
        <w:t>Die Gleichgültigkeit der nahme seines rufs verwandelte sich bald in Haß gegen ihn, dessen Wirkung  ihn eine immer steigende Erbitterung gegen sein Zeitalter und sein Volk war, vorzüglich gegen die, in welchen den Geist seiner Nation am stärksten und leidenschaftlichsten wohnte, gegen die Pharisäer und die Führer des Volks; sein Ton gegen sie sind keine Versuche, sie mit sich zu versöhnen, ihrem Geiste etwas anzuhaben, sondern die heftigsten Ausbrüche seiner Erbitterung gegen sie, die Enthüllung ihres ihm feindseligen Geistes; er handelt gegen diesen nicht einmal mit dem Glauben der Möglichkeit einer Änderung</w:t>
      </w:r>
      <w:r w:rsidRPr="00CC6456">
        <w:rPr>
          <w:rFonts w:ascii="Times New Roman" w:eastAsia="Times New Roman" w:hAnsi="Times New Roman" w:cs="Times New Roman"/>
          <w:color w:val="000000"/>
          <w:sz w:val="20"/>
          <w:szCs w:val="20"/>
          <w:lang w:val="de-DE"/>
        </w:rPr>
        <w:t>».</w:t>
      </w:r>
      <w:r>
        <w:rPr>
          <w:rFonts w:ascii="Times New Roman" w:eastAsia="Times New Roman" w:hAnsi="Times New Roman" w:cs="Times New Roman"/>
          <w:color w:val="000000"/>
          <w:sz w:val="20"/>
          <w:szCs w:val="20"/>
          <w:lang w:val="de-DE"/>
        </w:rPr>
        <w:t xml:space="preserve"> Sul collegamento della nozione d’anima bella con la figura di Gesù vedi M. Borghesi, </w:t>
      </w:r>
      <w:r>
        <w:rPr>
          <w:rFonts w:ascii="Times New Roman" w:eastAsia="Times New Roman" w:hAnsi="Times New Roman" w:cs="Times New Roman"/>
          <w:i/>
          <w:color w:val="000000"/>
          <w:sz w:val="20"/>
          <w:szCs w:val="20"/>
          <w:lang w:val="de-DE"/>
        </w:rPr>
        <w:t>Dialettica e malinconia in Hegel</w:t>
      </w:r>
      <w:r>
        <w:rPr>
          <w:rFonts w:ascii="Times New Roman" w:eastAsia="Times New Roman" w:hAnsi="Times New Roman" w:cs="Times New Roman"/>
          <w:color w:val="000000"/>
          <w:sz w:val="20"/>
          <w:szCs w:val="20"/>
          <w:lang w:val="de-DE"/>
        </w:rPr>
        <w:t xml:space="preserve">, </w:t>
      </w:r>
      <w:r>
        <w:rPr>
          <w:rFonts w:ascii="Times New Roman" w:hAnsi="Times New Roman" w:cs="Times New Roman"/>
          <w:sz w:val="20"/>
          <w:szCs w:val="20"/>
        </w:rPr>
        <w:t xml:space="preserve">in </w:t>
      </w:r>
      <w:r>
        <w:rPr>
          <w:rFonts w:ascii="Times New Roman" w:hAnsi="Times New Roman" w:cs="Times New Roman"/>
          <w:i/>
          <w:sz w:val="20"/>
          <w:szCs w:val="20"/>
        </w:rPr>
        <w:t>Il giovane Hegel: la dialettica e le sue prospettive</w:t>
      </w:r>
      <w:r>
        <w:rPr>
          <w:rFonts w:ascii="Times New Roman" w:hAnsi="Times New Roman" w:cs="Times New Roman"/>
          <w:sz w:val="20"/>
          <w:szCs w:val="20"/>
        </w:rPr>
        <w:t>, cit., pp. 23-35.</w:t>
      </w:r>
    </w:p>
  </w:footnote>
  <w:footnote w:id="90">
    <w:p w14:paraId="5264B26C" w14:textId="77777777" w:rsidR="00B34CC2" w:rsidRPr="008B5009" w:rsidRDefault="00B34CC2" w:rsidP="00F721A9">
      <w:pPr>
        <w:pStyle w:val="Testonotaapidipagina"/>
        <w:jc w:val="both"/>
        <w:rPr>
          <w:rFonts w:ascii="Times New Roman" w:hAnsi="Times New Roman" w:cs="Times New Roman"/>
          <w:sz w:val="20"/>
          <w:szCs w:val="20"/>
        </w:rPr>
      </w:pPr>
      <w:r w:rsidRPr="008B5009">
        <w:rPr>
          <w:rStyle w:val="Rimandonotaapidipagina"/>
          <w:rFonts w:ascii="Times New Roman" w:hAnsi="Times New Roman" w:cs="Times New Roman"/>
          <w:sz w:val="20"/>
          <w:szCs w:val="20"/>
        </w:rPr>
        <w:footnoteRef/>
      </w:r>
      <w:r w:rsidRPr="008B5009">
        <w:rPr>
          <w:rFonts w:ascii="Times New Roman" w:hAnsi="Times New Roman" w:cs="Times New Roman"/>
          <w:sz w:val="20"/>
          <w:szCs w:val="20"/>
        </w:rPr>
        <w:t xml:space="preserve"> </w:t>
      </w:r>
      <w:r w:rsidRPr="008B5009">
        <w:rPr>
          <w:rFonts w:ascii="Times New Roman" w:hAnsi="Times New Roman" w:cs="Times New Roman"/>
          <w:i/>
          <w:sz w:val="20"/>
          <w:szCs w:val="20"/>
        </w:rPr>
        <w:t>Ivi</w:t>
      </w:r>
      <w:r w:rsidRPr="008B5009">
        <w:rPr>
          <w:rFonts w:ascii="Times New Roman" w:hAnsi="Times New Roman" w:cs="Times New Roman"/>
          <w:sz w:val="20"/>
          <w:szCs w:val="20"/>
        </w:rPr>
        <w:t xml:space="preserve">, </w:t>
      </w:r>
      <w:r>
        <w:rPr>
          <w:rFonts w:ascii="Times New Roman" w:hAnsi="Times New Roman" w:cs="Times New Roman"/>
          <w:sz w:val="20"/>
          <w:szCs w:val="20"/>
        </w:rPr>
        <w:t>p. 290.</w:t>
      </w:r>
    </w:p>
  </w:footnote>
  <w:footnote w:id="91">
    <w:p w14:paraId="1A603218" w14:textId="77777777" w:rsidR="00B34CC2" w:rsidRPr="008B5009" w:rsidRDefault="00B34CC2" w:rsidP="00F721A9">
      <w:pPr>
        <w:pStyle w:val="Testonotaapidipagina"/>
        <w:jc w:val="both"/>
        <w:rPr>
          <w:rFonts w:ascii="Times New Roman" w:hAnsi="Times New Roman" w:cs="Times New Roman"/>
          <w:sz w:val="20"/>
          <w:szCs w:val="20"/>
        </w:rPr>
      </w:pPr>
      <w:r w:rsidRPr="008B5009">
        <w:rPr>
          <w:rStyle w:val="Rimandonotaapidipagina"/>
          <w:rFonts w:ascii="Times New Roman" w:hAnsi="Times New Roman" w:cs="Times New Roman"/>
          <w:sz w:val="20"/>
          <w:szCs w:val="20"/>
        </w:rPr>
        <w:footnoteRef/>
      </w:r>
      <w:r w:rsidRPr="008B5009">
        <w:rPr>
          <w:rFonts w:ascii="Times New Roman" w:hAnsi="Times New Roman" w:cs="Times New Roman"/>
          <w:sz w:val="20"/>
          <w:szCs w:val="20"/>
        </w:rPr>
        <w:t xml:space="preserve"> </w:t>
      </w:r>
      <w:r w:rsidRPr="008B5009">
        <w:rPr>
          <w:rFonts w:ascii="Times New Roman" w:hAnsi="Times New Roman" w:cs="Times New Roman"/>
          <w:i/>
          <w:sz w:val="20"/>
          <w:szCs w:val="20"/>
        </w:rPr>
        <w:t>Ivi</w:t>
      </w:r>
      <w:r w:rsidRPr="008B5009">
        <w:rPr>
          <w:rFonts w:ascii="Times New Roman" w:hAnsi="Times New Roman" w:cs="Times New Roman"/>
          <w:sz w:val="20"/>
          <w:szCs w:val="20"/>
        </w:rPr>
        <w:t xml:space="preserve">, </w:t>
      </w:r>
      <w:r>
        <w:rPr>
          <w:rFonts w:ascii="Times New Roman" w:hAnsi="Times New Roman" w:cs="Times New Roman"/>
          <w:sz w:val="20"/>
          <w:szCs w:val="20"/>
        </w:rPr>
        <w:t>pp. 294-296.</w:t>
      </w:r>
    </w:p>
  </w:footnote>
  <w:footnote w:id="92">
    <w:p w14:paraId="776E8660" w14:textId="77777777" w:rsidR="00B34CC2" w:rsidRPr="008B5009" w:rsidRDefault="00B34CC2" w:rsidP="00F721A9">
      <w:pPr>
        <w:pStyle w:val="Testonotaapidipagina"/>
        <w:jc w:val="both"/>
        <w:rPr>
          <w:rFonts w:ascii="Times New Roman" w:hAnsi="Times New Roman" w:cs="Times New Roman"/>
          <w:sz w:val="20"/>
          <w:szCs w:val="20"/>
        </w:rPr>
      </w:pPr>
      <w:r w:rsidRPr="008B5009">
        <w:rPr>
          <w:rStyle w:val="Rimandonotaapidipagina"/>
          <w:rFonts w:ascii="Times New Roman" w:hAnsi="Times New Roman" w:cs="Times New Roman"/>
          <w:sz w:val="20"/>
          <w:szCs w:val="20"/>
        </w:rPr>
        <w:footnoteRef/>
      </w:r>
      <w:r w:rsidRPr="008B5009">
        <w:rPr>
          <w:rFonts w:ascii="Times New Roman" w:hAnsi="Times New Roman" w:cs="Times New Roman"/>
          <w:sz w:val="20"/>
          <w:szCs w:val="20"/>
        </w:rPr>
        <w:t xml:space="preserve"> </w:t>
      </w:r>
      <w:r w:rsidRPr="008B5009">
        <w:rPr>
          <w:rFonts w:ascii="Times New Roman" w:hAnsi="Times New Roman" w:cs="Times New Roman"/>
          <w:i/>
          <w:sz w:val="20"/>
          <w:szCs w:val="20"/>
        </w:rPr>
        <w:t>Ivi</w:t>
      </w:r>
      <w:r w:rsidRPr="008B5009">
        <w:rPr>
          <w:rFonts w:ascii="Times New Roman" w:hAnsi="Times New Roman" w:cs="Times New Roman"/>
          <w:sz w:val="20"/>
          <w:szCs w:val="20"/>
        </w:rPr>
        <w:t xml:space="preserve">, </w:t>
      </w:r>
      <w:r>
        <w:rPr>
          <w:rFonts w:ascii="Times New Roman" w:hAnsi="Times New Roman" w:cs="Times New Roman"/>
          <w:sz w:val="20"/>
          <w:szCs w:val="20"/>
        </w:rPr>
        <w:t>pp. 292.</w:t>
      </w:r>
    </w:p>
  </w:footnote>
  <w:footnote w:id="93">
    <w:p w14:paraId="662611E6" w14:textId="77777777" w:rsidR="00B34CC2" w:rsidRPr="00DE37ED" w:rsidRDefault="00B34CC2" w:rsidP="00F721A9">
      <w:pPr>
        <w:pStyle w:val="Testonotaapidipagina"/>
        <w:jc w:val="both"/>
        <w:rPr>
          <w:rFonts w:ascii="Times New Roman" w:hAnsi="Times New Roman" w:cs="Times New Roman"/>
          <w:sz w:val="20"/>
          <w:szCs w:val="20"/>
        </w:rPr>
      </w:pPr>
      <w:r w:rsidRPr="00DE37ED">
        <w:rPr>
          <w:rStyle w:val="Rimandonotaapidipagina"/>
          <w:rFonts w:ascii="Times New Roman" w:hAnsi="Times New Roman" w:cs="Times New Roman"/>
          <w:sz w:val="20"/>
          <w:szCs w:val="20"/>
        </w:rPr>
        <w:footnoteRef/>
      </w:r>
      <w:r>
        <w:rPr>
          <w:rFonts w:ascii="Times New Roman" w:hAnsi="Times New Roman" w:cs="Times New Roman"/>
          <w:sz w:val="20"/>
          <w:szCs w:val="20"/>
        </w:rPr>
        <w:t xml:space="preserve"> Sebbene</w:t>
      </w:r>
      <w:r w:rsidRPr="00DE37ED">
        <w:rPr>
          <w:rFonts w:ascii="Times New Roman" w:hAnsi="Times New Roman" w:cs="Times New Roman"/>
          <w:sz w:val="20"/>
          <w:szCs w:val="20"/>
        </w:rPr>
        <w:t xml:space="preserve"> sia celebre la descrizione hegeliana del destino del popolo ebraico, si riporta, per la bellezza letteraria del passo, la chiusura del </w:t>
      </w:r>
      <w:r w:rsidRPr="00C35BB8">
        <w:rPr>
          <w:rFonts w:ascii="Times New Roman" w:hAnsi="Times New Roman" w:cs="Times New Roman"/>
          <w:i/>
          <w:sz w:val="20"/>
          <w:szCs w:val="20"/>
        </w:rPr>
        <w:t>Text 48</w:t>
      </w:r>
      <w:r w:rsidRPr="00DE37ED">
        <w:rPr>
          <w:rFonts w:ascii="Times New Roman" w:hAnsi="Times New Roman" w:cs="Times New Roman"/>
          <w:sz w:val="20"/>
          <w:szCs w:val="20"/>
        </w:rPr>
        <w:t>: «</w:t>
      </w:r>
      <w:r w:rsidRPr="00DE37ED">
        <w:rPr>
          <w:rFonts w:ascii="Times New Roman" w:hAnsi="Times New Roman" w:cs="Times New Roman"/>
          <w:sz w:val="20"/>
          <w:szCs w:val="20"/>
          <w:lang w:val="de-DE"/>
        </w:rPr>
        <w:t>Das grosse Trauerspiel</w:t>
      </w:r>
      <w:r>
        <w:rPr>
          <w:rFonts w:ascii="Times New Roman" w:hAnsi="Times New Roman" w:cs="Times New Roman"/>
          <w:sz w:val="20"/>
          <w:szCs w:val="20"/>
          <w:lang w:val="de-DE"/>
        </w:rPr>
        <w:t xml:space="preserve"> des jüdischen Volks ist kein griechisches Trauerspiel, es kann nicht Furcht noch Mitleiden erwekken denn beide entspringen nur aus dem Schicksale des nothwendigen Fehltritts eines schönen Wesens; jenes kann nur Abscheu erwekken. Das Schicksal des jüdischen Volks ist das Schicksal Makbeths, der aus der Natur selbst tratt, sich am fremde Wesen hieng, und so in ihrem Dienste alles heilige der menschlichen Natur zertretten und ermorden, von seinen Göttern, – denn es waren Objekte, er war Knecht – endlich verlassen, und an seinem Glauben selbst zerschmettert werden mußte</w:t>
      </w:r>
      <w:r w:rsidRPr="00DE37ED">
        <w:rPr>
          <w:rFonts w:ascii="Times New Roman" w:eastAsia="Times New Roman" w:hAnsi="Times New Roman" w:cs="Times New Roman"/>
          <w:color w:val="000000"/>
          <w:sz w:val="20"/>
          <w:szCs w:val="20"/>
          <w:lang w:val="de-DE"/>
        </w:rPr>
        <w:t>»</w:t>
      </w:r>
      <w:r>
        <w:rPr>
          <w:rFonts w:ascii="Times New Roman" w:eastAsia="Times New Roman" w:hAnsi="Times New Roman" w:cs="Times New Roman"/>
          <w:color w:val="000000"/>
          <w:sz w:val="20"/>
          <w:szCs w:val="20"/>
          <w:lang w:val="de-DE"/>
        </w:rPr>
        <w:t xml:space="preserve"> </w:t>
      </w:r>
      <w:r>
        <w:rPr>
          <w:rFonts w:ascii="Times New Roman" w:hAnsi="Times New Roman" w:cs="Times New Roman"/>
          <w:sz w:val="20"/>
          <w:szCs w:val="20"/>
        </w:rPr>
        <w:t>(</w:t>
      </w:r>
      <w:r w:rsidRPr="008B5009">
        <w:rPr>
          <w:rFonts w:ascii="Times New Roman" w:hAnsi="Times New Roman" w:cs="Times New Roman"/>
          <w:i/>
          <w:sz w:val="20"/>
          <w:szCs w:val="20"/>
        </w:rPr>
        <w:t>Ivi</w:t>
      </w:r>
      <w:r w:rsidRPr="008B5009">
        <w:rPr>
          <w:rFonts w:ascii="Times New Roman" w:hAnsi="Times New Roman" w:cs="Times New Roman"/>
          <w:sz w:val="20"/>
          <w:szCs w:val="20"/>
        </w:rPr>
        <w:t xml:space="preserve">, </w:t>
      </w:r>
      <w:r>
        <w:rPr>
          <w:rFonts w:ascii="Times New Roman" w:hAnsi="Times New Roman" w:cs="Times New Roman"/>
          <w:sz w:val="20"/>
          <w:szCs w:val="20"/>
        </w:rPr>
        <w:t>p. 78).</w:t>
      </w:r>
    </w:p>
  </w:footnote>
  <w:footnote w:id="94">
    <w:p w14:paraId="5D899CAA" w14:textId="77777777" w:rsidR="00B34CC2" w:rsidRPr="00997BD2" w:rsidRDefault="00B34CC2" w:rsidP="00F721A9">
      <w:pPr>
        <w:pStyle w:val="Testonotaapidipagina"/>
        <w:jc w:val="both"/>
        <w:rPr>
          <w:rFonts w:ascii="Times New Roman" w:hAnsi="Times New Roman"/>
          <w:sz w:val="20"/>
          <w:szCs w:val="20"/>
        </w:rPr>
      </w:pPr>
      <w:r w:rsidRPr="00997BD2">
        <w:rPr>
          <w:rStyle w:val="Rimandonotaapidipagina"/>
          <w:rFonts w:ascii="Times New Roman" w:hAnsi="Times New Roman"/>
          <w:sz w:val="20"/>
          <w:szCs w:val="20"/>
        </w:rPr>
        <w:footnoteRef/>
      </w:r>
      <w:r w:rsidRPr="00997BD2">
        <w:rPr>
          <w:rFonts w:ascii="Times New Roman" w:hAnsi="Times New Roman"/>
          <w:sz w:val="20"/>
          <w:szCs w:val="20"/>
        </w:rPr>
        <w:t xml:space="preserve"> </w:t>
      </w:r>
      <w:r w:rsidRPr="00997BD2">
        <w:rPr>
          <w:rFonts w:ascii="Times New Roman" w:hAnsi="Times New Roman" w:cs="Times New Roman"/>
          <w:i/>
          <w:sz w:val="20"/>
          <w:szCs w:val="20"/>
        </w:rPr>
        <w:t>Ivi</w:t>
      </w:r>
      <w:r w:rsidRPr="00997BD2">
        <w:rPr>
          <w:rFonts w:ascii="Times New Roman" w:hAnsi="Times New Roman" w:cs="Times New Roman"/>
          <w:sz w:val="20"/>
          <w:szCs w:val="20"/>
        </w:rPr>
        <w:t>, pp. 305-306.</w:t>
      </w:r>
    </w:p>
  </w:footnote>
  <w:footnote w:id="95">
    <w:p w14:paraId="034C061F" w14:textId="77777777" w:rsidR="00B34CC2" w:rsidRPr="00E467CF" w:rsidRDefault="00B34CC2" w:rsidP="00F721A9">
      <w:pPr>
        <w:pStyle w:val="Testonotaapidipagina"/>
        <w:jc w:val="both"/>
        <w:rPr>
          <w:rFonts w:ascii="Times New Roman" w:hAnsi="Times New Roman" w:cs="Times New Roman"/>
          <w:sz w:val="20"/>
          <w:szCs w:val="20"/>
        </w:rPr>
      </w:pPr>
      <w:r w:rsidRPr="00E467CF">
        <w:rPr>
          <w:rStyle w:val="Rimandonotaapidipagina"/>
          <w:rFonts w:ascii="Times New Roman" w:hAnsi="Times New Roman" w:cs="Times New Roman"/>
          <w:sz w:val="20"/>
          <w:szCs w:val="20"/>
        </w:rPr>
        <w:footnoteRef/>
      </w:r>
      <w:r w:rsidRPr="00E467CF">
        <w:rPr>
          <w:rFonts w:ascii="Times New Roman" w:hAnsi="Times New Roman" w:cs="Times New Roman"/>
          <w:sz w:val="20"/>
          <w:szCs w:val="20"/>
        </w:rPr>
        <w:t xml:space="preserve"> </w:t>
      </w:r>
      <w:r w:rsidRPr="00E467CF">
        <w:rPr>
          <w:rFonts w:ascii="Times New Roman" w:hAnsi="Times New Roman" w:cs="Times New Roman"/>
          <w:i/>
          <w:sz w:val="20"/>
          <w:szCs w:val="20"/>
        </w:rPr>
        <w:t>Ivi</w:t>
      </w:r>
      <w:r w:rsidRPr="00E467CF">
        <w:rPr>
          <w:rFonts w:ascii="Times New Roman" w:hAnsi="Times New Roman" w:cs="Times New Roman"/>
          <w:sz w:val="20"/>
          <w:szCs w:val="20"/>
        </w:rPr>
        <w:t>, pp. 302-303.</w:t>
      </w:r>
    </w:p>
  </w:footnote>
  <w:footnote w:id="96">
    <w:p w14:paraId="16937701" w14:textId="77777777" w:rsidR="00B34CC2" w:rsidRPr="007B029C" w:rsidRDefault="00B34CC2" w:rsidP="00F721A9">
      <w:pPr>
        <w:pStyle w:val="Testonotaapidipagina"/>
        <w:jc w:val="both"/>
        <w:rPr>
          <w:rFonts w:ascii="Times New Roman" w:hAnsi="Times New Roman" w:cs="Times New Roman"/>
          <w:sz w:val="20"/>
          <w:szCs w:val="20"/>
        </w:rPr>
      </w:pPr>
      <w:r w:rsidRPr="007B029C">
        <w:rPr>
          <w:rStyle w:val="Rimandonotaapidipagina"/>
          <w:rFonts w:ascii="Times New Roman" w:hAnsi="Times New Roman" w:cs="Times New Roman"/>
          <w:sz w:val="20"/>
          <w:szCs w:val="20"/>
        </w:rPr>
        <w:footnoteRef/>
      </w:r>
      <w:r w:rsidRPr="007B029C">
        <w:rPr>
          <w:rFonts w:ascii="Times New Roman" w:hAnsi="Times New Roman" w:cs="Times New Roman"/>
          <w:sz w:val="20"/>
          <w:szCs w:val="20"/>
        </w:rPr>
        <w:t xml:space="preserve"> Sul significato della morte di Gesù cfr. F. Silva, </w:t>
      </w:r>
      <w:r w:rsidRPr="007B029C">
        <w:rPr>
          <w:rFonts w:ascii="Times New Roman" w:hAnsi="Times New Roman" w:cs="Times New Roman"/>
          <w:i/>
          <w:sz w:val="20"/>
          <w:szCs w:val="20"/>
        </w:rPr>
        <w:t>Sullo spirito del cristianesimo e il suo destino</w:t>
      </w:r>
      <w:r w:rsidRPr="007B029C">
        <w:rPr>
          <w:rFonts w:ascii="Times New Roman" w:hAnsi="Times New Roman" w:cs="Times New Roman"/>
          <w:sz w:val="20"/>
          <w:szCs w:val="20"/>
        </w:rPr>
        <w:t>, in «Il Pensiero</w:t>
      </w:r>
      <w:r w:rsidRPr="007B029C">
        <w:rPr>
          <w:rFonts w:ascii="Times New Roman" w:eastAsia="Times New Roman" w:hAnsi="Times New Roman" w:cs="Times New Roman"/>
          <w:color w:val="000000"/>
          <w:sz w:val="20"/>
          <w:szCs w:val="20"/>
          <w:lang w:val="de-DE"/>
        </w:rPr>
        <w:t>»</w:t>
      </w:r>
      <w:r w:rsidRPr="007B029C">
        <w:rPr>
          <w:rFonts w:ascii="Times New Roman" w:hAnsi="Times New Roman" w:cs="Times New Roman"/>
          <w:sz w:val="20"/>
          <w:szCs w:val="20"/>
        </w:rPr>
        <w:t xml:space="preserve">, Vol. 2 (2011), pp. 145-168; V. Vitiello, </w:t>
      </w:r>
      <w:r w:rsidRPr="007B029C">
        <w:rPr>
          <w:rFonts w:ascii="Times New Roman" w:hAnsi="Times New Roman" w:cs="Times New Roman"/>
          <w:i/>
          <w:sz w:val="20"/>
          <w:szCs w:val="20"/>
        </w:rPr>
        <w:t>Gesù doveva morire</w:t>
      </w:r>
      <w:r w:rsidRPr="007B029C">
        <w:rPr>
          <w:rFonts w:ascii="Times New Roman" w:hAnsi="Times New Roman" w:cs="Times New Roman"/>
          <w:sz w:val="20"/>
          <w:szCs w:val="20"/>
        </w:rPr>
        <w:t xml:space="preserve">, in </w:t>
      </w:r>
      <w:r w:rsidRPr="007B029C">
        <w:rPr>
          <w:rFonts w:ascii="Times New Roman" w:hAnsi="Times New Roman" w:cs="Times New Roman"/>
          <w:i/>
          <w:sz w:val="20"/>
          <w:szCs w:val="20"/>
        </w:rPr>
        <w:t>Il giovane Hegel. La dialettica e le sue prospettive</w:t>
      </w:r>
      <w:r w:rsidRPr="007B029C">
        <w:rPr>
          <w:rFonts w:ascii="Times New Roman" w:hAnsi="Times New Roman" w:cs="Times New Roman"/>
          <w:sz w:val="20"/>
          <w:szCs w:val="20"/>
        </w:rPr>
        <w:t xml:space="preserve">, cit., pp. 265-287. </w:t>
      </w:r>
    </w:p>
  </w:footnote>
  <w:footnote w:id="97">
    <w:p w14:paraId="32492D7E" w14:textId="77777777" w:rsidR="00B34CC2" w:rsidRPr="00B31BE8" w:rsidRDefault="00B34CC2" w:rsidP="00F721A9">
      <w:pPr>
        <w:pStyle w:val="Testonotaapidipagina"/>
        <w:jc w:val="both"/>
        <w:rPr>
          <w:rFonts w:ascii="Times New Roman" w:hAnsi="Times New Roman" w:cs="Times New Roman"/>
          <w:sz w:val="20"/>
          <w:szCs w:val="20"/>
        </w:rPr>
      </w:pPr>
      <w:r w:rsidRPr="00B31BE8">
        <w:rPr>
          <w:rStyle w:val="Rimandonotaapidipagina"/>
          <w:rFonts w:ascii="Times New Roman" w:hAnsi="Times New Roman" w:cs="Times New Roman"/>
          <w:sz w:val="20"/>
          <w:szCs w:val="20"/>
        </w:rPr>
        <w:footnoteRef/>
      </w:r>
      <w:r w:rsidRPr="00B31BE8">
        <w:rPr>
          <w:rFonts w:ascii="Times New Roman" w:hAnsi="Times New Roman" w:cs="Times New Roman"/>
          <w:sz w:val="20"/>
          <w:szCs w:val="20"/>
        </w:rPr>
        <w:t xml:space="preserve"> </w:t>
      </w:r>
      <w:r w:rsidRPr="00B31BE8">
        <w:rPr>
          <w:rFonts w:ascii="Times New Roman" w:hAnsi="Times New Roman" w:cs="Times New Roman"/>
          <w:i/>
          <w:sz w:val="20"/>
          <w:szCs w:val="20"/>
        </w:rPr>
        <w:t>Ivi</w:t>
      </w:r>
      <w:r w:rsidRPr="00B31BE8">
        <w:rPr>
          <w:rFonts w:ascii="Times New Roman" w:hAnsi="Times New Roman" w:cs="Times New Roman"/>
          <w:sz w:val="20"/>
          <w:szCs w:val="20"/>
        </w:rPr>
        <w:t>, pp. 347.</w:t>
      </w:r>
    </w:p>
  </w:footnote>
  <w:footnote w:id="98">
    <w:p w14:paraId="3C631A3C" w14:textId="77777777" w:rsidR="00B34CC2" w:rsidRPr="003510A9" w:rsidRDefault="00B34CC2" w:rsidP="00F721A9">
      <w:pPr>
        <w:pStyle w:val="Testonotaapidipagina"/>
        <w:jc w:val="both"/>
        <w:rPr>
          <w:rFonts w:ascii="Times New Roman" w:hAnsi="Times New Roman" w:cs="Times New Roman"/>
          <w:sz w:val="20"/>
          <w:szCs w:val="20"/>
        </w:rPr>
      </w:pPr>
      <w:r w:rsidRPr="002F364C">
        <w:rPr>
          <w:rStyle w:val="Rimandonotaapidipagina"/>
          <w:rFonts w:ascii="Times New Roman" w:hAnsi="Times New Roman" w:cs="Times New Roman"/>
          <w:sz w:val="20"/>
          <w:szCs w:val="20"/>
        </w:rPr>
        <w:footnoteRef/>
      </w:r>
      <w:r w:rsidRPr="002F364C">
        <w:rPr>
          <w:rFonts w:ascii="Times New Roman" w:hAnsi="Times New Roman" w:cs="Times New Roman"/>
          <w:sz w:val="20"/>
          <w:szCs w:val="20"/>
        </w:rPr>
        <w:t xml:space="preserve"> </w:t>
      </w:r>
      <w:r>
        <w:rPr>
          <w:rFonts w:ascii="Times New Roman" w:hAnsi="Times New Roman" w:cs="Times New Roman"/>
          <w:sz w:val="20"/>
          <w:szCs w:val="20"/>
        </w:rPr>
        <w:t xml:space="preserve">Sul tema si veda S. Achella, </w:t>
      </w:r>
      <w:r>
        <w:rPr>
          <w:rFonts w:ascii="Times New Roman" w:hAnsi="Times New Roman" w:cs="Times New Roman"/>
          <w:i/>
          <w:sz w:val="20"/>
          <w:szCs w:val="20"/>
        </w:rPr>
        <w:t>La religione nella Differenzschrift</w:t>
      </w:r>
      <w:r>
        <w:rPr>
          <w:rFonts w:ascii="Times New Roman" w:hAnsi="Times New Roman" w:cs="Times New Roman"/>
          <w:sz w:val="20"/>
          <w:szCs w:val="20"/>
        </w:rPr>
        <w:t xml:space="preserve">, in </w:t>
      </w:r>
      <w:r>
        <w:rPr>
          <w:rFonts w:ascii="Times New Roman" w:hAnsi="Times New Roman" w:cs="Times New Roman"/>
          <w:i/>
          <w:sz w:val="20"/>
          <w:szCs w:val="20"/>
        </w:rPr>
        <w:t>L’esordio pubblico di Hegel</w:t>
      </w:r>
      <w:r>
        <w:rPr>
          <w:rFonts w:ascii="Times New Roman" w:hAnsi="Times New Roman" w:cs="Times New Roman"/>
          <w:sz w:val="20"/>
          <w:szCs w:val="20"/>
        </w:rPr>
        <w:t xml:space="preserve">, Guerini, Milano 2004, pp. 227-237; L. Lugarini, </w:t>
      </w:r>
      <w:r>
        <w:rPr>
          <w:rFonts w:ascii="Times New Roman" w:hAnsi="Times New Roman" w:cs="Times New Roman"/>
          <w:i/>
          <w:sz w:val="20"/>
          <w:szCs w:val="20"/>
        </w:rPr>
        <w:t>Hegel dal mondo storico alla filosofia</w:t>
      </w:r>
      <w:r>
        <w:rPr>
          <w:rFonts w:ascii="Times New Roman" w:hAnsi="Times New Roman" w:cs="Times New Roman"/>
          <w:sz w:val="20"/>
          <w:szCs w:val="20"/>
        </w:rPr>
        <w:t xml:space="preserve">, Armando, Roma 1973, pp. 69-73. </w:t>
      </w:r>
    </w:p>
  </w:footnote>
  <w:footnote w:id="99">
    <w:p w14:paraId="40F23302" w14:textId="77777777" w:rsidR="00B34CC2" w:rsidRPr="00B31BE8" w:rsidRDefault="00B34CC2" w:rsidP="00F721A9">
      <w:pPr>
        <w:pStyle w:val="Testonotaapidipagina"/>
        <w:jc w:val="both"/>
        <w:rPr>
          <w:rFonts w:ascii="Times New Roman" w:hAnsi="Times New Roman" w:cs="Times New Roman"/>
          <w:sz w:val="20"/>
          <w:szCs w:val="20"/>
        </w:rPr>
      </w:pPr>
      <w:r w:rsidRPr="00B31BE8">
        <w:rPr>
          <w:rStyle w:val="Rimandonotaapidipagina"/>
          <w:rFonts w:ascii="Times New Roman" w:hAnsi="Times New Roman" w:cs="Times New Roman"/>
          <w:sz w:val="20"/>
          <w:szCs w:val="20"/>
        </w:rPr>
        <w:footnoteRef/>
      </w:r>
      <w:r w:rsidRPr="00B31BE8">
        <w:rPr>
          <w:rFonts w:ascii="Times New Roman" w:hAnsi="Times New Roman" w:cs="Times New Roman"/>
          <w:sz w:val="20"/>
          <w:szCs w:val="20"/>
        </w:rPr>
        <w:t xml:space="preserve"> </w:t>
      </w:r>
      <w:r w:rsidRPr="00B31BE8">
        <w:rPr>
          <w:rFonts w:ascii="Times New Roman" w:hAnsi="Times New Roman" w:cs="Times New Roman"/>
          <w:i/>
          <w:sz w:val="20"/>
          <w:szCs w:val="20"/>
        </w:rPr>
        <w:t>Ivi</w:t>
      </w:r>
      <w:r w:rsidRPr="00B31BE8">
        <w:rPr>
          <w:rFonts w:ascii="Times New Roman" w:hAnsi="Times New Roman" w:cs="Times New Roman"/>
          <w:sz w:val="20"/>
          <w:szCs w:val="20"/>
        </w:rPr>
        <w:t>, pp. 313.</w:t>
      </w:r>
    </w:p>
  </w:footnote>
  <w:footnote w:id="100">
    <w:p w14:paraId="269BAAF2" w14:textId="77777777" w:rsidR="00B34CC2" w:rsidRPr="00B31BE8" w:rsidRDefault="00B34CC2" w:rsidP="00F721A9">
      <w:pPr>
        <w:pStyle w:val="Testonotaapidipagina"/>
        <w:jc w:val="both"/>
        <w:rPr>
          <w:rFonts w:ascii="Times New Roman" w:hAnsi="Times New Roman" w:cs="Times New Roman"/>
          <w:sz w:val="20"/>
          <w:szCs w:val="20"/>
        </w:rPr>
      </w:pPr>
      <w:r w:rsidRPr="00B31BE8">
        <w:rPr>
          <w:rStyle w:val="Rimandonotaapidipagina"/>
          <w:rFonts w:ascii="Times New Roman" w:hAnsi="Times New Roman" w:cs="Times New Roman"/>
          <w:sz w:val="20"/>
          <w:szCs w:val="20"/>
        </w:rPr>
        <w:footnoteRef/>
      </w:r>
      <w:r w:rsidRPr="00B31BE8">
        <w:rPr>
          <w:rFonts w:ascii="Times New Roman" w:hAnsi="Times New Roman" w:cs="Times New Roman"/>
          <w:sz w:val="20"/>
          <w:szCs w:val="20"/>
        </w:rPr>
        <w:t xml:space="preserve"> </w:t>
      </w:r>
      <w:r w:rsidRPr="00B31BE8">
        <w:rPr>
          <w:rFonts w:ascii="Times New Roman" w:hAnsi="Times New Roman" w:cs="Times New Roman"/>
          <w:i/>
          <w:sz w:val="20"/>
          <w:szCs w:val="20"/>
        </w:rPr>
        <w:t>Ivi</w:t>
      </w:r>
      <w:r w:rsidRPr="00B31BE8">
        <w:rPr>
          <w:rFonts w:ascii="Times New Roman" w:hAnsi="Times New Roman" w:cs="Times New Roman"/>
          <w:sz w:val="20"/>
          <w:szCs w:val="20"/>
        </w:rPr>
        <w:t>, pp. 326.</w:t>
      </w:r>
    </w:p>
  </w:footnote>
  <w:footnote w:id="101">
    <w:p w14:paraId="3CF9C9E0" w14:textId="280A437E" w:rsidR="00B34CC2" w:rsidRPr="003D03B1" w:rsidRDefault="00B34CC2" w:rsidP="00F721A9">
      <w:pPr>
        <w:pStyle w:val="Testonotaapidipagina"/>
        <w:jc w:val="both"/>
        <w:rPr>
          <w:rFonts w:ascii="Times New Roman" w:hAnsi="Times New Roman" w:cs="Times New Roman"/>
          <w:sz w:val="20"/>
          <w:szCs w:val="20"/>
        </w:rPr>
      </w:pPr>
      <w:r w:rsidRPr="00532112">
        <w:rPr>
          <w:rStyle w:val="Rimandonotaapidipagina"/>
          <w:rFonts w:ascii="Times New Roman" w:hAnsi="Times New Roman" w:cs="Times New Roman"/>
          <w:sz w:val="20"/>
          <w:szCs w:val="20"/>
        </w:rPr>
        <w:footnoteRef/>
      </w:r>
      <w:r>
        <w:rPr>
          <w:rFonts w:ascii="Times New Roman" w:hAnsi="Times New Roman" w:cs="Times New Roman"/>
          <w:sz w:val="20"/>
          <w:szCs w:val="20"/>
        </w:rPr>
        <w:t xml:space="preserve"> Queste</w:t>
      </w:r>
      <w:r w:rsidRPr="00532112">
        <w:rPr>
          <w:rFonts w:ascii="Times New Roman" w:hAnsi="Times New Roman" w:cs="Times New Roman"/>
          <w:sz w:val="20"/>
          <w:szCs w:val="20"/>
        </w:rPr>
        <w:t xml:space="preserve"> pagine degli </w:t>
      </w:r>
      <w:r w:rsidRPr="00532112">
        <w:rPr>
          <w:rFonts w:ascii="Times New Roman" w:hAnsi="Times New Roman" w:cs="Times New Roman"/>
          <w:i/>
          <w:sz w:val="20"/>
          <w:szCs w:val="20"/>
        </w:rPr>
        <w:t>Jugendschriften</w:t>
      </w:r>
      <w:r w:rsidRPr="00532112">
        <w:rPr>
          <w:rFonts w:ascii="Times New Roman" w:hAnsi="Times New Roman" w:cs="Times New Roman"/>
          <w:sz w:val="20"/>
          <w:szCs w:val="20"/>
        </w:rPr>
        <w:t xml:space="preserve"> </w:t>
      </w:r>
      <w:r>
        <w:rPr>
          <w:rFonts w:ascii="Times New Roman" w:hAnsi="Times New Roman" w:cs="Times New Roman"/>
          <w:sz w:val="20"/>
          <w:szCs w:val="20"/>
        </w:rPr>
        <w:t xml:space="preserve">anticipano </w:t>
      </w:r>
      <w:r w:rsidRPr="00532112">
        <w:rPr>
          <w:rFonts w:ascii="Times New Roman" w:hAnsi="Times New Roman" w:cs="Times New Roman"/>
          <w:sz w:val="20"/>
          <w:szCs w:val="20"/>
        </w:rPr>
        <w:t xml:space="preserve">alcune osservazioni che Hegel, quasi un decennio dopo, muoverà </w:t>
      </w:r>
      <w:r>
        <w:rPr>
          <w:rFonts w:ascii="Times New Roman" w:hAnsi="Times New Roman" w:cs="Times New Roman"/>
          <w:sz w:val="20"/>
          <w:szCs w:val="20"/>
        </w:rPr>
        <w:t xml:space="preserve">nella sezione della </w:t>
      </w:r>
      <w:r w:rsidRPr="00532112">
        <w:rPr>
          <w:rFonts w:ascii="Times New Roman" w:hAnsi="Times New Roman" w:cs="Times New Roman"/>
          <w:i/>
          <w:sz w:val="20"/>
          <w:szCs w:val="20"/>
        </w:rPr>
        <w:t>unglückliches Bewußtseyn</w:t>
      </w:r>
      <w:r>
        <w:rPr>
          <w:rFonts w:ascii="Times New Roman" w:hAnsi="Times New Roman" w:cs="Times New Roman"/>
          <w:sz w:val="20"/>
          <w:szCs w:val="20"/>
        </w:rPr>
        <w:t>. Riguardo al dolore e alla nostalgia derivanti dalla consapevolezza della scissione fra il proprio sé e l’Immutabile, si veda della</w:t>
      </w:r>
      <w:r w:rsidRPr="00532112">
        <w:rPr>
          <w:rFonts w:ascii="Times New Roman" w:hAnsi="Times New Roman" w:cs="Times New Roman"/>
          <w:i/>
          <w:sz w:val="20"/>
          <w:szCs w:val="20"/>
        </w:rPr>
        <w:t xml:space="preserve"> Phänomenologie</w:t>
      </w:r>
      <w:r>
        <w:rPr>
          <w:rFonts w:ascii="Times New Roman" w:hAnsi="Times New Roman" w:cs="Times New Roman"/>
          <w:sz w:val="20"/>
          <w:szCs w:val="20"/>
        </w:rPr>
        <w:t xml:space="preserve"> </w:t>
      </w:r>
      <w:r w:rsidRPr="00532112">
        <w:rPr>
          <w:rFonts w:ascii="Times New Roman" w:hAnsi="Times New Roman" w:cs="Times New Roman"/>
          <w:i/>
          <w:sz w:val="20"/>
          <w:szCs w:val="20"/>
        </w:rPr>
        <w:t>des Geistes</w:t>
      </w:r>
      <w:r>
        <w:rPr>
          <w:rFonts w:ascii="Times New Roman" w:hAnsi="Times New Roman" w:cs="Times New Roman"/>
          <w:sz w:val="20"/>
          <w:szCs w:val="20"/>
        </w:rPr>
        <w:t xml:space="preserve"> il seguente estratto: «</w:t>
      </w:r>
      <w:r w:rsidRPr="000F3319">
        <w:rPr>
          <w:rFonts w:ascii="Times New Roman" w:hAnsi="Times New Roman" w:cs="Times New Roman"/>
          <w:sz w:val="20"/>
          <w:szCs w:val="20"/>
          <w:lang w:val="de-DE"/>
        </w:rPr>
        <w:t xml:space="preserve">Es ist hiedurch die innerliche Bewegung des reinen Gemüths vorhanden, welches sich selbst, aber als die Entzweiung schmerzhaft fühlt; die Bewegung einer unendlichen Sehnsucht, welche die Gewissenheit hat, das ihr Wesen ein solches Gemüt ist, reines Denken […] Zugleich aber ist dies Wesen </w:t>
      </w:r>
      <w:r w:rsidRPr="005C6FA9">
        <w:rPr>
          <w:rFonts w:ascii="Times New Roman" w:hAnsi="Times New Roman" w:cs="Times New Roman"/>
          <w:sz w:val="20"/>
          <w:szCs w:val="20"/>
          <w:lang w:val="de-DE"/>
        </w:rPr>
        <w:t>das unerreichbare Jenseits, welches im Ergreifen entflieht, oder vielmehr schon entflohen ist</w:t>
      </w:r>
      <w:r w:rsidRPr="005C6FA9">
        <w:rPr>
          <w:rFonts w:ascii="Times New Roman" w:eastAsia="Times New Roman" w:hAnsi="Times New Roman" w:cs="Times New Roman"/>
          <w:color w:val="000000"/>
          <w:sz w:val="20"/>
          <w:szCs w:val="20"/>
          <w:lang w:val="de-DE"/>
        </w:rPr>
        <w:t>»</w:t>
      </w:r>
      <w:r w:rsidRPr="005C6FA9">
        <w:rPr>
          <w:rFonts w:ascii="Times New Roman" w:eastAsia="Times New Roman" w:hAnsi="Times New Roman" w:cs="Times New Roman"/>
          <w:color w:val="000000"/>
          <w:lang w:val="de-DE"/>
        </w:rPr>
        <w:t xml:space="preserve"> </w:t>
      </w:r>
      <w:r w:rsidRPr="005C6FA9">
        <w:rPr>
          <w:rFonts w:ascii="Times New Roman" w:eastAsia="Times New Roman" w:hAnsi="Times New Roman" w:cs="Times New Roman"/>
          <w:color w:val="000000"/>
          <w:sz w:val="20"/>
          <w:szCs w:val="20"/>
          <w:lang w:val="de-DE"/>
        </w:rPr>
        <w:t>(</w:t>
      </w:r>
      <w:r w:rsidRPr="005C6FA9">
        <w:rPr>
          <w:rFonts w:ascii="Times New Roman" w:eastAsia="Times New Roman" w:hAnsi="Times New Roman" w:cs="Times New Roman"/>
          <w:i/>
          <w:color w:val="000000"/>
          <w:sz w:val="20"/>
          <w:szCs w:val="20"/>
          <w:lang w:val="de-DE"/>
        </w:rPr>
        <w:t>PhG</w:t>
      </w:r>
      <w:r w:rsidRPr="005C6FA9">
        <w:rPr>
          <w:rFonts w:ascii="Times New Roman" w:eastAsia="Times New Roman" w:hAnsi="Times New Roman" w:cs="Times New Roman"/>
          <w:color w:val="000000"/>
          <w:sz w:val="20"/>
          <w:szCs w:val="20"/>
          <w:lang w:val="de-DE"/>
        </w:rPr>
        <w:t xml:space="preserve">, p. 125). </w:t>
      </w:r>
      <w:r w:rsidRPr="005C6FA9">
        <w:rPr>
          <w:rFonts w:ascii="Times New Roman" w:eastAsia="Times New Roman" w:hAnsi="Times New Roman" w:cs="Times New Roman"/>
          <w:color w:val="000000"/>
          <w:sz w:val="20"/>
          <w:szCs w:val="20"/>
        </w:rPr>
        <w:t>Al pari degli scritti francofortesi, questa dinamica relazionale, anche nella</w:t>
      </w:r>
      <w:r w:rsidRPr="005C6FA9">
        <w:rPr>
          <w:rFonts w:ascii="Times New Roman" w:eastAsia="Times New Roman" w:hAnsi="Times New Roman" w:cs="Times New Roman"/>
          <w:i/>
          <w:color w:val="000000"/>
          <w:sz w:val="20"/>
          <w:szCs w:val="20"/>
        </w:rPr>
        <w:t xml:space="preserve"> </w:t>
      </w:r>
      <w:r w:rsidRPr="005C6FA9">
        <w:rPr>
          <w:rFonts w:ascii="Times New Roman" w:hAnsi="Times New Roman" w:cs="Times New Roman"/>
          <w:i/>
          <w:sz w:val="20"/>
          <w:szCs w:val="20"/>
        </w:rPr>
        <w:t>Phänomenologie</w:t>
      </w:r>
      <w:r w:rsidRPr="005C6FA9">
        <w:rPr>
          <w:rFonts w:ascii="Times New Roman" w:hAnsi="Times New Roman" w:cs="Times New Roman"/>
          <w:sz w:val="20"/>
          <w:szCs w:val="20"/>
        </w:rPr>
        <w:t xml:space="preserve"> </w:t>
      </w:r>
      <w:r w:rsidRPr="005C6FA9">
        <w:rPr>
          <w:rFonts w:ascii="Times New Roman" w:hAnsi="Times New Roman" w:cs="Times New Roman"/>
          <w:i/>
          <w:sz w:val="20"/>
          <w:szCs w:val="20"/>
        </w:rPr>
        <w:t>des Geistes</w:t>
      </w:r>
      <w:r w:rsidRPr="005C6FA9">
        <w:rPr>
          <w:rFonts w:ascii="Times New Roman" w:eastAsia="Times New Roman" w:hAnsi="Times New Roman" w:cs="Times New Roman"/>
          <w:color w:val="000000"/>
          <w:sz w:val="20"/>
          <w:szCs w:val="20"/>
        </w:rPr>
        <w:t>, è</w:t>
      </w:r>
      <w:r>
        <w:rPr>
          <w:rFonts w:ascii="Times New Roman" w:eastAsia="Times New Roman" w:hAnsi="Times New Roman" w:cs="Times New Roman"/>
          <w:color w:val="000000"/>
          <w:sz w:val="20"/>
          <w:szCs w:val="20"/>
        </w:rPr>
        <w:t xml:space="preserve"> esperienza religiosa condivisa dall’ebraismo e dal cristianesimo</w:t>
      </w:r>
      <w:r w:rsidRPr="006F7E2C">
        <w:rPr>
          <w:rFonts w:ascii="Times New Roman" w:eastAsia="Times New Roman" w:hAnsi="Times New Roman" w:cs="Times New Roman"/>
          <w:color w:val="000000"/>
          <w:sz w:val="20"/>
          <w:szCs w:val="20"/>
        </w:rPr>
        <w:t>.</w:t>
      </w:r>
      <w:r>
        <w:rPr>
          <w:rFonts w:ascii="Times New Roman" w:eastAsia="Times New Roman" w:hAnsi="Times New Roman" w:cs="Times New Roman"/>
          <w:color w:val="000000"/>
          <w:sz w:val="20"/>
          <w:szCs w:val="20"/>
          <w:lang w:val="de-DE"/>
        </w:rPr>
        <w:t xml:space="preserve"> </w:t>
      </w:r>
      <w:r w:rsidRPr="006F7E2C">
        <w:rPr>
          <w:rFonts w:ascii="Times New Roman" w:eastAsia="Times New Roman" w:hAnsi="Times New Roman" w:cs="Times New Roman"/>
          <w:color w:val="000000"/>
          <w:sz w:val="20"/>
          <w:szCs w:val="20"/>
        </w:rPr>
        <w:t>Su questo tema si veda</w:t>
      </w:r>
      <w:r>
        <w:rPr>
          <w:rFonts w:ascii="Times New Roman" w:eastAsia="Times New Roman" w:hAnsi="Times New Roman" w:cs="Times New Roman"/>
          <w:color w:val="000000"/>
          <w:sz w:val="20"/>
          <w:szCs w:val="20"/>
          <w:lang w:val="de-DE"/>
        </w:rPr>
        <w:t xml:space="preserve"> G. Cantillo, </w:t>
      </w:r>
      <w:r>
        <w:rPr>
          <w:rFonts w:ascii="Times New Roman" w:eastAsia="Times New Roman" w:hAnsi="Times New Roman" w:cs="Times New Roman"/>
          <w:i/>
          <w:color w:val="000000"/>
          <w:sz w:val="20"/>
          <w:szCs w:val="20"/>
          <w:lang w:val="de-DE"/>
        </w:rPr>
        <w:t>Osservazioni sulla coscienza religiosa in Hegel</w:t>
      </w:r>
      <w:r>
        <w:rPr>
          <w:rFonts w:ascii="Times New Roman" w:eastAsia="Times New Roman" w:hAnsi="Times New Roman" w:cs="Times New Roman"/>
          <w:color w:val="000000"/>
          <w:sz w:val="20"/>
          <w:szCs w:val="20"/>
          <w:lang w:val="de-DE"/>
        </w:rPr>
        <w:t xml:space="preserve">, in </w:t>
      </w:r>
      <w:r>
        <w:rPr>
          <w:rFonts w:ascii="Times New Roman" w:eastAsia="Times New Roman" w:hAnsi="Times New Roman" w:cs="Times New Roman"/>
          <w:i/>
          <w:color w:val="000000"/>
          <w:sz w:val="20"/>
          <w:szCs w:val="20"/>
          <w:lang w:val="de-DE"/>
        </w:rPr>
        <w:t>Studi su Hegel</w:t>
      </w:r>
      <w:r>
        <w:rPr>
          <w:rFonts w:ascii="Times New Roman" w:eastAsia="Times New Roman" w:hAnsi="Times New Roman" w:cs="Times New Roman"/>
          <w:color w:val="000000"/>
          <w:sz w:val="20"/>
          <w:szCs w:val="20"/>
          <w:lang w:val="de-DE"/>
        </w:rPr>
        <w:t xml:space="preserve">, Carocci, Roma 2020, pp. 125-141 e J. Hyppolite, </w:t>
      </w:r>
      <w:r w:rsidRPr="00907024">
        <w:rPr>
          <w:rFonts w:ascii="Times New Roman" w:hAnsi="Times New Roman" w:cs="Times New Roman"/>
          <w:i/>
          <w:sz w:val="20"/>
          <w:szCs w:val="20"/>
        </w:rPr>
        <w:t>Genèse et structure de la «Phénoménologie de l’esprit de Hegel</w:t>
      </w:r>
      <w:r w:rsidRPr="00907024">
        <w:rPr>
          <w:rFonts w:ascii="Times New Roman" w:eastAsia="Times New Roman" w:hAnsi="Times New Roman" w:cs="Times New Roman"/>
          <w:i/>
          <w:color w:val="000000"/>
          <w:sz w:val="20"/>
          <w:szCs w:val="20"/>
        </w:rPr>
        <w:t>»</w:t>
      </w:r>
      <w:r w:rsidRPr="00907024">
        <w:rPr>
          <w:rFonts w:ascii="Times New Roman" w:eastAsia="Times New Roman" w:hAnsi="Times New Roman" w:cs="Times New Roman"/>
          <w:color w:val="000000"/>
          <w:sz w:val="20"/>
          <w:szCs w:val="20"/>
        </w:rPr>
        <w:t>, Aubier, Paris 1946, p.</w:t>
      </w:r>
      <w:r>
        <w:rPr>
          <w:rFonts w:ascii="Times New Roman" w:eastAsia="Times New Roman" w:hAnsi="Times New Roman" w:cs="Times New Roman"/>
          <w:color w:val="000000"/>
          <w:sz w:val="20"/>
          <w:szCs w:val="20"/>
        </w:rPr>
        <w:t xml:space="preserve"> 184-189; A. Kojeve, </w:t>
      </w:r>
      <w:r w:rsidRPr="00EC7933">
        <w:rPr>
          <w:rFonts w:ascii="Times New Roman" w:eastAsia="Times New Roman" w:hAnsi="Times New Roman" w:cs="Times New Roman"/>
          <w:i/>
          <w:color w:val="000000"/>
          <w:sz w:val="20"/>
          <w:szCs w:val="20"/>
        </w:rPr>
        <w:t>Introduction à la lecture de Hegel</w:t>
      </w:r>
      <w:r>
        <w:rPr>
          <w:rFonts w:ascii="Times New Roman" w:eastAsia="Times New Roman" w:hAnsi="Times New Roman" w:cs="Times New Roman"/>
          <w:color w:val="000000"/>
          <w:sz w:val="20"/>
          <w:szCs w:val="20"/>
        </w:rPr>
        <w:t xml:space="preserve">, Paris, Gallimard 1968, pp. 84-95; J. Wahl, </w:t>
      </w:r>
      <w:r w:rsidRPr="00082914">
        <w:rPr>
          <w:rFonts w:ascii="Times New Roman" w:eastAsia="Times New Roman" w:hAnsi="Times New Roman" w:cs="Times New Roman"/>
          <w:i/>
          <w:color w:val="000000"/>
          <w:sz w:val="20"/>
          <w:szCs w:val="20"/>
        </w:rPr>
        <w:t>Le malheur de</w:t>
      </w:r>
      <w:r>
        <w:rPr>
          <w:rFonts w:ascii="Times New Roman" w:eastAsia="Times New Roman" w:hAnsi="Times New Roman" w:cs="Times New Roman"/>
          <w:i/>
          <w:color w:val="000000"/>
          <w:sz w:val="20"/>
          <w:szCs w:val="20"/>
        </w:rPr>
        <w:t xml:space="preserve"> la conscience</w:t>
      </w:r>
      <w:r w:rsidRPr="00082914">
        <w:rPr>
          <w:rFonts w:ascii="Times New Roman" w:eastAsia="Times New Roman" w:hAnsi="Times New Roman" w:cs="Times New Roman"/>
          <w:i/>
          <w:color w:val="000000"/>
          <w:sz w:val="20"/>
          <w:szCs w:val="20"/>
          <w:lang w:val="de-DE"/>
        </w:rPr>
        <w:t xml:space="preserve"> dans la philosophie de Hegel</w:t>
      </w:r>
      <w:r>
        <w:rPr>
          <w:rFonts w:ascii="Times New Roman" w:eastAsia="Times New Roman" w:hAnsi="Times New Roman" w:cs="Times New Roman"/>
          <w:color w:val="000000"/>
          <w:sz w:val="20"/>
          <w:szCs w:val="20"/>
          <w:lang w:val="de-DE"/>
        </w:rPr>
        <w:t>, PUF, Paris 1951 (prima edizione 1929).</w:t>
      </w:r>
    </w:p>
  </w:footnote>
  <w:footnote w:id="102">
    <w:p w14:paraId="55C2668C" w14:textId="6A4FB71E" w:rsidR="00B34CC2" w:rsidRPr="008F7067" w:rsidRDefault="00B34CC2" w:rsidP="00F721A9">
      <w:pPr>
        <w:pStyle w:val="Testonotaapidipagina"/>
        <w:jc w:val="both"/>
        <w:rPr>
          <w:rFonts w:ascii="Times New Roman" w:hAnsi="Times New Roman" w:cs="Times New Roman"/>
          <w:sz w:val="20"/>
          <w:szCs w:val="20"/>
        </w:rPr>
      </w:pPr>
      <w:r w:rsidRPr="00782DE5">
        <w:rPr>
          <w:rStyle w:val="Rimandonotaapidipagina"/>
          <w:rFonts w:ascii="Times New Roman" w:hAnsi="Times New Roman" w:cs="Times New Roman"/>
          <w:sz w:val="20"/>
          <w:szCs w:val="20"/>
        </w:rPr>
        <w:footnoteRef/>
      </w:r>
      <w:r w:rsidRPr="00782DE5">
        <w:rPr>
          <w:rFonts w:ascii="Times New Roman" w:hAnsi="Times New Roman" w:cs="Times New Roman"/>
          <w:sz w:val="20"/>
          <w:szCs w:val="20"/>
        </w:rPr>
        <w:t xml:space="preserve"> Sull’evoluzione della nozione di </w:t>
      </w:r>
      <w:r w:rsidRPr="00782DE5">
        <w:rPr>
          <w:rFonts w:ascii="Times New Roman" w:hAnsi="Times New Roman" w:cs="Times New Roman"/>
          <w:i/>
          <w:sz w:val="20"/>
          <w:szCs w:val="20"/>
        </w:rPr>
        <w:t>Bedürfnis</w:t>
      </w:r>
      <w:r w:rsidRPr="00782DE5">
        <w:rPr>
          <w:rFonts w:ascii="Times New Roman" w:hAnsi="Times New Roman" w:cs="Times New Roman"/>
          <w:sz w:val="20"/>
          <w:szCs w:val="20"/>
        </w:rPr>
        <w:t xml:space="preserve"> negli </w:t>
      </w:r>
      <w:r w:rsidRPr="00782DE5">
        <w:rPr>
          <w:rFonts w:ascii="Times New Roman" w:hAnsi="Times New Roman" w:cs="Times New Roman"/>
          <w:i/>
          <w:sz w:val="20"/>
          <w:szCs w:val="20"/>
        </w:rPr>
        <w:t xml:space="preserve">Jugendschriften </w:t>
      </w:r>
      <w:r w:rsidRPr="00782DE5">
        <w:rPr>
          <w:rFonts w:ascii="Times New Roman" w:hAnsi="Times New Roman" w:cs="Times New Roman"/>
          <w:sz w:val="20"/>
          <w:szCs w:val="20"/>
        </w:rPr>
        <w:t xml:space="preserve">e negli scritti del periodo jenese si veda la monografia di S. V. Palermo, </w:t>
      </w:r>
      <w:r w:rsidRPr="00782DE5">
        <w:rPr>
          <w:rFonts w:ascii="Times New Roman" w:hAnsi="Times New Roman" w:cs="Times New Roman"/>
          <w:i/>
          <w:sz w:val="20"/>
          <w:szCs w:val="20"/>
        </w:rPr>
        <w:t>Il bisogno della filosofia. L’itinerario speculativo di Hegel tra Francoforte e Jena (1797-1803)</w:t>
      </w:r>
      <w:r w:rsidRPr="00782DE5">
        <w:rPr>
          <w:rFonts w:ascii="Times New Roman" w:hAnsi="Times New Roman" w:cs="Times New Roman"/>
          <w:sz w:val="20"/>
          <w:szCs w:val="20"/>
        </w:rPr>
        <w:t xml:space="preserve">, Mimesis, Milano 2011. Si noti per inciso che la progressione </w:t>
      </w:r>
      <w:r w:rsidRPr="00782DE5">
        <w:rPr>
          <w:rFonts w:ascii="Times New Roman" w:hAnsi="Times New Roman" w:cs="Times New Roman"/>
          <w:i/>
          <w:sz w:val="20"/>
          <w:szCs w:val="20"/>
        </w:rPr>
        <w:t>Bedürfnis nach etwas reinerem</w:t>
      </w:r>
      <w:r w:rsidRPr="00782DE5">
        <w:rPr>
          <w:rFonts w:ascii="Times New Roman" w:hAnsi="Times New Roman" w:cs="Times New Roman"/>
          <w:sz w:val="20"/>
          <w:szCs w:val="20"/>
        </w:rPr>
        <w:t xml:space="preserve">, </w:t>
      </w:r>
      <w:r w:rsidRPr="00782DE5">
        <w:rPr>
          <w:rFonts w:ascii="Times New Roman" w:hAnsi="Times New Roman" w:cs="Times New Roman"/>
          <w:i/>
          <w:sz w:val="20"/>
          <w:szCs w:val="20"/>
        </w:rPr>
        <w:t xml:space="preserve">Bedürfnis der Religion </w:t>
      </w:r>
      <w:r w:rsidRPr="00782DE5">
        <w:rPr>
          <w:rFonts w:ascii="Times New Roman" w:hAnsi="Times New Roman" w:cs="Times New Roman"/>
          <w:sz w:val="20"/>
          <w:szCs w:val="20"/>
        </w:rPr>
        <w:t xml:space="preserve">e </w:t>
      </w:r>
      <w:r w:rsidRPr="00782DE5">
        <w:rPr>
          <w:rFonts w:ascii="Times New Roman" w:hAnsi="Times New Roman" w:cs="Times New Roman"/>
          <w:i/>
          <w:sz w:val="20"/>
          <w:szCs w:val="20"/>
        </w:rPr>
        <w:t xml:space="preserve">Bedürfnis der Philosophie </w:t>
      </w:r>
      <w:r w:rsidRPr="00782DE5">
        <w:rPr>
          <w:rFonts w:ascii="Times New Roman" w:hAnsi="Times New Roman" w:cs="Times New Roman"/>
          <w:sz w:val="20"/>
          <w:szCs w:val="20"/>
        </w:rPr>
        <w:t>– che pur sembra essere legittimata dall’intreccio argomentativo costruito da Hegel a Francoforte e a Jena – non trova nessuna esplici</w:t>
      </w:r>
      <w:r>
        <w:rPr>
          <w:rFonts w:ascii="Times New Roman" w:hAnsi="Times New Roman" w:cs="Times New Roman"/>
          <w:sz w:val="20"/>
          <w:szCs w:val="20"/>
        </w:rPr>
        <w:t xml:space="preserve">ta tematizzazione nel </w:t>
      </w:r>
      <w:r w:rsidRPr="00782DE5">
        <w:rPr>
          <w:rFonts w:ascii="Times New Roman" w:hAnsi="Times New Roman" w:cs="Times New Roman"/>
          <w:sz w:val="20"/>
          <w:szCs w:val="20"/>
        </w:rPr>
        <w:t>testo di Palermo.</w:t>
      </w:r>
      <w:r>
        <w:rPr>
          <w:rFonts w:ascii="Times New Roman" w:hAnsi="Times New Roman" w:cs="Times New Roman"/>
          <w:sz w:val="20"/>
          <w:szCs w:val="20"/>
        </w:rPr>
        <w:t xml:space="preserve"> </w:t>
      </w:r>
    </w:p>
  </w:footnote>
  <w:footnote w:id="103">
    <w:p w14:paraId="1DE4F056" w14:textId="7A97045F" w:rsidR="00B34CC2" w:rsidRPr="001C3770" w:rsidRDefault="00B34CC2" w:rsidP="00F721A9">
      <w:pPr>
        <w:jc w:val="both"/>
        <w:rPr>
          <w:rFonts w:ascii="Times New Roman" w:hAnsi="Times New Roman" w:cs="Times New Roman"/>
          <w:sz w:val="20"/>
          <w:szCs w:val="20"/>
        </w:rPr>
      </w:pPr>
      <w:r w:rsidRPr="0087112C">
        <w:rPr>
          <w:rStyle w:val="Rimandonotaapidipagina"/>
          <w:rFonts w:ascii="Times New Roman" w:hAnsi="Times New Roman" w:cs="Times New Roman"/>
          <w:sz w:val="20"/>
          <w:szCs w:val="20"/>
        </w:rPr>
        <w:footnoteRef/>
      </w:r>
      <w:r w:rsidRPr="0087112C">
        <w:rPr>
          <w:rFonts w:ascii="Times New Roman" w:hAnsi="Times New Roman" w:cs="Times New Roman"/>
          <w:sz w:val="20"/>
          <w:szCs w:val="20"/>
        </w:rPr>
        <w:t xml:space="preserve"> </w:t>
      </w:r>
      <w:r>
        <w:rPr>
          <w:rFonts w:ascii="Times New Roman" w:hAnsi="Times New Roman" w:cs="Times New Roman"/>
          <w:sz w:val="20"/>
          <w:szCs w:val="20"/>
        </w:rPr>
        <w:t xml:space="preserve">Sul carattere “attuale” delle analisi storico-religiose di Hegel vige un generale accordo nella critica. A titolo esemplificativo, poiché la letteratura sul tema è sterminata, si veda A. Achella, </w:t>
      </w:r>
      <w:r w:rsidRPr="00AB7EA1">
        <w:rPr>
          <w:rFonts w:ascii="Times New Roman" w:hAnsi="Times New Roman" w:cs="Times New Roman"/>
          <w:i/>
          <w:sz w:val="20"/>
          <w:szCs w:val="20"/>
        </w:rPr>
        <w:t>Pensare la vita</w:t>
      </w:r>
      <w:r>
        <w:rPr>
          <w:rFonts w:ascii="Times New Roman" w:hAnsi="Times New Roman" w:cs="Times New Roman"/>
          <w:sz w:val="20"/>
          <w:szCs w:val="20"/>
        </w:rPr>
        <w:t xml:space="preserve">, cit., pp. 47-54; F. Chiereghin, </w:t>
      </w:r>
      <w:r w:rsidRPr="004A40F8">
        <w:rPr>
          <w:rFonts w:ascii="Times New Roman" w:hAnsi="Times New Roman" w:cs="Times New Roman"/>
          <w:i/>
          <w:sz w:val="20"/>
          <w:szCs w:val="20"/>
        </w:rPr>
        <w:t>Dialettica dell’assoluto e ontologia della soggettività in Hegel</w:t>
      </w:r>
      <w:r>
        <w:rPr>
          <w:rFonts w:ascii="Times New Roman" w:hAnsi="Times New Roman" w:cs="Times New Roman"/>
          <w:sz w:val="20"/>
          <w:szCs w:val="20"/>
        </w:rPr>
        <w:t xml:space="preserve">, cit., pp. 30-81; J. Hyppolite, </w:t>
      </w:r>
      <w:r w:rsidRPr="00D27C3A">
        <w:rPr>
          <w:rFonts w:ascii="Times New Roman" w:hAnsi="Times New Roman" w:cs="Times New Roman"/>
          <w:i/>
          <w:sz w:val="20"/>
          <w:szCs w:val="20"/>
        </w:rPr>
        <w:t>Introduction à la philosophie de l’historie de Hegel</w:t>
      </w:r>
      <w:r>
        <w:rPr>
          <w:rFonts w:ascii="Times New Roman" w:hAnsi="Times New Roman" w:cs="Times New Roman"/>
          <w:sz w:val="20"/>
          <w:szCs w:val="20"/>
        </w:rPr>
        <w:t xml:space="preserve">, cit., pp. 19-65; 19-89; </w:t>
      </w:r>
      <w:r w:rsidRPr="00FC1346">
        <w:rPr>
          <w:rFonts w:ascii="Times New Roman" w:hAnsi="Times New Roman" w:cs="Times New Roman"/>
          <w:sz w:val="20"/>
          <w:szCs w:val="20"/>
        </w:rPr>
        <w:t xml:space="preserve">G. Luckás, </w:t>
      </w:r>
      <w:r w:rsidRPr="00FC1346">
        <w:rPr>
          <w:rFonts w:ascii="Times New Roman" w:hAnsi="Times New Roman" w:cs="Times New Roman"/>
          <w:i/>
          <w:sz w:val="20"/>
          <w:szCs w:val="20"/>
        </w:rPr>
        <w:t>Der junge Hegel. Über die Beziehung von Dialektik</w:t>
      </w:r>
      <w:r w:rsidRPr="00FC1346">
        <w:rPr>
          <w:rFonts w:ascii="Times New Roman" w:hAnsi="Times New Roman" w:cs="Times New Roman"/>
          <w:sz w:val="20"/>
          <w:szCs w:val="20"/>
        </w:rPr>
        <w:t>, Europa Verlag, Zürich/Wien 1948</w:t>
      </w:r>
      <w:r>
        <w:rPr>
          <w:rFonts w:ascii="Times New Roman" w:hAnsi="Times New Roman" w:cs="Times New Roman"/>
          <w:sz w:val="20"/>
          <w:szCs w:val="20"/>
        </w:rPr>
        <w:t xml:space="preserve">, pp. 27-312; L. Lugarini, </w:t>
      </w:r>
      <w:r>
        <w:rPr>
          <w:rFonts w:ascii="Times New Roman" w:hAnsi="Times New Roman" w:cs="Times New Roman"/>
          <w:i/>
          <w:sz w:val="20"/>
          <w:szCs w:val="20"/>
        </w:rPr>
        <w:t>Hegel dal mondo storico alla filosofia</w:t>
      </w:r>
      <w:r>
        <w:rPr>
          <w:rFonts w:ascii="Times New Roman" w:hAnsi="Times New Roman" w:cs="Times New Roman"/>
          <w:sz w:val="20"/>
          <w:szCs w:val="20"/>
        </w:rPr>
        <w:t xml:space="preserve">, cit., pp. 19-75; S. V. Palermo, </w:t>
      </w:r>
      <w:r w:rsidRPr="002F32BE">
        <w:rPr>
          <w:rFonts w:ascii="Times New Roman" w:hAnsi="Times New Roman" w:cs="Times New Roman"/>
          <w:i/>
          <w:sz w:val="20"/>
          <w:szCs w:val="20"/>
        </w:rPr>
        <w:t>Il bisogno della filosofia</w:t>
      </w:r>
      <w:r>
        <w:rPr>
          <w:rFonts w:ascii="Times New Roman" w:hAnsi="Times New Roman" w:cs="Times New Roman"/>
          <w:sz w:val="20"/>
          <w:szCs w:val="20"/>
        </w:rPr>
        <w:t xml:space="preserve">, cit., pp. 23-63; </w:t>
      </w:r>
      <w:r w:rsidRPr="005239BD">
        <w:rPr>
          <w:rFonts w:ascii="Times New Roman" w:hAnsi="Times New Roman" w:cs="Times New Roman"/>
          <w:sz w:val="20"/>
          <w:szCs w:val="20"/>
        </w:rPr>
        <w:t xml:space="preserve">A. Peperzak, </w:t>
      </w:r>
      <w:r w:rsidRPr="005239BD">
        <w:rPr>
          <w:rFonts w:ascii="Times New Roman" w:hAnsi="Times New Roman" w:cs="Times New Roman"/>
          <w:i/>
          <w:sz w:val="20"/>
          <w:szCs w:val="20"/>
        </w:rPr>
        <w:t>Le jeune Hegel et la vision morale du mond</w:t>
      </w:r>
      <w:r w:rsidRPr="005239BD">
        <w:rPr>
          <w:rFonts w:ascii="Times New Roman" w:hAnsi="Times New Roman" w:cs="Times New Roman"/>
          <w:sz w:val="20"/>
          <w:szCs w:val="20"/>
        </w:rPr>
        <w:t>, Martinus Nijhoff, La Haye 1960</w:t>
      </w:r>
      <w:r>
        <w:rPr>
          <w:rFonts w:ascii="Times New Roman" w:hAnsi="Times New Roman" w:cs="Times New Roman"/>
          <w:sz w:val="20"/>
          <w:szCs w:val="20"/>
        </w:rPr>
        <w:t>; O</w:t>
      </w:r>
      <w:r w:rsidRPr="005239BD">
        <w:rPr>
          <w:rFonts w:ascii="Times New Roman" w:hAnsi="Times New Roman" w:cs="Times New Roman"/>
          <w:sz w:val="20"/>
          <w:szCs w:val="20"/>
        </w:rPr>
        <w:t>.</w:t>
      </w:r>
      <w:r>
        <w:rPr>
          <w:rFonts w:ascii="Times New Roman" w:hAnsi="Times New Roman" w:cs="Times New Roman"/>
          <w:sz w:val="20"/>
          <w:szCs w:val="20"/>
        </w:rPr>
        <w:t xml:space="preserve"> Pöggler, </w:t>
      </w:r>
      <w:r>
        <w:rPr>
          <w:rFonts w:ascii="Times New Roman" w:hAnsi="Times New Roman" w:cs="Times New Roman"/>
          <w:i/>
          <w:sz w:val="20"/>
          <w:szCs w:val="20"/>
        </w:rPr>
        <w:t>L’”Esprit du Christianisme” de Hegel</w:t>
      </w:r>
      <w:r>
        <w:rPr>
          <w:rFonts w:ascii="Times New Roman" w:hAnsi="Times New Roman" w:cs="Times New Roman"/>
          <w:sz w:val="20"/>
          <w:szCs w:val="20"/>
        </w:rPr>
        <w:t>, in «Archives de Philosophie</w:t>
      </w:r>
      <w:r w:rsidRPr="001C3770">
        <w:rPr>
          <w:rFonts w:ascii="Times New Roman" w:eastAsia="Times New Roman" w:hAnsi="Times New Roman" w:cs="Times New Roman"/>
          <w:color w:val="000000"/>
          <w:sz w:val="20"/>
          <w:szCs w:val="20"/>
          <w:lang w:val="de-DE"/>
        </w:rPr>
        <w:t>»</w:t>
      </w:r>
      <w:r>
        <w:rPr>
          <w:rFonts w:ascii="Times New Roman" w:eastAsia="Times New Roman" w:hAnsi="Times New Roman" w:cs="Times New Roman"/>
          <w:color w:val="000000"/>
          <w:sz w:val="20"/>
          <w:szCs w:val="20"/>
          <w:lang w:val="de-DE"/>
        </w:rPr>
        <w:t>, Vol. XXXIII, N. IV (1970), pp. 719-754.</w:t>
      </w:r>
    </w:p>
  </w:footnote>
  <w:footnote w:id="104">
    <w:p w14:paraId="72E4E729" w14:textId="77777777" w:rsidR="00B34CC2" w:rsidRPr="000B2DB9" w:rsidRDefault="00B34CC2" w:rsidP="00F721A9">
      <w:pPr>
        <w:pStyle w:val="Testonotaapidipagina"/>
        <w:jc w:val="both"/>
        <w:rPr>
          <w:rFonts w:ascii="Times New Roman" w:hAnsi="Times New Roman" w:cs="Times New Roman"/>
          <w:sz w:val="20"/>
          <w:szCs w:val="20"/>
        </w:rPr>
      </w:pPr>
      <w:r w:rsidRPr="000B2DB9">
        <w:rPr>
          <w:rStyle w:val="Rimandonotaapidipagina"/>
          <w:rFonts w:ascii="Times New Roman" w:hAnsi="Times New Roman" w:cs="Times New Roman"/>
          <w:sz w:val="20"/>
          <w:szCs w:val="20"/>
        </w:rPr>
        <w:footnoteRef/>
      </w:r>
      <w:r w:rsidRPr="000B2DB9">
        <w:rPr>
          <w:rFonts w:ascii="Times New Roman" w:hAnsi="Times New Roman" w:cs="Times New Roman"/>
          <w:sz w:val="20"/>
          <w:szCs w:val="20"/>
        </w:rPr>
        <w:t xml:space="preserve"> </w:t>
      </w:r>
      <w:r w:rsidRPr="0017684D">
        <w:rPr>
          <w:rFonts w:ascii="Times New Roman" w:hAnsi="Times New Roman" w:cs="Times New Roman"/>
          <w:i/>
          <w:sz w:val="20"/>
          <w:szCs w:val="20"/>
        </w:rPr>
        <w:t>FS II</w:t>
      </w:r>
      <w:r w:rsidRPr="000B2DB9">
        <w:rPr>
          <w:rFonts w:ascii="Times New Roman" w:hAnsi="Times New Roman" w:cs="Times New Roman"/>
          <w:sz w:val="20"/>
          <w:szCs w:val="20"/>
        </w:rPr>
        <w:t>, p. 158.</w:t>
      </w:r>
    </w:p>
  </w:footnote>
  <w:footnote w:id="105">
    <w:p w14:paraId="5284FA84" w14:textId="77777777" w:rsidR="00B34CC2" w:rsidRDefault="00B34CC2" w:rsidP="00F721A9">
      <w:pPr>
        <w:pStyle w:val="Testonotaapidipagina"/>
        <w:jc w:val="both"/>
      </w:pPr>
      <w:r w:rsidRPr="000B2DB9">
        <w:rPr>
          <w:rStyle w:val="Rimandonotaapidipagina"/>
          <w:rFonts w:ascii="Times New Roman" w:hAnsi="Times New Roman" w:cs="Times New Roman"/>
          <w:sz w:val="20"/>
          <w:szCs w:val="20"/>
        </w:rPr>
        <w:footnoteRef/>
      </w:r>
      <w:r w:rsidRPr="000B2DB9">
        <w:rPr>
          <w:rFonts w:ascii="Times New Roman" w:hAnsi="Times New Roman" w:cs="Times New Roman"/>
          <w:sz w:val="20"/>
          <w:szCs w:val="20"/>
        </w:rPr>
        <w:t xml:space="preserve"> Ivi, p. 348.</w:t>
      </w:r>
    </w:p>
  </w:footnote>
  <w:footnote w:id="106">
    <w:p w14:paraId="528B8613" w14:textId="77777777" w:rsidR="00B34CC2" w:rsidRPr="00EC7933" w:rsidRDefault="00B34CC2" w:rsidP="00F721A9">
      <w:pPr>
        <w:pStyle w:val="Testonotaapidipagina"/>
        <w:jc w:val="both"/>
        <w:rPr>
          <w:rFonts w:ascii="Times New Roman" w:hAnsi="Times New Roman" w:cs="Times New Roman"/>
          <w:sz w:val="20"/>
          <w:szCs w:val="20"/>
          <w:lang w:val="de-DE"/>
        </w:rPr>
      </w:pPr>
      <w:r w:rsidRPr="002D52C5">
        <w:rPr>
          <w:rStyle w:val="Rimandonotaapidipagina"/>
          <w:rFonts w:ascii="Times New Roman" w:hAnsi="Times New Roman" w:cs="Times New Roman"/>
          <w:sz w:val="20"/>
          <w:szCs w:val="20"/>
        </w:rPr>
        <w:footnoteRef/>
      </w:r>
      <w:r w:rsidRPr="002D52C5">
        <w:rPr>
          <w:rFonts w:ascii="Times New Roman" w:hAnsi="Times New Roman" w:cs="Times New Roman"/>
          <w:sz w:val="20"/>
          <w:szCs w:val="20"/>
        </w:rPr>
        <w:t xml:space="preserve"> Cfr. F. Schiller, </w:t>
      </w:r>
      <w:r w:rsidRPr="002D52C5">
        <w:rPr>
          <w:rFonts w:ascii="Times New Roman" w:eastAsia="Times New Roman" w:hAnsi="Times New Roman" w:cs="Times New Roman"/>
          <w:i/>
          <w:color w:val="000000"/>
          <w:sz w:val="20"/>
          <w:szCs w:val="20"/>
        </w:rPr>
        <w:t>Über die ästethische Erziehung des Menschen in einer Reihe von Briefen</w:t>
      </w:r>
      <w:r>
        <w:rPr>
          <w:rFonts w:ascii="Times New Roman" w:eastAsia="Times New Roman" w:hAnsi="Times New Roman" w:cs="Times New Roman"/>
          <w:color w:val="000000"/>
          <w:sz w:val="20"/>
          <w:szCs w:val="20"/>
        </w:rPr>
        <w:t xml:space="preserve">, in </w:t>
      </w:r>
      <w:r>
        <w:rPr>
          <w:rFonts w:ascii="Times New Roman" w:eastAsia="Times New Roman" w:hAnsi="Times New Roman" w:cs="Times New Roman"/>
          <w:i/>
          <w:color w:val="000000"/>
          <w:sz w:val="20"/>
          <w:szCs w:val="20"/>
        </w:rPr>
        <w:t>Schillers Werke</w:t>
      </w:r>
      <w:r>
        <w:rPr>
          <w:rFonts w:ascii="Times New Roman" w:eastAsia="Times New Roman" w:hAnsi="Times New Roman" w:cs="Times New Roman"/>
          <w:color w:val="000000"/>
          <w:sz w:val="20"/>
          <w:szCs w:val="20"/>
        </w:rPr>
        <w:t xml:space="preserve">, Nationalausgabe, Weimer 1943 sgg., p. 355: </w:t>
      </w:r>
      <w:r w:rsidRPr="008D1399">
        <w:rPr>
          <w:rFonts w:ascii="Times New Roman" w:eastAsia="Times New Roman" w:hAnsi="Times New Roman" w:cs="Times New Roman"/>
          <w:color w:val="000000"/>
          <w:sz w:val="20"/>
          <w:szCs w:val="20"/>
          <w:lang w:val="de-DE"/>
        </w:rPr>
        <w:t xml:space="preserve">«Der Gegenstand des sinnlichen Triebes, in einem allgemeinen Begriff ausgedrückt, heißt </w:t>
      </w:r>
      <w:r w:rsidRPr="008D1399">
        <w:rPr>
          <w:rFonts w:ascii="Times New Roman" w:eastAsia="Times New Roman" w:hAnsi="Times New Roman" w:cs="Times New Roman"/>
          <w:i/>
          <w:color w:val="000000"/>
          <w:sz w:val="20"/>
          <w:szCs w:val="20"/>
          <w:lang w:val="de-DE"/>
        </w:rPr>
        <w:t>Leben</w:t>
      </w:r>
      <w:r w:rsidRPr="008D1399">
        <w:rPr>
          <w:rFonts w:ascii="Times New Roman" w:eastAsia="Times New Roman" w:hAnsi="Times New Roman" w:cs="Times New Roman"/>
          <w:color w:val="000000"/>
          <w:sz w:val="20"/>
          <w:szCs w:val="20"/>
          <w:lang w:val="de-DE"/>
        </w:rPr>
        <w:t xml:space="preserve">, in weitester Bedeutung; ein Begriff, der alles materiale Seyn, und alle unmittelbare Gegenwart in den Sinnen bedeutet. Der Gegenstand des Formtriebes, in einem allgemeinen Begriff ausgedrückt, heißt </w:t>
      </w:r>
      <w:r w:rsidRPr="008D1399">
        <w:rPr>
          <w:rFonts w:ascii="Times New Roman" w:eastAsia="Times New Roman" w:hAnsi="Times New Roman" w:cs="Times New Roman"/>
          <w:i/>
          <w:color w:val="000000"/>
          <w:sz w:val="20"/>
          <w:szCs w:val="20"/>
          <w:lang w:val="de-DE"/>
        </w:rPr>
        <w:t>Gestalt</w:t>
      </w:r>
      <w:r w:rsidRPr="008D1399">
        <w:rPr>
          <w:rFonts w:ascii="Times New Roman" w:eastAsia="Times New Roman" w:hAnsi="Times New Roman" w:cs="Times New Roman"/>
          <w:color w:val="000000"/>
          <w:sz w:val="20"/>
          <w:szCs w:val="20"/>
          <w:lang w:val="de-DE"/>
        </w:rPr>
        <w:t>, sowohl in uneigentlicher als in eigentlicher Bedeutung; ein Begriff, der alle formalen Beschaffenheit der Dinge un</w:t>
      </w:r>
      <w:r>
        <w:rPr>
          <w:rFonts w:ascii="Times New Roman" w:eastAsia="Times New Roman" w:hAnsi="Times New Roman" w:cs="Times New Roman"/>
          <w:color w:val="000000"/>
          <w:sz w:val="20"/>
          <w:szCs w:val="20"/>
          <w:lang w:val="de-DE"/>
        </w:rPr>
        <w:t>d alle Beziehungen derselben auf</w:t>
      </w:r>
      <w:r w:rsidRPr="008D1399">
        <w:rPr>
          <w:rFonts w:ascii="Times New Roman" w:eastAsia="Times New Roman" w:hAnsi="Times New Roman" w:cs="Times New Roman"/>
          <w:color w:val="000000"/>
          <w:sz w:val="20"/>
          <w:szCs w:val="20"/>
          <w:lang w:val="de-DE"/>
        </w:rPr>
        <w:t xml:space="preserve"> die Denkkräfte unter sich faßt. Der Gegenstand des Spieltriebes, in einem allgemeinen Schema vorgestellt, wird also </w:t>
      </w:r>
      <w:r w:rsidRPr="008D1399">
        <w:rPr>
          <w:rFonts w:ascii="Times New Roman" w:eastAsia="Times New Roman" w:hAnsi="Times New Roman" w:cs="Times New Roman"/>
          <w:i/>
          <w:color w:val="000000"/>
          <w:sz w:val="20"/>
          <w:szCs w:val="20"/>
          <w:lang w:val="de-DE"/>
        </w:rPr>
        <w:t xml:space="preserve">lebende Gestalt </w:t>
      </w:r>
      <w:r w:rsidRPr="008D1399">
        <w:rPr>
          <w:rFonts w:ascii="Times New Roman" w:eastAsia="Times New Roman" w:hAnsi="Times New Roman" w:cs="Times New Roman"/>
          <w:color w:val="000000"/>
          <w:sz w:val="20"/>
          <w:szCs w:val="20"/>
          <w:lang w:val="de-DE"/>
        </w:rPr>
        <w:t xml:space="preserve">heißen können; ein Begriff, der allen ästhetischen Beschaffenheit der Erscheinungen, und mit einem Worte dem, was man in weitester Bedeutung </w:t>
      </w:r>
      <w:r w:rsidRPr="008D1399">
        <w:rPr>
          <w:rFonts w:ascii="Times New Roman" w:eastAsia="Times New Roman" w:hAnsi="Times New Roman" w:cs="Times New Roman"/>
          <w:i/>
          <w:color w:val="000000"/>
          <w:sz w:val="20"/>
          <w:szCs w:val="20"/>
          <w:lang w:val="de-DE"/>
        </w:rPr>
        <w:t xml:space="preserve">Schönheit </w:t>
      </w:r>
      <w:r w:rsidRPr="008D1399">
        <w:rPr>
          <w:rFonts w:ascii="Times New Roman" w:eastAsia="Times New Roman" w:hAnsi="Times New Roman" w:cs="Times New Roman"/>
          <w:color w:val="000000"/>
          <w:sz w:val="20"/>
          <w:szCs w:val="20"/>
          <w:lang w:val="de-DE"/>
        </w:rPr>
        <w:t>nennt, zur Bezeichnung dient».</w:t>
      </w:r>
      <w:r>
        <w:rPr>
          <w:rFonts w:ascii="Times New Roman" w:eastAsia="Times New Roman" w:hAnsi="Times New Roman" w:cs="Times New Roman"/>
          <w:color w:val="000000"/>
          <w:sz w:val="20"/>
          <w:szCs w:val="20"/>
          <w:lang w:val="de-DE"/>
        </w:rPr>
        <w:t xml:space="preserve"> </w:t>
      </w:r>
      <w:r w:rsidRPr="00141168">
        <w:rPr>
          <w:rFonts w:ascii="Times New Roman" w:eastAsia="Times New Roman" w:hAnsi="Times New Roman" w:cs="Times New Roman"/>
          <w:color w:val="000000"/>
          <w:sz w:val="20"/>
          <w:szCs w:val="20"/>
        </w:rPr>
        <w:t xml:space="preserve">É noto che Hegel rimase profondamente colpito dall’opera schilleriana. A questo riguardo, si veda </w:t>
      </w:r>
      <w:r w:rsidRPr="00141168">
        <w:rPr>
          <w:rFonts w:ascii="Times New Roman" w:hAnsi="Times New Roman" w:cs="Times New Roman"/>
          <w:sz w:val="20"/>
          <w:szCs w:val="20"/>
        </w:rPr>
        <w:t>la lettera del 16 aprile 1795 a Schelling, si legge:</w:t>
      </w:r>
      <w:r w:rsidRPr="006117D4">
        <w:rPr>
          <w:rFonts w:ascii="Times New Roman" w:hAnsi="Times New Roman" w:cs="Times New Roman"/>
          <w:sz w:val="20"/>
          <w:szCs w:val="20"/>
        </w:rPr>
        <w:t xml:space="preserve"> </w:t>
      </w:r>
      <w:r>
        <w:rPr>
          <w:rFonts w:ascii="Times New Roman" w:hAnsi="Times New Roman" w:cs="Times New Roman"/>
          <w:sz w:val="20"/>
          <w:szCs w:val="20"/>
        </w:rPr>
        <w:t>«Schillers Horen, zwei erste Stücke, haben mir großen Genuß gewährt, der Aufsatz über die ästetische Erziehung des Menschengeschlechtes ist ein Meisterstüc</w:t>
      </w:r>
      <w:r w:rsidRPr="008D1399">
        <w:rPr>
          <w:rFonts w:ascii="Times New Roman" w:hAnsi="Times New Roman" w:cs="Times New Roman"/>
          <w:sz w:val="20"/>
          <w:szCs w:val="20"/>
        </w:rPr>
        <w:t>k</w:t>
      </w:r>
      <w:r w:rsidRPr="008D1399">
        <w:rPr>
          <w:rFonts w:ascii="Times New Roman" w:eastAsia="Times New Roman" w:hAnsi="Times New Roman" w:cs="Times New Roman"/>
          <w:color w:val="000000"/>
          <w:sz w:val="20"/>
          <w:szCs w:val="20"/>
          <w:lang w:val="de-DE"/>
        </w:rPr>
        <w:t>»</w:t>
      </w:r>
      <w:r>
        <w:rPr>
          <w:rFonts w:ascii="Times New Roman" w:hAnsi="Times New Roman" w:cs="Times New Roman"/>
          <w:sz w:val="20"/>
          <w:szCs w:val="20"/>
        </w:rPr>
        <w:t xml:space="preserve"> (</w:t>
      </w:r>
      <w:r w:rsidRPr="006117D4">
        <w:rPr>
          <w:rFonts w:ascii="Times New Roman" w:hAnsi="Times New Roman" w:cs="Times New Roman"/>
          <w:i/>
          <w:sz w:val="20"/>
          <w:szCs w:val="20"/>
        </w:rPr>
        <w:t>Briefe</w:t>
      </w:r>
      <w:r w:rsidRPr="006117D4">
        <w:rPr>
          <w:rFonts w:ascii="Times New Roman" w:hAnsi="Times New Roman" w:cs="Times New Roman"/>
          <w:sz w:val="20"/>
          <w:szCs w:val="20"/>
        </w:rPr>
        <w:t xml:space="preserve">, p. </w:t>
      </w:r>
      <w:r>
        <w:rPr>
          <w:rFonts w:ascii="Times New Roman" w:hAnsi="Times New Roman" w:cs="Times New Roman"/>
          <w:sz w:val="20"/>
          <w:szCs w:val="20"/>
        </w:rPr>
        <w:t xml:space="preserve">25). </w:t>
      </w:r>
    </w:p>
  </w:footnote>
  <w:footnote w:id="107">
    <w:p w14:paraId="4DA364DD" w14:textId="77777777" w:rsidR="00B34CC2" w:rsidRPr="00F379E0" w:rsidRDefault="00B34CC2" w:rsidP="00F721A9">
      <w:pPr>
        <w:pStyle w:val="Testonotaapidipagina"/>
        <w:jc w:val="both"/>
        <w:rPr>
          <w:rFonts w:ascii="Times New Roman" w:hAnsi="Times New Roman" w:cs="Times New Roman"/>
          <w:sz w:val="20"/>
          <w:szCs w:val="20"/>
        </w:rPr>
      </w:pPr>
      <w:r w:rsidRPr="00641F49">
        <w:rPr>
          <w:rStyle w:val="Rimandonotaapidipagina"/>
          <w:rFonts w:ascii="Times New Roman" w:hAnsi="Times New Roman" w:cs="Times New Roman"/>
          <w:sz w:val="20"/>
          <w:szCs w:val="20"/>
        </w:rPr>
        <w:footnoteRef/>
      </w:r>
      <w:r w:rsidRPr="00641F49">
        <w:rPr>
          <w:rFonts w:ascii="Times New Roman" w:hAnsi="Times New Roman" w:cs="Times New Roman"/>
          <w:sz w:val="20"/>
          <w:szCs w:val="20"/>
        </w:rPr>
        <w:t xml:space="preserve"> F. Hölderlin, </w:t>
      </w:r>
      <w:r w:rsidRPr="00641F49">
        <w:rPr>
          <w:rFonts w:ascii="Times New Roman" w:hAnsi="Times New Roman" w:cs="Times New Roman"/>
          <w:i/>
          <w:sz w:val="20"/>
          <w:szCs w:val="20"/>
        </w:rPr>
        <w:t>Hyperion oder Der Eremit in Griechland</w:t>
      </w:r>
      <w:r w:rsidRPr="00641F49">
        <w:rPr>
          <w:rFonts w:ascii="Times New Roman" w:hAnsi="Times New Roman" w:cs="Times New Roman"/>
          <w:sz w:val="20"/>
          <w:szCs w:val="20"/>
        </w:rPr>
        <w:t xml:space="preserve">, hrsg. von D. E. Sattler, in </w:t>
      </w:r>
      <w:r w:rsidRPr="00641F49">
        <w:rPr>
          <w:rFonts w:ascii="Times New Roman" w:hAnsi="Times New Roman" w:cs="Times New Roman"/>
          <w:i/>
          <w:sz w:val="20"/>
          <w:szCs w:val="20"/>
        </w:rPr>
        <w:t>Sämtliche Werke</w:t>
      </w:r>
      <w:r w:rsidRPr="00641F49">
        <w:rPr>
          <w:rFonts w:ascii="Times New Roman" w:hAnsi="Times New Roman" w:cs="Times New Roman"/>
          <w:sz w:val="20"/>
          <w:szCs w:val="20"/>
        </w:rPr>
        <w:t>, Bd. V, Luchterhand, München 2011, p. 284.</w:t>
      </w:r>
    </w:p>
  </w:footnote>
  <w:footnote w:id="108">
    <w:p w14:paraId="10614396" w14:textId="77777777" w:rsidR="00B34CC2" w:rsidRPr="0059038A" w:rsidRDefault="00B34CC2" w:rsidP="00F721A9">
      <w:pPr>
        <w:pStyle w:val="Testonotaapidipagina"/>
        <w:jc w:val="both"/>
        <w:rPr>
          <w:rFonts w:ascii="Times New Roman" w:hAnsi="Times New Roman" w:cs="Times New Roman"/>
          <w:sz w:val="20"/>
          <w:szCs w:val="20"/>
        </w:rPr>
      </w:pPr>
      <w:r w:rsidRPr="0059038A">
        <w:rPr>
          <w:rStyle w:val="Rimandonotaapidipagina"/>
          <w:rFonts w:ascii="Times New Roman" w:hAnsi="Times New Roman" w:cs="Times New Roman"/>
          <w:sz w:val="20"/>
          <w:szCs w:val="20"/>
        </w:rPr>
        <w:footnoteRef/>
      </w:r>
      <w:r w:rsidRPr="0059038A">
        <w:rPr>
          <w:rFonts w:ascii="Times New Roman" w:hAnsi="Times New Roman" w:cs="Times New Roman"/>
          <w:sz w:val="20"/>
          <w:szCs w:val="20"/>
        </w:rPr>
        <w:t xml:space="preserve"> </w:t>
      </w:r>
      <w:r w:rsidRPr="005F315E">
        <w:rPr>
          <w:rFonts w:ascii="Times New Roman" w:hAnsi="Times New Roman" w:cs="Times New Roman"/>
          <w:i/>
          <w:sz w:val="20"/>
          <w:szCs w:val="20"/>
        </w:rPr>
        <w:t>Briefe</w:t>
      </w:r>
      <w:r>
        <w:rPr>
          <w:rFonts w:ascii="Times New Roman" w:hAnsi="Times New Roman" w:cs="Times New Roman"/>
          <w:sz w:val="20"/>
          <w:szCs w:val="20"/>
        </w:rPr>
        <w:t>, p. 59.</w:t>
      </w:r>
    </w:p>
  </w:footnote>
  <w:footnote w:id="109">
    <w:p w14:paraId="020410EA" w14:textId="5E5F1E9A" w:rsidR="00B34CC2" w:rsidRPr="00250F54" w:rsidRDefault="00B34CC2" w:rsidP="00F721A9">
      <w:pPr>
        <w:pStyle w:val="Testonotadichiusura"/>
        <w:jc w:val="both"/>
        <w:rPr>
          <w:rFonts w:ascii="Times New Roman" w:hAnsi="Times New Roman" w:cs="Times New Roman"/>
          <w:sz w:val="20"/>
          <w:szCs w:val="20"/>
          <w:lang w:val="en-GB"/>
        </w:rPr>
      </w:pPr>
      <w:r w:rsidRPr="0090139F">
        <w:rPr>
          <w:rStyle w:val="Rimandonotaapidipagina"/>
          <w:rFonts w:ascii="Times New Roman" w:hAnsi="Times New Roman" w:cs="Times New Roman"/>
          <w:sz w:val="20"/>
          <w:szCs w:val="20"/>
        </w:rPr>
        <w:footnoteRef/>
      </w:r>
      <w:r w:rsidRPr="0090139F">
        <w:rPr>
          <w:rFonts w:ascii="Times New Roman" w:hAnsi="Times New Roman" w:cs="Times New Roman"/>
          <w:sz w:val="20"/>
          <w:szCs w:val="20"/>
        </w:rPr>
        <w:t xml:space="preserve"> </w:t>
      </w:r>
      <w:r>
        <w:rPr>
          <w:rFonts w:ascii="Times New Roman" w:hAnsi="Times New Roman" w:cs="Times New Roman"/>
          <w:sz w:val="20"/>
          <w:szCs w:val="20"/>
        </w:rPr>
        <w:t xml:space="preserve">La volontà hegeliana di ripensare l’ideale della propria giovinezza in forma sistematica è attesta dalla lettera inviata a Schelling il 2 novembre del 1800. Sebbene sia una testimonianza nota, non credo sia inutile riportare, anche in questa sede, le intenzioni programmatiche di Hegel. Cfr. </w:t>
      </w:r>
      <w:r w:rsidRPr="005F315E">
        <w:rPr>
          <w:rFonts w:ascii="Times New Roman" w:hAnsi="Times New Roman" w:cs="Times New Roman"/>
          <w:i/>
          <w:sz w:val="20"/>
          <w:szCs w:val="20"/>
        </w:rPr>
        <w:t>Briefe</w:t>
      </w:r>
      <w:r>
        <w:rPr>
          <w:rFonts w:ascii="Times New Roman" w:hAnsi="Times New Roman" w:cs="Times New Roman"/>
          <w:sz w:val="20"/>
          <w:szCs w:val="20"/>
        </w:rPr>
        <w:t xml:space="preserve">, p. 59: </w:t>
      </w:r>
      <w:r w:rsidRPr="00250F54">
        <w:rPr>
          <w:rFonts w:ascii="Times New Roman" w:hAnsi="Times New Roman" w:cs="Times New Roman"/>
          <w:sz w:val="20"/>
          <w:szCs w:val="20"/>
        </w:rPr>
        <w:t>«</w:t>
      </w:r>
      <w:r w:rsidRPr="00250F54">
        <w:rPr>
          <w:rFonts w:ascii="Times New Roman" w:hAnsi="Times New Roman" w:cs="Times New Roman"/>
          <w:sz w:val="20"/>
          <w:szCs w:val="20"/>
          <w:lang w:val="en-GB"/>
        </w:rPr>
        <w:t>In meiner wissenschaftlichen Bildung, die von untergeordetern Bedürfnisse der Menschen anfing, mußte ich zur Wissenschaft vorgetrieben werden, und das Ideal des Jünglingsalters mußte sich zue Reflexionsform, in ein System zugleich verwandeln; ich frage mich</w:t>
      </w:r>
      <w:r>
        <w:rPr>
          <w:rFonts w:ascii="Times New Roman" w:hAnsi="Times New Roman" w:cs="Times New Roman"/>
          <w:sz w:val="20"/>
          <w:szCs w:val="20"/>
          <w:lang w:val="en-GB"/>
        </w:rPr>
        <w:t xml:space="preserve"> jetzt, während ich noch damit </w:t>
      </w:r>
      <w:r w:rsidRPr="00250F54">
        <w:rPr>
          <w:rFonts w:ascii="Times New Roman" w:hAnsi="Times New Roman" w:cs="Times New Roman"/>
          <w:sz w:val="20"/>
          <w:szCs w:val="20"/>
          <w:lang w:val="en-GB"/>
        </w:rPr>
        <w:t xml:space="preserve">beschäftigt bin, welche Rückkehr zum Eingreifen in das Leben der Menschen zu finden ist». </w:t>
      </w:r>
    </w:p>
  </w:footnote>
  <w:footnote w:id="110">
    <w:p w14:paraId="2BC9CAC0" w14:textId="56323F9A" w:rsidR="00B34CC2" w:rsidRPr="006D02B8" w:rsidRDefault="00B34CC2" w:rsidP="00F721A9">
      <w:pPr>
        <w:pStyle w:val="Testonotaapidipagina"/>
        <w:jc w:val="both"/>
        <w:rPr>
          <w:rFonts w:ascii="Times New Roman" w:hAnsi="Times New Roman" w:cs="Times New Roman"/>
          <w:sz w:val="20"/>
          <w:szCs w:val="20"/>
          <w:highlight w:val="yellow"/>
        </w:rPr>
      </w:pPr>
      <w:r w:rsidRPr="008613A1">
        <w:rPr>
          <w:rStyle w:val="Rimandonotaapidipagina"/>
          <w:rFonts w:ascii="Times New Roman" w:hAnsi="Times New Roman" w:cs="Times New Roman"/>
          <w:sz w:val="20"/>
          <w:szCs w:val="20"/>
        </w:rPr>
        <w:footnoteRef/>
      </w:r>
      <w:r w:rsidRPr="008613A1">
        <w:rPr>
          <w:rFonts w:ascii="Times New Roman" w:hAnsi="Times New Roman" w:cs="Times New Roman"/>
          <w:sz w:val="20"/>
          <w:szCs w:val="20"/>
        </w:rPr>
        <w:t xml:space="preserve"> </w:t>
      </w:r>
      <w:r w:rsidRPr="00A41F35">
        <w:rPr>
          <w:rFonts w:ascii="Times New Roman" w:hAnsi="Times New Roman" w:cs="Times New Roman"/>
          <w:i/>
          <w:sz w:val="20"/>
          <w:szCs w:val="20"/>
        </w:rPr>
        <w:t>Diff</w:t>
      </w:r>
      <w:r w:rsidRPr="00F9419A">
        <w:rPr>
          <w:rFonts w:ascii="Times New Roman" w:hAnsi="Times New Roman" w:cs="Times New Roman"/>
          <w:sz w:val="20"/>
          <w:szCs w:val="20"/>
        </w:rPr>
        <w:t xml:space="preserve">, </w:t>
      </w:r>
      <w:r>
        <w:rPr>
          <w:rFonts w:ascii="Times New Roman" w:hAnsi="Times New Roman" w:cs="Times New Roman"/>
          <w:sz w:val="20"/>
          <w:szCs w:val="20"/>
        </w:rPr>
        <w:t xml:space="preserve">p. </w:t>
      </w:r>
      <w:r w:rsidRPr="00F9419A">
        <w:rPr>
          <w:rFonts w:ascii="Times New Roman" w:hAnsi="Times New Roman" w:cs="Times New Roman"/>
          <w:sz w:val="20"/>
          <w:szCs w:val="20"/>
        </w:rPr>
        <w:t>16.</w:t>
      </w:r>
      <w:r>
        <w:rPr>
          <w:rFonts w:ascii="Times New Roman" w:hAnsi="Times New Roman" w:cs="Times New Roman"/>
          <w:sz w:val="20"/>
          <w:szCs w:val="20"/>
        </w:rPr>
        <w:t xml:space="preserve"> </w:t>
      </w:r>
      <w:r w:rsidRPr="00C005C5">
        <w:rPr>
          <w:rFonts w:ascii="Times New Roman" w:hAnsi="Times New Roman" w:cs="Times New Roman"/>
          <w:sz w:val="20"/>
          <w:szCs w:val="20"/>
        </w:rPr>
        <w:t xml:space="preserve">Pensare l’Assoluto come un nulla a partire dal quale deve essere colto tutto ciò che è rappresenta un quesito teorico con tutta probabilità suggerito ad Hegel da un’opera che influenzò profondamente la sua </w:t>
      </w:r>
      <w:r w:rsidRPr="00AF1FC6">
        <w:rPr>
          <w:rFonts w:ascii="Times New Roman" w:hAnsi="Times New Roman" w:cs="Times New Roman"/>
          <w:sz w:val="20"/>
          <w:szCs w:val="20"/>
        </w:rPr>
        <w:t xml:space="preserve">formazione intellettuale già a partire dagli anni di Tubinga. Mi riferisco alla </w:t>
      </w:r>
      <w:r w:rsidRPr="00AF1FC6">
        <w:rPr>
          <w:rFonts w:ascii="Times New Roman" w:hAnsi="Times New Roman" w:cs="Times New Roman"/>
          <w:i/>
          <w:sz w:val="20"/>
          <w:szCs w:val="20"/>
        </w:rPr>
        <w:t xml:space="preserve">Über die Lehre des Spinoza in Briefen an den Herrn Moses Mendelssohn </w:t>
      </w:r>
      <w:r w:rsidRPr="00AF1FC6">
        <w:rPr>
          <w:rFonts w:ascii="Times New Roman" w:hAnsi="Times New Roman" w:cs="Times New Roman"/>
          <w:sz w:val="20"/>
          <w:szCs w:val="20"/>
        </w:rPr>
        <w:t xml:space="preserve">di Jacobi. Nella prima appendice apposta alla seconda edizione del testo (1789), Jacobi introduce, grazie alla mediazione della traduzione parziale </w:t>
      </w:r>
      <w:r w:rsidRPr="00AF1FC6">
        <w:rPr>
          <w:rFonts w:ascii="Times New Roman" w:hAnsi="Times New Roman" w:cs="Times New Roman"/>
          <w:i/>
          <w:sz w:val="20"/>
          <w:szCs w:val="20"/>
        </w:rPr>
        <w:t>De Causa</w:t>
      </w:r>
      <w:r w:rsidRPr="00AF1FC6">
        <w:rPr>
          <w:rFonts w:ascii="Times New Roman" w:hAnsi="Times New Roman" w:cs="Times New Roman"/>
          <w:sz w:val="20"/>
          <w:szCs w:val="20"/>
        </w:rPr>
        <w:t xml:space="preserve"> bruniano, proprio il concetto di </w:t>
      </w:r>
      <w:r w:rsidRPr="00AF1FC6">
        <w:rPr>
          <w:rFonts w:ascii="Times New Roman" w:hAnsi="Times New Roman" w:cs="Times New Roman"/>
          <w:i/>
          <w:sz w:val="20"/>
          <w:szCs w:val="20"/>
        </w:rPr>
        <w:t>nihil</w:t>
      </w:r>
      <w:r w:rsidRPr="00AF1FC6">
        <w:rPr>
          <w:rFonts w:ascii="Times New Roman" w:hAnsi="Times New Roman" w:cs="Times New Roman"/>
          <w:sz w:val="20"/>
          <w:szCs w:val="20"/>
        </w:rPr>
        <w:t>. Il principio materiale, inteso come soggetto, non è un «</w:t>
      </w:r>
      <w:r w:rsidRPr="00AF1FC6">
        <w:rPr>
          <w:rFonts w:ascii="Times New Roman" w:hAnsi="Times New Roman" w:cs="Times New Roman"/>
          <w:i/>
          <w:sz w:val="20"/>
          <w:szCs w:val="20"/>
        </w:rPr>
        <w:t>prope nihil</w:t>
      </w:r>
      <w:r w:rsidRPr="00AF1FC6">
        <w:rPr>
          <w:rFonts w:ascii="Times New Roman" w:hAnsi="Times New Roman" w:cs="Times New Roman"/>
          <w:sz w:val="20"/>
          <w:szCs w:val="20"/>
          <w:lang w:val="en-GB"/>
        </w:rPr>
        <w:t>» (</w:t>
      </w:r>
      <w:r w:rsidRPr="00AF1FC6">
        <w:rPr>
          <w:rFonts w:ascii="Times New Roman" w:hAnsi="Times New Roman" w:cs="Times New Roman"/>
          <w:sz w:val="20"/>
          <w:szCs w:val="20"/>
        </w:rPr>
        <w:t xml:space="preserve">F. H. </w:t>
      </w:r>
      <w:r w:rsidRPr="00AF1FC6">
        <w:rPr>
          <w:rFonts w:ascii="Times New Roman" w:hAnsi="Times New Roman" w:cs="Times New Roman"/>
          <w:i/>
          <w:sz w:val="20"/>
          <w:szCs w:val="20"/>
        </w:rPr>
        <w:t>Jacobi, Schriften zum Spinozastreit</w:t>
      </w:r>
      <w:r w:rsidRPr="00AF1FC6">
        <w:rPr>
          <w:rFonts w:ascii="Times New Roman" w:hAnsi="Times New Roman" w:cs="Times New Roman"/>
          <w:sz w:val="20"/>
          <w:szCs w:val="20"/>
        </w:rPr>
        <w:t xml:space="preserve">, hrsg. von K. Hammacher und I.-M. Piske, in </w:t>
      </w:r>
      <w:r w:rsidRPr="00AF1FC6">
        <w:rPr>
          <w:rFonts w:ascii="Times New Roman" w:hAnsi="Times New Roman" w:cs="Times New Roman"/>
          <w:i/>
          <w:sz w:val="20"/>
          <w:szCs w:val="20"/>
        </w:rPr>
        <w:t>Friedrich Heinrich Jacobi: Werke</w:t>
      </w:r>
      <w:r w:rsidRPr="00AF1FC6">
        <w:rPr>
          <w:rFonts w:ascii="Times New Roman" w:hAnsi="Times New Roman" w:cs="Times New Roman"/>
          <w:sz w:val="20"/>
          <w:szCs w:val="20"/>
        </w:rPr>
        <w:t>, B. 1,1, Felix Meiner Verlag, Hamburg 1998, p. 198</w:t>
      </w:r>
      <w:r w:rsidRPr="00AF1FC6">
        <w:rPr>
          <w:rFonts w:ascii="Times New Roman" w:hAnsi="Times New Roman" w:cs="Times New Roman"/>
          <w:sz w:val="20"/>
          <w:szCs w:val="20"/>
          <w:lang w:val="en-GB"/>
        </w:rPr>
        <w:t xml:space="preserve">), </w:t>
      </w:r>
      <w:r w:rsidRPr="00AF1FC6">
        <w:rPr>
          <w:rFonts w:ascii="Times New Roman" w:hAnsi="Times New Roman" w:cs="Times New Roman"/>
          <w:sz w:val="20"/>
          <w:szCs w:val="20"/>
        </w:rPr>
        <w:t>ossia un principio astratto o indeterminato, ma un tutto (</w:t>
      </w:r>
      <w:r w:rsidRPr="00AF1FC6">
        <w:rPr>
          <w:rFonts w:ascii="Times New Roman" w:hAnsi="Times New Roman" w:cs="Times New Roman"/>
          <w:i/>
          <w:sz w:val="20"/>
          <w:szCs w:val="20"/>
        </w:rPr>
        <w:t>ein Ganzes</w:t>
      </w:r>
      <w:r w:rsidRPr="00AF1FC6">
        <w:rPr>
          <w:rFonts w:ascii="Times New Roman" w:hAnsi="Times New Roman" w:cs="Times New Roman"/>
          <w:sz w:val="20"/>
          <w:szCs w:val="20"/>
        </w:rPr>
        <w:t>) che nelle sue contrazioni particolari produce, eccedendole, una molteplicità di forme determinate.</w:t>
      </w:r>
      <w:r w:rsidRPr="00BA1742">
        <w:rPr>
          <w:rFonts w:ascii="Times New Roman" w:hAnsi="Times New Roman" w:cs="Times New Roman"/>
          <w:sz w:val="20"/>
          <w:szCs w:val="20"/>
        </w:rPr>
        <w:t xml:space="preserve"> In forza di queste osservazioni, il principio materiale è un tutto che </w:t>
      </w:r>
      <w:r>
        <w:rPr>
          <w:rFonts w:ascii="Times New Roman" w:hAnsi="Times New Roman" w:cs="Times New Roman"/>
          <w:sz w:val="20"/>
          <w:szCs w:val="20"/>
        </w:rPr>
        <w:t>non s’identifica con alcuna delle sue determinazioni</w:t>
      </w:r>
      <w:r w:rsidRPr="00BA1742">
        <w:rPr>
          <w:rFonts w:ascii="Times New Roman" w:hAnsi="Times New Roman" w:cs="Times New Roman"/>
          <w:sz w:val="20"/>
          <w:szCs w:val="20"/>
        </w:rPr>
        <w:t>. Espresso con un</w:t>
      </w:r>
      <w:r>
        <w:rPr>
          <w:rFonts w:ascii="Times New Roman" w:hAnsi="Times New Roman" w:cs="Times New Roman"/>
          <w:sz w:val="20"/>
          <w:szCs w:val="20"/>
        </w:rPr>
        <w:t>a</w:t>
      </w:r>
      <w:r w:rsidRPr="00BA1742">
        <w:rPr>
          <w:rFonts w:ascii="Times New Roman" w:hAnsi="Times New Roman" w:cs="Times New Roman"/>
          <w:sz w:val="20"/>
          <w:szCs w:val="20"/>
        </w:rPr>
        <w:t xml:space="preserve"> formula estremamente efficace: </w:t>
      </w:r>
      <w:r w:rsidRPr="00BA1742">
        <w:rPr>
          <w:rFonts w:ascii="Times New Roman" w:eastAsia="Times New Roman" w:hAnsi="Times New Roman" w:cs="Times New Roman"/>
          <w:color w:val="000000"/>
          <w:sz w:val="20"/>
          <w:szCs w:val="20"/>
        </w:rPr>
        <w:t>«</w:t>
      </w:r>
      <w:r w:rsidRPr="00BA1742">
        <w:rPr>
          <w:rFonts w:ascii="Times New Roman" w:eastAsia="Times New Roman" w:hAnsi="Times New Roman" w:cs="Times New Roman"/>
          <w:i/>
          <w:color w:val="000000"/>
          <w:sz w:val="20"/>
          <w:szCs w:val="20"/>
        </w:rPr>
        <w:t>nullas habet dimensiones, ut omnes habeat</w:t>
      </w:r>
      <w:r w:rsidRPr="00BA1742">
        <w:rPr>
          <w:rFonts w:ascii="Times New Roman" w:eastAsia="Times New Roman" w:hAnsi="Times New Roman" w:cs="Times New Roman"/>
          <w:color w:val="000000"/>
          <w:sz w:val="20"/>
          <w:szCs w:val="20"/>
        </w:rPr>
        <w:t>» (</w:t>
      </w:r>
      <w:r w:rsidRPr="00BA1742">
        <w:rPr>
          <w:rFonts w:ascii="Times New Roman" w:eastAsia="Times New Roman" w:hAnsi="Times New Roman" w:cs="Times New Roman"/>
          <w:i/>
          <w:color w:val="000000"/>
          <w:sz w:val="20"/>
          <w:szCs w:val="20"/>
        </w:rPr>
        <w:t>Ibidem</w:t>
      </w:r>
      <w:r w:rsidRPr="00BA1742">
        <w:rPr>
          <w:rFonts w:ascii="Times New Roman" w:eastAsia="Times New Roman" w:hAnsi="Times New Roman" w:cs="Times New Roman"/>
          <w:color w:val="000000"/>
          <w:sz w:val="20"/>
          <w:szCs w:val="20"/>
        </w:rPr>
        <w:t>).</w:t>
      </w:r>
    </w:p>
  </w:footnote>
  <w:footnote w:id="111">
    <w:p w14:paraId="33D08CC6" w14:textId="71A4CDA3" w:rsidR="00B34CC2" w:rsidRPr="00FA05BA" w:rsidRDefault="00B34CC2" w:rsidP="00F721A9">
      <w:pPr>
        <w:pStyle w:val="Testonotaapidipagina"/>
        <w:jc w:val="both"/>
        <w:rPr>
          <w:rFonts w:ascii="Times New Roman" w:hAnsi="Times New Roman" w:cs="Times New Roman"/>
          <w:sz w:val="20"/>
          <w:szCs w:val="20"/>
        </w:rPr>
      </w:pPr>
      <w:r w:rsidRPr="00535D84">
        <w:rPr>
          <w:rStyle w:val="Rimandonotaapidipagina"/>
          <w:rFonts w:ascii="Times New Roman" w:hAnsi="Times New Roman" w:cs="Times New Roman"/>
          <w:sz w:val="20"/>
          <w:szCs w:val="20"/>
        </w:rPr>
        <w:footnoteRef/>
      </w:r>
      <w:r w:rsidRPr="00535D84">
        <w:rPr>
          <w:rFonts w:ascii="Times New Roman" w:hAnsi="Times New Roman" w:cs="Times New Roman"/>
          <w:sz w:val="20"/>
          <w:szCs w:val="20"/>
        </w:rPr>
        <w:t xml:space="preserve"> </w:t>
      </w:r>
      <w:r>
        <w:rPr>
          <w:rFonts w:ascii="Times New Roman" w:hAnsi="Times New Roman" w:cs="Times New Roman"/>
          <w:sz w:val="20"/>
          <w:szCs w:val="20"/>
        </w:rPr>
        <w:t xml:space="preserve">Per una contestualizzazione del pensiero di Jacobi all’interno della cornice storico-filosofica del proprio tempo, resta ancora oggi di fondamentale importanza il lavoro di V. Verra, </w:t>
      </w:r>
      <w:r>
        <w:rPr>
          <w:rFonts w:ascii="Times New Roman" w:hAnsi="Times New Roman" w:cs="Times New Roman"/>
          <w:i/>
          <w:sz w:val="20"/>
          <w:szCs w:val="20"/>
        </w:rPr>
        <w:t>F.H. Jacobi dall’illuminismo all’idealismo</w:t>
      </w:r>
      <w:r>
        <w:rPr>
          <w:rFonts w:ascii="Times New Roman" w:hAnsi="Times New Roman" w:cs="Times New Roman"/>
          <w:sz w:val="20"/>
          <w:szCs w:val="20"/>
        </w:rPr>
        <w:t xml:space="preserve">, Edizioni di filosofia, Torino 1963. Sempre su questo tema cfr. </w:t>
      </w:r>
      <w:r w:rsidRPr="003C7273">
        <w:rPr>
          <w:rFonts w:ascii="Times New Roman" w:hAnsi="Times New Roman" w:cs="Times New Roman"/>
          <w:i/>
          <w:sz w:val="20"/>
          <w:szCs w:val="20"/>
        </w:rPr>
        <w:t>Friedrich Heinrich Jacobi. Ein Wendepunkt der geistigen Bildung der Zeit</w:t>
      </w:r>
      <w:r>
        <w:rPr>
          <w:rFonts w:ascii="Times New Roman" w:hAnsi="Times New Roman" w:cs="Times New Roman"/>
          <w:sz w:val="20"/>
          <w:szCs w:val="20"/>
        </w:rPr>
        <w:t xml:space="preserve">, hrsg. von W. Jaeschke und B. Sandkaulen, Felix Meiner Verlag, Hamburg, 2014. Sull’importanza di Jacobi all’interno del dibattito sul nichilismo si vedano i testi di S. Givone, </w:t>
      </w:r>
      <w:r>
        <w:rPr>
          <w:rFonts w:ascii="Times New Roman" w:hAnsi="Times New Roman" w:cs="Times New Roman"/>
          <w:i/>
          <w:sz w:val="20"/>
          <w:szCs w:val="20"/>
        </w:rPr>
        <w:t>Storia del nulla</w:t>
      </w:r>
      <w:r>
        <w:rPr>
          <w:rFonts w:ascii="Times New Roman" w:hAnsi="Times New Roman" w:cs="Times New Roman"/>
          <w:sz w:val="20"/>
          <w:szCs w:val="20"/>
        </w:rPr>
        <w:t xml:space="preserve">, Laterza, Bari 2019, pp.160-170 (prima ed. 2003) e di F. Volpi, </w:t>
      </w:r>
      <w:r>
        <w:rPr>
          <w:rFonts w:ascii="Times New Roman" w:hAnsi="Times New Roman" w:cs="Times New Roman"/>
          <w:i/>
          <w:sz w:val="20"/>
          <w:szCs w:val="20"/>
        </w:rPr>
        <w:t>Il nichilismo</w:t>
      </w:r>
      <w:r>
        <w:rPr>
          <w:rFonts w:ascii="Times New Roman" w:hAnsi="Times New Roman" w:cs="Times New Roman"/>
          <w:sz w:val="20"/>
          <w:szCs w:val="20"/>
        </w:rPr>
        <w:t xml:space="preserve">, Laterza, Bari 2005, pp. 14-22 (prima ed. 1996). Sul collegamento del concetto jacobiano del nichilismo non soltanto con l’idealismo fichtiano, ma anche con il sistema spinoziano cfr. G. Baum, </w:t>
      </w:r>
      <w:r>
        <w:rPr>
          <w:rFonts w:ascii="Times New Roman" w:hAnsi="Times New Roman" w:cs="Times New Roman"/>
          <w:i/>
          <w:sz w:val="20"/>
          <w:szCs w:val="20"/>
        </w:rPr>
        <w:t xml:space="preserve">Friedrich Heinrich Jacobi und die Philosophie </w:t>
      </w:r>
      <w:r w:rsidRPr="00961963">
        <w:rPr>
          <w:rFonts w:ascii="Times New Roman" w:hAnsi="Times New Roman" w:cs="Times New Roman"/>
          <w:sz w:val="20"/>
          <w:szCs w:val="20"/>
        </w:rPr>
        <w:t>Spinozas</w:t>
      </w:r>
      <w:r>
        <w:rPr>
          <w:rFonts w:ascii="Times New Roman" w:hAnsi="Times New Roman" w:cs="Times New Roman"/>
          <w:sz w:val="20"/>
          <w:szCs w:val="20"/>
        </w:rPr>
        <w:t xml:space="preserve">, </w:t>
      </w:r>
      <w:r w:rsidRPr="00961963">
        <w:rPr>
          <w:rFonts w:ascii="Times New Roman" w:hAnsi="Times New Roman" w:cs="Times New Roman"/>
          <w:sz w:val="20"/>
          <w:szCs w:val="20"/>
        </w:rPr>
        <w:t>in</w:t>
      </w:r>
      <w:r w:rsidRPr="006040A4">
        <w:rPr>
          <w:rFonts w:ascii="Times New Roman" w:hAnsi="Times New Roman" w:cs="Times New Roman"/>
          <w:sz w:val="20"/>
          <w:szCs w:val="20"/>
        </w:rPr>
        <w:t xml:space="preserve"> </w:t>
      </w:r>
      <w:r w:rsidRPr="006040A4">
        <w:rPr>
          <w:rFonts w:ascii="Times New Roman" w:hAnsi="Times New Roman" w:cs="Times New Roman"/>
          <w:i/>
          <w:sz w:val="20"/>
          <w:szCs w:val="20"/>
        </w:rPr>
        <w:t>Spinoza im</w:t>
      </w:r>
      <w:r>
        <w:rPr>
          <w:rFonts w:ascii="Times New Roman" w:hAnsi="Times New Roman" w:cs="Times New Roman"/>
          <w:i/>
          <w:sz w:val="20"/>
          <w:szCs w:val="20"/>
        </w:rPr>
        <w:t xml:space="preserve"> Deutschland des</w:t>
      </w:r>
      <w:r w:rsidRPr="006040A4">
        <w:rPr>
          <w:rFonts w:ascii="Times New Roman" w:hAnsi="Times New Roman" w:cs="Times New Roman"/>
          <w:i/>
          <w:sz w:val="20"/>
          <w:szCs w:val="20"/>
        </w:rPr>
        <w:t xml:space="preserve"> 18. Jahrhundert</w:t>
      </w:r>
      <w:r>
        <w:rPr>
          <w:rFonts w:ascii="Times New Roman" w:hAnsi="Times New Roman" w:cs="Times New Roman"/>
          <w:i/>
          <w:sz w:val="20"/>
          <w:szCs w:val="20"/>
        </w:rPr>
        <w:t>s</w:t>
      </w:r>
      <w:r>
        <w:rPr>
          <w:rFonts w:ascii="Times New Roman" w:hAnsi="Times New Roman" w:cs="Times New Roman"/>
          <w:sz w:val="20"/>
          <w:szCs w:val="20"/>
        </w:rPr>
        <w:t>, hrsg. von E. Schürmann, N. Waszek und F. Weinreich, Friedrich Fromman Verlag</w:t>
      </w:r>
      <w:r w:rsidRPr="007B5243">
        <w:rPr>
          <w:rFonts w:ascii="Times New Roman" w:hAnsi="Times New Roman" w:cs="Times New Roman"/>
          <w:sz w:val="20"/>
          <w:szCs w:val="20"/>
        </w:rPr>
        <w:t>, Stuttgart, 2002, pp. 251-265.</w:t>
      </w:r>
    </w:p>
  </w:footnote>
  <w:footnote w:id="112">
    <w:p w14:paraId="15F5AC2E" w14:textId="6FD4C862" w:rsidR="00B34CC2" w:rsidRPr="000668C1" w:rsidRDefault="00B34CC2" w:rsidP="00F721A9">
      <w:pPr>
        <w:pStyle w:val="Testonotaapidipagina"/>
        <w:jc w:val="both"/>
        <w:rPr>
          <w:rFonts w:ascii="Times New Roman" w:hAnsi="Times New Roman" w:cs="Times New Roman"/>
          <w:i/>
          <w:sz w:val="20"/>
          <w:szCs w:val="20"/>
        </w:rPr>
      </w:pPr>
      <w:r w:rsidRPr="001448E2">
        <w:rPr>
          <w:rStyle w:val="Rimandonotaapidipagina"/>
          <w:rFonts w:ascii="Times New Roman" w:hAnsi="Times New Roman" w:cs="Times New Roman"/>
          <w:sz w:val="20"/>
          <w:szCs w:val="20"/>
        </w:rPr>
        <w:footnoteRef/>
      </w:r>
      <w:r w:rsidRPr="001448E2">
        <w:rPr>
          <w:rFonts w:ascii="Times New Roman" w:hAnsi="Times New Roman" w:cs="Times New Roman"/>
          <w:sz w:val="20"/>
          <w:szCs w:val="20"/>
        </w:rPr>
        <w:t xml:space="preserve"> Sulla distinzione fra fondamento e causa in Jacobi si rimanda al lavoro di B. Sandkaulen, </w:t>
      </w:r>
      <w:r w:rsidRPr="001448E2">
        <w:rPr>
          <w:rFonts w:ascii="Times New Roman" w:hAnsi="Times New Roman" w:cs="Times New Roman"/>
          <w:i/>
          <w:sz w:val="20"/>
          <w:szCs w:val="20"/>
        </w:rPr>
        <w:t>Grund und Ursache. Die Vernunftkritk Jacobis</w:t>
      </w:r>
      <w:r w:rsidRPr="001448E2">
        <w:rPr>
          <w:rFonts w:ascii="Times New Roman" w:hAnsi="Times New Roman" w:cs="Times New Roman"/>
          <w:sz w:val="20"/>
          <w:szCs w:val="20"/>
        </w:rPr>
        <w:t>, Wilhelm Fink, München 2000.</w:t>
      </w:r>
      <w:r>
        <w:rPr>
          <w:rFonts w:ascii="Times New Roman" w:hAnsi="Times New Roman" w:cs="Times New Roman"/>
          <w:i/>
          <w:sz w:val="20"/>
          <w:szCs w:val="20"/>
        </w:rPr>
        <w:t xml:space="preserve"> </w:t>
      </w:r>
    </w:p>
  </w:footnote>
  <w:footnote w:id="113">
    <w:p w14:paraId="16511B04" w14:textId="48626A67" w:rsidR="00B34CC2" w:rsidRDefault="00B34CC2" w:rsidP="00F721A9">
      <w:pPr>
        <w:pStyle w:val="Testonotaapidipagina"/>
        <w:jc w:val="both"/>
      </w:pPr>
      <w:r w:rsidRPr="00E47A19">
        <w:rPr>
          <w:rStyle w:val="Rimandonotaapidipagina"/>
          <w:sz w:val="20"/>
          <w:szCs w:val="20"/>
        </w:rPr>
        <w:footnoteRef/>
      </w:r>
      <w:r w:rsidRPr="00E47A19">
        <w:rPr>
          <w:sz w:val="20"/>
          <w:szCs w:val="20"/>
        </w:rPr>
        <w:t xml:space="preserve"> </w:t>
      </w:r>
      <w:r w:rsidRPr="00E47A19">
        <w:rPr>
          <w:rFonts w:ascii="Times New Roman" w:hAnsi="Times New Roman" w:cs="Times New Roman"/>
          <w:sz w:val="20"/>
          <w:szCs w:val="20"/>
        </w:rPr>
        <w:t xml:space="preserve">Jacobi, F.H. Jacobi, </w:t>
      </w:r>
      <w:r w:rsidRPr="00F50C16">
        <w:rPr>
          <w:rFonts w:ascii="Times New Roman" w:hAnsi="Times New Roman" w:cs="Times New Roman"/>
          <w:i/>
          <w:sz w:val="20"/>
          <w:szCs w:val="20"/>
        </w:rPr>
        <w:t>Jacobi an Fichte</w:t>
      </w:r>
      <w:r w:rsidRPr="00F50C16">
        <w:rPr>
          <w:rFonts w:ascii="Times New Roman" w:hAnsi="Times New Roman" w:cs="Times New Roman"/>
          <w:sz w:val="20"/>
          <w:szCs w:val="20"/>
        </w:rPr>
        <w:t xml:space="preserve">, in </w:t>
      </w:r>
      <w:r w:rsidRPr="00F50C16">
        <w:rPr>
          <w:rFonts w:ascii="Times New Roman" w:hAnsi="Times New Roman" w:cs="Times New Roman"/>
          <w:i/>
          <w:sz w:val="20"/>
          <w:szCs w:val="20"/>
        </w:rPr>
        <w:t>Friedrich Heinrich Jacobi Werke</w:t>
      </w:r>
      <w:r w:rsidRPr="00F50C16">
        <w:rPr>
          <w:rFonts w:ascii="Times New Roman" w:hAnsi="Times New Roman" w:cs="Times New Roman"/>
          <w:sz w:val="20"/>
          <w:szCs w:val="20"/>
        </w:rPr>
        <w:t>, Band 2,1,</w:t>
      </w:r>
      <w:r w:rsidRPr="00F50C16">
        <w:rPr>
          <w:rFonts w:ascii="Times New Roman" w:hAnsi="Times New Roman" w:cs="Times New Roman"/>
          <w:i/>
          <w:sz w:val="20"/>
          <w:szCs w:val="20"/>
        </w:rPr>
        <w:t xml:space="preserve"> </w:t>
      </w:r>
      <w:r w:rsidRPr="00F50C16">
        <w:rPr>
          <w:rFonts w:ascii="Times New Roman" w:hAnsi="Times New Roman" w:cs="Times New Roman"/>
          <w:sz w:val="20"/>
          <w:szCs w:val="20"/>
        </w:rPr>
        <w:t>hrsg. von W. Jaeschke und I.-M- Pisk</w:t>
      </w:r>
      <w:r>
        <w:rPr>
          <w:rFonts w:ascii="Times New Roman" w:hAnsi="Times New Roman" w:cs="Times New Roman"/>
          <w:sz w:val="20"/>
          <w:szCs w:val="20"/>
        </w:rPr>
        <w:t>e, Felix Meiner Verlag, Hamburg</w:t>
      </w:r>
      <w:r w:rsidRPr="00F50C16">
        <w:rPr>
          <w:rFonts w:ascii="Times New Roman" w:hAnsi="Times New Roman" w:cs="Times New Roman"/>
          <w:sz w:val="20"/>
          <w:szCs w:val="20"/>
        </w:rPr>
        <w:t xml:space="preserve"> 2004</w:t>
      </w:r>
      <w:r>
        <w:rPr>
          <w:rFonts w:ascii="Times New Roman" w:hAnsi="Times New Roman" w:cs="Times New Roman"/>
          <w:sz w:val="20"/>
          <w:szCs w:val="20"/>
        </w:rPr>
        <w:t>, p. 206.</w:t>
      </w:r>
    </w:p>
  </w:footnote>
  <w:footnote w:id="114">
    <w:p w14:paraId="392666AB" w14:textId="4C15883D" w:rsidR="00B34CC2" w:rsidRPr="001D3342" w:rsidRDefault="00B34CC2" w:rsidP="00F721A9">
      <w:pPr>
        <w:pStyle w:val="Testonotaapidipagina"/>
        <w:jc w:val="both"/>
        <w:rPr>
          <w:rFonts w:ascii="Times New Roman" w:hAnsi="Times New Roman" w:cs="Times New Roman"/>
          <w:sz w:val="20"/>
          <w:szCs w:val="20"/>
        </w:rPr>
      </w:pPr>
      <w:r w:rsidRPr="001D3342">
        <w:rPr>
          <w:rStyle w:val="Rimandonotaapidipagina"/>
          <w:rFonts w:ascii="Times New Roman" w:hAnsi="Times New Roman" w:cs="Times New Roman"/>
          <w:sz w:val="20"/>
          <w:szCs w:val="20"/>
        </w:rPr>
        <w:footnoteRef/>
      </w:r>
      <w:r w:rsidRPr="001D3342">
        <w:rPr>
          <w:rFonts w:ascii="Times New Roman" w:hAnsi="Times New Roman" w:cs="Times New Roman"/>
          <w:sz w:val="20"/>
          <w:szCs w:val="20"/>
        </w:rPr>
        <w:t xml:space="preserve"> </w:t>
      </w:r>
      <w:r w:rsidRPr="001D3342">
        <w:rPr>
          <w:rFonts w:ascii="Times New Roman" w:hAnsi="Times New Roman" w:cs="Times New Roman"/>
          <w:i/>
          <w:sz w:val="20"/>
          <w:szCs w:val="20"/>
        </w:rPr>
        <w:t>Ivi</w:t>
      </w:r>
      <w:r w:rsidRPr="001D3342">
        <w:rPr>
          <w:rFonts w:ascii="Times New Roman" w:hAnsi="Times New Roman" w:cs="Times New Roman"/>
          <w:sz w:val="20"/>
          <w:szCs w:val="20"/>
        </w:rPr>
        <w:t xml:space="preserve">, p. </w:t>
      </w:r>
      <w:r>
        <w:rPr>
          <w:rFonts w:ascii="Times New Roman" w:hAnsi="Times New Roman" w:cs="Times New Roman"/>
          <w:sz w:val="20"/>
          <w:szCs w:val="20"/>
        </w:rPr>
        <w:t>202</w:t>
      </w:r>
      <w:r w:rsidRPr="001D3342">
        <w:rPr>
          <w:rFonts w:ascii="Times New Roman" w:hAnsi="Times New Roman" w:cs="Times New Roman"/>
          <w:sz w:val="20"/>
          <w:szCs w:val="20"/>
        </w:rPr>
        <w:t>.</w:t>
      </w:r>
    </w:p>
  </w:footnote>
  <w:footnote w:id="115">
    <w:p w14:paraId="34052272" w14:textId="500ADEE3" w:rsidR="00B34CC2" w:rsidRPr="00C420AC" w:rsidRDefault="00B34CC2" w:rsidP="00F721A9">
      <w:pPr>
        <w:pStyle w:val="Testonotaapidipagina"/>
        <w:jc w:val="both"/>
        <w:rPr>
          <w:rFonts w:ascii="Times New Roman" w:hAnsi="Times New Roman" w:cs="Times New Roman"/>
          <w:sz w:val="20"/>
          <w:szCs w:val="20"/>
        </w:rPr>
      </w:pPr>
      <w:r w:rsidRPr="000668C1">
        <w:rPr>
          <w:rStyle w:val="Rimandonotaapidipagina"/>
          <w:rFonts w:ascii="Times New Roman" w:hAnsi="Times New Roman" w:cs="Times New Roman"/>
          <w:sz w:val="20"/>
          <w:szCs w:val="20"/>
        </w:rPr>
        <w:footnoteRef/>
      </w:r>
      <w:r w:rsidRPr="000668C1">
        <w:rPr>
          <w:rFonts w:ascii="Times New Roman" w:hAnsi="Times New Roman" w:cs="Times New Roman"/>
          <w:sz w:val="20"/>
          <w:szCs w:val="20"/>
        </w:rPr>
        <w:t xml:space="preserve"> Cfr. </w:t>
      </w:r>
      <w:r w:rsidRPr="000668C1">
        <w:rPr>
          <w:rFonts w:ascii="Times New Roman" w:hAnsi="Times New Roman" w:cs="Times New Roman"/>
          <w:i/>
          <w:sz w:val="20"/>
          <w:szCs w:val="20"/>
        </w:rPr>
        <w:t>Ivi</w:t>
      </w:r>
      <w:r w:rsidRPr="000668C1">
        <w:rPr>
          <w:rFonts w:ascii="Times New Roman" w:hAnsi="Times New Roman" w:cs="Times New Roman"/>
          <w:sz w:val="20"/>
          <w:szCs w:val="20"/>
        </w:rPr>
        <w:t xml:space="preserve">, p. </w:t>
      </w:r>
      <w:r>
        <w:rPr>
          <w:rFonts w:ascii="Times New Roman" w:hAnsi="Times New Roman" w:cs="Times New Roman"/>
          <w:sz w:val="20"/>
          <w:szCs w:val="20"/>
        </w:rPr>
        <w:t>215</w:t>
      </w:r>
      <w:r w:rsidRPr="000668C1">
        <w:rPr>
          <w:rFonts w:ascii="Times New Roman" w:hAnsi="Times New Roman" w:cs="Times New Roman"/>
          <w:sz w:val="20"/>
          <w:szCs w:val="20"/>
        </w:rPr>
        <w:t xml:space="preserve">: </w:t>
      </w:r>
      <w:r w:rsidRPr="00C420AC">
        <w:rPr>
          <w:rFonts w:ascii="Times New Roman" w:hAnsi="Times New Roman" w:cs="Times New Roman"/>
          <w:sz w:val="20"/>
          <w:szCs w:val="20"/>
        </w:rPr>
        <w:t>«Wahrlich, mein lieber Fichte, es soll mich nicht verdrissen, wenn Sie, oder wer es sey, Chimärismus nennen wollen, was ich dem Idealismus, den ich Nihilismus schelte, entgegensetzte</w:t>
      </w:r>
      <w:r w:rsidRPr="00C420AC">
        <w:rPr>
          <w:rFonts w:ascii="Times New Roman" w:eastAsia="Times New Roman" w:hAnsi="Times New Roman" w:cs="Times New Roman"/>
          <w:color w:val="000000"/>
          <w:sz w:val="20"/>
          <w:szCs w:val="20"/>
        </w:rPr>
        <w:t>».</w:t>
      </w:r>
      <w:r w:rsidRPr="00C420AC">
        <w:rPr>
          <w:rFonts w:ascii="Times New Roman" w:hAnsi="Times New Roman" w:cs="Times New Roman"/>
          <w:sz w:val="20"/>
          <w:szCs w:val="20"/>
        </w:rPr>
        <w:t xml:space="preserve"> </w:t>
      </w:r>
    </w:p>
  </w:footnote>
  <w:footnote w:id="116">
    <w:p w14:paraId="2521F72E" w14:textId="275F6827" w:rsidR="00B34CC2" w:rsidRPr="00C005C5" w:rsidRDefault="00B34CC2" w:rsidP="00F721A9">
      <w:pPr>
        <w:pStyle w:val="Testonotaapidipagina"/>
        <w:jc w:val="both"/>
        <w:rPr>
          <w:rFonts w:ascii="Times New Roman" w:hAnsi="Times New Roman" w:cs="Times New Roman"/>
          <w:sz w:val="20"/>
          <w:szCs w:val="20"/>
        </w:rPr>
      </w:pPr>
      <w:r w:rsidRPr="00C005C5">
        <w:rPr>
          <w:rStyle w:val="Rimandonotaapidipagina"/>
          <w:rFonts w:ascii="Times New Roman" w:hAnsi="Times New Roman" w:cs="Times New Roman"/>
          <w:sz w:val="20"/>
          <w:szCs w:val="20"/>
        </w:rPr>
        <w:footnoteRef/>
      </w:r>
      <w:r w:rsidRPr="00C005C5">
        <w:rPr>
          <w:rFonts w:ascii="Times New Roman" w:hAnsi="Times New Roman" w:cs="Times New Roman"/>
          <w:sz w:val="20"/>
          <w:szCs w:val="20"/>
        </w:rPr>
        <w:t xml:space="preserve"> Nella Germania del XVII e XVIII secolo, l’interpretazione cabbalistica del pensiero di Spinoza si ricollega </w:t>
      </w:r>
      <w:r>
        <w:rPr>
          <w:rFonts w:ascii="Times New Roman" w:hAnsi="Times New Roman" w:cs="Times New Roman"/>
          <w:sz w:val="20"/>
          <w:szCs w:val="20"/>
        </w:rPr>
        <w:t xml:space="preserve">al </w:t>
      </w:r>
      <w:r>
        <w:rPr>
          <w:rFonts w:ascii="Times New Roman" w:hAnsi="Times New Roman" w:cs="Times New Roman"/>
          <w:i/>
          <w:sz w:val="20"/>
          <w:szCs w:val="20"/>
        </w:rPr>
        <w:t xml:space="preserve">Der Spinozismus in Judenthümb </w:t>
      </w:r>
      <w:r>
        <w:rPr>
          <w:rFonts w:ascii="Times New Roman" w:hAnsi="Times New Roman" w:cs="Times New Roman"/>
          <w:sz w:val="20"/>
          <w:szCs w:val="20"/>
        </w:rPr>
        <w:t>del 1699 e l’</w:t>
      </w:r>
      <w:r>
        <w:rPr>
          <w:rFonts w:ascii="Times New Roman" w:hAnsi="Times New Roman" w:cs="Times New Roman"/>
          <w:i/>
          <w:sz w:val="20"/>
          <w:szCs w:val="20"/>
        </w:rPr>
        <w:t xml:space="preserve">Elucidarius cabalisticus </w:t>
      </w:r>
      <w:r>
        <w:rPr>
          <w:rFonts w:ascii="Times New Roman" w:hAnsi="Times New Roman" w:cs="Times New Roman"/>
          <w:sz w:val="20"/>
          <w:szCs w:val="20"/>
        </w:rPr>
        <w:t xml:space="preserve">del 1704 di Johann Georg Wachter. Per inquadrare storicamente e filosoficamente il significato dell’opera di Wachter vedi T. Dagron, </w:t>
      </w:r>
      <w:r>
        <w:rPr>
          <w:rFonts w:ascii="Times New Roman" w:hAnsi="Times New Roman" w:cs="Times New Roman"/>
          <w:i/>
          <w:sz w:val="20"/>
          <w:szCs w:val="20"/>
        </w:rPr>
        <w:t>Toland et Leibniz. L’invention du Néo-Spinozisme</w:t>
      </w:r>
      <w:r>
        <w:rPr>
          <w:rFonts w:ascii="Times New Roman" w:hAnsi="Times New Roman" w:cs="Times New Roman"/>
          <w:sz w:val="20"/>
          <w:szCs w:val="20"/>
        </w:rPr>
        <w:t xml:space="preserve">, Librairie Philosophique J. Vrin, Paris, 2009, 211-237; Z. Levy, </w:t>
      </w:r>
      <w:r>
        <w:rPr>
          <w:rFonts w:ascii="Times New Roman" w:hAnsi="Times New Roman" w:cs="Times New Roman"/>
          <w:i/>
          <w:sz w:val="20"/>
          <w:szCs w:val="20"/>
        </w:rPr>
        <w:t xml:space="preserve">Baruch Spinoza. Seine nahme durch die jüdischen Denker in </w:t>
      </w:r>
      <w:r w:rsidRPr="00CA322F">
        <w:rPr>
          <w:rFonts w:ascii="Times New Roman" w:hAnsi="Times New Roman" w:cs="Times New Roman"/>
          <w:sz w:val="20"/>
          <w:szCs w:val="20"/>
        </w:rPr>
        <w:t>Deutschland</w:t>
      </w:r>
      <w:r>
        <w:rPr>
          <w:rFonts w:ascii="Times New Roman" w:hAnsi="Times New Roman" w:cs="Times New Roman"/>
          <w:sz w:val="20"/>
          <w:szCs w:val="20"/>
        </w:rPr>
        <w:t xml:space="preserve">, Kohlhammer, Stuttgart 2001, pp. 21-105; </w:t>
      </w:r>
      <w:r w:rsidRPr="00CA322F">
        <w:rPr>
          <w:rFonts w:ascii="Times New Roman" w:hAnsi="Times New Roman" w:cs="Times New Roman"/>
          <w:sz w:val="20"/>
          <w:szCs w:val="20"/>
        </w:rPr>
        <w:t>V</w:t>
      </w:r>
      <w:r>
        <w:rPr>
          <w:rFonts w:ascii="Times New Roman" w:hAnsi="Times New Roman" w:cs="Times New Roman"/>
          <w:sz w:val="20"/>
          <w:szCs w:val="20"/>
        </w:rPr>
        <w:t xml:space="preserve">. Morfino, </w:t>
      </w:r>
      <w:r w:rsidRPr="00235CE9">
        <w:rPr>
          <w:rFonts w:ascii="Times New Roman" w:hAnsi="Times New Roman" w:cs="Times New Roman"/>
          <w:i/>
          <w:sz w:val="20"/>
          <w:szCs w:val="20"/>
        </w:rPr>
        <w:t>Genealogia di un pregiudizio. L’immagine di Spinoza da Leibniz a Marx</w:t>
      </w:r>
      <w:r>
        <w:rPr>
          <w:rFonts w:ascii="Times New Roman" w:hAnsi="Times New Roman" w:cs="Times New Roman"/>
          <w:sz w:val="20"/>
          <w:szCs w:val="20"/>
        </w:rPr>
        <w:t xml:space="preserve">, Georg Olms Verlag, Hildesheim-Zürich-New York 2016, pp. 43-47; R. Otto, </w:t>
      </w:r>
      <w:r>
        <w:rPr>
          <w:rFonts w:ascii="Times New Roman" w:hAnsi="Times New Roman" w:cs="Times New Roman"/>
          <w:i/>
          <w:sz w:val="20"/>
          <w:szCs w:val="20"/>
        </w:rPr>
        <w:t xml:space="preserve">Studien zur Spinozarezeption in Deutschland im 18. </w:t>
      </w:r>
      <w:r w:rsidRPr="006B047E">
        <w:rPr>
          <w:rFonts w:ascii="Times New Roman" w:hAnsi="Times New Roman" w:cs="Times New Roman"/>
          <w:i/>
          <w:sz w:val="20"/>
          <w:szCs w:val="20"/>
        </w:rPr>
        <w:t>Jahrhundert</w:t>
      </w:r>
      <w:r>
        <w:rPr>
          <w:rFonts w:ascii="Times New Roman" w:hAnsi="Times New Roman" w:cs="Times New Roman"/>
          <w:sz w:val="20"/>
          <w:szCs w:val="20"/>
        </w:rPr>
        <w:t xml:space="preserve">, Peter Lang Verlang, Frankfurt am Main, 1994, pp. 95-101; W. Schröder, </w:t>
      </w:r>
      <w:r>
        <w:rPr>
          <w:rFonts w:ascii="Times New Roman" w:hAnsi="Times New Roman" w:cs="Times New Roman"/>
          <w:i/>
          <w:sz w:val="20"/>
          <w:szCs w:val="20"/>
        </w:rPr>
        <w:t xml:space="preserve">Spinoza in der deutschen </w:t>
      </w:r>
      <w:r w:rsidRPr="008F3A0F">
        <w:rPr>
          <w:rFonts w:ascii="Times New Roman" w:hAnsi="Times New Roman" w:cs="Times New Roman"/>
          <w:i/>
          <w:sz w:val="20"/>
          <w:szCs w:val="20"/>
        </w:rPr>
        <w:t>Frühklärung</w:t>
      </w:r>
      <w:r>
        <w:rPr>
          <w:rFonts w:ascii="Times New Roman" w:hAnsi="Times New Roman" w:cs="Times New Roman"/>
          <w:sz w:val="20"/>
          <w:szCs w:val="20"/>
        </w:rPr>
        <w:t>, Königshausen &amp; Neumann Verlag, Würzburg 1987, pp. 59-115; W. Schröder, “</w:t>
      </w:r>
      <w:r>
        <w:rPr>
          <w:rFonts w:ascii="Times New Roman" w:hAnsi="Times New Roman" w:cs="Times New Roman"/>
          <w:i/>
          <w:sz w:val="20"/>
          <w:szCs w:val="20"/>
        </w:rPr>
        <w:t xml:space="preserve">Die ungereimste Meinung, die jemals von Menschen ersonnen worden” – Spinozismus in der deutschen </w:t>
      </w:r>
      <w:r w:rsidRPr="008F3A0F">
        <w:rPr>
          <w:rFonts w:ascii="Times New Roman" w:hAnsi="Times New Roman" w:cs="Times New Roman"/>
          <w:i/>
          <w:sz w:val="20"/>
          <w:szCs w:val="20"/>
        </w:rPr>
        <w:t>Frühklärung</w:t>
      </w:r>
      <w:r>
        <w:rPr>
          <w:rFonts w:ascii="Times New Roman" w:hAnsi="Times New Roman" w:cs="Times New Roman"/>
          <w:i/>
          <w:sz w:val="20"/>
          <w:szCs w:val="20"/>
        </w:rPr>
        <w:t>?</w:t>
      </w:r>
      <w:r>
        <w:rPr>
          <w:rFonts w:ascii="Times New Roman" w:hAnsi="Times New Roman" w:cs="Times New Roman"/>
          <w:sz w:val="20"/>
          <w:szCs w:val="20"/>
        </w:rPr>
        <w:t xml:space="preserve">, in </w:t>
      </w:r>
      <w:r>
        <w:rPr>
          <w:rFonts w:ascii="Times New Roman" w:hAnsi="Times New Roman" w:cs="Times New Roman"/>
          <w:i/>
          <w:sz w:val="20"/>
          <w:szCs w:val="20"/>
        </w:rPr>
        <w:t>Spinoza im 18. Jahrhundert</w:t>
      </w:r>
      <w:r>
        <w:rPr>
          <w:rFonts w:ascii="Times New Roman" w:hAnsi="Times New Roman" w:cs="Times New Roman"/>
          <w:sz w:val="20"/>
          <w:szCs w:val="20"/>
        </w:rPr>
        <w:t xml:space="preserve">, hrsg. von E. Schürmann, N. Waszek und F. Weinreich, Friedrich Fromman Verlag, Stuttgart 2002, pp. 121-139; </w:t>
      </w:r>
      <w:r w:rsidRPr="00FB29DD">
        <w:rPr>
          <w:rFonts w:ascii="Times New Roman" w:hAnsi="Times New Roman" w:cs="Times New Roman"/>
          <w:sz w:val="20"/>
          <w:szCs w:val="20"/>
        </w:rPr>
        <w:t>M</w:t>
      </w:r>
      <w:r>
        <w:rPr>
          <w:rFonts w:ascii="Times New Roman" w:hAnsi="Times New Roman" w:cs="Times New Roman"/>
          <w:sz w:val="20"/>
          <w:szCs w:val="20"/>
        </w:rPr>
        <w:t xml:space="preserve">. Vassányi, </w:t>
      </w:r>
      <w:r>
        <w:rPr>
          <w:rFonts w:ascii="Times New Roman" w:hAnsi="Times New Roman" w:cs="Times New Roman"/>
          <w:i/>
          <w:sz w:val="20"/>
          <w:szCs w:val="20"/>
        </w:rPr>
        <w:t>Anima Mundi: The Rise of the World Soul Theory in Modern German Philosophy,</w:t>
      </w:r>
      <w:r>
        <w:rPr>
          <w:rFonts w:ascii="Times New Roman" w:hAnsi="Times New Roman" w:cs="Times New Roman"/>
          <w:sz w:val="20"/>
          <w:szCs w:val="20"/>
        </w:rPr>
        <w:t xml:space="preserve"> Springer, Dordrecht 2011,</w:t>
      </w:r>
      <w:r>
        <w:rPr>
          <w:rFonts w:ascii="Times New Roman" w:hAnsi="Times New Roman" w:cs="Times New Roman"/>
          <w:i/>
          <w:sz w:val="20"/>
          <w:szCs w:val="20"/>
        </w:rPr>
        <w:t xml:space="preserve"> </w:t>
      </w:r>
      <w:r>
        <w:rPr>
          <w:rFonts w:ascii="Times New Roman" w:hAnsi="Times New Roman" w:cs="Times New Roman"/>
          <w:sz w:val="20"/>
          <w:szCs w:val="20"/>
        </w:rPr>
        <w:t>pp. 224-233. Sul fatto che Jacobi si sia rifatto a certi principi desunti dall’</w:t>
      </w:r>
      <w:r>
        <w:rPr>
          <w:rFonts w:ascii="Times New Roman" w:hAnsi="Times New Roman" w:cs="Times New Roman"/>
          <w:i/>
          <w:sz w:val="20"/>
          <w:szCs w:val="20"/>
        </w:rPr>
        <w:t xml:space="preserve">Elucidarius </w:t>
      </w:r>
      <w:r>
        <w:rPr>
          <w:rFonts w:ascii="Times New Roman" w:hAnsi="Times New Roman" w:cs="Times New Roman"/>
          <w:sz w:val="20"/>
          <w:szCs w:val="20"/>
        </w:rPr>
        <w:t xml:space="preserve">wachteriano cfr. </w:t>
      </w:r>
      <w:r w:rsidRPr="006B047E">
        <w:rPr>
          <w:rFonts w:ascii="Times New Roman" w:hAnsi="Times New Roman" w:cs="Times New Roman"/>
          <w:sz w:val="20"/>
          <w:szCs w:val="20"/>
        </w:rPr>
        <w:t>G</w:t>
      </w:r>
      <w:r>
        <w:rPr>
          <w:rFonts w:ascii="Times New Roman" w:hAnsi="Times New Roman" w:cs="Times New Roman"/>
          <w:sz w:val="20"/>
          <w:szCs w:val="20"/>
        </w:rPr>
        <w:t xml:space="preserve">. Scholem, </w:t>
      </w:r>
      <w:r w:rsidRPr="001C2550">
        <w:rPr>
          <w:rFonts w:ascii="Times New Roman" w:hAnsi="Times New Roman" w:cs="Times New Roman"/>
          <w:i/>
          <w:sz w:val="20"/>
          <w:szCs w:val="20"/>
        </w:rPr>
        <w:t>Die Wachtersche Kontroverse über den Spinozismus und ihre Folgen</w:t>
      </w:r>
      <w:r>
        <w:rPr>
          <w:rFonts w:ascii="Times New Roman" w:hAnsi="Times New Roman" w:cs="Times New Roman"/>
          <w:sz w:val="20"/>
          <w:szCs w:val="20"/>
        </w:rPr>
        <w:t xml:space="preserve">, in </w:t>
      </w:r>
      <w:r>
        <w:rPr>
          <w:rFonts w:ascii="Times New Roman" w:hAnsi="Times New Roman" w:cs="Times New Roman"/>
          <w:i/>
          <w:sz w:val="20"/>
          <w:szCs w:val="20"/>
        </w:rPr>
        <w:t>Spinoza in der Fr</w:t>
      </w:r>
      <w:r w:rsidRPr="001C2550">
        <w:rPr>
          <w:rFonts w:ascii="Times New Roman" w:hAnsi="Times New Roman" w:cs="Times New Roman"/>
          <w:i/>
          <w:sz w:val="20"/>
          <w:szCs w:val="20"/>
        </w:rPr>
        <w:t>ü</w:t>
      </w:r>
      <w:r>
        <w:rPr>
          <w:rFonts w:ascii="Times New Roman" w:hAnsi="Times New Roman" w:cs="Times New Roman"/>
          <w:i/>
          <w:sz w:val="20"/>
          <w:szCs w:val="20"/>
        </w:rPr>
        <w:t>hzeit seiner religiösen Wirkung</w:t>
      </w:r>
      <w:r>
        <w:rPr>
          <w:rFonts w:ascii="Times New Roman" w:hAnsi="Times New Roman" w:cs="Times New Roman"/>
          <w:sz w:val="20"/>
          <w:szCs w:val="20"/>
        </w:rPr>
        <w:t>, hrsg. von K. Gründer und W. Schmidt-</w:t>
      </w:r>
      <w:r w:rsidRPr="00C005C5">
        <w:rPr>
          <w:rFonts w:ascii="Times New Roman" w:hAnsi="Times New Roman" w:cs="Times New Roman"/>
          <w:sz w:val="20"/>
          <w:szCs w:val="20"/>
        </w:rPr>
        <w:t>Biggemann, Lambert Schneider, Heidelberg, 1984, pp.15-25. Per un quadro sinottico dell’interpretazione cab</w:t>
      </w:r>
      <w:r>
        <w:rPr>
          <w:rFonts w:ascii="Times New Roman" w:hAnsi="Times New Roman" w:cs="Times New Roman"/>
          <w:sz w:val="20"/>
          <w:szCs w:val="20"/>
        </w:rPr>
        <w:t>b</w:t>
      </w:r>
      <w:r w:rsidRPr="00C005C5">
        <w:rPr>
          <w:rFonts w:ascii="Times New Roman" w:hAnsi="Times New Roman" w:cs="Times New Roman"/>
          <w:sz w:val="20"/>
          <w:szCs w:val="20"/>
        </w:rPr>
        <w:t xml:space="preserve">alistica del pensiero di Spinoza da Wachter ad Hegel, mi permetto di rimandare a S. Farinella, </w:t>
      </w:r>
      <w:r w:rsidRPr="00C005C5">
        <w:rPr>
          <w:rFonts w:ascii="Times New Roman" w:hAnsi="Times New Roman" w:cs="Times New Roman"/>
          <w:i/>
          <w:sz w:val="20"/>
          <w:szCs w:val="20"/>
        </w:rPr>
        <w:t>Da Wachter ad Hegel: genesi e sviluppo del concetto d’acosmismo nella filosofia moderna e classica tedesca</w:t>
      </w:r>
      <w:r w:rsidRPr="00C005C5">
        <w:rPr>
          <w:rFonts w:ascii="Times New Roman" w:hAnsi="Times New Roman" w:cs="Times New Roman"/>
          <w:sz w:val="20"/>
          <w:szCs w:val="20"/>
        </w:rPr>
        <w:t>, in «Quaderni materialisti</w:t>
      </w:r>
      <w:r w:rsidRPr="00C005C5">
        <w:rPr>
          <w:rFonts w:ascii="Times New Roman" w:eastAsia="Times New Roman" w:hAnsi="Times New Roman" w:cs="Times New Roman"/>
          <w:color w:val="000000"/>
          <w:sz w:val="20"/>
          <w:szCs w:val="20"/>
        </w:rPr>
        <w:t xml:space="preserve">», vol. 17, pp. </w:t>
      </w:r>
      <w:r>
        <w:rPr>
          <w:rFonts w:ascii="Times New Roman" w:eastAsia="Times New Roman" w:hAnsi="Times New Roman" w:cs="Times New Roman"/>
          <w:color w:val="000000"/>
          <w:sz w:val="20"/>
          <w:szCs w:val="20"/>
        </w:rPr>
        <w:t>189-205</w:t>
      </w:r>
      <w:r w:rsidRPr="00C005C5">
        <w:rPr>
          <w:rFonts w:ascii="Times New Roman" w:eastAsia="Times New Roman" w:hAnsi="Times New Roman" w:cs="Times New Roman"/>
          <w:color w:val="000000"/>
          <w:sz w:val="20"/>
          <w:szCs w:val="20"/>
        </w:rPr>
        <w:t>.</w:t>
      </w:r>
    </w:p>
  </w:footnote>
  <w:footnote w:id="117">
    <w:p w14:paraId="3CA24DE7" w14:textId="53B51F6C" w:rsidR="00B34CC2" w:rsidRPr="00C420AC" w:rsidRDefault="00B34CC2" w:rsidP="00F721A9">
      <w:pPr>
        <w:pStyle w:val="Testonotaapidipagina"/>
        <w:jc w:val="both"/>
        <w:rPr>
          <w:rFonts w:ascii="Times New Roman" w:hAnsi="Times New Roman" w:cs="Times New Roman"/>
          <w:sz w:val="20"/>
          <w:szCs w:val="20"/>
        </w:rPr>
      </w:pPr>
      <w:r w:rsidRPr="00C005C5">
        <w:rPr>
          <w:rStyle w:val="Rimandonotaapidipagina"/>
          <w:rFonts w:ascii="Times New Roman" w:hAnsi="Times New Roman" w:cs="Times New Roman"/>
          <w:sz w:val="20"/>
          <w:szCs w:val="20"/>
        </w:rPr>
        <w:footnoteRef/>
      </w:r>
      <w:r w:rsidRPr="00C005C5">
        <w:rPr>
          <w:rFonts w:ascii="Times New Roman" w:hAnsi="Times New Roman" w:cs="Times New Roman"/>
          <w:sz w:val="20"/>
          <w:szCs w:val="20"/>
        </w:rPr>
        <w:t xml:space="preserve"> F. H. </w:t>
      </w:r>
      <w:r w:rsidRPr="00C005C5">
        <w:rPr>
          <w:rFonts w:ascii="Times New Roman" w:hAnsi="Times New Roman" w:cs="Times New Roman"/>
          <w:i/>
          <w:sz w:val="20"/>
          <w:szCs w:val="20"/>
        </w:rPr>
        <w:t>Jacobi, Schriften zum Spinozastreit</w:t>
      </w:r>
      <w:r>
        <w:rPr>
          <w:rFonts w:ascii="Times New Roman" w:hAnsi="Times New Roman" w:cs="Times New Roman"/>
          <w:sz w:val="20"/>
          <w:szCs w:val="20"/>
        </w:rPr>
        <w:t xml:space="preserve">, cit., </w:t>
      </w:r>
      <w:r w:rsidRPr="00C005C5">
        <w:rPr>
          <w:rFonts w:ascii="Times New Roman" w:hAnsi="Times New Roman" w:cs="Times New Roman"/>
          <w:sz w:val="20"/>
          <w:szCs w:val="20"/>
        </w:rPr>
        <w:t xml:space="preserve">pp. 121-122: </w:t>
      </w:r>
      <w:r w:rsidRPr="00C420AC">
        <w:rPr>
          <w:rFonts w:ascii="Times New Roman" w:hAnsi="Times New Roman" w:cs="Times New Roman"/>
          <w:sz w:val="20"/>
          <w:szCs w:val="20"/>
        </w:rPr>
        <w:t>«</w:t>
      </w:r>
      <w:r w:rsidRPr="00C420AC">
        <w:rPr>
          <w:rFonts w:ascii="Times New Roman" w:hAnsi="Times New Roman" w:cs="Times New Roman"/>
          <w:sz w:val="20"/>
          <w:szCs w:val="20"/>
          <w:lang w:val="de-DE"/>
        </w:rPr>
        <w:t>Die Cabalististische Philosophie, so viel davon der Untersuchung offen liegt, und ihren besten Commentatoren, von Helmont dem Jüngeren, und Wachter, ist als Philosophie nichts anders, als unentwickelter oder neu verworrener Spinozismus</w:t>
      </w:r>
      <w:r w:rsidRPr="00C420AC">
        <w:rPr>
          <w:sz w:val="20"/>
          <w:szCs w:val="20"/>
        </w:rPr>
        <w:t>»</w:t>
      </w:r>
      <w:r w:rsidRPr="00C420AC">
        <w:rPr>
          <w:rFonts w:ascii="Times New Roman" w:hAnsi="Times New Roman" w:cs="Times New Roman"/>
          <w:sz w:val="16"/>
          <w:szCs w:val="16"/>
        </w:rPr>
        <w:t>.</w:t>
      </w:r>
    </w:p>
  </w:footnote>
  <w:footnote w:id="118">
    <w:p w14:paraId="45B7B891" w14:textId="06484E4B" w:rsidR="00B34CC2" w:rsidRPr="00C005C5" w:rsidRDefault="00B34CC2" w:rsidP="00F721A9">
      <w:pPr>
        <w:pStyle w:val="Testonotaapidipagina"/>
        <w:jc w:val="both"/>
        <w:rPr>
          <w:rFonts w:ascii="Times New Roman" w:hAnsi="Times New Roman" w:cs="Times New Roman"/>
          <w:sz w:val="20"/>
          <w:szCs w:val="20"/>
        </w:rPr>
      </w:pPr>
      <w:r w:rsidRPr="00C005C5">
        <w:rPr>
          <w:rStyle w:val="Rimandonotaapidipagina"/>
          <w:rFonts w:ascii="Times New Roman" w:hAnsi="Times New Roman" w:cs="Times New Roman"/>
          <w:sz w:val="20"/>
          <w:szCs w:val="20"/>
        </w:rPr>
        <w:footnoteRef/>
      </w:r>
      <w:r w:rsidRPr="00C005C5">
        <w:rPr>
          <w:rFonts w:ascii="Times New Roman" w:hAnsi="Times New Roman" w:cs="Times New Roman"/>
          <w:sz w:val="20"/>
          <w:szCs w:val="20"/>
        </w:rPr>
        <w:t xml:space="preserve"> </w:t>
      </w:r>
      <w:r w:rsidRPr="00C005C5">
        <w:rPr>
          <w:rFonts w:ascii="Times New Roman" w:hAnsi="Times New Roman" w:cs="Times New Roman"/>
          <w:i/>
          <w:sz w:val="20"/>
          <w:szCs w:val="20"/>
        </w:rPr>
        <w:t>Ivi</w:t>
      </w:r>
      <w:r w:rsidRPr="00C005C5">
        <w:rPr>
          <w:rFonts w:ascii="Times New Roman" w:hAnsi="Times New Roman" w:cs="Times New Roman"/>
          <w:sz w:val="20"/>
          <w:szCs w:val="20"/>
        </w:rPr>
        <w:t>, p. 18.</w:t>
      </w:r>
    </w:p>
  </w:footnote>
  <w:footnote w:id="119">
    <w:p w14:paraId="245B2932" w14:textId="55F3D53C" w:rsidR="00B34CC2" w:rsidRPr="00C005C5" w:rsidRDefault="00B34CC2" w:rsidP="00F721A9">
      <w:pPr>
        <w:pStyle w:val="Testonotaapidipagina"/>
        <w:jc w:val="both"/>
        <w:rPr>
          <w:rFonts w:ascii="Times New Roman" w:hAnsi="Times New Roman" w:cs="Times New Roman"/>
          <w:sz w:val="20"/>
          <w:szCs w:val="20"/>
        </w:rPr>
      </w:pPr>
      <w:r w:rsidRPr="00C005C5">
        <w:rPr>
          <w:rStyle w:val="Rimandonotaapidipagina"/>
          <w:rFonts w:ascii="Times New Roman" w:hAnsi="Times New Roman" w:cs="Times New Roman"/>
          <w:sz w:val="20"/>
          <w:szCs w:val="20"/>
        </w:rPr>
        <w:footnoteRef/>
      </w:r>
      <w:r w:rsidRPr="00C005C5">
        <w:rPr>
          <w:rFonts w:ascii="Times New Roman" w:hAnsi="Times New Roman" w:cs="Times New Roman"/>
          <w:sz w:val="20"/>
          <w:szCs w:val="20"/>
        </w:rPr>
        <w:t xml:space="preserve"> </w:t>
      </w:r>
      <w:r w:rsidRPr="00C005C5">
        <w:rPr>
          <w:rFonts w:ascii="Times New Roman" w:hAnsi="Times New Roman" w:cs="Times New Roman"/>
          <w:i/>
          <w:sz w:val="20"/>
          <w:szCs w:val="20"/>
        </w:rPr>
        <w:t>Ibidem</w:t>
      </w:r>
      <w:r w:rsidRPr="00C005C5">
        <w:rPr>
          <w:rFonts w:ascii="Times New Roman" w:hAnsi="Times New Roman" w:cs="Times New Roman"/>
          <w:sz w:val="20"/>
          <w:szCs w:val="20"/>
        </w:rPr>
        <w:t>.</w:t>
      </w:r>
    </w:p>
  </w:footnote>
  <w:footnote w:id="120">
    <w:p w14:paraId="457CD2F6" w14:textId="1D989143" w:rsidR="00B34CC2" w:rsidRPr="00C005C5" w:rsidRDefault="00B34CC2" w:rsidP="00F721A9">
      <w:pPr>
        <w:pStyle w:val="Testonotaapidipagina"/>
        <w:jc w:val="both"/>
        <w:rPr>
          <w:rFonts w:ascii="Times New Roman" w:hAnsi="Times New Roman" w:cs="Times New Roman"/>
          <w:sz w:val="20"/>
          <w:szCs w:val="20"/>
        </w:rPr>
      </w:pPr>
      <w:r w:rsidRPr="00C005C5">
        <w:rPr>
          <w:rStyle w:val="Rimandonotaapidipagina"/>
          <w:rFonts w:ascii="Times New Roman" w:hAnsi="Times New Roman" w:cs="Times New Roman"/>
          <w:sz w:val="20"/>
          <w:szCs w:val="20"/>
        </w:rPr>
        <w:footnoteRef/>
      </w:r>
      <w:r w:rsidRPr="00C005C5">
        <w:rPr>
          <w:rFonts w:ascii="Times New Roman" w:hAnsi="Times New Roman" w:cs="Times New Roman"/>
          <w:sz w:val="20"/>
          <w:szCs w:val="20"/>
        </w:rPr>
        <w:t xml:space="preserve"> </w:t>
      </w:r>
      <w:r w:rsidRPr="00C005C5">
        <w:rPr>
          <w:rFonts w:ascii="Times New Roman" w:hAnsi="Times New Roman" w:cs="Times New Roman"/>
          <w:i/>
          <w:sz w:val="20"/>
          <w:szCs w:val="20"/>
        </w:rPr>
        <w:t>Ivi</w:t>
      </w:r>
      <w:r w:rsidRPr="00C005C5">
        <w:rPr>
          <w:rFonts w:ascii="Times New Roman" w:hAnsi="Times New Roman" w:cs="Times New Roman"/>
          <w:sz w:val="20"/>
          <w:szCs w:val="20"/>
        </w:rPr>
        <w:t xml:space="preserve">, pp. 94-95: </w:t>
      </w:r>
      <w:r w:rsidRPr="00C420AC">
        <w:rPr>
          <w:rFonts w:ascii="Times New Roman" w:hAnsi="Times New Roman" w:cs="Times New Roman"/>
          <w:sz w:val="20"/>
          <w:szCs w:val="20"/>
        </w:rPr>
        <w:t>«Wer ein Beginn des Endlichen annimmt, der nimmt ein Entstehen aus dem Nichts an […] Eine Handlung, die das Unendliche Wesen erst begönne, könnte nicht anders als nach Ewigkeit begonnen werden, und die Bestimmung dazu könnte aus sonst nichts hervorgehen, als aus dem Nichts»</w:t>
      </w:r>
      <w:r w:rsidRPr="00C420AC">
        <w:rPr>
          <w:rFonts w:ascii="Times New Roman" w:hAnsi="Times New Roman" w:cs="Times New Roman"/>
          <w:sz w:val="16"/>
          <w:szCs w:val="16"/>
        </w:rPr>
        <w:t>.</w:t>
      </w:r>
    </w:p>
  </w:footnote>
  <w:footnote w:id="121">
    <w:p w14:paraId="7AD00963" w14:textId="08D1FACD" w:rsidR="00B34CC2" w:rsidRPr="004234FD" w:rsidRDefault="00B34CC2" w:rsidP="00F721A9">
      <w:pPr>
        <w:pStyle w:val="Testonotaapidipagina"/>
        <w:jc w:val="both"/>
        <w:rPr>
          <w:rFonts w:ascii="Times New Roman" w:hAnsi="Times New Roman" w:cs="Times New Roman"/>
          <w:sz w:val="20"/>
          <w:szCs w:val="20"/>
        </w:rPr>
      </w:pPr>
      <w:r w:rsidRPr="00C005C5">
        <w:rPr>
          <w:rStyle w:val="Rimandonotaapidipagina"/>
          <w:rFonts w:ascii="Times New Roman" w:hAnsi="Times New Roman" w:cs="Times New Roman"/>
          <w:sz w:val="20"/>
          <w:szCs w:val="20"/>
        </w:rPr>
        <w:footnoteRef/>
      </w:r>
      <w:r w:rsidRPr="00C005C5">
        <w:rPr>
          <w:rFonts w:ascii="Times New Roman" w:hAnsi="Times New Roman" w:cs="Times New Roman"/>
          <w:sz w:val="20"/>
          <w:szCs w:val="20"/>
        </w:rPr>
        <w:t xml:space="preserve"> Sulla legittimità di questa operazione interpretativa, che s</w:t>
      </w:r>
      <w:r>
        <w:rPr>
          <w:rFonts w:ascii="Times New Roman" w:hAnsi="Times New Roman" w:cs="Times New Roman"/>
          <w:sz w:val="20"/>
          <w:szCs w:val="20"/>
        </w:rPr>
        <w:t>i riduce ad un’estrapolazione e</w:t>
      </w:r>
      <w:r w:rsidRPr="00C005C5">
        <w:rPr>
          <w:rFonts w:ascii="Times New Roman" w:hAnsi="Times New Roman" w:cs="Times New Roman"/>
          <w:sz w:val="20"/>
          <w:szCs w:val="20"/>
        </w:rPr>
        <w:t xml:space="preserve"> ontolog</w:t>
      </w:r>
      <w:r>
        <w:rPr>
          <w:rFonts w:ascii="Times New Roman" w:hAnsi="Times New Roman" w:cs="Times New Roman"/>
          <w:sz w:val="20"/>
          <w:szCs w:val="20"/>
        </w:rPr>
        <w:t>izzazione di un passaggio dell’</w:t>
      </w:r>
      <w:r w:rsidRPr="00F00301">
        <w:rPr>
          <w:rFonts w:ascii="Times New Roman" w:hAnsi="Times New Roman" w:cs="Times New Roman"/>
          <w:i/>
          <w:sz w:val="20"/>
          <w:szCs w:val="20"/>
        </w:rPr>
        <w:t>Epistola 50</w:t>
      </w:r>
      <w:r w:rsidRPr="00C005C5">
        <w:rPr>
          <w:rFonts w:ascii="Times New Roman" w:hAnsi="Times New Roman" w:cs="Times New Roman"/>
          <w:sz w:val="20"/>
          <w:szCs w:val="20"/>
        </w:rPr>
        <w:t xml:space="preserve">, ha giustamente sollevato delle riserve Pierre Macherey nel suo </w:t>
      </w:r>
      <w:r w:rsidRPr="00C005C5">
        <w:rPr>
          <w:rFonts w:ascii="Times New Roman" w:hAnsi="Times New Roman" w:cs="Times New Roman"/>
          <w:i/>
          <w:sz w:val="20"/>
          <w:szCs w:val="20"/>
        </w:rPr>
        <w:t>Hegel o Spinoza</w:t>
      </w:r>
      <w:r w:rsidRPr="00C005C5">
        <w:rPr>
          <w:rFonts w:ascii="Times New Roman" w:hAnsi="Times New Roman" w:cs="Times New Roman"/>
          <w:sz w:val="20"/>
          <w:szCs w:val="20"/>
        </w:rPr>
        <w:t xml:space="preserve">, Ombre Corte, Verona 2016, pp. 121-221 (prima ed. francese </w:t>
      </w:r>
      <w:r w:rsidRPr="00C005C5">
        <w:rPr>
          <w:rFonts w:ascii="Times New Roman" w:hAnsi="Times New Roman" w:cs="Times New Roman"/>
          <w:i/>
          <w:sz w:val="20"/>
          <w:szCs w:val="20"/>
        </w:rPr>
        <w:t>Hegel au Spinoza</w:t>
      </w:r>
      <w:r w:rsidRPr="00C005C5">
        <w:rPr>
          <w:rFonts w:ascii="Times New Roman" w:hAnsi="Times New Roman" w:cs="Times New Roman"/>
          <w:sz w:val="20"/>
          <w:szCs w:val="20"/>
        </w:rPr>
        <w:t xml:space="preserve">, Maspero, Paris 1979). Sul collegamento del </w:t>
      </w:r>
      <w:r w:rsidRPr="00C005C5">
        <w:rPr>
          <w:rFonts w:ascii="Times New Roman" w:hAnsi="Times New Roman" w:cs="Times New Roman"/>
          <w:i/>
          <w:sz w:val="20"/>
          <w:szCs w:val="20"/>
        </w:rPr>
        <w:t>determinatio est negatio</w:t>
      </w:r>
      <w:r w:rsidRPr="00C005C5">
        <w:rPr>
          <w:rFonts w:ascii="Times New Roman" w:hAnsi="Times New Roman" w:cs="Times New Roman"/>
          <w:sz w:val="20"/>
          <w:szCs w:val="20"/>
        </w:rPr>
        <w:t xml:space="preserve"> con il presunto </w:t>
      </w:r>
      <w:r>
        <w:rPr>
          <w:rFonts w:ascii="Times New Roman" w:hAnsi="Times New Roman" w:cs="Times New Roman"/>
          <w:sz w:val="20"/>
          <w:szCs w:val="20"/>
        </w:rPr>
        <w:t>“</w:t>
      </w:r>
      <w:r w:rsidRPr="00C005C5">
        <w:rPr>
          <w:rFonts w:ascii="Times New Roman" w:hAnsi="Times New Roman" w:cs="Times New Roman"/>
          <w:sz w:val="20"/>
          <w:szCs w:val="20"/>
        </w:rPr>
        <w:t>orientalismo</w:t>
      </w:r>
      <w:r>
        <w:rPr>
          <w:rFonts w:ascii="Times New Roman" w:hAnsi="Times New Roman" w:cs="Times New Roman"/>
          <w:sz w:val="20"/>
          <w:szCs w:val="20"/>
        </w:rPr>
        <w:t>”</w:t>
      </w:r>
      <w:r w:rsidRPr="00C005C5">
        <w:rPr>
          <w:rFonts w:ascii="Times New Roman" w:hAnsi="Times New Roman" w:cs="Times New Roman"/>
          <w:sz w:val="20"/>
          <w:szCs w:val="20"/>
        </w:rPr>
        <w:t xml:space="preserve"> di Spinoza cfr. P. Macherey, </w:t>
      </w:r>
      <w:r w:rsidRPr="00C005C5">
        <w:rPr>
          <w:rFonts w:ascii="Times New Roman" w:hAnsi="Times New Roman" w:cs="Times New Roman"/>
          <w:i/>
          <w:sz w:val="20"/>
          <w:szCs w:val="20"/>
        </w:rPr>
        <w:t>Le Spinoza idéaliste de Hegel</w:t>
      </w:r>
      <w:r w:rsidRPr="00C005C5">
        <w:rPr>
          <w:rFonts w:ascii="Times New Roman" w:hAnsi="Times New Roman" w:cs="Times New Roman"/>
          <w:sz w:val="20"/>
          <w:szCs w:val="20"/>
        </w:rPr>
        <w:t xml:space="preserve">, in </w:t>
      </w:r>
      <w:r w:rsidRPr="00C005C5">
        <w:rPr>
          <w:rFonts w:ascii="Times New Roman" w:hAnsi="Times New Roman" w:cs="Times New Roman"/>
          <w:i/>
          <w:sz w:val="20"/>
          <w:szCs w:val="20"/>
        </w:rPr>
        <w:t>Spinoza und der deutsche Idealismus</w:t>
      </w:r>
      <w:r w:rsidRPr="00C005C5">
        <w:rPr>
          <w:rFonts w:ascii="Times New Roman" w:hAnsi="Times New Roman" w:cs="Times New Roman"/>
          <w:sz w:val="20"/>
          <w:szCs w:val="20"/>
        </w:rPr>
        <w:t>, hrsg. von M. Walther, Königshausen &amp; Neumann, Würzburg 1992, pp. 146-163.</w:t>
      </w:r>
    </w:p>
  </w:footnote>
  <w:footnote w:id="122">
    <w:p w14:paraId="5222BE32" w14:textId="0DEE738E" w:rsidR="00B34CC2" w:rsidRPr="004A63EF" w:rsidRDefault="00B34CC2" w:rsidP="00F721A9">
      <w:pPr>
        <w:pStyle w:val="Testonotaapidipagina"/>
        <w:jc w:val="both"/>
        <w:rPr>
          <w:rFonts w:ascii="Times New Roman" w:hAnsi="Times New Roman" w:cs="Times New Roman"/>
          <w:sz w:val="20"/>
          <w:szCs w:val="20"/>
        </w:rPr>
      </w:pPr>
      <w:r w:rsidRPr="004A63EF">
        <w:rPr>
          <w:rStyle w:val="Rimandonotaapidipagina"/>
          <w:rFonts w:ascii="Times New Roman" w:hAnsi="Times New Roman" w:cs="Times New Roman"/>
          <w:sz w:val="20"/>
          <w:szCs w:val="20"/>
        </w:rPr>
        <w:footnoteRef/>
      </w:r>
      <w:r>
        <w:rPr>
          <w:rFonts w:ascii="Times New Roman" w:hAnsi="Times New Roman" w:cs="Times New Roman"/>
          <w:i/>
          <w:sz w:val="20"/>
          <w:szCs w:val="20"/>
        </w:rPr>
        <w:t xml:space="preserve"> </w:t>
      </w:r>
      <w:r w:rsidRPr="0048212D">
        <w:rPr>
          <w:rFonts w:ascii="Times New Roman" w:hAnsi="Times New Roman" w:cs="Times New Roman"/>
          <w:sz w:val="20"/>
          <w:szCs w:val="20"/>
        </w:rPr>
        <w:t xml:space="preserve">F. H. </w:t>
      </w:r>
      <w:r w:rsidRPr="0048212D">
        <w:rPr>
          <w:rFonts w:ascii="Times New Roman" w:hAnsi="Times New Roman" w:cs="Times New Roman"/>
          <w:i/>
          <w:sz w:val="20"/>
          <w:szCs w:val="20"/>
        </w:rPr>
        <w:t>Jacobi, Schriften zum Spinozastreit</w:t>
      </w:r>
      <w:r>
        <w:rPr>
          <w:rFonts w:ascii="Times New Roman" w:hAnsi="Times New Roman" w:cs="Times New Roman"/>
          <w:sz w:val="20"/>
          <w:szCs w:val="20"/>
        </w:rPr>
        <w:t xml:space="preserve">, cit., p. 100. </w:t>
      </w:r>
    </w:p>
  </w:footnote>
  <w:footnote w:id="123">
    <w:p w14:paraId="54EC442C" w14:textId="2F864AD8" w:rsidR="00B34CC2" w:rsidRPr="00967339" w:rsidRDefault="00B34CC2" w:rsidP="00F721A9">
      <w:pPr>
        <w:pStyle w:val="Testonotaapidipagina"/>
        <w:jc w:val="both"/>
        <w:rPr>
          <w:rFonts w:ascii="Times New Roman" w:hAnsi="Times New Roman" w:cs="Times New Roman"/>
          <w:sz w:val="20"/>
          <w:szCs w:val="20"/>
        </w:rPr>
      </w:pPr>
      <w:r w:rsidRPr="00967339">
        <w:rPr>
          <w:rStyle w:val="Rimandonotaapidipagina"/>
          <w:rFonts w:ascii="Times New Roman" w:hAnsi="Times New Roman" w:cs="Times New Roman"/>
          <w:sz w:val="20"/>
          <w:szCs w:val="20"/>
        </w:rPr>
        <w:footnoteRef/>
      </w:r>
      <w:r w:rsidRPr="00967339">
        <w:rPr>
          <w:rFonts w:ascii="Times New Roman" w:hAnsi="Times New Roman" w:cs="Times New Roman"/>
          <w:sz w:val="20"/>
          <w:szCs w:val="20"/>
        </w:rPr>
        <w:t xml:space="preserve"> Per Jacobi, Spinoza tenterebbe comunque di spiegare la serie infinita </w:t>
      </w:r>
      <w:r w:rsidRPr="00967339">
        <w:rPr>
          <w:rFonts w:ascii="Times New Roman" w:hAnsi="Times New Roman" w:cs="Times New Roman"/>
          <w:i/>
          <w:sz w:val="20"/>
          <w:szCs w:val="20"/>
        </w:rPr>
        <w:t>reale</w:t>
      </w:r>
      <w:r>
        <w:rPr>
          <w:rFonts w:ascii="Times New Roman" w:hAnsi="Times New Roman" w:cs="Times New Roman"/>
          <w:sz w:val="20"/>
          <w:szCs w:val="20"/>
        </w:rPr>
        <w:t xml:space="preserve"> degli esseri</w:t>
      </w:r>
      <w:r w:rsidRPr="00967339">
        <w:rPr>
          <w:rFonts w:ascii="Times New Roman" w:hAnsi="Times New Roman" w:cs="Times New Roman"/>
          <w:sz w:val="20"/>
          <w:szCs w:val="20"/>
        </w:rPr>
        <w:t xml:space="preserve"> finiti, utilizzando impropriamente il concetto di fondamento che, al massimo, può esplicare la successione logica, non reale, degli enti finiti. Il risultato raggiunto da Spinoza è agli occhi di Jacobi paradossale: </w:t>
      </w:r>
      <w:r w:rsidRPr="00B7776D">
        <w:rPr>
          <w:rFonts w:ascii="Times New Roman" w:hAnsi="Times New Roman" w:cs="Times New Roman"/>
          <w:sz w:val="20"/>
          <w:szCs w:val="20"/>
        </w:rPr>
        <w:t>«Vergißt man den wesentlichen Unterschied beyder Begriffe, und wor er beruht, so erlaubt man sich den einen für den anderen zu setzen und anzuwenden, und bringt glücklich heraus, daß die Dinge enstehen können, ohne daß sie entstehen; sich verändern, ohne sich zu verändern; vor und nach einander seyn, ohne vor und nach einander zu seyn»</w:t>
      </w:r>
      <w:r w:rsidRPr="00967339">
        <w:rPr>
          <w:rFonts w:ascii="Times New Roman" w:hAnsi="Times New Roman" w:cs="Times New Roman"/>
          <w:sz w:val="20"/>
          <w:szCs w:val="20"/>
        </w:rPr>
        <w:t xml:space="preserve"> (</w:t>
      </w:r>
      <w:r w:rsidRPr="00967339">
        <w:rPr>
          <w:rFonts w:ascii="Times New Roman" w:hAnsi="Times New Roman" w:cs="Times New Roman"/>
          <w:i/>
          <w:sz w:val="20"/>
          <w:szCs w:val="20"/>
        </w:rPr>
        <w:t>Ivi</w:t>
      </w:r>
      <w:r w:rsidRPr="00967339">
        <w:rPr>
          <w:rFonts w:ascii="Times New Roman" w:hAnsi="Times New Roman" w:cs="Times New Roman"/>
          <w:sz w:val="20"/>
          <w:szCs w:val="20"/>
        </w:rPr>
        <w:t>, p. 118).</w:t>
      </w:r>
    </w:p>
  </w:footnote>
  <w:footnote w:id="124">
    <w:p w14:paraId="54E8306D" w14:textId="77777777" w:rsidR="00B34CC2" w:rsidRPr="00867A90" w:rsidRDefault="00B34CC2" w:rsidP="00F721A9">
      <w:pPr>
        <w:pStyle w:val="Testonotaapidipagina"/>
        <w:jc w:val="both"/>
        <w:rPr>
          <w:rFonts w:ascii="Times New Roman" w:hAnsi="Times New Roman" w:cs="Times New Roman"/>
          <w:sz w:val="20"/>
          <w:szCs w:val="20"/>
        </w:rPr>
      </w:pPr>
      <w:r w:rsidRPr="00967339">
        <w:rPr>
          <w:rStyle w:val="Rimandonotaapidipagina"/>
          <w:rFonts w:ascii="Times New Roman" w:hAnsi="Times New Roman" w:cs="Times New Roman"/>
          <w:sz w:val="20"/>
          <w:szCs w:val="20"/>
        </w:rPr>
        <w:footnoteRef/>
      </w:r>
      <w:r w:rsidRPr="00967339">
        <w:rPr>
          <w:rFonts w:ascii="Times New Roman" w:hAnsi="Times New Roman" w:cs="Times New Roman"/>
          <w:sz w:val="20"/>
          <w:szCs w:val="20"/>
        </w:rPr>
        <w:t xml:space="preserve"> </w:t>
      </w:r>
      <w:r w:rsidRPr="00967339">
        <w:rPr>
          <w:rFonts w:ascii="Times New Roman" w:hAnsi="Times New Roman" w:cs="Times New Roman"/>
          <w:i/>
          <w:sz w:val="20"/>
          <w:szCs w:val="20"/>
        </w:rPr>
        <w:t>Ibidem</w:t>
      </w:r>
      <w:r w:rsidRPr="00967339">
        <w:rPr>
          <w:rFonts w:ascii="Times New Roman" w:hAnsi="Times New Roman" w:cs="Times New Roman"/>
          <w:sz w:val="20"/>
          <w:szCs w:val="20"/>
        </w:rPr>
        <w:t>, p. 251.</w:t>
      </w:r>
    </w:p>
  </w:footnote>
  <w:footnote w:id="125">
    <w:p w14:paraId="67E7D434" w14:textId="40EB4B44" w:rsidR="00B34CC2" w:rsidRPr="00B26148" w:rsidRDefault="00B34CC2" w:rsidP="00F721A9">
      <w:pPr>
        <w:pStyle w:val="Testonotaapidipagina"/>
        <w:jc w:val="both"/>
        <w:rPr>
          <w:rFonts w:ascii="Times New Roman" w:hAnsi="Times New Roman" w:cs="Times New Roman"/>
          <w:sz w:val="20"/>
          <w:szCs w:val="20"/>
        </w:rPr>
      </w:pPr>
      <w:r w:rsidRPr="00F74CB3">
        <w:rPr>
          <w:rStyle w:val="Rimandonotaapidipagina"/>
          <w:rFonts w:ascii="Times New Roman" w:hAnsi="Times New Roman" w:cs="Times New Roman"/>
          <w:sz w:val="20"/>
          <w:szCs w:val="20"/>
        </w:rPr>
        <w:footnoteRef/>
      </w:r>
      <w:r w:rsidRPr="00F74CB3">
        <w:rPr>
          <w:rFonts w:ascii="Times New Roman" w:hAnsi="Times New Roman" w:cs="Times New Roman"/>
          <w:sz w:val="20"/>
          <w:szCs w:val="20"/>
        </w:rPr>
        <w:t xml:space="preserve"> </w:t>
      </w:r>
      <w:r w:rsidRPr="00F74CB3">
        <w:rPr>
          <w:rFonts w:ascii="Times New Roman" w:hAnsi="Times New Roman" w:cs="Times New Roman"/>
          <w:i/>
          <w:sz w:val="20"/>
          <w:szCs w:val="20"/>
        </w:rPr>
        <w:t>GuW</w:t>
      </w:r>
      <w:r>
        <w:rPr>
          <w:rFonts w:ascii="Times New Roman" w:hAnsi="Times New Roman" w:cs="Times New Roman"/>
          <w:sz w:val="20"/>
          <w:szCs w:val="20"/>
        </w:rPr>
        <w:t xml:space="preserve">, p. 398: </w:t>
      </w:r>
      <w:r w:rsidRPr="00B26148">
        <w:rPr>
          <w:rFonts w:ascii="Times New Roman" w:hAnsi="Times New Roman" w:cs="Times New Roman"/>
          <w:sz w:val="20"/>
          <w:szCs w:val="20"/>
        </w:rPr>
        <w:t>«Warum die Jacobische Philosophie den Nihilismus, den sie in der Fichteschen findet, so sehr verabscheue, ist vorhin gezeigt werden».</w:t>
      </w:r>
    </w:p>
  </w:footnote>
  <w:footnote w:id="126">
    <w:p w14:paraId="42BC6FF1" w14:textId="055994BA" w:rsidR="00B34CC2" w:rsidRDefault="00B34CC2" w:rsidP="00F721A9">
      <w:pPr>
        <w:pStyle w:val="Testonotaapidipagina"/>
        <w:jc w:val="both"/>
      </w:pPr>
      <w:r w:rsidRPr="002A0A2F">
        <w:rPr>
          <w:rStyle w:val="Rimandonotaapidipagina"/>
          <w:rFonts w:ascii="Times New Roman" w:hAnsi="Times New Roman" w:cs="Times New Roman"/>
          <w:sz w:val="20"/>
          <w:szCs w:val="20"/>
        </w:rPr>
        <w:footnoteRef/>
      </w:r>
      <w:r>
        <w:rPr>
          <w:rFonts w:ascii="Times New Roman" w:hAnsi="Times New Roman" w:cs="Times New Roman"/>
          <w:i/>
          <w:sz w:val="20"/>
          <w:szCs w:val="20"/>
        </w:rPr>
        <w:t xml:space="preserve"> Ivi</w:t>
      </w:r>
      <w:r>
        <w:rPr>
          <w:rFonts w:ascii="Times New Roman" w:hAnsi="Times New Roman" w:cs="Times New Roman"/>
          <w:sz w:val="20"/>
          <w:szCs w:val="20"/>
        </w:rPr>
        <w:t>, p. 358.</w:t>
      </w:r>
    </w:p>
  </w:footnote>
  <w:footnote w:id="127">
    <w:p w14:paraId="08BABFD2" w14:textId="07FEFB2F" w:rsidR="00B34CC2" w:rsidRPr="00397522" w:rsidRDefault="00B34CC2" w:rsidP="00F721A9">
      <w:pPr>
        <w:pStyle w:val="Testonotaapidipagina"/>
        <w:jc w:val="both"/>
        <w:rPr>
          <w:rFonts w:ascii="Times New Roman" w:hAnsi="Times New Roman" w:cs="Times New Roman"/>
          <w:sz w:val="20"/>
          <w:szCs w:val="20"/>
        </w:rPr>
      </w:pPr>
      <w:r w:rsidRPr="0054129F">
        <w:rPr>
          <w:rStyle w:val="Rimandonotaapidipagina"/>
          <w:rFonts w:ascii="Times New Roman" w:hAnsi="Times New Roman" w:cs="Times New Roman"/>
          <w:sz w:val="20"/>
          <w:szCs w:val="20"/>
        </w:rPr>
        <w:footnoteRef/>
      </w:r>
      <w:r w:rsidRPr="0054129F">
        <w:rPr>
          <w:rFonts w:ascii="Times New Roman" w:hAnsi="Times New Roman" w:cs="Times New Roman"/>
          <w:sz w:val="20"/>
          <w:szCs w:val="20"/>
        </w:rPr>
        <w:t xml:space="preserve"> </w:t>
      </w:r>
      <w:r>
        <w:rPr>
          <w:rFonts w:ascii="Times New Roman" w:hAnsi="Times New Roman" w:cs="Times New Roman"/>
          <w:i/>
          <w:sz w:val="20"/>
          <w:szCs w:val="20"/>
        </w:rPr>
        <w:t>Ivi</w:t>
      </w:r>
      <w:r>
        <w:rPr>
          <w:rFonts w:ascii="Times New Roman" w:hAnsi="Times New Roman" w:cs="Times New Roman"/>
          <w:sz w:val="20"/>
          <w:szCs w:val="20"/>
        </w:rPr>
        <w:t xml:space="preserve">, </w:t>
      </w:r>
      <w:r w:rsidRPr="00397522">
        <w:rPr>
          <w:rFonts w:ascii="Times New Roman" w:hAnsi="Times New Roman" w:cs="Times New Roman"/>
          <w:sz w:val="20"/>
          <w:szCs w:val="20"/>
        </w:rPr>
        <w:t>p. 398.</w:t>
      </w:r>
    </w:p>
  </w:footnote>
  <w:footnote w:id="128">
    <w:p w14:paraId="0A1AC5F2" w14:textId="20AEB652" w:rsidR="00B34CC2" w:rsidRPr="00727925" w:rsidRDefault="00B34CC2" w:rsidP="00F721A9">
      <w:pPr>
        <w:pStyle w:val="Testonotaapidipagina"/>
        <w:jc w:val="both"/>
        <w:rPr>
          <w:rFonts w:ascii="Times New Roman" w:hAnsi="Times New Roman" w:cs="Times New Roman"/>
          <w:sz w:val="20"/>
          <w:szCs w:val="20"/>
        </w:rPr>
      </w:pPr>
      <w:r w:rsidRPr="00727925">
        <w:rPr>
          <w:rStyle w:val="Rimandonotaapidipagina"/>
          <w:rFonts w:ascii="Times New Roman" w:hAnsi="Times New Roman" w:cs="Times New Roman"/>
          <w:sz w:val="20"/>
          <w:szCs w:val="20"/>
        </w:rPr>
        <w:footnoteRef/>
      </w:r>
      <w:r>
        <w:rPr>
          <w:rFonts w:ascii="Times New Roman" w:hAnsi="Times New Roman" w:cs="Times New Roman"/>
          <w:i/>
          <w:sz w:val="20"/>
          <w:szCs w:val="20"/>
        </w:rPr>
        <w:t xml:space="preserve"> Ivi</w:t>
      </w:r>
      <w:r>
        <w:rPr>
          <w:rFonts w:ascii="Times New Roman" w:hAnsi="Times New Roman" w:cs="Times New Roman"/>
          <w:sz w:val="20"/>
          <w:szCs w:val="20"/>
        </w:rPr>
        <w:t>, p. 354.</w:t>
      </w:r>
    </w:p>
  </w:footnote>
  <w:footnote w:id="129">
    <w:p w14:paraId="26E85674" w14:textId="66A2C438" w:rsidR="00B34CC2" w:rsidRPr="003746BF" w:rsidRDefault="00B34CC2" w:rsidP="00F721A9">
      <w:pPr>
        <w:pStyle w:val="Testonotaapidipagina"/>
        <w:jc w:val="both"/>
        <w:rPr>
          <w:rFonts w:ascii="Times New Roman" w:hAnsi="Times New Roman" w:cs="Times New Roman"/>
          <w:sz w:val="20"/>
          <w:szCs w:val="20"/>
        </w:rPr>
      </w:pPr>
      <w:r w:rsidRPr="00EF2DA7">
        <w:rPr>
          <w:rStyle w:val="Rimandonotaapidipagina"/>
          <w:rFonts w:ascii="Times New Roman" w:hAnsi="Times New Roman" w:cs="Times New Roman"/>
          <w:sz w:val="20"/>
          <w:szCs w:val="20"/>
        </w:rPr>
        <w:footnoteRef/>
      </w:r>
      <w:r w:rsidRPr="00EF2DA7">
        <w:rPr>
          <w:rFonts w:ascii="Times New Roman" w:hAnsi="Times New Roman" w:cs="Times New Roman"/>
          <w:sz w:val="20"/>
          <w:szCs w:val="20"/>
        </w:rPr>
        <w:t xml:space="preserve"> </w:t>
      </w:r>
      <w:r>
        <w:rPr>
          <w:rFonts w:ascii="Times New Roman" w:hAnsi="Times New Roman" w:cs="Times New Roman"/>
          <w:i/>
          <w:sz w:val="20"/>
          <w:szCs w:val="20"/>
        </w:rPr>
        <w:t>Ivi</w:t>
      </w:r>
      <w:r>
        <w:rPr>
          <w:rFonts w:ascii="Times New Roman" w:hAnsi="Times New Roman" w:cs="Times New Roman"/>
          <w:sz w:val="20"/>
          <w:szCs w:val="20"/>
        </w:rPr>
        <w:t>, p. 355.</w:t>
      </w:r>
    </w:p>
  </w:footnote>
  <w:footnote w:id="130">
    <w:p w14:paraId="6B5D72F1" w14:textId="0966D11A" w:rsidR="00B34CC2" w:rsidRPr="00170B23" w:rsidRDefault="00B34CC2" w:rsidP="00F721A9">
      <w:pPr>
        <w:pStyle w:val="Testonotaapidipagina"/>
        <w:jc w:val="both"/>
        <w:rPr>
          <w:rFonts w:ascii="Times New Roman" w:hAnsi="Times New Roman" w:cs="Times New Roman"/>
        </w:rPr>
      </w:pPr>
      <w:r w:rsidRPr="00EF2DA7">
        <w:rPr>
          <w:rStyle w:val="Rimandonotaapidipagina"/>
          <w:rFonts w:ascii="Times New Roman" w:hAnsi="Times New Roman" w:cs="Times New Roman"/>
          <w:sz w:val="20"/>
          <w:szCs w:val="20"/>
        </w:rPr>
        <w:footnoteRef/>
      </w:r>
      <w:r>
        <w:rPr>
          <w:rFonts w:ascii="Times New Roman" w:hAnsi="Times New Roman" w:cs="Times New Roman"/>
          <w:i/>
          <w:sz w:val="20"/>
          <w:szCs w:val="20"/>
        </w:rPr>
        <w:t xml:space="preserve"> Ivi</w:t>
      </w:r>
      <w:r>
        <w:rPr>
          <w:rFonts w:ascii="Times New Roman" w:hAnsi="Times New Roman" w:cs="Times New Roman"/>
          <w:sz w:val="20"/>
          <w:szCs w:val="20"/>
        </w:rPr>
        <w:t>, p. 353.</w:t>
      </w:r>
    </w:p>
  </w:footnote>
  <w:footnote w:id="131">
    <w:p w14:paraId="5E722CF8" w14:textId="2440E159" w:rsidR="00B34CC2" w:rsidRPr="007F0225" w:rsidRDefault="00B34CC2" w:rsidP="00F721A9">
      <w:pPr>
        <w:pStyle w:val="Testonotaapidipagina"/>
        <w:jc w:val="both"/>
        <w:rPr>
          <w:rStyle w:val="Rimandonotaapidipagina"/>
        </w:rPr>
      </w:pPr>
      <w:r w:rsidRPr="00993B0B">
        <w:rPr>
          <w:rStyle w:val="Rimandonotaapidipagina"/>
          <w:rFonts w:ascii="Times New Roman" w:hAnsi="Times New Roman" w:cs="Times New Roman"/>
          <w:sz w:val="20"/>
          <w:szCs w:val="20"/>
        </w:rPr>
        <w:footnoteRef/>
      </w:r>
      <w:r w:rsidRPr="00993B0B">
        <w:rPr>
          <w:rFonts w:ascii="Times New Roman" w:hAnsi="Times New Roman" w:cs="Times New Roman"/>
          <w:sz w:val="20"/>
          <w:szCs w:val="20"/>
        </w:rPr>
        <w:t xml:space="preserve"> </w:t>
      </w:r>
      <w:r>
        <w:rPr>
          <w:rFonts w:ascii="Times New Roman" w:hAnsi="Times New Roman" w:cs="Times New Roman"/>
          <w:sz w:val="20"/>
          <w:szCs w:val="20"/>
        </w:rPr>
        <w:t xml:space="preserve">Cfr. B. Spinoza, </w:t>
      </w:r>
      <w:r w:rsidRPr="00EF2DA7">
        <w:rPr>
          <w:rFonts w:ascii="Times New Roman" w:hAnsi="Times New Roman" w:cs="Times New Roman"/>
          <w:i/>
          <w:sz w:val="20"/>
          <w:szCs w:val="20"/>
        </w:rPr>
        <w:t>Ethica</w:t>
      </w:r>
      <w:r>
        <w:rPr>
          <w:rFonts w:ascii="Times New Roman" w:hAnsi="Times New Roman" w:cs="Times New Roman"/>
          <w:sz w:val="20"/>
          <w:szCs w:val="20"/>
        </w:rPr>
        <w:t xml:space="preserve">, in </w:t>
      </w:r>
      <w:r>
        <w:rPr>
          <w:rFonts w:ascii="Times New Roman" w:hAnsi="Times New Roman" w:cs="Times New Roman"/>
          <w:i/>
          <w:sz w:val="20"/>
          <w:szCs w:val="20"/>
        </w:rPr>
        <w:t>Baruch Spinoza</w:t>
      </w:r>
      <w:r>
        <w:rPr>
          <w:rFonts w:ascii="Times New Roman" w:hAnsi="Times New Roman" w:cs="Times New Roman"/>
          <w:sz w:val="20"/>
          <w:szCs w:val="20"/>
        </w:rPr>
        <w:t xml:space="preserve">. </w:t>
      </w:r>
      <w:r w:rsidRPr="007332C6">
        <w:rPr>
          <w:rFonts w:ascii="Times New Roman" w:hAnsi="Times New Roman" w:cs="Times New Roman"/>
          <w:i/>
          <w:sz w:val="20"/>
          <w:szCs w:val="20"/>
        </w:rPr>
        <w:t>Tutte le opere</w:t>
      </w:r>
      <w:r>
        <w:rPr>
          <w:rFonts w:ascii="Times New Roman" w:hAnsi="Times New Roman" w:cs="Times New Roman"/>
          <w:sz w:val="20"/>
          <w:szCs w:val="20"/>
        </w:rPr>
        <w:t xml:space="preserve">, a cura di A. Sangiacomo, Bompiani, Milano 2010, p. 1152: </w:t>
      </w:r>
      <w:r w:rsidRPr="00B24F82">
        <w:rPr>
          <w:rFonts w:ascii="Times New Roman" w:hAnsi="Times New Roman" w:cs="Times New Roman"/>
          <w:sz w:val="20"/>
          <w:szCs w:val="20"/>
        </w:rPr>
        <w:t>«Omnis substantia est necessario infinita»</w:t>
      </w:r>
      <w:r>
        <w:rPr>
          <w:rFonts w:ascii="Times New Roman" w:hAnsi="Times New Roman" w:cs="Times New Roman"/>
        </w:rPr>
        <w:t xml:space="preserve">. </w:t>
      </w:r>
      <w:r>
        <w:rPr>
          <w:rFonts w:ascii="Times New Roman" w:hAnsi="Times New Roman" w:cs="Times New Roman"/>
          <w:sz w:val="20"/>
          <w:szCs w:val="20"/>
        </w:rPr>
        <w:t xml:space="preserve">Vista l’importanza che Hegel attribuirà anche allo scolio di questa proposizione, ho deciso di riportarlo per intero: </w:t>
      </w:r>
      <w:r w:rsidRPr="00B24F82">
        <w:rPr>
          <w:rFonts w:ascii="Times New Roman" w:hAnsi="Times New Roman" w:cs="Times New Roman"/>
          <w:sz w:val="20"/>
          <w:szCs w:val="20"/>
        </w:rPr>
        <w:t>«Substantia unius attributi non, nisi unica, existit (per Prop. 5.), &amp; ad ipsius naturam pertinet existere (per Prop. 7). Erit ergo de ipsius natura, vel finita, vel infinita existere. At non finita. Nam (per Defin. 2.) deberet terminari ab alia ejusdem naturae, quae etiam necessario deberet existere (per Prop. 7.); adeoque darentur duae substantiae ejusdem attributi, quod est absurdum (per Prop. 5.). Existit ergo infinita. Q.E.D.»</w:t>
      </w:r>
      <w:r w:rsidRPr="008A75C0">
        <w:rPr>
          <w:rFonts w:ascii="Times New Roman" w:hAnsi="Times New Roman" w:cs="Times New Roman"/>
          <w:sz w:val="20"/>
          <w:szCs w:val="20"/>
        </w:rPr>
        <w:t xml:space="preserve"> (Ibidem).</w:t>
      </w:r>
      <w:r>
        <w:rPr>
          <w:rFonts w:ascii="Times New Roman" w:hAnsi="Times New Roman" w:cs="Times New Roman"/>
          <w:sz w:val="20"/>
          <w:szCs w:val="20"/>
        </w:rPr>
        <w:t xml:space="preserve"> Non è superfluo ricordare che Hegel prese parte all’edizione critica delle opere di Spinoza curata dal teologo Paulus e data alle stampe a Jena fra il 1802 ed il 1803. Come sappiamo, l’apporto di Hegel all’edizione critica fu di carattere filologico: comparazione delle </w:t>
      </w:r>
      <w:r>
        <w:rPr>
          <w:rFonts w:ascii="Times New Roman" w:hAnsi="Times New Roman" w:cs="Times New Roman"/>
          <w:i/>
          <w:sz w:val="20"/>
          <w:szCs w:val="20"/>
        </w:rPr>
        <w:t>Adnotationes ad Tractatum Theologicum Politicum</w:t>
      </w:r>
      <w:r>
        <w:rPr>
          <w:rFonts w:ascii="Times New Roman" w:hAnsi="Times New Roman" w:cs="Times New Roman"/>
          <w:sz w:val="20"/>
          <w:szCs w:val="20"/>
        </w:rPr>
        <w:t>, edite da Christophorus de Murr nel 1802, con la traduzione delle stesse (</w:t>
      </w:r>
      <w:r>
        <w:rPr>
          <w:rFonts w:ascii="Times New Roman" w:hAnsi="Times New Roman" w:cs="Times New Roman"/>
          <w:i/>
          <w:sz w:val="20"/>
          <w:szCs w:val="20"/>
        </w:rPr>
        <w:t xml:space="preserve">Remarques </w:t>
      </w:r>
      <w:r w:rsidRPr="00FD71CC">
        <w:rPr>
          <w:rFonts w:ascii="Times New Roman" w:hAnsi="Times New Roman" w:cs="Times New Roman"/>
          <w:i/>
          <w:sz w:val="20"/>
          <w:szCs w:val="20"/>
        </w:rPr>
        <w:t>Curieuses, Et necessaires pour l’Intelligence de ce Livre</w:t>
      </w:r>
      <w:r>
        <w:rPr>
          <w:rFonts w:ascii="Times New Roman" w:hAnsi="Times New Roman" w:cs="Times New Roman"/>
          <w:sz w:val="20"/>
          <w:szCs w:val="20"/>
        </w:rPr>
        <w:t xml:space="preserve">) contenute nell’edizione francese del </w:t>
      </w:r>
      <w:r w:rsidRPr="00FD71CC">
        <w:rPr>
          <w:rFonts w:ascii="Times New Roman" w:hAnsi="Times New Roman" w:cs="Times New Roman"/>
          <w:i/>
          <w:sz w:val="20"/>
          <w:szCs w:val="20"/>
        </w:rPr>
        <w:t>Tractatus</w:t>
      </w:r>
      <w:r>
        <w:rPr>
          <w:rFonts w:ascii="Times New Roman" w:hAnsi="Times New Roman" w:cs="Times New Roman"/>
          <w:sz w:val="20"/>
          <w:szCs w:val="20"/>
        </w:rPr>
        <w:t xml:space="preserve">. Sull’attività hegeliana di confronto dei testi cfr. F. Chiereghin, </w:t>
      </w:r>
      <w:r w:rsidRPr="001435C2">
        <w:rPr>
          <w:rFonts w:ascii="Times New Roman" w:hAnsi="Times New Roman" w:cs="Times New Roman"/>
          <w:i/>
          <w:sz w:val="20"/>
          <w:szCs w:val="20"/>
        </w:rPr>
        <w:t>Filologia spinoziana e spinozismo nella concezione politica di Hegel a Jena</w:t>
      </w:r>
      <w:r w:rsidRPr="0023765C">
        <w:rPr>
          <w:rFonts w:ascii="Times New Roman" w:hAnsi="Times New Roman" w:cs="Times New Roman"/>
          <w:sz w:val="20"/>
          <w:szCs w:val="20"/>
        </w:rPr>
        <w:t>, in «Verifiche»</w:t>
      </w:r>
      <w:r>
        <w:rPr>
          <w:rFonts w:ascii="Times New Roman" w:hAnsi="Times New Roman" w:cs="Times New Roman"/>
          <w:sz w:val="20"/>
          <w:szCs w:val="20"/>
        </w:rPr>
        <w:t>, n. 4, 1997, pp. 707-731; H. C. Lucas</w:t>
      </w:r>
      <w:r w:rsidRPr="00723679">
        <w:rPr>
          <w:rFonts w:ascii="Times New Roman" w:hAnsi="Times New Roman" w:cs="Times New Roman"/>
          <w:sz w:val="20"/>
          <w:szCs w:val="20"/>
        </w:rPr>
        <w:t>,</w:t>
      </w:r>
      <w:r>
        <w:rPr>
          <w:rFonts w:ascii="Times New Roman" w:hAnsi="Times New Roman" w:cs="Times New Roman"/>
          <w:sz w:val="20"/>
          <w:szCs w:val="20"/>
        </w:rPr>
        <w:t xml:space="preserve"> </w:t>
      </w:r>
      <w:r>
        <w:rPr>
          <w:rFonts w:ascii="Times New Roman" w:hAnsi="Times New Roman" w:cs="Times New Roman"/>
          <w:i/>
          <w:sz w:val="20"/>
          <w:szCs w:val="20"/>
        </w:rPr>
        <w:t>Hegel et l’edicion de Spinoza par Paulus</w:t>
      </w:r>
      <w:r>
        <w:rPr>
          <w:rFonts w:ascii="Times New Roman" w:hAnsi="Times New Roman" w:cs="Times New Roman"/>
          <w:sz w:val="20"/>
          <w:szCs w:val="20"/>
        </w:rPr>
        <w:t xml:space="preserve">, in </w:t>
      </w:r>
      <w:r w:rsidRPr="00387969">
        <w:rPr>
          <w:rFonts w:ascii="Times New Roman" w:hAnsi="Times New Roman" w:cs="Times New Roman"/>
          <w:sz w:val="20"/>
          <w:szCs w:val="20"/>
        </w:rPr>
        <w:t>«</w:t>
      </w:r>
      <w:r>
        <w:rPr>
          <w:rFonts w:ascii="Times New Roman" w:hAnsi="Times New Roman" w:cs="Times New Roman"/>
          <w:sz w:val="20"/>
          <w:szCs w:val="20"/>
        </w:rPr>
        <w:t>Cahiers</w:t>
      </w:r>
      <w:r>
        <w:rPr>
          <w:rFonts w:ascii="Times New Roman" w:hAnsi="Times New Roman" w:cs="Times New Roman"/>
          <w:sz w:val="20"/>
          <w:szCs w:val="20"/>
          <w:lang w:val="en-GB"/>
        </w:rPr>
        <w:t xml:space="preserve"> </w:t>
      </w:r>
      <w:r>
        <w:rPr>
          <w:rFonts w:ascii="Times New Roman" w:hAnsi="Times New Roman" w:cs="Times New Roman"/>
          <w:sz w:val="20"/>
          <w:szCs w:val="20"/>
        </w:rPr>
        <w:t>Spinoza</w:t>
      </w:r>
      <w:r w:rsidRPr="006A2156">
        <w:rPr>
          <w:rFonts w:ascii="Times New Roman" w:hAnsi="Times New Roman" w:cs="Times New Roman"/>
          <w:sz w:val="20"/>
          <w:szCs w:val="20"/>
          <w:lang w:val="en-GB"/>
        </w:rPr>
        <w:t>»</w:t>
      </w:r>
      <w:r>
        <w:rPr>
          <w:rFonts w:ascii="Times New Roman" w:hAnsi="Times New Roman" w:cs="Times New Roman"/>
          <w:sz w:val="20"/>
          <w:szCs w:val="20"/>
        </w:rPr>
        <w:t xml:space="preserve">, 1982-1983, n. 4, pp. 171-204; </w:t>
      </w:r>
      <w:r w:rsidRPr="007F0225">
        <w:rPr>
          <w:rFonts w:ascii="Times New Roman" w:hAnsi="Times New Roman" w:cs="Times New Roman"/>
          <w:sz w:val="20"/>
          <w:szCs w:val="20"/>
        </w:rPr>
        <w:t xml:space="preserve">V. Morfino, </w:t>
      </w:r>
      <w:r w:rsidRPr="007F0225">
        <w:rPr>
          <w:rFonts w:ascii="Times New Roman" w:hAnsi="Times New Roman" w:cs="Times New Roman"/>
          <w:i/>
          <w:sz w:val="20"/>
          <w:szCs w:val="20"/>
        </w:rPr>
        <w:t>Substantia sive organismus: immagine e funzione teorica di Spinoza negli scritti jenesi di Hegel</w:t>
      </w:r>
      <w:r w:rsidRPr="007F0225">
        <w:rPr>
          <w:rFonts w:ascii="Times New Roman" w:hAnsi="Times New Roman" w:cs="Times New Roman"/>
          <w:sz w:val="20"/>
          <w:szCs w:val="20"/>
        </w:rPr>
        <w:t>, Milano, Guerini, 1997</w:t>
      </w:r>
      <w:r>
        <w:rPr>
          <w:rFonts w:ascii="Times New Roman" w:hAnsi="Times New Roman" w:cs="Times New Roman"/>
          <w:sz w:val="20"/>
          <w:szCs w:val="20"/>
        </w:rPr>
        <w:t>, pp. 78-82</w:t>
      </w:r>
      <w:r w:rsidRPr="007F0225">
        <w:rPr>
          <w:rFonts w:ascii="Times New Roman" w:hAnsi="Times New Roman" w:cs="Times New Roman"/>
          <w:sz w:val="20"/>
          <w:szCs w:val="20"/>
        </w:rPr>
        <w:t>.</w:t>
      </w:r>
      <w:r w:rsidRPr="007F0225">
        <w:rPr>
          <w:rStyle w:val="Rimandonotaapidipagina"/>
        </w:rPr>
        <w:t xml:space="preserve">  </w:t>
      </w:r>
    </w:p>
  </w:footnote>
  <w:footnote w:id="132">
    <w:p w14:paraId="5E2741F5" w14:textId="191FDF57" w:rsidR="00B34CC2" w:rsidRPr="00E95B2D" w:rsidRDefault="00B34CC2" w:rsidP="00F721A9">
      <w:pPr>
        <w:pStyle w:val="Testonotaapidipagina"/>
        <w:jc w:val="both"/>
        <w:rPr>
          <w:rFonts w:ascii="Times New Roman" w:hAnsi="Times New Roman" w:cs="Times New Roman"/>
          <w:sz w:val="20"/>
          <w:szCs w:val="20"/>
        </w:rPr>
      </w:pPr>
      <w:r w:rsidRPr="00E95B2D">
        <w:rPr>
          <w:rStyle w:val="Rimandonotaapidipagina"/>
          <w:rFonts w:ascii="Times New Roman" w:hAnsi="Times New Roman" w:cs="Times New Roman"/>
          <w:sz w:val="20"/>
          <w:szCs w:val="20"/>
        </w:rPr>
        <w:footnoteRef/>
      </w:r>
      <w:r w:rsidRPr="00E95B2D">
        <w:rPr>
          <w:rFonts w:ascii="Times New Roman" w:hAnsi="Times New Roman" w:cs="Times New Roman"/>
          <w:sz w:val="20"/>
          <w:szCs w:val="20"/>
        </w:rPr>
        <w:t xml:space="preserve"> </w:t>
      </w:r>
      <w:r w:rsidRPr="00E95B2D">
        <w:rPr>
          <w:rFonts w:ascii="Times New Roman" w:hAnsi="Times New Roman" w:cs="Times New Roman"/>
          <w:i/>
          <w:sz w:val="20"/>
          <w:szCs w:val="20"/>
        </w:rPr>
        <w:t>GuW</w:t>
      </w:r>
      <w:r>
        <w:rPr>
          <w:rFonts w:ascii="Times New Roman" w:hAnsi="Times New Roman" w:cs="Times New Roman"/>
          <w:sz w:val="20"/>
          <w:szCs w:val="20"/>
        </w:rPr>
        <w:t>, p. 354.</w:t>
      </w:r>
    </w:p>
  </w:footnote>
  <w:footnote w:id="133">
    <w:p w14:paraId="3C24AFEE" w14:textId="5875A213" w:rsidR="00B34CC2" w:rsidRPr="00B7776D" w:rsidRDefault="00B34CC2" w:rsidP="00F721A9">
      <w:pPr>
        <w:pStyle w:val="Testonotaapidipagina"/>
        <w:jc w:val="both"/>
        <w:rPr>
          <w:rFonts w:ascii="Times New Roman" w:hAnsi="Times New Roman" w:cs="Times New Roman"/>
          <w:sz w:val="20"/>
          <w:szCs w:val="20"/>
        </w:rPr>
      </w:pPr>
      <w:r w:rsidRPr="00CE6357">
        <w:rPr>
          <w:rStyle w:val="Rimandonotaapidipagina"/>
          <w:rFonts w:ascii="Times New Roman" w:hAnsi="Times New Roman" w:cs="Times New Roman"/>
          <w:sz w:val="20"/>
          <w:szCs w:val="20"/>
        </w:rPr>
        <w:footnoteRef/>
      </w:r>
      <w:r w:rsidRPr="00CE6357">
        <w:rPr>
          <w:rFonts w:ascii="Times New Roman" w:hAnsi="Times New Roman" w:cs="Times New Roman"/>
          <w:sz w:val="20"/>
          <w:szCs w:val="20"/>
        </w:rPr>
        <w:t xml:space="preserve"> </w:t>
      </w:r>
      <w:r>
        <w:rPr>
          <w:rFonts w:ascii="Times New Roman" w:hAnsi="Times New Roman" w:cs="Times New Roman"/>
          <w:sz w:val="20"/>
          <w:szCs w:val="20"/>
        </w:rPr>
        <w:t>Il riferimento all’</w:t>
      </w:r>
      <w:r>
        <w:rPr>
          <w:rFonts w:ascii="Times New Roman" w:hAnsi="Times New Roman" w:cs="Times New Roman"/>
          <w:i/>
          <w:sz w:val="20"/>
          <w:szCs w:val="20"/>
        </w:rPr>
        <w:t xml:space="preserve">intuitive Erkentniß </w:t>
      </w:r>
      <w:r>
        <w:rPr>
          <w:rFonts w:ascii="Times New Roman" w:hAnsi="Times New Roman" w:cs="Times New Roman"/>
          <w:sz w:val="20"/>
          <w:szCs w:val="20"/>
        </w:rPr>
        <w:t>rimanda ad un passaggio cruciale della discussione della filosofia kantiana in cui Hegel si rammarica del fatto che Kant non abbia concepito la sostanza spinoziana alla stregua della sua idea dell’</w:t>
      </w:r>
      <w:r>
        <w:rPr>
          <w:rFonts w:ascii="Times New Roman" w:hAnsi="Times New Roman" w:cs="Times New Roman"/>
          <w:i/>
          <w:sz w:val="20"/>
          <w:szCs w:val="20"/>
        </w:rPr>
        <w:t>intuitiver Verstand</w:t>
      </w:r>
      <w:r>
        <w:rPr>
          <w:rFonts w:ascii="Times New Roman" w:hAnsi="Times New Roman" w:cs="Times New Roman"/>
          <w:sz w:val="20"/>
          <w:szCs w:val="20"/>
        </w:rPr>
        <w:t xml:space="preserve">. Per il passo in questione vedi </w:t>
      </w:r>
      <w:r w:rsidRPr="00E871AF">
        <w:rPr>
          <w:rFonts w:ascii="Times New Roman" w:hAnsi="Times New Roman" w:cs="Times New Roman"/>
          <w:i/>
          <w:sz w:val="20"/>
          <w:szCs w:val="20"/>
        </w:rPr>
        <w:t>GuW</w:t>
      </w:r>
      <w:r>
        <w:rPr>
          <w:rFonts w:ascii="Times New Roman" w:hAnsi="Times New Roman" w:cs="Times New Roman"/>
          <w:sz w:val="20"/>
          <w:szCs w:val="20"/>
        </w:rPr>
        <w:t xml:space="preserve">, p. 342: </w:t>
      </w:r>
      <w:r w:rsidRPr="00B7776D">
        <w:rPr>
          <w:rFonts w:ascii="Times New Roman" w:hAnsi="Times New Roman" w:cs="Times New Roman"/>
          <w:sz w:val="20"/>
          <w:szCs w:val="20"/>
        </w:rPr>
        <w:t>«Hätte Kant bey der spinozischen Substanz nicht seine Verstandeseinheit, die ihm theoretische und praktische Vernunft heißt, sodern seine Idee der Einheit eines intuitiven Verstandes, als in welchem Begriff und Anschaung, Möglichkeit und Wirklichkeit Eins ist, gegenwärtig gehabt, so hätte er die spinozische Einheit nicht für eine abstracte, welche der Zweckmäßigkeit, d. h. einer absoluten Verknüpfung der Dinge entbehrte, sondern für die absolut intellegible und an sich organische Einheit nehmen müssen; und würde diese organische Einheit, den Naturzweck, den er als ein Bestimmtseyn der Theile durch das Ganze, als Identität der Ursache und Wirkung faßt, unmittelbar  diese Weise vernünftig erkannt haben».</w:t>
      </w:r>
    </w:p>
  </w:footnote>
  <w:footnote w:id="134">
    <w:p w14:paraId="7EFCCCF2" w14:textId="34EECD4B" w:rsidR="00B34CC2" w:rsidRPr="00030D3D" w:rsidRDefault="00B34CC2" w:rsidP="00F721A9">
      <w:pPr>
        <w:pStyle w:val="Testonotaapidipagina"/>
        <w:jc w:val="both"/>
        <w:rPr>
          <w:rFonts w:ascii="Times New Roman" w:hAnsi="Times New Roman" w:cs="Times New Roman"/>
          <w:sz w:val="20"/>
          <w:szCs w:val="20"/>
        </w:rPr>
      </w:pPr>
      <w:r w:rsidRPr="00030D3D">
        <w:rPr>
          <w:rStyle w:val="Rimandonotaapidipagina"/>
          <w:rFonts w:ascii="Times New Roman" w:hAnsi="Times New Roman" w:cs="Times New Roman"/>
          <w:sz w:val="20"/>
          <w:szCs w:val="20"/>
        </w:rPr>
        <w:footnoteRef/>
      </w:r>
      <w:r w:rsidRPr="00030D3D">
        <w:rPr>
          <w:rFonts w:ascii="Times New Roman" w:hAnsi="Times New Roman" w:cs="Times New Roman"/>
          <w:sz w:val="20"/>
          <w:szCs w:val="20"/>
        </w:rPr>
        <w:t xml:space="preserve"> </w:t>
      </w:r>
      <w:r w:rsidRPr="00EF2DA7">
        <w:rPr>
          <w:rFonts w:ascii="Times New Roman" w:hAnsi="Times New Roman" w:cs="Times New Roman"/>
          <w:i/>
          <w:sz w:val="20"/>
          <w:szCs w:val="20"/>
        </w:rPr>
        <w:t>Diff</w:t>
      </w:r>
      <w:r w:rsidRPr="00030D3D">
        <w:rPr>
          <w:rFonts w:ascii="Times New Roman" w:hAnsi="Times New Roman" w:cs="Times New Roman"/>
          <w:sz w:val="20"/>
          <w:szCs w:val="20"/>
        </w:rPr>
        <w:t>, p. 64.</w:t>
      </w:r>
    </w:p>
  </w:footnote>
  <w:footnote w:id="135">
    <w:p w14:paraId="091D4E85" w14:textId="76DB973E" w:rsidR="00B34CC2" w:rsidRPr="00B7776D" w:rsidRDefault="00B34CC2" w:rsidP="00F721A9">
      <w:pPr>
        <w:pStyle w:val="Testonotaapidipagina"/>
        <w:jc w:val="both"/>
        <w:rPr>
          <w:rFonts w:ascii="Times New Roman" w:hAnsi="Times New Roman" w:cs="Times New Roman"/>
          <w:sz w:val="20"/>
          <w:szCs w:val="20"/>
        </w:rPr>
      </w:pPr>
      <w:r w:rsidRPr="00E3796C">
        <w:rPr>
          <w:rStyle w:val="Rimandonotaapidipagina"/>
          <w:rFonts w:ascii="Times New Roman" w:hAnsi="Times New Roman" w:cs="Times New Roman"/>
          <w:sz w:val="20"/>
          <w:szCs w:val="20"/>
        </w:rPr>
        <w:footnoteRef/>
      </w:r>
      <w:r w:rsidRPr="0049717B">
        <w:rPr>
          <w:rFonts w:ascii="Times New Roman" w:hAnsi="Times New Roman" w:cs="Times New Roman"/>
          <w:sz w:val="20"/>
          <w:szCs w:val="20"/>
        </w:rPr>
        <w:t xml:space="preserve"> </w:t>
      </w:r>
      <w:r>
        <w:rPr>
          <w:rFonts w:ascii="Times New Roman" w:hAnsi="Times New Roman" w:cs="Times New Roman"/>
          <w:sz w:val="20"/>
          <w:szCs w:val="20"/>
        </w:rPr>
        <w:t xml:space="preserve">Cfr. F.W.J. Schelling, </w:t>
      </w:r>
      <w:r>
        <w:rPr>
          <w:rFonts w:ascii="Times New Roman" w:hAnsi="Times New Roman" w:cs="Times New Roman"/>
          <w:i/>
          <w:sz w:val="20"/>
          <w:szCs w:val="20"/>
        </w:rPr>
        <w:t>Darstellung meines Systems der Philosophie</w:t>
      </w:r>
      <w:r>
        <w:rPr>
          <w:rFonts w:ascii="Times New Roman" w:hAnsi="Times New Roman" w:cs="Times New Roman"/>
          <w:sz w:val="20"/>
          <w:szCs w:val="20"/>
        </w:rPr>
        <w:t xml:space="preserve">, in </w:t>
      </w:r>
      <w:r>
        <w:rPr>
          <w:rFonts w:ascii="Times New Roman" w:hAnsi="Times New Roman" w:cs="Times New Roman"/>
          <w:i/>
          <w:sz w:val="20"/>
          <w:szCs w:val="20"/>
        </w:rPr>
        <w:t>Schelling Werke</w:t>
      </w:r>
      <w:r>
        <w:rPr>
          <w:rFonts w:ascii="Times New Roman" w:hAnsi="Times New Roman" w:cs="Times New Roman"/>
          <w:sz w:val="20"/>
          <w:szCs w:val="20"/>
        </w:rPr>
        <w:t xml:space="preserve">, hrsg. von M. Schröter, Bd. III, C. H. Beck Verlag, München 1971, pp. 19-27: </w:t>
      </w:r>
      <w:r w:rsidRPr="00B7776D">
        <w:rPr>
          <w:rFonts w:ascii="Times New Roman" w:hAnsi="Times New Roman" w:cs="Times New Roman"/>
          <w:sz w:val="20"/>
          <w:szCs w:val="20"/>
        </w:rPr>
        <w:t>«</w:t>
      </w:r>
      <w:r>
        <w:rPr>
          <w:rFonts w:ascii="Times New Roman" w:hAnsi="Times New Roman" w:cs="Times New Roman"/>
          <w:sz w:val="20"/>
          <w:szCs w:val="20"/>
        </w:rPr>
        <w:t xml:space="preserve">§22 Zwischen Subjekt und Objekt ist [überhaupt] keine andere als quantitative Differenz möglich […] </w:t>
      </w:r>
      <w:r w:rsidRPr="00B7776D">
        <w:rPr>
          <w:rFonts w:ascii="Times New Roman" w:hAnsi="Times New Roman" w:cs="Times New Roman"/>
          <w:sz w:val="20"/>
          <w:szCs w:val="20"/>
        </w:rPr>
        <w:t>§31. Die absolute Identität ist nur unter der Form der quantitativen Indifferenz des Subjektiven und Objektiven […] §37. Die Quantitative Differenz des Subjektiven und Objektiven ist der Grund aller Endlichkeit, und umgekehrt, quantitative Indifferenz beider ist Unendlichkeit».</w:t>
      </w:r>
    </w:p>
  </w:footnote>
  <w:footnote w:id="136">
    <w:p w14:paraId="29AA9E80" w14:textId="2B53B690" w:rsidR="00B34CC2" w:rsidRPr="00790C07" w:rsidRDefault="00B34CC2" w:rsidP="00F721A9">
      <w:pPr>
        <w:pStyle w:val="Testonotaapidipagina"/>
        <w:jc w:val="both"/>
        <w:rPr>
          <w:rFonts w:ascii="Times New Roman" w:hAnsi="Times New Roman" w:cs="Times New Roman"/>
          <w:sz w:val="20"/>
          <w:szCs w:val="20"/>
        </w:rPr>
      </w:pPr>
      <w:r w:rsidRPr="00790C07">
        <w:rPr>
          <w:rStyle w:val="Rimandonotaapidipagina"/>
          <w:rFonts w:ascii="Times New Roman" w:hAnsi="Times New Roman" w:cs="Times New Roman"/>
          <w:sz w:val="20"/>
          <w:szCs w:val="20"/>
        </w:rPr>
        <w:footnoteRef/>
      </w:r>
      <w:r w:rsidRPr="00790C07">
        <w:rPr>
          <w:rFonts w:ascii="Times New Roman" w:hAnsi="Times New Roman" w:cs="Times New Roman"/>
          <w:sz w:val="20"/>
          <w:szCs w:val="20"/>
        </w:rPr>
        <w:t xml:space="preserve"> </w:t>
      </w:r>
      <w:r w:rsidRPr="00EF2DA7">
        <w:rPr>
          <w:rFonts w:ascii="Times New Roman" w:hAnsi="Times New Roman" w:cs="Times New Roman"/>
          <w:i/>
          <w:sz w:val="20"/>
          <w:szCs w:val="20"/>
        </w:rPr>
        <w:t>Diff</w:t>
      </w:r>
      <w:r>
        <w:rPr>
          <w:rFonts w:ascii="Times New Roman" w:hAnsi="Times New Roman" w:cs="Times New Roman"/>
          <w:sz w:val="20"/>
          <w:szCs w:val="20"/>
        </w:rPr>
        <w:t>, pp. 358-359: «Wir sehen in diesem Beispiel nähmlich das Unendliche, das oben als die absolute Affirmation oder der absolute Begriff bestimmt worden ist, zugleich für die Anschauung, also im Besonderen dargestellt, und der absolute Begriff ist actu die Identität Entgegensetzter […] Das wahrhafte Unendliche ist die absolute Idee, Identität des Allgemeinen und Besonderen oder Identität des Unendlichen und Endlichen selbst, nämlich des Unendlichen, insofern es einem Endlichen entgegengesetzt ist</w:t>
      </w:r>
      <w:r w:rsidRPr="00B7776D">
        <w:rPr>
          <w:rFonts w:ascii="Times New Roman" w:hAnsi="Times New Roman" w:cs="Times New Roman"/>
          <w:sz w:val="20"/>
          <w:szCs w:val="20"/>
        </w:rPr>
        <w:t>»</w:t>
      </w:r>
      <w:r>
        <w:rPr>
          <w:rFonts w:ascii="Times New Roman" w:hAnsi="Times New Roman" w:cs="Times New Roman"/>
          <w:sz w:val="20"/>
          <w:szCs w:val="20"/>
        </w:rPr>
        <w:t>.</w:t>
      </w:r>
    </w:p>
  </w:footnote>
  <w:footnote w:id="137">
    <w:p w14:paraId="34F5749C" w14:textId="01C22EEC" w:rsidR="00B34CC2" w:rsidRPr="00ED13FE" w:rsidRDefault="00B34CC2" w:rsidP="00F721A9">
      <w:pPr>
        <w:pStyle w:val="Testonotaapidipagina"/>
        <w:jc w:val="both"/>
        <w:rPr>
          <w:rFonts w:ascii="Times New Roman" w:hAnsi="Times New Roman" w:cs="Times New Roman"/>
          <w:sz w:val="20"/>
          <w:szCs w:val="20"/>
        </w:rPr>
      </w:pPr>
      <w:r w:rsidRPr="00A93A46">
        <w:rPr>
          <w:rStyle w:val="Rimandonotaapidipagina"/>
          <w:rFonts w:ascii="Times New Roman" w:hAnsi="Times New Roman" w:cs="Times New Roman"/>
          <w:sz w:val="20"/>
          <w:szCs w:val="20"/>
        </w:rPr>
        <w:footnoteRef/>
      </w:r>
      <w:r w:rsidRPr="00A93A46">
        <w:rPr>
          <w:rFonts w:ascii="Times New Roman" w:hAnsi="Times New Roman" w:cs="Times New Roman"/>
          <w:sz w:val="20"/>
          <w:szCs w:val="20"/>
        </w:rPr>
        <w:t xml:space="preserve"> Nella sua personalissima storia del nulla, Franz Rosenzweig accusa Hegel di essersi fermato ad una considerazione puramente astratta del concetto di </w:t>
      </w:r>
      <w:r w:rsidRPr="00A93A46">
        <w:rPr>
          <w:rFonts w:ascii="Times New Roman" w:hAnsi="Times New Roman" w:cs="Times New Roman"/>
          <w:i/>
          <w:sz w:val="20"/>
          <w:szCs w:val="20"/>
        </w:rPr>
        <w:t>Nichts</w:t>
      </w:r>
      <w:r w:rsidRPr="00A93A46">
        <w:rPr>
          <w:rFonts w:ascii="Times New Roman" w:hAnsi="Times New Roman" w:cs="Times New Roman"/>
          <w:sz w:val="20"/>
          <w:szCs w:val="20"/>
        </w:rPr>
        <w:t xml:space="preserve">. Seguendo la proposta interpretativa di Rosenzweig, l’essere puro – o il puro nulla – è un’entità puramente astratta, non dialettica e incapace di essere un nulla da cui derivi alcunchè. A mio modo di vedere, l’interpretazione dello spinozismo, che Hegel offre in </w:t>
      </w:r>
      <w:r w:rsidRPr="00A93A46">
        <w:rPr>
          <w:rFonts w:ascii="Times New Roman" w:hAnsi="Times New Roman" w:cs="Times New Roman"/>
          <w:i/>
          <w:sz w:val="20"/>
          <w:szCs w:val="20"/>
        </w:rPr>
        <w:t>Glauben und Wissen</w:t>
      </w:r>
      <w:r>
        <w:rPr>
          <w:rFonts w:ascii="Times New Roman" w:hAnsi="Times New Roman" w:cs="Times New Roman"/>
          <w:sz w:val="20"/>
          <w:szCs w:val="20"/>
        </w:rPr>
        <w:t>, rappresenta</w:t>
      </w:r>
      <w:r w:rsidRPr="00A93A46">
        <w:rPr>
          <w:rFonts w:ascii="Times New Roman" w:hAnsi="Times New Roman" w:cs="Times New Roman"/>
          <w:sz w:val="20"/>
          <w:szCs w:val="20"/>
        </w:rPr>
        <w:t xml:space="preserve"> una confutazione del punto di vista rosenzweighiano. Il nulla è affermazione, il no (Nein) è anche si (Ja): esso è dialettico e nel suo essere tale è mediazione di sé con sé. Sul </w:t>
      </w:r>
      <w:r w:rsidRPr="001D1EAE">
        <w:rPr>
          <w:rFonts w:ascii="Times New Roman" w:hAnsi="Times New Roman" w:cs="Times New Roman"/>
          <w:sz w:val="20"/>
          <w:szCs w:val="20"/>
        </w:rPr>
        <w:t xml:space="preserve">passo di Rosenzweig, vedi F. Rosenzweig, </w:t>
      </w:r>
      <w:r w:rsidRPr="001D1EAE">
        <w:rPr>
          <w:rFonts w:ascii="Times New Roman" w:hAnsi="Times New Roman" w:cs="Times New Roman"/>
          <w:i/>
          <w:sz w:val="20"/>
          <w:szCs w:val="20"/>
        </w:rPr>
        <w:t>Der Stern der Erlösung</w:t>
      </w:r>
      <w:r w:rsidRPr="001D1EAE">
        <w:rPr>
          <w:rFonts w:ascii="Times New Roman" w:hAnsi="Times New Roman" w:cs="Times New Roman"/>
          <w:sz w:val="20"/>
          <w:szCs w:val="20"/>
        </w:rPr>
        <w:t xml:space="preserve">, hrsg. von A. Raffelt, Universitätsbibliothek, Freiburg in Breisgau 2002, pp. 23-24. Su una posizione analoga a quella di Rosenzweig, si veda F. D’Agostini, </w:t>
      </w:r>
      <w:r w:rsidRPr="001D1EAE">
        <w:rPr>
          <w:rFonts w:ascii="Times New Roman" w:hAnsi="Times New Roman" w:cs="Times New Roman"/>
          <w:i/>
          <w:sz w:val="20"/>
          <w:szCs w:val="20"/>
        </w:rPr>
        <w:t>Il nulla e la nascita filosofica dell’Europa</w:t>
      </w:r>
      <w:r>
        <w:rPr>
          <w:rFonts w:ascii="Times New Roman" w:hAnsi="Times New Roman" w:cs="Times New Roman"/>
          <w:sz w:val="20"/>
          <w:szCs w:val="20"/>
        </w:rPr>
        <w:t>, in «Consecutio rerum», n. 2</w:t>
      </w:r>
      <w:r w:rsidRPr="001D1EAE">
        <w:rPr>
          <w:rFonts w:ascii="Times New Roman" w:hAnsi="Times New Roman" w:cs="Times New Roman"/>
          <w:sz w:val="20"/>
          <w:szCs w:val="20"/>
        </w:rPr>
        <w:t xml:space="preserve"> </w:t>
      </w:r>
      <w:r>
        <w:rPr>
          <w:rFonts w:ascii="Times New Roman" w:hAnsi="Times New Roman" w:cs="Times New Roman"/>
          <w:sz w:val="20"/>
          <w:szCs w:val="20"/>
        </w:rPr>
        <w:t>(</w:t>
      </w:r>
      <w:r w:rsidRPr="001D1EAE">
        <w:rPr>
          <w:rFonts w:ascii="Times New Roman" w:hAnsi="Times New Roman" w:cs="Times New Roman"/>
          <w:sz w:val="20"/>
          <w:szCs w:val="20"/>
        </w:rPr>
        <w:t>2017</w:t>
      </w:r>
      <w:r>
        <w:rPr>
          <w:rFonts w:ascii="Times New Roman" w:hAnsi="Times New Roman" w:cs="Times New Roman"/>
          <w:sz w:val="20"/>
          <w:szCs w:val="20"/>
        </w:rPr>
        <w:t>)</w:t>
      </w:r>
      <w:r w:rsidRPr="001D1EAE">
        <w:rPr>
          <w:rFonts w:ascii="Times New Roman" w:hAnsi="Times New Roman" w:cs="Times New Roman"/>
          <w:sz w:val="20"/>
          <w:szCs w:val="20"/>
        </w:rPr>
        <w:t>, pp. 21-25.</w:t>
      </w:r>
    </w:p>
  </w:footnote>
  <w:footnote w:id="138">
    <w:p w14:paraId="75079A8C" w14:textId="21FF393D" w:rsidR="00B34CC2" w:rsidRPr="00C23C85" w:rsidRDefault="00B34CC2" w:rsidP="00F721A9">
      <w:pPr>
        <w:pStyle w:val="Testonotaapidipagina"/>
        <w:jc w:val="both"/>
        <w:rPr>
          <w:rFonts w:ascii="Times New Roman" w:hAnsi="Times New Roman" w:cs="Times New Roman"/>
          <w:sz w:val="20"/>
          <w:szCs w:val="20"/>
        </w:rPr>
      </w:pPr>
      <w:r w:rsidRPr="00A93A46">
        <w:rPr>
          <w:rStyle w:val="Rimandonotaapidipagina"/>
          <w:rFonts w:ascii="Times New Roman" w:hAnsi="Times New Roman" w:cs="Times New Roman"/>
          <w:sz w:val="20"/>
          <w:szCs w:val="20"/>
        </w:rPr>
        <w:footnoteRef/>
      </w:r>
      <w:r w:rsidRPr="00A93A46">
        <w:rPr>
          <w:rFonts w:ascii="Times New Roman" w:hAnsi="Times New Roman" w:cs="Times New Roman"/>
          <w:sz w:val="20"/>
          <w:szCs w:val="20"/>
        </w:rPr>
        <w:t xml:space="preserve"> Quest’unità d’intenti e di posizioni, alla quale perverrebbero Hegel e Spinoza in </w:t>
      </w:r>
      <w:r w:rsidRPr="00A93A46">
        <w:rPr>
          <w:rFonts w:ascii="Times New Roman" w:hAnsi="Times New Roman" w:cs="Times New Roman"/>
          <w:i/>
          <w:sz w:val="20"/>
          <w:szCs w:val="20"/>
        </w:rPr>
        <w:t>Glauben und Wissen</w:t>
      </w:r>
      <w:r w:rsidRPr="00A93A46">
        <w:rPr>
          <w:rFonts w:ascii="Times New Roman" w:hAnsi="Times New Roman" w:cs="Times New Roman"/>
          <w:sz w:val="20"/>
          <w:szCs w:val="20"/>
        </w:rPr>
        <w:t xml:space="preserve">, è perfettamente restituita da un testo classico di Franco Chiereghin, </w:t>
      </w:r>
      <w:r w:rsidRPr="00A93A46">
        <w:rPr>
          <w:rFonts w:ascii="Times New Roman" w:hAnsi="Times New Roman" w:cs="Times New Roman"/>
          <w:i/>
          <w:sz w:val="20"/>
          <w:szCs w:val="20"/>
        </w:rPr>
        <w:t>L’influenza dello spinozismo nella formazione della filosofia hegeliana,</w:t>
      </w:r>
      <w:r w:rsidRPr="00A93A46">
        <w:rPr>
          <w:rFonts w:ascii="Times New Roman" w:hAnsi="Times New Roman" w:cs="Times New Roman"/>
          <w:sz w:val="20"/>
          <w:szCs w:val="20"/>
        </w:rPr>
        <w:t xml:space="preserve"> Padova,</w:t>
      </w:r>
      <w:r w:rsidRPr="00A93A46">
        <w:rPr>
          <w:rFonts w:ascii="Times New Roman" w:hAnsi="Times New Roman" w:cs="Times New Roman"/>
          <w:i/>
          <w:sz w:val="20"/>
          <w:szCs w:val="20"/>
        </w:rPr>
        <w:t xml:space="preserve"> </w:t>
      </w:r>
      <w:r>
        <w:rPr>
          <w:rFonts w:ascii="Times New Roman" w:hAnsi="Times New Roman" w:cs="Times New Roman"/>
          <w:sz w:val="20"/>
          <w:szCs w:val="20"/>
        </w:rPr>
        <w:t>CEDAM</w:t>
      </w:r>
      <w:r w:rsidRPr="00A93A46">
        <w:rPr>
          <w:rFonts w:ascii="Times New Roman" w:hAnsi="Times New Roman" w:cs="Times New Roman"/>
          <w:sz w:val="20"/>
          <w:szCs w:val="20"/>
        </w:rPr>
        <w:t xml:space="preserve"> 1961, p. 154: </w:t>
      </w:r>
      <w:r w:rsidRPr="00C23C85">
        <w:rPr>
          <w:rFonts w:ascii="Times New Roman" w:hAnsi="Times New Roman" w:cs="Times New Roman"/>
          <w:sz w:val="20"/>
          <w:szCs w:val="20"/>
        </w:rPr>
        <w:t>«La critica alla filosofia di Jacobi ribadisce il valore paradigmatico riconosciuto or ora allo spinozismo: per manifestare, anzi, tutta la sua simpatia verso questa posizione speculativa, Hegel, attraverso frequenti citazioni, introduce Spinoza nel vivo del dibattito e, con ardito anacronismo, gli attribuisce  in egual misura i propri intenti di lotta contro la «filosofia della riflessione», esaltando la chiaroveggenza anticipatrice del sistema spinoziano rispetto alle posizioni unilaterali di Kant, Jacobi e Fichte. Spinoza diventa, così, partecipe di quel livello speculativo che Hegel stesso stimava di aver raggiunto, arricchendolo, tuttavia, di tutte le determinazioni storiche elaborate successivamente dal travaglio della cultura».</w:t>
      </w:r>
    </w:p>
  </w:footnote>
  <w:footnote w:id="139">
    <w:p w14:paraId="29B42E8B" w14:textId="671ABF54" w:rsidR="00B34CC2" w:rsidRPr="004C552D" w:rsidRDefault="00B34CC2" w:rsidP="00F721A9">
      <w:pPr>
        <w:pStyle w:val="Testonotaapidipagina"/>
        <w:jc w:val="both"/>
        <w:rPr>
          <w:rFonts w:ascii="Times New Roman" w:hAnsi="Times New Roman" w:cs="Times New Roman"/>
          <w:sz w:val="20"/>
          <w:szCs w:val="20"/>
        </w:rPr>
      </w:pPr>
      <w:r w:rsidRPr="00A93A46">
        <w:rPr>
          <w:rStyle w:val="Rimandonotaapidipagina"/>
          <w:rFonts w:ascii="Times New Roman" w:hAnsi="Times New Roman" w:cs="Times New Roman"/>
          <w:sz w:val="20"/>
          <w:szCs w:val="20"/>
        </w:rPr>
        <w:footnoteRef/>
      </w:r>
      <w:r w:rsidRPr="00A93A46">
        <w:rPr>
          <w:rFonts w:ascii="Times New Roman" w:hAnsi="Times New Roman" w:cs="Times New Roman"/>
          <w:sz w:val="20"/>
          <w:szCs w:val="20"/>
        </w:rPr>
        <w:t xml:space="preserve"> Negli scritti jenesi successivi al 1803, lo spinozismo subirà un declassamento speculativo.</w:t>
      </w:r>
      <w:r>
        <w:rPr>
          <w:rFonts w:ascii="Times New Roman" w:hAnsi="Times New Roman" w:cs="Times New Roman"/>
          <w:sz w:val="20"/>
          <w:szCs w:val="20"/>
        </w:rPr>
        <w:t xml:space="preserve"> Il nulla astratto,</w:t>
      </w:r>
      <w:r w:rsidRPr="00CE5E04">
        <w:rPr>
          <w:rFonts w:ascii="Times New Roman" w:hAnsi="Times New Roman" w:cs="Times New Roman"/>
          <w:sz w:val="20"/>
          <w:szCs w:val="20"/>
        </w:rPr>
        <w:t xml:space="preserve"> non il nulla assoluto, sarà associato alla concezione spinoziana dell’Assoluto. Questo netto cambio di prospettiva porterà Hegel ad identificare la filosofia di Spinoza non sol</w:t>
      </w:r>
      <w:r>
        <w:rPr>
          <w:rFonts w:ascii="Times New Roman" w:hAnsi="Times New Roman" w:cs="Times New Roman"/>
          <w:sz w:val="20"/>
          <w:szCs w:val="20"/>
        </w:rPr>
        <w:t>tanto con quei principi dell’ebr</w:t>
      </w:r>
      <w:r w:rsidRPr="00CE5E04">
        <w:rPr>
          <w:rFonts w:ascii="Times New Roman" w:hAnsi="Times New Roman" w:cs="Times New Roman"/>
          <w:sz w:val="20"/>
          <w:szCs w:val="20"/>
        </w:rPr>
        <w:t xml:space="preserve">aismo già individuati negli </w:t>
      </w:r>
      <w:r w:rsidRPr="00CE5E04">
        <w:rPr>
          <w:rFonts w:ascii="Times New Roman" w:hAnsi="Times New Roman" w:cs="Times New Roman"/>
          <w:i/>
          <w:sz w:val="20"/>
          <w:szCs w:val="20"/>
        </w:rPr>
        <w:t>Jugendschriften</w:t>
      </w:r>
      <w:r w:rsidRPr="00CE5E04">
        <w:rPr>
          <w:rFonts w:ascii="Times New Roman" w:hAnsi="Times New Roman" w:cs="Times New Roman"/>
          <w:sz w:val="20"/>
          <w:szCs w:val="20"/>
        </w:rPr>
        <w:t>, ma anche con quell’interpretazione cab</w:t>
      </w:r>
      <w:r>
        <w:rPr>
          <w:rFonts w:ascii="Times New Roman" w:hAnsi="Times New Roman" w:cs="Times New Roman"/>
          <w:sz w:val="20"/>
          <w:szCs w:val="20"/>
        </w:rPr>
        <w:t>b</w:t>
      </w:r>
      <w:r w:rsidRPr="00CE5E04">
        <w:rPr>
          <w:rFonts w:ascii="Times New Roman" w:hAnsi="Times New Roman" w:cs="Times New Roman"/>
          <w:sz w:val="20"/>
          <w:szCs w:val="20"/>
        </w:rPr>
        <w:t xml:space="preserve">alistica della sostanza spinoziana proposta da Jacobi nelle </w:t>
      </w:r>
      <w:r w:rsidRPr="00CE5E04">
        <w:rPr>
          <w:rFonts w:ascii="Times New Roman" w:hAnsi="Times New Roman" w:cs="Times New Roman"/>
          <w:i/>
          <w:sz w:val="20"/>
          <w:szCs w:val="20"/>
        </w:rPr>
        <w:t>Spinoza-Briefe</w:t>
      </w:r>
      <w:r w:rsidRPr="00CE5E04">
        <w:rPr>
          <w:rFonts w:ascii="Times New Roman" w:hAnsi="Times New Roman" w:cs="Times New Roman"/>
          <w:sz w:val="20"/>
          <w:szCs w:val="20"/>
        </w:rPr>
        <w:t>. Proprio quest’ultimo aspetto dell’analisi hegeli</w:t>
      </w:r>
      <w:r>
        <w:rPr>
          <w:rFonts w:ascii="Times New Roman" w:hAnsi="Times New Roman" w:cs="Times New Roman"/>
          <w:sz w:val="20"/>
          <w:szCs w:val="20"/>
        </w:rPr>
        <w:t>ana</w:t>
      </w:r>
      <w:r w:rsidRPr="00CE5E04">
        <w:rPr>
          <w:rFonts w:ascii="Times New Roman" w:hAnsi="Times New Roman" w:cs="Times New Roman"/>
          <w:sz w:val="20"/>
          <w:szCs w:val="20"/>
        </w:rPr>
        <w:t xml:space="preserve"> ci consentirà di capire meglio la categorizzazione del pensiero spinoziano in termini </w:t>
      </w:r>
      <w:r w:rsidRPr="00CE5E04">
        <w:rPr>
          <w:rFonts w:ascii="Times New Roman" w:hAnsi="Times New Roman" w:cs="Times New Roman"/>
          <w:i/>
          <w:sz w:val="20"/>
          <w:szCs w:val="20"/>
        </w:rPr>
        <w:t>acosmistici</w:t>
      </w:r>
      <w:r w:rsidRPr="00CE5E04">
        <w:rPr>
          <w:rFonts w:ascii="Times New Roman" w:hAnsi="Times New Roman" w:cs="Times New Roman"/>
          <w:sz w:val="20"/>
          <w:szCs w:val="20"/>
        </w:rPr>
        <w:t>. Perché il concetto d’</w:t>
      </w:r>
      <w:r w:rsidRPr="00CE5E04">
        <w:rPr>
          <w:rFonts w:ascii="Times New Roman" w:hAnsi="Times New Roman" w:cs="Times New Roman"/>
          <w:i/>
          <w:sz w:val="20"/>
          <w:szCs w:val="20"/>
        </w:rPr>
        <w:t>acosmismo</w:t>
      </w:r>
      <w:r w:rsidRPr="00CE5E04">
        <w:rPr>
          <w:rFonts w:ascii="Times New Roman" w:hAnsi="Times New Roman" w:cs="Times New Roman"/>
          <w:sz w:val="20"/>
          <w:szCs w:val="20"/>
        </w:rPr>
        <w:t>, lungi dall’essere il risultato della riflessione isolata di un individuo, rappresenta il punto d’arrivo dell’interpretazione cab</w:t>
      </w:r>
      <w:r>
        <w:rPr>
          <w:rFonts w:ascii="Times New Roman" w:hAnsi="Times New Roman" w:cs="Times New Roman"/>
          <w:sz w:val="20"/>
          <w:szCs w:val="20"/>
        </w:rPr>
        <w:t>b</w:t>
      </w:r>
      <w:r w:rsidRPr="00CE5E04">
        <w:rPr>
          <w:rFonts w:ascii="Times New Roman" w:hAnsi="Times New Roman" w:cs="Times New Roman"/>
          <w:sz w:val="20"/>
          <w:szCs w:val="20"/>
        </w:rPr>
        <w:t xml:space="preserve">alistica del sistema di Spinoza sviluppatasi in Germania fra il XVII e XVIII secolo. Colui che per primo formulò questo neologismo fu Salomon Maimon nella </w:t>
      </w:r>
      <w:r>
        <w:rPr>
          <w:rFonts w:ascii="Times New Roman" w:hAnsi="Times New Roman" w:cs="Times New Roman"/>
          <w:i/>
          <w:sz w:val="20"/>
          <w:szCs w:val="20"/>
        </w:rPr>
        <w:t xml:space="preserve">Salomon Maimon’s </w:t>
      </w:r>
      <w:r w:rsidRPr="00CE5E04">
        <w:rPr>
          <w:rFonts w:ascii="Times New Roman" w:hAnsi="Times New Roman" w:cs="Times New Roman"/>
          <w:i/>
          <w:sz w:val="20"/>
          <w:szCs w:val="20"/>
        </w:rPr>
        <w:t>Lebensgeschiste</w:t>
      </w:r>
      <w:r w:rsidRPr="00CE5E04">
        <w:rPr>
          <w:rFonts w:ascii="Times New Roman" w:hAnsi="Times New Roman" w:cs="Times New Roman"/>
          <w:sz w:val="20"/>
          <w:szCs w:val="20"/>
        </w:rPr>
        <w:t>, edita a Berlino fra il 1792 ed il 1793. Il fatto che Hegel abbia attinto da questo testo è confermato dal catalogo della sua biblioteca berlinese, dove è riportato il titolo dell’opera di Maimon. Per un</w:t>
      </w:r>
      <w:r>
        <w:rPr>
          <w:rFonts w:ascii="Times New Roman" w:hAnsi="Times New Roman" w:cs="Times New Roman"/>
          <w:sz w:val="20"/>
          <w:szCs w:val="20"/>
        </w:rPr>
        <w:t>a</w:t>
      </w:r>
      <w:r w:rsidRPr="00CE5E04">
        <w:rPr>
          <w:rFonts w:ascii="Times New Roman" w:hAnsi="Times New Roman" w:cs="Times New Roman"/>
          <w:sz w:val="20"/>
          <w:szCs w:val="20"/>
        </w:rPr>
        <w:t xml:space="preserve"> panoramica dei testi posseduti da Hegel cfr. H. Schneider (hrsg.), </w:t>
      </w:r>
      <w:r w:rsidRPr="00A93A46">
        <w:rPr>
          <w:rFonts w:ascii="Times New Roman" w:hAnsi="Times New Roman" w:cs="Times New Roman"/>
          <w:i/>
          <w:sz w:val="20"/>
          <w:szCs w:val="20"/>
          <w:lang w:val="de-DE"/>
        </w:rPr>
        <w:t>Hegels Bibliothek. Der Versteigerungskatalog</w:t>
      </w:r>
      <w:r w:rsidRPr="00A93A46">
        <w:rPr>
          <w:rFonts w:ascii="Times New Roman" w:hAnsi="Times New Roman" w:cs="Times New Roman"/>
          <w:i/>
          <w:sz w:val="20"/>
          <w:szCs w:val="20"/>
        </w:rPr>
        <w:t xml:space="preserve"> von 1832</w:t>
      </w:r>
      <w:r w:rsidRPr="00A93A46">
        <w:rPr>
          <w:rFonts w:ascii="Times New Roman" w:hAnsi="Times New Roman" w:cs="Times New Roman"/>
          <w:sz w:val="20"/>
          <w:szCs w:val="20"/>
        </w:rPr>
        <w:t>, in «Jahrbuch für Hegelforschung», Bd. 12-14, pp. 69-147</w:t>
      </w:r>
      <w:r w:rsidRPr="00A93A46">
        <w:rPr>
          <w:rFonts w:ascii="Times New Roman" w:eastAsia="Times New Roman" w:hAnsi="Times New Roman" w:cs="Times New Roman"/>
          <w:sz w:val="20"/>
          <w:szCs w:val="20"/>
        </w:rPr>
        <w:t xml:space="preserve">. </w:t>
      </w:r>
    </w:p>
  </w:footnote>
  <w:footnote w:id="140">
    <w:p w14:paraId="4FA9F931" w14:textId="5D3C4DB5" w:rsidR="00B34CC2" w:rsidRPr="00A97953" w:rsidRDefault="00B34CC2" w:rsidP="00F721A9">
      <w:pPr>
        <w:pStyle w:val="Testonotaapidipagina"/>
        <w:jc w:val="both"/>
        <w:rPr>
          <w:rFonts w:ascii="Times New Roman" w:hAnsi="Times New Roman" w:cs="Times New Roman"/>
          <w:sz w:val="20"/>
          <w:szCs w:val="20"/>
        </w:rPr>
      </w:pPr>
      <w:r w:rsidRPr="00B538D9">
        <w:rPr>
          <w:rStyle w:val="Rimandonotaapidipagina"/>
          <w:rFonts w:ascii="Times New Roman" w:hAnsi="Times New Roman" w:cs="Times New Roman"/>
          <w:sz w:val="20"/>
          <w:szCs w:val="20"/>
        </w:rPr>
        <w:footnoteRef/>
      </w:r>
      <w:r w:rsidRPr="00B538D9">
        <w:rPr>
          <w:rFonts w:ascii="Times New Roman" w:hAnsi="Times New Roman" w:cs="Times New Roman"/>
          <w:sz w:val="20"/>
          <w:szCs w:val="20"/>
        </w:rPr>
        <w:t xml:space="preserve"> Cfr. l’introduzione di E. Garin a G.W.F. Hegel, </w:t>
      </w:r>
      <w:r w:rsidRPr="00B538D9">
        <w:rPr>
          <w:rFonts w:ascii="Times New Roman" w:hAnsi="Times New Roman" w:cs="Times New Roman"/>
          <w:i/>
          <w:sz w:val="20"/>
          <w:szCs w:val="20"/>
        </w:rPr>
        <w:t>Lettere</w:t>
      </w:r>
      <w:r w:rsidRPr="00B538D9">
        <w:rPr>
          <w:rFonts w:ascii="Times New Roman" w:hAnsi="Times New Roman" w:cs="Times New Roman"/>
          <w:sz w:val="20"/>
          <w:szCs w:val="20"/>
        </w:rPr>
        <w:t>, Laterza, Bari 1972, pp. XXXI.</w:t>
      </w:r>
    </w:p>
  </w:footnote>
  <w:footnote w:id="141">
    <w:p w14:paraId="47FCB3DF" w14:textId="39C7C4E8" w:rsidR="00B34CC2" w:rsidRPr="004C4F79" w:rsidRDefault="00B34CC2" w:rsidP="00F721A9">
      <w:pPr>
        <w:pStyle w:val="Testonotaapidipagina"/>
        <w:jc w:val="both"/>
        <w:rPr>
          <w:rFonts w:ascii="Times New Roman" w:hAnsi="Times New Roman" w:cs="Times New Roman"/>
          <w:i/>
          <w:sz w:val="20"/>
          <w:szCs w:val="20"/>
        </w:rPr>
      </w:pPr>
      <w:r w:rsidRPr="004C4F79">
        <w:rPr>
          <w:rStyle w:val="Rimandonotaapidipagina"/>
          <w:rFonts w:ascii="Times New Roman" w:hAnsi="Times New Roman" w:cs="Times New Roman"/>
          <w:sz w:val="20"/>
          <w:szCs w:val="20"/>
        </w:rPr>
        <w:footnoteRef/>
      </w:r>
      <w:r w:rsidRPr="004C4F79">
        <w:rPr>
          <w:rFonts w:ascii="Times New Roman" w:hAnsi="Times New Roman" w:cs="Times New Roman"/>
          <w:sz w:val="20"/>
          <w:szCs w:val="20"/>
        </w:rPr>
        <w:t xml:space="preserve"> </w:t>
      </w:r>
      <w:r>
        <w:rPr>
          <w:rFonts w:ascii="Times New Roman" w:hAnsi="Times New Roman" w:cs="Times New Roman"/>
          <w:sz w:val="20"/>
          <w:szCs w:val="20"/>
        </w:rPr>
        <w:t xml:space="preserve">Sull’autonomia della teoria hegeliana del nulla assoluto e sull’assenza di questo tema nella speculazione schellinghiana dello stesso periodo, vedi L. Payerson, </w:t>
      </w:r>
      <w:r>
        <w:rPr>
          <w:rFonts w:ascii="Times New Roman" w:hAnsi="Times New Roman" w:cs="Times New Roman"/>
          <w:i/>
          <w:sz w:val="20"/>
          <w:szCs w:val="20"/>
        </w:rPr>
        <w:t>La «domanda fondamentale</w:t>
      </w:r>
      <w:r w:rsidRPr="00C90956">
        <w:rPr>
          <w:rFonts w:ascii="Times New Roman" w:hAnsi="Times New Roman" w:cs="Times New Roman"/>
          <w:i/>
          <w:sz w:val="20"/>
          <w:szCs w:val="20"/>
        </w:rPr>
        <w:t>»</w:t>
      </w:r>
      <w:r>
        <w:rPr>
          <w:rFonts w:ascii="Times New Roman" w:hAnsi="Times New Roman" w:cs="Times New Roman"/>
          <w:i/>
          <w:sz w:val="20"/>
          <w:szCs w:val="20"/>
        </w:rPr>
        <w:t>: «Perché l’essere piuttosto del nulla?</w:t>
      </w:r>
      <w:r w:rsidRPr="00C90956">
        <w:rPr>
          <w:rFonts w:ascii="Times New Roman" w:hAnsi="Times New Roman" w:cs="Times New Roman"/>
          <w:i/>
          <w:sz w:val="20"/>
          <w:szCs w:val="20"/>
        </w:rPr>
        <w:t>»</w:t>
      </w:r>
      <w:r>
        <w:rPr>
          <w:rFonts w:ascii="Times New Roman" w:hAnsi="Times New Roman" w:cs="Times New Roman"/>
          <w:sz w:val="20"/>
          <w:szCs w:val="20"/>
        </w:rPr>
        <w:t>, in «Annuario filosofico</w:t>
      </w:r>
      <w:r w:rsidRPr="006D2CB2">
        <w:rPr>
          <w:rFonts w:ascii="Times New Roman" w:hAnsi="Times New Roman" w:cs="Times New Roman"/>
          <w:sz w:val="20"/>
          <w:szCs w:val="20"/>
        </w:rPr>
        <w:t>»</w:t>
      </w:r>
      <w:r>
        <w:rPr>
          <w:rFonts w:ascii="Times New Roman" w:hAnsi="Times New Roman" w:cs="Times New Roman"/>
          <w:sz w:val="20"/>
          <w:szCs w:val="20"/>
        </w:rPr>
        <w:t xml:space="preserve">, n. 8, 1992, </w:t>
      </w:r>
      <w:r w:rsidRPr="009F52B4">
        <w:rPr>
          <w:rFonts w:ascii="Times New Roman" w:hAnsi="Times New Roman" w:cs="Times New Roman"/>
          <w:sz w:val="20"/>
          <w:szCs w:val="20"/>
        </w:rPr>
        <w:t xml:space="preserve">pp. 12-33. In continuità con questa interpretazione, cfr. S. Givone, </w:t>
      </w:r>
      <w:r w:rsidRPr="009F52B4">
        <w:rPr>
          <w:rFonts w:ascii="Times New Roman" w:hAnsi="Times New Roman" w:cs="Times New Roman"/>
          <w:i/>
          <w:sz w:val="20"/>
          <w:szCs w:val="20"/>
        </w:rPr>
        <w:t>Storia del nulla</w:t>
      </w:r>
      <w:r w:rsidRPr="009F52B4">
        <w:rPr>
          <w:rFonts w:ascii="Times New Roman" w:hAnsi="Times New Roman" w:cs="Times New Roman"/>
          <w:sz w:val="20"/>
          <w:szCs w:val="20"/>
        </w:rPr>
        <w:t>, cit., pp. 181-207.</w:t>
      </w:r>
    </w:p>
  </w:footnote>
  <w:footnote w:id="142">
    <w:p w14:paraId="4A439AEA" w14:textId="0AF96B4A" w:rsidR="00B34CC2" w:rsidRPr="005D1659" w:rsidRDefault="00B34CC2" w:rsidP="00F721A9">
      <w:pPr>
        <w:pStyle w:val="Testonotaapidipagina"/>
        <w:jc w:val="both"/>
        <w:rPr>
          <w:rFonts w:ascii="Times New Roman" w:hAnsi="Times New Roman" w:cs="Times New Roman"/>
          <w:sz w:val="20"/>
          <w:szCs w:val="20"/>
        </w:rPr>
      </w:pPr>
      <w:r w:rsidRPr="005D1659">
        <w:rPr>
          <w:rStyle w:val="Rimandonotaapidipagina"/>
          <w:rFonts w:ascii="Times New Roman" w:hAnsi="Times New Roman" w:cs="Times New Roman"/>
          <w:sz w:val="20"/>
          <w:szCs w:val="20"/>
        </w:rPr>
        <w:footnoteRef/>
      </w:r>
      <w:r w:rsidRPr="005D1659">
        <w:rPr>
          <w:rFonts w:ascii="Times New Roman" w:hAnsi="Times New Roman" w:cs="Times New Roman"/>
          <w:sz w:val="20"/>
          <w:szCs w:val="20"/>
        </w:rPr>
        <w:t xml:space="preserve"> </w:t>
      </w:r>
      <w:r w:rsidRPr="005D1659">
        <w:rPr>
          <w:rFonts w:ascii="Times New Roman" w:hAnsi="Times New Roman" w:cs="Times New Roman"/>
          <w:i/>
          <w:sz w:val="20"/>
          <w:szCs w:val="20"/>
        </w:rPr>
        <w:t>Diff</w:t>
      </w:r>
      <w:r w:rsidRPr="005D1659">
        <w:rPr>
          <w:rFonts w:ascii="Times New Roman" w:hAnsi="Times New Roman" w:cs="Times New Roman"/>
          <w:sz w:val="20"/>
          <w:szCs w:val="20"/>
        </w:rPr>
        <w:t>, p. 77.</w:t>
      </w:r>
    </w:p>
  </w:footnote>
  <w:footnote w:id="143">
    <w:p w14:paraId="55C07A8F" w14:textId="774D6DCC" w:rsidR="00B34CC2" w:rsidRPr="00B7378E" w:rsidRDefault="00B34CC2" w:rsidP="00F721A9">
      <w:pPr>
        <w:pStyle w:val="Testonotaapidipagina"/>
        <w:jc w:val="both"/>
        <w:rPr>
          <w:rFonts w:ascii="Times New Roman" w:hAnsi="Times New Roman" w:cs="Times New Roman"/>
          <w:sz w:val="20"/>
          <w:szCs w:val="20"/>
        </w:rPr>
      </w:pPr>
      <w:r w:rsidRPr="007C52A1">
        <w:rPr>
          <w:rStyle w:val="Rimandonotaapidipagina"/>
          <w:rFonts w:ascii="Times New Roman" w:hAnsi="Times New Roman" w:cs="Times New Roman"/>
          <w:sz w:val="20"/>
          <w:szCs w:val="20"/>
        </w:rPr>
        <w:footnoteRef/>
      </w:r>
      <w:r w:rsidRPr="007C52A1">
        <w:rPr>
          <w:rFonts w:ascii="Times New Roman" w:hAnsi="Times New Roman" w:cs="Times New Roman"/>
          <w:sz w:val="20"/>
          <w:szCs w:val="20"/>
        </w:rPr>
        <w:t xml:space="preserve"> </w:t>
      </w:r>
      <w:r>
        <w:rPr>
          <w:rFonts w:ascii="Times New Roman" w:hAnsi="Times New Roman" w:cs="Times New Roman"/>
          <w:i/>
          <w:sz w:val="20"/>
          <w:szCs w:val="20"/>
        </w:rPr>
        <w:t>P</w:t>
      </w:r>
      <w:r w:rsidRPr="007C52A1">
        <w:rPr>
          <w:rFonts w:ascii="Times New Roman" w:hAnsi="Times New Roman" w:cs="Times New Roman"/>
          <w:i/>
          <w:sz w:val="20"/>
          <w:szCs w:val="20"/>
        </w:rPr>
        <w:t>hG</w:t>
      </w:r>
      <w:r>
        <w:rPr>
          <w:rFonts w:ascii="Times New Roman" w:hAnsi="Times New Roman" w:cs="Times New Roman"/>
          <w:sz w:val="20"/>
          <w:szCs w:val="20"/>
        </w:rPr>
        <w:t>, p. 18. Di questo tema, vista la sua rilevanza, non possiamo che offrire una bibliografia parziale. Fra i molti contributi vedi: G. Cantillo, «La folgore incandescente dell’Assoluto</w:t>
      </w:r>
      <w:r w:rsidRPr="006D2CB2">
        <w:rPr>
          <w:rFonts w:ascii="Times New Roman" w:hAnsi="Times New Roman" w:cs="Times New Roman"/>
          <w:sz w:val="20"/>
          <w:szCs w:val="20"/>
        </w:rPr>
        <w:t>»</w:t>
      </w:r>
      <w:r>
        <w:rPr>
          <w:rFonts w:ascii="Times New Roman" w:hAnsi="Times New Roman" w:cs="Times New Roman"/>
          <w:sz w:val="20"/>
          <w:szCs w:val="20"/>
        </w:rPr>
        <w:t xml:space="preserve">, in </w:t>
      </w:r>
      <w:r w:rsidRPr="00EF7C3B">
        <w:rPr>
          <w:rFonts w:ascii="Times New Roman" w:hAnsi="Times New Roman" w:cs="Times New Roman"/>
          <w:i/>
          <w:sz w:val="20"/>
          <w:szCs w:val="20"/>
        </w:rPr>
        <w:t>Scritti su Hegel</w:t>
      </w:r>
      <w:r>
        <w:rPr>
          <w:rFonts w:ascii="Times New Roman" w:hAnsi="Times New Roman" w:cs="Times New Roman"/>
          <w:sz w:val="20"/>
          <w:szCs w:val="20"/>
        </w:rPr>
        <w:t xml:space="preserve">, a cura di S. Achella, R. Bonito Oliva e E. Mazzarella, Carocci, Roma 2020, pp. 141-153; </w:t>
      </w:r>
      <w:r w:rsidRPr="00BD6DE9">
        <w:rPr>
          <w:rFonts w:ascii="Times New Roman" w:hAnsi="Times New Roman" w:cs="Times New Roman"/>
          <w:sz w:val="20"/>
          <w:szCs w:val="20"/>
        </w:rPr>
        <w:t>G</w:t>
      </w:r>
      <w:r>
        <w:rPr>
          <w:rFonts w:ascii="Times New Roman" w:hAnsi="Times New Roman" w:cs="Times New Roman"/>
          <w:sz w:val="20"/>
          <w:szCs w:val="20"/>
        </w:rPr>
        <w:t xml:space="preserve">. Giordano, </w:t>
      </w:r>
      <w:r>
        <w:rPr>
          <w:rFonts w:ascii="Times New Roman" w:hAnsi="Times New Roman" w:cs="Times New Roman"/>
          <w:i/>
          <w:sz w:val="20"/>
          <w:szCs w:val="20"/>
        </w:rPr>
        <w:t xml:space="preserve">Dimostrazione filosofica e dimostrazione matematica nella Prefazione alla Fenomenologia dello </w:t>
      </w:r>
      <w:r w:rsidRPr="00B7378E">
        <w:rPr>
          <w:rFonts w:ascii="Times New Roman" w:hAnsi="Times New Roman" w:cs="Times New Roman"/>
          <w:sz w:val="20"/>
          <w:szCs w:val="20"/>
        </w:rPr>
        <w:t>spirito</w:t>
      </w:r>
      <w:r>
        <w:rPr>
          <w:rFonts w:ascii="Times New Roman" w:hAnsi="Times New Roman" w:cs="Times New Roman"/>
          <w:sz w:val="20"/>
          <w:szCs w:val="20"/>
        </w:rPr>
        <w:t xml:space="preserve">, in </w:t>
      </w:r>
      <w:r>
        <w:rPr>
          <w:rFonts w:ascii="Times New Roman" w:hAnsi="Times New Roman" w:cs="Times New Roman"/>
          <w:i/>
          <w:sz w:val="20"/>
          <w:szCs w:val="20"/>
        </w:rPr>
        <w:t xml:space="preserve">La Fenomenologia dello spirito dopo duecento </w:t>
      </w:r>
      <w:r w:rsidRPr="00B7378E">
        <w:rPr>
          <w:rFonts w:ascii="Times New Roman" w:hAnsi="Times New Roman" w:cs="Times New Roman"/>
          <w:sz w:val="20"/>
          <w:szCs w:val="20"/>
        </w:rPr>
        <w:t>anni</w:t>
      </w:r>
      <w:r>
        <w:rPr>
          <w:rFonts w:ascii="Times New Roman" w:hAnsi="Times New Roman" w:cs="Times New Roman"/>
          <w:sz w:val="20"/>
          <w:szCs w:val="20"/>
        </w:rPr>
        <w:t xml:space="preserve">, a cura di G. Cortoneo, G. Furnari Luvarà e F. Rizzo, Bibliopolis, Napoli 2008, pp. 281-311; H. Gutschmidt, </w:t>
      </w:r>
      <w:r>
        <w:rPr>
          <w:rFonts w:ascii="Times New Roman" w:hAnsi="Times New Roman" w:cs="Times New Roman"/>
          <w:i/>
          <w:sz w:val="20"/>
          <w:szCs w:val="20"/>
        </w:rPr>
        <w:t>Hegel gegen Spinoza…und gegen Hegel. Hegel späte Kritik an der Substanzphilosophie und sein eigener Übergang von der „Substanz” zum „Subjekt”</w:t>
      </w:r>
      <w:r>
        <w:rPr>
          <w:rFonts w:ascii="Times New Roman" w:hAnsi="Times New Roman" w:cs="Times New Roman"/>
          <w:sz w:val="20"/>
          <w:szCs w:val="20"/>
        </w:rPr>
        <w:t xml:space="preserve">, in Übergänge in der klassischen deutschen Philosophie, hrsg. von J. Karásek, L. Kollert und T. MatějčkovaWilhelm Fink Verlag, München 2019, pp. 169-193; H. Harris, </w:t>
      </w:r>
      <w:r>
        <w:rPr>
          <w:rFonts w:ascii="Times New Roman" w:hAnsi="Times New Roman" w:cs="Times New Roman"/>
          <w:i/>
          <w:sz w:val="20"/>
          <w:szCs w:val="20"/>
        </w:rPr>
        <w:t xml:space="preserve">Hegel’s Ladder. I: The Pilgrame of </w:t>
      </w:r>
      <w:r w:rsidRPr="00C03B69">
        <w:rPr>
          <w:rFonts w:ascii="Times New Roman" w:hAnsi="Times New Roman" w:cs="Times New Roman"/>
          <w:i/>
          <w:sz w:val="20"/>
          <w:szCs w:val="20"/>
        </w:rPr>
        <w:t>Reason</w:t>
      </w:r>
      <w:r>
        <w:rPr>
          <w:rFonts w:ascii="Times New Roman" w:hAnsi="Times New Roman" w:cs="Times New Roman"/>
          <w:sz w:val="20"/>
          <w:szCs w:val="20"/>
        </w:rPr>
        <w:t xml:space="preserve">, Hackett Publishing Company, Indianapolis/Cambridge 1997, pp. 30-110; D. H. Heidemann, </w:t>
      </w:r>
      <w:r>
        <w:rPr>
          <w:rFonts w:ascii="Times New Roman" w:hAnsi="Times New Roman" w:cs="Times New Roman"/>
          <w:i/>
          <w:sz w:val="20"/>
          <w:szCs w:val="20"/>
        </w:rPr>
        <w:t xml:space="preserve">Substance, subject, system: the justification of science in Hegel’s Phenomenology of Spirit, in Hegel’s Phenomenology of </w:t>
      </w:r>
      <w:r w:rsidRPr="00EF7C3B">
        <w:rPr>
          <w:rFonts w:ascii="Times New Roman" w:hAnsi="Times New Roman" w:cs="Times New Roman"/>
          <w:i/>
          <w:sz w:val="20"/>
          <w:szCs w:val="20"/>
        </w:rPr>
        <w:t>Spirit</w:t>
      </w:r>
      <w:r>
        <w:rPr>
          <w:rFonts w:ascii="Times New Roman" w:hAnsi="Times New Roman" w:cs="Times New Roman"/>
          <w:sz w:val="20"/>
          <w:szCs w:val="20"/>
        </w:rPr>
        <w:t xml:space="preserve">, ed. by D. Moyar and M. Quante, Cambridge University Press, Cambridge 2008, pp. 1-21; J. Hyppolite, </w:t>
      </w:r>
      <w:r w:rsidRPr="004F1BAF">
        <w:rPr>
          <w:rFonts w:ascii="Times New Roman" w:hAnsi="Times New Roman" w:cs="Times New Roman"/>
          <w:i/>
          <w:sz w:val="20"/>
          <w:szCs w:val="20"/>
        </w:rPr>
        <w:t>Genèse et structure de la «Phénoménologie de l’esprit de Hegel</w:t>
      </w:r>
      <w:r w:rsidRPr="004F1BAF">
        <w:rPr>
          <w:rFonts w:ascii="Times New Roman" w:eastAsia="Times New Roman" w:hAnsi="Times New Roman" w:cs="Times New Roman"/>
          <w:i/>
          <w:color w:val="000000"/>
          <w:sz w:val="20"/>
          <w:szCs w:val="20"/>
        </w:rPr>
        <w:t>»</w:t>
      </w:r>
      <w:r>
        <w:rPr>
          <w:rFonts w:ascii="Times New Roman" w:eastAsia="Times New Roman" w:hAnsi="Times New Roman" w:cs="Times New Roman"/>
          <w:color w:val="000000"/>
          <w:sz w:val="20"/>
          <w:szCs w:val="20"/>
        </w:rPr>
        <w:t xml:space="preserve">, Aubier, Paris 1946; </w:t>
      </w:r>
      <w:r>
        <w:rPr>
          <w:rFonts w:ascii="Times New Roman" w:hAnsi="Times New Roman" w:cs="Times New Roman"/>
          <w:sz w:val="20"/>
          <w:szCs w:val="20"/>
        </w:rPr>
        <w:t xml:space="preserve">H. Karasek, J. Kunes und I. Landa (hrsg.), </w:t>
      </w:r>
      <w:r>
        <w:rPr>
          <w:rFonts w:ascii="Times New Roman" w:hAnsi="Times New Roman" w:cs="Times New Roman"/>
          <w:i/>
          <w:sz w:val="20"/>
          <w:szCs w:val="20"/>
        </w:rPr>
        <w:t xml:space="preserve">Hegels Einleitung in die Phänomenologie </w:t>
      </w:r>
      <w:r w:rsidRPr="00EF7C3B">
        <w:rPr>
          <w:rFonts w:ascii="Times New Roman" w:hAnsi="Times New Roman" w:cs="Times New Roman"/>
          <w:i/>
          <w:sz w:val="20"/>
          <w:szCs w:val="20"/>
        </w:rPr>
        <w:t>des Geistes</w:t>
      </w:r>
      <w:r>
        <w:rPr>
          <w:rFonts w:ascii="Times New Roman" w:hAnsi="Times New Roman" w:cs="Times New Roman"/>
          <w:sz w:val="20"/>
          <w:szCs w:val="20"/>
        </w:rPr>
        <w:t xml:space="preserve">, Königshausen &amp; Neumann, Würzburg 2006; A. Kojève, </w:t>
      </w:r>
      <w:r>
        <w:rPr>
          <w:rFonts w:ascii="Times New Roman" w:hAnsi="Times New Roman" w:cs="Times New Roman"/>
          <w:i/>
          <w:sz w:val="20"/>
          <w:szCs w:val="20"/>
        </w:rPr>
        <w:t>Introduction à la lecture de Hegel</w:t>
      </w:r>
      <w:r>
        <w:rPr>
          <w:rFonts w:ascii="Times New Roman" w:hAnsi="Times New Roman" w:cs="Times New Roman"/>
          <w:sz w:val="20"/>
          <w:szCs w:val="20"/>
        </w:rPr>
        <w:t xml:space="preserve">, Gallimard, Paris 1947; </w:t>
      </w:r>
      <w:r w:rsidRPr="002A1846">
        <w:rPr>
          <w:rFonts w:ascii="Times New Roman" w:hAnsi="Times New Roman" w:cs="Times New Roman"/>
          <w:sz w:val="20"/>
          <w:szCs w:val="20"/>
        </w:rPr>
        <w:t>M</w:t>
      </w:r>
      <w:r w:rsidRPr="00B248C8">
        <w:rPr>
          <w:rFonts w:ascii="Times New Roman" w:hAnsi="Times New Roman" w:cs="Times New Roman"/>
          <w:sz w:val="20"/>
          <w:szCs w:val="20"/>
        </w:rPr>
        <w:t xml:space="preserve">. Pagano, </w:t>
      </w:r>
      <w:r w:rsidRPr="00B248C8">
        <w:rPr>
          <w:rFonts w:ascii="Times New Roman" w:hAnsi="Times New Roman" w:cs="Times New Roman"/>
          <w:i/>
          <w:sz w:val="20"/>
          <w:szCs w:val="20"/>
        </w:rPr>
        <w:t xml:space="preserve">Hegel: il soggetto e l’assoluto, </w:t>
      </w:r>
      <w:r w:rsidRPr="00B248C8">
        <w:rPr>
          <w:rFonts w:ascii="Times New Roman" w:hAnsi="Times New Roman" w:cs="Times New Roman"/>
          <w:sz w:val="20"/>
          <w:szCs w:val="20"/>
        </w:rPr>
        <w:t>in «Teoria</w:t>
      </w:r>
      <w:r w:rsidRPr="00B248C8">
        <w:rPr>
          <w:rFonts w:ascii="Times New Roman" w:hAnsi="Times New Roman" w:cs="Times New Roman"/>
          <w:sz w:val="20"/>
          <w:szCs w:val="20"/>
          <w:lang w:val="en-GB"/>
        </w:rPr>
        <w:t>»</w:t>
      </w:r>
      <w:r w:rsidRPr="00B248C8">
        <w:rPr>
          <w:rFonts w:ascii="Times New Roman" w:hAnsi="Times New Roman" w:cs="Times New Roman"/>
          <w:sz w:val="20"/>
          <w:szCs w:val="20"/>
        </w:rPr>
        <w:t xml:space="preserve">, 2015, </w:t>
      </w:r>
      <w:r>
        <w:rPr>
          <w:rFonts w:ascii="Times New Roman" w:hAnsi="Times New Roman" w:cs="Times New Roman"/>
          <w:sz w:val="20"/>
          <w:szCs w:val="20"/>
        </w:rPr>
        <w:t xml:space="preserve">n. </w:t>
      </w:r>
      <w:r w:rsidRPr="00B248C8">
        <w:rPr>
          <w:rFonts w:ascii="Times New Roman" w:hAnsi="Times New Roman" w:cs="Times New Roman"/>
          <w:sz w:val="20"/>
          <w:szCs w:val="20"/>
        </w:rPr>
        <w:t>1, pp. 81-99</w:t>
      </w:r>
      <w:r>
        <w:rPr>
          <w:rFonts w:ascii="Times New Roman" w:hAnsi="Times New Roman" w:cs="Times New Roman"/>
          <w:sz w:val="20"/>
          <w:szCs w:val="20"/>
        </w:rPr>
        <w:t xml:space="preserve">; J. Sallis, </w:t>
      </w:r>
      <w:r>
        <w:rPr>
          <w:rFonts w:ascii="Times New Roman" w:hAnsi="Times New Roman" w:cs="Times New Roman"/>
          <w:i/>
          <w:sz w:val="20"/>
          <w:szCs w:val="20"/>
        </w:rPr>
        <w:t xml:space="preserve">Hegel’s Concept of Presentation: Its Determination in the Preface to the </w:t>
      </w:r>
      <w:r w:rsidRPr="00B7378E">
        <w:rPr>
          <w:rFonts w:ascii="Times New Roman" w:hAnsi="Times New Roman" w:cs="Times New Roman"/>
          <w:i/>
          <w:sz w:val="20"/>
          <w:szCs w:val="20"/>
        </w:rPr>
        <w:t>Phenomenology of Spirit</w:t>
      </w:r>
      <w:r>
        <w:rPr>
          <w:rFonts w:ascii="Times New Roman" w:hAnsi="Times New Roman" w:cs="Times New Roman"/>
          <w:sz w:val="20"/>
          <w:szCs w:val="20"/>
        </w:rPr>
        <w:t xml:space="preserve">, in </w:t>
      </w:r>
      <w:r>
        <w:rPr>
          <w:rFonts w:ascii="Times New Roman" w:hAnsi="Times New Roman" w:cs="Times New Roman"/>
          <w:i/>
          <w:sz w:val="20"/>
          <w:szCs w:val="20"/>
        </w:rPr>
        <w:t>The Phenomenology of Spirit. Critical and Interpretative Essays</w:t>
      </w:r>
      <w:r>
        <w:rPr>
          <w:rFonts w:ascii="Times New Roman" w:hAnsi="Times New Roman" w:cs="Times New Roman"/>
          <w:sz w:val="20"/>
          <w:szCs w:val="20"/>
        </w:rPr>
        <w:t>, ed. by J. Stewart, State University of New York Press, Albany 1998, pp. 25-52.</w:t>
      </w:r>
    </w:p>
  </w:footnote>
  <w:footnote w:id="144">
    <w:p w14:paraId="15661A61" w14:textId="6AC3CA9E" w:rsidR="00B34CC2" w:rsidRDefault="00B34CC2" w:rsidP="00F721A9">
      <w:pPr>
        <w:pStyle w:val="Testonotaapidipagina"/>
        <w:jc w:val="both"/>
      </w:pPr>
      <w:r w:rsidRPr="00540E0E">
        <w:rPr>
          <w:rStyle w:val="Rimandonotaapidipagina"/>
          <w:rFonts w:ascii="Times New Roman" w:hAnsi="Times New Roman" w:cs="Times New Roman"/>
          <w:sz w:val="20"/>
          <w:szCs w:val="20"/>
        </w:rPr>
        <w:footnoteRef/>
      </w:r>
      <w:r w:rsidRPr="00540E0E">
        <w:rPr>
          <w:rFonts w:ascii="Times New Roman" w:hAnsi="Times New Roman" w:cs="Times New Roman"/>
          <w:sz w:val="20"/>
          <w:szCs w:val="20"/>
        </w:rPr>
        <w:t xml:space="preserve"> </w:t>
      </w:r>
      <w:r>
        <w:rPr>
          <w:rFonts w:ascii="Times New Roman" w:hAnsi="Times New Roman" w:cs="Times New Roman"/>
          <w:i/>
          <w:sz w:val="20"/>
          <w:szCs w:val="20"/>
        </w:rPr>
        <w:t>Ibidem.</w:t>
      </w:r>
    </w:p>
  </w:footnote>
  <w:footnote w:id="145">
    <w:p w14:paraId="09122FC9" w14:textId="45D653E9" w:rsidR="00B34CC2" w:rsidRPr="007707CF" w:rsidRDefault="00B34CC2" w:rsidP="00F721A9">
      <w:pPr>
        <w:pStyle w:val="Testonotaapidipagina"/>
        <w:jc w:val="both"/>
        <w:rPr>
          <w:rFonts w:ascii="Times New Roman" w:hAnsi="Times New Roman" w:cs="Times New Roman"/>
          <w:sz w:val="20"/>
          <w:szCs w:val="20"/>
        </w:rPr>
      </w:pPr>
      <w:r w:rsidRPr="001B3F23">
        <w:rPr>
          <w:rStyle w:val="Rimandonotaapidipagina"/>
          <w:rFonts w:ascii="Times New Roman" w:hAnsi="Times New Roman" w:cs="Times New Roman"/>
          <w:sz w:val="20"/>
          <w:szCs w:val="20"/>
        </w:rPr>
        <w:footnoteRef/>
      </w:r>
      <w:r w:rsidRPr="001B3F23">
        <w:rPr>
          <w:rFonts w:ascii="Times New Roman" w:hAnsi="Times New Roman" w:cs="Times New Roman"/>
          <w:sz w:val="20"/>
          <w:szCs w:val="20"/>
        </w:rPr>
        <w:t xml:space="preserve"> </w:t>
      </w:r>
      <w:r>
        <w:rPr>
          <w:rFonts w:ascii="Times New Roman" w:hAnsi="Times New Roman" w:cs="Times New Roman"/>
          <w:sz w:val="20"/>
          <w:szCs w:val="20"/>
        </w:rPr>
        <w:t xml:space="preserve">Cfr. </w:t>
      </w:r>
      <w:r w:rsidRPr="00153E3F">
        <w:rPr>
          <w:rFonts w:ascii="Times New Roman" w:hAnsi="Times New Roman" w:cs="Times New Roman"/>
          <w:i/>
          <w:sz w:val="20"/>
          <w:szCs w:val="20"/>
        </w:rPr>
        <w:t>Ibidem</w:t>
      </w:r>
      <w:r>
        <w:rPr>
          <w:rFonts w:ascii="Times New Roman" w:hAnsi="Times New Roman" w:cs="Times New Roman"/>
          <w:sz w:val="20"/>
          <w:szCs w:val="20"/>
        </w:rPr>
        <w:t xml:space="preserve">: </w:t>
      </w:r>
      <w:r w:rsidRPr="007707CF">
        <w:rPr>
          <w:rFonts w:ascii="Times New Roman" w:hAnsi="Times New Roman" w:cs="Times New Roman"/>
          <w:sz w:val="20"/>
          <w:szCs w:val="20"/>
        </w:rPr>
        <w:t>«Wenn die Form als dem Wesen gleich ausgesagt wird, so ist es ebendarum ein Mißverstand, zu meinen, daß das Erkennen sich mit dem Ansich oder dem Wesen begnügen, die Form aber ersparen könne, – daß der absolute Grundsatz oder die absolute Anschaung, die Ausführung des erstern oder die Entwicklung der anderen entbehrlich mache</w:t>
      </w:r>
      <w:r w:rsidRPr="007707CF">
        <w:rPr>
          <w:rFonts w:ascii="Times New Roman" w:eastAsia="Times New Roman" w:hAnsi="Times New Roman" w:cs="Times New Roman"/>
          <w:color w:val="000000"/>
        </w:rPr>
        <w:t>».</w:t>
      </w:r>
    </w:p>
  </w:footnote>
  <w:footnote w:id="146">
    <w:p w14:paraId="56986BC4" w14:textId="393F9DF7" w:rsidR="00B34CC2" w:rsidRPr="00153E3F" w:rsidRDefault="00B34CC2" w:rsidP="00F721A9">
      <w:pPr>
        <w:pStyle w:val="Testonotaapidipagina"/>
        <w:jc w:val="both"/>
        <w:rPr>
          <w:rFonts w:ascii="Times New Roman" w:hAnsi="Times New Roman" w:cs="Times New Roman"/>
          <w:sz w:val="20"/>
          <w:szCs w:val="20"/>
        </w:rPr>
      </w:pPr>
      <w:r w:rsidRPr="00153E3F">
        <w:rPr>
          <w:rStyle w:val="Rimandonotaapidipagina"/>
          <w:rFonts w:ascii="Times New Roman" w:hAnsi="Times New Roman" w:cs="Times New Roman"/>
          <w:sz w:val="20"/>
          <w:szCs w:val="20"/>
        </w:rPr>
        <w:footnoteRef/>
      </w:r>
      <w:r w:rsidRPr="00153E3F">
        <w:rPr>
          <w:rFonts w:ascii="Times New Roman" w:hAnsi="Times New Roman" w:cs="Times New Roman"/>
          <w:i/>
          <w:sz w:val="20"/>
          <w:szCs w:val="20"/>
        </w:rPr>
        <w:t xml:space="preserve"> Ibidem</w:t>
      </w:r>
      <w:r w:rsidRPr="00153E3F">
        <w:rPr>
          <w:rFonts w:ascii="Times New Roman" w:hAnsi="Times New Roman" w:cs="Times New Roman"/>
          <w:sz w:val="20"/>
          <w:szCs w:val="20"/>
        </w:rPr>
        <w:t>.</w:t>
      </w:r>
    </w:p>
  </w:footnote>
  <w:footnote w:id="147">
    <w:p w14:paraId="4F244A55" w14:textId="748617A3" w:rsidR="00B34CC2" w:rsidRPr="00EC3ED7" w:rsidRDefault="00B34CC2" w:rsidP="00F721A9">
      <w:pPr>
        <w:pStyle w:val="Testonotaapidipagina"/>
        <w:jc w:val="both"/>
      </w:pPr>
      <w:r w:rsidRPr="00EC3ED7">
        <w:rPr>
          <w:rStyle w:val="Rimandonotaapidipagina"/>
          <w:rFonts w:ascii="Times New Roman" w:hAnsi="Times New Roman" w:cs="Times New Roman"/>
          <w:sz w:val="20"/>
          <w:szCs w:val="20"/>
        </w:rPr>
        <w:footnoteRef/>
      </w:r>
      <w:r w:rsidRPr="00EC3ED7">
        <w:rPr>
          <w:rFonts w:ascii="Times New Roman" w:hAnsi="Times New Roman" w:cs="Times New Roman"/>
          <w:sz w:val="20"/>
          <w:szCs w:val="20"/>
        </w:rPr>
        <w:t xml:space="preserve"> </w:t>
      </w:r>
      <w:r>
        <w:rPr>
          <w:rFonts w:ascii="Times New Roman" w:hAnsi="Times New Roman" w:cs="Times New Roman"/>
          <w:i/>
          <w:sz w:val="20"/>
          <w:szCs w:val="20"/>
        </w:rPr>
        <w:t>Ibidem.</w:t>
      </w:r>
    </w:p>
  </w:footnote>
  <w:footnote w:id="148">
    <w:p w14:paraId="5F76666E" w14:textId="410FB70E" w:rsidR="00B34CC2" w:rsidRPr="001B3F23" w:rsidRDefault="00B34CC2" w:rsidP="00F721A9">
      <w:pPr>
        <w:pStyle w:val="Testonotaapidipagina"/>
        <w:jc w:val="both"/>
      </w:pPr>
      <w:r w:rsidRPr="001B3F23">
        <w:rPr>
          <w:rStyle w:val="Rimandonotaapidipagina"/>
          <w:rFonts w:ascii="Times New Roman" w:hAnsi="Times New Roman" w:cs="Times New Roman"/>
          <w:sz w:val="20"/>
          <w:szCs w:val="20"/>
        </w:rPr>
        <w:footnoteRef/>
      </w:r>
      <w:r w:rsidRPr="001B3F23">
        <w:rPr>
          <w:rFonts w:ascii="Times New Roman" w:hAnsi="Times New Roman" w:cs="Times New Roman"/>
          <w:sz w:val="20"/>
          <w:szCs w:val="20"/>
        </w:rPr>
        <w:t xml:space="preserve"> </w:t>
      </w:r>
      <w:r>
        <w:rPr>
          <w:rFonts w:ascii="Times New Roman" w:hAnsi="Times New Roman" w:cs="Times New Roman"/>
          <w:i/>
          <w:sz w:val="20"/>
          <w:szCs w:val="20"/>
        </w:rPr>
        <w:t>Ibidem.</w:t>
      </w:r>
    </w:p>
  </w:footnote>
  <w:footnote w:id="149">
    <w:p w14:paraId="6A09F1C8" w14:textId="6AC8E126" w:rsidR="00B34CC2" w:rsidRPr="00D31879" w:rsidRDefault="00B34CC2" w:rsidP="00F721A9">
      <w:pPr>
        <w:pStyle w:val="Testonotaapidipagina"/>
        <w:jc w:val="both"/>
        <w:rPr>
          <w:rFonts w:ascii="Times New Roman" w:hAnsi="Times New Roman" w:cs="Times New Roman"/>
          <w:sz w:val="20"/>
          <w:szCs w:val="20"/>
        </w:rPr>
      </w:pPr>
      <w:r w:rsidRPr="00D31879">
        <w:rPr>
          <w:rStyle w:val="Rimandonotaapidipagina"/>
          <w:rFonts w:ascii="Times New Roman" w:hAnsi="Times New Roman" w:cs="Times New Roman"/>
          <w:sz w:val="20"/>
          <w:szCs w:val="20"/>
        </w:rPr>
        <w:footnoteRef/>
      </w:r>
      <w:r w:rsidRPr="00D31879">
        <w:rPr>
          <w:rFonts w:ascii="Times New Roman" w:hAnsi="Times New Roman" w:cs="Times New Roman"/>
          <w:sz w:val="20"/>
          <w:szCs w:val="20"/>
        </w:rPr>
        <w:t xml:space="preserve"> </w:t>
      </w:r>
      <w:r>
        <w:rPr>
          <w:rFonts w:ascii="Times New Roman" w:hAnsi="Times New Roman" w:cs="Times New Roman"/>
          <w:sz w:val="20"/>
          <w:szCs w:val="20"/>
        </w:rPr>
        <w:t xml:space="preserve">Cfr. </w:t>
      </w:r>
      <w:r w:rsidRPr="00D31879">
        <w:rPr>
          <w:rFonts w:ascii="Times New Roman" w:hAnsi="Times New Roman" w:cs="Times New Roman"/>
          <w:sz w:val="20"/>
          <w:szCs w:val="20"/>
        </w:rPr>
        <w:t>il secondo e terzo capitolo di questo lavoro.</w:t>
      </w:r>
    </w:p>
  </w:footnote>
  <w:footnote w:id="150">
    <w:p w14:paraId="739B13B5" w14:textId="13A85803" w:rsidR="00B34CC2" w:rsidRPr="00AA2217" w:rsidRDefault="00B34CC2" w:rsidP="00F721A9">
      <w:pPr>
        <w:pStyle w:val="Testonotaapidipagina"/>
        <w:jc w:val="both"/>
        <w:rPr>
          <w:rFonts w:ascii="Times New Roman" w:hAnsi="Times New Roman" w:cs="Times New Roman"/>
          <w:sz w:val="20"/>
          <w:szCs w:val="20"/>
        </w:rPr>
      </w:pPr>
      <w:r w:rsidRPr="00AA2217">
        <w:rPr>
          <w:rStyle w:val="Rimandonotaapidipagina"/>
          <w:rFonts w:ascii="Times New Roman" w:hAnsi="Times New Roman" w:cs="Times New Roman"/>
          <w:sz w:val="20"/>
          <w:szCs w:val="20"/>
        </w:rPr>
        <w:footnoteRef/>
      </w:r>
      <w:r w:rsidRPr="00AA2217">
        <w:rPr>
          <w:rFonts w:ascii="Times New Roman" w:hAnsi="Times New Roman" w:cs="Times New Roman"/>
          <w:sz w:val="20"/>
          <w:szCs w:val="20"/>
        </w:rPr>
        <w:t xml:space="preserve"> </w:t>
      </w:r>
      <w:r>
        <w:rPr>
          <w:rFonts w:ascii="Times New Roman" w:hAnsi="Times New Roman" w:cs="Times New Roman"/>
          <w:sz w:val="20"/>
          <w:szCs w:val="20"/>
        </w:rPr>
        <w:t xml:space="preserve">Su questo punto cfr. in particolare le </w:t>
      </w:r>
      <w:r w:rsidRPr="00D8635A">
        <w:rPr>
          <w:rFonts w:ascii="Times New Roman" w:hAnsi="Times New Roman" w:cs="Times New Roman"/>
          <w:i/>
          <w:sz w:val="20"/>
          <w:szCs w:val="20"/>
        </w:rPr>
        <w:t>supra</w:t>
      </w:r>
      <w:r>
        <w:rPr>
          <w:rFonts w:ascii="Times New Roman" w:hAnsi="Times New Roman" w:cs="Times New Roman"/>
          <w:sz w:val="20"/>
          <w:szCs w:val="20"/>
        </w:rPr>
        <w:t>, pp. 14-15, note 10, 12 e 14.</w:t>
      </w:r>
      <w:r w:rsidRPr="00AA2217">
        <w:rPr>
          <w:rFonts w:ascii="Times New Roman" w:hAnsi="Times New Roman" w:cs="Times New Roman"/>
          <w:i/>
          <w:sz w:val="20"/>
          <w:szCs w:val="20"/>
        </w:rPr>
        <w:t xml:space="preserve"> </w:t>
      </w:r>
    </w:p>
  </w:footnote>
  <w:footnote w:id="151">
    <w:p w14:paraId="436FD5A2" w14:textId="16950C6B" w:rsidR="00B34CC2" w:rsidRPr="008D0C71" w:rsidRDefault="00B34CC2" w:rsidP="00F721A9">
      <w:pPr>
        <w:pStyle w:val="Testonotaapidipagina"/>
        <w:jc w:val="both"/>
        <w:rPr>
          <w:rFonts w:ascii="Times New Roman" w:hAnsi="Times New Roman" w:cs="Times New Roman"/>
          <w:sz w:val="20"/>
          <w:szCs w:val="20"/>
        </w:rPr>
      </w:pPr>
      <w:r w:rsidRPr="00A93A46">
        <w:rPr>
          <w:rStyle w:val="Rimandonotaapidipagina"/>
          <w:rFonts w:ascii="Times New Roman" w:hAnsi="Times New Roman" w:cs="Times New Roman"/>
          <w:sz w:val="20"/>
          <w:szCs w:val="20"/>
        </w:rPr>
        <w:footnoteRef/>
      </w:r>
      <w:r w:rsidRPr="00A93A46">
        <w:rPr>
          <w:rFonts w:ascii="Times New Roman" w:hAnsi="Times New Roman" w:cs="Times New Roman"/>
          <w:sz w:val="20"/>
          <w:szCs w:val="20"/>
        </w:rPr>
        <w:t xml:space="preserve"> In questo inedito, Hegel espone quella che dovrebbe essere l’essenza dello spirito. Trovata dinnanzi a sé una natura estranea, lo spirito riesce a superare l’opposizione del proprio essere altro riconoscendolo non più come un semplice essere-per-sé, ma come un momento del proprio sviluppo. Un momento, che proprio perché stazione del processo realizzativo dello spirito, diventa ad esso accessibile non più come il semplice altro da sé, ma come l’altro da sé che è spirito. Tolta l’estraneità della natura e riconosciuta la sua unità essenziale con lo spirito, diventa intellegibile il concetto di </w:t>
      </w:r>
      <w:r w:rsidRPr="00A93A46">
        <w:rPr>
          <w:rFonts w:ascii="Times New Roman" w:hAnsi="Times New Roman" w:cs="Times New Roman"/>
          <w:i/>
          <w:sz w:val="20"/>
          <w:szCs w:val="20"/>
        </w:rPr>
        <w:t>Sichselbstgleichheit</w:t>
      </w:r>
      <w:r w:rsidRPr="00A93A46">
        <w:rPr>
          <w:rFonts w:ascii="Times New Roman" w:hAnsi="Times New Roman" w:cs="Times New Roman"/>
          <w:sz w:val="20"/>
          <w:szCs w:val="20"/>
        </w:rPr>
        <w:t xml:space="preserve">: il </w:t>
      </w:r>
      <w:r w:rsidRPr="00A93A46">
        <w:rPr>
          <w:rFonts w:ascii="Times New Roman" w:hAnsi="Times New Roman" w:cs="Times New Roman"/>
          <w:i/>
          <w:sz w:val="20"/>
          <w:szCs w:val="20"/>
        </w:rPr>
        <w:t>Geist</w:t>
      </w:r>
      <w:r w:rsidRPr="00A93A46">
        <w:rPr>
          <w:rFonts w:ascii="Times New Roman" w:hAnsi="Times New Roman" w:cs="Times New Roman"/>
          <w:sz w:val="20"/>
          <w:szCs w:val="20"/>
        </w:rPr>
        <w:t xml:space="preserve"> è auto-uguaglianza divenuta</w:t>
      </w:r>
      <w:r>
        <w:rPr>
          <w:rFonts w:ascii="Times New Roman" w:hAnsi="Times New Roman" w:cs="Times New Roman"/>
          <w:sz w:val="20"/>
          <w:szCs w:val="20"/>
        </w:rPr>
        <w:t xml:space="preserve"> </w:t>
      </w:r>
      <w:r w:rsidRPr="00A93A46">
        <w:rPr>
          <w:rFonts w:ascii="Times New Roman" w:hAnsi="Times New Roman" w:cs="Times New Roman"/>
          <w:sz w:val="20"/>
          <w:szCs w:val="20"/>
        </w:rPr>
        <w:t xml:space="preserve">nella misura in cui si sviluppa per mezzo di un’alterità che, nella sua essenza, è identica con sé. Cfr. SE, pp. 370: </w:t>
      </w:r>
      <w:r w:rsidRPr="00E03BC2">
        <w:rPr>
          <w:rFonts w:ascii="Times New Roman" w:hAnsi="Times New Roman" w:cs="Times New Roman"/>
          <w:sz w:val="20"/>
          <w:szCs w:val="20"/>
        </w:rPr>
        <w:t>«Das Wesen des Geistes ist diß, daß er sich einer Natur entgegengesetzt findet, diesen Gegensatz bekämpft, und als Sieger über die Natur zu sich selbst kommt […] Der</w:t>
      </w:r>
      <w:r>
        <w:rPr>
          <w:rFonts w:ascii="Times New Roman" w:hAnsi="Times New Roman" w:cs="Times New Roman"/>
          <w:sz w:val="20"/>
          <w:szCs w:val="20"/>
        </w:rPr>
        <w:t xml:space="preserve"> Ge</w:t>
      </w:r>
      <w:r w:rsidRPr="00E03BC2">
        <w:rPr>
          <w:rFonts w:ascii="Times New Roman" w:hAnsi="Times New Roman" w:cs="Times New Roman"/>
          <w:sz w:val="20"/>
          <w:szCs w:val="20"/>
        </w:rPr>
        <w:t>i</w:t>
      </w:r>
      <w:r>
        <w:rPr>
          <w:rFonts w:ascii="Times New Roman" w:hAnsi="Times New Roman" w:cs="Times New Roman"/>
          <w:sz w:val="20"/>
          <w:szCs w:val="20"/>
        </w:rPr>
        <w:t>s</w:t>
      </w:r>
      <w:r w:rsidRPr="00E03BC2">
        <w:rPr>
          <w:rFonts w:ascii="Times New Roman" w:hAnsi="Times New Roman" w:cs="Times New Roman"/>
          <w:sz w:val="20"/>
          <w:szCs w:val="20"/>
        </w:rPr>
        <w:t>t ist nur das heben seines Andersseyn […]</w:t>
      </w:r>
      <w:r>
        <w:rPr>
          <w:rFonts w:ascii="Times New Roman" w:hAnsi="Times New Roman" w:cs="Times New Roman"/>
          <w:sz w:val="20"/>
          <w:szCs w:val="20"/>
        </w:rPr>
        <w:t xml:space="preserve"> Sein Wesen ist nicht die Sichselbstgleichheit, sondern sich zu einem sichselbst gleichen zu machen […]</w:t>
      </w:r>
      <w:r w:rsidRPr="00E03BC2">
        <w:rPr>
          <w:rFonts w:ascii="Times New Roman" w:hAnsi="Times New Roman" w:cs="Times New Roman"/>
          <w:sz w:val="20"/>
          <w:szCs w:val="20"/>
        </w:rPr>
        <w:t xml:space="preserve"> Der Geist hebt die Natur, oder sein Andersseyn , indem er erkennt, daß diß sein Andersseyn er selbst ist, daß sie nichts anderes ist, als er selbst, gesetzt als ein entgegengesetzt […] Indem der Geist die </w:t>
      </w:r>
      <w:r w:rsidRPr="00E34A93">
        <w:rPr>
          <w:rFonts w:ascii="Times New Roman" w:hAnsi="Times New Roman" w:cs="Times New Roman"/>
          <w:sz w:val="20"/>
          <w:szCs w:val="20"/>
        </w:rPr>
        <w:t>Natur als sich erkennt, und ihren Gegensatz hebt, findet er in ihr sich selbst, kommt zu sich selbst</w:t>
      </w:r>
      <w:r w:rsidRPr="00E34A93">
        <w:rPr>
          <w:rFonts w:ascii="Times New Roman" w:eastAsia="Times New Roman" w:hAnsi="Times New Roman" w:cs="Times New Roman"/>
          <w:color w:val="000000"/>
          <w:sz w:val="20"/>
          <w:szCs w:val="20"/>
        </w:rPr>
        <w:t>»</w:t>
      </w:r>
      <w:r w:rsidRPr="00E34A93">
        <w:rPr>
          <w:rFonts w:ascii="Times New Roman" w:hAnsi="Times New Roman" w:cs="Times New Roman"/>
          <w:sz w:val="20"/>
          <w:szCs w:val="20"/>
        </w:rPr>
        <w:t>. L’interazione fra i termini relazionali, però, risulta data e non deriva da un processo che ha nello spirito il proprio punto di partenza.</w:t>
      </w:r>
      <w:r>
        <w:rPr>
          <w:rFonts w:ascii="Times New Roman" w:hAnsi="Times New Roman" w:cs="Times New Roman"/>
          <w:sz w:val="20"/>
          <w:szCs w:val="20"/>
        </w:rPr>
        <w:t xml:space="preserve"> In altre parole, lo spirito trova dinnanzi a sé una natura estranena che, teoreticamente e praticamente, arriva a conoscere come identica a sé. A mio modo di vedere, la</w:t>
      </w:r>
      <w:r w:rsidRPr="00A55587">
        <w:rPr>
          <w:rFonts w:ascii="Times New Roman" w:hAnsi="Times New Roman" w:cs="Times New Roman"/>
          <w:i/>
          <w:sz w:val="20"/>
          <w:szCs w:val="20"/>
        </w:rPr>
        <w:t xml:space="preserve"> datità</w:t>
      </w:r>
      <w:r>
        <w:rPr>
          <w:rFonts w:ascii="Times New Roman" w:hAnsi="Times New Roman" w:cs="Times New Roman"/>
          <w:sz w:val="20"/>
          <w:szCs w:val="20"/>
        </w:rPr>
        <w:t xml:space="preserve"> </w:t>
      </w:r>
      <w:r w:rsidRPr="00A93A46">
        <w:rPr>
          <w:rFonts w:ascii="Times New Roman" w:hAnsi="Times New Roman" w:cs="Times New Roman"/>
          <w:sz w:val="20"/>
          <w:szCs w:val="20"/>
        </w:rPr>
        <w:t xml:space="preserve">di spirito e natura determina la differenza maggiore fra questo frammento del 1803 ed il </w:t>
      </w:r>
      <w:r w:rsidRPr="00A93A46">
        <w:rPr>
          <w:rFonts w:ascii="Times New Roman" w:hAnsi="Times New Roman" w:cs="Times New Roman"/>
          <w:i/>
          <w:sz w:val="20"/>
          <w:szCs w:val="20"/>
        </w:rPr>
        <w:t xml:space="preserve">Fragment </w:t>
      </w:r>
      <w:r w:rsidRPr="00A93A46">
        <w:rPr>
          <w:rFonts w:ascii="Times New Roman" w:hAnsi="Times New Roman" w:cs="Times New Roman"/>
          <w:sz w:val="20"/>
          <w:szCs w:val="20"/>
        </w:rPr>
        <w:t xml:space="preserve">49, che cerca di fornire una spiegazione del rapporto fra </w:t>
      </w:r>
      <w:r w:rsidRPr="00A93A46">
        <w:rPr>
          <w:rFonts w:ascii="Times New Roman" w:hAnsi="Times New Roman" w:cs="Times New Roman"/>
          <w:i/>
          <w:sz w:val="20"/>
          <w:szCs w:val="20"/>
        </w:rPr>
        <w:t>Geist-Natur</w:t>
      </w:r>
      <w:r w:rsidRPr="00A93A46">
        <w:rPr>
          <w:rFonts w:ascii="Times New Roman" w:hAnsi="Times New Roman" w:cs="Times New Roman"/>
          <w:sz w:val="20"/>
          <w:szCs w:val="20"/>
        </w:rPr>
        <w:t xml:space="preserve"> a partire dal cosiddetto</w:t>
      </w:r>
      <w:r w:rsidRPr="007D14C1">
        <w:rPr>
          <w:rFonts w:ascii="Times New Roman" w:hAnsi="Times New Roman" w:cs="Times New Roman"/>
          <w:sz w:val="20"/>
          <w:szCs w:val="20"/>
        </w:rPr>
        <w:t xml:space="preserve"> </w:t>
      </w:r>
      <w:r w:rsidRPr="007D14C1">
        <w:rPr>
          <w:rFonts w:ascii="Times New Roman" w:hAnsi="Times New Roman" w:cs="Times New Roman"/>
          <w:i/>
          <w:sz w:val="20"/>
          <w:szCs w:val="20"/>
        </w:rPr>
        <w:t>Lebensl</w:t>
      </w:r>
      <w:r w:rsidRPr="007D14C1">
        <w:rPr>
          <w:rFonts w:ascii="Times New Roman" w:hAnsi="Times New Roman" w:cs="Times New Roman"/>
          <w:sz w:val="20"/>
          <w:szCs w:val="20"/>
        </w:rPr>
        <w:t xml:space="preserve"> </w:t>
      </w:r>
      <w:r w:rsidRPr="007D14C1">
        <w:rPr>
          <w:rFonts w:ascii="Times New Roman" w:hAnsi="Times New Roman" w:cs="Times New Roman"/>
          <w:i/>
          <w:sz w:val="20"/>
          <w:szCs w:val="20"/>
        </w:rPr>
        <w:t>Gottes</w:t>
      </w:r>
      <w:r w:rsidRPr="007D14C1">
        <w:rPr>
          <w:rFonts w:ascii="Times New Roman" w:hAnsi="Times New Roman" w:cs="Times New Roman"/>
          <w:sz w:val="20"/>
          <w:szCs w:val="20"/>
        </w:rPr>
        <w:t xml:space="preserve">, ossia </w:t>
      </w:r>
      <w:r>
        <w:rPr>
          <w:rFonts w:ascii="Times New Roman" w:hAnsi="Times New Roman" w:cs="Times New Roman"/>
          <w:sz w:val="20"/>
          <w:szCs w:val="20"/>
        </w:rPr>
        <w:t xml:space="preserve">da </w:t>
      </w:r>
      <w:r w:rsidRPr="007D14C1">
        <w:rPr>
          <w:rFonts w:ascii="Times New Roman" w:hAnsi="Times New Roman" w:cs="Times New Roman"/>
          <w:sz w:val="20"/>
          <w:szCs w:val="20"/>
        </w:rPr>
        <w:t>una dinamica processuale</w:t>
      </w:r>
      <w:r w:rsidRPr="007D14C1">
        <w:rPr>
          <w:rFonts w:ascii="Times New Roman" w:hAnsi="Times New Roman" w:cs="Times New Roman"/>
          <w:i/>
          <w:sz w:val="20"/>
          <w:szCs w:val="20"/>
        </w:rPr>
        <w:t xml:space="preserve"> </w:t>
      </w:r>
      <w:r w:rsidRPr="007D14C1">
        <w:rPr>
          <w:rFonts w:ascii="Times New Roman" w:hAnsi="Times New Roman" w:cs="Times New Roman"/>
          <w:sz w:val="20"/>
          <w:szCs w:val="20"/>
        </w:rPr>
        <w:t>in</w:t>
      </w:r>
      <w:r>
        <w:rPr>
          <w:rFonts w:ascii="Times New Roman" w:hAnsi="Times New Roman" w:cs="Times New Roman"/>
          <w:sz w:val="20"/>
          <w:szCs w:val="20"/>
        </w:rPr>
        <w:t xml:space="preserve"> cui essi sono </w:t>
      </w:r>
      <w:r w:rsidRPr="007D14C1">
        <w:rPr>
          <w:rFonts w:ascii="Times New Roman" w:hAnsi="Times New Roman" w:cs="Times New Roman"/>
          <w:sz w:val="20"/>
          <w:szCs w:val="20"/>
        </w:rPr>
        <w:t xml:space="preserve">posti e riconciliati in virtù di uno sviluppo </w:t>
      </w:r>
      <w:r>
        <w:rPr>
          <w:rFonts w:ascii="Times New Roman" w:hAnsi="Times New Roman" w:cs="Times New Roman"/>
          <w:sz w:val="20"/>
          <w:szCs w:val="20"/>
        </w:rPr>
        <w:t xml:space="preserve">interno </w:t>
      </w:r>
      <w:r w:rsidRPr="007D14C1">
        <w:rPr>
          <w:rFonts w:ascii="Times New Roman" w:hAnsi="Times New Roman" w:cs="Times New Roman"/>
          <w:sz w:val="20"/>
          <w:szCs w:val="20"/>
        </w:rPr>
        <w:t>al Divino.</w:t>
      </w:r>
    </w:p>
  </w:footnote>
  <w:footnote w:id="152">
    <w:p w14:paraId="4151D983" w14:textId="77777777" w:rsidR="00B34CC2" w:rsidRPr="00C97760" w:rsidRDefault="00B34CC2" w:rsidP="00F721A9">
      <w:pPr>
        <w:pStyle w:val="Testonotaapidipagina"/>
        <w:jc w:val="both"/>
        <w:rPr>
          <w:rFonts w:ascii="Times New Roman" w:hAnsi="Times New Roman" w:cs="Times New Roman"/>
          <w:sz w:val="20"/>
          <w:szCs w:val="20"/>
        </w:rPr>
      </w:pPr>
      <w:r w:rsidRPr="00C97760">
        <w:rPr>
          <w:rStyle w:val="Rimandonotaapidipagina"/>
          <w:rFonts w:ascii="Times New Roman" w:hAnsi="Times New Roman" w:cs="Times New Roman"/>
          <w:sz w:val="20"/>
          <w:szCs w:val="20"/>
        </w:rPr>
        <w:footnoteRef/>
      </w:r>
      <w:r w:rsidRPr="00C97760">
        <w:rPr>
          <w:rFonts w:ascii="Times New Roman" w:hAnsi="Times New Roman" w:cs="Times New Roman"/>
          <w:sz w:val="20"/>
          <w:szCs w:val="20"/>
        </w:rPr>
        <w:t xml:space="preserve"> </w:t>
      </w:r>
      <w:r>
        <w:rPr>
          <w:rFonts w:ascii="Times New Roman" w:hAnsi="Times New Roman" w:cs="Times New Roman"/>
          <w:sz w:val="20"/>
          <w:szCs w:val="20"/>
        </w:rPr>
        <w:t>Ivi, pp. 497-498.</w:t>
      </w:r>
    </w:p>
  </w:footnote>
  <w:footnote w:id="153">
    <w:p w14:paraId="11EE8DB2" w14:textId="2230EEFF" w:rsidR="00B34CC2" w:rsidRPr="0097536A" w:rsidRDefault="00B34CC2" w:rsidP="00F721A9">
      <w:pPr>
        <w:pStyle w:val="Testonotaapidipagina"/>
        <w:jc w:val="both"/>
        <w:rPr>
          <w:rFonts w:ascii="Times New Roman" w:hAnsi="Times New Roman" w:cs="Times New Roman"/>
          <w:sz w:val="20"/>
          <w:szCs w:val="20"/>
        </w:rPr>
      </w:pPr>
      <w:r w:rsidRPr="0097536A">
        <w:rPr>
          <w:rStyle w:val="Rimandonotaapidipagina"/>
          <w:rFonts w:ascii="Times New Roman" w:hAnsi="Times New Roman" w:cs="Times New Roman"/>
          <w:sz w:val="20"/>
          <w:szCs w:val="20"/>
        </w:rPr>
        <w:footnoteRef/>
      </w:r>
      <w:r w:rsidRPr="0097536A">
        <w:rPr>
          <w:rFonts w:ascii="Times New Roman" w:hAnsi="Times New Roman" w:cs="Times New Roman"/>
          <w:sz w:val="20"/>
          <w:szCs w:val="20"/>
        </w:rPr>
        <w:t xml:space="preserve"> </w:t>
      </w:r>
      <w:r>
        <w:rPr>
          <w:rFonts w:ascii="Times New Roman" w:hAnsi="Times New Roman" w:cs="Times New Roman"/>
          <w:sz w:val="20"/>
          <w:szCs w:val="20"/>
        </w:rPr>
        <w:t xml:space="preserve">Che </w:t>
      </w:r>
      <w:r w:rsidRPr="00C83724">
        <w:rPr>
          <w:rFonts w:ascii="Times New Roman" w:hAnsi="Times New Roman" w:cs="Times New Roman"/>
          <w:sz w:val="20"/>
          <w:szCs w:val="20"/>
        </w:rPr>
        <w:t xml:space="preserve">la </w:t>
      </w:r>
      <w:r w:rsidRPr="00E73537">
        <w:rPr>
          <w:rFonts w:ascii="Times New Roman" w:hAnsi="Times New Roman" w:cs="Times New Roman"/>
          <w:i/>
          <w:sz w:val="20"/>
          <w:szCs w:val="20"/>
        </w:rPr>
        <w:t>P</w:t>
      </w:r>
      <w:r w:rsidRPr="00C83724">
        <w:rPr>
          <w:rFonts w:ascii="Times New Roman" w:eastAsia="Times New Roman" w:hAnsi="Times New Roman" w:cs="Times New Roman"/>
          <w:i/>
          <w:color w:val="000000"/>
          <w:sz w:val="20"/>
          <w:szCs w:val="20"/>
        </w:rPr>
        <w:t>unctualität</w:t>
      </w:r>
      <w:r w:rsidRPr="00C83724">
        <w:rPr>
          <w:rFonts w:ascii="Times New Roman" w:hAnsi="Times New Roman" w:cs="Times New Roman"/>
          <w:sz w:val="20"/>
          <w:szCs w:val="20"/>
        </w:rPr>
        <w:t>,</w:t>
      </w:r>
      <w:r>
        <w:rPr>
          <w:rFonts w:ascii="Times New Roman" w:hAnsi="Times New Roman" w:cs="Times New Roman"/>
          <w:sz w:val="20"/>
          <w:szCs w:val="20"/>
        </w:rPr>
        <w:t xml:space="preserve"> o il punto, risulti da un’attività contrattiva è attestato, ad esempio, dalla </w:t>
      </w:r>
      <w:r w:rsidRPr="00C83724">
        <w:rPr>
          <w:rFonts w:ascii="Times New Roman" w:hAnsi="Times New Roman" w:cs="Times New Roman"/>
          <w:i/>
          <w:sz w:val="20"/>
          <w:szCs w:val="20"/>
        </w:rPr>
        <w:t>Naturphilosophie</w:t>
      </w:r>
      <w:r>
        <w:rPr>
          <w:rFonts w:ascii="Times New Roman" w:hAnsi="Times New Roman" w:cs="Times New Roman"/>
          <w:sz w:val="20"/>
          <w:szCs w:val="20"/>
        </w:rPr>
        <w:t xml:space="preserve"> jenese: «Diese Kontraktion der Gediegenheit des Äthers ist das erste Moment des negativen Eins, des Punkts</w:t>
      </w:r>
      <w:r w:rsidRPr="00F11FEA">
        <w:rPr>
          <w:rFonts w:ascii="Times New Roman" w:eastAsia="Times New Roman" w:hAnsi="Times New Roman" w:cs="Times New Roman"/>
          <w:color w:val="000000"/>
          <w:sz w:val="20"/>
          <w:szCs w:val="20"/>
        </w:rPr>
        <w:t>»</w:t>
      </w:r>
      <w:r>
        <w:rPr>
          <w:rFonts w:ascii="Times New Roman" w:hAnsi="Times New Roman" w:cs="Times New Roman"/>
          <w:sz w:val="20"/>
          <w:szCs w:val="20"/>
        </w:rPr>
        <w:t xml:space="preserve"> (</w:t>
      </w:r>
      <w:r w:rsidRPr="004D6D8D">
        <w:rPr>
          <w:rFonts w:ascii="Times New Roman" w:hAnsi="Times New Roman" w:cs="Times New Roman"/>
          <w:i/>
          <w:sz w:val="20"/>
          <w:szCs w:val="20"/>
        </w:rPr>
        <w:t>JSE II</w:t>
      </w:r>
      <w:r>
        <w:rPr>
          <w:rFonts w:ascii="Times New Roman" w:hAnsi="Times New Roman" w:cs="Times New Roman"/>
          <w:sz w:val="20"/>
          <w:szCs w:val="20"/>
        </w:rPr>
        <w:t>, p. 191).</w:t>
      </w:r>
    </w:p>
  </w:footnote>
  <w:footnote w:id="154">
    <w:p w14:paraId="595B7CD0" w14:textId="3E4014D4" w:rsidR="00B34CC2" w:rsidRPr="00E055DB" w:rsidRDefault="00B34CC2" w:rsidP="00F721A9">
      <w:pPr>
        <w:pStyle w:val="Testonotaapidipagina"/>
        <w:jc w:val="both"/>
        <w:rPr>
          <w:rFonts w:ascii="Times New Roman" w:hAnsi="Times New Roman" w:cs="Times New Roman"/>
          <w:sz w:val="20"/>
          <w:szCs w:val="20"/>
        </w:rPr>
      </w:pPr>
      <w:r w:rsidRPr="007514B2">
        <w:rPr>
          <w:rStyle w:val="Rimandonotaapidipagina"/>
          <w:rFonts w:ascii="Times New Roman" w:hAnsi="Times New Roman" w:cs="Times New Roman"/>
          <w:sz w:val="20"/>
          <w:szCs w:val="20"/>
        </w:rPr>
        <w:footnoteRef/>
      </w:r>
      <w:r w:rsidRPr="007514B2">
        <w:rPr>
          <w:rFonts w:ascii="Times New Roman" w:hAnsi="Times New Roman" w:cs="Times New Roman"/>
          <w:sz w:val="20"/>
          <w:szCs w:val="20"/>
        </w:rPr>
        <w:t xml:space="preserve"> Sul fatto che tematiche cabba</w:t>
      </w:r>
      <w:r>
        <w:rPr>
          <w:rFonts w:ascii="Times New Roman" w:hAnsi="Times New Roman" w:cs="Times New Roman"/>
          <w:sz w:val="20"/>
          <w:szCs w:val="20"/>
        </w:rPr>
        <w:t>listiche rivivano nel pensiero</w:t>
      </w:r>
      <w:r w:rsidRPr="007514B2">
        <w:rPr>
          <w:rFonts w:ascii="Times New Roman" w:hAnsi="Times New Roman" w:cs="Times New Roman"/>
          <w:sz w:val="20"/>
          <w:szCs w:val="20"/>
        </w:rPr>
        <w:t xml:space="preserve"> di Böhme cfr. G. Scholem, </w:t>
      </w:r>
      <w:r w:rsidRPr="007514B2">
        <w:rPr>
          <w:rFonts w:ascii="Times New Roman" w:hAnsi="Times New Roman" w:cs="Times New Roman"/>
          <w:i/>
          <w:sz w:val="20"/>
          <w:szCs w:val="20"/>
        </w:rPr>
        <w:t>Die jüdische Mystik in ihren Hauptströmungen</w:t>
      </w:r>
      <w:r w:rsidRPr="007514B2">
        <w:rPr>
          <w:rFonts w:ascii="Times New Roman" w:hAnsi="Times New Roman" w:cs="Times New Roman"/>
          <w:sz w:val="20"/>
          <w:szCs w:val="20"/>
        </w:rPr>
        <w:t xml:space="preserve">, Suhrkamp, Frankfurt am Main 1980, pp. </w:t>
      </w:r>
      <w:r>
        <w:rPr>
          <w:rFonts w:ascii="Times New Roman" w:hAnsi="Times New Roman" w:cs="Times New Roman"/>
          <w:sz w:val="20"/>
          <w:szCs w:val="20"/>
        </w:rPr>
        <w:t xml:space="preserve">257-261 e G. Scholem, </w:t>
      </w:r>
      <w:r>
        <w:rPr>
          <w:rFonts w:ascii="Times New Roman" w:hAnsi="Times New Roman" w:cs="Times New Roman"/>
          <w:i/>
          <w:sz w:val="20"/>
          <w:szCs w:val="20"/>
        </w:rPr>
        <w:t>Ursprung und Anfänge der Kabbala</w:t>
      </w:r>
      <w:r>
        <w:rPr>
          <w:rFonts w:ascii="Times New Roman" w:hAnsi="Times New Roman" w:cs="Times New Roman"/>
          <w:sz w:val="20"/>
          <w:szCs w:val="20"/>
        </w:rPr>
        <w:t xml:space="preserve">, De Gruyter, Berlin 1962, p. 298 e p. 386. Di questo avviso anche L. T. I. Penman, </w:t>
      </w:r>
      <w:r>
        <w:rPr>
          <w:rFonts w:ascii="Times New Roman" w:hAnsi="Times New Roman" w:cs="Times New Roman"/>
          <w:i/>
          <w:sz w:val="20"/>
          <w:szCs w:val="20"/>
        </w:rPr>
        <w:t>Boehme’s Intellectual Networks and the Heterodox Milieu</w:t>
      </w:r>
      <w:r>
        <w:rPr>
          <w:rFonts w:ascii="Times New Roman" w:hAnsi="Times New Roman" w:cs="Times New Roman"/>
          <w:sz w:val="20"/>
          <w:szCs w:val="20"/>
        </w:rPr>
        <w:t xml:space="preserve">, in </w:t>
      </w:r>
      <w:r>
        <w:rPr>
          <w:rFonts w:ascii="Times New Roman" w:hAnsi="Times New Roman" w:cs="Times New Roman"/>
          <w:i/>
          <w:sz w:val="20"/>
          <w:szCs w:val="20"/>
        </w:rPr>
        <w:t>An Introduction to Jocob Boehme</w:t>
      </w:r>
      <w:r>
        <w:rPr>
          <w:rFonts w:ascii="Times New Roman" w:hAnsi="Times New Roman" w:cs="Times New Roman"/>
          <w:sz w:val="20"/>
          <w:szCs w:val="20"/>
        </w:rPr>
        <w:t>, cit., pp. 57-77 e</w:t>
      </w:r>
      <w:r>
        <w:rPr>
          <w:rFonts w:ascii="Times New Roman" w:hAnsi="Times New Roman" w:cs="Times New Roman"/>
          <w:i/>
          <w:sz w:val="20"/>
          <w:szCs w:val="20"/>
        </w:rPr>
        <w:t xml:space="preserve"> </w:t>
      </w:r>
      <w:r>
        <w:rPr>
          <w:rFonts w:ascii="Times New Roman" w:hAnsi="Times New Roman" w:cs="Times New Roman"/>
          <w:sz w:val="20"/>
          <w:szCs w:val="20"/>
        </w:rPr>
        <w:t xml:space="preserve">J. Schulitz, </w:t>
      </w:r>
      <w:r>
        <w:rPr>
          <w:rFonts w:ascii="Times New Roman" w:hAnsi="Times New Roman" w:cs="Times New Roman"/>
          <w:i/>
          <w:sz w:val="20"/>
          <w:szCs w:val="20"/>
        </w:rPr>
        <w:t>Jakob Böhme und die Kabbalah</w:t>
      </w:r>
      <w:r>
        <w:rPr>
          <w:rFonts w:ascii="Times New Roman" w:hAnsi="Times New Roman" w:cs="Times New Roman"/>
          <w:sz w:val="20"/>
          <w:szCs w:val="20"/>
        </w:rPr>
        <w:t xml:space="preserve">, Peter Lang, Frankfurt am Maim 1993. Anche Moshè Idel, declinando il tema sulla questione del male primordiale, ha indicato una continuità fra la Qabbalah e l’opera di Jakob Böhme. Cfr. M. Idel, </w:t>
      </w:r>
      <w:r>
        <w:rPr>
          <w:rFonts w:ascii="Times New Roman" w:hAnsi="Times New Roman" w:cs="Times New Roman"/>
          <w:i/>
          <w:sz w:val="20"/>
          <w:szCs w:val="20"/>
        </w:rPr>
        <w:t>Il male primordiale d</w:t>
      </w:r>
      <w:r w:rsidRPr="00E67D78">
        <w:rPr>
          <w:rFonts w:ascii="Times New Roman" w:hAnsi="Times New Roman" w:cs="Times New Roman"/>
          <w:i/>
          <w:sz w:val="20"/>
          <w:szCs w:val="20"/>
        </w:rPr>
        <w:t>ella Qabbalah</w:t>
      </w:r>
      <w:r>
        <w:rPr>
          <w:rFonts w:ascii="Times New Roman" w:hAnsi="Times New Roman" w:cs="Times New Roman"/>
          <w:sz w:val="20"/>
          <w:szCs w:val="20"/>
        </w:rPr>
        <w:t xml:space="preserve">, Adelphi, Milano 2016, pp. 115-119. Riguardo alla ricezione della Qabbalah nel romanticismo tedesco, in particolare nell’opera del secondo Schelling e di Franz Joseph Molitor, si veda C. Schulte, </w:t>
      </w:r>
      <w:r>
        <w:rPr>
          <w:rFonts w:ascii="Times New Roman" w:hAnsi="Times New Roman" w:cs="Times New Roman"/>
          <w:i/>
          <w:sz w:val="20"/>
          <w:szCs w:val="20"/>
        </w:rPr>
        <w:t xml:space="preserve">Zimzum bei </w:t>
      </w:r>
      <w:r w:rsidRPr="00095E5D">
        <w:rPr>
          <w:rFonts w:ascii="Times New Roman" w:hAnsi="Times New Roman" w:cs="Times New Roman"/>
          <w:i/>
          <w:sz w:val="20"/>
          <w:szCs w:val="20"/>
        </w:rPr>
        <w:t>Schelling</w:t>
      </w:r>
      <w:r>
        <w:rPr>
          <w:rFonts w:ascii="Times New Roman" w:hAnsi="Times New Roman" w:cs="Times New Roman"/>
          <w:sz w:val="20"/>
          <w:szCs w:val="20"/>
        </w:rPr>
        <w:t xml:space="preserve">, in </w:t>
      </w:r>
      <w:r>
        <w:rPr>
          <w:rFonts w:ascii="Times New Roman" w:hAnsi="Times New Roman" w:cs="Times New Roman"/>
          <w:i/>
          <w:sz w:val="20"/>
          <w:szCs w:val="20"/>
        </w:rPr>
        <w:t>Kabbala und Romantik</w:t>
      </w:r>
      <w:r>
        <w:rPr>
          <w:rFonts w:ascii="Times New Roman" w:hAnsi="Times New Roman" w:cs="Times New Roman"/>
          <w:sz w:val="20"/>
          <w:szCs w:val="20"/>
        </w:rPr>
        <w:t xml:space="preserve">, hrsg. von E. Goodman-Thau, G. Mattenklott und C. Schulte, Max Niemeyer Verlag, Tübingen 1994, pp. 97-119; </w:t>
      </w:r>
      <w:r w:rsidRPr="00095E5D">
        <w:rPr>
          <w:rFonts w:ascii="Times New Roman" w:hAnsi="Times New Roman" w:cs="Times New Roman"/>
          <w:sz w:val="20"/>
          <w:szCs w:val="20"/>
        </w:rPr>
        <w:t>C</w:t>
      </w:r>
      <w:r>
        <w:rPr>
          <w:rFonts w:ascii="Times New Roman" w:hAnsi="Times New Roman" w:cs="Times New Roman"/>
          <w:sz w:val="20"/>
          <w:szCs w:val="20"/>
        </w:rPr>
        <w:t xml:space="preserve">. Schulte, </w:t>
      </w:r>
      <w:r w:rsidRPr="007D311F">
        <w:rPr>
          <w:rFonts w:ascii="Times New Roman" w:hAnsi="Times New Roman" w:cs="Times New Roman"/>
          <w:i/>
          <w:sz w:val="20"/>
          <w:szCs w:val="20"/>
        </w:rPr>
        <w:t>Kabbala-Rezeption in der Deutschen Romantik</w:t>
      </w:r>
      <w:r>
        <w:rPr>
          <w:rFonts w:ascii="Times New Roman" w:hAnsi="Times New Roman" w:cs="Times New Roman"/>
          <w:sz w:val="20"/>
          <w:szCs w:val="20"/>
        </w:rPr>
        <w:t xml:space="preserve">, in </w:t>
      </w:r>
      <w:r>
        <w:rPr>
          <w:rFonts w:ascii="Times New Roman" w:hAnsi="Times New Roman" w:cs="Times New Roman"/>
          <w:i/>
          <w:sz w:val="20"/>
          <w:szCs w:val="20"/>
        </w:rPr>
        <w:t>Mysticism, Magic and Kabbalah in Ashkenazi Judaism</w:t>
      </w:r>
      <w:r>
        <w:rPr>
          <w:rFonts w:ascii="Times New Roman" w:hAnsi="Times New Roman" w:cs="Times New Roman"/>
          <w:sz w:val="20"/>
          <w:szCs w:val="20"/>
        </w:rPr>
        <w:t xml:space="preserve">, De Gruyter, Berlin/New York 1995, pp. 295-314. Sulla ricezione del concetto di </w:t>
      </w:r>
      <w:r w:rsidRPr="004A135B">
        <w:rPr>
          <w:rFonts w:ascii="Times New Roman" w:hAnsi="Times New Roman" w:cs="Times New Roman"/>
          <w:i/>
          <w:sz w:val="20"/>
          <w:szCs w:val="20"/>
        </w:rPr>
        <w:t>tzimtzum</w:t>
      </w:r>
      <w:r>
        <w:rPr>
          <w:rFonts w:ascii="Times New Roman" w:hAnsi="Times New Roman" w:cs="Times New Roman"/>
          <w:sz w:val="20"/>
          <w:szCs w:val="20"/>
        </w:rPr>
        <w:t xml:space="preserve"> – ossia la contrazione originaria del divino, il suo ritirarsi in sé stesso per lasciare uno spazio al proprio essere altro</w:t>
      </w:r>
      <w:r>
        <w:rPr>
          <w:rFonts w:ascii="Times New Roman" w:hAnsi="Times New Roman" w:cs="Times New Roman"/>
          <w:i/>
          <w:sz w:val="20"/>
          <w:szCs w:val="20"/>
        </w:rPr>
        <w:t xml:space="preserve"> </w:t>
      </w:r>
      <w:r>
        <w:rPr>
          <w:rFonts w:ascii="Times New Roman" w:hAnsi="Times New Roman" w:cs="Times New Roman"/>
          <w:sz w:val="20"/>
          <w:szCs w:val="20"/>
        </w:rPr>
        <w:t xml:space="preserve">– nella filosofia moderna e classica tedesca vedi C. Schulte, </w:t>
      </w:r>
      <w:r>
        <w:rPr>
          <w:rFonts w:ascii="Times New Roman" w:hAnsi="Times New Roman" w:cs="Times New Roman"/>
          <w:i/>
          <w:sz w:val="20"/>
          <w:szCs w:val="20"/>
        </w:rPr>
        <w:t>Zimzum</w:t>
      </w:r>
      <w:r>
        <w:rPr>
          <w:rFonts w:ascii="Times New Roman" w:hAnsi="Times New Roman" w:cs="Times New Roman"/>
          <w:sz w:val="20"/>
          <w:szCs w:val="20"/>
        </w:rPr>
        <w:t xml:space="preserve">, Suhrkamp, Frankfurt am Main 2014, pp. 141-341. </w:t>
      </w:r>
      <w:r w:rsidRPr="00A93A46">
        <w:rPr>
          <w:rFonts w:ascii="Times New Roman" w:hAnsi="Times New Roman" w:cs="Times New Roman"/>
          <w:sz w:val="20"/>
          <w:szCs w:val="20"/>
        </w:rPr>
        <w:t xml:space="preserve">Sull’utilizzo di questo concetto nella filosofia romantica della natura, vedi E. Benz, </w:t>
      </w:r>
      <w:r w:rsidRPr="00A93A46">
        <w:rPr>
          <w:rFonts w:ascii="Times New Roman" w:hAnsi="Times New Roman" w:cs="Times New Roman"/>
          <w:i/>
          <w:sz w:val="20"/>
          <w:szCs w:val="20"/>
        </w:rPr>
        <w:t>Les sources mystiques de la philosophie allemande</w:t>
      </w:r>
      <w:r w:rsidRPr="00A93A46">
        <w:rPr>
          <w:rFonts w:ascii="Times New Roman" w:hAnsi="Times New Roman" w:cs="Times New Roman"/>
          <w:sz w:val="20"/>
          <w:szCs w:val="20"/>
        </w:rPr>
        <w:t xml:space="preserve">, </w:t>
      </w:r>
      <w:r>
        <w:rPr>
          <w:rFonts w:ascii="Times New Roman" w:hAnsi="Times New Roman" w:cs="Times New Roman"/>
          <w:sz w:val="20"/>
          <w:szCs w:val="20"/>
        </w:rPr>
        <w:t>cit.</w:t>
      </w:r>
      <w:r w:rsidRPr="00A93A46">
        <w:rPr>
          <w:rFonts w:ascii="Times New Roman" w:hAnsi="Times New Roman" w:cs="Times New Roman"/>
          <w:sz w:val="20"/>
          <w:szCs w:val="20"/>
        </w:rPr>
        <w:t xml:space="preserve">, pp. 55-69. È curioso notare come Schulte e Benz non abbiano presente questo frammento del </w:t>
      </w:r>
      <w:r w:rsidRPr="00A93A46">
        <w:rPr>
          <w:rFonts w:ascii="Times New Roman" w:hAnsi="Times New Roman" w:cs="Times New Roman"/>
          <w:i/>
          <w:sz w:val="20"/>
          <w:szCs w:val="20"/>
        </w:rPr>
        <w:t xml:space="preserve">Wastebook </w:t>
      </w:r>
      <w:r w:rsidRPr="00A93A46">
        <w:rPr>
          <w:rFonts w:ascii="Times New Roman" w:hAnsi="Times New Roman" w:cs="Times New Roman"/>
          <w:sz w:val="20"/>
          <w:szCs w:val="20"/>
        </w:rPr>
        <w:t xml:space="preserve">hegeliano, che offre una rilettura della processualità dell’Assoluto a partire proprio dalla coppia categoriale cabalistica “contrazione-espansione” così in voga nella </w:t>
      </w:r>
      <w:r w:rsidRPr="00A93A46">
        <w:rPr>
          <w:rFonts w:ascii="Times New Roman" w:hAnsi="Times New Roman" w:cs="Times New Roman"/>
          <w:i/>
          <w:sz w:val="20"/>
          <w:szCs w:val="20"/>
        </w:rPr>
        <w:t>Naturphilosophie</w:t>
      </w:r>
      <w:r w:rsidRPr="00A93A46">
        <w:rPr>
          <w:rFonts w:ascii="Times New Roman" w:hAnsi="Times New Roman" w:cs="Times New Roman"/>
          <w:sz w:val="20"/>
          <w:szCs w:val="20"/>
        </w:rPr>
        <w:t xml:space="preserve"> del XIX secolo.</w:t>
      </w:r>
      <w:r>
        <w:rPr>
          <w:rFonts w:ascii="Times New Roman" w:hAnsi="Times New Roman" w:cs="Times New Roman"/>
          <w:sz w:val="20"/>
          <w:szCs w:val="20"/>
        </w:rPr>
        <w:t xml:space="preserve">  </w:t>
      </w:r>
    </w:p>
  </w:footnote>
  <w:footnote w:id="155">
    <w:p w14:paraId="25D01706" w14:textId="77777777" w:rsidR="00B34CC2" w:rsidRPr="004D6D8D" w:rsidRDefault="00B34CC2" w:rsidP="00F721A9">
      <w:pPr>
        <w:pStyle w:val="Testonotaapidipagina"/>
        <w:jc w:val="both"/>
        <w:rPr>
          <w:rFonts w:ascii="Times New Roman" w:hAnsi="Times New Roman" w:cs="Times New Roman"/>
          <w:sz w:val="20"/>
          <w:szCs w:val="20"/>
        </w:rPr>
      </w:pPr>
      <w:r w:rsidRPr="004D6D8D">
        <w:rPr>
          <w:rStyle w:val="Rimandonotaapidipagina"/>
          <w:rFonts w:ascii="Times New Roman" w:hAnsi="Times New Roman" w:cs="Times New Roman"/>
          <w:sz w:val="20"/>
          <w:szCs w:val="20"/>
        </w:rPr>
        <w:footnoteRef/>
      </w:r>
      <w:r w:rsidRPr="004D6D8D">
        <w:rPr>
          <w:rFonts w:ascii="Times New Roman" w:hAnsi="Times New Roman" w:cs="Times New Roman"/>
          <w:sz w:val="20"/>
          <w:szCs w:val="20"/>
        </w:rPr>
        <w:t xml:space="preserve"> </w:t>
      </w:r>
      <w:r w:rsidRPr="004D6D8D">
        <w:rPr>
          <w:rFonts w:ascii="Times New Roman" w:hAnsi="Times New Roman" w:cs="Times New Roman"/>
          <w:i/>
          <w:sz w:val="20"/>
          <w:szCs w:val="20"/>
        </w:rPr>
        <w:t>JSE II</w:t>
      </w:r>
      <w:r>
        <w:rPr>
          <w:rFonts w:ascii="Times New Roman" w:hAnsi="Times New Roman" w:cs="Times New Roman"/>
          <w:sz w:val="20"/>
          <w:szCs w:val="20"/>
        </w:rPr>
        <w:t>, p. 185.</w:t>
      </w:r>
    </w:p>
  </w:footnote>
  <w:footnote w:id="156">
    <w:p w14:paraId="555AF50D" w14:textId="0666FE83" w:rsidR="00B34CC2" w:rsidRPr="00030EAB" w:rsidRDefault="00B34CC2" w:rsidP="00F721A9">
      <w:pPr>
        <w:pStyle w:val="Testonotaapidipagina"/>
        <w:jc w:val="both"/>
        <w:rPr>
          <w:rFonts w:ascii="Times New Roman" w:hAnsi="Times New Roman" w:cs="Times New Roman"/>
          <w:sz w:val="20"/>
          <w:szCs w:val="20"/>
        </w:rPr>
      </w:pPr>
      <w:r w:rsidRPr="009101EC">
        <w:rPr>
          <w:rStyle w:val="Rimandonotaapidipagina"/>
          <w:rFonts w:ascii="Times New Roman" w:hAnsi="Times New Roman" w:cs="Times New Roman"/>
          <w:sz w:val="20"/>
          <w:szCs w:val="20"/>
        </w:rPr>
        <w:footnoteRef/>
      </w:r>
      <w:r w:rsidRPr="009101EC">
        <w:rPr>
          <w:rFonts w:ascii="Times New Roman" w:hAnsi="Times New Roman" w:cs="Times New Roman"/>
          <w:sz w:val="20"/>
          <w:szCs w:val="20"/>
        </w:rPr>
        <w:t xml:space="preserve"> J. B</w:t>
      </w:r>
      <w:r w:rsidRPr="009101EC">
        <w:rPr>
          <w:rFonts w:ascii="Times New Roman" w:eastAsia="Times New Roman" w:hAnsi="Times New Roman" w:cs="Times New Roman"/>
          <w:color w:val="000000"/>
          <w:sz w:val="20"/>
          <w:szCs w:val="20"/>
        </w:rPr>
        <w:t xml:space="preserve">öhme, </w:t>
      </w:r>
      <w:r w:rsidRPr="009101EC">
        <w:rPr>
          <w:rFonts w:ascii="Times New Roman" w:eastAsia="Times New Roman" w:hAnsi="Times New Roman" w:cs="Times New Roman"/>
          <w:i/>
          <w:color w:val="000000"/>
          <w:sz w:val="20"/>
          <w:szCs w:val="20"/>
        </w:rPr>
        <w:t>Questiones Theosophicae, oder Betrachtung Göttlicher Offenbarung</w:t>
      </w:r>
      <w:r w:rsidRPr="009101EC">
        <w:rPr>
          <w:rFonts w:ascii="Times New Roman" w:eastAsia="Times New Roman" w:hAnsi="Times New Roman" w:cs="Times New Roman"/>
          <w:color w:val="000000"/>
          <w:sz w:val="20"/>
          <w:szCs w:val="20"/>
        </w:rPr>
        <w:t xml:space="preserve">, in </w:t>
      </w:r>
      <w:r w:rsidRPr="009101EC">
        <w:rPr>
          <w:rFonts w:ascii="Times New Roman" w:eastAsia="Times New Roman" w:hAnsi="Times New Roman" w:cs="Times New Roman"/>
          <w:i/>
          <w:color w:val="000000"/>
          <w:sz w:val="20"/>
          <w:szCs w:val="20"/>
        </w:rPr>
        <w:t>Sämtliche Schriften</w:t>
      </w:r>
      <w:r w:rsidRPr="009101EC">
        <w:rPr>
          <w:rFonts w:ascii="Times New Roman" w:eastAsia="Times New Roman" w:hAnsi="Times New Roman" w:cs="Times New Roman"/>
          <w:color w:val="000000"/>
          <w:sz w:val="20"/>
          <w:szCs w:val="20"/>
        </w:rPr>
        <w:t>, Bd. XVIII, hrsg. von</w:t>
      </w:r>
      <w:r>
        <w:rPr>
          <w:rFonts w:ascii="Times New Roman" w:eastAsia="Times New Roman" w:hAnsi="Times New Roman" w:cs="Times New Roman"/>
          <w:color w:val="000000"/>
          <w:sz w:val="20"/>
          <w:szCs w:val="20"/>
        </w:rPr>
        <w:t xml:space="preserve"> W.-E. Peuckert, Fromman-Holzboog, Stuttgart 1956, p. 7.</w:t>
      </w:r>
    </w:p>
  </w:footnote>
  <w:footnote w:id="157">
    <w:p w14:paraId="7E0185E2" w14:textId="2887011E" w:rsidR="00B34CC2" w:rsidRPr="002A62FA" w:rsidRDefault="00B34CC2" w:rsidP="00F721A9">
      <w:pPr>
        <w:pStyle w:val="Testonotaapidipagina"/>
        <w:jc w:val="both"/>
        <w:rPr>
          <w:rFonts w:ascii="Times New Roman" w:hAnsi="Times New Roman" w:cs="Times New Roman"/>
          <w:sz w:val="20"/>
          <w:szCs w:val="20"/>
        </w:rPr>
      </w:pPr>
      <w:r w:rsidRPr="00B4050D">
        <w:rPr>
          <w:rStyle w:val="Rimandonotaapidipagina"/>
          <w:rFonts w:ascii="Times New Roman" w:hAnsi="Times New Roman" w:cs="Times New Roman"/>
          <w:sz w:val="20"/>
          <w:szCs w:val="20"/>
        </w:rPr>
        <w:footnoteRef/>
      </w:r>
      <w:r w:rsidRPr="00B4050D">
        <w:rPr>
          <w:rFonts w:ascii="Times New Roman" w:hAnsi="Times New Roman" w:cs="Times New Roman"/>
          <w:sz w:val="20"/>
          <w:szCs w:val="20"/>
        </w:rPr>
        <w:t xml:space="preserve"> </w:t>
      </w:r>
      <w:r>
        <w:rPr>
          <w:rFonts w:ascii="Times New Roman" w:hAnsi="Times New Roman" w:cs="Times New Roman"/>
          <w:sz w:val="20"/>
          <w:szCs w:val="20"/>
        </w:rPr>
        <w:t xml:space="preserve">Sul ricorrere di questa tematica in </w:t>
      </w:r>
      <w:r w:rsidRPr="00AA570C">
        <w:rPr>
          <w:rFonts w:ascii="Times New Roman" w:hAnsi="Times New Roman" w:cs="Times New Roman"/>
          <w:i/>
          <w:sz w:val="20"/>
          <w:szCs w:val="20"/>
        </w:rPr>
        <w:t>Mysterium Magnum</w:t>
      </w:r>
      <w:r>
        <w:rPr>
          <w:rFonts w:ascii="Times New Roman" w:hAnsi="Times New Roman" w:cs="Times New Roman"/>
          <w:sz w:val="20"/>
          <w:szCs w:val="20"/>
        </w:rPr>
        <w:t xml:space="preserve"> vedi </w:t>
      </w:r>
      <w:r w:rsidRPr="00972F00">
        <w:rPr>
          <w:rFonts w:ascii="Times New Roman" w:hAnsi="Times New Roman" w:cs="Times New Roman"/>
          <w:sz w:val="20"/>
          <w:szCs w:val="20"/>
        </w:rPr>
        <w:t>J</w:t>
      </w:r>
      <w:r>
        <w:rPr>
          <w:rFonts w:ascii="Times New Roman" w:hAnsi="Times New Roman" w:cs="Times New Roman"/>
          <w:sz w:val="20"/>
          <w:szCs w:val="20"/>
        </w:rPr>
        <w:t xml:space="preserve">. Schulitz, </w:t>
      </w:r>
      <w:r>
        <w:rPr>
          <w:rFonts w:ascii="Times New Roman" w:hAnsi="Times New Roman" w:cs="Times New Roman"/>
          <w:i/>
          <w:sz w:val="20"/>
          <w:szCs w:val="20"/>
        </w:rPr>
        <w:t>Jakob Böhme und die Kabbalah: eine vergleichende Werkanalyse</w:t>
      </w:r>
      <w:r>
        <w:rPr>
          <w:rFonts w:ascii="Times New Roman" w:hAnsi="Times New Roman" w:cs="Times New Roman"/>
          <w:sz w:val="20"/>
          <w:szCs w:val="20"/>
        </w:rPr>
        <w:t xml:space="preserve">, cit., p. 82; W. A. Schulze, </w:t>
      </w:r>
      <w:r>
        <w:rPr>
          <w:rFonts w:ascii="Times New Roman" w:hAnsi="Times New Roman" w:cs="Times New Roman"/>
          <w:i/>
          <w:sz w:val="20"/>
          <w:szCs w:val="20"/>
        </w:rPr>
        <w:t>Jakob</w:t>
      </w:r>
      <w:r w:rsidRPr="009E55D7">
        <w:rPr>
          <w:rFonts w:ascii="Times New Roman" w:hAnsi="Times New Roman" w:cs="Times New Roman"/>
          <w:i/>
          <w:sz w:val="20"/>
          <w:szCs w:val="20"/>
        </w:rPr>
        <w:t xml:space="preserve"> </w:t>
      </w:r>
      <w:r>
        <w:rPr>
          <w:rFonts w:ascii="Times New Roman" w:hAnsi="Times New Roman" w:cs="Times New Roman"/>
          <w:i/>
          <w:sz w:val="20"/>
          <w:szCs w:val="20"/>
        </w:rPr>
        <w:t>Böhme und die Kabbalah</w:t>
      </w:r>
      <w:r>
        <w:rPr>
          <w:rFonts w:ascii="Times New Roman" w:hAnsi="Times New Roman" w:cs="Times New Roman"/>
          <w:sz w:val="20"/>
          <w:szCs w:val="20"/>
        </w:rPr>
        <w:t>, in «Zeitschrift für philosophische Forschung</w:t>
      </w:r>
      <w:r w:rsidRPr="00F11FEA">
        <w:rPr>
          <w:rFonts w:ascii="Times New Roman" w:eastAsia="Times New Roman" w:hAnsi="Times New Roman" w:cs="Times New Roman"/>
          <w:color w:val="000000"/>
          <w:sz w:val="20"/>
          <w:szCs w:val="20"/>
        </w:rPr>
        <w:t>»</w:t>
      </w:r>
      <w:r>
        <w:rPr>
          <w:rFonts w:ascii="Times New Roman" w:eastAsia="Times New Roman" w:hAnsi="Times New Roman" w:cs="Times New Roman"/>
          <w:color w:val="000000"/>
          <w:sz w:val="20"/>
          <w:szCs w:val="20"/>
        </w:rPr>
        <w:t>, Bd. 9, Heft 3 (1955), pp. 447-460</w:t>
      </w:r>
      <w:r>
        <w:rPr>
          <w:rFonts w:ascii="Times New Roman" w:hAnsi="Times New Roman" w:cs="Times New Roman"/>
          <w:sz w:val="20"/>
          <w:szCs w:val="20"/>
        </w:rPr>
        <w:t xml:space="preserve">. Per una descrizione di questo concetto della Qabbalah lurianica cfr. M. Idel, </w:t>
      </w:r>
      <w:r>
        <w:rPr>
          <w:rFonts w:ascii="Times New Roman" w:hAnsi="Times New Roman" w:cs="Times New Roman"/>
          <w:i/>
          <w:sz w:val="20"/>
          <w:szCs w:val="20"/>
        </w:rPr>
        <w:t>Il male primordiale nella Qabbalah</w:t>
      </w:r>
      <w:r>
        <w:rPr>
          <w:rFonts w:ascii="Times New Roman" w:hAnsi="Times New Roman" w:cs="Times New Roman"/>
          <w:sz w:val="20"/>
          <w:szCs w:val="20"/>
        </w:rPr>
        <w:t>, cit., pp. 371-</w:t>
      </w:r>
      <w:r w:rsidRPr="009C14E9">
        <w:rPr>
          <w:rFonts w:ascii="Times New Roman" w:hAnsi="Times New Roman" w:cs="Times New Roman"/>
          <w:sz w:val="20"/>
          <w:szCs w:val="20"/>
        </w:rPr>
        <w:t xml:space="preserve">380; G. Scholem, </w:t>
      </w:r>
      <w:r w:rsidRPr="009C14E9">
        <w:rPr>
          <w:rFonts w:ascii="Times New Roman" w:hAnsi="Times New Roman" w:cs="Times New Roman"/>
          <w:i/>
          <w:sz w:val="20"/>
          <w:szCs w:val="20"/>
        </w:rPr>
        <w:t>Die jüdische Mystik in ihren Hauptströmungen</w:t>
      </w:r>
      <w:r w:rsidRPr="009C14E9">
        <w:rPr>
          <w:rFonts w:ascii="Times New Roman" w:hAnsi="Times New Roman" w:cs="Times New Roman"/>
          <w:sz w:val="20"/>
          <w:szCs w:val="20"/>
        </w:rPr>
        <w:t>, cit., pp. 267-314;</w:t>
      </w:r>
      <w:r>
        <w:rPr>
          <w:rFonts w:ascii="Times New Roman" w:hAnsi="Times New Roman" w:cs="Times New Roman"/>
          <w:sz w:val="20"/>
          <w:szCs w:val="20"/>
        </w:rPr>
        <w:t xml:space="preserve"> </w:t>
      </w:r>
      <w:r w:rsidRPr="009C14E9">
        <w:rPr>
          <w:rFonts w:ascii="Times New Roman" w:hAnsi="Times New Roman" w:cs="Times New Roman"/>
          <w:sz w:val="20"/>
          <w:szCs w:val="20"/>
        </w:rPr>
        <w:t xml:space="preserve">G. Scholem, </w:t>
      </w:r>
      <w:r w:rsidRPr="009C14E9">
        <w:rPr>
          <w:rFonts w:ascii="Times New Roman" w:hAnsi="Times New Roman" w:cs="Times New Roman"/>
          <w:i/>
          <w:sz w:val="20"/>
          <w:szCs w:val="20"/>
        </w:rPr>
        <w:t>Kabbalah,</w:t>
      </w:r>
      <w:r w:rsidRPr="009C14E9">
        <w:rPr>
          <w:rFonts w:ascii="Times New Roman" w:hAnsi="Times New Roman" w:cs="Times New Roman"/>
          <w:sz w:val="20"/>
          <w:szCs w:val="20"/>
        </w:rPr>
        <w:t xml:space="preserve"> Keter Publishing House, Jerusalem 1974, pp. 132-148.</w:t>
      </w:r>
      <w:r w:rsidRPr="00796202">
        <w:rPr>
          <w:rFonts w:ascii="Times New Roman" w:hAnsi="Times New Roman" w:cs="Times New Roman"/>
          <w:sz w:val="20"/>
          <w:szCs w:val="20"/>
        </w:rPr>
        <w:t xml:space="preserve"> </w:t>
      </w:r>
    </w:p>
  </w:footnote>
  <w:footnote w:id="158">
    <w:p w14:paraId="7DC890F1" w14:textId="5D151B3B" w:rsidR="00B34CC2" w:rsidRPr="00030EAB" w:rsidRDefault="00B34CC2" w:rsidP="00F721A9">
      <w:pPr>
        <w:pStyle w:val="Testonotaapidipagina"/>
        <w:jc w:val="both"/>
        <w:rPr>
          <w:rFonts w:ascii="Times New Roman" w:hAnsi="Times New Roman" w:cs="Times New Roman"/>
          <w:sz w:val="20"/>
          <w:szCs w:val="20"/>
        </w:rPr>
      </w:pPr>
      <w:r w:rsidRPr="00030EAB">
        <w:rPr>
          <w:rStyle w:val="Rimandonotaapidipagina"/>
          <w:rFonts w:ascii="Times New Roman" w:hAnsi="Times New Roman" w:cs="Times New Roman"/>
          <w:sz w:val="20"/>
          <w:szCs w:val="20"/>
        </w:rPr>
        <w:footnoteRef/>
      </w:r>
      <w:r w:rsidRPr="00030EAB">
        <w:rPr>
          <w:rFonts w:ascii="Times New Roman" w:hAnsi="Times New Roman" w:cs="Times New Roman"/>
          <w:sz w:val="20"/>
          <w:szCs w:val="20"/>
        </w:rPr>
        <w:t xml:space="preserve"> </w:t>
      </w:r>
      <w:r w:rsidRPr="00F4050F">
        <w:rPr>
          <w:rFonts w:ascii="Times New Roman" w:hAnsi="Times New Roman" w:cs="Times New Roman"/>
          <w:sz w:val="20"/>
          <w:szCs w:val="20"/>
        </w:rPr>
        <w:t>J. B</w:t>
      </w:r>
      <w:r w:rsidRPr="00F4050F">
        <w:rPr>
          <w:rFonts w:ascii="Times New Roman" w:eastAsia="Times New Roman" w:hAnsi="Times New Roman" w:cs="Times New Roman"/>
          <w:color w:val="000000"/>
          <w:sz w:val="20"/>
          <w:szCs w:val="20"/>
        </w:rPr>
        <w:t>öhme</w:t>
      </w:r>
      <w:r>
        <w:rPr>
          <w:rFonts w:ascii="Times New Roman" w:eastAsia="Times New Roman" w:hAnsi="Times New Roman" w:cs="Times New Roman"/>
          <w:color w:val="000000"/>
          <w:sz w:val="20"/>
          <w:szCs w:val="20"/>
        </w:rPr>
        <w:t xml:space="preserve">, </w:t>
      </w:r>
      <w:r w:rsidRPr="00030EAB">
        <w:rPr>
          <w:rFonts w:ascii="Times New Roman" w:eastAsia="Times New Roman" w:hAnsi="Times New Roman" w:cs="Times New Roman"/>
          <w:i/>
          <w:color w:val="000000"/>
          <w:sz w:val="20"/>
          <w:szCs w:val="20"/>
        </w:rPr>
        <w:t>Questiones Theosophicae</w:t>
      </w:r>
      <w:r>
        <w:rPr>
          <w:rFonts w:ascii="Times New Roman" w:hAnsi="Times New Roman" w:cs="Times New Roman"/>
          <w:sz w:val="20"/>
          <w:szCs w:val="20"/>
        </w:rPr>
        <w:t>, cit., p. 27.</w:t>
      </w:r>
    </w:p>
  </w:footnote>
  <w:footnote w:id="159">
    <w:p w14:paraId="431A3F44" w14:textId="03005A8C" w:rsidR="00B34CC2" w:rsidRPr="002C0971" w:rsidRDefault="00B34CC2" w:rsidP="00F721A9">
      <w:pPr>
        <w:pStyle w:val="Testonotaapidipagina"/>
        <w:jc w:val="both"/>
        <w:rPr>
          <w:rFonts w:ascii="Times New Roman" w:hAnsi="Times New Roman" w:cs="Times New Roman"/>
          <w:sz w:val="20"/>
          <w:szCs w:val="20"/>
        </w:rPr>
      </w:pPr>
      <w:r w:rsidRPr="002C0971">
        <w:rPr>
          <w:rStyle w:val="Rimandonotaapidipagina"/>
          <w:rFonts w:ascii="Times New Roman" w:hAnsi="Times New Roman" w:cs="Times New Roman"/>
          <w:sz w:val="20"/>
          <w:szCs w:val="20"/>
        </w:rPr>
        <w:footnoteRef/>
      </w:r>
      <w:r w:rsidRPr="002C0971">
        <w:rPr>
          <w:rFonts w:ascii="Times New Roman" w:hAnsi="Times New Roman" w:cs="Times New Roman"/>
          <w:sz w:val="20"/>
          <w:szCs w:val="20"/>
        </w:rPr>
        <w:t xml:space="preserve"> </w:t>
      </w:r>
      <w:r>
        <w:rPr>
          <w:rFonts w:ascii="Times New Roman" w:hAnsi="Times New Roman" w:cs="Times New Roman"/>
          <w:sz w:val="20"/>
          <w:szCs w:val="20"/>
        </w:rPr>
        <w:t xml:space="preserve">Riguardo alla compresenza di </w:t>
      </w:r>
      <w:r w:rsidRPr="00680CB7">
        <w:rPr>
          <w:rFonts w:ascii="Times New Roman" w:hAnsi="Times New Roman" w:cs="Times New Roman"/>
          <w:sz w:val="20"/>
          <w:szCs w:val="20"/>
        </w:rPr>
        <w:t xml:space="preserve">contrazione – la puntualità – </w:t>
      </w:r>
      <w:r>
        <w:rPr>
          <w:rFonts w:ascii="Times New Roman" w:hAnsi="Times New Roman" w:cs="Times New Roman"/>
          <w:sz w:val="20"/>
          <w:szCs w:val="20"/>
        </w:rPr>
        <w:t>ed espansione</w:t>
      </w:r>
      <w:r w:rsidRPr="00680CB7">
        <w:rPr>
          <w:rFonts w:ascii="Times New Roman" w:hAnsi="Times New Roman" w:cs="Times New Roman"/>
          <w:sz w:val="20"/>
          <w:szCs w:val="20"/>
        </w:rPr>
        <w:t xml:space="preserve">, si vedano le </w:t>
      </w:r>
      <w:r w:rsidRPr="00680CB7">
        <w:rPr>
          <w:rFonts w:ascii="Times New Roman" w:hAnsi="Times New Roman" w:cs="Times New Roman"/>
          <w:i/>
          <w:sz w:val="20"/>
          <w:szCs w:val="20"/>
        </w:rPr>
        <w:t>Stuttgarter Privatvorlesungen</w:t>
      </w:r>
      <w:r w:rsidRPr="00680CB7">
        <w:rPr>
          <w:rFonts w:ascii="Times New Roman" w:hAnsi="Times New Roman" w:cs="Times New Roman"/>
          <w:sz w:val="20"/>
          <w:szCs w:val="20"/>
        </w:rPr>
        <w:t xml:space="preserve"> di Schelling, che possono essere utilizzate per </w:t>
      </w:r>
      <w:r>
        <w:rPr>
          <w:rFonts w:ascii="Times New Roman" w:hAnsi="Times New Roman" w:cs="Times New Roman"/>
          <w:sz w:val="20"/>
          <w:szCs w:val="20"/>
        </w:rPr>
        <w:t xml:space="preserve">comprendere più a fondo questo passaggio del </w:t>
      </w:r>
      <w:r w:rsidRPr="00680CB7">
        <w:rPr>
          <w:rFonts w:ascii="Times New Roman" w:hAnsi="Times New Roman" w:cs="Times New Roman"/>
          <w:i/>
          <w:sz w:val="20"/>
          <w:szCs w:val="20"/>
        </w:rPr>
        <w:t>Fragment 49</w:t>
      </w:r>
      <w:r w:rsidRPr="00680CB7">
        <w:rPr>
          <w:rFonts w:ascii="Times New Roman" w:hAnsi="Times New Roman" w:cs="Times New Roman"/>
          <w:sz w:val="20"/>
          <w:szCs w:val="20"/>
        </w:rPr>
        <w:t xml:space="preserve">. </w:t>
      </w:r>
      <w:r w:rsidRPr="008E2897">
        <w:rPr>
          <w:rFonts w:ascii="Times New Roman" w:hAnsi="Times New Roman" w:cs="Times New Roman"/>
          <w:sz w:val="20"/>
          <w:szCs w:val="20"/>
        </w:rPr>
        <w:t xml:space="preserve">Cfr. F.W.J. Schelling, </w:t>
      </w:r>
      <w:r w:rsidRPr="008E2897">
        <w:rPr>
          <w:rFonts w:ascii="Times New Roman" w:hAnsi="Times New Roman" w:cs="Times New Roman"/>
          <w:i/>
          <w:sz w:val="20"/>
          <w:szCs w:val="20"/>
        </w:rPr>
        <w:t>Stuttgarter Privatvorlesungen</w:t>
      </w:r>
      <w:r w:rsidRPr="008E2897">
        <w:rPr>
          <w:rFonts w:ascii="Times New Roman" w:hAnsi="Times New Roman" w:cs="Times New Roman"/>
          <w:sz w:val="20"/>
          <w:szCs w:val="20"/>
        </w:rPr>
        <w:t>, in</w:t>
      </w:r>
      <w:r w:rsidRPr="008E2897">
        <w:rPr>
          <w:rFonts w:ascii="Times New Roman" w:hAnsi="Times New Roman" w:cs="Times New Roman"/>
          <w:i/>
          <w:sz w:val="20"/>
          <w:szCs w:val="20"/>
        </w:rPr>
        <w:t xml:space="preserve"> Schellings Werke</w:t>
      </w:r>
      <w:r w:rsidRPr="008E2897">
        <w:rPr>
          <w:rFonts w:ascii="Times New Roman" w:hAnsi="Times New Roman" w:cs="Times New Roman"/>
          <w:sz w:val="20"/>
          <w:szCs w:val="20"/>
        </w:rPr>
        <w:t>, hrsg. von M. Schröder, C. Beck Verlag, München 1971, p</w:t>
      </w:r>
      <w:r>
        <w:rPr>
          <w:rFonts w:ascii="Times New Roman" w:hAnsi="Times New Roman" w:cs="Times New Roman"/>
          <w:sz w:val="20"/>
          <w:szCs w:val="20"/>
        </w:rPr>
        <w:t>p</w:t>
      </w:r>
      <w:r w:rsidRPr="008E2897">
        <w:rPr>
          <w:rFonts w:ascii="Times New Roman" w:hAnsi="Times New Roman" w:cs="Times New Roman"/>
          <w:sz w:val="20"/>
          <w:szCs w:val="20"/>
        </w:rPr>
        <w:t xml:space="preserve">. </w:t>
      </w:r>
      <w:r>
        <w:rPr>
          <w:rFonts w:ascii="Times New Roman" w:hAnsi="Times New Roman" w:cs="Times New Roman"/>
          <w:sz w:val="20"/>
          <w:szCs w:val="20"/>
        </w:rPr>
        <w:t>321-331</w:t>
      </w:r>
      <w:r w:rsidRPr="008E2897">
        <w:rPr>
          <w:rFonts w:ascii="Times New Roman" w:hAnsi="Times New Roman" w:cs="Times New Roman"/>
          <w:sz w:val="20"/>
          <w:szCs w:val="20"/>
        </w:rPr>
        <w:t xml:space="preserve">: </w:t>
      </w:r>
      <w:r w:rsidRPr="006A00F7">
        <w:rPr>
          <w:rFonts w:ascii="Times New Roman" w:hAnsi="Times New Roman" w:cs="Times New Roman"/>
          <w:sz w:val="20"/>
          <w:szCs w:val="20"/>
        </w:rPr>
        <w:t xml:space="preserve">«In der Kraft sich einzuschließen liegt die eigentliche Originalität, die Wurzelkraft. In A=B ist eben B selbst das contrahierende Princip, und wenn Gott sich  die erste Potenz einschränkt, so ist es um so mehr Contraktion zu nennen. Contraktion </w:t>
      </w:r>
      <w:r w:rsidRPr="000302B7">
        <w:rPr>
          <w:rFonts w:ascii="Times New Roman" w:hAnsi="Times New Roman" w:cs="Times New Roman"/>
          <w:sz w:val="20"/>
          <w:szCs w:val="20"/>
        </w:rPr>
        <w:t>aber ist der Anfang aller Realität […] Die bloße Liebe für sich selbst aber könnte nicht seyn, nicht subsistiren, denn eben weil sie ihrer Natur nach expansiv, unendlich mittheilsam ist, so würde sie zerfließen, wenn nicht eine contraktive Urkraft in ihr wäre. So wenig der Mensch aus bloßer Liebe bestehen kann, so wenig Gott. Ist eine Liebe in Gott, so auch ein Zorn, und dieser Zorn oder die Eigenkraft in Gott ist, was der Liebe Halt, Grund und Verstand gibt</w:t>
      </w:r>
      <w:r w:rsidRPr="000302B7">
        <w:rPr>
          <w:rFonts w:ascii="Times New Roman" w:eastAsia="Times New Roman" w:hAnsi="Times New Roman" w:cs="Times New Roman"/>
          <w:color w:val="000000"/>
          <w:sz w:val="20"/>
          <w:szCs w:val="20"/>
        </w:rPr>
        <w:t xml:space="preserve">». Sulla funzione svolta dalle </w:t>
      </w:r>
      <w:r w:rsidRPr="000302B7">
        <w:rPr>
          <w:rFonts w:ascii="Times New Roman" w:eastAsia="Times New Roman" w:hAnsi="Times New Roman" w:cs="Times New Roman"/>
          <w:i/>
          <w:color w:val="000000"/>
          <w:sz w:val="20"/>
          <w:szCs w:val="20"/>
        </w:rPr>
        <w:t>Privatvorlesungen</w:t>
      </w:r>
      <w:r w:rsidRPr="000302B7">
        <w:rPr>
          <w:rFonts w:ascii="Times New Roman" w:eastAsia="Times New Roman" w:hAnsi="Times New Roman" w:cs="Times New Roman"/>
          <w:color w:val="000000"/>
          <w:sz w:val="20"/>
          <w:szCs w:val="20"/>
        </w:rPr>
        <w:t xml:space="preserve"> nella </w:t>
      </w:r>
      <w:r w:rsidRPr="000302B7">
        <w:rPr>
          <w:rFonts w:ascii="Times New Roman" w:eastAsia="Times New Roman" w:hAnsi="Times New Roman" w:cs="Times New Roman"/>
          <w:i/>
          <w:color w:val="000000"/>
          <w:sz w:val="20"/>
          <w:szCs w:val="20"/>
        </w:rPr>
        <w:t>Denkentwicklung</w:t>
      </w:r>
      <w:r>
        <w:rPr>
          <w:rFonts w:ascii="Times New Roman" w:eastAsia="Times New Roman" w:hAnsi="Times New Roman" w:cs="Times New Roman"/>
          <w:color w:val="000000"/>
          <w:sz w:val="20"/>
          <w:szCs w:val="20"/>
        </w:rPr>
        <w:t xml:space="preserve"> schellinghiana cfr. M. Vetö, </w:t>
      </w:r>
      <w:r w:rsidRPr="00C53EA8">
        <w:rPr>
          <w:rFonts w:ascii="Times New Roman" w:eastAsia="Times New Roman" w:hAnsi="Times New Roman" w:cs="Times New Roman"/>
          <w:i/>
          <w:color w:val="000000"/>
          <w:sz w:val="20"/>
          <w:szCs w:val="20"/>
        </w:rPr>
        <w:t xml:space="preserve">Ontologie, Anthropologie, Théologie dans les </w:t>
      </w:r>
      <w:r w:rsidRPr="00C53EA8">
        <w:rPr>
          <w:rFonts w:ascii="Times New Roman" w:eastAsia="Times New Roman" w:hAnsi="Times New Roman" w:cs="Times New Roman"/>
          <w:color w:val="000000"/>
          <w:sz w:val="20"/>
          <w:szCs w:val="20"/>
        </w:rPr>
        <w:t>“Conférences de Stuttgart”</w:t>
      </w:r>
      <w:r w:rsidRPr="00C53EA8">
        <w:rPr>
          <w:rFonts w:ascii="Times New Roman" w:eastAsia="Times New Roman" w:hAnsi="Times New Roman" w:cs="Times New Roman"/>
          <w:i/>
          <w:color w:val="000000"/>
          <w:sz w:val="20"/>
          <w:szCs w:val="20"/>
        </w:rPr>
        <w:t xml:space="preserve"> de Schelling</w:t>
      </w:r>
      <w:r>
        <w:rPr>
          <w:rFonts w:ascii="Times New Roman" w:eastAsia="Times New Roman" w:hAnsi="Times New Roman" w:cs="Times New Roman"/>
          <w:color w:val="000000"/>
          <w:sz w:val="20"/>
          <w:szCs w:val="20"/>
        </w:rPr>
        <w:t xml:space="preserve">, in «Revue Philosophique de la France et de </w:t>
      </w:r>
      <w:r w:rsidRPr="00C53EA8">
        <w:rPr>
          <w:rFonts w:ascii="Times New Roman" w:eastAsia="Times New Roman" w:hAnsi="Times New Roman" w:cs="Times New Roman"/>
          <w:color w:val="000000"/>
          <w:sz w:val="20"/>
          <w:szCs w:val="20"/>
        </w:rPr>
        <w:t>l’Étranger»</w:t>
      </w:r>
      <w:r>
        <w:rPr>
          <w:rFonts w:ascii="Times New Roman" w:eastAsia="Times New Roman" w:hAnsi="Times New Roman" w:cs="Times New Roman"/>
          <w:color w:val="000000"/>
          <w:sz w:val="20"/>
          <w:szCs w:val="20"/>
        </w:rPr>
        <w:t xml:space="preserve">, No. 4 (2014), pp. 451-476. Sull’importanza dell’idea di contrazione, o del concetto cabalistico dello </w:t>
      </w:r>
      <w:r w:rsidRPr="0012708B">
        <w:rPr>
          <w:rFonts w:ascii="Times New Roman" w:eastAsia="Times New Roman" w:hAnsi="Times New Roman" w:cs="Times New Roman"/>
          <w:i/>
          <w:color w:val="000000"/>
          <w:sz w:val="20"/>
          <w:szCs w:val="20"/>
        </w:rPr>
        <w:t>tzimtzum</w:t>
      </w:r>
      <w:r>
        <w:rPr>
          <w:rFonts w:ascii="Times New Roman" w:eastAsia="Times New Roman" w:hAnsi="Times New Roman" w:cs="Times New Roman"/>
          <w:color w:val="000000"/>
          <w:sz w:val="20"/>
          <w:szCs w:val="20"/>
        </w:rPr>
        <w:t xml:space="preserve">, nella formulazione schellinghiana di una filosofia della storia, vedi </w:t>
      </w:r>
      <w:r w:rsidRPr="00443429">
        <w:rPr>
          <w:rFonts w:ascii="Times New Roman" w:eastAsia="Times New Roman" w:hAnsi="Times New Roman" w:cs="Times New Roman"/>
          <w:color w:val="000000"/>
          <w:sz w:val="20"/>
          <w:szCs w:val="20"/>
        </w:rPr>
        <w:t xml:space="preserve">J. Habermas, </w:t>
      </w:r>
      <w:r w:rsidRPr="00443429">
        <w:rPr>
          <w:rFonts w:ascii="Times New Roman" w:eastAsia="Times New Roman" w:hAnsi="Times New Roman" w:cs="Times New Roman"/>
          <w:i/>
          <w:color w:val="000000"/>
          <w:sz w:val="20"/>
          <w:szCs w:val="20"/>
        </w:rPr>
        <w:t>Dialektischer</w:t>
      </w:r>
      <w:r>
        <w:rPr>
          <w:rFonts w:ascii="Times New Roman" w:eastAsia="Times New Roman" w:hAnsi="Times New Roman" w:cs="Times New Roman"/>
          <w:i/>
          <w:color w:val="000000"/>
          <w:sz w:val="20"/>
          <w:szCs w:val="20"/>
        </w:rPr>
        <w:t xml:space="preserve"> Idealismus im Übergang zum Materialismus – Geschichtsphilosophische Folgerungen aus Schellings Idee einer Contraction Gottes</w:t>
      </w:r>
      <w:r>
        <w:rPr>
          <w:rFonts w:ascii="Times New Roman" w:eastAsia="Times New Roman" w:hAnsi="Times New Roman" w:cs="Times New Roman"/>
          <w:color w:val="000000"/>
          <w:sz w:val="20"/>
          <w:szCs w:val="20"/>
        </w:rPr>
        <w:t xml:space="preserve">, in </w:t>
      </w:r>
      <w:r>
        <w:rPr>
          <w:rFonts w:ascii="Times New Roman" w:eastAsia="Times New Roman" w:hAnsi="Times New Roman" w:cs="Times New Roman"/>
          <w:i/>
          <w:color w:val="000000"/>
          <w:sz w:val="20"/>
          <w:szCs w:val="20"/>
        </w:rPr>
        <w:t>Theorie und Praxis. Sozialphilosophische Studien</w:t>
      </w:r>
      <w:r>
        <w:rPr>
          <w:rFonts w:ascii="Times New Roman" w:eastAsia="Times New Roman" w:hAnsi="Times New Roman" w:cs="Times New Roman"/>
          <w:color w:val="000000"/>
          <w:sz w:val="20"/>
          <w:szCs w:val="20"/>
        </w:rPr>
        <w:t>, Suhrkamp, Frankfurt am Main 1978, pp. 172-228</w:t>
      </w:r>
      <w:r>
        <w:rPr>
          <w:rFonts w:ascii="Times New Roman" w:hAnsi="Times New Roman" w:cs="Times New Roman"/>
          <w:sz w:val="20"/>
          <w:szCs w:val="20"/>
        </w:rPr>
        <w:t>.</w:t>
      </w:r>
    </w:p>
  </w:footnote>
  <w:footnote w:id="160">
    <w:p w14:paraId="66001BD0" w14:textId="3A90B5C1" w:rsidR="00B34CC2" w:rsidRPr="006676CF" w:rsidRDefault="00B34CC2" w:rsidP="00F721A9">
      <w:pPr>
        <w:pStyle w:val="Testonotaapidipagina"/>
        <w:jc w:val="both"/>
        <w:rPr>
          <w:rFonts w:ascii="Times New Roman" w:hAnsi="Times New Roman" w:cs="Times New Roman"/>
          <w:sz w:val="20"/>
          <w:szCs w:val="20"/>
        </w:rPr>
      </w:pPr>
      <w:r w:rsidRPr="006676CF">
        <w:rPr>
          <w:rStyle w:val="Rimandonotaapidipagina"/>
          <w:rFonts w:ascii="Times New Roman" w:hAnsi="Times New Roman" w:cs="Times New Roman"/>
          <w:sz w:val="20"/>
          <w:szCs w:val="20"/>
        </w:rPr>
        <w:footnoteRef/>
      </w:r>
      <w:r w:rsidRPr="006676CF">
        <w:rPr>
          <w:rFonts w:ascii="Times New Roman" w:hAnsi="Times New Roman" w:cs="Times New Roman"/>
          <w:sz w:val="20"/>
          <w:szCs w:val="20"/>
        </w:rPr>
        <w:t xml:space="preserve"> </w:t>
      </w:r>
      <w:r w:rsidRPr="00F4050F">
        <w:rPr>
          <w:rFonts w:ascii="Times New Roman" w:hAnsi="Times New Roman" w:cs="Times New Roman"/>
          <w:sz w:val="20"/>
          <w:szCs w:val="20"/>
        </w:rPr>
        <w:t>J. B</w:t>
      </w:r>
      <w:r w:rsidRPr="00F4050F">
        <w:rPr>
          <w:rFonts w:ascii="Times New Roman" w:eastAsia="Times New Roman" w:hAnsi="Times New Roman" w:cs="Times New Roman"/>
          <w:color w:val="000000"/>
          <w:sz w:val="20"/>
          <w:szCs w:val="20"/>
        </w:rPr>
        <w:t>öhme</w:t>
      </w:r>
      <w:r>
        <w:rPr>
          <w:rFonts w:ascii="Times New Roman" w:eastAsia="Times New Roman" w:hAnsi="Times New Roman" w:cs="Times New Roman"/>
          <w:color w:val="000000"/>
          <w:sz w:val="20"/>
          <w:szCs w:val="20"/>
        </w:rPr>
        <w:t xml:space="preserve">, </w:t>
      </w:r>
      <w:r w:rsidRPr="00030EAB">
        <w:rPr>
          <w:rFonts w:ascii="Times New Roman" w:eastAsia="Times New Roman" w:hAnsi="Times New Roman" w:cs="Times New Roman"/>
          <w:i/>
          <w:color w:val="000000"/>
          <w:sz w:val="20"/>
          <w:szCs w:val="20"/>
        </w:rPr>
        <w:t xml:space="preserve">Questiones Theosophicae, </w:t>
      </w:r>
      <w:r>
        <w:rPr>
          <w:rFonts w:ascii="Times New Roman" w:hAnsi="Times New Roman" w:cs="Times New Roman"/>
          <w:sz w:val="20"/>
          <w:szCs w:val="20"/>
        </w:rPr>
        <w:t>cit., p. 20.</w:t>
      </w:r>
    </w:p>
  </w:footnote>
  <w:footnote w:id="161">
    <w:p w14:paraId="3A094378" w14:textId="3D9978E5" w:rsidR="00B34CC2" w:rsidRPr="008A56F9" w:rsidRDefault="00B34CC2" w:rsidP="00F721A9">
      <w:pPr>
        <w:pStyle w:val="Testonotaapidipagina"/>
        <w:jc w:val="both"/>
        <w:rPr>
          <w:rFonts w:ascii="Times New Roman" w:hAnsi="Times New Roman" w:cs="Times New Roman"/>
          <w:sz w:val="20"/>
          <w:szCs w:val="20"/>
        </w:rPr>
      </w:pPr>
      <w:r w:rsidRPr="008A56F9">
        <w:rPr>
          <w:rStyle w:val="Rimandonotaapidipagina"/>
          <w:rFonts w:ascii="Times New Roman" w:hAnsi="Times New Roman" w:cs="Times New Roman"/>
          <w:sz w:val="20"/>
          <w:szCs w:val="20"/>
        </w:rPr>
        <w:footnoteRef/>
      </w:r>
      <w:r w:rsidRPr="008A56F9">
        <w:rPr>
          <w:rFonts w:ascii="Times New Roman" w:hAnsi="Times New Roman" w:cs="Times New Roman"/>
          <w:sz w:val="20"/>
          <w:szCs w:val="20"/>
        </w:rPr>
        <w:t xml:space="preserve"> </w:t>
      </w:r>
      <w:r w:rsidRPr="008A56F9">
        <w:rPr>
          <w:rFonts w:ascii="Times New Roman" w:hAnsi="Times New Roman" w:cs="Times New Roman"/>
          <w:i/>
          <w:sz w:val="20"/>
          <w:szCs w:val="20"/>
        </w:rPr>
        <w:t>Ivi</w:t>
      </w:r>
      <w:r w:rsidRPr="008A56F9">
        <w:rPr>
          <w:rFonts w:ascii="Times New Roman" w:hAnsi="Times New Roman" w:cs="Times New Roman"/>
          <w:sz w:val="20"/>
          <w:szCs w:val="20"/>
        </w:rPr>
        <w:t>, p. 23.</w:t>
      </w:r>
    </w:p>
  </w:footnote>
  <w:footnote w:id="162">
    <w:p w14:paraId="4F52FA9B" w14:textId="333E67EE" w:rsidR="00B34CC2" w:rsidRPr="003519A3" w:rsidRDefault="00B34CC2" w:rsidP="00F721A9">
      <w:pPr>
        <w:pStyle w:val="Testonotaapidipagina"/>
        <w:jc w:val="both"/>
        <w:rPr>
          <w:rFonts w:ascii="Times New Roman" w:hAnsi="Times New Roman" w:cs="Times New Roman"/>
          <w:sz w:val="20"/>
          <w:szCs w:val="20"/>
        </w:rPr>
      </w:pPr>
      <w:r w:rsidRPr="003519A3">
        <w:rPr>
          <w:rStyle w:val="Rimandonotaapidipagina"/>
          <w:rFonts w:ascii="Times New Roman" w:hAnsi="Times New Roman" w:cs="Times New Roman"/>
          <w:sz w:val="20"/>
          <w:szCs w:val="20"/>
        </w:rPr>
        <w:footnoteRef/>
      </w:r>
      <w:r w:rsidRPr="003519A3">
        <w:rPr>
          <w:rFonts w:ascii="Times New Roman" w:hAnsi="Times New Roman" w:cs="Times New Roman"/>
          <w:sz w:val="20"/>
          <w:szCs w:val="20"/>
        </w:rPr>
        <w:t xml:space="preserve"> </w:t>
      </w:r>
      <w:r>
        <w:rPr>
          <w:rFonts w:ascii="Times New Roman" w:hAnsi="Times New Roman" w:cs="Times New Roman"/>
          <w:i/>
          <w:sz w:val="20"/>
          <w:szCs w:val="20"/>
        </w:rPr>
        <w:t>Ibidem</w:t>
      </w:r>
      <w:r>
        <w:rPr>
          <w:rFonts w:ascii="Times New Roman" w:hAnsi="Times New Roman" w:cs="Times New Roman"/>
          <w:sz w:val="20"/>
          <w:szCs w:val="20"/>
        </w:rPr>
        <w:t>.</w:t>
      </w:r>
    </w:p>
  </w:footnote>
  <w:footnote w:id="163">
    <w:p w14:paraId="7E4BD6B4" w14:textId="5F1BDAF7" w:rsidR="00B34CC2" w:rsidRDefault="00B34CC2" w:rsidP="00F721A9">
      <w:pPr>
        <w:pStyle w:val="Testonotaapidipagina"/>
        <w:jc w:val="both"/>
      </w:pPr>
      <w:r w:rsidRPr="002E7425">
        <w:rPr>
          <w:rStyle w:val="Rimandonotaapidipagina"/>
          <w:rFonts w:ascii="Times New Roman" w:hAnsi="Times New Roman" w:cs="Times New Roman"/>
          <w:sz w:val="20"/>
          <w:szCs w:val="20"/>
        </w:rPr>
        <w:footnoteRef/>
      </w:r>
      <w:r w:rsidRPr="002E7425">
        <w:rPr>
          <w:rFonts w:ascii="Times New Roman" w:hAnsi="Times New Roman" w:cs="Times New Roman"/>
          <w:sz w:val="20"/>
          <w:szCs w:val="20"/>
        </w:rPr>
        <w:t xml:space="preserve"> Il fatto che Lucifero, presa coscienza della sua </w:t>
      </w:r>
      <w:r w:rsidRPr="002E7425">
        <w:rPr>
          <w:rFonts w:ascii="Times New Roman" w:hAnsi="Times New Roman" w:cs="Times New Roman"/>
          <w:i/>
          <w:sz w:val="20"/>
          <w:szCs w:val="20"/>
        </w:rPr>
        <w:t>schöne Gestalt</w:t>
      </w:r>
      <w:r w:rsidRPr="002E7425">
        <w:rPr>
          <w:rFonts w:ascii="Times New Roman" w:hAnsi="Times New Roman" w:cs="Times New Roman"/>
          <w:sz w:val="20"/>
          <w:szCs w:val="20"/>
        </w:rPr>
        <w:t xml:space="preserve">, diventi superbo </w:t>
      </w:r>
      <w:r w:rsidRPr="002E7425">
        <w:rPr>
          <w:rFonts w:ascii="Times New Roman" w:eastAsia="Times New Roman" w:hAnsi="Times New Roman" w:cs="Times New Roman"/>
          <w:color w:val="000000"/>
          <w:sz w:val="20"/>
          <w:szCs w:val="20"/>
        </w:rPr>
        <w:t>(</w:t>
      </w:r>
      <w:r w:rsidRPr="002E7425">
        <w:rPr>
          <w:rFonts w:ascii="Times New Roman" w:eastAsia="Times New Roman" w:hAnsi="Times New Roman" w:cs="Times New Roman"/>
          <w:i/>
          <w:color w:val="000000"/>
          <w:sz w:val="20"/>
          <w:szCs w:val="20"/>
        </w:rPr>
        <w:t>hoffäartig</w:t>
      </w:r>
      <w:r w:rsidRPr="002E7425">
        <w:rPr>
          <w:rFonts w:ascii="Times New Roman" w:eastAsia="Times New Roman" w:hAnsi="Times New Roman" w:cs="Times New Roman"/>
          <w:color w:val="000000"/>
          <w:sz w:val="20"/>
          <w:szCs w:val="20"/>
        </w:rPr>
        <w:t xml:space="preserve">) mi sembra connesso – anche in questo caso – con un passaggio del quattordicesimo capitolo di </w:t>
      </w:r>
      <w:r w:rsidRPr="002E7425">
        <w:rPr>
          <w:rFonts w:ascii="Times New Roman" w:eastAsia="Times New Roman" w:hAnsi="Times New Roman" w:cs="Times New Roman"/>
          <w:i/>
          <w:color w:val="000000"/>
          <w:sz w:val="20"/>
          <w:szCs w:val="20"/>
        </w:rPr>
        <w:t>Morgenröte</w:t>
      </w:r>
      <w:r w:rsidRPr="002E7425">
        <w:rPr>
          <w:rFonts w:ascii="Times New Roman" w:eastAsia="Times New Roman" w:hAnsi="Times New Roman" w:cs="Times New Roman"/>
          <w:color w:val="000000"/>
          <w:sz w:val="20"/>
          <w:szCs w:val="20"/>
        </w:rPr>
        <w:t>. Al riguardo cfr. J. B</w:t>
      </w:r>
      <w:r w:rsidRPr="002E7425">
        <w:rPr>
          <w:rFonts w:ascii="Times New Roman" w:hAnsi="Times New Roman" w:cs="Times New Roman"/>
          <w:sz w:val="20"/>
          <w:szCs w:val="20"/>
        </w:rPr>
        <w:t xml:space="preserve"> B</w:t>
      </w:r>
      <w:r w:rsidRPr="002E7425">
        <w:rPr>
          <w:rFonts w:ascii="Times New Roman" w:eastAsia="Times New Roman" w:hAnsi="Times New Roman" w:cs="Times New Roman"/>
          <w:color w:val="000000"/>
          <w:sz w:val="20"/>
          <w:szCs w:val="20"/>
        </w:rPr>
        <w:t xml:space="preserve">öhme, </w:t>
      </w:r>
      <w:r w:rsidRPr="002E7425">
        <w:rPr>
          <w:rFonts w:ascii="Times New Roman" w:eastAsia="Times New Roman" w:hAnsi="Times New Roman" w:cs="Times New Roman"/>
          <w:i/>
          <w:color w:val="000000"/>
          <w:sz w:val="20"/>
          <w:szCs w:val="20"/>
        </w:rPr>
        <w:t>Aurora</w:t>
      </w:r>
      <w:r w:rsidRPr="002E7425">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 xml:space="preserve">in </w:t>
      </w:r>
      <w:r>
        <w:rPr>
          <w:rFonts w:ascii="Times New Roman" w:eastAsia="Times New Roman" w:hAnsi="Times New Roman" w:cs="Times New Roman"/>
          <w:i/>
          <w:color w:val="000000"/>
          <w:sz w:val="20"/>
          <w:szCs w:val="20"/>
        </w:rPr>
        <w:t>Sämtliche Schriften</w:t>
      </w:r>
      <w:r>
        <w:rPr>
          <w:rFonts w:ascii="Times New Roman" w:eastAsia="Times New Roman" w:hAnsi="Times New Roman" w:cs="Times New Roman"/>
          <w:color w:val="000000"/>
          <w:sz w:val="20"/>
          <w:szCs w:val="20"/>
        </w:rPr>
        <w:t xml:space="preserve">, Bd. I, </w:t>
      </w:r>
      <w:r w:rsidRPr="009101EC">
        <w:rPr>
          <w:rFonts w:ascii="Times New Roman" w:eastAsia="Times New Roman" w:hAnsi="Times New Roman" w:cs="Times New Roman"/>
          <w:color w:val="000000"/>
          <w:sz w:val="20"/>
          <w:szCs w:val="20"/>
        </w:rPr>
        <w:t>hrsg. von</w:t>
      </w:r>
      <w:r>
        <w:rPr>
          <w:rFonts w:ascii="Times New Roman" w:eastAsia="Times New Roman" w:hAnsi="Times New Roman" w:cs="Times New Roman"/>
          <w:color w:val="000000"/>
          <w:sz w:val="20"/>
          <w:szCs w:val="20"/>
        </w:rPr>
        <w:t xml:space="preserve"> W.-E. Peuckert, Fromman-Holzboog, Stuttgart 1956</w:t>
      </w:r>
      <w:r w:rsidRPr="002E7425">
        <w:rPr>
          <w:rFonts w:ascii="Times New Roman" w:eastAsia="Times New Roman" w:hAnsi="Times New Roman" w:cs="Times New Roman"/>
          <w:color w:val="000000"/>
          <w:sz w:val="20"/>
          <w:szCs w:val="20"/>
        </w:rPr>
        <w:t xml:space="preserve">, p. 191: «Denn die Quellgeister hatten </w:t>
      </w:r>
      <w:r>
        <w:rPr>
          <w:rFonts w:ascii="Times New Roman" w:eastAsia="Times New Roman" w:hAnsi="Times New Roman" w:cs="Times New Roman"/>
          <w:color w:val="000000"/>
          <w:sz w:val="20"/>
          <w:szCs w:val="20"/>
        </w:rPr>
        <w:t>keinen Trieb von aussen in sich;</w:t>
      </w:r>
      <w:r w:rsidRPr="002E7425">
        <w:rPr>
          <w:rFonts w:ascii="Times New Roman" w:eastAsia="Times New Roman" w:hAnsi="Times New Roman" w:cs="Times New Roman"/>
          <w:color w:val="000000"/>
          <w:sz w:val="20"/>
          <w:szCs w:val="20"/>
        </w:rPr>
        <w:t xml:space="preserve"> sondern der Trieb zur Hoffart erhub sich im </w:t>
      </w:r>
      <w:r w:rsidRPr="002E7425">
        <w:rPr>
          <w:rFonts w:ascii="Times New Roman" w:eastAsia="Times New Roman" w:hAnsi="Times New Roman" w:cs="Times New Roman"/>
          <w:i/>
          <w:color w:val="000000"/>
          <w:sz w:val="20"/>
          <w:szCs w:val="20"/>
        </w:rPr>
        <w:t>Corpus</w:t>
      </w:r>
      <w:r>
        <w:rPr>
          <w:rFonts w:ascii="Times New Roman" w:eastAsia="Times New Roman" w:hAnsi="Times New Roman" w:cs="Times New Roman"/>
          <w:color w:val="000000"/>
          <w:sz w:val="20"/>
          <w:szCs w:val="20"/>
        </w:rPr>
        <w:t xml:space="preserve"> im Rat der sieben Quellgeister, d</w:t>
      </w:r>
      <w:r w:rsidRPr="002E7425">
        <w:rPr>
          <w:rFonts w:ascii="Times New Roman" w:eastAsia="Times New Roman" w:hAnsi="Times New Roman" w:cs="Times New Roman"/>
          <w:color w:val="000000"/>
          <w:sz w:val="20"/>
          <w:szCs w:val="20"/>
        </w:rPr>
        <w:t>ie verenigten sich, daß sie wollten alleine Gott sein».</w:t>
      </w:r>
    </w:p>
  </w:footnote>
  <w:footnote w:id="164">
    <w:p w14:paraId="7085478B" w14:textId="3926E428" w:rsidR="00B34CC2" w:rsidRPr="0028232E" w:rsidRDefault="00B34CC2" w:rsidP="00F721A9">
      <w:pPr>
        <w:pStyle w:val="Testonotaapidipagina"/>
        <w:jc w:val="both"/>
        <w:rPr>
          <w:rFonts w:ascii="Times New Roman" w:hAnsi="Times New Roman" w:cs="Times New Roman"/>
          <w:sz w:val="20"/>
          <w:szCs w:val="20"/>
        </w:rPr>
      </w:pPr>
      <w:r w:rsidRPr="0028232E">
        <w:rPr>
          <w:rStyle w:val="Rimandonotaapidipagina"/>
          <w:rFonts w:ascii="Times New Roman" w:hAnsi="Times New Roman" w:cs="Times New Roman"/>
          <w:sz w:val="20"/>
          <w:szCs w:val="20"/>
        </w:rPr>
        <w:footnoteRef/>
      </w:r>
      <w:r>
        <w:rPr>
          <w:rFonts w:ascii="Times New Roman" w:hAnsi="Times New Roman" w:cs="Times New Roman"/>
          <w:sz w:val="20"/>
          <w:szCs w:val="20"/>
        </w:rPr>
        <w:t xml:space="preserve"> </w:t>
      </w:r>
      <w:r w:rsidRPr="00916DF4">
        <w:rPr>
          <w:rFonts w:ascii="Times New Roman" w:hAnsi="Times New Roman" w:cs="Times New Roman"/>
          <w:i/>
          <w:sz w:val="20"/>
          <w:szCs w:val="20"/>
        </w:rPr>
        <w:t>I</w:t>
      </w:r>
      <w:r>
        <w:rPr>
          <w:rFonts w:ascii="Times New Roman" w:hAnsi="Times New Roman" w:cs="Times New Roman"/>
          <w:i/>
          <w:sz w:val="20"/>
          <w:szCs w:val="20"/>
        </w:rPr>
        <w:t>vi</w:t>
      </w:r>
      <w:r>
        <w:rPr>
          <w:rFonts w:ascii="Times New Roman" w:hAnsi="Times New Roman" w:cs="Times New Roman"/>
          <w:sz w:val="20"/>
          <w:szCs w:val="20"/>
          <w:lang w:val="de-DE"/>
        </w:rPr>
        <w:t>, 209-</w:t>
      </w:r>
      <w:r w:rsidRPr="0028232E">
        <w:rPr>
          <w:rFonts w:ascii="Times New Roman" w:hAnsi="Times New Roman" w:cs="Times New Roman"/>
          <w:sz w:val="20"/>
          <w:szCs w:val="20"/>
          <w:lang w:val="de-DE"/>
        </w:rPr>
        <w:t>227</w:t>
      </w:r>
      <w:r>
        <w:rPr>
          <w:rFonts w:ascii="Times New Roman" w:hAnsi="Times New Roman" w:cs="Times New Roman"/>
          <w:sz w:val="20"/>
          <w:szCs w:val="20"/>
          <w:lang w:val="de-DE"/>
        </w:rPr>
        <w:t>.</w:t>
      </w:r>
    </w:p>
  </w:footnote>
  <w:footnote w:id="165">
    <w:p w14:paraId="441689D2" w14:textId="68AB968B" w:rsidR="00B34CC2" w:rsidRPr="00721F83" w:rsidRDefault="00B34CC2" w:rsidP="00F721A9">
      <w:pPr>
        <w:pStyle w:val="Testonotaapidipagina"/>
        <w:jc w:val="both"/>
        <w:rPr>
          <w:rFonts w:ascii="Times New Roman" w:hAnsi="Times New Roman" w:cs="Times New Roman"/>
          <w:sz w:val="20"/>
          <w:szCs w:val="20"/>
        </w:rPr>
      </w:pPr>
      <w:r w:rsidRPr="00E443C8">
        <w:rPr>
          <w:rStyle w:val="Rimandonotaapidipagina"/>
          <w:rFonts w:ascii="Times New Roman" w:hAnsi="Times New Roman" w:cs="Times New Roman"/>
          <w:sz w:val="20"/>
          <w:szCs w:val="20"/>
        </w:rPr>
        <w:footnoteRef/>
      </w:r>
      <w:r w:rsidRPr="00E443C8">
        <w:rPr>
          <w:rFonts w:ascii="Times New Roman" w:hAnsi="Times New Roman" w:cs="Times New Roman"/>
          <w:sz w:val="20"/>
          <w:szCs w:val="20"/>
        </w:rPr>
        <w:t xml:space="preserve"> </w:t>
      </w:r>
      <w:r>
        <w:rPr>
          <w:rFonts w:ascii="Times New Roman" w:hAnsi="Times New Roman" w:cs="Times New Roman"/>
          <w:sz w:val="20"/>
          <w:szCs w:val="20"/>
        </w:rPr>
        <w:t xml:space="preserve">La </w:t>
      </w:r>
      <w:r w:rsidRPr="003C4BED">
        <w:rPr>
          <w:rFonts w:ascii="Times New Roman" w:hAnsi="Times New Roman" w:cs="Times New Roman"/>
          <w:i/>
          <w:sz w:val="20"/>
          <w:szCs w:val="20"/>
        </w:rPr>
        <w:t>Naturphilosophie</w:t>
      </w:r>
      <w:r>
        <w:rPr>
          <w:rFonts w:ascii="Times New Roman" w:hAnsi="Times New Roman" w:cs="Times New Roman"/>
          <w:sz w:val="20"/>
          <w:szCs w:val="20"/>
        </w:rPr>
        <w:t xml:space="preserve"> del 1804-05 sembra intrattenere un legame con questo appunto dello </w:t>
      </w:r>
      <w:r w:rsidRPr="003E0A6D">
        <w:rPr>
          <w:rFonts w:ascii="Times New Roman" w:hAnsi="Times New Roman" w:cs="Times New Roman"/>
          <w:i/>
          <w:sz w:val="20"/>
          <w:szCs w:val="20"/>
        </w:rPr>
        <w:t>Jena Wastebook</w:t>
      </w:r>
      <w:r>
        <w:rPr>
          <w:rFonts w:ascii="Times New Roman" w:hAnsi="Times New Roman" w:cs="Times New Roman"/>
          <w:sz w:val="20"/>
          <w:szCs w:val="20"/>
        </w:rPr>
        <w:t xml:space="preserve">. In essa, infatti, Hegel introduce il </w:t>
      </w:r>
      <w:r w:rsidRPr="000302B7">
        <w:rPr>
          <w:rFonts w:ascii="Times New Roman" w:hAnsi="Times New Roman" w:cs="Times New Roman"/>
          <w:i/>
          <w:sz w:val="20"/>
          <w:szCs w:val="20"/>
        </w:rPr>
        <w:t xml:space="preserve">Kreislauf </w:t>
      </w:r>
      <w:r w:rsidRPr="000302B7">
        <w:rPr>
          <w:rFonts w:ascii="Times New Roman" w:hAnsi="Times New Roman" w:cs="Times New Roman"/>
          <w:sz w:val="20"/>
          <w:szCs w:val="20"/>
        </w:rPr>
        <w:t>dello spirito assoluto. La natura rappresenta il primo momento realizzativo dello spirito: nel suo essere altro, nel suo uscire fuori di sé per tornare a sé come spirito assoluto, l’</w:t>
      </w:r>
      <w:r w:rsidRPr="000302B7">
        <w:rPr>
          <w:rFonts w:ascii="Times New Roman" w:hAnsi="Times New Roman" w:cs="Times New Roman"/>
          <w:i/>
          <w:sz w:val="20"/>
          <w:szCs w:val="20"/>
        </w:rPr>
        <w:t xml:space="preserve">absoluter Geister </w:t>
      </w:r>
      <w:r w:rsidRPr="000302B7">
        <w:rPr>
          <w:rFonts w:ascii="Times New Roman" w:hAnsi="Times New Roman" w:cs="Times New Roman"/>
          <w:sz w:val="20"/>
          <w:szCs w:val="20"/>
        </w:rPr>
        <w:t>permane nascosto (</w:t>
      </w:r>
      <w:r w:rsidRPr="000302B7">
        <w:rPr>
          <w:rFonts w:ascii="Times New Roman" w:hAnsi="Times New Roman" w:cs="Times New Roman"/>
          <w:i/>
          <w:sz w:val="20"/>
          <w:szCs w:val="20"/>
        </w:rPr>
        <w:t>verborgen</w:t>
      </w:r>
      <w:r w:rsidRPr="000302B7">
        <w:rPr>
          <w:rFonts w:ascii="Times New Roman" w:hAnsi="Times New Roman" w:cs="Times New Roman"/>
          <w:sz w:val="20"/>
          <w:szCs w:val="20"/>
        </w:rPr>
        <w:t xml:space="preserve">) nella sfera naturale. Questo essere in sé, e non per sé, questo mantenersi all’interno, e non all’esterno, della natura, è ciò che Hegel, nel </w:t>
      </w:r>
      <w:r w:rsidRPr="000302B7">
        <w:rPr>
          <w:rFonts w:ascii="Times New Roman" w:hAnsi="Times New Roman" w:cs="Times New Roman"/>
          <w:i/>
          <w:sz w:val="20"/>
          <w:szCs w:val="20"/>
        </w:rPr>
        <w:t>Fragment 49</w:t>
      </w:r>
      <w:r w:rsidRPr="000302B7">
        <w:rPr>
          <w:rFonts w:ascii="Times New Roman" w:hAnsi="Times New Roman" w:cs="Times New Roman"/>
          <w:sz w:val="20"/>
          <w:szCs w:val="20"/>
        </w:rPr>
        <w:t xml:space="preserve">, descrive come presenzialità dello spirito nelle figurazioni naturali (la </w:t>
      </w:r>
      <w:r w:rsidRPr="000302B7">
        <w:rPr>
          <w:rFonts w:ascii="Times New Roman" w:hAnsi="Times New Roman" w:cs="Times New Roman"/>
          <w:i/>
          <w:sz w:val="20"/>
          <w:szCs w:val="20"/>
        </w:rPr>
        <w:t>Punctualität</w:t>
      </w:r>
      <w:r w:rsidRPr="000302B7">
        <w:rPr>
          <w:rFonts w:ascii="Times New Roman" w:hAnsi="Times New Roman" w:cs="Times New Roman"/>
          <w:sz w:val="20"/>
          <w:szCs w:val="20"/>
        </w:rPr>
        <w:t xml:space="preserve">). Nel suo realizzarsi come un Dio vivente – è questo il significato dell’espressione </w:t>
      </w:r>
      <w:r w:rsidRPr="000302B7">
        <w:rPr>
          <w:rFonts w:ascii="Times New Roman" w:hAnsi="Times New Roman" w:cs="Times New Roman"/>
          <w:i/>
          <w:sz w:val="20"/>
          <w:szCs w:val="20"/>
        </w:rPr>
        <w:t xml:space="preserve">Lebenslauf Gottes </w:t>
      </w:r>
      <w:r w:rsidRPr="000302B7">
        <w:rPr>
          <w:rFonts w:ascii="Times New Roman" w:hAnsi="Times New Roman" w:cs="Times New Roman"/>
          <w:sz w:val="20"/>
          <w:szCs w:val="20"/>
        </w:rPr>
        <w:t xml:space="preserve">–, il divino rompe la propria autoeguaglianza, si dà al proprio essere altro e ripristina, superata l’opposizione – o ribellione, se si vuole usare la terminologia del </w:t>
      </w:r>
      <w:r w:rsidRPr="000302B7">
        <w:rPr>
          <w:rFonts w:ascii="Times New Roman" w:hAnsi="Times New Roman" w:cs="Times New Roman"/>
          <w:i/>
          <w:sz w:val="20"/>
          <w:szCs w:val="20"/>
        </w:rPr>
        <w:t>Fragment 49</w:t>
      </w:r>
      <w:r w:rsidRPr="000302B7">
        <w:rPr>
          <w:rFonts w:ascii="Times New Roman" w:hAnsi="Times New Roman" w:cs="Times New Roman"/>
          <w:sz w:val="20"/>
          <w:szCs w:val="20"/>
        </w:rPr>
        <w:t xml:space="preserve"> – dell’</w:t>
      </w:r>
      <w:r w:rsidRPr="000302B7">
        <w:rPr>
          <w:rFonts w:ascii="Times New Roman" w:hAnsi="Times New Roman" w:cs="Times New Roman"/>
          <w:i/>
          <w:sz w:val="20"/>
          <w:szCs w:val="20"/>
        </w:rPr>
        <w:t>Anderswerden</w:t>
      </w:r>
      <w:r w:rsidRPr="000302B7">
        <w:rPr>
          <w:rFonts w:ascii="Times New Roman" w:hAnsi="Times New Roman" w:cs="Times New Roman"/>
          <w:sz w:val="20"/>
          <w:szCs w:val="20"/>
        </w:rPr>
        <w:t xml:space="preserve">, la propria identità con sé. Sull’essere presso di sé nell’altro da sé e sull’idea di uno sviluppo circolare dello spirito assoluto nella </w:t>
      </w:r>
      <w:r w:rsidRPr="000302B7">
        <w:rPr>
          <w:rFonts w:ascii="Times New Roman" w:hAnsi="Times New Roman" w:cs="Times New Roman"/>
          <w:i/>
          <w:sz w:val="20"/>
          <w:szCs w:val="20"/>
        </w:rPr>
        <w:t>Naturphilosophie</w:t>
      </w:r>
      <w:r w:rsidRPr="000302B7">
        <w:rPr>
          <w:rFonts w:ascii="Times New Roman" w:hAnsi="Times New Roman" w:cs="Times New Roman"/>
          <w:sz w:val="20"/>
          <w:szCs w:val="20"/>
        </w:rPr>
        <w:t xml:space="preserve"> del 1804/05 cfr. </w:t>
      </w:r>
      <w:r w:rsidRPr="000302B7">
        <w:rPr>
          <w:rFonts w:ascii="Times New Roman" w:hAnsi="Times New Roman" w:cs="Times New Roman"/>
          <w:i/>
          <w:sz w:val="20"/>
          <w:szCs w:val="20"/>
        </w:rPr>
        <w:t>JSE II</w:t>
      </w:r>
      <w:r w:rsidRPr="000302B7">
        <w:rPr>
          <w:rFonts w:ascii="Times New Roman" w:hAnsi="Times New Roman" w:cs="Times New Roman"/>
          <w:sz w:val="20"/>
          <w:szCs w:val="20"/>
        </w:rPr>
        <w:t>, p. 187: «Der absolute Geist muß sich als absoluten Geist selbsterkennen; er muß daß er als lebendiger Gott sey, sich als absoluter Geist ein anderes werden, und sich in diesem finden, oder er ist nur lebendiger Gott, als er sich als das Andere seiner selbst, ebenso absolut sich selbst gleich ist. Die Natur, der absolute Geist als dieses Andere seiner selbst, ist der absolute Geist, in denen die Idee sich ihr Kreislauf wird</w:t>
      </w:r>
      <w:r w:rsidRPr="000302B7">
        <w:rPr>
          <w:rFonts w:ascii="Times New Roman" w:eastAsia="Times New Roman" w:hAnsi="Times New Roman" w:cs="Times New Roman"/>
          <w:color w:val="000000"/>
          <w:sz w:val="20"/>
          <w:szCs w:val="20"/>
        </w:rPr>
        <w:t>».</w:t>
      </w:r>
    </w:p>
  </w:footnote>
  <w:footnote w:id="166">
    <w:p w14:paraId="3F50AC8F" w14:textId="5E2A70BD" w:rsidR="00B34CC2" w:rsidRPr="00385EF1" w:rsidRDefault="00B34CC2" w:rsidP="00F721A9">
      <w:pPr>
        <w:pStyle w:val="Testonotaapidipagina"/>
        <w:jc w:val="both"/>
        <w:rPr>
          <w:rFonts w:ascii="Times New Roman" w:hAnsi="Times New Roman" w:cs="Times New Roman"/>
          <w:sz w:val="20"/>
          <w:szCs w:val="20"/>
        </w:rPr>
      </w:pPr>
      <w:r w:rsidRPr="00A93A46">
        <w:rPr>
          <w:rStyle w:val="Rimandonotaapidipagina"/>
          <w:rFonts w:ascii="Times New Roman" w:hAnsi="Times New Roman" w:cs="Times New Roman"/>
          <w:sz w:val="20"/>
          <w:szCs w:val="20"/>
        </w:rPr>
        <w:footnoteRef/>
      </w:r>
      <w:r w:rsidRPr="00A93A46">
        <w:rPr>
          <w:rFonts w:ascii="Times New Roman" w:hAnsi="Times New Roman" w:cs="Times New Roman"/>
          <w:sz w:val="20"/>
          <w:szCs w:val="20"/>
        </w:rPr>
        <w:t xml:space="preserve"> Per Böhme, infatti, alla caduta della creatura non segue una sua elevazione in una sfera ideale superiore. L’ira di Dio determina lo sprofondare delle schiere angeliche nell’Inferno, che viene a for</w:t>
      </w:r>
      <w:r>
        <w:rPr>
          <w:rFonts w:ascii="Times New Roman" w:hAnsi="Times New Roman" w:cs="Times New Roman"/>
          <w:sz w:val="20"/>
          <w:szCs w:val="20"/>
        </w:rPr>
        <w:t>marsi in occasione della fallimentare</w:t>
      </w:r>
      <w:r w:rsidRPr="00A93A46">
        <w:rPr>
          <w:rFonts w:ascii="Times New Roman" w:hAnsi="Times New Roman" w:cs="Times New Roman"/>
          <w:sz w:val="20"/>
          <w:szCs w:val="20"/>
        </w:rPr>
        <w:t xml:space="preserve"> ribellione di Lucifero. L’inferno diviene l’eternamente altro della Divinità: nessuna forma di rapporto può instaurarsi fra questi due estremi</w:t>
      </w:r>
      <w:r>
        <w:rPr>
          <w:rFonts w:ascii="Times New Roman" w:hAnsi="Times New Roman" w:cs="Times New Roman"/>
          <w:sz w:val="20"/>
          <w:szCs w:val="20"/>
        </w:rPr>
        <w:t xml:space="preserve">. Sull’opposizione di cielo e inferno cfr. ad esempio J. Böhme, </w:t>
      </w:r>
      <w:r w:rsidRPr="00030EAB">
        <w:rPr>
          <w:rFonts w:ascii="Times New Roman" w:eastAsia="Times New Roman" w:hAnsi="Times New Roman" w:cs="Times New Roman"/>
          <w:i/>
          <w:color w:val="000000"/>
          <w:sz w:val="20"/>
          <w:szCs w:val="20"/>
        </w:rPr>
        <w:t>Questiones Theosophicae,</w:t>
      </w:r>
      <w:r>
        <w:rPr>
          <w:rFonts w:ascii="Times New Roman" w:eastAsia="Times New Roman" w:hAnsi="Times New Roman" w:cs="Times New Roman"/>
          <w:i/>
          <w:color w:val="000000"/>
          <w:sz w:val="20"/>
          <w:szCs w:val="20"/>
        </w:rPr>
        <w:t xml:space="preserve"> </w:t>
      </w:r>
      <w:r>
        <w:rPr>
          <w:rFonts w:ascii="Times New Roman" w:eastAsia="Times New Roman" w:hAnsi="Times New Roman" w:cs="Times New Roman"/>
          <w:color w:val="000000"/>
          <w:sz w:val="20"/>
          <w:szCs w:val="20"/>
        </w:rPr>
        <w:t xml:space="preserve">cit., p. 41: </w:t>
      </w:r>
      <w:r w:rsidRPr="00385EF1">
        <w:rPr>
          <w:rFonts w:ascii="Times New Roman" w:eastAsia="Times New Roman" w:hAnsi="Times New Roman" w:cs="Times New Roman"/>
          <w:color w:val="000000"/>
          <w:sz w:val="20"/>
          <w:szCs w:val="20"/>
        </w:rPr>
        <w:t>«Das höllische Fundament und das himmlische, sind gegen einander wie Tag und Nacht, und sind einander nahe, aber keines begreift das ander, auch siehet keines das ander in seiner Essentz. Dann was in Gott ein Liebe-Brennen ist, das ist in der Höllen ein Zorn-Brennen».</w:t>
      </w:r>
    </w:p>
  </w:footnote>
  <w:footnote w:id="167">
    <w:p w14:paraId="52B8A39B" w14:textId="3C3A3C7C" w:rsidR="00B34CC2" w:rsidRPr="007A4940" w:rsidRDefault="00B34CC2" w:rsidP="00F721A9">
      <w:pPr>
        <w:pStyle w:val="Testonotaapidipagina"/>
        <w:jc w:val="both"/>
        <w:rPr>
          <w:rFonts w:ascii="Times New Roman" w:hAnsi="Times New Roman" w:cs="Times New Roman"/>
          <w:sz w:val="20"/>
          <w:szCs w:val="20"/>
        </w:rPr>
      </w:pPr>
      <w:r w:rsidRPr="007A4940">
        <w:rPr>
          <w:rStyle w:val="Rimandonotaapidipagina"/>
          <w:rFonts w:ascii="Times New Roman" w:hAnsi="Times New Roman" w:cs="Times New Roman"/>
          <w:sz w:val="20"/>
          <w:szCs w:val="20"/>
        </w:rPr>
        <w:footnoteRef/>
      </w:r>
      <w:r w:rsidRPr="007A4940">
        <w:rPr>
          <w:rFonts w:ascii="Times New Roman" w:hAnsi="Times New Roman" w:cs="Times New Roman"/>
          <w:sz w:val="20"/>
          <w:szCs w:val="20"/>
        </w:rPr>
        <w:t xml:space="preserve"> </w:t>
      </w:r>
      <w:r>
        <w:rPr>
          <w:rFonts w:ascii="Times New Roman" w:hAnsi="Times New Roman" w:cs="Times New Roman"/>
          <w:sz w:val="20"/>
          <w:szCs w:val="20"/>
        </w:rPr>
        <w:t xml:space="preserve">Cfr. P. Coda, </w:t>
      </w:r>
      <w:r w:rsidRPr="00171614">
        <w:rPr>
          <w:rFonts w:ascii="Times New Roman" w:hAnsi="Times New Roman" w:cs="Times New Roman"/>
          <w:i/>
          <w:sz w:val="20"/>
          <w:szCs w:val="20"/>
        </w:rPr>
        <w:t>Il negativo e la Trinità</w:t>
      </w:r>
      <w:r w:rsidRPr="00171614">
        <w:rPr>
          <w:rFonts w:ascii="Times New Roman" w:hAnsi="Times New Roman" w:cs="Times New Roman"/>
          <w:sz w:val="20"/>
          <w:szCs w:val="20"/>
        </w:rPr>
        <w:t>,</w:t>
      </w:r>
      <w:r w:rsidRPr="00171614">
        <w:rPr>
          <w:rFonts w:ascii="Times New Roman" w:hAnsi="Times New Roman" w:cs="Times New Roman"/>
        </w:rPr>
        <w:t xml:space="preserve"> </w:t>
      </w:r>
      <w:r w:rsidRPr="00175C1F">
        <w:rPr>
          <w:rFonts w:ascii="Times New Roman" w:hAnsi="Times New Roman" w:cs="Times New Roman"/>
          <w:sz w:val="20"/>
          <w:szCs w:val="20"/>
        </w:rPr>
        <w:t>cit. pp. 110-126</w:t>
      </w:r>
      <w:r w:rsidRPr="00A307A1">
        <w:rPr>
          <w:rFonts w:ascii="Times New Roman" w:hAnsi="Times New Roman" w:cs="Times New Roman"/>
          <w:sz w:val="20"/>
          <w:szCs w:val="20"/>
        </w:rPr>
        <w:t>;</w:t>
      </w:r>
      <w:r>
        <w:rPr>
          <w:rFonts w:ascii="Times New Roman" w:hAnsi="Times New Roman" w:cs="Times New Roman"/>
          <w:sz w:val="20"/>
          <w:szCs w:val="20"/>
        </w:rPr>
        <w:t xml:space="preserve"> G. A. Magee, </w:t>
      </w:r>
      <w:r w:rsidRPr="00705099">
        <w:rPr>
          <w:rFonts w:ascii="Times New Roman" w:hAnsi="Times New Roman"/>
          <w:i/>
          <w:sz w:val="20"/>
          <w:szCs w:val="20"/>
        </w:rPr>
        <w:t>Hegel and the Hermetic Tradition</w:t>
      </w:r>
      <w:r>
        <w:rPr>
          <w:rFonts w:ascii="Times New Roman" w:hAnsi="Times New Roman"/>
          <w:sz w:val="20"/>
          <w:szCs w:val="20"/>
        </w:rPr>
        <w:t>, cit., pp. 138-145</w:t>
      </w:r>
      <w:r>
        <w:rPr>
          <w:rFonts w:ascii="Times New Roman" w:hAnsi="Times New Roman" w:cs="Times New Roman"/>
          <w:sz w:val="20"/>
          <w:szCs w:val="20"/>
        </w:rPr>
        <w:t xml:space="preserve">; C. Muratori, </w:t>
      </w:r>
      <w:r>
        <w:rPr>
          <w:rFonts w:ascii="Times New Roman" w:eastAsia="Times New Roman" w:hAnsi="Times New Roman" w:cs="Times New Roman"/>
          <w:i/>
          <w:color w:val="000000"/>
          <w:sz w:val="20"/>
          <w:szCs w:val="20"/>
        </w:rPr>
        <w:t xml:space="preserve">The First </w:t>
      </w:r>
      <w:r w:rsidRPr="00E231E4">
        <w:rPr>
          <w:rFonts w:ascii="Times New Roman" w:eastAsia="Times New Roman" w:hAnsi="Times New Roman" w:cs="Times New Roman"/>
          <w:i/>
          <w:color w:val="000000"/>
          <w:sz w:val="20"/>
          <w:szCs w:val="20"/>
        </w:rPr>
        <w:t>German Philosopher</w:t>
      </w:r>
      <w:r>
        <w:rPr>
          <w:rFonts w:ascii="Times New Roman" w:eastAsia="Times New Roman" w:hAnsi="Times New Roman" w:cs="Times New Roman"/>
          <w:color w:val="000000"/>
          <w:sz w:val="20"/>
          <w:szCs w:val="20"/>
        </w:rPr>
        <w:t>, pp. 209-214</w:t>
      </w:r>
      <w:r>
        <w:rPr>
          <w:rFonts w:ascii="Times New Roman" w:hAnsi="Times New Roman" w:cs="Times New Roman"/>
          <w:sz w:val="20"/>
          <w:szCs w:val="20"/>
        </w:rPr>
        <w:t xml:space="preserve"> .</w:t>
      </w:r>
    </w:p>
  </w:footnote>
  <w:footnote w:id="168">
    <w:p w14:paraId="0BD71853" w14:textId="095FA4E2" w:rsidR="00B34CC2" w:rsidRPr="00485C8E" w:rsidRDefault="00B34CC2" w:rsidP="00F721A9">
      <w:pPr>
        <w:pStyle w:val="Testonotaapidipagina"/>
        <w:jc w:val="both"/>
        <w:rPr>
          <w:rFonts w:ascii="Times New Roman" w:hAnsi="Times New Roman" w:cs="Times New Roman"/>
          <w:sz w:val="20"/>
          <w:szCs w:val="20"/>
        </w:rPr>
      </w:pPr>
      <w:r w:rsidRPr="007E3846">
        <w:rPr>
          <w:rStyle w:val="Rimandonotaapidipagina"/>
          <w:rFonts w:ascii="Times New Roman" w:hAnsi="Times New Roman" w:cs="Times New Roman"/>
          <w:sz w:val="20"/>
          <w:szCs w:val="20"/>
        </w:rPr>
        <w:footnoteRef/>
      </w:r>
      <w:r w:rsidRPr="007E3846">
        <w:rPr>
          <w:rFonts w:ascii="Times New Roman" w:hAnsi="Times New Roman" w:cs="Times New Roman"/>
          <w:sz w:val="20"/>
          <w:szCs w:val="20"/>
        </w:rPr>
        <w:t xml:space="preserve"> </w:t>
      </w:r>
      <w:r>
        <w:rPr>
          <w:rFonts w:ascii="Times New Roman" w:hAnsi="Times New Roman" w:cs="Times New Roman"/>
          <w:sz w:val="20"/>
          <w:szCs w:val="20"/>
        </w:rPr>
        <w:t xml:space="preserve">Per il passo delle lezioni jenesi vedi </w:t>
      </w:r>
      <w:r w:rsidRPr="00734418">
        <w:rPr>
          <w:rFonts w:ascii="Times New Roman" w:hAnsi="Times New Roman" w:cs="Times New Roman"/>
          <w:i/>
          <w:sz w:val="20"/>
          <w:szCs w:val="20"/>
        </w:rPr>
        <w:t>JSE III</w:t>
      </w:r>
      <w:r>
        <w:rPr>
          <w:rFonts w:ascii="Times New Roman" w:hAnsi="Times New Roman" w:cs="Times New Roman"/>
          <w:sz w:val="20"/>
          <w:szCs w:val="20"/>
        </w:rPr>
        <w:t xml:space="preserve">, pp. 281-286: </w:t>
      </w:r>
      <w:r w:rsidRPr="007C40A4">
        <w:rPr>
          <w:rFonts w:ascii="Times New Roman" w:hAnsi="Times New Roman" w:cs="Times New Roman"/>
          <w:sz w:val="20"/>
          <w:szCs w:val="20"/>
        </w:rPr>
        <w:t>«Die absolute Religion aber ist das Tiefe, das zu Tage herausgetreten – diß Tiefe ist das Ich – es ist der Begriff, die absolute reine Macht […] Der Gedanke – innere Idee – der absoluten Religion ist diese speculative Idee, daß das Selbst, das Wirkliche, das Denken ist; – Wesen und Sein dasselbe – […] Diese Einsicht ist die Philosophie, absolute Wissenschaft – derselbe Inhalt als der der Religion – aber Form des Begriffs –</w:t>
      </w:r>
      <w:r w:rsidRPr="007C40A4">
        <w:rPr>
          <w:rFonts w:ascii="Times New Roman" w:eastAsia="Times New Roman" w:hAnsi="Times New Roman" w:cs="Times New Roman"/>
          <w:color w:val="000000"/>
          <w:sz w:val="20"/>
          <w:szCs w:val="20"/>
        </w:rPr>
        <w:t>»</w:t>
      </w:r>
      <w:r>
        <w:rPr>
          <w:rFonts w:ascii="Times New Roman" w:eastAsia="Times New Roman" w:hAnsi="Times New Roman" w:cs="Times New Roman"/>
          <w:i/>
          <w:color w:val="000000"/>
          <w:sz w:val="20"/>
          <w:szCs w:val="20"/>
        </w:rPr>
        <w:t xml:space="preserve">. </w:t>
      </w:r>
      <w:r>
        <w:rPr>
          <w:rFonts w:ascii="Times New Roman" w:eastAsia="Times New Roman" w:hAnsi="Times New Roman" w:cs="Times New Roman"/>
          <w:color w:val="000000"/>
          <w:sz w:val="20"/>
          <w:szCs w:val="20"/>
        </w:rPr>
        <w:t xml:space="preserve">Riguardo alla </w:t>
      </w:r>
      <w:r w:rsidRPr="00465A16">
        <w:rPr>
          <w:rFonts w:ascii="Times New Roman" w:hAnsi="Times New Roman" w:cs="Times New Roman"/>
          <w:i/>
          <w:sz w:val="20"/>
          <w:szCs w:val="20"/>
        </w:rPr>
        <w:t>Phänomenologie des Geistes</w:t>
      </w:r>
      <w:r>
        <w:rPr>
          <w:rFonts w:ascii="Times New Roman" w:hAnsi="Times New Roman" w:cs="Times New Roman"/>
          <w:sz w:val="20"/>
          <w:szCs w:val="20"/>
        </w:rPr>
        <w:t xml:space="preserve"> cfr. </w:t>
      </w:r>
      <w:r w:rsidRPr="00734418">
        <w:rPr>
          <w:rFonts w:ascii="Times New Roman" w:hAnsi="Times New Roman" w:cs="Times New Roman"/>
          <w:i/>
          <w:sz w:val="20"/>
          <w:szCs w:val="20"/>
        </w:rPr>
        <w:t>PhG</w:t>
      </w:r>
      <w:r>
        <w:rPr>
          <w:rFonts w:ascii="Times New Roman" w:hAnsi="Times New Roman" w:cs="Times New Roman"/>
          <w:sz w:val="20"/>
          <w:szCs w:val="20"/>
        </w:rPr>
        <w:t xml:space="preserve">, p. 422: </w:t>
      </w:r>
      <w:r w:rsidRPr="007C40A4">
        <w:rPr>
          <w:rFonts w:ascii="Times New Roman" w:hAnsi="Times New Roman" w:cs="Times New Roman"/>
          <w:sz w:val="20"/>
          <w:szCs w:val="20"/>
        </w:rPr>
        <w:t>«Der Geist der offenbaren Religion hat sein Bewußtsein als solches noch nicht überwunden, oder, was dasselbe ist, sein wirkliches Selbstbewußtsein ist nicht der Gegenstand seines Beswußtseins; er selbst überhaupt und die in sich unterschiedenen Momente fallen in das Vorstellen und in die Form der Gegenstäandlichkeit. Der Inhalt des Vorstellens ist der absolute Geist; und es ist allein noch um das heben dieser bloßen Form zu tun</w:t>
      </w:r>
      <w:r w:rsidRPr="007C40A4">
        <w:rPr>
          <w:rFonts w:ascii="Times New Roman" w:eastAsia="Times New Roman" w:hAnsi="Times New Roman" w:cs="Times New Roman"/>
          <w:color w:val="000000"/>
          <w:sz w:val="20"/>
          <w:szCs w:val="20"/>
        </w:rPr>
        <w:t>».</w:t>
      </w:r>
      <w:r>
        <w:rPr>
          <w:rFonts w:ascii="Times New Roman" w:eastAsia="Times New Roman" w:hAnsi="Times New Roman" w:cs="Times New Roman"/>
          <w:color w:val="000000"/>
          <w:sz w:val="20"/>
          <w:szCs w:val="20"/>
        </w:rPr>
        <w:t xml:space="preserve"> </w:t>
      </w:r>
      <w:r>
        <w:rPr>
          <w:rFonts w:ascii="Times New Roman" w:hAnsi="Times New Roman" w:cs="Times New Roman"/>
          <w:sz w:val="20"/>
          <w:szCs w:val="20"/>
        </w:rPr>
        <w:t xml:space="preserve">Sulla formulazione jenese di questo tema vedi </w:t>
      </w:r>
      <w:r w:rsidRPr="00616BF1">
        <w:rPr>
          <w:rFonts w:ascii="Times New Roman" w:hAnsi="Times New Roman" w:cs="Times New Roman"/>
          <w:sz w:val="20"/>
          <w:szCs w:val="20"/>
        </w:rPr>
        <w:t xml:space="preserve">K. Appel und T. Auinger (Hrsg.), </w:t>
      </w:r>
      <w:r w:rsidRPr="00616BF1">
        <w:rPr>
          <w:rFonts w:ascii="Times New Roman" w:hAnsi="Times New Roman" w:cs="Times New Roman"/>
          <w:i/>
          <w:sz w:val="20"/>
          <w:szCs w:val="20"/>
        </w:rPr>
        <w:t>Eine Lektüre von Hegels Phänomenologie des Geistes. Teil 2: Von der Sittlichkeit zur offenbaren Religion</w:t>
      </w:r>
      <w:r w:rsidRPr="00616BF1">
        <w:rPr>
          <w:rFonts w:ascii="Times New Roman" w:hAnsi="Times New Roman" w:cs="Times New Roman"/>
          <w:sz w:val="20"/>
          <w:szCs w:val="20"/>
        </w:rPr>
        <w:t xml:space="preserve">, Peter Lang, Frankfurt am Main 2012, pp. 347-355; </w:t>
      </w:r>
      <w:r>
        <w:rPr>
          <w:rFonts w:ascii="Times New Roman" w:hAnsi="Times New Roman" w:cs="Times New Roman"/>
          <w:sz w:val="20"/>
          <w:szCs w:val="20"/>
        </w:rPr>
        <w:t xml:space="preserve">M. Borghesi, </w:t>
      </w:r>
      <w:r>
        <w:rPr>
          <w:rFonts w:ascii="Times New Roman" w:hAnsi="Times New Roman" w:cs="Times New Roman"/>
          <w:i/>
          <w:sz w:val="20"/>
          <w:szCs w:val="20"/>
        </w:rPr>
        <w:t>Hegel. La cristologia idealista</w:t>
      </w:r>
      <w:r>
        <w:rPr>
          <w:rFonts w:ascii="Times New Roman" w:hAnsi="Times New Roman" w:cs="Times New Roman"/>
          <w:sz w:val="20"/>
          <w:szCs w:val="20"/>
        </w:rPr>
        <w:t xml:space="preserve">, Studium, Roma 2018, pp. 35-48; </w:t>
      </w:r>
      <w:r w:rsidRPr="00616BF1">
        <w:rPr>
          <w:rFonts w:ascii="Times New Roman" w:hAnsi="Times New Roman" w:cs="Times New Roman"/>
          <w:sz w:val="20"/>
          <w:szCs w:val="20"/>
        </w:rPr>
        <w:t xml:space="preserve">M. Häußler, </w:t>
      </w:r>
      <w:r w:rsidRPr="00616BF1">
        <w:rPr>
          <w:rFonts w:ascii="Times New Roman" w:hAnsi="Times New Roman" w:cs="Times New Roman"/>
          <w:i/>
          <w:sz w:val="20"/>
          <w:szCs w:val="20"/>
        </w:rPr>
        <w:t>Der Religionsbegriff in Hegels «Phänomenologie des Geistes</w:t>
      </w:r>
      <w:r w:rsidRPr="00616BF1">
        <w:rPr>
          <w:rFonts w:ascii="Times New Roman" w:eastAsia="Times New Roman" w:hAnsi="Times New Roman" w:cs="Times New Roman"/>
          <w:i/>
          <w:color w:val="000000"/>
          <w:sz w:val="20"/>
          <w:szCs w:val="20"/>
        </w:rPr>
        <w:t>»</w:t>
      </w:r>
      <w:r w:rsidRPr="00616BF1">
        <w:rPr>
          <w:rFonts w:ascii="Times New Roman" w:hAnsi="Times New Roman" w:cs="Times New Roman"/>
          <w:sz w:val="20"/>
          <w:szCs w:val="20"/>
        </w:rPr>
        <w:t xml:space="preserve">, Karl Alber Verlag, München 2008; J. Hyppolite, </w:t>
      </w:r>
      <w:r w:rsidRPr="00616BF1">
        <w:rPr>
          <w:rFonts w:ascii="Times New Roman" w:hAnsi="Times New Roman" w:cs="Times New Roman"/>
          <w:i/>
          <w:sz w:val="20"/>
          <w:szCs w:val="20"/>
        </w:rPr>
        <w:t>Genèse et structure de la «Phénoménologie de l’esprit de Hegel</w:t>
      </w:r>
      <w:r w:rsidRPr="00616BF1">
        <w:rPr>
          <w:rFonts w:ascii="Times New Roman" w:eastAsia="Times New Roman" w:hAnsi="Times New Roman" w:cs="Times New Roman"/>
          <w:i/>
          <w:color w:val="000000"/>
          <w:sz w:val="20"/>
          <w:szCs w:val="20"/>
        </w:rPr>
        <w:t>»</w:t>
      </w:r>
      <w:r w:rsidRPr="00616BF1">
        <w:rPr>
          <w:rFonts w:ascii="Times New Roman" w:eastAsia="Times New Roman" w:hAnsi="Times New Roman" w:cs="Times New Roman"/>
          <w:color w:val="000000"/>
          <w:sz w:val="20"/>
          <w:szCs w:val="20"/>
        </w:rPr>
        <w:t xml:space="preserve">, cit., p. 511-553; </w:t>
      </w:r>
      <w:r w:rsidRPr="00616BF1">
        <w:rPr>
          <w:rFonts w:ascii="Times New Roman" w:hAnsi="Times New Roman" w:cs="Times New Roman"/>
          <w:sz w:val="20"/>
          <w:szCs w:val="20"/>
        </w:rPr>
        <w:t xml:space="preserve">W. Jaeschke, </w:t>
      </w:r>
      <w:r w:rsidRPr="00616BF1">
        <w:rPr>
          <w:rFonts w:ascii="Times New Roman" w:hAnsi="Times New Roman" w:cs="Times New Roman"/>
          <w:i/>
          <w:sz w:val="20"/>
          <w:szCs w:val="20"/>
        </w:rPr>
        <w:t>Vernunft in der</w:t>
      </w:r>
      <w:r>
        <w:rPr>
          <w:rFonts w:ascii="Times New Roman" w:hAnsi="Times New Roman" w:cs="Times New Roman"/>
          <w:i/>
          <w:sz w:val="20"/>
          <w:szCs w:val="20"/>
        </w:rPr>
        <w:t xml:space="preserve"> </w:t>
      </w:r>
      <w:r w:rsidRPr="00025AE8">
        <w:rPr>
          <w:rFonts w:ascii="Times New Roman" w:hAnsi="Times New Roman" w:cs="Times New Roman"/>
          <w:i/>
          <w:sz w:val="20"/>
          <w:szCs w:val="20"/>
        </w:rPr>
        <w:t>Religion</w:t>
      </w:r>
      <w:r>
        <w:rPr>
          <w:rFonts w:ascii="Times New Roman" w:hAnsi="Times New Roman" w:cs="Times New Roman"/>
          <w:sz w:val="20"/>
          <w:szCs w:val="20"/>
        </w:rPr>
        <w:t xml:space="preserve">, cit., pp. 134-219; H. Küng, </w:t>
      </w:r>
      <w:r>
        <w:rPr>
          <w:rFonts w:ascii="Times New Roman" w:hAnsi="Times New Roman" w:cs="Times New Roman"/>
          <w:i/>
          <w:sz w:val="20"/>
          <w:szCs w:val="20"/>
        </w:rPr>
        <w:t>Menschenwerdung Gottes</w:t>
      </w:r>
      <w:r>
        <w:rPr>
          <w:rFonts w:ascii="Times New Roman" w:hAnsi="Times New Roman" w:cs="Times New Roman"/>
          <w:sz w:val="20"/>
          <w:szCs w:val="20"/>
        </w:rPr>
        <w:t xml:space="preserve">, Herder Verlag, Freiburg 1970, pp. 243-305; </w:t>
      </w:r>
      <w:r w:rsidRPr="00025AE8">
        <w:rPr>
          <w:rFonts w:ascii="Times New Roman" w:hAnsi="Times New Roman" w:cs="Times New Roman"/>
          <w:sz w:val="20"/>
          <w:szCs w:val="20"/>
        </w:rPr>
        <w:t>F</w:t>
      </w:r>
      <w:r>
        <w:rPr>
          <w:rFonts w:ascii="Times New Roman" w:hAnsi="Times New Roman" w:cs="Times New Roman"/>
          <w:sz w:val="20"/>
          <w:szCs w:val="20"/>
        </w:rPr>
        <w:t xml:space="preserve">. Menegoni, </w:t>
      </w:r>
      <w:r>
        <w:rPr>
          <w:rFonts w:ascii="Times New Roman" w:hAnsi="Times New Roman" w:cs="Times New Roman"/>
          <w:i/>
          <w:sz w:val="20"/>
          <w:szCs w:val="20"/>
        </w:rPr>
        <w:t>Die offenbare Religion</w:t>
      </w:r>
      <w:r>
        <w:rPr>
          <w:rFonts w:ascii="Times New Roman" w:hAnsi="Times New Roman" w:cs="Times New Roman"/>
          <w:sz w:val="20"/>
          <w:szCs w:val="20"/>
        </w:rPr>
        <w:t xml:space="preserve">, in </w:t>
      </w:r>
      <w:r w:rsidRPr="00000746">
        <w:rPr>
          <w:rFonts w:ascii="Times New Roman" w:hAnsi="Times New Roman" w:cs="Times New Roman"/>
          <w:i/>
          <w:sz w:val="20"/>
          <w:szCs w:val="20"/>
        </w:rPr>
        <w:t>Hegels Phänomenologie des Geistes</w:t>
      </w:r>
      <w:r>
        <w:rPr>
          <w:rFonts w:ascii="Times New Roman" w:hAnsi="Times New Roman" w:cs="Times New Roman"/>
          <w:sz w:val="20"/>
          <w:szCs w:val="20"/>
        </w:rPr>
        <w:t xml:space="preserve">, hrsg. von K. Vieweg und W. Welsch, Suhrkamp, Frankfurt am Main 2008, pp. 562-581; M. H. Miller, </w:t>
      </w:r>
      <w:r>
        <w:rPr>
          <w:rFonts w:ascii="Times New Roman" w:hAnsi="Times New Roman" w:cs="Times New Roman"/>
          <w:i/>
          <w:sz w:val="20"/>
          <w:szCs w:val="20"/>
        </w:rPr>
        <w:t>The Attainment of the Absolute Standpoint in Hegel’s Phenomenology</w:t>
      </w:r>
      <w:r>
        <w:rPr>
          <w:rFonts w:ascii="Times New Roman" w:hAnsi="Times New Roman" w:cs="Times New Roman"/>
          <w:sz w:val="20"/>
          <w:szCs w:val="20"/>
        </w:rPr>
        <w:t xml:space="preserve">, in </w:t>
      </w:r>
      <w:r>
        <w:rPr>
          <w:rFonts w:ascii="Times New Roman" w:hAnsi="Times New Roman" w:cs="Times New Roman"/>
          <w:i/>
          <w:sz w:val="20"/>
          <w:szCs w:val="20"/>
        </w:rPr>
        <w:t>The Phenomenology of Spirit. Critical and Interpretative Essays</w:t>
      </w:r>
      <w:r>
        <w:rPr>
          <w:rFonts w:ascii="Times New Roman" w:hAnsi="Times New Roman" w:cs="Times New Roman"/>
          <w:sz w:val="20"/>
          <w:szCs w:val="20"/>
        </w:rPr>
        <w:t>, cit., pp. 427-444;</w:t>
      </w:r>
      <w:r>
        <w:rPr>
          <w:rFonts w:ascii="Times New Roman" w:hAnsi="Times New Roman" w:cs="Times New Roman"/>
          <w:i/>
          <w:sz w:val="20"/>
          <w:szCs w:val="20"/>
        </w:rPr>
        <w:t xml:space="preserve"> </w:t>
      </w:r>
      <w:r>
        <w:rPr>
          <w:rFonts w:ascii="Times New Roman" w:hAnsi="Times New Roman" w:cs="Times New Roman"/>
          <w:sz w:val="20"/>
          <w:szCs w:val="20"/>
        </w:rPr>
        <w:t xml:space="preserve">J. Schmidt, </w:t>
      </w:r>
      <w:r>
        <w:rPr>
          <w:rFonts w:ascii="Times New Roman" w:hAnsi="Times New Roman" w:cs="Times New Roman"/>
          <w:i/>
          <w:sz w:val="20"/>
          <w:szCs w:val="20"/>
        </w:rPr>
        <w:t>“Geist”, “Religion” und “absolutes Wissen”. Ein Kommentar zu den drei gleichnamigen Kapiteln aus Hegels Ph</w:t>
      </w:r>
      <w:r w:rsidRPr="00465A16">
        <w:rPr>
          <w:rFonts w:ascii="Times New Roman" w:hAnsi="Times New Roman" w:cs="Times New Roman"/>
          <w:i/>
          <w:sz w:val="20"/>
          <w:szCs w:val="20"/>
        </w:rPr>
        <w:t>änomenologie des Geistes</w:t>
      </w:r>
      <w:r>
        <w:rPr>
          <w:rFonts w:ascii="Times New Roman" w:hAnsi="Times New Roman" w:cs="Times New Roman"/>
          <w:sz w:val="20"/>
          <w:szCs w:val="20"/>
        </w:rPr>
        <w:t xml:space="preserve">, Kohlhammer Verlag, Stuttgart 1997, pp. 311-436; </w:t>
      </w:r>
      <w:r w:rsidRPr="00616BF1">
        <w:rPr>
          <w:rFonts w:ascii="Times New Roman" w:hAnsi="Times New Roman" w:cs="Times New Roman"/>
          <w:sz w:val="20"/>
          <w:szCs w:val="20"/>
        </w:rPr>
        <w:t xml:space="preserve">P. Stekeler, </w:t>
      </w:r>
      <w:r w:rsidRPr="00616BF1">
        <w:rPr>
          <w:rFonts w:ascii="Times New Roman" w:hAnsi="Times New Roman" w:cs="Times New Roman"/>
          <w:i/>
          <w:sz w:val="20"/>
          <w:szCs w:val="20"/>
        </w:rPr>
        <w:t>Hegels Phänomenologie des Geistes. Ein dialogischer Kommentar</w:t>
      </w:r>
      <w:r w:rsidRPr="00616BF1">
        <w:rPr>
          <w:rFonts w:ascii="Times New Roman" w:hAnsi="Times New Roman" w:cs="Times New Roman"/>
          <w:sz w:val="20"/>
          <w:szCs w:val="20"/>
        </w:rPr>
        <w:t xml:space="preserve">, Bd. 2, Felix Meiner Verlag, Hamburg 2014, pp. 858-962; K. Vieweg, </w:t>
      </w:r>
      <w:r w:rsidRPr="00616BF1">
        <w:rPr>
          <w:rFonts w:ascii="Times New Roman" w:hAnsi="Times New Roman" w:cs="Times New Roman"/>
          <w:i/>
          <w:sz w:val="20"/>
          <w:szCs w:val="20"/>
        </w:rPr>
        <w:t xml:space="preserve">Religion und absolutes Wissen. Der Übergang von der Vorstellung zum </w:t>
      </w:r>
      <w:r w:rsidRPr="00616BF1">
        <w:rPr>
          <w:rFonts w:ascii="Times New Roman" w:hAnsi="Times New Roman" w:cs="Times New Roman"/>
          <w:sz w:val="20"/>
          <w:szCs w:val="20"/>
        </w:rPr>
        <w:t xml:space="preserve">Begriff, in </w:t>
      </w:r>
      <w:r w:rsidRPr="00616BF1">
        <w:rPr>
          <w:rFonts w:ascii="Times New Roman" w:hAnsi="Times New Roman" w:cs="Times New Roman"/>
          <w:i/>
          <w:sz w:val="20"/>
          <w:szCs w:val="20"/>
        </w:rPr>
        <w:t>Hegels Phänomenologie des Geistes</w:t>
      </w:r>
      <w:r w:rsidRPr="00616BF1">
        <w:rPr>
          <w:rFonts w:ascii="Times New Roman" w:hAnsi="Times New Roman" w:cs="Times New Roman"/>
          <w:sz w:val="20"/>
          <w:szCs w:val="20"/>
        </w:rPr>
        <w:t>, cit., pp. 581-601.</w:t>
      </w:r>
    </w:p>
  </w:footnote>
  <w:footnote w:id="169">
    <w:p w14:paraId="4FF42FC7" w14:textId="4CB2F48A" w:rsidR="00B34CC2" w:rsidRPr="007C40A4" w:rsidRDefault="00B34CC2" w:rsidP="00F721A9">
      <w:pPr>
        <w:pStyle w:val="Testonotaapidipagina"/>
        <w:jc w:val="both"/>
        <w:rPr>
          <w:rFonts w:ascii="Times New Roman" w:hAnsi="Times New Roman" w:cs="Times New Roman"/>
          <w:sz w:val="20"/>
          <w:szCs w:val="20"/>
        </w:rPr>
      </w:pPr>
      <w:r w:rsidRPr="00683499">
        <w:rPr>
          <w:rStyle w:val="Rimandonotaapidipagina"/>
          <w:rFonts w:ascii="Times New Roman" w:hAnsi="Times New Roman" w:cs="Times New Roman"/>
          <w:sz w:val="20"/>
          <w:szCs w:val="20"/>
        </w:rPr>
        <w:footnoteRef/>
      </w:r>
      <w:r w:rsidRPr="00683499">
        <w:rPr>
          <w:rFonts w:ascii="Times New Roman" w:hAnsi="Times New Roman" w:cs="Times New Roman"/>
          <w:sz w:val="20"/>
          <w:szCs w:val="20"/>
        </w:rPr>
        <w:t xml:space="preserve"> Riguardo alla necessità di non fermarsi alle intuizioni </w:t>
      </w:r>
      <w:r w:rsidRPr="00683499">
        <w:rPr>
          <w:rFonts w:ascii="Times New Roman" w:hAnsi="Times New Roman" w:cs="Times New Roman"/>
          <w:i/>
          <w:sz w:val="20"/>
          <w:szCs w:val="20"/>
        </w:rPr>
        <w:t>barbariche</w:t>
      </w:r>
      <w:r w:rsidRPr="00683499">
        <w:rPr>
          <w:rFonts w:ascii="Times New Roman" w:hAnsi="Times New Roman" w:cs="Times New Roman"/>
          <w:sz w:val="20"/>
          <w:szCs w:val="20"/>
        </w:rPr>
        <w:t xml:space="preserve"> e di procedere ad un loro sviluppo concettuale, vedi il </w:t>
      </w:r>
      <w:r w:rsidRPr="00683499">
        <w:rPr>
          <w:rFonts w:ascii="Times New Roman" w:hAnsi="Times New Roman" w:cs="Times New Roman"/>
          <w:i/>
          <w:sz w:val="20"/>
          <w:szCs w:val="20"/>
        </w:rPr>
        <w:t>Fragment 46</w:t>
      </w:r>
      <w:r w:rsidRPr="00683499">
        <w:rPr>
          <w:rFonts w:ascii="Times New Roman" w:hAnsi="Times New Roman" w:cs="Times New Roman"/>
          <w:sz w:val="20"/>
          <w:szCs w:val="20"/>
        </w:rPr>
        <w:t xml:space="preserve"> dello </w:t>
      </w:r>
      <w:r w:rsidRPr="00683499">
        <w:rPr>
          <w:rFonts w:ascii="Times New Roman" w:hAnsi="Times New Roman" w:cs="Times New Roman"/>
          <w:i/>
          <w:sz w:val="20"/>
          <w:szCs w:val="20"/>
        </w:rPr>
        <w:t>Jena Wastebook</w:t>
      </w:r>
      <w:r w:rsidRPr="00683499">
        <w:rPr>
          <w:rFonts w:ascii="Times New Roman" w:hAnsi="Times New Roman" w:cs="Times New Roman"/>
          <w:sz w:val="20"/>
          <w:szCs w:val="20"/>
        </w:rPr>
        <w:t xml:space="preserve">, dedicato ad una confutazione di quell’immediatezza attraverso la quale Jacobi ritiene di poter attingere il Vero (Dio). Contrapposta alla teoria della fede </w:t>
      </w:r>
      <w:r w:rsidRPr="000B1496">
        <w:rPr>
          <w:rFonts w:ascii="Times New Roman" w:hAnsi="Times New Roman" w:cs="Times New Roman"/>
          <w:sz w:val="20"/>
          <w:szCs w:val="20"/>
        </w:rPr>
        <w:t>jacobiana, Hegel esalta la profondità delle intuizioni böhmiane e segnala, al contempo, la necessità di procedere oltre la loro inadeguatezza formale (</w:t>
      </w:r>
      <w:r w:rsidRPr="000B1496">
        <w:rPr>
          <w:rFonts w:ascii="Times New Roman" w:hAnsi="Times New Roman" w:cs="Times New Roman"/>
          <w:i/>
          <w:sz w:val="20"/>
          <w:szCs w:val="20"/>
        </w:rPr>
        <w:t>die Barbarei</w:t>
      </w:r>
      <w:r w:rsidRPr="000B1496">
        <w:rPr>
          <w:rFonts w:ascii="Times New Roman" w:hAnsi="Times New Roman" w:cs="Times New Roman"/>
          <w:sz w:val="20"/>
          <w:szCs w:val="20"/>
        </w:rPr>
        <w:t>). Il che significa conferire una forma speculativa a ciò che altrimenti rimarrebbe all’interno del dominio dell’immaginazione e della rappresentazione.</w:t>
      </w:r>
      <w:r>
        <w:rPr>
          <w:rFonts w:ascii="Times New Roman" w:hAnsi="Times New Roman" w:cs="Times New Roman"/>
          <w:sz w:val="20"/>
          <w:szCs w:val="20"/>
        </w:rPr>
        <w:t xml:space="preserve"> Cfr. </w:t>
      </w:r>
      <w:r w:rsidRPr="006F5C86">
        <w:rPr>
          <w:rFonts w:ascii="Times New Roman" w:hAnsi="Times New Roman" w:cs="Times New Roman"/>
          <w:i/>
          <w:sz w:val="20"/>
          <w:szCs w:val="20"/>
        </w:rPr>
        <w:t>SE</w:t>
      </w:r>
      <w:r>
        <w:rPr>
          <w:rFonts w:ascii="Times New Roman" w:hAnsi="Times New Roman" w:cs="Times New Roman"/>
          <w:sz w:val="20"/>
          <w:szCs w:val="20"/>
        </w:rPr>
        <w:t xml:space="preserve">, p. 496: </w:t>
      </w:r>
      <w:r w:rsidRPr="007C40A4">
        <w:rPr>
          <w:rFonts w:ascii="Times New Roman" w:hAnsi="Times New Roman" w:cs="Times New Roman"/>
          <w:sz w:val="20"/>
          <w:szCs w:val="20"/>
        </w:rPr>
        <w:t>«Die Sache selbst kann man nicht geschenkt, gleichsam in den K obenein erhalten, indem man das Princip oder Resultat sich anschaffte. Bei der Anschaung dagegen, z.B. Jakob Böhme’s, stehen bleiben, ist Barbarei, wie bei den Grundsätzen Oberflächlichkeit. Die Entwicklung des Wissens ist nicht ein Wegschaffen jener Anschauungen, so wenig als des Grundsatzes, sondern ein von Innen heraus oder von Außen hinein Ausbilden derselben. Böhme’s Anschauung ist eine tiefere, als Jacobi’s Glauben offenbart</w:t>
      </w:r>
      <w:r w:rsidRPr="007C40A4">
        <w:rPr>
          <w:rFonts w:ascii="Times New Roman" w:eastAsia="Times New Roman" w:hAnsi="Times New Roman" w:cs="Times New Roman"/>
          <w:color w:val="000000"/>
          <w:sz w:val="20"/>
          <w:szCs w:val="20"/>
        </w:rPr>
        <w:t>».</w:t>
      </w:r>
    </w:p>
  </w:footnote>
  <w:footnote w:id="170">
    <w:p w14:paraId="6162B869" w14:textId="1F4A7A47" w:rsidR="00B34CC2" w:rsidRPr="007C40A4" w:rsidRDefault="00B34CC2" w:rsidP="00F721A9">
      <w:pPr>
        <w:pStyle w:val="Testonotaapidipagina"/>
        <w:jc w:val="both"/>
        <w:rPr>
          <w:rFonts w:ascii="Times New Roman" w:hAnsi="Times New Roman" w:cs="Times New Roman"/>
          <w:sz w:val="20"/>
          <w:szCs w:val="20"/>
        </w:rPr>
      </w:pPr>
      <w:r w:rsidRPr="004E4122">
        <w:rPr>
          <w:rStyle w:val="Rimandonotaapidipagina"/>
          <w:rFonts w:ascii="Times New Roman" w:hAnsi="Times New Roman" w:cs="Times New Roman"/>
          <w:sz w:val="20"/>
          <w:szCs w:val="20"/>
        </w:rPr>
        <w:footnoteRef/>
      </w:r>
      <w:r w:rsidRPr="004E4122">
        <w:rPr>
          <w:rFonts w:ascii="Times New Roman" w:hAnsi="Times New Roman" w:cs="Times New Roman"/>
          <w:sz w:val="20"/>
          <w:szCs w:val="20"/>
        </w:rPr>
        <w:t xml:space="preserve"> </w:t>
      </w:r>
      <w:r>
        <w:rPr>
          <w:rFonts w:ascii="Times New Roman" w:hAnsi="Times New Roman" w:cs="Times New Roman"/>
          <w:sz w:val="20"/>
          <w:szCs w:val="20"/>
        </w:rPr>
        <w:t xml:space="preserve">Cfr. F.W.J. Schelling, </w:t>
      </w:r>
      <w:r w:rsidRPr="004E4122">
        <w:rPr>
          <w:rFonts w:ascii="Times New Roman" w:hAnsi="Times New Roman" w:cs="Times New Roman"/>
          <w:i/>
          <w:sz w:val="20"/>
          <w:szCs w:val="20"/>
        </w:rPr>
        <w:t>Vierter Ergänzungband. Persönliches Nachlaß 1810-1850</w:t>
      </w:r>
      <w:r>
        <w:rPr>
          <w:rFonts w:ascii="Times New Roman" w:hAnsi="Times New Roman" w:cs="Times New Roman"/>
          <w:sz w:val="20"/>
          <w:szCs w:val="20"/>
        </w:rPr>
        <w:t xml:space="preserve">, in </w:t>
      </w:r>
      <w:r w:rsidRPr="004E4122">
        <w:rPr>
          <w:rFonts w:ascii="Times New Roman" w:hAnsi="Times New Roman" w:cs="Times New Roman"/>
          <w:i/>
          <w:sz w:val="20"/>
          <w:szCs w:val="20"/>
        </w:rPr>
        <w:t>Schellings Werke</w:t>
      </w:r>
      <w:r>
        <w:rPr>
          <w:rFonts w:ascii="Times New Roman" w:hAnsi="Times New Roman" w:cs="Times New Roman"/>
          <w:sz w:val="20"/>
          <w:szCs w:val="20"/>
        </w:rPr>
        <w:t xml:space="preserve">, cit., p. 455: </w:t>
      </w:r>
      <w:r w:rsidRPr="007C40A4">
        <w:rPr>
          <w:rFonts w:ascii="Times New Roman" w:hAnsi="Times New Roman" w:cs="Times New Roman"/>
          <w:sz w:val="20"/>
          <w:szCs w:val="20"/>
        </w:rPr>
        <w:t>«Spinoza versichert, daß die endlichen Dinge aus dem Begriff oder der Natur der Substanz (wie er das schlechterdings nicht zu Denkenden bezeichnet) gerade so, d. h. mit gleich rationaler Notwendigkeit, folgen, wie aus der Natur des Dreieckes folge, daß seine Winkel zusammengenommen zweien rechten gleich seyen; aber Spinoza zeigt das nicht, er versichert’s bloß</w:t>
      </w:r>
      <w:r w:rsidRPr="007C40A4">
        <w:rPr>
          <w:rFonts w:ascii="Times New Roman" w:eastAsia="Times New Roman" w:hAnsi="Times New Roman" w:cs="Times New Roman"/>
          <w:color w:val="000000"/>
        </w:rPr>
        <w:t>».</w:t>
      </w:r>
    </w:p>
  </w:footnote>
  <w:footnote w:id="171">
    <w:p w14:paraId="07A139B0" w14:textId="555ADA56" w:rsidR="00B34CC2" w:rsidRPr="00304F9A" w:rsidRDefault="00B34CC2" w:rsidP="00F721A9">
      <w:pPr>
        <w:pStyle w:val="Testonotaapidipagina"/>
        <w:jc w:val="both"/>
        <w:rPr>
          <w:rFonts w:ascii="Times New Roman" w:hAnsi="Times New Roman" w:cs="Times New Roman"/>
          <w:sz w:val="20"/>
          <w:szCs w:val="20"/>
        </w:rPr>
      </w:pPr>
      <w:r w:rsidRPr="00304F9A">
        <w:rPr>
          <w:rStyle w:val="Rimandonotaapidipagina"/>
          <w:rFonts w:ascii="Times New Roman" w:hAnsi="Times New Roman" w:cs="Times New Roman"/>
          <w:sz w:val="20"/>
          <w:szCs w:val="20"/>
        </w:rPr>
        <w:footnoteRef/>
      </w:r>
      <w:r w:rsidRPr="00304F9A">
        <w:rPr>
          <w:rFonts w:ascii="Times New Roman" w:hAnsi="Times New Roman" w:cs="Times New Roman"/>
          <w:sz w:val="20"/>
          <w:szCs w:val="20"/>
        </w:rPr>
        <w:t xml:space="preserve"> </w:t>
      </w:r>
      <w:r>
        <w:rPr>
          <w:rFonts w:ascii="Times New Roman" w:hAnsi="Times New Roman" w:cs="Times New Roman"/>
          <w:i/>
          <w:sz w:val="20"/>
          <w:szCs w:val="20"/>
        </w:rPr>
        <w:t>JSE II</w:t>
      </w:r>
      <w:r>
        <w:rPr>
          <w:rFonts w:ascii="Times New Roman" w:hAnsi="Times New Roman" w:cs="Times New Roman"/>
          <w:sz w:val="20"/>
          <w:szCs w:val="20"/>
        </w:rPr>
        <w:t>, p. 33.</w:t>
      </w:r>
    </w:p>
  </w:footnote>
  <w:footnote w:id="172">
    <w:p w14:paraId="1FDCAFC8" w14:textId="4A6B4531" w:rsidR="00B34CC2" w:rsidRPr="00664C5F" w:rsidRDefault="00B34CC2" w:rsidP="00F721A9">
      <w:pPr>
        <w:pStyle w:val="Testonotaapidipagina"/>
        <w:jc w:val="both"/>
        <w:rPr>
          <w:rFonts w:ascii="Times New Roman" w:hAnsi="Times New Roman" w:cs="Times New Roman"/>
          <w:i/>
          <w:sz w:val="20"/>
          <w:szCs w:val="20"/>
        </w:rPr>
      </w:pPr>
      <w:r w:rsidRPr="002D3FD0">
        <w:rPr>
          <w:rStyle w:val="Rimandonotaapidipagina"/>
          <w:rFonts w:ascii="Times New Roman" w:hAnsi="Times New Roman" w:cs="Times New Roman"/>
          <w:sz w:val="20"/>
          <w:szCs w:val="20"/>
        </w:rPr>
        <w:footnoteRef/>
      </w:r>
      <w:r w:rsidRPr="002D3FD0">
        <w:rPr>
          <w:rFonts w:ascii="Times New Roman" w:hAnsi="Times New Roman" w:cs="Times New Roman"/>
          <w:sz w:val="20"/>
          <w:szCs w:val="20"/>
        </w:rPr>
        <w:t xml:space="preserve"> </w:t>
      </w:r>
      <w:r>
        <w:rPr>
          <w:rFonts w:ascii="Times New Roman" w:hAnsi="Times New Roman" w:cs="Times New Roman"/>
          <w:i/>
          <w:sz w:val="20"/>
          <w:szCs w:val="20"/>
        </w:rPr>
        <w:t>Ivi</w:t>
      </w:r>
      <w:r>
        <w:rPr>
          <w:rFonts w:ascii="Times New Roman" w:hAnsi="Times New Roman" w:cs="Times New Roman"/>
          <w:sz w:val="20"/>
          <w:szCs w:val="20"/>
        </w:rPr>
        <w:t>, p. 34.</w:t>
      </w:r>
    </w:p>
  </w:footnote>
  <w:footnote w:id="173">
    <w:p w14:paraId="51ECDAED" w14:textId="5A163CBF" w:rsidR="00B34CC2" w:rsidRPr="00FE7EE1" w:rsidRDefault="00B34CC2" w:rsidP="00F721A9">
      <w:pPr>
        <w:pStyle w:val="Testonotaapidipagina"/>
        <w:jc w:val="both"/>
        <w:rPr>
          <w:rFonts w:ascii="Times New Roman" w:hAnsi="Times New Roman" w:cs="Times New Roman"/>
          <w:sz w:val="20"/>
          <w:szCs w:val="20"/>
        </w:rPr>
      </w:pPr>
      <w:r w:rsidRPr="00FE7EE1">
        <w:rPr>
          <w:rStyle w:val="Rimandonotaapidipagina"/>
          <w:rFonts w:ascii="Times New Roman" w:hAnsi="Times New Roman" w:cs="Times New Roman"/>
          <w:sz w:val="20"/>
          <w:szCs w:val="20"/>
        </w:rPr>
        <w:footnoteRef/>
      </w:r>
      <w:r w:rsidRPr="00FE7EE1">
        <w:rPr>
          <w:rFonts w:ascii="Times New Roman" w:hAnsi="Times New Roman" w:cs="Times New Roman"/>
          <w:sz w:val="20"/>
          <w:szCs w:val="20"/>
        </w:rPr>
        <w:t xml:space="preserve"> </w:t>
      </w:r>
      <w:r w:rsidRPr="00891D80">
        <w:rPr>
          <w:rFonts w:ascii="Times New Roman" w:hAnsi="Times New Roman" w:cs="Times New Roman"/>
          <w:i/>
          <w:sz w:val="20"/>
          <w:szCs w:val="20"/>
        </w:rPr>
        <w:t>Ibidem.</w:t>
      </w:r>
    </w:p>
  </w:footnote>
  <w:footnote w:id="174">
    <w:p w14:paraId="43083D77" w14:textId="5BD3BE23" w:rsidR="00B34CC2" w:rsidRPr="00891D80" w:rsidRDefault="00B34CC2" w:rsidP="00F721A9">
      <w:pPr>
        <w:pStyle w:val="Testonotaapidipagina"/>
        <w:jc w:val="both"/>
        <w:rPr>
          <w:rFonts w:ascii="Times New Roman" w:hAnsi="Times New Roman" w:cs="Times New Roman"/>
          <w:sz w:val="20"/>
          <w:szCs w:val="20"/>
        </w:rPr>
      </w:pPr>
      <w:r w:rsidRPr="00891D80">
        <w:rPr>
          <w:rStyle w:val="Rimandonotaapidipagina"/>
          <w:rFonts w:ascii="Times New Roman" w:hAnsi="Times New Roman" w:cs="Times New Roman"/>
          <w:sz w:val="20"/>
          <w:szCs w:val="20"/>
        </w:rPr>
        <w:footnoteRef/>
      </w:r>
      <w:r w:rsidRPr="00891D80">
        <w:rPr>
          <w:rFonts w:ascii="Times New Roman" w:hAnsi="Times New Roman" w:cs="Times New Roman"/>
          <w:sz w:val="20"/>
          <w:szCs w:val="20"/>
        </w:rPr>
        <w:t xml:space="preserve"> </w:t>
      </w:r>
      <w:r w:rsidRPr="00891D80">
        <w:rPr>
          <w:rFonts w:ascii="Times New Roman" w:hAnsi="Times New Roman" w:cs="Times New Roman"/>
          <w:i/>
          <w:sz w:val="20"/>
          <w:szCs w:val="20"/>
        </w:rPr>
        <w:t>Ibidem.</w:t>
      </w:r>
    </w:p>
  </w:footnote>
  <w:footnote w:id="175">
    <w:p w14:paraId="28D2F41A" w14:textId="27773BD6" w:rsidR="00B34CC2" w:rsidRPr="0004690D" w:rsidRDefault="00B34CC2" w:rsidP="00F721A9">
      <w:pPr>
        <w:pStyle w:val="Testonotaapidipagina"/>
        <w:jc w:val="both"/>
        <w:rPr>
          <w:rFonts w:ascii="Times New Roman" w:hAnsi="Times New Roman" w:cs="Times New Roman"/>
          <w:sz w:val="20"/>
          <w:szCs w:val="20"/>
        </w:rPr>
      </w:pPr>
      <w:r w:rsidRPr="0004690D">
        <w:rPr>
          <w:rStyle w:val="Rimandonotaapidipagina"/>
          <w:rFonts w:ascii="Times New Roman" w:hAnsi="Times New Roman" w:cs="Times New Roman"/>
          <w:sz w:val="20"/>
          <w:szCs w:val="20"/>
        </w:rPr>
        <w:footnoteRef/>
      </w:r>
      <w:r w:rsidRPr="0004690D">
        <w:rPr>
          <w:rFonts w:ascii="Times New Roman" w:hAnsi="Times New Roman" w:cs="Times New Roman"/>
          <w:sz w:val="20"/>
          <w:szCs w:val="20"/>
        </w:rPr>
        <w:t xml:space="preserve"> </w:t>
      </w:r>
      <w:r>
        <w:rPr>
          <w:rFonts w:ascii="Times New Roman" w:hAnsi="Times New Roman" w:cs="Times New Roman"/>
          <w:i/>
          <w:sz w:val="20"/>
          <w:szCs w:val="20"/>
        </w:rPr>
        <w:t>Ivi</w:t>
      </w:r>
      <w:r>
        <w:rPr>
          <w:rFonts w:ascii="Times New Roman" w:hAnsi="Times New Roman" w:cs="Times New Roman"/>
          <w:sz w:val="20"/>
          <w:szCs w:val="20"/>
        </w:rPr>
        <w:t>, p. 39.</w:t>
      </w:r>
    </w:p>
  </w:footnote>
  <w:footnote w:id="176">
    <w:p w14:paraId="0D703E17" w14:textId="64D099F2" w:rsidR="00B34CC2" w:rsidRPr="00793587" w:rsidRDefault="00B34CC2" w:rsidP="00F721A9">
      <w:pPr>
        <w:pStyle w:val="Testonotaapidipagina"/>
        <w:jc w:val="both"/>
        <w:rPr>
          <w:rFonts w:ascii="Times New Roman" w:hAnsi="Times New Roman" w:cs="Times New Roman"/>
          <w:sz w:val="20"/>
          <w:szCs w:val="20"/>
        </w:rPr>
      </w:pPr>
      <w:r w:rsidRPr="00793587">
        <w:rPr>
          <w:rStyle w:val="Rimandonotaapidipagina"/>
          <w:rFonts w:ascii="Times New Roman" w:hAnsi="Times New Roman" w:cs="Times New Roman"/>
          <w:sz w:val="20"/>
          <w:szCs w:val="20"/>
        </w:rPr>
        <w:footnoteRef/>
      </w:r>
      <w:r w:rsidRPr="00793587">
        <w:rPr>
          <w:rFonts w:ascii="Times New Roman" w:hAnsi="Times New Roman" w:cs="Times New Roman"/>
          <w:sz w:val="20"/>
          <w:szCs w:val="20"/>
        </w:rPr>
        <w:t xml:space="preserve"> Su questo tema vedi </w:t>
      </w:r>
      <w:r>
        <w:rPr>
          <w:rFonts w:ascii="Times New Roman" w:hAnsi="Times New Roman" w:cs="Times New Roman"/>
          <w:sz w:val="20"/>
          <w:szCs w:val="20"/>
        </w:rPr>
        <w:t xml:space="preserve">M. Baum, </w:t>
      </w:r>
      <w:r>
        <w:rPr>
          <w:rFonts w:ascii="Times New Roman" w:hAnsi="Times New Roman" w:cs="Times New Roman"/>
          <w:i/>
          <w:sz w:val="20"/>
          <w:szCs w:val="20"/>
        </w:rPr>
        <w:t>Die Entstehung der Hegelschen Dialektik</w:t>
      </w:r>
      <w:r>
        <w:rPr>
          <w:rFonts w:ascii="Times New Roman" w:hAnsi="Times New Roman" w:cs="Times New Roman"/>
          <w:sz w:val="20"/>
          <w:szCs w:val="20"/>
        </w:rPr>
        <w:t xml:space="preserve">, Bouvier, Bonn 1989, pp. 236-261; </w:t>
      </w:r>
      <w:r w:rsidRPr="00793587">
        <w:rPr>
          <w:rFonts w:ascii="Times New Roman" w:hAnsi="Times New Roman" w:cs="Times New Roman"/>
          <w:sz w:val="20"/>
          <w:szCs w:val="20"/>
        </w:rPr>
        <w:t xml:space="preserve">F. Chiereghin, </w:t>
      </w:r>
      <w:r w:rsidRPr="00793587">
        <w:rPr>
          <w:rFonts w:ascii="Times New Roman" w:hAnsi="Times New Roman" w:cs="Times New Roman"/>
          <w:i/>
          <w:sz w:val="20"/>
          <w:szCs w:val="20"/>
        </w:rPr>
        <w:t>De l’organisation de la logique hégéliene à son auto-organisation entre 1804-1805 et 1805-1806</w:t>
      </w:r>
      <w:r>
        <w:rPr>
          <w:rFonts w:ascii="Times New Roman" w:hAnsi="Times New Roman" w:cs="Times New Roman"/>
          <w:sz w:val="20"/>
          <w:szCs w:val="20"/>
        </w:rPr>
        <w:t xml:space="preserve">, in </w:t>
      </w:r>
      <w:r w:rsidRPr="00793587">
        <w:rPr>
          <w:rFonts w:ascii="Times New Roman" w:hAnsi="Times New Roman" w:cs="Times New Roman"/>
          <w:i/>
          <w:sz w:val="20"/>
          <w:szCs w:val="20"/>
        </w:rPr>
        <w:t>Hegel à Iéna</w:t>
      </w:r>
      <w:r>
        <w:rPr>
          <w:rFonts w:ascii="Times New Roman" w:hAnsi="Times New Roman" w:cs="Times New Roman"/>
          <w:sz w:val="20"/>
          <w:szCs w:val="20"/>
        </w:rPr>
        <w:t>, a cura di J.-M. Buée e E. Renault, Ens Editiones, Paris 2015, pp. 64-79.</w:t>
      </w:r>
    </w:p>
  </w:footnote>
  <w:footnote w:id="177">
    <w:p w14:paraId="2DEA4F36" w14:textId="04015BAB" w:rsidR="00B34CC2" w:rsidRPr="00156F6E" w:rsidRDefault="00B34CC2" w:rsidP="00F721A9">
      <w:pPr>
        <w:pStyle w:val="Testonotaapidipagina"/>
        <w:jc w:val="both"/>
        <w:rPr>
          <w:rFonts w:ascii="Times New Roman" w:hAnsi="Times New Roman" w:cs="Times New Roman"/>
          <w:sz w:val="20"/>
          <w:szCs w:val="20"/>
        </w:rPr>
      </w:pPr>
      <w:r w:rsidRPr="00156F6E">
        <w:rPr>
          <w:rStyle w:val="Rimandonotaapidipagina"/>
          <w:rFonts w:ascii="Times New Roman" w:hAnsi="Times New Roman" w:cs="Times New Roman"/>
          <w:sz w:val="20"/>
          <w:szCs w:val="20"/>
        </w:rPr>
        <w:footnoteRef/>
      </w:r>
      <w:r w:rsidRPr="00156F6E">
        <w:rPr>
          <w:rFonts w:ascii="Times New Roman" w:hAnsi="Times New Roman" w:cs="Times New Roman"/>
          <w:sz w:val="20"/>
          <w:szCs w:val="20"/>
        </w:rPr>
        <w:t xml:space="preserve"> </w:t>
      </w:r>
      <w:r>
        <w:rPr>
          <w:rFonts w:ascii="Times New Roman" w:hAnsi="Times New Roman" w:cs="Times New Roman"/>
          <w:i/>
          <w:sz w:val="20"/>
          <w:szCs w:val="20"/>
        </w:rPr>
        <w:t>JSE II</w:t>
      </w:r>
      <w:r>
        <w:rPr>
          <w:rFonts w:ascii="Times New Roman" w:hAnsi="Times New Roman" w:cs="Times New Roman"/>
          <w:sz w:val="20"/>
          <w:szCs w:val="20"/>
        </w:rPr>
        <w:t>, pp. 127-128.</w:t>
      </w:r>
    </w:p>
  </w:footnote>
  <w:footnote w:id="178">
    <w:p w14:paraId="1453AE71" w14:textId="323EE0F8" w:rsidR="00B34CC2" w:rsidRPr="008B5EF2" w:rsidRDefault="00B34CC2" w:rsidP="00F721A9">
      <w:pPr>
        <w:pStyle w:val="Testonotaapidipagina"/>
        <w:jc w:val="both"/>
        <w:rPr>
          <w:rFonts w:ascii="Times New Roman" w:hAnsi="Times New Roman" w:cs="Times New Roman"/>
          <w:sz w:val="20"/>
          <w:szCs w:val="20"/>
        </w:rPr>
      </w:pPr>
      <w:r w:rsidRPr="000D5443">
        <w:rPr>
          <w:rStyle w:val="Rimandonotaapidipagina"/>
          <w:rFonts w:ascii="Times New Roman" w:hAnsi="Times New Roman" w:cs="Times New Roman"/>
          <w:sz w:val="20"/>
          <w:szCs w:val="20"/>
        </w:rPr>
        <w:footnoteRef/>
      </w:r>
      <w:r w:rsidRPr="000D5443">
        <w:rPr>
          <w:rFonts w:ascii="Times New Roman" w:hAnsi="Times New Roman" w:cs="Times New Roman"/>
          <w:sz w:val="20"/>
          <w:szCs w:val="20"/>
        </w:rPr>
        <w:t xml:space="preserve"> Espressione usata da Kant tanto nella </w:t>
      </w:r>
      <w:r w:rsidRPr="000D5443">
        <w:rPr>
          <w:rFonts w:ascii="Times New Roman" w:hAnsi="Times New Roman" w:cs="Times New Roman"/>
          <w:i/>
          <w:sz w:val="20"/>
          <w:szCs w:val="20"/>
        </w:rPr>
        <w:t xml:space="preserve">Kritik der reinen Vernunft </w:t>
      </w:r>
      <w:r w:rsidRPr="000D5443">
        <w:rPr>
          <w:rFonts w:ascii="Times New Roman" w:hAnsi="Times New Roman" w:cs="Times New Roman"/>
          <w:sz w:val="20"/>
          <w:szCs w:val="20"/>
        </w:rPr>
        <w:t xml:space="preserve">quanto nela </w:t>
      </w:r>
      <w:r w:rsidRPr="000D5443">
        <w:rPr>
          <w:rFonts w:ascii="Times New Roman" w:hAnsi="Times New Roman" w:cs="Times New Roman"/>
          <w:i/>
          <w:sz w:val="20"/>
          <w:szCs w:val="20"/>
        </w:rPr>
        <w:t>Religion innerhalb der Grenzen der bloßen Vernunft</w:t>
      </w:r>
      <w:r w:rsidRPr="000D5443">
        <w:rPr>
          <w:rFonts w:ascii="Times New Roman" w:hAnsi="Times New Roman" w:cs="Times New Roman"/>
          <w:sz w:val="20"/>
          <w:szCs w:val="20"/>
        </w:rPr>
        <w:t xml:space="preserve">. Cfr. I. Kant, </w:t>
      </w:r>
      <w:r w:rsidRPr="000D5443">
        <w:rPr>
          <w:rFonts w:ascii="Times New Roman" w:hAnsi="Times New Roman" w:cs="Times New Roman"/>
          <w:i/>
          <w:sz w:val="20"/>
          <w:szCs w:val="20"/>
        </w:rPr>
        <w:t>Kritik der reinen Vernunft</w:t>
      </w:r>
      <w:r w:rsidRPr="000D5443">
        <w:rPr>
          <w:rFonts w:ascii="Times New Roman" w:hAnsi="Times New Roman" w:cs="Times New Roman"/>
          <w:sz w:val="20"/>
          <w:szCs w:val="20"/>
        </w:rPr>
        <w:t xml:space="preserve">, in </w:t>
      </w:r>
      <w:r w:rsidRPr="000D5443">
        <w:rPr>
          <w:rFonts w:ascii="Times New Roman" w:hAnsi="Times New Roman" w:cs="Times New Roman"/>
          <w:i/>
          <w:sz w:val="20"/>
          <w:szCs w:val="20"/>
        </w:rPr>
        <w:t>Kant’s Werke</w:t>
      </w:r>
      <w:r w:rsidRPr="000D5443">
        <w:rPr>
          <w:rFonts w:ascii="Times New Roman" w:hAnsi="Times New Roman" w:cs="Times New Roman"/>
          <w:sz w:val="20"/>
          <w:szCs w:val="20"/>
        </w:rPr>
        <w:t xml:space="preserve">, Bd. III, Georg Reimer Verlag, Berlin 1911, p. 392 e cfr. I. Kant, </w:t>
      </w:r>
      <w:r w:rsidRPr="000D5443">
        <w:rPr>
          <w:rFonts w:ascii="Times New Roman" w:hAnsi="Times New Roman" w:cs="Times New Roman"/>
          <w:i/>
          <w:sz w:val="20"/>
          <w:szCs w:val="20"/>
        </w:rPr>
        <w:t>Die Religion innerhalb der Grenzen der bloßen Vernunft</w:t>
      </w:r>
      <w:r w:rsidRPr="000D5443">
        <w:rPr>
          <w:rFonts w:ascii="Times New Roman" w:hAnsi="Times New Roman" w:cs="Times New Roman"/>
          <w:sz w:val="20"/>
          <w:szCs w:val="20"/>
        </w:rPr>
        <w:t xml:space="preserve"> in </w:t>
      </w:r>
      <w:r w:rsidRPr="000D5443">
        <w:rPr>
          <w:rFonts w:ascii="Times New Roman" w:hAnsi="Times New Roman" w:cs="Times New Roman"/>
          <w:i/>
          <w:sz w:val="20"/>
          <w:szCs w:val="20"/>
        </w:rPr>
        <w:t>Kant’s Werke</w:t>
      </w:r>
      <w:r w:rsidRPr="000D5443">
        <w:rPr>
          <w:rFonts w:ascii="Times New Roman" w:hAnsi="Times New Roman" w:cs="Times New Roman"/>
          <w:sz w:val="20"/>
          <w:szCs w:val="20"/>
        </w:rPr>
        <w:t>, Bd. VI, Georg Reimer Verlag, Berlin 1907, p. 177.</w:t>
      </w:r>
    </w:p>
  </w:footnote>
  <w:footnote w:id="179">
    <w:p w14:paraId="2666D50F" w14:textId="3D538009" w:rsidR="00B34CC2" w:rsidRPr="008B5EF2" w:rsidRDefault="00B34CC2" w:rsidP="00F721A9">
      <w:pPr>
        <w:pStyle w:val="Testonotaapidipagina"/>
        <w:jc w:val="both"/>
        <w:rPr>
          <w:rFonts w:ascii="Times New Roman" w:hAnsi="Times New Roman" w:cs="Times New Roman"/>
          <w:sz w:val="20"/>
          <w:szCs w:val="20"/>
        </w:rPr>
      </w:pPr>
      <w:r w:rsidRPr="008B5EF2">
        <w:rPr>
          <w:rStyle w:val="Rimandonotaapidipagina"/>
          <w:rFonts w:ascii="Times New Roman" w:hAnsi="Times New Roman" w:cs="Times New Roman"/>
          <w:sz w:val="20"/>
          <w:szCs w:val="20"/>
        </w:rPr>
        <w:footnoteRef/>
      </w:r>
      <w:r>
        <w:rPr>
          <w:rFonts w:ascii="Times New Roman" w:hAnsi="Times New Roman" w:cs="Times New Roman"/>
          <w:sz w:val="20"/>
          <w:szCs w:val="20"/>
        </w:rPr>
        <w:t xml:space="preserve"> Vedi </w:t>
      </w:r>
      <w:r w:rsidRPr="005E6581">
        <w:rPr>
          <w:rFonts w:ascii="Times New Roman" w:hAnsi="Times New Roman" w:cs="Times New Roman"/>
          <w:i/>
          <w:sz w:val="20"/>
          <w:szCs w:val="20"/>
        </w:rPr>
        <w:t>supra</w:t>
      </w:r>
      <w:r>
        <w:rPr>
          <w:rFonts w:ascii="Times New Roman" w:hAnsi="Times New Roman" w:cs="Times New Roman"/>
          <w:sz w:val="20"/>
          <w:szCs w:val="20"/>
        </w:rPr>
        <w:t>, pp. 49-52</w:t>
      </w:r>
      <w:r w:rsidRPr="008B5EF2">
        <w:rPr>
          <w:rFonts w:ascii="Times New Roman" w:hAnsi="Times New Roman" w:cs="Times New Roman"/>
          <w:sz w:val="20"/>
          <w:szCs w:val="20"/>
        </w:rPr>
        <w:t>.</w:t>
      </w:r>
    </w:p>
  </w:footnote>
  <w:footnote w:id="180">
    <w:p w14:paraId="0102D538" w14:textId="69C30419" w:rsidR="00B34CC2" w:rsidRPr="0088448D" w:rsidRDefault="00B34CC2" w:rsidP="00F721A9">
      <w:pPr>
        <w:pStyle w:val="Testonotaapidipagina"/>
        <w:jc w:val="both"/>
        <w:rPr>
          <w:rFonts w:ascii="Times New Roman" w:hAnsi="Times New Roman"/>
          <w:sz w:val="20"/>
          <w:szCs w:val="20"/>
        </w:rPr>
      </w:pPr>
      <w:r w:rsidRPr="0088448D">
        <w:rPr>
          <w:rStyle w:val="Rimandonotaapidipagina"/>
          <w:rFonts w:ascii="Times New Roman" w:hAnsi="Times New Roman"/>
          <w:sz w:val="20"/>
          <w:szCs w:val="20"/>
        </w:rPr>
        <w:footnoteRef/>
      </w:r>
      <w:r w:rsidRPr="0088448D">
        <w:rPr>
          <w:rFonts w:ascii="Times New Roman" w:hAnsi="Times New Roman"/>
          <w:sz w:val="20"/>
          <w:szCs w:val="20"/>
        </w:rPr>
        <w:t xml:space="preserve"> </w:t>
      </w:r>
      <w:r w:rsidRPr="0088448D">
        <w:rPr>
          <w:rFonts w:ascii="Times New Roman" w:hAnsi="Times New Roman"/>
          <w:i/>
          <w:sz w:val="20"/>
          <w:szCs w:val="20"/>
        </w:rPr>
        <w:t>WdL II</w:t>
      </w:r>
      <w:r>
        <w:rPr>
          <w:rFonts w:ascii="Times New Roman" w:hAnsi="Times New Roman"/>
          <w:sz w:val="20"/>
          <w:szCs w:val="20"/>
        </w:rPr>
        <w:t>, p. 15.</w:t>
      </w:r>
    </w:p>
  </w:footnote>
  <w:footnote w:id="181">
    <w:p w14:paraId="3F7DB228" w14:textId="435C6DCD" w:rsidR="00B34CC2" w:rsidRPr="00B666F6" w:rsidRDefault="00B34CC2" w:rsidP="00F721A9">
      <w:pPr>
        <w:pStyle w:val="Testonotaapidipagina"/>
        <w:jc w:val="both"/>
        <w:rPr>
          <w:rFonts w:ascii="Times New Roman" w:hAnsi="Times New Roman" w:cs="Times New Roman"/>
          <w:sz w:val="20"/>
          <w:szCs w:val="20"/>
        </w:rPr>
      </w:pPr>
      <w:r w:rsidRPr="00B666F6">
        <w:rPr>
          <w:rStyle w:val="Rimandonotaapidipagina"/>
          <w:rFonts w:ascii="Times New Roman" w:hAnsi="Times New Roman" w:cs="Times New Roman"/>
          <w:sz w:val="20"/>
          <w:szCs w:val="20"/>
        </w:rPr>
        <w:footnoteRef/>
      </w:r>
      <w:r w:rsidRPr="00B666F6">
        <w:rPr>
          <w:rFonts w:ascii="Times New Roman" w:hAnsi="Times New Roman" w:cs="Times New Roman"/>
          <w:sz w:val="20"/>
          <w:szCs w:val="20"/>
        </w:rPr>
        <w:t xml:space="preserve"> </w:t>
      </w:r>
      <w:r>
        <w:rPr>
          <w:rFonts w:ascii="Times New Roman" w:hAnsi="Times New Roman" w:cs="Times New Roman"/>
          <w:i/>
          <w:sz w:val="20"/>
          <w:szCs w:val="20"/>
        </w:rPr>
        <w:t>JSE II</w:t>
      </w:r>
      <w:r>
        <w:rPr>
          <w:rFonts w:ascii="Times New Roman" w:hAnsi="Times New Roman" w:cs="Times New Roman"/>
          <w:sz w:val="20"/>
          <w:szCs w:val="20"/>
        </w:rPr>
        <w:t>, p. 154.</w:t>
      </w:r>
    </w:p>
  </w:footnote>
  <w:footnote w:id="182">
    <w:p w14:paraId="5EF3C102" w14:textId="3FCA9046" w:rsidR="00B34CC2" w:rsidRPr="00A374DD" w:rsidRDefault="00B34CC2" w:rsidP="00F721A9">
      <w:pPr>
        <w:pStyle w:val="Testonotaapidipagina"/>
        <w:jc w:val="both"/>
        <w:rPr>
          <w:rFonts w:ascii="Times New Roman" w:hAnsi="Times New Roman" w:cs="Times New Roman"/>
          <w:sz w:val="20"/>
          <w:szCs w:val="20"/>
        </w:rPr>
      </w:pPr>
      <w:r w:rsidRPr="00A374DD">
        <w:rPr>
          <w:rStyle w:val="Rimandonotaapidipagina"/>
          <w:rFonts w:ascii="Times New Roman" w:hAnsi="Times New Roman" w:cs="Times New Roman"/>
          <w:sz w:val="20"/>
          <w:szCs w:val="20"/>
        </w:rPr>
        <w:footnoteRef/>
      </w:r>
      <w:r w:rsidRPr="00A374DD">
        <w:rPr>
          <w:rFonts w:ascii="Times New Roman" w:hAnsi="Times New Roman" w:cs="Times New Roman"/>
          <w:sz w:val="20"/>
          <w:szCs w:val="20"/>
        </w:rPr>
        <w:t xml:space="preserve"> </w:t>
      </w:r>
      <w:r>
        <w:rPr>
          <w:rFonts w:ascii="Times New Roman" w:hAnsi="Times New Roman" w:cs="Times New Roman"/>
          <w:i/>
          <w:sz w:val="20"/>
          <w:szCs w:val="20"/>
        </w:rPr>
        <w:t>Ivi</w:t>
      </w:r>
      <w:r>
        <w:rPr>
          <w:rFonts w:ascii="Times New Roman" w:hAnsi="Times New Roman" w:cs="Times New Roman"/>
          <w:sz w:val="20"/>
          <w:szCs w:val="20"/>
        </w:rPr>
        <w:t>, p. 153.</w:t>
      </w:r>
    </w:p>
  </w:footnote>
  <w:footnote w:id="183">
    <w:p w14:paraId="1AA7587B" w14:textId="5D526357" w:rsidR="00B34CC2" w:rsidRPr="00BB6DF2" w:rsidRDefault="00B34CC2" w:rsidP="00F721A9">
      <w:pPr>
        <w:pStyle w:val="Testonotaapidipagina"/>
        <w:jc w:val="both"/>
        <w:rPr>
          <w:rFonts w:ascii="Times New Roman" w:hAnsi="Times New Roman" w:cs="Times New Roman"/>
          <w:sz w:val="20"/>
          <w:szCs w:val="20"/>
        </w:rPr>
      </w:pPr>
      <w:r w:rsidRPr="00BB6DF2">
        <w:rPr>
          <w:rStyle w:val="Rimandonotaapidipagina"/>
          <w:rFonts w:ascii="Times New Roman" w:hAnsi="Times New Roman" w:cs="Times New Roman"/>
          <w:sz w:val="20"/>
          <w:szCs w:val="20"/>
        </w:rPr>
        <w:footnoteRef/>
      </w:r>
      <w:r w:rsidRPr="00BB6DF2">
        <w:rPr>
          <w:rFonts w:ascii="Times New Roman" w:hAnsi="Times New Roman" w:cs="Times New Roman"/>
          <w:sz w:val="20"/>
          <w:szCs w:val="20"/>
        </w:rPr>
        <w:t xml:space="preserve"> </w:t>
      </w:r>
      <w:r>
        <w:rPr>
          <w:rFonts w:ascii="Times New Roman" w:hAnsi="Times New Roman" w:cs="Times New Roman"/>
          <w:sz w:val="20"/>
          <w:szCs w:val="20"/>
        </w:rPr>
        <w:t xml:space="preserve">Sull’interpretazione hegeliana della formula spinoziana </w:t>
      </w:r>
      <w:r w:rsidRPr="00793587">
        <w:rPr>
          <w:rFonts w:ascii="Times New Roman" w:eastAsia="Times New Roman" w:hAnsi="Times New Roman" w:cs="Times New Roman"/>
          <w:i/>
          <w:color w:val="000000"/>
          <w:sz w:val="20"/>
          <w:szCs w:val="20"/>
        </w:rPr>
        <w:t>determinatio negatio est</w:t>
      </w:r>
      <w:r>
        <w:rPr>
          <w:rFonts w:ascii="Times New Roman" w:hAnsi="Times New Roman" w:cs="Times New Roman"/>
          <w:sz w:val="20"/>
          <w:szCs w:val="20"/>
        </w:rPr>
        <w:t xml:space="preserve"> si rimanda al già citato F. Chiereghin, </w:t>
      </w:r>
      <w:r w:rsidRPr="00B248C8">
        <w:rPr>
          <w:rFonts w:ascii="Times New Roman" w:hAnsi="Times New Roman" w:cs="Times New Roman"/>
          <w:i/>
          <w:sz w:val="20"/>
          <w:szCs w:val="20"/>
        </w:rPr>
        <w:t>L’influenza dello spinozismo nella formazione della filosofia hegeliana,</w:t>
      </w:r>
      <w:r>
        <w:rPr>
          <w:rFonts w:ascii="Times New Roman" w:hAnsi="Times New Roman" w:cs="Times New Roman"/>
          <w:sz w:val="20"/>
          <w:szCs w:val="20"/>
        </w:rPr>
        <w:t xml:space="preserve"> cit., p. 135. Fra i molti contributi si segnalano </w:t>
      </w:r>
      <w:r w:rsidRPr="006550C3">
        <w:rPr>
          <w:rFonts w:ascii="Times New Roman" w:hAnsi="Times New Roman" w:cs="Times New Roman"/>
          <w:sz w:val="20"/>
          <w:szCs w:val="20"/>
        </w:rPr>
        <w:t xml:space="preserve">F. Biasutti, </w:t>
      </w:r>
      <w:r w:rsidRPr="006550C3">
        <w:rPr>
          <w:rFonts w:ascii="Times New Roman" w:hAnsi="Times New Roman" w:cs="Times New Roman"/>
          <w:i/>
          <w:sz w:val="20"/>
          <w:szCs w:val="20"/>
        </w:rPr>
        <w:t>Assolutezza e soggettività. L’idea di religione in Hegel</w:t>
      </w:r>
      <w:r w:rsidRPr="006550C3">
        <w:rPr>
          <w:rFonts w:ascii="Times New Roman" w:hAnsi="Times New Roman" w:cs="Times New Roman"/>
          <w:sz w:val="20"/>
          <w:szCs w:val="20"/>
        </w:rPr>
        <w:t>, Verifiche, Trento 1979, pp. 113-121</w:t>
      </w:r>
      <w:r>
        <w:rPr>
          <w:rFonts w:ascii="Times New Roman" w:hAnsi="Times New Roman" w:cs="Times New Roman"/>
          <w:sz w:val="20"/>
          <w:szCs w:val="20"/>
        </w:rPr>
        <w:t xml:space="preserve">; </w:t>
      </w:r>
      <w:r w:rsidRPr="009C4693">
        <w:rPr>
          <w:rFonts w:ascii="Times New Roman" w:hAnsi="Times New Roman" w:cs="Times New Roman"/>
          <w:sz w:val="20"/>
          <w:szCs w:val="20"/>
        </w:rPr>
        <w:t xml:space="preserve">B. Bowman, </w:t>
      </w:r>
      <w:r w:rsidRPr="009C4693">
        <w:rPr>
          <w:rFonts w:ascii="Times New Roman" w:hAnsi="Times New Roman" w:cs="Times New Roman"/>
          <w:i/>
          <w:sz w:val="20"/>
          <w:szCs w:val="20"/>
        </w:rPr>
        <w:t>Hegel and the Metaphysics of Absolute Negativity</w:t>
      </w:r>
      <w:r w:rsidRPr="009C4693">
        <w:rPr>
          <w:rFonts w:ascii="Times New Roman" w:hAnsi="Times New Roman" w:cs="Times New Roman"/>
          <w:sz w:val="20"/>
          <w:szCs w:val="20"/>
        </w:rPr>
        <w:t>,</w:t>
      </w:r>
      <w:r>
        <w:rPr>
          <w:rFonts w:ascii="Times New Roman" w:hAnsi="Times New Roman" w:cs="Times New Roman"/>
          <w:sz w:val="20"/>
          <w:szCs w:val="20"/>
        </w:rPr>
        <w:t xml:space="preserve"> cit., pp. 45-47; Y. Melamed, </w:t>
      </w:r>
      <w:r w:rsidRPr="00027A02">
        <w:rPr>
          <w:rFonts w:ascii="Times New Roman" w:hAnsi="Times New Roman" w:cs="Times New Roman"/>
          <w:i/>
          <w:sz w:val="20"/>
          <w:szCs w:val="20"/>
        </w:rPr>
        <w:t>Acomism or weak individualism? Hegel, Spinoza and the Reality of Finite</w:t>
      </w:r>
      <w:r>
        <w:rPr>
          <w:rFonts w:ascii="Times New Roman" w:hAnsi="Times New Roman" w:cs="Times New Roman"/>
          <w:sz w:val="20"/>
          <w:szCs w:val="20"/>
        </w:rPr>
        <w:t>, in «Journal of the History of Philosophy</w:t>
      </w:r>
      <w:r>
        <w:rPr>
          <w:rFonts w:ascii="Times New Roman" w:eastAsia="Times New Roman" w:hAnsi="Times New Roman" w:cs="Times New Roman"/>
          <w:color w:val="000000"/>
          <w:sz w:val="20"/>
          <w:szCs w:val="20"/>
        </w:rPr>
        <w:t xml:space="preserve">, vol. 48, n. 1, 2010, pp. 77-92; </w:t>
      </w:r>
      <w:r w:rsidRPr="00C2628B">
        <w:rPr>
          <w:rFonts w:ascii="Times New Roman" w:eastAsia="Times New Roman" w:hAnsi="Times New Roman" w:cs="Times New Roman"/>
          <w:color w:val="000000"/>
          <w:sz w:val="20"/>
          <w:szCs w:val="20"/>
        </w:rPr>
        <w:t xml:space="preserve">V. Morfino, </w:t>
      </w:r>
      <w:r w:rsidRPr="00C2628B">
        <w:rPr>
          <w:rFonts w:ascii="Times New Roman" w:hAnsi="Times New Roman" w:cs="Times New Roman"/>
          <w:i/>
          <w:sz w:val="20"/>
          <w:szCs w:val="20"/>
        </w:rPr>
        <w:t>Substantia sive organismus: immagine e funzione teorica di Spinoza negli scritti jenesi di Hegel</w:t>
      </w:r>
      <w:r w:rsidRPr="00C2628B">
        <w:rPr>
          <w:rFonts w:ascii="Times New Roman" w:hAnsi="Times New Roman" w:cs="Times New Roman"/>
          <w:sz w:val="20"/>
          <w:szCs w:val="20"/>
        </w:rPr>
        <w:t xml:space="preserve">, </w:t>
      </w:r>
      <w:r>
        <w:rPr>
          <w:rFonts w:ascii="Times New Roman" w:hAnsi="Times New Roman" w:cs="Times New Roman"/>
          <w:sz w:val="20"/>
          <w:szCs w:val="20"/>
        </w:rPr>
        <w:t>cit.</w:t>
      </w:r>
      <w:r w:rsidRPr="00C2628B">
        <w:rPr>
          <w:rFonts w:ascii="Times New Roman" w:hAnsi="Times New Roman" w:cs="Times New Roman"/>
          <w:sz w:val="20"/>
          <w:szCs w:val="20"/>
        </w:rPr>
        <w:t>, pp</w:t>
      </w:r>
      <w:r w:rsidRPr="00C2628B">
        <w:rPr>
          <w:rFonts w:ascii="Times New Roman" w:hAnsi="Times New Roman" w:cs="Times New Roman"/>
        </w:rPr>
        <w:t xml:space="preserve">. </w:t>
      </w:r>
      <w:r w:rsidRPr="00C2628B">
        <w:rPr>
          <w:rFonts w:ascii="Times New Roman" w:hAnsi="Times New Roman" w:cs="Times New Roman"/>
          <w:sz w:val="20"/>
          <w:szCs w:val="20"/>
        </w:rPr>
        <w:t>39-40 e pp. 131-135</w:t>
      </w:r>
      <w:r w:rsidRPr="00C2628B">
        <w:rPr>
          <w:rFonts w:ascii="Times New Roman" w:hAnsi="Times New Roman" w:cs="Times New Roman"/>
        </w:rPr>
        <w:t xml:space="preserve">; </w:t>
      </w:r>
      <w:r w:rsidRPr="00C2628B">
        <w:rPr>
          <w:rFonts w:ascii="Times New Roman" w:hAnsi="Times New Roman" w:cs="Times New Roman"/>
          <w:sz w:val="20"/>
          <w:szCs w:val="20"/>
        </w:rPr>
        <w:t>V.</w:t>
      </w:r>
      <w:r>
        <w:rPr>
          <w:rFonts w:ascii="Times New Roman" w:hAnsi="Times New Roman" w:cs="Times New Roman"/>
          <w:sz w:val="20"/>
          <w:szCs w:val="20"/>
        </w:rPr>
        <w:t xml:space="preserve"> Morfino, </w:t>
      </w:r>
      <w:r w:rsidRPr="00235CE9">
        <w:rPr>
          <w:rFonts w:ascii="Times New Roman" w:hAnsi="Times New Roman" w:cs="Times New Roman"/>
          <w:i/>
          <w:sz w:val="20"/>
          <w:szCs w:val="20"/>
        </w:rPr>
        <w:t>Genealogia di un pregiudizio. L’immagine di Spinoza da Leibniz a Marx</w:t>
      </w:r>
      <w:r>
        <w:rPr>
          <w:rFonts w:ascii="Times New Roman" w:hAnsi="Times New Roman" w:cs="Times New Roman"/>
          <w:sz w:val="20"/>
          <w:szCs w:val="20"/>
        </w:rPr>
        <w:t xml:space="preserve">, cit., pp. 123-133 e pp. 212-231; M. Vater, </w:t>
      </w:r>
      <w:r>
        <w:rPr>
          <w:rFonts w:ascii="Times New Roman" w:hAnsi="Times New Roman" w:cs="Times New Roman"/>
          <w:i/>
          <w:sz w:val="20"/>
          <w:szCs w:val="20"/>
        </w:rPr>
        <w:t>“Omnis determinatio est negatio”: determination, negation and self-negation in Spinoza</w:t>
      </w:r>
      <w:r>
        <w:rPr>
          <w:rFonts w:ascii="Times New Roman" w:hAnsi="Times New Roman" w:cs="Times New Roman"/>
          <w:sz w:val="20"/>
          <w:szCs w:val="20"/>
        </w:rPr>
        <w:t xml:space="preserve">, in </w:t>
      </w:r>
      <w:r>
        <w:rPr>
          <w:rFonts w:ascii="Times New Roman" w:hAnsi="Times New Roman" w:cs="Times New Roman"/>
          <w:i/>
          <w:sz w:val="20"/>
          <w:szCs w:val="20"/>
        </w:rPr>
        <w:t>Spinoza and German Idealism</w:t>
      </w:r>
      <w:r>
        <w:rPr>
          <w:rFonts w:ascii="Times New Roman" w:hAnsi="Times New Roman" w:cs="Times New Roman"/>
          <w:sz w:val="20"/>
          <w:szCs w:val="20"/>
        </w:rPr>
        <w:t xml:space="preserve">, ed. by E. Förster and Y. Melamed, Cambridge University Press, New York 2012, pp. 175-197.  </w:t>
      </w:r>
    </w:p>
  </w:footnote>
  <w:footnote w:id="184">
    <w:p w14:paraId="0D21F1DB" w14:textId="6F17DD0C" w:rsidR="00B34CC2" w:rsidRPr="00EF03B8" w:rsidRDefault="00B34CC2" w:rsidP="00F721A9">
      <w:pPr>
        <w:pStyle w:val="Testonotaapidipagina"/>
        <w:jc w:val="both"/>
        <w:rPr>
          <w:rFonts w:ascii="Times New Roman" w:hAnsi="Times New Roman" w:cs="Times New Roman"/>
          <w:sz w:val="20"/>
          <w:szCs w:val="20"/>
        </w:rPr>
      </w:pPr>
      <w:r w:rsidRPr="00177A38">
        <w:rPr>
          <w:rStyle w:val="Rimandonotaapidipagina"/>
          <w:rFonts w:ascii="Times New Roman" w:hAnsi="Times New Roman" w:cs="Times New Roman"/>
          <w:sz w:val="20"/>
          <w:szCs w:val="20"/>
        </w:rPr>
        <w:footnoteRef/>
      </w:r>
      <w:r w:rsidRPr="00177A38">
        <w:rPr>
          <w:rFonts w:ascii="Times New Roman" w:hAnsi="Times New Roman" w:cs="Times New Roman"/>
          <w:sz w:val="20"/>
          <w:szCs w:val="20"/>
        </w:rPr>
        <w:t xml:space="preserve"> </w:t>
      </w:r>
      <w:r>
        <w:rPr>
          <w:rFonts w:ascii="Times New Roman" w:hAnsi="Times New Roman" w:cs="Times New Roman"/>
          <w:sz w:val="20"/>
          <w:szCs w:val="20"/>
        </w:rPr>
        <w:t xml:space="preserve">Cfr. </w:t>
      </w:r>
      <w:r w:rsidRPr="00177A38">
        <w:rPr>
          <w:rFonts w:ascii="Times New Roman" w:hAnsi="Times New Roman" w:cs="Times New Roman"/>
          <w:i/>
          <w:sz w:val="20"/>
          <w:szCs w:val="20"/>
        </w:rPr>
        <w:t>WdL</w:t>
      </w:r>
      <w:r>
        <w:rPr>
          <w:rFonts w:ascii="Times New Roman" w:hAnsi="Times New Roman" w:cs="Times New Roman"/>
          <w:i/>
          <w:sz w:val="20"/>
          <w:szCs w:val="20"/>
        </w:rPr>
        <w:t xml:space="preserve"> I A</w:t>
      </w:r>
      <w:r>
        <w:rPr>
          <w:rFonts w:ascii="Times New Roman" w:hAnsi="Times New Roman" w:cs="Times New Roman"/>
          <w:sz w:val="20"/>
          <w:szCs w:val="20"/>
        </w:rPr>
        <w:t xml:space="preserve">, p. 76: </w:t>
      </w:r>
      <w:r w:rsidRPr="004473A2">
        <w:rPr>
          <w:rFonts w:ascii="Times New Roman" w:hAnsi="Times New Roman" w:cs="Times New Roman"/>
          <w:sz w:val="20"/>
          <w:szCs w:val="20"/>
        </w:rPr>
        <w:t>«</w:t>
      </w:r>
      <w:r w:rsidRPr="00CF09D2">
        <w:rPr>
          <w:rFonts w:ascii="Times New Roman" w:hAnsi="Times New Roman" w:cs="Times New Roman"/>
          <w:sz w:val="20"/>
          <w:szCs w:val="20"/>
        </w:rPr>
        <w:t>Von dem Satze, daß die Bestimmtheit Negation ist, ist die Einheit der Spinozistischen Substanz, oder daß nur eine Substanz ist, – eine notwendige Consequenz. Denken und Sein mußte er in dieser Einheit alse in setzen, denn als bestimmte Realitäten, sind sie Negationen, deren Unendlichkeit oder Wahrheit nur ihre Einheit ist. Er begriff sie daher als Attribute, d. h. als solche, die nicht ein besonderes Bestehen, ein An-und-für-sich-Sein haben, sondern nur als gehobene, als Momente sind</w:t>
      </w:r>
      <w:r w:rsidRPr="00CF09D2">
        <w:rPr>
          <w:rFonts w:ascii="Times New Roman" w:eastAsia="Times New Roman" w:hAnsi="Times New Roman" w:cs="Times New Roman"/>
          <w:color w:val="000000"/>
          <w:sz w:val="20"/>
          <w:szCs w:val="20"/>
        </w:rPr>
        <w:t xml:space="preserve">». Sulla discussione dello spinozismo nella </w:t>
      </w:r>
      <w:r w:rsidRPr="00CF09D2">
        <w:rPr>
          <w:rFonts w:ascii="Times New Roman" w:eastAsia="Times New Roman" w:hAnsi="Times New Roman" w:cs="Times New Roman"/>
          <w:i/>
          <w:color w:val="000000"/>
          <w:sz w:val="20"/>
          <w:szCs w:val="20"/>
        </w:rPr>
        <w:t xml:space="preserve">Wissenschaft der Logik </w:t>
      </w:r>
      <w:r w:rsidRPr="00CF09D2">
        <w:rPr>
          <w:rFonts w:ascii="Times New Roman" w:eastAsia="Times New Roman" w:hAnsi="Times New Roman" w:cs="Times New Roman"/>
          <w:color w:val="000000"/>
          <w:sz w:val="20"/>
          <w:szCs w:val="20"/>
        </w:rPr>
        <w:t>torneremo nel prossimo capitolo. In questa sede, mi preme sottolineare la continuità di certe posizioni teoriche jenesi con quelle delle maturità. Riguardo alla continuità di questa interpretazione con quella della</w:t>
      </w:r>
      <w:r w:rsidRPr="00CF09D2">
        <w:rPr>
          <w:rFonts w:ascii="Times New Roman" w:eastAsia="Times New Roman" w:hAnsi="Times New Roman" w:cs="Times New Roman"/>
          <w:i/>
          <w:color w:val="000000"/>
          <w:sz w:val="20"/>
          <w:szCs w:val="20"/>
        </w:rPr>
        <w:t xml:space="preserve"> </w:t>
      </w:r>
      <w:r w:rsidRPr="00CF09D2">
        <w:rPr>
          <w:rFonts w:ascii="Times New Roman" w:eastAsia="Times New Roman" w:hAnsi="Times New Roman" w:cs="Times New Roman"/>
          <w:color w:val="000000"/>
          <w:sz w:val="20"/>
          <w:szCs w:val="20"/>
        </w:rPr>
        <w:t>logica norimberghese, vedi</w:t>
      </w:r>
      <w:r>
        <w:rPr>
          <w:rFonts w:ascii="Times New Roman" w:eastAsia="Times New Roman" w:hAnsi="Times New Roman" w:cs="Times New Roman"/>
          <w:color w:val="000000"/>
          <w:sz w:val="20"/>
          <w:szCs w:val="20"/>
        </w:rPr>
        <w:t xml:space="preserve"> il commento alla traduzione italiana della </w:t>
      </w:r>
      <w:r w:rsidRPr="008779B8">
        <w:rPr>
          <w:rFonts w:ascii="Times New Roman" w:eastAsia="Times New Roman" w:hAnsi="Times New Roman" w:cs="Times New Roman"/>
          <w:i/>
          <w:color w:val="000000"/>
          <w:sz w:val="20"/>
          <w:szCs w:val="20"/>
        </w:rPr>
        <w:t>Jenaer Logik e Metaphysik</w:t>
      </w:r>
      <w:r>
        <w:rPr>
          <w:rFonts w:ascii="Times New Roman" w:eastAsia="Times New Roman" w:hAnsi="Times New Roman" w:cs="Times New Roman"/>
          <w:color w:val="000000"/>
          <w:sz w:val="20"/>
          <w:szCs w:val="20"/>
        </w:rPr>
        <w:t xml:space="preserve"> di F. Chiereghin e G. Perin Rossi, </w:t>
      </w:r>
      <w:r>
        <w:rPr>
          <w:rFonts w:ascii="Times New Roman" w:eastAsia="Times New Roman" w:hAnsi="Times New Roman" w:cs="Times New Roman"/>
          <w:i/>
          <w:color w:val="000000"/>
          <w:sz w:val="20"/>
          <w:szCs w:val="20"/>
        </w:rPr>
        <w:t>La metafisica dell’oggettività</w:t>
      </w:r>
      <w:r>
        <w:rPr>
          <w:rFonts w:ascii="Times New Roman" w:eastAsia="Times New Roman" w:hAnsi="Times New Roman" w:cs="Times New Roman"/>
          <w:color w:val="000000"/>
          <w:sz w:val="20"/>
          <w:szCs w:val="20"/>
        </w:rPr>
        <w:t xml:space="preserve">, in </w:t>
      </w:r>
      <w:r w:rsidRPr="008779B8">
        <w:rPr>
          <w:rFonts w:ascii="Times New Roman" w:eastAsia="Times New Roman" w:hAnsi="Times New Roman" w:cs="Times New Roman"/>
          <w:i/>
          <w:color w:val="000000"/>
          <w:sz w:val="20"/>
          <w:szCs w:val="20"/>
        </w:rPr>
        <w:t>Logica e metafisica di Jena</w:t>
      </w:r>
      <w:r>
        <w:rPr>
          <w:rFonts w:ascii="Times New Roman" w:eastAsia="Times New Roman" w:hAnsi="Times New Roman" w:cs="Times New Roman"/>
          <w:color w:val="000000"/>
          <w:sz w:val="20"/>
          <w:szCs w:val="20"/>
        </w:rPr>
        <w:t xml:space="preserve"> (a cura di F. Chiereghin), traduzione, introduzione e commento di F. Biasutti, L. Bignami, F. Chiereghin, A. Gaiarsa, M. Giacin, F. Longato, F. Menegoni, A. Moretto, G. Perin Rossi, Verifiche, Trento 1980, pp. 494-501.</w:t>
      </w:r>
    </w:p>
  </w:footnote>
  <w:footnote w:id="185">
    <w:p w14:paraId="69D7219F" w14:textId="54C08072" w:rsidR="00B34CC2" w:rsidRPr="00177A38" w:rsidRDefault="00B34CC2" w:rsidP="00F721A9">
      <w:pPr>
        <w:pStyle w:val="Testonotaapidipagina"/>
        <w:jc w:val="both"/>
        <w:rPr>
          <w:rFonts w:ascii="Times New Roman" w:hAnsi="Times New Roman" w:cs="Times New Roman"/>
          <w:sz w:val="20"/>
          <w:szCs w:val="20"/>
        </w:rPr>
      </w:pPr>
      <w:r w:rsidRPr="00177A38">
        <w:rPr>
          <w:rStyle w:val="Rimandonotaapidipagina"/>
          <w:rFonts w:ascii="Times New Roman" w:hAnsi="Times New Roman" w:cs="Times New Roman"/>
          <w:sz w:val="20"/>
          <w:szCs w:val="20"/>
        </w:rPr>
        <w:footnoteRef/>
      </w:r>
      <w:r w:rsidRPr="00177A38">
        <w:rPr>
          <w:rFonts w:ascii="Times New Roman" w:hAnsi="Times New Roman" w:cs="Times New Roman"/>
          <w:sz w:val="20"/>
          <w:szCs w:val="20"/>
        </w:rPr>
        <w:t xml:space="preserve"> </w:t>
      </w:r>
      <w:r w:rsidRPr="00177A38">
        <w:rPr>
          <w:rFonts w:ascii="Times New Roman" w:hAnsi="Times New Roman" w:cs="Times New Roman"/>
          <w:i/>
          <w:sz w:val="20"/>
          <w:szCs w:val="20"/>
        </w:rPr>
        <w:t>Ibidem.</w:t>
      </w:r>
    </w:p>
  </w:footnote>
  <w:footnote w:id="186">
    <w:p w14:paraId="101036DD" w14:textId="4C43AC77" w:rsidR="00B34CC2" w:rsidRPr="00986A8F" w:rsidRDefault="00B34CC2" w:rsidP="00F721A9">
      <w:pPr>
        <w:pStyle w:val="Testonotaapidipagina"/>
        <w:jc w:val="both"/>
        <w:rPr>
          <w:rFonts w:ascii="Times New Roman" w:hAnsi="Times New Roman" w:cs="Times New Roman"/>
          <w:sz w:val="20"/>
          <w:szCs w:val="20"/>
        </w:rPr>
      </w:pPr>
      <w:r w:rsidRPr="00986A8F">
        <w:rPr>
          <w:rStyle w:val="Rimandonotaapidipagina"/>
          <w:rFonts w:ascii="Times New Roman" w:hAnsi="Times New Roman" w:cs="Times New Roman"/>
          <w:sz w:val="20"/>
          <w:szCs w:val="20"/>
        </w:rPr>
        <w:footnoteRef/>
      </w:r>
      <w:r w:rsidRPr="00986A8F">
        <w:rPr>
          <w:rFonts w:ascii="Times New Roman" w:hAnsi="Times New Roman" w:cs="Times New Roman"/>
          <w:sz w:val="20"/>
          <w:szCs w:val="20"/>
        </w:rPr>
        <w:t xml:space="preserve"> </w:t>
      </w:r>
      <w:r>
        <w:rPr>
          <w:rFonts w:ascii="Times New Roman" w:hAnsi="Times New Roman" w:cs="Times New Roman"/>
          <w:i/>
          <w:sz w:val="20"/>
          <w:szCs w:val="20"/>
        </w:rPr>
        <w:t>JSE II</w:t>
      </w:r>
      <w:r>
        <w:rPr>
          <w:rFonts w:ascii="Times New Roman" w:hAnsi="Times New Roman" w:cs="Times New Roman"/>
          <w:sz w:val="20"/>
          <w:szCs w:val="20"/>
        </w:rPr>
        <w:t>, p. 153.</w:t>
      </w:r>
    </w:p>
  </w:footnote>
  <w:footnote w:id="187">
    <w:p w14:paraId="194B2F84" w14:textId="566526E8" w:rsidR="00B34CC2" w:rsidRPr="001F2ABB" w:rsidRDefault="00B34CC2" w:rsidP="00F721A9">
      <w:pPr>
        <w:pStyle w:val="Testonotaapidipagina"/>
        <w:jc w:val="both"/>
        <w:rPr>
          <w:rFonts w:ascii="Times New Roman" w:hAnsi="Times New Roman" w:cs="Times New Roman"/>
          <w:sz w:val="20"/>
          <w:szCs w:val="20"/>
        </w:rPr>
      </w:pPr>
      <w:r w:rsidRPr="001F2ABB">
        <w:rPr>
          <w:rStyle w:val="Rimandonotaapidipagina"/>
          <w:rFonts w:ascii="Times New Roman" w:hAnsi="Times New Roman" w:cs="Times New Roman"/>
          <w:sz w:val="20"/>
          <w:szCs w:val="20"/>
        </w:rPr>
        <w:footnoteRef/>
      </w:r>
      <w:r>
        <w:rPr>
          <w:rFonts w:ascii="Times New Roman" w:hAnsi="Times New Roman" w:cs="Times New Roman"/>
          <w:i/>
          <w:sz w:val="20"/>
          <w:szCs w:val="20"/>
        </w:rPr>
        <w:t xml:space="preserve"> Ibidem</w:t>
      </w:r>
      <w:r>
        <w:rPr>
          <w:rFonts w:ascii="Times New Roman" w:hAnsi="Times New Roman" w:cs="Times New Roman"/>
          <w:sz w:val="20"/>
          <w:szCs w:val="20"/>
        </w:rPr>
        <w:t>.</w:t>
      </w:r>
    </w:p>
  </w:footnote>
  <w:footnote w:id="188">
    <w:p w14:paraId="4E85AB6F" w14:textId="7792F014" w:rsidR="00B34CC2" w:rsidRPr="00885B97" w:rsidRDefault="00B34CC2" w:rsidP="00F721A9">
      <w:pPr>
        <w:pStyle w:val="Testonotaapidipagina"/>
        <w:jc w:val="both"/>
        <w:rPr>
          <w:rFonts w:ascii="Times New Roman" w:hAnsi="Times New Roman" w:cs="Times New Roman"/>
          <w:sz w:val="20"/>
          <w:szCs w:val="20"/>
        </w:rPr>
      </w:pPr>
      <w:r w:rsidRPr="006054AE">
        <w:rPr>
          <w:rStyle w:val="Rimandonotaapidipagina"/>
          <w:rFonts w:ascii="Times New Roman" w:hAnsi="Times New Roman" w:cs="Times New Roman"/>
          <w:sz w:val="20"/>
          <w:szCs w:val="20"/>
        </w:rPr>
        <w:footnoteRef/>
      </w:r>
      <w:r w:rsidRPr="006054AE">
        <w:rPr>
          <w:rFonts w:ascii="Times New Roman" w:hAnsi="Times New Roman" w:cs="Times New Roman"/>
          <w:sz w:val="20"/>
          <w:szCs w:val="20"/>
        </w:rPr>
        <w:t xml:space="preserve"> Ciò sarà riproposto da Hegel nella</w:t>
      </w:r>
      <w:r>
        <w:rPr>
          <w:rFonts w:ascii="Times New Roman" w:hAnsi="Times New Roman" w:cs="Times New Roman"/>
          <w:i/>
          <w:sz w:val="20"/>
          <w:szCs w:val="20"/>
        </w:rPr>
        <w:t xml:space="preserve"> Wesenslogik</w:t>
      </w:r>
      <w:r w:rsidRPr="006054AE">
        <w:rPr>
          <w:rFonts w:ascii="Times New Roman" w:hAnsi="Times New Roman" w:cs="Times New Roman"/>
          <w:sz w:val="20"/>
          <w:szCs w:val="20"/>
        </w:rPr>
        <w:t>, precisamente nella sezione dedicata all’</w:t>
      </w:r>
      <w:r w:rsidRPr="006054AE">
        <w:rPr>
          <w:rFonts w:ascii="Times New Roman" w:hAnsi="Times New Roman" w:cs="Times New Roman"/>
          <w:i/>
          <w:sz w:val="20"/>
          <w:szCs w:val="20"/>
        </w:rPr>
        <w:t>Absolute</w:t>
      </w:r>
      <w:r w:rsidRPr="006054AE">
        <w:rPr>
          <w:rFonts w:ascii="Times New Roman" w:hAnsi="Times New Roman" w:cs="Times New Roman"/>
          <w:sz w:val="20"/>
          <w:szCs w:val="20"/>
        </w:rPr>
        <w:t xml:space="preserve">, dove sarà confermata l’associazione dell’emanazionismo con lo spinozismo. Cfr. G.W.F. Hegel, </w:t>
      </w:r>
      <w:r>
        <w:rPr>
          <w:rFonts w:ascii="Times New Roman" w:hAnsi="Times New Roman" w:cs="Times New Roman"/>
          <w:i/>
          <w:sz w:val="20"/>
          <w:szCs w:val="20"/>
        </w:rPr>
        <w:t xml:space="preserve">WdL </w:t>
      </w:r>
      <w:r w:rsidRPr="006054AE">
        <w:rPr>
          <w:rFonts w:ascii="Times New Roman" w:hAnsi="Times New Roman" w:cs="Times New Roman"/>
          <w:i/>
          <w:sz w:val="20"/>
          <w:szCs w:val="20"/>
        </w:rPr>
        <w:t>I</w:t>
      </w:r>
      <w:r>
        <w:rPr>
          <w:rFonts w:ascii="Times New Roman" w:hAnsi="Times New Roman" w:cs="Times New Roman"/>
          <w:i/>
          <w:sz w:val="20"/>
          <w:szCs w:val="20"/>
        </w:rPr>
        <w:t xml:space="preserve"> A</w:t>
      </w:r>
      <w:r w:rsidRPr="006054AE">
        <w:rPr>
          <w:rFonts w:ascii="Times New Roman" w:hAnsi="Times New Roman" w:cs="Times New Roman"/>
          <w:sz w:val="20"/>
          <w:szCs w:val="20"/>
        </w:rPr>
        <w:t>, p. 378: «Auf gleiche Weise</w:t>
      </w:r>
      <w:r w:rsidRPr="001B1771">
        <w:rPr>
          <w:rFonts w:ascii="Times New Roman" w:hAnsi="Times New Roman" w:cs="Times New Roman"/>
          <w:sz w:val="20"/>
          <w:szCs w:val="20"/>
        </w:rPr>
        <w:t xml:space="preserve"> ist in der orientalischen Vorstellung der Emanation das Absolute das sich selbst erleuchtende Licht. Allein es erleuchtet sich nicht nur, sonder strömt auch aus. Seine Ausströmungen sind Entfernungen von seiner ungetrübten Klarheit; die folgenden Ausgeburten sind unvollkommener als die vorhergehenden, aus denen sie entstehen. Das </w:t>
      </w:r>
      <w:r w:rsidRPr="00CF09D2">
        <w:rPr>
          <w:rFonts w:ascii="Times New Roman" w:hAnsi="Times New Roman" w:cs="Times New Roman"/>
          <w:sz w:val="20"/>
          <w:szCs w:val="20"/>
        </w:rPr>
        <w:t>Ausströmen ist nur als ein Geschehen genommen, das Werden nur als ein fortgehender Verlust. So verdunkelt sich das Sein immer mehr, und die Natur, das Negative, ist das Letzte der Linie, das nicht in das Licht zurückkehrt</w:t>
      </w:r>
      <w:r w:rsidRPr="00CF09D2">
        <w:rPr>
          <w:rFonts w:ascii="Times New Roman" w:eastAsia="Times New Roman" w:hAnsi="Times New Roman" w:cs="Times New Roman"/>
          <w:color w:val="000000"/>
          <w:sz w:val="20"/>
          <w:szCs w:val="20"/>
        </w:rPr>
        <w:t xml:space="preserve">». Anche in questo caso, come del resto già nella </w:t>
      </w:r>
      <w:r w:rsidRPr="00CF09D2">
        <w:rPr>
          <w:rFonts w:ascii="Times New Roman" w:eastAsia="Times New Roman" w:hAnsi="Times New Roman" w:cs="Times New Roman"/>
          <w:i/>
          <w:color w:val="000000"/>
          <w:sz w:val="20"/>
          <w:szCs w:val="20"/>
        </w:rPr>
        <w:t>Jenaer Metaphysik</w:t>
      </w:r>
      <w:r w:rsidRPr="00CF09D2">
        <w:rPr>
          <w:rFonts w:ascii="Times New Roman" w:eastAsia="Times New Roman" w:hAnsi="Times New Roman" w:cs="Times New Roman"/>
          <w:color w:val="000000"/>
          <w:sz w:val="20"/>
          <w:szCs w:val="20"/>
        </w:rPr>
        <w:t xml:space="preserve">, </w:t>
      </w:r>
      <w:r w:rsidRPr="00CF09D2">
        <w:rPr>
          <w:rFonts w:ascii="Times New Roman" w:hAnsi="Times New Roman" w:cs="Times New Roman"/>
          <w:sz w:val="20"/>
          <w:szCs w:val="20"/>
        </w:rPr>
        <w:t>la luce, nella sua progressiva espansione, non ricomprende in sé la natura, o la sfera del finito, proprio perché essa si disperde nel processo emanativo.</w:t>
      </w:r>
      <w:r w:rsidRPr="00B07B0A">
        <w:rPr>
          <w:rFonts w:ascii="Times New Roman" w:hAnsi="Times New Roman" w:cs="Times New Roman"/>
          <w:sz w:val="20"/>
          <w:szCs w:val="20"/>
        </w:rPr>
        <w:t xml:space="preserve"> L’emanatismo tipico dell’Orient</w:t>
      </w:r>
      <w:r>
        <w:rPr>
          <w:rFonts w:ascii="Times New Roman" w:hAnsi="Times New Roman" w:cs="Times New Roman"/>
          <w:sz w:val="20"/>
          <w:szCs w:val="20"/>
        </w:rPr>
        <w:t>e e la filosofia di Spinoza non</w:t>
      </w:r>
      <w:r w:rsidRPr="00B07B0A">
        <w:rPr>
          <w:rFonts w:ascii="Times New Roman" w:hAnsi="Times New Roman" w:cs="Times New Roman"/>
          <w:sz w:val="20"/>
          <w:szCs w:val="20"/>
        </w:rPr>
        <w:t xml:space="preserve"> riconosco al negativo, al finito, al male (se si vuole usare un’espressione di carattere teologico), nessuno spazio all’interno della processualità divina</w:t>
      </w:r>
      <w:r>
        <w:rPr>
          <w:rFonts w:ascii="Times New Roman" w:hAnsi="Times New Roman" w:cs="Times New Roman"/>
          <w:sz w:val="20"/>
          <w:szCs w:val="20"/>
        </w:rPr>
        <w:t>,</w:t>
      </w:r>
      <w:r w:rsidRPr="00B07B0A">
        <w:rPr>
          <w:rFonts w:ascii="Times New Roman" w:hAnsi="Times New Roman" w:cs="Times New Roman"/>
          <w:sz w:val="20"/>
          <w:szCs w:val="20"/>
        </w:rPr>
        <w:t xml:space="preserve"> che non </w:t>
      </w:r>
      <w:r w:rsidRPr="00910FFB">
        <w:rPr>
          <w:rFonts w:ascii="Times New Roman" w:hAnsi="Times New Roman" w:cs="Times New Roman"/>
          <w:sz w:val="20"/>
          <w:szCs w:val="20"/>
        </w:rPr>
        <w:t>è macchiata, né</w:t>
      </w:r>
      <w:r w:rsidRPr="00B07B0A">
        <w:rPr>
          <w:rFonts w:ascii="Times New Roman" w:hAnsi="Times New Roman" w:cs="Times New Roman"/>
          <w:sz w:val="20"/>
          <w:szCs w:val="20"/>
        </w:rPr>
        <w:t xml:space="preserve"> tanto meno turbata, dall’altro da sé.</w:t>
      </w:r>
      <w:r>
        <w:rPr>
          <w:rFonts w:ascii="Times New Roman" w:hAnsi="Times New Roman" w:cs="Times New Roman"/>
          <w:sz w:val="20"/>
          <w:szCs w:val="20"/>
        </w:rPr>
        <w:t xml:space="preserve"> </w:t>
      </w:r>
    </w:p>
  </w:footnote>
  <w:footnote w:id="189">
    <w:p w14:paraId="3B83FF27" w14:textId="623C3AC3" w:rsidR="00B34CC2" w:rsidRPr="002A2D4E" w:rsidRDefault="00B34CC2" w:rsidP="00F721A9">
      <w:pPr>
        <w:pStyle w:val="Testonotaapidipagina"/>
        <w:jc w:val="both"/>
        <w:rPr>
          <w:rFonts w:ascii="Times New Roman" w:hAnsi="Times New Roman" w:cs="Times New Roman"/>
          <w:sz w:val="20"/>
          <w:szCs w:val="20"/>
        </w:rPr>
      </w:pPr>
      <w:r w:rsidRPr="002A2D4E">
        <w:rPr>
          <w:rStyle w:val="Rimandonotaapidipagina"/>
          <w:rFonts w:ascii="Times New Roman" w:hAnsi="Times New Roman" w:cs="Times New Roman"/>
          <w:sz w:val="20"/>
          <w:szCs w:val="20"/>
        </w:rPr>
        <w:footnoteRef/>
      </w:r>
      <w:r w:rsidRPr="002A2D4E">
        <w:rPr>
          <w:rFonts w:ascii="Times New Roman" w:hAnsi="Times New Roman" w:cs="Times New Roman"/>
          <w:sz w:val="20"/>
          <w:szCs w:val="20"/>
        </w:rPr>
        <w:t xml:space="preserve"> </w:t>
      </w:r>
      <w:r>
        <w:rPr>
          <w:rFonts w:ascii="Times New Roman" w:hAnsi="Times New Roman" w:cs="Times New Roman"/>
          <w:i/>
          <w:sz w:val="20"/>
          <w:szCs w:val="20"/>
        </w:rPr>
        <w:t>JSE II</w:t>
      </w:r>
      <w:r>
        <w:rPr>
          <w:rFonts w:ascii="Times New Roman" w:hAnsi="Times New Roman" w:cs="Times New Roman"/>
          <w:sz w:val="20"/>
          <w:szCs w:val="20"/>
        </w:rPr>
        <w:t>, p. 154.</w:t>
      </w:r>
    </w:p>
  </w:footnote>
  <w:footnote w:id="190">
    <w:p w14:paraId="1A9DC4F2" w14:textId="32307FA9" w:rsidR="00B34CC2" w:rsidRPr="00D60CFC" w:rsidRDefault="00B34CC2" w:rsidP="00F721A9">
      <w:pPr>
        <w:pStyle w:val="Testonotaapidipagina"/>
        <w:jc w:val="both"/>
        <w:rPr>
          <w:rFonts w:ascii="Times New Roman" w:hAnsi="Times New Roman" w:cs="Times New Roman"/>
          <w:sz w:val="20"/>
          <w:szCs w:val="20"/>
        </w:rPr>
      </w:pPr>
      <w:r w:rsidRPr="002E3986">
        <w:rPr>
          <w:rStyle w:val="Rimandonotaapidipagina"/>
          <w:rFonts w:ascii="Times New Roman" w:hAnsi="Times New Roman" w:cs="Times New Roman"/>
          <w:sz w:val="20"/>
          <w:szCs w:val="20"/>
        </w:rPr>
        <w:footnoteRef/>
      </w:r>
      <w:r w:rsidRPr="002E3986">
        <w:rPr>
          <w:rFonts w:ascii="Times New Roman" w:hAnsi="Times New Roman" w:cs="Times New Roman"/>
          <w:sz w:val="20"/>
          <w:szCs w:val="20"/>
        </w:rPr>
        <w:t xml:space="preserve"> </w:t>
      </w:r>
      <w:r>
        <w:rPr>
          <w:rFonts w:ascii="Times New Roman" w:hAnsi="Times New Roman" w:cs="Times New Roman"/>
          <w:sz w:val="20"/>
          <w:szCs w:val="20"/>
        </w:rPr>
        <w:t xml:space="preserve">È come se Hegel rovesciasse quanto sostenuto da Jacobi nella prima appendice alle </w:t>
      </w:r>
      <w:r w:rsidRPr="009010BA">
        <w:rPr>
          <w:rFonts w:ascii="Times New Roman" w:hAnsi="Times New Roman" w:cs="Times New Roman"/>
          <w:i/>
          <w:sz w:val="20"/>
          <w:szCs w:val="20"/>
        </w:rPr>
        <w:t>Spinozabriefe</w:t>
      </w:r>
      <w:r>
        <w:rPr>
          <w:rFonts w:ascii="Times New Roman" w:hAnsi="Times New Roman" w:cs="Times New Roman"/>
          <w:sz w:val="20"/>
          <w:szCs w:val="20"/>
        </w:rPr>
        <w:t xml:space="preserve">, dove è sostenuta, per mezzo </w:t>
      </w:r>
      <w:r w:rsidRPr="009D28CE">
        <w:rPr>
          <w:rFonts w:ascii="Times New Roman" w:hAnsi="Times New Roman" w:cs="Times New Roman"/>
          <w:sz w:val="20"/>
          <w:szCs w:val="20"/>
        </w:rPr>
        <w:t xml:space="preserve">del </w:t>
      </w:r>
      <w:r w:rsidRPr="009D28CE">
        <w:rPr>
          <w:rFonts w:ascii="Times New Roman" w:hAnsi="Times New Roman" w:cs="Times New Roman"/>
          <w:i/>
          <w:sz w:val="20"/>
          <w:szCs w:val="20"/>
        </w:rPr>
        <w:t xml:space="preserve">De Causa </w:t>
      </w:r>
      <w:r w:rsidRPr="009D28CE">
        <w:rPr>
          <w:rFonts w:ascii="Times New Roman" w:hAnsi="Times New Roman" w:cs="Times New Roman"/>
          <w:sz w:val="20"/>
          <w:szCs w:val="20"/>
        </w:rPr>
        <w:t xml:space="preserve">di Bruno, l’impossibilità di comprendere razionalmente l’uno-tutto. Anche in questo caso, non escludo un’incidenza di questo scritto su Hegel. A ben vedere, la volontà di pensare l’unità dei due principi – luce e tenebra, bene e male – nell’essenza </w:t>
      </w:r>
      <w:r>
        <w:rPr>
          <w:rFonts w:ascii="Times New Roman" w:hAnsi="Times New Roman" w:cs="Times New Roman"/>
          <w:sz w:val="20"/>
          <w:szCs w:val="20"/>
        </w:rPr>
        <w:t xml:space="preserve">suprema </w:t>
      </w:r>
      <w:r w:rsidRPr="009D28CE">
        <w:rPr>
          <w:rFonts w:ascii="Times New Roman" w:hAnsi="Times New Roman" w:cs="Times New Roman"/>
          <w:sz w:val="20"/>
          <w:szCs w:val="20"/>
        </w:rPr>
        <w:t>assume, come presupposto critico, anche il punto di vista jacobiano.</w:t>
      </w:r>
      <w:r>
        <w:rPr>
          <w:rFonts w:ascii="Times New Roman" w:hAnsi="Times New Roman" w:cs="Times New Roman"/>
          <w:sz w:val="20"/>
          <w:szCs w:val="20"/>
        </w:rPr>
        <w:t xml:space="preserve"> Riguardo al passo di Jacobi cfr. </w:t>
      </w:r>
      <w:r w:rsidRPr="00BA1742">
        <w:rPr>
          <w:rFonts w:ascii="Times New Roman" w:hAnsi="Times New Roman" w:cs="Times New Roman"/>
          <w:sz w:val="20"/>
          <w:szCs w:val="20"/>
        </w:rPr>
        <w:t xml:space="preserve">F. H. </w:t>
      </w:r>
      <w:r w:rsidRPr="00BA1742">
        <w:rPr>
          <w:rFonts w:ascii="Times New Roman" w:hAnsi="Times New Roman" w:cs="Times New Roman"/>
          <w:i/>
          <w:sz w:val="20"/>
          <w:szCs w:val="20"/>
        </w:rPr>
        <w:t>Jacobi, Schriften zum Spinozastreit</w:t>
      </w:r>
      <w:r w:rsidRPr="00BA1742">
        <w:rPr>
          <w:rFonts w:ascii="Times New Roman" w:hAnsi="Times New Roman" w:cs="Times New Roman"/>
          <w:sz w:val="20"/>
          <w:szCs w:val="20"/>
        </w:rPr>
        <w:t>,</w:t>
      </w:r>
      <w:r>
        <w:rPr>
          <w:rFonts w:ascii="Times New Roman" w:hAnsi="Times New Roman" w:cs="Times New Roman"/>
          <w:sz w:val="20"/>
          <w:szCs w:val="20"/>
        </w:rPr>
        <w:t xml:space="preserve"> cit., p. 196: </w:t>
      </w:r>
      <w:r w:rsidRPr="00D60CFC">
        <w:rPr>
          <w:rFonts w:ascii="Times New Roman" w:hAnsi="Times New Roman" w:cs="Times New Roman"/>
          <w:sz w:val="20"/>
          <w:szCs w:val="20"/>
        </w:rPr>
        <w:t>«Unserem Verstande ist es unmöglich, jenes durchaus und schlechterdings thätige Vermögen, welches zugleich das schlechterdings und durchaus leidende Vermögen ist; wir begreifen weder wie etwas alles seyn kann, noch wie es alles ist; denn unsere ganze Erkenntniß ist nur eine Erkenntniß der Aehnlichkeit und des Verhältnisses, welche bey dem Unermeßlichen, Unvergleichbaren, schlechterdings Einzigen  keine Weise kann angewendet werden. Wir haben kein Auge weder für die Höhe dieses Lichtes, noch für die Tiefe dieses Abgrundes; worüber die Heiligen Bücher, indem sie beyde äusserste Enden zusammen fassen, mit Erhabenheit sagen: Tenebrae non</w:t>
      </w:r>
      <w:r>
        <w:rPr>
          <w:rFonts w:ascii="Times New Roman" w:hAnsi="Times New Roman" w:cs="Times New Roman"/>
          <w:sz w:val="20"/>
          <w:szCs w:val="20"/>
        </w:rPr>
        <w:t xml:space="preserve"> obscurabuntur a te. Nox sicut </w:t>
      </w:r>
      <w:r w:rsidRPr="00D60CFC">
        <w:rPr>
          <w:rFonts w:ascii="Times New Roman" w:hAnsi="Times New Roman" w:cs="Times New Roman"/>
          <w:sz w:val="20"/>
          <w:szCs w:val="20"/>
        </w:rPr>
        <w:t>Dies illuminabitur. Sicut tenebrae ejus, ita et lumen ejus</w:t>
      </w:r>
      <w:r w:rsidRPr="00D60CFC">
        <w:rPr>
          <w:rFonts w:ascii="Times New Roman" w:eastAsia="Times New Roman" w:hAnsi="Times New Roman" w:cs="Times New Roman"/>
          <w:color w:val="000000"/>
          <w:sz w:val="20"/>
          <w:szCs w:val="20"/>
        </w:rPr>
        <w:t>».</w:t>
      </w:r>
    </w:p>
  </w:footnote>
  <w:footnote w:id="191">
    <w:p w14:paraId="3934A6D7" w14:textId="2411ECB6" w:rsidR="00B34CC2" w:rsidRPr="00285159" w:rsidRDefault="00B34CC2" w:rsidP="00F721A9">
      <w:pPr>
        <w:pStyle w:val="Testonotaapidipagina"/>
        <w:jc w:val="both"/>
        <w:rPr>
          <w:rFonts w:ascii="Times New Roman" w:hAnsi="Times New Roman" w:cs="Times New Roman"/>
          <w:sz w:val="20"/>
          <w:szCs w:val="20"/>
        </w:rPr>
      </w:pPr>
      <w:r w:rsidRPr="00285159">
        <w:rPr>
          <w:rStyle w:val="Rimandonotaapidipagina"/>
          <w:rFonts w:ascii="Times New Roman" w:hAnsi="Times New Roman" w:cs="Times New Roman"/>
          <w:sz w:val="20"/>
          <w:szCs w:val="20"/>
        </w:rPr>
        <w:footnoteRef/>
      </w:r>
      <w:r w:rsidRPr="00285159">
        <w:rPr>
          <w:rFonts w:ascii="Times New Roman" w:hAnsi="Times New Roman" w:cs="Times New Roman"/>
          <w:sz w:val="20"/>
          <w:szCs w:val="20"/>
        </w:rPr>
        <w:t xml:space="preserve"> </w:t>
      </w:r>
      <w:r>
        <w:rPr>
          <w:rFonts w:ascii="Times New Roman" w:hAnsi="Times New Roman" w:cs="Times New Roman"/>
          <w:sz w:val="20"/>
          <w:szCs w:val="20"/>
        </w:rPr>
        <w:t>I</w:t>
      </w:r>
      <w:r w:rsidRPr="00380C33">
        <w:rPr>
          <w:rFonts w:ascii="Times New Roman" w:hAnsi="Times New Roman" w:cs="Times New Roman"/>
          <w:sz w:val="20"/>
          <w:szCs w:val="20"/>
        </w:rPr>
        <w:t xml:space="preserve">. Kant, </w:t>
      </w:r>
      <w:r w:rsidRPr="00380C33">
        <w:rPr>
          <w:rFonts w:ascii="Times New Roman" w:hAnsi="Times New Roman" w:cs="Times New Roman"/>
          <w:i/>
          <w:sz w:val="20"/>
          <w:szCs w:val="20"/>
        </w:rPr>
        <w:t>Die Religion innerhalb der Grenzen der bloßen Vernunft,</w:t>
      </w:r>
      <w:r>
        <w:rPr>
          <w:rFonts w:ascii="Times New Roman" w:hAnsi="Times New Roman" w:cs="Times New Roman"/>
          <w:i/>
          <w:sz w:val="20"/>
          <w:szCs w:val="20"/>
        </w:rPr>
        <w:t xml:space="preserve"> </w:t>
      </w:r>
      <w:r>
        <w:rPr>
          <w:rFonts w:ascii="Times New Roman" w:hAnsi="Times New Roman" w:cs="Times New Roman"/>
          <w:sz w:val="20"/>
          <w:szCs w:val="20"/>
        </w:rPr>
        <w:t xml:space="preserve">cit., </w:t>
      </w:r>
      <w:r w:rsidRPr="0036732E">
        <w:rPr>
          <w:rFonts w:ascii="Times New Roman" w:hAnsi="Times New Roman" w:cs="Times New Roman"/>
          <w:sz w:val="20"/>
          <w:szCs w:val="20"/>
        </w:rPr>
        <w:t>p.</w:t>
      </w:r>
      <w:r>
        <w:rPr>
          <w:rFonts w:ascii="Times New Roman" w:hAnsi="Times New Roman" w:cs="Times New Roman"/>
          <w:sz w:val="20"/>
          <w:szCs w:val="20"/>
        </w:rPr>
        <w:t xml:space="preserve"> 12: «Da Offenbarung doch auch reine Vernunftreligion in sich wenigstens begreifen kann, aber nicht umgekehrt diese das Historische der ersteren, so werde ich jene als eine weitere Sphäre des Glaubens, welche die letztere als eine engere in sich beschließt (nicht als zwei außer einander befindliche, sondern als concentrische Kreise), betrachten können</w:t>
      </w:r>
      <w:r w:rsidRPr="00D60CFC">
        <w:rPr>
          <w:rFonts w:ascii="Times New Roman" w:eastAsia="Times New Roman" w:hAnsi="Times New Roman" w:cs="Times New Roman"/>
          <w:color w:val="000000"/>
          <w:sz w:val="20"/>
          <w:szCs w:val="20"/>
        </w:rPr>
        <w:t>».</w:t>
      </w:r>
    </w:p>
  </w:footnote>
  <w:footnote w:id="192">
    <w:p w14:paraId="6A2170BE" w14:textId="0875B3B9" w:rsidR="00B34CC2" w:rsidRPr="0036732E" w:rsidRDefault="00B34CC2" w:rsidP="00F721A9">
      <w:pPr>
        <w:pStyle w:val="Testonotaapidipagina"/>
        <w:jc w:val="both"/>
        <w:rPr>
          <w:rFonts w:ascii="Times New Roman" w:hAnsi="Times New Roman" w:cs="Times New Roman"/>
          <w:sz w:val="20"/>
          <w:szCs w:val="20"/>
        </w:rPr>
      </w:pPr>
      <w:r w:rsidRPr="0036732E">
        <w:rPr>
          <w:rStyle w:val="Rimandonotaapidipagina"/>
          <w:rFonts w:ascii="Times New Roman" w:hAnsi="Times New Roman" w:cs="Times New Roman"/>
          <w:sz w:val="20"/>
          <w:szCs w:val="20"/>
        </w:rPr>
        <w:footnoteRef/>
      </w:r>
      <w:r>
        <w:rPr>
          <w:rFonts w:ascii="Times New Roman" w:hAnsi="Times New Roman" w:cs="Times New Roman"/>
          <w:i/>
          <w:sz w:val="20"/>
          <w:szCs w:val="20"/>
        </w:rPr>
        <w:t xml:space="preserve"> Ivi</w:t>
      </w:r>
      <w:r>
        <w:rPr>
          <w:rFonts w:ascii="Times New Roman" w:hAnsi="Times New Roman" w:cs="Times New Roman"/>
          <w:sz w:val="20"/>
          <w:szCs w:val="20"/>
        </w:rPr>
        <w:t xml:space="preserve">, </w:t>
      </w:r>
      <w:r w:rsidRPr="0036732E">
        <w:rPr>
          <w:rFonts w:ascii="Times New Roman" w:hAnsi="Times New Roman" w:cs="Times New Roman"/>
          <w:sz w:val="20"/>
          <w:szCs w:val="20"/>
        </w:rPr>
        <w:t>p. 78.</w:t>
      </w:r>
    </w:p>
  </w:footnote>
  <w:footnote w:id="193">
    <w:p w14:paraId="4DDD59FD" w14:textId="05EC6112" w:rsidR="00B34CC2" w:rsidRPr="009458FA" w:rsidRDefault="00B34CC2" w:rsidP="00F721A9">
      <w:pPr>
        <w:pStyle w:val="Testonotaapidipagina"/>
        <w:jc w:val="both"/>
        <w:rPr>
          <w:rFonts w:ascii="Times New Roman" w:hAnsi="Times New Roman" w:cs="Times New Roman"/>
          <w:sz w:val="20"/>
          <w:szCs w:val="20"/>
        </w:rPr>
      </w:pPr>
      <w:r w:rsidRPr="009458FA">
        <w:rPr>
          <w:rStyle w:val="Rimandonotaapidipagina"/>
          <w:rFonts w:ascii="Times New Roman" w:hAnsi="Times New Roman" w:cs="Times New Roman"/>
          <w:sz w:val="20"/>
          <w:szCs w:val="20"/>
        </w:rPr>
        <w:footnoteRef/>
      </w:r>
      <w:r w:rsidRPr="009458FA">
        <w:rPr>
          <w:rFonts w:ascii="Times New Roman" w:hAnsi="Times New Roman" w:cs="Times New Roman"/>
          <w:sz w:val="20"/>
          <w:szCs w:val="20"/>
        </w:rPr>
        <w:t xml:space="preserve"> </w:t>
      </w:r>
      <w:r>
        <w:rPr>
          <w:rFonts w:ascii="Times New Roman" w:hAnsi="Times New Roman" w:cs="Times New Roman"/>
          <w:sz w:val="20"/>
          <w:szCs w:val="20"/>
        </w:rPr>
        <w:t xml:space="preserve">Su questo punto cfr. </w:t>
      </w:r>
      <w:r>
        <w:rPr>
          <w:rFonts w:ascii="Times New Roman" w:hAnsi="Times New Roman" w:cs="Times New Roman"/>
          <w:i/>
          <w:sz w:val="20"/>
          <w:szCs w:val="20"/>
        </w:rPr>
        <w:t>i</w:t>
      </w:r>
      <w:r w:rsidRPr="0036732E">
        <w:rPr>
          <w:rFonts w:ascii="Times New Roman" w:hAnsi="Times New Roman" w:cs="Times New Roman"/>
          <w:i/>
          <w:sz w:val="20"/>
          <w:szCs w:val="20"/>
        </w:rPr>
        <w:t>vi</w:t>
      </w:r>
      <w:r>
        <w:rPr>
          <w:rFonts w:ascii="Times New Roman" w:hAnsi="Times New Roman" w:cs="Times New Roman"/>
          <w:sz w:val="20"/>
          <w:szCs w:val="20"/>
        </w:rPr>
        <w:t>, p. 60: «Es ist eine Eigenthümlichkeit der christlichen Moral: das Sittlich-Gute vom Sittlich-Bösen nicht wie den Himmel von der Erde, sondern wie den Himmel von der Hölle unterschieden vorzustellen</w:t>
      </w:r>
      <w:r w:rsidRPr="00FF2458">
        <w:rPr>
          <w:rFonts w:ascii="Times New Roman" w:eastAsia="Times New Roman" w:hAnsi="Times New Roman" w:cs="Times New Roman"/>
          <w:color w:val="000000"/>
          <w:sz w:val="20"/>
          <w:szCs w:val="20"/>
          <w:lang w:val="de-DE"/>
        </w:rPr>
        <w:t>»</w:t>
      </w:r>
      <w:r>
        <w:rPr>
          <w:rFonts w:ascii="Times New Roman" w:eastAsia="Times New Roman" w:hAnsi="Times New Roman" w:cs="Times New Roman"/>
          <w:color w:val="000000"/>
          <w:sz w:val="20"/>
          <w:szCs w:val="20"/>
          <w:lang w:val="de-DE"/>
        </w:rPr>
        <w:t>.</w:t>
      </w:r>
    </w:p>
  </w:footnote>
  <w:footnote w:id="194">
    <w:p w14:paraId="1FEF1659" w14:textId="2087C4CC" w:rsidR="00B34CC2" w:rsidRPr="009458FA" w:rsidRDefault="00B34CC2" w:rsidP="00F721A9">
      <w:pPr>
        <w:pStyle w:val="Testonotaapidipagina"/>
        <w:jc w:val="both"/>
        <w:rPr>
          <w:rFonts w:ascii="Times New Roman" w:hAnsi="Times New Roman" w:cs="Times New Roman"/>
          <w:sz w:val="20"/>
          <w:szCs w:val="20"/>
        </w:rPr>
      </w:pPr>
      <w:r w:rsidRPr="00AA1807">
        <w:rPr>
          <w:rStyle w:val="Rimandonotaapidipagina"/>
          <w:rFonts w:ascii="Times New Roman" w:hAnsi="Times New Roman" w:cs="Times New Roman"/>
          <w:sz w:val="20"/>
          <w:szCs w:val="20"/>
        </w:rPr>
        <w:footnoteRef/>
      </w:r>
      <w:r w:rsidRPr="00AA1807">
        <w:rPr>
          <w:rFonts w:ascii="Times New Roman" w:hAnsi="Times New Roman" w:cs="Times New Roman"/>
          <w:sz w:val="20"/>
          <w:szCs w:val="20"/>
        </w:rPr>
        <w:t xml:space="preserve"> </w:t>
      </w:r>
      <w:r>
        <w:rPr>
          <w:rFonts w:ascii="Times New Roman" w:hAnsi="Times New Roman" w:cs="Times New Roman"/>
          <w:i/>
          <w:sz w:val="20"/>
          <w:szCs w:val="20"/>
        </w:rPr>
        <w:t>Ivi</w:t>
      </w:r>
      <w:r>
        <w:rPr>
          <w:rFonts w:ascii="Times New Roman" w:hAnsi="Times New Roman" w:cs="Times New Roman"/>
          <w:sz w:val="20"/>
          <w:szCs w:val="20"/>
        </w:rPr>
        <w:t>, p. 78.</w:t>
      </w:r>
    </w:p>
  </w:footnote>
  <w:footnote w:id="195">
    <w:p w14:paraId="32390855" w14:textId="77777777" w:rsidR="00B34CC2" w:rsidRPr="0036732E" w:rsidRDefault="00B34CC2" w:rsidP="00F721A9">
      <w:pPr>
        <w:pStyle w:val="Testonotaapidipagina"/>
        <w:jc w:val="both"/>
        <w:rPr>
          <w:rFonts w:ascii="Times New Roman" w:hAnsi="Times New Roman" w:cs="Times New Roman"/>
          <w:sz w:val="20"/>
          <w:szCs w:val="20"/>
        </w:rPr>
      </w:pPr>
      <w:r w:rsidRPr="0036732E">
        <w:rPr>
          <w:rStyle w:val="Rimandonotaapidipagina"/>
          <w:rFonts w:ascii="Times New Roman" w:hAnsi="Times New Roman" w:cs="Times New Roman"/>
          <w:sz w:val="20"/>
          <w:szCs w:val="20"/>
        </w:rPr>
        <w:footnoteRef/>
      </w:r>
      <w:r w:rsidRPr="0036732E">
        <w:rPr>
          <w:rFonts w:ascii="Times New Roman" w:hAnsi="Times New Roman" w:cs="Times New Roman"/>
          <w:sz w:val="20"/>
          <w:szCs w:val="20"/>
        </w:rPr>
        <w:t xml:space="preserve"> </w:t>
      </w:r>
      <w:r w:rsidRPr="0036732E">
        <w:rPr>
          <w:rFonts w:ascii="Times New Roman" w:hAnsi="Times New Roman" w:cs="Times New Roman"/>
          <w:i/>
          <w:sz w:val="20"/>
          <w:szCs w:val="20"/>
        </w:rPr>
        <w:t>Ivi</w:t>
      </w:r>
      <w:r w:rsidRPr="0036732E">
        <w:rPr>
          <w:rFonts w:ascii="Times New Roman" w:hAnsi="Times New Roman" w:cs="Times New Roman"/>
          <w:sz w:val="20"/>
          <w:szCs w:val="20"/>
        </w:rPr>
        <w:t>, p. 60.</w:t>
      </w:r>
    </w:p>
  </w:footnote>
  <w:footnote w:id="196">
    <w:p w14:paraId="510180F7" w14:textId="77777777" w:rsidR="00B34CC2" w:rsidRPr="0036732E" w:rsidRDefault="00B34CC2" w:rsidP="00F721A9">
      <w:pPr>
        <w:pStyle w:val="Testonotaapidipagina"/>
        <w:jc w:val="both"/>
        <w:rPr>
          <w:rFonts w:ascii="Times New Roman" w:hAnsi="Times New Roman" w:cs="Times New Roman"/>
          <w:sz w:val="20"/>
          <w:szCs w:val="20"/>
        </w:rPr>
      </w:pPr>
      <w:r w:rsidRPr="0036732E">
        <w:rPr>
          <w:rStyle w:val="Rimandonotaapidipagina"/>
          <w:rFonts w:ascii="Times New Roman" w:hAnsi="Times New Roman" w:cs="Times New Roman"/>
          <w:sz w:val="20"/>
          <w:szCs w:val="20"/>
        </w:rPr>
        <w:footnoteRef/>
      </w:r>
      <w:r w:rsidRPr="0036732E">
        <w:rPr>
          <w:rFonts w:ascii="Times New Roman" w:hAnsi="Times New Roman" w:cs="Times New Roman"/>
          <w:sz w:val="20"/>
          <w:szCs w:val="20"/>
        </w:rPr>
        <w:t xml:space="preserve"> </w:t>
      </w:r>
      <w:r w:rsidRPr="0036732E">
        <w:rPr>
          <w:rFonts w:ascii="Times New Roman" w:hAnsi="Times New Roman" w:cs="Times New Roman"/>
          <w:i/>
          <w:sz w:val="20"/>
          <w:szCs w:val="20"/>
        </w:rPr>
        <w:t>Ivi</w:t>
      </w:r>
      <w:r>
        <w:rPr>
          <w:rFonts w:ascii="Times New Roman" w:hAnsi="Times New Roman" w:cs="Times New Roman"/>
          <w:sz w:val="20"/>
          <w:szCs w:val="20"/>
        </w:rPr>
        <w:t>, p. 44</w:t>
      </w:r>
      <w:r w:rsidRPr="0036732E">
        <w:rPr>
          <w:rFonts w:ascii="Times New Roman" w:hAnsi="Times New Roman" w:cs="Times New Roman"/>
          <w:sz w:val="20"/>
          <w:szCs w:val="20"/>
        </w:rPr>
        <w:t>.</w:t>
      </w:r>
    </w:p>
  </w:footnote>
  <w:footnote w:id="197">
    <w:p w14:paraId="41BD66A3" w14:textId="77777777" w:rsidR="00B34CC2" w:rsidRPr="00414C28" w:rsidRDefault="00B34CC2" w:rsidP="00F721A9">
      <w:pPr>
        <w:pStyle w:val="Testonotaapidipagina"/>
        <w:jc w:val="both"/>
        <w:rPr>
          <w:rFonts w:ascii="Times New Roman" w:hAnsi="Times New Roman" w:cs="Times New Roman"/>
          <w:sz w:val="20"/>
          <w:szCs w:val="20"/>
        </w:rPr>
      </w:pPr>
      <w:r w:rsidRPr="001802FE">
        <w:rPr>
          <w:rStyle w:val="Rimandonotaapidipagina"/>
          <w:rFonts w:ascii="Times New Roman" w:hAnsi="Times New Roman" w:cs="Times New Roman"/>
          <w:sz w:val="20"/>
          <w:szCs w:val="20"/>
        </w:rPr>
        <w:footnoteRef/>
      </w:r>
      <w:r>
        <w:t xml:space="preserve"> </w:t>
      </w:r>
      <w:r w:rsidRPr="0036732E">
        <w:rPr>
          <w:rFonts w:ascii="Times New Roman" w:hAnsi="Times New Roman" w:cs="Times New Roman"/>
          <w:i/>
          <w:sz w:val="20"/>
          <w:szCs w:val="20"/>
        </w:rPr>
        <w:t>Ivi</w:t>
      </w:r>
      <w:r>
        <w:rPr>
          <w:rFonts w:ascii="Times New Roman" w:hAnsi="Times New Roman" w:cs="Times New Roman"/>
          <w:sz w:val="20"/>
          <w:szCs w:val="20"/>
        </w:rPr>
        <w:t>, pp</w:t>
      </w:r>
      <w:r w:rsidRPr="0036732E">
        <w:rPr>
          <w:rFonts w:ascii="Times New Roman" w:hAnsi="Times New Roman" w:cs="Times New Roman"/>
          <w:sz w:val="20"/>
          <w:szCs w:val="20"/>
        </w:rPr>
        <w:t>.</w:t>
      </w:r>
      <w:r>
        <w:rPr>
          <w:rFonts w:ascii="Times New Roman" w:hAnsi="Times New Roman" w:cs="Times New Roman"/>
          <w:sz w:val="20"/>
          <w:szCs w:val="20"/>
        </w:rPr>
        <w:t xml:space="preserve"> 78-79.</w:t>
      </w:r>
    </w:p>
  </w:footnote>
  <w:footnote w:id="198">
    <w:p w14:paraId="1A174C11" w14:textId="77777777" w:rsidR="00B34CC2" w:rsidRPr="001802FE" w:rsidRDefault="00B34CC2" w:rsidP="00F721A9">
      <w:pPr>
        <w:pStyle w:val="Testonotaapidipagina"/>
        <w:jc w:val="both"/>
        <w:rPr>
          <w:rFonts w:ascii="Times New Roman" w:hAnsi="Times New Roman" w:cs="Times New Roman"/>
          <w:sz w:val="20"/>
          <w:szCs w:val="20"/>
        </w:rPr>
      </w:pPr>
      <w:r w:rsidRPr="001802FE">
        <w:rPr>
          <w:rStyle w:val="Rimandonotaapidipagina"/>
          <w:rFonts w:ascii="Times New Roman" w:hAnsi="Times New Roman" w:cs="Times New Roman"/>
          <w:sz w:val="20"/>
          <w:szCs w:val="20"/>
        </w:rPr>
        <w:footnoteRef/>
      </w:r>
      <w:r w:rsidRPr="001802FE">
        <w:rPr>
          <w:rFonts w:ascii="Times New Roman" w:hAnsi="Times New Roman" w:cs="Times New Roman"/>
          <w:sz w:val="20"/>
          <w:szCs w:val="20"/>
        </w:rPr>
        <w:t xml:space="preserve"> </w:t>
      </w:r>
      <w:r>
        <w:rPr>
          <w:rFonts w:ascii="Times New Roman" w:hAnsi="Times New Roman" w:cs="Times New Roman"/>
          <w:i/>
          <w:sz w:val="20"/>
          <w:szCs w:val="20"/>
        </w:rPr>
        <w:t>Ibidem</w:t>
      </w:r>
      <w:r>
        <w:rPr>
          <w:rFonts w:ascii="Times New Roman" w:hAnsi="Times New Roman" w:cs="Times New Roman"/>
          <w:sz w:val="20"/>
          <w:szCs w:val="20"/>
        </w:rPr>
        <w:t>.</w:t>
      </w:r>
    </w:p>
  </w:footnote>
  <w:footnote w:id="199">
    <w:p w14:paraId="50E29FCB" w14:textId="71BEE930" w:rsidR="00B34CC2" w:rsidRPr="00407384" w:rsidRDefault="00B34CC2" w:rsidP="00F721A9">
      <w:pPr>
        <w:pStyle w:val="Testonotaapidipagina"/>
        <w:jc w:val="both"/>
        <w:rPr>
          <w:rFonts w:ascii="Times New Roman" w:hAnsi="Times New Roman" w:cs="Times New Roman"/>
          <w:sz w:val="20"/>
          <w:szCs w:val="20"/>
        </w:rPr>
      </w:pPr>
      <w:r w:rsidRPr="00407384">
        <w:rPr>
          <w:rStyle w:val="Rimandonotaapidipagina"/>
          <w:rFonts w:ascii="Times New Roman" w:hAnsi="Times New Roman" w:cs="Times New Roman"/>
          <w:sz w:val="20"/>
          <w:szCs w:val="20"/>
        </w:rPr>
        <w:footnoteRef/>
      </w:r>
      <w:r w:rsidRPr="00407384">
        <w:rPr>
          <w:rFonts w:ascii="Times New Roman" w:hAnsi="Times New Roman" w:cs="Times New Roman"/>
          <w:sz w:val="20"/>
          <w:szCs w:val="20"/>
        </w:rPr>
        <w:t xml:space="preserve"> </w:t>
      </w:r>
      <w:r w:rsidRPr="00470F3A">
        <w:rPr>
          <w:rFonts w:ascii="Times New Roman" w:hAnsi="Times New Roman" w:cs="Times New Roman"/>
          <w:i/>
          <w:sz w:val="20"/>
          <w:szCs w:val="20"/>
        </w:rPr>
        <w:t>Ivi</w:t>
      </w:r>
      <w:r>
        <w:rPr>
          <w:rFonts w:ascii="Times New Roman" w:hAnsi="Times New Roman" w:cs="Times New Roman"/>
          <w:sz w:val="20"/>
          <w:szCs w:val="20"/>
        </w:rPr>
        <w:t>, p. 43</w:t>
      </w:r>
      <w:r w:rsidRPr="00470F3A">
        <w:rPr>
          <w:rFonts w:ascii="Times New Roman" w:hAnsi="Times New Roman" w:cs="Times New Roman"/>
          <w:sz w:val="20"/>
          <w:szCs w:val="20"/>
        </w:rPr>
        <w:t>.</w:t>
      </w:r>
    </w:p>
  </w:footnote>
  <w:footnote w:id="200">
    <w:p w14:paraId="34C40761" w14:textId="099E3962" w:rsidR="00B34CC2" w:rsidRPr="001440E8" w:rsidRDefault="00B34CC2" w:rsidP="00F721A9">
      <w:pPr>
        <w:pStyle w:val="Testonotaapidipagina"/>
        <w:jc w:val="both"/>
        <w:rPr>
          <w:rFonts w:ascii="Times New Roman" w:hAnsi="Times New Roman" w:cs="Times New Roman"/>
          <w:sz w:val="20"/>
          <w:szCs w:val="20"/>
        </w:rPr>
      </w:pPr>
      <w:r w:rsidRPr="001440E8">
        <w:rPr>
          <w:rStyle w:val="Rimandonotaapidipagina"/>
          <w:rFonts w:ascii="Times New Roman" w:hAnsi="Times New Roman" w:cs="Times New Roman"/>
          <w:sz w:val="20"/>
          <w:szCs w:val="20"/>
        </w:rPr>
        <w:footnoteRef/>
      </w:r>
      <w:r w:rsidRPr="001440E8">
        <w:rPr>
          <w:rFonts w:ascii="Times New Roman" w:hAnsi="Times New Roman" w:cs="Times New Roman"/>
          <w:sz w:val="20"/>
          <w:szCs w:val="20"/>
        </w:rPr>
        <w:t xml:space="preserve"> </w:t>
      </w:r>
      <w:r>
        <w:rPr>
          <w:rFonts w:ascii="Times New Roman" w:hAnsi="Times New Roman" w:cs="Times New Roman"/>
          <w:sz w:val="20"/>
          <w:szCs w:val="20"/>
        </w:rPr>
        <w:t xml:space="preserve">Cfr. </w:t>
      </w:r>
      <w:r w:rsidRPr="00470F3A">
        <w:rPr>
          <w:rFonts w:ascii="Times New Roman" w:hAnsi="Times New Roman" w:cs="Times New Roman"/>
          <w:i/>
          <w:sz w:val="20"/>
          <w:szCs w:val="20"/>
        </w:rPr>
        <w:t>Ivi</w:t>
      </w:r>
      <w:r>
        <w:rPr>
          <w:rFonts w:ascii="Times New Roman" w:hAnsi="Times New Roman" w:cs="Times New Roman"/>
          <w:sz w:val="20"/>
          <w:szCs w:val="20"/>
        </w:rPr>
        <w:t>, p. 44: «Was der Mensch in moralischen Sinne ist oder werden soll, gut oder böse, dazu muß er sich selbst machen oder gemacht haben […] Er ist zum Guten erschaffen, und die ursprüngliche Anlage im Menschen ist gut; der Mensch ist es selber dadurch noch nicht, sondern nachdem er die Triebfedern, die diese Anlage enthält, in seine Maxime nimmt oder nicht (welches seiner freien Wahl gänzlich überlassen sein muß), macht er, daß er gut oder böse wird</w:t>
      </w:r>
      <w:r w:rsidRPr="00D60CFC">
        <w:rPr>
          <w:rFonts w:ascii="Times New Roman" w:eastAsia="Times New Roman" w:hAnsi="Times New Roman" w:cs="Times New Roman"/>
          <w:color w:val="000000"/>
          <w:sz w:val="20"/>
          <w:szCs w:val="20"/>
        </w:rPr>
        <w:t>»</w:t>
      </w:r>
      <w:r>
        <w:rPr>
          <w:rFonts w:ascii="Times New Roman" w:eastAsia="Times New Roman" w:hAnsi="Times New Roman" w:cs="Times New Roman"/>
          <w:color w:val="000000"/>
          <w:sz w:val="20"/>
          <w:szCs w:val="20"/>
        </w:rPr>
        <w:t>.</w:t>
      </w:r>
    </w:p>
  </w:footnote>
  <w:footnote w:id="201">
    <w:p w14:paraId="16FCE158" w14:textId="12EAED47" w:rsidR="00B34CC2" w:rsidRPr="00C57241" w:rsidRDefault="00B34CC2" w:rsidP="00F721A9">
      <w:pPr>
        <w:pStyle w:val="Testonotaapidipagina"/>
        <w:jc w:val="both"/>
        <w:rPr>
          <w:rFonts w:ascii="Times New Roman" w:hAnsi="Times New Roman" w:cs="Times New Roman"/>
          <w:sz w:val="20"/>
          <w:szCs w:val="20"/>
        </w:rPr>
      </w:pPr>
      <w:r w:rsidRPr="00C57241">
        <w:rPr>
          <w:rStyle w:val="Rimandonotaapidipagina"/>
          <w:rFonts w:ascii="Times New Roman" w:hAnsi="Times New Roman" w:cs="Times New Roman"/>
          <w:sz w:val="20"/>
          <w:szCs w:val="20"/>
        </w:rPr>
        <w:footnoteRef/>
      </w:r>
      <w:r w:rsidRPr="00C57241">
        <w:rPr>
          <w:rFonts w:ascii="Times New Roman" w:hAnsi="Times New Roman" w:cs="Times New Roman"/>
          <w:sz w:val="20"/>
          <w:szCs w:val="20"/>
        </w:rPr>
        <w:t xml:space="preserve"> </w:t>
      </w:r>
      <w:r w:rsidRPr="00C57241">
        <w:rPr>
          <w:rFonts w:ascii="Times New Roman" w:hAnsi="Times New Roman" w:cs="Times New Roman"/>
          <w:i/>
          <w:sz w:val="20"/>
          <w:szCs w:val="20"/>
        </w:rPr>
        <w:t>Ivi</w:t>
      </w:r>
      <w:r w:rsidRPr="00C57241">
        <w:rPr>
          <w:rFonts w:ascii="Times New Roman" w:hAnsi="Times New Roman" w:cs="Times New Roman"/>
          <w:sz w:val="20"/>
          <w:szCs w:val="20"/>
        </w:rPr>
        <w:t>, p. 45.</w:t>
      </w:r>
    </w:p>
  </w:footnote>
  <w:footnote w:id="202">
    <w:p w14:paraId="0ACDDB48" w14:textId="77777777" w:rsidR="00B34CC2" w:rsidRPr="00470F3A" w:rsidRDefault="00B34CC2" w:rsidP="00F721A9">
      <w:pPr>
        <w:pStyle w:val="Testonotaapidipagina"/>
        <w:jc w:val="both"/>
        <w:rPr>
          <w:rFonts w:ascii="Times New Roman" w:hAnsi="Times New Roman" w:cs="Times New Roman"/>
          <w:sz w:val="20"/>
          <w:szCs w:val="20"/>
        </w:rPr>
      </w:pPr>
      <w:r w:rsidRPr="00470F3A">
        <w:rPr>
          <w:rStyle w:val="Rimandonotaapidipagina"/>
          <w:rFonts w:ascii="Times New Roman" w:hAnsi="Times New Roman" w:cs="Times New Roman"/>
          <w:sz w:val="20"/>
          <w:szCs w:val="20"/>
        </w:rPr>
        <w:footnoteRef/>
      </w:r>
      <w:r w:rsidRPr="00470F3A">
        <w:rPr>
          <w:rFonts w:ascii="Times New Roman" w:hAnsi="Times New Roman" w:cs="Times New Roman"/>
          <w:sz w:val="20"/>
          <w:szCs w:val="20"/>
        </w:rPr>
        <w:t xml:space="preserve"> </w:t>
      </w:r>
      <w:r w:rsidRPr="00470F3A">
        <w:rPr>
          <w:rFonts w:ascii="Times New Roman" w:hAnsi="Times New Roman" w:cs="Times New Roman"/>
          <w:i/>
          <w:sz w:val="20"/>
          <w:szCs w:val="20"/>
        </w:rPr>
        <w:t>Ivi</w:t>
      </w:r>
      <w:r w:rsidRPr="00470F3A">
        <w:rPr>
          <w:rFonts w:ascii="Times New Roman" w:hAnsi="Times New Roman" w:cs="Times New Roman"/>
          <w:sz w:val="20"/>
          <w:szCs w:val="20"/>
        </w:rPr>
        <w:t>, p. 44.</w:t>
      </w:r>
    </w:p>
  </w:footnote>
  <w:footnote w:id="203">
    <w:p w14:paraId="166207FD" w14:textId="43ABDE3E" w:rsidR="00B34CC2" w:rsidRPr="00470F3A" w:rsidRDefault="00B34CC2" w:rsidP="00F721A9">
      <w:pPr>
        <w:pStyle w:val="Testonotaapidipagina"/>
        <w:jc w:val="both"/>
        <w:rPr>
          <w:rFonts w:ascii="Times New Roman" w:hAnsi="Times New Roman" w:cs="Times New Roman"/>
          <w:sz w:val="20"/>
          <w:szCs w:val="20"/>
        </w:rPr>
      </w:pPr>
      <w:r w:rsidRPr="003E181D">
        <w:rPr>
          <w:rStyle w:val="Rimandonotaapidipagina"/>
          <w:rFonts w:ascii="Times New Roman" w:hAnsi="Times New Roman" w:cs="Times New Roman"/>
          <w:sz w:val="20"/>
          <w:szCs w:val="20"/>
        </w:rPr>
        <w:footnoteRef/>
      </w:r>
      <w:r w:rsidRPr="003E181D">
        <w:rPr>
          <w:rFonts w:ascii="Times New Roman" w:hAnsi="Times New Roman" w:cs="Times New Roman"/>
          <w:sz w:val="20"/>
          <w:szCs w:val="20"/>
        </w:rPr>
        <w:t xml:space="preserve"> Per un’analisi di questo punto cfr. </w:t>
      </w:r>
      <w:r w:rsidRPr="003E181D">
        <w:rPr>
          <w:rFonts w:ascii="Times New Roman" w:hAnsi="Times New Roman" w:cs="Times New Roman"/>
          <w:i/>
          <w:sz w:val="20"/>
          <w:szCs w:val="20"/>
        </w:rPr>
        <w:t>infra</w:t>
      </w:r>
      <w:r>
        <w:rPr>
          <w:rFonts w:ascii="Times New Roman" w:hAnsi="Times New Roman" w:cs="Times New Roman"/>
          <w:sz w:val="20"/>
          <w:szCs w:val="20"/>
        </w:rPr>
        <w:t xml:space="preserve"> pp. 84-91</w:t>
      </w:r>
      <w:r w:rsidRPr="003E181D">
        <w:rPr>
          <w:rFonts w:ascii="Times New Roman" w:hAnsi="Times New Roman" w:cs="Times New Roman"/>
          <w:sz w:val="20"/>
          <w:szCs w:val="20"/>
        </w:rPr>
        <w:t xml:space="preserve">. Riguardo alla trattazione del tema nella </w:t>
      </w:r>
      <w:r w:rsidRPr="003E181D">
        <w:rPr>
          <w:rFonts w:ascii="Times New Roman" w:hAnsi="Times New Roman" w:cs="Times New Roman"/>
          <w:i/>
          <w:sz w:val="20"/>
          <w:szCs w:val="20"/>
        </w:rPr>
        <w:t>Wissenschaft der Logik</w:t>
      </w:r>
      <w:r w:rsidRPr="003E181D">
        <w:rPr>
          <w:rFonts w:ascii="Times New Roman" w:hAnsi="Times New Roman" w:cs="Times New Roman"/>
          <w:sz w:val="20"/>
          <w:szCs w:val="20"/>
        </w:rPr>
        <w:t xml:space="preserve"> vedi </w:t>
      </w:r>
      <w:r w:rsidRPr="003E181D">
        <w:rPr>
          <w:rFonts w:ascii="Times New Roman" w:hAnsi="Times New Roman" w:cs="Times New Roman"/>
          <w:i/>
          <w:sz w:val="20"/>
          <w:szCs w:val="20"/>
        </w:rPr>
        <w:t>infra</w:t>
      </w:r>
      <w:r>
        <w:rPr>
          <w:rFonts w:ascii="Times New Roman" w:hAnsi="Times New Roman" w:cs="Times New Roman"/>
          <w:sz w:val="20"/>
          <w:szCs w:val="20"/>
        </w:rPr>
        <w:t>, pp. 125-136</w:t>
      </w:r>
      <w:r w:rsidRPr="003E181D">
        <w:rPr>
          <w:rFonts w:ascii="Times New Roman" w:hAnsi="Times New Roman" w:cs="Times New Roman"/>
          <w:sz w:val="20"/>
          <w:szCs w:val="20"/>
        </w:rPr>
        <w:t>.</w:t>
      </w:r>
      <w:r w:rsidRPr="00470F3A">
        <w:rPr>
          <w:rFonts w:ascii="Times New Roman" w:hAnsi="Times New Roman" w:cs="Times New Roman"/>
          <w:sz w:val="20"/>
          <w:szCs w:val="20"/>
        </w:rPr>
        <w:t xml:space="preserve"> </w:t>
      </w:r>
    </w:p>
  </w:footnote>
  <w:footnote w:id="204">
    <w:p w14:paraId="0E647344" w14:textId="6F7FA5B0" w:rsidR="00B34CC2" w:rsidRPr="00470F3A" w:rsidRDefault="00B34CC2" w:rsidP="00F721A9">
      <w:pPr>
        <w:pStyle w:val="Testonotaapidipagina"/>
        <w:jc w:val="both"/>
        <w:rPr>
          <w:rFonts w:ascii="Times New Roman" w:hAnsi="Times New Roman" w:cs="Times New Roman"/>
          <w:sz w:val="20"/>
          <w:szCs w:val="20"/>
        </w:rPr>
      </w:pPr>
      <w:r w:rsidRPr="00470F3A">
        <w:rPr>
          <w:rStyle w:val="Rimandonotaapidipagina"/>
          <w:rFonts w:ascii="Times New Roman" w:hAnsi="Times New Roman" w:cs="Times New Roman"/>
          <w:sz w:val="20"/>
          <w:szCs w:val="20"/>
        </w:rPr>
        <w:footnoteRef/>
      </w:r>
      <w:r w:rsidRPr="00470F3A">
        <w:rPr>
          <w:rFonts w:ascii="Times New Roman" w:hAnsi="Times New Roman" w:cs="Times New Roman"/>
          <w:sz w:val="20"/>
          <w:szCs w:val="20"/>
        </w:rPr>
        <w:t xml:space="preserve"> </w:t>
      </w:r>
      <w:r w:rsidRPr="00470F3A">
        <w:rPr>
          <w:rFonts w:ascii="Times New Roman" w:hAnsi="Times New Roman" w:cs="Times New Roman"/>
          <w:i/>
          <w:sz w:val="20"/>
          <w:szCs w:val="20"/>
        </w:rPr>
        <w:t>JSE II</w:t>
      </w:r>
      <w:r w:rsidRPr="00470F3A">
        <w:rPr>
          <w:rFonts w:ascii="Times New Roman" w:hAnsi="Times New Roman" w:cs="Times New Roman"/>
          <w:sz w:val="20"/>
          <w:szCs w:val="20"/>
        </w:rPr>
        <w:t>, p. 176.</w:t>
      </w:r>
    </w:p>
  </w:footnote>
  <w:footnote w:id="205">
    <w:p w14:paraId="49D93C8B" w14:textId="1C4A75FF" w:rsidR="00B34CC2" w:rsidRPr="005413C4" w:rsidRDefault="00B34CC2" w:rsidP="00F721A9">
      <w:pPr>
        <w:pStyle w:val="Testonotaapidipagina"/>
        <w:jc w:val="both"/>
        <w:rPr>
          <w:rFonts w:ascii="Times New Roman" w:hAnsi="Times New Roman" w:cs="Times New Roman"/>
          <w:sz w:val="20"/>
          <w:szCs w:val="20"/>
        </w:rPr>
      </w:pPr>
      <w:r w:rsidRPr="00470F3A">
        <w:rPr>
          <w:rStyle w:val="Rimandonotaapidipagina"/>
          <w:rFonts w:ascii="Times New Roman" w:hAnsi="Times New Roman" w:cs="Times New Roman"/>
          <w:sz w:val="20"/>
          <w:szCs w:val="20"/>
        </w:rPr>
        <w:footnoteRef/>
      </w:r>
      <w:r>
        <w:rPr>
          <w:rFonts w:ascii="Times New Roman" w:hAnsi="Times New Roman" w:cs="Times New Roman"/>
          <w:sz w:val="20"/>
          <w:szCs w:val="20"/>
        </w:rPr>
        <w:t xml:space="preserve"> </w:t>
      </w:r>
      <w:r>
        <w:rPr>
          <w:rFonts w:ascii="Times New Roman" w:hAnsi="Times New Roman" w:cs="Times New Roman"/>
          <w:i/>
          <w:sz w:val="20"/>
          <w:szCs w:val="20"/>
        </w:rPr>
        <w:t>Ivi</w:t>
      </w:r>
      <w:r>
        <w:rPr>
          <w:rFonts w:ascii="Times New Roman" w:hAnsi="Times New Roman" w:cs="Times New Roman"/>
          <w:sz w:val="20"/>
          <w:szCs w:val="20"/>
        </w:rPr>
        <w:t>, p. 177.</w:t>
      </w:r>
    </w:p>
  </w:footnote>
  <w:footnote w:id="206">
    <w:p w14:paraId="37996C1A" w14:textId="121D05F5" w:rsidR="00B34CC2" w:rsidRPr="005B6F5F" w:rsidRDefault="00B34CC2" w:rsidP="00F721A9">
      <w:pPr>
        <w:pStyle w:val="Testonotaapidipagina"/>
        <w:jc w:val="both"/>
        <w:rPr>
          <w:rFonts w:ascii="Times New Roman" w:hAnsi="Times New Roman" w:cs="Times New Roman"/>
          <w:sz w:val="20"/>
          <w:szCs w:val="20"/>
        </w:rPr>
      </w:pPr>
      <w:r w:rsidRPr="00643608">
        <w:rPr>
          <w:rStyle w:val="Rimandonotaapidipagina"/>
          <w:rFonts w:ascii="Times New Roman" w:hAnsi="Times New Roman" w:cs="Times New Roman"/>
          <w:sz w:val="20"/>
          <w:szCs w:val="20"/>
        </w:rPr>
        <w:footnoteRef/>
      </w:r>
      <w:r w:rsidRPr="00643608">
        <w:rPr>
          <w:rFonts w:ascii="Times New Roman" w:hAnsi="Times New Roman" w:cs="Times New Roman"/>
          <w:sz w:val="20"/>
          <w:szCs w:val="20"/>
        </w:rPr>
        <w:t xml:space="preserve"> </w:t>
      </w:r>
      <w:r>
        <w:rPr>
          <w:rFonts w:ascii="Times New Roman" w:hAnsi="Times New Roman" w:cs="Times New Roman"/>
          <w:i/>
          <w:sz w:val="20"/>
          <w:szCs w:val="20"/>
        </w:rPr>
        <w:t>VGP (XX</w:t>
      </w:r>
      <w:r w:rsidRPr="00643608">
        <w:rPr>
          <w:rFonts w:ascii="Times New Roman" w:hAnsi="Times New Roman" w:cs="Times New Roman"/>
          <w:i/>
          <w:sz w:val="20"/>
          <w:szCs w:val="20"/>
        </w:rPr>
        <w:t>)</w:t>
      </w:r>
      <w:r>
        <w:rPr>
          <w:rFonts w:ascii="Times New Roman" w:hAnsi="Times New Roman" w:cs="Times New Roman"/>
          <w:sz w:val="20"/>
          <w:szCs w:val="20"/>
        </w:rPr>
        <w:t>, p. 106</w:t>
      </w:r>
      <w:r w:rsidRPr="00643608">
        <w:rPr>
          <w:rFonts w:ascii="Times New Roman" w:hAnsi="Times New Roman" w:cs="Times New Roman"/>
          <w:sz w:val="20"/>
          <w:szCs w:val="20"/>
        </w:rPr>
        <w:t>.</w:t>
      </w:r>
      <w:r>
        <w:rPr>
          <w:rFonts w:ascii="Times New Roman" w:hAnsi="Times New Roman" w:cs="Times New Roman"/>
          <w:sz w:val="20"/>
          <w:szCs w:val="20"/>
        </w:rPr>
        <w:t xml:space="preserve"> Sulla coincidenza delle </w:t>
      </w:r>
      <w:r w:rsidRPr="00ED5B32">
        <w:rPr>
          <w:rFonts w:ascii="Times New Roman" w:hAnsi="Times New Roman" w:cs="Times New Roman"/>
          <w:i/>
          <w:sz w:val="20"/>
          <w:szCs w:val="20"/>
        </w:rPr>
        <w:t>Vorlesungen</w:t>
      </w:r>
      <w:r>
        <w:rPr>
          <w:rFonts w:ascii="Times New Roman" w:hAnsi="Times New Roman" w:cs="Times New Roman"/>
          <w:sz w:val="20"/>
          <w:szCs w:val="20"/>
        </w:rPr>
        <w:t xml:space="preserve"> con questo passo della </w:t>
      </w:r>
      <w:r w:rsidRPr="00ED5B32">
        <w:rPr>
          <w:rFonts w:ascii="Times New Roman" w:hAnsi="Times New Roman" w:cs="Times New Roman"/>
          <w:i/>
          <w:sz w:val="20"/>
          <w:szCs w:val="20"/>
        </w:rPr>
        <w:t>Jenaer Logik und Metaphysik</w:t>
      </w:r>
      <w:r>
        <w:rPr>
          <w:rFonts w:ascii="Times New Roman" w:hAnsi="Times New Roman" w:cs="Times New Roman"/>
          <w:sz w:val="20"/>
          <w:szCs w:val="20"/>
        </w:rPr>
        <w:t xml:space="preserve"> ha richiamato la mia attenzione il saggio di I. Schüßler, </w:t>
      </w:r>
      <w:r w:rsidRPr="00ED5B32">
        <w:rPr>
          <w:rFonts w:ascii="Times New Roman" w:hAnsi="Times New Roman" w:cs="Times New Roman"/>
          <w:i/>
          <w:sz w:val="20"/>
          <w:szCs w:val="20"/>
        </w:rPr>
        <w:t>Böhme und Hegel</w:t>
      </w:r>
      <w:r>
        <w:rPr>
          <w:rFonts w:ascii="Times New Roman" w:hAnsi="Times New Roman" w:cs="Times New Roman"/>
          <w:sz w:val="20"/>
          <w:szCs w:val="20"/>
        </w:rPr>
        <w:t>, in «Jahrbuch der Schlesischen Friedrich-Wilhelms-Universität zu Breslau</w:t>
      </w:r>
      <w:r w:rsidRPr="00643608">
        <w:rPr>
          <w:rFonts w:ascii="Times New Roman" w:eastAsia="Times New Roman" w:hAnsi="Times New Roman" w:cs="Times New Roman"/>
          <w:color w:val="000000"/>
          <w:sz w:val="20"/>
          <w:szCs w:val="20"/>
          <w:lang w:val="de-DE"/>
        </w:rPr>
        <w:t>»</w:t>
      </w:r>
      <w:r>
        <w:rPr>
          <w:rFonts w:ascii="Times New Roman" w:hAnsi="Times New Roman" w:cs="Times New Roman"/>
          <w:sz w:val="20"/>
          <w:szCs w:val="20"/>
        </w:rPr>
        <w:t xml:space="preserve">, Bd. X (1965), pp. 46-58. Contrariamente a </w:t>
      </w:r>
      <w:r w:rsidRPr="005B6F5F">
        <w:rPr>
          <w:rFonts w:ascii="Times New Roman" w:hAnsi="Times New Roman" w:cs="Times New Roman"/>
          <w:sz w:val="20"/>
          <w:szCs w:val="20"/>
        </w:rPr>
        <w:t xml:space="preserve">Schüßler, che connette il passo </w:t>
      </w:r>
      <w:r w:rsidRPr="005B6F5F">
        <w:rPr>
          <w:rFonts w:ascii="Times New Roman" w:eastAsia="Times New Roman" w:hAnsi="Times New Roman" w:cs="Times New Roman"/>
          <w:color w:val="000000"/>
          <w:sz w:val="20"/>
          <w:szCs w:val="20"/>
        </w:rPr>
        <w:t>«Böhme ist unendlich erhaben über das leere Abstraktum des höchsten Wesen»</w:t>
      </w:r>
      <w:r w:rsidRPr="005B6F5F">
        <w:rPr>
          <w:rFonts w:ascii="Times New Roman" w:hAnsi="Times New Roman" w:cs="Times New Roman"/>
          <w:sz w:val="20"/>
          <w:szCs w:val="20"/>
        </w:rPr>
        <w:t xml:space="preserve"> con l’essenza suprema dei «Romantiker</w:t>
      </w:r>
      <w:r w:rsidRPr="005B6F5F">
        <w:rPr>
          <w:rFonts w:ascii="Times New Roman" w:eastAsia="Times New Roman" w:hAnsi="Times New Roman" w:cs="Times New Roman"/>
          <w:color w:val="000000"/>
          <w:sz w:val="20"/>
          <w:szCs w:val="20"/>
          <w:lang w:val="de-DE"/>
        </w:rPr>
        <w:t>» (</w:t>
      </w:r>
      <w:r w:rsidRPr="005B6F5F">
        <w:rPr>
          <w:rFonts w:ascii="Times New Roman" w:eastAsia="Times New Roman" w:hAnsi="Times New Roman" w:cs="Times New Roman"/>
          <w:i/>
          <w:color w:val="000000"/>
          <w:sz w:val="20"/>
          <w:szCs w:val="20"/>
          <w:lang w:val="de-DE"/>
        </w:rPr>
        <w:t>Ivi</w:t>
      </w:r>
      <w:r w:rsidRPr="005B6F5F">
        <w:rPr>
          <w:rFonts w:ascii="Times New Roman" w:eastAsia="Times New Roman" w:hAnsi="Times New Roman" w:cs="Times New Roman"/>
          <w:color w:val="000000"/>
          <w:sz w:val="20"/>
          <w:szCs w:val="20"/>
          <w:lang w:val="de-DE"/>
        </w:rPr>
        <w:t>, p. 49), ritengo che quest’espressione sia da riferire alla produzione jenese hegeliana.</w:t>
      </w:r>
    </w:p>
  </w:footnote>
  <w:footnote w:id="207">
    <w:p w14:paraId="638E4427" w14:textId="3399003A" w:rsidR="00B34CC2" w:rsidRPr="00643608" w:rsidRDefault="00B34CC2" w:rsidP="00F721A9">
      <w:pPr>
        <w:pStyle w:val="Testonotaapidipagina"/>
        <w:jc w:val="both"/>
        <w:rPr>
          <w:rFonts w:ascii="Times New Roman" w:hAnsi="Times New Roman" w:cs="Times New Roman"/>
          <w:sz w:val="20"/>
          <w:szCs w:val="20"/>
        </w:rPr>
      </w:pPr>
      <w:r w:rsidRPr="005B6F5F">
        <w:rPr>
          <w:rStyle w:val="Rimandonotaapidipagina"/>
          <w:rFonts w:ascii="Times New Roman" w:hAnsi="Times New Roman" w:cs="Times New Roman"/>
          <w:sz w:val="20"/>
          <w:szCs w:val="20"/>
        </w:rPr>
        <w:footnoteRef/>
      </w:r>
      <w:r w:rsidRPr="005B6F5F">
        <w:rPr>
          <w:rFonts w:ascii="Times New Roman" w:hAnsi="Times New Roman" w:cs="Times New Roman"/>
          <w:sz w:val="20"/>
          <w:szCs w:val="20"/>
        </w:rPr>
        <w:t xml:space="preserve"> Sulle ragioni di questa difficoltà cfr. </w:t>
      </w:r>
      <w:r w:rsidRPr="005B6F5F">
        <w:rPr>
          <w:rFonts w:ascii="Times New Roman" w:hAnsi="Times New Roman" w:cs="Times New Roman"/>
          <w:i/>
          <w:sz w:val="20"/>
          <w:szCs w:val="20"/>
        </w:rPr>
        <w:t>supra</w:t>
      </w:r>
      <w:r>
        <w:rPr>
          <w:rFonts w:ascii="Times New Roman" w:hAnsi="Times New Roman" w:cs="Times New Roman"/>
          <w:sz w:val="20"/>
          <w:szCs w:val="20"/>
        </w:rPr>
        <w:t>, p. 15</w:t>
      </w:r>
      <w:r w:rsidRPr="005B6F5F">
        <w:rPr>
          <w:rFonts w:ascii="Times New Roman" w:hAnsi="Times New Roman" w:cs="Times New Roman"/>
          <w:sz w:val="20"/>
          <w:szCs w:val="20"/>
        </w:rPr>
        <w:t>, nota 14.</w:t>
      </w:r>
    </w:p>
  </w:footnote>
  <w:footnote w:id="208">
    <w:p w14:paraId="4C133382" w14:textId="68AA3D4E" w:rsidR="00B34CC2" w:rsidRPr="00643608" w:rsidRDefault="00B34CC2" w:rsidP="00F721A9">
      <w:pPr>
        <w:pStyle w:val="Testonotaapidipagina"/>
        <w:jc w:val="both"/>
        <w:rPr>
          <w:rFonts w:ascii="Times New Roman" w:hAnsi="Times New Roman" w:cs="Times New Roman"/>
          <w:sz w:val="20"/>
          <w:szCs w:val="20"/>
        </w:rPr>
      </w:pPr>
      <w:r w:rsidRPr="00643608">
        <w:rPr>
          <w:rStyle w:val="Rimandonotaapidipagina"/>
          <w:rFonts w:ascii="Times New Roman" w:hAnsi="Times New Roman" w:cs="Times New Roman"/>
          <w:sz w:val="20"/>
          <w:szCs w:val="20"/>
        </w:rPr>
        <w:footnoteRef/>
      </w:r>
      <w:r w:rsidRPr="00643608">
        <w:rPr>
          <w:rFonts w:ascii="Times New Roman" w:hAnsi="Times New Roman" w:cs="Times New Roman"/>
          <w:sz w:val="20"/>
          <w:szCs w:val="20"/>
        </w:rPr>
        <w:t xml:space="preserve"> Cfr. </w:t>
      </w:r>
      <w:r w:rsidRPr="00643608">
        <w:rPr>
          <w:rFonts w:ascii="Times New Roman" w:hAnsi="Times New Roman" w:cs="Times New Roman"/>
          <w:i/>
          <w:sz w:val="20"/>
          <w:szCs w:val="20"/>
        </w:rPr>
        <w:t>infra</w:t>
      </w:r>
      <w:r>
        <w:rPr>
          <w:rFonts w:ascii="Times New Roman" w:hAnsi="Times New Roman" w:cs="Times New Roman"/>
          <w:sz w:val="20"/>
          <w:szCs w:val="20"/>
        </w:rPr>
        <w:t>, pp. 136-145</w:t>
      </w:r>
      <w:r w:rsidRPr="00643608">
        <w:rPr>
          <w:rFonts w:ascii="Times New Roman" w:hAnsi="Times New Roman" w:cs="Times New Roman"/>
          <w:sz w:val="20"/>
          <w:szCs w:val="20"/>
        </w:rPr>
        <w:t>.</w:t>
      </w:r>
    </w:p>
  </w:footnote>
  <w:footnote w:id="209">
    <w:p w14:paraId="12F6FDEE" w14:textId="1F83817B" w:rsidR="00B34CC2" w:rsidRDefault="00B34CC2" w:rsidP="00F721A9">
      <w:pPr>
        <w:pStyle w:val="Testonotaapidipagina"/>
        <w:jc w:val="both"/>
      </w:pPr>
      <w:r w:rsidRPr="00643608">
        <w:rPr>
          <w:rStyle w:val="Rimandonotaapidipagina"/>
          <w:rFonts w:ascii="Times New Roman" w:hAnsi="Times New Roman" w:cs="Times New Roman"/>
          <w:sz w:val="20"/>
          <w:szCs w:val="20"/>
        </w:rPr>
        <w:footnoteRef/>
      </w:r>
      <w:r w:rsidRPr="00643608">
        <w:rPr>
          <w:rFonts w:ascii="Times New Roman" w:hAnsi="Times New Roman" w:cs="Times New Roman"/>
          <w:sz w:val="20"/>
          <w:szCs w:val="20"/>
        </w:rPr>
        <w:t xml:space="preserve"> Cfr. </w:t>
      </w:r>
      <w:r w:rsidRPr="00643608">
        <w:rPr>
          <w:rFonts w:ascii="Times New Roman" w:hAnsi="Times New Roman" w:cs="Times New Roman"/>
          <w:i/>
          <w:sz w:val="20"/>
          <w:szCs w:val="20"/>
        </w:rPr>
        <w:t>infra</w:t>
      </w:r>
      <w:r w:rsidRPr="00643608">
        <w:rPr>
          <w:rFonts w:ascii="Times New Roman" w:hAnsi="Times New Roman" w:cs="Times New Roman"/>
          <w:sz w:val="20"/>
          <w:szCs w:val="20"/>
        </w:rPr>
        <w:t xml:space="preserve">, pp. </w:t>
      </w:r>
      <w:r>
        <w:rPr>
          <w:rFonts w:ascii="Times New Roman" w:hAnsi="Times New Roman" w:cs="Times New Roman"/>
          <w:sz w:val="20"/>
          <w:szCs w:val="20"/>
        </w:rPr>
        <w:t>145-160</w:t>
      </w:r>
      <w:r w:rsidRPr="00643608">
        <w:rPr>
          <w:rFonts w:ascii="Times New Roman" w:hAnsi="Times New Roman" w:cs="Times New Roman"/>
          <w:sz w:val="20"/>
          <w:szCs w:val="20"/>
        </w:rPr>
        <w:t>.</w:t>
      </w:r>
    </w:p>
  </w:footnote>
  <w:footnote w:id="210">
    <w:p w14:paraId="4E013887" w14:textId="52548F1A" w:rsidR="00B34CC2" w:rsidRPr="00EF4890" w:rsidRDefault="00B34CC2" w:rsidP="00F721A9">
      <w:pPr>
        <w:pStyle w:val="Testonotaapidipagina"/>
        <w:jc w:val="both"/>
        <w:rPr>
          <w:rFonts w:ascii="Times New Roman" w:hAnsi="Times New Roman" w:cs="Times New Roman"/>
          <w:sz w:val="20"/>
          <w:szCs w:val="20"/>
        </w:rPr>
      </w:pPr>
      <w:r w:rsidRPr="00EF4890">
        <w:rPr>
          <w:rStyle w:val="Rimandonotaapidipagina"/>
          <w:rFonts w:ascii="Times New Roman" w:hAnsi="Times New Roman" w:cs="Times New Roman"/>
          <w:sz w:val="20"/>
          <w:szCs w:val="20"/>
        </w:rPr>
        <w:footnoteRef/>
      </w:r>
      <w:r w:rsidRPr="00EF4890">
        <w:rPr>
          <w:rFonts w:ascii="Times New Roman" w:hAnsi="Times New Roman" w:cs="Times New Roman"/>
          <w:sz w:val="20"/>
          <w:szCs w:val="20"/>
        </w:rPr>
        <w:t xml:space="preserve"> </w:t>
      </w:r>
      <w:r w:rsidRPr="005F165F">
        <w:rPr>
          <w:rFonts w:ascii="Times New Roman" w:hAnsi="Times New Roman" w:cs="Times New Roman"/>
          <w:i/>
          <w:sz w:val="20"/>
          <w:szCs w:val="20"/>
        </w:rPr>
        <w:t>Ibidem</w:t>
      </w:r>
      <w:r>
        <w:rPr>
          <w:rFonts w:ascii="Times New Roman" w:hAnsi="Times New Roman" w:cs="Times New Roman"/>
          <w:sz w:val="20"/>
          <w:szCs w:val="20"/>
        </w:rPr>
        <w:t>.</w:t>
      </w:r>
    </w:p>
  </w:footnote>
  <w:footnote w:id="211">
    <w:p w14:paraId="37F53702" w14:textId="7B9BC88E" w:rsidR="00B34CC2" w:rsidRPr="005F165F" w:rsidRDefault="00B34CC2" w:rsidP="00F721A9">
      <w:pPr>
        <w:pStyle w:val="Testonotaapidipagina"/>
        <w:jc w:val="both"/>
        <w:rPr>
          <w:rFonts w:ascii="Times New Roman" w:hAnsi="Times New Roman" w:cs="Times New Roman"/>
          <w:sz w:val="20"/>
          <w:szCs w:val="20"/>
        </w:rPr>
      </w:pPr>
      <w:r w:rsidRPr="005F165F">
        <w:rPr>
          <w:rStyle w:val="Rimandonotaapidipagina"/>
          <w:rFonts w:ascii="Times New Roman" w:hAnsi="Times New Roman" w:cs="Times New Roman"/>
          <w:sz w:val="20"/>
          <w:szCs w:val="20"/>
        </w:rPr>
        <w:footnoteRef/>
      </w:r>
      <w:r w:rsidRPr="005F165F">
        <w:rPr>
          <w:rFonts w:ascii="Times New Roman" w:hAnsi="Times New Roman" w:cs="Times New Roman"/>
          <w:sz w:val="20"/>
          <w:szCs w:val="20"/>
        </w:rPr>
        <w:t xml:space="preserve"> </w:t>
      </w:r>
      <w:r w:rsidRPr="005F165F">
        <w:rPr>
          <w:rFonts w:ascii="Times New Roman" w:hAnsi="Times New Roman" w:cs="Times New Roman"/>
          <w:i/>
          <w:sz w:val="20"/>
          <w:szCs w:val="20"/>
        </w:rPr>
        <w:t>Ibidem</w:t>
      </w:r>
      <w:r w:rsidRPr="005F165F">
        <w:rPr>
          <w:rFonts w:ascii="Times New Roman" w:hAnsi="Times New Roman" w:cs="Times New Roman"/>
          <w:sz w:val="20"/>
          <w:szCs w:val="20"/>
        </w:rPr>
        <w:t>.</w:t>
      </w:r>
    </w:p>
  </w:footnote>
  <w:footnote w:id="212">
    <w:p w14:paraId="00DD05C5" w14:textId="10B50DC2" w:rsidR="00B34CC2" w:rsidRDefault="00B34CC2" w:rsidP="00F721A9">
      <w:pPr>
        <w:pStyle w:val="Testonotaapidipagina"/>
        <w:jc w:val="both"/>
      </w:pPr>
      <w:r w:rsidRPr="00336B51">
        <w:rPr>
          <w:rStyle w:val="Rimandonotaapidipagina"/>
          <w:rFonts w:ascii="Times New Roman" w:hAnsi="Times New Roman" w:cs="Times New Roman"/>
          <w:sz w:val="20"/>
          <w:szCs w:val="20"/>
        </w:rPr>
        <w:footnoteRef/>
      </w:r>
      <w:r w:rsidRPr="00336B51">
        <w:rPr>
          <w:rFonts w:ascii="Times New Roman" w:hAnsi="Times New Roman" w:cs="Times New Roman"/>
          <w:sz w:val="20"/>
          <w:szCs w:val="20"/>
        </w:rPr>
        <w:t xml:space="preserve"> </w:t>
      </w:r>
      <w:r w:rsidRPr="005C5146">
        <w:rPr>
          <w:rFonts w:ascii="Times New Roman" w:hAnsi="Times New Roman" w:cs="Times New Roman"/>
          <w:sz w:val="20"/>
          <w:szCs w:val="20"/>
        </w:rPr>
        <w:t xml:space="preserve">Cfr. </w:t>
      </w:r>
      <w:r w:rsidRPr="005C5146">
        <w:rPr>
          <w:rFonts w:ascii="Times New Roman" w:hAnsi="Times New Roman" w:cs="Times New Roman"/>
          <w:i/>
          <w:sz w:val="20"/>
          <w:szCs w:val="20"/>
        </w:rPr>
        <w:t>supra</w:t>
      </w:r>
      <w:r>
        <w:rPr>
          <w:rFonts w:ascii="Times New Roman" w:hAnsi="Times New Roman" w:cs="Times New Roman"/>
          <w:sz w:val="20"/>
          <w:szCs w:val="20"/>
        </w:rPr>
        <w:t>, p. 53</w:t>
      </w:r>
      <w:r w:rsidRPr="005C5146">
        <w:rPr>
          <w:rFonts w:ascii="Times New Roman" w:hAnsi="Times New Roman" w:cs="Times New Roman"/>
          <w:sz w:val="20"/>
          <w:szCs w:val="20"/>
        </w:rPr>
        <w:t>.</w:t>
      </w:r>
    </w:p>
  </w:footnote>
  <w:footnote w:id="213">
    <w:p w14:paraId="3A330B51" w14:textId="223E9737" w:rsidR="00B34CC2" w:rsidRPr="005C5146" w:rsidRDefault="00B34CC2" w:rsidP="00F721A9">
      <w:pPr>
        <w:pStyle w:val="Testonotaapidipagina"/>
        <w:jc w:val="both"/>
        <w:rPr>
          <w:rFonts w:ascii="Times New Roman" w:hAnsi="Times New Roman" w:cs="Times New Roman"/>
          <w:sz w:val="20"/>
          <w:szCs w:val="20"/>
        </w:rPr>
      </w:pPr>
      <w:r w:rsidRPr="005C5146">
        <w:rPr>
          <w:rStyle w:val="Rimandonotaapidipagina"/>
          <w:rFonts w:ascii="Times New Roman" w:hAnsi="Times New Roman" w:cs="Times New Roman"/>
          <w:sz w:val="20"/>
          <w:szCs w:val="20"/>
        </w:rPr>
        <w:footnoteRef/>
      </w:r>
      <w:r>
        <w:rPr>
          <w:rFonts w:ascii="Times New Roman" w:hAnsi="Times New Roman" w:cs="Times New Roman"/>
          <w:sz w:val="20"/>
          <w:szCs w:val="20"/>
        </w:rPr>
        <w:t xml:space="preserve"> </w:t>
      </w:r>
      <w:r w:rsidRPr="00BB0EF3">
        <w:rPr>
          <w:rFonts w:ascii="Times New Roman" w:hAnsi="Times New Roman" w:cs="Times New Roman"/>
          <w:i/>
          <w:sz w:val="20"/>
          <w:szCs w:val="20"/>
        </w:rPr>
        <w:t>Ibidem</w:t>
      </w:r>
      <w:r w:rsidRPr="005C5146">
        <w:rPr>
          <w:rFonts w:ascii="Times New Roman" w:hAnsi="Times New Roman" w:cs="Times New Roman"/>
          <w:sz w:val="20"/>
          <w:szCs w:val="20"/>
        </w:rPr>
        <w:t>.</w:t>
      </w:r>
    </w:p>
  </w:footnote>
  <w:footnote w:id="214">
    <w:p w14:paraId="5345F778" w14:textId="5AA3B6B9" w:rsidR="00B34CC2" w:rsidRPr="00C80BAD" w:rsidRDefault="00B34CC2" w:rsidP="00F721A9">
      <w:pPr>
        <w:pStyle w:val="Testonotaapidipagina"/>
        <w:jc w:val="both"/>
        <w:rPr>
          <w:rFonts w:ascii="Times New Roman" w:hAnsi="Times New Roman" w:cs="Times New Roman"/>
          <w:sz w:val="20"/>
          <w:szCs w:val="20"/>
        </w:rPr>
      </w:pPr>
      <w:r w:rsidRPr="00C80BAD">
        <w:rPr>
          <w:rStyle w:val="Rimandonotaapidipagina"/>
          <w:rFonts w:ascii="Times New Roman" w:hAnsi="Times New Roman" w:cs="Times New Roman"/>
          <w:sz w:val="20"/>
          <w:szCs w:val="20"/>
        </w:rPr>
        <w:footnoteRef/>
      </w:r>
      <w:r w:rsidRPr="00C80BAD">
        <w:rPr>
          <w:rFonts w:ascii="Times New Roman" w:hAnsi="Times New Roman" w:cs="Times New Roman"/>
          <w:sz w:val="20"/>
          <w:szCs w:val="20"/>
        </w:rPr>
        <w:t xml:space="preserve"> Cfr. </w:t>
      </w:r>
      <w:r w:rsidRPr="00C80BAD">
        <w:rPr>
          <w:rFonts w:ascii="Times New Roman" w:hAnsi="Times New Roman" w:cs="Times New Roman"/>
          <w:i/>
          <w:sz w:val="20"/>
          <w:szCs w:val="20"/>
        </w:rPr>
        <w:t>supra</w:t>
      </w:r>
      <w:r w:rsidRPr="00C80BAD">
        <w:rPr>
          <w:rFonts w:ascii="Times New Roman" w:hAnsi="Times New Roman" w:cs="Times New Roman"/>
          <w:sz w:val="20"/>
          <w:szCs w:val="20"/>
        </w:rPr>
        <w:t xml:space="preserve">, pp. </w:t>
      </w:r>
      <w:r>
        <w:rPr>
          <w:rFonts w:ascii="Times New Roman" w:hAnsi="Times New Roman" w:cs="Times New Roman"/>
          <w:sz w:val="20"/>
          <w:szCs w:val="20"/>
        </w:rPr>
        <w:t xml:space="preserve">53-59. </w:t>
      </w:r>
    </w:p>
  </w:footnote>
  <w:footnote w:id="215">
    <w:p w14:paraId="5DDF2579" w14:textId="7E83CFDD" w:rsidR="00B34CC2" w:rsidRPr="008743AD" w:rsidRDefault="00B34CC2" w:rsidP="00F721A9">
      <w:pPr>
        <w:pStyle w:val="Testonotaapidipagina"/>
        <w:jc w:val="both"/>
        <w:rPr>
          <w:rFonts w:ascii="Times New Roman" w:hAnsi="Times New Roman" w:cs="Times New Roman"/>
          <w:sz w:val="20"/>
          <w:szCs w:val="20"/>
        </w:rPr>
      </w:pPr>
      <w:r w:rsidRPr="008743AD">
        <w:rPr>
          <w:rStyle w:val="Rimandonotaapidipagina"/>
          <w:rFonts w:ascii="Times New Roman" w:hAnsi="Times New Roman" w:cs="Times New Roman"/>
          <w:sz w:val="20"/>
          <w:szCs w:val="20"/>
        </w:rPr>
        <w:footnoteRef/>
      </w:r>
      <w:r w:rsidRPr="008743AD">
        <w:rPr>
          <w:rFonts w:ascii="Times New Roman" w:hAnsi="Times New Roman" w:cs="Times New Roman"/>
          <w:sz w:val="20"/>
          <w:szCs w:val="20"/>
        </w:rPr>
        <w:t xml:space="preserve"> </w:t>
      </w:r>
      <w:r>
        <w:rPr>
          <w:rFonts w:ascii="Times New Roman" w:hAnsi="Times New Roman" w:cs="Times New Roman"/>
          <w:i/>
          <w:sz w:val="20"/>
          <w:szCs w:val="20"/>
        </w:rPr>
        <w:t>VGP (XX</w:t>
      </w:r>
      <w:r w:rsidRPr="008743AD">
        <w:rPr>
          <w:rFonts w:ascii="Times New Roman" w:hAnsi="Times New Roman" w:cs="Times New Roman"/>
          <w:i/>
          <w:sz w:val="20"/>
          <w:szCs w:val="20"/>
        </w:rPr>
        <w:t>)</w:t>
      </w:r>
      <w:r w:rsidRPr="008743AD">
        <w:rPr>
          <w:rFonts w:ascii="Times New Roman" w:hAnsi="Times New Roman" w:cs="Times New Roman"/>
          <w:sz w:val="20"/>
          <w:szCs w:val="20"/>
        </w:rPr>
        <w:t>, p. 109.</w:t>
      </w:r>
    </w:p>
  </w:footnote>
  <w:footnote w:id="216">
    <w:p w14:paraId="775B8AEC" w14:textId="6B632679" w:rsidR="00B34CC2" w:rsidRPr="00C45812" w:rsidRDefault="00B34CC2" w:rsidP="00F721A9">
      <w:pPr>
        <w:pStyle w:val="Testonotaapidipagina"/>
        <w:jc w:val="both"/>
      </w:pPr>
      <w:r w:rsidRPr="0082516D">
        <w:rPr>
          <w:rStyle w:val="Rimandonotaapidipagina"/>
          <w:rFonts w:ascii="Times New Roman" w:hAnsi="Times New Roman" w:cs="Times New Roman"/>
          <w:sz w:val="20"/>
          <w:szCs w:val="20"/>
        </w:rPr>
        <w:footnoteRef/>
      </w:r>
      <w:r w:rsidRPr="0082516D">
        <w:rPr>
          <w:rFonts w:ascii="Times New Roman" w:hAnsi="Times New Roman" w:cs="Times New Roman"/>
          <w:sz w:val="20"/>
          <w:szCs w:val="20"/>
        </w:rPr>
        <w:t xml:space="preserve"> C</w:t>
      </w:r>
      <w:r w:rsidRPr="003D74D0">
        <w:rPr>
          <w:rFonts w:ascii="Times New Roman" w:hAnsi="Times New Roman" w:cs="Times New Roman"/>
          <w:sz w:val="20"/>
          <w:szCs w:val="20"/>
        </w:rPr>
        <w:t xml:space="preserve">fr. </w:t>
      </w:r>
      <w:r w:rsidRPr="003D74D0">
        <w:rPr>
          <w:rFonts w:ascii="Times New Roman" w:hAnsi="Times New Roman" w:cs="Times New Roman"/>
          <w:i/>
          <w:sz w:val="20"/>
          <w:szCs w:val="20"/>
        </w:rPr>
        <w:t>supra</w:t>
      </w:r>
      <w:r>
        <w:rPr>
          <w:rFonts w:ascii="Times New Roman" w:hAnsi="Times New Roman" w:cs="Times New Roman"/>
          <w:sz w:val="20"/>
          <w:szCs w:val="20"/>
        </w:rPr>
        <w:t>, p. 57-59.</w:t>
      </w:r>
    </w:p>
  </w:footnote>
  <w:footnote w:id="217">
    <w:p w14:paraId="54AD8539" w14:textId="00A05ADC" w:rsidR="00B34CC2" w:rsidRPr="003D74D0" w:rsidRDefault="00B34CC2" w:rsidP="00F721A9">
      <w:pPr>
        <w:pStyle w:val="Testonotaapidipagina"/>
        <w:jc w:val="both"/>
        <w:rPr>
          <w:rFonts w:ascii="Times New Roman" w:hAnsi="Times New Roman" w:cs="Times New Roman"/>
          <w:sz w:val="20"/>
          <w:szCs w:val="20"/>
        </w:rPr>
      </w:pPr>
      <w:r w:rsidRPr="003D74D0">
        <w:rPr>
          <w:rStyle w:val="Rimandonotaapidipagina"/>
          <w:rFonts w:ascii="Times New Roman" w:hAnsi="Times New Roman" w:cs="Times New Roman"/>
          <w:sz w:val="20"/>
          <w:szCs w:val="20"/>
        </w:rPr>
        <w:footnoteRef/>
      </w:r>
      <w:r w:rsidRPr="003D74D0">
        <w:rPr>
          <w:rFonts w:ascii="Times New Roman" w:hAnsi="Times New Roman" w:cs="Times New Roman"/>
          <w:sz w:val="20"/>
          <w:szCs w:val="20"/>
        </w:rPr>
        <w:t xml:space="preserve"> Cfr. </w:t>
      </w:r>
      <w:r w:rsidRPr="003D74D0">
        <w:rPr>
          <w:rFonts w:ascii="Times New Roman" w:hAnsi="Times New Roman" w:cs="Times New Roman"/>
          <w:i/>
          <w:sz w:val="20"/>
          <w:szCs w:val="20"/>
        </w:rPr>
        <w:t>supra</w:t>
      </w:r>
      <w:r w:rsidRPr="003D74D0">
        <w:rPr>
          <w:rFonts w:ascii="Times New Roman" w:hAnsi="Times New Roman" w:cs="Times New Roman"/>
          <w:sz w:val="20"/>
          <w:szCs w:val="20"/>
        </w:rPr>
        <w:t xml:space="preserve">, pp. </w:t>
      </w:r>
      <w:r>
        <w:rPr>
          <w:rFonts w:ascii="Times New Roman" w:hAnsi="Times New Roman" w:cs="Times New Roman"/>
          <w:sz w:val="20"/>
          <w:szCs w:val="20"/>
        </w:rPr>
        <w:t>66-68</w:t>
      </w:r>
      <w:r w:rsidRPr="003D74D0">
        <w:rPr>
          <w:rFonts w:ascii="Times New Roman" w:hAnsi="Times New Roman" w:cs="Times New Roman"/>
          <w:sz w:val="20"/>
          <w:szCs w:val="20"/>
        </w:rPr>
        <w:t>.</w:t>
      </w:r>
    </w:p>
  </w:footnote>
  <w:footnote w:id="218">
    <w:p w14:paraId="1FDCB5A0" w14:textId="48C5A364" w:rsidR="00B34CC2" w:rsidRPr="00DB40F2" w:rsidRDefault="00B34CC2" w:rsidP="00F721A9">
      <w:pPr>
        <w:pStyle w:val="Testonotaapidipagina"/>
        <w:jc w:val="both"/>
        <w:rPr>
          <w:rFonts w:ascii="Times New Roman" w:hAnsi="Times New Roman" w:cs="Times New Roman"/>
          <w:sz w:val="20"/>
          <w:szCs w:val="20"/>
        </w:rPr>
      </w:pPr>
      <w:r w:rsidRPr="00BA5095">
        <w:rPr>
          <w:rStyle w:val="Rimandonotaapidipagina"/>
          <w:rFonts w:ascii="Times New Roman" w:hAnsi="Times New Roman" w:cs="Times New Roman"/>
          <w:sz w:val="20"/>
          <w:szCs w:val="20"/>
        </w:rPr>
        <w:footnoteRef/>
      </w:r>
      <w:r w:rsidRPr="00BA5095">
        <w:rPr>
          <w:rFonts w:ascii="Times New Roman" w:hAnsi="Times New Roman" w:cs="Times New Roman"/>
          <w:sz w:val="20"/>
          <w:szCs w:val="20"/>
        </w:rPr>
        <w:t xml:space="preserve"> J. B</w:t>
      </w:r>
      <w:r w:rsidRPr="00BA5095">
        <w:rPr>
          <w:rFonts w:ascii="Times New Roman" w:hAnsi="Times New Roman" w:cs="Times New Roman"/>
          <w:sz w:val="20"/>
          <w:szCs w:val="20"/>
          <w:lang w:val="de-DE"/>
        </w:rPr>
        <w:t xml:space="preserve">öhme, </w:t>
      </w:r>
      <w:r w:rsidRPr="00BA5095">
        <w:rPr>
          <w:rFonts w:ascii="Times New Roman" w:hAnsi="Times New Roman" w:cs="Times New Roman"/>
          <w:i/>
          <w:sz w:val="20"/>
          <w:szCs w:val="20"/>
          <w:lang w:val="de-DE"/>
        </w:rPr>
        <w:t>De Aequanimitate oder von der wahren Gelassenheit</w:t>
      </w:r>
      <w:r w:rsidRPr="00BA5095">
        <w:rPr>
          <w:rFonts w:ascii="Times New Roman" w:hAnsi="Times New Roman" w:cs="Times New Roman"/>
          <w:sz w:val="20"/>
          <w:szCs w:val="20"/>
          <w:lang w:val="de-DE"/>
        </w:rPr>
        <w:t xml:space="preserve">, </w:t>
      </w:r>
      <w:r w:rsidRPr="00BA5095">
        <w:rPr>
          <w:rFonts w:ascii="Times New Roman" w:eastAsia="Times New Roman" w:hAnsi="Times New Roman" w:cs="Times New Roman"/>
          <w:color w:val="000000"/>
          <w:sz w:val="20"/>
          <w:szCs w:val="20"/>
        </w:rPr>
        <w:t xml:space="preserve">in </w:t>
      </w:r>
      <w:r w:rsidRPr="00BA5095">
        <w:rPr>
          <w:rFonts w:ascii="Times New Roman" w:eastAsia="Times New Roman" w:hAnsi="Times New Roman" w:cs="Times New Roman"/>
          <w:i/>
          <w:color w:val="000000"/>
          <w:sz w:val="20"/>
          <w:szCs w:val="20"/>
        </w:rPr>
        <w:t>Sämtliche Schriften</w:t>
      </w:r>
      <w:r w:rsidRPr="00BA5095">
        <w:rPr>
          <w:rFonts w:ascii="Times New Roman" w:hAnsi="Times New Roman" w:cs="Times New Roman"/>
          <w:sz w:val="20"/>
          <w:szCs w:val="20"/>
          <w:lang w:val="de-DE"/>
        </w:rPr>
        <w:t>, Bd. IX, cit., pp. 86-87.</w:t>
      </w:r>
    </w:p>
  </w:footnote>
  <w:footnote w:id="219">
    <w:p w14:paraId="0C9E7FCE" w14:textId="043D54CA" w:rsidR="00B34CC2" w:rsidRPr="00B84F76" w:rsidRDefault="00B34CC2" w:rsidP="00F721A9">
      <w:pPr>
        <w:pStyle w:val="Testonotaapidipagina"/>
        <w:jc w:val="both"/>
        <w:rPr>
          <w:rFonts w:ascii="Times New Roman" w:hAnsi="Times New Roman" w:cs="Times New Roman"/>
          <w:sz w:val="20"/>
          <w:szCs w:val="20"/>
        </w:rPr>
      </w:pPr>
      <w:r w:rsidRPr="00A420A1">
        <w:rPr>
          <w:rStyle w:val="Rimandonotaapidipagina"/>
          <w:rFonts w:ascii="Times New Roman" w:hAnsi="Times New Roman" w:cs="Times New Roman"/>
          <w:sz w:val="20"/>
          <w:szCs w:val="20"/>
        </w:rPr>
        <w:footnoteRef/>
      </w:r>
      <w:r w:rsidRPr="00A420A1">
        <w:rPr>
          <w:rFonts w:ascii="Times New Roman" w:hAnsi="Times New Roman" w:cs="Times New Roman"/>
          <w:sz w:val="20"/>
          <w:szCs w:val="20"/>
        </w:rPr>
        <w:t xml:space="preserve"> In particolare vedi </w:t>
      </w:r>
      <w:r w:rsidRPr="00A420A1">
        <w:rPr>
          <w:rFonts w:ascii="Times New Roman" w:hAnsi="Times New Roman" w:cs="Times New Roman"/>
          <w:i/>
          <w:sz w:val="20"/>
          <w:szCs w:val="20"/>
        </w:rPr>
        <w:t>infra</w:t>
      </w:r>
      <w:r w:rsidRPr="00A420A1">
        <w:rPr>
          <w:rFonts w:ascii="Times New Roman" w:hAnsi="Times New Roman" w:cs="Times New Roman"/>
          <w:sz w:val="20"/>
          <w:szCs w:val="20"/>
        </w:rPr>
        <w:t>, pp. 117-125 e pp. 136-160.</w:t>
      </w:r>
    </w:p>
  </w:footnote>
  <w:footnote w:id="220">
    <w:p w14:paraId="0DDB5121" w14:textId="4BC63DE8" w:rsidR="00B34CC2" w:rsidRPr="00F0501B" w:rsidRDefault="00B34CC2" w:rsidP="00F721A9">
      <w:pPr>
        <w:pStyle w:val="Testonotaapidipagina"/>
        <w:jc w:val="both"/>
        <w:rPr>
          <w:rFonts w:ascii="Times New Roman" w:hAnsi="Times New Roman" w:cs="Times New Roman"/>
          <w:sz w:val="20"/>
          <w:szCs w:val="20"/>
        </w:rPr>
      </w:pPr>
      <w:r w:rsidRPr="00F0501B">
        <w:rPr>
          <w:rStyle w:val="Rimandonotaapidipagina"/>
          <w:rFonts w:ascii="Times New Roman" w:hAnsi="Times New Roman" w:cs="Times New Roman"/>
          <w:sz w:val="20"/>
          <w:szCs w:val="20"/>
        </w:rPr>
        <w:footnoteRef/>
      </w:r>
      <w:r w:rsidRPr="00F0501B">
        <w:rPr>
          <w:rFonts w:ascii="Times New Roman" w:hAnsi="Times New Roman" w:cs="Times New Roman"/>
          <w:sz w:val="20"/>
          <w:szCs w:val="20"/>
        </w:rPr>
        <w:t xml:space="preserve"> </w:t>
      </w:r>
      <w:r w:rsidRPr="00F4050F">
        <w:rPr>
          <w:rFonts w:ascii="Times New Roman" w:hAnsi="Times New Roman" w:cs="Times New Roman"/>
          <w:sz w:val="20"/>
          <w:szCs w:val="20"/>
        </w:rPr>
        <w:t>J. B</w:t>
      </w:r>
      <w:r w:rsidRPr="00F4050F">
        <w:rPr>
          <w:rFonts w:ascii="Times New Roman" w:eastAsia="Times New Roman" w:hAnsi="Times New Roman" w:cs="Times New Roman"/>
          <w:color w:val="000000"/>
          <w:sz w:val="20"/>
          <w:szCs w:val="20"/>
        </w:rPr>
        <w:t xml:space="preserve">öhme, </w:t>
      </w:r>
      <w:r w:rsidRPr="00F4050F">
        <w:rPr>
          <w:rFonts w:ascii="Times New Roman" w:eastAsia="Times New Roman" w:hAnsi="Times New Roman" w:cs="Times New Roman"/>
          <w:i/>
          <w:color w:val="000000"/>
          <w:sz w:val="20"/>
          <w:szCs w:val="20"/>
        </w:rPr>
        <w:t>Aurora</w:t>
      </w:r>
      <w:r>
        <w:rPr>
          <w:rFonts w:ascii="Times New Roman" w:eastAsia="Times New Roman" w:hAnsi="Times New Roman" w:cs="Times New Roman"/>
          <w:color w:val="000000"/>
          <w:sz w:val="20"/>
          <w:szCs w:val="20"/>
        </w:rPr>
        <w:t>, cit., p. 24.</w:t>
      </w:r>
    </w:p>
  </w:footnote>
  <w:footnote w:id="221">
    <w:p w14:paraId="7652C3E8" w14:textId="25BCEED4" w:rsidR="00B34CC2" w:rsidRPr="00AD20DA" w:rsidRDefault="00B34CC2" w:rsidP="00F721A9">
      <w:pPr>
        <w:pStyle w:val="Testonotaapidipagina"/>
        <w:jc w:val="both"/>
        <w:rPr>
          <w:rFonts w:ascii="Times New Roman" w:hAnsi="Times New Roman" w:cs="Times New Roman"/>
          <w:sz w:val="20"/>
          <w:szCs w:val="20"/>
        </w:rPr>
      </w:pPr>
      <w:r w:rsidRPr="00AD20DA">
        <w:rPr>
          <w:rStyle w:val="Rimandonotaapidipagina"/>
          <w:rFonts w:ascii="Times New Roman" w:hAnsi="Times New Roman" w:cs="Times New Roman"/>
          <w:sz w:val="20"/>
          <w:szCs w:val="20"/>
        </w:rPr>
        <w:footnoteRef/>
      </w:r>
      <w:r w:rsidRPr="00AD20DA">
        <w:rPr>
          <w:rFonts w:ascii="Times New Roman" w:hAnsi="Times New Roman" w:cs="Times New Roman"/>
          <w:sz w:val="20"/>
          <w:szCs w:val="20"/>
        </w:rPr>
        <w:t xml:space="preserve"> </w:t>
      </w:r>
      <w:r w:rsidRPr="00AD20DA">
        <w:rPr>
          <w:rFonts w:ascii="Times New Roman" w:hAnsi="Times New Roman" w:cs="Times New Roman"/>
          <w:i/>
          <w:sz w:val="20"/>
          <w:szCs w:val="20"/>
        </w:rPr>
        <w:t>Ibidem,</w:t>
      </w:r>
      <w:r>
        <w:rPr>
          <w:rFonts w:ascii="Times New Roman" w:hAnsi="Times New Roman" w:cs="Times New Roman"/>
          <w:sz w:val="20"/>
          <w:szCs w:val="20"/>
        </w:rPr>
        <w:t xml:space="preserve"> p. 235.</w:t>
      </w:r>
    </w:p>
  </w:footnote>
  <w:footnote w:id="222">
    <w:p w14:paraId="3F719C30" w14:textId="026972DC" w:rsidR="00B34CC2" w:rsidRPr="00D60CFC" w:rsidRDefault="00B34CC2" w:rsidP="00F721A9">
      <w:pPr>
        <w:pStyle w:val="Testonotaapidipagina"/>
        <w:jc w:val="both"/>
        <w:rPr>
          <w:rFonts w:ascii="Times New Roman" w:hAnsi="Times New Roman" w:cs="Times New Roman"/>
          <w:sz w:val="20"/>
          <w:szCs w:val="20"/>
        </w:rPr>
      </w:pPr>
      <w:r w:rsidRPr="00D73616">
        <w:rPr>
          <w:rStyle w:val="Rimandonotaapidipagina"/>
          <w:rFonts w:ascii="Times New Roman" w:hAnsi="Times New Roman" w:cs="Times New Roman"/>
          <w:sz w:val="20"/>
          <w:szCs w:val="20"/>
        </w:rPr>
        <w:footnoteRef/>
      </w:r>
      <w:r w:rsidRPr="00D73616">
        <w:rPr>
          <w:rFonts w:ascii="Times New Roman" w:hAnsi="Times New Roman" w:cs="Times New Roman"/>
          <w:sz w:val="20"/>
          <w:szCs w:val="20"/>
        </w:rPr>
        <w:t xml:space="preserve"> </w:t>
      </w:r>
      <w:r>
        <w:rPr>
          <w:rFonts w:ascii="Times New Roman" w:hAnsi="Times New Roman" w:cs="Times New Roman"/>
          <w:sz w:val="20"/>
          <w:szCs w:val="20"/>
        </w:rPr>
        <w:t xml:space="preserve">Sul fatto che </w:t>
      </w:r>
      <w:r w:rsidRPr="00D73616">
        <w:rPr>
          <w:rFonts w:ascii="Times New Roman" w:hAnsi="Times New Roman" w:cs="Times New Roman"/>
          <w:sz w:val="20"/>
          <w:szCs w:val="20"/>
        </w:rPr>
        <w:t xml:space="preserve">Dio non possa volere il male, perché se così fosse non sarebbe più </w:t>
      </w:r>
      <w:r>
        <w:rPr>
          <w:rFonts w:ascii="Times New Roman" w:hAnsi="Times New Roman" w:cs="Times New Roman"/>
          <w:sz w:val="20"/>
          <w:szCs w:val="20"/>
        </w:rPr>
        <w:t>onnipotente e</w:t>
      </w:r>
      <w:r w:rsidRPr="00D73616">
        <w:rPr>
          <w:rFonts w:ascii="Times New Roman" w:hAnsi="Times New Roman" w:cs="Times New Roman"/>
          <w:sz w:val="20"/>
          <w:szCs w:val="20"/>
        </w:rPr>
        <w:t xml:space="preserve"> onnisciente,</w:t>
      </w:r>
      <w:r>
        <w:rPr>
          <w:rFonts w:ascii="Times New Roman" w:hAnsi="Times New Roman" w:cs="Times New Roman"/>
          <w:sz w:val="20"/>
          <w:szCs w:val="20"/>
        </w:rPr>
        <w:t xml:space="preserve"> possono essere esplicative le parole di Schelling contenute nelle battute iniziali del </w:t>
      </w:r>
      <w:r w:rsidRPr="00D73616">
        <w:rPr>
          <w:rFonts w:ascii="Times New Roman" w:hAnsi="Times New Roman" w:cs="Times New Roman"/>
          <w:i/>
          <w:sz w:val="20"/>
          <w:szCs w:val="20"/>
        </w:rPr>
        <w:t>Freiheitschrift</w:t>
      </w:r>
      <w:r>
        <w:rPr>
          <w:rFonts w:ascii="Times New Roman" w:hAnsi="Times New Roman" w:cs="Times New Roman"/>
          <w:sz w:val="20"/>
          <w:szCs w:val="20"/>
        </w:rPr>
        <w:t xml:space="preserve">. Cfr, F.W.J. Schelling, </w:t>
      </w:r>
      <w:r>
        <w:rPr>
          <w:rFonts w:ascii="Times New Roman" w:hAnsi="Times New Roman" w:cs="Times New Roman"/>
          <w:i/>
          <w:sz w:val="20"/>
          <w:szCs w:val="20"/>
        </w:rPr>
        <w:t>Über das Wesen der menschlichen Freiheit und die damit zusammenhängenden Gegenstände</w:t>
      </w:r>
      <w:r>
        <w:rPr>
          <w:rFonts w:ascii="Times New Roman" w:hAnsi="Times New Roman" w:cs="Times New Roman"/>
          <w:sz w:val="20"/>
          <w:szCs w:val="20"/>
        </w:rPr>
        <w:t xml:space="preserve">, in </w:t>
      </w:r>
      <w:r w:rsidRPr="00F909DD">
        <w:rPr>
          <w:rFonts w:ascii="Times New Roman" w:hAnsi="Times New Roman" w:cs="Times New Roman"/>
          <w:i/>
          <w:sz w:val="20"/>
          <w:szCs w:val="20"/>
        </w:rPr>
        <w:t>Schellings Werke</w:t>
      </w:r>
      <w:r>
        <w:rPr>
          <w:rFonts w:ascii="Times New Roman" w:hAnsi="Times New Roman" w:cs="Times New Roman"/>
          <w:sz w:val="20"/>
          <w:szCs w:val="20"/>
        </w:rPr>
        <w:t xml:space="preserve">, Bd. 4, cit., pp. 244-245: </w:t>
      </w:r>
      <w:r w:rsidRPr="00D60CFC">
        <w:rPr>
          <w:rFonts w:ascii="Times New Roman" w:hAnsi="Times New Roman" w:cs="Times New Roman"/>
          <w:sz w:val="20"/>
          <w:szCs w:val="20"/>
        </w:rPr>
        <w:t>«Dieses ist der Punkt der tiefsten Schwierigkeit in der ganzen Lehre der Freiheit, die von jeher empfunden worden, und die nicht bloß dieses oder jenes System, sondern, mehr oder weniger, alle trifft: Am fallendsten allerdings den Begriff der Immanenz; denn entweder wird ein wirkliches Böses zugegeben, so ist es unvermeidlich, das Böse in die unendliche Substanz oder den Urwillen selbst mitzusetzten, wodurch der Begriff eines allervollkommensten Wesens gänzlich zerstört wird; oder es muß  irgend eine Weise die Realität des Bösen geleugnet werden, womit aber zugleich der reale Begriff von Freiheit verschwindet</w:t>
      </w:r>
      <w:r w:rsidRPr="00D60CFC">
        <w:rPr>
          <w:rFonts w:ascii="Times New Roman" w:eastAsia="Times New Roman" w:hAnsi="Times New Roman" w:cs="Times New Roman"/>
          <w:color w:val="000000"/>
          <w:sz w:val="20"/>
          <w:szCs w:val="20"/>
        </w:rPr>
        <w:t>».</w:t>
      </w:r>
    </w:p>
  </w:footnote>
  <w:footnote w:id="223">
    <w:p w14:paraId="4AB29ED4" w14:textId="387C1EEE" w:rsidR="00B34CC2" w:rsidRPr="00D60CFC" w:rsidRDefault="00B34CC2" w:rsidP="00F721A9">
      <w:pPr>
        <w:pStyle w:val="Testonotaapidipagina"/>
        <w:jc w:val="both"/>
        <w:rPr>
          <w:rFonts w:ascii="Times New Roman" w:hAnsi="Times New Roman" w:cs="Times New Roman"/>
          <w:sz w:val="20"/>
          <w:szCs w:val="20"/>
        </w:rPr>
      </w:pPr>
      <w:r w:rsidRPr="0052164E">
        <w:rPr>
          <w:rStyle w:val="Rimandonotaapidipagina"/>
          <w:rFonts w:ascii="Times New Roman" w:hAnsi="Times New Roman" w:cs="Times New Roman"/>
          <w:sz w:val="20"/>
          <w:szCs w:val="20"/>
        </w:rPr>
        <w:footnoteRef/>
      </w:r>
      <w:r w:rsidRPr="0052164E">
        <w:rPr>
          <w:rFonts w:ascii="Times New Roman" w:hAnsi="Times New Roman" w:cs="Times New Roman"/>
          <w:sz w:val="20"/>
          <w:szCs w:val="20"/>
        </w:rPr>
        <w:t xml:space="preserve"> J. B</w:t>
      </w:r>
      <w:r w:rsidRPr="0052164E">
        <w:rPr>
          <w:rFonts w:ascii="Times New Roman" w:eastAsia="Times New Roman" w:hAnsi="Times New Roman" w:cs="Times New Roman"/>
          <w:color w:val="000000"/>
          <w:sz w:val="20"/>
          <w:szCs w:val="20"/>
        </w:rPr>
        <w:t xml:space="preserve">öhme, </w:t>
      </w:r>
      <w:r w:rsidRPr="0052164E">
        <w:rPr>
          <w:rFonts w:ascii="Times New Roman" w:eastAsia="Times New Roman" w:hAnsi="Times New Roman" w:cs="Times New Roman"/>
          <w:i/>
          <w:color w:val="000000"/>
          <w:sz w:val="20"/>
          <w:szCs w:val="20"/>
        </w:rPr>
        <w:t>Aurora</w:t>
      </w:r>
      <w:r w:rsidRPr="0052164E">
        <w:rPr>
          <w:rFonts w:ascii="Times New Roman" w:eastAsia="Times New Roman" w:hAnsi="Times New Roman" w:cs="Times New Roman"/>
          <w:color w:val="000000"/>
          <w:sz w:val="20"/>
          <w:szCs w:val="20"/>
        </w:rPr>
        <w:t>, cit., p. 191: «Das ist nun die Wurzel des Geitzes, Neides, Hoffarts und Zornes, denn in dem grimmen Qualifizieren ging der Zorn  und brannte wie Hitze und kalt Feuer, dazu bitter wie Gallen</w:t>
      </w:r>
      <w:r w:rsidRPr="0052164E">
        <w:rPr>
          <w:rFonts w:ascii="Times New Roman" w:eastAsia="Times New Roman" w:hAnsi="Times New Roman" w:cs="Times New Roman"/>
          <w:color w:val="000000"/>
          <w:sz w:val="20"/>
          <w:szCs w:val="20"/>
          <w:lang w:val="de-DE"/>
        </w:rPr>
        <w:t>»</w:t>
      </w:r>
      <w:r w:rsidRPr="0052164E">
        <w:rPr>
          <w:rFonts w:ascii="Times New Roman" w:eastAsia="Times New Roman" w:hAnsi="Times New Roman" w:cs="Times New Roman"/>
          <w:sz w:val="20"/>
          <w:szCs w:val="20"/>
          <w:lang w:val="de-DE"/>
        </w:rPr>
        <w:t>.</w:t>
      </w:r>
    </w:p>
  </w:footnote>
  <w:footnote w:id="224">
    <w:p w14:paraId="4D5477B8" w14:textId="44324307" w:rsidR="00B34CC2" w:rsidRPr="003357BA" w:rsidRDefault="00B34CC2" w:rsidP="00F721A9">
      <w:pPr>
        <w:pStyle w:val="Testonotaapidipagina"/>
        <w:jc w:val="both"/>
        <w:rPr>
          <w:rFonts w:ascii="Times New Roman" w:hAnsi="Times New Roman" w:cs="Times New Roman"/>
          <w:sz w:val="20"/>
          <w:szCs w:val="20"/>
        </w:rPr>
      </w:pPr>
      <w:r w:rsidRPr="003357BA">
        <w:rPr>
          <w:rStyle w:val="Rimandonotaapidipagina"/>
          <w:rFonts w:ascii="Times New Roman" w:hAnsi="Times New Roman" w:cs="Times New Roman"/>
          <w:sz w:val="20"/>
          <w:szCs w:val="20"/>
        </w:rPr>
        <w:footnoteRef/>
      </w:r>
      <w:r w:rsidRPr="003357BA">
        <w:rPr>
          <w:rFonts w:ascii="Times New Roman" w:hAnsi="Times New Roman" w:cs="Times New Roman"/>
          <w:sz w:val="20"/>
          <w:szCs w:val="20"/>
        </w:rPr>
        <w:t xml:space="preserve"> </w:t>
      </w:r>
      <w:r w:rsidRPr="003357BA">
        <w:rPr>
          <w:rFonts w:ascii="Times New Roman" w:hAnsi="Times New Roman" w:cs="Times New Roman"/>
          <w:i/>
          <w:sz w:val="20"/>
          <w:szCs w:val="20"/>
        </w:rPr>
        <w:t>Ibidem</w:t>
      </w:r>
      <w:r>
        <w:rPr>
          <w:rFonts w:ascii="Times New Roman" w:hAnsi="Times New Roman" w:cs="Times New Roman"/>
          <w:sz w:val="20"/>
          <w:szCs w:val="20"/>
        </w:rPr>
        <w:t>, p. 193.</w:t>
      </w:r>
    </w:p>
  </w:footnote>
  <w:footnote w:id="225">
    <w:p w14:paraId="1F01544D" w14:textId="3BAE4EAC" w:rsidR="00B34CC2" w:rsidRPr="00934223" w:rsidRDefault="00B34CC2" w:rsidP="00F721A9">
      <w:pPr>
        <w:pStyle w:val="Testonotaapidipagina"/>
        <w:jc w:val="both"/>
        <w:rPr>
          <w:rFonts w:ascii="Times New Roman" w:hAnsi="Times New Roman" w:cs="Times New Roman"/>
          <w:sz w:val="20"/>
          <w:szCs w:val="20"/>
        </w:rPr>
      </w:pPr>
      <w:r w:rsidRPr="00CD3200">
        <w:rPr>
          <w:rStyle w:val="Rimandonotaapidipagina"/>
          <w:rFonts w:ascii="Times New Roman" w:hAnsi="Times New Roman" w:cs="Times New Roman"/>
          <w:sz w:val="20"/>
          <w:szCs w:val="20"/>
        </w:rPr>
        <w:footnoteRef/>
      </w:r>
      <w:r w:rsidRPr="00CD3200">
        <w:rPr>
          <w:rFonts w:ascii="Times New Roman" w:hAnsi="Times New Roman" w:cs="Times New Roman"/>
          <w:sz w:val="20"/>
          <w:szCs w:val="20"/>
        </w:rPr>
        <w:t xml:space="preserve"> </w:t>
      </w:r>
      <w:r>
        <w:rPr>
          <w:rFonts w:ascii="Times New Roman" w:hAnsi="Times New Roman" w:cs="Times New Roman"/>
          <w:sz w:val="20"/>
          <w:szCs w:val="20"/>
        </w:rPr>
        <w:t xml:space="preserve">Cfr. Ibidem, p. 200: </w:t>
      </w:r>
      <w:r w:rsidRPr="00B81148">
        <w:rPr>
          <w:rFonts w:ascii="Times New Roman" w:hAnsi="Times New Roman" w:cs="Times New Roman"/>
          <w:sz w:val="20"/>
          <w:szCs w:val="20"/>
        </w:rPr>
        <w:t>«Sp</w:t>
      </w:r>
      <w:r>
        <w:rPr>
          <w:rFonts w:ascii="Times New Roman" w:hAnsi="Times New Roman" w:cs="Times New Roman"/>
          <w:sz w:val="20"/>
          <w:szCs w:val="20"/>
        </w:rPr>
        <w:t>r</w:t>
      </w:r>
      <w:r w:rsidRPr="00B81148">
        <w:rPr>
          <w:rFonts w:ascii="Times New Roman" w:hAnsi="Times New Roman" w:cs="Times New Roman"/>
          <w:sz w:val="20"/>
          <w:szCs w:val="20"/>
        </w:rPr>
        <w:t>ichst du nun: Gott hätte ihm [Luzifer] sollen Wiederstand thun, daß so weit nicht wäre kommen. Ja lieber blinder Mensch, es stund nicht ein Mensch oder Thiere vor Gott: sondern es war Gott wieder Gott, ein Stärker wieder einen Starcken: Darzu wie solte ihm Gott Wiederstand thun? mir der freundlichen Liebe wolte es nicht gelten, Lucifer verachtete es nur, und wollte selber Gott seyn</w:t>
      </w:r>
      <w:r w:rsidRPr="00B81148">
        <w:rPr>
          <w:rFonts w:ascii="Times New Roman" w:eastAsia="Times New Roman" w:hAnsi="Times New Roman" w:cs="Times New Roman"/>
          <w:color w:val="000000"/>
          <w:sz w:val="20"/>
          <w:szCs w:val="20"/>
        </w:rPr>
        <w:t xml:space="preserve">». </w:t>
      </w:r>
      <w:r w:rsidRPr="00934223">
        <w:rPr>
          <w:rFonts w:ascii="Times New Roman" w:eastAsia="Times New Roman" w:hAnsi="Times New Roman" w:cs="Times New Roman"/>
          <w:color w:val="000000"/>
          <w:sz w:val="20"/>
          <w:szCs w:val="20"/>
        </w:rPr>
        <w:t xml:space="preserve">Sullo scontro di Dio contro Dio torneremo nell’ultima parte di questo capitolo, quando ci soffermeremo sull’interpretazione fenomenologica dei concetti di </w:t>
      </w:r>
      <w:r w:rsidRPr="00934223">
        <w:rPr>
          <w:rFonts w:ascii="Times New Roman" w:eastAsia="Times New Roman" w:hAnsi="Times New Roman" w:cs="Times New Roman"/>
          <w:i/>
          <w:color w:val="000000"/>
          <w:sz w:val="20"/>
          <w:szCs w:val="20"/>
        </w:rPr>
        <w:t>Zorn Gottes</w:t>
      </w:r>
      <w:r w:rsidRPr="00934223">
        <w:rPr>
          <w:rFonts w:ascii="Times New Roman" w:eastAsia="Times New Roman" w:hAnsi="Times New Roman" w:cs="Times New Roman"/>
          <w:color w:val="000000"/>
          <w:sz w:val="20"/>
          <w:szCs w:val="20"/>
        </w:rPr>
        <w:t xml:space="preserve"> e </w:t>
      </w:r>
      <w:r w:rsidRPr="00934223">
        <w:rPr>
          <w:rFonts w:ascii="Times New Roman" w:eastAsia="Times New Roman" w:hAnsi="Times New Roman" w:cs="Times New Roman"/>
          <w:i/>
          <w:color w:val="000000"/>
          <w:sz w:val="20"/>
          <w:szCs w:val="20"/>
        </w:rPr>
        <w:t>Abfall Luzifers</w:t>
      </w:r>
      <w:r w:rsidRPr="00934223">
        <w:rPr>
          <w:rFonts w:ascii="Times New Roman" w:eastAsia="Times New Roman" w:hAnsi="Times New Roman" w:cs="Times New Roman"/>
          <w:color w:val="000000"/>
          <w:sz w:val="20"/>
          <w:szCs w:val="20"/>
        </w:rPr>
        <w:t>.</w:t>
      </w:r>
    </w:p>
  </w:footnote>
  <w:footnote w:id="226">
    <w:p w14:paraId="03679E95" w14:textId="04AA2F0F" w:rsidR="00B34CC2" w:rsidRPr="00934223" w:rsidRDefault="00B34CC2" w:rsidP="00F721A9">
      <w:pPr>
        <w:pStyle w:val="Testonotaapidipagina"/>
        <w:jc w:val="both"/>
        <w:rPr>
          <w:rFonts w:ascii="Times New Roman" w:hAnsi="Times New Roman" w:cs="Times New Roman"/>
          <w:sz w:val="20"/>
          <w:szCs w:val="20"/>
        </w:rPr>
      </w:pPr>
      <w:r w:rsidRPr="00934223">
        <w:rPr>
          <w:rStyle w:val="Rimandonotaapidipagina"/>
          <w:rFonts w:ascii="Times New Roman" w:hAnsi="Times New Roman" w:cs="Times New Roman"/>
          <w:sz w:val="20"/>
          <w:szCs w:val="20"/>
        </w:rPr>
        <w:footnoteRef/>
      </w:r>
      <w:r w:rsidRPr="00934223">
        <w:rPr>
          <w:rFonts w:ascii="Times New Roman" w:hAnsi="Times New Roman" w:cs="Times New Roman"/>
          <w:sz w:val="20"/>
          <w:szCs w:val="20"/>
        </w:rPr>
        <w:t xml:space="preserve"> </w:t>
      </w:r>
      <w:r w:rsidRPr="00934223">
        <w:rPr>
          <w:rFonts w:ascii="Times New Roman" w:hAnsi="Times New Roman" w:cs="Times New Roman"/>
          <w:i/>
          <w:sz w:val="20"/>
          <w:szCs w:val="20"/>
        </w:rPr>
        <w:t>Ibidem</w:t>
      </w:r>
      <w:r w:rsidRPr="00934223">
        <w:rPr>
          <w:rFonts w:ascii="Times New Roman" w:hAnsi="Times New Roman" w:cs="Times New Roman"/>
          <w:sz w:val="20"/>
          <w:szCs w:val="20"/>
        </w:rPr>
        <w:t>, p. 176.</w:t>
      </w:r>
    </w:p>
  </w:footnote>
  <w:footnote w:id="227">
    <w:p w14:paraId="74D27E2F" w14:textId="36F7CDC4" w:rsidR="00B34CC2" w:rsidRPr="00934223" w:rsidRDefault="00B34CC2" w:rsidP="00F721A9">
      <w:pPr>
        <w:pStyle w:val="Testonotaapidipagina"/>
        <w:jc w:val="both"/>
        <w:rPr>
          <w:rFonts w:ascii="Times New Roman" w:hAnsi="Times New Roman" w:cs="Times New Roman"/>
          <w:sz w:val="20"/>
          <w:szCs w:val="20"/>
        </w:rPr>
      </w:pPr>
      <w:r w:rsidRPr="00934223">
        <w:rPr>
          <w:rStyle w:val="Rimandonotaapidipagina"/>
          <w:rFonts w:ascii="Times New Roman" w:hAnsi="Times New Roman" w:cs="Times New Roman"/>
          <w:sz w:val="20"/>
          <w:szCs w:val="20"/>
        </w:rPr>
        <w:footnoteRef/>
      </w:r>
      <w:r w:rsidRPr="00934223">
        <w:rPr>
          <w:rFonts w:ascii="Times New Roman" w:hAnsi="Times New Roman" w:cs="Times New Roman"/>
          <w:sz w:val="20"/>
          <w:szCs w:val="20"/>
        </w:rPr>
        <w:t xml:space="preserve"> </w:t>
      </w:r>
      <w:r w:rsidRPr="00934223">
        <w:rPr>
          <w:rFonts w:ascii="Times New Roman" w:hAnsi="Times New Roman" w:cs="Times New Roman"/>
          <w:i/>
          <w:sz w:val="20"/>
          <w:szCs w:val="20"/>
        </w:rPr>
        <w:t>Ibidem</w:t>
      </w:r>
      <w:r w:rsidRPr="00934223">
        <w:rPr>
          <w:rFonts w:ascii="Times New Roman" w:hAnsi="Times New Roman" w:cs="Times New Roman"/>
          <w:sz w:val="20"/>
          <w:szCs w:val="20"/>
        </w:rPr>
        <w:t>, p. 175.</w:t>
      </w:r>
    </w:p>
  </w:footnote>
  <w:footnote w:id="228">
    <w:p w14:paraId="0C66B086" w14:textId="0ACD75F6" w:rsidR="00B34CC2" w:rsidRPr="008E7D5E" w:rsidRDefault="00B34CC2" w:rsidP="00F721A9">
      <w:pPr>
        <w:pStyle w:val="Testonotaapidipagina"/>
        <w:jc w:val="both"/>
        <w:rPr>
          <w:rFonts w:ascii="Times New Roman" w:hAnsi="Times New Roman" w:cs="Times New Roman"/>
          <w:sz w:val="20"/>
          <w:szCs w:val="20"/>
        </w:rPr>
      </w:pPr>
      <w:r w:rsidRPr="00934223">
        <w:rPr>
          <w:rStyle w:val="Rimandonotaapidipagina"/>
          <w:rFonts w:ascii="Times New Roman" w:hAnsi="Times New Roman" w:cs="Times New Roman"/>
          <w:sz w:val="20"/>
          <w:szCs w:val="20"/>
        </w:rPr>
        <w:footnoteRef/>
      </w:r>
      <w:r w:rsidRPr="00934223">
        <w:rPr>
          <w:rFonts w:ascii="Times New Roman" w:hAnsi="Times New Roman" w:cs="Times New Roman"/>
          <w:sz w:val="20"/>
          <w:szCs w:val="20"/>
        </w:rPr>
        <w:t xml:space="preserve"> Così si legge nella </w:t>
      </w:r>
      <w:r w:rsidRPr="00934223">
        <w:rPr>
          <w:rFonts w:ascii="Times New Roman" w:hAnsi="Times New Roman" w:cs="Times New Roman"/>
          <w:i/>
          <w:sz w:val="20"/>
          <w:szCs w:val="20"/>
        </w:rPr>
        <w:t>Beschreibung der drey Principien göttliches Wesens</w:t>
      </w:r>
      <w:r w:rsidRPr="00934223">
        <w:rPr>
          <w:rFonts w:ascii="Times New Roman" w:hAnsi="Times New Roman" w:cs="Times New Roman"/>
          <w:sz w:val="20"/>
          <w:szCs w:val="20"/>
        </w:rPr>
        <w:t>: «Der Vater ist das uhrkündlichste Wesen aller Wesen: so nun nicht das ander Principium in der Gebuhrt des Sohns anbräche und gienge, so wäre der Vater ein finster Thal. Also siehest du ja (2) daß der Sohn, welcher des Vaters Herz, Liebe, Licht, Schöne und sanfte Wohltun ist, in seiner Gebuhrt ein ander Principum schleust, und den zornigen, grimmigen Vater, vom uhrkünde dem ersten Principio, also zu reden, versöhnet, lieblich und (wie ich reden möchte) barmherzig macht und ist ein ander Persohn als der Vater</w:t>
      </w:r>
      <w:r w:rsidRPr="00934223">
        <w:rPr>
          <w:rFonts w:ascii="Times New Roman" w:eastAsia="Times New Roman" w:hAnsi="Times New Roman" w:cs="Times New Roman"/>
          <w:color w:val="000000"/>
          <w:sz w:val="20"/>
          <w:szCs w:val="20"/>
        </w:rPr>
        <w:t>» (Cfr. J. B</w:t>
      </w:r>
      <w:r w:rsidRPr="00934223">
        <w:rPr>
          <w:rFonts w:ascii="Times New Roman" w:hAnsi="Times New Roman" w:cs="Times New Roman"/>
          <w:sz w:val="20"/>
          <w:szCs w:val="20"/>
        </w:rPr>
        <w:t xml:space="preserve">öhme, </w:t>
      </w:r>
      <w:r w:rsidRPr="00934223">
        <w:rPr>
          <w:rFonts w:ascii="Times New Roman" w:hAnsi="Times New Roman" w:cs="Times New Roman"/>
          <w:i/>
          <w:sz w:val="20"/>
          <w:szCs w:val="20"/>
        </w:rPr>
        <w:t>Beschreibung der drey Principien göttliches Wesens</w:t>
      </w:r>
      <w:r w:rsidRPr="00934223">
        <w:rPr>
          <w:rFonts w:ascii="Times New Roman" w:hAnsi="Times New Roman" w:cs="Times New Roman"/>
          <w:sz w:val="20"/>
          <w:szCs w:val="20"/>
        </w:rPr>
        <w:t>,</w:t>
      </w:r>
      <w:r w:rsidRPr="00934223">
        <w:rPr>
          <w:rFonts w:ascii="Times New Roman" w:eastAsia="Times New Roman" w:hAnsi="Times New Roman" w:cs="Times New Roman"/>
          <w:color w:val="000000"/>
          <w:sz w:val="20"/>
          <w:szCs w:val="20"/>
        </w:rPr>
        <w:t xml:space="preserve"> in </w:t>
      </w:r>
      <w:r w:rsidRPr="00934223">
        <w:rPr>
          <w:rFonts w:ascii="Times New Roman" w:eastAsia="Times New Roman" w:hAnsi="Times New Roman" w:cs="Times New Roman"/>
          <w:i/>
          <w:color w:val="000000"/>
          <w:sz w:val="20"/>
          <w:szCs w:val="20"/>
        </w:rPr>
        <w:t>Sämtliche Schriften</w:t>
      </w:r>
      <w:r w:rsidRPr="00934223">
        <w:rPr>
          <w:rFonts w:ascii="Times New Roman" w:eastAsia="Times New Roman" w:hAnsi="Times New Roman" w:cs="Times New Roman"/>
          <w:color w:val="000000"/>
          <w:sz w:val="20"/>
          <w:szCs w:val="20"/>
        </w:rPr>
        <w:t>, Bd. II, cit., p. 42).</w:t>
      </w:r>
    </w:p>
  </w:footnote>
  <w:footnote w:id="229">
    <w:p w14:paraId="6C52D89B" w14:textId="611A20A6" w:rsidR="00B34CC2" w:rsidRPr="00B779B5" w:rsidRDefault="00B34CC2" w:rsidP="00F721A9">
      <w:pPr>
        <w:pStyle w:val="Testonotaapidipagina"/>
        <w:jc w:val="both"/>
        <w:rPr>
          <w:rFonts w:ascii="Times New Roman" w:hAnsi="Times New Roman" w:cs="Times New Roman"/>
          <w:sz w:val="20"/>
          <w:szCs w:val="20"/>
        </w:rPr>
      </w:pPr>
      <w:r w:rsidRPr="00BA5095">
        <w:rPr>
          <w:rStyle w:val="Rimandonotaapidipagina"/>
          <w:rFonts w:ascii="Times New Roman" w:hAnsi="Times New Roman" w:cs="Times New Roman"/>
          <w:sz w:val="20"/>
          <w:szCs w:val="20"/>
        </w:rPr>
        <w:footnoteRef/>
      </w:r>
      <w:r w:rsidRPr="00BA5095">
        <w:rPr>
          <w:rFonts w:ascii="Times New Roman" w:hAnsi="Times New Roman" w:cs="Times New Roman"/>
          <w:sz w:val="20"/>
          <w:szCs w:val="20"/>
        </w:rPr>
        <w:t xml:space="preserve"> J. B</w:t>
      </w:r>
      <w:r w:rsidRPr="00BA5095">
        <w:rPr>
          <w:rFonts w:ascii="Times New Roman" w:hAnsi="Times New Roman" w:cs="Times New Roman"/>
          <w:sz w:val="20"/>
          <w:szCs w:val="20"/>
          <w:lang w:val="de-DE"/>
        </w:rPr>
        <w:t xml:space="preserve">öhme, </w:t>
      </w:r>
      <w:r w:rsidRPr="00BA5095">
        <w:rPr>
          <w:rFonts w:ascii="Times New Roman" w:hAnsi="Times New Roman" w:cs="Times New Roman"/>
          <w:i/>
          <w:sz w:val="20"/>
          <w:szCs w:val="20"/>
          <w:lang w:val="de-DE"/>
        </w:rPr>
        <w:t>De Aequanimitate oder von der wahren Gelassenheit</w:t>
      </w:r>
      <w:r w:rsidRPr="00BA5095">
        <w:rPr>
          <w:rFonts w:ascii="Times New Roman" w:hAnsi="Times New Roman" w:cs="Times New Roman"/>
          <w:sz w:val="20"/>
          <w:szCs w:val="20"/>
          <w:lang w:val="de-DE"/>
        </w:rPr>
        <w:t>, cit., p. 98.</w:t>
      </w:r>
    </w:p>
  </w:footnote>
  <w:footnote w:id="230">
    <w:p w14:paraId="1D9AF2F5" w14:textId="346FE94B" w:rsidR="00B34CC2" w:rsidRPr="00C001BE" w:rsidRDefault="00B34CC2" w:rsidP="00F721A9">
      <w:pPr>
        <w:pStyle w:val="Testonotaapidipagina"/>
        <w:jc w:val="both"/>
        <w:rPr>
          <w:rFonts w:ascii="Times New Roman" w:hAnsi="Times New Roman" w:cs="Times New Roman"/>
          <w:sz w:val="20"/>
          <w:szCs w:val="20"/>
        </w:rPr>
      </w:pPr>
      <w:r w:rsidRPr="00C001BE">
        <w:rPr>
          <w:rStyle w:val="Rimandonotaapidipagina"/>
          <w:rFonts w:ascii="Times New Roman" w:hAnsi="Times New Roman" w:cs="Times New Roman"/>
          <w:sz w:val="20"/>
          <w:szCs w:val="20"/>
        </w:rPr>
        <w:footnoteRef/>
      </w:r>
      <w:r w:rsidRPr="00C001BE">
        <w:rPr>
          <w:rFonts w:ascii="Times New Roman" w:hAnsi="Times New Roman" w:cs="Times New Roman"/>
          <w:sz w:val="20"/>
          <w:szCs w:val="20"/>
        </w:rPr>
        <w:t xml:space="preserve"> Aristotele, </w:t>
      </w:r>
      <w:r w:rsidRPr="00C001BE">
        <w:rPr>
          <w:rFonts w:ascii="Times New Roman" w:hAnsi="Times New Roman" w:cs="Times New Roman"/>
          <w:i/>
          <w:sz w:val="20"/>
          <w:szCs w:val="20"/>
        </w:rPr>
        <w:t>Metafisica</w:t>
      </w:r>
      <w:r w:rsidRPr="00C001BE">
        <w:rPr>
          <w:rFonts w:ascii="Times New Roman" w:hAnsi="Times New Roman" w:cs="Times New Roman"/>
          <w:sz w:val="20"/>
          <w:szCs w:val="20"/>
        </w:rPr>
        <w:t>, a cura di G. Reale, Rusconi, Milano 1997 (prima ed. 1993), p. 29: «Altri Pitagorici affermano che i principi sono dieci. distinit in seria di contrari: (1) limite-illimite, (2) dispari-pari, (3) uno-molteplice, (4) destro-sinistro, (5) maschio-femmina, (6) fermo-mosso, (7) retto-curvo, (8) luce-tenebra, (9) buono-cattivo, (10) quadrato-rettangolo</w:t>
      </w:r>
      <w:r w:rsidRPr="00C001BE">
        <w:rPr>
          <w:rFonts w:ascii="Times New Roman" w:eastAsia="Times New Roman" w:hAnsi="Times New Roman" w:cs="Times New Roman"/>
          <w:color w:val="000000"/>
          <w:sz w:val="20"/>
          <w:szCs w:val="20"/>
        </w:rPr>
        <w:t>».</w:t>
      </w:r>
    </w:p>
  </w:footnote>
  <w:footnote w:id="231">
    <w:p w14:paraId="739A81E3" w14:textId="733D2349" w:rsidR="00B34CC2" w:rsidRPr="00D3607F" w:rsidRDefault="00B34CC2" w:rsidP="00F721A9">
      <w:pPr>
        <w:pStyle w:val="Testonotaapidipagina"/>
        <w:jc w:val="both"/>
        <w:rPr>
          <w:rFonts w:ascii="Times New Roman" w:hAnsi="Times New Roman" w:cs="Times New Roman"/>
          <w:sz w:val="20"/>
          <w:szCs w:val="20"/>
        </w:rPr>
      </w:pPr>
      <w:r w:rsidRPr="000B25B9">
        <w:rPr>
          <w:rStyle w:val="Rimandonotaapidipagina"/>
          <w:rFonts w:ascii="Times New Roman" w:hAnsi="Times New Roman" w:cs="Times New Roman"/>
          <w:sz w:val="20"/>
          <w:szCs w:val="20"/>
        </w:rPr>
        <w:footnoteRef/>
      </w:r>
      <w:r w:rsidRPr="000B25B9">
        <w:rPr>
          <w:rFonts w:ascii="Times New Roman" w:hAnsi="Times New Roman" w:cs="Times New Roman"/>
          <w:i/>
          <w:sz w:val="20"/>
          <w:szCs w:val="20"/>
        </w:rPr>
        <w:t xml:space="preserve"> </w:t>
      </w:r>
      <w:r w:rsidRPr="000B25B9">
        <w:rPr>
          <w:rFonts w:ascii="Times New Roman" w:hAnsi="Times New Roman" w:cs="Times New Roman"/>
          <w:sz w:val="20"/>
          <w:szCs w:val="20"/>
        </w:rPr>
        <w:t xml:space="preserve">J. Reuchlin, </w:t>
      </w:r>
      <w:r w:rsidRPr="000B25B9">
        <w:rPr>
          <w:rFonts w:ascii="Times New Roman" w:hAnsi="Times New Roman" w:cs="Times New Roman"/>
          <w:i/>
          <w:sz w:val="20"/>
          <w:szCs w:val="20"/>
        </w:rPr>
        <w:t>De arte cabalistica</w:t>
      </w:r>
      <w:r w:rsidRPr="000B25B9">
        <w:rPr>
          <w:rFonts w:ascii="Times New Roman" w:hAnsi="Times New Roman" w:cs="Times New Roman"/>
          <w:sz w:val="20"/>
          <w:szCs w:val="20"/>
        </w:rPr>
        <w:t>, hrsg. von W.-W. Ehelrs und F. Felgentreu, Frommann-Holzboog V</w:t>
      </w:r>
      <w:r>
        <w:rPr>
          <w:rFonts w:ascii="Times New Roman" w:hAnsi="Times New Roman" w:cs="Times New Roman"/>
          <w:sz w:val="20"/>
          <w:szCs w:val="20"/>
        </w:rPr>
        <w:t>erlag, Stuttgart 2010, Bd. II,1</w:t>
      </w:r>
      <w:r w:rsidRPr="000B25B9">
        <w:rPr>
          <w:rFonts w:ascii="Times New Roman" w:hAnsi="Times New Roman" w:cs="Times New Roman"/>
          <w:sz w:val="20"/>
          <w:szCs w:val="20"/>
        </w:rPr>
        <w:t>, p. 172: «Ne Graeci omnes quibus omnium consensu tribuitur multarum artium disciplina, ingeniorum acumen, dicendi copia tam ascendere potuissent in alta rerum arcanorum fastigia nisi forte unus Pythagoras ille meus, philosophiae pater, tamen qui non a Graeci doctrinae praestantiam, quin potius ab illis ipsis Iudeis receperit. Itaque receptor optimo iure ipse quoque, id est ‘cabalista’ nominandum erat, quamvis, ut post diuturnam peregrinationem è longinquo aliquid admiratione dignum referre in patriam, quod facilius vulgo credeterur, ipse nomen illud cabalae suis incognitum primus in nome philosophiae Graecarum mutaverit</w:t>
      </w:r>
      <w:r w:rsidRPr="000B25B9">
        <w:rPr>
          <w:rFonts w:ascii="Times New Roman" w:eastAsia="Times New Roman" w:hAnsi="Times New Roman" w:cs="Times New Roman"/>
          <w:color w:val="000000"/>
          <w:sz w:val="20"/>
          <w:szCs w:val="20"/>
        </w:rPr>
        <w:t>».</w:t>
      </w:r>
    </w:p>
  </w:footnote>
  <w:footnote w:id="232">
    <w:p w14:paraId="0975C62C" w14:textId="0DE7D47B" w:rsidR="00B34CC2" w:rsidRPr="00AF21D0" w:rsidRDefault="00B34CC2" w:rsidP="00F721A9">
      <w:pPr>
        <w:pStyle w:val="Testonotaapidipagina"/>
        <w:jc w:val="both"/>
        <w:rPr>
          <w:rFonts w:ascii="Times New Roman" w:hAnsi="Times New Roman" w:cs="Times New Roman"/>
          <w:sz w:val="20"/>
          <w:szCs w:val="20"/>
        </w:rPr>
      </w:pPr>
      <w:r w:rsidRPr="00AF21D0">
        <w:rPr>
          <w:rStyle w:val="Rimandonotaapidipagina"/>
          <w:rFonts w:ascii="Times New Roman" w:hAnsi="Times New Roman" w:cs="Times New Roman"/>
          <w:sz w:val="20"/>
          <w:szCs w:val="20"/>
        </w:rPr>
        <w:footnoteRef/>
      </w:r>
      <w:r w:rsidRPr="00AF21D0">
        <w:rPr>
          <w:rFonts w:ascii="Times New Roman" w:hAnsi="Times New Roman" w:cs="Times New Roman"/>
          <w:sz w:val="20"/>
          <w:szCs w:val="20"/>
        </w:rPr>
        <w:t xml:space="preserve"> </w:t>
      </w:r>
      <w:r w:rsidRPr="00C5751D">
        <w:rPr>
          <w:rFonts w:ascii="Times New Roman" w:hAnsi="Times New Roman" w:cs="Times New Roman"/>
          <w:sz w:val="20"/>
          <w:szCs w:val="20"/>
          <w:lang w:val="de-DE"/>
        </w:rPr>
        <w:t xml:space="preserve">S. Edel, </w:t>
      </w:r>
      <w:r w:rsidRPr="00C5751D">
        <w:rPr>
          <w:rFonts w:ascii="Times New Roman" w:hAnsi="Times New Roman" w:cs="Times New Roman"/>
          <w:i/>
          <w:sz w:val="20"/>
          <w:szCs w:val="20"/>
          <w:lang w:val="de-DE"/>
        </w:rPr>
        <w:t>Die individuelle Substanz bei Böhme und Leibniz. Die Kabbala als tertium comparationis für eine rezeptionsgeschichtliche Untersuchung</w:t>
      </w:r>
      <w:r w:rsidRPr="00C5751D">
        <w:rPr>
          <w:rFonts w:ascii="Times New Roman" w:hAnsi="Times New Roman" w:cs="Times New Roman"/>
          <w:sz w:val="20"/>
          <w:szCs w:val="20"/>
          <w:lang w:val="de-DE"/>
        </w:rPr>
        <w:t>, Franz Steiner Verlag, Stuttgart</w:t>
      </w:r>
      <w:r>
        <w:rPr>
          <w:rFonts w:ascii="Times New Roman" w:hAnsi="Times New Roman" w:cs="Times New Roman"/>
          <w:sz w:val="20"/>
          <w:szCs w:val="20"/>
          <w:lang w:val="de-DE"/>
        </w:rPr>
        <w:t xml:space="preserve"> 1995</w:t>
      </w:r>
      <w:r>
        <w:rPr>
          <w:rFonts w:ascii="Times New Roman" w:hAnsi="Times New Roman" w:cs="Times New Roman"/>
          <w:sz w:val="20"/>
          <w:szCs w:val="20"/>
        </w:rPr>
        <w:t xml:space="preserve">; </w:t>
      </w:r>
      <w:r w:rsidRPr="00D3607F">
        <w:rPr>
          <w:rFonts w:ascii="Times New Roman" w:hAnsi="Times New Roman" w:cs="Times New Roman"/>
          <w:sz w:val="20"/>
          <w:szCs w:val="20"/>
        </w:rPr>
        <w:t xml:space="preserve">A. Koyré, </w:t>
      </w:r>
      <w:r>
        <w:rPr>
          <w:rFonts w:ascii="Times New Roman" w:hAnsi="Times New Roman" w:cs="Times New Roman"/>
          <w:i/>
          <w:sz w:val="20"/>
          <w:szCs w:val="20"/>
        </w:rPr>
        <w:t>La philosophie de Jakob Boehme</w:t>
      </w:r>
      <w:r>
        <w:rPr>
          <w:rFonts w:ascii="Times New Roman" w:hAnsi="Times New Roman" w:cs="Times New Roman"/>
          <w:sz w:val="20"/>
          <w:szCs w:val="20"/>
        </w:rPr>
        <w:t xml:space="preserve">, Vrin, Paris 1928, pp. 394-396; T. I. Penman, </w:t>
      </w:r>
      <w:r>
        <w:rPr>
          <w:rFonts w:ascii="Times New Roman" w:hAnsi="Times New Roman" w:cs="Times New Roman"/>
          <w:i/>
          <w:sz w:val="20"/>
          <w:szCs w:val="20"/>
        </w:rPr>
        <w:t>Boehme’s Intellectual Networks and the Heterodox Milieu</w:t>
      </w:r>
      <w:r>
        <w:rPr>
          <w:rFonts w:ascii="Times New Roman" w:hAnsi="Times New Roman" w:cs="Times New Roman"/>
          <w:sz w:val="20"/>
          <w:szCs w:val="20"/>
        </w:rPr>
        <w:t xml:space="preserve">, in </w:t>
      </w:r>
      <w:r>
        <w:rPr>
          <w:rFonts w:ascii="Times New Roman" w:hAnsi="Times New Roman" w:cs="Times New Roman"/>
          <w:i/>
          <w:sz w:val="20"/>
          <w:szCs w:val="20"/>
        </w:rPr>
        <w:t>An Introduction to Jocob Boehme</w:t>
      </w:r>
      <w:r>
        <w:rPr>
          <w:rFonts w:ascii="Times New Roman" w:hAnsi="Times New Roman" w:cs="Times New Roman"/>
          <w:sz w:val="20"/>
          <w:szCs w:val="20"/>
        </w:rPr>
        <w:t xml:space="preserve">, cit., p. 65; W. Schmidt-Biggeman, </w:t>
      </w:r>
      <w:r w:rsidRPr="00C5751D">
        <w:rPr>
          <w:rFonts w:ascii="Times New Roman" w:hAnsi="Times New Roman" w:cs="Times New Roman"/>
          <w:i/>
          <w:sz w:val="20"/>
          <w:szCs w:val="20"/>
          <w:lang w:val="de-DE"/>
        </w:rPr>
        <w:t xml:space="preserve">Geschichte der christlichen Kabbala, </w:t>
      </w:r>
      <w:r>
        <w:rPr>
          <w:rFonts w:ascii="Times New Roman" w:hAnsi="Times New Roman" w:cs="Times New Roman"/>
          <w:sz w:val="20"/>
          <w:szCs w:val="20"/>
          <w:lang w:val="de-DE"/>
        </w:rPr>
        <w:t xml:space="preserve">Bd. II, </w:t>
      </w:r>
      <w:r w:rsidRPr="00C5751D">
        <w:rPr>
          <w:rFonts w:ascii="Times New Roman" w:hAnsi="Times New Roman" w:cs="Times New Roman"/>
          <w:sz w:val="20"/>
          <w:szCs w:val="20"/>
          <w:lang w:val="de-DE"/>
        </w:rPr>
        <w:t>Fromman</w:t>
      </w:r>
      <w:r>
        <w:rPr>
          <w:rFonts w:ascii="Times New Roman" w:hAnsi="Times New Roman" w:cs="Times New Roman"/>
          <w:sz w:val="20"/>
          <w:szCs w:val="20"/>
          <w:lang w:val="de-DE"/>
        </w:rPr>
        <w:t>n</w:t>
      </w:r>
      <w:r w:rsidRPr="00C5751D">
        <w:rPr>
          <w:rFonts w:ascii="Times New Roman" w:hAnsi="Times New Roman" w:cs="Times New Roman"/>
          <w:sz w:val="20"/>
          <w:szCs w:val="20"/>
          <w:lang w:val="de-DE"/>
        </w:rPr>
        <w:t>-Ho</w:t>
      </w:r>
      <w:r>
        <w:rPr>
          <w:rFonts w:ascii="Times New Roman" w:hAnsi="Times New Roman" w:cs="Times New Roman"/>
          <w:sz w:val="20"/>
          <w:szCs w:val="20"/>
          <w:lang w:val="de-DE"/>
        </w:rPr>
        <w:t xml:space="preserve">lzboog Verlag, Stuttgart 2013, </w:t>
      </w:r>
      <w:r w:rsidRPr="00C5751D">
        <w:rPr>
          <w:rFonts w:ascii="Times New Roman" w:hAnsi="Times New Roman" w:cs="Times New Roman"/>
          <w:sz w:val="20"/>
          <w:szCs w:val="20"/>
          <w:lang w:val="de-DE"/>
        </w:rPr>
        <w:t>p.</w:t>
      </w:r>
      <w:r>
        <w:rPr>
          <w:rFonts w:ascii="Times New Roman" w:hAnsi="Times New Roman" w:cs="Times New Roman"/>
          <w:sz w:val="20"/>
          <w:szCs w:val="20"/>
          <w:lang w:val="de-DE"/>
        </w:rPr>
        <w:t xml:space="preserve"> 195.</w:t>
      </w:r>
    </w:p>
  </w:footnote>
  <w:footnote w:id="233">
    <w:p w14:paraId="06403E42" w14:textId="6D51F22A" w:rsidR="00B34CC2" w:rsidRPr="00CB3C81" w:rsidRDefault="00B34CC2" w:rsidP="00F721A9">
      <w:pPr>
        <w:pStyle w:val="Testonotaapidipagina"/>
        <w:jc w:val="both"/>
        <w:rPr>
          <w:rFonts w:ascii="Times New Roman" w:hAnsi="Times New Roman" w:cs="Times New Roman"/>
          <w:sz w:val="20"/>
          <w:szCs w:val="20"/>
        </w:rPr>
      </w:pPr>
      <w:r w:rsidRPr="008B03EA">
        <w:rPr>
          <w:rStyle w:val="Rimandonotaapidipagina"/>
          <w:rFonts w:ascii="Times New Roman" w:hAnsi="Times New Roman" w:cs="Times New Roman"/>
          <w:sz w:val="20"/>
          <w:szCs w:val="20"/>
        </w:rPr>
        <w:footnoteRef/>
      </w:r>
      <w:r w:rsidRPr="008B03EA">
        <w:rPr>
          <w:rFonts w:ascii="Times New Roman" w:hAnsi="Times New Roman" w:cs="Times New Roman"/>
          <w:sz w:val="20"/>
          <w:szCs w:val="20"/>
        </w:rPr>
        <w:t xml:space="preserve"> Sul tema vedi</w:t>
      </w:r>
      <w:r w:rsidRPr="008B03EA">
        <w:rPr>
          <w:rFonts w:ascii="Times New Roman" w:hAnsi="Times New Roman" w:cs="Times New Roman"/>
          <w:sz w:val="20"/>
          <w:szCs w:val="20"/>
          <w:lang w:val="de-DE"/>
        </w:rPr>
        <w:t xml:space="preserve"> S. Edel, </w:t>
      </w:r>
      <w:r w:rsidRPr="008B03EA">
        <w:rPr>
          <w:rFonts w:ascii="Times New Roman" w:hAnsi="Times New Roman" w:cs="Times New Roman"/>
          <w:i/>
          <w:sz w:val="20"/>
          <w:szCs w:val="20"/>
          <w:lang w:val="de-DE"/>
        </w:rPr>
        <w:t>Die individuelle Substanz bei Böhme und Leibniz</w:t>
      </w:r>
      <w:r w:rsidRPr="008B03EA">
        <w:rPr>
          <w:rFonts w:ascii="Times New Roman" w:hAnsi="Times New Roman" w:cs="Times New Roman"/>
          <w:sz w:val="20"/>
          <w:szCs w:val="20"/>
          <w:lang w:val="de-DE"/>
        </w:rPr>
        <w:t>, cit.</w:t>
      </w:r>
      <w:r w:rsidRPr="008B03EA">
        <w:rPr>
          <w:rFonts w:ascii="Times New Roman" w:hAnsi="Times New Roman" w:cs="Times New Roman"/>
          <w:sz w:val="20"/>
          <w:szCs w:val="20"/>
        </w:rPr>
        <w:t xml:space="preserve">; A. Koyré, </w:t>
      </w:r>
      <w:r w:rsidRPr="008B03EA">
        <w:rPr>
          <w:rFonts w:ascii="Times New Roman" w:hAnsi="Times New Roman" w:cs="Times New Roman"/>
          <w:i/>
          <w:sz w:val="20"/>
          <w:szCs w:val="20"/>
        </w:rPr>
        <w:t>La philosophie de Jakob Boehme</w:t>
      </w:r>
      <w:r w:rsidRPr="008B03EA">
        <w:rPr>
          <w:rFonts w:ascii="Times New Roman" w:hAnsi="Times New Roman" w:cs="Times New Roman"/>
          <w:sz w:val="20"/>
          <w:szCs w:val="20"/>
        </w:rPr>
        <w:t xml:space="preserve">, cit., pp. 394-396; C. O’Regan, </w:t>
      </w:r>
      <w:r w:rsidRPr="008B03EA">
        <w:rPr>
          <w:rFonts w:ascii="Times New Roman" w:hAnsi="Times New Roman" w:cs="Times New Roman"/>
          <w:i/>
          <w:sz w:val="20"/>
          <w:szCs w:val="20"/>
        </w:rPr>
        <w:t>Gnostic Apocalypse</w:t>
      </w:r>
      <w:r w:rsidRPr="008B03EA">
        <w:rPr>
          <w:rFonts w:ascii="Times New Roman" w:hAnsi="Times New Roman" w:cs="Times New Roman"/>
          <w:sz w:val="20"/>
          <w:szCs w:val="20"/>
        </w:rPr>
        <w:t xml:space="preserve">, State of New York Press, Albany 2002, pp. 193-205; W. Schmidt-Biggeman, </w:t>
      </w:r>
      <w:r w:rsidRPr="008B03EA">
        <w:rPr>
          <w:rFonts w:ascii="Times New Roman" w:hAnsi="Times New Roman" w:cs="Times New Roman"/>
          <w:i/>
          <w:sz w:val="20"/>
          <w:szCs w:val="20"/>
          <w:lang w:val="de-DE"/>
        </w:rPr>
        <w:t xml:space="preserve">Geschichte der christlichen Kabbala, </w:t>
      </w:r>
      <w:r w:rsidRPr="008B03EA">
        <w:rPr>
          <w:rFonts w:ascii="Times New Roman" w:hAnsi="Times New Roman" w:cs="Times New Roman"/>
          <w:sz w:val="20"/>
          <w:szCs w:val="20"/>
          <w:lang w:val="de-DE"/>
        </w:rPr>
        <w:t xml:space="preserve">cit., pp. 187-235; </w:t>
      </w:r>
      <w:r w:rsidRPr="008B03EA">
        <w:rPr>
          <w:rFonts w:ascii="Times New Roman" w:hAnsi="Times New Roman" w:cs="Times New Roman"/>
          <w:sz w:val="20"/>
          <w:szCs w:val="20"/>
        </w:rPr>
        <w:t xml:space="preserve">G. Scholem, </w:t>
      </w:r>
      <w:r w:rsidRPr="008B03EA">
        <w:rPr>
          <w:rFonts w:ascii="Times New Roman" w:hAnsi="Times New Roman" w:cs="Times New Roman"/>
          <w:i/>
          <w:sz w:val="20"/>
          <w:szCs w:val="20"/>
        </w:rPr>
        <w:t>Die jüdische Mystik  in ihren Hauptströmungen</w:t>
      </w:r>
      <w:r>
        <w:rPr>
          <w:rFonts w:ascii="Times New Roman" w:hAnsi="Times New Roman" w:cs="Times New Roman"/>
          <w:sz w:val="20"/>
          <w:szCs w:val="20"/>
        </w:rPr>
        <w:t>, cit., pp. 257-261</w:t>
      </w:r>
      <w:r w:rsidRPr="008B03EA">
        <w:rPr>
          <w:rFonts w:ascii="Times New Roman" w:hAnsi="Times New Roman" w:cs="Times New Roman"/>
          <w:i/>
          <w:sz w:val="20"/>
          <w:szCs w:val="20"/>
        </w:rPr>
        <w:t xml:space="preserve"> </w:t>
      </w:r>
      <w:r w:rsidRPr="008B03EA">
        <w:rPr>
          <w:rFonts w:ascii="Times New Roman" w:hAnsi="Times New Roman" w:cs="Times New Roman"/>
          <w:sz w:val="20"/>
          <w:szCs w:val="20"/>
        </w:rPr>
        <w:t xml:space="preserve">; G. Scholem, </w:t>
      </w:r>
      <w:r w:rsidRPr="008B03EA">
        <w:rPr>
          <w:rFonts w:ascii="Times New Roman" w:hAnsi="Times New Roman" w:cs="Times New Roman"/>
          <w:i/>
          <w:sz w:val="20"/>
          <w:szCs w:val="20"/>
        </w:rPr>
        <w:t>Ursprung und Anfänge der Kabbala</w:t>
      </w:r>
      <w:r w:rsidRPr="008B03EA">
        <w:rPr>
          <w:rFonts w:ascii="Times New Roman" w:hAnsi="Times New Roman" w:cs="Times New Roman"/>
          <w:sz w:val="20"/>
          <w:szCs w:val="20"/>
        </w:rPr>
        <w:t xml:space="preserve">, </w:t>
      </w:r>
      <w:r>
        <w:rPr>
          <w:rFonts w:ascii="Times New Roman" w:hAnsi="Times New Roman" w:cs="Times New Roman"/>
          <w:sz w:val="20"/>
          <w:szCs w:val="20"/>
        </w:rPr>
        <w:t>cit.</w:t>
      </w:r>
      <w:r w:rsidRPr="008B03EA">
        <w:rPr>
          <w:rFonts w:ascii="Times New Roman" w:hAnsi="Times New Roman" w:cs="Times New Roman"/>
          <w:sz w:val="20"/>
          <w:szCs w:val="20"/>
        </w:rPr>
        <w:t xml:space="preserve">, p. 298, 386; J. Schulitz, </w:t>
      </w:r>
      <w:r w:rsidRPr="008B03EA">
        <w:rPr>
          <w:rFonts w:ascii="Times New Roman" w:hAnsi="Times New Roman" w:cs="Times New Roman"/>
          <w:i/>
          <w:sz w:val="20"/>
          <w:szCs w:val="20"/>
        </w:rPr>
        <w:t>Jakob Böhme und die Kabbalah</w:t>
      </w:r>
      <w:r w:rsidRPr="008B03EA">
        <w:rPr>
          <w:rFonts w:ascii="Times New Roman" w:hAnsi="Times New Roman" w:cs="Times New Roman"/>
          <w:sz w:val="20"/>
          <w:szCs w:val="20"/>
        </w:rPr>
        <w:t>, cit</w:t>
      </w:r>
      <w:r>
        <w:rPr>
          <w:rFonts w:ascii="Times New Roman" w:hAnsi="Times New Roman" w:cs="Times New Roman"/>
          <w:sz w:val="20"/>
          <w:szCs w:val="20"/>
        </w:rPr>
        <w:t xml:space="preserve">; W. A. Schulze, </w:t>
      </w:r>
      <w:r>
        <w:rPr>
          <w:rFonts w:ascii="Times New Roman" w:hAnsi="Times New Roman" w:cs="Times New Roman"/>
          <w:i/>
          <w:sz w:val="20"/>
          <w:szCs w:val="20"/>
        </w:rPr>
        <w:t>Jakob</w:t>
      </w:r>
      <w:r w:rsidRPr="009E55D7">
        <w:rPr>
          <w:rFonts w:ascii="Times New Roman" w:hAnsi="Times New Roman" w:cs="Times New Roman"/>
          <w:i/>
          <w:sz w:val="20"/>
          <w:szCs w:val="20"/>
        </w:rPr>
        <w:t xml:space="preserve"> </w:t>
      </w:r>
      <w:r>
        <w:rPr>
          <w:rFonts w:ascii="Times New Roman" w:hAnsi="Times New Roman" w:cs="Times New Roman"/>
          <w:i/>
          <w:sz w:val="20"/>
          <w:szCs w:val="20"/>
        </w:rPr>
        <w:t>Böhme und die Kabbalah</w:t>
      </w:r>
      <w:r>
        <w:rPr>
          <w:rFonts w:ascii="Times New Roman" w:hAnsi="Times New Roman" w:cs="Times New Roman"/>
          <w:sz w:val="20"/>
          <w:szCs w:val="20"/>
        </w:rPr>
        <w:t>, cit.</w:t>
      </w:r>
      <w:r>
        <w:rPr>
          <w:rFonts w:ascii="Times New Roman" w:eastAsia="Times New Roman" w:hAnsi="Times New Roman" w:cs="Times New Roman"/>
          <w:color w:val="000000"/>
          <w:sz w:val="20"/>
          <w:szCs w:val="20"/>
        </w:rPr>
        <w:t>, pp. 447-460</w:t>
      </w:r>
      <w:r w:rsidRPr="008B03EA">
        <w:rPr>
          <w:rFonts w:ascii="Times New Roman" w:hAnsi="Times New Roman" w:cs="Times New Roman"/>
          <w:sz w:val="20"/>
          <w:szCs w:val="20"/>
        </w:rPr>
        <w:t>.</w:t>
      </w:r>
    </w:p>
  </w:footnote>
  <w:footnote w:id="234">
    <w:p w14:paraId="69A12D43" w14:textId="299C6C63" w:rsidR="00B34CC2" w:rsidRPr="00CE550B" w:rsidRDefault="00B34CC2" w:rsidP="00F721A9">
      <w:pPr>
        <w:pStyle w:val="Testonotaapidipagina"/>
        <w:jc w:val="both"/>
        <w:rPr>
          <w:rFonts w:ascii="Times New Roman" w:hAnsi="Times New Roman" w:cs="Times New Roman"/>
          <w:sz w:val="20"/>
          <w:szCs w:val="20"/>
        </w:rPr>
      </w:pPr>
      <w:r w:rsidRPr="00FF5FA7">
        <w:rPr>
          <w:rStyle w:val="Rimandonotaapidipagina"/>
          <w:rFonts w:ascii="Times New Roman" w:hAnsi="Times New Roman" w:cs="Times New Roman"/>
          <w:sz w:val="20"/>
          <w:szCs w:val="20"/>
        </w:rPr>
        <w:footnoteRef/>
      </w:r>
      <w:r w:rsidRPr="00FF5FA7">
        <w:rPr>
          <w:rFonts w:ascii="Times New Roman" w:hAnsi="Times New Roman" w:cs="Times New Roman"/>
          <w:sz w:val="20"/>
          <w:szCs w:val="20"/>
        </w:rPr>
        <w:t xml:space="preserve"> Questo “mistero” è alimentato dallo stesso Böhme, che nelle sue opere non indica mai i testi da cui ha tratto ispirazione. Al riguardo </w:t>
      </w:r>
      <w:r w:rsidRPr="00CE714A">
        <w:rPr>
          <w:rFonts w:ascii="Times New Roman" w:hAnsi="Times New Roman" w:cs="Times New Roman"/>
          <w:sz w:val="20"/>
          <w:szCs w:val="20"/>
        </w:rPr>
        <w:t xml:space="preserve">vedi J. Böhme, </w:t>
      </w:r>
      <w:r w:rsidRPr="00CE714A">
        <w:rPr>
          <w:rFonts w:ascii="Times New Roman" w:hAnsi="Times New Roman" w:cs="Times New Roman"/>
          <w:i/>
          <w:sz w:val="20"/>
          <w:szCs w:val="20"/>
        </w:rPr>
        <w:t>Aurora</w:t>
      </w:r>
      <w:r>
        <w:rPr>
          <w:rFonts w:ascii="Times New Roman" w:hAnsi="Times New Roman" w:cs="Times New Roman"/>
          <w:sz w:val="20"/>
          <w:szCs w:val="20"/>
        </w:rPr>
        <w:t>, cit., p. 322</w:t>
      </w:r>
      <w:r w:rsidRPr="00CE714A">
        <w:rPr>
          <w:rFonts w:ascii="Times New Roman" w:hAnsi="Times New Roman" w:cs="Times New Roman"/>
          <w:sz w:val="20"/>
          <w:szCs w:val="20"/>
        </w:rPr>
        <w:t>: «Denn ich</w:t>
      </w:r>
      <w:r w:rsidRPr="005C4C10">
        <w:rPr>
          <w:rFonts w:ascii="Times New Roman" w:hAnsi="Times New Roman" w:cs="Times New Roman"/>
          <w:sz w:val="20"/>
          <w:szCs w:val="20"/>
        </w:rPr>
        <w:t xml:space="preserve"> brauche nicht ihrer Formula und Art, sintemal ichs von ihnen nicht gelernet habe, sondern habe einen anderen Lehrmeister, welcher ist die ganze Natura. Von derselben ganzen Natur mit ihrer instehenden Geburt habe ich meine Philsophia, Astrologia und Theologia studiert und gelernet, und nich von Menschen oder durch Menschen</w:t>
      </w:r>
      <w:r w:rsidRPr="005C4C10">
        <w:rPr>
          <w:rFonts w:ascii="Times New Roman" w:eastAsia="Times New Roman" w:hAnsi="Times New Roman" w:cs="Times New Roman"/>
          <w:color w:val="000000"/>
          <w:sz w:val="20"/>
          <w:szCs w:val="20"/>
        </w:rPr>
        <w:t>».</w:t>
      </w:r>
      <w:r>
        <w:rPr>
          <w:rFonts w:ascii="Times New Roman" w:hAnsi="Times New Roman" w:cs="Times New Roman"/>
          <w:sz w:val="20"/>
          <w:szCs w:val="20"/>
        </w:rPr>
        <w:t xml:space="preserve"> Anche il primo biografo di Böhme, Abraham Franckenberg, ritiene che la teosofia böhmiana sia frutto non tanto dell’erudizione, </w:t>
      </w:r>
      <w:r w:rsidRPr="00AE2205">
        <w:rPr>
          <w:rFonts w:ascii="Times New Roman" w:hAnsi="Times New Roman" w:cs="Times New Roman"/>
          <w:sz w:val="20"/>
          <w:szCs w:val="20"/>
        </w:rPr>
        <w:t>quanto di una mistica ispirazione. È chiaro che questa affermazione rende del tutto inconsistente la domanda sul</w:t>
      </w:r>
      <w:r>
        <w:rPr>
          <w:rFonts w:ascii="Times New Roman" w:hAnsi="Times New Roman" w:cs="Times New Roman"/>
          <w:sz w:val="20"/>
          <w:szCs w:val="20"/>
        </w:rPr>
        <w:t>l’educazione e formazione dell’autore</w:t>
      </w:r>
      <w:r w:rsidRPr="00AE2205">
        <w:rPr>
          <w:rFonts w:ascii="Times New Roman" w:hAnsi="Times New Roman" w:cs="Times New Roman"/>
          <w:sz w:val="20"/>
          <w:szCs w:val="20"/>
        </w:rPr>
        <w:t>. Sulle finalità apologetiche della biografia di Franckenberg cfr.</w:t>
      </w:r>
      <w:r>
        <w:rPr>
          <w:rFonts w:ascii="Times New Roman" w:hAnsi="Times New Roman" w:cs="Times New Roman"/>
          <w:sz w:val="20"/>
          <w:szCs w:val="20"/>
        </w:rPr>
        <w:t xml:space="preserve"> C. Muratori, </w:t>
      </w:r>
      <w:r>
        <w:rPr>
          <w:rFonts w:ascii="Times New Roman" w:hAnsi="Times New Roman" w:cs="Times New Roman"/>
          <w:i/>
          <w:sz w:val="20"/>
          <w:szCs w:val="20"/>
        </w:rPr>
        <w:t>The first German Philosopher</w:t>
      </w:r>
      <w:r>
        <w:rPr>
          <w:rFonts w:ascii="Times New Roman" w:hAnsi="Times New Roman" w:cs="Times New Roman"/>
          <w:sz w:val="20"/>
          <w:szCs w:val="20"/>
        </w:rPr>
        <w:t xml:space="preserve">, cit., pp. 1-7; F. Cuniberto, </w:t>
      </w:r>
      <w:r w:rsidRPr="00E17F1F">
        <w:rPr>
          <w:rFonts w:ascii="Times New Roman" w:hAnsi="Times New Roman" w:cs="Times New Roman"/>
          <w:i/>
          <w:sz w:val="20"/>
          <w:szCs w:val="20"/>
        </w:rPr>
        <w:t>Jakob Böhme</w:t>
      </w:r>
      <w:r>
        <w:rPr>
          <w:rFonts w:ascii="Times New Roman" w:hAnsi="Times New Roman" w:cs="Times New Roman"/>
          <w:sz w:val="20"/>
          <w:szCs w:val="20"/>
        </w:rPr>
        <w:t xml:space="preserve">, Morscelliana, Brescia 2000, p. 35; A. Koyré, </w:t>
      </w:r>
      <w:r>
        <w:rPr>
          <w:rFonts w:ascii="Times New Roman" w:hAnsi="Times New Roman" w:cs="Times New Roman"/>
          <w:i/>
          <w:sz w:val="20"/>
          <w:szCs w:val="20"/>
        </w:rPr>
        <w:t>La philosophie de Jakob Boehme</w:t>
      </w:r>
      <w:r>
        <w:rPr>
          <w:rFonts w:ascii="Times New Roman" w:hAnsi="Times New Roman" w:cs="Times New Roman"/>
          <w:sz w:val="20"/>
          <w:szCs w:val="20"/>
        </w:rPr>
        <w:t>, cit., p. 17.</w:t>
      </w:r>
    </w:p>
  </w:footnote>
  <w:footnote w:id="235">
    <w:p w14:paraId="67524186" w14:textId="31D0FF19" w:rsidR="00B34CC2" w:rsidRPr="001D5EBA" w:rsidRDefault="00B34CC2" w:rsidP="00F721A9">
      <w:pPr>
        <w:pStyle w:val="Testonotaapidipagina"/>
        <w:jc w:val="both"/>
        <w:rPr>
          <w:rFonts w:ascii="Times New Roman" w:hAnsi="Times New Roman" w:cs="Times New Roman"/>
          <w:sz w:val="20"/>
          <w:szCs w:val="20"/>
        </w:rPr>
      </w:pPr>
      <w:r w:rsidRPr="001D5EBA">
        <w:rPr>
          <w:rStyle w:val="Rimandonotaapidipagina"/>
          <w:rFonts w:ascii="Times New Roman" w:hAnsi="Times New Roman" w:cs="Times New Roman"/>
          <w:sz w:val="20"/>
          <w:szCs w:val="20"/>
        </w:rPr>
        <w:footnoteRef/>
      </w:r>
      <w:r w:rsidRPr="001D5EBA">
        <w:rPr>
          <w:rFonts w:ascii="Times New Roman" w:hAnsi="Times New Roman" w:cs="Times New Roman"/>
          <w:sz w:val="20"/>
          <w:szCs w:val="20"/>
        </w:rPr>
        <w:t xml:space="preserve"> </w:t>
      </w:r>
      <w:r w:rsidRPr="001D5EBA">
        <w:rPr>
          <w:rFonts w:ascii="Times New Roman" w:hAnsi="Times New Roman" w:cs="Times New Roman"/>
          <w:i/>
          <w:sz w:val="20"/>
          <w:szCs w:val="20"/>
        </w:rPr>
        <w:t>The Zohar</w:t>
      </w:r>
      <w:r w:rsidRPr="001D5EBA">
        <w:rPr>
          <w:rFonts w:ascii="Times New Roman" w:hAnsi="Times New Roman" w:cs="Times New Roman"/>
          <w:sz w:val="20"/>
          <w:szCs w:val="20"/>
        </w:rPr>
        <w:t>, translation and commentatary by D. C. Matt, Stanford University Press, Stanford (California) 2004, p. 128</w:t>
      </w:r>
      <w:r w:rsidRPr="001D5EBA">
        <w:rPr>
          <w:rFonts w:ascii="Times New Roman" w:eastAsia="Times New Roman" w:hAnsi="Times New Roman" w:cs="Times New Roman"/>
          <w:color w:val="000000"/>
          <w:sz w:val="20"/>
          <w:szCs w:val="20"/>
        </w:rPr>
        <w:t>.</w:t>
      </w:r>
    </w:p>
  </w:footnote>
  <w:footnote w:id="236">
    <w:p w14:paraId="33D789A7" w14:textId="4BABBFE1" w:rsidR="00B34CC2" w:rsidRPr="00CD63B8" w:rsidRDefault="00B34CC2" w:rsidP="00F721A9">
      <w:pPr>
        <w:pStyle w:val="Testonotaapidipagina"/>
        <w:jc w:val="both"/>
        <w:rPr>
          <w:rFonts w:ascii="Times New Roman" w:hAnsi="Times New Roman" w:cs="Times New Roman"/>
          <w:sz w:val="20"/>
          <w:szCs w:val="20"/>
        </w:rPr>
      </w:pPr>
      <w:r w:rsidRPr="001D5EBA">
        <w:rPr>
          <w:rStyle w:val="Rimandonotaapidipagina"/>
          <w:rFonts w:ascii="Times New Roman" w:hAnsi="Times New Roman" w:cs="Times New Roman"/>
          <w:sz w:val="20"/>
          <w:szCs w:val="20"/>
        </w:rPr>
        <w:footnoteRef/>
      </w:r>
      <w:r w:rsidRPr="001D5EBA">
        <w:rPr>
          <w:rFonts w:ascii="Times New Roman" w:hAnsi="Times New Roman" w:cs="Times New Roman"/>
          <w:sz w:val="20"/>
          <w:szCs w:val="20"/>
        </w:rPr>
        <w:t xml:space="preserve"> </w:t>
      </w:r>
      <w:r w:rsidRPr="001D5EBA">
        <w:rPr>
          <w:rFonts w:ascii="Times New Roman" w:hAnsi="Times New Roman" w:cs="Times New Roman"/>
          <w:i/>
          <w:sz w:val="20"/>
          <w:szCs w:val="20"/>
        </w:rPr>
        <w:t>Ibidem,</w:t>
      </w:r>
      <w:r w:rsidRPr="001D5EBA">
        <w:rPr>
          <w:rFonts w:ascii="Times New Roman" w:hAnsi="Times New Roman" w:cs="Times New Roman"/>
          <w:sz w:val="20"/>
          <w:szCs w:val="20"/>
        </w:rPr>
        <w:t xml:space="preserve"> pp. 132-133.</w:t>
      </w:r>
    </w:p>
  </w:footnote>
  <w:footnote w:id="237">
    <w:p w14:paraId="2E4A536C" w14:textId="7B700E81" w:rsidR="00B34CC2" w:rsidRPr="001D5EBA" w:rsidRDefault="00B34CC2" w:rsidP="00F721A9">
      <w:pPr>
        <w:pStyle w:val="Testonotaapidipagina"/>
        <w:jc w:val="both"/>
        <w:rPr>
          <w:rFonts w:ascii="Times New Roman" w:hAnsi="Times New Roman" w:cs="Times New Roman"/>
          <w:sz w:val="20"/>
          <w:szCs w:val="20"/>
        </w:rPr>
      </w:pPr>
      <w:r w:rsidRPr="001D5EBA">
        <w:rPr>
          <w:rStyle w:val="Rimandonotaapidipagina"/>
          <w:rFonts w:ascii="Times New Roman" w:hAnsi="Times New Roman" w:cs="Times New Roman"/>
          <w:sz w:val="20"/>
          <w:szCs w:val="20"/>
        </w:rPr>
        <w:footnoteRef/>
      </w:r>
      <w:r w:rsidRPr="001D5EBA">
        <w:rPr>
          <w:rFonts w:ascii="Times New Roman" w:hAnsi="Times New Roman" w:cs="Times New Roman"/>
          <w:sz w:val="20"/>
          <w:szCs w:val="20"/>
        </w:rPr>
        <w:t xml:space="preserve"> </w:t>
      </w:r>
      <w:r w:rsidRPr="001D5EBA">
        <w:rPr>
          <w:rFonts w:ascii="Times New Roman" w:hAnsi="Times New Roman" w:cs="Times New Roman"/>
          <w:i/>
          <w:sz w:val="20"/>
          <w:szCs w:val="20"/>
        </w:rPr>
        <w:t>Ibidem,</w:t>
      </w:r>
      <w:r w:rsidRPr="001D5EBA">
        <w:rPr>
          <w:rFonts w:ascii="Times New Roman" w:hAnsi="Times New Roman" w:cs="Times New Roman"/>
          <w:sz w:val="20"/>
          <w:szCs w:val="20"/>
        </w:rPr>
        <w:t xml:space="preserve"> p. 128</w:t>
      </w:r>
      <w:r w:rsidRPr="001D5EBA">
        <w:rPr>
          <w:rFonts w:ascii="Times New Roman" w:eastAsia="Times New Roman" w:hAnsi="Times New Roman" w:cs="Times New Roman"/>
          <w:color w:val="000000"/>
          <w:sz w:val="20"/>
          <w:szCs w:val="20"/>
        </w:rPr>
        <w:t>.</w:t>
      </w:r>
    </w:p>
  </w:footnote>
  <w:footnote w:id="238">
    <w:p w14:paraId="42E09B2E" w14:textId="073318E4" w:rsidR="00B34CC2" w:rsidRPr="001638FC" w:rsidRDefault="00B34CC2" w:rsidP="00F721A9">
      <w:pPr>
        <w:pStyle w:val="Testonotaapidipagina"/>
        <w:jc w:val="both"/>
        <w:rPr>
          <w:rFonts w:ascii="Times New Roman" w:hAnsi="Times New Roman" w:cs="Times New Roman"/>
          <w:sz w:val="20"/>
          <w:szCs w:val="20"/>
        </w:rPr>
      </w:pPr>
      <w:r w:rsidRPr="009A52CD">
        <w:rPr>
          <w:rStyle w:val="Rimandonotaapidipagina"/>
          <w:rFonts w:ascii="Times New Roman" w:hAnsi="Times New Roman" w:cs="Times New Roman"/>
          <w:sz w:val="20"/>
          <w:szCs w:val="20"/>
        </w:rPr>
        <w:footnoteRef/>
      </w:r>
      <w:r w:rsidRPr="009A52CD">
        <w:rPr>
          <w:rFonts w:ascii="Times New Roman" w:hAnsi="Times New Roman" w:cs="Times New Roman"/>
          <w:sz w:val="20"/>
          <w:szCs w:val="20"/>
        </w:rPr>
        <w:t xml:space="preserve"> </w:t>
      </w:r>
      <w:r>
        <w:rPr>
          <w:rFonts w:ascii="Times New Roman" w:hAnsi="Times New Roman" w:cs="Times New Roman"/>
          <w:sz w:val="20"/>
          <w:szCs w:val="20"/>
        </w:rPr>
        <w:t xml:space="preserve">Su questo punto cfr. </w:t>
      </w:r>
      <w:r w:rsidRPr="009C14E9">
        <w:rPr>
          <w:rFonts w:ascii="Times New Roman" w:hAnsi="Times New Roman" w:cs="Times New Roman"/>
          <w:sz w:val="20"/>
          <w:szCs w:val="20"/>
        </w:rPr>
        <w:t xml:space="preserve">G. Scholem, </w:t>
      </w:r>
      <w:r w:rsidRPr="009C14E9">
        <w:rPr>
          <w:rFonts w:ascii="Times New Roman" w:hAnsi="Times New Roman" w:cs="Times New Roman"/>
          <w:i/>
          <w:sz w:val="20"/>
          <w:szCs w:val="20"/>
        </w:rPr>
        <w:t>Die jüdische Mystik in ihren Hauptströmungen</w:t>
      </w:r>
      <w:r w:rsidRPr="009C14E9">
        <w:rPr>
          <w:rFonts w:ascii="Times New Roman" w:hAnsi="Times New Roman" w:cs="Times New Roman"/>
          <w:sz w:val="20"/>
          <w:szCs w:val="20"/>
        </w:rPr>
        <w:t>,</w:t>
      </w:r>
      <w:r>
        <w:rPr>
          <w:rFonts w:ascii="Times New Roman" w:hAnsi="Times New Roman" w:cs="Times New Roman"/>
          <w:sz w:val="20"/>
          <w:szCs w:val="20"/>
        </w:rPr>
        <w:t xml:space="preserve"> cit., p. 259: «Auch er [Jakob Böhme] kennt das Böse als ein dunkles und negatives Prinzip des Zornes in Gott, das in thesophischen Organismus des göttlichen Lebens freilich ewig ins Licht verklärt wird […] unter allen Mystikern Jakob Böhme derjenige ist, dessen Denken gerade in seinen originellsten Antrieben die engste Affinität zur Kabbalah weist</w:t>
      </w:r>
      <w:r w:rsidRPr="007F3D25">
        <w:rPr>
          <w:rFonts w:ascii="Times New Roman" w:eastAsia="Times New Roman" w:hAnsi="Times New Roman" w:cs="Times New Roman"/>
          <w:color w:val="000000"/>
          <w:sz w:val="20"/>
          <w:szCs w:val="20"/>
        </w:rPr>
        <w:t>»</w:t>
      </w:r>
      <w:r>
        <w:rPr>
          <w:rFonts w:ascii="Times New Roman" w:eastAsia="Times New Roman" w:hAnsi="Times New Roman" w:cs="Times New Roman"/>
          <w:color w:val="000000"/>
          <w:sz w:val="20"/>
          <w:szCs w:val="20"/>
        </w:rPr>
        <w:t>. Vedi anche</w:t>
      </w:r>
      <w:r>
        <w:rPr>
          <w:rFonts w:ascii="Times New Roman" w:hAnsi="Times New Roman" w:cs="Times New Roman"/>
          <w:sz w:val="20"/>
          <w:szCs w:val="20"/>
        </w:rPr>
        <w:t xml:space="preserve"> C. O’Regan, </w:t>
      </w:r>
      <w:r w:rsidRPr="008B03EA">
        <w:rPr>
          <w:rFonts w:ascii="Times New Roman" w:hAnsi="Times New Roman" w:cs="Times New Roman"/>
          <w:i/>
          <w:sz w:val="20"/>
          <w:szCs w:val="20"/>
        </w:rPr>
        <w:t>Gnostic Apocalypse</w:t>
      </w:r>
      <w:r w:rsidRPr="008B03EA">
        <w:rPr>
          <w:rFonts w:ascii="Times New Roman" w:hAnsi="Times New Roman" w:cs="Times New Roman"/>
          <w:sz w:val="20"/>
          <w:szCs w:val="20"/>
        </w:rPr>
        <w:t>,</w:t>
      </w:r>
      <w:r>
        <w:rPr>
          <w:rFonts w:ascii="Times New Roman" w:hAnsi="Times New Roman" w:cs="Times New Roman"/>
          <w:sz w:val="20"/>
          <w:szCs w:val="20"/>
        </w:rPr>
        <w:t xml:space="preserve"> cit., p. 199: «Second, the organization of forms od divine manifestation are in both cases essentially bipolar, with qualities or names banding into both a stern or wrathful side (in Boehme a side of </w:t>
      </w:r>
      <w:r w:rsidRPr="009A52CD">
        <w:rPr>
          <w:rFonts w:ascii="Times New Roman" w:hAnsi="Times New Roman" w:cs="Times New Roman"/>
          <w:i/>
          <w:sz w:val="20"/>
          <w:szCs w:val="20"/>
        </w:rPr>
        <w:t>Zorn</w:t>
      </w:r>
      <w:r>
        <w:rPr>
          <w:rFonts w:ascii="Times New Roman" w:hAnsi="Times New Roman" w:cs="Times New Roman"/>
          <w:i/>
          <w:sz w:val="20"/>
          <w:szCs w:val="20"/>
        </w:rPr>
        <w:t xml:space="preserve"> </w:t>
      </w:r>
      <w:r>
        <w:rPr>
          <w:rFonts w:ascii="Times New Roman" w:hAnsi="Times New Roman" w:cs="Times New Roman"/>
          <w:sz w:val="20"/>
          <w:szCs w:val="20"/>
        </w:rPr>
        <w:t xml:space="preserve">or </w:t>
      </w:r>
      <w:r>
        <w:rPr>
          <w:rFonts w:ascii="Times New Roman" w:hAnsi="Times New Roman" w:cs="Times New Roman"/>
          <w:i/>
          <w:sz w:val="20"/>
          <w:szCs w:val="20"/>
        </w:rPr>
        <w:t>Schwierigkeit</w:t>
      </w:r>
      <w:r>
        <w:rPr>
          <w:rFonts w:ascii="Times New Roman" w:hAnsi="Times New Roman" w:cs="Times New Roman"/>
          <w:sz w:val="20"/>
          <w:szCs w:val="20"/>
        </w:rPr>
        <w:t xml:space="preserve">, in the Kabbalah a side of </w:t>
      </w:r>
      <w:r w:rsidRPr="009A52CD">
        <w:rPr>
          <w:rFonts w:ascii="Times New Roman" w:hAnsi="Times New Roman" w:cs="Times New Roman"/>
          <w:i/>
          <w:sz w:val="20"/>
          <w:szCs w:val="20"/>
        </w:rPr>
        <w:t>Din</w:t>
      </w:r>
      <w:r>
        <w:rPr>
          <w:rFonts w:ascii="Times New Roman" w:hAnsi="Times New Roman" w:cs="Times New Roman"/>
          <w:sz w:val="20"/>
          <w:szCs w:val="20"/>
        </w:rPr>
        <w:t xml:space="preserve">) and a merciful side (in Boehme a side of </w:t>
      </w:r>
      <w:r>
        <w:rPr>
          <w:rFonts w:ascii="Times New Roman" w:hAnsi="Times New Roman" w:cs="Times New Roman"/>
          <w:i/>
          <w:sz w:val="20"/>
          <w:szCs w:val="20"/>
        </w:rPr>
        <w:t>Bahrmerzigkeit</w:t>
      </w:r>
      <w:r>
        <w:rPr>
          <w:rFonts w:ascii="Times New Roman" w:hAnsi="Times New Roman" w:cs="Times New Roman"/>
          <w:sz w:val="20"/>
          <w:szCs w:val="20"/>
        </w:rPr>
        <w:t xml:space="preserve">, in the Kabbalah a side of </w:t>
      </w:r>
      <w:r w:rsidRPr="009A52CD">
        <w:rPr>
          <w:rFonts w:ascii="Times New Roman" w:hAnsi="Times New Roman" w:cs="Times New Roman"/>
          <w:i/>
          <w:sz w:val="20"/>
          <w:szCs w:val="20"/>
        </w:rPr>
        <w:t>Chesed</w:t>
      </w:r>
      <w:r>
        <w:rPr>
          <w:rFonts w:ascii="Times New Roman" w:hAnsi="Times New Roman" w:cs="Times New Roman"/>
          <w:sz w:val="20"/>
          <w:szCs w:val="20"/>
        </w:rPr>
        <w:t xml:space="preserve">). Some specific correspondence also exist. As a particular name rather than representing a band of names, </w:t>
      </w:r>
      <w:r>
        <w:rPr>
          <w:rFonts w:ascii="Times New Roman" w:hAnsi="Times New Roman" w:cs="Times New Roman"/>
          <w:i/>
          <w:sz w:val="20"/>
          <w:szCs w:val="20"/>
        </w:rPr>
        <w:t>Din</w:t>
      </w:r>
      <w:r>
        <w:rPr>
          <w:rFonts w:ascii="Times New Roman" w:hAnsi="Times New Roman" w:cs="Times New Roman"/>
          <w:sz w:val="20"/>
          <w:szCs w:val="20"/>
        </w:rPr>
        <w:t xml:space="preserve"> finds a closa analogy in the first three harsh qualities depicted by Boehme, which, like </w:t>
      </w:r>
      <w:r>
        <w:rPr>
          <w:rFonts w:ascii="Times New Roman" w:hAnsi="Times New Roman" w:cs="Times New Roman"/>
          <w:i/>
          <w:sz w:val="20"/>
          <w:szCs w:val="20"/>
        </w:rPr>
        <w:t>Din</w:t>
      </w:r>
      <w:r>
        <w:rPr>
          <w:rFonts w:ascii="Times New Roman" w:hAnsi="Times New Roman" w:cs="Times New Roman"/>
          <w:sz w:val="20"/>
          <w:szCs w:val="20"/>
        </w:rPr>
        <w:t xml:space="preserve">, is symbolized as a dark consuming fire. Similarly, </w:t>
      </w:r>
      <w:r>
        <w:rPr>
          <w:rFonts w:ascii="Times New Roman" w:hAnsi="Times New Roman" w:cs="Times New Roman"/>
          <w:i/>
          <w:sz w:val="20"/>
          <w:szCs w:val="20"/>
        </w:rPr>
        <w:t>Chesed</w:t>
      </w:r>
      <w:r>
        <w:rPr>
          <w:rFonts w:ascii="Times New Roman" w:hAnsi="Times New Roman" w:cs="Times New Roman"/>
          <w:sz w:val="20"/>
          <w:szCs w:val="20"/>
        </w:rPr>
        <w:t xml:space="preserve"> considered as a specific name, rather than </w:t>
      </w:r>
      <w:r w:rsidRPr="001638FC">
        <w:rPr>
          <w:rFonts w:ascii="Times New Roman" w:hAnsi="Times New Roman" w:cs="Times New Roman"/>
          <w:sz w:val="20"/>
          <w:szCs w:val="20"/>
        </w:rPr>
        <w:t xml:space="preserve">representing a band of names, finds a close analogy with the first of the three qualities of the Second Principle, which like </w:t>
      </w:r>
      <w:r w:rsidRPr="001638FC">
        <w:rPr>
          <w:rFonts w:ascii="Times New Roman" w:hAnsi="Times New Roman" w:cs="Times New Roman"/>
          <w:i/>
          <w:sz w:val="20"/>
          <w:szCs w:val="20"/>
        </w:rPr>
        <w:t>Chesed</w:t>
      </w:r>
      <w:r w:rsidRPr="001638FC">
        <w:rPr>
          <w:rFonts w:ascii="Times New Roman" w:hAnsi="Times New Roman" w:cs="Times New Roman"/>
          <w:sz w:val="20"/>
          <w:szCs w:val="20"/>
        </w:rPr>
        <w:t>, is symbolized as a mild and light fire</w:t>
      </w:r>
      <w:r w:rsidRPr="001638FC">
        <w:rPr>
          <w:rFonts w:ascii="Times New Roman" w:eastAsia="Times New Roman" w:hAnsi="Times New Roman" w:cs="Times New Roman"/>
          <w:color w:val="000000"/>
          <w:sz w:val="20"/>
          <w:szCs w:val="20"/>
        </w:rPr>
        <w:t>».</w:t>
      </w:r>
    </w:p>
  </w:footnote>
  <w:footnote w:id="239">
    <w:p w14:paraId="78FD593B" w14:textId="178CF440" w:rsidR="00B34CC2" w:rsidRPr="00B07501" w:rsidRDefault="00B34CC2" w:rsidP="00F721A9">
      <w:pPr>
        <w:pStyle w:val="Testonotaapidipagina"/>
        <w:jc w:val="both"/>
        <w:rPr>
          <w:rFonts w:ascii="Times New Roman" w:hAnsi="Times New Roman" w:cs="Times New Roman"/>
          <w:sz w:val="20"/>
          <w:szCs w:val="20"/>
        </w:rPr>
      </w:pPr>
      <w:r w:rsidRPr="001638FC">
        <w:rPr>
          <w:rStyle w:val="Rimandonotaapidipagina"/>
          <w:rFonts w:ascii="Times New Roman" w:hAnsi="Times New Roman" w:cs="Times New Roman"/>
          <w:sz w:val="20"/>
          <w:szCs w:val="20"/>
        </w:rPr>
        <w:footnoteRef/>
      </w:r>
      <w:r w:rsidRPr="001638FC">
        <w:rPr>
          <w:rFonts w:ascii="Times New Roman" w:hAnsi="Times New Roman" w:cs="Times New Roman"/>
          <w:sz w:val="20"/>
          <w:szCs w:val="20"/>
        </w:rPr>
        <w:t xml:space="preserve"> J. Böhme, </w:t>
      </w:r>
      <w:r w:rsidRPr="001638FC">
        <w:rPr>
          <w:rFonts w:ascii="Times New Roman" w:eastAsia="Times New Roman" w:hAnsi="Times New Roman" w:cs="Times New Roman"/>
          <w:i/>
          <w:color w:val="000000"/>
          <w:sz w:val="20"/>
          <w:szCs w:val="20"/>
        </w:rPr>
        <w:t>Aurora</w:t>
      </w:r>
      <w:r w:rsidRPr="001638FC">
        <w:rPr>
          <w:rFonts w:ascii="Times New Roman" w:eastAsia="Times New Roman" w:hAnsi="Times New Roman" w:cs="Times New Roman"/>
          <w:color w:val="000000"/>
          <w:sz w:val="20"/>
          <w:szCs w:val="20"/>
        </w:rPr>
        <w:t xml:space="preserve">, cit., </w:t>
      </w:r>
      <w:r w:rsidRPr="001638FC">
        <w:rPr>
          <w:rFonts w:ascii="Times New Roman" w:hAnsi="Times New Roman" w:cs="Times New Roman"/>
          <w:sz w:val="20"/>
          <w:szCs w:val="20"/>
        </w:rPr>
        <w:t>p. 56.</w:t>
      </w:r>
    </w:p>
  </w:footnote>
  <w:footnote w:id="240">
    <w:p w14:paraId="42E76627" w14:textId="34D4A410" w:rsidR="00B34CC2" w:rsidRPr="005F57A9" w:rsidRDefault="00B34CC2" w:rsidP="00F721A9">
      <w:pPr>
        <w:pStyle w:val="Testonotaapidipagina"/>
        <w:jc w:val="both"/>
        <w:rPr>
          <w:rFonts w:ascii="Times New Roman" w:eastAsia="Times New Roman" w:hAnsi="Times New Roman" w:cs="Times New Roman"/>
          <w:color w:val="000000"/>
          <w:sz w:val="20"/>
          <w:szCs w:val="20"/>
        </w:rPr>
      </w:pPr>
      <w:r w:rsidRPr="0082660A">
        <w:rPr>
          <w:rStyle w:val="Rimandonotaapidipagina"/>
          <w:rFonts w:ascii="Times New Roman" w:hAnsi="Times New Roman" w:cs="Times New Roman"/>
          <w:sz w:val="20"/>
          <w:szCs w:val="20"/>
        </w:rPr>
        <w:footnoteRef/>
      </w:r>
      <w:r w:rsidRPr="0082660A">
        <w:rPr>
          <w:rFonts w:ascii="Times New Roman" w:hAnsi="Times New Roman" w:cs="Times New Roman"/>
          <w:sz w:val="20"/>
          <w:szCs w:val="20"/>
        </w:rPr>
        <w:t xml:space="preserve">  </w:t>
      </w:r>
      <w:r w:rsidRPr="0082660A">
        <w:rPr>
          <w:rFonts w:ascii="Times New Roman" w:hAnsi="Times New Roman" w:cs="Times New Roman"/>
          <w:i/>
          <w:sz w:val="20"/>
          <w:szCs w:val="20"/>
        </w:rPr>
        <w:t>The Zohar</w:t>
      </w:r>
      <w:r w:rsidRPr="0082660A">
        <w:rPr>
          <w:rFonts w:ascii="Times New Roman" w:hAnsi="Times New Roman" w:cs="Times New Roman"/>
          <w:sz w:val="20"/>
          <w:szCs w:val="20"/>
        </w:rPr>
        <w:t>, cit., p. 244: «</w:t>
      </w:r>
      <w:r w:rsidRPr="0082660A">
        <w:rPr>
          <w:rFonts w:ascii="Times New Roman" w:hAnsi="Times New Roman" w:cs="Times New Roman"/>
          <w:i/>
          <w:sz w:val="20"/>
          <w:szCs w:val="20"/>
        </w:rPr>
        <w:t>God said, ‘Let there be light!’</w:t>
      </w:r>
      <w:r w:rsidRPr="0082660A">
        <w:rPr>
          <w:rFonts w:ascii="Times New Roman" w:hAnsi="Times New Roman" w:cs="Times New Roman"/>
          <w:sz w:val="20"/>
          <w:szCs w:val="20"/>
        </w:rPr>
        <w:t>––an extension of this light below. These are angels created on the first day, abiding endurely on the right side</w:t>
      </w:r>
      <w:r w:rsidRPr="0082660A">
        <w:rPr>
          <w:rFonts w:ascii="Times New Roman" w:eastAsia="Times New Roman" w:hAnsi="Times New Roman" w:cs="Times New Roman"/>
          <w:color w:val="000000"/>
          <w:sz w:val="20"/>
          <w:szCs w:val="20"/>
        </w:rPr>
        <w:t xml:space="preserve">». Gli angeli creati durante il secondo giorno, invece, sono </w:t>
      </w:r>
      <w:r>
        <w:rPr>
          <w:rFonts w:ascii="Times New Roman" w:eastAsia="Times New Roman" w:hAnsi="Times New Roman" w:cs="Times New Roman"/>
          <w:color w:val="000000"/>
          <w:sz w:val="20"/>
          <w:szCs w:val="20"/>
        </w:rPr>
        <w:t>in virtù del</w:t>
      </w:r>
      <w:r w:rsidRPr="0082660A">
        <w:rPr>
          <w:rFonts w:ascii="Times New Roman" w:eastAsia="Times New Roman" w:hAnsi="Times New Roman" w:cs="Times New Roman"/>
          <w:color w:val="000000"/>
          <w:sz w:val="20"/>
          <w:szCs w:val="20"/>
        </w:rPr>
        <w:t>l’attività del lato sinistro della divinità. Al contrario degli angeli formati il primo giorno, gli angeli del secondo giorno sono entità derivanti dal Giudizio (</w:t>
      </w:r>
      <w:r w:rsidRPr="0082660A">
        <w:rPr>
          <w:rFonts w:ascii="Times New Roman" w:eastAsia="Times New Roman" w:hAnsi="Times New Roman" w:cs="Times New Roman"/>
          <w:i/>
          <w:color w:val="000000"/>
          <w:sz w:val="20"/>
          <w:szCs w:val="20"/>
        </w:rPr>
        <w:t>Gevurah</w:t>
      </w:r>
      <w:r w:rsidRPr="0082660A">
        <w:rPr>
          <w:rFonts w:ascii="Times New Roman" w:eastAsia="Times New Roman" w:hAnsi="Times New Roman" w:cs="Times New Roman"/>
          <w:color w:val="000000"/>
          <w:sz w:val="20"/>
          <w:szCs w:val="20"/>
        </w:rPr>
        <w:t xml:space="preserve">) e non dall’amore di </w:t>
      </w:r>
      <w:r w:rsidRPr="0082660A">
        <w:rPr>
          <w:rFonts w:ascii="Times New Roman" w:eastAsia="Times New Roman" w:hAnsi="Times New Roman" w:cs="Times New Roman"/>
          <w:i/>
          <w:color w:val="000000"/>
          <w:sz w:val="20"/>
          <w:szCs w:val="20"/>
        </w:rPr>
        <w:t>Hesed</w:t>
      </w:r>
      <w:r w:rsidRPr="0082660A">
        <w:rPr>
          <w:rFonts w:ascii="Times New Roman" w:eastAsia="Times New Roman" w:hAnsi="Times New Roman" w:cs="Times New Roman"/>
          <w:color w:val="000000"/>
          <w:sz w:val="20"/>
          <w:szCs w:val="20"/>
        </w:rPr>
        <w:t>. Quando Böhme sostiene che gli angeli sono creati secondo t</w:t>
      </w:r>
      <w:r>
        <w:rPr>
          <w:rFonts w:ascii="Times New Roman" w:eastAsia="Times New Roman" w:hAnsi="Times New Roman" w:cs="Times New Roman"/>
          <w:color w:val="000000"/>
          <w:sz w:val="20"/>
          <w:szCs w:val="20"/>
        </w:rPr>
        <w:t>utte le potenze di Dio è come se</w:t>
      </w:r>
      <w:r w:rsidRPr="0082660A">
        <w:rPr>
          <w:rFonts w:ascii="Times New Roman" w:eastAsia="Times New Roman" w:hAnsi="Times New Roman" w:cs="Times New Roman"/>
          <w:color w:val="000000"/>
          <w:sz w:val="20"/>
          <w:szCs w:val="20"/>
        </w:rPr>
        <w:t xml:space="preserve"> riunificasse ciò che nello </w:t>
      </w:r>
      <w:r w:rsidRPr="0082660A">
        <w:rPr>
          <w:rFonts w:ascii="Times New Roman" w:eastAsia="Times New Roman" w:hAnsi="Times New Roman" w:cs="Times New Roman"/>
          <w:i/>
          <w:color w:val="000000"/>
          <w:sz w:val="20"/>
          <w:szCs w:val="20"/>
        </w:rPr>
        <w:t>Zohar</w:t>
      </w:r>
      <w:r w:rsidRPr="0082660A">
        <w:rPr>
          <w:rFonts w:ascii="Times New Roman" w:eastAsia="Times New Roman" w:hAnsi="Times New Roman" w:cs="Times New Roman"/>
          <w:color w:val="000000"/>
          <w:sz w:val="20"/>
          <w:szCs w:val="20"/>
        </w:rPr>
        <w:t xml:space="preserve"> è tenuto separato: destra e sinistra, amore e ira, luce e tenebra sono quei principi che congiuntamente, e non l’uno indipendentemente dall’altro, determinano la natura delle schiere angeliche.</w:t>
      </w:r>
      <w:r>
        <w:rPr>
          <w:rFonts w:ascii="Times New Roman" w:eastAsia="Times New Roman" w:hAnsi="Times New Roman" w:cs="Times New Roman"/>
          <w:color w:val="000000"/>
          <w:sz w:val="20"/>
          <w:szCs w:val="20"/>
        </w:rPr>
        <w:t xml:space="preserve"> </w:t>
      </w:r>
    </w:p>
  </w:footnote>
  <w:footnote w:id="241">
    <w:p w14:paraId="6EC88942" w14:textId="32EA1AB3" w:rsidR="00B34CC2" w:rsidRPr="00AD34A9" w:rsidRDefault="00B34CC2" w:rsidP="00F721A9">
      <w:pPr>
        <w:pStyle w:val="Testonotaapidipagina"/>
        <w:jc w:val="both"/>
        <w:rPr>
          <w:rFonts w:ascii="Times New Roman" w:hAnsi="Times New Roman" w:cs="Times New Roman"/>
          <w:sz w:val="20"/>
          <w:szCs w:val="20"/>
        </w:rPr>
      </w:pPr>
      <w:r w:rsidRPr="00012CE8">
        <w:rPr>
          <w:rStyle w:val="Rimandonotaapidipagina"/>
          <w:rFonts w:ascii="Times New Roman" w:hAnsi="Times New Roman" w:cs="Times New Roman"/>
          <w:sz w:val="20"/>
          <w:szCs w:val="20"/>
        </w:rPr>
        <w:footnoteRef/>
      </w:r>
      <w:r w:rsidRPr="00012CE8">
        <w:rPr>
          <w:rFonts w:ascii="Times New Roman" w:hAnsi="Times New Roman" w:cs="Times New Roman"/>
          <w:sz w:val="20"/>
          <w:szCs w:val="20"/>
        </w:rPr>
        <w:t xml:space="preserve"> Su questo punto vedi J. Böhme, </w:t>
      </w:r>
      <w:r w:rsidRPr="00012CE8">
        <w:rPr>
          <w:rFonts w:ascii="Times New Roman" w:eastAsia="Times New Roman" w:hAnsi="Times New Roman" w:cs="Times New Roman"/>
          <w:i/>
          <w:color w:val="000000"/>
          <w:sz w:val="20"/>
          <w:szCs w:val="20"/>
        </w:rPr>
        <w:t>Aurora</w:t>
      </w:r>
      <w:r w:rsidRPr="00012CE8">
        <w:rPr>
          <w:rFonts w:ascii="Times New Roman" w:eastAsia="Times New Roman" w:hAnsi="Times New Roman" w:cs="Times New Roman"/>
          <w:color w:val="000000"/>
          <w:sz w:val="20"/>
          <w:szCs w:val="20"/>
        </w:rPr>
        <w:t xml:space="preserve">, cit., p. 192: </w:t>
      </w:r>
      <w:r w:rsidRPr="00012CE8">
        <w:rPr>
          <w:rFonts w:ascii="Times New Roman" w:hAnsi="Times New Roman" w:cs="Times New Roman"/>
          <w:sz w:val="20"/>
          <w:szCs w:val="20"/>
        </w:rPr>
        <w:t>«Und trieben solches also lange, bis sie ihre Mutter das süsse Wasser ermordeten: Da ward der ganze Leib ein Finsterthal, und war kein Rath mehr in Gott, der da hätte können helfen; aus der Liebe ward eine Feindschaft; aus dem gantzen Corpus ward ein schwartzer finster Teufel</w:t>
      </w:r>
      <w:r w:rsidRPr="00012CE8">
        <w:rPr>
          <w:rFonts w:ascii="Times New Roman" w:eastAsia="Times New Roman" w:hAnsi="Times New Roman" w:cs="Times New Roman"/>
          <w:color w:val="000000"/>
          <w:sz w:val="20"/>
          <w:szCs w:val="20"/>
        </w:rPr>
        <w:t>».</w:t>
      </w:r>
    </w:p>
  </w:footnote>
  <w:footnote w:id="242">
    <w:p w14:paraId="1E468EA8" w14:textId="578E2C11" w:rsidR="00B34CC2" w:rsidRPr="007F3D25" w:rsidRDefault="00B34CC2" w:rsidP="00F721A9">
      <w:pPr>
        <w:pStyle w:val="Testonotaapidipagina"/>
        <w:jc w:val="both"/>
        <w:rPr>
          <w:rFonts w:ascii="Times New Roman" w:hAnsi="Times New Roman" w:cs="Times New Roman"/>
          <w:i/>
          <w:sz w:val="20"/>
          <w:szCs w:val="20"/>
        </w:rPr>
      </w:pPr>
      <w:r w:rsidRPr="003C4709">
        <w:rPr>
          <w:rStyle w:val="Rimandonotaapidipagina"/>
          <w:rFonts w:ascii="Times New Roman" w:hAnsi="Times New Roman" w:cs="Times New Roman"/>
          <w:sz w:val="20"/>
          <w:szCs w:val="20"/>
        </w:rPr>
        <w:footnoteRef/>
      </w:r>
      <w:r w:rsidRPr="003C4709">
        <w:rPr>
          <w:rFonts w:ascii="Times New Roman" w:hAnsi="Times New Roman" w:cs="Times New Roman"/>
          <w:sz w:val="20"/>
          <w:szCs w:val="20"/>
        </w:rPr>
        <w:t xml:space="preserve"> J. Böhme, </w:t>
      </w:r>
      <w:r w:rsidRPr="003C4709">
        <w:rPr>
          <w:rFonts w:ascii="Times New Roman" w:eastAsia="Times New Roman" w:hAnsi="Times New Roman" w:cs="Times New Roman"/>
          <w:i/>
          <w:color w:val="000000"/>
          <w:sz w:val="20"/>
          <w:szCs w:val="20"/>
        </w:rPr>
        <w:t>Aurora</w:t>
      </w:r>
      <w:r w:rsidRPr="003C4709">
        <w:rPr>
          <w:rFonts w:ascii="Times New Roman" w:eastAsia="Times New Roman" w:hAnsi="Times New Roman" w:cs="Times New Roman"/>
          <w:color w:val="000000"/>
          <w:sz w:val="20"/>
          <w:szCs w:val="20"/>
        </w:rPr>
        <w:t xml:space="preserve">, cit., </w:t>
      </w:r>
      <w:r w:rsidRPr="003C4709">
        <w:rPr>
          <w:rFonts w:ascii="Times New Roman" w:hAnsi="Times New Roman" w:cs="Times New Roman"/>
          <w:sz w:val="20"/>
          <w:szCs w:val="20"/>
        </w:rPr>
        <w:t>p. 81:</w:t>
      </w:r>
      <w:r w:rsidRPr="00F75E91">
        <w:rPr>
          <w:rFonts w:ascii="Times New Roman" w:hAnsi="Times New Roman" w:cs="Times New Roman"/>
          <w:sz w:val="20"/>
          <w:szCs w:val="20"/>
        </w:rPr>
        <w:t xml:space="preserve"> «</w:t>
      </w:r>
      <w:r w:rsidRPr="00F75E91">
        <w:rPr>
          <w:rFonts w:ascii="Times New Roman" w:hAnsi="Times New Roman" w:cs="Times New Roman"/>
          <w:sz w:val="20"/>
          <w:szCs w:val="20"/>
          <w:lang w:val="de-DE"/>
        </w:rPr>
        <w:t xml:space="preserve">Gleichwie derselbe vom Vater und Sohne ausgehet und infizierte alle Kräfte des Vaters, sowohl alle Himmlische Früchte und Formen, davon alles sein steigen hat und darinnen die himmlische Freudenreich stehet, also auch hats eine Gestalt mir der Wirkung oder Kraft eines Cherub oder Thron-Engels, der wirket in allen seinen Engeln […] Davon kriegen alle Engel den </w:t>
      </w:r>
      <w:r w:rsidRPr="007F3D25">
        <w:rPr>
          <w:rFonts w:ascii="Times New Roman" w:hAnsi="Times New Roman" w:cs="Times New Roman"/>
          <w:sz w:val="20"/>
          <w:szCs w:val="20"/>
          <w:lang w:val="de-DE"/>
        </w:rPr>
        <w:t>Willen des Thron-Engels und sind ihm alle gehorsam, denn sie wirken alle in seiner Kraft</w:t>
      </w:r>
      <w:r w:rsidRPr="007F3D25">
        <w:rPr>
          <w:rFonts w:ascii="Times New Roman" w:eastAsia="Times New Roman" w:hAnsi="Times New Roman" w:cs="Times New Roman"/>
          <w:color w:val="000000"/>
          <w:sz w:val="20"/>
          <w:szCs w:val="20"/>
        </w:rPr>
        <w:t>».</w:t>
      </w:r>
    </w:p>
  </w:footnote>
  <w:footnote w:id="243">
    <w:p w14:paraId="349FB8B2" w14:textId="25183714" w:rsidR="00B34CC2" w:rsidRPr="007A1587" w:rsidRDefault="00B34CC2" w:rsidP="00F721A9">
      <w:pPr>
        <w:pStyle w:val="Testonotaapidipagina"/>
        <w:jc w:val="both"/>
        <w:rPr>
          <w:rFonts w:ascii="Times New Roman" w:hAnsi="Times New Roman" w:cs="Times New Roman"/>
          <w:sz w:val="20"/>
          <w:szCs w:val="20"/>
        </w:rPr>
      </w:pPr>
      <w:r w:rsidRPr="00EC085C">
        <w:rPr>
          <w:rStyle w:val="Rimandonotaapidipagina"/>
          <w:rFonts w:ascii="Times New Roman" w:hAnsi="Times New Roman" w:cs="Times New Roman"/>
          <w:sz w:val="20"/>
          <w:szCs w:val="20"/>
        </w:rPr>
        <w:footnoteRef/>
      </w:r>
      <w:r w:rsidRPr="00EC085C">
        <w:rPr>
          <w:rFonts w:ascii="Times New Roman" w:hAnsi="Times New Roman" w:cs="Times New Roman"/>
          <w:sz w:val="20"/>
          <w:szCs w:val="20"/>
        </w:rPr>
        <w:t xml:space="preserve"> Riguardo alla concezione del male come fuoco dell’ira e della giustizia di Dio presente nello </w:t>
      </w:r>
      <w:r w:rsidRPr="00EC085C">
        <w:rPr>
          <w:rFonts w:ascii="Times New Roman" w:hAnsi="Times New Roman" w:cs="Times New Roman"/>
          <w:i/>
          <w:sz w:val="20"/>
          <w:szCs w:val="20"/>
        </w:rPr>
        <w:t xml:space="preserve">Zohar </w:t>
      </w:r>
      <w:r w:rsidRPr="00EC085C">
        <w:rPr>
          <w:rFonts w:ascii="Times New Roman" w:hAnsi="Times New Roman" w:cs="Times New Roman"/>
          <w:sz w:val="20"/>
          <w:szCs w:val="20"/>
        </w:rPr>
        <w:t xml:space="preserve">cfr. S.J. McGrath, </w:t>
      </w:r>
      <w:r w:rsidRPr="00EC085C">
        <w:rPr>
          <w:rFonts w:ascii="Times New Roman" w:hAnsi="Times New Roman" w:cs="Times New Roman"/>
          <w:i/>
          <w:sz w:val="20"/>
          <w:szCs w:val="20"/>
        </w:rPr>
        <w:t>Boehme, Hegel, Schelling and the Hermetic Theology of Evil</w:t>
      </w:r>
      <w:r w:rsidRPr="00EC085C">
        <w:rPr>
          <w:rFonts w:ascii="Times New Roman" w:hAnsi="Times New Roman" w:cs="Times New Roman"/>
          <w:sz w:val="20"/>
          <w:szCs w:val="20"/>
        </w:rPr>
        <w:t>, in «Philosophy &amp; Theology</w:t>
      </w:r>
      <w:r w:rsidRPr="00EC085C">
        <w:rPr>
          <w:rFonts w:ascii="Times New Roman" w:eastAsia="Times New Roman" w:hAnsi="Times New Roman" w:cs="Times New Roman"/>
          <w:color w:val="000000"/>
          <w:sz w:val="20"/>
          <w:szCs w:val="20"/>
        </w:rPr>
        <w:t xml:space="preserve">», XVIII/2 (2006), pp. 257-285; </w:t>
      </w:r>
      <w:r w:rsidRPr="00EC085C">
        <w:rPr>
          <w:rFonts w:ascii="Times New Roman" w:hAnsi="Times New Roman" w:cs="Times New Roman"/>
          <w:sz w:val="20"/>
          <w:szCs w:val="20"/>
        </w:rPr>
        <w:t xml:space="preserve">G. Scholem, </w:t>
      </w:r>
      <w:r w:rsidRPr="00EC085C">
        <w:rPr>
          <w:rFonts w:ascii="Times New Roman" w:hAnsi="Times New Roman" w:cs="Times New Roman"/>
          <w:i/>
          <w:sz w:val="20"/>
          <w:szCs w:val="20"/>
        </w:rPr>
        <w:t>Kabbalah,</w:t>
      </w:r>
      <w:r w:rsidRPr="00EC085C">
        <w:rPr>
          <w:rFonts w:ascii="Times New Roman" w:hAnsi="Times New Roman" w:cs="Times New Roman"/>
          <w:sz w:val="20"/>
          <w:szCs w:val="20"/>
        </w:rPr>
        <w:t xml:space="preserve"> cit., pp. 122-128</w:t>
      </w:r>
      <w:r w:rsidRPr="007F3D25">
        <w:rPr>
          <w:rFonts w:ascii="Times New Roman" w:hAnsi="Times New Roman" w:cs="Times New Roman"/>
          <w:sz w:val="20"/>
          <w:szCs w:val="20"/>
        </w:rPr>
        <w:t>.</w:t>
      </w:r>
    </w:p>
  </w:footnote>
  <w:footnote w:id="244">
    <w:p w14:paraId="2478DE67" w14:textId="62697FC8" w:rsidR="00B34CC2" w:rsidRPr="00BC01D6" w:rsidRDefault="00B34CC2" w:rsidP="00F721A9">
      <w:pPr>
        <w:pStyle w:val="Testonotaapidipagina"/>
        <w:jc w:val="both"/>
        <w:rPr>
          <w:rFonts w:ascii="Times New Roman" w:hAnsi="Times New Roman" w:cs="Times New Roman"/>
          <w:sz w:val="20"/>
          <w:szCs w:val="20"/>
        </w:rPr>
      </w:pPr>
      <w:r w:rsidRPr="00172F43">
        <w:rPr>
          <w:rStyle w:val="Rimandonotaapidipagina"/>
          <w:rFonts w:ascii="Times New Roman" w:hAnsi="Times New Roman" w:cs="Times New Roman"/>
          <w:sz w:val="20"/>
          <w:szCs w:val="20"/>
        </w:rPr>
        <w:footnoteRef/>
      </w:r>
      <w:r w:rsidRPr="00172F43">
        <w:rPr>
          <w:rFonts w:ascii="Times New Roman" w:hAnsi="Times New Roman" w:cs="Times New Roman"/>
          <w:sz w:val="20"/>
          <w:szCs w:val="20"/>
        </w:rPr>
        <w:t xml:space="preserve"> Vedi </w:t>
      </w:r>
      <w:r w:rsidRPr="00172F43">
        <w:rPr>
          <w:rFonts w:ascii="Times New Roman" w:hAnsi="Times New Roman" w:cs="Times New Roman"/>
          <w:i/>
          <w:sz w:val="20"/>
          <w:szCs w:val="20"/>
        </w:rPr>
        <w:t>infra</w:t>
      </w:r>
      <w:r>
        <w:rPr>
          <w:rFonts w:ascii="Times New Roman" w:hAnsi="Times New Roman" w:cs="Times New Roman"/>
          <w:sz w:val="20"/>
          <w:szCs w:val="20"/>
        </w:rPr>
        <w:t>, pp. 160</w:t>
      </w:r>
      <w:r w:rsidRPr="00172F43">
        <w:rPr>
          <w:rFonts w:ascii="Times New Roman" w:hAnsi="Times New Roman" w:cs="Times New Roman"/>
          <w:sz w:val="20"/>
          <w:szCs w:val="20"/>
        </w:rPr>
        <w:t>-271.</w:t>
      </w:r>
    </w:p>
  </w:footnote>
  <w:footnote w:id="245">
    <w:p w14:paraId="5583CE3E" w14:textId="53D9E3CF" w:rsidR="00B34CC2" w:rsidRPr="00E31B80" w:rsidRDefault="00B34CC2" w:rsidP="00F721A9">
      <w:pPr>
        <w:pStyle w:val="Testonotaapidipagina"/>
        <w:jc w:val="both"/>
        <w:rPr>
          <w:rFonts w:ascii="Times New Roman" w:hAnsi="Times New Roman" w:cs="Times New Roman"/>
          <w:sz w:val="20"/>
          <w:szCs w:val="20"/>
        </w:rPr>
      </w:pPr>
      <w:r w:rsidRPr="00E31B80">
        <w:rPr>
          <w:rStyle w:val="Rimandonotaapidipagina"/>
          <w:rFonts w:ascii="Times New Roman" w:hAnsi="Times New Roman" w:cs="Times New Roman"/>
          <w:sz w:val="20"/>
          <w:szCs w:val="20"/>
        </w:rPr>
        <w:footnoteRef/>
      </w:r>
      <w:r w:rsidRPr="00E31B80">
        <w:rPr>
          <w:rFonts w:ascii="Times New Roman" w:hAnsi="Times New Roman" w:cs="Times New Roman"/>
          <w:sz w:val="20"/>
          <w:szCs w:val="20"/>
        </w:rPr>
        <w:t xml:space="preserve"> Secondo Moshe Idel, l’identificazione della negatività assoluta con il pensiero puro sarebbe un assunto della mistica ebraica trasmesso anche alla logica hegeliana (cfr. M. Idel, </w:t>
      </w:r>
      <w:r w:rsidRPr="00E31B80">
        <w:rPr>
          <w:rFonts w:ascii="Times New Roman" w:hAnsi="Times New Roman" w:cs="Times New Roman"/>
          <w:i/>
          <w:sz w:val="20"/>
          <w:szCs w:val="20"/>
        </w:rPr>
        <w:t>Il male primordiale della Qabbalah</w:t>
      </w:r>
      <w:r w:rsidRPr="00E31B80">
        <w:rPr>
          <w:rFonts w:ascii="Times New Roman" w:hAnsi="Times New Roman" w:cs="Times New Roman"/>
          <w:sz w:val="20"/>
          <w:szCs w:val="20"/>
        </w:rPr>
        <w:t xml:space="preserve">, cit., pp. 115-119). Come accennato in parte nell’introduzione di questo lavoro, l’idea che Hegel abbia tratto ispirazione da fonti ebraiche resta un’opzione suggestiva e problematica ad un tempo. Anticipando un tema che sarà sviluppato dettagliatamente nel quarto capitolo, posso dire che le conoscenze hegeliane della mistica ebraica erano abbastanza limitate. Il </w:t>
      </w:r>
      <w:r w:rsidRPr="00E31B80">
        <w:rPr>
          <w:rFonts w:ascii="Times New Roman" w:hAnsi="Times New Roman" w:cs="Times New Roman"/>
          <w:i/>
          <w:sz w:val="20"/>
          <w:szCs w:val="20"/>
        </w:rPr>
        <w:t>Lehrbuch der Geschichte der Philosophie</w:t>
      </w:r>
      <w:r w:rsidRPr="00E31B80">
        <w:rPr>
          <w:rFonts w:ascii="Times New Roman" w:hAnsi="Times New Roman" w:cs="Times New Roman"/>
          <w:sz w:val="20"/>
          <w:szCs w:val="20"/>
        </w:rPr>
        <w:t xml:space="preserve"> di Buhle e il </w:t>
      </w:r>
      <w:r w:rsidRPr="00E31B80">
        <w:rPr>
          <w:rFonts w:ascii="Times New Roman" w:hAnsi="Times New Roman" w:cs="Times New Roman"/>
          <w:i/>
          <w:sz w:val="20"/>
          <w:szCs w:val="20"/>
        </w:rPr>
        <w:t>Geist der spekulativen Philosophie</w:t>
      </w:r>
      <w:r w:rsidRPr="00E31B80">
        <w:rPr>
          <w:rFonts w:ascii="Times New Roman" w:hAnsi="Times New Roman" w:cs="Times New Roman"/>
          <w:sz w:val="20"/>
          <w:szCs w:val="20"/>
        </w:rPr>
        <w:t xml:space="preserve"> di Tiedemann sono le fonti maggiormente utilizzate da Hegel nelle </w:t>
      </w:r>
      <w:r w:rsidRPr="00E31B80">
        <w:rPr>
          <w:rFonts w:ascii="Times New Roman" w:hAnsi="Times New Roman" w:cs="Times New Roman"/>
          <w:i/>
          <w:sz w:val="20"/>
          <w:szCs w:val="20"/>
        </w:rPr>
        <w:t>Vorlesungen über die Geschichte der Philosophie</w:t>
      </w:r>
      <w:r w:rsidRPr="00E31B80">
        <w:rPr>
          <w:rFonts w:ascii="Times New Roman" w:hAnsi="Times New Roman" w:cs="Times New Roman"/>
          <w:sz w:val="20"/>
          <w:szCs w:val="20"/>
        </w:rPr>
        <w:t xml:space="preserve"> per descrivere i tratti speculativamente salienti della Qabbalah. L’immagine che ci viene restituita della tradizione mistica ebraica è quella di un sistema emanatistico, posto a metà strada fra Filone d’Alessandria e la filosofia neoplatonica, che non perviene a nessuna posizione teoretica degna di nota (cfr. pp. 245-263).  Pertanto, ritengo che il collegamento fra negatività assoluta e pensiero puro vada ricercata nella ricezione hegeliana dell’opera di Böhme a Jena. Sarà la </w:t>
      </w:r>
      <w:r w:rsidRPr="00E31B80">
        <w:rPr>
          <w:rFonts w:ascii="Times New Roman" w:hAnsi="Times New Roman" w:cs="Times New Roman"/>
          <w:i/>
          <w:sz w:val="20"/>
          <w:szCs w:val="20"/>
        </w:rPr>
        <w:t>Phänomenologie des Geistes</w:t>
      </w:r>
      <w:r w:rsidRPr="00E31B80">
        <w:rPr>
          <w:rFonts w:ascii="Times New Roman" w:hAnsi="Times New Roman" w:cs="Times New Roman"/>
          <w:sz w:val="20"/>
          <w:szCs w:val="20"/>
        </w:rPr>
        <w:t xml:space="preserve"> a restituire un’interpretazione del pensiero böhmiano analoga a quanto Idel considera </w:t>
      </w:r>
      <w:r w:rsidRPr="00E31B80">
        <w:rPr>
          <w:rFonts w:ascii="Times New Roman" w:hAnsi="Times New Roman" w:cs="Times New Roman"/>
          <w:i/>
          <w:sz w:val="20"/>
          <w:szCs w:val="20"/>
        </w:rPr>
        <w:t>cabbalistico</w:t>
      </w:r>
      <w:r w:rsidRPr="00E31B80">
        <w:rPr>
          <w:rFonts w:ascii="Times New Roman" w:hAnsi="Times New Roman" w:cs="Times New Roman"/>
          <w:sz w:val="20"/>
          <w:szCs w:val="20"/>
        </w:rPr>
        <w:t xml:space="preserve"> nell’opera di Hegel. A mio avviso, la mediazione di Böhme, non la conoscenza diretta della mistica ebraica, permette di parlare di un fondo cabbalistico nell’impianto logico-metafisico hegeliano.</w:t>
      </w:r>
    </w:p>
    <w:p w14:paraId="1499BAF7" w14:textId="64EC3A41" w:rsidR="00B34CC2" w:rsidRPr="00E31B80" w:rsidRDefault="00B34CC2" w:rsidP="00F721A9">
      <w:pPr>
        <w:pStyle w:val="Testonotaapidipagina"/>
        <w:jc w:val="both"/>
        <w:rPr>
          <w:rFonts w:ascii="Times New Roman" w:hAnsi="Times New Roman" w:cs="Times New Roman"/>
          <w:sz w:val="20"/>
          <w:szCs w:val="20"/>
        </w:rPr>
      </w:pPr>
    </w:p>
  </w:footnote>
  <w:footnote w:id="246">
    <w:p w14:paraId="45C805EB" w14:textId="0DABA92D" w:rsidR="00B34CC2" w:rsidRPr="007D20E5" w:rsidRDefault="00B34CC2" w:rsidP="00F721A9">
      <w:pPr>
        <w:pStyle w:val="Testonotaapidipagina"/>
        <w:jc w:val="both"/>
        <w:rPr>
          <w:rFonts w:ascii="Times New Roman" w:hAnsi="Times New Roman" w:cs="Times New Roman"/>
          <w:sz w:val="20"/>
          <w:szCs w:val="20"/>
        </w:rPr>
      </w:pPr>
      <w:r w:rsidRPr="00E31B80">
        <w:rPr>
          <w:rStyle w:val="Rimandonotaapidipagina"/>
          <w:rFonts w:ascii="Times New Roman" w:hAnsi="Times New Roman" w:cs="Times New Roman"/>
          <w:sz w:val="20"/>
          <w:szCs w:val="20"/>
        </w:rPr>
        <w:footnoteRef/>
      </w:r>
      <w:r w:rsidRPr="00E31B80">
        <w:rPr>
          <w:rFonts w:ascii="Times New Roman" w:hAnsi="Times New Roman" w:cs="Times New Roman"/>
          <w:sz w:val="20"/>
          <w:szCs w:val="20"/>
        </w:rPr>
        <w:t xml:space="preserve"> Sulla ricezione romantica e schellinghiana dell’opera di Böhme vedi P. Mayer, </w:t>
      </w:r>
      <w:r w:rsidRPr="00E31B80">
        <w:rPr>
          <w:rFonts w:ascii="Times New Roman" w:hAnsi="Times New Roman" w:cs="Times New Roman"/>
          <w:i/>
          <w:sz w:val="20"/>
          <w:szCs w:val="20"/>
        </w:rPr>
        <w:t>Jena Romanticism and</w:t>
      </w:r>
      <w:r w:rsidRPr="00C239A0">
        <w:rPr>
          <w:rFonts w:ascii="Times New Roman" w:hAnsi="Times New Roman" w:cs="Times New Roman"/>
          <w:i/>
          <w:sz w:val="20"/>
          <w:szCs w:val="20"/>
        </w:rPr>
        <w:t xml:space="preserve"> Its Appropriation of Jakob Böhme</w:t>
      </w:r>
      <w:r w:rsidRPr="00C239A0">
        <w:rPr>
          <w:rFonts w:ascii="Times New Roman" w:hAnsi="Times New Roman" w:cs="Times New Roman"/>
          <w:sz w:val="20"/>
          <w:szCs w:val="20"/>
        </w:rPr>
        <w:t xml:space="preserve">, McGill-Queen’s </w:t>
      </w:r>
      <w:r>
        <w:rPr>
          <w:rFonts w:ascii="Times New Roman" w:hAnsi="Times New Roman" w:cs="Times New Roman"/>
          <w:sz w:val="20"/>
          <w:szCs w:val="20"/>
        </w:rPr>
        <w:t>University Press, Montreal 1999 e C. Muratori</w:t>
      </w:r>
      <w:r w:rsidRPr="007D20E5">
        <w:rPr>
          <w:rFonts w:ascii="Times New Roman" w:hAnsi="Times New Roman" w:cs="Times New Roman"/>
          <w:sz w:val="20"/>
          <w:szCs w:val="20"/>
        </w:rPr>
        <w:t xml:space="preserve">, </w:t>
      </w:r>
      <w:r w:rsidRPr="007D20E5">
        <w:rPr>
          <w:rFonts w:ascii="Times New Roman" w:hAnsi="Times New Roman" w:cs="Times New Roman"/>
          <w:i/>
          <w:sz w:val="20"/>
          <w:szCs w:val="20"/>
        </w:rPr>
        <w:t>The First German Philosopher. The Mysticism of Jakob Böhme as interpreted by Hegel</w:t>
      </w:r>
      <w:r>
        <w:rPr>
          <w:rFonts w:ascii="Times New Roman" w:hAnsi="Times New Roman" w:cs="Times New Roman"/>
          <w:sz w:val="20"/>
          <w:szCs w:val="20"/>
        </w:rPr>
        <w:t>, cit., pp. 1-29.</w:t>
      </w:r>
    </w:p>
  </w:footnote>
  <w:footnote w:id="247">
    <w:p w14:paraId="591E20C0" w14:textId="397CA750" w:rsidR="00B34CC2" w:rsidRPr="00CA65C9" w:rsidRDefault="00B34CC2" w:rsidP="00F721A9">
      <w:pPr>
        <w:pStyle w:val="Testonotaapidipagina"/>
        <w:jc w:val="both"/>
        <w:rPr>
          <w:rFonts w:ascii="Times New Roman" w:hAnsi="Times New Roman"/>
          <w:sz w:val="20"/>
          <w:szCs w:val="20"/>
        </w:rPr>
      </w:pPr>
      <w:r w:rsidRPr="00DC776F">
        <w:rPr>
          <w:rStyle w:val="Rimandonotaapidipagina"/>
          <w:rFonts w:ascii="Times New Roman" w:hAnsi="Times New Roman"/>
          <w:sz w:val="20"/>
          <w:szCs w:val="20"/>
        </w:rPr>
        <w:footnoteRef/>
      </w:r>
      <w:r w:rsidRPr="00DC776F">
        <w:rPr>
          <w:rFonts w:ascii="Times New Roman" w:hAnsi="Times New Roman"/>
          <w:sz w:val="20"/>
          <w:szCs w:val="20"/>
        </w:rPr>
        <w:t xml:space="preserve"> </w:t>
      </w:r>
      <w:r>
        <w:rPr>
          <w:rFonts w:ascii="Times New Roman" w:hAnsi="Times New Roman" w:cs="Times New Roman"/>
          <w:sz w:val="20"/>
          <w:szCs w:val="20"/>
        </w:rPr>
        <w:t xml:space="preserve">Cfr. F.W.J. Schelling, </w:t>
      </w:r>
      <w:r>
        <w:rPr>
          <w:rFonts w:ascii="Times New Roman" w:hAnsi="Times New Roman" w:cs="Times New Roman"/>
          <w:i/>
          <w:sz w:val="20"/>
          <w:szCs w:val="20"/>
        </w:rPr>
        <w:t>Philosophie und Religion</w:t>
      </w:r>
      <w:r>
        <w:rPr>
          <w:rFonts w:ascii="Times New Roman" w:hAnsi="Times New Roman" w:cs="Times New Roman"/>
          <w:sz w:val="20"/>
          <w:szCs w:val="20"/>
        </w:rPr>
        <w:t xml:space="preserve">, in </w:t>
      </w:r>
      <w:r w:rsidRPr="00CA65C9">
        <w:rPr>
          <w:rFonts w:ascii="Times New Roman" w:hAnsi="Times New Roman" w:cs="Times New Roman"/>
          <w:i/>
          <w:sz w:val="20"/>
          <w:szCs w:val="20"/>
        </w:rPr>
        <w:t>Schellings Werke</w:t>
      </w:r>
      <w:r>
        <w:rPr>
          <w:rFonts w:ascii="Times New Roman" w:hAnsi="Times New Roman" w:cs="Times New Roman"/>
          <w:sz w:val="20"/>
          <w:szCs w:val="20"/>
        </w:rPr>
        <w:t>, Bd. 4, cit., p. 29.</w:t>
      </w:r>
    </w:p>
  </w:footnote>
  <w:footnote w:id="248">
    <w:p w14:paraId="39FFF845" w14:textId="3181B723" w:rsidR="00B34CC2" w:rsidRPr="00CA65C9" w:rsidRDefault="00B34CC2" w:rsidP="00F721A9">
      <w:pPr>
        <w:pStyle w:val="Testonotaapidipagina"/>
        <w:jc w:val="both"/>
        <w:rPr>
          <w:rFonts w:ascii="Times New Roman" w:hAnsi="Times New Roman"/>
          <w:sz w:val="20"/>
          <w:szCs w:val="20"/>
        </w:rPr>
      </w:pPr>
      <w:r w:rsidRPr="00CA65C9">
        <w:rPr>
          <w:rStyle w:val="Rimandonotaapidipagina"/>
          <w:rFonts w:ascii="Times New Roman" w:hAnsi="Times New Roman"/>
          <w:sz w:val="20"/>
          <w:szCs w:val="20"/>
        </w:rPr>
        <w:footnoteRef/>
      </w:r>
      <w:r w:rsidRPr="00CA65C9">
        <w:rPr>
          <w:rFonts w:ascii="Times New Roman" w:hAnsi="Times New Roman"/>
          <w:sz w:val="20"/>
          <w:szCs w:val="20"/>
        </w:rPr>
        <w:t xml:space="preserve"> </w:t>
      </w:r>
      <w:r w:rsidRPr="00CA65C9">
        <w:rPr>
          <w:rFonts w:ascii="Times New Roman" w:hAnsi="Times New Roman"/>
          <w:i/>
          <w:sz w:val="20"/>
          <w:szCs w:val="20"/>
        </w:rPr>
        <w:t>Ibidem.</w:t>
      </w:r>
    </w:p>
  </w:footnote>
  <w:footnote w:id="249">
    <w:p w14:paraId="19090A37" w14:textId="020BFAF0" w:rsidR="00B34CC2" w:rsidRPr="00597574" w:rsidRDefault="00B34CC2" w:rsidP="00F721A9">
      <w:pPr>
        <w:pStyle w:val="Testonotaapidipagina"/>
        <w:jc w:val="both"/>
        <w:rPr>
          <w:rFonts w:ascii="Times New Roman" w:hAnsi="Times New Roman" w:cs="Times New Roman"/>
          <w:sz w:val="20"/>
          <w:szCs w:val="20"/>
        </w:rPr>
      </w:pPr>
      <w:r w:rsidRPr="0031048C">
        <w:rPr>
          <w:rStyle w:val="Rimandonotaapidipagina"/>
          <w:rFonts w:ascii="Times New Roman" w:hAnsi="Times New Roman" w:cs="Times New Roman"/>
          <w:sz w:val="20"/>
          <w:szCs w:val="20"/>
        </w:rPr>
        <w:footnoteRef/>
      </w:r>
      <w:r w:rsidRPr="0031048C">
        <w:rPr>
          <w:rFonts w:ascii="Times New Roman" w:hAnsi="Times New Roman" w:cs="Times New Roman"/>
          <w:sz w:val="20"/>
          <w:szCs w:val="20"/>
        </w:rPr>
        <w:t xml:space="preserve"> </w:t>
      </w:r>
      <w:r w:rsidRPr="0031048C">
        <w:rPr>
          <w:rFonts w:ascii="Times New Roman" w:hAnsi="Times New Roman"/>
          <w:i/>
          <w:sz w:val="20"/>
          <w:szCs w:val="20"/>
        </w:rPr>
        <w:t>Ivi</w:t>
      </w:r>
      <w:r w:rsidRPr="0031048C">
        <w:rPr>
          <w:rFonts w:ascii="Times New Roman" w:hAnsi="Times New Roman"/>
          <w:sz w:val="20"/>
          <w:szCs w:val="20"/>
        </w:rPr>
        <w:t>, p. 32.</w:t>
      </w:r>
    </w:p>
  </w:footnote>
  <w:footnote w:id="250">
    <w:p w14:paraId="2B938B91" w14:textId="08846FF1" w:rsidR="00B34CC2" w:rsidRPr="00744D3C" w:rsidRDefault="00B34CC2" w:rsidP="00F721A9">
      <w:pPr>
        <w:pStyle w:val="Testonotaapidipagina"/>
        <w:jc w:val="both"/>
        <w:rPr>
          <w:rFonts w:ascii="Times New Roman" w:hAnsi="Times New Roman"/>
          <w:sz w:val="20"/>
          <w:szCs w:val="20"/>
        </w:rPr>
      </w:pPr>
      <w:r w:rsidRPr="00744D3C">
        <w:rPr>
          <w:rStyle w:val="Rimandonotaapidipagina"/>
          <w:rFonts w:ascii="Times New Roman" w:hAnsi="Times New Roman"/>
          <w:sz w:val="20"/>
          <w:szCs w:val="20"/>
        </w:rPr>
        <w:footnoteRef/>
      </w:r>
      <w:r w:rsidRPr="00744D3C">
        <w:rPr>
          <w:rFonts w:ascii="Times New Roman" w:hAnsi="Times New Roman"/>
          <w:sz w:val="20"/>
          <w:szCs w:val="20"/>
        </w:rPr>
        <w:t xml:space="preserve"> </w:t>
      </w:r>
      <w:r>
        <w:rPr>
          <w:rFonts w:ascii="Times New Roman" w:hAnsi="Times New Roman"/>
          <w:i/>
          <w:sz w:val="20"/>
          <w:szCs w:val="20"/>
        </w:rPr>
        <w:t>Ib</w:t>
      </w:r>
      <w:r w:rsidRPr="00744D3C">
        <w:rPr>
          <w:rFonts w:ascii="Times New Roman" w:hAnsi="Times New Roman"/>
          <w:i/>
          <w:sz w:val="20"/>
          <w:szCs w:val="20"/>
        </w:rPr>
        <w:t>i</w:t>
      </w:r>
      <w:r>
        <w:rPr>
          <w:rFonts w:ascii="Times New Roman" w:hAnsi="Times New Roman"/>
          <w:i/>
          <w:sz w:val="20"/>
          <w:szCs w:val="20"/>
        </w:rPr>
        <w:t>dem</w:t>
      </w:r>
      <w:r>
        <w:rPr>
          <w:rFonts w:ascii="Times New Roman" w:hAnsi="Times New Roman"/>
          <w:sz w:val="20"/>
          <w:szCs w:val="20"/>
        </w:rPr>
        <w:t>.</w:t>
      </w:r>
    </w:p>
  </w:footnote>
  <w:footnote w:id="251">
    <w:p w14:paraId="141CEED5" w14:textId="2F40783B" w:rsidR="00B34CC2" w:rsidRPr="00B81148" w:rsidRDefault="00B34CC2" w:rsidP="00F721A9">
      <w:pPr>
        <w:pStyle w:val="Testonotaapidipagina"/>
        <w:jc w:val="both"/>
        <w:rPr>
          <w:rFonts w:ascii="Times New Roman" w:hAnsi="Times New Roman"/>
          <w:sz w:val="20"/>
          <w:szCs w:val="20"/>
        </w:rPr>
      </w:pPr>
      <w:r w:rsidRPr="00D432DE">
        <w:rPr>
          <w:rStyle w:val="Rimandonotaapidipagina"/>
          <w:rFonts w:ascii="Times New Roman" w:hAnsi="Times New Roman"/>
          <w:sz w:val="20"/>
          <w:szCs w:val="20"/>
        </w:rPr>
        <w:footnoteRef/>
      </w:r>
      <w:r w:rsidRPr="00D432DE">
        <w:rPr>
          <w:rFonts w:ascii="Times New Roman" w:hAnsi="Times New Roman"/>
          <w:sz w:val="20"/>
          <w:szCs w:val="20"/>
        </w:rPr>
        <w:t xml:space="preserve"> </w:t>
      </w:r>
      <w:r w:rsidRPr="00D432DE">
        <w:rPr>
          <w:rFonts w:ascii="Times New Roman" w:hAnsi="Times New Roman"/>
          <w:i/>
          <w:sz w:val="20"/>
          <w:szCs w:val="20"/>
        </w:rPr>
        <w:t>Ibidem</w:t>
      </w:r>
      <w:r>
        <w:rPr>
          <w:rFonts w:ascii="Times New Roman" w:hAnsi="Times New Roman"/>
          <w:sz w:val="20"/>
          <w:szCs w:val="20"/>
        </w:rPr>
        <w:t>, pp. 32-33: «Wie aber im Planeten</w:t>
      </w:r>
      <w:r w:rsidRPr="00B81148">
        <w:rPr>
          <w:rFonts w:ascii="Times New Roman" w:hAnsi="Times New Roman"/>
          <w:sz w:val="20"/>
          <w:szCs w:val="20"/>
        </w:rPr>
        <w:t xml:space="preserve"> die höchste Entfernung vom Centro unmittelbar wieder in Annäherung zu ihm übergeht, so ist der Punkt der äußersten Entfernung von Gott, die Ichheit, auch wieder der Moment der Rückkehr zum Absoluten, der Wiedernahme ins Ideale […] Die große Absicht des Universum und seiner Geschichte ist keine andere als die vollendete Versöhnung und Wiederlösung in die Absolutheit</w:t>
      </w:r>
      <w:r w:rsidRPr="00B81148">
        <w:rPr>
          <w:rFonts w:ascii="Times New Roman" w:eastAsia="Times New Roman" w:hAnsi="Times New Roman" w:cs="Times New Roman"/>
          <w:color w:val="000000"/>
          <w:sz w:val="20"/>
          <w:szCs w:val="20"/>
        </w:rPr>
        <w:t>».</w:t>
      </w:r>
    </w:p>
  </w:footnote>
  <w:footnote w:id="252">
    <w:p w14:paraId="417AAC89" w14:textId="450A63D5" w:rsidR="00B34CC2" w:rsidRPr="002C5DF6" w:rsidRDefault="00B34CC2" w:rsidP="00F721A9">
      <w:pPr>
        <w:pStyle w:val="Testonotaapidipagina"/>
        <w:jc w:val="both"/>
        <w:rPr>
          <w:rFonts w:ascii="Times New Roman" w:hAnsi="Times New Roman" w:cs="Times New Roman"/>
          <w:sz w:val="20"/>
          <w:szCs w:val="20"/>
        </w:rPr>
      </w:pPr>
      <w:r w:rsidRPr="002C5DF6">
        <w:rPr>
          <w:rStyle w:val="Rimandonotaapidipagina"/>
          <w:rFonts w:ascii="Times New Roman" w:hAnsi="Times New Roman" w:cs="Times New Roman"/>
          <w:sz w:val="20"/>
          <w:szCs w:val="20"/>
        </w:rPr>
        <w:footnoteRef/>
      </w:r>
      <w:r w:rsidRPr="002C5DF6">
        <w:rPr>
          <w:rFonts w:ascii="Times New Roman" w:hAnsi="Times New Roman" w:cs="Times New Roman"/>
          <w:sz w:val="20"/>
          <w:szCs w:val="20"/>
        </w:rPr>
        <w:t xml:space="preserve"> </w:t>
      </w:r>
      <w:r w:rsidRPr="00D432DE">
        <w:rPr>
          <w:rFonts w:ascii="Times New Roman" w:hAnsi="Times New Roman"/>
          <w:i/>
          <w:sz w:val="20"/>
          <w:szCs w:val="20"/>
        </w:rPr>
        <w:t>Ibidem</w:t>
      </w:r>
      <w:r>
        <w:rPr>
          <w:rFonts w:ascii="Times New Roman" w:hAnsi="Times New Roman"/>
          <w:sz w:val="20"/>
          <w:szCs w:val="20"/>
        </w:rPr>
        <w:t>, p. 47.</w:t>
      </w:r>
    </w:p>
  </w:footnote>
  <w:footnote w:id="253">
    <w:p w14:paraId="54A84390" w14:textId="07C3CA7B" w:rsidR="00B34CC2" w:rsidRDefault="00B34CC2" w:rsidP="00F721A9">
      <w:pPr>
        <w:pStyle w:val="Testonotaapidipagina"/>
        <w:jc w:val="both"/>
      </w:pPr>
      <w:r w:rsidRPr="008C1B5C">
        <w:rPr>
          <w:rStyle w:val="Rimandonotaapidipagina"/>
          <w:rFonts w:ascii="Times New Roman" w:hAnsi="Times New Roman" w:cs="Times New Roman"/>
          <w:sz w:val="20"/>
          <w:szCs w:val="20"/>
        </w:rPr>
        <w:footnoteRef/>
      </w:r>
      <w:r w:rsidRPr="008C1B5C">
        <w:rPr>
          <w:rFonts w:ascii="Times New Roman" w:hAnsi="Times New Roman" w:cs="Times New Roman"/>
          <w:sz w:val="20"/>
          <w:szCs w:val="20"/>
        </w:rPr>
        <w:t xml:space="preserve"> </w:t>
      </w:r>
      <w:r>
        <w:rPr>
          <w:rFonts w:ascii="Times New Roman" w:hAnsi="Times New Roman" w:cs="Times New Roman"/>
          <w:i/>
          <w:sz w:val="20"/>
          <w:szCs w:val="20"/>
        </w:rPr>
        <w:t>Ivi</w:t>
      </w:r>
      <w:r w:rsidRPr="009E22D0">
        <w:rPr>
          <w:rFonts w:ascii="Times New Roman" w:hAnsi="Times New Roman" w:cs="Times New Roman"/>
          <w:i/>
          <w:sz w:val="20"/>
          <w:szCs w:val="20"/>
        </w:rPr>
        <w:t>,</w:t>
      </w:r>
      <w:r>
        <w:rPr>
          <w:rFonts w:ascii="Times New Roman" w:hAnsi="Times New Roman" w:cs="Times New Roman"/>
          <w:sz w:val="20"/>
          <w:szCs w:val="20"/>
        </w:rPr>
        <w:t xml:space="preserve"> p. 33.</w:t>
      </w:r>
    </w:p>
  </w:footnote>
  <w:footnote w:id="254">
    <w:p w14:paraId="4BCA128E" w14:textId="40487B8A" w:rsidR="00B34CC2" w:rsidRPr="0002574A" w:rsidRDefault="00B34CC2" w:rsidP="00F721A9">
      <w:pPr>
        <w:pStyle w:val="Testonotaapidipagina"/>
        <w:jc w:val="both"/>
        <w:rPr>
          <w:rFonts w:ascii="Times New Roman" w:hAnsi="Times New Roman" w:cs="Times New Roman"/>
          <w:i/>
          <w:sz w:val="20"/>
          <w:szCs w:val="20"/>
        </w:rPr>
      </w:pPr>
      <w:r w:rsidRPr="009E22D0">
        <w:rPr>
          <w:rStyle w:val="Rimandonotaapidipagina"/>
          <w:rFonts w:ascii="Times New Roman" w:hAnsi="Times New Roman" w:cs="Times New Roman"/>
          <w:sz w:val="20"/>
          <w:szCs w:val="20"/>
        </w:rPr>
        <w:footnoteRef/>
      </w:r>
      <w:r w:rsidRPr="009E22D0">
        <w:rPr>
          <w:rFonts w:ascii="Times New Roman" w:hAnsi="Times New Roman" w:cs="Times New Roman"/>
          <w:sz w:val="20"/>
          <w:szCs w:val="20"/>
        </w:rPr>
        <w:t xml:space="preserve"> </w:t>
      </w:r>
      <w:r>
        <w:rPr>
          <w:rFonts w:ascii="Times New Roman" w:hAnsi="Times New Roman" w:cs="Times New Roman"/>
          <w:i/>
          <w:sz w:val="20"/>
          <w:szCs w:val="20"/>
        </w:rPr>
        <w:t>Ibidem</w:t>
      </w:r>
      <w:r>
        <w:rPr>
          <w:rFonts w:ascii="Times New Roman" w:hAnsi="Times New Roman" w:cs="Times New Roman"/>
          <w:sz w:val="20"/>
          <w:szCs w:val="20"/>
        </w:rPr>
        <w:t xml:space="preserve">: </w:t>
      </w:r>
      <w:r w:rsidRPr="00B81148">
        <w:rPr>
          <w:rFonts w:ascii="Times New Roman" w:hAnsi="Times New Roman" w:cs="Times New Roman"/>
          <w:sz w:val="20"/>
          <w:szCs w:val="20"/>
        </w:rPr>
        <w:t>«Das Negative, das Reich des Nichts vom Reiche der Realität und dem einzig Positiven durch eine scheidende Grenze geschieden ist, da jenes erst nach dieser Scheidung wieder hervorstrahlen konnte</w:t>
      </w:r>
      <w:r>
        <w:rPr>
          <w:rFonts w:ascii="Times New Roman" w:hAnsi="Times New Roman" w:cs="Times New Roman"/>
          <w:sz w:val="20"/>
          <w:szCs w:val="20"/>
        </w:rPr>
        <w:t xml:space="preserve">. Wer das gute Princip ohne das </w:t>
      </w:r>
      <w:r w:rsidRPr="00D12624">
        <w:rPr>
          <w:rFonts w:ascii="Times New Roman" w:hAnsi="Times New Roman" w:cs="Times New Roman"/>
          <w:sz w:val="20"/>
          <w:szCs w:val="20"/>
        </w:rPr>
        <w:t>b</w:t>
      </w:r>
      <w:r w:rsidRPr="00D12624">
        <w:rPr>
          <w:rFonts w:ascii="Times New Roman" w:eastAsia="Times New Roman" w:hAnsi="Times New Roman" w:cs="Times New Roman"/>
          <w:color w:val="000000"/>
          <w:sz w:val="20"/>
          <w:szCs w:val="20"/>
        </w:rPr>
        <w:t>öse</w:t>
      </w:r>
      <w:r>
        <w:rPr>
          <w:rFonts w:ascii="Times New Roman" w:hAnsi="Times New Roman" w:cs="Times New Roman"/>
          <w:sz w:val="20"/>
          <w:szCs w:val="20"/>
        </w:rPr>
        <w:t xml:space="preserve"> zu erkennen meynt, befindet sich in dem </w:t>
      </w:r>
      <w:r w:rsidRPr="00D12624">
        <w:rPr>
          <w:rFonts w:ascii="Times New Roman" w:hAnsi="Times New Roman" w:cs="Times New Roman"/>
          <w:sz w:val="20"/>
          <w:szCs w:val="20"/>
        </w:rPr>
        <w:t>gr</w:t>
      </w:r>
      <w:r w:rsidRPr="00D12624">
        <w:rPr>
          <w:rFonts w:ascii="Times New Roman" w:eastAsia="Times New Roman" w:hAnsi="Times New Roman" w:cs="Times New Roman"/>
          <w:color w:val="000000"/>
          <w:sz w:val="20"/>
          <w:szCs w:val="20"/>
        </w:rPr>
        <w:t>ö</w:t>
      </w:r>
      <w:r>
        <w:rPr>
          <w:rFonts w:ascii="Times New Roman" w:eastAsia="Times New Roman" w:hAnsi="Times New Roman" w:cs="Times New Roman"/>
          <w:color w:val="000000"/>
          <w:sz w:val="20"/>
          <w:szCs w:val="20"/>
        </w:rPr>
        <w:t>ssten aller Irrthümer: denn, wie in dem Gedichte des Dante, geht auch in der Philosophie nur durch den Abgrund der Weg zum Himmel</w:t>
      </w:r>
      <w:r w:rsidRPr="00B81148">
        <w:rPr>
          <w:rFonts w:ascii="Times New Roman" w:eastAsia="Times New Roman" w:hAnsi="Times New Roman" w:cs="Times New Roman"/>
          <w:color w:val="000000"/>
          <w:sz w:val="20"/>
          <w:szCs w:val="20"/>
        </w:rPr>
        <w:t>».</w:t>
      </w:r>
      <w:r>
        <w:rPr>
          <w:rFonts w:ascii="Times New Roman" w:eastAsia="Times New Roman" w:hAnsi="Times New Roman" w:cs="Times New Roman"/>
          <w:color w:val="000000"/>
          <w:sz w:val="20"/>
          <w:szCs w:val="20"/>
        </w:rPr>
        <w:t xml:space="preserve"> In continuità con questo passo di </w:t>
      </w:r>
      <w:r w:rsidRPr="00B75D58">
        <w:rPr>
          <w:rFonts w:ascii="Times New Roman" w:eastAsia="Times New Roman" w:hAnsi="Times New Roman" w:cs="Times New Roman"/>
          <w:i/>
          <w:color w:val="000000"/>
          <w:sz w:val="20"/>
          <w:szCs w:val="20"/>
        </w:rPr>
        <w:t>Philosophie und Religion</w:t>
      </w:r>
      <w:r>
        <w:rPr>
          <w:rFonts w:ascii="Times New Roman" w:eastAsia="Times New Roman" w:hAnsi="Times New Roman" w:cs="Times New Roman"/>
          <w:color w:val="000000"/>
          <w:sz w:val="20"/>
          <w:szCs w:val="20"/>
        </w:rPr>
        <w:t xml:space="preserve">, Schelling dirà nelle </w:t>
      </w:r>
      <w:r w:rsidRPr="001D0E41">
        <w:rPr>
          <w:rFonts w:ascii="Times New Roman" w:eastAsia="Times New Roman" w:hAnsi="Times New Roman" w:cs="Times New Roman"/>
          <w:i/>
          <w:color w:val="000000"/>
          <w:sz w:val="20"/>
          <w:szCs w:val="20"/>
        </w:rPr>
        <w:t xml:space="preserve">Stuttgarter </w:t>
      </w:r>
      <w:r w:rsidRPr="00D85A6B">
        <w:rPr>
          <w:rFonts w:ascii="Times New Roman" w:eastAsia="Times New Roman" w:hAnsi="Times New Roman" w:cs="Times New Roman"/>
          <w:i/>
          <w:color w:val="000000"/>
          <w:sz w:val="20"/>
          <w:szCs w:val="20"/>
        </w:rPr>
        <w:t xml:space="preserve">Privatvorlesungen </w:t>
      </w:r>
      <w:r w:rsidRPr="00D85A6B">
        <w:rPr>
          <w:rFonts w:ascii="Times New Roman" w:eastAsia="Times New Roman" w:hAnsi="Times New Roman" w:cs="Times New Roman"/>
          <w:color w:val="000000"/>
          <w:sz w:val="20"/>
          <w:szCs w:val="20"/>
        </w:rPr>
        <w:t>«In uns sind zwei Principien in sich, ein bewußtloses, dunkles, und ein bewußtes. Der Prozeß unserer Selbstbildung, wir mögen nun suchen uns in Ansehung der Erkenntniß und der Wissenschaft, oder sittlich, oder auch ganz unbeschränkt durch das Leben zu bilden, so besteht dieser Prozeß immer darin, das in uns bewußtlos Vorhandene zum Bewußtseyn zu erheben, das angeborene Dunkel in uns in das Licht zu erheben, mit einem Wort zur Klarheit zu gelangen. Dasselbe in Gott. Das Dunkel geht vor</w:t>
      </w:r>
      <w:r>
        <w:rPr>
          <w:rFonts w:ascii="Times New Roman" w:eastAsia="Times New Roman" w:hAnsi="Times New Roman" w:cs="Times New Roman"/>
          <w:color w:val="000000"/>
          <w:sz w:val="20"/>
          <w:szCs w:val="20"/>
        </w:rPr>
        <w:t xml:space="preserve"> i</w:t>
      </w:r>
      <w:r w:rsidRPr="00D85A6B">
        <w:rPr>
          <w:rFonts w:ascii="Times New Roman" w:eastAsia="Times New Roman" w:hAnsi="Times New Roman" w:cs="Times New Roman"/>
          <w:color w:val="000000"/>
          <w:sz w:val="20"/>
          <w:szCs w:val="20"/>
        </w:rPr>
        <w:t>hm her, die Klarheit bricht erst aus der Nacht seines Wesens hervor» (</w:t>
      </w:r>
      <w:r w:rsidRPr="00D85A6B">
        <w:rPr>
          <w:rFonts w:ascii="Times New Roman" w:hAnsi="Times New Roman" w:cs="Times New Roman"/>
          <w:sz w:val="20"/>
          <w:szCs w:val="20"/>
        </w:rPr>
        <w:t xml:space="preserve">F.W.J. Schelling, </w:t>
      </w:r>
      <w:r w:rsidRPr="00D85A6B">
        <w:rPr>
          <w:rFonts w:ascii="Times New Roman" w:eastAsia="Times New Roman" w:hAnsi="Times New Roman" w:cs="Times New Roman"/>
          <w:i/>
          <w:color w:val="000000"/>
          <w:sz w:val="20"/>
          <w:szCs w:val="20"/>
        </w:rPr>
        <w:t>Stuttgarter Privatvorlesungen</w:t>
      </w:r>
      <w:r w:rsidRPr="00D85A6B">
        <w:rPr>
          <w:rFonts w:ascii="Times New Roman" w:eastAsia="Times New Roman" w:hAnsi="Times New Roman" w:cs="Times New Roman"/>
          <w:color w:val="000000"/>
          <w:sz w:val="20"/>
          <w:szCs w:val="20"/>
        </w:rPr>
        <w:t>,</w:t>
      </w:r>
      <w:r w:rsidRPr="00D85A6B">
        <w:rPr>
          <w:rFonts w:ascii="Times New Roman" w:hAnsi="Times New Roman" w:cs="Times New Roman"/>
          <w:sz w:val="20"/>
          <w:szCs w:val="20"/>
        </w:rPr>
        <w:t xml:space="preserve"> </w:t>
      </w:r>
      <w:r>
        <w:rPr>
          <w:rFonts w:ascii="Times New Roman" w:hAnsi="Times New Roman" w:cs="Times New Roman"/>
          <w:sz w:val="20"/>
          <w:szCs w:val="20"/>
        </w:rPr>
        <w:t xml:space="preserve">in </w:t>
      </w:r>
      <w:r w:rsidRPr="002E14A9">
        <w:rPr>
          <w:rFonts w:ascii="Times New Roman" w:hAnsi="Times New Roman" w:cs="Times New Roman"/>
          <w:i/>
          <w:sz w:val="20"/>
          <w:szCs w:val="20"/>
        </w:rPr>
        <w:t>Schellings Werke</w:t>
      </w:r>
      <w:r>
        <w:rPr>
          <w:rFonts w:ascii="Times New Roman" w:hAnsi="Times New Roman" w:cs="Times New Roman"/>
          <w:sz w:val="20"/>
          <w:szCs w:val="20"/>
        </w:rPr>
        <w:t xml:space="preserve">, </w:t>
      </w:r>
      <w:r w:rsidRPr="002E14A9">
        <w:rPr>
          <w:rFonts w:ascii="Times New Roman" w:eastAsia="Times New Roman" w:hAnsi="Times New Roman" w:cs="Times New Roman"/>
          <w:color w:val="000000"/>
          <w:sz w:val="20"/>
          <w:szCs w:val="20"/>
        </w:rPr>
        <w:t>cit</w:t>
      </w:r>
      <w:r w:rsidRPr="00D85A6B">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 xml:space="preserve">Bd. IV, </w:t>
      </w:r>
      <w:r w:rsidRPr="00D85A6B">
        <w:rPr>
          <w:rFonts w:ascii="Times New Roman" w:eastAsia="Times New Roman" w:hAnsi="Times New Roman" w:cs="Times New Roman"/>
          <w:color w:val="000000"/>
          <w:sz w:val="20"/>
          <w:szCs w:val="20"/>
        </w:rPr>
        <w:t xml:space="preserve">p. 325). </w:t>
      </w:r>
      <w:r>
        <w:rPr>
          <w:rFonts w:ascii="Times New Roman" w:eastAsia="Times New Roman" w:hAnsi="Times New Roman" w:cs="Times New Roman"/>
          <w:color w:val="000000"/>
          <w:sz w:val="20"/>
          <w:szCs w:val="20"/>
        </w:rPr>
        <w:t>Ciò costituisce il personalizzarsi di Dio:</w:t>
      </w:r>
      <w:r w:rsidRPr="0002574A">
        <w:rPr>
          <w:rFonts w:ascii="Times New Roman" w:eastAsia="Times New Roman" w:hAnsi="Times New Roman" w:cs="Times New Roman"/>
          <w:color w:val="000000"/>
          <w:sz w:val="20"/>
          <w:szCs w:val="20"/>
        </w:rPr>
        <w:t xml:space="preserve"> «Wir können nun zum voraus sagen, daß eigentlich der ganze Prozeß der Weltschöpfung, der noch immerfort der Lebensprozeß in der Natur und in der Geschichte – daß dieser nichts anderes als der Prozeß der vollendeten Bewußtwerdung, der vollendeten Porsonalisierung Gottes ist» (Ibidem). </w:t>
      </w:r>
    </w:p>
  </w:footnote>
  <w:footnote w:id="255">
    <w:p w14:paraId="0666C5E7" w14:textId="06638B6A" w:rsidR="00B34CC2" w:rsidRPr="00901CCC" w:rsidRDefault="00B34CC2" w:rsidP="00F721A9">
      <w:pPr>
        <w:pStyle w:val="Testonotaapidipagina"/>
        <w:jc w:val="both"/>
        <w:rPr>
          <w:rFonts w:ascii="Times New Roman" w:hAnsi="Times New Roman" w:cs="Times New Roman"/>
          <w:sz w:val="20"/>
          <w:szCs w:val="20"/>
        </w:rPr>
      </w:pPr>
      <w:r w:rsidRPr="0002574A">
        <w:rPr>
          <w:rStyle w:val="Rimandonotaapidipagina"/>
          <w:rFonts w:ascii="Times New Roman" w:hAnsi="Times New Roman" w:cs="Times New Roman"/>
          <w:sz w:val="20"/>
          <w:szCs w:val="20"/>
        </w:rPr>
        <w:footnoteRef/>
      </w:r>
      <w:r w:rsidRPr="0002574A">
        <w:rPr>
          <w:rFonts w:ascii="Times New Roman" w:hAnsi="Times New Roman" w:cs="Times New Roman"/>
          <w:sz w:val="20"/>
          <w:szCs w:val="20"/>
        </w:rPr>
        <w:t xml:space="preserve"> </w:t>
      </w:r>
      <w:r w:rsidRPr="0002574A">
        <w:rPr>
          <w:rFonts w:ascii="Times New Roman" w:hAnsi="Times New Roman" w:cs="Times New Roman"/>
          <w:i/>
          <w:sz w:val="20"/>
          <w:szCs w:val="20"/>
        </w:rPr>
        <w:t>Ibidem</w:t>
      </w:r>
      <w:r w:rsidRPr="0002574A">
        <w:rPr>
          <w:rFonts w:ascii="Times New Roman" w:hAnsi="Times New Roman" w:cs="Times New Roman"/>
          <w:sz w:val="20"/>
          <w:szCs w:val="20"/>
        </w:rPr>
        <w:t>.</w:t>
      </w:r>
    </w:p>
  </w:footnote>
  <w:footnote w:id="256">
    <w:p w14:paraId="429D6255" w14:textId="700CE79D" w:rsidR="00B34CC2" w:rsidRPr="002B1936" w:rsidRDefault="00B34CC2" w:rsidP="00F721A9">
      <w:pPr>
        <w:pStyle w:val="Testonotaapidipagina"/>
        <w:jc w:val="both"/>
        <w:rPr>
          <w:rFonts w:ascii="Times New Roman" w:hAnsi="Times New Roman" w:cs="Times New Roman"/>
          <w:sz w:val="20"/>
          <w:szCs w:val="20"/>
        </w:rPr>
      </w:pPr>
      <w:r w:rsidRPr="008C1B5C">
        <w:rPr>
          <w:rStyle w:val="Rimandonotaapidipagina"/>
          <w:rFonts w:ascii="Times New Roman" w:hAnsi="Times New Roman" w:cs="Times New Roman"/>
          <w:sz w:val="20"/>
          <w:szCs w:val="20"/>
        </w:rPr>
        <w:footnoteRef/>
      </w:r>
      <w:r w:rsidRPr="008C1B5C">
        <w:rPr>
          <w:rFonts w:ascii="Times New Roman" w:hAnsi="Times New Roman" w:cs="Times New Roman"/>
          <w:sz w:val="20"/>
          <w:szCs w:val="20"/>
        </w:rPr>
        <w:t xml:space="preserve"> Cfr. </w:t>
      </w:r>
      <w:r w:rsidRPr="00A532D3">
        <w:rPr>
          <w:rFonts w:ascii="Times New Roman" w:hAnsi="Times New Roman" w:cs="Times New Roman"/>
          <w:i/>
          <w:sz w:val="20"/>
          <w:szCs w:val="20"/>
        </w:rPr>
        <w:t>supra</w:t>
      </w:r>
      <w:r w:rsidRPr="008C1B5C">
        <w:rPr>
          <w:rFonts w:ascii="Times New Roman" w:hAnsi="Times New Roman" w:cs="Times New Roman"/>
          <w:sz w:val="20"/>
          <w:szCs w:val="20"/>
        </w:rPr>
        <w:t>, pp</w:t>
      </w:r>
      <w:r>
        <w:rPr>
          <w:rFonts w:ascii="Times New Roman" w:hAnsi="Times New Roman" w:cs="Times New Roman"/>
          <w:sz w:val="20"/>
          <w:szCs w:val="20"/>
        </w:rPr>
        <w:t>. 66-68</w:t>
      </w:r>
      <w:r w:rsidRPr="008C1B5C">
        <w:rPr>
          <w:rFonts w:ascii="Times New Roman" w:hAnsi="Times New Roman" w:cs="Times New Roman"/>
          <w:sz w:val="20"/>
          <w:szCs w:val="20"/>
        </w:rPr>
        <w:t>.</w:t>
      </w:r>
    </w:p>
  </w:footnote>
  <w:footnote w:id="257">
    <w:p w14:paraId="0FC1AF46" w14:textId="1CD7B0F0" w:rsidR="00B34CC2" w:rsidRPr="001B643F" w:rsidRDefault="00B34CC2" w:rsidP="00F721A9">
      <w:pPr>
        <w:pStyle w:val="Testonotaapidipagina"/>
        <w:jc w:val="both"/>
        <w:rPr>
          <w:rFonts w:ascii="Times New Roman" w:hAnsi="Times New Roman" w:cs="Times New Roman"/>
          <w:sz w:val="20"/>
          <w:szCs w:val="20"/>
        </w:rPr>
      </w:pPr>
      <w:r w:rsidRPr="002B1936">
        <w:rPr>
          <w:rStyle w:val="Rimandonotaapidipagina"/>
          <w:rFonts w:ascii="Times New Roman" w:hAnsi="Times New Roman" w:cs="Times New Roman"/>
          <w:sz w:val="20"/>
          <w:szCs w:val="20"/>
        </w:rPr>
        <w:footnoteRef/>
      </w:r>
      <w:r w:rsidRPr="002B1936">
        <w:rPr>
          <w:rFonts w:ascii="Times New Roman" w:hAnsi="Times New Roman" w:cs="Times New Roman"/>
          <w:sz w:val="20"/>
          <w:szCs w:val="20"/>
        </w:rPr>
        <w:t xml:space="preserve"> F.W.J. Schelling, </w:t>
      </w:r>
      <w:r w:rsidRPr="002B1936">
        <w:rPr>
          <w:rFonts w:ascii="Times New Roman" w:hAnsi="Times New Roman" w:cs="Times New Roman"/>
          <w:i/>
          <w:sz w:val="20"/>
          <w:szCs w:val="20"/>
        </w:rPr>
        <w:t>Stuttgarter Privatvorlesungen</w:t>
      </w:r>
      <w:r>
        <w:rPr>
          <w:rFonts w:ascii="Times New Roman" w:hAnsi="Times New Roman" w:cs="Times New Roman"/>
          <w:sz w:val="20"/>
          <w:szCs w:val="20"/>
        </w:rPr>
        <w:t xml:space="preserve">, in </w:t>
      </w:r>
      <w:r w:rsidRPr="002E14A9">
        <w:rPr>
          <w:rFonts w:ascii="Times New Roman" w:hAnsi="Times New Roman" w:cs="Times New Roman"/>
          <w:i/>
          <w:sz w:val="20"/>
          <w:szCs w:val="20"/>
        </w:rPr>
        <w:t>Schellings Werke</w:t>
      </w:r>
      <w:r>
        <w:rPr>
          <w:rFonts w:ascii="Times New Roman" w:hAnsi="Times New Roman" w:cs="Times New Roman"/>
          <w:sz w:val="20"/>
          <w:szCs w:val="20"/>
        </w:rPr>
        <w:t xml:space="preserve">, </w:t>
      </w:r>
      <w:r w:rsidRPr="002E14A9">
        <w:rPr>
          <w:rFonts w:ascii="Times New Roman" w:eastAsia="Times New Roman" w:hAnsi="Times New Roman" w:cs="Times New Roman"/>
          <w:color w:val="000000"/>
          <w:sz w:val="20"/>
          <w:szCs w:val="20"/>
        </w:rPr>
        <w:t>cit</w:t>
      </w:r>
      <w:r w:rsidRPr="00D85A6B">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Bd. IV</w:t>
      </w:r>
      <w:r w:rsidRPr="002B1936">
        <w:rPr>
          <w:rFonts w:ascii="Times New Roman" w:hAnsi="Times New Roman" w:cs="Times New Roman"/>
          <w:sz w:val="20"/>
          <w:szCs w:val="20"/>
        </w:rPr>
        <w:t>, p 313.</w:t>
      </w:r>
      <w:r>
        <w:rPr>
          <w:rFonts w:ascii="Times New Roman" w:hAnsi="Times New Roman" w:cs="Times New Roman"/>
          <w:sz w:val="20"/>
          <w:szCs w:val="20"/>
        </w:rPr>
        <w:t xml:space="preserve"> </w:t>
      </w:r>
    </w:p>
  </w:footnote>
  <w:footnote w:id="258">
    <w:p w14:paraId="311DBA17" w14:textId="3E5702C1" w:rsidR="00B34CC2" w:rsidRPr="00081877" w:rsidRDefault="00B34CC2" w:rsidP="00F721A9">
      <w:pPr>
        <w:pStyle w:val="Testonotaapidipagina"/>
        <w:jc w:val="both"/>
        <w:rPr>
          <w:rFonts w:ascii="Times New Roman" w:hAnsi="Times New Roman" w:cs="Times New Roman"/>
          <w:sz w:val="20"/>
          <w:szCs w:val="20"/>
        </w:rPr>
      </w:pPr>
      <w:r w:rsidRPr="00C66073">
        <w:rPr>
          <w:rStyle w:val="Rimandonotaapidipagina"/>
          <w:rFonts w:ascii="Times New Roman" w:hAnsi="Times New Roman" w:cs="Times New Roman"/>
          <w:sz w:val="20"/>
          <w:szCs w:val="20"/>
        </w:rPr>
        <w:footnoteRef/>
      </w:r>
      <w:r w:rsidRPr="00C66073">
        <w:rPr>
          <w:rFonts w:ascii="Times New Roman" w:hAnsi="Times New Roman" w:cs="Times New Roman"/>
          <w:sz w:val="20"/>
          <w:szCs w:val="20"/>
        </w:rPr>
        <w:t xml:space="preserve"> </w:t>
      </w:r>
      <w:r>
        <w:rPr>
          <w:rFonts w:ascii="Times New Roman" w:hAnsi="Times New Roman" w:cs="Times New Roman"/>
          <w:sz w:val="20"/>
          <w:szCs w:val="20"/>
        </w:rPr>
        <w:t xml:space="preserve">Di questo avviso R. F. Brown, </w:t>
      </w:r>
      <w:r>
        <w:rPr>
          <w:rFonts w:ascii="Times New Roman" w:hAnsi="Times New Roman" w:cs="Times New Roman"/>
          <w:i/>
          <w:sz w:val="20"/>
          <w:szCs w:val="20"/>
        </w:rPr>
        <w:t>The later Philosophy of Schelling: The Influence of Boehme on the Works of 1809-1815</w:t>
      </w:r>
      <w:r>
        <w:rPr>
          <w:rFonts w:ascii="Times New Roman" w:hAnsi="Times New Roman" w:cs="Times New Roman"/>
          <w:sz w:val="20"/>
          <w:szCs w:val="20"/>
        </w:rPr>
        <w:t xml:space="preserve">, Bucknell University Press, Lewisburg 1977 e W. Schulze, </w:t>
      </w:r>
      <w:r>
        <w:rPr>
          <w:rFonts w:ascii="Times New Roman" w:hAnsi="Times New Roman" w:cs="Times New Roman"/>
          <w:i/>
          <w:sz w:val="20"/>
          <w:szCs w:val="20"/>
        </w:rPr>
        <w:t>Zum Verständniss der Stuttgarter Privatvorlesungen Schellings</w:t>
      </w:r>
      <w:r>
        <w:rPr>
          <w:rFonts w:ascii="Times New Roman" w:hAnsi="Times New Roman" w:cs="Times New Roman"/>
          <w:sz w:val="20"/>
          <w:szCs w:val="20"/>
        </w:rPr>
        <w:t>, in «Zeitschrift für philosophische Forschung</w:t>
      </w:r>
      <w:r w:rsidRPr="006C1A1F">
        <w:rPr>
          <w:rFonts w:ascii="Times New Roman" w:eastAsia="Times New Roman" w:hAnsi="Times New Roman" w:cs="Times New Roman"/>
          <w:color w:val="000000"/>
          <w:sz w:val="20"/>
          <w:szCs w:val="20"/>
        </w:rPr>
        <w:t>»</w:t>
      </w:r>
      <w:r>
        <w:rPr>
          <w:rFonts w:ascii="Times New Roman" w:eastAsia="Times New Roman" w:hAnsi="Times New Roman" w:cs="Times New Roman"/>
          <w:color w:val="000000"/>
          <w:sz w:val="20"/>
          <w:szCs w:val="20"/>
        </w:rPr>
        <w:t>, Bd. 11, H. 4 (1957), pp. 575-593.</w:t>
      </w:r>
    </w:p>
  </w:footnote>
  <w:footnote w:id="259">
    <w:p w14:paraId="6B6C0BE5" w14:textId="5CC9B91D" w:rsidR="00B34CC2" w:rsidRPr="006C6973" w:rsidRDefault="00B34CC2" w:rsidP="00F721A9">
      <w:pPr>
        <w:pStyle w:val="Testonotaapidipagina"/>
        <w:jc w:val="both"/>
        <w:rPr>
          <w:rFonts w:ascii="Times New Roman" w:hAnsi="Times New Roman" w:cs="Times New Roman"/>
          <w:sz w:val="20"/>
          <w:szCs w:val="20"/>
        </w:rPr>
      </w:pPr>
      <w:r w:rsidRPr="00E9695B">
        <w:rPr>
          <w:rStyle w:val="Rimandonotaapidipagina"/>
          <w:rFonts w:ascii="Times New Roman" w:hAnsi="Times New Roman" w:cs="Times New Roman"/>
          <w:sz w:val="20"/>
          <w:szCs w:val="20"/>
        </w:rPr>
        <w:footnoteRef/>
      </w:r>
      <w:r w:rsidRPr="00E9695B">
        <w:rPr>
          <w:rFonts w:ascii="Times New Roman" w:hAnsi="Times New Roman" w:cs="Times New Roman"/>
          <w:sz w:val="20"/>
          <w:szCs w:val="20"/>
        </w:rPr>
        <w:t xml:space="preserve"> Riguardo alla testimonianza di Schubert cfr. F.W.J. Schelling, </w:t>
      </w:r>
      <w:r w:rsidRPr="00E9695B">
        <w:rPr>
          <w:rFonts w:ascii="Times New Roman" w:hAnsi="Times New Roman" w:cs="Times New Roman"/>
          <w:i/>
          <w:sz w:val="20"/>
          <w:szCs w:val="20"/>
        </w:rPr>
        <w:t>Briefe und Dokumente III</w:t>
      </w:r>
      <w:r w:rsidRPr="00E9695B">
        <w:rPr>
          <w:rFonts w:ascii="Times New Roman" w:hAnsi="Times New Roman" w:cs="Times New Roman"/>
          <w:sz w:val="20"/>
          <w:szCs w:val="20"/>
        </w:rPr>
        <w:t xml:space="preserve">, hrsg. von H. </w:t>
      </w:r>
      <w:r w:rsidRPr="0050590A">
        <w:rPr>
          <w:rFonts w:ascii="Times New Roman" w:hAnsi="Times New Roman" w:cs="Times New Roman"/>
          <w:sz w:val="20"/>
          <w:szCs w:val="20"/>
        </w:rPr>
        <w:t>Fuhrmans, Bouvier, Bonn 1975, p. 160: «Dieses prophetisch erleuchteten Sehers einer verborgeneren Weisheit [Böhme],</w:t>
      </w:r>
      <w:r w:rsidRPr="00E9695B">
        <w:rPr>
          <w:rFonts w:ascii="Times New Roman" w:hAnsi="Times New Roman" w:cs="Times New Roman"/>
          <w:sz w:val="20"/>
          <w:szCs w:val="20"/>
        </w:rPr>
        <w:t xml:space="preserve"> der mir durch Schelling 1803! womöglich 1802 bekannt und innig werth geworden war</w:t>
      </w:r>
      <w:r w:rsidRPr="00E9695B">
        <w:rPr>
          <w:rFonts w:ascii="Times New Roman" w:eastAsia="Times New Roman" w:hAnsi="Times New Roman" w:cs="Times New Roman"/>
          <w:color w:val="000000"/>
          <w:sz w:val="20"/>
          <w:szCs w:val="20"/>
        </w:rPr>
        <w:t>». Sullo</w:t>
      </w:r>
      <w:r>
        <w:rPr>
          <w:rFonts w:ascii="Times New Roman" w:eastAsia="Times New Roman" w:hAnsi="Times New Roman" w:cs="Times New Roman"/>
          <w:color w:val="000000"/>
          <w:sz w:val="20"/>
          <w:szCs w:val="20"/>
        </w:rPr>
        <w:t xml:space="preserve"> scambio epistolare Schelling-Preziger vedi </w:t>
      </w:r>
      <w:r w:rsidRPr="004B13FC">
        <w:rPr>
          <w:rFonts w:ascii="Times New Roman" w:eastAsia="Times New Roman" w:hAnsi="Times New Roman" w:cs="Times New Roman"/>
          <w:i/>
          <w:color w:val="000000"/>
          <w:sz w:val="20"/>
          <w:szCs w:val="20"/>
        </w:rPr>
        <w:t>Schellings Leben. In Briefen</w:t>
      </w:r>
      <w:r>
        <w:rPr>
          <w:rFonts w:ascii="Times New Roman" w:eastAsia="Times New Roman" w:hAnsi="Times New Roman" w:cs="Times New Roman"/>
          <w:color w:val="000000"/>
          <w:sz w:val="20"/>
          <w:szCs w:val="20"/>
        </w:rPr>
        <w:t xml:space="preserve">, hrsgb. von G. L. Plitt, </w:t>
      </w:r>
      <w:r w:rsidRPr="004B13FC">
        <w:rPr>
          <w:rFonts w:ascii="Times New Roman" w:eastAsia="Times New Roman" w:hAnsi="Times New Roman" w:cs="Times New Roman"/>
          <w:i/>
          <w:color w:val="000000"/>
          <w:sz w:val="20"/>
          <w:szCs w:val="20"/>
        </w:rPr>
        <w:t>Zweiter Band</w:t>
      </w:r>
      <w:r>
        <w:rPr>
          <w:rFonts w:ascii="Times New Roman" w:eastAsia="Times New Roman" w:hAnsi="Times New Roman" w:cs="Times New Roman"/>
          <w:color w:val="000000"/>
          <w:sz w:val="20"/>
          <w:szCs w:val="20"/>
        </w:rPr>
        <w:t xml:space="preserve"> </w:t>
      </w:r>
      <w:r w:rsidRPr="004B13FC">
        <w:rPr>
          <w:rFonts w:ascii="Times New Roman" w:eastAsia="Times New Roman" w:hAnsi="Times New Roman" w:cs="Times New Roman"/>
          <w:i/>
          <w:color w:val="000000"/>
          <w:sz w:val="20"/>
          <w:szCs w:val="20"/>
        </w:rPr>
        <w:t>1803-1820</w:t>
      </w:r>
      <w:r>
        <w:rPr>
          <w:rFonts w:ascii="Times New Roman" w:eastAsia="Times New Roman" w:hAnsi="Times New Roman" w:cs="Times New Roman"/>
          <w:color w:val="000000"/>
          <w:sz w:val="20"/>
          <w:szCs w:val="20"/>
        </w:rPr>
        <w:t xml:space="preserve">, Verlag von S. Hirzel, Leipzig 1870, pp. 178-179: «Dies ist eine für mich sehr angenehme Folge von der gehorsamsten wartung, die ich Ihnen vor sechs Jahren in Murrhart machte. Der damals belehrende Discours ist mir noch in frischem Angedenken. Ich war damals sehr vergnügt, daß ich mir Ihnen in Absicht aif meine Schriftideen, zu welchen mir auch der große Oetinger durch seine mündlichen und schriftlichen Zeugnisse verhalf, decouvriren konnte und durfte, und ein so angenehmes Echo aus Ihrem belehrenden Munde bekam. Es ist mir noch wohl erinnerlich, daß wir damals Vieles von Oetinger und Böhm, den zwei ächt geklärten Zeugen und Herolden der göttlichen </w:t>
      </w:r>
      <w:r w:rsidRPr="00760DDC">
        <w:rPr>
          <w:rFonts w:ascii="Times New Roman" w:eastAsia="Times New Roman" w:hAnsi="Times New Roman" w:cs="Times New Roman"/>
          <w:color w:val="000000"/>
          <w:sz w:val="20"/>
          <w:szCs w:val="20"/>
        </w:rPr>
        <w:t>Wahrheit sprachen».</w:t>
      </w:r>
    </w:p>
  </w:footnote>
  <w:footnote w:id="260">
    <w:p w14:paraId="60E01729" w14:textId="1BD6E8E0" w:rsidR="00B34CC2" w:rsidRPr="00DD23AB" w:rsidRDefault="00B34CC2" w:rsidP="00F721A9">
      <w:pPr>
        <w:pStyle w:val="Testonotaapidipagina"/>
        <w:jc w:val="both"/>
        <w:rPr>
          <w:rFonts w:ascii="Times New Roman" w:hAnsi="Times New Roman"/>
          <w:sz w:val="20"/>
          <w:szCs w:val="20"/>
        </w:rPr>
      </w:pPr>
      <w:r w:rsidRPr="00DD23AB">
        <w:rPr>
          <w:rStyle w:val="Rimandonotaapidipagina"/>
          <w:rFonts w:ascii="Times New Roman" w:hAnsi="Times New Roman"/>
          <w:sz w:val="20"/>
          <w:szCs w:val="20"/>
        </w:rPr>
        <w:footnoteRef/>
      </w:r>
      <w:r w:rsidRPr="00DD23AB">
        <w:rPr>
          <w:rFonts w:ascii="Times New Roman" w:hAnsi="Times New Roman"/>
          <w:sz w:val="20"/>
          <w:szCs w:val="20"/>
        </w:rPr>
        <w:t xml:space="preserve"> </w:t>
      </w:r>
      <w:r w:rsidRPr="008E2897">
        <w:rPr>
          <w:rFonts w:ascii="Times New Roman" w:hAnsi="Times New Roman" w:cs="Times New Roman"/>
          <w:sz w:val="20"/>
          <w:szCs w:val="20"/>
        </w:rPr>
        <w:t>F.W.J. Schelling</w:t>
      </w:r>
      <w:r>
        <w:rPr>
          <w:rFonts w:ascii="Times New Roman" w:hAnsi="Times New Roman" w:cs="Times New Roman"/>
          <w:sz w:val="20"/>
          <w:szCs w:val="20"/>
        </w:rPr>
        <w:t xml:space="preserve">, </w:t>
      </w:r>
      <w:r>
        <w:rPr>
          <w:rFonts w:ascii="Times New Roman" w:hAnsi="Times New Roman" w:cs="Times New Roman"/>
          <w:i/>
          <w:sz w:val="20"/>
          <w:szCs w:val="20"/>
        </w:rPr>
        <w:t>Briefe und Dokumente II</w:t>
      </w:r>
      <w:r>
        <w:rPr>
          <w:rFonts w:ascii="Times New Roman" w:hAnsi="Times New Roman" w:cs="Times New Roman"/>
          <w:sz w:val="20"/>
          <w:szCs w:val="20"/>
        </w:rPr>
        <w:t>, hrsg. von H. Fuhrmans, Bouvier, Bonn 1973, p. 414.</w:t>
      </w:r>
    </w:p>
  </w:footnote>
  <w:footnote w:id="261">
    <w:p w14:paraId="4F1AA70F" w14:textId="610CF9A7" w:rsidR="00B34CC2" w:rsidRPr="008B42D0" w:rsidRDefault="00B34CC2" w:rsidP="00F721A9">
      <w:pPr>
        <w:pStyle w:val="Testonotaapidipagina"/>
        <w:jc w:val="both"/>
        <w:rPr>
          <w:rFonts w:ascii="Times New Roman" w:hAnsi="Times New Roman" w:cs="Times New Roman"/>
          <w:sz w:val="20"/>
          <w:szCs w:val="20"/>
        </w:rPr>
      </w:pPr>
      <w:r w:rsidRPr="008B42D0">
        <w:rPr>
          <w:rStyle w:val="Rimandonotaapidipagina"/>
          <w:rFonts w:ascii="Times New Roman" w:hAnsi="Times New Roman" w:cs="Times New Roman"/>
          <w:sz w:val="20"/>
          <w:szCs w:val="20"/>
        </w:rPr>
        <w:footnoteRef/>
      </w:r>
      <w:r w:rsidRPr="008B42D0">
        <w:rPr>
          <w:rFonts w:ascii="Times New Roman" w:hAnsi="Times New Roman" w:cs="Times New Roman"/>
          <w:sz w:val="20"/>
          <w:szCs w:val="20"/>
        </w:rPr>
        <w:t xml:space="preserve"> </w:t>
      </w:r>
      <w:r w:rsidRPr="008B42D0">
        <w:rPr>
          <w:rFonts w:ascii="Times New Roman" w:eastAsia="Times New Roman" w:hAnsi="Times New Roman" w:cs="Times New Roman"/>
          <w:i/>
          <w:sz w:val="20"/>
          <w:szCs w:val="20"/>
        </w:rPr>
        <w:t>Schellings Leben. In Briefen</w:t>
      </w:r>
      <w:r w:rsidRPr="008B42D0">
        <w:rPr>
          <w:rFonts w:ascii="Times New Roman" w:eastAsia="Times New Roman" w:hAnsi="Times New Roman" w:cs="Times New Roman"/>
          <w:sz w:val="20"/>
          <w:szCs w:val="20"/>
        </w:rPr>
        <w:t>, cit., p. 11.</w:t>
      </w:r>
    </w:p>
  </w:footnote>
  <w:footnote w:id="262">
    <w:p w14:paraId="58EA35C4" w14:textId="2159901A" w:rsidR="00B34CC2" w:rsidRPr="008B42D0" w:rsidRDefault="00B34CC2" w:rsidP="00F721A9">
      <w:pPr>
        <w:pStyle w:val="Testonotaapidipagina"/>
        <w:jc w:val="both"/>
        <w:rPr>
          <w:rFonts w:ascii="Times New Roman" w:hAnsi="Times New Roman" w:cs="Times New Roman"/>
          <w:color w:val="FFFFFF" w:themeColor="background1"/>
          <w:sz w:val="20"/>
          <w:szCs w:val="20"/>
        </w:rPr>
      </w:pPr>
      <w:r w:rsidRPr="008B42D0">
        <w:rPr>
          <w:rStyle w:val="Rimandonotaapidipagina"/>
          <w:rFonts w:ascii="Times New Roman" w:hAnsi="Times New Roman" w:cs="Times New Roman"/>
          <w:sz w:val="20"/>
          <w:szCs w:val="20"/>
        </w:rPr>
        <w:footnoteRef/>
      </w:r>
      <w:r w:rsidRPr="008B42D0">
        <w:rPr>
          <w:rFonts w:ascii="Times New Roman" w:hAnsi="Times New Roman" w:cs="Times New Roman"/>
          <w:sz w:val="20"/>
          <w:szCs w:val="20"/>
        </w:rPr>
        <w:t xml:space="preserve"> Cfr. </w:t>
      </w:r>
      <w:r w:rsidRPr="008B42D0">
        <w:rPr>
          <w:rFonts w:ascii="Times New Roman" w:hAnsi="Times New Roman" w:cs="Times New Roman"/>
          <w:i/>
          <w:sz w:val="20"/>
          <w:szCs w:val="20"/>
        </w:rPr>
        <w:t>supra</w:t>
      </w:r>
      <w:r>
        <w:rPr>
          <w:rFonts w:ascii="Times New Roman" w:hAnsi="Times New Roman" w:cs="Times New Roman"/>
          <w:sz w:val="20"/>
          <w:szCs w:val="20"/>
        </w:rPr>
        <w:t>, p.  81, nota 232</w:t>
      </w:r>
      <w:r w:rsidRPr="008B42D0">
        <w:rPr>
          <w:rFonts w:ascii="Times New Roman" w:hAnsi="Times New Roman" w:cs="Times New Roman"/>
          <w:sz w:val="20"/>
          <w:szCs w:val="20"/>
        </w:rPr>
        <w:t>.</w:t>
      </w:r>
    </w:p>
  </w:footnote>
  <w:footnote w:id="263">
    <w:p w14:paraId="4CBA55BB" w14:textId="523C595E" w:rsidR="00B34CC2" w:rsidRPr="006178D5" w:rsidRDefault="00B34CC2" w:rsidP="00F721A9">
      <w:pPr>
        <w:pStyle w:val="Testonotaapidipagina"/>
        <w:jc w:val="both"/>
        <w:rPr>
          <w:rFonts w:ascii="Times New Roman" w:hAnsi="Times New Roman" w:cs="Times New Roman"/>
          <w:sz w:val="20"/>
          <w:szCs w:val="20"/>
        </w:rPr>
      </w:pPr>
      <w:r w:rsidRPr="006178D5">
        <w:rPr>
          <w:rStyle w:val="Rimandonotaapidipagina"/>
          <w:rFonts w:ascii="Times New Roman" w:hAnsi="Times New Roman" w:cs="Times New Roman"/>
          <w:sz w:val="20"/>
          <w:szCs w:val="20"/>
        </w:rPr>
        <w:footnoteRef/>
      </w:r>
      <w:r>
        <w:rPr>
          <w:rFonts w:ascii="Times New Roman" w:hAnsi="Times New Roman" w:cs="Times New Roman"/>
          <w:sz w:val="20"/>
          <w:szCs w:val="20"/>
        </w:rPr>
        <w:t xml:space="preserve"> </w:t>
      </w:r>
      <w:r w:rsidRPr="00660CC0">
        <w:rPr>
          <w:rFonts w:ascii="Times New Roman" w:hAnsi="Times New Roman" w:cs="Times New Roman"/>
          <w:i/>
          <w:sz w:val="20"/>
          <w:szCs w:val="20"/>
        </w:rPr>
        <w:t>JSE II</w:t>
      </w:r>
      <w:r>
        <w:rPr>
          <w:rFonts w:ascii="Times New Roman" w:hAnsi="Times New Roman" w:cs="Times New Roman"/>
          <w:sz w:val="20"/>
          <w:szCs w:val="20"/>
        </w:rPr>
        <w:t>, p. 162.</w:t>
      </w:r>
    </w:p>
  </w:footnote>
  <w:footnote w:id="264">
    <w:p w14:paraId="03E816E0" w14:textId="201201CC" w:rsidR="00B34CC2" w:rsidRPr="00162FDA" w:rsidRDefault="00B34CC2" w:rsidP="00F721A9">
      <w:pPr>
        <w:pStyle w:val="Testonotaapidipagina"/>
        <w:jc w:val="both"/>
        <w:rPr>
          <w:rFonts w:ascii="Times New Roman" w:hAnsi="Times New Roman" w:cs="Times New Roman"/>
          <w:sz w:val="20"/>
          <w:szCs w:val="20"/>
        </w:rPr>
      </w:pPr>
      <w:r w:rsidRPr="00162FDA">
        <w:rPr>
          <w:rStyle w:val="Rimandonotaapidipagina"/>
          <w:rFonts w:ascii="Times New Roman" w:hAnsi="Times New Roman" w:cs="Times New Roman"/>
          <w:sz w:val="20"/>
          <w:szCs w:val="20"/>
        </w:rPr>
        <w:footnoteRef/>
      </w:r>
      <w:r w:rsidRPr="00162FDA">
        <w:rPr>
          <w:rFonts w:ascii="Times New Roman" w:hAnsi="Times New Roman" w:cs="Times New Roman"/>
          <w:sz w:val="20"/>
          <w:szCs w:val="20"/>
        </w:rPr>
        <w:t xml:space="preserve"> </w:t>
      </w:r>
      <w:r w:rsidRPr="00162FDA">
        <w:rPr>
          <w:rFonts w:ascii="Times New Roman" w:hAnsi="Times New Roman" w:cs="Times New Roman"/>
          <w:i/>
          <w:sz w:val="20"/>
          <w:szCs w:val="20"/>
        </w:rPr>
        <w:t>I</w:t>
      </w:r>
      <w:r>
        <w:rPr>
          <w:rFonts w:ascii="Times New Roman" w:hAnsi="Times New Roman" w:cs="Times New Roman"/>
          <w:i/>
          <w:sz w:val="20"/>
          <w:szCs w:val="20"/>
        </w:rPr>
        <w:t>vi</w:t>
      </w:r>
      <w:r w:rsidRPr="00162FDA">
        <w:rPr>
          <w:rFonts w:ascii="Times New Roman" w:hAnsi="Times New Roman" w:cs="Times New Roman"/>
          <w:sz w:val="20"/>
          <w:szCs w:val="20"/>
        </w:rPr>
        <w:t>, p. 163.</w:t>
      </w:r>
    </w:p>
  </w:footnote>
  <w:footnote w:id="265">
    <w:p w14:paraId="45DFE22E" w14:textId="74471712" w:rsidR="00B34CC2" w:rsidRPr="00B81148" w:rsidRDefault="00B34CC2" w:rsidP="00F721A9">
      <w:pPr>
        <w:pStyle w:val="Testonotaapidipagina"/>
        <w:jc w:val="both"/>
        <w:rPr>
          <w:rFonts w:ascii="Times New Roman" w:hAnsi="Times New Roman"/>
          <w:sz w:val="20"/>
          <w:szCs w:val="20"/>
        </w:rPr>
      </w:pPr>
      <w:r w:rsidRPr="00162FDA">
        <w:rPr>
          <w:rStyle w:val="Rimandonotaapidipagina"/>
          <w:rFonts w:ascii="Times New Roman" w:hAnsi="Times New Roman" w:cs="Times New Roman"/>
          <w:sz w:val="20"/>
          <w:szCs w:val="20"/>
        </w:rPr>
        <w:footnoteRef/>
      </w:r>
      <w:r>
        <w:t xml:space="preserve"> </w:t>
      </w:r>
      <w:r>
        <w:rPr>
          <w:rFonts w:ascii="Times New Roman" w:hAnsi="Times New Roman" w:cs="Times New Roman"/>
          <w:i/>
          <w:sz w:val="20"/>
          <w:szCs w:val="20"/>
        </w:rPr>
        <w:t xml:space="preserve">Ivi, </w:t>
      </w:r>
      <w:r w:rsidRPr="00162FDA">
        <w:rPr>
          <w:rFonts w:ascii="Times New Roman" w:hAnsi="Times New Roman" w:cs="Times New Roman"/>
          <w:sz w:val="20"/>
          <w:szCs w:val="20"/>
        </w:rPr>
        <w:t>p. 1</w:t>
      </w:r>
      <w:r>
        <w:rPr>
          <w:rFonts w:ascii="Times New Roman" w:hAnsi="Times New Roman" w:cs="Times New Roman"/>
          <w:sz w:val="20"/>
          <w:szCs w:val="20"/>
        </w:rPr>
        <w:t xml:space="preserve">65: </w:t>
      </w:r>
      <w:r w:rsidRPr="00B81148">
        <w:rPr>
          <w:rFonts w:ascii="Times New Roman" w:hAnsi="Times New Roman" w:cs="Times New Roman"/>
          <w:sz w:val="20"/>
          <w:szCs w:val="20"/>
        </w:rPr>
        <w:t>«Dieses, daß Ich nur ist, als ein sich findendes, nicht getrennt, etwa vorher, als es sich gefunden hat</w:t>
      </w:r>
      <w:r w:rsidRPr="00B81148">
        <w:rPr>
          <w:rFonts w:ascii="Times New Roman" w:eastAsia="Times New Roman" w:hAnsi="Times New Roman" w:cs="Times New Roman"/>
          <w:color w:val="000000"/>
          <w:sz w:val="20"/>
          <w:szCs w:val="20"/>
        </w:rPr>
        <w:t>, sondern daß es sich dies Finden seiner selbst ist, dies ist seine absolute Unendlichkeit; und der Gegensatz des praktischen Ichs ist allein der, daß es sich dies ist, das sich noch nicht gefunden hätte; die in das Ich versenkte Bestimmtheit ist nichts anders als das Unendliche selbst als ein sich Selbstgleiches nur sich  sich selbst Beziehendes gesetzt».</w:t>
      </w:r>
    </w:p>
  </w:footnote>
  <w:footnote w:id="266">
    <w:p w14:paraId="07BA98C0" w14:textId="5E3CE231" w:rsidR="00B34CC2" w:rsidRPr="003B5AEC" w:rsidRDefault="00B34CC2" w:rsidP="00F721A9">
      <w:pPr>
        <w:pStyle w:val="Testonotaapidipagina"/>
        <w:jc w:val="both"/>
        <w:rPr>
          <w:rFonts w:ascii="Times New Roman" w:hAnsi="Times New Roman" w:cs="Times New Roman"/>
          <w:sz w:val="20"/>
          <w:szCs w:val="20"/>
        </w:rPr>
      </w:pPr>
      <w:r w:rsidRPr="003B5AEC">
        <w:rPr>
          <w:rStyle w:val="Rimandonotaapidipagina"/>
          <w:rFonts w:ascii="Times New Roman" w:hAnsi="Times New Roman" w:cs="Times New Roman"/>
          <w:sz w:val="20"/>
          <w:szCs w:val="20"/>
        </w:rPr>
        <w:footnoteRef/>
      </w:r>
      <w:r w:rsidRPr="003B5AEC">
        <w:rPr>
          <w:rFonts w:ascii="Times New Roman" w:hAnsi="Times New Roman" w:cs="Times New Roman"/>
          <w:sz w:val="20"/>
          <w:szCs w:val="20"/>
        </w:rPr>
        <w:t xml:space="preserve"> </w:t>
      </w:r>
      <w:r w:rsidRPr="003B5AEC">
        <w:rPr>
          <w:rFonts w:ascii="Times New Roman" w:hAnsi="Times New Roman" w:cs="Times New Roman"/>
          <w:i/>
          <w:sz w:val="20"/>
          <w:szCs w:val="20"/>
        </w:rPr>
        <w:t>Ivi</w:t>
      </w:r>
      <w:r w:rsidRPr="003B5AEC">
        <w:rPr>
          <w:rFonts w:ascii="Times New Roman" w:hAnsi="Times New Roman" w:cs="Times New Roman"/>
          <w:sz w:val="20"/>
          <w:szCs w:val="20"/>
        </w:rPr>
        <w:t>, p. 177.</w:t>
      </w:r>
    </w:p>
  </w:footnote>
  <w:footnote w:id="267">
    <w:p w14:paraId="1247BA30" w14:textId="5AD5D5E8" w:rsidR="00B34CC2" w:rsidRPr="00F77043" w:rsidRDefault="00B34CC2" w:rsidP="00F721A9">
      <w:pPr>
        <w:pStyle w:val="Testonotaapidipagina"/>
        <w:jc w:val="both"/>
        <w:rPr>
          <w:rFonts w:ascii="Times New Roman" w:hAnsi="Times New Roman" w:cs="Times New Roman"/>
          <w:sz w:val="20"/>
          <w:szCs w:val="20"/>
        </w:rPr>
      </w:pPr>
      <w:r w:rsidRPr="00F77043">
        <w:rPr>
          <w:rStyle w:val="Rimandonotaapidipagina"/>
          <w:rFonts w:ascii="Times New Roman" w:hAnsi="Times New Roman" w:cs="Times New Roman"/>
          <w:sz w:val="20"/>
          <w:szCs w:val="20"/>
        </w:rPr>
        <w:footnoteRef/>
      </w:r>
      <w:r w:rsidRPr="00F77043">
        <w:rPr>
          <w:rFonts w:ascii="Times New Roman" w:hAnsi="Times New Roman" w:cs="Times New Roman"/>
          <w:sz w:val="20"/>
          <w:szCs w:val="20"/>
        </w:rPr>
        <w:t xml:space="preserve"> </w:t>
      </w:r>
      <w:r w:rsidRPr="00162FDA">
        <w:rPr>
          <w:rFonts w:ascii="Times New Roman" w:hAnsi="Times New Roman" w:cs="Times New Roman"/>
          <w:i/>
          <w:sz w:val="20"/>
          <w:szCs w:val="20"/>
        </w:rPr>
        <w:t>I</w:t>
      </w:r>
      <w:r>
        <w:rPr>
          <w:rFonts w:ascii="Times New Roman" w:hAnsi="Times New Roman" w:cs="Times New Roman"/>
          <w:i/>
          <w:sz w:val="20"/>
          <w:szCs w:val="20"/>
        </w:rPr>
        <w:t>vi</w:t>
      </w:r>
      <w:r>
        <w:rPr>
          <w:rFonts w:ascii="Times New Roman" w:hAnsi="Times New Roman" w:cs="Times New Roman"/>
          <w:sz w:val="20"/>
          <w:szCs w:val="20"/>
        </w:rPr>
        <w:t>, p. 173.</w:t>
      </w:r>
    </w:p>
  </w:footnote>
  <w:footnote w:id="268">
    <w:p w14:paraId="6DF7CBBA" w14:textId="7EB84E48" w:rsidR="00B34CC2" w:rsidRPr="00000ED8" w:rsidRDefault="00B34CC2" w:rsidP="00F721A9">
      <w:pPr>
        <w:pStyle w:val="Testonotaapidipagina"/>
        <w:jc w:val="both"/>
        <w:rPr>
          <w:rFonts w:ascii="Times New Roman" w:hAnsi="Times New Roman" w:cs="Times New Roman"/>
          <w:sz w:val="20"/>
          <w:szCs w:val="20"/>
        </w:rPr>
      </w:pPr>
      <w:r w:rsidRPr="00000ED8">
        <w:rPr>
          <w:rStyle w:val="Rimandonotaapidipagina"/>
          <w:rFonts w:ascii="Times New Roman" w:hAnsi="Times New Roman" w:cs="Times New Roman"/>
          <w:sz w:val="20"/>
          <w:szCs w:val="20"/>
        </w:rPr>
        <w:footnoteRef/>
      </w:r>
      <w:r w:rsidRPr="00000ED8">
        <w:rPr>
          <w:rFonts w:ascii="Times New Roman" w:hAnsi="Times New Roman" w:cs="Times New Roman"/>
          <w:sz w:val="20"/>
          <w:szCs w:val="20"/>
        </w:rPr>
        <w:t xml:space="preserve"> </w:t>
      </w:r>
      <w:r>
        <w:rPr>
          <w:rFonts w:ascii="Times New Roman" w:hAnsi="Times New Roman" w:cs="Times New Roman"/>
          <w:sz w:val="20"/>
          <w:szCs w:val="20"/>
        </w:rPr>
        <w:t xml:space="preserve">Vedi </w:t>
      </w:r>
      <w:r w:rsidRPr="00000ED8">
        <w:rPr>
          <w:rFonts w:ascii="Times New Roman" w:hAnsi="Times New Roman" w:cs="Times New Roman"/>
          <w:i/>
          <w:sz w:val="20"/>
          <w:szCs w:val="20"/>
        </w:rPr>
        <w:t>supra</w:t>
      </w:r>
      <w:r>
        <w:rPr>
          <w:rFonts w:ascii="Times New Roman" w:hAnsi="Times New Roman" w:cs="Times New Roman"/>
          <w:sz w:val="20"/>
          <w:szCs w:val="20"/>
        </w:rPr>
        <w:t>, p. 56, nota 143.</w:t>
      </w:r>
    </w:p>
  </w:footnote>
  <w:footnote w:id="269">
    <w:p w14:paraId="7916E14C" w14:textId="6AB0D17D" w:rsidR="00B34CC2" w:rsidRPr="00F05682" w:rsidRDefault="00B34CC2" w:rsidP="00F721A9">
      <w:pPr>
        <w:pStyle w:val="Testonotaapidipagina"/>
        <w:jc w:val="both"/>
        <w:rPr>
          <w:rFonts w:ascii="Times New Roman" w:hAnsi="Times New Roman" w:cs="Times New Roman"/>
          <w:sz w:val="20"/>
          <w:szCs w:val="20"/>
        </w:rPr>
      </w:pPr>
      <w:r w:rsidRPr="00F05682">
        <w:rPr>
          <w:rStyle w:val="Rimandonotaapidipagina"/>
          <w:rFonts w:ascii="Times New Roman" w:hAnsi="Times New Roman" w:cs="Times New Roman"/>
          <w:sz w:val="20"/>
          <w:szCs w:val="20"/>
        </w:rPr>
        <w:footnoteRef/>
      </w:r>
      <w:r>
        <w:rPr>
          <w:rFonts w:ascii="Times New Roman" w:hAnsi="Times New Roman" w:cs="Times New Roman"/>
          <w:sz w:val="20"/>
          <w:szCs w:val="20"/>
        </w:rPr>
        <w:t xml:space="preserve"> </w:t>
      </w:r>
      <w:r w:rsidRPr="00660CC0">
        <w:rPr>
          <w:rFonts w:ascii="Times New Roman" w:hAnsi="Times New Roman" w:cs="Times New Roman"/>
          <w:i/>
          <w:sz w:val="20"/>
          <w:szCs w:val="20"/>
        </w:rPr>
        <w:t>JSE II</w:t>
      </w:r>
      <w:r>
        <w:rPr>
          <w:rFonts w:ascii="Times New Roman" w:hAnsi="Times New Roman" w:cs="Times New Roman"/>
          <w:sz w:val="20"/>
          <w:szCs w:val="20"/>
        </w:rPr>
        <w:t>, p. 177.</w:t>
      </w:r>
    </w:p>
  </w:footnote>
  <w:footnote w:id="270">
    <w:p w14:paraId="1EB84098" w14:textId="7E8DEC3E" w:rsidR="00B34CC2" w:rsidRPr="00DE2F7C" w:rsidRDefault="00B34CC2" w:rsidP="00F721A9">
      <w:pPr>
        <w:pStyle w:val="Testonotaapidipagina"/>
        <w:jc w:val="both"/>
        <w:rPr>
          <w:rFonts w:ascii="Times New Roman" w:hAnsi="Times New Roman" w:cs="Times New Roman"/>
          <w:sz w:val="20"/>
          <w:szCs w:val="20"/>
        </w:rPr>
      </w:pPr>
      <w:r w:rsidRPr="00DE2F7C">
        <w:rPr>
          <w:rStyle w:val="Rimandonotaapidipagina"/>
          <w:rFonts w:ascii="Times New Roman" w:hAnsi="Times New Roman" w:cs="Times New Roman"/>
          <w:sz w:val="20"/>
          <w:szCs w:val="20"/>
        </w:rPr>
        <w:footnoteRef/>
      </w:r>
      <w:r w:rsidRPr="00DE2F7C">
        <w:rPr>
          <w:rFonts w:ascii="Times New Roman" w:hAnsi="Times New Roman" w:cs="Times New Roman"/>
          <w:sz w:val="20"/>
          <w:szCs w:val="20"/>
        </w:rPr>
        <w:t xml:space="preserve"> </w:t>
      </w:r>
      <w:r w:rsidRPr="00DE2F7C">
        <w:rPr>
          <w:rFonts w:ascii="Times New Roman" w:hAnsi="Times New Roman" w:cs="Times New Roman"/>
          <w:i/>
          <w:sz w:val="20"/>
          <w:szCs w:val="20"/>
        </w:rPr>
        <w:t>Ibidem.</w:t>
      </w:r>
    </w:p>
  </w:footnote>
  <w:footnote w:id="271">
    <w:p w14:paraId="0431F4C8" w14:textId="2446F80D" w:rsidR="00B34CC2" w:rsidRPr="007249B7" w:rsidRDefault="00B34CC2" w:rsidP="00F721A9">
      <w:pPr>
        <w:pStyle w:val="Testonotaapidipagina"/>
        <w:jc w:val="both"/>
        <w:rPr>
          <w:rFonts w:ascii="Times New Roman" w:hAnsi="Times New Roman"/>
          <w:sz w:val="20"/>
          <w:szCs w:val="20"/>
        </w:rPr>
      </w:pPr>
      <w:r w:rsidRPr="00CF1A11">
        <w:rPr>
          <w:rStyle w:val="Rimandonotaapidipagina"/>
          <w:rFonts w:ascii="Times New Roman" w:hAnsi="Times New Roman" w:cs="Times New Roman"/>
          <w:sz w:val="20"/>
          <w:szCs w:val="20"/>
        </w:rPr>
        <w:footnoteRef/>
      </w:r>
      <w:r w:rsidRPr="00CF1A11">
        <w:rPr>
          <w:rFonts w:ascii="Times New Roman" w:hAnsi="Times New Roman" w:cs="Times New Roman"/>
          <w:sz w:val="20"/>
          <w:szCs w:val="20"/>
        </w:rPr>
        <w:t xml:space="preserve"> </w:t>
      </w:r>
      <w:r w:rsidRPr="00CF1A11">
        <w:rPr>
          <w:rFonts w:ascii="Times New Roman" w:hAnsi="Times New Roman" w:cs="Times New Roman"/>
          <w:i/>
          <w:sz w:val="20"/>
          <w:szCs w:val="20"/>
        </w:rPr>
        <w:t>Ivi</w:t>
      </w:r>
      <w:r>
        <w:rPr>
          <w:rFonts w:ascii="Times New Roman" w:hAnsi="Times New Roman" w:cs="Times New Roman"/>
          <w:sz w:val="20"/>
          <w:szCs w:val="20"/>
        </w:rPr>
        <w:t xml:space="preserve">, p. 173: </w:t>
      </w:r>
      <w:r w:rsidRPr="007249B7">
        <w:rPr>
          <w:rFonts w:ascii="Times New Roman" w:hAnsi="Times New Roman" w:cs="Times New Roman"/>
          <w:sz w:val="20"/>
          <w:szCs w:val="20"/>
        </w:rPr>
        <w:t>«Es kann nicht gefragt werden, wie das Unendliche zum endlichen werde, oder herausgehe, und was dergleichen begrifflose Ausdrücke sind</w:t>
      </w:r>
      <w:r w:rsidRPr="007249B7">
        <w:rPr>
          <w:rFonts w:ascii="Times New Roman" w:eastAsia="Times New Roman" w:hAnsi="Times New Roman" w:cs="Times New Roman"/>
          <w:color w:val="000000"/>
          <w:sz w:val="20"/>
          <w:szCs w:val="20"/>
        </w:rPr>
        <w:t>».</w:t>
      </w:r>
    </w:p>
  </w:footnote>
  <w:footnote w:id="272">
    <w:p w14:paraId="71E1F62C" w14:textId="3979CAD3" w:rsidR="00B34CC2" w:rsidRPr="00420343" w:rsidRDefault="00B34CC2" w:rsidP="00F721A9">
      <w:pPr>
        <w:pStyle w:val="Testonotaapidipagina"/>
        <w:jc w:val="both"/>
        <w:rPr>
          <w:rFonts w:ascii="Times New Roman" w:hAnsi="Times New Roman" w:cs="Times New Roman"/>
          <w:sz w:val="20"/>
          <w:szCs w:val="20"/>
        </w:rPr>
      </w:pPr>
      <w:r w:rsidRPr="00C223B3">
        <w:rPr>
          <w:rStyle w:val="Rimandonotaapidipagina"/>
          <w:rFonts w:ascii="Times New Roman" w:hAnsi="Times New Roman" w:cs="Times New Roman"/>
          <w:sz w:val="20"/>
          <w:szCs w:val="20"/>
        </w:rPr>
        <w:footnoteRef/>
      </w:r>
      <w:r w:rsidRPr="00C223B3">
        <w:rPr>
          <w:rFonts w:ascii="Times New Roman" w:hAnsi="Times New Roman" w:cs="Times New Roman"/>
          <w:sz w:val="20"/>
          <w:szCs w:val="20"/>
        </w:rPr>
        <w:t xml:space="preserve"> </w:t>
      </w:r>
      <w:r>
        <w:rPr>
          <w:rFonts w:ascii="Times New Roman" w:hAnsi="Times New Roman" w:cs="Times New Roman"/>
          <w:sz w:val="20"/>
          <w:szCs w:val="20"/>
        </w:rPr>
        <w:t xml:space="preserve">Cfr. F.W.J. Schelling, </w:t>
      </w:r>
      <w:r>
        <w:rPr>
          <w:rFonts w:ascii="Times New Roman" w:hAnsi="Times New Roman" w:cs="Times New Roman"/>
          <w:i/>
          <w:sz w:val="20"/>
          <w:szCs w:val="20"/>
        </w:rPr>
        <w:t>Philosophie und Religion</w:t>
      </w:r>
      <w:r>
        <w:rPr>
          <w:rFonts w:ascii="Times New Roman" w:hAnsi="Times New Roman" w:cs="Times New Roman"/>
          <w:sz w:val="20"/>
          <w:szCs w:val="20"/>
        </w:rPr>
        <w:t xml:space="preserve">, in </w:t>
      </w:r>
      <w:r w:rsidRPr="00CA65C9">
        <w:rPr>
          <w:rFonts w:ascii="Times New Roman" w:hAnsi="Times New Roman" w:cs="Times New Roman"/>
          <w:i/>
          <w:sz w:val="20"/>
          <w:szCs w:val="20"/>
        </w:rPr>
        <w:t>Schellings Werke</w:t>
      </w:r>
      <w:r>
        <w:rPr>
          <w:rFonts w:ascii="Times New Roman" w:hAnsi="Times New Roman" w:cs="Times New Roman"/>
          <w:sz w:val="20"/>
          <w:szCs w:val="20"/>
        </w:rPr>
        <w:t xml:space="preserve">, </w:t>
      </w:r>
      <w:r w:rsidRPr="002906EE">
        <w:rPr>
          <w:rFonts w:ascii="Times New Roman" w:hAnsi="Times New Roman" w:cs="Times New Roman"/>
          <w:sz w:val="20"/>
          <w:szCs w:val="20"/>
        </w:rPr>
        <w:t xml:space="preserve">cit., p. 28: </w:t>
      </w:r>
      <w:r w:rsidRPr="007249B7">
        <w:rPr>
          <w:rFonts w:ascii="Times New Roman" w:hAnsi="Times New Roman" w:cs="Times New Roman"/>
          <w:sz w:val="20"/>
          <w:szCs w:val="20"/>
        </w:rPr>
        <w:t>«Nur durch den Abfall vom Urbild lässt Plato die Seele von ihrer ersten Seligkeit herabsinken, und in das zeitliche Universum geboren werden, durch das sie von dem wahren losgerissen ist</w:t>
      </w:r>
      <w:r w:rsidRPr="007249B7">
        <w:rPr>
          <w:rFonts w:ascii="Times New Roman" w:eastAsia="Times New Roman" w:hAnsi="Times New Roman" w:cs="Times New Roman"/>
          <w:color w:val="000000"/>
          <w:sz w:val="20"/>
          <w:szCs w:val="20"/>
        </w:rPr>
        <w:t>».</w:t>
      </w:r>
      <w:r>
        <w:rPr>
          <w:rFonts w:ascii="Times New Roman" w:eastAsia="Times New Roman" w:hAnsi="Times New Roman" w:cs="Times New Roman"/>
          <w:color w:val="000000"/>
          <w:sz w:val="20"/>
          <w:szCs w:val="20"/>
        </w:rPr>
        <w:t xml:space="preserve"> </w:t>
      </w:r>
    </w:p>
  </w:footnote>
  <w:footnote w:id="273">
    <w:p w14:paraId="5D7671F1" w14:textId="54B88684" w:rsidR="00B34CC2" w:rsidRPr="00701D67" w:rsidRDefault="00B34CC2" w:rsidP="00F721A9">
      <w:pPr>
        <w:pStyle w:val="Testonotaapidipagina"/>
        <w:jc w:val="both"/>
        <w:rPr>
          <w:rFonts w:ascii="Times New Roman" w:hAnsi="Times New Roman" w:cs="Times New Roman"/>
          <w:sz w:val="20"/>
          <w:szCs w:val="20"/>
        </w:rPr>
      </w:pPr>
      <w:r w:rsidRPr="00420343">
        <w:rPr>
          <w:rStyle w:val="Rimandonotaapidipagina"/>
          <w:rFonts w:ascii="Times New Roman" w:hAnsi="Times New Roman" w:cs="Times New Roman"/>
          <w:sz w:val="20"/>
          <w:szCs w:val="20"/>
        </w:rPr>
        <w:footnoteRef/>
      </w:r>
      <w:r w:rsidRPr="00420343">
        <w:rPr>
          <w:rFonts w:ascii="Times New Roman" w:hAnsi="Times New Roman" w:cs="Times New Roman"/>
          <w:sz w:val="20"/>
          <w:szCs w:val="20"/>
        </w:rPr>
        <w:t xml:space="preserve"> Fra i </w:t>
      </w:r>
      <w:r>
        <w:rPr>
          <w:rFonts w:ascii="Times New Roman" w:hAnsi="Times New Roman" w:cs="Times New Roman"/>
          <w:sz w:val="20"/>
          <w:szCs w:val="20"/>
        </w:rPr>
        <w:t xml:space="preserve">molti contributi vedi: C. Asmuth, </w:t>
      </w:r>
      <w:r>
        <w:rPr>
          <w:rFonts w:ascii="Times New Roman" w:hAnsi="Times New Roman" w:cs="Times New Roman"/>
          <w:i/>
          <w:sz w:val="20"/>
          <w:szCs w:val="20"/>
        </w:rPr>
        <w:t xml:space="preserve">Philosophie und Religion und der </w:t>
      </w:r>
      <w:r w:rsidRPr="00420343">
        <w:rPr>
          <w:rFonts w:ascii="Times New Roman" w:hAnsi="Times New Roman" w:cs="Times New Roman"/>
          <w:i/>
          <w:sz w:val="20"/>
          <w:szCs w:val="20"/>
        </w:rPr>
        <w:t>Platonismus</w:t>
      </w:r>
      <w:r w:rsidRPr="00420343">
        <w:rPr>
          <w:rFonts w:ascii="Times New Roman" w:hAnsi="Times New Roman" w:cs="Times New Roman"/>
          <w:sz w:val="20"/>
          <w:szCs w:val="20"/>
        </w:rPr>
        <w:t xml:space="preserve">, in </w:t>
      </w:r>
      <w:r w:rsidRPr="00420343">
        <w:rPr>
          <w:rFonts w:ascii="Times New Roman" w:hAnsi="Times New Roman" w:cs="Times New Roman"/>
          <w:i/>
          <w:sz w:val="20"/>
          <w:szCs w:val="20"/>
        </w:rPr>
        <w:t>Philosophie und Religion</w:t>
      </w:r>
      <w:r>
        <w:rPr>
          <w:rFonts w:ascii="Times New Roman" w:hAnsi="Times New Roman" w:cs="Times New Roman"/>
          <w:sz w:val="20"/>
          <w:szCs w:val="20"/>
        </w:rPr>
        <w:t xml:space="preserve">, </w:t>
      </w:r>
      <w:r w:rsidRPr="00420343">
        <w:rPr>
          <w:rFonts w:ascii="Times New Roman" w:hAnsi="Times New Roman" w:cs="Times New Roman"/>
          <w:sz w:val="20"/>
          <w:szCs w:val="20"/>
        </w:rPr>
        <w:t>Karl Albe</w:t>
      </w:r>
      <w:r>
        <w:rPr>
          <w:rFonts w:ascii="Times New Roman" w:hAnsi="Times New Roman" w:cs="Times New Roman"/>
          <w:sz w:val="20"/>
          <w:szCs w:val="20"/>
        </w:rPr>
        <w:t xml:space="preserve">r Verlag, Freiburg/München 2008, pp. 98-108; C. Danz (hrsg. von), </w:t>
      </w:r>
      <w:r>
        <w:rPr>
          <w:rFonts w:ascii="Times New Roman" w:hAnsi="Times New Roman" w:cs="Times New Roman"/>
          <w:i/>
          <w:sz w:val="20"/>
          <w:szCs w:val="20"/>
        </w:rPr>
        <w:t>Schelling in Würzburg</w:t>
      </w:r>
      <w:r>
        <w:rPr>
          <w:rFonts w:ascii="Times New Roman" w:hAnsi="Times New Roman" w:cs="Times New Roman"/>
          <w:sz w:val="20"/>
          <w:szCs w:val="20"/>
        </w:rPr>
        <w:t xml:space="preserve">, Fromman-Holzboog, Stuttgart 2017; P. Mayer, </w:t>
      </w:r>
      <w:r>
        <w:rPr>
          <w:rFonts w:ascii="Times New Roman" w:hAnsi="Times New Roman" w:cs="Times New Roman"/>
          <w:i/>
          <w:sz w:val="20"/>
          <w:szCs w:val="20"/>
        </w:rPr>
        <w:t>Jena Romanticism and i</w:t>
      </w:r>
      <w:r w:rsidRPr="00B71632">
        <w:rPr>
          <w:rFonts w:ascii="Times New Roman" w:hAnsi="Times New Roman" w:cs="Times New Roman"/>
          <w:i/>
          <w:sz w:val="20"/>
          <w:szCs w:val="20"/>
        </w:rPr>
        <w:t>ts Appropriation of Jakob Böhme</w:t>
      </w:r>
      <w:r>
        <w:rPr>
          <w:rFonts w:ascii="Times New Roman" w:hAnsi="Times New Roman" w:cs="Times New Roman"/>
          <w:sz w:val="20"/>
          <w:szCs w:val="20"/>
        </w:rPr>
        <w:t xml:space="preserve">. cit., pp. 188-195; R. Scheerlink, </w:t>
      </w:r>
      <w:r>
        <w:rPr>
          <w:rFonts w:ascii="Times New Roman" w:hAnsi="Times New Roman" w:cs="Times New Roman"/>
          <w:i/>
          <w:sz w:val="20"/>
          <w:szCs w:val="20"/>
        </w:rPr>
        <w:t>«Philosophie und Religion</w:t>
      </w:r>
      <w:r w:rsidRPr="00F0501B">
        <w:rPr>
          <w:rFonts w:ascii="Times New Roman" w:eastAsia="Times New Roman" w:hAnsi="Times New Roman" w:cs="Times New Roman"/>
          <w:i/>
          <w:color w:val="000000"/>
          <w:sz w:val="20"/>
          <w:szCs w:val="20"/>
        </w:rPr>
        <w:t>»</w:t>
      </w:r>
      <w:r>
        <w:rPr>
          <w:rFonts w:ascii="Times New Roman" w:eastAsia="Times New Roman" w:hAnsi="Times New Roman" w:cs="Times New Roman"/>
          <w:i/>
          <w:color w:val="000000"/>
          <w:sz w:val="20"/>
          <w:szCs w:val="20"/>
        </w:rPr>
        <w:t>. Schellings politische Philosophie</w:t>
      </w:r>
      <w:r>
        <w:rPr>
          <w:rFonts w:ascii="Times New Roman" w:eastAsia="Times New Roman" w:hAnsi="Times New Roman" w:cs="Times New Roman"/>
          <w:color w:val="000000"/>
          <w:sz w:val="20"/>
          <w:szCs w:val="20"/>
        </w:rPr>
        <w:t xml:space="preserve">, Karl Aber, Freiburg/München 2017, pp. 139-211; </w:t>
      </w:r>
      <w:r>
        <w:rPr>
          <w:rFonts w:ascii="Times New Roman" w:hAnsi="Times New Roman" w:cs="Times New Roman"/>
          <w:sz w:val="20"/>
          <w:szCs w:val="20"/>
        </w:rPr>
        <w:t xml:space="preserve">H. Schneider, </w:t>
      </w:r>
      <w:r>
        <w:rPr>
          <w:rFonts w:ascii="Times New Roman" w:hAnsi="Times New Roman" w:cs="Times New Roman"/>
          <w:i/>
          <w:sz w:val="20"/>
          <w:szCs w:val="20"/>
        </w:rPr>
        <w:t>Anfänge der Systementwicklung Hegels in Jena</w:t>
      </w:r>
      <w:r>
        <w:rPr>
          <w:rFonts w:ascii="Times New Roman" w:hAnsi="Times New Roman" w:cs="Times New Roman"/>
          <w:sz w:val="20"/>
          <w:szCs w:val="20"/>
        </w:rPr>
        <w:t>, in «Hegel Studien</w:t>
      </w:r>
      <w:r w:rsidRPr="00151622">
        <w:rPr>
          <w:rFonts w:ascii="Times New Roman" w:eastAsia="Times New Roman" w:hAnsi="Times New Roman" w:cs="Times New Roman"/>
          <w:color w:val="000000"/>
          <w:sz w:val="20"/>
          <w:szCs w:val="20"/>
        </w:rPr>
        <w:t>»</w:t>
      </w:r>
      <w:r>
        <w:rPr>
          <w:rFonts w:ascii="Times New Roman" w:eastAsia="Times New Roman" w:hAnsi="Times New Roman" w:cs="Times New Roman"/>
          <w:color w:val="000000"/>
          <w:sz w:val="20"/>
          <w:szCs w:val="20"/>
        </w:rPr>
        <w:t>, Bd. X (1975), pp. 164-166.</w:t>
      </w:r>
    </w:p>
  </w:footnote>
  <w:footnote w:id="274">
    <w:p w14:paraId="2414DDE2" w14:textId="6BF615BD" w:rsidR="00B34CC2" w:rsidRPr="00641F8C" w:rsidRDefault="00B34CC2" w:rsidP="00F721A9">
      <w:pPr>
        <w:pStyle w:val="Testonotaapidipagina"/>
        <w:jc w:val="both"/>
        <w:rPr>
          <w:rFonts w:ascii="Times New Roman" w:hAnsi="Times New Roman" w:cs="Times New Roman"/>
          <w:sz w:val="20"/>
          <w:szCs w:val="20"/>
        </w:rPr>
      </w:pPr>
      <w:r w:rsidRPr="00641F8C">
        <w:rPr>
          <w:rStyle w:val="Rimandonotaapidipagina"/>
          <w:rFonts w:ascii="Times New Roman" w:hAnsi="Times New Roman" w:cs="Times New Roman"/>
          <w:sz w:val="20"/>
          <w:szCs w:val="20"/>
        </w:rPr>
        <w:footnoteRef/>
      </w:r>
      <w:r w:rsidRPr="00641F8C">
        <w:rPr>
          <w:rFonts w:ascii="Times New Roman" w:hAnsi="Times New Roman" w:cs="Times New Roman"/>
          <w:sz w:val="20"/>
          <w:szCs w:val="20"/>
        </w:rPr>
        <w:t xml:space="preserve"> </w:t>
      </w:r>
      <w:r>
        <w:rPr>
          <w:rFonts w:ascii="Times New Roman" w:hAnsi="Times New Roman" w:cs="Times New Roman"/>
          <w:sz w:val="20"/>
          <w:szCs w:val="20"/>
        </w:rPr>
        <w:t xml:space="preserve">K. Rosenkranz, </w:t>
      </w:r>
      <w:r>
        <w:rPr>
          <w:rFonts w:ascii="Times New Roman" w:hAnsi="Times New Roman" w:cs="Times New Roman"/>
          <w:i/>
          <w:sz w:val="20"/>
          <w:szCs w:val="20"/>
        </w:rPr>
        <w:t xml:space="preserve">Schelling. Vorlesungen, gehalten im Sommer 1842 an der Universität </w:t>
      </w:r>
      <w:r w:rsidRPr="00641F8C">
        <w:rPr>
          <w:rFonts w:ascii="Times New Roman" w:hAnsi="Times New Roman" w:cs="Times New Roman"/>
          <w:i/>
          <w:sz w:val="20"/>
          <w:szCs w:val="20"/>
        </w:rPr>
        <w:t>Königsberg</w:t>
      </w:r>
      <w:r>
        <w:rPr>
          <w:rFonts w:ascii="Times New Roman" w:hAnsi="Times New Roman" w:cs="Times New Roman"/>
          <w:sz w:val="20"/>
          <w:szCs w:val="20"/>
        </w:rPr>
        <w:t xml:space="preserve">, Scientia Verlag, Aalen 1969, </w:t>
      </w:r>
      <w:r w:rsidRPr="00641F8C">
        <w:rPr>
          <w:rFonts w:ascii="Times New Roman" w:hAnsi="Times New Roman" w:cs="Times New Roman"/>
          <w:sz w:val="20"/>
          <w:szCs w:val="20"/>
        </w:rPr>
        <w:t>pp</w:t>
      </w:r>
      <w:r>
        <w:rPr>
          <w:rFonts w:ascii="Times New Roman" w:hAnsi="Times New Roman" w:cs="Times New Roman"/>
          <w:sz w:val="20"/>
          <w:szCs w:val="20"/>
        </w:rPr>
        <w:t>. 260-261 (prima ed. Danzig 1843).</w:t>
      </w:r>
    </w:p>
  </w:footnote>
  <w:footnote w:id="275">
    <w:p w14:paraId="1A1EADE8" w14:textId="3F30F7FD" w:rsidR="00B34CC2" w:rsidRPr="001046C4" w:rsidRDefault="00B34CC2" w:rsidP="00F721A9">
      <w:pPr>
        <w:pStyle w:val="Testonotaapidipagina"/>
        <w:jc w:val="both"/>
        <w:rPr>
          <w:rFonts w:ascii="Times New Roman" w:hAnsi="Times New Roman" w:cs="Times New Roman"/>
          <w:sz w:val="20"/>
          <w:szCs w:val="20"/>
        </w:rPr>
      </w:pPr>
      <w:r w:rsidRPr="00385E97">
        <w:rPr>
          <w:rStyle w:val="Rimandonotaapidipagina"/>
          <w:rFonts w:ascii="Times New Roman" w:hAnsi="Times New Roman" w:cs="Times New Roman"/>
          <w:sz w:val="20"/>
          <w:szCs w:val="20"/>
        </w:rPr>
        <w:footnoteRef/>
      </w:r>
      <w:r w:rsidRPr="00385E97">
        <w:rPr>
          <w:rFonts w:ascii="Times New Roman" w:hAnsi="Times New Roman" w:cs="Times New Roman"/>
          <w:sz w:val="20"/>
          <w:szCs w:val="20"/>
        </w:rPr>
        <w:t xml:space="preserve"> Cfr. F.W.J. Schelling, </w:t>
      </w:r>
      <w:r w:rsidRPr="00385E97">
        <w:rPr>
          <w:rFonts w:ascii="Times New Roman" w:hAnsi="Times New Roman" w:cs="Times New Roman"/>
          <w:i/>
          <w:sz w:val="20"/>
          <w:szCs w:val="20"/>
        </w:rPr>
        <w:t>Philosophie und Religion</w:t>
      </w:r>
      <w:r w:rsidRPr="00385E97">
        <w:rPr>
          <w:rFonts w:ascii="Times New Roman" w:hAnsi="Times New Roman" w:cs="Times New Roman"/>
          <w:sz w:val="20"/>
          <w:szCs w:val="20"/>
        </w:rPr>
        <w:t xml:space="preserve">, in </w:t>
      </w:r>
      <w:r w:rsidRPr="00385E97">
        <w:rPr>
          <w:rFonts w:ascii="Times New Roman" w:hAnsi="Times New Roman" w:cs="Times New Roman"/>
          <w:i/>
          <w:sz w:val="20"/>
          <w:szCs w:val="20"/>
        </w:rPr>
        <w:t>Schellings Werke</w:t>
      </w:r>
      <w:r w:rsidRPr="00385E97">
        <w:rPr>
          <w:rFonts w:ascii="Times New Roman" w:hAnsi="Times New Roman" w:cs="Times New Roman"/>
          <w:sz w:val="20"/>
          <w:szCs w:val="20"/>
        </w:rPr>
        <w:t>, cit., Bd. IV, p. 53.</w:t>
      </w:r>
    </w:p>
  </w:footnote>
  <w:footnote w:id="276">
    <w:p w14:paraId="3316D0A1" w14:textId="334776A3" w:rsidR="00B34CC2" w:rsidRPr="003321E8" w:rsidRDefault="00B34CC2" w:rsidP="00F721A9">
      <w:pPr>
        <w:pStyle w:val="Testonotaapidipagina"/>
        <w:jc w:val="both"/>
        <w:rPr>
          <w:rFonts w:ascii="Times New Roman" w:hAnsi="Times New Roman" w:cs="Times New Roman"/>
          <w:sz w:val="20"/>
          <w:szCs w:val="20"/>
        </w:rPr>
      </w:pPr>
      <w:r w:rsidRPr="003321E8">
        <w:rPr>
          <w:rStyle w:val="Rimandonotaapidipagina"/>
          <w:rFonts w:ascii="Times New Roman" w:hAnsi="Times New Roman" w:cs="Times New Roman"/>
          <w:sz w:val="20"/>
          <w:szCs w:val="20"/>
        </w:rPr>
        <w:footnoteRef/>
      </w:r>
      <w:r>
        <w:rPr>
          <w:rFonts w:ascii="Times New Roman" w:hAnsi="Times New Roman" w:cs="Times New Roman"/>
          <w:sz w:val="20"/>
          <w:szCs w:val="20"/>
        </w:rPr>
        <w:t xml:space="preserve"> </w:t>
      </w:r>
      <w:r w:rsidRPr="00A304CE">
        <w:rPr>
          <w:rFonts w:ascii="Times New Roman" w:hAnsi="Times New Roman" w:cs="Times New Roman"/>
          <w:i/>
          <w:sz w:val="20"/>
          <w:szCs w:val="20"/>
        </w:rPr>
        <w:t>Ivi</w:t>
      </w:r>
      <w:r>
        <w:rPr>
          <w:rFonts w:ascii="Times New Roman" w:hAnsi="Times New Roman" w:cs="Times New Roman"/>
          <w:sz w:val="20"/>
          <w:szCs w:val="20"/>
        </w:rPr>
        <w:t>, p. 33.</w:t>
      </w:r>
    </w:p>
  </w:footnote>
  <w:footnote w:id="277">
    <w:p w14:paraId="1C7DE610" w14:textId="0E98CD7F" w:rsidR="00B34CC2" w:rsidRPr="001439F4" w:rsidRDefault="00B34CC2" w:rsidP="00F721A9">
      <w:pPr>
        <w:pStyle w:val="Testonotaapidipagina"/>
        <w:jc w:val="both"/>
      </w:pPr>
      <w:r w:rsidRPr="001439F4">
        <w:rPr>
          <w:rStyle w:val="Rimandonotaapidipagina"/>
          <w:rFonts w:ascii="Times New Roman" w:hAnsi="Times New Roman" w:cs="Times New Roman"/>
          <w:sz w:val="20"/>
          <w:szCs w:val="20"/>
        </w:rPr>
        <w:footnoteRef/>
      </w:r>
      <w:r w:rsidRPr="001439F4">
        <w:t xml:space="preserve"> </w:t>
      </w:r>
      <w:r w:rsidRPr="001439F4">
        <w:rPr>
          <w:rFonts w:ascii="Times New Roman" w:hAnsi="Times New Roman" w:cs="Times New Roman"/>
          <w:i/>
          <w:sz w:val="20"/>
          <w:szCs w:val="20"/>
        </w:rPr>
        <w:t>Ivi</w:t>
      </w:r>
      <w:r w:rsidRPr="001439F4">
        <w:rPr>
          <w:rFonts w:ascii="Times New Roman" w:hAnsi="Times New Roman" w:cs="Times New Roman"/>
          <w:sz w:val="20"/>
          <w:szCs w:val="20"/>
        </w:rPr>
        <w:t>, p. 49.</w:t>
      </w:r>
    </w:p>
  </w:footnote>
  <w:footnote w:id="278">
    <w:p w14:paraId="77EF4E05" w14:textId="036061F4" w:rsidR="00B34CC2" w:rsidRPr="00E00BA2" w:rsidRDefault="00B34CC2" w:rsidP="00F721A9">
      <w:pPr>
        <w:pStyle w:val="Testonotaapidipagina"/>
        <w:jc w:val="both"/>
        <w:rPr>
          <w:rFonts w:ascii="Times New Roman" w:hAnsi="Times New Roman" w:cs="Times New Roman"/>
          <w:sz w:val="20"/>
          <w:szCs w:val="20"/>
          <w:highlight w:val="yellow"/>
        </w:rPr>
      </w:pPr>
      <w:r w:rsidRPr="001439F4">
        <w:rPr>
          <w:rStyle w:val="Rimandonotaapidipagina"/>
          <w:rFonts w:ascii="Times New Roman" w:hAnsi="Times New Roman" w:cs="Times New Roman"/>
          <w:sz w:val="20"/>
          <w:szCs w:val="20"/>
        </w:rPr>
        <w:footnoteRef/>
      </w:r>
      <w:r w:rsidRPr="001439F4">
        <w:rPr>
          <w:rFonts w:ascii="Times New Roman" w:hAnsi="Times New Roman" w:cs="Times New Roman"/>
          <w:sz w:val="20"/>
          <w:szCs w:val="20"/>
        </w:rPr>
        <w:t xml:space="preserve"> La caduta degli spiriti</w:t>
      </w:r>
      <w:r>
        <w:rPr>
          <w:rFonts w:ascii="Times New Roman" w:hAnsi="Times New Roman" w:cs="Times New Roman"/>
          <w:sz w:val="20"/>
          <w:szCs w:val="20"/>
        </w:rPr>
        <w:t xml:space="preserve"> (o delle idee)</w:t>
      </w:r>
      <w:r w:rsidRPr="001439F4">
        <w:rPr>
          <w:rFonts w:ascii="Times New Roman" w:hAnsi="Times New Roman" w:cs="Times New Roman"/>
          <w:sz w:val="20"/>
          <w:szCs w:val="20"/>
        </w:rPr>
        <w:t xml:space="preserve">, l’allontanamento dell’umanità dal suo centro e la completa realizzazione (o personalizzazione) di Dio sono tematiche che Schelling riprenderà – con espliciti riferimenti böhmiani – nelle </w:t>
      </w:r>
      <w:r w:rsidRPr="001439F4">
        <w:rPr>
          <w:rFonts w:ascii="Times New Roman" w:hAnsi="Times New Roman" w:cs="Times New Roman"/>
          <w:i/>
          <w:sz w:val="20"/>
          <w:szCs w:val="20"/>
        </w:rPr>
        <w:t>Stuttgarter Privatvorlesungen</w:t>
      </w:r>
      <w:r w:rsidRPr="001439F4">
        <w:rPr>
          <w:rFonts w:ascii="Times New Roman" w:hAnsi="Times New Roman" w:cs="Times New Roman"/>
          <w:sz w:val="20"/>
          <w:szCs w:val="20"/>
        </w:rPr>
        <w:t xml:space="preserve">. L’umanità svia dall’indifferenza a causa della caduta di uno spirito puro, di Lucifero, che ambisce, attraverso il pervertimento dell’uomo, a diventare </w:t>
      </w:r>
      <w:r w:rsidRPr="001439F4">
        <w:rPr>
          <w:rFonts w:ascii="Times New Roman" w:hAnsi="Times New Roman" w:cs="Times New Roman"/>
          <w:i/>
          <w:sz w:val="20"/>
          <w:szCs w:val="20"/>
        </w:rPr>
        <w:t>signore</w:t>
      </w:r>
      <w:r w:rsidRPr="001439F4">
        <w:rPr>
          <w:rFonts w:ascii="Times New Roman" w:hAnsi="Times New Roman" w:cs="Times New Roman"/>
          <w:sz w:val="20"/>
          <w:szCs w:val="20"/>
        </w:rPr>
        <w:t xml:space="preserve"> di un mondo separato da Dio. Non potendo avere Dio come propria unità, l’umanità, caduta sotto il dominio della natura (il </w:t>
      </w:r>
      <w:r w:rsidRPr="001439F4">
        <w:rPr>
          <w:rFonts w:ascii="Times New Roman" w:hAnsi="Times New Roman" w:cs="Times New Roman"/>
          <w:i/>
          <w:sz w:val="20"/>
          <w:szCs w:val="20"/>
        </w:rPr>
        <w:t xml:space="preserve">böses Princip </w:t>
      </w:r>
      <w:r w:rsidRPr="001439F4">
        <w:rPr>
          <w:rFonts w:ascii="Times New Roman" w:hAnsi="Times New Roman" w:cs="Times New Roman"/>
          <w:sz w:val="20"/>
          <w:szCs w:val="20"/>
        </w:rPr>
        <w:t xml:space="preserve">di </w:t>
      </w:r>
      <w:r w:rsidRPr="001439F4">
        <w:rPr>
          <w:rFonts w:ascii="Times New Roman" w:hAnsi="Times New Roman" w:cs="Times New Roman"/>
          <w:i/>
          <w:sz w:val="20"/>
          <w:szCs w:val="20"/>
        </w:rPr>
        <w:t>Philosophie und Religion</w:t>
      </w:r>
      <w:r w:rsidRPr="001439F4">
        <w:rPr>
          <w:rFonts w:ascii="Times New Roman" w:hAnsi="Times New Roman" w:cs="Times New Roman"/>
          <w:sz w:val="20"/>
          <w:szCs w:val="20"/>
        </w:rPr>
        <w:t xml:space="preserve">), cerca di conferirsi un’unità fisica, o naturale, in cui poter essere libera. Lo stato, chiamato a porre come uno ciò che è diviso, è un’unità naturale che, esercitando un dominio sui corpi, non può che congiungere esteriormente ciò che rimane interiormente diviso. È in una fase successiva della storia della personalizzazione di Dio che l’uomo e la natura saranno elevati nell’identità assoluta (cfr. F.W.J. Schelling, </w:t>
      </w:r>
      <w:r w:rsidRPr="001439F4">
        <w:rPr>
          <w:rFonts w:ascii="Times New Roman" w:hAnsi="Times New Roman" w:cs="Times New Roman"/>
          <w:i/>
          <w:sz w:val="20"/>
          <w:szCs w:val="20"/>
        </w:rPr>
        <w:t>Stuttgarter Privatvorlesungen</w:t>
      </w:r>
      <w:r w:rsidRPr="001439F4">
        <w:rPr>
          <w:rFonts w:ascii="Times New Roman" w:hAnsi="Times New Roman" w:cs="Times New Roman"/>
          <w:sz w:val="20"/>
          <w:szCs w:val="20"/>
        </w:rPr>
        <w:t xml:space="preserve">, pp. </w:t>
      </w:r>
      <w:r w:rsidRPr="00552FCB">
        <w:rPr>
          <w:rFonts w:ascii="Times New Roman" w:hAnsi="Times New Roman" w:cs="Times New Roman"/>
          <w:sz w:val="20"/>
          <w:szCs w:val="20"/>
        </w:rPr>
        <w:t xml:space="preserve">353-376). Se </w:t>
      </w:r>
      <w:r w:rsidRPr="00552FCB">
        <w:rPr>
          <w:rFonts w:ascii="Times New Roman" w:hAnsi="Times New Roman" w:cs="Times New Roman"/>
          <w:i/>
          <w:sz w:val="20"/>
          <w:szCs w:val="20"/>
        </w:rPr>
        <w:t>Philosophie und Religion</w:t>
      </w:r>
      <w:r w:rsidRPr="00552FCB">
        <w:rPr>
          <w:rFonts w:ascii="Times New Roman" w:hAnsi="Times New Roman" w:cs="Times New Roman"/>
          <w:sz w:val="20"/>
          <w:szCs w:val="20"/>
        </w:rPr>
        <w:t xml:space="preserve"> può essere letta come un’anticipazione delle lezioni del 1810, le </w:t>
      </w:r>
      <w:r w:rsidRPr="00552FCB">
        <w:rPr>
          <w:rFonts w:ascii="Times New Roman" w:hAnsi="Times New Roman" w:cs="Times New Roman"/>
          <w:i/>
          <w:sz w:val="20"/>
          <w:szCs w:val="20"/>
        </w:rPr>
        <w:t>Stuttgarter Privatvorlesungen</w:t>
      </w:r>
      <w:r w:rsidRPr="00552FCB">
        <w:rPr>
          <w:rFonts w:ascii="Times New Roman" w:hAnsi="Times New Roman" w:cs="Times New Roman"/>
          <w:sz w:val="20"/>
          <w:szCs w:val="20"/>
        </w:rPr>
        <w:t xml:space="preserve"> possono essere considerate come un’esplicitazione di ciò che è implicitamente contenuto nel testo del 1804.</w:t>
      </w:r>
    </w:p>
  </w:footnote>
  <w:footnote w:id="279">
    <w:p w14:paraId="7AAE216E" w14:textId="6FE4DBFD" w:rsidR="00B34CC2" w:rsidRPr="00B81148" w:rsidRDefault="00B34CC2" w:rsidP="00F721A9">
      <w:pPr>
        <w:pStyle w:val="Testonotaapidipagina"/>
        <w:jc w:val="both"/>
        <w:rPr>
          <w:rFonts w:ascii="Times New Roman" w:hAnsi="Times New Roman" w:cs="Times New Roman"/>
          <w:sz w:val="20"/>
          <w:szCs w:val="20"/>
        </w:rPr>
      </w:pPr>
      <w:r w:rsidRPr="005431DA">
        <w:rPr>
          <w:rStyle w:val="Rimandonotaapidipagina"/>
          <w:rFonts w:ascii="Times New Roman" w:hAnsi="Times New Roman" w:cs="Times New Roman"/>
          <w:sz w:val="20"/>
          <w:szCs w:val="20"/>
        </w:rPr>
        <w:footnoteRef/>
      </w:r>
      <w:r w:rsidRPr="005431DA">
        <w:rPr>
          <w:rFonts w:ascii="Times New Roman" w:hAnsi="Times New Roman" w:cs="Times New Roman"/>
          <w:sz w:val="20"/>
          <w:szCs w:val="20"/>
        </w:rPr>
        <w:t xml:space="preserve"> </w:t>
      </w:r>
      <w:r>
        <w:rPr>
          <w:rFonts w:ascii="Times New Roman" w:hAnsi="Times New Roman" w:cs="Times New Roman"/>
          <w:sz w:val="20"/>
          <w:szCs w:val="20"/>
        </w:rPr>
        <w:t xml:space="preserve"> Sul platonismo del </w:t>
      </w:r>
      <w:r w:rsidRPr="00096530">
        <w:rPr>
          <w:rFonts w:ascii="Times New Roman" w:hAnsi="Times New Roman" w:cs="Times New Roman"/>
          <w:i/>
          <w:sz w:val="20"/>
          <w:szCs w:val="20"/>
        </w:rPr>
        <w:t>Dreieckfragment</w:t>
      </w:r>
      <w:r>
        <w:rPr>
          <w:rFonts w:ascii="Times New Roman" w:hAnsi="Times New Roman" w:cs="Times New Roman"/>
          <w:sz w:val="20"/>
          <w:szCs w:val="20"/>
        </w:rPr>
        <w:t xml:space="preserve"> vedi F. Chiereghin, </w:t>
      </w:r>
      <w:r>
        <w:rPr>
          <w:rFonts w:ascii="Times New Roman" w:hAnsi="Times New Roman" w:cs="Times New Roman"/>
          <w:i/>
          <w:sz w:val="20"/>
          <w:szCs w:val="20"/>
        </w:rPr>
        <w:t xml:space="preserve">Hegel e la metafisica </w:t>
      </w:r>
      <w:r w:rsidRPr="00006C58">
        <w:rPr>
          <w:rFonts w:ascii="Times New Roman" w:hAnsi="Times New Roman" w:cs="Times New Roman"/>
          <w:i/>
          <w:sz w:val="20"/>
          <w:szCs w:val="20"/>
        </w:rPr>
        <w:t>classica</w:t>
      </w:r>
      <w:r>
        <w:rPr>
          <w:rFonts w:ascii="Times New Roman" w:hAnsi="Times New Roman" w:cs="Times New Roman"/>
          <w:sz w:val="20"/>
          <w:szCs w:val="20"/>
        </w:rPr>
        <w:t>, cit., pp. 42-50;</w:t>
      </w:r>
      <w:r>
        <w:rPr>
          <w:rFonts w:ascii="Times New Roman" w:hAnsi="Times New Roman" w:cs="Times New Roman"/>
          <w:i/>
          <w:sz w:val="20"/>
          <w:szCs w:val="20"/>
        </w:rPr>
        <w:t xml:space="preserve"> </w:t>
      </w:r>
      <w:r w:rsidRPr="004C7295">
        <w:rPr>
          <w:rFonts w:ascii="Times New Roman" w:hAnsi="Times New Roman" w:cs="Times New Roman"/>
          <w:sz w:val="20"/>
          <w:szCs w:val="20"/>
        </w:rPr>
        <w:t>H.</w:t>
      </w:r>
      <w:r>
        <w:rPr>
          <w:rFonts w:ascii="Times New Roman" w:hAnsi="Times New Roman" w:cs="Times New Roman"/>
          <w:sz w:val="20"/>
          <w:szCs w:val="20"/>
        </w:rPr>
        <w:t xml:space="preserve"> Schneider, </w:t>
      </w:r>
      <w:r>
        <w:rPr>
          <w:rFonts w:ascii="Times New Roman" w:hAnsi="Times New Roman" w:cs="Times New Roman"/>
          <w:i/>
          <w:sz w:val="20"/>
          <w:szCs w:val="20"/>
        </w:rPr>
        <w:t>Anfänge der Systementwicklung Hegels in Jena</w:t>
      </w:r>
      <w:r>
        <w:rPr>
          <w:rFonts w:ascii="Times New Roman" w:hAnsi="Times New Roman" w:cs="Times New Roman"/>
          <w:sz w:val="20"/>
          <w:szCs w:val="20"/>
        </w:rPr>
        <w:t xml:space="preserve">, cit., pp. 133-173. Per quanto riguarda il collegamento di questo inedito con il pensiero di Jakob Böhme cfr. K. Rosenkranz, </w:t>
      </w:r>
      <w:r w:rsidRPr="00B02DA4">
        <w:rPr>
          <w:rFonts w:ascii="Times New Roman" w:hAnsi="Times New Roman" w:cs="Times New Roman"/>
          <w:i/>
          <w:sz w:val="20"/>
          <w:szCs w:val="20"/>
        </w:rPr>
        <w:t>Hegel’s Leben</w:t>
      </w:r>
      <w:r>
        <w:rPr>
          <w:rFonts w:ascii="Times New Roman" w:hAnsi="Times New Roman" w:cs="Times New Roman"/>
          <w:sz w:val="20"/>
          <w:szCs w:val="20"/>
        </w:rPr>
        <w:t xml:space="preserve">, Duncker und Humbolt Verlag, Berlin 1844, pp. 101-104; </w:t>
      </w:r>
      <w:r>
        <w:rPr>
          <w:rFonts w:ascii="Times New Roman" w:hAnsi="Times New Roman"/>
          <w:sz w:val="20"/>
          <w:szCs w:val="20"/>
        </w:rPr>
        <w:t xml:space="preserve">G. </w:t>
      </w:r>
      <w:r w:rsidRPr="00705099">
        <w:rPr>
          <w:rFonts w:ascii="Times New Roman" w:hAnsi="Times New Roman"/>
          <w:sz w:val="20"/>
          <w:szCs w:val="20"/>
        </w:rPr>
        <w:t xml:space="preserve">A. Magee, </w:t>
      </w:r>
      <w:r w:rsidRPr="00705099">
        <w:rPr>
          <w:rFonts w:ascii="Times New Roman" w:hAnsi="Times New Roman"/>
          <w:i/>
          <w:sz w:val="20"/>
          <w:szCs w:val="20"/>
        </w:rPr>
        <w:t>Hegel and the Hermetic Tradition</w:t>
      </w:r>
      <w:r w:rsidRPr="00705099">
        <w:rPr>
          <w:rFonts w:ascii="Times New Roman" w:hAnsi="Times New Roman"/>
          <w:sz w:val="20"/>
          <w:szCs w:val="20"/>
        </w:rPr>
        <w:t>,</w:t>
      </w:r>
      <w:r>
        <w:rPr>
          <w:rFonts w:ascii="Times New Roman" w:hAnsi="Times New Roman"/>
          <w:sz w:val="20"/>
          <w:szCs w:val="20"/>
        </w:rPr>
        <w:t xml:space="preserve"> cit., pp. 104-119</w:t>
      </w:r>
      <w:r w:rsidRPr="00705099">
        <w:rPr>
          <w:rFonts w:ascii="Times New Roman" w:hAnsi="Times New Roman"/>
          <w:sz w:val="20"/>
          <w:szCs w:val="20"/>
        </w:rPr>
        <w:t>;</w:t>
      </w:r>
      <w:r>
        <w:rPr>
          <w:rFonts w:ascii="Times New Roman" w:hAnsi="Times New Roman"/>
          <w:sz w:val="20"/>
          <w:szCs w:val="20"/>
        </w:rPr>
        <w:t xml:space="preserve"> </w:t>
      </w:r>
      <w:r w:rsidRPr="00705099">
        <w:rPr>
          <w:rFonts w:ascii="Times New Roman" w:hAnsi="Times New Roman" w:cs="Times New Roman"/>
          <w:sz w:val="20"/>
          <w:szCs w:val="20"/>
        </w:rPr>
        <w:t>G.</w:t>
      </w:r>
      <w:r>
        <w:rPr>
          <w:rFonts w:ascii="Times New Roman" w:hAnsi="Times New Roman" w:cs="Times New Roman"/>
          <w:sz w:val="20"/>
          <w:szCs w:val="20"/>
        </w:rPr>
        <w:t xml:space="preserve"> </w:t>
      </w:r>
      <w:r w:rsidRPr="00705099">
        <w:rPr>
          <w:rFonts w:ascii="Times New Roman" w:hAnsi="Times New Roman" w:cs="Times New Roman"/>
          <w:sz w:val="20"/>
          <w:szCs w:val="20"/>
        </w:rPr>
        <w:t xml:space="preserve">A. Magee, </w:t>
      </w:r>
      <w:r w:rsidRPr="00705099">
        <w:rPr>
          <w:rFonts w:ascii="Times New Roman" w:hAnsi="Times New Roman" w:cs="Times New Roman"/>
          <w:i/>
          <w:sz w:val="20"/>
          <w:szCs w:val="20"/>
          <w:lang w:val="en-GB"/>
        </w:rPr>
        <w:t>Hegel and Mysticism</w:t>
      </w:r>
      <w:r w:rsidRPr="00705099">
        <w:rPr>
          <w:rFonts w:ascii="Times New Roman" w:hAnsi="Times New Roman" w:cs="Times New Roman"/>
          <w:sz w:val="20"/>
          <w:szCs w:val="20"/>
          <w:lang w:val="en-GB"/>
        </w:rPr>
        <w:t xml:space="preserve">, in </w:t>
      </w:r>
      <w:r w:rsidRPr="00705099">
        <w:rPr>
          <w:rFonts w:ascii="Times New Roman" w:hAnsi="Times New Roman" w:cs="Times New Roman"/>
          <w:i/>
          <w:sz w:val="20"/>
          <w:szCs w:val="20"/>
          <w:lang w:val="en-GB"/>
        </w:rPr>
        <w:t>The Cambridge Companion to Hegel and the Nineteenth–</w:t>
      </w:r>
      <w:r w:rsidRPr="008B2E2F">
        <w:rPr>
          <w:rFonts w:ascii="Times New Roman" w:hAnsi="Times New Roman" w:cs="Times New Roman"/>
          <w:i/>
          <w:sz w:val="20"/>
          <w:szCs w:val="20"/>
          <w:lang w:val="en-GB"/>
        </w:rPr>
        <w:t>Century Philosophy</w:t>
      </w:r>
      <w:r w:rsidRPr="008B2E2F">
        <w:rPr>
          <w:rFonts w:ascii="Times New Roman" w:hAnsi="Times New Roman" w:cs="Times New Roman"/>
          <w:sz w:val="20"/>
          <w:szCs w:val="20"/>
          <w:lang w:val="en-GB"/>
        </w:rPr>
        <w:t xml:space="preserve">, cit., pp. 260-261; </w:t>
      </w:r>
      <w:r w:rsidRPr="008B2E2F">
        <w:rPr>
          <w:rFonts w:ascii="Times New Roman" w:hAnsi="Times New Roman"/>
          <w:sz w:val="20"/>
          <w:szCs w:val="20"/>
        </w:rPr>
        <w:t xml:space="preserve">C. Muratori, </w:t>
      </w:r>
      <w:r w:rsidRPr="008B2E2F">
        <w:rPr>
          <w:rFonts w:ascii="Times New Roman" w:hAnsi="Times New Roman" w:cs="Times New Roman"/>
          <w:i/>
          <w:sz w:val="20"/>
          <w:szCs w:val="20"/>
        </w:rPr>
        <w:t>The First German Philosopher</w:t>
      </w:r>
      <w:r w:rsidRPr="008B2E2F">
        <w:rPr>
          <w:rFonts w:ascii="Times New Roman" w:hAnsi="Times New Roman" w:cs="Times New Roman"/>
          <w:sz w:val="20"/>
          <w:szCs w:val="20"/>
        </w:rPr>
        <w:t xml:space="preserve">, cit., pp. 214-219. Personalmente ritengo la ricostruzione storico-filosofica di Helmut Schneider più convincente rispetto alle analisi di Henry Silton Harris, Alexander Magee e di Cecilia Muratori. Da un punto di vista concettuale, il </w:t>
      </w:r>
      <w:r w:rsidRPr="008B2E2F">
        <w:rPr>
          <w:rFonts w:ascii="Times New Roman" w:hAnsi="Times New Roman" w:cs="Times New Roman"/>
          <w:i/>
          <w:sz w:val="20"/>
          <w:szCs w:val="20"/>
        </w:rPr>
        <w:t xml:space="preserve">Dreieckfragment </w:t>
      </w:r>
      <w:r w:rsidRPr="008B2E2F">
        <w:rPr>
          <w:rFonts w:ascii="Times New Roman" w:hAnsi="Times New Roman" w:cs="Times New Roman"/>
          <w:sz w:val="20"/>
          <w:szCs w:val="20"/>
        </w:rPr>
        <w:t xml:space="preserve">espone un </w:t>
      </w:r>
      <w:r w:rsidRPr="008B2E2F">
        <w:rPr>
          <w:rFonts w:ascii="Times New Roman" w:hAnsi="Times New Roman" w:cs="Times New Roman"/>
          <w:i/>
          <w:sz w:val="20"/>
          <w:szCs w:val="20"/>
        </w:rPr>
        <w:t>Lebenslauf Gottes</w:t>
      </w:r>
      <w:r w:rsidRPr="008B2E2F">
        <w:rPr>
          <w:rFonts w:ascii="Times New Roman" w:hAnsi="Times New Roman" w:cs="Times New Roman"/>
          <w:sz w:val="20"/>
          <w:szCs w:val="20"/>
        </w:rPr>
        <w:t xml:space="preserve"> che assume degli elementi speculativi della tradizione paltonica. Ciò che non condivido dell’interpretazione di Schneider è il tentativo di recidere il collegamento del pensiero hegeliano con la riflessione böhmiana. Il platonismo del </w:t>
      </w:r>
      <w:r w:rsidRPr="008B2E2F">
        <w:rPr>
          <w:rFonts w:ascii="Times New Roman" w:hAnsi="Times New Roman" w:cs="Times New Roman"/>
          <w:i/>
          <w:sz w:val="20"/>
          <w:szCs w:val="20"/>
        </w:rPr>
        <w:t>Dreieckfragment</w:t>
      </w:r>
      <w:r w:rsidRPr="008B2E2F">
        <w:rPr>
          <w:rFonts w:ascii="Times New Roman" w:hAnsi="Times New Roman" w:cs="Times New Roman"/>
          <w:sz w:val="20"/>
          <w:szCs w:val="20"/>
        </w:rPr>
        <w:t>, in un certo senso, è utilizzato da Schneider per screditare coloro che hanno individuato negli inediti hegeliani del 1804/05 un’incidenza böhmiana. A cadere sotto la lente critica di Schneider è soprattutto Karl Rosenkranz, accusato di aver fornito un’immagine “teosofica” di Hegel a partire da motivazioni per lo più arbitrarie</w:t>
      </w:r>
      <w:r w:rsidRPr="008B00CF">
        <w:rPr>
          <w:rFonts w:ascii="Times New Roman" w:hAnsi="Times New Roman" w:cs="Times New Roman"/>
          <w:sz w:val="20"/>
          <w:szCs w:val="20"/>
        </w:rPr>
        <w:t xml:space="preserve"> </w:t>
      </w:r>
      <w:r w:rsidRPr="008B00CF">
        <w:rPr>
          <w:rFonts w:ascii="Times New Roman" w:eastAsia="Times New Roman" w:hAnsi="Times New Roman" w:cs="Times New Roman"/>
          <w:color w:val="000000"/>
          <w:sz w:val="20"/>
          <w:szCs w:val="20"/>
        </w:rPr>
        <w:t xml:space="preserve">(cfr. H. Scheneider, </w:t>
      </w:r>
      <w:r w:rsidRPr="008B00CF">
        <w:rPr>
          <w:rFonts w:ascii="Times New Roman" w:hAnsi="Times New Roman" w:cs="Times New Roman"/>
          <w:i/>
          <w:sz w:val="20"/>
          <w:szCs w:val="20"/>
        </w:rPr>
        <w:t>Anfänge der Systementwicklung Hegels in Jena</w:t>
      </w:r>
      <w:r w:rsidRPr="008B00CF">
        <w:rPr>
          <w:rFonts w:ascii="Times New Roman" w:hAnsi="Times New Roman" w:cs="Times New Roman"/>
          <w:sz w:val="20"/>
          <w:szCs w:val="20"/>
        </w:rPr>
        <w:t>, cit.</w:t>
      </w:r>
      <w:r w:rsidRPr="008B00CF">
        <w:rPr>
          <w:rFonts w:ascii="Times New Roman" w:eastAsia="Times New Roman" w:hAnsi="Times New Roman" w:cs="Times New Roman"/>
          <w:color w:val="000000"/>
          <w:sz w:val="20"/>
          <w:szCs w:val="20"/>
        </w:rPr>
        <w:t>, p. 158). Credo che quest’interpretazio</w:t>
      </w:r>
      <w:r w:rsidRPr="00650BF8">
        <w:rPr>
          <w:rFonts w:ascii="Times New Roman" w:eastAsia="Times New Roman" w:hAnsi="Times New Roman" w:cs="Times New Roman"/>
          <w:color w:val="000000"/>
          <w:sz w:val="20"/>
          <w:szCs w:val="20"/>
        </w:rPr>
        <w:t>ne di Schneider sia u</w:t>
      </w:r>
      <w:r>
        <w:rPr>
          <w:rFonts w:ascii="Times New Roman" w:eastAsia="Times New Roman" w:hAnsi="Times New Roman" w:cs="Times New Roman"/>
          <w:color w:val="000000"/>
          <w:sz w:val="20"/>
          <w:szCs w:val="20"/>
        </w:rPr>
        <w:t>nilaterale: quell’arbitrarietà rimproverata</w:t>
      </w:r>
      <w:r w:rsidRPr="00650BF8">
        <w:rPr>
          <w:rFonts w:ascii="Times New Roman" w:eastAsia="Times New Roman" w:hAnsi="Times New Roman" w:cs="Times New Roman"/>
          <w:color w:val="000000"/>
          <w:sz w:val="20"/>
          <w:szCs w:val="20"/>
        </w:rPr>
        <w:t xml:space="preserve"> a Rosenkranz</w:t>
      </w:r>
      <w:r>
        <w:rPr>
          <w:rFonts w:ascii="Times New Roman" w:eastAsia="Times New Roman" w:hAnsi="Times New Roman" w:cs="Times New Roman"/>
          <w:color w:val="000000"/>
          <w:sz w:val="20"/>
          <w:szCs w:val="20"/>
        </w:rPr>
        <w:t xml:space="preserve"> è riscontrabile, a mio modo di vedere, anche nelle sue analisi, che appiattiscono eccessivamente la questione degli inediti hegeliani del 1804/05 </w:t>
      </w:r>
      <w:r w:rsidRPr="009A6BCB">
        <w:rPr>
          <w:rFonts w:ascii="Times New Roman" w:eastAsia="Times New Roman" w:hAnsi="Times New Roman" w:cs="Times New Roman"/>
          <w:color w:val="000000"/>
          <w:sz w:val="20"/>
          <w:szCs w:val="20"/>
        </w:rPr>
        <w:t xml:space="preserve">su un retroterra platonico. Per una critica a Schneider </w:t>
      </w:r>
      <w:r>
        <w:rPr>
          <w:rFonts w:ascii="Times New Roman" w:eastAsia="Times New Roman" w:hAnsi="Times New Roman" w:cs="Times New Roman"/>
          <w:color w:val="000000"/>
          <w:sz w:val="20"/>
          <w:szCs w:val="20"/>
        </w:rPr>
        <w:t xml:space="preserve">di questo tipo </w:t>
      </w:r>
      <w:r w:rsidRPr="009A6BCB">
        <w:rPr>
          <w:rFonts w:ascii="Times New Roman" w:eastAsia="Times New Roman" w:hAnsi="Times New Roman" w:cs="Times New Roman"/>
          <w:color w:val="000000"/>
          <w:sz w:val="20"/>
          <w:szCs w:val="20"/>
        </w:rPr>
        <w:t xml:space="preserve">vedi </w:t>
      </w:r>
      <w:r>
        <w:rPr>
          <w:rFonts w:ascii="Times New Roman" w:eastAsia="Times New Roman" w:hAnsi="Times New Roman" w:cs="Times New Roman"/>
          <w:color w:val="000000"/>
          <w:sz w:val="20"/>
          <w:szCs w:val="20"/>
        </w:rPr>
        <w:t xml:space="preserve">anche </w:t>
      </w:r>
      <w:r w:rsidRPr="009A6BCB">
        <w:rPr>
          <w:rFonts w:ascii="Times New Roman" w:hAnsi="Times New Roman" w:cs="Times New Roman"/>
          <w:sz w:val="20"/>
          <w:szCs w:val="20"/>
        </w:rPr>
        <w:t xml:space="preserve">H. S. Harris, </w:t>
      </w:r>
      <w:r w:rsidRPr="009A6BCB">
        <w:rPr>
          <w:rFonts w:ascii="Times New Roman" w:hAnsi="Times New Roman" w:cs="Times New Roman"/>
          <w:i/>
          <w:sz w:val="20"/>
          <w:szCs w:val="20"/>
        </w:rPr>
        <w:t>Hegel’s Development. Night Thoughts (Jena</w:t>
      </w:r>
      <w:r>
        <w:rPr>
          <w:rFonts w:ascii="Times New Roman" w:hAnsi="Times New Roman" w:cs="Times New Roman"/>
          <w:i/>
          <w:sz w:val="20"/>
          <w:szCs w:val="20"/>
        </w:rPr>
        <w:t xml:space="preserve"> 1801-1806)</w:t>
      </w:r>
      <w:r>
        <w:rPr>
          <w:rFonts w:ascii="Times New Roman" w:hAnsi="Times New Roman" w:cs="Times New Roman"/>
          <w:sz w:val="20"/>
          <w:szCs w:val="20"/>
        </w:rPr>
        <w:t>,</w:t>
      </w:r>
      <w:r w:rsidRPr="008819F3">
        <w:rPr>
          <w:rFonts w:ascii="Times New Roman" w:hAnsi="Times New Roman" w:cs="Times New Roman"/>
          <w:i/>
          <w:sz w:val="20"/>
          <w:szCs w:val="20"/>
        </w:rPr>
        <w:t xml:space="preserve"> </w:t>
      </w:r>
      <w:r w:rsidRPr="008819F3">
        <w:rPr>
          <w:rFonts w:ascii="Times New Roman" w:hAnsi="Times New Roman" w:cs="Times New Roman"/>
          <w:sz w:val="20"/>
          <w:szCs w:val="20"/>
        </w:rPr>
        <w:t>Oxf</w:t>
      </w:r>
      <w:r>
        <w:rPr>
          <w:rFonts w:ascii="Times New Roman" w:hAnsi="Times New Roman" w:cs="Times New Roman"/>
          <w:sz w:val="20"/>
          <w:szCs w:val="20"/>
        </w:rPr>
        <w:t>ord University Press, Oxford 1983, p. 161</w:t>
      </w:r>
      <w:r w:rsidRPr="008819F3">
        <w:rPr>
          <w:rFonts w:ascii="Times New Roman" w:hAnsi="Times New Roman" w:cs="Times New Roman"/>
          <w:sz w:val="20"/>
          <w:szCs w:val="20"/>
        </w:rPr>
        <w:t>:</w:t>
      </w:r>
      <w:r>
        <w:rPr>
          <w:rFonts w:ascii="Times New Roman" w:hAnsi="Times New Roman" w:cs="Times New Roman"/>
          <w:sz w:val="20"/>
          <w:szCs w:val="20"/>
        </w:rPr>
        <w:t xml:space="preserve"> </w:t>
      </w:r>
      <w:r w:rsidRPr="00B81148">
        <w:rPr>
          <w:rFonts w:ascii="Times New Roman" w:hAnsi="Times New Roman" w:cs="Times New Roman"/>
          <w:sz w:val="20"/>
          <w:szCs w:val="20"/>
        </w:rPr>
        <w:t>«Schneider has reprinted all the relevant assertions of Rosenkranz; and he has shown what can be said for and against them. There is only one case which he seems to me to have slighted somewhat–that of Böhme […]. There are signs of an evolving interest in Boehme which began with fairly whole-hearted appreciation, and became predominantely critical only in 1804-1805</w:t>
      </w:r>
      <w:r w:rsidRPr="00B81148">
        <w:rPr>
          <w:rFonts w:ascii="Times New Roman" w:eastAsia="Times New Roman" w:hAnsi="Times New Roman" w:cs="Times New Roman"/>
          <w:color w:val="000000"/>
          <w:sz w:val="20"/>
          <w:szCs w:val="20"/>
        </w:rPr>
        <w:t>».</w:t>
      </w:r>
    </w:p>
  </w:footnote>
  <w:footnote w:id="280">
    <w:p w14:paraId="1889C596" w14:textId="602C2AAA" w:rsidR="00B34CC2" w:rsidRPr="00C6424D" w:rsidRDefault="00B34CC2" w:rsidP="00F721A9">
      <w:pPr>
        <w:pStyle w:val="Testonotaapidipagina"/>
        <w:jc w:val="both"/>
        <w:rPr>
          <w:rFonts w:ascii="Times New Roman" w:hAnsi="Times New Roman" w:cs="Times New Roman"/>
          <w:sz w:val="20"/>
          <w:szCs w:val="20"/>
        </w:rPr>
      </w:pPr>
      <w:r w:rsidRPr="00C6424D">
        <w:rPr>
          <w:rStyle w:val="Rimandonotaapidipagina"/>
          <w:rFonts w:ascii="Times New Roman" w:hAnsi="Times New Roman" w:cs="Times New Roman"/>
          <w:sz w:val="20"/>
          <w:szCs w:val="20"/>
        </w:rPr>
        <w:footnoteRef/>
      </w:r>
      <w:r w:rsidRPr="00C6424D">
        <w:rPr>
          <w:rFonts w:ascii="Times New Roman" w:hAnsi="Times New Roman" w:cs="Times New Roman"/>
          <w:sz w:val="20"/>
          <w:szCs w:val="20"/>
        </w:rPr>
        <w:t xml:space="preserve"> </w:t>
      </w:r>
      <w:r w:rsidRPr="00C6424D">
        <w:rPr>
          <w:rFonts w:ascii="Times New Roman" w:hAnsi="Times New Roman" w:cs="Times New Roman"/>
          <w:i/>
          <w:sz w:val="20"/>
          <w:szCs w:val="20"/>
        </w:rPr>
        <w:t>PhG</w:t>
      </w:r>
      <w:r>
        <w:rPr>
          <w:rFonts w:ascii="Times New Roman" w:hAnsi="Times New Roman" w:cs="Times New Roman"/>
          <w:sz w:val="20"/>
          <w:szCs w:val="20"/>
        </w:rPr>
        <w:t>, pp. 18-19.</w:t>
      </w:r>
    </w:p>
  </w:footnote>
  <w:footnote w:id="281">
    <w:p w14:paraId="27BDC1A7" w14:textId="15DCF294" w:rsidR="00B34CC2" w:rsidRPr="009634A5" w:rsidRDefault="00B34CC2" w:rsidP="00F721A9">
      <w:pPr>
        <w:pStyle w:val="Testonotaapidipagina"/>
        <w:jc w:val="both"/>
        <w:rPr>
          <w:rFonts w:ascii="Times New Roman" w:hAnsi="Times New Roman" w:cs="Times New Roman"/>
          <w:sz w:val="20"/>
          <w:szCs w:val="20"/>
        </w:rPr>
      </w:pPr>
      <w:r w:rsidRPr="009634A5">
        <w:rPr>
          <w:rStyle w:val="Rimandonotaapidipagina"/>
          <w:rFonts w:ascii="Times New Roman" w:hAnsi="Times New Roman" w:cs="Times New Roman"/>
          <w:sz w:val="20"/>
          <w:szCs w:val="20"/>
        </w:rPr>
        <w:footnoteRef/>
      </w:r>
      <w:r w:rsidRPr="009634A5">
        <w:rPr>
          <w:rFonts w:ascii="Times New Roman" w:hAnsi="Times New Roman" w:cs="Times New Roman"/>
          <w:sz w:val="20"/>
          <w:szCs w:val="20"/>
        </w:rPr>
        <w:t xml:space="preserve"> </w:t>
      </w:r>
      <w:r w:rsidRPr="009634A5">
        <w:rPr>
          <w:rFonts w:ascii="Times New Roman" w:hAnsi="Times New Roman" w:cs="Times New Roman"/>
          <w:i/>
          <w:sz w:val="20"/>
          <w:szCs w:val="20"/>
        </w:rPr>
        <w:t>Ibidem.</w:t>
      </w:r>
    </w:p>
  </w:footnote>
  <w:footnote w:id="282">
    <w:p w14:paraId="71919D39" w14:textId="5DFAFD69" w:rsidR="00B34CC2" w:rsidRPr="0010600E" w:rsidRDefault="00B34CC2" w:rsidP="00F721A9">
      <w:pPr>
        <w:pStyle w:val="Testonotaapidipagina"/>
        <w:jc w:val="both"/>
        <w:rPr>
          <w:rFonts w:ascii="Times New Roman" w:hAnsi="Times New Roman" w:cs="Times New Roman"/>
          <w:sz w:val="20"/>
          <w:szCs w:val="20"/>
        </w:rPr>
      </w:pPr>
      <w:r w:rsidRPr="0010600E">
        <w:rPr>
          <w:rStyle w:val="Rimandonotaapidipagina"/>
          <w:rFonts w:ascii="Times New Roman" w:hAnsi="Times New Roman" w:cs="Times New Roman"/>
          <w:sz w:val="20"/>
          <w:szCs w:val="20"/>
        </w:rPr>
        <w:footnoteRef/>
      </w:r>
      <w:r w:rsidRPr="0010600E">
        <w:rPr>
          <w:rFonts w:ascii="Times New Roman" w:hAnsi="Times New Roman" w:cs="Times New Roman"/>
          <w:sz w:val="20"/>
          <w:szCs w:val="20"/>
        </w:rPr>
        <w:t xml:space="preserve"> </w:t>
      </w:r>
      <w:r w:rsidRPr="009634A5">
        <w:rPr>
          <w:rFonts w:ascii="Times New Roman" w:hAnsi="Times New Roman" w:cs="Times New Roman"/>
          <w:i/>
          <w:sz w:val="20"/>
          <w:szCs w:val="20"/>
        </w:rPr>
        <w:t>Ibidem.</w:t>
      </w:r>
    </w:p>
  </w:footnote>
  <w:footnote w:id="283">
    <w:p w14:paraId="5F83A6CE" w14:textId="394AA5A8" w:rsidR="00B34CC2" w:rsidRPr="00CE1B27" w:rsidRDefault="00B34CC2" w:rsidP="00F721A9">
      <w:pPr>
        <w:pStyle w:val="Testonotaapidipagina"/>
        <w:jc w:val="both"/>
        <w:rPr>
          <w:rFonts w:ascii="Times New Roman" w:hAnsi="Times New Roman" w:cs="Times New Roman"/>
          <w:sz w:val="20"/>
          <w:szCs w:val="20"/>
        </w:rPr>
      </w:pPr>
      <w:r w:rsidRPr="00CE1B27">
        <w:rPr>
          <w:rStyle w:val="Rimandonotaapidipagina"/>
          <w:rFonts w:ascii="Times New Roman" w:hAnsi="Times New Roman" w:cs="Times New Roman"/>
          <w:sz w:val="20"/>
          <w:szCs w:val="20"/>
        </w:rPr>
        <w:footnoteRef/>
      </w:r>
      <w:r>
        <w:rPr>
          <w:rFonts w:ascii="Times New Roman" w:hAnsi="Times New Roman" w:cs="Times New Roman"/>
          <w:sz w:val="20"/>
          <w:szCs w:val="20"/>
        </w:rPr>
        <w:t xml:space="preserve"> </w:t>
      </w:r>
      <w:r w:rsidRPr="009634A5">
        <w:rPr>
          <w:rFonts w:ascii="Times New Roman" w:hAnsi="Times New Roman" w:cs="Times New Roman"/>
          <w:i/>
          <w:sz w:val="20"/>
          <w:szCs w:val="20"/>
        </w:rPr>
        <w:t>Ibidem.</w:t>
      </w:r>
    </w:p>
  </w:footnote>
  <w:footnote w:id="284">
    <w:p w14:paraId="4EA14076" w14:textId="017877F5" w:rsidR="00B34CC2" w:rsidRPr="00CB16F9" w:rsidRDefault="00B34CC2" w:rsidP="00F721A9">
      <w:pPr>
        <w:pStyle w:val="Testonotaapidipagina"/>
        <w:jc w:val="both"/>
        <w:rPr>
          <w:rFonts w:ascii="Times New Roman" w:hAnsi="Times New Roman" w:cs="Times New Roman"/>
          <w:sz w:val="20"/>
          <w:szCs w:val="20"/>
        </w:rPr>
      </w:pPr>
      <w:r w:rsidRPr="00CB16F9">
        <w:rPr>
          <w:rStyle w:val="Rimandonotaapidipagina"/>
          <w:rFonts w:ascii="Times New Roman" w:hAnsi="Times New Roman" w:cs="Times New Roman"/>
          <w:sz w:val="20"/>
          <w:szCs w:val="20"/>
        </w:rPr>
        <w:footnoteRef/>
      </w:r>
      <w:r w:rsidRPr="00CB16F9">
        <w:rPr>
          <w:rFonts w:ascii="Times New Roman" w:hAnsi="Times New Roman" w:cs="Times New Roman"/>
          <w:sz w:val="20"/>
          <w:szCs w:val="20"/>
        </w:rPr>
        <w:t xml:space="preserve"> </w:t>
      </w:r>
      <w:r>
        <w:rPr>
          <w:rFonts w:ascii="Times New Roman" w:hAnsi="Times New Roman"/>
          <w:sz w:val="20"/>
          <w:szCs w:val="20"/>
        </w:rPr>
        <w:t xml:space="preserve">È riguardo alla filosofia romantica della natura, e non alla filosofia schellinghiana, che Hegel utilizza l’espressione </w:t>
      </w:r>
      <w:r w:rsidRPr="00E4438B">
        <w:rPr>
          <w:rFonts w:ascii="Times New Roman" w:hAnsi="Times New Roman"/>
          <w:i/>
          <w:sz w:val="20"/>
          <w:szCs w:val="20"/>
        </w:rPr>
        <w:t>«die Nacht, worin alle Kühe schwarz sind</w:t>
      </w:r>
      <w:r w:rsidRPr="00F0501B">
        <w:rPr>
          <w:rFonts w:ascii="Times New Roman" w:eastAsia="Times New Roman" w:hAnsi="Times New Roman" w:cs="Times New Roman"/>
          <w:i/>
          <w:color w:val="000000"/>
          <w:sz w:val="20"/>
          <w:szCs w:val="20"/>
        </w:rPr>
        <w:t>»</w:t>
      </w:r>
      <w:r>
        <w:rPr>
          <w:rFonts w:ascii="Times New Roman" w:hAnsi="Times New Roman"/>
          <w:sz w:val="20"/>
          <w:szCs w:val="20"/>
        </w:rPr>
        <w:t xml:space="preserve"> (cfr. </w:t>
      </w:r>
      <w:r w:rsidRPr="00311142">
        <w:rPr>
          <w:rFonts w:ascii="Times New Roman" w:hAnsi="Times New Roman"/>
          <w:i/>
          <w:sz w:val="20"/>
          <w:szCs w:val="20"/>
        </w:rPr>
        <w:t>PhG</w:t>
      </w:r>
      <w:r>
        <w:rPr>
          <w:rFonts w:ascii="Times New Roman" w:hAnsi="Times New Roman"/>
          <w:sz w:val="20"/>
          <w:szCs w:val="20"/>
        </w:rPr>
        <w:t xml:space="preserve">, p.18) per descrivere una concezione astratta, indeterminata e indifferenziata dell’Assoluto. L’appunto hegeliano, com’è noto, si trova nello </w:t>
      </w:r>
      <w:r w:rsidRPr="00311142">
        <w:rPr>
          <w:rFonts w:ascii="Times New Roman" w:hAnsi="Times New Roman"/>
          <w:i/>
          <w:sz w:val="20"/>
          <w:szCs w:val="20"/>
        </w:rPr>
        <w:t>Jena Wastebook</w:t>
      </w:r>
      <w:r w:rsidRPr="001B7C1F">
        <w:rPr>
          <w:rFonts w:ascii="Times New Roman" w:hAnsi="Times New Roman"/>
          <w:sz w:val="20"/>
          <w:szCs w:val="20"/>
        </w:rPr>
        <w:t>. Cfr.</w:t>
      </w:r>
      <w:r w:rsidRPr="001B7C1F">
        <w:rPr>
          <w:rFonts w:ascii="Times New Roman" w:hAnsi="Times New Roman"/>
          <w:i/>
          <w:sz w:val="20"/>
          <w:szCs w:val="20"/>
        </w:rPr>
        <w:t xml:space="preserve"> SE</w:t>
      </w:r>
      <w:r w:rsidRPr="001B7C1F">
        <w:rPr>
          <w:rFonts w:ascii="Times New Roman" w:hAnsi="Times New Roman"/>
          <w:sz w:val="20"/>
          <w:szCs w:val="20"/>
        </w:rPr>
        <w:t>, p. 503: «</w:t>
      </w:r>
      <w:r w:rsidRPr="00B81148">
        <w:rPr>
          <w:rFonts w:ascii="Times New Roman" w:hAnsi="Times New Roman"/>
          <w:sz w:val="20"/>
          <w:szCs w:val="20"/>
        </w:rPr>
        <w:t>Naturphilosophie. Es wird noch geraume Zeit vergehen, ehe es ganz ohne Flunkern darin abgeht. – Gest</w:t>
      </w:r>
      <w:r w:rsidRPr="00B81148">
        <w:rPr>
          <w:rFonts w:ascii="Times New Roman" w:hAnsi="Times New Roman" w:cs="Times New Roman"/>
          <w:sz w:val="20"/>
          <w:szCs w:val="20"/>
        </w:rPr>
        <w:t>ä</w:t>
      </w:r>
      <w:r w:rsidRPr="00B81148">
        <w:rPr>
          <w:rFonts w:ascii="Times New Roman" w:hAnsi="Times New Roman"/>
          <w:sz w:val="20"/>
          <w:szCs w:val="20"/>
        </w:rPr>
        <w:t>ndnis hiervon oder dreistes Behaupten und Beharren dagegen. – Das Absolute: in der Nacht sind alle K</w:t>
      </w:r>
      <w:r w:rsidRPr="00B81148">
        <w:rPr>
          <w:rFonts w:ascii="Times New Roman" w:hAnsi="Times New Roman" w:cs="Times New Roman"/>
          <w:sz w:val="20"/>
          <w:szCs w:val="20"/>
        </w:rPr>
        <w:t>ü</w:t>
      </w:r>
      <w:r w:rsidRPr="00B81148">
        <w:rPr>
          <w:rFonts w:ascii="Times New Roman" w:hAnsi="Times New Roman"/>
          <w:sz w:val="20"/>
          <w:szCs w:val="20"/>
        </w:rPr>
        <w:t>he schwarz. – Das absolute Erkennen ist der große Besen, der alles wegfegt, qui fait la maison nette</w:t>
      </w:r>
      <w:r w:rsidRPr="00B81148">
        <w:rPr>
          <w:rFonts w:ascii="Times New Roman" w:eastAsia="Times New Roman" w:hAnsi="Times New Roman" w:cs="Times New Roman"/>
          <w:color w:val="000000"/>
          <w:sz w:val="20"/>
          <w:szCs w:val="20"/>
        </w:rPr>
        <w:t>».</w:t>
      </w:r>
    </w:p>
  </w:footnote>
  <w:footnote w:id="285">
    <w:p w14:paraId="4FF7D6F2" w14:textId="39FD9CAE" w:rsidR="00B34CC2" w:rsidRDefault="00B34CC2" w:rsidP="00F721A9">
      <w:pPr>
        <w:pStyle w:val="Testonotaapidipagina"/>
        <w:jc w:val="both"/>
      </w:pPr>
      <w:r w:rsidRPr="008F7EF7">
        <w:rPr>
          <w:rStyle w:val="Rimandonotaapidipagina"/>
          <w:sz w:val="20"/>
          <w:szCs w:val="20"/>
        </w:rPr>
        <w:footnoteRef/>
      </w:r>
      <w:r>
        <w:t xml:space="preserve"> </w:t>
      </w:r>
      <w:r w:rsidRPr="00C6424D">
        <w:rPr>
          <w:rFonts w:ascii="Times New Roman" w:hAnsi="Times New Roman" w:cs="Times New Roman"/>
          <w:i/>
          <w:sz w:val="20"/>
          <w:szCs w:val="20"/>
        </w:rPr>
        <w:t>PhG</w:t>
      </w:r>
      <w:r>
        <w:rPr>
          <w:rFonts w:ascii="Times New Roman" w:hAnsi="Times New Roman" w:cs="Times New Roman"/>
          <w:sz w:val="20"/>
          <w:szCs w:val="20"/>
        </w:rPr>
        <w:t>, p. 20.</w:t>
      </w:r>
    </w:p>
  </w:footnote>
  <w:footnote w:id="286">
    <w:p w14:paraId="02DE9ED8" w14:textId="33A9B0EF" w:rsidR="00B34CC2" w:rsidRPr="008F7EF7" w:rsidRDefault="00B34CC2" w:rsidP="00F721A9">
      <w:pPr>
        <w:pStyle w:val="Testonotaapidipagina"/>
        <w:jc w:val="both"/>
        <w:rPr>
          <w:rFonts w:ascii="Times New Roman" w:hAnsi="Times New Roman" w:cs="Times New Roman"/>
          <w:sz w:val="20"/>
          <w:szCs w:val="20"/>
        </w:rPr>
      </w:pPr>
      <w:r w:rsidRPr="00C92C52">
        <w:rPr>
          <w:rStyle w:val="Rimandonotaapidipagina"/>
          <w:rFonts w:ascii="Times New Roman" w:hAnsi="Times New Roman" w:cs="Times New Roman"/>
          <w:sz w:val="20"/>
          <w:szCs w:val="20"/>
        </w:rPr>
        <w:footnoteRef/>
      </w:r>
      <w:r w:rsidRPr="00C92C52">
        <w:rPr>
          <w:rFonts w:ascii="Times New Roman" w:hAnsi="Times New Roman" w:cs="Times New Roman"/>
          <w:sz w:val="20"/>
          <w:szCs w:val="20"/>
        </w:rPr>
        <w:t xml:space="preserve">  J. Hyppolite, </w:t>
      </w:r>
      <w:r w:rsidRPr="00C92C52">
        <w:rPr>
          <w:rFonts w:ascii="Times New Roman" w:hAnsi="Times New Roman" w:cs="Times New Roman"/>
          <w:i/>
          <w:sz w:val="20"/>
          <w:szCs w:val="20"/>
        </w:rPr>
        <w:t>Genèse et structure de la «Phénoménologie de l’esprit de Hegel</w:t>
      </w:r>
      <w:r w:rsidRPr="00C92C52">
        <w:rPr>
          <w:rFonts w:ascii="Times New Roman" w:eastAsia="Times New Roman" w:hAnsi="Times New Roman" w:cs="Times New Roman"/>
          <w:i/>
          <w:color w:val="000000"/>
          <w:sz w:val="20"/>
          <w:szCs w:val="20"/>
        </w:rPr>
        <w:t>»</w:t>
      </w:r>
      <w:r w:rsidRPr="00C92C52">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cit.</w:t>
      </w:r>
      <w:r w:rsidRPr="00C92C52">
        <w:rPr>
          <w:rFonts w:ascii="Times New Roman" w:eastAsia="Times New Roman" w:hAnsi="Times New Roman" w:cs="Times New Roman"/>
          <w:color w:val="000000"/>
          <w:sz w:val="20"/>
          <w:szCs w:val="20"/>
        </w:rPr>
        <w:t>, p. 511.</w:t>
      </w:r>
    </w:p>
  </w:footnote>
  <w:footnote w:id="287">
    <w:p w14:paraId="7D3FE683" w14:textId="7D8BA894" w:rsidR="00B34CC2" w:rsidRPr="00861085" w:rsidRDefault="00B34CC2" w:rsidP="00F721A9">
      <w:pPr>
        <w:pStyle w:val="Testonotaapidipagina"/>
        <w:jc w:val="both"/>
        <w:rPr>
          <w:rFonts w:ascii="Times New Roman" w:hAnsi="Times New Roman" w:cs="Times New Roman"/>
          <w:sz w:val="20"/>
          <w:szCs w:val="20"/>
        </w:rPr>
      </w:pPr>
      <w:r w:rsidRPr="00280DD0">
        <w:rPr>
          <w:rStyle w:val="Rimandonotaapidipagina"/>
          <w:rFonts w:ascii="Times New Roman" w:hAnsi="Times New Roman" w:cs="Times New Roman"/>
          <w:sz w:val="20"/>
          <w:szCs w:val="20"/>
        </w:rPr>
        <w:footnoteRef/>
      </w:r>
      <w:r w:rsidRPr="00280DD0">
        <w:rPr>
          <w:rFonts w:ascii="Times New Roman" w:hAnsi="Times New Roman" w:cs="Times New Roman"/>
          <w:sz w:val="20"/>
          <w:szCs w:val="20"/>
        </w:rPr>
        <w:t xml:space="preserve"> </w:t>
      </w:r>
      <w:r>
        <w:rPr>
          <w:rFonts w:ascii="Times New Roman" w:hAnsi="Times New Roman" w:cs="Times New Roman"/>
          <w:sz w:val="20"/>
          <w:szCs w:val="20"/>
        </w:rPr>
        <w:t xml:space="preserve">Cfr. </w:t>
      </w:r>
      <w:r w:rsidRPr="00280DD0">
        <w:rPr>
          <w:rFonts w:ascii="Times New Roman" w:hAnsi="Times New Roman" w:cs="Times New Roman"/>
          <w:i/>
          <w:sz w:val="20"/>
          <w:szCs w:val="20"/>
        </w:rPr>
        <w:t>PhG</w:t>
      </w:r>
      <w:r>
        <w:rPr>
          <w:rFonts w:ascii="Times New Roman" w:hAnsi="Times New Roman" w:cs="Times New Roman"/>
          <w:sz w:val="20"/>
          <w:szCs w:val="20"/>
        </w:rPr>
        <w:t xml:space="preserve">, p. 402: </w:t>
      </w:r>
      <w:r w:rsidRPr="00ED161A">
        <w:rPr>
          <w:rFonts w:ascii="Times New Roman" w:hAnsi="Times New Roman" w:cs="Times New Roman"/>
          <w:sz w:val="20"/>
          <w:szCs w:val="20"/>
        </w:rPr>
        <w:t>«Sie sind nun das, was sie für uns sind, – vom Baume gebrochene schöne Früchte, ein freundliches Schicksal reichte sie uns dar, wie ein Mädchen jene Früchte präsentiert; es gibt nicht das wirkliche Leben ihres Daseins, nicht den Baum, der sie trugt, nicht die Erde und die Elemente, die ihre Substanz, noch das Klima, das ihre Bestimmtheit ausmachte, oder den Wechsel der Jahreszeiten, die den Prozeß ihres Werdens beherrschen. – So gibt uns das Schicksal uns mit den Werken jener Kunst, nicht ihre Welt, nicht den Frühling und Sommer des sittlichen Lebens, worin sie blühten und reiften, sonder allein die eingehüllte Erinnerung dieser Wirklichkeit</w:t>
      </w:r>
      <w:r w:rsidRPr="00ED161A">
        <w:rPr>
          <w:rFonts w:ascii="Times New Roman" w:eastAsia="Times New Roman" w:hAnsi="Times New Roman" w:cs="Times New Roman"/>
          <w:color w:val="000000"/>
          <w:sz w:val="20"/>
          <w:szCs w:val="20"/>
        </w:rPr>
        <w:t>».</w:t>
      </w:r>
    </w:p>
  </w:footnote>
  <w:footnote w:id="288">
    <w:p w14:paraId="5C9B5773" w14:textId="6B59D5BA" w:rsidR="00B34CC2" w:rsidRPr="00F07090" w:rsidRDefault="00B34CC2" w:rsidP="00F721A9">
      <w:pPr>
        <w:pStyle w:val="Testonotaapidipagina"/>
        <w:jc w:val="both"/>
        <w:rPr>
          <w:rFonts w:ascii="Times New Roman" w:hAnsi="Times New Roman" w:cs="Times New Roman"/>
          <w:i/>
          <w:sz w:val="20"/>
          <w:szCs w:val="20"/>
        </w:rPr>
      </w:pPr>
      <w:r w:rsidRPr="000F2CF5">
        <w:rPr>
          <w:rStyle w:val="Rimandonotaapidipagina"/>
          <w:rFonts w:ascii="Times New Roman" w:hAnsi="Times New Roman" w:cs="Times New Roman"/>
          <w:i/>
          <w:sz w:val="20"/>
          <w:szCs w:val="20"/>
        </w:rPr>
        <w:footnoteRef/>
      </w:r>
      <w:r w:rsidRPr="000F2CF5">
        <w:rPr>
          <w:rFonts w:ascii="Times New Roman" w:hAnsi="Times New Roman" w:cs="Times New Roman"/>
          <w:i/>
          <w:sz w:val="20"/>
          <w:szCs w:val="20"/>
        </w:rPr>
        <w:t xml:space="preserve"> JSE III</w:t>
      </w:r>
      <w:r w:rsidRPr="000F2CF5">
        <w:rPr>
          <w:rFonts w:ascii="Times New Roman" w:hAnsi="Times New Roman" w:cs="Times New Roman"/>
          <w:sz w:val="20"/>
          <w:szCs w:val="20"/>
        </w:rPr>
        <w:t>, p. 282.</w:t>
      </w:r>
    </w:p>
  </w:footnote>
  <w:footnote w:id="289">
    <w:p w14:paraId="041ADC6D" w14:textId="754FCB35" w:rsidR="00B34CC2" w:rsidRDefault="00B34CC2" w:rsidP="00F721A9">
      <w:pPr>
        <w:pStyle w:val="Testonotaapidipagina"/>
        <w:jc w:val="both"/>
      </w:pPr>
      <w:r w:rsidRPr="0084483D">
        <w:rPr>
          <w:rStyle w:val="Rimandonotaapidipagina"/>
          <w:rFonts w:ascii="Times New Roman" w:hAnsi="Times New Roman"/>
          <w:sz w:val="20"/>
          <w:szCs w:val="20"/>
        </w:rPr>
        <w:footnoteRef/>
      </w:r>
      <w:r w:rsidRPr="0084483D">
        <w:rPr>
          <w:rFonts w:ascii="Times New Roman" w:hAnsi="Times New Roman"/>
          <w:sz w:val="20"/>
          <w:szCs w:val="20"/>
        </w:rPr>
        <w:t xml:space="preserve"> </w:t>
      </w:r>
      <w:r w:rsidRPr="00280DD0">
        <w:rPr>
          <w:rFonts w:ascii="Times New Roman" w:hAnsi="Times New Roman" w:cs="Times New Roman"/>
          <w:i/>
          <w:sz w:val="20"/>
          <w:szCs w:val="20"/>
        </w:rPr>
        <w:t>PhG</w:t>
      </w:r>
      <w:r>
        <w:rPr>
          <w:rFonts w:ascii="Times New Roman" w:hAnsi="Times New Roman" w:cs="Times New Roman"/>
          <w:sz w:val="20"/>
          <w:szCs w:val="20"/>
        </w:rPr>
        <w:t>, p. 401.</w:t>
      </w:r>
    </w:p>
  </w:footnote>
  <w:footnote w:id="290">
    <w:p w14:paraId="61CC034C" w14:textId="4CD9147D" w:rsidR="00B34CC2" w:rsidRPr="00A73450" w:rsidRDefault="00B34CC2" w:rsidP="00F721A9">
      <w:pPr>
        <w:pStyle w:val="Testonotaapidipagina"/>
        <w:jc w:val="both"/>
        <w:rPr>
          <w:rFonts w:ascii="Times New Roman" w:hAnsi="Times New Roman" w:cs="Times New Roman"/>
          <w:sz w:val="20"/>
          <w:szCs w:val="20"/>
        </w:rPr>
      </w:pPr>
      <w:r w:rsidRPr="00A73450">
        <w:rPr>
          <w:rStyle w:val="Rimandonotaapidipagina"/>
          <w:rFonts w:ascii="Times New Roman" w:hAnsi="Times New Roman" w:cs="Times New Roman"/>
          <w:sz w:val="20"/>
          <w:szCs w:val="20"/>
        </w:rPr>
        <w:footnoteRef/>
      </w:r>
      <w:r w:rsidRPr="00A73450">
        <w:rPr>
          <w:rFonts w:ascii="Times New Roman" w:hAnsi="Times New Roman" w:cs="Times New Roman"/>
          <w:sz w:val="20"/>
          <w:szCs w:val="20"/>
        </w:rPr>
        <w:t xml:space="preserve"> </w:t>
      </w:r>
      <w:r>
        <w:rPr>
          <w:rFonts w:ascii="Times New Roman" w:hAnsi="Times New Roman" w:cs="Times New Roman"/>
          <w:i/>
          <w:sz w:val="20"/>
          <w:szCs w:val="20"/>
        </w:rPr>
        <w:t>Ivi</w:t>
      </w:r>
      <w:r>
        <w:rPr>
          <w:rFonts w:ascii="Times New Roman" w:hAnsi="Times New Roman" w:cs="Times New Roman"/>
          <w:sz w:val="20"/>
          <w:szCs w:val="20"/>
        </w:rPr>
        <w:t xml:space="preserve">, p. 408: </w:t>
      </w:r>
      <w:r w:rsidRPr="00FA5D8C">
        <w:rPr>
          <w:rFonts w:ascii="Times New Roman" w:hAnsi="Times New Roman" w:cs="Times New Roman"/>
          <w:sz w:val="20"/>
          <w:szCs w:val="20"/>
        </w:rPr>
        <w:t>«Dieser einzelne Mensch also, als welcher das Absolute Wesen offenbar ist, vollbringt an ihm als Einzelnem die Bewegung des sinnlichen Seyns. Eri st der unmittelbar gegenwärtige Gott; dadurch geht sein Seyn in Gewesenseyn über. Das Bewußtseyn, für welches er diese sinnliche Gegenwart hat, hört , ihn zu sehen, zu hören; es hat ihn gesehen und gehört, wird es selbst geistiges Bewußtseyn oder wie er vorher als sinnliches Daseyn für es stand, ist er jetzt im Geiste gestanden</w:t>
      </w:r>
      <w:r w:rsidRPr="00FA5D8C">
        <w:rPr>
          <w:rFonts w:ascii="Times New Roman" w:eastAsia="Times New Roman" w:hAnsi="Times New Roman" w:cs="Times New Roman"/>
          <w:color w:val="000000"/>
          <w:sz w:val="20"/>
          <w:szCs w:val="20"/>
        </w:rPr>
        <w:t>».</w:t>
      </w:r>
    </w:p>
  </w:footnote>
  <w:footnote w:id="291">
    <w:p w14:paraId="374019D9" w14:textId="074450A9" w:rsidR="00B34CC2" w:rsidRPr="004C0234" w:rsidRDefault="00B34CC2" w:rsidP="00F721A9">
      <w:pPr>
        <w:pStyle w:val="Testonotaapidipagina"/>
        <w:jc w:val="both"/>
        <w:rPr>
          <w:rFonts w:ascii="Times New Roman" w:hAnsi="Times New Roman" w:cs="Times New Roman"/>
          <w:sz w:val="20"/>
          <w:szCs w:val="20"/>
        </w:rPr>
      </w:pPr>
      <w:r w:rsidRPr="00CF52B0">
        <w:rPr>
          <w:rStyle w:val="Rimandonotaapidipagina"/>
          <w:rFonts w:ascii="Times New Roman" w:hAnsi="Times New Roman" w:cs="Times New Roman"/>
          <w:sz w:val="20"/>
          <w:szCs w:val="20"/>
        </w:rPr>
        <w:footnoteRef/>
      </w:r>
      <w:r w:rsidRPr="00CF52B0">
        <w:rPr>
          <w:rFonts w:ascii="Times New Roman" w:hAnsi="Times New Roman" w:cs="Times New Roman"/>
          <w:sz w:val="20"/>
          <w:szCs w:val="20"/>
        </w:rPr>
        <w:t xml:space="preserve"> Cfr. </w:t>
      </w:r>
      <w:r w:rsidRPr="00CF52B0">
        <w:rPr>
          <w:rFonts w:ascii="Times New Roman" w:hAnsi="Times New Roman" w:cs="Times New Roman"/>
          <w:i/>
          <w:sz w:val="20"/>
          <w:szCs w:val="20"/>
        </w:rPr>
        <w:t>supra</w:t>
      </w:r>
      <w:r w:rsidRPr="00CF52B0">
        <w:rPr>
          <w:rFonts w:ascii="Times New Roman" w:hAnsi="Times New Roman" w:cs="Times New Roman"/>
          <w:sz w:val="20"/>
          <w:szCs w:val="20"/>
        </w:rPr>
        <w:t>, pp. 30-39.</w:t>
      </w:r>
    </w:p>
  </w:footnote>
  <w:footnote w:id="292">
    <w:p w14:paraId="67429949" w14:textId="0C09544B" w:rsidR="00B34CC2" w:rsidRPr="007E4145" w:rsidRDefault="00B34CC2" w:rsidP="00F721A9">
      <w:pPr>
        <w:pStyle w:val="Testonotaapidipagina"/>
        <w:jc w:val="both"/>
        <w:rPr>
          <w:rFonts w:ascii="Times New Roman" w:hAnsi="Times New Roman"/>
          <w:sz w:val="20"/>
          <w:szCs w:val="20"/>
        </w:rPr>
      </w:pPr>
      <w:r w:rsidRPr="007E4145">
        <w:rPr>
          <w:rStyle w:val="Rimandonotaapidipagina"/>
          <w:rFonts w:ascii="Times New Roman" w:hAnsi="Times New Roman"/>
          <w:sz w:val="20"/>
          <w:szCs w:val="20"/>
        </w:rPr>
        <w:footnoteRef/>
      </w:r>
      <w:r>
        <w:rPr>
          <w:rFonts w:ascii="Times New Roman" w:hAnsi="Times New Roman"/>
          <w:i/>
          <w:sz w:val="20"/>
          <w:szCs w:val="20"/>
        </w:rPr>
        <w:t xml:space="preserve"> PhG</w:t>
      </w:r>
      <w:r>
        <w:rPr>
          <w:rFonts w:ascii="Times New Roman" w:hAnsi="Times New Roman"/>
          <w:sz w:val="20"/>
          <w:szCs w:val="20"/>
        </w:rPr>
        <w:t>, p. 434.</w:t>
      </w:r>
    </w:p>
  </w:footnote>
  <w:footnote w:id="293">
    <w:p w14:paraId="114AA6E9" w14:textId="2B28CC87" w:rsidR="00B34CC2" w:rsidRPr="000E08DE" w:rsidRDefault="00B34CC2" w:rsidP="00F721A9">
      <w:pPr>
        <w:pStyle w:val="Testonotaapidipagina"/>
        <w:jc w:val="both"/>
        <w:rPr>
          <w:rFonts w:ascii="Times New Roman" w:hAnsi="Times New Roman"/>
          <w:sz w:val="20"/>
          <w:szCs w:val="20"/>
        </w:rPr>
      </w:pPr>
      <w:r w:rsidRPr="000E08DE">
        <w:rPr>
          <w:rStyle w:val="Rimandonotaapidipagina"/>
          <w:rFonts w:ascii="Times New Roman" w:hAnsi="Times New Roman"/>
          <w:sz w:val="20"/>
          <w:szCs w:val="20"/>
        </w:rPr>
        <w:footnoteRef/>
      </w:r>
      <w:r w:rsidRPr="000E08DE">
        <w:rPr>
          <w:rFonts w:ascii="Times New Roman" w:hAnsi="Times New Roman"/>
          <w:sz w:val="20"/>
          <w:szCs w:val="20"/>
        </w:rPr>
        <w:t xml:space="preserve"> </w:t>
      </w:r>
      <w:r w:rsidRPr="000E08DE">
        <w:rPr>
          <w:rFonts w:ascii="Times New Roman" w:hAnsi="Times New Roman" w:cs="Times New Roman"/>
          <w:i/>
          <w:sz w:val="20"/>
          <w:szCs w:val="20"/>
        </w:rPr>
        <w:t>JSE III</w:t>
      </w:r>
      <w:r w:rsidRPr="000E08DE">
        <w:rPr>
          <w:rFonts w:ascii="Times New Roman" w:hAnsi="Times New Roman" w:cs="Times New Roman"/>
          <w:sz w:val="20"/>
          <w:szCs w:val="20"/>
        </w:rPr>
        <w:t>, p. 282.</w:t>
      </w:r>
    </w:p>
  </w:footnote>
  <w:footnote w:id="294">
    <w:p w14:paraId="4DFDEA86" w14:textId="03E3F216" w:rsidR="00B34CC2" w:rsidRPr="00D07862" w:rsidRDefault="00B34CC2" w:rsidP="00F721A9">
      <w:pPr>
        <w:pStyle w:val="Testonotaapidipagina"/>
        <w:jc w:val="both"/>
        <w:rPr>
          <w:rFonts w:ascii="Times New Roman" w:hAnsi="Times New Roman"/>
          <w:sz w:val="20"/>
          <w:szCs w:val="20"/>
        </w:rPr>
      </w:pPr>
      <w:r w:rsidRPr="00D07862">
        <w:rPr>
          <w:rStyle w:val="Rimandonotaapidipagina"/>
          <w:rFonts w:ascii="Times New Roman" w:hAnsi="Times New Roman" w:cs="Times New Roman"/>
          <w:sz w:val="20"/>
          <w:szCs w:val="20"/>
        </w:rPr>
        <w:footnoteRef/>
      </w:r>
      <w:r w:rsidRPr="00D07862">
        <w:rPr>
          <w:rFonts w:ascii="Times New Roman" w:hAnsi="Times New Roman" w:cs="Times New Roman"/>
          <w:sz w:val="20"/>
          <w:szCs w:val="20"/>
        </w:rPr>
        <w:t xml:space="preserve"> </w:t>
      </w:r>
      <w:r w:rsidRPr="007E4145">
        <w:rPr>
          <w:rFonts w:ascii="Times New Roman" w:hAnsi="Times New Roman"/>
          <w:i/>
          <w:sz w:val="20"/>
          <w:szCs w:val="20"/>
        </w:rPr>
        <w:t>PhG</w:t>
      </w:r>
      <w:r>
        <w:rPr>
          <w:rFonts w:ascii="Times New Roman" w:hAnsi="Times New Roman"/>
          <w:sz w:val="20"/>
          <w:szCs w:val="20"/>
        </w:rPr>
        <w:t>, p. 410.</w:t>
      </w:r>
    </w:p>
  </w:footnote>
  <w:footnote w:id="295">
    <w:p w14:paraId="1A7FC830" w14:textId="108B4404" w:rsidR="00B34CC2" w:rsidRPr="005F3B5E" w:rsidRDefault="00B34CC2" w:rsidP="00F721A9">
      <w:pPr>
        <w:pStyle w:val="Testonotaapidipagina"/>
        <w:jc w:val="both"/>
        <w:rPr>
          <w:rFonts w:ascii="Times New Roman" w:hAnsi="Times New Roman" w:cs="Times New Roman"/>
          <w:sz w:val="20"/>
          <w:szCs w:val="20"/>
        </w:rPr>
      </w:pPr>
      <w:r w:rsidRPr="005F3B5E">
        <w:rPr>
          <w:rStyle w:val="Rimandonotaapidipagina"/>
          <w:rFonts w:ascii="Times New Roman" w:hAnsi="Times New Roman" w:cs="Times New Roman"/>
          <w:sz w:val="20"/>
          <w:szCs w:val="20"/>
        </w:rPr>
        <w:footnoteRef/>
      </w:r>
      <w:r w:rsidRPr="005F3B5E">
        <w:rPr>
          <w:rFonts w:ascii="Times New Roman" w:hAnsi="Times New Roman" w:cs="Times New Roman"/>
          <w:sz w:val="20"/>
          <w:szCs w:val="20"/>
        </w:rPr>
        <w:t xml:space="preserve"> </w:t>
      </w:r>
      <w:r w:rsidRPr="005F3B5E">
        <w:rPr>
          <w:rFonts w:ascii="Times New Roman" w:hAnsi="Times New Roman" w:cs="Times New Roman"/>
          <w:i/>
          <w:sz w:val="20"/>
          <w:szCs w:val="20"/>
        </w:rPr>
        <w:t>Ibidem.</w:t>
      </w:r>
    </w:p>
  </w:footnote>
  <w:footnote w:id="296">
    <w:p w14:paraId="7EF7A03E" w14:textId="54D98EA1" w:rsidR="00B34CC2" w:rsidRPr="005F3B5E" w:rsidRDefault="00B34CC2" w:rsidP="00F721A9">
      <w:pPr>
        <w:pStyle w:val="Testonotaapidipagina"/>
        <w:jc w:val="both"/>
        <w:rPr>
          <w:rFonts w:ascii="Times New Roman" w:hAnsi="Times New Roman" w:cs="Times New Roman"/>
          <w:sz w:val="20"/>
          <w:szCs w:val="20"/>
        </w:rPr>
      </w:pPr>
      <w:r w:rsidRPr="005F3B5E">
        <w:rPr>
          <w:rStyle w:val="Rimandonotaapidipagina"/>
          <w:rFonts w:ascii="Times New Roman" w:hAnsi="Times New Roman" w:cs="Times New Roman"/>
          <w:sz w:val="20"/>
          <w:szCs w:val="20"/>
        </w:rPr>
        <w:footnoteRef/>
      </w:r>
      <w:r w:rsidRPr="005F3B5E">
        <w:rPr>
          <w:rFonts w:ascii="Times New Roman" w:hAnsi="Times New Roman" w:cs="Times New Roman"/>
          <w:sz w:val="20"/>
          <w:szCs w:val="20"/>
        </w:rPr>
        <w:t xml:space="preserve"> </w:t>
      </w:r>
      <w:r w:rsidRPr="005F3B5E">
        <w:rPr>
          <w:rFonts w:ascii="Times New Roman" w:hAnsi="Times New Roman" w:cs="Times New Roman"/>
          <w:i/>
          <w:sz w:val="20"/>
          <w:szCs w:val="20"/>
        </w:rPr>
        <w:t>Ibidem.</w:t>
      </w:r>
    </w:p>
  </w:footnote>
  <w:footnote w:id="297">
    <w:p w14:paraId="62EE751C" w14:textId="4C2DA57B" w:rsidR="00B34CC2" w:rsidRPr="006A754C" w:rsidRDefault="00B34CC2" w:rsidP="00F721A9">
      <w:pPr>
        <w:pStyle w:val="Testonotaapidipagina"/>
        <w:jc w:val="both"/>
        <w:rPr>
          <w:rFonts w:ascii="Times New Roman" w:hAnsi="Times New Roman" w:cs="Times New Roman"/>
          <w:sz w:val="20"/>
          <w:szCs w:val="20"/>
        </w:rPr>
      </w:pPr>
      <w:r w:rsidRPr="006A754C">
        <w:rPr>
          <w:rStyle w:val="Rimandonotaapidipagina"/>
          <w:rFonts w:ascii="Times New Roman" w:hAnsi="Times New Roman" w:cs="Times New Roman"/>
          <w:sz w:val="20"/>
          <w:szCs w:val="20"/>
        </w:rPr>
        <w:footnoteRef/>
      </w:r>
      <w:r w:rsidRPr="006A754C">
        <w:rPr>
          <w:rFonts w:ascii="Times New Roman" w:hAnsi="Times New Roman" w:cs="Times New Roman"/>
          <w:sz w:val="20"/>
          <w:szCs w:val="20"/>
        </w:rPr>
        <w:t xml:space="preserve"> </w:t>
      </w:r>
      <w:r>
        <w:rPr>
          <w:rFonts w:ascii="Times New Roman" w:hAnsi="Times New Roman" w:cs="Times New Roman"/>
          <w:i/>
          <w:sz w:val="20"/>
          <w:szCs w:val="20"/>
        </w:rPr>
        <w:t>I</w:t>
      </w:r>
      <w:r w:rsidRPr="006A754C">
        <w:rPr>
          <w:rFonts w:ascii="Times New Roman" w:hAnsi="Times New Roman" w:cs="Times New Roman"/>
          <w:i/>
          <w:sz w:val="20"/>
          <w:szCs w:val="20"/>
        </w:rPr>
        <w:t>vi</w:t>
      </w:r>
      <w:r>
        <w:rPr>
          <w:rFonts w:ascii="Times New Roman" w:hAnsi="Times New Roman" w:cs="Times New Roman"/>
          <w:sz w:val="20"/>
          <w:szCs w:val="20"/>
        </w:rPr>
        <w:t>, p. 18.</w:t>
      </w:r>
    </w:p>
  </w:footnote>
  <w:footnote w:id="298">
    <w:p w14:paraId="6B14CCD0" w14:textId="49727318" w:rsidR="00B34CC2" w:rsidRPr="000F3E83" w:rsidRDefault="00B34CC2" w:rsidP="00F721A9">
      <w:pPr>
        <w:pStyle w:val="Testonotaapidipagina"/>
        <w:jc w:val="both"/>
        <w:rPr>
          <w:rFonts w:ascii="Times New Roman" w:hAnsi="Times New Roman" w:cs="Times New Roman"/>
          <w:sz w:val="20"/>
          <w:szCs w:val="20"/>
        </w:rPr>
      </w:pPr>
      <w:r w:rsidRPr="00AB0FAD">
        <w:rPr>
          <w:rStyle w:val="Rimandonotaapidipagina"/>
          <w:rFonts w:ascii="Times New Roman" w:hAnsi="Times New Roman" w:cs="Times New Roman"/>
          <w:sz w:val="20"/>
          <w:szCs w:val="20"/>
        </w:rPr>
        <w:footnoteRef/>
      </w:r>
      <w:r w:rsidRPr="00AB0FAD">
        <w:rPr>
          <w:rFonts w:ascii="Times New Roman" w:hAnsi="Times New Roman" w:cs="Times New Roman"/>
          <w:sz w:val="20"/>
          <w:szCs w:val="20"/>
        </w:rPr>
        <w:t xml:space="preserve"> J. Böhme, </w:t>
      </w:r>
      <w:r w:rsidRPr="00AB0FAD">
        <w:rPr>
          <w:rFonts w:ascii="Times New Roman" w:eastAsia="Times New Roman" w:hAnsi="Times New Roman" w:cs="Times New Roman"/>
          <w:i/>
          <w:color w:val="000000"/>
          <w:sz w:val="20"/>
          <w:szCs w:val="20"/>
        </w:rPr>
        <w:t>Questiones Theosophicae</w:t>
      </w:r>
      <w:r w:rsidRPr="00AB0FAD">
        <w:rPr>
          <w:rFonts w:ascii="Times New Roman" w:eastAsia="Times New Roman" w:hAnsi="Times New Roman" w:cs="Times New Roman"/>
          <w:color w:val="000000"/>
          <w:sz w:val="20"/>
          <w:szCs w:val="20"/>
        </w:rPr>
        <w:t xml:space="preserve">, in </w:t>
      </w:r>
      <w:r w:rsidRPr="00AB0FAD">
        <w:rPr>
          <w:rFonts w:ascii="Times New Roman" w:eastAsia="Times New Roman" w:hAnsi="Times New Roman" w:cs="Times New Roman"/>
          <w:i/>
          <w:color w:val="000000"/>
          <w:sz w:val="20"/>
          <w:szCs w:val="20"/>
        </w:rPr>
        <w:t>Sämtliche Schriften</w:t>
      </w:r>
      <w:r w:rsidRPr="00AB0FAD">
        <w:rPr>
          <w:rFonts w:ascii="Times New Roman" w:eastAsia="Times New Roman" w:hAnsi="Times New Roman" w:cs="Times New Roman"/>
          <w:color w:val="000000"/>
          <w:sz w:val="20"/>
          <w:szCs w:val="20"/>
        </w:rPr>
        <w:t>, cit., Bd. XVIII, p. 14.</w:t>
      </w:r>
    </w:p>
  </w:footnote>
  <w:footnote w:id="299">
    <w:p w14:paraId="7627E3EF" w14:textId="3C090ABC" w:rsidR="00B34CC2" w:rsidRPr="004E5D80" w:rsidRDefault="00B34CC2" w:rsidP="00F721A9">
      <w:pPr>
        <w:pStyle w:val="Testonotaapidipagina"/>
        <w:jc w:val="both"/>
        <w:rPr>
          <w:rFonts w:ascii="Times New Roman" w:hAnsi="Times New Roman" w:cs="Times New Roman"/>
          <w:sz w:val="20"/>
          <w:szCs w:val="20"/>
        </w:rPr>
      </w:pPr>
      <w:r w:rsidRPr="004E5D80">
        <w:rPr>
          <w:rStyle w:val="Rimandonotaapidipagina"/>
          <w:rFonts w:ascii="Times New Roman" w:hAnsi="Times New Roman" w:cs="Times New Roman"/>
          <w:sz w:val="20"/>
          <w:szCs w:val="20"/>
        </w:rPr>
        <w:footnoteRef/>
      </w:r>
      <w:r w:rsidRPr="004E5D80">
        <w:rPr>
          <w:rFonts w:ascii="Times New Roman" w:hAnsi="Times New Roman" w:cs="Times New Roman"/>
          <w:sz w:val="20"/>
          <w:szCs w:val="20"/>
        </w:rPr>
        <w:t xml:space="preserve"> </w:t>
      </w:r>
      <w:r w:rsidRPr="004E5D80">
        <w:rPr>
          <w:rFonts w:ascii="Times New Roman" w:hAnsi="Times New Roman" w:cs="Times New Roman"/>
          <w:i/>
          <w:sz w:val="20"/>
          <w:szCs w:val="20"/>
        </w:rPr>
        <w:t>Ivi</w:t>
      </w:r>
      <w:r>
        <w:rPr>
          <w:rFonts w:ascii="Times New Roman" w:hAnsi="Times New Roman" w:cs="Times New Roman"/>
          <w:sz w:val="20"/>
          <w:szCs w:val="20"/>
        </w:rPr>
        <w:t>, p. 411.</w:t>
      </w:r>
    </w:p>
  </w:footnote>
  <w:footnote w:id="300">
    <w:p w14:paraId="4E6F138C" w14:textId="3D7C15CB" w:rsidR="00B34CC2" w:rsidRPr="00AB0FAD" w:rsidRDefault="00B34CC2" w:rsidP="00F721A9">
      <w:pPr>
        <w:pStyle w:val="Testonotaapidipagina"/>
        <w:jc w:val="both"/>
        <w:rPr>
          <w:rFonts w:ascii="Times New Roman" w:hAnsi="Times New Roman" w:cs="Times New Roman"/>
          <w:sz w:val="20"/>
          <w:szCs w:val="20"/>
        </w:rPr>
      </w:pPr>
      <w:r w:rsidRPr="00AB0FAD">
        <w:rPr>
          <w:rStyle w:val="Rimandonotaapidipagina"/>
          <w:rFonts w:ascii="Times New Roman" w:hAnsi="Times New Roman" w:cs="Times New Roman"/>
          <w:sz w:val="20"/>
          <w:szCs w:val="20"/>
        </w:rPr>
        <w:footnoteRef/>
      </w:r>
      <w:r w:rsidRPr="00AB0FAD">
        <w:rPr>
          <w:rFonts w:ascii="Times New Roman" w:hAnsi="Times New Roman" w:cs="Times New Roman"/>
          <w:sz w:val="20"/>
          <w:szCs w:val="20"/>
        </w:rPr>
        <w:t xml:space="preserve"> Cfr. </w:t>
      </w:r>
      <w:r w:rsidRPr="00AB0FAD">
        <w:rPr>
          <w:rFonts w:ascii="Times New Roman" w:hAnsi="Times New Roman" w:cs="Times New Roman"/>
          <w:i/>
          <w:sz w:val="20"/>
          <w:szCs w:val="20"/>
        </w:rPr>
        <w:t>supra</w:t>
      </w:r>
      <w:r>
        <w:rPr>
          <w:rFonts w:ascii="Times New Roman" w:hAnsi="Times New Roman" w:cs="Times New Roman"/>
          <w:sz w:val="20"/>
          <w:szCs w:val="20"/>
        </w:rPr>
        <w:t>, pp. 74-79</w:t>
      </w:r>
      <w:r w:rsidRPr="00AB0FAD">
        <w:rPr>
          <w:rFonts w:ascii="Times New Roman" w:hAnsi="Times New Roman" w:cs="Times New Roman"/>
          <w:sz w:val="20"/>
          <w:szCs w:val="20"/>
        </w:rPr>
        <w:t>.</w:t>
      </w:r>
    </w:p>
  </w:footnote>
  <w:footnote w:id="301">
    <w:p w14:paraId="7E4BF0A6" w14:textId="1E9A6C4A" w:rsidR="00B34CC2" w:rsidRPr="00AB0FAD" w:rsidRDefault="00B34CC2" w:rsidP="00F721A9">
      <w:pPr>
        <w:pStyle w:val="Testonotaapidipagina"/>
        <w:jc w:val="both"/>
        <w:rPr>
          <w:rFonts w:ascii="Times New Roman" w:hAnsi="Times New Roman" w:cs="Times New Roman"/>
          <w:sz w:val="20"/>
          <w:szCs w:val="20"/>
        </w:rPr>
      </w:pPr>
      <w:r w:rsidRPr="00AB0FAD">
        <w:rPr>
          <w:rStyle w:val="Rimandonotaapidipagina"/>
          <w:rFonts w:ascii="Times New Roman" w:hAnsi="Times New Roman" w:cs="Times New Roman"/>
          <w:sz w:val="20"/>
          <w:szCs w:val="20"/>
        </w:rPr>
        <w:footnoteRef/>
      </w:r>
      <w:r w:rsidRPr="00AB0FAD">
        <w:rPr>
          <w:rFonts w:ascii="Times New Roman" w:hAnsi="Times New Roman" w:cs="Times New Roman"/>
          <w:sz w:val="20"/>
          <w:szCs w:val="20"/>
        </w:rPr>
        <w:t xml:space="preserve"> Vedi </w:t>
      </w:r>
      <w:r w:rsidRPr="00AB0FAD">
        <w:rPr>
          <w:rFonts w:ascii="Times New Roman" w:hAnsi="Times New Roman" w:cs="Times New Roman"/>
          <w:i/>
          <w:sz w:val="20"/>
          <w:szCs w:val="20"/>
        </w:rPr>
        <w:t>supra</w:t>
      </w:r>
      <w:r w:rsidRPr="00AB0FAD">
        <w:rPr>
          <w:rFonts w:ascii="Times New Roman" w:hAnsi="Times New Roman" w:cs="Times New Roman"/>
          <w:sz w:val="20"/>
          <w:szCs w:val="20"/>
        </w:rPr>
        <w:t>, pp. 96-97.</w:t>
      </w:r>
    </w:p>
  </w:footnote>
  <w:footnote w:id="302">
    <w:p w14:paraId="7A3B7882" w14:textId="19E0A21B" w:rsidR="00B34CC2" w:rsidRPr="00DA5584" w:rsidRDefault="00B34CC2" w:rsidP="00F721A9">
      <w:pPr>
        <w:pStyle w:val="Testonotaapidipagina"/>
        <w:jc w:val="both"/>
        <w:rPr>
          <w:rFonts w:ascii="Times New Roman" w:hAnsi="Times New Roman" w:cs="Times New Roman"/>
          <w:sz w:val="20"/>
          <w:szCs w:val="20"/>
        </w:rPr>
      </w:pPr>
      <w:r w:rsidRPr="00AB0FAD">
        <w:rPr>
          <w:rStyle w:val="Rimandonotaapidipagina"/>
          <w:rFonts w:ascii="Times New Roman" w:hAnsi="Times New Roman" w:cs="Times New Roman"/>
          <w:sz w:val="20"/>
          <w:szCs w:val="20"/>
        </w:rPr>
        <w:footnoteRef/>
      </w:r>
      <w:r w:rsidRPr="00AB0FAD">
        <w:rPr>
          <w:rFonts w:ascii="Times New Roman" w:hAnsi="Times New Roman" w:cs="Times New Roman"/>
          <w:i/>
          <w:sz w:val="20"/>
          <w:szCs w:val="20"/>
        </w:rPr>
        <w:t xml:space="preserve"> PhG</w:t>
      </w:r>
      <w:r w:rsidRPr="00AB0FAD">
        <w:rPr>
          <w:rFonts w:ascii="Times New Roman" w:hAnsi="Times New Roman" w:cs="Times New Roman"/>
          <w:sz w:val="20"/>
          <w:szCs w:val="20"/>
        </w:rPr>
        <w:t>, p. 412.</w:t>
      </w:r>
    </w:p>
  </w:footnote>
  <w:footnote w:id="303">
    <w:p w14:paraId="7EC301E6" w14:textId="2A4170AD" w:rsidR="00B34CC2" w:rsidRPr="0064181F" w:rsidRDefault="00B34CC2" w:rsidP="00F721A9">
      <w:pPr>
        <w:pStyle w:val="Testonotaapidipagina"/>
        <w:jc w:val="both"/>
        <w:rPr>
          <w:rFonts w:ascii="Times New Roman" w:hAnsi="Times New Roman" w:cs="Times New Roman"/>
          <w:sz w:val="20"/>
          <w:szCs w:val="20"/>
        </w:rPr>
      </w:pPr>
      <w:r w:rsidRPr="000C513B">
        <w:rPr>
          <w:rStyle w:val="Rimandonotaapidipagina"/>
          <w:rFonts w:ascii="Times New Roman" w:hAnsi="Times New Roman" w:cs="Times New Roman"/>
          <w:sz w:val="20"/>
          <w:szCs w:val="20"/>
        </w:rPr>
        <w:footnoteRef/>
      </w:r>
      <w:r w:rsidRPr="000C513B">
        <w:rPr>
          <w:rFonts w:ascii="Times New Roman" w:hAnsi="Times New Roman" w:cs="Times New Roman"/>
          <w:sz w:val="20"/>
          <w:szCs w:val="20"/>
        </w:rPr>
        <w:t xml:space="preserve"> </w:t>
      </w:r>
      <w:r>
        <w:rPr>
          <w:rFonts w:ascii="Times New Roman" w:hAnsi="Times New Roman" w:cs="Times New Roman"/>
          <w:sz w:val="20"/>
          <w:szCs w:val="20"/>
        </w:rPr>
        <w:t xml:space="preserve">Cfr. I. Kant, </w:t>
      </w:r>
      <w:r w:rsidRPr="000C513B">
        <w:rPr>
          <w:rFonts w:ascii="Times New Roman" w:hAnsi="Times New Roman" w:cs="Times New Roman"/>
          <w:i/>
          <w:sz w:val="20"/>
          <w:szCs w:val="20"/>
        </w:rPr>
        <w:t>Muthmaßlicher Anfang der Menschengeschichte</w:t>
      </w:r>
      <w:r>
        <w:rPr>
          <w:rFonts w:ascii="Times New Roman" w:hAnsi="Times New Roman" w:cs="Times New Roman"/>
          <w:sz w:val="20"/>
          <w:szCs w:val="20"/>
        </w:rPr>
        <w:t xml:space="preserve">, in </w:t>
      </w:r>
      <w:r w:rsidRPr="000C513B">
        <w:rPr>
          <w:rFonts w:ascii="Times New Roman" w:hAnsi="Times New Roman" w:cs="Times New Roman"/>
          <w:i/>
          <w:sz w:val="20"/>
          <w:szCs w:val="20"/>
        </w:rPr>
        <w:t>Kant’s Werke</w:t>
      </w:r>
      <w:r>
        <w:rPr>
          <w:rFonts w:ascii="Times New Roman" w:hAnsi="Times New Roman" w:cs="Times New Roman"/>
          <w:sz w:val="20"/>
          <w:szCs w:val="20"/>
        </w:rPr>
        <w:t xml:space="preserve">, Bd. VIII, Georg Reimer Verlag, Berlin 1912, pp. 114-115: </w:t>
      </w:r>
      <w:r w:rsidRPr="0084687D">
        <w:rPr>
          <w:rFonts w:ascii="Times New Roman" w:hAnsi="Times New Roman" w:cs="Times New Roman"/>
          <w:sz w:val="20"/>
          <w:szCs w:val="20"/>
        </w:rPr>
        <w:t>«Daß der Ausgang des Menschen aus dem ihm durch durch die Vernunft als erster enthalt seiner Gattung vorgestellten Paradiese nicht anders, als der Übergang aus der Rohigkeit eines bloß tierischen Geschöpfes in die Menschheit, aus dem Gängelwagen des Instincts zur Leitung der Vernunft, mit einem Worte, aus der Vormundschaft der Natur in den Stand der Freiheit gewesen sei […] Die Geschichte der Natur fängt also vom Guten an, denn sie ist das Werk Gottes; die Geschichte der Freiheit vom Bösen, denn sie ist Menschenwerk</w:t>
      </w:r>
      <w:r w:rsidRPr="0084687D">
        <w:rPr>
          <w:rFonts w:ascii="Times New Roman" w:eastAsia="Times New Roman" w:hAnsi="Times New Roman" w:cs="Times New Roman"/>
          <w:color w:val="000000"/>
          <w:sz w:val="20"/>
          <w:szCs w:val="20"/>
        </w:rPr>
        <w:t>».</w:t>
      </w:r>
      <w:r>
        <w:rPr>
          <w:rFonts w:ascii="Times New Roman" w:eastAsia="Times New Roman" w:hAnsi="Times New Roman" w:cs="Times New Roman"/>
          <w:color w:val="000000"/>
          <w:sz w:val="20"/>
          <w:szCs w:val="20"/>
        </w:rPr>
        <w:t xml:space="preserve"> </w:t>
      </w:r>
      <w:r w:rsidRPr="002A1A9F">
        <w:rPr>
          <w:rFonts w:ascii="Times New Roman" w:eastAsia="Times New Roman" w:hAnsi="Times New Roman" w:cs="Times New Roman"/>
          <w:color w:val="000000"/>
          <w:sz w:val="20"/>
          <w:szCs w:val="20"/>
        </w:rPr>
        <w:t xml:space="preserve">Su questo tema Kant ritorna anche nella </w:t>
      </w:r>
      <w:r w:rsidRPr="002A1A9F">
        <w:rPr>
          <w:rFonts w:ascii="Times New Roman" w:eastAsia="Times New Roman" w:hAnsi="Times New Roman" w:cs="Times New Roman"/>
          <w:i/>
          <w:color w:val="000000"/>
          <w:sz w:val="20"/>
          <w:szCs w:val="20"/>
        </w:rPr>
        <w:t>Religion innerhalb der Grenzen der bloßen Vernunft</w:t>
      </w:r>
      <w:r w:rsidRPr="002A1A9F">
        <w:rPr>
          <w:rFonts w:ascii="Times New Roman" w:eastAsia="Times New Roman" w:hAnsi="Times New Roman" w:cs="Times New Roman"/>
          <w:color w:val="000000"/>
          <w:sz w:val="20"/>
          <w:szCs w:val="20"/>
        </w:rPr>
        <w:t>: il peccato originale non deriva da una limitazione della nostra natura, ascrivibile alla caduta dei nostri progenitori, ma dall’assunzione di massime contrarie all’originaria disposizione al bene che definisce la natura dell’uomo: «Wir können also nicht nach dem Zeitursprunge, sondern müssen bloß nach dem Vernunftursprunge dieser That fragen, um darnach den Hang, d. i. den subjectiven allgemeinen Grund der nehmung einer Übertretung in unsere Maxime, wenn ein solcher ist, zu bestimmen un wo möglich zu erklären […] Wir müssen aber von einer moralischen Beschaffenheit, die uns soll zugerechnet werden, keinen Zeitursprung suchen; so unvermeidlich dieses auch ist, wenn wir ihr zufälliges Dasein erklären wollen (daher ihn auch die Schrift dieser unserer Schwäche gemäß so vorstellig gemacht haben mag)» (</w:t>
      </w:r>
      <w:r w:rsidRPr="002A1A9F">
        <w:rPr>
          <w:rFonts w:ascii="Times New Roman" w:hAnsi="Times New Roman" w:cs="Times New Roman"/>
          <w:sz w:val="20"/>
          <w:szCs w:val="20"/>
        </w:rPr>
        <w:t xml:space="preserve">I. Kant, </w:t>
      </w:r>
      <w:r w:rsidRPr="002A1A9F">
        <w:rPr>
          <w:rFonts w:ascii="Times New Roman" w:eastAsia="Times New Roman" w:hAnsi="Times New Roman" w:cs="Times New Roman"/>
          <w:i/>
          <w:color w:val="000000"/>
          <w:sz w:val="20"/>
          <w:szCs w:val="20"/>
        </w:rPr>
        <w:t>Religion innerhalb der Grenzen der bloßen Vernunft</w:t>
      </w:r>
      <w:r w:rsidRPr="002A1A9F">
        <w:rPr>
          <w:rFonts w:ascii="Times New Roman" w:eastAsia="Times New Roman" w:hAnsi="Times New Roman" w:cs="Times New Roman"/>
          <w:color w:val="000000"/>
          <w:sz w:val="20"/>
          <w:szCs w:val="20"/>
        </w:rPr>
        <w:t>, cit., pp. 41-43).</w:t>
      </w:r>
    </w:p>
  </w:footnote>
  <w:footnote w:id="304">
    <w:p w14:paraId="25A1C755" w14:textId="4BD6F307" w:rsidR="00B34CC2" w:rsidRPr="00916F16" w:rsidRDefault="00B34CC2" w:rsidP="00F721A9">
      <w:pPr>
        <w:pStyle w:val="Testonotaapidipagina"/>
        <w:jc w:val="both"/>
        <w:rPr>
          <w:rFonts w:ascii="Times New Roman" w:hAnsi="Times New Roman" w:cs="Times New Roman"/>
          <w:sz w:val="20"/>
          <w:szCs w:val="20"/>
        </w:rPr>
      </w:pPr>
      <w:r w:rsidRPr="00790E48">
        <w:rPr>
          <w:rStyle w:val="Rimandonotaapidipagina"/>
          <w:rFonts w:ascii="Times New Roman" w:hAnsi="Times New Roman" w:cs="Times New Roman"/>
          <w:sz w:val="20"/>
          <w:szCs w:val="20"/>
        </w:rPr>
        <w:footnoteRef/>
      </w:r>
      <w:r w:rsidRPr="00790E48">
        <w:rPr>
          <w:rFonts w:ascii="Times New Roman" w:hAnsi="Times New Roman" w:cs="Times New Roman"/>
          <w:sz w:val="20"/>
          <w:szCs w:val="20"/>
        </w:rPr>
        <w:t xml:space="preserve"> </w:t>
      </w:r>
      <w:r>
        <w:rPr>
          <w:rFonts w:ascii="Times New Roman" w:hAnsi="Times New Roman" w:cs="Times New Roman"/>
          <w:sz w:val="20"/>
          <w:szCs w:val="20"/>
        </w:rPr>
        <w:t xml:space="preserve">Vedi </w:t>
      </w:r>
      <w:r w:rsidRPr="00DA5584">
        <w:rPr>
          <w:rFonts w:ascii="Times New Roman" w:hAnsi="Times New Roman" w:cs="Times New Roman"/>
          <w:i/>
          <w:sz w:val="20"/>
          <w:szCs w:val="20"/>
        </w:rPr>
        <w:t>PhG</w:t>
      </w:r>
      <w:r>
        <w:rPr>
          <w:rFonts w:ascii="Times New Roman" w:hAnsi="Times New Roman" w:cs="Times New Roman"/>
          <w:sz w:val="20"/>
          <w:szCs w:val="20"/>
        </w:rPr>
        <w:t xml:space="preserve">, p. 412: </w:t>
      </w:r>
      <w:r w:rsidRPr="0084687D">
        <w:rPr>
          <w:rFonts w:ascii="Times New Roman" w:hAnsi="Times New Roman" w:cs="Times New Roman"/>
          <w:sz w:val="20"/>
          <w:szCs w:val="20"/>
        </w:rPr>
        <w:t xml:space="preserve">«Indem dieser Geist bestimmt ist, als erst unmittelbar daseyend oder als in die Mannichfaltigkeit seines Bewußtseins zerstreut, so ist sein Anderswerden das insich gehen des Wissens überhaupt. Das unmittelbare Dasein schlägt in den Gedanken, oder das nur sinnliche Bewußtsein in das Bewußtsein des Gedankens um, und zwar, weil er der aus der Unmittelbarkeit herkommende oder bedingte Gedanke ist, ist er nicht das reine Wissen, sondern der Gedanke, der das Andersseyn an ihm hat, und also der sich selbst entgegengesetzte Gedanke des Guten und des Bösen. Der Mensch wird so vorgestellt […] aus dem Zustande des unschuldigen Bewußtseins, aus der arbeitlos sich darbietenden </w:t>
      </w:r>
      <w:r w:rsidRPr="00916F16">
        <w:rPr>
          <w:rFonts w:ascii="Times New Roman" w:hAnsi="Times New Roman" w:cs="Times New Roman"/>
          <w:sz w:val="20"/>
          <w:szCs w:val="20"/>
        </w:rPr>
        <w:t>Natur und dem Paradiese, dem Garten der Thiere, vertrieben wurde</w:t>
      </w:r>
      <w:r w:rsidRPr="00916F16">
        <w:rPr>
          <w:rFonts w:ascii="Times New Roman" w:eastAsia="Times New Roman" w:hAnsi="Times New Roman" w:cs="Times New Roman"/>
          <w:color w:val="000000"/>
          <w:sz w:val="20"/>
          <w:szCs w:val="20"/>
        </w:rPr>
        <w:t>».</w:t>
      </w:r>
    </w:p>
  </w:footnote>
  <w:footnote w:id="305">
    <w:p w14:paraId="1F988A44" w14:textId="509954ED" w:rsidR="00B34CC2" w:rsidRPr="00916F16" w:rsidRDefault="00B34CC2" w:rsidP="00F721A9">
      <w:pPr>
        <w:pStyle w:val="Testonotaapidipagina"/>
        <w:jc w:val="both"/>
        <w:rPr>
          <w:rFonts w:ascii="Times New Roman" w:hAnsi="Times New Roman" w:cs="Times New Roman"/>
          <w:sz w:val="20"/>
          <w:szCs w:val="20"/>
        </w:rPr>
      </w:pPr>
      <w:r w:rsidRPr="00916F16">
        <w:rPr>
          <w:rStyle w:val="Rimandonotaapidipagina"/>
          <w:rFonts w:ascii="Times New Roman" w:hAnsi="Times New Roman" w:cs="Times New Roman"/>
          <w:sz w:val="20"/>
          <w:szCs w:val="20"/>
        </w:rPr>
        <w:footnoteRef/>
      </w:r>
      <w:r w:rsidRPr="00916F16">
        <w:rPr>
          <w:rFonts w:ascii="Times New Roman" w:hAnsi="Times New Roman" w:cs="Times New Roman"/>
          <w:sz w:val="20"/>
          <w:szCs w:val="20"/>
        </w:rPr>
        <w:t xml:space="preserve"> </w:t>
      </w:r>
      <w:r w:rsidRPr="00916F16">
        <w:rPr>
          <w:rFonts w:ascii="Times New Roman" w:hAnsi="Times New Roman" w:cs="Times New Roman"/>
          <w:i/>
          <w:sz w:val="20"/>
          <w:szCs w:val="20"/>
        </w:rPr>
        <w:t>Ibidem.</w:t>
      </w:r>
    </w:p>
  </w:footnote>
  <w:footnote w:id="306">
    <w:p w14:paraId="332E1B99" w14:textId="70A57594" w:rsidR="00B34CC2" w:rsidRPr="00916F16" w:rsidRDefault="00B34CC2" w:rsidP="00F721A9">
      <w:pPr>
        <w:pStyle w:val="Testonotaapidipagina"/>
        <w:jc w:val="both"/>
        <w:rPr>
          <w:rFonts w:ascii="Times New Roman" w:hAnsi="Times New Roman" w:cs="Times New Roman"/>
          <w:sz w:val="20"/>
          <w:szCs w:val="20"/>
        </w:rPr>
      </w:pPr>
      <w:r w:rsidRPr="00916F16">
        <w:rPr>
          <w:rStyle w:val="Rimandonotaapidipagina"/>
          <w:rFonts w:ascii="Times New Roman" w:hAnsi="Times New Roman" w:cs="Times New Roman"/>
          <w:sz w:val="20"/>
          <w:szCs w:val="20"/>
        </w:rPr>
        <w:footnoteRef/>
      </w:r>
      <w:r w:rsidRPr="00916F16">
        <w:rPr>
          <w:rFonts w:ascii="Times New Roman" w:hAnsi="Times New Roman" w:cs="Times New Roman"/>
          <w:sz w:val="20"/>
          <w:szCs w:val="20"/>
        </w:rPr>
        <w:t xml:space="preserve"> Cfr. </w:t>
      </w:r>
      <w:r w:rsidRPr="00916F16">
        <w:rPr>
          <w:rFonts w:ascii="Times New Roman" w:hAnsi="Times New Roman" w:cs="Times New Roman"/>
          <w:i/>
          <w:sz w:val="20"/>
          <w:szCs w:val="20"/>
        </w:rPr>
        <w:t>supra</w:t>
      </w:r>
      <w:r>
        <w:rPr>
          <w:rFonts w:ascii="Times New Roman" w:hAnsi="Times New Roman" w:cs="Times New Roman"/>
          <w:sz w:val="20"/>
          <w:szCs w:val="20"/>
        </w:rPr>
        <w:t>, pp. 66</w:t>
      </w:r>
      <w:r w:rsidRPr="00916F16">
        <w:rPr>
          <w:rFonts w:ascii="Times New Roman" w:hAnsi="Times New Roman" w:cs="Times New Roman"/>
          <w:sz w:val="20"/>
          <w:szCs w:val="20"/>
        </w:rPr>
        <w:t>-68.</w:t>
      </w:r>
    </w:p>
  </w:footnote>
  <w:footnote w:id="307">
    <w:p w14:paraId="3AC19EA7" w14:textId="2B8C65FB" w:rsidR="00B34CC2" w:rsidRPr="00916F16" w:rsidRDefault="00B34CC2" w:rsidP="00F721A9">
      <w:pPr>
        <w:pStyle w:val="Testonotaapidipagina"/>
        <w:jc w:val="both"/>
        <w:rPr>
          <w:rFonts w:ascii="Times New Roman" w:hAnsi="Times New Roman" w:cs="Times New Roman"/>
          <w:sz w:val="20"/>
          <w:szCs w:val="20"/>
        </w:rPr>
      </w:pPr>
      <w:r w:rsidRPr="00916F16">
        <w:rPr>
          <w:rStyle w:val="Rimandonotaapidipagina"/>
          <w:rFonts w:ascii="Times New Roman" w:hAnsi="Times New Roman" w:cs="Times New Roman"/>
          <w:sz w:val="20"/>
          <w:szCs w:val="20"/>
        </w:rPr>
        <w:footnoteRef/>
      </w:r>
      <w:r w:rsidRPr="00916F16">
        <w:rPr>
          <w:rFonts w:ascii="Times New Roman" w:hAnsi="Times New Roman" w:cs="Times New Roman"/>
          <w:sz w:val="20"/>
          <w:szCs w:val="20"/>
        </w:rPr>
        <w:t xml:space="preserve"> Ivi, p. 413. Ricollegandosi a Böhme, Hegel sostiene che «Es kann also gesagt werden, daß schon der erstgeborne Lichtsohn, als in sich gehend sey, der abgefallen aber an dessen Stelle sogleich ein anderer erzeugt worden (</w:t>
      </w:r>
      <w:r w:rsidRPr="00916F16">
        <w:rPr>
          <w:rFonts w:ascii="Times New Roman" w:hAnsi="Times New Roman" w:cs="Times New Roman"/>
          <w:i/>
          <w:sz w:val="20"/>
          <w:szCs w:val="20"/>
        </w:rPr>
        <w:t>Ibidem</w:t>
      </w:r>
      <w:r w:rsidRPr="00916F16">
        <w:rPr>
          <w:rFonts w:ascii="Times New Roman" w:hAnsi="Times New Roman" w:cs="Times New Roman"/>
          <w:sz w:val="20"/>
          <w:szCs w:val="20"/>
        </w:rPr>
        <w:t>)</w:t>
      </w:r>
      <w:r w:rsidRPr="00916F16">
        <w:rPr>
          <w:rFonts w:ascii="Times New Roman" w:eastAsia="Times New Roman" w:hAnsi="Times New Roman" w:cs="Times New Roman"/>
          <w:color w:val="000000"/>
          <w:sz w:val="20"/>
          <w:szCs w:val="20"/>
        </w:rPr>
        <w:t xml:space="preserve">». E questo secondo figlio, che viene chiamato a sostituire Lucifero, è Gesù Cristo, com’è scritto nel quattordicesimo capitolo di </w:t>
      </w:r>
      <w:r w:rsidRPr="00916F16">
        <w:rPr>
          <w:rFonts w:ascii="Times New Roman" w:eastAsia="Times New Roman" w:hAnsi="Times New Roman" w:cs="Times New Roman"/>
          <w:i/>
          <w:color w:val="000000"/>
          <w:sz w:val="20"/>
          <w:szCs w:val="20"/>
        </w:rPr>
        <w:t>Morgenröte</w:t>
      </w:r>
      <w:r w:rsidRPr="00916F16">
        <w:rPr>
          <w:rFonts w:ascii="Times New Roman" w:eastAsia="Times New Roman" w:hAnsi="Times New Roman" w:cs="Times New Roman"/>
          <w:color w:val="000000"/>
          <w:sz w:val="20"/>
          <w:szCs w:val="20"/>
        </w:rPr>
        <w:t>: «</w:t>
      </w:r>
      <w:r w:rsidRPr="00916F16">
        <w:rPr>
          <w:rFonts w:ascii="Times New Roman" w:eastAsia="Times New Roman" w:hAnsi="Times New Roman" w:cs="Times New Roman"/>
          <w:color w:val="000000"/>
          <w:sz w:val="20"/>
          <w:szCs w:val="20"/>
          <w:shd w:val="clear" w:color="auto" w:fill="FFFFFF"/>
          <w:lang w:val="de-DE"/>
        </w:rPr>
        <w:t>So aber hat ihn Gott zu einem Könige des Lichtes geschaffen. Und da er ungehorsam ward und wollte über den ganzen Gott sein, so speiete ihn Gott von seinem Stuhl und schuf inmitten unserer Zeit einen andern König aus derselben Gottheit, daraus der Herr Luzifer war geschaffen; – verstehe es recht: aus dem Salitter, der außer dem Corpus des Königs Luzifer war – und setzte ihn  den königlichen Stuhl Luzifers und gab ihm Macht und Gewalt, wie Luzifer vor seinem Fall hatte, und derselben König heißt</w:t>
      </w:r>
      <w:r w:rsidRPr="00916F16">
        <w:rPr>
          <w:rFonts w:ascii="Times New Roman" w:eastAsia="Times New Roman" w:hAnsi="Times New Roman" w:cs="Times New Roman"/>
          <w:i/>
          <w:iCs/>
          <w:color w:val="000000"/>
          <w:sz w:val="20"/>
          <w:szCs w:val="20"/>
          <w:shd w:val="clear" w:color="auto" w:fill="FFFFFF"/>
          <w:lang w:val="de-DE"/>
        </w:rPr>
        <w:t> Jesus Christus</w:t>
      </w:r>
      <w:r w:rsidRPr="00916F16">
        <w:rPr>
          <w:rFonts w:ascii="Times New Roman" w:eastAsia="Times New Roman" w:hAnsi="Times New Roman" w:cs="Times New Roman"/>
          <w:color w:val="000000"/>
          <w:sz w:val="20"/>
          <w:szCs w:val="20"/>
          <w:shd w:val="clear" w:color="auto" w:fill="FFFFFF"/>
          <w:lang w:val="de-DE"/>
        </w:rPr>
        <w:t> und ist Gottes und des Menschen Sohn</w:t>
      </w:r>
      <w:r w:rsidRPr="00916F16">
        <w:rPr>
          <w:rFonts w:ascii="Times New Roman" w:eastAsia="Times New Roman" w:hAnsi="Times New Roman" w:cs="Times New Roman"/>
          <w:color w:val="000000"/>
          <w:sz w:val="20"/>
          <w:szCs w:val="20"/>
        </w:rPr>
        <w:t>» (</w:t>
      </w:r>
      <w:r w:rsidRPr="00916F16">
        <w:rPr>
          <w:rFonts w:ascii="Times New Roman" w:hAnsi="Times New Roman" w:cs="Times New Roman"/>
          <w:sz w:val="20"/>
          <w:szCs w:val="20"/>
        </w:rPr>
        <w:t xml:space="preserve">J. Böhme, </w:t>
      </w:r>
      <w:r w:rsidRPr="00916F16">
        <w:rPr>
          <w:rFonts w:ascii="Times New Roman" w:hAnsi="Times New Roman" w:cs="Times New Roman"/>
          <w:i/>
          <w:sz w:val="20"/>
          <w:szCs w:val="20"/>
        </w:rPr>
        <w:t>Aurora</w:t>
      </w:r>
      <w:r w:rsidRPr="00916F16">
        <w:rPr>
          <w:rFonts w:ascii="Times New Roman" w:hAnsi="Times New Roman" w:cs="Times New Roman"/>
          <w:sz w:val="20"/>
          <w:szCs w:val="20"/>
        </w:rPr>
        <w:t>, cit., p. 194</w:t>
      </w:r>
      <w:r w:rsidRPr="00916F16">
        <w:rPr>
          <w:rFonts w:ascii="Times New Roman" w:eastAsia="Times New Roman" w:hAnsi="Times New Roman" w:cs="Times New Roman"/>
          <w:color w:val="000000"/>
          <w:sz w:val="20"/>
          <w:szCs w:val="20"/>
        </w:rPr>
        <w:t>).</w:t>
      </w:r>
    </w:p>
  </w:footnote>
  <w:footnote w:id="308">
    <w:p w14:paraId="24CFAE21" w14:textId="1292819F" w:rsidR="00B34CC2" w:rsidRPr="00400454" w:rsidRDefault="00B34CC2" w:rsidP="00F721A9">
      <w:pPr>
        <w:pStyle w:val="Testonotaapidipagina"/>
        <w:jc w:val="both"/>
        <w:rPr>
          <w:rFonts w:ascii="Times New Roman" w:hAnsi="Times New Roman" w:cs="Times New Roman"/>
          <w:sz w:val="20"/>
          <w:szCs w:val="20"/>
        </w:rPr>
      </w:pPr>
      <w:r w:rsidRPr="00916F16">
        <w:rPr>
          <w:rStyle w:val="Rimandonotaapidipagina"/>
          <w:rFonts w:ascii="Times New Roman" w:hAnsi="Times New Roman" w:cs="Times New Roman"/>
          <w:sz w:val="20"/>
          <w:szCs w:val="20"/>
        </w:rPr>
        <w:footnoteRef/>
      </w:r>
      <w:r w:rsidRPr="00916F16">
        <w:rPr>
          <w:rFonts w:ascii="Times New Roman" w:hAnsi="Times New Roman" w:cs="Times New Roman"/>
          <w:sz w:val="20"/>
          <w:szCs w:val="20"/>
        </w:rPr>
        <w:t xml:space="preserve"> Vedi </w:t>
      </w:r>
      <w:r w:rsidRPr="00916F16">
        <w:rPr>
          <w:rFonts w:ascii="Times New Roman" w:hAnsi="Times New Roman" w:cs="Times New Roman"/>
          <w:i/>
          <w:sz w:val="20"/>
          <w:szCs w:val="20"/>
        </w:rPr>
        <w:t>supra</w:t>
      </w:r>
      <w:r>
        <w:rPr>
          <w:rFonts w:ascii="Times New Roman" w:hAnsi="Times New Roman" w:cs="Times New Roman"/>
          <w:sz w:val="20"/>
          <w:szCs w:val="20"/>
        </w:rPr>
        <w:t>, p. 74</w:t>
      </w:r>
      <w:r w:rsidRPr="00916F16">
        <w:rPr>
          <w:rFonts w:ascii="Times New Roman" w:hAnsi="Times New Roman" w:cs="Times New Roman"/>
          <w:sz w:val="20"/>
          <w:szCs w:val="20"/>
        </w:rPr>
        <w:t>, nota 203.</w:t>
      </w:r>
    </w:p>
  </w:footnote>
  <w:footnote w:id="309">
    <w:p w14:paraId="74C00BBA" w14:textId="3EF9A4D9" w:rsidR="00B34CC2" w:rsidRPr="0084687D" w:rsidRDefault="00B34CC2" w:rsidP="00F721A9">
      <w:pPr>
        <w:pStyle w:val="Testonotaapidipagina"/>
        <w:jc w:val="both"/>
        <w:rPr>
          <w:rFonts w:ascii="Times New Roman" w:hAnsi="Times New Roman" w:cs="Times New Roman"/>
          <w:sz w:val="20"/>
          <w:szCs w:val="20"/>
        </w:rPr>
      </w:pPr>
      <w:r w:rsidRPr="00400454">
        <w:rPr>
          <w:rStyle w:val="Rimandonotaapidipagina"/>
          <w:rFonts w:ascii="Times New Roman" w:hAnsi="Times New Roman" w:cs="Times New Roman"/>
          <w:sz w:val="20"/>
          <w:szCs w:val="20"/>
        </w:rPr>
        <w:footnoteRef/>
      </w:r>
      <w:r w:rsidRPr="00400454">
        <w:rPr>
          <w:rFonts w:ascii="Times New Roman" w:hAnsi="Times New Roman" w:cs="Times New Roman"/>
          <w:sz w:val="20"/>
          <w:szCs w:val="20"/>
        </w:rPr>
        <w:t xml:space="preserve"> Vedi </w:t>
      </w:r>
      <w:r w:rsidRPr="00400454">
        <w:rPr>
          <w:rFonts w:ascii="Times New Roman" w:hAnsi="Times New Roman" w:cs="Times New Roman"/>
          <w:i/>
          <w:sz w:val="20"/>
          <w:szCs w:val="20"/>
        </w:rPr>
        <w:t>supra</w:t>
      </w:r>
      <w:r w:rsidRPr="00400454">
        <w:rPr>
          <w:rFonts w:ascii="Times New Roman" w:hAnsi="Times New Roman" w:cs="Times New Roman"/>
          <w:sz w:val="20"/>
          <w:szCs w:val="20"/>
        </w:rPr>
        <w:t>, p. 77, nota 219.</w:t>
      </w:r>
    </w:p>
  </w:footnote>
  <w:footnote w:id="310">
    <w:p w14:paraId="1498F6DC" w14:textId="1B9BFAC7" w:rsidR="00B34CC2" w:rsidRPr="00262338" w:rsidRDefault="00B34CC2" w:rsidP="00F721A9">
      <w:pPr>
        <w:pStyle w:val="Testonotaapidipagina"/>
        <w:jc w:val="both"/>
        <w:rPr>
          <w:rFonts w:ascii="Times New Roman" w:hAnsi="Times New Roman" w:cs="Times New Roman"/>
          <w:sz w:val="20"/>
          <w:szCs w:val="20"/>
        </w:rPr>
      </w:pPr>
      <w:r w:rsidRPr="00262338">
        <w:rPr>
          <w:rStyle w:val="Rimandonotaapidipagina"/>
          <w:rFonts w:ascii="Times New Roman" w:hAnsi="Times New Roman" w:cs="Times New Roman"/>
          <w:sz w:val="20"/>
          <w:szCs w:val="20"/>
        </w:rPr>
        <w:footnoteRef/>
      </w:r>
      <w:r w:rsidRPr="00262338">
        <w:rPr>
          <w:rFonts w:ascii="Times New Roman" w:hAnsi="Times New Roman" w:cs="Times New Roman"/>
          <w:sz w:val="20"/>
          <w:szCs w:val="20"/>
        </w:rPr>
        <w:t xml:space="preserve"> </w:t>
      </w:r>
      <w:r w:rsidRPr="00262338">
        <w:rPr>
          <w:rFonts w:ascii="Times New Roman" w:hAnsi="Times New Roman" w:cs="Times New Roman"/>
          <w:i/>
          <w:sz w:val="20"/>
          <w:szCs w:val="20"/>
        </w:rPr>
        <w:t>PhG</w:t>
      </w:r>
      <w:r>
        <w:rPr>
          <w:rFonts w:ascii="Times New Roman" w:hAnsi="Times New Roman" w:cs="Times New Roman"/>
          <w:sz w:val="20"/>
          <w:szCs w:val="20"/>
        </w:rPr>
        <w:t>, p. 414.</w:t>
      </w:r>
    </w:p>
  </w:footnote>
  <w:footnote w:id="311">
    <w:p w14:paraId="6234AA98" w14:textId="57C9291A" w:rsidR="00B34CC2" w:rsidRPr="00AD7550" w:rsidRDefault="00B34CC2" w:rsidP="00F721A9">
      <w:pPr>
        <w:pStyle w:val="Testonotaapidipagina"/>
        <w:jc w:val="both"/>
        <w:rPr>
          <w:rFonts w:ascii="Times New Roman" w:hAnsi="Times New Roman" w:cs="Times New Roman"/>
          <w:sz w:val="20"/>
          <w:szCs w:val="20"/>
        </w:rPr>
      </w:pPr>
      <w:r w:rsidRPr="00637082">
        <w:rPr>
          <w:rStyle w:val="Rimandonotaapidipagina"/>
          <w:rFonts w:ascii="Times New Roman" w:hAnsi="Times New Roman" w:cs="Times New Roman"/>
          <w:sz w:val="20"/>
          <w:szCs w:val="20"/>
        </w:rPr>
        <w:footnoteRef/>
      </w:r>
      <w:r w:rsidRPr="00637082">
        <w:rPr>
          <w:rFonts w:ascii="Times New Roman" w:hAnsi="Times New Roman" w:cs="Times New Roman"/>
          <w:sz w:val="20"/>
          <w:szCs w:val="20"/>
        </w:rPr>
        <w:t xml:space="preserve"> </w:t>
      </w:r>
      <w:r w:rsidRPr="00262338">
        <w:rPr>
          <w:rFonts w:ascii="Times New Roman" w:hAnsi="Times New Roman" w:cs="Times New Roman"/>
          <w:i/>
          <w:sz w:val="20"/>
          <w:szCs w:val="20"/>
        </w:rPr>
        <w:t>PhG</w:t>
      </w:r>
      <w:r>
        <w:rPr>
          <w:rFonts w:ascii="Times New Roman" w:hAnsi="Times New Roman" w:cs="Times New Roman"/>
          <w:sz w:val="20"/>
          <w:szCs w:val="20"/>
        </w:rPr>
        <w:t>, p. 413.</w:t>
      </w:r>
    </w:p>
  </w:footnote>
  <w:footnote w:id="312">
    <w:p w14:paraId="3DF02D6D" w14:textId="049F6A98" w:rsidR="00B34CC2" w:rsidRPr="00F06973" w:rsidRDefault="00B34CC2" w:rsidP="00F721A9">
      <w:pPr>
        <w:pStyle w:val="Testonotaapidipagina"/>
        <w:jc w:val="both"/>
        <w:rPr>
          <w:rFonts w:ascii="Times New Roman" w:hAnsi="Times New Roman" w:cs="Times New Roman"/>
          <w:sz w:val="20"/>
          <w:szCs w:val="20"/>
        </w:rPr>
      </w:pPr>
      <w:r w:rsidRPr="00F06973">
        <w:rPr>
          <w:rStyle w:val="Rimandonotaapidipagina"/>
          <w:rFonts w:ascii="Times New Roman" w:hAnsi="Times New Roman" w:cs="Times New Roman"/>
          <w:sz w:val="20"/>
          <w:szCs w:val="20"/>
        </w:rPr>
        <w:footnoteRef/>
      </w:r>
      <w:r w:rsidRPr="00F06973">
        <w:rPr>
          <w:rFonts w:ascii="Times New Roman" w:hAnsi="Times New Roman" w:cs="Times New Roman"/>
          <w:sz w:val="20"/>
          <w:szCs w:val="20"/>
        </w:rPr>
        <w:t xml:space="preserve"> Il tormento (</w:t>
      </w:r>
      <w:r w:rsidRPr="00F06973">
        <w:rPr>
          <w:rFonts w:ascii="Times New Roman" w:hAnsi="Times New Roman" w:cs="Times New Roman"/>
          <w:i/>
          <w:sz w:val="20"/>
          <w:szCs w:val="20"/>
        </w:rPr>
        <w:t>Qual</w:t>
      </w:r>
      <w:r w:rsidRPr="00F06973">
        <w:rPr>
          <w:rFonts w:ascii="Times New Roman" w:hAnsi="Times New Roman" w:cs="Times New Roman"/>
          <w:sz w:val="20"/>
          <w:szCs w:val="20"/>
        </w:rPr>
        <w:t xml:space="preserve">), inteso come </w:t>
      </w:r>
      <w:r>
        <w:rPr>
          <w:rFonts w:ascii="Times New Roman" w:hAnsi="Times New Roman" w:cs="Times New Roman"/>
          <w:sz w:val="20"/>
          <w:szCs w:val="20"/>
        </w:rPr>
        <w:t xml:space="preserve">radice o </w:t>
      </w:r>
      <w:r w:rsidRPr="00F06973">
        <w:rPr>
          <w:rFonts w:ascii="Times New Roman" w:hAnsi="Times New Roman" w:cs="Times New Roman"/>
          <w:sz w:val="20"/>
          <w:szCs w:val="20"/>
        </w:rPr>
        <w:t>fonte (</w:t>
      </w:r>
      <w:r w:rsidRPr="00F06973">
        <w:rPr>
          <w:rFonts w:ascii="Times New Roman" w:hAnsi="Times New Roman" w:cs="Times New Roman"/>
          <w:i/>
          <w:sz w:val="20"/>
          <w:szCs w:val="20"/>
        </w:rPr>
        <w:t>Quell</w:t>
      </w:r>
      <w:r w:rsidRPr="00F06973">
        <w:rPr>
          <w:rFonts w:ascii="Times New Roman" w:hAnsi="Times New Roman" w:cs="Times New Roman"/>
          <w:sz w:val="20"/>
          <w:szCs w:val="20"/>
        </w:rPr>
        <w:t xml:space="preserve">) interiore di sviluppo, è espressione böhmiana che troverà uno spazio nella </w:t>
      </w:r>
      <w:r w:rsidRPr="00F06973">
        <w:rPr>
          <w:rFonts w:ascii="Times New Roman" w:hAnsi="Times New Roman" w:cs="Times New Roman"/>
          <w:i/>
          <w:sz w:val="20"/>
          <w:szCs w:val="20"/>
        </w:rPr>
        <w:t>Wissenschaft der Logik</w:t>
      </w:r>
      <w:r w:rsidRPr="00F06973">
        <w:rPr>
          <w:rFonts w:ascii="Times New Roman" w:hAnsi="Times New Roman" w:cs="Times New Roman"/>
          <w:sz w:val="20"/>
          <w:szCs w:val="20"/>
        </w:rPr>
        <w:t xml:space="preserve">, nella sezione dedicata alla </w:t>
      </w:r>
      <w:r w:rsidRPr="00F06973">
        <w:rPr>
          <w:rFonts w:ascii="Times New Roman" w:hAnsi="Times New Roman" w:cs="Times New Roman"/>
          <w:i/>
          <w:sz w:val="20"/>
          <w:szCs w:val="20"/>
        </w:rPr>
        <w:t>Qualität</w:t>
      </w:r>
      <w:r w:rsidRPr="00F06973">
        <w:rPr>
          <w:rFonts w:ascii="Times New Roman" w:hAnsi="Times New Roman" w:cs="Times New Roman"/>
          <w:sz w:val="20"/>
          <w:szCs w:val="20"/>
        </w:rPr>
        <w:t>. I</w:t>
      </w:r>
      <w:r>
        <w:rPr>
          <w:rFonts w:ascii="Times New Roman" w:hAnsi="Times New Roman" w:cs="Times New Roman"/>
          <w:sz w:val="20"/>
          <w:szCs w:val="20"/>
        </w:rPr>
        <w:t>n quell</w:t>
      </w:r>
      <w:r w:rsidRPr="00F06973">
        <w:rPr>
          <w:rFonts w:ascii="Times New Roman" w:hAnsi="Times New Roman" w:cs="Times New Roman"/>
          <w:sz w:val="20"/>
          <w:szCs w:val="20"/>
        </w:rPr>
        <w:t>a sede, l’irrequietezza interiore (</w:t>
      </w:r>
      <w:r w:rsidRPr="00F06973">
        <w:rPr>
          <w:rFonts w:ascii="Times New Roman" w:hAnsi="Times New Roman" w:cs="Times New Roman"/>
          <w:i/>
          <w:sz w:val="20"/>
          <w:szCs w:val="20"/>
        </w:rPr>
        <w:t>Unruhe</w:t>
      </w:r>
      <w:r w:rsidRPr="00F06973">
        <w:rPr>
          <w:rFonts w:ascii="Times New Roman" w:hAnsi="Times New Roman" w:cs="Times New Roman"/>
          <w:sz w:val="20"/>
          <w:szCs w:val="20"/>
        </w:rPr>
        <w:t xml:space="preserve">) sarà collegata con la negatività che pervade le </w:t>
      </w:r>
      <w:r w:rsidRPr="00F06973">
        <w:rPr>
          <w:rFonts w:ascii="Times New Roman" w:hAnsi="Times New Roman" w:cs="Times New Roman"/>
          <w:i/>
          <w:sz w:val="20"/>
          <w:szCs w:val="20"/>
        </w:rPr>
        <w:t>determinazioni della riflessione</w:t>
      </w:r>
      <w:r w:rsidRPr="00F06973">
        <w:rPr>
          <w:rFonts w:ascii="Times New Roman" w:hAnsi="Times New Roman" w:cs="Times New Roman"/>
          <w:sz w:val="20"/>
          <w:szCs w:val="20"/>
        </w:rPr>
        <w:t xml:space="preserve">. Su questo tema, che reputo centrale per la comprensione di certe strutture della logica di Hegel, tornerò nel prossimo capitolo, che sarà interamente dedicato alla </w:t>
      </w:r>
      <w:r w:rsidRPr="00F06973">
        <w:rPr>
          <w:rFonts w:ascii="Times New Roman" w:hAnsi="Times New Roman" w:cs="Times New Roman"/>
          <w:i/>
          <w:sz w:val="20"/>
          <w:szCs w:val="20"/>
        </w:rPr>
        <w:t>Wissenschaft der</w:t>
      </w:r>
      <w:r w:rsidRPr="00F06973">
        <w:rPr>
          <w:rFonts w:ascii="Times New Roman" w:hAnsi="Times New Roman" w:cs="Times New Roman"/>
          <w:sz w:val="20"/>
          <w:szCs w:val="20"/>
        </w:rPr>
        <w:t xml:space="preserve"> </w:t>
      </w:r>
      <w:r w:rsidRPr="00F06973">
        <w:rPr>
          <w:rFonts w:ascii="Times New Roman" w:hAnsi="Times New Roman" w:cs="Times New Roman"/>
          <w:i/>
          <w:sz w:val="20"/>
          <w:szCs w:val="20"/>
        </w:rPr>
        <w:t>Logik</w:t>
      </w:r>
      <w:r w:rsidRPr="00F06973">
        <w:rPr>
          <w:rFonts w:ascii="Times New Roman" w:hAnsi="Times New Roman" w:cs="Times New Roman"/>
          <w:sz w:val="20"/>
          <w:szCs w:val="20"/>
        </w:rPr>
        <w:t>.</w:t>
      </w:r>
    </w:p>
  </w:footnote>
  <w:footnote w:id="313">
    <w:p w14:paraId="456243C8" w14:textId="527424C2" w:rsidR="00B34CC2" w:rsidRPr="00A27071" w:rsidRDefault="00B34CC2" w:rsidP="003C611F">
      <w:pPr>
        <w:pStyle w:val="Testonotaapidipagina"/>
        <w:jc w:val="both"/>
        <w:rPr>
          <w:rFonts w:ascii="Times New Roman" w:hAnsi="Times New Roman"/>
          <w:sz w:val="20"/>
          <w:szCs w:val="20"/>
        </w:rPr>
      </w:pPr>
      <w:r w:rsidRPr="00F877A5">
        <w:rPr>
          <w:rStyle w:val="Rimandonotaapidipagina"/>
          <w:rFonts w:ascii="Times New Roman" w:hAnsi="Times New Roman"/>
          <w:sz w:val="20"/>
          <w:szCs w:val="20"/>
        </w:rPr>
        <w:footnoteRef/>
      </w:r>
      <w:r>
        <w:rPr>
          <w:rFonts w:ascii="Times New Roman" w:hAnsi="Times New Roman"/>
          <w:sz w:val="20"/>
          <w:szCs w:val="20"/>
        </w:rPr>
        <w:t xml:space="preserve"> L</w:t>
      </w:r>
      <w:r w:rsidRPr="00F877A5">
        <w:rPr>
          <w:rFonts w:ascii="Times New Roman" w:hAnsi="Times New Roman"/>
          <w:sz w:val="20"/>
          <w:szCs w:val="20"/>
        </w:rPr>
        <w:t xml:space="preserve">a sorpresa di Schelling è attestata dalla lettera del 2 Novembre 1807. A causa dei molteplici impegni e di un’estate travagliata, Schelling comunica ad Hegel di aver letto soltanto la prima parte della </w:t>
      </w:r>
      <w:r w:rsidRPr="00F877A5">
        <w:rPr>
          <w:rFonts w:ascii="Times New Roman" w:hAnsi="Times New Roman"/>
          <w:i/>
          <w:sz w:val="20"/>
          <w:szCs w:val="20"/>
        </w:rPr>
        <w:t>Vorrede</w:t>
      </w:r>
      <w:r w:rsidRPr="00F877A5">
        <w:rPr>
          <w:rFonts w:ascii="Times New Roman" w:hAnsi="Times New Roman"/>
          <w:sz w:val="20"/>
          <w:szCs w:val="20"/>
        </w:rPr>
        <w:t xml:space="preserve"> alla </w:t>
      </w:r>
      <w:r w:rsidRPr="00F877A5">
        <w:rPr>
          <w:rFonts w:ascii="Times New Roman" w:hAnsi="Times New Roman"/>
          <w:i/>
          <w:sz w:val="20"/>
          <w:szCs w:val="20"/>
        </w:rPr>
        <w:t>Phänomenologie des Geistes</w:t>
      </w:r>
      <w:r w:rsidRPr="00F877A5">
        <w:rPr>
          <w:rFonts w:ascii="Times New Roman" w:hAnsi="Times New Roman"/>
          <w:sz w:val="20"/>
          <w:szCs w:val="20"/>
        </w:rPr>
        <w:t>. Gli attacchi mossi da He</w:t>
      </w:r>
      <w:r>
        <w:rPr>
          <w:rFonts w:ascii="Times New Roman" w:hAnsi="Times New Roman"/>
          <w:sz w:val="20"/>
          <w:szCs w:val="20"/>
        </w:rPr>
        <w:t xml:space="preserve">gel alla </w:t>
      </w:r>
      <w:r w:rsidRPr="009675D9">
        <w:rPr>
          <w:rFonts w:ascii="Times New Roman" w:hAnsi="Times New Roman"/>
          <w:i/>
          <w:sz w:val="20"/>
          <w:szCs w:val="20"/>
        </w:rPr>
        <w:t>filosofia della natura</w:t>
      </w:r>
      <w:r w:rsidRPr="00F877A5">
        <w:rPr>
          <w:rFonts w:ascii="Times New Roman" w:hAnsi="Times New Roman"/>
          <w:sz w:val="20"/>
          <w:szCs w:val="20"/>
        </w:rPr>
        <w:t xml:space="preserve"> paiono a Schelling talmente generalizzati da includere anche la propria filosofia all’interno di quelle forme di sapere che hanno ridotto l’Assoluto ad un che d’indifferenziato. Che l’Assoluto si articoli in concetto (</w:t>
      </w:r>
      <w:r w:rsidRPr="00F877A5">
        <w:rPr>
          <w:rFonts w:ascii="Times New Roman" w:hAnsi="Times New Roman"/>
          <w:i/>
          <w:sz w:val="20"/>
          <w:szCs w:val="20"/>
        </w:rPr>
        <w:t>Begriff</w:t>
      </w:r>
      <w:r>
        <w:rPr>
          <w:rFonts w:ascii="Times New Roman" w:hAnsi="Times New Roman"/>
          <w:sz w:val="20"/>
          <w:szCs w:val="20"/>
        </w:rPr>
        <w:t>) e</w:t>
      </w:r>
      <w:r w:rsidRPr="00F877A5">
        <w:rPr>
          <w:rFonts w:ascii="Times New Roman" w:hAnsi="Times New Roman"/>
          <w:sz w:val="20"/>
          <w:szCs w:val="20"/>
        </w:rPr>
        <w:t xml:space="preserve"> intuizione (</w:t>
      </w:r>
      <w:r w:rsidRPr="00F86E05">
        <w:rPr>
          <w:rFonts w:ascii="Times New Roman" w:hAnsi="Times New Roman"/>
          <w:i/>
          <w:sz w:val="20"/>
          <w:szCs w:val="20"/>
          <w:lang w:val="de-DE"/>
        </w:rPr>
        <w:t>Anschauung</w:t>
      </w:r>
      <w:r w:rsidRPr="00F877A5">
        <w:rPr>
          <w:rFonts w:ascii="Times New Roman" w:hAnsi="Times New Roman"/>
          <w:sz w:val="20"/>
          <w:szCs w:val="20"/>
        </w:rPr>
        <w:t>), e che quindi contempli in sé una differenziazione interna, rappresenta per Schelling un fatto talmente ovvio da non necessitare d’ulteriori spiegazioni e precisazioni. A detta di Schelling, Hegel dovrebbe sapere che la sua proposta filosofica non riduce l’Incondizionato ad una semplice astrazione, ma che coglie l’Indifferenza come l’unità dell’unità e dell’opposizione. In ciò è colta, espressa e restituita l’Idea. Proprio su questo punto, Schelling non ravvisa nessuna divergenza di fondo fra la propria concezione dell’Assoluto e quella di Hegel.</w:t>
      </w:r>
      <w:r>
        <w:rPr>
          <w:rFonts w:ascii="Times New Roman" w:hAnsi="Times New Roman"/>
          <w:sz w:val="20"/>
          <w:szCs w:val="20"/>
        </w:rPr>
        <w:t xml:space="preserve"> Su questi passaggi della lettera del 2 Novembre 1807 cfr. </w:t>
      </w:r>
      <w:r>
        <w:rPr>
          <w:rFonts w:ascii="Times New Roman" w:hAnsi="Times New Roman"/>
          <w:i/>
          <w:sz w:val="20"/>
          <w:szCs w:val="20"/>
        </w:rPr>
        <w:t>Briefe I</w:t>
      </w:r>
      <w:r>
        <w:rPr>
          <w:rFonts w:ascii="Times New Roman" w:hAnsi="Times New Roman"/>
          <w:sz w:val="20"/>
          <w:szCs w:val="20"/>
        </w:rPr>
        <w:t>, p. 194</w:t>
      </w:r>
      <w:r w:rsidRPr="00A27071">
        <w:rPr>
          <w:rFonts w:ascii="Times New Roman" w:hAnsi="Times New Roman"/>
          <w:sz w:val="20"/>
          <w:szCs w:val="20"/>
        </w:rPr>
        <w:t>: «</w:t>
      </w:r>
      <w:r w:rsidRPr="00A27071">
        <w:rPr>
          <w:rFonts w:ascii="Times New Roman" w:hAnsi="Times New Roman"/>
          <w:sz w:val="20"/>
          <w:szCs w:val="20"/>
          <w:lang w:val="de-DE"/>
        </w:rPr>
        <w:t>Das, worin wir wirklich verschiedener Ueberzeugung oder Ansicht sein mögen, würde sich zwischen uns ohne Aussöhnung kurz und klar ausfindig machen und entscheiden lassen; denn versöhnen läßt sich freilich alles, Eines ausgenommen. So bekenne ich, bis jetzt Deinen Sinn nicht zu begreifen, in dem Du den Begriff der Anschauung opponierst. Du kannst unter jenem doch nichts anders meinen, als was Du und ich Idee genannt haben, deren Natur es eben ist, eine Seite zu haben, von der sie Begriff, und eine, von der sie Anschauung ist</w:t>
      </w:r>
      <w:r w:rsidRPr="00A27071">
        <w:rPr>
          <w:rFonts w:ascii="Times New Roman" w:eastAsia="Times New Roman" w:hAnsi="Times New Roman" w:cs="Times New Roman"/>
          <w:color w:val="000000"/>
          <w:sz w:val="20"/>
          <w:szCs w:val="20"/>
        </w:rPr>
        <w:t>».</w:t>
      </w:r>
    </w:p>
  </w:footnote>
  <w:footnote w:id="314">
    <w:p w14:paraId="65CF23B9" w14:textId="77777777" w:rsidR="00B34CC2" w:rsidRPr="00F9051A" w:rsidRDefault="00B34CC2" w:rsidP="003C611F">
      <w:pPr>
        <w:pStyle w:val="Testonotaapidipagina"/>
        <w:jc w:val="both"/>
        <w:rPr>
          <w:rFonts w:ascii="Times New Roman" w:hAnsi="Times New Roman" w:cs="Times New Roman"/>
          <w:sz w:val="20"/>
          <w:szCs w:val="20"/>
        </w:rPr>
      </w:pPr>
      <w:r w:rsidRPr="00F9051A">
        <w:rPr>
          <w:rStyle w:val="Rimandonotaapidipagina"/>
          <w:rFonts w:ascii="Times New Roman" w:hAnsi="Times New Roman" w:cs="Times New Roman"/>
          <w:sz w:val="20"/>
          <w:szCs w:val="20"/>
        </w:rPr>
        <w:footnoteRef/>
      </w:r>
      <w:r w:rsidRPr="00F9051A">
        <w:rPr>
          <w:rFonts w:ascii="Times New Roman" w:hAnsi="Times New Roman" w:cs="Times New Roman"/>
          <w:sz w:val="20"/>
          <w:szCs w:val="20"/>
        </w:rPr>
        <w:t xml:space="preserve"> </w:t>
      </w:r>
      <w:r w:rsidRPr="00A30E32">
        <w:rPr>
          <w:rFonts w:ascii="Times New Roman" w:hAnsi="Times New Roman" w:cs="Times New Roman"/>
          <w:i/>
          <w:sz w:val="20"/>
          <w:szCs w:val="20"/>
        </w:rPr>
        <w:t>WdL</w:t>
      </w:r>
      <w:r>
        <w:rPr>
          <w:rFonts w:ascii="Times New Roman" w:hAnsi="Times New Roman" w:cs="Times New Roman"/>
          <w:i/>
          <w:sz w:val="20"/>
          <w:szCs w:val="20"/>
        </w:rPr>
        <w:t xml:space="preserve"> I</w:t>
      </w:r>
      <w:r>
        <w:rPr>
          <w:rFonts w:ascii="Times New Roman" w:hAnsi="Times New Roman" w:cs="Times New Roman"/>
          <w:sz w:val="20"/>
          <w:szCs w:val="20"/>
        </w:rPr>
        <w:t>, p. 54.</w:t>
      </w:r>
    </w:p>
  </w:footnote>
  <w:footnote w:id="315">
    <w:p w14:paraId="569A68C4" w14:textId="3E140021" w:rsidR="00B34CC2" w:rsidRPr="00BF55CC" w:rsidRDefault="00B34CC2" w:rsidP="003C611F">
      <w:pPr>
        <w:pStyle w:val="Testonotaapidipagina"/>
        <w:jc w:val="both"/>
        <w:rPr>
          <w:rFonts w:ascii="Times New Roman" w:hAnsi="Times New Roman" w:cs="Times New Roman"/>
          <w:sz w:val="20"/>
          <w:szCs w:val="20"/>
        </w:rPr>
      </w:pPr>
      <w:r w:rsidRPr="00492F44">
        <w:rPr>
          <w:rStyle w:val="Rimandonotaapidipagina"/>
          <w:rFonts w:ascii="Times New Roman" w:hAnsi="Times New Roman" w:cs="Times New Roman"/>
          <w:sz w:val="20"/>
          <w:szCs w:val="20"/>
        </w:rPr>
        <w:footnoteRef/>
      </w:r>
      <w:r w:rsidRPr="00492F44">
        <w:rPr>
          <w:rFonts w:ascii="Times New Roman" w:hAnsi="Times New Roman" w:cs="Times New Roman"/>
          <w:sz w:val="20"/>
          <w:szCs w:val="20"/>
        </w:rPr>
        <w:t xml:space="preserve"> Sono essenzialmente due i fattori che hanno precluso la comprensione dell’incidenza böhmiana sulla </w:t>
      </w:r>
      <w:r w:rsidRPr="00492F44">
        <w:rPr>
          <w:rFonts w:ascii="Times New Roman" w:hAnsi="Times New Roman" w:cs="Times New Roman"/>
          <w:i/>
          <w:sz w:val="20"/>
          <w:szCs w:val="20"/>
        </w:rPr>
        <w:t>WdL</w:t>
      </w:r>
      <w:r>
        <w:rPr>
          <w:rFonts w:ascii="Times New Roman" w:hAnsi="Times New Roman" w:cs="Times New Roman"/>
          <w:sz w:val="20"/>
          <w:szCs w:val="20"/>
        </w:rPr>
        <w:t>: 1.</w:t>
      </w:r>
      <w:r w:rsidRPr="00492F44">
        <w:rPr>
          <w:rFonts w:ascii="Times New Roman" w:hAnsi="Times New Roman" w:cs="Times New Roman"/>
          <w:sz w:val="20"/>
          <w:szCs w:val="20"/>
        </w:rPr>
        <w:t xml:space="preserve"> né la monografia di Coda, né il testo di Magee, né lo scritto della Muratori contengono un’esposizione </w:t>
      </w:r>
      <w:r>
        <w:rPr>
          <w:rFonts w:ascii="Times New Roman" w:hAnsi="Times New Roman" w:cs="Times New Roman"/>
          <w:sz w:val="20"/>
          <w:szCs w:val="20"/>
        </w:rPr>
        <w:t xml:space="preserve">esaustiva </w:t>
      </w:r>
      <w:r w:rsidRPr="00492F44">
        <w:rPr>
          <w:rFonts w:ascii="Times New Roman" w:hAnsi="Times New Roman" w:cs="Times New Roman"/>
          <w:sz w:val="20"/>
          <w:szCs w:val="20"/>
        </w:rPr>
        <w:t xml:space="preserve">della </w:t>
      </w:r>
      <w:r w:rsidRPr="00492F44">
        <w:rPr>
          <w:rFonts w:ascii="Times New Roman" w:hAnsi="Times New Roman" w:cs="Times New Roman"/>
          <w:i/>
          <w:sz w:val="20"/>
          <w:szCs w:val="20"/>
        </w:rPr>
        <w:t>Böhme-Rezeption</w:t>
      </w:r>
      <w:r>
        <w:rPr>
          <w:rFonts w:ascii="Times New Roman" w:hAnsi="Times New Roman" w:cs="Times New Roman"/>
          <w:sz w:val="20"/>
          <w:szCs w:val="20"/>
        </w:rPr>
        <w:t xml:space="preserve"> del periodo jenese; 2.</w:t>
      </w:r>
      <w:r w:rsidRPr="00492F44">
        <w:rPr>
          <w:rFonts w:ascii="Times New Roman" w:hAnsi="Times New Roman" w:cs="Times New Roman"/>
          <w:sz w:val="20"/>
          <w:szCs w:val="20"/>
        </w:rPr>
        <w:t xml:space="preserve"> senza queste coordinate concettuali non s’ottengono quegli elementi teorici necessari ad orientarsi nelle dense e difficoltose pagine della</w:t>
      </w:r>
      <w:r w:rsidRPr="00492F44">
        <w:rPr>
          <w:rFonts w:ascii="Times New Roman" w:hAnsi="Times New Roman" w:cs="Times New Roman"/>
          <w:i/>
          <w:sz w:val="20"/>
          <w:szCs w:val="20"/>
        </w:rPr>
        <w:t xml:space="preserve"> Wissenschaft der Logik</w:t>
      </w:r>
      <w:r w:rsidRPr="00492F44">
        <w:rPr>
          <w:rFonts w:ascii="Times New Roman" w:hAnsi="Times New Roman" w:cs="Times New Roman"/>
          <w:sz w:val="20"/>
          <w:szCs w:val="20"/>
        </w:rPr>
        <w:t xml:space="preserve">. Il peso teoretico di quelle che potrebbero sembrare delle affermazioni accidentali e le sfumature di significato assunte da un medesimo concetto in diversi contesti d’emissione vengono del tutto a mancare in quelli che rappresentano i maggiori contributi critici sul tema. A scopo puramente esemplificativo: la nozione böhmiana di </w:t>
      </w:r>
      <w:r w:rsidRPr="00492F44">
        <w:rPr>
          <w:rFonts w:ascii="Times New Roman" w:hAnsi="Times New Roman" w:cs="Times New Roman"/>
          <w:i/>
          <w:sz w:val="20"/>
          <w:szCs w:val="20"/>
        </w:rPr>
        <w:t>Qual</w:t>
      </w:r>
      <w:r w:rsidRPr="00492F44">
        <w:rPr>
          <w:rFonts w:ascii="Times New Roman" w:hAnsi="Times New Roman" w:cs="Times New Roman"/>
          <w:sz w:val="20"/>
          <w:szCs w:val="20"/>
        </w:rPr>
        <w:t xml:space="preserve">, che Hegel nella </w:t>
      </w:r>
      <w:r w:rsidRPr="00492F44">
        <w:rPr>
          <w:rFonts w:ascii="Times New Roman" w:hAnsi="Times New Roman" w:cs="Times New Roman"/>
          <w:i/>
          <w:sz w:val="20"/>
          <w:szCs w:val="20"/>
        </w:rPr>
        <w:t>Logik des Seyns</w:t>
      </w:r>
      <w:r w:rsidRPr="00492F44">
        <w:rPr>
          <w:rFonts w:ascii="Times New Roman" w:hAnsi="Times New Roman" w:cs="Times New Roman"/>
          <w:sz w:val="20"/>
          <w:szCs w:val="20"/>
        </w:rPr>
        <w:t xml:space="preserve"> del 1812 non associa direttamente a Böhme (cosa, questa, che sarà fatta nella revisione del testo del 1831), rispecchia l’irrequietezza interiore non soltanto di una determinazione qualitativa, ma anche delle </w:t>
      </w:r>
      <w:r w:rsidRPr="00492F44">
        <w:rPr>
          <w:rFonts w:ascii="Times New Roman" w:hAnsi="Times New Roman" w:cs="Times New Roman"/>
          <w:i/>
          <w:sz w:val="20"/>
          <w:szCs w:val="20"/>
        </w:rPr>
        <w:t>determinazioni riflessive</w:t>
      </w:r>
      <w:r w:rsidRPr="00492F44">
        <w:rPr>
          <w:rFonts w:ascii="Times New Roman" w:hAnsi="Times New Roman" w:cs="Times New Roman"/>
          <w:sz w:val="20"/>
          <w:szCs w:val="20"/>
        </w:rPr>
        <w:t xml:space="preserve">. Questo aspetto del </w:t>
      </w:r>
      <w:r w:rsidRPr="00492F44">
        <w:rPr>
          <w:rFonts w:ascii="Times New Roman" w:hAnsi="Times New Roman" w:cs="Times New Roman"/>
          <w:i/>
          <w:sz w:val="20"/>
          <w:szCs w:val="20"/>
        </w:rPr>
        <w:t>Qual</w:t>
      </w:r>
      <w:r w:rsidRPr="00492F44">
        <w:rPr>
          <w:rFonts w:ascii="Times New Roman" w:hAnsi="Times New Roman" w:cs="Times New Roman"/>
          <w:sz w:val="20"/>
          <w:szCs w:val="20"/>
        </w:rPr>
        <w:t xml:space="preserve">, ossia il suo essere esplicativo della </w:t>
      </w:r>
      <w:r w:rsidRPr="00492F44">
        <w:rPr>
          <w:rFonts w:ascii="Times New Roman" w:hAnsi="Times New Roman" w:cs="Times New Roman"/>
          <w:i/>
          <w:sz w:val="20"/>
          <w:szCs w:val="20"/>
        </w:rPr>
        <w:t xml:space="preserve">Unruhe </w:t>
      </w:r>
      <w:r w:rsidRPr="00492F44">
        <w:rPr>
          <w:rFonts w:ascii="Times New Roman" w:hAnsi="Times New Roman" w:cs="Times New Roman"/>
          <w:sz w:val="20"/>
          <w:szCs w:val="20"/>
        </w:rPr>
        <w:t xml:space="preserve">caratteristica delle </w:t>
      </w:r>
      <w:r w:rsidRPr="00492F44">
        <w:rPr>
          <w:rFonts w:ascii="Times New Roman" w:hAnsi="Times New Roman" w:cs="Times New Roman"/>
          <w:i/>
          <w:sz w:val="20"/>
          <w:szCs w:val="20"/>
        </w:rPr>
        <w:t>Reflexionsbestimmungen</w:t>
      </w:r>
      <w:r w:rsidRPr="00492F44">
        <w:rPr>
          <w:rFonts w:ascii="Times New Roman" w:hAnsi="Times New Roman" w:cs="Times New Roman"/>
          <w:sz w:val="20"/>
          <w:szCs w:val="20"/>
        </w:rPr>
        <w:t xml:space="preserve">, non è stato minimamente valorizzato dalla critica più recente (G. A, Magee, </w:t>
      </w:r>
      <w:r w:rsidRPr="00492F44">
        <w:rPr>
          <w:rFonts w:ascii="Times New Roman" w:hAnsi="Times New Roman" w:cs="Times New Roman"/>
          <w:i/>
          <w:sz w:val="20"/>
          <w:szCs w:val="20"/>
        </w:rPr>
        <w:t>Hegel and the Hermetic Tradition</w:t>
      </w:r>
      <w:r w:rsidRPr="00492F44">
        <w:rPr>
          <w:rFonts w:ascii="Times New Roman" w:hAnsi="Times New Roman" w:cs="Times New Roman"/>
          <w:sz w:val="20"/>
          <w:szCs w:val="20"/>
        </w:rPr>
        <w:t xml:space="preserve">, cit, pp. 157-165; Muratori, </w:t>
      </w:r>
      <w:r w:rsidRPr="00492F44">
        <w:rPr>
          <w:rFonts w:ascii="Times New Roman" w:hAnsi="Times New Roman" w:cs="Times New Roman"/>
          <w:i/>
          <w:sz w:val="20"/>
          <w:szCs w:val="20"/>
        </w:rPr>
        <w:t>The First German Philosopher</w:t>
      </w:r>
      <w:r w:rsidRPr="00492F44">
        <w:rPr>
          <w:rFonts w:ascii="Times New Roman" w:hAnsi="Times New Roman" w:cs="Times New Roman"/>
          <w:sz w:val="20"/>
          <w:szCs w:val="20"/>
        </w:rPr>
        <w:t xml:space="preserve">, cit., pp. 237-242). Questa lacuna interpretativa si spiega a partire dal venir meno di quel presupposto teorico immediato – la ricezione jenese dell’opera böhmiana </w:t>
      </w:r>
      <w:r w:rsidRPr="00492F44">
        <w:rPr>
          <w:rFonts w:ascii="Times New Roman" w:hAnsi="Times New Roman" w:cs="Times New Roman"/>
          <w:sz w:val="20"/>
          <w:szCs w:val="20"/>
        </w:rPr>
        <w:softHyphen/>
        <w:t>– che, se correttamente impostata, offre un’interpretazione dell’opera di Böhme incentrata sulla funzione della negatività nell’auto-esposizione dell’</w:t>
      </w:r>
      <w:r w:rsidRPr="00492F44">
        <w:rPr>
          <w:rFonts w:ascii="Times New Roman" w:hAnsi="Times New Roman" w:cs="Times New Roman"/>
          <w:i/>
          <w:sz w:val="20"/>
          <w:szCs w:val="20"/>
        </w:rPr>
        <w:t>essenza suprema</w:t>
      </w:r>
      <w:r w:rsidRPr="00492F44">
        <w:rPr>
          <w:rFonts w:ascii="Times New Roman" w:hAnsi="Times New Roman" w:cs="Times New Roman"/>
          <w:sz w:val="20"/>
          <w:szCs w:val="20"/>
        </w:rPr>
        <w:t>. Sulla questione, che ritengo di fondamentale importanza, tornerò nelle prossime pagine.</w:t>
      </w:r>
    </w:p>
  </w:footnote>
  <w:footnote w:id="316">
    <w:p w14:paraId="7CB20B01" w14:textId="6F4B6C99" w:rsidR="00B34CC2" w:rsidRPr="00BC4753" w:rsidRDefault="00B34CC2" w:rsidP="003C611F">
      <w:pPr>
        <w:pStyle w:val="Testonotaapidipagina"/>
        <w:jc w:val="both"/>
        <w:rPr>
          <w:rFonts w:ascii="Times New Roman" w:hAnsi="Times New Roman" w:cs="Times New Roman"/>
          <w:sz w:val="20"/>
          <w:szCs w:val="20"/>
        </w:rPr>
      </w:pPr>
      <w:r w:rsidRPr="00BF55CC">
        <w:rPr>
          <w:rStyle w:val="Rimandonotaapidipagina"/>
          <w:rFonts w:ascii="Times New Roman" w:hAnsi="Times New Roman" w:cs="Times New Roman"/>
          <w:sz w:val="20"/>
          <w:szCs w:val="20"/>
        </w:rPr>
        <w:footnoteRef/>
      </w:r>
      <w:r w:rsidRPr="00BF55CC">
        <w:rPr>
          <w:rFonts w:ascii="Times New Roman" w:hAnsi="Times New Roman" w:cs="Times New Roman"/>
          <w:sz w:val="20"/>
          <w:szCs w:val="20"/>
        </w:rPr>
        <w:t xml:space="preserve"> Anche in questo caso, colui che ha riscontrato tutta una serie d’analogie esteriori fra l’opera di Böhme e la logica di Hegel è Glenn Alexander Magee. Nel già ricordato </w:t>
      </w:r>
      <w:r w:rsidRPr="00BF55CC">
        <w:rPr>
          <w:rFonts w:ascii="Times New Roman" w:hAnsi="Times New Roman" w:cs="Times New Roman"/>
          <w:i/>
          <w:sz w:val="20"/>
          <w:szCs w:val="20"/>
        </w:rPr>
        <w:t>Hegel and the Hermetic Tradition</w:t>
      </w:r>
      <w:r w:rsidRPr="00BF55CC">
        <w:rPr>
          <w:rFonts w:ascii="Times New Roman" w:hAnsi="Times New Roman" w:cs="Times New Roman"/>
          <w:sz w:val="20"/>
          <w:szCs w:val="20"/>
        </w:rPr>
        <w:t>, si sostiene addirittura che la teoria böhmiana de</w:t>
      </w:r>
      <w:r>
        <w:rPr>
          <w:rFonts w:ascii="Times New Roman" w:hAnsi="Times New Roman" w:cs="Times New Roman"/>
          <w:sz w:val="20"/>
          <w:szCs w:val="20"/>
        </w:rPr>
        <w:t>lle qualità trova</w:t>
      </w:r>
      <w:r w:rsidRPr="00BF55CC">
        <w:rPr>
          <w:rFonts w:ascii="Times New Roman" w:hAnsi="Times New Roman" w:cs="Times New Roman"/>
          <w:sz w:val="20"/>
          <w:szCs w:val="20"/>
        </w:rPr>
        <w:t xml:space="preserve"> un corrispettivo nella teoria logica delle </w:t>
      </w:r>
      <w:r w:rsidRPr="00BF55CC">
        <w:rPr>
          <w:rFonts w:ascii="Times New Roman" w:hAnsi="Times New Roman" w:cs="Times New Roman"/>
          <w:i/>
          <w:sz w:val="20"/>
          <w:szCs w:val="20"/>
        </w:rPr>
        <w:t>Denkbestimmungen</w:t>
      </w:r>
      <w:r w:rsidRPr="00BF55CC">
        <w:rPr>
          <w:rFonts w:ascii="Times New Roman" w:hAnsi="Times New Roman" w:cs="Times New Roman"/>
          <w:sz w:val="20"/>
          <w:szCs w:val="20"/>
        </w:rPr>
        <w:t>: così come ogni qualità si connette, comprendendole in sé ed essendone a propria volta compresa, con le altre qualità, allo stesso modo le determinazioni di pensiero (</w:t>
      </w:r>
      <w:r w:rsidRPr="00BF55CC">
        <w:rPr>
          <w:rFonts w:ascii="Times New Roman" w:hAnsi="Times New Roman" w:cs="Times New Roman"/>
          <w:i/>
          <w:sz w:val="20"/>
          <w:szCs w:val="20"/>
        </w:rPr>
        <w:t>Denkbestimmungen</w:t>
      </w:r>
      <w:r w:rsidRPr="00BF55CC">
        <w:rPr>
          <w:rFonts w:ascii="Times New Roman" w:hAnsi="Times New Roman" w:cs="Times New Roman"/>
          <w:sz w:val="20"/>
          <w:szCs w:val="20"/>
        </w:rPr>
        <w:t xml:space="preserve">) costituiscono un intero in cui è realizzata l’unità del pensiero con se stesso. Per Magee, l’unità circolare dei sette </w:t>
      </w:r>
      <w:r w:rsidRPr="00BF55CC">
        <w:rPr>
          <w:rFonts w:ascii="Times New Roman" w:hAnsi="Times New Roman" w:cs="Times New Roman"/>
          <w:i/>
          <w:sz w:val="20"/>
          <w:szCs w:val="20"/>
        </w:rPr>
        <w:t>Quellgeister</w:t>
      </w:r>
      <w:r w:rsidRPr="00BF55CC">
        <w:rPr>
          <w:rFonts w:ascii="Times New Roman" w:hAnsi="Times New Roman" w:cs="Times New Roman"/>
          <w:sz w:val="20"/>
          <w:szCs w:val="20"/>
        </w:rPr>
        <w:t xml:space="preserve"> rappresenterebbe una possibile fonte dello sviluppo circolare</w:t>
      </w:r>
      <w:r>
        <w:rPr>
          <w:rFonts w:ascii="Times New Roman" w:hAnsi="Times New Roman" w:cs="Times New Roman"/>
          <w:sz w:val="20"/>
          <w:szCs w:val="20"/>
        </w:rPr>
        <w:t xml:space="preserve"> dell’Idea hegeliana (cfr. G. A.</w:t>
      </w:r>
      <w:r w:rsidRPr="00BF55CC">
        <w:rPr>
          <w:rFonts w:ascii="Times New Roman" w:hAnsi="Times New Roman" w:cs="Times New Roman"/>
          <w:sz w:val="20"/>
          <w:szCs w:val="20"/>
        </w:rPr>
        <w:t xml:space="preserve"> Magee, </w:t>
      </w:r>
      <w:r w:rsidRPr="00BF55CC">
        <w:rPr>
          <w:rFonts w:ascii="Times New Roman" w:hAnsi="Times New Roman" w:cs="Times New Roman"/>
          <w:i/>
          <w:sz w:val="20"/>
          <w:szCs w:val="20"/>
        </w:rPr>
        <w:t>Hegel and the Hermetic Tradition</w:t>
      </w:r>
      <w:r w:rsidRPr="00BF55CC">
        <w:rPr>
          <w:rFonts w:ascii="Times New Roman" w:hAnsi="Times New Roman" w:cs="Times New Roman"/>
          <w:sz w:val="20"/>
          <w:szCs w:val="20"/>
        </w:rPr>
        <w:t xml:space="preserve">, cit, p. 161).  Sembra quasi superfluo dover dire che quest’analisi sia basata su un confronto non testuale, meramente </w:t>
      </w:r>
      <w:r>
        <w:rPr>
          <w:rFonts w:ascii="Times New Roman" w:hAnsi="Times New Roman" w:cs="Times New Roman"/>
          <w:sz w:val="20"/>
          <w:szCs w:val="20"/>
        </w:rPr>
        <w:t>esteriore, del pensiero di due A</w:t>
      </w:r>
      <w:r w:rsidRPr="00BF55CC">
        <w:rPr>
          <w:rFonts w:ascii="Times New Roman" w:hAnsi="Times New Roman" w:cs="Times New Roman"/>
          <w:sz w:val="20"/>
          <w:szCs w:val="20"/>
        </w:rPr>
        <w:t>utori che sono coinvolti, come il testo hegeliano</w:t>
      </w:r>
      <w:r>
        <w:rPr>
          <w:rFonts w:ascii="Times New Roman" w:hAnsi="Times New Roman" w:cs="Times New Roman"/>
          <w:sz w:val="20"/>
          <w:szCs w:val="20"/>
        </w:rPr>
        <w:t xml:space="preserve"> ci confermerà, in un dialogo e</w:t>
      </w:r>
      <w:r w:rsidRPr="00BF55CC">
        <w:rPr>
          <w:rFonts w:ascii="Times New Roman" w:hAnsi="Times New Roman" w:cs="Times New Roman"/>
          <w:sz w:val="20"/>
          <w:szCs w:val="20"/>
        </w:rPr>
        <w:t xml:space="preserve"> uno scambio filosofico ben più complesso e posto al di là di una dimensione interpretativa puramente </w:t>
      </w:r>
      <w:r w:rsidRPr="00BF55CC">
        <w:rPr>
          <w:rFonts w:ascii="Times New Roman" w:hAnsi="Times New Roman" w:cs="Times New Roman"/>
          <w:i/>
          <w:sz w:val="20"/>
          <w:szCs w:val="20"/>
        </w:rPr>
        <w:t>analogica</w:t>
      </w:r>
      <w:r w:rsidRPr="00BF55CC">
        <w:rPr>
          <w:rFonts w:ascii="Times New Roman" w:hAnsi="Times New Roman" w:cs="Times New Roman"/>
          <w:sz w:val="20"/>
          <w:szCs w:val="20"/>
        </w:rPr>
        <w:t xml:space="preserve">. Riguardo alla “metodologia” impiegata da Magee, mi sia concessa un’ulteriore osservazione su una prassi scientifica ampiamente diffusa in suolo statunitense. Mi limiterò a discutere un esempio affine a quanto visto in </w:t>
      </w:r>
      <w:r w:rsidRPr="00BF55CC">
        <w:rPr>
          <w:rFonts w:ascii="Times New Roman" w:hAnsi="Times New Roman" w:cs="Times New Roman"/>
          <w:i/>
          <w:sz w:val="20"/>
          <w:szCs w:val="20"/>
        </w:rPr>
        <w:t>Hegel and the Hermetic Tradition</w:t>
      </w:r>
      <w:r w:rsidRPr="00BF55CC">
        <w:rPr>
          <w:rFonts w:ascii="Times New Roman" w:hAnsi="Times New Roman" w:cs="Times New Roman"/>
          <w:sz w:val="20"/>
          <w:szCs w:val="20"/>
        </w:rPr>
        <w:t>.</w:t>
      </w:r>
      <w:r w:rsidRPr="009E58A4">
        <w:rPr>
          <w:rFonts w:ascii="Times New Roman" w:hAnsi="Times New Roman" w:cs="Times New Roman"/>
          <w:sz w:val="20"/>
          <w:szCs w:val="20"/>
        </w:rPr>
        <w:t xml:space="preserve"> Interrogandosi sulla conoscenza hegeliana della Qabbalah</w:t>
      </w:r>
      <w:r>
        <w:rPr>
          <w:rFonts w:ascii="Times New Roman" w:hAnsi="Times New Roman" w:cs="Times New Roman"/>
          <w:sz w:val="20"/>
          <w:szCs w:val="20"/>
        </w:rPr>
        <w:t>, Cyril O’Regan crede</w:t>
      </w:r>
      <w:r w:rsidRPr="00E36854">
        <w:rPr>
          <w:rFonts w:ascii="Times New Roman" w:hAnsi="Times New Roman" w:cs="Times New Roman"/>
          <w:sz w:val="20"/>
          <w:szCs w:val="20"/>
        </w:rPr>
        <w:t xml:space="preserve"> che le prime tre determinazioni dell’albero sefirotico siano simmetriche alla tripartizione della logica hegeliana </w:t>
      </w:r>
      <w:r w:rsidRPr="009E58A4">
        <w:rPr>
          <w:rFonts w:ascii="Times New Roman" w:hAnsi="Times New Roman" w:cs="Times New Roman"/>
          <w:sz w:val="20"/>
          <w:szCs w:val="20"/>
        </w:rPr>
        <w:t xml:space="preserve">(C. O’Regan, </w:t>
      </w:r>
      <w:r w:rsidRPr="009E58A4">
        <w:rPr>
          <w:rFonts w:ascii="Times New Roman" w:hAnsi="Times New Roman" w:cs="Times New Roman"/>
          <w:i/>
          <w:sz w:val="20"/>
          <w:szCs w:val="20"/>
        </w:rPr>
        <w:t>Hegel and Anti-Judaism: Narrative and the Inner Circulation of the Kabbalah</w:t>
      </w:r>
      <w:r w:rsidRPr="009E58A4">
        <w:rPr>
          <w:rFonts w:ascii="Times New Roman" w:hAnsi="Times New Roman" w:cs="Times New Roman"/>
          <w:sz w:val="20"/>
          <w:szCs w:val="20"/>
        </w:rPr>
        <w:t>, in «The Owl of Minerva</w:t>
      </w:r>
      <w:r>
        <w:rPr>
          <w:rFonts w:ascii="Times New Roman" w:eastAsia="Times New Roman" w:hAnsi="Times New Roman" w:cs="Times New Roman"/>
          <w:color w:val="000000"/>
          <w:sz w:val="20"/>
          <w:szCs w:val="20"/>
        </w:rPr>
        <w:t>», 28 (1997), p. 16</w:t>
      </w:r>
      <w:r w:rsidRPr="009E58A4">
        <w:rPr>
          <w:rFonts w:ascii="Times New Roman" w:eastAsia="Times New Roman" w:hAnsi="Times New Roman" w:cs="Times New Roman"/>
          <w:color w:val="000000"/>
          <w:sz w:val="20"/>
          <w:szCs w:val="20"/>
        </w:rPr>
        <w:t>1</w:t>
      </w:r>
      <w:r w:rsidRPr="009E58A4">
        <w:rPr>
          <w:rFonts w:ascii="Times New Roman" w:hAnsi="Times New Roman" w:cs="Times New Roman"/>
          <w:sz w:val="20"/>
          <w:szCs w:val="20"/>
        </w:rPr>
        <w:t xml:space="preserve">).  Se questa ipotesi fosse condotta su un piano prettamente teoretico </w:t>
      </w:r>
      <w:r w:rsidRPr="009E58A4">
        <w:rPr>
          <w:rFonts w:ascii="Times New Roman" w:hAnsi="Times New Roman" w:cs="Times New Roman"/>
          <w:sz w:val="20"/>
          <w:szCs w:val="20"/>
        </w:rPr>
        <w:softHyphen/>
        <w:t>– ossia se si volesse evidenziare, tenuta ferm</w:t>
      </w:r>
      <w:r>
        <w:rPr>
          <w:rFonts w:ascii="Times New Roman" w:hAnsi="Times New Roman" w:cs="Times New Roman"/>
          <w:sz w:val="20"/>
          <w:szCs w:val="20"/>
        </w:rPr>
        <w:t>a l’estraneità reciproca degli A</w:t>
      </w:r>
      <w:r w:rsidRPr="009E58A4">
        <w:rPr>
          <w:rFonts w:ascii="Times New Roman" w:hAnsi="Times New Roman" w:cs="Times New Roman"/>
          <w:sz w:val="20"/>
          <w:szCs w:val="20"/>
        </w:rPr>
        <w:t>utori e dei testi, le affinità intrattenute dai due sistemi di pensiero –, allora potrebbe costituire un’operazione filosofica legittima. Il vero problema è quando si vuole eseguire un’analisi storico-filosofica senza che l’assunzione teorica di partenza abbia un riscontro testuale nell’opera presa in esame. Per capire storicamente il rapporto di Hegel con la tradizione mistica ebraica, è necessario muovere altri passi, allargando l’angolo visuale e prendendo in considerazione il contesto storico</w:t>
      </w:r>
      <w:r>
        <w:rPr>
          <w:rFonts w:ascii="Times New Roman" w:hAnsi="Times New Roman" w:cs="Times New Roman"/>
          <w:sz w:val="20"/>
          <w:szCs w:val="20"/>
        </w:rPr>
        <w:t xml:space="preserve"> in cui </w:t>
      </w:r>
      <w:r w:rsidRPr="002F2C2D">
        <w:rPr>
          <w:rFonts w:ascii="Times New Roman" w:hAnsi="Times New Roman" w:cs="Times New Roman"/>
          <w:sz w:val="20"/>
          <w:szCs w:val="20"/>
        </w:rPr>
        <w:t>l’</w:t>
      </w:r>
      <w:r>
        <w:rPr>
          <w:rFonts w:ascii="Times New Roman" w:hAnsi="Times New Roman" w:cs="Times New Roman"/>
          <w:sz w:val="20"/>
          <w:szCs w:val="20"/>
        </w:rPr>
        <w:t>autore</w:t>
      </w:r>
      <w:r w:rsidRPr="002F2C2D">
        <w:rPr>
          <w:rFonts w:ascii="Times New Roman" w:hAnsi="Times New Roman" w:cs="Times New Roman"/>
          <w:sz w:val="20"/>
          <w:szCs w:val="20"/>
        </w:rPr>
        <w:t xml:space="preserve"> si è formato e ha operato. Solo così si</w:t>
      </w:r>
      <w:r>
        <w:rPr>
          <w:rFonts w:ascii="Times New Roman" w:hAnsi="Times New Roman" w:cs="Times New Roman"/>
          <w:sz w:val="20"/>
          <w:szCs w:val="20"/>
        </w:rPr>
        <w:t xml:space="preserve"> può capire l’intreccio fra ebr</w:t>
      </w:r>
      <w:r w:rsidRPr="002F2C2D">
        <w:rPr>
          <w:rFonts w:ascii="Times New Roman" w:hAnsi="Times New Roman" w:cs="Times New Roman"/>
          <w:sz w:val="20"/>
          <w:szCs w:val="20"/>
        </w:rPr>
        <w:t>aismo, spinozismo e Qabbalah presente nelle opere edite e inedite hegeliane. Su questo tema, che ho brevemente toccato nel secondo capitolo, tornerò alla fine di questo lavoro, dove cercherò di mostrare che cosa intenda Hegel con la tradizione mistica ebraica.</w:t>
      </w:r>
    </w:p>
  </w:footnote>
  <w:footnote w:id="317">
    <w:p w14:paraId="555D2377" w14:textId="77777777" w:rsidR="00B34CC2" w:rsidRPr="00411533" w:rsidRDefault="00B34CC2" w:rsidP="003C611F">
      <w:pPr>
        <w:pStyle w:val="Testonotaapidipagina"/>
        <w:jc w:val="both"/>
        <w:rPr>
          <w:rFonts w:ascii="Times New Roman" w:hAnsi="Times New Roman" w:cs="Times New Roman"/>
          <w:sz w:val="20"/>
          <w:szCs w:val="20"/>
        </w:rPr>
      </w:pPr>
      <w:r w:rsidRPr="00411533">
        <w:rPr>
          <w:rStyle w:val="Rimandonotaapidipagina"/>
          <w:rFonts w:ascii="Times New Roman" w:hAnsi="Times New Roman" w:cs="Times New Roman"/>
          <w:sz w:val="20"/>
          <w:szCs w:val="20"/>
        </w:rPr>
        <w:footnoteRef/>
      </w:r>
      <w:r w:rsidRPr="00411533">
        <w:rPr>
          <w:rFonts w:ascii="Times New Roman" w:hAnsi="Times New Roman" w:cs="Times New Roman"/>
          <w:sz w:val="20"/>
          <w:szCs w:val="20"/>
        </w:rPr>
        <w:t xml:space="preserve"> F. Chiereghin, </w:t>
      </w:r>
      <w:r w:rsidRPr="00411533">
        <w:rPr>
          <w:rFonts w:ascii="Times New Roman" w:hAnsi="Times New Roman" w:cs="Times New Roman"/>
          <w:i/>
          <w:sz w:val="20"/>
          <w:szCs w:val="20"/>
        </w:rPr>
        <w:t>Rileggere la Scienza della Logica. Ricorsività, retroazioni, ologrammi</w:t>
      </w:r>
      <w:r>
        <w:rPr>
          <w:rFonts w:ascii="Times New Roman" w:hAnsi="Times New Roman" w:cs="Times New Roman"/>
          <w:sz w:val="20"/>
          <w:szCs w:val="20"/>
        </w:rPr>
        <w:t>, Caro</w:t>
      </w:r>
      <w:r w:rsidRPr="00411533">
        <w:rPr>
          <w:rFonts w:ascii="Times New Roman" w:hAnsi="Times New Roman" w:cs="Times New Roman"/>
          <w:sz w:val="20"/>
          <w:szCs w:val="20"/>
        </w:rPr>
        <w:t>cci, Roma 2011.</w:t>
      </w:r>
    </w:p>
  </w:footnote>
  <w:footnote w:id="318">
    <w:p w14:paraId="7126810A" w14:textId="77777777" w:rsidR="00B34CC2" w:rsidRPr="00411533" w:rsidRDefault="00B34CC2" w:rsidP="003C611F">
      <w:pPr>
        <w:pStyle w:val="Testonotaapidipagina"/>
        <w:jc w:val="both"/>
        <w:rPr>
          <w:rFonts w:ascii="Times New Roman" w:hAnsi="Times New Roman" w:cs="Times New Roman"/>
          <w:sz w:val="20"/>
          <w:szCs w:val="20"/>
        </w:rPr>
      </w:pPr>
      <w:r w:rsidRPr="00411533">
        <w:rPr>
          <w:rStyle w:val="Rimandonotaapidipagina"/>
          <w:rFonts w:ascii="Times New Roman" w:hAnsi="Times New Roman" w:cs="Times New Roman"/>
          <w:sz w:val="20"/>
          <w:szCs w:val="20"/>
        </w:rPr>
        <w:footnoteRef/>
      </w:r>
      <w:r w:rsidRPr="00411533">
        <w:rPr>
          <w:rFonts w:ascii="Times New Roman" w:hAnsi="Times New Roman" w:cs="Times New Roman"/>
          <w:sz w:val="20"/>
          <w:szCs w:val="20"/>
        </w:rPr>
        <w:t xml:space="preserve"> A. Franck, </w:t>
      </w:r>
      <w:r w:rsidRPr="00411533">
        <w:rPr>
          <w:rFonts w:ascii="Times New Roman" w:hAnsi="Times New Roman" w:cs="Times New Roman"/>
          <w:i/>
          <w:sz w:val="20"/>
          <w:szCs w:val="20"/>
        </w:rPr>
        <w:t>La Kabbale ou la philosophie religouse des Hébreux</w:t>
      </w:r>
      <w:r w:rsidRPr="00411533">
        <w:rPr>
          <w:rFonts w:ascii="Times New Roman" w:hAnsi="Times New Roman" w:cs="Times New Roman"/>
          <w:sz w:val="20"/>
          <w:szCs w:val="20"/>
        </w:rPr>
        <w:t>, Paris 1843.</w:t>
      </w:r>
    </w:p>
  </w:footnote>
  <w:footnote w:id="319">
    <w:p w14:paraId="6D3163A7" w14:textId="77777777" w:rsidR="00B34CC2" w:rsidRPr="00411533" w:rsidRDefault="00B34CC2" w:rsidP="003C611F">
      <w:pPr>
        <w:pStyle w:val="Testonotaapidipagina"/>
        <w:jc w:val="both"/>
        <w:rPr>
          <w:rFonts w:ascii="Times New Roman" w:hAnsi="Times New Roman" w:cs="Times New Roman"/>
          <w:sz w:val="20"/>
          <w:szCs w:val="20"/>
        </w:rPr>
      </w:pPr>
      <w:r w:rsidRPr="00411533">
        <w:rPr>
          <w:rStyle w:val="Rimandonotaapidipagina"/>
          <w:rFonts w:ascii="Times New Roman" w:hAnsi="Times New Roman" w:cs="Times New Roman"/>
          <w:sz w:val="20"/>
          <w:szCs w:val="20"/>
        </w:rPr>
        <w:footnoteRef/>
      </w:r>
      <w:r w:rsidRPr="00411533">
        <w:rPr>
          <w:rFonts w:ascii="Times New Roman" w:hAnsi="Times New Roman" w:cs="Times New Roman"/>
          <w:sz w:val="20"/>
          <w:szCs w:val="20"/>
        </w:rPr>
        <w:t xml:space="preserve"> M. Idel, </w:t>
      </w:r>
      <w:r w:rsidRPr="00411533">
        <w:rPr>
          <w:rFonts w:ascii="Times New Roman" w:hAnsi="Times New Roman" w:cs="Times New Roman"/>
          <w:i/>
          <w:sz w:val="20"/>
          <w:szCs w:val="20"/>
        </w:rPr>
        <w:t>Il male primordiale della Qabbalah</w:t>
      </w:r>
      <w:r w:rsidRPr="00411533">
        <w:rPr>
          <w:rFonts w:ascii="Times New Roman" w:hAnsi="Times New Roman" w:cs="Times New Roman"/>
          <w:sz w:val="20"/>
          <w:szCs w:val="20"/>
        </w:rPr>
        <w:t>, cit., p. 115.</w:t>
      </w:r>
    </w:p>
  </w:footnote>
  <w:footnote w:id="320">
    <w:p w14:paraId="1AC8E3CC" w14:textId="77777777" w:rsidR="00B34CC2" w:rsidRPr="00232F52" w:rsidRDefault="00B34CC2" w:rsidP="003C611F">
      <w:pPr>
        <w:pStyle w:val="Testonotaapidipagina"/>
        <w:jc w:val="both"/>
        <w:rPr>
          <w:rFonts w:ascii="Times New Roman" w:hAnsi="Times New Roman" w:cs="Times New Roman"/>
          <w:sz w:val="20"/>
          <w:szCs w:val="20"/>
          <w:highlight w:val="yellow"/>
        </w:rPr>
      </w:pPr>
      <w:r w:rsidRPr="00411533">
        <w:rPr>
          <w:rStyle w:val="Rimandonotaapidipagina"/>
          <w:rFonts w:ascii="Times New Roman" w:hAnsi="Times New Roman" w:cs="Times New Roman"/>
          <w:sz w:val="20"/>
          <w:szCs w:val="20"/>
        </w:rPr>
        <w:footnoteRef/>
      </w:r>
      <w:r>
        <w:rPr>
          <w:rFonts w:ascii="Times New Roman" w:hAnsi="Times New Roman" w:cs="Times New Roman"/>
          <w:sz w:val="20"/>
          <w:szCs w:val="20"/>
        </w:rPr>
        <w:t xml:space="preserve"> </w:t>
      </w:r>
      <w:r w:rsidRPr="00411533">
        <w:rPr>
          <w:rFonts w:ascii="Times New Roman" w:hAnsi="Times New Roman" w:cs="Times New Roman"/>
          <w:i/>
          <w:sz w:val="20"/>
          <w:szCs w:val="20"/>
        </w:rPr>
        <w:t>Enz C</w:t>
      </w:r>
      <w:r w:rsidRPr="00411533">
        <w:rPr>
          <w:rFonts w:ascii="Times New Roman" w:hAnsi="Times New Roman" w:cs="Times New Roman"/>
          <w:sz w:val="20"/>
          <w:szCs w:val="20"/>
        </w:rPr>
        <w:t>, pp. 122-123.</w:t>
      </w:r>
    </w:p>
  </w:footnote>
  <w:footnote w:id="321">
    <w:p w14:paraId="27D7D2C4" w14:textId="77777777" w:rsidR="00B34CC2" w:rsidRDefault="00B34CC2" w:rsidP="003C611F">
      <w:pPr>
        <w:pStyle w:val="Testonotaapidipagina"/>
        <w:jc w:val="both"/>
      </w:pPr>
      <w:r w:rsidRPr="008D2549">
        <w:rPr>
          <w:rStyle w:val="Rimandonotaapidipagina"/>
          <w:rFonts w:ascii="Times New Roman" w:hAnsi="Times New Roman" w:cs="Times New Roman"/>
          <w:sz w:val="20"/>
          <w:szCs w:val="20"/>
        </w:rPr>
        <w:footnoteRef/>
      </w:r>
      <w:r w:rsidRPr="008D2549">
        <w:rPr>
          <w:rFonts w:ascii="Times New Roman" w:hAnsi="Times New Roman" w:cs="Times New Roman"/>
          <w:sz w:val="20"/>
          <w:szCs w:val="20"/>
        </w:rPr>
        <w:t xml:space="preserve"> </w:t>
      </w:r>
      <w:r w:rsidRPr="007A5CAA">
        <w:rPr>
          <w:rFonts w:ascii="Times New Roman" w:hAnsi="Times New Roman" w:cs="Times New Roman"/>
          <w:sz w:val="20"/>
          <w:szCs w:val="20"/>
        </w:rPr>
        <w:t xml:space="preserve">M. Idel, </w:t>
      </w:r>
      <w:r w:rsidRPr="007A5CAA">
        <w:rPr>
          <w:rFonts w:ascii="Times New Roman" w:hAnsi="Times New Roman" w:cs="Times New Roman"/>
          <w:i/>
          <w:sz w:val="20"/>
          <w:szCs w:val="20"/>
        </w:rPr>
        <w:t>Il male primordiale della Qabbalah</w:t>
      </w:r>
      <w:r>
        <w:rPr>
          <w:rFonts w:ascii="Times New Roman" w:hAnsi="Times New Roman" w:cs="Times New Roman"/>
          <w:sz w:val="20"/>
          <w:szCs w:val="20"/>
        </w:rPr>
        <w:t>, cit., p. 116.</w:t>
      </w:r>
    </w:p>
  </w:footnote>
  <w:footnote w:id="322">
    <w:p w14:paraId="1DBD71E3" w14:textId="77777777" w:rsidR="00B34CC2" w:rsidRPr="000B159C" w:rsidRDefault="00B34CC2" w:rsidP="003C611F">
      <w:pPr>
        <w:pStyle w:val="Testonotaapidipagina"/>
        <w:jc w:val="both"/>
        <w:rPr>
          <w:rFonts w:ascii="Times New Roman" w:hAnsi="Times New Roman" w:cs="Times New Roman"/>
          <w:i/>
          <w:sz w:val="20"/>
          <w:szCs w:val="20"/>
        </w:rPr>
      </w:pPr>
      <w:r w:rsidRPr="007B06A2">
        <w:rPr>
          <w:rStyle w:val="Rimandonotaapidipagina"/>
          <w:rFonts w:ascii="Times New Roman" w:hAnsi="Times New Roman" w:cs="Times New Roman"/>
          <w:sz w:val="20"/>
          <w:szCs w:val="20"/>
        </w:rPr>
        <w:footnoteRef/>
      </w:r>
      <w:r w:rsidRPr="007B06A2">
        <w:rPr>
          <w:rFonts w:ascii="Times New Roman" w:hAnsi="Times New Roman" w:cs="Times New Roman"/>
          <w:sz w:val="20"/>
          <w:szCs w:val="20"/>
        </w:rPr>
        <w:t xml:space="preserve"> </w:t>
      </w:r>
      <w:r>
        <w:rPr>
          <w:rFonts w:ascii="Times New Roman" w:hAnsi="Times New Roman" w:cs="Times New Roman"/>
          <w:sz w:val="20"/>
          <w:szCs w:val="20"/>
        </w:rPr>
        <w:t xml:space="preserve">Ivi, p. 118: </w:t>
      </w:r>
      <w:r w:rsidRPr="00A27071">
        <w:rPr>
          <w:rFonts w:ascii="Times New Roman" w:hAnsi="Times New Roman" w:cs="Times New Roman"/>
          <w:sz w:val="20"/>
          <w:szCs w:val="20"/>
        </w:rPr>
        <w:t>«Il ricorso al concetto di «pensiero puro</w:t>
      </w:r>
      <w:r w:rsidRPr="00A27071">
        <w:rPr>
          <w:rFonts w:ascii="Times New Roman" w:eastAsia="Times New Roman" w:hAnsi="Times New Roman" w:cs="Times New Roman"/>
          <w:color w:val="000000"/>
          <w:sz w:val="20"/>
          <w:szCs w:val="20"/>
        </w:rPr>
        <w:t>» inteso come ipostasi superna e sede di altre entità mi sembra provenire da una fonte cabbalistica, che al momento non sono in grado di identificare con certezza anche se mi sembra improbabile che si tratti dell’Idra Zuta, opera che attrasse particolarmente l’attenzione di Franck». Che</w:t>
      </w:r>
      <w:r>
        <w:rPr>
          <w:rFonts w:ascii="Times New Roman" w:eastAsia="Times New Roman" w:hAnsi="Times New Roman" w:cs="Times New Roman"/>
          <w:color w:val="000000"/>
          <w:sz w:val="20"/>
          <w:szCs w:val="20"/>
        </w:rPr>
        <w:t xml:space="preserve"> il pensiero puro non sia un’ipostasi superna da cui deriverebbero altre entità, ma che sia un processo d’immanente permeazione del reale, è un’acquisizione teorica che Hegel trae da quella negatività dialettica che fa sì che il </w:t>
      </w:r>
      <w:r>
        <w:rPr>
          <w:rFonts w:ascii="Times New Roman" w:eastAsia="Times New Roman" w:hAnsi="Times New Roman" w:cs="Times New Roman"/>
          <w:i/>
          <w:color w:val="000000"/>
          <w:sz w:val="20"/>
          <w:szCs w:val="20"/>
        </w:rPr>
        <w:t>reines Denken</w:t>
      </w:r>
      <w:r>
        <w:rPr>
          <w:rFonts w:ascii="Times New Roman" w:eastAsia="Times New Roman" w:hAnsi="Times New Roman" w:cs="Times New Roman"/>
          <w:color w:val="000000"/>
          <w:sz w:val="20"/>
          <w:szCs w:val="20"/>
        </w:rPr>
        <w:t xml:space="preserve"> si realizzi come mediazione di sé con sé, come trasposizione di sé nel proprio essere altro (trasposizione, o posizionamento di sé, a cui segue, com’è noto, un ritorno a sé). Le implicazioni ipostatiche a cui Idel accenna sono insufficienti a spiegare ciò che Hegel, ricorrendo ad un’espressione di Anassagora, definisce come il </w:t>
      </w:r>
      <w:r w:rsidRPr="000B159C">
        <w:rPr>
          <w:rFonts w:ascii="Times New Roman" w:eastAsia="Times New Roman" w:hAnsi="Times New Roman" w:cs="Times New Roman"/>
          <w:color w:val="000000"/>
          <w:sz w:val="20"/>
          <w:szCs w:val="20"/>
        </w:rPr>
        <w:t>«</w:t>
      </w:r>
      <w:r w:rsidRPr="000B159C">
        <w:rPr>
          <w:rFonts w:ascii="Times New Roman" w:eastAsia="Times New Roman" w:hAnsi="Times New Roman" w:cs="Times New Roman"/>
          <w:i/>
          <w:color w:val="000000"/>
          <w:sz w:val="20"/>
          <w:szCs w:val="20"/>
        </w:rPr>
        <w:t>Nus, der Gedanke, das Prinzip der Welt, daß das Wesen der Welt als der Gedanke zu bestimmen ist</w:t>
      </w:r>
      <w:r w:rsidRPr="00793352">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w:t>
      </w:r>
      <w:r w:rsidRPr="00710F12">
        <w:rPr>
          <w:rFonts w:ascii="Times New Roman" w:eastAsia="Times New Roman" w:hAnsi="Times New Roman" w:cs="Times New Roman"/>
          <w:i/>
          <w:color w:val="000000"/>
          <w:sz w:val="20"/>
          <w:szCs w:val="20"/>
        </w:rPr>
        <w:t>WdL</w:t>
      </w:r>
      <w:r>
        <w:rPr>
          <w:rFonts w:ascii="Times New Roman" w:eastAsia="Times New Roman" w:hAnsi="Times New Roman" w:cs="Times New Roman"/>
          <w:i/>
          <w:color w:val="000000"/>
          <w:sz w:val="20"/>
          <w:szCs w:val="20"/>
        </w:rPr>
        <w:t xml:space="preserve"> I</w:t>
      </w:r>
      <w:r>
        <w:rPr>
          <w:rFonts w:ascii="Times New Roman" w:eastAsia="Times New Roman" w:hAnsi="Times New Roman" w:cs="Times New Roman"/>
          <w:color w:val="000000"/>
          <w:sz w:val="20"/>
          <w:szCs w:val="20"/>
        </w:rPr>
        <w:t>, p. 21).</w:t>
      </w:r>
    </w:p>
  </w:footnote>
  <w:footnote w:id="323">
    <w:p w14:paraId="07C6CC4A" w14:textId="24F0360E" w:rsidR="00B34CC2" w:rsidRPr="00897408" w:rsidRDefault="00B34CC2" w:rsidP="003C611F">
      <w:pPr>
        <w:pStyle w:val="Testonotaapidipagina"/>
        <w:jc w:val="both"/>
        <w:rPr>
          <w:rFonts w:ascii="Times New Roman" w:hAnsi="Times New Roman" w:cs="Times New Roman"/>
          <w:sz w:val="20"/>
          <w:szCs w:val="20"/>
        </w:rPr>
      </w:pPr>
      <w:r w:rsidRPr="00897408">
        <w:rPr>
          <w:rStyle w:val="Rimandonotaapidipagina"/>
          <w:rFonts w:ascii="Times New Roman" w:hAnsi="Times New Roman" w:cs="Times New Roman"/>
          <w:sz w:val="20"/>
          <w:szCs w:val="20"/>
        </w:rPr>
        <w:footnoteRef/>
      </w:r>
      <w:r w:rsidRPr="00897408">
        <w:rPr>
          <w:rFonts w:ascii="Times New Roman" w:hAnsi="Times New Roman" w:cs="Times New Roman"/>
          <w:sz w:val="20"/>
          <w:szCs w:val="20"/>
        </w:rPr>
        <w:t xml:space="preserve"> Cfr. </w:t>
      </w:r>
      <w:r w:rsidRPr="00897408">
        <w:rPr>
          <w:rFonts w:ascii="Times New Roman" w:hAnsi="Times New Roman" w:cs="Times New Roman"/>
          <w:i/>
          <w:sz w:val="20"/>
          <w:szCs w:val="20"/>
        </w:rPr>
        <w:t>supra</w:t>
      </w:r>
      <w:r w:rsidRPr="00897408">
        <w:rPr>
          <w:rFonts w:ascii="Times New Roman" w:hAnsi="Times New Roman" w:cs="Times New Roman"/>
          <w:sz w:val="20"/>
          <w:szCs w:val="20"/>
        </w:rPr>
        <w:t>, p</w:t>
      </w:r>
      <w:r>
        <w:rPr>
          <w:rFonts w:ascii="Times New Roman" w:hAnsi="Times New Roman" w:cs="Times New Roman"/>
          <w:sz w:val="20"/>
          <w:szCs w:val="20"/>
        </w:rPr>
        <w:t>p. 58-59</w:t>
      </w:r>
      <w:r w:rsidRPr="00897408">
        <w:rPr>
          <w:rFonts w:ascii="Times New Roman" w:hAnsi="Times New Roman" w:cs="Times New Roman"/>
          <w:sz w:val="20"/>
          <w:szCs w:val="20"/>
        </w:rPr>
        <w:t>.</w:t>
      </w:r>
    </w:p>
  </w:footnote>
  <w:footnote w:id="324">
    <w:p w14:paraId="7097D68C" w14:textId="77777777" w:rsidR="00B34CC2" w:rsidRPr="00897408" w:rsidRDefault="00B34CC2" w:rsidP="003C611F">
      <w:pPr>
        <w:pStyle w:val="Testonotaapidipagina"/>
        <w:jc w:val="both"/>
        <w:rPr>
          <w:rFonts w:ascii="Times New Roman" w:hAnsi="Times New Roman" w:cs="Times New Roman"/>
          <w:sz w:val="20"/>
          <w:szCs w:val="20"/>
          <w:highlight w:val="yellow"/>
        </w:rPr>
      </w:pPr>
      <w:r w:rsidRPr="00897408">
        <w:rPr>
          <w:rStyle w:val="Rimandonotaapidipagina"/>
          <w:rFonts w:ascii="Times New Roman" w:hAnsi="Times New Roman" w:cs="Times New Roman"/>
          <w:sz w:val="20"/>
          <w:szCs w:val="20"/>
        </w:rPr>
        <w:footnoteRef/>
      </w:r>
      <w:r w:rsidRPr="00897408">
        <w:rPr>
          <w:rFonts w:ascii="Times New Roman" w:hAnsi="Times New Roman" w:cs="Times New Roman"/>
          <w:sz w:val="20"/>
          <w:szCs w:val="20"/>
        </w:rPr>
        <w:t xml:space="preserve"> M. Idel, </w:t>
      </w:r>
      <w:r w:rsidRPr="00897408">
        <w:rPr>
          <w:rFonts w:ascii="Times New Roman" w:hAnsi="Times New Roman" w:cs="Times New Roman"/>
          <w:i/>
          <w:sz w:val="20"/>
          <w:szCs w:val="20"/>
        </w:rPr>
        <w:t>Il male primordiale nella Qabbalah</w:t>
      </w:r>
      <w:r w:rsidRPr="00897408">
        <w:rPr>
          <w:rFonts w:ascii="Times New Roman" w:hAnsi="Times New Roman" w:cs="Times New Roman"/>
          <w:sz w:val="20"/>
          <w:szCs w:val="20"/>
        </w:rPr>
        <w:t>, cit., p. 116.</w:t>
      </w:r>
    </w:p>
  </w:footnote>
  <w:footnote w:id="325">
    <w:p w14:paraId="0C0EA463" w14:textId="39E59F52" w:rsidR="00B34CC2" w:rsidRPr="00775B30" w:rsidRDefault="00B34CC2" w:rsidP="003C611F">
      <w:pPr>
        <w:pStyle w:val="Testonotaapidipagina"/>
        <w:jc w:val="both"/>
        <w:rPr>
          <w:rFonts w:ascii="Times New Roman" w:hAnsi="Times New Roman" w:cs="Times New Roman"/>
          <w:sz w:val="20"/>
          <w:szCs w:val="20"/>
        </w:rPr>
      </w:pPr>
      <w:r w:rsidRPr="00400454">
        <w:rPr>
          <w:rStyle w:val="Rimandonotaapidipagina"/>
          <w:rFonts w:ascii="Times New Roman" w:hAnsi="Times New Roman" w:cs="Times New Roman"/>
          <w:sz w:val="20"/>
          <w:szCs w:val="20"/>
        </w:rPr>
        <w:footnoteRef/>
      </w:r>
      <w:r w:rsidRPr="00400454">
        <w:rPr>
          <w:rFonts w:ascii="Times New Roman" w:hAnsi="Times New Roman" w:cs="Times New Roman"/>
          <w:sz w:val="20"/>
          <w:szCs w:val="20"/>
        </w:rPr>
        <w:t xml:space="preserve"> Sulla valorizzazione hegeliana di concetti böhmiani d’ispirazione cabbalistica vedi </w:t>
      </w:r>
      <w:r w:rsidRPr="00400454">
        <w:rPr>
          <w:rFonts w:ascii="Times New Roman" w:hAnsi="Times New Roman" w:cs="Times New Roman"/>
          <w:i/>
          <w:sz w:val="20"/>
          <w:szCs w:val="20"/>
        </w:rPr>
        <w:t>supra</w:t>
      </w:r>
      <w:r w:rsidRPr="00400454">
        <w:rPr>
          <w:rFonts w:ascii="Times New Roman" w:hAnsi="Times New Roman" w:cs="Times New Roman"/>
          <w:sz w:val="20"/>
          <w:szCs w:val="20"/>
        </w:rPr>
        <w:t>, pp. 54-58 e pp. 74-79.</w:t>
      </w:r>
      <w:r>
        <w:rPr>
          <w:rFonts w:ascii="Times New Roman" w:hAnsi="Times New Roman" w:cs="Times New Roman"/>
          <w:sz w:val="20"/>
          <w:szCs w:val="20"/>
        </w:rPr>
        <w:t xml:space="preserve"> </w:t>
      </w:r>
    </w:p>
  </w:footnote>
  <w:footnote w:id="326">
    <w:p w14:paraId="28C51041" w14:textId="77777777" w:rsidR="00B34CC2" w:rsidRPr="00793352" w:rsidRDefault="00B34CC2" w:rsidP="003C611F">
      <w:pPr>
        <w:pStyle w:val="Testonotaapidipagina"/>
        <w:jc w:val="both"/>
        <w:rPr>
          <w:rFonts w:ascii="Times New Roman" w:hAnsi="Times New Roman" w:cs="Times New Roman"/>
          <w:sz w:val="20"/>
          <w:szCs w:val="20"/>
        </w:rPr>
      </w:pPr>
      <w:r w:rsidRPr="00793352">
        <w:rPr>
          <w:rStyle w:val="Rimandonotaapidipagina"/>
          <w:rFonts w:ascii="Times New Roman" w:hAnsi="Times New Roman" w:cs="Times New Roman"/>
          <w:sz w:val="20"/>
          <w:szCs w:val="20"/>
        </w:rPr>
        <w:footnoteRef/>
      </w:r>
      <w:r w:rsidRPr="00793352">
        <w:rPr>
          <w:rFonts w:ascii="Times New Roman" w:hAnsi="Times New Roman" w:cs="Times New Roman"/>
          <w:sz w:val="20"/>
          <w:szCs w:val="20"/>
        </w:rPr>
        <w:t xml:space="preserve"> </w:t>
      </w:r>
      <w:r w:rsidRPr="0005086D">
        <w:rPr>
          <w:rFonts w:ascii="Times New Roman" w:hAnsi="Times New Roman" w:cs="Times New Roman"/>
          <w:i/>
          <w:sz w:val="20"/>
          <w:szCs w:val="20"/>
        </w:rPr>
        <w:t>Ivi,</w:t>
      </w:r>
      <w:r w:rsidRPr="00793352">
        <w:rPr>
          <w:rFonts w:ascii="Times New Roman" w:hAnsi="Times New Roman" w:cs="Times New Roman"/>
          <w:sz w:val="20"/>
          <w:szCs w:val="20"/>
        </w:rPr>
        <w:t xml:space="preserve"> p. 117.</w:t>
      </w:r>
    </w:p>
  </w:footnote>
  <w:footnote w:id="327">
    <w:p w14:paraId="2B0D607C" w14:textId="3C72D906" w:rsidR="00B34CC2" w:rsidRPr="00DA152F" w:rsidRDefault="00B34CC2" w:rsidP="003C611F">
      <w:pPr>
        <w:pStyle w:val="Testonotaapidipagina"/>
        <w:jc w:val="both"/>
        <w:rPr>
          <w:rFonts w:ascii="Times New Roman" w:hAnsi="Times New Roman" w:cs="Times New Roman"/>
          <w:sz w:val="20"/>
          <w:szCs w:val="20"/>
        </w:rPr>
      </w:pPr>
      <w:r w:rsidRPr="00DA152F">
        <w:rPr>
          <w:rStyle w:val="Rimandonotaapidipagina"/>
          <w:rFonts w:ascii="Times New Roman" w:hAnsi="Times New Roman" w:cs="Times New Roman"/>
          <w:sz w:val="20"/>
          <w:szCs w:val="20"/>
        </w:rPr>
        <w:footnoteRef/>
      </w:r>
      <w:r w:rsidRPr="00DA152F">
        <w:rPr>
          <w:rFonts w:ascii="Times New Roman" w:hAnsi="Times New Roman" w:cs="Times New Roman"/>
          <w:sz w:val="20"/>
          <w:szCs w:val="20"/>
        </w:rPr>
        <w:t xml:space="preserve"> </w:t>
      </w:r>
      <w:r w:rsidRPr="00DA152F">
        <w:rPr>
          <w:rFonts w:ascii="Times New Roman" w:hAnsi="Times New Roman" w:cs="Times New Roman"/>
          <w:i/>
          <w:sz w:val="20"/>
          <w:szCs w:val="20"/>
        </w:rPr>
        <w:t>Supra</w:t>
      </w:r>
      <w:r>
        <w:rPr>
          <w:rFonts w:ascii="Times New Roman" w:hAnsi="Times New Roman" w:cs="Times New Roman"/>
          <w:sz w:val="20"/>
          <w:szCs w:val="20"/>
        </w:rPr>
        <w:t>, pp. 84-91</w:t>
      </w:r>
      <w:r w:rsidRPr="00DA152F">
        <w:rPr>
          <w:rFonts w:ascii="Times New Roman" w:hAnsi="Times New Roman" w:cs="Times New Roman"/>
          <w:sz w:val="20"/>
          <w:szCs w:val="20"/>
        </w:rPr>
        <w:t>.</w:t>
      </w:r>
    </w:p>
  </w:footnote>
  <w:footnote w:id="328">
    <w:p w14:paraId="3B3B4AD7" w14:textId="2F2F53ED" w:rsidR="00B34CC2" w:rsidRPr="00DA152F" w:rsidRDefault="00B34CC2" w:rsidP="003C611F">
      <w:pPr>
        <w:pStyle w:val="Testonotaapidipagina"/>
        <w:jc w:val="both"/>
        <w:rPr>
          <w:rFonts w:ascii="Times New Roman" w:hAnsi="Times New Roman" w:cs="Times New Roman"/>
          <w:sz w:val="20"/>
          <w:szCs w:val="20"/>
        </w:rPr>
      </w:pPr>
      <w:r w:rsidRPr="00DA152F">
        <w:rPr>
          <w:rStyle w:val="Rimandonotaapidipagina"/>
          <w:rFonts w:ascii="Times New Roman" w:hAnsi="Times New Roman" w:cs="Times New Roman"/>
          <w:sz w:val="20"/>
          <w:szCs w:val="20"/>
        </w:rPr>
        <w:footnoteRef/>
      </w:r>
      <w:r w:rsidRPr="00DA152F">
        <w:rPr>
          <w:rFonts w:ascii="Times New Roman" w:hAnsi="Times New Roman" w:cs="Times New Roman"/>
          <w:sz w:val="20"/>
          <w:szCs w:val="20"/>
        </w:rPr>
        <w:t xml:space="preserve"> </w:t>
      </w:r>
      <w:r w:rsidRPr="00DA152F">
        <w:rPr>
          <w:rFonts w:ascii="Times New Roman" w:hAnsi="Times New Roman" w:cs="Times New Roman"/>
          <w:i/>
          <w:sz w:val="20"/>
          <w:szCs w:val="20"/>
        </w:rPr>
        <w:t>Supra</w:t>
      </w:r>
      <w:r>
        <w:rPr>
          <w:rFonts w:ascii="Times New Roman" w:hAnsi="Times New Roman" w:cs="Times New Roman"/>
          <w:sz w:val="20"/>
          <w:szCs w:val="20"/>
        </w:rPr>
        <w:t>, pp. 91-103</w:t>
      </w:r>
      <w:r w:rsidRPr="00DA152F">
        <w:rPr>
          <w:rFonts w:ascii="Times New Roman" w:hAnsi="Times New Roman" w:cs="Times New Roman"/>
          <w:sz w:val="20"/>
          <w:szCs w:val="20"/>
        </w:rPr>
        <w:t>.</w:t>
      </w:r>
    </w:p>
  </w:footnote>
  <w:footnote w:id="329">
    <w:p w14:paraId="6CB2F31E" w14:textId="623E9798" w:rsidR="00B34CC2" w:rsidRPr="0005086D" w:rsidRDefault="00B34CC2" w:rsidP="003C611F">
      <w:pPr>
        <w:pStyle w:val="Testonotaapidipagina"/>
        <w:jc w:val="both"/>
        <w:rPr>
          <w:rFonts w:ascii="Times New Roman" w:hAnsi="Times New Roman" w:cs="Times New Roman"/>
          <w:sz w:val="20"/>
          <w:szCs w:val="20"/>
        </w:rPr>
      </w:pPr>
      <w:r w:rsidRPr="00DA152F">
        <w:rPr>
          <w:rStyle w:val="Rimandonotaapidipagina"/>
          <w:rFonts w:ascii="Times New Roman" w:hAnsi="Times New Roman" w:cs="Times New Roman"/>
          <w:sz w:val="20"/>
          <w:szCs w:val="20"/>
        </w:rPr>
        <w:footnoteRef/>
      </w:r>
      <w:r w:rsidRPr="00DA152F">
        <w:rPr>
          <w:rFonts w:ascii="Times New Roman" w:hAnsi="Times New Roman" w:cs="Times New Roman"/>
          <w:sz w:val="20"/>
          <w:szCs w:val="20"/>
        </w:rPr>
        <w:t xml:space="preserve"> </w:t>
      </w:r>
      <w:r w:rsidRPr="00DA152F">
        <w:rPr>
          <w:rFonts w:ascii="Times New Roman" w:hAnsi="Times New Roman" w:cs="Times New Roman"/>
          <w:i/>
          <w:sz w:val="20"/>
          <w:szCs w:val="20"/>
        </w:rPr>
        <w:t>Supra</w:t>
      </w:r>
      <w:r>
        <w:rPr>
          <w:rFonts w:ascii="Times New Roman" w:hAnsi="Times New Roman" w:cs="Times New Roman"/>
          <w:sz w:val="20"/>
          <w:szCs w:val="20"/>
        </w:rPr>
        <w:t>, pp. 74-78</w:t>
      </w:r>
      <w:r w:rsidRPr="00DA152F">
        <w:rPr>
          <w:rFonts w:ascii="Times New Roman" w:hAnsi="Times New Roman" w:cs="Times New Roman"/>
          <w:sz w:val="20"/>
          <w:szCs w:val="20"/>
        </w:rPr>
        <w:t>.</w:t>
      </w:r>
    </w:p>
  </w:footnote>
  <w:footnote w:id="330">
    <w:p w14:paraId="2825BE03" w14:textId="77777777" w:rsidR="00B34CC2" w:rsidRPr="0069134A" w:rsidRDefault="00B34CC2" w:rsidP="003C611F">
      <w:pPr>
        <w:pStyle w:val="Testonotaapidipagina"/>
        <w:jc w:val="both"/>
        <w:rPr>
          <w:rFonts w:ascii="Times New Roman" w:hAnsi="Times New Roman" w:cs="Times New Roman"/>
          <w:sz w:val="20"/>
          <w:szCs w:val="20"/>
        </w:rPr>
      </w:pPr>
      <w:r w:rsidRPr="00096C19">
        <w:rPr>
          <w:rStyle w:val="Rimandonotaapidipagina"/>
          <w:rFonts w:ascii="Times New Roman" w:hAnsi="Times New Roman" w:cs="Times New Roman"/>
          <w:sz w:val="20"/>
          <w:szCs w:val="20"/>
        </w:rPr>
        <w:footnoteRef/>
      </w:r>
      <w:r w:rsidRPr="00096C19">
        <w:rPr>
          <w:rFonts w:ascii="Times New Roman" w:hAnsi="Times New Roman" w:cs="Times New Roman"/>
          <w:sz w:val="20"/>
          <w:szCs w:val="20"/>
        </w:rPr>
        <w:t xml:space="preserve"> </w:t>
      </w:r>
      <w:r w:rsidRPr="00096C19">
        <w:rPr>
          <w:rFonts w:ascii="Times New Roman" w:hAnsi="Times New Roman" w:cs="Times New Roman"/>
          <w:i/>
          <w:sz w:val="20"/>
          <w:szCs w:val="20"/>
        </w:rPr>
        <w:t>WdL I B</w:t>
      </w:r>
      <w:r w:rsidRPr="00096C19">
        <w:rPr>
          <w:rFonts w:ascii="Times New Roman" w:hAnsi="Times New Roman" w:cs="Times New Roman"/>
          <w:sz w:val="20"/>
          <w:szCs w:val="20"/>
        </w:rPr>
        <w:t>, p. 42.</w:t>
      </w:r>
    </w:p>
  </w:footnote>
  <w:footnote w:id="331">
    <w:p w14:paraId="4AF73329" w14:textId="77777777" w:rsidR="00B34CC2" w:rsidRPr="00852C4C" w:rsidRDefault="00B34CC2" w:rsidP="003C611F">
      <w:pPr>
        <w:pStyle w:val="Testonotaapidipagina"/>
        <w:jc w:val="both"/>
        <w:rPr>
          <w:rFonts w:ascii="Times New Roman" w:hAnsi="Times New Roman" w:cs="Times New Roman"/>
          <w:sz w:val="20"/>
          <w:szCs w:val="20"/>
        </w:rPr>
      </w:pPr>
      <w:r w:rsidRPr="00852C4C">
        <w:rPr>
          <w:rStyle w:val="Rimandonotaapidipagina"/>
          <w:rFonts w:ascii="Times New Roman" w:hAnsi="Times New Roman" w:cs="Times New Roman"/>
          <w:sz w:val="20"/>
          <w:szCs w:val="20"/>
        </w:rPr>
        <w:footnoteRef/>
      </w:r>
      <w:r w:rsidRPr="00852C4C">
        <w:rPr>
          <w:rFonts w:ascii="Times New Roman" w:hAnsi="Times New Roman" w:cs="Times New Roman"/>
          <w:sz w:val="20"/>
          <w:szCs w:val="20"/>
        </w:rPr>
        <w:t xml:space="preserve"> </w:t>
      </w:r>
      <w:r w:rsidRPr="00852C4C">
        <w:rPr>
          <w:rFonts w:ascii="Times New Roman" w:hAnsi="Times New Roman" w:cs="Times New Roman"/>
          <w:i/>
          <w:sz w:val="20"/>
          <w:szCs w:val="20"/>
        </w:rPr>
        <w:t>GuW</w:t>
      </w:r>
      <w:r w:rsidRPr="00852C4C">
        <w:rPr>
          <w:rFonts w:ascii="Times New Roman" w:hAnsi="Times New Roman" w:cs="Times New Roman"/>
          <w:sz w:val="20"/>
          <w:szCs w:val="20"/>
        </w:rPr>
        <w:t>, p. 353.</w:t>
      </w:r>
    </w:p>
  </w:footnote>
  <w:footnote w:id="332">
    <w:p w14:paraId="08727CF8" w14:textId="77777777" w:rsidR="00B34CC2" w:rsidRPr="00770C66" w:rsidRDefault="00B34CC2" w:rsidP="003C611F">
      <w:pPr>
        <w:pStyle w:val="Testonotaapidipagina"/>
        <w:jc w:val="both"/>
        <w:rPr>
          <w:rFonts w:ascii="Times New Roman" w:hAnsi="Times New Roman" w:cs="Times New Roman"/>
          <w:sz w:val="20"/>
          <w:szCs w:val="20"/>
        </w:rPr>
      </w:pPr>
      <w:r w:rsidRPr="00770C66">
        <w:rPr>
          <w:rStyle w:val="Rimandonotaapidipagina"/>
          <w:rFonts w:ascii="Times New Roman" w:hAnsi="Times New Roman" w:cs="Times New Roman"/>
          <w:sz w:val="20"/>
          <w:szCs w:val="20"/>
        </w:rPr>
        <w:footnoteRef/>
      </w:r>
      <w:r w:rsidRPr="00770C66">
        <w:rPr>
          <w:rFonts w:ascii="Times New Roman" w:hAnsi="Times New Roman" w:cs="Times New Roman"/>
          <w:sz w:val="20"/>
          <w:szCs w:val="20"/>
        </w:rPr>
        <w:t xml:space="preserve"> </w:t>
      </w:r>
      <w:r w:rsidRPr="00770C66">
        <w:rPr>
          <w:rFonts w:ascii="Times New Roman" w:hAnsi="Times New Roman" w:cs="Times New Roman"/>
          <w:i/>
          <w:sz w:val="20"/>
          <w:szCs w:val="20"/>
        </w:rPr>
        <w:t>WdL I</w:t>
      </w:r>
      <w:r>
        <w:rPr>
          <w:rFonts w:ascii="Times New Roman" w:hAnsi="Times New Roman" w:cs="Times New Roman"/>
          <w:i/>
          <w:sz w:val="20"/>
          <w:szCs w:val="20"/>
        </w:rPr>
        <w:t xml:space="preserve"> A</w:t>
      </w:r>
      <w:r>
        <w:rPr>
          <w:rFonts w:ascii="Times New Roman" w:hAnsi="Times New Roman" w:cs="Times New Roman"/>
          <w:sz w:val="20"/>
          <w:szCs w:val="20"/>
        </w:rPr>
        <w:t>, p. 33.</w:t>
      </w:r>
    </w:p>
  </w:footnote>
  <w:footnote w:id="333">
    <w:p w14:paraId="2B30FE1A" w14:textId="5D7D8201" w:rsidR="00B34CC2" w:rsidRPr="00903D9E" w:rsidRDefault="00B34CC2" w:rsidP="003C611F">
      <w:pPr>
        <w:pStyle w:val="Testonotaapidipagina"/>
        <w:jc w:val="both"/>
        <w:rPr>
          <w:rFonts w:ascii="Times New Roman" w:hAnsi="Times New Roman" w:cs="Times New Roman"/>
          <w:sz w:val="20"/>
          <w:szCs w:val="20"/>
        </w:rPr>
      </w:pPr>
      <w:r w:rsidRPr="00903D9E">
        <w:rPr>
          <w:rStyle w:val="Rimandonotaapidipagina"/>
          <w:rFonts w:ascii="Times New Roman" w:hAnsi="Times New Roman" w:cs="Times New Roman"/>
          <w:sz w:val="20"/>
          <w:szCs w:val="20"/>
        </w:rPr>
        <w:footnoteRef/>
      </w:r>
      <w:r w:rsidRPr="00903D9E">
        <w:rPr>
          <w:rFonts w:ascii="Times New Roman" w:hAnsi="Times New Roman" w:cs="Times New Roman"/>
          <w:sz w:val="20"/>
          <w:szCs w:val="20"/>
        </w:rPr>
        <w:t xml:space="preserve"> </w:t>
      </w:r>
      <w:r>
        <w:rPr>
          <w:rFonts w:ascii="Times New Roman" w:hAnsi="Times New Roman" w:cs="Times New Roman"/>
          <w:sz w:val="20"/>
          <w:szCs w:val="20"/>
        </w:rPr>
        <w:t>Cfr. supra, p. 109, nota 10.</w:t>
      </w:r>
    </w:p>
  </w:footnote>
  <w:footnote w:id="334">
    <w:p w14:paraId="1190F447" w14:textId="28AB6E4D" w:rsidR="00B34CC2" w:rsidRPr="008E7CD3" w:rsidRDefault="00B34CC2" w:rsidP="003C611F">
      <w:pPr>
        <w:pStyle w:val="Testonotaapidipagina"/>
        <w:jc w:val="both"/>
        <w:rPr>
          <w:rFonts w:ascii="Times New Roman" w:hAnsi="Times New Roman" w:cs="Times New Roman"/>
          <w:sz w:val="20"/>
          <w:szCs w:val="20"/>
        </w:rPr>
      </w:pPr>
      <w:r w:rsidRPr="007C037E">
        <w:rPr>
          <w:rStyle w:val="Rimandonotaapidipagina"/>
          <w:rFonts w:ascii="Times New Roman" w:hAnsi="Times New Roman" w:cs="Times New Roman"/>
          <w:sz w:val="20"/>
          <w:szCs w:val="20"/>
        </w:rPr>
        <w:footnoteRef/>
      </w:r>
      <w:r w:rsidRPr="007C037E">
        <w:rPr>
          <w:rFonts w:ascii="Times New Roman" w:hAnsi="Times New Roman" w:cs="Times New Roman"/>
          <w:sz w:val="20"/>
          <w:szCs w:val="20"/>
        </w:rPr>
        <w:t xml:space="preserve"> </w:t>
      </w:r>
      <w:r>
        <w:rPr>
          <w:rFonts w:ascii="Times New Roman" w:hAnsi="Times New Roman" w:cs="Times New Roman"/>
          <w:sz w:val="20"/>
          <w:szCs w:val="20"/>
        </w:rPr>
        <w:t xml:space="preserve">Fra gli interpreti della </w:t>
      </w:r>
      <w:r w:rsidRPr="007C037E">
        <w:rPr>
          <w:rFonts w:ascii="Times New Roman" w:hAnsi="Times New Roman" w:cs="Times New Roman"/>
          <w:i/>
          <w:sz w:val="20"/>
          <w:szCs w:val="20"/>
        </w:rPr>
        <w:t>Wissenschaft der Logik</w:t>
      </w:r>
      <w:r>
        <w:rPr>
          <w:rFonts w:ascii="Times New Roman" w:hAnsi="Times New Roman" w:cs="Times New Roman"/>
          <w:sz w:val="20"/>
          <w:szCs w:val="20"/>
        </w:rPr>
        <w:t xml:space="preserve">, Leo Lugarini è quello che più di tutti ha messo al centro della sua analisi la questione relativa al nulla, cercando di mostrare la continuità fra quanto sostenuto da Hegel nei cosiddetti </w:t>
      </w:r>
      <w:r w:rsidRPr="007C037E">
        <w:rPr>
          <w:rFonts w:ascii="Times New Roman" w:hAnsi="Times New Roman" w:cs="Times New Roman"/>
          <w:i/>
          <w:sz w:val="20"/>
          <w:szCs w:val="20"/>
        </w:rPr>
        <w:t>Kritische Schriften</w:t>
      </w:r>
      <w:r>
        <w:rPr>
          <w:rFonts w:ascii="Times New Roman" w:hAnsi="Times New Roman" w:cs="Times New Roman"/>
          <w:sz w:val="20"/>
          <w:szCs w:val="20"/>
        </w:rPr>
        <w:t xml:space="preserve"> e nella </w:t>
      </w:r>
      <w:r w:rsidRPr="007C037E">
        <w:rPr>
          <w:rFonts w:ascii="Times New Roman" w:hAnsi="Times New Roman" w:cs="Times New Roman"/>
          <w:i/>
          <w:sz w:val="20"/>
          <w:szCs w:val="20"/>
        </w:rPr>
        <w:t>Wesens</w:t>
      </w:r>
      <w:r>
        <w:rPr>
          <w:rFonts w:ascii="Times New Roman" w:hAnsi="Times New Roman" w:cs="Times New Roman"/>
          <w:i/>
          <w:sz w:val="20"/>
          <w:szCs w:val="20"/>
        </w:rPr>
        <w:t>l</w:t>
      </w:r>
      <w:r w:rsidRPr="007C037E">
        <w:rPr>
          <w:rFonts w:ascii="Times New Roman" w:hAnsi="Times New Roman" w:cs="Times New Roman"/>
          <w:i/>
          <w:sz w:val="20"/>
          <w:szCs w:val="20"/>
        </w:rPr>
        <w:t>ogik</w:t>
      </w:r>
      <w:r>
        <w:rPr>
          <w:rFonts w:ascii="Times New Roman" w:hAnsi="Times New Roman" w:cs="Times New Roman"/>
          <w:sz w:val="20"/>
          <w:szCs w:val="20"/>
        </w:rPr>
        <w:t xml:space="preserve">. Al riguardo vedi L. Lugarini, </w:t>
      </w:r>
      <w:r w:rsidRPr="008E7CD3">
        <w:rPr>
          <w:rFonts w:ascii="Times New Roman" w:hAnsi="Times New Roman" w:cs="Times New Roman"/>
          <w:i/>
          <w:sz w:val="20"/>
          <w:szCs w:val="20"/>
        </w:rPr>
        <w:t xml:space="preserve">Orizzonti </w:t>
      </w:r>
      <w:r w:rsidRPr="00AA6224">
        <w:rPr>
          <w:rFonts w:ascii="Times New Roman" w:hAnsi="Times New Roman" w:cs="Times New Roman"/>
          <w:i/>
          <w:sz w:val="20"/>
          <w:szCs w:val="20"/>
        </w:rPr>
        <w:t>hegeliani di comprensione dell’essere. Rileggendo la Scienza della Logica</w:t>
      </w:r>
      <w:r w:rsidRPr="00AA6224">
        <w:rPr>
          <w:rFonts w:ascii="Times New Roman" w:hAnsi="Times New Roman" w:cs="Times New Roman"/>
          <w:sz w:val="20"/>
          <w:szCs w:val="20"/>
        </w:rPr>
        <w:t xml:space="preserve">, Guerini, Milano 1998, pp. 239-253. Nel testo di Lugarini, che ritengo essere uno dei contributi più </w:t>
      </w:r>
      <w:r w:rsidRPr="00D741CF">
        <w:rPr>
          <w:rFonts w:ascii="Times New Roman" w:hAnsi="Times New Roman" w:cs="Times New Roman"/>
          <w:sz w:val="20"/>
          <w:szCs w:val="20"/>
        </w:rPr>
        <w:t xml:space="preserve">esaustivi sul tema, viene del tutto a mancare un’analisi di quei passi in cui Hegel si richiama esplicitamente all’opera di Böhme. Per di più, è assente anche una disamina – sulla quale cercherò di concentrarmi nel corso di questo capitolo – delle differenze ravvisabili nella discussione hegeliana di alcuni concetti böhmiani nella </w:t>
      </w:r>
      <w:r w:rsidRPr="00D741CF">
        <w:rPr>
          <w:rFonts w:ascii="Times New Roman" w:hAnsi="Times New Roman" w:cs="Times New Roman"/>
          <w:i/>
          <w:sz w:val="20"/>
          <w:szCs w:val="20"/>
          <w:lang w:val="de-DE"/>
        </w:rPr>
        <w:t>Logik des Seyns</w:t>
      </w:r>
      <w:r w:rsidRPr="00AA6224">
        <w:rPr>
          <w:rFonts w:ascii="Times New Roman" w:hAnsi="Times New Roman" w:cs="Times New Roman"/>
          <w:sz w:val="20"/>
          <w:szCs w:val="20"/>
          <w:lang w:val="de-DE"/>
        </w:rPr>
        <w:t xml:space="preserve"> </w:t>
      </w:r>
      <w:r w:rsidRPr="00AA6224">
        <w:rPr>
          <w:rFonts w:ascii="Times New Roman" w:hAnsi="Times New Roman" w:cs="Times New Roman"/>
          <w:sz w:val="20"/>
          <w:szCs w:val="20"/>
        </w:rPr>
        <w:t>del 1812 e nella revisione della stessa del 1831.</w:t>
      </w:r>
      <w:r>
        <w:rPr>
          <w:rFonts w:ascii="Times New Roman" w:hAnsi="Times New Roman" w:cs="Times New Roman"/>
          <w:sz w:val="20"/>
          <w:szCs w:val="20"/>
        </w:rPr>
        <w:t xml:space="preserve"> </w:t>
      </w:r>
      <w:r w:rsidRPr="003902FA">
        <w:rPr>
          <w:rFonts w:ascii="Times New Roman" w:hAnsi="Times New Roman" w:cs="Times New Roman"/>
          <w:sz w:val="20"/>
          <w:szCs w:val="20"/>
        </w:rPr>
        <w:t xml:space="preserve">Mio scopo sarà quello d’indicare tanto le sfumature assunte da questo tema nelle due versioni della </w:t>
      </w:r>
      <w:r w:rsidRPr="003902FA">
        <w:rPr>
          <w:rFonts w:ascii="Times New Roman" w:hAnsi="Times New Roman" w:cs="Times New Roman"/>
          <w:i/>
          <w:sz w:val="20"/>
          <w:szCs w:val="20"/>
        </w:rPr>
        <w:t>logica dell’essere</w:t>
      </w:r>
      <w:r w:rsidRPr="003902FA">
        <w:rPr>
          <w:rFonts w:ascii="Times New Roman" w:hAnsi="Times New Roman" w:cs="Times New Roman"/>
          <w:sz w:val="20"/>
          <w:szCs w:val="20"/>
        </w:rPr>
        <w:t>, quanto le possi</w:t>
      </w:r>
      <w:r>
        <w:rPr>
          <w:rFonts w:ascii="Times New Roman" w:hAnsi="Times New Roman" w:cs="Times New Roman"/>
          <w:sz w:val="20"/>
          <w:szCs w:val="20"/>
        </w:rPr>
        <w:t>bili implicazioni</w:t>
      </w:r>
      <w:r w:rsidRPr="003902FA">
        <w:rPr>
          <w:rFonts w:ascii="Times New Roman" w:hAnsi="Times New Roman" w:cs="Times New Roman"/>
          <w:sz w:val="20"/>
          <w:szCs w:val="20"/>
        </w:rPr>
        <w:t xml:space="preserve"> teoriche derivanti da queste fluttuazioni di senso e significato.</w:t>
      </w:r>
    </w:p>
  </w:footnote>
  <w:footnote w:id="335">
    <w:p w14:paraId="00F8108D" w14:textId="77777777" w:rsidR="00B34CC2" w:rsidRPr="002179CD" w:rsidRDefault="00B34CC2" w:rsidP="003C611F">
      <w:pPr>
        <w:pStyle w:val="Testonotaapidipagina"/>
        <w:jc w:val="both"/>
        <w:rPr>
          <w:rFonts w:ascii="Times New Roman" w:hAnsi="Times New Roman" w:cs="Times New Roman"/>
          <w:sz w:val="20"/>
          <w:szCs w:val="20"/>
        </w:rPr>
      </w:pPr>
      <w:r w:rsidRPr="002179CD">
        <w:rPr>
          <w:rStyle w:val="Rimandonotaapidipagina"/>
          <w:rFonts w:ascii="Times New Roman" w:hAnsi="Times New Roman" w:cs="Times New Roman"/>
          <w:sz w:val="20"/>
          <w:szCs w:val="20"/>
        </w:rPr>
        <w:footnoteRef/>
      </w:r>
      <w:r w:rsidRPr="002179CD">
        <w:rPr>
          <w:rFonts w:ascii="Times New Roman" w:hAnsi="Times New Roman" w:cs="Times New Roman"/>
          <w:sz w:val="20"/>
          <w:szCs w:val="20"/>
        </w:rPr>
        <w:t xml:space="preserve"> </w:t>
      </w:r>
      <w:r w:rsidRPr="002179CD">
        <w:rPr>
          <w:rFonts w:ascii="Times New Roman" w:hAnsi="Times New Roman" w:cs="Times New Roman"/>
          <w:i/>
          <w:sz w:val="20"/>
          <w:szCs w:val="20"/>
        </w:rPr>
        <w:t>WdL I A</w:t>
      </w:r>
      <w:r w:rsidRPr="002179CD">
        <w:rPr>
          <w:rFonts w:ascii="Times New Roman" w:hAnsi="Times New Roman" w:cs="Times New Roman"/>
          <w:sz w:val="20"/>
          <w:szCs w:val="20"/>
        </w:rPr>
        <w:t>, p. 34.</w:t>
      </w:r>
    </w:p>
  </w:footnote>
  <w:footnote w:id="336">
    <w:p w14:paraId="479FB302" w14:textId="77777777" w:rsidR="00B34CC2" w:rsidRDefault="00B34CC2" w:rsidP="003C611F">
      <w:pPr>
        <w:pStyle w:val="Testonotaapidipagina"/>
        <w:jc w:val="both"/>
      </w:pPr>
      <w:r w:rsidRPr="002179CD">
        <w:rPr>
          <w:rStyle w:val="Rimandonotaapidipagina"/>
          <w:rFonts w:ascii="Times New Roman" w:hAnsi="Times New Roman" w:cs="Times New Roman"/>
          <w:sz w:val="20"/>
          <w:szCs w:val="20"/>
        </w:rPr>
        <w:footnoteRef/>
      </w:r>
      <w:r>
        <w:rPr>
          <w:rFonts w:ascii="Times New Roman" w:hAnsi="Times New Roman" w:cs="Times New Roman"/>
          <w:i/>
          <w:sz w:val="20"/>
          <w:szCs w:val="20"/>
        </w:rPr>
        <w:t xml:space="preserve"> Ivi</w:t>
      </w:r>
      <w:r>
        <w:rPr>
          <w:rFonts w:ascii="Times New Roman" w:hAnsi="Times New Roman" w:cs="Times New Roman"/>
          <w:sz w:val="20"/>
          <w:szCs w:val="20"/>
        </w:rPr>
        <w:t>, p. 38</w:t>
      </w:r>
      <w:r w:rsidRPr="002179CD">
        <w:rPr>
          <w:rFonts w:ascii="Times New Roman" w:hAnsi="Times New Roman" w:cs="Times New Roman"/>
          <w:sz w:val="20"/>
          <w:szCs w:val="20"/>
        </w:rPr>
        <w:t>.</w:t>
      </w:r>
    </w:p>
  </w:footnote>
  <w:footnote w:id="337">
    <w:p w14:paraId="54A34000" w14:textId="77777777" w:rsidR="00B34CC2" w:rsidRPr="00073492" w:rsidRDefault="00B34CC2" w:rsidP="003C611F">
      <w:pPr>
        <w:pStyle w:val="Testonotaapidipagina"/>
        <w:jc w:val="both"/>
        <w:rPr>
          <w:rFonts w:ascii="Times New Roman" w:hAnsi="Times New Roman" w:cs="Times New Roman"/>
          <w:sz w:val="20"/>
          <w:szCs w:val="20"/>
        </w:rPr>
      </w:pPr>
      <w:r w:rsidRPr="00073492">
        <w:rPr>
          <w:rStyle w:val="Rimandonotaapidipagina"/>
          <w:rFonts w:ascii="Times New Roman" w:hAnsi="Times New Roman" w:cs="Times New Roman"/>
          <w:sz w:val="20"/>
          <w:szCs w:val="20"/>
        </w:rPr>
        <w:footnoteRef/>
      </w:r>
      <w:r>
        <w:rPr>
          <w:rFonts w:ascii="Times New Roman" w:hAnsi="Times New Roman" w:cs="Times New Roman"/>
          <w:sz w:val="20"/>
          <w:szCs w:val="20"/>
        </w:rPr>
        <w:t xml:space="preserve"> </w:t>
      </w:r>
      <w:r>
        <w:rPr>
          <w:rFonts w:ascii="Times New Roman" w:hAnsi="Times New Roman" w:cs="Times New Roman"/>
          <w:i/>
          <w:sz w:val="20"/>
          <w:szCs w:val="20"/>
        </w:rPr>
        <w:t>Ibidem</w:t>
      </w:r>
      <w:r w:rsidRPr="00073492">
        <w:rPr>
          <w:rFonts w:ascii="Times New Roman" w:hAnsi="Times New Roman" w:cs="Times New Roman"/>
          <w:sz w:val="20"/>
          <w:szCs w:val="20"/>
        </w:rPr>
        <w:t>.</w:t>
      </w:r>
    </w:p>
  </w:footnote>
  <w:footnote w:id="338">
    <w:p w14:paraId="15DB1100" w14:textId="77777777" w:rsidR="00B34CC2" w:rsidRPr="00073492" w:rsidRDefault="00B34CC2" w:rsidP="003C611F">
      <w:pPr>
        <w:pStyle w:val="Testonotaapidipagina"/>
        <w:jc w:val="both"/>
        <w:rPr>
          <w:sz w:val="20"/>
          <w:szCs w:val="20"/>
        </w:rPr>
      </w:pPr>
      <w:r w:rsidRPr="00073492">
        <w:rPr>
          <w:rStyle w:val="Rimandonotaapidipagina"/>
          <w:rFonts w:ascii="Times New Roman" w:hAnsi="Times New Roman" w:cs="Times New Roman"/>
          <w:sz w:val="20"/>
          <w:szCs w:val="20"/>
        </w:rPr>
        <w:footnoteRef/>
      </w:r>
      <w:r w:rsidRPr="00073492">
        <w:rPr>
          <w:rFonts w:ascii="Times New Roman" w:hAnsi="Times New Roman" w:cs="Times New Roman"/>
          <w:i/>
          <w:sz w:val="20"/>
          <w:szCs w:val="20"/>
        </w:rPr>
        <w:t xml:space="preserve"> Ibidem. </w:t>
      </w:r>
    </w:p>
  </w:footnote>
  <w:footnote w:id="339">
    <w:p w14:paraId="1027EE0A" w14:textId="77777777" w:rsidR="00B34CC2" w:rsidRPr="00073492" w:rsidRDefault="00B34CC2" w:rsidP="003C611F">
      <w:pPr>
        <w:pStyle w:val="Testonotaapidipagina"/>
        <w:jc w:val="both"/>
        <w:rPr>
          <w:sz w:val="20"/>
          <w:szCs w:val="20"/>
        </w:rPr>
      </w:pPr>
      <w:r w:rsidRPr="00073492">
        <w:rPr>
          <w:rStyle w:val="Rimandonotaapidipagina"/>
          <w:rFonts w:ascii="Times New Roman" w:hAnsi="Times New Roman" w:cs="Times New Roman"/>
          <w:sz w:val="20"/>
          <w:szCs w:val="20"/>
        </w:rPr>
        <w:footnoteRef/>
      </w:r>
      <w:r w:rsidRPr="00073492">
        <w:rPr>
          <w:rFonts w:ascii="Times New Roman" w:hAnsi="Times New Roman" w:cs="Times New Roman"/>
          <w:sz w:val="20"/>
          <w:szCs w:val="20"/>
        </w:rPr>
        <w:t xml:space="preserve"> </w:t>
      </w:r>
      <w:r w:rsidRPr="00073492">
        <w:rPr>
          <w:rFonts w:ascii="Times New Roman" w:hAnsi="Times New Roman" w:cs="Times New Roman"/>
          <w:i/>
          <w:sz w:val="20"/>
          <w:szCs w:val="20"/>
        </w:rPr>
        <w:t>Ibidem</w:t>
      </w:r>
      <w:r w:rsidRPr="00073492">
        <w:rPr>
          <w:rFonts w:ascii="Times New Roman" w:hAnsi="Times New Roman" w:cs="Times New Roman"/>
          <w:sz w:val="20"/>
          <w:szCs w:val="20"/>
        </w:rPr>
        <w:t>.</w:t>
      </w:r>
    </w:p>
  </w:footnote>
  <w:footnote w:id="340">
    <w:p w14:paraId="66E3C295" w14:textId="77777777" w:rsidR="00B34CC2" w:rsidRPr="00073492" w:rsidRDefault="00B34CC2" w:rsidP="003C611F">
      <w:pPr>
        <w:pStyle w:val="Testonotaapidipagina"/>
        <w:jc w:val="both"/>
      </w:pPr>
      <w:r w:rsidRPr="00073492">
        <w:rPr>
          <w:rStyle w:val="Rimandonotaapidipagina"/>
          <w:sz w:val="20"/>
          <w:szCs w:val="20"/>
        </w:rPr>
        <w:footnoteRef/>
      </w:r>
      <w:r w:rsidRPr="00073492">
        <w:rPr>
          <w:sz w:val="20"/>
          <w:szCs w:val="20"/>
        </w:rPr>
        <w:t xml:space="preserve"> </w:t>
      </w:r>
      <w:r w:rsidRPr="00073492">
        <w:rPr>
          <w:rFonts w:ascii="Times New Roman" w:hAnsi="Times New Roman" w:cs="Times New Roman"/>
          <w:i/>
          <w:sz w:val="20"/>
          <w:szCs w:val="20"/>
        </w:rPr>
        <w:t>Ibidem</w:t>
      </w:r>
      <w:r w:rsidRPr="00073492">
        <w:rPr>
          <w:rFonts w:ascii="Times New Roman" w:hAnsi="Times New Roman" w:cs="Times New Roman"/>
          <w:sz w:val="20"/>
          <w:szCs w:val="20"/>
        </w:rPr>
        <w:t>.</w:t>
      </w:r>
    </w:p>
  </w:footnote>
  <w:footnote w:id="341">
    <w:p w14:paraId="4AACBCDF" w14:textId="77777777" w:rsidR="00B34CC2" w:rsidRPr="003C6A94" w:rsidRDefault="00B34CC2" w:rsidP="003C611F">
      <w:pPr>
        <w:pStyle w:val="Testonotaapidipagina"/>
        <w:jc w:val="both"/>
      </w:pPr>
      <w:r w:rsidRPr="00073492">
        <w:rPr>
          <w:rStyle w:val="Rimandonotaapidipagina"/>
          <w:rFonts w:ascii="Times New Roman" w:hAnsi="Times New Roman" w:cs="Times New Roman"/>
          <w:sz w:val="20"/>
          <w:szCs w:val="20"/>
        </w:rPr>
        <w:footnoteRef/>
      </w:r>
      <w:r>
        <w:rPr>
          <w:rFonts w:ascii="Times New Roman" w:hAnsi="Times New Roman" w:cs="Times New Roman"/>
          <w:i/>
          <w:sz w:val="20"/>
          <w:szCs w:val="20"/>
        </w:rPr>
        <w:t xml:space="preserve"> </w:t>
      </w:r>
      <w:r w:rsidRPr="00073492">
        <w:rPr>
          <w:rFonts w:ascii="Times New Roman" w:hAnsi="Times New Roman" w:cs="Times New Roman"/>
          <w:i/>
          <w:sz w:val="20"/>
          <w:szCs w:val="20"/>
        </w:rPr>
        <w:t>Ivi</w:t>
      </w:r>
      <w:r w:rsidRPr="00073492">
        <w:rPr>
          <w:rFonts w:ascii="Times New Roman" w:hAnsi="Times New Roman" w:cs="Times New Roman"/>
          <w:sz w:val="20"/>
          <w:szCs w:val="20"/>
        </w:rPr>
        <w:t>, pp. 38-39.</w:t>
      </w:r>
    </w:p>
  </w:footnote>
  <w:footnote w:id="342">
    <w:p w14:paraId="5FD6A2AF" w14:textId="77777777" w:rsidR="00B34CC2" w:rsidRPr="000A7707" w:rsidRDefault="00B34CC2" w:rsidP="003C611F">
      <w:pPr>
        <w:pStyle w:val="Testonotaapidipagina"/>
        <w:jc w:val="both"/>
        <w:rPr>
          <w:rFonts w:ascii="Times New Roman" w:hAnsi="Times New Roman" w:cs="Times New Roman"/>
          <w:sz w:val="20"/>
          <w:szCs w:val="20"/>
        </w:rPr>
      </w:pPr>
      <w:r w:rsidRPr="000A7707">
        <w:rPr>
          <w:rStyle w:val="Rimandonotaapidipagina"/>
          <w:rFonts w:ascii="Times New Roman" w:hAnsi="Times New Roman" w:cs="Times New Roman"/>
          <w:sz w:val="20"/>
          <w:szCs w:val="20"/>
        </w:rPr>
        <w:footnoteRef/>
      </w:r>
      <w:r w:rsidRPr="000A7707">
        <w:rPr>
          <w:rFonts w:ascii="Times New Roman" w:hAnsi="Times New Roman" w:cs="Times New Roman"/>
          <w:sz w:val="20"/>
          <w:szCs w:val="20"/>
        </w:rPr>
        <w:t xml:space="preserve"> </w:t>
      </w:r>
      <w:r w:rsidRPr="000A7707">
        <w:rPr>
          <w:rFonts w:ascii="Times New Roman" w:hAnsi="Times New Roman" w:cs="Times New Roman"/>
          <w:i/>
          <w:sz w:val="20"/>
          <w:szCs w:val="20"/>
        </w:rPr>
        <w:t>WdL I A</w:t>
      </w:r>
      <w:r>
        <w:rPr>
          <w:rFonts w:ascii="Times New Roman" w:hAnsi="Times New Roman" w:cs="Times New Roman"/>
          <w:sz w:val="20"/>
          <w:szCs w:val="20"/>
        </w:rPr>
        <w:t>, p. 37.</w:t>
      </w:r>
    </w:p>
  </w:footnote>
  <w:footnote w:id="343">
    <w:p w14:paraId="482BEE16" w14:textId="77777777" w:rsidR="00B34CC2" w:rsidRPr="000A7707" w:rsidRDefault="00B34CC2" w:rsidP="003C611F">
      <w:pPr>
        <w:pStyle w:val="Testonotaapidipagina"/>
        <w:jc w:val="both"/>
        <w:rPr>
          <w:rFonts w:ascii="Times New Roman" w:hAnsi="Times New Roman" w:cs="Times New Roman"/>
          <w:sz w:val="20"/>
          <w:szCs w:val="20"/>
        </w:rPr>
      </w:pPr>
      <w:r w:rsidRPr="000A7707">
        <w:rPr>
          <w:rStyle w:val="Rimandonotaapidipagina"/>
          <w:rFonts w:ascii="Times New Roman" w:hAnsi="Times New Roman" w:cs="Times New Roman"/>
          <w:sz w:val="20"/>
          <w:szCs w:val="20"/>
        </w:rPr>
        <w:footnoteRef/>
      </w:r>
      <w:r w:rsidRPr="000A7707">
        <w:rPr>
          <w:rFonts w:ascii="Times New Roman" w:hAnsi="Times New Roman" w:cs="Times New Roman"/>
          <w:sz w:val="20"/>
          <w:szCs w:val="20"/>
        </w:rPr>
        <w:t xml:space="preserve"> </w:t>
      </w:r>
      <w:r w:rsidRPr="000A7707">
        <w:rPr>
          <w:rFonts w:ascii="Times New Roman" w:hAnsi="Times New Roman" w:cs="Times New Roman"/>
          <w:i/>
          <w:sz w:val="20"/>
          <w:szCs w:val="20"/>
        </w:rPr>
        <w:t>I</w:t>
      </w:r>
      <w:r>
        <w:rPr>
          <w:rFonts w:ascii="Times New Roman" w:hAnsi="Times New Roman" w:cs="Times New Roman"/>
          <w:i/>
          <w:sz w:val="20"/>
          <w:szCs w:val="20"/>
        </w:rPr>
        <w:t>vi</w:t>
      </w:r>
      <w:r>
        <w:rPr>
          <w:rFonts w:ascii="Times New Roman" w:hAnsi="Times New Roman" w:cs="Times New Roman"/>
          <w:sz w:val="20"/>
          <w:szCs w:val="20"/>
        </w:rPr>
        <w:t>, p. 36.</w:t>
      </w:r>
    </w:p>
  </w:footnote>
  <w:footnote w:id="344">
    <w:p w14:paraId="5859AC04" w14:textId="77777777" w:rsidR="00B34CC2" w:rsidRPr="00764BE6" w:rsidRDefault="00B34CC2" w:rsidP="003C611F">
      <w:pPr>
        <w:pStyle w:val="Testonotaapidipagina"/>
        <w:jc w:val="both"/>
        <w:rPr>
          <w:rFonts w:ascii="Times New Roman" w:hAnsi="Times New Roman" w:cs="Times New Roman"/>
          <w:sz w:val="20"/>
          <w:szCs w:val="20"/>
        </w:rPr>
      </w:pPr>
      <w:r w:rsidRPr="00764BE6">
        <w:rPr>
          <w:rStyle w:val="Rimandonotaapidipagina"/>
          <w:rFonts w:ascii="Times New Roman" w:hAnsi="Times New Roman" w:cs="Times New Roman"/>
          <w:sz w:val="20"/>
          <w:szCs w:val="20"/>
        </w:rPr>
        <w:footnoteRef/>
      </w:r>
      <w:r w:rsidRPr="00764BE6">
        <w:rPr>
          <w:rFonts w:ascii="Times New Roman" w:hAnsi="Times New Roman" w:cs="Times New Roman"/>
          <w:sz w:val="20"/>
          <w:szCs w:val="20"/>
        </w:rPr>
        <w:t xml:space="preserve"> </w:t>
      </w:r>
      <w:r w:rsidRPr="000A7707">
        <w:rPr>
          <w:rFonts w:ascii="Times New Roman" w:hAnsi="Times New Roman" w:cs="Times New Roman"/>
          <w:i/>
          <w:sz w:val="20"/>
          <w:szCs w:val="20"/>
        </w:rPr>
        <w:t>I</w:t>
      </w:r>
      <w:r>
        <w:rPr>
          <w:rFonts w:ascii="Times New Roman" w:hAnsi="Times New Roman" w:cs="Times New Roman"/>
          <w:i/>
          <w:sz w:val="20"/>
          <w:szCs w:val="20"/>
        </w:rPr>
        <w:t>vi</w:t>
      </w:r>
      <w:r>
        <w:rPr>
          <w:rFonts w:ascii="Times New Roman" w:hAnsi="Times New Roman" w:cs="Times New Roman"/>
          <w:sz w:val="20"/>
          <w:szCs w:val="20"/>
        </w:rPr>
        <w:t>, p. 44.</w:t>
      </w:r>
    </w:p>
  </w:footnote>
  <w:footnote w:id="345">
    <w:p w14:paraId="0328F01F" w14:textId="77777777" w:rsidR="00B34CC2" w:rsidRPr="00764BE6" w:rsidRDefault="00B34CC2" w:rsidP="003C611F">
      <w:pPr>
        <w:pStyle w:val="Testonotaapidipagina"/>
        <w:jc w:val="both"/>
        <w:rPr>
          <w:rFonts w:ascii="Times New Roman" w:hAnsi="Times New Roman" w:cs="Times New Roman"/>
          <w:sz w:val="20"/>
          <w:szCs w:val="20"/>
        </w:rPr>
      </w:pPr>
      <w:r w:rsidRPr="00764BE6">
        <w:rPr>
          <w:rStyle w:val="Rimandonotaapidipagina"/>
          <w:rFonts w:ascii="Times New Roman" w:hAnsi="Times New Roman" w:cs="Times New Roman"/>
          <w:sz w:val="20"/>
          <w:szCs w:val="20"/>
        </w:rPr>
        <w:footnoteRef/>
      </w:r>
      <w:r>
        <w:rPr>
          <w:rFonts w:ascii="Times New Roman" w:hAnsi="Times New Roman" w:cs="Times New Roman"/>
          <w:sz w:val="20"/>
          <w:szCs w:val="20"/>
        </w:rPr>
        <w:t xml:space="preserve"> </w:t>
      </w:r>
      <w:r w:rsidRPr="000A7707">
        <w:rPr>
          <w:rFonts w:ascii="Times New Roman" w:hAnsi="Times New Roman" w:cs="Times New Roman"/>
          <w:i/>
          <w:sz w:val="20"/>
          <w:szCs w:val="20"/>
        </w:rPr>
        <w:t>I</w:t>
      </w:r>
      <w:r>
        <w:rPr>
          <w:rFonts w:ascii="Times New Roman" w:hAnsi="Times New Roman" w:cs="Times New Roman"/>
          <w:i/>
          <w:sz w:val="20"/>
          <w:szCs w:val="20"/>
        </w:rPr>
        <w:t>bidem</w:t>
      </w:r>
      <w:r>
        <w:rPr>
          <w:rFonts w:ascii="Times New Roman" w:hAnsi="Times New Roman" w:cs="Times New Roman"/>
          <w:sz w:val="20"/>
          <w:szCs w:val="20"/>
        </w:rPr>
        <w:t>.</w:t>
      </w:r>
    </w:p>
  </w:footnote>
  <w:footnote w:id="346">
    <w:p w14:paraId="5490807F" w14:textId="77777777" w:rsidR="00B34CC2" w:rsidRPr="004E0F55" w:rsidRDefault="00B34CC2" w:rsidP="003C611F">
      <w:pPr>
        <w:pStyle w:val="Testonotaapidipagina"/>
        <w:jc w:val="both"/>
        <w:rPr>
          <w:rFonts w:ascii="Times New Roman" w:hAnsi="Times New Roman" w:cs="Times New Roman"/>
          <w:sz w:val="20"/>
          <w:szCs w:val="20"/>
        </w:rPr>
      </w:pPr>
      <w:r w:rsidRPr="004E0F55">
        <w:rPr>
          <w:rStyle w:val="Rimandonotaapidipagina"/>
          <w:rFonts w:ascii="Times New Roman" w:hAnsi="Times New Roman" w:cs="Times New Roman"/>
          <w:sz w:val="20"/>
          <w:szCs w:val="20"/>
        </w:rPr>
        <w:footnoteRef/>
      </w:r>
      <w:r w:rsidRPr="004E0F55">
        <w:rPr>
          <w:rFonts w:ascii="Times New Roman" w:hAnsi="Times New Roman" w:cs="Times New Roman"/>
          <w:sz w:val="20"/>
          <w:szCs w:val="20"/>
        </w:rPr>
        <w:t xml:space="preserve"> </w:t>
      </w:r>
      <w:r w:rsidRPr="000A7707">
        <w:rPr>
          <w:rFonts w:ascii="Times New Roman" w:hAnsi="Times New Roman" w:cs="Times New Roman"/>
          <w:i/>
          <w:sz w:val="20"/>
          <w:szCs w:val="20"/>
        </w:rPr>
        <w:t>WdL I A</w:t>
      </w:r>
      <w:r>
        <w:rPr>
          <w:rFonts w:ascii="Times New Roman" w:hAnsi="Times New Roman" w:cs="Times New Roman"/>
          <w:sz w:val="20"/>
          <w:szCs w:val="20"/>
        </w:rPr>
        <w:t>, p. 36.</w:t>
      </w:r>
    </w:p>
  </w:footnote>
  <w:footnote w:id="347">
    <w:p w14:paraId="469E5A8F" w14:textId="2FF81192" w:rsidR="00B34CC2" w:rsidRPr="00F32344" w:rsidRDefault="00B34CC2" w:rsidP="003C611F">
      <w:pPr>
        <w:pStyle w:val="Testonotaapidipagina"/>
        <w:jc w:val="both"/>
        <w:rPr>
          <w:rFonts w:ascii="Times New Roman" w:hAnsi="Times New Roman" w:cs="Times New Roman"/>
          <w:sz w:val="20"/>
          <w:szCs w:val="20"/>
        </w:rPr>
      </w:pPr>
      <w:r w:rsidRPr="00AB4DFA">
        <w:rPr>
          <w:rStyle w:val="Rimandonotaapidipagina"/>
          <w:rFonts w:ascii="Times New Roman" w:hAnsi="Times New Roman" w:cs="Times New Roman"/>
          <w:sz w:val="20"/>
          <w:szCs w:val="20"/>
        </w:rPr>
        <w:footnoteRef/>
      </w:r>
      <w:r w:rsidRPr="00AB4DFA">
        <w:rPr>
          <w:rFonts w:ascii="Times New Roman" w:hAnsi="Times New Roman" w:cs="Times New Roman"/>
          <w:sz w:val="20"/>
          <w:szCs w:val="20"/>
        </w:rPr>
        <w:t xml:space="preserve"> </w:t>
      </w:r>
      <w:r>
        <w:rPr>
          <w:rFonts w:ascii="Times New Roman" w:hAnsi="Times New Roman" w:cs="Times New Roman"/>
          <w:sz w:val="20"/>
          <w:szCs w:val="20"/>
        </w:rPr>
        <w:t xml:space="preserve">Come si può immaginare, esiste una bibliografia sterminata sul tema. </w:t>
      </w:r>
      <w:r w:rsidRPr="00B8331A">
        <w:rPr>
          <w:rFonts w:ascii="Times New Roman" w:hAnsi="Times New Roman" w:cs="Times New Roman"/>
          <w:sz w:val="20"/>
          <w:szCs w:val="20"/>
        </w:rPr>
        <w:t xml:space="preserve">Fra i molti contributi si veda A. Arndt, </w:t>
      </w:r>
      <w:r w:rsidRPr="00B8331A">
        <w:rPr>
          <w:rFonts w:ascii="Times New Roman" w:hAnsi="Times New Roman" w:cs="Times New Roman"/>
          <w:i/>
          <w:sz w:val="20"/>
          <w:szCs w:val="20"/>
        </w:rPr>
        <w:t>Die Anfangende Reflexion. Anmerkungen zum Anfang der Wissenschaft der Logik</w:t>
      </w:r>
      <w:r w:rsidRPr="00B8331A">
        <w:rPr>
          <w:rFonts w:ascii="Times New Roman" w:hAnsi="Times New Roman" w:cs="Times New Roman"/>
          <w:sz w:val="20"/>
          <w:szCs w:val="20"/>
        </w:rPr>
        <w:t xml:space="preserve">, in </w:t>
      </w:r>
      <w:r w:rsidRPr="00B8331A">
        <w:rPr>
          <w:rFonts w:ascii="Times New Roman" w:hAnsi="Times New Roman" w:cs="Times New Roman"/>
          <w:i/>
          <w:sz w:val="20"/>
          <w:szCs w:val="20"/>
        </w:rPr>
        <w:t>Hegels Seinslogik. Interpretationen und Perspektiven</w:t>
      </w:r>
      <w:r w:rsidRPr="00B8331A">
        <w:rPr>
          <w:rFonts w:ascii="Times New Roman" w:hAnsi="Times New Roman" w:cs="Times New Roman"/>
          <w:sz w:val="20"/>
          <w:szCs w:val="20"/>
        </w:rPr>
        <w:t>, hrsg. von A. Arndt und C. Iber, Akademie Verlag, Berlin</w:t>
      </w:r>
      <w:r>
        <w:rPr>
          <w:rFonts w:ascii="Times New Roman" w:hAnsi="Times New Roman" w:cs="Times New Roman"/>
          <w:sz w:val="20"/>
          <w:szCs w:val="20"/>
        </w:rPr>
        <w:t xml:space="preserve"> 2000, pp. 126-140; </w:t>
      </w:r>
      <w:r w:rsidRPr="00E914D3">
        <w:rPr>
          <w:rFonts w:ascii="Times New Roman" w:hAnsi="Times New Roman" w:cs="Times New Roman"/>
          <w:sz w:val="20"/>
          <w:szCs w:val="20"/>
        </w:rPr>
        <w:t>D</w:t>
      </w:r>
      <w:r>
        <w:rPr>
          <w:rFonts w:ascii="Times New Roman" w:hAnsi="Times New Roman" w:cs="Times New Roman"/>
          <w:sz w:val="20"/>
          <w:szCs w:val="20"/>
        </w:rPr>
        <w:t xml:space="preserve">. Henrich, </w:t>
      </w:r>
      <w:r>
        <w:rPr>
          <w:rFonts w:ascii="Times New Roman" w:hAnsi="Times New Roman" w:cs="Times New Roman"/>
          <w:i/>
          <w:sz w:val="20"/>
          <w:szCs w:val="20"/>
        </w:rPr>
        <w:t>Anfang und Methode der Logik</w:t>
      </w:r>
      <w:r>
        <w:rPr>
          <w:rFonts w:ascii="Times New Roman" w:hAnsi="Times New Roman" w:cs="Times New Roman"/>
          <w:sz w:val="20"/>
          <w:szCs w:val="20"/>
        </w:rPr>
        <w:t xml:space="preserve">, in </w:t>
      </w:r>
      <w:r>
        <w:rPr>
          <w:rFonts w:ascii="Times New Roman" w:hAnsi="Times New Roman" w:cs="Times New Roman"/>
          <w:i/>
          <w:sz w:val="20"/>
          <w:szCs w:val="20"/>
        </w:rPr>
        <w:t>Hegel im Kontext</w:t>
      </w:r>
      <w:r>
        <w:rPr>
          <w:rFonts w:ascii="Times New Roman" w:hAnsi="Times New Roman" w:cs="Times New Roman"/>
          <w:sz w:val="20"/>
          <w:szCs w:val="20"/>
        </w:rPr>
        <w:t>, Suhrkamp, Frankfurt am Main 2010 (prima e. 1971), pp. 73-81</w:t>
      </w:r>
      <w:r w:rsidRPr="00496DC4">
        <w:rPr>
          <w:rFonts w:ascii="Times New Roman" w:hAnsi="Times New Roman" w:cs="Times New Roman"/>
          <w:sz w:val="20"/>
          <w:szCs w:val="20"/>
        </w:rPr>
        <w:t xml:space="preserve">; S. Houlgate, </w:t>
      </w:r>
      <w:r w:rsidRPr="00496DC4">
        <w:rPr>
          <w:rFonts w:ascii="Times New Roman" w:hAnsi="Times New Roman" w:cs="Times New Roman"/>
          <w:i/>
          <w:sz w:val="20"/>
          <w:szCs w:val="20"/>
        </w:rPr>
        <w:t>The Opening of Hegel’s Logic</w:t>
      </w:r>
      <w:r w:rsidRPr="00496DC4">
        <w:rPr>
          <w:rFonts w:ascii="Times New Roman" w:hAnsi="Times New Roman" w:cs="Times New Roman"/>
          <w:sz w:val="20"/>
          <w:szCs w:val="20"/>
        </w:rPr>
        <w:t xml:space="preserve">, </w:t>
      </w:r>
      <w:r>
        <w:rPr>
          <w:rFonts w:ascii="Times New Roman" w:hAnsi="Times New Roman" w:cs="Times New Roman"/>
          <w:sz w:val="20"/>
          <w:szCs w:val="20"/>
        </w:rPr>
        <w:t>cit.</w:t>
      </w:r>
      <w:r w:rsidRPr="00496DC4">
        <w:rPr>
          <w:rFonts w:ascii="Times New Roman" w:hAnsi="Times New Roman" w:cs="Times New Roman"/>
          <w:sz w:val="20"/>
          <w:szCs w:val="20"/>
        </w:rPr>
        <w:t>, pp. 263-284;</w:t>
      </w:r>
      <w:r>
        <w:rPr>
          <w:rFonts w:ascii="Times New Roman" w:hAnsi="Times New Roman" w:cs="Times New Roman"/>
          <w:sz w:val="20"/>
          <w:szCs w:val="20"/>
        </w:rPr>
        <w:t xml:space="preserve"> L. Lugarini, </w:t>
      </w:r>
      <w:r w:rsidRPr="00AD7D9A">
        <w:rPr>
          <w:rFonts w:ascii="Times New Roman" w:hAnsi="Times New Roman" w:cs="Times New Roman"/>
          <w:i/>
          <w:sz w:val="20"/>
          <w:szCs w:val="20"/>
        </w:rPr>
        <w:t xml:space="preserve">Hegel et la question de l’être: un renouvellement, </w:t>
      </w:r>
      <w:r w:rsidRPr="00AD7D9A">
        <w:rPr>
          <w:rFonts w:ascii="Times New Roman" w:hAnsi="Times New Roman" w:cs="Times New Roman"/>
          <w:sz w:val="20"/>
          <w:szCs w:val="20"/>
        </w:rPr>
        <w:t xml:space="preserve">in </w:t>
      </w:r>
      <w:r w:rsidRPr="00AD7D9A">
        <w:rPr>
          <w:rFonts w:ascii="Times New Roman" w:hAnsi="Times New Roman" w:cs="Times New Roman"/>
          <w:i/>
          <w:sz w:val="20"/>
          <w:szCs w:val="20"/>
        </w:rPr>
        <w:t>Metaphysik nach Kant</w:t>
      </w:r>
      <w:r>
        <w:rPr>
          <w:rFonts w:ascii="Times New Roman" w:hAnsi="Times New Roman" w:cs="Times New Roman"/>
          <w:i/>
          <w:sz w:val="20"/>
          <w:szCs w:val="20"/>
        </w:rPr>
        <w:t>?</w:t>
      </w:r>
      <w:r>
        <w:rPr>
          <w:rFonts w:ascii="Times New Roman" w:hAnsi="Times New Roman" w:cs="Times New Roman"/>
          <w:sz w:val="20"/>
          <w:szCs w:val="20"/>
        </w:rPr>
        <w:t xml:space="preserve">, hrsg. von D. Henrich R.-P. Horstmann, Klett-Cotta, Stuttgart 1988, pp. 201-221; L. Lugarini, </w:t>
      </w:r>
      <w:r w:rsidRPr="00344BD8">
        <w:rPr>
          <w:rFonts w:ascii="Times New Roman" w:hAnsi="Times New Roman" w:cs="Times New Roman"/>
          <w:i/>
          <w:sz w:val="20"/>
          <w:szCs w:val="20"/>
        </w:rPr>
        <w:t>Orizzonti hegeliani di comprensione dell’essere. Rileggendo la Scienza della logica</w:t>
      </w:r>
      <w:r>
        <w:rPr>
          <w:rFonts w:ascii="Times New Roman" w:hAnsi="Times New Roman" w:cs="Times New Roman"/>
          <w:sz w:val="20"/>
          <w:szCs w:val="20"/>
        </w:rPr>
        <w:t xml:space="preserve">, cit., pp.154-177; G. Movia, </w:t>
      </w:r>
      <w:r w:rsidRPr="00F32344">
        <w:rPr>
          <w:rFonts w:ascii="Times New Roman" w:hAnsi="Times New Roman" w:cs="Times New Roman"/>
          <w:i/>
          <w:sz w:val="20"/>
          <w:szCs w:val="20"/>
        </w:rPr>
        <w:t>Über den Anfang der Wissenschaft der Logik</w:t>
      </w:r>
      <w:r>
        <w:rPr>
          <w:rFonts w:ascii="Times New Roman" w:hAnsi="Times New Roman" w:cs="Times New Roman"/>
          <w:sz w:val="20"/>
          <w:szCs w:val="20"/>
        </w:rPr>
        <w:t xml:space="preserve">, in </w:t>
      </w:r>
      <w:r>
        <w:rPr>
          <w:rFonts w:ascii="Times New Roman" w:hAnsi="Times New Roman" w:cs="Times New Roman"/>
          <w:i/>
          <w:sz w:val="20"/>
          <w:szCs w:val="20"/>
        </w:rPr>
        <w:t>Wissenschaft der Logik</w:t>
      </w:r>
      <w:r>
        <w:rPr>
          <w:rFonts w:ascii="Times New Roman" w:hAnsi="Times New Roman" w:cs="Times New Roman"/>
          <w:sz w:val="20"/>
          <w:szCs w:val="20"/>
        </w:rPr>
        <w:t xml:space="preserve">, hrsg. von A. F. Koch, F. Schick, Akademie Verlag, Berlin 2002, pp.11-27; R. B. Pippin, </w:t>
      </w:r>
      <w:r w:rsidRPr="00F32344">
        <w:rPr>
          <w:rFonts w:ascii="Times New Roman" w:hAnsi="Times New Roman" w:cs="Times New Roman"/>
          <w:i/>
          <w:sz w:val="20"/>
          <w:szCs w:val="20"/>
        </w:rPr>
        <w:t>Hegel’s Realm of Shadows. Logica s Metaphysics in The Science of Logic</w:t>
      </w:r>
      <w:r>
        <w:rPr>
          <w:rFonts w:ascii="Times New Roman" w:hAnsi="Times New Roman" w:cs="Times New Roman"/>
          <w:sz w:val="20"/>
          <w:szCs w:val="20"/>
        </w:rPr>
        <w:t>, The University of Chicago Press, Chicago/London 2019, pp. 183-217.</w:t>
      </w:r>
    </w:p>
  </w:footnote>
  <w:footnote w:id="348">
    <w:p w14:paraId="4405094C" w14:textId="77777777" w:rsidR="00B34CC2" w:rsidRPr="00DA1F20" w:rsidRDefault="00B34CC2" w:rsidP="003C611F">
      <w:pPr>
        <w:pStyle w:val="Testonotaapidipagina"/>
        <w:jc w:val="both"/>
        <w:rPr>
          <w:rFonts w:ascii="Times New Roman" w:hAnsi="Times New Roman" w:cs="Times New Roman"/>
          <w:sz w:val="20"/>
          <w:szCs w:val="20"/>
        </w:rPr>
      </w:pPr>
      <w:r w:rsidRPr="00DA1F20">
        <w:rPr>
          <w:rStyle w:val="Rimandonotaapidipagina"/>
          <w:rFonts w:ascii="Times New Roman" w:hAnsi="Times New Roman" w:cs="Times New Roman"/>
          <w:sz w:val="20"/>
          <w:szCs w:val="20"/>
        </w:rPr>
        <w:footnoteRef/>
      </w:r>
      <w:r w:rsidRPr="00DA1F20">
        <w:rPr>
          <w:rFonts w:ascii="Times New Roman" w:hAnsi="Times New Roman" w:cs="Times New Roman"/>
          <w:sz w:val="20"/>
          <w:szCs w:val="20"/>
        </w:rPr>
        <w:t xml:space="preserve"> </w:t>
      </w:r>
      <w:r w:rsidRPr="000A7707">
        <w:rPr>
          <w:rFonts w:ascii="Times New Roman" w:hAnsi="Times New Roman" w:cs="Times New Roman"/>
          <w:i/>
          <w:sz w:val="20"/>
          <w:szCs w:val="20"/>
        </w:rPr>
        <w:t>WdL I A</w:t>
      </w:r>
      <w:r>
        <w:rPr>
          <w:rFonts w:ascii="Times New Roman" w:hAnsi="Times New Roman" w:cs="Times New Roman"/>
          <w:sz w:val="20"/>
          <w:szCs w:val="20"/>
        </w:rPr>
        <w:t>, p. 57.</w:t>
      </w:r>
    </w:p>
  </w:footnote>
  <w:footnote w:id="349">
    <w:p w14:paraId="1042914A" w14:textId="77777777" w:rsidR="00B34CC2" w:rsidRPr="00BF14F9" w:rsidRDefault="00B34CC2" w:rsidP="003C611F">
      <w:pPr>
        <w:pStyle w:val="Testonotaapidipagina"/>
        <w:jc w:val="both"/>
        <w:rPr>
          <w:rFonts w:ascii="Times New Roman" w:hAnsi="Times New Roman" w:cs="Times New Roman"/>
          <w:sz w:val="20"/>
          <w:szCs w:val="20"/>
        </w:rPr>
      </w:pPr>
      <w:r w:rsidRPr="00BF14F9">
        <w:rPr>
          <w:rStyle w:val="Rimandonotaapidipagina"/>
          <w:rFonts w:ascii="Times New Roman" w:hAnsi="Times New Roman" w:cs="Times New Roman"/>
          <w:sz w:val="20"/>
          <w:szCs w:val="20"/>
        </w:rPr>
        <w:footnoteRef/>
      </w:r>
      <w:r>
        <w:rPr>
          <w:rFonts w:ascii="Times New Roman" w:hAnsi="Times New Roman" w:cs="Times New Roman"/>
          <w:sz w:val="20"/>
          <w:szCs w:val="20"/>
        </w:rPr>
        <w:t xml:space="preserve"> </w:t>
      </w:r>
      <w:r w:rsidRPr="000A7707">
        <w:rPr>
          <w:rFonts w:ascii="Times New Roman" w:hAnsi="Times New Roman" w:cs="Times New Roman"/>
          <w:i/>
          <w:sz w:val="20"/>
          <w:szCs w:val="20"/>
        </w:rPr>
        <w:t>I</w:t>
      </w:r>
      <w:r>
        <w:rPr>
          <w:rFonts w:ascii="Times New Roman" w:hAnsi="Times New Roman" w:cs="Times New Roman"/>
          <w:i/>
          <w:sz w:val="20"/>
          <w:szCs w:val="20"/>
        </w:rPr>
        <w:t xml:space="preserve">bidem. </w:t>
      </w:r>
      <w:r w:rsidRPr="000A7707">
        <w:rPr>
          <w:rFonts w:ascii="Times New Roman" w:hAnsi="Times New Roman" w:cs="Times New Roman"/>
          <w:i/>
          <w:sz w:val="20"/>
          <w:szCs w:val="20"/>
        </w:rPr>
        <w:t xml:space="preserve"> </w:t>
      </w:r>
    </w:p>
  </w:footnote>
  <w:footnote w:id="350">
    <w:p w14:paraId="64CC6DD7" w14:textId="77777777" w:rsidR="00B34CC2" w:rsidRPr="00075FB9" w:rsidRDefault="00B34CC2" w:rsidP="003C611F">
      <w:pPr>
        <w:pStyle w:val="Testonotaapidipagina"/>
        <w:jc w:val="both"/>
        <w:rPr>
          <w:rFonts w:ascii="Times New Roman" w:hAnsi="Times New Roman" w:cs="Times New Roman"/>
          <w:sz w:val="20"/>
          <w:szCs w:val="20"/>
        </w:rPr>
      </w:pPr>
      <w:r w:rsidRPr="00075FB9">
        <w:rPr>
          <w:rStyle w:val="Rimandonotaapidipagina"/>
          <w:rFonts w:ascii="Times New Roman" w:hAnsi="Times New Roman" w:cs="Times New Roman"/>
          <w:sz w:val="20"/>
          <w:szCs w:val="20"/>
        </w:rPr>
        <w:footnoteRef/>
      </w:r>
      <w:r w:rsidRPr="00075FB9">
        <w:rPr>
          <w:rFonts w:ascii="Times New Roman" w:hAnsi="Times New Roman" w:cs="Times New Roman"/>
          <w:sz w:val="20"/>
          <w:szCs w:val="20"/>
        </w:rPr>
        <w:t xml:space="preserve"> </w:t>
      </w:r>
      <w:r w:rsidRPr="000A7707">
        <w:rPr>
          <w:rFonts w:ascii="Times New Roman" w:hAnsi="Times New Roman" w:cs="Times New Roman"/>
          <w:i/>
          <w:sz w:val="20"/>
          <w:szCs w:val="20"/>
        </w:rPr>
        <w:t>I</w:t>
      </w:r>
      <w:r>
        <w:rPr>
          <w:rFonts w:ascii="Times New Roman" w:hAnsi="Times New Roman" w:cs="Times New Roman"/>
          <w:i/>
          <w:sz w:val="20"/>
          <w:szCs w:val="20"/>
        </w:rPr>
        <w:t xml:space="preserve">bidem. </w:t>
      </w:r>
      <w:r w:rsidRPr="000A7707">
        <w:rPr>
          <w:rFonts w:ascii="Times New Roman" w:hAnsi="Times New Roman" w:cs="Times New Roman"/>
          <w:i/>
          <w:sz w:val="20"/>
          <w:szCs w:val="20"/>
        </w:rPr>
        <w:t xml:space="preserve"> </w:t>
      </w:r>
    </w:p>
  </w:footnote>
  <w:footnote w:id="351">
    <w:p w14:paraId="119EC685" w14:textId="77777777" w:rsidR="00B34CC2" w:rsidRPr="004268FA" w:rsidRDefault="00B34CC2" w:rsidP="003C611F">
      <w:pPr>
        <w:pStyle w:val="Testonotaapidipagina"/>
        <w:jc w:val="both"/>
        <w:rPr>
          <w:rFonts w:ascii="Times New Roman" w:hAnsi="Times New Roman" w:cs="Times New Roman"/>
          <w:sz w:val="20"/>
          <w:szCs w:val="20"/>
        </w:rPr>
      </w:pPr>
      <w:r w:rsidRPr="004268FA">
        <w:rPr>
          <w:rStyle w:val="Rimandonotaapidipagina"/>
          <w:rFonts w:ascii="Times New Roman" w:hAnsi="Times New Roman" w:cs="Times New Roman"/>
          <w:sz w:val="20"/>
          <w:szCs w:val="20"/>
        </w:rPr>
        <w:footnoteRef/>
      </w:r>
      <w:r>
        <w:rPr>
          <w:rFonts w:ascii="Times New Roman" w:hAnsi="Times New Roman" w:cs="Times New Roman"/>
          <w:i/>
          <w:sz w:val="20"/>
          <w:szCs w:val="20"/>
        </w:rPr>
        <w:t xml:space="preserve"> Ivi</w:t>
      </w:r>
      <w:r>
        <w:rPr>
          <w:rFonts w:ascii="Times New Roman" w:hAnsi="Times New Roman" w:cs="Times New Roman"/>
          <w:sz w:val="20"/>
          <w:szCs w:val="20"/>
        </w:rPr>
        <w:t>, p. 59.</w:t>
      </w:r>
      <w:r>
        <w:rPr>
          <w:rFonts w:ascii="Times New Roman" w:hAnsi="Times New Roman" w:cs="Times New Roman"/>
          <w:i/>
          <w:sz w:val="20"/>
          <w:szCs w:val="20"/>
        </w:rPr>
        <w:t xml:space="preserve"> </w:t>
      </w:r>
      <w:r w:rsidRPr="000A7707">
        <w:rPr>
          <w:rFonts w:ascii="Times New Roman" w:hAnsi="Times New Roman" w:cs="Times New Roman"/>
          <w:i/>
          <w:sz w:val="20"/>
          <w:szCs w:val="20"/>
        </w:rPr>
        <w:t xml:space="preserve"> </w:t>
      </w:r>
    </w:p>
  </w:footnote>
  <w:footnote w:id="352">
    <w:p w14:paraId="1332A7FF" w14:textId="4D4408A9" w:rsidR="00B34CC2" w:rsidRPr="00A27071" w:rsidRDefault="00B34CC2" w:rsidP="003C611F">
      <w:pPr>
        <w:pStyle w:val="Testonotaapidipagina"/>
        <w:jc w:val="both"/>
        <w:rPr>
          <w:rFonts w:ascii="Times New Roman" w:hAnsi="Times New Roman" w:cs="Times New Roman"/>
          <w:sz w:val="20"/>
          <w:szCs w:val="20"/>
        </w:rPr>
      </w:pPr>
      <w:r w:rsidRPr="007F6BCF">
        <w:rPr>
          <w:rStyle w:val="Rimandonotaapidipagina"/>
          <w:rFonts w:ascii="Times New Roman" w:hAnsi="Times New Roman" w:cs="Times New Roman"/>
          <w:sz w:val="20"/>
          <w:szCs w:val="20"/>
        </w:rPr>
        <w:footnoteRef/>
      </w:r>
      <w:r>
        <w:rPr>
          <w:rFonts w:ascii="Times New Roman" w:hAnsi="Times New Roman" w:cs="Times New Roman"/>
          <w:i/>
          <w:sz w:val="20"/>
          <w:szCs w:val="20"/>
        </w:rPr>
        <w:t xml:space="preserve"> Ivi</w:t>
      </w:r>
      <w:r>
        <w:rPr>
          <w:rFonts w:ascii="Times New Roman" w:hAnsi="Times New Roman" w:cs="Times New Roman"/>
          <w:sz w:val="20"/>
          <w:szCs w:val="20"/>
        </w:rPr>
        <w:t xml:space="preserve">, p. 58: </w:t>
      </w:r>
      <w:r w:rsidRPr="00A27071">
        <w:rPr>
          <w:rFonts w:ascii="Times New Roman" w:hAnsi="Times New Roman" w:cs="Times New Roman"/>
          <w:sz w:val="20"/>
          <w:szCs w:val="20"/>
        </w:rPr>
        <w:t>«</w:t>
      </w:r>
      <w:r>
        <w:rPr>
          <w:rFonts w:ascii="Times New Roman" w:hAnsi="Times New Roman" w:cs="Times New Roman"/>
          <w:sz w:val="20"/>
          <w:szCs w:val="20"/>
        </w:rPr>
        <w:t>Auf</w:t>
      </w:r>
      <w:r w:rsidRPr="00A27071">
        <w:rPr>
          <w:rFonts w:ascii="Times New Roman" w:hAnsi="Times New Roman" w:cs="Times New Roman"/>
          <w:sz w:val="20"/>
          <w:szCs w:val="20"/>
          <w:lang w:val="de-DE"/>
        </w:rPr>
        <w:t xml:space="preserve">heben und das </w:t>
      </w:r>
      <w:r>
        <w:rPr>
          <w:rFonts w:ascii="Times New Roman" w:hAnsi="Times New Roman" w:cs="Times New Roman"/>
          <w:sz w:val="20"/>
          <w:szCs w:val="20"/>
          <w:lang w:val="de-DE"/>
        </w:rPr>
        <w:t>Auf</w:t>
      </w:r>
      <w:r w:rsidRPr="00A27071">
        <w:rPr>
          <w:rFonts w:ascii="Times New Roman" w:hAnsi="Times New Roman" w:cs="Times New Roman"/>
          <w:sz w:val="20"/>
          <w:szCs w:val="20"/>
          <w:lang w:val="de-DE"/>
        </w:rPr>
        <w:t xml:space="preserve">gehobene ist einer der wichtigsten Begriffe der Philosophie […]; ein </w:t>
      </w:r>
      <w:r>
        <w:rPr>
          <w:rFonts w:ascii="Times New Roman" w:hAnsi="Times New Roman" w:cs="Times New Roman"/>
          <w:sz w:val="20"/>
          <w:szCs w:val="20"/>
          <w:lang w:val="de-DE"/>
        </w:rPr>
        <w:t>auf</w:t>
      </w:r>
      <w:r w:rsidRPr="00A27071">
        <w:rPr>
          <w:rFonts w:ascii="Times New Roman" w:hAnsi="Times New Roman" w:cs="Times New Roman"/>
          <w:sz w:val="20"/>
          <w:szCs w:val="20"/>
          <w:lang w:val="de-DE"/>
        </w:rPr>
        <w:t>gehobenes dagegen ist ein Vermitteltes, es ist das Nichtseynde aber als Resultat, das von einem Seyn ausgegangen ist. Es hat daher die Bestimmung, aus der es herkommt, noch an sich</w:t>
      </w:r>
      <w:r w:rsidRPr="00A27071">
        <w:rPr>
          <w:rFonts w:ascii="Times New Roman" w:eastAsia="Times New Roman" w:hAnsi="Times New Roman" w:cs="Times New Roman"/>
          <w:color w:val="000000"/>
          <w:sz w:val="20"/>
          <w:szCs w:val="20"/>
        </w:rPr>
        <w:t>».</w:t>
      </w:r>
    </w:p>
  </w:footnote>
  <w:footnote w:id="353">
    <w:p w14:paraId="1963A6A6" w14:textId="77777777" w:rsidR="00B34CC2" w:rsidRPr="00A737ED" w:rsidRDefault="00B34CC2" w:rsidP="003C611F">
      <w:pPr>
        <w:pStyle w:val="Testonotaapidipagina"/>
        <w:jc w:val="both"/>
        <w:rPr>
          <w:rFonts w:ascii="Times New Roman" w:hAnsi="Times New Roman" w:cs="Times New Roman"/>
          <w:sz w:val="20"/>
          <w:szCs w:val="20"/>
        </w:rPr>
      </w:pPr>
      <w:r w:rsidRPr="00A737ED">
        <w:rPr>
          <w:rStyle w:val="Rimandonotaapidipagina"/>
          <w:rFonts w:ascii="Times New Roman" w:hAnsi="Times New Roman" w:cs="Times New Roman"/>
          <w:sz w:val="20"/>
          <w:szCs w:val="20"/>
        </w:rPr>
        <w:footnoteRef/>
      </w:r>
      <w:r w:rsidRPr="00A737ED">
        <w:rPr>
          <w:rFonts w:ascii="Times New Roman" w:hAnsi="Times New Roman" w:cs="Times New Roman"/>
          <w:sz w:val="20"/>
          <w:szCs w:val="20"/>
        </w:rPr>
        <w:t xml:space="preserve"> </w:t>
      </w:r>
      <w:r>
        <w:rPr>
          <w:rFonts w:ascii="Times New Roman" w:hAnsi="Times New Roman" w:cs="Times New Roman"/>
          <w:sz w:val="20"/>
          <w:szCs w:val="20"/>
        </w:rPr>
        <w:t xml:space="preserve">Su questo aspetto della </w:t>
      </w:r>
      <w:r w:rsidRPr="00A737ED">
        <w:rPr>
          <w:rFonts w:ascii="Times New Roman" w:hAnsi="Times New Roman" w:cs="Times New Roman"/>
          <w:i/>
          <w:sz w:val="20"/>
          <w:szCs w:val="20"/>
        </w:rPr>
        <w:t>Logik des Seyns</w:t>
      </w:r>
      <w:r>
        <w:rPr>
          <w:rFonts w:ascii="Times New Roman" w:hAnsi="Times New Roman" w:cs="Times New Roman"/>
          <w:sz w:val="20"/>
          <w:szCs w:val="20"/>
        </w:rPr>
        <w:t xml:space="preserve"> si veda A. Nuzzo, </w:t>
      </w:r>
      <w:r w:rsidRPr="00A737ED">
        <w:rPr>
          <w:rFonts w:ascii="Times New Roman" w:hAnsi="Times New Roman" w:cs="Times New Roman"/>
          <w:i/>
          <w:sz w:val="20"/>
          <w:szCs w:val="20"/>
        </w:rPr>
        <w:t>La Logica</w:t>
      </w:r>
      <w:r>
        <w:rPr>
          <w:rFonts w:ascii="Times New Roman" w:hAnsi="Times New Roman" w:cs="Times New Roman"/>
          <w:sz w:val="20"/>
          <w:szCs w:val="20"/>
        </w:rPr>
        <w:t xml:space="preserve">, in </w:t>
      </w:r>
      <w:r>
        <w:rPr>
          <w:rFonts w:ascii="Times New Roman" w:hAnsi="Times New Roman" w:cs="Times New Roman"/>
          <w:i/>
          <w:sz w:val="20"/>
          <w:szCs w:val="20"/>
        </w:rPr>
        <w:t>Guida a</w:t>
      </w:r>
      <w:r w:rsidRPr="00A737ED">
        <w:rPr>
          <w:rFonts w:ascii="Times New Roman" w:hAnsi="Times New Roman" w:cs="Times New Roman"/>
          <w:i/>
          <w:sz w:val="20"/>
          <w:szCs w:val="20"/>
        </w:rPr>
        <w:t xml:space="preserve"> Hegel</w:t>
      </w:r>
      <w:r>
        <w:rPr>
          <w:rFonts w:ascii="Times New Roman" w:hAnsi="Times New Roman" w:cs="Times New Roman"/>
          <w:sz w:val="20"/>
          <w:szCs w:val="20"/>
        </w:rPr>
        <w:t>, a cura di C. Cesa, Laterza, Bari 1998, pp. 64-68.</w:t>
      </w:r>
    </w:p>
  </w:footnote>
  <w:footnote w:id="354">
    <w:p w14:paraId="1EFCECF2" w14:textId="0A207A2D" w:rsidR="00B34CC2" w:rsidRPr="001F7EE5" w:rsidRDefault="00B34CC2" w:rsidP="003C611F">
      <w:pPr>
        <w:pStyle w:val="Testonotaapidipagina"/>
        <w:jc w:val="both"/>
        <w:rPr>
          <w:rFonts w:ascii="Times New Roman" w:hAnsi="Times New Roman" w:cs="Times New Roman"/>
          <w:sz w:val="20"/>
          <w:szCs w:val="20"/>
        </w:rPr>
      </w:pPr>
      <w:r w:rsidRPr="001F7EE5">
        <w:rPr>
          <w:rStyle w:val="Rimandonotaapidipagina"/>
          <w:rFonts w:ascii="Times New Roman" w:hAnsi="Times New Roman" w:cs="Times New Roman"/>
          <w:sz w:val="20"/>
          <w:szCs w:val="20"/>
        </w:rPr>
        <w:footnoteRef/>
      </w:r>
      <w:r>
        <w:rPr>
          <w:rFonts w:ascii="Times New Roman" w:hAnsi="Times New Roman" w:cs="Times New Roman"/>
          <w:i/>
          <w:sz w:val="20"/>
          <w:szCs w:val="20"/>
        </w:rPr>
        <w:t xml:space="preserve"> </w:t>
      </w:r>
      <w:r w:rsidRPr="002179CD">
        <w:rPr>
          <w:rFonts w:ascii="Times New Roman" w:hAnsi="Times New Roman" w:cs="Times New Roman"/>
          <w:i/>
          <w:sz w:val="20"/>
          <w:szCs w:val="20"/>
        </w:rPr>
        <w:t>WdL I A</w:t>
      </w:r>
      <w:r>
        <w:rPr>
          <w:rFonts w:ascii="Times New Roman" w:hAnsi="Times New Roman" w:cs="Times New Roman"/>
          <w:sz w:val="20"/>
          <w:szCs w:val="20"/>
        </w:rPr>
        <w:t>, p. 262.</w:t>
      </w:r>
    </w:p>
  </w:footnote>
  <w:footnote w:id="355">
    <w:p w14:paraId="681AD40E" w14:textId="77777777" w:rsidR="00B34CC2" w:rsidRPr="00AF098D" w:rsidRDefault="00B34CC2" w:rsidP="003C611F">
      <w:pPr>
        <w:pStyle w:val="Testonotaapidipagina"/>
        <w:jc w:val="both"/>
        <w:rPr>
          <w:rFonts w:ascii="Times New Roman" w:hAnsi="Times New Roman" w:cs="Times New Roman"/>
          <w:sz w:val="20"/>
          <w:szCs w:val="20"/>
        </w:rPr>
      </w:pPr>
      <w:r w:rsidRPr="00AF098D">
        <w:rPr>
          <w:rStyle w:val="Rimandonotaapidipagina"/>
          <w:rFonts w:ascii="Times New Roman" w:hAnsi="Times New Roman" w:cs="Times New Roman"/>
          <w:sz w:val="20"/>
          <w:szCs w:val="20"/>
        </w:rPr>
        <w:footnoteRef/>
      </w:r>
      <w:r w:rsidRPr="00AF098D">
        <w:rPr>
          <w:rFonts w:ascii="Times New Roman" w:hAnsi="Times New Roman" w:cs="Times New Roman"/>
          <w:sz w:val="20"/>
          <w:szCs w:val="20"/>
        </w:rPr>
        <w:t xml:space="preserve"> </w:t>
      </w:r>
      <w:r>
        <w:rPr>
          <w:rFonts w:ascii="Times New Roman" w:hAnsi="Times New Roman" w:cs="Times New Roman"/>
          <w:sz w:val="20"/>
          <w:szCs w:val="20"/>
        </w:rPr>
        <w:t xml:space="preserve">J.-L. Nancy, </w:t>
      </w:r>
      <w:r w:rsidRPr="00AF098D">
        <w:rPr>
          <w:rFonts w:ascii="Times New Roman" w:eastAsia="Times New Roman" w:hAnsi="Times New Roman" w:cs="Times New Roman"/>
          <w:i/>
          <w:color w:val="000000"/>
          <w:sz w:val="20"/>
          <w:szCs w:val="20"/>
        </w:rPr>
        <w:t>Hegel. L’inquiétude du négatif</w:t>
      </w:r>
      <w:r>
        <w:rPr>
          <w:rFonts w:ascii="Times New Roman" w:eastAsia="Times New Roman" w:hAnsi="Times New Roman" w:cs="Times New Roman"/>
          <w:color w:val="000000"/>
          <w:sz w:val="20"/>
          <w:szCs w:val="20"/>
        </w:rPr>
        <w:t>, Galilée, Paris 1997.</w:t>
      </w:r>
    </w:p>
  </w:footnote>
  <w:footnote w:id="356">
    <w:p w14:paraId="68461C9D" w14:textId="5ACBAFC9" w:rsidR="00B34CC2" w:rsidRPr="00B42173" w:rsidRDefault="00B34CC2" w:rsidP="003C611F">
      <w:pPr>
        <w:pStyle w:val="Testonotaapidipagina"/>
        <w:jc w:val="both"/>
        <w:rPr>
          <w:rFonts w:ascii="Times New Roman" w:hAnsi="Times New Roman" w:cs="Times New Roman"/>
          <w:sz w:val="20"/>
          <w:szCs w:val="20"/>
        </w:rPr>
      </w:pPr>
      <w:r w:rsidRPr="00B42173">
        <w:rPr>
          <w:rStyle w:val="Rimandonotaapidipagina"/>
          <w:rFonts w:ascii="Times New Roman" w:hAnsi="Times New Roman" w:cs="Times New Roman"/>
          <w:sz w:val="20"/>
          <w:szCs w:val="20"/>
        </w:rPr>
        <w:footnoteRef/>
      </w:r>
      <w:r w:rsidRPr="00B42173">
        <w:rPr>
          <w:rFonts w:ascii="Times New Roman" w:hAnsi="Times New Roman" w:cs="Times New Roman"/>
          <w:sz w:val="20"/>
          <w:szCs w:val="20"/>
        </w:rPr>
        <w:t xml:space="preserve"> </w:t>
      </w:r>
      <w:r>
        <w:rPr>
          <w:rFonts w:ascii="Times New Roman" w:hAnsi="Times New Roman" w:cs="Times New Roman"/>
          <w:sz w:val="20"/>
          <w:szCs w:val="20"/>
        </w:rPr>
        <w:t xml:space="preserve">Sul significato del lavoro di Koyré e sull’incidenza che esso ha avuto su certi indirizzi di ricerca della </w:t>
      </w:r>
      <w:r>
        <w:rPr>
          <w:rFonts w:ascii="Times New Roman" w:hAnsi="Times New Roman" w:cs="Times New Roman"/>
          <w:i/>
          <w:sz w:val="20"/>
          <w:szCs w:val="20"/>
        </w:rPr>
        <w:t>Hegel-</w:t>
      </w:r>
      <w:r w:rsidRPr="00B42173">
        <w:rPr>
          <w:rFonts w:ascii="Times New Roman" w:hAnsi="Times New Roman" w:cs="Times New Roman"/>
          <w:i/>
          <w:sz w:val="20"/>
          <w:szCs w:val="20"/>
        </w:rPr>
        <w:t>Forschung</w:t>
      </w:r>
      <w:r>
        <w:rPr>
          <w:rFonts w:ascii="Times New Roman" w:hAnsi="Times New Roman" w:cs="Times New Roman"/>
          <w:sz w:val="20"/>
          <w:szCs w:val="20"/>
        </w:rPr>
        <w:t xml:space="preserve"> vedi </w:t>
      </w:r>
      <w:r w:rsidRPr="00EB7208">
        <w:rPr>
          <w:rFonts w:ascii="Times New Roman" w:hAnsi="Times New Roman" w:cs="Times New Roman"/>
          <w:i/>
          <w:sz w:val="20"/>
          <w:szCs w:val="20"/>
        </w:rPr>
        <w:t>supra</w:t>
      </w:r>
      <w:r>
        <w:rPr>
          <w:rFonts w:ascii="Times New Roman" w:hAnsi="Times New Roman" w:cs="Times New Roman"/>
          <w:sz w:val="20"/>
          <w:szCs w:val="20"/>
        </w:rPr>
        <w:t>, pp. 13-16.</w:t>
      </w:r>
    </w:p>
  </w:footnote>
  <w:footnote w:id="357">
    <w:p w14:paraId="64C492B7" w14:textId="36551195" w:rsidR="00B34CC2" w:rsidRPr="0029586A" w:rsidRDefault="00B34CC2" w:rsidP="003C611F">
      <w:pPr>
        <w:pStyle w:val="Testonotaapidipagina"/>
        <w:jc w:val="both"/>
        <w:rPr>
          <w:rFonts w:ascii="Times New Roman" w:hAnsi="Times New Roman" w:cs="Times New Roman"/>
          <w:sz w:val="20"/>
          <w:szCs w:val="20"/>
        </w:rPr>
      </w:pPr>
      <w:r w:rsidRPr="0029586A">
        <w:rPr>
          <w:rStyle w:val="Rimandonotaapidipagina"/>
          <w:rFonts w:ascii="Times New Roman" w:hAnsi="Times New Roman" w:cs="Times New Roman"/>
          <w:sz w:val="20"/>
          <w:szCs w:val="20"/>
        </w:rPr>
        <w:footnoteRef/>
      </w:r>
      <w:r w:rsidRPr="0029586A">
        <w:rPr>
          <w:rFonts w:ascii="Times New Roman" w:hAnsi="Times New Roman" w:cs="Times New Roman"/>
          <w:sz w:val="20"/>
          <w:szCs w:val="20"/>
        </w:rPr>
        <w:t xml:space="preserve"> </w:t>
      </w:r>
      <w:r>
        <w:rPr>
          <w:rFonts w:ascii="Times New Roman" w:hAnsi="Times New Roman" w:cs="Times New Roman"/>
          <w:sz w:val="20"/>
          <w:szCs w:val="20"/>
        </w:rPr>
        <w:t xml:space="preserve">Cfr. </w:t>
      </w:r>
      <w:r w:rsidRPr="0029586A">
        <w:rPr>
          <w:rFonts w:ascii="Times New Roman" w:hAnsi="Times New Roman" w:cs="Times New Roman"/>
          <w:i/>
          <w:sz w:val="20"/>
          <w:szCs w:val="20"/>
        </w:rPr>
        <w:t>supra</w:t>
      </w:r>
      <w:r>
        <w:rPr>
          <w:rFonts w:ascii="Times New Roman" w:hAnsi="Times New Roman" w:cs="Times New Roman"/>
          <w:sz w:val="20"/>
          <w:szCs w:val="20"/>
        </w:rPr>
        <w:t>, pp. 84-91.</w:t>
      </w:r>
    </w:p>
  </w:footnote>
  <w:footnote w:id="358">
    <w:p w14:paraId="643D74F5" w14:textId="77777777" w:rsidR="00B34CC2" w:rsidRPr="0052068C" w:rsidRDefault="00B34CC2" w:rsidP="003C611F">
      <w:pPr>
        <w:pStyle w:val="Testonotaapidipagina"/>
        <w:jc w:val="both"/>
        <w:rPr>
          <w:rFonts w:ascii="Times New Roman" w:hAnsi="Times New Roman" w:cs="Times New Roman"/>
          <w:sz w:val="20"/>
          <w:szCs w:val="20"/>
        </w:rPr>
      </w:pPr>
      <w:r w:rsidRPr="0052068C">
        <w:rPr>
          <w:rStyle w:val="Rimandonotaapidipagina"/>
          <w:rFonts w:ascii="Times New Roman" w:hAnsi="Times New Roman" w:cs="Times New Roman"/>
          <w:sz w:val="20"/>
          <w:szCs w:val="20"/>
        </w:rPr>
        <w:footnoteRef/>
      </w:r>
      <w:r w:rsidRPr="0052068C">
        <w:rPr>
          <w:rFonts w:ascii="Times New Roman" w:hAnsi="Times New Roman" w:cs="Times New Roman"/>
          <w:sz w:val="20"/>
          <w:szCs w:val="20"/>
        </w:rPr>
        <w:t xml:space="preserve"> </w:t>
      </w:r>
      <w:r w:rsidRPr="0052068C">
        <w:rPr>
          <w:rFonts w:ascii="Times New Roman" w:hAnsi="Times New Roman" w:cs="Times New Roman"/>
          <w:i/>
          <w:sz w:val="20"/>
          <w:szCs w:val="20"/>
        </w:rPr>
        <w:t>WdL I A</w:t>
      </w:r>
      <w:r>
        <w:rPr>
          <w:rFonts w:ascii="Times New Roman" w:hAnsi="Times New Roman" w:cs="Times New Roman"/>
          <w:sz w:val="20"/>
          <w:szCs w:val="20"/>
        </w:rPr>
        <w:t>, p. 72.</w:t>
      </w:r>
    </w:p>
  </w:footnote>
  <w:footnote w:id="359">
    <w:p w14:paraId="24BCCC39" w14:textId="77777777" w:rsidR="00B34CC2" w:rsidRPr="00D47B7B" w:rsidRDefault="00B34CC2" w:rsidP="003C611F">
      <w:pPr>
        <w:pStyle w:val="Testonotaapidipagina"/>
        <w:jc w:val="both"/>
        <w:rPr>
          <w:rFonts w:ascii="Times New Roman" w:hAnsi="Times New Roman" w:cs="Times New Roman"/>
          <w:sz w:val="20"/>
          <w:szCs w:val="20"/>
        </w:rPr>
      </w:pPr>
      <w:r w:rsidRPr="00D47B7B">
        <w:rPr>
          <w:rStyle w:val="Rimandonotaapidipagina"/>
          <w:rFonts w:ascii="Times New Roman" w:hAnsi="Times New Roman" w:cs="Times New Roman"/>
          <w:sz w:val="20"/>
          <w:szCs w:val="20"/>
        </w:rPr>
        <w:footnoteRef/>
      </w:r>
      <w:r w:rsidRPr="00D47B7B">
        <w:rPr>
          <w:rFonts w:ascii="Times New Roman" w:hAnsi="Times New Roman" w:cs="Times New Roman"/>
          <w:sz w:val="20"/>
          <w:szCs w:val="20"/>
        </w:rPr>
        <w:t xml:space="preserve"> </w:t>
      </w:r>
      <w:r w:rsidRPr="0052068C">
        <w:rPr>
          <w:rFonts w:ascii="Times New Roman" w:hAnsi="Times New Roman" w:cs="Times New Roman"/>
          <w:i/>
          <w:sz w:val="20"/>
          <w:szCs w:val="20"/>
        </w:rPr>
        <w:t xml:space="preserve">WdL I </w:t>
      </w:r>
      <w:r>
        <w:rPr>
          <w:rFonts w:ascii="Times New Roman" w:hAnsi="Times New Roman" w:cs="Times New Roman"/>
          <w:i/>
          <w:sz w:val="20"/>
          <w:szCs w:val="20"/>
        </w:rPr>
        <w:t>B</w:t>
      </w:r>
      <w:r>
        <w:rPr>
          <w:rFonts w:ascii="Times New Roman" w:hAnsi="Times New Roman" w:cs="Times New Roman"/>
          <w:sz w:val="20"/>
          <w:szCs w:val="20"/>
        </w:rPr>
        <w:t>, p. 102.</w:t>
      </w:r>
    </w:p>
  </w:footnote>
  <w:footnote w:id="360">
    <w:p w14:paraId="79F36BCA" w14:textId="77777777" w:rsidR="00B34CC2" w:rsidRPr="000C4CDA" w:rsidRDefault="00B34CC2" w:rsidP="003C611F">
      <w:pPr>
        <w:pStyle w:val="Testonotaapidipagina"/>
        <w:jc w:val="both"/>
        <w:rPr>
          <w:rFonts w:ascii="Times New Roman" w:hAnsi="Times New Roman" w:cs="Times New Roman"/>
          <w:sz w:val="20"/>
          <w:szCs w:val="20"/>
        </w:rPr>
      </w:pPr>
      <w:r w:rsidRPr="000C4CDA">
        <w:rPr>
          <w:rStyle w:val="Rimandonotaapidipagina"/>
          <w:rFonts w:ascii="Times New Roman" w:hAnsi="Times New Roman" w:cs="Times New Roman"/>
          <w:sz w:val="20"/>
          <w:szCs w:val="20"/>
        </w:rPr>
        <w:footnoteRef/>
      </w:r>
      <w:r w:rsidRPr="000C4CDA">
        <w:rPr>
          <w:rFonts w:ascii="Times New Roman" w:hAnsi="Times New Roman" w:cs="Times New Roman"/>
          <w:sz w:val="20"/>
          <w:szCs w:val="20"/>
        </w:rPr>
        <w:t xml:space="preserve"> </w:t>
      </w:r>
      <w:r w:rsidRPr="0052068C">
        <w:rPr>
          <w:rFonts w:ascii="Times New Roman" w:hAnsi="Times New Roman" w:cs="Times New Roman"/>
          <w:i/>
          <w:sz w:val="20"/>
          <w:szCs w:val="20"/>
        </w:rPr>
        <w:t>WdL I A</w:t>
      </w:r>
      <w:r>
        <w:rPr>
          <w:rFonts w:ascii="Times New Roman" w:hAnsi="Times New Roman" w:cs="Times New Roman"/>
          <w:sz w:val="20"/>
          <w:szCs w:val="20"/>
        </w:rPr>
        <w:t>, p. 76.</w:t>
      </w:r>
    </w:p>
  </w:footnote>
  <w:footnote w:id="361">
    <w:p w14:paraId="0A7B105C" w14:textId="77777777" w:rsidR="00B34CC2" w:rsidRPr="001404A6" w:rsidRDefault="00B34CC2" w:rsidP="003C611F">
      <w:pPr>
        <w:pStyle w:val="Testonotaapidipagina"/>
        <w:jc w:val="both"/>
        <w:rPr>
          <w:rFonts w:ascii="Times New Roman" w:hAnsi="Times New Roman" w:cs="Times New Roman"/>
          <w:sz w:val="20"/>
          <w:szCs w:val="20"/>
        </w:rPr>
      </w:pPr>
      <w:r w:rsidRPr="001404A6">
        <w:rPr>
          <w:rStyle w:val="Rimandonotaapidipagina"/>
          <w:rFonts w:ascii="Times New Roman" w:hAnsi="Times New Roman" w:cs="Times New Roman"/>
          <w:sz w:val="20"/>
          <w:szCs w:val="20"/>
        </w:rPr>
        <w:footnoteRef/>
      </w:r>
      <w:r w:rsidRPr="0052068C">
        <w:rPr>
          <w:rFonts w:ascii="Times New Roman" w:hAnsi="Times New Roman" w:cs="Times New Roman"/>
          <w:i/>
          <w:sz w:val="20"/>
          <w:szCs w:val="20"/>
        </w:rPr>
        <w:t xml:space="preserve"> I</w:t>
      </w:r>
      <w:r>
        <w:rPr>
          <w:rFonts w:ascii="Times New Roman" w:hAnsi="Times New Roman" w:cs="Times New Roman"/>
          <w:i/>
          <w:sz w:val="20"/>
          <w:szCs w:val="20"/>
        </w:rPr>
        <w:t>bidem.</w:t>
      </w:r>
    </w:p>
  </w:footnote>
  <w:footnote w:id="362">
    <w:p w14:paraId="2E2F4329" w14:textId="77777777" w:rsidR="00B34CC2" w:rsidRPr="002A7BCC" w:rsidRDefault="00B34CC2" w:rsidP="003C611F">
      <w:pPr>
        <w:pStyle w:val="Testonotaapidipagina"/>
        <w:jc w:val="both"/>
        <w:rPr>
          <w:rFonts w:ascii="Times New Roman" w:hAnsi="Times New Roman" w:cs="Times New Roman"/>
          <w:sz w:val="20"/>
          <w:szCs w:val="20"/>
        </w:rPr>
      </w:pPr>
      <w:r w:rsidRPr="002A7BCC">
        <w:rPr>
          <w:rStyle w:val="Rimandonotaapidipagina"/>
          <w:rFonts w:ascii="Times New Roman" w:hAnsi="Times New Roman" w:cs="Times New Roman"/>
          <w:sz w:val="20"/>
          <w:szCs w:val="20"/>
        </w:rPr>
        <w:footnoteRef/>
      </w:r>
      <w:r w:rsidRPr="002A7BCC">
        <w:rPr>
          <w:rFonts w:ascii="Times New Roman" w:hAnsi="Times New Roman" w:cs="Times New Roman"/>
          <w:sz w:val="20"/>
          <w:szCs w:val="20"/>
        </w:rPr>
        <w:t xml:space="preserve"> </w:t>
      </w:r>
      <w:r w:rsidRPr="0052068C">
        <w:rPr>
          <w:rFonts w:ascii="Times New Roman" w:hAnsi="Times New Roman" w:cs="Times New Roman"/>
          <w:i/>
          <w:sz w:val="20"/>
          <w:szCs w:val="20"/>
        </w:rPr>
        <w:t>I</w:t>
      </w:r>
      <w:r>
        <w:rPr>
          <w:rFonts w:ascii="Times New Roman" w:hAnsi="Times New Roman" w:cs="Times New Roman"/>
          <w:i/>
          <w:sz w:val="20"/>
          <w:szCs w:val="20"/>
        </w:rPr>
        <w:t>bidem.</w:t>
      </w:r>
    </w:p>
  </w:footnote>
  <w:footnote w:id="363">
    <w:p w14:paraId="66303609" w14:textId="77777777" w:rsidR="00B34CC2" w:rsidRPr="0039290B" w:rsidRDefault="00B34CC2" w:rsidP="003C611F">
      <w:pPr>
        <w:pStyle w:val="Testonotaapidipagina"/>
        <w:jc w:val="both"/>
        <w:rPr>
          <w:rFonts w:ascii="Times New Roman" w:hAnsi="Times New Roman" w:cs="Times New Roman"/>
          <w:sz w:val="20"/>
          <w:szCs w:val="20"/>
        </w:rPr>
      </w:pPr>
      <w:r w:rsidRPr="0039290B">
        <w:rPr>
          <w:rStyle w:val="Rimandonotaapidipagina"/>
          <w:rFonts w:ascii="Times New Roman" w:hAnsi="Times New Roman" w:cs="Times New Roman"/>
          <w:sz w:val="20"/>
          <w:szCs w:val="20"/>
        </w:rPr>
        <w:footnoteRef/>
      </w:r>
      <w:r w:rsidRPr="0039290B">
        <w:rPr>
          <w:rFonts w:ascii="Times New Roman" w:hAnsi="Times New Roman" w:cs="Times New Roman"/>
          <w:sz w:val="20"/>
          <w:szCs w:val="20"/>
        </w:rPr>
        <w:t xml:space="preserve"> </w:t>
      </w:r>
      <w:r w:rsidRPr="0052068C">
        <w:rPr>
          <w:rFonts w:ascii="Times New Roman" w:hAnsi="Times New Roman" w:cs="Times New Roman"/>
          <w:i/>
          <w:sz w:val="20"/>
          <w:szCs w:val="20"/>
        </w:rPr>
        <w:t>I</w:t>
      </w:r>
      <w:r>
        <w:rPr>
          <w:rFonts w:ascii="Times New Roman" w:hAnsi="Times New Roman" w:cs="Times New Roman"/>
          <w:i/>
          <w:sz w:val="20"/>
          <w:szCs w:val="20"/>
        </w:rPr>
        <w:t>vi</w:t>
      </w:r>
      <w:r>
        <w:rPr>
          <w:rFonts w:ascii="Times New Roman" w:hAnsi="Times New Roman" w:cs="Times New Roman"/>
          <w:sz w:val="20"/>
          <w:szCs w:val="20"/>
        </w:rPr>
        <w:t>, p. 75</w:t>
      </w:r>
      <w:r>
        <w:rPr>
          <w:rFonts w:ascii="Times New Roman" w:hAnsi="Times New Roman" w:cs="Times New Roman"/>
          <w:i/>
          <w:sz w:val="20"/>
          <w:szCs w:val="20"/>
        </w:rPr>
        <w:t>.</w:t>
      </w:r>
    </w:p>
  </w:footnote>
  <w:footnote w:id="364">
    <w:p w14:paraId="6295F5AC" w14:textId="77777777" w:rsidR="00B34CC2" w:rsidRPr="00E07796" w:rsidRDefault="00B34CC2" w:rsidP="003C611F">
      <w:pPr>
        <w:pStyle w:val="Testonotaapidipagina"/>
        <w:jc w:val="both"/>
        <w:rPr>
          <w:rFonts w:ascii="Times New Roman" w:hAnsi="Times New Roman"/>
          <w:sz w:val="20"/>
          <w:szCs w:val="20"/>
        </w:rPr>
      </w:pPr>
      <w:r w:rsidRPr="0061350B">
        <w:rPr>
          <w:rStyle w:val="Rimandonotaapidipagina"/>
          <w:rFonts w:ascii="Times New Roman" w:hAnsi="Times New Roman"/>
          <w:sz w:val="20"/>
          <w:szCs w:val="20"/>
        </w:rPr>
        <w:footnoteRef/>
      </w:r>
      <w:r w:rsidRPr="0061350B">
        <w:rPr>
          <w:rFonts w:ascii="Times New Roman" w:hAnsi="Times New Roman"/>
          <w:sz w:val="20"/>
          <w:szCs w:val="20"/>
        </w:rPr>
        <w:t xml:space="preserve"> </w:t>
      </w:r>
      <w:r>
        <w:rPr>
          <w:rFonts w:ascii="Times New Roman" w:hAnsi="Times New Roman"/>
          <w:sz w:val="20"/>
          <w:szCs w:val="20"/>
        </w:rPr>
        <w:t xml:space="preserve">Mi riferisco ai seguenti lavori: J. W. Burbidge, </w:t>
      </w:r>
      <w:r w:rsidRPr="0061350B">
        <w:rPr>
          <w:rFonts w:ascii="Times New Roman" w:hAnsi="Times New Roman"/>
          <w:i/>
          <w:sz w:val="20"/>
          <w:szCs w:val="20"/>
        </w:rPr>
        <w:t>On Hegel’s Logic. Fragment of a Commentary</w:t>
      </w:r>
      <w:r>
        <w:rPr>
          <w:rFonts w:ascii="Times New Roman" w:hAnsi="Times New Roman"/>
          <w:sz w:val="20"/>
          <w:szCs w:val="20"/>
        </w:rPr>
        <w:t xml:space="preserve">, Humanity Press, New Yersey 1995, pp. 48-52; J. W. Burbidge, </w:t>
      </w:r>
      <w:r>
        <w:rPr>
          <w:rFonts w:ascii="Times New Roman" w:hAnsi="Times New Roman"/>
          <w:i/>
          <w:sz w:val="20"/>
          <w:szCs w:val="20"/>
        </w:rPr>
        <w:t>Real Process: How Logic and Chemestry combine in Hegel’s Philosophy of Nature</w:t>
      </w:r>
      <w:r>
        <w:rPr>
          <w:rFonts w:ascii="Times New Roman" w:hAnsi="Times New Roman"/>
          <w:sz w:val="20"/>
          <w:szCs w:val="20"/>
        </w:rPr>
        <w:t xml:space="preserve">, University of Toronto Press, Toronto/Buffalo/London 1996; F. Chiereghin, </w:t>
      </w:r>
      <w:r w:rsidRPr="00411533">
        <w:rPr>
          <w:rFonts w:ascii="Times New Roman" w:hAnsi="Times New Roman" w:cs="Times New Roman"/>
          <w:i/>
          <w:sz w:val="20"/>
          <w:szCs w:val="20"/>
        </w:rPr>
        <w:t>Rileggere la Scienza della Logica. Ricorsività, retroazioni, ologrammi</w:t>
      </w:r>
      <w:r w:rsidRPr="00411533">
        <w:rPr>
          <w:rFonts w:ascii="Times New Roman" w:hAnsi="Times New Roman" w:cs="Times New Roman"/>
          <w:sz w:val="20"/>
          <w:szCs w:val="20"/>
        </w:rPr>
        <w:t>,</w:t>
      </w:r>
      <w:r>
        <w:rPr>
          <w:rFonts w:ascii="Times New Roman" w:hAnsi="Times New Roman" w:cs="Times New Roman"/>
          <w:sz w:val="20"/>
          <w:szCs w:val="20"/>
        </w:rPr>
        <w:t xml:space="preserve"> cit.; S. Houlgate, </w:t>
      </w:r>
      <w:r w:rsidRPr="0061350B">
        <w:rPr>
          <w:rFonts w:ascii="Times New Roman" w:hAnsi="Times New Roman" w:cs="Times New Roman"/>
          <w:i/>
          <w:sz w:val="20"/>
          <w:szCs w:val="20"/>
        </w:rPr>
        <w:t>The Opening of Hegel’s Logic</w:t>
      </w:r>
      <w:r>
        <w:rPr>
          <w:rFonts w:ascii="Times New Roman" w:hAnsi="Times New Roman" w:cs="Times New Roman"/>
          <w:sz w:val="20"/>
          <w:szCs w:val="20"/>
        </w:rPr>
        <w:t xml:space="preserve">, cit., pp. 348-370; L. Lugarini, </w:t>
      </w:r>
      <w:r w:rsidRPr="0061350B">
        <w:rPr>
          <w:rFonts w:ascii="Times New Roman" w:hAnsi="Times New Roman" w:cs="Times New Roman"/>
          <w:i/>
          <w:sz w:val="20"/>
          <w:szCs w:val="20"/>
        </w:rPr>
        <w:t>Orizzonti hegeliani di comprensione dell’essere</w:t>
      </w:r>
      <w:r>
        <w:rPr>
          <w:rFonts w:ascii="Times New Roman" w:hAnsi="Times New Roman" w:cs="Times New Roman"/>
          <w:sz w:val="20"/>
          <w:szCs w:val="20"/>
        </w:rPr>
        <w:t xml:space="preserve">, cit., pp. 182-200. Riguardo ad altri interpreti, che si sono pronunciati sulla questione, senza prestare attenzione alle modifiche occorse fra la prima e la seconda edizione della </w:t>
      </w:r>
      <w:r w:rsidRPr="005466B8">
        <w:rPr>
          <w:rFonts w:ascii="Times New Roman" w:hAnsi="Times New Roman" w:cs="Times New Roman"/>
          <w:i/>
          <w:sz w:val="20"/>
          <w:szCs w:val="20"/>
        </w:rPr>
        <w:t>Wissenschaft der Logik</w:t>
      </w:r>
      <w:r>
        <w:rPr>
          <w:rFonts w:ascii="Times New Roman" w:hAnsi="Times New Roman" w:cs="Times New Roman"/>
          <w:sz w:val="20"/>
          <w:szCs w:val="20"/>
        </w:rPr>
        <w:t xml:space="preserve">, si veda B. Bowman, </w:t>
      </w:r>
      <w:r>
        <w:rPr>
          <w:rFonts w:ascii="Times New Roman" w:hAnsi="Times New Roman" w:cs="Times New Roman"/>
          <w:i/>
          <w:sz w:val="20"/>
          <w:szCs w:val="20"/>
        </w:rPr>
        <w:t xml:space="preserve">Self-determination and Ideality in Hegel’s Logic of Being, </w:t>
      </w:r>
      <w:r>
        <w:rPr>
          <w:rFonts w:ascii="Times New Roman" w:hAnsi="Times New Roman" w:cs="Times New Roman"/>
          <w:sz w:val="20"/>
          <w:szCs w:val="20"/>
        </w:rPr>
        <w:t xml:space="preserve">in </w:t>
      </w:r>
      <w:r>
        <w:rPr>
          <w:rFonts w:ascii="Times New Roman" w:hAnsi="Times New Roman" w:cs="Times New Roman"/>
          <w:i/>
          <w:sz w:val="20"/>
          <w:szCs w:val="20"/>
        </w:rPr>
        <w:t>The Oxford Handbook of Hegel</w:t>
      </w:r>
      <w:r>
        <w:rPr>
          <w:rFonts w:ascii="Times New Roman" w:hAnsi="Times New Roman" w:cs="Times New Roman"/>
          <w:sz w:val="20"/>
          <w:szCs w:val="20"/>
        </w:rPr>
        <w:t xml:space="preserve">, edited by D. Moyar, Oxford University Press, New York 2017, pp. 219-242; M. Cingoli, </w:t>
      </w:r>
      <w:r>
        <w:rPr>
          <w:rFonts w:ascii="Times New Roman" w:hAnsi="Times New Roman" w:cs="Times New Roman"/>
          <w:i/>
          <w:sz w:val="20"/>
          <w:szCs w:val="20"/>
        </w:rPr>
        <w:t>La Qualità nella Scienza della Logica di Hegel. Commento al Libro I, Sezione I</w:t>
      </w:r>
      <w:r>
        <w:rPr>
          <w:rFonts w:ascii="Times New Roman" w:hAnsi="Times New Roman" w:cs="Times New Roman"/>
          <w:sz w:val="20"/>
          <w:szCs w:val="20"/>
        </w:rPr>
        <w:t>, Gerini, Milano 1997, pp. 161-165; Y. Melamed, “</w:t>
      </w:r>
      <w:r>
        <w:rPr>
          <w:rFonts w:ascii="Times New Roman" w:hAnsi="Times New Roman" w:cs="Times New Roman"/>
          <w:i/>
          <w:sz w:val="20"/>
          <w:szCs w:val="20"/>
        </w:rPr>
        <w:t>Omnis determinatio est negatio”: Determination, Negation, and Self-Negation in Spinoza, Kant, and Hegel</w:t>
      </w:r>
      <w:r>
        <w:rPr>
          <w:rFonts w:ascii="Times New Roman" w:hAnsi="Times New Roman" w:cs="Times New Roman"/>
          <w:sz w:val="20"/>
          <w:szCs w:val="20"/>
        </w:rPr>
        <w:t xml:space="preserve">, in </w:t>
      </w:r>
      <w:r>
        <w:rPr>
          <w:rFonts w:ascii="Times New Roman" w:hAnsi="Times New Roman" w:cs="Times New Roman"/>
          <w:i/>
          <w:sz w:val="20"/>
          <w:szCs w:val="20"/>
        </w:rPr>
        <w:t>Spinoza and German Idealism</w:t>
      </w:r>
      <w:r>
        <w:rPr>
          <w:rFonts w:ascii="Times New Roman" w:hAnsi="Times New Roman" w:cs="Times New Roman"/>
          <w:sz w:val="20"/>
          <w:szCs w:val="20"/>
        </w:rPr>
        <w:t>, edited by E</w:t>
      </w:r>
      <w:r w:rsidRPr="003F4AE9">
        <w:rPr>
          <w:rFonts w:ascii="Times New Roman" w:hAnsi="Times New Roman" w:cs="Times New Roman"/>
          <w:sz w:val="20"/>
          <w:szCs w:val="20"/>
        </w:rPr>
        <w:t>. F</w:t>
      </w:r>
      <w:r w:rsidRPr="003F4AE9">
        <w:rPr>
          <w:rFonts w:ascii="Times New Roman" w:eastAsia="Times New Roman" w:hAnsi="Times New Roman" w:cs="Times New Roman"/>
          <w:color w:val="000000"/>
          <w:sz w:val="20"/>
          <w:szCs w:val="20"/>
        </w:rPr>
        <w:t>ö</w:t>
      </w:r>
      <w:r>
        <w:rPr>
          <w:rFonts w:ascii="Times New Roman" w:eastAsia="Times New Roman" w:hAnsi="Times New Roman" w:cs="Times New Roman"/>
          <w:color w:val="000000"/>
          <w:sz w:val="20"/>
          <w:szCs w:val="20"/>
        </w:rPr>
        <w:t xml:space="preserve">rster and Y. Melamed, Cambridge University Press, Cambridge 2012, pp. 175-196. Nei contributi di Bowman e Melamed, la questione relativa al negativo è </w:t>
      </w:r>
      <w:r w:rsidRPr="009641AD">
        <w:rPr>
          <w:rFonts w:ascii="Times New Roman" w:eastAsia="Times New Roman" w:hAnsi="Times New Roman" w:cs="Times New Roman"/>
          <w:color w:val="000000"/>
          <w:sz w:val="20"/>
          <w:szCs w:val="20"/>
        </w:rPr>
        <w:t>ricondotta allo spinozismo. Non si registra, invece, riferimento alcuno alla capacità dell’</w:t>
      </w:r>
      <w:r w:rsidRPr="009641AD">
        <w:rPr>
          <w:rFonts w:ascii="Times New Roman" w:eastAsia="Times New Roman" w:hAnsi="Times New Roman" w:cs="Times New Roman"/>
          <w:i/>
          <w:color w:val="000000"/>
          <w:sz w:val="20"/>
          <w:szCs w:val="20"/>
        </w:rPr>
        <w:t>Inqualierung</w:t>
      </w:r>
      <w:r w:rsidRPr="009641AD">
        <w:rPr>
          <w:rFonts w:ascii="Times New Roman" w:eastAsia="Times New Roman" w:hAnsi="Times New Roman" w:cs="Times New Roman"/>
          <w:color w:val="000000"/>
          <w:sz w:val="20"/>
          <w:szCs w:val="20"/>
        </w:rPr>
        <w:t xml:space="preserve"> böhmiano di superare l’astrazione insita nella formula spinoziana </w:t>
      </w:r>
      <w:r w:rsidRPr="009641AD">
        <w:rPr>
          <w:rFonts w:ascii="Times New Roman" w:eastAsia="Times New Roman" w:hAnsi="Times New Roman" w:cs="Times New Roman"/>
          <w:i/>
          <w:color w:val="000000"/>
          <w:sz w:val="20"/>
          <w:szCs w:val="20"/>
        </w:rPr>
        <w:t>determinatio negatio est</w:t>
      </w:r>
      <w:r w:rsidRPr="009641AD">
        <w:rPr>
          <w:rFonts w:ascii="Times New Roman" w:eastAsia="Times New Roman" w:hAnsi="Times New Roman" w:cs="Times New Roman"/>
          <w:color w:val="000000"/>
          <w:sz w:val="20"/>
          <w:szCs w:val="20"/>
        </w:rPr>
        <w:t xml:space="preserve">. Riguardo al testo di Cingoli, si deve notare che esso – in quanto commentario delle prime sezioni della </w:t>
      </w:r>
      <w:r w:rsidRPr="009641AD">
        <w:rPr>
          <w:rFonts w:ascii="Times New Roman" w:eastAsia="Times New Roman" w:hAnsi="Times New Roman" w:cs="Times New Roman"/>
          <w:i/>
          <w:color w:val="000000"/>
          <w:sz w:val="20"/>
          <w:szCs w:val="20"/>
        </w:rPr>
        <w:t>Logik des Seyns</w:t>
      </w:r>
      <w:r w:rsidRPr="009641AD">
        <w:rPr>
          <w:rFonts w:ascii="Times New Roman" w:eastAsia="Times New Roman" w:hAnsi="Times New Roman" w:cs="Times New Roman"/>
          <w:color w:val="000000"/>
          <w:sz w:val="20"/>
          <w:szCs w:val="20"/>
        </w:rPr>
        <w:t xml:space="preserve"> (1832) – discute concisamente la nozione d’</w:t>
      </w:r>
      <w:r w:rsidRPr="009641AD">
        <w:rPr>
          <w:rFonts w:ascii="Times New Roman" w:eastAsia="Times New Roman" w:hAnsi="Times New Roman" w:cs="Times New Roman"/>
          <w:i/>
          <w:color w:val="000000"/>
          <w:sz w:val="20"/>
          <w:szCs w:val="20"/>
        </w:rPr>
        <w:t>Inqualierung</w:t>
      </w:r>
      <w:r w:rsidRPr="009641AD">
        <w:rPr>
          <w:rFonts w:ascii="Times New Roman" w:eastAsia="Times New Roman" w:hAnsi="Times New Roman" w:cs="Times New Roman"/>
          <w:color w:val="000000"/>
          <w:sz w:val="20"/>
          <w:szCs w:val="20"/>
        </w:rPr>
        <w:t xml:space="preserve"> trascurando del tutto le differenze che intercorrono fra la prima stesura e la seconda riscrittura dell’</w:t>
      </w:r>
      <w:r w:rsidRPr="009641AD">
        <w:rPr>
          <w:rFonts w:ascii="Times New Roman" w:eastAsia="Times New Roman" w:hAnsi="Times New Roman" w:cs="Times New Roman"/>
          <w:i/>
          <w:color w:val="000000"/>
          <w:sz w:val="20"/>
          <w:szCs w:val="20"/>
        </w:rPr>
        <w:t xml:space="preserve">Anmerkung </w:t>
      </w:r>
      <w:r w:rsidRPr="009641AD">
        <w:rPr>
          <w:rFonts w:ascii="Times New Roman" w:eastAsia="Times New Roman" w:hAnsi="Times New Roman" w:cs="Times New Roman"/>
          <w:color w:val="000000"/>
          <w:sz w:val="20"/>
          <w:szCs w:val="20"/>
        </w:rPr>
        <w:t xml:space="preserve">alla </w:t>
      </w:r>
      <w:r w:rsidRPr="009641AD">
        <w:rPr>
          <w:rFonts w:ascii="Times New Roman" w:eastAsia="Times New Roman" w:hAnsi="Times New Roman" w:cs="Times New Roman"/>
          <w:i/>
          <w:color w:val="000000"/>
          <w:sz w:val="20"/>
          <w:szCs w:val="20"/>
        </w:rPr>
        <w:t>Qualität</w:t>
      </w:r>
      <w:r w:rsidRPr="009641AD">
        <w:rPr>
          <w:rFonts w:ascii="Times New Roman" w:eastAsia="Times New Roman" w:hAnsi="Times New Roman" w:cs="Times New Roman"/>
          <w:color w:val="000000"/>
          <w:sz w:val="20"/>
          <w:szCs w:val="20"/>
        </w:rPr>
        <w:t>.</w:t>
      </w:r>
    </w:p>
  </w:footnote>
  <w:footnote w:id="365">
    <w:p w14:paraId="2DFEB1BC" w14:textId="77777777" w:rsidR="00B34CC2" w:rsidRPr="00F803DE" w:rsidRDefault="00B34CC2" w:rsidP="003C611F">
      <w:pPr>
        <w:pStyle w:val="Testonotaapidipagina"/>
        <w:jc w:val="both"/>
        <w:rPr>
          <w:rFonts w:ascii="Times New Roman" w:hAnsi="Times New Roman" w:cs="Times New Roman"/>
          <w:sz w:val="20"/>
          <w:szCs w:val="20"/>
        </w:rPr>
      </w:pPr>
      <w:r w:rsidRPr="00DD7441">
        <w:rPr>
          <w:rStyle w:val="Rimandonotaapidipagina"/>
          <w:rFonts w:ascii="Times New Roman" w:hAnsi="Times New Roman"/>
          <w:sz w:val="20"/>
          <w:szCs w:val="20"/>
        </w:rPr>
        <w:footnoteRef/>
      </w:r>
      <w:r w:rsidRPr="00DD7441">
        <w:rPr>
          <w:rFonts w:ascii="Times New Roman" w:hAnsi="Times New Roman"/>
          <w:sz w:val="20"/>
          <w:szCs w:val="20"/>
        </w:rPr>
        <w:t xml:space="preserve"> </w:t>
      </w:r>
      <w:r w:rsidRPr="00DD7441">
        <w:rPr>
          <w:rFonts w:ascii="Times New Roman" w:hAnsi="Times New Roman" w:cs="Times New Roman"/>
          <w:i/>
          <w:sz w:val="20"/>
          <w:szCs w:val="20"/>
        </w:rPr>
        <w:t>WdL I B</w:t>
      </w:r>
      <w:r w:rsidRPr="00DD7441">
        <w:rPr>
          <w:rFonts w:ascii="Times New Roman" w:hAnsi="Times New Roman" w:cs="Times New Roman"/>
          <w:sz w:val="20"/>
          <w:szCs w:val="20"/>
        </w:rPr>
        <w:t>, p. 102.</w:t>
      </w:r>
    </w:p>
  </w:footnote>
  <w:footnote w:id="366">
    <w:p w14:paraId="1EF54281" w14:textId="3F8FEE21" w:rsidR="00B34CC2" w:rsidRPr="00DD1EF0" w:rsidRDefault="00B34CC2" w:rsidP="003C611F">
      <w:pPr>
        <w:pStyle w:val="Testonotaapidipagina"/>
        <w:jc w:val="both"/>
        <w:rPr>
          <w:rFonts w:ascii="Times New Roman" w:hAnsi="Times New Roman" w:cs="Times New Roman"/>
          <w:sz w:val="20"/>
          <w:szCs w:val="20"/>
        </w:rPr>
      </w:pPr>
      <w:r w:rsidRPr="00DD1EF0">
        <w:rPr>
          <w:rStyle w:val="Rimandonotaapidipagina"/>
          <w:rFonts w:ascii="Times New Roman" w:hAnsi="Times New Roman" w:cs="Times New Roman"/>
          <w:sz w:val="20"/>
          <w:szCs w:val="20"/>
        </w:rPr>
        <w:footnoteRef/>
      </w:r>
      <w:r w:rsidRPr="00DD1EF0">
        <w:rPr>
          <w:rFonts w:ascii="Times New Roman" w:hAnsi="Times New Roman" w:cs="Times New Roman"/>
          <w:sz w:val="20"/>
          <w:szCs w:val="20"/>
        </w:rPr>
        <w:t xml:space="preserve"> </w:t>
      </w:r>
      <w:r>
        <w:rPr>
          <w:rFonts w:ascii="Times New Roman" w:hAnsi="Times New Roman" w:cs="Times New Roman"/>
          <w:sz w:val="20"/>
          <w:szCs w:val="20"/>
        </w:rPr>
        <w:t xml:space="preserve">Per una critica di più ampio respiro a questo capitolo del </w:t>
      </w:r>
      <w:r w:rsidRPr="008134A2">
        <w:rPr>
          <w:rFonts w:ascii="Times New Roman" w:hAnsi="Times New Roman" w:cs="Times New Roman"/>
          <w:sz w:val="20"/>
          <w:szCs w:val="20"/>
        </w:rPr>
        <w:t xml:space="preserve">testo di Magee vedi </w:t>
      </w:r>
      <w:r w:rsidRPr="008134A2">
        <w:rPr>
          <w:rFonts w:ascii="Times New Roman" w:hAnsi="Times New Roman" w:cs="Times New Roman"/>
          <w:i/>
          <w:sz w:val="20"/>
          <w:szCs w:val="20"/>
        </w:rPr>
        <w:t>supra</w:t>
      </w:r>
      <w:r w:rsidRPr="008134A2">
        <w:rPr>
          <w:rFonts w:ascii="Times New Roman" w:hAnsi="Times New Roman" w:cs="Times New Roman"/>
          <w:sz w:val="20"/>
          <w:szCs w:val="20"/>
        </w:rPr>
        <w:t>, p. 107, nota 4.</w:t>
      </w:r>
    </w:p>
  </w:footnote>
  <w:footnote w:id="367">
    <w:p w14:paraId="42051419" w14:textId="77777777" w:rsidR="00B34CC2" w:rsidRPr="008F30B2" w:rsidRDefault="00B34CC2" w:rsidP="003C611F">
      <w:pPr>
        <w:pStyle w:val="Testonotaapidipagina"/>
        <w:jc w:val="both"/>
        <w:rPr>
          <w:rFonts w:ascii="Times New Roman" w:hAnsi="Times New Roman" w:cs="Times New Roman"/>
          <w:sz w:val="20"/>
          <w:szCs w:val="20"/>
        </w:rPr>
      </w:pPr>
      <w:r w:rsidRPr="008F30B2">
        <w:rPr>
          <w:rStyle w:val="Rimandonotaapidipagina"/>
          <w:rFonts w:ascii="Times New Roman" w:hAnsi="Times New Roman" w:cs="Times New Roman"/>
          <w:sz w:val="20"/>
          <w:szCs w:val="20"/>
        </w:rPr>
        <w:footnoteRef/>
      </w:r>
      <w:r w:rsidRPr="008F30B2">
        <w:rPr>
          <w:rFonts w:ascii="Times New Roman" w:hAnsi="Times New Roman" w:cs="Times New Roman"/>
          <w:sz w:val="20"/>
          <w:szCs w:val="20"/>
        </w:rPr>
        <w:t xml:space="preserve"> </w:t>
      </w:r>
      <w:r>
        <w:rPr>
          <w:rFonts w:ascii="Times New Roman" w:hAnsi="Times New Roman" w:cs="Times New Roman"/>
          <w:sz w:val="20"/>
          <w:szCs w:val="20"/>
        </w:rPr>
        <w:t xml:space="preserve">G. A. Magee, </w:t>
      </w:r>
      <w:r>
        <w:rPr>
          <w:rFonts w:ascii="Times New Roman" w:hAnsi="Times New Roman" w:cs="Times New Roman"/>
          <w:i/>
          <w:sz w:val="20"/>
          <w:szCs w:val="20"/>
        </w:rPr>
        <w:t>Hegel and the Ermetic Tradition</w:t>
      </w:r>
      <w:r>
        <w:rPr>
          <w:rFonts w:ascii="Times New Roman" w:hAnsi="Times New Roman" w:cs="Times New Roman"/>
          <w:sz w:val="20"/>
          <w:szCs w:val="20"/>
        </w:rPr>
        <w:t>, cit., pp. 158-159.</w:t>
      </w:r>
    </w:p>
  </w:footnote>
  <w:footnote w:id="368">
    <w:p w14:paraId="57E0D6A0" w14:textId="77777777" w:rsidR="00B34CC2" w:rsidRPr="004147FC" w:rsidRDefault="00B34CC2" w:rsidP="003C611F">
      <w:pPr>
        <w:pStyle w:val="Testonotaapidipagina"/>
        <w:jc w:val="both"/>
        <w:rPr>
          <w:rFonts w:ascii="Times New Roman" w:hAnsi="Times New Roman" w:cs="Times New Roman"/>
          <w:sz w:val="20"/>
          <w:szCs w:val="20"/>
        </w:rPr>
      </w:pPr>
      <w:r w:rsidRPr="004147FC">
        <w:rPr>
          <w:rStyle w:val="Rimandonotaapidipagina"/>
          <w:rFonts w:ascii="Times New Roman" w:hAnsi="Times New Roman" w:cs="Times New Roman"/>
          <w:sz w:val="20"/>
          <w:szCs w:val="20"/>
        </w:rPr>
        <w:footnoteRef/>
      </w:r>
      <w:r w:rsidRPr="004147FC">
        <w:rPr>
          <w:rFonts w:ascii="Times New Roman" w:hAnsi="Times New Roman" w:cs="Times New Roman"/>
          <w:sz w:val="20"/>
          <w:szCs w:val="20"/>
        </w:rPr>
        <w:t xml:space="preserve"> </w:t>
      </w:r>
      <w:r>
        <w:rPr>
          <w:rFonts w:ascii="Times New Roman" w:hAnsi="Times New Roman" w:cs="Times New Roman"/>
          <w:sz w:val="20"/>
          <w:szCs w:val="20"/>
        </w:rPr>
        <w:t xml:space="preserve">C. Muratori, </w:t>
      </w:r>
      <w:r>
        <w:rPr>
          <w:rFonts w:ascii="Times New Roman" w:hAnsi="Times New Roman" w:cs="Times New Roman"/>
          <w:i/>
          <w:sz w:val="20"/>
          <w:szCs w:val="20"/>
        </w:rPr>
        <w:t>The First German Philosopher</w:t>
      </w:r>
      <w:r>
        <w:rPr>
          <w:rFonts w:ascii="Times New Roman" w:hAnsi="Times New Roman" w:cs="Times New Roman"/>
          <w:sz w:val="20"/>
          <w:szCs w:val="20"/>
        </w:rPr>
        <w:t>, cit., pp. 237-242.</w:t>
      </w:r>
    </w:p>
  </w:footnote>
  <w:footnote w:id="369">
    <w:p w14:paraId="6796A644" w14:textId="465C06E8" w:rsidR="00B34CC2" w:rsidRPr="00A27071" w:rsidRDefault="00B34CC2" w:rsidP="003C611F">
      <w:pPr>
        <w:pStyle w:val="Testonotaapidipagina"/>
        <w:jc w:val="both"/>
        <w:rPr>
          <w:rFonts w:ascii="Times New Roman" w:hAnsi="Times New Roman" w:cs="Times New Roman"/>
          <w:sz w:val="20"/>
          <w:szCs w:val="20"/>
          <w:lang w:val="en-GB"/>
        </w:rPr>
      </w:pPr>
      <w:r w:rsidRPr="002B04D9">
        <w:rPr>
          <w:rStyle w:val="Rimandonotaapidipagina"/>
          <w:rFonts w:ascii="Times New Roman" w:hAnsi="Times New Roman" w:cs="Times New Roman"/>
          <w:sz w:val="20"/>
          <w:szCs w:val="20"/>
          <w:lang w:val="en-GB"/>
        </w:rPr>
        <w:footnoteRef/>
      </w:r>
      <w:r w:rsidRPr="002B04D9">
        <w:rPr>
          <w:rFonts w:ascii="Times New Roman" w:hAnsi="Times New Roman" w:cs="Times New Roman"/>
          <w:sz w:val="20"/>
          <w:szCs w:val="20"/>
          <w:lang w:val="en-GB"/>
        </w:rPr>
        <w:t xml:space="preserve"> </w:t>
      </w:r>
      <w:r w:rsidRPr="002B04D9">
        <w:rPr>
          <w:rFonts w:ascii="Times New Roman" w:hAnsi="Times New Roman" w:cs="Times New Roman"/>
          <w:sz w:val="20"/>
          <w:szCs w:val="20"/>
        </w:rPr>
        <w:t>Cfr.</w:t>
      </w:r>
      <w:r w:rsidRPr="002B04D9">
        <w:rPr>
          <w:rFonts w:ascii="Times New Roman" w:hAnsi="Times New Roman" w:cs="Times New Roman"/>
          <w:sz w:val="20"/>
          <w:szCs w:val="20"/>
          <w:lang w:val="en-GB"/>
        </w:rPr>
        <w:t xml:space="preserve"> </w:t>
      </w:r>
      <w:r w:rsidRPr="002B04D9">
        <w:rPr>
          <w:rFonts w:ascii="Times New Roman" w:hAnsi="Times New Roman" w:cs="Times New Roman"/>
          <w:i/>
          <w:sz w:val="20"/>
          <w:szCs w:val="20"/>
          <w:lang w:val="en-GB"/>
        </w:rPr>
        <w:t>Ivi</w:t>
      </w:r>
      <w:r w:rsidRPr="002B04D9">
        <w:rPr>
          <w:rFonts w:ascii="Times New Roman" w:hAnsi="Times New Roman" w:cs="Times New Roman"/>
          <w:sz w:val="20"/>
          <w:szCs w:val="20"/>
          <w:lang w:val="en-GB"/>
        </w:rPr>
        <w:t>, p. 240</w:t>
      </w:r>
      <w:r w:rsidRPr="00A040D1">
        <w:rPr>
          <w:rFonts w:ascii="Times New Roman" w:hAnsi="Times New Roman" w:cs="Times New Roman"/>
          <w:sz w:val="20"/>
          <w:szCs w:val="20"/>
          <w:lang w:val="en-GB"/>
        </w:rPr>
        <w:t xml:space="preserve">: </w:t>
      </w:r>
      <w:r w:rsidRPr="00A27071">
        <w:rPr>
          <w:rFonts w:ascii="Times New Roman" w:hAnsi="Times New Roman" w:cs="Times New Roman"/>
          <w:sz w:val="20"/>
          <w:szCs w:val="20"/>
          <w:lang w:val="en-GB"/>
        </w:rPr>
        <w:t>«Hegel has introduced a specific mention to quality, or rather to Böhme’s qualities: Aurora, in fact, refers to various qualities––sour, bitter etc. as Hegel recalls––which interact with each other. In this new formulation, Hegel’s passage seems to refer directly to what Böhme writes in chapter 1 of Aurora: “Quality is the mobility, springing or forcing of a thing”</w:t>
      </w:r>
      <w:r w:rsidRPr="00A27071">
        <w:rPr>
          <w:rFonts w:ascii="Times New Roman" w:eastAsia="Times New Roman" w:hAnsi="Times New Roman" w:cs="Times New Roman"/>
          <w:color w:val="000000"/>
          <w:sz w:val="20"/>
          <w:szCs w:val="20"/>
          <w:lang w:val="en-GB"/>
        </w:rPr>
        <w:t>»</w:t>
      </w:r>
      <w:r w:rsidRPr="00A27071">
        <w:rPr>
          <w:rFonts w:ascii="Times New Roman" w:hAnsi="Times New Roman" w:cs="Times New Roman"/>
          <w:sz w:val="20"/>
          <w:szCs w:val="20"/>
          <w:lang w:val="en-GB"/>
        </w:rPr>
        <w:t>.</w:t>
      </w:r>
    </w:p>
  </w:footnote>
  <w:footnote w:id="370">
    <w:p w14:paraId="19757F5C" w14:textId="77777777" w:rsidR="00B34CC2" w:rsidRPr="00A27071" w:rsidRDefault="00B34CC2" w:rsidP="003C611F">
      <w:pPr>
        <w:pStyle w:val="Testonotaapidipagina"/>
        <w:jc w:val="both"/>
        <w:rPr>
          <w:rFonts w:ascii="Times New Roman" w:hAnsi="Times New Roman" w:cs="Times New Roman"/>
          <w:sz w:val="20"/>
          <w:szCs w:val="20"/>
          <w:lang w:val="en-GB"/>
        </w:rPr>
      </w:pPr>
      <w:r w:rsidRPr="00215497">
        <w:rPr>
          <w:rStyle w:val="Rimandonotaapidipagina"/>
          <w:rFonts w:ascii="Times New Roman" w:hAnsi="Times New Roman" w:cs="Times New Roman"/>
          <w:sz w:val="20"/>
          <w:szCs w:val="20"/>
        </w:rPr>
        <w:footnoteRef/>
      </w:r>
      <w:r w:rsidRPr="00215497">
        <w:rPr>
          <w:rFonts w:ascii="Times New Roman" w:hAnsi="Times New Roman" w:cs="Times New Roman"/>
          <w:sz w:val="20"/>
          <w:szCs w:val="20"/>
        </w:rPr>
        <w:t xml:space="preserve"> </w:t>
      </w:r>
      <w:r w:rsidRPr="00215497">
        <w:rPr>
          <w:rFonts w:ascii="Times New Roman" w:hAnsi="Times New Roman" w:cs="Times New Roman"/>
          <w:i/>
          <w:sz w:val="20"/>
          <w:szCs w:val="20"/>
        </w:rPr>
        <w:t>Ivi</w:t>
      </w:r>
      <w:r>
        <w:rPr>
          <w:rFonts w:ascii="Times New Roman" w:hAnsi="Times New Roman" w:cs="Times New Roman"/>
          <w:sz w:val="20"/>
          <w:szCs w:val="20"/>
        </w:rPr>
        <w:t xml:space="preserve">, p. 239: </w:t>
      </w:r>
      <w:r w:rsidRPr="00A27071">
        <w:rPr>
          <w:rFonts w:ascii="Times New Roman" w:hAnsi="Times New Roman" w:cs="Times New Roman"/>
          <w:sz w:val="20"/>
          <w:szCs w:val="20"/>
        </w:rPr>
        <w:t>«</w:t>
      </w:r>
      <w:r w:rsidRPr="00A27071">
        <w:rPr>
          <w:rFonts w:ascii="Times New Roman" w:hAnsi="Times New Roman" w:cs="Times New Roman"/>
          <w:sz w:val="20"/>
          <w:szCs w:val="20"/>
          <w:lang w:val="en-GB"/>
        </w:rPr>
        <w:t>The torment of negativity is responsible for the inner movement that is a feature of quality itself, a movement which is self-movement (Selbstbewegung) precisely because the source of motion is internal, implicit in the very definition of quality […], and not external</w:t>
      </w:r>
      <w:r w:rsidRPr="00A27071">
        <w:rPr>
          <w:rFonts w:ascii="Times New Roman" w:eastAsia="Times New Roman" w:hAnsi="Times New Roman" w:cs="Times New Roman"/>
          <w:color w:val="000000"/>
          <w:sz w:val="20"/>
          <w:szCs w:val="20"/>
          <w:lang w:val="en-GB"/>
        </w:rPr>
        <w:t>»</w:t>
      </w:r>
      <w:r w:rsidRPr="00A27071">
        <w:rPr>
          <w:rFonts w:ascii="Times New Roman" w:hAnsi="Times New Roman" w:cs="Times New Roman"/>
          <w:sz w:val="20"/>
          <w:szCs w:val="20"/>
          <w:lang w:val="en-GB"/>
        </w:rPr>
        <w:t>.</w:t>
      </w:r>
    </w:p>
  </w:footnote>
  <w:footnote w:id="371">
    <w:p w14:paraId="4BA39B2D" w14:textId="13C3C29E" w:rsidR="00B34CC2" w:rsidRPr="007C5B65" w:rsidRDefault="00B34CC2" w:rsidP="003C611F">
      <w:pPr>
        <w:pStyle w:val="Testonotaapidipagina"/>
        <w:jc w:val="both"/>
        <w:rPr>
          <w:rFonts w:ascii="Times New Roman" w:hAnsi="Times New Roman" w:cs="Times New Roman"/>
          <w:sz w:val="20"/>
          <w:szCs w:val="20"/>
        </w:rPr>
      </w:pPr>
      <w:r w:rsidRPr="007C5B65">
        <w:rPr>
          <w:rStyle w:val="Rimandonotaapidipagina"/>
          <w:rFonts w:ascii="Times New Roman" w:hAnsi="Times New Roman" w:cs="Times New Roman"/>
          <w:sz w:val="20"/>
          <w:szCs w:val="20"/>
        </w:rPr>
        <w:footnoteRef/>
      </w:r>
      <w:r>
        <w:rPr>
          <w:rFonts w:ascii="Times New Roman" w:hAnsi="Times New Roman" w:cs="Times New Roman"/>
          <w:sz w:val="20"/>
          <w:szCs w:val="20"/>
        </w:rPr>
        <w:t xml:space="preserve"> Cfr. </w:t>
      </w:r>
      <w:r w:rsidRPr="008134A2">
        <w:rPr>
          <w:rFonts w:ascii="Times New Roman" w:hAnsi="Times New Roman" w:cs="Times New Roman"/>
          <w:i/>
          <w:sz w:val="20"/>
          <w:szCs w:val="20"/>
        </w:rPr>
        <w:t>supra</w:t>
      </w:r>
      <w:r>
        <w:rPr>
          <w:rFonts w:ascii="Times New Roman" w:hAnsi="Times New Roman" w:cs="Times New Roman"/>
          <w:sz w:val="20"/>
          <w:szCs w:val="20"/>
        </w:rPr>
        <w:t>, pp. 59-79</w:t>
      </w:r>
      <w:r w:rsidRPr="007C5B65">
        <w:rPr>
          <w:rFonts w:ascii="Times New Roman" w:hAnsi="Times New Roman" w:cs="Times New Roman"/>
          <w:sz w:val="20"/>
          <w:szCs w:val="20"/>
        </w:rPr>
        <w:t>.</w:t>
      </w:r>
    </w:p>
  </w:footnote>
  <w:footnote w:id="372">
    <w:p w14:paraId="5E84F45F" w14:textId="77777777" w:rsidR="00B34CC2" w:rsidRPr="00A42327" w:rsidRDefault="00B34CC2" w:rsidP="003C611F">
      <w:pPr>
        <w:pStyle w:val="Testonotaapidipagina"/>
        <w:jc w:val="both"/>
        <w:rPr>
          <w:rFonts w:ascii="Times New Roman" w:hAnsi="Times New Roman" w:cs="Times New Roman"/>
          <w:sz w:val="20"/>
          <w:szCs w:val="20"/>
        </w:rPr>
      </w:pPr>
      <w:r w:rsidRPr="00A42327">
        <w:rPr>
          <w:rStyle w:val="Rimandonotaapidipagina"/>
          <w:rFonts w:ascii="Times New Roman" w:hAnsi="Times New Roman" w:cs="Times New Roman"/>
          <w:sz w:val="20"/>
          <w:szCs w:val="20"/>
        </w:rPr>
        <w:footnoteRef/>
      </w:r>
      <w:r w:rsidRPr="00A42327">
        <w:rPr>
          <w:rFonts w:ascii="Times New Roman" w:hAnsi="Times New Roman" w:cs="Times New Roman"/>
          <w:sz w:val="20"/>
          <w:szCs w:val="20"/>
        </w:rPr>
        <w:t xml:space="preserve"> </w:t>
      </w:r>
      <w:r w:rsidRPr="00A42327">
        <w:rPr>
          <w:rFonts w:ascii="Times New Roman" w:hAnsi="Times New Roman" w:cs="Times New Roman"/>
          <w:i/>
          <w:sz w:val="20"/>
          <w:szCs w:val="20"/>
        </w:rPr>
        <w:t>WdL I A</w:t>
      </w:r>
      <w:r>
        <w:rPr>
          <w:rFonts w:ascii="Times New Roman" w:hAnsi="Times New Roman" w:cs="Times New Roman"/>
          <w:sz w:val="20"/>
          <w:szCs w:val="20"/>
        </w:rPr>
        <w:t>, p. 189.</w:t>
      </w:r>
    </w:p>
  </w:footnote>
  <w:footnote w:id="373">
    <w:p w14:paraId="2D9FD759" w14:textId="77777777" w:rsidR="00B34CC2" w:rsidRPr="00184D12" w:rsidRDefault="00B34CC2" w:rsidP="003C611F">
      <w:pPr>
        <w:pStyle w:val="Testonotaapidipagina"/>
        <w:jc w:val="both"/>
        <w:rPr>
          <w:rFonts w:ascii="Times New Roman" w:hAnsi="Times New Roman" w:cs="Times New Roman"/>
          <w:sz w:val="20"/>
          <w:szCs w:val="20"/>
        </w:rPr>
      </w:pPr>
      <w:r w:rsidRPr="00184D12">
        <w:rPr>
          <w:rStyle w:val="Rimandonotaapidipagina"/>
          <w:rFonts w:ascii="Times New Roman" w:hAnsi="Times New Roman" w:cs="Times New Roman"/>
          <w:sz w:val="20"/>
          <w:szCs w:val="20"/>
        </w:rPr>
        <w:footnoteRef/>
      </w:r>
      <w:r>
        <w:rPr>
          <w:rFonts w:ascii="Times New Roman" w:hAnsi="Times New Roman" w:cs="Times New Roman"/>
          <w:i/>
          <w:sz w:val="20"/>
          <w:szCs w:val="20"/>
        </w:rPr>
        <w:t xml:space="preserve"> Ivi</w:t>
      </w:r>
      <w:r>
        <w:rPr>
          <w:rFonts w:ascii="Times New Roman" w:hAnsi="Times New Roman" w:cs="Times New Roman"/>
          <w:sz w:val="20"/>
          <w:szCs w:val="20"/>
        </w:rPr>
        <w:t>, p. 224.</w:t>
      </w:r>
    </w:p>
  </w:footnote>
  <w:footnote w:id="374">
    <w:p w14:paraId="68154E51" w14:textId="77777777" w:rsidR="00B34CC2" w:rsidRPr="0078593E" w:rsidRDefault="00B34CC2" w:rsidP="003C611F">
      <w:pPr>
        <w:pStyle w:val="Testonotaapidipagina"/>
        <w:jc w:val="both"/>
        <w:rPr>
          <w:rFonts w:ascii="Times New Roman" w:hAnsi="Times New Roman" w:cs="Times New Roman"/>
          <w:sz w:val="20"/>
          <w:szCs w:val="20"/>
        </w:rPr>
      </w:pPr>
      <w:r w:rsidRPr="0078593E">
        <w:rPr>
          <w:rStyle w:val="Rimandonotaapidipagina"/>
          <w:rFonts w:ascii="Times New Roman" w:hAnsi="Times New Roman" w:cs="Times New Roman"/>
          <w:sz w:val="20"/>
          <w:szCs w:val="20"/>
        </w:rPr>
        <w:footnoteRef/>
      </w:r>
      <w:r w:rsidRPr="0078593E">
        <w:rPr>
          <w:rFonts w:ascii="Times New Roman" w:hAnsi="Times New Roman" w:cs="Times New Roman"/>
          <w:sz w:val="20"/>
          <w:szCs w:val="20"/>
        </w:rPr>
        <w:t xml:space="preserve"> </w:t>
      </w:r>
      <w:r>
        <w:rPr>
          <w:rFonts w:ascii="Times New Roman" w:hAnsi="Times New Roman" w:cs="Times New Roman"/>
          <w:i/>
          <w:sz w:val="20"/>
          <w:szCs w:val="20"/>
        </w:rPr>
        <w:t>Ibidem.</w:t>
      </w:r>
    </w:p>
  </w:footnote>
  <w:footnote w:id="375">
    <w:p w14:paraId="146A633A" w14:textId="77777777" w:rsidR="00B34CC2" w:rsidRPr="007B42EA" w:rsidRDefault="00B34CC2" w:rsidP="003C611F">
      <w:pPr>
        <w:pStyle w:val="Testonotaapidipagina"/>
        <w:jc w:val="both"/>
        <w:rPr>
          <w:rFonts w:ascii="Times New Roman" w:hAnsi="Times New Roman" w:cs="Times New Roman"/>
          <w:sz w:val="20"/>
          <w:szCs w:val="20"/>
        </w:rPr>
      </w:pPr>
      <w:r w:rsidRPr="007B42EA">
        <w:rPr>
          <w:rStyle w:val="Rimandonotaapidipagina"/>
          <w:rFonts w:ascii="Times New Roman" w:hAnsi="Times New Roman" w:cs="Times New Roman"/>
          <w:sz w:val="20"/>
          <w:szCs w:val="20"/>
        </w:rPr>
        <w:footnoteRef/>
      </w:r>
      <w:r w:rsidRPr="007B42EA">
        <w:rPr>
          <w:rFonts w:ascii="Times New Roman" w:hAnsi="Times New Roman" w:cs="Times New Roman"/>
          <w:sz w:val="20"/>
          <w:szCs w:val="20"/>
        </w:rPr>
        <w:t xml:space="preserve"> </w:t>
      </w:r>
      <w:r>
        <w:rPr>
          <w:rFonts w:ascii="Times New Roman" w:hAnsi="Times New Roman" w:cs="Times New Roman"/>
          <w:i/>
          <w:sz w:val="20"/>
          <w:szCs w:val="20"/>
        </w:rPr>
        <w:t>Ibidem.</w:t>
      </w:r>
    </w:p>
  </w:footnote>
  <w:footnote w:id="376">
    <w:p w14:paraId="506D6DD4" w14:textId="77777777" w:rsidR="00B34CC2" w:rsidRPr="00087D02" w:rsidRDefault="00B34CC2" w:rsidP="003C611F">
      <w:pPr>
        <w:pStyle w:val="Testonotaapidipagina"/>
        <w:jc w:val="both"/>
        <w:rPr>
          <w:rFonts w:ascii="Times New Roman" w:hAnsi="Times New Roman" w:cs="Times New Roman"/>
          <w:sz w:val="20"/>
          <w:szCs w:val="20"/>
        </w:rPr>
      </w:pPr>
      <w:r w:rsidRPr="00087D02">
        <w:rPr>
          <w:rStyle w:val="Rimandonotaapidipagina"/>
          <w:rFonts w:ascii="Times New Roman" w:hAnsi="Times New Roman" w:cs="Times New Roman"/>
          <w:sz w:val="20"/>
          <w:szCs w:val="20"/>
        </w:rPr>
        <w:footnoteRef/>
      </w:r>
      <w:r w:rsidRPr="00087D02">
        <w:rPr>
          <w:rFonts w:ascii="Times New Roman" w:hAnsi="Times New Roman" w:cs="Times New Roman"/>
          <w:sz w:val="20"/>
          <w:szCs w:val="20"/>
        </w:rPr>
        <w:t xml:space="preserve"> </w:t>
      </w:r>
      <w:r>
        <w:rPr>
          <w:rFonts w:ascii="Times New Roman" w:hAnsi="Times New Roman" w:cs="Times New Roman"/>
          <w:i/>
          <w:sz w:val="20"/>
          <w:szCs w:val="20"/>
        </w:rPr>
        <w:t>Ibidem.</w:t>
      </w:r>
    </w:p>
  </w:footnote>
  <w:footnote w:id="377">
    <w:p w14:paraId="111B3BFB" w14:textId="77777777" w:rsidR="00B34CC2" w:rsidRPr="00087D02" w:rsidRDefault="00B34CC2" w:rsidP="003C611F">
      <w:pPr>
        <w:pStyle w:val="Testonotaapidipagina"/>
        <w:jc w:val="both"/>
        <w:rPr>
          <w:rFonts w:ascii="Times New Roman" w:hAnsi="Times New Roman" w:cs="Times New Roman"/>
          <w:sz w:val="20"/>
          <w:szCs w:val="20"/>
        </w:rPr>
      </w:pPr>
      <w:r w:rsidRPr="00087D02">
        <w:rPr>
          <w:rStyle w:val="Rimandonotaapidipagina"/>
          <w:rFonts w:ascii="Times New Roman" w:hAnsi="Times New Roman" w:cs="Times New Roman"/>
          <w:sz w:val="20"/>
          <w:szCs w:val="20"/>
        </w:rPr>
        <w:footnoteRef/>
      </w:r>
      <w:r>
        <w:rPr>
          <w:rFonts w:ascii="Times New Roman" w:hAnsi="Times New Roman" w:cs="Times New Roman"/>
          <w:i/>
          <w:sz w:val="20"/>
          <w:szCs w:val="20"/>
        </w:rPr>
        <w:t xml:space="preserve"> Ivi</w:t>
      </w:r>
      <w:r>
        <w:rPr>
          <w:rFonts w:ascii="Times New Roman" w:hAnsi="Times New Roman" w:cs="Times New Roman"/>
          <w:sz w:val="20"/>
          <w:szCs w:val="20"/>
        </w:rPr>
        <w:t>, p. 225.</w:t>
      </w:r>
    </w:p>
  </w:footnote>
  <w:footnote w:id="378">
    <w:p w14:paraId="5CD8B71E" w14:textId="77777777" w:rsidR="00B34CC2" w:rsidRPr="00786425" w:rsidRDefault="00B34CC2" w:rsidP="003C611F">
      <w:pPr>
        <w:pStyle w:val="Testonotaapidipagina"/>
        <w:jc w:val="both"/>
        <w:rPr>
          <w:rFonts w:ascii="Times New Roman" w:hAnsi="Times New Roman" w:cs="Times New Roman"/>
          <w:sz w:val="20"/>
          <w:szCs w:val="20"/>
        </w:rPr>
      </w:pPr>
      <w:r w:rsidRPr="00786425">
        <w:rPr>
          <w:rStyle w:val="Rimandonotaapidipagina"/>
          <w:rFonts w:ascii="Times New Roman" w:hAnsi="Times New Roman" w:cs="Times New Roman"/>
          <w:sz w:val="20"/>
          <w:szCs w:val="20"/>
        </w:rPr>
        <w:footnoteRef/>
      </w:r>
      <w:r w:rsidRPr="00786425">
        <w:rPr>
          <w:rFonts w:ascii="Times New Roman" w:hAnsi="Times New Roman" w:cs="Times New Roman"/>
          <w:sz w:val="20"/>
          <w:szCs w:val="20"/>
        </w:rPr>
        <w:t xml:space="preserve"> Su questa sezione della </w:t>
      </w:r>
      <w:r w:rsidRPr="00786425">
        <w:rPr>
          <w:rFonts w:ascii="Times New Roman" w:hAnsi="Times New Roman" w:cs="Times New Roman"/>
          <w:i/>
          <w:sz w:val="20"/>
          <w:szCs w:val="20"/>
        </w:rPr>
        <w:t>Wissenschaft der Logik</w:t>
      </w:r>
      <w:r w:rsidRPr="00786425">
        <w:rPr>
          <w:rFonts w:ascii="Times New Roman" w:hAnsi="Times New Roman" w:cs="Times New Roman"/>
          <w:sz w:val="20"/>
          <w:szCs w:val="20"/>
        </w:rPr>
        <w:t xml:space="preserve"> si veda L. Lugarini, </w:t>
      </w:r>
      <w:r w:rsidRPr="00786425">
        <w:rPr>
          <w:rFonts w:ascii="Times New Roman" w:hAnsi="Times New Roman" w:cs="Times New Roman"/>
          <w:i/>
          <w:sz w:val="20"/>
          <w:szCs w:val="20"/>
        </w:rPr>
        <w:t>Orizzonti hegeliani di comprensione dell’essere</w:t>
      </w:r>
      <w:r w:rsidRPr="00786425">
        <w:rPr>
          <w:rFonts w:ascii="Times New Roman" w:hAnsi="Times New Roman" w:cs="Times New Roman"/>
          <w:sz w:val="20"/>
          <w:szCs w:val="20"/>
        </w:rPr>
        <w:t xml:space="preserve">, cit., pp. 232-235; V. Morfino, </w:t>
      </w:r>
      <w:r w:rsidRPr="00786425">
        <w:rPr>
          <w:rFonts w:ascii="Times New Roman" w:hAnsi="Times New Roman" w:cs="Times New Roman"/>
          <w:i/>
          <w:sz w:val="20"/>
          <w:szCs w:val="20"/>
        </w:rPr>
        <w:t>Genealogia di un pregiudizio</w:t>
      </w:r>
      <w:r w:rsidRPr="00786425">
        <w:rPr>
          <w:rFonts w:ascii="Times New Roman" w:hAnsi="Times New Roman" w:cs="Times New Roman"/>
          <w:sz w:val="20"/>
          <w:szCs w:val="20"/>
        </w:rPr>
        <w:t>, cit. pp. 212-216.</w:t>
      </w:r>
    </w:p>
  </w:footnote>
  <w:footnote w:id="379">
    <w:p w14:paraId="00F5D6D0" w14:textId="77777777" w:rsidR="00B34CC2" w:rsidRPr="00B24DD3" w:rsidRDefault="00B34CC2" w:rsidP="003C611F">
      <w:pPr>
        <w:pStyle w:val="Testonotaapidipagina"/>
        <w:jc w:val="both"/>
        <w:rPr>
          <w:rFonts w:ascii="Times New Roman" w:hAnsi="Times New Roman" w:cs="Times New Roman"/>
          <w:sz w:val="20"/>
          <w:szCs w:val="20"/>
        </w:rPr>
      </w:pPr>
      <w:r w:rsidRPr="00786425">
        <w:rPr>
          <w:rStyle w:val="Rimandonotaapidipagina"/>
          <w:rFonts w:ascii="Times New Roman" w:hAnsi="Times New Roman" w:cs="Times New Roman"/>
          <w:sz w:val="20"/>
          <w:szCs w:val="20"/>
        </w:rPr>
        <w:footnoteRef/>
      </w:r>
      <w:r w:rsidRPr="00786425">
        <w:rPr>
          <w:rFonts w:ascii="Times New Roman" w:hAnsi="Times New Roman" w:cs="Times New Roman"/>
          <w:sz w:val="20"/>
          <w:szCs w:val="20"/>
        </w:rPr>
        <w:t xml:space="preserve"> </w:t>
      </w:r>
      <w:r w:rsidRPr="00786425">
        <w:rPr>
          <w:rFonts w:ascii="Times New Roman" w:hAnsi="Times New Roman" w:cs="Times New Roman"/>
          <w:i/>
          <w:sz w:val="20"/>
          <w:szCs w:val="20"/>
        </w:rPr>
        <w:t>WdL I A</w:t>
      </w:r>
      <w:r w:rsidRPr="00786425">
        <w:rPr>
          <w:rFonts w:ascii="Times New Roman" w:hAnsi="Times New Roman" w:cs="Times New Roman"/>
          <w:sz w:val="20"/>
          <w:szCs w:val="20"/>
        </w:rPr>
        <w:t>, p. 229.</w:t>
      </w:r>
    </w:p>
  </w:footnote>
  <w:footnote w:id="380">
    <w:p w14:paraId="723EA607" w14:textId="77777777" w:rsidR="00B34CC2" w:rsidRPr="001809CE" w:rsidRDefault="00B34CC2" w:rsidP="003C611F">
      <w:pPr>
        <w:pStyle w:val="Testonotaapidipagina"/>
        <w:jc w:val="both"/>
        <w:rPr>
          <w:rFonts w:ascii="Times New Roman" w:hAnsi="Times New Roman" w:cs="Times New Roman"/>
          <w:sz w:val="20"/>
          <w:szCs w:val="20"/>
        </w:rPr>
      </w:pPr>
      <w:r w:rsidRPr="001809CE">
        <w:rPr>
          <w:rStyle w:val="Rimandonotaapidipagina"/>
          <w:rFonts w:ascii="Times New Roman" w:hAnsi="Times New Roman" w:cs="Times New Roman"/>
          <w:sz w:val="20"/>
          <w:szCs w:val="20"/>
        </w:rPr>
        <w:footnoteRef/>
      </w:r>
      <w:r w:rsidRPr="001809CE">
        <w:rPr>
          <w:rFonts w:ascii="Times New Roman" w:hAnsi="Times New Roman" w:cs="Times New Roman"/>
          <w:sz w:val="20"/>
          <w:szCs w:val="20"/>
        </w:rPr>
        <w:t xml:space="preserve"> </w:t>
      </w:r>
      <w:r>
        <w:rPr>
          <w:rFonts w:ascii="Times New Roman" w:hAnsi="Times New Roman" w:cs="Times New Roman"/>
          <w:i/>
          <w:sz w:val="20"/>
          <w:szCs w:val="20"/>
        </w:rPr>
        <w:t xml:space="preserve">Ibidem. </w:t>
      </w:r>
    </w:p>
  </w:footnote>
  <w:footnote w:id="381">
    <w:p w14:paraId="68744AC9" w14:textId="77777777" w:rsidR="00B34CC2" w:rsidRPr="00662463" w:rsidRDefault="00B34CC2" w:rsidP="003C611F">
      <w:pPr>
        <w:pStyle w:val="Testonotaapidipagina"/>
        <w:jc w:val="both"/>
        <w:rPr>
          <w:rFonts w:ascii="Times New Roman" w:hAnsi="Times New Roman" w:cs="Times New Roman"/>
          <w:sz w:val="20"/>
          <w:szCs w:val="20"/>
        </w:rPr>
      </w:pPr>
      <w:r w:rsidRPr="00662463">
        <w:rPr>
          <w:rStyle w:val="Rimandonotaapidipagina"/>
          <w:rFonts w:ascii="Times New Roman" w:hAnsi="Times New Roman" w:cs="Times New Roman"/>
          <w:sz w:val="20"/>
          <w:szCs w:val="20"/>
        </w:rPr>
        <w:footnoteRef/>
      </w:r>
      <w:r>
        <w:rPr>
          <w:rFonts w:ascii="Times New Roman" w:hAnsi="Times New Roman" w:cs="Times New Roman"/>
          <w:sz w:val="20"/>
          <w:szCs w:val="20"/>
        </w:rPr>
        <w:t xml:space="preserve"> </w:t>
      </w:r>
      <w:r>
        <w:rPr>
          <w:rFonts w:ascii="Times New Roman" w:hAnsi="Times New Roman" w:cs="Times New Roman"/>
          <w:i/>
          <w:sz w:val="20"/>
          <w:szCs w:val="20"/>
        </w:rPr>
        <w:t>Ibidem.</w:t>
      </w:r>
    </w:p>
  </w:footnote>
  <w:footnote w:id="382">
    <w:p w14:paraId="5065EA25" w14:textId="77777777" w:rsidR="00B34CC2" w:rsidRPr="000708C9" w:rsidRDefault="00B34CC2" w:rsidP="003C611F">
      <w:pPr>
        <w:pStyle w:val="Testonotaapidipagina"/>
        <w:jc w:val="both"/>
        <w:rPr>
          <w:rFonts w:ascii="Times New Roman" w:hAnsi="Times New Roman" w:cs="Times New Roman"/>
          <w:sz w:val="20"/>
          <w:szCs w:val="20"/>
        </w:rPr>
      </w:pPr>
      <w:r w:rsidRPr="000708C9">
        <w:rPr>
          <w:rStyle w:val="Rimandonotaapidipagina"/>
          <w:rFonts w:ascii="Times New Roman" w:hAnsi="Times New Roman" w:cs="Times New Roman"/>
          <w:sz w:val="20"/>
          <w:szCs w:val="20"/>
        </w:rPr>
        <w:footnoteRef/>
      </w:r>
      <w:r w:rsidRPr="000708C9">
        <w:rPr>
          <w:rFonts w:ascii="Times New Roman" w:hAnsi="Times New Roman" w:cs="Times New Roman"/>
          <w:sz w:val="20"/>
          <w:szCs w:val="20"/>
        </w:rPr>
        <w:t xml:space="preserve"> </w:t>
      </w:r>
      <w:r>
        <w:rPr>
          <w:rFonts w:ascii="Times New Roman" w:hAnsi="Times New Roman" w:cs="Times New Roman"/>
          <w:i/>
          <w:sz w:val="20"/>
          <w:szCs w:val="20"/>
        </w:rPr>
        <w:t>Ibidem.</w:t>
      </w:r>
    </w:p>
    <w:p w14:paraId="70D46135" w14:textId="77777777" w:rsidR="00B34CC2" w:rsidRPr="000708C9" w:rsidRDefault="00B34CC2" w:rsidP="003C611F">
      <w:pPr>
        <w:pStyle w:val="Testonotaapidipagina"/>
        <w:jc w:val="both"/>
        <w:rPr>
          <w:rFonts w:ascii="Times New Roman" w:hAnsi="Times New Roman" w:cs="Times New Roman"/>
        </w:rPr>
      </w:pPr>
    </w:p>
  </w:footnote>
  <w:footnote w:id="383">
    <w:p w14:paraId="1EA2314E" w14:textId="77777777" w:rsidR="00B34CC2" w:rsidRPr="004A0345" w:rsidRDefault="00B34CC2" w:rsidP="003C611F">
      <w:pPr>
        <w:pStyle w:val="Testonotaapidipagina"/>
        <w:jc w:val="both"/>
        <w:rPr>
          <w:rFonts w:ascii="Times New Roman" w:hAnsi="Times New Roman" w:cs="Times New Roman"/>
          <w:sz w:val="20"/>
          <w:szCs w:val="20"/>
        </w:rPr>
      </w:pPr>
      <w:r w:rsidRPr="004A0345">
        <w:rPr>
          <w:rStyle w:val="Rimandonotaapidipagina"/>
          <w:rFonts w:ascii="Times New Roman" w:hAnsi="Times New Roman" w:cs="Times New Roman"/>
          <w:sz w:val="20"/>
          <w:szCs w:val="20"/>
        </w:rPr>
        <w:footnoteRef/>
      </w:r>
      <w:r w:rsidRPr="004A0345">
        <w:rPr>
          <w:rFonts w:ascii="Times New Roman" w:hAnsi="Times New Roman" w:cs="Times New Roman"/>
          <w:sz w:val="20"/>
          <w:szCs w:val="20"/>
        </w:rPr>
        <w:t xml:space="preserve"> </w:t>
      </w:r>
      <w:r w:rsidRPr="004A0345">
        <w:rPr>
          <w:rFonts w:ascii="Times New Roman" w:hAnsi="Times New Roman" w:cs="Times New Roman"/>
          <w:i/>
          <w:sz w:val="20"/>
          <w:szCs w:val="20"/>
        </w:rPr>
        <w:t>WdL I A</w:t>
      </w:r>
      <w:r>
        <w:rPr>
          <w:rFonts w:ascii="Times New Roman" w:hAnsi="Times New Roman" w:cs="Times New Roman"/>
          <w:sz w:val="20"/>
          <w:szCs w:val="20"/>
        </w:rPr>
        <w:t>, p. 231.</w:t>
      </w:r>
    </w:p>
  </w:footnote>
  <w:footnote w:id="384">
    <w:p w14:paraId="4F4A4B56" w14:textId="70404490" w:rsidR="00B34CC2" w:rsidRPr="00D21142" w:rsidRDefault="00B34CC2" w:rsidP="003C611F">
      <w:pPr>
        <w:pStyle w:val="Testonotaapidipagina"/>
        <w:jc w:val="both"/>
        <w:rPr>
          <w:rFonts w:ascii="Times New Roman" w:hAnsi="Times New Roman" w:cs="Times New Roman"/>
          <w:sz w:val="20"/>
          <w:szCs w:val="20"/>
        </w:rPr>
      </w:pPr>
      <w:r w:rsidRPr="004A0345">
        <w:rPr>
          <w:rStyle w:val="Rimandonotaapidipagina"/>
          <w:rFonts w:ascii="Times New Roman" w:hAnsi="Times New Roman" w:cs="Times New Roman"/>
          <w:sz w:val="20"/>
          <w:szCs w:val="20"/>
        </w:rPr>
        <w:footnoteRef/>
      </w:r>
      <w:r>
        <w:rPr>
          <w:rFonts w:ascii="Times New Roman" w:hAnsi="Times New Roman" w:cs="Times New Roman"/>
          <w:sz w:val="20"/>
          <w:szCs w:val="20"/>
        </w:rPr>
        <w:t xml:space="preserve"> </w:t>
      </w:r>
      <w:r>
        <w:rPr>
          <w:rFonts w:ascii="Times New Roman" w:hAnsi="Times New Roman" w:cs="Times New Roman"/>
          <w:i/>
          <w:sz w:val="20"/>
          <w:szCs w:val="20"/>
        </w:rPr>
        <w:t>Ivi</w:t>
      </w:r>
      <w:r>
        <w:rPr>
          <w:rFonts w:ascii="Times New Roman" w:hAnsi="Times New Roman" w:cs="Times New Roman"/>
          <w:sz w:val="20"/>
          <w:szCs w:val="20"/>
        </w:rPr>
        <w:t xml:space="preserve">, p. 232. Sulla struttura logica soggiacente alla </w:t>
      </w:r>
      <w:r w:rsidRPr="00955AFF">
        <w:rPr>
          <w:rFonts w:ascii="Times New Roman" w:hAnsi="Times New Roman" w:cs="Times New Roman"/>
          <w:i/>
          <w:sz w:val="20"/>
          <w:szCs w:val="20"/>
        </w:rPr>
        <w:t>Wesenslogik</w:t>
      </w:r>
      <w:r>
        <w:rPr>
          <w:rFonts w:ascii="Times New Roman" w:hAnsi="Times New Roman" w:cs="Times New Roman"/>
          <w:sz w:val="20"/>
          <w:szCs w:val="20"/>
        </w:rPr>
        <w:t xml:space="preserve"> nel suo complesso si veda K. Hartmann, </w:t>
      </w:r>
      <w:r>
        <w:rPr>
          <w:rFonts w:ascii="Times New Roman" w:hAnsi="Times New Roman" w:cs="Times New Roman"/>
          <w:i/>
          <w:sz w:val="20"/>
          <w:szCs w:val="20"/>
        </w:rPr>
        <w:t xml:space="preserve">Hegels </w:t>
      </w:r>
      <w:r w:rsidRPr="0050300F">
        <w:rPr>
          <w:rFonts w:ascii="Times New Roman" w:hAnsi="Times New Roman" w:cs="Times New Roman"/>
          <w:i/>
          <w:sz w:val="20"/>
          <w:szCs w:val="20"/>
        </w:rPr>
        <w:t>Logik</w:t>
      </w:r>
      <w:r>
        <w:rPr>
          <w:rFonts w:ascii="Times New Roman" w:hAnsi="Times New Roman" w:cs="Times New Roman"/>
          <w:sz w:val="20"/>
          <w:szCs w:val="20"/>
        </w:rPr>
        <w:t xml:space="preserve">, De Gruyter, Berlin/New York 1999, pp. 163-174; </w:t>
      </w:r>
      <w:r w:rsidRPr="00171614">
        <w:rPr>
          <w:rFonts w:ascii="Times New Roman" w:hAnsi="Times New Roman" w:cs="Times New Roman"/>
          <w:sz w:val="20"/>
          <w:szCs w:val="20"/>
        </w:rPr>
        <w:t xml:space="preserve">D. Henrich, </w:t>
      </w:r>
      <w:r w:rsidRPr="00A8367F">
        <w:rPr>
          <w:rFonts w:ascii="Times New Roman" w:hAnsi="Times New Roman" w:cs="Times New Roman"/>
          <w:i/>
          <w:sz w:val="20"/>
          <w:szCs w:val="20"/>
        </w:rPr>
        <w:t>“Hegels Logik der Reflexion”</w:t>
      </w:r>
      <w:r>
        <w:rPr>
          <w:rFonts w:ascii="Times New Roman" w:hAnsi="Times New Roman" w:cs="Times New Roman"/>
          <w:sz w:val="20"/>
          <w:szCs w:val="20"/>
        </w:rPr>
        <w:t xml:space="preserve">, in </w:t>
      </w:r>
      <w:r w:rsidRPr="00171614">
        <w:rPr>
          <w:rFonts w:ascii="Times New Roman" w:hAnsi="Times New Roman" w:cs="Times New Roman"/>
          <w:i/>
          <w:sz w:val="20"/>
          <w:szCs w:val="20"/>
        </w:rPr>
        <w:t>Hegel im Kontext</w:t>
      </w:r>
      <w:r w:rsidRPr="00171614">
        <w:rPr>
          <w:rFonts w:ascii="Times New Roman" w:hAnsi="Times New Roman" w:cs="Times New Roman"/>
          <w:sz w:val="20"/>
          <w:szCs w:val="20"/>
        </w:rPr>
        <w:t>, cit., pp. 95-157</w:t>
      </w:r>
      <w:r>
        <w:rPr>
          <w:rFonts w:ascii="Times New Roman" w:hAnsi="Times New Roman" w:cs="Times New Roman"/>
          <w:sz w:val="20"/>
          <w:szCs w:val="20"/>
        </w:rPr>
        <w:t xml:space="preserve">; </w:t>
      </w:r>
      <w:r w:rsidRPr="00171614">
        <w:rPr>
          <w:rFonts w:ascii="Times New Roman" w:hAnsi="Times New Roman" w:cs="Times New Roman"/>
          <w:sz w:val="20"/>
          <w:szCs w:val="20"/>
        </w:rPr>
        <w:t xml:space="preserve">D. Henrich, </w:t>
      </w:r>
      <w:r w:rsidRPr="00171614">
        <w:rPr>
          <w:rFonts w:ascii="Times New Roman" w:hAnsi="Times New Roman" w:cs="Times New Roman"/>
          <w:i/>
          <w:sz w:val="20"/>
          <w:szCs w:val="20"/>
        </w:rPr>
        <w:t>Hegels Logik der Reflexion. Neue Fassung</w:t>
      </w:r>
      <w:r w:rsidRPr="00171614">
        <w:rPr>
          <w:rFonts w:ascii="Times New Roman" w:hAnsi="Times New Roman" w:cs="Times New Roman"/>
          <w:sz w:val="20"/>
          <w:szCs w:val="20"/>
        </w:rPr>
        <w:t>,</w:t>
      </w:r>
      <w:r>
        <w:rPr>
          <w:rFonts w:ascii="Times New Roman" w:hAnsi="Times New Roman" w:cs="Times New Roman"/>
          <w:sz w:val="20"/>
          <w:szCs w:val="20"/>
        </w:rPr>
        <w:t xml:space="preserve"> cit., pp. </w:t>
      </w:r>
      <w:r w:rsidRPr="00171614">
        <w:rPr>
          <w:rFonts w:ascii="Times New Roman" w:hAnsi="Times New Roman" w:cs="Times New Roman"/>
          <w:sz w:val="20"/>
          <w:szCs w:val="20"/>
        </w:rPr>
        <w:t>203–325</w:t>
      </w:r>
      <w:r>
        <w:rPr>
          <w:rFonts w:ascii="Times New Roman" w:hAnsi="Times New Roman" w:cs="Times New Roman"/>
          <w:sz w:val="20"/>
          <w:szCs w:val="20"/>
        </w:rPr>
        <w:t xml:space="preserve">; </w:t>
      </w:r>
      <w:r w:rsidRPr="0050300F">
        <w:rPr>
          <w:rFonts w:ascii="Times New Roman" w:hAnsi="Times New Roman" w:cs="Times New Roman"/>
          <w:sz w:val="20"/>
          <w:szCs w:val="20"/>
        </w:rPr>
        <w:t>S</w:t>
      </w:r>
      <w:r>
        <w:rPr>
          <w:rFonts w:ascii="Times New Roman" w:hAnsi="Times New Roman" w:cs="Times New Roman"/>
          <w:sz w:val="20"/>
          <w:szCs w:val="20"/>
        </w:rPr>
        <w:t xml:space="preserve">. Houlgate, </w:t>
      </w:r>
      <w:r>
        <w:rPr>
          <w:rFonts w:ascii="Times New Roman" w:hAnsi="Times New Roman" w:cs="Times New Roman"/>
          <w:i/>
          <w:sz w:val="20"/>
          <w:szCs w:val="20"/>
        </w:rPr>
        <w:t xml:space="preserve">Essence, Reflection, and Immediacy in Hegel’s Science </w:t>
      </w:r>
      <w:r w:rsidRPr="00D21142">
        <w:rPr>
          <w:rFonts w:ascii="Times New Roman" w:hAnsi="Times New Roman" w:cs="Times New Roman"/>
          <w:i/>
          <w:sz w:val="20"/>
          <w:szCs w:val="20"/>
        </w:rPr>
        <w:t>of Logic</w:t>
      </w:r>
      <w:r>
        <w:rPr>
          <w:rFonts w:ascii="Times New Roman" w:hAnsi="Times New Roman" w:cs="Times New Roman"/>
          <w:sz w:val="20"/>
          <w:szCs w:val="20"/>
        </w:rPr>
        <w:t xml:space="preserve">, in </w:t>
      </w:r>
      <w:r>
        <w:rPr>
          <w:rFonts w:ascii="Times New Roman" w:hAnsi="Times New Roman" w:cs="Times New Roman"/>
          <w:i/>
          <w:sz w:val="20"/>
          <w:szCs w:val="20"/>
        </w:rPr>
        <w:t xml:space="preserve">A Companion to </w:t>
      </w:r>
      <w:r w:rsidRPr="003318A7">
        <w:rPr>
          <w:rFonts w:ascii="Times New Roman" w:hAnsi="Times New Roman" w:cs="Times New Roman"/>
          <w:i/>
          <w:sz w:val="20"/>
          <w:szCs w:val="20"/>
        </w:rPr>
        <w:t>Hegel</w:t>
      </w:r>
      <w:r>
        <w:rPr>
          <w:rFonts w:ascii="Times New Roman" w:hAnsi="Times New Roman" w:cs="Times New Roman"/>
          <w:sz w:val="20"/>
          <w:szCs w:val="20"/>
        </w:rPr>
        <w:t xml:space="preserve">, edited by S. Houlgate and M. Baur, Wiley-Blackwell, Hoboken 2011, pp. 139-159; W. Jaeschke, </w:t>
      </w:r>
      <w:r w:rsidRPr="00A8367F">
        <w:rPr>
          <w:rFonts w:ascii="Times New Roman" w:hAnsi="Times New Roman" w:cs="Times New Roman"/>
          <w:i/>
          <w:sz w:val="20"/>
          <w:szCs w:val="20"/>
        </w:rPr>
        <w:t>Äußerliche und immanente Reflexion</w:t>
      </w:r>
      <w:r>
        <w:rPr>
          <w:rFonts w:ascii="Times New Roman" w:hAnsi="Times New Roman" w:cs="Times New Roman"/>
          <w:sz w:val="20"/>
          <w:szCs w:val="20"/>
        </w:rPr>
        <w:t>, in «Hegel-Studien</w:t>
      </w:r>
      <w:r w:rsidRPr="00171614">
        <w:rPr>
          <w:rFonts w:ascii="Times New Roman" w:eastAsia="Times New Roman" w:hAnsi="Times New Roman" w:cs="Times New Roman"/>
          <w:color w:val="000000"/>
          <w:sz w:val="20"/>
          <w:szCs w:val="20"/>
        </w:rPr>
        <w:t>»</w:t>
      </w:r>
      <w:r>
        <w:rPr>
          <w:rFonts w:ascii="Times New Roman" w:eastAsia="Times New Roman" w:hAnsi="Times New Roman" w:cs="Times New Roman"/>
          <w:color w:val="000000"/>
          <w:sz w:val="20"/>
          <w:szCs w:val="20"/>
        </w:rPr>
        <w:t xml:space="preserve">, Bd. XIII, pp. 85-119; </w:t>
      </w:r>
      <w:r>
        <w:rPr>
          <w:rFonts w:ascii="Times New Roman" w:hAnsi="Times New Roman" w:cs="Times New Roman"/>
          <w:sz w:val="20"/>
          <w:szCs w:val="20"/>
        </w:rPr>
        <w:t xml:space="preserve">Lugarini, </w:t>
      </w:r>
      <w:r w:rsidRPr="00D21142">
        <w:rPr>
          <w:rFonts w:ascii="Times New Roman" w:hAnsi="Times New Roman" w:cs="Times New Roman"/>
          <w:i/>
          <w:sz w:val="20"/>
          <w:szCs w:val="20"/>
        </w:rPr>
        <w:t>Orizzonti hegeliani di comprensione dell’Essere</w:t>
      </w:r>
      <w:r>
        <w:rPr>
          <w:rFonts w:ascii="Times New Roman" w:hAnsi="Times New Roman" w:cs="Times New Roman"/>
          <w:sz w:val="20"/>
          <w:szCs w:val="20"/>
        </w:rPr>
        <w:t xml:space="preserve">, cit., pp. 239-276; M. Quante, </w:t>
      </w:r>
      <w:r w:rsidRPr="00D21142">
        <w:rPr>
          <w:rFonts w:ascii="Times New Roman" w:hAnsi="Times New Roman" w:cs="Times New Roman"/>
          <w:i/>
          <w:sz w:val="20"/>
          <w:szCs w:val="20"/>
        </w:rPr>
        <w:t>The Logic of Essence as Internal Reflection</w:t>
      </w:r>
      <w:r>
        <w:rPr>
          <w:rFonts w:ascii="Times New Roman" w:hAnsi="Times New Roman" w:cs="Times New Roman"/>
          <w:sz w:val="20"/>
          <w:szCs w:val="20"/>
        </w:rPr>
        <w:t xml:space="preserve">, in </w:t>
      </w:r>
      <w:r>
        <w:rPr>
          <w:rFonts w:ascii="Times New Roman" w:hAnsi="Times New Roman" w:cs="Times New Roman"/>
          <w:i/>
          <w:sz w:val="20"/>
          <w:szCs w:val="20"/>
        </w:rPr>
        <w:t>The Oxford Handbook of Hegel</w:t>
      </w:r>
      <w:r>
        <w:rPr>
          <w:rFonts w:ascii="Times New Roman" w:hAnsi="Times New Roman" w:cs="Times New Roman"/>
          <w:sz w:val="20"/>
          <w:szCs w:val="20"/>
        </w:rPr>
        <w:t xml:space="preserve">, cit., pp. 242-269; G. M. Wölfle, </w:t>
      </w:r>
      <w:r>
        <w:rPr>
          <w:rFonts w:ascii="Times New Roman" w:hAnsi="Times New Roman" w:cs="Times New Roman"/>
          <w:i/>
          <w:sz w:val="20"/>
          <w:szCs w:val="20"/>
        </w:rPr>
        <w:t>Die Wesenslogik in Hegels “Wissenschaft der Logik”</w:t>
      </w:r>
      <w:r>
        <w:rPr>
          <w:rFonts w:ascii="Times New Roman" w:hAnsi="Times New Roman" w:cs="Times New Roman"/>
          <w:sz w:val="20"/>
          <w:szCs w:val="20"/>
        </w:rPr>
        <w:t>, Frommann-Holzboog, Stuttgart 1994.</w:t>
      </w:r>
    </w:p>
  </w:footnote>
  <w:footnote w:id="385">
    <w:p w14:paraId="7038FF73" w14:textId="77777777" w:rsidR="00B34CC2" w:rsidRPr="00712B9B" w:rsidRDefault="00B34CC2" w:rsidP="003C611F">
      <w:pPr>
        <w:pStyle w:val="Testonotaapidipagina"/>
        <w:jc w:val="both"/>
        <w:rPr>
          <w:rFonts w:ascii="Times New Roman" w:hAnsi="Times New Roman" w:cs="Times New Roman"/>
          <w:sz w:val="20"/>
          <w:szCs w:val="20"/>
        </w:rPr>
      </w:pPr>
      <w:r w:rsidRPr="00712B9B">
        <w:rPr>
          <w:rStyle w:val="Rimandonotaapidipagina"/>
          <w:rFonts w:ascii="Times New Roman" w:hAnsi="Times New Roman" w:cs="Times New Roman"/>
          <w:sz w:val="20"/>
          <w:szCs w:val="20"/>
        </w:rPr>
        <w:footnoteRef/>
      </w:r>
      <w:r w:rsidRPr="00712B9B">
        <w:rPr>
          <w:rFonts w:ascii="Times New Roman" w:hAnsi="Times New Roman" w:cs="Times New Roman"/>
          <w:sz w:val="20"/>
          <w:szCs w:val="20"/>
        </w:rPr>
        <w:t xml:space="preserve"> </w:t>
      </w:r>
      <w:r>
        <w:rPr>
          <w:rFonts w:ascii="Times New Roman" w:hAnsi="Times New Roman" w:cs="Times New Roman"/>
          <w:i/>
          <w:sz w:val="20"/>
          <w:szCs w:val="20"/>
        </w:rPr>
        <w:t>Ivi</w:t>
      </w:r>
      <w:r>
        <w:rPr>
          <w:rFonts w:ascii="Times New Roman" w:hAnsi="Times New Roman" w:cs="Times New Roman"/>
          <w:sz w:val="20"/>
          <w:szCs w:val="20"/>
        </w:rPr>
        <w:t>, p. 258.</w:t>
      </w:r>
    </w:p>
  </w:footnote>
  <w:footnote w:id="386">
    <w:p w14:paraId="55ACDD7B" w14:textId="77777777" w:rsidR="00B34CC2" w:rsidRPr="00CA42E3" w:rsidRDefault="00B34CC2" w:rsidP="003C611F">
      <w:pPr>
        <w:pStyle w:val="Testonotaapidipagina"/>
        <w:jc w:val="both"/>
        <w:rPr>
          <w:rFonts w:ascii="Times New Roman" w:hAnsi="Times New Roman" w:cs="Times New Roman"/>
          <w:sz w:val="20"/>
          <w:szCs w:val="20"/>
        </w:rPr>
      </w:pPr>
      <w:r w:rsidRPr="00CA42E3">
        <w:rPr>
          <w:rStyle w:val="Rimandonotaapidipagina"/>
          <w:rFonts w:ascii="Times New Roman" w:hAnsi="Times New Roman" w:cs="Times New Roman"/>
          <w:sz w:val="20"/>
          <w:szCs w:val="20"/>
        </w:rPr>
        <w:footnoteRef/>
      </w:r>
      <w:r>
        <w:rPr>
          <w:rFonts w:ascii="Times New Roman" w:hAnsi="Times New Roman" w:cs="Times New Roman"/>
          <w:i/>
          <w:sz w:val="20"/>
          <w:szCs w:val="20"/>
        </w:rPr>
        <w:t xml:space="preserve"> Ibidem</w:t>
      </w:r>
      <w:r>
        <w:rPr>
          <w:rFonts w:ascii="Times New Roman" w:hAnsi="Times New Roman" w:cs="Times New Roman"/>
          <w:sz w:val="20"/>
          <w:szCs w:val="20"/>
        </w:rPr>
        <w:t>.</w:t>
      </w:r>
    </w:p>
  </w:footnote>
  <w:footnote w:id="387">
    <w:p w14:paraId="63B99784" w14:textId="77777777" w:rsidR="00B34CC2" w:rsidRPr="009E54AE" w:rsidRDefault="00B34CC2" w:rsidP="003C611F">
      <w:pPr>
        <w:pStyle w:val="Testonotaapidipagina"/>
        <w:jc w:val="both"/>
        <w:rPr>
          <w:rFonts w:ascii="Times New Roman" w:hAnsi="Times New Roman" w:cs="Times New Roman"/>
          <w:sz w:val="20"/>
          <w:szCs w:val="20"/>
        </w:rPr>
      </w:pPr>
      <w:r w:rsidRPr="009E54AE">
        <w:rPr>
          <w:rStyle w:val="Rimandonotaapidipagina"/>
          <w:rFonts w:ascii="Times New Roman" w:hAnsi="Times New Roman" w:cs="Times New Roman"/>
          <w:sz w:val="20"/>
          <w:szCs w:val="20"/>
        </w:rPr>
        <w:footnoteRef/>
      </w:r>
      <w:r w:rsidRPr="009E54AE">
        <w:rPr>
          <w:rFonts w:ascii="Times New Roman" w:hAnsi="Times New Roman" w:cs="Times New Roman"/>
          <w:sz w:val="20"/>
          <w:szCs w:val="20"/>
        </w:rPr>
        <w:t xml:space="preserve"> </w:t>
      </w:r>
      <w:r>
        <w:rPr>
          <w:rFonts w:ascii="Times New Roman" w:hAnsi="Times New Roman" w:cs="Times New Roman"/>
          <w:i/>
          <w:sz w:val="20"/>
          <w:szCs w:val="20"/>
        </w:rPr>
        <w:t>Ibidem.</w:t>
      </w:r>
    </w:p>
  </w:footnote>
  <w:footnote w:id="388">
    <w:p w14:paraId="61F68901" w14:textId="77777777" w:rsidR="00B34CC2" w:rsidRPr="00FF7725" w:rsidRDefault="00B34CC2" w:rsidP="003C611F">
      <w:pPr>
        <w:pStyle w:val="Testonotaapidipagina"/>
        <w:jc w:val="both"/>
        <w:rPr>
          <w:rFonts w:ascii="Times New Roman" w:hAnsi="Times New Roman" w:cs="Times New Roman"/>
          <w:sz w:val="20"/>
          <w:szCs w:val="20"/>
        </w:rPr>
      </w:pPr>
      <w:r w:rsidRPr="00FF7725">
        <w:rPr>
          <w:rStyle w:val="Rimandonotaapidipagina"/>
          <w:rFonts w:ascii="Times New Roman" w:hAnsi="Times New Roman" w:cs="Times New Roman"/>
          <w:sz w:val="20"/>
          <w:szCs w:val="20"/>
        </w:rPr>
        <w:footnoteRef/>
      </w:r>
      <w:r w:rsidRPr="00FF7725">
        <w:rPr>
          <w:rFonts w:ascii="Times New Roman" w:hAnsi="Times New Roman" w:cs="Times New Roman"/>
          <w:sz w:val="20"/>
          <w:szCs w:val="20"/>
        </w:rPr>
        <w:t xml:space="preserve"> </w:t>
      </w:r>
      <w:r>
        <w:rPr>
          <w:rFonts w:ascii="Times New Roman" w:hAnsi="Times New Roman" w:cs="Times New Roman"/>
          <w:i/>
          <w:sz w:val="20"/>
          <w:szCs w:val="20"/>
        </w:rPr>
        <w:t>Ivi</w:t>
      </w:r>
      <w:r>
        <w:rPr>
          <w:rFonts w:ascii="Times New Roman" w:hAnsi="Times New Roman" w:cs="Times New Roman"/>
          <w:sz w:val="20"/>
          <w:szCs w:val="20"/>
        </w:rPr>
        <w:t>, p. 260.</w:t>
      </w:r>
    </w:p>
  </w:footnote>
  <w:footnote w:id="389">
    <w:p w14:paraId="49F2D456" w14:textId="77777777" w:rsidR="00B34CC2" w:rsidRPr="00FF7725" w:rsidRDefault="00B34CC2" w:rsidP="003C611F">
      <w:pPr>
        <w:pStyle w:val="Testonotaapidipagina"/>
        <w:jc w:val="both"/>
        <w:rPr>
          <w:rFonts w:ascii="Times New Roman" w:hAnsi="Times New Roman" w:cs="Times New Roman"/>
          <w:sz w:val="20"/>
          <w:szCs w:val="20"/>
        </w:rPr>
      </w:pPr>
      <w:r w:rsidRPr="00FF7725">
        <w:rPr>
          <w:rStyle w:val="Rimandonotaapidipagina"/>
          <w:rFonts w:ascii="Times New Roman" w:hAnsi="Times New Roman" w:cs="Times New Roman"/>
          <w:sz w:val="20"/>
          <w:szCs w:val="20"/>
        </w:rPr>
        <w:footnoteRef/>
      </w:r>
      <w:r>
        <w:rPr>
          <w:rFonts w:ascii="Times New Roman" w:hAnsi="Times New Roman" w:cs="Times New Roman"/>
          <w:i/>
          <w:sz w:val="20"/>
          <w:szCs w:val="20"/>
        </w:rPr>
        <w:t xml:space="preserve"> Ibidem</w:t>
      </w:r>
      <w:r>
        <w:rPr>
          <w:rFonts w:ascii="Times New Roman" w:hAnsi="Times New Roman" w:cs="Times New Roman"/>
          <w:sz w:val="20"/>
          <w:szCs w:val="20"/>
        </w:rPr>
        <w:t>.</w:t>
      </w:r>
    </w:p>
  </w:footnote>
  <w:footnote w:id="390">
    <w:p w14:paraId="03C8D371" w14:textId="77777777" w:rsidR="00B34CC2" w:rsidRPr="00977D90" w:rsidRDefault="00B34CC2" w:rsidP="003C611F">
      <w:pPr>
        <w:pStyle w:val="Testonotaapidipagina"/>
        <w:jc w:val="both"/>
        <w:rPr>
          <w:rFonts w:ascii="Times New Roman" w:hAnsi="Times New Roman" w:cs="Times New Roman"/>
          <w:sz w:val="20"/>
          <w:szCs w:val="20"/>
        </w:rPr>
      </w:pPr>
      <w:r w:rsidRPr="00977D90">
        <w:rPr>
          <w:rStyle w:val="Rimandonotaapidipagina"/>
          <w:rFonts w:ascii="Times New Roman" w:hAnsi="Times New Roman" w:cs="Times New Roman"/>
          <w:sz w:val="20"/>
          <w:szCs w:val="20"/>
        </w:rPr>
        <w:footnoteRef/>
      </w:r>
      <w:r>
        <w:rPr>
          <w:rFonts w:ascii="Times New Roman" w:hAnsi="Times New Roman" w:cs="Times New Roman"/>
          <w:sz w:val="20"/>
          <w:szCs w:val="20"/>
        </w:rPr>
        <w:t xml:space="preserve"> </w:t>
      </w:r>
      <w:r>
        <w:rPr>
          <w:rFonts w:ascii="Times New Roman" w:hAnsi="Times New Roman" w:cs="Times New Roman"/>
          <w:i/>
          <w:sz w:val="20"/>
          <w:szCs w:val="20"/>
        </w:rPr>
        <w:t>Ivi</w:t>
      </w:r>
      <w:r>
        <w:rPr>
          <w:rFonts w:ascii="Times New Roman" w:hAnsi="Times New Roman" w:cs="Times New Roman"/>
          <w:sz w:val="20"/>
          <w:szCs w:val="20"/>
        </w:rPr>
        <w:t>, p. 262.</w:t>
      </w:r>
    </w:p>
  </w:footnote>
  <w:footnote w:id="391">
    <w:p w14:paraId="4A64549E" w14:textId="77777777" w:rsidR="00B34CC2" w:rsidRPr="00FB2222" w:rsidRDefault="00B34CC2" w:rsidP="003C611F">
      <w:pPr>
        <w:pStyle w:val="Testonotaapidipagina"/>
        <w:jc w:val="both"/>
        <w:rPr>
          <w:rFonts w:ascii="Times New Roman" w:hAnsi="Times New Roman" w:cs="Times New Roman"/>
          <w:sz w:val="20"/>
          <w:szCs w:val="20"/>
        </w:rPr>
      </w:pPr>
      <w:r w:rsidRPr="00FB2222">
        <w:rPr>
          <w:rStyle w:val="Rimandonotaapidipagina"/>
          <w:rFonts w:ascii="Times New Roman" w:hAnsi="Times New Roman" w:cs="Times New Roman"/>
          <w:sz w:val="20"/>
          <w:szCs w:val="20"/>
        </w:rPr>
        <w:footnoteRef/>
      </w:r>
      <w:r w:rsidRPr="00FB2222">
        <w:rPr>
          <w:rFonts w:ascii="Times New Roman" w:hAnsi="Times New Roman" w:cs="Times New Roman"/>
          <w:sz w:val="20"/>
          <w:szCs w:val="20"/>
        </w:rPr>
        <w:t xml:space="preserve"> </w:t>
      </w:r>
      <w:r>
        <w:rPr>
          <w:rFonts w:ascii="Times New Roman" w:hAnsi="Times New Roman" w:cs="Times New Roman"/>
          <w:i/>
          <w:sz w:val="20"/>
          <w:szCs w:val="20"/>
        </w:rPr>
        <w:t>Ibidem</w:t>
      </w:r>
      <w:r>
        <w:rPr>
          <w:rFonts w:ascii="Times New Roman" w:hAnsi="Times New Roman" w:cs="Times New Roman"/>
          <w:sz w:val="20"/>
          <w:szCs w:val="20"/>
        </w:rPr>
        <w:t>.</w:t>
      </w:r>
    </w:p>
  </w:footnote>
  <w:footnote w:id="392">
    <w:p w14:paraId="060EFE94" w14:textId="77777777" w:rsidR="00B34CC2" w:rsidRPr="00FB2222" w:rsidRDefault="00B34CC2" w:rsidP="003C611F">
      <w:pPr>
        <w:pStyle w:val="Testonotaapidipagina"/>
        <w:jc w:val="both"/>
        <w:rPr>
          <w:rFonts w:ascii="Times New Roman" w:hAnsi="Times New Roman" w:cs="Times New Roman"/>
          <w:sz w:val="20"/>
          <w:szCs w:val="20"/>
        </w:rPr>
      </w:pPr>
      <w:r w:rsidRPr="00FB2222">
        <w:rPr>
          <w:rStyle w:val="Rimandonotaapidipagina"/>
          <w:rFonts w:ascii="Times New Roman" w:hAnsi="Times New Roman" w:cs="Times New Roman"/>
          <w:sz w:val="20"/>
          <w:szCs w:val="20"/>
        </w:rPr>
        <w:footnoteRef/>
      </w:r>
      <w:r w:rsidRPr="00FB2222">
        <w:rPr>
          <w:rFonts w:ascii="Times New Roman" w:hAnsi="Times New Roman" w:cs="Times New Roman"/>
          <w:sz w:val="20"/>
          <w:szCs w:val="20"/>
        </w:rPr>
        <w:t xml:space="preserve"> </w:t>
      </w:r>
      <w:r>
        <w:rPr>
          <w:rFonts w:ascii="Times New Roman" w:hAnsi="Times New Roman" w:cs="Times New Roman"/>
          <w:i/>
          <w:sz w:val="20"/>
          <w:szCs w:val="20"/>
        </w:rPr>
        <w:t>Ibidem</w:t>
      </w:r>
      <w:r>
        <w:rPr>
          <w:rFonts w:ascii="Times New Roman" w:hAnsi="Times New Roman" w:cs="Times New Roman"/>
          <w:sz w:val="20"/>
          <w:szCs w:val="20"/>
        </w:rPr>
        <w:t>.</w:t>
      </w:r>
    </w:p>
  </w:footnote>
  <w:footnote w:id="393">
    <w:p w14:paraId="08492AB1" w14:textId="77777777" w:rsidR="00B34CC2" w:rsidRPr="00B24AAA" w:rsidRDefault="00B34CC2" w:rsidP="003C611F">
      <w:pPr>
        <w:pStyle w:val="Testonotaapidipagina"/>
        <w:jc w:val="both"/>
        <w:rPr>
          <w:rFonts w:ascii="Times New Roman" w:hAnsi="Times New Roman" w:cs="Times New Roman"/>
          <w:i/>
          <w:sz w:val="20"/>
          <w:szCs w:val="20"/>
        </w:rPr>
      </w:pPr>
      <w:r w:rsidRPr="00B24AAA">
        <w:rPr>
          <w:rStyle w:val="Rimandonotaapidipagina"/>
          <w:rFonts w:ascii="Times New Roman" w:hAnsi="Times New Roman" w:cs="Times New Roman"/>
          <w:sz w:val="20"/>
          <w:szCs w:val="20"/>
        </w:rPr>
        <w:footnoteRef/>
      </w:r>
      <w:r w:rsidRPr="00B24AAA">
        <w:rPr>
          <w:rFonts w:ascii="Times New Roman" w:hAnsi="Times New Roman" w:cs="Times New Roman"/>
          <w:sz w:val="20"/>
          <w:szCs w:val="20"/>
        </w:rPr>
        <w:t xml:space="preserve"> </w:t>
      </w:r>
      <w:r>
        <w:rPr>
          <w:rFonts w:ascii="Times New Roman" w:hAnsi="Times New Roman" w:cs="Times New Roman"/>
          <w:i/>
          <w:sz w:val="20"/>
          <w:szCs w:val="20"/>
        </w:rPr>
        <w:t>Ibidem.</w:t>
      </w:r>
    </w:p>
  </w:footnote>
  <w:footnote w:id="394">
    <w:p w14:paraId="79F7813E" w14:textId="77777777" w:rsidR="00B34CC2" w:rsidRPr="008D1B5E" w:rsidRDefault="00B34CC2" w:rsidP="003C611F">
      <w:pPr>
        <w:pStyle w:val="Testonotaapidipagina"/>
        <w:jc w:val="both"/>
        <w:rPr>
          <w:rFonts w:ascii="Times New Roman" w:hAnsi="Times New Roman" w:cs="Times New Roman"/>
          <w:i/>
          <w:sz w:val="20"/>
          <w:szCs w:val="20"/>
        </w:rPr>
      </w:pPr>
      <w:r w:rsidRPr="008D1B5E">
        <w:rPr>
          <w:rStyle w:val="Rimandonotaapidipagina"/>
          <w:rFonts w:ascii="Times New Roman" w:hAnsi="Times New Roman" w:cs="Times New Roman"/>
          <w:sz w:val="20"/>
          <w:szCs w:val="20"/>
        </w:rPr>
        <w:footnoteRef/>
      </w:r>
      <w:r w:rsidRPr="008D1B5E">
        <w:rPr>
          <w:rFonts w:ascii="Times New Roman" w:hAnsi="Times New Roman" w:cs="Times New Roman"/>
          <w:sz w:val="20"/>
          <w:szCs w:val="20"/>
        </w:rPr>
        <w:t xml:space="preserve"> </w:t>
      </w:r>
      <w:r>
        <w:rPr>
          <w:rFonts w:ascii="Times New Roman" w:hAnsi="Times New Roman" w:cs="Times New Roman"/>
          <w:i/>
          <w:sz w:val="20"/>
          <w:szCs w:val="20"/>
        </w:rPr>
        <w:t>Ibidem.</w:t>
      </w:r>
    </w:p>
  </w:footnote>
  <w:footnote w:id="395">
    <w:p w14:paraId="27262987" w14:textId="77777777" w:rsidR="00B34CC2" w:rsidRPr="005611C5" w:rsidRDefault="00B34CC2" w:rsidP="003C611F">
      <w:pPr>
        <w:pStyle w:val="Testonotaapidipagina"/>
        <w:jc w:val="both"/>
        <w:rPr>
          <w:rFonts w:ascii="Times New Roman" w:hAnsi="Times New Roman" w:cs="Times New Roman"/>
          <w:sz w:val="20"/>
          <w:szCs w:val="20"/>
        </w:rPr>
      </w:pPr>
      <w:r w:rsidRPr="005611C5">
        <w:rPr>
          <w:rStyle w:val="Rimandonotaapidipagina"/>
          <w:rFonts w:ascii="Times New Roman" w:hAnsi="Times New Roman" w:cs="Times New Roman"/>
          <w:sz w:val="20"/>
          <w:szCs w:val="20"/>
        </w:rPr>
        <w:footnoteRef/>
      </w:r>
      <w:r w:rsidRPr="005611C5">
        <w:rPr>
          <w:rFonts w:ascii="Times New Roman" w:hAnsi="Times New Roman" w:cs="Times New Roman"/>
          <w:sz w:val="20"/>
          <w:szCs w:val="20"/>
        </w:rPr>
        <w:t xml:space="preserve"> </w:t>
      </w:r>
      <w:r>
        <w:rPr>
          <w:rFonts w:ascii="Times New Roman" w:hAnsi="Times New Roman" w:cs="Times New Roman"/>
          <w:i/>
          <w:sz w:val="20"/>
          <w:szCs w:val="20"/>
        </w:rPr>
        <w:t>Ivi</w:t>
      </w:r>
      <w:r>
        <w:rPr>
          <w:rFonts w:ascii="Times New Roman" w:hAnsi="Times New Roman" w:cs="Times New Roman"/>
          <w:sz w:val="20"/>
          <w:szCs w:val="20"/>
        </w:rPr>
        <w:t>, p. 267.</w:t>
      </w:r>
    </w:p>
  </w:footnote>
  <w:footnote w:id="396">
    <w:p w14:paraId="7E13D936" w14:textId="77777777" w:rsidR="00B34CC2" w:rsidRPr="006C00AB" w:rsidRDefault="00B34CC2" w:rsidP="003C611F">
      <w:pPr>
        <w:pStyle w:val="Testonotaapidipagina"/>
        <w:jc w:val="both"/>
        <w:rPr>
          <w:rFonts w:ascii="Times New Roman" w:hAnsi="Times New Roman" w:cs="Times New Roman"/>
          <w:sz w:val="20"/>
          <w:szCs w:val="20"/>
        </w:rPr>
      </w:pPr>
      <w:r w:rsidRPr="006C00AB">
        <w:rPr>
          <w:rStyle w:val="Rimandonotaapidipagina"/>
          <w:rFonts w:ascii="Times New Roman" w:hAnsi="Times New Roman" w:cs="Times New Roman"/>
          <w:sz w:val="20"/>
          <w:szCs w:val="20"/>
        </w:rPr>
        <w:footnoteRef/>
      </w:r>
      <w:r>
        <w:rPr>
          <w:rFonts w:ascii="Times New Roman" w:hAnsi="Times New Roman" w:cs="Times New Roman"/>
          <w:sz w:val="20"/>
          <w:szCs w:val="20"/>
        </w:rPr>
        <w:t xml:space="preserve"> </w:t>
      </w:r>
      <w:r>
        <w:rPr>
          <w:rFonts w:ascii="Times New Roman" w:hAnsi="Times New Roman" w:cs="Times New Roman"/>
          <w:i/>
          <w:sz w:val="20"/>
          <w:szCs w:val="20"/>
        </w:rPr>
        <w:t>Ivi</w:t>
      </w:r>
      <w:r>
        <w:rPr>
          <w:rFonts w:ascii="Times New Roman" w:hAnsi="Times New Roman" w:cs="Times New Roman"/>
          <w:sz w:val="20"/>
          <w:szCs w:val="20"/>
        </w:rPr>
        <w:t>, p. 268.</w:t>
      </w:r>
    </w:p>
  </w:footnote>
  <w:footnote w:id="397">
    <w:p w14:paraId="5A80DD28" w14:textId="77777777" w:rsidR="00B34CC2" w:rsidRPr="00907BA2" w:rsidRDefault="00B34CC2" w:rsidP="003C611F">
      <w:pPr>
        <w:pStyle w:val="Testonotaapidipagina"/>
        <w:jc w:val="both"/>
        <w:rPr>
          <w:rFonts w:ascii="Times New Roman" w:hAnsi="Times New Roman" w:cs="Times New Roman"/>
          <w:sz w:val="20"/>
          <w:szCs w:val="20"/>
        </w:rPr>
      </w:pPr>
      <w:r w:rsidRPr="00907BA2">
        <w:rPr>
          <w:rStyle w:val="Rimandonotaapidipagina"/>
          <w:rFonts w:ascii="Times New Roman" w:hAnsi="Times New Roman" w:cs="Times New Roman"/>
          <w:sz w:val="20"/>
          <w:szCs w:val="20"/>
        </w:rPr>
        <w:footnoteRef/>
      </w:r>
      <w:r w:rsidRPr="00907BA2">
        <w:rPr>
          <w:rFonts w:ascii="Times New Roman" w:hAnsi="Times New Roman" w:cs="Times New Roman"/>
          <w:sz w:val="20"/>
          <w:szCs w:val="20"/>
        </w:rPr>
        <w:t xml:space="preserve"> </w:t>
      </w:r>
      <w:r>
        <w:rPr>
          <w:rFonts w:ascii="Times New Roman" w:hAnsi="Times New Roman" w:cs="Times New Roman"/>
          <w:i/>
          <w:sz w:val="20"/>
          <w:szCs w:val="20"/>
        </w:rPr>
        <w:t>Ivi</w:t>
      </w:r>
      <w:r>
        <w:rPr>
          <w:rFonts w:ascii="Times New Roman" w:hAnsi="Times New Roman" w:cs="Times New Roman"/>
          <w:sz w:val="20"/>
          <w:szCs w:val="20"/>
        </w:rPr>
        <w:t>, pp. 269-270.</w:t>
      </w:r>
    </w:p>
  </w:footnote>
  <w:footnote w:id="398">
    <w:p w14:paraId="1CB14124" w14:textId="77777777" w:rsidR="00B34CC2" w:rsidRPr="00937448" w:rsidRDefault="00B34CC2" w:rsidP="003C611F">
      <w:pPr>
        <w:pStyle w:val="Testonotaapidipagina"/>
        <w:jc w:val="both"/>
        <w:rPr>
          <w:rFonts w:ascii="Times New Roman" w:hAnsi="Times New Roman" w:cs="Times New Roman"/>
          <w:sz w:val="20"/>
          <w:szCs w:val="20"/>
        </w:rPr>
      </w:pPr>
      <w:r w:rsidRPr="00937448">
        <w:rPr>
          <w:rStyle w:val="Rimandonotaapidipagina"/>
          <w:rFonts w:ascii="Times New Roman" w:hAnsi="Times New Roman" w:cs="Times New Roman"/>
          <w:sz w:val="20"/>
          <w:szCs w:val="20"/>
        </w:rPr>
        <w:footnoteRef/>
      </w:r>
      <w:r w:rsidRPr="00937448">
        <w:rPr>
          <w:rFonts w:ascii="Times New Roman" w:hAnsi="Times New Roman" w:cs="Times New Roman"/>
          <w:sz w:val="20"/>
          <w:szCs w:val="20"/>
        </w:rPr>
        <w:t xml:space="preserve"> </w:t>
      </w:r>
      <w:r w:rsidRPr="00937448">
        <w:rPr>
          <w:rFonts w:ascii="Times New Roman" w:hAnsi="Times New Roman" w:cs="Times New Roman"/>
          <w:i/>
          <w:sz w:val="20"/>
          <w:szCs w:val="20"/>
        </w:rPr>
        <w:t>Ibidem</w:t>
      </w:r>
      <w:r>
        <w:rPr>
          <w:rFonts w:ascii="Times New Roman" w:hAnsi="Times New Roman" w:cs="Times New Roman"/>
          <w:sz w:val="20"/>
          <w:szCs w:val="20"/>
        </w:rPr>
        <w:t>.</w:t>
      </w:r>
    </w:p>
  </w:footnote>
  <w:footnote w:id="399">
    <w:p w14:paraId="571CD459" w14:textId="3E95ED1E" w:rsidR="00B34CC2" w:rsidRPr="003F5599" w:rsidRDefault="00B34CC2" w:rsidP="003C611F">
      <w:pPr>
        <w:pStyle w:val="Testonotaapidipagina"/>
        <w:jc w:val="both"/>
        <w:rPr>
          <w:rFonts w:ascii="Times New Roman" w:hAnsi="Times New Roman" w:cs="Times New Roman"/>
          <w:sz w:val="20"/>
          <w:szCs w:val="20"/>
        </w:rPr>
      </w:pPr>
      <w:r w:rsidRPr="00DD3217">
        <w:rPr>
          <w:rStyle w:val="Rimandonotaapidipagina"/>
          <w:rFonts w:ascii="Times New Roman" w:hAnsi="Times New Roman" w:cs="Times New Roman"/>
          <w:sz w:val="20"/>
          <w:szCs w:val="20"/>
        </w:rPr>
        <w:footnoteRef/>
      </w:r>
      <w:r w:rsidRPr="00DD3217">
        <w:rPr>
          <w:rFonts w:ascii="Times New Roman" w:hAnsi="Times New Roman" w:cs="Times New Roman"/>
          <w:sz w:val="20"/>
          <w:szCs w:val="20"/>
        </w:rPr>
        <w:t xml:space="preserve"> Sugli sviluppi della dialettica di positivo e negativo a cavallo fra la sezione della </w:t>
      </w:r>
      <w:r w:rsidRPr="00DD3217">
        <w:rPr>
          <w:rFonts w:ascii="Times New Roman" w:hAnsi="Times New Roman" w:cs="Times New Roman"/>
          <w:i/>
          <w:sz w:val="20"/>
          <w:szCs w:val="20"/>
        </w:rPr>
        <w:t>Gegensatz</w:t>
      </w:r>
      <w:r w:rsidRPr="00DD3217">
        <w:rPr>
          <w:rFonts w:ascii="Times New Roman" w:hAnsi="Times New Roman" w:cs="Times New Roman"/>
          <w:sz w:val="20"/>
          <w:szCs w:val="20"/>
        </w:rPr>
        <w:t xml:space="preserve"> e della </w:t>
      </w:r>
      <w:r w:rsidRPr="00DD3217">
        <w:rPr>
          <w:rFonts w:ascii="Times New Roman" w:hAnsi="Times New Roman" w:cs="Times New Roman"/>
          <w:i/>
          <w:sz w:val="20"/>
          <w:szCs w:val="20"/>
        </w:rPr>
        <w:t xml:space="preserve">Widerspruch </w:t>
      </w:r>
      <w:r w:rsidRPr="00DD3217">
        <w:rPr>
          <w:rFonts w:ascii="Times New Roman" w:hAnsi="Times New Roman" w:cs="Times New Roman"/>
          <w:sz w:val="20"/>
          <w:szCs w:val="20"/>
        </w:rPr>
        <w:t xml:space="preserve">cfr. F. Chiereghin, </w:t>
      </w:r>
      <w:r w:rsidRPr="00DD3217">
        <w:rPr>
          <w:rFonts w:ascii="Times New Roman" w:hAnsi="Times New Roman" w:cs="Times New Roman"/>
          <w:i/>
          <w:sz w:val="20"/>
          <w:szCs w:val="20"/>
        </w:rPr>
        <w:t>Rileggere la Scienza della logica</w:t>
      </w:r>
      <w:r w:rsidRPr="00DD3217">
        <w:rPr>
          <w:rFonts w:ascii="Times New Roman" w:hAnsi="Times New Roman" w:cs="Times New Roman"/>
          <w:sz w:val="20"/>
          <w:szCs w:val="20"/>
        </w:rPr>
        <w:t xml:space="preserve">, cit., pp. 105-118; K. Hartmann, </w:t>
      </w:r>
      <w:r w:rsidRPr="00DD3217">
        <w:rPr>
          <w:rFonts w:ascii="Times New Roman" w:hAnsi="Times New Roman" w:cs="Times New Roman"/>
          <w:i/>
          <w:sz w:val="20"/>
          <w:szCs w:val="20"/>
        </w:rPr>
        <w:t>Hegels Logik</w:t>
      </w:r>
      <w:r w:rsidRPr="00DD3217">
        <w:rPr>
          <w:rFonts w:ascii="Times New Roman" w:hAnsi="Times New Roman" w:cs="Times New Roman"/>
          <w:sz w:val="20"/>
          <w:szCs w:val="20"/>
        </w:rPr>
        <w:t>, cit., pp. 185-195</w:t>
      </w:r>
      <w:r>
        <w:rPr>
          <w:rFonts w:ascii="Times New Roman" w:hAnsi="Times New Roman" w:cs="Times New Roman"/>
          <w:sz w:val="20"/>
          <w:szCs w:val="20"/>
        </w:rPr>
        <w:t xml:space="preserve">; J. Hyppolite, </w:t>
      </w:r>
      <w:r w:rsidRPr="000938AC">
        <w:rPr>
          <w:rFonts w:ascii="Times New Roman" w:hAnsi="Times New Roman" w:cs="Times New Roman"/>
          <w:i/>
          <w:sz w:val="20"/>
          <w:szCs w:val="20"/>
        </w:rPr>
        <w:t>Logique et existence</w:t>
      </w:r>
      <w:r>
        <w:rPr>
          <w:rFonts w:ascii="Times New Roman" w:hAnsi="Times New Roman" w:cs="Times New Roman"/>
          <w:sz w:val="20"/>
          <w:szCs w:val="20"/>
        </w:rPr>
        <w:t xml:space="preserve">, cit., pp. 135-163; S. </w:t>
      </w:r>
      <w:r w:rsidRPr="00DD3217">
        <w:rPr>
          <w:rFonts w:ascii="Times New Roman" w:hAnsi="Times New Roman" w:cs="Times New Roman"/>
          <w:sz w:val="20"/>
          <w:szCs w:val="20"/>
        </w:rPr>
        <w:t xml:space="preserve">Houlgate, </w:t>
      </w:r>
      <w:r w:rsidRPr="00DD3217">
        <w:rPr>
          <w:rFonts w:ascii="Times New Roman" w:hAnsi="Times New Roman" w:cs="Times New Roman"/>
          <w:i/>
          <w:sz w:val="20"/>
          <w:szCs w:val="20"/>
        </w:rPr>
        <w:t>Essence, Reflection, and Immediacy in Hegel’s Science of Logic</w:t>
      </w:r>
      <w:r w:rsidRPr="00DD3217">
        <w:rPr>
          <w:rFonts w:ascii="Times New Roman" w:hAnsi="Times New Roman" w:cs="Times New Roman"/>
          <w:sz w:val="20"/>
          <w:szCs w:val="20"/>
        </w:rPr>
        <w:t xml:space="preserve">, cit., pp. 150-153; L. Lugarini, </w:t>
      </w:r>
      <w:r w:rsidRPr="00DD3217">
        <w:rPr>
          <w:rFonts w:ascii="Times New Roman" w:hAnsi="Times New Roman" w:cs="Times New Roman"/>
          <w:i/>
          <w:sz w:val="20"/>
          <w:szCs w:val="20"/>
        </w:rPr>
        <w:t>Orizzonti hegeliani di comprensione dell’essere</w:t>
      </w:r>
      <w:r w:rsidRPr="00DD3217">
        <w:rPr>
          <w:rFonts w:ascii="Times New Roman" w:hAnsi="Times New Roman" w:cs="Times New Roman"/>
          <w:sz w:val="20"/>
          <w:szCs w:val="20"/>
        </w:rPr>
        <w:t xml:space="preserve">, cit., pp. 284-307; M. Quante, </w:t>
      </w:r>
      <w:r w:rsidRPr="00DD3217">
        <w:rPr>
          <w:rFonts w:ascii="Times New Roman" w:hAnsi="Times New Roman" w:cs="Times New Roman"/>
          <w:i/>
          <w:sz w:val="20"/>
          <w:szCs w:val="20"/>
        </w:rPr>
        <w:t>The Logic of Essence as Internal Reflection</w:t>
      </w:r>
      <w:r w:rsidRPr="00DD3217">
        <w:rPr>
          <w:rFonts w:ascii="Times New Roman" w:hAnsi="Times New Roman" w:cs="Times New Roman"/>
          <w:sz w:val="20"/>
          <w:szCs w:val="20"/>
        </w:rPr>
        <w:t>, cit., pp. 256-261</w:t>
      </w:r>
      <w:r>
        <w:rPr>
          <w:rFonts w:ascii="Times New Roman" w:hAnsi="Times New Roman" w:cs="Times New Roman"/>
          <w:sz w:val="20"/>
          <w:szCs w:val="20"/>
        </w:rPr>
        <w:t xml:space="preserve">; </w:t>
      </w:r>
      <w:r w:rsidRPr="00DD3217">
        <w:rPr>
          <w:rFonts w:ascii="Times New Roman" w:hAnsi="Times New Roman" w:cs="Times New Roman"/>
          <w:sz w:val="20"/>
          <w:szCs w:val="20"/>
        </w:rPr>
        <w:t xml:space="preserve">G. M. Wölfle, </w:t>
      </w:r>
      <w:r w:rsidRPr="00DD3217">
        <w:rPr>
          <w:rFonts w:ascii="Times New Roman" w:hAnsi="Times New Roman" w:cs="Times New Roman"/>
          <w:i/>
          <w:sz w:val="20"/>
          <w:szCs w:val="20"/>
        </w:rPr>
        <w:t>Die Wesenslogik in Hegels “Wissenschaft der Logik”</w:t>
      </w:r>
      <w:r w:rsidRPr="00DD3217">
        <w:rPr>
          <w:rFonts w:ascii="Times New Roman" w:hAnsi="Times New Roman" w:cs="Times New Roman"/>
          <w:sz w:val="20"/>
          <w:szCs w:val="20"/>
        </w:rPr>
        <w:t>,</w:t>
      </w:r>
      <w:r>
        <w:rPr>
          <w:rFonts w:ascii="Times New Roman" w:hAnsi="Times New Roman" w:cs="Times New Roman"/>
          <w:sz w:val="20"/>
          <w:szCs w:val="20"/>
        </w:rPr>
        <w:t xml:space="preserve"> cit., </w:t>
      </w:r>
      <w:r w:rsidRPr="00DD3217">
        <w:rPr>
          <w:rFonts w:ascii="Times New Roman" w:hAnsi="Times New Roman" w:cs="Times New Roman"/>
          <w:sz w:val="20"/>
          <w:szCs w:val="20"/>
        </w:rPr>
        <w:t xml:space="preserve"> pp. 230-242.</w:t>
      </w:r>
    </w:p>
  </w:footnote>
  <w:footnote w:id="400">
    <w:p w14:paraId="080B451C" w14:textId="693502FE" w:rsidR="00B34CC2" w:rsidRPr="00CB0086" w:rsidRDefault="00B34CC2" w:rsidP="003C611F">
      <w:pPr>
        <w:pStyle w:val="Testonotaapidipagina"/>
        <w:jc w:val="both"/>
        <w:rPr>
          <w:rFonts w:ascii="Times New Roman" w:hAnsi="Times New Roman" w:cs="Times New Roman"/>
          <w:sz w:val="20"/>
          <w:szCs w:val="20"/>
        </w:rPr>
      </w:pPr>
      <w:r w:rsidRPr="00890E9D">
        <w:rPr>
          <w:rStyle w:val="Rimandonotaapidipagina"/>
          <w:rFonts w:ascii="Times New Roman" w:hAnsi="Times New Roman" w:cs="Times New Roman"/>
          <w:sz w:val="20"/>
          <w:szCs w:val="20"/>
        </w:rPr>
        <w:footnoteRef/>
      </w:r>
      <w:r w:rsidRPr="00890E9D">
        <w:rPr>
          <w:rFonts w:ascii="Times New Roman" w:hAnsi="Times New Roman" w:cs="Times New Roman"/>
          <w:sz w:val="20"/>
          <w:szCs w:val="20"/>
        </w:rPr>
        <w:t xml:space="preserve"> </w:t>
      </w:r>
      <w:r w:rsidRPr="00890E9D">
        <w:rPr>
          <w:rFonts w:ascii="Times New Roman" w:hAnsi="Times New Roman" w:cs="Times New Roman"/>
          <w:i/>
          <w:sz w:val="20"/>
          <w:szCs w:val="20"/>
        </w:rPr>
        <w:t>WdL I A</w:t>
      </w:r>
      <w:r w:rsidRPr="00890E9D">
        <w:rPr>
          <w:rFonts w:ascii="Times New Roman" w:hAnsi="Times New Roman" w:cs="Times New Roman"/>
          <w:sz w:val="20"/>
          <w:szCs w:val="20"/>
        </w:rPr>
        <w:t>, p. 272.</w:t>
      </w:r>
    </w:p>
  </w:footnote>
  <w:footnote w:id="401">
    <w:p w14:paraId="3366F06E" w14:textId="77777777" w:rsidR="00B34CC2" w:rsidRPr="00720344" w:rsidRDefault="00B34CC2" w:rsidP="003C611F">
      <w:pPr>
        <w:pStyle w:val="Testonotaapidipagina"/>
        <w:jc w:val="both"/>
        <w:rPr>
          <w:rFonts w:ascii="Times New Roman" w:hAnsi="Times New Roman" w:cs="Times New Roman"/>
          <w:sz w:val="20"/>
          <w:szCs w:val="20"/>
        </w:rPr>
      </w:pPr>
      <w:r w:rsidRPr="00720344">
        <w:rPr>
          <w:rStyle w:val="Rimandonotaapidipagina"/>
          <w:rFonts w:ascii="Times New Roman" w:hAnsi="Times New Roman" w:cs="Times New Roman"/>
          <w:sz w:val="20"/>
          <w:szCs w:val="20"/>
        </w:rPr>
        <w:footnoteRef/>
      </w:r>
      <w:r w:rsidRPr="00720344">
        <w:rPr>
          <w:rFonts w:ascii="Times New Roman" w:hAnsi="Times New Roman" w:cs="Times New Roman"/>
          <w:sz w:val="20"/>
          <w:szCs w:val="20"/>
        </w:rPr>
        <w:t xml:space="preserve"> </w:t>
      </w:r>
      <w:r>
        <w:rPr>
          <w:rFonts w:ascii="Times New Roman" w:hAnsi="Times New Roman" w:cs="Times New Roman"/>
          <w:i/>
          <w:sz w:val="20"/>
          <w:szCs w:val="20"/>
        </w:rPr>
        <w:t>Ibidem</w:t>
      </w:r>
      <w:r>
        <w:rPr>
          <w:rFonts w:ascii="Times New Roman" w:hAnsi="Times New Roman" w:cs="Times New Roman"/>
          <w:sz w:val="20"/>
          <w:szCs w:val="20"/>
        </w:rPr>
        <w:t>, p. 274</w:t>
      </w:r>
    </w:p>
  </w:footnote>
  <w:footnote w:id="402">
    <w:p w14:paraId="0F227AB7" w14:textId="77777777" w:rsidR="00B34CC2" w:rsidRPr="00CA5F04" w:rsidRDefault="00B34CC2" w:rsidP="003C611F">
      <w:pPr>
        <w:pStyle w:val="Testonotaapidipagina"/>
        <w:jc w:val="both"/>
        <w:rPr>
          <w:rFonts w:ascii="Times New Roman" w:hAnsi="Times New Roman" w:cs="Times New Roman"/>
          <w:sz w:val="20"/>
          <w:szCs w:val="20"/>
        </w:rPr>
      </w:pPr>
      <w:r w:rsidRPr="00CA5F04">
        <w:rPr>
          <w:rStyle w:val="Rimandonotaapidipagina"/>
          <w:rFonts w:ascii="Times New Roman" w:hAnsi="Times New Roman" w:cs="Times New Roman"/>
          <w:sz w:val="20"/>
          <w:szCs w:val="20"/>
        </w:rPr>
        <w:footnoteRef/>
      </w:r>
      <w:r w:rsidRPr="00CA5F04">
        <w:rPr>
          <w:rFonts w:ascii="Times New Roman" w:hAnsi="Times New Roman" w:cs="Times New Roman"/>
          <w:sz w:val="20"/>
          <w:szCs w:val="20"/>
        </w:rPr>
        <w:t xml:space="preserve"> </w:t>
      </w:r>
      <w:r w:rsidRPr="00CA5F04">
        <w:rPr>
          <w:rFonts w:ascii="Times New Roman" w:hAnsi="Times New Roman" w:cs="Times New Roman"/>
          <w:i/>
          <w:sz w:val="20"/>
          <w:szCs w:val="20"/>
        </w:rPr>
        <w:t>Ivi</w:t>
      </w:r>
      <w:r>
        <w:rPr>
          <w:rFonts w:ascii="Times New Roman" w:hAnsi="Times New Roman" w:cs="Times New Roman"/>
          <w:sz w:val="20"/>
          <w:szCs w:val="20"/>
        </w:rPr>
        <w:t>.</w:t>
      </w:r>
    </w:p>
  </w:footnote>
  <w:footnote w:id="403">
    <w:p w14:paraId="38CA6E49" w14:textId="77777777" w:rsidR="00B34CC2" w:rsidRPr="000B35F7" w:rsidRDefault="00B34CC2" w:rsidP="003C611F">
      <w:pPr>
        <w:pStyle w:val="Testonotaapidipagina"/>
        <w:jc w:val="both"/>
        <w:rPr>
          <w:rFonts w:ascii="Times New Roman" w:hAnsi="Times New Roman" w:cs="Times New Roman"/>
          <w:sz w:val="20"/>
          <w:szCs w:val="20"/>
        </w:rPr>
      </w:pPr>
      <w:r w:rsidRPr="000B35F7">
        <w:rPr>
          <w:rStyle w:val="Rimandonotaapidipagina"/>
          <w:rFonts w:ascii="Times New Roman" w:hAnsi="Times New Roman" w:cs="Times New Roman"/>
          <w:sz w:val="20"/>
          <w:szCs w:val="20"/>
        </w:rPr>
        <w:footnoteRef/>
      </w:r>
      <w:r w:rsidRPr="000B35F7">
        <w:rPr>
          <w:rFonts w:ascii="Times New Roman" w:hAnsi="Times New Roman" w:cs="Times New Roman"/>
          <w:sz w:val="20"/>
          <w:szCs w:val="20"/>
        </w:rPr>
        <w:t xml:space="preserve"> </w:t>
      </w:r>
      <w:r>
        <w:rPr>
          <w:rFonts w:ascii="Times New Roman" w:hAnsi="Times New Roman" w:cs="Times New Roman"/>
          <w:i/>
          <w:sz w:val="20"/>
          <w:szCs w:val="20"/>
        </w:rPr>
        <w:t xml:space="preserve">Ivi, </w:t>
      </w:r>
      <w:r w:rsidRPr="000B35F7">
        <w:rPr>
          <w:rFonts w:ascii="Times New Roman" w:hAnsi="Times New Roman" w:cs="Times New Roman"/>
          <w:sz w:val="20"/>
          <w:szCs w:val="20"/>
        </w:rPr>
        <w:t>p. 275</w:t>
      </w:r>
    </w:p>
  </w:footnote>
  <w:footnote w:id="404">
    <w:p w14:paraId="48F5BC03" w14:textId="77777777" w:rsidR="00B34CC2" w:rsidRPr="00F34227" w:rsidRDefault="00B34CC2" w:rsidP="003C611F">
      <w:pPr>
        <w:pStyle w:val="Testonotaapidipagina"/>
        <w:jc w:val="both"/>
        <w:rPr>
          <w:rFonts w:ascii="Times New Roman" w:hAnsi="Times New Roman" w:cs="Times New Roman"/>
          <w:sz w:val="20"/>
          <w:szCs w:val="20"/>
        </w:rPr>
      </w:pPr>
      <w:r w:rsidRPr="00F34227">
        <w:rPr>
          <w:rStyle w:val="Rimandonotaapidipagina"/>
          <w:rFonts w:ascii="Times New Roman" w:hAnsi="Times New Roman" w:cs="Times New Roman"/>
          <w:sz w:val="20"/>
          <w:szCs w:val="20"/>
        </w:rPr>
        <w:footnoteRef/>
      </w:r>
      <w:r w:rsidRPr="00F34227">
        <w:rPr>
          <w:rFonts w:ascii="Times New Roman" w:hAnsi="Times New Roman" w:cs="Times New Roman"/>
          <w:sz w:val="20"/>
          <w:szCs w:val="20"/>
        </w:rPr>
        <w:t xml:space="preserve"> </w:t>
      </w:r>
      <w:r w:rsidRPr="000B35F7">
        <w:rPr>
          <w:rFonts w:ascii="Times New Roman" w:hAnsi="Times New Roman" w:cs="Times New Roman"/>
          <w:i/>
          <w:sz w:val="20"/>
          <w:szCs w:val="20"/>
        </w:rPr>
        <w:t>Ibidem</w:t>
      </w:r>
      <w:r w:rsidRPr="000B35F7">
        <w:rPr>
          <w:rFonts w:ascii="Times New Roman" w:hAnsi="Times New Roman" w:cs="Times New Roman"/>
          <w:sz w:val="20"/>
          <w:szCs w:val="20"/>
        </w:rPr>
        <w:t>,</w:t>
      </w:r>
    </w:p>
  </w:footnote>
  <w:footnote w:id="405">
    <w:p w14:paraId="163AA299" w14:textId="77777777" w:rsidR="00B34CC2" w:rsidRPr="0093154A" w:rsidRDefault="00B34CC2" w:rsidP="003C611F">
      <w:pPr>
        <w:pStyle w:val="Testonotaapidipagina"/>
        <w:jc w:val="both"/>
        <w:rPr>
          <w:rFonts w:ascii="Times New Roman" w:hAnsi="Times New Roman" w:cs="Times New Roman"/>
          <w:sz w:val="20"/>
          <w:szCs w:val="20"/>
        </w:rPr>
      </w:pPr>
      <w:r w:rsidRPr="0093154A">
        <w:rPr>
          <w:rStyle w:val="Rimandonotaapidipagina"/>
          <w:rFonts w:ascii="Times New Roman" w:hAnsi="Times New Roman" w:cs="Times New Roman"/>
          <w:sz w:val="20"/>
          <w:szCs w:val="20"/>
        </w:rPr>
        <w:footnoteRef/>
      </w:r>
      <w:r w:rsidRPr="0093154A">
        <w:rPr>
          <w:rFonts w:ascii="Times New Roman" w:hAnsi="Times New Roman" w:cs="Times New Roman"/>
          <w:sz w:val="20"/>
          <w:szCs w:val="20"/>
        </w:rPr>
        <w:t xml:space="preserve"> </w:t>
      </w:r>
      <w:r w:rsidRPr="0093154A">
        <w:rPr>
          <w:rFonts w:ascii="Times New Roman" w:hAnsi="Times New Roman" w:cs="Times New Roman"/>
          <w:i/>
          <w:sz w:val="20"/>
          <w:szCs w:val="20"/>
        </w:rPr>
        <w:t>Ivi</w:t>
      </w:r>
      <w:r w:rsidRPr="0093154A">
        <w:rPr>
          <w:rFonts w:ascii="Times New Roman" w:hAnsi="Times New Roman" w:cs="Times New Roman"/>
          <w:sz w:val="20"/>
          <w:szCs w:val="20"/>
        </w:rPr>
        <w:t>, p. 279.</w:t>
      </w:r>
    </w:p>
  </w:footnote>
  <w:footnote w:id="406">
    <w:p w14:paraId="627C8373" w14:textId="77777777" w:rsidR="00B34CC2" w:rsidRPr="005829E0" w:rsidRDefault="00B34CC2" w:rsidP="003C611F">
      <w:pPr>
        <w:pStyle w:val="Testonotaapidipagina"/>
        <w:jc w:val="both"/>
        <w:rPr>
          <w:rFonts w:ascii="Times New Roman" w:hAnsi="Times New Roman" w:cs="Times New Roman"/>
          <w:sz w:val="20"/>
          <w:szCs w:val="20"/>
        </w:rPr>
      </w:pPr>
      <w:r w:rsidRPr="005829E0">
        <w:rPr>
          <w:rStyle w:val="Rimandonotaapidipagina"/>
          <w:rFonts w:ascii="Times New Roman" w:hAnsi="Times New Roman" w:cs="Times New Roman"/>
          <w:sz w:val="20"/>
          <w:szCs w:val="20"/>
        </w:rPr>
        <w:footnoteRef/>
      </w:r>
      <w:r w:rsidRPr="005829E0">
        <w:rPr>
          <w:rFonts w:ascii="Times New Roman" w:hAnsi="Times New Roman" w:cs="Times New Roman"/>
          <w:sz w:val="20"/>
          <w:szCs w:val="20"/>
        </w:rPr>
        <w:t xml:space="preserve"> </w:t>
      </w:r>
      <w:r w:rsidRPr="0093154A">
        <w:rPr>
          <w:rFonts w:ascii="Times New Roman" w:hAnsi="Times New Roman" w:cs="Times New Roman"/>
          <w:i/>
          <w:sz w:val="20"/>
          <w:szCs w:val="20"/>
        </w:rPr>
        <w:t>Ivi</w:t>
      </w:r>
      <w:r>
        <w:rPr>
          <w:rFonts w:ascii="Times New Roman" w:hAnsi="Times New Roman" w:cs="Times New Roman"/>
          <w:sz w:val="20"/>
          <w:szCs w:val="20"/>
        </w:rPr>
        <w:t>, p. 281.</w:t>
      </w:r>
    </w:p>
  </w:footnote>
  <w:footnote w:id="407">
    <w:p w14:paraId="5DCBB1A3" w14:textId="77777777" w:rsidR="00B34CC2" w:rsidRPr="00A46D6A" w:rsidRDefault="00B34CC2" w:rsidP="003C611F">
      <w:pPr>
        <w:pStyle w:val="Testonotaapidipagina"/>
        <w:jc w:val="both"/>
        <w:rPr>
          <w:rFonts w:ascii="Times New Roman" w:hAnsi="Times New Roman" w:cs="Times New Roman"/>
          <w:sz w:val="20"/>
          <w:szCs w:val="20"/>
        </w:rPr>
      </w:pPr>
      <w:r w:rsidRPr="00A46D6A">
        <w:rPr>
          <w:rStyle w:val="Rimandonotaapidipagina"/>
          <w:rFonts w:ascii="Times New Roman" w:hAnsi="Times New Roman" w:cs="Times New Roman"/>
          <w:sz w:val="20"/>
          <w:szCs w:val="20"/>
        </w:rPr>
        <w:footnoteRef/>
      </w:r>
      <w:r w:rsidRPr="00A46D6A">
        <w:rPr>
          <w:rFonts w:ascii="Times New Roman" w:hAnsi="Times New Roman" w:cs="Times New Roman"/>
          <w:sz w:val="20"/>
          <w:szCs w:val="20"/>
        </w:rPr>
        <w:t xml:space="preserve"> </w:t>
      </w:r>
      <w:r w:rsidRPr="00A46D6A">
        <w:rPr>
          <w:rFonts w:ascii="Times New Roman" w:hAnsi="Times New Roman" w:cs="Times New Roman"/>
          <w:i/>
          <w:sz w:val="20"/>
          <w:szCs w:val="20"/>
        </w:rPr>
        <w:t>Ibidem</w:t>
      </w:r>
      <w:r w:rsidRPr="00A46D6A">
        <w:rPr>
          <w:rFonts w:ascii="Times New Roman" w:hAnsi="Times New Roman" w:cs="Times New Roman"/>
          <w:sz w:val="20"/>
          <w:szCs w:val="20"/>
        </w:rPr>
        <w:t>.</w:t>
      </w:r>
    </w:p>
  </w:footnote>
  <w:footnote w:id="408">
    <w:p w14:paraId="6A6A9267" w14:textId="77777777" w:rsidR="00B34CC2" w:rsidRPr="00791789" w:rsidRDefault="00B34CC2" w:rsidP="003C611F">
      <w:pPr>
        <w:pStyle w:val="Testonotaapidipagina"/>
        <w:jc w:val="both"/>
        <w:rPr>
          <w:rFonts w:ascii="Times New Roman" w:hAnsi="Times New Roman" w:cs="Times New Roman"/>
          <w:sz w:val="20"/>
          <w:szCs w:val="20"/>
        </w:rPr>
      </w:pPr>
      <w:r w:rsidRPr="00791789">
        <w:rPr>
          <w:rStyle w:val="Rimandonotaapidipagina"/>
          <w:rFonts w:ascii="Times New Roman" w:hAnsi="Times New Roman" w:cs="Times New Roman"/>
          <w:sz w:val="20"/>
          <w:szCs w:val="20"/>
        </w:rPr>
        <w:footnoteRef/>
      </w:r>
      <w:r w:rsidRPr="00791789">
        <w:rPr>
          <w:rFonts w:ascii="Times New Roman" w:hAnsi="Times New Roman" w:cs="Times New Roman"/>
          <w:sz w:val="20"/>
          <w:szCs w:val="20"/>
        </w:rPr>
        <w:t xml:space="preserve"> </w:t>
      </w:r>
      <w:r>
        <w:rPr>
          <w:rFonts w:ascii="Times New Roman" w:hAnsi="Times New Roman" w:cs="Times New Roman"/>
          <w:i/>
          <w:sz w:val="20"/>
          <w:szCs w:val="20"/>
        </w:rPr>
        <w:t>Ivi</w:t>
      </w:r>
      <w:r>
        <w:rPr>
          <w:rFonts w:ascii="Times New Roman" w:hAnsi="Times New Roman" w:cs="Times New Roman"/>
          <w:sz w:val="20"/>
          <w:szCs w:val="20"/>
        </w:rPr>
        <w:t>, p. 286.</w:t>
      </w:r>
    </w:p>
  </w:footnote>
  <w:footnote w:id="409">
    <w:p w14:paraId="157F719B" w14:textId="77777777" w:rsidR="00B34CC2" w:rsidRPr="00D35BCF" w:rsidRDefault="00B34CC2" w:rsidP="003C611F">
      <w:pPr>
        <w:pStyle w:val="Testonotaapidipagina"/>
        <w:jc w:val="both"/>
        <w:rPr>
          <w:rFonts w:ascii="Times New Roman" w:hAnsi="Times New Roman" w:cs="Times New Roman"/>
          <w:sz w:val="20"/>
          <w:szCs w:val="20"/>
        </w:rPr>
      </w:pPr>
      <w:r w:rsidRPr="00D35BCF">
        <w:rPr>
          <w:rStyle w:val="Rimandonotaapidipagina"/>
          <w:rFonts w:ascii="Times New Roman" w:hAnsi="Times New Roman" w:cs="Times New Roman"/>
          <w:sz w:val="20"/>
          <w:szCs w:val="20"/>
        </w:rPr>
        <w:footnoteRef/>
      </w:r>
      <w:r w:rsidRPr="00D35BCF">
        <w:rPr>
          <w:rFonts w:ascii="Times New Roman" w:hAnsi="Times New Roman" w:cs="Times New Roman"/>
          <w:sz w:val="20"/>
          <w:szCs w:val="20"/>
        </w:rPr>
        <w:t xml:space="preserve"> </w:t>
      </w:r>
      <w:r>
        <w:rPr>
          <w:rFonts w:ascii="Times New Roman" w:hAnsi="Times New Roman" w:cs="Times New Roman"/>
          <w:i/>
          <w:sz w:val="20"/>
          <w:szCs w:val="20"/>
        </w:rPr>
        <w:t>Ivi</w:t>
      </w:r>
      <w:r>
        <w:rPr>
          <w:rFonts w:ascii="Times New Roman" w:hAnsi="Times New Roman" w:cs="Times New Roman"/>
          <w:sz w:val="20"/>
          <w:szCs w:val="20"/>
        </w:rPr>
        <w:t>, p. 285.</w:t>
      </w:r>
    </w:p>
  </w:footnote>
  <w:footnote w:id="410">
    <w:p w14:paraId="55360845" w14:textId="351ABAE5" w:rsidR="00B34CC2" w:rsidRPr="007653F2" w:rsidRDefault="00B34CC2" w:rsidP="003C611F">
      <w:pPr>
        <w:pStyle w:val="Testonotaapidipagina"/>
        <w:jc w:val="both"/>
        <w:rPr>
          <w:rFonts w:ascii="Times New Roman" w:hAnsi="Times New Roman" w:cs="Times New Roman"/>
          <w:sz w:val="20"/>
          <w:szCs w:val="20"/>
        </w:rPr>
      </w:pPr>
      <w:r w:rsidRPr="00C67F6A">
        <w:rPr>
          <w:rStyle w:val="Rimandonotaapidipagina"/>
          <w:rFonts w:ascii="Times New Roman" w:hAnsi="Times New Roman" w:cs="Times New Roman"/>
          <w:sz w:val="20"/>
          <w:szCs w:val="20"/>
        </w:rPr>
        <w:footnoteRef/>
      </w:r>
      <w:r w:rsidRPr="00C67F6A">
        <w:rPr>
          <w:rFonts w:ascii="Times New Roman" w:hAnsi="Times New Roman" w:cs="Times New Roman"/>
          <w:sz w:val="20"/>
          <w:szCs w:val="20"/>
        </w:rPr>
        <w:t xml:space="preserve"> Sul carattere </w:t>
      </w:r>
      <w:r>
        <w:rPr>
          <w:rFonts w:ascii="Times New Roman" w:hAnsi="Times New Roman" w:cs="Times New Roman"/>
          <w:sz w:val="20"/>
          <w:szCs w:val="20"/>
        </w:rPr>
        <w:t xml:space="preserve">vitale e dinamico </w:t>
      </w:r>
      <w:r w:rsidRPr="00C67F6A">
        <w:rPr>
          <w:rFonts w:ascii="Times New Roman" w:hAnsi="Times New Roman" w:cs="Times New Roman"/>
          <w:sz w:val="20"/>
          <w:szCs w:val="20"/>
        </w:rPr>
        <w:t>de</w:t>
      </w:r>
      <w:r>
        <w:rPr>
          <w:rFonts w:ascii="Times New Roman" w:hAnsi="Times New Roman" w:cs="Times New Roman"/>
          <w:sz w:val="20"/>
          <w:szCs w:val="20"/>
        </w:rPr>
        <w:t xml:space="preserve">lla contraddizione e sulla </w:t>
      </w:r>
      <w:r w:rsidRPr="00C67F6A">
        <w:rPr>
          <w:rFonts w:ascii="Times New Roman" w:hAnsi="Times New Roman" w:cs="Times New Roman"/>
          <w:sz w:val="20"/>
          <w:szCs w:val="20"/>
        </w:rPr>
        <w:t>comprensione rappresentati</w:t>
      </w:r>
      <w:r>
        <w:rPr>
          <w:rFonts w:ascii="Times New Roman" w:hAnsi="Times New Roman" w:cs="Times New Roman"/>
          <w:sz w:val="20"/>
          <w:szCs w:val="20"/>
        </w:rPr>
        <w:t>va e speculativa della medesima</w:t>
      </w:r>
      <w:r w:rsidRPr="00C67F6A">
        <w:rPr>
          <w:rFonts w:ascii="Times New Roman" w:hAnsi="Times New Roman" w:cs="Times New Roman"/>
          <w:sz w:val="20"/>
          <w:szCs w:val="20"/>
        </w:rPr>
        <w:t xml:space="preserve"> cfr. L. Lugarini, </w:t>
      </w:r>
      <w:r w:rsidRPr="00C67F6A">
        <w:rPr>
          <w:rFonts w:ascii="Times New Roman" w:hAnsi="Times New Roman" w:cs="Times New Roman"/>
          <w:i/>
          <w:sz w:val="20"/>
          <w:szCs w:val="20"/>
        </w:rPr>
        <w:t>Orizzonti hegeliani di comprensione dell’essere</w:t>
      </w:r>
      <w:r w:rsidRPr="00C67F6A">
        <w:rPr>
          <w:rFonts w:ascii="Times New Roman" w:hAnsi="Times New Roman" w:cs="Times New Roman"/>
          <w:sz w:val="20"/>
          <w:szCs w:val="20"/>
        </w:rPr>
        <w:t>, cit., p</w:t>
      </w:r>
      <w:r>
        <w:rPr>
          <w:rFonts w:ascii="Times New Roman" w:hAnsi="Times New Roman" w:cs="Times New Roman"/>
          <w:sz w:val="20"/>
          <w:szCs w:val="20"/>
        </w:rPr>
        <w:t>p</w:t>
      </w:r>
      <w:r w:rsidRPr="00C67F6A">
        <w:rPr>
          <w:rFonts w:ascii="Times New Roman" w:hAnsi="Times New Roman" w:cs="Times New Roman"/>
          <w:sz w:val="20"/>
          <w:szCs w:val="20"/>
        </w:rPr>
        <w:t>. 302</w:t>
      </w:r>
      <w:r>
        <w:rPr>
          <w:rFonts w:ascii="Times New Roman" w:hAnsi="Times New Roman" w:cs="Times New Roman"/>
          <w:sz w:val="20"/>
          <w:szCs w:val="20"/>
        </w:rPr>
        <w:t>-303</w:t>
      </w:r>
      <w:r w:rsidRPr="00C67F6A">
        <w:rPr>
          <w:rFonts w:ascii="Times New Roman" w:hAnsi="Times New Roman" w:cs="Times New Roman"/>
          <w:sz w:val="20"/>
          <w:szCs w:val="20"/>
        </w:rPr>
        <w:t xml:space="preserve">: </w:t>
      </w:r>
      <w:r w:rsidRPr="007653F2">
        <w:rPr>
          <w:rFonts w:ascii="Times New Roman" w:hAnsi="Times New Roman" w:cs="Times New Roman"/>
          <w:sz w:val="20"/>
          <w:szCs w:val="20"/>
        </w:rPr>
        <w:t>«Alla contraddizione è d</w:t>
      </w:r>
      <w:r>
        <w:rPr>
          <w:rFonts w:ascii="Times New Roman" w:hAnsi="Times New Roman" w:cs="Times New Roman"/>
          <w:sz w:val="20"/>
          <w:szCs w:val="20"/>
        </w:rPr>
        <w:t>unque riconosciuta una doppia e</w:t>
      </w:r>
      <w:r w:rsidRPr="007653F2">
        <w:rPr>
          <w:rFonts w:ascii="Times New Roman" w:hAnsi="Times New Roman" w:cs="Times New Roman"/>
          <w:sz w:val="20"/>
          <w:szCs w:val="20"/>
        </w:rPr>
        <w:t xml:space="preserve"> inversa efficacia: un effetto dissolutorio, qualora l’esistente non sia in grado di sopportarla, un effetto vitalizzante nel caso contrario. In questa prospettiva la tesi della sua irrealtà e impensabilità decade a «pregiudizio</w:t>
      </w:r>
      <w:r w:rsidRPr="007653F2">
        <w:rPr>
          <w:rFonts w:ascii="Times New Roman" w:eastAsia="Times New Roman" w:hAnsi="Times New Roman" w:cs="Times New Roman"/>
          <w:color w:val="000000"/>
          <w:sz w:val="20"/>
          <w:szCs w:val="20"/>
        </w:rPr>
        <w:t>», per di più fondamentale. Ma del pregiudizio – e in genere dell’abituale horror del comune rappresentare</w:t>
      </w:r>
      <w:r>
        <w:rPr>
          <w:rFonts w:ascii="Times New Roman" w:eastAsia="Times New Roman" w:hAnsi="Times New Roman" w:cs="Times New Roman"/>
          <w:color w:val="000000"/>
          <w:sz w:val="20"/>
          <w:szCs w:val="20"/>
        </w:rPr>
        <w:t xml:space="preserve"> per la contraddizione, simile </w:t>
      </w:r>
      <w:r w:rsidRPr="007653F2">
        <w:rPr>
          <w:rFonts w:ascii="Times New Roman" w:eastAsia="Times New Roman" w:hAnsi="Times New Roman" w:cs="Times New Roman"/>
          <w:color w:val="000000"/>
          <w:sz w:val="20"/>
          <w:szCs w:val="20"/>
        </w:rPr>
        <w:t>a quello della natura per il vacuum – viene pur dato conto [...]. Inerente alle cose, dal punto di vista rappresentativo la contraddizione sembra vanificarle; da quello del pensare speculativo e cioè della ragione essa per contro si dimostra via al fondamento in quanto loro intrinseca, negativa unità»</w:t>
      </w:r>
    </w:p>
  </w:footnote>
  <w:footnote w:id="411">
    <w:p w14:paraId="14E82B6A" w14:textId="77777777" w:rsidR="00B34CC2" w:rsidRPr="00F03775" w:rsidRDefault="00B34CC2" w:rsidP="003C611F">
      <w:pPr>
        <w:pStyle w:val="Testonotaapidipagina"/>
        <w:jc w:val="both"/>
        <w:rPr>
          <w:rFonts w:ascii="Times New Roman" w:hAnsi="Times New Roman" w:cs="Times New Roman"/>
          <w:sz w:val="20"/>
          <w:szCs w:val="20"/>
        </w:rPr>
      </w:pPr>
      <w:r w:rsidRPr="00F03775">
        <w:rPr>
          <w:rStyle w:val="Rimandonotaapidipagina"/>
          <w:rFonts w:ascii="Times New Roman" w:hAnsi="Times New Roman" w:cs="Times New Roman"/>
          <w:sz w:val="20"/>
          <w:szCs w:val="20"/>
        </w:rPr>
        <w:footnoteRef/>
      </w:r>
      <w:r w:rsidRPr="00F03775">
        <w:rPr>
          <w:rFonts w:ascii="Times New Roman" w:hAnsi="Times New Roman" w:cs="Times New Roman"/>
          <w:sz w:val="20"/>
          <w:szCs w:val="20"/>
        </w:rPr>
        <w:t xml:space="preserve"> </w:t>
      </w:r>
      <w:r>
        <w:rPr>
          <w:rFonts w:ascii="Times New Roman" w:hAnsi="Times New Roman" w:cs="Times New Roman"/>
          <w:i/>
          <w:sz w:val="20"/>
          <w:szCs w:val="20"/>
        </w:rPr>
        <w:t>Ivi</w:t>
      </w:r>
      <w:r>
        <w:rPr>
          <w:rFonts w:ascii="Times New Roman" w:hAnsi="Times New Roman" w:cs="Times New Roman"/>
          <w:sz w:val="20"/>
          <w:szCs w:val="20"/>
        </w:rPr>
        <w:t>, p. 287.</w:t>
      </w:r>
    </w:p>
  </w:footnote>
  <w:footnote w:id="412">
    <w:p w14:paraId="29D64E03" w14:textId="70441E10" w:rsidR="00B34CC2" w:rsidRPr="00042857" w:rsidRDefault="00B34CC2" w:rsidP="003C611F">
      <w:pPr>
        <w:pStyle w:val="Testonotaapidipagina"/>
        <w:jc w:val="both"/>
        <w:rPr>
          <w:rFonts w:ascii="Times New Roman" w:eastAsia="Times New Roman" w:hAnsi="Times New Roman" w:cs="Times New Roman"/>
          <w:color w:val="000000"/>
          <w:sz w:val="20"/>
          <w:szCs w:val="20"/>
        </w:rPr>
      </w:pPr>
      <w:r w:rsidRPr="00A81174">
        <w:rPr>
          <w:rStyle w:val="Rimandonotaapidipagina"/>
          <w:rFonts w:ascii="Times New Roman" w:hAnsi="Times New Roman" w:cs="Times New Roman"/>
          <w:sz w:val="20"/>
          <w:szCs w:val="20"/>
        </w:rPr>
        <w:footnoteRef/>
      </w:r>
      <w:r w:rsidRPr="00A81174">
        <w:rPr>
          <w:rFonts w:ascii="Times New Roman" w:hAnsi="Times New Roman" w:cs="Times New Roman"/>
          <w:sz w:val="20"/>
          <w:szCs w:val="20"/>
        </w:rPr>
        <w:t xml:space="preserve"> </w:t>
      </w:r>
      <w:r>
        <w:rPr>
          <w:rFonts w:ascii="Times New Roman" w:hAnsi="Times New Roman" w:cs="Times New Roman"/>
          <w:sz w:val="20"/>
          <w:szCs w:val="20"/>
        </w:rPr>
        <w:t xml:space="preserve">Cfr. </w:t>
      </w:r>
      <w:r w:rsidRPr="008E258C">
        <w:rPr>
          <w:rFonts w:ascii="Times New Roman" w:hAnsi="Times New Roman" w:cs="Times New Roman"/>
          <w:i/>
          <w:sz w:val="20"/>
          <w:szCs w:val="20"/>
        </w:rPr>
        <w:t>WdL I</w:t>
      </w:r>
      <w:r>
        <w:rPr>
          <w:rFonts w:ascii="Times New Roman" w:hAnsi="Times New Roman" w:cs="Times New Roman"/>
          <w:i/>
          <w:sz w:val="20"/>
          <w:szCs w:val="20"/>
        </w:rPr>
        <w:t xml:space="preserve"> A</w:t>
      </w:r>
      <w:r>
        <w:rPr>
          <w:rFonts w:ascii="Times New Roman" w:hAnsi="Times New Roman" w:cs="Times New Roman"/>
          <w:sz w:val="20"/>
          <w:szCs w:val="20"/>
        </w:rPr>
        <w:t xml:space="preserve">, pp. 284-285: </w:t>
      </w:r>
      <w:r w:rsidRPr="007653F2">
        <w:rPr>
          <w:rFonts w:ascii="Times New Roman" w:hAnsi="Times New Roman" w:cs="Times New Roman"/>
          <w:sz w:val="20"/>
          <w:szCs w:val="20"/>
        </w:rPr>
        <w:t>«</w:t>
      </w:r>
      <w:r w:rsidRPr="007653F2">
        <w:rPr>
          <w:rFonts w:ascii="Times New Roman" w:hAnsi="Times New Roman" w:cs="Times New Roman"/>
          <w:sz w:val="20"/>
          <w:szCs w:val="20"/>
          <w:lang w:val="de-DE"/>
        </w:rPr>
        <w:t>Aber das Licht hat in seiner unendlichen Expansion und der Kraft seiner schliessenden und belebenden Wirksamkeit wesentlich die Natur absoluter Negativität. Die Finsterniß dagegen, als Unmannichfaltiges oder der sich nicht selbst in sich unterscheidende Schoob der Erzeugung, ist das einfache mit sich identische, das Positive</w:t>
      </w:r>
      <w:r>
        <w:rPr>
          <w:rFonts w:ascii="Times New Roman" w:hAnsi="Times New Roman" w:cs="Times New Roman"/>
          <w:sz w:val="20"/>
          <w:szCs w:val="20"/>
          <w:lang w:val="de-DE"/>
        </w:rPr>
        <w:t xml:space="preserve"> […] So ist z. B. auch die Tugend nicht ohne Kampf; sie ist vielmehr der höchste, vollendete Kampf; so ist sie nicht nur das Positive, sondern absolute Negativität; sie ist auch nicht nur in Vergleichung mit dem Laster Tugend, sondern ist an ihr selbst Entgegensetzung und Bekämpfung – auch die Unschuld ist dieser Mangel der Tugend – nicht nur für eine äußere Reflexion von der Tugend unterschieden, sondern an sich selbst ihr entgegengesetzt, es ist böse. Das Böse besteht in dem Beruhen auf sich gegen das Gute; es ist die positive Negativität</w:t>
      </w:r>
      <w:r w:rsidRPr="007653F2">
        <w:rPr>
          <w:rFonts w:ascii="Times New Roman" w:eastAsia="Times New Roman" w:hAnsi="Times New Roman" w:cs="Times New Roman"/>
          <w:color w:val="000000"/>
          <w:sz w:val="20"/>
          <w:szCs w:val="20"/>
          <w:lang w:val="de-DE"/>
        </w:rPr>
        <w:t>».</w:t>
      </w:r>
      <w:r>
        <w:rPr>
          <w:rFonts w:ascii="Times New Roman" w:eastAsia="Times New Roman" w:hAnsi="Times New Roman" w:cs="Times New Roman"/>
          <w:color w:val="000000"/>
          <w:sz w:val="20"/>
          <w:szCs w:val="20"/>
          <w:lang w:val="de-DE"/>
        </w:rPr>
        <w:t xml:space="preserve"> </w:t>
      </w:r>
      <w:r w:rsidRPr="00042857">
        <w:rPr>
          <w:rFonts w:ascii="Times New Roman" w:eastAsia="Times New Roman" w:hAnsi="Times New Roman" w:cs="Times New Roman"/>
          <w:color w:val="000000"/>
          <w:sz w:val="20"/>
          <w:szCs w:val="20"/>
        </w:rPr>
        <w:t xml:space="preserve">Anche nella </w:t>
      </w:r>
      <w:r w:rsidRPr="00042857">
        <w:rPr>
          <w:rFonts w:ascii="Times New Roman" w:eastAsia="Times New Roman" w:hAnsi="Times New Roman" w:cs="Times New Roman"/>
          <w:i/>
          <w:color w:val="000000"/>
          <w:sz w:val="20"/>
          <w:szCs w:val="20"/>
          <w:lang w:val="de-DE"/>
        </w:rPr>
        <w:t>Logik des Seyns</w:t>
      </w:r>
      <w:r w:rsidRPr="00042857">
        <w:rPr>
          <w:rFonts w:ascii="Times New Roman" w:eastAsia="Times New Roman" w:hAnsi="Times New Roman" w:cs="Times New Roman"/>
          <w:color w:val="000000"/>
          <w:sz w:val="20"/>
          <w:szCs w:val="20"/>
        </w:rPr>
        <w:t xml:space="preserve">, Hegel utilizza l’immagine della luce e della tenebra per esplicare l’unità di essere e nulla. Rispetto a quel primo cominciamento del pensiero puro, l’essenza esibisce una compenetrazione di positivo e negativo tale per cui sia lo stesso positivo a porsi, proprio </w:t>
      </w:r>
      <w:r>
        <w:rPr>
          <w:rFonts w:ascii="Times New Roman" w:eastAsia="Times New Roman" w:hAnsi="Times New Roman" w:cs="Times New Roman"/>
          <w:color w:val="000000"/>
          <w:sz w:val="20"/>
          <w:szCs w:val="20"/>
        </w:rPr>
        <w:t>perché</w:t>
      </w:r>
      <w:r w:rsidRPr="00042857">
        <w:rPr>
          <w:rFonts w:ascii="Times New Roman" w:eastAsia="Times New Roman" w:hAnsi="Times New Roman" w:cs="Times New Roman"/>
          <w:color w:val="000000"/>
          <w:sz w:val="20"/>
          <w:szCs w:val="20"/>
        </w:rPr>
        <w:t xml:space="preserve"> intrinsecamente negativo, come l’altro da </w:t>
      </w:r>
      <w:r>
        <w:rPr>
          <w:rFonts w:ascii="Times New Roman" w:eastAsia="Times New Roman" w:hAnsi="Times New Roman" w:cs="Times New Roman"/>
          <w:color w:val="000000"/>
          <w:sz w:val="20"/>
          <w:szCs w:val="20"/>
        </w:rPr>
        <w:t>sé</w:t>
      </w:r>
      <w:r w:rsidRPr="00042857">
        <w:rPr>
          <w:rFonts w:ascii="Times New Roman" w:eastAsia="Times New Roman" w:hAnsi="Times New Roman" w:cs="Times New Roman"/>
          <w:color w:val="000000"/>
          <w:sz w:val="20"/>
          <w:szCs w:val="20"/>
        </w:rPr>
        <w:t xml:space="preserve">. Discorso analogo deve essere fatto per il negativo, che è, alla stregua del positivo, in </w:t>
      </w:r>
      <w:r>
        <w:rPr>
          <w:rFonts w:ascii="Times New Roman" w:eastAsia="Times New Roman" w:hAnsi="Times New Roman" w:cs="Times New Roman"/>
          <w:color w:val="000000"/>
          <w:sz w:val="20"/>
          <w:szCs w:val="20"/>
        </w:rPr>
        <w:t xml:space="preserve">sé </w:t>
      </w:r>
      <w:r w:rsidRPr="00042857">
        <w:rPr>
          <w:rFonts w:ascii="Times New Roman" w:eastAsia="Times New Roman" w:hAnsi="Times New Roman" w:cs="Times New Roman"/>
          <w:color w:val="000000"/>
          <w:sz w:val="20"/>
          <w:szCs w:val="20"/>
        </w:rPr>
        <w:t xml:space="preserve">contraddittorio. </w:t>
      </w:r>
      <w:r>
        <w:rPr>
          <w:rFonts w:ascii="Times New Roman" w:eastAsia="Times New Roman" w:hAnsi="Times New Roman" w:cs="Times New Roman"/>
          <w:color w:val="000000"/>
          <w:sz w:val="20"/>
          <w:szCs w:val="20"/>
        </w:rPr>
        <w:t xml:space="preserve">A livello della logica dell’essere, la negazione non è ancora colta come contraddizione, ma come semplice passare e dileguare nel proprio essere altro. È nella </w:t>
      </w:r>
      <w:r w:rsidRPr="00792682">
        <w:rPr>
          <w:rFonts w:ascii="Times New Roman" w:eastAsia="Times New Roman" w:hAnsi="Times New Roman" w:cs="Times New Roman"/>
          <w:color w:val="000000"/>
          <w:sz w:val="20"/>
          <w:szCs w:val="20"/>
        </w:rPr>
        <w:t>sfera dell’essenza, dunque, che viene mosso un passo decisivo per afferrare, a partire dall’inscindibilità di positivo e negativo, l’indeterminato come in sé determinantesi e moventesi, l’identità non tanto come astrattezza, quanto come sostrato in sé differenziato.</w:t>
      </w:r>
      <w:r>
        <w:rPr>
          <w:rFonts w:ascii="Times New Roman" w:eastAsia="Times New Roman" w:hAnsi="Times New Roman" w:cs="Times New Roman"/>
          <w:color w:val="000000"/>
          <w:sz w:val="20"/>
          <w:szCs w:val="20"/>
        </w:rPr>
        <w:t xml:space="preserve"> </w:t>
      </w:r>
    </w:p>
  </w:footnote>
  <w:footnote w:id="413">
    <w:p w14:paraId="1D7B8E07" w14:textId="77777777" w:rsidR="00B34CC2" w:rsidRPr="00D06B73" w:rsidRDefault="00B34CC2" w:rsidP="003C611F">
      <w:pPr>
        <w:pStyle w:val="Testonotaapidipagina"/>
        <w:jc w:val="both"/>
        <w:rPr>
          <w:rFonts w:ascii="Times New Roman" w:hAnsi="Times New Roman" w:cs="Times New Roman"/>
          <w:sz w:val="20"/>
          <w:szCs w:val="20"/>
        </w:rPr>
      </w:pPr>
      <w:r w:rsidRPr="00D06B73">
        <w:rPr>
          <w:rStyle w:val="Rimandonotaapidipagina"/>
          <w:rFonts w:ascii="Times New Roman" w:hAnsi="Times New Roman" w:cs="Times New Roman"/>
          <w:sz w:val="20"/>
          <w:szCs w:val="20"/>
        </w:rPr>
        <w:footnoteRef/>
      </w:r>
      <w:r>
        <w:rPr>
          <w:rFonts w:ascii="Times New Roman" w:hAnsi="Times New Roman" w:cs="Times New Roman"/>
          <w:sz w:val="20"/>
          <w:szCs w:val="20"/>
        </w:rPr>
        <w:t xml:space="preserve"> </w:t>
      </w:r>
      <w:r w:rsidRPr="00D06B73">
        <w:rPr>
          <w:rFonts w:ascii="Times New Roman" w:hAnsi="Times New Roman" w:cs="Times New Roman"/>
          <w:i/>
          <w:sz w:val="20"/>
          <w:szCs w:val="20"/>
        </w:rPr>
        <w:t>WdL I B</w:t>
      </w:r>
      <w:r>
        <w:rPr>
          <w:rFonts w:ascii="Times New Roman" w:hAnsi="Times New Roman" w:cs="Times New Roman"/>
          <w:sz w:val="20"/>
          <w:szCs w:val="20"/>
        </w:rPr>
        <w:t>, p. 54.</w:t>
      </w:r>
    </w:p>
  </w:footnote>
  <w:footnote w:id="414">
    <w:p w14:paraId="28045A37" w14:textId="77777777" w:rsidR="00B34CC2" w:rsidRPr="00B15D5E" w:rsidRDefault="00B34CC2" w:rsidP="003C611F">
      <w:pPr>
        <w:pStyle w:val="Testonotaapidipagina"/>
        <w:jc w:val="both"/>
        <w:rPr>
          <w:rFonts w:ascii="Times New Roman" w:hAnsi="Times New Roman" w:cs="Times New Roman"/>
          <w:sz w:val="20"/>
          <w:szCs w:val="20"/>
        </w:rPr>
      </w:pPr>
      <w:r w:rsidRPr="00B15D5E">
        <w:rPr>
          <w:rStyle w:val="Rimandonotaapidipagina"/>
          <w:rFonts w:ascii="Times New Roman" w:hAnsi="Times New Roman" w:cs="Times New Roman"/>
          <w:sz w:val="20"/>
          <w:szCs w:val="20"/>
        </w:rPr>
        <w:footnoteRef/>
      </w:r>
      <w:r w:rsidRPr="00B15D5E">
        <w:rPr>
          <w:rFonts w:ascii="Times New Roman" w:hAnsi="Times New Roman" w:cs="Times New Roman"/>
          <w:sz w:val="20"/>
          <w:szCs w:val="20"/>
        </w:rPr>
        <w:t xml:space="preserve"> </w:t>
      </w:r>
      <w:r>
        <w:rPr>
          <w:rFonts w:ascii="Times New Roman" w:hAnsi="Times New Roman" w:cs="Times New Roman"/>
          <w:sz w:val="20"/>
          <w:szCs w:val="20"/>
        </w:rPr>
        <w:t xml:space="preserve">Su questa sezione della </w:t>
      </w:r>
      <w:r w:rsidRPr="00B15D5E">
        <w:rPr>
          <w:rFonts w:ascii="Times New Roman" w:hAnsi="Times New Roman" w:cs="Times New Roman"/>
          <w:i/>
          <w:sz w:val="20"/>
          <w:szCs w:val="20"/>
        </w:rPr>
        <w:t>Wesenslogik</w:t>
      </w:r>
      <w:r>
        <w:rPr>
          <w:rFonts w:ascii="Times New Roman" w:hAnsi="Times New Roman" w:cs="Times New Roman"/>
          <w:sz w:val="20"/>
          <w:szCs w:val="20"/>
        </w:rPr>
        <w:t xml:space="preserve">, che è stata e continua ad essere oggetto d’interesse della critica, si veda in particolare </w:t>
      </w:r>
      <w:r w:rsidRPr="00387969">
        <w:rPr>
          <w:rFonts w:ascii="Times New Roman" w:hAnsi="Times New Roman" w:cs="Times New Roman"/>
          <w:sz w:val="20"/>
          <w:szCs w:val="20"/>
        </w:rPr>
        <w:t xml:space="preserve">E. </w:t>
      </w:r>
      <w:r w:rsidRPr="00387969">
        <w:rPr>
          <w:rFonts w:ascii="Times New Roman" w:hAnsi="Times New Roman"/>
          <w:sz w:val="20"/>
          <w:szCs w:val="20"/>
        </w:rPr>
        <w:t>Fleischmann</w:t>
      </w:r>
      <w:r w:rsidRPr="00387969">
        <w:rPr>
          <w:rStyle w:val="eintragtitel"/>
          <w:rFonts w:ascii="Times New Roman" w:hAnsi="Times New Roman"/>
          <w:iCs/>
          <w:color w:val="000000"/>
          <w:sz w:val="20"/>
          <w:szCs w:val="20"/>
        </w:rPr>
        <w:t>,</w:t>
      </w:r>
      <w:r w:rsidRPr="00387969">
        <w:rPr>
          <w:rStyle w:val="eintragtitel"/>
          <w:rFonts w:ascii="Times New Roman" w:hAnsi="Times New Roman"/>
          <w:i/>
          <w:iCs/>
          <w:color w:val="000000"/>
          <w:sz w:val="20"/>
          <w:szCs w:val="20"/>
        </w:rPr>
        <w:t xml:space="preserve"> Die Wirklichkeit in </w:t>
      </w:r>
      <w:r w:rsidRPr="00387969">
        <w:rPr>
          <w:rStyle w:val="apple-converted-space"/>
          <w:rFonts w:ascii="Times New Roman" w:hAnsi="Times New Roman"/>
          <w:i/>
          <w:iCs/>
          <w:color w:val="000000"/>
          <w:sz w:val="20"/>
          <w:szCs w:val="20"/>
        </w:rPr>
        <w:t>Hegel</w:t>
      </w:r>
      <w:r w:rsidRPr="00387969">
        <w:rPr>
          <w:rStyle w:val="eintragtitel"/>
          <w:rFonts w:ascii="Times New Roman" w:hAnsi="Times New Roman"/>
          <w:i/>
          <w:iCs/>
          <w:color w:val="000000"/>
          <w:sz w:val="20"/>
          <w:szCs w:val="20"/>
        </w:rPr>
        <w:t>s Logik: Ideengeschichtliche Beziehungen zu</w:t>
      </w:r>
      <w:r w:rsidRPr="00387969">
        <w:rPr>
          <w:rStyle w:val="apple-converted-space"/>
          <w:rFonts w:ascii="Times New Roman" w:hAnsi="Times New Roman"/>
          <w:i/>
          <w:iCs/>
          <w:color w:val="000000"/>
          <w:sz w:val="20"/>
          <w:szCs w:val="20"/>
        </w:rPr>
        <w:t xml:space="preserve"> Spinoza, </w:t>
      </w:r>
      <w:r w:rsidRPr="00387969">
        <w:rPr>
          <w:rStyle w:val="eintraglabel"/>
          <w:rFonts w:ascii="Times New Roman" w:hAnsi="Times New Roman"/>
          <w:iCs/>
          <w:color w:val="444444"/>
          <w:sz w:val="20"/>
          <w:szCs w:val="20"/>
        </w:rPr>
        <w:t xml:space="preserve">in </w:t>
      </w:r>
      <w:r>
        <w:rPr>
          <w:rStyle w:val="eintraglabel"/>
          <w:rFonts w:ascii="Times New Roman" w:hAnsi="Times New Roman"/>
          <w:iCs/>
          <w:color w:val="444444"/>
          <w:sz w:val="20"/>
          <w:szCs w:val="20"/>
        </w:rPr>
        <w:t>«</w:t>
      </w:r>
      <w:r w:rsidRPr="00387969">
        <w:rPr>
          <w:rFonts w:ascii="Times New Roman" w:hAnsi="Times New Roman"/>
          <w:color w:val="000000"/>
          <w:sz w:val="20"/>
          <w:szCs w:val="20"/>
        </w:rPr>
        <w:t>Zeitschrift für philosophische Forschung</w:t>
      </w:r>
      <w:r w:rsidRPr="006A2156">
        <w:rPr>
          <w:rFonts w:ascii="Times New Roman" w:hAnsi="Times New Roman" w:cs="Times New Roman"/>
          <w:sz w:val="20"/>
          <w:szCs w:val="20"/>
          <w:lang w:val="en-GB"/>
        </w:rPr>
        <w:t>»</w:t>
      </w:r>
      <w:r w:rsidRPr="00387969">
        <w:rPr>
          <w:rFonts w:ascii="Times New Roman" w:hAnsi="Times New Roman"/>
          <w:color w:val="000000"/>
          <w:sz w:val="20"/>
          <w:szCs w:val="20"/>
        </w:rPr>
        <w:t>,</w:t>
      </w:r>
      <w:r>
        <w:rPr>
          <w:rFonts w:ascii="Times New Roman" w:hAnsi="Times New Roman"/>
          <w:color w:val="000000"/>
          <w:sz w:val="20"/>
          <w:szCs w:val="20"/>
        </w:rPr>
        <w:t xml:space="preserve"> n. 18 (1964),</w:t>
      </w:r>
      <w:r w:rsidRPr="00387969">
        <w:rPr>
          <w:rFonts w:ascii="Times New Roman" w:hAnsi="Times New Roman"/>
          <w:color w:val="000000"/>
          <w:sz w:val="20"/>
          <w:szCs w:val="20"/>
        </w:rPr>
        <w:t xml:space="preserve"> pp. 3-29</w:t>
      </w:r>
      <w:r>
        <w:rPr>
          <w:rFonts w:ascii="Times New Roman" w:hAnsi="Times New Roman"/>
          <w:color w:val="000000"/>
          <w:sz w:val="20"/>
          <w:szCs w:val="20"/>
        </w:rPr>
        <w:t xml:space="preserve">; K. Hartmann, </w:t>
      </w:r>
      <w:r>
        <w:rPr>
          <w:rFonts w:ascii="Times New Roman" w:hAnsi="Times New Roman"/>
          <w:i/>
          <w:color w:val="000000"/>
          <w:sz w:val="20"/>
          <w:szCs w:val="20"/>
        </w:rPr>
        <w:t>Hegels Logik</w:t>
      </w:r>
      <w:r>
        <w:rPr>
          <w:rFonts w:ascii="Times New Roman" w:hAnsi="Times New Roman"/>
          <w:color w:val="000000"/>
          <w:sz w:val="20"/>
          <w:szCs w:val="20"/>
        </w:rPr>
        <w:t>, cit., pp. 250-285;</w:t>
      </w:r>
      <w:r>
        <w:rPr>
          <w:rFonts w:ascii="Times New Roman" w:hAnsi="Times New Roman" w:cs="Times New Roman"/>
          <w:sz w:val="20"/>
          <w:szCs w:val="20"/>
        </w:rPr>
        <w:t xml:space="preserve"> L. Lugarini, </w:t>
      </w:r>
      <w:r>
        <w:rPr>
          <w:rFonts w:ascii="Times New Roman" w:hAnsi="Times New Roman" w:cs="Times New Roman"/>
          <w:i/>
          <w:sz w:val="20"/>
          <w:szCs w:val="20"/>
        </w:rPr>
        <w:t>Orizzonti hegeliani di comprensione dell’essere</w:t>
      </w:r>
      <w:r>
        <w:rPr>
          <w:rFonts w:ascii="Times New Roman" w:hAnsi="Times New Roman" w:cs="Times New Roman"/>
          <w:sz w:val="20"/>
          <w:szCs w:val="20"/>
        </w:rPr>
        <w:t xml:space="preserve">, cit., pp. 369-429; </w:t>
      </w:r>
      <w:r w:rsidRPr="00B248C8">
        <w:rPr>
          <w:rFonts w:ascii="Times New Roman" w:hAnsi="Times New Roman" w:cs="Times New Roman"/>
          <w:sz w:val="20"/>
          <w:szCs w:val="20"/>
        </w:rPr>
        <w:t xml:space="preserve">H. Haagen, </w:t>
      </w:r>
      <w:r w:rsidRPr="00B248C8">
        <w:rPr>
          <w:rFonts w:ascii="Times New Roman" w:hAnsi="Times New Roman" w:cs="Times New Roman"/>
          <w:bCs/>
          <w:i/>
          <w:sz w:val="20"/>
          <w:szCs w:val="20"/>
        </w:rPr>
        <w:t>Die Logik der Wirklichkeit:eine Entwicklung vom Absoluten bis zur Wechselwirkung</w:t>
      </w:r>
      <w:r w:rsidRPr="00B248C8">
        <w:rPr>
          <w:rFonts w:ascii="Times New Roman" w:hAnsi="Times New Roman" w:cs="Times New Roman"/>
          <w:bCs/>
          <w:sz w:val="20"/>
          <w:szCs w:val="20"/>
        </w:rPr>
        <w:t xml:space="preserve">, in </w:t>
      </w:r>
      <w:r w:rsidRPr="00B248C8">
        <w:rPr>
          <w:rFonts w:ascii="Times" w:hAnsi="Times" w:cs="Times"/>
          <w:bCs/>
          <w:i/>
          <w:sz w:val="20"/>
          <w:szCs w:val="20"/>
        </w:rPr>
        <w:t>Hegels „Lehre vom Wesen“</w:t>
      </w:r>
      <w:r w:rsidRPr="00B248C8">
        <w:rPr>
          <w:rFonts w:ascii="Times" w:hAnsi="Times" w:cs="Times"/>
          <w:bCs/>
          <w:sz w:val="20"/>
          <w:szCs w:val="20"/>
        </w:rPr>
        <w:t>, hrsg. von A. Arndt, M. Gerhard und J. Zovko, Berlin-Boston,</w:t>
      </w:r>
      <w:r>
        <w:rPr>
          <w:rFonts w:ascii="Times" w:hAnsi="Times" w:cs="Times"/>
          <w:bCs/>
          <w:sz w:val="20"/>
          <w:szCs w:val="20"/>
        </w:rPr>
        <w:t xml:space="preserve"> </w:t>
      </w:r>
      <w:r w:rsidRPr="00B248C8">
        <w:rPr>
          <w:rFonts w:ascii="Times" w:hAnsi="Times" w:cs="Times"/>
          <w:bCs/>
          <w:sz w:val="20"/>
          <w:szCs w:val="20"/>
        </w:rPr>
        <w:t>De Gruyter, 2016, pp. 129-159</w:t>
      </w:r>
      <w:r>
        <w:rPr>
          <w:rFonts w:ascii="Times" w:hAnsi="Times" w:cs="Times"/>
          <w:bCs/>
          <w:sz w:val="20"/>
          <w:szCs w:val="20"/>
        </w:rPr>
        <w:t xml:space="preserve">; </w:t>
      </w:r>
      <w:r w:rsidRPr="00B248C8">
        <w:rPr>
          <w:rFonts w:ascii="Times New Roman" w:hAnsi="Times New Roman"/>
          <w:sz w:val="20"/>
          <w:szCs w:val="20"/>
        </w:rPr>
        <w:t xml:space="preserve">J. Mctaggart, </w:t>
      </w:r>
      <w:r w:rsidRPr="00B248C8">
        <w:rPr>
          <w:rFonts w:ascii="Times New Roman" w:hAnsi="Times New Roman"/>
          <w:i/>
          <w:sz w:val="20"/>
          <w:szCs w:val="20"/>
        </w:rPr>
        <w:t>A commentary on Hegel’s logic</w:t>
      </w:r>
      <w:r w:rsidRPr="00B248C8">
        <w:rPr>
          <w:rFonts w:ascii="Times New Roman" w:hAnsi="Times New Roman"/>
          <w:sz w:val="20"/>
          <w:szCs w:val="20"/>
        </w:rPr>
        <w:t>, Cambridge, Cambridge University Press, 1910, pp. 155-187</w:t>
      </w:r>
      <w:r>
        <w:rPr>
          <w:rFonts w:ascii="Times New Roman" w:hAnsi="Times New Roman"/>
          <w:sz w:val="20"/>
          <w:szCs w:val="20"/>
        </w:rPr>
        <w:t>;</w:t>
      </w:r>
      <w:r w:rsidRPr="003C5F15">
        <w:rPr>
          <w:rFonts w:ascii="Times" w:eastAsia="Times New Roman" w:hAnsi="Times" w:cs="Times New Roman"/>
          <w:sz w:val="20"/>
          <w:szCs w:val="20"/>
        </w:rPr>
        <w:t xml:space="preserve"> </w:t>
      </w:r>
      <w:r w:rsidRPr="00B248C8">
        <w:rPr>
          <w:rFonts w:ascii="Times" w:eastAsia="Times New Roman" w:hAnsi="Times" w:cs="Times New Roman"/>
          <w:sz w:val="20"/>
          <w:szCs w:val="20"/>
        </w:rPr>
        <w:t xml:space="preserve">S. V. Palermo, </w:t>
      </w:r>
      <w:r w:rsidRPr="00B248C8">
        <w:rPr>
          <w:rFonts w:ascii="Times" w:eastAsia="Times New Roman" w:hAnsi="Times" w:cs="Times New Roman"/>
          <w:i/>
          <w:sz w:val="20"/>
          <w:szCs w:val="20"/>
        </w:rPr>
        <w:t>La sostanza come genesi del concetto. Sulla lettura hegeliana di Spinoza nella ‘Wesenslogik’</w:t>
      </w:r>
      <w:r w:rsidRPr="00B248C8">
        <w:rPr>
          <w:rFonts w:ascii="Times New Roman" w:hAnsi="Times New Roman" w:cs="Times New Roman"/>
          <w:sz w:val="20"/>
          <w:szCs w:val="20"/>
        </w:rPr>
        <w:t xml:space="preserve">, </w:t>
      </w:r>
      <w:r>
        <w:rPr>
          <w:rFonts w:ascii="Times New Roman" w:hAnsi="Times New Roman" w:cs="Times New Roman"/>
          <w:sz w:val="20"/>
          <w:szCs w:val="20"/>
        </w:rPr>
        <w:t xml:space="preserve">in </w:t>
      </w:r>
      <w:r w:rsidRPr="00B248C8">
        <w:rPr>
          <w:rFonts w:ascii="Times New Roman" w:hAnsi="Times New Roman" w:cs="Times New Roman"/>
          <w:i/>
          <w:sz w:val="20"/>
          <w:szCs w:val="20"/>
        </w:rPr>
        <w:t>System und Logik bei Hegel</w:t>
      </w:r>
      <w:r w:rsidRPr="00B248C8">
        <w:rPr>
          <w:rFonts w:ascii="Times New Roman" w:hAnsi="Times New Roman" w:cs="Times New Roman"/>
          <w:sz w:val="20"/>
          <w:szCs w:val="20"/>
        </w:rPr>
        <w:t>, a cura di L. Fonnesu e L. Ziglioli</w:t>
      </w:r>
      <w:r>
        <w:rPr>
          <w:rFonts w:ascii="Times New Roman" w:hAnsi="Times New Roman" w:cs="Times New Roman"/>
          <w:sz w:val="20"/>
          <w:szCs w:val="20"/>
        </w:rPr>
        <w:t>,</w:t>
      </w:r>
      <w:r w:rsidRPr="00B248C8">
        <w:rPr>
          <w:rFonts w:ascii="Times New Roman" w:hAnsi="Times New Roman" w:cs="Times New Roman"/>
          <w:sz w:val="20"/>
          <w:szCs w:val="20"/>
        </w:rPr>
        <w:t xml:space="preserve"> Hildesheim, Olms, 2016, pp. 155-233</w:t>
      </w:r>
      <w:r>
        <w:rPr>
          <w:rFonts w:ascii="Times New Roman" w:hAnsi="Times New Roman" w:cs="Times New Roman"/>
          <w:sz w:val="20"/>
          <w:szCs w:val="20"/>
        </w:rPr>
        <w:t xml:space="preserve">; </w:t>
      </w:r>
      <w:r w:rsidRPr="00387969">
        <w:rPr>
          <w:rFonts w:ascii="Times New Roman" w:hAnsi="Times New Roman" w:cs="Times New Roman"/>
          <w:sz w:val="20"/>
          <w:szCs w:val="20"/>
        </w:rPr>
        <w:t xml:space="preserve">B. Sandkaulen, </w:t>
      </w:r>
      <w:r w:rsidRPr="00387969">
        <w:rPr>
          <w:rFonts w:ascii="Times New Roman" w:eastAsia="Times New Roman" w:hAnsi="Times New Roman" w:cs="Times New Roman"/>
          <w:i/>
          <w:color w:val="222222"/>
          <w:sz w:val="20"/>
          <w:szCs w:val="20"/>
          <w:shd w:val="clear" w:color="auto" w:fill="FFFFFF"/>
        </w:rPr>
        <w:t>Die Ontologie der Substanz, der Begriff der Subjektivität und die Faktizität des Einzelnen. Hegels Widerlegung des Spinozanischen Metaphysik</w:t>
      </w:r>
      <w:r w:rsidRPr="00387969">
        <w:rPr>
          <w:rFonts w:ascii="Times New Roman" w:eastAsia="Times New Roman" w:hAnsi="Times New Roman" w:cs="Times New Roman"/>
          <w:color w:val="222222"/>
          <w:sz w:val="20"/>
          <w:szCs w:val="20"/>
          <w:shd w:val="clear" w:color="auto" w:fill="FFFFFF"/>
        </w:rPr>
        <w:t xml:space="preserve">, in </w:t>
      </w:r>
      <w:r w:rsidRPr="00387969">
        <w:rPr>
          <w:rFonts w:ascii="Times New Roman" w:eastAsia="Times New Roman" w:hAnsi="Times New Roman" w:cs="Times New Roman"/>
          <w:i/>
          <w:color w:val="222222"/>
          <w:sz w:val="20"/>
          <w:szCs w:val="20"/>
          <w:shd w:val="clear" w:color="auto" w:fill="FFFFFF"/>
        </w:rPr>
        <w:t>Internationales Jahrbuch des Deutschen Idealismus,</w:t>
      </w:r>
      <w:r w:rsidRPr="00387969">
        <w:rPr>
          <w:rFonts w:ascii="Times New Roman" w:eastAsia="Times New Roman" w:hAnsi="Times New Roman" w:cs="Times New Roman"/>
          <w:color w:val="222222"/>
          <w:sz w:val="20"/>
          <w:szCs w:val="20"/>
          <w:shd w:val="clear" w:color="auto" w:fill="FFFFFF"/>
        </w:rPr>
        <w:t xml:space="preserve"> hrsg. von D. Emundts und S. Sedgwick, Berlin</w:t>
      </w:r>
      <w:r>
        <w:rPr>
          <w:rFonts w:ascii="Times New Roman" w:eastAsia="Times New Roman" w:hAnsi="Times New Roman" w:cs="Times New Roman"/>
          <w:color w:val="222222"/>
          <w:sz w:val="20"/>
          <w:szCs w:val="20"/>
          <w:shd w:val="clear" w:color="auto" w:fill="FFFFFF"/>
        </w:rPr>
        <w:t xml:space="preserve">, </w:t>
      </w:r>
      <w:r w:rsidRPr="00387969">
        <w:rPr>
          <w:rFonts w:ascii="Times New Roman" w:eastAsia="Times New Roman" w:hAnsi="Times New Roman" w:cs="Times New Roman"/>
          <w:color w:val="222222"/>
          <w:sz w:val="20"/>
          <w:szCs w:val="20"/>
          <w:shd w:val="clear" w:color="auto" w:fill="FFFFFF"/>
        </w:rPr>
        <w:t>De Gruyter, 2007, pp. 235-275</w:t>
      </w:r>
      <w:r>
        <w:rPr>
          <w:rFonts w:ascii="Times New Roman" w:eastAsia="Times New Roman" w:hAnsi="Times New Roman" w:cs="Times New Roman"/>
          <w:color w:val="222222"/>
          <w:sz w:val="20"/>
          <w:szCs w:val="20"/>
          <w:shd w:val="clear" w:color="auto" w:fill="FFFFFF"/>
        </w:rPr>
        <w:t xml:space="preserve">; </w:t>
      </w:r>
      <w:r w:rsidRPr="00B248C8">
        <w:rPr>
          <w:rFonts w:ascii="Times New Roman" w:hAnsi="Times New Roman" w:cs="Times New Roman"/>
          <w:sz w:val="20"/>
          <w:szCs w:val="20"/>
        </w:rPr>
        <w:t xml:space="preserve">G. M. Wölfe, </w:t>
      </w:r>
      <w:r w:rsidRPr="00B248C8">
        <w:rPr>
          <w:rFonts w:ascii="Times New Roman" w:hAnsi="Times New Roman" w:cs="Times New Roman"/>
          <w:i/>
          <w:sz w:val="20"/>
          <w:szCs w:val="20"/>
        </w:rPr>
        <w:t xml:space="preserve">Die Wesenlogik in Hegels Wissenschaft </w:t>
      </w:r>
      <w:r w:rsidRPr="003C5F15">
        <w:rPr>
          <w:rFonts w:ascii="Times New Roman" w:hAnsi="Times New Roman" w:cs="Times New Roman"/>
          <w:i/>
          <w:sz w:val="20"/>
          <w:szCs w:val="20"/>
        </w:rPr>
        <w:t>der Logik</w:t>
      </w:r>
      <w:r w:rsidRPr="00B248C8">
        <w:rPr>
          <w:rFonts w:ascii="Times New Roman" w:hAnsi="Times New Roman" w:cs="Times New Roman"/>
          <w:sz w:val="20"/>
          <w:szCs w:val="20"/>
        </w:rPr>
        <w:t>,</w:t>
      </w:r>
      <w:r>
        <w:rPr>
          <w:rFonts w:ascii="Times New Roman" w:hAnsi="Times New Roman" w:cs="Times New Roman"/>
          <w:sz w:val="20"/>
          <w:szCs w:val="20"/>
        </w:rPr>
        <w:t xml:space="preserve"> cit., pp. 404-459.</w:t>
      </w:r>
    </w:p>
  </w:footnote>
  <w:footnote w:id="415">
    <w:p w14:paraId="4A05C83F" w14:textId="783AB8FB" w:rsidR="00B34CC2" w:rsidRPr="00A6212A" w:rsidRDefault="00B34CC2" w:rsidP="003C611F">
      <w:pPr>
        <w:pStyle w:val="Testonotaapidipagina"/>
        <w:jc w:val="both"/>
        <w:rPr>
          <w:rFonts w:ascii="Times New Roman" w:hAnsi="Times New Roman" w:cs="Times New Roman"/>
          <w:sz w:val="20"/>
          <w:szCs w:val="20"/>
        </w:rPr>
      </w:pPr>
      <w:r w:rsidRPr="00A6212A">
        <w:rPr>
          <w:rStyle w:val="Rimandonotaapidipagina"/>
          <w:rFonts w:ascii="Times New Roman" w:hAnsi="Times New Roman" w:cs="Times New Roman"/>
          <w:sz w:val="20"/>
          <w:szCs w:val="20"/>
        </w:rPr>
        <w:footnoteRef/>
      </w:r>
      <w:r w:rsidRPr="00A6212A">
        <w:rPr>
          <w:rFonts w:ascii="Times New Roman" w:hAnsi="Times New Roman" w:cs="Times New Roman"/>
          <w:sz w:val="20"/>
          <w:szCs w:val="20"/>
        </w:rPr>
        <w:t xml:space="preserve"> </w:t>
      </w:r>
      <w:r w:rsidRPr="00A6212A">
        <w:rPr>
          <w:rFonts w:ascii="Times New Roman" w:hAnsi="Times New Roman" w:cs="Times New Roman"/>
          <w:i/>
          <w:sz w:val="20"/>
          <w:szCs w:val="20"/>
        </w:rPr>
        <w:t>WdL I</w:t>
      </w:r>
      <w:r>
        <w:rPr>
          <w:rFonts w:ascii="Times New Roman" w:hAnsi="Times New Roman" w:cs="Times New Roman"/>
          <w:i/>
          <w:sz w:val="20"/>
          <w:szCs w:val="20"/>
        </w:rPr>
        <w:t xml:space="preserve"> A</w:t>
      </w:r>
      <w:r>
        <w:rPr>
          <w:rFonts w:ascii="Times New Roman" w:hAnsi="Times New Roman" w:cs="Times New Roman"/>
          <w:sz w:val="20"/>
          <w:szCs w:val="20"/>
        </w:rPr>
        <w:t>, p 369.</w:t>
      </w:r>
    </w:p>
  </w:footnote>
  <w:footnote w:id="416">
    <w:p w14:paraId="5ADFF1AD" w14:textId="77777777" w:rsidR="00B34CC2" w:rsidRPr="008D7FE9" w:rsidRDefault="00B34CC2" w:rsidP="003C611F">
      <w:pPr>
        <w:pStyle w:val="Testonotaapidipagina"/>
        <w:jc w:val="both"/>
        <w:rPr>
          <w:rFonts w:ascii="Times New Roman" w:hAnsi="Times New Roman" w:cs="Times New Roman"/>
          <w:sz w:val="20"/>
          <w:szCs w:val="20"/>
        </w:rPr>
      </w:pPr>
      <w:r w:rsidRPr="008D7FE9">
        <w:rPr>
          <w:rStyle w:val="Rimandonotaapidipagina"/>
          <w:rFonts w:ascii="Times New Roman" w:hAnsi="Times New Roman" w:cs="Times New Roman"/>
          <w:sz w:val="20"/>
          <w:szCs w:val="20"/>
        </w:rPr>
        <w:footnoteRef/>
      </w:r>
      <w:r>
        <w:t xml:space="preserve"> </w:t>
      </w:r>
      <w:r>
        <w:rPr>
          <w:rFonts w:ascii="Times New Roman" w:hAnsi="Times New Roman" w:cs="Times New Roman"/>
          <w:i/>
          <w:sz w:val="20"/>
          <w:szCs w:val="20"/>
        </w:rPr>
        <w:t>Ibidem.</w:t>
      </w:r>
    </w:p>
  </w:footnote>
  <w:footnote w:id="417">
    <w:p w14:paraId="5C475D0D" w14:textId="77777777" w:rsidR="00B34CC2" w:rsidRPr="0056234A" w:rsidRDefault="00B34CC2" w:rsidP="003C611F">
      <w:pPr>
        <w:pStyle w:val="Testonotaapidipagina"/>
        <w:jc w:val="both"/>
        <w:rPr>
          <w:rFonts w:ascii="Times New Roman" w:hAnsi="Times New Roman" w:cs="Times New Roman"/>
          <w:sz w:val="20"/>
          <w:szCs w:val="20"/>
        </w:rPr>
      </w:pPr>
      <w:r w:rsidRPr="0056234A">
        <w:rPr>
          <w:rStyle w:val="Rimandonotaapidipagina"/>
          <w:rFonts w:ascii="Times New Roman" w:hAnsi="Times New Roman" w:cs="Times New Roman"/>
          <w:sz w:val="20"/>
          <w:szCs w:val="20"/>
        </w:rPr>
        <w:footnoteRef/>
      </w:r>
      <w:r w:rsidRPr="0056234A">
        <w:rPr>
          <w:rFonts w:ascii="Times New Roman" w:hAnsi="Times New Roman" w:cs="Times New Roman"/>
          <w:sz w:val="20"/>
          <w:szCs w:val="20"/>
        </w:rPr>
        <w:t xml:space="preserve"> </w:t>
      </w:r>
      <w:r>
        <w:rPr>
          <w:rFonts w:ascii="Times New Roman" w:hAnsi="Times New Roman" w:cs="Times New Roman"/>
          <w:i/>
          <w:sz w:val="20"/>
          <w:szCs w:val="20"/>
        </w:rPr>
        <w:t>Ivi</w:t>
      </w:r>
      <w:r>
        <w:rPr>
          <w:rFonts w:ascii="Times New Roman" w:hAnsi="Times New Roman" w:cs="Times New Roman"/>
          <w:sz w:val="20"/>
          <w:szCs w:val="20"/>
        </w:rPr>
        <w:t>, p. 370.</w:t>
      </w:r>
    </w:p>
  </w:footnote>
  <w:footnote w:id="418">
    <w:p w14:paraId="38C9A872" w14:textId="77777777" w:rsidR="00B34CC2" w:rsidRPr="00DF26D7" w:rsidRDefault="00B34CC2" w:rsidP="003C611F">
      <w:pPr>
        <w:pStyle w:val="Testonotaapidipagina"/>
        <w:jc w:val="both"/>
        <w:rPr>
          <w:rFonts w:ascii="Times New Roman" w:hAnsi="Times New Roman" w:cs="Times New Roman"/>
          <w:sz w:val="20"/>
          <w:szCs w:val="20"/>
        </w:rPr>
      </w:pPr>
      <w:r w:rsidRPr="00DF26D7">
        <w:rPr>
          <w:rStyle w:val="Rimandonotaapidipagina"/>
          <w:rFonts w:ascii="Times New Roman" w:hAnsi="Times New Roman" w:cs="Times New Roman"/>
          <w:sz w:val="20"/>
          <w:szCs w:val="20"/>
        </w:rPr>
        <w:footnoteRef/>
      </w:r>
      <w:r w:rsidRPr="00DF26D7">
        <w:rPr>
          <w:rFonts w:ascii="Times New Roman" w:hAnsi="Times New Roman" w:cs="Times New Roman"/>
          <w:sz w:val="20"/>
          <w:szCs w:val="20"/>
        </w:rPr>
        <w:t xml:space="preserve"> </w:t>
      </w:r>
      <w:r w:rsidRPr="00DF26D7">
        <w:rPr>
          <w:rFonts w:ascii="Times New Roman" w:hAnsi="Times New Roman" w:cs="Times New Roman"/>
          <w:i/>
          <w:sz w:val="20"/>
          <w:szCs w:val="20"/>
        </w:rPr>
        <w:t>Ibidem</w:t>
      </w:r>
      <w:r w:rsidRPr="00DF26D7">
        <w:rPr>
          <w:rFonts w:ascii="Times New Roman" w:hAnsi="Times New Roman" w:cs="Times New Roman"/>
          <w:sz w:val="20"/>
          <w:szCs w:val="20"/>
        </w:rPr>
        <w:t>.</w:t>
      </w:r>
    </w:p>
  </w:footnote>
  <w:footnote w:id="419">
    <w:p w14:paraId="2B4FE665" w14:textId="77777777" w:rsidR="00B34CC2" w:rsidRPr="00990B7B" w:rsidRDefault="00B34CC2" w:rsidP="003C611F">
      <w:pPr>
        <w:pStyle w:val="Testonotaapidipagina"/>
        <w:jc w:val="both"/>
        <w:rPr>
          <w:rFonts w:ascii="Times New Roman" w:hAnsi="Times New Roman" w:cs="Times New Roman"/>
          <w:sz w:val="20"/>
          <w:szCs w:val="20"/>
        </w:rPr>
      </w:pPr>
      <w:r w:rsidRPr="00990B7B">
        <w:rPr>
          <w:rStyle w:val="Rimandonotaapidipagina"/>
          <w:rFonts w:ascii="Times New Roman" w:hAnsi="Times New Roman" w:cs="Times New Roman"/>
          <w:sz w:val="20"/>
          <w:szCs w:val="20"/>
        </w:rPr>
        <w:footnoteRef/>
      </w:r>
      <w:r w:rsidRPr="00990B7B">
        <w:rPr>
          <w:rFonts w:ascii="Times New Roman" w:hAnsi="Times New Roman" w:cs="Times New Roman"/>
          <w:sz w:val="20"/>
          <w:szCs w:val="20"/>
        </w:rPr>
        <w:t xml:space="preserve"> </w:t>
      </w:r>
      <w:r>
        <w:rPr>
          <w:rFonts w:ascii="Times New Roman" w:hAnsi="Times New Roman" w:cs="Times New Roman"/>
          <w:i/>
          <w:sz w:val="20"/>
          <w:szCs w:val="20"/>
        </w:rPr>
        <w:t>Ivi</w:t>
      </w:r>
      <w:r>
        <w:rPr>
          <w:rFonts w:ascii="Times New Roman" w:hAnsi="Times New Roman" w:cs="Times New Roman"/>
          <w:sz w:val="20"/>
          <w:szCs w:val="20"/>
        </w:rPr>
        <w:t>, p. 371.</w:t>
      </w:r>
    </w:p>
  </w:footnote>
  <w:footnote w:id="420">
    <w:p w14:paraId="33468762" w14:textId="77777777" w:rsidR="00B34CC2" w:rsidRPr="001E16A6" w:rsidRDefault="00B34CC2" w:rsidP="003C611F">
      <w:pPr>
        <w:pStyle w:val="Testonotaapidipagina"/>
        <w:jc w:val="both"/>
        <w:rPr>
          <w:rFonts w:ascii="Times New Roman" w:hAnsi="Times New Roman" w:cs="Times New Roman"/>
          <w:sz w:val="20"/>
          <w:szCs w:val="20"/>
        </w:rPr>
      </w:pPr>
      <w:r w:rsidRPr="001E16A6">
        <w:rPr>
          <w:rStyle w:val="Rimandonotaapidipagina"/>
          <w:rFonts w:ascii="Times New Roman" w:hAnsi="Times New Roman" w:cs="Times New Roman"/>
          <w:sz w:val="20"/>
          <w:szCs w:val="20"/>
        </w:rPr>
        <w:footnoteRef/>
      </w:r>
      <w:r w:rsidRPr="001E16A6">
        <w:rPr>
          <w:rFonts w:ascii="Times New Roman" w:hAnsi="Times New Roman" w:cs="Times New Roman"/>
          <w:sz w:val="20"/>
          <w:szCs w:val="20"/>
        </w:rPr>
        <w:t xml:space="preserve"> </w:t>
      </w:r>
      <w:r w:rsidRPr="00DF26D7">
        <w:rPr>
          <w:rFonts w:ascii="Times New Roman" w:hAnsi="Times New Roman" w:cs="Times New Roman"/>
          <w:i/>
          <w:sz w:val="20"/>
          <w:szCs w:val="20"/>
        </w:rPr>
        <w:t>Ibidem</w:t>
      </w:r>
      <w:r>
        <w:rPr>
          <w:rFonts w:ascii="Times New Roman" w:hAnsi="Times New Roman" w:cs="Times New Roman"/>
          <w:sz w:val="20"/>
          <w:szCs w:val="20"/>
        </w:rPr>
        <w:t>.</w:t>
      </w:r>
    </w:p>
  </w:footnote>
  <w:footnote w:id="421">
    <w:p w14:paraId="33C49A83" w14:textId="77777777" w:rsidR="00B34CC2" w:rsidRPr="006B0FA9" w:rsidRDefault="00B34CC2" w:rsidP="003C611F">
      <w:pPr>
        <w:pStyle w:val="Testonotaapidipagina"/>
        <w:jc w:val="both"/>
        <w:rPr>
          <w:rFonts w:ascii="Times New Roman" w:hAnsi="Times New Roman" w:cs="Times New Roman"/>
          <w:sz w:val="20"/>
          <w:szCs w:val="20"/>
        </w:rPr>
      </w:pPr>
      <w:r w:rsidRPr="006B0FA9">
        <w:rPr>
          <w:rStyle w:val="Rimandonotaapidipagina"/>
          <w:rFonts w:ascii="Times New Roman" w:hAnsi="Times New Roman" w:cs="Times New Roman"/>
          <w:sz w:val="20"/>
          <w:szCs w:val="20"/>
        </w:rPr>
        <w:footnoteRef/>
      </w:r>
      <w:r w:rsidRPr="006B0FA9">
        <w:rPr>
          <w:rFonts w:ascii="Times New Roman" w:hAnsi="Times New Roman" w:cs="Times New Roman"/>
          <w:sz w:val="20"/>
          <w:szCs w:val="20"/>
        </w:rPr>
        <w:t xml:space="preserve"> </w:t>
      </w:r>
      <w:r w:rsidRPr="00DF26D7">
        <w:rPr>
          <w:rFonts w:ascii="Times New Roman" w:hAnsi="Times New Roman" w:cs="Times New Roman"/>
          <w:i/>
          <w:sz w:val="20"/>
          <w:szCs w:val="20"/>
        </w:rPr>
        <w:t>Ibidem</w:t>
      </w:r>
      <w:r>
        <w:rPr>
          <w:rFonts w:ascii="Times New Roman" w:hAnsi="Times New Roman" w:cs="Times New Roman"/>
          <w:sz w:val="20"/>
          <w:szCs w:val="20"/>
        </w:rPr>
        <w:t>.</w:t>
      </w:r>
    </w:p>
  </w:footnote>
  <w:footnote w:id="422">
    <w:p w14:paraId="18685A40" w14:textId="77777777" w:rsidR="00B34CC2" w:rsidRPr="003C175D" w:rsidRDefault="00B34CC2" w:rsidP="003C611F">
      <w:pPr>
        <w:pStyle w:val="Testonotaapidipagina"/>
        <w:jc w:val="both"/>
        <w:rPr>
          <w:rFonts w:ascii="Times New Roman" w:hAnsi="Times New Roman" w:cs="Times New Roman"/>
          <w:sz w:val="20"/>
          <w:szCs w:val="20"/>
        </w:rPr>
      </w:pPr>
      <w:r w:rsidRPr="003C175D">
        <w:rPr>
          <w:rStyle w:val="Rimandonotaapidipagina"/>
          <w:rFonts w:ascii="Times New Roman" w:hAnsi="Times New Roman" w:cs="Times New Roman"/>
          <w:sz w:val="20"/>
          <w:szCs w:val="20"/>
        </w:rPr>
        <w:footnoteRef/>
      </w:r>
      <w:r w:rsidRPr="003C175D">
        <w:rPr>
          <w:rFonts w:ascii="Times New Roman" w:hAnsi="Times New Roman" w:cs="Times New Roman"/>
          <w:sz w:val="20"/>
          <w:szCs w:val="20"/>
        </w:rPr>
        <w:t xml:space="preserve"> </w:t>
      </w:r>
      <w:r w:rsidRPr="003C175D">
        <w:rPr>
          <w:rFonts w:ascii="Times New Roman" w:hAnsi="Times New Roman" w:cs="Times New Roman"/>
          <w:i/>
          <w:sz w:val="20"/>
          <w:szCs w:val="20"/>
        </w:rPr>
        <w:t>Ivi</w:t>
      </w:r>
      <w:r>
        <w:rPr>
          <w:rFonts w:ascii="Times New Roman" w:hAnsi="Times New Roman" w:cs="Times New Roman"/>
          <w:sz w:val="20"/>
          <w:szCs w:val="20"/>
        </w:rPr>
        <w:t>, p. 372.</w:t>
      </w:r>
    </w:p>
  </w:footnote>
  <w:footnote w:id="423">
    <w:p w14:paraId="765B07BD" w14:textId="77777777" w:rsidR="00B34CC2" w:rsidRPr="00E12707" w:rsidRDefault="00B34CC2" w:rsidP="003C611F">
      <w:pPr>
        <w:pStyle w:val="Testonotaapidipagina"/>
        <w:jc w:val="both"/>
        <w:rPr>
          <w:rFonts w:ascii="Times New Roman" w:hAnsi="Times New Roman" w:cs="Times New Roman"/>
          <w:i/>
          <w:sz w:val="20"/>
          <w:szCs w:val="20"/>
        </w:rPr>
      </w:pPr>
      <w:r w:rsidRPr="00E12707">
        <w:rPr>
          <w:rStyle w:val="Rimandonotaapidipagina"/>
          <w:rFonts w:ascii="Times New Roman" w:hAnsi="Times New Roman" w:cs="Times New Roman"/>
          <w:sz w:val="20"/>
          <w:szCs w:val="20"/>
        </w:rPr>
        <w:footnoteRef/>
      </w:r>
      <w:r w:rsidRPr="00E12707">
        <w:rPr>
          <w:rFonts w:ascii="Times New Roman" w:hAnsi="Times New Roman" w:cs="Times New Roman"/>
          <w:sz w:val="20"/>
          <w:szCs w:val="20"/>
        </w:rPr>
        <w:t xml:space="preserve"> </w:t>
      </w:r>
      <w:r>
        <w:rPr>
          <w:rFonts w:ascii="Times New Roman" w:hAnsi="Times New Roman" w:cs="Times New Roman"/>
          <w:i/>
          <w:sz w:val="20"/>
          <w:szCs w:val="20"/>
        </w:rPr>
        <w:t>Ibidem.</w:t>
      </w:r>
    </w:p>
  </w:footnote>
  <w:footnote w:id="424">
    <w:p w14:paraId="1D44CA3C" w14:textId="77777777" w:rsidR="00B34CC2" w:rsidRPr="00050574" w:rsidRDefault="00B34CC2" w:rsidP="003C611F">
      <w:pPr>
        <w:pStyle w:val="Testonotaapidipagina"/>
        <w:jc w:val="both"/>
        <w:rPr>
          <w:rFonts w:ascii="Times New Roman" w:hAnsi="Times New Roman" w:cs="Times New Roman"/>
          <w:sz w:val="20"/>
          <w:szCs w:val="20"/>
        </w:rPr>
      </w:pPr>
      <w:r w:rsidRPr="00050574">
        <w:rPr>
          <w:rStyle w:val="Rimandonotaapidipagina"/>
          <w:rFonts w:ascii="Times New Roman" w:hAnsi="Times New Roman" w:cs="Times New Roman"/>
          <w:sz w:val="20"/>
          <w:szCs w:val="20"/>
        </w:rPr>
        <w:footnoteRef/>
      </w:r>
      <w:r w:rsidRPr="00050574">
        <w:rPr>
          <w:rFonts w:ascii="Times New Roman" w:hAnsi="Times New Roman" w:cs="Times New Roman"/>
          <w:sz w:val="20"/>
          <w:szCs w:val="20"/>
        </w:rPr>
        <w:t xml:space="preserve"> </w:t>
      </w:r>
      <w:r w:rsidRPr="00050574">
        <w:rPr>
          <w:rFonts w:ascii="Times New Roman" w:hAnsi="Times New Roman" w:cs="Times New Roman"/>
          <w:i/>
          <w:sz w:val="20"/>
          <w:szCs w:val="20"/>
        </w:rPr>
        <w:t>Ivi</w:t>
      </w:r>
      <w:r w:rsidRPr="00050574">
        <w:rPr>
          <w:rFonts w:ascii="Times New Roman" w:hAnsi="Times New Roman" w:cs="Times New Roman"/>
          <w:sz w:val="20"/>
          <w:szCs w:val="20"/>
        </w:rPr>
        <w:t>, p. 372.</w:t>
      </w:r>
    </w:p>
  </w:footnote>
  <w:footnote w:id="425">
    <w:p w14:paraId="730F1AEA" w14:textId="77777777" w:rsidR="00B34CC2" w:rsidRDefault="00B34CC2" w:rsidP="003C611F">
      <w:pPr>
        <w:pStyle w:val="Testonotaapidipagina"/>
        <w:jc w:val="both"/>
      </w:pPr>
      <w:r w:rsidRPr="00050574">
        <w:rPr>
          <w:rStyle w:val="Rimandonotaapidipagina"/>
          <w:rFonts w:ascii="Times New Roman" w:hAnsi="Times New Roman" w:cs="Times New Roman"/>
          <w:sz w:val="20"/>
          <w:szCs w:val="20"/>
        </w:rPr>
        <w:footnoteRef/>
      </w:r>
      <w:r w:rsidRPr="00050574">
        <w:rPr>
          <w:rFonts w:ascii="Times New Roman" w:hAnsi="Times New Roman" w:cs="Times New Roman"/>
          <w:sz w:val="20"/>
          <w:szCs w:val="20"/>
        </w:rPr>
        <w:t xml:space="preserve"> </w:t>
      </w:r>
      <w:r w:rsidRPr="00050574">
        <w:rPr>
          <w:rFonts w:ascii="Times New Roman" w:hAnsi="Times New Roman" w:cs="Times New Roman"/>
          <w:i/>
          <w:sz w:val="20"/>
          <w:szCs w:val="20"/>
        </w:rPr>
        <w:t>Ivi</w:t>
      </w:r>
      <w:r w:rsidRPr="00050574">
        <w:rPr>
          <w:rFonts w:ascii="Times New Roman" w:hAnsi="Times New Roman" w:cs="Times New Roman"/>
          <w:sz w:val="20"/>
          <w:szCs w:val="20"/>
        </w:rPr>
        <w:t>, p. 373.</w:t>
      </w:r>
    </w:p>
  </w:footnote>
  <w:footnote w:id="426">
    <w:p w14:paraId="258868EA" w14:textId="77777777" w:rsidR="00B34CC2" w:rsidRPr="00E05A34" w:rsidRDefault="00B34CC2" w:rsidP="003C611F">
      <w:pPr>
        <w:pStyle w:val="Testonotaapidipagina"/>
        <w:jc w:val="both"/>
        <w:rPr>
          <w:rFonts w:ascii="Times New Roman" w:hAnsi="Times New Roman" w:cs="Times New Roman"/>
          <w:sz w:val="20"/>
          <w:szCs w:val="20"/>
        </w:rPr>
      </w:pPr>
      <w:r w:rsidRPr="00E05A34">
        <w:rPr>
          <w:rStyle w:val="Rimandonotaapidipagina"/>
          <w:rFonts w:ascii="Times New Roman" w:hAnsi="Times New Roman" w:cs="Times New Roman"/>
          <w:sz w:val="20"/>
          <w:szCs w:val="20"/>
        </w:rPr>
        <w:footnoteRef/>
      </w:r>
      <w:r w:rsidRPr="00E05A34">
        <w:rPr>
          <w:rFonts w:ascii="Times New Roman" w:hAnsi="Times New Roman" w:cs="Times New Roman"/>
          <w:sz w:val="20"/>
          <w:szCs w:val="20"/>
        </w:rPr>
        <w:t xml:space="preserve"> </w:t>
      </w:r>
      <w:r>
        <w:rPr>
          <w:rFonts w:ascii="Times New Roman" w:hAnsi="Times New Roman" w:cs="Times New Roman"/>
          <w:i/>
          <w:sz w:val="20"/>
          <w:szCs w:val="20"/>
        </w:rPr>
        <w:t>Ibidem.</w:t>
      </w:r>
    </w:p>
  </w:footnote>
  <w:footnote w:id="427">
    <w:p w14:paraId="7D2D8DAE" w14:textId="77777777" w:rsidR="00B34CC2" w:rsidRPr="000649C7" w:rsidRDefault="00B34CC2" w:rsidP="003C611F">
      <w:pPr>
        <w:pStyle w:val="Testonotaapidipagina"/>
        <w:jc w:val="both"/>
        <w:rPr>
          <w:rFonts w:ascii="Times New Roman" w:hAnsi="Times New Roman" w:cs="Times New Roman"/>
          <w:sz w:val="20"/>
          <w:szCs w:val="20"/>
        </w:rPr>
      </w:pPr>
      <w:r w:rsidRPr="000649C7">
        <w:rPr>
          <w:rStyle w:val="Rimandonotaapidipagina"/>
          <w:rFonts w:ascii="Times New Roman" w:hAnsi="Times New Roman" w:cs="Times New Roman"/>
          <w:sz w:val="20"/>
          <w:szCs w:val="20"/>
        </w:rPr>
        <w:footnoteRef/>
      </w:r>
      <w:r w:rsidRPr="000649C7">
        <w:rPr>
          <w:rFonts w:ascii="Times New Roman" w:hAnsi="Times New Roman" w:cs="Times New Roman"/>
          <w:sz w:val="20"/>
          <w:szCs w:val="20"/>
        </w:rPr>
        <w:t xml:space="preserve"> </w:t>
      </w:r>
      <w:r>
        <w:rPr>
          <w:rFonts w:ascii="Times New Roman" w:hAnsi="Times New Roman" w:cs="Times New Roman"/>
          <w:i/>
          <w:sz w:val="20"/>
          <w:szCs w:val="20"/>
        </w:rPr>
        <w:t>Ibidem</w:t>
      </w:r>
      <w:r>
        <w:rPr>
          <w:rFonts w:ascii="Times New Roman" w:hAnsi="Times New Roman" w:cs="Times New Roman"/>
          <w:sz w:val="20"/>
          <w:szCs w:val="20"/>
        </w:rPr>
        <w:t>.</w:t>
      </w:r>
    </w:p>
  </w:footnote>
  <w:footnote w:id="428">
    <w:p w14:paraId="57A140A6" w14:textId="77777777" w:rsidR="00B34CC2" w:rsidRPr="007F448B" w:rsidRDefault="00B34CC2" w:rsidP="003C611F">
      <w:pPr>
        <w:pStyle w:val="Testonotaapidipagina"/>
        <w:jc w:val="both"/>
        <w:rPr>
          <w:rFonts w:ascii="Times New Roman" w:hAnsi="Times New Roman" w:cs="Times New Roman"/>
          <w:i/>
          <w:sz w:val="20"/>
          <w:szCs w:val="20"/>
          <w:lang w:val="de-DE"/>
        </w:rPr>
      </w:pPr>
      <w:r w:rsidRPr="000649C7">
        <w:rPr>
          <w:rStyle w:val="Rimandonotaapidipagina"/>
          <w:rFonts w:ascii="Times New Roman" w:hAnsi="Times New Roman" w:cs="Times New Roman"/>
          <w:sz w:val="20"/>
          <w:szCs w:val="20"/>
        </w:rPr>
        <w:footnoteRef/>
      </w:r>
      <w:r w:rsidRPr="000649C7">
        <w:rPr>
          <w:rFonts w:ascii="Times New Roman" w:hAnsi="Times New Roman" w:cs="Times New Roman"/>
          <w:sz w:val="20"/>
          <w:szCs w:val="20"/>
        </w:rPr>
        <w:t xml:space="preserve"> </w:t>
      </w:r>
      <w:r>
        <w:rPr>
          <w:rFonts w:ascii="Times New Roman" w:hAnsi="Times New Roman" w:cs="Times New Roman"/>
          <w:sz w:val="20"/>
          <w:szCs w:val="20"/>
        </w:rPr>
        <w:t xml:space="preserve">Cfr. </w:t>
      </w:r>
      <w:r>
        <w:rPr>
          <w:rFonts w:ascii="Times New Roman" w:hAnsi="Times New Roman" w:cs="Times New Roman"/>
          <w:i/>
          <w:sz w:val="20"/>
          <w:szCs w:val="20"/>
        </w:rPr>
        <w:t>Ibidem</w:t>
      </w:r>
      <w:r>
        <w:rPr>
          <w:rFonts w:ascii="Times New Roman" w:hAnsi="Times New Roman" w:cs="Times New Roman"/>
          <w:sz w:val="20"/>
          <w:szCs w:val="20"/>
        </w:rPr>
        <w:t xml:space="preserve">: </w:t>
      </w:r>
      <w:r w:rsidRPr="00485DAF">
        <w:rPr>
          <w:rFonts w:ascii="Times New Roman" w:hAnsi="Times New Roman" w:cs="Times New Roman"/>
          <w:sz w:val="20"/>
          <w:szCs w:val="20"/>
        </w:rPr>
        <w:t>«</w:t>
      </w:r>
      <w:r w:rsidRPr="00485DAF">
        <w:rPr>
          <w:rFonts w:ascii="Times New Roman" w:hAnsi="Times New Roman" w:cs="Times New Roman"/>
          <w:sz w:val="20"/>
          <w:szCs w:val="20"/>
          <w:lang w:val="de-DE"/>
        </w:rPr>
        <w:t>Oder die Reflexion, indem sie als innre Form das Absolute zum Attribut bestimmt, so ist dieses Bestimmen ein noch von der Aeusserlichkeit verschiedenes; die innre Bestimmung durchdringt das Absolute nicht; seine Aesserung ist, als ein bloß gesetztes am Absoluten zu verschwinden</w:t>
      </w:r>
      <w:r w:rsidRPr="00485DAF">
        <w:rPr>
          <w:rFonts w:ascii="Times New Roman" w:eastAsia="Times New Roman" w:hAnsi="Times New Roman" w:cs="Times New Roman"/>
          <w:color w:val="000000"/>
          <w:sz w:val="20"/>
          <w:szCs w:val="20"/>
          <w:lang w:val="de-DE"/>
        </w:rPr>
        <w:t>».</w:t>
      </w:r>
    </w:p>
  </w:footnote>
  <w:footnote w:id="429">
    <w:p w14:paraId="603A04A2" w14:textId="77777777" w:rsidR="00B34CC2" w:rsidRPr="000649C7" w:rsidRDefault="00B34CC2" w:rsidP="003C611F">
      <w:pPr>
        <w:pStyle w:val="Testonotaapidipagina"/>
        <w:jc w:val="both"/>
        <w:rPr>
          <w:rFonts w:ascii="Times New Roman" w:hAnsi="Times New Roman" w:cs="Times New Roman"/>
          <w:sz w:val="20"/>
          <w:szCs w:val="20"/>
        </w:rPr>
      </w:pPr>
      <w:r w:rsidRPr="000649C7">
        <w:rPr>
          <w:rStyle w:val="Rimandonotaapidipagina"/>
          <w:rFonts w:ascii="Times New Roman" w:hAnsi="Times New Roman" w:cs="Times New Roman"/>
          <w:sz w:val="20"/>
          <w:szCs w:val="20"/>
        </w:rPr>
        <w:footnoteRef/>
      </w:r>
      <w:r w:rsidRPr="000649C7">
        <w:rPr>
          <w:rFonts w:ascii="Times New Roman" w:hAnsi="Times New Roman" w:cs="Times New Roman"/>
          <w:sz w:val="20"/>
          <w:szCs w:val="20"/>
        </w:rPr>
        <w:t xml:space="preserve"> </w:t>
      </w:r>
      <w:r w:rsidRPr="000649C7">
        <w:rPr>
          <w:rFonts w:ascii="Times New Roman" w:hAnsi="Times New Roman" w:cs="Times New Roman"/>
          <w:i/>
          <w:sz w:val="20"/>
          <w:szCs w:val="20"/>
        </w:rPr>
        <w:t>Ibidem</w:t>
      </w:r>
      <w:r>
        <w:rPr>
          <w:rFonts w:ascii="Times New Roman" w:hAnsi="Times New Roman" w:cs="Times New Roman"/>
          <w:sz w:val="20"/>
          <w:szCs w:val="20"/>
        </w:rPr>
        <w:t>.</w:t>
      </w:r>
    </w:p>
  </w:footnote>
  <w:footnote w:id="430">
    <w:p w14:paraId="2CD09D02" w14:textId="77777777" w:rsidR="00B34CC2" w:rsidRPr="005435A5" w:rsidRDefault="00B34CC2" w:rsidP="003C611F">
      <w:pPr>
        <w:pStyle w:val="Testonotaapidipagina"/>
        <w:jc w:val="both"/>
        <w:rPr>
          <w:rFonts w:ascii="Times New Roman" w:hAnsi="Times New Roman" w:cs="Times New Roman"/>
          <w:sz w:val="20"/>
          <w:szCs w:val="20"/>
        </w:rPr>
      </w:pPr>
      <w:r w:rsidRPr="005435A5">
        <w:rPr>
          <w:rStyle w:val="Rimandonotaapidipagina"/>
          <w:rFonts w:ascii="Times New Roman" w:hAnsi="Times New Roman" w:cs="Times New Roman"/>
          <w:sz w:val="20"/>
          <w:szCs w:val="20"/>
        </w:rPr>
        <w:footnoteRef/>
      </w:r>
      <w:r w:rsidRPr="005435A5">
        <w:rPr>
          <w:rFonts w:ascii="Times New Roman" w:hAnsi="Times New Roman" w:cs="Times New Roman"/>
          <w:sz w:val="20"/>
          <w:szCs w:val="20"/>
        </w:rPr>
        <w:t xml:space="preserve"> </w:t>
      </w:r>
      <w:r>
        <w:rPr>
          <w:rFonts w:ascii="Times New Roman" w:hAnsi="Times New Roman" w:cs="Times New Roman"/>
          <w:i/>
          <w:sz w:val="20"/>
          <w:szCs w:val="20"/>
        </w:rPr>
        <w:t>Ivi</w:t>
      </w:r>
      <w:r>
        <w:rPr>
          <w:rFonts w:ascii="Times New Roman" w:hAnsi="Times New Roman" w:cs="Times New Roman"/>
          <w:sz w:val="20"/>
          <w:szCs w:val="20"/>
        </w:rPr>
        <w:t>, p. 374.</w:t>
      </w:r>
    </w:p>
  </w:footnote>
  <w:footnote w:id="431">
    <w:p w14:paraId="5A242D9E" w14:textId="77777777" w:rsidR="00B34CC2" w:rsidRPr="005D1A59" w:rsidRDefault="00B34CC2" w:rsidP="003C611F">
      <w:pPr>
        <w:pStyle w:val="Testonotaapidipagina"/>
        <w:jc w:val="both"/>
        <w:rPr>
          <w:rFonts w:ascii="Times New Roman" w:hAnsi="Times New Roman" w:cs="Times New Roman"/>
          <w:sz w:val="20"/>
          <w:szCs w:val="20"/>
        </w:rPr>
      </w:pPr>
      <w:r w:rsidRPr="005D1A59">
        <w:rPr>
          <w:rStyle w:val="Rimandonotaapidipagina"/>
          <w:rFonts w:ascii="Times New Roman" w:hAnsi="Times New Roman" w:cs="Times New Roman"/>
          <w:sz w:val="20"/>
          <w:szCs w:val="20"/>
        </w:rPr>
        <w:footnoteRef/>
      </w:r>
      <w:r w:rsidRPr="005D1A59">
        <w:rPr>
          <w:rFonts w:ascii="Times New Roman" w:hAnsi="Times New Roman" w:cs="Times New Roman"/>
          <w:sz w:val="20"/>
          <w:szCs w:val="20"/>
        </w:rPr>
        <w:t xml:space="preserve"> </w:t>
      </w:r>
      <w:r w:rsidRPr="005D1A59">
        <w:rPr>
          <w:rFonts w:ascii="Times New Roman" w:hAnsi="Times New Roman" w:cs="Times New Roman"/>
          <w:i/>
          <w:sz w:val="20"/>
          <w:szCs w:val="20"/>
        </w:rPr>
        <w:t>Ibidem</w:t>
      </w:r>
      <w:r>
        <w:rPr>
          <w:rFonts w:ascii="Times New Roman" w:hAnsi="Times New Roman" w:cs="Times New Roman"/>
          <w:sz w:val="20"/>
          <w:szCs w:val="20"/>
        </w:rPr>
        <w:t>.</w:t>
      </w:r>
    </w:p>
  </w:footnote>
  <w:footnote w:id="432">
    <w:p w14:paraId="38F6E2B6" w14:textId="77777777" w:rsidR="00B34CC2" w:rsidRPr="00DD32EC" w:rsidRDefault="00B34CC2" w:rsidP="003C611F">
      <w:pPr>
        <w:pStyle w:val="Testonotaapidipagina"/>
        <w:jc w:val="both"/>
        <w:rPr>
          <w:rFonts w:ascii="Times New Roman" w:hAnsi="Times New Roman" w:cs="Times New Roman"/>
          <w:sz w:val="20"/>
          <w:szCs w:val="20"/>
        </w:rPr>
      </w:pPr>
      <w:r w:rsidRPr="00DD32EC">
        <w:rPr>
          <w:rStyle w:val="Rimandonotaapidipagina"/>
          <w:rFonts w:ascii="Times New Roman" w:hAnsi="Times New Roman" w:cs="Times New Roman"/>
          <w:sz w:val="20"/>
          <w:szCs w:val="20"/>
        </w:rPr>
        <w:footnoteRef/>
      </w:r>
      <w:r>
        <w:t xml:space="preserve"> </w:t>
      </w:r>
      <w:r>
        <w:rPr>
          <w:rFonts w:ascii="Times New Roman" w:hAnsi="Times New Roman" w:cs="Times New Roman"/>
          <w:i/>
          <w:sz w:val="20"/>
          <w:szCs w:val="20"/>
        </w:rPr>
        <w:t>Ivi</w:t>
      </w:r>
      <w:r>
        <w:rPr>
          <w:rFonts w:ascii="Times New Roman" w:hAnsi="Times New Roman" w:cs="Times New Roman"/>
          <w:sz w:val="20"/>
          <w:szCs w:val="20"/>
        </w:rPr>
        <w:t>, p. 375.</w:t>
      </w:r>
    </w:p>
  </w:footnote>
  <w:footnote w:id="433">
    <w:p w14:paraId="72643190" w14:textId="4A0E6FA0" w:rsidR="00B34CC2" w:rsidRPr="00061061" w:rsidRDefault="00B34CC2" w:rsidP="003C611F">
      <w:pPr>
        <w:pStyle w:val="Testonotaapidipagina"/>
        <w:jc w:val="both"/>
        <w:rPr>
          <w:rFonts w:ascii="Times New Roman" w:hAnsi="Times New Roman" w:cs="Times New Roman"/>
          <w:sz w:val="20"/>
          <w:szCs w:val="20"/>
        </w:rPr>
      </w:pPr>
      <w:r w:rsidRPr="00062921">
        <w:rPr>
          <w:rStyle w:val="Rimandonotaapidipagina"/>
          <w:rFonts w:ascii="Times New Roman" w:hAnsi="Times New Roman" w:cs="Times New Roman"/>
          <w:sz w:val="20"/>
          <w:szCs w:val="20"/>
        </w:rPr>
        <w:footnoteRef/>
      </w:r>
      <w:r w:rsidRPr="00062921">
        <w:rPr>
          <w:rFonts w:ascii="Times New Roman" w:hAnsi="Times New Roman" w:cs="Times New Roman"/>
          <w:sz w:val="20"/>
          <w:szCs w:val="20"/>
        </w:rPr>
        <w:t xml:space="preserve"> </w:t>
      </w:r>
      <w:r w:rsidRPr="00062921">
        <w:rPr>
          <w:rFonts w:ascii="Times New Roman" w:hAnsi="Times New Roman" w:cs="Times New Roman"/>
          <w:i/>
          <w:sz w:val="20"/>
          <w:szCs w:val="20"/>
        </w:rPr>
        <w:t>Ivi</w:t>
      </w:r>
      <w:r w:rsidRPr="00062921">
        <w:rPr>
          <w:rFonts w:ascii="Times New Roman" w:hAnsi="Times New Roman" w:cs="Times New Roman"/>
          <w:sz w:val="20"/>
          <w:szCs w:val="20"/>
        </w:rPr>
        <w:t xml:space="preserve">, p. 376. In realtà, Hegel ha delineato una concezione dell’Assoluto che procede oltra la nozione spinoziana di sostanza. Non mi sembra corretta la piena identificazione – sostenuta dallo stesso Hegel – fra </w:t>
      </w:r>
      <w:r>
        <w:rPr>
          <w:rFonts w:ascii="Times New Roman" w:hAnsi="Times New Roman" w:cs="Times New Roman"/>
          <w:sz w:val="20"/>
          <w:szCs w:val="20"/>
        </w:rPr>
        <w:t xml:space="preserve">lo </w:t>
      </w:r>
      <w:r w:rsidRPr="00062921">
        <w:rPr>
          <w:rFonts w:ascii="Times New Roman" w:hAnsi="Times New Roman" w:cs="Times New Roman"/>
          <w:sz w:val="20"/>
          <w:szCs w:val="20"/>
        </w:rPr>
        <w:t>spinozismo e la sezione dell’</w:t>
      </w:r>
      <w:r w:rsidRPr="00062921">
        <w:rPr>
          <w:rFonts w:ascii="Times New Roman" w:hAnsi="Times New Roman" w:cs="Times New Roman"/>
          <w:i/>
          <w:sz w:val="20"/>
          <w:szCs w:val="20"/>
        </w:rPr>
        <w:t>Absolute</w:t>
      </w:r>
      <w:r w:rsidRPr="00062921">
        <w:rPr>
          <w:rFonts w:ascii="Times New Roman" w:hAnsi="Times New Roman" w:cs="Times New Roman"/>
          <w:sz w:val="20"/>
          <w:szCs w:val="20"/>
        </w:rPr>
        <w:t xml:space="preserve">. Se si presta attenzione al principio </w:t>
      </w:r>
      <w:r w:rsidRPr="00062921">
        <w:rPr>
          <w:rFonts w:ascii="Times New Roman" w:hAnsi="Times New Roman" w:cs="Times New Roman"/>
          <w:i/>
          <w:sz w:val="20"/>
          <w:szCs w:val="20"/>
        </w:rPr>
        <w:t>determinatio est negatio</w:t>
      </w:r>
      <w:r w:rsidRPr="00062921">
        <w:rPr>
          <w:rFonts w:ascii="Times New Roman" w:hAnsi="Times New Roman" w:cs="Times New Roman"/>
          <w:sz w:val="20"/>
          <w:szCs w:val="20"/>
        </w:rPr>
        <w:t xml:space="preserve">, appare evidente che il modo, essendo finito e limitato, </w:t>
      </w:r>
      <w:r>
        <w:rPr>
          <w:rFonts w:ascii="Times New Roman" w:hAnsi="Times New Roman" w:cs="Times New Roman"/>
          <w:sz w:val="20"/>
          <w:szCs w:val="20"/>
        </w:rPr>
        <w:t>rappresenti</w:t>
      </w:r>
      <w:r w:rsidRPr="00062921">
        <w:rPr>
          <w:rFonts w:ascii="Times New Roman" w:hAnsi="Times New Roman" w:cs="Times New Roman"/>
          <w:sz w:val="20"/>
          <w:szCs w:val="20"/>
        </w:rPr>
        <w:t xml:space="preserve"> una semplice negazione e non il tog</w:t>
      </w:r>
      <w:r>
        <w:rPr>
          <w:rFonts w:ascii="Times New Roman" w:hAnsi="Times New Roman" w:cs="Times New Roman"/>
          <w:sz w:val="20"/>
          <w:szCs w:val="20"/>
        </w:rPr>
        <w:t>liersi dello</w:t>
      </w:r>
      <w:r w:rsidRPr="00062921">
        <w:rPr>
          <w:rFonts w:ascii="Times New Roman" w:hAnsi="Times New Roman" w:cs="Times New Roman"/>
          <w:sz w:val="20"/>
          <w:szCs w:val="20"/>
        </w:rPr>
        <w:t xml:space="preserve"> </w:t>
      </w:r>
      <w:r w:rsidRPr="008F515B">
        <w:rPr>
          <w:rFonts w:ascii="Times New Roman" w:hAnsi="Times New Roman" w:cs="Times New Roman"/>
          <w:i/>
          <w:sz w:val="20"/>
          <w:szCs w:val="20"/>
          <w:lang w:val="de-DE"/>
        </w:rPr>
        <w:t>Scheinen</w:t>
      </w:r>
      <w:r w:rsidRPr="00A66B89">
        <w:rPr>
          <w:rFonts w:ascii="Times New Roman" w:hAnsi="Times New Roman" w:cs="Times New Roman"/>
          <w:i/>
          <w:sz w:val="20"/>
          <w:szCs w:val="20"/>
        </w:rPr>
        <w:t xml:space="preserve"> </w:t>
      </w:r>
      <w:r w:rsidRPr="00062921">
        <w:rPr>
          <w:rFonts w:ascii="Times New Roman" w:hAnsi="Times New Roman" w:cs="Times New Roman"/>
          <w:sz w:val="20"/>
          <w:szCs w:val="20"/>
        </w:rPr>
        <w:t xml:space="preserve">dell’Assoluto. </w:t>
      </w:r>
      <w:r w:rsidRPr="00E62D99">
        <w:rPr>
          <w:rFonts w:ascii="Times New Roman" w:hAnsi="Times New Roman" w:cs="Times New Roman"/>
          <w:sz w:val="20"/>
          <w:szCs w:val="20"/>
        </w:rPr>
        <w:t>Al massimo si può dire che nella sezione dell’</w:t>
      </w:r>
      <w:r w:rsidRPr="00E62D99">
        <w:rPr>
          <w:rFonts w:ascii="Times New Roman" w:hAnsi="Times New Roman" w:cs="Times New Roman"/>
          <w:i/>
          <w:sz w:val="20"/>
          <w:szCs w:val="20"/>
        </w:rPr>
        <w:t>Absolute</w:t>
      </w:r>
      <w:r w:rsidRPr="00E62D99">
        <w:rPr>
          <w:rFonts w:ascii="Times New Roman" w:hAnsi="Times New Roman" w:cs="Times New Roman"/>
          <w:sz w:val="20"/>
          <w:szCs w:val="20"/>
        </w:rPr>
        <w:t xml:space="preserve"> lo spinozismo sia assunto come punto di partenza di un processo logico che ha un esito posto al di là della metafisica spinoziana. L’</w:t>
      </w:r>
      <w:r w:rsidRPr="00E62D99">
        <w:rPr>
          <w:rFonts w:ascii="Times New Roman" w:hAnsi="Times New Roman" w:cs="Times New Roman"/>
          <w:i/>
          <w:sz w:val="20"/>
          <w:szCs w:val="20"/>
        </w:rPr>
        <w:t>incipit</w:t>
      </w:r>
      <w:r w:rsidRPr="00E62D99">
        <w:rPr>
          <w:rFonts w:ascii="Times New Roman" w:hAnsi="Times New Roman" w:cs="Times New Roman"/>
          <w:sz w:val="20"/>
          <w:szCs w:val="20"/>
        </w:rPr>
        <w:t xml:space="preserve"> della sezione, dunque, corrisponde, a grosse linee, alla sostanza spinoziana; il proseguo della stessa</w:t>
      </w:r>
      <w:r w:rsidRPr="00062921">
        <w:rPr>
          <w:rFonts w:ascii="Times New Roman" w:hAnsi="Times New Roman" w:cs="Times New Roman"/>
          <w:sz w:val="20"/>
          <w:szCs w:val="20"/>
        </w:rPr>
        <w:t>, inve</w:t>
      </w:r>
      <w:r>
        <w:rPr>
          <w:rFonts w:ascii="Times New Roman" w:hAnsi="Times New Roman" w:cs="Times New Roman"/>
          <w:sz w:val="20"/>
          <w:szCs w:val="20"/>
        </w:rPr>
        <w:t>ce, perviene a delle conclusioni</w:t>
      </w:r>
      <w:r w:rsidRPr="00062921">
        <w:rPr>
          <w:rFonts w:ascii="Times New Roman" w:hAnsi="Times New Roman" w:cs="Times New Roman"/>
          <w:sz w:val="20"/>
          <w:szCs w:val="20"/>
        </w:rPr>
        <w:t xml:space="preserve"> teoriche che esulano dal </w:t>
      </w:r>
      <w:r w:rsidRPr="00062921">
        <w:rPr>
          <w:rFonts w:ascii="Times New Roman" w:hAnsi="Times New Roman" w:cs="Times New Roman"/>
          <w:i/>
          <w:sz w:val="20"/>
          <w:szCs w:val="20"/>
        </w:rPr>
        <w:t>De Deo</w:t>
      </w:r>
      <w:r w:rsidRPr="00062921">
        <w:rPr>
          <w:rFonts w:ascii="Times New Roman" w:hAnsi="Times New Roman" w:cs="Times New Roman"/>
          <w:sz w:val="20"/>
          <w:szCs w:val="20"/>
        </w:rPr>
        <w:t xml:space="preserve">. </w:t>
      </w:r>
      <w:r>
        <w:rPr>
          <w:rFonts w:ascii="Times New Roman" w:hAnsi="Times New Roman" w:cs="Times New Roman"/>
          <w:sz w:val="20"/>
          <w:szCs w:val="20"/>
        </w:rPr>
        <w:t xml:space="preserve">Un’interprete, che ha </w:t>
      </w:r>
      <w:r w:rsidRPr="00062921">
        <w:rPr>
          <w:rFonts w:ascii="Times New Roman" w:hAnsi="Times New Roman" w:cs="Times New Roman"/>
          <w:sz w:val="20"/>
          <w:szCs w:val="20"/>
        </w:rPr>
        <w:t>posto l’accento su questo punto</w:t>
      </w:r>
      <w:r>
        <w:rPr>
          <w:rFonts w:ascii="Times New Roman" w:hAnsi="Times New Roman" w:cs="Times New Roman"/>
          <w:sz w:val="20"/>
          <w:szCs w:val="20"/>
        </w:rPr>
        <w:t>, è Sandra Viviana Palermo, della</w:t>
      </w:r>
      <w:r w:rsidRPr="00062921">
        <w:rPr>
          <w:rFonts w:ascii="Times New Roman" w:hAnsi="Times New Roman" w:cs="Times New Roman"/>
          <w:sz w:val="20"/>
          <w:szCs w:val="20"/>
        </w:rPr>
        <w:t xml:space="preserve"> quale </w:t>
      </w:r>
      <w:r>
        <w:rPr>
          <w:rFonts w:ascii="Times New Roman" w:hAnsi="Times New Roman" w:cs="Times New Roman"/>
          <w:sz w:val="20"/>
          <w:szCs w:val="20"/>
        </w:rPr>
        <w:t xml:space="preserve">si veda </w:t>
      </w:r>
      <w:r w:rsidRPr="00062921">
        <w:rPr>
          <w:rFonts w:ascii="Times" w:eastAsia="Times New Roman" w:hAnsi="Times" w:cs="Times New Roman"/>
          <w:sz w:val="20"/>
          <w:szCs w:val="20"/>
        </w:rPr>
        <w:t xml:space="preserve">S. V. Palermo, </w:t>
      </w:r>
      <w:r w:rsidRPr="00062921">
        <w:rPr>
          <w:rFonts w:ascii="Times" w:eastAsia="Times New Roman" w:hAnsi="Times" w:cs="Times New Roman"/>
          <w:i/>
          <w:sz w:val="20"/>
          <w:szCs w:val="20"/>
        </w:rPr>
        <w:t>La sostanza come genesi del concetto</w:t>
      </w:r>
      <w:r w:rsidRPr="00062921">
        <w:rPr>
          <w:rFonts w:ascii="Times New Roman" w:hAnsi="Times New Roman" w:cs="Times New Roman"/>
          <w:sz w:val="20"/>
          <w:szCs w:val="20"/>
        </w:rPr>
        <w:t>, cit., pp. 201-203.</w:t>
      </w:r>
      <w:r>
        <w:rPr>
          <w:rFonts w:ascii="Times New Roman" w:hAnsi="Times New Roman" w:cs="Times New Roman"/>
          <w:sz w:val="20"/>
          <w:szCs w:val="20"/>
        </w:rPr>
        <w:t xml:space="preserve"> </w:t>
      </w:r>
      <w:r w:rsidRPr="00B14064">
        <w:rPr>
          <w:rFonts w:ascii="Times New Roman" w:hAnsi="Times New Roman" w:cs="Times New Roman"/>
          <w:sz w:val="20"/>
          <w:szCs w:val="20"/>
        </w:rPr>
        <w:t xml:space="preserve">Secondo l’Autrice, Hegel riprende un’accezione nichilistica dello spinozismo: quanto visto negli </w:t>
      </w:r>
      <w:r w:rsidRPr="00B14064">
        <w:rPr>
          <w:rFonts w:ascii="Times New Roman" w:hAnsi="Times New Roman" w:cs="Times New Roman"/>
          <w:i/>
          <w:sz w:val="20"/>
          <w:szCs w:val="20"/>
        </w:rPr>
        <w:t>Jenaer Schriften</w:t>
      </w:r>
      <w:r w:rsidRPr="00B14064">
        <w:rPr>
          <w:rFonts w:ascii="Times New Roman" w:hAnsi="Times New Roman" w:cs="Times New Roman"/>
          <w:sz w:val="20"/>
          <w:szCs w:val="20"/>
        </w:rPr>
        <w:t xml:space="preserve">, soprattutto in </w:t>
      </w:r>
      <w:r w:rsidRPr="00B14064">
        <w:rPr>
          <w:rFonts w:ascii="Times New Roman" w:hAnsi="Times New Roman" w:cs="Times New Roman"/>
          <w:i/>
          <w:sz w:val="20"/>
          <w:szCs w:val="20"/>
        </w:rPr>
        <w:t>Glauben und Wissen</w:t>
      </w:r>
      <w:r w:rsidRPr="00B14064">
        <w:rPr>
          <w:rFonts w:ascii="Times New Roman" w:hAnsi="Times New Roman" w:cs="Times New Roman"/>
          <w:sz w:val="20"/>
          <w:szCs w:val="20"/>
        </w:rPr>
        <w:t>, tornerebbe al centro della sezione sull’</w:t>
      </w:r>
      <w:r w:rsidRPr="00B14064">
        <w:rPr>
          <w:rFonts w:ascii="Times New Roman" w:hAnsi="Times New Roman" w:cs="Times New Roman"/>
          <w:i/>
          <w:sz w:val="20"/>
          <w:szCs w:val="20"/>
        </w:rPr>
        <w:t>Absolute</w:t>
      </w:r>
      <w:r w:rsidRPr="00B14064">
        <w:rPr>
          <w:rFonts w:ascii="Times New Roman" w:hAnsi="Times New Roman" w:cs="Times New Roman"/>
          <w:sz w:val="20"/>
          <w:szCs w:val="20"/>
        </w:rPr>
        <w:t xml:space="preserve">. (Cfr. </w:t>
      </w:r>
      <w:r w:rsidRPr="00B14064">
        <w:rPr>
          <w:rFonts w:ascii="Times" w:eastAsia="Times New Roman" w:hAnsi="Times" w:cs="Times New Roman"/>
          <w:sz w:val="20"/>
          <w:szCs w:val="20"/>
        </w:rPr>
        <w:t xml:space="preserve">S. V. Palermo, </w:t>
      </w:r>
      <w:r w:rsidRPr="00B14064">
        <w:rPr>
          <w:rFonts w:ascii="Times" w:eastAsia="Times New Roman" w:hAnsi="Times" w:cs="Times New Roman"/>
          <w:i/>
          <w:sz w:val="20"/>
          <w:szCs w:val="20"/>
        </w:rPr>
        <w:t>La sostanza come genesi del concetto</w:t>
      </w:r>
      <w:r w:rsidRPr="00B14064">
        <w:rPr>
          <w:rFonts w:ascii="Times" w:eastAsia="Times New Roman" w:hAnsi="Times" w:cs="Times New Roman"/>
          <w:sz w:val="20"/>
          <w:szCs w:val="20"/>
        </w:rPr>
        <w:t>, cit., p. 204</w:t>
      </w:r>
      <w:r w:rsidRPr="00B14064">
        <w:rPr>
          <w:rFonts w:ascii="Times New Roman" w:hAnsi="Times New Roman" w:cs="Times New Roman"/>
          <w:sz w:val="20"/>
          <w:szCs w:val="20"/>
        </w:rPr>
        <w:t>). L’</w:t>
      </w:r>
      <w:r w:rsidRPr="00B14064">
        <w:rPr>
          <w:rFonts w:ascii="Times New Roman" w:hAnsi="Times New Roman" w:cs="Times New Roman"/>
          <w:i/>
          <w:sz w:val="20"/>
          <w:szCs w:val="20"/>
        </w:rPr>
        <w:t>Indifferenzpunkt</w:t>
      </w:r>
      <w:r w:rsidRPr="00B14064">
        <w:rPr>
          <w:rFonts w:ascii="Times New Roman" w:hAnsi="Times New Roman" w:cs="Times New Roman"/>
          <w:sz w:val="20"/>
          <w:szCs w:val="20"/>
        </w:rPr>
        <w:t xml:space="preserve"> dei </w:t>
      </w:r>
      <w:r w:rsidRPr="00B14064">
        <w:rPr>
          <w:rFonts w:ascii="Times New Roman" w:hAnsi="Times New Roman" w:cs="Times New Roman"/>
          <w:i/>
          <w:sz w:val="20"/>
          <w:szCs w:val="20"/>
        </w:rPr>
        <w:t>Kritische Schriften</w:t>
      </w:r>
      <w:r w:rsidRPr="00B14064">
        <w:rPr>
          <w:rFonts w:ascii="Times New Roman" w:hAnsi="Times New Roman" w:cs="Times New Roman"/>
          <w:sz w:val="20"/>
          <w:szCs w:val="20"/>
        </w:rPr>
        <w:t xml:space="preserve"> – ossia di quell’</w:t>
      </w:r>
      <w:r w:rsidRPr="00B14064">
        <w:rPr>
          <w:rFonts w:ascii="Times New Roman" w:hAnsi="Times New Roman" w:cs="Times New Roman"/>
          <w:i/>
          <w:sz w:val="20"/>
          <w:szCs w:val="20"/>
          <w:lang w:val="de-DE"/>
        </w:rPr>
        <w:t xml:space="preserve">absolutes Nichts </w:t>
      </w:r>
      <w:r w:rsidRPr="00B14064">
        <w:rPr>
          <w:rFonts w:ascii="Times New Roman" w:hAnsi="Times New Roman" w:cs="Times New Roman"/>
          <w:sz w:val="20"/>
          <w:szCs w:val="20"/>
        </w:rPr>
        <w:t xml:space="preserve">risultante dalla nientificazione delle opposizioni del pensare riflessivo </w:t>
      </w:r>
      <w:r w:rsidRPr="00B14064">
        <w:rPr>
          <w:rFonts w:ascii="Times New Roman" w:hAnsi="Times New Roman" w:cs="Times New Roman"/>
          <w:sz w:val="20"/>
          <w:szCs w:val="20"/>
        </w:rPr>
        <w:softHyphen/>
        <w:t xml:space="preserve">– rappresenterebbe il corrispettivo della </w:t>
      </w:r>
      <w:r w:rsidRPr="00B14064">
        <w:rPr>
          <w:rFonts w:ascii="Times New Roman" w:hAnsi="Times New Roman" w:cs="Times New Roman"/>
          <w:i/>
          <w:sz w:val="20"/>
          <w:szCs w:val="20"/>
        </w:rPr>
        <w:t>negative Auslegung des Absoluten</w:t>
      </w:r>
      <w:r w:rsidRPr="00B14064">
        <w:rPr>
          <w:rFonts w:ascii="Times New Roman" w:hAnsi="Times New Roman" w:cs="Times New Roman"/>
          <w:sz w:val="20"/>
          <w:szCs w:val="20"/>
        </w:rPr>
        <w:t xml:space="preserve">. </w:t>
      </w:r>
      <w:r>
        <w:rPr>
          <w:rFonts w:ascii="Times New Roman" w:hAnsi="Times New Roman" w:cs="Times New Roman"/>
          <w:sz w:val="20"/>
          <w:szCs w:val="20"/>
        </w:rPr>
        <w:t xml:space="preserve">In </w:t>
      </w:r>
      <w:r w:rsidRPr="00B14064">
        <w:rPr>
          <w:rFonts w:ascii="Times New Roman" w:hAnsi="Times New Roman" w:cs="Times New Roman"/>
          <w:i/>
          <w:sz w:val="20"/>
          <w:szCs w:val="20"/>
          <w:lang w:val="de-DE"/>
        </w:rPr>
        <w:t>Glauben und Wissen</w:t>
      </w:r>
      <w:r w:rsidRPr="00B14064">
        <w:rPr>
          <w:rFonts w:ascii="Times New Roman" w:hAnsi="Times New Roman" w:cs="Times New Roman"/>
          <w:sz w:val="20"/>
          <w:szCs w:val="20"/>
          <w:lang w:val="de-DE"/>
        </w:rPr>
        <w:t>,</w:t>
      </w:r>
      <w:r>
        <w:rPr>
          <w:rFonts w:ascii="Times New Roman" w:hAnsi="Times New Roman" w:cs="Times New Roman"/>
          <w:sz w:val="20"/>
          <w:szCs w:val="20"/>
        </w:rPr>
        <w:t xml:space="preserve"> e questo è un aspetto tralasciato dal contributo di Sandra Palermo, al momento </w:t>
      </w:r>
      <w:r w:rsidRPr="00485DAF">
        <w:rPr>
          <w:rFonts w:ascii="Times New Roman" w:hAnsi="Times New Roman" w:cs="Times New Roman"/>
          <w:i/>
          <w:sz w:val="20"/>
          <w:szCs w:val="20"/>
        </w:rPr>
        <w:t>scettico</w:t>
      </w:r>
      <w:r>
        <w:rPr>
          <w:rFonts w:ascii="Times New Roman" w:hAnsi="Times New Roman" w:cs="Times New Roman"/>
          <w:sz w:val="20"/>
          <w:szCs w:val="20"/>
        </w:rPr>
        <w:t xml:space="preserve"> segue un’esposizione dell’Assoluto come assoluta affermazione di sé. </w:t>
      </w:r>
      <w:r w:rsidRPr="00696BB4">
        <w:rPr>
          <w:rFonts w:ascii="Times New Roman" w:hAnsi="Times New Roman" w:cs="Times New Roman"/>
          <w:sz w:val="20"/>
          <w:szCs w:val="20"/>
        </w:rPr>
        <w:t>Negli sc</w:t>
      </w:r>
      <w:r>
        <w:rPr>
          <w:rFonts w:ascii="Times New Roman" w:hAnsi="Times New Roman" w:cs="Times New Roman"/>
          <w:sz w:val="20"/>
          <w:szCs w:val="20"/>
        </w:rPr>
        <w:t>ritti collocabili fra il 1801 e</w:t>
      </w:r>
      <w:r w:rsidRPr="00696BB4">
        <w:rPr>
          <w:rFonts w:ascii="Times New Roman" w:hAnsi="Times New Roman" w:cs="Times New Roman"/>
          <w:sz w:val="20"/>
          <w:szCs w:val="20"/>
        </w:rPr>
        <w:t xml:space="preserve"> il 1803, lo spinozismo non è semplice introduzione negativa all’Assoluto</w:t>
      </w:r>
      <w:r>
        <w:rPr>
          <w:rFonts w:ascii="Times New Roman" w:hAnsi="Times New Roman" w:cs="Times New Roman"/>
          <w:sz w:val="20"/>
          <w:szCs w:val="20"/>
        </w:rPr>
        <w:t xml:space="preserve">, ma anche </w:t>
      </w:r>
      <w:r w:rsidRPr="00B17567">
        <w:rPr>
          <w:rFonts w:ascii="Times New Roman" w:hAnsi="Times New Roman" w:cs="Times New Roman"/>
          <w:i/>
          <w:sz w:val="20"/>
          <w:szCs w:val="20"/>
          <w:lang w:val="de-DE"/>
        </w:rPr>
        <w:t>positive Auslegung</w:t>
      </w:r>
      <w:r>
        <w:rPr>
          <w:rFonts w:ascii="Times New Roman" w:hAnsi="Times New Roman" w:cs="Times New Roman"/>
          <w:sz w:val="20"/>
          <w:szCs w:val="20"/>
        </w:rPr>
        <w:t xml:space="preserve"> del medesimo. Riguardo alla sezione sull’</w:t>
      </w:r>
      <w:r w:rsidRPr="0022773A">
        <w:rPr>
          <w:rFonts w:ascii="Times New Roman" w:hAnsi="Times New Roman" w:cs="Times New Roman"/>
          <w:i/>
          <w:sz w:val="20"/>
          <w:szCs w:val="20"/>
        </w:rPr>
        <w:t>Absolute</w:t>
      </w:r>
      <w:r>
        <w:rPr>
          <w:rFonts w:ascii="Times New Roman" w:hAnsi="Times New Roman" w:cs="Times New Roman"/>
          <w:sz w:val="20"/>
          <w:szCs w:val="20"/>
        </w:rPr>
        <w:t xml:space="preserve">, il recupero hegeliano dello spinozismo tralascia quel momento positivo valorizzato, invece, nel saggio del 1802. Ritengo che l’omissione dell’elemento positivo denoti una ripresa dello spinozismo figlia anche della </w:t>
      </w:r>
      <w:r w:rsidRPr="00061061">
        <w:rPr>
          <w:rFonts w:ascii="Times New Roman" w:hAnsi="Times New Roman" w:cs="Times New Roman"/>
          <w:i/>
          <w:sz w:val="20"/>
          <w:szCs w:val="20"/>
        </w:rPr>
        <w:t>Jenaer Logik und Metaphysik</w:t>
      </w:r>
      <w:r>
        <w:rPr>
          <w:rFonts w:ascii="Times New Roman" w:hAnsi="Times New Roman" w:cs="Times New Roman"/>
          <w:sz w:val="20"/>
          <w:szCs w:val="20"/>
        </w:rPr>
        <w:t xml:space="preserve"> e della </w:t>
      </w:r>
      <w:r w:rsidRPr="00061061">
        <w:rPr>
          <w:rFonts w:ascii="Times New Roman" w:hAnsi="Times New Roman" w:cs="Times New Roman"/>
          <w:i/>
          <w:sz w:val="20"/>
          <w:szCs w:val="20"/>
        </w:rPr>
        <w:t>Phänomenologie des Geistes</w:t>
      </w:r>
      <w:r>
        <w:rPr>
          <w:rFonts w:ascii="Times New Roman" w:hAnsi="Times New Roman" w:cs="Times New Roman"/>
          <w:sz w:val="20"/>
          <w:szCs w:val="20"/>
        </w:rPr>
        <w:t xml:space="preserve">, dove il carattere affermativo dell’Assoluto dilegua dinnanzi alla (presunta) mancanza di sviluppo della sostanza. Su questa natura prettamente negativa, e con ciò indifferenziata, della sostanza, cfr. J. Halfwassen, </w:t>
      </w:r>
      <w:r>
        <w:rPr>
          <w:rFonts w:ascii="Times New Roman" w:hAnsi="Times New Roman" w:cs="Times New Roman"/>
          <w:i/>
          <w:sz w:val="20"/>
          <w:szCs w:val="20"/>
        </w:rPr>
        <w:t>Hegel und die negative Theologie</w:t>
      </w:r>
      <w:r>
        <w:rPr>
          <w:rFonts w:ascii="Times New Roman" w:hAnsi="Times New Roman" w:cs="Times New Roman"/>
          <w:sz w:val="20"/>
          <w:szCs w:val="20"/>
        </w:rPr>
        <w:t xml:space="preserve">, in </w:t>
      </w:r>
      <w:r>
        <w:rPr>
          <w:rFonts w:ascii="Times New Roman" w:hAnsi="Times New Roman" w:cs="Times New Roman"/>
          <w:i/>
          <w:sz w:val="20"/>
          <w:szCs w:val="20"/>
        </w:rPr>
        <w:t xml:space="preserve">Hegels </w:t>
      </w:r>
      <w:r w:rsidRPr="009D5A4B">
        <w:rPr>
          <w:rFonts w:ascii="Times New Roman" w:hAnsi="Times New Roman" w:cs="Times New Roman"/>
          <w:i/>
          <w:sz w:val="20"/>
          <w:szCs w:val="20"/>
        </w:rPr>
        <w:t>«Lehre vom Wesen</w:t>
      </w:r>
      <w:r w:rsidRPr="009D5A4B">
        <w:rPr>
          <w:rFonts w:ascii="Times New Roman" w:eastAsia="Times New Roman" w:hAnsi="Times New Roman" w:cs="Times New Roman"/>
          <w:i/>
          <w:color w:val="000000"/>
          <w:sz w:val="20"/>
          <w:szCs w:val="20"/>
          <w:lang w:val="de-DE"/>
        </w:rPr>
        <w:t>»</w:t>
      </w:r>
      <w:r>
        <w:rPr>
          <w:rFonts w:ascii="Times New Roman" w:hAnsi="Times New Roman" w:cs="Times New Roman"/>
          <w:sz w:val="20"/>
          <w:szCs w:val="20"/>
        </w:rPr>
        <w:t>, cit., pp.116-127.</w:t>
      </w:r>
    </w:p>
  </w:footnote>
  <w:footnote w:id="434">
    <w:p w14:paraId="08CE4C2A" w14:textId="77777777" w:rsidR="00B34CC2" w:rsidRPr="00714F33" w:rsidRDefault="00B34CC2" w:rsidP="003C611F">
      <w:pPr>
        <w:pStyle w:val="Testonotaapidipagina"/>
        <w:jc w:val="both"/>
        <w:rPr>
          <w:sz w:val="20"/>
          <w:szCs w:val="20"/>
        </w:rPr>
      </w:pPr>
      <w:r w:rsidRPr="00714F33">
        <w:rPr>
          <w:rStyle w:val="Rimandonotaapidipagina"/>
          <w:sz w:val="20"/>
          <w:szCs w:val="20"/>
        </w:rPr>
        <w:footnoteRef/>
      </w:r>
      <w:r w:rsidRPr="00714F33">
        <w:rPr>
          <w:sz w:val="20"/>
          <w:szCs w:val="20"/>
        </w:rPr>
        <w:t xml:space="preserve"> </w:t>
      </w:r>
      <w:r w:rsidRPr="00714F33">
        <w:rPr>
          <w:rFonts w:ascii="Times New Roman" w:hAnsi="Times New Roman" w:cs="Times New Roman"/>
          <w:i/>
          <w:sz w:val="20"/>
          <w:szCs w:val="20"/>
        </w:rPr>
        <w:t>Ibidem</w:t>
      </w:r>
      <w:r w:rsidRPr="00714F33">
        <w:rPr>
          <w:sz w:val="20"/>
          <w:szCs w:val="20"/>
        </w:rPr>
        <w:t>.</w:t>
      </w:r>
    </w:p>
  </w:footnote>
  <w:footnote w:id="435">
    <w:p w14:paraId="6D4C9BA1" w14:textId="77777777" w:rsidR="00B34CC2" w:rsidRPr="00485832" w:rsidRDefault="00B34CC2" w:rsidP="003C611F">
      <w:pPr>
        <w:pStyle w:val="Testonotaapidipagina"/>
        <w:jc w:val="both"/>
        <w:rPr>
          <w:rFonts w:ascii="Times New Roman" w:hAnsi="Times New Roman" w:cs="Times New Roman"/>
          <w:sz w:val="20"/>
          <w:szCs w:val="20"/>
        </w:rPr>
      </w:pPr>
      <w:r w:rsidRPr="00485832">
        <w:rPr>
          <w:rStyle w:val="Rimandonotaapidipagina"/>
          <w:rFonts w:ascii="Times New Roman" w:hAnsi="Times New Roman" w:cs="Times New Roman"/>
          <w:sz w:val="20"/>
          <w:szCs w:val="20"/>
        </w:rPr>
        <w:footnoteRef/>
      </w:r>
      <w:r w:rsidRPr="00485832">
        <w:rPr>
          <w:rFonts w:ascii="Times New Roman" w:hAnsi="Times New Roman" w:cs="Times New Roman"/>
          <w:sz w:val="20"/>
          <w:szCs w:val="20"/>
        </w:rPr>
        <w:t xml:space="preserve"> </w:t>
      </w:r>
      <w:r w:rsidRPr="00485832">
        <w:rPr>
          <w:rFonts w:ascii="Times New Roman" w:hAnsi="Times New Roman" w:cs="Times New Roman"/>
          <w:i/>
          <w:sz w:val="20"/>
          <w:szCs w:val="20"/>
        </w:rPr>
        <w:t>Ivi</w:t>
      </w:r>
      <w:r>
        <w:rPr>
          <w:rFonts w:ascii="Times New Roman" w:hAnsi="Times New Roman" w:cs="Times New Roman"/>
          <w:sz w:val="20"/>
          <w:szCs w:val="20"/>
        </w:rPr>
        <w:t>, p. 376.</w:t>
      </w:r>
    </w:p>
  </w:footnote>
  <w:footnote w:id="436">
    <w:p w14:paraId="2EFB6E6B" w14:textId="77777777" w:rsidR="00B34CC2" w:rsidRPr="00DB1B22" w:rsidRDefault="00B34CC2" w:rsidP="003C611F">
      <w:pPr>
        <w:pStyle w:val="Testonotaapidipagina"/>
        <w:jc w:val="both"/>
        <w:rPr>
          <w:rFonts w:ascii="Times New Roman" w:hAnsi="Times New Roman" w:cs="Times New Roman"/>
          <w:sz w:val="20"/>
          <w:szCs w:val="20"/>
        </w:rPr>
      </w:pPr>
      <w:r w:rsidRPr="00DB1B22">
        <w:rPr>
          <w:rStyle w:val="Rimandonotaapidipagina"/>
          <w:rFonts w:ascii="Times New Roman" w:hAnsi="Times New Roman"/>
          <w:sz w:val="20"/>
          <w:szCs w:val="20"/>
        </w:rPr>
        <w:footnoteRef/>
      </w:r>
      <w:r w:rsidRPr="00DB1B22">
        <w:rPr>
          <w:rFonts w:ascii="Times New Roman" w:hAnsi="Times New Roman"/>
          <w:sz w:val="20"/>
          <w:szCs w:val="20"/>
        </w:rPr>
        <w:t xml:space="preserve"> </w:t>
      </w:r>
      <w:r w:rsidRPr="00485832">
        <w:rPr>
          <w:rFonts w:ascii="Times New Roman" w:hAnsi="Times New Roman" w:cs="Times New Roman"/>
          <w:i/>
          <w:sz w:val="20"/>
          <w:szCs w:val="20"/>
        </w:rPr>
        <w:t>Ivi</w:t>
      </w:r>
      <w:r>
        <w:rPr>
          <w:rFonts w:ascii="Times New Roman" w:hAnsi="Times New Roman" w:cs="Times New Roman"/>
          <w:sz w:val="20"/>
          <w:szCs w:val="20"/>
        </w:rPr>
        <w:t>, p. 378.</w:t>
      </w:r>
    </w:p>
  </w:footnote>
  <w:footnote w:id="437">
    <w:p w14:paraId="7EC7CD51" w14:textId="77777777" w:rsidR="00B34CC2" w:rsidRPr="00320879" w:rsidRDefault="00B34CC2" w:rsidP="003C611F">
      <w:pPr>
        <w:pStyle w:val="Testonotaapidipagina"/>
        <w:jc w:val="both"/>
        <w:rPr>
          <w:rFonts w:ascii="Times New Roman" w:hAnsi="Times New Roman" w:cs="Times New Roman"/>
          <w:i/>
          <w:sz w:val="20"/>
          <w:szCs w:val="20"/>
        </w:rPr>
      </w:pPr>
      <w:r w:rsidRPr="00320879">
        <w:rPr>
          <w:rStyle w:val="Rimandonotaapidipagina"/>
          <w:rFonts w:ascii="Times New Roman" w:hAnsi="Times New Roman" w:cs="Times New Roman"/>
          <w:sz w:val="20"/>
          <w:szCs w:val="20"/>
        </w:rPr>
        <w:footnoteRef/>
      </w:r>
      <w:r w:rsidRPr="00320879">
        <w:rPr>
          <w:rFonts w:ascii="Times New Roman" w:hAnsi="Times New Roman" w:cs="Times New Roman"/>
          <w:sz w:val="20"/>
          <w:szCs w:val="20"/>
        </w:rPr>
        <w:t xml:space="preserve"> </w:t>
      </w:r>
      <w:r w:rsidRPr="00320879">
        <w:rPr>
          <w:rFonts w:ascii="Times New Roman" w:hAnsi="Times New Roman" w:cs="Times New Roman"/>
          <w:i/>
          <w:sz w:val="20"/>
          <w:szCs w:val="20"/>
        </w:rPr>
        <w:t>Ibidem.</w:t>
      </w:r>
    </w:p>
  </w:footnote>
  <w:footnote w:id="438">
    <w:p w14:paraId="521CA372" w14:textId="77777777" w:rsidR="00B34CC2" w:rsidRDefault="00B34CC2" w:rsidP="003C611F">
      <w:pPr>
        <w:pStyle w:val="Testonotaapidipagina"/>
        <w:jc w:val="both"/>
      </w:pPr>
      <w:r w:rsidRPr="00320879">
        <w:rPr>
          <w:rStyle w:val="Rimandonotaapidipagina"/>
          <w:rFonts w:ascii="Times New Roman" w:hAnsi="Times New Roman" w:cs="Times New Roman"/>
          <w:sz w:val="20"/>
          <w:szCs w:val="20"/>
        </w:rPr>
        <w:footnoteRef/>
      </w:r>
      <w:r>
        <w:t xml:space="preserve"> </w:t>
      </w:r>
      <w:r w:rsidRPr="00320879">
        <w:rPr>
          <w:rFonts w:ascii="Times New Roman" w:hAnsi="Times New Roman" w:cs="Times New Roman"/>
          <w:i/>
          <w:sz w:val="20"/>
          <w:szCs w:val="20"/>
        </w:rPr>
        <w:t>Ibidem.</w:t>
      </w:r>
    </w:p>
  </w:footnote>
  <w:footnote w:id="439">
    <w:p w14:paraId="2FB7328B" w14:textId="77777777" w:rsidR="00B34CC2" w:rsidRPr="00BD32E6" w:rsidRDefault="00B34CC2" w:rsidP="003C611F">
      <w:pPr>
        <w:pStyle w:val="Testonotaapidipagina"/>
        <w:jc w:val="both"/>
        <w:rPr>
          <w:rFonts w:ascii="Times New Roman" w:hAnsi="Times New Roman" w:cs="Times New Roman"/>
          <w:sz w:val="20"/>
          <w:szCs w:val="20"/>
        </w:rPr>
      </w:pPr>
      <w:r w:rsidRPr="00BD32E6">
        <w:rPr>
          <w:rStyle w:val="Rimandonotaapidipagina"/>
          <w:rFonts w:ascii="Times New Roman" w:hAnsi="Times New Roman" w:cs="Times New Roman"/>
          <w:sz w:val="20"/>
          <w:szCs w:val="20"/>
        </w:rPr>
        <w:footnoteRef/>
      </w:r>
      <w:r w:rsidRPr="00BD32E6">
        <w:rPr>
          <w:rFonts w:ascii="Times New Roman" w:hAnsi="Times New Roman" w:cs="Times New Roman"/>
          <w:sz w:val="20"/>
          <w:szCs w:val="20"/>
        </w:rPr>
        <w:t xml:space="preserve"> </w:t>
      </w:r>
      <w:r w:rsidRPr="008C203C">
        <w:rPr>
          <w:rFonts w:ascii="Times New Roman" w:hAnsi="Times New Roman" w:cs="Times New Roman"/>
          <w:sz w:val="20"/>
          <w:szCs w:val="20"/>
        </w:rPr>
        <w:t xml:space="preserve">G. W. Leibniz, </w:t>
      </w:r>
      <w:r w:rsidRPr="008C203C">
        <w:rPr>
          <w:rFonts w:ascii="Times New Roman" w:hAnsi="Times New Roman" w:cs="Times New Roman"/>
          <w:i/>
          <w:sz w:val="20"/>
          <w:szCs w:val="20"/>
        </w:rPr>
        <w:t>Monadologie</w:t>
      </w:r>
      <w:r w:rsidRPr="008C203C">
        <w:rPr>
          <w:rFonts w:ascii="Times New Roman" w:hAnsi="Times New Roman" w:cs="Times New Roman"/>
          <w:sz w:val="20"/>
          <w:szCs w:val="20"/>
        </w:rPr>
        <w:t xml:space="preserve">, in </w:t>
      </w:r>
      <w:r w:rsidRPr="008C203C">
        <w:rPr>
          <w:rFonts w:ascii="Times New Roman" w:hAnsi="Times New Roman" w:cs="Times New Roman"/>
          <w:i/>
          <w:sz w:val="20"/>
          <w:szCs w:val="20"/>
        </w:rPr>
        <w:t>Die philosophischen Schriften von Gottfried Wilhelm Leibniz</w:t>
      </w:r>
      <w:r w:rsidRPr="008C203C">
        <w:rPr>
          <w:rFonts w:ascii="Times New Roman" w:hAnsi="Times New Roman" w:cs="Times New Roman"/>
          <w:sz w:val="20"/>
          <w:szCs w:val="20"/>
        </w:rPr>
        <w:t xml:space="preserve">, Bd. VI, hrsg. von C. J. Gerhardt, Georg Olms Verlag, </w:t>
      </w:r>
      <w:r>
        <w:rPr>
          <w:rFonts w:ascii="Times New Roman" w:hAnsi="Times New Roman" w:cs="Times New Roman"/>
          <w:sz w:val="20"/>
          <w:szCs w:val="20"/>
        </w:rPr>
        <w:t>Hildesheim New York 1978, p. 607.</w:t>
      </w:r>
    </w:p>
  </w:footnote>
  <w:footnote w:id="440">
    <w:p w14:paraId="221AC814" w14:textId="02FAAC44" w:rsidR="00B34CC2" w:rsidRPr="00A83446" w:rsidRDefault="00B34CC2" w:rsidP="003C611F">
      <w:pPr>
        <w:pStyle w:val="Testonotaapidipagina"/>
        <w:jc w:val="both"/>
        <w:rPr>
          <w:rFonts w:ascii="Times New Roman" w:hAnsi="Times New Roman" w:cs="Times New Roman"/>
          <w:sz w:val="20"/>
          <w:szCs w:val="20"/>
        </w:rPr>
      </w:pPr>
      <w:r w:rsidRPr="00A83446">
        <w:rPr>
          <w:rStyle w:val="Rimandonotaapidipagina"/>
          <w:rFonts w:ascii="Times New Roman" w:hAnsi="Times New Roman" w:cs="Times New Roman"/>
          <w:sz w:val="20"/>
          <w:szCs w:val="20"/>
        </w:rPr>
        <w:footnoteRef/>
      </w:r>
      <w:r w:rsidRPr="00A83446">
        <w:rPr>
          <w:rFonts w:ascii="Times New Roman" w:hAnsi="Times New Roman" w:cs="Times New Roman"/>
          <w:sz w:val="20"/>
          <w:szCs w:val="20"/>
        </w:rPr>
        <w:t xml:space="preserve"> </w:t>
      </w:r>
      <w:r>
        <w:rPr>
          <w:rFonts w:ascii="Times New Roman" w:hAnsi="Times New Roman" w:cs="Times New Roman"/>
          <w:i/>
          <w:sz w:val="20"/>
          <w:szCs w:val="20"/>
        </w:rPr>
        <w:t>WdL I A</w:t>
      </w:r>
      <w:r>
        <w:rPr>
          <w:rFonts w:ascii="Times New Roman" w:hAnsi="Times New Roman" w:cs="Times New Roman"/>
          <w:sz w:val="20"/>
          <w:szCs w:val="20"/>
        </w:rPr>
        <w:t>, p. 379.</w:t>
      </w:r>
    </w:p>
  </w:footnote>
  <w:footnote w:id="441">
    <w:p w14:paraId="787A68FA" w14:textId="77777777" w:rsidR="00B34CC2" w:rsidRPr="00A83446" w:rsidRDefault="00B34CC2" w:rsidP="003C611F">
      <w:pPr>
        <w:pStyle w:val="Testonotaapidipagina"/>
        <w:jc w:val="both"/>
        <w:rPr>
          <w:rFonts w:ascii="Times New Roman" w:hAnsi="Times New Roman" w:cs="Times New Roman"/>
          <w:sz w:val="20"/>
          <w:szCs w:val="20"/>
        </w:rPr>
      </w:pPr>
      <w:r w:rsidRPr="00A83446">
        <w:rPr>
          <w:rStyle w:val="Rimandonotaapidipagina"/>
          <w:rFonts w:ascii="Times New Roman" w:hAnsi="Times New Roman" w:cs="Times New Roman"/>
          <w:sz w:val="20"/>
          <w:szCs w:val="20"/>
        </w:rPr>
        <w:footnoteRef/>
      </w:r>
      <w:r w:rsidRPr="00A83446">
        <w:rPr>
          <w:rFonts w:ascii="Times New Roman" w:hAnsi="Times New Roman" w:cs="Times New Roman"/>
          <w:sz w:val="20"/>
          <w:szCs w:val="20"/>
        </w:rPr>
        <w:t xml:space="preserve"> </w:t>
      </w:r>
      <w:r>
        <w:rPr>
          <w:rFonts w:ascii="Times New Roman" w:hAnsi="Times New Roman" w:cs="Times New Roman"/>
          <w:i/>
          <w:sz w:val="20"/>
          <w:szCs w:val="20"/>
        </w:rPr>
        <w:t>Ibidem</w:t>
      </w:r>
      <w:r>
        <w:rPr>
          <w:rFonts w:ascii="Times New Roman" w:hAnsi="Times New Roman" w:cs="Times New Roman"/>
          <w:sz w:val="20"/>
          <w:szCs w:val="20"/>
        </w:rPr>
        <w:t>.</w:t>
      </w:r>
    </w:p>
  </w:footnote>
  <w:footnote w:id="442">
    <w:p w14:paraId="0B1A2420" w14:textId="77777777" w:rsidR="00B34CC2" w:rsidRPr="00301078" w:rsidRDefault="00B34CC2" w:rsidP="003C611F">
      <w:pPr>
        <w:pStyle w:val="Testonotaapidipagina"/>
        <w:jc w:val="both"/>
        <w:rPr>
          <w:rFonts w:ascii="Times New Roman" w:hAnsi="Times New Roman" w:cs="Times New Roman"/>
          <w:sz w:val="20"/>
          <w:szCs w:val="20"/>
        </w:rPr>
      </w:pPr>
      <w:r w:rsidRPr="00D76E9B">
        <w:rPr>
          <w:rStyle w:val="Rimandonotaapidipagina"/>
          <w:rFonts w:ascii="Times New Roman" w:hAnsi="Times New Roman" w:cs="Times New Roman"/>
          <w:sz w:val="20"/>
          <w:szCs w:val="20"/>
        </w:rPr>
        <w:footnoteRef/>
      </w:r>
      <w:r w:rsidRPr="00D76E9B">
        <w:rPr>
          <w:rFonts w:ascii="Times New Roman" w:hAnsi="Times New Roman" w:cs="Times New Roman"/>
          <w:sz w:val="20"/>
          <w:szCs w:val="20"/>
        </w:rPr>
        <w:t xml:space="preserve"> Per lo spinozismo v</w:t>
      </w:r>
      <w:r>
        <w:rPr>
          <w:rFonts w:ascii="Times New Roman" w:hAnsi="Times New Roman" w:cs="Times New Roman"/>
          <w:sz w:val="20"/>
          <w:szCs w:val="20"/>
        </w:rPr>
        <w:t>ale un discorso complementare e</w:t>
      </w:r>
      <w:r w:rsidRPr="00D76E9B">
        <w:rPr>
          <w:rFonts w:ascii="Times New Roman" w:hAnsi="Times New Roman" w:cs="Times New Roman"/>
          <w:sz w:val="20"/>
          <w:szCs w:val="20"/>
        </w:rPr>
        <w:t xml:space="preserve"> antitetico ad un tempo: la sostanza è luce purissima, unità assoluta, che rigetta da sé il negativo, il finito, che è ridotto ad un semplice non-essere.</w:t>
      </w:r>
      <w:r>
        <w:rPr>
          <w:rFonts w:ascii="Times New Roman" w:hAnsi="Times New Roman" w:cs="Times New Roman"/>
          <w:sz w:val="20"/>
          <w:szCs w:val="20"/>
        </w:rPr>
        <w:t xml:space="preserve"> </w:t>
      </w:r>
      <w:r w:rsidRPr="00D76E9B">
        <w:rPr>
          <w:rFonts w:ascii="Times New Roman" w:hAnsi="Times New Roman" w:cs="Times New Roman"/>
          <w:sz w:val="20"/>
          <w:szCs w:val="20"/>
        </w:rPr>
        <w:t>L’ontologia leibniziana è oscurità in cui viene a mancare l’unità assoluta</w:t>
      </w:r>
      <w:r>
        <w:rPr>
          <w:rFonts w:ascii="Times New Roman" w:hAnsi="Times New Roman" w:cs="Times New Roman"/>
          <w:sz w:val="20"/>
          <w:szCs w:val="20"/>
        </w:rPr>
        <w:t xml:space="preserve"> (la luce)</w:t>
      </w:r>
      <w:r w:rsidRPr="00D76E9B">
        <w:rPr>
          <w:rFonts w:ascii="Times New Roman" w:hAnsi="Times New Roman" w:cs="Times New Roman"/>
          <w:sz w:val="20"/>
          <w:szCs w:val="20"/>
        </w:rPr>
        <w:t>, ossia il riflett</w:t>
      </w:r>
      <w:r>
        <w:rPr>
          <w:rFonts w:ascii="Times New Roman" w:hAnsi="Times New Roman" w:cs="Times New Roman"/>
          <w:sz w:val="20"/>
          <w:szCs w:val="20"/>
        </w:rPr>
        <w:t>ersi dell’infinito nel finito e del finito</w:t>
      </w:r>
      <w:r w:rsidRPr="00D76E9B">
        <w:rPr>
          <w:rFonts w:ascii="Times New Roman" w:hAnsi="Times New Roman" w:cs="Times New Roman"/>
          <w:sz w:val="20"/>
          <w:szCs w:val="20"/>
        </w:rPr>
        <w:t xml:space="preserve"> nell’infinito. Nel loro essere contrapposte, le metafisiche di Spinoza e Leibniz si richiamano vicendevolmente: ognuna, infatti, esibisce quegli elementi speculativi di cui l’altra è manchevole. Alla luce sostanziale (universalità) viene a mancare la tenebra monadica (singolarità), così come alla tenebra monadica (singolarità) la luce sostanziale (universalità). Quel terzo, capace d’essere sintesi di spinozismo e monadologia, sarà il pensiero di Jakob Böhme. La nozione d’</w:t>
      </w:r>
      <w:r w:rsidRPr="00D76E9B">
        <w:rPr>
          <w:rFonts w:ascii="Times New Roman" w:hAnsi="Times New Roman" w:cs="Times New Roman"/>
          <w:i/>
          <w:sz w:val="20"/>
          <w:szCs w:val="20"/>
        </w:rPr>
        <w:t>Inqualierung</w:t>
      </w:r>
      <w:r w:rsidRPr="00D76E9B">
        <w:rPr>
          <w:rFonts w:ascii="Times New Roman" w:hAnsi="Times New Roman" w:cs="Times New Roman"/>
          <w:sz w:val="20"/>
          <w:szCs w:val="20"/>
        </w:rPr>
        <w:t xml:space="preserve"> – lo abbiamo già visto e lo vedremo anche nel proseguo di questo sottocapitolo – è ciò che afferra l’opposizione di positivo (luce) e negativo (tenebra)</w:t>
      </w:r>
      <w:r>
        <w:rPr>
          <w:rFonts w:ascii="Times New Roman" w:hAnsi="Times New Roman" w:cs="Times New Roman"/>
          <w:sz w:val="20"/>
          <w:szCs w:val="20"/>
        </w:rPr>
        <w:t xml:space="preserve"> così come essa si delinea nell’essenza</w:t>
      </w:r>
      <w:r w:rsidRPr="00D76E9B">
        <w:rPr>
          <w:rFonts w:ascii="Times New Roman" w:hAnsi="Times New Roman" w:cs="Times New Roman"/>
          <w:sz w:val="20"/>
          <w:szCs w:val="20"/>
        </w:rPr>
        <w:t>.</w:t>
      </w:r>
    </w:p>
  </w:footnote>
  <w:footnote w:id="443">
    <w:p w14:paraId="04E8A949" w14:textId="4DBDE200" w:rsidR="00B34CC2" w:rsidRPr="00F91F6A" w:rsidRDefault="00B34CC2" w:rsidP="003C611F">
      <w:pPr>
        <w:pStyle w:val="Testonotaapidipagina"/>
        <w:jc w:val="both"/>
        <w:rPr>
          <w:rFonts w:ascii="Times New Roman" w:hAnsi="Times New Roman" w:cs="Times New Roman"/>
          <w:sz w:val="20"/>
          <w:szCs w:val="20"/>
        </w:rPr>
      </w:pPr>
      <w:r w:rsidRPr="00F91F6A">
        <w:rPr>
          <w:rStyle w:val="Rimandonotaapidipagina"/>
          <w:rFonts w:ascii="Times New Roman" w:hAnsi="Times New Roman" w:cs="Times New Roman"/>
          <w:sz w:val="20"/>
          <w:szCs w:val="20"/>
        </w:rPr>
        <w:footnoteRef/>
      </w:r>
      <w:r w:rsidRPr="00F91F6A">
        <w:rPr>
          <w:rFonts w:ascii="Times New Roman" w:hAnsi="Times New Roman" w:cs="Times New Roman"/>
          <w:sz w:val="20"/>
          <w:szCs w:val="20"/>
        </w:rPr>
        <w:t xml:space="preserve"> </w:t>
      </w:r>
      <w:r>
        <w:rPr>
          <w:rFonts w:ascii="Times New Roman" w:hAnsi="Times New Roman" w:cs="Times New Roman"/>
          <w:i/>
          <w:sz w:val="20"/>
          <w:szCs w:val="20"/>
        </w:rPr>
        <w:t>WdL I A</w:t>
      </w:r>
      <w:r>
        <w:rPr>
          <w:rFonts w:ascii="Times New Roman" w:hAnsi="Times New Roman" w:cs="Times New Roman"/>
          <w:sz w:val="20"/>
          <w:szCs w:val="20"/>
        </w:rPr>
        <w:t xml:space="preserve">, p. 379. Sugli esiti dogmatici della </w:t>
      </w:r>
      <w:r w:rsidRPr="00473FC1">
        <w:rPr>
          <w:rFonts w:ascii="Times New Roman" w:hAnsi="Times New Roman" w:cs="Times New Roman"/>
          <w:i/>
          <w:sz w:val="20"/>
          <w:szCs w:val="20"/>
        </w:rPr>
        <w:t>Monadologia</w:t>
      </w:r>
      <w:r>
        <w:rPr>
          <w:rFonts w:ascii="Times New Roman" w:hAnsi="Times New Roman" w:cs="Times New Roman"/>
          <w:sz w:val="20"/>
          <w:szCs w:val="20"/>
        </w:rPr>
        <w:t xml:space="preserve"> leibniziana cfr. J. Hyppolite, </w:t>
      </w:r>
      <w:r w:rsidRPr="00473FC1">
        <w:rPr>
          <w:rFonts w:ascii="Times New Roman" w:hAnsi="Times New Roman" w:cs="Times New Roman"/>
          <w:i/>
          <w:sz w:val="20"/>
          <w:szCs w:val="20"/>
        </w:rPr>
        <w:t>Logique et existence</w:t>
      </w:r>
      <w:r>
        <w:rPr>
          <w:rFonts w:ascii="Times New Roman" w:hAnsi="Times New Roman" w:cs="Times New Roman"/>
          <w:sz w:val="20"/>
          <w:szCs w:val="20"/>
        </w:rPr>
        <w:t>, cit., pp. 195-196.</w:t>
      </w:r>
    </w:p>
  </w:footnote>
  <w:footnote w:id="444">
    <w:p w14:paraId="6CB2F7D6" w14:textId="77777777" w:rsidR="00B34CC2" w:rsidRPr="001335A4" w:rsidRDefault="00B34CC2" w:rsidP="003C611F">
      <w:pPr>
        <w:pStyle w:val="Testonotaapidipagina"/>
        <w:jc w:val="both"/>
        <w:rPr>
          <w:rFonts w:ascii="Times New Roman" w:hAnsi="Times New Roman" w:cs="Times New Roman"/>
          <w:sz w:val="20"/>
          <w:szCs w:val="20"/>
          <w:lang w:val="de-DE"/>
        </w:rPr>
      </w:pPr>
      <w:r w:rsidRPr="001335A4">
        <w:rPr>
          <w:rStyle w:val="Rimandonotaapidipagina"/>
          <w:rFonts w:ascii="Times New Roman" w:hAnsi="Times New Roman" w:cs="Times New Roman"/>
          <w:sz w:val="20"/>
          <w:szCs w:val="20"/>
          <w:lang w:val="de-DE"/>
        </w:rPr>
        <w:footnoteRef/>
      </w:r>
      <w:r w:rsidRPr="001335A4">
        <w:rPr>
          <w:rFonts w:ascii="Times New Roman" w:hAnsi="Times New Roman" w:cs="Times New Roman"/>
          <w:sz w:val="20"/>
          <w:szCs w:val="20"/>
          <w:lang w:val="de-DE"/>
        </w:rPr>
        <w:t xml:space="preserve"> J. Böhme, </w:t>
      </w:r>
      <w:r w:rsidRPr="001335A4">
        <w:rPr>
          <w:rFonts w:ascii="Times New Roman" w:eastAsia="Times New Roman" w:hAnsi="Times New Roman" w:cs="Times New Roman"/>
          <w:i/>
          <w:color w:val="000000"/>
          <w:sz w:val="20"/>
          <w:szCs w:val="20"/>
          <w:lang w:val="de-DE"/>
        </w:rPr>
        <w:t>Von den drey</w:t>
      </w:r>
      <w:r w:rsidRPr="001335A4">
        <w:rPr>
          <w:rFonts w:ascii="Times New Roman" w:eastAsia="Times New Roman" w:hAnsi="Times New Roman" w:cs="Times New Roman"/>
          <w:color w:val="000000"/>
          <w:sz w:val="20"/>
          <w:szCs w:val="20"/>
          <w:lang w:val="de-DE"/>
        </w:rPr>
        <w:t xml:space="preserve"> </w:t>
      </w:r>
      <w:r w:rsidRPr="001335A4">
        <w:rPr>
          <w:rFonts w:ascii="Times New Roman" w:eastAsia="Times New Roman" w:hAnsi="Times New Roman" w:cs="Times New Roman"/>
          <w:i/>
          <w:color w:val="000000"/>
          <w:sz w:val="20"/>
          <w:szCs w:val="20"/>
          <w:lang w:val="de-DE"/>
        </w:rPr>
        <w:t>Prinzipien Göttliches Wesens</w:t>
      </w:r>
      <w:r w:rsidRPr="001335A4">
        <w:rPr>
          <w:rFonts w:ascii="Times New Roman" w:eastAsia="Times New Roman" w:hAnsi="Times New Roman" w:cs="Times New Roman"/>
          <w:color w:val="000000"/>
          <w:sz w:val="20"/>
          <w:szCs w:val="20"/>
          <w:lang w:val="de-DE"/>
        </w:rPr>
        <w:t xml:space="preserve">, in </w:t>
      </w:r>
      <w:r w:rsidRPr="001335A4">
        <w:rPr>
          <w:rFonts w:ascii="Times New Roman" w:eastAsia="Times New Roman" w:hAnsi="Times New Roman" w:cs="Times New Roman"/>
          <w:i/>
          <w:color w:val="000000"/>
          <w:sz w:val="20"/>
          <w:szCs w:val="20"/>
          <w:lang w:val="de-DE"/>
        </w:rPr>
        <w:t>Sämtliche Schriften</w:t>
      </w:r>
      <w:r w:rsidRPr="001335A4">
        <w:rPr>
          <w:rFonts w:ascii="Times New Roman" w:eastAsia="Times New Roman" w:hAnsi="Times New Roman" w:cs="Times New Roman"/>
          <w:color w:val="000000"/>
          <w:sz w:val="20"/>
          <w:szCs w:val="20"/>
          <w:lang w:val="de-DE"/>
        </w:rPr>
        <w:t>, Bd. II, hrsg. von W.-E. Peuckert, Frommann-Hoolzbog Verlag, Stuttgart 1988, p. 114.</w:t>
      </w:r>
    </w:p>
  </w:footnote>
  <w:footnote w:id="445">
    <w:p w14:paraId="28DAADED" w14:textId="77777777" w:rsidR="00B34CC2" w:rsidRPr="00914343" w:rsidRDefault="00B34CC2" w:rsidP="003C611F">
      <w:pPr>
        <w:pStyle w:val="Testonotaapidipagina"/>
        <w:jc w:val="both"/>
        <w:rPr>
          <w:rFonts w:ascii="Times New Roman" w:hAnsi="Times New Roman" w:cs="Times New Roman"/>
          <w:sz w:val="20"/>
          <w:szCs w:val="20"/>
        </w:rPr>
      </w:pPr>
      <w:r w:rsidRPr="00914343">
        <w:rPr>
          <w:rStyle w:val="Rimandonotaapidipagina"/>
          <w:rFonts w:ascii="Times New Roman" w:hAnsi="Times New Roman" w:cs="Times New Roman"/>
          <w:sz w:val="20"/>
          <w:szCs w:val="20"/>
        </w:rPr>
        <w:footnoteRef/>
      </w:r>
      <w:r w:rsidRPr="00914343">
        <w:rPr>
          <w:rFonts w:ascii="Times New Roman" w:hAnsi="Times New Roman" w:cs="Times New Roman"/>
          <w:sz w:val="20"/>
          <w:szCs w:val="20"/>
        </w:rPr>
        <w:t xml:space="preserve"> </w:t>
      </w:r>
      <w:r>
        <w:rPr>
          <w:rFonts w:ascii="Times New Roman" w:hAnsi="Times New Roman" w:cs="Times New Roman"/>
          <w:i/>
          <w:sz w:val="20"/>
          <w:szCs w:val="20"/>
        </w:rPr>
        <w:t>Ibidem</w:t>
      </w:r>
      <w:r>
        <w:rPr>
          <w:rFonts w:ascii="Times New Roman" w:hAnsi="Times New Roman" w:cs="Times New Roman"/>
          <w:sz w:val="20"/>
          <w:szCs w:val="20"/>
        </w:rPr>
        <w:t>.</w:t>
      </w:r>
    </w:p>
  </w:footnote>
  <w:footnote w:id="446">
    <w:p w14:paraId="684F2733" w14:textId="77777777" w:rsidR="00B34CC2" w:rsidRPr="00696BB4" w:rsidRDefault="00B34CC2" w:rsidP="003C611F">
      <w:pPr>
        <w:pStyle w:val="Testonotaapidipagina"/>
        <w:jc w:val="both"/>
        <w:rPr>
          <w:rFonts w:ascii="Times New Roman" w:hAnsi="Times New Roman" w:cs="Times New Roman"/>
          <w:sz w:val="20"/>
          <w:szCs w:val="20"/>
        </w:rPr>
      </w:pPr>
      <w:r w:rsidRPr="00696BB4">
        <w:rPr>
          <w:rStyle w:val="Rimandonotaapidipagina"/>
          <w:rFonts w:ascii="Times New Roman" w:hAnsi="Times New Roman" w:cs="Times New Roman"/>
          <w:sz w:val="20"/>
          <w:szCs w:val="20"/>
        </w:rPr>
        <w:footnoteRef/>
      </w:r>
      <w:r w:rsidRPr="00696BB4">
        <w:rPr>
          <w:rFonts w:ascii="Times New Roman" w:hAnsi="Times New Roman" w:cs="Times New Roman"/>
          <w:sz w:val="20"/>
          <w:szCs w:val="20"/>
        </w:rPr>
        <w:t xml:space="preserve"> </w:t>
      </w:r>
      <w:r w:rsidRPr="00696BB4">
        <w:rPr>
          <w:rFonts w:ascii="Times New Roman" w:hAnsi="Times New Roman" w:cs="Times New Roman"/>
          <w:i/>
          <w:sz w:val="20"/>
          <w:szCs w:val="20"/>
        </w:rPr>
        <w:t>Ibidem</w:t>
      </w:r>
      <w:r w:rsidRPr="00696BB4">
        <w:rPr>
          <w:rFonts w:ascii="Times New Roman" w:hAnsi="Times New Roman" w:cs="Times New Roman"/>
          <w:sz w:val="20"/>
          <w:szCs w:val="20"/>
        </w:rPr>
        <w:t>.</w:t>
      </w:r>
    </w:p>
  </w:footnote>
  <w:footnote w:id="447">
    <w:p w14:paraId="76844463" w14:textId="538572EA" w:rsidR="00B34CC2" w:rsidRPr="003C19CC" w:rsidRDefault="00B34CC2" w:rsidP="003C19CC">
      <w:pPr>
        <w:pStyle w:val="Testonotaapidipagina"/>
        <w:jc w:val="both"/>
        <w:rPr>
          <w:rFonts w:ascii="Times New Roman" w:hAnsi="Times New Roman" w:cs="Times New Roman"/>
          <w:sz w:val="20"/>
          <w:szCs w:val="20"/>
        </w:rPr>
      </w:pPr>
      <w:r w:rsidRPr="003C19CC">
        <w:rPr>
          <w:rStyle w:val="Rimandonotaapidipagina"/>
          <w:rFonts w:ascii="Times New Roman" w:hAnsi="Times New Roman" w:cs="Times New Roman"/>
          <w:sz w:val="20"/>
          <w:szCs w:val="20"/>
        </w:rPr>
        <w:footnoteRef/>
      </w:r>
      <w:r w:rsidRPr="003C19CC">
        <w:rPr>
          <w:rFonts w:ascii="Times New Roman" w:hAnsi="Times New Roman" w:cs="Times New Roman"/>
          <w:sz w:val="20"/>
          <w:szCs w:val="20"/>
        </w:rPr>
        <w:t xml:space="preserve"> Sulla produttività del negativo espressa dalla nozione böhmiana </w:t>
      </w:r>
      <w:r w:rsidRPr="003C19CC">
        <w:rPr>
          <w:rFonts w:ascii="Times New Roman" w:hAnsi="Times New Roman" w:cs="Times New Roman"/>
          <w:i/>
          <w:sz w:val="20"/>
          <w:szCs w:val="20"/>
        </w:rPr>
        <w:t>Qual</w:t>
      </w:r>
      <w:r w:rsidRPr="003C19CC">
        <w:rPr>
          <w:rFonts w:ascii="Times New Roman" w:hAnsi="Times New Roman" w:cs="Times New Roman"/>
          <w:sz w:val="20"/>
          <w:szCs w:val="20"/>
        </w:rPr>
        <w:t xml:space="preserve"> vedi </w:t>
      </w:r>
      <w:r w:rsidRPr="003C19CC">
        <w:rPr>
          <w:rFonts w:ascii="Times New Roman" w:hAnsi="Times New Roman" w:cs="Times New Roman"/>
          <w:i/>
          <w:sz w:val="20"/>
          <w:szCs w:val="20"/>
        </w:rPr>
        <w:t>SE (II)</w:t>
      </w:r>
      <w:r w:rsidRPr="003C19CC">
        <w:rPr>
          <w:rFonts w:ascii="Times New Roman" w:hAnsi="Times New Roman" w:cs="Times New Roman"/>
          <w:sz w:val="20"/>
          <w:szCs w:val="20"/>
        </w:rPr>
        <w:t xml:space="preserve">, p. 70: </w:t>
      </w:r>
      <w:r>
        <w:rPr>
          <w:rFonts w:ascii="Times New Roman" w:hAnsi="Times New Roman" w:cs="Times New Roman"/>
          <w:sz w:val="20"/>
          <w:szCs w:val="20"/>
        </w:rPr>
        <w:t>«</w:t>
      </w:r>
      <w:r w:rsidRPr="001B32DB">
        <w:rPr>
          <w:rFonts w:ascii="Times New Roman" w:hAnsi="Times New Roman" w:cs="Times New Roman"/>
          <w:sz w:val="20"/>
          <w:szCs w:val="20"/>
        </w:rPr>
        <w:t>Das Abstrahieren, wodurch das Vertiefen wird, ist für sich das Moment der Negation, des Opferns, und der weitere tiefsinnige Gedanken ist nicht zu verkennen, daß an diese Negativität, die Unendlichkeit, unmittelbar die Tätigkeit des Produzierens geknüpft ist (wie bei Jakob Böhme an die Pein, Qual das Qualierens und Quellen</w:t>
      </w:r>
      <w:r w:rsidRPr="005B423C">
        <w:rPr>
          <w:rFonts w:ascii="Times New Roman" w:eastAsia="Times New Roman" w:hAnsi="Times New Roman" w:cs="Times New Roman"/>
          <w:color w:val="000000"/>
          <w:sz w:val="20"/>
          <w:szCs w:val="20"/>
          <w:lang w:val="de-DE"/>
        </w:rPr>
        <w:t>»</w:t>
      </w:r>
      <w:r>
        <w:rPr>
          <w:rFonts w:ascii="Times New Roman" w:eastAsia="Times New Roman" w:hAnsi="Times New Roman" w:cs="Times New Roman"/>
          <w:color w:val="000000"/>
          <w:sz w:val="20"/>
          <w:szCs w:val="20"/>
          <w:lang w:val="de-DE"/>
        </w:rPr>
        <w:t>.</w:t>
      </w:r>
    </w:p>
  </w:footnote>
  <w:footnote w:id="448">
    <w:p w14:paraId="3F9FC205" w14:textId="3EBC75EC" w:rsidR="00B34CC2" w:rsidRPr="002F58C7" w:rsidRDefault="00B34CC2" w:rsidP="003C611F">
      <w:pPr>
        <w:pStyle w:val="Testonotaapidipagina"/>
        <w:jc w:val="both"/>
        <w:rPr>
          <w:rFonts w:ascii="Times New Roman" w:hAnsi="Times New Roman" w:cs="Times New Roman"/>
          <w:i/>
          <w:sz w:val="20"/>
          <w:szCs w:val="20"/>
        </w:rPr>
      </w:pPr>
      <w:r w:rsidRPr="00696BB4">
        <w:rPr>
          <w:rStyle w:val="Rimandonotaapidipagina"/>
          <w:rFonts w:ascii="Times New Roman" w:hAnsi="Times New Roman" w:cs="Times New Roman"/>
          <w:sz w:val="20"/>
          <w:szCs w:val="20"/>
        </w:rPr>
        <w:footnoteRef/>
      </w:r>
      <w:r>
        <w:rPr>
          <w:rFonts w:ascii="Times New Roman" w:hAnsi="Times New Roman" w:cs="Times New Roman"/>
          <w:sz w:val="20"/>
          <w:szCs w:val="20"/>
        </w:rPr>
        <w:t xml:space="preserve"> Sulla capacità del pensiero</w:t>
      </w:r>
      <w:r w:rsidRPr="00696BB4">
        <w:rPr>
          <w:rFonts w:ascii="Times New Roman" w:hAnsi="Times New Roman" w:cs="Times New Roman"/>
          <w:sz w:val="20"/>
          <w:szCs w:val="20"/>
        </w:rPr>
        <w:t xml:space="preserve"> di Böhme di superare l’unilateralità insita nell’ontologia spinoziana e leibniziana vedi </w:t>
      </w:r>
      <w:r w:rsidRPr="00696BB4">
        <w:rPr>
          <w:rFonts w:ascii="Times New Roman" w:hAnsi="Times New Roman" w:cs="Times New Roman"/>
          <w:i/>
          <w:sz w:val="20"/>
          <w:szCs w:val="20"/>
        </w:rPr>
        <w:t>VGP (M)</w:t>
      </w:r>
      <w:r w:rsidRPr="00696BB4">
        <w:rPr>
          <w:rFonts w:ascii="Times New Roman" w:hAnsi="Times New Roman" w:cs="Times New Roman"/>
          <w:sz w:val="20"/>
          <w:szCs w:val="20"/>
        </w:rPr>
        <w:t xml:space="preserve">, p. 17: </w:t>
      </w:r>
      <w:r w:rsidRPr="005B423C">
        <w:rPr>
          <w:rFonts w:ascii="Times New Roman" w:hAnsi="Times New Roman" w:cs="Times New Roman"/>
          <w:sz w:val="20"/>
          <w:szCs w:val="20"/>
        </w:rPr>
        <w:t>«</w:t>
      </w:r>
      <w:r w:rsidRPr="005B423C">
        <w:rPr>
          <w:rFonts w:ascii="Times New Roman" w:hAnsi="Times New Roman" w:cs="Times New Roman"/>
          <w:sz w:val="20"/>
          <w:szCs w:val="20"/>
          <w:lang w:val="de-DE"/>
        </w:rPr>
        <w:t>In neuerer Zeit Spinozismus, im Ganzen Platonismus, die Substanz aber in starrer Identität mit sich. Das Bewegliche mangelte ihm, das Prinzip der Subjectivität aber noch in der flachen Form der Individualität, trat ihm in den Leibnitzischen Monaden entgegen. Beide sind das Einseitige [...] Er [Jakob Böhme] treibt das Prinzip der tiefsten Innerlichkeit hervor, roh, gewaltsam, verworren. Dies ist das Gähren des Geistes in sich; auch ganz entfernt, ohne äußerliche Beziehun</w:t>
      </w:r>
      <w:r>
        <w:rPr>
          <w:rFonts w:ascii="Times New Roman" w:hAnsi="Times New Roman" w:cs="Times New Roman"/>
          <w:sz w:val="20"/>
          <w:szCs w:val="20"/>
          <w:lang w:val="de-DE"/>
        </w:rPr>
        <w:t>g tritt d</w:t>
      </w:r>
      <w:r w:rsidRPr="005B423C">
        <w:rPr>
          <w:rFonts w:ascii="Times New Roman" w:hAnsi="Times New Roman" w:cs="Times New Roman"/>
          <w:sz w:val="20"/>
          <w:szCs w:val="20"/>
          <w:lang w:val="de-DE"/>
        </w:rPr>
        <w:t>e</w:t>
      </w:r>
      <w:r>
        <w:rPr>
          <w:rFonts w:ascii="Times New Roman" w:hAnsi="Times New Roman" w:cs="Times New Roman"/>
          <w:sz w:val="20"/>
          <w:szCs w:val="20"/>
          <w:lang w:val="de-DE"/>
        </w:rPr>
        <w:t xml:space="preserve">n Gegensatz </w:t>
      </w:r>
      <w:r w:rsidRPr="005B423C">
        <w:rPr>
          <w:rFonts w:ascii="Times New Roman" w:hAnsi="Times New Roman" w:cs="Times New Roman"/>
          <w:sz w:val="20"/>
          <w:szCs w:val="20"/>
          <w:lang w:val="de-DE"/>
        </w:rPr>
        <w:t>und ist die Totalität vorhanden. Diese entgegengesetzten Prinzipien gereinigt von ihrer Einseitigkeit gehen dann hervor, die gereinigte Wahrheit, aber nicht die Wahrheit vor diesem Gegensatze, sondern nach demselben, als Resultat desselben. Der Gegensatz ist also im Resultate enthalten, das nun die tiefere, bestimmtere Wahrheit ist</w:t>
      </w:r>
      <w:r w:rsidRPr="005B423C">
        <w:rPr>
          <w:rFonts w:ascii="Times New Roman" w:eastAsia="Times New Roman" w:hAnsi="Times New Roman" w:cs="Times New Roman"/>
          <w:color w:val="000000"/>
          <w:sz w:val="20"/>
          <w:szCs w:val="20"/>
          <w:lang w:val="de-DE"/>
        </w:rPr>
        <w:t>».</w:t>
      </w:r>
    </w:p>
  </w:footnote>
  <w:footnote w:id="449">
    <w:p w14:paraId="6EE30245" w14:textId="0C0270A0" w:rsidR="00B34CC2" w:rsidRPr="001A42FA" w:rsidRDefault="00B34CC2" w:rsidP="003C611F">
      <w:pPr>
        <w:pStyle w:val="Testonotaapidipagina"/>
        <w:jc w:val="both"/>
        <w:rPr>
          <w:rFonts w:ascii="Times New Roman" w:hAnsi="Times New Roman" w:cs="Times New Roman"/>
          <w:sz w:val="20"/>
          <w:szCs w:val="20"/>
        </w:rPr>
      </w:pPr>
      <w:r w:rsidRPr="001A42FA">
        <w:rPr>
          <w:rStyle w:val="Rimandonotaapidipagina"/>
          <w:rFonts w:ascii="Times New Roman" w:hAnsi="Times New Roman" w:cs="Times New Roman"/>
          <w:sz w:val="20"/>
          <w:szCs w:val="20"/>
        </w:rPr>
        <w:footnoteRef/>
      </w:r>
      <w:r w:rsidRPr="001A42FA">
        <w:rPr>
          <w:rFonts w:ascii="Times New Roman" w:hAnsi="Times New Roman" w:cs="Times New Roman"/>
          <w:sz w:val="20"/>
          <w:szCs w:val="20"/>
        </w:rPr>
        <w:t xml:space="preserve"> </w:t>
      </w:r>
      <w:r>
        <w:rPr>
          <w:rFonts w:ascii="Times New Roman" w:hAnsi="Times New Roman" w:cs="Times New Roman"/>
          <w:i/>
          <w:sz w:val="20"/>
          <w:szCs w:val="20"/>
        </w:rPr>
        <w:t>WdL I A</w:t>
      </w:r>
      <w:r>
        <w:rPr>
          <w:rFonts w:ascii="Times New Roman" w:hAnsi="Times New Roman" w:cs="Times New Roman"/>
          <w:sz w:val="20"/>
          <w:szCs w:val="20"/>
        </w:rPr>
        <w:t>, p. 381.</w:t>
      </w:r>
    </w:p>
  </w:footnote>
  <w:footnote w:id="450">
    <w:p w14:paraId="15DB03B6" w14:textId="77777777" w:rsidR="00B34CC2" w:rsidRPr="00B71925" w:rsidRDefault="00B34CC2" w:rsidP="003C611F">
      <w:pPr>
        <w:pStyle w:val="Testonotaapidipagina"/>
        <w:jc w:val="both"/>
        <w:rPr>
          <w:rFonts w:ascii="Times New Roman" w:hAnsi="Times New Roman" w:cs="Times New Roman"/>
          <w:sz w:val="20"/>
          <w:szCs w:val="20"/>
        </w:rPr>
      </w:pPr>
      <w:r w:rsidRPr="00C509F1">
        <w:rPr>
          <w:rStyle w:val="Rimandonotaapidipagina"/>
          <w:rFonts w:ascii="Times New Roman" w:hAnsi="Times New Roman" w:cs="Times New Roman"/>
          <w:sz w:val="20"/>
          <w:szCs w:val="20"/>
        </w:rPr>
        <w:footnoteRef/>
      </w:r>
      <w:r w:rsidRPr="00C509F1">
        <w:rPr>
          <w:rFonts w:ascii="Times New Roman" w:hAnsi="Times New Roman" w:cs="Times New Roman"/>
          <w:sz w:val="20"/>
          <w:szCs w:val="20"/>
        </w:rPr>
        <w:t xml:space="preserve">  Su questo tema si veda N. Fazioni, </w:t>
      </w:r>
      <w:r w:rsidRPr="00C509F1">
        <w:rPr>
          <w:rFonts w:ascii="Times New Roman" w:hAnsi="Times New Roman" w:cs="Times New Roman"/>
          <w:i/>
          <w:sz w:val="20"/>
          <w:szCs w:val="20"/>
        </w:rPr>
        <w:t>Il problema della contingenza. Logica e politica in Hegel</w:t>
      </w:r>
      <w:r w:rsidRPr="00C509F1">
        <w:rPr>
          <w:rFonts w:ascii="Times New Roman" w:hAnsi="Times New Roman" w:cs="Times New Roman"/>
          <w:sz w:val="20"/>
          <w:szCs w:val="20"/>
        </w:rPr>
        <w:t xml:space="preserve">, Franco Angeli, Milano 2014; K. Hartmann, </w:t>
      </w:r>
      <w:r w:rsidRPr="00C509F1">
        <w:rPr>
          <w:rFonts w:ascii="Times New Roman" w:hAnsi="Times New Roman" w:cs="Times New Roman"/>
          <w:i/>
          <w:sz w:val="20"/>
          <w:szCs w:val="20"/>
        </w:rPr>
        <w:t>Hegels Logik</w:t>
      </w:r>
      <w:r w:rsidRPr="00C509F1">
        <w:rPr>
          <w:rFonts w:ascii="Times New Roman" w:hAnsi="Times New Roman" w:cs="Times New Roman"/>
          <w:sz w:val="20"/>
          <w:szCs w:val="20"/>
        </w:rPr>
        <w:t xml:space="preserve">, cit., pp. 250-272; L. Lugarini, </w:t>
      </w:r>
      <w:r w:rsidRPr="00C509F1">
        <w:rPr>
          <w:rFonts w:ascii="Times New Roman" w:hAnsi="Times New Roman" w:cs="Times New Roman"/>
          <w:i/>
          <w:sz w:val="20"/>
          <w:szCs w:val="20"/>
        </w:rPr>
        <w:t>Orizzonti hegeliani di comprensione dell’essere</w:t>
      </w:r>
      <w:r w:rsidRPr="00C509F1">
        <w:rPr>
          <w:rFonts w:ascii="Times New Roman" w:hAnsi="Times New Roman" w:cs="Times New Roman"/>
          <w:sz w:val="20"/>
          <w:szCs w:val="20"/>
        </w:rPr>
        <w:t xml:space="preserve">, cit., pp. 387-404; G. M. Wölfle, </w:t>
      </w:r>
      <w:r w:rsidRPr="00C509F1">
        <w:rPr>
          <w:rFonts w:ascii="Times New Roman" w:hAnsi="Times New Roman" w:cs="Times New Roman"/>
          <w:i/>
          <w:sz w:val="20"/>
          <w:szCs w:val="20"/>
        </w:rPr>
        <w:t>Die Wesenslogik in Hegels “Wissenschaft der Logik”</w:t>
      </w:r>
      <w:r w:rsidRPr="00C509F1">
        <w:rPr>
          <w:rFonts w:ascii="Times New Roman" w:hAnsi="Times New Roman" w:cs="Times New Roman"/>
          <w:sz w:val="20"/>
          <w:szCs w:val="20"/>
        </w:rPr>
        <w:t>, cit., pp. 459-469.</w:t>
      </w:r>
    </w:p>
  </w:footnote>
  <w:footnote w:id="451">
    <w:p w14:paraId="0E2A0D4D" w14:textId="5EAC6E78" w:rsidR="00B34CC2" w:rsidRPr="00A04691" w:rsidRDefault="00B34CC2" w:rsidP="003C611F">
      <w:pPr>
        <w:pStyle w:val="Testonotaapidipagina"/>
        <w:jc w:val="both"/>
        <w:rPr>
          <w:rFonts w:ascii="Times New Roman" w:hAnsi="Times New Roman" w:cs="Times New Roman"/>
          <w:sz w:val="20"/>
          <w:szCs w:val="20"/>
        </w:rPr>
      </w:pPr>
      <w:r w:rsidRPr="00A04691">
        <w:rPr>
          <w:rStyle w:val="Rimandonotaapidipagina"/>
          <w:rFonts w:ascii="Times New Roman" w:hAnsi="Times New Roman" w:cs="Times New Roman"/>
          <w:sz w:val="20"/>
          <w:szCs w:val="20"/>
        </w:rPr>
        <w:footnoteRef/>
      </w:r>
      <w:r w:rsidRPr="00A04691">
        <w:rPr>
          <w:rFonts w:ascii="Times New Roman" w:hAnsi="Times New Roman" w:cs="Times New Roman"/>
          <w:sz w:val="20"/>
          <w:szCs w:val="20"/>
        </w:rPr>
        <w:t xml:space="preserve"> </w:t>
      </w:r>
      <w:r>
        <w:rPr>
          <w:rFonts w:ascii="Times New Roman" w:hAnsi="Times New Roman" w:cs="Times New Roman"/>
          <w:i/>
          <w:sz w:val="20"/>
          <w:szCs w:val="20"/>
        </w:rPr>
        <w:t>WdL I A</w:t>
      </w:r>
      <w:r>
        <w:rPr>
          <w:rFonts w:ascii="Times New Roman" w:hAnsi="Times New Roman" w:cs="Times New Roman"/>
          <w:sz w:val="20"/>
          <w:szCs w:val="20"/>
        </w:rPr>
        <w:t>, p. 381.</w:t>
      </w:r>
    </w:p>
  </w:footnote>
  <w:footnote w:id="452">
    <w:p w14:paraId="7E4CEE94" w14:textId="77777777" w:rsidR="00B34CC2" w:rsidRDefault="00B34CC2" w:rsidP="003C611F">
      <w:pPr>
        <w:pStyle w:val="Testonotaapidipagina"/>
        <w:jc w:val="both"/>
      </w:pPr>
      <w:r w:rsidRPr="000E5871">
        <w:rPr>
          <w:rStyle w:val="Rimandonotaapidipagina"/>
          <w:rFonts w:ascii="Times New Roman" w:hAnsi="Times New Roman" w:cs="Times New Roman"/>
          <w:sz w:val="20"/>
          <w:szCs w:val="20"/>
        </w:rPr>
        <w:footnoteRef/>
      </w:r>
      <w:r w:rsidRPr="000E5871">
        <w:rPr>
          <w:rFonts w:ascii="Times New Roman" w:hAnsi="Times New Roman" w:cs="Times New Roman"/>
          <w:sz w:val="20"/>
          <w:szCs w:val="20"/>
        </w:rPr>
        <w:t xml:space="preserve"> </w:t>
      </w:r>
      <w:r>
        <w:rPr>
          <w:rFonts w:ascii="Times New Roman" w:hAnsi="Times New Roman" w:cs="Times New Roman"/>
          <w:i/>
          <w:sz w:val="20"/>
          <w:szCs w:val="20"/>
        </w:rPr>
        <w:t>Ibidem</w:t>
      </w:r>
      <w:r>
        <w:rPr>
          <w:rFonts w:ascii="Times New Roman" w:hAnsi="Times New Roman" w:cs="Times New Roman"/>
          <w:sz w:val="20"/>
          <w:szCs w:val="20"/>
        </w:rPr>
        <w:t>.</w:t>
      </w:r>
    </w:p>
  </w:footnote>
  <w:footnote w:id="453">
    <w:p w14:paraId="68699907" w14:textId="16DE2665" w:rsidR="00B34CC2" w:rsidRPr="00D8575C" w:rsidRDefault="00B34CC2" w:rsidP="003C611F">
      <w:pPr>
        <w:pStyle w:val="Testonotaapidipagina"/>
        <w:jc w:val="both"/>
        <w:rPr>
          <w:rFonts w:ascii="Times New Roman" w:hAnsi="Times New Roman" w:cs="Times New Roman"/>
          <w:sz w:val="20"/>
          <w:szCs w:val="20"/>
        </w:rPr>
      </w:pPr>
      <w:r w:rsidRPr="00D8575C">
        <w:rPr>
          <w:rStyle w:val="Rimandonotaapidipagina"/>
          <w:rFonts w:ascii="Times New Roman" w:hAnsi="Times New Roman" w:cs="Times New Roman"/>
          <w:sz w:val="20"/>
          <w:szCs w:val="20"/>
        </w:rPr>
        <w:footnoteRef/>
      </w:r>
      <w:r w:rsidRPr="00D8575C">
        <w:rPr>
          <w:rFonts w:ascii="Times New Roman" w:hAnsi="Times New Roman" w:cs="Times New Roman"/>
          <w:sz w:val="20"/>
          <w:szCs w:val="20"/>
        </w:rPr>
        <w:t xml:space="preserve"> </w:t>
      </w:r>
      <w:r>
        <w:rPr>
          <w:rFonts w:ascii="Times New Roman" w:hAnsi="Times New Roman" w:cs="Times New Roman"/>
          <w:i/>
          <w:sz w:val="20"/>
          <w:szCs w:val="20"/>
        </w:rPr>
        <w:t>Ibidem</w:t>
      </w:r>
      <w:r w:rsidRPr="00D8575C">
        <w:rPr>
          <w:rFonts w:ascii="Times New Roman" w:hAnsi="Times New Roman" w:cs="Times New Roman"/>
          <w:sz w:val="20"/>
          <w:szCs w:val="20"/>
        </w:rPr>
        <w:t>.</w:t>
      </w:r>
    </w:p>
  </w:footnote>
  <w:footnote w:id="454">
    <w:p w14:paraId="362085B9" w14:textId="77777777" w:rsidR="00B34CC2" w:rsidRPr="00D8575C" w:rsidRDefault="00B34CC2" w:rsidP="003C611F">
      <w:pPr>
        <w:pStyle w:val="Testonotaapidipagina"/>
        <w:jc w:val="both"/>
        <w:rPr>
          <w:rFonts w:ascii="Times New Roman" w:hAnsi="Times New Roman" w:cs="Times New Roman"/>
          <w:sz w:val="20"/>
          <w:szCs w:val="20"/>
        </w:rPr>
      </w:pPr>
      <w:r w:rsidRPr="00D8575C">
        <w:rPr>
          <w:rStyle w:val="Rimandonotaapidipagina"/>
          <w:rFonts w:ascii="Times New Roman" w:hAnsi="Times New Roman" w:cs="Times New Roman"/>
          <w:sz w:val="20"/>
          <w:szCs w:val="20"/>
        </w:rPr>
        <w:footnoteRef/>
      </w:r>
      <w:r w:rsidRPr="00D8575C">
        <w:rPr>
          <w:rFonts w:ascii="Times New Roman" w:hAnsi="Times New Roman" w:cs="Times New Roman"/>
          <w:sz w:val="20"/>
          <w:szCs w:val="20"/>
        </w:rPr>
        <w:t xml:space="preserve"> </w:t>
      </w:r>
      <w:r w:rsidRPr="00D8575C">
        <w:rPr>
          <w:rFonts w:ascii="Times New Roman" w:hAnsi="Times New Roman" w:cs="Times New Roman"/>
          <w:i/>
          <w:sz w:val="20"/>
          <w:szCs w:val="20"/>
        </w:rPr>
        <w:t>Ivi</w:t>
      </w:r>
      <w:r w:rsidRPr="00D8575C">
        <w:rPr>
          <w:rFonts w:ascii="Times New Roman" w:hAnsi="Times New Roman" w:cs="Times New Roman"/>
          <w:sz w:val="20"/>
          <w:szCs w:val="20"/>
        </w:rPr>
        <w:t>, p. 384.</w:t>
      </w:r>
    </w:p>
  </w:footnote>
  <w:footnote w:id="455">
    <w:p w14:paraId="18B6DE6E" w14:textId="77777777" w:rsidR="00B34CC2" w:rsidRPr="00D8575C" w:rsidRDefault="00B34CC2" w:rsidP="003C611F">
      <w:pPr>
        <w:pStyle w:val="Testonotaapidipagina"/>
        <w:jc w:val="both"/>
        <w:rPr>
          <w:i/>
        </w:rPr>
      </w:pPr>
      <w:r w:rsidRPr="00D8575C">
        <w:rPr>
          <w:rStyle w:val="Rimandonotaapidipagina"/>
          <w:rFonts w:ascii="Times New Roman" w:hAnsi="Times New Roman" w:cs="Times New Roman"/>
          <w:sz w:val="20"/>
          <w:szCs w:val="20"/>
        </w:rPr>
        <w:footnoteRef/>
      </w:r>
      <w:r w:rsidRPr="00D8575C">
        <w:rPr>
          <w:rFonts w:ascii="Times New Roman" w:hAnsi="Times New Roman" w:cs="Times New Roman"/>
          <w:sz w:val="20"/>
          <w:szCs w:val="20"/>
        </w:rPr>
        <w:t xml:space="preserve"> </w:t>
      </w:r>
      <w:r w:rsidRPr="00D8575C">
        <w:rPr>
          <w:rFonts w:ascii="Times New Roman" w:hAnsi="Times New Roman" w:cs="Times New Roman"/>
          <w:i/>
          <w:sz w:val="20"/>
          <w:szCs w:val="20"/>
        </w:rPr>
        <w:t>Ibidem.</w:t>
      </w:r>
    </w:p>
  </w:footnote>
  <w:footnote w:id="456">
    <w:p w14:paraId="3A7FDBBB" w14:textId="77777777" w:rsidR="00B34CC2" w:rsidRPr="00C92E96" w:rsidRDefault="00B34CC2" w:rsidP="003C611F">
      <w:pPr>
        <w:pStyle w:val="Testonotaapidipagina"/>
        <w:jc w:val="both"/>
        <w:rPr>
          <w:i/>
        </w:rPr>
      </w:pPr>
      <w:r w:rsidRPr="00C92E96">
        <w:rPr>
          <w:rStyle w:val="Rimandonotaapidipagina"/>
          <w:rFonts w:ascii="Times New Roman" w:hAnsi="Times New Roman" w:cs="Times New Roman"/>
          <w:sz w:val="20"/>
          <w:szCs w:val="20"/>
        </w:rPr>
        <w:footnoteRef/>
      </w:r>
      <w:r w:rsidRPr="00C92E96">
        <w:rPr>
          <w:rFonts w:ascii="Times New Roman" w:hAnsi="Times New Roman" w:cs="Times New Roman"/>
          <w:sz w:val="20"/>
          <w:szCs w:val="20"/>
        </w:rPr>
        <w:t xml:space="preserve"> </w:t>
      </w:r>
      <w:r w:rsidRPr="00D8575C">
        <w:rPr>
          <w:rFonts w:ascii="Times New Roman" w:hAnsi="Times New Roman" w:cs="Times New Roman"/>
          <w:i/>
          <w:sz w:val="20"/>
          <w:szCs w:val="20"/>
        </w:rPr>
        <w:t>Ibidem.</w:t>
      </w:r>
    </w:p>
  </w:footnote>
  <w:footnote w:id="457">
    <w:p w14:paraId="561D707F" w14:textId="77777777" w:rsidR="00B34CC2" w:rsidRPr="00D76325" w:rsidRDefault="00B34CC2" w:rsidP="003C611F">
      <w:pPr>
        <w:pStyle w:val="Testonotaapidipagina"/>
        <w:jc w:val="both"/>
        <w:rPr>
          <w:rFonts w:ascii="Times New Roman" w:hAnsi="Times New Roman" w:cs="Times New Roman"/>
          <w:sz w:val="20"/>
          <w:szCs w:val="20"/>
        </w:rPr>
      </w:pPr>
      <w:r w:rsidRPr="00D76325">
        <w:rPr>
          <w:rStyle w:val="Rimandonotaapidipagina"/>
          <w:rFonts w:ascii="Times New Roman" w:hAnsi="Times New Roman" w:cs="Times New Roman"/>
          <w:sz w:val="20"/>
          <w:szCs w:val="20"/>
        </w:rPr>
        <w:footnoteRef/>
      </w:r>
      <w:r w:rsidRPr="00D76325">
        <w:rPr>
          <w:rFonts w:ascii="Times New Roman" w:hAnsi="Times New Roman" w:cs="Times New Roman"/>
          <w:sz w:val="20"/>
          <w:szCs w:val="20"/>
        </w:rPr>
        <w:t xml:space="preserve"> </w:t>
      </w:r>
      <w:r w:rsidRPr="00D8575C">
        <w:rPr>
          <w:rFonts w:ascii="Times New Roman" w:hAnsi="Times New Roman" w:cs="Times New Roman"/>
          <w:i/>
          <w:sz w:val="20"/>
          <w:szCs w:val="20"/>
        </w:rPr>
        <w:t>Ivi</w:t>
      </w:r>
      <w:r>
        <w:rPr>
          <w:rFonts w:ascii="Times New Roman" w:hAnsi="Times New Roman" w:cs="Times New Roman"/>
          <w:sz w:val="20"/>
          <w:szCs w:val="20"/>
        </w:rPr>
        <w:t>, p. 385.</w:t>
      </w:r>
    </w:p>
  </w:footnote>
  <w:footnote w:id="458">
    <w:p w14:paraId="427190A1" w14:textId="77777777" w:rsidR="00B34CC2" w:rsidRPr="00D76325" w:rsidRDefault="00B34CC2" w:rsidP="003C611F">
      <w:pPr>
        <w:pStyle w:val="Testonotaapidipagina"/>
        <w:jc w:val="both"/>
        <w:rPr>
          <w:rFonts w:ascii="Times New Roman" w:hAnsi="Times New Roman" w:cs="Times New Roman"/>
          <w:sz w:val="20"/>
          <w:szCs w:val="20"/>
        </w:rPr>
      </w:pPr>
      <w:r w:rsidRPr="00D76325">
        <w:rPr>
          <w:rStyle w:val="Rimandonotaapidipagina"/>
          <w:rFonts w:ascii="Times New Roman" w:hAnsi="Times New Roman" w:cs="Times New Roman"/>
          <w:sz w:val="20"/>
          <w:szCs w:val="20"/>
        </w:rPr>
        <w:footnoteRef/>
      </w:r>
      <w:r w:rsidRPr="00D76325">
        <w:rPr>
          <w:rFonts w:ascii="Times New Roman" w:hAnsi="Times New Roman" w:cs="Times New Roman"/>
          <w:sz w:val="20"/>
          <w:szCs w:val="20"/>
        </w:rPr>
        <w:t xml:space="preserve"> </w:t>
      </w:r>
      <w:r w:rsidRPr="00D8575C">
        <w:rPr>
          <w:rFonts w:ascii="Times New Roman" w:hAnsi="Times New Roman" w:cs="Times New Roman"/>
          <w:i/>
          <w:sz w:val="20"/>
          <w:szCs w:val="20"/>
        </w:rPr>
        <w:t>Ibidem</w:t>
      </w:r>
      <w:r>
        <w:rPr>
          <w:rFonts w:ascii="Times New Roman" w:hAnsi="Times New Roman" w:cs="Times New Roman"/>
          <w:sz w:val="20"/>
          <w:szCs w:val="20"/>
        </w:rPr>
        <w:t>.</w:t>
      </w:r>
    </w:p>
  </w:footnote>
  <w:footnote w:id="459">
    <w:p w14:paraId="19C637D3" w14:textId="77777777" w:rsidR="00B34CC2" w:rsidRPr="00D76325" w:rsidRDefault="00B34CC2" w:rsidP="003C611F">
      <w:pPr>
        <w:pStyle w:val="Testonotaapidipagina"/>
        <w:jc w:val="both"/>
      </w:pPr>
      <w:r w:rsidRPr="00D76325">
        <w:rPr>
          <w:rStyle w:val="Rimandonotaapidipagina"/>
          <w:rFonts w:ascii="Times New Roman" w:hAnsi="Times New Roman" w:cs="Times New Roman"/>
          <w:sz w:val="20"/>
          <w:szCs w:val="20"/>
        </w:rPr>
        <w:footnoteRef/>
      </w:r>
      <w:r>
        <w:t xml:space="preserve"> </w:t>
      </w:r>
      <w:r w:rsidRPr="00D8575C">
        <w:rPr>
          <w:rFonts w:ascii="Times New Roman" w:hAnsi="Times New Roman" w:cs="Times New Roman"/>
          <w:i/>
          <w:sz w:val="20"/>
          <w:szCs w:val="20"/>
        </w:rPr>
        <w:t>Ibidem</w:t>
      </w:r>
      <w:r>
        <w:rPr>
          <w:rFonts w:ascii="Times New Roman" w:hAnsi="Times New Roman" w:cs="Times New Roman"/>
          <w:sz w:val="20"/>
          <w:szCs w:val="20"/>
        </w:rPr>
        <w:t>.</w:t>
      </w:r>
    </w:p>
  </w:footnote>
  <w:footnote w:id="460">
    <w:p w14:paraId="64584A21" w14:textId="77777777" w:rsidR="00B34CC2" w:rsidRPr="00CB1951" w:rsidRDefault="00B34CC2" w:rsidP="003C611F">
      <w:pPr>
        <w:pStyle w:val="Testonotaapidipagina"/>
        <w:jc w:val="both"/>
        <w:rPr>
          <w:rFonts w:ascii="Times New Roman" w:hAnsi="Times New Roman" w:cs="Times New Roman"/>
          <w:sz w:val="20"/>
          <w:szCs w:val="20"/>
        </w:rPr>
      </w:pPr>
      <w:r w:rsidRPr="00CB1951">
        <w:rPr>
          <w:rStyle w:val="Rimandonotaapidipagina"/>
          <w:rFonts w:ascii="Times New Roman" w:hAnsi="Times New Roman" w:cs="Times New Roman"/>
          <w:sz w:val="20"/>
          <w:szCs w:val="20"/>
        </w:rPr>
        <w:footnoteRef/>
      </w:r>
      <w:r>
        <w:t xml:space="preserve"> </w:t>
      </w:r>
      <w:r w:rsidRPr="00D8575C">
        <w:rPr>
          <w:rFonts w:ascii="Times New Roman" w:hAnsi="Times New Roman" w:cs="Times New Roman"/>
          <w:i/>
          <w:sz w:val="20"/>
          <w:szCs w:val="20"/>
        </w:rPr>
        <w:t>Ivi</w:t>
      </w:r>
      <w:r>
        <w:rPr>
          <w:rFonts w:ascii="Times New Roman" w:hAnsi="Times New Roman" w:cs="Times New Roman"/>
          <w:sz w:val="20"/>
          <w:szCs w:val="20"/>
        </w:rPr>
        <w:t>, p. 387.</w:t>
      </w:r>
    </w:p>
  </w:footnote>
  <w:footnote w:id="461">
    <w:p w14:paraId="2A20C1D6" w14:textId="77777777" w:rsidR="00B34CC2" w:rsidRPr="003F0F90" w:rsidRDefault="00B34CC2" w:rsidP="003C611F">
      <w:pPr>
        <w:pStyle w:val="Testonotaapidipagina"/>
        <w:jc w:val="both"/>
        <w:rPr>
          <w:rFonts w:ascii="Times New Roman" w:hAnsi="Times New Roman" w:cs="Times New Roman"/>
          <w:sz w:val="20"/>
          <w:szCs w:val="20"/>
        </w:rPr>
      </w:pPr>
      <w:r w:rsidRPr="003F0F90">
        <w:rPr>
          <w:rStyle w:val="Rimandonotaapidipagina"/>
          <w:rFonts w:ascii="Times New Roman" w:hAnsi="Times New Roman" w:cs="Times New Roman"/>
          <w:sz w:val="20"/>
          <w:szCs w:val="20"/>
        </w:rPr>
        <w:footnoteRef/>
      </w:r>
      <w:r w:rsidRPr="003F0F90">
        <w:rPr>
          <w:rFonts w:ascii="Times New Roman" w:hAnsi="Times New Roman" w:cs="Times New Roman"/>
          <w:sz w:val="20"/>
          <w:szCs w:val="20"/>
        </w:rPr>
        <w:t xml:space="preserve"> </w:t>
      </w:r>
      <w:r w:rsidRPr="00D8575C">
        <w:rPr>
          <w:rFonts w:ascii="Times New Roman" w:hAnsi="Times New Roman" w:cs="Times New Roman"/>
          <w:i/>
          <w:sz w:val="20"/>
          <w:szCs w:val="20"/>
        </w:rPr>
        <w:t>Ivi</w:t>
      </w:r>
      <w:r>
        <w:rPr>
          <w:rFonts w:ascii="Times New Roman" w:hAnsi="Times New Roman" w:cs="Times New Roman"/>
          <w:sz w:val="20"/>
          <w:szCs w:val="20"/>
        </w:rPr>
        <w:t>, p. 388.</w:t>
      </w:r>
    </w:p>
  </w:footnote>
  <w:footnote w:id="462">
    <w:p w14:paraId="45B8ED28" w14:textId="77777777" w:rsidR="00B34CC2" w:rsidRPr="002A2490" w:rsidRDefault="00B34CC2" w:rsidP="003C611F">
      <w:pPr>
        <w:pStyle w:val="Testonotaapidipagina"/>
        <w:jc w:val="both"/>
        <w:rPr>
          <w:rFonts w:ascii="Times New Roman" w:hAnsi="Times New Roman" w:cs="Times New Roman"/>
          <w:sz w:val="20"/>
          <w:szCs w:val="20"/>
        </w:rPr>
      </w:pPr>
      <w:r w:rsidRPr="002A2490">
        <w:rPr>
          <w:rStyle w:val="Rimandonotaapidipagina"/>
          <w:rFonts w:ascii="Times New Roman" w:hAnsi="Times New Roman" w:cs="Times New Roman"/>
          <w:sz w:val="20"/>
          <w:szCs w:val="20"/>
        </w:rPr>
        <w:footnoteRef/>
      </w:r>
      <w:r w:rsidRPr="002A2490">
        <w:rPr>
          <w:rFonts w:ascii="Times New Roman" w:hAnsi="Times New Roman" w:cs="Times New Roman"/>
          <w:sz w:val="20"/>
          <w:szCs w:val="20"/>
        </w:rPr>
        <w:t xml:space="preserve"> </w:t>
      </w:r>
      <w:r w:rsidRPr="002A2490">
        <w:rPr>
          <w:rFonts w:ascii="Times New Roman" w:hAnsi="Times New Roman" w:cs="Times New Roman"/>
          <w:i/>
          <w:sz w:val="20"/>
          <w:szCs w:val="20"/>
        </w:rPr>
        <w:t>Ivi</w:t>
      </w:r>
      <w:r w:rsidRPr="002A2490">
        <w:rPr>
          <w:rFonts w:ascii="Times New Roman" w:hAnsi="Times New Roman" w:cs="Times New Roman"/>
          <w:sz w:val="20"/>
          <w:szCs w:val="20"/>
        </w:rPr>
        <w:t>, p. 391.</w:t>
      </w:r>
    </w:p>
  </w:footnote>
  <w:footnote w:id="463">
    <w:p w14:paraId="626EFD22" w14:textId="77777777" w:rsidR="00B34CC2" w:rsidRPr="002A2490" w:rsidRDefault="00B34CC2" w:rsidP="003C611F">
      <w:pPr>
        <w:pStyle w:val="Testonotaapidipagina"/>
        <w:jc w:val="both"/>
        <w:rPr>
          <w:rFonts w:ascii="Times New Roman" w:hAnsi="Times New Roman" w:cs="Times New Roman"/>
          <w:sz w:val="20"/>
          <w:szCs w:val="20"/>
        </w:rPr>
      </w:pPr>
      <w:r w:rsidRPr="002A2490">
        <w:rPr>
          <w:rStyle w:val="Rimandonotaapidipagina"/>
          <w:rFonts w:ascii="Times New Roman" w:hAnsi="Times New Roman" w:cs="Times New Roman"/>
          <w:sz w:val="20"/>
          <w:szCs w:val="20"/>
        </w:rPr>
        <w:footnoteRef/>
      </w:r>
      <w:r w:rsidRPr="002A2490">
        <w:rPr>
          <w:rFonts w:ascii="Times New Roman" w:hAnsi="Times New Roman" w:cs="Times New Roman"/>
          <w:sz w:val="20"/>
          <w:szCs w:val="20"/>
        </w:rPr>
        <w:t xml:space="preserve"> </w:t>
      </w:r>
      <w:r w:rsidRPr="002A2490">
        <w:rPr>
          <w:rFonts w:ascii="Times New Roman" w:hAnsi="Times New Roman" w:cs="Times New Roman"/>
          <w:i/>
          <w:sz w:val="20"/>
          <w:szCs w:val="20"/>
        </w:rPr>
        <w:t>Ibidem</w:t>
      </w:r>
      <w:r w:rsidRPr="002A2490">
        <w:rPr>
          <w:rFonts w:ascii="Times New Roman" w:hAnsi="Times New Roman" w:cs="Times New Roman"/>
          <w:sz w:val="20"/>
          <w:szCs w:val="20"/>
        </w:rPr>
        <w:t>.</w:t>
      </w:r>
    </w:p>
  </w:footnote>
  <w:footnote w:id="464">
    <w:p w14:paraId="56F1E6E1" w14:textId="77777777" w:rsidR="00B34CC2" w:rsidRPr="002A2490" w:rsidRDefault="00B34CC2" w:rsidP="003C611F">
      <w:pPr>
        <w:pStyle w:val="Testonotaapidipagina"/>
        <w:jc w:val="both"/>
      </w:pPr>
      <w:r w:rsidRPr="002A2490">
        <w:rPr>
          <w:rStyle w:val="Rimandonotaapidipagina"/>
          <w:rFonts w:ascii="Times New Roman" w:hAnsi="Times New Roman" w:cs="Times New Roman"/>
          <w:sz w:val="20"/>
          <w:szCs w:val="20"/>
        </w:rPr>
        <w:footnoteRef/>
      </w:r>
      <w:r w:rsidRPr="002A2490">
        <w:t xml:space="preserve"> </w:t>
      </w:r>
      <w:r w:rsidRPr="002A2490">
        <w:rPr>
          <w:rFonts w:ascii="Times New Roman" w:hAnsi="Times New Roman" w:cs="Times New Roman"/>
          <w:i/>
          <w:sz w:val="20"/>
          <w:szCs w:val="20"/>
        </w:rPr>
        <w:t>Ivi</w:t>
      </w:r>
      <w:r w:rsidRPr="002A2490">
        <w:rPr>
          <w:rFonts w:ascii="Times New Roman" w:hAnsi="Times New Roman" w:cs="Times New Roman"/>
          <w:sz w:val="20"/>
          <w:szCs w:val="20"/>
        </w:rPr>
        <w:t>, p. 390.</w:t>
      </w:r>
    </w:p>
  </w:footnote>
  <w:footnote w:id="465">
    <w:p w14:paraId="1933244D" w14:textId="77777777" w:rsidR="00B34CC2" w:rsidRPr="00002941" w:rsidRDefault="00B34CC2" w:rsidP="003C611F">
      <w:pPr>
        <w:pStyle w:val="Testonotaapidipagina"/>
        <w:jc w:val="both"/>
        <w:rPr>
          <w:rFonts w:ascii="Times New Roman" w:hAnsi="Times New Roman" w:cs="Times New Roman"/>
          <w:sz w:val="20"/>
          <w:szCs w:val="20"/>
          <w:highlight w:val="yellow"/>
        </w:rPr>
      </w:pPr>
      <w:r w:rsidRPr="002A2490">
        <w:rPr>
          <w:rStyle w:val="Rimandonotaapidipagina"/>
          <w:rFonts w:ascii="Times New Roman" w:hAnsi="Times New Roman" w:cs="Times New Roman"/>
          <w:sz w:val="20"/>
          <w:szCs w:val="20"/>
        </w:rPr>
        <w:footnoteRef/>
      </w:r>
      <w:r w:rsidRPr="002A2490">
        <w:rPr>
          <w:rFonts w:ascii="Times New Roman" w:hAnsi="Times New Roman" w:cs="Times New Roman"/>
          <w:sz w:val="20"/>
          <w:szCs w:val="20"/>
        </w:rPr>
        <w:t xml:space="preserve"> </w:t>
      </w:r>
      <w:r w:rsidRPr="002A2490">
        <w:rPr>
          <w:rFonts w:ascii="Times New Roman" w:hAnsi="Times New Roman" w:cs="Times New Roman"/>
          <w:i/>
          <w:sz w:val="20"/>
          <w:szCs w:val="20"/>
        </w:rPr>
        <w:t>Ivi</w:t>
      </w:r>
      <w:r w:rsidRPr="002A2490">
        <w:rPr>
          <w:rFonts w:ascii="Times New Roman" w:hAnsi="Times New Roman" w:cs="Times New Roman"/>
          <w:sz w:val="20"/>
          <w:szCs w:val="20"/>
        </w:rPr>
        <w:t>, p. 391.</w:t>
      </w:r>
    </w:p>
  </w:footnote>
  <w:footnote w:id="466">
    <w:p w14:paraId="5A045A4A" w14:textId="77777777" w:rsidR="00B34CC2" w:rsidRPr="00BE67B4" w:rsidRDefault="00B34CC2" w:rsidP="003C611F">
      <w:pPr>
        <w:pStyle w:val="Testonotaapidipagina"/>
        <w:jc w:val="both"/>
        <w:rPr>
          <w:rFonts w:ascii="Times New Roman" w:hAnsi="Times New Roman" w:cs="Times New Roman"/>
          <w:sz w:val="20"/>
          <w:szCs w:val="20"/>
        </w:rPr>
      </w:pPr>
      <w:r w:rsidRPr="008C203C">
        <w:rPr>
          <w:rStyle w:val="Rimandonotaapidipagina"/>
          <w:rFonts w:ascii="Times New Roman" w:hAnsi="Times New Roman" w:cs="Times New Roman"/>
          <w:sz w:val="20"/>
          <w:szCs w:val="20"/>
        </w:rPr>
        <w:footnoteRef/>
      </w:r>
      <w:r w:rsidRPr="008C203C">
        <w:rPr>
          <w:rFonts w:ascii="Times New Roman" w:hAnsi="Times New Roman" w:cs="Times New Roman"/>
          <w:sz w:val="20"/>
          <w:szCs w:val="20"/>
        </w:rPr>
        <w:t xml:space="preserve"> Il fatto che lo stesso Leibniz abbia utilizzato la nozione di sostanza assoluta e necessaria per descrivere la natura divina mi sembra avvalorare la tesi per cui la </w:t>
      </w:r>
      <w:r w:rsidRPr="008C203C">
        <w:rPr>
          <w:rFonts w:ascii="Times New Roman" w:hAnsi="Times New Roman" w:cs="Times New Roman"/>
          <w:i/>
          <w:sz w:val="20"/>
          <w:szCs w:val="20"/>
        </w:rPr>
        <w:t>Monadologie</w:t>
      </w:r>
      <w:r>
        <w:rPr>
          <w:rFonts w:ascii="Times New Roman" w:hAnsi="Times New Roman" w:cs="Times New Roman"/>
          <w:sz w:val="20"/>
          <w:szCs w:val="20"/>
        </w:rPr>
        <w:t xml:space="preserve"> </w:t>
      </w:r>
      <w:r w:rsidRPr="008C203C">
        <w:rPr>
          <w:rFonts w:ascii="Times New Roman" w:hAnsi="Times New Roman" w:cs="Times New Roman"/>
          <w:sz w:val="20"/>
          <w:szCs w:val="20"/>
        </w:rPr>
        <w:t>sia</w:t>
      </w:r>
      <w:r w:rsidRPr="008C203C">
        <w:rPr>
          <w:rFonts w:ascii="Times New Roman" w:hAnsi="Times New Roman" w:cs="Times New Roman"/>
          <w:i/>
          <w:sz w:val="20"/>
          <w:szCs w:val="20"/>
        </w:rPr>
        <w:t xml:space="preserve"> </w:t>
      </w:r>
      <w:r w:rsidRPr="008C203C">
        <w:rPr>
          <w:rFonts w:ascii="Times New Roman" w:hAnsi="Times New Roman" w:cs="Times New Roman"/>
          <w:sz w:val="20"/>
          <w:szCs w:val="20"/>
        </w:rPr>
        <w:t xml:space="preserve">il riferimento critico assunto da Hegel in queste pagine. Cfr. G. W. Leibniz, </w:t>
      </w:r>
      <w:r w:rsidRPr="008C203C">
        <w:rPr>
          <w:rFonts w:ascii="Times New Roman" w:hAnsi="Times New Roman" w:cs="Times New Roman"/>
          <w:i/>
          <w:sz w:val="20"/>
          <w:szCs w:val="20"/>
        </w:rPr>
        <w:t>Monadologie</w:t>
      </w:r>
      <w:r w:rsidRPr="008C203C">
        <w:rPr>
          <w:rFonts w:ascii="Times New Roman" w:hAnsi="Times New Roman" w:cs="Times New Roman"/>
          <w:sz w:val="20"/>
          <w:szCs w:val="20"/>
        </w:rPr>
        <w:t xml:space="preserve">, </w:t>
      </w:r>
      <w:r>
        <w:rPr>
          <w:rFonts w:ascii="Times New Roman" w:hAnsi="Times New Roman" w:cs="Times New Roman"/>
          <w:sz w:val="20"/>
          <w:szCs w:val="20"/>
        </w:rPr>
        <w:t>cit.</w:t>
      </w:r>
      <w:r w:rsidRPr="008C203C">
        <w:rPr>
          <w:rFonts w:ascii="Times New Roman" w:hAnsi="Times New Roman" w:cs="Times New Roman"/>
          <w:sz w:val="20"/>
          <w:szCs w:val="20"/>
        </w:rPr>
        <w:t xml:space="preserve">, p. 613: </w:t>
      </w:r>
      <w:r w:rsidRPr="00BE67B4">
        <w:rPr>
          <w:rFonts w:ascii="Times New Roman" w:hAnsi="Times New Roman" w:cs="Times New Roman"/>
          <w:sz w:val="20"/>
          <w:szCs w:val="20"/>
        </w:rPr>
        <w:t>«</w:t>
      </w:r>
      <w:r w:rsidRPr="00BE67B4">
        <w:rPr>
          <w:rFonts w:ascii="Times New Roman" w:hAnsi="Times New Roman" w:cs="Times New Roman"/>
          <w:sz w:val="20"/>
          <w:szCs w:val="20"/>
          <w:lang w:val="fr-FR"/>
        </w:rPr>
        <w:t>Et c’est ainsi que la dernière raison des choses doit être dans une substance nécessaire, dans laquelle le détail des changements ne soit qu’éminemment, come dans la source, et c’est ce que nous appelons Dieu […] On peut juger aussi que cette Substance Suprême qui est unique, universelle et nécessaire</w:t>
      </w:r>
      <w:r w:rsidRPr="00BE67B4">
        <w:rPr>
          <w:rFonts w:ascii="Times New Roman" w:eastAsia="Times New Roman" w:hAnsi="Times New Roman" w:cs="Times New Roman"/>
          <w:color w:val="000000"/>
          <w:sz w:val="20"/>
          <w:szCs w:val="20"/>
          <w:lang w:val="de-DE"/>
        </w:rPr>
        <w:t>».</w:t>
      </w:r>
    </w:p>
  </w:footnote>
  <w:footnote w:id="467">
    <w:p w14:paraId="7408AB30" w14:textId="11E63707" w:rsidR="00B34CC2" w:rsidRPr="00002941" w:rsidRDefault="00B34CC2" w:rsidP="003C611F">
      <w:pPr>
        <w:pStyle w:val="Testonotaapidipagina"/>
        <w:jc w:val="both"/>
        <w:rPr>
          <w:highlight w:val="yellow"/>
        </w:rPr>
      </w:pPr>
      <w:r w:rsidRPr="0051593F">
        <w:rPr>
          <w:rStyle w:val="Rimandonotaapidipagina"/>
          <w:rFonts w:ascii="Times New Roman" w:hAnsi="Times New Roman" w:cs="Times New Roman"/>
          <w:sz w:val="20"/>
          <w:szCs w:val="20"/>
        </w:rPr>
        <w:footnoteRef/>
      </w:r>
      <w:r w:rsidRPr="0051593F">
        <w:t xml:space="preserve"> </w:t>
      </w:r>
      <w:r>
        <w:rPr>
          <w:rFonts w:ascii="Times New Roman" w:hAnsi="Times New Roman" w:cs="Times New Roman"/>
          <w:i/>
          <w:sz w:val="20"/>
          <w:szCs w:val="20"/>
        </w:rPr>
        <w:t>WdL I A</w:t>
      </w:r>
      <w:r>
        <w:rPr>
          <w:rFonts w:ascii="Times New Roman" w:hAnsi="Times New Roman" w:cs="Times New Roman"/>
          <w:sz w:val="20"/>
          <w:szCs w:val="20"/>
        </w:rPr>
        <w:t xml:space="preserve">, </w:t>
      </w:r>
      <w:r w:rsidRPr="006A1909">
        <w:rPr>
          <w:rFonts w:ascii="Times New Roman" w:hAnsi="Times New Roman" w:cs="Times New Roman"/>
          <w:sz w:val="20"/>
          <w:szCs w:val="20"/>
        </w:rPr>
        <w:t>p. 391.</w:t>
      </w:r>
      <w:r w:rsidRPr="0051593F">
        <w:rPr>
          <w:rFonts w:ascii="Times New Roman" w:hAnsi="Times New Roman" w:cs="Times New Roman"/>
          <w:sz w:val="20"/>
          <w:szCs w:val="20"/>
        </w:rPr>
        <w:t xml:space="preserve"> Sulla più che plausibile coincidenza di questo passaggio dell’</w:t>
      </w:r>
      <w:r w:rsidRPr="000B50A6">
        <w:rPr>
          <w:rFonts w:ascii="Times New Roman" w:hAnsi="Times New Roman" w:cs="Times New Roman"/>
          <w:i/>
          <w:sz w:val="20"/>
          <w:szCs w:val="20"/>
          <w:lang w:val="de-DE"/>
        </w:rPr>
        <w:t xml:space="preserve">absolute Nothwendigkeit </w:t>
      </w:r>
      <w:r w:rsidRPr="0051593F">
        <w:rPr>
          <w:rFonts w:ascii="Times New Roman" w:hAnsi="Times New Roman" w:cs="Times New Roman"/>
          <w:sz w:val="20"/>
          <w:szCs w:val="20"/>
        </w:rPr>
        <w:t xml:space="preserve">con la </w:t>
      </w:r>
      <w:r w:rsidRPr="0051593F">
        <w:rPr>
          <w:rFonts w:ascii="Times New Roman" w:hAnsi="Times New Roman" w:cs="Times New Roman"/>
          <w:i/>
          <w:sz w:val="20"/>
          <w:szCs w:val="20"/>
        </w:rPr>
        <w:t>Monadologie</w:t>
      </w:r>
      <w:r w:rsidRPr="0051593F">
        <w:rPr>
          <w:rFonts w:ascii="Times New Roman" w:hAnsi="Times New Roman" w:cs="Times New Roman"/>
          <w:sz w:val="20"/>
          <w:szCs w:val="20"/>
        </w:rPr>
        <w:t xml:space="preserve"> leibniziana si veda L. Lugarini, </w:t>
      </w:r>
      <w:r w:rsidRPr="0051593F">
        <w:rPr>
          <w:rFonts w:ascii="Times New Roman" w:hAnsi="Times New Roman" w:cs="Times New Roman"/>
          <w:i/>
          <w:sz w:val="20"/>
          <w:szCs w:val="20"/>
        </w:rPr>
        <w:t>Orizzonti hegeliani di comprensione dell’essere</w:t>
      </w:r>
      <w:r w:rsidRPr="0051593F">
        <w:rPr>
          <w:rFonts w:ascii="Times New Roman" w:hAnsi="Times New Roman" w:cs="Times New Roman"/>
          <w:sz w:val="20"/>
          <w:szCs w:val="20"/>
        </w:rPr>
        <w:t xml:space="preserve">, cit., p. 406: </w:t>
      </w:r>
      <w:r w:rsidRPr="00BE67B4">
        <w:rPr>
          <w:rFonts w:ascii="Times New Roman" w:hAnsi="Times New Roman" w:cs="Times New Roman"/>
          <w:sz w:val="20"/>
          <w:szCs w:val="20"/>
        </w:rPr>
        <w:t>«Potremmo dire che, analogamente alle monadi leibniziane, esse [le determinazioni molteplici della necessità assoluta] non hanno né porte né finestre, Dal canto suo Hegel ne conclude che, fondate puramente in sé, esse si «si manifestano solamente a se stesse</w:t>
      </w:r>
      <w:r w:rsidRPr="00BE67B4">
        <w:rPr>
          <w:rFonts w:ascii="Times New Roman" w:eastAsia="Times New Roman" w:hAnsi="Times New Roman" w:cs="Times New Roman"/>
          <w:color w:val="000000"/>
          <w:sz w:val="20"/>
          <w:szCs w:val="20"/>
        </w:rPr>
        <w:t>»; ed è come affermare che il loro manifestarsi non è se non un apparire all’interno di sé (uno Scheinen in sich selbst) e non anche un Erscheinen, un apparire esterno. Da qui una celebre metafora: la loro essenza è das Lichtscheue, cioè che aborra la luce. Essa aborra la luce perché rinserrata nella cerchia di quel loro non più che interiore manifestarsi e trattenuta dall’esporsi nell’esteriorità</w:t>
      </w:r>
      <w:r w:rsidRPr="00BE67B4">
        <w:rPr>
          <w:rFonts w:ascii="Times New Roman" w:eastAsia="Times New Roman" w:hAnsi="Times New Roman" w:cs="Times New Roman"/>
          <w:color w:val="000000"/>
          <w:sz w:val="20"/>
          <w:szCs w:val="20"/>
          <w:lang w:val="de-DE"/>
        </w:rPr>
        <w:t>».</w:t>
      </w:r>
      <w:r>
        <w:rPr>
          <w:rFonts w:ascii="Times New Roman" w:hAnsi="Times New Roman" w:cs="Times New Roman"/>
          <w:sz w:val="20"/>
          <w:szCs w:val="20"/>
        </w:rPr>
        <w:t xml:space="preserve"> </w:t>
      </w:r>
    </w:p>
  </w:footnote>
  <w:footnote w:id="468">
    <w:p w14:paraId="0B9C3645" w14:textId="77777777" w:rsidR="00B34CC2" w:rsidRPr="0017441A" w:rsidRDefault="00B34CC2" w:rsidP="003C611F">
      <w:pPr>
        <w:pStyle w:val="Testonotaapidipagina"/>
        <w:jc w:val="both"/>
        <w:rPr>
          <w:rFonts w:ascii="Times New Roman" w:hAnsi="Times New Roman" w:cs="Times New Roman"/>
          <w:sz w:val="20"/>
          <w:szCs w:val="20"/>
        </w:rPr>
      </w:pPr>
      <w:r w:rsidRPr="0017441A">
        <w:rPr>
          <w:rStyle w:val="Rimandonotaapidipagina"/>
          <w:rFonts w:ascii="Times New Roman" w:hAnsi="Times New Roman" w:cs="Times New Roman"/>
          <w:sz w:val="20"/>
          <w:szCs w:val="20"/>
        </w:rPr>
        <w:footnoteRef/>
      </w:r>
      <w:r w:rsidRPr="0017441A">
        <w:rPr>
          <w:rFonts w:ascii="Times New Roman" w:hAnsi="Times New Roman" w:cs="Times New Roman"/>
          <w:sz w:val="20"/>
          <w:szCs w:val="20"/>
        </w:rPr>
        <w:t xml:space="preserve"> </w:t>
      </w:r>
      <w:r w:rsidRPr="0017441A">
        <w:rPr>
          <w:rFonts w:ascii="Times New Roman" w:hAnsi="Times New Roman" w:cs="Times New Roman"/>
          <w:i/>
          <w:sz w:val="20"/>
          <w:szCs w:val="20"/>
        </w:rPr>
        <w:t>Ivi</w:t>
      </w:r>
      <w:r>
        <w:rPr>
          <w:rFonts w:ascii="Times New Roman" w:hAnsi="Times New Roman" w:cs="Times New Roman"/>
          <w:sz w:val="20"/>
          <w:szCs w:val="20"/>
        </w:rPr>
        <w:t>, p. 392.</w:t>
      </w:r>
    </w:p>
  </w:footnote>
  <w:footnote w:id="469">
    <w:p w14:paraId="02DAA2DA" w14:textId="3F563CFD" w:rsidR="00B34CC2" w:rsidRPr="00BE67B4" w:rsidRDefault="00B34CC2" w:rsidP="003C611F">
      <w:pPr>
        <w:pStyle w:val="Testonotaapidipagina"/>
        <w:jc w:val="both"/>
        <w:rPr>
          <w:rFonts w:ascii="Times New Roman" w:hAnsi="Times New Roman" w:cs="Times New Roman"/>
          <w:sz w:val="20"/>
          <w:szCs w:val="20"/>
          <w:lang w:val="de-DE"/>
        </w:rPr>
      </w:pPr>
      <w:r w:rsidRPr="004E23C8">
        <w:rPr>
          <w:rStyle w:val="Rimandonotaapidipagina"/>
          <w:rFonts w:ascii="Times New Roman" w:hAnsi="Times New Roman" w:cs="Times New Roman"/>
          <w:sz w:val="20"/>
          <w:szCs w:val="20"/>
        </w:rPr>
        <w:footnoteRef/>
      </w:r>
      <w:r w:rsidRPr="004E23C8">
        <w:rPr>
          <w:rFonts w:ascii="Times New Roman" w:hAnsi="Times New Roman" w:cs="Times New Roman"/>
          <w:sz w:val="20"/>
          <w:szCs w:val="20"/>
        </w:rPr>
        <w:t xml:space="preserve"> </w:t>
      </w:r>
      <w:r>
        <w:rPr>
          <w:rFonts w:ascii="Times New Roman" w:hAnsi="Times New Roman" w:cs="Times New Roman"/>
          <w:sz w:val="20"/>
          <w:szCs w:val="20"/>
        </w:rPr>
        <w:t xml:space="preserve">Cfr. </w:t>
      </w:r>
      <w:r w:rsidRPr="00681961">
        <w:rPr>
          <w:rFonts w:ascii="Times New Roman" w:hAnsi="Times New Roman" w:cs="Times New Roman"/>
          <w:i/>
          <w:sz w:val="20"/>
          <w:szCs w:val="20"/>
        </w:rPr>
        <w:t>Ibidem</w:t>
      </w:r>
      <w:r>
        <w:rPr>
          <w:rFonts w:ascii="Times New Roman" w:hAnsi="Times New Roman" w:cs="Times New Roman"/>
          <w:sz w:val="20"/>
          <w:szCs w:val="20"/>
        </w:rPr>
        <w:t xml:space="preserve">: </w:t>
      </w:r>
      <w:r w:rsidRPr="00BE67B4">
        <w:rPr>
          <w:rFonts w:ascii="Times New Roman" w:hAnsi="Times New Roman" w:cs="Times New Roman"/>
          <w:sz w:val="20"/>
          <w:szCs w:val="20"/>
        </w:rPr>
        <w:t>«</w:t>
      </w:r>
      <w:r w:rsidRPr="00BE67B4">
        <w:rPr>
          <w:rFonts w:ascii="Times New Roman" w:hAnsi="Times New Roman" w:cs="Times New Roman"/>
          <w:sz w:val="20"/>
          <w:szCs w:val="20"/>
          <w:lang w:val="de-DE"/>
        </w:rPr>
        <w:t>Diese Manifestation dessen, was die Bestimmtheit in Wahrheit ist, negative Beziehung  sich selbst, ist blinder Untergang im Andersseyn; das hervorbrechende Scheinen oder Reflexion ist an den Seyenden als Werden oder Uebergehen des Seyns in Nichts. Aber das Seyn ist umgekehrt eben so sehr Wesen, und das Werden ist Reflexion oder Scheinen. So ist die Aeusserlichkeit ihre Innerlichkeit</w:t>
      </w:r>
      <w:r w:rsidRPr="00BE67B4">
        <w:rPr>
          <w:rFonts w:ascii="Times New Roman" w:eastAsia="Times New Roman" w:hAnsi="Times New Roman" w:cs="Times New Roman"/>
          <w:color w:val="000000"/>
          <w:sz w:val="20"/>
          <w:szCs w:val="20"/>
          <w:lang w:val="de-DE"/>
        </w:rPr>
        <w:t>».</w:t>
      </w:r>
      <w:r w:rsidRPr="00BE67B4">
        <w:rPr>
          <w:rFonts w:ascii="Times New Roman" w:hAnsi="Times New Roman" w:cs="Times New Roman"/>
          <w:sz w:val="20"/>
          <w:szCs w:val="20"/>
        </w:rPr>
        <w:t xml:space="preserve"> </w:t>
      </w:r>
    </w:p>
  </w:footnote>
  <w:footnote w:id="470">
    <w:p w14:paraId="18A63800" w14:textId="77777777" w:rsidR="00B34CC2" w:rsidRPr="00372FD7" w:rsidRDefault="00B34CC2" w:rsidP="003C611F">
      <w:pPr>
        <w:pStyle w:val="Testonotaapidipagina"/>
        <w:jc w:val="both"/>
      </w:pPr>
      <w:r w:rsidRPr="00372FD7">
        <w:rPr>
          <w:rStyle w:val="Rimandonotaapidipagina"/>
          <w:rFonts w:ascii="Times New Roman" w:hAnsi="Times New Roman" w:cs="Times New Roman"/>
          <w:sz w:val="20"/>
          <w:szCs w:val="20"/>
        </w:rPr>
        <w:footnoteRef/>
      </w:r>
      <w:r w:rsidRPr="00372FD7">
        <w:rPr>
          <w:rFonts w:ascii="Times New Roman" w:hAnsi="Times New Roman" w:cs="Times New Roman"/>
          <w:sz w:val="20"/>
          <w:szCs w:val="20"/>
        </w:rPr>
        <w:t xml:space="preserve"> </w:t>
      </w:r>
      <w:r w:rsidRPr="00372FD7">
        <w:rPr>
          <w:rFonts w:ascii="Times New Roman" w:hAnsi="Times New Roman" w:cs="Times New Roman"/>
          <w:i/>
          <w:sz w:val="20"/>
          <w:szCs w:val="20"/>
        </w:rPr>
        <w:t>Ibidem</w:t>
      </w:r>
      <w:r w:rsidRPr="00372FD7">
        <w:rPr>
          <w:rFonts w:ascii="Times New Roman" w:hAnsi="Times New Roman" w:cs="Times New Roman"/>
          <w:sz w:val="20"/>
          <w:szCs w:val="20"/>
        </w:rPr>
        <w:t>.</w:t>
      </w:r>
    </w:p>
  </w:footnote>
  <w:footnote w:id="471">
    <w:p w14:paraId="3BBF1153" w14:textId="244E55E0" w:rsidR="00B34CC2" w:rsidRPr="002C43E4" w:rsidRDefault="00B34CC2" w:rsidP="003C611F">
      <w:pPr>
        <w:pStyle w:val="Testonotaapidipagina"/>
        <w:jc w:val="both"/>
      </w:pPr>
      <w:r w:rsidRPr="00372FD7">
        <w:rPr>
          <w:rStyle w:val="Rimandonotaapidipagina"/>
          <w:rFonts w:ascii="Times New Roman" w:hAnsi="Times New Roman" w:cs="Times New Roman"/>
          <w:sz w:val="20"/>
          <w:szCs w:val="20"/>
        </w:rPr>
        <w:footnoteRef/>
      </w:r>
      <w:r w:rsidRPr="00372FD7">
        <w:rPr>
          <w:rFonts w:ascii="Times New Roman" w:hAnsi="Times New Roman" w:cs="Times New Roman"/>
          <w:sz w:val="20"/>
          <w:szCs w:val="20"/>
        </w:rPr>
        <w:t xml:space="preserve"> </w:t>
      </w:r>
      <w:r w:rsidRPr="00372FD7">
        <w:rPr>
          <w:rFonts w:ascii="Times New Roman" w:hAnsi="Times New Roman" w:cs="Times New Roman"/>
          <w:i/>
          <w:sz w:val="20"/>
          <w:szCs w:val="20"/>
        </w:rPr>
        <w:t>Ivi</w:t>
      </w:r>
      <w:r w:rsidRPr="00372FD7">
        <w:rPr>
          <w:rFonts w:ascii="Times New Roman" w:hAnsi="Times New Roman" w:cs="Times New Roman"/>
          <w:sz w:val="20"/>
          <w:szCs w:val="20"/>
        </w:rPr>
        <w:t>, p. 393. Sul fatto che l’ontologia spinoziana sia tecnicamente già superata alla fine della sezione sull’</w:t>
      </w:r>
      <w:r w:rsidRPr="00372FD7">
        <w:rPr>
          <w:rFonts w:ascii="Times New Roman" w:hAnsi="Times New Roman" w:cs="Times New Roman"/>
          <w:i/>
          <w:sz w:val="20"/>
          <w:szCs w:val="20"/>
        </w:rPr>
        <w:t>Absolute</w:t>
      </w:r>
      <w:r w:rsidRPr="00372FD7">
        <w:rPr>
          <w:rFonts w:ascii="Times New Roman" w:hAnsi="Times New Roman" w:cs="Times New Roman"/>
          <w:sz w:val="20"/>
          <w:szCs w:val="20"/>
        </w:rPr>
        <w:t xml:space="preserve"> vedi </w:t>
      </w:r>
      <w:r w:rsidRPr="00372FD7">
        <w:rPr>
          <w:rFonts w:ascii="Times New Roman" w:hAnsi="Times New Roman" w:cs="Times New Roman"/>
          <w:i/>
          <w:sz w:val="20"/>
          <w:szCs w:val="20"/>
        </w:rPr>
        <w:t>supra</w:t>
      </w:r>
      <w:r w:rsidRPr="00372FD7">
        <w:rPr>
          <w:rFonts w:ascii="Times New Roman" w:hAnsi="Times New Roman" w:cs="Times New Roman"/>
          <w:sz w:val="20"/>
          <w:szCs w:val="20"/>
        </w:rPr>
        <w:t>, p. 141, nota 121.</w:t>
      </w:r>
    </w:p>
  </w:footnote>
  <w:footnote w:id="472">
    <w:p w14:paraId="2C0865E9" w14:textId="77777777" w:rsidR="00B34CC2" w:rsidRPr="00C11E83" w:rsidRDefault="00B34CC2" w:rsidP="003C611F">
      <w:pPr>
        <w:pStyle w:val="Testonotaapidipagina"/>
        <w:jc w:val="both"/>
        <w:rPr>
          <w:rFonts w:ascii="Times New Roman" w:hAnsi="Times New Roman"/>
          <w:sz w:val="20"/>
          <w:szCs w:val="20"/>
        </w:rPr>
      </w:pPr>
      <w:r w:rsidRPr="00C11E83">
        <w:rPr>
          <w:rStyle w:val="Rimandonotaapidipagina"/>
          <w:rFonts w:ascii="Times New Roman" w:hAnsi="Times New Roman"/>
          <w:sz w:val="20"/>
          <w:szCs w:val="20"/>
        </w:rPr>
        <w:footnoteRef/>
      </w:r>
      <w:r w:rsidRPr="00C11E83">
        <w:rPr>
          <w:rFonts w:ascii="Times New Roman" w:hAnsi="Times New Roman"/>
          <w:sz w:val="20"/>
          <w:szCs w:val="20"/>
        </w:rPr>
        <w:t xml:space="preserve"> </w:t>
      </w:r>
      <w:r w:rsidRPr="00C11E83">
        <w:rPr>
          <w:rFonts w:ascii="Times New Roman" w:hAnsi="Times New Roman"/>
          <w:i/>
          <w:sz w:val="20"/>
          <w:szCs w:val="20"/>
        </w:rPr>
        <w:t>Ivi</w:t>
      </w:r>
      <w:r w:rsidRPr="00C11E83">
        <w:rPr>
          <w:rFonts w:ascii="Times New Roman" w:hAnsi="Times New Roman"/>
          <w:sz w:val="20"/>
          <w:szCs w:val="20"/>
        </w:rPr>
        <w:t>, p. 393.</w:t>
      </w:r>
    </w:p>
  </w:footnote>
  <w:footnote w:id="473">
    <w:p w14:paraId="593A5D6E" w14:textId="77777777" w:rsidR="00B34CC2" w:rsidRPr="00A0357E" w:rsidRDefault="00B34CC2" w:rsidP="003C611F">
      <w:pPr>
        <w:pStyle w:val="Testonotaapidipagina"/>
        <w:jc w:val="both"/>
        <w:rPr>
          <w:rFonts w:ascii="Times New Roman" w:hAnsi="Times New Roman"/>
          <w:sz w:val="20"/>
          <w:szCs w:val="20"/>
        </w:rPr>
      </w:pPr>
      <w:r w:rsidRPr="00A0357E">
        <w:rPr>
          <w:rStyle w:val="Rimandonotaapidipagina"/>
          <w:rFonts w:ascii="Times New Roman" w:hAnsi="Times New Roman"/>
          <w:sz w:val="20"/>
          <w:szCs w:val="20"/>
        </w:rPr>
        <w:footnoteRef/>
      </w:r>
      <w:r w:rsidRPr="00A0357E">
        <w:rPr>
          <w:rFonts w:ascii="Times New Roman" w:hAnsi="Times New Roman"/>
          <w:sz w:val="20"/>
          <w:szCs w:val="20"/>
        </w:rPr>
        <w:t xml:space="preserve"> </w:t>
      </w:r>
      <w:r w:rsidRPr="00C11E83">
        <w:rPr>
          <w:rFonts w:ascii="Times New Roman" w:hAnsi="Times New Roman"/>
          <w:i/>
          <w:sz w:val="20"/>
          <w:szCs w:val="20"/>
        </w:rPr>
        <w:t>Ivi</w:t>
      </w:r>
      <w:r w:rsidRPr="00C11E83">
        <w:rPr>
          <w:rFonts w:ascii="Times New Roman" w:hAnsi="Times New Roman"/>
          <w:sz w:val="20"/>
          <w:szCs w:val="20"/>
        </w:rPr>
        <w:t>, p.</w:t>
      </w:r>
      <w:r>
        <w:rPr>
          <w:rFonts w:ascii="Times New Roman" w:hAnsi="Times New Roman"/>
          <w:sz w:val="20"/>
          <w:szCs w:val="20"/>
        </w:rPr>
        <w:t xml:space="preserve"> 394.</w:t>
      </w:r>
    </w:p>
  </w:footnote>
  <w:footnote w:id="474">
    <w:p w14:paraId="2F1F313C" w14:textId="77777777" w:rsidR="00B34CC2" w:rsidRDefault="00B34CC2" w:rsidP="003C611F">
      <w:pPr>
        <w:pStyle w:val="Testonotaapidipagina"/>
        <w:jc w:val="both"/>
      </w:pPr>
      <w:r w:rsidRPr="00510A73">
        <w:rPr>
          <w:rStyle w:val="Rimandonotaapidipagina"/>
          <w:rFonts w:ascii="Times New Roman" w:hAnsi="Times New Roman"/>
          <w:sz w:val="20"/>
          <w:szCs w:val="20"/>
        </w:rPr>
        <w:footnoteRef/>
      </w:r>
      <w:r>
        <w:t xml:space="preserve"> </w:t>
      </w:r>
      <w:r w:rsidRPr="00A0357E">
        <w:rPr>
          <w:rFonts w:ascii="Times New Roman" w:hAnsi="Times New Roman"/>
          <w:i/>
          <w:sz w:val="20"/>
          <w:szCs w:val="20"/>
        </w:rPr>
        <w:t>Ibidem.</w:t>
      </w:r>
    </w:p>
  </w:footnote>
  <w:footnote w:id="475">
    <w:p w14:paraId="5AB09054" w14:textId="77777777" w:rsidR="00B34CC2" w:rsidRPr="00A0357E" w:rsidRDefault="00B34CC2" w:rsidP="003C611F">
      <w:pPr>
        <w:pStyle w:val="Testonotaapidipagina"/>
        <w:jc w:val="both"/>
        <w:rPr>
          <w:rFonts w:ascii="Times New Roman" w:hAnsi="Times New Roman"/>
          <w:i/>
          <w:sz w:val="20"/>
          <w:szCs w:val="20"/>
        </w:rPr>
      </w:pPr>
      <w:r w:rsidRPr="00A0357E">
        <w:rPr>
          <w:rStyle w:val="Rimandonotaapidipagina"/>
          <w:rFonts w:ascii="Times New Roman" w:hAnsi="Times New Roman"/>
          <w:sz w:val="20"/>
          <w:szCs w:val="20"/>
        </w:rPr>
        <w:footnoteRef/>
      </w:r>
      <w:r w:rsidRPr="00A0357E">
        <w:rPr>
          <w:rFonts w:ascii="Times New Roman" w:hAnsi="Times New Roman"/>
          <w:sz w:val="20"/>
          <w:szCs w:val="20"/>
        </w:rPr>
        <w:t xml:space="preserve"> </w:t>
      </w:r>
      <w:r w:rsidRPr="00A0357E">
        <w:rPr>
          <w:rFonts w:ascii="Times New Roman" w:hAnsi="Times New Roman"/>
          <w:i/>
          <w:sz w:val="20"/>
          <w:szCs w:val="20"/>
        </w:rPr>
        <w:t>Ibidem.</w:t>
      </w:r>
    </w:p>
  </w:footnote>
  <w:footnote w:id="476">
    <w:p w14:paraId="429DD5EF" w14:textId="77777777" w:rsidR="00B34CC2" w:rsidRDefault="00B34CC2" w:rsidP="003C611F">
      <w:pPr>
        <w:pStyle w:val="Testonotaapidipagina"/>
        <w:jc w:val="both"/>
      </w:pPr>
      <w:r w:rsidRPr="009761C8">
        <w:rPr>
          <w:rStyle w:val="Rimandonotaapidipagina"/>
          <w:rFonts w:ascii="Times New Roman" w:hAnsi="Times New Roman"/>
          <w:sz w:val="20"/>
          <w:szCs w:val="20"/>
        </w:rPr>
        <w:footnoteRef/>
      </w:r>
      <w:r w:rsidRPr="009761C8">
        <w:rPr>
          <w:rFonts w:ascii="Times New Roman" w:hAnsi="Times New Roman"/>
          <w:sz w:val="20"/>
          <w:szCs w:val="20"/>
        </w:rPr>
        <w:t xml:space="preserve"> </w:t>
      </w:r>
      <w:r w:rsidRPr="00C11E83">
        <w:rPr>
          <w:rFonts w:ascii="Times New Roman" w:hAnsi="Times New Roman"/>
          <w:i/>
          <w:sz w:val="20"/>
          <w:szCs w:val="20"/>
        </w:rPr>
        <w:t>Ivi</w:t>
      </w:r>
      <w:r w:rsidRPr="00C11E83">
        <w:rPr>
          <w:rFonts w:ascii="Times New Roman" w:hAnsi="Times New Roman"/>
          <w:sz w:val="20"/>
          <w:szCs w:val="20"/>
        </w:rPr>
        <w:t>, p.</w:t>
      </w:r>
      <w:r>
        <w:rPr>
          <w:rFonts w:ascii="Times New Roman" w:hAnsi="Times New Roman"/>
          <w:sz w:val="20"/>
          <w:szCs w:val="20"/>
        </w:rPr>
        <w:t xml:space="preserve"> 395.</w:t>
      </w:r>
    </w:p>
  </w:footnote>
  <w:footnote w:id="477">
    <w:p w14:paraId="3C250F7C" w14:textId="77777777" w:rsidR="00B34CC2" w:rsidRDefault="00B34CC2" w:rsidP="003C611F">
      <w:pPr>
        <w:pStyle w:val="Testonotaapidipagina"/>
        <w:jc w:val="both"/>
      </w:pPr>
      <w:r w:rsidRPr="00385C06">
        <w:rPr>
          <w:rStyle w:val="Rimandonotaapidipagina"/>
          <w:rFonts w:ascii="Times New Roman" w:hAnsi="Times New Roman"/>
          <w:sz w:val="20"/>
          <w:szCs w:val="20"/>
        </w:rPr>
        <w:footnoteRef/>
      </w:r>
      <w:r w:rsidRPr="00385C06">
        <w:rPr>
          <w:rFonts w:ascii="Times New Roman" w:hAnsi="Times New Roman"/>
          <w:sz w:val="20"/>
          <w:szCs w:val="20"/>
        </w:rPr>
        <w:t xml:space="preserve"> </w:t>
      </w:r>
      <w:r w:rsidRPr="00C11E83">
        <w:rPr>
          <w:rFonts w:ascii="Times New Roman" w:hAnsi="Times New Roman"/>
          <w:i/>
          <w:sz w:val="20"/>
          <w:szCs w:val="20"/>
        </w:rPr>
        <w:t>Ivi</w:t>
      </w:r>
      <w:r w:rsidRPr="00C11E83">
        <w:rPr>
          <w:rFonts w:ascii="Times New Roman" w:hAnsi="Times New Roman"/>
          <w:sz w:val="20"/>
          <w:szCs w:val="20"/>
        </w:rPr>
        <w:t>, p.</w:t>
      </w:r>
      <w:r>
        <w:rPr>
          <w:rFonts w:ascii="Times New Roman" w:hAnsi="Times New Roman"/>
          <w:sz w:val="20"/>
          <w:szCs w:val="20"/>
        </w:rPr>
        <w:t xml:space="preserve"> 396.</w:t>
      </w:r>
    </w:p>
  </w:footnote>
  <w:footnote w:id="478">
    <w:p w14:paraId="74CFE3D5" w14:textId="77777777" w:rsidR="00B34CC2" w:rsidRDefault="00B34CC2" w:rsidP="003C611F">
      <w:pPr>
        <w:pStyle w:val="Testonotaapidipagina"/>
        <w:jc w:val="both"/>
      </w:pPr>
      <w:r w:rsidRPr="001E0268">
        <w:rPr>
          <w:rStyle w:val="Rimandonotaapidipagina"/>
          <w:rFonts w:ascii="Times New Roman" w:hAnsi="Times New Roman" w:cs="Times New Roman"/>
          <w:sz w:val="20"/>
          <w:szCs w:val="20"/>
        </w:rPr>
        <w:footnoteRef/>
      </w:r>
      <w:r w:rsidRPr="001E0268">
        <w:rPr>
          <w:rFonts w:ascii="Times New Roman" w:hAnsi="Times New Roman" w:cs="Times New Roman"/>
          <w:sz w:val="20"/>
          <w:szCs w:val="20"/>
        </w:rPr>
        <w:t xml:space="preserve"> </w:t>
      </w:r>
      <w:r w:rsidRPr="00A0357E">
        <w:rPr>
          <w:rFonts w:ascii="Times New Roman" w:hAnsi="Times New Roman"/>
          <w:i/>
          <w:sz w:val="20"/>
          <w:szCs w:val="20"/>
        </w:rPr>
        <w:t>Ibidem.</w:t>
      </w:r>
    </w:p>
  </w:footnote>
  <w:footnote w:id="479">
    <w:p w14:paraId="66644FC6" w14:textId="77777777" w:rsidR="00B34CC2" w:rsidRDefault="00B34CC2" w:rsidP="003C611F">
      <w:pPr>
        <w:pStyle w:val="Testonotaapidipagina"/>
        <w:jc w:val="both"/>
      </w:pPr>
      <w:r w:rsidRPr="001E0268">
        <w:rPr>
          <w:rStyle w:val="Rimandonotaapidipagina"/>
          <w:rFonts w:ascii="Times New Roman" w:hAnsi="Times New Roman" w:cs="Times New Roman"/>
          <w:sz w:val="20"/>
          <w:szCs w:val="20"/>
        </w:rPr>
        <w:footnoteRef/>
      </w:r>
      <w:r w:rsidRPr="001E0268">
        <w:rPr>
          <w:sz w:val="20"/>
          <w:szCs w:val="20"/>
        </w:rPr>
        <w:t xml:space="preserve"> </w:t>
      </w:r>
      <w:r w:rsidRPr="00A0357E">
        <w:rPr>
          <w:rFonts w:ascii="Times New Roman" w:hAnsi="Times New Roman"/>
          <w:i/>
          <w:sz w:val="20"/>
          <w:szCs w:val="20"/>
        </w:rPr>
        <w:t>Ibidem.</w:t>
      </w:r>
    </w:p>
  </w:footnote>
  <w:footnote w:id="480">
    <w:p w14:paraId="31554043" w14:textId="77777777" w:rsidR="00B34CC2" w:rsidRPr="006C041C" w:rsidRDefault="00B34CC2" w:rsidP="003C611F">
      <w:pPr>
        <w:pStyle w:val="Testonotaapidipagina"/>
        <w:jc w:val="both"/>
      </w:pPr>
      <w:r w:rsidRPr="006C041C">
        <w:rPr>
          <w:rStyle w:val="Rimandonotaapidipagina"/>
          <w:rFonts w:ascii="Times New Roman" w:hAnsi="Times New Roman" w:cs="Times New Roman"/>
          <w:sz w:val="20"/>
          <w:szCs w:val="20"/>
        </w:rPr>
        <w:footnoteRef/>
      </w:r>
      <w:r w:rsidRPr="006C041C">
        <w:rPr>
          <w:rFonts w:ascii="Times New Roman" w:hAnsi="Times New Roman" w:cs="Times New Roman"/>
          <w:sz w:val="20"/>
          <w:szCs w:val="20"/>
        </w:rPr>
        <w:t xml:space="preserve"> </w:t>
      </w:r>
      <w:r w:rsidRPr="00C11E83">
        <w:rPr>
          <w:rFonts w:ascii="Times New Roman" w:hAnsi="Times New Roman"/>
          <w:i/>
          <w:sz w:val="20"/>
          <w:szCs w:val="20"/>
        </w:rPr>
        <w:t>Ivi</w:t>
      </w:r>
      <w:r w:rsidRPr="00C11E83">
        <w:rPr>
          <w:rFonts w:ascii="Times New Roman" w:hAnsi="Times New Roman"/>
          <w:sz w:val="20"/>
          <w:szCs w:val="20"/>
        </w:rPr>
        <w:t>, p.</w:t>
      </w:r>
      <w:r>
        <w:rPr>
          <w:rFonts w:ascii="Times New Roman" w:hAnsi="Times New Roman"/>
          <w:sz w:val="20"/>
          <w:szCs w:val="20"/>
        </w:rPr>
        <w:t xml:space="preserve"> 394.</w:t>
      </w:r>
    </w:p>
  </w:footnote>
  <w:footnote w:id="481">
    <w:p w14:paraId="2E8F224F" w14:textId="77777777" w:rsidR="00B34CC2" w:rsidRPr="0090228B" w:rsidRDefault="00B34CC2" w:rsidP="003C611F">
      <w:pPr>
        <w:pStyle w:val="Testonotaapidipagina"/>
        <w:jc w:val="both"/>
        <w:rPr>
          <w:rFonts w:ascii="Times New Roman" w:hAnsi="Times New Roman" w:cs="Times New Roman"/>
          <w:sz w:val="20"/>
          <w:szCs w:val="20"/>
        </w:rPr>
      </w:pPr>
      <w:r w:rsidRPr="0090228B">
        <w:rPr>
          <w:rStyle w:val="Rimandonotaapidipagina"/>
          <w:rFonts w:ascii="Times New Roman" w:hAnsi="Times New Roman" w:cs="Times New Roman"/>
          <w:sz w:val="20"/>
          <w:szCs w:val="20"/>
        </w:rPr>
        <w:footnoteRef/>
      </w:r>
      <w:r w:rsidRPr="0090228B">
        <w:rPr>
          <w:rFonts w:ascii="Times New Roman" w:hAnsi="Times New Roman" w:cs="Times New Roman"/>
          <w:sz w:val="20"/>
          <w:szCs w:val="20"/>
        </w:rPr>
        <w:t xml:space="preserve"> </w:t>
      </w:r>
      <w:r w:rsidRPr="00C11E83">
        <w:rPr>
          <w:rFonts w:ascii="Times New Roman" w:hAnsi="Times New Roman"/>
          <w:i/>
          <w:sz w:val="20"/>
          <w:szCs w:val="20"/>
        </w:rPr>
        <w:t>Ivi</w:t>
      </w:r>
      <w:r w:rsidRPr="00C11E83">
        <w:rPr>
          <w:rFonts w:ascii="Times New Roman" w:hAnsi="Times New Roman"/>
          <w:sz w:val="20"/>
          <w:szCs w:val="20"/>
        </w:rPr>
        <w:t>, p.</w:t>
      </w:r>
      <w:r>
        <w:rPr>
          <w:rFonts w:ascii="Times New Roman" w:hAnsi="Times New Roman"/>
          <w:sz w:val="20"/>
          <w:szCs w:val="20"/>
        </w:rPr>
        <w:t xml:space="preserve"> 396.</w:t>
      </w:r>
    </w:p>
  </w:footnote>
  <w:footnote w:id="482">
    <w:p w14:paraId="4423ED9E" w14:textId="77777777" w:rsidR="00B34CC2" w:rsidRPr="00557042" w:rsidRDefault="00B34CC2" w:rsidP="003C611F">
      <w:pPr>
        <w:pStyle w:val="Testonotaapidipagina"/>
        <w:jc w:val="both"/>
        <w:rPr>
          <w:rFonts w:ascii="Times New Roman" w:hAnsi="Times New Roman" w:cs="Times New Roman"/>
          <w:sz w:val="20"/>
          <w:szCs w:val="20"/>
        </w:rPr>
      </w:pPr>
      <w:r w:rsidRPr="00504B39">
        <w:rPr>
          <w:rStyle w:val="Rimandonotaapidipagina"/>
          <w:rFonts w:ascii="Times New Roman" w:hAnsi="Times New Roman" w:cs="Times New Roman"/>
          <w:sz w:val="20"/>
          <w:szCs w:val="20"/>
        </w:rPr>
        <w:footnoteRef/>
      </w:r>
      <w:r w:rsidRPr="00504B39">
        <w:rPr>
          <w:rFonts w:ascii="Times New Roman" w:hAnsi="Times New Roman" w:cs="Times New Roman"/>
          <w:sz w:val="20"/>
          <w:szCs w:val="20"/>
        </w:rPr>
        <w:t xml:space="preserve"> </w:t>
      </w:r>
      <w:r w:rsidRPr="00C11E83">
        <w:rPr>
          <w:rFonts w:ascii="Times New Roman" w:hAnsi="Times New Roman"/>
          <w:i/>
          <w:sz w:val="20"/>
          <w:szCs w:val="20"/>
        </w:rPr>
        <w:t>I</w:t>
      </w:r>
      <w:r>
        <w:rPr>
          <w:rFonts w:ascii="Times New Roman" w:hAnsi="Times New Roman"/>
          <w:i/>
          <w:sz w:val="20"/>
          <w:szCs w:val="20"/>
        </w:rPr>
        <w:t>bidem</w:t>
      </w:r>
      <w:r>
        <w:rPr>
          <w:rFonts w:ascii="Times New Roman" w:hAnsi="Times New Roman"/>
          <w:sz w:val="20"/>
          <w:szCs w:val="20"/>
        </w:rPr>
        <w:t>.</w:t>
      </w:r>
    </w:p>
  </w:footnote>
  <w:footnote w:id="483">
    <w:p w14:paraId="315F93BA" w14:textId="77777777" w:rsidR="00B34CC2" w:rsidRPr="00594E4F" w:rsidRDefault="00B34CC2" w:rsidP="003C611F">
      <w:pPr>
        <w:pStyle w:val="Testonotaapidipagina"/>
        <w:jc w:val="both"/>
        <w:rPr>
          <w:rFonts w:ascii="Times New Roman" w:hAnsi="Times New Roman" w:cs="Times New Roman"/>
          <w:sz w:val="20"/>
          <w:szCs w:val="20"/>
        </w:rPr>
      </w:pPr>
      <w:r w:rsidRPr="00594E4F">
        <w:rPr>
          <w:rStyle w:val="Rimandonotaapidipagina"/>
          <w:rFonts w:ascii="Times New Roman" w:hAnsi="Times New Roman" w:cs="Times New Roman"/>
          <w:sz w:val="20"/>
          <w:szCs w:val="20"/>
        </w:rPr>
        <w:footnoteRef/>
      </w:r>
      <w:r w:rsidRPr="00594E4F">
        <w:rPr>
          <w:rFonts w:ascii="Times New Roman" w:hAnsi="Times New Roman" w:cs="Times New Roman"/>
          <w:sz w:val="20"/>
          <w:szCs w:val="20"/>
        </w:rPr>
        <w:t xml:space="preserve"> </w:t>
      </w:r>
      <w:r w:rsidRPr="00557042">
        <w:rPr>
          <w:rFonts w:ascii="Times New Roman" w:hAnsi="Times New Roman" w:cs="Times New Roman"/>
          <w:i/>
          <w:sz w:val="20"/>
          <w:szCs w:val="20"/>
        </w:rPr>
        <w:t>Ivi</w:t>
      </w:r>
      <w:r>
        <w:rPr>
          <w:rFonts w:ascii="Times New Roman" w:hAnsi="Times New Roman" w:cs="Times New Roman"/>
          <w:sz w:val="20"/>
          <w:szCs w:val="20"/>
        </w:rPr>
        <w:t>, p. 398.</w:t>
      </w:r>
    </w:p>
  </w:footnote>
  <w:footnote w:id="484">
    <w:p w14:paraId="3AB30B6E" w14:textId="77777777" w:rsidR="00B34CC2" w:rsidRPr="00557042" w:rsidRDefault="00B34CC2" w:rsidP="003C611F">
      <w:pPr>
        <w:pStyle w:val="Testonotaapidipagina"/>
        <w:jc w:val="both"/>
        <w:rPr>
          <w:rFonts w:ascii="Times New Roman" w:hAnsi="Times New Roman" w:cs="Times New Roman"/>
          <w:sz w:val="20"/>
          <w:szCs w:val="20"/>
        </w:rPr>
      </w:pPr>
      <w:r w:rsidRPr="00557042">
        <w:rPr>
          <w:rStyle w:val="Rimandonotaapidipagina"/>
          <w:rFonts w:ascii="Times New Roman" w:hAnsi="Times New Roman" w:cs="Times New Roman"/>
          <w:sz w:val="20"/>
          <w:szCs w:val="20"/>
        </w:rPr>
        <w:footnoteRef/>
      </w:r>
      <w:r w:rsidRPr="00557042">
        <w:rPr>
          <w:rFonts w:ascii="Times New Roman" w:hAnsi="Times New Roman" w:cs="Times New Roman"/>
          <w:sz w:val="20"/>
          <w:szCs w:val="20"/>
        </w:rPr>
        <w:t xml:space="preserve"> </w:t>
      </w:r>
      <w:r>
        <w:rPr>
          <w:rFonts w:ascii="Times New Roman" w:hAnsi="Times New Roman" w:cs="Times New Roman"/>
          <w:i/>
          <w:sz w:val="20"/>
          <w:szCs w:val="20"/>
        </w:rPr>
        <w:t>Ibidem</w:t>
      </w:r>
      <w:r w:rsidRPr="00557042">
        <w:rPr>
          <w:rFonts w:ascii="Times New Roman" w:hAnsi="Times New Roman" w:cs="Times New Roman"/>
          <w:sz w:val="20"/>
          <w:szCs w:val="20"/>
        </w:rPr>
        <w:t>.</w:t>
      </w:r>
    </w:p>
  </w:footnote>
  <w:footnote w:id="485">
    <w:p w14:paraId="01CA5208" w14:textId="6A6E97FD" w:rsidR="00B34CC2" w:rsidRPr="00715CAC" w:rsidRDefault="00B34CC2" w:rsidP="003C611F">
      <w:pPr>
        <w:pStyle w:val="Testonotaapidipagina"/>
        <w:jc w:val="both"/>
        <w:rPr>
          <w:rFonts w:ascii="Times New Roman" w:hAnsi="Times New Roman" w:cs="Times New Roman"/>
          <w:sz w:val="20"/>
          <w:szCs w:val="20"/>
          <w:lang w:val="de-DE"/>
        </w:rPr>
      </w:pPr>
      <w:r w:rsidRPr="00715CAC">
        <w:rPr>
          <w:rStyle w:val="Rimandonotaapidipagina"/>
          <w:rFonts w:ascii="Times New Roman" w:hAnsi="Times New Roman" w:cs="Times New Roman"/>
          <w:sz w:val="20"/>
          <w:szCs w:val="20"/>
          <w:lang w:val="de-DE"/>
        </w:rPr>
        <w:footnoteRef/>
      </w:r>
      <w:r w:rsidRPr="00715CAC">
        <w:rPr>
          <w:rFonts w:ascii="Times New Roman" w:hAnsi="Times New Roman" w:cs="Times New Roman"/>
          <w:sz w:val="20"/>
          <w:szCs w:val="20"/>
          <w:lang w:val="de-DE"/>
        </w:rPr>
        <w:t xml:space="preserve"> </w:t>
      </w:r>
      <w:r w:rsidRPr="00715CAC">
        <w:rPr>
          <w:rFonts w:ascii="Times New Roman" w:hAnsi="Times New Roman" w:cs="Times New Roman"/>
          <w:i/>
          <w:sz w:val="20"/>
          <w:szCs w:val="20"/>
          <w:lang w:val="de-DE"/>
        </w:rPr>
        <w:t>Ibidem</w:t>
      </w:r>
      <w:r w:rsidRPr="00715CAC">
        <w:rPr>
          <w:rFonts w:ascii="Times New Roman" w:hAnsi="Times New Roman" w:cs="Times New Roman"/>
          <w:sz w:val="20"/>
          <w:szCs w:val="20"/>
          <w:lang w:val="de-DE"/>
        </w:rPr>
        <w:t xml:space="preserve">: «Die Ursache ist nur Ursache, insofern sie eine </w:t>
      </w:r>
      <w:r>
        <w:rPr>
          <w:rFonts w:ascii="Times New Roman" w:hAnsi="Times New Roman" w:cs="Times New Roman"/>
          <w:sz w:val="20"/>
          <w:szCs w:val="20"/>
          <w:lang w:val="de-DE"/>
        </w:rPr>
        <w:t>ö</w:t>
      </w:r>
      <w:r w:rsidRPr="00715CAC">
        <w:rPr>
          <w:rFonts w:ascii="Times New Roman" w:hAnsi="Times New Roman" w:cs="Times New Roman"/>
          <w:sz w:val="20"/>
          <w:szCs w:val="20"/>
          <w:lang w:val="de-DE"/>
        </w:rPr>
        <w:t>irkung hervorbringt; und die Ursache ist nichts anders als diese Bestimmung, eine Wirkung zu haben, und die Wirkung nichts als dies, eine Ursache zu haben. In der Ursache als solcher selbst liegt ihre Wirkung und in der Wirkung die Ursache; insofern die Ursache noch nicht wirkte oder insofern sie gehört hatte zu wirken, so wäre sie nicht Ursache, – und die Wirkung, insofern ihre Ursache verschwunden ist, ist nicht mehr Wirkung, sondern eine gleichgültige Wirklichkeit</w:t>
      </w:r>
      <w:r w:rsidRPr="00715CAC">
        <w:rPr>
          <w:rFonts w:ascii="Times New Roman" w:eastAsia="Times New Roman" w:hAnsi="Times New Roman" w:cs="Times New Roman"/>
          <w:color w:val="000000"/>
          <w:sz w:val="20"/>
          <w:szCs w:val="20"/>
          <w:lang w:val="de-DE"/>
        </w:rPr>
        <w:t>».</w:t>
      </w:r>
    </w:p>
  </w:footnote>
  <w:footnote w:id="486">
    <w:p w14:paraId="49B9B2EE" w14:textId="77777777" w:rsidR="00B34CC2" w:rsidRPr="00171169" w:rsidRDefault="00B34CC2" w:rsidP="003C611F">
      <w:pPr>
        <w:pStyle w:val="Testonotaapidipagina"/>
        <w:jc w:val="both"/>
        <w:rPr>
          <w:rFonts w:ascii="Times New Roman" w:hAnsi="Times New Roman" w:cs="Times New Roman"/>
          <w:sz w:val="20"/>
          <w:szCs w:val="20"/>
        </w:rPr>
      </w:pPr>
      <w:r w:rsidRPr="00171169">
        <w:rPr>
          <w:rStyle w:val="Rimandonotaapidipagina"/>
          <w:rFonts w:ascii="Times New Roman" w:hAnsi="Times New Roman" w:cs="Times New Roman"/>
          <w:sz w:val="20"/>
          <w:szCs w:val="20"/>
        </w:rPr>
        <w:footnoteRef/>
      </w:r>
      <w:r w:rsidRPr="00171169">
        <w:rPr>
          <w:rFonts w:ascii="Times New Roman" w:hAnsi="Times New Roman" w:cs="Times New Roman"/>
          <w:sz w:val="20"/>
          <w:szCs w:val="20"/>
        </w:rPr>
        <w:t xml:space="preserve"> </w:t>
      </w:r>
      <w:r>
        <w:rPr>
          <w:rFonts w:ascii="Times New Roman" w:hAnsi="Times New Roman" w:cs="Times New Roman"/>
          <w:sz w:val="20"/>
          <w:szCs w:val="20"/>
        </w:rPr>
        <w:t xml:space="preserve">B. Spinoza, </w:t>
      </w:r>
      <w:r w:rsidRPr="00F86705">
        <w:rPr>
          <w:rFonts w:ascii="Times New Roman" w:hAnsi="Times New Roman" w:cs="Times New Roman"/>
          <w:i/>
          <w:sz w:val="20"/>
          <w:szCs w:val="20"/>
        </w:rPr>
        <w:t>Ethica</w:t>
      </w:r>
      <w:r>
        <w:rPr>
          <w:rFonts w:ascii="Times New Roman" w:hAnsi="Times New Roman" w:cs="Times New Roman"/>
          <w:sz w:val="20"/>
          <w:szCs w:val="20"/>
        </w:rPr>
        <w:t xml:space="preserve">, in </w:t>
      </w:r>
      <w:r w:rsidRPr="00F86705">
        <w:rPr>
          <w:rFonts w:ascii="Times New Roman" w:hAnsi="Times New Roman" w:cs="Times New Roman"/>
          <w:i/>
          <w:sz w:val="20"/>
          <w:szCs w:val="20"/>
        </w:rPr>
        <w:t>Baruch Spinoza. Tutte le opere</w:t>
      </w:r>
      <w:r>
        <w:rPr>
          <w:rFonts w:ascii="Times New Roman" w:hAnsi="Times New Roman" w:cs="Times New Roman"/>
          <w:sz w:val="20"/>
          <w:szCs w:val="20"/>
        </w:rPr>
        <w:t xml:space="preserve">, cit., p. 1190. </w:t>
      </w:r>
    </w:p>
  </w:footnote>
  <w:footnote w:id="487">
    <w:p w14:paraId="74122CE0" w14:textId="4CE8F35F" w:rsidR="00B34CC2" w:rsidRPr="009D77C5" w:rsidRDefault="00B34CC2" w:rsidP="003C611F">
      <w:pPr>
        <w:pStyle w:val="Testonotaapidipagina"/>
        <w:jc w:val="both"/>
        <w:rPr>
          <w:rFonts w:ascii="Times New Roman" w:hAnsi="Times New Roman" w:cs="Times New Roman"/>
          <w:sz w:val="20"/>
          <w:szCs w:val="20"/>
        </w:rPr>
      </w:pPr>
      <w:r w:rsidRPr="009D77C5">
        <w:rPr>
          <w:rStyle w:val="Rimandonotaapidipagina"/>
          <w:rFonts w:ascii="Times New Roman" w:hAnsi="Times New Roman" w:cs="Times New Roman"/>
          <w:sz w:val="20"/>
          <w:szCs w:val="20"/>
        </w:rPr>
        <w:footnoteRef/>
      </w:r>
      <w:r w:rsidRPr="009D77C5">
        <w:rPr>
          <w:rFonts w:ascii="Times New Roman" w:hAnsi="Times New Roman" w:cs="Times New Roman"/>
          <w:sz w:val="20"/>
          <w:szCs w:val="20"/>
        </w:rPr>
        <w:t xml:space="preserve"> </w:t>
      </w:r>
      <w:r w:rsidRPr="009D77C5">
        <w:rPr>
          <w:rFonts w:ascii="Times New Roman" w:hAnsi="Times New Roman" w:cs="Times New Roman"/>
          <w:i/>
          <w:sz w:val="20"/>
          <w:szCs w:val="20"/>
        </w:rPr>
        <w:t>WdL I</w:t>
      </w:r>
      <w:r>
        <w:rPr>
          <w:rFonts w:ascii="Times New Roman" w:hAnsi="Times New Roman" w:cs="Times New Roman"/>
          <w:i/>
          <w:sz w:val="20"/>
          <w:szCs w:val="20"/>
        </w:rPr>
        <w:t xml:space="preserve"> A</w:t>
      </w:r>
      <w:r w:rsidRPr="009D77C5">
        <w:rPr>
          <w:rFonts w:ascii="Times New Roman" w:hAnsi="Times New Roman" w:cs="Times New Roman"/>
          <w:sz w:val="20"/>
          <w:szCs w:val="20"/>
        </w:rPr>
        <w:t>, p. 403.</w:t>
      </w:r>
    </w:p>
  </w:footnote>
  <w:footnote w:id="488">
    <w:p w14:paraId="78508B1A" w14:textId="77777777" w:rsidR="00B34CC2" w:rsidRPr="009D77C5" w:rsidRDefault="00B34CC2" w:rsidP="003C611F">
      <w:pPr>
        <w:pStyle w:val="Testonotaapidipagina"/>
        <w:jc w:val="both"/>
        <w:rPr>
          <w:rFonts w:ascii="Times New Roman" w:hAnsi="Times New Roman" w:cs="Times New Roman"/>
          <w:i/>
          <w:sz w:val="20"/>
          <w:szCs w:val="20"/>
        </w:rPr>
      </w:pPr>
      <w:r w:rsidRPr="009D77C5">
        <w:rPr>
          <w:rStyle w:val="Rimandonotaapidipagina"/>
          <w:rFonts w:ascii="Times New Roman" w:hAnsi="Times New Roman" w:cs="Times New Roman"/>
          <w:sz w:val="20"/>
          <w:szCs w:val="20"/>
        </w:rPr>
        <w:footnoteRef/>
      </w:r>
      <w:r w:rsidRPr="009D77C5">
        <w:rPr>
          <w:rFonts w:ascii="Times New Roman" w:hAnsi="Times New Roman" w:cs="Times New Roman"/>
          <w:sz w:val="20"/>
          <w:szCs w:val="20"/>
        </w:rPr>
        <w:t xml:space="preserve"> </w:t>
      </w:r>
      <w:r w:rsidRPr="009D77C5">
        <w:rPr>
          <w:rFonts w:ascii="Times New Roman" w:hAnsi="Times New Roman" w:cs="Times New Roman"/>
          <w:i/>
          <w:sz w:val="20"/>
          <w:szCs w:val="20"/>
        </w:rPr>
        <w:t>Ibidem.</w:t>
      </w:r>
    </w:p>
  </w:footnote>
  <w:footnote w:id="489">
    <w:p w14:paraId="44F55CDB" w14:textId="77777777" w:rsidR="00B34CC2" w:rsidRPr="009566B2" w:rsidRDefault="00B34CC2" w:rsidP="003C611F">
      <w:pPr>
        <w:pStyle w:val="Testonotaapidipagina"/>
        <w:jc w:val="both"/>
        <w:rPr>
          <w:rFonts w:ascii="Times New Roman" w:hAnsi="Times New Roman" w:cs="Times New Roman"/>
          <w:sz w:val="20"/>
          <w:szCs w:val="20"/>
        </w:rPr>
      </w:pPr>
      <w:r w:rsidRPr="009566B2">
        <w:rPr>
          <w:rStyle w:val="Rimandonotaapidipagina"/>
          <w:rFonts w:ascii="Times New Roman" w:hAnsi="Times New Roman" w:cs="Times New Roman"/>
          <w:sz w:val="20"/>
          <w:szCs w:val="20"/>
        </w:rPr>
        <w:footnoteRef/>
      </w:r>
      <w:r w:rsidRPr="009566B2">
        <w:rPr>
          <w:rFonts w:ascii="Times New Roman" w:hAnsi="Times New Roman" w:cs="Times New Roman"/>
          <w:sz w:val="20"/>
          <w:szCs w:val="20"/>
        </w:rPr>
        <w:t xml:space="preserve"> </w:t>
      </w:r>
      <w:r w:rsidRPr="009566B2">
        <w:rPr>
          <w:rFonts w:ascii="Times New Roman" w:hAnsi="Times New Roman" w:cs="Times New Roman"/>
          <w:i/>
          <w:sz w:val="20"/>
          <w:szCs w:val="20"/>
        </w:rPr>
        <w:t>Ivi</w:t>
      </w:r>
      <w:r>
        <w:rPr>
          <w:rFonts w:ascii="Times New Roman" w:hAnsi="Times New Roman" w:cs="Times New Roman"/>
          <w:sz w:val="20"/>
          <w:szCs w:val="20"/>
        </w:rPr>
        <w:t>, p. 404.</w:t>
      </w:r>
    </w:p>
  </w:footnote>
  <w:footnote w:id="490">
    <w:p w14:paraId="13F81381" w14:textId="77777777" w:rsidR="00B34CC2" w:rsidRPr="003A3074" w:rsidRDefault="00B34CC2" w:rsidP="003C611F">
      <w:pPr>
        <w:pStyle w:val="Testonotaapidipagina"/>
        <w:jc w:val="both"/>
        <w:rPr>
          <w:rFonts w:ascii="Times New Roman" w:hAnsi="Times New Roman" w:cs="Times New Roman"/>
          <w:sz w:val="20"/>
          <w:szCs w:val="20"/>
        </w:rPr>
      </w:pPr>
      <w:r w:rsidRPr="003A3074">
        <w:rPr>
          <w:rStyle w:val="Rimandonotaapidipagina"/>
          <w:rFonts w:ascii="Times New Roman" w:hAnsi="Times New Roman" w:cs="Times New Roman"/>
          <w:sz w:val="20"/>
          <w:szCs w:val="20"/>
        </w:rPr>
        <w:footnoteRef/>
      </w:r>
      <w:r w:rsidRPr="003A3074">
        <w:rPr>
          <w:rFonts w:ascii="Times New Roman" w:hAnsi="Times New Roman" w:cs="Times New Roman"/>
          <w:sz w:val="20"/>
          <w:szCs w:val="20"/>
        </w:rPr>
        <w:t xml:space="preserve"> </w:t>
      </w:r>
      <w:r w:rsidRPr="003A3074">
        <w:rPr>
          <w:rFonts w:ascii="Times New Roman" w:hAnsi="Times New Roman" w:cs="Times New Roman"/>
          <w:i/>
          <w:sz w:val="20"/>
          <w:szCs w:val="20"/>
        </w:rPr>
        <w:t>Ibidem.</w:t>
      </w:r>
    </w:p>
  </w:footnote>
  <w:footnote w:id="491">
    <w:p w14:paraId="2F10FC74" w14:textId="77777777" w:rsidR="00B34CC2" w:rsidRPr="003A21B8" w:rsidRDefault="00B34CC2" w:rsidP="003C611F">
      <w:pPr>
        <w:pStyle w:val="Testonotaapidipagina"/>
        <w:jc w:val="both"/>
        <w:rPr>
          <w:rFonts w:ascii="Times New Roman" w:hAnsi="Times New Roman" w:cs="Times New Roman"/>
          <w:sz w:val="20"/>
          <w:szCs w:val="20"/>
        </w:rPr>
      </w:pPr>
      <w:r w:rsidRPr="003A21B8">
        <w:rPr>
          <w:rStyle w:val="Rimandonotaapidipagina"/>
          <w:rFonts w:ascii="Times New Roman" w:hAnsi="Times New Roman" w:cs="Times New Roman"/>
          <w:sz w:val="20"/>
          <w:szCs w:val="20"/>
        </w:rPr>
        <w:footnoteRef/>
      </w:r>
      <w:r w:rsidRPr="003A21B8">
        <w:rPr>
          <w:rFonts w:ascii="Times New Roman" w:hAnsi="Times New Roman" w:cs="Times New Roman"/>
          <w:sz w:val="20"/>
          <w:szCs w:val="20"/>
        </w:rPr>
        <w:t xml:space="preserve"> </w:t>
      </w:r>
      <w:r w:rsidRPr="009566B2">
        <w:rPr>
          <w:rFonts w:ascii="Times New Roman" w:hAnsi="Times New Roman" w:cs="Times New Roman"/>
          <w:i/>
          <w:sz w:val="20"/>
          <w:szCs w:val="20"/>
        </w:rPr>
        <w:t>Ivi</w:t>
      </w:r>
      <w:r>
        <w:rPr>
          <w:rFonts w:ascii="Times New Roman" w:hAnsi="Times New Roman" w:cs="Times New Roman"/>
          <w:sz w:val="20"/>
          <w:szCs w:val="20"/>
        </w:rPr>
        <w:t>, p. 405.</w:t>
      </w:r>
    </w:p>
  </w:footnote>
  <w:footnote w:id="492">
    <w:p w14:paraId="39B1B7A5" w14:textId="77777777" w:rsidR="00B34CC2" w:rsidRPr="003A21B8" w:rsidRDefault="00B34CC2" w:rsidP="003C611F">
      <w:pPr>
        <w:pStyle w:val="Testonotaapidipagina"/>
        <w:jc w:val="both"/>
        <w:rPr>
          <w:rFonts w:ascii="Times New Roman" w:hAnsi="Times New Roman" w:cs="Times New Roman"/>
          <w:sz w:val="20"/>
          <w:szCs w:val="20"/>
        </w:rPr>
      </w:pPr>
      <w:r w:rsidRPr="003A21B8">
        <w:rPr>
          <w:rStyle w:val="Rimandonotaapidipagina"/>
          <w:rFonts w:ascii="Times New Roman" w:hAnsi="Times New Roman" w:cs="Times New Roman"/>
          <w:sz w:val="20"/>
          <w:szCs w:val="20"/>
        </w:rPr>
        <w:footnoteRef/>
      </w:r>
      <w:r>
        <w:t xml:space="preserve"> </w:t>
      </w:r>
      <w:r w:rsidRPr="003A3074">
        <w:rPr>
          <w:rFonts w:ascii="Times New Roman" w:hAnsi="Times New Roman" w:cs="Times New Roman"/>
          <w:i/>
          <w:sz w:val="20"/>
          <w:szCs w:val="20"/>
        </w:rPr>
        <w:t>Ibidem.</w:t>
      </w:r>
    </w:p>
  </w:footnote>
  <w:footnote w:id="493">
    <w:p w14:paraId="71DF160C" w14:textId="77777777" w:rsidR="00B34CC2" w:rsidRPr="009B1747" w:rsidRDefault="00B34CC2" w:rsidP="003C611F">
      <w:pPr>
        <w:pStyle w:val="Testonotaapidipagina"/>
        <w:jc w:val="both"/>
        <w:rPr>
          <w:rFonts w:ascii="Times New Roman" w:hAnsi="Times New Roman" w:cs="Times New Roman"/>
          <w:sz w:val="20"/>
          <w:szCs w:val="20"/>
        </w:rPr>
      </w:pPr>
      <w:r w:rsidRPr="009B1747">
        <w:rPr>
          <w:rStyle w:val="Rimandonotaapidipagina"/>
          <w:rFonts w:ascii="Times New Roman" w:hAnsi="Times New Roman" w:cs="Times New Roman"/>
          <w:sz w:val="20"/>
          <w:szCs w:val="20"/>
        </w:rPr>
        <w:footnoteRef/>
      </w:r>
      <w:r w:rsidRPr="009B1747">
        <w:rPr>
          <w:rFonts w:ascii="Times New Roman" w:hAnsi="Times New Roman" w:cs="Times New Roman"/>
          <w:sz w:val="20"/>
          <w:szCs w:val="20"/>
        </w:rPr>
        <w:t xml:space="preserve"> </w:t>
      </w:r>
      <w:r w:rsidRPr="009566B2">
        <w:rPr>
          <w:rFonts w:ascii="Times New Roman" w:hAnsi="Times New Roman" w:cs="Times New Roman"/>
          <w:i/>
          <w:sz w:val="20"/>
          <w:szCs w:val="20"/>
        </w:rPr>
        <w:t>Ivi</w:t>
      </w:r>
      <w:r>
        <w:rPr>
          <w:rFonts w:ascii="Times New Roman" w:hAnsi="Times New Roman" w:cs="Times New Roman"/>
          <w:sz w:val="20"/>
          <w:szCs w:val="20"/>
        </w:rPr>
        <w:t>, p. 406.</w:t>
      </w:r>
    </w:p>
  </w:footnote>
  <w:footnote w:id="494">
    <w:p w14:paraId="165DB3C9" w14:textId="77777777" w:rsidR="00B34CC2" w:rsidRPr="004C5034" w:rsidRDefault="00B34CC2" w:rsidP="003C611F">
      <w:pPr>
        <w:pStyle w:val="Testonotaapidipagina"/>
        <w:jc w:val="both"/>
        <w:rPr>
          <w:rFonts w:ascii="Times New Roman" w:hAnsi="Times New Roman" w:cs="Times New Roman"/>
          <w:sz w:val="20"/>
          <w:szCs w:val="20"/>
        </w:rPr>
      </w:pPr>
      <w:r w:rsidRPr="004C5034">
        <w:rPr>
          <w:rStyle w:val="Rimandonotaapidipagina"/>
          <w:rFonts w:ascii="Times New Roman" w:hAnsi="Times New Roman" w:cs="Times New Roman"/>
          <w:sz w:val="20"/>
          <w:szCs w:val="20"/>
        </w:rPr>
        <w:footnoteRef/>
      </w:r>
      <w:r w:rsidRPr="004C5034">
        <w:rPr>
          <w:rFonts w:ascii="Times New Roman" w:hAnsi="Times New Roman" w:cs="Times New Roman"/>
          <w:sz w:val="20"/>
          <w:szCs w:val="20"/>
        </w:rPr>
        <w:t xml:space="preserve"> </w:t>
      </w:r>
      <w:r w:rsidRPr="003A3074">
        <w:rPr>
          <w:rFonts w:ascii="Times New Roman" w:hAnsi="Times New Roman" w:cs="Times New Roman"/>
          <w:i/>
          <w:sz w:val="20"/>
          <w:szCs w:val="20"/>
        </w:rPr>
        <w:t>Ibidem.</w:t>
      </w:r>
    </w:p>
  </w:footnote>
  <w:footnote w:id="495">
    <w:p w14:paraId="23C6EF60" w14:textId="77777777" w:rsidR="00B34CC2" w:rsidRDefault="00B34CC2" w:rsidP="003C611F">
      <w:pPr>
        <w:pStyle w:val="Testonotaapidipagina"/>
        <w:jc w:val="both"/>
      </w:pPr>
      <w:r w:rsidRPr="00373DB7">
        <w:rPr>
          <w:rStyle w:val="Rimandonotaapidipagina"/>
          <w:rFonts w:ascii="Times New Roman" w:hAnsi="Times New Roman" w:cs="Times New Roman"/>
          <w:sz w:val="20"/>
          <w:szCs w:val="20"/>
        </w:rPr>
        <w:footnoteRef/>
      </w:r>
      <w:r w:rsidRPr="00373DB7">
        <w:rPr>
          <w:rFonts w:ascii="Times New Roman" w:hAnsi="Times New Roman" w:cs="Times New Roman"/>
          <w:sz w:val="20"/>
          <w:szCs w:val="20"/>
        </w:rPr>
        <w:t xml:space="preserve"> </w:t>
      </w:r>
      <w:r w:rsidRPr="009566B2">
        <w:rPr>
          <w:rFonts w:ascii="Times New Roman" w:hAnsi="Times New Roman" w:cs="Times New Roman"/>
          <w:i/>
          <w:sz w:val="20"/>
          <w:szCs w:val="20"/>
        </w:rPr>
        <w:t>Ivi</w:t>
      </w:r>
      <w:r>
        <w:rPr>
          <w:rFonts w:ascii="Times New Roman" w:hAnsi="Times New Roman" w:cs="Times New Roman"/>
          <w:sz w:val="20"/>
          <w:szCs w:val="20"/>
        </w:rPr>
        <w:t>, p. 407.</w:t>
      </w:r>
    </w:p>
  </w:footnote>
  <w:footnote w:id="496">
    <w:p w14:paraId="21DA090C" w14:textId="77777777" w:rsidR="00B34CC2" w:rsidRPr="00373DB7" w:rsidRDefault="00B34CC2" w:rsidP="003C611F">
      <w:pPr>
        <w:pStyle w:val="Testonotaapidipagina"/>
        <w:jc w:val="both"/>
      </w:pPr>
      <w:r w:rsidRPr="00373DB7">
        <w:rPr>
          <w:rStyle w:val="Rimandonotaapidipagina"/>
          <w:rFonts w:ascii="Times New Roman" w:hAnsi="Times New Roman" w:cs="Times New Roman"/>
          <w:sz w:val="20"/>
          <w:szCs w:val="20"/>
        </w:rPr>
        <w:footnoteRef/>
      </w:r>
      <w:r w:rsidRPr="00373DB7">
        <w:rPr>
          <w:rFonts w:ascii="Times New Roman" w:hAnsi="Times New Roman" w:cs="Times New Roman"/>
          <w:sz w:val="20"/>
          <w:szCs w:val="20"/>
        </w:rPr>
        <w:t xml:space="preserve"> </w:t>
      </w:r>
      <w:r w:rsidRPr="009566B2">
        <w:rPr>
          <w:rFonts w:ascii="Times New Roman" w:hAnsi="Times New Roman" w:cs="Times New Roman"/>
          <w:i/>
          <w:sz w:val="20"/>
          <w:szCs w:val="20"/>
        </w:rPr>
        <w:t>Ivi</w:t>
      </w:r>
      <w:r>
        <w:rPr>
          <w:rFonts w:ascii="Times New Roman" w:hAnsi="Times New Roman" w:cs="Times New Roman"/>
          <w:sz w:val="20"/>
          <w:szCs w:val="20"/>
        </w:rPr>
        <w:t>, p. 408.</w:t>
      </w:r>
    </w:p>
  </w:footnote>
  <w:footnote w:id="497">
    <w:p w14:paraId="4499DCAA" w14:textId="77777777" w:rsidR="00B34CC2" w:rsidRPr="005878AC" w:rsidRDefault="00B34CC2" w:rsidP="003C611F">
      <w:pPr>
        <w:pStyle w:val="Testonotaapidipagina"/>
        <w:jc w:val="both"/>
        <w:rPr>
          <w:rFonts w:ascii="Times New Roman" w:hAnsi="Times New Roman" w:cs="Times New Roman"/>
          <w:sz w:val="20"/>
          <w:szCs w:val="20"/>
        </w:rPr>
      </w:pPr>
      <w:r w:rsidRPr="005878AC">
        <w:rPr>
          <w:rStyle w:val="Rimandonotaapidipagina"/>
          <w:rFonts w:ascii="Times New Roman" w:hAnsi="Times New Roman" w:cs="Times New Roman"/>
          <w:sz w:val="20"/>
          <w:szCs w:val="20"/>
        </w:rPr>
        <w:footnoteRef/>
      </w:r>
      <w:r w:rsidRPr="005878AC">
        <w:rPr>
          <w:rFonts w:ascii="Times New Roman" w:hAnsi="Times New Roman" w:cs="Times New Roman"/>
          <w:sz w:val="20"/>
          <w:szCs w:val="20"/>
        </w:rPr>
        <w:t xml:space="preserve"> </w:t>
      </w:r>
      <w:r w:rsidRPr="005878AC">
        <w:rPr>
          <w:rFonts w:ascii="Times New Roman" w:hAnsi="Times New Roman" w:cs="Times New Roman"/>
          <w:i/>
          <w:sz w:val="20"/>
          <w:szCs w:val="20"/>
        </w:rPr>
        <w:t>Ibidem.</w:t>
      </w:r>
    </w:p>
  </w:footnote>
  <w:footnote w:id="498">
    <w:p w14:paraId="5DB32E49" w14:textId="77777777" w:rsidR="00B34CC2" w:rsidRPr="005878AC" w:rsidRDefault="00B34CC2" w:rsidP="003C611F">
      <w:pPr>
        <w:pStyle w:val="Testonotaapidipagina"/>
        <w:jc w:val="both"/>
        <w:rPr>
          <w:rFonts w:ascii="Times New Roman" w:hAnsi="Times New Roman" w:cs="Times New Roman"/>
          <w:sz w:val="20"/>
          <w:szCs w:val="20"/>
        </w:rPr>
      </w:pPr>
      <w:r w:rsidRPr="005878AC">
        <w:rPr>
          <w:rStyle w:val="Rimandonotaapidipagina"/>
          <w:rFonts w:ascii="Times New Roman" w:hAnsi="Times New Roman" w:cs="Times New Roman"/>
          <w:sz w:val="20"/>
          <w:szCs w:val="20"/>
        </w:rPr>
        <w:footnoteRef/>
      </w:r>
      <w:r w:rsidRPr="005878AC">
        <w:rPr>
          <w:rFonts w:ascii="Times New Roman" w:hAnsi="Times New Roman" w:cs="Times New Roman"/>
          <w:sz w:val="20"/>
          <w:szCs w:val="20"/>
        </w:rPr>
        <w:t xml:space="preserve"> </w:t>
      </w:r>
      <w:r w:rsidRPr="005878AC">
        <w:rPr>
          <w:rFonts w:ascii="Times New Roman" w:hAnsi="Times New Roman" w:cs="Times New Roman"/>
          <w:i/>
          <w:sz w:val="20"/>
          <w:szCs w:val="20"/>
        </w:rPr>
        <w:t>Ibidem.</w:t>
      </w:r>
    </w:p>
  </w:footnote>
  <w:footnote w:id="499">
    <w:p w14:paraId="3E03A021" w14:textId="77777777" w:rsidR="00B34CC2" w:rsidRPr="005878AC" w:rsidRDefault="00B34CC2" w:rsidP="003C611F">
      <w:pPr>
        <w:pStyle w:val="Testonotaapidipagina"/>
        <w:jc w:val="both"/>
        <w:rPr>
          <w:rFonts w:ascii="Times New Roman" w:hAnsi="Times New Roman" w:cs="Times New Roman"/>
          <w:sz w:val="20"/>
          <w:szCs w:val="20"/>
        </w:rPr>
      </w:pPr>
      <w:r w:rsidRPr="005878AC">
        <w:rPr>
          <w:rStyle w:val="Rimandonotaapidipagina"/>
          <w:rFonts w:ascii="Times New Roman" w:hAnsi="Times New Roman" w:cs="Times New Roman"/>
          <w:sz w:val="20"/>
          <w:szCs w:val="20"/>
        </w:rPr>
        <w:footnoteRef/>
      </w:r>
      <w:r w:rsidRPr="005878AC">
        <w:rPr>
          <w:rFonts w:ascii="Times New Roman" w:hAnsi="Times New Roman" w:cs="Times New Roman"/>
          <w:sz w:val="20"/>
          <w:szCs w:val="20"/>
        </w:rPr>
        <w:t xml:space="preserve"> </w:t>
      </w:r>
      <w:r w:rsidRPr="005878AC">
        <w:rPr>
          <w:rFonts w:ascii="Times New Roman" w:hAnsi="Times New Roman" w:cs="Times New Roman"/>
          <w:i/>
          <w:sz w:val="20"/>
          <w:szCs w:val="20"/>
        </w:rPr>
        <w:t>Ivi</w:t>
      </w:r>
      <w:r w:rsidRPr="005878AC">
        <w:rPr>
          <w:rFonts w:ascii="Times New Roman" w:hAnsi="Times New Roman" w:cs="Times New Roman"/>
          <w:sz w:val="20"/>
          <w:szCs w:val="20"/>
        </w:rPr>
        <w:t>, p. 409.</w:t>
      </w:r>
    </w:p>
  </w:footnote>
  <w:footnote w:id="500">
    <w:p w14:paraId="2C22E443" w14:textId="77777777" w:rsidR="00B34CC2" w:rsidRPr="005878AC" w:rsidRDefault="00B34CC2" w:rsidP="003C611F">
      <w:pPr>
        <w:pStyle w:val="Testonotaapidipagina"/>
        <w:jc w:val="both"/>
        <w:rPr>
          <w:rFonts w:ascii="Times New Roman" w:hAnsi="Times New Roman" w:cs="Times New Roman"/>
          <w:sz w:val="20"/>
          <w:szCs w:val="20"/>
        </w:rPr>
      </w:pPr>
      <w:r w:rsidRPr="005878AC">
        <w:rPr>
          <w:rStyle w:val="Rimandonotaapidipagina"/>
          <w:rFonts w:ascii="Times New Roman" w:hAnsi="Times New Roman" w:cs="Times New Roman"/>
          <w:sz w:val="20"/>
          <w:szCs w:val="20"/>
        </w:rPr>
        <w:footnoteRef/>
      </w:r>
      <w:r w:rsidRPr="005878AC">
        <w:rPr>
          <w:rFonts w:ascii="Times New Roman" w:hAnsi="Times New Roman" w:cs="Times New Roman"/>
          <w:sz w:val="20"/>
          <w:szCs w:val="20"/>
        </w:rPr>
        <w:t xml:space="preserve"> </w:t>
      </w:r>
      <w:r w:rsidRPr="005878AC">
        <w:rPr>
          <w:rFonts w:ascii="Times New Roman" w:hAnsi="Times New Roman" w:cs="Times New Roman"/>
          <w:i/>
          <w:sz w:val="20"/>
          <w:szCs w:val="20"/>
        </w:rPr>
        <w:t>Ibidem.</w:t>
      </w:r>
    </w:p>
  </w:footnote>
  <w:footnote w:id="501">
    <w:p w14:paraId="1921F1EC" w14:textId="029A8B39" w:rsidR="00B34CC2" w:rsidRPr="006C53B5" w:rsidRDefault="00B34CC2" w:rsidP="003C611F">
      <w:pPr>
        <w:pStyle w:val="Testonotaapidipagina"/>
        <w:jc w:val="both"/>
        <w:rPr>
          <w:rFonts w:ascii="Times New Roman" w:hAnsi="Times New Roman" w:cs="Times New Roman"/>
          <w:sz w:val="20"/>
          <w:szCs w:val="20"/>
        </w:rPr>
      </w:pPr>
      <w:r w:rsidRPr="005878AC">
        <w:rPr>
          <w:rStyle w:val="Rimandonotaapidipagina"/>
          <w:rFonts w:ascii="Times New Roman" w:hAnsi="Times New Roman" w:cs="Times New Roman"/>
          <w:sz w:val="20"/>
          <w:szCs w:val="20"/>
        </w:rPr>
        <w:footnoteRef/>
      </w:r>
      <w:r w:rsidRPr="005878AC">
        <w:rPr>
          <w:rFonts w:ascii="Times New Roman" w:hAnsi="Times New Roman" w:cs="Times New Roman"/>
          <w:sz w:val="20"/>
          <w:szCs w:val="20"/>
        </w:rPr>
        <w:t xml:space="preserve"> </w:t>
      </w:r>
      <w:r w:rsidRPr="003931AB">
        <w:rPr>
          <w:rFonts w:ascii="Times New Roman" w:hAnsi="Times New Roman" w:cs="Times New Roman"/>
          <w:i/>
          <w:sz w:val="20"/>
          <w:szCs w:val="20"/>
        </w:rPr>
        <w:t>WdL II</w:t>
      </w:r>
      <w:r w:rsidRPr="005878AC">
        <w:rPr>
          <w:rFonts w:ascii="Times New Roman" w:hAnsi="Times New Roman" w:cs="Times New Roman"/>
          <w:sz w:val="20"/>
          <w:szCs w:val="20"/>
        </w:rPr>
        <w:t xml:space="preserve">, p. </w:t>
      </w:r>
      <w:r>
        <w:rPr>
          <w:rFonts w:ascii="Times New Roman" w:hAnsi="Times New Roman" w:cs="Times New Roman"/>
          <w:sz w:val="20"/>
          <w:szCs w:val="20"/>
        </w:rPr>
        <w:t>2</w:t>
      </w:r>
      <w:r w:rsidRPr="005878AC">
        <w:rPr>
          <w:rFonts w:ascii="Times New Roman" w:hAnsi="Times New Roman" w:cs="Times New Roman"/>
          <w:sz w:val="20"/>
          <w:szCs w:val="20"/>
        </w:rPr>
        <w:t>46.</w:t>
      </w:r>
    </w:p>
  </w:footnote>
  <w:footnote w:id="502">
    <w:p w14:paraId="500C41CA" w14:textId="0401E7CE" w:rsidR="00B34CC2" w:rsidRPr="00DA1C3D" w:rsidRDefault="00B34CC2" w:rsidP="00F721A9">
      <w:pPr>
        <w:pStyle w:val="Testonotaapidipagina"/>
        <w:jc w:val="both"/>
        <w:rPr>
          <w:rFonts w:ascii="Times New Roman" w:hAnsi="Times New Roman" w:cs="Times New Roman"/>
        </w:rPr>
      </w:pPr>
      <w:r w:rsidRPr="00DA1C3D">
        <w:rPr>
          <w:rStyle w:val="Rimandonotaapidipagina"/>
          <w:rFonts w:ascii="Times New Roman" w:hAnsi="Times New Roman" w:cs="Times New Roman"/>
          <w:sz w:val="20"/>
          <w:szCs w:val="20"/>
        </w:rPr>
        <w:footnoteRef/>
      </w:r>
      <w:r w:rsidRPr="00DA1C3D">
        <w:rPr>
          <w:rFonts w:ascii="Times New Roman" w:hAnsi="Times New Roman" w:cs="Times New Roman"/>
          <w:sz w:val="20"/>
          <w:szCs w:val="20"/>
        </w:rPr>
        <w:t xml:space="preserve"> </w:t>
      </w:r>
      <w:r>
        <w:rPr>
          <w:rFonts w:ascii="Times New Roman" w:hAnsi="Times New Roman" w:cs="Times New Roman"/>
          <w:i/>
          <w:sz w:val="20"/>
          <w:szCs w:val="20"/>
        </w:rPr>
        <w:t>S</w:t>
      </w:r>
      <w:r w:rsidRPr="00DA1C3D">
        <w:rPr>
          <w:rFonts w:ascii="Times New Roman" w:hAnsi="Times New Roman" w:cs="Times New Roman"/>
          <w:i/>
          <w:sz w:val="20"/>
          <w:szCs w:val="20"/>
        </w:rPr>
        <w:t>upra</w:t>
      </w:r>
      <w:r w:rsidRPr="00DA1C3D">
        <w:rPr>
          <w:rFonts w:ascii="Times New Roman" w:hAnsi="Times New Roman" w:cs="Times New Roman"/>
          <w:sz w:val="20"/>
          <w:szCs w:val="20"/>
        </w:rPr>
        <w:t>, pp. 49-58 e pp. 66-78.</w:t>
      </w:r>
    </w:p>
  </w:footnote>
  <w:footnote w:id="503">
    <w:p w14:paraId="0144CAE9" w14:textId="2BA6D1FF" w:rsidR="00B34CC2" w:rsidRPr="00DA1C3D" w:rsidRDefault="00B34CC2" w:rsidP="00F721A9">
      <w:pPr>
        <w:pStyle w:val="Testonotaapidipagina"/>
        <w:jc w:val="both"/>
        <w:rPr>
          <w:rFonts w:ascii="Times New Roman" w:hAnsi="Times New Roman" w:cs="Times New Roman"/>
          <w:sz w:val="20"/>
          <w:szCs w:val="20"/>
        </w:rPr>
      </w:pPr>
      <w:r w:rsidRPr="00DA1C3D">
        <w:rPr>
          <w:rStyle w:val="Rimandonotaapidipagina"/>
          <w:rFonts w:ascii="Times New Roman" w:hAnsi="Times New Roman" w:cs="Times New Roman"/>
          <w:sz w:val="20"/>
          <w:szCs w:val="20"/>
        </w:rPr>
        <w:footnoteRef/>
      </w:r>
      <w:r w:rsidRPr="00DA1C3D">
        <w:rPr>
          <w:rFonts w:ascii="Times New Roman" w:hAnsi="Times New Roman" w:cs="Times New Roman"/>
          <w:sz w:val="20"/>
          <w:szCs w:val="20"/>
        </w:rPr>
        <w:t xml:space="preserve"> Sul fatto che Hegel non valorizzi certi schemi dualistici presenti nella Qabbalah torneremo nel proseguo di questo capitolo. Cfr. </w:t>
      </w:r>
      <w:r w:rsidRPr="00DA1C3D">
        <w:rPr>
          <w:rFonts w:ascii="Times New Roman" w:hAnsi="Times New Roman" w:cs="Times New Roman"/>
          <w:i/>
          <w:sz w:val="20"/>
          <w:szCs w:val="20"/>
        </w:rPr>
        <w:t>infra</w:t>
      </w:r>
      <w:r>
        <w:rPr>
          <w:rFonts w:ascii="Times New Roman" w:hAnsi="Times New Roman" w:cs="Times New Roman"/>
          <w:sz w:val="20"/>
          <w:szCs w:val="20"/>
        </w:rPr>
        <w:t>, pp. 261-263</w:t>
      </w:r>
      <w:r w:rsidRPr="00DA1C3D">
        <w:rPr>
          <w:rFonts w:ascii="Times New Roman" w:hAnsi="Times New Roman" w:cs="Times New Roman"/>
          <w:sz w:val="20"/>
          <w:szCs w:val="20"/>
        </w:rPr>
        <w:t>.</w:t>
      </w:r>
    </w:p>
  </w:footnote>
  <w:footnote w:id="504">
    <w:p w14:paraId="47290F08" w14:textId="77777777" w:rsidR="00B34CC2" w:rsidRPr="00DA1C3D" w:rsidRDefault="00B34CC2" w:rsidP="00F721A9">
      <w:pPr>
        <w:pStyle w:val="Testonotaapidipagina"/>
        <w:jc w:val="both"/>
        <w:rPr>
          <w:rFonts w:ascii="Times New Roman" w:hAnsi="Times New Roman" w:cs="Times New Roman"/>
          <w:sz w:val="20"/>
          <w:szCs w:val="20"/>
        </w:rPr>
      </w:pPr>
      <w:r w:rsidRPr="00DA1C3D">
        <w:rPr>
          <w:rStyle w:val="Rimandonotaapidipagina"/>
          <w:rFonts w:ascii="Times New Roman" w:hAnsi="Times New Roman" w:cs="Times New Roman"/>
          <w:sz w:val="20"/>
          <w:szCs w:val="20"/>
        </w:rPr>
        <w:footnoteRef/>
      </w:r>
      <w:r w:rsidRPr="00DA1C3D">
        <w:rPr>
          <w:rFonts w:ascii="Times New Roman" w:hAnsi="Times New Roman" w:cs="Times New Roman"/>
          <w:sz w:val="20"/>
          <w:szCs w:val="20"/>
        </w:rPr>
        <w:t xml:space="preserve"> J. Brucker, </w:t>
      </w:r>
      <w:r w:rsidRPr="00DA1C3D">
        <w:rPr>
          <w:rFonts w:ascii="Times New Roman" w:hAnsi="Times New Roman" w:cs="Times New Roman"/>
          <w:i/>
          <w:sz w:val="20"/>
          <w:szCs w:val="20"/>
        </w:rPr>
        <w:t>Historia critica philosophiae ab initiis monarchiae romanae ad repurgatas usque literas</w:t>
      </w:r>
      <w:r w:rsidRPr="00DA1C3D">
        <w:rPr>
          <w:rFonts w:ascii="Times New Roman" w:hAnsi="Times New Roman" w:cs="Times New Roman"/>
          <w:sz w:val="20"/>
          <w:szCs w:val="20"/>
        </w:rPr>
        <w:t>, Vol. I, Leipzig 1742, pp. 916-1069.</w:t>
      </w:r>
    </w:p>
  </w:footnote>
  <w:footnote w:id="505">
    <w:p w14:paraId="0D327D34" w14:textId="77777777" w:rsidR="00B34CC2" w:rsidRPr="00DA1C3D" w:rsidRDefault="00B34CC2" w:rsidP="00F721A9">
      <w:pPr>
        <w:pStyle w:val="Testonotaapidipagina"/>
        <w:jc w:val="both"/>
        <w:rPr>
          <w:rFonts w:ascii="Times New Roman" w:hAnsi="Times New Roman" w:cs="Times New Roman"/>
          <w:sz w:val="20"/>
          <w:szCs w:val="20"/>
        </w:rPr>
      </w:pPr>
      <w:r w:rsidRPr="00DA1C3D">
        <w:rPr>
          <w:rStyle w:val="Rimandonotaapidipagina"/>
          <w:rFonts w:ascii="Times New Roman" w:hAnsi="Times New Roman" w:cs="Times New Roman"/>
          <w:sz w:val="20"/>
          <w:szCs w:val="20"/>
        </w:rPr>
        <w:footnoteRef/>
      </w:r>
      <w:r w:rsidRPr="00DA1C3D">
        <w:rPr>
          <w:rFonts w:ascii="Times New Roman" w:hAnsi="Times New Roman" w:cs="Times New Roman"/>
          <w:sz w:val="20"/>
          <w:szCs w:val="20"/>
        </w:rPr>
        <w:t xml:space="preserve"> W.G. Tennemann, </w:t>
      </w:r>
      <w:r w:rsidRPr="00DA1C3D">
        <w:rPr>
          <w:rFonts w:ascii="Times New Roman" w:hAnsi="Times New Roman" w:cs="Times New Roman"/>
          <w:i/>
          <w:sz w:val="20"/>
          <w:szCs w:val="20"/>
        </w:rPr>
        <w:t>Geschichte der Philosophie</w:t>
      </w:r>
      <w:r w:rsidRPr="00DA1C3D">
        <w:rPr>
          <w:rFonts w:ascii="Times New Roman" w:hAnsi="Times New Roman" w:cs="Times New Roman"/>
          <w:sz w:val="20"/>
          <w:szCs w:val="20"/>
        </w:rPr>
        <w:t>, Bd. IX, Leipzig 1814, pp. 167-185.</w:t>
      </w:r>
    </w:p>
  </w:footnote>
  <w:footnote w:id="506">
    <w:p w14:paraId="64F9E3EB" w14:textId="71E50A32" w:rsidR="00B34CC2" w:rsidRPr="00B27858" w:rsidRDefault="00B34CC2" w:rsidP="00F721A9">
      <w:pPr>
        <w:pStyle w:val="Testonotaapidipagina"/>
        <w:jc w:val="both"/>
        <w:rPr>
          <w:rFonts w:ascii="Times New Roman" w:hAnsi="Times New Roman" w:cs="Times New Roman"/>
          <w:sz w:val="20"/>
          <w:szCs w:val="20"/>
        </w:rPr>
      </w:pPr>
      <w:r w:rsidRPr="00DA1C3D">
        <w:rPr>
          <w:rStyle w:val="Rimandonotaapidipagina"/>
          <w:rFonts w:ascii="Times New Roman" w:hAnsi="Times New Roman" w:cs="Times New Roman"/>
          <w:sz w:val="20"/>
          <w:szCs w:val="20"/>
        </w:rPr>
        <w:footnoteRef/>
      </w:r>
      <w:r w:rsidRPr="00DA1C3D">
        <w:rPr>
          <w:rFonts w:ascii="Times New Roman" w:hAnsi="Times New Roman" w:cs="Times New Roman"/>
          <w:sz w:val="20"/>
          <w:szCs w:val="20"/>
        </w:rPr>
        <w:t xml:space="preserve"> Cfr. </w:t>
      </w:r>
      <w:r w:rsidRPr="00DA1C3D">
        <w:rPr>
          <w:rFonts w:ascii="Times New Roman" w:hAnsi="Times New Roman" w:cs="Times New Roman"/>
          <w:i/>
          <w:sz w:val="20"/>
          <w:szCs w:val="20"/>
        </w:rPr>
        <w:t>infra</w:t>
      </w:r>
      <w:r>
        <w:rPr>
          <w:rFonts w:ascii="Times New Roman" w:hAnsi="Times New Roman" w:cs="Times New Roman"/>
          <w:sz w:val="20"/>
          <w:szCs w:val="20"/>
        </w:rPr>
        <w:t>, pp. 246-263</w:t>
      </w:r>
      <w:r w:rsidRPr="00DA1C3D">
        <w:rPr>
          <w:rFonts w:ascii="Times New Roman" w:hAnsi="Times New Roman" w:cs="Times New Roman"/>
          <w:sz w:val="20"/>
          <w:szCs w:val="20"/>
        </w:rPr>
        <w:t>.</w:t>
      </w:r>
    </w:p>
  </w:footnote>
  <w:footnote w:id="507">
    <w:p w14:paraId="61A998C4" w14:textId="77777777" w:rsidR="00B34CC2" w:rsidRPr="00347A11" w:rsidRDefault="00B34CC2" w:rsidP="00F721A9">
      <w:pPr>
        <w:pStyle w:val="Testonotaapidipagina"/>
        <w:jc w:val="both"/>
        <w:rPr>
          <w:rFonts w:ascii="Times New Roman" w:hAnsi="Times New Roman" w:cs="Times New Roman"/>
          <w:sz w:val="20"/>
          <w:szCs w:val="20"/>
        </w:rPr>
      </w:pPr>
      <w:r w:rsidRPr="00B27858">
        <w:rPr>
          <w:rStyle w:val="Rimandonotaapidipagina"/>
          <w:rFonts w:ascii="Times New Roman" w:hAnsi="Times New Roman" w:cs="Times New Roman"/>
          <w:sz w:val="20"/>
          <w:szCs w:val="20"/>
        </w:rPr>
        <w:footnoteRef/>
      </w:r>
      <w:r w:rsidRPr="00B27858">
        <w:rPr>
          <w:rFonts w:ascii="Times New Roman" w:hAnsi="Times New Roman" w:cs="Times New Roman"/>
          <w:sz w:val="20"/>
          <w:szCs w:val="20"/>
        </w:rPr>
        <w:t xml:space="preserve"> </w:t>
      </w:r>
      <w:r w:rsidRPr="00B27858">
        <w:rPr>
          <w:rFonts w:ascii="Times New Roman" w:hAnsi="Times New Roman" w:cs="Times New Roman"/>
          <w:i/>
          <w:sz w:val="20"/>
          <w:szCs w:val="20"/>
        </w:rPr>
        <w:t>Ibidem</w:t>
      </w:r>
      <w:r w:rsidRPr="00B27858">
        <w:rPr>
          <w:rFonts w:ascii="Times New Roman" w:hAnsi="Times New Roman" w:cs="Times New Roman"/>
          <w:sz w:val="20"/>
          <w:szCs w:val="20"/>
        </w:rPr>
        <w:t>.</w:t>
      </w:r>
    </w:p>
  </w:footnote>
  <w:footnote w:id="508">
    <w:p w14:paraId="425694B5" w14:textId="4811948A" w:rsidR="00B34CC2" w:rsidRPr="007D23EC" w:rsidRDefault="00B34CC2" w:rsidP="00F721A9">
      <w:pPr>
        <w:pStyle w:val="Testonotaapidipagina"/>
        <w:jc w:val="both"/>
        <w:rPr>
          <w:rFonts w:ascii="Times New Roman" w:hAnsi="Times New Roman" w:cs="Times New Roman"/>
          <w:sz w:val="20"/>
          <w:szCs w:val="20"/>
        </w:rPr>
      </w:pPr>
      <w:r w:rsidRPr="007E7968">
        <w:rPr>
          <w:rStyle w:val="Rimandonotaapidipagina"/>
          <w:rFonts w:ascii="Times New Roman" w:hAnsi="Times New Roman" w:cs="Times New Roman"/>
          <w:sz w:val="20"/>
          <w:szCs w:val="20"/>
        </w:rPr>
        <w:footnoteRef/>
      </w:r>
      <w:r w:rsidRPr="007E7968">
        <w:rPr>
          <w:rFonts w:ascii="Times New Roman" w:hAnsi="Times New Roman" w:cs="Times New Roman"/>
          <w:sz w:val="20"/>
          <w:szCs w:val="20"/>
        </w:rPr>
        <w:t xml:space="preserve"> Anche Pau</w:t>
      </w:r>
      <w:r>
        <w:rPr>
          <w:rFonts w:ascii="Times New Roman" w:hAnsi="Times New Roman" w:cs="Times New Roman"/>
          <w:sz w:val="20"/>
          <w:szCs w:val="20"/>
        </w:rPr>
        <w:t>l Franks sostiene che Hegel h</w:t>
      </w:r>
      <w:r w:rsidRPr="007E7968">
        <w:rPr>
          <w:rFonts w:ascii="Times New Roman" w:hAnsi="Times New Roman" w:cs="Times New Roman"/>
          <w:sz w:val="20"/>
          <w:szCs w:val="20"/>
        </w:rPr>
        <w:t xml:space="preserve">a accettato alcuni elementi di questo modello interpretativo dello spinozismo. </w:t>
      </w:r>
      <w:r>
        <w:rPr>
          <w:rFonts w:ascii="Times New Roman" w:hAnsi="Times New Roman" w:cs="Times New Roman"/>
          <w:sz w:val="20"/>
          <w:szCs w:val="20"/>
        </w:rPr>
        <w:t>L</w:t>
      </w:r>
      <w:r w:rsidRPr="007E7968">
        <w:rPr>
          <w:rFonts w:ascii="Times New Roman" w:hAnsi="Times New Roman" w:cs="Times New Roman"/>
          <w:sz w:val="20"/>
          <w:szCs w:val="20"/>
        </w:rPr>
        <w:t>a sua valutazione dell’operazione ermeneutica hegeliana è</w:t>
      </w:r>
      <w:r>
        <w:rPr>
          <w:rFonts w:ascii="Times New Roman" w:hAnsi="Times New Roman" w:cs="Times New Roman"/>
          <w:sz w:val="20"/>
          <w:szCs w:val="20"/>
        </w:rPr>
        <w:t xml:space="preserve"> però </w:t>
      </w:r>
      <w:r w:rsidRPr="007E7968">
        <w:rPr>
          <w:rFonts w:ascii="Times New Roman" w:hAnsi="Times New Roman" w:cs="Times New Roman"/>
          <w:sz w:val="20"/>
          <w:szCs w:val="20"/>
        </w:rPr>
        <w:t xml:space="preserve">negativa. Cfr. P. Franks, </w:t>
      </w:r>
      <w:r w:rsidRPr="007E7968">
        <w:rPr>
          <w:rFonts w:ascii="Times New Roman" w:hAnsi="Times New Roman" w:cs="Times New Roman"/>
          <w:i/>
          <w:sz w:val="20"/>
          <w:szCs w:val="20"/>
        </w:rPr>
        <w:t>Nothing comes from nothing. Judaism, the Orient and Kabbalah in Hegel’s Reception of Spinoza</w:t>
      </w:r>
      <w:r w:rsidRPr="007E7968">
        <w:rPr>
          <w:rFonts w:ascii="Times New Roman" w:hAnsi="Times New Roman" w:cs="Times New Roman"/>
          <w:sz w:val="20"/>
          <w:szCs w:val="20"/>
        </w:rPr>
        <w:t xml:space="preserve">, in </w:t>
      </w:r>
      <w:r w:rsidRPr="007E7968">
        <w:rPr>
          <w:rFonts w:ascii="Times New Roman" w:hAnsi="Times New Roman" w:cs="Times New Roman"/>
          <w:i/>
          <w:sz w:val="20"/>
          <w:szCs w:val="20"/>
        </w:rPr>
        <w:t>The Oxford Handbook of Spinoza</w:t>
      </w:r>
      <w:r w:rsidRPr="007E7968">
        <w:rPr>
          <w:rFonts w:ascii="Times New Roman" w:hAnsi="Times New Roman" w:cs="Times New Roman"/>
          <w:sz w:val="20"/>
          <w:szCs w:val="20"/>
        </w:rPr>
        <w:t xml:space="preserve">, edited by M. Della Rocca, Oxford University Press, Oxford, 2017, p. 534: </w:t>
      </w:r>
      <w:r w:rsidRPr="00B87A58">
        <w:rPr>
          <w:rFonts w:ascii="Times New Roman" w:hAnsi="Times New Roman" w:cs="Times New Roman"/>
          <w:sz w:val="20"/>
          <w:szCs w:val="20"/>
        </w:rPr>
        <w:t>«</w:t>
      </w:r>
      <w:r w:rsidRPr="00B87A58">
        <w:rPr>
          <w:rFonts w:ascii="Times New Roman" w:hAnsi="Times New Roman" w:cs="Times New Roman"/>
          <w:sz w:val="20"/>
          <w:szCs w:val="20"/>
          <w:lang w:val="en-GB"/>
        </w:rPr>
        <w:t>He [Hegel] was thereby able to maintain the view, in which he was deeply invested, that Judaism was paralyzed at the stage of development prior to the advent of Christ […] The very idea of a modern Jewish philosophy, in which Spinozism would be synthesized with elements of lurianic Kabbalah, was thus completely excluded</w:t>
      </w:r>
      <w:r w:rsidRPr="00B87A58">
        <w:rPr>
          <w:rFonts w:ascii="Times New Roman" w:hAnsi="Times New Roman" w:cs="Times New Roman"/>
          <w:sz w:val="20"/>
          <w:szCs w:val="20"/>
        </w:rPr>
        <w:t>».</w:t>
      </w:r>
      <w:r w:rsidRPr="007E7968">
        <w:rPr>
          <w:rFonts w:ascii="Times New Roman" w:hAnsi="Times New Roman" w:cs="Times New Roman"/>
          <w:sz w:val="20"/>
          <w:szCs w:val="20"/>
        </w:rPr>
        <w:t xml:space="preserve"> </w:t>
      </w:r>
      <w:r>
        <w:rPr>
          <w:rFonts w:ascii="Times New Roman" w:hAnsi="Times New Roman" w:cs="Times New Roman"/>
          <w:sz w:val="20"/>
          <w:szCs w:val="20"/>
        </w:rPr>
        <w:t xml:space="preserve">Secondo </w:t>
      </w:r>
      <w:r w:rsidRPr="007E7968">
        <w:rPr>
          <w:rFonts w:ascii="Times New Roman" w:hAnsi="Times New Roman" w:cs="Times New Roman"/>
          <w:sz w:val="20"/>
          <w:szCs w:val="20"/>
        </w:rPr>
        <w:t>Franks</w:t>
      </w:r>
      <w:r>
        <w:rPr>
          <w:rFonts w:ascii="Times New Roman" w:hAnsi="Times New Roman" w:cs="Times New Roman"/>
          <w:sz w:val="20"/>
          <w:szCs w:val="20"/>
        </w:rPr>
        <w:t xml:space="preserve">, pertanto, </w:t>
      </w:r>
      <w:r w:rsidRPr="007E7968">
        <w:rPr>
          <w:rFonts w:ascii="Times New Roman" w:hAnsi="Times New Roman" w:cs="Times New Roman"/>
          <w:sz w:val="20"/>
          <w:szCs w:val="20"/>
        </w:rPr>
        <w:t xml:space="preserve">Hegel </w:t>
      </w:r>
      <w:r>
        <w:rPr>
          <w:rFonts w:ascii="Times New Roman" w:hAnsi="Times New Roman" w:cs="Times New Roman"/>
          <w:sz w:val="20"/>
          <w:szCs w:val="20"/>
        </w:rPr>
        <w:t xml:space="preserve">sarebbe </w:t>
      </w:r>
      <w:r w:rsidRPr="007E7968">
        <w:rPr>
          <w:rFonts w:ascii="Times New Roman" w:hAnsi="Times New Roman" w:cs="Times New Roman"/>
          <w:sz w:val="20"/>
          <w:szCs w:val="20"/>
        </w:rPr>
        <w:t>prigioniero dei suoi pregiudizi e del tutto incapace di cogliere le potenzialità riposte nella filosofia moderna ebraica. Contrariamente a quest’analisi, che trovo basata, a propria volta, su un pregiudizio (il presunto antigiudaismo di Hegel), mostrerò come l’assunzione hegeliana di un’interpretazione cab</w:t>
      </w:r>
      <w:r>
        <w:rPr>
          <w:rFonts w:ascii="Times New Roman" w:hAnsi="Times New Roman" w:cs="Times New Roman"/>
          <w:sz w:val="20"/>
          <w:szCs w:val="20"/>
        </w:rPr>
        <w:t>b</w:t>
      </w:r>
      <w:r w:rsidRPr="007E7968">
        <w:rPr>
          <w:rFonts w:ascii="Times New Roman" w:hAnsi="Times New Roman" w:cs="Times New Roman"/>
          <w:sz w:val="20"/>
          <w:szCs w:val="20"/>
        </w:rPr>
        <w:t>alistica</w:t>
      </w:r>
      <w:r>
        <w:rPr>
          <w:rFonts w:ascii="Times New Roman" w:hAnsi="Times New Roman" w:cs="Times New Roman"/>
          <w:sz w:val="20"/>
          <w:szCs w:val="20"/>
        </w:rPr>
        <w:t xml:space="preserve"> della filosofia di Spinoza risulti dall’assunzione di una serie di elementi storico-filosofici diffusi in Germania nel XIX secolo. </w:t>
      </w:r>
    </w:p>
  </w:footnote>
  <w:footnote w:id="509">
    <w:p w14:paraId="0E93C71D" w14:textId="0BC43843" w:rsidR="00B34CC2" w:rsidRPr="007D23EC" w:rsidRDefault="00B34CC2" w:rsidP="00F721A9">
      <w:pPr>
        <w:pStyle w:val="Testonotaapidipagina"/>
        <w:jc w:val="both"/>
        <w:rPr>
          <w:rFonts w:ascii="Times New Roman" w:hAnsi="Times New Roman" w:cs="Times New Roman"/>
          <w:sz w:val="20"/>
          <w:szCs w:val="20"/>
        </w:rPr>
      </w:pPr>
      <w:r w:rsidRPr="00B27858">
        <w:rPr>
          <w:rStyle w:val="Rimandonotaapidipagina"/>
          <w:rFonts w:ascii="Times New Roman" w:hAnsi="Times New Roman" w:cs="Times New Roman"/>
          <w:sz w:val="20"/>
          <w:szCs w:val="20"/>
        </w:rPr>
        <w:footnoteRef/>
      </w:r>
      <w:r w:rsidRPr="00B27858">
        <w:rPr>
          <w:rFonts w:ascii="Times New Roman" w:hAnsi="Times New Roman" w:cs="Times New Roman"/>
          <w:sz w:val="20"/>
          <w:szCs w:val="20"/>
        </w:rPr>
        <w:t xml:space="preserve"> Si pensi, ad esempio, all’interpretazione fornita da Jacobi dell’ontologia spinoziana (cfr. </w:t>
      </w:r>
      <w:r w:rsidRPr="00B27858">
        <w:rPr>
          <w:rFonts w:ascii="Times New Roman" w:hAnsi="Times New Roman" w:cs="Times New Roman"/>
          <w:i/>
          <w:sz w:val="20"/>
          <w:szCs w:val="20"/>
        </w:rPr>
        <w:t>supra</w:t>
      </w:r>
      <w:r>
        <w:rPr>
          <w:rFonts w:ascii="Times New Roman" w:hAnsi="Times New Roman" w:cs="Times New Roman"/>
          <w:sz w:val="20"/>
          <w:szCs w:val="20"/>
        </w:rPr>
        <w:t>, pp. 40-44</w:t>
      </w:r>
      <w:r w:rsidRPr="00B27858">
        <w:rPr>
          <w:rFonts w:ascii="Times New Roman" w:hAnsi="Times New Roman" w:cs="Times New Roman"/>
          <w:sz w:val="20"/>
          <w:szCs w:val="20"/>
        </w:rPr>
        <w:t xml:space="preserve"> e </w:t>
      </w:r>
      <w:r w:rsidRPr="00B27858">
        <w:rPr>
          <w:rFonts w:ascii="Times New Roman" w:hAnsi="Times New Roman" w:cs="Times New Roman"/>
          <w:i/>
          <w:sz w:val="20"/>
          <w:szCs w:val="20"/>
        </w:rPr>
        <w:t>infra</w:t>
      </w:r>
      <w:r>
        <w:rPr>
          <w:rFonts w:ascii="Times New Roman" w:hAnsi="Times New Roman" w:cs="Times New Roman"/>
          <w:sz w:val="20"/>
          <w:szCs w:val="20"/>
        </w:rPr>
        <w:t>, pp. 192-198</w:t>
      </w:r>
      <w:r w:rsidRPr="00B27858">
        <w:rPr>
          <w:rFonts w:ascii="Times New Roman" w:hAnsi="Times New Roman" w:cs="Times New Roman"/>
          <w:sz w:val="20"/>
          <w:szCs w:val="20"/>
        </w:rPr>
        <w:t>). Sul collegamento di questo principio con la filosofia cabbalistica si dirà nelle prossime pagine.</w:t>
      </w:r>
    </w:p>
  </w:footnote>
  <w:footnote w:id="510">
    <w:p w14:paraId="564A5177" w14:textId="70D593CE" w:rsidR="00B34CC2" w:rsidRPr="00823A12" w:rsidRDefault="00B34CC2" w:rsidP="00F721A9">
      <w:pPr>
        <w:pStyle w:val="Testonotaapidipagina"/>
        <w:jc w:val="both"/>
        <w:rPr>
          <w:rFonts w:ascii="Times New Roman" w:hAnsi="Times New Roman" w:cs="Times New Roman"/>
          <w:sz w:val="20"/>
          <w:szCs w:val="20"/>
        </w:rPr>
      </w:pPr>
      <w:r w:rsidRPr="00823A12">
        <w:rPr>
          <w:rStyle w:val="Rimandonotaapidipagina"/>
          <w:rFonts w:ascii="Times New Roman" w:hAnsi="Times New Roman" w:cs="Times New Roman"/>
          <w:sz w:val="20"/>
          <w:szCs w:val="20"/>
        </w:rPr>
        <w:footnoteRef/>
      </w:r>
      <w:r w:rsidRPr="00823A12">
        <w:rPr>
          <w:rFonts w:ascii="Times New Roman" w:hAnsi="Times New Roman" w:cs="Times New Roman"/>
          <w:sz w:val="20"/>
          <w:szCs w:val="20"/>
        </w:rPr>
        <w:t xml:space="preserve"> Cfr. </w:t>
      </w:r>
      <w:r w:rsidRPr="00823A12">
        <w:rPr>
          <w:rFonts w:ascii="Times New Roman" w:hAnsi="Times New Roman" w:cs="Times New Roman"/>
          <w:i/>
          <w:sz w:val="20"/>
          <w:szCs w:val="20"/>
        </w:rPr>
        <w:t>infra</w:t>
      </w:r>
      <w:r>
        <w:rPr>
          <w:rFonts w:ascii="Times New Roman" w:hAnsi="Times New Roman" w:cs="Times New Roman"/>
          <w:sz w:val="20"/>
          <w:szCs w:val="20"/>
        </w:rPr>
        <w:t>, pp. 178-184</w:t>
      </w:r>
      <w:r w:rsidRPr="00823A12">
        <w:rPr>
          <w:rFonts w:ascii="Times New Roman" w:hAnsi="Times New Roman" w:cs="Times New Roman"/>
          <w:sz w:val="20"/>
          <w:szCs w:val="20"/>
        </w:rPr>
        <w:t>.</w:t>
      </w:r>
    </w:p>
  </w:footnote>
  <w:footnote w:id="511">
    <w:p w14:paraId="7C242954" w14:textId="7AF7781F" w:rsidR="00B34CC2" w:rsidRPr="00D12B51" w:rsidRDefault="00B34CC2" w:rsidP="00F721A9">
      <w:pPr>
        <w:pStyle w:val="Testonotaapidipagina"/>
        <w:jc w:val="both"/>
        <w:rPr>
          <w:rFonts w:ascii="Times New Roman" w:hAnsi="Times New Roman" w:cs="Times New Roman"/>
          <w:sz w:val="20"/>
          <w:szCs w:val="20"/>
        </w:rPr>
      </w:pPr>
      <w:r w:rsidRPr="00823A12">
        <w:rPr>
          <w:rStyle w:val="Rimandonotaapidipagina"/>
          <w:rFonts w:ascii="Times New Roman" w:hAnsi="Times New Roman" w:cs="Times New Roman"/>
          <w:sz w:val="20"/>
          <w:szCs w:val="20"/>
        </w:rPr>
        <w:footnoteRef/>
      </w:r>
      <w:r w:rsidRPr="00823A12">
        <w:rPr>
          <w:rFonts w:ascii="Times New Roman" w:hAnsi="Times New Roman" w:cs="Times New Roman"/>
          <w:sz w:val="20"/>
          <w:szCs w:val="20"/>
        </w:rPr>
        <w:t xml:space="preserve"> Per una discussione più dettagliata del punto di vista jacobiano si rimanda, ancora una volta, a </w:t>
      </w:r>
      <w:r w:rsidRPr="00823A12">
        <w:rPr>
          <w:rFonts w:ascii="Times New Roman" w:hAnsi="Times New Roman" w:cs="Times New Roman"/>
          <w:i/>
          <w:sz w:val="20"/>
          <w:szCs w:val="20"/>
        </w:rPr>
        <w:t>supra</w:t>
      </w:r>
      <w:r>
        <w:rPr>
          <w:rFonts w:ascii="Times New Roman" w:hAnsi="Times New Roman" w:cs="Times New Roman"/>
          <w:sz w:val="20"/>
          <w:szCs w:val="20"/>
        </w:rPr>
        <w:t>, pp. 40-44</w:t>
      </w:r>
      <w:r w:rsidRPr="00823A12">
        <w:rPr>
          <w:rFonts w:ascii="Times New Roman" w:hAnsi="Times New Roman" w:cs="Times New Roman"/>
          <w:sz w:val="20"/>
          <w:szCs w:val="20"/>
        </w:rPr>
        <w:t xml:space="preserve"> e </w:t>
      </w:r>
      <w:r w:rsidRPr="00823A12">
        <w:rPr>
          <w:rFonts w:ascii="Times New Roman" w:hAnsi="Times New Roman" w:cs="Times New Roman"/>
          <w:i/>
          <w:sz w:val="20"/>
          <w:szCs w:val="20"/>
        </w:rPr>
        <w:t>infra</w:t>
      </w:r>
      <w:r>
        <w:rPr>
          <w:rFonts w:ascii="Times New Roman" w:hAnsi="Times New Roman" w:cs="Times New Roman"/>
          <w:sz w:val="20"/>
          <w:szCs w:val="20"/>
        </w:rPr>
        <w:t>, pp. 192-198</w:t>
      </w:r>
      <w:r w:rsidRPr="00823A12">
        <w:rPr>
          <w:rFonts w:ascii="Times New Roman" w:hAnsi="Times New Roman" w:cs="Times New Roman"/>
          <w:sz w:val="20"/>
          <w:szCs w:val="20"/>
        </w:rPr>
        <w:t>.</w:t>
      </w:r>
    </w:p>
  </w:footnote>
  <w:footnote w:id="512">
    <w:p w14:paraId="12527953" w14:textId="77777777" w:rsidR="00B34CC2" w:rsidRPr="004275F9" w:rsidRDefault="00B34CC2" w:rsidP="00F721A9">
      <w:pPr>
        <w:pStyle w:val="Testonotaapidipagina"/>
        <w:jc w:val="both"/>
        <w:rPr>
          <w:rFonts w:ascii="Times New Roman" w:hAnsi="Times New Roman" w:cs="Times New Roman"/>
          <w:i/>
          <w:sz w:val="20"/>
          <w:szCs w:val="20"/>
          <w:lang w:val="de-DE"/>
        </w:rPr>
      </w:pPr>
      <w:r w:rsidRPr="004275F9">
        <w:rPr>
          <w:rStyle w:val="Rimandonotaapidipagina"/>
          <w:rFonts w:ascii="Times New Roman" w:hAnsi="Times New Roman" w:cs="Times New Roman"/>
          <w:sz w:val="20"/>
          <w:szCs w:val="20"/>
        </w:rPr>
        <w:footnoteRef/>
      </w:r>
      <w:r w:rsidRPr="004275F9">
        <w:rPr>
          <w:rFonts w:ascii="Times New Roman" w:hAnsi="Times New Roman" w:cs="Times New Roman"/>
          <w:sz w:val="20"/>
          <w:szCs w:val="20"/>
        </w:rPr>
        <w:t xml:space="preserve"> Cfr. </w:t>
      </w:r>
      <w:r w:rsidRPr="004275F9">
        <w:rPr>
          <w:rFonts w:ascii="Times New Roman" w:hAnsi="Times New Roman" w:cs="Times New Roman"/>
          <w:i/>
          <w:sz w:val="20"/>
          <w:szCs w:val="20"/>
        </w:rPr>
        <w:t>VGP (H)</w:t>
      </w:r>
      <w:r w:rsidRPr="004275F9">
        <w:rPr>
          <w:rFonts w:ascii="Times New Roman" w:hAnsi="Times New Roman" w:cs="Times New Roman"/>
          <w:sz w:val="20"/>
          <w:szCs w:val="20"/>
        </w:rPr>
        <w:t>, p. 419: «</w:t>
      </w:r>
      <w:r w:rsidRPr="004275F9">
        <w:rPr>
          <w:rFonts w:ascii="Times New Roman" w:hAnsi="Times New Roman" w:cs="Times New Roman"/>
          <w:sz w:val="20"/>
          <w:szCs w:val="20"/>
          <w:lang w:val="de-DE"/>
        </w:rPr>
        <w:t>Der Spinocismus ist verschrieen, wegen der Einheit Gottes und der Natur; in der That ist aber nur im Spinozismus nur Gott und es gilt gar keine Natur in demselben, Die Philosophie des Spinoza ist so zu sagen Akosmismus und so gerade das Gegentheil des Atheismus</w:t>
      </w:r>
      <w:r w:rsidRPr="004275F9">
        <w:rPr>
          <w:rFonts w:ascii="Times New Roman" w:hAnsi="Times New Roman" w:cs="Times New Roman"/>
          <w:sz w:val="20"/>
          <w:szCs w:val="20"/>
        </w:rPr>
        <w:t>».</w:t>
      </w:r>
    </w:p>
  </w:footnote>
  <w:footnote w:id="513">
    <w:p w14:paraId="010517BC" w14:textId="71C94887" w:rsidR="00B34CC2" w:rsidRPr="004275F9" w:rsidRDefault="00B34CC2" w:rsidP="00F721A9">
      <w:pPr>
        <w:pStyle w:val="Testonotaapidipagina"/>
        <w:jc w:val="both"/>
        <w:rPr>
          <w:rFonts w:ascii="Times New Roman" w:hAnsi="Times New Roman" w:cs="Times New Roman"/>
          <w:sz w:val="20"/>
          <w:szCs w:val="20"/>
        </w:rPr>
      </w:pPr>
      <w:r w:rsidRPr="004275F9">
        <w:rPr>
          <w:rStyle w:val="Rimandonotaapidipagina"/>
          <w:rFonts w:ascii="Times New Roman" w:hAnsi="Times New Roman" w:cs="Times New Roman"/>
          <w:sz w:val="20"/>
          <w:szCs w:val="20"/>
        </w:rPr>
        <w:footnoteRef/>
      </w:r>
      <w:r w:rsidRPr="004275F9">
        <w:rPr>
          <w:rFonts w:ascii="Times New Roman" w:hAnsi="Times New Roman" w:cs="Times New Roman"/>
          <w:sz w:val="20"/>
          <w:szCs w:val="20"/>
        </w:rPr>
        <w:t xml:space="preserve"> Cfr. </w:t>
      </w:r>
      <w:r w:rsidRPr="004275F9">
        <w:rPr>
          <w:rFonts w:ascii="Times New Roman" w:hAnsi="Times New Roman" w:cs="Times New Roman"/>
          <w:i/>
          <w:sz w:val="20"/>
          <w:szCs w:val="20"/>
        </w:rPr>
        <w:t>infra</w:t>
      </w:r>
      <w:r>
        <w:rPr>
          <w:rFonts w:ascii="Times New Roman" w:hAnsi="Times New Roman" w:cs="Times New Roman"/>
          <w:sz w:val="20"/>
          <w:szCs w:val="20"/>
        </w:rPr>
        <w:t>, pp. 199-209</w:t>
      </w:r>
      <w:r w:rsidRPr="004275F9">
        <w:rPr>
          <w:rFonts w:ascii="Times New Roman" w:hAnsi="Times New Roman" w:cs="Times New Roman"/>
          <w:sz w:val="20"/>
          <w:szCs w:val="20"/>
        </w:rPr>
        <w:t>.</w:t>
      </w:r>
    </w:p>
  </w:footnote>
  <w:footnote w:id="514">
    <w:p w14:paraId="3B6C2BB6" w14:textId="77777777" w:rsidR="00B34CC2" w:rsidRPr="00B66348" w:rsidRDefault="00B34CC2" w:rsidP="00F721A9">
      <w:pPr>
        <w:pStyle w:val="Testonotaapidipagina"/>
        <w:jc w:val="both"/>
        <w:rPr>
          <w:rFonts w:ascii="Times New Roman" w:hAnsi="Times New Roman" w:cs="Times New Roman"/>
          <w:sz w:val="20"/>
          <w:szCs w:val="20"/>
        </w:rPr>
      </w:pPr>
      <w:r w:rsidRPr="004275F9">
        <w:rPr>
          <w:rStyle w:val="Rimandonotaapidipagina"/>
          <w:rFonts w:ascii="Times New Roman" w:hAnsi="Times New Roman" w:cs="Times New Roman"/>
          <w:sz w:val="20"/>
          <w:szCs w:val="20"/>
        </w:rPr>
        <w:footnoteRef/>
      </w:r>
      <w:r w:rsidRPr="004275F9">
        <w:rPr>
          <w:rFonts w:ascii="Times New Roman" w:hAnsi="Times New Roman" w:cs="Times New Roman"/>
          <w:sz w:val="20"/>
          <w:szCs w:val="20"/>
        </w:rPr>
        <w:t xml:space="preserve"> </w:t>
      </w:r>
      <w:r w:rsidRPr="004275F9">
        <w:rPr>
          <w:rFonts w:ascii="Times New Roman" w:hAnsi="Times New Roman" w:cs="Times New Roman"/>
          <w:i/>
          <w:sz w:val="20"/>
          <w:szCs w:val="20"/>
        </w:rPr>
        <w:t>Ibidem</w:t>
      </w:r>
      <w:r w:rsidRPr="004275F9">
        <w:rPr>
          <w:rFonts w:ascii="Times New Roman" w:hAnsi="Times New Roman" w:cs="Times New Roman"/>
          <w:sz w:val="20"/>
          <w:szCs w:val="20"/>
        </w:rPr>
        <w:t>.</w:t>
      </w:r>
    </w:p>
  </w:footnote>
  <w:footnote w:id="515">
    <w:p w14:paraId="3FD5C999" w14:textId="77777777" w:rsidR="00B34CC2" w:rsidRPr="004275F9" w:rsidRDefault="00B34CC2" w:rsidP="00F721A9">
      <w:pPr>
        <w:pStyle w:val="Testonotaapidipagina"/>
        <w:jc w:val="both"/>
        <w:rPr>
          <w:rFonts w:ascii="Times New Roman" w:hAnsi="Times New Roman" w:cs="Times New Roman"/>
          <w:sz w:val="20"/>
          <w:szCs w:val="20"/>
        </w:rPr>
      </w:pPr>
      <w:r w:rsidRPr="004275F9">
        <w:rPr>
          <w:rStyle w:val="Rimandonotaapidipagina"/>
          <w:rFonts w:ascii="Times New Roman" w:hAnsi="Times New Roman" w:cs="Times New Roman"/>
          <w:sz w:val="20"/>
          <w:szCs w:val="20"/>
        </w:rPr>
        <w:footnoteRef/>
      </w:r>
      <w:r w:rsidRPr="004275F9">
        <w:rPr>
          <w:rFonts w:ascii="Times New Roman" w:hAnsi="Times New Roman" w:cs="Times New Roman"/>
          <w:sz w:val="20"/>
          <w:szCs w:val="20"/>
        </w:rPr>
        <w:t xml:space="preserve"> Vedi </w:t>
      </w:r>
      <w:r w:rsidRPr="004275F9">
        <w:rPr>
          <w:rFonts w:ascii="Times New Roman" w:hAnsi="Times New Roman" w:cs="Times New Roman"/>
          <w:i/>
          <w:sz w:val="20"/>
          <w:szCs w:val="20"/>
        </w:rPr>
        <w:t>VGP (H)</w:t>
      </w:r>
      <w:r w:rsidRPr="004275F9">
        <w:rPr>
          <w:rFonts w:ascii="Times New Roman" w:hAnsi="Times New Roman" w:cs="Times New Roman"/>
          <w:sz w:val="20"/>
          <w:szCs w:val="20"/>
        </w:rPr>
        <w:t>, p. 380 e p. 419.</w:t>
      </w:r>
    </w:p>
  </w:footnote>
  <w:footnote w:id="516">
    <w:p w14:paraId="07A3C7C7" w14:textId="7D0F0366" w:rsidR="00B34CC2" w:rsidRPr="004275F9" w:rsidRDefault="00B34CC2" w:rsidP="00F721A9">
      <w:pPr>
        <w:pStyle w:val="Testonotaapidipagina"/>
        <w:jc w:val="both"/>
        <w:rPr>
          <w:rFonts w:ascii="Times New Roman" w:hAnsi="Times New Roman" w:cs="Times New Roman"/>
          <w:sz w:val="20"/>
          <w:szCs w:val="20"/>
        </w:rPr>
      </w:pPr>
      <w:r w:rsidRPr="004275F9">
        <w:rPr>
          <w:rStyle w:val="Rimandonotaapidipagina"/>
          <w:rFonts w:ascii="Times New Roman" w:hAnsi="Times New Roman" w:cs="Times New Roman"/>
          <w:sz w:val="20"/>
          <w:szCs w:val="20"/>
        </w:rPr>
        <w:footnoteRef/>
      </w:r>
      <w:r w:rsidRPr="004275F9">
        <w:rPr>
          <w:rFonts w:ascii="Times New Roman" w:hAnsi="Times New Roman" w:cs="Times New Roman"/>
          <w:sz w:val="20"/>
          <w:szCs w:val="20"/>
        </w:rPr>
        <w:t xml:space="preserve"> Cfr. </w:t>
      </w:r>
      <w:r w:rsidRPr="004275F9">
        <w:rPr>
          <w:rFonts w:ascii="Times New Roman" w:hAnsi="Times New Roman" w:cs="Times New Roman"/>
          <w:i/>
          <w:sz w:val="20"/>
          <w:szCs w:val="20"/>
        </w:rPr>
        <w:t>infra</w:t>
      </w:r>
      <w:r>
        <w:rPr>
          <w:rFonts w:ascii="Times New Roman" w:hAnsi="Times New Roman" w:cs="Times New Roman"/>
          <w:sz w:val="20"/>
          <w:szCs w:val="20"/>
        </w:rPr>
        <w:t>, pp. 166-178</w:t>
      </w:r>
      <w:r w:rsidRPr="004275F9">
        <w:rPr>
          <w:rFonts w:ascii="Times New Roman" w:hAnsi="Times New Roman" w:cs="Times New Roman"/>
          <w:sz w:val="20"/>
          <w:szCs w:val="20"/>
        </w:rPr>
        <w:t>.</w:t>
      </w:r>
    </w:p>
  </w:footnote>
  <w:footnote w:id="517">
    <w:p w14:paraId="3133E4ED" w14:textId="77777777" w:rsidR="00B34CC2" w:rsidRPr="004275F9" w:rsidRDefault="00B34CC2" w:rsidP="00F721A9">
      <w:pPr>
        <w:pStyle w:val="Testonotaapidipagina"/>
        <w:jc w:val="both"/>
        <w:rPr>
          <w:rFonts w:ascii="Times New Roman" w:hAnsi="Times New Roman" w:cs="Times New Roman"/>
          <w:sz w:val="20"/>
          <w:szCs w:val="20"/>
        </w:rPr>
      </w:pPr>
      <w:r w:rsidRPr="004275F9">
        <w:rPr>
          <w:rStyle w:val="Rimandonotaapidipagina"/>
          <w:rFonts w:ascii="Times New Roman" w:hAnsi="Times New Roman" w:cs="Times New Roman"/>
          <w:sz w:val="20"/>
          <w:szCs w:val="20"/>
        </w:rPr>
        <w:footnoteRef/>
      </w:r>
      <w:r w:rsidRPr="004275F9">
        <w:rPr>
          <w:rFonts w:ascii="Times New Roman" w:hAnsi="Times New Roman" w:cs="Times New Roman"/>
          <w:sz w:val="20"/>
          <w:szCs w:val="20"/>
        </w:rPr>
        <w:t xml:space="preserve"> Cfr. J.G. Buhle, </w:t>
      </w:r>
      <w:r w:rsidRPr="004275F9">
        <w:rPr>
          <w:rFonts w:ascii="Times New Roman" w:hAnsi="Times New Roman" w:cs="Times New Roman"/>
          <w:i/>
          <w:sz w:val="20"/>
          <w:szCs w:val="20"/>
          <w:lang w:val="de-DE"/>
        </w:rPr>
        <w:t>Lehrbuch der Geschichte der Philosophie und einer kritischen Literatur derselben</w:t>
      </w:r>
      <w:r w:rsidRPr="004275F9">
        <w:rPr>
          <w:rFonts w:ascii="Times New Roman" w:hAnsi="Times New Roman" w:cs="Times New Roman"/>
          <w:sz w:val="20"/>
          <w:szCs w:val="20"/>
        </w:rPr>
        <w:t xml:space="preserve">, Bd. IV, Göttingen 1799, p. 143; F. Ast, </w:t>
      </w:r>
      <w:r w:rsidRPr="004275F9">
        <w:rPr>
          <w:rFonts w:ascii="Times New Roman" w:hAnsi="Times New Roman" w:cs="Times New Roman"/>
          <w:i/>
          <w:sz w:val="20"/>
          <w:szCs w:val="20"/>
          <w:lang w:val="de-DE"/>
        </w:rPr>
        <w:t>Grundriss einer Geschichte der Philosophie</w:t>
      </w:r>
      <w:r w:rsidRPr="004275F9">
        <w:rPr>
          <w:rFonts w:ascii="Times New Roman" w:hAnsi="Times New Roman" w:cs="Times New Roman"/>
          <w:sz w:val="20"/>
          <w:szCs w:val="20"/>
        </w:rPr>
        <w:t>, Landshut 1807, p. 178.</w:t>
      </w:r>
    </w:p>
  </w:footnote>
  <w:footnote w:id="518">
    <w:p w14:paraId="2EE22473" w14:textId="54EC40B0" w:rsidR="00B34CC2" w:rsidRPr="00434CBD" w:rsidRDefault="00B34CC2" w:rsidP="00F721A9">
      <w:pPr>
        <w:pStyle w:val="Testonotaapidipagina"/>
        <w:jc w:val="both"/>
        <w:rPr>
          <w:rFonts w:ascii="Times New Roman" w:hAnsi="Times New Roman" w:cs="Times New Roman"/>
          <w:sz w:val="20"/>
          <w:szCs w:val="20"/>
        </w:rPr>
      </w:pPr>
      <w:r w:rsidRPr="004275F9">
        <w:rPr>
          <w:rStyle w:val="Rimandonotaapidipagina"/>
          <w:rFonts w:ascii="Times New Roman" w:hAnsi="Times New Roman" w:cs="Times New Roman"/>
          <w:sz w:val="20"/>
          <w:szCs w:val="20"/>
        </w:rPr>
        <w:footnoteRef/>
      </w:r>
      <w:r w:rsidRPr="004275F9">
        <w:rPr>
          <w:rFonts w:ascii="Times New Roman" w:hAnsi="Times New Roman" w:cs="Times New Roman"/>
          <w:sz w:val="20"/>
          <w:szCs w:val="20"/>
        </w:rPr>
        <w:t xml:space="preserve"> Vedi </w:t>
      </w:r>
      <w:r w:rsidRPr="004275F9">
        <w:rPr>
          <w:rFonts w:ascii="Times New Roman" w:hAnsi="Times New Roman" w:cs="Times New Roman"/>
          <w:i/>
          <w:sz w:val="20"/>
          <w:szCs w:val="20"/>
        </w:rPr>
        <w:t>infra</w:t>
      </w:r>
      <w:r>
        <w:rPr>
          <w:rFonts w:ascii="Times New Roman" w:hAnsi="Times New Roman" w:cs="Times New Roman"/>
          <w:sz w:val="20"/>
          <w:szCs w:val="20"/>
        </w:rPr>
        <w:t>, pp. 246-263</w:t>
      </w:r>
      <w:r w:rsidRPr="004275F9">
        <w:rPr>
          <w:rFonts w:ascii="Times New Roman" w:hAnsi="Times New Roman" w:cs="Times New Roman"/>
          <w:sz w:val="20"/>
          <w:szCs w:val="20"/>
        </w:rPr>
        <w:t>.</w:t>
      </w:r>
    </w:p>
  </w:footnote>
  <w:footnote w:id="519">
    <w:p w14:paraId="349D2D24" w14:textId="77777777" w:rsidR="00B34CC2" w:rsidRPr="004871EF" w:rsidRDefault="00B34CC2" w:rsidP="00F721A9">
      <w:pPr>
        <w:pStyle w:val="Testonotaapidipagina"/>
        <w:jc w:val="both"/>
        <w:rPr>
          <w:rFonts w:ascii="Times New Roman" w:hAnsi="Times New Roman" w:cs="Times New Roman"/>
          <w:sz w:val="20"/>
          <w:szCs w:val="20"/>
        </w:rPr>
      </w:pPr>
      <w:r w:rsidRPr="00480F2A">
        <w:rPr>
          <w:rStyle w:val="Rimandonotaapidipagina"/>
          <w:rFonts w:ascii="Times New Roman" w:hAnsi="Times New Roman" w:cs="Times New Roman"/>
          <w:sz w:val="20"/>
          <w:szCs w:val="20"/>
        </w:rPr>
        <w:footnoteRef/>
      </w:r>
      <w:r w:rsidRPr="00480F2A">
        <w:rPr>
          <w:rFonts w:ascii="Times New Roman" w:hAnsi="Times New Roman" w:cs="Times New Roman"/>
          <w:sz w:val="20"/>
          <w:szCs w:val="20"/>
        </w:rPr>
        <w:t xml:space="preserve"> </w:t>
      </w:r>
      <w:r>
        <w:rPr>
          <w:rFonts w:ascii="Times New Roman" w:hAnsi="Times New Roman" w:cs="Times New Roman"/>
          <w:sz w:val="20"/>
          <w:szCs w:val="20"/>
        </w:rPr>
        <w:t xml:space="preserve">Per una descrizione succinta e allo stesso tempo efficace di Knorr von Rosenroth cfr. G. Scholem, </w:t>
      </w:r>
      <w:r w:rsidRPr="00480F2A">
        <w:rPr>
          <w:rFonts w:ascii="Times New Roman" w:hAnsi="Times New Roman" w:cs="Times New Roman"/>
          <w:i/>
          <w:sz w:val="20"/>
          <w:szCs w:val="20"/>
        </w:rPr>
        <w:t>Kabbalah</w:t>
      </w:r>
      <w:r>
        <w:rPr>
          <w:rFonts w:ascii="Times New Roman" w:hAnsi="Times New Roman" w:cs="Times New Roman"/>
          <w:sz w:val="20"/>
          <w:szCs w:val="20"/>
        </w:rPr>
        <w:t>, cit., pp. 418-421.</w:t>
      </w:r>
      <w:r>
        <w:rPr>
          <w:rFonts w:ascii="Times New Roman" w:hAnsi="Times New Roman" w:cs="Times New Roman"/>
          <w:i/>
          <w:sz w:val="20"/>
          <w:szCs w:val="20"/>
        </w:rPr>
        <w:t xml:space="preserve"> </w:t>
      </w:r>
      <w:r>
        <w:rPr>
          <w:rFonts w:ascii="Times New Roman" w:hAnsi="Times New Roman" w:cs="Times New Roman"/>
          <w:sz w:val="20"/>
          <w:szCs w:val="20"/>
        </w:rPr>
        <w:t xml:space="preserve">Per una descrizione estremamente dettagliata della </w:t>
      </w:r>
      <w:r w:rsidRPr="006C5627">
        <w:rPr>
          <w:rFonts w:ascii="Times New Roman" w:hAnsi="Times New Roman" w:cs="Times New Roman"/>
          <w:i/>
          <w:sz w:val="20"/>
          <w:szCs w:val="20"/>
        </w:rPr>
        <w:t>Kabbala denudata</w:t>
      </w:r>
      <w:r>
        <w:rPr>
          <w:rFonts w:ascii="Times New Roman" w:hAnsi="Times New Roman" w:cs="Times New Roman"/>
          <w:i/>
          <w:sz w:val="20"/>
          <w:szCs w:val="20"/>
        </w:rPr>
        <w:t xml:space="preserve"> </w:t>
      </w:r>
      <w:r>
        <w:rPr>
          <w:rFonts w:ascii="Times New Roman" w:hAnsi="Times New Roman" w:cs="Times New Roman"/>
          <w:sz w:val="20"/>
          <w:szCs w:val="20"/>
        </w:rPr>
        <w:t xml:space="preserve">si veda W. Schmidt-Biggeman, </w:t>
      </w:r>
      <w:r w:rsidRPr="00C5751D">
        <w:rPr>
          <w:rFonts w:ascii="Times New Roman" w:hAnsi="Times New Roman" w:cs="Times New Roman"/>
          <w:i/>
          <w:sz w:val="20"/>
          <w:szCs w:val="20"/>
          <w:lang w:val="de-DE"/>
        </w:rPr>
        <w:t>Geschichte der christlichen Kabbala,</w:t>
      </w:r>
      <w:r>
        <w:rPr>
          <w:rFonts w:ascii="Times New Roman" w:hAnsi="Times New Roman" w:cs="Times New Roman"/>
          <w:i/>
          <w:sz w:val="20"/>
          <w:szCs w:val="20"/>
          <w:lang w:val="de-DE"/>
        </w:rPr>
        <w:t xml:space="preserve"> </w:t>
      </w:r>
      <w:r>
        <w:rPr>
          <w:rFonts w:ascii="Times New Roman" w:hAnsi="Times New Roman" w:cs="Times New Roman"/>
          <w:sz w:val="20"/>
          <w:szCs w:val="20"/>
          <w:lang w:val="de-DE"/>
        </w:rPr>
        <w:t>Bd. III, Frommann-Holzboog, Stuttgart 2013,</w:t>
      </w:r>
      <w:r w:rsidRPr="00C5751D">
        <w:rPr>
          <w:rFonts w:ascii="Times New Roman" w:hAnsi="Times New Roman" w:cs="Times New Roman"/>
          <w:i/>
          <w:sz w:val="20"/>
          <w:szCs w:val="20"/>
          <w:lang w:val="de-DE"/>
        </w:rPr>
        <w:t xml:space="preserve"> </w:t>
      </w:r>
      <w:r>
        <w:rPr>
          <w:rFonts w:ascii="Times New Roman" w:hAnsi="Times New Roman" w:cs="Times New Roman"/>
          <w:sz w:val="20"/>
          <w:szCs w:val="20"/>
          <w:lang w:val="de-DE"/>
        </w:rPr>
        <w:t>pp. 63-149.</w:t>
      </w:r>
    </w:p>
  </w:footnote>
  <w:footnote w:id="520">
    <w:p w14:paraId="0CD97DFF" w14:textId="77777777" w:rsidR="00B34CC2" w:rsidRPr="001F5217" w:rsidRDefault="00B34CC2" w:rsidP="00F721A9">
      <w:pPr>
        <w:pStyle w:val="Testonotaapidipagina"/>
        <w:jc w:val="both"/>
        <w:rPr>
          <w:rFonts w:ascii="Times New Roman" w:hAnsi="Times New Roman" w:cs="Times New Roman"/>
          <w:sz w:val="20"/>
          <w:szCs w:val="20"/>
        </w:rPr>
      </w:pPr>
      <w:r w:rsidRPr="00B82CEA">
        <w:rPr>
          <w:rStyle w:val="Rimandonotaapidipagina"/>
          <w:rFonts w:ascii="Times New Roman" w:hAnsi="Times New Roman" w:cs="Times New Roman"/>
          <w:sz w:val="20"/>
          <w:szCs w:val="20"/>
        </w:rPr>
        <w:footnoteRef/>
      </w:r>
      <w:r w:rsidRPr="00B82CEA">
        <w:rPr>
          <w:rFonts w:ascii="Times New Roman" w:hAnsi="Times New Roman" w:cs="Times New Roman"/>
          <w:sz w:val="20"/>
          <w:szCs w:val="20"/>
        </w:rPr>
        <w:t xml:space="preserve"> </w:t>
      </w:r>
      <w:r>
        <w:rPr>
          <w:rFonts w:ascii="Times New Roman" w:hAnsi="Times New Roman" w:cs="Times New Roman"/>
          <w:sz w:val="20"/>
          <w:szCs w:val="20"/>
        </w:rPr>
        <w:t xml:space="preserve">Sull’interpretazione del frontespizio della </w:t>
      </w:r>
      <w:r w:rsidRPr="00B82CEA">
        <w:rPr>
          <w:rFonts w:ascii="Times New Roman" w:hAnsi="Times New Roman" w:cs="Times New Roman"/>
          <w:i/>
          <w:sz w:val="20"/>
          <w:szCs w:val="20"/>
        </w:rPr>
        <w:t xml:space="preserve">Kabbala </w:t>
      </w:r>
      <w:r>
        <w:rPr>
          <w:rFonts w:ascii="Times New Roman" w:hAnsi="Times New Roman" w:cs="Times New Roman"/>
          <w:i/>
          <w:sz w:val="20"/>
          <w:szCs w:val="20"/>
        </w:rPr>
        <w:t>D</w:t>
      </w:r>
      <w:r w:rsidRPr="00B82CEA">
        <w:rPr>
          <w:rFonts w:ascii="Times New Roman" w:hAnsi="Times New Roman" w:cs="Times New Roman"/>
          <w:i/>
          <w:sz w:val="20"/>
          <w:szCs w:val="20"/>
        </w:rPr>
        <w:t>enudata</w:t>
      </w:r>
      <w:r>
        <w:rPr>
          <w:rFonts w:ascii="Times New Roman" w:hAnsi="Times New Roman" w:cs="Times New Roman"/>
          <w:sz w:val="20"/>
          <w:szCs w:val="20"/>
        </w:rPr>
        <w:t xml:space="preserve"> si raccomanda l’analisi puntuale di C. Schulte, </w:t>
      </w:r>
      <w:r>
        <w:rPr>
          <w:rFonts w:ascii="Times New Roman" w:hAnsi="Times New Roman" w:cs="Times New Roman"/>
          <w:i/>
          <w:sz w:val="20"/>
          <w:szCs w:val="20"/>
        </w:rPr>
        <w:t>Zimzum</w:t>
      </w:r>
      <w:r>
        <w:rPr>
          <w:rFonts w:ascii="Times New Roman" w:hAnsi="Times New Roman" w:cs="Times New Roman"/>
          <w:sz w:val="20"/>
          <w:szCs w:val="20"/>
        </w:rPr>
        <w:t xml:space="preserve">, cit., pp. 145-147. Vedi anche E. Benz, </w:t>
      </w:r>
      <w:r w:rsidRPr="00EB0077">
        <w:rPr>
          <w:rFonts w:ascii="Times New Roman" w:hAnsi="Times New Roman" w:cs="Times New Roman"/>
          <w:i/>
          <w:sz w:val="20"/>
          <w:szCs w:val="20"/>
          <w:lang w:val="fr-CA"/>
        </w:rPr>
        <w:t xml:space="preserve">La Kabbale chrétienne en Allemagne, du XVI au XVIII </w:t>
      </w:r>
      <w:r w:rsidRPr="00EB0077">
        <w:rPr>
          <w:rFonts w:ascii="Times New Roman" w:hAnsi="Times New Roman" w:cs="Times New Roman"/>
          <w:sz w:val="20"/>
          <w:szCs w:val="20"/>
          <w:lang w:val="fr-CA"/>
        </w:rPr>
        <w:t>siècle, in «Cahiers de l’Hermétisme»,</w:t>
      </w:r>
      <w:r>
        <w:rPr>
          <w:rFonts w:ascii="Times New Roman" w:hAnsi="Times New Roman" w:cs="Times New Roman"/>
          <w:sz w:val="20"/>
          <w:szCs w:val="20"/>
        </w:rPr>
        <w:t xml:space="preserve"> 1979, pp. 102-109. </w:t>
      </w:r>
      <w:r w:rsidRPr="00EB0077">
        <w:rPr>
          <w:rFonts w:ascii="Times New Roman" w:hAnsi="Times New Roman" w:cs="Times New Roman"/>
          <w:sz w:val="20"/>
          <w:szCs w:val="20"/>
        </w:rPr>
        <w:t>Seppur</w:t>
      </w:r>
      <w:r>
        <w:rPr>
          <w:rFonts w:ascii="Times New Roman" w:hAnsi="Times New Roman" w:cs="Times New Roman"/>
          <w:sz w:val="20"/>
          <w:szCs w:val="20"/>
        </w:rPr>
        <w:t xml:space="preserve"> condivida l’analisi di Benz e Schulte, trovo sorprendente il mancato collegamento del frontespizio con l’</w:t>
      </w:r>
      <w:r w:rsidRPr="00921596">
        <w:rPr>
          <w:rFonts w:ascii="Times New Roman" w:hAnsi="Times New Roman" w:cs="Times New Roman"/>
          <w:i/>
          <w:sz w:val="20"/>
          <w:szCs w:val="20"/>
        </w:rPr>
        <w:t>Iconologia</w:t>
      </w:r>
      <w:r>
        <w:rPr>
          <w:rFonts w:ascii="Times New Roman" w:hAnsi="Times New Roman" w:cs="Times New Roman"/>
          <w:sz w:val="20"/>
          <w:szCs w:val="20"/>
        </w:rPr>
        <w:t xml:space="preserve"> di Cesare Ripa. L’immagine della fanciulla, in effetti, corrisponde alla descrizione </w:t>
      </w:r>
      <w:r w:rsidRPr="001F5217">
        <w:rPr>
          <w:rFonts w:ascii="Times New Roman" w:hAnsi="Times New Roman" w:cs="Times New Roman"/>
          <w:i/>
          <w:sz w:val="20"/>
          <w:szCs w:val="20"/>
        </w:rPr>
        <w:t>ripiana</w:t>
      </w:r>
      <w:r>
        <w:rPr>
          <w:rFonts w:ascii="Times New Roman" w:hAnsi="Times New Roman" w:cs="Times New Roman"/>
          <w:sz w:val="20"/>
          <w:szCs w:val="20"/>
        </w:rPr>
        <w:t xml:space="preserve"> della sapienza. Cfr. C. Ripa, </w:t>
      </w:r>
      <w:r w:rsidRPr="001F5217">
        <w:rPr>
          <w:rFonts w:ascii="Times New Roman" w:hAnsi="Times New Roman" w:cs="Times New Roman"/>
          <w:i/>
          <w:sz w:val="20"/>
          <w:szCs w:val="20"/>
        </w:rPr>
        <w:t>Iconologia</w:t>
      </w:r>
      <w:r>
        <w:rPr>
          <w:rFonts w:ascii="Times New Roman" w:hAnsi="Times New Roman" w:cs="Times New Roman"/>
          <w:sz w:val="20"/>
          <w:szCs w:val="20"/>
        </w:rPr>
        <w:t xml:space="preserve">, a cura di S. Maffei, Einaudi, Torino 2012, p. 521: </w:t>
      </w:r>
      <w:r w:rsidRPr="001F5217">
        <w:rPr>
          <w:rFonts w:ascii="Times New Roman" w:hAnsi="Times New Roman" w:cs="Times New Roman"/>
          <w:sz w:val="20"/>
          <w:szCs w:val="20"/>
        </w:rPr>
        <w:t>«Giovane in una notte oscura, vestita di color turchino. Nella destra mano tiene una lampana piena di olio accesa e nella sinistra un libro. Si dipinge giovane, perché ha dominio sopra le stelle, che non l’invecchiano, né le tolgono l’intelligenza de’ segreti di Dio, i quali sono vivi, e veri eternamente».</w:t>
      </w:r>
    </w:p>
  </w:footnote>
  <w:footnote w:id="521">
    <w:p w14:paraId="0EC350CB" w14:textId="77777777" w:rsidR="00B34CC2" w:rsidRPr="00B17421" w:rsidRDefault="00B34CC2" w:rsidP="00F721A9">
      <w:pPr>
        <w:pStyle w:val="Testonotaapidipagina"/>
        <w:jc w:val="both"/>
        <w:rPr>
          <w:rFonts w:ascii="Times New Roman" w:hAnsi="Times New Roman" w:cs="Times New Roman"/>
          <w:sz w:val="20"/>
          <w:szCs w:val="20"/>
        </w:rPr>
      </w:pPr>
      <w:r w:rsidRPr="00B17421">
        <w:rPr>
          <w:rStyle w:val="Rimandonotaapidipagina"/>
          <w:rFonts w:ascii="Times New Roman" w:hAnsi="Times New Roman" w:cs="Times New Roman"/>
          <w:sz w:val="20"/>
          <w:szCs w:val="20"/>
        </w:rPr>
        <w:footnoteRef/>
      </w:r>
      <w:r w:rsidRPr="00B17421">
        <w:rPr>
          <w:rFonts w:ascii="Times New Roman" w:hAnsi="Times New Roman" w:cs="Times New Roman"/>
          <w:sz w:val="20"/>
          <w:szCs w:val="20"/>
        </w:rPr>
        <w:t xml:space="preserve"> </w:t>
      </w:r>
      <w:r w:rsidRPr="00544563">
        <w:rPr>
          <w:rFonts w:ascii="Times New Roman" w:hAnsi="Times New Roman" w:cs="Times New Roman"/>
          <w:i/>
          <w:sz w:val="20"/>
          <w:szCs w:val="20"/>
        </w:rPr>
        <w:t>Ibidem</w:t>
      </w:r>
      <w:r w:rsidRPr="00544563">
        <w:rPr>
          <w:rFonts w:ascii="Times New Roman" w:hAnsi="Times New Roman" w:cs="Times New Roman"/>
          <w:sz w:val="20"/>
          <w:szCs w:val="20"/>
        </w:rPr>
        <w:t>.</w:t>
      </w:r>
    </w:p>
  </w:footnote>
  <w:footnote w:id="522">
    <w:p w14:paraId="75FF3537" w14:textId="77777777" w:rsidR="00B34CC2" w:rsidRPr="00544563" w:rsidRDefault="00B34CC2" w:rsidP="00F721A9">
      <w:pPr>
        <w:pStyle w:val="Testonotaapidipagina"/>
        <w:jc w:val="both"/>
        <w:rPr>
          <w:rFonts w:ascii="Times New Roman" w:hAnsi="Times New Roman" w:cs="Times New Roman"/>
          <w:sz w:val="20"/>
          <w:szCs w:val="20"/>
        </w:rPr>
      </w:pPr>
      <w:r w:rsidRPr="00B17421">
        <w:rPr>
          <w:rStyle w:val="Rimandonotaapidipagina"/>
          <w:rFonts w:ascii="Times New Roman" w:hAnsi="Times New Roman" w:cs="Times New Roman"/>
          <w:sz w:val="20"/>
          <w:szCs w:val="20"/>
        </w:rPr>
        <w:footnoteRef/>
      </w:r>
      <w:r w:rsidRPr="00544563">
        <w:rPr>
          <w:rFonts w:ascii="Times New Roman" w:hAnsi="Times New Roman" w:cs="Times New Roman"/>
          <w:sz w:val="20"/>
          <w:szCs w:val="20"/>
        </w:rPr>
        <w:t xml:space="preserve"> </w:t>
      </w:r>
      <w:r w:rsidRPr="00544563">
        <w:rPr>
          <w:rFonts w:ascii="Times New Roman" w:hAnsi="Times New Roman" w:cs="Times New Roman"/>
          <w:i/>
          <w:sz w:val="20"/>
          <w:szCs w:val="20"/>
        </w:rPr>
        <w:t>Ibidem</w:t>
      </w:r>
      <w:r w:rsidRPr="00544563">
        <w:rPr>
          <w:rFonts w:ascii="Times New Roman" w:hAnsi="Times New Roman" w:cs="Times New Roman"/>
          <w:sz w:val="20"/>
          <w:szCs w:val="20"/>
        </w:rPr>
        <w:t>.</w:t>
      </w:r>
    </w:p>
  </w:footnote>
  <w:footnote w:id="523">
    <w:p w14:paraId="5AA96508" w14:textId="77777777" w:rsidR="00B34CC2" w:rsidRPr="00080AEA" w:rsidRDefault="00B34CC2" w:rsidP="00F721A9">
      <w:pPr>
        <w:pStyle w:val="Testonotaapidipagina"/>
        <w:jc w:val="both"/>
        <w:rPr>
          <w:rFonts w:ascii="Times New Roman" w:hAnsi="Times New Roman" w:cs="Times New Roman"/>
          <w:sz w:val="20"/>
          <w:szCs w:val="20"/>
        </w:rPr>
      </w:pPr>
      <w:r w:rsidRPr="00080AEA">
        <w:rPr>
          <w:rStyle w:val="Rimandonotaapidipagina"/>
          <w:rFonts w:ascii="Times New Roman" w:hAnsi="Times New Roman" w:cs="Times New Roman"/>
          <w:sz w:val="20"/>
          <w:szCs w:val="20"/>
        </w:rPr>
        <w:footnoteRef/>
      </w:r>
      <w:r w:rsidRPr="00080AEA">
        <w:rPr>
          <w:rFonts w:ascii="Times New Roman" w:hAnsi="Times New Roman" w:cs="Times New Roman"/>
          <w:sz w:val="20"/>
          <w:szCs w:val="20"/>
        </w:rPr>
        <w:t xml:space="preserve"> </w:t>
      </w:r>
      <w:r w:rsidRPr="00080AEA">
        <w:rPr>
          <w:rFonts w:ascii="Times New Roman" w:hAnsi="Times New Roman" w:cs="Times New Roman"/>
          <w:i/>
          <w:sz w:val="20"/>
          <w:szCs w:val="20"/>
        </w:rPr>
        <w:t>Ibidem</w:t>
      </w:r>
      <w:r w:rsidRPr="00080AEA">
        <w:rPr>
          <w:rFonts w:ascii="Times New Roman" w:hAnsi="Times New Roman" w:cs="Times New Roman"/>
          <w:sz w:val="20"/>
          <w:szCs w:val="20"/>
        </w:rPr>
        <w:t>.</w:t>
      </w:r>
    </w:p>
  </w:footnote>
  <w:footnote w:id="524">
    <w:p w14:paraId="2F95CD08" w14:textId="4893F95F" w:rsidR="00B34CC2" w:rsidRPr="00825F7B" w:rsidRDefault="00B34CC2" w:rsidP="00F721A9">
      <w:pPr>
        <w:pStyle w:val="Testonotaapidipagina"/>
        <w:jc w:val="both"/>
        <w:rPr>
          <w:rFonts w:ascii="Times New Roman" w:hAnsi="Times New Roman" w:cs="Times New Roman"/>
          <w:sz w:val="20"/>
          <w:szCs w:val="20"/>
        </w:rPr>
      </w:pPr>
      <w:r w:rsidRPr="00080AEA">
        <w:rPr>
          <w:rStyle w:val="Rimandonotaapidipagina"/>
          <w:rFonts w:ascii="Times New Roman" w:hAnsi="Times New Roman" w:cs="Times New Roman"/>
          <w:sz w:val="20"/>
          <w:szCs w:val="20"/>
        </w:rPr>
        <w:footnoteRef/>
      </w:r>
      <w:r>
        <w:rPr>
          <w:rFonts w:ascii="Times New Roman" w:hAnsi="Times New Roman" w:cs="Times New Roman"/>
          <w:sz w:val="20"/>
          <w:szCs w:val="20"/>
        </w:rPr>
        <w:t xml:space="preserve"> Su questo aspetto del pensiero di Pico della Mirandola vedi H. Greive, </w:t>
      </w:r>
      <w:r w:rsidRPr="00EB0077">
        <w:rPr>
          <w:rFonts w:ascii="Times New Roman" w:hAnsi="Times New Roman" w:cs="Times New Roman"/>
          <w:i/>
          <w:sz w:val="20"/>
          <w:szCs w:val="20"/>
          <w:lang w:val="fr-FR"/>
        </w:rPr>
        <w:t>La Kabbale chrétienne de Jean Pic de la Mirandole</w:t>
      </w:r>
      <w:r>
        <w:rPr>
          <w:rFonts w:ascii="Times New Roman" w:hAnsi="Times New Roman" w:cs="Times New Roman"/>
          <w:sz w:val="20"/>
          <w:szCs w:val="20"/>
        </w:rPr>
        <w:t xml:space="preserve">, </w:t>
      </w:r>
      <w:r>
        <w:rPr>
          <w:rFonts w:ascii="Times New Roman" w:hAnsi="Times New Roman" w:cs="Times New Roman"/>
          <w:sz w:val="20"/>
          <w:szCs w:val="20"/>
          <w:lang w:val="de-DE"/>
        </w:rPr>
        <w:t>in</w:t>
      </w:r>
      <w:r w:rsidRPr="00EB0077">
        <w:rPr>
          <w:rFonts w:ascii="Times New Roman" w:hAnsi="Times New Roman" w:cs="Times New Roman"/>
          <w:sz w:val="20"/>
          <w:szCs w:val="20"/>
          <w:lang w:val="fr-CA"/>
        </w:rPr>
        <w:t xml:space="preserve"> «Cahiers de l’Hermétisme»</w:t>
      </w:r>
      <w:r>
        <w:rPr>
          <w:rFonts w:ascii="Times New Roman" w:hAnsi="Times New Roman" w:cs="Times New Roman"/>
          <w:sz w:val="20"/>
          <w:szCs w:val="20"/>
          <w:lang w:val="fr-CA"/>
        </w:rPr>
        <w:t xml:space="preserve">, cit., pp. 159-181; </w:t>
      </w:r>
      <w:r>
        <w:rPr>
          <w:rFonts w:ascii="Times New Roman" w:hAnsi="Times New Roman" w:cs="Times New Roman"/>
          <w:sz w:val="20"/>
          <w:szCs w:val="20"/>
        </w:rPr>
        <w:t xml:space="preserve">F. Yates, </w:t>
      </w:r>
      <w:r>
        <w:rPr>
          <w:rFonts w:ascii="Times New Roman" w:hAnsi="Times New Roman" w:cs="Times New Roman"/>
          <w:i/>
          <w:sz w:val="20"/>
          <w:szCs w:val="20"/>
        </w:rPr>
        <w:t>The Occult Philosophy in the Elizabethan Age</w:t>
      </w:r>
      <w:r>
        <w:rPr>
          <w:rFonts w:ascii="Times New Roman" w:hAnsi="Times New Roman" w:cs="Times New Roman"/>
          <w:sz w:val="20"/>
          <w:szCs w:val="20"/>
        </w:rPr>
        <w:t xml:space="preserve">, Routledge Classics, London/New York 2001, pp. 19-27 (prima ed. 1979); W. Schmidt-Biggemann, </w:t>
      </w:r>
      <w:r w:rsidRPr="00C5751D">
        <w:rPr>
          <w:rFonts w:ascii="Times New Roman" w:hAnsi="Times New Roman" w:cs="Times New Roman"/>
          <w:i/>
          <w:sz w:val="20"/>
          <w:szCs w:val="20"/>
          <w:lang w:val="de-DE"/>
        </w:rPr>
        <w:t>Geschichte der christlichen Kabbala,</w:t>
      </w:r>
      <w:r>
        <w:rPr>
          <w:rFonts w:ascii="Times New Roman" w:hAnsi="Times New Roman" w:cs="Times New Roman"/>
          <w:i/>
          <w:sz w:val="20"/>
          <w:szCs w:val="20"/>
          <w:lang w:val="de-DE"/>
        </w:rPr>
        <w:t xml:space="preserve"> </w:t>
      </w:r>
      <w:r>
        <w:rPr>
          <w:rFonts w:ascii="Times New Roman" w:hAnsi="Times New Roman" w:cs="Times New Roman"/>
          <w:sz w:val="20"/>
          <w:szCs w:val="20"/>
          <w:lang w:val="de-DE"/>
        </w:rPr>
        <w:t>Bd. I, Frommann-Holzboog, Stuttgart 2011,</w:t>
      </w:r>
      <w:r w:rsidRPr="00C5751D">
        <w:rPr>
          <w:rFonts w:ascii="Times New Roman" w:hAnsi="Times New Roman" w:cs="Times New Roman"/>
          <w:i/>
          <w:sz w:val="20"/>
          <w:szCs w:val="20"/>
          <w:lang w:val="de-DE"/>
        </w:rPr>
        <w:t xml:space="preserve"> </w:t>
      </w:r>
      <w:r>
        <w:rPr>
          <w:rFonts w:ascii="Times New Roman" w:hAnsi="Times New Roman" w:cs="Times New Roman"/>
          <w:sz w:val="20"/>
          <w:szCs w:val="20"/>
          <w:lang w:val="de-DE"/>
        </w:rPr>
        <w:t xml:space="preserve">pp. 70-131; C. Schulte, </w:t>
      </w:r>
      <w:r>
        <w:rPr>
          <w:rFonts w:ascii="Times New Roman" w:hAnsi="Times New Roman" w:cs="Times New Roman"/>
          <w:i/>
          <w:sz w:val="20"/>
          <w:szCs w:val="20"/>
          <w:lang w:val="de-DE"/>
        </w:rPr>
        <w:t>Zimzum</w:t>
      </w:r>
      <w:r>
        <w:rPr>
          <w:rFonts w:ascii="Times New Roman" w:hAnsi="Times New Roman" w:cs="Times New Roman"/>
          <w:sz w:val="20"/>
          <w:szCs w:val="20"/>
          <w:lang w:val="de-DE"/>
        </w:rPr>
        <w:t xml:space="preserve">, cit., pp. 120 e 141-143; G. Scholem, </w:t>
      </w:r>
      <w:r w:rsidRPr="00EB0077">
        <w:rPr>
          <w:rFonts w:ascii="Times New Roman" w:hAnsi="Times New Roman" w:cs="Times New Roman"/>
          <w:i/>
          <w:sz w:val="20"/>
          <w:szCs w:val="20"/>
          <w:lang w:val="fr-FR"/>
        </w:rPr>
        <w:t>Considérations sur l’histoire des débuts de la Kabbale chrétienne</w:t>
      </w:r>
      <w:r w:rsidRPr="00EB0077">
        <w:rPr>
          <w:rFonts w:ascii="Times New Roman" w:hAnsi="Times New Roman" w:cs="Times New Roman"/>
          <w:sz w:val="20"/>
          <w:szCs w:val="20"/>
          <w:lang w:val="fr-FR"/>
        </w:rPr>
        <w:t>,</w:t>
      </w:r>
      <w:r>
        <w:rPr>
          <w:rFonts w:ascii="Times New Roman" w:hAnsi="Times New Roman" w:cs="Times New Roman"/>
          <w:sz w:val="20"/>
          <w:szCs w:val="20"/>
          <w:lang w:val="de-DE"/>
        </w:rPr>
        <w:t xml:space="preserve"> in</w:t>
      </w:r>
      <w:r w:rsidRPr="00EB0077">
        <w:rPr>
          <w:rFonts w:ascii="Times New Roman" w:hAnsi="Times New Roman" w:cs="Times New Roman"/>
          <w:sz w:val="20"/>
          <w:szCs w:val="20"/>
          <w:lang w:val="fr-CA"/>
        </w:rPr>
        <w:t xml:space="preserve"> «Cahiers de l’Hermétisme»</w:t>
      </w:r>
      <w:r>
        <w:rPr>
          <w:rFonts w:ascii="Times New Roman" w:hAnsi="Times New Roman" w:cs="Times New Roman"/>
          <w:sz w:val="20"/>
          <w:szCs w:val="20"/>
          <w:lang w:val="fr-CA"/>
        </w:rPr>
        <w:t>, cit., pp. 17-49</w:t>
      </w:r>
      <w:r>
        <w:rPr>
          <w:rFonts w:ascii="Times New Roman" w:hAnsi="Times New Roman" w:cs="Times New Roman"/>
          <w:sz w:val="20"/>
          <w:szCs w:val="20"/>
          <w:lang w:val="de-DE"/>
        </w:rPr>
        <w:t>.</w:t>
      </w:r>
    </w:p>
  </w:footnote>
  <w:footnote w:id="525">
    <w:p w14:paraId="20E77FAE" w14:textId="5648A456" w:rsidR="00B34CC2" w:rsidRPr="00DF3E46" w:rsidRDefault="00B34CC2" w:rsidP="00F721A9">
      <w:pPr>
        <w:pStyle w:val="Testonotaapidipagina"/>
        <w:jc w:val="both"/>
        <w:rPr>
          <w:rFonts w:ascii="Times New Roman" w:hAnsi="Times New Roman" w:cs="Times New Roman"/>
          <w:sz w:val="20"/>
          <w:szCs w:val="20"/>
        </w:rPr>
      </w:pPr>
      <w:r w:rsidRPr="00DF3E46">
        <w:rPr>
          <w:rStyle w:val="Rimandonotaapidipagina"/>
          <w:rFonts w:ascii="Times New Roman" w:hAnsi="Times New Roman" w:cs="Times New Roman"/>
          <w:sz w:val="20"/>
          <w:szCs w:val="20"/>
        </w:rPr>
        <w:footnoteRef/>
      </w:r>
      <w:r w:rsidRPr="00DF3E46">
        <w:rPr>
          <w:rFonts w:ascii="Times New Roman" w:hAnsi="Times New Roman" w:cs="Times New Roman"/>
          <w:sz w:val="20"/>
          <w:szCs w:val="20"/>
        </w:rPr>
        <w:t xml:space="preserve"> Per un quadro esaustivo del pensiero di Abraham Cohen de Herrera si rimanda a </w:t>
      </w:r>
      <w:r>
        <w:rPr>
          <w:rFonts w:ascii="Times New Roman" w:hAnsi="Times New Roman" w:cs="Times New Roman"/>
          <w:sz w:val="20"/>
          <w:szCs w:val="20"/>
        </w:rPr>
        <w:t xml:space="preserve">G. Necker, </w:t>
      </w:r>
      <w:r w:rsidRPr="000D71EE">
        <w:rPr>
          <w:rFonts w:ascii="Times New Roman" w:hAnsi="Times New Roman" w:cs="Times New Roman"/>
          <w:i/>
          <w:sz w:val="20"/>
          <w:szCs w:val="20"/>
        </w:rPr>
        <w:t>Humanistische Kabbala im Barock: Leben und Werk des Abraham Cohen de Herrera</w:t>
      </w:r>
      <w:r>
        <w:rPr>
          <w:rFonts w:ascii="Times New Roman" w:hAnsi="Times New Roman" w:cs="Times New Roman"/>
          <w:sz w:val="20"/>
          <w:szCs w:val="20"/>
        </w:rPr>
        <w:t xml:space="preserve">, De Gruyter, Berlin/Boston 2011; </w:t>
      </w:r>
      <w:r w:rsidRPr="00DF3E46">
        <w:rPr>
          <w:rFonts w:ascii="Times New Roman" w:hAnsi="Times New Roman" w:cs="Times New Roman"/>
          <w:sz w:val="20"/>
          <w:szCs w:val="20"/>
          <w:lang w:val="de-DE"/>
        </w:rPr>
        <w:t xml:space="preserve">C. Schulte, </w:t>
      </w:r>
      <w:r w:rsidRPr="00DF3E46">
        <w:rPr>
          <w:rFonts w:ascii="Times New Roman" w:hAnsi="Times New Roman" w:cs="Times New Roman"/>
          <w:i/>
          <w:sz w:val="20"/>
          <w:szCs w:val="20"/>
          <w:lang w:val="de-DE"/>
        </w:rPr>
        <w:t>Zimzum</w:t>
      </w:r>
      <w:r>
        <w:rPr>
          <w:rFonts w:ascii="Times New Roman" w:hAnsi="Times New Roman" w:cs="Times New Roman"/>
          <w:sz w:val="20"/>
          <w:szCs w:val="20"/>
          <w:lang w:val="de-DE"/>
        </w:rPr>
        <w:t>, cit., pp. 119-133</w:t>
      </w:r>
      <w:r w:rsidRPr="00DF3E46">
        <w:rPr>
          <w:rFonts w:ascii="Times New Roman" w:hAnsi="Times New Roman" w:cs="Times New Roman"/>
          <w:sz w:val="20"/>
          <w:szCs w:val="20"/>
        </w:rPr>
        <w:t xml:space="preserve">. Riguardo alla traduzione latina di von Rosenroth cfr. </w:t>
      </w:r>
      <w:r>
        <w:rPr>
          <w:rFonts w:ascii="Times New Roman" w:hAnsi="Times New Roman" w:cs="Times New Roman"/>
          <w:sz w:val="20"/>
          <w:szCs w:val="20"/>
        </w:rPr>
        <w:t xml:space="preserve">W. </w:t>
      </w:r>
      <w:r w:rsidRPr="00DF3E46">
        <w:rPr>
          <w:rFonts w:ascii="Times New Roman" w:hAnsi="Times New Roman" w:cs="Times New Roman"/>
          <w:sz w:val="20"/>
          <w:szCs w:val="20"/>
        </w:rPr>
        <w:t>Schmidt-Big</w:t>
      </w:r>
      <w:r>
        <w:rPr>
          <w:rFonts w:ascii="Times New Roman" w:hAnsi="Times New Roman" w:cs="Times New Roman"/>
          <w:sz w:val="20"/>
          <w:szCs w:val="20"/>
        </w:rPr>
        <w:t>g</w:t>
      </w:r>
      <w:r w:rsidRPr="00DF3E46">
        <w:rPr>
          <w:rFonts w:ascii="Times New Roman" w:hAnsi="Times New Roman" w:cs="Times New Roman"/>
          <w:sz w:val="20"/>
          <w:szCs w:val="20"/>
        </w:rPr>
        <w:t xml:space="preserve">emann, </w:t>
      </w:r>
      <w:r w:rsidRPr="00DF3E46">
        <w:rPr>
          <w:rFonts w:ascii="Times New Roman" w:hAnsi="Times New Roman" w:cs="Times New Roman"/>
          <w:i/>
          <w:sz w:val="20"/>
          <w:szCs w:val="20"/>
          <w:lang w:val="de-DE"/>
        </w:rPr>
        <w:t xml:space="preserve">Geschichte der christlichen Kabbala, </w:t>
      </w:r>
      <w:r w:rsidRPr="00DF3E46">
        <w:rPr>
          <w:rFonts w:ascii="Times New Roman" w:hAnsi="Times New Roman" w:cs="Times New Roman"/>
          <w:sz w:val="20"/>
          <w:szCs w:val="20"/>
          <w:lang w:val="de-DE"/>
        </w:rPr>
        <w:t>Bd. I</w:t>
      </w:r>
      <w:r>
        <w:rPr>
          <w:rFonts w:ascii="Times New Roman" w:hAnsi="Times New Roman" w:cs="Times New Roman"/>
          <w:sz w:val="20"/>
          <w:szCs w:val="20"/>
          <w:lang w:val="de-DE"/>
        </w:rPr>
        <w:t>II</w:t>
      </w:r>
      <w:r w:rsidRPr="00DF3E46">
        <w:rPr>
          <w:rFonts w:ascii="Times New Roman" w:hAnsi="Times New Roman" w:cs="Times New Roman"/>
          <w:sz w:val="20"/>
          <w:szCs w:val="20"/>
          <w:lang w:val="de-DE"/>
        </w:rPr>
        <w:t xml:space="preserve">, </w:t>
      </w:r>
      <w:r>
        <w:rPr>
          <w:rFonts w:ascii="Times New Roman" w:hAnsi="Times New Roman" w:cs="Times New Roman"/>
          <w:sz w:val="20"/>
          <w:szCs w:val="20"/>
          <w:lang w:val="de-DE"/>
        </w:rPr>
        <w:t>cit.</w:t>
      </w:r>
      <w:r w:rsidRPr="00DF3E46">
        <w:rPr>
          <w:rFonts w:ascii="Times New Roman" w:hAnsi="Times New Roman" w:cs="Times New Roman"/>
          <w:sz w:val="20"/>
          <w:szCs w:val="20"/>
          <w:lang w:val="de-DE"/>
        </w:rPr>
        <w:t>,</w:t>
      </w:r>
      <w:r w:rsidRPr="00DF3E46">
        <w:rPr>
          <w:rFonts w:ascii="Times New Roman" w:hAnsi="Times New Roman" w:cs="Times New Roman"/>
          <w:i/>
          <w:sz w:val="20"/>
          <w:szCs w:val="20"/>
          <w:lang w:val="de-DE"/>
        </w:rPr>
        <w:t xml:space="preserve"> </w:t>
      </w:r>
      <w:r>
        <w:rPr>
          <w:rFonts w:ascii="Times New Roman" w:hAnsi="Times New Roman" w:cs="Times New Roman"/>
          <w:sz w:val="20"/>
          <w:szCs w:val="20"/>
          <w:lang w:val="de-DE"/>
        </w:rPr>
        <w:t>pp. 76-85.</w:t>
      </w:r>
    </w:p>
  </w:footnote>
  <w:footnote w:id="526">
    <w:p w14:paraId="6C19EC88" w14:textId="2FC9BC33" w:rsidR="00B34CC2" w:rsidRPr="00032E4D" w:rsidRDefault="00B34CC2" w:rsidP="00F721A9">
      <w:pPr>
        <w:pStyle w:val="Testonotaapidipagina"/>
        <w:jc w:val="both"/>
        <w:rPr>
          <w:rFonts w:ascii="Times New Roman" w:hAnsi="Times New Roman" w:cs="Times New Roman"/>
          <w:b/>
          <w:sz w:val="20"/>
          <w:szCs w:val="20"/>
        </w:rPr>
      </w:pPr>
      <w:r w:rsidRPr="00AE588D">
        <w:rPr>
          <w:rStyle w:val="Rimandonotaapidipagina"/>
          <w:rFonts w:ascii="Times New Roman" w:hAnsi="Times New Roman" w:cs="Times New Roman"/>
          <w:sz w:val="20"/>
          <w:szCs w:val="20"/>
        </w:rPr>
        <w:footnoteRef/>
      </w:r>
      <w:r w:rsidRPr="00AE588D">
        <w:rPr>
          <w:rFonts w:ascii="Times New Roman" w:hAnsi="Times New Roman" w:cs="Times New Roman"/>
          <w:sz w:val="20"/>
          <w:szCs w:val="20"/>
        </w:rPr>
        <w:t xml:space="preserve"> Su come von Rosenroth abbia stravolto l’impianto argomentativo di Herrera cfr. W. Schmidt-Big</w:t>
      </w:r>
      <w:r>
        <w:rPr>
          <w:rFonts w:ascii="Times New Roman" w:hAnsi="Times New Roman" w:cs="Times New Roman"/>
          <w:sz w:val="20"/>
          <w:szCs w:val="20"/>
        </w:rPr>
        <w:t>g</w:t>
      </w:r>
      <w:r w:rsidRPr="00AE588D">
        <w:rPr>
          <w:rFonts w:ascii="Times New Roman" w:hAnsi="Times New Roman" w:cs="Times New Roman"/>
          <w:sz w:val="20"/>
          <w:szCs w:val="20"/>
        </w:rPr>
        <w:t xml:space="preserve">emann, </w:t>
      </w:r>
      <w:r w:rsidRPr="00AE588D">
        <w:rPr>
          <w:rFonts w:ascii="Times New Roman" w:hAnsi="Times New Roman" w:cs="Times New Roman"/>
          <w:i/>
          <w:sz w:val="20"/>
          <w:szCs w:val="20"/>
          <w:lang w:val="de-DE"/>
        </w:rPr>
        <w:t xml:space="preserve">Geschichte der christlichen Kabbala, </w:t>
      </w:r>
      <w:r w:rsidRPr="00AE588D">
        <w:rPr>
          <w:rFonts w:ascii="Times New Roman" w:hAnsi="Times New Roman" w:cs="Times New Roman"/>
          <w:sz w:val="20"/>
          <w:szCs w:val="20"/>
          <w:lang w:val="de-DE"/>
        </w:rPr>
        <w:t>Bd. III, cit.,</w:t>
      </w:r>
      <w:r w:rsidRPr="00AE588D">
        <w:rPr>
          <w:rFonts w:ascii="Times New Roman" w:hAnsi="Times New Roman" w:cs="Times New Roman"/>
          <w:i/>
          <w:sz w:val="20"/>
          <w:szCs w:val="20"/>
          <w:lang w:val="de-DE"/>
        </w:rPr>
        <w:t xml:space="preserve"> </w:t>
      </w:r>
      <w:r w:rsidRPr="00AE588D">
        <w:rPr>
          <w:rFonts w:ascii="Times New Roman" w:hAnsi="Times New Roman" w:cs="Times New Roman"/>
          <w:sz w:val="20"/>
          <w:szCs w:val="20"/>
          <w:lang w:val="de-DE"/>
        </w:rPr>
        <w:t xml:space="preserve">p. 77: </w:t>
      </w:r>
      <w:r w:rsidRPr="00032E4D">
        <w:rPr>
          <w:rFonts w:ascii="Times New Roman" w:hAnsi="Times New Roman" w:cs="Times New Roman"/>
          <w:sz w:val="20"/>
          <w:szCs w:val="20"/>
          <w:lang w:val="de-DE"/>
        </w:rPr>
        <w:t>«Die acht Dissertationen der Porta Coelorum, wie sie Knorr übersetzte und zusammenfasste, sind sehr ungleichmäßig wiedergegeben. Nur die ersten beiden sind vollständig ins Latein übersetzt, alle weiteren Dissertation fasste Knorr zusammen und konzentrierte sich  die für ihn wichtigen Themen. Insgesamt zeichnet seine Zusammenfassung Herreras zugleich ein Bild davon, wie er, Knorr, sich die Struktur einer Philosophischen Kabbala vorstellte</w:t>
      </w:r>
      <w:r w:rsidRPr="00032E4D">
        <w:rPr>
          <w:rFonts w:ascii="Times New Roman" w:hAnsi="Times New Roman" w:cs="Times New Roman"/>
          <w:sz w:val="20"/>
          <w:szCs w:val="20"/>
        </w:rPr>
        <w:t>».</w:t>
      </w:r>
    </w:p>
  </w:footnote>
  <w:footnote w:id="527">
    <w:p w14:paraId="399411B2" w14:textId="77777777" w:rsidR="00B34CC2" w:rsidRPr="00941AB1" w:rsidRDefault="00B34CC2" w:rsidP="00F721A9">
      <w:pPr>
        <w:pStyle w:val="Testonotaapidipagina"/>
        <w:jc w:val="both"/>
        <w:rPr>
          <w:rFonts w:ascii="Times New Roman" w:hAnsi="Times New Roman" w:cs="Times New Roman"/>
          <w:sz w:val="20"/>
          <w:szCs w:val="20"/>
        </w:rPr>
      </w:pPr>
      <w:r w:rsidRPr="00941AB1">
        <w:rPr>
          <w:rStyle w:val="Rimandonotaapidipagina"/>
          <w:rFonts w:ascii="Times New Roman" w:hAnsi="Times New Roman" w:cs="Times New Roman"/>
          <w:sz w:val="20"/>
          <w:szCs w:val="20"/>
        </w:rPr>
        <w:footnoteRef/>
      </w:r>
      <w:r w:rsidRPr="00941AB1">
        <w:rPr>
          <w:rFonts w:ascii="Times New Roman" w:hAnsi="Times New Roman" w:cs="Times New Roman"/>
          <w:sz w:val="20"/>
          <w:szCs w:val="20"/>
        </w:rPr>
        <w:t xml:space="preserve"> </w:t>
      </w:r>
      <w:r>
        <w:rPr>
          <w:rFonts w:ascii="Times New Roman" w:hAnsi="Times New Roman" w:cs="Times New Roman"/>
          <w:sz w:val="20"/>
          <w:szCs w:val="20"/>
        </w:rPr>
        <w:t xml:space="preserve">A.C. Herrera, </w:t>
      </w:r>
      <w:r w:rsidRPr="00941AB1">
        <w:rPr>
          <w:rFonts w:ascii="Times New Roman" w:hAnsi="Times New Roman" w:cs="Times New Roman"/>
          <w:i/>
          <w:sz w:val="20"/>
          <w:szCs w:val="20"/>
        </w:rPr>
        <w:t>Porta Coelorum</w:t>
      </w:r>
      <w:r>
        <w:rPr>
          <w:rFonts w:ascii="Times New Roman" w:hAnsi="Times New Roman" w:cs="Times New Roman"/>
          <w:sz w:val="20"/>
          <w:szCs w:val="20"/>
        </w:rPr>
        <w:t xml:space="preserve">, in </w:t>
      </w:r>
      <w:r w:rsidRPr="00941AB1">
        <w:rPr>
          <w:rFonts w:ascii="Times New Roman" w:hAnsi="Times New Roman" w:cs="Times New Roman"/>
          <w:i/>
          <w:sz w:val="20"/>
          <w:szCs w:val="20"/>
        </w:rPr>
        <w:t>Kabbala Denudata</w:t>
      </w:r>
      <w:r>
        <w:rPr>
          <w:rFonts w:ascii="Times New Roman" w:hAnsi="Times New Roman" w:cs="Times New Roman"/>
          <w:sz w:val="20"/>
          <w:szCs w:val="20"/>
        </w:rPr>
        <w:t>, Sulzbach 1677, p. 99.</w:t>
      </w:r>
    </w:p>
  </w:footnote>
  <w:footnote w:id="528">
    <w:p w14:paraId="0077AFE9" w14:textId="77777777" w:rsidR="00B34CC2" w:rsidRPr="00193F24" w:rsidRDefault="00B34CC2" w:rsidP="00F721A9">
      <w:pPr>
        <w:pStyle w:val="Testonotaapidipagina"/>
        <w:jc w:val="both"/>
        <w:rPr>
          <w:rFonts w:ascii="Times New Roman" w:hAnsi="Times New Roman" w:cs="Times New Roman"/>
          <w:sz w:val="20"/>
          <w:szCs w:val="20"/>
        </w:rPr>
      </w:pPr>
      <w:r w:rsidRPr="00193F24">
        <w:rPr>
          <w:rStyle w:val="Rimandonotaapidipagina"/>
          <w:rFonts w:ascii="Times New Roman" w:hAnsi="Times New Roman" w:cs="Times New Roman"/>
          <w:sz w:val="20"/>
          <w:szCs w:val="20"/>
        </w:rPr>
        <w:footnoteRef/>
      </w:r>
      <w:r w:rsidRPr="00193F24">
        <w:rPr>
          <w:rFonts w:ascii="Times New Roman" w:hAnsi="Times New Roman" w:cs="Times New Roman"/>
          <w:sz w:val="20"/>
          <w:szCs w:val="20"/>
        </w:rPr>
        <w:t xml:space="preserve"> </w:t>
      </w:r>
      <w:r w:rsidRPr="00193F24">
        <w:rPr>
          <w:rFonts w:ascii="Times New Roman" w:hAnsi="Times New Roman" w:cs="Times New Roman"/>
          <w:i/>
          <w:sz w:val="20"/>
          <w:szCs w:val="20"/>
        </w:rPr>
        <w:t>Ivi</w:t>
      </w:r>
      <w:r>
        <w:rPr>
          <w:rFonts w:ascii="Times New Roman" w:hAnsi="Times New Roman" w:cs="Times New Roman"/>
          <w:sz w:val="20"/>
          <w:szCs w:val="20"/>
        </w:rPr>
        <w:t>, p. 13.</w:t>
      </w:r>
    </w:p>
  </w:footnote>
  <w:footnote w:id="529">
    <w:p w14:paraId="0AA433BF" w14:textId="77777777" w:rsidR="00B34CC2" w:rsidRPr="00D635BE" w:rsidRDefault="00B34CC2" w:rsidP="00F721A9">
      <w:pPr>
        <w:pStyle w:val="Testonotaapidipagina"/>
        <w:jc w:val="both"/>
        <w:rPr>
          <w:rFonts w:ascii="Times New Roman" w:hAnsi="Times New Roman" w:cs="Times New Roman"/>
          <w:sz w:val="20"/>
          <w:szCs w:val="20"/>
        </w:rPr>
      </w:pPr>
      <w:r w:rsidRPr="00D635BE">
        <w:rPr>
          <w:rStyle w:val="Rimandonotaapidipagina"/>
          <w:rFonts w:ascii="Times New Roman" w:hAnsi="Times New Roman" w:cs="Times New Roman"/>
          <w:sz w:val="20"/>
          <w:szCs w:val="20"/>
        </w:rPr>
        <w:footnoteRef/>
      </w:r>
      <w:r w:rsidRPr="00D635BE">
        <w:rPr>
          <w:rFonts w:ascii="Times New Roman" w:hAnsi="Times New Roman" w:cs="Times New Roman"/>
          <w:sz w:val="20"/>
          <w:szCs w:val="20"/>
        </w:rPr>
        <w:t xml:space="preserve"> </w:t>
      </w:r>
      <w:r w:rsidRPr="00D635BE">
        <w:rPr>
          <w:rFonts w:ascii="Times New Roman" w:hAnsi="Times New Roman" w:cs="Times New Roman"/>
          <w:i/>
          <w:sz w:val="20"/>
          <w:szCs w:val="20"/>
        </w:rPr>
        <w:t>Ivi</w:t>
      </w:r>
      <w:r w:rsidRPr="00D635BE">
        <w:rPr>
          <w:rFonts w:ascii="Times New Roman" w:hAnsi="Times New Roman" w:cs="Times New Roman"/>
          <w:sz w:val="20"/>
          <w:szCs w:val="20"/>
        </w:rPr>
        <w:t>, p. 14.</w:t>
      </w:r>
    </w:p>
  </w:footnote>
  <w:footnote w:id="530">
    <w:p w14:paraId="5861DF68" w14:textId="77777777" w:rsidR="00B34CC2" w:rsidRDefault="00B34CC2" w:rsidP="00F721A9">
      <w:pPr>
        <w:pStyle w:val="Testonotaapidipagina"/>
        <w:jc w:val="both"/>
      </w:pPr>
      <w:r w:rsidRPr="00D635BE">
        <w:rPr>
          <w:rStyle w:val="Rimandonotaapidipagina"/>
          <w:rFonts w:ascii="Times New Roman" w:hAnsi="Times New Roman" w:cs="Times New Roman"/>
          <w:sz w:val="20"/>
          <w:szCs w:val="20"/>
        </w:rPr>
        <w:footnoteRef/>
      </w:r>
      <w:r w:rsidRPr="00D635BE">
        <w:rPr>
          <w:rFonts w:ascii="Times New Roman" w:hAnsi="Times New Roman" w:cs="Times New Roman"/>
          <w:sz w:val="20"/>
          <w:szCs w:val="20"/>
        </w:rPr>
        <w:t xml:space="preserve"> </w:t>
      </w:r>
      <w:r w:rsidRPr="00D635BE">
        <w:rPr>
          <w:rFonts w:ascii="Times New Roman" w:hAnsi="Times New Roman" w:cs="Times New Roman"/>
          <w:i/>
          <w:sz w:val="20"/>
          <w:szCs w:val="20"/>
        </w:rPr>
        <w:t>Ibidem</w:t>
      </w:r>
      <w:r w:rsidRPr="00D635BE">
        <w:rPr>
          <w:rFonts w:ascii="Times New Roman" w:hAnsi="Times New Roman" w:cs="Times New Roman"/>
          <w:sz w:val="20"/>
          <w:szCs w:val="20"/>
        </w:rPr>
        <w:t>.</w:t>
      </w:r>
    </w:p>
  </w:footnote>
  <w:footnote w:id="531">
    <w:p w14:paraId="3DC486E4" w14:textId="77777777" w:rsidR="00B34CC2" w:rsidRPr="00B756BF" w:rsidRDefault="00B34CC2" w:rsidP="00F721A9">
      <w:pPr>
        <w:pStyle w:val="Testonotaapidipagina"/>
        <w:jc w:val="both"/>
        <w:rPr>
          <w:rFonts w:ascii="Times New Roman" w:hAnsi="Times New Roman" w:cs="Times New Roman"/>
          <w:sz w:val="20"/>
          <w:szCs w:val="20"/>
        </w:rPr>
      </w:pPr>
      <w:r w:rsidRPr="00A35D89">
        <w:rPr>
          <w:rStyle w:val="Rimandonotaapidipagina"/>
          <w:rFonts w:ascii="Times New Roman" w:hAnsi="Times New Roman" w:cs="Times New Roman"/>
          <w:sz w:val="20"/>
          <w:szCs w:val="20"/>
        </w:rPr>
        <w:footnoteRef/>
      </w:r>
      <w:r w:rsidRPr="00A35D89">
        <w:rPr>
          <w:rFonts w:ascii="Times New Roman" w:hAnsi="Times New Roman" w:cs="Times New Roman"/>
          <w:sz w:val="20"/>
          <w:szCs w:val="20"/>
        </w:rPr>
        <w:t xml:space="preserve"> Cfr. </w:t>
      </w:r>
      <w:r w:rsidRPr="00076CC1">
        <w:rPr>
          <w:rFonts w:ascii="Times New Roman" w:hAnsi="Times New Roman" w:cs="Times New Roman"/>
          <w:i/>
          <w:sz w:val="20"/>
          <w:szCs w:val="20"/>
        </w:rPr>
        <w:t>I</w:t>
      </w:r>
      <w:r w:rsidRPr="007643ED">
        <w:rPr>
          <w:rFonts w:ascii="Times New Roman" w:hAnsi="Times New Roman" w:cs="Times New Roman"/>
          <w:i/>
          <w:sz w:val="20"/>
          <w:szCs w:val="20"/>
        </w:rPr>
        <w:t>vi</w:t>
      </w:r>
      <w:r w:rsidRPr="00A35D89">
        <w:rPr>
          <w:rFonts w:ascii="Times New Roman" w:hAnsi="Times New Roman" w:cs="Times New Roman"/>
          <w:sz w:val="20"/>
          <w:szCs w:val="20"/>
        </w:rPr>
        <w:t xml:space="preserve"> p. 40: «His addimus, quod scripsit Plotinus his verbis: Unitas perfecta &amp; simplicitas divina tam sublimis atque elevata est super omnem essentiam &amp; naturam, ut nulla reperiatur unitas ipsi similis, nec ipsa cum illis ullo modo comparari possit […] Haec omnia evincit &amp; probat dictus Philosophus Plotinus, dum demonstrat, necessario existere aliquod, quod sit supra omnia, &amp; eminentissimum omnium, quod omnium primum sit sine principio: De hoc dicit, quod non possit esse omnia immediate, quia sit Unitas absoluta &amp; simplicissima &amp; omni numero superior».</w:t>
      </w:r>
    </w:p>
  </w:footnote>
  <w:footnote w:id="532">
    <w:p w14:paraId="37779C6A" w14:textId="77777777" w:rsidR="00B34CC2" w:rsidRPr="007C6881" w:rsidRDefault="00B34CC2" w:rsidP="00F721A9">
      <w:pPr>
        <w:pStyle w:val="Testonotaapidipagina"/>
        <w:jc w:val="both"/>
        <w:rPr>
          <w:rFonts w:ascii="Times New Roman" w:hAnsi="Times New Roman" w:cs="Times New Roman"/>
          <w:sz w:val="20"/>
          <w:szCs w:val="20"/>
        </w:rPr>
      </w:pPr>
      <w:r w:rsidRPr="007C6881">
        <w:rPr>
          <w:rStyle w:val="Rimandonotaapidipagina"/>
          <w:rFonts w:ascii="Times New Roman" w:hAnsi="Times New Roman" w:cs="Times New Roman"/>
          <w:sz w:val="20"/>
          <w:szCs w:val="20"/>
        </w:rPr>
        <w:footnoteRef/>
      </w:r>
      <w:r w:rsidRPr="007C6881">
        <w:rPr>
          <w:rFonts w:ascii="Times New Roman" w:hAnsi="Times New Roman" w:cs="Times New Roman"/>
          <w:sz w:val="20"/>
          <w:szCs w:val="20"/>
        </w:rPr>
        <w:t xml:space="preserve"> </w:t>
      </w:r>
      <w:r w:rsidRPr="007C6881">
        <w:rPr>
          <w:rFonts w:ascii="Times New Roman" w:hAnsi="Times New Roman" w:cs="Times New Roman"/>
          <w:i/>
          <w:sz w:val="20"/>
          <w:szCs w:val="20"/>
        </w:rPr>
        <w:t>Ivi</w:t>
      </w:r>
      <w:r>
        <w:rPr>
          <w:rFonts w:ascii="Times New Roman" w:hAnsi="Times New Roman" w:cs="Times New Roman"/>
          <w:sz w:val="20"/>
          <w:szCs w:val="20"/>
        </w:rPr>
        <w:t>, p. 31.</w:t>
      </w:r>
    </w:p>
  </w:footnote>
  <w:footnote w:id="533">
    <w:p w14:paraId="02B86235" w14:textId="77777777" w:rsidR="00B34CC2" w:rsidRPr="00274606" w:rsidRDefault="00B34CC2" w:rsidP="00F721A9">
      <w:pPr>
        <w:pStyle w:val="Testonotaapidipagina"/>
        <w:jc w:val="both"/>
        <w:rPr>
          <w:rFonts w:ascii="Times New Roman" w:hAnsi="Times New Roman" w:cs="Times New Roman"/>
          <w:sz w:val="20"/>
          <w:szCs w:val="20"/>
        </w:rPr>
      </w:pPr>
      <w:r w:rsidRPr="00274606">
        <w:rPr>
          <w:rStyle w:val="Rimandonotaapidipagina"/>
          <w:rFonts w:ascii="Times New Roman" w:hAnsi="Times New Roman" w:cs="Times New Roman"/>
          <w:sz w:val="20"/>
          <w:szCs w:val="20"/>
        </w:rPr>
        <w:footnoteRef/>
      </w:r>
      <w:r w:rsidRPr="00274606">
        <w:rPr>
          <w:rFonts w:ascii="Times New Roman" w:hAnsi="Times New Roman" w:cs="Times New Roman"/>
          <w:sz w:val="20"/>
          <w:szCs w:val="20"/>
        </w:rPr>
        <w:t xml:space="preserve"> </w:t>
      </w:r>
      <w:r w:rsidRPr="00274606">
        <w:rPr>
          <w:rFonts w:ascii="Times New Roman" w:hAnsi="Times New Roman" w:cs="Times New Roman"/>
          <w:i/>
          <w:sz w:val="20"/>
          <w:szCs w:val="20"/>
        </w:rPr>
        <w:t>Ivi</w:t>
      </w:r>
      <w:r>
        <w:rPr>
          <w:rFonts w:ascii="Times New Roman" w:hAnsi="Times New Roman" w:cs="Times New Roman"/>
          <w:sz w:val="20"/>
          <w:szCs w:val="20"/>
        </w:rPr>
        <w:t>, p. 22.</w:t>
      </w:r>
    </w:p>
  </w:footnote>
  <w:footnote w:id="534">
    <w:p w14:paraId="769C3A9B" w14:textId="77777777" w:rsidR="00B34CC2" w:rsidRPr="00F71FCD" w:rsidRDefault="00B34CC2" w:rsidP="00F721A9">
      <w:pPr>
        <w:pStyle w:val="Testonotaapidipagina"/>
        <w:jc w:val="both"/>
        <w:rPr>
          <w:rFonts w:ascii="Times New Roman" w:hAnsi="Times New Roman" w:cs="Times New Roman"/>
          <w:sz w:val="20"/>
          <w:szCs w:val="20"/>
        </w:rPr>
      </w:pPr>
      <w:r w:rsidRPr="00F71FCD">
        <w:rPr>
          <w:rStyle w:val="Rimandonotaapidipagina"/>
          <w:rFonts w:ascii="Times New Roman" w:hAnsi="Times New Roman" w:cs="Times New Roman"/>
          <w:sz w:val="20"/>
          <w:szCs w:val="20"/>
        </w:rPr>
        <w:footnoteRef/>
      </w:r>
      <w:r w:rsidRPr="00F71FCD">
        <w:rPr>
          <w:rFonts w:ascii="Times New Roman" w:hAnsi="Times New Roman" w:cs="Times New Roman"/>
          <w:sz w:val="20"/>
          <w:szCs w:val="20"/>
        </w:rPr>
        <w:t xml:space="preserve"> </w:t>
      </w:r>
      <w:r w:rsidRPr="00F71FCD">
        <w:rPr>
          <w:rFonts w:ascii="Times New Roman" w:hAnsi="Times New Roman" w:cs="Times New Roman"/>
          <w:i/>
          <w:sz w:val="20"/>
          <w:szCs w:val="20"/>
        </w:rPr>
        <w:t>Ivi</w:t>
      </w:r>
      <w:r w:rsidRPr="00F71FCD">
        <w:rPr>
          <w:rFonts w:ascii="Times New Roman" w:hAnsi="Times New Roman" w:cs="Times New Roman"/>
          <w:sz w:val="20"/>
          <w:szCs w:val="20"/>
        </w:rPr>
        <w:t>, 103.</w:t>
      </w:r>
    </w:p>
  </w:footnote>
  <w:footnote w:id="535">
    <w:p w14:paraId="628144B8" w14:textId="77777777" w:rsidR="00B34CC2" w:rsidRPr="00597F70" w:rsidRDefault="00B34CC2" w:rsidP="00F721A9">
      <w:pPr>
        <w:pStyle w:val="Testonotaapidipagina"/>
        <w:jc w:val="both"/>
        <w:rPr>
          <w:rFonts w:ascii="Times New Roman" w:hAnsi="Times New Roman" w:cs="Times New Roman"/>
          <w:sz w:val="20"/>
          <w:szCs w:val="20"/>
          <w:highlight w:val="yellow"/>
        </w:rPr>
      </w:pPr>
      <w:r w:rsidRPr="00912BBC">
        <w:rPr>
          <w:rStyle w:val="Rimandonotaapidipagina"/>
          <w:rFonts w:ascii="Times New Roman" w:hAnsi="Times New Roman" w:cs="Times New Roman"/>
          <w:sz w:val="20"/>
          <w:szCs w:val="20"/>
        </w:rPr>
        <w:footnoteRef/>
      </w:r>
      <w:r w:rsidRPr="00912BBC">
        <w:rPr>
          <w:rFonts w:ascii="Times New Roman" w:hAnsi="Times New Roman" w:cs="Times New Roman"/>
          <w:sz w:val="20"/>
          <w:szCs w:val="20"/>
        </w:rPr>
        <w:t xml:space="preserve"> Se si considera En-sof come uno e semplice – che tale si mantiene rispetto a ciò che è molteplice e determinato – è difficile ammettere una contrazione interna all’infinito senza una conseguente modificazione della sua natura. È come se la limitazione segnasse un prima e un dopo: Dio prima del processo emanativo e Dio che dà avvio all’emanazione; Dio come luce semplicissima e Dio che accoglie in sé la limitazione. Ci si può chiedere: la semplicità di Dio rimane intatta nella dinamica contrattiva? Se la risposta è affermativa, allora possiamo dire che la semplicità originaria, nonostante la contrazione, mantiene le sue caratteristiche precipue? In tutta onestà, questa risposta non sembra essere soddisfacente. Se optiamo per una risposta di tipo negativo, possiamo forse pensare che l’infinito perda ciò che lo fa essere infinito? L’infinito cessa d’essere quel che è ed è in altro modo? Se è in altro modo, possiamo forse dire che l’infinito, contraendosi, diviene? E se diviene, per quale ragione? Per un atto d’assoluta libertà</w:t>
      </w:r>
      <w:r>
        <w:rPr>
          <w:rFonts w:ascii="Times New Roman" w:hAnsi="Times New Roman" w:cs="Times New Roman"/>
          <w:sz w:val="20"/>
          <w:szCs w:val="20"/>
        </w:rPr>
        <w:t>,</w:t>
      </w:r>
      <w:r w:rsidRPr="00912BBC">
        <w:rPr>
          <w:rFonts w:ascii="Times New Roman" w:hAnsi="Times New Roman" w:cs="Times New Roman"/>
          <w:sz w:val="20"/>
          <w:szCs w:val="20"/>
        </w:rPr>
        <w:t xml:space="preserve"> o per una cieca necessità? </w:t>
      </w:r>
    </w:p>
  </w:footnote>
  <w:footnote w:id="536">
    <w:p w14:paraId="143633B8" w14:textId="77777777" w:rsidR="00B34CC2" w:rsidRPr="00F71FCD" w:rsidRDefault="00B34CC2" w:rsidP="00F721A9">
      <w:pPr>
        <w:pStyle w:val="Testonotaapidipagina"/>
        <w:jc w:val="both"/>
        <w:rPr>
          <w:rFonts w:ascii="Times New Roman" w:hAnsi="Times New Roman" w:cs="Times New Roman"/>
          <w:sz w:val="20"/>
          <w:szCs w:val="20"/>
        </w:rPr>
      </w:pPr>
      <w:r w:rsidRPr="00F71FCD">
        <w:rPr>
          <w:rStyle w:val="Rimandonotaapidipagina"/>
          <w:rFonts w:ascii="Times New Roman" w:hAnsi="Times New Roman" w:cs="Times New Roman"/>
          <w:sz w:val="20"/>
          <w:szCs w:val="20"/>
        </w:rPr>
        <w:footnoteRef/>
      </w:r>
      <w:r w:rsidRPr="00F71FCD">
        <w:rPr>
          <w:rFonts w:ascii="Times New Roman" w:hAnsi="Times New Roman" w:cs="Times New Roman"/>
          <w:sz w:val="20"/>
          <w:szCs w:val="20"/>
        </w:rPr>
        <w:t xml:space="preserve"> </w:t>
      </w:r>
      <w:r w:rsidRPr="00F71FCD">
        <w:rPr>
          <w:rFonts w:ascii="Times New Roman" w:hAnsi="Times New Roman" w:cs="Times New Roman"/>
          <w:i/>
          <w:sz w:val="20"/>
          <w:szCs w:val="20"/>
        </w:rPr>
        <w:t>Ivi</w:t>
      </w:r>
      <w:r w:rsidRPr="00F71FCD">
        <w:rPr>
          <w:rFonts w:ascii="Times New Roman" w:hAnsi="Times New Roman" w:cs="Times New Roman"/>
          <w:sz w:val="20"/>
          <w:szCs w:val="20"/>
        </w:rPr>
        <w:t>, 102.</w:t>
      </w:r>
    </w:p>
  </w:footnote>
  <w:footnote w:id="537">
    <w:p w14:paraId="7E6ACA65" w14:textId="02047F43" w:rsidR="00B34CC2" w:rsidRPr="00716357" w:rsidRDefault="00B34CC2" w:rsidP="00F721A9">
      <w:pPr>
        <w:pStyle w:val="Testonotaapidipagina"/>
        <w:jc w:val="both"/>
        <w:rPr>
          <w:rFonts w:ascii="Times New Roman" w:hAnsi="Times New Roman" w:cs="Times New Roman"/>
          <w:sz w:val="20"/>
          <w:szCs w:val="20"/>
        </w:rPr>
      </w:pPr>
      <w:r w:rsidRPr="004A7D60">
        <w:rPr>
          <w:rStyle w:val="Rimandonotaapidipagina"/>
          <w:rFonts w:ascii="Times New Roman" w:hAnsi="Times New Roman" w:cs="Times New Roman"/>
          <w:sz w:val="20"/>
          <w:szCs w:val="20"/>
        </w:rPr>
        <w:footnoteRef/>
      </w:r>
      <w:r w:rsidRPr="004A7D60">
        <w:rPr>
          <w:rFonts w:ascii="Times New Roman" w:hAnsi="Times New Roman" w:cs="Times New Roman"/>
          <w:sz w:val="20"/>
          <w:szCs w:val="20"/>
        </w:rPr>
        <w:t xml:space="preserve"> </w:t>
      </w:r>
      <w:r>
        <w:rPr>
          <w:rFonts w:ascii="Times New Roman" w:hAnsi="Times New Roman" w:cs="Times New Roman"/>
          <w:sz w:val="20"/>
          <w:szCs w:val="20"/>
        </w:rPr>
        <w:t xml:space="preserve">Sulla ricezione critica della Qabbalah da parte di More cfr. S. Hutin, </w:t>
      </w:r>
      <w:r w:rsidRPr="004A7D60">
        <w:rPr>
          <w:rFonts w:ascii="Times New Roman" w:hAnsi="Times New Roman" w:cs="Times New Roman"/>
          <w:i/>
          <w:sz w:val="20"/>
          <w:szCs w:val="20"/>
          <w:lang w:val="fr-FR"/>
        </w:rPr>
        <w:t>Note sur la Création chez trois Kabbalistes Chrétiens anglais: Robert Fludd, Henry More et Isaac Newton</w:t>
      </w:r>
      <w:r>
        <w:rPr>
          <w:rFonts w:ascii="Times New Roman" w:hAnsi="Times New Roman" w:cs="Times New Roman"/>
          <w:sz w:val="20"/>
          <w:szCs w:val="20"/>
        </w:rPr>
        <w:t>, in</w:t>
      </w:r>
      <w:r w:rsidRPr="00EB0077">
        <w:rPr>
          <w:rFonts w:ascii="Times New Roman" w:hAnsi="Times New Roman" w:cs="Times New Roman"/>
          <w:sz w:val="20"/>
          <w:szCs w:val="20"/>
          <w:lang w:val="fr-CA"/>
        </w:rPr>
        <w:t xml:space="preserve"> «Cahiers de l’Hermétisme»</w:t>
      </w:r>
      <w:r>
        <w:rPr>
          <w:rFonts w:ascii="Times New Roman" w:hAnsi="Times New Roman" w:cs="Times New Roman"/>
          <w:sz w:val="20"/>
          <w:szCs w:val="20"/>
          <w:lang w:val="fr-CA"/>
        </w:rPr>
        <w:t xml:space="preserve">, cit., pp. 151-156; C. Schulte, </w:t>
      </w:r>
      <w:r>
        <w:rPr>
          <w:rFonts w:ascii="Times New Roman" w:hAnsi="Times New Roman" w:cs="Times New Roman"/>
          <w:i/>
          <w:sz w:val="20"/>
          <w:szCs w:val="20"/>
          <w:lang w:val="fr-CA"/>
        </w:rPr>
        <w:t>Henry More, Anne Conway, Joseph Raphson, Isaac Newton: Der Zimzum in Cambridge</w:t>
      </w:r>
      <w:r>
        <w:rPr>
          <w:rFonts w:ascii="Times New Roman" w:hAnsi="Times New Roman" w:cs="Times New Roman"/>
          <w:sz w:val="20"/>
          <w:szCs w:val="20"/>
          <w:lang w:val="fr-CA"/>
        </w:rPr>
        <w:t xml:space="preserve">, in </w:t>
      </w:r>
      <w:r w:rsidRPr="004A7D60">
        <w:rPr>
          <w:rFonts w:ascii="Times New Roman" w:hAnsi="Times New Roman" w:cs="Times New Roman"/>
          <w:i/>
          <w:sz w:val="20"/>
          <w:szCs w:val="20"/>
          <w:lang w:val="fr-CA"/>
        </w:rPr>
        <w:t>Zimzum</w:t>
      </w:r>
      <w:r>
        <w:rPr>
          <w:rFonts w:ascii="Times New Roman" w:hAnsi="Times New Roman" w:cs="Times New Roman"/>
          <w:sz w:val="20"/>
          <w:szCs w:val="20"/>
          <w:lang w:val="fr-CA"/>
        </w:rPr>
        <w:t xml:space="preserve">, cit., pp. 161-168. </w:t>
      </w:r>
      <w:r>
        <w:rPr>
          <w:rFonts w:ascii="Times New Roman" w:hAnsi="Times New Roman" w:cs="Times New Roman"/>
          <w:sz w:val="20"/>
          <w:szCs w:val="20"/>
        </w:rPr>
        <w:t xml:space="preserve">Sulla rielaborazione dello scritto di More da parte di Wachter, Brucker e Jacobi vale la pena citare W. Schmidt-Biggemman, </w:t>
      </w:r>
      <w:r w:rsidRPr="00AE588D">
        <w:rPr>
          <w:rFonts w:ascii="Times New Roman" w:hAnsi="Times New Roman" w:cs="Times New Roman"/>
          <w:i/>
          <w:sz w:val="20"/>
          <w:szCs w:val="20"/>
          <w:lang w:val="de-DE"/>
        </w:rPr>
        <w:t xml:space="preserve">Geschichte der christlichen Kabbala, </w:t>
      </w:r>
      <w:r w:rsidRPr="00AE588D">
        <w:rPr>
          <w:rFonts w:ascii="Times New Roman" w:hAnsi="Times New Roman" w:cs="Times New Roman"/>
          <w:sz w:val="20"/>
          <w:szCs w:val="20"/>
          <w:lang w:val="de-DE"/>
        </w:rPr>
        <w:t>Bd. III, cit.,</w:t>
      </w:r>
      <w:r w:rsidRPr="00AE588D">
        <w:rPr>
          <w:rFonts w:ascii="Times New Roman" w:hAnsi="Times New Roman" w:cs="Times New Roman"/>
          <w:i/>
          <w:sz w:val="20"/>
          <w:szCs w:val="20"/>
          <w:lang w:val="de-DE"/>
        </w:rPr>
        <w:t xml:space="preserve"> </w:t>
      </w:r>
      <w:r>
        <w:rPr>
          <w:rFonts w:ascii="Times New Roman" w:hAnsi="Times New Roman" w:cs="Times New Roman"/>
          <w:sz w:val="20"/>
          <w:szCs w:val="20"/>
          <w:lang w:val="de-DE"/>
        </w:rPr>
        <w:t xml:space="preserve">pp. 181-182: </w:t>
      </w:r>
      <w:r w:rsidRPr="00716357">
        <w:rPr>
          <w:rFonts w:ascii="Times New Roman" w:hAnsi="Times New Roman" w:cs="Times New Roman"/>
          <w:sz w:val="20"/>
          <w:szCs w:val="20"/>
          <w:lang w:val="de-DE"/>
        </w:rPr>
        <w:t>«Sie [16 Thesen] wurden u.a. von Abraham Hinckelmann und Johann Georg Wachter, Franz Budde und Jakob Brucker als dogmatische Kernaussagen verstanden […] Für Johann Georg Wachter dienten sie als Maß der Kritik an Spinoza und seiner Nähe oder ferne zur kabbalistischen Theorien […] Franz Budde und Jakob Brucker nahmen sie als Leitfaden ihrer historischen Darstellung der Philosophie Judeorum und noch im Streit um den Spinozismus, der im letzten Drittel des 18. Jahrhunderts den deutschen Idealismus vorbereitete, spielten sie eine Schllüssrolle</w:t>
      </w:r>
      <w:r w:rsidRPr="00716357">
        <w:rPr>
          <w:rFonts w:ascii="Times New Roman" w:hAnsi="Times New Roman" w:cs="Times New Roman"/>
          <w:sz w:val="20"/>
          <w:szCs w:val="20"/>
        </w:rPr>
        <w:t>».</w:t>
      </w:r>
    </w:p>
  </w:footnote>
  <w:footnote w:id="538">
    <w:p w14:paraId="61E37981" w14:textId="77777777" w:rsidR="00B34CC2" w:rsidRPr="009963FE" w:rsidRDefault="00B34CC2" w:rsidP="00F721A9">
      <w:pPr>
        <w:pStyle w:val="Testonotaapidipagina"/>
        <w:jc w:val="both"/>
        <w:rPr>
          <w:rFonts w:ascii="Times New Roman" w:hAnsi="Times New Roman" w:cs="Times New Roman"/>
          <w:sz w:val="20"/>
          <w:szCs w:val="20"/>
        </w:rPr>
      </w:pPr>
      <w:r w:rsidRPr="009963FE">
        <w:rPr>
          <w:rStyle w:val="Rimandonotaapidipagina"/>
          <w:rFonts w:ascii="Times New Roman" w:hAnsi="Times New Roman" w:cs="Times New Roman"/>
          <w:sz w:val="20"/>
          <w:szCs w:val="20"/>
        </w:rPr>
        <w:footnoteRef/>
      </w:r>
      <w:r w:rsidRPr="009963FE">
        <w:rPr>
          <w:rFonts w:ascii="Times New Roman" w:hAnsi="Times New Roman" w:cs="Times New Roman"/>
          <w:sz w:val="20"/>
          <w:szCs w:val="20"/>
        </w:rPr>
        <w:t xml:space="preserve"> </w:t>
      </w:r>
      <w:r>
        <w:rPr>
          <w:rFonts w:ascii="Times New Roman" w:hAnsi="Times New Roman" w:cs="Times New Roman"/>
          <w:sz w:val="20"/>
          <w:szCs w:val="20"/>
        </w:rPr>
        <w:t xml:space="preserve">H. More, </w:t>
      </w:r>
      <w:r w:rsidRPr="009963FE">
        <w:rPr>
          <w:rFonts w:ascii="Times New Roman" w:hAnsi="Times New Roman" w:cs="Times New Roman"/>
          <w:i/>
          <w:sz w:val="20"/>
          <w:szCs w:val="20"/>
        </w:rPr>
        <w:t>Fundamenta Philosophiae sive Cabbalae Aëto-Paedo-Melissae</w:t>
      </w:r>
      <w:r>
        <w:rPr>
          <w:rFonts w:ascii="Times New Roman" w:hAnsi="Times New Roman" w:cs="Times New Roman"/>
          <w:sz w:val="20"/>
          <w:szCs w:val="20"/>
        </w:rPr>
        <w:t xml:space="preserve">, in </w:t>
      </w:r>
      <w:r w:rsidRPr="009963FE">
        <w:rPr>
          <w:rFonts w:ascii="Times New Roman" w:hAnsi="Times New Roman" w:cs="Times New Roman"/>
          <w:i/>
          <w:sz w:val="20"/>
          <w:szCs w:val="20"/>
        </w:rPr>
        <w:t>Kabbala Denudata</w:t>
      </w:r>
      <w:r>
        <w:rPr>
          <w:rFonts w:ascii="Times New Roman" w:hAnsi="Times New Roman" w:cs="Times New Roman"/>
          <w:sz w:val="20"/>
          <w:szCs w:val="20"/>
        </w:rPr>
        <w:t>, cit., pp. 293-294.</w:t>
      </w:r>
    </w:p>
  </w:footnote>
  <w:footnote w:id="539">
    <w:p w14:paraId="6EB92A98" w14:textId="2D63180F" w:rsidR="00B34CC2" w:rsidRPr="00856E5C" w:rsidRDefault="00B34CC2" w:rsidP="00F721A9">
      <w:pPr>
        <w:pStyle w:val="Testonotaapidipagina"/>
        <w:jc w:val="both"/>
        <w:rPr>
          <w:rFonts w:ascii="Times New Roman" w:hAnsi="Times New Roman" w:cs="Times New Roman"/>
          <w:i/>
          <w:sz w:val="20"/>
          <w:szCs w:val="20"/>
        </w:rPr>
      </w:pPr>
      <w:r w:rsidRPr="00DC7702">
        <w:rPr>
          <w:rStyle w:val="Rimandonotaapidipagina"/>
          <w:rFonts w:ascii="Times New Roman" w:hAnsi="Times New Roman" w:cs="Times New Roman"/>
          <w:sz w:val="20"/>
          <w:szCs w:val="20"/>
        </w:rPr>
        <w:footnoteRef/>
      </w:r>
      <w:r w:rsidRPr="00DC7702">
        <w:rPr>
          <w:rFonts w:ascii="Times New Roman" w:hAnsi="Times New Roman" w:cs="Times New Roman"/>
          <w:sz w:val="20"/>
          <w:szCs w:val="20"/>
        </w:rPr>
        <w:t xml:space="preserve"> Cfr. </w:t>
      </w:r>
      <w:r w:rsidRPr="00DC7702">
        <w:rPr>
          <w:rFonts w:ascii="Times New Roman" w:hAnsi="Times New Roman" w:cs="Times New Roman"/>
          <w:i/>
          <w:sz w:val="20"/>
          <w:szCs w:val="20"/>
        </w:rPr>
        <w:t>supra</w:t>
      </w:r>
      <w:r w:rsidRPr="00DC7702">
        <w:rPr>
          <w:rFonts w:ascii="Times New Roman" w:hAnsi="Times New Roman" w:cs="Times New Roman"/>
          <w:sz w:val="20"/>
          <w:szCs w:val="20"/>
        </w:rPr>
        <w:t>, pp</w:t>
      </w:r>
      <w:r>
        <w:rPr>
          <w:rFonts w:ascii="Times New Roman" w:hAnsi="Times New Roman" w:cs="Times New Roman"/>
          <w:sz w:val="20"/>
          <w:szCs w:val="20"/>
        </w:rPr>
        <w:t>. 40-44</w:t>
      </w:r>
      <w:r w:rsidRPr="00DC7702">
        <w:rPr>
          <w:rFonts w:ascii="Times New Roman" w:hAnsi="Times New Roman" w:cs="Times New Roman"/>
          <w:sz w:val="20"/>
          <w:szCs w:val="20"/>
        </w:rPr>
        <w:t>. Sull’interpretazione di Jacobi del pensiero spinoziano torneremo anche in questo capitolo, in particolare cfr.</w:t>
      </w:r>
      <w:r w:rsidRPr="00DC7702">
        <w:rPr>
          <w:rFonts w:ascii="Times New Roman" w:hAnsi="Times New Roman" w:cs="Times New Roman"/>
          <w:i/>
          <w:sz w:val="20"/>
          <w:szCs w:val="20"/>
        </w:rPr>
        <w:t xml:space="preserve"> infra</w:t>
      </w:r>
      <w:r>
        <w:rPr>
          <w:rFonts w:ascii="Times New Roman" w:hAnsi="Times New Roman" w:cs="Times New Roman"/>
          <w:sz w:val="20"/>
          <w:szCs w:val="20"/>
        </w:rPr>
        <w:t>, pp. 190-196</w:t>
      </w:r>
      <w:r w:rsidRPr="00DC7702">
        <w:rPr>
          <w:rFonts w:ascii="Times New Roman" w:hAnsi="Times New Roman" w:cs="Times New Roman"/>
          <w:sz w:val="20"/>
          <w:szCs w:val="20"/>
        </w:rPr>
        <w:t xml:space="preserve">. </w:t>
      </w:r>
    </w:p>
  </w:footnote>
  <w:footnote w:id="540">
    <w:p w14:paraId="50A3F62A" w14:textId="77777777" w:rsidR="00B34CC2" w:rsidRPr="008D7173" w:rsidRDefault="00B34CC2" w:rsidP="00F721A9">
      <w:pPr>
        <w:pStyle w:val="Testonotaapidipagina"/>
        <w:jc w:val="both"/>
        <w:rPr>
          <w:rFonts w:ascii="Times New Roman" w:hAnsi="Times New Roman" w:cs="Times New Roman"/>
          <w:sz w:val="20"/>
          <w:szCs w:val="20"/>
        </w:rPr>
      </w:pPr>
      <w:r w:rsidRPr="00DC7702">
        <w:rPr>
          <w:rStyle w:val="Rimandonotaapidipagina"/>
          <w:rFonts w:ascii="Times New Roman" w:hAnsi="Times New Roman" w:cs="Times New Roman"/>
          <w:sz w:val="20"/>
          <w:szCs w:val="20"/>
        </w:rPr>
        <w:footnoteRef/>
      </w:r>
      <w:r w:rsidRPr="00DC7702">
        <w:rPr>
          <w:rFonts w:ascii="Times New Roman" w:hAnsi="Times New Roman" w:cs="Times New Roman"/>
          <w:sz w:val="20"/>
          <w:szCs w:val="20"/>
        </w:rPr>
        <w:t xml:space="preserve"> H. More, </w:t>
      </w:r>
      <w:r w:rsidRPr="00DC7702">
        <w:rPr>
          <w:rFonts w:ascii="Times New Roman" w:hAnsi="Times New Roman" w:cs="Times New Roman"/>
          <w:i/>
          <w:sz w:val="20"/>
          <w:szCs w:val="20"/>
        </w:rPr>
        <w:t>Fundamenta Philosophiae sive Cabbalae</w:t>
      </w:r>
      <w:r w:rsidRPr="008D7173">
        <w:rPr>
          <w:rFonts w:ascii="Times New Roman" w:hAnsi="Times New Roman" w:cs="Times New Roman"/>
          <w:i/>
          <w:sz w:val="20"/>
          <w:szCs w:val="20"/>
        </w:rPr>
        <w:t xml:space="preserve"> Aëto-Paedo-Melissae</w:t>
      </w:r>
      <w:r w:rsidRPr="008D7173">
        <w:rPr>
          <w:rFonts w:ascii="Times New Roman" w:hAnsi="Times New Roman" w:cs="Times New Roman"/>
          <w:sz w:val="20"/>
          <w:szCs w:val="20"/>
        </w:rPr>
        <w:t>, cit., p. 311.</w:t>
      </w:r>
    </w:p>
  </w:footnote>
  <w:footnote w:id="541">
    <w:p w14:paraId="3D27874B" w14:textId="77777777" w:rsidR="00B34CC2" w:rsidRPr="008D7173" w:rsidRDefault="00B34CC2" w:rsidP="00F721A9">
      <w:pPr>
        <w:pStyle w:val="Testonotaapidipagina"/>
        <w:jc w:val="both"/>
        <w:rPr>
          <w:rFonts w:ascii="Times New Roman" w:hAnsi="Times New Roman" w:cs="Times New Roman"/>
          <w:sz w:val="20"/>
          <w:szCs w:val="20"/>
        </w:rPr>
      </w:pPr>
      <w:r w:rsidRPr="008D7173">
        <w:rPr>
          <w:rStyle w:val="Rimandonotaapidipagina"/>
          <w:rFonts w:ascii="Times New Roman" w:hAnsi="Times New Roman" w:cs="Times New Roman"/>
          <w:sz w:val="20"/>
          <w:szCs w:val="20"/>
        </w:rPr>
        <w:footnoteRef/>
      </w:r>
      <w:r w:rsidRPr="008D7173">
        <w:rPr>
          <w:rFonts w:ascii="Times New Roman" w:hAnsi="Times New Roman" w:cs="Times New Roman"/>
          <w:sz w:val="20"/>
          <w:szCs w:val="20"/>
        </w:rPr>
        <w:t xml:space="preserve"> </w:t>
      </w:r>
      <w:r w:rsidRPr="008D7173">
        <w:rPr>
          <w:rFonts w:ascii="Times New Roman" w:hAnsi="Times New Roman" w:cs="Times New Roman"/>
          <w:i/>
          <w:sz w:val="20"/>
          <w:szCs w:val="20"/>
        </w:rPr>
        <w:t>Ibidem</w:t>
      </w:r>
      <w:r w:rsidRPr="008D7173">
        <w:rPr>
          <w:rFonts w:ascii="Times New Roman" w:hAnsi="Times New Roman" w:cs="Times New Roman"/>
          <w:sz w:val="20"/>
          <w:szCs w:val="20"/>
        </w:rPr>
        <w:t>.</w:t>
      </w:r>
    </w:p>
  </w:footnote>
  <w:footnote w:id="542">
    <w:p w14:paraId="307E2083" w14:textId="77777777" w:rsidR="00B34CC2" w:rsidRPr="008D7173" w:rsidRDefault="00B34CC2" w:rsidP="00F721A9">
      <w:pPr>
        <w:pStyle w:val="Testonotaapidipagina"/>
        <w:jc w:val="both"/>
        <w:rPr>
          <w:sz w:val="20"/>
          <w:szCs w:val="20"/>
        </w:rPr>
      </w:pPr>
      <w:r w:rsidRPr="008D7173">
        <w:rPr>
          <w:rStyle w:val="Rimandonotaapidipagina"/>
          <w:rFonts w:ascii="Times New Roman" w:hAnsi="Times New Roman" w:cs="Times New Roman"/>
          <w:sz w:val="20"/>
          <w:szCs w:val="20"/>
        </w:rPr>
        <w:footnoteRef/>
      </w:r>
      <w:r w:rsidRPr="008D7173">
        <w:rPr>
          <w:rFonts w:ascii="Times New Roman" w:hAnsi="Times New Roman" w:cs="Times New Roman"/>
          <w:sz w:val="20"/>
          <w:szCs w:val="20"/>
        </w:rPr>
        <w:t xml:space="preserve"> </w:t>
      </w:r>
      <w:r w:rsidRPr="008D7173">
        <w:rPr>
          <w:rFonts w:ascii="Times New Roman" w:hAnsi="Times New Roman" w:cs="Times New Roman"/>
          <w:i/>
          <w:sz w:val="20"/>
          <w:szCs w:val="20"/>
        </w:rPr>
        <w:t>Ivi</w:t>
      </w:r>
      <w:r w:rsidRPr="008D7173">
        <w:rPr>
          <w:rFonts w:ascii="Times New Roman" w:hAnsi="Times New Roman" w:cs="Times New Roman"/>
          <w:sz w:val="20"/>
          <w:szCs w:val="20"/>
        </w:rPr>
        <w:t>, p. 310.</w:t>
      </w:r>
    </w:p>
  </w:footnote>
  <w:footnote w:id="543">
    <w:p w14:paraId="71B21A61" w14:textId="77777777" w:rsidR="00B34CC2" w:rsidRDefault="00B34CC2" w:rsidP="00F721A9">
      <w:pPr>
        <w:pStyle w:val="Testonotaapidipagina"/>
        <w:jc w:val="both"/>
      </w:pPr>
      <w:r w:rsidRPr="008D7173">
        <w:rPr>
          <w:rStyle w:val="Rimandonotaapidipagina"/>
          <w:rFonts w:ascii="Times New Roman" w:hAnsi="Times New Roman" w:cs="Times New Roman"/>
          <w:sz w:val="20"/>
          <w:szCs w:val="20"/>
        </w:rPr>
        <w:footnoteRef/>
      </w:r>
      <w:r w:rsidRPr="008D7173">
        <w:rPr>
          <w:rFonts w:ascii="Times New Roman" w:hAnsi="Times New Roman" w:cs="Times New Roman"/>
          <w:sz w:val="20"/>
          <w:szCs w:val="20"/>
        </w:rPr>
        <w:t xml:space="preserve"> </w:t>
      </w:r>
      <w:r w:rsidRPr="008D7173">
        <w:rPr>
          <w:rFonts w:ascii="Times New Roman" w:hAnsi="Times New Roman" w:cs="Times New Roman"/>
          <w:i/>
          <w:sz w:val="20"/>
          <w:szCs w:val="20"/>
        </w:rPr>
        <w:t>Ivi</w:t>
      </w:r>
      <w:r w:rsidRPr="008D7173">
        <w:rPr>
          <w:rFonts w:ascii="Times New Roman" w:hAnsi="Times New Roman" w:cs="Times New Roman"/>
          <w:sz w:val="20"/>
          <w:szCs w:val="20"/>
        </w:rPr>
        <w:t>, p. 300.</w:t>
      </w:r>
    </w:p>
  </w:footnote>
  <w:footnote w:id="544">
    <w:p w14:paraId="58AADE71" w14:textId="14526A0F" w:rsidR="00B34CC2" w:rsidRDefault="00B34CC2" w:rsidP="00F721A9">
      <w:pPr>
        <w:pStyle w:val="Testonotaapidipagina"/>
        <w:jc w:val="both"/>
      </w:pPr>
      <w:r w:rsidRPr="001B37D4">
        <w:rPr>
          <w:rStyle w:val="Rimandonotaapidipagina"/>
          <w:rFonts w:ascii="Times New Roman" w:hAnsi="Times New Roman" w:cs="Times New Roman"/>
          <w:sz w:val="20"/>
          <w:szCs w:val="20"/>
        </w:rPr>
        <w:footnoteRef/>
      </w:r>
      <w:r w:rsidRPr="001B37D4">
        <w:rPr>
          <w:rFonts w:ascii="Times New Roman" w:hAnsi="Times New Roman" w:cs="Times New Roman"/>
          <w:sz w:val="20"/>
          <w:szCs w:val="20"/>
        </w:rPr>
        <w:t xml:space="preserve"> Cfr.</w:t>
      </w:r>
      <w:r w:rsidRPr="001B37D4">
        <w:rPr>
          <w:rFonts w:ascii="Times New Roman" w:hAnsi="Times New Roman" w:cs="Times New Roman"/>
          <w:i/>
          <w:sz w:val="20"/>
          <w:szCs w:val="20"/>
        </w:rPr>
        <w:t xml:space="preserve"> infra</w:t>
      </w:r>
      <w:r>
        <w:rPr>
          <w:rFonts w:ascii="Times New Roman" w:hAnsi="Times New Roman" w:cs="Times New Roman"/>
          <w:sz w:val="20"/>
          <w:szCs w:val="20"/>
        </w:rPr>
        <w:t>, pp. 192-199</w:t>
      </w:r>
      <w:r w:rsidRPr="001B37D4">
        <w:rPr>
          <w:rFonts w:ascii="Times New Roman" w:hAnsi="Times New Roman" w:cs="Times New Roman"/>
          <w:sz w:val="20"/>
          <w:szCs w:val="20"/>
        </w:rPr>
        <w:t>.</w:t>
      </w:r>
    </w:p>
  </w:footnote>
  <w:footnote w:id="545">
    <w:p w14:paraId="2E2481C6" w14:textId="2709B04E" w:rsidR="00B34CC2" w:rsidRPr="00B06D46" w:rsidRDefault="00B34CC2" w:rsidP="00F721A9">
      <w:pPr>
        <w:pStyle w:val="Testonotaapidipagina"/>
        <w:jc w:val="both"/>
        <w:rPr>
          <w:rFonts w:ascii="Times" w:hAnsi="Times"/>
          <w:sz w:val="20"/>
          <w:szCs w:val="20"/>
        </w:rPr>
      </w:pPr>
      <w:r w:rsidRPr="00B06D46">
        <w:rPr>
          <w:rStyle w:val="Rimandonotaapidipagina"/>
          <w:rFonts w:ascii="Times" w:hAnsi="Times"/>
          <w:sz w:val="20"/>
          <w:szCs w:val="20"/>
        </w:rPr>
        <w:footnoteRef/>
      </w:r>
      <w:r w:rsidRPr="00B06D46">
        <w:rPr>
          <w:rFonts w:ascii="Times" w:hAnsi="Times"/>
          <w:sz w:val="20"/>
          <w:szCs w:val="20"/>
        </w:rPr>
        <w:t xml:space="preserve"> Cfr. </w:t>
      </w:r>
      <w:r w:rsidRPr="00B06D46">
        <w:rPr>
          <w:rFonts w:ascii="Times" w:hAnsi="Times"/>
          <w:i/>
          <w:sz w:val="20"/>
          <w:szCs w:val="20"/>
        </w:rPr>
        <w:t>infra</w:t>
      </w:r>
      <w:r>
        <w:rPr>
          <w:rFonts w:ascii="Times" w:hAnsi="Times"/>
          <w:sz w:val="20"/>
          <w:szCs w:val="20"/>
        </w:rPr>
        <w:t>, pp. 178-182.</w:t>
      </w:r>
    </w:p>
  </w:footnote>
  <w:footnote w:id="546">
    <w:p w14:paraId="499351E9" w14:textId="0A023778" w:rsidR="00B34CC2" w:rsidRPr="00B06D46" w:rsidRDefault="00B34CC2" w:rsidP="00F721A9">
      <w:pPr>
        <w:pStyle w:val="Testonotaapidipagina"/>
        <w:jc w:val="both"/>
        <w:rPr>
          <w:rFonts w:ascii="Times" w:hAnsi="Times"/>
          <w:sz w:val="20"/>
          <w:szCs w:val="20"/>
        </w:rPr>
      </w:pPr>
      <w:r w:rsidRPr="00B06D46">
        <w:rPr>
          <w:rStyle w:val="Rimandonotaapidipagina"/>
          <w:rFonts w:ascii="Times" w:hAnsi="Times"/>
          <w:sz w:val="20"/>
          <w:szCs w:val="20"/>
        </w:rPr>
        <w:footnoteRef/>
      </w:r>
      <w:r w:rsidRPr="00B06D46">
        <w:rPr>
          <w:rFonts w:ascii="Times" w:hAnsi="Times"/>
          <w:sz w:val="20"/>
          <w:szCs w:val="20"/>
        </w:rPr>
        <w:t xml:space="preserve"> Cfr. </w:t>
      </w:r>
      <w:r w:rsidRPr="00B06D46">
        <w:rPr>
          <w:rFonts w:ascii="Times" w:hAnsi="Times"/>
          <w:i/>
          <w:sz w:val="20"/>
          <w:szCs w:val="20"/>
        </w:rPr>
        <w:t>infra</w:t>
      </w:r>
      <w:r>
        <w:rPr>
          <w:rFonts w:ascii="Times" w:hAnsi="Times"/>
          <w:sz w:val="20"/>
          <w:szCs w:val="20"/>
        </w:rPr>
        <w:t>, pp. 182-184</w:t>
      </w:r>
      <w:r w:rsidRPr="00B06D46">
        <w:rPr>
          <w:rFonts w:ascii="Times" w:hAnsi="Times"/>
          <w:sz w:val="20"/>
          <w:szCs w:val="20"/>
        </w:rPr>
        <w:t>.</w:t>
      </w:r>
    </w:p>
  </w:footnote>
  <w:footnote w:id="547">
    <w:p w14:paraId="33BA2E56" w14:textId="35E7D606" w:rsidR="00B34CC2" w:rsidRDefault="00B34CC2" w:rsidP="00F721A9">
      <w:pPr>
        <w:pStyle w:val="Testonotaapidipagina"/>
        <w:jc w:val="both"/>
      </w:pPr>
      <w:r w:rsidRPr="00B06D46">
        <w:rPr>
          <w:rStyle w:val="Rimandonotaapidipagina"/>
          <w:rFonts w:ascii="Times" w:hAnsi="Times"/>
          <w:sz w:val="20"/>
          <w:szCs w:val="20"/>
        </w:rPr>
        <w:footnoteRef/>
      </w:r>
      <w:r w:rsidRPr="00B06D46">
        <w:rPr>
          <w:rFonts w:ascii="Times" w:hAnsi="Times"/>
          <w:sz w:val="20"/>
          <w:szCs w:val="20"/>
        </w:rPr>
        <w:t xml:space="preserve"> Cfr. </w:t>
      </w:r>
      <w:r w:rsidRPr="00B06D46">
        <w:rPr>
          <w:rFonts w:ascii="Times" w:hAnsi="Times"/>
          <w:i/>
          <w:sz w:val="20"/>
          <w:szCs w:val="20"/>
        </w:rPr>
        <w:t>infra</w:t>
      </w:r>
      <w:r>
        <w:rPr>
          <w:rFonts w:ascii="Times" w:hAnsi="Times"/>
          <w:sz w:val="20"/>
          <w:szCs w:val="20"/>
        </w:rPr>
        <w:t>, pp. 184</w:t>
      </w:r>
      <w:r w:rsidRPr="00B06D46">
        <w:rPr>
          <w:rFonts w:ascii="Times" w:hAnsi="Times"/>
          <w:sz w:val="20"/>
          <w:szCs w:val="20"/>
        </w:rPr>
        <w:t>-</w:t>
      </w:r>
      <w:r>
        <w:rPr>
          <w:rFonts w:ascii="Times" w:hAnsi="Times"/>
          <w:sz w:val="20"/>
          <w:szCs w:val="20"/>
        </w:rPr>
        <w:t>192; pp. 215-226; pp. 226-233.</w:t>
      </w:r>
    </w:p>
  </w:footnote>
  <w:footnote w:id="548">
    <w:p w14:paraId="08907927" w14:textId="30AE80A8" w:rsidR="00B34CC2" w:rsidRPr="00ED52D7" w:rsidRDefault="00B34CC2" w:rsidP="00F721A9">
      <w:pPr>
        <w:pStyle w:val="Testonotaapidipagina"/>
        <w:jc w:val="both"/>
        <w:rPr>
          <w:rFonts w:ascii="Times New Roman" w:hAnsi="Times New Roman" w:cs="Times New Roman"/>
          <w:sz w:val="20"/>
          <w:szCs w:val="20"/>
        </w:rPr>
      </w:pPr>
      <w:r w:rsidRPr="00ED52D7">
        <w:rPr>
          <w:rStyle w:val="Rimandonotaapidipagina"/>
          <w:rFonts w:ascii="Times New Roman" w:hAnsi="Times New Roman"/>
          <w:sz w:val="20"/>
          <w:szCs w:val="20"/>
        </w:rPr>
        <w:footnoteRef/>
      </w:r>
      <w:r w:rsidRPr="00ED52D7">
        <w:rPr>
          <w:rFonts w:ascii="Times New Roman" w:hAnsi="Times New Roman"/>
          <w:sz w:val="20"/>
          <w:szCs w:val="20"/>
        </w:rPr>
        <w:t xml:space="preserve"> </w:t>
      </w:r>
      <w:r>
        <w:rPr>
          <w:rFonts w:ascii="Times New Roman" w:hAnsi="Times New Roman" w:cs="Times New Roman"/>
          <w:sz w:val="20"/>
          <w:szCs w:val="20"/>
        </w:rPr>
        <w:t xml:space="preserve">Per inquadrare storicamente e filosoficamente il significato dell’opera di Wachter si veda T. Dagron, </w:t>
      </w:r>
      <w:r>
        <w:rPr>
          <w:rFonts w:ascii="Times New Roman" w:hAnsi="Times New Roman" w:cs="Times New Roman"/>
          <w:i/>
          <w:sz w:val="20"/>
          <w:szCs w:val="20"/>
        </w:rPr>
        <w:t>Toland et Leibniz. L’invention du Néo-Spinozisme</w:t>
      </w:r>
      <w:r>
        <w:rPr>
          <w:rFonts w:ascii="Times New Roman" w:hAnsi="Times New Roman" w:cs="Times New Roman"/>
          <w:sz w:val="20"/>
          <w:szCs w:val="20"/>
        </w:rPr>
        <w:t xml:space="preserve">, Librairie Philosophique J. Vrin, Paris, 2009, 211-237; V. Morfino, </w:t>
      </w:r>
      <w:r w:rsidRPr="00235CE9">
        <w:rPr>
          <w:rFonts w:ascii="Times New Roman" w:hAnsi="Times New Roman" w:cs="Times New Roman"/>
          <w:i/>
          <w:sz w:val="20"/>
          <w:szCs w:val="20"/>
        </w:rPr>
        <w:t>Genealogia di un pregiudizio. L’immagine di Spinoza da Leibniz a Marx</w:t>
      </w:r>
      <w:r>
        <w:rPr>
          <w:rFonts w:ascii="Times New Roman" w:hAnsi="Times New Roman" w:cs="Times New Roman"/>
          <w:sz w:val="20"/>
          <w:szCs w:val="20"/>
        </w:rPr>
        <w:t xml:space="preserve">, cit., pp. 43-47; R. Otto, </w:t>
      </w:r>
      <w:r>
        <w:rPr>
          <w:rFonts w:ascii="Times New Roman" w:hAnsi="Times New Roman" w:cs="Times New Roman"/>
          <w:i/>
          <w:sz w:val="20"/>
          <w:szCs w:val="20"/>
        </w:rPr>
        <w:t xml:space="preserve">Studien zur Spinozarezeption in Deutschland im 18. </w:t>
      </w:r>
      <w:r w:rsidRPr="006B047E">
        <w:rPr>
          <w:rFonts w:ascii="Times New Roman" w:hAnsi="Times New Roman" w:cs="Times New Roman"/>
          <w:i/>
          <w:sz w:val="20"/>
          <w:szCs w:val="20"/>
        </w:rPr>
        <w:t>Jahrhundert</w:t>
      </w:r>
      <w:r>
        <w:rPr>
          <w:rFonts w:ascii="Times New Roman" w:hAnsi="Times New Roman" w:cs="Times New Roman"/>
          <w:sz w:val="20"/>
          <w:szCs w:val="20"/>
        </w:rPr>
        <w:t xml:space="preserve">, Peter Lang Verlang, Frankfurt am Main, 1994, pp. 95-101; </w:t>
      </w:r>
      <w:r w:rsidRPr="006B047E">
        <w:rPr>
          <w:rFonts w:ascii="Times New Roman" w:hAnsi="Times New Roman" w:cs="Times New Roman"/>
          <w:sz w:val="20"/>
          <w:szCs w:val="20"/>
        </w:rPr>
        <w:t>G</w:t>
      </w:r>
      <w:r>
        <w:rPr>
          <w:rFonts w:ascii="Times New Roman" w:hAnsi="Times New Roman" w:cs="Times New Roman"/>
          <w:sz w:val="20"/>
          <w:szCs w:val="20"/>
        </w:rPr>
        <w:t xml:space="preserve">. Scholem, </w:t>
      </w:r>
      <w:r w:rsidRPr="001C2550">
        <w:rPr>
          <w:rFonts w:ascii="Times New Roman" w:hAnsi="Times New Roman" w:cs="Times New Roman"/>
          <w:i/>
          <w:sz w:val="20"/>
          <w:szCs w:val="20"/>
        </w:rPr>
        <w:t>Die Wachtersche Kontroverse über den Spinozismus und ihre Folgen</w:t>
      </w:r>
      <w:r>
        <w:rPr>
          <w:rFonts w:ascii="Times New Roman" w:hAnsi="Times New Roman" w:cs="Times New Roman"/>
          <w:sz w:val="20"/>
          <w:szCs w:val="20"/>
        </w:rPr>
        <w:t xml:space="preserve">, in </w:t>
      </w:r>
      <w:r>
        <w:rPr>
          <w:rFonts w:ascii="Times New Roman" w:hAnsi="Times New Roman" w:cs="Times New Roman"/>
          <w:i/>
          <w:sz w:val="20"/>
          <w:szCs w:val="20"/>
        </w:rPr>
        <w:t>Spinoza in der Fr</w:t>
      </w:r>
      <w:r w:rsidRPr="001C2550">
        <w:rPr>
          <w:rFonts w:ascii="Times New Roman" w:hAnsi="Times New Roman" w:cs="Times New Roman"/>
          <w:i/>
          <w:sz w:val="20"/>
          <w:szCs w:val="20"/>
        </w:rPr>
        <w:t>ü</w:t>
      </w:r>
      <w:r>
        <w:rPr>
          <w:rFonts w:ascii="Times New Roman" w:hAnsi="Times New Roman" w:cs="Times New Roman"/>
          <w:i/>
          <w:sz w:val="20"/>
          <w:szCs w:val="20"/>
        </w:rPr>
        <w:t>hzeit seiner religiösen Wirkung</w:t>
      </w:r>
      <w:r>
        <w:rPr>
          <w:rFonts w:ascii="Times New Roman" w:hAnsi="Times New Roman" w:cs="Times New Roman"/>
          <w:sz w:val="20"/>
          <w:szCs w:val="20"/>
        </w:rPr>
        <w:t xml:space="preserve">, hrsg. von K. Grnder und W. Schmidt-Biggemann, Lambert Schneider, Heidelberg, 1984, pp.15-25; W. Schröder, </w:t>
      </w:r>
      <w:r>
        <w:rPr>
          <w:rFonts w:ascii="Times New Roman" w:hAnsi="Times New Roman" w:cs="Times New Roman"/>
          <w:i/>
          <w:sz w:val="20"/>
          <w:szCs w:val="20"/>
        </w:rPr>
        <w:t xml:space="preserve">Spinoza in der deutschen </w:t>
      </w:r>
      <w:r w:rsidRPr="008F3A0F">
        <w:rPr>
          <w:rFonts w:ascii="Times New Roman" w:hAnsi="Times New Roman" w:cs="Times New Roman"/>
          <w:i/>
          <w:sz w:val="20"/>
          <w:szCs w:val="20"/>
        </w:rPr>
        <w:t>Frühklärung</w:t>
      </w:r>
      <w:r>
        <w:rPr>
          <w:rFonts w:ascii="Times New Roman" w:hAnsi="Times New Roman" w:cs="Times New Roman"/>
          <w:sz w:val="20"/>
          <w:szCs w:val="20"/>
        </w:rPr>
        <w:t xml:space="preserve">, Königshausen &amp; Neumann Verlag, Würzburg, 1987, pp. 59-115; </w:t>
      </w:r>
      <w:r w:rsidRPr="00720522">
        <w:rPr>
          <w:rFonts w:ascii="Times New Roman" w:hAnsi="Times New Roman" w:cs="Times New Roman"/>
          <w:sz w:val="20"/>
          <w:szCs w:val="20"/>
        </w:rPr>
        <w:t xml:space="preserve">Saccaro del Buffa G., </w:t>
      </w:r>
      <w:r w:rsidRPr="00720522">
        <w:rPr>
          <w:rFonts w:ascii="Times New Roman" w:hAnsi="Times New Roman" w:cs="Times New Roman"/>
          <w:i/>
          <w:sz w:val="20"/>
          <w:szCs w:val="20"/>
        </w:rPr>
        <w:t xml:space="preserve">La porta del </w:t>
      </w:r>
      <w:r w:rsidRPr="00720522">
        <w:rPr>
          <w:rFonts w:ascii="Times New Roman" w:hAnsi="Times New Roman" w:cs="Times New Roman"/>
          <w:sz w:val="20"/>
          <w:szCs w:val="20"/>
        </w:rPr>
        <w:t>cielo, Neri Pozza Editore, Vicenza 2010, pp. 9-48;</w:t>
      </w:r>
      <w:r>
        <w:rPr>
          <w:rFonts w:ascii="Times New Roman" w:hAnsi="Times New Roman" w:cs="Times New Roman"/>
          <w:sz w:val="20"/>
          <w:szCs w:val="20"/>
        </w:rPr>
        <w:t xml:space="preserve"> </w:t>
      </w:r>
      <w:r w:rsidRPr="006E4AE5">
        <w:rPr>
          <w:rFonts w:ascii="Times New Roman" w:hAnsi="Times New Roman" w:cs="Times New Roman"/>
          <w:sz w:val="20"/>
          <w:szCs w:val="20"/>
        </w:rPr>
        <w:t>W</w:t>
      </w:r>
      <w:r>
        <w:rPr>
          <w:rFonts w:ascii="Times New Roman" w:hAnsi="Times New Roman" w:cs="Times New Roman"/>
          <w:sz w:val="20"/>
          <w:szCs w:val="20"/>
        </w:rPr>
        <w:t xml:space="preserve">. Schmidt-Biggemann, </w:t>
      </w:r>
      <w:r w:rsidRPr="00AE588D">
        <w:rPr>
          <w:rFonts w:ascii="Times New Roman" w:hAnsi="Times New Roman" w:cs="Times New Roman"/>
          <w:i/>
          <w:sz w:val="20"/>
          <w:szCs w:val="20"/>
          <w:lang w:val="de-DE"/>
        </w:rPr>
        <w:t xml:space="preserve">Geschichte der christlichen Kabbala, </w:t>
      </w:r>
      <w:r w:rsidRPr="00AE588D">
        <w:rPr>
          <w:rFonts w:ascii="Times New Roman" w:hAnsi="Times New Roman" w:cs="Times New Roman"/>
          <w:sz w:val="20"/>
          <w:szCs w:val="20"/>
          <w:lang w:val="de-DE"/>
        </w:rPr>
        <w:t>Bd. III, cit.,</w:t>
      </w:r>
      <w:r w:rsidRPr="00AE588D">
        <w:rPr>
          <w:rFonts w:ascii="Times New Roman" w:hAnsi="Times New Roman" w:cs="Times New Roman"/>
          <w:i/>
          <w:sz w:val="20"/>
          <w:szCs w:val="20"/>
          <w:lang w:val="de-DE"/>
        </w:rPr>
        <w:t xml:space="preserve"> </w:t>
      </w:r>
      <w:r>
        <w:rPr>
          <w:rFonts w:ascii="Times New Roman" w:hAnsi="Times New Roman" w:cs="Times New Roman"/>
          <w:sz w:val="20"/>
          <w:szCs w:val="20"/>
          <w:lang w:val="de-DE"/>
        </w:rPr>
        <w:t xml:space="preserve">pp. 214-243; </w:t>
      </w:r>
      <w:r>
        <w:rPr>
          <w:rFonts w:ascii="Times New Roman" w:hAnsi="Times New Roman" w:cs="Times New Roman"/>
          <w:sz w:val="20"/>
          <w:szCs w:val="20"/>
        </w:rPr>
        <w:t>W. Schröder, “</w:t>
      </w:r>
      <w:r>
        <w:rPr>
          <w:rFonts w:ascii="Times New Roman" w:hAnsi="Times New Roman" w:cs="Times New Roman"/>
          <w:i/>
          <w:sz w:val="20"/>
          <w:szCs w:val="20"/>
        </w:rPr>
        <w:t xml:space="preserve">Die ungereimste Meinung, die jemals von Menschen ersonnen worden” – Spinozismus in der deutschen </w:t>
      </w:r>
      <w:r w:rsidRPr="008F3A0F">
        <w:rPr>
          <w:rFonts w:ascii="Times New Roman" w:hAnsi="Times New Roman" w:cs="Times New Roman"/>
          <w:i/>
          <w:sz w:val="20"/>
          <w:szCs w:val="20"/>
        </w:rPr>
        <w:t>Frühklärung</w:t>
      </w:r>
      <w:r>
        <w:rPr>
          <w:rFonts w:ascii="Times New Roman" w:hAnsi="Times New Roman" w:cs="Times New Roman"/>
          <w:i/>
          <w:sz w:val="20"/>
          <w:szCs w:val="20"/>
        </w:rPr>
        <w:t>?</w:t>
      </w:r>
      <w:r>
        <w:rPr>
          <w:rFonts w:ascii="Times New Roman" w:hAnsi="Times New Roman" w:cs="Times New Roman"/>
          <w:sz w:val="20"/>
          <w:szCs w:val="20"/>
        </w:rPr>
        <w:t xml:space="preserve">, in </w:t>
      </w:r>
      <w:r>
        <w:rPr>
          <w:rFonts w:ascii="Times New Roman" w:hAnsi="Times New Roman" w:cs="Times New Roman"/>
          <w:i/>
          <w:sz w:val="20"/>
          <w:szCs w:val="20"/>
        </w:rPr>
        <w:t>Spinoza im 18. Jahrhundert</w:t>
      </w:r>
      <w:r>
        <w:rPr>
          <w:rFonts w:ascii="Times New Roman" w:hAnsi="Times New Roman" w:cs="Times New Roman"/>
          <w:sz w:val="20"/>
          <w:szCs w:val="20"/>
        </w:rPr>
        <w:t xml:space="preserve">, hrsg. von E. Schürmann, N. Waszek und F. Weinreich, Friedrich Fromman Verlag, Stuttgart, 2002, pp. 121-139; C. Schulte, </w:t>
      </w:r>
      <w:r>
        <w:rPr>
          <w:rFonts w:ascii="Times New Roman" w:hAnsi="Times New Roman" w:cs="Times New Roman"/>
          <w:i/>
          <w:sz w:val="20"/>
          <w:szCs w:val="20"/>
        </w:rPr>
        <w:t>Johann Georg Wachter</w:t>
      </w:r>
      <w:r>
        <w:rPr>
          <w:rFonts w:ascii="Times New Roman" w:hAnsi="Times New Roman" w:cs="Times New Roman"/>
          <w:sz w:val="20"/>
          <w:szCs w:val="20"/>
        </w:rPr>
        <w:t xml:space="preserve">, in </w:t>
      </w:r>
      <w:r>
        <w:rPr>
          <w:rFonts w:ascii="Times New Roman" w:hAnsi="Times New Roman" w:cs="Times New Roman"/>
          <w:i/>
          <w:sz w:val="20"/>
          <w:szCs w:val="20"/>
        </w:rPr>
        <w:t>Zimzum</w:t>
      </w:r>
      <w:r>
        <w:rPr>
          <w:rFonts w:ascii="Times New Roman" w:hAnsi="Times New Roman" w:cs="Times New Roman"/>
          <w:sz w:val="20"/>
          <w:szCs w:val="20"/>
        </w:rPr>
        <w:t xml:space="preserve">, cit., pp. 168-178; </w:t>
      </w:r>
      <w:r w:rsidRPr="00FB29DD">
        <w:rPr>
          <w:rFonts w:ascii="Times New Roman" w:hAnsi="Times New Roman" w:cs="Times New Roman"/>
          <w:sz w:val="20"/>
          <w:szCs w:val="20"/>
        </w:rPr>
        <w:t>M</w:t>
      </w:r>
      <w:r>
        <w:rPr>
          <w:rFonts w:ascii="Times New Roman" w:hAnsi="Times New Roman" w:cs="Times New Roman"/>
          <w:sz w:val="20"/>
          <w:szCs w:val="20"/>
        </w:rPr>
        <w:t xml:space="preserve">. Vassányi, </w:t>
      </w:r>
      <w:r>
        <w:rPr>
          <w:rFonts w:ascii="Times New Roman" w:hAnsi="Times New Roman" w:cs="Times New Roman"/>
          <w:i/>
          <w:sz w:val="20"/>
          <w:szCs w:val="20"/>
        </w:rPr>
        <w:t>Anima Mundi: The Rise of the World Soul Theory in Modern German Philosophy,</w:t>
      </w:r>
      <w:r>
        <w:rPr>
          <w:rFonts w:ascii="Times New Roman" w:hAnsi="Times New Roman" w:cs="Times New Roman"/>
          <w:sz w:val="20"/>
          <w:szCs w:val="20"/>
        </w:rPr>
        <w:t xml:space="preserve"> Springer, Dordrecht, 2011,</w:t>
      </w:r>
      <w:r>
        <w:rPr>
          <w:rFonts w:ascii="Times New Roman" w:hAnsi="Times New Roman" w:cs="Times New Roman"/>
          <w:i/>
          <w:sz w:val="20"/>
          <w:szCs w:val="20"/>
        </w:rPr>
        <w:t xml:space="preserve"> </w:t>
      </w:r>
      <w:r>
        <w:rPr>
          <w:rFonts w:ascii="Times New Roman" w:hAnsi="Times New Roman" w:cs="Times New Roman"/>
          <w:sz w:val="20"/>
          <w:szCs w:val="20"/>
        </w:rPr>
        <w:t>pp. 224-233.</w:t>
      </w:r>
    </w:p>
  </w:footnote>
  <w:footnote w:id="549">
    <w:p w14:paraId="298493D4" w14:textId="13852A5F" w:rsidR="00B34CC2" w:rsidRPr="00ED52D7" w:rsidRDefault="00B34CC2" w:rsidP="00F721A9">
      <w:pPr>
        <w:pStyle w:val="Testonotaapidipagina"/>
        <w:jc w:val="both"/>
        <w:rPr>
          <w:rFonts w:ascii="Times New Roman" w:hAnsi="Times New Roman"/>
          <w:sz w:val="20"/>
          <w:szCs w:val="20"/>
        </w:rPr>
      </w:pPr>
      <w:r w:rsidRPr="00ED52D7">
        <w:rPr>
          <w:rStyle w:val="Rimandonotaapidipagina"/>
          <w:rFonts w:ascii="Times New Roman" w:hAnsi="Times New Roman"/>
          <w:sz w:val="20"/>
          <w:szCs w:val="20"/>
        </w:rPr>
        <w:footnoteRef/>
      </w:r>
      <w:r w:rsidRPr="00ED52D7">
        <w:rPr>
          <w:rFonts w:ascii="Times New Roman" w:hAnsi="Times New Roman"/>
          <w:sz w:val="20"/>
          <w:szCs w:val="20"/>
        </w:rPr>
        <w:t xml:space="preserve"> </w:t>
      </w:r>
      <w:r w:rsidRPr="00ED52D7">
        <w:rPr>
          <w:rFonts w:ascii="Times New Roman" w:hAnsi="Times New Roman" w:cs="Times New Roman"/>
          <w:sz w:val="20"/>
          <w:szCs w:val="20"/>
        </w:rPr>
        <w:t xml:space="preserve">Cfr. J. G. Wachter, </w:t>
      </w:r>
      <w:r>
        <w:rPr>
          <w:rFonts w:ascii="Times New Roman" w:hAnsi="Times New Roman" w:cs="Times New Roman"/>
          <w:i/>
          <w:sz w:val="20"/>
          <w:szCs w:val="20"/>
        </w:rPr>
        <w:t>Spinozismus in Judenthü</w:t>
      </w:r>
      <w:r w:rsidRPr="00ED52D7">
        <w:rPr>
          <w:rFonts w:ascii="Times New Roman" w:hAnsi="Times New Roman" w:cs="Times New Roman"/>
          <w:i/>
          <w:sz w:val="20"/>
          <w:szCs w:val="20"/>
        </w:rPr>
        <w:t>mb, oder die von dem heütigen Jüdenthumb und dessen geheimen Kabbala</w:t>
      </w:r>
      <w:r w:rsidRPr="00ED52D7">
        <w:rPr>
          <w:rFonts w:ascii="Times New Roman" w:hAnsi="Times New Roman" w:cs="Times New Roman"/>
          <w:sz w:val="20"/>
          <w:szCs w:val="20"/>
        </w:rPr>
        <w:t>, Amsterdam, 1699, pp. 5-7.</w:t>
      </w:r>
    </w:p>
  </w:footnote>
  <w:footnote w:id="550">
    <w:p w14:paraId="5E27EA81" w14:textId="77777777" w:rsidR="00B34CC2" w:rsidRPr="001D31C4" w:rsidRDefault="00B34CC2" w:rsidP="00F721A9">
      <w:pPr>
        <w:pStyle w:val="Testonotaapidipagina"/>
        <w:jc w:val="both"/>
        <w:rPr>
          <w:rFonts w:ascii="Times New Roman" w:hAnsi="Times New Roman" w:cs="Times New Roman"/>
          <w:sz w:val="20"/>
          <w:szCs w:val="20"/>
        </w:rPr>
      </w:pPr>
      <w:r w:rsidRPr="001D31C4">
        <w:rPr>
          <w:rStyle w:val="Rimandonotaapidipagina"/>
          <w:rFonts w:ascii="Times New Roman" w:hAnsi="Times New Roman" w:cs="Times New Roman"/>
          <w:sz w:val="20"/>
          <w:szCs w:val="20"/>
        </w:rPr>
        <w:footnoteRef/>
      </w:r>
      <w:r w:rsidRPr="001D31C4">
        <w:rPr>
          <w:rFonts w:ascii="Times New Roman" w:hAnsi="Times New Roman" w:cs="Times New Roman"/>
          <w:sz w:val="20"/>
          <w:szCs w:val="20"/>
        </w:rPr>
        <w:t xml:space="preserve"> </w:t>
      </w:r>
      <w:r w:rsidRPr="001D31C4">
        <w:rPr>
          <w:rFonts w:ascii="Times New Roman" w:hAnsi="Times New Roman" w:cs="Times New Roman"/>
          <w:i/>
          <w:sz w:val="20"/>
          <w:szCs w:val="20"/>
        </w:rPr>
        <w:t>Ivi</w:t>
      </w:r>
      <w:r>
        <w:rPr>
          <w:rFonts w:ascii="Times New Roman" w:hAnsi="Times New Roman" w:cs="Times New Roman"/>
          <w:sz w:val="20"/>
          <w:szCs w:val="20"/>
        </w:rPr>
        <w:t>, pp. 101-102.</w:t>
      </w:r>
    </w:p>
  </w:footnote>
  <w:footnote w:id="551">
    <w:p w14:paraId="3C5C436F" w14:textId="77777777" w:rsidR="00B34CC2" w:rsidRPr="001D31C4" w:rsidRDefault="00B34CC2" w:rsidP="00F721A9">
      <w:pPr>
        <w:pStyle w:val="Testonotaapidipagina"/>
        <w:jc w:val="both"/>
        <w:rPr>
          <w:rFonts w:ascii="Times New Roman" w:hAnsi="Times New Roman" w:cs="Times New Roman"/>
          <w:sz w:val="20"/>
          <w:szCs w:val="20"/>
        </w:rPr>
      </w:pPr>
      <w:r w:rsidRPr="001D31C4">
        <w:rPr>
          <w:rStyle w:val="Rimandonotaapidipagina"/>
          <w:rFonts w:ascii="Times New Roman" w:hAnsi="Times New Roman" w:cs="Times New Roman"/>
          <w:sz w:val="20"/>
          <w:szCs w:val="20"/>
        </w:rPr>
        <w:footnoteRef/>
      </w:r>
      <w:r w:rsidRPr="001D31C4">
        <w:rPr>
          <w:rFonts w:ascii="Times New Roman" w:hAnsi="Times New Roman" w:cs="Times New Roman"/>
          <w:sz w:val="20"/>
          <w:szCs w:val="20"/>
        </w:rPr>
        <w:t xml:space="preserve"> </w:t>
      </w:r>
      <w:r w:rsidRPr="001D31C4">
        <w:rPr>
          <w:rFonts w:ascii="Times New Roman" w:hAnsi="Times New Roman" w:cs="Times New Roman"/>
          <w:i/>
          <w:sz w:val="20"/>
          <w:szCs w:val="20"/>
        </w:rPr>
        <w:t>Ivi</w:t>
      </w:r>
      <w:r>
        <w:rPr>
          <w:rFonts w:ascii="Times New Roman" w:hAnsi="Times New Roman" w:cs="Times New Roman"/>
          <w:sz w:val="20"/>
          <w:szCs w:val="20"/>
        </w:rPr>
        <w:t>, p. 23.</w:t>
      </w:r>
    </w:p>
  </w:footnote>
  <w:footnote w:id="552">
    <w:p w14:paraId="3A93DABB" w14:textId="77777777" w:rsidR="00B34CC2" w:rsidRPr="001D31C4" w:rsidRDefault="00B34CC2" w:rsidP="00F721A9">
      <w:pPr>
        <w:pStyle w:val="Testonotaapidipagina"/>
        <w:jc w:val="both"/>
        <w:rPr>
          <w:rFonts w:ascii="Times New Roman" w:hAnsi="Times New Roman" w:cs="Times New Roman"/>
          <w:sz w:val="20"/>
          <w:szCs w:val="20"/>
        </w:rPr>
      </w:pPr>
      <w:r w:rsidRPr="001D31C4">
        <w:rPr>
          <w:rStyle w:val="Rimandonotaapidipagina"/>
          <w:rFonts w:ascii="Times New Roman" w:hAnsi="Times New Roman" w:cs="Times New Roman"/>
          <w:sz w:val="20"/>
          <w:szCs w:val="20"/>
        </w:rPr>
        <w:footnoteRef/>
      </w:r>
      <w:r w:rsidRPr="001D31C4">
        <w:rPr>
          <w:rFonts w:ascii="Times New Roman" w:hAnsi="Times New Roman" w:cs="Times New Roman"/>
          <w:sz w:val="20"/>
          <w:szCs w:val="20"/>
        </w:rPr>
        <w:t xml:space="preserve"> </w:t>
      </w:r>
      <w:r w:rsidRPr="001D31C4">
        <w:rPr>
          <w:rFonts w:ascii="Times New Roman" w:hAnsi="Times New Roman" w:cs="Times New Roman"/>
          <w:i/>
          <w:sz w:val="20"/>
          <w:szCs w:val="20"/>
        </w:rPr>
        <w:t>Ivi</w:t>
      </w:r>
      <w:r>
        <w:rPr>
          <w:rFonts w:ascii="Times New Roman" w:hAnsi="Times New Roman" w:cs="Times New Roman"/>
          <w:sz w:val="20"/>
          <w:szCs w:val="20"/>
        </w:rPr>
        <w:t>, pp. 101.</w:t>
      </w:r>
    </w:p>
  </w:footnote>
  <w:footnote w:id="553">
    <w:p w14:paraId="553B16DE" w14:textId="77777777" w:rsidR="00B34CC2" w:rsidRPr="00473AFA" w:rsidRDefault="00B34CC2" w:rsidP="00F721A9">
      <w:pPr>
        <w:pStyle w:val="Testonotaapidipagina"/>
        <w:jc w:val="both"/>
        <w:rPr>
          <w:rFonts w:ascii="Times New Roman" w:hAnsi="Times New Roman" w:cs="Times New Roman"/>
          <w:sz w:val="20"/>
          <w:szCs w:val="20"/>
        </w:rPr>
      </w:pPr>
      <w:r w:rsidRPr="00473AFA">
        <w:rPr>
          <w:rStyle w:val="Rimandonotaapidipagina"/>
          <w:rFonts w:ascii="Times New Roman" w:hAnsi="Times New Roman" w:cs="Times New Roman"/>
          <w:sz w:val="20"/>
          <w:szCs w:val="20"/>
        </w:rPr>
        <w:footnoteRef/>
      </w:r>
      <w:r w:rsidRPr="00473AFA">
        <w:rPr>
          <w:rFonts w:ascii="Times New Roman" w:hAnsi="Times New Roman" w:cs="Times New Roman"/>
          <w:sz w:val="20"/>
          <w:szCs w:val="20"/>
        </w:rPr>
        <w:t xml:space="preserve"> </w:t>
      </w:r>
      <w:r w:rsidRPr="001D31C4">
        <w:rPr>
          <w:rFonts w:ascii="Times New Roman" w:hAnsi="Times New Roman" w:cs="Times New Roman"/>
          <w:i/>
          <w:sz w:val="20"/>
          <w:szCs w:val="20"/>
        </w:rPr>
        <w:t>Ivi</w:t>
      </w:r>
      <w:r>
        <w:rPr>
          <w:rFonts w:ascii="Times New Roman" w:hAnsi="Times New Roman" w:cs="Times New Roman"/>
          <w:sz w:val="20"/>
          <w:szCs w:val="20"/>
        </w:rPr>
        <w:t>, p. 94.</w:t>
      </w:r>
    </w:p>
  </w:footnote>
  <w:footnote w:id="554">
    <w:p w14:paraId="56E921CE" w14:textId="77777777" w:rsidR="00B34CC2" w:rsidRPr="006A4A9C" w:rsidRDefault="00B34CC2" w:rsidP="00F721A9">
      <w:pPr>
        <w:pStyle w:val="Testonotaapidipagina"/>
        <w:jc w:val="both"/>
        <w:rPr>
          <w:rFonts w:ascii="Times New Roman" w:hAnsi="Times New Roman" w:cs="Times New Roman"/>
          <w:sz w:val="20"/>
          <w:szCs w:val="20"/>
        </w:rPr>
      </w:pPr>
      <w:r w:rsidRPr="006A4A9C">
        <w:rPr>
          <w:rStyle w:val="Rimandonotaapidipagina"/>
          <w:rFonts w:ascii="Times New Roman" w:hAnsi="Times New Roman" w:cs="Times New Roman"/>
          <w:sz w:val="20"/>
          <w:szCs w:val="20"/>
        </w:rPr>
        <w:footnoteRef/>
      </w:r>
      <w:r w:rsidRPr="006A4A9C">
        <w:rPr>
          <w:rFonts w:ascii="Times New Roman" w:hAnsi="Times New Roman" w:cs="Times New Roman"/>
          <w:sz w:val="20"/>
          <w:szCs w:val="20"/>
        </w:rPr>
        <w:t xml:space="preserve"> </w:t>
      </w:r>
      <w:r w:rsidRPr="001D31C4">
        <w:rPr>
          <w:rFonts w:ascii="Times New Roman" w:hAnsi="Times New Roman" w:cs="Times New Roman"/>
          <w:i/>
          <w:sz w:val="20"/>
          <w:szCs w:val="20"/>
        </w:rPr>
        <w:t>Ivi</w:t>
      </w:r>
      <w:r>
        <w:rPr>
          <w:rFonts w:ascii="Times New Roman" w:hAnsi="Times New Roman" w:cs="Times New Roman"/>
          <w:sz w:val="20"/>
          <w:szCs w:val="20"/>
        </w:rPr>
        <w:t>, p. 81.</w:t>
      </w:r>
    </w:p>
  </w:footnote>
  <w:footnote w:id="555">
    <w:p w14:paraId="48C2CFE6" w14:textId="77777777" w:rsidR="00B34CC2" w:rsidRPr="00636DF3" w:rsidRDefault="00B34CC2" w:rsidP="00F721A9">
      <w:pPr>
        <w:pStyle w:val="Testonotaapidipagina"/>
        <w:jc w:val="both"/>
        <w:rPr>
          <w:rFonts w:ascii="Times New Roman" w:hAnsi="Times New Roman" w:cs="Times New Roman"/>
          <w:sz w:val="20"/>
          <w:szCs w:val="20"/>
        </w:rPr>
      </w:pPr>
      <w:r w:rsidRPr="00636DF3">
        <w:rPr>
          <w:rStyle w:val="Rimandonotaapidipagina"/>
          <w:rFonts w:ascii="Times New Roman" w:hAnsi="Times New Roman" w:cs="Times New Roman"/>
          <w:sz w:val="20"/>
          <w:szCs w:val="20"/>
        </w:rPr>
        <w:footnoteRef/>
      </w:r>
      <w:r w:rsidRPr="00636DF3">
        <w:rPr>
          <w:rFonts w:ascii="Times New Roman" w:hAnsi="Times New Roman" w:cs="Times New Roman"/>
          <w:sz w:val="20"/>
          <w:szCs w:val="20"/>
        </w:rPr>
        <w:t xml:space="preserve"> </w:t>
      </w:r>
      <w:r w:rsidRPr="00636DF3">
        <w:rPr>
          <w:rFonts w:ascii="Times New Roman" w:hAnsi="Times New Roman" w:cs="Times New Roman"/>
          <w:i/>
          <w:sz w:val="20"/>
          <w:szCs w:val="20"/>
        </w:rPr>
        <w:t>Ivi</w:t>
      </w:r>
      <w:r w:rsidRPr="00636DF3">
        <w:rPr>
          <w:rFonts w:ascii="Times New Roman" w:hAnsi="Times New Roman" w:cs="Times New Roman"/>
          <w:sz w:val="20"/>
          <w:szCs w:val="20"/>
        </w:rPr>
        <w:t>, p. 97.</w:t>
      </w:r>
    </w:p>
  </w:footnote>
  <w:footnote w:id="556">
    <w:p w14:paraId="74AE9241" w14:textId="77777777" w:rsidR="00B34CC2" w:rsidRPr="00426376" w:rsidRDefault="00B34CC2" w:rsidP="00F721A9">
      <w:pPr>
        <w:pStyle w:val="Testonotaapidipagina"/>
        <w:jc w:val="both"/>
        <w:rPr>
          <w:rFonts w:ascii="Times New Roman" w:hAnsi="Times New Roman" w:cs="Times New Roman"/>
          <w:sz w:val="20"/>
          <w:szCs w:val="20"/>
        </w:rPr>
      </w:pPr>
      <w:r w:rsidRPr="00426376">
        <w:rPr>
          <w:rStyle w:val="Rimandonotaapidipagina"/>
          <w:rFonts w:ascii="Times New Roman" w:hAnsi="Times New Roman" w:cs="Times New Roman"/>
          <w:sz w:val="20"/>
          <w:szCs w:val="20"/>
        </w:rPr>
        <w:footnoteRef/>
      </w:r>
      <w:r w:rsidRPr="00426376">
        <w:rPr>
          <w:rFonts w:ascii="Times New Roman" w:hAnsi="Times New Roman" w:cs="Times New Roman"/>
          <w:sz w:val="20"/>
          <w:szCs w:val="20"/>
        </w:rPr>
        <w:t xml:space="preserve"> </w:t>
      </w:r>
      <w:r w:rsidRPr="00636DF3">
        <w:rPr>
          <w:rFonts w:ascii="Times New Roman" w:hAnsi="Times New Roman" w:cs="Times New Roman"/>
          <w:i/>
          <w:sz w:val="20"/>
          <w:szCs w:val="20"/>
        </w:rPr>
        <w:t>Ivi</w:t>
      </w:r>
      <w:r>
        <w:rPr>
          <w:rFonts w:ascii="Times New Roman" w:hAnsi="Times New Roman" w:cs="Times New Roman"/>
          <w:sz w:val="20"/>
          <w:szCs w:val="20"/>
        </w:rPr>
        <w:t>, p. 95.</w:t>
      </w:r>
    </w:p>
  </w:footnote>
  <w:footnote w:id="557">
    <w:p w14:paraId="682DB070" w14:textId="77777777" w:rsidR="00B34CC2" w:rsidRPr="0045587B" w:rsidRDefault="00B34CC2" w:rsidP="00F721A9">
      <w:pPr>
        <w:pStyle w:val="Testonotaapidipagina"/>
        <w:jc w:val="both"/>
        <w:rPr>
          <w:rFonts w:ascii="Times New Roman" w:hAnsi="Times New Roman" w:cs="Times New Roman"/>
          <w:sz w:val="20"/>
          <w:szCs w:val="20"/>
        </w:rPr>
      </w:pPr>
      <w:r w:rsidRPr="00636DF3">
        <w:rPr>
          <w:rStyle w:val="Rimandonotaapidipagina"/>
          <w:rFonts w:ascii="Times New Roman" w:hAnsi="Times New Roman" w:cs="Times New Roman"/>
          <w:sz w:val="20"/>
          <w:szCs w:val="20"/>
        </w:rPr>
        <w:footnoteRef/>
      </w:r>
      <w:r w:rsidRPr="00636DF3">
        <w:rPr>
          <w:rFonts w:ascii="Times New Roman" w:hAnsi="Times New Roman" w:cs="Times New Roman"/>
          <w:sz w:val="20"/>
          <w:szCs w:val="20"/>
        </w:rPr>
        <w:t xml:space="preserve"> </w:t>
      </w:r>
      <w:r w:rsidRPr="00636DF3">
        <w:rPr>
          <w:rFonts w:ascii="Times New Roman" w:hAnsi="Times New Roman" w:cs="Times New Roman"/>
          <w:i/>
          <w:sz w:val="20"/>
          <w:szCs w:val="20"/>
        </w:rPr>
        <w:t>Ivi</w:t>
      </w:r>
      <w:r w:rsidRPr="00636DF3">
        <w:rPr>
          <w:rFonts w:ascii="Times New Roman" w:hAnsi="Times New Roman" w:cs="Times New Roman"/>
          <w:sz w:val="20"/>
          <w:szCs w:val="20"/>
        </w:rPr>
        <w:t>, p. 97.</w:t>
      </w:r>
    </w:p>
  </w:footnote>
  <w:footnote w:id="558">
    <w:p w14:paraId="3BD69706" w14:textId="77777777" w:rsidR="00B34CC2" w:rsidRPr="00DD4EB4" w:rsidRDefault="00B34CC2" w:rsidP="00F721A9">
      <w:pPr>
        <w:pStyle w:val="Testonotaapidipagina"/>
        <w:jc w:val="both"/>
        <w:rPr>
          <w:rFonts w:ascii="Times New Roman" w:hAnsi="Times New Roman" w:cs="Times New Roman"/>
          <w:sz w:val="20"/>
          <w:szCs w:val="20"/>
        </w:rPr>
      </w:pPr>
      <w:r w:rsidRPr="00DD4EB4">
        <w:rPr>
          <w:rStyle w:val="Rimandonotaapidipagina"/>
          <w:rFonts w:ascii="Times New Roman" w:hAnsi="Times New Roman" w:cs="Times New Roman"/>
          <w:sz w:val="20"/>
          <w:szCs w:val="20"/>
        </w:rPr>
        <w:footnoteRef/>
      </w:r>
      <w:r w:rsidRPr="00DD4EB4">
        <w:rPr>
          <w:rFonts w:ascii="Times New Roman" w:hAnsi="Times New Roman" w:cs="Times New Roman"/>
          <w:sz w:val="20"/>
          <w:szCs w:val="20"/>
        </w:rPr>
        <w:t xml:space="preserve"> </w:t>
      </w:r>
      <w:r w:rsidRPr="00DD4EB4">
        <w:rPr>
          <w:rFonts w:ascii="Times New Roman" w:hAnsi="Times New Roman" w:cs="Times New Roman"/>
          <w:i/>
          <w:sz w:val="20"/>
          <w:szCs w:val="20"/>
        </w:rPr>
        <w:t>Ivi</w:t>
      </w:r>
      <w:r w:rsidRPr="00DD4EB4">
        <w:rPr>
          <w:rFonts w:ascii="Times New Roman" w:hAnsi="Times New Roman" w:cs="Times New Roman"/>
          <w:sz w:val="20"/>
          <w:szCs w:val="20"/>
        </w:rPr>
        <w:t>, p. 93.</w:t>
      </w:r>
    </w:p>
  </w:footnote>
  <w:footnote w:id="559">
    <w:p w14:paraId="326C8EF5" w14:textId="77777777" w:rsidR="00B34CC2" w:rsidRPr="00DD4EB4" w:rsidRDefault="00B34CC2" w:rsidP="00F721A9">
      <w:pPr>
        <w:pStyle w:val="Testonotaapidipagina"/>
        <w:jc w:val="both"/>
        <w:rPr>
          <w:rFonts w:ascii="Times New Roman" w:hAnsi="Times New Roman" w:cs="Times New Roman"/>
          <w:sz w:val="20"/>
          <w:szCs w:val="20"/>
        </w:rPr>
      </w:pPr>
      <w:r w:rsidRPr="00DD4EB4">
        <w:rPr>
          <w:rStyle w:val="Rimandonotaapidipagina"/>
          <w:rFonts w:ascii="Times New Roman" w:hAnsi="Times New Roman" w:cs="Times New Roman"/>
          <w:sz w:val="20"/>
          <w:szCs w:val="20"/>
        </w:rPr>
        <w:footnoteRef/>
      </w:r>
      <w:r w:rsidRPr="00DD4EB4">
        <w:rPr>
          <w:rFonts w:ascii="Times New Roman" w:hAnsi="Times New Roman" w:cs="Times New Roman"/>
          <w:sz w:val="20"/>
          <w:szCs w:val="20"/>
        </w:rPr>
        <w:t xml:space="preserve"> </w:t>
      </w:r>
      <w:r w:rsidRPr="00DD4EB4">
        <w:rPr>
          <w:rFonts w:ascii="Times New Roman" w:hAnsi="Times New Roman" w:cs="Times New Roman"/>
          <w:i/>
          <w:sz w:val="20"/>
          <w:szCs w:val="20"/>
        </w:rPr>
        <w:t>Ivi</w:t>
      </w:r>
      <w:r>
        <w:rPr>
          <w:rFonts w:ascii="Times New Roman" w:hAnsi="Times New Roman" w:cs="Times New Roman"/>
          <w:sz w:val="20"/>
          <w:szCs w:val="20"/>
        </w:rPr>
        <w:t>, p. 95</w:t>
      </w:r>
      <w:r w:rsidRPr="00DD4EB4">
        <w:rPr>
          <w:rFonts w:ascii="Times New Roman" w:hAnsi="Times New Roman" w:cs="Times New Roman"/>
          <w:sz w:val="20"/>
          <w:szCs w:val="20"/>
        </w:rPr>
        <w:t>.</w:t>
      </w:r>
    </w:p>
  </w:footnote>
  <w:footnote w:id="560">
    <w:p w14:paraId="09B51550" w14:textId="77777777" w:rsidR="00B34CC2" w:rsidRPr="00DD4EB4" w:rsidRDefault="00B34CC2" w:rsidP="00F721A9">
      <w:pPr>
        <w:pStyle w:val="Testonotaapidipagina"/>
        <w:jc w:val="both"/>
        <w:rPr>
          <w:rFonts w:ascii="Times New Roman" w:hAnsi="Times New Roman" w:cs="Times New Roman"/>
          <w:sz w:val="20"/>
          <w:szCs w:val="20"/>
        </w:rPr>
      </w:pPr>
      <w:r w:rsidRPr="00DD4EB4">
        <w:rPr>
          <w:rStyle w:val="Rimandonotaapidipagina"/>
          <w:rFonts w:ascii="Times New Roman" w:hAnsi="Times New Roman" w:cs="Times New Roman"/>
          <w:sz w:val="20"/>
          <w:szCs w:val="20"/>
        </w:rPr>
        <w:footnoteRef/>
      </w:r>
      <w:r w:rsidRPr="00DD4EB4">
        <w:rPr>
          <w:rFonts w:ascii="Times New Roman" w:hAnsi="Times New Roman" w:cs="Times New Roman"/>
          <w:sz w:val="20"/>
          <w:szCs w:val="20"/>
        </w:rPr>
        <w:t xml:space="preserve"> </w:t>
      </w:r>
      <w:r w:rsidRPr="00DD4EB4">
        <w:rPr>
          <w:rFonts w:ascii="Times New Roman" w:hAnsi="Times New Roman" w:cs="Times New Roman"/>
          <w:i/>
          <w:sz w:val="20"/>
          <w:szCs w:val="20"/>
        </w:rPr>
        <w:t>Ivi</w:t>
      </w:r>
      <w:r w:rsidRPr="00DD4EB4">
        <w:rPr>
          <w:rFonts w:ascii="Times New Roman" w:hAnsi="Times New Roman" w:cs="Times New Roman"/>
          <w:sz w:val="20"/>
          <w:szCs w:val="20"/>
        </w:rPr>
        <w:t>, p. 94.</w:t>
      </w:r>
    </w:p>
  </w:footnote>
  <w:footnote w:id="561">
    <w:p w14:paraId="02FF5C68" w14:textId="77777777" w:rsidR="00B34CC2" w:rsidRDefault="00B34CC2" w:rsidP="00F721A9">
      <w:pPr>
        <w:pStyle w:val="Testonotaapidipagina"/>
        <w:jc w:val="both"/>
      </w:pPr>
      <w:r w:rsidRPr="00017F74">
        <w:rPr>
          <w:rStyle w:val="Rimandonotaapidipagina"/>
          <w:rFonts w:ascii="Times New Roman" w:hAnsi="Times New Roman" w:cs="Times New Roman"/>
          <w:sz w:val="20"/>
          <w:szCs w:val="20"/>
        </w:rPr>
        <w:footnoteRef/>
      </w:r>
      <w:r w:rsidRPr="00017F74">
        <w:rPr>
          <w:rFonts w:ascii="Times New Roman" w:hAnsi="Times New Roman" w:cs="Times New Roman"/>
          <w:sz w:val="20"/>
          <w:szCs w:val="20"/>
        </w:rPr>
        <w:t xml:space="preserve"> </w:t>
      </w:r>
      <w:r w:rsidRPr="00DD4EB4">
        <w:rPr>
          <w:rFonts w:ascii="Times New Roman" w:hAnsi="Times New Roman" w:cs="Times New Roman"/>
          <w:i/>
          <w:sz w:val="20"/>
          <w:szCs w:val="20"/>
        </w:rPr>
        <w:t>Ivi</w:t>
      </w:r>
      <w:r>
        <w:rPr>
          <w:rFonts w:ascii="Times New Roman" w:hAnsi="Times New Roman" w:cs="Times New Roman"/>
          <w:sz w:val="20"/>
          <w:szCs w:val="20"/>
        </w:rPr>
        <w:t>, p. 92.</w:t>
      </w:r>
    </w:p>
  </w:footnote>
  <w:footnote w:id="562">
    <w:p w14:paraId="1988BA0E" w14:textId="77777777" w:rsidR="00B34CC2" w:rsidRPr="00204519" w:rsidRDefault="00B34CC2" w:rsidP="00F721A9">
      <w:pPr>
        <w:pStyle w:val="Testonotaapidipagina"/>
        <w:jc w:val="both"/>
        <w:rPr>
          <w:rFonts w:ascii="Times New Roman" w:hAnsi="Times New Roman" w:cs="Times New Roman"/>
          <w:sz w:val="20"/>
          <w:szCs w:val="20"/>
        </w:rPr>
      </w:pPr>
      <w:r w:rsidRPr="00204519">
        <w:rPr>
          <w:rStyle w:val="Rimandonotaapidipagina"/>
          <w:rFonts w:ascii="Times New Roman" w:hAnsi="Times New Roman" w:cs="Times New Roman"/>
          <w:sz w:val="20"/>
          <w:szCs w:val="20"/>
        </w:rPr>
        <w:footnoteRef/>
      </w:r>
      <w:r w:rsidRPr="00204519">
        <w:rPr>
          <w:rFonts w:ascii="Times New Roman" w:hAnsi="Times New Roman" w:cs="Times New Roman"/>
          <w:sz w:val="20"/>
          <w:szCs w:val="20"/>
        </w:rPr>
        <w:t xml:space="preserve"> </w:t>
      </w:r>
      <w:r>
        <w:rPr>
          <w:rFonts w:ascii="Times New Roman" w:hAnsi="Times New Roman" w:cs="Times New Roman"/>
          <w:sz w:val="20"/>
          <w:szCs w:val="20"/>
        </w:rPr>
        <w:t xml:space="preserve">Sulla ripresa wachteriana della teoria lurianica dello tzimtzum cfr. W. Schmidt-Biggemann, </w:t>
      </w:r>
      <w:r w:rsidRPr="00AE588D">
        <w:rPr>
          <w:rFonts w:ascii="Times New Roman" w:hAnsi="Times New Roman" w:cs="Times New Roman"/>
          <w:i/>
          <w:sz w:val="20"/>
          <w:szCs w:val="20"/>
          <w:lang w:val="de-DE"/>
        </w:rPr>
        <w:t xml:space="preserve">Geschichte der christlichen Kabbala, </w:t>
      </w:r>
      <w:r w:rsidRPr="00AE588D">
        <w:rPr>
          <w:rFonts w:ascii="Times New Roman" w:hAnsi="Times New Roman" w:cs="Times New Roman"/>
          <w:sz w:val="20"/>
          <w:szCs w:val="20"/>
          <w:lang w:val="de-DE"/>
        </w:rPr>
        <w:t>Bd. III, cit.,</w:t>
      </w:r>
      <w:r w:rsidRPr="00AE588D">
        <w:rPr>
          <w:rFonts w:ascii="Times New Roman" w:hAnsi="Times New Roman" w:cs="Times New Roman"/>
          <w:i/>
          <w:sz w:val="20"/>
          <w:szCs w:val="20"/>
          <w:lang w:val="de-DE"/>
        </w:rPr>
        <w:t xml:space="preserve"> </w:t>
      </w:r>
      <w:r>
        <w:rPr>
          <w:rFonts w:ascii="Times New Roman" w:hAnsi="Times New Roman" w:cs="Times New Roman"/>
          <w:sz w:val="20"/>
          <w:szCs w:val="20"/>
          <w:lang w:val="de-DE"/>
        </w:rPr>
        <w:t xml:space="preserve">pp. 224-227; </w:t>
      </w:r>
      <w:r>
        <w:rPr>
          <w:rFonts w:ascii="Times New Roman" w:hAnsi="Times New Roman" w:cs="Times New Roman"/>
          <w:sz w:val="20"/>
          <w:szCs w:val="20"/>
        </w:rPr>
        <w:t xml:space="preserve">C. Schulte, </w:t>
      </w:r>
      <w:r>
        <w:rPr>
          <w:rFonts w:ascii="Times New Roman" w:hAnsi="Times New Roman" w:cs="Times New Roman"/>
          <w:i/>
          <w:sz w:val="20"/>
          <w:szCs w:val="20"/>
        </w:rPr>
        <w:t>Johann Georg Wachter</w:t>
      </w:r>
      <w:r>
        <w:rPr>
          <w:rFonts w:ascii="Times New Roman" w:hAnsi="Times New Roman" w:cs="Times New Roman"/>
          <w:sz w:val="20"/>
          <w:szCs w:val="20"/>
        </w:rPr>
        <w:t xml:space="preserve">, in </w:t>
      </w:r>
      <w:r>
        <w:rPr>
          <w:rFonts w:ascii="Times New Roman" w:hAnsi="Times New Roman" w:cs="Times New Roman"/>
          <w:i/>
          <w:sz w:val="20"/>
          <w:szCs w:val="20"/>
        </w:rPr>
        <w:t>Zimzum</w:t>
      </w:r>
      <w:r>
        <w:rPr>
          <w:rFonts w:ascii="Times New Roman" w:hAnsi="Times New Roman" w:cs="Times New Roman"/>
          <w:sz w:val="20"/>
          <w:szCs w:val="20"/>
        </w:rPr>
        <w:t>, cit., pp. 174-178.</w:t>
      </w:r>
    </w:p>
  </w:footnote>
  <w:footnote w:id="563">
    <w:p w14:paraId="2D566E60" w14:textId="77777777" w:rsidR="00B34CC2" w:rsidRPr="00017F74" w:rsidRDefault="00B34CC2" w:rsidP="00F721A9">
      <w:pPr>
        <w:pStyle w:val="Testonotaapidipagina"/>
        <w:jc w:val="both"/>
        <w:rPr>
          <w:rFonts w:ascii="Times New Roman" w:hAnsi="Times New Roman" w:cs="Times New Roman"/>
          <w:sz w:val="20"/>
          <w:szCs w:val="20"/>
        </w:rPr>
      </w:pPr>
      <w:r w:rsidRPr="006939A5">
        <w:rPr>
          <w:rStyle w:val="Rimandonotaapidipagina"/>
          <w:rFonts w:ascii="Times New Roman" w:hAnsi="Times New Roman" w:cs="Times New Roman"/>
          <w:sz w:val="20"/>
          <w:szCs w:val="20"/>
        </w:rPr>
        <w:footnoteRef/>
      </w:r>
      <w:r w:rsidRPr="006939A5">
        <w:rPr>
          <w:rFonts w:ascii="Times New Roman" w:hAnsi="Times New Roman" w:cs="Times New Roman"/>
          <w:sz w:val="20"/>
          <w:szCs w:val="20"/>
        </w:rPr>
        <w:t xml:space="preserve"> </w:t>
      </w:r>
      <w:r w:rsidRPr="00DD4EB4">
        <w:rPr>
          <w:rFonts w:ascii="Times New Roman" w:hAnsi="Times New Roman" w:cs="Times New Roman"/>
          <w:i/>
          <w:sz w:val="20"/>
          <w:szCs w:val="20"/>
        </w:rPr>
        <w:t>I</w:t>
      </w:r>
      <w:r>
        <w:rPr>
          <w:rFonts w:ascii="Times New Roman" w:hAnsi="Times New Roman" w:cs="Times New Roman"/>
          <w:i/>
          <w:sz w:val="20"/>
          <w:szCs w:val="20"/>
        </w:rPr>
        <w:t>bidem</w:t>
      </w:r>
      <w:r>
        <w:rPr>
          <w:rFonts w:ascii="Times New Roman" w:hAnsi="Times New Roman" w:cs="Times New Roman"/>
          <w:sz w:val="20"/>
          <w:szCs w:val="20"/>
        </w:rPr>
        <w:t>.</w:t>
      </w:r>
    </w:p>
  </w:footnote>
  <w:footnote w:id="564">
    <w:p w14:paraId="67D527B3" w14:textId="77777777" w:rsidR="00B34CC2" w:rsidRPr="009F6F62" w:rsidRDefault="00B34CC2" w:rsidP="00F721A9">
      <w:pPr>
        <w:pStyle w:val="Testonotaapidipagina"/>
        <w:jc w:val="both"/>
        <w:rPr>
          <w:rFonts w:ascii="Times New Roman" w:hAnsi="Times New Roman" w:cs="Times New Roman"/>
          <w:sz w:val="20"/>
          <w:szCs w:val="20"/>
        </w:rPr>
      </w:pPr>
      <w:r w:rsidRPr="009F6F62">
        <w:rPr>
          <w:rStyle w:val="Rimandonotaapidipagina"/>
          <w:rFonts w:ascii="Times New Roman" w:hAnsi="Times New Roman" w:cs="Times New Roman"/>
          <w:sz w:val="20"/>
          <w:szCs w:val="20"/>
        </w:rPr>
        <w:footnoteRef/>
      </w:r>
      <w:r w:rsidRPr="009F6F62">
        <w:rPr>
          <w:rFonts w:ascii="Times New Roman" w:hAnsi="Times New Roman" w:cs="Times New Roman"/>
          <w:sz w:val="20"/>
          <w:szCs w:val="20"/>
        </w:rPr>
        <w:t xml:space="preserve"> </w:t>
      </w:r>
      <w:r w:rsidRPr="0019396E">
        <w:rPr>
          <w:rFonts w:ascii="Times New Roman" w:hAnsi="Times New Roman" w:cs="Times New Roman"/>
          <w:sz w:val="20"/>
          <w:szCs w:val="20"/>
        </w:rPr>
        <w:t xml:space="preserve">Cfr. J. F. Buddeus, </w:t>
      </w:r>
      <w:r w:rsidRPr="0019396E">
        <w:rPr>
          <w:rFonts w:ascii="Times New Roman" w:eastAsia="Times New Roman" w:hAnsi="Times New Roman" w:cs="Times New Roman"/>
          <w:i/>
          <w:iCs/>
          <w:color w:val="222222"/>
          <w:sz w:val="20"/>
          <w:szCs w:val="20"/>
          <w:shd w:val="clear" w:color="auto" w:fill="FFFFFF"/>
        </w:rPr>
        <w:t>Defensio Cabbalae Ebraeorum contra auctores quosdam modernos</w:t>
      </w:r>
      <w:r w:rsidRPr="0019396E">
        <w:rPr>
          <w:rFonts w:ascii="Times New Roman" w:eastAsia="Times New Roman" w:hAnsi="Times New Roman" w:cs="Times New Roman"/>
          <w:iCs/>
          <w:color w:val="222222"/>
          <w:sz w:val="20"/>
          <w:szCs w:val="20"/>
          <w:shd w:val="clear" w:color="auto" w:fill="FFFFFF"/>
        </w:rPr>
        <w:t>, Halle, 1700, pp. 207-231.</w:t>
      </w:r>
    </w:p>
  </w:footnote>
  <w:footnote w:id="565">
    <w:p w14:paraId="7760DB29" w14:textId="77777777" w:rsidR="00B34CC2" w:rsidRPr="00D04994" w:rsidRDefault="00B34CC2" w:rsidP="00F721A9">
      <w:pPr>
        <w:pStyle w:val="Testonotaapidipagina"/>
        <w:jc w:val="both"/>
        <w:rPr>
          <w:rFonts w:ascii="Times New Roman" w:hAnsi="Times New Roman" w:cs="Times New Roman"/>
          <w:sz w:val="20"/>
          <w:szCs w:val="20"/>
        </w:rPr>
      </w:pPr>
      <w:r w:rsidRPr="00D04994">
        <w:rPr>
          <w:rStyle w:val="Rimandonotaapidipagina"/>
          <w:rFonts w:ascii="Times New Roman" w:hAnsi="Times New Roman" w:cs="Times New Roman"/>
          <w:sz w:val="20"/>
          <w:szCs w:val="20"/>
        </w:rPr>
        <w:footnoteRef/>
      </w:r>
      <w:r w:rsidRPr="00D04994">
        <w:rPr>
          <w:rFonts w:ascii="Times New Roman" w:hAnsi="Times New Roman" w:cs="Times New Roman"/>
          <w:sz w:val="20"/>
          <w:szCs w:val="20"/>
        </w:rPr>
        <w:t xml:space="preserve"> J. G. Wachter, </w:t>
      </w:r>
      <w:r w:rsidRPr="00D04994">
        <w:rPr>
          <w:rFonts w:ascii="Times New Roman" w:hAnsi="Times New Roman" w:cs="Times New Roman"/>
          <w:i/>
          <w:sz w:val="20"/>
          <w:szCs w:val="20"/>
        </w:rPr>
        <w:t>Elucidarius Cabalisticus</w:t>
      </w:r>
      <w:r>
        <w:rPr>
          <w:rFonts w:ascii="Times New Roman" w:hAnsi="Times New Roman" w:cs="Times New Roman"/>
          <w:sz w:val="20"/>
          <w:szCs w:val="20"/>
        </w:rPr>
        <w:t>, Roma</w:t>
      </w:r>
      <w:r w:rsidRPr="00D04994">
        <w:rPr>
          <w:rFonts w:ascii="Times New Roman" w:hAnsi="Times New Roman" w:cs="Times New Roman"/>
          <w:sz w:val="20"/>
          <w:szCs w:val="20"/>
        </w:rPr>
        <w:t xml:space="preserve"> 1706, p. 47.</w:t>
      </w:r>
    </w:p>
  </w:footnote>
  <w:footnote w:id="566">
    <w:p w14:paraId="59C4ABA1" w14:textId="77777777" w:rsidR="00B34CC2" w:rsidRPr="00D97B94" w:rsidRDefault="00B34CC2" w:rsidP="00F721A9">
      <w:pPr>
        <w:pStyle w:val="Testonotaapidipagina"/>
        <w:jc w:val="both"/>
        <w:rPr>
          <w:rFonts w:ascii="Times New Roman" w:hAnsi="Times New Roman" w:cs="Times New Roman"/>
          <w:sz w:val="20"/>
          <w:szCs w:val="20"/>
        </w:rPr>
      </w:pPr>
      <w:r w:rsidRPr="00D97B94">
        <w:rPr>
          <w:rStyle w:val="Rimandonotaapidipagina"/>
          <w:rFonts w:ascii="Times New Roman" w:hAnsi="Times New Roman" w:cs="Times New Roman"/>
          <w:sz w:val="20"/>
          <w:szCs w:val="20"/>
        </w:rPr>
        <w:footnoteRef/>
      </w:r>
      <w:r w:rsidRPr="00D97B94">
        <w:rPr>
          <w:rFonts w:ascii="Times New Roman" w:hAnsi="Times New Roman" w:cs="Times New Roman"/>
          <w:sz w:val="20"/>
          <w:szCs w:val="20"/>
        </w:rPr>
        <w:t xml:space="preserve"> </w:t>
      </w:r>
      <w:r w:rsidRPr="00D97B94">
        <w:rPr>
          <w:rFonts w:ascii="Times New Roman" w:hAnsi="Times New Roman" w:cs="Times New Roman"/>
          <w:i/>
          <w:sz w:val="20"/>
          <w:szCs w:val="20"/>
        </w:rPr>
        <w:t>Ivi</w:t>
      </w:r>
      <w:r>
        <w:rPr>
          <w:rFonts w:ascii="Times New Roman" w:hAnsi="Times New Roman" w:cs="Times New Roman"/>
          <w:sz w:val="20"/>
          <w:szCs w:val="20"/>
        </w:rPr>
        <w:t>, p. 31.</w:t>
      </w:r>
    </w:p>
  </w:footnote>
  <w:footnote w:id="567">
    <w:p w14:paraId="68F92384" w14:textId="77777777" w:rsidR="00B34CC2" w:rsidRPr="00F34D70" w:rsidRDefault="00B34CC2" w:rsidP="00F721A9">
      <w:pPr>
        <w:pStyle w:val="Testonotaapidipagina"/>
        <w:jc w:val="both"/>
        <w:rPr>
          <w:rFonts w:ascii="Times New Roman" w:hAnsi="Times New Roman" w:cs="Times New Roman"/>
          <w:sz w:val="20"/>
          <w:szCs w:val="20"/>
        </w:rPr>
      </w:pPr>
      <w:r w:rsidRPr="007F2FCD">
        <w:rPr>
          <w:rStyle w:val="Rimandonotaapidipagina"/>
          <w:rFonts w:ascii="Times New Roman" w:hAnsi="Times New Roman" w:cs="Times New Roman"/>
          <w:sz w:val="20"/>
          <w:szCs w:val="20"/>
        </w:rPr>
        <w:footnoteRef/>
      </w:r>
      <w:r w:rsidRPr="007F2FCD">
        <w:rPr>
          <w:rFonts w:ascii="Times New Roman" w:hAnsi="Times New Roman" w:cs="Times New Roman"/>
          <w:sz w:val="20"/>
          <w:szCs w:val="20"/>
        </w:rPr>
        <w:t xml:space="preserve"> </w:t>
      </w:r>
      <w:r>
        <w:rPr>
          <w:rFonts w:ascii="Times New Roman" w:hAnsi="Times New Roman" w:cs="Times New Roman"/>
          <w:sz w:val="20"/>
          <w:szCs w:val="20"/>
        </w:rPr>
        <w:t xml:space="preserve">B. Spinoza, </w:t>
      </w:r>
      <w:r>
        <w:rPr>
          <w:rFonts w:ascii="Times New Roman" w:hAnsi="Times New Roman" w:cs="Times New Roman"/>
          <w:i/>
          <w:sz w:val="20"/>
          <w:szCs w:val="20"/>
        </w:rPr>
        <w:t>Ethica</w:t>
      </w:r>
      <w:r>
        <w:rPr>
          <w:rFonts w:ascii="Times New Roman" w:hAnsi="Times New Roman" w:cs="Times New Roman"/>
          <w:sz w:val="20"/>
          <w:szCs w:val="20"/>
        </w:rPr>
        <w:t xml:space="preserve">, in </w:t>
      </w:r>
      <w:r>
        <w:rPr>
          <w:rFonts w:ascii="Times New Roman" w:hAnsi="Times New Roman" w:cs="Times New Roman"/>
          <w:i/>
          <w:sz w:val="20"/>
          <w:szCs w:val="20"/>
        </w:rPr>
        <w:t>Bruch Spinoza. Tutte le opere</w:t>
      </w:r>
      <w:r>
        <w:rPr>
          <w:rFonts w:ascii="Times New Roman" w:hAnsi="Times New Roman" w:cs="Times New Roman"/>
          <w:sz w:val="20"/>
          <w:szCs w:val="20"/>
        </w:rPr>
        <w:t xml:space="preserve">, cit., p. 1194: </w:t>
      </w:r>
      <w:r w:rsidRPr="00F34D70">
        <w:rPr>
          <w:rFonts w:ascii="Times New Roman" w:hAnsi="Times New Roman" w:cs="Times New Roman"/>
          <w:sz w:val="20"/>
          <w:szCs w:val="20"/>
        </w:rPr>
        <w:t>«Per naturam naturantem nobis intelligendum est id, quod per se est, et per se concipitur, sive talia substantiae attibuta, quae aeternam, et infinitam essentiam exprimunt, hoc est […], Deos, quatenus, ut causa libera, consideratur. Per naturam naturatam autem intelligo id omne, quod ex necessitate Dei naturae, sive uniuscujusque Dei attributorum sequitur, hoc est, omnes Dei attributorum modos, quatenud considerantur, ut res, quae in Deo sunt, et quae sine Deo nec esse, nec concipi possunt</w:t>
      </w:r>
      <w:r w:rsidRPr="00F34D70">
        <w:rPr>
          <w:sz w:val="20"/>
          <w:szCs w:val="20"/>
        </w:rPr>
        <w:t>».</w:t>
      </w:r>
    </w:p>
  </w:footnote>
  <w:footnote w:id="568">
    <w:p w14:paraId="38D46B9A" w14:textId="77777777" w:rsidR="00B34CC2" w:rsidRPr="00F12CBC" w:rsidRDefault="00B34CC2" w:rsidP="00F721A9">
      <w:pPr>
        <w:pStyle w:val="Testonotaapidipagina"/>
        <w:jc w:val="both"/>
        <w:rPr>
          <w:rFonts w:ascii="Times New Roman" w:hAnsi="Times New Roman" w:cs="Times New Roman"/>
          <w:sz w:val="20"/>
          <w:szCs w:val="20"/>
        </w:rPr>
      </w:pPr>
      <w:r w:rsidRPr="00F12CBC">
        <w:rPr>
          <w:rStyle w:val="Rimandonotaapidipagina"/>
          <w:rFonts w:ascii="Times New Roman" w:hAnsi="Times New Roman" w:cs="Times New Roman"/>
          <w:sz w:val="20"/>
          <w:szCs w:val="20"/>
        </w:rPr>
        <w:footnoteRef/>
      </w:r>
      <w:r w:rsidRPr="00F12CBC">
        <w:rPr>
          <w:rFonts w:ascii="Times New Roman" w:hAnsi="Times New Roman" w:cs="Times New Roman"/>
          <w:sz w:val="20"/>
          <w:szCs w:val="20"/>
        </w:rPr>
        <w:t xml:space="preserve"> </w:t>
      </w:r>
      <w:r w:rsidRPr="00F12CBC">
        <w:rPr>
          <w:rFonts w:ascii="Times New Roman" w:hAnsi="Times New Roman" w:cs="Times New Roman"/>
          <w:i/>
          <w:sz w:val="20"/>
          <w:szCs w:val="20"/>
        </w:rPr>
        <w:t>Ivi</w:t>
      </w:r>
      <w:r>
        <w:rPr>
          <w:rFonts w:ascii="Times New Roman" w:hAnsi="Times New Roman" w:cs="Times New Roman"/>
          <w:sz w:val="20"/>
          <w:szCs w:val="20"/>
        </w:rPr>
        <w:t>, p. 68.</w:t>
      </w:r>
    </w:p>
  </w:footnote>
  <w:footnote w:id="569">
    <w:p w14:paraId="4830B4F5" w14:textId="1BCB82F2" w:rsidR="00B34CC2" w:rsidRPr="00425290" w:rsidRDefault="00B34CC2" w:rsidP="00F721A9">
      <w:pPr>
        <w:pStyle w:val="Testonotaapidipagina"/>
        <w:jc w:val="both"/>
        <w:rPr>
          <w:rFonts w:ascii="Times New Roman" w:hAnsi="Times New Roman" w:cs="Times New Roman"/>
          <w:sz w:val="20"/>
          <w:szCs w:val="20"/>
        </w:rPr>
      </w:pPr>
      <w:r w:rsidRPr="00E17E6A">
        <w:rPr>
          <w:rStyle w:val="Rimandonotaapidipagina"/>
          <w:rFonts w:ascii="Times New Roman" w:hAnsi="Times New Roman" w:cs="Times New Roman"/>
          <w:sz w:val="20"/>
          <w:szCs w:val="20"/>
        </w:rPr>
        <w:footnoteRef/>
      </w:r>
      <w:r w:rsidRPr="00E17E6A">
        <w:rPr>
          <w:rFonts w:ascii="Times New Roman" w:hAnsi="Times New Roman" w:cs="Times New Roman"/>
          <w:sz w:val="20"/>
          <w:szCs w:val="20"/>
        </w:rPr>
        <w:t xml:space="preserve"> </w:t>
      </w:r>
      <w:r w:rsidRPr="00D0443E">
        <w:rPr>
          <w:rFonts w:ascii="Times New Roman" w:hAnsi="Times New Roman" w:cs="Times New Roman"/>
          <w:sz w:val="20"/>
          <w:szCs w:val="20"/>
        </w:rPr>
        <w:t xml:space="preserve">G. Scholem, </w:t>
      </w:r>
      <w:r w:rsidRPr="00D0443E">
        <w:rPr>
          <w:rFonts w:ascii="Times New Roman" w:hAnsi="Times New Roman" w:cs="Times New Roman"/>
          <w:i/>
          <w:sz w:val="20"/>
          <w:szCs w:val="20"/>
        </w:rPr>
        <w:t>Die Wachtersche Kontroverse über den Spinozismus und ihre Folgen</w:t>
      </w:r>
      <w:r w:rsidRPr="00D0443E">
        <w:rPr>
          <w:rFonts w:ascii="Times New Roman" w:hAnsi="Times New Roman" w:cs="Times New Roman"/>
          <w:sz w:val="20"/>
          <w:szCs w:val="20"/>
        </w:rPr>
        <w:t xml:space="preserve">, in </w:t>
      </w:r>
      <w:r w:rsidRPr="00D0443E">
        <w:rPr>
          <w:rFonts w:ascii="Times New Roman" w:hAnsi="Times New Roman" w:cs="Times New Roman"/>
          <w:i/>
          <w:sz w:val="20"/>
          <w:szCs w:val="20"/>
        </w:rPr>
        <w:t>Spinoza in der Frühzeit seiner religiösen Wirkung</w:t>
      </w:r>
      <w:r>
        <w:rPr>
          <w:rFonts w:ascii="Times New Roman" w:hAnsi="Times New Roman" w:cs="Times New Roman"/>
          <w:sz w:val="20"/>
          <w:szCs w:val="20"/>
        </w:rPr>
        <w:t xml:space="preserve">, cit., p. 25: </w:t>
      </w:r>
      <w:r w:rsidRPr="00425290">
        <w:rPr>
          <w:rFonts w:ascii="Times New Roman" w:hAnsi="Times New Roman" w:cs="Times New Roman"/>
          <w:sz w:val="20"/>
          <w:szCs w:val="20"/>
        </w:rPr>
        <w:t>«</w:t>
      </w:r>
      <w:r w:rsidRPr="00425290">
        <w:rPr>
          <w:rFonts w:ascii="Times New Roman" w:hAnsi="Times New Roman" w:cs="Times New Roman"/>
          <w:sz w:val="20"/>
          <w:szCs w:val="20"/>
          <w:lang w:val="de-DE"/>
        </w:rPr>
        <w:t>Das Problem von Spinozas Kabbalismus reicht bis zu dem berühmten Spinoza-Streit zwischen Moses Mendelssohn und Friedrich Jacobi [...] Der eine, Mendelssohn, beruft sich  Spinozismus im Jüdenthumb, der andere, Jacobi,  den Elucidarius cabalisticus</w:t>
      </w:r>
      <w:r w:rsidRPr="00425290">
        <w:rPr>
          <w:sz w:val="20"/>
          <w:szCs w:val="20"/>
        </w:rPr>
        <w:t>»</w:t>
      </w:r>
      <w:r w:rsidRPr="00425290">
        <w:rPr>
          <w:rFonts w:ascii="Times New Roman" w:hAnsi="Times New Roman" w:cs="Times New Roman"/>
          <w:sz w:val="16"/>
          <w:szCs w:val="16"/>
        </w:rPr>
        <w:t>.</w:t>
      </w:r>
      <w:r w:rsidRPr="00425290">
        <w:rPr>
          <w:rFonts w:ascii="Times New Roman" w:hAnsi="Times New Roman" w:cs="Times New Roman"/>
          <w:sz w:val="20"/>
          <w:szCs w:val="20"/>
        </w:rPr>
        <w:t xml:space="preserve"> Sebbene questa posizione di Scholem sia condivisibile, ritengo che l’opposizione fra </w:t>
      </w:r>
      <w:r w:rsidRPr="00E27267">
        <w:rPr>
          <w:rFonts w:ascii="Times New Roman" w:hAnsi="Times New Roman" w:cs="Times New Roman"/>
          <w:i/>
          <w:sz w:val="20"/>
          <w:szCs w:val="20"/>
          <w:lang w:val="de-DE"/>
        </w:rPr>
        <w:t>Spinozismus im Jüdenthumb</w:t>
      </w:r>
      <w:r w:rsidRPr="00425290">
        <w:rPr>
          <w:rFonts w:ascii="Times New Roman" w:hAnsi="Times New Roman" w:cs="Times New Roman"/>
          <w:sz w:val="20"/>
          <w:szCs w:val="20"/>
          <w:lang w:val="de-DE"/>
        </w:rPr>
        <w:t xml:space="preserve"> e</w:t>
      </w:r>
      <w:r>
        <w:rPr>
          <w:rFonts w:ascii="Times New Roman" w:hAnsi="Times New Roman" w:cs="Times New Roman"/>
          <w:sz w:val="20"/>
          <w:szCs w:val="20"/>
          <w:lang w:val="de-DE"/>
        </w:rPr>
        <w:t>d</w:t>
      </w:r>
      <w:r w:rsidRPr="00425290">
        <w:rPr>
          <w:rFonts w:ascii="Times New Roman" w:hAnsi="Times New Roman" w:cs="Times New Roman"/>
          <w:sz w:val="20"/>
          <w:szCs w:val="20"/>
          <w:lang w:val="de-DE"/>
        </w:rPr>
        <w:t xml:space="preserve"> </w:t>
      </w:r>
      <w:r w:rsidRPr="00E27267">
        <w:rPr>
          <w:rFonts w:ascii="Times New Roman" w:hAnsi="Times New Roman" w:cs="Times New Roman"/>
          <w:i/>
          <w:sz w:val="20"/>
          <w:szCs w:val="20"/>
          <w:lang w:val="de-DE"/>
        </w:rPr>
        <w:t>Elucidarius cabalisticus</w:t>
      </w:r>
      <w:r w:rsidRPr="00425290">
        <w:rPr>
          <w:rFonts w:ascii="Times New Roman" w:hAnsi="Times New Roman" w:cs="Times New Roman"/>
          <w:sz w:val="20"/>
          <w:szCs w:val="20"/>
          <w:lang w:val="de-DE"/>
        </w:rPr>
        <w:t xml:space="preserve"> </w:t>
      </w:r>
      <w:r w:rsidRPr="00425290">
        <w:rPr>
          <w:rFonts w:ascii="Times New Roman" w:hAnsi="Times New Roman" w:cs="Times New Roman"/>
          <w:sz w:val="20"/>
          <w:szCs w:val="20"/>
        </w:rPr>
        <w:t xml:space="preserve">sia assunta e sviluppata anche da Jacobi, che fornisce due interpretazioni eterogenee del rapporto fra spinozismo e Qabbalah. Su questo punto cfr. </w:t>
      </w:r>
      <w:r w:rsidRPr="00B403C5">
        <w:rPr>
          <w:rFonts w:ascii="Times New Roman" w:hAnsi="Times New Roman" w:cs="Times New Roman"/>
          <w:i/>
          <w:sz w:val="20"/>
          <w:szCs w:val="20"/>
        </w:rPr>
        <w:t>infra</w:t>
      </w:r>
      <w:r>
        <w:rPr>
          <w:rFonts w:ascii="Times New Roman" w:hAnsi="Times New Roman" w:cs="Times New Roman"/>
          <w:sz w:val="20"/>
          <w:szCs w:val="20"/>
        </w:rPr>
        <w:t>, pp. 192</w:t>
      </w:r>
      <w:r w:rsidRPr="00425290">
        <w:rPr>
          <w:rFonts w:ascii="Times New Roman" w:hAnsi="Times New Roman" w:cs="Times New Roman"/>
          <w:sz w:val="20"/>
          <w:szCs w:val="20"/>
        </w:rPr>
        <w:t xml:space="preserve"> e ss.</w:t>
      </w:r>
    </w:p>
  </w:footnote>
  <w:footnote w:id="570">
    <w:p w14:paraId="0F9AF5D2" w14:textId="77777777" w:rsidR="00B34CC2" w:rsidRPr="00FF4C85" w:rsidRDefault="00B34CC2" w:rsidP="00F721A9">
      <w:pPr>
        <w:pStyle w:val="Testonotaapidipagina"/>
        <w:jc w:val="both"/>
        <w:rPr>
          <w:rFonts w:ascii="Times New Roman" w:hAnsi="Times New Roman" w:cs="Times New Roman"/>
          <w:sz w:val="20"/>
          <w:szCs w:val="20"/>
        </w:rPr>
      </w:pPr>
      <w:r w:rsidRPr="00FF4C85">
        <w:rPr>
          <w:rStyle w:val="Rimandonotaapidipagina"/>
          <w:rFonts w:ascii="Times New Roman" w:hAnsi="Times New Roman" w:cs="Times New Roman"/>
          <w:sz w:val="20"/>
          <w:szCs w:val="20"/>
        </w:rPr>
        <w:footnoteRef/>
      </w:r>
      <w:r w:rsidRPr="00FF4C85">
        <w:rPr>
          <w:rFonts w:ascii="Times New Roman" w:hAnsi="Times New Roman" w:cs="Times New Roman"/>
          <w:sz w:val="20"/>
          <w:szCs w:val="20"/>
        </w:rPr>
        <w:t xml:space="preserve"> W. Schmidt-Biggemann, </w:t>
      </w:r>
      <w:r w:rsidRPr="00FF4C85">
        <w:rPr>
          <w:rFonts w:ascii="Times New Roman" w:hAnsi="Times New Roman" w:cs="Times New Roman"/>
          <w:i/>
          <w:sz w:val="20"/>
          <w:szCs w:val="20"/>
          <w:lang w:val="de-DE"/>
        </w:rPr>
        <w:t xml:space="preserve">Geschichte der christlichen Kabbala, </w:t>
      </w:r>
      <w:r w:rsidRPr="00FF4C85">
        <w:rPr>
          <w:rFonts w:ascii="Times New Roman" w:hAnsi="Times New Roman" w:cs="Times New Roman"/>
          <w:sz w:val="20"/>
          <w:szCs w:val="20"/>
          <w:lang w:val="de-DE"/>
        </w:rPr>
        <w:t>Bd. III, cit.,</w:t>
      </w:r>
      <w:r w:rsidRPr="00FF4C85">
        <w:rPr>
          <w:rFonts w:ascii="Times New Roman" w:hAnsi="Times New Roman" w:cs="Times New Roman"/>
          <w:i/>
          <w:sz w:val="20"/>
          <w:szCs w:val="20"/>
          <w:lang w:val="de-DE"/>
        </w:rPr>
        <w:t xml:space="preserve"> </w:t>
      </w:r>
      <w:r w:rsidRPr="00FF4C85">
        <w:rPr>
          <w:rFonts w:ascii="Times New Roman" w:hAnsi="Times New Roman" w:cs="Times New Roman"/>
          <w:sz w:val="20"/>
          <w:szCs w:val="20"/>
          <w:lang w:val="de-DE"/>
        </w:rPr>
        <w:t>pp. 299-328.</w:t>
      </w:r>
    </w:p>
  </w:footnote>
  <w:footnote w:id="571">
    <w:p w14:paraId="46D53276" w14:textId="77777777" w:rsidR="00B34CC2" w:rsidRPr="00FF4C85" w:rsidRDefault="00B34CC2" w:rsidP="00F721A9">
      <w:pPr>
        <w:pStyle w:val="Testonotaapidipagina"/>
        <w:jc w:val="both"/>
        <w:rPr>
          <w:rFonts w:ascii="Times New Roman" w:hAnsi="Times New Roman" w:cs="Times New Roman"/>
          <w:sz w:val="20"/>
          <w:szCs w:val="20"/>
        </w:rPr>
      </w:pPr>
      <w:r w:rsidRPr="00FF4C85">
        <w:rPr>
          <w:rStyle w:val="Rimandonotaapidipagina"/>
          <w:rFonts w:ascii="Times New Roman" w:hAnsi="Times New Roman" w:cs="Times New Roman"/>
          <w:sz w:val="20"/>
          <w:szCs w:val="20"/>
        </w:rPr>
        <w:footnoteRef/>
      </w:r>
      <w:r w:rsidRPr="00FF4C85">
        <w:rPr>
          <w:rFonts w:ascii="Times New Roman" w:hAnsi="Times New Roman" w:cs="Times New Roman"/>
          <w:sz w:val="20"/>
          <w:szCs w:val="20"/>
        </w:rPr>
        <w:t xml:space="preserve"> </w:t>
      </w:r>
      <w:r w:rsidRPr="00FF4C85">
        <w:rPr>
          <w:rFonts w:ascii="Times New Roman" w:hAnsi="Times New Roman" w:cs="Times New Roman"/>
          <w:i/>
          <w:sz w:val="20"/>
          <w:szCs w:val="20"/>
        </w:rPr>
        <w:t>Ivi</w:t>
      </w:r>
      <w:r w:rsidRPr="00FF4C85">
        <w:rPr>
          <w:rFonts w:ascii="Times New Roman" w:hAnsi="Times New Roman" w:cs="Times New Roman"/>
          <w:sz w:val="20"/>
          <w:szCs w:val="20"/>
        </w:rPr>
        <w:t>, pp. 308-319.</w:t>
      </w:r>
    </w:p>
  </w:footnote>
  <w:footnote w:id="572">
    <w:p w14:paraId="7BFDA30B" w14:textId="77777777" w:rsidR="00B34CC2" w:rsidRPr="00D933CD" w:rsidRDefault="00B34CC2" w:rsidP="00F721A9">
      <w:pPr>
        <w:pStyle w:val="Testonotaapidipagina"/>
        <w:jc w:val="both"/>
        <w:rPr>
          <w:rFonts w:ascii="Times New Roman" w:hAnsi="Times New Roman" w:cs="Times New Roman"/>
          <w:sz w:val="20"/>
          <w:szCs w:val="20"/>
        </w:rPr>
      </w:pPr>
      <w:r w:rsidRPr="00FF4C85">
        <w:rPr>
          <w:rStyle w:val="Rimandonotaapidipagina"/>
          <w:rFonts w:ascii="Times New Roman" w:hAnsi="Times New Roman" w:cs="Times New Roman"/>
          <w:sz w:val="20"/>
          <w:szCs w:val="20"/>
        </w:rPr>
        <w:footnoteRef/>
      </w:r>
      <w:r w:rsidRPr="00FF4C85">
        <w:rPr>
          <w:rFonts w:ascii="Times New Roman" w:hAnsi="Times New Roman" w:cs="Times New Roman"/>
          <w:sz w:val="20"/>
          <w:szCs w:val="20"/>
        </w:rPr>
        <w:t xml:space="preserve"> </w:t>
      </w:r>
      <w:r w:rsidRPr="00FF4C85">
        <w:rPr>
          <w:rFonts w:ascii="Times New Roman" w:hAnsi="Times New Roman" w:cs="Times New Roman"/>
          <w:i/>
          <w:sz w:val="20"/>
          <w:szCs w:val="20"/>
        </w:rPr>
        <w:t>Ibidem</w:t>
      </w:r>
      <w:r w:rsidRPr="00FF4C85">
        <w:rPr>
          <w:rFonts w:ascii="Times New Roman" w:hAnsi="Times New Roman" w:cs="Times New Roman"/>
          <w:sz w:val="20"/>
          <w:szCs w:val="20"/>
        </w:rPr>
        <w:t xml:space="preserve">. Riguardo al passo di Brucker cfr. J.J. Brucker, </w:t>
      </w:r>
      <w:r w:rsidRPr="00FF4C85">
        <w:rPr>
          <w:rFonts w:ascii="Times New Roman" w:eastAsia="Times New Roman" w:hAnsi="Times New Roman" w:cs="Times New Roman"/>
          <w:i/>
          <w:iCs/>
          <w:color w:val="222222"/>
          <w:sz w:val="20"/>
          <w:szCs w:val="20"/>
          <w:shd w:val="clear" w:color="auto" w:fill="FFFFFF"/>
        </w:rPr>
        <w:t>Historia critica philosophiae a mundi incalculabilis ad nostram usque aetatem deducta</w:t>
      </w:r>
      <w:r>
        <w:rPr>
          <w:rFonts w:ascii="Times New Roman" w:eastAsia="Times New Roman" w:hAnsi="Times New Roman" w:cs="Times New Roman"/>
          <w:iCs/>
          <w:color w:val="222222"/>
          <w:sz w:val="20"/>
          <w:szCs w:val="20"/>
          <w:shd w:val="clear" w:color="auto" w:fill="FFFFFF"/>
        </w:rPr>
        <w:t>, Vol. II, Lipsia</w:t>
      </w:r>
      <w:r w:rsidRPr="00FF4C85">
        <w:rPr>
          <w:rFonts w:ascii="Times New Roman" w:eastAsia="Times New Roman" w:hAnsi="Times New Roman" w:cs="Times New Roman"/>
          <w:iCs/>
          <w:color w:val="222222"/>
          <w:sz w:val="20"/>
          <w:szCs w:val="20"/>
          <w:shd w:val="clear" w:color="auto" w:fill="FFFFFF"/>
        </w:rPr>
        <w:t xml:space="preserve"> 1742, p. 935: «Posset hoc exemplis luculentissimis illustrari ostendique, Cabbalistarum Messiam, primogenitum et creatorem rerum a Christianorum Servatore Chisto unigenito patris immenso discrimine differre, illumque ex mente Cabbalistarum hoc longe esse inferiorem, Deoque ispo posteriorem, trinitatem sephirothicam a Trinitate Christianorum toto coelo distare, et principiorum triada, summo promoque Deo inferiorum exhibere, et quae alia sunt huius commatis, quorum in sequentibus mentio adhuc facienda</w:t>
      </w:r>
      <w:r w:rsidRPr="00FF4C85">
        <w:rPr>
          <w:sz w:val="20"/>
          <w:szCs w:val="20"/>
        </w:rPr>
        <w:t>»</w:t>
      </w:r>
      <w:r w:rsidRPr="00FF4C85">
        <w:rPr>
          <w:rFonts w:ascii="Times New Roman" w:hAnsi="Times New Roman" w:cs="Times New Roman"/>
          <w:sz w:val="20"/>
          <w:szCs w:val="20"/>
        </w:rPr>
        <w:t>.</w:t>
      </w:r>
    </w:p>
  </w:footnote>
  <w:footnote w:id="573">
    <w:p w14:paraId="4C64D674" w14:textId="77777777" w:rsidR="00B34CC2" w:rsidRPr="00AE743A" w:rsidRDefault="00B34CC2" w:rsidP="00F721A9">
      <w:pPr>
        <w:pStyle w:val="Testonotaapidipagina"/>
        <w:jc w:val="both"/>
        <w:rPr>
          <w:rFonts w:ascii="Times New Roman" w:hAnsi="Times New Roman" w:cs="Times New Roman"/>
          <w:sz w:val="20"/>
          <w:szCs w:val="20"/>
        </w:rPr>
      </w:pPr>
      <w:r w:rsidRPr="00C4236A">
        <w:rPr>
          <w:rStyle w:val="Rimandonotaapidipagina"/>
          <w:rFonts w:ascii="Times New Roman" w:hAnsi="Times New Roman" w:cs="Times New Roman"/>
          <w:sz w:val="20"/>
          <w:szCs w:val="20"/>
        </w:rPr>
        <w:footnoteRef/>
      </w:r>
      <w:r w:rsidRPr="00C4236A">
        <w:rPr>
          <w:rFonts w:ascii="Times New Roman" w:hAnsi="Times New Roman" w:cs="Times New Roman"/>
          <w:sz w:val="20"/>
          <w:szCs w:val="20"/>
        </w:rPr>
        <w:t xml:space="preserve"> </w:t>
      </w:r>
      <w:r w:rsidRPr="008415FB">
        <w:rPr>
          <w:rFonts w:ascii="Times New Roman" w:hAnsi="Times New Roman" w:cs="Times New Roman"/>
          <w:i/>
          <w:sz w:val="20"/>
          <w:szCs w:val="20"/>
        </w:rPr>
        <w:t>Ivi</w:t>
      </w:r>
      <w:r>
        <w:rPr>
          <w:rFonts w:ascii="Times New Roman" w:hAnsi="Times New Roman" w:cs="Times New Roman"/>
          <w:sz w:val="20"/>
          <w:szCs w:val="20"/>
        </w:rPr>
        <w:t xml:space="preserve">, </w:t>
      </w:r>
      <w:r>
        <w:rPr>
          <w:rFonts w:ascii="Times New Roman" w:eastAsia="Times New Roman" w:hAnsi="Times New Roman" w:cs="Times New Roman"/>
          <w:iCs/>
          <w:color w:val="222222"/>
          <w:sz w:val="20"/>
          <w:szCs w:val="20"/>
          <w:shd w:val="clear" w:color="auto" w:fill="FFFFFF"/>
        </w:rPr>
        <w:t xml:space="preserve">p. 1069: </w:t>
      </w:r>
      <w:r w:rsidRPr="00AE743A">
        <w:rPr>
          <w:rFonts w:ascii="Times New Roman" w:hAnsi="Times New Roman" w:cs="Times New Roman"/>
          <w:sz w:val="20"/>
          <w:szCs w:val="20"/>
        </w:rPr>
        <w:t>«Quae itauqe historiae philosophicae utilitas in genere est, ea etiam historiae philosophiae Cabbalisticae adscribenda, praecipue ubi accurate tradita fuerit, cum ob ingentem, quam foet obscuritatem et difficultatem, pauci sint, qui lucem his tenebris foenarare laborant, sicque praeiudicia dispellere satis perniciosos errores gignentia conantur</w:t>
      </w:r>
      <w:r w:rsidRPr="00AE743A">
        <w:rPr>
          <w:sz w:val="20"/>
          <w:szCs w:val="20"/>
        </w:rPr>
        <w:t>»</w:t>
      </w:r>
      <w:r w:rsidRPr="00AE743A">
        <w:rPr>
          <w:rFonts w:ascii="Times New Roman" w:hAnsi="Times New Roman" w:cs="Times New Roman"/>
          <w:sz w:val="20"/>
          <w:szCs w:val="20"/>
        </w:rPr>
        <w:t>.</w:t>
      </w:r>
    </w:p>
  </w:footnote>
  <w:footnote w:id="574">
    <w:p w14:paraId="53840AEA" w14:textId="799F70EB" w:rsidR="00B34CC2" w:rsidRPr="00B13B44" w:rsidRDefault="00B34CC2" w:rsidP="00F721A9">
      <w:pPr>
        <w:pStyle w:val="Testonotaapidipagina"/>
        <w:jc w:val="both"/>
        <w:rPr>
          <w:rFonts w:ascii="Times New Roman" w:hAnsi="Times New Roman" w:cs="Times New Roman"/>
          <w:sz w:val="20"/>
          <w:szCs w:val="20"/>
        </w:rPr>
      </w:pPr>
      <w:r w:rsidRPr="00B13B44">
        <w:rPr>
          <w:rStyle w:val="Rimandonotaapidipagina"/>
          <w:rFonts w:ascii="Times New Roman" w:hAnsi="Times New Roman" w:cs="Times New Roman"/>
          <w:sz w:val="20"/>
          <w:szCs w:val="20"/>
        </w:rPr>
        <w:footnoteRef/>
      </w:r>
      <w:r w:rsidRPr="00B13B44">
        <w:rPr>
          <w:rFonts w:ascii="Times New Roman" w:hAnsi="Times New Roman" w:cs="Times New Roman"/>
          <w:sz w:val="20"/>
          <w:szCs w:val="20"/>
        </w:rPr>
        <w:t xml:space="preserve"> </w:t>
      </w:r>
      <w:r>
        <w:rPr>
          <w:rFonts w:ascii="Times New Roman" w:hAnsi="Times New Roman" w:cs="Times New Roman"/>
          <w:sz w:val="20"/>
          <w:szCs w:val="20"/>
        </w:rPr>
        <w:t xml:space="preserve">Sugli aspetti metodologici impiegati da Brucker nella sua </w:t>
      </w:r>
      <w:r w:rsidRPr="00B13B44">
        <w:rPr>
          <w:rFonts w:ascii="Times New Roman" w:hAnsi="Times New Roman" w:cs="Times New Roman"/>
          <w:i/>
          <w:sz w:val="20"/>
          <w:szCs w:val="20"/>
        </w:rPr>
        <w:t>Historia critica philosophiae</w:t>
      </w:r>
      <w:r>
        <w:rPr>
          <w:rFonts w:ascii="Times New Roman" w:hAnsi="Times New Roman" w:cs="Times New Roman"/>
          <w:i/>
          <w:sz w:val="20"/>
          <w:szCs w:val="20"/>
        </w:rPr>
        <w:t xml:space="preserve"> </w:t>
      </w:r>
      <w:r>
        <w:rPr>
          <w:rFonts w:ascii="Times New Roman" w:hAnsi="Times New Roman" w:cs="Times New Roman"/>
          <w:sz w:val="20"/>
          <w:szCs w:val="20"/>
        </w:rPr>
        <w:t xml:space="preserve">cfr. M. Longo, </w:t>
      </w:r>
      <w:r w:rsidRPr="00B13B44">
        <w:rPr>
          <w:rFonts w:ascii="Times New Roman" w:hAnsi="Times New Roman" w:cs="Times New Roman"/>
          <w:i/>
          <w:sz w:val="20"/>
          <w:szCs w:val="20"/>
        </w:rPr>
        <w:t>A “Critical” History of Philo</w:t>
      </w:r>
      <w:r>
        <w:rPr>
          <w:rFonts w:ascii="Times New Roman" w:hAnsi="Times New Roman" w:cs="Times New Roman"/>
          <w:i/>
          <w:sz w:val="20"/>
          <w:szCs w:val="20"/>
        </w:rPr>
        <w:t>so</w:t>
      </w:r>
      <w:r w:rsidRPr="00B13B44">
        <w:rPr>
          <w:rFonts w:ascii="Times New Roman" w:hAnsi="Times New Roman" w:cs="Times New Roman"/>
          <w:i/>
          <w:sz w:val="20"/>
          <w:szCs w:val="20"/>
        </w:rPr>
        <w:t>phy and the Early Enlightment: Johann Jacob Brucker</w:t>
      </w:r>
      <w:r>
        <w:rPr>
          <w:rFonts w:ascii="Times New Roman" w:hAnsi="Times New Roman" w:cs="Times New Roman"/>
          <w:sz w:val="20"/>
          <w:szCs w:val="20"/>
        </w:rPr>
        <w:t xml:space="preserve">, in </w:t>
      </w:r>
      <w:r w:rsidRPr="00B13B44">
        <w:rPr>
          <w:rFonts w:ascii="Times New Roman" w:hAnsi="Times New Roman" w:cs="Times New Roman"/>
          <w:i/>
          <w:sz w:val="20"/>
          <w:szCs w:val="20"/>
        </w:rPr>
        <w:t xml:space="preserve">Models of History of Philosophy </w:t>
      </w:r>
      <w:r>
        <w:rPr>
          <w:rFonts w:ascii="Times New Roman" w:hAnsi="Times New Roman" w:cs="Times New Roman"/>
          <w:sz w:val="20"/>
          <w:szCs w:val="20"/>
        </w:rPr>
        <w:t xml:space="preserve">(ed. by G. Piaia and G. Santiello), </w:t>
      </w:r>
      <w:r w:rsidRPr="006F10F8">
        <w:rPr>
          <w:rFonts w:ascii="Times New Roman" w:hAnsi="Times New Roman" w:cs="Times New Roman"/>
          <w:i/>
          <w:sz w:val="20"/>
          <w:szCs w:val="20"/>
        </w:rPr>
        <w:t>Volume II: From the Cartesian Age to Brucke</w:t>
      </w:r>
      <w:r>
        <w:rPr>
          <w:rFonts w:ascii="Times New Roman" w:hAnsi="Times New Roman" w:cs="Times New Roman"/>
          <w:sz w:val="20"/>
          <w:szCs w:val="20"/>
        </w:rPr>
        <w:t>r, Springer, Dordrecht/Heidelberg/London/New York 2011, pp. 477-579.</w:t>
      </w:r>
    </w:p>
  </w:footnote>
  <w:footnote w:id="575">
    <w:p w14:paraId="0BA386A2" w14:textId="77777777" w:rsidR="00B34CC2" w:rsidRPr="0032262D" w:rsidRDefault="00B34CC2" w:rsidP="00F721A9">
      <w:pPr>
        <w:pStyle w:val="Testonotaapidipagina"/>
        <w:jc w:val="both"/>
        <w:rPr>
          <w:rFonts w:ascii="Times New Roman" w:hAnsi="Times New Roman" w:cs="Times New Roman"/>
          <w:sz w:val="20"/>
          <w:szCs w:val="20"/>
        </w:rPr>
      </w:pPr>
      <w:r w:rsidRPr="0032262D">
        <w:rPr>
          <w:rStyle w:val="Rimandonotaapidipagina"/>
          <w:rFonts w:ascii="Times New Roman" w:hAnsi="Times New Roman" w:cs="Times New Roman"/>
          <w:sz w:val="20"/>
          <w:szCs w:val="20"/>
        </w:rPr>
        <w:footnoteRef/>
      </w:r>
      <w:r w:rsidRPr="0032262D">
        <w:rPr>
          <w:rFonts w:ascii="Times New Roman" w:hAnsi="Times New Roman" w:cs="Times New Roman"/>
          <w:sz w:val="20"/>
          <w:szCs w:val="20"/>
        </w:rPr>
        <w:t xml:space="preserve"> </w:t>
      </w:r>
      <w:r>
        <w:rPr>
          <w:rFonts w:ascii="Times New Roman" w:hAnsi="Times New Roman" w:cs="Times New Roman"/>
          <w:sz w:val="20"/>
          <w:szCs w:val="20"/>
        </w:rPr>
        <w:t xml:space="preserve">J.J. Brucker, </w:t>
      </w:r>
      <w:r w:rsidRPr="00C42C3D">
        <w:rPr>
          <w:rFonts w:ascii="Times New Roman" w:eastAsia="Times New Roman" w:hAnsi="Times New Roman" w:cs="Times New Roman"/>
          <w:i/>
          <w:iCs/>
          <w:color w:val="222222"/>
          <w:sz w:val="20"/>
          <w:szCs w:val="20"/>
          <w:shd w:val="clear" w:color="auto" w:fill="FFFFFF"/>
        </w:rPr>
        <w:t>Historia critica philosophiae a mundi incalculabilis ad nostram usque aetatem deducta</w:t>
      </w:r>
      <w:r>
        <w:rPr>
          <w:rFonts w:ascii="Times New Roman" w:eastAsia="Times New Roman" w:hAnsi="Times New Roman" w:cs="Times New Roman"/>
          <w:iCs/>
          <w:color w:val="222222"/>
          <w:sz w:val="20"/>
          <w:szCs w:val="20"/>
          <w:shd w:val="clear" w:color="auto" w:fill="FFFFFF"/>
        </w:rPr>
        <w:t>, Vol. I, Lipsia, 1742, p. 13</w:t>
      </w:r>
    </w:p>
  </w:footnote>
  <w:footnote w:id="576">
    <w:p w14:paraId="1B709D3E" w14:textId="77777777" w:rsidR="00B34CC2" w:rsidRPr="00FD1AEF" w:rsidRDefault="00B34CC2" w:rsidP="00F721A9">
      <w:pPr>
        <w:pStyle w:val="Testonotaapidipagina"/>
        <w:jc w:val="both"/>
        <w:rPr>
          <w:rFonts w:ascii="Times New Roman" w:hAnsi="Times New Roman" w:cs="Times New Roman"/>
          <w:sz w:val="20"/>
          <w:szCs w:val="20"/>
        </w:rPr>
      </w:pPr>
      <w:r w:rsidRPr="00FD1AEF">
        <w:rPr>
          <w:rStyle w:val="Rimandonotaapidipagina"/>
          <w:rFonts w:ascii="Times New Roman" w:hAnsi="Times New Roman" w:cs="Times New Roman"/>
          <w:sz w:val="20"/>
          <w:szCs w:val="20"/>
        </w:rPr>
        <w:footnoteRef/>
      </w:r>
      <w:r w:rsidRPr="00FD1AEF">
        <w:rPr>
          <w:rFonts w:ascii="Times New Roman" w:hAnsi="Times New Roman" w:cs="Times New Roman"/>
          <w:sz w:val="20"/>
          <w:szCs w:val="20"/>
        </w:rPr>
        <w:t xml:space="preserve"> </w:t>
      </w:r>
      <w:r w:rsidRPr="00FD1AEF">
        <w:rPr>
          <w:rFonts w:ascii="Times New Roman" w:hAnsi="Times New Roman" w:cs="Times New Roman"/>
          <w:i/>
          <w:sz w:val="20"/>
          <w:szCs w:val="20"/>
        </w:rPr>
        <w:t>Ivi</w:t>
      </w:r>
      <w:r>
        <w:rPr>
          <w:rFonts w:ascii="Times New Roman" w:hAnsi="Times New Roman" w:cs="Times New Roman"/>
          <w:sz w:val="20"/>
          <w:szCs w:val="20"/>
        </w:rPr>
        <w:t>, p. 15.</w:t>
      </w:r>
    </w:p>
  </w:footnote>
  <w:footnote w:id="577">
    <w:p w14:paraId="4A4D0354" w14:textId="77777777" w:rsidR="00B34CC2" w:rsidRPr="005F2BA8" w:rsidRDefault="00B34CC2" w:rsidP="00F721A9">
      <w:pPr>
        <w:pStyle w:val="Testonotaapidipagina"/>
        <w:jc w:val="both"/>
        <w:rPr>
          <w:rFonts w:ascii="Times New Roman" w:hAnsi="Times New Roman" w:cs="Times New Roman"/>
          <w:sz w:val="20"/>
          <w:szCs w:val="20"/>
        </w:rPr>
      </w:pPr>
      <w:r w:rsidRPr="005F2BA8">
        <w:rPr>
          <w:rStyle w:val="Rimandonotaapidipagina"/>
          <w:rFonts w:ascii="Times" w:hAnsi="Times"/>
          <w:sz w:val="20"/>
          <w:szCs w:val="20"/>
        </w:rPr>
        <w:footnoteRef/>
      </w:r>
      <w:r w:rsidRPr="005F2BA8">
        <w:rPr>
          <w:rFonts w:ascii="Times" w:hAnsi="Times"/>
          <w:sz w:val="20"/>
          <w:szCs w:val="20"/>
        </w:rPr>
        <w:t xml:space="preserve"> </w:t>
      </w:r>
      <w:r w:rsidRPr="00FD1AEF">
        <w:rPr>
          <w:rFonts w:ascii="Times New Roman" w:hAnsi="Times New Roman" w:cs="Times New Roman"/>
          <w:i/>
          <w:sz w:val="20"/>
          <w:szCs w:val="20"/>
        </w:rPr>
        <w:t>Ivi</w:t>
      </w:r>
      <w:r>
        <w:rPr>
          <w:rFonts w:ascii="Times New Roman" w:hAnsi="Times New Roman" w:cs="Times New Roman"/>
          <w:sz w:val="20"/>
          <w:szCs w:val="20"/>
        </w:rPr>
        <w:t>, p. 18.</w:t>
      </w:r>
    </w:p>
  </w:footnote>
  <w:footnote w:id="578">
    <w:p w14:paraId="07858303" w14:textId="77777777" w:rsidR="00B34CC2" w:rsidRPr="00B13B44" w:rsidRDefault="00B34CC2" w:rsidP="00F721A9">
      <w:pPr>
        <w:pStyle w:val="Testonotaapidipagina"/>
        <w:jc w:val="both"/>
        <w:rPr>
          <w:rFonts w:ascii="Times New Roman" w:hAnsi="Times New Roman" w:cs="Times New Roman"/>
          <w:sz w:val="20"/>
          <w:szCs w:val="20"/>
        </w:rPr>
      </w:pPr>
      <w:r w:rsidRPr="00B13B44">
        <w:rPr>
          <w:rStyle w:val="Rimandonotaapidipagina"/>
          <w:rFonts w:ascii="Times New Roman" w:hAnsi="Times New Roman" w:cs="Times New Roman"/>
          <w:sz w:val="20"/>
          <w:szCs w:val="20"/>
        </w:rPr>
        <w:footnoteRef/>
      </w:r>
      <w:r w:rsidRPr="00B13B44">
        <w:rPr>
          <w:rFonts w:ascii="Times New Roman" w:hAnsi="Times New Roman" w:cs="Times New Roman"/>
          <w:sz w:val="20"/>
          <w:szCs w:val="20"/>
        </w:rPr>
        <w:t xml:space="preserve"> </w:t>
      </w:r>
      <w:r w:rsidRPr="00FD1AEF">
        <w:rPr>
          <w:rFonts w:ascii="Times New Roman" w:hAnsi="Times New Roman" w:cs="Times New Roman"/>
          <w:i/>
          <w:sz w:val="20"/>
          <w:szCs w:val="20"/>
        </w:rPr>
        <w:t>Ivi</w:t>
      </w:r>
      <w:r>
        <w:rPr>
          <w:rFonts w:ascii="Times New Roman" w:hAnsi="Times New Roman" w:cs="Times New Roman"/>
          <w:sz w:val="20"/>
          <w:szCs w:val="20"/>
        </w:rPr>
        <w:t>, pp. 16-17.</w:t>
      </w:r>
    </w:p>
  </w:footnote>
  <w:footnote w:id="579">
    <w:p w14:paraId="27FFC73C" w14:textId="77777777" w:rsidR="00B34CC2" w:rsidRPr="00795270" w:rsidRDefault="00B34CC2" w:rsidP="00F721A9">
      <w:pPr>
        <w:pStyle w:val="Testonotaapidipagina"/>
        <w:jc w:val="both"/>
        <w:rPr>
          <w:rFonts w:ascii="Times New Roman" w:hAnsi="Times New Roman" w:cs="Times New Roman"/>
          <w:sz w:val="20"/>
          <w:szCs w:val="20"/>
        </w:rPr>
      </w:pPr>
      <w:r w:rsidRPr="00795270">
        <w:rPr>
          <w:rStyle w:val="Rimandonotaapidipagina"/>
          <w:rFonts w:ascii="Times New Roman" w:hAnsi="Times New Roman" w:cs="Times New Roman"/>
          <w:sz w:val="20"/>
          <w:szCs w:val="20"/>
        </w:rPr>
        <w:footnoteRef/>
      </w:r>
      <w:r w:rsidRPr="00795270">
        <w:rPr>
          <w:rFonts w:ascii="Times New Roman" w:hAnsi="Times New Roman" w:cs="Times New Roman"/>
          <w:sz w:val="20"/>
          <w:szCs w:val="20"/>
        </w:rPr>
        <w:t xml:space="preserve"> </w:t>
      </w:r>
      <w:r>
        <w:rPr>
          <w:rFonts w:ascii="Times New Roman" w:hAnsi="Times New Roman" w:cs="Times New Roman"/>
          <w:sz w:val="20"/>
          <w:szCs w:val="20"/>
        </w:rPr>
        <w:t xml:space="preserve">J.J. Brucker, </w:t>
      </w:r>
      <w:r w:rsidRPr="00C42C3D">
        <w:rPr>
          <w:rFonts w:ascii="Times New Roman" w:eastAsia="Times New Roman" w:hAnsi="Times New Roman" w:cs="Times New Roman"/>
          <w:i/>
          <w:iCs/>
          <w:color w:val="222222"/>
          <w:sz w:val="20"/>
          <w:szCs w:val="20"/>
          <w:shd w:val="clear" w:color="auto" w:fill="FFFFFF"/>
        </w:rPr>
        <w:t>Historia critica philosophiae a mundi incalculabilis ad nostram usque aetatem deducta</w:t>
      </w:r>
      <w:r>
        <w:rPr>
          <w:rFonts w:ascii="Times New Roman" w:eastAsia="Times New Roman" w:hAnsi="Times New Roman" w:cs="Times New Roman"/>
          <w:iCs/>
          <w:color w:val="222222"/>
          <w:sz w:val="20"/>
          <w:szCs w:val="20"/>
          <w:shd w:val="clear" w:color="auto" w:fill="FFFFFF"/>
        </w:rPr>
        <w:t xml:space="preserve">, </w:t>
      </w:r>
      <w:r>
        <w:rPr>
          <w:rFonts w:ascii="Times New Roman" w:hAnsi="Times New Roman" w:cs="Times New Roman"/>
          <w:sz w:val="20"/>
          <w:szCs w:val="20"/>
        </w:rPr>
        <w:t>Vol. IV, Lipsia 1744, p. 4.</w:t>
      </w:r>
    </w:p>
  </w:footnote>
  <w:footnote w:id="580">
    <w:p w14:paraId="1A8B04AB" w14:textId="77777777" w:rsidR="00B34CC2" w:rsidRPr="00DE4B9F" w:rsidRDefault="00B34CC2" w:rsidP="00F721A9">
      <w:pPr>
        <w:pStyle w:val="Testonotaapidipagina"/>
        <w:jc w:val="both"/>
        <w:rPr>
          <w:rFonts w:ascii="Times New Roman" w:hAnsi="Times New Roman" w:cs="Times New Roman"/>
        </w:rPr>
      </w:pPr>
      <w:r w:rsidRPr="006F7CE7">
        <w:rPr>
          <w:rStyle w:val="Rimandonotaapidipagina"/>
          <w:rFonts w:ascii="Times New Roman" w:hAnsi="Times New Roman" w:cs="Times New Roman"/>
          <w:sz w:val="20"/>
          <w:szCs w:val="20"/>
        </w:rPr>
        <w:footnoteRef/>
      </w:r>
      <w:r w:rsidRPr="006F7CE7">
        <w:rPr>
          <w:rFonts w:ascii="Times New Roman" w:hAnsi="Times New Roman" w:cs="Times New Roman"/>
          <w:sz w:val="20"/>
          <w:szCs w:val="20"/>
        </w:rPr>
        <w:t xml:space="preserve"> J.J.</w:t>
      </w:r>
      <w:r>
        <w:rPr>
          <w:rFonts w:ascii="Times New Roman" w:hAnsi="Times New Roman" w:cs="Times New Roman"/>
          <w:sz w:val="20"/>
          <w:szCs w:val="20"/>
        </w:rPr>
        <w:t xml:space="preserve"> Brucker, </w:t>
      </w:r>
      <w:r w:rsidRPr="00C42C3D">
        <w:rPr>
          <w:rFonts w:ascii="Times New Roman" w:eastAsia="Times New Roman" w:hAnsi="Times New Roman" w:cs="Times New Roman"/>
          <w:i/>
          <w:iCs/>
          <w:color w:val="222222"/>
          <w:sz w:val="20"/>
          <w:szCs w:val="20"/>
          <w:shd w:val="clear" w:color="auto" w:fill="FFFFFF"/>
        </w:rPr>
        <w:t>Historia critica philosophiae</w:t>
      </w:r>
      <w:r w:rsidRPr="00DE4B9F">
        <w:rPr>
          <w:rFonts w:ascii="Times New Roman" w:eastAsia="Times New Roman" w:hAnsi="Times New Roman" w:cs="Times New Roman"/>
          <w:iCs/>
          <w:color w:val="222222"/>
          <w:sz w:val="20"/>
          <w:szCs w:val="20"/>
          <w:shd w:val="clear" w:color="auto" w:fill="FFFFFF"/>
        </w:rPr>
        <w:t>,</w:t>
      </w:r>
      <w:r>
        <w:rPr>
          <w:rFonts w:ascii="Times New Roman" w:eastAsia="Times New Roman" w:hAnsi="Times New Roman" w:cs="Times New Roman"/>
          <w:i/>
          <w:iCs/>
          <w:color w:val="222222"/>
          <w:sz w:val="20"/>
          <w:szCs w:val="20"/>
          <w:shd w:val="clear" w:color="auto" w:fill="FFFFFF"/>
        </w:rPr>
        <w:t xml:space="preserve"> </w:t>
      </w:r>
      <w:r>
        <w:rPr>
          <w:rFonts w:ascii="Times New Roman" w:hAnsi="Times New Roman" w:cs="Times New Roman"/>
          <w:sz w:val="20"/>
          <w:szCs w:val="20"/>
        </w:rPr>
        <w:t>Vol. I, cit., p. 44.</w:t>
      </w:r>
    </w:p>
  </w:footnote>
  <w:footnote w:id="581">
    <w:p w14:paraId="623ECC9E" w14:textId="77777777" w:rsidR="00B34CC2" w:rsidRPr="00460BCC" w:rsidRDefault="00B34CC2" w:rsidP="00F721A9">
      <w:pPr>
        <w:pStyle w:val="Testonotaapidipagina"/>
        <w:jc w:val="both"/>
        <w:rPr>
          <w:rFonts w:ascii="Times New Roman" w:hAnsi="Times New Roman" w:cs="Times New Roman"/>
          <w:sz w:val="20"/>
          <w:szCs w:val="20"/>
        </w:rPr>
      </w:pPr>
      <w:r w:rsidRPr="00460BCC">
        <w:rPr>
          <w:rStyle w:val="Rimandonotaapidipagina"/>
          <w:rFonts w:ascii="Times New Roman" w:hAnsi="Times New Roman" w:cs="Times New Roman"/>
          <w:sz w:val="20"/>
          <w:szCs w:val="20"/>
        </w:rPr>
        <w:footnoteRef/>
      </w:r>
      <w:r>
        <w:rPr>
          <w:rFonts w:ascii="Times New Roman" w:hAnsi="Times New Roman" w:cs="Times New Roman"/>
          <w:sz w:val="20"/>
          <w:szCs w:val="20"/>
        </w:rPr>
        <w:t xml:space="preserve"> </w:t>
      </w:r>
      <w:r w:rsidRPr="00B71CE3">
        <w:rPr>
          <w:rFonts w:ascii="Times New Roman" w:hAnsi="Times New Roman" w:cs="Times New Roman"/>
          <w:i/>
          <w:sz w:val="20"/>
          <w:szCs w:val="20"/>
        </w:rPr>
        <w:t>Ivi</w:t>
      </w:r>
      <w:r>
        <w:rPr>
          <w:rFonts w:ascii="Times New Roman" w:hAnsi="Times New Roman" w:cs="Times New Roman"/>
          <w:sz w:val="20"/>
          <w:szCs w:val="20"/>
        </w:rPr>
        <w:t>, p. 937.</w:t>
      </w:r>
    </w:p>
  </w:footnote>
  <w:footnote w:id="582">
    <w:p w14:paraId="1E3CA197" w14:textId="77777777" w:rsidR="00B34CC2" w:rsidRPr="00FA4C63" w:rsidRDefault="00B34CC2" w:rsidP="00F721A9">
      <w:pPr>
        <w:pStyle w:val="Testonotaapidipagina"/>
        <w:jc w:val="both"/>
        <w:rPr>
          <w:rFonts w:ascii="Times" w:hAnsi="Times"/>
          <w:sz w:val="20"/>
          <w:szCs w:val="20"/>
        </w:rPr>
      </w:pPr>
      <w:r w:rsidRPr="00FA4C63">
        <w:rPr>
          <w:rStyle w:val="Rimandonotaapidipagina"/>
          <w:rFonts w:ascii="Times" w:hAnsi="Times"/>
          <w:sz w:val="20"/>
          <w:szCs w:val="20"/>
        </w:rPr>
        <w:footnoteRef/>
      </w:r>
      <w:r w:rsidRPr="00FA4C63">
        <w:rPr>
          <w:rFonts w:ascii="Times" w:hAnsi="Times"/>
          <w:sz w:val="20"/>
          <w:szCs w:val="20"/>
        </w:rPr>
        <w:t xml:space="preserve"> </w:t>
      </w:r>
      <w:r w:rsidRPr="00FA4C63">
        <w:rPr>
          <w:rFonts w:ascii="Times" w:hAnsi="Times"/>
          <w:i/>
          <w:sz w:val="20"/>
          <w:szCs w:val="20"/>
        </w:rPr>
        <w:t>Ibidem</w:t>
      </w:r>
      <w:r w:rsidRPr="00FA4C63">
        <w:rPr>
          <w:rFonts w:ascii="Times" w:hAnsi="Times"/>
          <w:sz w:val="20"/>
          <w:szCs w:val="20"/>
        </w:rPr>
        <w:t>.</w:t>
      </w:r>
    </w:p>
  </w:footnote>
  <w:footnote w:id="583">
    <w:p w14:paraId="170FEFAE" w14:textId="77777777" w:rsidR="00B34CC2" w:rsidRPr="00657A0C" w:rsidRDefault="00B34CC2" w:rsidP="00F721A9">
      <w:pPr>
        <w:pStyle w:val="Testonotaapidipagina"/>
        <w:jc w:val="both"/>
        <w:rPr>
          <w:rFonts w:ascii="Times" w:hAnsi="Times"/>
          <w:sz w:val="20"/>
          <w:szCs w:val="20"/>
        </w:rPr>
      </w:pPr>
      <w:r w:rsidRPr="00657A0C">
        <w:rPr>
          <w:rStyle w:val="Rimandonotaapidipagina"/>
          <w:rFonts w:ascii="Times" w:hAnsi="Times"/>
          <w:sz w:val="20"/>
          <w:szCs w:val="20"/>
        </w:rPr>
        <w:footnoteRef/>
      </w:r>
      <w:r w:rsidRPr="00657A0C">
        <w:rPr>
          <w:rFonts w:ascii="Times" w:hAnsi="Times"/>
          <w:sz w:val="20"/>
          <w:szCs w:val="20"/>
        </w:rPr>
        <w:t xml:space="preserve"> </w:t>
      </w:r>
      <w:r>
        <w:rPr>
          <w:rFonts w:ascii="Times" w:hAnsi="Times"/>
          <w:i/>
          <w:sz w:val="20"/>
          <w:szCs w:val="20"/>
        </w:rPr>
        <w:t>Ivi</w:t>
      </w:r>
      <w:r>
        <w:rPr>
          <w:rFonts w:ascii="Times" w:hAnsi="Times"/>
          <w:sz w:val="20"/>
          <w:szCs w:val="20"/>
        </w:rPr>
        <w:t>, p. 960.</w:t>
      </w:r>
    </w:p>
  </w:footnote>
  <w:footnote w:id="584">
    <w:p w14:paraId="596AA72C" w14:textId="77777777" w:rsidR="00B34CC2" w:rsidRPr="002621F0" w:rsidRDefault="00B34CC2" w:rsidP="00F721A9">
      <w:pPr>
        <w:pStyle w:val="Testonotaapidipagina"/>
        <w:jc w:val="both"/>
        <w:rPr>
          <w:rFonts w:ascii="Times New Roman" w:hAnsi="Times New Roman" w:cs="Times New Roman"/>
          <w:sz w:val="20"/>
          <w:szCs w:val="20"/>
        </w:rPr>
      </w:pPr>
      <w:r w:rsidRPr="002621F0">
        <w:rPr>
          <w:rStyle w:val="Rimandonotaapidipagina"/>
          <w:rFonts w:ascii="Times New Roman" w:hAnsi="Times New Roman" w:cs="Times New Roman"/>
          <w:sz w:val="20"/>
          <w:szCs w:val="20"/>
        </w:rPr>
        <w:footnoteRef/>
      </w:r>
      <w:r w:rsidRPr="002621F0">
        <w:rPr>
          <w:rFonts w:ascii="Times New Roman" w:hAnsi="Times New Roman" w:cs="Times New Roman"/>
          <w:sz w:val="20"/>
          <w:szCs w:val="20"/>
        </w:rPr>
        <w:t xml:space="preserve"> </w:t>
      </w:r>
      <w:r w:rsidRPr="00FA4C63">
        <w:rPr>
          <w:rFonts w:ascii="Times" w:hAnsi="Times"/>
          <w:i/>
          <w:sz w:val="20"/>
          <w:szCs w:val="20"/>
        </w:rPr>
        <w:t>Ibidem</w:t>
      </w:r>
      <w:r w:rsidRPr="00FA4C63">
        <w:rPr>
          <w:rFonts w:ascii="Times" w:hAnsi="Times"/>
          <w:sz w:val="20"/>
          <w:szCs w:val="20"/>
        </w:rPr>
        <w:t>.</w:t>
      </w:r>
    </w:p>
  </w:footnote>
  <w:footnote w:id="585">
    <w:p w14:paraId="6B9C2F54" w14:textId="77777777" w:rsidR="00B34CC2" w:rsidRDefault="00B34CC2" w:rsidP="00F721A9">
      <w:pPr>
        <w:pStyle w:val="Testonotaapidipagina"/>
        <w:jc w:val="both"/>
      </w:pPr>
      <w:r w:rsidRPr="002621F0">
        <w:rPr>
          <w:rStyle w:val="Rimandonotaapidipagina"/>
          <w:rFonts w:ascii="Times New Roman" w:hAnsi="Times New Roman" w:cs="Times New Roman"/>
          <w:sz w:val="20"/>
          <w:szCs w:val="20"/>
        </w:rPr>
        <w:footnoteRef/>
      </w:r>
      <w:r>
        <w:t xml:space="preserve"> </w:t>
      </w:r>
      <w:r w:rsidRPr="00FA4C63">
        <w:rPr>
          <w:rFonts w:ascii="Times" w:hAnsi="Times"/>
          <w:i/>
          <w:sz w:val="20"/>
          <w:szCs w:val="20"/>
        </w:rPr>
        <w:t>Ibidem</w:t>
      </w:r>
      <w:r w:rsidRPr="00FA4C63">
        <w:rPr>
          <w:rFonts w:ascii="Times" w:hAnsi="Times"/>
          <w:sz w:val="20"/>
          <w:szCs w:val="20"/>
        </w:rPr>
        <w:t>.</w:t>
      </w:r>
    </w:p>
  </w:footnote>
  <w:footnote w:id="586">
    <w:p w14:paraId="61D09C61" w14:textId="77777777" w:rsidR="00B34CC2" w:rsidRPr="00DD3340" w:rsidRDefault="00B34CC2" w:rsidP="00F721A9">
      <w:pPr>
        <w:pStyle w:val="Testonotaapidipagina"/>
        <w:jc w:val="both"/>
        <w:rPr>
          <w:rFonts w:ascii="Times" w:hAnsi="Times"/>
          <w:sz w:val="20"/>
          <w:szCs w:val="20"/>
        </w:rPr>
      </w:pPr>
      <w:r w:rsidRPr="00DD3340">
        <w:rPr>
          <w:rStyle w:val="Rimandonotaapidipagina"/>
          <w:rFonts w:ascii="Times" w:hAnsi="Times"/>
          <w:sz w:val="20"/>
          <w:szCs w:val="20"/>
        </w:rPr>
        <w:footnoteRef/>
      </w:r>
      <w:r w:rsidRPr="00DD3340">
        <w:rPr>
          <w:rFonts w:ascii="Times" w:hAnsi="Times"/>
          <w:sz w:val="20"/>
          <w:szCs w:val="20"/>
        </w:rPr>
        <w:t xml:space="preserve"> </w:t>
      </w:r>
      <w:r>
        <w:rPr>
          <w:rFonts w:ascii="Times" w:hAnsi="Times"/>
          <w:sz w:val="20"/>
          <w:szCs w:val="20"/>
        </w:rPr>
        <w:t xml:space="preserve">Ivi, p. 961: </w:t>
      </w:r>
      <w:r w:rsidRPr="00AE1FAE">
        <w:rPr>
          <w:rFonts w:ascii="Times" w:hAnsi="Times"/>
          <w:sz w:val="20"/>
          <w:szCs w:val="20"/>
        </w:rPr>
        <w:t>«Hoc principium prima illius unius effigies est, et Eicton appellatur; Hoc principium virtus prima, maxima et summa post Deum est, Deique effigies; Adam Kadmon primogenitus Dei, et principiatum primum est, eius imago</w:t>
      </w:r>
      <w:r w:rsidRPr="00AE1FAE">
        <w:rPr>
          <w:rFonts w:ascii="Times New Roman" w:hAnsi="Times New Roman" w:cs="Times New Roman"/>
          <w:sz w:val="20"/>
          <w:szCs w:val="20"/>
        </w:rPr>
        <w:t>».</w:t>
      </w:r>
    </w:p>
  </w:footnote>
  <w:footnote w:id="587">
    <w:p w14:paraId="1B0C209D" w14:textId="77777777" w:rsidR="00B34CC2" w:rsidRPr="00BA13A9" w:rsidRDefault="00B34CC2" w:rsidP="00F721A9">
      <w:pPr>
        <w:pStyle w:val="Testonotaapidipagina"/>
        <w:jc w:val="both"/>
        <w:rPr>
          <w:rFonts w:ascii="Times New Roman" w:hAnsi="Times New Roman" w:cs="Times New Roman"/>
          <w:i/>
          <w:sz w:val="20"/>
          <w:szCs w:val="20"/>
        </w:rPr>
      </w:pPr>
      <w:r w:rsidRPr="00BA13A9">
        <w:rPr>
          <w:rStyle w:val="Rimandonotaapidipagina"/>
          <w:rFonts w:ascii="Times New Roman" w:hAnsi="Times New Roman" w:cs="Times New Roman"/>
          <w:sz w:val="20"/>
          <w:szCs w:val="20"/>
        </w:rPr>
        <w:footnoteRef/>
      </w:r>
      <w:r w:rsidRPr="00BA13A9">
        <w:rPr>
          <w:rFonts w:ascii="Times New Roman" w:hAnsi="Times New Roman" w:cs="Times New Roman"/>
          <w:sz w:val="20"/>
          <w:szCs w:val="20"/>
        </w:rPr>
        <w:t xml:space="preserve"> </w:t>
      </w:r>
      <w:r>
        <w:rPr>
          <w:rFonts w:ascii="Times New Roman" w:hAnsi="Times New Roman" w:cs="Times New Roman"/>
          <w:sz w:val="20"/>
          <w:szCs w:val="20"/>
        </w:rPr>
        <w:t xml:space="preserve">Come fonte di questo principio cabbalistico, Brucker rimanda a passi di Luria e di Abraham Cohen de Herrera: </w:t>
      </w:r>
      <w:r w:rsidRPr="00AE1FAE">
        <w:rPr>
          <w:rFonts w:ascii="Times New Roman" w:hAnsi="Times New Roman" w:cs="Times New Roman"/>
          <w:sz w:val="20"/>
          <w:szCs w:val="20"/>
        </w:rPr>
        <w:t xml:space="preserve">«Clarius tamen hanc caussam instrumentalem infiniti Dei primariam in condendis mundis expandendisque emanationibus suis depingunt Loriia et Irira, quorum hic tredecim argumentis fortissimis evincere conatus: Quod a principio primo immediate emanaverit principiatum unum tantum et perfectum. Accepisse hoc quoque Cabbalistae ex schola Alexandrina Platonicorum ad Orientalem philosophiam reformatorum, doctrina illorum de </w:t>
      </w:r>
      <w:r w:rsidRPr="00AE1FAE">
        <w:rPr>
          <w:rFonts w:ascii="Times New Roman" w:hAnsi="Times New Roman" w:cs="Times New Roman"/>
          <w:i/>
          <w:sz w:val="20"/>
          <w:szCs w:val="20"/>
        </w:rPr>
        <w:t>λóγω</w:t>
      </w:r>
      <w:r>
        <w:rPr>
          <w:rFonts w:ascii="Times New Roman" w:hAnsi="Times New Roman" w:cs="Times New Roman"/>
          <w:sz w:val="20"/>
          <w:szCs w:val="20"/>
        </w:rPr>
        <w:t xml:space="preserve"> ment</w:t>
      </w:r>
      <w:r w:rsidRPr="00AE1FAE">
        <w:rPr>
          <w:rFonts w:ascii="Times New Roman" w:hAnsi="Times New Roman" w:cs="Times New Roman"/>
          <w:sz w:val="20"/>
          <w:szCs w:val="20"/>
        </w:rPr>
        <w:t>e divina, ceterarum rerum omnium fonte, luculenter demonstravit» (Ivi, p. 992).</w:t>
      </w:r>
    </w:p>
  </w:footnote>
  <w:footnote w:id="588">
    <w:p w14:paraId="3B4BE5AD" w14:textId="77777777" w:rsidR="00B34CC2" w:rsidRPr="002D3269" w:rsidRDefault="00B34CC2" w:rsidP="00F721A9">
      <w:pPr>
        <w:pStyle w:val="Testonotaapidipagina"/>
        <w:jc w:val="both"/>
        <w:rPr>
          <w:rFonts w:ascii="Times" w:hAnsi="Times"/>
          <w:sz w:val="20"/>
          <w:szCs w:val="20"/>
        </w:rPr>
      </w:pPr>
      <w:r w:rsidRPr="002D3269">
        <w:rPr>
          <w:rStyle w:val="Rimandonotaapidipagina"/>
          <w:rFonts w:ascii="Times" w:hAnsi="Times"/>
          <w:sz w:val="20"/>
          <w:szCs w:val="20"/>
        </w:rPr>
        <w:footnoteRef/>
      </w:r>
      <w:r w:rsidRPr="002D3269">
        <w:rPr>
          <w:rFonts w:ascii="Times" w:hAnsi="Times"/>
          <w:sz w:val="20"/>
          <w:szCs w:val="20"/>
        </w:rPr>
        <w:t xml:space="preserve"> </w:t>
      </w:r>
      <w:r>
        <w:rPr>
          <w:rFonts w:ascii="Times" w:hAnsi="Times"/>
          <w:i/>
          <w:sz w:val="20"/>
          <w:szCs w:val="20"/>
        </w:rPr>
        <w:t>Ivi</w:t>
      </w:r>
      <w:r>
        <w:rPr>
          <w:rFonts w:ascii="Times" w:hAnsi="Times"/>
          <w:sz w:val="20"/>
          <w:szCs w:val="20"/>
        </w:rPr>
        <w:t>, p. 963.</w:t>
      </w:r>
    </w:p>
  </w:footnote>
  <w:footnote w:id="589">
    <w:p w14:paraId="69B6F1FD" w14:textId="77777777" w:rsidR="00B34CC2" w:rsidRPr="00243DEA" w:rsidRDefault="00B34CC2" w:rsidP="00F721A9">
      <w:pPr>
        <w:pStyle w:val="Testonotaapidipagina"/>
        <w:jc w:val="both"/>
        <w:rPr>
          <w:rFonts w:ascii="Times New Roman" w:hAnsi="Times New Roman" w:cs="Times New Roman"/>
          <w:sz w:val="20"/>
          <w:szCs w:val="20"/>
        </w:rPr>
      </w:pPr>
      <w:r w:rsidRPr="00243DEA">
        <w:rPr>
          <w:rStyle w:val="Rimandonotaapidipagina"/>
          <w:rFonts w:ascii="Times New Roman" w:hAnsi="Times New Roman" w:cs="Times New Roman"/>
          <w:sz w:val="20"/>
          <w:szCs w:val="20"/>
        </w:rPr>
        <w:footnoteRef/>
      </w:r>
      <w:r w:rsidRPr="00243DEA">
        <w:rPr>
          <w:rFonts w:ascii="Times New Roman" w:hAnsi="Times New Roman" w:cs="Times New Roman"/>
          <w:sz w:val="20"/>
          <w:szCs w:val="20"/>
        </w:rPr>
        <w:t xml:space="preserve"> </w:t>
      </w:r>
      <w:r>
        <w:rPr>
          <w:rFonts w:ascii="Times New Roman" w:hAnsi="Times New Roman" w:cs="Times New Roman"/>
          <w:sz w:val="20"/>
          <w:szCs w:val="20"/>
        </w:rPr>
        <w:t>Ivi, pp. 980-981.</w:t>
      </w:r>
    </w:p>
  </w:footnote>
  <w:footnote w:id="590">
    <w:p w14:paraId="2A6E7671" w14:textId="77777777" w:rsidR="00B34CC2" w:rsidRPr="000732BA" w:rsidRDefault="00B34CC2" w:rsidP="00F721A9">
      <w:pPr>
        <w:pStyle w:val="Testonotaapidipagina"/>
        <w:jc w:val="both"/>
        <w:rPr>
          <w:rFonts w:ascii="Times New Roman" w:hAnsi="Times New Roman" w:cs="Times New Roman"/>
          <w:sz w:val="20"/>
          <w:szCs w:val="20"/>
        </w:rPr>
      </w:pPr>
      <w:r w:rsidRPr="000732BA">
        <w:rPr>
          <w:rStyle w:val="Rimandonotaapidipagina"/>
          <w:rFonts w:ascii="Times New Roman" w:hAnsi="Times New Roman" w:cs="Times New Roman"/>
          <w:sz w:val="20"/>
          <w:szCs w:val="20"/>
        </w:rPr>
        <w:footnoteRef/>
      </w:r>
      <w:r w:rsidRPr="000732BA">
        <w:rPr>
          <w:rFonts w:ascii="Times New Roman" w:hAnsi="Times New Roman" w:cs="Times New Roman"/>
          <w:sz w:val="20"/>
          <w:szCs w:val="20"/>
        </w:rPr>
        <w:t xml:space="preserve"> </w:t>
      </w:r>
      <w:r w:rsidRPr="000732BA">
        <w:rPr>
          <w:rFonts w:ascii="Times New Roman" w:hAnsi="Times New Roman" w:cs="Times New Roman"/>
          <w:i/>
          <w:sz w:val="20"/>
          <w:szCs w:val="20"/>
        </w:rPr>
        <w:t>Ivi</w:t>
      </w:r>
      <w:r>
        <w:rPr>
          <w:rFonts w:ascii="Times New Roman" w:hAnsi="Times New Roman" w:cs="Times New Roman"/>
          <w:sz w:val="20"/>
          <w:szCs w:val="20"/>
        </w:rPr>
        <w:t>, p. 980.</w:t>
      </w:r>
    </w:p>
  </w:footnote>
  <w:footnote w:id="591">
    <w:p w14:paraId="6AC2865E" w14:textId="77777777" w:rsidR="00B34CC2" w:rsidRPr="00243DEA" w:rsidRDefault="00B34CC2" w:rsidP="00F721A9">
      <w:pPr>
        <w:pStyle w:val="Testonotaapidipagina"/>
        <w:jc w:val="both"/>
        <w:rPr>
          <w:rFonts w:ascii="Times New Roman" w:hAnsi="Times New Roman" w:cs="Times New Roman"/>
          <w:sz w:val="20"/>
          <w:szCs w:val="20"/>
        </w:rPr>
      </w:pPr>
      <w:r w:rsidRPr="00396FAA">
        <w:rPr>
          <w:rStyle w:val="Rimandonotaapidipagina"/>
          <w:rFonts w:ascii="Times New Roman" w:hAnsi="Times New Roman" w:cs="Times New Roman"/>
          <w:sz w:val="20"/>
          <w:szCs w:val="20"/>
        </w:rPr>
        <w:footnoteRef/>
      </w:r>
      <w:r w:rsidRPr="00396FAA">
        <w:rPr>
          <w:rFonts w:ascii="Times New Roman" w:hAnsi="Times New Roman" w:cs="Times New Roman"/>
          <w:sz w:val="20"/>
          <w:szCs w:val="20"/>
        </w:rPr>
        <w:t xml:space="preserve"> </w:t>
      </w:r>
      <w:r w:rsidRPr="00396FAA">
        <w:rPr>
          <w:rFonts w:ascii="Times New Roman" w:hAnsi="Times New Roman" w:cs="Times New Roman"/>
          <w:i/>
          <w:sz w:val="20"/>
          <w:szCs w:val="20"/>
        </w:rPr>
        <w:t>Ivi</w:t>
      </w:r>
      <w:r w:rsidRPr="00396FAA">
        <w:rPr>
          <w:rFonts w:ascii="Times New Roman" w:hAnsi="Times New Roman" w:cs="Times New Roman"/>
          <w:sz w:val="20"/>
          <w:szCs w:val="20"/>
        </w:rPr>
        <w:t>, p. 980: «Quo duo viri, cum primi fuerint, qui Cabbalisticae philosophiae systema ex confusione Iudaeorum in ordinem redigere et ex tenebris in lucem pertrahere conati sunt, omnino attentionem merentur». L’altro studioso, a cui Brucker si riferisce, è «illustis Knorrius» (</w:t>
      </w:r>
      <w:r w:rsidRPr="00396FAA">
        <w:rPr>
          <w:rFonts w:ascii="Times New Roman" w:hAnsi="Times New Roman" w:cs="Times New Roman"/>
          <w:i/>
          <w:sz w:val="20"/>
          <w:szCs w:val="20"/>
        </w:rPr>
        <w:t>Ibidem</w:t>
      </w:r>
      <w:r w:rsidRPr="00396FAA">
        <w:rPr>
          <w:rFonts w:ascii="Times New Roman" w:hAnsi="Times New Roman" w:cs="Times New Roman"/>
          <w:sz w:val="20"/>
          <w:szCs w:val="20"/>
        </w:rPr>
        <w:t xml:space="preserve">), che con la sua </w:t>
      </w:r>
      <w:r w:rsidRPr="00396FAA">
        <w:rPr>
          <w:rFonts w:ascii="Times New Roman" w:hAnsi="Times New Roman" w:cs="Times New Roman"/>
          <w:i/>
          <w:sz w:val="20"/>
          <w:szCs w:val="20"/>
        </w:rPr>
        <w:t>Kabbala denudata</w:t>
      </w:r>
      <w:r w:rsidRPr="00396FAA">
        <w:rPr>
          <w:rFonts w:ascii="Times New Roman" w:hAnsi="Times New Roman" w:cs="Times New Roman"/>
          <w:sz w:val="20"/>
          <w:szCs w:val="20"/>
        </w:rPr>
        <w:t xml:space="preserve"> ha offerto non soltanto delle traduzioni latine di principali testi della tradizione ebraica, ma ha anche sistematizzato il </w:t>
      </w:r>
      <w:r w:rsidRPr="00396FAA">
        <w:rPr>
          <w:rFonts w:ascii="Times New Roman" w:hAnsi="Times New Roman" w:cs="Times New Roman"/>
          <w:i/>
          <w:sz w:val="20"/>
          <w:szCs w:val="20"/>
        </w:rPr>
        <w:t>mare magnum</w:t>
      </w:r>
      <w:r w:rsidRPr="00396FAA">
        <w:rPr>
          <w:rFonts w:ascii="Times New Roman" w:hAnsi="Times New Roman" w:cs="Times New Roman"/>
          <w:sz w:val="20"/>
          <w:szCs w:val="20"/>
        </w:rPr>
        <w:t xml:space="preserve"> cabbalistico.</w:t>
      </w:r>
    </w:p>
  </w:footnote>
  <w:footnote w:id="592">
    <w:p w14:paraId="43A9C2A1" w14:textId="77777777" w:rsidR="00B34CC2" w:rsidRPr="00483B8E" w:rsidRDefault="00B34CC2" w:rsidP="00F721A9">
      <w:pPr>
        <w:pStyle w:val="Testonotaapidipagina"/>
        <w:jc w:val="both"/>
        <w:rPr>
          <w:rFonts w:ascii="Times New Roman" w:hAnsi="Times New Roman" w:cs="Times New Roman"/>
          <w:sz w:val="20"/>
          <w:szCs w:val="20"/>
        </w:rPr>
      </w:pPr>
      <w:r w:rsidRPr="00483B8E">
        <w:rPr>
          <w:rStyle w:val="Rimandonotaapidipagina"/>
          <w:rFonts w:ascii="Times New Roman" w:hAnsi="Times New Roman" w:cs="Times New Roman"/>
          <w:sz w:val="20"/>
          <w:szCs w:val="20"/>
        </w:rPr>
        <w:footnoteRef/>
      </w:r>
      <w:r w:rsidRPr="00483B8E">
        <w:rPr>
          <w:rFonts w:ascii="Times New Roman" w:hAnsi="Times New Roman" w:cs="Times New Roman"/>
          <w:sz w:val="20"/>
          <w:szCs w:val="20"/>
        </w:rPr>
        <w:t xml:space="preserve"> </w:t>
      </w:r>
      <w:r w:rsidRPr="00483B8E">
        <w:rPr>
          <w:rFonts w:ascii="Times New Roman" w:hAnsi="Times New Roman" w:cs="Times New Roman"/>
          <w:i/>
          <w:sz w:val="20"/>
          <w:szCs w:val="20"/>
        </w:rPr>
        <w:t>Ivi</w:t>
      </w:r>
      <w:r w:rsidRPr="00483B8E">
        <w:rPr>
          <w:rFonts w:ascii="Times New Roman" w:hAnsi="Times New Roman" w:cs="Times New Roman"/>
          <w:sz w:val="20"/>
          <w:szCs w:val="20"/>
        </w:rPr>
        <w:t>, p. 695.</w:t>
      </w:r>
    </w:p>
  </w:footnote>
  <w:footnote w:id="593">
    <w:p w14:paraId="629C6557" w14:textId="77777777" w:rsidR="00B34CC2" w:rsidRPr="001E588E" w:rsidRDefault="00B34CC2" w:rsidP="00F721A9">
      <w:pPr>
        <w:pStyle w:val="Testonotaapidipagina"/>
        <w:jc w:val="both"/>
        <w:rPr>
          <w:rFonts w:ascii="Times New Roman" w:hAnsi="Times New Roman" w:cs="Times New Roman"/>
          <w:sz w:val="20"/>
          <w:szCs w:val="20"/>
        </w:rPr>
      </w:pPr>
      <w:r w:rsidRPr="00475772">
        <w:rPr>
          <w:rStyle w:val="Rimandonotaapidipagina"/>
          <w:rFonts w:ascii="Times New Roman" w:hAnsi="Times New Roman" w:cs="Times New Roman"/>
          <w:sz w:val="20"/>
          <w:szCs w:val="20"/>
        </w:rPr>
        <w:footnoteRef/>
      </w:r>
      <w:r w:rsidRPr="00475772">
        <w:rPr>
          <w:rFonts w:ascii="Times New Roman" w:hAnsi="Times New Roman" w:cs="Times New Roman"/>
          <w:sz w:val="20"/>
          <w:szCs w:val="20"/>
        </w:rPr>
        <w:t xml:space="preserve"> </w:t>
      </w:r>
      <w:r>
        <w:rPr>
          <w:rFonts w:ascii="Times New Roman" w:hAnsi="Times New Roman" w:cs="Times New Roman"/>
          <w:sz w:val="20"/>
          <w:szCs w:val="20"/>
        </w:rPr>
        <w:t>Sulla differenza fra infinito e finito, sostanza e modo, Brucker cita quel passo dell’</w:t>
      </w:r>
      <w:r w:rsidRPr="001A5AB7">
        <w:rPr>
          <w:rFonts w:ascii="Times New Roman" w:hAnsi="Times New Roman" w:cs="Times New Roman"/>
          <w:i/>
          <w:sz w:val="20"/>
          <w:szCs w:val="20"/>
        </w:rPr>
        <w:t xml:space="preserve">Elucidarius Cabalisticus </w:t>
      </w:r>
      <w:r w:rsidRPr="001A5AB7">
        <w:rPr>
          <w:rFonts w:ascii="Times New Roman" w:hAnsi="Times New Roman" w:cs="Times New Roman"/>
          <w:sz w:val="20"/>
          <w:szCs w:val="20"/>
        </w:rPr>
        <w:t>in</w:t>
      </w:r>
      <w:r w:rsidRPr="001A5AB7">
        <w:rPr>
          <w:rFonts w:ascii="Times New Roman" w:hAnsi="Times New Roman" w:cs="Times New Roman"/>
          <w:i/>
          <w:sz w:val="20"/>
          <w:szCs w:val="20"/>
        </w:rPr>
        <w:t xml:space="preserve"> </w:t>
      </w:r>
      <w:r>
        <w:rPr>
          <w:rFonts w:ascii="Times New Roman" w:hAnsi="Times New Roman" w:cs="Times New Roman"/>
          <w:sz w:val="20"/>
          <w:szCs w:val="20"/>
        </w:rPr>
        <w:t xml:space="preserve">cui Wachter sottolinea la differenza fra </w:t>
      </w:r>
      <w:r w:rsidRPr="001A5AB7">
        <w:rPr>
          <w:rFonts w:ascii="Times New Roman" w:hAnsi="Times New Roman" w:cs="Times New Roman"/>
          <w:i/>
          <w:sz w:val="20"/>
          <w:szCs w:val="20"/>
        </w:rPr>
        <w:t>natura naturans</w:t>
      </w:r>
      <w:r>
        <w:rPr>
          <w:rFonts w:ascii="Times New Roman" w:hAnsi="Times New Roman" w:cs="Times New Roman"/>
          <w:sz w:val="20"/>
          <w:szCs w:val="20"/>
        </w:rPr>
        <w:t xml:space="preserve"> e </w:t>
      </w:r>
      <w:r w:rsidRPr="001A5AB7">
        <w:rPr>
          <w:rFonts w:ascii="Times New Roman" w:hAnsi="Times New Roman" w:cs="Times New Roman"/>
          <w:i/>
          <w:sz w:val="20"/>
          <w:szCs w:val="20"/>
        </w:rPr>
        <w:t>naturata</w:t>
      </w:r>
      <w:r>
        <w:rPr>
          <w:rFonts w:ascii="Times New Roman" w:hAnsi="Times New Roman" w:cs="Times New Roman"/>
          <w:sz w:val="20"/>
          <w:szCs w:val="20"/>
        </w:rPr>
        <w:t xml:space="preserve">. Cfr. Ivi, p. 1055: </w:t>
      </w:r>
      <w:r w:rsidRPr="00EE6821">
        <w:rPr>
          <w:rFonts w:ascii="Times New Roman" w:hAnsi="Times New Roman" w:cs="Times New Roman"/>
          <w:sz w:val="20"/>
          <w:szCs w:val="20"/>
        </w:rPr>
        <w:t>«Aliter tamen pro Cabbalistis et Spinoza mutata sententia sua pronuntiavit Cel. Wachterus. Is einim non negavit quidem, inter Spinozam et Cabbalistas intercedere concordiam, sed hanc potissimum cum Cabbalisitis hypothesin de rerum omnium ortu ex Deo adornavisse ex ordine philosophandi, ex definitione Dei, ex supposito infinito rerum omnium principio, ex negata creatione materiae, eiusque existentia sublata, ex admissa spiritualitate rerum omnium […] negat autem Spinozam Deum et naturam confundere, eo quod distinguat inter naturam naturantem ed naturatam, et eos oppugnet, qui naturam Dei ad essentiam rerum creatarum spectare […] quod Deus et natura nequaquam unum idemque sint, neget etiam, Deum esse effectum naturalium caussam immediatam».</w:t>
      </w:r>
    </w:p>
  </w:footnote>
  <w:footnote w:id="594">
    <w:p w14:paraId="24E8A60E" w14:textId="77777777" w:rsidR="00B34CC2" w:rsidRPr="00D65F75" w:rsidRDefault="00B34CC2" w:rsidP="00F721A9">
      <w:pPr>
        <w:pStyle w:val="Testonotaapidipagina"/>
        <w:jc w:val="both"/>
        <w:rPr>
          <w:rFonts w:ascii="Times New Roman" w:hAnsi="Times New Roman" w:cs="Times New Roman"/>
          <w:sz w:val="20"/>
          <w:szCs w:val="20"/>
        </w:rPr>
      </w:pPr>
      <w:r w:rsidRPr="00D65F75">
        <w:rPr>
          <w:rStyle w:val="Rimandonotaapidipagina"/>
          <w:rFonts w:ascii="Times New Roman" w:hAnsi="Times New Roman" w:cs="Times New Roman"/>
          <w:sz w:val="20"/>
          <w:szCs w:val="20"/>
        </w:rPr>
        <w:footnoteRef/>
      </w:r>
      <w:r w:rsidRPr="00D65F75">
        <w:rPr>
          <w:rFonts w:ascii="Times New Roman" w:hAnsi="Times New Roman" w:cs="Times New Roman"/>
          <w:sz w:val="20"/>
          <w:szCs w:val="20"/>
        </w:rPr>
        <w:t xml:space="preserve"> </w:t>
      </w:r>
      <w:r w:rsidRPr="00D65F75">
        <w:rPr>
          <w:rFonts w:ascii="Times New Roman" w:hAnsi="Times New Roman" w:cs="Times New Roman"/>
          <w:i/>
          <w:sz w:val="20"/>
          <w:szCs w:val="20"/>
        </w:rPr>
        <w:t>Ivi</w:t>
      </w:r>
      <w:r>
        <w:rPr>
          <w:rFonts w:ascii="Times New Roman" w:hAnsi="Times New Roman" w:cs="Times New Roman"/>
          <w:sz w:val="20"/>
          <w:szCs w:val="20"/>
        </w:rPr>
        <w:t>, p. 1068.</w:t>
      </w:r>
    </w:p>
  </w:footnote>
  <w:footnote w:id="595">
    <w:p w14:paraId="0C372CB3" w14:textId="77777777" w:rsidR="00B34CC2" w:rsidRPr="00741CDC" w:rsidRDefault="00B34CC2" w:rsidP="00F721A9">
      <w:pPr>
        <w:pStyle w:val="Testonotaapidipagina"/>
        <w:jc w:val="both"/>
        <w:rPr>
          <w:rFonts w:ascii="Times New Roman" w:hAnsi="Times New Roman" w:cs="Times New Roman"/>
          <w:sz w:val="20"/>
          <w:szCs w:val="20"/>
        </w:rPr>
      </w:pPr>
      <w:r w:rsidRPr="00741CDC">
        <w:rPr>
          <w:rStyle w:val="Rimandonotaapidipagina"/>
          <w:rFonts w:ascii="Times New Roman" w:hAnsi="Times New Roman" w:cs="Times New Roman"/>
          <w:sz w:val="20"/>
          <w:szCs w:val="20"/>
        </w:rPr>
        <w:footnoteRef/>
      </w:r>
      <w:r w:rsidRPr="00741CDC">
        <w:rPr>
          <w:rFonts w:ascii="Times New Roman" w:hAnsi="Times New Roman" w:cs="Times New Roman"/>
          <w:sz w:val="20"/>
          <w:szCs w:val="20"/>
        </w:rPr>
        <w:t xml:space="preserve"> </w:t>
      </w:r>
      <w:r>
        <w:rPr>
          <w:rFonts w:ascii="Times New Roman" w:hAnsi="Times New Roman" w:cs="Times New Roman"/>
          <w:i/>
          <w:sz w:val="20"/>
          <w:szCs w:val="20"/>
        </w:rPr>
        <w:t>Ibidem</w:t>
      </w:r>
      <w:r>
        <w:rPr>
          <w:rFonts w:ascii="Times New Roman" w:hAnsi="Times New Roman" w:cs="Times New Roman"/>
          <w:sz w:val="20"/>
          <w:szCs w:val="20"/>
        </w:rPr>
        <w:t>.</w:t>
      </w:r>
    </w:p>
  </w:footnote>
  <w:footnote w:id="596">
    <w:p w14:paraId="3BBA78B0" w14:textId="77777777" w:rsidR="00B34CC2" w:rsidRPr="000E3F7A" w:rsidRDefault="00B34CC2" w:rsidP="00F721A9">
      <w:pPr>
        <w:pStyle w:val="Testonotaapidipagina"/>
        <w:jc w:val="both"/>
        <w:rPr>
          <w:rFonts w:ascii="Times New Roman" w:hAnsi="Times New Roman" w:cs="Times New Roman"/>
          <w:sz w:val="20"/>
          <w:szCs w:val="20"/>
        </w:rPr>
      </w:pPr>
      <w:r w:rsidRPr="000E3F7A">
        <w:rPr>
          <w:rStyle w:val="Rimandonotaapidipagina"/>
          <w:rFonts w:ascii="Times New Roman" w:hAnsi="Times New Roman" w:cs="Times New Roman"/>
          <w:sz w:val="20"/>
          <w:szCs w:val="20"/>
        </w:rPr>
        <w:footnoteRef/>
      </w:r>
      <w:r w:rsidRPr="000E3F7A">
        <w:rPr>
          <w:rFonts w:ascii="Times New Roman" w:hAnsi="Times New Roman" w:cs="Times New Roman"/>
          <w:sz w:val="20"/>
          <w:szCs w:val="20"/>
        </w:rPr>
        <w:t xml:space="preserve"> J.J. Brucker, </w:t>
      </w:r>
      <w:r w:rsidRPr="000E3F7A">
        <w:rPr>
          <w:rFonts w:ascii="Times New Roman" w:hAnsi="Times New Roman" w:cs="Times New Roman"/>
          <w:i/>
          <w:sz w:val="20"/>
          <w:szCs w:val="20"/>
        </w:rPr>
        <w:t>Historia critica philosophiae</w:t>
      </w:r>
      <w:r w:rsidRPr="000E3F7A">
        <w:rPr>
          <w:rFonts w:ascii="Times New Roman" w:hAnsi="Times New Roman" w:cs="Times New Roman"/>
          <w:sz w:val="20"/>
          <w:szCs w:val="20"/>
        </w:rPr>
        <w:t>, Vol. IV, cit., p. 695.</w:t>
      </w:r>
    </w:p>
  </w:footnote>
  <w:footnote w:id="597">
    <w:p w14:paraId="7BB4D179" w14:textId="77777777" w:rsidR="00B34CC2" w:rsidRPr="00F757B7" w:rsidRDefault="00B34CC2" w:rsidP="00F721A9">
      <w:pPr>
        <w:pStyle w:val="Testonotaapidipagina"/>
        <w:jc w:val="both"/>
        <w:rPr>
          <w:rFonts w:ascii="Times New Roman" w:hAnsi="Times New Roman" w:cs="Times New Roman"/>
          <w:sz w:val="20"/>
          <w:szCs w:val="20"/>
        </w:rPr>
      </w:pPr>
      <w:r w:rsidRPr="00F93E91">
        <w:rPr>
          <w:rStyle w:val="Rimandonotaapidipagina"/>
          <w:rFonts w:ascii="Times New Roman" w:hAnsi="Times New Roman" w:cs="Times New Roman"/>
          <w:sz w:val="20"/>
          <w:szCs w:val="20"/>
        </w:rPr>
        <w:footnoteRef/>
      </w:r>
      <w:r w:rsidRPr="00F93E91">
        <w:rPr>
          <w:rFonts w:ascii="Times New Roman" w:hAnsi="Times New Roman" w:cs="Times New Roman"/>
          <w:sz w:val="20"/>
          <w:szCs w:val="20"/>
        </w:rPr>
        <w:t xml:space="preserve"> </w:t>
      </w:r>
      <w:r>
        <w:rPr>
          <w:rFonts w:ascii="Times New Roman" w:hAnsi="Times New Roman" w:cs="Times New Roman"/>
          <w:i/>
          <w:sz w:val="20"/>
          <w:szCs w:val="20"/>
        </w:rPr>
        <w:t>Ivi</w:t>
      </w:r>
      <w:r>
        <w:rPr>
          <w:rFonts w:ascii="Times New Roman" w:hAnsi="Times New Roman" w:cs="Times New Roman"/>
          <w:sz w:val="20"/>
          <w:szCs w:val="20"/>
        </w:rPr>
        <w:t xml:space="preserve">, p. 694: </w:t>
      </w:r>
      <w:r w:rsidRPr="00F757B7">
        <w:rPr>
          <w:rFonts w:ascii="Times New Roman" w:hAnsi="Times New Roman" w:cs="Times New Roman"/>
          <w:sz w:val="20"/>
          <w:szCs w:val="20"/>
        </w:rPr>
        <w:t>«Nec minori contradictionis absurditate laborare, quod in immutabili et necessaria substantia infinitae mutationes sibi succedentes ponantur, quodque, cum infinitae res in mundo sint, quae mutuo evertunt, contradictori simul in uno subiecto consistere posse affirmetur, et infinita substantia una ex finitis modis istis sive partibus finitis constare supponatur».</w:t>
      </w:r>
    </w:p>
  </w:footnote>
  <w:footnote w:id="598">
    <w:p w14:paraId="62D5117B" w14:textId="77777777" w:rsidR="00B34CC2" w:rsidRPr="00831F38" w:rsidRDefault="00B34CC2" w:rsidP="00F721A9">
      <w:pPr>
        <w:pStyle w:val="Testonotaapidipagina"/>
        <w:jc w:val="both"/>
      </w:pPr>
      <w:r w:rsidRPr="00831F38">
        <w:rPr>
          <w:rStyle w:val="Rimandonotaapidipagina"/>
          <w:rFonts w:ascii="Times New Roman" w:hAnsi="Times New Roman" w:cs="Times New Roman"/>
          <w:sz w:val="20"/>
          <w:szCs w:val="20"/>
        </w:rPr>
        <w:footnoteRef/>
      </w:r>
      <w:r w:rsidRPr="00831F38">
        <w:rPr>
          <w:rFonts w:ascii="Times New Roman" w:hAnsi="Times New Roman" w:cs="Times New Roman"/>
          <w:sz w:val="20"/>
          <w:szCs w:val="20"/>
        </w:rPr>
        <w:t xml:space="preserve"> F. H. </w:t>
      </w:r>
      <w:r w:rsidRPr="00831F38">
        <w:rPr>
          <w:rFonts w:ascii="Times New Roman" w:hAnsi="Times New Roman" w:cs="Times New Roman"/>
          <w:i/>
          <w:sz w:val="20"/>
          <w:szCs w:val="20"/>
        </w:rPr>
        <w:t>Jacobi, Schriften zum Spinozastreit</w:t>
      </w:r>
      <w:r>
        <w:rPr>
          <w:rFonts w:ascii="Times New Roman" w:hAnsi="Times New Roman" w:cs="Times New Roman"/>
          <w:sz w:val="20"/>
          <w:szCs w:val="20"/>
        </w:rPr>
        <w:t>, cit., p</w:t>
      </w:r>
      <w:r w:rsidRPr="00831F38">
        <w:rPr>
          <w:rFonts w:ascii="Times New Roman" w:hAnsi="Times New Roman" w:cs="Times New Roman"/>
          <w:sz w:val="20"/>
          <w:szCs w:val="20"/>
        </w:rPr>
        <w:t>.</w:t>
      </w:r>
      <w:r>
        <w:rPr>
          <w:rFonts w:ascii="Times New Roman" w:hAnsi="Times New Roman" w:cs="Times New Roman"/>
          <w:sz w:val="20"/>
          <w:szCs w:val="20"/>
        </w:rPr>
        <w:t xml:space="preserve"> 16</w:t>
      </w:r>
      <w:r w:rsidRPr="00831F38">
        <w:rPr>
          <w:rFonts w:ascii="Times New Roman" w:hAnsi="Times New Roman" w:cs="Times New Roman"/>
          <w:sz w:val="20"/>
          <w:szCs w:val="20"/>
        </w:rPr>
        <w:t>.</w:t>
      </w:r>
    </w:p>
  </w:footnote>
  <w:footnote w:id="599">
    <w:p w14:paraId="230C85B6" w14:textId="77777777" w:rsidR="00B34CC2" w:rsidRPr="00B550EF" w:rsidRDefault="00B34CC2" w:rsidP="00F721A9">
      <w:pPr>
        <w:pStyle w:val="Testonotaapidipagina"/>
        <w:jc w:val="both"/>
        <w:rPr>
          <w:rFonts w:ascii="Times New Roman" w:hAnsi="Times New Roman" w:cs="Times New Roman"/>
          <w:sz w:val="20"/>
          <w:szCs w:val="20"/>
        </w:rPr>
      </w:pPr>
      <w:r w:rsidRPr="00831F38">
        <w:rPr>
          <w:rStyle w:val="Rimandonotaapidipagina"/>
          <w:rFonts w:ascii="Times New Roman" w:hAnsi="Times New Roman" w:cs="Times New Roman"/>
          <w:sz w:val="20"/>
          <w:szCs w:val="20"/>
        </w:rPr>
        <w:footnoteRef/>
      </w:r>
      <w:r w:rsidRPr="00831F38">
        <w:rPr>
          <w:rFonts w:ascii="Times New Roman" w:hAnsi="Times New Roman" w:cs="Times New Roman"/>
          <w:sz w:val="20"/>
          <w:szCs w:val="20"/>
        </w:rPr>
        <w:t xml:space="preserve"> </w:t>
      </w:r>
      <w:r w:rsidRPr="00831F38">
        <w:rPr>
          <w:rFonts w:ascii="Times New Roman" w:hAnsi="Times New Roman" w:cs="Times New Roman"/>
          <w:i/>
          <w:sz w:val="20"/>
          <w:szCs w:val="20"/>
        </w:rPr>
        <w:t>Ivi</w:t>
      </w:r>
      <w:r>
        <w:rPr>
          <w:rFonts w:ascii="Times New Roman" w:hAnsi="Times New Roman" w:cs="Times New Roman"/>
          <w:sz w:val="20"/>
          <w:szCs w:val="20"/>
        </w:rPr>
        <w:t>, pp</w:t>
      </w:r>
      <w:r w:rsidRPr="00831F38">
        <w:rPr>
          <w:rFonts w:ascii="Times New Roman" w:hAnsi="Times New Roman" w:cs="Times New Roman"/>
          <w:sz w:val="20"/>
          <w:szCs w:val="20"/>
        </w:rPr>
        <w:t>.</w:t>
      </w:r>
      <w:r>
        <w:rPr>
          <w:rFonts w:ascii="Times New Roman" w:hAnsi="Times New Roman" w:cs="Times New Roman"/>
          <w:sz w:val="20"/>
          <w:szCs w:val="20"/>
        </w:rPr>
        <w:t xml:space="preserve"> 16-17.</w:t>
      </w:r>
    </w:p>
  </w:footnote>
  <w:footnote w:id="600">
    <w:p w14:paraId="32724B6B" w14:textId="77777777" w:rsidR="00B34CC2" w:rsidRPr="003300B3" w:rsidRDefault="00B34CC2" w:rsidP="00F721A9">
      <w:pPr>
        <w:pStyle w:val="Testonotaapidipagina"/>
        <w:jc w:val="both"/>
        <w:rPr>
          <w:rFonts w:ascii="Times New Roman" w:hAnsi="Times New Roman" w:cs="Times New Roman"/>
          <w:sz w:val="20"/>
          <w:szCs w:val="20"/>
        </w:rPr>
      </w:pPr>
      <w:r w:rsidRPr="003300B3">
        <w:rPr>
          <w:rStyle w:val="Rimandonotaapidipagina"/>
          <w:rFonts w:ascii="Times New Roman" w:hAnsi="Times New Roman" w:cs="Times New Roman"/>
          <w:sz w:val="20"/>
          <w:szCs w:val="20"/>
        </w:rPr>
        <w:footnoteRef/>
      </w:r>
      <w:r w:rsidRPr="003300B3">
        <w:rPr>
          <w:rFonts w:ascii="Times New Roman" w:hAnsi="Times New Roman" w:cs="Times New Roman"/>
          <w:sz w:val="20"/>
          <w:szCs w:val="20"/>
        </w:rPr>
        <w:t xml:space="preserve"> </w:t>
      </w:r>
      <w:r w:rsidRPr="003300B3">
        <w:rPr>
          <w:rFonts w:ascii="Times New Roman" w:hAnsi="Times New Roman" w:cs="Times New Roman"/>
          <w:i/>
          <w:sz w:val="20"/>
          <w:szCs w:val="20"/>
        </w:rPr>
        <w:t>Ibidem.</w:t>
      </w:r>
    </w:p>
  </w:footnote>
  <w:footnote w:id="601">
    <w:p w14:paraId="65C41977" w14:textId="77777777" w:rsidR="00B34CC2" w:rsidRPr="003300B3" w:rsidRDefault="00B34CC2" w:rsidP="00F721A9">
      <w:pPr>
        <w:pStyle w:val="Testonotaapidipagina"/>
        <w:jc w:val="both"/>
        <w:rPr>
          <w:rFonts w:ascii="Times New Roman" w:hAnsi="Times New Roman" w:cs="Times New Roman"/>
          <w:sz w:val="20"/>
          <w:szCs w:val="20"/>
        </w:rPr>
      </w:pPr>
      <w:r w:rsidRPr="003300B3">
        <w:rPr>
          <w:rStyle w:val="Rimandonotaapidipagina"/>
          <w:rFonts w:ascii="Times New Roman" w:hAnsi="Times New Roman" w:cs="Times New Roman"/>
          <w:sz w:val="20"/>
          <w:szCs w:val="20"/>
        </w:rPr>
        <w:footnoteRef/>
      </w:r>
      <w:r w:rsidRPr="003300B3">
        <w:rPr>
          <w:rFonts w:ascii="Times New Roman" w:hAnsi="Times New Roman" w:cs="Times New Roman"/>
          <w:sz w:val="20"/>
          <w:szCs w:val="20"/>
        </w:rPr>
        <w:t xml:space="preserve"> </w:t>
      </w:r>
      <w:r w:rsidRPr="003300B3">
        <w:rPr>
          <w:rFonts w:ascii="Times New Roman" w:hAnsi="Times New Roman" w:cs="Times New Roman"/>
          <w:i/>
          <w:sz w:val="20"/>
          <w:szCs w:val="20"/>
        </w:rPr>
        <w:t>Ibidem.</w:t>
      </w:r>
    </w:p>
  </w:footnote>
  <w:footnote w:id="602">
    <w:p w14:paraId="2F11E304" w14:textId="77777777" w:rsidR="00B34CC2" w:rsidRPr="00F831CD" w:rsidRDefault="00B34CC2" w:rsidP="00F721A9">
      <w:pPr>
        <w:pStyle w:val="Testonotaapidipagina"/>
        <w:jc w:val="both"/>
        <w:rPr>
          <w:rFonts w:ascii="Times New Roman" w:hAnsi="Times New Roman" w:cs="Times New Roman"/>
          <w:sz w:val="20"/>
          <w:szCs w:val="20"/>
        </w:rPr>
      </w:pPr>
      <w:r w:rsidRPr="00F831CD">
        <w:rPr>
          <w:rStyle w:val="Rimandonotaapidipagina"/>
          <w:rFonts w:ascii="Times New Roman" w:hAnsi="Times New Roman" w:cs="Times New Roman"/>
          <w:sz w:val="20"/>
          <w:szCs w:val="20"/>
        </w:rPr>
        <w:footnoteRef/>
      </w:r>
      <w:r w:rsidRPr="00F831CD">
        <w:rPr>
          <w:rFonts w:ascii="Times New Roman" w:hAnsi="Times New Roman" w:cs="Times New Roman"/>
          <w:sz w:val="20"/>
          <w:szCs w:val="20"/>
        </w:rPr>
        <w:t xml:space="preserve"> </w:t>
      </w:r>
      <w:r>
        <w:rPr>
          <w:rFonts w:ascii="Times New Roman" w:hAnsi="Times New Roman" w:cs="Times New Roman"/>
          <w:i/>
          <w:sz w:val="20"/>
          <w:szCs w:val="20"/>
        </w:rPr>
        <w:t>Ivi</w:t>
      </w:r>
      <w:r>
        <w:rPr>
          <w:rFonts w:ascii="Times New Roman" w:hAnsi="Times New Roman" w:cs="Times New Roman"/>
          <w:sz w:val="20"/>
          <w:szCs w:val="20"/>
        </w:rPr>
        <w:t>, pp. 18-19</w:t>
      </w:r>
      <w:r w:rsidRPr="00F831CD">
        <w:rPr>
          <w:rFonts w:ascii="Times New Roman" w:hAnsi="Times New Roman" w:cs="Times New Roman"/>
          <w:i/>
          <w:sz w:val="20"/>
          <w:szCs w:val="20"/>
        </w:rPr>
        <w:t>.</w:t>
      </w:r>
    </w:p>
  </w:footnote>
  <w:footnote w:id="603">
    <w:p w14:paraId="5C3EE2CC" w14:textId="5D94B20E" w:rsidR="00B34CC2" w:rsidRPr="00083032" w:rsidRDefault="00B34CC2" w:rsidP="00F721A9">
      <w:pPr>
        <w:pStyle w:val="Testonotaapidipagina"/>
        <w:jc w:val="both"/>
        <w:rPr>
          <w:rFonts w:ascii="Times New Roman" w:hAnsi="Times New Roman" w:cs="Times New Roman"/>
          <w:sz w:val="20"/>
          <w:szCs w:val="20"/>
        </w:rPr>
      </w:pPr>
      <w:r w:rsidRPr="00083032">
        <w:rPr>
          <w:rStyle w:val="Rimandonotaapidipagina"/>
          <w:rFonts w:ascii="Times New Roman" w:hAnsi="Times New Roman" w:cs="Times New Roman"/>
          <w:sz w:val="20"/>
          <w:szCs w:val="20"/>
        </w:rPr>
        <w:footnoteRef/>
      </w:r>
      <w:r w:rsidRPr="00083032">
        <w:rPr>
          <w:rFonts w:ascii="Times New Roman" w:hAnsi="Times New Roman" w:cs="Times New Roman"/>
          <w:sz w:val="20"/>
          <w:szCs w:val="20"/>
        </w:rPr>
        <w:t xml:space="preserve"> </w:t>
      </w:r>
      <w:r w:rsidRPr="00083032">
        <w:rPr>
          <w:rFonts w:ascii="Times New Roman" w:hAnsi="Times New Roman" w:cs="Times New Roman"/>
          <w:i/>
          <w:sz w:val="20"/>
          <w:szCs w:val="20"/>
        </w:rPr>
        <w:t>Supra</w:t>
      </w:r>
      <w:r>
        <w:rPr>
          <w:rFonts w:ascii="Times New Roman" w:hAnsi="Times New Roman" w:cs="Times New Roman"/>
          <w:sz w:val="20"/>
          <w:szCs w:val="20"/>
        </w:rPr>
        <w:t>, pp. 190-192</w:t>
      </w:r>
      <w:r w:rsidRPr="00083032">
        <w:rPr>
          <w:rFonts w:ascii="Times New Roman" w:hAnsi="Times New Roman" w:cs="Times New Roman"/>
          <w:sz w:val="20"/>
          <w:szCs w:val="20"/>
        </w:rPr>
        <w:t>.</w:t>
      </w:r>
    </w:p>
  </w:footnote>
  <w:footnote w:id="604">
    <w:p w14:paraId="3FEB9B43" w14:textId="77777777" w:rsidR="00B34CC2" w:rsidRPr="009A675D" w:rsidRDefault="00B34CC2" w:rsidP="00C80FF2">
      <w:pPr>
        <w:pStyle w:val="Testonotaapidipagina"/>
        <w:jc w:val="both"/>
        <w:rPr>
          <w:rFonts w:ascii="Times New Roman" w:hAnsi="Times New Roman" w:cs="Times New Roman"/>
          <w:sz w:val="20"/>
          <w:szCs w:val="20"/>
        </w:rPr>
      </w:pPr>
      <w:r w:rsidRPr="00083032">
        <w:rPr>
          <w:rStyle w:val="Rimandonotaapidipagina"/>
          <w:rFonts w:ascii="Times New Roman" w:hAnsi="Times New Roman" w:cs="Times New Roman"/>
          <w:sz w:val="20"/>
          <w:szCs w:val="20"/>
        </w:rPr>
        <w:footnoteRef/>
      </w:r>
      <w:r w:rsidRPr="00083032">
        <w:rPr>
          <w:rFonts w:ascii="Times New Roman" w:hAnsi="Times New Roman" w:cs="Times New Roman"/>
          <w:sz w:val="20"/>
          <w:szCs w:val="20"/>
        </w:rPr>
        <w:t xml:space="preserve"> </w:t>
      </w:r>
      <w:r w:rsidRPr="00083032">
        <w:rPr>
          <w:rFonts w:ascii="Times New Roman" w:hAnsi="Times New Roman" w:cs="Times New Roman"/>
          <w:i/>
          <w:sz w:val="20"/>
          <w:szCs w:val="20"/>
        </w:rPr>
        <w:t>Supra</w:t>
      </w:r>
      <w:r>
        <w:rPr>
          <w:rFonts w:ascii="Times New Roman" w:hAnsi="Times New Roman" w:cs="Times New Roman"/>
          <w:sz w:val="20"/>
          <w:szCs w:val="20"/>
        </w:rPr>
        <w:t>, p. 179</w:t>
      </w:r>
      <w:r w:rsidRPr="00083032">
        <w:rPr>
          <w:rFonts w:ascii="Times New Roman" w:hAnsi="Times New Roman" w:cs="Times New Roman"/>
          <w:sz w:val="20"/>
          <w:szCs w:val="20"/>
        </w:rPr>
        <w:t>.</w:t>
      </w:r>
    </w:p>
  </w:footnote>
  <w:footnote w:id="605">
    <w:p w14:paraId="67A783B1" w14:textId="77777777" w:rsidR="00B34CC2" w:rsidRPr="00087FAC" w:rsidRDefault="00B34CC2" w:rsidP="00F721A9">
      <w:pPr>
        <w:pStyle w:val="Testonotaapidipagina"/>
        <w:jc w:val="both"/>
      </w:pPr>
      <w:r w:rsidRPr="00087FAC">
        <w:rPr>
          <w:rStyle w:val="Rimandonotaapidipagina"/>
          <w:rFonts w:ascii="Times New Roman" w:hAnsi="Times New Roman" w:cs="Times New Roman"/>
          <w:sz w:val="20"/>
          <w:szCs w:val="20"/>
        </w:rPr>
        <w:footnoteRef/>
      </w:r>
      <w:r w:rsidRPr="00087FAC">
        <w:rPr>
          <w:rFonts w:ascii="Times New Roman" w:hAnsi="Times New Roman" w:cs="Times New Roman"/>
          <w:sz w:val="20"/>
          <w:szCs w:val="20"/>
        </w:rPr>
        <w:t xml:space="preserve"> F. H. </w:t>
      </w:r>
      <w:r w:rsidRPr="00087FAC">
        <w:rPr>
          <w:rFonts w:ascii="Times New Roman" w:hAnsi="Times New Roman" w:cs="Times New Roman"/>
          <w:i/>
          <w:sz w:val="20"/>
          <w:szCs w:val="20"/>
        </w:rPr>
        <w:t>Jacobi, Schriften zum Spinozastreit</w:t>
      </w:r>
      <w:r>
        <w:rPr>
          <w:rFonts w:ascii="Times New Roman" w:hAnsi="Times New Roman" w:cs="Times New Roman"/>
          <w:sz w:val="20"/>
          <w:szCs w:val="20"/>
        </w:rPr>
        <w:t>, cit., p. 3</w:t>
      </w:r>
      <w:r w:rsidRPr="00087FAC">
        <w:rPr>
          <w:rFonts w:ascii="Times New Roman" w:hAnsi="Times New Roman" w:cs="Times New Roman"/>
          <w:sz w:val="20"/>
          <w:szCs w:val="20"/>
        </w:rPr>
        <w:t>1.</w:t>
      </w:r>
    </w:p>
  </w:footnote>
  <w:footnote w:id="606">
    <w:p w14:paraId="207412DE" w14:textId="0025467D" w:rsidR="00B34CC2" w:rsidRPr="00831F38" w:rsidRDefault="00B34CC2" w:rsidP="00F721A9">
      <w:pPr>
        <w:pStyle w:val="Testonotaapidipagina"/>
        <w:jc w:val="both"/>
        <w:rPr>
          <w:rFonts w:ascii="Times New Roman" w:hAnsi="Times New Roman" w:cs="Times New Roman"/>
          <w:sz w:val="20"/>
          <w:szCs w:val="20"/>
        </w:rPr>
      </w:pPr>
      <w:r w:rsidRPr="00831F38">
        <w:rPr>
          <w:rStyle w:val="Rimandonotaapidipagina"/>
          <w:rFonts w:ascii="Times New Roman" w:hAnsi="Times New Roman" w:cs="Times New Roman"/>
          <w:sz w:val="20"/>
          <w:szCs w:val="20"/>
        </w:rPr>
        <w:footnoteRef/>
      </w:r>
      <w:r w:rsidRPr="00831F38">
        <w:rPr>
          <w:rFonts w:ascii="Times New Roman" w:hAnsi="Times New Roman" w:cs="Times New Roman"/>
          <w:sz w:val="20"/>
          <w:szCs w:val="20"/>
        </w:rPr>
        <w:t xml:space="preserve"> </w:t>
      </w:r>
      <w:r w:rsidRPr="00831F38">
        <w:rPr>
          <w:rFonts w:ascii="Times New Roman" w:hAnsi="Times New Roman" w:cs="Times New Roman"/>
          <w:i/>
          <w:sz w:val="20"/>
          <w:szCs w:val="20"/>
        </w:rPr>
        <w:t>Supra</w:t>
      </w:r>
      <w:r>
        <w:rPr>
          <w:rFonts w:ascii="Times New Roman" w:hAnsi="Times New Roman" w:cs="Times New Roman"/>
          <w:sz w:val="20"/>
          <w:szCs w:val="20"/>
        </w:rPr>
        <w:t>, p. 190-191</w:t>
      </w:r>
      <w:r w:rsidRPr="00831F38">
        <w:rPr>
          <w:rFonts w:ascii="Times New Roman" w:hAnsi="Times New Roman" w:cs="Times New Roman"/>
          <w:sz w:val="20"/>
          <w:szCs w:val="20"/>
        </w:rPr>
        <w:t>.</w:t>
      </w:r>
    </w:p>
  </w:footnote>
  <w:footnote w:id="607">
    <w:p w14:paraId="200481E7" w14:textId="0BCA4ACF" w:rsidR="00B34CC2" w:rsidRPr="00831F38" w:rsidRDefault="00B34CC2" w:rsidP="00F721A9">
      <w:pPr>
        <w:pStyle w:val="Testonotaapidipagina"/>
        <w:jc w:val="both"/>
        <w:rPr>
          <w:rFonts w:ascii="Times New Roman" w:hAnsi="Times New Roman" w:cs="Times New Roman"/>
          <w:sz w:val="20"/>
          <w:szCs w:val="20"/>
        </w:rPr>
      </w:pPr>
      <w:r w:rsidRPr="00831F38">
        <w:rPr>
          <w:rStyle w:val="Rimandonotaapidipagina"/>
          <w:rFonts w:ascii="Times New Roman" w:hAnsi="Times New Roman" w:cs="Times New Roman"/>
          <w:sz w:val="20"/>
          <w:szCs w:val="20"/>
        </w:rPr>
        <w:footnoteRef/>
      </w:r>
      <w:r w:rsidRPr="00831F38">
        <w:rPr>
          <w:rFonts w:ascii="Times New Roman" w:hAnsi="Times New Roman" w:cs="Times New Roman"/>
          <w:i/>
          <w:sz w:val="20"/>
          <w:szCs w:val="20"/>
        </w:rPr>
        <w:t xml:space="preserve"> Supra</w:t>
      </w:r>
      <w:r>
        <w:rPr>
          <w:rFonts w:ascii="Times New Roman" w:hAnsi="Times New Roman" w:cs="Times New Roman"/>
          <w:sz w:val="20"/>
          <w:szCs w:val="20"/>
        </w:rPr>
        <w:t>, p. 44</w:t>
      </w:r>
      <w:r w:rsidRPr="00831F38">
        <w:rPr>
          <w:rFonts w:ascii="Times New Roman" w:hAnsi="Times New Roman" w:cs="Times New Roman"/>
          <w:sz w:val="20"/>
          <w:szCs w:val="20"/>
        </w:rPr>
        <w:t>.</w:t>
      </w:r>
    </w:p>
  </w:footnote>
  <w:footnote w:id="608">
    <w:p w14:paraId="67F837AF" w14:textId="77777777" w:rsidR="00B34CC2" w:rsidRPr="00831F38" w:rsidRDefault="00B34CC2" w:rsidP="00F721A9">
      <w:pPr>
        <w:pStyle w:val="Testonotaapidipagina"/>
        <w:jc w:val="both"/>
        <w:rPr>
          <w:rFonts w:ascii="Times New Roman" w:hAnsi="Times New Roman" w:cs="Times New Roman"/>
          <w:sz w:val="20"/>
          <w:szCs w:val="20"/>
        </w:rPr>
      </w:pPr>
      <w:r w:rsidRPr="00831F38">
        <w:rPr>
          <w:rStyle w:val="Rimandonotaapidipagina"/>
          <w:rFonts w:ascii="Times New Roman" w:hAnsi="Times New Roman" w:cs="Times New Roman"/>
          <w:sz w:val="20"/>
          <w:szCs w:val="20"/>
        </w:rPr>
        <w:footnoteRef/>
      </w:r>
      <w:r w:rsidRPr="00831F38">
        <w:rPr>
          <w:rFonts w:ascii="Times New Roman" w:hAnsi="Times New Roman" w:cs="Times New Roman"/>
          <w:sz w:val="20"/>
          <w:szCs w:val="20"/>
        </w:rPr>
        <w:t xml:space="preserve"> </w:t>
      </w:r>
      <w:r w:rsidRPr="00831F38">
        <w:rPr>
          <w:rFonts w:ascii="Times New Roman" w:hAnsi="Times New Roman" w:cs="Times New Roman"/>
          <w:i/>
          <w:sz w:val="20"/>
          <w:szCs w:val="20"/>
        </w:rPr>
        <w:t>Ivi</w:t>
      </w:r>
      <w:r w:rsidRPr="00831F38">
        <w:rPr>
          <w:rFonts w:ascii="Times New Roman" w:hAnsi="Times New Roman" w:cs="Times New Roman"/>
          <w:sz w:val="20"/>
          <w:szCs w:val="20"/>
        </w:rPr>
        <w:t xml:space="preserve">, p. 112. </w:t>
      </w:r>
    </w:p>
  </w:footnote>
  <w:footnote w:id="609">
    <w:p w14:paraId="387D1A54" w14:textId="77777777" w:rsidR="00B34CC2" w:rsidRPr="00622EF4" w:rsidRDefault="00B34CC2" w:rsidP="00F721A9">
      <w:pPr>
        <w:pStyle w:val="Testonotaapidipagina"/>
        <w:jc w:val="both"/>
        <w:rPr>
          <w:rFonts w:ascii="Times New Roman" w:hAnsi="Times New Roman" w:cs="Times New Roman"/>
          <w:sz w:val="20"/>
          <w:szCs w:val="20"/>
        </w:rPr>
      </w:pPr>
      <w:r w:rsidRPr="00622EF4">
        <w:rPr>
          <w:rStyle w:val="Rimandonotaapidipagina"/>
          <w:rFonts w:ascii="Times New Roman" w:hAnsi="Times New Roman" w:cs="Times New Roman"/>
          <w:sz w:val="20"/>
          <w:szCs w:val="20"/>
        </w:rPr>
        <w:footnoteRef/>
      </w:r>
      <w:r w:rsidRPr="00622EF4">
        <w:rPr>
          <w:rFonts w:ascii="Times New Roman" w:hAnsi="Times New Roman" w:cs="Times New Roman"/>
          <w:sz w:val="20"/>
          <w:szCs w:val="20"/>
        </w:rPr>
        <w:t xml:space="preserve"> </w:t>
      </w:r>
      <w:r w:rsidRPr="00622EF4">
        <w:rPr>
          <w:rFonts w:ascii="Times New Roman" w:hAnsi="Times New Roman" w:cs="Times New Roman"/>
          <w:i/>
          <w:sz w:val="20"/>
          <w:szCs w:val="20"/>
        </w:rPr>
        <w:t>Ivi</w:t>
      </w:r>
      <w:r w:rsidRPr="00622EF4">
        <w:rPr>
          <w:rFonts w:ascii="Times New Roman" w:hAnsi="Times New Roman" w:cs="Times New Roman"/>
          <w:sz w:val="20"/>
          <w:szCs w:val="20"/>
        </w:rPr>
        <w:t>, p. 256: «</w:t>
      </w:r>
      <w:r>
        <w:rPr>
          <w:rFonts w:ascii="Times New Roman" w:hAnsi="Times New Roman" w:cs="Times New Roman"/>
          <w:sz w:val="20"/>
          <w:szCs w:val="20"/>
        </w:rPr>
        <w:t>Daß der Begriff der Ursache, in so fern er sich von dem Begriffe des Grundes unterscheidet, ein Erfahrungsbegriff ist […] Der Satz der Ursache: alles was gethan wird, muß durch etwas gethan werden</w:t>
      </w:r>
      <w:r w:rsidRPr="004C688F">
        <w:rPr>
          <w:rFonts w:ascii="Times New Roman" w:hAnsi="Times New Roman" w:cs="Times New Roman"/>
          <w:sz w:val="20"/>
          <w:szCs w:val="20"/>
        </w:rPr>
        <w:t>»</w:t>
      </w:r>
      <w:r>
        <w:rPr>
          <w:rFonts w:ascii="Times New Roman" w:hAnsi="Times New Roman" w:cs="Times New Roman"/>
          <w:sz w:val="20"/>
          <w:szCs w:val="20"/>
        </w:rPr>
        <w:t>.</w:t>
      </w:r>
    </w:p>
  </w:footnote>
  <w:footnote w:id="610">
    <w:p w14:paraId="3267D59E" w14:textId="77777777" w:rsidR="00B34CC2" w:rsidRPr="00831F38" w:rsidRDefault="00B34CC2" w:rsidP="00F721A9">
      <w:pPr>
        <w:pStyle w:val="Testonotaapidipagina"/>
        <w:jc w:val="both"/>
        <w:rPr>
          <w:rFonts w:ascii="Times New Roman" w:hAnsi="Times New Roman" w:cs="Times New Roman"/>
          <w:sz w:val="20"/>
          <w:szCs w:val="20"/>
        </w:rPr>
      </w:pPr>
      <w:r w:rsidRPr="00831F38">
        <w:rPr>
          <w:rStyle w:val="Rimandonotaapidipagina"/>
          <w:rFonts w:ascii="Times New Roman" w:hAnsi="Times New Roman" w:cs="Times New Roman"/>
          <w:sz w:val="20"/>
          <w:szCs w:val="20"/>
        </w:rPr>
        <w:footnoteRef/>
      </w:r>
      <w:r w:rsidRPr="00831F38">
        <w:rPr>
          <w:rFonts w:ascii="Times New Roman" w:hAnsi="Times New Roman" w:cs="Times New Roman"/>
          <w:sz w:val="20"/>
          <w:szCs w:val="20"/>
        </w:rPr>
        <w:t xml:space="preserve"> </w:t>
      </w:r>
      <w:r w:rsidRPr="00831F38">
        <w:rPr>
          <w:rFonts w:ascii="Times New Roman" w:hAnsi="Times New Roman" w:cs="Times New Roman"/>
          <w:i/>
          <w:sz w:val="20"/>
          <w:szCs w:val="20"/>
        </w:rPr>
        <w:t>Ivi</w:t>
      </w:r>
      <w:r w:rsidRPr="00831F38">
        <w:rPr>
          <w:rFonts w:ascii="Times New Roman" w:hAnsi="Times New Roman" w:cs="Times New Roman"/>
          <w:sz w:val="20"/>
          <w:szCs w:val="20"/>
        </w:rPr>
        <w:t>, p. 118.</w:t>
      </w:r>
    </w:p>
  </w:footnote>
  <w:footnote w:id="611">
    <w:p w14:paraId="547AE4B7" w14:textId="77777777" w:rsidR="00B34CC2" w:rsidRPr="004175E6" w:rsidRDefault="00B34CC2" w:rsidP="00F721A9">
      <w:pPr>
        <w:pStyle w:val="Testonotaapidipagina"/>
        <w:jc w:val="both"/>
        <w:rPr>
          <w:rFonts w:ascii="Times New Roman" w:hAnsi="Times New Roman" w:cs="Times New Roman"/>
          <w:sz w:val="20"/>
          <w:szCs w:val="20"/>
        </w:rPr>
      </w:pPr>
      <w:r w:rsidRPr="00831F38">
        <w:rPr>
          <w:rStyle w:val="Rimandonotaapidipagina"/>
          <w:rFonts w:ascii="Times New Roman" w:hAnsi="Times New Roman" w:cs="Times New Roman"/>
          <w:sz w:val="20"/>
          <w:szCs w:val="20"/>
        </w:rPr>
        <w:footnoteRef/>
      </w:r>
      <w:r w:rsidRPr="00831F38">
        <w:rPr>
          <w:rFonts w:ascii="Times New Roman" w:hAnsi="Times New Roman" w:cs="Times New Roman"/>
          <w:sz w:val="20"/>
          <w:szCs w:val="20"/>
        </w:rPr>
        <w:t xml:space="preserve"> </w:t>
      </w:r>
      <w:r w:rsidRPr="00831F38">
        <w:rPr>
          <w:rFonts w:ascii="Times New Roman" w:hAnsi="Times New Roman" w:cs="Times New Roman"/>
          <w:i/>
          <w:sz w:val="20"/>
          <w:szCs w:val="20"/>
        </w:rPr>
        <w:t>Ivi</w:t>
      </w:r>
      <w:r w:rsidRPr="00831F38">
        <w:rPr>
          <w:rFonts w:ascii="Times New Roman" w:hAnsi="Times New Roman" w:cs="Times New Roman"/>
          <w:sz w:val="20"/>
          <w:szCs w:val="20"/>
        </w:rPr>
        <w:t>, p. 112.</w:t>
      </w:r>
    </w:p>
  </w:footnote>
  <w:footnote w:id="612">
    <w:p w14:paraId="09A523EA" w14:textId="6270F61C" w:rsidR="00B34CC2" w:rsidRPr="00831F38" w:rsidRDefault="00B34CC2" w:rsidP="00F721A9">
      <w:pPr>
        <w:pStyle w:val="Testonotaapidipagina"/>
        <w:jc w:val="both"/>
        <w:rPr>
          <w:rFonts w:ascii="Times New Roman" w:hAnsi="Times New Roman" w:cs="Times New Roman"/>
          <w:sz w:val="20"/>
          <w:szCs w:val="20"/>
        </w:rPr>
      </w:pPr>
      <w:r w:rsidRPr="00831F38">
        <w:rPr>
          <w:rStyle w:val="Rimandonotaapidipagina"/>
          <w:rFonts w:ascii="Times New Roman" w:hAnsi="Times New Roman" w:cs="Times New Roman"/>
          <w:sz w:val="20"/>
          <w:szCs w:val="20"/>
        </w:rPr>
        <w:footnoteRef/>
      </w:r>
      <w:r w:rsidRPr="00831F38">
        <w:rPr>
          <w:rFonts w:ascii="Times New Roman" w:hAnsi="Times New Roman" w:cs="Times New Roman"/>
          <w:sz w:val="20"/>
          <w:szCs w:val="20"/>
        </w:rPr>
        <w:t xml:space="preserve"> Vedi </w:t>
      </w:r>
      <w:r>
        <w:rPr>
          <w:rFonts w:ascii="Times New Roman" w:hAnsi="Times New Roman" w:cs="Times New Roman"/>
          <w:i/>
          <w:sz w:val="20"/>
          <w:szCs w:val="20"/>
        </w:rPr>
        <w:t>s</w:t>
      </w:r>
      <w:r w:rsidRPr="00831F38">
        <w:rPr>
          <w:rFonts w:ascii="Times New Roman" w:hAnsi="Times New Roman" w:cs="Times New Roman"/>
          <w:i/>
          <w:sz w:val="20"/>
          <w:szCs w:val="20"/>
        </w:rPr>
        <w:t>upra</w:t>
      </w:r>
      <w:r>
        <w:rPr>
          <w:rFonts w:ascii="Times New Roman" w:hAnsi="Times New Roman" w:cs="Times New Roman"/>
          <w:sz w:val="20"/>
          <w:szCs w:val="20"/>
        </w:rPr>
        <w:t>, p. 42-44</w:t>
      </w:r>
      <w:r w:rsidRPr="00831F38">
        <w:rPr>
          <w:rFonts w:ascii="Times New Roman" w:hAnsi="Times New Roman" w:cs="Times New Roman"/>
          <w:sz w:val="20"/>
          <w:szCs w:val="20"/>
        </w:rPr>
        <w:t>.</w:t>
      </w:r>
    </w:p>
  </w:footnote>
  <w:footnote w:id="613">
    <w:p w14:paraId="1F5F7CE9" w14:textId="565E4DAE" w:rsidR="00B34CC2" w:rsidRPr="00D27DD6" w:rsidRDefault="00B34CC2" w:rsidP="00F721A9">
      <w:pPr>
        <w:pStyle w:val="Testonotaapidipagina"/>
        <w:jc w:val="both"/>
        <w:rPr>
          <w:rFonts w:ascii="Times New Roman" w:hAnsi="Times New Roman" w:cs="Times New Roman"/>
          <w:sz w:val="20"/>
          <w:szCs w:val="20"/>
        </w:rPr>
      </w:pPr>
      <w:r w:rsidRPr="00831F38">
        <w:rPr>
          <w:rStyle w:val="Rimandonotaapidipagina"/>
          <w:rFonts w:ascii="Times New Roman" w:hAnsi="Times New Roman" w:cs="Times New Roman"/>
          <w:sz w:val="20"/>
          <w:szCs w:val="20"/>
        </w:rPr>
        <w:footnoteRef/>
      </w:r>
      <w:r w:rsidRPr="00831F38">
        <w:rPr>
          <w:rFonts w:ascii="Times New Roman" w:hAnsi="Times New Roman" w:cs="Times New Roman"/>
          <w:sz w:val="20"/>
          <w:szCs w:val="20"/>
        </w:rPr>
        <w:t xml:space="preserve"> </w:t>
      </w:r>
      <w:r w:rsidRPr="00087FAC">
        <w:rPr>
          <w:rFonts w:ascii="Times New Roman" w:hAnsi="Times New Roman" w:cs="Times New Roman"/>
          <w:sz w:val="20"/>
          <w:szCs w:val="20"/>
        </w:rPr>
        <w:t xml:space="preserve">F. H. </w:t>
      </w:r>
      <w:r w:rsidRPr="00087FAC">
        <w:rPr>
          <w:rFonts w:ascii="Times New Roman" w:hAnsi="Times New Roman" w:cs="Times New Roman"/>
          <w:i/>
          <w:sz w:val="20"/>
          <w:szCs w:val="20"/>
        </w:rPr>
        <w:t>Jacobi, Schriften zum Spinozastreit</w:t>
      </w:r>
      <w:r>
        <w:rPr>
          <w:rFonts w:ascii="Times New Roman" w:hAnsi="Times New Roman" w:cs="Times New Roman"/>
          <w:sz w:val="20"/>
          <w:szCs w:val="20"/>
        </w:rPr>
        <w:t>, cit.</w:t>
      </w:r>
      <w:r w:rsidRPr="00831F38">
        <w:rPr>
          <w:rFonts w:ascii="Times New Roman" w:hAnsi="Times New Roman" w:cs="Times New Roman"/>
          <w:sz w:val="20"/>
          <w:szCs w:val="20"/>
        </w:rPr>
        <w:t>, p. 249.</w:t>
      </w:r>
    </w:p>
  </w:footnote>
  <w:footnote w:id="614">
    <w:p w14:paraId="2D47B343" w14:textId="3F009B0B" w:rsidR="00B34CC2" w:rsidRPr="00755581" w:rsidRDefault="00B34CC2" w:rsidP="00F721A9">
      <w:pPr>
        <w:pStyle w:val="Testonotaapidipagina"/>
        <w:jc w:val="both"/>
        <w:rPr>
          <w:rFonts w:ascii="Times New Roman" w:hAnsi="Times New Roman" w:cs="Times New Roman"/>
          <w:sz w:val="20"/>
          <w:szCs w:val="20"/>
        </w:rPr>
      </w:pPr>
      <w:r w:rsidRPr="00755581">
        <w:rPr>
          <w:rStyle w:val="Rimandonotaapidipagina"/>
          <w:rFonts w:ascii="Times New Roman" w:hAnsi="Times New Roman" w:cs="Times New Roman"/>
          <w:sz w:val="20"/>
          <w:szCs w:val="20"/>
        </w:rPr>
        <w:footnoteRef/>
      </w:r>
      <w:r w:rsidRPr="00755581">
        <w:rPr>
          <w:rFonts w:ascii="Times New Roman" w:hAnsi="Times New Roman" w:cs="Times New Roman"/>
          <w:sz w:val="20"/>
          <w:szCs w:val="20"/>
        </w:rPr>
        <w:t xml:space="preserve"> </w:t>
      </w:r>
      <w:r w:rsidRPr="006040A4">
        <w:rPr>
          <w:rFonts w:ascii="Times New Roman" w:hAnsi="Times New Roman" w:cs="Times New Roman"/>
          <w:sz w:val="20"/>
          <w:szCs w:val="20"/>
        </w:rPr>
        <w:t>Negli ultimi anni si è registrato un interesse cre</w:t>
      </w:r>
      <w:r>
        <w:rPr>
          <w:rFonts w:ascii="Times New Roman" w:hAnsi="Times New Roman" w:cs="Times New Roman"/>
          <w:sz w:val="20"/>
          <w:szCs w:val="20"/>
        </w:rPr>
        <w:t>scente nei confronti di questo autore</w:t>
      </w:r>
      <w:r w:rsidRPr="006040A4">
        <w:rPr>
          <w:rFonts w:ascii="Times New Roman" w:hAnsi="Times New Roman" w:cs="Times New Roman"/>
          <w:sz w:val="20"/>
          <w:szCs w:val="20"/>
        </w:rPr>
        <w:t xml:space="preserve">. Per un’analisi degli aspetti generali del pensiero di Maimon, si rimanda a </w:t>
      </w:r>
      <w:r>
        <w:rPr>
          <w:rFonts w:ascii="Times New Roman" w:hAnsi="Times New Roman" w:cs="Times New Roman"/>
          <w:sz w:val="20"/>
          <w:szCs w:val="20"/>
        </w:rPr>
        <w:t xml:space="preserve">G. Freudenthal (edited by) </w:t>
      </w:r>
      <w:r w:rsidRPr="006040A4">
        <w:rPr>
          <w:rFonts w:ascii="Times New Roman" w:hAnsi="Times New Roman" w:cs="Times New Roman"/>
          <w:i/>
          <w:sz w:val="20"/>
          <w:szCs w:val="20"/>
        </w:rPr>
        <w:t>Salomon Maimon: rational dogmatist, logical skeptic</w:t>
      </w:r>
      <w:r w:rsidRPr="006040A4">
        <w:rPr>
          <w:rFonts w:ascii="Times New Roman" w:hAnsi="Times New Roman" w:cs="Times New Roman"/>
          <w:sz w:val="20"/>
          <w:szCs w:val="20"/>
        </w:rPr>
        <w:t xml:space="preserve">, Kluwer Academic Publishers, Dordrect, 2003. </w:t>
      </w:r>
      <w:r>
        <w:rPr>
          <w:rFonts w:ascii="Times New Roman" w:hAnsi="Times New Roman" w:cs="Times New Roman"/>
          <w:sz w:val="20"/>
          <w:szCs w:val="20"/>
        </w:rPr>
        <w:t>Riguardo a</w:t>
      </w:r>
      <w:r w:rsidRPr="006040A4">
        <w:rPr>
          <w:rFonts w:ascii="Times New Roman" w:hAnsi="Times New Roman" w:cs="Times New Roman"/>
          <w:sz w:val="20"/>
          <w:szCs w:val="20"/>
        </w:rPr>
        <w:t>l rapporto di Maimon con l’idealismo tedesco, si raccomandano i contributi di Yitzhak Melamed, che ha</w:t>
      </w:r>
      <w:r>
        <w:rPr>
          <w:rFonts w:ascii="Times New Roman" w:hAnsi="Times New Roman" w:cs="Times New Roman"/>
          <w:sz w:val="20"/>
          <w:szCs w:val="20"/>
        </w:rPr>
        <w:t>nno</w:t>
      </w:r>
      <w:r w:rsidRPr="006040A4">
        <w:rPr>
          <w:rFonts w:ascii="Times New Roman" w:hAnsi="Times New Roman" w:cs="Times New Roman"/>
          <w:sz w:val="20"/>
          <w:szCs w:val="20"/>
        </w:rPr>
        <w:t xml:space="preserve"> dimostrato come certe posizioni della filosofia classica tedesca siano state anticipate dalle opere del fil</w:t>
      </w:r>
      <w:r>
        <w:rPr>
          <w:rFonts w:ascii="Times New Roman" w:hAnsi="Times New Roman" w:cs="Times New Roman"/>
          <w:sz w:val="20"/>
          <w:szCs w:val="20"/>
        </w:rPr>
        <w:t>osofo ebreo. C</w:t>
      </w:r>
      <w:r w:rsidRPr="006040A4">
        <w:rPr>
          <w:rFonts w:ascii="Times New Roman" w:hAnsi="Times New Roman" w:cs="Times New Roman"/>
          <w:sz w:val="20"/>
          <w:szCs w:val="20"/>
        </w:rPr>
        <w:t xml:space="preserve">fr.  </w:t>
      </w:r>
      <w:r w:rsidRPr="006040A4">
        <w:rPr>
          <w:rFonts w:ascii="Times New Roman" w:hAnsi="Times New Roman"/>
          <w:sz w:val="20"/>
          <w:szCs w:val="20"/>
        </w:rPr>
        <w:t xml:space="preserve">Y. Y. Melamed, </w:t>
      </w:r>
      <w:r w:rsidRPr="006040A4">
        <w:rPr>
          <w:rFonts w:ascii="Times New Roman" w:hAnsi="Times New Roman"/>
          <w:i/>
          <w:sz w:val="20"/>
          <w:szCs w:val="20"/>
        </w:rPr>
        <w:t>Salomon Maimon and the rise of Spinozism in German Idealism</w:t>
      </w:r>
      <w:r w:rsidRPr="006040A4">
        <w:rPr>
          <w:rFonts w:ascii="Times New Roman" w:hAnsi="Times New Roman"/>
          <w:sz w:val="20"/>
          <w:szCs w:val="20"/>
        </w:rPr>
        <w:t xml:space="preserve">, cit. </w:t>
      </w:r>
      <w:r w:rsidRPr="006040A4">
        <w:rPr>
          <w:rFonts w:ascii="Times New Roman" w:hAnsi="Times New Roman" w:cs="Times New Roman"/>
          <w:sz w:val="20"/>
          <w:szCs w:val="20"/>
        </w:rPr>
        <w:t xml:space="preserve">e Y. Y. Melamed, </w:t>
      </w:r>
      <w:r w:rsidRPr="006040A4">
        <w:rPr>
          <w:rFonts w:ascii="Times New Roman" w:hAnsi="Times New Roman" w:cs="Times New Roman"/>
          <w:i/>
          <w:sz w:val="20"/>
          <w:szCs w:val="20"/>
        </w:rPr>
        <w:t>Acosmism or Weak Individuals? Hegel, Spinoza, and the Reality of the Finite</w:t>
      </w:r>
      <w:r w:rsidRPr="006040A4">
        <w:rPr>
          <w:rFonts w:ascii="Times New Roman" w:hAnsi="Times New Roman" w:cs="Times New Roman"/>
          <w:sz w:val="20"/>
          <w:szCs w:val="20"/>
        </w:rPr>
        <w:t xml:space="preserve">, cit.. Infine, si ricorda il saggio di W. Bonsiepen, </w:t>
      </w:r>
      <w:r w:rsidRPr="006040A4">
        <w:rPr>
          <w:rFonts w:ascii="Times New Roman" w:hAnsi="Times New Roman" w:cs="Times New Roman"/>
          <w:i/>
          <w:sz w:val="20"/>
          <w:szCs w:val="20"/>
        </w:rPr>
        <w:t>Salomon Maimons Einsicht in die Unausführbarkeit seines Versuchs einer Verneinung von Kantischer Philosophie und Spinozismus</w:t>
      </w:r>
      <w:r w:rsidRPr="006040A4">
        <w:rPr>
          <w:rFonts w:ascii="Times New Roman" w:hAnsi="Times New Roman" w:cs="Times New Roman"/>
          <w:sz w:val="20"/>
          <w:szCs w:val="20"/>
        </w:rPr>
        <w:t xml:space="preserve">, in </w:t>
      </w:r>
      <w:r w:rsidRPr="006040A4">
        <w:rPr>
          <w:rFonts w:ascii="Times New Roman" w:hAnsi="Times New Roman" w:cs="Times New Roman"/>
          <w:i/>
          <w:sz w:val="20"/>
          <w:szCs w:val="20"/>
        </w:rPr>
        <w:t>Spinoza im 18. Jahrhundert</w:t>
      </w:r>
      <w:r w:rsidRPr="006040A4">
        <w:rPr>
          <w:rFonts w:ascii="Times New Roman" w:hAnsi="Times New Roman" w:cs="Times New Roman"/>
          <w:sz w:val="20"/>
          <w:szCs w:val="20"/>
        </w:rPr>
        <w:t>, cit., pp. 377-407, dove è esaminata l’interpretazione di Maimon del pensiero leibniziano, spinoziano e kantiano.</w:t>
      </w:r>
    </w:p>
  </w:footnote>
  <w:footnote w:id="615">
    <w:p w14:paraId="32B4E928" w14:textId="4AD1E9F5" w:rsidR="00B34CC2" w:rsidRPr="00755581" w:rsidRDefault="00B34CC2" w:rsidP="00F721A9">
      <w:pPr>
        <w:pStyle w:val="Testonotaapidipagina"/>
        <w:jc w:val="both"/>
        <w:rPr>
          <w:rFonts w:ascii="Times New Roman" w:hAnsi="Times New Roman" w:cs="Times New Roman"/>
          <w:sz w:val="20"/>
          <w:szCs w:val="20"/>
        </w:rPr>
      </w:pPr>
      <w:r w:rsidRPr="00755581">
        <w:rPr>
          <w:rStyle w:val="Rimandonotaapidipagina"/>
          <w:rFonts w:ascii="Times New Roman" w:hAnsi="Times New Roman" w:cs="Times New Roman"/>
          <w:sz w:val="20"/>
          <w:szCs w:val="20"/>
        </w:rPr>
        <w:footnoteRef/>
      </w:r>
      <w:r w:rsidRPr="00755581">
        <w:rPr>
          <w:rFonts w:ascii="Times New Roman" w:hAnsi="Times New Roman" w:cs="Times New Roman"/>
          <w:sz w:val="20"/>
          <w:szCs w:val="20"/>
        </w:rPr>
        <w:t xml:space="preserve"> </w:t>
      </w:r>
      <w:r w:rsidRPr="006040A4">
        <w:rPr>
          <w:rFonts w:ascii="Times New Roman" w:hAnsi="Times New Roman"/>
          <w:sz w:val="20"/>
          <w:szCs w:val="20"/>
        </w:rPr>
        <w:t xml:space="preserve">S. </w:t>
      </w:r>
      <w:r w:rsidRPr="006040A4">
        <w:rPr>
          <w:rFonts w:ascii="Times New Roman" w:hAnsi="Times New Roman" w:cs="Times New Roman"/>
          <w:sz w:val="20"/>
          <w:szCs w:val="20"/>
        </w:rPr>
        <w:t xml:space="preserve">Maiomon, </w:t>
      </w:r>
      <w:r w:rsidRPr="006040A4">
        <w:rPr>
          <w:rFonts w:ascii="Times New Roman" w:hAnsi="Times New Roman" w:cs="Times New Roman"/>
          <w:i/>
          <w:sz w:val="20"/>
          <w:szCs w:val="20"/>
        </w:rPr>
        <w:t>Lebensgeschichte</w:t>
      </w:r>
      <w:r w:rsidRPr="006040A4">
        <w:rPr>
          <w:rFonts w:ascii="Times New Roman" w:hAnsi="Times New Roman" w:cs="Times New Roman"/>
          <w:sz w:val="20"/>
          <w:szCs w:val="20"/>
        </w:rPr>
        <w:t xml:space="preserve">, in </w:t>
      </w:r>
      <w:r w:rsidRPr="006040A4">
        <w:rPr>
          <w:rFonts w:ascii="Times New Roman" w:hAnsi="Times New Roman" w:cs="Times New Roman"/>
          <w:i/>
          <w:sz w:val="20"/>
          <w:szCs w:val="20"/>
        </w:rPr>
        <w:t>Salomon Maimon Gesamm</w:t>
      </w:r>
      <w:r>
        <w:rPr>
          <w:rFonts w:ascii="Times New Roman" w:hAnsi="Times New Roman" w:cs="Times New Roman"/>
          <w:i/>
          <w:sz w:val="20"/>
          <w:szCs w:val="20"/>
        </w:rPr>
        <w:t>e</w:t>
      </w:r>
      <w:r w:rsidRPr="006040A4">
        <w:rPr>
          <w:rFonts w:ascii="Times New Roman" w:hAnsi="Times New Roman" w:cs="Times New Roman"/>
          <w:i/>
          <w:sz w:val="20"/>
          <w:szCs w:val="20"/>
        </w:rPr>
        <w:t>lte Werke</w:t>
      </w:r>
      <w:r w:rsidRPr="006040A4">
        <w:rPr>
          <w:rFonts w:ascii="Times New Roman" w:hAnsi="Times New Roman" w:cs="Times New Roman"/>
          <w:sz w:val="20"/>
          <w:szCs w:val="20"/>
        </w:rPr>
        <w:t>, a cura di V. Verra, Georg Olm Verlag, Hilderheim- Zürich-New</w:t>
      </w:r>
      <w:r>
        <w:rPr>
          <w:rFonts w:ascii="Times New Roman" w:hAnsi="Times New Roman" w:cs="Times New Roman"/>
          <w:sz w:val="20"/>
          <w:szCs w:val="20"/>
        </w:rPr>
        <w:t xml:space="preserve"> York </w:t>
      </w:r>
      <w:r w:rsidRPr="006040A4">
        <w:rPr>
          <w:rFonts w:ascii="Times New Roman" w:hAnsi="Times New Roman" w:cs="Times New Roman"/>
          <w:sz w:val="20"/>
          <w:szCs w:val="20"/>
        </w:rPr>
        <w:t>2000</w:t>
      </w:r>
      <w:r>
        <w:rPr>
          <w:rFonts w:ascii="Times New Roman" w:hAnsi="Times New Roman" w:cs="Times New Roman"/>
          <w:sz w:val="20"/>
          <w:szCs w:val="20"/>
        </w:rPr>
        <w:t>.</w:t>
      </w:r>
    </w:p>
  </w:footnote>
  <w:footnote w:id="616">
    <w:p w14:paraId="616178DF" w14:textId="77777777" w:rsidR="00B34CC2" w:rsidRPr="009C5439" w:rsidRDefault="00B34CC2" w:rsidP="00F721A9">
      <w:pPr>
        <w:pStyle w:val="Testonotaapidipagina"/>
        <w:jc w:val="both"/>
        <w:rPr>
          <w:rFonts w:ascii="Times New Roman" w:hAnsi="Times New Roman" w:cs="Times New Roman"/>
          <w:sz w:val="20"/>
          <w:szCs w:val="20"/>
        </w:rPr>
      </w:pPr>
      <w:r w:rsidRPr="00236874">
        <w:rPr>
          <w:rStyle w:val="Rimandonotaapidipagina"/>
          <w:rFonts w:ascii="Times New Roman" w:hAnsi="Times New Roman" w:cs="Times New Roman"/>
          <w:sz w:val="20"/>
          <w:szCs w:val="20"/>
        </w:rPr>
        <w:footnoteRef/>
      </w:r>
      <w:r w:rsidRPr="00236874">
        <w:rPr>
          <w:rFonts w:ascii="Times New Roman" w:hAnsi="Times New Roman" w:cs="Times New Roman"/>
          <w:sz w:val="20"/>
          <w:szCs w:val="20"/>
        </w:rPr>
        <w:t xml:space="preserve"> Per un resoconto dettagliato di queste sintetiche informazioni sulla prima giovinezza di Maimon cfr. </w:t>
      </w:r>
      <w:r w:rsidRPr="00236874">
        <w:rPr>
          <w:rFonts w:ascii="Times New Roman" w:hAnsi="Times New Roman" w:cs="Times New Roman"/>
          <w:i/>
          <w:sz w:val="20"/>
          <w:szCs w:val="20"/>
        </w:rPr>
        <w:t>Ivi</w:t>
      </w:r>
      <w:r w:rsidRPr="00236874">
        <w:rPr>
          <w:rFonts w:ascii="Times New Roman" w:hAnsi="Times New Roman" w:cs="Times New Roman"/>
          <w:sz w:val="20"/>
          <w:szCs w:val="20"/>
        </w:rPr>
        <w:t>, pp. 1-125.</w:t>
      </w:r>
    </w:p>
  </w:footnote>
  <w:footnote w:id="617">
    <w:p w14:paraId="7366FEF1" w14:textId="7715A2FC" w:rsidR="00B34CC2" w:rsidRPr="000A3E80" w:rsidRDefault="00B34CC2" w:rsidP="00F721A9">
      <w:pPr>
        <w:pStyle w:val="Testonotaapidipagina"/>
        <w:jc w:val="both"/>
        <w:rPr>
          <w:rFonts w:ascii="Times New Roman" w:hAnsi="Times New Roman" w:cs="Times New Roman"/>
          <w:sz w:val="20"/>
          <w:szCs w:val="20"/>
          <w:lang w:val="de-DE"/>
        </w:rPr>
      </w:pPr>
      <w:r w:rsidRPr="00F57AAA">
        <w:rPr>
          <w:rStyle w:val="Rimandonotaapidipagina"/>
          <w:rFonts w:ascii="Times New Roman" w:hAnsi="Times New Roman" w:cs="Times New Roman"/>
          <w:sz w:val="20"/>
          <w:szCs w:val="20"/>
        </w:rPr>
        <w:footnoteRef/>
      </w:r>
      <w:r w:rsidRPr="00F57AAA">
        <w:rPr>
          <w:rFonts w:ascii="Times New Roman" w:hAnsi="Times New Roman" w:cs="Times New Roman"/>
          <w:sz w:val="20"/>
          <w:szCs w:val="20"/>
        </w:rPr>
        <w:t xml:space="preserve"> </w:t>
      </w:r>
      <w:r w:rsidRPr="001C1483">
        <w:rPr>
          <w:rFonts w:ascii="Times New Roman" w:hAnsi="Times New Roman" w:cs="Times New Roman"/>
          <w:i/>
          <w:sz w:val="20"/>
          <w:szCs w:val="20"/>
        </w:rPr>
        <w:t>Ivi</w:t>
      </w:r>
      <w:r>
        <w:rPr>
          <w:rFonts w:ascii="Times New Roman" w:hAnsi="Times New Roman" w:cs="Times New Roman"/>
          <w:sz w:val="20"/>
          <w:szCs w:val="20"/>
        </w:rPr>
        <w:t xml:space="preserve">, </w:t>
      </w:r>
      <w:r w:rsidRPr="009C5439">
        <w:rPr>
          <w:rFonts w:ascii="Times New Roman" w:hAnsi="Times New Roman" w:cs="Times New Roman"/>
          <w:sz w:val="20"/>
          <w:szCs w:val="20"/>
        </w:rPr>
        <w:t>p</w:t>
      </w:r>
      <w:r>
        <w:rPr>
          <w:rFonts w:ascii="Times New Roman" w:hAnsi="Times New Roman" w:cs="Times New Roman"/>
          <w:sz w:val="20"/>
          <w:szCs w:val="20"/>
        </w:rPr>
        <w:t xml:space="preserve">. 126: </w:t>
      </w:r>
      <w:r w:rsidRPr="000F2252">
        <w:rPr>
          <w:rFonts w:ascii="Times New Roman" w:hAnsi="Times New Roman" w:cs="Times New Roman"/>
          <w:sz w:val="20"/>
          <w:szCs w:val="20"/>
        </w:rPr>
        <w:t>«</w:t>
      </w:r>
      <w:r w:rsidRPr="000F2252">
        <w:rPr>
          <w:rFonts w:ascii="Times New Roman" w:hAnsi="Times New Roman" w:cs="Times New Roman"/>
          <w:sz w:val="20"/>
          <w:szCs w:val="20"/>
          <w:lang w:val="de-DE"/>
        </w:rPr>
        <w:t xml:space="preserve">Kabbala – um von dieser göttlichen Wissenschaft etwas ausführliches zu reden – in weitern Sinn heißt Ueberlieferung und begreift nicht nur die geheimen Wissenschaften, die nicht öffentlich gelehrt werden dürfen, sondern auch die Methode aus den in der heiligen Schrift vorkommenden Gesetzen neue Gesetze herzuleiten, wie auch einige Fundamentalgesetze, die dem Moses  dem Berg Sinai mündlich überliefert worden seyn sollen. Im engeren Sinn aber heißt Kabbala bloß die Ueberlieferung geheimer Wissenschaften. Diese wird in theoretische und praktische Kabbala </w:t>
      </w:r>
      <w:r w:rsidRPr="000A3E80">
        <w:rPr>
          <w:rFonts w:ascii="Times New Roman" w:hAnsi="Times New Roman" w:cs="Times New Roman"/>
          <w:sz w:val="20"/>
          <w:szCs w:val="20"/>
          <w:lang w:val="de-DE"/>
        </w:rPr>
        <w:t>eingeteilt</w:t>
      </w:r>
      <w:r w:rsidRPr="000A3E80">
        <w:rPr>
          <w:rFonts w:ascii="Times New Roman" w:hAnsi="Times New Roman" w:cs="Times New Roman"/>
          <w:sz w:val="20"/>
          <w:szCs w:val="20"/>
        </w:rPr>
        <w:t>».</w:t>
      </w:r>
    </w:p>
  </w:footnote>
  <w:footnote w:id="618">
    <w:p w14:paraId="514F4E06" w14:textId="77777777" w:rsidR="00B34CC2" w:rsidRPr="000A3E80" w:rsidRDefault="00B34CC2" w:rsidP="00F721A9">
      <w:pPr>
        <w:pStyle w:val="Testonotaapidipagina"/>
        <w:jc w:val="both"/>
        <w:rPr>
          <w:rFonts w:ascii="Times New Roman" w:hAnsi="Times New Roman" w:cs="Times New Roman"/>
          <w:sz w:val="20"/>
          <w:szCs w:val="20"/>
        </w:rPr>
      </w:pPr>
      <w:r w:rsidRPr="000A3E80">
        <w:rPr>
          <w:rStyle w:val="Rimandonotaapidipagina"/>
          <w:rFonts w:ascii="Times New Roman" w:hAnsi="Times New Roman" w:cs="Times New Roman"/>
          <w:sz w:val="20"/>
          <w:szCs w:val="20"/>
        </w:rPr>
        <w:footnoteRef/>
      </w:r>
      <w:r w:rsidRPr="000A3E80">
        <w:rPr>
          <w:rFonts w:ascii="Times New Roman" w:hAnsi="Times New Roman" w:cs="Times New Roman"/>
          <w:sz w:val="20"/>
          <w:szCs w:val="20"/>
        </w:rPr>
        <w:t xml:space="preserve"> </w:t>
      </w:r>
      <w:r w:rsidRPr="000A3E80">
        <w:rPr>
          <w:rFonts w:ascii="Times New Roman" w:hAnsi="Times New Roman" w:cs="Times New Roman"/>
          <w:i/>
          <w:sz w:val="20"/>
          <w:szCs w:val="20"/>
        </w:rPr>
        <w:t>Ivi</w:t>
      </w:r>
      <w:r w:rsidRPr="000A3E80">
        <w:rPr>
          <w:rFonts w:ascii="Times New Roman" w:hAnsi="Times New Roman" w:cs="Times New Roman"/>
          <w:sz w:val="20"/>
          <w:szCs w:val="20"/>
        </w:rPr>
        <w:t>, p. 128.</w:t>
      </w:r>
    </w:p>
  </w:footnote>
  <w:footnote w:id="619">
    <w:p w14:paraId="6A711A5D" w14:textId="7DCDD0C6" w:rsidR="00B34CC2" w:rsidRPr="000A3E80" w:rsidRDefault="00B34CC2" w:rsidP="00F721A9">
      <w:pPr>
        <w:pStyle w:val="Testonotaapidipagina"/>
        <w:jc w:val="both"/>
        <w:rPr>
          <w:rFonts w:ascii="Times New Roman" w:hAnsi="Times New Roman" w:cs="Times New Roman"/>
          <w:sz w:val="20"/>
          <w:szCs w:val="20"/>
        </w:rPr>
      </w:pPr>
      <w:r w:rsidRPr="000A3E80">
        <w:rPr>
          <w:rStyle w:val="Rimandonotaapidipagina"/>
          <w:rFonts w:ascii="Times New Roman" w:hAnsi="Times New Roman" w:cs="Times New Roman"/>
          <w:sz w:val="20"/>
          <w:szCs w:val="20"/>
        </w:rPr>
        <w:footnoteRef/>
      </w:r>
      <w:r w:rsidRPr="000A3E80">
        <w:rPr>
          <w:rFonts w:ascii="Times New Roman" w:hAnsi="Times New Roman" w:cs="Times New Roman"/>
          <w:sz w:val="20"/>
          <w:szCs w:val="20"/>
        </w:rPr>
        <w:t xml:space="preserve"> Fra di esse so</w:t>
      </w:r>
      <w:r>
        <w:rPr>
          <w:rFonts w:ascii="Times New Roman" w:hAnsi="Times New Roman" w:cs="Times New Roman"/>
          <w:sz w:val="20"/>
          <w:szCs w:val="20"/>
        </w:rPr>
        <w:t>no degne di nota le osservazioni</w:t>
      </w:r>
      <w:r w:rsidRPr="000A3E80">
        <w:rPr>
          <w:rFonts w:ascii="Times New Roman" w:hAnsi="Times New Roman" w:cs="Times New Roman"/>
          <w:sz w:val="20"/>
          <w:szCs w:val="20"/>
        </w:rPr>
        <w:t xml:space="preserve"> sull’albero sefirotico e sulla barba di Dio (insegnamento dell’</w:t>
      </w:r>
      <w:r w:rsidRPr="000A3E80">
        <w:rPr>
          <w:rFonts w:ascii="Times New Roman" w:hAnsi="Times New Roman" w:cs="Times New Roman"/>
          <w:i/>
          <w:sz w:val="20"/>
          <w:szCs w:val="20"/>
        </w:rPr>
        <w:t>Idra Rabba</w:t>
      </w:r>
      <w:r w:rsidRPr="000A3E80">
        <w:rPr>
          <w:rFonts w:ascii="Times New Roman" w:hAnsi="Times New Roman" w:cs="Times New Roman"/>
          <w:sz w:val="20"/>
          <w:szCs w:val="20"/>
        </w:rPr>
        <w:t>). Cfr. Ivi, p. 132: «</w:t>
      </w:r>
      <w:r w:rsidRPr="000A3E80">
        <w:rPr>
          <w:rFonts w:ascii="Times New Roman" w:hAnsi="Times New Roman" w:cs="Times New Roman"/>
          <w:sz w:val="20"/>
          <w:szCs w:val="20"/>
          <w:lang w:val="de-DE"/>
        </w:rPr>
        <w:t>Die eine war der Baum. oder die Vorstellung der göttlichen Ausflüße nach ihren mannigfaltigen Krümmungen und Verwickelungen unter einander. Die zweyte war Gottes Bart; dessen Haare in mannigfaltige Klassen, deren jede etwas Eigenthümliches hat, und worin jedes Haar eine besondere Ableitung der göttlichen Gnade ist</w:t>
      </w:r>
      <w:r>
        <w:rPr>
          <w:rFonts w:ascii="Times New Roman" w:hAnsi="Times New Roman" w:cs="Times New Roman"/>
          <w:sz w:val="20"/>
          <w:szCs w:val="20"/>
        </w:rPr>
        <w:t xml:space="preserve">». </w:t>
      </w:r>
    </w:p>
  </w:footnote>
  <w:footnote w:id="620">
    <w:p w14:paraId="100D47FE" w14:textId="77777777" w:rsidR="00B34CC2" w:rsidRPr="000A3E80" w:rsidRDefault="00B34CC2" w:rsidP="00F721A9">
      <w:pPr>
        <w:pStyle w:val="Testonotaapidipagina"/>
        <w:jc w:val="both"/>
        <w:rPr>
          <w:rFonts w:ascii="Times New Roman" w:hAnsi="Times New Roman" w:cs="Times New Roman"/>
          <w:sz w:val="20"/>
          <w:szCs w:val="20"/>
        </w:rPr>
      </w:pPr>
      <w:r w:rsidRPr="000A3E80">
        <w:rPr>
          <w:rStyle w:val="Rimandonotaapidipagina"/>
          <w:rFonts w:ascii="Times New Roman" w:hAnsi="Times New Roman" w:cs="Times New Roman"/>
          <w:sz w:val="20"/>
          <w:szCs w:val="20"/>
        </w:rPr>
        <w:footnoteRef/>
      </w:r>
      <w:r w:rsidRPr="000A3E80">
        <w:rPr>
          <w:rFonts w:ascii="Times New Roman" w:hAnsi="Times New Roman" w:cs="Times New Roman"/>
          <w:sz w:val="20"/>
          <w:szCs w:val="20"/>
        </w:rPr>
        <w:t xml:space="preserve"> </w:t>
      </w:r>
      <w:r w:rsidRPr="000A3E80">
        <w:rPr>
          <w:rFonts w:ascii="Times New Roman" w:hAnsi="Times New Roman" w:cs="Times New Roman"/>
          <w:i/>
          <w:sz w:val="20"/>
          <w:szCs w:val="20"/>
        </w:rPr>
        <w:t>Ivi</w:t>
      </w:r>
      <w:r w:rsidRPr="000A3E80">
        <w:rPr>
          <w:rFonts w:ascii="Times New Roman" w:hAnsi="Times New Roman" w:cs="Times New Roman"/>
          <w:sz w:val="20"/>
          <w:szCs w:val="20"/>
        </w:rPr>
        <w:t>, p. 135.</w:t>
      </w:r>
    </w:p>
  </w:footnote>
  <w:footnote w:id="621">
    <w:p w14:paraId="688F8575" w14:textId="77777777" w:rsidR="00B34CC2" w:rsidRPr="00285133" w:rsidRDefault="00B34CC2" w:rsidP="00F721A9">
      <w:pPr>
        <w:pStyle w:val="Testonotaapidipagina"/>
        <w:jc w:val="both"/>
        <w:rPr>
          <w:rFonts w:ascii="Times New Roman" w:hAnsi="Times New Roman" w:cs="Times New Roman"/>
          <w:sz w:val="20"/>
          <w:szCs w:val="20"/>
          <w:highlight w:val="yellow"/>
        </w:rPr>
      </w:pPr>
      <w:r w:rsidRPr="000A3E80">
        <w:rPr>
          <w:rStyle w:val="Rimandonotaapidipagina"/>
          <w:rFonts w:ascii="Times New Roman" w:hAnsi="Times New Roman" w:cs="Times New Roman"/>
          <w:sz w:val="20"/>
          <w:szCs w:val="20"/>
        </w:rPr>
        <w:footnoteRef/>
      </w:r>
      <w:r w:rsidRPr="000A3E80">
        <w:rPr>
          <w:rFonts w:ascii="Times New Roman" w:hAnsi="Times New Roman" w:cs="Times New Roman"/>
          <w:sz w:val="20"/>
          <w:szCs w:val="20"/>
        </w:rPr>
        <w:t xml:space="preserve"> Cfr. </w:t>
      </w:r>
      <w:r w:rsidRPr="000A3E80">
        <w:rPr>
          <w:rFonts w:ascii="Times New Roman" w:hAnsi="Times New Roman" w:cs="Times New Roman"/>
          <w:i/>
          <w:sz w:val="20"/>
          <w:szCs w:val="20"/>
        </w:rPr>
        <w:t>Ivi</w:t>
      </w:r>
      <w:r w:rsidRPr="000A3E80">
        <w:rPr>
          <w:rFonts w:ascii="Times New Roman" w:hAnsi="Times New Roman" w:cs="Times New Roman"/>
          <w:sz w:val="20"/>
          <w:szCs w:val="20"/>
        </w:rPr>
        <w:t>, pp. 135-137.</w:t>
      </w:r>
    </w:p>
  </w:footnote>
  <w:footnote w:id="622">
    <w:p w14:paraId="64FFBD75" w14:textId="77777777" w:rsidR="00B34CC2" w:rsidRPr="00285133" w:rsidRDefault="00B34CC2" w:rsidP="00F721A9">
      <w:pPr>
        <w:pStyle w:val="Testonotaapidipagina"/>
        <w:jc w:val="both"/>
        <w:rPr>
          <w:rFonts w:ascii="Times New Roman" w:hAnsi="Times New Roman" w:cs="Times New Roman"/>
          <w:sz w:val="20"/>
          <w:szCs w:val="20"/>
        </w:rPr>
      </w:pPr>
      <w:r w:rsidRPr="002F0347">
        <w:rPr>
          <w:rStyle w:val="Rimandonotaapidipagina"/>
          <w:rFonts w:ascii="Times New Roman" w:hAnsi="Times New Roman" w:cs="Times New Roman"/>
          <w:sz w:val="20"/>
          <w:szCs w:val="20"/>
        </w:rPr>
        <w:footnoteRef/>
      </w:r>
      <w:r w:rsidRPr="002F0347">
        <w:rPr>
          <w:rFonts w:ascii="Times New Roman" w:hAnsi="Times New Roman" w:cs="Times New Roman"/>
          <w:sz w:val="20"/>
          <w:szCs w:val="20"/>
        </w:rPr>
        <w:t xml:space="preserve"> </w:t>
      </w:r>
      <w:r w:rsidRPr="002F0347">
        <w:rPr>
          <w:rFonts w:ascii="Times New Roman" w:hAnsi="Times New Roman" w:cs="Times New Roman"/>
          <w:i/>
          <w:sz w:val="20"/>
          <w:szCs w:val="20"/>
        </w:rPr>
        <w:t>Ivi</w:t>
      </w:r>
      <w:r w:rsidRPr="002F0347">
        <w:rPr>
          <w:rFonts w:ascii="Times New Roman" w:hAnsi="Times New Roman" w:cs="Times New Roman"/>
          <w:sz w:val="20"/>
          <w:szCs w:val="20"/>
        </w:rPr>
        <w:t>, p. 138.</w:t>
      </w:r>
    </w:p>
  </w:footnote>
  <w:footnote w:id="623">
    <w:p w14:paraId="4214172F" w14:textId="77777777" w:rsidR="00B34CC2" w:rsidRPr="00521285" w:rsidRDefault="00B34CC2" w:rsidP="00F721A9">
      <w:pPr>
        <w:pStyle w:val="Testonotaapidipagina"/>
        <w:jc w:val="both"/>
        <w:rPr>
          <w:rFonts w:ascii="Times New Roman" w:hAnsi="Times New Roman" w:cs="Times New Roman"/>
          <w:sz w:val="20"/>
          <w:szCs w:val="20"/>
        </w:rPr>
      </w:pPr>
      <w:r w:rsidRPr="00521285">
        <w:rPr>
          <w:rStyle w:val="Rimandonotaapidipagina"/>
          <w:rFonts w:ascii="Times New Roman" w:hAnsi="Times New Roman" w:cs="Times New Roman"/>
          <w:sz w:val="20"/>
          <w:szCs w:val="20"/>
        </w:rPr>
        <w:footnoteRef/>
      </w:r>
      <w:r w:rsidRPr="00521285">
        <w:rPr>
          <w:rFonts w:ascii="Times New Roman" w:hAnsi="Times New Roman" w:cs="Times New Roman"/>
          <w:sz w:val="20"/>
          <w:szCs w:val="20"/>
        </w:rPr>
        <w:t xml:space="preserve"> </w:t>
      </w:r>
      <w:r w:rsidRPr="00521285">
        <w:rPr>
          <w:rFonts w:ascii="Times New Roman" w:hAnsi="Times New Roman" w:cs="Times New Roman"/>
          <w:i/>
          <w:sz w:val="20"/>
          <w:szCs w:val="20"/>
        </w:rPr>
        <w:t>Ibidem.</w:t>
      </w:r>
    </w:p>
  </w:footnote>
  <w:footnote w:id="624">
    <w:p w14:paraId="17CA2C36" w14:textId="53F9BE98" w:rsidR="00B34CC2" w:rsidRPr="002F0347" w:rsidRDefault="00B34CC2" w:rsidP="00F721A9">
      <w:pPr>
        <w:pStyle w:val="Testonotaapidipagina"/>
        <w:jc w:val="both"/>
        <w:rPr>
          <w:rFonts w:ascii="Times New Roman" w:hAnsi="Times New Roman" w:cs="Times New Roman"/>
          <w:sz w:val="20"/>
          <w:szCs w:val="20"/>
        </w:rPr>
      </w:pPr>
      <w:r w:rsidRPr="00E54229">
        <w:rPr>
          <w:rStyle w:val="Rimandonotaapidipagina"/>
          <w:rFonts w:ascii="Times New Roman" w:hAnsi="Times New Roman" w:cs="Times New Roman"/>
          <w:sz w:val="20"/>
          <w:szCs w:val="20"/>
        </w:rPr>
        <w:footnoteRef/>
      </w:r>
      <w:r w:rsidRPr="00E54229">
        <w:rPr>
          <w:rFonts w:ascii="Times New Roman" w:hAnsi="Times New Roman" w:cs="Times New Roman"/>
          <w:sz w:val="20"/>
          <w:szCs w:val="20"/>
        </w:rPr>
        <w:t xml:space="preserve"> </w:t>
      </w:r>
      <w:r>
        <w:rPr>
          <w:rFonts w:ascii="Times New Roman" w:hAnsi="Times New Roman" w:cs="Times New Roman"/>
          <w:sz w:val="20"/>
          <w:szCs w:val="20"/>
        </w:rPr>
        <w:t xml:space="preserve">È singolare che Christoph Schulte, nella già ricordata monografia sulla nozione di </w:t>
      </w:r>
      <w:r>
        <w:rPr>
          <w:rFonts w:ascii="Times New Roman" w:hAnsi="Times New Roman" w:cs="Times New Roman"/>
          <w:i/>
          <w:sz w:val="20"/>
          <w:szCs w:val="20"/>
        </w:rPr>
        <w:t>tzimtzum</w:t>
      </w:r>
      <w:r>
        <w:rPr>
          <w:rFonts w:ascii="Times New Roman" w:hAnsi="Times New Roman" w:cs="Times New Roman"/>
          <w:sz w:val="20"/>
          <w:szCs w:val="20"/>
        </w:rPr>
        <w:t xml:space="preserve">, non abbia inserito un capitolo su Salomon Maimon. Non soltanto la </w:t>
      </w:r>
      <w:r w:rsidRPr="004F3CE8">
        <w:rPr>
          <w:rFonts w:ascii="Times New Roman" w:hAnsi="Times New Roman" w:cs="Times New Roman"/>
          <w:i/>
          <w:sz w:val="20"/>
          <w:szCs w:val="20"/>
        </w:rPr>
        <w:t xml:space="preserve">Lebensgeschichte </w:t>
      </w:r>
      <w:r>
        <w:rPr>
          <w:rFonts w:ascii="Times New Roman" w:hAnsi="Times New Roman" w:cs="Times New Roman"/>
          <w:sz w:val="20"/>
          <w:szCs w:val="20"/>
        </w:rPr>
        <w:t xml:space="preserve">discute espressamente il tema, ma collega questo insegnamento lurianico con l’attività causale della sostanza spinoziana. Visto che l’argomento era stato già introdotto con la discussione dell’opera di Wachter, sarebbe stato opportuno analizzare anche in questo caso la questione, evidenziandone sia le continuità che le discontinuità con lo </w:t>
      </w:r>
      <w:r>
        <w:rPr>
          <w:rFonts w:ascii="Times New Roman" w:hAnsi="Times New Roman" w:cs="Times New Roman"/>
          <w:i/>
          <w:sz w:val="20"/>
          <w:szCs w:val="20"/>
        </w:rPr>
        <w:t>Spinozismus in Jüdenthu</w:t>
      </w:r>
      <w:r w:rsidRPr="002F0347">
        <w:rPr>
          <w:rFonts w:ascii="Times New Roman" w:hAnsi="Times New Roman" w:cs="Times New Roman"/>
          <w:i/>
          <w:sz w:val="20"/>
          <w:szCs w:val="20"/>
        </w:rPr>
        <w:t>mb</w:t>
      </w:r>
      <w:r w:rsidRPr="002F0347">
        <w:rPr>
          <w:rFonts w:ascii="Times New Roman" w:hAnsi="Times New Roman" w:cs="Times New Roman"/>
          <w:sz w:val="20"/>
          <w:szCs w:val="20"/>
        </w:rPr>
        <w:t xml:space="preserve"> e l’</w:t>
      </w:r>
      <w:r w:rsidRPr="002F0347">
        <w:rPr>
          <w:rFonts w:ascii="Times New Roman" w:hAnsi="Times New Roman" w:cs="Times New Roman"/>
          <w:i/>
          <w:sz w:val="20"/>
          <w:szCs w:val="20"/>
        </w:rPr>
        <w:t>Elucidarius Cabalisticus</w:t>
      </w:r>
      <w:r w:rsidRPr="002F0347">
        <w:rPr>
          <w:rFonts w:ascii="Times New Roman" w:hAnsi="Times New Roman" w:cs="Times New Roman"/>
          <w:sz w:val="20"/>
          <w:szCs w:val="20"/>
        </w:rPr>
        <w:t>.</w:t>
      </w:r>
    </w:p>
  </w:footnote>
  <w:footnote w:id="625">
    <w:p w14:paraId="420EC7B1" w14:textId="77777777" w:rsidR="00B34CC2" w:rsidRPr="002F0347" w:rsidRDefault="00B34CC2" w:rsidP="00F721A9">
      <w:pPr>
        <w:pStyle w:val="Testonotaapidipagina"/>
        <w:jc w:val="both"/>
        <w:rPr>
          <w:rFonts w:ascii="Times New Roman" w:hAnsi="Times New Roman" w:cs="Times New Roman"/>
          <w:sz w:val="20"/>
          <w:szCs w:val="20"/>
        </w:rPr>
      </w:pPr>
      <w:r w:rsidRPr="002F0347">
        <w:rPr>
          <w:rStyle w:val="Rimandonotaapidipagina"/>
          <w:rFonts w:ascii="Times New Roman" w:hAnsi="Times New Roman" w:cs="Times New Roman"/>
          <w:sz w:val="20"/>
          <w:szCs w:val="20"/>
        </w:rPr>
        <w:footnoteRef/>
      </w:r>
      <w:r w:rsidRPr="002F0347">
        <w:rPr>
          <w:rFonts w:ascii="Times New Roman" w:hAnsi="Times New Roman" w:cs="Times New Roman"/>
          <w:sz w:val="20"/>
          <w:szCs w:val="20"/>
        </w:rPr>
        <w:t xml:space="preserve"> </w:t>
      </w:r>
      <w:r w:rsidRPr="00B20A44">
        <w:rPr>
          <w:rFonts w:ascii="Times New Roman" w:hAnsi="Times New Roman" w:cs="Times New Roman"/>
          <w:i/>
          <w:sz w:val="20"/>
          <w:szCs w:val="20"/>
        </w:rPr>
        <w:t>Ivi</w:t>
      </w:r>
      <w:r w:rsidRPr="002F0347">
        <w:rPr>
          <w:rFonts w:ascii="Times New Roman" w:hAnsi="Times New Roman" w:cs="Times New Roman"/>
          <w:sz w:val="20"/>
          <w:szCs w:val="20"/>
        </w:rPr>
        <w:t xml:space="preserve">, p. 139. </w:t>
      </w:r>
    </w:p>
  </w:footnote>
  <w:footnote w:id="626">
    <w:p w14:paraId="4C0FB45B" w14:textId="77777777" w:rsidR="00B34CC2" w:rsidRPr="00811A46" w:rsidRDefault="00B34CC2" w:rsidP="00F721A9">
      <w:pPr>
        <w:pStyle w:val="Testonotaapidipagina"/>
        <w:jc w:val="both"/>
        <w:rPr>
          <w:rFonts w:ascii="Times New Roman" w:hAnsi="Times New Roman"/>
          <w:sz w:val="20"/>
          <w:szCs w:val="20"/>
        </w:rPr>
      </w:pPr>
      <w:r w:rsidRPr="002F0347">
        <w:rPr>
          <w:rStyle w:val="Rimandonotaapidipagina"/>
          <w:rFonts w:ascii="Times New Roman" w:hAnsi="Times New Roman"/>
          <w:sz w:val="20"/>
          <w:szCs w:val="20"/>
        </w:rPr>
        <w:footnoteRef/>
      </w:r>
      <w:r w:rsidRPr="002F0347">
        <w:rPr>
          <w:rFonts w:ascii="Times New Roman" w:hAnsi="Times New Roman"/>
          <w:sz w:val="20"/>
          <w:szCs w:val="20"/>
        </w:rPr>
        <w:t xml:space="preserve"> Cfr. p. 132.</w:t>
      </w:r>
    </w:p>
  </w:footnote>
  <w:footnote w:id="627">
    <w:p w14:paraId="1186E5D9" w14:textId="64BCC6CF" w:rsidR="00B34CC2" w:rsidRPr="005D75CA" w:rsidRDefault="00B34CC2" w:rsidP="00F721A9">
      <w:pPr>
        <w:pStyle w:val="Testonotaapidipagina"/>
        <w:jc w:val="both"/>
        <w:rPr>
          <w:rFonts w:ascii="Times New Roman" w:hAnsi="Times New Roman" w:cs="Times New Roman"/>
          <w:sz w:val="20"/>
          <w:szCs w:val="20"/>
        </w:rPr>
      </w:pPr>
      <w:r w:rsidRPr="005D75CA">
        <w:rPr>
          <w:rStyle w:val="Rimandonotaapidipagina"/>
          <w:rFonts w:ascii="Times New Roman" w:hAnsi="Times New Roman" w:cs="Times New Roman"/>
          <w:sz w:val="20"/>
          <w:szCs w:val="20"/>
        </w:rPr>
        <w:footnoteRef/>
      </w:r>
      <w:r w:rsidRPr="005D75CA">
        <w:rPr>
          <w:rFonts w:ascii="Times New Roman" w:hAnsi="Times New Roman" w:cs="Times New Roman"/>
          <w:sz w:val="20"/>
          <w:szCs w:val="20"/>
        </w:rPr>
        <w:t xml:space="preserve"> Nella </w:t>
      </w:r>
      <w:r w:rsidRPr="005D75CA">
        <w:rPr>
          <w:rFonts w:ascii="Times New Roman" w:hAnsi="Times New Roman" w:cs="Times New Roman"/>
          <w:i/>
          <w:sz w:val="20"/>
          <w:szCs w:val="20"/>
        </w:rPr>
        <w:t>Historia critica philosophiae</w:t>
      </w:r>
      <w:r w:rsidRPr="005D75CA">
        <w:rPr>
          <w:rFonts w:ascii="Times New Roman" w:hAnsi="Times New Roman" w:cs="Times New Roman"/>
          <w:sz w:val="20"/>
          <w:szCs w:val="20"/>
        </w:rPr>
        <w:t xml:space="preserve">, </w:t>
      </w:r>
      <w:r>
        <w:rPr>
          <w:rFonts w:ascii="Times New Roman" w:hAnsi="Times New Roman" w:cs="Times New Roman"/>
          <w:sz w:val="20"/>
          <w:szCs w:val="20"/>
        </w:rPr>
        <w:t>Brucker dedica</w:t>
      </w:r>
      <w:r w:rsidRPr="005D75CA">
        <w:rPr>
          <w:rFonts w:ascii="Times New Roman" w:hAnsi="Times New Roman" w:cs="Times New Roman"/>
          <w:sz w:val="20"/>
          <w:szCs w:val="20"/>
        </w:rPr>
        <w:t xml:space="preserve"> due tavole </w:t>
      </w:r>
      <w:r>
        <w:rPr>
          <w:rFonts w:ascii="Times New Roman" w:hAnsi="Times New Roman" w:cs="Times New Roman"/>
          <w:sz w:val="20"/>
          <w:szCs w:val="20"/>
        </w:rPr>
        <w:t>all’esplicazione</w:t>
      </w:r>
      <w:r w:rsidRPr="005D75CA">
        <w:rPr>
          <w:rFonts w:ascii="Times New Roman" w:hAnsi="Times New Roman" w:cs="Times New Roman"/>
          <w:sz w:val="20"/>
          <w:szCs w:val="20"/>
        </w:rPr>
        <w:t xml:space="preserve"> della disposizione circolare </w:t>
      </w:r>
      <w:r>
        <w:rPr>
          <w:rFonts w:ascii="Times New Roman" w:hAnsi="Times New Roman" w:cs="Times New Roman"/>
          <w:sz w:val="20"/>
          <w:szCs w:val="20"/>
        </w:rPr>
        <w:t xml:space="preserve">e concentrica </w:t>
      </w:r>
      <w:r w:rsidRPr="005D75CA">
        <w:rPr>
          <w:rFonts w:ascii="Times New Roman" w:hAnsi="Times New Roman" w:cs="Times New Roman"/>
          <w:sz w:val="20"/>
          <w:szCs w:val="20"/>
        </w:rPr>
        <w:t xml:space="preserve">delle </w:t>
      </w:r>
      <w:r w:rsidRPr="005D75CA">
        <w:rPr>
          <w:rFonts w:ascii="Times New Roman" w:eastAsia="Times New Roman" w:hAnsi="Times New Roman" w:cs="Times New Roman"/>
          <w:i/>
          <w:iCs/>
          <w:color w:val="222222"/>
          <w:sz w:val="20"/>
          <w:szCs w:val="20"/>
          <w:shd w:val="clear" w:color="auto" w:fill="FFFFFF"/>
        </w:rPr>
        <w:t>Sefiroth</w:t>
      </w:r>
      <w:r>
        <w:rPr>
          <w:rFonts w:ascii="Times New Roman" w:eastAsia="Times New Roman" w:hAnsi="Times New Roman" w:cs="Times New Roman"/>
          <w:i/>
          <w:iCs/>
          <w:color w:val="222222"/>
          <w:sz w:val="20"/>
          <w:szCs w:val="20"/>
          <w:shd w:val="clear" w:color="auto" w:fill="FFFFFF"/>
        </w:rPr>
        <w:t xml:space="preserve"> </w:t>
      </w:r>
      <w:r>
        <w:rPr>
          <w:rFonts w:ascii="Times New Roman" w:eastAsia="Times New Roman" w:hAnsi="Times New Roman" w:cs="Times New Roman"/>
          <w:iCs/>
          <w:color w:val="222222"/>
          <w:sz w:val="20"/>
          <w:szCs w:val="20"/>
          <w:shd w:val="clear" w:color="auto" w:fill="FFFFFF"/>
        </w:rPr>
        <w:t xml:space="preserve">(cfr. </w:t>
      </w:r>
      <w:r>
        <w:rPr>
          <w:rFonts w:ascii="Times New Roman" w:hAnsi="Times New Roman" w:cs="Times New Roman"/>
          <w:sz w:val="20"/>
          <w:szCs w:val="20"/>
        </w:rPr>
        <w:t xml:space="preserve">J.J. Brucker, </w:t>
      </w:r>
      <w:r w:rsidRPr="00C42C3D">
        <w:rPr>
          <w:rFonts w:ascii="Times New Roman" w:eastAsia="Times New Roman" w:hAnsi="Times New Roman" w:cs="Times New Roman"/>
          <w:i/>
          <w:iCs/>
          <w:color w:val="222222"/>
          <w:sz w:val="20"/>
          <w:szCs w:val="20"/>
          <w:shd w:val="clear" w:color="auto" w:fill="FFFFFF"/>
        </w:rPr>
        <w:t>Historia critica philosophiae</w:t>
      </w:r>
      <w:r w:rsidRPr="00DE4B9F">
        <w:rPr>
          <w:rFonts w:ascii="Times New Roman" w:eastAsia="Times New Roman" w:hAnsi="Times New Roman" w:cs="Times New Roman"/>
          <w:iCs/>
          <w:color w:val="222222"/>
          <w:sz w:val="20"/>
          <w:szCs w:val="20"/>
          <w:shd w:val="clear" w:color="auto" w:fill="FFFFFF"/>
        </w:rPr>
        <w:t>,</w:t>
      </w:r>
      <w:r>
        <w:rPr>
          <w:rFonts w:ascii="Times New Roman" w:eastAsia="Times New Roman" w:hAnsi="Times New Roman" w:cs="Times New Roman"/>
          <w:i/>
          <w:iCs/>
          <w:color w:val="222222"/>
          <w:sz w:val="20"/>
          <w:szCs w:val="20"/>
          <w:shd w:val="clear" w:color="auto" w:fill="FFFFFF"/>
        </w:rPr>
        <w:t xml:space="preserve"> </w:t>
      </w:r>
      <w:r>
        <w:rPr>
          <w:rFonts w:ascii="Times New Roman" w:hAnsi="Times New Roman" w:cs="Times New Roman"/>
          <w:sz w:val="20"/>
          <w:szCs w:val="20"/>
        </w:rPr>
        <w:t>Vol. II, cit., p. 1000 e 1020</w:t>
      </w:r>
      <w:r>
        <w:rPr>
          <w:rFonts w:ascii="Times New Roman" w:eastAsia="Times New Roman" w:hAnsi="Times New Roman" w:cs="Times New Roman"/>
          <w:iCs/>
          <w:color w:val="222222"/>
          <w:sz w:val="20"/>
          <w:szCs w:val="20"/>
          <w:shd w:val="clear" w:color="auto" w:fill="FFFFFF"/>
        </w:rPr>
        <w:t xml:space="preserve">). Nel testo si è deciso d’inserire la prima tavola (vedi </w:t>
      </w:r>
      <w:r>
        <w:rPr>
          <w:rFonts w:ascii="Times New Roman" w:hAnsi="Times New Roman" w:cs="Times New Roman"/>
          <w:sz w:val="20"/>
          <w:szCs w:val="20"/>
        </w:rPr>
        <w:t xml:space="preserve">J.J. Brucker, </w:t>
      </w:r>
      <w:r w:rsidRPr="00C42C3D">
        <w:rPr>
          <w:rFonts w:ascii="Times New Roman" w:eastAsia="Times New Roman" w:hAnsi="Times New Roman" w:cs="Times New Roman"/>
          <w:i/>
          <w:iCs/>
          <w:color w:val="222222"/>
          <w:sz w:val="20"/>
          <w:szCs w:val="20"/>
          <w:shd w:val="clear" w:color="auto" w:fill="FFFFFF"/>
        </w:rPr>
        <w:t>Historia critica philosophiae</w:t>
      </w:r>
      <w:r w:rsidRPr="00DE4B9F">
        <w:rPr>
          <w:rFonts w:ascii="Times New Roman" w:eastAsia="Times New Roman" w:hAnsi="Times New Roman" w:cs="Times New Roman"/>
          <w:iCs/>
          <w:color w:val="222222"/>
          <w:sz w:val="20"/>
          <w:szCs w:val="20"/>
          <w:shd w:val="clear" w:color="auto" w:fill="FFFFFF"/>
        </w:rPr>
        <w:t>,</w:t>
      </w:r>
      <w:r>
        <w:rPr>
          <w:rFonts w:ascii="Times New Roman" w:eastAsia="Times New Roman" w:hAnsi="Times New Roman" w:cs="Times New Roman"/>
          <w:i/>
          <w:iCs/>
          <w:color w:val="222222"/>
          <w:sz w:val="20"/>
          <w:szCs w:val="20"/>
          <w:shd w:val="clear" w:color="auto" w:fill="FFFFFF"/>
        </w:rPr>
        <w:t xml:space="preserve"> </w:t>
      </w:r>
      <w:r>
        <w:rPr>
          <w:rFonts w:ascii="Times New Roman" w:hAnsi="Times New Roman" w:cs="Times New Roman"/>
          <w:sz w:val="20"/>
          <w:szCs w:val="20"/>
        </w:rPr>
        <w:t>Vol. II, cit., p. 1000).</w:t>
      </w:r>
    </w:p>
  </w:footnote>
  <w:footnote w:id="628">
    <w:p w14:paraId="7F2C60B0" w14:textId="13CC7B13" w:rsidR="00B34CC2" w:rsidRPr="000E217A" w:rsidRDefault="00B34CC2" w:rsidP="00F721A9">
      <w:pPr>
        <w:pStyle w:val="Testonotaapidipagina"/>
        <w:jc w:val="both"/>
        <w:rPr>
          <w:rFonts w:ascii="Times New Roman" w:hAnsi="Times New Roman" w:cs="Times New Roman"/>
          <w:sz w:val="20"/>
          <w:szCs w:val="20"/>
        </w:rPr>
      </w:pPr>
      <w:r w:rsidRPr="000E217A">
        <w:rPr>
          <w:rStyle w:val="Rimandonotaapidipagina"/>
          <w:rFonts w:ascii="Times New Roman" w:hAnsi="Times New Roman" w:cs="Times New Roman"/>
          <w:sz w:val="20"/>
          <w:szCs w:val="20"/>
        </w:rPr>
        <w:footnoteRef/>
      </w:r>
      <w:r w:rsidRPr="000E217A">
        <w:rPr>
          <w:rFonts w:ascii="Times New Roman" w:hAnsi="Times New Roman" w:cs="Times New Roman"/>
          <w:sz w:val="20"/>
          <w:szCs w:val="20"/>
        </w:rPr>
        <w:t xml:space="preserve"> Vedi </w:t>
      </w:r>
      <w:r w:rsidRPr="000E217A">
        <w:rPr>
          <w:rFonts w:ascii="Times New Roman" w:hAnsi="Times New Roman" w:cs="Times New Roman"/>
          <w:i/>
          <w:sz w:val="20"/>
          <w:szCs w:val="20"/>
        </w:rPr>
        <w:t>infra</w:t>
      </w:r>
      <w:r>
        <w:rPr>
          <w:rFonts w:ascii="Times New Roman" w:hAnsi="Times New Roman" w:cs="Times New Roman"/>
          <w:sz w:val="20"/>
          <w:szCs w:val="20"/>
        </w:rPr>
        <w:t>, pp. 178-182</w:t>
      </w:r>
      <w:r w:rsidRPr="000E217A">
        <w:rPr>
          <w:rFonts w:ascii="Times New Roman" w:hAnsi="Times New Roman" w:cs="Times New Roman"/>
          <w:sz w:val="20"/>
          <w:szCs w:val="20"/>
        </w:rPr>
        <w:t>.</w:t>
      </w:r>
    </w:p>
  </w:footnote>
  <w:footnote w:id="629">
    <w:p w14:paraId="64863C3E" w14:textId="15F70AE0" w:rsidR="00B34CC2" w:rsidRPr="00B060A4" w:rsidRDefault="00B34CC2" w:rsidP="00F721A9">
      <w:pPr>
        <w:pStyle w:val="Testonotaapidipagina"/>
        <w:jc w:val="both"/>
        <w:rPr>
          <w:rFonts w:ascii="Times New Roman" w:hAnsi="Times New Roman"/>
          <w:sz w:val="20"/>
          <w:szCs w:val="20"/>
        </w:rPr>
      </w:pPr>
      <w:r w:rsidRPr="00B060A4">
        <w:rPr>
          <w:rStyle w:val="Rimandonotaapidipagina"/>
          <w:rFonts w:ascii="Times New Roman" w:hAnsi="Times New Roman"/>
          <w:sz w:val="20"/>
          <w:szCs w:val="20"/>
        </w:rPr>
        <w:footnoteRef/>
      </w:r>
      <w:r w:rsidRPr="00B060A4">
        <w:rPr>
          <w:rFonts w:ascii="Times New Roman" w:hAnsi="Times New Roman"/>
          <w:sz w:val="20"/>
          <w:szCs w:val="20"/>
        </w:rPr>
        <w:t xml:space="preserve"> </w:t>
      </w:r>
      <w:r>
        <w:rPr>
          <w:rFonts w:ascii="Times New Roman" w:hAnsi="Times New Roman"/>
          <w:sz w:val="20"/>
          <w:szCs w:val="20"/>
        </w:rPr>
        <w:t xml:space="preserve">Sulla volontà hegeliana di cogliere, al di là dell’inadeguatezza della forma, il contenuto speculativamente pregnante del sapere mistico-religioso cfr. </w:t>
      </w:r>
      <w:r w:rsidRPr="00D829E1">
        <w:rPr>
          <w:rFonts w:ascii="Times New Roman" w:hAnsi="Times New Roman"/>
          <w:i/>
          <w:sz w:val="20"/>
          <w:szCs w:val="20"/>
        </w:rPr>
        <w:t>supra</w:t>
      </w:r>
      <w:r>
        <w:rPr>
          <w:rFonts w:ascii="Times New Roman" w:hAnsi="Times New Roman"/>
          <w:sz w:val="20"/>
          <w:szCs w:val="20"/>
        </w:rPr>
        <w:t xml:space="preserve">, pp. 57-58, note 146 e 147. </w:t>
      </w:r>
    </w:p>
  </w:footnote>
  <w:footnote w:id="630">
    <w:p w14:paraId="0CC1FD8E" w14:textId="77777777" w:rsidR="00B34CC2" w:rsidRPr="00D829E1" w:rsidRDefault="00B34CC2" w:rsidP="00F721A9">
      <w:pPr>
        <w:pStyle w:val="Testonotaapidipagina"/>
        <w:jc w:val="both"/>
        <w:rPr>
          <w:rFonts w:ascii="Times New Roman" w:hAnsi="Times New Roman" w:cs="Times New Roman"/>
          <w:sz w:val="20"/>
          <w:szCs w:val="20"/>
        </w:rPr>
      </w:pPr>
      <w:r w:rsidRPr="00D829E1">
        <w:rPr>
          <w:rStyle w:val="Rimandonotaapidipagina"/>
          <w:rFonts w:ascii="Times New Roman" w:hAnsi="Times New Roman" w:cs="Times New Roman"/>
          <w:sz w:val="20"/>
          <w:szCs w:val="20"/>
        </w:rPr>
        <w:footnoteRef/>
      </w:r>
      <w:r>
        <w:rPr>
          <w:rFonts w:ascii="Times New Roman" w:hAnsi="Times New Roman" w:cs="Times New Roman"/>
          <w:sz w:val="20"/>
          <w:szCs w:val="20"/>
        </w:rPr>
        <w:t xml:space="preserve"> </w:t>
      </w:r>
      <w:r w:rsidRPr="006040A4">
        <w:rPr>
          <w:rFonts w:ascii="Times New Roman" w:hAnsi="Times New Roman"/>
          <w:sz w:val="20"/>
          <w:szCs w:val="20"/>
        </w:rPr>
        <w:t xml:space="preserve">S. </w:t>
      </w:r>
      <w:r w:rsidRPr="006040A4">
        <w:rPr>
          <w:rFonts w:ascii="Times New Roman" w:hAnsi="Times New Roman" w:cs="Times New Roman"/>
          <w:sz w:val="20"/>
          <w:szCs w:val="20"/>
        </w:rPr>
        <w:t xml:space="preserve">Maiomon, </w:t>
      </w:r>
      <w:r w:rsidRPr="006040A4">
        <w:rPr>
          <w:rFonts w:ascii="Times New Roman" w:hAnsi="Times New Roman" w:cs="Times New Roman"/>
          <w:i/>
          <w:sz w:val="20"/>
          <w:szCs w:val="20"/>
        </w:rPr>
        <w:t>Lebensgeschichte</w:t>
      </w:r>
      <w:r w:rsidRPr="006040A4">
        <w:rPr>
          <w:rFonts w:ascii="Times New Roman" w:hAnsi="Times New Roman" w:cs="Times New Roman"/>
          <w:sz w:val="20"/>
          <w:szCs w:val="20"/>
        </w:rPr>
        <w:t>,</w:t>
      </w:r>
      <w:r>
        <w:rPr>
          <w:rFonts w:ascii="Times New Roman" w:hAnsi="Times New Roman" w:cs="Times New Roman"/>
          <w:sz w:val="20"/>
          <w:szCs w:val="20"/>
        </w:rPr>
        <w:t xml:space="preserve"> cit.</w:t>
      </w:r>
      <w:r w:rsidRPr="00D829E1">
        <w:rPr>
          <w:rFonts w:ascii="Times New Roman" w:hAnsi="Times New Roman" w:cs="Times New Roman"/>
          <w:sz w:val="20"/>
          <w:szCs w:val="20"/>
        </w:rPr>
        <w:t>, p. 140.</w:t>
      </w:r>
    </w:p>
  </w:footnote>
  <w:footnote w:id="631">
    <w:p w14:paraId="0928DAB3" w14:textId="77777777" w:rsidR="00B34CC2" w:rsidRPr="000E25B1" w:rsidRDefault="00B34CC2" w:rsidP="00F721A9">
      <w:pPr>
        <w:pStyle w:val="Testonotaapidipagina"/>
        <w:jc w:val="both"/>
        <w:rPr>
          <w:rFonts w:ascii="Times New Roman" w:hAnsi="Times New Roman" w:cs="Times New Roman"/>
          <w:sz w:val="20"/>
          <w:szCs w:val="20"/>
        </w:rPr>
      </w:pPr>
      <w:r w:rsidRPr="000E25B1">
        <w:rPr>
          <w:rStyle w:val="Rimandonotaapidipagina"/>
          <w:rFonts w:ascii="Times New Roman" w:hAnsi="Times New Roman" w:cs="Times New Roman"/>
          <w:sz w:val="20"/>
          <w:szCs w:val="20"/>
        </w:rPr>
        <w:footnoteRef/>
      </w:r>
      <w:r w:rsidRPr="000E25B1">
        <w:rPr>
          <w:rFonts w:ascii="Times New Roman" w:hAnsi="Times New Roman" w:cs="Times New Roman"/>
          <w:sz w:val="20"/>
          <w:szCs w:val="20"/>
        </w:rPr>
        <w:t xml:space="preserve"> </w:t>
      </w:r>
      <w:r w:rsidRPr="000E25B1">
        <w:rPr>
          <w:rFonts w:ascii="Times New Roman" w:hAnsi="Times New Roman" w:cs="Times New Roman"/>
          <w:i/>
          <w:sz w:val="20"/>
          <w:szCs w:val="20"/>
        </w:rPr>
        <w:t>Ivi</w:t>
      </w:r>
      <w:r>
        <w:rPr>
          <w:rFonts w:ascii="Times New Roman" w:hAnsi="Times New Roman" w:cs="Times New Roman"/>
          <w:sz w:val="20"/>
          <w:szCs w:val="20"/>
        </w:rPr>
        <w:t>, pp. 140-141.</w:t>
      </w:r>
    </w:p>
  </w:footnote>
  <w:footnote w:id="632">
    <w:p w14:paraId="7F5ABBA6" w14:textId="098F1E71" w:rsidR="00B34CC2" w:rsidRPr="002F0347" w:rsidRDefault="00B34CC2" w:rsidP="00F721A9">
      <w:pPr>
        <w:pStyle w:val="Testonotaapidipagina"/>
        <w:jc w:val="both"/>
        <w:rPr>
          <w:rFonts w:ascii="Times New Roman" w:hAnsi="Times New Roman" w:cs="Times New Roman"/>
          <w:sz w:val="20"/>
          <w:szCs w:val="20"/>
        </w:rPr>
      </w:pPr>
      <w:r w:rsidRPr="002F0347">
        <w:rPr>
          <w:rStyle w:val="Rimandonotaapidipagina"/>
          <w:rFonts w:ascii="Times New Roman" w:hAnsi="Times New Roman" w:cs="Times New Roman"/>
          <w:sz w:val="20"/>
          <w:szCs w:val="20"/>
        </w:rPr>
        <w:footnoteRef/>
      </w:r>
      <w:r w:rsidRPr="002F0347">
        <w:rPr>
          <w:rFonts w:ascii="Times New Roman" w:hAnsi="Times New Roman" w:cs="Times New Roman"/>
          <w:sz w:val="20"/>
          <w:szCs w:val="20"/>
        </w:rPr>
        <w:t xml:space="preserve"> Vedi </w:t>
      </w:r>
      <w:r w:rsidRPr="002F0347">
        <w:rPr>
          <w:rFonts w:ascii="Times New Roman" w:hAnsi="Times New Roman" w:cs="Times New Roman"/>
          <w:i/>
          <w:sz w:val="20"/>
          <w:szCs w:val="20"/>
        </w:rPr>
        <w:t>supra</w:t>
      </w:r>
      <w:r>
        <w:rPr>
          <w:rFonts w:ascii="Times New Roman" w:hAnsi="Times New Roman" w:cs="Times New Roman"/>
          <w:sz w:val="20"/>
          <w:szCs w:val="20"/>
        </w:rPr>
        <w:t>, p. 174</w:t>
      </w:r>
      <w:r w:rsidRPr="002F0347">
        <w:rPr>
          <w:rFonts w:ascii="Times New Roman" w:hAnsi="Times New Roman" w:cs="Times New Roman"/>
          <w:sz w:val="20"/>
          <w:szCs w:val="20"/>
        </w:rPr>
        <w:t>.</w:t>
      </w:r>
    </w:p>
  </w:footnote>
  <w:footnote w:id="633">
    <w:p w14:paraId="56DDB91A" w14:textId="77777777" w:rsidR="00B34CC2" w:rsidRPr="008E748C" w:rsidRDefault="00B34CC2" w:rsidP="00F721A9">
      <w:pPr>
        <w:pStyle w:val="Testonotaapidipagina"/>
        <w:jc w:val="both"/>
        <w:rPr>
          <w:rFonts w:ascii="Times New Roman" w:hAnsi="Times New Roman" w:cs="Times New Roman"/>
          <w:sz w:val="20"/>
          <w:szCs w:val="20"/>
        </w:rPr>
      </w:pPr>
      <w:r w:rsidRPr="002F0347">
        <w:rPr>
          <w:rStyle w:val="Rimandonotaapidipagina"/>
          <w:rFonts w:ascii="Times New Roman" w:hAnsi="Times New Roman" w:cs="Times New Roman"/>
          <w:sz w:val="20"/>
          <w:szCs w:val="20"/>
        </w:rPr>
        <w:footnoteRef/>
      </w:r>
      <w:r w:rsidRPr="002F0347">
        <w:rPr>
          <w:rFonts w:ascii="Times New Roman" w:hAnsi="Times New Roman" w:cs="Times New Roman"/>
          <w:sz w:val="20"/>
          <w:szCs w:val="20"/>
        </w:rPr>
        <w:t xml:space="preserve"> Sulla negazione della creazione dal nulla cfr. B. Spinoza, </w:t>
      </w:r>
      <w:r w:rsidRPr="002F0347">
        <w:rPr>
          <w:rFonts w:ascii="Times New Roman" w:hAnsi="Times New Roman" w:cs="Times New Roman"/>
          <w:i/>
          <w:sz w:val="20"/>
          <w:szCs w:val="20"/>
        </w:rPr>
        <w:t>Tutte le opere</w:t>
      </w:r>
      <w:r w:rsidRPr="002F0347">
        <w:rPr>
          <w:rFonts w:ascii="Times New Roman" w:hAnsi="Times New Roman" w:cs="Times New Roman"/>
          <w:sz w:val="20"/>
          <w:szCs w:val="20"/>
        </w:rPr>
        <w:t xml:space="preserve">, cit., p. 1178: «Porro tametsi Deum actu summe intelligentem concipiant, non tamen credunt, eum posse omnia, quae actu intelligit, efficere, ut existant; nam se eo modo Dei potentiam destruere putant […] Verum ego me satis clare ostendisse puto (vid. Prop. 16.), a summa Dei potentia, sive infinita natura infinita infinitis modis, hoc est, omnia necessariuo effluxisse […] Quare Dei omnipotentia actu ab aeterno fuit, et in aeternum in eadem actualitate manebat». Sulla natura necessaria della sostanza vedi </w:t>
      </w:r>
      <w:r w:rsidRPr="002F0347">
        <w:rPr>
          <w:rFonts w:ascii="Times New Roman" w:hAnsi="Times New Roman" w:cs="Times New Roman"/>
          <w:i/>
          <w:sz w:val="20"/>
          <w:szCs w:val="20"/>
        </w:rPr>
        <w:t>Ivi</w:t>
      </w:r>
      <w:r w:rsidRPr="002F0347">
        <w:rPr>
          <w:rFonts w:ascii="Times New Roman" w:hAnsi="Times New Roman" w:cs="Times New Roman"/>
          <w:sz w:val="20"/>
          <w:szCs w:val="20"/>
        </w:rPr>
        <w:t xml:space="preserve">, p. 1146: «Per causam sui intelligo id, cujus essentia involvit existentiam, sive id, cujus natura non potest concipi, nisi existens». Sulla dipendenza ideale e reale di ogni cosa da Dio vedi </w:t>
      </w:r>
      <w:r w:rsidRPr="002F0347">
        <w:rPr>
          <w:rFonts w:ascii="Times New Roman" w:hAnsi="Times New Roman" w:cs="Times New Roman"/>
          <w:i/>
          <w:sz w:val="20"/>
          <w:szCs w:val="20"/>
        </w:rPr>
        <w:t>Ivi</w:t>
      </w:r>
      <w:r w:rsidRPr="002F0347">
        <w:rPr>
          <w:rFonts w:ascii="Times New Roman" w:hAnsi="Times New Roman" w:cs="Times New Roman"/>
          <w:sz w:val="20"/>
          <w:szCs w:val="20"/>
        </w:rPr>
        <w:t>, p. 1166: «Quicquid est, in Deo est, et sine Deo esse, neque concipi potest».</w:t>
      </w:r>
    </w:p>
  </w:footnote>
  <w:footnote w:id="634">
    <w:p w14:paraId="13130692" w14:textId="77777777" w:rsidR="00B34CC2" w:rsidRPr="001059A3" w:rsidRDefault="00B34CC2" w:rsidP="00F721A9">
      <w:pPr>
        <w:pStyle w:val="Testonotaapidipagina"/>
        <w:jc w:val="both"/>
        <w:rPr>
          <w:rFonts w:ascii="Times New Roman" w:hAnsi="Times New Roman"/>
          <w:sz w:val="20"/>
          <w:szCs w:val="20"/>
        </w:rPr>
      </w:pPr>
      <w:r w:rsidRPr="00E65D42">
        <w:rPr>
          <w:rStyle w:val="Rimandonotaapidipagina"/>
          <w:rFonts w:ascii="Times New Roman" w:hAnsi="Times New Roman" w:cs="Times New Roman"/>
          <w:sz w:val="20"/>
          <w:szCs w:val="20"/>
        </w:rPr>
        <w:footnoteRef/>
      </w:r>
      <w:r>
        <w:rPr>
          <w:rFonts w:ascii="Times New Roman" w:hAnsi="Times New Roman"/>
          <w:sz w:val="20"/>
          <w:szCs w:val="20"/>
        </w:rPr>
        <w:t xml:space="preserve"> Ivi</w:t>
      </w:r>
      <w:r>
        <w:rPr>
          <w:rFonts w:ascii="Times New Roman" w:hAnsi="Times New Roman" w:cs="Times New Roman"/>
          <w:sz w:val="20"/>
          <w:szCs w:val="20"/>
        </w:rPr>
        <w:t>, p. 141.</w:t>
      </w:r>
    </w:p>
  </w:footnote>
  <w:footnote w:id="635">
    <w:p w14:paraId="5BEFC6A2" w14:textId="77777777" w:rsidR="00B34CC2" w:rsidRPr="008E748C" w:rsidRDefault="00B34CC2" w:rsidP="00F721A9">
      <w:pPr>
        <w:pStyle w:val="Testonotaapidipagina"/>
        <w:jc w:val="both"/>
        <w:rPr>
          <w:rFonts w:ascii="Times New Roman" w:hAnsi="Times New Roman" w:cs="Times New Roman"/>
          <w:sz w:val="20"/>
          <w:szCs w:val="20"/>
        </w:rPr>
      </w:pPr>
      <w:r w:rsidRPr="001668E4">
        <w:rPr>
          <w:rStyle w:val="Rimandonotaapidipagina"/>
          <w:rFonts w:ascii="Times New Roman" w:hAnsi="Times New Roman" w:cs="Times New Roman"/>
          <w:sz w:val="20"/>
          <w:szCs w:val="20"/>
        </w:rPr>
        <w:footnoteRef/>
      </w:r>
      <w:r w:rsidRPr="001668E4">
        <w:rPr>
          <w:rFonts w:ascii="Times New Roman" w:hAnsi="Times New Roman" w:cs="Times New Roman"/>
          <w:sz w:val="20"/>
          <w:szCs w:val="20"/>
        </w:rPr>
        <w:t xml:space="preserve"> </w:t>
      </w:r>
      <w:r>
        <w:rPr>
          <w:rFonts w:ascii="Times New Roman" w:hAnsi="Times New Roman" w:cs="Times New Roman"/>
          <w:sz w:val="20"/>
          <w:szCs w:val="20"/>
        </w:rPr>
        <w:t xml:space="preserve">B. Spinoza, </w:t>
      </w:r>
      <w:r>
        <w:rPr>
          <w:rFonts w:ascii="Times New Roman" w:hAnsi="Times New Roman" w:cs="Times New Roman"/>
          <w:i/>
          <w:sz w:val="20"/>
          <w:szCs w:val="20"/>
        </w:rPr>
        <w:t>Tutte le opere</w:t>
      </w:r>
      <w:r>
        <w:rPr>
          <w:rFonts w:ascii="Times New Roman" w:hAnsi="Times New Roman" w:cs="Times New Roman"/>
          <w:sz w:val="20"/>
          <w:szCs w:val="20"/>
        </w:rPr>
        <w:t xml:space="preserve">, cit., p. 1146: </w:t>
      </w:r>
      <w:r w:rsidRPr="008E748C">
        <w:rPr>
          <w:rFonts w:ascii="Times New Roman" w:hAnsi="Times New Roman" w:cs="Times New Roman"/>
          <w:sz w:val="20"/>
          <w:szCs w:val="20"/>
        </w:rPr>
        <w:t>«Per Deum intelligo ens absolute infinitum, hoc est, substantiam constantem infinitis attributis, quorum unumquodque aeternam, et infinitam essentiam exprimit».</w:t>
      </w:r>
    </w:p>
  </w:footnote>
  <w:footnote w:id="636">
    <w:p w14:paraId="18A42C84" w14:textId="77777777" w:rsidR="00B34CC2" w:rsidRPr="0026041B" w:rsidRDefault="00B34CC2" w:rsidP="00F721A9">
      <w:pPr>
        <w:pStyle w:val="Testonotaapidipagina"/>
        <w:jc w:val="both"/>
        <w:rPr>
          <w:rFonts w:ascii="Times New Roman" w:hAnsi="Times New Roman" w:cs="Times New Roman"/>
          <w:sz w:val="20"/>
          <w:szCs w:val="20"/>
        </w:rPr>
      </w:pPr>
      <w:r w:rsidRPr="0026041B">
        <w:rPr>
          <w:rStyle w:val="Rimandonotaapidipagina"/>
          <w:rFonts w:ascii="Times New Roman" w:hAnsi="Times New Roman" w:cs="Times New Roman"/>
          <w:sz w:val="20"/>
          <w:szCs w:val="20"/>
        </w:rPr>
        <w:footnoteRef/>
      </w:r>
      <w:r w:rsidRPr="0026041B">
        <w:rPr>
          <w:rFonts w:ascii="Times New Roman" w:hAnsi="Times New Roman" w:cs="Times New Roman"/>
          <w:sz w:val="20"/>
          <w:szCs w:val="20"/>
        </w:rPr>
        <w:t xml:space="preserve"> </w:t>
      </w:r>
      <w:r w:rsidRPr="0026041B">
        <w:rPr>
          <w:rFonts w:ascii="Times New Roman" w:hAnsi="Times New Roman" w:cs="Times New Roman"/>
          <w:i/>
          <w:sz w:val="20"/>
          <w:szCs w:val="20"/>
        </w:rPr>
        <w:t>Ivi</w:t>
      </w:r>
      <w:r>
        <w:rPr>
          <w:rFonts w:ascii="Times New Roman" w:hAnsi="Times New Roman" w:cs="Times New Roman"/>
          <w:sz w:val="20"/>
          <w:szCs w:val="20"/>
        </w:rPr>
        <w:t>, p. 153.</w:t>
      </w:r>
    </w:p>
  </w:footnote>
  <w:footnote w:id="637">
    <w:p w14:paraId="6D4C7A80" w14:textId="77777777" w:rsidR="00B34CC2" w:rsidRPr="00291EE3" w:rsidRDefault="00B34CC2" w:rsidP="00F721A9">
      <w:pPr>
        <w:pStyle w:val="Testonotaapidipagina"/>
        <w:jc w:val="both"/>
        <w:rPr>
          <w:rFonts w:ascii="Times New Roman" w:hAnsi="Times New Roman" w:cs="Times New Roman"/>
          <w:sz w:val="20"/>
          <w:szCs w:val="20"/>
        </w:rPr>
      </w:pPr>
      <w:r w:rsidRPr="00291EE3">
        <w:rPr>
          <w:rStyle w:val="Rimandonotaapidipagina"/>
          <w:rFonts w:ascii="Times New Roman" w:hAnsi="Times New Roman" w:cs="Times New Roman"/>
          <w:sz w:val="20"/>
          <w:szCs w:val="20"/>
        </w:rPr>
        <w:footnoteRef/>
      </w:r>
      <w:r w:rsidRPr="00291EE3">
        <w:rPr>
          <w:rFonts w:ascii="Times New Roman" w:hAnsi="Times New Roman" w:cs="Times New Roman"/>
          <w:sz w:val="20"/>
          <w:szCs w:val="20"/>
        </w:rPr>
        <w:t xml:space="preserve"> </w:t>
      </w:r>
      <w:r w:rsidRPr="00291EE3">
        <w:rPr>
          <w:rFonts w:ascii="Times New Roman" w:hAnsi="Times New Roman" w:cs="Times New Roman"/>
          <w:i/>
          <w:sz w:val="20"/>
          <w:szCs w:val="20"/>
        </w:rPr>
        <w:t>Ibidem</w:t>
      </w:r>
      <w:r w:rsidRPr="00291EE3">
        <w:rPr>
          <w:rFonts w:ascii="Times New Roman" w:hAnsi="Times New Roman" w:cs="Times New Roman"/>
          <w:sz w:val="20"/>
          <w:szCs w:val="20"/>
        </w:rPr>
        <w:t>.</w:t>
      </w:r>
    </w:p>
  </w:footnote>
  <w:footnote w:id="638">
    <w:p w14:paraId="2A046355" w14:textId="77777777" w:rsidR="00B34CC2" w:rsidRPr="00C76757" w:rsidRDefault="00B34CC2" w:rsidP="00F721A9">
      <w:pPr>
        <w:pStyle w:val="Testonotaapidipagina"/>
        <w:jc w:val="both"/>
        <w:rPr>
          <w:rFonts w:ascii="Times New Roman" w:hAnsi="Times New Roman" w:cs="Times New Roman"/>
          <w:sz w:val="20"/>
          <w:szCs w:val="20"/>
        </w:rPr>
      </w:pPr>
      <w:r w:rsidRPr="00C76757">
        <w:rPr>
          <w:rStyle w:val="Rimandonotaapidipagina"/>
          <w:rFonts w:ascii="Times New Roman" w:hAnsi="Times New Roman" w:cs="Times New Roman"/>
          <w:sz w:val="20"/>
          <w:szCs w:val="20"/>
        </w:rPr>
        <w:footnoteRef/>
      </w:r>
      <w:r w:rsidRPr="00C76757">
        <w:rPr>
          <w:rFonts w:ascii="Times New Roman" w:hAnsi="Times New Roman" w:cs="Times New Roman"/>
          <w:sz w:val="20"/>
          <w:szCs w:val="20"/>
        </w:rPr>
        <w:t xml:space="preserve"> Ivi, p. 154.</w:t>
      </w:r>
    </w:p>
  </w:footnote>
  <w:footnote w:id="639">
    <w:p w14:paraId="05637DD6" w14:textId="1C21FA36" w:rsidR="00B34CC2" w:rsidRPr="00C76757" w:rsidRDefault="00B34CC2" w:rsidP="00F721A9">
      <w:pPr>
        <w:pStyle w:val="Testonotaapidipagina"/>
        <w:jc w:val="both"/>
        <w:rPr>
          <w:rFonts w:ascii="Times New Roman" w:hAnsi="Times New Roman" w:cs="Times New Roman"/>
          <w:sz w:val="20"/>
          <w:szCs w:val="20"/>
        </w:rPr>
      </w:pPr>
      <w:r w:rsidRPr="00C76757">
        <w:rPr>
          <w:rStyle w:val="Rimandonotaapidipagina"/>
          <w:rFonts w:ascii="Times New Roman" w:hAnsi="Times New Roman" w:cs="Times New Roman"/>
          <w:sz w:val="20"/>
          <w:szCs w:val="20"/>
        </w:rPr>
        <w:footnoteRef/>
      </w:r>
      <w:r>
        <w:t xml:space="preserve"> </w:t>
      </w:r>
      <w:r>
        <w:rPr>
          <w:rFonts w:ascii="Times New Roman" w:hAnsi="Times New Roman" w:cs="Times New Roman"/>
          <w:sz w:val="20"/>
          <w:szCs w:val="20"/>
        </w:rPr>
        <w:t xml:space="preserve">Anche Karl Heinrich Heydenreich, autore del </w:t>
      </w:r>
      <w:r w:rsidRPr="00C76757">
        <w:rPr>
          <w:rFonts w:ascii="Times New Roman" w:hAnsi="Times New Roman" w:cs="Times New Roman"/>
          <w:i/>
          <w:sz w:val="20"/>
          <w:szCs w:val="20"/>
        </w:rPr>
        <w:t>Natur und Gott nach Spinoza</w:t>
      </w:r>
      <w:r>
        <w:rPr>
          <w:rFonts w:ascii="Times New Roman" w:hAnsi="Times New Roman" w:cs="Times New Roman"/>
          <w:sz w:val="20"/>
          <w:szCs w:val="20"/>
        </w:rPr>
        <w:t xml:space="preserve">, si era pronunciato sulla natura illusoria della molteplicità delle modificazioni della sostanza spinoziana, avendo in mente la distinzione fra infinito dell’intelletto e dell’immaginazione. Cfr, K.H. Heydenreich, </w:t>
      </w:r>
      <w:r w:rsidRPr="00C76757">
        <w:rPr>
          <w:rFonts w:ascii="Times New Roman" w:hAnsi="Times New Roman" w:cs="Times New Roman"/>
          <w:i/>
          <w:sz w:val="20"/>
          <w:szCs w:val="20"/>
        </w:rPr>
        <w:t>Natur und Gott nach Spinoza</w:t>
      </w:r>
      <w:r>
        <w:rPr>
          <w:rFonts w:ascii="Times New Roman" w:hAnsi="Times New Roman" w:cs="Times New Roman"/>
          <w:sz w:val="20"/>
          <w:szCs w:val="20"/>
        </w:rPr>
        <w:t xml:space="preserve">, Leipzig 1789, pp. 204-205: </w:t>
      </w:r>
      <w:r w:rsidRPr="00673D3E">
        <w:rPr>
          <w:rFonts w:ascii="Times New Roman" w:hAnsi="Times New Roman" w:cs="Times New Roman"/>
          <w:sz w:val="20"/>
          <w:szCs w:val="20"/>
        </w:rPr>
        <w:t>«</w:t>
      </w:r>
      <w:r w:rsidRPr="00673D3E">
        <w:rPr>
          <w:rFonts w:ascii="Times New Roman" w:eastAsia="Times New Roman" w:hAnsi="Times New Roman" w:cs="Times New Roman"/>
          <w:iCs/>
          <w:color w:val="222222"/>
          <w:sz w:val="20"/>
          <w:szCs w:val="20"/>
          <w:shd w:val="clear" w:color="auto" w:fill="FFFFFF"/>
          <w:lang w:val="de-DE"/>
        </w:rPr>
        <w:t>Nur vermittelst der Phantasie, sagt er, mögen wir uns die Gröβe als theilbar, endlich, und vielfach vorstellen. Wenn wir sie mit dem Verstande denken, so müβen wir sie als unendlich, untheilbar, und einig annehmen. Indem wir nun einanderfolge und Gröβe nach unserer Willkühr eintheilen können, wenn wir sie gesondert von der Substanz vorstellen, so entsteht Zeit und Maaβ. Diese können wir gröβer oder kleiner annehmen, wenn wir die Moden für sich betrachten, und nicht die Ordnung der ganzen Natur; denken wir aber die Substanz selbst, so müβen wir diese Vorstellungsart vergessen, oder ihren Begriff zerstöhren. An sich hat die Ausdehnung, so wie das Denken keine Theile; nur dann eignen wir sie ihr zu, wann wir sie betrachten, wie sie unseren Sinnen und unserer Phantasie erscheint. Demnach machen die Dinge an sich ein unendliches Wesen</w:t>
      </w:r>
      <w:r w:rsidRPr="00673D3E">
        <w:rPr>
          <w:rFonts w:ascii="Times New Roman" w:hAnsi="Times New Roman" w:cs="Times New Roman"/>
          <w:sz w:val="20"/>
          <w:szCs w:val="20"/>
        </w:rPr>
        <w:t>».</w:t>
      </w:r>
      <w:r>
        <w:rPr>
          <w:rFonts w:ascii="Times New Roman" w:hAnsi="Times New Roman" w:cs="Times New Roman"/>
          <w:sz w:val="20"/>
          <w:szCs w:val="20"/>
        </w:rPr>
        <w:t xml:space="preserve"> Sull’interpretazione di Heydenreich dello spinozismo cfr. </w:t>
      </w:r>
      <w:r w:rsidRPr="00B47888">
        <w:rPr>
          <w:rFonts w:ascii="Times New Roman" w:hAnsi="Times New Roman" w:cs="Times New Roman"/>
          <w:sz w:val="20"/>
          <w:szCs w:val="20"/>
        </w:rPr>
        <w:t xml:space="preserve">H.-J. Gawoll, </w:t>
      </w:r>
      <w:r w:rsidRPr="00B47888">
        <w:rPr>
          <w:rFonts w:ascii="Times New Roman" w:hAnsi="Times New Roman" w:cs="Times New Roman"/>
          <w:i/>
          <w:sz w:val="20"/>
          <w:szCs w:val="20"/>
        </w:rPr>
        <w:t>Karl Heinrich Heydenreich: Spinozismus als Metaphysik und Vernunftglaube</w:t>
      </w:r>
      <w:r w:rsidRPr="00B47888">
        <w:rPr>
          <w:rFonts w:ascii="Times New Roman" w:hAnsi="Times New Roman" w:cs="Times New Roman"/>
          <w:sz w:val="20"/>
          <w:szCs w:val="20"/>
        </w:rPr>
        <w:t xml:space="preserve">, in </w:t>
      </w:r>
      <w:r w:rsidRPr="00B47888">
        <w:rPr>
          <w:rFonts w:ascii="Times New Roman" w:hAnsi="Times New Roman" w:cs="Times New Roman"/>
          <w:i/>
          <w:sz w:val="20"/>
          <w:szCs w:val="20"/>
        </w:rPr>
        <w:t>Spinoza im 18. Jahrhundert</w:t>
      </w:r>
      <w:r w:rsidRPr="00B47888">
        <w:rPr>
          <w:rFonts w:ascii="Times New Roman" w:hAnsi="Times New Roman" w:cs="Times New Roman"/>
          <w:sz w:val="20"/>
          <w:szCs w:val="20"/>
        </w:rPr>
        <w:t>, cit., pp. 407-429.</w:t>
      </w:r>
    </w:p>
  </w:footnote>
  <w:footnote w:id="640">
    <w:p w14:paraId="54DF38EF" w14:textId="77777777" w:rsidR="00B34CC2" w:rsidRPr="007D1BAE" w:rsidRDefault="00B34CC2" w:rsidP="00F721A9">
      <w:pPr>
        <w:pStyle w:val="Testonotaapidipagina"/>
        <w:jc w:val="both"/>
        <w:rPr>
          <w:rFonts w:ascii="Times New Roman" w:hAnsi="Times New Roman" w:cs="Times New Roman"/>
          <w:sz w:val="20"/>
          <w:szCs w:val="20"/>
        </w:rPr>
      </w:pPr>
      <w:r w:rsidRPr="007D1BAE">
        <w:rPr>
          <w:rStyle w:val="Rimandonotaapidipagina"/>
          <w:rFonts w:ascii="Times New Roman" w:hAnsi="Times New Roman" w:cs="Times New Roman"/>
          <w:sz w:val="20"/>
          <w:szCs w:val="20"/>
        </w:rPr>
        <w:footnoteRef/>
      </w:r>
      <w:r w:rsidRPr="007D1BAE">
        <w:rPr>
          <w:rFonts w:ascii="Times New Roman" w:hAnsi="Times New Roman" w:cs="Times New Roman"/>
          <w:sz w:val="20"/>
          <w:szCs w:val="20"/>
        </w:rPr>
        <w:t xml:space="preserve"> La definizione di cosmoteismo è introdotta da Jacobi nella terza edizione delle </w:t>
      </w:r>
      <w:r w:rsidRPr="007D1BAE">
        <w:rPr>
          <w:rFonts w:ascii="Times New Roman" w:hAnsi="Times New Roman" w:cs="Times New Roman"/>
          <w:i/>
          <w:sz w:val="20"/>
          <w:szCs w:val="20"/>
        </w:rPr>
        <w:t>Spinozabriefe</w:t>
      </w:r>
      <w:r w:rsidRPr="007D1BAE">
        <w:rPr>
          <w:rFonts w:ascii="Times New Roman" w:hAnsi="Times New Roman" w:cs="Times New Roman"/>
          <w:sz w:val="20"/>
          <w:szCs w:val="20"/>
        </w:rPr>
        <w:t xml:space="preserve">. Discussa è l’edizione critica della </w:t>
      </w:r>
      <w:r w:rsidRPr="007D1BAE">
        <w:rPr>
          <w:rFonts w:ascii="Times New Roman" w:hAnsi="Times New Roman" w:cs="Times New Roman"/>
          <w:i/>
          <w:sz w:val="20"/>
          <w:szCs w:val="20"/>
        </w:rPr>
        <w:t>Historia naturalis</w:t>
      </w:r>
      <w:r w:rsidRPr="007D1BAE">
        <w:rPr>
          <w:rFonts w:ascii="Times New Roman" w:hAnsi="Times New Roman" w:cs="Times New Roman"/>
          <w:sz w:val="20"/>
          <w:szCs w:val="20"/>
        </w:rPr>
        <w:t xml:space="preserve"> di Plinio del 1782. Il curatore dell’opera pliniana, Lamoignon de Malesherbes, commentando un passo di Plinio, osserva che sarebbe opportuno definire il suo pensiero come cosmoteistico. Cfr. F. H. Jabobi, </w:t>
      </w:r>
      <w:r w:rsidRPr="007D1BAE">
        <w:rPr>
          <w:rFonts w:ascii="Times New Roman" w:hAnsi="Times New Roman" w:cs="Times New Roman"/>
          <w:i/>
          <w:sz w:val="20"/>
          <w:szCs w:val="20"/>
        </w:rPr>
        <w:t>Schriften zum Spinozismusstreit</w:t>
      </w:r>
      <w:r w:rsidRPr="007D1BAE">
        <w:rPr>
          <w:rFonts w:ascii="Times New Roman" w:hAnsi="Times New Roman" w:cs="Times New Roman"/>
          <w:sz w:val="20"/>
          <w:szCs w:val="20"/>
        </w:rPr>
        <w:t xml:space="preserve">, cit., p. 121: </w:t>
      </w:r>
      <w:r w:rsidRPr="007D1BAE">
        <w:rPr>
          <w:rFonts w:ascii="Times New Roman" w:hAnsi="Times New Roman" w:cs="Times New Roman"/>
          <w:i/>
          <w:sz w:val="20"/>
          <w:szCs w:val="20"/>
        </w:rPr>
        <w:t>«</w:t>
      </w:r>
      <w:r w:rsidRPr="007D1BAE">
        <w:rPr>
          <w:rFonts w:ascii="Times New Roman" w:hAnsi="Times New Roman" w:cs="Times New Roman"/>
          <w:sz w:val="20"/>
          <w:szCs w:val="20"/>
        </w:rPr>
        <w:t xml:space="preserve">In der, von dem würdigen Lamoignon de Malesherbes im Jahr 1750 veranstaltet, und durch die vereinigten Bemühungen mehrer gelehrten Männer in und ausser Frankreich, im Jahr 1782 vollendeten, neuen Pariser Ausgabe der Naturgeschichte der älteren Plinius, mit gegenüber stehender französischer Uebersetzung und beygefügten kritischen und anderen gelehrten Anmerkungen, findet sich zu der bekannten Stelle am Anfange des zweiten Buchs: «Mundum, et hoc quodcunque nomine alio coelum appellare libuit, cujus circumflexu teguntur cuncta, numen esse credi par est» – folgende Anmerkung: Ceci prouve que Pline n’étoit point un Athée, come l’a prétendu le père Hardouin, mais un Théiste, qui, ne concevant rien au-delà de Dieu, a cru que Dieu et la matière considérée comme infinie, n’étoient qu’une même chose. Appellons donc Pline, non un Athée, mais un </w:t>
      </w:r>
      <w:r w:rsidRPr="007D1BAE">
        <w:rPr>
          <w:rFonts w:ascii="Times New Roman" w:hAnsi="Times New Roman" w:cs="Times New Roman"/>
          <w:i/>
          <w:sz w:val="20"/>
          <w:szCs w:val="20"/>
        </w:rPr>
        <w:t>Cosmo-Théiste</w:t>
      </w:r>
      <w:r w:rsidRPr="007D1BAE">
        <w:rPr>
          <w:rFonts w:ascii="Times New Roman" w:hAnsi="Times New Roman" w:cs="Times New Roman"/>
          <w:sz w:val="20"/>
          <w:szCs w:val="20"/>
        </w:rPr>
        <w:t>, c’est-à-dire celui que croit que l’univers est Dieu».</w:t>
      </w:r>
    </w:p>
  </w:footnote>
  <w:footnote w:id="641">
    <w:p w14:paraId="1297F986" w14:textId="2157AB38" w:rsidR="00B34CC2" w:rsidRPr="008C4A69" w:rsidRDefault="00B34CC2" w:rsidP="00F721A9">
      <w:pPr>
        <w:pStyle w:val="Testonotaapidipagina"/>
        <w:jc w:val="both"/>
        <w:rPr>
          <w:rFonts w:ascii="Times New Roman" w:hAnsi="Times New Roman" w:cs="Times New Roman"/>
          <w:sz w:val="20"/>
          <w:szCs w:val="20"/>
        </w:rPr>
      </w:pPr>
      <w:r w:rsidRPr="00116023">
        <w:rPr>
          <w:rStyle w:val="Rimandonotaapidipagina"/>
          <w:rFonts w:ascii="Times New Roman" w:hAnsi="Times New Roman" w:cs="Times New Roman"/>
          <w:sz w:val="20"/>
          <w:szCs w:val="20"/>
        </w:rPr>
        <w:footnoteRef/>
      </w:r>
      <w:r w:rsidRPr="00116023">
        <w:rPr>
          <w:rFonts w:ascii="Times New Roman" w:hAnsi="Times New Roman" w:cs="Times New Roman"/>
          <w:sz w:val="20"/>
          <w:szCs w:val="20"/>
        </w:rPr>
        <w:t xml:space="preserve"> Vedi </w:t>
      </w:r>
      <w:r w:rsidRPr="00116023">
        <w:rPr>
          <w:rFonts w:ascii="Times New Roman" w:hAnsi="Times New Roman" w:cs="Times New Roman"/>
          <w:i/>
          <w:sz w:val="20"/>
          <w:szCs w:val="20"/>
        </w:rPr>
        <w:t>supra</w:t>
      </w:r>
      <w:r>
        <w:rPr>
          <w:rFonts w:ascii="Times New Roman" w:hAnsi="Times New Roman" w:cs="Times New Roman"/>
          <w:sz w:val="20"/>
          <w:szCs w:val="20"/>
        </w:rPr>
        <w:t>, p. 166, nota 16</w:t>
      </w:r>
      <w:r w:rsidRPr="00116023">
        <w:rPr>
          <w:rFonts w:ascii="Times New Roman" w:hAnsi="Times New Roman" w:cs="Times New Roman"/>
          <w:sz w:val="20"/>
          <w:szCs w:val="20"/>
        </w:rPr>
        <w:t>.</w:t>
      </w:r>
    </w:p>
  </w:footnote>
  <w:footnote w:id="642">
    <w:p w14:paraId="6B4C5535" w14:textId="77777777" w:rsidR="00B34CC2" w:rsidRPr="00FB41D8" w:rsidRDefault="00B34CC2" w:rsidP="00F721A9">
      <w:pPr>
        <w:pStyle w:val="Testonotaapidipagina"/>
        <w:jc w:val="both"/>
        <w:rPr>
          <w:rFonts w:ascii="Times New Roman" w:hAnsi="Times New Roman" w:cs="Times New Roman"/>
          <w:sz w:val="20"/>
          <w:szCs w:val="20"/>
        </w:rPr>
      </w:pPr>
      <w:r w:rsidRPr="00FB41D8">
        <w:rPr>
          <w:rStyle w:val="Rimandonotaapidipagina"/>
          <w:rFonts w:ascii="Times New Roman" w:hAnsi="Times New Roman" w:cs="Times New Roman"/>
          <w:sz w:val="20"/>
          <w:szCs w:val="20"/>
        </w:rPr>
        <w:footnoteRef/>
      </w:r>
      <w:r w:rsidRPr="00FB41D8">
        <w:rPr>
          <w:rFonts w:ascii="Times New Roman" w:hAnsi="Times New Roman" w:cs="Times New Roman"/>
          <w:sz w:val="20"/>
          <w:szCs w:val="20"/>
        </w:rPr>
        <w:t xml:space="preserve"> </w:t>
      </w:r>
      <w:r>
        <w:rPr>
          <w:rFonts w:ascii="Times New Roman" w:hAnsi="Times New Roman" w:cs="Times New Roman"/>
          <w:sz w:val="20"/>
          <w:szCs w:val="20"/>
        </w:rPr>
        <w:t xml:space="preserve">Sull’attività storico-filosofica di Tiedemann cfr. I.F. Balbo, </w:t>
      </w:r>
      <w:r w:rsidRPr="00FB41D8">
        <w:rPr>
          <w:rFonts w:ascii="Times New Roman" w:hAnsi="Times New Roman" w:cs="Times New Roman"/>
          <w:i/>
          <w:sz w:val="20"/>
          <w:szCs w:val="20"/>
        </w:rPr>
        <w:t>T</w:t>
      </w:r>
      <w:r>
        <w:rPr>
          <w:rFonts w:ascii="Times New Roman" w:hAnsi="Times New Roman" w:cs="Times New Roman"/>
          <w:i/>
          <w:sz w:val="20"/>
          <w:szCs w:val="20"/>
        </w:rPr>
        <w:t>he Göttingen School and Popularphilosophie</w:t>
      </w:r>
      <w:r>
        <w:rPr>
          <w:rFonts w:ascii="Times New Roman" w:hAnsi="Times New Roman" w:cs="Times New Roman"/>
          <w:sz w:val="20"/>
          <w:szCs w:val="20"/>
        </w:rPr>
        <w:t xml:space="preserve">, in </w:t>
      </w:r>
      <w:r w:rsidRPr="00B13B44">
        <w:rPr>
          <w:rFonts w:ascii="Times New Roman" w:hAnsi="Times New Roman" w:cs="Times New Roman"/>
          <w:i/>
          <w:sz w:val="20"/>
          <w:szCs w:val="20"/>
        </w:rPr>
        <w:t xml:space="preserve">Models of History of Philosophy </w:t>
      </w:r>
      <w:r>
        <w:rPr>
          <w:rFonts w:ascii="Times New Roman" w:hAnsi="Times New Roman" w:cs="Times New Roman"/>
          <w:sz w:val="20"/>
          <w:szCs w:val="20"/>
        </w:rPr>
        <w:t xml:space="preserve">(ed. by G. Piaia and G. Santiello), </w:t>
      </w:r>
      <w:r w:rsidRPr="006F10F8">
        <w:rPr>
          <w:rFonts w:ascii="Times New Roman" w:hAnsi="Times New Roman" w:cs="Times New Roman"/>
          <w:i/>
          <w:sz w:val="20"/>
          <w:szCs w:val="20"/>
        </w:rPr>
        <w:t>Volume I</w:t>
      </w:r>
      <w:r>
        <w:rPr>
          <w:rFonts w:ascii="Times New Roman" w:hAnsi="Times New Roman" w:cs="Times New Roman"/>
          <w:i/>
          <w:sz w:val="20"/>
          <w:szCs w:val="20"/>
        </w:rPr>
        <w:t>I</w:t>
      </w:r>
      <w:r w:rsidRPr="006F10F8">
        <w:rPr>
          <w:rFonts w:ascii="Times New Roman" w:hAnsi="Times New Roman" w:cs="Times New Roman"/>
          <w:i/>
          <w:sz w:val="20"/>
          <w:szCs w:val="20"/>
        </w:rPr>
        <w:t xml:space="preserve">I: </w:t>
      </w:r>
      <w:r>
        <w:rPr>
          <w:rFonts w:ascii="Times New Roman" w:hAnsi="Times New Roman" w:cs="Times New Roman"/>
          <w:i/>
          <w:sz w:val="20"/>
          <w:szCs w:val="20"/>
        </w:rPr>
        <w:t>The Second Enlightment and the Kantian Age</w:t>
      </w:r>
      <w:r>
        <w:rPr>
          <w:rFonts w:ascii="Times New Roman" w:hAnsi="Times New Roman" w:cs="Times New Roman"/>
          <w:sz w:val="20"/>
          <w:szCs w:val="20"/>
        </w:rPr>
        <w:t>, Springer, Dordrecht/Heidelberg/London/New York 2011, pp. 670-693.</w:t>
      </w:r>
    </w:p>
  </w:footnote>
  <w:footnote w:id="643">
    <w:p w14:paraId="6A6DAFB0" w14:textId="77777777" w:rsidR="00B34CC2" w:rsidRPr="000F7E87" w:rsidRDefault="00B34CC2" w:rsidP="00F721A9">
      <w:pPr>
        <w:pStyle w:val="Testonotaapidipagina"/>
        <w:jc w:val="both"/>
        <w:rPr>
          <w:rFonts w:ascii="Times New Roman" w:hAnsi="Times New Roman" w:cs="Times New Roman"/>
          <w:sz w:val="20"/>
          <w:szCs w:val="20"/>
        </w:rPr>
      </w:pPr>
      <w:r w:rsidRPr="000F7E87">
        <w:rPr>
          <w:rStyle w:val="Rimandonotaapidipagina"/>
          <w:rFonts w:ascii="Times New Roman" w:hAnsi="Times New Roman" w:cs="Times New Roman"/>
          <w:sz w:val="20"/>
          <w:szCs w:val="20"/>
        </w:rPr>
        <w:footnoteRef/>
      </w:r>
      <w:r w:rsidRPr="000F7E87">
        <w:rPr>
          <w:rFonts w:ascii="Times New Roman" w:hAnsi="Times New Roman" w:cs="Times New Roman"/>
          <w:sz w:val="20"/>
          <w:szCs w:val="20"/>
        </w:rPr>
        <w:t xml:space="preserve"> </w:t>
      </w:r>
      <w:r w:rsidRPr="000F7E87">
        <w:rPr>
          <w:rFonts w:ascii="Times New Roman" w:hAnsi="Times New Roman" w:cs="Times New Roman"/>
          <w:i/>
          <w:sz w:val="20"/>
          <w:szCs w:val="20"/>
        </w:rPr>
        <w:t>Ivi</w:t>
      </w:r>
      <w:r w:rsidRPr="000F7E87">
        <w:rPr>
          <w:rFonts w:ascii="Times New Roman" w:hAnsi="Times New Roman" w:cs="Times New Roman"/>
          <w:sz w:val="20"/>
          <w:szCs w:val="20"/>
        </w:rPr>
        <w:t>, p. 681.</w:t>
      </w:r>
    </w:p>
  </w:footnote>
  <w:footnote w:id="644">
    <w:p w14:paraId="0CF9E043" w14:textId="5887EA16" w:rsidR="00B34CC2" w:rsidRPr="000F7E87" w:rsidRDefault="00B34CC2" w:rsidP="00F721A9">
      <w:pPr>
        <w:pStyle w:val="Testonotaapidipagina"/>
        <w:jc w:val="both"/>
        <w:rPr>
          <w:rFonts w:ascii="Times New Roman" w:hAnsi="Times New Roman" w:cs="Times New Roman"/>
          <w:sz w:val="20"/>
          <w:szCs w:val="20"/>
        </w:rPr>
      </w:pPr>
      <w:r w:rsidRPr="000F7E87">
        <w:rPr>
          <w:rStyle w:val="Rimandonotaapidipagina"/>
          <w:rFonts w:ascii="Times New Roman" w:hAnsi="Times New Roman" w:cs="Times New Roman"/>
          <w:sz w:val="20"/>
          <w:szCs w:val="20"/>
        </w:rPr>
        <w:footnoteRef/>
      </w:r>
      <w:r w:rsidRPr="000F7E87">
        <w:rPr>
          <w:rFonts w:ascii="Times New Roman" w:hAnsi="Times New Roman" w:cs="Times New Roman"/>
          <w:sz w:val="20"/>
          <w:szCs w:val="20"/>
        </w:rPr>
        <w:t xml:space="preserve"> D. Tiedemann, </w:t>
      </w:r>
      <w:r w:rsidRPr="000F7E87">
        <w:rPr>
          <w:rFonts w:ascii="Times New Roman" w:hAnsi="Times New Roman" w:cs="Times New Roman"/>
          <w:i/>
          <w:sz w:val="20"/>
          <w:szCs w:val="20"/>
        </w:rPr>
        <w:t>Geist der speculativen Philosophie</w:t>
      </w:r>
      <w:r w:rsidRPr="000F7E87">
        <w:rPr>
          <w:rFonts w:ascii="Times New Roman" w:hAnsi="Times New Roman" w:cs="Times New Roman"/>
          <w:sz w:val="20"/>
          <w:szCs w:val="20"/>
        </w:rPr>
        <w:t xml:space="preserve">, </w:t>
      </w:r>
      <w:r>
        <w:rPr>
          <w:rFonts w:ascii="Times New Roman" w:hAnsi="Times New Roman" w:cs="Times New Roman"/>
          <w:sz w:val="20"/>
          <w:szCs w:val="20"/>
        </w:rPr>
        <w:t>Bd. I</w:t>
      </w:r>
      <w:r w:rsidRPr="000F7E87">
        <w:rPr>
          <w:rFonts w:ascii="Times New Roman" w:hAnsi="Times New Roman" w:cs="Times New Roman"/>
          <w:sz w:val="20"/>
          <w:szCs w:val="20"/>
        </w:rPr>
        <w:t>, Marburg 1791, p. 676. «</w:t>
      </w:r>
      <w:r w:rsidRPr="000F7E87">
        <w:rPr>
          <w:rFonts w:ascii="Times New Roman" w:hAnsi="Times New Roman" w:cs="Times New Roman"/>
          <w:sz w:val="20"/>
          <w:szCs w:val="20"/>
          <w:lang w:val="de-DE"/>
        </w:rPr>
        <w:t xml:space="preserve">Dem Geschitschreiber ist Pflicht die einzelnen Systeme zu beurtheilen, und ihren Wert, nebst ihrem Einflüsse bemerkbar zu machen; aber nach welchem </w:t>
      </w:r>
      <w:r>
        <w:rPr>
          <w:rFonts w:ascii="Times New Roman" w:hAnsi="Times New Roman" w:cs="Times New Roman"/>
          <w:sz w:val="20"/>
          <w:szCs w:val="20"/>
          <w:lang w:val="de-DE"/>
        </w:rPr>
        <w:t>Maaßtabe? Nicht nach dem, was in</w:t>
      </w:r>
      <w:r w:rsidRPr="000F7E87">
        <w:rPr>
          <w:rFonts w:ascii="Times New Roman" w:hAnsi="Times New Roman" w:cs="Times New Roman"/>
          <w:sz w:val="20"/>
          <w:szCs w:val="20"/>
          <w:lang w:val="de-DE"/>
        </w:rPr>
        <w:t xml:space="preserve"> Wahrheit oder Irrthum ist, denn das könnte leicht allgemeine Unwahrheit, oder Wahrheit nach Abl einiger Zeit werden; auch nicht nach dem, was seinem Zeitalter Wahrheit, oder Irrthum ist, aus gleichem Grunde Noch gebricht uns etwas allgemein geltendes in der Weltweisheit, noch haben wir nicht, gleich dem Mathematicker, sichre Regel des allgemein gültigen; die Vernunft arbeitet mehr denn je diese Regel zu finden. Also nach der Bündigkeit und Schärfe der Beweise, werden die Verdienste einzelner Philosophen gewürdigt, nach dem Hange der Lehren zur Vielseitigkeit, oder Einseitigkeit des Verstandes, und nach ihrer Reichhaltigkeit an Entdeckungen, die sie bey Nachfolgern haben veranlaßt</w:t>
      </w:r>
      <w:r w:rsidRPr="000F7E87">
        <w:rPr>
          <w:rFonts w:ascii="Times New Roman" w:hAnsi="Times New Roman" w:cs="Times New Roman"/>
          <w:sz w:val="20"/>
          <w:szCs w:val="20"/>
        </w:rPr>
        <w:t>».</w:t>
      </w:r>
    </w:p>
  </w:footnote>
  <w:footnote w:id="645">
    <w:p w14:paraId="691D1E57" w14:textId="77777777" w:rsidR="00B34CC2" w:rsidRPr="006B2A01" w:rsidRDefault="00B34CC2" w:rsidP="00F721A9">
      <w:pPr>
        <w:pStyle w:val="Testonotaapidipagina"/>
        <w:jc w:val="both"/>
        <w:rPr>
          <w:rFonts w:ascii="Times New Roman" w:hAnsi="Times New Roman" w:cs="Times New Roman"/>
          <w:sz w:val="20"/>
          <w:szCs w:val="20"/>
          <w:highlight w:val="yellow"/>
        </w:rPr>
      </w:pPr>
      <w:r w:rsidRPr="000F7E87">
        <w:rPr>
          <w:rStyle w:val="Rimandonotaapidipagina"/>
          <w:rFonts w:ascii="Times New Roman" w:hAnsi="Times New Roman" w:cs="Times New Roman"/>
          <w:sz w:val="20"/>
          <w:szCs w:val="20"/>
        </w:rPr>
        <w:footnoteRef/>
      </w:r>
      <w:r w:rsidRPr="000F7E87">
        <w:rPr>
          <w:rFonts w:ascii="Times New Roman" w:hAnsi="Times New Roman" w:cs="Times New Roman"/>
          <w:i/>
          <w:sz w:val="20"/>
          <w:szCs w:val="20"/>
        </w:rPr>
        <w:t xml:space="preserve"> </w:t>
      </w:r>
      <w:r w:rsidRPr="000F7E87">
        <w:rPr>
          <w:rFonts w:ascii="Times New Roman" w:hAnsi="Times New Roman" w:cs="Times New Roman"/>
          <w:sz w:val="20"/>
          <w:szCs w:val="20"/>
        </w:rPr>
        <w:t xml:space="preserve">D. Tiedemann, </w:t>
      </w:r>
      <w:r w:rsidRPr="000F7E87">
        <w:rPr>
          <w:rFonts w:ascii="Times New Roman" w:hAnsi="Times New Roman" w:cs="Times New Roman"/>
          <w:i/>
          <w:sz w:val="20"/>
          <w:szCs w:val="20"/>
        </w:rPr>
        <w:t>Geist der speculativen Philosophie</w:t>
      </w:r>
      <w:r w:rsidRPr="000F7E87">
        <w:rPr>
          <w:rFonts w:ascii="Times New Roman" w:hAnsi="Times New Roman" w:cs="Times New Roman"/>
          <w:sz w:val="20"/>
          <w:szCs w:val="20"/>
        </w:rPr>
        <w:t xml:space="preserve">, </w:t>
      </w:r>
      <w:r>
        <w:rPr>
          <w:rFonts w:ascii="Times New Roman" w:hAnsi="Times New Roman" w:cs="Times New Roman"/>
          <w:sz w:val="20"/>
          <w:szCs w:val="20"/>
        </w:rPr>
        <w:t>Bd. III</w:t>
      </w:r>
      <w:r w:rsidRPr="000F7E87">
        <w:rPr>
          <w:rFonts w:ascii="Times New Roman" w:hAnsi="Times New Roman" w:cs="Times New Roman"/>
          <w:sz w:val="20"/>
          <w:szCs w:val="20"/>
        </w:rPr>
        <w:t>, Marburg 179</w:t>
      </w:r>
      <w:r>
        <w:rPr>
          <w:rFonts w:ascii="Times New Roman" w:hAnsi="Times New Roman" w:cs="Times New Roman"/>
          <w:sz w:val="20"/>
          <w:szCs w:val="20"/>
        </w:rPr>
        <w:t xml:space="preserve">3, </w:t>
      </w:r>
      <w:r w:rsidRPr="000F7E87">
        <w:rPr>
          <w:rFonts w:ascii="Times New Roman" w:hAnsi="Times New Roman" w:cs="Times New Roman"/>
          <w:sz w:val="20"/>
          <w:szCs w:val="20"/>
        </w:rPr>
        <w:t>p. 149.</w:t>
      </w:r>
    </w:p>
  </w:footnote>
  <w:footnote w:id="646">
    <w:p w14:paraId="1D21CBB2" w14:textId="77777777" w:rsidR="00B34CC2" w:rsidRPr="00F607AC" w:rsidRDefault="00B34CC2" w:rsidP="00F721A9">
      <w:pPr>
        <w:pStyle w:val="Testonotaapidipagina"/>
        <w:jc w:val="both"/>
        <w:rPr>
          <w:rFonts w:ascii="Times New Roman" w:hAnsi="Times New Roman" w:cs="Times New Roman"/>
          <w:sz w:val="20"/>
          <w:szCs w:val="20"/>
        </w:rPr>
      </w:pPr>
      <w:r w:rsidRPr="00F607AC">
        <w:rPr>
          <w:rStyle w:val="Rimandonotaapidipagina"/>
          <w:rFonts w:ascii="Times New Roman" w:hAnsi="Times New Roman" w:cs="Times New Roman"/>
          <w:sz w:val="20"/>
          <w:szCs w:val="20"/>
        </w:rPr>
        <w:footnoteRef/>
      </w:r>
      <w:r w:rsidRPr="00F607AC">
        <w:rPr>
          <w:rFonts w:ascii="Times New Roman" w:hAnsi="Times New Roman" w:cs="Times New Roman"/>
          <w:sz w:val="20"/>
          <w:szCs w:val="20"/>
        </w:rPr>
        <w:t xml:space="preserve"> </w:t>
      </w:r>
      <w:r w:rsidRPr="00C16B53">
        <w:rPr>
          <w:rFonts w:ascii="Times New Roman" w:hAnsi="Times New Roman" w:cs="Times New Roman"/>
          <w:i/>
          <w:sz w:val="20"/>
          <w:szCs w:val="20"/>
        </w:rPr>
        <w:t>Ibidem</w:t>
      </w:r>
      <w:r w:rsidRPr="00C16B53">
        <w:rPr>
          <w:rFonts w:ascii="Times New Roman" w:hAnsi="Times New Roman" w:cs="Times New Roman"/>
          <w:sz w:val="20"/>
          <w:szCs w:val="20"/>
        </w:rPr>
        <w:t>.</w:t>
      </w:r>
    </w:p>
  </w:footnote>
  <w:footnote w:id="647">
    <w:p w14:paraId="34902835" w14:textId="77777777" w:rsidR="00B34CC2" w:rsidRPr="00C16B53" w:rsidRDefault="00B34CC2" w:rsidP="00F721A9">
      <w:pPr>
        <w:pStyle w:val="Testonotaapidipagina"/>
        <w:jc w:val="both"/>
        <w:rPr>
          <w:rFonts w:ascii="Times New Roman" w:hAnsi="Times New Roman" w:cs="Times New Roman"/>
          <w:sz w:val="20"/>
          <w:szCs w:val="20"/>
        </w:rPr>
      </w:pPr>
      <w:r w:rsidRPr="00C16B53">
        <w:rPr>
          <w:rStyle w:val="Rimandonotaapidipagina"/>
          <w:rFonts w:ascii="Times New Roman" w:hAnsi="Times New Roman" w:cs="Times New Roman"/>
          <w:sz w:val="20"/>
          <w:szCs w:val="20"/>
        </w:rPr>
        <w:footnoteRef/>
      </w:r>
      <w:r w:rsidRPr="00C16B53">
        <w:rPr>
          <w:rFonts w:ascii="Times New Roman" w:hAnsi="Times New Roman" w:cs="Times New Roman"/>
          <w:sz w:val="20"/>
          <w:szCs w:val="20"/>
        </w:rPr>
        <w:t xml:space="preserve"> </w:t>
      </w:r>
      <w:r w:rsidRPr="00C16B53">
        <w:rPr>
          <w:rFonts w:ascii="Times New Roman" w:hAnsi="Times New Roman" w:cs="Times New Roman"/>
          <w:i/>
          <w:sz w:val="20"/>
          <w:szCs w:val="20"/>
        </w:rPr>
        <w:t>Ibidem</w:t>
      </w:r>
      <w:r>
        <w:rPr>
          <w:rFonts w:ascii="Times New Roman" w:hAnsi="Times New Roman" w:cs="Times New Roman"/>
          <w:sz w:val="20"/>
          <w:szCs w:val="20"/>
        </w:rPr>
        <w:t>.</w:t>
      </w:r>
    </w:p>
  </w:footnote>
  <w:footnote w:id="648">
    <w:p w14:paraId="19634A1B" w14:textId="77777777" w:rsidR="00B34CC2" w:rsidRPr="00C16B53" w:rsidRDefault="00B34CC2" w:rsidP="00F721A9">
      <w:pPr>
        <w:pStyle w:val="Testonotaapidipagina"/>
        <w:jc w:val="both"/>
        <w:rPr>
          <w:rFonts w:ascii="Times New Roman" w:hAnsi="Times New Roman" w:cs="Times New Roman"/>
          <w:sz w:val="20"/>
          <w:szCs w:val="20"/>
          <w:lang w:val="de-DE"/>
        </w:rPr>
      </w:pPr>
      <w:r w:rsidRPr="00C16B53">
        <w:rPr>
          <w:rStyle w:val="Rimandonotaapidipagina"/>
          <w:rFonts w:ascii="Times New Roman" w:hAnsi="Times New Roman" w:cs="Times New Roman"/>
          <w:sz w:val="20"/>
          <w:szCs w:val="20"/>
        </w:rPr>
        <w:footnoteRef/>
      </w:r>
      <w:r w:rsidRPr="00C16B53">
        <w:rPr>
          <w:rFonts w:ascii="Times New Roman" w:hAnsi="Times New Roman" w:cs="Times New Roman"/>
          <w:sz w:val="20"/>
          <w:szCs w:val="20"/>
        </w:rPr>
        <w:t xml:space="preserve"> </w:t>
      </w:r>
      <w:r w:rsidRPr="00C16B53">
        <w:rPr>
          <w:rFonts w:ascii="Times New Roman" w:hAnsi="Times New Roman" w:cs="Times New Roman"/>
          <w:i/>
          <w:sz w:val="20"/>
          <w:szCs w:val="20"/>
        </w:rPr>
        <w:t>Ibidem</w:t>
      </w:r>
      <w:r w:rsidRPr="00943C12">
        <w:rPr>
          <w:rFonts w:ascii="Times New Roman" w:hAnsi="Times New Roman" w:cs="Times New Roman"/>
          <w:sz w:val="20"/>
          <w:szCs w:val="20"/>
        </w:rPr>
        <w:t xml:space="preserve">: </w:t>
      </w:r>
      <w:r w:rsidRPr="00943C12">
        <w:rPr>
          <w:rFonts w:ascii="Times New Roman" w:hAnsi="Times New Roman" w:cs="Times New Roman"/>
          <w:sz w:val="20"/>
          <w:szCs w:val="20"/>
          <w:lang w:val="de-DE"/>
        </w:rPr>
        <w:t>«Und ich schmeichele mir daher mit Nachsicht der Leser, wenn ich ihnen das System in der Gestalt darlege, die ein späterer Israelit, Rabbi Abraham Cohen Irira, in dem Buche, betitelt Himmelstor (Porta coelorum) ihm gegeben hat».</w:t>
      </w:r>
      <w:r w:rsidRPr="00C16B53">
        <w:rPr>
          <w:rFonts w:ascii="Times New Roman" w:hAnsi="Times New Roman" w:cs="Times New Roman"/>
          <w:sz w:val="20"/>
          <w:szCs w:val="20"/>
          <w:lang w:val="de-DE"/>
        </w:rPr>
        <w:t xml:space="preserve"> </w:t>
      </w:r>
    </w:p>
  </w:footnote>
  <w:footnote w:id="649">
    <w:p w14:paraId="111EA0EA" w14:textId="77777777" w:rsidR="00B34CC2" w:rsidRPr="00503638" w:rsidRDefault="00B34CC2" w:rsidP="00F721A9">
      <w:pPr>
        <w:pStyle w:val="Testonotaapidipagina"/>
        <w:jc w:val="both"/>
        <w:rPr>
          <w:rFonts w:ascii="Times New Roman" w:hAnsi="Times New Roman" w:cs="Times New Roman"/>
          <w:sz w:val="20"/>
          <w:szCs w:val="20"/>
        </w:rPr>
      </w:pPr>
      <w:r w:rsidRPr="00503638">
        <w:rPr>
          <w:rStyle w:val="Rimandonotaapidipagina"/>
          <w:rFonts w:ascii="Times New Roman" w:hAnsi="Times New Roman" w:cs="Times New Roman"/>
          <w:sz w:val="20"/>
          <w:szCs w:val="20"/>
        </w:rPr>
        <w:footnoteRef/>
      </w:r>
      <w:r w:rsidRPr="00503638">
        <w:rPr>
          <w:rFonts w:ascii="Times New Roman" w:hAnsi="Times New Roman" w:cs="Times New Roman"/>
          <w:sz w:val="20"/>
          <w:szCs w:val="20"/>
        </w:rPr>
        <w:t xml:space="preserve"> </w:t>
      </w:r>
      <w:r w:rsidRPr="00503638">
        <w:rPr>
          <w:rFonts w:ascii="Times New Roman" w:hAnsi="Times New Roman" w:cs="Times New Roman"/>
          <w:i/>
          <w:sz w:val="20"/>
          <w:szCs w:val="20"/>
        </w:rPr>
        <w:t>Ivi,</w:t>
      </w:r>
      <w:r w:rsidRPr="00503638">
        <w:rPr>
          <w:rFonts w:ascii="Times New Roman" w:hAnsi="Times New Roman" w:cs="Times New Roman"/>
          <w:sz w:val="20"/>
          <w:szCs w:val="20"/>
        </w:rPr>
        <w:t xml:space="preserve"> 149-150.</w:t>
      </w:r>
    </w:p>
  </w:footnote>
  <w:footnote w:id="650">
    <w:p w14:paraId="5F0FDFD6" w14:textId="77777777" w:rsidR="00B34CC2" w:rsidRPr="00503638" w:rsidRDefault="00B34CC2" w:rsidP="00F721A9">
      <w:pPr>
        <w:pStyle w:val="Testonotaapidipagina"/>
        <w:jc w:val="both"/>
        <w:rPr>
          <w:rFonts w:ascii="Times New Roman" w:hAnsi="Times New Roman" w:cs="Times New Roman"/>
          <w:sz w:val="20"/>
          <w:szCs w:val="20"/>
        </w:rPr>
      </w:pPr>
      <w:r w:rsidRPr="00503638">
        <w:rPr>
          <w:rStyle w:val="Rimandonotaapidipagina"/>
          <w:rFonts w:ascii="Times New Roman" w:hAnsi="Times New Roman" w:cs="Times New Roman"/>
          <w:sz w:val="20"/>
          <w:szCs w:val="20"/>
        </w:rPr>
        <w:footnoteRef/>
      </w:r>
      <w:r w:rsidRPr="00503638">
        <w:rPr>
          <w:rFonts w:ascii="Times New Roman" w:hAnsi="Times New Roman" w:cs="Times New Roman"/>
          <w:sz w:val="20"/>
          <w:szCs w:val="20"/>
        </w:rPr>
        <w:t xml:space="preserve"> </w:t>
      </w:r>
      <w:r w:rsidRPr="00503638">
        <w:rPr>
          <w:rFonts w:ascii="Times New Roman" w:hAnsi="Times New Roman" w:cs="Times New Roman"/>
          <w:i/>
          <w:sz w:val="20"/>
          <w:szCs w:val="20"/>
        </w:rPr>
        <w:t>Ivi</w:t>
      </w:r>
      <w:r w:rsidRPr="00503638">
        <w:rPr>
          <w:rFonts w:ascii="Times New Roman" w:hAnsi="Times New Roman" w:cs="Times New Roman"/>
          <w:sz w:val="20"/>
          <w:szCs w:val="20"/>
        </w:rPr>
        <w:t>, p. 150.</w:t>
      </w:r>
    </w:p>
  </w:footnote>
  <w:footnote w:id="651">
    <w:p w14:paraId="7F0B02BC" w14:textId="77777777" w:rsidR="00B34CC2" w:rsidRPr="00503638" w:rsidRDefault="00B34CC2" w:rsidP="00F721A9">
      <w:pPr>
        <w:pStyle w:val="Testonotaapidipagina"/>
        <w:jc w:val="both"/>
      </w:pPr>
      <w:r w:rsidRPr="00503638">
        <w:rPr>
          <w:rStyle w:val="Rimandonotaapidipagina"/>
          <w:rFonts w:ascii="Times New Roman" w:hAnsi="Times New Roman" w:cs="Times New Roman"/>
          <w:sz w:val="20"/>
          <w:szCs w:val="20"/>
        </w:rPr>
        <w:footnoteRef/>
      </w:r>
      <w:r w:rsidRPr="00503638">
        <w:rPr>
          <w:rFonts w:ascii="Times New Roman" w:hAnsi="Times New Roman" w:cs="Times New Roman"/>
          <w:sz w:val="20"/>
          <w:szCs w:val="20"/>
        </w:rPr>
        <w:t xml:space="preserve"> </w:t>
      </w:r>
      <w:r w:rsidRPr="00503638">
        <w:rPr>
          <w:rFonts w:ascii="Times New Roman" w:hAnsi="Times New Roman" w:cs="Times New Roman"/>
          <w:i/>
          <w:sz w:val="20"/>
          <w:szCs w:val="20"/>
        </w:rPr>
        <w:t>Ibidem</w:t>
      </w:r>
      <w:r w:rsidRPr="00503638">
        <w:rPr>
          <w:rFonts w:ascii="Times New Roman" w:hAnsi="Times New Roman" w:cs="Times New Roman"/>
          <w:sz w:val="20"/>
          <w:szCs w:val="20"/>
        </w:rPr>
        <w:t>.</w:t>
      </w:r>
    </w:p>
  </w:footnote>
  <w:footnote w:id="652">
    <w:p w14:paraId="6474D903" w14:textId="77777777" w:rsidR="00B34CC2" w:rsidRPr="00B14612" w:rsidRDefault="00B34CC2" w:rsidP="00F721A9">
      <w:pPr>
        <w:pStyle w:val="Testonotaapidipagina"/>
        <w:jc w:val="both"/>
        <w:rPr>
          <w:rFonts w:ascii="Times New Roman" w:hAnsi="Times New Roman" w:cs="Times New Roman"/>
          <w:sz w:val="20"/>
          <w:szCs w:val="20"/>
        </w:rPr>
      </w:pPr>
      <w:r w:rsidRPr="00B14612">
        <w:rPr>
          <w:rStyle w:val="Rimandonotaapidipagina"/>
          <w:rFonts w:ascii="Times New Roman" w:hAnsi="Times New Roman" w:cs="Times New Roman"/>
          <w:sz w:val="20"/>
          <w:szCs w:val="20"/>
        </w:rPr>
        <w:footnoteRef/>
      </w:r>
      <w:r w:rsidRPr="00B14612">
        <w:rPr>
          <w:rFonts w:ascii="Times New Roman" w:hAnsi="Times New Roman" w:cs="Times New Roman"/>
          <w:sz w:val="20"/>
          <w:szCs w:val="20"/>
        </w:rPr>
        <w:t xml:space="preserve"> </w:t>
      </w:r>
      <w:r w:rsidRPr="00B14612">
        <w:rPr>
          <w:rFonts w:ascii="Times New Roman" w:hAnsi="Times New Roman" w:cs="Times New Roman"/>
          <w:i/>
          <w:sz w:val="20"/>
          <w:szCs w:val="20"/>
        </w:rPr>
        <w:t>Ivi</w:t>
      </w:r>
      <w:r>
        <w:rPr>
          <w:rFonts w:ascii="Times New Roman" w:hAnsi="Times New Roman" w:cs="Times New Roman"/>
          <w:sz w:val="20"/>
          <w:szCs w:val="20"/>
        </w:rPr>
        <w:t>, p. 157.</w:t>
      </w:r>
    </w:p>
  </w:footnote>
  <w:footnote w:id="653">
    <w:p w14:paraId="71B62586" w14:textId="77777777" w:rsidR="00B34CC2" w:rsidRPr="001344E6" w:rsidRDefault="00B34CC2" w:rsidP="00F721A9">
      <w:pPr>
        <w:pStyle w:val="Testonotaapidipagina"/>
        <w:jc w:val="both"/>
      </w:pPr>
      <w:r w:rsidRPr="00C722E4">
        <w:rPr>
          <w:rStyle w:val="Rimandonotaapidipagina"/>
          <w:rFonts w:ascii="Times New Roman" w:hAnsi="Times New Roman" w:cs="Times New Roman"/>
          <w:sz w:val="20"/>
          <w:szCs w:val="20"/>
        </w:rPr>
        <w:footnoteRef/>
      </w:r>
      <w:r>
        <w:t xml:space="preserve"> </w:t>
      </w:r>
      <w:r>
        <w:rPr>
          <w:rFonts w:ascii="Times New Roman" w:hAnsi="Times New Roman" w:cs="Times New Roman"/>
          <w:sz w:val="20"/>
          <w:szCs w:val="20"/>
        </w:rPr>
        <w:t xml:space="preserve">A.C. Herrera, </w:t>
      </w:r>
      <w:r w:rsidRPr="00941AB1">
        <w:rPr>
          <w:rFonts w:ascii="Times New Roman" w:hAnsi="Times New Roman" w:cs="Times New Roman"/>
          <w:i/>
          <w:sz w:val="20"/>
          <w:szCs w:val="20"/>
        </w:rPr>
        <w:t>Porta Coelorum</w:t>
      </w:r>
      <w:r>
        <w:rPr>
          <w:rFonts w:ascii="Times New Roman" w:hAnsi="Times New Roman" w:cs="Times New Roman"/>
          <w:sz w:val="20"/>
          <w:szCs w:val="20"/>
        </w:rPr>
        <w:t>, cit., p. 96: «Hic [nel settimo capitolo della quinta dissertazione] absolvitur explicatio naturae Aziluthica; &amp; Sermo est de Briah, seu Creatione; Jezirah, seu Formatione; &amp; Asiah, seu Factione; quomodo nempe differant et conveniant cum Aziluth</w:t>
      </w:r>
      <w:r w:rsidRPr="001344E6">
        <w:rPr>
          <w:rFonts w:ascii="Times New Roman" w:hAnsi="Times New Roman" w:cs="Times New Roman"/>
          <w:sz w:val="20"/>
          <w:szCs w:val="20"/>
          <w:lang w:val="de-DE"/>
        </w:rPr>
        <w:t>»</w:t>
      </w:r>
      <w:r>
        <w:rPr>
          <w:rFonts w:ascii="Times New Roman" w:hAnsi="Times New Roman" w:cs="Times New Roman"/>
          <w:sz w:val="20"/>
          <w:szCs w:val="20"/>
          <w:lang w:val="de-DE"/>
        </w:rPr>
        <w:t>.</w:t>
      </w:r>
    </w:p>
  </w:footnote>
  <w:footnote w:id="654">
    <w:p w14:paraId="73CA72EC" w14:textId="77777777" w:rsidR="00B34CC2" w:rsidRPr="00E25A8D" w:rsidRDefault="00B34CC2" w:rsidP="00F721A9">
      <w:pPr>
        <w:pStyle w:val="Testonotaapidipagina"/>
        <w:jc w:val="both"/>
        <w:rPr>
          <w:rFonts w:ascii="Times New Roman" w:hAnsi="Times New Roman" w:cs="Times New Roman"/>
          <w:sz w:val="20"/>
          <w:szCs w:val="20"/>
        </w:rPr>
      </w:pPr>
      <w:r w:rsidRPr="00E25A8D">
        <w:rPr>
          <w:rStyle w:val="Rimandonotaapidipagina"/>
          <w:rFonts w:ascii="Times New Roman" w:hAnsi="Times New Roman" w:cs="Times New Roman"/>
          <w:sz w:val="20"/>
          <w:szCs w:val="20"/>
        </w:rPr>
        <w:footnoteRef/>
      </w:r>
      <w:r w:rsidRPr="00E25A8D">
        <w:rPr>
          <w:rFonts w:ascii="Times New Roman" w:hAnsi="Times New Roman" w:cs="Times New Roman"/>
          <w:sz w:val="20"/>
          <w:szCs w:val="20"/>
        </w:rPr>
        <w:t xml:space="preserve"> </w:t>
      </w:r>
      <w:r w:rsidRPr="00B14612">
        <w:rPr>
          <w:rFonts w:ascii="Times New Roman" w:hAnsi="Times New Roman" w:cs="Times New Roman"/>
          <w:i/>
          <w:sz w:val="20"/>
          <w:szCs w:val="20"/>
        </w:rPr>
        <w:t>Ivi</w:t>
      </w:r>
      <w:r>
        <w:rPr>
          <w:rFonts w:ascii="Times New Roman" w:hAnsi="Times New Roman" w:cs="Times New Roman"/>
          <w:sz w:val="20"/>
          <w:szCs w:val="20"/>
        </w:rPr>
        <w:t>, pp. 158-159.</w:t>
      </w:r>
    </w:p>
  </w:footnote>
  <w:footnote w:id="655">
    <w:p w14:paraId="38A7C1A5" w14:textId="77777777" w:rsidR="00B34CC2" w:rsidRPr="00E4734A" w:rsidRDefault="00B34CC2" w:rsidP="00F721A9">
      <w:pPr>
        <w:pStyle w:val="Testonotaapidipagina"/>
        <w:jc w:val="both"/>
        <w:rPr>
          <w:rFonts w:ascii="Times New Roman" w:hAnsi="Times New Roman" w:cs="Times New Roman"/>
          <w:sz w:val="20"/>
          <w:szCs w:val="20"/>
        </w:rPr>
      </w:pPr>
      <w:r w:rsidRPr="00E4734A">
        <w:rPr>
          <w:rStyle w:val="Rimandonotaapidipagina"/>
          <w:rFonts w:ascii="Times New Roman" w:hAnsi="Times New Roman" w:cs="Times New Roman"/>
          <w:sz w:val="20"/>
          <w:szCs w:val="20"/>
        </w:rPr>
        <w:footnoteRef/>
      </w:r>
      <w:r w:rsidRPr="00E4734A">
        <w:rPr>
          <w:rFonts w:ascii="Times New Roman" w:hAnsi="Times New Roman" w:cs="Times New Roman"/>
          <w:sz w:val="20"/>
          <w:szCs w:val="20"/>
        </w:rPr>
        <w:t xml:space="preserve"> </w:t>
      </w:r>
      <w:r w:rsidRPr="00B14612">
        <w:rPr>
          <w:rFonts w:ascii="Times New Roman" w:hAnsi="Times New Roman" w:cs="Times New Roman"/>
          <w:i/>
          <w:sz w:val="20"/>
          <w:szCs w:val="20"/>
        </w:rPr>
        <w:t>Ivi</w:t>
      </w:r>
      <w:r>
        <w:rPr>
          <w:rFonts w:ascii="Times New Roman" w:hAnsi="Times New Roman" w:cs="Times New Roman"/>
          <w:sz w:val="20"/>
          <w:szCs w:val="20"/>
        </w:rPr>
        <w:t>, p. 150.</w:t>
      </w:r>
    </w:p>
  </w:footnote>
  <w:footnote w:id="656">
    <w:p w14:paraId="16BC9ECD" w14:textId="77777777" w:rsidR="00B34CC2" w:rsidRPr="00951CA7" w:rsidRDefault="00B34CC2" w:rsidP="00F721A9">
      <w:pPr>
        <w:pStyle w:val="Testonotaapidipagina"/>
        <w:jc w:val="both"/>
        <w:rPr>
          <w:rFonts w:ascii="Times New Roman" w:hAnsi="Times New Roman" w:cs="Times New Roman"/>
          <w:sz w:val="20"/>
          <w:szCs w:val="20"/>
        </w:rPr>
      </w:pPr>
      <w:r w:rsidRPr="00951CA7">
        <w:rPr>
          <w:rStyle w:val="Rimandonotaapidipagina"/>
          <w:rFonts w:ascii="Times New Roman" w:hAnsi="Times New Roman" w:cs="Times New Roman"/>
          <w:sz w:val="20"/>
          <w:szCs w:val="20"/>
        </w:rPr>
        <w:footnoteRef/>
      </w:r>
      <w:r w:rsidRPr="00951CA7">
        <w:rPr>
          <w:rFonts w:ascii="Times New Roman" w:hAnsi="Times New Roman" w:cs="Times New Roman"/>
          <w:sz w:val="20"/>
          <w:szCs w:val="20"/>
        </w:rPr>
        <w:t xml:space="preserve"> </w:t>
      </w:r>
      <w:r>
        <w:rPr>
          <w:rFonts w:ascii="Times New Roman" w:hAnsi="Times New Roman" w:cs="Times New Roman"/>
          <w:sz w:val="20"/>
          <w:szCs w:val="20"/>
        </w:rPr>
        <w:t xml:space="preserve">D. Tiedemann, </w:t>
      </w:r>
      <w:r>
        <w:rPr>
          <w:rFonts w:ascii="Times New Roman" w:hAnsi="Times New Roman" w:cs="Times New Roman"/>
          <w:i/>
          <w:sz w:val="20"/>
          <w:szCs w:val="20"/>
        </w:rPr>
        <w:t>Geist der speculativen Philosophie</w:t>
      </w:r>
      <w:r>
        <w:rPr>
          <w:rFonts w:ascii="Times New Roman" w:hAnsi="Times New Roman" w:cs="Times New Roman"/>
          <w:sz w:val="20"/>
          <w:szCs w:val="20"/>
        </w:rPr>
        <w:t>, Bd. VI, Marburg 1797, p. 207.</w:t>
      </w:r>
    </w:p>
  </w:footnote>
  <w:footnote w:id="657">
    <w:p w14:paraId="5D24D95D" w14:textId="77777777" w:rsidR="00B34CC2" w:rsidRPr="006B3092" w:rsidRDefault="00B34CC2" w:rsidP="00F721A9">
      <w:pPr>
        <w:pStyle w:val="Testonotaapidipagina"/>
        <w:jc w:val="both"/>
        <w:rPr>
          <w:rFonts w:ascii="Times New Roman" w:hAnsi="Times New Roman"/>
          <w:sz w:val="20"/>
          <w:szCs w:val="20"/>
        </w:rPr>
      </w:pPr>
      <w:r w:rsidRPr="006B3092">
        <w:rPr>
          <w:rStyle w:val="Rimandonotaapidipagina"/>
          <w:rFonts w:ascii="Times New Roman" w:hAnsi="Times New Roman"/>
          <w:sz w:val="20"/>
          <w:szCs w:val="20"/>
        </w:rPr>
        <w:footnoteRef/>
      </w:r>
      <w:r w:rsidRPr="006B3092">
        <w:rPr>
          <w:rFonts w:ascii="Times New Roman" w:hAnsi="Times New Roman"/>
          <w:sz w:val="20"/>
          <w:szCs w:val="20"/>
        </w:rPr>
        <w:t xml:space="preserve"> </w:t>
      </w:r>
      <w:r w:rsidRPr="006B3092">
        <w:rPr>
          <w:rFonts w:ascii="Times New Roman" w:hAnsi="Times New Roman"/>
          <w:i/>
          <w:sz w:val="20"/>
          <w:szCs w:val="20"/>
        </w:rPr>
        <w:t>Ivi</w:t>
      </w:r>
      <w:r w:rsidRPr="006B3092">
        <w:rPr>
          <w:rFonts w:ascii="Times New Roman" w:hAnsi="Times New Roman"/>
          <w:sz w:val="20"/>
          <w:szCs w:val="20"/>
        </w:rPr>
        <w:t>, p. 234.</w:t>
      </w:r>
    </w:p>
  </w:footnote>
  <w:footnote w:id="658">
    <w:p w14:paraId="69B3BC25" w14:textId="77777777" w:rsidR="00B34CC2" w:rsidRPr="00C47B0C" w:rsidRDefault="00B34CC2" w:rsidP="00F721A9">
      <w:pPr>
        <w:pStyle w:val="Testonotaapidipagina"/>
        <w:jc w:val="both"/>
        <w:rPr>
          <w:rFonts w:ascii="Times New Roman" w:hAnsi="Times New Roman"/>
          <w:sz w:val="20"/>
          <w:szCs w:val="20"/>
        </w:rPr>
      </w:pPr>
      <w:r w:rsidRPr="00C47B0C">
        <w:rPr>
          <w:rStyle w:val="Rimandonotaapidipagina"/>
          <w:rFonts w:ascii="Times New Roman" w:hAnsi="Times New Roman"/>
          <w:sz w:val="20"/>
          <w:szCs w:val="20"/>
        </w:rPr>
        <w:footnoteRef/>
      </w:r>
      <w:r w:rsidRPr="00C47B0C">
        <w:rPr>
          <w:rFonts w:ascii="Times New Roman" w:hAnsi="Times New Roman"/>
          <w:sz w:val="20"/>
          <w:szCs w:val="20"/>
        </w:rPr>
        <w:t xml:space="preserve"> </w:t>
      </w:r>
      <w:r w:rsidRPr="00C47B0C">
        <w:rPr>
          <w:rFonts w:ascii="Times New Roman" w:hAnsi="Times New Roman"/>
          <w:i/>
          <w:sz w:val="20"/>
          <w:szCs w:val="20"/>
        </w:rPr>
        <w:t>Ivi</w:t>
      </w:r>
      <w:r w:rsidRPr="00C47B0C">
        <w:rPr>
          <w:rFonts w:ascii="Times New Roman" w:hAnsi="Times New Roman"/>
          <w:sz w:val="20"/>
          <w:szCs w:val="20"/>
        </w:rPr>
        <w:t>, p. 235.</w:t>
      </w:r>
    </w:p>
  </w:footnote>
  <w:footnote w:id="659">
    <w:p w14:paraId="2F45BED8" w14:textId="77777777" w:rsidR="00B34CC2" w:rsidRPr="005336CE" w:rsidRDefault="00B34CC2" w:rsidP="00F721A9">
      <w:pPr>
        <w:pStyle w:val="Testonotaapidipagina"/>
        <w:jc w:val="both"/>
        <w:rPr>
          <w:rFonts w:ascii="Times New Roman" w:hAnsi="Times New Roman" w:cs="Times New Roman"/>
          <w:sz w:val="20"/>
          <w:szCs w:val="20"/>
        </w:rPr>
      </w:pPr>
      <w:r w:rsidRPr="005336CE">
        <w:rPr>
          <w:rStyle w:val="Rimandonotaapidipagina"/>
          <w:rFonts w:ascii="Times New Roman" w:hAnsi="Times New Roman" w:cs="Times New Roman"/>
          <w:sz w:val="20"/>
          <w:szCs w:val="20"/>
        </w:rPr>
        <w:footnoteRef/>
      </w:r>
      <w:r w:rsidRPr="005336CE">
        <w:rPr>
          <w:rFonts w:ascii="Times New Roman" w:hAnsi="Times New Roman" w:cs="Times New Roman"/>
          <w:sz w:val="20"/>
          <w:szCs w:val="20"/>
        </w:rPr>
        <w:t xml:space="preserve"> </w:t>
      </w:r>
      <w:r w:rsidRPr="004B36FF">
        <w:rPr>
          <w:rFonts w:ascii="Times New Roman" w:hAnsi="Times New Roman" w:cs="Times New Roman"/>
          <w:i/>
          <w:sz w:val="20"/>
          <w:szCs w:val="20"/>
        </w:rPr>
        <w:t>Ivi</w:t>
      </w:r>
      <w:r w:rsidRPr="005336CE">
        <w:rPr>
          <w:rFonts w:ascii="Times New Roman" w:hAnsi="Times New Roman" w:cs="Times New Roman"/>
          <w:sz w:val="20"/>
          <w:szCs w:val="20"/>
        </w:rPr>
        <w:t>, p. 232.</w:t>
      </w:r>
    </w:p>
  </w:footnote>
  <w:footnote w:id="660">
    <w:p w14:paraId="21B7316C" w14:textId="77777777" w:rsidR="00B34CC2" w:rsidRPr="002126C8" w:rsidRDefault="00B34CC2" w:rsidP="00F721A9">
      <w:pPr>
        <w:pStyle w:val="Testonotaapidipagina"/>
        <w:jc w:val="both"/>
        <w:rPr>
          <w:rFonts w:ascii="Times New Roman" w:hAnsi="Times New Roman" w:cs="Times New Roman"/>
          <w:sz w:val="20"/>
          <w:szCs w:val="20"/>
        </w:rPr>
      </w:pPr>
      <w:r w:rsidRPr="002126C8">
        <w:rPr>
          <w:rStyle w:val="Rimandonotaapidipagina"/>
          <w:rFonts w:ascii="Times New Roman" w:hAnsi="Times New Roman" w:cs="Times New Roman"/>
          <w:sz w:val="20"/>
          <w:szCs w:val="20"/>
        </w:rPr>
        <w:footnoteRef/>
      </w:r>
      <w:r w:rsidRPr="002126C8">
        <w:rPr>
          <w:rFonts w:ascii="Times New Roman" w:hAnsi="Times New Roman" w:cs="Times New Roman"/>
          <w:sz w:val="20"/>
          <w:szCs w:val="20"/>
        </w:rPr>
        <w:t xml:space="preserve"> </w:t>
      </w:r>
      <w:r w:rsidRPr="004B36FF">
        <w:rPr>
          <w:rFonts w:ascii="Times New Roman" w:hAnsi="Times New Roman" w:cs="Times New Roman"/>
          <w:i/>
          <w:sz w:val="20"/>
          <w:szCs w:val="20"/>
        </w:rPr>
        <w:t>Ivi</w:t>
      </w:r>
      <w:r>
        <w:rPr>
          <w:rFonts w:ascii="Times New Roman" w:hAnsi="Times New Roman" w:cs="Times New Roman"/>
          <w:sz w:val="20"/>
          <w:szCs w:val="20"/>
        </w:rPr>
        <w:t>, p. 234</w:t>
      </w:r>
      <w:r w:rsidRPr="005336CE">
        <w:rPr>
          <w:rFonts w:ascii="Times New Roman" w:hAnsi="Times New Roman" w:cs="Times New Roman"/>
          <w:sz w:val="20"/>
          <w:szCs w:val="20"/>
        </w:rPr>
        <w:t>.</w:t>
      </w:r>
    </w:p>
  </w:footnote>
  <w:footnote w:id="661">
    <w:p w14:paraId="0BEFC49E" w14:textId="77777777" w:rsidR="00B34CC2" w:rsidRPr="002126C8" w:rsidRDefault="00B34CC2" w:rsidP="00F721A9">
      <w:pPr>
        <w:pStyle w:val="Testonotaapidipagina"/>
        <w:jc w:val="both"/>
        <w:rPr>
          <w:rFonts w:ascii="Times New Roman" w:hAnsi="Times New Roman" w:cs="Times New Roman"/>
          <w:sz w:val="20"/>
          <w:szCs w:val="20"/>
        </w:rPr>
      </w:pPr>
      <w:r w:rsidRPr="002126C8">
        <w:rPr>
          <w:rStyle w:val="Rimandonotaapidipagina"/>
          <w:rFonts w:ascii="Times New Roman" w:hAnsi="Times New Roman" w:cs="Times New Roman"/>
          <w:sz w:val="20"/>
          <w:szCs w:val="20"/>
        </w:rPr>
        <w:footnoteRef/>
      </w:r>
      <w:r w:rsidRPr="002126C8">
        <w:rPr>
          <w:rFonts w:ascii="Times New Roman" w:hAnsi="Times New Roman" w:cs="Times New Roman"/>
          <w:sz w:val="20"/>
          <w:szCs w:val="20"/>
        </w:rPr>
        <w:t xml:space="preserve"> </w:t>
      </w:r>
      <w:r w:rsidRPr="002126C8">
        <w:rPr>
          <w:rFonts w:ascii="Times New Roman" w:hAnsi="Times New Roman" w:cs="Times New Roman"/>
          <w:i/>
          <w:sz w:val="20"/>
          <w:szCs w:val="20"/>
        </w:rPr>
        <w:t>Ibidem</w:t>
      </w:r>
      <w:r>
        <w:rPr>
          <w:rFonts w:ascii="Times New Roman" w:hAnsi="Times New Roman" w:cs="Times New Roman"/>
          <w:sz w:val="20"/>
          <w:szCs w:val="20"/>
        </w:rPr>
        <w:t>.</w:t>
      </w:r>
    </w:p>
  </w:footnote>
  <w:footnote w:id="662">
    <w:p w14:paraId="0856A6B6" w14:textId="77777777" w:rsidR="00B34CC2" w:rsidRPr="00AA0B53" w:rsidRDefault="00B34CC2" w:rsidP="00F721A9">
      <w:pPr>
        <w:pStyle w:val="Testonotaapidipagina"/>
        <w:jc w:val="both"/>
        <w:rPr>
          <w:rFonts w:ascii="Times New Roman" w:hAnsi="Times New Roman" w:cs="Times New Roman"/>
          <w:sz w:val="20"/>
          <w:szCs w:val="20"/>
        </w:rPr>
      </w:pPr>
      <w:r>
        <w:t xml:space="preserve"> </w:t>
      </w:r>
      <w:r w:rsidRPr="00AA0B53">
        <w:rPr>
          <w:rStyle w:val="Rimandonotaapidipagina"/>
          <w:rFonts w:ascii="Times New Roman" w:hAnsi="Times New Roman" w:cs="Times New Roman"/>
          <w:sz w:val="20"/>
          <w:szCs w:val="20"/>
        </w:rPr>
        <w:footnoteRef/>
      </w:r>
      <w:r w:rsidRPr="00AA0B53">
        <w:rPr>
          <w:rFonts w:ascii="Times New Roman" w:hAnsi="Times New Roman" w:cs="Times New Roman"/>
          <w:sz w:val="20"/>
          <w:szCs w:val="20"/>
        </w:rPr>
        <w:t xml:space="preserve"> Cfr. G. Micheli, </w:t>
      </w:r>
      <w:r w:rsidRPr="00AA0B53">
        <w:rPr>
          <w:rFonts w:ascii="Times New Roman" w:hAnsi="Times New Roman" w:cs="Times New Roman"/>
          <w:i/>
          <w:sz w:val="20"/>
          <w:szCs w:val="20"/>
        </w:rPr>
        <w:t>Philosophy and Historiography: The Kantian Turningpoint</w:t>
      </w:r>
      <w:r w:rsidRPr="00AA0B53">
        <w:rPr>
          <w:rFonts w:ascii="Times New Roman" w:hAnsi="Times New Roman" w:cs="Times New Roman"/>
          <w:sz w:val="20"/>
          <w:szCs w:val="20"/>
        </w:rPr>
        <w:t xml:space="preserve">, in </w:t>
      </w:r>
      <w:r w:rsidRPr="00AA0B53">
        <w:rPr>
          <w:rFonts w:ascii="Times New Roman" w:hAnsi="Times New Roman" w:cs="Times New Roman"/>
          <w:i/>
          <w:sz w:val="20"/>
          <w:szCs w:val="20"/>
        </w:rPr>
        <w:t>Models of History of Philosophy</w:t>
      </w:r>
      <w:r w:rsidRPr="00AA0B53">
        <w:rPr>
          <w:rFonts w:ascii="Times New Roman" w:hAnsi="Times New Roman" w:cs="Times New Roman"/>
          <w:sz w:val="20"/>
          <w:szCs w:val="20"/>
        </w:rPr>
        <w:t>, cit., pp. 697-768.</w:t>
      </w:r>
    </w:p>
  </w:footnote>
  <w:footnote w:id="663">
    <w:p w14:paraId="7F464844" w14:textId="77777777" w:rsidR="00B34CC2" w:rsidRPr="00086F43" w:rsidRDefault="00B34CC2" w:rsidP="00F721A9">
      <w:pPr>
        <w:pStyle w:val="Testonotaapidipagina"/>
        <w:jc w:val="both"/>
        <w:rPr>
          <w:rFonts w:ascii="Times New Roman" w:hAnsi="Times New Roman" w:cs="Times New Roman"/>
          <w:sz w:val="20"/>
          <w:szCs w:val="20"/>
        </w:rPr>
      </w:pPr>
      <w:r w:rsidRPr="00AA0B53">
        <w:rPr>
          <w:rStyle w:val="Rimandonotaapidipagina"/>
          <w:rFonts w:ascii="Times New Roman" w:hAnsi="Times New Roman" w:cs="Times New Roman"/>
          <w:sz w:val="20"/>
          <w:szCs w:val="20"/>
        </w:rPr>
        <w:footnoteRef/>
      </w:r>
      <w:r w:rsidRPr="00AA0B53">
        <w:rPr>
          <w:rFonts w:ascii="Times New Roman" w:hAnsi="Times New Roman" w:cs="Times New Roman"/>
          <w:sz w:val="20"/>
          <w:szCs w:val="20"/>
        </w:rPr>
        <w:t xml:space="preserve"> J.G. Buhle, </w:t>
      </w:r>
      <w:r w:rsidRPr="00AA0B53">
        <w:rPr>
          <w:rFonts w:ascii="Times New Roman" w:hAnsi="Times New Roman" w:cs="Times New Roman"/>
          <w:i/>
          <w:sz w:val="20"/>
          <w:szCs w:val="20"/>
        </w:rPr>
        <w:t>Lehrbuch der Geschichte der Philosophie</w:t>
      </w:r>
      <w:r w:rsidRPr="00AA0B53">
        <w:rPr>
          <w:rFonts w:ascii="Times New Roman" w:hAnsi="Times New Roman" w:cs="Times New Roman"/>
          <w:sz w:val="20"/>
          <w:szCs w:val="20"/>
        </w:rPr>
        <w:t xml:space="preserve">, </w:t>
      </w:r>
      <w:r>
        <w:rPr>
          <w:rFonts w:ascii="Times New Roman" w:hAnsi="Times New Roman" w:cs="Times New Roman"/>
          <w:sz w:val="20"/>
          <w:szCs w:val="20"/>
        </w:rPr>
        <w:t>Bd. I</w:t>
      </w:r>
      <w:r w:rsidRPr="00AA0B53">
        <w:rPr>
          <w:rFonts w:ascii="Times New Roman" w:hAnsi="Times New Roman" w:cs="Times New Roman"/>
          <w:sz w:val="20"/>
          <w:szCs w:val="20"/>
        </w:rPr>
        <w:t xml:space="preserve">, </w:t>
      </w:r>
      <w:r>
        <w:rPr>
          <w:rFonts w:ascii="Times New Roman" w:hAnsi="Times New Roman" w:cs="Times New Roman"/>
          <w:sz w:val="20"/>
          <w:szCs w:val="20"/>
        </w:rPr>
        <w:t xml:space="preserve">Göttingen </w:t>
      </w:r>
      <w:r w:rsidRPr="00AA0B53">
        <w:rPr>
          <w:rFonts w:ascii="Times New Roman" w:hAnsi="Times New Roman" w:cs="Times New Roman"/>
          <w:sz w:val="20"/>
          <w:szCs w:val="20"/>
        </w:rPr>
        <w:t>1796, p. 1.</w:t>
      </w:r>
    </w:p>
  </w:footnote>
  <w:footnote w:id="664">
    <w:p w14:paraId="464F42BA" w14:textId="77777777" w:rsidR="00B34CC2" w:rsidRPr="00086F43" w:rsidRDefault="00B34CC2" w:rsidP="00F721A9">
      <w:pPr>
        <w:pStyle w:val="Testonotaapidipagina"/>
        <w:jc w:val="both"/>
        <w:rPr>
          <w:rFonts w:ascii="Times New Roman" w:hAnsi="Times New Roman" w:cs="Times New Roman"/>
          <w:sz w:val="20"/>
          <w:szCs w:val="20"/>
        </w:rPr>
      </w:pPr>
      <w:r w:rsidRPr="00086F43">
        <w:rPr>
          <w:rStyle w:val="Rimandonotaapidipagina"/>
          <w:rFonts w:ascii="Times New Roman" w:hAnsi="Times New Roman" w:cs="Times New Roman"/>
          <w:sz w:val="20"/>
          <w:szCs w:val="20"/>
        </w:rPr>
        <w:footnoteRef/>
      </w:r>
      <w:r w:rsidRPr="00086F43">
        <w:rPr>
          <w:rFonts w:ascii="Times New Roman" w:hAnsi="Times New Roman" w:cs="Times New Roman"/>
          <w:sz w:val="20"/>
          <w:szCs w:val="20"/>
        </w:rPr>
        <w:t xml:space="preserve"> </w:t>
      </w:r>
      <w:r w:rsidRPr="00086F43">
        <w:rPr>
          <w:rFonts w:ascii="Times New Roman" w:hAnsi="Times New Roman" w:cs="Times New Roman"/>
          <w:i/>
          <w:sz w:val="20"/>
          <w:szCs w:val="20"/>
        </w:rPr>
        <w:t>Ivi</w:t>
      </w:r>
      <w:r w:rsidRPr="00086F43">
        <w:rPr>
          <w:rFonts w:ascii="Times New Roman" w:hAnsi="Times New Roman" w:cs="Times New Roman"/>
          <w:sz w:val="20"/>
          <w:szCs w:val="20"/>
        </w:rPr>
        <w:t>, p. 2.</w:t>
      </w:r>
    </w:p>
  </w:footnote>
  <w:footnote w:id="665">
    <w:p w14:paraId="69BFB44E" w14:textId="77777777" w:rsidR="00B34CC2" w:rsidRPr="00A02835" w:rsidRDefault="00B34CC2" w:rsidP="00F721A9">
      <w:pPr>
        <w:pStyle w:val="Testonotaapidipagina"/>
        <w:jc w:val="both"/>
        <w:rPr>
          <w:rFonts w:ascii="Times New Roman" w:hAnsi="Times New Roman" w:cs="Times New Roman"/>
          <w:i/>
          <w:sz w:val="20"/>
          <w:szCs w:val="20"/>
          <w:lang w:val="de-DE"/>
        </w:rPr>
      </w:pPr>
      <w:r w:rsidRPr="00A02835">
        <w:rPr>
          <w:rStyle w:val="Rimandonotaapidipagina"/>
          <w:rFonts w:ascii="Times New Roman" w:hAnsi="Times New Roman" w:cs="Times New Roman"/>
          <w:sz w:val="20"/>
          <w:szCs w:val="20"/>
        </w:rPr>
        <w:footnoteRef/>
      </w:r>
      <w:r w:rsidRPr="00A02835">
        <w:rPr>
          <w:rFonts w:ascii="Times New Roman" w:hAnsi="Times New Roman" w:cs="Times New Roman"/>
          <w:sz w:val="20"/>
          <w:szCs w:val="20"/>
        </w:rPr>
        <w:t xml:space="preserve"> </w:t>
      </w:r>
      <w:r>
        <w:rPr>
          <w:rFonts w:ascii="Times New Roman" w:hAnsi="Times New Roman" w:cs="Times New Roman"/>
          <w:sz w:val="20"/>
          <w:szCs w:val="20"/>
        </w:rPr>
        <w:t xml:space="preserve">Cfr. </w:t>
      </w:r>
      <w:r w:rsidRPr="002701A3">
        <w:rPr>
          <w:rFonts w:ascii="Times New Roman" w:hAnsi="Times New Roman" w:cs="Times New Roman"/>
          <w:i/>
          <w:sz w:val="20"/>
          <w:szCs w:val="20"/>
        </w:rPr>
        <w:t>Ivi</w:t>
      </w:r>
      <w:r w:rsidRPr="00A02835">
        <w:rPr>
          <w:rFonts w:ascii="Times New Roman" w:hAnsi="Times New Roman" w:cs="Times New Roman"/>
          <w:sz w:val="20"/>
          <w:szCs w:val="20"/>
        </w:rPr>
        <w:t xml:space="preserve">, pp. 7-8: </w:t>
      </w:r>
      <w:r w:rsidRPr="000E152C">
        <w:rPr>
          <w:rFonts w:ascii="Times New Roman" w:hAnsi="Times New Roman" w:cs="Times New Roman"/>
          <w:sz w:val="20"/>
          <w:szCs w:val="20"/>
        </w:rPr>
        <w:t>«</w:t>
      </w:r>
      <w:r w:rsidRPr="000E152C">
        <w:rPr>
          <w:rFonts w:ascii="Times New Roman" w:hAnsi="Times New Roman" w:cs="Times New Roman"/>
          <w:sz w:val="20"/>
          <w:szCs w:val="20"/>
          <w:lang w:val="de-DE"/>
        </w:rPr>
        <w:t>Die Literatur der Geschichte der Philosophie überhaupt kann man abtheilen 1) in Quellen. Zu diesen gehören die Schriften der Philosophen selbst, und die vorhandenen urkundlichen Nachrichten über ihre Lehren, welcher letzteren Gebrauch aber kritische Vorsicht erfordert; 2) in neuere aus den Quellen geschöpfte ausführlichere Werke; 3) in Handbücher».</w:t>
      </w:r>
      <w:r w:rsidRPr="00A02835">
        <w:rPr>
          <w:rFonts w:ascii="Times New Roman" w:hAnsi="Times New Roman" w:cs="Times New Roman"/>
          <w:i/>
          <w:sz w:val="20"/>
          <w:szCs w:val="20"/>
          <w:lang w:val="de-DE"/>
        </w:rPr>
        <w:t xml:space="preserve"> </w:t>
      </w:r>
    </w:p>
  </w:footnote>
  <w:footnote w:id="666">
    <w:p w14:paraId="7A751343" w14:textId="450C930B" w:rsidR="00B34CC2" w:rsidRPr="00770109" w:rsidRDefault="00B34CC2" w:rsidP="00F721A9">
      <w:pPr>
        <w:pStyle w:val="Testonotaapidipagina"/>
        <w:jc w:val="both"/>
        <w:rPr>
          <w:rFonts w:ascii="Times New Roman" w:hAnsi="Times New Roman" w:cs="Times New Roman"/>
          <w:i/>
          <w:sz w:val="20"/>
          <w:szCs w:val="20"/>
          <w:lang w:val="de-DE"/>
        </w:rPr>
      </w:pPr>
      <w:r w:rsidRPr="00A02835">
        <w:rPr>
          <w:rStyle w:val="Rimandonotaapidipagina"/>
          <w:rFonts w:ascii="Times New Roman" w:hAnsi="Times New Roman" w:cs="Times New Roman"/>
          <w:sz w:val="20"/>
          <w:szCs w:val="20"/>
        </w:rPr>
        <w:footnoteRef/>
      </w:r>
      <w:r w:rsidRPr="00A02835">
        <w:rPr>
          <w:rFonts w:ascii="Times New Roman" w:hAnsi="Times New Roman" w:cs="Times New Roman"/>
          <w:sz w:val="20"/>
          <w:szCs w:val="20"/>
        </w:rPr>
        <w:t xml:space="preserve"> </w:t>
      </w:r>
      <w:r>
        <w:rPr>
          <w:rFonts w:ascii="Times New Roman" w:hAnsi="Times New Roman" w:cs="Times New Roman"/>
          <w:sz w:val="20"/>
          <w:szCs w:val="20"/>
        </w:rPr>
        <w:t xml:space="preserve">Cfr. </w:t>
      </w:r>
      <w:r w:rsidRPr="002701A3">
        <w:rPr>
          <w:rFonts w:ascii="Times New Roman" w:hAnsi="Times New Roman" w:cs="Times New Roman"/>
          <w:i/>
          <w:sz w:val="20"/>
          <w:szCs w:val="20"/>
        </w:rPr>
        <w:t>Ivi</w:t>
      </w:r>
      <w:r>
        <w:rPr>
          <w:rFonts w:ascii="Times New Roman" w:hAnsi="Times New Roman" w:cs="Times New Roman"/>
          <w:sz w:val="20"/>
          <w:szCs w:val="20"/>
        </w:rPr>
        <w:t xml:space="preserve">, p. 2: </w:t>
      </w:r>
      <w:r w:rsidRPr="000E152C">
        <w:rPr>
          <w:rFonts w:ascii="Times New Roman" w:hAnsi="Times New Roman" w:cs="Times New Roman"/>
          <w:sz w:val="20"/>
          <w:szCs w:val="20"/>
        </w:rPr>
        <w:t>«</w:t>
      </w:r>
      <w:r w:rsidRPr="000E152C">
        <w:rPr>
          <w:rFonts w:ascii="Times New Roman" w:hAnsi="Times New Roman" w:cs="Times New Roman"/>
          <w:sz w:val="20"/>
          <w:szCs w:val="20"/>
          <w:lang w:val="de-DE"/>
        </w:rPr>
        <w:t xml:space="preserve">Es [das Lehrbuch] soll den Ursprung, und die allmalige Entwicklung der Philosophie als Wissenschaft, in möglich gedrängter Kurze erzählen, den Geist der berühmtesten altern und neueren philosophischen Systeme, ihre Verschiedenheit, ihren gegenseitigen Einfluß  einander, und die nächsten Veranlassungen dazu, soweit die Nachrichten hinreichen, oder die Natur der philosophierenden Vernunft, die Zeitumstande, die besondern Geistesphysiognomieen, die Charaktere, sie Lebensgeschichte der </w:t>
      </w:r>
      <w:r w:rsidRPr="00770109">
        <w:rPr>
          <w:rFonts w:ascii="Times New Roman" w:hAnsi="Times New Roman" w:cs="Times New Roman"/>
          <w:sz w:val="20"/>
          <w:szCs w:val="20"/>
          <w:lang w:val="de-DE"/>
        </w:rPr>
        <w:t>Philosophen selbst, schluß gewahren, historisch anzeigen».</w:t>
      </w:r>
    </w:p>
  </w:footnote>
  <w:footnote w:id="667">
    <w:p w14:paraId="7870E600" w14:textId="049D18A8" w:rsidR="00B34CC2" w:rsidRPr="00764F66" w:rsidRDefault="00B34CC2" w:rsidP="00F721A9">
      <w:pPr>
        <w:pStyle w:val="Testonotaapidipagina"/>
        <w:jc w:val="both"/>
        <w:rPr>
          <w:rFonts w:ascii="Times New Roman" w:hAnsi="Times New Roman" w:cs="Times New Roman"/>
          <w:sz w:val="20"/>
          <w:szCs w:val="20"/>
        </w:rPr>
      </w:pPr>
      <w:r w:rsidRPr="00770109">
        <w:rPr>
          <w:rStyle w:val="Rimandonotaapidipagina"/>
          <w:rFonts w:ascii="Times New Roman" w:hAnsi="Times New Roman" w:cs="Times New Roman"/>
          <w:sz w:val="20"/>
          <w:szCs w:val="20"/>
        </w:rPr>
        <w:footnoteRef/>
      </w:r>
      <w:r w:rsidRPr="00770109">
        <w:rPr>
          <w:rFonts w:ascii="Times New Roman" w:hAnsi="Times New Roman" w:cs="Times New Roman"/>
          <w:sz w:val="20"/>
          <w:szCs w:val="20"/>
        </w:rPr>
        <w:t xml:space="preserve"> Cfr. </w:t>
      </w:r>
      <w:r w:rsidRPr="00770109">
        <w:rPr>
          <w:rFonts w:ascii="Times New Roman" w:hAnsi="Times New Roman" w:cs="Times New Roman"/>
          <w:i/>
          <w:sz w:val="20"/>
          <w:szCs w:val="20"/>
        </w:rPr>
        <w:t>infra</w:t>
      </w:r>
      <w:r w:rsidRPr="00770109">
        <w:rPr>
          <w:rFonts w:ascii="Times New Roman" w:hAnsi="Times New Roman" w:cs="Times New Roman"/>
          <w:sz w:val="20"/>
          <w:szCs w:val="20"/>
        </w:rPr>
        <w:t>, p. 21</w:t>
      </w:r>
      <w:r>
        <w:rPr>
          <w:rFonts w:ascii="Times New Roman" w:hAnsi="Times New Roman" w:cs="Times New Roman"/>
          <w:sz w:val="20"/>
          <w:szCs w:val="20"/>
        </w:rPr>
        <w:t>9</w:t>
      </w:r>
      <w:r w:rsidRPr="00770109">
        <w:rPr>
          <w:rFonts w:ascii="Times New Roman" w:hAnsi="Times New Roman" w:cs="Times New Roman"/>
          <w:sz w:val="16"/>
          <w:szCs w:val="16"/>
        </w:rPr>
        <w:t>.</w:t>
      </w:r>
    </w:p>
  </w:footnote>
  <w:footnote w:id="668">
    <w:p w14:paraId="1E348729" w14:textId="77777777" w:rsidR="00B34CC2" w:rsidRPr="00D60C0F" w:rsidRDefault="00B34CC2" w:rsidP="00F721A9">
      <w:pPr>
        <w:pStyle w:val="Testonotaapidipagina"/>
        <w:jc w:val="both"/>
        <w:rPr>
          <w:rFonts w:ascii="Times New Roman" w:hAnsi="Times New Roman" w:cs="Times New Roman"/>
          <w:sz w:val="20"/>
          <w:szCs w:val="20"/>
        </w:rPr>
      </w:pPr>
      <w:r w:rsidRPr="00D60C0F">
        <w:rPr>
          <w:rStyle w:val="Rimandonotaapidipagina"/>
          <w:rFonts w:ascii="Times New Roman" w:hAnsi="Times New Roman" w:cs="Times New Roman"/>
          <w:sz w:val="20"/>
          <w:szCs w:val="20"/>
        </w:rPr>
        <w:footnoteRef/>
      </w:r>
      <w:r w:rsidRPr="00D60C0F">
        <w:rPr>
          <w:rFonts w:ascii="Times New Roman" w:hAnsi="Times New Roman" w:cs="Times New Roman"/>
          <w:sz w:val="20"/>
          <w:szCs w:val="20"/>
        </w:rPr>
        <w:t xml:space="preserve"> J.G. Buhle, </w:t>
      </w:r>
      <w:r w:rsidRPr="00D60C0F">
        <w:rPr>
          <w:rFonts w:ascii="Times New Roman" w:hAnsi="Times New Roman" w:cs="Times New Roman"/>
          <w:i/>
          <w:sz w:val="20"/>
          <w:szCs w:val="20"/>
        </w:rPr>
        <w:t>Lehrbuch der Geschichte der Philosophie</w:t>
      </w:r>
      <w:r w:rsidRPr="00D60C0F">
        <w:rPr>
          <w:rFonts w:ascii="Times New Roman" w:hAnsi="Times New Roman" w:cs="Times New Roman"/>
          <w:sz w:val="20"/>
          <w:szCs w:val="20"/>
        </w:rPr>
        <w:t>,</w:t>
      </w:r>
      <w:r>
        <w:rPr>
          <w:rFonts w:ascii="Times New Roman" w:hAnsi="Times New Roman" w:cs="Times New Roman"/>
          <w:sz w:val="20"/>
          <w:szCs w:val="20"/>
        </w:rPr>
        <w:t xml:space="preserve"> Bd. IV,</w:t>
      </w:r>
      <w:r w:rsidRPr="00D60C0F">
        <w:rPr>
          <w:rFonts w:ascii="Times New Roman" w:hAnsi="Times New Roman" w:cs="Times New Roman"/>
          <w:sz w:val="20"/>
          <w:szCs w:val="20"/>
        </w:rPr>
        <w:t xml:space="preserve"> </w:t>
      </w:r>
      <w:r>
        <w:rPr>
          <w:rFonts w:ascii="Times New Roman" w:hAnsi="Times New Roman" w:cs="Times New Roman"/>
          <w:sz w:val="20"/>
          <w:szCs w:val="20"/>
        </w:rPr>
        <w:t>cit.</w:t>
      </w:r>
      <w:r w:rsidRPr="00D60C0F">
        <w:rPr>
          <w:rFonts w:ascii="Times New Roman" w:hAnsi="Times New Roman" w:cs="Times New Roman"/>
          <w:sz w:val="20"/>
          <w:szCs w:val="20"/>
        </w:rPr>
        <w:t>, p. 81.</w:t>
      </w:r>
    </w:p>
  </w:footnote>
  <w:footnote w:id="669">
    <w:p w14:paraId="6031FECB" w14:textId="77777777" w:rsidR="00B34CC2" w:rsidRPr="00D60C0F" w:rsidRDefault="00B34CC2" w:rsidP="00F721A9">
      <w:pPr>
        <w:pStyle w:val="Testonotaapidipagina"/>
        <w:jc w:val="both"/>
        <w:rPr>
          <w:rFonts w:ascii="Times New Roman" w:hAnsi="Times New Roman" w:cs="Times New Roman"/>
          <w:sz w:val="20"/>
          <w:szCs w:val="20"/>
        </w:rPr>
      </w:pPr>
      <w:r w:rsidRPr="00D60C0F">
        <w:rPr>
          <w:rStyle w:val="Rimandonotaapidipagina"/>
          <w:rFonts w:ascii="Times New Roman" w:hAnsi="Times New Roman" w:cs="Times New Roman"/>
          <w:sz w:val="20"/>
          <w:szCs w:val="20"/>
        </w:rPr>
        <w:footnoteRef/>
      </w:r>
      <w:r w:rsidRPr="00D60C0F">
        <w:rPr>
          <w:rFonts w:ascii="Times New Roman" w:hAnsi="Times New Roman" w:cs="Times New Roman"/>
          <w:sz w:val="20"/>
          <w:szCs w:val="20"/>
        </w:rPr>
        <w:t xml:space="preserve"> </w:t>
      </w:r>
      <w:r w:rsidRPr="00D60C0F">
        <w:rPr>
          <w:rFonts w:ascii="Times New Roman" w:hAnsi="Times New Roman" w:cs="Times New Roman"/>
          <w:i/>
          <w:sz w:val="20"/>
          <w:szCs w:val="20"/>
        </w:rPr>
        <w:t>Ibidem</w:t>
      </w:r>
      <w:r>
        <w:rPr>
          <w:rFonts w:ascii="Times New Roman" w:hAnsi="Times New Roman" w:cs="Times New Roman"/>
          <w:sz w:val="20"/>
          <w:szCs w:val="20"/>
        </w:rPr>
        <w:t>.</w:t>
      </w:r>
    </w:p>
  </w:footnote>
  <w:footnote w:id="670">
    <w:p w14:paraId="790895D9" w14:textId="3AD642BC" w:rsidR="00B34CC2" w:rsidRPr="00885818" w:rsidRDefault="00B34CC2" w:rsidP="00F721A9">
      <w:pPr>
        <w:pStyle w:val="Testonotaapidipagina"/>
        <w:jc w:val="both"/>
        <w:rPr>
          <w:rFonts w:ascii="Times New Roman" w:hAnsi="Times New Roman" w:cs="Times New Roman"/>
          <w:sz w:val="20"/>
          <w:szCs w:val="20"/>
          <w:lang w:val="de-DE"/>
        </w:rPr>
      </w:pPr>
      <w:r w:rsidRPr="007341F9">
        <w:rPr>
          <w:rStyle w:val="Rimandonotaapidipagina"/>
          <w:rFonts w:ascii="Times New Roman" w:hAnsi="Times New Roman" w:cs="Times New Roman"/>
          <w:sz w:val="20"/>
          <w:szCs w:val="20"/>
        </w:rPr>
        <w:footnoteRef/>
      </w:r>
      <w:r w:rsidRPr="007341F9">
        <w:rPr>
          <w:rFonts w:ascii="Times New Roman" w:hAnsi="Times New Roman" w:cs="Times New Roman"/>
          <w:sz w:val="20"/>
          <w:szCs w:val="20"/>
        </w:rPr>
        <w:t xml:space="preserve"> </w:t>
      </w:r>
      <w:r>
        <w:rPr>
          <w:rFonts w:ascii="Times New Roman" w:hAnsi="Times New Roman" w:cs="Times New Roman"/>
          <w:sz w:val="20"/>
          <w:szCs w:val="20"/>
        </w:rPr>
        <w:t xml:space="preserve">Sul collegamento di queste immagini orientali con lo zoroastrismo cfr. </w:t>
      </w:r>
      <w:r w:rsidRPr="007341F9">
        <w:rPr>
          <w:rFonts w:ascii="Times New Roman" w:hAnsi="Times New Roman" w:cs="Times New Roman"/>
          <w:i/>
          <w:sz w:val="20"/>
          <w:szCs w:val="20"/>
        </w:rPr>
        <w:t>Ivi</w:t>
      </w:r>
      <w:r>
        <w:rPr>
          <w:rFonts w:ascii="Times New Roman" w:hAnsi="Times New Roman" w:cs="Times New Roman"/>
          <w:sz w:val="20"/>
          <w:szCs w:val="20"/>
        </w:rPr>
        <w:t xml:space="preserve">, p. 93: </w:t>
      </w:r>
      <w:r w:rsidRPr="00885818">
        <w:rPr>
          <w:rFonts w:ascii="Times New Roman" w:hAnsi="Times New Roman" w:cs="Times New Roman"/>
          <w:sz w:val="20"/>
          <w:szCs w:val="20"/>
        </w:rPr>
        <w:t>«</w:t>
      </w:r>
      <w:r w:rsidRPr="00885818">
        <w:rPr>
          <w:rFonts w:ascii="Times New Roman" w:hAnsi="Times New Roman" w:cs="Times New Roman"/>
          <w:sz w:val="20"/>
          <w:szCs w:val="20"/>
          <w:lang w:val="de-DE"/>
        </w:rPr>
        <w:t>Gott ist das Licht; und wohnt in reinsten Lichte. Man hat zwar schon in den ältern Büchern der Hebräer diesen Begriff von Jehovah zu finden vermeynt, aber, wie neuere Ausleger gezeigt haben, mit Unrecht; ähnliche Ausdrücke haben dort eine ganz andere Bedeutung</w:t>
      </w:r>
      <w:r w:rsidRPr="00885818">
        <w:rPr>
          <w:rFonts w:ascii="Times New Roman" w:hAnsi="Times New Roman" w:cs="Times New Roman"/>
          <w:sz w:val="20"/>
          <w:szCs w:val="20"/>
        </w:rPr>
        <w:t xml:space="preserve">. </w:t>
      </w:r>
      <w:r w:rsidRPr="00885818">
        <w:rPr>
          <w:rFonts w:ascii="Times New Roman" w:hAnsi="Times New Roman" w:cs="Times New Roman"/>
          <w:sz w:val="20"/>
          <w:szCs w:val="20"/>
          <w:lang w:val="de-DE"/>
        </w:rPr>
        <w:t>Wohl aber komt jene Vorstellung in den spätern hebräischen Büchern vor, bey deren Verfassern schon eine Bekantschaft mit Zoroastrischen Ideen mit Wahrscheinlichkeit angenommen werden kann, oder wirkliche historische Thatsache ist. Zweitens: Es gibt zwei entgegengesetzte Urprincipien alles Vorhandenen, ein Princip des Guten (Ormuzd), und ein Princip des Bösen (A</w:t>
      </w:r>
      <w:r>
        <w:rPr>
          <w:rFonts w:ascii="Times New Roman" w:hAnsi="Times New Roman" w:cs="Times New Roman"/>
          <w:sz w:val="20"/>
          <w:szCs w:val="20"/>
          <w:lang w:val="de-DE"/>
        </w:rPr>
        <w:t xml:space="preserve">hriman). In der ursprünglichen </w:t>
      </w:r>
      <w:r w:rsidRPr="00885818">
        <w:rPr>
          <w:rFonts w:ascii="Times New Roman" w:hAnsi="Times New Roman" w:cs="Times New Roman"/>
          <w:sz w:val="20"/>
          <w:szCs w:val="20"/>
          <w:lang w:val="de-DE"/>
        </w:rPr>
        <w:t>hebräischen Religion war diese Lehre nicht enthal</w:t>
      </w:r>
      <w:r>
        <w:rPr>
          <w:rFonts w:ascii="Times New Roman" w:hAnsi="Times New Roman" w:cs="Times New Roman"/>
          <w:sz w:val="20"/>
          <w:szCs w:val="20"/>
          <w:lang w:val="de-DE"/>
        </w:rPr>
        <w:t>ten; sie ist erst aus persischer</w:t>
      </w:r>
      <w:r w:rsidRPr="00885818">
        <w:rPr>
          <w:rFonts w:ascii="Times New Roman" w:hAnsi="Times New Roman" w:cs="Times New Roman"/>
          <w:sz w:val="20"/>
          <w:szCs w:val="20"/>
          <w:lang w:val="de-DE"/>
        </w:rPr>
        <w:t xml:space="preserve"> Philosophie später hineingetragen».</w:t>
      </w:r>
    </w:p>
  </w:footnote>
  <w:footnote w:id="671">
    <w:p w14:paraId="59699972" w14:textId="77777777" w:rsidR="00B34CC2" w:rsidRPr="00C83366" w:rsidRDefault="00B34CC2" w:rsidP="00F721A9">
      <w:pPr>
        <w:pStyle w:val="Testonotaapidipagina"/>
        <w:jc w:val="both"/>
        <w:rPr>
          <w:rFonts w:ascii="Times New Roman" w:hAnsi="Times New Roman" w:cs="Times New Roman"/>
          <w:sz w:val="20"/>
          <w:szCs w:val="20"/>
        </w:rPr>
      </w:pPr>
      <w:r w:rsidRPr="00C83366">
        <w:rPr>
          <w:rStyle w:val="Rimandonotaapidipagina"/>
          <w:rFonts w:ascii="Times New Roman" w:hAnsi="Times New Roman" w:cs="Times New Roman"/>
          <w:sz w:val="20"/>
          <w:szCs w:val="20"/>
        </w:rPr>
        <w:footnoteRef/>
      </w:r>
      <w:r w:rsidRPr="00C83366">
        <w:rPr>
          <w:rFonts w:ascii="Times New Roman" w:hAnsi="Times New Roman" w:cs="Times New Roman"/>
          <w:sz w:val="20"/>
          <w:szCs w:val="20"/>
        </w:rPr>
        <w:t xml:space="preserve"> </w:t>
      </w:r>
      <w:r w:rsidRPr="00C83366">
        <w:rPr>
          <w:rFonts w:ascii="Times New Roman" w:hAnsi="Times New Roman" w:cs="Times New Roman"/>
          <w:i/>
          <w:sz w:val="20"/>
          <w:szCs w:val="20"/>
        </w:rPr>
        <w:t>Ivi</w:t>
      </w:r>
      <w:r w:rsidRPr="00C83366">
        <w:rPr>
          <w:rFonts w:ascii="Times New Roman" w:hAnsi="Times New Roman" w:cs="Times New Roman"/>
          <w:sz w:val="20"/>
          <w:szCs w:val="20"/>
        </w:rPr>
        <w:t>, p. 85.</w:t>
      </w:r>
    </w:p>
  </w:footnote>
  <w:footnote w:id="672">
    <w:p w14:paraId="43308EBE" w14:textId="77777777" w:rsidR="00B34CC2" w:rsidRPr="00492982" w:rsidRDefault="00B34CC2" w:rsidP="00F721A9">
      <w:pPr>
        <w:pStyle w:val="Testonotaapidipagina"/>
        <w:jc w:val="both"/>
        <w:rPr>
          <w:rFonts w:ascii="Times New Roman" w:hAnsi="Times New Roman" w:cs="Times New Roman"/>
          <w:sz w:val="20"/>
          <w:szCs w:val="20"/>
        </w:rPr>
      </w:pPr>
      <w:r w:rsidRPr="00492982">
        <w:rPr>
          <w:rStyle w:val="Rimandonotaapidipagina"/>
          <w:rFonts w:ascii="Times New Roman" w:hAnsi="Times New Roman" w:cs="Times New Roman"/>
          <w:sz w:val="20"/>
          <w:szCs w:val="20"/>
        </w:rPr>
        <w:footnoteRef/>
      </w:r>
      <w:r w:rsidRPr="00492982">
        <w:rPr>
          <w:rFonts w:ascii="Times New Roman" w:hAnsi="Times New Roman" w:cs="Times New Roman"/>
          <w:sz w:val="20"/>
          <w:szCs w:val="20"/>
        </w:rPr>
        <w:t xml:space="preserve"> </w:t>
      </w:r>
      <w:r>
        <w:rPr>
          <w:rFonts w:ascii="Times New Roman" w:hAnsi="Times New Roman" w:cs="Times New Roman"/>
          <w:sz w:val="20"/>
          <w:szCs w:val="20"/>
        </w:rPr>
        <w:t xml:space="preserve">M. Idel, </w:t>
      </w:r>
      <w:r w:rsidRPr="00492982">
        <w:rPr>
          <w:rFonts w:ascii="Times New Roman" w:hAnsi="Times New Roman" w:cs="Times New Roman"/>
          <w:i/>
          <w:sz w:val="20"/>
          <w:szCs w:val="20"/>
        </w:rPr>
        <w:t>Il male primordiale nella Qabbalah</w:t>
      </w:r>
      <w:r>
        <w:rPr>
          <w:rFonts w:ascii="Times New Roman" w:hAnsi="Times New Roman" w:cs="Times New Roman"/>
          <w:sz w:val="20"/>
          <w:szCs w:val="20"/>
        </w:rPr>
        <w:t>, cit., pp. 61-64.</w:t>
      </w:r>
    </w:p>
  </w:footnote>
  <w:footnote w:id="673">
    <w:p w14:paraId="38E0F12E" w14:textId="77777777" w:rsidR="00B34CC2" w:rsidRPr="00E356D7" w:rsidRDefault="00B34CC2" w:rsidP="00F721A9">
      <w:pPr>
        <w:pStyle w:val="Testonotaapidipagina"/>
        <w:jc w:val="both"/>
        <w:rPr>
          <w:rFonts w:ascii="Times New Roman" w:hAnsi="Times New Roman" w:cs="Times New Roman"/>
          <w:sz w:val="20"/>
          <w:szCs w:val="20"/>
          <w:lang w:val="de-DE"/>
        </w:rPr>
      </w:pPr>
      <w:r w:rsidRPr="00A04ADE">
        <w:rPr>
          <w:rStyle w:val="Rimandonotaapidipagina"/>
          <w:rFonts w:ascii="Times New Roman" w:hAnsi="Times New Roman" w:cs="Times New Roman"/>
          <w:sz w:val="20"/>
          <w:szCs w:val="20"/>
        </w:rPr>
        <w:footnoteRef/>
      </w:r>
      <w:r w:rsidRPr="00A04ADE">
        <w:rPr>
          <w:rFonts w:ascii="Times New Roman" w:hAnsi="Times New Roman" w:cs="Times New Roman"/>
          <w:sz w:val="20"/>
          <w:szCs w:val="20"/>
        </w:rPr>
        <w:t xml:space="preserve"> </w:t>
      </w:r>
      <w:r w:rsidRPr="00D60C0F">
        <w:rPr>
          <w:rFonts w:ascii="Times New Roman" w:hAnsi="Times New Roman" w:cs="Times New Roman"/>
          <w:sz w:val="20"/>
          <w:szCs w:val="20"/>
        </w:rPr>
        <w:t xml:space="preserve">J.G. Buhle, </w:t>
      </w:r>
      <w:r w:rsidRPr="00D60C0F">
        <w:rPr>
          <w:rFonts w:ascii="Times New Roman" w:hAnsi="Times New Roman" w:cs="Times New Roman"/>
          <w:i/>
          <w:sz w:val="20"/>
          <w:szCs w:val="20"/>
        </w:rPr>
        <w:t>Lehrbuch der Geschichte der Philosophie</w:t>
      </w:r>
      <w:r w:rsidRPr="00D60C0F">
        <w:rPr>
          <w:rFonts w:ascii="Times New Roman" w:hAnsi="Times New Roman" w:cs="Times New Roman"/>
          <w:sz w:val="20"/>
          <w:szCs w:val="20"/>
        </w:rPr>
        <w:t>,</w:t>
      </w:r>
      <w:r>
        <w:rPr>
          <w:rFonts w:ascii="Times New Roman" w:hAnsi="Times New Roman" w:cs="Times New Roman"/>
          <w:sz w:val="20"/>
          <w:szCs w:val="20"/>
        </w:rPr>
        <w:t xml:space="preserve"> Bd. IV, cit.</w:t>
      </w:r>
      <w:r w:rsidRPr="00A04ADE">
        <w:rPr>
          <w:rFonts w:ascii="Times New Roman" w:hAnsi="Times New Roman" w:cs="Times New Roman"/>
          <w:sz w:val="20"/>
          <w:szCs w:val="20"/>
        </w:rPr>
        <w:t>, pp. 96-97</w:t>
      </w:r>
      <w:r>
        <w:t xml:space="preserve">: </w:t>
      </w:r>
      <w:r w:rsidRPr="00E356D7">
        <w:t>«</w:t>
      </w:r>
      <w:r w:rsidRPr="00E356D7">
        <w:rPr>
          <w:rFonts w:ascii="Times New Roman" w:hAnsi="Times New Roman" w:cs="Times New Roman"/>
          <w:sz w:val="20"/>
          <w:szCs w:val="20"/>
          <w:lang w:val="de-DE"/>
        </w:rPr>
        <w:t xml:space="preserve">Das Honover des Zendavesta, durch welches Ormuzd alles erschuf, älter als alle erschaffene Dinge, und das bisweilen als von der Gottheit verschieden beschrieben wird, ist dieselbe Idee mit dem </w:t>
      </w:r>
      <w:r w:rsidRPr="00E356D7">
        <w:rPr>
          <w:rFonts w:ascii="Times New Roman" w:hAnsi="Times New Roman" w:cs="Times New Roman"/>
          <w:i/>
          <w:sz w:val="20"/>
          <w:szCs w:val="20"/>
          <w:lang w:val="de-DE"/>
        </w:rPr>
        <w:t xml:space="preserve">λογος </w:t>
      </w:r>
      <w:r w:rsidRPr="00E356D7">
        <w:rPr>
          <w:rFonts w:ascii="Times New Roman" w:hAnsi="Times New Roman" w:cs="Times New Roman"/>
          <w:sz w:val="20"/>
          <w:szCs w:val="20"/>
          <w:lang w:val="de-DE"/>
        </w:rPr>
        <w:t>beym Philo […] nur daß Philo mehr platonisiert».</w:t>
      </w:r>
    </w:p>
  </w:footnote>
  <w:footnote w:id="674">
    <w:p w14:paraId="2891499B" w14:textId="77777777" w:rsidR="00B34CC2" w:rsidRPr="006A2394" w:rsidRDefault="00B34CC2" w:rsidP="00F721A9">
      <w:pPr>
        <w:pStyle w:val="Testonotaapidipagina"/>
        <w:jc w:val="both"/>
        <w:rPr>
          <w:rFonts w:ascii="Times New Roman" w:hAnsi="Times New Roman"/>
          <w:sz w:val="20"/>
          <w:szCs w:val="20"/>
        </w:rPr>
      </w:pPr>
      <w:r w:rsidRPr="006A2394">
        <w:rPr>
          <w:rStyle w:val="Rimandonotaapidipagina"/>
          <w:rFonts w:ascii="Times New Roman" w:hAnsi="Times New Roman"/>
          <w:sz w:val="20"/>
          <w:szCs w:val="20"/>
        </w:rPr>
        <w:footnoteRef/>
      </w:r>
      <w:r w:rsidRPr="006A2394">
        <w:rPr>
          <w:rFonts w:ascii="Times New Roman" w:hAnsi="Times New Roman"/>
          <w:sz w:val="20"/>
          <w:szCs w:val="20"/>
        </w:rPr>
        <w:t xml:space="preserve"> </w:t>
      </w:r>
      <w:r w:rsidRPr="006A2394">
        <w:rPr>
          <w:rFonts w:ascii="Times New Roman" w:hAnsi="Times New Roman"/>
          <w:i/>
          <w:sz w:val="20"/>
          <w:szCs w:val="20"/>
        </w:rPr>
        <w:t>Ivi</w:t>
      </w:r>
      <w:r w:rsidRPr="006A2394">
        <w:rPr>
          <w:rFonts w:ascii="Times New Roman" w:hAnsi="Times New Roman"/>
          <w:sz w:val="20"/>
          <w:szCs w:val="20"/>
        </w:rPr>
        <w:t>, p. 150</w:t>
      </w:r>
      <w:r>
        <w:rPr>
          <w:rFonts w:ascii="Times New Roman" w:hAnsi="Times New Roman"/>
          <w:sz w:val="20"/>
          <w:szCs w:val="20"/>
        </w:rPr>
        <w:t>.</w:t>
      </w:r>
    </w:p>
  </w:footnote>
  <w:footnote w:id="675">
    <w:p w14:paraId="68C17541" w14:textId="77777777" w:rsidR="00B34CC2" w:rsidRDefault="00B34CC2" w:rsidP="00F721A9">
      <w:pPr>
        <w:pStyle w:val="Testonotaapidipagina"/>
        <w:jc w:val="both"/>
      </w:pPr>
      <w:r w:rsidRPr="00FA1930">
        <w:rPr>
          <w:rStyle w:val="Rimandonotaapidipagina"/>
          <w:rFonts w:ascii="Times New Roman" w:hAnsi="Times New Roman" w:cs="Times New Roman"/>
          <w:sz w:val="20"/>
          <w:szCs w:val="20"/>
        </w:rPr>
        <w:footnoteRef/>
      </w:r>
      <w:r w:rsidRPr="00FA1930">
        <w:rPr>
          <w:rFonts w:ascii="Times New Roman" w:hAnsi="Times New Roman" w:cs="Times New Roman"/>
          <w:sz w:val="20"/>
          <w:szCs w:val="20"/>
        </w:rPr>
        <w:t xml:space="preserve"> </w:t>
      </w:r>
      <w:r w:rsidRPr="006A2394">
        <w:rPr>
          <w:rFonts w:ascii="Times New Roman" w:hAnsi="Times New Roman"/>
          <w:i/>
          <w:sz w:val="20"/>
          <w:szCs w:val="20"/>
        </w:rPr>
        <w:t>Ivi</w:t>
      </w:r>
      <w:r w:rsidRPr="006A2394">
        <w:rPr>
          <w:rFonts w:ascii="Times New Roman" w:hAnsi="Times New Roman"/>
          <w:sz w:val="20"/>
          <w:szCs w:val="20"/>
        </w:rPr>
        <w:t>,</w:t>
      </w:r>
      <w:r>
        <w:rPr>
          <w:rFonts w:ascii="Times New Roman" w:hAnsi="Times New Roman"/>
          <w:sz w:val="20"/>
          <w:szCs w:val="20"/>
        </w:rPr>
        <w:t xml:space="preserve"> pp. 149-150.</w:t>
      </w:r>
    </w:p>
  </w:footnote>
  <w:footnote w:id="676">
    <w:p w14:paraId="60BC366C" w14:textId="1C10415D" w:rsidR="00B34CC2" w:rsidRPr="00334412" w:rsidRDefault="00B34CC2" w:rsidP="00F721A9">
      <w:pPr>
        <w:pStyle w:val="Testonotaapidipagina"/>
        <w:jc w:val="both"/>
        <w:rPr>
          <w:rFonts w:ascii="Times New Roman" w:hAnsi="Times New Roman"/>
          <w:sz w:val="20"/>
          <w:szCs w:val="20"/>
        </w:rPr>
      </w:pPr>
      <w:r w:rsidRPr="00334412">
        <w:rPr>
          <w:rStyle w:val="Rimandonotaapidipagina"/>
          <w:rFonts w:ascii="Times New Roman" w:hAnsi="Times New Roman"/>
          <w:sz w:val="20"/>
          <w:szCs w:val="20"/>
        </w:rPr>
        <w:footnoteRef/>
      </w:r>
      <w:r w:rsidRPr="00334412">
        <w:rPr>
          <w:rFonts w:ascii="Times New Roman" w:hAnsi="Times New Roman"/>
          <w:sz w:val="20"/>
          <w:szCs w:val="20"/>
        </w:rPr>
        <w:t xml:space="preserve"> Cfr. </w:t>
      </w:r>
      <w:r w:rsidRPr="00334412">
        <w:rPr>
          <w:rFonts w:ascii="Times New Roman" w:hAnsi="Times New Roman"/>
          <w:i/>
          <w:sz w:val="20"/>
          <w:szCs w:val="20"/>
        </w:rPr>
        <w:t>Ivi</w:t>
      </w:r>
      <w:r w:rsidRPr="00334412">
        <w:rPr>
          <w:rFonts w:ascii="Times New Roman" w:hAnsi="Times New Roman"/>
          <w:sz w:val="20"/>
          <w:szCs w:val="20"/>
        </w:rPr>
        <w:t xml:space="preserve">, p. 152: </w:t>
      </w:r>
      <w:r w:rsidRPr="0024035D">
        <w:rPr>
          <w:rFonts w:ascii="Times New Roman" w:hAnsi="Times New Roman" w:cs="Times New Roman"/>
          <w:sz w:val="20"/>
          <w:szCs w:val="20"/>
        </w:rPr>
        <w:t>«</w:t>
      </w:r>
      <w:r w:rsidRPr="0024035D">
        <w:rPr>
          <w:rFonts w:ascii="Times New Roman" w:hAnsi="Times New Roman" w:cs="Times New Roman"/>
          <w:sz w:val="20"/>
          <w:szCs w:val="20"/>
          <w:lang w:val="de-DE"/>
        </w:rPr>
        <w:t>Das Buch Jezirah und Sohar sind schwer</w:t>
      </w:r>
      <w:r>
        <w:rPr>
          <w:rFonts w:ascii="Times New Roman" w:hAnsi="Times New Roman" w:cs="Times New Roman"/>
          <w:sz w:val="20"/>
          <w:szCs w:val="20"/>
          <w:lang w:val="de-DE"/>
        </w:rPr>
        <w:t xml:space="preserve">lich echt </w:t>
      </w:r>
      <w:r w:rsidRPr="0024035D">
        <w:rPr>
          <w:rFonts w:ascii="Times New Roman" w:hAnsi="Times New Roman" w:cs="Times New Roman"/>
          <w:sz w:val="20"/>
          <w:szCs w:val="20"/>
          <w:lang w:val="de-DE"/>
        </w:rPr>
        <w:t>uns gekommen, sondern vermutlich durch viele spätere Zusatze entstellt und verbrämt. Daher behaupten auch einige, daß beyde Bucher erst um das zehnte Jahrhundert geschrieben seyen».</w:t>
      </w:r>
    </w:p>
  </w:footnote>
  <w:footnote w:id="677">
    <w:p w14:paraId="2F80B815" w14:textId="77777777" w:rsidR="00B34CC2" w:rsidRPr="00D20D6E" w:rsidRDefault="00B34CC2" w:rsidP="00F721A9">
      <w:pPr>
        <w:pStyle w:val="Testonotaapidipagina"/>
        <w:jc w:val="both"/>
        <w:rPr>
          <w:rFonts w:ascii="Times New Roman" w:hAnsi="Times New Roman"/>
          <w:sz w:val="20"/>
          <w:szCs w:val="20"/>
        </w:rPr>
      </w:pPr>
      <w:r w:rsidRPr="00D20D6E">
        <w:rPr>
          <w:rStyle w:val="Rimandonotaapidipagina"/>
          <w:rFonts w:ascii="Times New Roman" w:hAnsi="Times New Roman"/>
          <w:sz w:val="20"/>
          <w:szCs w:val="20"/>
        </w:rPr>
        <w:footnoteRef/>
      </w:r>
      <w:r w:rsidRPr="00D20D6E">
        <w:rPr>
          <w:rFonts w:ascii="Times New Roman" w:hAnsi="Times New Roman"/>
          <w:sz w:val="20"/>
          <w:szCs w:val="20"/>
        </w:rPr>
        <w:t xml:space="preserve"> </w:t>
      </w:r>
      <w:r w:rsidRPr="00D20D6E">
        <w:rPr>
          <w:rFonts w:ascii="Times New Roman" w:hAnsi="Times New Roman"/>
          <w:i/>
          <w:sz w:val="20"/>
          <w:szCs w:val="20"/>
        </w:rPr>
        <w:t>Ibidem</w:t>
      </w:r>
      <w:r w:rsidRPr="00D20D6E">
        <w:rPr>
          <w:rFonts w:ascii="Times New Roman" w:hAnsi="Times New Roman"/>
          <w:sz w:val="20"/>
          <w:szCs w:val="20"/>
        </w:rPr>
        <w:t>.</w:t>
      </w:r>
    </w:p>
  </w:footnote>
  <w:footnote w:id="678">
    <w:p w14:paraId="7822D837" w14:textId="77777777" w:rsidR="00B34CC2" w:rsidRPr="00D20D6E" w:rsidRDefault="00B34CC2" w:rsidP="00F721A9">
      <w:pPr>
        <w:pStyle w:val="Testonotaapidipagina"/>
        <w:jc w:val="both"/>
        <w:rPr>
          <w:rFonts w:ascii="Times New Roman" w:hAnsi="Times New Roman"/>
          <w:sz w:val="20"/>
          <w:szCs w:val="20"/>
        </w:rPr>
      </w:pPr>
      <w:r w:rsidRPr="00D20D6E">
        <w:rPr>
          <w:rStyle w:val="Rimandonotaapidipagina"/>
          <w:rFonts w:ascii="Times New Roman" w:hAnsi="Times New Roman"/>
          <w:sz w:val="20"/>
          <w:szCs w:val="20"/>
        </w:rPr>
        <w:footnoteRef/>
      </w:r>
      <w:r w:rsidRPr="00D20D6E">
        <w:rPr>
          <w:rFonts w:ascii="Times New Roman" w:hAnsi="Times New Roman"/>
          <w:sz w:val="20"/>
          <w:szCs w:val="20"/>
        </w:rPr>
        <w:t xml:space="preserve"> </w:t>
      </w:r>
      <w:r w:rsidRPr="00D20D6E">
        <w:rPr>
          <w:rFonts w:ascii="Times New Roman" w:hAnsi="Times New Roman"/>
          <w:i/>
          <w:sz w:val="20"/>
          <w:szCs w:val="20"/>
        </w:rPr>
        <w:t>Ivi</w:t>
      </w:r>
      <w:r w:rsidRPr="00D20D6E">
        <w:rPr>
          <w:rFonts w:ascii="Times New Roman" w:hAnsi="Times New Roman"/>
          <w:sz w:val="20"/>
          <w:szCs w:val="20"/>
        </w:rPr>
        <w:t>, p. 156.</w:t>
      </w:r>
    </w:p>
  </w:footnote>
  <w:footnote w:id="679">
    <w:p w14:paraId="6BCDA6F8" w14:textId="77777777" w:rsidR="00B34CC2" w:rsidRPr="00D20D6E" w:rsidRDefault="00B34CC2" w:rsidP="00F721A9">
      <w:pPr>
        <w:pStyle w:val="Testonotaapidipagina"/>
        <w:jc w:val="both"/>
        <w:rPr>
          <w:rFonts w:ascii="Times New Roman" w:hAnsi="Times New Roman"/>
          <w:sz w:val="20"/>
          <w:szCs w:val="20"/>
        </w:rPr>
      </w:pPr>
      <w:r w:rsidRPr="00D20D6E">
        <w:rPr>
          <w:rStyle w:val="Rimandonotaapidipagina"/>
          <w:rFonts w:ascii="Times New Roman" w:hAnsi="Times New Roman"/>
          <w:sz w:val="20"/>
          <w:szCs w:val="20"/>
        </w:rPr>
        <w:footnoteRef/>
      </w:r>
      <w:r w:rsidRPr="00D20D6E">
        <w:rPr>
          <w:rFonts w:ascii="Times New Roman" w:hAnsi="Times New Roman"/>
          <w:sz w:val="20"/>
          <w:szCs w:val="20"/>
        </w:rPr>
        <w:t xml:space="preserve"> </w:t>
      </w:r>
      <w:r w:rsidRPr="00D20D6E">
        <w:rPr>
          <w:rFonts w:ascii="Times New Roman" w:hAnsi="Times New Roman"/>
          <w:i/>
          <w:sz w:val="20"/>
          <w:szCs w:val="20"/>
        </w:rPr>
        <w:t>Ibidem</w:t>
      </w:r>
      <w:r w:rsidRPr="00D20D6E">
        <w:rPr>
          <w:rFonts w:ascii="Times New Roman" w:hAnsi="Times New Roman"/>
          <w:sz w:val="20"/>
          <w:szCs w:val="20"/>
        </w:rPr>
        <w:t>.</w:t>
      </w:r>
    </w:p>
  </w:footnote>
  <w:footnote w:id="680">
    <w:p w14:paraId="4B8B7500" w14:textId="77777777" w:rsidR="00B34CC2" w:rsidRPr="00EF6847" w:rsidRDefault="00B34CC2" w:rsidP="00F721A9">
      <w:pPr>
        <w:pStyle w:val="Testonotaapidipagina"/>
        <w:jc w:val="both"/>
        <w:rPr>
          <w:rFonts w:ascii="Times New Roman" w:hAnsi="Times New Roman"/>
          <w:sz w:val="20"/>
          <w:szCs w:val="20"/>
        </w:rPr>
      </w:pPr>
      <w:r w:rsidRPr="00EF6847">
        <w:rPr>
          <w:rStyle w:val="Rimandonotaapidipagina"/>
          <w:rFonts w:ascii="Times New Roman" w:hAnsi="Times New Roman"/>
          <w:sz w:val="20"/>
          <w:szCs w:val="20"/>
        </w:rPr>
        <w:footnoteRef/>
      </w:r>
      <w:r w:rsidRPr="00EF6847">
        <w:rPr>
          <w:rFonts w:ascii="Times New Roman" w:hAnsi="Times New Roman"/>
          <w:sz w:val="20"/>
          <w:szCs w:val="20"/>
        </w:rPr>
        <w:t xml:space="preserve"> </w:t>
      </w:r>
      <w:r w:rsidRPr="00EF6847">
        <w:rPr>
          <w:rFonts w:ascii="Times New Roman" w:hAnsi="Times New Roman"/>
          <w:i/>
          <w:sz w:val="20"/>
          <w:szCs w:val="20"/>
        </w:rPr>
        <w:t>Ibidem</w:t>
      </w:r>
      <w:r w:rsidRPr="00EF6847">
        <w:rPr>
          <w:rFonts w:ascii="Times New Roman" w:hAnsi="Times New Roman"/>
          <w:sz w:val="20"/>
          <w:szCs w:val="20"/>
        </w:rPr>
        <w:t>.</w:t>
      </w:r>
    </w:p>
  </w:footnote>
  <w:footnote w:id="681">
    <w:p w14:paraId="4014530C" w14:textId="77777777" w:rsidR="00B34CC2" w:rsidRPr="00D20D6E" w:rsidRDefault="00B34CC2" w:rsidP="00F721A9">
      <w:pPr>
        <w:pStyle w:val="Testonotaapidipagina"/>
        <w:jc w:val="both"/>
        <w:rPr>
          <w:rFonts w:ascii="Times New Roman" w:hAnsi="Times New Roman"/>
          <w:sz w:val="20"/>
          <w:szCs w:val="20"/>
        </w:rPr>
      </w:pPr>
      <w:r w:rsidRPr="00D20D6E">
        <w:rPr>
          <w:rStyle w:val="Rimandonotaapidipagina"/>
          <w:rFonts w:ascii="Times New Roman" w:hAnsi="Times New Roman"/>
          <w:sz w:val="20"/>
          <w:szCs w:val="20"/>
        </w:rPr>
        <w:footnoteRef/>
      </w:r>
      <w:r w:rsidRPr="00D20D6E">
        <w:rPr>
          <w:rFonts w:ascii="Times New Roman" w:hAnsi="Times New Roman"/>
          <w:sz w:val="20"/>
          <w:szCs w:val="20"/>
        </w:rPr>
        <w:t xml:space="preserve"> </w:t>
      </w:r>
      <w:r w:rsidRPr="00D20D6E">
        <w:rPr>
          <w:rFonts w:ascii="Times New Roman" w:hAnsi="Times New Roman"/>
          <w:i/>
          <w:sz w:val="20"/>
          <w:szCs w:val="20"/>
        </w:rPr>
        <w:t>Ibidem</w:t>
      </w:r>
      <w:r w:rsidRPr="00D20D6E">
        <w:rPr>
          <w:rFonts w:ascii="Times New Roman" w:hAnsi="Times New Roman"/>
          <w:sz w:val="20"/>
          <w:szCs w:val="20"/>
        </w:rPr>
        <w:t>.</w:t>
      </w:r>
    </w:p>
  </w:footnote>
  <w:footnote w:id="682">
    <w:p w14:paraId="66C2C93A" w14:textId="77777777" w:rsidR="00B34CC2" w:rsidRPr="00582129" w:rsidRDefault="00B34CC2" w:rsidP="00F721A9">
      <w:pPr>
        <w:pStyle w:val="Testonotaapidipagina"/>
        <w:jc w:val="both"/>
        <w:rPr>
          <w:rFonts w:ascii="Times New Roman" w:hAnsi="Times New Roman"/>
          <w:sz w:val="20"/>
          <w:szCs w:val="20"/>
        </w:rPr>
      </w:pPr>
      <w:r w:rsidRPr="00582129">
        <w:rPr>
          <w:rStyle w:val="Rimandonotaapidipagina"/>
          <w:rFonts w:ascii="Times New Roman" w:hAnsi="Times New Roman"/>
          <w:sz w:val="20"/>
          <w:szCs w:val="20"/>
        </w:rPr>
        <w:footnoteRef/>
      </w:r>
      <w:r w:rsidRPr="00582129">
        <w:rPr>
          <w:rFonts w:ascii="Times New Roman" w:hAnsi="Times New Roman"/>
          <w:sz w:val="20"/>
          <w:szCs w:val="20"/>
        </w:rPr>
        <w:t xml:space="preserve"> </w:t>
      </w:r>
      <w:r w:rsidRPr="00582129">
        <w:rPr>
          <w:rFonts w:ascii="Times New Roman" w:hAnsi="Times New Roman"/>
          <w:i/>
          <w:sz w:val="20"/>
          <w:szCs w:val="20"/>
        </w:rPr>
        <w:t>Ibidem</w:t>
      </w:r>
      <w:r w:rsidRPr="00582129">
        <w:rPr>
          <w:rFonts w:ascii="Times New Roman" w:hAnsi="Times New Roman"/>
          <w:sz w:val="20"/>
          <w:szCs w:val="20"/>
        </w:rPr>
        <w:t>.</w:t>
      </w:r>
    </w:p>
  </w:footnote>
  <w:footnote w:id="683">
    <w:p w14:paraId="59AE960D" w14:textId="77777777" w:rsidR="00B34CC2" w:rsidRPr="00582129" w:rsidRDefault="00B34CC2" w:rsidP="00F721A9">
      <w:pPr>
        <w:pStyle w:val="Testonotaapidipagina"/>
        <w:jc w:val="both"/>
      </w:pPr>
      <w:r w:rsidRPr="00582129">
        <w:rPr>
          <w:rStyle w:val="Rimandonotaapidipagina"/>
          <w:rFonts w:ascii="Times New Roman" w:hAnsi="Times New Roman"/>
          <w:sz w:val="20"/>
          <w:szCs w:val="20"/>
        </w:rPr>
        <w:footnoteRef/>
      </w:r>
      <w:r w:rsidRPr="00582129">
        <w:rPr>
          <w:rFonts w:ascii="Times New Roman" w:hAnsi="Times New Roman"/>
          <w:sz w:val="20"/>
          <w:szCs w:val="20"/>
        </w:rPr>
        <w:t xml:space="preserve"> </w:t>
      </w:r>
      <w:r w:rsidRPr="00582129">
        <w:rPr>
          <w:rFonts w:ascii="Times New Roman" w:hAnsi="Times New Roman"/>
          <w:i/>
          <w:sz w:val="20"/>
          <w:szCs w:val="20"/>
        </w:rPr>
        <w:t>Ibidem</w:t>
      </w:r>
      <w:r w:rsidRPr="00582129">
        <w:rPr>
          <w:rFonts w:ascii="Times New Roman" w:hAnsi="Times New Roman"/>
          <w:sz w:val="20"/>
          <w:szCs w:val="20"/>
        </w:rPr>
        <w:t>.</w:t>
      </w:r>
    </w:p>
  </w:footnote>
  <w:footnote w:id="684">
    <w:p w14:paraId="19BF64B7" w14:textId="77777777" w:rsidR="00B34CC2" w:rsidRPr="00582129" w:rsidRDefault="00B34CC2" w:rsidP="00F721A9">
      <w:pPr>
        <w:pStyle w:val="Testonotaapidipagina"/>
        <w:jc w:val="both"/>
        <w:rPr>
          <w:rFonts w:ascii="Times New Roman" w:hAnsi="Times New Roman" w:cs="Times New Roman"/>
          <w:sz w:val="20"/>
          <w:szCs w:val="20"/>
        </w:rPr>
      </w:pPr>
      <w:r w:rsidRPr="00582129">
        <w:rPr>
          <w:rStyle w:val="Rimandonotaapidipagina"/>
          <w:rFonts w:ascii="Times New Roman" w:hAnsi="Times New Roman" w:cs="Times New Roman"/>
          <w:sz w:val="20"/>
          <w:szCs w:val="20"/>
        </w:rPr>
        <w:footnoteRef/>
      </w:r>
      <w:r w:rsidRPr="00582129">
        <w:rPr>
          <w:rFonts w:ascii="Times New Roman" w:hAnsi="Times New Roman" w:cs="Times New Roman"/>
          <w:sz w:val="20"/>
          <w:szCs w:val="20"/>
        </w:rPr>
        <w:t xml:space="preserve"> </w:t>
      </w:r>
      <w:r w:rsidRPr="00582129">
        <w:rPr>
          <w:rFonts w:ascii="Times New Roman" w:hAnsi="Times New Roman" w:cs="Times New Roman"/>
          <w:i/>
          <w:sz w:val="20"/>
          <w:szCs w:val="20"/>
        </w:rPr>
        <w:t>Ivi</w:t>
      </w:r>
      <w:r w:rsidRPr="00582129">
        <w:rPr>
          <w:rFonts w:ascii="Times New Roman" w:hAnsi="Times New Roman" w:cs="Times New Roman"/>
          <w:sz w:val="20"/>
          <w:szCs w:val="20"/>
        </w:rPr>
        <w:t>, p. 157.</w:t>
      </w:r>
    </w:p>
  </w:footnote>
  <w:footnote w:id="685">
    <w:p w14:paraId="4F1DD06C" w14:textId="1D245E79" w:rsidR="00B34CC2" w:rsidRPr="00F3728B" w:rsidRDefault="00B34CC2" w:rsidP="00F721A9">
      <w:pPr>
        <w:pStyle w:val="Testonotaapidipagina"/>
        <w:jc w:val="both"/>
        <w:rPr>
          <w:rFonts w:ascii="Times New Roman" w:hAnsi="Times New Roman" w:cs="Times New Roman"/>
          <w:sz w:val="20"/>
          <w:szCs w:val="20"/>
        </w:rPr>
      </w:pPr>
      <w:r w:rsidRPr="00F3728B">
        <w:rPr>
          <w:rStyle w:val="Rimandonotaapidipagina"/>
          <w:rFonts w:ascii="Times New Roman" w:hAnsi="Times New Roman" w:cs="Times New Roman"/>
          <w:sz w:val="20"/>
          <w:szCs w:val="20"/>
        </w:rPr>
        <w:footnoteRef/>
      </w:r>
      <w:r w:rsidRPr="00F3728B">
        <w:rPr>
          <w:rFonts w:ascii="Times New Roman" w:hAnsi="Times New Roman" w:cs="Times New Roman"/>
          <w:sz w:val="20"/>
          <w:szCs w:val="20"/>
        </w:rPr>
        <w:t xml:space="preserve"> Cfr. </w:t>
      </w:r>
      <w:r w:rsidRPr="00F3728B">
        <w:rPr>
          <w:rFonts w:ascii="Times New Roman" w:hAnsi="Times New Roman" w:cs="Times New Roman"/>
          <w:i/>
          <w:sz w:val="20"/>
          <w:szCs w:val="20"/>
        </w:rPr>
        <w:t>infra</w:t>
      </w:r>
      <w:r>
        <w:rPr>
          <w:rFonts w:ascii="Times New Roman" w:hAnsi="Times New Roman" w:cs="Times New Roman"/>
          <w:sz w:val="20"/>
          <w:szCs w:val="20"/>
        </w:rPr>
        <w:t>, pp. 223-225</w:t>
      </w:r>
      <w:r w:rsidRPr="00F3728B">
        <w:rPr>
          <w:rFonts w:ascii="Times New Roman" w:hAnsi="Times New Roman" w:cs="Times New Roman"/>
          <w:sz w:val="20"/>
          <w:szCs w:val="20"/>
        </w:rPr>
        <w:t>.</w:t>
      </w:r>
    </w:p>
  </w:footnote>
  <w:footnote w:id="686">
    <w:p w14:paraId="5E877AD9" w14:textId="5430EB0B" w:rsidR="00B34CC2" w:rsidRPr="000128F7" w:rsidRDefault="00B34CC2" w:rsidP="00F721A9">
      <w:pPr>
        <w:pStyle w:val="Testonotaapidipagina"/>
        <w:jc w:val="both"/>
        <w:rPr>
          <w:rFonts w:ascii="Times New Roman" w:hAnsi="Times New Roman" w:cs="Times New Roman"/>
          <w:sz w:val="20"/>
          <w:szCs w:val="20"/>
          <w:highlight w:val="cyan"/>
        </w:rPr>
      </w:pPr>
      <w:r w:rsidRPr="00582129">
        <w:rPr>
          <w:rStyle w:val="Rimandonotaapidipagina"/>
          <w:rFonts w:ascii="Times New Roman" w:hAnsi="Times New Roman" w:cs="Times New Roman"/>
          <w:sz w:val="20"/>
          <w:szCs w:val="20"/>
        </w:rPr>
        <w:footnoteRef/>
      </w:r>
      <w:r w:rsidRPr="00582129">
        <w:rPr>
          <w:rFonts w:ascii="Times New Roman" w:hAnsi="Times New Roman" w:cs="Times New Roman"/>
          <w:sz w:val="20"/>
          <w:szCs w:val="20"/>
        </w:rPr>
        <w:t xml:space="preserve"> </w:t>
      </w:r>
      <w:r w:rsidRPr="00D60C0F">
        <w:rPr>
          <w:rFonts w:ascii="Times New Roman" w:hAnsi="Times New Roman" w:cs="Times New Roman"/>
          <w:sz w:val="20"/>
          <w:szCs w:val="20"/>
        </w:rPr>
        <w:t xml:space="preserve">J.G. Buhle, </w:t>
      </w:r>
      <w:r w:rsidRPr="00D60C0F">
        <w:rPr>
          <w:rFonts w:ascii="Times New Roman" w:hAnsi="Times New Roman" w:cs="Times New Roman"/>
          <w:i/>
          <w:sz w:val="20"/>
          <w:szCs w:val="20"/>
        </w:rPr>
        <w:t>Lehrbuch der Geschichte der Philosophie</w:t>
      </w:r>
      <w:r w:rsidRPr="00D60C0F">
        <w:rPr>
          <w:rFonts w:ascii="Times New Roman" w:hAnsi="Times New Roman" w:cs="Times New Roman"/>
          <w:sz w:val="20"/>
          <w:szCs w:val="20"/>
        </w:rPr>
        <w:t>,</w:t>
      </w:r>
      <w:r>
        <w:rPr>
          <w:rFonts w:ascii="Times New Roman" w:hAnsi="Times New Roman" w:cs="Times New Roman"/>
          <w:sz w:val="20"/>
          <w:szCs w:val="20"/>
        </w:rPr>
        <w:t xml:space="preserve"> Bd. IV, cit.</w:t>
      </w:r>
      <w:r w:rsidRPr="00582129">
        <w:rPr>
          <w:rFonts w:ascii="Times New Roman" w:hAnsi="Times New Roman" w:cs="Times New Roman"/>
          <w:sz w:val="20"/>
          <w:szCs w:val="20"/>
        </w:rPr>
        <w:t>, p. 158.</w:t>
      </w:r>
    </w:p>
  </w:footnote>
  <w:footnote w:id="687">
    <w:p w14:paraId="0E80C3C8" w14:textId="79374229" w:rsidR="00B34CC2" w:rsidRPr="002317DB" w:rsidRDefault="00B34CC2" w:rsidP="00F721A9">
      <w:pPr>
        <w:pStyle w:val="Testonotaapidipagina"/>
        <w:jc w:val="both"/>
        <w:rPr>
          <w:rFonts w:ascii="Times New Roman" w:hAnsi="Times New Roman" w:cs="Times New Roman"/>
          <w:sz w:val="20"/>
          <w:szCs w:val="20"/>
        </w:rPr>
      </w:pPr>
      <w:r w:rsidRPr="00C35E4B">
        <w:rPr>
          <w:rStyle w:val="Rimandonotaapidipagina"/>
          <w:rFonts w:ascii="Times New Roman" w:hAnsi="Times New Roman" w:cs="Times New Roman"/>
          <w:sz w:val="20"/>
          <w:szCs w:val="20"/>
        </w:rPr>
        <w:footnoteRef/>
      </w:r>
      <w:r w:rsidRPr="00C35E4B">
        <w:rPr>
          <w:rFonts w:ascii="Times New Roman" w:hAnsi="Times New Roman" w:cs="Times New Roman"/>
          <w:sz w:val="20"/>
          <w:szCs w:val="20"/>
        </w:rPr>
        <w:t xml:space="preserve"> </w:t>
      </w:r>
      <w:r w:rsidRPr="00C35E4B">
        <w:rPr>
          <w:rFonts w:ascii="Times New Roman" w:hAnsi="Times New Roman" w:cs="Times New Roman"/>
          <w:i/>
          <w:sz w:val="20"/>
          <w:szCs w:val="20"/>
        </w:rPr>
        <w:t>Supra</w:t>
      </w:r>
      <w:r>
        <w:rPr>
          <w:rFonts w:ascii="Times New Roman" w:hAnsi="Times New Roman" w:cs="Times New Roman"/>
          <w:sz w:val="20"/>
          <w:szCs w:val="20"/>
        </w:rPr>
        <w:t>, p. 182-184</w:t>
      </w:r>
      <w:r w:rsidRPr="00C35E4B">
        <w:rPr>
          <w:rFonts w:ascii="Times New Roman" w:hAnsi="Times New Roman" w:cs="Times New Roman"/>
          <w:sz w:val="20"/>
          <w:szCs w:val="20"/>
        </w:rPr>
        <w:t>.</w:t>
      </w:r>
    </w:p>
  </w:footnote>
  <w:footnote w:id="688">
    <w:p w14:paraId="7CE3872D" w14:textId="1AE0330C" w:rsidR="00B34CC2" w:rsidRPr="002B1A80" w:rsidRDefault="00B34CC2" w:rsidP="00F721A9">
      <w:pPr>
        <w:pStyle w:val="Testonotaapidipagina"/>
        <w:jc w:val="both"/>
        <w:rPr>
          <w:rFonts w:ascii="Times New Roman" w:hAnsi="Times New Roman" w:cs="Times New Roman"/>
          <w:sz w:val="20"/>
          <w:szCs w:val="20"/>
        </w:rPr>
      </w:pPr>
      <w:r w:rsidRPr="002317DB">
        <w:rPr>
          <w:rStyle w:val="Rimandonotaapidipagina"/>
          <w:rFonts w:ascii="Times New Roman" w:hAnsi="Times New Roman" w:cs="Times New Roman"/>
          <w:sz w:val="20"/>
          <w:szCs w:val="20"/>
        </w:rPr>
        <w:footnoteRef/>
      </w:r>
      <w:r w:rsidRPr="002317DB">
        <w:rPr>
          <w:rFonts w:ascii="Times New Roman" w:hAnsi="Times New Roman" w:cs="Times New Roman"/>
          <w:sz w:val="20"/>
          <w:szCs w:val="20"/>
        </w:rPr>
        <w:t xml:space="preserve"> Si ricorderà che Brucker utilizza la distinzione fra </w:t>
      </w:r>
      <w:r w:rsidRPr="002317DB">
        <w:rPr>
          <w:rFonts w:ascii="Times New Roman" w:hAnsi="Times New Roman" w:cs="Times New Roman"/>
          <w:i/>
          <w:sz w:val="20"/>
          <w:szCs w:val="20"/>
        </w:rPr>
        <w:t>natura naturans</w:t>
      </w:r>
      <w:r w:rsidRPr="002317DB">
        <w:rPr>
          <w:rFonts w:ascii="Times New Roman" w:hAnsi="Times New Roman" w:cs="Times New Roman"/>
          <w:sz w:val="20"/>
          <w:szCs w:val="20"/>
        </w:rPr>
        <w:t xml:space="preserve"> e </w:t>
      </w:r>
      <w:r w:rsidRPr="002317DB">
        <w:rPr>
          <w:rFonts w:ascii="Times New Roman" w:hAnsi="Times New Roman" w:cs="Times New Roman"/>
          <w:i/>
          <w:sz w:val="20"/>
          <w:szCs w:val="20"/>
        </w:rPr>
        <w:t>natura naturata</w:t>
      </w:r>
      <w:r w:rsidRPr="002317DB">
        <w:rPr>
          <w:rFonts w:ascii="Times New Roman" w:hAnsi="Times New Roman" w:cs="Times New Roman"/>
          <w:sz w:val="20"/>
          <w:szCs w:val="20"/>
        </w:rPr>
        <w:t xml:space="preserve"> come discrimine fra il deismo cabbalistico e il panteismo spinoziano. Sopprimendo lo scarto fra Dio e mondo, lo spinozismo perviene, contrariamente alla Qabbalah, a degli esiti teorici panteistici. Su questa critica bruckeriana allo spinozismo cfr. </w:t>
      </w:r>
      <w:r w:rsidRPr="002317DB">
        <w:rPr>
          <w:rFonts w:ascii="Times New Roman" w:hAnsi="Times New Roman" w:cs="Times New Roman"/>
          <w:i/>
          <w:sz w:val="20"/>
          <w:szCs w:val="20"/>
        </w:rPr>
        <w:t>supra</w:t>
      </w:r>
      <w:r>
        <w:rPr>
          <w:rFonts w:ascii="Times New Roman" w:hAnsi="Times New Roman" w:cs="Times New Roman"/>
          <w:sz w:val="20"/>
          <w:szCs w:val="20"/>
        </w:rPr>
        <w:t>, pp. 189-190</w:t>
      </w:r>
      <w:r w:rsidRPr="002317DB">
        <w:rPr>
          <w:rFonts w:ascii="Times New Roman" w:hAnsi="Times New Roman" w:cs="Times New Roman"/>
          <w:sz w:val="20"/>
          <w:szCs w:val="20"/>
        </w:rPr>
        <w:t>.</w:t>
      </w:r>
      <w:r>
        <w:rPr>
          <w:rFonts w:ascii="Times New Roman" w:hAnsi="Times New Roman" w:cs="Times New Roman"/>
          <w:sz w:val="20"/>
          <w:szCs w:val="20"/>
        </w:rPr>
        <w:t xml:space="preserve"> </w:t>
      </w:r>
    </w:p>
  </w:footnote>
  <w:footnote w:id="689">
    <w:p w14:paraId="3FC5BA0A" w14:textId="77777777" w:rsidR="00B34CC2" w:rsidRPr="00835985" w:rsidRDefault="00B34CC2" w:rsidP="00F721A9">
      <w:pPr>
        <w:pStyle w:val="Testonotaapidipagina"/>
        <w:jc w:val="both"/>
        <w:rPr>
          <w:rFonts w:ascii="Times New Roman" w:hAnsi="Times New Roman" w:cs="Times New Roman"/>
          <w:sz w:val="20"/>
          <w:szCs w:val="20"/>
        </w:rPr>
      </w:pPr>
      <w:r w:rsidRPr="00835985">
        <w:rPr>
          <w:rStyle w:val="Rimandonotaapidipagina"/>
          <w:rFonts w:ascii="Times New Roman" w:hAnsi="Times New Roman" w:cs="Times New Roman"/>
          <w:sz w:val="20"/>
          <w:szCs w:val="20"/>
        </w:rPr>
        <w:footnoteRef/>
      </w:r>
      <w:r w:rsidRPr="00835985">
        <w:rPr>
          <w:rFonts w:ascii="Times New Roman" w:hAnsi="Times New Roman" w:cs="Times New Roman"/>
          <w:sz w:val="20"/>
          <w:szCs w:val="20"/>
        </w:rPr>
        <w:t xml:space="preserve"> </w:t>
      </w:r>
      <w:r w:rsidRPr="00D60C0F">
        <w:rPr>
          <w:rFonts w:ascii="Times New Roman" w:hAnsi="Times New Roman" w:cs="Times New Roman"/>
          <w:sz w:val="20"/>
          <w:szCs w:val="20"/>
        </w:rPr>
        <w:t xml:space="preserve">J.G. Buhle, </w:t>
      </w:r>
      <w:r w:rsidRPr="00D60C0F">
        <w:rPr>
          <w:rFonts w:ascii="Times New Roman" w:hAnsi="Times New Roman" w:cs="Times New Roman"/>
          <w:i/>
          <w:sz w:val="20"/>
          <w:szCs w:val="20"/>
        </w:rPr>
        <w:t>Lehrbuch der Geschichte der Philosophie</w:t>
      </w:r>
      <w:r w:rsidRPr="00D60C0F">
        <w:rPr>
          <w:rFonts w:ascii="Times New Roman" w:hAnsi="Times New Roman" w:cs="Times New Roman"/>
          <w:sz w:val="20"/>
          <w:szCs w:val="20"/>
        </w:rPr>
        <w:t>,</w:t>
      </w:r>
      <w:r>
        <w:rPr>
          <w:rFonts w:ascii="Times New Roman" w:hAnsi="Times New Roman" w:cs="Times New Roman"/>
          <w:sz w:val="20"/>
          <w:szCs w:val="20"/>
        </w:rPr>
        <w:t xml:space="preserve"> Bd. IV, cit., p. 159</w:t>
      </w:r>
      <w:r w:rsidRPr="003B25DC">
        <w:rPr>
          <w:rFonts w:ascii="Times New Roman" w:hAnsi="Times New Roman" w:cs="Times New Roman"/>
          <w:sz w:val="20"/>
          <w:szCs w:val="20"/>
        </w:rPr>
        <w:t>.</w:t>
      </w:r>
    </w:p>
  </w:footnote>
  <w:footnote w:id="690">
    <w:p w14:paraId="1F7EF2AB" w14:textId="77777777" w:rsidR="00B34CC2" w:rsidRPr="001748C4" w:rsidRDefault="00B34CC2" w:rsidP="00F721A9">
      <w:pPr>
        <w:pStyle w:val="Testonotaapidipagina"/>
        <w:jc w:val="both"/>
        <w:rPr>
          <w:rFonts w:ascii="Times New Roman" w:hAnsi="Times New Roman" w:cs="Times New Roman"/>
          <w:sz w:val="20"/>
          <w:szCs w:val="20"/>
        </w:rPr>
      </w:pPr>
      <w:r w:rsidRPr="001748C4">
        <w:rPr>
          <w:rStyle w:val="Rimandonotaapidipagina"/>
          <w:rFonts w:ascii="Times New Roman" w:hAnsi="Times New Roman" w:cs="Times New Roman"/>
          <w:sz w:val="20"/>
          <w:szCs w:val="20"/>
        </w:rPr>
        <w:footnoteRef/>
      </w:r>
      <w:r w:rsidRPr="001748C4">
        <w:rPr>
          <w:rFonts w:ascii="Times New Roman" w:hAnsi="Times New Roman" w:cs="Times New Roman"/>
          <w:sz w:val="20"/>
          <w:szCs w:val="20"/>
        </w:rPr>
        <w:t xml:space="preserve"> </w:t>
      </w:r>
      <w:r w:rsidRPr="003B25DC">
        <w:rPr>
          <w:rFonts w:ascii="Times New Roman" w:hAnsi="Times New Roman" w:cs="Times New Roman"/>
          <w:i/>
          <w:sz w:val="20"/>
          <w:szCs w:val="20"/>
        </w:rPr>
        <w:t>Ivi</w:t>
      </w:r>
      <w:r>
        <w:rPr>
          <w:rFonts w:ascii="Times New Roman" w:hAnsi="Times New Roman" w:cs="Times New Roman"/>
          <w:sz w:val="20"/>
          <w:szCs w:val="20"/>
        </w:rPr>
        <w:t>, p. 161</w:t>
      </w:r>
      <w:r w:rsidRPr="003B25DC">
        <w:rPr>
          <w:rFonts w:ascii="Times New Roman" w:hAnsi="Times New Roman" w:cs="Times New Roman"/>
          <w:sz w:val="20"/>
          <w:szCs w:val="20"/>
        </w:rPr>
        <w:t>.</w:t>
      </w:r>
    </w:p>
  </w:footnote>
  <w:footnote w:id="691">
    <w:p w14:paraId="64304636" w14:textId="77777777" w:rsidR="00B34CC2" w:rsidRPr="00177A89" w:rsidRDefault="00B34CC2" w:rsidP="00F721A9">
      <w:pPr>
        <w:pStyle w:val="Testonotaapidipagina"/>
        <w:jc w:val="both"/>
        <w:rPr>
          <w:rFonts w:ascii="Times New Roman" w:hAnsi="Times New Roman" w:cs="Times New Roman"/>
          <w:sz w:val="20"/>
          <w:szCs w:val="20"/>
        </w:rPr>
      </w:pPr>
      <w:r w:rsidRPr="00177A89">
        <w:rPr>
          <w:rStyle w:val="Rimandonotaapidipagina"/>
          <w:rFonts w:ascii="Times New Roman" w:hAnsi="Times New Roman" w:cs="Times New Roman"/>
          <w:sz w:val="20"/>
          <w:szCs w:val="20"/>
        </w:rPr>
        <w:footnoteRef/>
      </w:r>
      <w:r w:rsidRPr="00177A89">
        <w:rPr>
          <w:rFonts w:ascii="Times New Roman" w:hAnsi="Times New Roman" w:cs="Times New Roman"/>
          <w:sz w:val="20"/>
          <w:szCs w:val="20"/>
        </w:rPr>
        <w:t xml:space="preserve"> </w:t>
      </w:r>
      <w:r w:rsidRPr="00177A89">
        <w:rPr>
          <w:rFonts w:ascii="Times New Roman" w:hAnsi="Times New Roman" w:cs="Times New Roman"/>
          <w:i/>
          <w:sz w:val="20"/>
          <w:szCs w:val="20"/>
        </w:rPr>
        <w:t>Ivi</w:t>
      </w:r>
      <w:r w:rsidRPr="00177A89">
        <w:rPr>
          <w:rFonts w:ascii="Times New Roman" w:hAnsi="Times New Roman" w:cs="Times New Roman"/>
          <w:sz w:val="20"/>
          <w:szCs w:val="20"/>
        </w:rPr>
        <w:t>, p. 158.</w:t>
      </w:r>
    </w:p>
  </w:footnote>
  <w:footnote w:id="692">
    <w:p w14:paraId="2B027962" w14:textId="77288DB8" w:rsidR="00B34CC2" w:rsidRPr="00761F46" w:rsidRDefault="00B34CC2" w:rsidP="00F721A9">
      <w:pPr>
        <w:pStyle w:val="Testonotaapidipagina"/>
        <w:jc w:val="both"/>
        <w:rPr>
          <w:rFonts w:ascii="Times New Roman" w:hAnsi="Times New Roman" w:cs="Times New Roman"/>
          <w:sz w:val="20"/>
          <w:szCs w:val="20"/>
        </w:rPr>
      </w:pPr>
      <w:r w:rsidRPr="00761F46">
        <w:rPr>
          <w:rStyle w:val="Rimandonotaapidipagina"/>
          <w:rFonts w:ascii="Times New Roman" w:hAnsi="Times New Roman" w:cs="Times New Roman"/>
          <w:sz w:val="20"/>
          <w:szCs w:val="20"/>
        </w:rPr>
        <w:footnoteRef/>
      </w:r>
      <w:r w:rsidRPr="00761F46">
        <w:rPr>
          <w:rFonts w:ascii="Times New Roman" w:hAnsi="Times New Roman" w:cs="Times New Roman"/>
          <w:sz w:val="20"/>
          <w:szCs w:val="20"/>
        </w:rPr>
        <w:t xml:space="preserve"> </w:t>
      </w:r>
      <w:r>
        <w:rPr>
          <w:rFonts w:ascii="Times New Roman" w:hAnsi="Times New Roman" w:cs="Times New Roman"/>
          <w:sz w:val="20"/>
          <w:szCs w:val="20"/>
        </w:rPr>
        <w:t>Cfr.</w:t>
      </w:r>
      <w:r w:rsidRPr="00761F46">
        <w:rPr>
          <w:rFonts w:ascii="Times New Roman" w:hAnsi="Times New Roman" w:cs="Times New Roman"/>
          <w:sz w:val="20"/>
          <w:szCs w:val="20"/>
        </w:rPr>
        <w:t xml:space="preserve"> </w:t>
      </w:r>
      <w:r w:rsidRPr="00761F46">
        <w:rPr>
          <w:rFonts w:ascii="Times New Roman" w:hAnsi="Times New Roman" w:cs="Times New Roman"/>
          <w:i/>
          <w:sz w:val="20"/>
          <w:szCs w:val="20"/>
        </w:rPr>
        <w:t>supra</w:t>
      </w:r>
      <w:r>
        <w:rPr>
          <w:rFonts w:ascii="Times New Roman" w:hAnsi="Times New Roman" w:cs="Times New Roman"/>
          <w:sz w:val="20"/>
          <w:szCs w:val="20"/>
        </w:rPr>
        <w:t>, p. 214</w:t>
      </w:r>
      <w:r w:rsidRPr="00761F46">
        <w:rPr>
          <w:rFonts w:ascii="Times New Roman" w:hAnsi="Times New Roman" w:cs="Times New Roman"/>
          <w:sz w:val="20"/>
          <w:szCs w:val="20"/>
        </w:rPr>
        <w:t xml:space="preserve">. </w:t>
      </w:r>
    </w:p>
  </w:footnote>
  <w:footnote w:id="693">
    <w:p w14:paraId="18F7706F" w14:textId="77777777" w:rsidR="00B34CC2" w:rsidRPr="004309F1" w:rsidRDefault="00B34CC2" w:rsidP="00F721A9">
      <w:pPr>
        <w:pStyle w:val="Testonotaapidipagina"/>
        <w:jc w:val="both"/>
        <w:rPr>
          <w:rFonts w:ascii="Times New Roman" w:hAnsi="Times New Roman" w:cs="Times New Roman"/>
          <w:sz w:val="20"/>
          <w:szCs w:val="20"/>
        </w:rPr>
      </w:pPr>
      <w:r w:rsidRPr="004309F1">
        <w:rPr>
          <w:rStyle w:val="Rimandonotaapidipagina"/>
          <w:rFonts w:ascii="Times New Roman" w:hAnsi="Times New Roman" w:cs="Times New Roman"/>
          <w:sz w:val="20"/>
          <w:szCs w:val="20"/>
        </w:rPr>
        <w:footnoteRef/>
      </w:r>
      <w:r w:rsidRPr="004309F1">
        <w:rPr>
          <w:rFonts w:ascii="Times New Roman" w:hAnsi="Times New Roman" w:cs="Times New Roman"/>
          <w:sz w:val="20"/>
          <w:szCs w:val="20"/>
        </w:rPr>
        <w:t xml:space="preserve"> J.G. Buhle, </w:t>
      </w:r>
      <w:r w:rsidRPr="004309F1">
        <w:rPr>
          <w:rFonts w:ascii="Times New Roman" w:hAnsi="Times New Roman" w:cs="Times New Roman"/>
          <w:i/>
          <w:sz w:val="20"/>
          <w:szCs w:val="20"/>
          <w:lang w:val="de-DE"/>
        </w:rPr>
        <w:t>Geschichte der Philosophie und einer kritischen Literatur derselben.</w:t>
      </w:r>
      <w:r>
        <w:rPr>
          <w:rFonts w:ascii="Times New Roman" w:hAnsi="Times New Roman" w:cs="Times New Roman"/>
          <w:i/>
          <w:sz w:val="20"/>
          <w:szCs w:val="20"/>
          <w:lang w:val="de-DE"/>
        </w:rPr>
        <w:t xml:space="preserve"> </w:t>
      </w:r>
      <w:r>
        <w:rPr>
          <w:rFonts w:ascii="Times New Roman" w:hAnsi="Times New Roman" w:cs="Times New Roman"/>
          <w:sz w:val="20"/>
          <w:szCs w:val="20"/>
          <w:lang w:val="de-DE"/>
        </w:rPr>
        <w:t>Bd. VI</w:t>
      </w:r>
      <w:r w:rsidRPr="004309F1">
        <w:rPr>
          <w:rFonts w:ascii="Times New Roman" w:hAnsi="Times New Roman" w:cs="Times New Roman"/>
          <w:i/>
          <w:sz w:val="20"/>
          <w:szCs w:val="20"/>
          <w:lang w:val="de-DE"/>
        </w:rPr>
        <w:t>,</w:t>
      </w:r>
      <w:r w:rsidRPr="004309F1">
        <w:rPr>
          <w:rFonts w:ascii="Times New Roman" w:hAnsi="Times New Roman" w:cs="Times New Roman"/>
          <w:sz w:val="20"/>
          <w:szCs w:val="20"/>
        </w:rPr>
        <w:t xml:space="preserve"> </w:t>
      </w:r>
      <w:r>
        <w:rPr>
          <w:rFonts w:ascii="Times New Roman" w:hAnsi="Times New Roman" w:cs="Times New Roman"/>
          <w:sz w:val="20"/>
          <w:szCs w:val="20"/>
        </w:rPr>
        <w:t xml:space="preserve">Göttingen </w:t>
      </w:r>
      <w:r w:rsidRPr="004309F1">
        <w:rPr>
          <w:rFonts w:ascii="Times New Roman" w:hAnsi="Times New Roman" w:cs="Times New Roman"/>
          <w:sz w:val="20"/>
          <w:szCs w:val="20"/>
        </w:rPr>
        <w:t>1801, pp. 734-735.</w:t>
      </w:r>
    </w:p>
  </w:footnote>
  <w:footnote w:id="694">
    <w:p w14:paraId="67A0FEE8" w14:textId="77777777" w:rsidR="00B34CC2" w:rsidRPr="00D47174" w:rsidRDefault="00B34CC2" w:rsidP="00F721A9">
      <w:pPr>
        <w:pStyle w:val="Testonotaapidipagina"/>
        <w:jc w:val="both"/>
        <w:rPr>
          <w:rFonts w:ascii="Times New Roman" w:hAnsi="Times New Roman" w:cs="Times New Roman"/>
          <w:sz w:val="20"/>
          <w:szCs w:val="20"/>
        </w:rPr>
      </w:pPr>
      <w:r w:rsidRPr="00D47174">
        <w:rPr>
          <w:rStyle w:val="Rimandonotaapidipagina"/>
          <w:rFonts w:ascii="Times New Roman" w:hAnsi="Times New Roman" w:cs="Times New Roman"/>
          <w:sz w:val="20"/>
          <w:szCs w:val="20"/>
        </w:rPr>
        <w:footnoteRef/>
      </w:r>
      <w:r w:rsidRPr="00D47174">
        <w:rPr>
          <w:rFonts w:ascii="Times New Roman" w:hAnsi="Times New Roman" w:cs="Times New Roman"/>
          <w:sz w:val="20"/>
          <w:szCs w:val="20"/>
        </w:rPr>
        <w:t xml:space="preserve"> </w:t>
      </w:r>
      <w:r w:rsidRPr="00D47174">
        <w:rPr>
          <w:rFonts w:ascii="Times New Roman" w:hAnsi="Times New Roman" w:cs="Times New Roman"/>
          <w:i/>
          <w:sz w:val="20"/>
          <w:szCs w:val="20"/>
        </w:rPr>
        <w:t>Ibidem</w:t>
      </w:r>
      <w:r>
        <w:rPr>
          <w:rFonts w:ascii="Times New Roman" w:hAnsi="Times New Roman" w:cs="Times New Roman"/>
          <w:sz w:val="20"/>
          <w:szCs w:val="20"/>
        </w:rPr>
        <w:t>.</w:t>
      </w:r>
    </w:p>
  </w:footnote>
  <w:footnote w:id="695">
    <w:p w14:paraId="265FE70B" w14:textId="77777777" w:rsidR="00B34CC2" w:rsidRPr="000669B1" w:rsidRDefault="00B34CC2" w:rsidP="00F721A9">
      <w:pPr>
        <w:pStyle w:val="Testonotaapidipagina"/>
        <w:jc w:val="both"/>
        <w:rPr>
          <w:rFonts w:ascii="Times New Roman" w:hAnsi="Times New Roman" w:cs="Times New Roman"/>
          <w:sz w:val="20"/>
          <w:szCs w:val="20"/>
        </w:rPr>
      </w:pPr>
      <w:r w:rsidRPr="000669B1">
        <w:rPr>
          <w:rStyle w:val="Rimandonotaapidipagina"/>
          <w:rFonts w:ascii="Times New Roman" w:hAnsi="Times New Roman" w:cs="Times New Roman"/>
          <w:sz w:val="20"/>
          <w:szCs w:val="20"/>
        </w:rPr>
        <w:footnoteRef/>
      </w:r>
      <w:r>
        <w:t xml:space="preserve"> </w:t>
      </w:r>
      <w:r w:rsidRPr="00D47174">
        <w:rPr>
          <w:rFonts w:ascii="Times New Roman" w:hAnsi="Times New Roman" w:cs="Times New Roman"/>
          <w:i/>
          <w:sz w:val="20"/>
          <w:szCs w:val="20"/>
        </w:rPr>
        <w:t>Ibidem</w:t>
      </w:r>
      <w:r>
        <w:rPr>
          <w:rFonts w:ascii="Times New Roman" w:hAnsi="Times New Roman" w:cs="Times New Roman"/>
          <w:sz w:val="20"/>
          <w:szCs w:val="20"/>
        </w:rPr>
        <w:t xml:space="preserve">. </w:t>
      </w:r>
    </w:p>
  </w:footnote>
  <w:footnote w:id="696">
    <w:p w14:paraId="482F65E4" w14:textId="77777777" w:rsidR="00B34CC2" w:rsidRPr="000669B1" w:rsidRDefault="00B34CC2" w:rsidP="00F721A9">
      <w:pPr>
        <w:pStyle w:val="Testonotaapidipagina"/>
        <w:jc w:val="both"/>
        <w:rPr>
          <w:rFonts w:ascii="Times New Roman" w:hAnsi="Times New Roman" w:cs="Times New Roman"/>
          <w:sz w:val="20"/>
          <w:szCs w:val="20"/>
        </w:rPr>
      </w:pPr>
      <w:r w:rsidRPr="000669B1">
        <w:rPr>
          <w:rStyle w:val="Rimandonotaapidipagina"/>
          <w:rFonts w:ascii="Times New Roman" w:hAnsi="Times New Roman" w:cs="Times New Roman"/>
          <w:sz w:val="20"/>
          <w:szCs w:val="20"/>
        </w:rPr>
        <w:footnoteRef/>
      </w:r>
      <w:r w:rsidRPr="000669B1">
        <w:rPr>
          <w:rFonts w:ascii="Times New Roman" w:hAnsi="Times New Roman" w:cs="Times New Roman"/>
          <w:sz w:val="20"/>
          <w:szCs w:val="20"/>
        </w:rPr>
        <w:t xml:space="preserve"> </w:t>
      </w:r>
      <w:r w:rsidRPr="000669B1">
        <w:rPr>
          <w:rFonts w:ascii="Times New Roman" w:hAnsi="Times New Roman" w:cs="Times New Roman"/>
          <w:i/>
          <w:sz w:val="20"/>
          <w:szCs w:val="20"/>
        </w:rPr>
        <w:t>Ivi</w:t>
      </w:r>
      <w:r>
        <w:rPr>
          <w:rFonts w:ascii="Times New Roman" w:hAnsi="Times New Roman" w:cs="Times New Roman"/>
          <w:sz w:val="20"/>
          <w:szCs w:val="20"/>
        </w:rPr>
        <w:t>, p. 736.</w:t>
      </w:r>
    </w:p>
  </w:footnote>
  <w:footnote w:id="697">
    <w:p w14:paraId="5D64ADF3" w14:textId="77777777" w:rsidR="00B34CC2" w:rsidRDefault="00B34CC2" w:rsidP="00F721A9">
      <w:pPr>
        <w:pStyle w:val="Testonotaapidipagina"/>
        <w:jc w:val="both"/>
      </w:pPr>
      <w:r w:rsidRPr="00C558D6">
        <w:rPr>
          <w:rStyle w:val="Rimandonotaapidipagina"/>
          <w:rFonts w:ascii="Times New Roman" w:hAnsi="Times New Roman" w:cs="Times New Roman"/>
          <w:sz w:val="20"/>
          <w:szCs w:val="20"/>
        </w:rPr>
        <w:footnoteRef/>
      </w:r>
      <w:r>
        <w:t xml:space="preserve"> </w:t>
      </w:r>
      <w:r w:rsidRPr="00D47174">
        <w:rPr>
          <w:rFonts w:ascii="Times New Roman" w:hAnsi="Times New Roman" w:cs="Times New Roman"/>
          <w:i/>
          <w:sz w:val="20"/>
          <w:szCs w:val="20"/>
        </w:rPr>
        <w:t>Ibidem</w:t>
      </w:r>
      <w:r>
        <w:rPr>
          <w:rFonts w:ascii="Times New Roman" w:hAnsi="Times New Roman" w:cs="Times New Roman"/>
          <w:sz w:val="20"/>
          <w:szCs w:val="20"/>
        </w:rPr>
        <w:t>.</w:t>
      </w:r>
    </w:p>
  </w:footnote>
  <w:footnote w:id="698">
    <w:p w14:paraId="7A72201C" w14:textId="720632FE" w:rsidR="00B34CC2" w:rsidRPr="002C6E9F" w:rsidRDefault="00B34CC2" w:rsidP="00F721A9">
      <w:pPr>
        <w:pStyle w:val="Testonotaapidipagina"/>
        <w:jc w:val="both"/>
        <w:rPr>
          <w:rFonts w:ascii="Times New Roman" w:hAnsi="Times New Roman" w:cs="Times New Roman"/>
          <w:sz w:val="20"/>
          <w:szCs w:val="20"/>
        </w:rPr>
      </w:pPr>
      <w:r w:rsidRPr="008E45D8">
        <w:rPr>
          <w:rStyle w:val="Rimandonotaapidipagina"/>
          <w:rFonts w:ascii="Times New Roman" w:hAnsi="Times New Roman" w:cs="Times New Roman"/>
          <w:sz w:val="20"/>
          <w:szCs w:val="20"/>
        </w:rPr>
        <w:footnoteRef/>
      </w:r>
      <w:r w:rsidRPr="008E45D8">
        <w:rPr>
          <w:rFonts w:ascii="Times New Roman" w:hAnsi="Times New Roman" w:cs="Times New Roman"/>
          <w:sz w:val="20"/>
          <w:szCs w:val="20"/>
        </w:rPr>
        <w:t xml:space="preserve"> </w:t>
      </w:r>
      <w:r>
        <w:rPr>
          <w:rFonts w:ascii="Times New Roman" w:hAnsi="Times New Roman" w:cs="Times New Roman"/>
          <w:sz w:val="20"/>
          <w:szCs w:val="20"/>
        </w:rPr>
        <w:t xml:space="preserve">La formula spinoziana è citata poco dopo da Buhle: </w:t>
      </w:r>
      <w:r w:rsidRPr="00315A64">
        <w:rPr>
          <w:rFonts w:ascii="Times New Roman" w:hAnsi="Times New Roman" w:cs="Times New Roman"/>
          <w:sz w:val="20"/>
          <w:szCs w:val="20"/>
        </w:rPr>
        <w:t>«Determinatio est negatio, seu determinatio ad rem juxta suum Esse non pertinet</w:t>
      </w:r>
      <w:r w:rsidRPr="00315A64">
        <w:rPr>
          <w:rFonts w:ascii="Times New Roman" w:hAnsi="Times New Roman" w:cs="Times New Roman"/>
          <w:sz w:val="20"/>
          <w:szCs w:val="20"/>
          <w:lang w:val="de-DE"/>
        </w:rPr>
        <w:t>»</w:t>
      </w:r>
      <w:r>
        <w:rPr>
          <w:rFonts w:ascii="Times New Roman" w:hAnsi="Times New Roman" w:cs="Times New Roman"/>
          <w:sz w:val="20"/>
          <w:szCs w:val="20"/>
        </w:rPr>
        <w:t xml:space="preserve"> (cfr. </w:t>
      </w:r>
      <w:r w:rsidRPr="002C6E9F">
        <w:rPr>
          <w:rFonts w:ascii="Times New Roman" w:hAnsi="Times New Roman" w:cs="Times New Roman"/>
          <w:i/>
          <w:sz w:val="20"/>
          <w:szCs w:val="20"/>
        </w:rPr>
        <w:t>Ivi</w:t>
      </w:r>
      <w:r>
        <w:rPr>
          <w:rFonts w:ascii="Times New Roman" w:hAnsi="Times New Roman" w:cs="Times New Roman"/>
          <w:sz w:val="20"/>
          <w:szCs w:val="20"/>
        </w:rPr>
        <w:t>, p. 739).</w:t>
      </w:r>
    </w:p>
  </w:footnote>
  <w:footnote w:id="699">
    <w:p w14:paraId="0746D467" w14:textId="77777777" w:rsidR="00B34CC2" w:rsidRDefault="00B34CC2" w:rsidP="00F721A9">
      <w:pPr>
        <w:pStyle w:val="Testonotaapidipagina"/>
        <w:jc w:val="both"/>
      </w:pPr>
      <w:r w:rsidRPr="00C558D6">
        <w:rPr>
          <w:rStyle w:val="Rimandonotaapidipagina"/>
          <w:rFonts w:ascii="Times New Roman" w:hAnsi="Times New Roman" w:cs="Times New Roman"/>
          <w:sz w:val="20"/>
          <w:szCs w:val="20"/>
        </w:rPr>
        <w:footnoteRef/>
      </w:r>
      <w:r>
        <w:t xml:space="preserve"> </w:t>
      </w:r>
      <w:r>
        <w:rPr>
          <w:rFonts w:ascii="Times New Roman" w:hAnsi="Times New Roman" w:cs="Times New Roman"/>
          <w:i/>
          <w:sz w:val="20"/>
          <w:szCs w:val="20"/>
        </w:rPr>
        <w:t>Ivi</w:t>
      </w:r>
      <w:r>
        <w:rPr>
          <w:rFonts w:ascii="Times New Roman" w:hAnsi="Times New Roman" w:cs="Times New Roman"/>
          <w:sz w:val="20"/>
          <w:szCs w:val="20"/>
        </w:rPr>
        <w:t>, p. 736.</w:t>
      </w:r>
    </w:p>
  </w:footnote>
  <w:footnote w:id="700">
    <w:p w14:paraId="434F1B34" w14:textId="77777777" w:rsidR="00B34CC2" w:rsidRPr="003E00E9" w:rsidRDefault="00B34CC2" w:rsidP="00F721A9">
      <w:pPr>
        <w:pStyle w:val="Testonotaapidipagina"/>
        <w:jc w:val="both"/>
        <w:rPr>
          <w:rFonts w:ascii="Times New Roman" w:hAnsi="Times New Roman" w:cs="Times New Roman"/>
          <w:sz w:val="20"/>
          <w:szCs w:val="20"/>
        </w:rPr>
      </w:pPr>
      <w:r w:rsidRPr="003E00E9">
        <w:rPr>
          <w:rStyle w:val="Rimandonotaapidipagina"/>
          <w:rFonts w:ascii="Times New Roman" w:hAnsi="Times New Roman" w:cs="Times New Roman"/>
          <w:sz w:val="20"/>
          <w:szCs w:val="20"/>
        </w:rPr>
        <w:footnoteRef/>
      </w:r>
      <w:r w:rsidRPr="003E00E9">
        <w:rPr>
          <w:rFonts w:ascii="Times New Roman" w:hAnsi="Times New Roman" w:cs="Times New Roman"/>
          <w:sz w:val="20"/>
          <w:szCs w:val="20"/>
        </w:rPr>
        <w:t xml:space="preserve"> </w:t>
      </w:r>
      <w:r w:rsidRPr="003E00E9">
        <w:rPr>
          <w:rFonts w:ascii="Times New Roman" w:hAnsi="Times New Roman" w:cs="Times New Roman"/>
          <w:i/>
          <w:sz w:val="20"/>
          <w:szCs w:val="20"/>
        </w:rPr>
        <w:t>Ivi</w:t>
      </w:r>
      <w:r w:rsidRPr="003E00E9">
        <w:rPr>
          <w:rFonts w:ascii="Times New Roman" w:hAnsi="Times New Roman" w:cs="Times New Roman"/>
          <w:sz w:val="20"/>
          <w:szCs w:val="20"/>
        </w:rPr>
        <w:t>, p. 739.</w:t>
      </w:r>
    </w:p>
  </w:footnote>
  <w:footnote w:id="701">
    <w:p w14:paraId="4CD3850A" w14:textId="363757E3" w:rsidR="00B34CC2" w:rsidRPr="000128F7" w:rsidRDefault="00B34CC2" w:rsidP="00F721A9">
      <w:pPr>
        <w:pStyle w:val="Testonotaapidipagina"/>
        <w:jc w:val="both"/>
        <w:rPr>
          <w:rFonts w:ascii="Times New Roman" w:hAnsi="Times New Roman" w:cs="Times New Roman"/>
          <w:sz w:val="20"/>
          <w:szCs w:val="20"/>
        </w:rPr>
      </w:pPr>
      <w:r w:rsidRPr="000128F7">
        <w:rPr>
          <w:rStyle w:val="Rimandonotaapidipagina"/>
          <w:rFonts w:ascii="Times New Roman" w:hAnsi="Times New Roman" w:cs="Times New Roman"/>
          <w:sz w:val="20"/>
          <w:szCs w:val="20"/>
        </w:rPr>
        <w:footnoteRef/>
      </w:r>
      <w:r w:rsidRPr="000128F7">
        <w:rPr>
          <w:rFonts w:ascii="Times New Roman" w:hAnsi="Times New Roman" w:cs="Times New Roman"/>
          <w:sz w:val="20"/>
          <w:szCs w:val="20"/>
        </w:rPr>
        <w:t xml:space="preserve"> Vedi </w:t>
      </w:r>
      <w:r w:rsidRPr="000128F7">
        <w:rPr>
          <w:rFonts w:ascii="Times New Roman" w:hAnsi="Times New Roman" w:cs="Times New Roman"/>
          <w:i/>
          <w:sz w:val="20"/>
          <w:szCs w:val="20"/>
        </w:rPr>
        <w:t>supra</w:t>
      </w:r>
      <w:r>
        <w:rPr>
          <w:rFonts w:ascii="Times New Roman" w:hAnsi="Times New Roman" w:cs="Times New Roman"/>
          <w:sz w:val="20"/>
          <w:szCs w:val="20"/>
        </w:rPr>
        <w:t>, p. 205-207</w:t>
      </w:r>
      <w:r w:rsidRPr="000128F7">
        <w:rPr>
          <w:rFonts w:ascii="Times New Roman" w:hAnsi="Times New Roman" w:cs="Times New Roman"/>
          <w:sz w:val="20"/>
          <w:szCs w:val="20"/>
        </w:rPr>
        <w:t xml:space="preserve">. </w:t>
      </w:r>
    </w:p>
  </w:footnote>
  <w:footnote w:id="702">
    <w:p w14:paraId="69A3A0BB" w14:textId="2FFB20A1" w:rsidR="00B34CC2" w:rsidRPr="002F32E8" w:rsidRDefault="00B34CC2" w:rsidP="00F721A9">
      <w:pPr>
        <w:pStyle w:val="Testonotaapidipagina"/>
        <w:jc w:val="both"/>
        <w:rPr>
          <w:rFonts w:ascii="Times New Roman" w:hAnsi="Times New Roman" w:cs="Times New Roman"/>
          <w:sz w:val="20"/>
          <w:szCs w:val="20"/>
        </w:rPr>
      </w:pPr>
      <w:r w:rsidRPr="002F32E8">
        <w:rPr>
          <w:rStyle w:val="Rimandonotaapidipagina"/>
          <w:rFonts w:ascii="Times New Roman" w:hAnsi="Times New Roman" w:cs="Times New Roman"/>
          <w:sz w:val="20"/>
          <w:szCs w:val="20"/>
        </w:rPr>
        <w:footnoteRef/>
      </w:r>
      <w:r w:rsidRPr="002F32E8">
        <w:rPr>
          <w:rFonts w:ascii="Times New Roman" w:hAnsi="Times New Roman" w:cs="Times New Roman"/>
          <w:sz w:val="20"/>
          <w:szCs w:val="20"/>
        </w:rPr>
        <w:t xml:space="preserve"> Cfr. </w:t>
      </w:r>
      <w:r w:rsidRPr="002F32E8">
        <w:rPr>
          <w:rFonts w:ascii="Times New Roman" w:hAnsi="Times New Roman" w:cs="Times New Roman"/>
          <w:i/>
          <w:sz w:val="20"/>
          <w:szCs w:val="20"/>
        </w:rPr>
        <w:t>supra</w:t>
      </w:r>
      <w:r>
        <w:rPr>
          <w:rFonts w:ascii="Times New Roman" w:hAnsi="Times New Roman" w:cs="Times New Roman"/>
          <w:sz w:val="20"/>
          <w:szCs w:val="20"/>
        </w:rPr>
        <w:t>, p. 166, nota 16</w:t>
      </w:r>
      <w:r w:rsidRPr="002F32E8">
        <w:rPr>
          <w:rFonts w:ascii="Times New Roman" w:hAnsi="Times New Roman" w:cs="Times New Roman"/>
          <w:sz w:val="20"/>
          <w:szCs w:val="20"/>
        </w:rPr>
        <w:t xml:space="preserve">. </w:t>
      </w:r>
    </w:p>
  </w:footnote>
  <w:footnote w:id="703">
    <w:p w14:paraId="455A0671" w14:textId="77777777" w:rsidR="00B34CC2" w:rsidRPr="000128F7" w:rsidRDefault="00B34CC2" w:rsidP="00F721A9">
      <w:pPr>
        <w:pStyle w:val="Testonotaapidipagina"/>
        <w:jc w:val="both"/>
        <w:rPr>
          <w:rFonts w:ascii="Times New Roman" w:hAnsi="Times New Roman" w:cs="Times New Roman"/>
          <w:sz w:val="20"/>
          <w:szCs w:val="20"/>
        </w:rPr>
      </w:pPr>
      <w:r w:rsidRPr="000128F7">
        <w:rPr>
          <w:rStyle w:val="Rimandonotaapidipagina"/>
          <w:rFonts w:ascii="Times New Roman" w:hAnsi="Times New Roman" w:cs="Times New Roman"/>
          <w:sz w:val="20"/>
          <w:szCs w:val="20"/>
        </w:rPr>
        <w:footnoteRef/>
      </w:r>
      <w:r w:rsidRPr="000128F7">
        <w:rPr>
          <w:rFonts w:ascii="Times New Roman" w:hAnsi="Times New Roman" w:cs="Times New Roman"/>
          <w:i/>
          <w:sz w:val="20"/>
          <w:szCs w:val="20"/>
        </w:rPr>
        <w:t xml:space="preserve"> </w:t>
      </w:r>
      <w:r w:rsidRPr="000128F7">
        <w:rPr>
          <w:rFonts w:ascii="Times New Roman" w:hAnsi="Times New Roman" w:cs="Times New Roman"/>
          <w:i/>
          <w:sz w:val="20"/>
          <w:szCs w:val="20"/>
          <w:lang w:val="de-DE"/>
        </w:rPr>
        <w:t>Geschichte der Philosophie und einer kritischen Literatur derselben. Sechster Teil,</w:t>
      </w:r>
      <w:r w:rsidRPr="000128F7">
        <w:rPr>
          <w:rFonts w:ascii="Times New Roman" w:hAnsi="Times New Roman" w:cs="Times New Roman"/>
          <w:sz w:val="20"/>
          <w:szCs w:val="20"/>
          <w:lang w:val="de-DE"/>
        </w:rPr>
        <w:t xml:space="preserve"> cit.</w:t>
      </w:r>
      <w:r w:rsidRPr="000128F7">
        <w:rPr>
          <w:rFonts w:ascii="Times New Roman" w:hAnsi="Times New Roman" w:cs="Times New Roman"/>
          <w:sz w:val="20"/>
          <w:szCs w:val="20"/>
        </w:rPr>
        <w:t>, p. 749.</w:t>
      </w:r>
    </w:p>
  </w:footnote>
  <w:footnote w:id="704">
    <w:p w14:paraId="29B5F518" w14:textId="77777777" w:rsidR="00B34CC2" w:rsidRPr="006C3E76" w:rsidRDefault="00B34CC2" w:rsidP="00F721A9">
      <w:pPr>
        <w:pStyle w:val="Testonotaapidipagina"/>
        <w:jc w:val="both"/>
        <w:rPr>
          <w:rFonts w:ascii="Times New Roman" w:hAnsi="Times New Roman" w:cs="Times New Roman"/>
          <w:sz w:val="20"/>
          <w:szCs w:val="20"/>
          <w:lang w:val="de-DE"/>
        </w:rPr>
      </w:pPr>
      <w:r w:rsidRPr="000128F7">
        <w:rPr>
          <w:rStyle w:val="Rimandonotaapidipagina"/>
          <w:rFonts w:ascii="Times New Roman" w:hAnsi="Times New Roman" w:cs="Times New Roman"/>
          <w:sz w:val="20"/>
          <w:szCs w:val="20"/>
        </w:rPr>
        <w:footnoteRef/>
      </w:r>
      <w:r w:rsidRPr="000128F7">
        <w:rPr>
          <w:rFonts w:ascii="Times New Roman" w:hAnsi="Times New Roman" w:cs="Times New Roman"/>
          <w:sz w:val="20"/>
          <w:szCs w:val="20"/>
        </w:rPr>
        <w:t xml:space="preserve"> </w:t>
      </w:r>
      <w:r w:rsidRPr="000128F7">
        <w:rPr>
          <w:rFonts w:ascii="Times New Roman" w:hAnsi="Times New Roman" w:cs="Times New Roman"/>
          <w:sz w:val="20"/>
          <w:szCs w:val="20"/>
          <w:lang w:val="de-DE"/>
        </w:rPr>
        <w:t xml:space="preserve">F.H. Jacobi </w:t>
      </w:r>
      <w:r w:rsidRPr="000128F7">
        <w:rPr>
          <w:rFonts w:ascii="Times New Roman" w:hAnsi="Times New Roman" w:cs="Times New Roman"/>
          <w:i/>
          <w:sz w:val="20"/>
          <w:szCs w:val="20"/>
          <w:lang w:val="de-DE"/>
        </w:rPr>
        <w:t>Schriften zum Spinozismusstreit</w:t>
      </w:r>
      <w:r w:rsidRPr="000128F7">
        <w:rPr>
          <w:rFonts w:ascii="Times New Roman" w:hAnsi="Times New Roman" w:cs="Times New Roman"/>
          <w:sz w:val="20"/>
          <w:szCs w:val="20"/>
          <w:lang w:val="de-DE"/>
        </w:rPr>
        <w:t>,</w:t>
      </w:r>
      <w:r w:rsidRPr="000128F7">
        <w:rPr>
          <w:rFonts w:ascii="Times New Roman" w:hAnsi="Times New Roman" w:cs="Times New Roman"/>
          <w:sz w:val="20"/>
          <w:szCs w:val="20"/>
        </w:rPr>
        <w:t xml:space="preserve"> cit., p. 120-123: </w:t>
      </w:r>
      <w:r w:rsidRPr="000128F7">
        <w:rPr>
          <w:rFonts w:ascii="Times New Roman" w:hAnsi="Times New Roman" w:cs="Times New Roman"/>
          <w:sz w:val="20"/>
          <w:szCs w:val="20"/>
          <w:lang w:val="de-DE"/>
        </w:rPr>
        <w:t>«Spinozismus ist Atheismus […] III. Die Leibniz-Wolfische Philosophie, ist nicht minder fatalistisch, als die Spinozistische, und führt den unablässigen Forscher, zu den Grundsätzen der letzteren zurück».</w:t>
      </w:r>
    </w:p>
  </w:footnote>
  <w:footnote w:id="705">
    <w:p w14:paraId="44885D9B" w14:textId="77777777" w:rsidR="00B34CC2" w:rsidRPr="00FB050A" w:rsidRDefault="00B34CC2" w:rsidP="00F721A9">
      <w:pPr>
        <w:pStyle w:val="Testonotaapidipagina"/>
        <w:jc w:val="both"/>
        <w:rPr>
          <w:rFonts w:ascii="Times New Roman" w:hAnsi="Times New Roman" w:cs="Times New Roman"/>
          <w:sz w:val="20"/>
          <w:szCs w:val="20"/>
        </w:rPr>
      </w:pPr>
      <w:r w:rsidRPr="00FB050A">
        <w:rPr>
          <w:rStyle w:val="Rimandonotaapidipagina"/>
          <w:rFonts w:ascii="Times New Roman" w:hAnsi="Times New Roman" w:cs="Times New Roman"/>
          <w:sz w:val="20"/>
          <w:szCs w:val="20"/>
        </w:rPr>
        <w:footnoteRef/>
      </w:r>
      <w:r w:rsidRPr="00FB050A">
        <w:rPr>
          <w:rFonts w:ascii="Times New Roman" w:hAnsi="Times New Roman" w:cs="Times New Roman"/>
          <w:sz w:val="20"/>
          <w:szCs w:val="20"/>
        </w:rPr>
        <w:t xml:space="preserve"> </w:t>
      </w:r>
      <w:r>
        <w:rPr>
          <w:rFonts w:ascii="Times New Roman" w:hAnsi="Times New Roman" w:cs="Times New Roman"/>
          <w:i/>
          <w:sz w:val="20"/>
          <w:szCs w:val="20"/>
        </w:rPr>
        <w:t>Ibidem</w:t>
      </w:r>
      <w:r>
        <w:rPr>
          <w:rFonts w:ascii="Times New Roman" w:hAnsi="Times New Roman" w:cs="Times New Roman"/>
          <w:sz w:val="20"/>
          <w:szCs w:val="20"/>
        </w:rPr>
        <w:t>.</w:t>
      </w:r>
    </w:p>
  </w:footnote>
  <w:footnote w:id="706">
    <w:p w14:paraId="3E7BCC84" w14:textId="77777777" w:rsidR="00B34CC2" w:rsidRPr="009B381A" w:rsidRDefault="00B34CC2" w:rsidP="00F721A9">
      <w:pPr>
        <w:pStyle w:val="Testonotaapidipagina"/>
        <w:jc w:val="both"/>
        <w:rPr>
          <w:rFonts w:ascii="Times New Roman" w:hAnsi="Times New Roman" w:cs="Times New Roman"/>
          <w:sz w:val="20"/>
          <w:szCs w:val="20"/>
        </w:rPr>
      </w:pPr>
      <w:r w:rsidRPr="009B381A">
        <w:rPr>
          <w:rStyle w:val="Rimandonotaapidipagina"/>
          <w:rFonts w:ascii="Times New Roman" w:hAnsi="Times New Roman" w:cs="Times New Roman"/>
          <w:sz w:val="20"/>
          <w:szCs w:val="20"/>
        </w:rPr>
        <w:footnoteRef/>
      </w:r>
      <w:r w:rsidRPr="009B381A">
        <w:rPr>
          <w:rFonts w:ascii="Times New Roman" w:hAnsi="Times New Roman" w:cs="Times New Roman"/>
          <w:sz w:val="20"/>
          <w:szCs w:val="20"/>
        </w:rPr>
        <w:t xml:space="preserve"> F. Ast, </w:t>
      </w:r>
      <w:r w:rsidRPr="009B381A">
        <w:rPr>
          <w:rFonts w:ascii="Times New Roman" w:hAnsi="Times New Roman" w:cs="Times New Roman"/>
          <w:i/>
          <w:sz w:val="20"/>
          <w:szCs w:val="20"/>
        </w:rPr>
        <w:t>Grundriss einer Geschichte der Philosophie</w:t>
      </w:r>
      <w:r w:rsidRPr="009B381A">
        <w:rPr>
          <w:rFonts w:ascii="Times New Roman" w:hAnsi="Times New Roman" w:cs="Times New Roman"/>
          <w:sz w:val="20"/>
          <w:szCs w:val="20"/>
        </w:rPr>
        <w:t xml:space="preserve">, </w:t>
      </w:r>
      <w:r>
        <w:rPr>
          <w:rFonts w:ascii="Times New Roman" w:hAnsi="Times New Roman" w:cs="Times New Roman"/>
          <w:sz w:val="20"/>
          <w:szCs w:val="20"/>
        </w:rPr>
        <w:t>cit.</w:t>
      </w:r>
      <w:r w:rsidRPr="009B381A">
        <w:rPr>
          <w:rFonts w:ascii="Times New Roman" w:hAnsi="Times New Roman" w:cs="Times New Roman"/>
          <w:sz w:val="20"/>
          <w:szCs w:val="20"/>
        </w:rPr>
        <w:t>, p. 3.</w:t>
      </w:r>
    </w:p>
  </w:footnote>
  <w:footnote w:id="707">
    <w:p w14:paraId="2E61A930" w14:textId="77777777" w:rsidR="00B34CC2" w:rsidRPr="00C0605A" w:rsidRDefault="00B34CC2" w:rsidP="00F721A9">
      <w:pPr>
        <w:pStyle w:val="Testonotaapidipagina"/>
        <w:jc w:val="both"/>
        <w:rPr>
          <w:rFonts w:ascii="Times New Roman" w:hAnsi="Times New Roman" w:cs="Times New Roman"/>
          <w:sz w:val="20"/>
          <w:szCs w:val="20"/>
        </w:rPr>
      </w:pPr>
      <w:r w:rsidRPr="00C0605A">
        <w:rPr>
          <w:rStyle w:val="Rimandonotaapidipagina"/>
          <w:rFonts w:ascii="Times New Roman" w:hAnsi="Times New Roman" w:cs="Times New Roman"/>
          <w:sz w:val="20"/>
          <w:szCs w:val="20"/>
        </w:rPr>
        <w:footnoteRef/>
      </w:r>
      <w:r w:rsidRPr="00C0605A">
        <w:rPr>
          <w:rFonts w:ascii="Times New Roman" w:hAnsi="Times New Roman" w:cs="Times New Roman"/>
          <w:sz w:val="20"/>
          <w:szCs w:val="20"/>
        </w:rPr>
        <w:t xml:space="preserve"> </w:t>
      </w:r>
      <w:r w:rsidRPr="00C0605A">
        <w:rPr>
          <w:rFonts w:ascii="Times New Roman" w:hAnsi="Times New Roman" w:cs="Times New Roman"/>
          <w:i/>
          <w:sz w:val="20"/>
          <w:szCs w:val="20"/>
        </w:rPr>
        <w:t>Ibidem</w:t>
      </w:r>
      <w:r w:rsidRPr="00C0605A">
        <w:rPr>
          <w:rFonts w:ascii="Times New Roman" w:hAnsi="Times New Roman" w:cs="Times New Roman"/>
          <w:sz w:val="20"/>
          <w:szCs w:val="20"/>
        </w:rPr>
        <w:t>.</w:t>
      </w:r>
    </w:p>
  </w:footnote>
  <w:footnote w:id="708">
    <w:p w14:paraId="73A469FB" w14:textId="77777777" w:rsidR="00B34CC2" w:rsidRPr="000D2224" w:rsidRDefault="00B34CC2" w:rsidP="00F721A9">
      <w:pPr>
        <w:pStyle w:val="Testonotaapidipagina"/>
        <w:jc w:val="both"/>
        <w:rPr>
          <w:rFonts w:ascii="Times New Roman" w:hAnsi="Times New Roman" w:cs="Times New Roman"/>
          <w:sz w:val="20"/>
          <w:szCs w:val="20"/>
        </w:rPr>
      </w:pPr>
      <w:r w:rsidRPr="000D2224">
        <w:rPr>
          <w:rStyle w:val="Rimandonotaapidipagina"/>
          <w:rFonts w:ascii="Times New Roman" w:hAnsi="Times New Roman" w:cs="Times New Roman"/>
          <w:sz w:val="20"/>
          <w:szCs w:val="20"/>
        </w:rPr>
        <w:footnoteRef/>
      </w:r>
      <w:r>
        <w:t xml:space="preserve"> </w:t>
      </w:r>
      <w:r w:rsidRPr="00C0605A">
        <w:rPr>
          <w:rFonts w:ascii="Times New Roman" w:hAnsi="Times New Roman" w:cs="Times New Roman"/>
          <w:i/>
          <w:sz w:val="20"/>
          <w:szCs w:val="20"/>
        </w:rPr>
        <w:t>Ibidem</w:t>
      </w:r>
      <w:r w:rsidRPr="00C0605A">
        <w:rPr>
          <w:rFonts w:ascii="Times New Roman" w:hAnsi="Times New Roman" w:cs="Times New Roman"/>
          <w:sz w:val="20"/>
          <w:szCs w:val="20"/>
        </w:rPr>
        <w:t>.</w:t>
      </w:r>
    </w:p>
  </w:footnote>
  <w:footnote w:id="709">
    <w:p w14:paraId="0582B055" w14:textId="77777777" w:rsidR="00B34CC2" w:rsidRPr="000D2224" w:rsidRDefault="00B34CC2" w:rsidP="00F721A9">
      <w:pPr>
        <w:pStyle w:val="Testonotaapidipagina"/>
        <w:jc w:val="both"/>
        <w:rPr>
          <w:rFonts w:ascii="Times New Roman" w:hAnsi="Times New Roman" w:cs="Times New Roman"/>
          <w:sz w:val="20"/>
          <w:szCs w:val="20"/>
        </w:rPr>
      </w:pPr>
      <w:r w:rsidRPr="000D2224">
        <w:rPr>
          <w:rStyle w:val="Rimandonotaapidipagina"/>
          <w:rFonts w:ascii="Times New Roman" w:hAnsi="Times New Roman" w:cs="Times New Roman"/>
          <w:sz w:val="20"/>
          <w:szCs w:val="20"/>
        </w:rPr>
        <w:footnoteRef/>
      </w:r>
      <w:r w:rsidRPr="000D2224">
        <w:rPr>
          <w:rFonts w:ascii="Times New Roman" w:hAnsi="Times New Roman" w:cs="Times New Roman"/>
          <w:sz w:val="20"/>
          <w:szCs w:val="20"/>
        </w:rPr>
        <w:t xml:space="preserve"> </w:t>
      </w:r>
      <w:r w:rsidRPr="000D2224">
        <w:rPr>
          <w:rFonts w:ascii="Times New Roman" w:hAnsi="Times New Roman" w:cs="Times New Roman"/>
          <w:i/>
          <w:sz w:val="20"/>
          <w:szCs w:val="20"/>
        </w:rPr>
        <w:t>Ivi</w:t>
      </w:r>
      <w:r w:rsidRPr="000D2224">
        <w:rPr>
          <w:rFonts w:ascii="Times New Roman" w:hAnsi="Times New Roman" w:cs="Times New Roman"/>
          <w:sz w:val="20"/>
          <w:szCs w:val="20"/>
        </w:rPr>
        <w:t>, p. 4.</w:t>
      </w:r>
    </w:p>
  </w:footnote>
  <w:footnote w:id="710">
    <w:p w14:paraId="01B360F5" w14:textId="77777777" w:rsidR="00B34CC2" w:rsidRDefault="00B34CC2" w:rsidP="00F721A9">
      <w:pPr>
        <w:pStyle w:val="Testonotaapidipagina"/>
        <w:jc w:val="both"/>
      </w:pPr>
      <w:r w:rsidRPr="000D2224">
        <w:rPr>
          <w:rStyle w:val="Rimandonotaapidipagina"/>
          <w:rFonts w:ascii="Times New Roman" w:hAnsi="Times New Roman" w:cs="Times New Roman"/>
          <w:sz w:val="20"/>
          <w:szCs w:val="20"/>
        </w:rPr>
        <w:footnoteRef/>
      </w:r>
      <w:r w:rsidRPr="000D2224">
        <w:rPr>
          <w:rFonts w:ascii="Times New Roman" w:hAnsi="Times New Roman" w:cs="Times New Roman"/>
          <w:sz w:val="20"/>
          <w:szCs w:val="20"/>
        </w:rPr>
        <w:t xml:space="preserve"> </w:t>
      </w:r>
      <w:r w:rsidRPr="00C0605A">
        <w:rPr>
          <w:rFonts w:ascii="Times New Roman" w:hAnsi="Times New Roman" w:cs="Times New Roman"/>
          <w:i/>
          <w:sz w:val="20"/>
          <w:szCs w:val="20"/>
        </w:rPr>
        <w:t>Ibidem</w:t>
      </w:r>
      <w:r w:rsidRPr="00C0605A">
        <w:rPr>
          <w:rFonts w:ascii="Times New Roman" w:hAnsi="Times New Roman" w:cs="Times New Roman"/>
          <w:sz w:val="20"/>
          <w:szCs w:val="20"/>
        </w:rPr>
        <w:t>.</w:t>
      </w:r>
    </w:p>
  </w:footnote>
  <w:footnote w:id="711">
    <w:p w14:paraId="599B53B2" w14:textId="77777777" w:rsidR="00B34CC2" w:rsidRDefault="00B34CC2" w:rsidP="00F721A9">
      <w:pPr>
        <w:pStyle w:val="Testonotaapidipagina"/>
        <w:jc w:val="both"/>
      </w:pPr>
      <w:r w:rsidRPr="00F971FC">
        <w:rPr>
          <w:rStyle w:val="Rimandonotaapidipagina"/>
          <w:rFonts w:ascii="Times New Roman" w:hAnsi="Times New Roman" w:cs="Times New Roman"/>
          <w:sz w:val="20"/>
          <w:szCs w:val="20"/>
        </w:rPr>
        <w:footnoteRef/>
      </w:r>
      <w:r w:rsidRPr="00F971FC">
        <w:rPr>
          <w:rFonts w:ascii="Times New Roman" w:hAnsi="Times New Roman" w:cs="Times New Roman"/>
          <w:sz w:val="20"/>
          <w:szCs w:val="20"/>
        </w:rPr>
        <w:t xml:space="preserve"> </w:t>
      </w:r>
      <w:r w:rsidRPr="00C0605A">
        <w:rPr>
          <w:rFonts w:ascii="Times New Roman" w:hAnsi="Times New Roman" w:cs="Times New Roman"/>
          <w:i/>
          <w:sz w:val="20"/>
          <w:szCs w:val="20"/>
        </w:rPr>
        <w:t>Ibidem</w:t>
      </w:r>
      <w:r w:rsidRPr="00C0605A">
        <w:rPr>
          <w:rFonts w:ascii="Times New Roman" w:hAnsi="Times New Roman" w:cs="Times New Roman"/>
          <w:sz w:val="20"/>
          <w:szCs w:val="20"/>
        </w:rPr>
        <w:t>.</w:t>
      </w:r>
    </w:p>
  </w:footnote>
  <w:footnote w:id="712">
    <w:p w14:paraId="36E6B274" w14:textId="77777777" w:rsidR="00B34CC2" w:rsidRPr="004201AE" w:rsidRDefault="00B34CC2" w:rsidP="00F721A9">
      <w:pPr>
        <w:pStyle w:val="Testonotaapidipagina"/>
        <w:jc w:val="both"/>
        <w:rPr>
          <w:rFonts w:ascii="Times New Roman" w:hAnsi="Times New Roman" w:cs="Times New Roman"/>
          <w:sz w:val="20"/>
          <w:szCs w:val="20"/>
        </w:rPr>
      </w:pPr>
      <w:r w:rsidRPr="00F971FC">
        <w:rPr>
          <w:rStyle w:val="Rimandonotaapidipagina"/>
          <w:rFonts w:ascii="Times New Roman" w:hAnsi="Times New Roman" w:cs="Times New Roman"/>
          <w:sz w:val="20"/>
          <w:szCs w:val="20"/>
        </w:rPr>
        <w:footnoteRef/>
      </w:r>
      <w:r w:rsidRPr="00F971FC">
        <w:rPr>
          <w:rFonts w:ascii="Times New Roman" w:hAnsi="Times New Roman" w:cs="Times New Roman"/>
          <w:sz w:val="20"/>
          <w:szCs w:val="20"/>
        </w:rPr>
        <w:t xml:space="preserve"> </w:t>
      </w:r>
      <w:r w:rsidRPr="00F971FC">
        <w:rPr>
          <w:rFonts w:ascii="Times New Roman" w:hAnsi="Times New Roman" w:cs="Times New Roman"/>
          <w:i/>
          <w:sz w:val="20"/>
          <w:szCs w:val="20"/>
        </w:rPr>
        <w:t>Ibidem</w:t>
      </w:r>
      <w:r>
        <w:rPr>
          <w:rFonts w:ascii="Times New Roman" w:hAnsi="Times New Roman" w:cs="Times New Roman"/>
          <w:sz w:val="20"/>
          <w:szCs w:val="20"/>
        </w:rPr>
        <w:t xml:space="preserve">: </w:t>
      </w:r>
      <w:r w:rsidRPr="004201AE">
        <w:rPr>
          <w:rFonts w:ascii="Times New Roman" w:hAnsi="Times New Roman" w:cs="Times New Roman"/>
          <w:sz w:val="20"/>
          <w:szCs w:val="20"/>
        </w:rPr>
        <w:t>«</w:t>
      </w:r>
      <w:r w:rsidRPr="004201AE">
        <w:rPr>
          <w:rFonts w:ascii="Times New Roman" w:hAnsi="Times New Roman" w:cs="Times New Roman"/>
          <w:sz w:val="20"/>
          <w:szCs w:val="20"/>
          <w:lang w:val="de-DE"/>
        </w:rPr>
        <w:t>Das zeitliche Leben der Dinge ist also Eins mit dem ewigen; denn jenes ist die Vielheit, dieses die Einheit; die Einheit aber ist nur durch die Vielheit lebendig und wirklich».</w:t>
      </w:r>
    </w:p>
  </w:footnote>
  <w:footnote w:id="713">
    <w:p w14:paraId="4B58CE01" w14:textId="77777777" w:rsidR="00B34CC2" w:rsidRPr="00192D96" w:rsidRDefault="00B34CC2" w:rsidP="00F721A9">
      <w:pPr>
        <w:pStyle w:val="Testonotaapidipagina"/>
        <w:jc w:val="both"/>
        <w:rPr>
          <w:rFonts w:ascii="Times New Roman" w:hAnsi="Times New Roman" w:cs="Times New Roman"/>
          <w:sz w:val="20"/>
          <w:szCs w:val="20"/>
        </w:rPr>
      </w:pPr>
      <w:r w:rsidRPr="00192D96">
        <w:rPr>
          <w:rStyle w:val="Rimandonotaapidipagina"/>
          <w:rFonts w:ascii="Times New Roman" w:hAnsi="Times New Roman" w:cs="Times New Roman"/>
          <w:sz w:val="20"/>
          <w:szCs w:val="20"/>
        </w:rPr>
        <w:footnoteRef/>
      </w:r>
      <w:r w:rsidRPr="00192D96">
        <w:rPr>
          <w:rFonts w:ascii="Times New Roman" w:hAnsi="Times New Roman" w:cs="Times New Roman"/>
          <w:sz w:val="20"/>
          <w:szCs w:val="20"/>
        </w:rPr>
        <w:t xml:space="preserve"> </w:t>
      </w:r>
      <w:r w:rsidRPr="000D2224">
        <w:rPr>
          <w:rFonts w:ascii="Times New Roman" w:hAnsi="Times New Roman" w:cs="Times New Roman"/>
          <w:i/>
          <w:sz w:val="20"/>
          <w:szCs w:val="20"/>
        </w:rPr>
        <w:t>Ivi</w:t>
      </w:r>
      <w:r w:rsidRPr="000D2224">
        <w:rPr>
          <w:rFonts w:ascii="Times New Roman" w:hAnsi="Times New Roman" w:cs="Times New Roman"/>
          <w:sz w:val="20"/>
          <w:szCs w:val="20"/>
        </w:rPr>
        <w:t>, p</w:t>
      </w:r>
      <w:r>
        <w:rPr>
          <w:rFonts w:ascii="Times New Roman" w:hAnsi="Times New Roman" w:cs="Times New Roman"/>
          <w:sz w:val="20"/>
          <w:szCs w:val="20"/>
        </w:rPr>
        <w:t>p. 5-6</w:t>
      </w:r>
      <w:r w:rsidRPr="000D2224">
        <w:rPr>
          <w:rFonts w:ascii="Times New Roman" w:hAnsi="Times New Roman" w:cs="Times New Roman"/>
          <w:sz w:val="20"/>
          <w:szCs w:val="20"/>
        </w:rPr>
        <w:t>.</w:t>
      </w:r>
    </w:p>
  </w:footnote>
  <w:footnote w:id="714">
    <w:p w14:paraId="28E3C93E" w14:textId="77777777" w:rsidR="00B34CC2" w:rsidRPr="00C34D55" w:rsidRDefault="00B34CC2" w:rsidP="00F721A9">
      <w:pPr>
        <w:pStyle w:val="Testonotaapidipagina"/>
        <w:jc w:val="both"/>
        <w:rPr>
          <w:rFonts w:ascii="Times New Roman" w:hAnsi="Times New Roman" w:cs="Times New Roman"/>
          <w:sz w:val="20"/>
          <w:szCs w:val="20"/>
        </w:rPr>
      </w:pPr>
      <w:r w:rsidRPr="00C34D55">
        <w:rPr>
          <w:rStyle w:val="Rimandonotaapidipagina"/>
          <w:rFonts w:ascii="Times New Roman" w:hAnsi="Times New Roman" w:cs="Times New Roman"/>
          <w:sz w:val="20"/>
          <w:szCs w:val="20"/>
        </w:rPr>
        <w:footnoteRef/>
      </w:r>
      <w:r w:rsidRPr="00C34D55">
        <w:rPr>
          <w:rFonts w:ascii="Times New Roman" w:hAnsi="Times New Roman" w:cs="Times New Roman"/>
          <w:sz w:val="20"/>
          <w:szCs w:val="20"/>
        </w:rPr>
        <w:t xml:space="preserve"> </w:t>
      </w:r>
      <w:r w:rsidRPr="00C34D55">
        <w:rPr>
          <w:rFonts w:ascii="Times New Roman" w:hAnsi="Times New Roman" w:cs="Times New Roman"/>
          <w:i/>
          <w:sz w:val="20"/>
          <w:szCs w:val="20"/>
        </w:rPr>
        <w:t>Ivi</w:t>
      </w:r>
      <w:r w:rsidRPr="00C34D55">
        <w:rPr>
          <w:rFonts w:ascii="Times New Roman" w:hAnsi="Times New Roman" w:cs="Times New Roman"/>
          <w:sz w:val="20"/>
          <w:szCs w:val="20"/>
        </w:rPr>
        <w:t>, p. 377.</w:t>
      </w:r>
    </w:p>
  </w:footnote>
  <w:footnote w:id="715">
    <w:p w14:paraId="45AC10F0" w14:textId="77777777" w:rsidR="00B34CC2" w:rsidRPr="00C34D55" w:rsidRDefault="00B34CC2" w:rsidP="00F721A9">
      <w:pPr>
        <w:pStyle w:val="Testonotaapidipagina"/>
        <w:jc w:val="both"/>
        <w:rPr>
          <w:rFonts w:ascii="Times New Roman" w:hAnsi="Times New Roman" w:cs="Times New Roman"/>
          <w:sz w:val="20"/>
          <w:szCs w:val="20"/>
        </w:rPr>
      </w:pPr>
      <w:r w:rsidRPr="00C34D55">
        <w:rPr>
          <w:rStyle w:val="Rimandonotaapidipagina"/>
          <w:rFonts w:ascii="Times New Roman" w:hAnsi="Times New Roman" w:cs="Times New Roman"/>
          <w:sz w:val="20"/>
          <w:szCs w:val="20"/>
        </w:rPr>
        <w:footnoteRef/>
      </w:r>
      <w:r w:rsidRPr="00C34D55">
        <w:rPr>
          <w:rFonts w:ascii="Times New Roman" w:hAnsi="Times New Roman" w:cs="Times New Roman"/>
          <w:sz w:val="20"/>
          <w:szCs w:val="20"/>
        </w:rPr>
        <w:t xml:space="preserve"> </w:t>
      </w:r>
      <w:r w:rsidRPr="00C34D55">
        <w:rPr>
          <w:rFonts w:ascii="Times New Roman" w:hAnsi="Times New Roman" w:cs="Times New Roman"/>
          <w:i/>
          <w:sz w:val="20"/>
          <w:szCs w:val="20"/>
        </w:rPr>
        <w:t>Ivi</w:t>
      </w:r>
      <w:r w:rsidRPr="00C34D55">
        <w:rPr>
          <w:rFonts w:ascii="Times New Roman" w:hAnsi="Times New Roman" w:cs="Times New Roman"/>
          <w:sz w:val="20"/>
          <w:szCs w:val="20"/>
        </w:rPr>
        <w:t>, p. 179.</w:t>
      </w:r>
    </w:p>
  </w:footnote>
  <w:footnote w:id="716">
    <w:p w14:paraId="7512909D" w14:textId="3F705A4A" w:rsidR="00B34CC2" w:rsidRPr="00AE0996" w:rsidRDefault="00B34CC2" w:rsidP="00F721A9">
      <w:pPr>
        <w:pStyle w:val="Testonotaapidipagina"/>
        <w:jc w:val="both"/>
      </w:pPr>
      <w:r w:rsidRPr="00C34D55">
        <w:rPr>
          <w:rStyle w:val="Rimandonotaapidipagina"/>
          <w:rFonts w:ascii="Times New Roman" w:hAnsi="Times New Roman" w:cs="Times New Roman"/>
          <w:sz w:val="20"/>
          <w:szCs w:val="20"/>
        </w:rPr>
        <w:footnoteRef/>
      </w:r>
      <w:r w:rsidRPr="00C34D55">
        <w:rPr>
          <w:rFonts w:ascii="Times New Roman" w:hAnsi="Times New Roman" w:cs="Times New Roman"/>
          <w:sz w:val="20"/>
          <w:szCs w:val="20"/>
        </w:rPr>
        <w:t xml:space="preserve"> Cfr. </w:t>
      </w:r>
      <w:r w:rsidRPr="00444074">
        <w:rPr>
          <w:rFonts w:ascii="Times New Roman" w:hAnsi="Times New Roman" w:cs="Times New Roman"/>
          <w:i/>
          <w:sz w:val="20"/>
          <w:szCs w:val="20"/>
        </w:rPr>
        <w:t>Ibidem</w:t>
      </w:r>
      <w:r w:rsidRPr="00C34D55">
        <w:rPr>
          <w:rFonts w:ascii="Times New Roman" w:hAnsi="Times New Roman" w:cs="Times New Roman"/>
          <w:sz w:val="20"/>
          <w:szCs w:val="20"/>
        </w:rPr>
        <w:t xml:space="preserve">: </w:t>
      </w:r>
      <w:r w:rsidRPr="008F723A">
        <w:rPr>
          <w:rFonts w:ascii="Times New Roman" w:hAnsi="Times New Roman" w:cs="Times New Roman"/>
          <w:sz w:val="20"/>
          <w:szCs w:val="20"/>
        </w:rPr>
        <w:t>«</w:t>
      </w:r>
      <w:r w:rsidRPr="008F723A">
        <w:rPr>
          <w:rFonts w:ascii="Times New Roman" w:hAnsi="Times New Roman" w:cs="Times New Roman"/>
          <w:sz w:val="20"/>
          <w:szCs w:val="20"/>
          <w:lang w:val="de-DE"/>
        </w:rPr>
        <w:t xml:space="preserve">Die beiden Bucher Jezirah und Sohar sind jedoch entweder sehr verfälscht  uns gekommen, oder erst um das 10te Jahrh. verfasst». </w:t>
      </w:r>
      <w:r>
        <w:rPr>
          <w:rFonts w:ascii="Times New Roman" w:hAnsi="Times New Roman" w:cs="Times New Roman"/>
          <w:sz w:val="20"/>
          <w:szCs w:val="20"/>
          <w:lang w:val="de-DE"/>
        </w:rPr>
        <w:t xml:space="preserve">Sulla coincidenza del </w:t>
      </w:r>
      <w:r w:rsidRPr="00AE0996">
        <w:rPr>
          <w:rFonts w:ascii="Times New Roman" w:hAnsi="Times New Roman" w:cs="Times New Roman"/>
          <w:i/>
          <w:sz w:val="20"/>
          <w:szCs w:val="20"/>
          <w:lang w:val="de-DE"/>
        </w:rPr>
        <w:t>Grundriss</w:t>
      </w:r>
      <w:r>
        <w:rPr>
          <w:rFonts w:ascii="Times New Roman" w:hAnsi="Times New Roman" w:cs="Times New Roman"/>
          <w:sz w:val="20"/>
          <w:szCs w:val="20"/>
          <w:lang w:val="de-DE"/>
        </w:rPr>
        <w:t xml:space="preserve"> </w:t>
      </w:r>
      <w:r w:rsidRPr="00AE0996">
        <w:rPr>
          <w:rFonts w:ascii="Times New Roman" w:hAnsi="Times New Roman" w:cs="Times New Roman"/>
          <w:sz w:val="20"/>
          <w:szCs w:val="20"/>
        </w:rPr>
        <w:t>con il</w:t>
      </w:r>
      <w:r>
        <w:rPr>
          <w:rFonts w:ascii="Times New Roman" w:hAnsi="Times New Roman" w:cs="Times New Roman"/>
          <w:sz w:val="20"/>
          <w:szCs w:val="20"/>
          <w:lang w:val="de-DE"/>
        </w:rPr>
        <w:t xml:space="preserve"> </w:t>
      </w:r>
      <w:r w:rsidRPr="00AE0996">
        <w:rPr>
          <w:rFonts w:ascii="Times New Roman" w:hAnsi="Times New Roman" w:cs="Times New Roman"/>
          <w:i/>
          <w:sz w:val="20"/>
          <w:szCs w:val="20"/>
          <w:lang w:val="de-DE"/>
        </w:rPr>
        <w:t>Lehrbuch</w:t>
      </w:r>
      <w:r>
        <w:rPr>
          <w:rFonts w:ascii="Times New Roman" w:hAnsi="Times New Roman" w:cs="Times New Roman"/>
          <w:sz w:val="20"/>
          <w:szCs w:val="20"/>
          <w:lang w:val="de-DE"/>
        </w:rPr>
        <w:t xml:space="preserve"> </w:t>
      </w:r>
      <w:r>
        <w:rPr>
          <w:rFonts w:ascii="Times New Roman" w:hAnsi="Times New Roman" w:cs="Times New Roman"/>
          <w:sz w:val="20"/>
          <w:szCs w:val="20"/>
        </w:rPr>
        <w:t>cfr.</w:t>
      </w:r>
      <w:r w:rsidRPr="00AE0996">
        <w:rPr>
          <w:rFonts w:ascii="Times New Roman" w:hAnsi="Times New Roman" w:cs="Times New Roman"/>
          <w:sz w:val="20"/>
          <w:szCs w:val="20"/>
        </w:rPr>
        <w:t xml:space="preserve"> </w:t>
      </w:r>
      <w:r w:rsidRPr="00AE0996">
        <w:rPr>
          <w:rFonts w:ascii="Times New Roman" w:hAnsi="Times New Roman" w:cs="Times New Roman"/>
          <w:i/>
          <w:sz w:val="20"/>
          <w:szCs w:val="20"/>
        </w:rPr>
        <w:t>supra</w:t>
      </w:r>
      <w:r>
        <w:rPr>
          <w:rFonts w:ascii="Times New Roman" w:hAnsi="Times New Roman" w:cs="Times New Roman"/>
          <w:sz w:val="20"/>
          <w:szCs w:val="20"/>
        </w:rPr>
        <w:t>, p</w:t>
      </w:r>
      <w:r w:rsidRPr="00AE0996">
        <w:rPr>
          <w:rFonts w:ascii="Times New Roman" w:hAnsi="Times New Roman" w:cs="Times New Roman"/>
          <w:sz w:val="20"/>
          <w:szCs w:val="20"/>
        </w:rPr>
        <w:t>.</w:t>
      </w:r>
      <w:r>
        <w:rPr>
          <w:rFonts w:ascii="Times New Roman" w:hAnsi="Times New Roman" w:cs="Times New Roman"/>
          <w:sz w:val="20"/>
          <w:szCs w:val="20"/>
        </w:rPr>
        <w:t xml:space="preserve"> 219.</w:t>
      </w:r>
    </w:p>
  </w:footnote>
  <w:footnote w:id="717">
    <w:p w14:paraId="6442D789" w14:textId="77777777" w:rsidR="00B34CC2" w:rsidRPr="003E00E9" w:rsidRDefault="00B34CC2" w:rsidP="00F721A9">
      <w:pPr>
        <w:pStyle w:val="Testonotaapidipagina"/>
        <w:jc w:val="both"/>
        <w:rPr>
          <w:rFonts w:ascii="Times New Roman" w:hAnsi="Times New Roman" w:cs="Times New Roman"/>
          <w:sz w:val="20"/>
          <w:szCs w:val="20"/>
        </w:rPr>
      </w:pPr>
      <w:r w:rsidRPr="003E00E9">
        <w:rPr>
          <w:rStyle w:val="Rimandonotaapidipagina"/>
          <w:rFonts w:ascii="Times New Roman" w:hAnsi="Times New Roman" w:cs="Times New Roman"/>
          <w:sz w:val="20"/>
          <w:szCs w:val="20"/>
        </w:rPr>
        <w:footnoteRef/>
      </w:r>
      <w:r w:rsidRPr="003E00E9">
        <w:rPr>
          <w:rFonts w:ascii="Times New Roman" w:hAnsi="Times New Roman" w:cs="Times New Roman"/>
          <w:sz w:val="20"/>
          <w:szCs w:val="20"/>
        </w:rPr>
        <w:t xml:space="preserve"> </w:t>
      </w:r>
      <w:r w:rsidRPr="003E00E9">
        <w:rPr>
          <w:rFonts w:ascii="Times New Roman" w:hAnsi="Times New Roman" w:cs="Times New Roman"/>
          <w:i/>
          <w:sz w:val="20"/>
          <w:szCs w:val="20"/>
        </w:rPr>
        <w:t>Ibidem</w:t>
      </w:r>
      <w:r w:rsidRPr="003E00E9">
        <w:rPr>
          <w:rFonts w:ascii="Times New Roman" w:hAnsi="Times New Roman" w:cs="Times New Roman"/>
          <w:sz w:val="20"/>
          <w:szCs w:val="20"/>
        </w:rPr>
        <w:t>.</w:t>
      </w:r>
    </w:p>
  </w:footnote>
  <w:footnote w:id="718">
    <w:p w14:paraId="73539063" w14:textId="77777777" w:rsidR="00B34CC2" w:rsidRPr="003E00E9" w:rsidRDefault="00B34CC2" w:rsidP="00F721A9">
      <w:pPr>
        <w:pStyle w:val="Testonotaapidipagina"/>
        <w:jc w:val="both"/>
        <w:rPr>
          <w:rFonts w:ascii="Times New Roman" w:hAnsi="Times New Roman" w:cs="Times New Roman"/>
          <w:sz w:val="20"/>
          <w:szCs w:val="20"/>
        </w:rPr>
      </w:pPr>
      <w:r w:rsidRPr="003E00E9">
        <w:rPr>
          <w:rStyle w:val="Rimandonotaapidipagina"/>
          <w:rFonts w:ascii="Times New Roman" w:hAnsi="Times New Roman" w:cs="Times New Roman"/>
          <w:sz w:val="20"/>
          <w:szCs w:val="20"/>
        </w:rPr>
        <w:footnoteRef/>
      </w:r>
      <w:r w:rsidRPr="003E00E9">
        <w:rPr>
          <w:rFonts w:ascii="Times New Roman" w:hAnsi="Times New Roman" w:cs="Times New Roman"/>
          <w:sz w:val="20"/>
          <w:szCs w:val="20"/>
        </w:rPr>
        <w:t xml:space="preserve"> </w:t>
      </w:r>
      <w:r w:rsidRPr="003E00E9">
        <w:rPr>
          <w:rFonts w:ascii="Times New Roman" w:hAnsi="Times New Roman" w:cs="Times New Roman"/>
          <w:i/>
          <w:sz w:val="20"/>
          <w:szCs w:val="20"/>
        </w:rPr>
        <w:t>Ivi</w:t>
      </w:r>
      <w:r w:rsidRPr="003E00E9">
        <w:rPr>
          <w:rFonts w:ascii="Times New Roman" w:hAnsi="Times New Roman" w:cs="Times New Roman"/>
          <w:sz w:val="20"/>
          <w:szCs w:val="20"/>
        </w:rPr>
        <w:t>, p. 180.</w:t>
      </w:r>
    </w:p>
  </w:footnote>
  <w:footnote w:id="719">
    <w:p w14:paraId="4261C2A5" w14:textId="77777777" w:rsidR="00B34CC2" w:rsidRPr="00D30896" w:rsidRDefault="00B34CC2" w:rsidP="00F721A9">
      <w:pPr>
        <w:pStyle w:val="Testonotaapidipagina"/>
        <w:jc w:val="both"/>
        <w:rPr>
          <w:rFonts w:ascii="Times New Roman" w:hAnsi="Times New Roman" w:cs="Times New Roman"/>
          <w:sz w:val="20"/>
          <w:szCs w:val="20"/>
        </w:rPr>
      </w:pPr>
      <w:r w:rsidRPr="00D30896">
        <w:rPr>
          <w:rStyle w:val="Rimandonotaapidipagina"/>
          <w:rFonts w:ascii="Times New Roman" w:hAnsi="Times New Roman" w:cs="Times New Roman"/>
          <w:sz w:val="20"/>
          <w:szCs w:val="20"/>
        </w:rPr>
        <w:footnoteRef/>
      </w:r>
      <w:r w:rsidRPr="00D30896">
        <w:rPr>
          <w:rFonts w:ascii="Times New Roman" w:hAnsi="Times New Roman" w:cs="Times New Roman"/>
          <w:sz w:val="20"/>
          <w:szCs w:val="20"/>
        </w:rPr>
        <w:t xml:space="preserve"> F. Ast, </w:t>
      </w:r>
      <w:r w:rsidRPr="00D30896">
        <w:rPr>
          <w:rFonts w:ascii="Times New Roman" w:hAnsi="Times New Roman" w:cs="Times New Roman"/>
          <w:i/>
          <w:sz w:val="20"/>
          <w:szCs w:val="20"/>
        </w:rPr>
        <w:t>Grundriss einer Geschichte der Philosophie</w:t>
      </w:r>
      <w:r w:rsidRPr="00D30896">
        <w:rPr>
          <w:rFonts w:ascii="Times New Roman" w:hAnsi="Times New Roman" w:cs="Times New Roman"/>
          <w:sz w:val="20"/>
          <w:szCs w:val="20"/>
        </w:rPr>
        <w:t>, cit., p. 180.</w:t>
      </w:r>
    </w:p>
  </w:footnote>
  <w:footnote w:id="720">
    <w:p w14:paraId="3B74FFEB" w14:textId="77777777" w:rsidR="00B34CC2" w:rsidRPr="00E42F64" w:rsidRDefault="00B34CC2" w:rsidP="00F721A9">
      <w:pPr>
        <w:pStyle w:val="Testonotaapidipagina"/>
        <w:jc w:val="both"/>
        <w:rPr>
          <w:rFonts w:ascii="Times New Roman" w:hAnsi="Times New Roman" w:cs="Times New Roman"/>
          <w:sz w:val="20"/>
          <w:szCs w:val="20"/>
        </w:rPr>
      </w:pPr>
      <w:r w:rsidRPr="00E42F64">
        <w:rPr>
          <w:rStyle w:val="Rimandonotaapidipagina"/>
          <w:rFonts w:ascii="Times New Roman" w:hAnsi="Times New Roman" w:cs="Times New Roman"/>
          <w:sz w:val="20"/>
          <w:szCs w:val="20"/>
        </w:rPr>
        <w:footnoteRef/>
      </w:r>
      <w:r w:rsidRPr="00E42F64">
        <w:rPr>
          <w:rFonts w:ascii="Times New Roman" w:hAnsi="Times New Roman" w:cs="Times New Roman"/>
          <w:sz w:val="20"/>
          <w:szCs w:val="20"/>
        </w:rPr>
        <w:t xml:space="preserve"> </w:t>
      </w:r>
      <w:r w:rsidRPr="00E42F64">
        <w:rPr>
          <w:rFonts w:ascii="Times New Roman" w:hAnsi="Times New Roman" w:cs="Times New Roman"/>
          <w:i/>
          <w:sz w:val="20"/>
          <w:szCs w:val="20"/>
        </w:rPr>
        <w:t xml:space="preserve">Ivi, </w:t>
      </w:r>
      <w:r w:rsidRPr="00E42F64">
        <w:rPr>
          <w:rFonts w:ascii="Times New Roman" w:hAnsi="Times New Roman" w:cs="Times New Roman"/>
          <w:sz w:val="20"/>
          <w:szCs w:val="20"/>
        </w:rPr>
        <w:t>p. 181.</w:t>
      </w:r>
    </w:p>
  </w:footnote>
  <w:footnote w:id="721">
    <w:p w14:paraId="128ABB42" w14:textId="77777777" w:rsidR="00B34CC2" w:rsidRDefault="00B34CC2" w:rsidP="00F721A9">
      <w:pPr>
        <w:pStyle w:val="Testonotaapidipagina"/>
        <w:jc w:val="both"/>
      </w:pPr>
      <w:r w:rsidRPr="006A2BA0">
        <w:rPr>
          <w:rStyle w:val="Rimandonotaapidipagina"/>
          <w:rFonts w:ascii="Times New Roman" w:hAnsi="Times New Roman" w:cs="Times New Roman"/>
          <w:sz w:val="20"/>
          <w:szCs w:val="20"/>
        </w:rPr>
        <w:footnoteRef/>
      </w:r>
      <w:r w:rsidRPr="006A2BA0">
        <w:rPr>
          <w:rFonts w:ascii="Times New Roman" w:hAnsi="Times New Roman" w:cs="Times New Roman"/>
          <w:sz w:val="20"/>
          <w:szCs w:val="20"/>
        </w:rPr>
        <w:t xml:space="preserve"> </w:t>
      </w:r>
      <w:r w:rsidRPr="00444074">
        <w:rPr>
          <w:rFonts w:ascii="Times New Roman" w:hAnsi="Times New Roman" w:cs="Times New Roman"/>
          <w:i/>
          <w:sz w:val="20"/>
          <w:szCs w:val="20"/>
        </w:rPr>
        <w:t>Ibidem</w:t>
      </w:r>
      <w:r w:rsidRPr="00444074">
        <w:rPr>
          <w:rFonts w:ascii="Times New Roman" w:hAnsi="Times New Roman" w:cs="Times New Roman"/>
          <w:sz w:val="20"/>
          <w:szCs w:val="20"/>
        </w:rPr>
        <w:t>.</w:t>
      </w:r>
    </w:p>
  </w:footnote>
  <w:footnote w:id="722">
    <w:p w14:paraId="6F3E8121" w14:textId="7E85E95C" w:rsidR="00B34CC2" w:rsidRPr="007E62FD" w:rsidRDefault="00B34CC2" w:rsidP="00F721A9">
      <w:pPr>
        <w:pStyle w:val="Testonotaapidipagina"/>
        <w:jc w:val="both"/>
        <w:rPr>
          <w:rFonts w:ascii="Times New Roman" w:hAnsi="Times New Roman" w:cs="Times New Roman"/>
          <w:sz w:val="20"/>
          <w:szCs w:val="20"/>
        </w:rPr>
      </w:pPr>
      <w:r w:rsidRPr="00E72E7A">
        <w:rPr>
          <w:rStyle w:val="Rimandonotaapidipagina"/>
          <w:rFonts w:ascii="Times New Roman" w:hAnsi="Times New Roman" w:cs="Times New Roman"/>
          <w:sz w:val="20"/>
          <w:szCs w:val="20"/>
        </w:rPr>
        <w:footnoteRef/>
      </w:r>
      <w:r w:rsidRPr="00E72E7A">
        <w:rPr>
          <w:rFonts w:ascii="Times New Roman" w:hAnsi="Times New Roman" w:cs="Times New Roman"/>
          <w:sz w:val="20"/>
          <w:szCs w:val="20"/>
        </w:rPr>
        <w:t xml:space="preserve"> Vedi </w:t>
      </w:r>
      <w:r w:rsidRPr="00E72E7A">
        <w:rPr>
          <w:rFonts w:ascii="Times New Roman" w:hAnsi="Times New Roman" w:cs="Times New Roman"/>
          <w:i/>
          <w:sz w:val="20"/>
          <w:szCs w:val="20"/>
        </w:rPr>
        <w:t>supra</w:t>
      </w:r>
      <w:r>
        <w:rPr>
          <w:rFonts w:ascii="Times New Roman" w:hAnsi="Times New Roman" w:cs="Times New Roman"/>
          <w:sz w:val="20"/>
          <w:szCs w:val="20"/>
        </w:rPr>
        <w:t>, pp. 44-49</w:t>
      </w:r>
      <w:r w:rsidRPr="00E72E7A">
        <w:rPr>
          <w:rFonts w:ascii="Times New Roman" w:hAnsi="Times New Roman" w:cs="Times New Roman"/>
          <w:sz w:val="20"/>
          <w:szCs w:val="20"/>
        </w:rPr>
        <w:t>.</w:t>
      </w:r>
    </w:p>
  </w:footnote>
  <w:footnote w:id="723">
    <w:p w14:paraId="4BECCAFF" w14:textId="77777777" w:rsidR="00B34CC2" w:rsidRPr="00EF63DA" w:rsidRDefault="00B34CC2" w:rsidP="00F721A9">
      <w:pPr>
        <w:pStyle w:val="Testonotaapidipagina"/>
        <w:jc w:val="both"/>
        <w:rPr>
          <w:rFonts w:ascii="Times New Roman" w:hAnsi="Times New Roman" w:cs="Times New Roman"/>
          <w:sz w:val="20"/>
          <w:szCs w:val="20"/>
        </w:rPr>
      </w:pPr>
      <w:r w:rsidRPr="00EF63DA">
        <w:rPr>
          <w:rStyle w:val="Rimandonotaapidipagina"/>
          <w:rFonts w:ascii="Times New Roman" w:hAnsi="Times New Roman" w:cs="Times New Roman"/>
          <w:sz w:val="20"/>
          <w:szCs w:val="20"/>
        </w:rPr>
        <w:footnoteRef/>
      </w:r>
      <w:r w:rsidRPr="00EF63DA">
        <w:rPr>
          <w:rFonts w:ascii="Times New Roman" w:hAnsi="Times New Roman" w:cs="Times New Roman"/>
          <w:sz w:val="20"/>
          <w:szCs w:val="20"/>
        </w:rPr>
        <w:t xml:space="preserve"> </w:t>
      </w:r>
      <w:r w:rsidRPr="00EF63DA">
        <w:rPr>
          <w:rFonts w:ascii="Times New Roman" w:hAnsi="Times New Roman" w:cs="Times New Roman"/>
          <w:i/>
          <w:sz w:val="20"/>
          <w:szCs w:val="20"/>
        </w:rPr>
        <w:t>Diff</w:t>
      </w:r>
      <w:r w:rsidRPr="00EF63DA">
        <w:rPr>
          <w:rFonts w:ascii="Times New Roman" w:hAnsi="Times New Roman" w:cs="Times New Roman"/>
          <w:sz w:val="20"/>
          <w:szCs w:val="20"/>
        </w:rPr>
        <w:t xml:space="preserve">, p. </w:t>
      </w:r>
      <w:r>
        <w:rPr>
          <w:rFonts w:ascii="Times New Roman" w:hAnsi="Times New Roman" w:cs="Times New Roman"/>
          <w:sz w:val="20"/>
          <w:szCs w:val="20"/>
        </w:rPr>
        <w:t>71</w:t>
      </w:r>
      <w:r w:rsidRPr="00EF63DA">
        <w:rPr>
          <w:rFonts w:ascii="Times New Roman" w:hAnsi="Times New Roman" w:cs="Times New Roman"/>
          <w:sz w:val="20"/>
          <w:szCs w:val="20"/>
        </w:rPr>
        <w:t>: «</w:t>
      </w:r>
      <w:r w:rsidRPr="00E80508">
        <w:rPr>
          <w:rFonts w:ascii="Times New Roman" w:hAnsi="Times New Roman" w:cs="Times New Roman"/>
          <w:sz w:val="20"/>
          <w:szCs w:val="20"/>
          <w:lang w:val="de-DE"/>
        </w:rPr>
        <w:t>Wie ein älterer Philosoph davon ungefähr so gesprochen hat: die Ordnung und der Zusammenhang der Ideen (des Subjectiven) ist derselbe als der Zusammenhang und die Ordnung der Dinge (des Objectiven). Alles ist nur in einer Totalität; die objective Totalität und die subjective Totalität, das System der Natur und das System der Intelligenz ist eines und ebendasselbe; einer subjectiven Bestimmtheit korrespondiert ebendieselbe objective Bestimmtheit</w:t>
      </w:r>
      <w:r w:rsidRPr="00E055B1">
        <w:rPr>
          <w:rFonts w:ascii="Times New Roman" w:hAnsi="Times New Roman" w:cs="Times New Roman"/>
          <w:sz w:val="20"/>
          <w:szCs w:val="20"/>
          <w:lang w:val="de-DE"/>
        </w:rPr>
        <w:t>»</w:t>
      </w:r>
      <w:r>
        <w:rPr>
          <w:rFonts w:ascii="Times New Roman" w:hAnsi="Times New Roman" w:cs="Times New Roman"/>
          <w:sz w:val="20"/>
          <w:szCs w:val="20"/>
          <w:lang w:val="de-DE"/>
        </w:rPr>
        <w:t>.</w:t>
      </w:r>
    </w:p>
  </w:footnote>
  <w:footnote w:id="724">
    <w:p w14:paraId="563463CA" w14:textId="77777777" w:rsidR="00B34CC2" w:rsidRPr="00575674" w:rsidRDefault="00B34CC2" w:rsidP="00F721A9">
      <w:pPr>
        <w:pStyle w:val="Testonotaapidipagina"/>
        <w:jc w:val="both"/>
        <w:rPr>
          <w:rFonts w:ascii="Times New Roman" w:hAnsi="Times New Roman" w:cs="Times New Roman"/>
          <w:sz w:val="20"/>
          <w:szCs w:val="20"/>
        </w:rPr>
      </w:pPr>
      <w:r w:rsidRPr="00575674">
        <w:rPr>
          <w:rStyle w:val="Rimandonotaapidipagina"/>
          <w:rFonts w:ascii="Times New Roman" w:hAnsi="Times New Roman" w:cs="Times New Roman"/>
          <w:sz w:val="20"/>
          <w:szCs w:val="20"/>
        </w:rPr>
        <w:footnoteRef/>
      </w:r>
      <w:r w:rsidRPr="00575674">
        <w:rPr>
          <w:rFonts w:ascii="Times New Roman" w:hAnsi="Times New Roman" w:cs="Times New Roman"/>
          <w:sz w:val="20"/>
          <w:szCs w:val="20"/>
        </w:rPr>
        <w:t xml:space="preserve"> </w:t>
      </w:r>
      <w:r w:rsidRPr="00575674">
        <w:rPr>
          <w:rFonts w:ascii="Times New Roman" w:hAnsi="Times New Roman" w:cs="Times New Roman"/>
          <w:i/>
          <w:sz w:val="20"/>
          <w:szCs w:val="20"/>
        </w:rPr>
        <w:t>Ivi</w:t>
      </w:r>
      <w:r>
        <w:rPr>
          <w:rFonts w:ascii="Times New Roman" w:hAnsi="Times New Roman" w:cs="Times New Roman"/>
          <w:sz w:val="20"/>
          <w:szCs w:val="20"/>
        </w:rPr>
        <w:t>, p. 369</w:t>
      </w:r>
      <w:r w:rsidRPr="00575674">
        <w:rPr>
          <w:rFonts w:ascii="Times New Roman" w:hAnsi="Times New Roman" w:cs="Times New Roman"/>
          <w:sz w:val="20"/>
          <w:szCs w:val="20"/>
        </w:rPr>
        <w:t>.</w:t>
      </w:r>
    </w:p>
  </w:footnote>
  <w:footnote w:id="725">
    <w:p w14:paraId="32E51D57" w14:textId="77777777" w:rsidR="00B34CC2" w:rsidRDefault="00B34CC2" w:rsidP="00F721A9">
      <w:pPr>
        <w:pStyle w:val="Testonotaapidipagina"/>
        <w:jc w:val="both"/>
      </w:pPr>
      <w:r w:rsidRPr="007410C2">
        <w:rPr>
          <w:rStyle w:val="Rimandonotaapidipagina"/>
          <w:rFonts w:ascii="Times New Roman" w:hAnsi="Times New Roman" w:cs="Times New Roman"/>
          <w:sz w:val="20"/>
          <w:szCs w:val="20"/>
        </w:rPr>
        <w:footnoteRef/>
      </w:r>
      <w:r w:rsidRPr="007410C2">
        <w:rPr>
          <w:rFonts w:ascii="Times New Roman" w:hAnsi="Times New Roman" w:cs="Times New Roman"/>
          <w:sz w:val="20"/>
          <w:szCs w:val="20"/>
        </w:rPr>
        <w:t xml:space="preserve"> </w:t>
      </w:r>
      <w:r w:rsidRPr="00575674">
        <w:rPr>
          <w:rFonts w:ascii="Times New Roman" w:hAnsi="Times New Roman" w:cs="Times New Roman"/>
          <w:i/>
          <w:sz w:val="20"/>
          <w:szCs w:val="20"/>
        </w:rPr>
        <w:t>Ivi</w:t>
      </w:r>
      <w:r>
        <w:rPr>
          <w:rFonts w:ascii="Times New Roman" w:hAnsi="Times New Roman" w:cs="Times New Roman"/>
          <w:sz w:val="20"/>
          <w:szCs w:val="20"/>
        </w:rPr>
        <w:t>, p. 371</w:t>
      </w:r>
      <w:r w:rsidRPr="00575674">
        <w:rPr>
          <w:rFonts w:ascii="Times New Roman" w:hAnsi="Times New Roman" w:cs="Times New Roman"/>
          <w:sz w:val="20"/>
          <w:szCs w:val="20"/>
        </w:rPr>
        <w:t>.</w:t>
      </w:r>
    </w:p>
  </w:footnote>
  <w:footnote w:id="726">
    <w:p w14:paraId="1AA36E18" w14:textId="77777777" w:rsidR="00B34CC2" w:rsidRPr="00C941EA" w:rsidRDefault="00B34CC2" w:rsidP="00F721A9">
      <w:pPr>
        <w:pStyle w:val="Testonotaapidipagina"/>
        <w:jc w:val="both"/>
        <w:rPr>
          <w:rFonts w:ascii="Times New Roman" w:hAnsi="Times New Roman" w:cs="Times New Roman"/>
          <w:sz w:val="20"/>
          <w:szCs w:val="20"/>
        </w:rPr>
      </w:pPr>
      <w:r w:rsidRPr="00C941EA">
        <w:rPr>
          <w:rStyle w:val="Rimandonotaapidipagina"/>
          <w:rFonts w:ascii="Times New Roman" w:hAnsi="Times New Roman" w:cs="Times New Roman"/>
          <w:sz w:val="20"/>
          <w:szCs w:val="20"/>
        </w:rPr>
        <w:footnoteRef/>
      </w:r>
      <w:r w:rsidRPr="00C941EA">
        <w:rPr>
          <w:rFonts w:ascii="Times New Roman" w:hAnsi="Times New Roman" w:cs="Times New Roman"/>
          <w:sz w:val="20"/>
          <w:szCs w:val="20"/>
        </w:rPr>
        <w:t xml:space="preserve"> </w:t>
      </w:r>
      <w:r w:rsidRPr="00C941EA">
        <w:rPr>
          <w:rFonts w:ascii="Times New Roman" w:hAnsi="Times New Roman" w:cs="Times New Roman"/>
          <w:i/>
          <w:sz w:val="20"/>
          <w:szCs w:val="20"/>
        </w:rPr>
        <w:t>Ibidem</w:t>
      </w:r>
      <w:r w:rsidRPr="00C941EA">
        <w:rPr>
          <w:rFonts w:ascii="Times New Roman" w:hAnsi="Times New Roman" w:cs="Times New Roman"/>
          <w:sz w:val="20"/>
          <w:szCs w:val="20"/>
        </w:rPr>
        <w:t>.</w:t>
      </w:r>
    </w:p>
  </w:footnote>
  <w:footnote w:id="727">
    <w:p w14:paraId="0AC3603F" w14:textId="77777777" w:rsidR="00B34CC2" w:rsidRPr="00E055B1" w:rsidRDefault="00B34CC2" w:rsidP="00F721A9">
      <w:pPr>
        <w:pStyle w:val="Testonotaapidipagina"/>
        <w:jc w:val="both"/>
        <w:rPr>
          <w:rFonts w:ascii="Times New Roman" w:hAnsi="Times New Roman" w:cs="Times New Roman"/>
          <w:sz w:val="20"/>
          <w:szCs w:val="20"/>
        </w:rPr>
      </w:pPr>
      <w:r w:rsidRPr="009A2D7F">
        <w:rPr>
          <w:rStyle w:val="Rimandonotaapidipagina"/>
          <w:rFonts w:ascii="Times New Roman" w:hAnsi="Times New Roman" w:cs="Times New Roman"/>
          <w:sz w:val="20"/>
          <w:szCs w:val="20"/>
        </w:rPr>
        <w:footnoteRef/>
      </w:r>
      <w:r w:rsidRPr="009A2D7F">
        <w:rPr>
          <w:rFonts w:ascii="Times New Roman" w:hAnsi="Times New Roman" w:cs="Times New Roman"/>
          <w:sz w:val="20"/>
          <w:szCs w:val="20"/>
        </w:rPr>
        <w:t xml:space="preserve"> Sul fatto che quest’espressione – </w:t>
      </w:r>
      <w:r w:rsidRPr="009A2D7F">
        <w:rPr>
          <w:rFonts w:ascii="Times New Roman" w:hAnsi="Times New Roman" w:cs="Times New Roman"/>
          <w:i/>
          <w:sz w:val="20"/>
          <w:szCs w:val="20"/>
          <w:lang w:val="de-DE"/>
        </w:rPr>
        <w:t>Reflexionsphilosophie</w:t>
      </w:r>
      <w:r w:rsidRPr="009A2D7F">
        <w:rPr>
          <w:rFonts w:ascii="Times New Roman" w:hAnsi="Times New Roman" w:cs="Times New Roman"/>
          <w:sz w:val="20"/>
          <w:szCs w:val="20"/>
        </w:rPr>
        <w:t xml:space="preserve"> – sia mutuata da Hegel vedi il suggerimento bibliografico apposto da Ast ai paragrafi sulla filosofia fichtiana: «</w:t>
      </w:r>
      <w:r w:rsidRPr="009A2D7F">
        <w:rPr>
          <w:rFonts w:ascii="Times New Roman" w:hAnsi="Times New Roman" w:cs="Times New Roman"/>
          <w:sz w:val="20"/>
          <w:szCs w:val="20"/>
          <w:lang w:val="de-DE"/>
        </w:rPr>
        <w:t>Vergl. Philosophisches Journal, herausg. von Fichte und Niethammer, 1795 ff. – Hegel’s Darstellung der kantischen, jacobischen und fichteschen Philosophie, im kritischen Journal d. Philos. von Schelling und Hegel, 2 B. I St. – Desselb. Differenz des fichteschen und schellingschen Systems, Jen. 1801. 8» (</w:t>
      </w:r>
      <w:r w:rsidRPr="009A2D7F">
        <w:rPr>
          <w:rFonts w:ascii="Times New Roman" w:hAnsi="Times New Roman" w:cs="Times New Roman"/>
          <w:i/>
          <w:sz w:val="20"/>
          <w:szCs w:val="20"/>
        </w:rPr>
        <w:t>Ivi</w:t>
      </w:r>
      <w:r w:rsidRPr="009A2D7F">
        <w:rPr>
          <w:rFonts w:ascii="Times New Roman" w:hAnsi="Times New Roman" w:cs="Times New Roman"/>
          <w:sz w:val="20"/>
          <w:szCs w:val="20"/>
        </w:rPr>
        <w:t>, p. 469</w:t>
      </w:r>
      <w:r w:rsidRPr="009A2D7F">
        <w:rPr>
          <w:rFonts w:ascii="Times New Roman" w:hAnsi="Times New Roman" w:cs="Times New Roman"/>
          <w:sz w:val="20"/>
          <w:szCs w:val="20"/>
          <w:lang w:val="de-DE"/>
        </w:rPr>
        <w:t>)</w:t>
      </w:r>
      <w:r w:rsidRPr="009A2D7F">
        <w:rPr>
          <w:rFonts w:ascii="Times New Roman" w:hAnsi="Times New Roman" w:cs="Times New Roman"/>
          <w:sz w:val="20"/>
          <w:szCs w:val="20"/>
        </w:rPr>
        <w:t>.</w:t>
      </w:r>
    </w:p>
  </w:footnote>
  <w:footnote w:id="728">
    <w:p w14:paraId="044FF5FB" w14:textId="77777777" w:rsidR="00B34CC2" w:rsidRPr="00067992" w:rsidRDefault="00B34CC2" w:rsidP="00F721A9">
      <w:pPr>
        <w:pStyle w:val="Testonotaapidipagina"/>
        <w:jc w:val="both"/>
        <w:rPr>
          <w:rFonts w:ascii="Times New Roman" w:hAnsi="Times New Roman" w:cs="Times New Roman"/>
          <w:sz w:val="20"/>
          <w:szCs w:val="20"/>
        </w:rPr>
      </w:pPr>
      <w:r w:rsidRPr="00067992">
        <w:rPr>
          <w:rStyle w:val="Rimandonotaapidipagina"/>
          <w:rFonts w:ascii="Times New Roman" w:hAnsi="Times New Roman" w:cs="Times New Roman"/>
          <w:sz w:val="20"/>
          <w:szCs w:val="20"/>
        </w:rPr>
        <w:footnoteRef/>
      </w:r>
      <w:r w:rsidRPr="00067992">
        <w:rPr>
          <w:rFonts w:ascii="Times New Roman" w:hAnsi="Times New Roman" w:cs="Times New Roman"/>
          <w:sz w:val="20"/>
          <w:szCs w:val="20"/>
        </w:rPr>
        <w:t xml:space="preserve"> </w:t>
      </w:r>
      <w:r>
        <w:rPr>
          <w:rFonts w:ascii="Times New Roman" w:hAnsi="Times New Roman" w:cs="Times New Roman"/>
          <w:i/>
          <w:sz w:val="20"/>
          <w:szCs w:val="20"/>
        </w:rPr>
        <w:t>Ivi</w:t>
      </w:r>
      <w:r>
        <w:rPr>
          <w:rFonts w:ascii="Times New Roman" w:hAnsi="Times New Roman" w:cs="Times New Roman"/>
          <w:sz w:val="20"/>
          <w:szCs w:val="20"/>
        </w:rPr>
        <w:t>, p. 369.</w:t>
      </w:r>
    </w:p>
  </w:footnote>
  <w:footnote w:id="729">
    <w:p w14:paraId="0A9C4E4B" w14:textId="77777777" w:rsidR="00B34CC2" w:rsidRPr="00524A31" w:rsidRDefault="00B34CC2" w:rsidP="00F721A9">
      <w:pPr>
        <w:pStyle w:val="Testonotaapidipagina"/>
        <w:jc w:val="both"/>
        <w:rPr>
          <w:rFonts w:ascii="Times New Roman" w:hAnsi="Times New Roman" w:cs="Times New Roman"/>
          <w:sz w:val="20"/>
          <w:szCs w:val="20"/>
        </w:rPr>
      </w:pPr>
      <w:r w:rsidRPr="00E50B26">
        <w:rPr>
          <w:rStyle w:val="Rimandonotaapidipagina"/>
          <w:rFonts w:ascii="Times New Roman" w:hAnsi="Times New Roman" w:cs="Times New Roman"/>
          <w:sz w:val="20"/>
          <w:szCs w:val="20"/>
        </w:rPr>
        <w:footnoteRef/>
      </w:r>
      <w:r w:rsidRPr="00E50B26">
        <w:rPr>
          <w:rFonts w:ascii="Times New Roman" w:hAnsi="Times New Roman" w:cs="Times New Roman"/>
          <w:sz w:val="20"/>
          <w:szCs w:val="20"/>
        </w:rPr>
        <w:t xml:space="preserve"> Sull’attività di storico della filosofia di Tennemann cfr. G. Micheli, </w:t>
      </w:r>
      <w:r w:rsidRPr="00E50B26">
        <w:rPr>
          <w:rFonts w:ascii="Times New Roman" w:hAnsi="Times New Roman" w:cs="Times New Roman"/>
          <w:i/>
          <w:sz w:val="20"/>
          <w:szCs w:val="20"/>
        </w:rPr>
        <w:t>Kantianism and the Historiography of Philosphy</w:t>
      </w:r>
      <w:r w:rsidRPr="00E50B26">
        <w:rPr>
          <w:rFonts w:ascii="Times New Roman" w:hAnsi="Times New Roman" w:cs="Times New Roman"/>
          <w:sz w:val="20"/>
          <w:szCs w:val="20"/>
        </w:rPr>
        <w:t xml:space="preserve">, in </w:t>
      </w:r>
      <w:r w:rsidRPr="00E50B26">
        <w:rPr>
          <w:rFonts w:ascii="Times New Roman" w:hAnsi="Times New Roman" w:cs="Times New Roman"/>
          <w:i/>
          <w:sz w:val="20"/>
          <w:szCs w:val="20"/>
        </w:rPr>
        <w:t>Models of History of Philosophy</w:t>
      </w:r>
      <w:r w:rsidRPr="00E50B26">
        <w:rPr>
          <w:rFonts w:ascii="Times New Roman" w:hAnsi="Times New Roman" w:cs="Times New Roman"/>
          <w:sz w:val="20"/>
          <w:szCs w:val="20"/>
        </w:rPr>
        <w:t>, cit., pp. 769-963.</w:t>
      </w:r>
    </w:p>
  </w:footnote>
  <w:footnote w:id="730">
    <w:p w14:paraId="297437E3" w14:textId="6B16C644" w:rsidR="00B34CC2" w:rsidRPr="006A33D0" w:rsidRDefault="00B34CC2" w:rsidP="00F721A9">
      <w:pPr>
        <w:pStyle w:val="Testonotaapidipagina"/>
        <w:jc w:val="both"/>
        <w:rPr>
          <w:lang w:val="de-DE"/>
        </w:rPr>
      </w:pPr>
      <w:r w:rsidRPr="00524A31">
        <w:rPr>
          <w:rStyle w:val="Rimandonotaapidipagina"/>
          <w:rFonts w:ascii="Times New Roman" w:hAnsi="Times New Roman" w:cs="Times New Roman"/>
          <w:sz w:val="20"/>
          <w:szCs w:val="20"/>
        </w:rPr>
        <w:footnoteRef/>
      </w:r>
      <w:r>
        <w:t xml:space="preserve"> </w:t>
      </w:r>
      <w:r w:rsidRPr="00524A31">
        <w:rPr>
          <w:rFonts w:ascii="Times New Roman" w:hAnsi="Times New Roman" w:cs="Times New Roman"/>
          <w:sz w:val="20"/>
          <w:szCs w:val="20"/>
        </w:rPr>
        <w:t xml:space="preserve">W.G. Tennemann, </w:t>
      </w:r>
      <w:r w:rsidRPr="00524A31">
        <w:rPr>
          <w:rFonts w:ascii="Times New Roman" w:hAnsi="Times New Roman" w:cs="Times New Roman"/>
          <w:i/>
          <w:sz w:val="20"/>
          <w:szCs w:val="20"/>
        </w:rPr>
        <w:t>Geschichte der Philosophie</w:t>
      </w:r>
      <w:r w:rsidRPr="00524A31">
        <w:rPr>
          <w:rFonts w:ascii="Times New Roman" w:hAnsi="Times New Roman" w:cs="Times New Roman"/>
          <w:sz w:val="20"/>
          <w:szCs w:val="20"/>
        </w:rPr>
        <w:t xml:space="preserve">, </w:t>
      </w:r>
      <w:r>
        <w:rPr>
          <w:rFonts w:ascii="Times New Roman" w:hAnsi="Times New Roman" w:cs="Times New Roman"/>
          <w:sz w:val="20"/>
          <w:szCs w:val="20"/>
        </w:rPr>
        <w:t>Bd. I</w:t>
      </w:r>
      <w:r w:rsidRPr="00524A31">
        <w:rPr>
          <w:rFonts w:ascii="Times New Roman" w:hAnsi="Times New Roman" w:cs="Times New Roman"/>
          <w:sz w:val="20"/>
          <w:szCs w:val="20"/>
        </w:rPr>
        <w:t>, Leipzig 1798, p.</w:t>
      </w:r>
      <w:r>
        <w:rPr>
          <w:rFonts w:ascii="Times New Roman" w:hAnsi="Times New Roman" w:cs="Times New Roman"/>
          <w:sz w:val="20"/>
          <w:szCs w:val="20"/>
        </w:rPr>
        <w:t xml:space="preserve"> XVI</w:t>
      </w:r>
      <w:r w:rsidRPr="00524A31">
        <w:rPr>
          <w:rFonts w:ascii="Times New Roman" w:hAnsi="Times New Roman" w:cs="Times New Roman"/>
          <w:sz w:val="20"/>
          <w:szCs w:val="20"/>
        </w:rPr>
        <w:t xml:space="preserve"> : </w:t>
      </w:r>
      <w:r w:rsidRPr="006A33D0">
        <w:rPr>
          <w:rFonts w:ascii="Times New Roman" w:hAnsi="Times New Roman" w:cs="Times New Roman"/>
          <w:sz w:val="20"/>
          <w:szCs w:val="20"/>
        </w:rPr>
        <w:t>«</w:t>
      </w:r>
      <w:r w:rsidRPr="006A33D0">
        <w:rPr>
          <w:rFonts w:ascii="Times New Roman" w:hAnsi="Times New Roman" w:cs="Times New Roman"/>
          <w:sz w:val="20"/>
          <w:szCs w:val="20"/>
          <w:lang w:val="de-DE"/>
        </w:rPr>
        <w:t>Das Bedürfnisse und die Anlage zum Philosophieren ist dem Menschen durch die Vernunft gegeben.</w:t>
      </w:r>
      <w:r>
        <w:rPr>
          <w:rFonts w:ascii="Times New Roman" w:hAnsi="Times New Roman" w:cs="Times New Roman"/>
          <w:sz w:val="20"/>
          <w:szCs w:val="20"/>
          <w:lang w:val="de-DE"/>
        </w:rPr>
        <w:t xml:space="preserve"> Die Vernunft außer sich schon </w:t>
      </w:r>
      <w:r w:rsidRPr="006A33D0">
        <w:rPr>
          <w:rFonts w:ascii="Times New Roman" w:hAnsi="Times New Roman" w:cs="Times New Roman"/>
          <w:sz w:val="20"/>
          <w:szCs w:val="20"/>
          <w:lang w:val="de-DE"/>
        </w:rPr>
        <w:t>ihrer niedrigen Stufe als das Vermögen, das Mannigfaltige der Vorstellung zur Einheit zu verbinden, nach Gründen und Zwecken zu forschen und zu handeln».</w:t>
      </w:r>
    </w:p>
  </w:footnote>
  <w:footnote w:id="731">
    <w:p w14:paraId="6A90D27C" w14:textId="77777777" w:rsidR="00B34CC2" w:rsidRPr="000C42EF" w:rsidRDefault="00B34CC2" w:rsidP="00F721A9">
      <w:pPr>
        <w:pStyle w:val="Testonotaapidipagina"/>
        <w:jc w:val="both"/>
        <w:rPr>
          <w:rFonts w:ascii="Times New Roman" w:hAnsi="Times New Roman" w:cs="Times New Roman"/>
          <w:sz w:val="20"/>
          <w:szCs w:val="20"/>
        </w:rPr>
      </w:pPr>
      <w:r w:rsidRPr="000C42EF">
        <w:rPr>
          <w:rStyle w:val="Rimandonotaapidipagina"/>
          <w:rFonts w:ascii="Times New Roman" w:hAnsi="Times New Roman" w:cs="Times New Roman"/>
          <w:sz w:val="20"/>
          <w:szCs w:val="20"/>
        </w:rPr>
        <w:footnoteRef/>
      </w:r>
      <w:r w:rsidRPr="000C42EF">
        <w:rPr>
          <w:rFonts w:ascii="Times New Roman" w:hAnsi="Times New Roman" w:cs="Times New Roman"/>
          <w:sz w:val="20"/>
          <w:szCs w:val="20"/>
        </w:rPr>
        <w:t xml:space="preserve"> </w:t>
      </w:r>
      <w:r w:rsidRPr="000C42EF">
        <w:rPr>
          <w:rFonts w:ascii="Times New Roman" w:hAnsi="Times New Roman" w:cs="Times New Roman"/>
          <w:i/>
          <w:sz w:val="20"/>
          <w:szCs w:val="20"/>
        </w:rPr>
        <w:t>Ibidem</w:t>
      </w:r>
      <w:r>
        <w:rPr>
          <w:rFonts w:ascii="Times New Roman" w:hAnsi="Times New Roman" w:cs="Times New Roman"/>
          <w:sz w:val="20"/>
          <w:szCs w:val="20"/>
        </w:rPr>
        <w:t>, pp. XXVI-XXVII</w:t>
      </w:r>
      <w:r w:rsidRPr="000C42EF">
        <w:rPr>
          <w:rFonts w:ascii="Times New Roman" w:hAnsi="Times New Roman" w:cs="Times New Roman"/>
          <w:sz w:val="20"/>
          <w:szCs w:val="20"/>
        </w:rPr>
        <w:t>.</w:t>
      </w:r>
    </w:p>
  </w:footnote>
  <w:footnote w:id="732">
    <w:p w14:paraId="50E7C2C7" w14:textId="2FE6064A" w:rsidR="00B34CC2" w:rsidRPr="00FD17E0" w:rsidRDefault="00B34CC2" w:rsidP="00F721A9">
      <w:pPr>
        <w:pStyle w:val="Testonotaapidipagina"/>
        <w:jc w:val="both"/>
        <w:rPr>
          <w:rFonts w:ascii="Times New Roman" w:hAnsi="Times New Roman" w:cs="Times New Roman"/>
          <w:sz w:val="20"/>
          <w:szCs w:val="20"/>
        </w:rPr>
      </w:pPr>
      <w:r w:rsidRPr="00684B46">
        <w:rPr>
          <w:rStyle w:val="Rimandonotaapidipagina"/>
          <w:rFonts w:ascii="Times New Roman" w:hAnsi="Times New Roman" w:cs="Times New Roman"/>
          <w:sz w:val="20"/>
          <w:szCs w:val="20"/>
        </w:rPr>
        <w:footnoteRef/>
      </w:r>
      <w:r w:rsidRPr="00684B46">
        <w:rPr>
          <w:rFonts w:ascii="Times New Roman" w:hAnsi="Times New Roman" w:cs="Times New Roman"/>
          <w:sz w:val="20"/>
          <w:szCs w:val="20"/>
        </w:rPr>
        <w:t xml:space="preserve"> Sulla prossimità di questo passaggio con l’</w:t>
      </w:r>
      <w:r w:rsidRPr="00684B46">
        <w:rPr>
          <w:rFonts w:ascii="Times New Roman" w:hAnsi="Times New Roman" w:cs="Times New Roman"/>
          <w:i/>
          <w:sz w:val="20"/>
          <w:szCs w:val="20"/>
        </w:rPr>
        <w:t>Archittetonica della ragion pura</w:t>
      </w:r>
      <w:r w:rsidRPr="00684B46">
        <w:rPr>
          <w:rFonts w:ascii="Times New Roman" w:hAnsi="Times New Roman" w:cs="Times New Roman"/>
          <w:sz w:val="20"/>
          <w:szCs w:val="20"/>
        </w:rPr>
        <w:t xml:space="preserve"> cfr. I. Kant, </w:t>
      </w:r>
      <w:r w:rsidRPr="00684B46">
        <w:rPr>
          <w:rFonts w:ascii="Times New Roman" w:hAnsi="Times New Roman" w:cs="Times New Roman"/>
          <w:i/>
          <w:sz w:val="20"/>
          <w:szCs w:val="20"/>
        </w:rPr>
        <w:t>Kritik der reinen Vernunft</w:t>
      </w:r>
      <w:r>
        <w:rPr>
          <w:rFonts w:ascii="Times New Roman" w:hAnsi="Times New Roman" w:cs="Times New Roman"/>
          <w:sz w:val="20"/>
          <w:szCs w:val="20"/>
        </w:rPr>
        <w:t xml:space="preserve">, cit., </w:t>
      </w:r>
      <w:r w:rsidRPr="00684B46">
        <w:rPr>
          <w:rFonts w:ascii="Times New Roman" w:hAnsi="Times New Roman" w:cs="Times New Roman"/>
          <w:sz w:val="20"/>
          <w:szCs w:val="20"/>
        </w:rPr>
        <w:t xml:space="preserve">p. </w:t>
      </w:r>
      <w:r>
        <w:rPr>
          <w:rFonts w:ascii="Times New Roman" w:hAnsi="Times New Roman" w:cs="Times New Roman"/>
          <w:sz w:val="20"/>
          <w:szCs w:val="20"/>
        </w:rPr>
        <w:t>543</w:t>
      </w:r>
      <w:r w:rsidRPr="00684B46">
        <w:rPr>
          <w:rFonts w:ascii="Times New Roman" w:hAnsi="Times New Roman" w:cs="Times New Roman"/>
          <w:sz w:val="20"/>
          <w:szCs w:val="20"/>
        </w:rPr>
        <w:t>: «</w:t>
      </w:r>
      <w:r w:rsidRPr="00684B46">
        <w:rPr>
          <w:rFonts w:ascii="Times New Roman" w:hAnsi="Times New Roman" w:cs="Times New Roman"/>
          <w:sz w:val="20"/>
          <w:szCs w:val="20"/>
          <w:lang w:val="de-DE"/>
        </w:rPr>
        <w:t>Die Gesetzgebung der menschlichen Vernunft (Philosophie) hat nun zwei Gegenstande, Natur und Freiheit, und enthält also sowohl das Naturgesetz, als auch das Sittengesetz, anfangs in zwei besondern, zuletzt aber in einem einzigen philosophischen System. Die Philosophie der Natur geht  alles, das da ist; die der Sitten nur  das, was sein soll».</w:t>
      </w:r>
    </w:p>
  </w:footnote>
  <w:footnote w:id="733">
    <w:p w14:paraId="66281D10" w14:textId="77777777" w:rsidR="00B34CC2" w:rsidRPr="009944FB" w:rsidRDefault="00B34CC2" w:rsidP="00F721A9">
      <w:pPr>
        <w:pStyle w:val="Testonotaapidipagina"/>
        <w:jc w:val="both"/>
        <w:rPr>
          <w:rFonts w:ascii="Times New Roman" w:hAnsi="Times New Roman" w:cs="Times New Roman"/>
          <w:sz w:val="20"/>
          <w:szCs w:val="20"/>
        </w:rPr>
      </w:pPr>
      <w:r w:rsidRPr="009944FB">
        <w:rPr>
          <w:rStyle w:val="Rimandonotaapidipagina"/>
          <w:rFonts w:ascii="Times New Roman" w:hAnsi="Times New Roman" w:cs="Times New Roman"/>
          <w:sz w:val="20"/>
          <w:szCs w:val="20"/>
        </w:rPr>
        <w:footnoteRef/>
      </w:r>
      <w:r w:rsidRPr="009944FB">
        <w:rPr>
          <w:rFonts w:ascii="Times New Roman" w:hAnsi="Times New Roman" w:cs="Times New Roman"/>
          <w:sz w:val="20"/>
          <w:szCs w:val="20"/>
        </w:rPr>
        <w:t xml:space="preserve"> </w:t>
      </w:r>
      <w:r w:rsidRPr="00524A31">
        <w:rPr>
          <w:rFonts w:ascii="Times New Roman" w:hAnsi="Times New Roman" w:cs="Times New Roman"/>
          <w:sz w:val="20"/>
          <w:szCs w:val="20"/>
        </w:rPr>
        <w:t xml:space="preserve">W.G. Tennemann, </w:t>
      </w:r>
      <w:r w:rsidRPr="00524A31">
        <w:rPr>
          <w:rFonts w:ascii="Times New Roman" w:hAnsi="Times New Roman" w:cs="Times New Roman"/>
          <w:i/>
          <w:sz w:val="20"/>
          <w:szCs w:val="20"/>
        </w:rPr>
        <w:t>Geschichte der Philosophie</w:t>
      </w:r>
      <w:r w:rsidRPr="00524A31">
        <w:rPr>
          <w:rFonts w:ascii="Times New Roman" w:hAnsi="Times New Roman" w:cs="Times New Roman"/>
          <w:sz w:val="20"/>
          <w:szCs w:val="20"/>
        </w:rPr>
        <w:t xml:space="preserve">, </w:t>
      </w:r>
      <w:r>
        <w:rPr>
          <w:rFonts w:ascii="Times New Roman" w:hAnsi="Times New Roman" w:cs="Times New Roman"/>
          <w:sz w:val="20"/>
          <w:szCs w:val="20"/>
        </w:rPr>
        <w:t>Bd. I</w:t>
      </w:r>
      <w:r w:rsidRPr="00524A31">
        <w:rPr>
          <w:rFonts w:ascii="Times New Roman" w:hAnsi="Times New Roman" w:cs="Times New Roman"/>
          <w:sz w:val="20"/>
          <w:szCs w:val="20"/>
        </w:rPr>
        <w:t>,</w:t>
      </w:r>
      <w:r>
        <w:rPr>
          <w:rFonts w:ascii="Times New Roman" w:hAnsi="Times New Roman" w:cs="Times New Roman"/>
          <w:sz w:val="20"/>
          <w:szCs w:val="20"/>
        </w:rPr>
        <w:t xml:space="preserve"> cit.</w:t>
      </w:r>
      <w:r w:rsidRPr="009944FB">
        <w:rPr>
          <w:rFonts w:ascii="Times New Roman" w:hAnsi="Times New Roman" w:cs="Times New Roman"/>
          <w:sz w:val="20"/>
          <w:szCs w:val="20"/>
        </w:rPr>
        <w:t>, pp. XXVIII-XXIX.</w:t>
      </w:r>
    </w:p>
  </w:footnote>
  <w:footnote w:id="734">
    <w:p w14:paraId="2BEFE7AC" w14:textId="77777777" w:rsidR="00B34CC2" w:rsidRPr="006E3314" w:rsidRDefault="00B34CC2" w:rsidP="00F721A9">
      <w:pPr>
        <w:pStyle w:val="Testonotaapidipagina"/>
        <w:jc w:val="both"/>
        <w:rPr>
          <w:rFonts w:ascii="Times New Roman" w:hAnsi="Times New Roman"/>
          <w:sz w:val="20"/>
          <w:szCs w:val="20"/>
        </w:rPr>
      </w:pPr>
      <w:r w:rsidRPr="006E3314">
        <w:rPr>
          <w:rStyle w:val="Rimandonotaapidipagina"/>
          <w:rFonts w:ascii="Times New Roman" w:hAnsi="Times New Roman"/>
          <w:sz w:val="20"/>
          <w:szCs w:val="20"/>
        </w:rPr>
        <w:footnoteRef/>
      </w:r>
      <w:r w:rsidRPr="006E3314">
        <w:rPr>
          <w:rFonts w:ascii="Times New Roman" w:hAnsi="Times New Roman"/>
          <w:sz w:val="20"/>
          <w:szCs w:val="20"/>
        </w:rPr>
        <w:t xml:space="preserve"> </w:t>
      </w:r>
      <w:r w:rsidRPr="006E3314">
        <w:rPr>
          <w:rFonts w:ascii="Times New Roman" w:hAnsi="Times New Roman" w:cs="Times New Roman"/>
          <w:i/>
          <w:sz w:val="20"/>
          <w:szCs w:val="20"/>
        </w:rPr>
        <w:t>Ivi</w:t>
      </w:r>
      <w:r w:rsidRPr="006E3314">
        <w:rPr>
          <w:rFonts w:ascii="Times New Roman" w:hAnsi="Times New Roman" w:cs="Times New Roman"/>
          <w:sz w:val="20"/>
          <w:szCs w:val="20"/>
        </w:rPr>
        <w:t>, p. XXXI.</w:t>
      </w:r>
    </w:p>
  </w:footnote>
  <w:footnote w:id="735">
    <w:p w14:paraId="2D978ACD" w14:textId="77777777" w:rsidR="00B34CC2" w:rsidRPr="00B52B14" w:rsidRDefault="00B34CC2" w:rsidP="00F721A9">
      <w:pPr>
        <w:pStyle w:val="Testonotaapidipagina"/>
        <w:jc w:val="both"/>
        <w:rPr>
          <w:rFonts w:ascii="Times New Roman" w:hAnsi="Times New Roman"/>
          <w:sz w:val="20"/>
          <w:szCs w:val="20"/>
        </w:rPr>
      </w:pPr>
      <w:r w:rsidRPr="00B52B14">
        <w:rPr>
          <w:rStyle w:val="Rimandonotaapidipagina"/>
          <w:rFonts w:ascii="Times New Roman" w:hAnsi="Times New Roman"/>
          <w:sz w:val="20"/>
          <w:szCs w:val="20"/>
        </w:rPr>
        <w:footnoteRef/>
      </w:r>
      <w:r w:rsidRPr="00B52B14">
        <w:rPr>
          <w:rFonts w:ascii="Times New Roman" w:hAnsi="Times New Roman"/>
          <w:sz w:val="20"/>
          <w:szCs w:val="20"/>
        </w:rPr>
        <w:t xml:space="preserve"> </w:t>
      </w:r>
      <w:r w:rsidRPr="00B52B14">
        <w:rPr>
          <w:rFonts w:ascii="Times New Roman" w:hAnsi="Times New Roman" w:cs="Times New Roman"/>
          <w:sz w:val="20"/>
          <w:szCs w:val="20"/>
        </w:rPr>
        <w:t xml:space="preserve">W.G. Tennemann, </w:t>
      </w:r>
      <w:r w:rsidRPr="00B52B14">
        <w:rPr>
          <w:rFonts w:ascii="Times New Roman" w:hAnsi="Times New Roman" w:cs="Times New Roman"/>
          <w:i/>
          <w:sz w:val="20"/>
          <w:szCs w:val="20"/>
        </w:rPr>
        <w:t>Geschichte der Philosophie</w:t>
      </w:r>
      <w:r w:rsidRPr="00B52B14">
        <w:rPr>
          <w:rFonts w:ascii="Times New Roman" w:hAnsi="Times New Roman" w:cs="Times New Roman"/>
          <w:sz w:val="20"/>
          <w:szCs w:val="20"/>
        </w:rPr>
        <w:t>, Bd. IX, cit., p. 167.</w:t>
      </w:r>
    </w:p>
  </w:footnote>
  <w:footnote w:id="736">
    <w:p w14:paraId="29B4A1BB" w14:textId="77777777" w:rsidR="00B34CC2" w:rsidRPr="009B07EF" w:rsidRDefault="00B34CC2" w:rsidP="00F721A9">
      <w:pPr>
        <w:pStyle w:val="Testonotaapidipagina"/>
        <w:jc w:val="both"/>
        <w:rPr>
          <w:rFonts w:ascii="Times New Roman" w:hAnsi="Times New Roman"/>
          <w:sz w:val="20"/>
          <w:szCs w:val="20"/>
        </w:rPr>
      </w:pPr>
      <w:r w:rsidRPr="00B52B14">
        <w:rPr>
          <w:rStyle w:val="Rimandonotaapidipagina"/>
          <w:rFonts w:ascii="Times New Roman" w:hAnsi="Times New Roman"/>
          <w:sz w:val="20"/>
          <w:szCs w:val="20"/>
        </w:rPr>
        <w:footnoteRef/>
      </w:r>
      <w:r w:rsidRPr="00B52B14">
        <w:rPr>
          <w:rFonts w:ascii="Times New Roman" w:hAnsi="Times New Roman"/>
          <w:sz w:val="20"/>
          <w:szCs w:val="20"/>
        </w:rPr>
        <w:t xml:space="preserve"> </w:t>
      </w:r>
      <w:r w:rsidRPr="00B52B14">
        <w:rPr>
          <w:rFonts w:ascii="Times New Roman" w:hAnsi="Times New Roman"/>
          <w:i/>
          <w:sz w:val="20"/>
          <w:szCs w:val="20"/>
        </w:rPr>
        <w:t>Ivi</w:t>
      </w:r>
      <w:r w:rsidRPr="00B52B14">
        <w:rPr>
          <w:rFonts w:ascii="Times New Roman" w:hAnsi="Times New Roman"/>
          <w:sz w:val="20"/>
          <w:szCs w:val="20"/>
        </w:rPr>
        <w:t>, p. 170.</w:t>
      </w:r>
    </w:p>
  </w:footnote>
  <w:footnote w:id="737">
    <w:p w14:paraId="11AD52CF" w14:textId="77777777" w:rsidR="00B34CC2" w:rsidRPr="009B07EF" w:rsidRDefault="00B34CC2" w:rsidP="00F721A9">
      <w:pPr>
        <w:pStyle w:val="Testonotaapidipagina"/>
        <w:jc w:val="both"/>
        <w:rPr>
          <w:rFonts w:ascii="Times New Roman" w:hAnsi="Times New Roman"/>
          <w:sz w:val="20"/>
          <w:szCs w:val="20"/>
        </w:rPr>
      </w:pPr>
      <w:r w:rsidRPr="009B07EF">
        <w:rPr>
          <w:rStyle w:val="Rimandonotaapidipagina"/>
          <w:rFonts w:ascii="Times New Roman" w:hAnsi="Times New Roman" w:cs="Times New Roman"/>
          <w:sz w:val="20"/>
          <w:szCs w:val="20"/>
        </w:rPr>
        <w:footnoteRef/>
      </w:r>
      <w:r w:rsidRPr="009B07EF">
        <w:rPr>
          <w:rFonts w:ascii="Times New Roman" w:hAnsi="Times New Roman" w:cs="Times New Roman"/>
          <w:sz w:val="20"/>
          <w:szCs w:val="20"/>
        </w:rPr>
        <w:t xml:space="preserve"> </w:t>
      </w:r>
      <w:r w:rsidRPr="009B07EF">
        <w:rPr>
          <w:rFonts w:ascii="Times New Roman" w:hAnsi="Times New Roman"/>
          <w:i/>
          <w:sz w:val="20"/>
          <w:szCs w:val="20"/>
        </w:rPr>
        <w:t>Ivi</w:t>
      </w:r>
      <w:r>
        <w:rPr>
          <w:rFonts w:ascii="Times New Roman" w:hAnsi="Times New Roman"/>
          <w:sz w:val="20"/>
          <w:szCs w:val="20"/>
        </w:rPr>
        <w:t>, p. 169</w:t>
      </w:r>
      <w:r w:rsidRPr="009B07EF">
        <w:rPr>
          <w:rFonts w:ascii="Times New Roman" w:hAnsi="Times New Roman"/>
          <w:sz w:val="20"/>
          <w:szCs w:val="20"/>
        </w:rPr>
        <w:t>.</w:t>
      </w:r>
    </w:p>
  </w:footnote>
  <w:footnote w:id="738">
    <w:p w14:paraId="414E9ACD" w14:textId="268C0553" w:rsidR="00B34CC2" w:rsidRPr="00CD1C7F" w:rsidRDefault="00B34CC2" w:rsidP="00F721A9">
      <w:pPr>
        <w:pStyle w:val="Testonotaapidipagina"/>
        <w:jc w:val="both"/>
        <w:rPr>
          <w:rFonts w:ascii="Times New Roman" w:hAnsi="Times New Roman" w:cs="Times New Roman"/>
          <w:sz w:val="20"/>
          <w:szCs w:val="20"/>
          <w:lang w:val="de-AT"/>
        </w:rPr>
      </w:pPr>
      <w:r w:rsidRPr="00DE1A76">
        <w:rPr>
          <w:rStyle w:val="Rimandonotaapidipagina"/>
          <w:rFonts w:ascii="Times New Roman" w:hAnsi="Times New Roman" w:cs="Times New Roman"/>
          <w:sz w:val="20"/>
          <w:szCs w:val="20"/>
        </w:rPr>
        <w:footnoteRef/>
      </w:r>
      <w:r>
        <w:rPr>
          <w:rFonts w:ascii="Times New Roman" w:hAnsi="Times New Roman" w:cs="Times New Roman"/>
          <w:sz w:val="20"/>
          <w:szCs w:val="20"/>
        </w:rPr>
        <w:t xml:space="preserve"> </w:t>
      </w:r>
      <w:r w:rsidRPr="00DE1A76">
        <w:rPr>
          <w:rFonts w:ascii="Times New Roman" w:hAnsi="Times New Roman" w:cs="Times New Roman"/>
          <w:sz w:val="20"/>
          <w:szCs w:val="20"/>
        </w:rPr>
        <w:t xml:space="preserve">Cfr. </w:t>
      </w:r>
      <w:r w:rsidRPr="00DE1A76">
        <w:rPr>
          <w:rFonts w:ascii="Times New Roman" w:hAnsi="Times New Roman" w:cs="Times New Roman"/>
          <w:i/>
          <w:sz w:val="20"/>
          <w:szCs w:val="20"/>
        </w:rPr>
        <w:t>Ivi</w:t>
      </w:r>
      <w:r w:rsidRPr="00DE1A76">
        <w:rPr>
          <w:rFonts w:ascii="Times New Roman" w:hAnsi="Times New Roman" w:cs="Times New Roman"/>
          <w:sz w:val="20"/>
          <w:szCs w:val="20"/>
        </w:rPr>
        <w:t>,</w:t>
      </w:r>
      <w:r w:rsidRPr="00DE1A76">
        <w:rPr>
          <w:rFonts w:ascii="Times New Roman" w:hAnsi="Times New Roman" w:cs="Times New Roman"/>
          <w:sz w:val="20"/>
          <w:szCs w:val="20"/>
          <w:lang w:val="de-AT"/>
        </w:rPr>
        <w:t xml:space="preserve"> pp. 168</w:t>
      </w:r>
      <w:r>
        <w:rPr>
          <w:rFonts w:ascii="Times New Roman" w:hAnsi="Times New Roman" w:cs="Times New Roman"/>
          <w:sz w:val="20"/>
          <w:szCs w:val="20"/>
          <w:lang w:val="de-AT"/>
        </w:rPr>
        <w:t xml:space="preserve">-169: </w:t>
      </w:r>
      <w:r w:rsidRPr="00CD1C7F">
        <w:rPr>
          <w:rFonts w:ascii="Times New Roman" w:hAnsi="Times New Roman" w:cs="Times New Roman"/>
          <w:sz w:val="20"/>
          <w:szCs w:val="20"/>
          <w:lang w:val="de-AT"/>
        </w:rPr>
        <w:t>«Die Hauptrichtung blieb dabei immer die unmittelbare Beziehung  das Unendliche: Eingebung, Offenbarung der Gottheit, unmittelbar oder mittelbar; entweder eine feststehende unveränderliche Offenbarung für alle und jede, sie an sich vollendet ist, nur durch Auslegung und Enthüllung des in ihr Verborgenen dem menschlichen Geiste noch eine Sphäre von Wirksamkeit in der Ausfindung der Bedeutung des Unbedeutsamen, in den Bildern und Zeichen des Verborgenen, in der Umschaffung des Kleinlichen zu dem Wichtigen verschaffte, oder eine immer sich erneuernde individuelle Offenbarung, die dem Spiel der Phantasie, den Einfallen des Witzes, der Combination des Verstandes, der Anwendung der erworbenen Kenntnisse in mannigfaltigen, oft regellosen Gruppen und abentheurlichen Gestalten unterworfen war</w:t>
      </w:r>
      <w:r w:rsidRPr="00CD1C7F">
        <w:rPr>
          <w:rFonts w:ascii="Times New Roman" w:hAnsi="Times New Roman" w:cs="Times New Roman"/>
          <w:sz w:val="20"/>
          <w:szCs w:val="20"/>
          <w:lang w:val="de-DE"/>
        </w:rPr>
        <w:t>».</w:t>
      </w:r>
    </w:p>
  </w:footnote>
  <w:footnote w:id="739">
    <w:p w14:paraId="7F958EDF" w14:textId="77777777" w:rsidR="00B34CC2" w:rsidRPr="00F076FA" w:rsidRDefault="00B34CC2" w:rsidP="00F721A9">
      <w:pPr>
        <w:pStyle w:val="Testonotaapidipagina"/>
        <w:jc w:val="both"/>
        <w:rPr>
          <w:rFonts w:ascii="Times New Roman" w:hAnsi="Times New Roman" w:cs="Times New Roman"/>
          <w:sz w:val="20"/>
          <w:szCs w:val="20"/>
        </w:rPr>
      </w:pPr>
      <w:r w:rsidRPr="00F076FA">
        <w:rPr>
          <w:rStyle w:val="Rimandonotaapidipagina"/>
          <w:rFonts w:ascii="Times New Roman" w:hAnsi="Times New Roman" w:cs="Times New Roman"/>
          <w:sz w:val="20"/>
          <w:szCs w:val="20"/>
        </w:rPr>
        <w:footnoteRef/>
      </w:r>
      <w:r w:rsidRPr="00F076FA">
        <w:rPr>
          <w:rFonts w:ascii="Times New Roman" w:hAnsi="Times New Roman" w:cs="Times New Roman"/>
          <w:sz w:val="20"/>
          <w:szCs w:val="20"/>
        </w:rPr>
        <w:t xml:space="preserve"> </w:t>
      </w:r>
      <w:r w:rsidRPr="00F076FA">
        <w:rPr>
          <w:rFonts w:ascii="Times New Roman" w:hAnsi="Times New Roman" w:cs="Times New Roman"/>
          <w:i/>
          <w:sz w:val="20"/>
          <w:szCs w:val="20"/>
        </w:rPr>
        <w:t>Ivi</w:t>
      </w:r>
      <w:r w:rsidRPr="00F076FA">
        <w:rPr>
          <w:rFonts w:ascii="Times New Roman" w:hAnsi="Times New Roman" w:cs="Times New Roman"/>
          <w:sz w:val="20"/>
          <w:szCs w:val="20"/>
        </w:rPr>
        <w:t>,</w:t>
      </w:r>
      <w:r w:rsidRPr="00F076FA">
        <w:rPr>
          <w:rFonts w:ascii="Times New Roman" w:hAnsi="Times New Roman" w:cs="Times New Roman"/>
          <w:sz w:val="20"/>
          <w:szCs w:val="20"/>
          <w:lang w:val="de-AT"/>
        </w:rPr>
        <w:t xml:space="preserve"> pp. 170-171.</w:t>
      </w:r>
    </w:p>
  </w:footnote>
  <w:footnote w:id="740">
    <w:p w14:paraId="27971080" w14:textId="77777777" w:rsidR="00B34CC2" w:rsidRPr="00CA0CB1" w:rsidRDefault="00B34CC2" w:rsidP="00F721A9">
      <w:pPr>
        <w:pStyle w:val="Testonotaapidipagina"/>
        <w:jc w:val="both"/>
      </w:pPr>
      <w:r w:rsidRPr="00CA0CB1">
        <w:rPr>
          <w:rStyle w:val="Rimandonotaapidipagina"/>
          <w:rFonts w:ascii="Times New Roman" w:hAnsi="Times New Roman" w:cs="Times New Roman"/>
          <w:sz w:val="20"/>
          <w:szCs w:val="20"/>
        </w:rPr>
        <w:footnoteRef/>
      </w:r>
      <w:r w:rsidRPr="00CA0CB1">
        <w:rPr>
          <w:rFonts w:ascii="Times New Roman" w:hAnsi="Times New Roman" w:cs="Times New Roman"/>
          <w:sz w:val="20"/>
          <w:szCs w:val="20"/>
        </w:rPr>
        <w:t xml:space="preserve"> </w:t>
      </w:r>
      <w:r w:rsidRPr="00F076FA">
        <w:rPr>
          <w:rFonts w:ascii="Times New Roman" w:hAnsi="Times New Roman" w:cs="Times New Roman"/>
          <w:i/>
          <w:sz w:val="20"/>
          <w:szCs w:val="20"/>
        </w:rPr>
        <w:t>Ivi</w:t>
      </w:r>
      <w:r w:rsidRPr="00F076FA">
        <w:rPr>
          <w:rFonts w:ascii="Times New Roman" w:hAnsi="Times New Roman" w:cs="Times New Roman"/>
          <w:sz w:val="20"/>
          <w:szCs w:val="20"/>
        </w:rPr>
        <w:t>,</w:t>
      </w:r>
      <w:r>
        <w:rPr>
          <w:rFonts w:ascii="Times New Roman" w:hAnsi="Times New Roman" w:cs="Times New Roman"/>
          <w:sz w:val="20"/>
          <w:szCs w:val="20"/>
          <w:lang w:val="de-AT"/>
        </w:rPr>
        <w:t xml:space="preserve"> </w:t>
      </w:r>
      <w:r w:rsidRPr="00F076FA">
        <w:rPr>
          <w:rFonts w:ascii="Times New Roman" w:hAnsi="Times New Roman" w:cs="Times New Roman"/>
          <w:sz w:val="20"/>
          <w:szCs w:val="20"/>
          <w:lang w:val="de-AT"/>
        </w:rPr>
        <w:t>p. 170</w:t>
      </w:r>
      <w:r>
        <w:rPr>
          <w:rFonts w:ascii="Times New Roman" w:hAnsi="Times New Roman" w:cs="Times New Roman"/>
          <w:sz w:val="20"/>
          <w:szCs w:val="20"/>
          <w:lang w:val="de-AT"/>
        </w:rPr>
        <w:t>.</w:t>
      </w:r>
    </w:p>
  </w:footnote>
  <w:footnote w:id="741">
    <w:p w14:paraId="6960D258" w14:textId="64B4FCB8" w:rsidR="00B34CC2" w:rsidRPr="006D5751" w:rsidRDefault="00B34CC2" w:rsidP="00F721A9">
      <w:pPr>
        <w:pStyle w:val="Testonotaapidipagina"/>
        <w:jc w:val="both"/>
      </w:pPr>
      <w:r w:rsidRPr="00CA0CB1">
        <w:rPr>
          <w:rStyle w:val="Rimandonotaapidipagina"/>
          <w:rFonts w:ascii="Times New Roman" w:hAnsi="Times New Roman" w:cs="Times New Roman"/>
          <w:sz w:val="20"/>
          <w:szCs w:val="20"/>
        </w:rPr>
        <w:footnoteRef/>
      </w:r>
      <w:r>
        <w:t xml:space="preserve"> </w:t>
      </w:r>
      <w:r w:rsidRPr="00F076FA">
        <w:rPr>
          <w:rFonts w:ascii="Times New Roman" w:hAnsi="Times New Roman" w:cs="Times New Roman"/>
          <w:i/>
          <w:sz w:val="20"/>
          <w:szCs w:val="20"/>
        </w:rPr>
        <w:t>I</w:t>
      </w:r>
      <w:r>
        <w:rPr>
          <w:rFonts w:ascii="Times New Roman" w:hAnsi="Times New Roman" w:cs="Times New Roman"/>
          <w:i/>
          <w:sz w:val="20"/>
          <w:szCs w:val="20"/>
        </w:rPr>
        <w:t>bidem</w:t>
      </w:r>
      <w:r>
        <w:rPr>
          <w:rFonts w:ascii="Times New Roman" w:hAnsi="Times New Roman" w:cs="Times New Roman"/>
          <w:sz w:val="20"/>
          <w:szCs w:val="20"/>
        </w:rPr>
        <w:t xml:space="preserve">: </w:t>
      </w:r>
      <w:r w:rsidRPr="006D5751">
        <w:rPr>
          <w:rFonts w:ascii="Times New Roman" w:hAnsi="Times New Roman" w:cs="Times New Roman"/>
          <w:sz w:val="20"/>
          <w:szCs w:val="20"/>
        </w:rPr>
        <w:t>«</w:t>
      </w:r>
      <w:r w:rsidRPr="006D5751">
        <w:rPr>
          <w:rFonts w:ascii="Times New Roman" w:hAnsi="Times New Roman" w:cs="Times New Roman"/>
          <w:sz w:val="20"/>
          <w:szCs w:val="20"/>
          <w:lang w:val="de-DE"/>
        </w:rPr>
        <w:t>Das Resultat aller Forschung uber dieselben ist, daß in dem zweiten Jahrhundert der christlichen Zeitrechnung von dem Rabbi Akibha und Simeon Ben Jochai die Bucher Jezirah und Sohar verfertiget, und wahrscheinlich in ihrer echten Gestalt nicht  uns gekommen sind».</w:t>
      </w:r>
    </w:p>
  </w:footnote>
  <w:footnote w:id="742">
    <w:p w14:paraId="42725DA0" w14:textId="77777777" w:rsidR="00B34CC2" w:rsidRDefault="00B34CC2" w:rsidP="00F721A9">
      <w:pPr>
        <w:pStyle w:val="Testonotaapidipagina"/>
        <w:jc w:val="both"/>
      </w:pPr>
      <w:r w:rsidRPr="008A2BAD">
        <w:rPr>
          <w:rStyle w:val="Rimandonotaapidipagina"/>
          <w:rFonts w:ascii="Times New Roman" w:hAnsi="Times New Roman" w:cs="Times New Roman"/>
          <w:sz w:val="20"/>
          <w:szCs w:val="20"/>
        </w:rPr>
        <w:footnoteRef/>
      </w:r>
      <w:r w:rsidRPr="008A2BAD">
        <w:rPr>
          <w:rFonts w:ascii="Times New Roman" w:hAnsi="Times New Roman" w:cs="Times New Roman"/>
          <w:sz w:val="20"/>
          <w:szCs w:val="20"/>
        </w:rPr>
        <w:t xml:space="preserve"> </w:t>
      </w:r>
      <w:r w:rsidRPr="00F076FA">
        <w:rPr>
          <w:rFonts w:ascii="Times New Roman" w:hAnsi="Times New Roman" w:cs="Times New Roman"/>
          <w:i/>
          <w:sz w:val="20"/>
          <w:szCs w:val="20"/>
        </w:rPr>
        <w:t>Ivi</w:t>
      </w:r>
      <w:r w:rsidRPr="00F076FA">
        <w:rPr>
          <w:rFonts w:ascii="Times New Roman" w:hAnsi="Times New Roman" w:cs="Times New Roman"/>
          <w:sz w:val="20"/>
          <w:szCs w:val="20"/>
        </w:rPr>
        <w:t>,</w:t>
      </w:r>
      <w:r>
        <w:rPr>
          <w:rFonts w:ascii="Times New Roman" w:hAnsi="Times New Roman" w:cs="Times New Roman"/>
          <w:sz w:val="20"/>
          <w:szCs w:val="20"/>
          <w:lang w:val="de-AT"/>
        </w:rPr>
        <w:t xml:space="preserve"> p. 171.</w:t>
      </w:r>
    </w:p>
  </w:footnote>
  <w:footnote w:id="743">
    <w:p w14:paraId="387E8CEE" w14:textId="77777777" w:rsidR="00B34CC2" w:rsidRPr="008A2BAD" w:rsidRDefault="00B34CC2" w:rsidP="00F721A9">
      <w:pPr>
        <w:pStyle w:val="Testonotaapidipagina"/>
        <w:jc w:val="both"/>
        <w:rPr>
          <w:rFonts w:ascii="Times New Roman" w:hAnsi="Times New Roman" w:cs="Times New Roman"/>
          <w:sz w:val="20"/>
          <w:szCs w:val="20"/>
        </w:rPr>
      </w:pPr>
      <w:r w:rsidRPr="008A2BAD">
        <w:rPr>
          <w:rStyle w:val="Rimandonotaapidipagina"/>
          <w:rFonts w:ascii="Times New Roman" w:hAnsi="Times New Roman" w:cs="Times New Roman"/>
          <w:sz w:val="20"/>
          <w:szCs w:val="20"/>
        </w:rPr>
        <w:footnoteRef/>
      </w:r>
      <w:r w:rsidRPr="008A2BAD">
        <w:rPr>
          <w:rFonts w:ascii="Times New Roman" w:hAnsi="Times New Roman" w:cs="Times New Roman"/>
          <w:sz w:val="20"/>
          <w:szCs w:val="20"/>
        </w:rPr>
        <w:t xml:space="preserve"> </w:t>
      </w:r>
      <w:r w:rsidRPr="00F076FA">
        <w:rPr>
          <w:rFonts w:ascii="Times New Roman" w:hAnsi="Times New Roman" w:cs="Times New Roman"/>
          <w:i/>
          <w:sz w:val="20"/>
          <w:szCs w:val="20"/>
        </w:rPr>
        <w:t>I</w:t>
      </w:r>
      <w:r>
        <w:rPr>
          <w:rFonts w:ascii="Times New Roman" w:hAnsi="Times New Roman" w:cs="Times New Roman"/>
          <w:i/>
          <w:sz w:val="20"/>
          <w:szCs w:val="20"/>
        </w:rPr>
        <w:t>bidem</w:t>
      </w:r>
      <w:r>
        <w:rPr>
          <w:rFonts w:ascii="Times New Roman" w:hAnsi="Times New Roman" w:cs="Times New Roman"/>
          <w:sz w:val="20"/>
          <w:szCs w:val="20"/>
        </w:rPr>
        <w:t>.</w:t>
      </w:r>
    </w:p>
  </w:footnote>
  <w:footnote w:id="744">
    <w:p w14:paraId="69F15D13" w14:textId="77777777" w:rsidR="00B34CC2" w:rsidRDefault="00B34CC2" w:rsidP="00F721A9">
      <w:pPr>
        <w:pStyle w:val="Testonotaapidipagina"/>
        <w:jc w:val="both"/>
      </w:pPr>
      <w:r w:rsidRPr="00750FB0">
        <w:rPr>
          <w:rStyle w:val="Rimandonotaapidipagina"/>
          <w:rFonts w:ascii="Times New Roman" w:hAnsi="Times New Roman" w:cs="Times New Roman"/>
          <w:sz w:val="20"/>
          <w:szCs w:val="20"/>
        </w:rPr>
        <w:footnoteRef/>
      </w:r>
      <w:r w:rsidRPr="00750FB0">
        <w:rPr>
          <w:rFonts w:ascii="Times New Roman" w:hAnsi="Times New Roman" w:cs="Times New Roman"/>
          <w:sz w:val="20"/>
          <w:szCs w:val="20"/>
        </w:rPr>
        <w:t xml:space="preserve"> </w:t>
      </w:r>
      <w:r w:rsidRPr="00F076FA">
        <w:rPr>
          <w:rFonts w:ascii="Times New Roman" w:hAnsi="Times New Roman" w:cs="Times New Roman"/>
          <w:i/>
          <w:sz w:val="20"/>
          <w:szCs w:val="20"/>
        </w:rPr>
        <w:t>I</w:t>
      </w:r>
      <w:r>
        <w:rPr>
          <w:rFonts w:ascii="Times New Roman" w:hAnsi="Times New Roman" w:cs="Times New Roman"/>
          <w:i/>
          <w:sz w:val="20"/>
          <w:szCs w:val="20"/>
        </w:rPr>
        <w:t>bidem</w:t>
      </w:r>
      <w:r>
        <w:rPr>
          <w:rFonts w:ascii="Times New Roman" w:hAnsi="Times New Roman" w:cs="Times New Roman"/>
          <w:sz w:val="20"/>
          <w:szCs w:val="20"/>
        </w:rPr>
        <w:t>.</w:t>
      </w:r>
    </w:p>
  </w:footnote>
  <w:footnote w:id="745">
    <w:p w14:paraId="0D113909" w14:textId="77777777" w:rsidR="00B34CC2" w:rsidRDefault="00B34CC2" w:rsidP="00F721A9">
      <w:pPr>
        <w:pStyle w:val="Testonotaapidipagina"/>
        <w:jc w:val="both"/>
      </w:pPr>
      <w:r w:rsidRPr="00394FA7">
        <w:rPr>
          <w:rStyle w:val="Rimandonotaapidipagina"/>
          <w:rFonts w:ascii="Times New Roman" w:hAnsi="Times New Roman" w:cs="Times New Roman"/>
          <w:sz w:val="20"/>
          <w:szCs w:val="20"/>
        </w:rPr>
        <w:footnoteRef/>
      </w:r>
      <w:r w:rsidRPr="00394FA7">
        <w:rPr>
          <w:rFonts w:ascii="Times New Roman" w:hAnsi="Times New Roman" w:cs="Times New Roman"/>
          <w:sz w:val="20"/>
          <w:szCs w:val="20"/>
        </w:rPr>
        <w:t xml:space="preserve"> </w:t>
      </w:r>
      <w:r w:rsidRPr="00F076FA">
        <w:rPr>
          <w:rFonts w:ascii="Times New Roman" w:hAnsi="Times New Roman" w:cs="Times New Roman"/>
          <w:i/>
          <w:sz w:val="20"/>
          <w:szCs w:val="20"/>
        </w:rPr>
        <w:t>Ivi</w:t>
      </w:r>
      <w:r w:rsidRPr="00F076FA">
        <w:rPr>
          <w:rFonts w:ascii="Times New Roman" w:hAnsi="Times New Roman" w:cs="Times New Roman"/>
          <w:sz w:val="20"/>
          <w:szCs w:val="20"/>
        </w:rPr>
        <w:t>,</w:t>
      </w:r>
      <w:r>
        <w:rPr>
          <w:rFonts w:ascii="Times New Roman" w:hAnsi="Times New Roman" w:cs="Times New Roman"/>
          <w:sz w:val="20"/>
          <w:szCs w:val="20"/>
          <w:lang w:val="de-AT"/>
        </w:rPr>
        <w:t xml:space="preserve"> pp. 171-172.</w:t>
      </w:r>
    </w:p>
  </w:footnote>
  <w:footnote w:id="746">
    <w:p w14:paraId="68C5CC88" w14:textId="77777777" w:rsidR="00B34CC2" w:rsidRPr="00174531" w:rsidRDefault="00B34CC2" w:rsidP="00F721A9">
      <w:pPr>
        <w:pStyle w:val="Testonotaapidipagina"/>
        <w:jc w:val="both"/>
        <w:rPr>
          <w:rFonts w:ascii="Times New Roman" w:hAnsi="Times New Roman" w:cs="Times New Roman"/>
          <w:sz w:val="20"/>
          <w:szCs w:val="20"/>
        </w:rPr>
      </w:pPr>
      <w:r w:rsidRPr="00174531">
        <w:rPr>
          <w:rStyle w:val="Rimandonotaapidipagina"/>
          <w:rFonts w:ascii="Times New Roman" w:hAnsi="Times New Roman" w:cs="Times New Roman"/>
          <w:sz w:val="20"/>
          <w:szCs w:val="20"/>
        </w:rPr>
        <w:footnoteRef/>
      </w:r>
      <w:r w:rsidRPr="00174531">
        <w:rPr>
          <w:rFonts w:ascii="Times New Roman" w:hAnsi="Times New Roman" w:cs="Times New Roman"/>
          <w:sz w:val="20"/>
          <w:szCs w:val="20"/>
        </w:rPr>
        <w:t xml:space="preserve"> </w:t>
      </w:r>
      <w:r w:rsidRPr="00F076FA">
        <w:rPr>
          <w:rFonts w:ascii="Times New Roman" w:hAnsi="Times New Roman" w:cs="Times New Roman"/>
          <w:i/>
          <w:sz w:val="20"/>
          <w:szCs w:val="20"/>
        </w:rPr>
        <w:t>Ivi</w:t>
      </w:r>
      <w:r w:rsidRPr="00F076FA">
        <w:rPr>
          <w:rFonts w:ascii="Times New Roman" w:hAnsi="Times New Roman" w:cs="Times New Roman"/>
          <w:sz w:val="20"/>
          <w:szCs w:val="20"/>
        </w:rPr>
        <w:t>,</w:t>
      </w:r>
      <w:r>
        <w:rPr>
          <w:rFonts w:ascii="Times New Roman" w:hAnsi="Times New Roman" w:cs="Times New Roman"/>
          <w:sz w:val="20"/>
          <w:szCs w:val="20"/>
          <w:lang w:val="de-AT"/>
        </w:rPr>
        <w:t xml:space="preserve"> p. 172.</w:t>
      </w:r>
    </w:p>
  </w:footnote>
  <w:footnote w:id="747">
    <w:p w14:paraId="07447B70" w14:textId="77777777" w:rsidR="00B34CC2" w:rsidRPr="001058E7" w:rsidRDefault="00B34CC2" w:rsidP="00F721A9">
      <w:pPr>
        <w:pStyle w:val="Testonotaapidipagina"/>
        <w:jc w:val="both"/>
        <w:rPr>
          <w:rFonts w:ascii="Times New Roman" w:hAnsi="Times New Roman" w:cs="Times New Roman"/>
          <w:sz w:val="20"/>
          <w:szCs w:val="20"/>
        </w:rPr>
      </w:pPr>
      <w:r w:rsidRPr="001058E7">
        <w:rPr>
          <w:rStyle w:val="Rimandonotaapidipagina"/>
          <w:rFonts w:ascii="Times New Roman" w:hAnsi="Times New Roman" w:cs="Times New Roman"/>
          <w:sz w:val="20"/>
          <w:szCs w:val="20"/>
        </w:rPr>
        <w:footnoteRef/>
      </w:r>
      <w:r w:rsidRPr="001058E7">
        <w:rPr>
          <w:rFonts w:ascii="Times New Roman" w:hAnsi="Times New Roman" w:cs="Times New Roman"/>
          <w:sz w:val="20"/>
          <w:szCs w:val="20"/>
        </w:rPr>
        <w:t xml:space="preserve"> </w:t>
      </w:r>
      <w:r w:rsidRPr="001058E7">
        <w:rPr>
          <w:rFonts w:ascii="Times New Roman" w:hAnsi="Times New Roman" w:cs="Times New Roman"/>
          <w:i/>
          <w:sz w:val="20"/>
          <w:szCs w:val="20"/>
        </w:rPr>
        <w:t>Ivi</w:t>
      </w:r>
      <w:r w:rsidRPr="001058E7">
        <w:rPr>
          <w:rFonts w:ascii="Times New Roman" w:hAnsi="Times New Roman" w:cs="Times New Roman"/>
          <w:sz w:val="20"/>
          <w:szCs w:val="20"/>
        </w:rPr>
        <w:t>,</w:t>
      </w:r>
      <w:r w:rsidRPr="001058E7">
        <w:rPr>
          <w:rFonts w:ascii="Times New Roman" w:hAnsi="Times New Roman" w:cs="Times New Roman"/>
          <w:sz w:val="20"/>
          <w:szCs w:val="20"/>
          <w:lang w:val="de-AT"/>
        </w:rPr>
        <w:t xml:space="preserve"> p. 172.</w:t>
      </w:r>
    </w:p>
  </w:footnote>
  <w:footnote w:id="748">
    <w:p w14:paraId="69403F18" w14:textId="77777777" w:rsidR="00B34CC2" w:rsidRDefault="00B34CC2" w:rsidP="00F721A9">
      <w:pPr>
        <w:pStyle w:val="Testonotaapidipagina"/>
        <w:jc w:val="both"/>
      </w:pPr>
      <w:r w:rsidRPr="001058E7">
        <w:rPr>
          <w:rStyle w:val="Rimandonotaapidipagina"/>
          <w:rFonts w:ascii="Times New Roman" w:hAnsi="Times New Roman" w:cs="Times New Roman"/>
          <w:sz w:val="20"/>
          <w:szCs w:val="20"/>
        </w:rPr>
        <w:footnoteRef/>
      </w:r>
      <w:r w:rsidRPr="001058E7">
        <w:rPr>
          <w:rFonts w:ascii="Times New Roman" w:hAnsi="Times New Roman" w:cs="Times New Roman"/>
          <w:sz w:val="20"/>
          <w:szCs w:val="20"/>
        </w:rPr>
        <w:t xml:space="preserve"> </w:t>
      </w:r>
      <w:r w:rsidRPr="001058E7">
        <w:rPr>
          <w:rFonts w:ascii="Times New Roman" w:hAnsi="Times New Roman" w:cs="Times New Roman"/>
          <w:i/>
          <w:sz w:val="20"/>
          <w:szCs w:val="20"/>
        </w:rPr>
        <w:t>Ivi</w:t>
      </w:r>
      <w:r w:rsidRPr="001058E7">
        <w:rPr>
          <w:rFonts w:ascii="Times New Roman" w:hAnsi="Times New Roman" w:cs="Times New Roman"/>
          <w:sz w:val="20"/>
          <w:szCs w:val="20"/>
        </w:rPr>
        <w:t>,</w:t>
      </w:r>
      <w:r w:rsidRPr="001058E7">
        <w:rPr>
          <w:rFonts w:ascii="Times New Roman" w:hAnsi="Times New Roman" w:cs="Times New Roman"/>
          <w:sz w:val="20"/>
          <w:szCs w:val="20"/>
          <w:lang w:val="de-AT"/>
        </w:rPr>
        <w:t xml:space="preserve"> p. 173.</w:t>
      </w:r>
    </w:p>
  </w:footnote>
  <w:footnote w:id="749">
    <w:p w14:paraId="60C15987" w14:textId="77777777" w:rsidR="00B34CC2" w:rsidRPr="00A31D6B" w:rsidRDefault="00B34CC2" w:rsidP="00F721A9">
      <w:pPr>
        <w:pStyle w:val="Testonotaapidipagina"/>
        <w:jc w:val="both"/>
        <w:rPr>
          <w:rFonts w:ascii="Times New Roman" w:hAnsi="Times New Roman" w:cs="Times New Roman"/>
          <w:sz w:val="20"/>
          <w:szCs w:val="20"/>
        </w:rPr>
      </w:pPr>
      <w:r w:rsidRPr="00A31D6B">
        <w:rPr>
          <w:rStyle w:val="Rimandonotaapidipagina"/>
          <w:rFonts w:ascii="Times New Roman" w:hAnsi="Times New Roman" w:cs="Times New Roman"/>
          <w:sz w:val="20"/>
          <w:szCs w:val="20"/>
        </w:rPr>
        <w:footnoteRef/>
      </w:r>
      <w:r w:rsidRPr="00A31D6B">
        <w:rPr>
          <w:rFonts w:ascii="Times New Roman" w:hAnsi="Times New Roman" w:cs="Times New Roman"/>
          <w:sz w:val="20"/>
          <w:szCs w:val="20"/>
        </w:rPr>
        <w:t xml:space="preserve"> </w:t>
      </w:r>
      <w:r w:rsidRPr="00A31D6B">
        <w:rPr>
          <w:rFonts w:ascii="Times New Roman" w:hAnsi="Times New Roman" w:cs="Times New Roman"/>
          <w:i/>
          <w:sz w:val="20"/>
          <w:szCs w:val="20"/>
        </w:rPr>
        <w:t>Ivi</w:t>
      </w:r>
      <w:r w:rsidRPr="00A31D6B">
        <w:rPr>
          <w:rFonts w:ascii="Times New Roman" w:hAnsi="Times New Roman" w:cs="Times New Roman"/>
          <w:sz w:val="20"/>
          <w:szCs w:val="20"/>
        </w:rPr>
        <w:t>, p. 175.</w:t>
      </w:r>
    </w:p>
  </w:footnote>
  <w:footnote w:id="750">
    <w:p w14:paraId="749479C4" w14:textId="77777777" w:rsidR="00B34CC2" w:rsidRPr="00542E0F" w:rsidRDefault="00B34CC2" w:rsidP="00F721A9">
      <w:pPr>
        <w:pStyle w:val="Testonotaapidipagina"/>
        <w:jc w:val="both"/>
        <w:rPr>
          <w:rFonts w:ascii="Times New Roman" w:hAnsi="Times New Roman" w:cs="Times New Roman"/>
          <w:sz w:val="20"/>
          <w:szCs w:val="20"/>
        </w:rPr>
      </w:pPr>
      <w:r w:rsidRPr="00542E0F">
        <w:rPr>
          <w:rStyle w:val="Rimandonotaapidipagina"/>
          <w:rFonts w:ascii="Times New Roman" w:hAnsi="Times New Roman" w:cs="Times New Roman"/>
          <w:sz w:val="20"/>
          <w:szCs w:val="20"/>
        </w:rPr>
        <w:footnoteRef/>
      </w:r>
      <w:r>
        <w:t xml:space="preserve"> </w:t>
      </w:r>
      <w:r>
        <w:rPr>
          <w:rFonts w:ascii="Times New Roman" w:hAnsi="Times New Roman" w:cs="Times New Roman"/>
          <w:i/>
          <w:sz w:val="20"/>
          <w:szCs w:val="20"/>
        </w:rPr>
        <w:t>Ibidem</w:t>
      </w:r>
      <w:r>
        <w:rPr>
          <w:rFonts w:ascii="Times New Roman" w:hAnsi="Times New Roman" w:cs="Times New Roman"/>
          <w:sz w:val="20"/>
          <w:szCs w:val="20"/>
        </w:rPr>
        <w:t>.</w:t>
      </w:r>
    </w:p>
  </w:footnote>
  <w:footnote w:id="751">
    <w:p w14:paraId="7F10395A" w14:textId="77777777" w:rsidR="00B34CC2" w:rsidRPr="00542E0F" w:rsidRDefault="00B34CC2" w:rsidP="00F721A9">
      <w:pPr>
        <w:pStyle w:val="Testonotaapidipagina"/>
        <w:jc w:val="both"/>
        <w:rPr>
          <w:rFonts w:ascii="Times New Roman" w:hAnsi="Times New Roman" w:cs="Times New Roman"/>
          <w:sz w:val="20"/>
          <w:szCs w:val="20"/>
        </w:rPr>
      </w:pPr>
      <w:r w:rsidRPr="00542E0F">
        <w:rPr>
          <w:rStyle w:val="Rimandonotaapidipagina"/>
          <w:rFonts w:ascii="Times New Roman" w:hAnsi="Times New Roman" w:cs="Times New Roman"/>
          <w:sz w:val="20"/>
          <w:szCs w:val="20"/>
        </w:rPr>
        <w:footnoteRef/>
      </w:r>
      <w:r w:rsidRPr="00542E0F">
        <w:rPr>
          <w:rFonts w:ascii="Times New Roman" w:hAnsi="Times New Roman" w:cs="Times New Roman"/>
          <w:sz w:val="20"/>
          <w:szCs w:val="20"/>
        </w:rPr>
        <w:t xml:space="preserve"> </w:t>
      </w:r>
      <w:r>
        <w:rPr>
          <w:rFonts w:ascii="Times New Roman" w:hAnsi="Times New Roman" w:cs="Times New Roman"/>
          <w:i/>
          <w:sz w:val="20"/>
          <w:szCs w:val="20"/>
        </w:rPr>
        <w:t>Ibidem</w:t>
      </w:r>
      <w:r>
        <w:rPr>
          <w:rFonts w:ascii="Times New Roman" w:hAnsi="Times New Roman" w:cs="Times New Roman"/>
          <w:sz w:val="20"/>
          <w:szCs w:val="20"/>
        </w:rPr>
        <w:t>.</w:t>
      </w:r>
    </w:p>
  </w:footnote>
  <w:footnote w:id="752">
    <w:p w14:paraId="2C753A4B" w14:textId="77777777" w:rsidR="00B34CC2" w:rsidRPr="00EE13AC" w:rsidRDefault="00B34CC2" w:rsidP="00F721A9">
      <w:pPr>
        <w:pStyle w:val="Testonotaapidipagina"/>
        <w:jc w:val="both"/>
        <w:rPr>
          <w:rFonts w:ascii="Times New Roman" w:hAnsi="Times New Roman" w:cs="Times New Roman"/>
          <w:sz w:val="20"/>
          <w:szCs w:val="20"/>
          <w:lang w:val="de-DE"/>
        </w:rPr>
      </w:pPr>
      <w:r w:rsidRPr="00770C11">
        <w:rPr>
          <w:rStyle w:val="Rimandonotaapidipagina"/>
          <w:rFonts w:ascii="Times New Roman" w:hAnsi="Times New Roman" w:cs="Times New Roman"/>
          <w:sz w:val="20"/>
          <w:szCs w:val="20"/>
        </w:rPr>
        <w:footnoteRef/>
      </w:r>
      <w:r w:rsidRPr="00770C11">
        <w:rPr>
          <w:rFonts w:ascii="Times New Roman" w:hAnsi="Times New Roman" w:cs="Times New Roman"/>
          <w:sz w:val="20"/>
          <w:szCs w:val="20"/>
        </w:rPr>
        <w:t xml:space="preserve"> </w:t>
      </w:r>
      <w:r>
        <w:rPr>
          <w:rFonts w:ascii="Times New Roman" w:hAnsi="Times New Roman" w:cs="Times New Roman"/>
          <w:i/>
          <w:sz w:val="20"/>
          <w:szCs w:val="20"/>
        </w:rPr>
        <w:t>Ivi</w:t>
      </w:r>
      <w:r>
        <w:rPr>
          <w:rFonts w:ascii="Times New Roman" w:hAnsi="Times New Roman" w:cs="Times New Roman"/>
          <w:sz w:val="20"/>
          <w:szCs w:val="20"/>
        </w:rPr>
        <w:t xml:space="preserve">, pp. 175-176: </w:t>
      </w:r>
      <w:r w:rsidRPr="00EE13AC">
        <w:rPr>
          <w:rFonts w:ascii="Times New Roman" w:hAnsi="Times New Roman" w:cs="Times New Roman"/>
          <w:sz w:val="20"/>
          <w:szCs w:val="20"/>
        </w:rPr>
        <w:t>«</w:t>
      </w:r>
      <w:r w:rsidRPr="00EE13AC">
        <w:rPr>
          <w:rFonts w:ascii="Times New Roman" w:hAnsi="Times New Roman" w:cs="Times New Roman"/>
          <w:sz w:val="20"/>
          <w:szCs w:val="20"/>
          <w:lang w:val="de-DE"/>
        </w:rPr>
        <w:t>Auch kann von der vollkommensten Ursache nur das vollkommenste Verursachte, welches nur einzig ist, hervorkommen. Dieses erste Verursachte, welches die altern Cabbalisten die höchste Krone (Keter), die späteren, als Simeon Jochai, Adam Kadmon, den ersten Menschen nennen, ist das Prototypon alles Möglichen, welches nach der Aehnlichkeit der ersten Ursache alle übrigen Dinge hervorgebracht hat».</w:t>
      </w:r>
    </w:p>
  </w:footnote>
  <w:footnote w:id="753">
    <w:p w14:paraId="284A07D2" w14:textId="77777777" w:rsidR="00B34CC2" w:rsidRPr="0023311C" w:rsidRDefault="00B34CC2" w:rsidP="00F721A9">
      <w:pPr>
        <w:pStyle w:val="Testonotaapidipagina"/>
        <w:jc w:val="both"/>
        <w:rPr>
          <w:rFonts w:ascii="Times New Roman" w:hAnsi="Times New Roman" w:cs="Times New Roman"/>
          <w:sz w:val="20"/>
          <w:szCs w:val="20"/>
        </w:rPr>
      </w:pPr>
      <w:r w:rsidRPr="0023311C">
        <w:rPr>
          <w:rStyle w:val="Rimandonotaapidipagina"/>
          <w:rFonts w:ascii="Times New Roman" w:hAnsi="Times New Roman" w:cs="Times New Roman"/>
          <w:sz w:val="20"/>
          <w:szCs w:val="20"/>
        </w:rPr>
        <w:footnoteRef/>
      </w:r>
      <w:r w:rsidRPr="0023311C">
        <w:rPr>
          <w:rFonts w:ascii="Times New Roman" w:hAnsi="Times New Roman" w:cs="Times New Roman"/>
          <w:sz w:val="20"/>
          <w:szCs w:val="20"/>
        </w:rPr>
        <w:t xml:space="preserve"> </w:t>
      </w:r>
      <w:r>
        <w:rPr>
          <w:rFonts w:ascii="Times New Roman" w:hAnsi="Times New Roman" w:cs="Times New Roman"/>
          <w:i/>
          <w:sz w:val="20"/>
          <w:szCs w:val="20"/>
        </w:rPr>
        <w:t>Ivi</w:t>
      </w:r>
      <w:r>
        <w:rPr>
          <w:rFonts w:ascii="Times New Roman" w:hAnsi="Times New Roman" w:cs="Times New Roman"/>
          <w:sz w:val="20"/>
          <w:szCs w:val="20"/>
        </w:rPr>
        <w:t>, pp. 178-179.</w:t>
      </w:r>
    </w:p>
  </w:footnote>
  <w:footnote w:id="754">
    <w:p w14:paraId="3B1ABC16" w14:textId="77777777" w:rsidR="00B34CC2" w:rsidRPr="00910D68" w:rsidRDefault="00B34CC2" w:rsidP="00F721A9">
      <w:pPr>
        <w:pStyle w:val="Testonotaapidipagina"/>
        <w:jc w:val="both"/>
        <w:rPr>
          <w:rFonts w:ascii="Times New Roman" w:hAnsi="Times New Roman" w:cs="Times New Roman"/>
          <w:sz w:val="20"/>
          <w:szCs w:val="20"/>
        </w:rPr>
      </w:pPr>
      <w:r w:rsidRPr="00910D68">
        <w:rPr>
          <w:rStyle w:val="Rimandonotaapidipagina"/>
          <w:rFonts w:ascii="Times New Roman" w:hAnsi="Times New Roman" w:cs="Times New Roman"/>
          <w:sz w:val="20"/>
          <w:szCs w:val="20"/>
        </w:rPr>
        <w:footnoteRef/>
      </w:r>
      <w:r w:rsidRPr="00910D68">
        <w:rPr>
          <w:rFonts w:ascii="Times New Roman" w:hAnsi="Times New Roman" w:cs="Times New Roman"/>
          <w:sz w:val="20"/>
          <w:szCs w:val="20"/>
        </w:rPr>
        <w:t xml:space="preserve"> </w:t>
      </w:r>
      <w:r w:rsidRPr="00910D68">
        <w:rPr>
          <w:rFonts w:ascii="Times New Roman" w:hAnsi="Times New Roman" w:cs="Times New Roman"/>
          <w:i/>
          <w:sz w:val="20"/>
          <w:szCs w:val="20"/>
        </w:rPr>
        <w:t>Ibidem</w:t>
      </w:r>
      <w:r w:rsidRPr="00910D68">
        <w:rPr>
          <w:rFonts w:ascii="Times New Roman" w:hAnsi="Times New Roman" w:cs="Times New Roman"/>
          <w:sz w:val="20"/>
          <w:szCs w:val="20"/>
        </w:rPr>
        <w:t>.</w:t>
      </w:r>
    </w:p>
  </w:footnote>
  <w:footnote w:id="755">
    <w:p w14:paraId="0BAE65B2" w14:textId="77777777" w:rsidR="00B34CC2" w:rsidRPr="0000124F" w:rsidRDefault="00B34CC2" w:rsidP="00F721A9">
      <w:pPr>
        <w:pStyle w:val="Testonotaapidipagina"/>
        <w:jc w:val="both"/>
        <w:rPr>
          <w:rFonts w:ascii="Times New Roman" w:hAnsi="Times New Roman" w:cs="Times New Roman"/>
          <w:sz w:val="20"/>
          <w:szCs w:val="20"/>
        </w:rPr>
      </w:pPr>
      <w:r w:rsidRPr="0000124F">
        <w:rPr>
          <w:rStyle w:val="Rimandonotaapidipagina"/>
          <w:rFonts w:ascii="Times New Roman" w:hAnsi="Times New Roman" w:cs="Times New Roman"/>
          <w:sz w:val="20"/>
          <w:szCs w:val="20"/>
        </w:rPr>
        <w:footnoteRef/>
      </w:r>
      <w:r w:rsidRPr="0000124F">
        <w:rPr>
          <w:rFonts w:ascii="Times New Roman" w:hAnsi="Times New Roman" w:cs="Times New Roman"/>
          <w:i/>
          <w:sz w:val="20"/>
          <w:szCs w:val="20"/>
        </w:rPr>
        <w:t xml:space="preserve"> Ivi</w:t>
      </w:r>
      <w:r w:rsidRPr="0000124F">
        <w:rPr>
          <w:rFonts w:ascii="Times New Roman" w:hAnsi="Times New Roman" w:cs="Times New Roman"/>
          <w:sz w:val="20"/>
          <w:szCs w:val="20"/>
        </w:rPr>
        <w:t>, p. 180</w:t>
      </w:r>
    </w:p>
  </w:footnote>
  <w:footnote w:id="756">
    <w:p w14:paraId="3C801F01" w14:textId="3F508601" w:rsidR="00B34CC2" w:rsidRPr="00AA01FB" w:rsidRDefault="00B34CC2" w:rsidP="00F721A9">
      <w:pPr>
        <w:pStyle w:val="Testonotaapidipagina"/>
        <w:jc w:val="both"/>
        <w:rPr>
          <w:rFonts w:ascii="Times New Roman" w:hAnsi="Times New Roman" w:cs="Times New Roman"/>
          <w:sz w:val="20"/>
          <w:szCs w:val="20"/>
        </w:rPr>
      </w:pPr>
      <w:r w:rsidRPr="00AA01FB">
        <w:rPr>
          <w:rStyle w:val="Rimandonotaapidipagina"/>
          <w:rFonts w:ascii="Times New Roman" w:hAnsi="Times New Roman" w:cs="Times New Roman"/>
          <w:sz w:val="20"/>
          <w:szCs w:val="20"/>
        </w:rPr>
        <w:footnoteRef/>
      </w:r>
      <w:r w:rsidRPr="00AA01FB">
        <w:rPr>
          <w:rFonts w:ascii="Times New Roman" w:hAnsi="Times New Roman" w:cs="Times New Roman"/>
          <w:sz w:val="20"/>
          <w:szCs w:val="20"/>
        </w:rPr>
        <w:t xml:space="preserve"> </w:t>
      </w:r>
      <w:r>
        <w:rPr>
          <w:rFonts w:ascii="Times New Roman" w:hAnsi="Times New Roman" w:cs="Times New Roman"/>
          <w:sz w:val="20"/>
          <w:szCs w:val="20"/>
        </w:rPr>
        <w:t xml:space="preserve">W.G. Tennemann, </w:t>
      </w:r>
      <w:r w:rsidRPr="00AA01FB">
        <w:rPr>
          <w:rFonts w:ascii="Times New Roman" w:hAnsi="Times New Roman" w:cs="Times New Roman"/>
          <w:i/>
          <w:sz w:val="20"/>
          <w:szCs w:val="20"/>
        </w:rPr>
        <w:t>Geschichte der Philosophie</w:t>
      </w:r>
      <w:r>
        <w:rPr>
          <w:rFonts w:ascii="Times New Roman" w:hAnsi="Times New Roman" w:cs="Times New Roman"/>
          <w:sz w:val="20"/>
          <w:szCs w:val="20"/>
        </w:rPr>
        <w:t>, Bd. X, Leipzig 1817, p. 390.</w:t>
      </w:r>
    </w:p>
  </w:footnote>
  <w:footnote w:id="757">
    <w:p w14:paraId="1A322BD4" w14:textId="77777777" w:rsidR="00B34CC2" w:rsidRPr="00792A4C" w:rsidRDefault="00B34CC2" w:rsidP="00F721A9">
      <w:pPr>
        <w:pStyle w:val="Testonotaapidipagina"/>
        <w:jc w:val="both"/>
        <w:rPr>
          <w:rFonts w:ascii="Times New Roman" w:hAnsi="Times New Roman" w:cs="Times New Roman"/>
          <w:sz w:val="20"/>
          <w:szCs w:val="20"/>
        </w:rPr>
      </w:pPr>
      <w:r w:rsidRPr="00792A4C">
        <w:rPr>
          <w:rStyle w:val="Rimandonotaapidipagina"/>
          <w:rFonts w:ascii="Times New Roman" w:hAnsi="Times New Roman" w:cs="Times New Roman"/>
          <w:sz w:val="20"/>
          <w:szCs w:val="20"/>
        </w:rPr>
        <w:footnoteRef/>
      </w:r>
      <w:r w:rsidRPr="00792A4C">
        <w:rPr>
          <w:rFonts w:ascii="Times New Roman" w:hAnsi="Times New Roman" w:cs="Times New Roman"/>
          <w:sz w:val="20"/>
          <w:szCs w:val="20"/>
        </w:rPr>
        <w:t xml:space="preserve"> </w:t>
      </w:r>
      <w:r>
        <w:rPr>
          <w:rFonts w:ascii="Times New Roman" w:hAnsi="Times New Roman" w:cs="Times New Roman"/>
          <w:i/>
          <w:sz w:val="20"/>
          <w:szCs w:val="20"/>
        </w:rPr>
        <w:t>Ivi</w:t>
      </w:r>
      <w:r>
        <w:rPr>
          <w:rFonts w:ascii="Times New Roman" w:hAnsi="Times New Roman" w:cs="Times New Roman"/>
          <w:sz w:val="20"/>
          <w:szCs w:val="20"/>
        </w:rPr>
        <w:t>, p. 391.</w:t>
      </w:r>
    </w:p>
  </w:footnote>
  <w:footnote w:id="758">
    <w:p w14:paraId="11C81BEA" w14:textId="77777777" w:rsidR="00B34CC2" w:rsidRPr="001E4C44" w:rsidRDefault="00B34CC2" w:rsidP="00F721A9">
      <w:pPr>
        <w:pStyle w:val="Testonotaapidipagina"/>
        <w:jc w:val="both"/>
      </w:pPr>
      <w:r w:rsidRPr="001E4C44">
        <w:rPr>
          <w:rStyle w:val="Rimandonotaapidipagina"/>
          <w:rFonts w:ascii="Times New Roman" w:hAnsi="Times New Roman" w:cs="Times New Roman"/>
          <w:sz w:val="20"/>
          <w:szCs w:val="20"/>
        </w:rPr>
        <w:footnoteRef/>
      </w:r>
      <w:r w:rsidRPr="001E4C44">
        <w:t xml:space="preserve"> </w:t>
      </w:r>
      <w:r w:rsidRPr="001E4C44">
        <w:rPr>
          <w:rFonts w:ascii="Times New Roman" w:hAnsi="Times New Roman" w:cs="Times New Roman"/>
          <w:i/>
          <w:sz w:val="20"/>
          <w:szCs w:val="20"/>
        </w:rPr>
        <w:t>Ivi</w:t>
      </w:r>
      <w:r w:rsidRPr="001E4C44">
        <w:rPr>
          <w:rFonts w:ascii="Times New Roman" w:hAnsi="Times New Roman" w:cs="Times New Roman"/>
          <w:sz w:val="20"/>
          <w:szCs w:val="20"/>
        </w:rPr>
        <w:t>, p. 392.</w:t>
      </w:r>
    </w:p>
  </w:footnote>
  <w:footnote w:id="759">
    <w:p w14:paraId="44E3A6D1" w14:textId="77777777" w:rsidR="00B34CC2" w:rsidRPr="001E4C44" w:rsidRDefault="00B34CC2" w:rsidP="00F721A9">
      <w:pPr>
        <w:pStyle w:val="Testonotaapidipagina"/>
        <w:jc w:val="both"/>
        <w:rPr>
          <w:rFonts w:ascii="Times New Roman" w:hAnsi="Times New Roman" w:cs="Times New Roman"/>
          <w:sz w:val="20"/>
          <w:szCs w:val="20"/>
        </w:rPr>
      </w:pPr>
      <w:r w:rsidRPr="001E4C44">
        <w:rPr>
          <w:rStyle w:val="Rimandonotaapidipagina"/>
          <w:rFonts w:ascii="Times New Roman" w:hAnsi="Times New Roman" w:cs="Times New Roman"/>
          <w:sz w:val="20"/>
          <w:szCs w:val="20"/>
        </w:rPr>
        <w:footnoteRef/>
      </w:r>
      <w:r w:rsidRPr="001E4C44">
        <w:rPr>
          <w:rFonts w:ascii="Times New Roman" w:hAnsi="Times New Roman" w:cs="Times New Roman"/>
          <w:sz w:val="20"/>
          <w:szCs w:val="20"/>
        </w:rPr>
        <w:t xml:space="preserve"> I. Kant, </w:t>
      </w:r>
      <w:r w:rsidRPr="001E4C44">
        <w:rPr>
          <w:rFonts w:ascii="Times New Roman" w:hAnsi="Times New Roman" w:cs="Times New Roman"/>
          <w:i/>
          <w:sz w:val="20"/>
          <w:szCs w:val="20"/>
        </w:rPr>
        <w:t>Kritik der reinen Vernunft</w:t>
      </w:r>
      <w:r w:rsidRPr="001E4C44">
        <w:rPr>
          <w:rFonts w:ascii="Times New Roman" w:hAnsi="Times New Roman" w:cs="Times New Roman"/>
          <w:sz w:val="20"/>
          <w:szCs w:val="20"/>
        </w:rPr>
        <w:t>, cit., p. 538.</w:t>
      </w:r>
    </w:p>
  </w:footnote>
  <w:footnote w:id="760">
    <w:p w14:paraId="6C836C5A" w14:textId="06B1FFF2" w:rsidR="00B34CC2" w:rsidRPr="001E4C44" w:rsidRDefault="00B34CC2" w:rsidP="00F721A9">
      <w:pPr>
        <w:pStyle w:val="Testonotaapidipagina"/>
        <w:jc w:val="both"/>
        <w:rPr>
          <w:rFonts w:ascii="Times New Roman" w:hAnsi="Times New Roman" w:cs="Times New Roman"/>
          <w:sz w:val="20"/>
          <w:szCs w:val="20"/>
        </w:rPr>
      </w:pPr>
      <w:r w:rsidRPr="001E4C44">
        <w:rPr>
          <w:rStyle w:val="Rimandonotaapidipagina"/>
          <w:rFonts w:ascii="Times New Roman" w:hAnsi="Times New Roman" w:cs="Times New Roman"/>
          <w:sz w:val="20"/>
          <w:szCs w:val="20"/>
        </w:rPr>
        <w:footnoteRef/>
      </w:r>
      <w:r w:rsidRPr="001E4C44">
        <w:rPr>
          <w:rFonts w:ascii="Times New Roman" w:hAnsi="Times New Roman" w:cs="Times New Roman"/>
          <w:sz w:val="20"/>
          <w:szCs w:val="20"/>
        </w:rPr>
        <w:t xml:space="preserve"> Cfr. </w:t>
      </w:r>
      <w:r w:rsidRPr="001E4C44">
        <w:rPr>
          <w:rFonts w:ascii="Times New Roman" w:hAnsi="Times New Roman" w:cs="Times New Roman"/>
          <w:i/>
          <w:sz w:val="20"/>
          <w:szCs w:val="20"/>
        </w:rPr>
        <w:t>supra</w:t>
      </w:r>
      <w:r>
        <w:rPr>
          <w:rFonts w:ascii="Times New Roman" w:hAnsi="Times New Roman" w:cs="Times New Roman"/>
          <w:sz w:val="20"/>
          <w:szCs w:val="20"/>
        </w:rPr>
        <w:t>, pp. 233-235</w:t>
      </w:r>
      <w:r w:rsidRPr="001E4C44">
        <w:rPr>
          <w:rFonts w:ascii="Times New Roman" w:hAnsi="Times New Roman" w:cs="Times New Roman"/>
          <w:sz w:val="20"/>
          <w:szCs w:val="20"/>
        </w:rPr>
        <w:t>.</w:t>
      </w:r>
    </w:p>
  </w:footnote>
  <w:footnote w:id="761">
    <w:p w14:paraId="6A128800" w14:textId="01CF1D3A" w:rsidR="00B34CC2" w:rsidRPr="008F2507" w:rsidRDefault="00B34CC2" w:rsidP="00F721A9">
      <w:pPr>
        <w:pStyle w:val="Testonotaapidipagina"/>
        <w:jc w:val="both"/>
        <w:rPr>
          <w:rFonts w:ascii="Times New Roman" w:hAnsi="Times New Roman"/>
          <w:sz w:val="20"/>
          <w:szCs w:val="20"/>
        </w:rPr>
      </w:pPr>
      <w:r w:rsidRPr="00844BCF">
        <w:rPr>
          <w:rStyle w:val="Rimandonotaapidipagina"/>
          <w:rFonts w:ascii="Times New Roman" w:hAnsi="Times New Roman"/>
          <w:sz w:val="20"/>
          <w:szCs w:val="20"/>
        </w:rPr>
        <w:footnoteRef/>
      </w:r>
      <w:r w:rsidRPr="00844BCF">
        <w:rPr>
          <w:rFonts w:ascii="Times New Roman" w:hAnsi="Times New Roman"/>
          <w:sz w:val="20"/>
          <w:szCs w:val="20"/>
        </w:rPr>
        <w:t xml:space="preserve"> </w:t>
      </w:r>
      <w:r w:rsidRPr="00844BCF">
        <w:rPr>
          <w:rFonts w:ascii="Times New Roman" w:hAnsi="Times New Roman" w:cs="Times New Roman"/>
          <w:sz w:val="20"/>
          <w:szCs w:val="20"/>
        </w:rPr>
        <w:t xml:space="preserve">W.G. </w:t>
      </w:r>
      <w:r>
        <w:rPr>
          <w:rFonts w:ascii="Times New Roman" w:hAnsi="Times New Roman" w:cs="Times New Roman"/>
          <w:sz w:val="20"/>
          <w:szCs w:val="20"/>
        </w:rPr>
        <w:t>Tennemann</w:t>
      </w:r>
      <w:r w:rsidRPr="00844BCF">
        <w:rPr>
          <w:rFonts w:ascii="Times New Roman" w:hAnsi="Times New Roman" w:cs="Times New Roman"/>
          <w:sz w:val="20"/>
          <w:szCs w:val="20"/>
        </w:rPr>
        <w:t xml:space="preserve">, </w:t>
      </w:r>
      <w:r w:rsidRPr="00844BCF">
        <w:rPr>
          <w:rFonts w:ascii="Times New Roman" w:hAnsi="Times New Roman" w:cs="Times New Roman"/>
          <w:i/>
          <w:sz w:val="20"/>
          <w:szCs w:val="20"/>
        </w:rPr>
        <w:t>Geschichte der Philosophie</w:t>
      </w:r>
      <w:r w:rsidRPr="00844BCF">
        <w:rPr>
          <w:rFonts w:ascii="Times New Roman" w:hAnsi="Times New Roman" w:cs="Times New Roman"/>
          <w:sz w:val="20"/>
          <w:szCs w:val="20"/>
        </w:rPr>
        <w:t xml:space="preserve">, </w:t>
      </w:r>
      <w:r w:rsidRPr="00844BCF">
        <w:rPr>
          <w:rFonts w:ascii="Times New Roman" w:hAnsi="Times New Roman" w:cs="Times New Roman"/>
          <w:i/>
          <w:sz w:val="20"/>
          <w:szCs w:val="20"/>
        </w:rPr>
        <w:t>Zehnter Band</w:t>
      </w:r>
      <w:r w:rsidRPr="00844BCF">
        <w:rPr>
          <w:rFonts w:ascii="Times New Roman" w:hAnsi="Times New Roman"/>
          <w:sz w:val="20"/>
          <w:szCs w:val="20"/>
        </w:rPr>
        <w:t>, cit., pp. 450-451.</w:t>
      </w:r>
    </w:p>
  </w:footnote>
  <w:footnote w:id="762">
    <w:p w14:paraId="124B290D" w14:textId="38E1BF59" w:rsidR="00B34CC2" w:rsidRPr="00FC7C62" w:rsidRDefault="00B34CC2" w:rsidP="00F721A9">
      <w:pPr>
        <w:pStyle w:val="Testonotaapidipagina"/>
        <w:jc w:val="both"/>
        <w:rPr>
          <w:rFonts w:ascii="Times New Roman" w:hAnsi="Times New Roman" w:cs="Times New Roman"/>
          <w:sz w:val="20"/>
          <w:szCs w:val="20"/>
        </w:rPr>
      </w:pPr>
      <w:r w:rsidRPr="00FC7C62">
        <w:rPr>
          <w:rStyle w:val="Rimandonotaapidipagina"/>
          <w:rFonts w:ascii="Times New Roman" w:hAnsi="Times New Roman" w:cs="Times New Roman"/>
          <w:sz w:val="20"/>
          <w:szCs w:val="20"/>
        </w:rPr>
        <w:footnoteRef/>
      </w:r>
      <w:r w:rsidRPr="00FC7C62">
        <w:rPr>
          <w:rFonts w:ascii="Times New Roman" w:hAnsi="Times New Roman" w:cs="Times New Roman"/>
          <w:sz w:val="20"/>
          <w:szCs w:val="20"/>
        </w:rPr>
        <w:t xml:space="preserve"> </w:t>
      </w:r>
      <w:r w:rsidRPr="00FC7C62">
        <w:rPr>
          <w:rFonts w:ascii="Times New Roman" w:hAnsi="Times New Roman" w:cs="Times New Roman"/>
          <w:i/>
          <w:sz w:val="20"/>
          <w:szCs w:val="20"/>
        </w:rPr>
        <w:t>Ivi</w:t>
      </w:r>
      <w:r w:rsidRPr="00FC7C62">
        <w:rPr>
          <w:rFonts w:ascii="Times New Roman" w:hAnsi="Times New Roman" w:cs="Times New Roman"/>
          <w:sz w:val="20"/>
          <w:szCs w:val="20"/>
        </w:rPr>
        <w:t>, p. 451: «Es bleibt immer ein Sprung zwischen dem Endlichen und Unendlichen, und kein Uebergang von dem letzten zu dem ersten läßt sich durch Begriffe finden</w:t>
      </w:r>
      <w:r w:rsidRPr="00D915AA">
        <w:rPr>
          <w:rFonts w:ascii="Times New Roman" w:hAnsi="Times New Roman" w:cs="Times New Roman"/>
          <w:sz w:val="20"/>
          <w:szCs w:val="20"/>
          <w:lang w:val="de-DE"/>
        </w:rPr>
        <w:t>»</w:t>
      </w:r>
      <w:r>
        <w:rPr>
          <w:rFonts w:ascii="Times New Roman" w:hAnsi="Times New Roman" w:cs="Times New Roman"/>
          <w:sz w:val="20"/>
          <w:szCs w:val="20"/>
          <w:lang w:val="de-DE"/>
        </w:rPr>
        <w:t>.</w:t>
      </w:r>
    </w:p>
  </w:footnote>
  <w:footnote w:id="763">
    <w:p w14:paraId="63F8668D" w14:textId="77777777" w:rsidR="00B34CC2" w:rsidRPr="00384EEE" w:rsidRDefault="00B34CC2" w:rsidP="00F721A9">
      <w:pPr>
        <w:pStyle w:val="Testonotaapidipagina"/>
        <w:jc w:val="both"/>
      </w:pPr>
      <w:r w:rsidRPr="00384EEE">
        <w:rPr>
          <w:rStyle w:val="Rimandonotaapidipagina"/>
          <w:rFonts w:ascii="Times New Roman" w:hAnsi="Times New Roman" w:cs="Times New Roman"/>
          <w:sz w:val="20"/>
          <w:szCs w:val="20"/>
        </w:rPr>
        <w:footnoteRef/>
      </w:r>
      <w:r w:rsidRPr="00384EEE">
        <w:t xml:space="preserve"> </w:t>
      </w:r>
      <w:r w:rsidRPr="00384EEE">
        <w:rPr>
          <w:rFonts w:ascii="Times New Roman" w:hAnsi="Times New Roman"/>
          <w:i/>
          <w:sz w:val="20"/>
          <w:szCs w:val="20"/>
        </w:rPr>
        <w:t>Ivi</w:t>
      </w:r>
      <w:r w:rsidRPr="00384EEE">
        <w:rPr>
          <w:rFonts w:ascii="Times New Roman" w:hAnsi="Times New Roman"/>
          <w:sz w:val="20"/>
          <w:szCs w:val="20"/>
        </w:rPr>
        <w:t>, pp. 472-473.</w:t>
      </w:r>
    </w:p>
  </w:footnote>
  <w:footnote w:id="764">
    <w:p w14:paraId="4B832768" w14:textId="77777777" w:rsidR="00B34CC2" w:rsidRPr="00384EEE" w:rsidRDefault="00B34CC2" w:rsidP="00F721A9">
      <w:pPr>
        <w:pStyle w:val="Testonotaapidipagina"/>
        <w:jc w:val="both"/>
        <w:rPr>
          <w:sz w:val="20"/>
          <w:szCs w:val="20"/>
        </w:rPr>
      </w:pPr>
      <w:r w:rsidRPr="00384EEE">
        <w:rPr>
          <w:rStyle w:val="Rimandonotaapidipagina"/>
          <w:sz w:val="20"/>
          <w:szCs w:val="20"/>
        </w:rPr>
        <w:footnoteRef/>
      </w:r>
      <w:r w:rsidRPr="00384EEE">
        <w:rPr>
          <w:sz w:val="20"/>
          <w:szCs w:val="20"/>
        </w:rPr>
        <w:t xml:space="preserve"> </w:t>
      </w:r>
      <w:r w:rsidRPr="00384EEE">
        <w:rPr>
          <w:rFonts w:ascii="Times New Roman" w:hAnsi="Times New Roman"/>
          <w:i/>
          <w:sz w:val="20"/>
          <w:szCs w:val="20"/>
        </w:rPr>
        <w:t>Ivi</w:t>
      </w:r>
      <w:r w:rsidRPr="00384EEE">
        <w:rPr>
          <w:rFonts w:ascii="Times New Roman" w:hAnsi="Times New Roman"/>
          <w:sz w:val="20"/>
          <w:szCs w:val="20"/>
        </w:rPr>
        <w:t>, pp. 456.</w:t>
      </w:r>
    </w:p>
  </w:footnote>
  <w:footnote w:id="765">
    <w:p w14:paraId="018BA81D" w14:textId="77777777" w:rsidR="00B34CC2" w:rsidRPr="00AA1487" w:rsidRDefault="00B34CC2" w:rsidP="00F721A9">
      <w:pPr>
        <w:pStyle w:val="Testonotaapidipagina"/>
        <w:jc w:val="both"/>
        <w:rPr>
          <w:rFonts w:ascii="Times New Roman" w:hAnsi="Times New Roman" w:cs="Times New Roman"/>
          <w:sz w:val="20"/>
          <w:szCs w:val="20"/>
          <w:highlight w:val="yellow"/>
        </w:rPr>
      </w:pPr>
      <w:r w:rsidRPr="00384EEE">
        <w:rPr>
          <w:rStyle w:val="Rimandonotaapidipagina"/>
          <w:rFonts w:ascii="Times New Roman" w:hAnsi="Times New Roman" w:cs="Times New Roman"/>
          <w:sz w:val="20"/>
          <w:szCs w:val="20"/>
        </w:rPr>
        <w:footnoteRef/>
      </w:r>
      <w:r w:rsidRPr="00384EEE">
        <w:rPr>
          <w:rFonts w:ascii="Times New Roman" w:hAnsi="Times New Roman" w:cs="Times New Roman"/>
          <w:sz w:val="20"/>
          <w:szCs w:val="20"/>
        </w:rPr>
        <w:t xml:space="preserve"> Cfr. B. Spinoza, </w:t>
      </w:r>
      <w:r w:rsidRPr="00384EEE">
        <w:rPr>
          <w:rFonts w:ascii="Times New Roman" w:hAnsi="Times New Roman" w:cs="Times New Roman"/>
          <w:i/>
          <w:sz w:val="20"/>
          <w:szCs w:val="20"/>
        </w:rPr>
        <w:t>Tutte le opere</w:t>
      </w:r>
      <w:r w:rsidRPr="00384EEE">
        <w:rPr>
          <w:rFonts w:ascii="Times New Roman" w:hAnsi="Times New Roman" w:cs="Times New Roman"/>
          <w:sz w:val="20"/>
          <w:szCs w:val="20"/>
        </w:rPr>
        <w:t>, cit., p. 1146: «Ea res libera dicitur, quae ex sola suae naturae necessitate existit, et ea sola ad agendum determinatur: Necessariam autem, vel potius coacta, quae ab alio determinatur ad existendum, et operandum certa, ac determinata ratione</w:t>
      </w:r>
      <w:r w:rsidRPr="00384EEE">
        <w:rPr>
          <w:rFonts w:ascii="Times New Roman" w:hAnsi="Times New Roman" w:cs="Times New Roman"/>
          <w:sz w:val="20"/>
          <w:szCs w:val="20"/>
          <w:lang w:val="de-DE"/>
        </w:rPr>
        <w:t>».</w:t>
      </w:r>
    </w:p>
  </w:footnote>
  <w:footnote w:id="766">
    <w:p w14:paraId="65BD0027" w14:textId="0E500832" w:rsidR="00B34CC2" w:rsidRPr="00AA1487" w:rsidRDefault="00B34CC2" w:rsidP="00F721A9">
      <w:pPr>
        <w:jc w:val="both"/>
        <w:rPr>
          <w:rFonts w:ascii="Times New Roman" w:eastAsia="Times New Roman" w:hAnsi="Times New Roman" w:cs="Times New Roman"/>
          <w:sz w:val="20"/>
          <w:szCs w:val="20"/>
          <w:lang w:val="de-DE"/>
        </w:rPr>
      </w:pPr>
      <w:r w:rsidRPr="00A22570">
        <w:rPr>
          <w:rStyle w:val="Rimandonotaapidipagina"/>
          <w:rFonts w:ascii="Times New Roman" w:hAnsi="Times New Roman" w:cs="Times New Roman"/>
          <w:sz w:val="20"/>
          <w:szCs w:val="20"/>
        </w:rPr>
        <w:footnoteRef/>
      </w:r>
      <w:r w:rsidRPr="00A22570">
        <w:rPr>
          <w:rFonts w:ascii="Times New Roman" w:hAnsi="Times New Roman" w:cs="Times New Roman"/>
          <w:sz w:val="20"/>
          <w:szCs w:val="20"/>
        </w:rPr>
        <w:t xml:space="preserve"> Cfr. I. Kant, </w:t>
      </w:r>
      <w:r w:rsidRPr="00A22570">
        <w:rPr>
          <w:rFonts w:ascii="Times New Roman" w:hAnsi="Times New Roman" w:cs="Times New Roman"/>
          <w:i/>
          <w:sz w:val="20"/>
          <w:szCs w:val="20"/>
        </w:rPr>
        <w:t>Kritik der reinen Vernunft</w:t>
      </w:r>
      <w:r w:rsidRPr="00A22570">
        <w:rPr>
          <w:rFonts w:ascii="Times New Roman" w:hAnsi="Times New Roman" w:cs="Times New Roman"/>
          <w:sz w:val="20"/>
          <w:szCs w:val="20"/>
        </w:rPr>
        <w:t xml:space="preserve">, cit., p. 539: </w:t>
      </w:r>
      <w:r w:rsidRPr="00A22570">
        <w:rPr>
          <w:rFonts w:ascii="Times New Roman" w:eastAsia="Times New Roman" w:hAnsi="Times New Roman" w:cs="Times New Roman"/>
          <w:color w:val="000000"/>
          <w:sz w:val="20"/>
          <w:szCs w:val="20"/>
          <w:shd w:val="clear" w:color="auto" w:fill="FFFFFF"/>
          <w:lang w:val="de-DE"/>
        </w:rPr>
        <w:t>«Die Idee bedarf zur Ausführung ein </w:t>
      </w:r>
      <w:r w:rsidRPr="00A22570">
        <w:rPr>
          <w:rFonts w:ascii="Times New Roman" w:eastAsia="Times New Roman" w:hAnsi="Times New Roman" w:cs="Times New Roman"/>
          <w:i/>
          <w:iCs/>
          <w:color w:val="000000"/>
          <w:sz w:val="20"/>
          <w:szCs w:val="20"/>
          <w:shd w:val="clear" w:color="auto" w:fill="FFFFFF"/>
          <w:lang w:val="de-DE"/>
        </w:rPr>
        <w:t>Schema</w:t>
      </w:r>
      <w:r w:rsidRPr="00A22570">
        <w:rPr>
          <w:rFonts w:ascii="Times New Roman" w:eastAsia="Times New Roman" w:hAnsi="Times New Roman" w:cs="Times New Roman"/>
          <w:color w:val="000000"/>
          <w:sz w:val="20"/>
          <w:szCs w:val="20"/>
          <w:shd w:val="clear" w:color="auto" w:fill="FFFFFF"/>
          <w:lang w:val="de-DE"/>
        </w:rPr>
        <w:t>, d.i. eine a priori aus dem Prinzip des Zwecks bestimmte wesentliche Mannigfaltigkeit und Ordnung der Teile. Das Schema, welches nicht nach einer Idee, d.i. aus dem Hauptzwecke der Vernunft, sondern empirisch, nach zufällig sich darbietenden Absichten (deren Menge man nicht voraus wissen kann), entworfen wird, gibt </w:t>
      </w:r>
      <w:r w:rsidRPr="00A22570">
        <w:rPr>
          <w:rFonts w:ascii="Times New Roman" w:eastAsia="Times New Roman" w:hAnsi="Times New Roman" w:cs="Times New Roman"/>
          <w:i/>
          <w:iCs/>
          <w:color w:val="000000"/>
          <w:sz w:val="20"/>
          <w:szCs w:val="20"/>
          <w:shd w:val="clear" w:color="auto" w:fill="FFFFFF"/>
          <w:lang w:val="de-DE"/>
        </w:rPr>
        <w:t>technische</w:t>
      </w:r>
      <w:r w:rsidRPr="00A22570">
        <w:rPr>
          <w:rFonts w:ascii="Times New Roman" w:eastAsia="Times New Roman" w:hAnsi="Times New Roman" w:cs="Times New Roman"/>
          <w:color w:val="000000"/>
          <w:sz w:val="20"/>
          <w:szCs w:val="20"/>
          <w:shd w:val="clear" w:color="auto" w:fill="FFFFFF"/>
          <w:lang w:val="de-DE"/>
        </w:rPr>
        <w:t>, dasjenige aber, was nur zu Folge einer Idee entspringt (wo die Vernunft die Zwecke a priori gibt, und nicht empirisch erwartet), gründet </w:t>
      </w:r>
      <w:r w:rsidRPr="00A22570">
        <w:rPr>
          <w:rFonts w:ascii="Times New Roman" w:eastAsia="Times New Roman" w:hAnsi="Times New Roman" w:cs="Times New Roman"/>
          <w:i/>
          <w:iCs/>
          <w:color w:val="000000"/>
          <w:sz w:val="20"/>
          <w:szCs w:val="20"/>
          <w:shd w:val="clear" w:color="auto" w:fill="FFFFFF"/>
          <w:lang w:val="de-DE"/>
        </w:rPr>
        <w:t>architektonische</w:t>
      </w:r>
      <w:r w:rsidRPr="00A22570">
        <w:rPr>
          <w:rFonts w:ascii="Times New Roman" w:eastAsia="Times New Roman" w:hAnsi="Times New Roman" w:cs="Times New Roman"/>
          <w:color w:val="000000"/>
          <w:sz w:val="20"/>
          <w:szCs w:val="20"/>
          <w:shd w:val="clear" w:color="auto" w:fill="FFFFFF"/>
          <w:lang w:val="de-DE"/>
        </w:rPr>
        <w:t xml:space="preserve"> Einheit. Nicht technisch, wegen der Ähnlichkeit des Mannigfaltigen, oder des zufälligen Gebrauchs der Erkenntnis </w:t>
      </w:r>
      <w:r w:rsidRPr="00A22570">
        <w:rPr>
          <w:rFonts w:ascii="Times New Roman" w:eastAsia="Times New Roman" w:hAnsi="Times New Roman" w:cs="Times New Roman"/>
          <w:i/>
          <w:color w:val="000000"/>
          <w:sz w:val="20"/>
          <w:szCs w:val="20"/>
          <w:shd w:val="clear" w:color="auto" w:fill="FFFFFF"/>
          <w:lang w:val="de-DE"/>
        </w:rPr>
        <w:t>in concreto</w:t>
      </w:r>
      <w:r w:rsidRPr="00A22570">
        <w:rPr>
          <w:rFonts w:ascii="Times New Roman" w:eastAsia="Times New Roman" w:hAnsi="Times New Roman" w:cs="Times New Roman"/>
          <w:color w:val="000000"/>
          <w:sz w:val="20"/>
          <w:szCs w:val="20"/>
          <w:shd w:val="clear" w:color="auto" w:fill="FFFFFF"/>
          <w:lang w:val="de-DE"/>
        </w:rPr>
        <w:t xml:space="preserve"> zu allerlei beliebigen äußeren Zwecken, sondern architektonisch, um der Verwandtschaft willen und der Ableitung von einem einigen obersten und inneren Zwecke, der das Ganze allererst möglich macht, kann dasjenige entspringen, was wir Wissenschaft nennen, dessen Schema den Umriß (</w:t>
      </w:r>
      <w:r w:rsidRPr="00A22570">
        <w:rPr>
          <w:rFonts w:ascii="Times New Roman" w:eastAsia="Times New Roman" w:hAnsi="Times New Roman" w:cs="Times New Roman"/>
          <w:i/>
          <w:color w:val="000000"/>
          <w:sz w:val="20"/>
          <w:szCs w:val="20"/>
          <w:shd w:val="clear" w:color="auto" w:fill="FFFFFF"/>
          <w:lang w:val="de-DE"/>
        </w:rPr>
        <w:t>monogramma</w:t>
      </w:r>
      <w:r w:rsidRPr="00A22570">
        <w:rPr>
          <w:rFonts w:ascii="Times New Roman" w:eastAsia="Times New Roman" w:hAnsi="Times New Roman" w:cs="Times New Roman"/>
          <w:color w:val="000000"/>
          <w:sz w:val="20"/>
          <w:szCs w:val="20"/>
          <w:shd w:val="clear" w:color="auto" w:fill="FFFFFF"/>
          <w:lang w:val="de-DE"/>
        </w:rPr>
        <w:t>) und die Einteilung des Ganzen in Glieder, der Idee gemäß, d.i. a priori enthalten</w:t>
      </w:r>
      <w:r w:rsidRPr="00A22570">
        <w:rPr>
          <w:rFonts w:ascii="Times New Roman" w:hAnsi="Times New Roman" w:cs="Times New Roman"/>
          <w:sz w:val="20"/>
          <w:szCs w:val="20"/>
          <w:lang w:val="de-DE"/>
        </w:rPr>
        <w:t>».</w:t>
      </w:r>
    </w:p>
  </w:footnote>
  <w:footnote w:id="767">
    <w:p w14:paraId="1EBBCB09" w14:textId="1749F414" w:rsidR="00B34CC2" w:rsidRDefault="00B34CC2" w:rsidP="00F721A9">
      <w:pPr>
        <w:pStyle w:val="Testonotaapidipagina"/>
        <w:jc w:val="both"/>
      </w:pPr>
      <w:r w:rsidRPr="00DC5766">
        <w:rPr>
          <w:rStyle w:val="Rimandonotaapidipagina"/>
          <w:rFonts w:ascii="Times New Roman" w:hAnsi="Times New Roman" w:cs="Times New Roman"/>
          <w:sz w:val="20"/>
          <w:szCs w:val="20"/>
        </w:rPr>
        <w:footnoteRef/>
      </w:r>
      <w:r w:rsidRPr="00DC5766">
        <w:rPr>
          <w:rFonts w:ascii="Times New Roman" w:hAnsi="Times New Roman" w:cs="Times New Roman"/>
          <w:sz w:val="20"/>
          <w:szCs w:val="20"/>
        </w:rPr>
        <w:t xml:space="preserve"> W.G. </w:t>
      </w:r>
      <w:r>
        <w:rPr>
          <w:rFonts w:ascii="Times New Roman" w:hAnsi="Times New Roman" w:cs="Times New Roman"/>
          <w:sz w:val="20"/>
          <w:szCs w:val="20"/>
        </w:rPr>
        <w:t>Tennemann</w:t>
      </w:r>
      <w:r w:rsidRPr="00DC5766">
        <w:rPr>
          <w:rFonts w:ascii="Times New Roman" w:hAnsi="Times New Roman" w:cs="Times New Roman"/>
          <w:sz w:val="20"/>
          <w:szCs w:val="20"/>
        </w:rPr>
        <w:t xml:space="preserve">, </w:t>
      </w:r>
      <w:r w:rsidRPr="00DC5766">
        <w:rPr>
          <w:rFonts w:ascii="Times New Roman" w:hAnsi="Times New Roman" w:cs="Times New Roman"/>
          <w:i/>
          <w:sz w:val="20"/>
          <w:szCs w:val="20"/>
        </w:rPr>
        <w:t>Geschichte der Philosophie</w:t>
      </w:r>
      <w:r w:rsidRPr="00DC5766">
        <w:rPr>
          <w:rFonts w:ascii="Times New Roman" w:hAnsi="Times New Roman" w:cs="Times New Roman"/>
          <w:sz w:val="20"/>
          <w:szCs w:val="20"/>
        </w:rPr>
        <w:t xml:space="preserve">, </w:t>
      </w:r>
      <w:r w:rsidRPr="00DC5766">
        <w:rPr>
          <w:rFonts w:ascii="Times New Roman" w:hAnsi="Times New Roman" w:cs="Times New Roman"/>
          <w:i/>
          <w:sz w:val="20"/>
          <w:szCs w:val="20"/>
        </w:rPr>
        <w:t>Zehnter Band</w:t>
      </w:r>
      <w:r w:rsidRPr="00DC5766">
        <w:rPr>
          <w:rFonts w:ascii="Times New Roman" w:hAnsi="Times New Roman"/>
          <w:sz w:val="20"/>
          <w:szCs w:val="20"/>
        </w:rPr>
        <w:t>, cit., pp. 478.</w:t>
      </w:r>
    </w:p>
  </w:footnote>
  <w:footnote w:id="768">
    <w:p w14:paraId="2568E8AB" w14:textId="77777777" w:rsidR="00B34CC2" w:rsidRPr="006B63E1" w:rsidRDefault="00B34CC2" w:rsidP="00F721A9">
      <w:pPr>
        <w:pStyle w:val="Testonotaapidipagina"/>
        <w:jc w:val="both"/>
        <w:rPr>
          <w:rFonts w:ascii="Times New Roman" w:hAnsi="Times New Roman" w:cs="Times New Roman"/>
          <w:sz w:val="20"/>
          <w:szCs w:val="20"/>
        </w:rPr>
      </w:pPr>
      <w:r w:rsidRPr="006B63E1">
        <w:rPr>
          <w:rStyle w:val="Rimandonotaapidipagina"/>
          <w:rFonts w:ascii="Times New Roman" w:hAnsi="Times New Roman" w:cs="Times New Roman"/>
          <w:sz w:val="20"/>
          <w:szCs w:val="20"/>
        </w:rPr>
        <w:footnoteRef/>
      </w:r>
      <w:r w:rsidRPr="006B63E1">
        <w:rPr>
          <w:rFonts w:ascii="Times New Roman" w:hAnsi="Times New Roman" w:cs="Times New Roman"/>
          <w:sz w:val="20"/>
          <w:szCs w:val="20"/>
        </w:rPr>
        <w:t xml:space="preserve"> </w:t>
      </w:r>
      <w:r w:rsidRPr="008F2507">
        <w:rPr>
          <w:rFonts w:ascii="Times New Roman" w:hAnsi="Times New Roman"/>
          <w:i/>
          <w:sz w:val="20"/>
          <w:szCs w:val="20"/>
        </w:rPr>
        <w:t>Ivi</w:t>
      </w:r>
      <w:r>
        <w:rPr>
          <w:rFonts w:ascii="Times New Roman" w:hAnsi="Times New Roman"/>
          <w:sz w:val="20"/>
          <w:szCs w:val="20"/>
        </w:rPr>
        <w:t>, pp. 480</w:t>
      </w:r>
      <w:r w:rsidRPr="008F2507">
        <w:rPr>
          <w:rFonts w:ascii="Times New Roman" w:hAnsi="Times New Roman"/>
          <w:sz w:val="20"/>
          <w:szCs w:val="20"/>
        </w:rPr>
        <w:t>.</w:t>
      </w:r>
    </w:p>
  </w:footnote>
  <w:footnote w:id="769">
    <w:p w14:paraId="44B2BE24" w14:textId="51B8DCD7" w:rsidR="00B34CC2" w:rsidRPr="00006585" w:rsidRDefault="00B34CC2" w:rsidP="00F721A9">
      <w:pPr>
        <w:jc w:val="both"/>
        <w:rPr>
          <w:rFonts w:ascii="Times New Roman" w:hAnsi="Times New Roman" w:cs="Times New Roman"/>
          <w:sz w:val="20"/>
          <w:szCs w:val="20"/>
        </w:rPr>
      </w:pPr>
      <w:r w:rsidRPr="00015A62">
        <w:rPr>
          <w:rStyle w:val="Rimandonotaapidipagina"/>
          <w:rFonts w:ascii="Times New Roman" w:hAnsi="Times New Roman" w:cs="Times New Roman"/>
          <w:sz w:val="20"/>
          <w:szCs w:val="20"/>
        </w:rPr>
        <w:footnoteRef/>
      </w:r>
      <w:r w:rsidRPr="00015A62">
        <w:rPr>
          <w:rFonts w:ascii="Times New Roman" w:hAnsi="Times New Roman" w:cs="Times New Roman"/>
          <w:sz w:val="20"/>
          <w:szCs w:val="20"/>
        </w:rPr>
        <w:t xml:space="preserve"> Cfr. H. Kimmerle</w:t>
      </w:r>
      <w:r w:rsidRPr="00015A62">
        <w:rPr>
          <w:rFonts w:ascii="Times New Roman" w:eastAsia="Times New Roman" w:hAnsi="Times New Roman" w:cs="Times New Roman"/>
          <w:sz w:val="20"/>
          <w:szCs w:val="20"/>
          <w:lang w:val="de-DE"/>
        </w:rPr>
        <w:t xml:space="preserve">, </w:t>
      </w:r>
      <w:r w:rsidRPr="00015A62">
        <w:rPr>
          <w:rFonts w:ascii="Times New Roman" w:hAnsi="Times New Roman" w:cs="Times New Roman"/>
          <w:sz w:val="20"/>
          <w:szCs w:val="20"/>
        </w:rPr>
        <w:t>H. Kimmerle</w:t>
      </w:r>
      <w:r w:rsidRPr="00015A62">
        <w:rPr>
          <w:rFonts w:ascii="Times New Roman" w:eastAsia="Times New Roman" w:hAnsi="Times New Roman" w:cs="Times New Roman"/>
          <w:sz w:val="20"/>
          <w:szCs w:val="20"/>
          <w:lang w:val="de-DE"/>
        </w:rPr>
        <w:t xml:space="preserve">, </w:t>
      </w:r>
      <w:r w:rsidRPr="00015A62">
        <w:rPr>
          <w:rFonts w:ascii="Times New Roman" w:eastAsia="Times New Roman" w:hAnsi="Times New Roman" w:cs="Times New Roman"/>
          <w:i/>
          <w:sz w:val="20"/>
          <w:szCs w:val="20"/>
          <w:lang w:val="de-DE"/>
        </w:rPr>
        <w:t>Das Problem der Abgeschlossenheit des Denken</w:t>
      </w:r>
      <w:r w:rsidRPr="00015A62">
        <w:rPr>
          <w:rFonts w:ascii="Times New Roman" w:eastAsia="Times New Roman" w:hAnsi="Times New Roman" w:cs="Times New Roman"/>
          <w:sz w:val="20"/>
          <w:szCs w:val="20"/>
          <w:lang w:val="de-DE"/>
        </w:rPr>
        <w:t xml:space="preserve">. </w:t>
      </w:r>
      <w:r w:rsidRPr="00015A62">
        <w:rPr>
          <w:rFonts w:ascii="Times New Roman" w:eastAsia="Times New Roman" w:hAnsi="Times New Roman" w:cs="Times New Roman"/>
          <w:i/>
          <w:sz w:val="20"/>
          <w:szCs w:val="20"/>
        </w:rPr>
        <w:t>Hegels System der Philosophie in den Jahren 1800 bis 1804</w:t>
      </w:r>
      <w:r w:rsidRPr="00015A62">
        <w:rPr>
          <w:rFonts w:ascii="Times New Roman" w:eastAsia="Times New Roman" w:hAnsi="Times New Roman" w:cs="Times New Roman"/>
          <w:sz w:val="20"/>
          <w:szCs w:val="20"/>
          <w:lang w:val="de-DE"/>
        </w:rPr>
        <w:t>, in «Hegel-Studien</w:t>
      </w:r>
      <w:r w:rsidRPr="00015A62">
        <w:rPr>
          <w:rFonts w:ascii="Times New Roman" w:eastAsia="Times New Roman" w:hAnsi="Times New Roman" w:cs="Times New Roman"/>
          <w:color w:val="000000"/>
          <w:sz w:val="20"/>
          <w:szCs w:val="20"/>
        </w:rPr>
        <w:t xml:space="preserve">», Bonn, Bouvier 1970, </w:t>
      </w:r>
      <w:r w:rsidRPr="00015A62">
        <w:rPr>
          <w:rFonts w:ascii="Times New Roman" w:eastAsia="Times New Roman" w:hAnsi="Times New Roman" w:cs="Times New Roman"/>
          <w:sz w:val="20"/>
          <w:szCs w:val="20"/>
          <w:lang w:val="de-DE"/>
        </w:rPr>
        <w:t xml:space="preserve">pp. 301-310; E. Förster, </w:t>
      </w:r>
      <w:r w:rsidRPr="00015A62">
        <w:rPr>
          <w:rFonts w:ascii="Times New Roman" w:eastAsia="Times New Roman" w:hAnsi="Times New Roman" w:cs="Times New Roman"/>
          <w:i/>
          <w:sz w:val="20"/>
          <w:szCs w:val="20"/>
          <w:lang w:val="de-DE"/>
        </w:rPr>
        <w:t>Hegel in Jena</w:t>
      </w:r>
      <w:r w:rsidRPr="00015A62">
        <w:rPr>
          <w:rFonts w:ascii="Times New Roman" w:eastAsia="Times New Roman" w:hAnsi="Times New Roman" w:cs="Times New Roman"/>
          <w:sz w:val="20"/>
          <w:szCs w:val="20"/>
          <w:lang w:val="de-DE"/>
        </w:rPr>
        <w:t xml:space="preserve">, in </w:t>
      </w:r>
      <w:r w:rsidRPr="00015A62">
        <w:rPr>
          <w:rFonts w:ascii="Times New Roman" w:eastAsia="Times New Roman" w:hAnsi="Times New Roman" w:cs="Times New Roman"/>
          <w:i/>
          <w:sz w:val="20"/>
          <w:szCs w:val="20"/>
          <w:lang w:val="de-DE"/>
        </w:rPr>
        <w:t>Das Interesse des Denkens. Hegel als heutiger Sicht</w:t>
      </w:r>
      <w:r w:rsidRPr="00015A62">
        <w:rPr>
          <w:rFonts w:ascii="Times New Roman" w:eastAsia="Times New Roman" w:hAnsi="Times New Roman" w:cs="Times New Roman"/>
          <w:sz w:val="20"/>
          <w:szCs w:val="20"/>
          <w:lang w:val="de-DE"/>
        </w:rPr>
        <w:t xml:space="preserve">, hrsg. von K. Vieweg und W. Welsch, Wilhelm Fink, München 2007, pp. 109-131. </w:t>
      </w:r>
      <w:r w:rsidRPr="00015A62">
        <w:rPr>
          <w:rFonts w:ascii="Times New Roman" w:eastAsia="Times New Roman" w:hAnsi="Times New Roman" w:cs="Times New Roman"/>
          <w:sz w:val="20"/>
          <w:szCs w:val="20"/>
        </w:rPr>
        <w:t xml:space="preserve">Per un’interpretazione antitetica della questione – quale è assunta anche in questo sottocapitolo – cfr. </w:t>
      </w:r>
      <w:r w:rsidRPr="00015A62">
        <w:rPr>
          <w:rFonts w:ascii="Times New Roman" w:eastAsia="Times New Roman" w:hAnsi="Times New Roman" w:cs="Times New Roman"/>
          <w:i/>
          <w:sz w:val="20"/>
          <w:szCs w:val="20"/>
        </w:rPr>
        <w:t>infra</w:t>
      </w:r>
      <w:r>
        <w:rPr>
          <w:rFonts w:ascii="Times New Roman" w:eastAsia="Times New Roman" w:hAnsi="Times New Roman" w:cs="Times New Roman"/>
          <w:sz w:val="20"/>
          <w:szCs w:val="20"/>
        </w:rPr>
        <w:t>, p. 248, nota 275</w:t>
      </w:r>
      <w:r w:rsidRPr="00015A62">
        <w:rPr>
          <w:rFonts w:ascii="Times New Roman" w:eastAsia="Times New Roman" w:hAnsi="Times New Roman" w:cs="Times New Roman"/>
          <w:sz w:val="20"/>
          <w:szCs w:val="20"/>
        </w:rPr>
        <w:t>.</w:t>
      </w:r>
    </w:p>
  </w:footnote>
  <w:footnote w:id="770">
    <w:p w14:paraId="183532A3" w14:textId="77777777" w:rsidR="00B34CC2" w:rsidRPr="000765E4" w:rsidRDefault="00B34CC2" w:rsidP="00F721A9">
      <w:pPr>
        <w:pStyle w:val="Testonotaapidipagina"/>
        <w:jc w:val="both"/>
        <w:rPr>
          <w:rFonts w:ascii="Times New Roman" w:hAnsi="Times New Roman" w:cs="Times New Roman"/>
          <w:sz w:val="20"/>
          <w:szCs w:val="20"/>
        </w:rPr>
      </w:pPr>
      <w:r w:rsidRPr="000765E4">
        <w:rPr>
          <w:rStyle w:val="Rimandonotaapidipagina"/>
          <w:rFonts w:ascii="Times New Roman" w:hAnsi="Times New Roman" w:cs="Times New Roman"/>
          <w:sz w:val="20"/>
          <w:szCs w:val="20"/>
        </w:rPr>
        <w:footnoteRef/>
      </w:r>
      <w:r w:rsidRPr="000765E4">
        <w:rPr>
          <w:rFonts w:ascii="Times New Roman" w:hAnsi="Times New Roman" w:cs="Times New Roman"/>
          <w:sz w:val="20"/>
          <w:szCs w:val="20"/>
        </w:rPr>
        <w:t xml:space="preserve"> </w:t>
      </w:r>
      <w:r w:rsidRPr="000765E4">
        <w:rPr>
          <w:rFonts w:ascii="Times New Roman" w:hAnsi="Times New Roman" w:cs="Times New Roman"/>
          <w:i/>
          <w:sz w:val="20"/>
          <w:szCs w:val="20"/>
        </w:rPr>
        <w:t>Diff</w:t>
      </w:r>
      <w:r>
        <w:rPr>
          <w:rFonts w:ascii="Times New Roman" w:hAnsi="Times New Roman" w:cs="Times New Roman"/>
          <w:sz w:val="20"/>
          <w:szCs w:val="20"/>
        </w:rPr>
        <w:t>, p. 11.</w:t>
      </w:r>
    </w:p>
  </w:footnote>
  <w:footnote w:id="771">
    <w:p w14:paraId="4BE45C99" w14:textId="77777777" w:rsidR="00B34CC2" w:rsidRPr="004D44BD" w:rsidRDefault="00B34CC2" w:rsidP="00F721A9">
      <w:pPr>
        <w:pStyle w:val="Testonotaapidipagina"/>
        <w:jc w:val="both"/>
        <w:rPr>
          <w:rFonts w:ascii="Times New Roman" w:hAnsi="Times New Roman" w:cs="Times New Roman"/>
          <w:sz w:val="20"/>
          <w:szCs w:val="20"/>
        </w:rPr>
      </w:pPr>
      <w:r w:rsidRPr="004D44BD">
        <w:rPr>
          <w:rStyle w:val="Rimandonotaapidipagina"/>
          <w:rFonts w:ascii="Times New Roman" w:hAnsi="Times New Roman" w:cs="Times New Roman"/>
          <w:sz w:val="20"/>
          <w:szCs w:val="20"/>
        </w:rPr>
        <w:footnoteRef/>
      </w:r>
      <w:r w:rsidRPr="004D44BD">
        <w:rPr>
          <w:rFonts w:ascii="Times New Roman" w:hAnsi="Times New Roman" w:cs="Times New Roman"/>
          <w:sz w:val="20"/>
          <w:szCs w:val="20"/>
        </w:rPr>
        <w:t xml:space="preserve"> </w:t>
      </w:r>
      <w:r w:rsidRPr="004D44BD">
        <w:rPr>
          <w:rFonts w:ascii="Times New Roman" w:hAnsi="Times New Roman" w:cs="Times New Roman"/>
          <w:i/>
          <w:sz w:val="20"/>
          <w:szCs w:val="20"/>
        </w:rPr>
        <w:t>Ivi</w:t>
      </w:r>
      <w:r w:rsidRPr="004D44BD">
        <w:rPr>
          <w:rFonts w:ascii="Times New Roman" w:hAnsi="Times New Roman" w:cs="Times New Roman"/>
          <w:sz w:val="20"/>
          <w:szCs w:val="20"/>
        </w:rPr>
        <w:t>, p. 10.</w:t>
      </w:r>
    </w:p>
  </w:footnote>
  <w:footnote w:id="772">
    <w:p w14:paraId="12C13B11" w14:textId="77777777" w:rsidR="00B34CC2" w:rsidRPr="00725065" w:rsidRDefault="00B34CC2" w:rsidP="00F721A9">
      <w:pPr>
        <w:pStyle w:val="Testonotaapidipagina"/>
        <w:jc w:val="both"/>
        <w:rPr>
          <w:rFonts w:ascii="Times New Roman" w:hAnsi="Times New Roman" w:cs="Times New Roman"/>
          <w:sz w:val="20"/>
          <w:szCs w:val="20"/>
        </w:rPr>
      </w:pPr>
      <w:r w:rsidRPr="00725065">
        <w:rPr>
          <w:rStyle w:val="Rimandonotaapidipagina"/>
          <w:rFonts w:ascii="Times New Roman" w:hAnsi="Times New Roman" w:cs="Times New Roman"/>
          <w:sz w:val="20"/>
          <w:szCs w:val="20"/>
        </w:rPr>
        <w:footnoteRef/>
      </w:r>
      <w:r w:rsidRPr="00725065">
        <w:rPr>
          <w:rFonts w:ascii="Times New Roman" w:hAnsi="Times New Roman" w:cs="Times New Roman"/>
          <w:sz w:val="20"/>
          <w:szCs w:val="20"/>
        </w:rPr>
        <w:t xml:space="preserve"> </w:t>
      </w:r>
      <w:r w:rsidRPr="00725065">
        <w:rPr>
          <w:rFonts w:ascii="Times New Roman" w:hAnsi="Times New Roman" w:cs="Times New Roman"/>
          <w:i/>
          <w:sz w:val="20"/>
          <w:szCs w:val="20"/>
        </w:rPr>
        <w:t>SE</w:t>
      </w:r>
      <w:r w:rsidRPr="00725065">
        <w:rPr>
          <w:rFonts w:ascii="Times New Roman" w:hAnsi="Times New Roman" w:cs="Times New Roman"/>
          <w:sz w:val="20"/>
          <w:szCs w:val="20"/>
        </w:rPr>
        <w:t>, p. 274</w:t>
      </w:r>
      <w:r w:rsidRPr="00725065">
        <w:rPr>
          <w:rFonts w:ascii="Times New Roman" w:hAnsi="Times New Roman" w:cs="Times New Roman"/>
          <w:i/>
          <w:sz w:val="20"/>
          <w:szCs w:val="20"/>
        </w:rPr>
        <w:t>.</w:t>
      </w:r>
    </w:p>
  </w:footnote>
  <w:footnote w:id="773">
    <w:p w14:paraId="1A03BAB8" w14:textId="77777777" w:rsidR="00B34CC2" w:rsidRPr="00725065" w:rsidRDefault="00B34CC2" w:rsidP="00F721A9">
      <w:pPr>
        <w:pStyle w:val="Testonotaapidipagina"/>
        <w:jc w:val="both"/>
        <w:rPr>
          <w:rFonts w:ascii="Times New Roman" w:hAnsi="Times New Roman" w:cs="Times New Roman"/>
          <w:sz w:val="20"/>
          <w:szCs w:val="20"/>
        </w:rPr>
      </w:pPr>
      <w:r w:rsidRPr="00725065">
        <w:rPr>
          <w:rStyle w:val="Rimandonotaapidipagina"/>
          <w:rFonts w:ascii="Times New Roman" w:hAnsi="Times New Roman" w:cs="Times New Roman"/>
          <w:sz w:val="20"/>
          <w:szCs w:val="20"/>
        </w:rPr>
        <w:footnoteRef/>
      </w:r>
      <w:r w:rsidRPr="00725065">
        <w:rPr>
          <w:rFonts w:ascii="Times New Roman" w:hAnsi="Times New Roman" w:cs="Times New Roman"/>
          <w:sz w:val="20"/>
          <w:szCs w:val="20"/>
        </w:rPr>
        <w:t xml:space="preserve"> </w:t>
      </w:r>
      <w:r w:rsidRPr="00725065">
        <w:rPr>
          <w:rFonts w:ascii="Times New Roman" w:hAnsi="Times New Roman" w:cs="Times New Roman"/>
          <w:i/>
          <w:sz w:val="20"/>
          <w:szCs w:val="20"/>
        </w:rPr>
        <w:t>Ibidem</w:t>
      </w:r>
      <w:r w:rsidRPr="00725065">
        <w:rPr>
          <w:rFonts w:ascii="Times New Roman" w:hAnsi="Times New Roman" w:cs="Times New Roman"/>
          <w:sz w:val="20"/>
          <w:szCs w:val="20"/>
        </w:rPr>
        <w:t>.</w:t>
      </w:r>
    </w:p>
  </w:footnote>
  <w:footnote w:id="774">
    <w:p w14:paraId="6E0AD756" w14:textId="052457BC" w:rsidR="00B34CC2" w:rsidRPr="008A2A3D" w:rsidRDefault="00B34CC2" w:rsidP="002D165F">
      <w:pPr>
        <w:pStyle w:val="Testonotaapidipagina"/>
        <w:jc w:val="both"/>
        <w:rPr>
          <w:rFonts w:ascii="Times New Roman" w:hAnsi="Times New Roman" w:cs="Times New Roman"/>
          <w:sz w:val="20"/>
          <w:szCs w:val="20"/>
        </w:rPr>
      </w:pPr>
      <w:r w:rsidRPr="00844F1B">
        <w:rPr>
          <w:rStyle w:val="Rimandonotaapidipagina"/>
          <w:rFonts w:ascii="Times New Roman" w:hAnsi="Times New Roman" w:cs="Times New Roman"/>
          <w:sz w:val="20"/>
          <w:szCs w:val="20"/>
        </w:rPr>
        <w:footnoteRef/>
      </w:r>
      <w:r w:rsidRPr="00844F1B">
        <w:rPr>
          <w:rFonts w:ascii="Times New Roman" w:hAnsi="Times New Roman" w:cs="Times New Roman"/>
          <w:sz w:val="20"/>
          <w:szCs w:val="20"/>
        </w:rPr>
        <w:t xml:space="preserve"> A questo riguardo, si veda il frammento jenese del 1801/02 </w:t>
      </w:r>
      <w:r w:rsidRPr="00844F1B">
        <w:rPr>
          <w:rFonts w:ascii="Times New Roman" w:hAnsi="Times New Roman" w:cs="Times New Roman"/>
          <w:i/>
          <w:sz w:val="20"/>
          <w:szCs w:val="20"/>
        </w:rPr>
        <w:t>Die Idee des Absoluten Wesens</w:t>
      </w:r>
      <w:r w:rsidRPr="00844F1B">
        <w:rPr>
          <w:rFonts w:ascii="Times New Roman" w:hAnsi="Times New Roman" w:cs="Times New Roman"/>
          <w:sz w:val="20"/>
          <w:szCs w:val="20"/>
        </w:rPr>
        <w:t>: «Das Erste nun, daß wir die einfache Idee der Philosophie selbst erkennen, alsdenn die Eintheilung der Philosophie deducieren. Die ausgehdehnte Wissenschaft der Idee als solche wird Idealismus oder Logik seyn […] sie als Wissenschaft der Idee selbst Metaphysik ist, die falsche Metaphysik der Beschränkten philosophischen Systemen vernichten; alsdenn wird die Wissenschaft übergehen in die Wissenschaft der Realität der Idee […] die Philosophie der Natur wird in die Philosophie des Geistes übergehen […] endlich im 4ten Theil in der Philosophie der Religion und Kunst zur reinen Idee zurükkehrt, und die Anschauung Gottes organisiert</w:t>
      </w:r>
      <w:r w:rsidRPr="00844F1B">
        <w:rPr>
          <w:rFonts w:ascii="Times New Roman" w:hAnsi="Times New Roman" w:cs="Times New Roman"/>
          <w:sz w:val="20"/>
          <w:szCs w:val="20"/>
          <w:lang w:val="de-DE"/>
        </w:rPr>
        <w:t>» (</w:t>
      </w:r>
      <w:r w:rsidRPr="00844F1B">
        <w:rPr>
          <w:rFonts w:ascii="Times New Roman" w:hAnsi="Times New Roman" w:cs="Times New Roman"/>
          <w:i/>
          <w:sz w:val="20"/>
          <w:szCs w:val="20"/>
          <w:lang w:val="de-DE"/>
        </w:rPr>
        <w:t>SE</w:t>
      </w:r>
      <w:r w:rsidRPr="00844F1B">
        <w:rPr>
          <w:rFonts w:ascii="Times New Roman" w:hAnsi="Times New Roman" w:cs="Times New Roman"/>
          <w:sz w:val="20"/>
          <w:szCs w:val="20"/>
          <w:lang w:val="de-DE"/>
        </w:rPr>
        <w:t xml:space="preserve">, pp. 263-264). Sull’interpretazione di questo frammento cfr. G. Cantillo, </w:t>
      </w:r>
      <w:r w:rsidRPr="00474663">
        <w:rPr>
          <w:rFonts w:ascii="Times New Roman" w:hAnsi="Times New Roman" w:cs="Times New Roman"/>
          <w:i/>
          <w:sz w:val="20"/>
          <w:szCs w:val="20"/>
          <w:lang w:val="de-DE"/>
        </w:rPr>
        <w:t>Hegel a Jena. Dall'«ideale degli anni giovanili» alla elaborazione del «Gesamtsystem»</w:t>
      </w:r>
      <w:r w:rsidRPr="00844F1B">
        <w:rPr>
          <w:rFonts w:ascii="Times New Roman" w:hAnsi="Times New Roman" w:cs="Times New Roman"/>
          <w:sz w:val="20"/>
          <w:szCs w:val="20"/>
          <w:lang w:val="de-DE"/>
        </w:rPr>
        <w:t xml:space="preserve">, in «Atti dell’Accademia di Scienze Morali e Politiche», vol. XC (1979), pp. 97-141 e K. R. Meist, </w:t>
      </w:r>
      <w:r w:rsidRPr="00844F1B">
        <w:rPr>
          <w:rFonts w:ascii="Times New Roman" w:hAnsi="Times New Roman" w:cs="Times New Roman"/>
          <w:i/>
          <w:sz w:val="20"/>
          <w:szCs w:val="20"/>
          <w:lang w:val="de-DE"/>
        </w:rPr>
        <w:t>Hegels Systemkonzeption in der frühen Jenaer Zeit</w:t>
      </w:r>
      <w:r w:rsidRPr="00844F1B">
        <w:rPr>
          <w:rFonts w:ascii="Times New Roman" w:hAnsi="Times New Roman" w:cs="Times New Roman"/>
          <w:sz w:val="20"/>
          <w:szCs w:val="20"/>
          <w:lang w:val="de-DE"/>
        </w:rPr>
        <w:t>, in «Hegel-Studien», Beiheft 20 (1980), pp. 59-80.</w:t>
      </w:r>
    </w:p>
  </w:footnote>
  <w:footnote w:id="775">
    <w:p w14:paraId="1C1ED985" w14:textId="77777777" w:rsidR="00B34CC2" w:rsidRPr="00D25EC1" w:rsidRDefault="00B34CC2" w:rsidP="00F721A9">
      <w:pPr>
        <w:pStyle w:val="Testonotaapidipagina"/>
        <w:jc w:val="both"/>
        <w:rPr>
          <w:rFonts w:ascii="Times New Roman" w:hAnsi="Times New Roman" w:cs="Times New Roman"/>
          <w:sz w:val="20"/>
          <w:szCs w:val="20"/>
        </w:rPr>
      </w:pPr>
      <w:r w:rsidRPr="00725065">
        <w:rPr>
          <w:rStyle w:val="Rimandonotaapidipagina"/>
          <w:rFonts w:ascii="Times New Roman" w:hAnsi="Times New Roman" w:cs="Times New Roman"/>
          <w:sz w:val="20"/>
          <w:szCs w:val="20"/>
        </w:rPr>
        <w:footnoteRef/>
      </w:r>
      <w:r w:rsidRPr="00725065">
        <w:rPr>
          <w:rFonts w:ascii="Times New Roman" w:hAnsi="Times New Roman" w:cs="Times New Roman"/>
          <w:sz w:val="20"/>
          <w:szCs w:val="20"/>
        </w:rPr>
        <w:t xml:space="preserve"> </w:t>
      </w:r>
      <w:r w:rsidRPr="00725065">
        <w:rPr>
          <w:rFonts w:ascii="Times New Roman" w:hAnsi="Times New Roman" w:cs="Times New Roman"/>
          <w:i/>
          <w:sz w:val="20"/>
          <w:szCs w:val="20"/>
        </w:rPr>
        <w:t>JS</w:t>
      </w:r>
      <w:r>
        <w:rPr>
          <w:rFonts w:ascii="Times New Roman" w:hAnsi="Times New Roman" w:cs="Times New Roman"/>
          <w:i/>
          <w:sz w:val="20"/>
          <w:szCs w:val="20"/>
        </w:rPr>
        <w:t>E</w:t>
      </w:r>
      <w:r w:rsidRPr="00725065">
        <w:rPr>
          <w:rFonts w:ascii="Times New Roman" w:hAnsi="Times New Roman" w:cs="Times New Roman"/>
          <w:i/>
          <w:sz w:val="20"/>
          <w:szCs w:val="20"/>
        </w:rPr>
        <w:t xml:space="preserve"> I</w:t>
      </w:r>
      <w:r w:rsidRPr="00725065">
        <w:rPr>
          <w:rFonts w:ascii="Times New Roman" w:hAnsi="Times New Roman" w:cs="Times New Roman"/>
          <w:sz w:val="20"/>
          <w:szCs w:val="20"/>
        </w:rPr>
        <w:t>, p. 294.</w:t>
      </w:r>
    </w:p>
  </w:footnote>
  <w:footnote w:id="776">
    <w:p w14:paraId="668B9164" w14:textId="02968DCA" w:rsidR="00B34CC2" w:rsidRPr="0074014E" w:rsidRDefault="00B34CC2" w:rsidP="00F721A9">
      <w:pPr>
        <w:pStyle w:val="Testonotaapidipagina"/>
        <w:jc w:val="both"/>
        <w:rPr>
          <w:rFonts w:ascii="Times New Roman" w:hAnsi="Times New Roman" w:cs="Times New Roman"/>
          <w:sz w:val="20"/>
          <w:szCs w:val="20"/>
        </w:rPr>
      </w:pPr>
      <w:r w:rsidRPr="0096509C">
        <w:rPr>
          <w:rStyle w:val="Rimandonotaapidipagina"/>
          <w:rFonts w:ascii="Times New Roman" w:hAnsi="Times New Roman" w:cs="Times New Roman"/>
          <w:sz w:val="20"/>
          <w:szCs w:val="20"/>
        </w:rPr>
        <w:footnoteRef/>
      </w:r>
      <w:r w:rsidRPr="0096509C">
        <w:rPr>
          <w:rFonts w:ascii="Times New Roman" w:hAnsi="Times New Roman" w:cs="Times New Roman"/>
          <w:sz w:val="20"/>
          <w:szCs w:val="20"/>
        </w:rPr>
        <w:t xml:space="preserve"> Sulla natura oggettiva del pensiero cfr. A. Ferrarin, </w:t>
      </w:r>
      <w:r w:rsidRPr="0096509C">
        <w:rPr>
          <w:rFonts w:ascii="Times New Roman" w:hAnsi="Times New Roman" w:cs="Times New Roman"/>
          <w:i/>
          <w:sz w:val="20"/>
          <w:szCs w:val="20"/>
        </w:rPr>
        <w:t>Thinking and the I: Hegel and the Critique of Kant</w:t>
      </w:r>
      <w:r w:rsidRPr="0096509C">
        <w:rPr>
          <w:rFonts w:ascii="Times New Roman" w:hAnsi="Times New Roman" w:cs="Times New Roman"/>
          <w:sz w:val="20"/>
          <w:szCs w:val="20"/>
        </w:rPr>
        <w:t xml:space="preserve">, cit.; </w:t>
      </w:r>
      <w:r>
        <w:rPr>
          <w:rFonts w:ascii="Times New Roman" w:hAnsi="Times New Roman" w:cs="Times New Roman"/>
          <w:sz w:val="20"/>
          <w:szCs w:val="20"/>
        </w:rPr>
        <w:t xml:space="preserve">J. Hyppolite, </w:t>
      </w:r>
      <w:r w:rsidRPr="00FA0CFA">
        <w:rPr>
          <w:rFonts w:ascii="Times New Roman" w:hAnsi="Times New Roman" w:cs="Times New Roman"/>
          <w:i/>
          <w:sz w:val="20"/>
          <w:szCs w:val="20"/>
        </w:rPr>
        <w:t>Logique et existence</w:t>
      </w:r>
      <w:r>
        <w:rPr>
          <w:rFonts w:ascii="Times New Roman" w:hAnsi="Times New Roman" w:cs="Times New Roman"/>
          <w:sz w:val="20"/>
          <w:szCs w:val="20"/>
        </w:rPr>
        <w:t xml:space="preserve">, cit., pp. 120-134; </w:t>
      </w:r>
      <w:r w:rsidRPr="0096509C">
        <w:rPr>
          <w:rFonts w:ascii="Times New Roman" w:hAnsi="Times New Roman" w:cs="Times New Roman"/>
          <w:sz w:val="20"/>
          <w:szCs w:val="20"/>
        </w:rPr>
        <w:t xml:space="preserve">W. Jaeschke, </w:t>
      </w:r>
      <w:r w:rsidRPr="0096509C">
        <w:rPr>
          <w:rFonts w:ascii="Times New Roman" w:hAnsi="Times New Roman" w:cs="Times New Roman"/>
          <w:i/>
          <w:sz w:val="20"/>
          <w:szCs w:val="20"/>
        </w:rPr>
        <w:t>L’‘oggettività’ nella logica di Hegel</w:t>
      </w:r>
      <w:r w:rsidRPr="0096509C">
        <w:rPr>
          <w:rFonts w:ascii="Times New Roman" w:hAnsi="Times New Roman" w:cs="Times New Roman"/>
          <w:sz w:val="20"/>
          <w:szCs w:val="20"/>
        </w:rPr>
        <w:t xml:space="preserve">,  in </w:t>
      </w:r>
      <w:r w:rsidRPr="0096509C">
        <w:rPr>
          <w:rFonts w:ascii="Times New Roman" w:hAnsi="Times New Roman" w:cs="Times New Roman"/>
          <w:i/>
          <w:sz w:val="20"/>
          <w:szCs w:val="20"/>
        </w:rPr>
        <w:t>Lezioni hegeliane</w:t>
      </w:r>
      <w:r w:rsidRPr="0096509C">
        <w:rPr>
          <w:rFonts w:ascii="Times New Roman" w:hAnsi="Times New Roman" w:cs="Times New Roman"/>
          <w:sz w:val="20"/>
          <w:szCs w:val="20"/>
        </w:rPr>
        <w:t xml:space="preserve">, Edizioni della Normale, Pisa 2016, pp. 97-115; G. Oswald, </w:t>
      </w:r>
      <w:r w:rsidRPr="0096509C">
        <w:rPr>
          <w:rFonts w:ascii="Times New Roman" w:hAnsi="Times New Roman" w:cs="Times New Roman"/>
          <w:i/>
          <w:sz w:val="20"/>
          <w:szCs w:val="20"/>
        </w:rPr>
        <w:t>Das freie Sich-entlassen der Idee in der Natur in Hegels „Wissenschaft der Logik”</w:t>
      </w:r>
      <w:r w:rsidRPr="0096509C">
        <w:rPr>
          <w:rFonts w:ascii="Times New Roman" w:hAnsi="Times New Roman" w:cs="Times New Roman"/>
          <w:sz w:val="20"/>
          <w:szCs w:val="20"/>
        </w:rPr>
        <w:t>, Felix Meiner Verlag, Hamburg 2020.</w:t>
      </w:r>
    </w:p>
  </w:footnote>
  <w:footnote w:id="777">
    <w:p w14:paraId="13558D83" w14:textId="3E1764CB" w:rsidR="00B34CC2" w:rsidRPr="001F2627" w:rsidRDefault="00B34CC2" w:rsidP="00F721A9">
      <w:pPr>
        <w:pStyle w:val="Testonotaapidipagina"/>
        <w:jc w:val="both"/>
        <w:rPr>
          <w:rFonts w:ascii="Times New Roman" w:hAnsi="Times New Roman" w:cs="Times New Roman"/>
          <w:sz w:val="20"/>
          <w:szCs w:val="20"/>
          <w:lang w:val="de-DE"/>
        </w:rPr>
      </w:pPr>
      <w:r w:rsidRPr="006E5B48">
        <w:rPr>
          <w:rStyle w:val="Rimandonotaapidipagina"/>
          <w:rFonts w:ascii="Times New Roman" w:hAnsi="Times New Roman" w:cs="Times New Roman"/>
          <w:sz w:val="20"/>
          <w:szCs w:val="20"/>
        </w:rPr>
        <w:footnoteRef/>
      </w:r>
      <w:r w:rsidRPr="006E5B48">
        <w:rPr>
          <w:rFonts w:ascii="Times New Roman" w:hAnsi="Times New Roman" w:cs="Times New Roman"/>
          <w:sz w:val="20"/>
          <w:szCs w:val="20"/>
        </w:rPr>
        <w:t xml:space="preserve"> Su questo punto cfr. </w:t>
      </w:r>
      <w:r>
        <w:rPr>
          <w:rFonts w:ascii="Times New Roman" w:hAnsi="Times New Roman" w:cs="Times New Roman"/>
          <w:sz w:val="20"/>
          <w:szCs w:val="20"/>
        </w:rPr>
        <w:t xml:space="preserve">R. Bodei, </w:t>
      </w:r>
      <w:r>
        <w:rPr>
          <w:rFonts w:ascii="Times New Roman" w:hAnsi="Times New Roman" w:cs="Times New Roman"/>
          <w:i/>
          <w:sz w:val="20"/>
          <w:szCs w:val="20"/>
        </w:rPr>
        <w:t>Die Metaphysik der Zeit in Hegels Geschichte der Philosophie</w:t>
      </w:r>
      <w:r>
        <w:rPr>
          <w:rFonts w:ascii="Times New Roman" w:hAnsi="Times New Roman" w:cs="Times New Roman"/>
          <w:sz w:val="20"/>
          <w:szCs w:val="20"/>
        </w:rPr>
        <w:t xml:space="preserve">, in </w:t>
      </w:r>
      <w:r>
        <w:rPr>
          <w:rFonts w:ascii="Times New Roman" w:hAnsi="Times New Roman" w:cs="Times New Roman"/>
          <w:i/>
          <w:sz w:val="20"/>
          <w:szCs w:val="20"/>
        </w:rPr>
        <w:t xml:space="preserve">Hegels Logik der Philosophie: Religion und Philosophie in der Theorie des absoluten Geistes, </w:t>
      </w:r>
      <w:r>
        <w:rPr>
          <w:rFonts w:ascii="Times New Roman" w:hAnsi="Times New Roman" w:cs="Times New Roman"/>
          <w:sz w:val="20"/>
          <w:szCs w:val="20"/>
        </w:rPr>
        <w:t xml:space="preserve">hrsg. von D. Henrich und R.-P. Horstmann, Klett-Cotta, Stuttgart 1984, pp. 79-98; B. Lakebrink, </w:t>
      </w:r>
      <w:r>
        <w:rPr>
          <w:rFonts w:ascii="Times New Roman" w:hAnsi="Times New Roman" w:cs="Times New Roman"/>
          <w:i/>
          <w:sz w:val="20"/>
          <w:szCs w:val="20"/>
        </w:rPr>
        <w:t>Hegels Metaphysik der Zeit</w:t>
      </w:r>
      <w:r>
        <w:rPr>
          <w:rFonts w:ascii="Times New Roman" w:hAnsi="Times New Roman" w:cs="Times New Roman"/>
          <w:sz w:val="20"/>
          <w:szCs w:val="20"/>
        </w:rPr>
        <w:t xml:space="preserve">, in «Philosophisches Jahrbuch, n. 74 (1966-67), pp. 284-293; </w:t>
      </w:r>
      <w:r w:rsidRPr="006E5B48">
        <w:rPr>
          <w:rFonts w:ascii="Times New Roman" w:hAnsi="Times New Roman" w:cs="Times New Roman"/>
          <w:sz w:val="20"/>
          <w:szCs w:val="20"/>
        </w:rPr>
        <w:t xml:space="preserve">K. Düsing, </w:t>
      </w:r>
      <w:r w:rsidRPr="006E5B48">
        <w:rPr>
          <w:rFonts w:ascii="Times New Roman" w:hAnsi="Times New Roman" w:cs="Times New Roman"/>
          <w:i/>
          <w:sz w:val="20"/>
          <w:szCs w:val="20"/>
        </w:rPr>
        <w:t>Hegel und die Geschichte der Philosophie</w:t>
      </w:r>
      <w:r w:rsidRPr="006E5B48">
        <w:rPr>
          <w:rFonts w:ascii="Times New Roman" w:hAnsi="Times New Roman" w:cs="Times New Roman"/>
          <w:sz w:val="20"/>
          <w:szCs w:val="20"/>
        </w:rPr>
        <w:t xml:space="preserve">, Wissenschaftliche Buchgesellschaft, Darmstadt 1983, p. 16; A. Ferrarin, </w:t>
      </w:r>
      <w:r w:rsidRPr="006E5B48">
        <w:rPr>
          <w:rFonts w:ascii="Times New Roman" w:hAnsi="Times New Roman" w:cs="Times New Roman"/>
          <w:i/>
          <w:sz w:val="20"/>
          <w:szCs w:val="20"/>
        </w:rPr>
        <w:t>Hegel and Aristotle</w:t>
      </w:r>
      <w:r w:rsidRPr="006E5B48">
        <w:rPr>
          <w:rFonts w:ascii="Times New Roman" w:hAnsi="Times New Roman" w:cs="Times New Roman"/>
          <w:sz w:val="20"/>
          <w:szCs w:val="20"/>
        </w:rPr>
        <w:t xml:space="preserve">, Cambridge University Press, Cambridge 2001, p. 42; G. Frilli, </w:t>
      </w:r>
      <w:r w:rsidRPr="006E5B48">
        <w:rPr>
          <w:rFonts w:ascii="Times New Roman" w:hAnsi="Times New Roman" w:cs="Times New Roman"/>
          <w:i/>
          <w:sz w:val="20"/>
          <w:szCs w:val="20"/>
        </w:rPr>
        <w:t>Passato senza tempo. Tempo, storia e memoria nella Fenomenologia dello spirito di Hegel</w:t>
      </w:r>
      <w:r w:rsidRPr="006E5B48">
        <w:rPr>
          <w:rFonts w:ascii="Times New Roman" w:hAnsi="Times New Roman" w:cs="Times New Roman"/>
          <w:sz w:val="20"/>
          <w:szCs w:val="20"/>
        </w:rPr>
        <w:t xml:space="preserve">, Verifiche, Trento 2015, p. 163. Come ha notato giustamente Klaus Düsing ciò che viene a mancare nel </w:t>
      </w:r>
      <w:r w:rsidRPr="006E5B48">
        <w:rPr>
          <w:rFonts w:ascii="Times New Roman" w:hAnsi="Times New Roman" w:cs="Times New Roman"/>
          <w:i/>
          <w:sz w:val="20"/>
          <w:szCs w:val="20"/>
        </w:rPr>
        <w:t xml:space="preserve">Differenzschrift </w:t>
      </w:r>
      <w:r w:rsidRPr="006E5B48">
        <w:rPr>
          <w:rFonts w:ascii="Times New Roman" w:hAnsi="Times New Roman" w:cs="Times New Roman"/>
          <w:sz w:val="20"/>
          <w:szCs w:val="20"/>
        </w:rPr>
        <w:t xml:space="preserve">non è la dimensione storica della filosofia, ma la sua organizzazione teleologica, ossia il suo progressivo tendere alla forma espositiva che le conferirà Hegel stesso. Cfr. K. Düsing, </w:t>
      </w:r>
      <w:r w:rsidRPr="006E5B48">
        <w:rPr>
          <w:rFonts w:ascii="Times New Roman" w:hAnsi="Times New Roman" w:cs="Times New Roman"/>
          <w:i/>
          <w:sz w:val="20"/>
          <w:szCs w:val="20"/>
        </w:rPr>
        <w:t>Hegel und die Geschichte der Philosophie</w:t>
      </w:r>
      <w:r w:rsidRPr="006E5B48">
        <w:rPr>
          <w:rFonts w:ascii="Times New Roman" w:hAnsi="Times New Roman" w:cs="Times New Roman"/>
          <w:sz w:val="20"/>
          <w:szCs w:val="20"/>
        </w:rPr>
        <w:t>, cit., p. 16: «</w:t>
      </w:r>
      <w:r w:rsidRPr="006E5B48">
        <w:rPr>
          <w:rFonts w:ascii="Times New Roman" w:hAnsi="Times New Roman" w:cs="Times New Roman"/>
          <w:sz w:val="20"/>
          <w:szCs w:val="20"/>
          <w:lang w:val="de-DE"/>
        </w:rPr>
        <w:t>Hegel beansprucht hier [</w:t>
      </w:r>
      <w:r w:rsidRPr="006E5B48">
        <w:rPr>
          <w:rFonts w:ascii="Times New Roman" w:hAnsi="Times New Roman" w:cs="Times New Roman"/>
          <w:i/>
          <w:sz w:val="20"/>
          <w:szCs w:val="20"/>
        </w:rPr>
        <w:t>Differenzschrift</w:t>
      </w:r>
      <w:r w:rsidRPr="006E5B48">
        <w:rPr>
          <w:rFonts w:ascii="Times New Roman" w:hAnsi="Times New Roman" w:cs="Times New Roman"/>
          <w:sz w:val="20"/>
          <w:szCs w:val="20"/>
          <w:lang w:val="de-DE"/>
        </w:rPr>
        <w:t>] nicht, eine fortschreitende Entwicklung in der Geschichte der Philsophie erkennen zu können; erst recht ist ihm sein eigener systematischer Entwurf, der noch kaum im Umriß ausgearbeitet ist, nicht Ziel der geschichtlichen Abfolge philosophischer Theorien».</w:t>
      </w:r>
    </w:p>
  </w:footnote>
  <w:footnote w:id="778">
    <w:p w14:paraId="54228872" w14:textId="77777777" w:rsidR="00B34CC2" w:rsidRPr="00AB1FBC" w:rsidRDefault="00B34CC2" w:rsidP="00F721A9">
      <w:pPr>
        <w:pStyle w:val="Testonotaapidipagina"/>
        <w:jc w:val="both"/>
        <w:rPr>
          <w:rFonts w:ascii="Times New Roman" w:hAnsi="Times New Roman" w:cs="Times New Roman"/>
          <w:sz w:val="20"/>
          <w:szCs w:val="20"/>
        </w:rPr>
      </w:pPr>
      <w:r w:rsidRPr="00AB1FBC">
        <w:rPr>
          <w:rStyle w:val="Rimandonotaapidipagina"/>
          <w:rFonts w:ascii="Times New Roman" w:hAnsi="Times New Roman" w:cs="Times New Roman"/>
          <w:sz w:val="20"/>
          <w:szCs w:val="20"/>
        </w:rPr>
        <w:footnoteRef/>
      </w:r>
      <w:r w:rsidRPr="00AB1FBC">
        <w:rPr>
          <w:rFonts w:ascii="Times New Roman" w:hAnsi="Times New Roman" w:cs="Times New Roman"/>
          <w:sz w:val="20"/>
          <w:szCs w:val="20"/>
        </w:rPr>
        <w:t xml:space="preserve"> </w:t>
      </w:r>
      <w:r w:rsidRPr="00AB1FBC">
        <w:rPr>
          <w:rFonts w:ascii="Times New Roman" w:hAnsi="Times New Roman" w:cs="Times New Roman"/>
          <w:i/>
          <w:sz w:val="20"/>
          <w:szCs w:val="20"/>
        </w:rPr>
        <w:t>JS III</w:t>
      </w:r>
      <w:r w:rsidRPr="00AB1FBC">
        <w:rPr>
          <w:rFonts w:ascii="Times New Roman" w:hAnsi="Times New Roman" w:cs="Times New Roman"/>
          <w:sz w:val="20"/>
          <w:szCs w:val="20"/>
        </w:rPr>
        <w:t>, p. 287.</w:t>
      </w:r>
    </w:p>
  </w:footnote>
  <w:footnote w:id="779">
    <w:p w14:paraId="4BD95D8C" w14:textId="203511D8" w:rsidR="00B34CC2" w:rsidRPr="00560138" w:rsidRDefault="00B34CC2" w:rsidP="00F721A9">
      <w:pPr>
        <w:jc w:val="both"/>
        <w:rPr>
          <w:rFonts w:ascii="Times New Roman" w:hAnsi="Times New Roman" w:cs="Times New Roman"/>
          <w:sz w:val="20"/>
          <w:szCs w:val="20"/>
        </w:rPr>
      </w:pPr>
      <w:r w:rsidRPr="0060042B">
        <w:rPr>
          <w:rStyle w:val="Rimandonotaapidipagina"/>
          <w:rFonts w:ascii="Times New Roman" w:hAnsi="Times New Roman" w:cs="Times New Roman"/>
          <w:sz w:val="20"/>
          <w:szCs w:val="20"/>
        </w:rPr>
        <w:footnoteRef/>
      </w:r>
      <w:r w:rsidRPr="0060042B">
        <w:rPr>
          <w:rFonts w:ascii="Times New Roman" w:hAnsi="Times New Roman" w:cs="Times New Roman"/>
          <w:sz w:val="20"/>
          <w:szCs w:val="20"/>
        </w:rPr>
        <w:t xml:space="preserve"> Sulla capacità della filosofia di recuperare, sviluppandosi storicamente e </w:t>
      </w:r>
      <w:r w:rsidRPr="0060042B">
        <w:rPr>
          <w:rFonts w:ascii="Times New Roman" w:hAnsi="Times New Roman" w:cs="Times New Roman"/>
          <w:i/>
          <w:sz w:val="20"/>
          <w:szCs w:val="20"/>
        </w:rPr>
        <w:t>togliendo</w:t>
      </w:r>
      <w:r w:rsidRPr="0060042B">
        <w:rPr>
          <w:rFonts w:ascii="Times New Roman" w:hAnsi="Times New Roman" w:cs="Times New Roman"/>
          <w:sz w:val="20"/>
          <w:szCs w:val="20"/>
        </w:rPr>
        <w:t xml:space="preserve"> la dimensione temporale</w:t>
      </w:r>
      <w:r>
        <w:rPr>
          <w:rFonts w:ascii="Times New Roman" w:hAnsi="Times New Roman" w:cs="Times New Roman"/>
          <w:sz w:val="20"/>
          <w:szCs w:val="20"/>
        </w:rPr>
        <w:t xml:space="preserve"> in cui si trova situata, la</w:t>
      </w:r>
      <w:r w:rsidRPr="0060042B">
        <w:rPr>
          <w:rFonts w:ascii="Times New Roman" w:hAnsi="Times New Roman" w:cs="Times New Roman"/>
          <w:sz w:val="20"/>
          <w:szCs w:val="20"/>
        </w:rPr>
        <w:t xml:space="preserve"> natura eterna e senza tempo</w:t>
      </w:r>
      <w:r>
        <w:rPr>
          <w:rFonts w:ascii="Times New Roman" w:hAnsi="Times New Roman" w:cs="Times New Roman"/>
          <w:sz w:val="20"/>
          <w:szCs w:val="20"/>
        </w:rPr>
        <w:t xml:space="preserve"> del concetto</w:t>
      </w:r>
      <w:r w:rsidRPr="0060042B">
        <w:rPr>
          <w:rFonts w:ascii="Times New Roman" w:hAnsi="Times New Roman" w:cs="Times New Roman"/>
          <w:sz w:val="20"/>
          <w:szCs w:val="20"/>
        </w:rPr>
        <w:t xml:space="preserve">, merita di essere ricordato, ancora una volta, il lavoro di G. Frilli, </w:t>
      </w:r>
      <w:r w:rsidRPr="0060042B">
        <w:rPr>
          <w:rFonts w:ascii="Times New Roman" w:hAnsi="Times New Roman" w:cs="Times New Roman"/>
          <w:i/>
          <w:sz w:val="20"/>
          <w:szCs w:val="20"/>
        </w:rPr>
        <w:t>Passato senza tempo</w:t>
      </w:r>
      <w:r w:rsidRPr="0060042B">
        <w:rPr>
          <w:rFonts w:ascii="Times New Roman" w:hAnsi="Times New Roman" w:cs="Times New Roman"/>
          <w:sz w:val="20"/>
          <w:szCs w:val="20"/>
        </w:rPr>
        <w:t xml:space="preserve">, pp. 162-193. </w:t>
      </w:r>
      <w:r>
        <w:rPr>
          <w:rFonts w:ascii="Times New Roman" w:hAnsi="Times New Roman" w:cs="Times New Roman"/>
          <w:sz w:val="20"/>
          <w:szCs w:val="20"/>
        </w:rPr>
        <w:t xml:space="preserve">Si veda anche L. Lugarini, </w:t>
      </w:r>
      <w:r>
        <w:rPr>
          <w:rFonts w:ascii="Times New Roman" w:hAnsi="Times New Roman" w:cs="Times New Roman"/>
          <w:i/>
          <w:sz w:val="20"/>
          <w:szCs w:val="20"/>
        </w:rPr>
        <w:t>Orizzonti hegeliani di comprensione dell’essere</w:t>
      </w:r>
      <w:r>
        <w:rPr>
          <w:rFonts w:ascii="Times New Roman" w:hAnsi="Times New Roman" w:cs="Times New Roman"/>
          <w:sz w:val="20"/>
          <w:szCs w:val="20"/>
        </w:rPr>
        <w:t xml:space="preserve">, cit., pp. 93-102; J.-F. Kervégan, </w:t>
      </w:r>
      <w:r>
        <w:rPr>
          <w:rFonts w:ascii="Times New Roman" w:hAnsi="Times New Roman" w:cs="Times New Roman"/>
          <w:i/>
          <w:sz w:val="20"/>
          <w:szCs w:val="20"/>
        </w:rPr>
        <w:t>Esiste una filosofia della storia?</w:t>
      </w:r>
      <w:r>
        <w:rPr>
          <w:rFonts w:ascii="Times New Roman" w:hAnsi="Times New Roman" w:cs="Times New Roman"/>
          <w:sz w:val="20"/>
          <w:szCs w:val="20"/>
        </w:rPr>
        <w:t xml:space="preserve">, in </w:t>
      </w:r>
      <w:r>
        <w:rPr>
          <w:rFonts w:ascii="Times New Roman" w:hAnsi="Times New Roman" w:cs="Times New Roman"/>
          <w:i/>
          <w:sz w:val="20"/>
          <w:szCs w:val="20"/>
        </w:rPr>
        <w:t>Lezioni hegeliane</w:t>
      </w:r>
      <w:r>
        <w:rPr>
          <w:rFonts w:ascii="Times New Roman" w:hAnsi="Times New Roman" w:cs="Times New Roman"/>
          <w:sz w:val="20"/>
          <w:szCs w:val="20"/>
        </w:rPr>
        <w:t xml:space="preserve">, cit., pp. 53-75. </w:t>
      </w:r>
      <w:r w:rsidRPr="0060042B">
        <w:rPr>
          <w:rFonts w:ascii="Times New Roman" w:hAnsi="Times New Roman" w:cs="Times New Roman"/>
          <w:sz w:val="20"/>
          <w:szCs w:val="20"/>
        </w:rPr>
        <w:t xml:space="preserve">Per una critica di questa posizione hegeliana, che individua nella filosofia </w:t>
      </w:r>
      <w:r>
        <w:rPr>
          <w:rFonts w:ascii="Times New Roman" w:hAnsi="Times New Roman" w:cs="Times New Roman"/>
          <w:sz w:val="20"/>
          <w:szCs w:val="20"/>
        </w:rPr>
        <w:t xml:space="preserve">di Hegel </w:t>
      </w:r>
      <w:r w:rsidRPr="0060042B">
        <w:rPr>
          <w:rFonts w:ascii="Times New Roman" w:hAnsi="Times New Roman" w:cs="Times New Roman"/>
          <w:sz w:val="20"/>
          <w:szCs w:val="20"/>
        </w:rPr>
        <w:t xml:space="preserve">un arresto del processo storico, si veda G. Luckás, </w:t>
      </w:r>
      <w:r w:rsidRPr="0060042B">
        <w:rPr>
          <w:rFonts w:ascii="Times New Roman" w:hAnsi="Times New Roman" w:cs="Times New Roman"/>
          <w:i/>
          <w:sz w:val="20"/>
          <w:szCs w:val="20"/>
        </w:rPr>
        <w:t>Der junge Hegel. Über die Beziehungen von Dialektik und Ökonomie</w:t>
      </w:r>
      <w:r w:rsidRPr="0060042B">
        <w:rPr>
          <w:rFonts w:ascii="Times New Roman" w:hAnsi="Times New Roman" w:cs="Times New Roman"/>
          <w:sz w:val="20"/>
          <w:szCs w:val="20"/>
        </w:rPr>
        <w:t>, Europa Verlag</w:t>
      </w:r>
      <w:r>
        <w:rPr>
          <w:rFonts w:ascii="Times New Roman" w:hAnsi="Times New Roman" w:cs="Times New Roman"/>
          <w:sz w:val="20"/>
          <w:szCs w:val="20"/>
        </w:rPr>
        <w:t xml:space="preserve">, Zürich/Wien 1948, pp. 690-691: «Wir haben bereits hier davon gesprochen, daß der Geschichtsprozeß als Ganzes ein Ziel habe und zwar seine Selbsthebung, seine Rückkehr ins identische Subjekt-Objekt; nach der uns bereits bekannten Hegelschen fassung von der Gesamtgeschichte ist diese ja eine Entäußerung an die Zeit. </w:t>
      </w:r>
      <w:r w:rsidRPr="004F612A">
        <w:rPr>
          <w:rFonts w:ascii="Times New Roman" w:hAnsi="Times New Roman" w:cs="Times New Roman"/>
          <w:sz w:val="20"/>
          <w:szCs w:val="20"/>
        </w:rPr>
        <w:t>Die Rücknahme der Geschichte in das absolute Subjekt ist also eine hebung der Zeit, was eine konsequente Folge der hebung der Gegenständlichkeit ist</w:t>
      </w:r>
      <w:r w:rsidRPr="004F612A">
        <w:rPr>
          <w:rFonts w:ascii="Times New Roman" w:hAnsi="Times New Roman" w:cs="Times New Roman"/>
          <w:sz w:val="20"/>
          <w:szCs w:val="20"/>
          <w:lang w:val="de-DE"/>
        </w:rPr>
        <w:t xml:space="preserve">». Stessa cosa si osserv anche in H. Marcuse, </w:t>
      </w:r>
      <w:r w:rsidRPr="004F612A">
        <w:rPr>
          <w:rFonts w:ascii="Times New Roman" w:hAnsi="Times New Roman" w:cs="Times New Roman"/>
          <w:i/>
          <w:sz w:val="20"/>
          <w:szCs w:val="20"/>
          <w:lang w:val="de-DE"/>
        </w:rPr>
        <w:t>Hegels Ontologie und die Grundlegung einer Theorie der Geschichtlichkeit</w:t>
      </w:r>
      <w:r w:rsidRPr="004F612A">
        <w:rPr>
          <w:rFonts w:ascii="Times New Roman" w:hAnsi="Times New Roman" w:cs="Times New Roman"/>
          <w:sz w:val="20"/>
          <w:szCs w:val="20"/>
          <w:lang w:val="de-DE"/>
        </w:rPr>
        <w:t xml:space="preserve">, in </w:t>
      </w:r>
      <w:r w:rsidRPr="004F612A">
        <w:rPr>
          <w:rFonts w:ascii="Times New Roman" w:hAnsi="Times New Roman" w:cs="Times New Roman"/>
          <w:i/>
          <w:sz w:val="20"/>
          <w:szCs w:val="20"/>
          <w:lang w:val="de-DE"/>
        </w:rPr>
        <w:t>Herbert Marcuse Schriften</w:t>
      </w:r>
      <w:r w:rsidRPr="004F612A">
        <w:rPr>
          <w:rFonts w:ascii="Times New Roman" w:hAnsi="Times New Roman" w:cs="Times New Roman"/>
          <w:sz w:val="20"/>
          <w:szCs w:val="20"/>
          <w:lang w:val="de-DE"/>
        </w:rPr>
        <w:t xml:space="preserve">, Bd. II, Suhrkamp, Frankfurt am Main 1989, pp. 347-363. </w:t>
      </w:r>
    </w:p>
  </w:footnote>
  <w:footnote w:id="780">
    <w:p w14:paraId="6CE69F6B" w14:textId="77777777" w:rsidR="00B34CC2" w:rsidRPr="00046783" w:rsidRDefault="00B34CC2" w:rsidP="00F721A9">
      <w:pPr>
        <w:pStyle w:val="Testonotaapidipagina"/>
        <w:jc w:val="both"/>
        <w:rPr>
          <w:rFonts w:ascii="Times New Roman" w:hAnsi="Times New Roman" w:cs="Times New Roman"/>
          <w:sz w:val="20"/>
          <w:szCs w:val="20"/>
        </w:rPr>
      </w:pPr>
      <w:r w:rsidRPr="00046783">
        <w:rPr>
          <w:rStyle w:val="Rimandonotaapidipagina"/>
          <w:rFonts w:ascii="Times New Roman" w:hAnsi="Times New Roman" w:cs="Times New Roman"/>
          <w:sz w:val="20"/>
          <w:szCs w:val="20"/>
        </w:rPr>
        <w:footnoteRef/>
      </w:r>
      <w:r w:rsidRPr="00046783">
        <w:rPr>
          <w:rFonts w:ascii="Times New Roman" w:hAnsi="Times New Roman" w:cs="Times New Roman"/>
          <w:sz w:val="20"/>
          <w:szCs w:val="20"/>
        </w:rPr>
        <w:t xml:space="preserve"> </w:t>
      </w:r>
      <w:r w:rsidRPr="00046783">
        <w:rPr>
          <w:rFonts w:ascii="Times New Roman" w:hAnsi="Times New Roman" w:cs="Times New Roman"/>
          <w:i/>
          <w:sz w:val="20"/>
          <w:szCs w:val="20"/>
        </w:rPr>
        <w:t>Rph</w:t>
      </w:r>
      <w:r w:rsidRPr="00046783">
        <w:rPr>
          <w:rFonts w:ascii="Times New Roman" w:hAnsi="Times New Roman" w:cs="Times New Roman"/>
          <w:sz w:val="20"/>
          <w:szCs w:val="20"/>
        </w:rPr>
        <w:t xml:space="preserve">, p. 14. Sul significato non strettamente politico di questa formula hegeliana cfr. W. Jaeschke, </w:t>
      </w:r>
      <w:r w:rsidRPr="00046783">
        <w:rPr>
          <w:rFonts w:ascii="Times New Roman" w:hAnsi="Times New Roman" w:cs="Times New Roman"/>
          <w:i/>
          <w:sz w:val="20"/>
          <w:szCs w:val="20"/>
        </w:rPr>
        <w:t>Ragione e realtà</w:t>
      </w:r>
      <w:r w:rsidRPr="00046783">
        <w:rPr>
          <w:rFonts w:ascii="Times New Roman" w:hAnsi="Times New Roman" w:cs="Times New Roman"/>
          <w:sz w:val="20"/>
          <w:szCs w:val="20"/>
        </w:rPr>
        <w:t xml:space="preserve">, in </w:t>
      </w:r>
      <w:r w:rsidRPr="00046783">
        <w:rPr>
          <w:rFonts w:ascii="Times New Roman" w:hAnsi="Times New Roman" w:cs="Times New Roman"/>
          <w:i/>
          <w:sz w:val="20"/>
          <w:szCs w:val="20"/>
        </w:rPr>
        <w:t>Lezioni hegeliane</w:t>
      </w:r>
      <w:r w:rsidRPr="00046783">
        <w:rPr>
          <w:rFonts w:ascii="Times New Roman" w:hAnsi="Times New Roman" w:cs="Times New Roman"/>
          <w:sz w:val="20"/>
          <w:szCs w:val="20"/>
        </w:rPr>
        <w:t>, cit., pp. 115-126.</w:t>
      </w:r>
    </w:p>
  </w:footnote>
  <w:footnote w:id="781">
    <w:p w14:paraId="667ECAB9" w14:textId="77777777" w:rsidR="00B34CC2" w:rsidRPr="00046783" w:rsidRDefault="00B34CC2" w:rsidP="00F721A9">
      <w:pPr>
        <w:pStyle w:val="Testonotaapidipagina"/>
        <w:jc w:val="both"/>
        <w:rPr>
          <w:rFonts w:ascii="Times New Roman" w:hAnsi="Times New Roman" w:cs="Times New Roman"/>
          <w:sz w:val="20"/>
          <w:szCs w:val="20"/>
        </w:rPr>
      </w:pPr>
      <w:r w:rsidRPr="00046783">
        <w:rPr>
          <w:rStyle w:val="Rimandonotaapidipagina"/>
          <w:rFonts w:ascii="Times New Roman" w:hAnsi="Times New Roman" w:cs="Times New Roman"/>
          <w:sz w:val="20"/>
          <w:szCs w:val="20"/>
        </w:rPr>
        <w:footnoteRef/>
      </w:r>
      <w:r w:rsidRPr="00046783">
        <w:rPr>
          <w:rFonts w:ascii="Times New Roman" w:hAnsi="Times New Roman" w:cs="Times New Roman"/>
          <w:sz w:val="20"/>
          <w:szCs w:val="20"/>
        </w:rPr>
        <w:t xml:space="preserve"> </w:t>
      </w:r>
      <w:r w:rsidRPr="00046783">
        <w:rPr>
          <w:rFonts w:ascii="Times New Roman" w:hAnsi="Times New Roman" w:cs="Times New Roman"/>
          <w:i/>
          <w:sz w:val="20"/>
          <w:szCs w:val="20"/>
        </w:rPr>
        <w:t>Enz B</w:t>
      </w:r>
      <w:r w:rsidRPr="00046783">
        <w:rPr>
          <w:rFonts w:ascii="Times New Roman" w:hAnsi="Times New Roman" w:cs="Times New Roman"/>
          <w:sz w:val="20"/>
          <w:szCs w:val="20"/>
        </w:rPr>
        <w:t xml:space="preserve">, p. 40 e </w:t>
      </w:r>
      <w:r w:rsidRPr="00046783">
        <w:rPr>
          <w:rFonts w:ascii="Times New Roman" w:hAnsi="Times New Roman" w:cs="Times New Roman"/>
          <w:i/>
          <w:sz w:val="20"/>
          <w:szCs w:val="20"/>
        </w:rPr>
        <w:t>Enz C</w:t>
      </w:r>
      <w:r w:rsidRPr="00046783">
        <w:rPr>
          <w:rFonts w:ascii="Times New Roman" w:hAnsi="Times New Roman" w:cs="Times New Roman"/>
          <w:sz w:val="20"/>
          <w:szCs w:val="20"/>
        </w:rPr>
        <w:t>, p. 55.</w:t>
      </w:r>
    </w:p>
  </w:footnote>
  <w:footnote w:id="782">
    <w:p w14:paraId="293408FB" w14:textId="77777777" w:rsidR="00B34CC2" w:rsidRPr="00046783" w:rsidRDefault="00B34CC2" w:rsidP="00F721A9">
      <w:pPr>
        <w:pStyle w:val="Testonotaapidipagina"/>
        <w:jc w:val="both"/>
        <w:rPr>
          <w:rFonts w:ascii="Times New Roman" w:hAnsi="Times New Roman" w:cs="Times New Roman"/>
          <w:sz w:val="20"/>
          <w:szCs w:val="20"/>
        </w:rPr>
      </w:pPr>
      <w:r w:rsidRPr="00046783">
        <w:rPr>
          <w:rStyle w:val="Rimandonotaapidipagina"/>
          <w:rFonts w:ascii="Times New Roman" w:hAnsi="Times New Roman" w:cs="Times New Roman"/>
          <w:sz w:val="20"/>
          <w:szCs w:val="20"/>
        </w:rPr>
        <w:footnoteRef/>
      </w:r>
      <w:r w:rsidRPr="00046783">
        <w:rPr>
          <w:rFonts w:ascii="Times New Roman" w:hAnsi="Times New Roman" w:cs="Times New Roman"/>
          <w:sz w:val="20"/>
          <w:szCs w:val="20"/>
        </w:rPr>
        <w:t xml:space="preserve"> </w:t>
      </w:r>
      <w:r w:rsidRPr="00046783">
        <w:rPr>
          <w:rFonts w:ascii="Times New Roman" w:hAnsi="Times New Roman" w:cs="Times New Roman"/>
          <w:i/>
          <w:sz w:val="20"/>
          <w:szCs w:val="20"/>
        </w:rPr>
        <w:t>Ibidem</w:t>
      </w:r>
      <w:r>
        <w:rPr>
          <w:rFonts w:ascii="Times New Roman" w:hAnsi="Times New Roman" w:cs="Times New Roman"/>
          <w:sz w:val="20"/>
          <w:szCs w:val="20"/>
        </w:rPr>
        <w:t>.</w:t>
      </w:r>
    </w:p>
  </w:footnote>
  <w:footnote w:id="783">
    <w:p w14:paraId="4C493CA1" w14:textId="77777777" w:rsidR="00B34CC2" w:rsidRPr="00046783" w:rsidRDefault="00B34CC2" w:rsidP="00F721A9">
      <w:pPr>
        <w:pStyle w:val="Testonotaapidipagina"/>
        <w:jc w:val="both"/>
        <w:rPr>
          <w:rFonts w:ascii="Times New Roman" w:hAnsi="Times New Roman" w:cs="Times New Roman"/>
          <w:sz w:val="20"/>
          <w:szCs w:val="20"/>
        </w:rPr>
      </w:pPr>
      <w:r w:rsidRPr="00046783">
        <w:rPr>
          <w:rStyle w:val="Rimandonotaapidipagina"/>
          <w:rFonts w:ascii="Times New Roman" w:hAnsi="Times New Roman" w:cs="Times New Roman"/>
          <w:sz w:val="20"/>
          <w:szCs w:val="20"/>
        </w:rPr>
        <w:footnoteRef/>
      </w:r>
      <w:r w:rsidRPr="00046783">
        <w:rPr>
          <w:rFonts w:ascii="Times New Roman" w:hAnsi="Times New Roman" w:cs="Times New Roman"/>
          <w:sz w:val="20"/>
          <w:szCs w:val="20"/>
        </w:rPr>
        <w:t xml:space="preserve"> </w:t>
      </w:r>
      <w:r w:rsidRPr="00046783">
        <w:rPr>
          <w:rFonts w:ascii="Times New Roman" w:hAnsi="Times New Roman" w:cs="Times New Roman"/>
          <w:i/>
          <w:sz w:val="20"/>
          <w:szCs w:val="20"/>
        </w:rPr>
        <w:t>Rph</w:t>
      </w:r>
      <w:r w:rsidRPr="00046783">
        <w:rPr>
          <w:rFonts w:ascii="Times New Roman" w:hAnsi="Times New Roman" w:cs="Times New Roman"/>
          <w:sz w:val="20"/>
          <w:szCs w:val="20"/>
        </w:rPr>
        <w:t xml:space="preserve">, p. </w:t>
      </w:r>
      <w:r>
        <w:rPr>
          <w:rFonts w:ascii="Times New Roman" w:hAnsi="Times New Roman" w:cs="Times New Roman"/>
          <w:sz w:val="20"/>
          <w:szCs w:val="20"/>
        </w:rPr>
        <w:t>14</w:t>
      </w:r>
      <w:r w:rsidRPr="00046783">
        <w:rPr>
          <w:rFonts w:ascii="Times New Roman" w:hAnsi="Times New Roman" w:cs="Times New Roman"/>
          <w:sz w:val="20"/>
          <w:szCs w:val="20"/>
        </w:rPr>
        <w:t>.</w:t>
      </w:r>
    </w:p>
  </w:footnote>
  <w:footnote w:id="784">
    <w:p w14:paraId="30A7D637" w14:textId="77777777" w:rsidR="00B34CC2" w:rsidRPr="001A0AF4" w:rsidRDefault="00B34CC2" w:rsidP="00F721A9">
      <w:pPr>
        <w:pStyle w:val="Testonotaapidipagina"/>
        <w:jc w:val="both"/>
        <w:rPr>
          <w:rFonts w:ascii="Times New Roman" w:hAnsi="Times New Roman" w:cs="Times New Roman"/>
          <w:sz w:val="20"/>
          <w:szCs w:val="20"/>
          <w:highlight w:val="yellow"/>
        </w:rPr>
      </w:pPr>
      <w:r w:rsidRPr="00046783">
        <w:rPr>
          <w:rStyle w:val="Rimandonotaapidipagina"/>
          <w:rFonts w:ascii="Times New Roman" w:hAnsi="Times New Roman" w:cs="Times New Roman"/>
          <w:sz w:val="20"/>
          <w:szCs w:val="20"/>
        </w:rPr>
        <w:footnoteRef/>
      </w:r>
      <w:r w:rsidRPr="00046783">
        <w:rPr>
          <w:rFonts w:ascii="Times New Roman" w:hAnsi="Times New Roman" w:cs="Times New Roman"/>
          <w:sz w:val="20"/>
          <w:szCs w:val="20"/>
        </w:rPr>
        <w:t xml:space="preserve"> </w:t>
      </w:r>
      <w:r w:rsidRPr="00046783">
        <w:rPr>
          <w:rFonts w:ascii="Times New Roman" w:hAnsi="Times New Roman" w:cs="Times New Roman"/>
          <w:i/>
          <w:sz w:val="20"/>
          <w:szCs w:val="20"/>
        </w:rPr>
        <w:t>Enz B</w:t>
      </w:r>
      <w:r w:rsidRPr="00046783">
        <w:rPr>
          <w:rFonts w:ascii="Times New Roman" w:hAnsi="Times New Roman" w:cs="Times New Roman"/>
          <w:sz w:val="20"/>
          <w:szCs w:val="20"/>
        </w:rPr>
        <w:t xml:space="preserve">, p. 40 e </w:t>
      </w:r>
      <w:r w:rsidRPr="00046783">
        <w:rPr>
          <w:rFonts w:ascii="Times New Roman" w:hAnsi="Times New Roman" w:cs="Times New Roman"/>
          <w:i/>
          <w:sz w:val="20"/>
          <w:szCs w:val="20"/>
        </w:rPr>
        <w:t>Enz C</w:t>
      </w:r>
      <w:r w:rsidRPr="00046783">
        <w:rPr>
          <w:rFonts w:ascii="Times New Roman" w:hAnsi="Times New Roman" w:cs="Times New Roman"/>
          <w:sz w:val="20"/>
          <w:szCs w:val="20"/>
        </w:rPr>
        <w:t>, p. 55.</w:t>
      </w:r>
    </w:p>
  </w:footnote>
  <w:footnote w:id="785">
    <w:p w14:paraId="31D1BAC6" w14:textId="3868A10D" w:rsidR="00B34CC2" w:rsidRPr="001A0AF4" w:rsidRDefault="00B34CC2" w:rsidP="00F721A9">
      <w:pPr>
        <w:widowControl w:val="0"/>
        <w:autoSpaceDE w:val="0"/>
        <w:autoSpaceDN w:val="0"/>
        <w:adjustRightInd w:val="0"/>
        <w:spacing w:after="240"/>
        <w:jc w:val="both"/>
        <w:rPr>
          <w:rFonts w:ascii="Times" w:hAnsi="Times" w:cs="Times"/>
          <w:sz w:val="20"/>
          <w:szCs w:val="20"/>
          <w:lang w:val="de-DE"/>
        </w:rPr>
      </w:pPr>
      <w:r w:rsidRPr="001A0AF4">
        <w:rPr>
          <w:rStyle w:val="Rimandonotaapidipagina"/>
          <w:rFonts w:ascii="Times New Roman" w:hAnsi="Times New Roman" w:cs="Times New Roman"/>
          <w:sz w:val="20"/>
          <w:szCs w:val="20"/>
        </w:rPr>
        <w:footnoteRef/>
      </w:r>
      <w:r w:rsidRPr="001A0AF4">
        <w:rPr>
          <w:rFonts w:ascii="Times New Roman" w:hAnsi="Times New Roman" w:cs="Times New Roman"/>
          <w:sz w:val="20"/>
          <w:szCs w:val="20"/>
        </w:rPr>
        <w:t xml:space="preserve"> </w:t>
      </w:r>
      <w:r>
        <w:rPr>
          <w:rFonts w:ascii="Times New Roman" w:hAnsi="Times New Roman" w:cs="Times New Roman"/>
          <w:sz w:val="20"/>
          <w:szCs w:val="20"/>
        </w:rPr>
        <w:t>Su questo punto vedi la critica di Lakebrink a Karl Löwith: «</w:t>
      </w:r>
      <w:r w:rsidRPr="00EA3535">
        <w:rPr>
          <w:rFonts w:ascii="Times New Roman" w:hAnsi="Times New Roman" w:cs="Times New Roman"/>
          <w:sz w:val="20"/>
          <w:szCs w:val="20"/>
          <w:lang w:val="de-DE"/>
        </w:rPr>
        <w:t xml:space="preserve">Es stimmt mit dem Geiste der Hegelschen Metaphysik nicht überein, wenn Löwith beispielsweise feststellt: „Gemäß dieser Konstruktion der Epochen ist Hegels Geschichte des Geistes nicht nur vorläufig an beliebiger Stelle geschlossen, sondern definitiv und bewußt beschlossen.“ (K. Löwith, </w:t>
      </w:r>
      <w:r w:rsidRPr="00EA3535">
        <w:rPr>
          <w:rFonts w:ascii="Times New Roman" w:hAnsi="Times New Roman" w:cs="Times New Roman"/>
          <w:i/>
          <w:sz w:val="20"/>
          <w:szCs w:val="20"/>
          <w:lang w:val="de-DE"/>
        </w:rPr>
        <w:t>Von Hegel zu Nietzsche</w:t>
      </w:r>
      <w:r w:rsidRPr="00EA3535">
        <w:rPr>
          <w:rFonts w:ascii="Times New Roman" w:hAnsi="Times New Roman" w:cs="Times New Roman"/>
          <w:sz w:val="20"/>
          <w:szCs w:val="20"/>
          <w:lang w:val="de-DE"/>
        </w:rPr>
        <w:t>, Stu</w:t>
      </w:r>
      <w:r>
        <w:rPr>
          <w:rFonts w:ascii="Times New Roman" w:hAnsi="Times New Roman" w:cs="Times New Roman"/>
          <w:sz w:val="20"/>
          <w:szCs w:val="20"/>
          <w:lang w:val="de-DE"/>
        </w:rPr>
        <w:t>ttgart 1958, S. 52). Lowith ver</w:t>
      </w:r>
      <w:r w:rsidRPr="00EA3535">
        <w:rPr>
          <w:rFonts w:ascii="Times New Roman" w:hAnsi="Times New Roman" w:cs="Times New Roman"/>
          <w:sz w:val="20"/>
          <w:szCs w:val="20"/>
          <w:lang w:val="de-DE"/>
        </w:rPr>
        <w:t xml:space="preserve">sucht, seine These  eine Äußerung Hegels zu gründen, die dieser zum Abschluß seiner Vorlesung über die Geschichte der neueren Philosophie getan hat. Die Stelle,  die Löwith sich beruft, lautet folgendermaßen: „Dies ist nun der Standpunkt der jetzigen Zeit [d. h. die Verunendlichung des menschlichen Selbstbewußtseins bzw. sein ,Sichwissen‘ in Gott (Enzykl. § 564)], und die Reihe der geistigen Gestaltungen ist </w:t>
      </w:r>
      <w:r w:rsidRPr="00EA3535">
        <w:rPr>
          <w:rFonts w:ascii="Times" w:hAnsi="Times" w:cs="Times"/>
          <w:i/>
          <w:iCs/>
          <w:sz w:val="20"/>
          <w:szCs w:val="20"/>
          <w:lang w:val="de-DE"/>
        </w:rPr>
        <w:t xml:space="preserve">für jetzt </w:t>
      </w:r>
      <w:r w:rsidRPr="00EA3535">
        <w:rPr>
          <w:rFonts w:ascii="Times New Roman" w:hAnsi="Times New Roman" w:cs="Times New Roman"/>
          <w:sz w:val="20"/>
          <w:szCs w:val="20"/>
          <w:lang w:val="de-DE"/>
        </w:rPr>
        <w:t xml:space="preserve">damit geschlossen. - Hiermit ist </w:t>
      </w:r>
      <w:r w:rsidRPr="00EA3535">
        <w:rPr>
          <w:rFonts w:ascii="Times" w:hAnsi="Times" w:cs="Times"/>
          <w:i/>
          <w:iCs/>
          <w:sz w:val="20"/>
          <w:szCs w:val="20"/>
          <w:lang w:val="de-DE"/>
        </w:rPr>
        <w:t xml:space="preserve">diese </w:t>
      </w:r>
      <w:r w:rsidRPr="00EA3535">
        <w:rPr>
          <w:rFonts w:ascii="Times New Roman" w:hAnsi="Times New Roman" w:cs="Times New Roman"/>
          <w:sz w:val="20"/>
          <w:szCs w:val="20"/>
          <w:lang w:val="de-DE"/>
        </w:rPr>
        <w:t xml:space="preserve">Geschichte der Philosophie </w:t>
      </w:r>
      <w:r w:rsidRPr="00EA3535">
        <w:rPr>
          <w:rFonts w:ascii="Times" w:hAnsi="Times" w:cs="Times"/>
          <w:i/>
          <w:iCs/>
          <w:sz w:val="20"/>
          <w:szCs w:val="20"/>
          <w:lang w:val="de-DE"/>
        </w:rPr>
        <w:t>beschlossen</w:t>
      </w:r>
      <w:r w:rsidRPr="00EA3535">
        <w:rPr>
          <w:rFonts w:ascii="Times New Roman" w:hAnsi="Times New Roman" w:cs="Times New Roman"/>
          <w:sz w:val="20"/>
          <w:szCs w:val="20"/>
          <w:lang w:val="de-DE"/>
        </w:rPr>
        <w:t>.“</w:t>
      </w:r>
      <w:r w:rsidRPr="001A0AF4">
        <w:rPr>
          <w:rFonts w:ascii="Times New Roman" w:hAnsi="Times New Roman" w:cs="Times New Roman"/>
          <w:sz w:val="20"/>
          <w:szCs w:val="20"/>
          <w:lang w:val="de-DE"/>
        </w:rPr>
        <w:t>»</w:t>
      </w:r>
      <w:r>
        <w:rPr>
          <w:rFonts w:ascii="Times New Roman" w:hAnsi="Times New Roman" w:cs="Times New Roman"/>
          <w:sz w:val="20"/>
          <w:szCs w:val="20"/>
          <w:lang w:val="de-DE"/>
        </w:rPr>
        <w:t xml:space="preserve"> (</w:t>
      </w:r>
      <w:r>
        <w:rPr>
          <w:rFonts w:ascii="Times New Roman" w:hAnsi="Times New Roman" w:cs="Times New Roman"/>
          <w:sz w:val="20"/>
          <w:szCs w:val="20"/>
        </w:rPr>
        <w:t xml:space="preserve">B. Lakebrink, </w:t>
      </w:r>
      <w:r>
        <w:rPr>
          <w:rFonts w:ascii="Times New Roman" w:hAnsi="Times New Roman" w:cs="Times New Roman"/>
          <w:i/>
          <w:sz w:val="20"/>
          <w:szCs w:val="20"/>
        </w:rPr>
        <w:t>Hegels Metaphysik der Zeit</w:t>
      </w:r>
      <w:r>
        <w:rPr>
          <w:rFonts w:ascii="Times New Roman" w:hAnsi="Times New Roman" w:cs="Times New Roman"/>
          <w:sz w:val="20"/>
          <w:szCs w:val="20"/>
        </w:rPr>
        <w:t>, cit., p. 291</w:t>
      </w:r>
      <w:r>
        <w:rPr>
          <w:rFonts w:ascii="Times New Roman" w:hAnsi="Times New Roman" w:cs="Times New Roman"/>
          <w:sz w:val="20"/>
          <w:szCs w:val="20"/>
          <w:lang w:val="de-DE"/>
        </w:rPr>
        <w:t>).</w:t>
      </w:r>
      <w:r w:rsidRPr="001A0AF4">
        <w:rPr>
          <w:rFonts w:ascii="Times New Roman" w:hAnsi="Times New Roman" w:cs="Times New Roman"/>
          <w:sz w:val="20"/>
          <w:szCs w:val="20"/>
          <w:lang w:val="de-DE"/>
        </w:rPr>
        <w:t xml:space="preserve"> </w:t>
      </w:r>
      <w:r>
        <w:rPr>
          <w:rFonts w:ascii="Times New Roman" w:hAnsi="Times New Roman" w:cs="Times New Roman"/>
          <w:sz w:val="20"/>
          <w:szCs w:val="20"/>
          <w:lang w:val="de-DE"/>
        </w:rPr>
        <w:t xml:space="preserve"> </w:t>
      </w:r>
    </w:p>
  </w:footnote>
  <w:footnote w:id="786">
    <w:p w14:paraId="55F6F9A6" w14:textId="77777777" w:rsidR="00B34CC2" w:rsidRPr="001D72D3" w:rsidRDefault="00B34CC2" w:rsidP="00F721A9">
      <w:pPr>
        <w:pStyle w:val="Testonotaapidipagina"/>
        <w:jc w:val="both"/>
        <w:rPr>
          <w:rFonts w:ascii="Times New Roman" w:hAnsi="Times New Roman" w:cs="Times New Roman"/>
          <w:sz w:val="20"/>
          <w:szCs w:val="20"/>
        </w:rPr>
      </w:pPr>
      <w:r w:rsidRPr="001D72D3">
        <w:rPr>
          <w:rStyle w:val="Rimandonotaapidipagina"/>
          <w:rFonts w:ascii="Times New Roman" w:hAnsi="Times New Roman" w:cs="Times New Roman"/>
          <w:sz w:val="20"/>
          <w:szCs w:val="20"/>
        </w:rPr>
        <w:footnoteRef/>
      </w:r>
      <w:r w:rsidRPr="001D72D3">
        <w:rPr>
          <w:rFonts w:ascii="Times New Roman" w:hAnsi="Times New Roman" w:cs="Times New Roman"/>
          <w:sz w:val="20"/>
          <w:szCs w:val="20"/>
        </w:rPr>
        <w:t xml:space="preserve"> </w:t>
      </w:r>
      <w:r w:rsidRPr="001D72D3">
        <w:rPr>
          <w:rFonts w:ascii="Times New Roman" w:hAnsi="Times New Roman" w:cs="Times New Roman"/>
          <w:i/>
          <w:sz w:val="20"/>
          <w:szCs w:val="20"/>
        </w:rPr>
        <w:t>VGP (M)</w:t>
      </w:r>
      <w:r w:rsidRPr="001D72D3">
        <w:rPr>
          <w:rFonts w:ascii="Times New Roman" w:hAnsi="Times New Roman" w:cs="Times New Roman"/>
          <w:sz w:val="20"/>
          <w:szCs w:val="20"/>
        </w:rPr>
        <w:t>, p. 128.</w:t>
      </w:r>
    </w:p>
  </w:footnote>
  <w:footnote w:id="787">
    <w:p w14:paraId="7ED42639" w14:textId="77777777" w:rsidR="00B34CC2" w:rsidRPr="00061A3C" w:rsidRDefault="00B34CC2" w:rsidP="00F721A9">
      <w:pPr>
        <w:pStyle w:val="Testonotaapidipagina"/>
        <w:jc w:val="both"/>
        <w:rPr>
          <w:rFonts w:ascii="Times New Roman" w:hAnsi="Times New Roman" w:cs="Times New Roman"/>
          <w:sz w:val="20"/>
          <w:szCs w:val="20"/>
        </w:rPr>
      </w:pPr>
      <w:r w:rsidRPr="00061A3C">
        <w:rPr>
          <w:rStyle w:val="Rimandonotaapidipagina"/>
          <w:rFonts w:ascii="Times New Roman" w:hAnsi="Times New Roman" w:cs="Times New Roman"/>
          <w:sz w:val="20"/>
          <w:szCs w:val="20"/>
        </w:rPr>
        <w:footnoteRef/>
      </w:r>
      <w:r w:rsidRPr="00061A3C">
        <w:rPr>
          <w:rFonts w:ascii="Times New Roman" w:hAnsi="Times New Roman" w:cs="Times New Roman"/>
          <w:sz w:val="20"/>
          <w:szCs w:val="20"/>
        </w:rPr>
        <w:t xml:space="preserve"> </w:t>
      </w:r>
      <w:r w:rsidRPr="00061A3C">
        <w:rPr>
          <w:rFonts w:ascii="Times New Roman" w:hAnsi="Times New Roman" w:cs="Times New Roman"/>
          <w:i/>
          <w:sz w:val="20"/>
          <w:szCs w:val="20"/>
        </w:rPr>
        <w:t>VGP (H)</w:t>
      </w:r>
      <w:r>
        <w:rPr>
          <w:rFonts w:ascii="Times New Roman" w:hAnsi="Times New Roman" w:cs="Times New Roman"/>
          <w:sz w:val="20"/>
          <w:szCs w:val="20"/>
        </w:rPr>
        <w:t>, p. 380.</w:t>
      </w:r>
    </w:p>
  </w:footnote>
  <w:footnote w:id="788">
    <w:p w14:paraId="2BCB5F81" w14:textId="2DD89FC4" w:rsidR="00B34CC2" w:rsidRPr="008B07B4" w:rsidRDefault="00B34CC2" w:rsidP="00F721A9">
      <w:pPr>
        <w:pStyle w:val="Testonotaapidipagina"/>
        <w:jc w:val="both"/>
        <w:rPr>
          <w:rFonts w:ascii="Times New Roman" w:hAnsi="Times New Roman" w:cs="Times New Roman"/>
          <w:sz w:val="20"/>
          <w:szCs w:val="20"/>
        </w:rPr>
      </w:pPr>
      <w:r w:rsidRPr="00201BDB">
        <w:rPr>
          <w:rStyle w:val="Rimandonotaapidipagina"/>
          <w:rFonts w:ascii="Times New Roman" w:hAnsi="Times New Roman" w:cs="Times New Roman"/>
          <w:sz w:val="20"/>
          <w:szCs w:val="20"/>
        </w:rPr>
        <w:footnoteRef/>
      </w:r>
      <w:r w:rsidRPr="00201BDB">
        <w:rPr>
          <w:rFonts w:ascii="Times New Roman" w:hAnsi="Times New Roman" w:cs="Times New Roman"/>
          <w:sz w:val="20"/>
          <w:szCs w:val="20"/>
        </w:rPr>
        <w:t xml:space="preserve"> Cfr. </w:t>
      </w:r>
      <w:r w:rsidRPr="00201BDB">
        <w:rPr>
          <w:rFonts w:ascii="Times New Roman" w:hAnsi="Times New Roman" w:cs="Times New Roman"/>
          <w:i/>
          <w:sz w:val="20"/>
          <w:szCs w:val="20"/>
        </w:rPr>
        <w:t>supra</w:t>
      </w:r>
      <w:r>
        <w:rPr>
          <w:rFonts w:ascii="Times New Roman" w:hAnsi="Times New Roman" w:cs="Times New Roman"/>
          <w:sz w:val="20"/>
          <w:szCs w:val="20"/>
        </w:rPr>
        <w:t>, p. 219</w:t>
      </w:r>
      <w:r w:rsidRPr="00201BDB">
        <w:rPr>
          <w:rFonts w:ascii="Times New Roman" w:hAnsi="Times New Roman" w:cs="Times New Roman"/>
          <w:sz w:val="20"/>
          <w:szCs w:val="20"/>
        </w:rPr>
        <w:t>.</w:t>
      </w:r>
    </w:p>
  </w:footnote>
  <w:footnote w:id="789">
    <w:p w14:paraId="341BA903" w14:textId="7A465BB5" w:rsidR="00B34CC2" w:rsidRPr="0009202F" w:rsidRDefault="00B34CC2" w:rsidP="00F721A9">
      <w:pPr>
        <w:jc w:val="both"/>
        <w:rPr>
          <w:rFonts w:ascii="Times New Roman" w:eastAsia="Times New Roman" w:hAnsi="Times New Roman" w:cs="Times New Roman"/>
          <w:sz w:val="20"/>
          <w:szCs w:val="20"/>
          <w:highlight w:val="yellow"/>
        </w:rPr>
      </w:pPr>
      <w:r w:rsidRPr="005D242F">
        <w:rPr>
          <w:rStyle w:val="Rimandonotaapidipagina"/>
          <w:rFonts w:ascii="Times New Roman" w:hAnsi="Times New Roman" w:cs="Times New Roman"/>
          <w:sz w:val="20"/>
          <w:szCs w:val="20"/>
        </w:rPr>
        <w:footnoteRef/>
      </w:r>
      <w:r w:rsidRPr="005D242F">
        <w:rPr>
          <w:rFonts w:ascii="Times New Roman" w:hAnsi="Times New Roman" w:cs="Times New Roman"/>
          <w:sz w:val="20"/>
          <w:szCs w:val="20"/>
        </w:rPr>
        <w:t xml:space="preserve"> Che Hegel abbia in mente questa fonte è chiarito</w:t>
      </w:r>
      <w:r>
        <w:rPr>
          <w:rFonts w:ascii="Times New Roman" w:hAnsi="Times New Roman" w:cs="Times New Roman"/>
          <w:sz w:val="20"/>
          <w:szCs w:val="20"/>
        </w:rPr>
        <w:t xml:space="preserve"> da un passo delle lezioni (1825/26</w:t>
      </w:r>
      <w:r w:rsidRPr="005D242F">
        <w:rPr>
          <w:rFonts w:ascii="Times New Roman" w:hAnsi="Times New Roman" w:cs="Times New Roman"/>
          <w:sz w:val="20"/>
          <w:szCs w:val="20"/>
        </w:rPr>
        <w:t xml:space="preserve">) in cui è discusso il </w:t>
      </w:r>
      <w:r w:rsidRPr="005D242F">
        <w:rPr>
          <w:rFonts w:ascii="Times New Roman" w:hAnsi="Times New Roman" w:cs="Times New Roman"/>
          <w:i/>
          <w:sz w:val="20"/>
          <w:szCs w:val="20"/>
        </w:rPr>
        <w:t>Geist der spekulativen Philosophie</w:t>
      </w:r>
      <w:r w:rsidRPr="005D242F">
        <w:rPr>
          <w:rFonts w:ascii="Times New Roman" w:hAnsi="Times New Roman" w:cs="Times New Roman"/>
          <w:sz w:val="20"/>
          <w:szCs w:val="20"/>
        </w:rPr>
        <w:t xml:space="preserve">. Cfr. </w:t>
      </w:r>
      <w:r w:rsidRPr="00034006">
        <w:rPr>
          <w:rFonts w:ascii="Times New Roman" w:hAnsi="Times New Roman" w:cs="Times New Roman"/>
          <w:i/>
          <w:sz w:val="20"/>
          <w:szCs w:val="20"/>
        </w:rPr>
        <w:t>VGP</w:t>
      </w:r>
      <w:r w:rsidRPr="005D242F">
        <w:rPr>
          <w:rFonts w:ascii="Times New Roman" w:hAnsi="Times New Roman" w:cs="Times New Roman"/>
          <w:sz w:val="20"/>
          <w:szCs w:val="20"/>
        </w:rPr>
        <w:t xml:space="preserve"> (</w:t>
      </w:r>
      <w:r>
        <w:rPr>
          <w:rFonts w:ascii="Times New Roman" w:hAnsi="Times New Roman" w:cs="Times New Roman"/>
          <w:sz w:val="20"/>
          <w:szCs w:val="20"/>
        </w:rPr>
        <w:t>VII</w:t>
      </w:r>
      <w:r w:rsidRPr="005D242F">
        <w:rPr>
          <w:rFonts w:ascii="Times New Roman" w:hAnsi="Times New Roman" w:cs="Times New Roman"/>
          <w:sz w:val="20"/>
          <w:szCs w:val="20"/>
        </w:rPr>
        <w:t>), p.</w:t>
      </w:r>
      <w:r>
        <w:rPr>
          <w:rFonts w:ascii="Times New Roman" w:hAnsi="Times New Roman" w:cs="Times New Roman"/>
          <w:sz w:val="20"/>
          <w:szCs w:val="20"/>
        </w:rPr>
        <w:t xml:space="preserve"> 361</w:t>
      </w:r>
      <w:r w:rsidRPr="005D242F">
        <w:rPr>
          <w:rFonts w:ascii="Times New Roman" w:hAnsi="Times New Roman" w:cs="Times New Roman"/>
          <w:sz w:val="20"/>
          <w:szCs w:val="20"/>
        </w:rPr>
        <w:t xml:space="preserve">: </w:t>
      </w:r>
      <w:r w:rsidRPr="0009202F">
        <w:rPr>
          <w:rFonts w:ascii="Times New Roman" w:hAnsi="Times New Roman" w:cs="Times New Roman"/>
          <w:sz w:val="20"/>
          <w:szCs w:val="20"/>
        </w:rPr>
        <w:t>«</w:t>
      </w:r>
      <w:r w:rsidRPr="0009202F">
        <w:rPr>
          <w:rFonts w:ascii="Times New Roman" w:eastAsia="Times New Roman" w:hAnsi="Times New Roman" w:cs="Times New Roman"/>
          <w:color w:val="000000"/>
          <w:sz w:val="20"/>
          <w:szCs w:val="20"/>
          <w:shd w:val="clear" w:color="auto" w:fill="FFFFFF"/>
          <w:lang w:val="de-DE"/>
        </w:rPr>
        <w:t>Dietrich Tiedemann, </w:t>
      </w:r>
      <w:r w:rsidRPr="0009202F">
        <w:rPr>
          <w:rFonts w:ascii="Times New Roman" w:eastAsia="Times New Roman" w:hAnsi="Times New Roman" w:cs="Times New Roman"/>
          <w:iCs/>
          <w:color w:val="000000"/>
          <w:sz w:val="20"/>
          <w:szCs w:val="20"/>
          <w:shd w:val="clear" w:color="auto" w:fill="FFFFFF"/>
          <w:lang w:val="de-DE"/>
        </w:rPr>
        <w:t>Geist der spekulativen Philosophie</w:t>
      </w:r>
      <w:r w:rsidRPr="0009202F">
        <w:rPr>
          <w:rFonts w:ascii="Times New Roman" w:eastAsia="Times New Roman" w:hAnsi="Times New Roman" w:cs="Times New Roman"/>
          <w:color w:val="000000"/>
          <w:sz w:val="20"/>
          <w:szCs w:val="20"/>
          <w:shd w:val="clear" w:color="auto" w:fill="FFFFFF"/>
          <w:lang w:val="de-DE"/>
        </w:rPr>
        <w:t>, Marburg 1791-1797, 7 Bde. Die politische Geschichte hat er dabei weitläufig, aber geistlos abgehandelt; die Sprache ist steif und geziert. Das Ganze ist ein trauriges Beispiel, wie ein gelehrter Professor sich sein ganzes Leben mit dem Studium der spekulativen Philosophie beschäftigen kann und doch gar keine Ahnung von Spekulation hat. (Seine </w:t>
      </w:r>
      <w:r w:rsidRPr="0009202F">
        <w:rPr>
          <w:rFonts w:ascii="Times New Roman" w:eastAsia="Times New Roman" w:hAnsi="Times New Roman" w:cs="Times New Roman"/>
          <w:iCs/>
          <w:color w:val="000000"/>
          <w:sz w:val="20"/>
          <w:szCs w:val="20"/>
          <w:shd w:val="clear" w:color="auto" w:fill="FFFFFF"/>
          <w:lang w:val="de-DE"/>
        </w:rPr>
        <w:t>Argumenta</w:t>
      </w:r>
      <w:r w:rsidRPr="0009202F">
        <w:rPr>
          <w:rFonts w:ascii="Times New Roman" w:eastAsia="Times New Roman" w:hAnsi="Times New Roman" w:cs="Times New Roman"/>
          <w:color w:val="000000"/>
          <w:sz w:val="20"/>
          <w:szCs w:val="20"/>
          <w:shd w:val="clear" w:color="auto" w:fill="FFFFFF"/>
          <w:lang w:val="de-DE"/>
        </w:rPr>
        <w:t xml:space="preserve"> zum Zweibrücker Platon sind in derselben Manier.) Er macht Auszüge aus den Philosophen, solange sie räsonierend bleiben; wenn es aber ans Spekulative kommt, pflegt er böse zu werden, bricht ab und erklärt alles für leere Subtilitäten: wir wüßten es besser. Sein Verdienst ist, aus seltenen Büchern des Mittelalters, aus kabbalistischen und mystischen Werken </w:t>
      </w:r>
      <w:r w:rsidRPr="0096324D">
        <w:rPr>
          <w:rFonts w:ascii="Times New Roman" w:eastAsia="Times New Roman" w:hAnsi="Times New Roman" w:cs="Times New Roman"/>
          <w:color w:val="000000"/>
          <w:sz w:val="20"/>
          <w:szCs w:val="20"/>
          <w:shd w:val="clear" w:color="auto" w:fill="FFFFFF"/>
          <w:lang w:val="de-DE"/>
        </w:rPr>
        <w:t>des Mittelalters schätzbare Auszüge geliefert zu haben</w:t>
      </w:r>
      <w:r w:rsidRPr="0096324D">
        <w:rPr>
          <w:rFonts w:ascii="Times New Roman" w:hAnsi="Times New Roman" w:cs="Times New Roman"/>
          <w:sz w:val="20"/>
          <w:szCs w:val="20"/>
          <w:lang w:val="de-DE"/>
        </w:rPr>
        <w:t>»</w:t>
      </w:r>
      <w:r w:rsidRPr="0096324D">
        <w:rPr>
          <w:rFonts w:ascii="Times New Roman" w:eastAsia="Times New Roman" w:hAnsi="Times New Roman" w:cs="Times New Roman"/>
          <w:color w:val="000000"/>
          <w:sz w:val="20"/>
          <w:szCs w:val="20"/>
          <w:shd w:val="clear" w:color="auto" w:fill="FFFFFF"/>
        </w:rPr>
        <w:t xml:space="preserve">. Sebbene sia un triste esempio di come un professore si sia occupato per tutta la vita di pensiero speculativo senza avere la benché minima idea di che cosa fosse la speculazione, il </w:t>
      </w:r>
      <w:r w:rsidRPr="0096324D">
        <w:rPr>
          <w:rFonts w:ascii="Times New Roman" w:eastAsia="Times New Roman" w:hAnsi="Times New Roman" w:cs="Times New Roman"/>
          <w:i/>
          <w:color w:val="000000"/>
          <w:sz w:val="20"/>
          <w:szCs w:val="20"/>
          <w:shd w:val="clear" w:color="auto" w:fill="FFFFFF"/>
        </w:rPr>
        <w:t xml:space="preserve">Geist der spekulativen Philosophie </w:t>
      </w:r>
      <w:r w:rsidRPr="0096324D">
        <w:rPr>
          <w:rFonts w:ascii="Times New Roman" w:eastAsia="Times New Roman" w:hAnsi="Times New Roman" w:cs="Times New Roman"/>
          <w:color w:val="000000"/>
          <w:sz w:val="20"/>
          <w:szCs w:val="20"/>
          <w:shd w:val="clear" w:color="auto" w:fill="FFFFFF"/>
        </w:rPr>
        <w:t xml:space="preserve">offre estratti preziosi di opere medioevali e cabbalistiche. Per questa ragione, ritengo che la voce </w:t>
      </w:r>
      <w:r w:rsidRPr="0096324D">
        <w:rPr>
          <w:rFonts w:ascii="Times New Roman" w:eastAsia="Times New Roman" w:hAnsi="Times New Roman" w:cs="Times New Roman"/>
          <w:i/>
          <w:color w:val="000000"/>
          <w:sz w:val="20"/>
          <w:szCs w:val="20"/>
          <w:shd w:val="clear" w:color="auto" w:fill="FFFFFF"/>
        </w:rPr>
        <w:t>Kabbalistische Philosophie</w:t>
      </w:r>
      <w:r w:rsidRPr="0096324D">
        <w:rPr>
          <w:rFonts w:ascii="Times New Roman" w:eastAsia="Times New Roman" w:hAnsi="Times New Roman" w:cs="Times New Roman"/>
          <w:color w:val="000000"/>
          <w:sz w:val="20"/>
          <w:szCs w:val="20"/>
          <w:shd w:val="clear" w:color="auto" w:fill="FFFFFF"/>
        </w:rPr>
        <w:t xml:space="preserve"> risulti, almeno dal 1820 in poi, </w:t>
      </w:r>
      <w:r>
        <w:rPr>
          <w:rFonts w:ascii="Times New Roman" w:eastAsia="Times New Roman" w:hAnsi="Times New Roman" w:cs="Times New Roman"/>
          <w:color w:val="000000"/>
          <w:sz w:val="20"/>
          <w:szCs w:val="20"/>
          <w:shd w:val="clear" w:color="auto" w:fill="FFFFFF"/>
        </w:rPr>
        <w:t>da una combinazione delle fonti</w:t>
      </w:r>
      <w:r w:rsidRPr="0096324D">
        <w:rPr>
          <w:rFonts w:ascii="Times New Roman" w:eastAsia="Times New Roman" w:hAnsi="Times New Roman" w:cs="Times New Roman"/>
          <w:color w:val="000000"/>
          <w:sz w:val="20"/>
          <w:szCs w:val="20"/>
          <w:shd w:val="clear" w:color="auto" w:fill="FFFFFF"/>
        </w:rPr>
        <w:t xml:space="preserve"> reperibili nel manuale di Tiedemann.</w:t>
      </w:r>
    </w:p>
  </w:footnote>
  <w:footnote w:id="790">
    <w:p w14:paraId="242FA711" w14:textId="1C224620" w:rsidR="00B34CC2" w:rsidRPr="00CF19C9" w:rsidRDefault="00B34CC2" w:rsidP="00F721A9">
      <w:pPr>
        <w:pStyle w:val="Testonotaapidipagina"/>
        <w:jc w:val="both"/>
        <w:rPr>
          <w:rFonts w:ascii="Times New Roman" w:hAnsi="Times New Roman" w:cs="Times New Roman"/>
          <w:sz w:val="20"/>
          <w:szCs w:val="20"/>
        </w:rPr>
      </w:pPr>
      <w:r w:rsidRPr="00092026">
        <w:rPr>
          <w:rStyle w:val="Rimandonotaapidipagina"/>
          <w:rFonts w:ascii="Times New Roman" w:hAnsi="Times New Roman" w:cs="Times New Roman"/>
          <w:sz w:val="20"/>
          <w:szCs w:val="20"/>
        </w:rPr>
        <w:footnoteRef/>
      </w:r>
      <w:r w:rsidRPr="00092026">
        <w:rPr>
          <w:rFonts w:ascii="Times New Roman" w:hAnsi="Times New Roman" w:cs="Times New Roman"/>
          <w:sz w:val="20"/>
          <w:szCs w:val="20"/>
        </w:rPr>
        <w:t xml:space="preserve"> Cfr. </w:t>
      </w:r>
      <w:r w:rsidRPr="00092026">
        <w:rPr>
          <w:rFonts w:ascii="Times New Roman" w:hAnsi="Times New Roman" w:cs="Times New Roman"/>
          <w:i/>
          <w:sz w:val="20"/>
          <w:szCs w:val="20"/>
        </w:rPr>
        <w:t>supra</w:t>
      </w:r>
      <w:r>
        <w:rPr>
          <w:rFonts w:ascii="Times New Roman" w:hAnsi="Times New Roman" w:cs="Times New Roman"/>
          <w:sz w:val="20"/>
          <w:szCs w:val="20"/>
        </w:rPr>
        <w:t>, p. 211</w:t>
      </w:r>
      <w:r w:rsidRPr="00092026">
        <w:rPr>
          <w:rFonts w:ascii="Times New Roman" w:hAnsi="Times New Roman" w:cs="Times New Roman"/>
          <w:sz w:val="20"/>
          <w:szCs w:val="20"/>
        </w:rPr>
        <w:t>.</w:t>
      </w:r>
    </w:p>
  </w:footnote>
  <w:footnote w:id="791">
    <w:p w14:paraId="5328FBE2" w14:textId="77777777" w:rsidR="00B34CC2" w:rsidRPr="00825C4D" w:rsidRDefault="00B34CC2" w:rsidP="00F721A9">
      <w:pPr>
        <w:pStyle w:val="Testonotaapidipagina"/>
        <w:jc w:val="both"/>
        <w:rPr>
          <w:rFonts w:ascii="Times New Roman" w:hAnsi="Times New Roman" w:cs="Times New Roman"/>
          <w:sz w:val="20"/>
          <w:szCs w:val="20"/>
        </w:rPr>
      </w:pPr>
      <w:r w:rsidRPr="000B57CF">
        <w:rPr>
          <w:rStyle w:val="Rimandonotaapidipagina"/>
          <w:rFonts w:ascii="Times New Roman" w:hAnsi="Times New Roman" w:cs="Times New Roman"/>
          <w:sz w:val="20"/>
          <w:szCs w:val="20"/>
        </w:rPr>
        <w:footnoteRef/>
      </w:r>
      <w:r>
        <w:t xml:space="preserve"> </w:t>
      </w:r>
      <w:r w:rsidRPr="00061A3C">
        <w:rPr>
          <w:rFonts w:ascii="Times New Roman" w:hAnsi="Times New Roman" w:cs="Times New Roman"/>
          <w:i/>
          <w:sz w:val="20"/>
          <w:szCs w:val="20"/>
        </w:rPr>
        <w:t>VGP (H)</w:t>
      </w:r>
      <w:r>
        <w:rPr>
          <w:rFonts w:ascii="Times New Roman" w:hAnsi="Times New Roman" w:cs="Times New Roman"/>
          <w:sz w:val="20"/>
          <w:szCs w:val="20"/>
        </w:rPr>
        <w:t>, p. 380.</w:t>
      </w:r>
    </w:p>
  </w:footnote>
  <w:footnote w:id="792">
    <w:p w14:paraId="6653FC98" w14:textId="509AEAA2" w:rsidR="00B34CC2" w:rsidRPr="001C07F8" w:rsidRDefault="00B34CC2" w:rsidP="00F721A9">
      <w:pPr>
        <w:jc w:val="both"/>
        <w:rPr>
          <w:rFonts w:ascii="Times New Roman" w:hAnsi="Times New Roman" w:cs="Times New Roman"/>
          <w:sz w:val="20"/>
          <w:szCs w:val="20"/>
          <w:lang w:val="de-DE"/>
        </w:rPr>
      </w:pPr>
      <w:r w:rsidRPr="007C62AA">
        <w:rPr>
          <w:rStyle w:val="Rimandonotaapidipagina"/>
          <w:rFonts w:ascii="Times New Roman" w:hAnsi="Times New Roman" w:cs="Times New Roman"/>
          <w:sz w:val="20"/>
          <w:szCs w:val="20"/>
          <w:lang w:val="de-DE"/>
        </w:rPr>
        <w:footnoteRef/>
      </w:r>
      <w:r w:rsidRPr="007C62AA">
        <w:rPr>
          <w:rFonts w:ascii="Times New Roman" w:hAnsi="Times New Roman" w:cs="Times New Roman"/>
          <w:sz w:val="20"/>
          <w:szCs w:val="20"/>
          <w:lang w:val="de-DE"/>
        </w:rPr>
        <w:t xml:space="preserve"> Riguardo a Filone d’Alessandria </w:t>
      </w:r>
      <w:r w:rsidRPr="007C62AA">
        <w:rPr>
          <w:rFonts w:ascii="Times New Roman" w:hAnsi="Times New Roman" w:cs="Times New Roman"/>
          <w:i/>
          <w:sz w:val="20"/>
          <w:szCs w:val="20"/>
          <w:lang w:val="de-DE"/>
        </w:rPr>
        <w:t>VGP (H)</w:t>
      </w:r>
      <w:r w:rsidRPr="007C62AA">
        <w:rPr>
          <w:rFonts w:ascii="Times New Roman" w:hAnsi="Times New Roman" w:cs="Times New Roman"/>
          <w:sz w:val="20"/>
          <w:szCs w:val="20"/>
          <w:lang w:val="de-DE"/>
        </w:rPr>
        <w:t xml:space="preserve">, p. 384: «Der </w:t>
      </w:r>
      <w:r w:rsidRPr="007C62AA">
        <w:rPr>
          <w:rFonts w:ascii="Times New Roman" w:hAnsi="Times New Roman" w:cs="Times New Roman"/>
          <w:sz w:val="20"/>
          <w:szCs w:val="20"/>
        </w:rPr>
        <w:t>λογος</w:t>
      </w:r>
      <w:r w:rsidRPr="007C62AA">
        <w:rPr>
          <w:rFonts w:ascii="Times New Roman" w:hAnsi="Times New Roman" w:cs="Times New Roman"/>
          <w:sz w:val="20"/>
          <w:szCs w:val="20"/>
          <w:lang w:val="de-DE"/>
        </w:rPr>
        <w:t xml:space="preserve"> ist nicht blos die erste ruhende Gedankenwelt. Ferner spricht Philo von einem thätigen </w:t>
      </w:r>
      <w:r w:rsidRPr="007C62AA">
        <w:rPr>
          <w:rFonts w:ascii="Times New Roman" w:hAnsi="Times New Roman" w:cs="Times New Roman"/>
          <w:sz w:val="20"/>
          <w:szCs w:val="20"/>
        </w:rPr>
        <w:t>λογος</w:t>
      </w:r>
      <w:r w:rsidRPr="007C62AA">
        <w:rPr>
          <w:rFonts w:ascii="Times New Roman" w:hAnsi="Times New Roman" w:cs="Times New Roman"/>
          <w:sz w:val="20"/>
          <w:szCs w:val="20"/>
          <w:lang w:val="de-DE"/>
        </w:rPr>
        <w:t xml:space="preserve">; die Wirksamkeit, das Schaffen der Welt». Su Plotino vedi </w:t>
      </w:r>
      <w:r w:rsidRPr="007C62AA">
        <w:rPr>
          <w:rFonts w:ascii="Times New Roman" w:hAnsi="Times New Roman" w:cs="Times New Roman"/>
          <w:i/>
          <w:sz w:val="20"/>
          <w:szCs w:val="20"/>
          <w:lang w:val="de-DE"/>
        </w:rPr>
        <w:t>VGP (H)</w:t>
      </w:r>
      <w:r w:rsidRPr="007C62AA">
        <w:rPr>
          <w:rFonts w:ascii="Times New Roman" w:hAnsi="Times New Roman" w:cs="Times New Roman"/>
          <w:sz w:val="20"/>
          <w:szCs w:val="20"/>
          <w:lang w:val="de-DE"/>
        </w:rPr>
        <w:t xml:space="preserve">, p. 384: «Das feste ruhende ist das Seyn; </w:t>
      </w:r>
      <w:r w:rsidRPr="007C62AA">
        <w:rPr>
          <w:rFonts w:ascii="Times New Roman" w:eastAsia="Times New Roman" w:hAnsi="Times New Roman" w:cs="Times New Roman"/>
          <w:i/>
          <w:color w:val="000000"/>
          <w:sz w:val="20"/>
          <w:szCs w:val="20"/>
          <w:shd w:val="clear" w:color="auto" w:fill="FFFFFF"/>
          <w:lang w:val="de-DE"/>
        </w:rPr>
        <w:t xml:space="preserve">der νους ist die Anschaung dieses Seyns oder Wesens. Der νους </w:t>
      </w:r>
      <w:r w:rsidRPr="007C62AA">
        <w:rPr>
          <w:rFonts w:ascii="Times New Roman" w:eastAsia="Times New Roman" w:hAnsi="Times New Roman" w:cs="Times New Roman"/>
          <w:color w:val="000000"/>
          <w:sz w:val="20"/>
          <w:szCs w:val="20"/>
          <w:shd w:val="clear" w:color="auto" w:fill="FFFFFF"/>
          <w:lang w:val="de-DE"/>
        </w:rPr>
        <w:t xml:space="preserve">ist, indem </w:t>
      </w:r>
      <w:r>
        <w:rPr>
          <w:rFonts w:ascii="Times New Roman" w:eastAsia="Times New Roman" w:hAnsi="Times New Roman" w:cs="Times New Roman"/>
          <w:color w:val="000000"/>
          <w:sz w:val="20"/>
          <w:szCs w:val="20"/>
          <w:shd w:val="clear" w:color="auto" w:fill="FFFFFF"/>
          <w:lang w:val="de-DE"/>
        </w:rPr>
        <w:t xml:space="preserve">das erste Wesen durch Rückkehr </w:t>
      </w:r>
      <w:r w:rsidRPr="007C62AA">
        <w:rPr>
          <w:rFonts w:ascii="Times New Roman" w:eastAsia="Times New Roman" w:hAnsi="Times New Roman" w:cs="Times New Roman"/>
          <w:color w:val="000000"/>
          <w:sz w:val="20"/>
          <w:szCs w:val="20"/>
          <w:shd w:val="clear" w:color="auto" w:fill="FFFFFF"/>
          <w:lang w:val="de-DE"/>
        </w:rPr>
        <w:t xml:space="preserve">sich selbst sieht, diese Zurückbeugung in sich selbst ist nun also das Denken. Was der </w:t>
      </w:r>
      <w:r w:rsidRPr="007C62AA">
        <w:rPr>
          <w:rFonts w:ascii="Times New Roman" w:eastAsia="Times New Roman" w:hAnsi="Times New Roman" w:cs="Times New Roman"/>
          <w:i/>
          <w:color w:val="000000"/>
          <w:sz w:val="20"/>
          <w:szCs w:val="20"/>
          <w:shd w:val="clear" w:color="auto" w:fill="FFFFFF"/>
          <w:lang w:val="de-DE"/>
        </w:rPr>
        <w:t xml:space="preserve">νους </w:t>
      </w:r>
      <w:r w:rsidRPr="007C62AA">
        <w:rPr>
          <w:rFonts w:ascii="Times New Roman" w:eastAsia="Times New Roman" w:hAnsi="Times New Roman" w:cs="Times New Roman"/>
          <w:color w:val="000000"/>
          <w:sz w:val="20"/>
          <w:szCs w:val="20"/>
          <w:shd w:val="clear" w:color="auto" w:fill="FFFFFF"/>
          <w:lang w:val="de-DE"/>
        </w:rPr>
        <w:t>so zum Gegenstand hat, das ist ihm also durchaus nichts Fremdes; die Dinge wie sie in jenem absoluten Denken sind, so sind sie als λογοι; diese sind die Muster der Sinnenwelt</w:t>
      </w:r>
      <w:r w:rsidRPr="007C62AA">
        <w:rPr>
          <w:rFonts w:ascii="Times New Roman" w:hAnsi="Times New Roman" w:cs="Times New Roman"/>
          <w:sz w:val="20"/>
          <w:szCs w:val="20"/>
          <w:lang w:val="de-DE"/>
        </w:rPr>
        <w:t>».</w:t>
      </w:r>
      <w:r>
        <w:rPr>
          <w:rFonts w:ascii="Times New Roman" w:hAnsi="Times New Roman" w:cs="Times New Roman"/>
          <w:sz w:val="20"/>
          <w:szCs w:val="20"/>
          <w:lang w:val="de-DE"/>
        </w:rPr>
        <w:t xml:space="preserve"> E ancora più chiaramente si legge nelle lezioni edite da Michelet (1833/36 e 1840/44): </w:t>
      </w:r>
      <w:r w:rsidRPr="001C07F8">
        <w:rPr>
          <w:rFonts w:ascii="Times New Roman" w:hAnsi="Times New Roman" w:cs="Times New Roman"/>
          <w:sz w:val="20"/>
          <w:szCs w:val="20"/>
          <w:lang w:val="de-DE"/>
        </w:rPr>
        <w:t>«</w:t>
      </w:r>
      <w:r w:rsidRPr="001C07F8">
        <w:rPr>
          <w:rFonts w:ascii="Times New Roman" w:hAnsi="Times New Roman" w:cs="Times New Roman"/>
          <w:color w:val="000000"/>
          <w:sz w:val="20"/>
          <w:szCs w:val="20"/>
          <w:lang w:val="de-DE"/>
        </w:rPr>
        <w:t>Aber das Denken ist dann auch dieses, sich selbst zum Gegenstande zu haben; und damit hat es einen Gegenstand, der Vermittlung und Tätigkeit, überhaupt die</w:t>
      </w:r>
      <w:r w:rsidRPr="001C07F8">
        <w:rPr>
          <w:rFonts w:ascii="Times New Roman" w:hAnsi="Times New Roman" w:cs="Times New Roman"/>
          <w:i/>
          <w:iCs/>
          <w:color w:val="000000"/>
          <w:sz w:val="20"/>
          <w:szCs w:val="20"/>
          <w:lang w:val="de-DE"/>
        </w:rPr>
        <w:t> dyas</w:t>
      </w:r>
      <w:r w:rsidRPr="001C07F8">
        <w:rPr>
          <w:rFonts w:ascii="Times New Roman" w:hAnsi="Times New Roman" w:cs="Times New Roman"/>
          <w:color w:val="000000"/>
          <w:sz w:val="20"/>
          <w:szCs w:val="20"/>
          <w:lang w:val="de-DE"/>
        </w:rPr>
        <w:t> in sich enthält. Dies ist das Denken als Denken des Denkens. Oder in der Ausbildung dieses Denkens in sich, insofern es sein Gegenstand ist, liegt dem Plotin die erste und wahrhafte intellektuelle Welt</w:t>
      </w:r>
      <w:r w:rsidRPr="007C62AA">
        <w:rPr>
          <w:rFonts w:ascii="Times New Roman" w:hAnsi="Times New Roman" w:cs="Times New Roman"/>
          <w:sz w:val="20"/>
          <w:szCs w:val="20"/>
          <w:lang w:val="de-DE"/>
        </w:rPr>
        <w:t>»</w:t>
      </w:r>
      <w:r>
        <w:rPr>
          <w:rFonts w:ascii="Times New Roman" w:hAnsi="Times New Roman" w:cs="Times New Roman"/>
          <w:sz w:val="20"/>
          <w:szCs w:val="20"/>
          <w:lang w:val="de-DE"/>
        </w:rPr>
        <w:t xml:space="preserve"> (</w:t>
      </w:r>
      <w:r w:rsidRPr="009B6EFE">
        <w:rPr>
          <w:rFonts w:ascii="Times New Roman" w:hAnsi="Times New Roman" w:cs="Times New Roman"/>
          <w:i/>
          <w:sz w:val="20"/>
          <w:szCs w:val="20"/>
          <w:lang w:val="de-DE"/>
        </w:rPr>
        <w:t>VGP (</w:t>
      </w:r>
      <w:r>
        <w:rPr>
          <w:rFonts w:ascii="Times New Roman" w:hAnsi="Times New Roman" w:cs="Times New Roman"/>
          <w:i/>
          <w:sz w:val="20"/>
          <w:szCs w:val="20"/>
          <w:lang w:val="de-DE"/>
        </w:rPr>
        <w:t>XIX</w:t>
      </w:r>
      <w:r w:rsidRPr="009B6EFE">
        <w:rPr>
          <w:rFonts w:ascii="Times New Roman" w:hAnsi="Times New Roman" w:cs="Times New Roman"/>
          <w:i/>
          <w:sz w:val="20"/>
          <w:szCs w:val="20"/>
          <w:lang w:val="de-DE"/>
        </w:rPr>
        <w:t>)</w:t>
      </w:r>
      <w:r>
        <w:rPr>
          <w:rFonts w:ascii="Times New Roman" w:hAnsi="Times New Roman" w:cs="Times New Roman"/>
          <w:sz w:val="20"/>
          <w:szCs w:val="20"/>
          <w:lang w:val="de-DE"/>
        </w:rPr>
        <w:t xml:space="preserve">, p. 451; </w:t>
      </w:r>
      <w:r>
        <w:rPr>
          <w:rFonts w:ascii="Times New Roman" w:hAnsi="Times New Roman" w:cs="Times New Roman"/>
          <w:i/>
          <w:sz w:val="20"/>
          <w:szCs w:val="20"/>
          <w:lang w:val="de-DE"/>
        </w:rPr>
        <w:t>VGP (Mich.</w:t>
      </w:r>
      <w:r w:rsidRPr="009B6EFE">
        <w:rPr>
          <w:rFonts w:ascii="Times New Roman" w:hAnsi="Times New Roman" w:cs="Times New Roman"/>
          <w:i/>
          <w:sz w:val="20"/>
          <w:szCs w:val="20"/>
          <w:lang w:val="de-DE"/>
        </w:rPr>
        <w:t>)</w:t>
      </w:r>
      <w:r>
        <w:rPr>
          <w:rFonts w:ascii="Times New Roman" w:hAnsi="Times New Roman" w:cs="Times New Roman"/>
          <w:sz w:val="20"/>
          <w:szCs w:val="20"/>
          <w:lang w:val="de-DE"/>
        </w:rPr>
        <w:t>, p. 48).</w:t>
      </w:r>
    </w:p>
  </w:footnote>
  <w:footnote w:id="793">
    <w:p w14:paraId="3F0E37D9" w14:textId="77777777" w:rsidR="00B34CC2" w:rsidRPr="00987FDD" w:rsidRDefault="00B34CC2" w:rsidP="00F721A9">
      <w:pPr>
        <w:pStyle w:val="Testonotaapidipagina"/>
        <w:jc w:val="both"/>
        <w:rPr>
          <w:rFonts w:ascii="Times New Roman" w:hAnsi="Times New Roman" w:cs="Times New Roman"/>
          <w:sz w:val="20"/>
          <w:szCs w:val="20"/>
        </w:rPr>
      </w:pPr>
      <w:r w:rsidRPr="00987FDD">
        <w:rPr>
          <w:rStyle w:val="Rimandonotaapidipagina"/>
          <w:rFonts w:ascii="Times New Roman" w:hAnsi="Times New Roman" w:cs="Times New Roman"/>
          <w:sz w:val="20"/>
          <w:szCs w:val="20"/>
        </w:rPr>
        <w:footnoteRef/>
      </w:r>
      <w:r w:rsidRPr="00987FDD">
        <w:rPr>
          <w:rFonts w:ascii="Times New Roman" w:hAnsi="Times New Roman" w:cs="Times New Roman"/>
          <w:sz w:val="20"/>
          <w:szCs w:val="20"/>
        </w:rPr>
        <w:t xml:space="preserve"> </w:t>
      </w:r>
      <w:r w:rsidRPr="00987FDD">
        <w:rPr>
          <w:rFonts w:ascii="Times New Roman" w:hAnsi="Times New Roman" w:cs="Times New Roman"/>
          <w:i/>
          <w:sz w:val="20"/>
          <w:szCs w:val="20"/>
        </w:rPr>
        <w:t>VGP (VIII)</w:t>
      </w:r>
      <w:r w:rsidRPr="00987FDD">
        <w:rPr>
          <w:rFonts w:ascii="Times New Roman" w:hAnsi="Times New Roman" w:cs="Times New Roman"/>
          <w:sz w:val="20"/>
          <w:szCs w:val="20"/>
        </w:rPr>
        <w:t xml:space="preserve">, p. 172. </w:t>
      </w:r>
    </w:p>
  </w:footnote>
  <w:footnote w:id="794">
    <w:p w14:paraId="1F815780" w14:textId="47B7430A" w:rsidR="00B34CC2" w:rsidRPr="009D79E7" w:rsidRDefault="00B34CC2" w:rsidP="00F721A9">
      <w:pPr>
        <w:pStyle w:val="Testonotaapidipagina"/>
        <w:jc w:val="both"/>
        <w:rPr>
          <w:rFonts w:ascii="Times New Roman" w:hAnsi="Times New Roman" w:cs="Times New Roman"/>
          <w:sz w:val="20"/>
          <w:szCs w:val="20"/>
        </w:rPr>
      </w:pPr>
      <w:r w:rsidRPr="00987FDD">
        <w:rPr>
          <w:rStyle w:val="Rimandonotaapidipagina"/>
          <w:rFonts w:ascii="Times New Roman" w:hAnsi="Times New Roman" w:cs="Times New Roman"/>
          <w:sz w:val="20"/>
          <w:szCs w:val="20"/>
        </w:rPr>
        <w:footnoteRef/>
      </w:r>
      <w:r w:rsidRPr="00987FDD">
        <w:rPr>
          <w:rFonts w:ascii="Times New Roman" w:hAnsi="Times New Roman" w:cs="Times New Roman"/>
          <w:sz w:val="20"/>
          <w:szCs w:val="20"/>
        </w:rPr>
        <w:t xml:space="preserve"> </w:t>
      </w:r>
      <w:r>
        <w:rPr>
          <w:rFonts w:ascii="Times New Roman" w:hAnsi="Times New Roman" w:cs="Times New Roman"/>
          <w:i/>
          <w:sz w:val="20"/>
          <w:szCs w:val="20"/>
        </w:rPr>
        <w:t>VGP (X</w:t>
      </w:r>
      <w:r w:rsidRPr="00987FDD">
        <w:rPr>
          <w:rFonts w:ascii="Times New Roman" w:hAnsi="Times New Roman" w:cs="Times New Roman"/>
          <w:i/>
          <w:sz w:val="20"/>
          <w:szCs w:val="20"/>
        </w:rPr>
        <w:t>I</w:t>
      </w:r>
      <w:r>
        <w:rPr>
          <w:rFonts w:ascii="Times New Roman" w:hAnsi="Times New Roman" w:cs="Times New Roman"/>
          <w:i/>
          <w:sz w:val="20"/>
          <w:szCs w:val="20"/>
        </w:rPr>
        <w:t>X</w:t>
      </w:r>
      <w:r w:rsidRPr="00987FDD">
        <w:rPr>
          <w:rFonts w:ascii="Times New Roman" w:hAnsi="Times New Roman" w:cs="Times New Roman"/>
          <w:i/>
          <w:sz w:val="20"/>
          <w:szCs w:val="20"/>
        </w:rPr>
        <w:t>)</w:t>
      </w:r>
      <w:r w:rsidRPr="00987FDD">
        <w:rPr>
          <w:rFonts w:ascii="Times New Roman" w:hAnsi="Times New Roman" w:cs="Times New Roman"/>
          <w:sz w:val="20"/>
          <w:szCs w:val="20"/>
        </w:rPr>
        <w:t xml:space="preserve">, p. 426. Sulla non difformità di questo passo della prima edizione Michelet delle lezioni dalla seconda edizione delle stesse cfr. </w:t>
      </w:r>
      <w:r>
        <w:rPr>
          <w:rFonts w:ascii="Times New Roman" w:hAnsi="Times New Roman" w:cs="Times New Roman"/>
          <w:i/>
          <w:sz w:val="20"/>
          <w:szCs w:val="20"/>
        </w:rPr>
        <w:t>VGP (Mich.</w:t>
      </w:r>
      <w:r w:rsidRPr="00987FDD">
        <w:rPr>
          <w:rFonts w:ascii="Times New Roman" w:hAnsi="Times New Roman" w:cs="Times New Roman"/>
          <w:i/>
          <w:sz w:val="20"/>
          <w:szCs w:val="20"/>
        </w:rPr>
        <w:t>)</w:t>
      </w:r>
      <w:r w:rsidRPr="00987FDD">
        <w:rPr>
          <w:rFonts w:ascii="Times New Roman" w:hAnsi="Times New Roman" w:cs="Times New Roman"/>
          <w:sz w:val="20"/>
          <w:szCs w:val="20"/>
        </w:rPr>
        <w:t>, p. 24: «</w:t>
      </w:r>
      <w:r w:rsidRPr="00987FDD">
        <w:rPr>
          <w:rFonts w:ascii="Times New Roman" w:hAnsi="Times New Roman" w:cs="Times New Roman"/>
          <w:sz w:val="20"/>
          <w:szCs w:val="20"/>
          <w:lang w:val="de-DE"/>
        </w:rPr>
        <w:t>Das Buch hat gewisse und interessante allgemeine Grundbestimmungen; und dieß Bessere darin sind Ideen, die zum Theil an Philo hingehen, aber mehr für Phantasie vorgestellt sind und oft in Phantasie verfallen […] Ein spekulativer Israelit, der Rabbi Abraham Cohen Irira, hat auch ein Buch geschrieben, das Himmelstor (Porta Coelorum); es ist spater, aus dem 15. Jahrhundert, und enthalt schon Beziehungen  die Araber und Scholastiker».</w:t>
      </w:r>
    </w:p>
  </w:footnote>
  <w:footnote w:id="795">
    <w:p w14:paraId="56F1F217" w14:textId="045980BE" w:rsidR="00B34CC2" w:rsidRPr="003420B2" w:rsidRDefault="00B34CC2" w:rsidP="00F721A9">
      <w:pPr>
        <w:pStyle w:val="Testonotaapidipagina"/>
        <w:jc w:val="both"/>
        <w:rPr>
          <w:rFonts w:ascii="Times New Roman" w:hAnsi="Times New Roman" w:cs="Times New Roman"/>
          <w:sz w:val="20"/>
          <w:szCs w:val="20"/>
        </w:rPr>
      </w:pPr>
      <w:r w:rsidRPr="00E936E0">
        <w:rPr>
          <w:rStyle w:val="Rimandonotaapidipagina"/>
          <w:rFonts w:ascii="Times New Roman" w:hAnsi="Times New Roman" w:cs="Times New Roman"/>
          <w:sz w:val="20"/>
          <w:szCs w:val="20"/>
        </w:rPr>
        <w:footnoteRef/>
      </w:r>
      <w:r w:rsidRPr="00E936E0">
        <w:rPr>
          <w:rFonts w:ascii="Times New Roman" w:hAnsi="Times New Roman" w:cs="Times New Roman"/>
          <w:sz w:val="20"/>
          <w:szCs w:val="20"/>
        </w:rPr>
        <w:t xml:space="preserve"> </w:t>
      </w:r>
      <w:r w:rsidRPr="00E936E0">
        <w:rPr>
          <w:rFonts w:ascii="Times New Roman" w:hAnsi="Times New Roman" w:cs="Times New Roman"/>
          <w:i/>
          <w:sz w:val="20"/>
          <w:szCs w:val="20"/>
        </w:rPr>
        <w:t>VGP (VIII)</w:t>
      </w:r>
      <w:r w:rsidRPr="00E936E0">
        <w:rPr>
          <w:rFonts w:ascii="Times New Roman" w:hAnsi="Times New Roman" w:cs="Times New Roman"/>
          <w:sz w:val="20"/>
          <w:szCs w:val="20"/>
        </w:rPr>
        <w:t>, pp. 172-173.</w:t>
      </w:r>
      <w:r w:rsidRPr="004060C6">
        <w:rPr>
          <w:rFonts w:ascii="Times New Roman" w:hAnsi="Times New Roman" w:cs="Times New Roman"/>
          <w:sz w:val="20"/>
          <w:szCs w:val="20"/>
        </w:rPr>
        <w:t xml:space="preserve"> </w:t>
      </w:r>
    </w:p>
  </w:footnote>
  <w:footnote w:id="796">
    <w:p w14:paraId="1AE14615" w14:textId="40F4454E" w:rsidR="00B34CC2" w:rsidRPr="00461087" w:rsidRDefault="00B34CC2" w:rsidP="00F721A9">
      <w:pPr>
        <w:pStyle w:val="Testonotaapidipagina"/>
        <w:jc w:val="both"/>
        <w:rPr>
          <w:rFonts w:ascii="Times New Roman" w:hAnsi="Times New Roman" w:cs="Times New Roman"/>
          <w:sz w:val="20"/>
          <w:szCs w:val="20"/>
        </w:rPr>
      </w:pPr>
      <w:r w:rsidRPr="00585E78">
        <w:rPr>
          <w:rStyle w:val="Rimandonotaapidipagina"/>
          <w:rFonts w:ascii="Times New Roman" w:hAnsi="Times New Roman" w:cs="Times New Roman"/>
          <w:sz w:val="20"/>
          <w:szCs w:val="20"/>
        </w:rPr>
        <w:footnoteRef/>
      </w:r>
      <w:r w:rsidRPr="00585E78">
        <w:rPr>
          <w:rFonts w:ascii="Times New Roman" w:hAnsi="Times New Roman" w:cs="Times New Roman"/>
          <w:sz w:val="20"/>
          <w:szCs w:val="20"/>
        </w:rPr>
        <w:t xml:space="preserve"> </w:t>
      </w:r>
      <w:r>
        <w:rPr>
          <w:rFonts w:ascii="Times New Roman" w:hAnsi="Times New Roman" w:cs="Times New Roman"/>
          <w:i/>
          <w:sz w:val="20"/>
          <w:szCs w:val="20"/>
        </w:rPr>
        <w:t>VGP (XIX</w:t>
      </w:r>
      <w:r w:rsidRPr="00585E78">
        <w:rPr>
          <w:rFonts w:ascii="Times New Roman" w:hAnsi="Times New Roman" w:cs="Times New Roman"/>
          <w:i/>
          <w:sz w:val="20"/>
          <w:szCs w:val="20"/>
        </w:rPr>
        <w:t>)</w:t>
      </w:r>
      <w:r>
        <w:rPr>
          <w:rFonts w:ascii="Times New Roman" w:hAnsi="Times New Roman" w:cs="Times New Roman"/>
          <w:sz w:val="20"/>
          <w:szCs w:val="20"/>
        </w:rPr>
        <w:t>, p. 428</w:t>
      </w:r>
      <w:r w:rsidRPr="00585E78">
        <w:rPr>
          <w:rFonts w:ascii="Times New Roman" w:hAnsi="Times New Roman" w:cs="Times New Roman"/>
          <w:sz w:val="20"/>
          <w:szCs w:val="20"/>
        </w:rPr>
        <w:t xml:space="preserve">; </w:t>
      </w:r>
      <w:r>
        <w:rPr>
          <w:rFonts w:ascii="Times New Roman" w:hAnsi="Times New Roman" w:cs="Times New Roman"/>
          <w:i/>
          <w:sz w:val="20"/>
          <w:szCs w:val="20"/>
        </w:rPr>
        <w:t>VGP (Mich.</w:t>
      </w:r>
      <w:r w:rsidRPr="00585E78">
        <w:rPr>
          <w:rFonts w:ascii="Times New Roman" w:hAnsi="Times New Roman" w:cs="Times New Roman"/>
          <w:i/>
          <w:sz w:val="20"/>
          <w:szCs w:val="20"/>
        </w:rPr>
        <w:t>)</w:t>
      </w:r>
      <w:r w:rsidRPr="00585E78">
        <w:rPr>
          <w:rFonts w:ascii="Times New Roman" w:hAnsi="Times New Roman" w:cs="Times New Roman"/>
          <w:sz w:val="20"/>
          <w:szCs w:val="20"/>
        </w:rPr>
        <w:t>, pp. 28-29.</w:t>
      </w:r>
    </w:p>
  </w:footnote>
  <w:footnote w:id="797">
    <w:p w14:paraId="4F4A526B" w14:textId="2E854492" w:rsidR="00B34CC2" w:rsidRPr="00A4549D" w:rsidRDefault="00B34CC2" w:rsidP="00F721A9">
      <w:pPr>
        <w:pStyle w:val="Testonotaapidipagina"/>
        <w:jc w:val="both"/>
        <w:rPr>
          <w:rFonts w:ascii="Times New Roman" w:hAnsi="Times New Roman" w:cs="Times New Roman"/>
          <w:sz w:val="20"/>
          <w:szCs w:val="20"/>
        </w:rPr>
      </w:pPr>
      <w:r w:rsidRPr="00AD4067">
        <w:rPr>
          <w:rStyle w:val="Rimandonotaapidipagina"/>
          <w:rFonts w:ascii="Times New Roman" w:hAnsi="Times New Roman" w:cs="Times New Roman"/>
          <w:sz w:val="20"/>
          <w:szCs w:val="20"/>
        </w:rPr>
        <w:footnoteRef/>
      </w:r>
      <w:r w:rsidRPr="00AD4067">
        <w:rPr>
          <w:rFonts w:ascii="Times New Roman" w:hAnsi="Times New Roman" w:cs="Times New Roman"/>
          <w:sz w:val="20"/>
          <w:szCs w:val="20"/>
        </w:rPr>
        <w:t xml:space="preserve"> </w:t>
      </w:r>
      <w:r>
        <w:rPr>
          <w:rFonts w:ascii="Times New Roman" w:hAnsi="Times New Roman" w:cs="Times New Roman"/>
          <w:i/>
          <w:sz w:val="20"/>
          <w:szCs w:val="20"/>
        </w:rPr>
        <w:t>VGP (XIX</w:t>
      </w:r>
      <w:r w:rsidRPr="00AD4067">
        <w:rPr>
          <w:rFonts w:ascii="Times New Roman" w:hAnsi="Times New Roman" w:cs="Times New Roman"/>
          <w:i/>
          <w:sz w:val="20"/>
          <w:szCs w:val="20"/>
        </w:rPr>
        <w:t>)</w:t>
      </w:r>
      <w:r>
        <w:rPr>
          <w:rFonts w:ascii="Times New Roman" w:hAnsi="Times New Roman" w:cs="Times New Roman"/>
          <w:sz w:val="20"/>
          <w:szCs w:val="20"/>
        </w:rPr>
        <w:t>, p. 428</w:t>
      </w:r>
      <w:r w:rsidRPr="00AD4067">
        <w:rPr>
          <w:rFonts w:ascii="Times New Roman" w:hAnsi="Times New Roman" w:cs="Times New Roman"/>
          <w:sz w:val="20"/>
          <w:szCs w:val="20"/>
        </w:rPr>
        <w:t xml:space="preserve">; </w:t>
      </w:r>
      <w:r>
        <w:rPr>
          <w:rFonts w:ascii="Times New Roman" w:hAnsi="Times New Roman" w:cs="Times New Roman"/>
          <w:i/>
          <w:sz w:val="20"/>
          <w:szCs w:val="20"/>
        </w:rPr>
        <w:t>VGP (Mich.</w:t>
      </w:r>
      <w:r w:rsidRPr="00AD4067">
        <w:rPr>
          <w:rFonts w:ascii="Times New Roman" w:hAnsi="Times New Roman" w:cs="Times New Roman"/>
          <w:i/>
          <w:sz w:val="20"/>
          <w:szCs w:val="20"/>
        </w:rPr>
        <w:t>)</w:t>
      </w:r>
      <w:r w:rsidRPr="00AD4067">
        <w:rPr>
          <w:rFonts w:ascii="Times New Roman" w:hAnsi="Times New Roman" w:cs="Times New Roman"/>
          <w:sz w:val="20"/>
          <w:szCs w:val="20"/>
        </w:rPr>
        <w:t>, pp. 28-29.</w:t>
      </w:r>
    </w:p>
  </w:footnote>
  <w:footnote w:id="798">
    <w:p w14:paraId="7148B4F3" w14:textId="46666A32" w:rsidR="00B34CC2" w:rsidRPr="00AD4067" w:rsidRDefault="00B34CC2" w:rsidP="00F721A9">
      <w:pPr>
        <w:pStyle w:val="Testonotaapidipagina"/>
        <w:jc w:val="both"/>
        <w:rPr>
          <w:rFonts w:ascii="Times New Roman" w:hAnsi="Times New Roman" w:cs="Times New Roman"/>
          <w:sz w:val="20"/>
          <w:szCs w:val="20"/>
        </w:rPr>
      </w:pPr>
      <w:r w:rsidRPr="00AD4067">
        <w:rPr>
          <w:rStyle w:val="Rimandonotaapidipagina"/>
          <w:rFonts w:ascii="Times New Roman" w:hAnsi="Times New Roman" w:cs="Times New Roman"/>
          <w:sz w:val="20"/>
          <w:szCs w:val="20"/>
        </w:rPr>
        <w:footnoteRef/>
      </w:r>
      <w:r w:rsidRPr="00AD4067">
        <w:rPr>
          <w:rFonts w:ascii="Times New Roman" w:hAnsi="Times New Roman" w:cs="Times New Roman"/>
          <w:sz w:val="20"/>
          <w:szCs w:val="20"/>
        </w:rPr>
        <w:t xml:space="preserve"> </w:t>
      </w:r>
      <w:r>
        <w:rPr>
          <w:rFonts w:ascii="Times New Roman" w:hAnsi="Times New Roman" w:cs="Times New Roman"/>
          <w:sz w:val="20"/>
          <w:szCs w:val="20"/>
        </w:rPr>
        <w:t xml:space="preserve">Cfr. </w:t>
      </w:r>
      <w:r w:rsidRPr="00AD4067">
        <w:rPr>
          <w:rFonts w:ascii="Times New Roman" w:hAnsi="Times New Roman" w:cs="Times New Roman"/>
          <w:i/>
          <w:sz w:val="20"/>
          <w:szCs w:val="20"/>
        </w:rPr>
        <w:t>supra</w:t>
      </w:r>
      <w:r>
        <w:rPr>
          <w:rFonts w:ascii="Times New Roman" w:hAnsi="Times New Roman" w:cs="Times New Roman"/>
          <w:sz w:val="20"/>
          <w:szCs w:val="20"/>
        </w:rPr>
        <w:t>, pp. 103-159</w:t>
      </w:r>
      <w:r w:rsidRPr="00AD4067">
        <w:rPr>
          <w:rFonts w:ascii="Times New Roman" w:hAnsi="Times New Roman" w:cs="Times New Roman"/>
          <w:sz w:val="20"/>
          <w:szCs w:val="20"/>
        </w:rPr>
        <w:t>.</w:t>
      </w:r>
    </w:p>
  </w:footnote>
  <w:footnote w:id="799">
    <w:p w14:paraId="0D52C591" w14:textId="17117205" w:rsidR="00B34CC2" w:rsidRPr="00960B79" w:rsidRDefault="00B34CC2" w:rsidP="00F721A9">
      <w:pPr>
        <w:pStyle w:val="Testonotaapidipagina"/>
        <w:jc w:val="both"/>
        <w:rPr>
          <w:rFonts w:ascii="Times New Roman" w:hAnsi="Times New Roman" w:cs="Times New Roman"/>
          <w:sz w:val="20"/>
          <w:szCs w:val="20"/>
          <w:highlight w:val="yellow"/>
        </w:rPr>
      </w:pPr>
      <w:r w:rsidRPr="00960B79">
        <w:rPr>
          <w:rStyle w:val="Rimandonotaapidipagina"/>
          <w:rFonts w:ascii="Times New Roman" w:hAnsi="Times New Roman" w:cs="Times New Roman"/>
          <w:sz w:val="20"/>
          <w:szCs w:val="20"/>
        </w:rPr>
        <w:footnoteRef/>
      </w:r>
      <w:r w:rsidRPr="00960B79">
        <w:rPr>
          <w:rFonts w:ascii="Times New Roman" w:hAnsi="Times New Roman" w:cs="Times New Roman"/>
          <w:sz w:val="20"/>
          <w:szCs w:val="20"/>
        </w:rPr>
        <w:t xml:space="preserve"> Cfr. </w:t>
      </w:r>
      <w:r w:rsidRPr="00960B79">
        <w:rPr>
          <w:rFonts w:ascii="Times New Roman" w:hAnsi="Times New Roman" w:cs="Times New Roman"/>
          <w:i/>
          <w:sz w:val="20"/>
          <w:szCs w:val="20"/>
        </w:rPr>
        <w:t>supra</w:t>
      </w:r>
      <w:r>
        <w:rPr>
          <w:rFonts w:ascii="Times New Roman" w:hAnsi="Times New Roman" w:cs="Times New Roman"/>
          <w:sz w:val="20"/>
          <w:szCs w:val="20"/>
        </w:rPr>
        <w:t>, pp. 74-78</w:t>
      </w:r>
      <w:r w:rsidRPr="00960B79">
        <w:rPr>
          <w:rFonts w:ascii="Times New Roman" w:hAnsi="Times New Roman" w:cs="Times New Roman"/>
          <w:sz w:val="20"/>
          <w:szCs w:val="20"/>
        </w:rPr>
        <w:t>.</w:t>
      </w:r>
    </w:p>
  </w:footnote>
  <w:footnote w:id="800">
    <w:p w14:paraId="3B7205BF" w14:textId="3FF66030" w:rsidR="00B34CC2" w:rsidRPr="002A074A" w:rsidRDefault="00B34CC2" w:rsidP="00F721A9">
      <w:pPr>
        <w:pStyle w:val="Testonotaapidipagina"/>
        <w:jc w:val="both"/>
        <w:rPr>
          <w:rFonts w:ascii="Times New Roman" w:hAnsi="Times New Roman" w:cs="Times New Roman"/>
          <w:sz w:val="20"/>
          <w:szCs w:val="20"/>
        </w:rPr>
      </w:pPr>
      <w:r w:rsidRPr="00E11A00">
        <w:rPr>
          <w:rStyle w:val="Rimandonotaapidipagina"/>
          <w:rFonts w:ascii="Times New Roman" w:hAnsi="Times New Roman" w:cs="Times New Roman"/>
          <w:sz w:val="20"/>
          <w:szCs w:val="20"/>
        </w:rPr>
        <w:footnoteRef/>
      </w:r>
      <w:r w:rsidRPr="00E11A00">
        <w:rPr>
          <w:rFonts w:ascii="Times New Roman" w:hAnsi="Times New Roman" w:cs="Times New Roman"/>
          <w:sz w:val="20"/>
          <w:szCs w:val="20"/>
        </w:rPr>
        <w:t xml:space="preserve"> Cfr. </w:t>
      </w:r>
      <w:r w:rsidRPr="00E11A00">
        <w:rPr>
          <w:rFonts w:ascii="Times New Roman" w:hAnsi="Times New Roman" w:cs="Times New Roman"/>
          <w:i/>
          <w:sz w:val="20"/>
          <w:szCs w:val="20"/>
        </w:rPr>
        <w:t>supra</w:t>
      </w:r>
      <w:r>
        <w:rPr>
          <w:rFonts w:ascii="Times New Roman" w:hAnsi="Times New Roman" w:cs="Times New Roman"/>
          <w:sz w:val="20"/>
          <w:szCs w:val="20"/>
        </w:rPr>
        <w:t>, pp. 216-218</w:t>
      </w:r>
      <w:r w:rsidRPr="00E11A00">
        <w:rPr>
          <w:rFonts w:ascii="Times New Roman" w:hAnsi="Times New Roman" w:cs="Times New Roman"/>
          <w:sz w:val="20"/>
          <w:szCs w:val="20"/>
        </w:rPr>
        <w:t>.</w:t>
      </w:r>
    </w:p>
  </w:footnote>
  <w:footnote w:id="801">
    <w:p w14:paraId="20534176" w14:textId="77777777" w:rsidR="00B34CC2" w:rsidRPr="002A074A" w:rsidRDefault="00B34CC2" w:rsidP="00F721A9">
      <w:pPr>
        <w:pStyle w:val="Testonotaapidipagina"/>
        <w:jc w:val="both"/>
        <w:rPr>
          <w:rFonts w:ascii="Times New Roman" w:hAnsi="Times New Roman" w:cs="Times New Roman"/>
          <w:sz w:val="20"/>
          <w:szCs w:val="20"/>
        </w:rPr>
      </w:pPr>
      <w:r w:rsidRPr="002A074A">
        <w:rPr>
          <w:rStyle w:val="Rimandonotaapidipagina"/>
          <w:rFonts w:ascii="Times New Roman" w:hAnsi="Times New Roman" w:cs="Times New Roman"/>
          <w:sz w:val="20"/>
          <w:szCs w:val="20"/>
        </w:rPr>
        <w:footnoteRef/>
      </w:r>
      <w:r w:rsidRPr="002A074A">
        <w:rPr>
          <w:rFonts w:ascii="Times New Roman" w:hAnsi="Times New Roman" w:cs="Times New Roman"/>
          <w:sz w:val="20"/>
          <w:szCs w:val="20"/>
        </w:rPr>
        <w:t xml:space="preserve"> </w:t>
      </w:r>
      <w:r w:rsidRPr="002A074A">
        <w:rPr>
          <w:rFonts w:ascii="Times New Roman" w:hAnsi="Times New Roman" w:cs="Times New Roman"/>
          <w:i/>
          <w:sz w:val="20"/>
          <w:szCs w:val="20"/>
        </w:rPr>
        <w:t>Ibidem.</w:t>
      </w:r>
    </w:p>
  </w:footnote>
  <w:footnote w:id="802">
    <w:p w14:paraId="350313E0" w14:textId="1C671CCD" w:rsidR="00B34CC2" w:rsidRPr="00DB7133" w:rsidRDefault="00B34CC2" w:rsidP="00F721A9">
      <w:pPr>
        <w:pStyle w:val="Testonotaapidipagina"/>
        <w:jc w:val="both"/>
        <w:rPr>
          <w:rFonts w:ascii="Times New Roman" w:hAnsi="Times New Roman" w:cs="Times New Roman"/>
          <w:sz w:val="20"/>
          <w:szCs w:val="20"/>
        </w:rPr>
      </w:pPr>
      <w:r w:rsidRPr="002A074A">
        <w:rPr>
          <w:rStyle w:val="Rimandonotaapidipagina"/>
          <w:rFonts w:ascii="Times New Roman" w:hAnsi="Times New Roman" w:cs="Times New Roman"/>
          <w:sz w:val="20"/>
          <w:szCs w:val="20"/>
        </w:rPr>
        <w:footnoteRef/>
      </w:r>
      <w:r w:rsidRPr="002A074A">
        <w:rPr>
          <w:rFonts w:ascii="Times New Roman" w:hAnsi="Times New Roman" w:cs="Times New Roman"/>
          <w:sz w:val="20"/>
          <w:szCs w:val="20"/>
        </w:rPr>
        <w:t xml:space="preserve"> Per l’esposizione di Ten</w:t>
      </w:r>
      <w:r>
        <w:rPr>
          <w:rFonts w:ascii="Times New Roman" w:hAnsi="Times New Roman" w:cs="Times New Roman"/>
          <w:sz w:val="20"/>
          <w:szCs w:val="20"/>
        </w:rPr>
        <w:t>ne</w:t>
      </w:r>
      <w:r w:rsidRPr="002A074A">
        <w:rPr>
          <w:rFonts w:ascii="Times New Roman" w:hAnsi="Times New Roman" w:cs="Times New Roman"/>
          <w:sz w:val="20"/>
          <w:szCs w:val="20"/>
        </w:rPr>
        <w:t xml:space="preserve">mann cfr. </w:t>
      </w:r>
      <w:r w:rsidRPr="002A074A">
        <w:rPr>
          <w:rFonts w:ascii="Times New Roman" w:hAnsi="Times New Roman" w:cs="Times New Roman"/>
          <w:i/>
          <w:sz w:val="20"/>
          <w:szCs w:val="20"/>
        </w:rPr>
        <w:t>supra</w:t>
      </w:r>
      <w:r>
        <w:rPr>
          <w:rFonts w:ascii="Times New Roman" w:hAnsi="Times New Roman" w:cs="Times New Roman"/>
          <w:sz w:val="20"/>
          <w:szCs w:val="20"/>
        </w:rPr>
        <w:t>, pp. 239</w:t>
      </w:r>
      <w:r w:rsidRPr="002A074A">
        <w:rPr>
          <w:rFonts w:ascii="Times New Roman" w:hAnsi="Times New Roman" w:cs="Times New Roman"/>
          <w:sz w:val="20"/>
          <w:szCs w:val="20"/>
        </w:rPr>
        <w:t>.</w:t>
      </w:r>
      <w:r>
        <w:rPr>
          <w:rFonts w:ascii="Times New Roman" w:hAnsi="Times New Roman" w:cs="Times New Roman"/>
          <w:sz w:val="20"/>
          <w:szCs w:val="20"/>
        </w:rPr>
        <w:t xml:space="preserve"> </w:t>
      </w:r>
    </w:p>
  </w:footnote>
  <w:footnote w:id="803">
    <w:p w14:paraId="521E4134" w14:textId="5B8E32C7" w:rsidR="00B34CC2" w:rsidRPr="00C353A8" w:rsidRDefault="00B34CC2" w:rsidP="00F721A9">
      <w:pPr>
        <w:pStyle w:val="Testonotaapidipagina"/>
        <w:jc w:val="both"/>
        <w:rPr>
          <w:rFonts w:ascii="Times New Roman" w:hAnsi="Times New Roman" w:cs="Times New Roman"/>
          <w:sz w:val="20"/>
          <w:szCs w:val="20"/>
        </w:rPr>
      </w:pPr>
      <w:r w:rsidRPr="00E66F21">
        <w:rPr>
          <w:rStyle w:val="Rimandonotaapidipagina"/>
          <w:rFonts w:ascii="Times New Roman" w:hAnsi="Times New Roman" w:cs="Times New Roman"/>
          <w:sz w:val="20"/>
          <w:szCs w:val="20"/>
        </w:rPr>
        <w:footnoteRef/>
      </w:r>
      <w:r w:rsidRPr="00E66F21">
        <w:rPr>
          <w:rFonts w:ascii="Times New Roman" w:hAnsi="Times New Roman" w:cs="Times New Roman"/>
          <w:sz w:val="20"/>
          <w:szCs w:val="20"/>
        </w:rPr>
        <w:t xml:space="preserve"> Un’argomentazione speculare è sviluppata nelle coeve </w:t>
      </w:r>
      <w:r w:rsidRPr="00E66F21">
        <w:rPr>
          <w:rFonts w:ascii="Times New Roman" w:hAnsi="Times New Roman" w:cs="Times New Roman"/>
          <w:i/>
          <w:sz w:val="20"/>
          <w:szCs w:val="20"/>
        </w:rPr>
        <w:t>Vorlesungen über die Philosophie der Religion</w:t>
      </w:r>
      <w:r w:rsidRPr="00E66F21">
        <w:rPr>
          <w:rFonts w:ascii="Times New Roman" w:hAnsi="Times New Roman" w:cs="Times New Roman"/>
          <w:sz w:val="20"/>
          <w:szCs w:val="20"/>
        </w:rPr>
        <w:t>. Discutendo il mito del peccato originale, H</w:t>
      </w:r>
      <w:r>
        <w:rPr>
          <w:rFonts w:ascii="Times New Roman" w:hAnsi="Times New Roman" w:cs="Times New Roman"/>
          <w:sz w:val="20"/>
          <w:szCs w:val="20"/>
        </w:rPr>
        <w:t>egel osserva che esso compare già</w:t>
      </w:r>
      <w:r w:rsidRPr="00E66F21">
        <w:rPr>
          <w:rFonts w:ascii="Times New Roman" w:hAnsi="Times New Roman" w:cs="Times New Roman"/>
          <w:sz w:val="20"/>
          <w:szCs w:val="20"/>
        </w:rPr>
        <w:t xml:space="preserve"> nell’Antico Testamento, ma assume il suo significato </w:t>
      </w:r>
      <w:r w:rsidRPr="00E66F21">
        <w:rPr>
          <w:rFonts w:ascii="Times New Roman" w:hAnsi="Times New Roman" w:cs="Times New Roman"/>
          <w:i/>
          <w:sz w:val="20"/>
          <w:szCs w:val="20"/>
        </w:rPr>
        <w:t>universale</w:t>
      </w:r>
      <w:r w:rsidRPr="00E66F21">
        <w:rPr>
          <w:rFonts w:ascii="Times New Roman" w:hAnsi="Times New Roman" w:cs="Times New Roman"/>
          <w:sz w:val="20"/>
          <w:szCs w:val="20"/>
        </w:rPr>
        <w:t xml:space="preserve"> soltanto all’interno della tradizione cristiana. </w:t>
      </w:r>
      <w:r>
        <w:rPr>
          <w:rFonts w:ascii="Times New Roman" w:hAnsi="Times New Roman" w:cs="Times New Roman"/>
          <w:sz w:val="20"/>
          <w:szCs w:val="20"/>
        </w:rPr>
        <w:t xml:space="preserve">La religione ebraica </w:t>
      </w:r>
      <w:r w:rsidRPr="00E66F21">
        <w:rPr>
          <w:rFonts w:ascii="Times New Roman" w:hAnsi="Times New Roman" w:cs="Times New Roman"/>
          <w:sz w:val="20"/>
          <w:szCs w:val="20"/>
        </w:rPr>
        <w:t>anticipa un tema che diventa rilevante per quel fenomeno storico, religioso e spirituale rappresentato dal cristianesimo. Non credo che sia errato leggere le note sugli schemi antagonistici della Qabbalah alla luce di queste osservazioni: l’opporsi de</w:t>
      </w:r>
      <w:r>
        <w:rPr>
          <w:rFonts w:ascii="Times New Roman" w:hAnsi="Times New Roman" w:cs="Times New Roman"/>
          <w:sz w:val="20"/>
          <w:szCs w:val="20"/>
        </w:rPr>
        <w:t>i principi e la ribellione delle</w:t>
      </w:r>
      <w:r w:rsidRPr="00E66F21">
        <w:rPr>
          <w:rFonts w:ascii="Times New Roman" w:hAnsi="Times New Roman" w:cs="Times New Roman"/>
          <w:sz w:val="20"/>
          <w:szCs w:val="20"/>
        </w:rPr>
        <w:t xml:space="preserve"> schiere angeliche, ad esempio, si riempiono di senso all’interno di una prospettiva filosofica cristiana (böhmiana). La cosmologia cabbalistica, da questo punto di vista, è prossima ad un modello emanatistico astratto, da cui esula qualsiasi forma d’opposizione fra due principi opposti e riunificati nello stesso fondamento. Sul passo delle </w:t>
      </w:r>
      <w:r w:rsidRPr="00E66F21">
        <w:rPr>
          <w:rFonts w:ascii="Times New Roman" w:hAnsi="Times New Roman" w:cs="Times New Roman"/>
          <w:i/>
          <w:sz w:val="20"/>
          <w:szCs w:val="20"/>
        </w:rPr>
        <w:t xml:space="preserve">Vorlesungen </w:t>
      </w:r>
      <w:r w:rsidRPr="00E66F21">
        <w:rPr>
          <w:rFonts w:ascii="Times New Roman" w:hAnsi="Times New Roman" w:cs="Times New Roman"/>
          <w:sz w:val="20"/>
          <w:szCs w:val="20"/>
        </w:rPr>
        <w:t xml:space="preserve">dedicato al </w:t>
      </w:r>
      <w:r w:rsidRPr="00E66F21">
        <w:rPr>
          <w:rFonts w:ascii="Times New Roman" w:hAnsi="Times New Roman" w:cs="Times New Roman"/>
          <w:i/>
          <w:sz w:val="20"/>
          <w:szCs w:val="20"/>
          <w:lang w:val="de-DE"/>
        </w:rPr>
        <w:t>Sündenfall</w:t>
      </w:r>
      <w:r w:rsidRPr="00E66F21">
        <w:rPr>
          <w:rFonts w:ascii="Times New Roman" w:hAnsi="Times New Roman" w:cs="Times New Roman"/>
          <w:i/>
          <w:sz w:val="20"/>
          <w:szCs w:val="20"/>
        </w:rPr>
        <w:t xml:space="preserve"> </w:t>
      </w:r>
      <w:r w:rsidRPr="00E66F21">
        <w:rPr>
          <w:rFonts w:ascii="Times New Roman" w:hAnsi="Times New Roman" w:cs="Times New Roman"/>
          <w:sz w:val="20"/>
          <w:szCs w:val="20"/>
        </w:rPr>
        <w:t xml:space="preserve">cfr. </w:t>
      </w:r>
      <w:r w:rsidRPr="00E66F21">
        <w:rPr>
          <w:rFonts w:ascii="Times New Roman" w:hAnsi="Times New Roman" w:cs="Times New Roman"/>
          <w:i/>
          <w:sz w:val="20"/>
          <w:szCs w:val="20"/>
        </w:rPr>
        <w:t>V</w:t>
      </w:r>
      <w:r>
        <w:rPr>
          <w:rFonts w:ascii="Times New Roman" w:hAnsi="Times New Roman" w:cs="Times New Roman"/>
          <w:i/>
          <w:sz w:val="20"/>
          <w:szCs w:val="20"/>
        </w:rPr>
        <w:t>PR</w:t>
      </w:r>
      <w:r w:rsidRPr="00E66F21">
        <w:rPr>
          <w:rFonts w:ascii="Times New Roman" w:hAnsi="Times New Roman" w:cs="Times New Roman"/>
          <w:sz w:val="20"/>
          <w:szCs w:val="20"/>
        </w:rPr>
        <w:t>, pp. 77-78:</w:t>
      </w:r>
      <w:r>
        <w:rPr>
          <w:rFonts w:ascii="Times New Roman" w:hAnsi="Times New Roman" w:cs="Times New Roman"/>
          <w:sz w:val="20"/>
          <w:szCs w:val="20"/>
        </w:rPr>
        <w:t xml:space="preserve"> </w:t>
      </w:r>
      <w:r w:rsidRPr="00E66F21">
        <w:rPr>
          <w:rFonts w:ascii="Times New Roman" w:hAnsi="Times New Roman" w:cs="Times New Roman"/>
          <w:sz w:val="20"/>
          <w:szCs w:val="20"/>
        </w:rPr>
        <w:t>«</w:t>
      </w:r>
      <w:r w:rsidRPr="00E66F21">
        <w:rPr>
          <w:rFonts w:ascii="Times New Roman" w:hAnsi="Times New Roman" w:cs="Times New Roman"/>
          <w:sz w:val="20"/>
          <w:szCs w:val="20"/>
          <w:lang w:val="de-DE"/>
        </w:rPr>
        <w:t xml:space="preserve">Zu bemerken ist noch, daß diese Geschichte im jüdischen Volke geschlafen und ihre Ausbildung in den Büchern der Hebräer nicht erhalten hat; einige Anspielungen in den späteren apokryphischen Büchern abgerechnet, kommt sie darin überhaupt nicht vor. Lange Zeit ist sie brachgelegen, und erst im Christentum sollte sie zu ihrer wahren Bedeutung gelangen. Doch ist keineswegs der </w:t>
      </w:r>
      <w:r w:rsidRPr="00E66F21">
        <w:rPr>
          <w:rFonts w:ascii="Times New Roman" w:hAnsi="Times New Roman" w:cs="Times New Roman"/>
          <w:i/>
          <w:iCs/>
          <w:sz w:val="20"/>
          <w:szCs w:val="20"/>
          <w:lang w:val="de-DE"/>
        </w:rPr>
        <w:t xml:space="preserve">Kampf des Menschen in sich selbst </w:t>
      </w:r>
      <w:r w:rsidRPr="00E66F21">
        <w:rPr>
          <w:rFonts w:ascii="Times New Roman" w:hAnsi="Times New Roman" w:cs="Times New Roman"/>
          <w:sz w:val="20"/>
          <w:szCs w:val="20"/>
          <w:lang w:val="de-DE"/>
        </w:rPr>
        <w:t xml:space="preserve">in dem jüdischen Volke nicht vorhanden gewesen, vielmehr macht er eine wesentliche Bestimmung des religiösen Geistes unter den Hebräern aus; aber er ist nicht in der spekulativen Bedeutung gefaßt worden, daß er aus der </w:t>
      </w:r>
      <w:r w:rsidRPr="00E66F21">
        <w:rPr>
          <w:rFonts w:ascii="Times New Roman" w:hAnsi="Times New Roman" w:cs="Times New Roman"/>
          <w:i/>
          <w:iCs/>
          <w:sz w:val="20"/>
          <w:szCs w:val="20"/>
          <w:lang w:val="de-DE"/>
        </w:rPr>
        <w:t xml:space="preserve">Natur des Menschen </w:t>
      </w:r>
      <w:r w:rsidRPr="00E66F21">
        <w:rPr>
          <w:rFonts w:ascii="Times New Roman" w:hAnsi="Times New Roman" w:cs="Times New Roman"/>
          <w:sz w:val="20"/>
          <w:szCs w:val="20"/>
          <w:lang w:val="de-DE"/>
        </w:rPr>
        <w:t>selbst herkomme, sondern nur als zufällig, bei einzelnen Individuen ist er vorgestellt»</w:t>
      </w:r>
      <w:r w:rsidRPr="00E66F21">
        <w:rPr>
          <w:rFonts w:ascii="Times New Roman" w:hAnsi="Times New Roman" w:cs="Times New Roman"/>
          <w:sz w:val="20"/>
          <w:szCs w:val="20"/>
        </w:rPr>
        <w:t>. Sul signifi</w:t>
      </w:r>
      <w:r>
        <w:rPr>
          <w:rFonts w:ascii="Times New Roman" w:hAnsi="Times New Roman" w:cs="Times New Roman"/>
          <w:sz w:val="20"/>
          <w:szCs w:val="20"/>
        </w:rPr>
        <w:t xml:space="preserve">cato dell’analisi hegeliana dell’ebraismo </w:t>
      </w:r>
      <w:r w:rsidRPr="00E66F21">
        <w:rPr>
          <w:rFonts w:ascii="Times New Roman" w:hAnsi="Times New Roman" w:cs="Times New Roman"/>
          <w:sz w:val="20"/>
          <w:szCs w:val="20"/>
        </w:rPr>
        <w:t xml:space="preserve">contenuta nelle </w:t>
      </w:r>
      <w:r w:rsidRPr="00E66F21">
        <w:rPr>
          <w:rFonts w:ascii="Times New Roman" w:hAnsi="Times New Roman" w:cs="Times New Roman"/>
          <w:i/>
          <w:sz w:val="20"/>
          <w:szCs w:val="20"/>
        </w:rPr>
        <w:t>Vorlesungen</w:t>
      </w:r>
      <w:r w:rsidRPr="00E66F21">
        <w:rPr>
          <w:rFonts w:ascii="Times New Roman" w:hAnsi="Times New Roman" w:cs="Times New Roman"/>
          <w:sz w:val="20"/>
          <w:szCs w:val="20"/>
        </w:rPr>
        <w:t xml:space="preserve"> cfr. P. C. Hodgson, </w:t>
      </w:r>
      <w:r w:rsidRPr="008E4827">
        <w:rPr>
          <w:rFonts w:ascii="Times New Roman" w:hAnsi="Times New Roman" w:cs="Times New Roman"/>
          <w:i/>
          <w:sz w:val="20"/>
          <w:szCs w:val="20"/>
        </w:rPr>
        <w:t>The Metamorphosis of Judaism in Hegel’s Philosophy of Religion</w:t>
      </w:r>
      <w:r w:rsidRPr="00E66F21">
        <w:rPr>
          <w:rFonts w:ascii="Times New Roman" w:hAnsi="Times New Roman" w:cs="Times New Roman"/>
          <w:sz w:val="20"/>
          <w:szCs w:val="20"/>
        </w:rPr>
        <w:t>, in «The Owl of Minerva</w:t>
      </w:r>
      <w:r w:rsidRPr="00E66F21">
        <w:rPr>
          <w:rFonts w:ascii="Times New Roman" w:hAnsi="Times New Roman" w:cs="Times New Roman"/>
          <w:sz w:val="20"/>
          <w:szCs w:val="20"/>
          <w:lang w:val="de-DE"/>
        </w:rPr>
        <w:t xml:space="preserve">», (1987), n. 1, pp. 41-52; </w:t>
      </w:r>
      <w:r w:rsidRPr="00E66F21">
        <w:rPr>
          <w:rFonts w:ascii="Times New Roman" w:hAnsi="Times New Roman" w:cs="Times New Roman"/>
          <w:sz w:val="20"/>
          <w:szCs w:val="20"/>
        </w:rPr>
        <w:t xml:space="preserve">P. C. Hodgson, </w:t>
      </w:r>
      <w:r w:rsidRPr="00E66F21">
        <w:rPr>
          <w:rFonts w:ascii="Times New Roman" w:hAnsi="Times New Roman" w:cs="Times New Roman"/>
          <w:i/>
          <w:sz w:val="20"/>
          <w:szCs w:val="20"/>
        </w:rPr>
        <w:t>Logic, History, and Alternative Paradigm in Hegel’s Interpretation of the Religions</w:t>
      </w:r>
      <w:r w:rsidRPr="00E66F21">
        <w:rPr>
          <w:rFonts w:ascii="Times New Roman" w:hAnsi="Times New Roman" w:cs="Times New Roman"/>
          <w:sz w:val="20"/>
          <w:szCs w:val="20"/>
        </w:rPr>
        <w:t>, in «The Journal of Religion</w:t>
      </w:r>
      <w:r w:rsidRPr="00E66F21">
        <w:rPr>
          <w:rFonts w:ascii="Times New Roman" w:hAnsi="Times New Roman" w:cs="Times New Roman"/>
          <w:sz w:val="20"/>
          <w:szCs w:val="20"/>
          <w:lang w:val="de-DE"/>
        </w:rPr>
        <w:t xml:space="preserve">», vol. 68 (1988), n. 1, pp. 1-20; Yovel, </w:t>
      </w:r>
      <w:r w:rsidRPr="00E66F21">
        <w:rPr>
          <w:rFonts w:ascii="Times New Roman" w:hAnsi="Times New Roman" w:cs="Times New Roman"/>
          <w:i/>
          <w:sz w:val="20"/>
          <w:szCs w:val="20"/>
          <w:lang w:val="de-DE"/>
        </w:rPr>
        <w:t>Dark Riddle: Hegel, Nietzsche, and the Jews</w:t>
      </w:r>
      <w:r w:rsidRPr="00E66F21">
        <w:rPr>
          <w:rFonts w:ascii="Times New Roman" w:hAnsi="Times New Roman" w:cs="Times New Roman"/>
          <w:sz w:val="20"/>
          <w:szCs w:val="20"/>
          <w:lang w:val="de-DE"/>
        </w:rPr>
        <w:t xml:space="preserve">, Penn State University Press, University Park 1998, pp. 60-103; M. Mack, </w:t>
      </w:r>
      <w:r w:rsidRPr="00E66F21">
        <w:rPr>
          <w:rFonts w:ascii="Times New Roman" w:hAnsi="Times New Roman" w:cs="Times New Roman"/>
          <w:i/>
          <w:sz w:val="20"/>
          <w:szCs w:val="20"/>
          <w:lang w:val="de-DE"/>
        </w:rPr>
        <w:t>German Idealism and the Jews</w:t>
      </w:r>
      <w:r w:rsidRPr="00E66F21">
        <w:rPr>
          <w:rFonts w:ascii="Times New Roman" w:hAnsi="Times New Roman" w:cs="Times New Roman"/>
          <w:sz w:val="20"/>
          <w:szCs w:val="20"/>
          <w:lang w:val="de-DE"/>
        </w:rPr>
        <w:t>, The University of Chicago Press, Chicago-London 2003, pp. 56-62.</w:t>
      </w:r>
    </w:p>
  </w:footnote>
  <w:footnote w:id="804">
    <w:p w14:paraId="6DB85702" w14:textId="40FC10D8" w:rsidR="00B34CC2" w:rsidRPr="00DB5284" w:rsidRDefault="00B34CC2" w:rsidP="00F721A9">
      <w:pPr>
        <w:pStyle w:val="Testonotaapidipagina"/>
        <w:jc w:val="both"/>
        <w:rPr>
          <w:rFonts w:ascii="Times New Roman" w:hAnsi="Times New Roman" w:cs="Times New Roman"/>
          <w:sz w:val="20"/>
          <w:szCs w:val="20"/>
        </w:rPr>
      </w:pPr>
      <w:r w:rsidRPr="00DB5284">
        <w:rPr>
          <w:rStyle w:val="Rimandonotaapidipagina"/>
          <w:rFonts w:ascii="Times New Roman" w:hAnsi="Times New Roman" w:cs="Times New Roman"/>
          <w:sz w:val="20"/>
          <w:szCs w:val="20"/>
        </w:rPr>
        <w:footnoteRef/>
      </w:r>
      <w:r w:rsidRPr="00DB5284">
        <w:rPr>
          <w:rFonts w:ascii="Times New Roman" w:hAnsi="Times New Roman" w:cs="Times New Roman"/>
          <w:sz w:val="20"/>
          <w:szCs w:val="20"/>
        </w:rPr>
        <w:t xml:space="preserve"> Cfr. </w:t>
      </w:r>
      <w:r w:rsidRPr="00DB5284">
        <w:rPr>
          <w:rFonts w:ascii="Times New Roman" w:hAnsi="Times New Roman" w:cs="Times New Roman"/>
          <w:i/>
          <w:sz w:val="20"/>
          <w:szCs w:val="20"/>
        </w:rPr>
        <w:t>supra</w:t>
      </w:r>
      <w:r w:rsidRPr="00DB5284">
        <w:rPr>
          <w:rFonts w:ascii="Times New Roman" w:hAnsi="Times New Roman" w:cs="Times New Roman"/>
          <w:sz w:val="20"/>
          <w:szCs w:val="20"/>
        </w:rPr>
        <w:t xml:space="preserve">, pp. 59-78 e </w:t>
      </w:r>
      <w:r w:rsidRPr="00DB5284">
        <w:rPr>
          <w:rFonts w:ascii="Times New Roman" w:hAnsi="Times New Roman" w:cs="Times New Roman"/>
          <w:i/>
          <w:sz w:val="20"/>
          <w:szCs w:val="20"/>
        </w:rPr>
        <w:t>supra</w:t>
      </w:r>
      <w:r w:rsidRPr="00DB5284">
        <w:rPr>
          <w:rFonts w:ascii="Times New Roman" w:hAnsi="Times New Roman" w:cs="Times New Roman"/>
          <w:sz w:val="20"/>
          <w:szCs w:val="20"/>
        </w:rPr>
        <w:t>, 124-144.</w:t>
      </w:r>
    </w:p>
  </w:footnote>
  <w:footnote w:id="805">
    <w:p w14:paraId="53EECFE0" w14:textId="77777777" w:rsidR="00B34CC2" w:rsidRPr="006930C5" w:rsidRDefault="00B34CC2" w:rsidP="00F721A9">
      <w:pPr>
        <w:pStyle w:val="Testonotaapidipagina"/>
        <w:jc w:val="both"/>
        <w:rPr>
          <w:rFonts w:ascii="Times New Roman" w:hAnsi="Times New Roman" w:cs="Times New Roman"/>
          <w:i/>
          <w:sz w:val="20"/>
          <w:szCs w:val="20"/>
        </w:rPr>
      </w:pPr>
      <w:r w:rsidRPr="00DB5284">
        <w:rPr>
          <w:rStyle w:val="Rimandonotaapidipagina"/>
          <w:rFonts w:ascii="Times New Roman" w:hAnsi="Times New Roman" w:cs="Times New Roman"/>
          <w:sz w:val="20"/>
          <w:szCs w:val="20"/>
        </w:rPr>
        <w:footnoteRef/>
      </w:r>
      <w:r w:rsidRPr="00DB5284">
        <w:rPr>
          <w:rFonts w:ascii="Times New Roman" w:hAnsi="Times New Roman" w:cs="Times New Roman"/>
          <w:sz w:val="20"/>
          <w:szCs w:val="20"/>
        </w:rPr>
        <w:t xml:space="preserve"> </w:t>
      </w:r>
      <w:r w:rsidRPr="00DB5284">
        <w:rPr>
          <w:rFonts w:ascii="Times New Roman" w:hAnsi="Times New Roman" w:cs="Times New Roman"/>
          <w:i/>
          <w:sz w:val="20"/>
          <w:szCs w:val="20"/>
        </w:rPr>
        <w:t>Ibidem.</w:t>
      </w:r>
    </w:p>
  </w:footnote>
  <w:footnote w:id="806">
    <w:p w14:paraId="0BA9B0CD" w14:textId="4AC5C8DB" w:rsidR="00B34CC2" w:rsidRPr="008A7E2A" w:rsidRDefault="00B34CC2" w:rsidP="00F721A9">
      <w:pPr>
        <w:pStyle w:val="Testonotaapidipagina"/>
        <w:jc w:val="both"/>
        <w:rPr>
          <w:rFonts w:ascii="Times New Roman" w:hAnsi="Times New Roman" w:cs="Times New Roman"/>
          <w:sz w:val="20"/>
          <w:szCs w:val="20"/>
        </w:rPr>
      </w:pPr>
      <w:r w:rsidRPr="00C2206F">
        <w:rPr>
          <w:rStyle w:val="Rimandonotaapidipagina"/>
          <w:rFonts w:ascii="Times New Roman" w:hAnsi="Times New Roman" w:cs="Times New Roman"/>
          <w:sz w:val="20"/>
          <w:szCs w:val="20"/>
        </w:rPr>
        <w:footnoteRef/>
      </w:r>
      <w:r w:rsidRPr="00C2206F">
        <w:rPr>
          <w:rFonts w:ascii="Times New Roman" w:hAnsi="Times New Roman" w:cs="Times New Roman"/>
          <w:sz w:val="20"/>
          <w:szCs w:val="20"/>
        </w:rPr>
        <w:t xml:space="preserve"> Cfr. </w:t>
      </w:r>
      <w:r w:rsidRPr="00C2206F">
        <w:rPr>
          <w:rFonts w:ascii="Times New Roman" w:hAnsi="Times New Roman" w:cs="Times New Roman"/>
          <w:i/>
          <w:sz w:val="20"/>
          <w:szCs w:val="20"/>
        </w:rPr>
        <w:t>supra</w:t>
      </w:r>
      <w:r>
        <w:rPr>
          <w:rFonts w:ascii="Times New Roman" w:hAnsi="Times New Roman" w:cs="Times New Roman"/>
          <w:sz w:val="20"/>
          <w:szCs w:val="20"/>
        </w:rPr>
        <w:t>, pp. 231</w:t>
      </w:r>
      <w:r w:rsidRPr="00C2206F">
        <w:rPr>
          <w:rFonts w:ascii="Times New Roman" w:hAnsi="Times New Roman" w:cs="Times New Roman"/>
          <w:sz w:val="20"/>
          <w:szCs w:val="20"/>
        </w:rPr>
        <w:t>-</w:t>
      </w:r>
      <w:r>
        <w:rPr>
          <w:rFonts w:ascii="Times New Roman" w:hAnsi="Times New Roman" w:cs="Times New Roman"/>
          <w:sz w:val="20"/>
          <w:szCs w:val="20"/>
        </w:rPr>
        <w:t>233</w:t>
      </w:r>
      <w:r w:rsidRPr="00C2206F">
        <w:rPr>
          <w:rFonts w:ascii="Times New Roman" w:hAnsi="Times New Roman" w:cs="Times New Roman"/>
          <w:sz w:val="20"/>
          <w:szCs w:val="20"/>
        </w:rPr>
        <w:t xml:space="preserve"> e </w:t>
      </w:r>
      <w:r w:rsidRPr="00C2206F">
        <w:rPr>
          <w:rFonts w:ascii="Times New Roman" w:hAnsi="Times New Roman" w:cs="Times New Roman"/>
          <w:i/>
          <w:sz w:val="20"/>
          <w:szCs w:val="20"/>
        </w:rPr>
        <w:t>supra</w:t>
      </w:r>
      <w:r>
        <w:rPr>
          <w:rFonts w:ascii="Times New Roman" w:hAnsi="Times New Roman" w:cs="Times New Roman"/>
          <w:sz w:val="20"/>
          <w:szCs w:val="20"/>
        </w:rPr>
        <w:t>, pp. 242-246</w:t>
      </w:r>
      <w:r w:rsidRPr="00C2206F">
        <w:rPr>
          <w:rFonts w:ascii="Times New Roman" w:hAnsi="Times New Roman" w:cs="Times New Roman"/>
          <w:sz w:val="20"/>
          <w:szCs w:val="20"/>
        </w:rPr>
        <w:t>.</w:t>
      </w:r>
      <w:r w:rsidRPr="008A7E2A">
        <w:rPr>
          <w:rFonts w:ascii="Times New Roman" w:hAnsi="Times New Roman" w:cs="Times New Roman"/>
          <w:sz w:val="20"/>
          <w:szCs w:val="20"/>
        </w:rPr>
        <w:t xml:space="preserve"> </w:t>
      </w:r>
    </w:p>
  </w:footnote>
  <w:footnote w:id="807">
    <w:p w14:paraId="07F05595" w14:textId="77777777" w:rsidR="00B34CC2" w:rsidRPr="00165F68" w:rsidRDefault="00B34CC2" w:rsidP="00F721A9">
      <w:pPr>
        <w:pStyle w:val="Testonotaapidipagina"/>
        <w:jc w:val="both"/>
        <w:rPr>
          <w:rFonts w:ascii="Times New Roman" w:hAnsi="Times New Roman" w:cs="Times New Roman"/>
          <w:sz w:val="20"/>
          <w:szCs w:val="20"/>
        </w:rPr>
      </w:pPr>
      <w:r w:rsidRPr="00165F68">
        <w:rPr>
          <w:rStyle w:val="Rimandonotaapidipagina"/>
          <w:rFonts w:ascii="Times New Roman" w:hAnsi="Times New Roman" w:cs="Times New Roman"/>
          <w:sz w:val="20"/>
          <w:szCs w:val="20"/>
        </w:rPr>
        <w:footnoteRef/>
      </w:r>
      <w:r w:rsidRPr="00165F68">
        <w:rPr>
          <w:rFonts w:ascii="Times New Roman" w:hAnsi="Times New Roman" w:cs="Times New Roman"/>
          <w:sz w:val="20"/>
          <w:szCs w:val="20"/>
        </w:rPr>
        <w:t xml:space="preserve"> </w:t>
      </w:r>
      <w:r w:rsidRPr="00165F68">
        <w:rPr>
          <w:rFonts w:ascii="Times New Roman" w:hAnsi="Times New Roman" w:cs="Times New Roman"/>
          <w:i/>
          <w:sz w:val="20"/>
          <w:szCs w:val="20"/>
        </w:rPr>
        <w:t>VGP (H)</w:t>
      </w:r>
      <w:r w:rsidRPr="00165F68">
        <w:rPr>
          <w:rFonts w:ascii="Times New Roman" w:hAnsi="Times New Roman" w:cs="Times New Roman"/>
          <w:sz w:val="20"/>
          <w:szCs w:val="20"/>
        </w:rPr>
        <w:t>, p. 419.</w:t>
      </w:r>
    </w:p>
  </w:footnote>
  <w:footnote w:id="808">
    <w:p w14:paraId="2A0FF5F2" w14:textId="00776628" w:rsidR="00B34CC2" w:rsidRPr="00060C4D" w:rsidRDefault="00B34CC2" w:rsidP="00F721A9">
      <w:pPr>
        <w:pStyle w:val="Testonotaapidipagina"/>
        <w:jc w:val="both"/>
        <w:rPr>
          <w:rFonts w:ascii="Times New Roman" w:hAnsi="Times New Roman" w:cs="Times New Roman"/>
          <w:sz w:val="20"/>
          <w:szCs w:val="20"/>
        </w:rPr>
      </w:pPr>
      <w:r w:rsidRPr="00F402AC">
        <w:rPr>
          <w:rStyle w:val="Rimandonotaapidipagina"/>
          <w:rFonts w:ascii="Times New Roman" w:hAnsi="Times New Roman" w:cs="Times New Roman"/>
          <w:sz w:val="20"/>
          <w:szCs w:val="20"/>
        </w:rPr>
        <w:footnoteRef/>
      </w:r>
      <w:r w:rsidRPr="00F402AC">
        <w:rPr>
          <w:rFonts w:ascii="Times New Roman" w:hAnsi="Times New Roman" w:cs="Times New Roman"/>
          <w:sz w:val="20"/>
          <w:szCs w:val="20"/>
        </w:rPr>
        <w:t xml:space="preserve"> Vedi </w:t>
      </w:r>
      <w:r w:rsidRPr="00F402AC">
        <w:rPr>
          <w:rFonts w:ascii="Times New Roman" w:hAnsi="Times New Roman" w:cs="Times New Roman"/>
          <w:i/>
          <w:sz w:val="20"/>
          <w:szCs w:val="20"/>
        </w:rPr>
        <w:t>supra</w:t>
      </w:r>
      <w:r>
        <w:rPr>
          <w:rFonts w:ascii="Times New Roman" w:hAnsi="Times New Roman" w:cs="Times New Roman"/>
          <w:sz w:val="20"/>
          <w:szCs w:val="20"/>
        </w:rPr>
        <w:t>, pp. 203-208</w:t>
      </w:r>
      <w:r w:rsidRPr="00F402AC">
        <w:rPr>
          <w:rFonts w:ascii="Times New Roman" w:hAnsi="Times New Roman" w:cs="Times New Roman"/>
          <w:sz w:val="20"/>
          <w:szCs w:val="20"/>
        </w:rPr>
        <w:t>.</w:t>
      </w:r>
    </w:p>
  </w:footnote>
  <w:footnote w:id="809">
    <w:p w14:paraId="415AFCF6" w14:textId="77777777" w:rsidR="00B34CC2" w:rsidRPr="00060C4D" w:rsidRDefault="00B34CC2" w:rsidP="00F721A9">
      <w:pPr>
        <w:pStyle w:val="Testonotaapidipagina"/>
        <w:jc w:val="both"/>
        <w:rPr>
          <w:rFonts w:ascii="Times New Roman" w:hAnsi="Times New Roman" w:cs="Times New Roman"/>
          <w:sz w:val="20"/>
          <w:szCs w:val="20"/>
        </w:rPr>
      </w:pPr>
      <w:r w:rsidRPr="00060C4D">
        <w:rPr>
          <w:rStyle w:val="Rimandonotaapidipagina"/>
          <w:rFonts w:ascii="Times New Roman" w:hAnsi="Times New Roman" w:cs="Times New Roman"/>
          <w:sz w:val="20"/>
          <w:szCs w:val="20"/>
        </w:rPr>
        <w:footnoteRef/>
      </w:r>
      <w:r w:rsidRPr="00060C4D">
        <w:rPr>
          <w:rFonts w:ascii="Times New Roman" w:hAnsi="Times New Roman" w:cs="Times New Roman"/>
          <w:sz w:val="20"/>
          <w:szCs w:val="20"/>
        </w:rPr>
        <w:t xml:space="preserve"> </w:t>
      </w:r>
      <w:r w:rsidRPr="0022045E">
        <w:rPr>
          <w:rFonts w:ascii="Times New Roman" w:hAnsi="Times New Roman" w:cs="Times New Roman"/>
          <w:i/>
          <w:sz w:val="20"/>
          <w:szCs w:val="20"/>
        </w:rPr>
        <w:t>Ibidem</w:t>
      </w:r>
      <w:r>
        <w:rPr>
          <w:rFonts w:ascii="Times New Roman" w:hAnsi="Times New Roman" w:cs="Times New Roman"/>
          <w:sz w:val="20"/>
          <w:szCs w:val="20"/>
        </w:rPr>
        <w:t>.</w:t>
      </w:r>
    </w:p>
  </w:footnote>
  <w:footnote w:id="810">
    <w:p w14:paraId="5AA73E1C" w14:textId="77777777" w:rsidR="00B34CC2" w:rsidRPr="00580456" w:rsidRDefault="00B34CC2" w:rsidP="00F721A9">
      <w:pPr>
        <w:pStyle w:val="Testonotaapidipagina"/>
        <w:jc w:val="both"/>
        <w:rPr>
          <w:rFonts w:ascii="Times New Roman" w:hAnsi="Times New Roman"/>
          <w:sz w:val="20"/>
          <w:szCs w:val="20"/>
        </w:rPr>
      </w:pPr>
      <w:r w:rsidRPr="00580456">
        <w:rPr>
          <w:rStyle w:val="Rimandonotaapidipagina"/>
          <w:rFonts w:ascii="Times New Roman" w:hAnsi="Times New Roman"/>
          <w:sz w:val="20"/>
          <w:szCs w:val="20"/>
        </w:rPr>
        <w:footnoteRef/>
      </w:r>
      <w:r w:rsidRPr="00580456">
        <w:rPr>
          <w:rFonts w:ascii="Times New Roman" w:hAnsi="Times New Roman"/>
          <w:sz w:val="20"/>
          <w:szCs w:val="20"/>
        </w:rPr>
        <w:t xml:space="preserve"> </w:t>
      </w:r>
      <w:r w:rsidRPr="00580456">
        <w:rPr>
          <w:rFonts w:ascii="Times New Roman" w:hAnsi="Times New Roman" w:cs="Times New Roman"/>
          <w:i/>
          <w:sz w:val="20"/>
          <w:szCs w:val="20"/>
        </w:rPr>
        <w:t>Enz B</w:t>
      </w:r>
      <w:r w:rsidRPr="00580456">
        <w:rPr>
          <w:rFonts w:ascii="Times New Roman" w:hAnsi="Times New Roman" w:cs="Times New Roman"/>
          <w:sz w:val="20"/>
          <w:szCs w:val="20"/>
        </w:rPr>
        <w:t xml:space="preserve">, p. 67; </w:t>
      </w:r>
      <w:r w:rsidRPr="00580456">
        <w:rPr>
          <w:rFonts w:ascii="Times New Roman" w:hAnsi="Times New Roman" w:cs="Times New Roman"/>
          <w:i/>
          <w:sz w:val="20"/>
          <w:szCs w:val="20"/>
        </w:rPr>
        <w:t xml:space="preserve">Enz C, </w:t>
      </w:r>
      <w:r w:rsidRPr="00580456">
        <w:rPr>
          <w:rFonts w:ascii="Times New Roman" w:hAnsi="Times New Roman" w:cs="Times New Roman"/>
          <w:sz w:val="20"/>
          <w:szCs w:val="20"/>
        </w:rPr>
        <w:t>p. 89.</w:t>
      </w:r>
    </w:p>
  </w:footnote>
  <w:footnote w:id="811">
    <w:p w14:paraId="5D06A2B8" w14:textId="77777777" w:rsidR="00B34CC2" w:rsidRDefault="00B34CC2" w:rsidP="00F721A9">
      <w:pPr>
        <w:pStyle w:val="Testonotaapidipagina"/>
        <w:jc w:val="both"/>
      </w:pPr>
      <w:r w:rsidRPr="00A213EB">
        <w:rPr>
          <w:rStyle w:val="Rimandonotaapidipagina"/>
          <w:rFonts w:ascii="Times New Roman" w:hAnsi="Times New Roman" w:cs="Times New Roman"/>
          <w:sz w:val="20"/>
          <w:szCs w:val="20"/>
        </w:rPr>
        <w:footnoteRef/>
      </w:r>
      <w:r w:rsidRPr="00A213EB">
        <w:rPr>
          <w:rFonts w:ascii="Times New Roman" w:hAnsi="Times New Roman" w:cs="Times New Roman"/>
          <w:sz w:val="20"/>
          <w:szCs w:val="20"/>
        </w:rPr>
        <w:t xml:space="preserve"> </w:t>
      </w:r>
      <w:r w:rsidRPr="00441CE9">
        <w:rPr>
          <w:rFonts w:ascii="Times New Roman" w:hAnsi="Times New Roman" w:cs="Times New Roman"/>
          <w:sz w:val="20"/>
          <w:szCs w:val="20"/>
        </w:rPr>
        <w:t xml:space="preserve">Cfr. </w:t>
      </w:r>
      <w:r w:rsidRPr="00441CE9">
        <w:rPr>
          <w:rFonts w:ascii="Times New Roman" w:hAnsi="Times New Roman" w:cs="Times New Roman"/>
          <w:i/>
          <w:sz w:val="20"/>
          <w:szCs w:val="20"/>
        </w:rPr>
        <w:t>Enz B</w:t>
      </w:r>
      <w:r w:rsidRPr="00441CE9">
        <w:rPr>
          <w:rFonts w:ascii="Times New Roman" w:hAnsi="Times New Roman" w:cs="Times New Roman"/>
          <w:sz w:val="20"/>
          <w:szCs w:val="20"/>
        </w:rPr>
        <w:t xml:space="preserve">, pp. 411-412; </w:t>
      </w:r>
      <w:r w:rsidRPr="00441CE9">
        <w:rPr>
          <w:rFonts w:ascii="Times New Roman" w:hAnsi="Times New Roman" w:cs="Times New Roman"/>
          <w:i/>
          <w:sz w:val="20"/>
          <w:szCs w:val="20"/>
        </w:rPr>
        <w:t xml:space="preserve">Enz C, </w:t>
      </w:r>
      <w:r w:rsidRPr="00441CE9">
        <w:rPr>
          <w:rFonts w:ascii="Times New Roman" w:hAnsi="Times New Roman" w:cs="Times New Roman"/>
          <w:sz w:val="20"/>
          <w:szCs w:val="20"/>
        </w:rPr>
        <w:t>pp. 565-565</w:t>
      </w:r>
      <w:r>
        <w:rPr>
          <w:rFonts w:ascii="Times New Roman" w:hAnsi="Times New Roman" w:cs="Times New Roman"/>
          <w:sz w:val="20"/>
          <w:szCs w:val="20"/>
        </w:rPr>
        <w:t>.</w:t>
      </w:r>
    </w:p>
  </w:footnote>
  <w:footnote w:id="812">
    <w:p w14:paraId="629D51EC" w14:textId="77777777" w:rsidR="00B34CC2" w:rsidRPr="00881054" w:rsidRDefault="00B34CC2" w:rsidP="00F721A9">
      <w:pPr>
        <w:pStyle w:val="Testonotaapidipagina"/>
        <w:jc w:val="both"/>
        <w:rPr>
          <w:rFonts w:ascii="Times New Roman" w:hAnsi="Times New Roman" w:cs="Times New Roman"/>
          <w:sz w:val="20"/>
          <w:szCs w:val="20"/>
        </w:rPr>
      </w:pPr>
      <w:r w:rsidRPr="00881054">
        <w:rPr>
          <w:rStyle w:val="Rimandonotaapidipagina"/>
          <w:rFonts w:ascii="Times New Roman" w:hAnsi="Times New Roman" w:cs="Times New Roman"/>
          <w:sz w:val="20"/>
          <w:szCs w:val="20"/>
        </w:rPr>
        <w:footnoteRef/>
      </w:r>
      <w:r w:rsidRPr="00881054">
        <w:rPr>
          <w:rFonts w:ascii="Times New Roman" w:hAnsi="Times New Roman" w:cs="Times New Roman"/>
          <w:sz w:val="20"/>
          <w:szCs w:val="20"/>
        </w:rPr>
        <w:t xml:space="preserve"> </w:t>
      </w:r>
      <w:r w:rsidRPr="00881054">
        <w:rPr>
          <w:rFonts w:ascii="Times New Roman" w:hAnsi="Times New Roman" w:cs="Times New Roman"/>
          <w:i/>
          <w:sz w:val="20"/>
          <w:szCs w:val="20"/>
        </w:rPr>
        <w:t xml:space="preserve">WdL </w:t>
      </w:r>
      <w:r>
        <w:rPr>
          <w:rFonts w:ascii="Times New Roman" w:hAnsi="Times New Roman" w:cs="Times New Roman"/>
          <w:i/>
          <w:sz w:val="20"/>
          <w:szCs w:val="20"/>
        </w:rPr>
        <w:t xml:space="preserve">I </w:t>
      </w:r>
      <w:r w:rsidRPr="00881054">
        <w:rPr>
          <w:rFonts w:ascii="Times New Roman" w:hAnsi="Times New Roman" w:cs="Times New Roman"/>
          <w:i/>
          <w:sz w:val="20"/>
          <w:szCs w:val="20"/>
        </w:rPr>
        <w:t>(B)</w:t>
      </w:r>
      <w:r w:rsidRPr="00881054">
        <w:rPr>
          <w:rFonts w:ascii="Times New Roman" w:hAnsi="Times New Roman" w:cs="Times New Roman"/>
          <w:sz w:val="20"/>
          <w:szCs w:val="20"/>
        </w:rPr>
        <w:t xml:space="preserve">, p. </w:t>
      </w:r>
      <w:r>
        <w:rPr>
          <w:rFonts w:ascii="Times New Roman" w:hAnsi="Times New Roman" w:cs="Times New Roman"/>
          <w:sz w:val="20"/>
          <w:szCs w:val="20"/>
        </w:rPr>
        <w:t>71</w:t>
      </w:r>
      <w:r w:rsidRPr="00881054">
        <w:rPr>
          <w:rFonts w:ascii="Times New Roman" w:hAnsi="Times New Roman" w:cs="Times New Roman"/>
          <w:sz w:val="20"/>
          <w:szCs w:val="20"/>
        </w:rPr>
        <w:t>.</w:t>
      </w:r>
    </w:p>
  </w:footnote>
  <w:footnote w:id="813">
    <w:p w14:paraId="25534AE1" w14:textId="1DB66FD4" w:rsidR="00B34CC2" w:rsidRPr="0056576B" w:rsidRDefault="00B34CC2" w:rsidP="00F721A9">
      <w:pPr>
        <w:jc w:val="both"/>
        <w:rPr>
          <w:rFonts w:ascii="Times New Roman" w:eastAsia="Times New Roman" w:hAnsi="Times New Roman" w:cs="Times New Roman"/>
          <w:sz w:val="20"/>
          <w:szCs w:val="20"/>
          <w:lang w:val="de-DE"/>
        </w:rPr>
      </w:pPr>
      <w:r w:rsidRPr="0009719E">
        <w:rPr>
          <w:rStyle w:val="Rimandonotaapidipagina"/>
          <w:rFonts w:ascii="Times New Roman" w:hAnsi="Times New Roman" w:cs="Times New Roman"/>
          <w:sz w:val="20"/>
          <w:szCs w:val="20"/>
        </w:rPr>
        <w:footnoteRef/>
      </w:r>
      <w:r w:rsidRPr="0009719E">
        <w:rPr>
          <w:rFonts w:ascii="Times New Roman" w:hAnsi="Times New Roman" w:cs="Times New Roman"/>
          <w:sz w:val="20"/>
          <w:szCs w:val="20"/>
        </w:rPr>
        <w:t xml:space="preserve"> </w:t>
      </w:r>
      <w:r>
        <w:rPr>
          <w:rFonts w:ascii="Times New Roman" w:hAnsi="Times New Roman" w:cs="Times New Roman"/>
          <w:sz w:val="20"/>
          <w:szCs w:val="20"/>
        </w:rPr>
        <w:t xml:space="preserve">Vedi </w:t>
      </w:r>
      <w:r w:rsidRPr="0009719E">
        <w:rPr>
          <w:rFonts w:ascii="Times New Roman" w:hAnsi="Times New Roman" w:cs="Times New Roman"/>
          <w:i/>
          <w:sz w:val="20"/>
          <w:szCs w:val="20"/>
        </w:rPr>
        <w:t>WdL I B</w:t>
      </w:r>
      <w:r>
        <w:rPr>
          <w:rFonts w:ascii="Times New Roman" w:hAnsi="Times New Roman" w:cs="Times New Roman"/>
          <w:sz w:val="20"/>
          <w:szCs w:val="20"/>
        </w:rPr>
        <w:t>, p. 82: «</w:t>
      </w:r>
      <w:r w:rsidRPr="00C10F56">
        <w:rPr>
          <w:rFonts w:ascii="Times New Roman" w:eastAsia="Times New Roman" w:hAnsi="Times New Roman" w:cs="Times New Roman"/>
          <w:i/>
          <w:iCs/>
          <w:color w:val="000000"/>
          <w:sz w:val="20"/>
          <w:szCs w:val="20"/>
          <w:shd w:val="clear" w:color="auto" w:fill="FFFFFF"/>
          <w:lang w:val="de-DE"/>
        </w:rPr>
        <w:t>Parmenides</w:t>
      </w:r>
      <w:r w:rsidRPr="00C10F56">
        <w:rPr>
          <w:rFonts w:ascii="Times New Roman" w:eastAsia="Times New Roman" w:hAnsi="Times New Roman" w:cs="Times New Roman"/>
          <w:color w:val="000000"/>
          <w:sz w:val="20"/>
          <w:szCs w:val="20"/>
          <w:shd w:val="clear" w:color="auto" w:fill="FFFFFF"/>
          <w:lang w:val="de-DE"/>
        </w:rPr>
        <w:t> hielt das Sein fest und war am konsequentesten, indem er zugleich vom Nichts sagte, daß es </w:t>
      </w:r>
      <w:r w:rsidRPr="00C10F56">
        <w:rPr>
          <w:rFonts w:ascii="Times New Roman" w:eastAsia="Times New Roman" w:hAnsi="Times New Roman" w:cs="Times New Roman"/>
          <w:i/>
          <w:iCs/>
          <w:color w:val="000000"/>
          <w:sz w:val="20"/>
          <w:szCs w:val="20"/>
          <w:shd w:val="clear" w:color="auto" w:fill="FFFFFF"/>
          <w:lang w:val="de-DE"/>
        </w:rPr>
        <w:t>gar nicht ist</w:t>
      </w:r>
      <w:r w:rsidRPr="00C10F56">
        <w:rPr>
          <w:rFonts w:ascii="Times New Roman" w:eastAsia="Times New Roman" w:hAnsi="Times New Roman" w:cs="Times New Roman"/>
          <w:color w:val="000000"/>
          <w:sz w:val="20"/>
          <w:szCs w:val="20"/>
          <w:shd w:val="clear" w:color="auto" w:fill="FFFFFF"/>
          <w:lang w:val="de-DE"/>
        </w:rPr>
        <w:t>, nur das Sein ist. Das Sein so ganz für sich ist das Unbest</w:t>
      </w:r>
      <w:r>
        <w:rPr>
          <w:rFonts w:ascii="Times New Roman" w:eastAsia="Times New Roman" w:hAnsi="Times New Roman" w:cs="Times New Roman"/>
          <w:color w:val="000000"/>
          <w:sz w:val="20"/>
          <w:szCs w:val="20"/>
          <w:shd w:val="clear" w:color="auto" w:fill="FFFFFF"/>
          <w:lang w:val="de-DE"/>
        </w:rPr>
        <w:t xml:space="preserve">immte, hat also keine Beziehung auf Anderes; es scheint daher, daß </w:t>
      </w:r>
      <w:r w:rsidRPr="00C10F56">
        <w:rPr>
          <w:rFonts w:ascii="Times New Roman" w:eastAsia="Times New Roman" w:hAnsi="Times New Roman" w:cs="Times New Roman"/>
          <w:i/>
          <w:iCs/>
          <w:color w:val="000000"/>
          <w:sz w:val="20"/>
          <w:szCs w:val="20"/>
          <w:shd w:val="clear" w:color="auto" w:fill="FFFFFF"/>
          <w:lang w:val="de-DE"/>
        </w:rPr>
        <w:t>von diesem Anfang</w:t>
      </w:r>
      <w:r>
        <w:rPr>
          <w:rFonts w:ascii="Times New Roman" w:eastAsia="Times New Roman" w:hAnsi="Times New Roman" w:cs="Times New Roman"/>
          <w:color w:val="000000"/>
          <w:sz w:val="20"/>
          <w:szCs w:val="20"/>
          <w:shd w:val="clear" w:color="auto" w:fill="FFFFFF"/>
          <w:lang w:val="de-DE"/>
        </w:rPr>
        <w:t xml:space="preserve"> aus </w:t>
      </w:r>
      <w:r w:rsidRPr="00C10F56">
        <w:rPr>
          <w:rFonts w:ascii="Times New Roman" w:eastAsia="Times New Roman" w:hAnsi="Times New Roman" w:cs="Times New Roman"/>
          <w:color w:val="000000"/>
          <w:sz w:val="20"/>
          <w:szCs w:val="20"/>
          <w:shd w:val="clear" w:color="auto" w:fill="FFFFFF"/>
          <w:lang w:val="de-DE"/>
        </w:rPr>
        <w:t>nicht weiter </w:t>
      </w:r>
      <w:r w:rsidRPr="00C10F56">
        <w:rPr>
          <w:rFonts w:ascii="Times New Roman" w:eastAsia="Times New Roman" w:hAnsi="Times New Roman" w:cs="Times New Roman"/>
          <w:i/>
          <w:iCs/>
          <w:color w:val="000000"/>
          <w:sz w:val="20"/>
          <w:szCs w:val="20"/>
          <w:shd w:val="clear" w:color="auto" w:fill="FFFFFF"/>
          <w:lang w:val="de-DE"/>
        </w:rPr>
        <w:t>fortgegangen</w:t>
      </w:r>
      <w:r w:rsidRPr="00C10F56">
        <w:rPr>
          <w:rFonts w:ascii="Times New Roman" w:eastAsia="Times New Roman" w:hAnsi="Times New Roman" w:cs="Times New Roman"/>
          <w:color w:val="000000"/>
          <w:sz w:val="20"/>
          <w:szCs w:val="20"/>
          <w:shd w:val="clear" w:color="auto" w:fill="FFFFFF"/>
          <w:lang w:val="de-DE"/>
        </w:rPr>
        <w:t> werden könne, nämlich aus ihm selbst, und ein Fortgang nur dadurch geschehen könne, daß </w:t>
      </w:r>
      <w:r w:rsidRPr="00C10F56">
        <w:rPr>
          <w:rFonts w:ascii="Times New Roman" w:eastAsia="Times New Roman" w:hAnsi="Times New Roman" w:cs="Times New Roman"/>
          <w:i/>
          <w:iCs/>
          <w:color w:val="000000"/>
          <w:sz w:val="20"/>
          <w:szCs w:val="20"/>
          <w:shd w:val="clear" w:color="auto" w:fill="FFFFFF"/>
          <w:lang w:val="de-DE"/>
        </w:rPr>
        <w:t>von Außen</w:t>
      </w:r>
      <w:r w:rsidRPr="00C10F56">
        <w:rPr>
          <w:rFonts w:ascii="Times New Roman" w:eastAsia="Times New Roman" w:hAnsi="Times New Roman" w:cs="Times New Roman"/>
          <w:color w:val="000000"/>
          <w:sz w:val="20"/>
          <w:szCs w:val="20"/>
          <w:shd w:val="clear" w:color="auto" w:fill="FFFFFF"/>
          <w:lang w:val="de-DE"/>
        </w:rPr>
        <w:t> etwas Fremdes daran geknüpft würde […] bei Parmenides wie bei Spinoza soll von dem Sein oder der absoluten Substanz nicht fortgegangen werden zu dem Negativen, Endlichen</w:t>
      </w:r>
      <w:r w:rsidRPr="00EA0211">
        <w:rPr>
          <w:rFonts w:ascii="Times New Roman" w:hAnsi="Times New Roman" w:cs="Times New Roman"/>
          <w:sz w:val="20"/>
          <w:szCs w:val="20"/>
        </w:rPr>
        <w:t>»</w:t>
      </w:r>
      <w:r>
        <w:rPr>
          <w:rFonts w:ascii="Times New Roman" w:hAnsi="Times New Roman" w:cs="Times New Roman"/>
          <w:sz w:val="20"/>
          <w:szCs w:val="20"/>
        </w:rPr>
        <w:t>.</w:t>
      </w:r>
    </w:p>
  </w:footnote>
  <w:footnote w:id="814">
    <w:p w14:paraId="61C99DEB" w14:textId="255C14ED" w:rsidR="00B34CC2" w:rsidRPr="00B762AD" w:rsidRDefault="00B34CC2" w:rsidP="00F721A9">
      <w:pPr>
        <w:pStyle w:val="Testonotaapidipagina"/>
        <w:jc w:val="both"/>
        <w:rPr>
          <w:rFonts w:ascii="Times New Roman" w:hAnsi="Times New Roman" w:cs="Times New Roman"/>
          <w:sz w:val="20"/>
          <w:szCs w:val="20"/>
        </w:rPr>
      </w:pPr>
      <w:r w:rsidRPr="00F402AC">
        <w:rPr>
          <w:rStyle w:val="Rimandonotaapidipagina"/>
          <w:rFonts w:ascii="Times New Roman" w:hAnsi="Times New Roman" w:cs="Times New Roman"/>
          <w:sz w:val="20"/>
          <w:szCs w:val="20"/>
        </w:rPr>
        <w:footnoteRef/>
      </w:r>
      <w:r w:rsidRPr="00F402AC">
        <w:rPr>
          <w:rFonts w:ascii="Times New Roman" w:hAnsi="Times New Roman" w:cs="Times New Roman"/>
          <w:sz w:val="20"/>
          <w:szCs w:val="20"/>
        </w:rPr>
        <w:t xml:space="preserve"> Cfr. </w:t>
      </w:r>
      <w:r w:rsidRPr="00F402AC">
        <w:rPr>
          <w:rFonts w:ascii="Times New Roman" w:hAnsi="Times New Roman" w:cs="Times New Roman"/>
          <w:i/>
          <w:sz w:val="20"/>
          <w:szCs w:val="20"/>
        </w:rPr>
        <w:t>supra</w:t>
      </w:r>
      <w:r>
        <w:rPr>
          <w:rFonts w:ascii="Times New Roman" w:hAnsi="Times New Roman" w:cs="Times New Roman"/>
          <w:sz w:val="20"/>
          <w:szCs w:val="20"/>
        </w:rPr>
        <w:t>, pp. 256-263</w:t>
      </w:r>
      <w:r w:rsidRPr="00F402AC">
        <w:rPr>
          <w:rFonts w:ascii="Times New Roman" w:hAnsi="Times New Roman" w:cs="Times New Roman"/>
          <w:sz w:val="20"/>
          <w:szCs w:val="20"/>
        </w:rPr>
        <w:t>.</w:t>
      </w:r>
    </w:p>
  </w:footnote>
  <w:footnote w:id="815">
    <w:p w14:paraId="0EBC1CFC" w14:textId="61AC7361" w:rsidR="00B34CC2" w:rsidRPr="00B219CE" w:rsidRDefault="00B34CC2" w:rsidP="00F721A9">
      <w:pPr>
        <w:pStyle w:val="Testonotaapidipagina"/>
        <w:jc w:val="both"/>
        <w:rPr>
          <w:rFonts w:ascii="Times New Roman" w:hAnsi="Times New Roman" w:cs="Times New Roman"/>
          <w:sz w:val="20"/>
          <w:szCs w:val="20"/>
        </w:rPr>
      </w:pPr>
      <w:r w:rsidRPr="00F402AC">
        <w:rPr>
          <w:rStyle w:val="Rimandonotaapidipagina"/>
          <w:rFonts w:ascii="Times New Roman" w:hAnsi="Times New Roman" w:cs="Times New Roman"/>
          <w:sz w:val="20"/>
          <w:szCs w:val="20"/>
        </w:rPr>
        <w:footnoteRef/>
      </w:r>
      <w:r w:rsidRPr="00F402AC">
        <w:rPr>
          <w:rFonts w:ascii="Times New Roman" w:hAnsi="Times New Roman" w:cs="Times New Roman"/>
          <w:sz w:val="20"/>
          <w:szCs w:val="20"/>
        </w:rPr>
        <w:t xml:space="preserve"> Cfr. </w:t>
      </w:r>
      <w:r w:rsidRPr="00F402AC">
        <w:rPr>
          <w:rFonts w:ascii="Times New Roman" w:hAnsi="Times New Roman" w:cs="Times New Roman"/>
          <w:i/>
          <w:sz w:val="20"/>
          <w:szCs w:val="20"/>
        </w:rPr>
        <w:t>supra</w:t>
      </w:r>
      <w:r>
        <w:rPr>
          <w:rFonts w:ascii="Times New Roman" w:hAnsi="Times New Roman" w:cs="Times New Roman"/>
          <w:sz w:val="20"/>
          <w:szCs w:val="20"/>
        </w:rPr>
        <w:t>, p. 262, nota 301</w:t>
      </w:r>
      <w:r w:rsidRPr="00F402AC">
        <w:rPr>
          <w:rFonts w:ascii="Times New Roman" w:hAnsi="Times New Roman" w:cs="Times New Roman"/>
          <w:sz w:val="20"/>
          <w:szCs w:val="20"/>
        </w:rPr>
        <w:t>.</w:t>
      </w:r>
    </w:p>
  </w:footnote>
  <w:footnote w:id="816">
    <w:p w14:paraId="0DFFB357" w14:textId="77777777" w:rsidR="00B34CC2" w:rsidRPr="00F975AD" w:rsidRDefault="00B34CC2" w:rsidP="001B6629">
      <w:pPr>
        <w:pStyle w:val="Testonotaapidipagina"/>
        <w:jc w:val="both"/>
        <w:rPr>
          <w:rFonts w:ascii="Times New Roman" w:hAnsi="Times New Roman" w:cs="Times New Roman"/>
          <w:sz w:val="20"/>
          <w:szCs w:val="20"/>
        </w:rPr>
      </w:pPr>
      <w:r w:rsidRPr="007051D9">
        <w:rPr>
          <w:rStyle w:val="Rimandonotaapidipagina"/>
          <w:rFonts w:ascii="Times New Roman" w:hAnsi="Times New Roman" w:cs="Times New Roman"/>
          <w:sz w:val="20"/>
          <w:szCs w:val="20"/>
          <w:lang w:val="de-DE"/>
        </w:rPr>
        <w:footnoteRef/>
      </w:r>
      <w:r>
        <w:rPr>
          <w:rFonts w:ascii="Times New Roman" w:hAnsi="Times New Roman" w:cs="Times New Roman"/>
          <w:sz w:val="20"/>
          <w:szCs w:val="20"/>
          <w:lang w:val="de-DE"/>
        </w:rPr>
        <w:t xml:space="preserve"> V</w:t>
      </w:r>
      <w:r w:rsidRPr="007051D9">
        <w:rPr>
          <w:rFonts w:ascii="Times New Roman" w:hAnsi="Times New Roman" w:cs="Times New Roman"/>
          <w:sz w:val="20"/>
          <w:szCs w:val="20"/>
          <w:lang w:val="de-DE"/>
        </w:rPr>
        <w:t xml:space="preserve">gl. A. Franck, </w:t>
      </w:r>
      <w:r w:rsidRPr="007051D9">
        <w:rPr>
          <w:rFonts w:ascii="Times New Roman" w:hAnsi="Times New Roman" w:cs="Times New Roman"/>
          <w:i/>
          <w:sz w:val="20"/>
          <w:szCs w:val="20"/>
          <w:lang w:val="de-DE"/>
        </w:rPr>
        <w:t>La Kabbale ou la philosophie religouse des Hébreux</w:t>
      </w:r>
      <w:r w:rsidRPr="007051D9">
        <w:rPr>
          <w:rFonts w:ascii="Times New Roman" w:hAnsi="Times New Roman" w:cs="Times New Roman"/>
          <w:sz w:val="20"/>
          <w:szCs w:val="20"/>
          <w:lang w:val="de-DE"/>
        </w:rPr>
        <w:t xml:space="preserve">, Paris 1843, p. 186: „On le nomme ainsi, dit l’Idra souta, parce que nous ne connaissons pas, et qu’il est impossible de connaître ce qu’il y a dans ce principe; parce qu’il ne descend jamais jusqu’à notre ignorance et qu’il est au-dessus de la sagesse elle-même”. Nous ne pouvons pas nous empêcher de faire remarquer que l’on retrouve la même idée et jusqu’aux mêmes expressions dans l’un des plus vastes et des plus célèbres systèmes de métaphysique dont notre époque puisse se glorifier aux yeux de la postérité. “Tout commence, dit Hegel, par l’être pur, qui n’est qu’une pensée entièrement indéterminée, simple et immédiate, car le vrai commencement ne peut pas être antre chose… </w:t>
      </w:r>
      <w:r w:rsidRPr="00BB5334">
        <w:rPr>
          <w:rFonts w:ascii="Times New Roman" w:hAnsi="Times New Roman" w:cs="Times New Roman"/>
          <w:sz w:val="20"/>
          <w:szCs w:val="20"/>
        </w:rPr>
        <w:t>Mais cet être pur n’est que la plus pure abstraction; c’est un terme absolument négatif, qui peut aussi, si on le conçoit d’une manière immédiate, être appelé le non-</w:t>
      </w:r>
      <w:r w:rsidRPr="00F975AD">
        <w:rPr>
          <w:rFonts w:ascii="Times New Roman" w:hAnsi="Times New Roman" w:cs="Times New Roman"/>
          <w:sz w:val="20"/>
          <w:szCs w:val="20"/>
        </w:rPr>
        <w:t>être”.</w:t>
      </w:r>
    </w:p>
  </w:footnote>
  <w:footnote w:id="817">
    <w:p w14:paraId="258FBF10" w14:textId="77777777" w:rsidR="00B34CC2" w:rsidRPr="00BB5334" w:rsidRDefault="00B34CC2" w:rsidP="001B6629">
      <w:pPr>
        <w:pStyle w:val="Testonotaapidipagina"/>
        <w:jc w:val="both"/>
        <w:rPr>
          <w:lang w:val="de-DE"/>
        </w:rPr>
      </w:pPr>
      <w:r w:rsidRPr="00F975AD">
        <w:rPr>
          <w:rStyle w:val="Rimandonotaapidipagina"/>
          <w:rFonts w:ascii="Times New Roman" w:hAnsi="Times New Roman" w:cs="Times New Roman"/>
          <w:sz w:val="20"/>
          <w:szCs w:val="20"/>
          <w:lang w:val="de-DE"/>
        </w:rPr>
        <w:footnoteRef/>
      </w:r>
      <w:r w:rsidRPr="00F975AD">
        <w:rPr>
          <w:rFonts w:ascii="Times New Roman" w:hAnsi="Times New Roman" w:cs="Times New Roman"/>
          <w:sz w:val="20"/>
          <w:szCs w:val="20"/>
        </w:rPr>
        <w:t xml:space="preserve"> M. Idel, </w:t>
      </w:r>
      <w:r w:rsidRPr="00F975AD">
        <w:rPr>
          <w:rFonts w:ascii="Times New Roman" w:hAnsi="Times New Roman" w:cs="Times New Roman"/>
          <w:i/>
          <w:sz w:val="20"/>
          <w:szCs w:val="20"/>
        </w:rPr>
        <w:t>Il male primoriale nella Qabbalah</w:t>
      </w:r>
      <w:r w:rsidRPr="00F975AD">
        <w:rPr>
          <w:rFonts w:ascii="Times New Roman" w:hAnsi="Times New Roman" w:cs="Times New Roman"/>
          <w:sz w:val="20"/>
          <w:szCs w:val="20"/>
        </w:rPr>
        <w:t xml:space="preserve">, Adelphi, Milano 2016. </w:t>
      </w:r>
      <w:r w:rsidRPr="00F975AD">
        <w:rPr>
          <w:rFonts w:ascii="Times New Roman" w:hAnsi="Times New Roman" w:cs="Times New Roman"/>
          <w:sz w:val="20"/>
          <w:szCs w:val="20"/>
          <w:lang w:val="de-DE"/>
        </w:rPr>
        <w:t>Im zweiten Kapitel werde ich mich wider auf Idels Interpretation fokussieren (Vgl. S. 297-298).</w:t>
      </w:r>
      <w:r w:rsidRPr="00BB5334">
        <w:rPr>
          <w:lang w:val="de-DE"/>
        </w:rPr>
        <w:t xml:space="preserve"> </w:t>
      </w:r>
    </w:p>
  </w:footnote>
  <w:footnote w:id="818">
    <w:p w14:paraId="040D87C0" w14:textId="77777777" w:rsidR="00B34CC2" w:rsidRPr="003A0E0A" w:rsidRDefault="00B34CC2" w:rsidP="001C3D81">
      <w:pPr>
        <w:pStyle w:val="Testonotaapidipagina"/>
        <w:jc w:val="both"/>
        <w:rPr>
          <w:rFonts w:ascii="Times New Roman" w:hAnsi="Times New Roman"/>
          <w:sz w:val="20"/>
          <w:szCs w:val="20"/>
        </w:rPr>
      </w:pPr>
      <w:r w:rsidRPr="003A0E0A">
        <w:rPr>
          <w:rStyle w:val="Rimandonotaapidipagina"/>
          <w:rFonts w:ascii="Times New Roman" w:hAnsi="Times New Roman" w:cs="Times New Roman"/>
          <w:sz w:val="20"/>
          <w:szCs w:val="20"/>
        </w:rPr>
        <w:footnoteRef/>
      </w:r>
      <w:r w:rsidRPr="003A0E0A">
        <w:rPr>
          <w:rFonts w:ascii="Times New Roman" w:hAnsi="Times New Roman"/>
          <w:i/>
          <w:sz w:val="20"/>
          <w:szCs w:val="20"/>
        </w:rPr>
        <w:t xml:space="preserve"> </w:t>
      </w:r>
      <w:r>
        <w:rPr>
          <w:rFonts w:ascii="Times New Roman" w:hAnsi="Times New Roman"/>
          <w:sz w:val="20"/>
          <w:szCs w:val="20"/>
        </w:rPr>
        <w:t>A</w:t>
      </w:r>
      <w:r w:rsidRPr="003A0E0A">
        <w:rPr>
          <w:rFonts w:ascii="Times New Roman" w:hAnsi="Times New Roman"/>
          <w:sz w:val="20"/>
          <w:szCs w:val="20"/>
        </w:rPr>
        <w:t xml:space="preserve">. Koyré, </w:t>
      </w:r>
      <w:r w:rsidRPr="003A0E0A">
        <w:rPr>
          <w:rFonts w:ascii="Times New Roman" w:hAnsi="Times New Roman"/>
          <w:i/>
          <w:sz w:val="20"/>
          <w:szCs w:val="20"/>
        </w:rPr>
        <w:t xml:space="preserve">Hegel à Iéna, </w:t>
      </w:r>
      <w:r w:rsidRPr="003A0E0A">
        <w:rPr>
          <w:rFonts w:ascii="Times New Roman" w:hAnsi="Times New Roman"/>
          <w:sz w:val="20"/>
          <w:szCs w:val="20"/>
        </w:rPr>
        <w:t xml:space="preserve">in </w:t>
      </w:r>
      <w:r w:rsidRPr="003A0E0A">
        <w:rPr>
          <w:rFonts w:ascii="Times New Roman" w:hAnsi="Times New Roman"/>
          <w:i/>
          <w:sz w:val="20"/>
          <w:szCs w:val="20"/>
        </w:rPr>
        <w:t xml:space="preserve">Etudes d'historie de le penseé philosophique, </w:t>
      </w:r>
      <w:r w:rsidRPr="003A0E0A">
        <w:rPr>
          <w:rFonts w:ascii="Times New Roman" w:hAnsi="Times New Roman"/>
          <w:sz w:val="20"/>
          <w:szCs w:val="20"/>
        </w:rPr>
        <w:t>Gallimard, Paris 1</w:t>
      </w:r>
      <w:r>
        <w:rPr>
          <w:rFonts w:ascii="Times New Roman" w:hAnsi="Times New Roman"/>
          <w:sz w:val="20"/>
          <w:szCs w:val="20"/>
        </w:rPr>
        <w:t>961, S</w:t>
      </w:r>
      <w:r w:rsidRPr="003A0E0A">
        <w:rPr>
          <w:rFonts w:ascii="Times New Roman" w:hAnsi="Times New Roman"/>
          <w:sz w:val="20"/>
          <w:szCs w:val="20"/>
        </w:rPr>
        <w:t>. 147-189.</w:t>
      </w:r>
    </w:p>
  </w:footnote>
  <w:footnote w:id="819">
    <w:p w14:paraId="161D8221" w14:textId="77777777" w:rsidR="00B34CC2" w:rsidRPr="003A0E0A" w:rsidRDefault="00B34CC2" w:rsidP="001C3D81">
      <w:pPr>
        <w:pStyle w:val="Testonotaapidipagina"/>
        <w:jc w:val="both"/>
        <w:rPr>
          <w:rFonts w:ascii="Times New Roman" w:hAnsi="Times New Roman" w:cs="Times New Roman"/>
          <w:sz w:val="20"/>
          <w:szCs w:val="20"/>
        </w:rPr>
      </w:pPr>
      <w:r w:rsidRPr="003A0E0A">
        <w:rPr>
          <w:rStyle w:val="Rimandonotaapidipagina"/>
          <w:rFonts w:ascii="Times New Roman" w:hAnsi="Times New Roman" w:cs="Times New Roman"/>
          <w:sz w:val="20"/>
          <w:szCs w:val="20"/>
        </w:rPr>
        <w:footnoteRef/>
      </w:r>
      <w:r w:rsidRPr="003A0E0A">
        <w:rPr>
          <w:rFonts w:ascii="Times New Roman" w:hAnsi="Times New Roman" w:cs="Times New Roman"/>
          <w:sz w:val="20"/>
          <w:szCs w:val="20"/>
        </w:rPr>
        <w:t xml:space="preserve"> Ebd., S. 162.</w:t>
      </w:r>
    </w:p>
  </w:footnote>
  <w:footnote w:id="820">
    <w:p w14:paraId="0515FA5E" w14:textId="77777777" w:rsidR="00B34CC2" w:rsidRPr="003A0E0A" w:rsidRDefault="00B34CC2" w:rsidP="001C3D81">
      <w:pPr>
        <w:pStyle w:val="Testonotaapidipagina"/>
        <w:jc w:val="both"/>
        <w:rPr>
          <w:rFonts w:ascii="Times New Roman" w:hAnsi="Times New Roman" w:cs="Times New Roman"/>
          <w:i/>
          <w:sz w:val="20"/>
          <w:szCs w:val="20"/>
        </w:rPr>
      </w:pPr>
      <w:r w:rsidRPr="003A0E0A">
        <w:rPr>
          <w:rStyle w:val="Rimandonotaapidipagina"/>
          <w:rFonts w:ascii="Times New Roman" w:hAnsi="Times New Roman" w:cs="Times New Roman"/>
          <w:sz w:val="20"/>
          <w:szCs w:val="20"/>
        </w:rPr>
        <w:footnoteRef/>
      </w:r>
      <w:r w:rsidRPr="003A0E0A">
        <w:rPr>
          <w:rFonts w:ascii="Times New Roman" w:hAnsi="Times New Roman" w:cs="Times New Roman"/>
          <w:sz w:val="20"/>
          <w:szCs w:val="20"/>
        </w:rPr>
        <w:t xml:space="preserve"> Ebd., S. 162: «</w:t>
      </w:r>
      <w:r w:rsidRPr="003A0E0A">
        <w:rPr>
          <w:rFonts w:ascii="Times New Roman" w:hAnsi="Times New Roman" w:cs="Times New Roman"/>
          <w:sz w:val="20"/>
          <w:szCs w:val="20"/>
          <w:lang w:val="fr-FR"/>
        </w:rPr>
        <w:t>Il est fort possible, et même fort probable, que c’est la méditation de thèmes paracelsiestes et boehmistes qui aide Hegel à prendre conscience du rôle de la négation, du Non</w:t>
      </w:r>
      <w:r w:rsidRPr="003A0E0A">
        <w:rPr>
          <w:rFonts w:ascii="Times New Roman" w:eastAsia="Times New Roman" w:hAnsi="Times New Roman" w:cs="Times New Roman"/>
          <w:color w:val="000000"/>
          <w:sz w:val="20"/>
          <w:szCs w:val="20"/>
        </w:rPr>
        <w:t>».</w:t>
      </w:r>
    </w:p>
  </w:footnote>
  <w:footnote w:id="821">
    <w:p w14:paraId="37329B7A" w14:textId="1594ED2D" w:rsidR="00B34CC2" w:rsidRPr="004C3BE4" w:rsidRDefault="00B34CC2" w:rsidP="001C3D81">
      <w:pPr>
        <w:pStyle w:val="Testonotaapidipagina"/>
        <w:jc w:val="both"/>
        <w:rPr>
          <w:rFonts w:ascii="Times New Roman" w:hAnsi="Times New Roman" w:cs="Times New Roman"/>
          <w:b/>
          <w:sz w:val="20"/>
          <w:szCs w:val="20"/>
        </w:rPr>
      </w:pPr>
      <w:r w:rsidRPr="003A0E0A">
        <w:rPr>
          <w:rStyle w:val="Rimandonotaapidipagina"/>
          <w:rFonts w:ascii="Times New Roman" w:hAnsi="Times New Roman" w:cs="Times New Roman"/>
        </w:rPr>
        <w:footnoteRef/>
      </w:r>
      <w:r w:rsidRPr="003A0E0A">
        <w:rPr>
          <w:rFonts w:ascii="Times New Roman" w:eastAsia="Times New Roman" w:hAnsi="Times New Roman" w:cs="Times New Roman"/>
          <w:color w:val="000000"/>
          <w:sz w:val="20"/>
          <w:szCs w:val="20"/>
          <w:lang w:val="de-DE"/>
        </w:rPr>
        <w:t xml:space="preserve"> </w:t>
      </w:r>
      <w:r w:rsidRPr="003A0E0A">
        <w:rPr>
          <w:rFonts w:ascii="Times New Roman" w:hAnsi="Times New Roman" w:cs="Times New Roman"/>
          <w:sz w:val="20"/>
          <w:szCs w:val="20"/>
        </w:rPr>
        <w:t xml:space="preserve">W. Bonsiepen, </w:t>
      </w:r>
      <w:r w:rsidRPr="003A0E0A">
        <w:rPr>
          <w:rFonts w:ascii="Times New Roman" w:hAnsi="Times New Roman" w:cs="Times New Roman"/>
          <w:i/>
          <w:sz w:val="20"/>
          <w:szCs w:val="20"/>
        </w:rPr>
        <w:t>Der Begriff der Negativität in den Jenaer Schriften Hegels</w:t>
      </w:r>
      <w:r w:rsidRPr="003A0E0A">
        <w:rPr>
          <w:rFonts w:ascii="Times New Roman" w:hAnsi="Times New Roman" w:cs="Times New Roman"/>
          <w:sz w:val="20"/>
          <w:szCs w:val="20"/>
        </w:rPr>
        <w:t>, «Hegel-Studien</w:t>
      </w:r>
      <w:r w:rsidRPr="003A0E0A">
        <w:rPr>
          <w:rFonts w:ascii="Times New Roman" w:eastAsia="Times New Roman" w:hAnsi="Times New Roman" w:cs="Times New Roman"/>
          <w:color w:val="000000"/>
          <w:sz w:val="20"/>
          <w:szCs w:val="20"/>
        </w:rPr>
        <w:t xml:space="preserve">», </w:t>
      </w:r>
      <w:r w:rsidRPr="003A0E0A">
        <w:rPr>
          <w:rFonts w:ascii="Times New Roman" w:hAnsi="Times New Roman" w:cs="Times New Roman"/>
          <w:sz w:val="20"/>
          <w:szCs w:val="20"/>
        </w:rPr>
        <w:t xml:space="preserve">Beiheft 16. Bonsiepen erkennt in </w:t>
      </w:r>
      <w:r w:rsidRPr="003A0E0A">
        <w:rPr>
          <w:rFonts w:ascii="Times New Roman" w:hAnsi="Times New Roman" w:cs="Times New Roman"/>
          <w:i/>
          <w:sz w:val="20"/>
          <w:szCs w:val="20"/>
        </w:rPr>
        <w:t xml:space="preserve">Jenaer Logik und Metaphysik </w:t>
      </w:r>
      <w:r w:rsidRPr="003A0E0A">
        <w:rPr>
          <w:rFonts w:ascii="Times New Roman" w:hAnsi="Times New Roman" w:cs="Times New Roman"/>
          <w:sz w:val="20"/>
          <w:szCs w:val="20"/>
        </w:rPr>
        <w:t>einen Ko</w:t>
      </w:r>
      <w:r>
        <w:rPr>
          <w:rFonts w:ascii="Times New Roman" w:hAnsi="Times New Roman" w:cs="Times New Roman"/>
          <w:sz w:val="20"/>
          <w:szCs w:val="20"/>
        </w:rPr>
        <w:t>ntakt mit dem Gedanken Böhmes</w:t>
      </w:r>
      <w:r w:rsidRPr="003A0E0A">
        <w:rPr>
          <w:rFonts w:ascii="Times New Roman" w:hAnsi="Times New Roman" w:cs="Times New Roman"/>
          <w:sz w:val="20"/>
          <w:szCs w:val="20"/>
        </w:rPr>
        <w:t>,</w:t>
      </w:r>
      <w:r w:rsidRPr="003A0E0A">
        <w:rPr>
          <w:rFonts w:ascii="Times New Roman" w:hAnsi="Times New Roman" w:cs="Times New Roman"/>
          <w:i/>
          <w:sz w:val="20"/>
          <w:szCs w:val="20"/>
        </w:rPr>
        <w:t xml:space="preserve"> </w:t>
      </w:r>
      <w:r w:rsidRPr="003A0E0A">
        <w:rPr>
          <w:rFonts w:ascii="Times New Roman" w:hAnsi="Times New Roman" w:cs="Times New Roman"/>
          <w:sz w:val="20"/>
          <w:szCs w:val="20"/>
        </w:rPr>
        <w:t xml:space="preserve">wo Hegel den Begriff des </w:t>
      </w:r>
      <w:r w:rsidRPr="003A0E0A">
        <w:rPr>
          <w:rFonts w:ascii="Times New Roman" w:hAnsi="Times New Roman" w:cs="Times New Roman"/>
          <w:i/>
          <w:sz w:val="20"/>
          <w:szCs w:val="20"/>
        </w:rPr>
        <w:t xml:space="preserve">Abfalls </w:t>
      </w:r>
      <w:r w:rsidRPr="003A0E0A">
        <w:rPr>
          <w:rFonts w:ascii="Times New Roman" w:hAnsi="Times New Roman" w:cs="Times New Roman"/>
          <w:sz w:val="20"/>
          <w:szCs w:val="20"/>
        </w:rPr>
        <w:t xml:space="preserve">einführt. Für Bonsiepen findet das Thema des Abfalles eine anschließende Neuformulierung in der </w:t>
      </w:r>
      <w:r w:rsidRPr="003A0E0A">
        <w:rPr>
          <w:rFonts w:ascii="Times New Roman" w:hAnsi="Times New Roman" w:cs="Times New Roman"/>
          <w:i/>
          <w:sz w:val="20"/>
          <w:szCs w:val="20"/>
        </w:rPr>
        <w:t>Phänomenologie des Geistes</w:t>
      </w:r>
      <w:r w:rsidRPr="003A0E0A">
        <w:rPr>
          <w:rFonts w:ascii="Times New Roman" w:eastAsia="Times New Roman" w:hAnsi="Times New Roman" w:cs="Times New Roman"/>
          <w:color w:val="000000"/>
          <w:sz w:val="20"/>
          <w:szCs w:val="20"/>
        </w:rPr>
        <w:t xml:space="preserve">: </w:t>
      </w:r>
      <w:r w:rsidRPr="003A0E0A">
        <w:rPr>
          <w:rFonts w:ascii="Times New Roman" w:eastAsia="Times New Roman" w:hAnsi="Times New Roman" w:cs="Times New Roman"/>
          <w:color w:val="000000"/>
          <w:sz w:val="20"/>
          <w:szCs w:val="20"/>
          <w:lang w:val="de-DE"/>
        </w:rPr>
        <w:t xml:space="preserve">„Ein direkter Einfluß J. Böhmes ist erst für die Phänomenologie nachweisbar, in der im Religionskapitel die Rede von Abfall des erstgeborenen Lichtsohnes und vom Zorn Gottes ist. Schon in der Jenaer Logik und Metaphysik von 1804/05 taucht der Begriff „Abfall“ . Diese teilweise Übernahme Böhmescher Termini bedeutet aber keine Bekehrung Hegels zum theosophischen </w:t>
      </w:r>
      <w:r w:rsidRPr="00BA3712">
        <w:rPr>
          <w:rFonts w:ascii="Times New Roman" w:eastAsia="Times New Roman" w:hAnsi="Times New Roman" w:cs="Times New Roman"/>
          <w:color w:val="000000"/>
          <w:sz w:val="20"/>
          <w:szCs w:val="20"/>
          <w:lang w:val="de-DE"/>
        </w:rPr>
        <w:t>Standpunkt</w:t>
      </w:r>
      <w:r w:rsidRPr="00BA3712">
        <w:rPr>
          <w:rFonts w:ascii="Times New Roman" w:eastAsia="Times New Roman" w:hAnsi="Times New Roman" w:cs="Times New Roman"/>
          <w:color w:val="000000"/>
          <w:sz w:val="20"/>
          <w:szCs w:val="20"/>
        </w:rPr>
        <w:t>”</w:t>
      </w:r>
      <w:r w:rsidRPr="003A0E0A">
        <w:rPr>
          <w:rFonts w:ascii="Times New Roman" w:eastAsia="Times New Roman" w:hAnsi="Times New Roman" w:cs="Times New Roman"/>
          <w:color w:val="000000"/>
          <w:sz w:val="20"/>
          <w:szCs w:val="20"/>
          <w:lang w:val="de-DE"/>
        </w:rPr>
        <w:t xml:space="preserve"> (</w:t>
      </w:r>
      <w:r w:rsidRPr="003A0E0A">
        <w:rPr>
          <w:rFonts w:ascii="Times New Roman" w:hAnsi="Times New Roman" w:cs="Times New Roman"/>
          <w:sz w:val="20"/>
          <w:szCs w:val="20"/>
        </w:rPr>
        <w:t>Ebd.</w:t>
      </w:r>
      <w:r w:rsidRPr="003A0E0A">
        <w:rPr>
          <w:rFonts w:ascii="Times New Roman" w:eastAsia="Times New Roman" w:hAnsi="Times New Roman" w:cs="Times New Roman"/>
          <w:color w:val="000000"/>
          <w:sz w:val="20"/>
          <w:szCs w:val="20"/>
        </w:rPr>
        <w:t>, S. 51</w:t>
      </w:r>
      <w:r w:rsidRPr="003A0E0A">
        <w:rPr>
          <w:rFonts w:ascii="Times New Roman" w:eastAsia="Times New Roman" w:hAnsi="Times New Roman" w:cs="Times New Roman"/>
          <w:color w:val="000000"/>
          <w:sz w:val="20"/>
          <w:szCs w:val="20"/>
          <w:lang w:val="de-DE"/>
        </w:rPr>
        <w:t>)</w:t>
      </w:r>
      <w:r w:rsidRPr="003A0E0A">
        <w:rPr>
          <w:rFonts w:ascii="Times New Roman" w:eastAsia="Times New Roman" w:hAnsi="Times New Roman" w:cs="Times New Roman"/>
          <w:color w:val="000000"/>
          <w:sz w:val="20"/>
          <w:szCs w:val="20"/>
        </w:rPr>
        <w:t>. Wenn die</w:t>
      </w:r>
      <w:r>
        <w:rPr>
          <w:rFonts w:ascii="Times New Roman" w:eastAsia="Times New Roman" w:hAnsi="Times New Roman" w:cs="Times New Roman"/>
          <w:color w:val="000000"/>
          <w:sz w:val="20"/>
          <w:szCs w:val="20"/>
        </w:rPr>
        <w:t>se</w:t>
      </w:r>
      <w:r w:rsidRPr="003A0E0A">
        <w:rPr>
          <w:rFonts w:ascii="Times New Roman" w:eastAsia="Times New Roman" w:hAnsi="Times New Roman" w:cs="Times New Roman"/>
          <w:color w:val="000000"/>
          <w:sz w:val="20"/>
          <w:szCs w:val="20"/>
        </w:rPr>
        <w:t xml:space="preserve"> Interpretation im Werk Bonsiepens kontextualisiert wird, </w:t>
      </w:r>
      <w:r>
        <w:rPr>
          <w:rFonts w:ascii="Times New Roman" w:eastAsia="Times New Roman" w:hAnsi="Times New Roman" w:cs="Times New Roman"/>
          <w:color w:val="000000"/>
          <w:sz w:val="20"/>
          <w:szCs w:val="20"/>
        </w:rPr>
        <w:t xml:space="preserve">ist es klar, dass sie </w:t>
      </w:r>
      <w:r w:rsidRPr="003A0E0A">
        <w:rPr>
          <w:rFonts w:ascii="Times New Roman" w:eastAsia="Times New Roman" w:hAnsi="Times New Roman" w:cs="Times New Roman"/>
          <w:color w:val="000000"/>
          <w:sz w:val="20"/>
          <w:szCs w:val="20"/>
        </w:rPr>
        <w:t>keine relevante theoretische Funktion</w:t>
      </w:r>
      <w:r>
        <w:rPr>
          <w:rFonts w:ascii="Times New Roman" w:eastAsia="Times New Roman" w:hAnsi="Times New Roman" w:cs="Times New Roman"/>
          <w:color w:val="000000"/>
          <w:sz w:val="20"/>
          <w:szCs w:val="20"/>
        </w:rPr>
        <w:t xml:space="preserve"> </w:t>
      </w:r>
      <w:r w:rsidRPr="003A0E0A">
        <w:rPr>
          <w:rFonts w:ascii="Times New Roman" w:eastAsia="Times New Roman" w:hAnsi="Times New Roman" w:cs="Times New Roman"/>
          <w:color w:val="000000"/>
          <w:sz w:val="20"/>
          <w:szCs w:val="20"/>
        </w:rPr>
        <w:t>übernimmt</w:t>
      </w:r>
      <w:r>
        <w:rPr>
          <w:rFonts w:ascii="Times New Roman" w:eastAsia="Times New Roman" w:hAnsi="Times New Roman" w:cs="Times New Roman"/>
          <w:color w:val="000000"/>
          <w:sz w:val="20"/>
          <w:szCs w:val="20"/>
        </w:rPr>
        <w:t>:</w:t>
      </w:r>
      <w:r w:rsidRPr="003A0E0A">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i</w:t>
      </w:r>
      <w:r w:rsidRPr="003A0E0A">
        <w:rPr>
          <w:rFonts w:ascii="Times New Roman" w:eastAsia="Times New Roman" w:hAnsi="Times New Roman" w:cs="Times New Roman"/>
          <w:color w:val="000000"/>
          <w:sz w:val="20"/>
          <w:szCs w:val="20"/>
        </w:rPr>
        <w:t xml:space="preserve">n der allgemeinen Struktur </w:t>
      </w:r>
      <w:r>
        <w:rPr>
          <w:rFonts w:ascii="Times New Roman" w:eastAsia="Times New Roman" w:hAnsi="Times New Roman" w:cs="Times New Roman"/>
          <w:color w:val="000000"/>
          <w:sz w:val="20"/>
          <w:szCs w:val="20"/>
        </w:rPr>
        <w:t xml:space="preserve">dieses Beitrages, der </w:t>
      </w:r>
      <w:r w:rsidRPr="003A0E0A">
        <w:rPr>
          <w:rFonts w:ascii="Times New Roman" w:eastAsia="Times New Roman" w:hAnsi="Times New Roman" w:cs="Times New Roman"/>
          <w:color w:val="000000"/>
          <w:sz w:val="20"/>
          <w:szCs w:val="20"/>
        </w:rPr>
        <w:t xml:space="preserve">seine Schlussfolgerungen zur </w:t>
      </w:r>
      <w:r w:rsidRPr="003A0E0A">
        <w:rPr>
          <w:rFonts w:ascii="Times New Roman" w:eastAsia="Times New Roman" w:hAnsi="Times New Roman" w:cs="Times New Roman"/>
          <w:i/>
          <w:color w:val="000000"/>
          <w:sz w:val="20"/>
          <w:szCs w:val="20"/>
        </w:rPr>
        <w:t xml:space="preserve">Negativität </w:t>
      </w:r>
      <w:r w:rsidRPr="003A0E0A">
        <w:rPr>
          <w:rFonts w:ascii="Times New Roman" w:eastAsia="Times New Roman" w:hAnsi="Times New Roman" w:cs="Times New Roman"/>
          <w:color w:val="000000"/>
          <w:sz w:val="20"/>
          <w:szCs w:val="20"/>
        </w:rPr>
        <w:t xml:space="preserve">aus einem Vergleich mit der Hegelschen </w:t>
      </w:r>
      <w:r w:rsidRPr="003A0E0A">
        <w:rPr>
          <w:rFonts w:ascii="Times New Roman" w:eastAsia="Times New Roman" w:hAnsi="Times New Roman" w:cs="Times New Roman"/>
          <w:i/>
          <w:color w:val="000000"/>
          <w:sz w:val="20"/>
          <w:szCs w:val="20"/>
        </w:rPr>
        <w:t xml:space="preserve">Realphilosophie </w:t>
      </w:r>
      <w:r>
        <w:rPr>
          <w:rFonts w:ascii="Times New Roman" w:eastAsia="Times New Roman" w:hAnsi="Times New Roman" w:cs="Times New Roman"/>
          <w:color w:val="000000"/>
          <w:sz w:val="20"/>
          <w:szCs w:val="20"/>
        </w:rPr>
        <w:t>zieht, ge</w:t>
      </w:r>
      <w:r w:rsidRPr="003A0E0A">
        <w:rPr>
          <w:rFonts w:ascii="Times New Roman" w:eastAsia="Times New Roman" w:hAnsi="Times New Roman" w:cs="Times New Roman"/>
          <w:color w:val="000000"/>
          <w:sz w:val="20"/>
          <w:szCs w:val="20"/>
        </w:rPr>
        <w:t>win</w:t>
      </w:r>
      <w:r>
        <w:rPr>
          <w:rFonts w:ascii="Times New Roman" w:eastAsia="Times New Roman" w:hAnsi="Times New Roman" w:cs="Times New Roman"/>
          <w:color w:val="000000"/>
          <w:sz w:val="20"/>
          <w:szCs w:val="20"/>
        </w:rPr>
        <w:t>n</w:t>
      </w:r>
      <w:r w:rsidRPr="003A0E0A">
        <w:rPr>
          <w:rFonts w:ascii="Times New Roman" w:eastAsia="Times New Roman" w:hAnsi="Times New Roman" w:cs="Times New Roman"/>
          <w:color w:val="000000"/>
          <w:sz w:val="20"/>
          <w:szCs w:val="20"/>
        </w:rPr>
        <w:t xml:space="preserve">t sie eine völlig marginale Bedeutung. </w:t>
      </w:r>
    </w:p>
  </w:footnote>
  <w:footnote w:id="822">
    <w:p w14:paraId="2B835B0F" w14:textId="77777777" w:rsidR="00B34CC2" w:rsidRPr="008A76D6" w:rsidRDefault="00B34CC2" w:rsidP="001C3D81">
      <w:pPr>
        <w:pStyle w:val="Testonotaapidipagina"/>
        <w:jc w:val="both"/>
        <w:rPr>
          <w:rFonts w:ascii="Times New Roman" w:hAnsi="Times New Roman" w:cs="Times New Roman"/>
          <w:sz w:val="20"/>
          <w:szCs w:val="20"/>
        </w:rPr>
      </w:pPr>
      <w:r w:rsidRPr="004C3BE4">
        <w:rPr>
          <w:rStyle w:val="Rimandonotaapidipagina"/>
          <w:rFonts w:ascii="Times New Roman" w:hAnsi="Times New Roman" w:cs="Times New Roman"/>
          <w:sz w:val="20"/>
          <w:szCs w:val="20"/>
        </w:rPr>
        <w:footnoteRef/>
      </w:r>
      <w:r w:rsidRPr="00171614">
        <w:rPr>
          <w:rFonts w:ascii="Times New Roman" w:hAnsi="Times New Roman" w:cs="Times New Roman"/>
          <w:i/>
          <w:sz w:val="20"/>
          <w:szCs w:val="20"/>
        </w:rPr>
        <w:t xml:space="preserve"> </w:t>
      </w:r>
      <w:r w:rsidRPr="00171614">
        <w:rPr>
          <w:rFonts w:ascii="Times New Roman" w:hAnsi="Times New Roman" w:cs="Times New Roman"/>
          <w:sz w:val="20"/>
          <w:szCs w:val="20"/>
        </w:rPr>
        <w:t xml:space="preserve">P. Coda, </w:t>
      </w:r>
      <w:r w:rsidRPr="00171614">
        <w:rPr>
          <w:rFonts w:ascii="Times New Roman" w:hAnsi="Times New Roman" w:cs="Times New Roman"/>
          <w:i/>
          <w:sz w:val="20"/>
          <w:szCs w:val="20"/>
        </w:rPr>
        <w:t>Il negativo e la Trinità</w:t>
      </w:r>
      <w:r>
        <w:rPr>
          <w:rFonts w:ascii="Times New Roman" w:hAnsi="Times New Roman" w:cs="Times New Roman"/>
          <w:sz w:val="20"/>
          <w:szCs w:val="20"/>
        </w:rPr>
        <w:t xml:space="preserve">. </w:t>
      </w:r>
      <w:r>
        <w:rPr>
          <w:rFonts w:ascii="Times New Roman" w:hAnsi="Times New Roman" w:cs="Times New Roman"/>
          <w:i/>
          <w:sz w:val="20"/>
          <w:szCs w:val="20"/>
        </w:rPr>
        <w:t>Ipotesi su Hegel</w:t>
      </w:r>
      <w:r w:rsidRPr="00171614">
        <w:rPr>
          <w:rFonts w:ascii="Times New Roman" w:hAnsi="Times New Roman" w:cs="Times New Roman"/>
          <w:sz w:val="20"/>
          <w:szCs w:val="20"/>
        </w:rPr>
        <w:t>, Città Nuova Editrice, Rom</w:t>
      </w:r>
      <w:r>
        <w:rPr>
          <w:rFonts w:ascii="Times New Roman" w:hAnsi="Times New Roman" w:cs="Times New Roman"/>
          <w:sz w:val="20"/>
          <w:szCs w:val="20"/>
        </w:rPr>
        <w:t>a</w:t>
      </w:r>
      <w:r w:rsidRPr="00171614">
        <w:rPr>
          <w:rFonts w:ascii="Times New Roman" w:hAnsi="Times New Roman" w:cs="Times New Roman"/>
          <w:sz w:val="20"/>
          <w:szCs w:val="20"/>
        </w:rPr>
        <w:t xml:space="preserve"> 1986</w:t>
      </w:r>
      <w:r>
        <w:rPr>
          <w:rFonts w:ascii="Times New Roman" w:hAnsi="Times New Roman" w:cs="Times New Roman"/>
          <w:sz w:val="20"/>
          <w:szCs w:val="20"/>
        </w:rPr>
        <w:t>, S. 111-117.</w:t>
      </w:r>
    </w:p>
  </w:footnote>
  <w:footnote w:id="823">
    <w:p w14:paraId="694909B7" w14:textId="400FA9FC" w:rsidR="00B34CC2" w:rsidRPr="00443970" w:rsidRDefault="00B34CC2" w:rsidP="001C3D81">
      <w:pPr>
        <w:pStyle w:val="Testonotaapidipagina"/>
        <w:jc w:val="both"/>
        <w:rPr>
          <w:rFonts w:ascii="Times New Roman" w:hAnsi="Times New Roman" w:cs="Times New Roman"/>
          <w:sz w:val="20"/>
          <w:szCs w:val="20"/>
        </w:rPr>
      </w:pPr>
      <w:r w:rsidRPr="003D0689">
        <w:rPr>
          <w:rStyle w:val="Rimandonotaapidipagina"/>
          <w:rFonts w:ascii="Times New Roman" w:hAnsi="Times New Roman" w:cs="Times New Roman"/>
          <w:sz w:val="20"/>
          <w:szCs w:val="20"/>
        </w:rPr>
        <w:footnoteRef/>
      </w:r>
      <w:r w:rsidRPr="00705099">
        <w:rPr>
          <w:rFonts w:ascii="Times New Roman" w:hAnsi="Times New Roman" w:cs="Times New Roman"/>
          <w:i/>
          <w:sz w:val="20"/>
          <w:szCs w:val="20"/>
        </w:rPr>
        <w:t xml:space="preserve"> </w:t>
      </w:r>
      <w:r>
        <w:rPr>
          <w:rFonts w:ascii="Times New Roman" w:hAnsi="Times New Roman"/>
          <w:sz w:val="20"/>
          <w:szCs w:val="20"/>
        </w:rPr>
        <w:t xml:space="preserve">Vgl. G. </w:t>
      </w:r>
      <w:r w:rsidRPr="00705099">
        <w:rPr>
          <w:rFonts w:ascii="Times New Roman" w:hAnsi="Times New Roman"/>
          <w:sz w:val="20"/>
          <w:szCs w:val="20"/>
        </w:rPr>
        <w:t xml:space="preserve">A. Magee, </w:t>
      </w:r>
      <w:r w:rsidRPr="00705099">
        <w:rPr>
          <w:rFonts w:ascii="Times New Roman" w:hAnsi="Times New Roman"/>
          <w:i/>
          <w:sz w:val="20"/>
          <w:szCs w:val="20"/>
        </w:rPr>
        <w:t>Hegel and the Hermetic Tradition</w:t>
      </w:r>
      <w:r w:rsidRPr="00705099">
        <w:rPr>
          <w:rFonts w:ascii="Times New Roman" w:hAnsi="Times New Roman"/>
          <w:sz w:val="20"/>
          <w:szCs w:val="20"/>
        </w:rPr>
        <w:t xml:space="preserve">, Cornell University Press, Ithaca 2001; </w:t>
      </w:r>
      <w:r w:rsidRPr="00705099">
        <w:rPr>
          <w:rFonts w:ascii="Times New Roman" w:hAnsi="Times New Roman" w:cs="Times New Roman"/>
          <w:sz w:val="20"/>
          <w:szCs w:val="20"/>
        </w:rPr>
        <w:t xml:space="preserve">G. A. Magee, </w:t>
      </w:r>
      <w:r w:rsidRPr="00705099">
        <w:rPr>
          <w:rFonts w:ascii="Times New Roman" w:hAnsi="Times New Roman" w:cs="Times New Roman"/>
          <w:i/>
          <w:sz w:val="20"/>
          <w:szCs w:val="20"/>
          <w:lang w:val="en-GB"/>
        </w:rPr>
        <w:t>Hegel and Mysticism</w:t>
      </w:r>
      <w:r w:rsidRPr="00705099">
        <w:rPr>
          <w:rFonts w:ascii="Times New Roman" w:hAnsi="Times New Roman" w:cs="Times New Roman"/>
          <w:sz w:val="20"/>
          <w:szCs w:val="20"/>
          <w:lang w:val="en-GB"/>
        </w:rPr>
        <w:t xml:space="preserve">, in </w:t>
      </w:r>
      <w:r w:rsidRPr="00705099">
        <w:rPr>
          <w:rFonts w:ascii="Times New Roman" w:hAnsi="Times New Roman" w:cs="Times New Roman"/>
          <w:i/>
          <w:sz w:val="20"/>
          <w:szCs w:val="20"/>
          <w:lang w:val="en-GB"/>
        </w:rPr>
        <w:t>The Cambridge Companion to Hegel and the Nineteenth-Century Philosophy</w:t>
      </w:r>
      <w:r w:rsidRPr="00705099">
        <w:rPr>
          <w:rFonts w:ascii="Times New Roman" w:hAnsi="Times New Roman" w:cs="Times New Roman"/>
          <w:sz w:val="20"/>
          <w:szCs w:val="20"/>
          <w:lang w:val="en-GB"/>
        </w:rPr>
        <w:t>, hrsg. von F. Beiser, Cambridge University Press, Cambridge 2008</w:t>
      </w:r>
      <w:r>
        <w:rPr>
          <w:rFonts w:ascii="Times New Roman" w:hAnsi="Times New Roman" w:cs="Times New Roman"/>
          <w:sz w:val="20"/>
          <w:szCs w:val="20"/>
        </w:rPr>
        <w:t xml:space="preserve">; </w:t>
      </w:r>
      <w:r w:rsidRPr="00705099">
        <w:rPr>
          <w:rFonts w:ascii="Times New Roman" w:hAnsi="Times New Roman" w:cs="Times New Roman"/>
          <w:sz w:val="20"/>
          <w:szCs w:val="20"/>
        </w:rPr>
        <w:t>G. A. Magee,</w:t>
      </w:r>
      <w:r>
        <w:rPr>
          <w:rFonts w:ascii="Times New Roman" w:hAnsi="Times New Roman" w:cs="Times New Roman"/>
          <w:sz w:val="20"/>
          <w:szCs w:val="20"/>
        </w:rPr>
        <w:t xml:space="preserve"> </w:t>
      </w:r>
      <w:r w:rsidRPr="00AD6A18">
        <w:rPr>
          <w:rFonts w:ascii="Times New Roman" w:hAnsi="Times New Roman" w:cs="Times New Roman"/>
          <w:i/>
          <w:sz w:val="20"/>
          <w:szCs w:val="20"/>
        </w:rPr>
        <w:t>Hegel’s Reception of Jakob Boehme</w:t>
      </w:r>
      <w:r w:rsidRPr="00AD6A18">
        <w:rPr>
          <w:rFonts w:ascii="Times New Roman" w:hAnsi="Times New Roman" w:cs="Times New Roman"/>
          <w:sz w:val="20"/>
          <w:szCs w:val="20"/>
        </w:rPr>
        <w:t xml:space="preserve">, in </w:t>
      </w:r>
      <w:r w:rsidRPr="00AD6A18">
        <w:rPr>
          <w:rFonts w:ascii="Times New Roman" w:hAnsi="Times New Roman" w:cs="Times New Roman"/>
          <w:i/>
          <w:sz w:val="20"/>
          <w:szCs w:val="20"/>
        </w:rPr>
        <w:t>An Introduction to Jakob Boehme. Four Centuries of Thought and Reception</w:t>
      </w:r>
      <w:r w:rsidRPr="00AD6A18">
        <w:rPr>
          <w:rFonts w:ascii="Times New Roman" w:hAnsi="Times New Roman" w:cs="Times New Roman"/>
          <w:sz w:val="20"/>
          <w:szCs w:val="20"/>
        </w:rPr>
        <w:t>, edited by A. Hessayon and S. Apetrei, Routledge, New York 2014</w:t>
      </w:r>
      <w:r>
        <w:rPr>
          <w:rFonts w:ascii="Times New Roman" w:hAnsi="Times New Roman" w:cs="Times New Roman"/>
          <w:sz w:val="20"/>
          <w:szCs w:val="20"/>
        </w:rPr>
        <w:t>, pp. 224-244</w:t>
      </w:r>
      <w:r w:rsidRPr="00AD6A18">
        <w:rPr>
          <w:rFonts w:ascii="Times New Roman" w:hAnsi="Times New Roman" w:cs="Times New Roman"/>
          <w:sz w:val="20"/>
          <w:szCs w:val="20"/>
        </w:rPr>
        <w:t>;</w:t>
      </w:r>
      <w:r>
        <w:rPr>
          <w:rFonts w:ascii="Times New Roman" w:hAnsi="Times New Roman" w:cs="Times New Roman"/>
          <w:sz w:val="20"/>
          <w:szCs w:val="20"/>
        </w:rPr>
        <w:t xml:space="preserve"> </w:t>
      </w:r>
      <w:r w:rsidRPr="00705099">
        <w:rPr>
          <w:rFonts w:ascii="Times New Roman" w:hAnsi="Times New Roman" w:cs="Times New Roman"/>
          <w:sz w:val="20"/>
          <w:szCs w:val="20"/>
        </w:rPr>
        <w:t xml:space="preserve">C. Muratori, </w:t>
      </w:r>
      <w:r w:rsidRPr="00705099">
        <w:rPr>
          <w:rFonts w:ascii="Times New Roman" w:hAnsi="Times New Roman" w:cs="Times New Roman"/>
          <w:i/>
          <w:sz w:val="20"/>
          <w:szCs w:val="20"/>
        </w:rPr>
        <w:t>Il figlio caduto e l'origine del male. Una lettura del §568 dell'Enciclopedia</w:t>
      </w:r>
      <w:r>
        <w:rPr>
          <w:rFonts w:ascii="Times New Roman" w:hAnsi="Times New Roman" w:cs="Times New Roman"/>
          <w:sz w:val="20"/>
          <w:szCs w:val="20"/>
        </w:rPr>
        <w:t xml:space="preserve">, in «Archivio di </w:t>
      </w:r>
      <w:r w:rsidRPr="000F2EC4">
        <w:rPr>
          <w:rFonts w:ascii="Times New Roman" w:hAnsi="Times New Roman" w:cs="Times New Roman"/>
          <w:sz w:val="20"/>
          <w:szCs w:val="20"/>
        </w:rPr>
        <w:t>Filosofia</w:t>
      </w:r>
      <w:r w:rsidRPr="000F2EC4">
        <w:rPr>
          <w:rFonts w:ascii="Times New Roman" w:eastAsia="Times New Roman" w:hAnsi="Times New Roman" w:cs="Times New Roman"/>
          <w:color w:val="000000"/>
          <w:sz w:val="20"/>
          <w:szCs w:val="20"/>
        </w:rPr>
        <w:t>»</w:t>
      </w:r>
      <w:r w:rsidRPr="000F2EC4">
        <w:rPr>
          <w:rFonts w:ascii="Times New Roman" w:hAnsi="Times New Roman" w:cs="Times New Roman"/>
          <w:sz w:val="20"/>
          <w:szCs w:val="20"/>
        </w:rPr>
        <w:t>,</w:t>
      </w:r>
      <w:r w:rsidRPr="00705099">
        <w:rPr>
          <w:rFonts w:ascii="Times New Roman" w:hAnsi="Times New Roman" w:cs="Times New Roman"/>
          <w:sz w:val="20"/>
          <w:szCs w:val="20"/>
        </w:rPr>
        <w:t xml:space="preserve"> Bd. 2/3, 2010, S. 107-118; </w:t>
      </w:r>
      <w:r w:rsidRPr="00705099">
        <w:rPr>
          <w:rFonts w:ascii="Times New Roman" w:hAnsi="Times New Roman"/>
          <w:sz w:val="20"/>
          <w:szCs w:val="20"/>
        </w:rPr>
        <w:t xml:space="preserve">C. Muratori, </w:t>
      </w:r>
      <w:r w:rsidRPr="00705099">
        <w:rPr>
          <w:rFonts w:ascii="Times New Roman" w:hAnsi="Times New Roman" w:cs="Times New Roman"/>
          <w:i/>
          <w:sz w:val="20"/>
          <w:szCs w:val="20"/>
        </w:rPr>
        <w:t xml:space="preserve">Der erste deutsche Philosoph. Die Mystik von </w:t>
      </w:r>
      <w:r w:rsidRPr="00443970">
        <w:rPr>
          <w:rFonts w:ascii="Times New Roman" w:hAnsi="Times New Roman" w:cs="Times New Roman"/>
          <w:i/>
          <w:sz w:val="20"/>
          <w:szCs w:val="20"/>
        </w:rPr>
        <w:t>Jakob Böhme in der Interpretation von Hegel</w:t>
      </w:r>
      <w:r w:rsidRPr="00443970">
        <w:rPr>
          <w:rFonts w:ascii="Times New Roman" w:hAnsi="Times New Roman" w:cs="Times New Roman"/>
          <w:sz w:val="20"/>
          <w:szCs w:val="20"/>
        </w:rPr>
        <w:t>, Springer, Dordrecht 2015.</w:t>
      </w:r>
    </w:p>
  </w:footnote>
  <w:footnote w:id="824">
    <w:p w14:paraId="3206A552" w14:textId="4F4C75C7" w:rsidR="00B34CC2" w:rsidRDefault="00B34CC2" w:rsidP="001C3D81">
      <w:pPr>
        <w:pStyle w:val="Testonotaapidipagina"/>
        <w:jc w:val="both"/>
      </w:pPr>
      <w:r w:rsidRPr="00B6292B">
        <w:rPr>
          <w:rStyle w:val="Rimandonotaapidipagina"/>
          <w:rFonts w:ascii="Times New Roman" w:hAnsi="Times New Roman" w:cs="Times New Roman"/>
          <w:sz w:val="20"/>
          <w:szCs w:val="20"/>
        </w:rPr>
        <w:footnoteRef/>
      </w:r>
      <w:r>
        <w:t xml:space="preserve"> </w:t>
      </w:r>
      <w:r>
        <w:rPr>
          <w:rFonts w:ascii="Times New Roman" w:hAnsi="Times New Roman" w:cs="Times New Roman"/>
          <w:sz w:val="20"/>
          <w:szCs w:val="20"/>
        </w:rPr>
        <w:t xml:space="preserve">Siehe </w:t>
      </w:r>
      <w:r w:rsidRPr="00171614">
        <w:rPr>
          <w:rFonts w:ascii="Times New Roman" w:hAnsi="Times New Roman" w:cs="Times New Roman"/>
          <w:sz w:val="20"/>
          <w:szCs w:val="20"/>
        </w:rPr>
        <w:t>W. Bonsiepen,</w:t>
      </w:r>
      <w:r>
        <w:rPr>
          <w:rFonts w:ascii="Times New Roman" w:hAnsi="Times New Roman" w:cs="Times New Roman"/>
          <w:sz w:val="20"/>
          <w:szCs w:val="20"/>
        </w:rPr>
        <w:t xml:space="preserve"> </w:t>
      </w:r>
      <w:r w:rsidRPr="003A0E0A">
        <w:rPr>
          <w:rFonts w:ascii="Times New Roman" w:hAnsi="Times New Roman" w:cs="Times New Roman"/>
          <w:i/>
          <w:sz w:val="20"/>
          <w:szCs w:val="20"/>
        </w:rPr>
        <w:t>Der Begriff der Negativität in den Jenaer Schriften Hegels</w:t>
      </w:r>
      <w:r>
        <w:rPr>
          <w:rFonts w:ascii="Times New Roman" w:hAnsi="Times New Roman" w:cs="Times New Roman"/>
          <w:sz w:val="20"/>
          <w:szCs w:val="20"/>
        </w:rPr>
        <w:t>, zit.</w:t>
      </w:r>
      <w:r w:rsidRPr="00171614">
        <w:rPr>
          <w:rFonts w:ascii="Times New Roman" w:hAnsi="Times New Roman" w:cs="Times New Roman"/>
          <w:sz w:val="20"/>
          <w:szCs w:val="20"/>
        </w:rPr>
        <w:t xml:space="preserve">; B. Bowman, </w:t>
      </w:r>
      <w:r w:rsidRPr="00171614">
        <w:rPr>
          <w:rFonts w:ascii="Times New Roman" w:hAnsi="Times New Roman" w:cs="Times New Roman"/>
          <w:i/>
          <w:sz w:val="20"/>
          <w:szCs w:val="20"/>
        </w:rPr>
        <w:t>Hegel and the Metaphysics of Absolute Negativity</w:t>
      </w:r>
      <w:r w:rsidRPr="00171614">
        <w:rPr>
          <w:rFonts w:ascii="Times New Roman" w:hAnsi="Times New Roman" w:cs="Times New Roman"/>
          <w:sz w:val="20"/>
          <w:szCs w:val="20"/>
        </w:rPr>
        <w:t>, Cambridge University Press, Cambridge 2013; P. Coda,</w:t>
      </w:r>
      <w:r>
        <w:rPr>
          <w:rFonts w:ascii="Times New Roman" w:hAnsi="Times New Roman" w:cs="Times New Roman"/>
          <w:sz w:val="20"/>
          <w:szCs w:val="20"/>
        </w:rPr>
        <w:t xml:space="preserve"> </w:t>
      </w:r>
      <w:r>
        <w:rPr>
          <w:rFonts w:ascii="Times New Roman" w:hAnsi="Times New Roman" w:cs="Times New Roman"/>
          <w:i/>
          <w:sz w:val="20"/>
          <w:szCs w:val="20"/>
        </w:rPr>
        <w:t>Il negativo e la trinità</w:t>
      </w:r>
      <w:r>
        <w:rPr>
          <w:rFonts w:ascii="Times New Roman" w:hAnsi="Times New Roman" w:cs="Times New Roman"/>
          <w:sz w:val="20"/>
          <w:szCs w:val="20"/>
        </w:rPr>
        <w:t>, a.a.</w:t>
      </w:r>
      <w:r w:rsidRPr="00737AD2">
        <w:rPr>
          <w:rFonts w:ascii="Times New Roman" w:hAnsi="Times New Roman" w:cs="Times New Roman"/>
          <w:sz w:val="20"/>
          <w:szCs w:val="20"/>
        </w:rPr>
        <w:t>O</w:t>
      </w:r>
      <w:r>
        <w:rPr>
          <w:rFonts w:ascii="Times New Roman" w:hAnsi="Times New Roman" w:cs="Times New Roman"/>
          <w:sz w:val="20"/>
          <w:szCs w:val="20"/>
        </w:rPr>
        <w:t>.</w:t>
      </w:r>
      <w:r w:rsidRPr="00171614">
        <w:rPr>
          <w:rFonts w:ascii="Times New Roman" w:hAnsi="Times New Roman" w:cs="Times New Roman"/>
          <w:sz w:val="20"/>
          <w:szCs w:val="20"/>
        </w:rPr>
        <w:t xml:space="preserve">; D. Henrich, </w:t>
      </w:r>
      <w:r w:rsidRPr="00171614">
        <w:rPr>
          <w:rFonts w:ascii="Times New Roman" w:hAnsi="Times New Roman" w:cs="Times New Roman"/>
          <w:i/>
          <w:sz w:val="20"/>
          <w:szCs w:val="20"/>
        </w:rPr>
        <w:t>Hegel im Kontext</w:t>
      </w:r>
      <w:r>
        <w:rPr>
          <w:rFonts w:ascii="Times New Roman" w:hAnsi="Times New Roman" w:cs="Times New Roman"/>
          <w:sz w:val="20"/>
          <w:szCs w:val="20"/>
        </w:rPr>
        <w:t>, a.a.</w:t>
      </w:r>
      <w:r w:rsidRPr="00737AD2">
        <w:rPr>
          <w:rFonts w:ascii="Times New Roman" w:hAnsi="Times New Roman" w:cs="Times New Roman"/>
          <w:sz w:val="20"/>
          <w:szCs w:val="20"/>
        </w:rPr>
        <w:t>O</w:t>
      </w:r>
      <w:r>
        <w:rPr>
          <w:rFonts w:ascii="Times New Roman" w:hAnsi="Times New Roman" w:cs="Times New Roman"/>
          <w:sz w:val="20"/>
          <w:szCs w:val="20"/>
        </w:rPr>
        <w:t>, S</w:t>
      </w:r>
      <w:r w:rsidRPr="00171614">
        <w:rPr>
          <w:rFonts w:ascii="Times New Roman" w:hAnsi="Times New Roman" w:cs="Times New Roman"/>
          <w:sz w:val="20"/>
          <w:szCs w:val="20"/>
        </w:rPr>
        <w:t xml:space="preserve">. 95-157; D. Henrich, </w:t>
      </w:r>
      <w:r w:rsidRPr="00171614">
        <w:rPr>
          <w:rFonts w:ascii="Times New Roman" w:hAnsi="Times New Roman" w:cs="Times New Roman"/>
          <w:i/>
          <w:sz w:val="20"/>
          <w:szCs w:val="20"/>
        </w:rPr>
        <w:t>Hegels Logik der Reflexion. Neue Fassung</w:t>
      </w:r>
      <w:r w:rsidRPr="00171614">
        <w:rPr>
          <w:rFonts w:ascii="Times New Roman" w:hAnsi="Times New Roman" w:cs="Times New Roman"/>
          <w:sz w:val="20"/>
          <w:szCs w:val="20"/>
        </w:rPr>
        <w:t>, «Hegel–Studien</w:t>
      </w:r>
      <w:r w:rsidRPr="00171614">
        <w:rPr>
          <w:rFonts w:ascii="Times New Roman" w:eastAsia="Times New Roman" w:hAnsi="Times New Roman" w:cs="Times New Roman"/>
          <w:color w:val="000000"/>
          <w:sz w:val="20"/>
          <w:szCs w:val="20"/>
        </w:rPr>
        <w:t>»</w:t>
      </w:r>
      <w:r>
        <w:rPr>
          <w:rFonts w:ascii="Times New Roman" w:hAnsi="Times New Roman" w:cs="Times New Roman"/>
          <w:sz w:val="20"/>
          <w:szCs w:val="20"/>
        </w:rPr>
        <w:t>, Beiheft 18 (1972), S.</w:t>
      </w:r>
      <w:r w:rsidRPr="00171614">
        <w:rPr>
          <w:rFonts w:ascii="Times New Roman" w:hAnsi="Times New Roman" w:cs="Times New Roman"/>
          <w:sz w:val="20"/>
          <w:szCs w:val="20"/>
        </w:rPr>
        <w:t xml:space="preserve"> 203–325; D. Henrich, </w:t>
      </w:r>
      <w:r w:rsidRPr="00171614">
        <w:rPr>
          <w:rFonts w:ascii="Times New Roman" w:hAnsi="Times New Roman" w:cs="Times New Roman"/>
          <w:i/>
          <w:sz w:val="20"/>
          <w:szCs w:val="20"/>
        </w:rPr>
        <w:t>Between Kant and Hegel: Lectures on German Idealism</w:t>
      </w:r>
      <w:r w:rsidRPr="00171614">
        <w:rPr>
          <w:rFonts w:ascii="Times New Roman" w:hAnsi="Times New Roman" w:cs="Times New Roman"/>
          <w:sz w:val="20"/>
          <w:szCs w:val="20"/>
        </w:rPr>
        <w:t>, Harvard University Press, Cambridge 2003</w:t>
      </w:r>
      <w:r>
        <w:rPr>
          <w:rFonts w:ascii="Times New Roman" w:hAnsi="Times New Roman" w:cs="Times New Roman"/>
          <w:sz w:val="20"/>
          <w:szCs w:val="20"/>
        </w:rPr>
        <w:t xml:space="preserve">; J. Hyppolite, </w:t>
      </w:r>
      <w:r w:rsidRPr="000938AC">
        <w:rPr>
          <w:rFonts w:ascii="Times New Roman" w:hAnsi="Times New Roman" w:cs="Times New Roman"/>
          <w:i/>
          <w:sz w:val="20"/>
          <w:szCs w:val="20"/>
        </w:rPr>
        <w:t>Logique et existence</w:t>
      </w:r>
      <w:r>
        <w:rPr>
          <w:rFonts w:ascii="Times New Roman" w:hAnsi="Times New Roman" w:cs="Times New Roman"/>
          <w:sz w:val="20"/>
          <w:szCs w:val="20"/>
        </w:rPr>
        <w:t>, PUF, Paris 1953, pp. 135-163.</w:t>
      </w:r>
    </w:p>
  </w:footnote>
  <w:footnote w:id="825">
    <w:p w14:paraId="44010D96" w14:textId="77777777" w:rsidR="00B34CC2" w:rsidRPr="00BA3712" w:rsidRDefault="00B34CC2" w:rsidP="001C3D81">
      <w:pPr>
        <w:pStyle w:val="normal"/>
        <w:pBdr>
          <w:top w:val="nil"/>
          <w:left w:val="nil"/>
          <w:bottom w:val="nil"/>
          <w:right w:val="nil"/>
          <w:between w:val="nil"/>
        </w:pBdr>
        <w:jc w:val="both"/>
        <w:rPr>
          <w:rFonts w:ascii="Times New Roman" w:eastAsia="Times New Roman" w:hAnsi="Times New Roman" w:cs="Times New Roman"/>
          <w:i/>
          <w:color w:val="000000"/>
          <w:sz w:val="20"/>
          <w:szCs w:val="20"/>
        </w:rPr>
      </w:pPr>
      <w:r w:rsidRPr="00BA3712">
        <w:rPr>
          <w:rStyle w:val="Rimandonotaapidipagina"/>
          <w:rFonts w:ascii="Times New Roman" w:hAnsi="Times New Roman" w:cs="Times New Roman"/>
          <w:sz w:val="20"/>
          <w:szCs w:val="20"/>
        </w:rPr>
        <w:footnoteRef/>
      </w:r>
      <w:r w:rsidRPr="00BA3712">
        <w:rPr>
          <w:rFonts w:ascii="Times New Roman" w:hAnsi="Times New Roman" w:cs="Times New Roman"/>
          <w:sz w:val="20"/>
          <w:szCs w:val="20"/>
        </w:rPr>
        <w:t xml:space="preserve"> </w:t>
      </w:r>
      <w:r w:rsidRPr="00BA3712">
        <w:rPr>
          <w:rFonts w:ascii="Times New Roman" w:hAnsi="Times New Roman" w:cs="Times New Roman"/>
          <w:i/>
          <w:sz w:val="20"/>
          <w:szCs w:val="20"/>
        </w:rPr>
        <w:t>Briefe,</w:t>
      </w:r>
      <w:r>
        <w:rPr>
          <w:rFonts w:ascii="Times New Roman" w:hAnsi="Times New Roman" w:cs="Times New Roman"/>
          <w:sz w:val="20"/>
          <w:szCs w:val="20"/>
        </w:rPr>
        <w:t xml:space="preserve"> </w:t>
      </w:r>
      <w:r w:rsidRPr="00BA3712">
        <w:rPr>
          <w:rFonts w:ascii="Times New Roman" w:hAnsi="Times New Roman" w:cs="Times New Roman"/>
          <w:sz w:val="20"/>
          <w:szCs w:val="20"/>
        </w:rPr>
        <w:t>S. 19-20: „</w:t>
      </w:r>
      <w:r w:rsidRPr="00BA3712">
        <w:rPr>
          <w:rFonts w:ascii="Times New Roman" w:eastAsia="Times New Roman" w:hAnsi="Times New Roman" w:cs="Times New Roman"/>
          <w:color w:val="000000"/>
          <w:sz w:val="20"/>
          <w:szCs w:val="20"/>
          <w:lang w:val="de-DE"/>
        </w:rPr>
        <w:t>Es ist alles und außer ihm ist nichts. Es gibt also für dieses absolute Ich kein Objekt, denn sonst wäre nicht alle Realität in ihm […] Also ist in dem absoluten Ich kein Bewußtsein, und insofern ich kein Bewußtsein habe, insofern bin ich (für mich) nichts, also das absolute Ich ist (für mich) Nichts</w:t>
      </w:r>
      <w:r w:rsidRPr="00BA3712">
        <w:rPr>
          <w:rFonts w:ascii="Times New Roman" w:eastAsia="Times New Roman" w:hAnsi="Times New Roman" w:cs="Times New Roman"/>
          <w:color w:val="000000"/>
          <w:sz w:val="20"/>
          <w:szCs w:val="20"/>
        </w:rPr>
        <w:t>”.</w:t>
      </w:r>
    </w:p>
  </w:footnote>
  <w:footnote w:id="826">
    <w:p w14:paraId="77730250" w14:textId="77777777" w:rsidR="00B34CC2" w:rsidRPr="00BA3712" w:rsidRDefault="00B34CC2" w:rsidP="001C3D81">
      <w:pPr>
        <w:pStyle w:val="Testonotaapidipagina"/>
        <w:rPr>
          <w:rFonts w:ascii="Times New Roman" w:hAnsi="Times New Roman" w:cs="Times New Roman"/>
          <w:sz w:val="20"/>
          <w:szCs w:val="20"/>
        </w:rPr>
      </w:pPr>
      <w:r w:rsidRPr="00BA3712">
        <w:rPr>
          <w:rStyle w:val="Rimandonotaapidipagina"/>
          <w:rFonts w:ascii="Times New Roman" w:hAnsi="Times New Roman" w:cs="Times New Roman"/>
          <w:sz w:val="20"/>
          <w:szCs w:val="20"/>
        </w:rPr>
        <w:footnoteRef/>
      </w:r>
      <w:r w:rsidRPr="00BA3712">
        <w:rPr>
          <w:rFonts w:ascii="Times New Roman" w:hAnsi="Times New Roman" w:cs="Times New Roman"/>
          <w:i/>
          <w:sz w:val="20"/>
          <w:szCs w:val="20"/>
        </w:rPr>
        <w:t xml:space="preserve"> </w:t>
      </w:r>
      <w:r w:rsidRPr="00BA3712">
        <w:rPr>
          <w:rFonts w:ascii="Times New Roman" w:hAnsi="Times New Roman" w:cs="Times New Roman"/>
          <w:sz w:val="20"/>
          <w:szCs w:val="20"/>
        </w:rPr>
        <w:t>Ebd., S. 22.</w:t>
      </w:r>
    </w:p>
  </w:footnote>
  <w:footnote w:id="827">
    <w:p w14:paraId="122CBA91" w14:textId="77777777" w:rsidR="00B34CC2" w:rsidRPr="00BA3712" w:rsidRDefault="00B34CC2" w:rsidP="001C3D81">
      <w:pPr>
        <w:pStyle w:val="Testonotaapidipagina"/>
        <w:jc w:val="both"/>
        <w:rPr>
          <w:rFonts w:ascii="Times New Roman" w:hAnsi="Times New Roman"/>
          <w:sz w:val="20"/>
          <w:szCs w:val="20"/>
        </w:rPr>
      </w:pPr>
      <w:r w:rsidRPr="00BA3712">
        <w:rPr>
          <w:rStyle w:val="Rimandonotaapidipagina"/>
          <w:rFonts w:ascii="Times New Roman" w:hAnsi="Times New Roman"/>
          <w:sz w:val="20"/>
          <w:szCs w:val="20"/>
        </w:rPr>
        <w:footnoteRef/>
      </w:r>
      <w:r w:rsidRPr="00BA3712">
        <w:rPr>
          <w:rFonts w:ascii="Times New Roman" w:hAnsi="Times New Roman" w:cs="Times New Roman"/>
          <w:sz w:val="20"/>
          <w:szCs w:val="20"/>
        </w:rPr>
        <w:t xml:space="preserve"> Ebd., S. 22: „Aber wir sollen diese Schränken durchbrechen, d.h. wir sollen aus der endlichen Sphäre hinaus in die endliche kommen (</w:t>
      </w:r>
      <w:r w:rsidRPr="00BA3712">
        <w:rPr>
          <w:rFonts w:ascii="Times New Roman" w:hAnsi="Times New Roman" w:cs="Times New Roman"/>
          <w:i/>
          <w:sz w:val="20"/>
          <w:szCs w:val="20"/>
        </w:rPr>
        <w:t>praktische Philosophie</w:t>
      </w:r>
      <w:r w:rsidRPr="00BA3712">
        <w:rPr>
          <w:rFonts w:ascii="Times New Roman" w:hAnsi="Times New Roman" w:cs="Times New Roman"/>
          <w:sz w:val="20"/>
          <w:szCs w:val="20"/>
        </w:rPr>
        <w:t>)</w:t>
      </w:r>
      <w:r w:rsidRPr="00BA3712">
        <w:rPr>
          <w:rFonts w:ascii="Times New Roman" w:eastAsia="Times New Roman" w:hAnsi="Times New Roman" w:cs="Times New Roman"/>
          <w:color w:val="000000"/>
          <w:sz w:val="20"/>
          <w:szCs w:val="20"/>
        </w:rPr>
        <w:t xml:space="preserve"> ”.</w:t>
      </w:r>
    </w:p>
  </w:footnote>
  <w:footnote w:id="828">
    <w:p w14:paraId="58FDF7C2" w14:textId="77777777" w:rsidR="00B34CC2" w:rsidRPr="00C75117" w:rsidRDefault="00B34CC2" w:rsidP="001C3D81">
      <w:pPr>
        <w:pStyle w:val="Testonotaapidipagina"/>
        <w:rPr>
          <w:rFonts w:ascii="Times New Roman" w:hAnsi="Times New Roman" w:cs="Times New Roman"/>
          <w:sz w:val="20"/>
          <w:szCs w:val="20"/>
        </w:rPr>
      </w:pPr>
      <w:r w:rsidRPr="00BA3712">
        <w:rPr>
          <w:rStyle w:val="Rimandonotaapidipagina"/>
          <w:rFonts w:ascii="Times New Roman" w:hAnsi="Times New Roman" w:cs="Times New Roman"/>
          <w:sz w:val="20"/>
          <w:szCs w:val="20"/>
        </w:rPr>
        <w:footnoteRef/>
      </w:r>
      <w:r w:rsidRPr="00BA3712">
        <w:rPr>
          <w:rFonts w:ascii="Times New Roman" w:hAnsi="Times New Roman" w:cs="Times New Roman"/>
          <w:sz w:val="20"/>
          <w:szCs w:val="20"/>
        </w:rPr>
        <w:t xml:space="preserve"> Ebd., S. 32.</w:t>
      </w:r>
    </w:p>
  </w:footnote>
  <w:footnote w:id="829">
    <w:p w14:paraId="2216B854" w14:textId="5A7A9A94" w:rsidR="00B34CC2" w:rsidRPr="00DC7004" w:rsidRDefault="00B34CC2" w:rsidP="001C3D81">
      <w:pPr>
        <w:pStyle w:val="Testonotaapidipagina"/>
        <w:jc w:val="both"/>
        <w:rPr>
          <w:rFonts w:ascii="Times New Roman" w:hAnsi="Times New Roman" w:cs="Times New Roman"/>
          <w:sz w:val="20"/>
          <w:szCs w:val="20"/>
        </w:rPr>
      </w:pPr>
      <w:r w:rsidRPr="00DC7004">
        <w:rPr>
          <w:rStyle w:val="Rimandonotaapidipagina"/>
          <w:rFonts w:ascii="Times New Roman" w:hAnsi="Times New Roman" w:cs="Times New Roman"/>
          <w:sz w:val="20"/>
          <w:szCs w:val="20"/>
        </w:rPr>
        <w:footnoteRef/>
      </w:r>
      <w:r>
        <w:rPr>
          <w:rFonts w:ascii="Times New Roman" w:hAnsi="Times New Roman" w:cs="Times New Roman"/>
          <w:sz w:val="20"/>
          <w:szCs w:val="20"/>
        </w:rPr>
        <w:t xml:space="preserve"> </w:t>
      </w:r>
      <w:r w:rsidRPr="00A547ED">
        <w:rPr>
          <w:rFonts w:ascii="Times New Roman" w:hAnsi="Times New Roman" w:cs="Times New Roman"/>
          <w:sz w:val="20"/>
          <w:szCs w:val="20"/>
        </w:rPr>
        <w:t>Ebd.</w:t>
      </w:r>
      <w:r w:rsidRPr="00C75117">
        <w:rPr>
          <w:rFonts w:ascii="Times New Roman" w:hAnsi="Times New Roman" w:cs="Times New Roman"/>
          <w:sz w:val="20"/>
          <w:szCs w:val="20"/>
        </w:rPr>
        <w:t>, S. 32</w:t>
      </w:r>
      <w:r>
        <w:rPr>
          <w:rFonts w:ascii="Times New Roman" w:hAnsi="Times New Roman" w:cs="Times New Roman"/>
          <w:sz w:val="20"/>
          <w:szCs w:val="20"/>
        </w:rPr>
        <w:t>: „Wenn Substanz und Akzidenz Wechselbegriffe sind, so scheint mir, wäre der Begriff von Substanz nicht  das Absolute Ich anzuwenden; wohl  das empirische Ich</w:t>
      </w:r>
      <w:r>
        <w:rPr>
          <w:rFonts w:ascii="Times New Roman" w:eastAsia="Times New Roman" w:hAnsi="Times New Roman" w:cs="Times New Roman"/>
          <w:color w:val="000000"/>
          <w:sz w:val="20"/>
          <w:szCs w:val="20"/>
        </w:rPr>
        <w:t>”</w:t>
      </w:r>
      <w:r w:rsidRPr="00C75117">
        <w:rPr>
          <w:rFonts w:ascii="Times New Roman" w:hAnsi="Times New Roman" w:cs="Times New Roman"/>
          <w:sz w:val="20"/>
          <w:szCs w:val="20"/>
        </w:rPr>
        <w:t>.</w:t>
      </w:r>
    </w:p>
  </w:footnote>
  <w:footnote w:id="830">
    <w:p w14:paraId="5CAA22BD" w14:textId="77777777" w:rsidR="00B34CC2" w:rsidRPr="00E80B4D" w:rsidRDefault="00B34CC2" w:rsidP="001C3D81">
      <w:pPr>
        <w:pStyle w:val="Testonotaapidipagina"/>
        <w:jc w:val="both"/>
        <w:rPr>
          <w:rFonts w:ascii="Times New Roman" w:hAnsi="Times New Roman" w:cs="Times New Roman"/>
          <w:sz w:val="20"/>
          <w:szCs w:val="20"/>
        </w:rPr>
      </w:pPr>
      <w:r w:rsidRPr="00E80B4D">
        <w:rPr>
          <w:rStyle w:val="Rimandonotaapidipagina"/>
          <w:rFonts w:ascii="Times New Roman" w:hAnsi="Times New Roman" w:cs="Times New Roman"/>
          <w:sz w:val="20"/>
          <w:szCs w:val="20"/>
        </w:rPr>
        <w:footnoteRef/>
      </w:r>
      <w:r w:rsidRPr="00E80B4D">
        <w:rPr>
          <w:rFonts w:ascii="Times New Roman" w:hAnsi="Times New Roman" w:cs="Times New Roman"/>
          <w:i/>
          <w:sz w:val="20"/>
          <w:szCs w:val="20"/>
          <w:lang w:val="de-DE"/>
        </w:rPr>
        <w:t xml:space="preserve"> </w:t>
      </w:r>
      <w:r>
        <w:rPr>
          <w:rFonts w:ascii="Times New Roman" w:hAnsi="Times New Roman" w:cs="Times New Roman"/>
          <w:sz w:val="20"/>
          <w:szCs w:val="20"/>
        </w:rPr>
        <w:t xml:space="preserve">Vgl. </w:t>
      </w:r>
      <w:r w:rsidRPr="00E80B4D">
        <w:rPr>
          <w:rFonts w:ascii="Times New Roman" w:hAnsi="Times New Roman" w:cs="Times New Roman"/>
          <w:sz w:val="20"/>
          <w:szCs w:val="20"/>
        </w:rPr>
        <w:t xml:space="preserve">F. Chiereghin, </w:t>
      </w:r>
      <w:r>
        <w:rPr>
          <w:rFonts w:ascii="Times New Roman" w:hAnsi="Times New Roman" w:cs="Times New Roman"/>
          <w:i/>
          <w:sz w:val="20"/>
          <w:szCs w:val="20"/>
        </w:rPr>
        <w:t>Dialettica dell’assoluto e ontologia della soggettività</w:t>
      </w:r>
      <w:r w:rsidRPr="00E80B4D">
        <w:rPr>
          <w:rFonts w:ascii="Times New Roman" w:hAnsi="Times New Roman" w:cs="Times New Roman"/>
          <w:i/>
          <w:sz w:val="20"/>
          <w:szCs w:val="20"/>
        </w:rPr>
        <w:t xml:space="preserve"> </w:t>
      </w:r>
      <w:r>
        <w:rPr>
          <w:rFonts w:ascii="Times New Roman" w:hAnsi="Times New Roman" w:cs="Times New Roman"/>
          <w:i/>
          <w:sz w:val="20"/>
          <w:szCs w:val="20"/>
        </w:rPr>
        <w:t>in</w:t>
      </w:r>
      <w:r w:rsidRPr="00E80B4D">
        <w:rPr>
          <w:rFonts w:ascii="Times New Roman" w:hAnsi="Times New Roman" w:cs="Times New Roman"/>
          <w:i/>
          <w:sz w:val="20"/>
          <w:szCs w:val="20"/>
        </w:rPr>
        <w:t xml:space="preserve"> Hegel, </w:t>
      </w:r>
      <w:r w:rsidRPr="00E80B4D">
        <w:rPr>
          <w:rFonts w:ascii="Times New Roman" w:hAnsi="Times New Roman" w:cs="Times New Roman"/>
          <w:sz w:val="20"/>
          <w:szCs w:val="20"/>
        </w:rPr>
        <w:t xml:space="preserve">Verifiche, Trento 1980, S. 149-153; W. Hartkopf, </w:t>
      </w:r>
      <w:r w:rsidRPr="00E80B4D">
        <w:rPr>
          <w:rFonts w:ascii="Times New Roman" w:hAnsi="Times New Roman" w:cs="Times New Roman"/>
          <w:i/>
          <w:sz w:val="20"/>
          <w:szCs w:val="20"/>
          <w:lang w:val="de-DE"/>
        </w:rPr>
        <w:t>Der Durchbruch zur Dialektik in Hegels Denken. Studien zur Entwicklung der modernen Dialektik</w:t>
      </w:r>
      <w:r w:rsidRPr="00E80B4D">
        <w:rPr>
          <w:rFonts w:ascii="Times New Roman" w:hAnsi="Times New Roman" w:cs="Times New Roman"/>
          <w:sz w:val="20"/>
          <w:szCs w:val="20"/>
          <w:lang w:val="de-DE"/>
        </w:rPr>
        <w:t>, Meisenheim am Glan, Hain 1976, S. 37-44</w:t>
      </w:r>
      <w:r w:rsidRPr="00E80B4D">
        <w:rPr>
          <w:rFonts w:ascii="Times New Roman" w:hAnsi="Times New Roman" w:cs="Times New Roman"/>
          <w:sz w:val="20"/>
          <w:szCs w:val="20"/>
        </w:rPr>
        <w:t xml:space="preserve">; J. Hyppolite, </w:t>
      </w:r>
      <w:r w:rsidRPr="00E80B4D">
        <w:rPr>
          <w:rFonts w:ascii="Times New Roman" w:hAnsi="Times New Roman" w:cs="Times New Roman"/>
          <w:i/>
          <w:sz w:val="20"/>
          <w:szCs w:val="20"/>
        </w:rPr>
        <w:t xml:space="preserve">Introduction à la philosophie de l'historie de Hegel, </w:t>
      </w:r>
      <w:r w:rsidRPr="00E80B4D">
        <w:rPr>
          <w:rFonts w:ascii="Times New Roman" w:hAnsi="Times New Roman" w:cs="Times New Roman"/>
          <w:sz w:val="20"/>
          <w:szCs w:val="20"/>
        </w:rPr>
        <w:t xml:space="preserve">Marcel Rivière et Cie, Paris 1968, S. 31-39 (Erstausgabe Paris 1949); F. Valori, </w:t>
      </w:r>
      <w:r w:rsidRPr="00E80B4D">
        <w:rPr>
          <w:rFonts w:ascii="Times New Roman" w:hAnsi="Times New Roman" w:cs="Times New Roman"/>
          <w:i/>
          <w:sz w:val="20"/>
          <w:szCs w:val="20"/>
        </w:rPr>
        <w:t xml:space="preserve">Destino, ragione e positività nel giovane Hegel, </w:t>
      </w:r>
      <w:r w:rsidRPr="00E80B4D">
        <w:rPr>
          <w:rFonts w:ascii="Times New Roman" w:hAnsi="Times New Roman" w:cs="Times New Roman"/>
          <w:sz w:val="20"/>
          <w:szCs w:val="20"/>
        </w:rPr>
        <w:t xml:space="preserve">in </w:t>
      </w:r>
      <w:r w:rsidRPr="00E80B4D">
        <w:rPr>
          <w:rFonts w:ascii="Times New Roman" w:hAnsi="Times New Roman" w:cs="Times New Roman"/>
          <w:i/>
          <w:sz w:val="20"/>
          <w:szCs w:val="20"/>
        </w:rPr>
        <w:t xml:space="preserve">Il giovane Hegel. La dialettica e le sue prospettive, </w:t>
      </w:r>
      <w:r>
        <w:rPr>
          <w:rFonts w:ascii="Times New Roman" w:hAnsi="Times New Roman" w:cs="Times New Roman"/>
          <w:sz w:val="20"/>
          <w:szCs w:val="20"/>
        </w:rPr>
        <w:t>hrsg. von M. Moschini, Napo</w:t>
      </w:r>
      <w:r w:rsidRPr="00E80B4D">
        <w:rPr>
          <w:rFonts w:ascii="Times New Roman" w:hAnsi="Times New Roman" w:cs="Times New Roman"/>
          <w:sz w:val="20"/>
          <w:szCs w:val="20"/>
        </w:rPr>
        <w:t>l</w:t>
      </w:r>
      <w:r>
        <w:rPr>
          <w:rFonts w:ascii="Times New Roman" w:hAnsi="Times New Roman" w:cs="Times New Roman"/>
          <w:sz w:val="20"/>
          <w:szCs w:val="20"/>
        </w:rPr>
        <w:t>i</w:t>
      </w:r>
      <w:r w:rsidRPr="00E80B4D">
        <w:rPr>
          <w:rFonts w:ascii="Times New Roman" w:hAnsi="Times New Roman" w:cs="Times New Roman"/>
          <w:sz w:val="20"/>
          <w:szCs w:val="20"/>
        </w:rPr>
        <w:t>-Salerno, Orthotes 2017, S. 229-247.</w:t>
      </w:r>
    </w:p>
  </w:footnote>
  <w:footnote w:id="831">
    <w:p w14:paraId="06039DA8" w14:textId="77777777" w:rsidR="00B34CC2" w:rsidRPr="00D422C9" w:rsidRDefault="00B34CC2" w:rsidP="001C3D81">
      <w:pPr>
        <w:pStyle w:val="Testonotaapidipagina"/>
        <w:jc w:val="both"/>
        <w:rPr>
          <w:rFonts w:ascii="Times New Roman" w:hAnsi="Times New Roman" w:cs="Times New Roman"/>
          <w:sz w:val="20"/>
          <w:szCs w:val="20"/>
          <w:lang w:val="de-DE"/>
        </w:rPr>
      </w:pPr>
      <w:r w:rsidRPr="00D422C9">
        <w:rPr>
          <w:rStyle w:val="Rimandonotaapidipagina"/>
          <w:rFonts w:ascii="Times New Roman" w:hAnsi="Times New Roman" w:cs="Times New Roman"/>
          <w:sz w:val="20"/>
          <w:szCs w:val="20"/>
          <w:lang w:val="de-DE"/>
        </w:rPr>
        <w:footnoteRef/>
      </w:r>
      <w:r w:rsidRPr="00D422C9">
        <w:rPr>
          <w:rFonts w:ascii="Times New Roman" w:hAnsi="Times New Roman" w:cs="Times New Roman"/>
          <w:sz w:val="20"/>
          <w:szCs w:val="20"/>
          <w:lang w:val="de-DE"/>
        </w:rPr>
        <w:t xml:space="preserve"> </w:t>
      </w:r>
      <w:r>
        <w:rPr>
          <w:rFonts w:ascii="Times New Roman" w:hAnsi="Times New Roman" w:cs="Times New Roman"/>
          <w:i/>
          <w:sz w:val="20"/>
          <w:szCs w:val="20"/>
        </w:rPr>
        <w:t>FS I</w:t>
      </w:r>
      <w:r>
        <w:rPr>
          <w:rFonts w:ascii="Times New Roman" w:hAnsi="Times New Roman" w:cs="Times New Roman"/>
          <w:sz w:val="20"/>
          <w:szCs w:val="20"/>
        </w:rPr>
        <w:t>, S</w:t>
      </w:r>
      <w:r w:rsidRPr="00D422C9">
        <w:rPr>
          <w:rFonts w:ascii="Times New Roman" w:hAnsi="Times New Roman" w:cs="Times New Roman"/>
          <w:sz w:val="20"/>
          <w:szCs w:val="20"/>
        </w:rPr>
        <w:t>. 375</w:t>
      </w:r>
      <w:r>
        <w:rPr>
          <w:rFonts w:ascii="Times New Roman" w:hAnsi="Times New Roman" w:cs="Times New Roman"/>
          <w:sz w:val="20"/>
          <w:szCs w:val="20"/>
          <w:lang w:val="de-DE"/>
        </w:rPr>
        <w:t>: „</w:t>
      </w:r>
      <w:r w:rsidRPr="00D422C9">
        <w:rPr>
          <w:rFonts w:ascii="Times New Roman" w:hAnsi="Times New Roman" w:cs="Times New Roman"/>
          <w:sz w:val="20"/>
          <w:szCs w:val="20"/>
          <w:lang w:val="de-DE"/>
        </w:rPr>
        <w:t>Der Geist der Zeit offenbarte sich in der Objectivität seines Gottes, als er, nicht dem Maße nach in die Unendlichkeit hinaus, sondern in eine uns fremde Welt gesetzt wurde</w:t>
      </w:r>
      <w:r>
        <w:rPr>
          <w:rFonts w:ascii="Times New Roman" w:eastAsia="Times New Roman" w:hAnsi="Times New Roman" w:cs="Times New Roman"/>
          <w:color w:val="000000"/>
          <w:sz w:val="20"/>
          <w:szCs w:val="20"/>
        </w:rPr>
        <w:t>”</w:t>
      </w:r>
      <w:r w:rsidRPr="00D422C9">
        <w:rPr>
          <w:rFonts w:ascii="Times New Roman" w:eastAsia="Times New Roman" w:hAnsi="Times New Roman" w:cs="Times New Roman"/>
          <w:color w:val="000000"/>
          <w:sz w:val="20"/>
          <w:szCs w:val="20"/>
          <w:lang w:val="de-DE"/>
        </w:rPr>
        <w:t>.</w:t>
      </w:r>
    </w:p>
  </w:footnote>
  <w:footnote w:id="832">
    <w:p w14:paraId="53C3E636" w14:textId="77777777" w:rsidR="00B34CC2" w:rsidRPr="007D0D81" w:rsidRDefault="00B34CC2" w:rsidP="001C3D81">
      <w:pPr>
        <w:pStyle w:val="Testonotaapidipagina"/>
        <w:rPr>
          <w:rFonts w:ascii="Times New Roman" w:hAnsi="Times New Roman" w:cs="Times New Roman"/>
          <w:sz w:val="20"/>
          <w:szCs w:val="20"/>
        </w:rPr>
      </w:pPr>
      <w:r w:rsidRPr="00D422C9">
        <w:rPr>
          <w:rStyle w:val="Rimandonotaapidipagina"/>
          <w:rFonts w:ascii="Times New Roman" w:hAnsi="Times New Roman" w:cs="Times New Roman"/>
          <w:sz w:val="20"/>
          <w:szCs w:val="20"/>
        </w:rPr>
        <w:footnoteRef/>
      </w:r>
      <w:r w:rsidRPr="00D422C9">
        <w:rPr>
          <w:rFonts w:ascii="Times New Roman" w:hAnsi="Times New Roman" w:cs="Times New Roman"/>
          <w:i/>
          <w:sz w:val="20"/>
          <w:szCs w:val="20"/>
        </w:rPr>
        <w:t xml:space="preserve"> </w:t>
      </w:r>
      <w:r w:rsidRPr="00A547ED">
        <w:rPr>
          <w:rFonts w:ascii="Times New Roman" w:hAnsi="Times New Roman" w:cs="Times New Roman"/>
          <w:sz w:val="20"/>
          <w:szCs w:val="20"/>
        </w:rPr>
        <w:t>Ebd.,</w:t>
      </w:r>
      <w:r>
        <w:rPr>
          <w:rFonts w:ascii="Times New Roman" w:hAnsi="Times New Roman" w:cs="Times New Roman"/>
          <w:sz w:val="20"/>
          <w:szCs w:val="20"/>
        </w:rPr>
        <w:t xml:space="preserve"> S. 375.</w:t>
      </w:r>
    </w:p>
  </w:footnote>
  <w:footnote w:id="833">
    <w:p w14:paraId="1D637797" w14:textId="77777777" w:rsidR="00B34CC2" w:rsidRPr="00D52A8E" w:rsidRDefault="00B34CC2" w:rsidP="001C3D81">
      <w:pPr>
        <w:pStyle w:val="Testonotaapidipagina"/>
        <w:jc w:val="both"/>
        <w:rPr>
          <w:rFonts w:ascii="Times New Roman" w:hAnsi="Times New Roman" w:cs="Times New Roman"/>
          <w:i/>
          <w:sz w:val="20"/>
          <w:szCs w:val="20"/>
        </w:rPr>
      </w:pPr>
      <w:r w:rsidRPr="00210326">
        <w:rPr>
          <w:rStyle w:val="Rimandonotaapidipagina"/>
          <w:rFonts w:ascii="Times New Roman" w:hAnsi="Times New Roman" w:cs="Times New Roman"/>
          <w:sz w:val="20"/>
          <w:szCs w:val="20"/>
        </w:rPr>
        <w:footnoteRef/>
      </w:r>
      <w:r>
        <w:rPr>
          <w:rFonts w:ascii="Times New Roman" w:hAnsi="Times New Roman" w:cs="Times New Roman"/>
          <w:sz w:val="20"/>
          <w:szCs w:val="20"/>
        </w:rPr>
        <w:t xml:space="preserve"> </w:t>
      </w:r>
      <w:r>
        <w:rPr>
          <w:rFonts w:ascii="Times New Roman" w:hAnsi="Times New Roman" w:cs="Times New Roman"/>
          <w:i/>
          <w:sz w:val="20"/>
          <w:szCs w:val="20"/>
        </w:rPr>
        <w:t>FS II</w:t>
      </w:r>
      <w:r>
        <w:rPr>
          <w:rFonts w:ascii="Times New Roman" w:hAnsi="Times New Roman" w:cs="Times New Roman"/>
          <w:sz w:val="20"/>
          <w:szCs w:val="20"/>
        </w:rPr>
        <w:t>, S. 336</w:t>
      </w:r>
      <w:r w:rsidRPr="00210326">
        <w:rPr>
          <w:rFonts w:ascii="Times New Roman" w:hAnsi="Times New Roman" w:cs="Times New Roman"/>
          <w:sz w:val="20"/>
          <w:szCs w:val="20"/>
        </w:rPr>
        <w:t>.</w:t>
      </w:r>
    </w:p>
  </w:footnote>
  <w:footnote w:id="834">
    <w:p w14:paraId="0BEFAAC2" w14:textId="77777777" w:rsidR="00B34CC2" w:rsidRDefault="00B34CC2" w:rsidP="001C3D81">
      <w:pPr>
        <w:pStyle w:val="Testonotaapidipagina"/>
      </w:pPr>
      <w:r w:rsidRPr="00F875A1">
        <w:rPr>
          <w:rStyle w:val="Rimandonotaapidipagina"/>
          <w:rFonts w:ascii="Times New Roman" w:hAnsi="Times New Roman" w:cs="Times New Roman"/>
          <w:sz w:val="20"/>
          <w:szCs w:val="20"/>
        </w:rPr>
        <w:footnoteRef/>
      </w:r>
      <w:r>
        <w:rPr>
          <w:rFonts w:ascii="Times New Roman" w:hAnsi="Times New Roman" w:cs="Times New Roman"/>
          <w:i/>
          <w:sz w:val="20"/>
          <w:szCs w:val="20"/>
        </w:rPr>
        <w:t xml:space="preserve"> </w:t>
      </w:r>
      <w:r w:rsidRPr="00A547ED">
        <w:rPr>
          <w:rFonts w:ascii="Times New Roman" w:hAnsi="Times New Roman" w:cs="Times New Roman"/>
          <w:sz w:val="20"/>
          <w:szCs w:val="20"/>
        </w:rPr>
        <w:t>Ebd.</w:t>
      </w:r>
      <w:r>
        <w:rPr>
          <w:rFonts w:ascii="Times New Roman" w:hAnsi="Times New Roman" w:cs="Times New Roman"/>
          <w:sz w:val="20"/>
          <w:szCs w:val="20"/>
        </w:rPr>
        <w:t>, S. 336.</w:t>
      </w:r>
    </w:p>
  </w:footnote>
  <w:footnote w:id="835">
    <w:p w14:paraId="04769239" w14:textId="77777777" w:rsidR="00B34CC2" w:rsidRPr="0023434B" w:rsidRDefault="00B34CC2" w:rsidP="001C3D81">
      <w:pPr>
        <w:pStyle w:val="Testonotaapidipagina"/>
        <w:jc w:val="both"/>
        <w:rPr>
          <w:rFonts w:ascii="Times New Roman" w:hAnsi="Times New Roman" w:cs="Times New Roman"/>
          <w:sz w:val="20"/>
          <w:szCs w:val="20"/>
        </w:rPr>
      </w:pPr>
      <w:r w:rsidRPr="0023434B">
        <w:rPr>
          <w:rStyle w:val="Rimandonotaapidipagina"/>
          <w:rFonts w:ascii="Times New Roman" w:hAnsi="Times New Roman" w:cs="Times New Roman"/>
          <w:sz w:val="20"/>
          <w:szCs w:val="20"/>
        </w:rPr>
        <w:footnoteRef/>
      </w:r>
      <w:r>
        <w:rPr>
          <w:rFonts w:ascii="Times New Roman" w:hAnsi="Times New Roman" w:cs="Times New Roman"/>
          <w:i/>
          <w:sz w:val="20"/>
          <w:szCs w:val="20"/>
        </w:rPr>
        <w:t xml:space="preserve"> </w:t>
      </w:r>
      <w:r w:rsidRPr="00A547ED">
        <w:rPr>
          <w:rFonts w:ascii="Times New Roman" w:hAnsi="Times New Roman" w:cs="Times New Roman"/>
          <w:sz w:val="20"/>
          <w:szCs w:val="20"/>
        </w:rPr>
        <w:t>Ebd.</w:t>
      </w:r>
      <w:r w:rsidRPr="0023434B">
        <w:rPr>
          <w:rFonts w:ascii="Times New Roman" w:hAnsi="Times New Roman" w:cs="Times New Roman"/>
          <w:sz w:val="20"/>
          <w:szCs w:val="20"/>
        </w:rPr>
        <w:t>, S. 63.</w:t>
      </w:r>
    </w:p>
  </w:footnote>
  <w:footnote w:id="836">
    <w:p w14:paraId="53D43B98" w14:textId="77777777" w:rsidR="00B34CC2" w:rsidRPr="00705FB8" w:rsidRDefault="00B34CC2" w:rsidP="001C3D81">
      <w:pPr>
        <w:pStyle w:val="Testonotaapidipagina"/>
        <w:rPr>
          <w:rFonts w:ascii="Times New Roman" w:hAnsi="Times New Roman" w:cs="Times New Roman"/>
          <w:sz w:val="20"/>
          <w:szCs w:val="20"/>
        </w:rPr>
      </w:pPr>
      <w:r w:rsidRPr="00705FB8">
        <w:rPr>
          <w:rStyle w:val="Rimandonotaapidipagina"/>
          <w:rFonts w:ascii="Times New Roman" w:hAnsi="Times New Roman" w:cs="Times New Roman"/>
          <w:sz w:val="20"/>
          <w:szCs w:val="20"/>
        </w:rPr>
        <w:footnoteRef/>
      </w:r>
      <w:r w:rsidRPr="00705FB8">
        <w:rPr>
          <w:rFonts w:ascii="Times New Roman" w:hAnsi="Times New Roman" w:cs="Times New Roman"/>
          <w:sz w:val="20"/>
          <w:szCs w:val="20"/>
        </w:rPr>
        <w:t xml:space="preserve"> Ebd., S. 286.</w:t>
      </w:r>
    </w:p>
  </w:footnote>
  <w:footnote w:id="837">
    <w:p w14:paraId="0FFF1A7A" w14:textId="77777777" w:rsidR="00B34CC2" w:rsidRPr="00705FB8" w:rsidRDefault="00B34CC2" w:rsidP="001C3D81">
      <w:pPr>
        <w:pStyle w:val="Testonotaapidipagina"/>
        <w:rPr>
          <w:rFonts w:ascii="Times New Roman" w:hAnsi="Times New Roman" w:cs="Times New Roman"/>
          <w:sz w:val="20"/>
          <w:szCs w:val="20"/>
        </w:rPr>
      </w:pPr>
      <w:r w:rsidRPr="00705FB8">
        <w:rPr>
          <w:rStyle w:val="Rimandonotaapidipagina"/>
          <w:rFonts w:ascii="Times New Roman" w:hAnsi="Times New Roman" w:cs="Times New Roman"/>
          <w:sz w:val="20"/>
          <w:szCs w:val="20"/>
        </w:rPr>
        <w:footnoteRef/>
      </w:r>
      <w:r w:rsidRPr="00705FB8">
        <w:rPr>
          <w:rFonts w:ascii="Times New Roman" w:hAnsi="Times New Roman" w:cs="Times New Roman"/>
          <w:i/>
          <w:sz w:val="20"/>
          <w:szCs w:val="20"/>
        </w:rPr>
        <w:t xml:space="preserve"> </w:t>
      </w:r>
      <w:r w:rsidRPr="00705FB8">
        <w:rPr>
          <w:rFonts w:ascii="Times New Roman" w:hAnsi="Times New Roman" w:cs="Times New Roman"/>
          <w:sz w:val="20"/>
          <w:szCs w:val="20"/>
        </w:rPr>
        <w:t>Ebd., S. 286.</w:t>
      </w:r>
    </w:p>
  </w:footnote>
  <w:footnote w:id="838">
    <w:p w14:paraId="48A76F25" w14:textId="77777777" w:rsidR="00B34CC2" w:rsidRPr="00B31BE8" w:rsidRDefault="00B34CC2" w:rsidP="001C3D81">
      <w:pPr>
        <w:pStyle w:val="Testonotaapidipagina"/>
        <w:jc w:val="both"/>
        <w:rPr>
          <w:rFonts w:ascii="Times New Roman" w:hAnsi="Times New Roman" w:cs="Times New Roman"/>
          <w:sz w:val="20"/>
          <w:szCs w:val="20"/>
        </w:rPr>
      </w:pPr>
      <w:r w:rsidRPr="00705FB8">
        <w:rPr>
          <w:rStyle w:val="Rimandonotaapidipagina"/>
          <w:rFonts w:ascii="Times New Roman" w:hAnsi="Times New Roman" w:cs="Times New Roman"/>
          <w:sz w:val="20"/>
          <w:szCs w:val="20"/>
        </w:rPr>
        <w:footnoteRef/>
      </w:r>
      <w:r w:rsidRPr="00705FB8">
        <w:rPr>
          <w:rFonts w:ascii="Times New Roman" w:hAnsi="Times New Roman" w:cs="Times New Roman"/>
          <w:sz w:val="20"/>
          <w:szCs w:val="20"/>
        </w:rPr>
        <w:t xml:space="preserve"> Ebd., S. 313.</w:t>
      </w:r>
    </w:p>
  </w:footnote>
  <w:footnote w:id="839">
    <w:p w14:paraId="5A5FBA74" w14:textId="173C53F1" w:rsidR="00B34CC2" w:rsidRPr="00E5616A" w:rsidRDefault="00B34CC2" w:rsidP="001C3D81">
      <w:pPr>
        <w:pStyle w:val="Testonotaapidipagina"/>
        <w:jc w:val="both"/>
        <w:rPr>
          <w:rFonts w:ascii="Times New Roman" w:hAnsi="Times New Roman" w:cs="Times New Roman"/>
          <w:sz w:val="20"/>
          <w:szCs w:val="20"/>
        </w:rPr>
      </w:pPr>
      <w:r w:rsidRPr="00584EAA">
        <w:rPr>
          <w:rStyle w:val="Rimandonotaapidipagina"/>
          <w:rFonts w:ascii="Times New Roman" w:hAnsi="Times New Roman" w:cs="Times New Roman"/>
          <w:sz w:val="20"/>
          <w:szCs w:val="20"/>
        </w:rPr>
        <w:footnoteRef/>
      </w:r>
      <w:r w:rsidRPr="00584EAA">
        <w:rPr>
          <w:rFonts w:ascii="Times New Roman" w:hAnsi="Times New Roman" w:cs="Times New Roman"/>
          <w:sz w:val="20"/>
          <w:szCs w:val="20"/>
        </w:rPr>
        <w:t xml:space="preserve"> </w:t>
      </w:r>
      <w:r>
        <w:rPr>
          <w:rFonts w:ascii="Times New Roman" w:hAnsi="Times New Roman" w:cs="Times New Roman"/>
          <w:sz w:val="20"/>
          <w:szCs w:val="20"/>
          <w:lang w:val="de-DE"/>
        </w:rPr>
        <w:t>Zur Aktualität von</w:t>
      </w:r>
      <w:r w:rsidRPr="00584EAA">
        <w:rPr>
          <w:rFonts w:ascii="Times New Roman" w:hAnsi="Times New Roman" w:cs="Times New Roman"/>
          <w:sz w:val="20"/>
          <w:szCs w:val="20"/>
          <w:lang w:val="de-DE"/>
        </w:rPr>
        <w:t xml:space="preserve"> Hegels historisch-religiösen Fragmente</w:t>
      </w:r>
      <w:r>
        <w:rPr>
          <w:rFonts w:ascii="Times New Roman" w:hAnsi="Times New Roman" w:cs="Times New Roman"/>
          <w:sz w:val="20"/>
          <w:szCs w:val="20"/>
          <w:lang w:val="de-DE"/>
        </w:rPr>
        <w:t>n</w:t>
      </w:r>
      <w:r w:rsidRPr="00584EAA">
        <w:rPr>
          <w:rFonts w:ascii="Times New Roman" w:hAnsi="Times New Roman" w:cs="Times New Roman"/>
          <w:sz w:val="20"/>
          <w:szCs w:val="20"/>
          <w:lang w:val="de-DE"/>
        </w:rPr>
        <w:t xml:space="preserve"> siehe</w:t>
      </w:r>
      <w:r w:rsidRPr="00584EAA">
        <w:rPr>
          <w:rFonts w:ascii="Times New Roman" w:hAnsi="Times New Roman" w:cs="Times New Roman"/>
          <w:sz w:val="20"/>
          <w:szCs w:val="20"/>
        </w:rPr>
        <w:t xml:space="preserve"> A. Achella, </w:t>
      </w:r>
      <w:r w:rsidRPr="00584EAA">
        <w:rPr>
          <w:rFonts w:ascii="Times New Roman" w:hAnsi="Times New Roman" w:cs="Times New Roman"/>
          <w:i/>
          <w:sz w:val="20"/>
          <w:szCs w:val="20"/>
        </w:rPr>
        <w:t xml:space="preserve">Pensare la vita, </w:t>
      </w:r>
      <w:r w:rsidRPr="00584EAA">
        <w:rPr>
          <w:rFonts w:ascii="Times New Roman" w:hAnsi="Times New Roman" w:cs="Times New Roman"/>
          <w:sz w:val="20"/>
          <w:szCs w:val="20"/>
        </w:rPr>
        <w:t xml:space="preserve">il Mulino, Bologna 2019, S. 47-54; F. Chiereghin, </w:t>
      </w:r>
      <w:r>
        <w:rPr>
          <w:rFonts w:ascii="Times New Roman" w:hAnsi="Times New Roman" w:cs="Times New Roman"/>
          <w:i/>
          <w:sz w:val="20"/>
          <w:szCs w:val="20"/>
        </w:rPr>
        <w:t>Dialettica dell’assoluto e ontologia della soggettività</w:t>
      </w:r>
      <w:r w:rsidRPr="00E80B4D">
        <w:rPr>
          <w:rFonts w:ascii="Times New Roman" w:hAnsi="Times New Roman" w:cs="Times New Roman"/>
          <w:i/>
          <w:sz w:val="20"/>
          <w:szCs w:val="20"/>
        </w:rPr>
        <w:t xml:space="preserve"> </w:t>
      </w:r>
      <w:r>
        <w:rPr>
          <w:rFonts w:ascii="Times New Roman" w:hAnsi="Times New Roman" w:cs="Times New Roman"/>
          <w:i/>
          <w:sz w:val="20"/>
          <w:szCs w:val="20"/>
        </w:rPr>
        <w:t>in</w:t>
      </w:r>
      <w:r w:rsidRPr="00E80B4D">
        <w:rPr>
          <w:rFonts w:ascii="Times New Roman" w:hAnsi="Times New Roman" w:cs="Times New Roman"/>
          <w:i/>
          <w:sz w:val="20"/>
          <w:szCs w:val="20"/>
        </w:rPr>
        <w:t xml:space="preserve"> Hegel</w:t>
      </w:r>
      <w:r>
        <w:rPr>
          <w:rFonts w:ascii="Times New Roman" w:hAnsi="Times New Roman" w:cs="Times New Roman"/>
          <w:sz w:val="20"/>
          <w:szCs w:val="20"/>
        </w:rPr>
        <w:t xml:space="preserve">, a.a.O., </w:t>
      </w:r>
      <w:r w:rsidRPr="00584EAA">
        <w:rPr>
          <w:rFonts w:ascii="Times New Roman" w:hAnsi="Times New Roman" w:cs="Times New Roman"/>
          <w:sz w:val="20"/>
          <w:szCs w:val="20"/>
        </w:rPr>
        <w:t>S. 30-81; J. Hyppolite,</w:t>
      </w:r>
      <w:r>
        <w:rPr>
          <w:rFonts w:ascii="Times New Roman" w:hAnsi="Times New Roman" w:cs="Times New Roman"/>
          <w:sz w:val="20"/>
          <w:szCs w:val="20"/>
        </w:rPr>
        <w:t xml:space="preserve"> </w:t>
      </w:r>
      <w:r w:rsidRPr="00E80B4D">
        <w:rPr>
          <w:rFonts w:ascii="Times New Roman" w:hAnsi="Times New Roman" w:cs="Times New Roman"/>
          <w:i/>
          <w:sz w:val="20"/>
          <w:szCs w:val="20"/>
        </w:rPr>
        <w:t>Introduction à la philosophie de l'historie de Hegel</w:t>
      </w:r>
      <w:r>
        <w:rPr>
          <w:rFonts w:ascii="Times New Roman" w:hAnsi="Times New Roman" w:cs="Times New Roman"/>
          <w:sz w:val="20"/>
          <w:szCs w:val="20"/>
        </w:rPr>
        <w:t>, a.a.O., S. 19-65</w:t>
      </w:r>
      <w:r w:rsidRPr="00584EAA">
        <w:rPr>
          <w:rFonts w:ascii="Times New Roman" w:hAnsi="Times New Roman" w:cs="Times New Roman"/>
          <w:sz w:val="20"/>
          <w:szCs w:val="20"/>
        </w:rPr>
        <w:t xml:space="preserve">; G. Luckás, </w:t>
      </w:r>
      <w:r w:rsidRPr="00584EAA">
        <w:rPr>
          <w:rFonts w:ascii="Times New Roman" w:hAnsi="Times New Roman" w:cs="Times New Roman"/>
          <w:i/>
          <w:sz w:val="20"/>
          <w:szCs w:val="20"/>
        </w:rPr>
        <w:t>Der junge Hegel. Über die Beziehung von Dialektik</w:t>
      </w:r>
      <w:r w:rsidRPr="00584EAA">
        <w:rPr>
          <w:rFonts w:ascii="Times New Roman" w:hAnsi="Times New Roman" w:cs="Times New Roman"/>
          <w:sz w:val="20"/>
          <w:szCs w:val="20"/>
        </w:rPr>
        <w:t xml:space="preserve">, Europa Verlag, Zürich/Wien 1948, S. 27-312; L. Lugarini, </w:t>
      </w:r>
      <w:r w:rsidRPr="00584EAA">
        <w:rPr>
          <w:rFonts w:ascii="Times New Roman" w:hAnsi="Times New Roman" w:cs="Times New Roman"/>
          <w:i/>
          <w:sz w:val="20"/>
          <w:szCs w:val="20"/>
        </w:rPr>
        <w:t>Hegel dal mondo storico alla filosofia</w:t>
      </w:r>
      <w:r w:rsidRPr="00704669">
        <w:rPr>
          <w:rFonts w:ascii="Times New Roman" w:hAnsi="Times New Roman" w:cs="Times New Roman"/>
          <w:sz w:val="20"/>
          <w:szCs w:val="20"/>
        </w:rPr>
        <w:t xml:space="preserve">, </w:t>
      </w:r>
      <w:r>
        <w:rPr>
          <w:rFonts w:ascii="Times New Roman" w:hAnsi="Times New Roman" w:cs="Times New Roman"/>
          <w:sz w:val="20"/>
          <w:szCs w:val="20"/>
        </w:rPr>
        <w:t xml:space="preserve">Armando, Roma 1973, </w:t>
      </w:r>
      <w:r w:rsidRPr="00704669">
        <w:rPr>
          <w:rFonts w:ascii="Times New Roman" w:hAnsi="Times New Roman" w:cs="Times New Roman"/>
          <w:sz w:val="20"/>
          <w:szCs w:val="20"/>
        </w:rPr>
        <w:t>S.</w:t>
      </w:r>
      <w:r w:rsidRPr="00584EAA">
        <w:rPr>
          <w:rFonts w:ascii="Times New Roman" w:hAnsi="Times New Roman" w:cs="Times New Roman"/>
          <w:i/>
          <w:sz w:val="20"/>
          <w:szCs w:val="20"/>
        </w:rPr>
        <w:t xml:space="preserve"> </w:t>
      </w:r>
      <w:r w:rsidRPr="00584EAA">
        <w:rPr>
          <w:rFonts w:ascii="Times New Roman" w:hAnsi="Times New Roman" w:cs="Times New Roman"/>
          <w:sz w:val="20"/>
          <w:szCs w:val="20"/>
        </w:rPr>
        <w:t xml:space="preserve">19-75; S. V. Palermo, </w:t>
      </w:r>
      <w:r w:rsidRPr="00584EAA">
        <w:rPr>
          <w:rFonts w:ascii="Times New Roman" w:hAnsi="Times New Roman" w:cs="Times New Roman"/>
          <w:i/>
          <w:sz w:val="20"/>
          <w:szCs w:val="20"/>
        </w:rPr>
        <w:t>Il bisogno della filosofia</w:t>
      </w:r>
      <w:r>
        <w:rPr>
          <w:rFonts w:ascii="Times New Roman" w:hAnsi="Times New Roman" w:cs="Times New Roman"/>
          <w:sz w:val="20"/>
          <w:szCs w:val="20"/>
        </w:rPr>
        <w:t xml:space="preserve">, Mimesis, Milano 2011, </w:t>
      </w:r>
      <w:r w:rsidRPr="00584EAA">
        <w:rPr>
          <w:rFonts w:ascii="Times New Roman" w:hAnsi="Times New Roman" w:cs="Times New Roman"/>
          <w:sz w:val="20"/>
          <w:szCs w:val="20"/>
        </w:rPr>
        <w:t xml:space="preserve">S. 23-63; A. Peperzak, </w:t>
      </w:r>
      <w:r w:rsidRPr="00584EAA">
        <w:rPr>
          <w:rFonts w:ascii="Times New Roman" w:hAnsi="Times New Roman" w:cs="Times New Roman"/>
          <w:i/>
          <w:sz w:val="20"/>
          <w:szCs w:val="20"/>
        </w:rPr>
        <w:t xml:space="preserve">Le jeune Hegel et la vision morale du mond, </w:t>
      </w:r>
      <w:r w:rsidRPr="00584EAA">
        <w:rPr>
          <w:rFonts w:ascii="Times New Roman" w:hAnsi="Times New Roman" w:cs="Times New Roman"/>
          <w:sz w:val="20"/>
          <w:szCs w:val="20"/>
        </w:rPr>
        <w:t xml:space="preserve">Martinus Nijhoff, La Haye 1960; O. Pöggler, </w:t>
      </w:r>
      <w:r w:rsidRPr="00584EAA">
        <w:rPr>
          <w:rFonts w:ascii="Times New Roman" w:hAnsi="Times New Roman" w:cs="Times New Roman"/>
          <w:i/>
          <w:sz w:val="20"/>
          <w:szCs w:val="20"/>
        </w:rPr>
        <w:t xml:space="preserve">L'"Esprit du Christianisme" de Hegel, </w:t>
      </w:r>
      <w:r>
        <w:rPr>
          <w:rFonts w:ascii="Times New Roman" w:hAnsi="Times New Roman" w:cs="Times New Roman"/>
          <w:sz w:val="20"/>
          <w:szCs w:val="20"/>
        </w:rPr>
        <w:t>in «Archives de Philosophie</w:t>
      </w:r>
      <w:r w:rsidRPr="00EA0211">
        <w:rPr>
          <w:rFonts w:ascii="Times New Roman" w:hAnsi="Times New Roman" w:cs="Times New Roman"/>
          <w:sz w:val="20"/>
          <w:szCs w:val="20"/>
        </w:rPr>
        <w:t>»</w:t>
      </w:r>
      <w:r w:rsidRPr="00584EAA">
        <w:rPr>
          <w:rFonts w:ascii="Times New Roman" w:hAnsi="Times New Roman" w:cs="Times New Roman"/>
          <w:sz w:val="20"/>
          <w:szCs w:val="20"/>
        </w:rPr>
        <w:t xml:space="preserve">, </w:t>
      </w:r>
      <w:r w:rsidRPr="00584EAA">
        <w:rPr>
          <w:rFonts w:ascii="Times New Roman" w:eastAsia="Times New Roman" w:hAnsi="Times New Roman" w:cs="Times New Roman"/>
          <w:color w:val="000000"/>
          <w:sz w:val="20"/>
          <w:szCs w:val="20"/>
          <w:lang w:val="de-DE"/>
        </w:rPr>
        <w:t>Bd. XXXIII, N. IV (1970), S. 719-754.</w:t>
      </w:r>
    </w:p>
  </w:footnote>
  <w:footnote w:id="840">
    <w:p w14:paraId="2580D014" w14:textId="77777777" w:rsidR="00B34CC2" w:rsidRPr="00705FB8" w:rsidRDefault="00B34CC2" w:rsidP="001C3D81">
      <w:pPr>
        <w:pStyle w:val="Testonotaapidipagina"/>
        <w:jc w:val="both"/>
        <w:rPr>
          <w:rFonts w:ascii="Times New Roman" w:hAnsi="Times New Roman" w:cs="Times New Roman"/>
          <w:sz w:val="20"/>
          <w:szCs w:val="20"/>
        </w:rPr>
      </w:pPr>
      <w:r w:rsidRPr="001D3342">
        <w:rPr>
          <w:rStyle w:val="Rimandonotaapidipagina"/>
          <w:rFonts w:ascii="Times New Roman" w:hAnsi="Times New Roman" w:cs="Times New Roman"/>
          <w:sz w:val="20"/>
          <w:szCs w:val="20"/>
        </w:rPr>
        <w:footnoteRef/>
      </w:r>
      <w:r w:rsidRPr="001D3342">
        <w:rPr>
          <w:rFonts w:ascii="Times New Roman" w:hAnsi="Times New Roman" w:cs="Times New Roman"/>
          <w:sz w:val="20"/>
          <w:szCs w:val="20"/>
        </w:rPr>
        <w:t xml:space="preserve"> </w:t>
      </w:r>
      <w:r>
        <w:rPr>
          <w:rFonts w:ascii="Times New Roman" w:hAnsi="Times New Roman" w:cs="Times New Roman"/>
          <w:sz w:val="20"/>
          <w:szCs w:val="20"/>
        </w:rPr>
        <w:t>F</w:t>
      </w:r>
      <w:r w:rsidRPr="00E47A19">
        <w:rPr>
          <w:rFonts w:ascii="Times New Roman" w:hAnsi="Times New Roman" w:cs="Times New Roman"/>
          <w:sz w:val="20"/>
          <w:szCs w:val="20"/>
        </w:rPr>
        <w:t xml:space="preserve">.H. Jacobi, </w:t>
      </w:r>
      <w:r w:rsidRPr="00F50C16">
        <w:rPr>
          <w:rFonts w:ascii="Times New Roman" w:hAnsi="Times New Roman" w:cs="Times New Roman"/>
          <w:i/>
          <w:sz w:val="20"/>
          <w:szCs w:val="20"/>
        </w:rPr>
        <w:t>Jacobi an Fichte</w:t>
      </w:r>
      <w:r w:rsidRPr="00F50C16">
        <w:rPr>
          <w:rFonts w:ascii="Times New Roman" w:hAnsi="Times New Roman" w:cs="Times New Roman"/>
          <w:sz w:val="20"/>
          <w:szCs w:val="20"/>
        </w:rPr>
        <w:t xml:space="preserve">, in </w:t>
      </w:r>
      <w:r w:rsidRPr="00F50C16">
        <w:rPr>
          <w:rFonts w:ascii="Times New Roman" w:hAnsi="Times New Roman" w:cs="Times New Roman"/>
          <w:i/>
          <w:sz w:val="20"/>
          <w:szCs w:val="20"/>
        </w:rPr>
        <w:t>Friedrich Heinrich Jacobi Werke</w:t>
      </w:r>
      <w:r w:rsidRPr="00F50C16">
        <w:rPr>
          <w:rFonts w:ascii="Times New Roman" w:hAnsi="Times New Roman" w:cs="Times New Roman"/>
          <w:sz w:val="20"/>
          <w:szCs w:val="20"/>
        </w:rPr>
        <w:t>, Band 2,1,</w:t>
      </w:r>
      <w:r w:rsidRPr="00F50C16">
        <w:rPr>
          <w:rFonts w:ascii="Times New Roman" w:hAnsi="Times New Roman" w:cs="Times New Roman"/>
          <w:i/>
          <w:sz w:val="20"/>
          <w:szCs w:val="20"/>
        </w:rPr>
        <w:t xml:space="preserve"> </w:t>
      </w:r>
      <w:r>
        <w:rPr>
          <w:rFonts w:ascii="Times New Roman" w:hAnsi="Times New Roman" w:cs="Times New Roman"/>
          <w:sz w:val="20"/>
          <w:szCs w:val="20"/>
        </w:rPr>
        <w:t xml:space="preserve">hrsg. von W. Jaeschke </w:t>
      </w:r>
      <w:r w:rsidRPr="00705FB8">
        <w:rPr>
          <w:rFonts w:ascii="Times New Roman" w:hAnsi="Times New Roman" w:cs="Times New Roman"/>
          <w:sz w:val="20"/>
          <w:szCs w:val="20"/>
        </w:rPr>
        <w:t>und I.-M- Piske, Felix Meiner Verlag, Hamburg, 2004, S. 202.</w:t>
      </w:r>
    </w:p>
  </w:footnote>
  <w:footnote w:id="841">
    <w:p w14:paraId="59BB643C" w14:textId="1F357177" w:rsidR="00B34CC2" w:rsidRPr="00C420AC" w:rsidRDefault="00B34CC2" w:rsidP="001C3D81">
      <w:pPr>
        <w:pStyle w:val="Testonotaapidipagina"/>
        <w:jc w:val="both"/>
        <w:rPr>
          <w:rFonts w:ascii="Times New Roman" w:hAnsi="Times New Roman" w:cs="Times New Roman"/>
          <w:sz w:val="20"/>
          <w:szCs w:val="20"/>
        </w:rPr>
      </w:pPr>
      <w:r w:rsidRPr="00705FB8">
        <w:rPr>
          <w:rStyle w:val="Rimandonotaapidipagina"/>
          <w:rFonts w:ascii="Times New Roman" w:hAnsi="Times New Roman" w:cs="Times New Roman"/>
          <w:sz w:val="20"/>
          <w:szCs w:val="20"/>
        </w:rPr>
        <w:footnoteRef/>
      </w:r>
      <w:r w:rsidRPr="00705FB8">
        <w:rPr>
          <w:rFonts w:ascii="Times New Roman" w:hAnsi="Times New Roman" w:cs="Times New Roman"/>
          <w:sz w:val="20"/>
          <w:szCs w:val="20"/>
        </w:rPr>
        <w:t xml:space="preserve"> F. H. Jacobi,</w:t>
      </w:r>
      <w:r w:rsidRPr="00705FB8">
        <w:rPr>
          <w:rFonts w:ascii="Times New Roman" w:hAnsi="Times New Roman" w:cs="Times New Roman"/>
          <w:i/>
          <w:sz w:val="20"/>
          <w:szCs w:val="20"/>
        </w:rPr>
        <w:t xml:space="preserve"> Schriften zum Spinozastreit</w:t>
      </w:r>
      <w:r w:rsidRPr="00705FB8">
        <w:rPr>
          <w:rFonts w:ascii="Times New Roman" w:hAnsi="Times New Roman" w:cs="Times New Roman"/>
          <w:sz w:val="20"/>
          <w:szCs w:val="20"/>
        </w:rPr>
        <w:t xml:space="preserve">, hrsg. von K. Hammacher und I.-M. Piske, in </w:t>
      </w:r>
      <w:r w:rsidRPr="00705FB8">
        <w:rPr>
          <w:rFonts w:ascii="Times New Roman" w:hAnsi="Times New Roman" w:cs="Times New Roman"/>
          <w:i/>
          <w:sz w:val="20"/>
          <w:szCs w:val="20"/>
        </w:rPr>
        <w:t>Friedrich Heinrich Jacobi: Werke</w:t>
      </w:r>
      <w:r w:rsidRPr="00705FB8">
        <w:rPr>
          <w:rFonts w:ascii="Times New Roman" w:hAnsi="Times New Roman" w:cs="Times New Roman"/>
          <w:sz w:val="20"/>
          <w:szCs w:val="20"/>
        </w:rPr>
        <w:t>, B. 1,1, Felix Meiner Verlag, Hamburg 1998, S. 18. Zur kabbalistischen Interpretation Spinozas in Deutschland siehe</w:t>
      </w:r>
      <w:r>
        <w:rPr>
          <w:rFonts w:ascii="Times New Roman" w:hAnsi="Times New Roman" w:cs="Times New Roman"/>
          <w:sz w:val="20"/>
          <w:szCs w:val="20"/>
        </w:rPr>
        <w:t xml:space="preserve"> T. Dagron, </w:t>
      </w:r>
      <w:r>
        <w:rPr>
          <w:rFonts w:ascii="Times New Roman" w:hAnsi="Times New Roman" w:cs="Times New Roman"/>
          <w:i/>
          <w:sz w:val="20"/>
          <w:szCs w:val="20"/>
        </w:rPr>
        <w:t>Toland et Leibniz. L’invention du Néo-Spinozisme</w:t>
      </w:r>
      <w:r>
        <w:rPr>
          <w:rFonts w:ascii="Times New Roman" w:hAnsi="Times New Roman" w:cs="Times New Roman"/>
          <w:sz w:val="20"/>
          <w:szCs w:val="20"/>
        </w:rPr>
        <w:t xml:space="preserve">, Librairie Philosophique J. Vrin, Paris, 2009, S. 211-237; </w:t>
      </w:r>
      <w:r w:rsidRPr="00C005C5">
        <w:rPr>
          <w:rFonts w:ascii="Times New Roman" w:hAnsi="Times New Roman" w:cs="Times New Roman"/>
          <w:sz w:val="20"/>
          <w:szCs w:val="20"/>
        </w:rPr>
        <w:t xml:space="preserve">S. Farinella, </w:t>
      </w:r>
      <w:r w:rsidRPr="00C005C5">
        <w:rPr>
          <w:rFonts w:ascii="Times New Roman" w:hAnsi="Times New Roman" w:cs="Times New Roman"/>
          <w:i/>
          <w:sz w:val="20"/>
          <w:szCs w:val="20"/>
        </w:rPr>
        <w:t>Da Wachter ad Hegel: genesi e sviluppo del concetto d’acosmismo nella filosofia moderna e classica tedesca</w:t>
      </w:r>
      <w:r w:rsidRPr="00C005C5">
        <w:rPr>
          <w:rFonts w:ascii="Times New Roman" w:hAnsi="Times New Roman" w:cs="Times New Roman"/>
          <w:sz w:val="20"/>
          <w:szCs w:val="20"/>
        </w:rPr>
        <w:t>, in «Quaderni materialisti</w:t>
      </w:r>
      <w:r>
        <w:rPr>
          <w:rFonts w:ascii="Times New Roman" w:eastAsia="Times New Roman" w:hAnsi="Times New Roman" w:cs="Times New Roman"/>
          <w:color w:val="000000"/>
          <w:sz w:val="20"/>
          <w:szCs w:val="20"/>
        </w:rPr>
        <w:t>», vol. 17 (2019), S</w:t>
      </w:r>
      <w:r w:rsidRPr="00C005C5">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189-205</w:t>
      </w:r>
      <w:r>
        <w:rPr>
          <w:rFonts w:ascii="Times New Roman" w:hAnsi="Times New Roman" w:cs="Times New Roman"/>
          <w:sz w:val="20"/>
          <w:szCs w:val="20"/>
        </w:rPr>
        <w:t xml:space="preserve">; </w:t>
      </w:r>
      <w:r w:rsidRPr="00CA322F">
        <w:rPr>
          <w:rFonts w:ascii="Times New Roman" w:hAnsi="Times New Roman" w:cs="Times New Roman"/>
          <w:sz w:val="20"/>
          <w:szCs w:val="20"/>
        </w:rPr>
        <w:t>V</w:t>
      </w:r>
      <w:r>
        <w:rPr>
          <w:rFonts w:ascii="Times New Roman" w:hAnsi="Times New Roman" w:cs="Times New Roman"/>
          <w:sz w:val="20"/>
          <w:szCs w:val="20"/>
        </w:rPr>
        <w:t xml:space="preserve">. Morfino, </w:t>
      </w:r>
      <w:r w:rsidRPr="00235CE9">
        <w:rPr>
          <w:rFonts w:ascii="Times New Roman" w:hAnsi="Times New Roman" w:cs="Times New Roman"/>
          <w:i/>
          <w:sz w:val="20"/>
          <w:szCs w:val="20"/>
        </w:rPr>
        <w:t>Genealogia di un pregiudizio. L’immagine di Spinoza da Leibniz a Marx</w:t>
      </w:r>
      <w:r>
        <w:rPr>
          <w:rFonts w:ascii="Times New Roman" w:hAnsi="Times New Roman" w:cs="Times New Roman"/>
          <w:sz w:val="20"/>
          <w:szCs w:val="20"/>
        </w:rPr>
        <w:t xml:space="preserve">, a.a.O., S. 43-47; R. Otto, </w:t>
      </w:r>
      <w:r>
        <w:rPr>
          <w:rFonts w:ascii="Times New Roman" w:hAnsi="Times New Roman" w:cs="Times New Roman"/>
          <w:i/>
          <w:sz w:val="20"/>
          <w:szCs w:val="20"/>
        </w:rPr>
        <w:t xml:space="preserve">Studien zur Spinozarezeption in Deutschland im 18. </w:t>
      </w:r>
      <w:r w:rsidRPr="006B047E">
        <w:rPr>
          <w:rFonts w:ascii="Times New Roman" w:hAnsi="Times New Roman" w:cs="Times New Roman"/>
          <w:i/>
          <w:sz w:val="20"/>
          <w:szCs w:val="20"/>
        </w:rPr>
        <w:t>Jahrhundert</w:t>
      </w:r>
      <w:r>
        <w:rPr>
          <w:rFonts w:ascii="Times New Roman" w:hAnsi="Times New Roman" w:cs="Times New Roman"/>
          <w:sz w:val="20"/>
          <w:szCs w:val="20"/>
        </w:rPr>
        <w:t xml:space="preserve">, Peter Lang Verlang, Frankfurt am Main, 1994, S. 95-101; W. Schröder, </w:t>
      </w:r>
      <w:r>
        <w:rPr>
          <w:rFonts w:ascii="Times New Roman" w:hAnsi="Times New Roman" w:cs="Times New Roman"/>
          <w:i/>
          <w:sz w:val="20"/>
          <w:szCs w:val="20"/>
        </w:rPr>
        <w:t xml:space="preserve">Spinoza in der deutschen </w:t>
      </w:r>
      <w:r w:rsidRPr="008F3A0F">
        <w:rPr>
          <w:rFonts w:ascii="Times New Roman" w:hAnsi="Times New Roman" w:cs="Times New Roman"/>
          <w:i/>
          <w:sz w:val="20"/>
          <w:szCs w:val="20"/>
        </w:rPr>
        <w:t>Frühklärung</w:t>
      </w:r>
      <w:r>
        <w:rPr>
          <w:rFonts w:ascii="Times New Roman" w:hAnsi="Times New Roman" w:cs="Times New Roman"/>
          <w:sz w:val="20"/>
          <w:szCs w:val="20"/>
        </w:rPr>
        <w:t xml:space="preserve">, Königshausen &amp; Neumann Verlag, Würzburg, 1987, S. 59-115; </w:t>
      </w:r>
      <w:r w:rsidRPr="006B047E">
        <w:rPr>
          <w:rFonts w:ascii="Times New Roman" w:hAnsi="Times New Roman" w:cs="Times New Roman"/>
          <w:sz w:val="20"/>
          <w:szCs w:val="20"/>
        </w:rPr>
        <w:t>G</w:t>
      </w:r>
      <w:r>
        <w:rPr>
          <w:rFonts w:ascii="Times New Roman" w:hAnsi="Times New Roman" w:cs="Times New Roman"/>
          <w:sz w:val="20"/>
          <w:szCs w:val="20"/>
        </w:rPr>
        <w:t xml:space="preserve">. Scholem, </w:t>
      </w:r>
      <w:r w:rsidRPr="001C2550">
        <w:rPr>
          <w:rFonts w:ascii="Times New Roman" w:hAnsi="Times New Roman" w:cs="Times New Roman"/>
          <w:i/>
          <w:sz w:val="20"/>
          <w:szCs w:val="20"/>
        </w:rPr>
        <w:t>Die Wachtersche Kontroverse über den Spinozismus und ihre Folgen</w:t>
      </w:r>
      <w:r>
        <w:rPr>
          <w:rFonts w:ascii="Times New Roman" w:hAnsi="Times New Roman" w:cs="Times New Roman"/>
          <w:sz w:val="20"/>
          <w:szCs w:val="20"/>
        </w:rPr>
        <w:t xml:space="preserve">, in </w:t>
      </w:r>
      <w:r>
        <w:rPr>
          <w:rFonts w:ascii="Times New Roman" w:hAnsi="Times New Roman" w:cs="Times New Roman"/>
          <w:i/>
          <w:sz w:val="20"/>
          <w:szCs w:val="20"/>
        </w:rPr>
        <w:t>Spinoza in der Fr</w:t>
      </w:r>
      <w:r w:rsidRPr="001C2550">
        <w:rPr>
          <w:rFonts w:ascii="Times New Roman" w:hAnsi="Times New Roman" w:cs="Times New Roman"/>
          <w:i/>
          <w:sz w:val="20"/>
          <w:szCs w:val="20"/>
        </w:rPr>
        <w:t>ü</w:t>
      </w:r>
      <w:r>
        <w:rPr>
          <w:rFonts w:ascii="Times New Roman" w:hAnsi="Times New Roman" w:cs="Times New Roman"/>
          <w:i/>
          <w:sz w:val="20"/>
          <w:szCs w:val="20"/>
        </w:rPr>
        <w:t>hzeit seiner religiösen Wirkung</w:t>
      </w:r>
      <w:r>
        <w:rPr>
          <w:rFonts w:ascii="Times New Roman" w:hAnsi="Times New Roman" w:cs="Times New Roman"/>
          <w:sz w:val="20"/>
          <w:szCs w:val="20"/>
        </w:rPr>
        <w:t>, hrsg. von K. Gründer und W. Schmidt-</w:t>
      </w:r>
      <w:r w:rsidRPr="00C005C5">
        <w:rPr>
          <w:rFonts w:ascii="Times New Roman" w:hAnsi="Times New Roman" w:cs="Times New Roman"/>
          <w:sz w:val="20"/>
          <w:szCs w:val="20"/>
        </w:rPr>
        <w:t>Biggemann, Lambert</w:t>
      </w:r>
      <w:r>
        <w:rPr>
          <w:rFonts w:ascii="Times New Roman" w:hAnsi="Times New Roman" w:cs="Times New Roman"/>
          <w:sz w:val="20"/>
          <w:szCs w:val="20"/>
        </w:rPr>
        <w:t xml:space="preserve"> Schneider, Heidelberg, 1984, S</w:t>
      </w:r>
      <w:r w:rsidRPr="00C005C5">
        <w:rPr>
          <w:rFonts w:ascii="Times New Roman" w:hAnsi="Times New Roman" w:cs="Times New Roman"/>
          <w:sz w:val="20"/>
          <w:szCs w:val="20"/>
        </w:rPr>
        <w:t>.15-25</w:t>
      </w:r>
      <w:r>
        <w:rPr>
          <w:rFonts w:ascii="Times New Roman" w:hAnsi="Times New Roman" w:cs="Times New Roman"/>
          <w:sz w:val="20"/>
          <w:szCs w:val="20"/>
        </w:rPr>
        <w:t>; W. Schröder, “</w:t>
      </w:r>
      <w:r>
        <w:rPr>
          <w:rFonts w:ascii="Times New Roman" w:hAnsi="Times New Roman" w:cs="Times New Roman"/>
          <w:i/>
          <w:sz w:val="20"/>
          <w:szCs w:val="20"/>
        </w:rPr>
        <w:t xml:space="preserve">Die ungereimste Meinung, die jemals von Menschen ersonnen worden” – Spinozismus in der deutschen </w:t>
      </w:r>
      <w:r w:rsidRPr="008F3A0F">
        <w:rPr>
          <w:rFonts w:ascii="Times New Roman" w:hAnsi="Times New Roman" w:cs="Times New Roman"/>
          <w:i/>
          <w:sz w:val="20"/>
          <w:szCs w:val="20"/>
        </w:rPr>
        <w:t>Frühklärung</w:t>
      </w:r>
      <w:r>
        <w:rPr>
          <w:rFonts w:ascii="Times New Roman" w:hAnsi="Times New Roman" w:cs="Times New Roman"/>
          <w:i/>
          <w:sz w:val="20"/>
          <w:szCs w:val="20"/>
        </w:rPr>
        <w:t>?</w:t>
      </w:r>
      <w:r>
        <w:rPr>
          <w:rFonts w:ascii="Times New Roman" w:hAnsi="Times New Roman" w:cs="Times New Roman"/>
          <w:sz w:val="20"/>
          <w:szCs w:val="20"/>
        </w:rPr>
        <w:t xml:space="preserve">, in </w:t>
      </w:r>
      <w:r>
        <w:rPr>
          <w:rFonts w:ascii="Times New Roman" w:hAnsi="Times New Roman" w:cs="Times New Roman"/>
          <w:i/>
          <w:sz w:val="20"/>
          <w:szCs w:val="20"/>
        </w:rPr>
        <w:t>Spinoza im 18. Jahrhundert</w:t>
      </w:r>
      <w:r>
        <w:rPr>
          <w:rFonts w:ascii="Times New Roman" w:hAnsi="Times New Roman" w:cs="Times New Roman"/>
          <w:sz w:val="20"/>
          <w:szCs w:val="20"/>
        </w:rPr>
        <w:t>, hrsg. von E. Schürmann, N. Waszek und F. Weinreich, Friedrich Fromman Verlag, Stuttgart, 2002, S. 121-139.</w:t>
      </w:r>
    </w:p>
  </w:footnote>
  <w:footnote w:id="842">
    <w:p w14:paraId="05012AE4" w14:textId="77777777" w:rsidR="00B34CC2" w:rsidRPr="000304B3" w:rsidRDefault="00B34CC2" w:rsidP="001C3D81">
      <w:pPr>
        <w:pStyle w:val="Testonotaapidipagina"/>
        <w:rPr>
          <w:rFonts w:ascii="Times New Roman" w:hAnsi="Times New Roman" w:cs="Times New Roman"/>
          <w:sz w:val="20"/>
          <w:szCs w:val="20"/>
        </w:rPr>
      </w:pPr>
      <w:r w:rsidRPr="000304B3">
        <w:rPr>
          <w:rStyle w:val="Rimandonotaapidipagina"/>
          <w:rFonts w:ascii="Times New Roman" w:hAnsi="Times New Roman" w:cs="Times New Roman"/>
          <w:sz w:val="20"/>
          <w:szCs w:val="20"/>
        </w:rPr>
        <w:footnoteRef/>
      </w:r>
      <w:r w:rsidRPr="000304B3">
        <w:rPr>
          <w:rFonts w:ascii="Times New Roman" w:hAnsi="Times New Roman" w:cs="Times New Roman"/>
          <w:sz w:val="20"/>
          <w:szCs w:val="20"/>
        </w:rPr>
        <w:t xml:space="preserve"> Ebd, S.18.</w:t>
      </w:r>
    </w:p>
  </w:footnote>
  <w:footnote w:id="843">
    <w:p w14:paraId="5E181AAC" w14:textId="796DE512" w:rsidR="00B34CC2" w:rsidRDefault="00B34CC2">
      <w:pPr>
        <w:pStyle w:val="Testonotaapidipagina"/>
      </w:pPr>
      <w:r w:rsidRPr="00BD604A">
        <w:rPr>
          <w:rStyle w:val="Rimandonotaapidipagina"/>
          <w:rFonts w:ascii="Times New Roman" w:hAnsi="Times New Roman" w:cs="Times New Roman"/>
          <w:sz w:val="20"/>
          <w:szCs w:val="20"/>
        </w:rPr>
        <w:footnoteRef/>
      </w:r>
      <w:r w:rsidRPr="00BD604A">
        <w:rPr>
          <w:rFonts w:ascii="Times New Roman" w:hAnsi="Times New Roman" w:cs="Times New Roman"/>
          <w:sz w:val="20"/>
          <w:szCs w:val="20"/>
        </w:rPr>
        <w:t xml:space="preserve"> </w:t>
      </w:r>
      <w:r w:rsidRPr="00AA6D16">
        <w:rPr>
          <w:rFonts w:ascii="Times New Roman" w:hAnsi="Times New Roman" w:cs="Times New Roman"/>
          <w:sz w:val="20"/>
          <w:szCs w:val="20"/>
        </w:rPr>
        <w:t>Ebd., S. 100: „</w:t>
      </w:r>
      <w:r w:rsidRPr="00AA6D16">
        <w:rPr>
          <w:rFonts w:ascii="Times New Roman" w:eastAsia="Times New Roman" w:hAnsi="Times New Roman" w:cs="Times New Roman"/>
          <w:iCs/>
          <w:color w:val="222222"/>
          <w:sz w:val="20"/>
          <w:szCs w:val="20"/>
          <w:shd w:val="clear" w:color="auto" w:fill="FFFFFF"/>
        </w:rPr>
        <w:t>Determinatio est negatio, seu determinatio ad rem juxta suum esse non pertinet. Die einzelnen Dinge also, in so ferne sie nur auf eine gewisse bestimmte Weise da sind, sind die non-entia; und das unbestimmte unendliche Wesen, ist das einzige wahrhafte ens reale, est omne esse, et praeter quod nullam datur esse</w:t>
      </w:r>
      <w:r w:rsidRPr="00AA6D16">
        <w:rPr>
          <w:rFonts w:ascii="Times New Roman" w:hAnsi="Times New Roman" w:cs="Times New Roman"/>
          <w:sz w:val="20"/>
          <w:szCs w:val="20"/>
        </w:rPr>
        <w:t>”.</w:t>
      </w:r>
    </w:p>
  </w:footnote>
  <w:footnote w:id="844">
    <w:p w14:paraId="18D71F2F" w14:textId="77777777" w:rsidR="00B34CC2" w:rsidRPr="00F75180" w:rsidRDefault="00B34CC2" w:rsidP="001C3D81">
      <w:pPr>
        <w:pStyle w:val="Testonotaapidipagina"/>
        <w:jc w:val="both"/>
        <w:rPr>
          <w:rFonts w:ascii="Times New Roman" w:hAnsi="Times New Roman" w:cs="Times New Roman"/>
          <w:sz w:val="20"/>
          <w:szCs w:val="20"/>
        </w:rPr>
      </w:pPr>
      <w:r w:rsidRPr="000304B3">
        <w:rPr>
          <w:rStyle w:val="Rimandonotaapidipagina"/>
          <w:rFonts w:ascii="Times New Roman" w:hAnsi="Times New Roman" w:cs="Times New Roman"/>
          <w:sz w:val="20"/>
          <w:szCs w:val="20"/>
        </w:rPr>
        <w:footnoteRef/>
      </w:r>
      <w:r w:rsidRPr="000304B3">
        <w:rPr>
          <w:rFonts w:ascii="Times New Roman" w:hAnsi="Times New Roman" w:cs="Times New Roman"/>
          <w:sz w:val="20"/>
          <w:szCs w:val="20"/>
        </w:rPr>
        <w:t xml:space="preserve"> Ebd., S. 251.</w:t>
      </w:r>
    </w:p>
  </w:footnote>
  <w:footnote w:id="845">
    <w:p w14:paraId="0FD403F3" w14:textId="77777777" w:rsidR="00B34CC2" w:rsidRDefault="00B34CC2" w:rsidP="001C3D81">
      <w:pPr>
        <w:pStyle w:val="Testonotaapidipagina"/>
        <w:jc w:val="both"/>
      </w:pPr>
      <w:r w:rsidRPr="005B6D1C">
        <w:rPr>
          <w:rStyle w:val="Rimandonotaapidipagina"/>
          <w:rFonts w:ascii="Times New Roman" w:hAnsi="Times New Roman" w:cs="Times New Roman"/>
          <w:sz w:val="20"/>
          <w:szCs w:val="20"/>
        </w:rPr>
        <w:footnoteRef/>
      </w:r>
      <w:r w:rsidRPr="005B6D1C">
        <w:rPr>
          <w:rFonts w:ascii="Times New Roman" w:hAnsi="Times New Roman" w:cs="Times New Roman"/>
          <w:sz w:val="20"/>
          <w:szCs w:val="20"/>
        </w:rPr>
        <w:t xml:space="preserve"> Siehe dazu B. Sandkaulen, </w:t>
      </w:r>
      <w:r w:rsidRPr="005B6D1C">
        <w:rPr>
          <w:rFonts w:ascii="Times New Roman" w:hAnsi="Times New Roman" w:cs="Times New Roman"/>
          <w:i/>
          <w:sz w:val="20"/>
          <w:szCs w:val="20"/>
        </w:rPr>
        <w:t xml:space="preserve">Grund und Ursache. Die </w:t>
      </w:r>
      <w:r w:rsidRPr="005B6D1C">
        <w:rPr>
          <w:rFonts w:ascii="Times New Roman" w:hAnsi="Times New Roman" w:cs="Times New Roman"/>
          <w:i/>
          <w:sz w:val="20"/>
          <w:szCs w:val="20"/>
          <w:lang w:val="de-DE"/>
        </w:rPr>
        <w:t>Vernunftkritik</w:t>
      </w:r>
      <w:r w:rsidRPr="005B6D1C">
        <w:rPr>
          <w:rFonts w:ascii="Times New Roman" w:hAnsi="Times New Roman" w:cs="Times New Roman"/>
          <w:i/>
          <w:sz w:val="20"/>
          <w:szCs w:val="20"/>
        </w:rPr>
        <w:t xml:space="preserve"> Jacobis</w:t>
      </w:r>
      <w:r w:rsidRPr="005B6D1C">
        <w:rPr>
          <w:rFonts w:ascii="Times New Roman" w:hAnsi="Times New Roman" w:cs="Times New Roman"/>
          <w:sz w:val="20"/>
          <w:szCs w:val="20"/>
        </w:rPr>
        <w:t>, Wilhelm Fink, München 2000.</w:t>
      </w:r>
    </w:p>
  </w:footnote>
  <w:footnote w:id="846">
    <w:p w14:paraId="593A63E2" w14:textId="327D890F" w:rsidR="00B34CC2" w:rsidRPr="00D936C7" w:rsidRDefault="00B34CC2" w:rsidP="00D936C7">
      <w:pPr>
        <w:pStyle w:val="Testonotaapidipagina"/>
        <w:jc w:val="both"/>
        <w:rPr>
          <w:rFonts w:ascii="Times New Roman" w:hAnsi="Times New Roman" w:cs="Times New Roman"/>
          <w:sz w:val="20"/>
          <w:szCs w:val="20"/>
        </w:rPr>
      </w:pPr>
      <w:r w:rsidRPr="00D936C7">
        <w:rPr>
          <w:rStyle w:val="Rimandonotaapidipagina"/>
          <w:rFonts w:ascii="Times New Roman" w:hAnsi="Times New Roman" w:cs="Times New Roman"/>
          <w:sz w:val="20"/>
          <w:szCs w:val="20"/>
        </w:rPr>
        <w:footnoteRef/>
      </w:r>
      <w:r w:rsidRPr="00D936C7">
        <w:rPr>
          <w:rFonts w:ascii="Times New Roman" w:hAnsi="Times New Roman" w:cs="Times New Roman"/>
          <w:sz w:val="20"/>
          <w:szCs w:val="20"/>
        </w:rPr>
        <w:t xml:space="preserve"> Vgl. </w:t>
      </w:r>
      <w:r w:rsidRPr="00D936C7">
        <w:rPr>
          <w:rFonts w:ascii="Times New Roman" w:hAnsi="Times New Roman" w:cs="Times New Roman"/>
          <w:i/>
          <w:sz w:val="20"/>
          <w:szCs w:val="20"/>
        </w:rPr>
        <w:t>GuW</w:t>
      </w:r>
      <w:r w:rsidRPr="00D936C7">
        <w:rPr>
          <w:rFonts w:ascii="Times New Roman" w:hAnsi="Times New Roman" w:cs="Times New Roman"/>
          <w:sz w:val="20"/>
          <w:szCs w:val="20"/>
        </w:rPr>
        <w:t xml:space="preserve">, S. </w:t>
      </w:r>
      <w:r>
        <w:rPr>
          <w:rFonts w:ascii="Times New Roman" w:hAnsi="Times New Roman" w:cs="Times New Roman"/>
          <w:sz w:val="20"/>
          <w:szCs w:val="20"/>
        </w:rPr>
        <w:t>398</w:t>
      </w:r>
      <w:r w:rsidRPr="00D936C7">
        <w:rPr>
          <w:rFonts w:ascii="Times New Roman" w:hAnsi="Times New Roman" w:cs="Times New Roman"/>
          <w:sz w:val="20"/>
          <w:szCs w:val="20"/>
        </w:rPr>
        <w:t>: „</w:t>
      </w:r>
      <w:r w:rsidRPr="00B24F82">
        <w:rPr>
          <w:rFonts w:ascii="Times New Roman" w:hAnsi="Times New Roman" w:cs="Times New Roman"/>
          <w:sz w:val="20"/>
          <w:szCs w:val="20"/>
        </w:rPr>
        <w:t>Und so ist das Ich schlectin in die Unendlichkeit hinaus von einem Nicht-Ich affiziert, wie es sein muß, da die Unendlichkeit, Denken, das nur ein Glied des Gegensatzes ist, als Ansich seiend gesetzt sein soll; aber darum kann sein correlatum schlechtin nicht vernichtet werden, sondern springt mit unüberwindlicher Elasticität hervor, denn beyde sind durch das höchste Schicksal mit diamantenen Ketten zusammengeschmiedet. Das erste der Philosophie aber ist, das absolute Nichts zu erkennen, wozu es die Fichtesche Philosophie so wenig bringt, so sehr die Jakobische sie darum verabscheuet</w:t>
      </w:r>
      <w:r w:rsidRPr="00D936C7">
        <w:rPr>
          <w:rFonts w:ascii="Times New Roman" w:hAnsi="Times New Roman" w:cs="Times New Roman"/>
          <w:sz w:val="20"/>
          <w:szCs w:val="20"/>
        </w:rPr>
        <w:t>”.</w:t>
      </w:r>
    </w:p>
  </w:footnote>
  <w:footnote w:id="847">
    <w:p w14:paraId="53A84BC1" w14:textId="77777777" w:rsidR="00B34CC2" w:rsidRPr="00B7776D" w:rsidRDefault="00B34CC2" w:rsidP="001C3D81">
      <w:pPr>
        <w:pStyle w:val="Testonotaapidipagina"/>
        <w:jc w:val="both"/>
        <w:rPr>
          <w:rFonts w:ascii="Times New Roman" w:hAnsi="Times New Roman" w:cs="Times New Roman"/>
          <w:sz w:val="20"/>
          <w:szCs w:val="20"/>
        </w:rPr>
      </w:pPr>
      <w:r w:rsidRPr="00E3796C">
        <w:rPr>
          <w:rStyle w:val="Rimandonotaapidipagina"/>
          <w:rFonts w:ascii="Times New Roman" w:hAnsi="Times New Roman" w:cs="Times New Roman"/>
          <w:sz w:val="20"/>
          <w:szCs w:val="20"/>
        </w:rPr>
        <w:footnoteRef/>
      </w:r>
      <w:r w:rsidRPr="0049717B">
        <w:rPr>
          <w:rFonts w:ascii="Times New Roman" w:hAnsi="Times New Roman" w:cs="Times New Roman"/>
          <w:sz w:val="20"/>
          <w:szCs w:val="20"/>
        </w:rPr>
        <w:t xml:space="preserve"> </w:t>
      </w:r>
      <w:r>
        <w:rPr>
          <w:rFonts w:ascii="Times New Roman" w:hAnsi="Times New Roman" w:cs="Times New Roman"/>
          <w:sz w:val="20"/>
          <w:szCs w:val="20"/>
        </w:rPr>
        <w:t xml:space="preserve">Vgl. F.W.J. Schelling, </w:t>
      </w:r>
      <w:r>
        <w:rPr>
          <w:rFonts w:ascii="Times New Roman" w:hAnsi="Times New Roman" w:cs="Times New Roman"/>
          <w:i/>
          <w:sz w:val="20"/>
          <w:szCs w:val="20"/>
        </w:rPr>
        <w:t>Darstellung meines Systems der Philosophie</w:t>
      </w:r>
      <w:r>
        <w:rPr>
          <w:rFonts w:ascii="Times New Roman" w:hAnsi="Times New Roman" w:cs="Times New Roman"/>
          <w:sz w:val="20"/>
          <w:szCs w:val="20"/>
        </w:rPr>
        <w:t xml:space="preserve">, in </w:t>
      </w:r>
      <w:r>
        <w:rPr>
          <w:rFonts w:ascii="Times New Roman" w:hAnsi="Times New Roman" w:cs="Times New Roman"/>
          <w:i/>
          <w:sz w:val="20"/>
          <w:szCs w:val="20"/>
        </w:rPr>
        <w:t>Schelling Werke</w:t>
      </w:r>
      <w:r>
        <w:rPr>
          <w:rFonts w:ascii="Times New Roman" w:hAnsi="Times New Roman" w:cs="Times New Roman"/>
          <w:sz w:val="20"/>
          <w:szCs w:val="20"/>
        </w:rPr>
        <w:t xml:space="preserve">, hrsg. von M. Schröter, Bd. III, C. H. Beck Verlag, München 1971, S. 24-27. </w:t>
      </w:r>
    </w:p>
  </w:footnote>
  <w:footnote w:id="848">
    <w:p w14:paraId="7A6F1A14" w14:textId="77777777" w:rsidR="00B34CC2" w:rsidRPr="005111DA" w:rsidRDefault="00B34CC2" w:rsidP="001C3D81">
      <w:pPr>
        <w:pStyle w:val="Testonotaapidipagina"/>
        <w:rPr>
          <w:rFonts w:ascii="Times New Roman" w:hAnsi="Times New Roman" w:cs="Times New Roman"/>
          <w:sz w:val="20"/>
          <w:szCs w:val="20"/>
        </w:rPr>
      </w:pPr>
      <w:r w:rsidRPr="005111DA">
        <w:rPr>
          <w:rStyle w:val="Rimandonotaapidipagina"/>
          <w:rFonts w:ascii="Times New Roman" w:hAnsi="Times New Roman" w:cs="Times New Roman"/>
          <w:sz w:val="20"/>
          <w:szCs w:val="20"/>
        </w:rPr>
        <w:footnoteRef/>
      </w:r>
      <w:r>
        <w:rPr>
          <w:rFonts w:ascii="Times New Roman" w:hAnsi="Times New Roman" w:cs="Times New Roman"/>
          <w:i/>
          <w:sz w:val="20"/>
          <w:szCs w:val="20"/>
        </w:rPr>
        <w:t xml:space="preserve"> Diff.</w:t>
      </w:r>
      <w:r w:rsidRPr="005111DA">
        <w:rPr>
          <w:rFonts w:ascii="Times New Roman" w:hAnsi="Times New Roman" w:cs="Times New Roman"/>
          <w:i/>
          <w:sz w:val="20"/>
          <w:szCs w:val="20"/>
        </w:rPr>
        <w:t xml:space="preserve">, </w:t>
      </w:r>
      <w:r>
        <w:rPr>
          <w:rFonts w:ascii="Times New Roman" w:hAnsi="Times New Roman" w:cs="Times New Roman"/>
          <w:sz w:val="20"/>
          <w:szCs w:val="20"/>
        </w:rPr>
        <w:t>S</w:t>
      </w:r>
      <w:r w:rsidRPr="005111DA">
        <w:rPr>
          <w:rFonts w:ascii="Times New Roman" w:hAnsi="Times New Roman" w:cs="Times New Roman"/>
          <w:sz w:val="20"/>
          <w:szCs w:val="20"/>
        </w:rPr>
        <w:t>. 16</w:t>
      </w:r>
      <w:r>
        <w:rPr>
          <w:rFonts w:ascii="Times New Roman" w:hAnsi="Times New Roman" w:cs="Times New Roman"/>
          <w:sz w:val="20"/>
          <w:szCs w:val="20"/>
        </w:rPr>
        <w:t>.</w:t>
      </w:r>
    </w:p>
  </w:footnote>
  <w:footnote w:id="849">
    <w:p w14:paraId="134871D8" w14:textId="77777777" w:rsidR="00B34CC2" w:rsidRPr="002B6D28" w:rsidRDefault="00B34CC2" w:rsidP="001C3D81">
      <w:pPr>
        <w:pStyle w:val="Testonotaapidipagina"/>
      </w:pPr>
      <w:r w:rsidRPr="002B6D28">
        <w:rPr>
          <w:rStyle w:val="Rimandonotaapidipagina"/>
          <w:rFonts w:ascii="Times New Roman" w:hAnsi="Times New Roman" w:cs="Times New Roman"/>
          <w:sz w:val="20"/>
          <w:szCs w:val="20"/>
        </w:rPr>
        <w:footnoteRef/>
      </w:r>
      <w:r w:rsidRPr="002B6D28">
        <w:rPr>
          <w:rFonts w:ascii="Times New Roman" w:hAnsi="Times New Roman" w:cs="Times New Roman"/>
          <w:sz w:val="20"/>
          <w:szCs w:val="20"/>
        </w:rPr>
        <w:t xml:space="preserve"> </w:t>
      </w:r>
      <w:r w:rsidRPr="002B6D28">
        <w:rPr>
          <w:rFonts w:ascii="Times New Roman" w:hAnsi="Times New Roman" w:cs="Times New Roman"/>
          <w:i/>
          <w:sz w:val="20"/>
          <w:szCs w:val="20"/>
        </w:rPr>
        <w:t>PhG</w:t>
      </w:r>
      <w:r w:rsidRPr="002B6D28">
        <w:rPr>
          <w:rFonts w:ascii="Times New Roman" w:hAnsi="Times New Roman" w:cs="Times New Roman"/>
          <w:sz w:val="20"/>
          <w:szCs w:val="20"/>
        </w:rPr>
        <w:t>, S. 18.</w:t>
      </w:r>
    </w:p>
  </w:footnote>
  <w:footnote w:id="850">
    <w:p w14:paraId="5D44399E" w14:textId="77777777" w:rsidR="00B34CC2" w:rsidRPr="002B6D28" w:rsidRDefault="00B34CC2" w:rsidP="001C3D81">
      <w:pPr>
        <w:pStyle w:val="Testonotaapidipagina"/>
        <w:rPr>
          <w:rFonts w:ascii="Times New Roman" w:hAnsi="Times New Roman" w:cs="Times New Roman"/>
          <w:sz w:val="20"/>
          <w:szCs w:val="20"/>
        </w:rPr>
      </w:pPr>
      <w:r w:rsidRPr="002B6D28">
        <w:rPr>
          <w:rStyle w:val="Rimandonotaapidipagina"/>
          <w:rFonts w:ascii="Times New Roman" w:hAnsi="Times New Roman" w:cs="Times New Roman"/>
          <w:sz w:val="20"/>
          <w:szCs w:val="20"/>
        </w:rPr>
        <w:footnoteRef/>
      </w:r>
      <w:r w:rsidRPr="002B6D28">
        <w:rPr>
          <w:rFonts w:ascii="Times New Roman" w:hAnsi="Times New Roman" w:cs="Times New Roman"/>
          <w:sz w:val="20"/>
          <w:szCs w:val="20"/>
        </w:rPr>
        <w:t xml:space="preserve"> </w:t>
      </w:r>
      <w:r w:rsidRPr="002B6D28">
        <w:rPr>
          <w:rFonts w:ascii="Times New Roman" w:hAnsi="Times New Roman" w:cs="Times New Roman"/>
          <w:i/>
          <w:sz w:val="20"/>
          <w:szCs w:val="20"/>
        </w:rPr>
        <w:t>SE</w:t>
      </w:r>
      <w:r w:rsidRPr="002B6D28">
        <w:rPr>
          <w:rFonts w:ascii="Times New Roman" w:hAnsi="Times New Roman" w:cs="Times New Roman"/>
          <w:sz w:val="20"/>
          <w:szCs w:val="20"/>
        </w:rPr>
        <w:t>, S. 497-498.</w:t>
      </w:r>
    </w:p>
  </w:footnote>
  <w:footnote w:id="851">
    <w:p w14:paraId="1D634D8C" w14:textId="604E9973" w:rsidR="00B34CC2" w:rsidRDefault="00B34CC2" w:rsidP="001C3D81">
      <w:pPr>
        <w:pStyle w:val="Testonotaapidipagina"/>
        <w:jc w:val="both"/>
      </w:pPr>
      <w:r w:rsidRPr="002B6D28">
        <w:rPr>
          <w:rStyle w:val="Rimandonotaapidipagina"/>
          <w:rFonts w:ascii="Times New Roman" w:hAnsi="Times New Roman" w:cs="Times New Roman"/>
          <w:sz w:val="20"/>
          <w:szCs w:val="20"/>
          <w:lang w:val="de-DE"/>
        </w:rPr>
        <w:footnoteRef/>
      </w:r>
      <w:r w:rsidRPr="002B6D28">
        <w:rPr>
          <w:rFonts w:ascii="Times New Roman" w:hAnsi="Times New Roman" w:cs="Times New Roman"/>
          <w:sz w:val="20"/>
          <w:szCs w:val="20"/>
          <w:lang w:val="de-DE"/>
        </w:rPr>
        <w:t xml:space="preserve"> Insofern Luzifer sich seiner schönen Gestalt bewußt wird, wird er </w:t>
      </w:r>
      <w:r w:rsidRPr="002B6D28">
        <w:rPr>
          <w:rFonts w:ascii="Times New Roman" w:eastAsia="Times New Roman" w:hAnsi="Times New Roman" w:cs="Times New Roman"/>
          <w:color w:val="000000"/>
          <w:sz w:val="20"/>
          <w:szCs w:val="20"/>
          <w:lang w:val="de-DE"/>
        </w:rPr>
        <w:t>hoffärtig</w:t>
      </w:r>
      <w:r w:rsidRPr="002B6D28">
        <w:rPr>
          <w:rFonts w:ascii="Times New Roman" w:hAnsi="Times New Roman" w:cs="Times New Roman"/>
          <w:sz w:val="20"/>
          <w:szCs w:val="20"/>
          <w:lang w:val="de-DE"/>
        </w:rPr>
        <w:t>. Es scheint mir, dass die Hegelsche Beschreibung der Zerrüt</w:t>
      </w:r>
      <w:r>
        <w:rPr>
          <w:rFonts w:ascii="Times New Roman" w:hAnsi="Times New Roman" w:cs="Times New Roman"/>
          <w:sz w:val="20"/>
          <w:szCs w:val="20"/>
          <w:lang w:val="de-DE"/>
        </w:rPr>
        <w:t>tung Luzifers sich  eine</w:t>
      </w:r>
      <w:r w:rsidRPr="002B6D28">
        <w:rPr>
          <w:rFonts w:ascii="Times New Roman" w:hAnsi="Times New Roman" w:cs="Times New Roman"/>
          <w:sz w:val="20"/>
          <w:szCs w:val="20"/>
          <w:lang w:val="de-DE"/>
        </w:rPr>
        <w:t xml:space="preserve"> Passage des vierzehnten Kapitels von </w:t>
      </w:r>
      <w:r w:rsidRPr="002B6D28">
        <w:rPr>
          <w:rFonts w:ascii="Times New Roman" w:eastAsia="Times New Roman" w:hAnsi="Times New Roman" w:cs="Times New Roman"/>
          <w:i/>
          <w:color w:val="000000"/>
          <w:sz w:val="20"/>
          <w:szCs w:val="20"/>
          <w:lang w:val="de-DE"/>
        </w:rPr>
        <w:t>Morgenröte</w:t>
      </w:r>
      <w:r w:rsidRPr="002B6D28">
        <w:rPr>
          <w:rFonts w:ascii="Times New Roman" w:eastAsia="Times New Roman" w:hAnsi="Times New Roman" w:cs="Times New Roman"/>
          <w:color w:val="000000"/>
          <w:sz w:val="20"/>
          <w:szCs w:val="20"/>
          <w:lang w:val="de-DE"/>
        </w:rPr>
        <w:t xml:space="preserve"> bezieht.</w:t>
      </w:r>
      <w:r>
        <w:rPr>
          <w:rFonts w:ascii="Times New Roman" w:eastAsia="Times New Roman" w:hAnsi="Times New Roman" w:cs="Times New Roman"/>
          <w:color w:val="000000"/>
          <w:sz w:val="20"/>
          <w:szCs w:val="20"/>
        </w:rPr>
        <w:t xml:space="preserve"> Vgl. J. </w:t>
      </w:r>
      <w:r w:rsidRPr="002B6D28">
        <w:rPr>
          <w:rFonts w:ascii="Times New Roman" w:hAnsi="Times New Roman" w:cs="Times New Roman"/>
          <w:sz w:val="20"/>
          <w:szCs w:val="20"/>
        </w:rPr>
        <w:t>B</w:t>
      </w:r>
      <w:r w:rsidRPr="002B6D28">
        <w:rPr>
          <w:rFonts w:ascii="Times New Roman" w:eastAsia="Times New Roman" w:hAnsi="Times New Roman" w:cs="Times New Roman"/>
          <w:color w:val="000000"/>
          <w:sz w:val="20"/>
          <w:szCs w:val="20"/>
        </w:rPr>
        <w:t xml:space="preserve">öhme, </w:t>
      </w:r>
      <w:r w:rsidRPr="002B6D28">
        <w:rPr>
          <w:rFonts w:ascii="Times New Roman" w:eastAsia="Times New Roman" w:hAnsi="Times New Roman" w:cs="Times New Roman"/>
          <w:i/>
          <w:color w:val="000000"/>
          <w:sz w:val="20"/>
          <w:szCs w:val="20"/>
        </w:rPr>
        <w:t>Aurora</w:t>
      </w:r>
      <w:r w:rsidRPr="002B6D28">
        <w:rPr>
          <w:rFonts w:ascii="Times New Roman" w:eastAsia="Times New Roman" w:hAnsi="Times New Roman" w:cs="Times New Roman"/>
          <w:color w:val="000000"/>
          <w:sz w:val="20"/>
          <w:szCs w:val="20"/>
        </w:rPr>
        <w:t xml:space="preserve">, in </w:t>
      </w:r>
      <w:r w:rsidRPr="002B6D28">
        <w:rPr>
          <w:rFonts w:ascii="Times New Roman" w:eastAsia="Times New Roman" w:hAnsi="Times New Roman" w:cs="Times New Roman"/>
          <w:i/>
          <w:color w:val="000000"/>
          <w:sz w:val="20"/>
          <w:szCs w:val="20"/>
        </w:rPr>
        <w:t>Sämtliche Schriften</w:t>
      </w:r>
      <w:r w:rsidRPr="002B6D28">
        <w:rPr>
          <w:rFonts w:ascii="Times New Roman" w:eastAsia="Times New Roman" w:hAnsi="Times New Roman" w:cs="Times New Roman"/>
          <w:color w:val="000000"/>
          <w:sz w:val="20"/>
          <w:szCs w:val="20"/>
        </w:rPr>
        <w:t>, hrsg. von W.</w:t>
      </w:r>
      <w:r>
        <w:rPr>
          <w:rFonts w:ascii="Times New Roman" w:eastAsia="Times New Roman" w:hAnsi="Times New Roman" w:cs="Times New Roman"/>
          <w:color w:val="000000"/>
          <w:sz w:val="20"/>
          <w:szCs w:val="20"/>
        </w:rPr>
        <w:t xml:space="preserve">-E. Peuckert, </w:t>
      </w:r>
      <w:r w:rsidRPr="002B6D28">
        <w:rPr>
          <w:rFonts w:ascii="Times New Roman" w:eastAsia="Times New Roman" w:hAnsi="Times New Roman" w:cs="Times New Roman"/>
          <w:color w:val="000000"/>
          <w:sz w:val="20"/>
          <w:szCs w:val="20"/>
        </w:rPr>
        <w:t>Bd. I</w:t>
      </w:r>
      <w:r>
        <w:rPr>
          <w:rFonts w:ascii="Times New Roman" w:eastAsia="Times New Roman" w:hAnsi="Times New Roman" w:cs="Times New Roman"/>
          <w:color w:val="000000"/>
          <w:sz w:val="20"/>
          <w:szCs w:val="20"/>
        </w:rPr>
        <w:t xml:space="preserve">, Fromman-Holzboog, </w:t>
      </w:r>
      <w:r w:rsidRPr="002B6D28">
        <w:rPr>
          <w:rFonts w:ascii="Times New Roman" w:eastAsia="Times New Roman" w:hAnsi="Times New Roman" w:cs="Times New Roman"/>
          <w:color w:val="000000"/>
          <w:sz w:val="20"/>
          <w:szCs w:val="20"/>
        </w:rPr>
        <w:t xml:space="preserve">Stuttgart 1956, S. 191: „Denn die Quellgeister hatten keinen Trieb von aussen in sich, sondern der Trieb zur Hoffart erhub sich im Corpus im Rat der sieben Quellgeister. Die </w:t>
      </w:r>
      <w:r w:rsidRPr="006C1F09">
        <w:rPr>
          <w:rFonts w:ascii="Times New Roman" w:eastAsia="Times New Roman" w:hAnsi="Times New Roman" w:cs="Times New Roman"/>
          <w:color w:val="000000"/>
          <w:sz w:val="20"/>
          <w:szCs w:val="20"/>
          <w:lang w:val="de-DE"/>
        </w:rPr>
        <w:t>vereinigten</w:t>
      </w:r>
      <w:r w:rsidRPr="002B6D28">
        <w:rPr>
          <w:rFonts w:ascii="Times New Roman" w:eastAsia="Times New Roman" w:hAnsi="Times New Roman" w:cs="Times New Roman"/>
          <w:color w:val="000000"/>
          <w:sz w:val="20"/>
          <w:szCs w:val="20"/>
        </w:rPr>
        <w:t xml:space="preserve"> sich, daß sie wollten alleine Gott sein”.</w:t>
      </w:r>
    </w:p>
  </w:footnote>
  <w:footnote w:id="852">
    <w:p w14:paraId="05A2C3F6" w14:textId="77777777" w:rsidR="00B34CC2" w:rsidRPr="00B96FD3" w:rsidRDefault="00B34CC2" w:rsidP="001C3D81">
      <w:pPr>
        <w:pStyle w:val="Testonotaapidipagina"/>
        <w:jc w:val="both"/>
        <w:rPr>
          <w:rFonts w:ascii="Times New Roman" w:hAnsi="Times New Roman" w:cs="Times New Roman"/>
          <w:sz w:val="20"/>
          <w:szCs w:val="20"/>
        </w:rPr>
      </w:pPr>
      <w:r w:rsidRPr="00B96FD3">
        <w:rPr>
          <w:rStyle w:val="Rimandonotaapidipagina"/>
          <w:rFonts w:ascii="Times New Roman" w:hAnsi="Times New Roman" w:cs="Times New Roman"/>
          <w:sz w:val="20"/>
          <w:szCs w:val="20"/>
        </w:rPr>
        <w:footnoteRef/>
      </w:r>
      <w:r>
        <w:rPr>
          <w:rFonts w:ascii="Times New Roman" w:eastAsia="Times New Roman" w:hAnsi="Times New Roman" w:cs="Times New Roman"/>
          <w:color w:val="000000"/>
          <w:sz w:val="20"/>
          <w:szCs w:val="20"/>
        </w:rPr>
        <w:t xml:space="preserve"> Ebd., S</w:t>
      </w:r>
      <w:r w:rsidRPr="00B96FD3">
        <w:rPr>
          <w:rFonts w:ascii="Times New Roman" w:eastAsia="Times New Roman" w:hAnsi="Times New Roman" w:cs="Times New Roman"/>
          <w:color w:val="000000"/>
          <w:sz w:val="20"/>
          <w:szCs w:val="20"/>
        </w:rPr>
        <w:t xml:space="preserve">. 209: </w:t>
      </w:r>
      <w:r>
        <w:rPr>
          <w:rFonts w:ascii="Times New Roman" w:hAnsi="Times New Roman" w:cs="Times New Roman"/>
          <w:sz w:val="20"/>
          <w:szCs w:val="20"/>
        </w:rPr>
        <w:t>„</w:t>
      </w:r>
      <w:r w:rsidRPr="00B96FD3">
        <w:rPr>
          <w:rFonts w:ascii="Times New Roman" w:hAnsi="Times New Roman" w:cs="Times New Roman"/>
          <w:sz w:val="20"/>
          <w:szCs w:val="20"/>
          <w:lang w:val="de-DE"/>
        </w:rPr>
        <w:t>Weil er aber ietzo also schön und herrlich war gebildet, als ein König in der Natur, so stach ihn seine schöne Gestalt, und vermeinte, Ich bin nun in Gott und aus Gott formiert, wer will mir obsiegen, oder wer will mich verändern? Ich will selber Herr sein</w:t>
      </w:r>
      <w:r>
        <w:rPr>
          <w:rFonts w:ascii="Times New Roman" w:hAnsi="Times New Roman" w:cs="Times New Roman"/>
          <w:sz w:val="20"/>
          <w:szCs w:val="20"/>
          <w:lang w:val="de-DE"/>
        </w:rPr>
        <w:t xml:space="preserve"> […]</w:t>
      </w:r>
      <w:r w:rsidRPr="00B96FD3">
        <w:rPr>
          <w:rFonts w:ascii="Times New Roman" w:hAnsi="Times New Roman" w:cs="Times New Roman"/>
          <w:sz w:val="20"/>
          <w:szCs w:val="20"/>
          <w:lang w:val="de-DE"/>
        </w:rPr>
        <w:t xml:space="preserve"> ich bin allein Gott, und kein ander</w:t>
      </w:r>
      <w:r>
        <w:rPr>
          <w:rFonts w:ascii="Times New Roman" w:eastAsia="Times New Roman" w:hAnsi="Times New Roman" w:cs="Times New Roman"/>
          <w:color w:val="000000"/>
          <w:sz w:val="20"/>
          <w:szCs w:val="20"/>
        </w:rPr>
        <w:t>”</w:t>
      </w:r>
      <w:r w:rsidRPr="00B96FD3">
        <w:rPr>
          <w:rFonts w:ascii="Times New Roman" w:eastAsia="Times New Roman" w:hAnsi="Times New Roman" w:cs="Times New Roman"/>
          <w:color w:val="000000"/>
          <w:sz w:val="20"/>
          <w:szCs w:val="20"/>
        </w:rPr>
        <w:t>.</w:t>
      </w:r>
    </w:p>
  </w:footnote>
  <w:footnote w:id="853">
    <w:p w14:paraId="50446E83" w14:textId="3FF59BE0" w:rsidR="00B34CC2" w:rsidRPr="005B6D1C" w:rsidRDefault="00B34CC2" w:rsidP="001C3D81">
      <w:pPr>
        <w:pStyle w:val="Testonotaapidipagina"/>
        <w:jc w:val="both"/>
        <w:rPr>
          <w:rFonts w:ascii="Times New Roman" w:hAnsi="Times New Roman" w:cs="Times New Roman"/>
          <w:sz w:val="20"/>
          <w:szCs w:val="20"/>
          <w:lang w:val="de-DE"/>
        </w:rPr>
      </w:pPr>
      <w:r w:rsidRPr="00E50730">
        <w:rPr>
          <w:rStyle w:val="Rimandonotaapidipagina"/>
          <w:rFonts w:ascii="Times New Roman" w:hAnsi="Times New Roman" w:cs="Times New Roman"/>
          <w:sz w:val="20"/>
          <w:szCs w:val="20"/>
        </w:rPr>
        <w:footnoteRef/>
      </w:r>
      <w:r w:rsidRPr="00E50730">
        <w:rPr>
          <w:rFonts w:ascii="Times New Roman" w:hAnsi="Times New Roman" w:cs="Times New Roman"/>
          <w:sz w:val="20"/>
          <w:szCs w:val="20"/>
        </w:rPr>
        <w:t xml:space="preserve"> </w:t>
      </w:r>
      <w:r w:rsidRPr="0020140F">
        <w:rPr>
          <w:rFonts w:ascii="Times New Roman" w:hAnsi="Times New Roman" w:cs="Times New Roman"/>
          <w:sz w:val="20"/>
          <w:szCs w:val="20"/>
          <w:lang w:val="de-DE"/>
        </w:rPr>
        <w:t xml:space="preserve">Die Idee einer Kontraktion Gottes (was Hegel </w:t>
      </w:r>
      <w:r>
        <w:rPr>
          <w:rFonts w:ascii="Times New Roman" w:hAnsi="Times New Roman" w:cs="Times New Roman"/>
          <w:sz w:val="20"/>
          <w:szCs w:val="20"/>
          <w:lang w:val="de-DE"/>
        </w:rPr>
        <w:t xml:space="preserve">im </w:t>
      </w:r>
      <w:r w:rsidRPr="00465017">
        <w:rPr>
          <w:rFonts w:ascii="Times New Roman" w:hAnsi="Times New Roman" w:cs="Times New Roman"/>
          <w:i/>
          <w:sz w:val="20"/>
          <w:szCs w:val="20"/>
          <w:lang w:val="de-DE"/>
        </w:rPr>
        <w:t>Fragment 49</w:t>
      </w:r>
      <w:r>
        <w:rPr>
          <w:rFonts w:ascii="Times New Roman" w:hAnsi="Times New Roman" w:cs="Times New Roman"/>
          <w:sz w:val="20"/>
          <w:szCs w:val="20"/>
          <w:lang w:val="de-DE"/>
        </w:rPr>
        <w:t xml:space="preserve"> </w:t>
      </w:r>
      <w:r w:rsidRPr="0020140F">
        <w:rPr>
          <w:rFonts w:ascii="Times New Roman" w:eastAsia="Times New Roman" w:hAnsi="Times New Roman" w:cs="Times New Roman"/>
          <w:color w:val="000000"/>
          <w:sz w:val="20"/>
          <w:szCs w:val="20"/>
          <w:lang w:val="de-DE"/>
        </w:rPr>
        <w:t>Punctualität</w:t>
      </w:r>
      <w:r w:rsidRPr="0020140F">
        <w:rPr>
          <w:rFonts w:ascii="Times New Roman" w:hAnsi="Times New Roman" w:cs="Times New Roman"/>
          <w:sz w:val="20"/>
          <w:szCs w:val="20"/>
          <w:lang w:val="de-DE"/>
        </w:rPr>
        <w:t xml:space="preserve"> nennt)</w:t>
      </w:r>
      <w:r>
        <w:rPr>
          <w:rFonts w:ascii="Times New Roman" w:hAnsi="Times New Roman" w:cs="Times New Roman"/>
          <w:sz w:val="20"/>
          <w:szCs w:val="20"/>
          <w:lang w:val="de-DE"/>
        </w:rPr>
        <w:t xml:space="preserve"> bezieht sich freilich  das kabbalistische</w:t>
      </w:r>
      <w:r w:rsidRPr="0020140F">
        <w:rPr>
          <w:rFonts w:ascii="Times New Roman" w:hAnsi="Times New Roman" w:cs="Times New Roman"/>
          <w:sz w:val="20"/>
          <w:szCs w:val="20"/>
          <w:lang w:val="de-DE"/>
        </w:rPr>
        <w:t xml:space="preserve"> </w:t>
      </w:r>
      <w:r>
        <w:rPr>
          <w:rFonts w:ascii="Times New Roman" w:hAnsi="Times New Roman" w:cs="Times New Roman"/>
          <w:sz w:val="20"/>
          <w:szCs w:val="20"/>
          <w:lang w:val="de-DE"/>
        </w:rPr>
        <w:t>Thema</w:t>
      </w:r>
      <w:r w:rsidRPr="0020140F">
        <w:rPr>
          <w:rFonts w:ascii="Times New Roman" w:hAnsi="Times New Roman" w:cs="Times New Roman"/>
          <w:sz w:val="20"/>
          <w:szCs w:val="20"/>
          <w:lang w:val="de-DE"/>
        </w:rPr>
        <w:t xml:space="preserve"> der göttlichen Kontraktion und Expansion</w:t>
      </w:r>
      <w:r>
        <w:rPr>
          <w:rFonts w:ascii="Times New Roman" w:hAnsi="Times New Roman" w:cs="Times New Roman"/>
          <w:sz w:val="20"/>
          <w:szCs w:val="20"/>
          <w:lang w:val="de-DE"/>
        </w:rPr>
        <w:t xml:space="preserve"> (</w:t>
      </w:r>
      <w:r>
        <w:rPr>
          <w:rFonts w:ascii="Times New Roman" w:hAnsi="Times New Roman" w:cs="Times New Roman"/>
          <w:i/>
          <w:sz w:val="20"/>
          <w:szCs w:val="20"/>
          <w:lang w:val="de-DE"/>
        </w:rPr>
        <w:t>T</w:t>
      </w:r>
      <w:r w:rsidRPr="006E542A">
        <w:rPr>
          <w:rFonts w:ascii="Times New Roman" w:hAnsi="Times New Roman" w:cs="Times New Roman"/>
          <w:i/>
          <w:sz w:val="20"/>
          <w:szCs w:val="20"/>
          <w:lang w:val="de-DE"/>
        </w:rPr>
        <w:t>zimtzum</w:t>
      </w:r>
      <w:r>
        <w:rPr>
          <w:rFonts w:ascii="Times New Roman" w:hAnsi="Times New Roman" w:cs="Times New Roman"/>
          <w:sz w:val="20"/>
          <w:szCs w:val="20"/>
          <w:lang w:val="de-DE"/>
        </w:rPr>
        <w:t>)</w:t>
      </w:r>
      <w:r w:rsidRPr="0020140F">
        <w:rPr>
          <w:rFonts w:ascii="Times New Roman" w:hAnsi="Times New Roman" w:cs="Times New Roman"/>
          <w:sz w:val="20"/>
          <w:szCs w:val="20"/>
          <w:lang w:val="de-DE"/>
        </w:rPr>
        <w:t xml:space="preserve">. Zum Wiedertauchen kabbalistischer Themen in Böhmes Denken siehe M. Idel, </w:t>
      </w:r>
      <w:r>
        <w:rPr>
          <w:rFonts w:ascii="Times New Roman" w:hAnsi="Times New Roman" w:cs="Times New Roman"/>
          <w:i/>
          <w:sz w:val="20"/>
          <w:szCs w:val="20"/>
          <w:lang w:val="de-DE"/>
        </w:rPr>
        <w:t>Il male primordiale nella Qabbalah</w:t>
      </w:r>
      <w:r w:rsidRPr="0020140F">
        <w:rPr>
          <w:rFonts w:ascii="Times New Roman" w:hAnsi="Times New Roman" w:cs="Times New Roman"/>
          <w:i/>
          <w:sz w:val="20"/>
          <w:szCs w:val="20"/>
          <w:lang w:val="de-DE"/>
        </w:rPr>
        <w:t xml:space="preserve">, </w:t>
      </w:r>
      <w:r>
        <w:rPr>
          <w:rFonts w:ascii="Times New Roman" w:hAnsi="Times New Roman" w:cs="Times New Roman"/>
          <w:sz w:val="20"/>
          <w:szCs w:val="20"/>
          <w:lang w:val="de-DE"/>
        </w:rPr>
        <w:t>Adelphi, Milano 2016, S</w:t>
      </w:r>
      <w:r w:rsidRPr="0020140F">
        <w:rPr>
          <w:rFonts w:ascii="Times New Roman" w:hAnsi="Times New Roman" w:cs="Times New Roman"/>
          <w:sz w:val="20"/>
          <w:szCs w:val="20"/>
          <w:lang w:val="de-DE"/>
        </w:rPr>
        <w:t xml:space="preserve">. 115-119; </w:t>
      </w:r>
      <w:r>
        <w:rPr>
          <w:rFonts w:ascii="Times New Roman" w:hAnsi="Times New Roman" w:cs="Times New Roman"/>
          <w:sz w:val="20"/>
          <w:szCs w:val="20"/>
        </w:rPr>
        <w:t xml:space="preserve">T. I. Penman, </w:t>
      </w:r>
      <w:r>
        <w:rPr>
          <w:rFonts w:ascii="Times New Roman" w:hAnsi="Times New Roman" w:cs="Times New Roman"/>
          <w:i/>
          <w:sz w:val="20"/>
          <w:szCs w:val="20"/>
        </w:rPr>
        <w:t>Boehme’s Intellectual Networks and the Heterodox Milieu</w:t>
      </w:r>
      <w:r>
        <w:rPr>
          <w:rFonts w:ascii="Times New Roman" w:hAnsi="Times New Roman" w:cs="Times New Roman"/>
          <w:sz w:val="20"/>
          <w:szCs w:val="20"/>
        </w:rPr>
        <w:t xml:space="preserve">, in </w:t>
      </w:r>
      <w:r>
        <w:rPr>
          <w:rFonts w:ascii="Times New Roman" w:hAnsi="Times New Roman" w:cs="Times New Roman"/>
          <w:i/>
          <w:sz w:val="20"/>
          <w:szCs w:val="20"/>
        </w:rPr>
        <w:t>An Introduction to Jocob Boehme</w:t>
      </w:r>
      <w:r>
        <w:rPr>
          <w:rFonts w:ascii="Times New Roman" w:hAnsi="Times New Roman" w:cs="Times New Roman"/>
          <w:sz w:val="20"/>
          <w:szCs w:val="20"/>
        </w:rPr>
        <w:t>, a.a.</w:t>
      </w:r>
      <w:r w:rsidRPr="008C11DD">
        <w:rPr>
          <w:rFonts w:ascii="Times New Roman" w:hAnsi="Times New Roman" w:cs="Times New Roman"/>
          <w:sz w:val="20"/>
          <w:szCs w:val="20"/>
        </w:rPr>
        <w:t>O</w:t>
      </w:r>
      <w:r>
        <w:rPr>
          <w:rFonts w:ascii="Times New Roman" w:hAnsi="Times New Roman" w:cs="Times New Roman"/>
          <w:sz w:val="20"/>
          <w:szCs w:val="20"/>
        </w:rPr>
        <w:t xml:space="preserve">, S. 57-77; </w:t>
      </w:r>
      <w:r w:rsidRPr="0020140F">
        <w:rPr>
          <w:rFonts w:ascii="Times New Roman" w:hAnsi="Times New Roman" w:cs="Times New Roman"/>
          <w:sz w:val="20"/>
          <w:szCs w:val="20"/>
          <w:lang w:val="de-DE"/>
        </w:rPr>
        <w:t xml:space="preserve">G. Scholem, </w:t>
      </w:r>
      <w:r w:rsidRPr="0020140F">
        <w:rPr>
          <w:rFonts w:ascii="Times New Roman" w:hAnsi="Times New Roman" w:cs="Times New Roman"/>
          <w:i/>
          <w:sz w:val="20"/>
          <w:szCs w:val="20"/>
          <w:lang w:val="de-DE"/>
        </w:rPr>
        <w:t xml:space="preserve">Ursprung und Anfänge der Kabbala, </w:t>
      </w:r>
      <w:r w:rsidRPr="0020140F">
        <w:rPr>
          <w:rFonts w:ascii="Times New Roman" w:hAnsi="Times New Roman" w:cs="Times New Roman"/>
          <w:sz w:val="20"/>
          <w:szCs w:val="20"/>
          <w:lang w:val="de-DE"/>
        </w:rPr>
        <w:t>De Gruyter, Berlin 1962, S. 298 und S. 386</w:t>
      </w:r>
      <w:r>
        <w:rPr>
          <w:rFonts w:ascii="Times New Roman" w:hAnsi="Times New Roman" w:cs="Times New Roman"/>
          <w:sz w:val="20"/>
          <w:szCs w:val="20"/>
          <w:lang w:val="de-DE"/>
        </w:rPr>
        <w:t xml:space="preserve">; </w:t>
      </w:r>
      <w:r w:rsidRPr="0020140F">
        <w:rPr>
          <w:rFonts w:ascii="Times New Roman" w:hAnsi="Times New Roman" w:cs="Times New Roman"/>
          <w:sz w:val="20"/>
          <w:szCs w:val="20"/>
          <w:lang w:val="de-DE"/>
        </w:rPr>
        <w:t xml:space="preserve">G. Scholem, </w:t>
      </w:r>
      <w:r w:rsidRPr="0020140F">
        <w:rPr>
          <w:rFonts w:ascii="Times New Roman" w:hAnsi="Times New Roman" w:cs="Times New Roman"/>
          <w:i/>
          <w:sz w:val="20"/>
          <w:szCs w:val="20"/>
          <w:lang w:val="de-DE"/>
        </w:rPr>
        <w:t xml:space="preserve">Die jüdische Mystik in ihren Hauptströmungen, </w:t>
      </w:r>
      <w:r w:rsidRPr="0020140F">
        <w:rPr>
          <w:rFonts w:ascii="Times New Roman" w:hAnsi="Times New Roman" w:cs="Times New Roman"/>
          <w:sz w:val="20"/>
          <w:szCs w:val="20"/>
          <w:lang w:val="de-DE"/>
        </w:rPr>
        <w:t>Suhrka</w:t>
      </w:r>
      <w:r>
        <w:rPr>
          <w:rFonts w:ascii="Times New Roman" w:hAnsi="Times New Roman" w:cs="Times New Roman"/>
          <w:sz w:val="20"/>
          <w:szCs w:val="20"/>
          <w:lang w:val="de-DE"/>
        </w:rPr>
        <w:t>mp, Frankfurt am Main 1980, S</w:t>
      </w:r>
      <w:r w:rsidRPr="0020140F">
        <w:rPr>
          <w:rFonts w:ascii="Times New Roman" w:hAnsi="Times New Roman" w:cs="Times New Roman"/>
          <w:sz w:val="20"/>
          <w:szCs w:val="20"/>
          <w:lang w:val="de-DE"/>
        </w:rPr>
        <w:t>. 257-261</w:t>
      </w:r>
      <w:r>
        <w:rPr>
          <w:rFonts w:ascii="Times New Roman" w:hAnsi="Times New Roman" w:cs="Times New Roman"/>
          <w:sz w:val="20"/>
          <w:szCs w:val="20"/>
          <w:lang w:val="de-DE"/>
        </w:rPr>
        <w:t>;</w:t>
      </w:r>
      <w:r w:rsidRPr="0020140F">
        <w:rPr>
          <w:rFonts w:ascii="Times New Roman" w:hAnsi="Times New Roman" w:cs="Times New Roman"/>
          <w:sz w:val="20"/>
          <w:szCs w:val="20"/>
          <w:lang w:val="de-DE"/>
        </w:rPr>
        <w:t xml:space="preserve"> J. Schulitz, </w:t>
      </w:r>
      <w:r w:rsidRPr="0020140F">
        <w:rPr>
          <w:rFonts w:ascii="Times New Roman" w:hAnsi="Times New Roman" w:cs="Times New Roman"/>
          <w:i/>
          <w:sz w:val="20"/>
          <w:szCs w:val="20"/>
          <w:lang w:val="de-DE"/>
        </w:rPr>
        <w:t xml:space="preserve">Jakob Böhme und die Kabbala, </w:t>
      </w:r>
      <w:r w:rsidRPr="0020140F">
        <w:rPr>
          <w:rFonts w:ascii="Times New Roman" w:hAnsi="Times New Roman" w:cs="Times New Roman"/>
          <w:sz w:val="20"/>
          <w:szCs w:val="20"/>
          <w:lang w:val="de-DE"/>
        </w:rPr>
        <w:t xml:space="preserve">Peter Lang, Frankfurt am Maim 1993. Zur Rezeption der </w:t>
      </w:r>
      <w:r>
        <w:rPr>
          <w:rFonts w:ascii="Times New Roman" w:hAnsi="Times New Roman" w:cs="Times New Roman"/>
          <w:sz w:val="20"/>
          <w:szCs w:val="20"/>
          <w:lang w:val="de-DE"/>
        </w:rPr>
        <w:t xml:space="preserve">Theorie des </w:t>
      </w:r>
      <w:r>
        <w:rPr>
          <w:rFonts w:ascii="Times New Roman" w:hAnsi="Times New Roman" w:cs="Times New Roman"/>
          <w:i/>
          <w:sz w:val="20"/>
          <w:szCs w:val="20"/>
          <w:lang w:val="de-DE"/>
        </w:rPr>
        <w:t>Tzimtzums</w:t>
      </w:r>
      <w:r w:rsidRPr="0020140F">
        <w:rPr>
          <w:rFonts w:ascii="Times New Roman" w:hAnsi="Times New Roman" w:cs="Times New Roman"/>
          <w:i/>
          <w:sz w:val="20"/>
          <w:szCs w:val="20"/>
          <w:lang w:val="de-DE"/>
        </w:rPr>
        <w:t xml:space="preserve"> </w:t>
      </w:r>
      <w:r w:rsidRPr="0020140F">
        <w:rPr>
          <w:rFonts w:ascii="Times New Roman" w:hAnsi="Times New Roman" w:cs="Times New Roman"/>
          <w:sz w:val="20"/>
          <w:szCs w:val="20"/>
          <w:lang w:val="de-DE"/>
        </w:rPr>
        <w:t xml:space="preserve">in der klassischen deutschen </w:t>
      </w:r>
      <w:r w:rsidRPr="005B6D1C">
        <w:rPr>
          <w:rFonts w:ascii="Times New Roman" w:hAnsi="Times New Roman" w:cs="Times New Roman"/>
          <w:sz w:val="20"/>
          <w:szCs w:val="20"/>
          <w:lang w:val="de-DE"/>
        </w:rPr>
        <w:t xml:space="preserve">Philosophie vgl. E. Benz, </w:t>
      </w:r>
      <w:r w:rsidRPr="005B6D1C">
        <w:rPr>
          <w:rFonts w:ascii="Times New Roman" w:hAnsi="Times New Roman" w:cs="Times New Roman"/>
          <w:i/>
          <w:sz w:val="20"/>
          <w:szCs w:val="20"/>
          <w:lang w:val="de-DE"/>
        </w:rPr>
        <w:t xml:space="preserve">Les sources mystiques de la philosophie allemande, </w:t>
      </w:r>
      <w:r w:rsidRPr="005B6D1C">
        <w:rPr>
          <w:rFonts w:ascii="Times New Roman" w:hAnsi="Times New Roman" w:cs="Times New Roman"/>
          <w:sz w:val="20"/>
          <w:szCs w:val="20"/>
          <w:lang w:val="de-DE"/>
        </w:rPr>
        <w:t xml:space="preserve">Vrin, Paris 1968, S. 55-69 und C. Schulte, </w:t>
      </w:r>
      <w:r w:rsidRPr="005B6D1C">
        <w:rPr>
          <w:rFonts w:ascii="Times New Roman" w:hAnsi="Times New Roman" w:cs="Times New Roman"/>
          <w:i/>
          <w:sz w:val="20"/>
          <w:szCs w:val="20"/>
          <w:lang w:val="de-DE"/>
        </w:rPr>
        <w:t xml:space="preserve">Zimzum, </w:t>
      </w:r>
      <w:r w:rsidRPr="005B6D1C">
        <w:rPr>
          <w:rFonts w:ascii="Times New Roman" w:hAnsi="Times New Roman" w:cs="Times New Roman"/>
          <w:sz w:val="20"/>
          <w:szCs w:val="20"/>
          <w:lang w:val="de-DE"/>
        </w:rPr>
        <w:t xml:space="preserve">Suhrkamp, Frankfurt am Main 2014, S. 141-341. </w:t>
      </w:r>
    </w:p>
  </w:footnote>
  <w:footnote w:id="854">
    <w:p w14:paraId="6C506FA1" w14:textId="77777777" w:rsidR="00B34CC2" w:rsidRPr="00385EF1" w:rsidRDefault="00B34CC2" w:rsidP="001C3D81">
      <w:pPr>
        <w:pStyle w:val="Testonotaapidipagina"/>
        <w:jc w:val="both"/>
        <w:rPr>
          <w:rFonts w:ascii="Times New Roman" w:hAnsi="Times New Roman" w:cs="Times New Roman"/>
          <w:sz w:val="20"/>
          <w:szCs w:val="20"/>
        </w:rPr>
      </w:pPr>
      <w:r w:rsidRPr="003B4794">
        <w:rPr>
          <w:rStyle w:val="Rimandonotaapidipagina"/>
          <w:rFonts w:ascii="Times New Roman" w:hAnsi="Times New Roman" w:cs="Times New Roman"/>
          <w:sz w:val="20"/>
          <w:szCs w:val="20"/>
        </w:rPr>
        <w:footnoteRef/>
      </w:r>
      <w:r w:rsidRPr="003B4794">
        <w:rPr>
          <w:rFonts w:ascii="Times New Roman" w:hAnsi="Times New Roman" w:cs="Times New Roman"/>
          <w:sz w:val="20"/>
          <w:szCs w:val="20"/>
        </w:rPr>
        <w:t xml:space="preserve"> Siehe dazu J. Böhme, </w:t>
      </w:r>
      <w:r w:rsidRPr="003B4794">
        <w:rPr>
          <w:rFonts w:ascii="Times New Roman" w:eastAsia="Times New Roman" w:hAnsi="Times New Roman" w:cs="Times New Roman"/>
          <w:i/>
          <w:color w:val="000000"/>
          <w:sz w:val="20"/>
          <w:szCs w:val="20"/>
        </w:rPr>
        <w:t xml:space="preserve">Questiones Theosophicae, </w:t>
      </w:r>
      <w:r w:rsidRPr="003B4794">
        <w:rPr>
          <w:rFonts w:ascii="Times New Roman" w:eastAsia="Times New Roman" w:hAnsi="Times New Roman" w:cs="Times New Roman"/>
          <w:color w:val="000000"/>
          <w:sz w:val="20"/>
          <w:szCs w:val="20"/>
        </w:rPr>
        <w:t xml:space="preserve">in </w:t>
      </w:r>
      <w:r w:rsidRPr="003B4794">
        <w:rPr>
          <w:rFonts w:ascii="Times New Roman" w:eastAsia="Times New Roman" w:hAnsi="Times New Roman" w:cs="Times New Roman"/>
          <w:i/>
          <w:color w:val="000000"/>
          <w:sz w:val="20"/>
          <w:szCs w:val="20"/>
        </w:rPr>
        <w:t>Sämtliche Schriften</w:t>
      </w:r>
      <w:r w:rsidRPr="003B4794">
        <w:rPr>
          <w:rFonts w:ascii="Times New Roman" w:eastAsia="Times New Roman" w:hAnsi="Times New Roman" w:cs="Times New Roman"/>
          <w:color w:val="000000"/>
          <w:sz w:val="20"/>
          <w:szCs w:val="20"/>
        </w:rPr>
        <w:t>, hrsg. von W.-E. Peuckert, Bd. XVIII, Fromman-Holzboog, Stuttgart 1956, S. 41: „Das höllische Fundament und das himmlische, sind gegen einander wie Tag und Nacht, und sind einander</w:t>
      </w:r>
      <w:r w:rsidRPr="005B6D1C">
        <w:rPr>
          <w:rFonts w:ascii="Times New Roman" w:eastAsia="Times New Roman" w:hAnsi="Times New Roman" w:cs="Times New Roman"/>
          <w:color w:val="000000"/>
          <w:sz w:val="20"/>
          <w:szCs w:val="20"/>
        </w:rPr>
        <w:t xml:space="preserve"> nahe, aber keines begreift das ander, auch siehet keines das ander in seiner Essentz. Dann was in Gott ein Liebe-Brennen ist, das ist in der Höllen ein Zorn-Brennen”.</w:t>
      </w:r>
    </w:p>
  </w:footnote>
  <w:footnote w:id="855">
    <w:p w14:paraId="64D75DBC" w14:textId="77777777" w:rsidR="00B34CC2" w:rsidRPr="00664C5F" w:rsidRDefault="00B34CC2" w:rsidP="001C3D81">
      <w:pPr>
        <w:pStyle w:val="Testonotaapidipagina"/>
        <w:rPr>
          <w:rFonts w:ascii="Times New Roman" w:hAnsi="Times New Roman" w:cs="Times New Roman"/>
          <w:i/>
          <w:sz w:val="20"/>
          <w:szCs w:val="20"/>
        </w:rPr>
      </w:pPr>
      <w:r w:rsidRPr="002D3FD0">
        <w:rPr>
          <w:rStyle w:val="Rimandonotaapidipagina"/>
          <w:rFonts w:ascii="Times New Roman" w:hAnsi="Times New Roman" w:cs="Times New Roman"/>
          <w:sz w:val="20"/>
          <w:szCs w:val="20"/>
        </w:rPr>
        <w:footnoteRef/>
      </w:r>
      <w:r>
        <w:rPr>
          <w:rFonts w:ascii="Times New Roman" w:hAnsi="Times New Roman" w:cs="Times New Roman"/>
          <w:sz w:val="20"/>
          <w:szCs w:val="20"/>
        </w:rPr>
        <w:t xml:space="preserve"> </w:t>
      </w:r>
      <w:r>
        <w:rPr>
          <w:rFonts w:ascii="Times New Roman" w:hAnsi="Times New Roman" w:cs="Times New Roman"/>
          <w:i/>
          <w:sz w:val="20"/>
          <w:szCs w:val="20"/>
        </w:rPr>
        <w:t>JSE II</w:t>
      </w:r>
      <w:r>
        <w:rPr>
          <w:rFonts w:ascii="Times New Roman" w:hAnsi="Times New Roman" w:cs="Times New Roman"/>
          <w:sz w:val="20"/>
          <w:szCs w:val="20"/>
        </w:rPr>
        <w:t>, S. 34.</w:t>
      </w:r>
    </w:p>
  </w:footnote>
  <w:footnote w:id="856">
    <w:p w14:paraId="3533E504" w14:textId="77777777" w:rsidR="00B34CC2" w:rsidRPr="00FE7EE1" w:rsidRDefault="00B34CC2" w:rsidP="001C3D81">
      <w:pPr>
        <w:pStyle w:val="Testonotaapidipagina"/>
        <w:rPr>
          <w:rFonts w:ascii="Times New Roman" w:hAnsi="Times New Roman" w:cs="Times New Roman"/>
          <w:sz w:val="20"/>
          <w:szCs w:val="20"/>
        </w:rPr>
      </w:pPr>
      <w:r w:rsidRPr="00FE7EE1">
        <w:rPr>
          <w:rStyle w:val="Rimandonotaapidipagina"/>
          <w:rFonts w:ascii="Times New Roman" w:hAnsi="Times New Roman" w:cs="Times New Roman"/>
          <w:sz w:val="20"/>
          <w:szCs w:val="20"/>
        </w:rPr>
        <w:footnoteRef/>
      </w:r>
      <w:r w:rsidRPr="00891D80">
        <w:rPr>
          <w:rFonts w:ascii="Times New Roman" w:hAnsi="Times New Roman" w:cs="Times New Roman"/>
          <w:i/>
          <w:sz w:val="20"/>
          <w:szCs w:val="20"/>
        </w:rPr>
        <w:t xml:space="preserve"> </w:t>
      </w:r>
      <w:r w:rsidRPr="00243054">
        <w:rPr>
          <w:rFonts w:ascii="Times New Roman" w:hAnsi="Times New Roman" w:cs="Times New Roman"/>
          <w:sz w:val="20"/>
          <w:szCs w:val="20"/>
        </w:rPr>
        <w:t>Ebd.</w:t>
      </w:r>
      <w:r>
        <w:rPr>
          <w:rFonts w:ascii="Times New Roman" w:hAnsi="Times New Roman" w:cs="Times New Roman"/>
          <w:sz w:val="20"/>
          <w:szCs w:val="20"/>
        </w:rPr>
        <w:t>, S. 34.</w:t>
      </w:r>
    </w:p>
  </w:footnote>
  <w:footnote w:id="857">
    <w:p w14:paraId="22E59DA0" w14:textId="77777777" w:rsidR="00B34CC2" w:rsidRPr="00F27645" w:rsidRDefault="00B34CC2" w:rsidP="001C3D81">
      <w:pPr>
        <w:pStyle w:val="Testonotaapidipagina"/>
        <w:jc w:val="both"/>
        <w:rPr>
          <w:rFonts w:ascii="Times New Roman" w:hAnsi="Times New Roman" w:cs="Times New Roman"/>
          <w:sz w:val="20"/>
          <w:szCs w:val="20"/>
        </w:rPr>
      </w:pPr>
      <w:r w:rsidRPr="00793587">
        <w:rPr>
          <w:rStyle w:val="Rimandonotaapidipagina"/>
          <w:rFonts w:ascii="Times New Roman" w:hAnsi="Times New Roman" w:cs="Times New Roman"/>
          <w:sz w:val="20"/>
          <w:szCs w:val="20"/>
        </w:rPr>
        <w:footnoteRef/>
      </w:r>
      <w:r w:rsidRPr="00793587">
        <w:rPr>
          <w:rFonts w:ascii="Times New Roman" w:hAnsi="Times New Roman" w:cs="Times New Roman"/>
          <w:i/>
          <w:sz w:val="20"/>
          <w:szCs w:val="20"/>
        </w:rPr>
        <w:t xml:space="preserve"> </w:t>
      </w:r>
      <w:r>
        <w:rPr>
          <w:rFonts w:ascii="Times New Roman" w:hAnsi="Times New Roman" w:cs="Times New Roman"/>
          <w:sz w:val="20"/>
          <w:szCs w:val="20"/>
        </w:rPr>
        <w:t xml:space="preserve">Vgl. M. Baum, </w:t>
      </w:r>
      <w:r>
        <w:rPr>
          <w:rFonts w:ascii="Times New Roman" w:hAnsi="Times New Roman" w:cs="Times New Roman"/>
          <w:i/>
          <w:sz w:val="20"/>
          <w:szCs w:val="20"/>
        </w:rPr>
        <w:t xml:space="preserve">Die Entstehung der Hegelschen Dialektik, </w:t>
      </w:r>
      <w:r>
        <w:rPr>
          <w:rFonts w:ascii="Times New Roman" w:hAnsi="Times New Roman" w:cs="Times New Roman"/>
          <w:sz w:val="20"/>
          <w:szCs w:val="20"/>
        </w:rPr>
        <w:t xml:space="preserve">Bouvier, Bonn 1989, S. 236-261; </w:t>
      </w:r>
      <w:r w:rsidRPr="00793587">
        <w:rPr>
          <w:rFonts w:ascii="Times New Roman" w:hAnsi="Times New Roman" w:cs="Times New Roman"/>
          <w:sz w:val="20"/>
          <w:szCs w:val="20"/>
        </w:rPr>
        <w:t xml:space="preserve">F. Chiereghin, </w:t>
      </w:r>
      <w:r w:rsidRPr="00793587">
        <w:rPr>
          <w:rFonts w:ascii="Times New Roman" w:hAnsi="Times New Roman" w:cs="Times New Roman"/>
          <w:i/>
          <w:sz w:val="20"/>
          <w:szCs w:val="20"/>
        </w:rPr>
        <w:t xml:space="preserve">De l'organisation de la logique hégéliene à son auto-organisation entre 1804-1805 et </w:t>
      </w:r>
      <w:r w:rsidRPr="00F27645">
        <w:rPr>
          <w:rFonts w:ascii="Times New Roman" w:hAnsi="Times New Roman" w:cs="Times New Roman"/>
          <w:i/>
          <w:sz w:val="20"/>
          <w:szCs w:val="20"/>
        </w:rPr>
        <w:t xml:space="preserve">1805-1806, </w:t>
      </w:r>
      <w:r w:rsidRPr="00F27645">
        <w:rPr>
          <w:rFonts w:ascii="Times New Roman" w:hAnsi="Times New Roman" w:cs="Times New Roman"/>
          <w:sz w:val="20"/>
          <w:szCs w:val="20"/>
        </w:rPr>
        <w:t xml:space="preserve">in </w:t>
      </w:r>
      <w:r w:rsidRPr="00F27645">
        <w:rPr>
          <w:rFonts w:ascii="Times New Roman" w:hAnsi="Times New Roman" w:cs="Times New Roman"/>
          <w:i/>
          <w:sz w:val="20"/>
          <w:szCs w:val="20"/>
        </w:rPr>
        <w:t xml:space="preserve">Hegel à Iéna, </w:t>
      </w:r>
      <w:r>
        <w:rPr>
          <w:rFonts w:ascii="Times New Roman" w:hAnsi="Times New Roman" w:cs="Times New Roman"/>
          <w:sz w:val="20"/>
          <w:szCs w:val="20"/>
        </w:rPr>
        <w:t xml:space="preserve">hrsg. von </w:t>
      </w:r>
      <w:r w:rsidRPr="00F27645">
        <w:rPr>
          <w:rFonts w:ascii="Times New Roman" w:hAnsi="Times New Roman" w:cs="Times New Roman"/>
          <w:i/>
          <w:sz w:val="20"/>
          <w:szCs w:val="20"/>
        </w:rPr>
        <w:t>J.</w:t>
      </w:r>
      <w:r w:rsidRPr="00F27645">
        <w:rPr>
          <w:rFonts w:ascii="Times New Roman" w:hAnsi="Times New Roman" w:cs="Times New Roman"/>
          <w:sz w:val="20"/>
          <w:szCs w:val="20"/>
        </w:rPr>
        <w:t>-M. Buée e E. Renault, Ens Editiones, P</w:t>
      </w:r>
      <w:r>
        <w:rPr>
          <w:rFonts w:ascii="Times New Roman" w:hAnsi="Times New Roman" w:cs="Times New Roman"/>
          <w:sz w:val="20"/>
          <w:szCs w:val="20"/>
        </w:rPr>
        <w:t>aris 2015, S</w:t>
      </w:r>
      <w:r w:rsidRPr="00F27645">
        <w:rPr>
          <w:rFonts w:ascii="Times New Roman" w:hAnsi="Times New Roman" w:cs="Times New Roman"/>
          <w:sz w:val="20"/>
          <w:szCs w:val="20"/>
        </w:rPr>
        <w:t>. 64-79.</w:t>
      </w:r>
    </w:p>
  </w:footnote>
  <w:footnote w:id="858">
    <w:p w14:paraId="5DDCCE6D" w14:textId="77777777" w:rsidR="00B34CC2" w:rsidRPr="00F27645" w:rsidRDefault="00B34CC2" w:rsidP="001C3D81">
      <w:pPr>
        <w:pStyle w:val="Testonotaapidipagina"/>
        <w:jc w:val="both"/>
        <w:rPr>
          <w:rFonts w:ascii="Times New Roman" w:hAnsi="Times New Roman" w:cs="Times New Roman"/>
          <w:sz w:val="20"/>
          <w:szCs w:val="20"/>
        </w:rPr>
      </w:pPr>
      <w:r w:rsidRPr="003E0453">
        <w:rPr>
          <w:rStyle w:val="Rimandonotaapidipagina"/>
          <w:rFonts w:ascii="Times New Roman" w:hAnsi="Times New Roman" w:cs="Times New Roman"/>
          <w:sz w:val="20"/>
          <w:szCs w:val="20"/>
        </w:rPr>
        <w:footnoteRef/>
      </w:r>
      <w:r w:rsidRPr="003E0453">
        <w:rPr>
          <w:rFonts w:ascii="Times New Roman" w:hAnsi="Times New Roman" w:cs="Times New Roman"/>
          <w:sz w:val="20"/>
          <w:szCs w:val="20"/>
        </w:rPr>
        <w:t xml:space="preserve"> Vgl. I. Kant, </w:t>
      </w:r>
      <w:r w:rsidRPr="003E0453">
        <w:rPr>
          <w:rFonts w:ascii="Times New Roman" w:hAnsi="Times New Roman" w:cs="Times New Roman"/>
          <w:i/>
          <w:sz w:val="20"/>
          <w:szCs w:val="20"/>
        </w:rPr>
        <w:t>Kritik der reinen Vernunft</w:t>
      </w:r>
      <w:r w:rsidRPr="003E0453">
        <w:rPr>
          <w:rFonts w:ascii="Times New Roman" w:hAnsi="Times New Roman" w:cs="Times New Roman"/>
          <w:sz w:val="20"/>
          <w:szCs w:val="20"/>
        </w:rPr>
        <w:t xml:space="preserve">, in </w:t>
      </w:r>
      <w:r w:rsidRPr="003E0453">
        <w:rPr>
          <w:rFonts w:ascii="Times New Roman" w:hAnsi="Times New Roman" w:cs="Times New Roman"/>
          <w:i/>
          <w:sz w:val="20"/>
          <w:szCs w:val="20"/>
        </w:rPr>
        <w:t>Kant’s Werke</w:t>
      </w:r>
      <w:r w:rsidRPr="003E0453">
        <w:rPr>
          <w:rFonts w:ascii="Times New Roman" w:hAnsi="Times New Roman" w:cs="Times New Roman"/>
          <w:sz w:val="20"/>
          <w:szCs w:val="20"/>
        </w:rPr>
        <w:t>, Bd. III, Georg Reimer Ver</w:t>
      </w:r>
      <w:r>
        <w:rPr>
          <w:rFonts w:ascii="Times New Roman" w:hAnsi="Times New Roman" w:cs="Times New Roman"/>
          <w:sz w:val="20"/>
          <w:szCs w:val="20"/>
        </w:rPr>
        <w:t>lag, Berlin 1911, S. 392 und</w:t>
      </w:r>
      <w:r w:rsidRPr="003E0453">
        <w:rPr>
          <w:rFonts w:ascii="Times New Roman" w:hAnsi="Times New Roman" w:cs="Times New Roman"/>
          <w:sz w:val="20"/>
          <w:szCs w:val="20"/>
        </w:rPr>
        <w:t xml:space="preserve"> I. Kant, </w:t>
      </w:r>
      <w:r w:rsidRPr="003E0453">
        <w:rPr>
          <w:rFonts w:ascii="Times New Roman" w:hAnsi="Times New Roman" w:cs="Times New Roman"/>
          <w:i/>
          <w:sz w:val="20"/>
          <w:szCs w:val="20"/>
        </w:rPr>
        <w:t>Die Religion innerhalb der Grenzen der bloßen Vernunft</w:t>
      </w:r>
      <w:r>
        <w:rPr>
          <w:rFonts w:ascii="Times New Roman" w:hAnsi="Times New Roman" w:cs="Times New Roman"/>
          <w:sz w:val="20"/>
          <w:szCs w:val="20"/>
        </w:rPr>
        <w:t xml:space="preserve">, </w:t>
      </w:r>
      <w:r w:rsidRPr="003E0453">
        <w:rPr>
          <w:rFonts w:ascii="Times New Roman" w:hAnsi="Times New Roman" w:cs="Times New Roman"/>
          <w:sz w:val="20"/>
          <w:szCs w:val="20"/>
        </w:rPr>
        <w:t xml:space="preserve">in </w:t>
      </w:r>
      <w:r w:rsidRPr="003E0453">
        <w:rPr>
          <w:rFonts w:ascii="Times New Roman" w:hAnsi="Times New Roman" w:cs="Times New Roman"/>
          <w:i/>
          <w:sz w:val="20"/>
          <w:szCs w:val="20"/>
        </w:rPr>
        <w:t>Kant’s Werke</w:t>
      </w:r>
      <w:r w:rsidRPr="003E0453">
        <w:rPr>
          <w:rFonts w:ascii="Times New Roman" w:hAnsi="Times New Roman" w:cs="Times New Roman"/>
          <w:sz w:val="20"/>
          <w:szCs w:val="20"/>
        </w:rPr>
        <w:t>, Bd. VI, Georg Reimer Verlag, Berlin 1907, S. 177.</w:t>
      </w:r>
    </w:p>
  </w:footnote>
  <w:footnote w:id="859">
    <w:p w14:paraId="7AE81A7D" w14:textId="77777777" w:rsidR="00B34CC2" w:rsidRPr="00243054" w:rsidRDefault="00B34CC2" w:rsidP="001C3D81">
      <w:pPr>
        <w:pStyle w:val="Testonotaapidipagina"/>
        <w:jc w:val="both"/>
      </w:pPr>
      <w:r w:rsidRPr="00243054">
        <w:rPr>
          <w:rStyle w:val="Rimandonotaapidipagina"/>
          <w:rFonts w:ascii="Times New Roman" w:hAnsi="Times New Roman" w:cs="Times New Roman"/>
          <w:sz w:val="20"/>
          <w:szCs w:val="20"/>
        </w:rPr>
        <w:footnoteRef/>
      </w:r>
      <w:r w:rsidRPr="00243054">
        <w:rPr>
          <w:rFonts w:ascii="Times New Roman" w:hAnsi="Times New Roman" w:cs="Times New Roman"/>
          <w:sz w:val="20"/>
          <w:szCs w:val="20"/>
        </w:rPr>
        <w:t xml:space="preserve"> </w:t>
      </w:r>
      <w:r w:rsidRPr="00243054">
        <w:rPr>
          <w:rFonts w:ascii="Times New Roman" w:hAnsi="Times New Roman" w:cs="Times New Roman"/>
          <w:i/>
          <w:sz w:val="20"/>
          <w:szCs w:val="20"/>
        </w:rPr>
        <w:t>JSE II</w:t>
      </w:r>
      <w:r w:rsidRPr="00243054">
        <w:rPr>
          <w:rFonts w:ascii="Times New Roman" w:hAnsi="Times New Roman" w:cs="Times New Roman"/>
          <w:sz w:val="20"/>
          <w:szCs w:val="20"/>
        </w:rPr>
        <w:t>, S. 154.</w:t>
      </w:r>
    </w:p>
  </w:footnote>
  <w:footnote w:id="860">
    <w:p w14:paraId="354D2705" w14:textId="77777777" w:rsidR="00B34CC2" w:rsidRPr="00243054" w:rsidRDefault="00B34CC2" w:rsidP="001C3D81">
      <w:pPr>
        <w:pStyle w:val="Testonotaapidipagina"/>
        <w:jc w:val="both"/>
        <w:rPr>
          <w:rFonts w:ascii="Times New Roman" w:hAnsi="Times New Roman" w:cs="Times New Roman"/>
          <w:sz w:val="20"/>
          <w:szCs w:val="20"/>
        </w:rPr>
      </w:pPr>
      <w:r w:rsidRPr="00243054">
        <w:rPr>
          <w:rStyle w:val="Rimandonotaapidipagina"/>
          <w:rFonts w:ascii="Times New Roman" w:hAnsi="Times New Roman" w:cs="Times New Roman"/>
          <w:sz w:val="20"/>
          <w:szCs w:val="20"/>
        </w:rPr>
        <w:footnoteRef/>
      </w:r>
      <w:r w:rsidRPr="00243054">
        <w:rPr>
          <w:rFonts w:ascii="Times New Roman" w:hAnsi="Times New Roman" w:cs="Times New Roman"/>
          <w:sz w:val="20"/>
          <w:szCs w:val="20"/>
        </w:rPr>
        <w:t xml:space="preserve"> Ebd., S. 153.</w:t>
      </w:r>
    </w:p>
  </w:footnote>
  <w:footnote w:id="861">
    <w:p w14:paraId="6BDEBD29" w14:textId="77777777" w:rsidR="00B34CC2" w:rsidRPr="002A2D4E" w:rsidRDefault="00B34CC2" w:rsidP="001C3D81">
      <w:pPr>
        <w:pStyle w:val="Testonotaapidipagina"/>
        <w:rPr>
          <w:rFonts w:ascii="Times New Roman" w:hAnsi="Times New Roman" w:cs="Times New Roman"/>
          <w:sz w:val="20"/>
          <w:szCs w:val="20"/>
        </w:rPr>
      </w:pPr>
      <w:r w:rsidRPr="00243054">
        <w:rPr>
          <w:rStyle w:val="Rimandonotaapidipagina"/>
          <w:rFonts w:ascii="Times New Roman" w:hAnsi="Times New Roman" w:cs="Times New Roman"/>
          <w:sz w:val="20"/>
          <w:szCs w:val="20"/>
        </w:rPr>
        <w:footnoteRef/>
      </w:r>
      <w:r w:rsidRPr="00243054">
        <w:rPr>
          <w:rFonts w:ascii="Times New Roman" w:hAnsi="Times New Roman" w:cs="Times New Roman"/>
          <w:sz w:val="20"/>
          <w:szCs w:val="20"/>
        </w:rPr>
        <w:t xml:space="preserve"> Ebd., S. 154.</w:t>
      </w:r>
    </w:p>
  </w:footnote>
  <w:footnote w:id="862">
    <w:p w14:paraId="5B0BBFA2" w14:textId="77777777" w:rsidR="00B34CC2" w:rsidRPr="008C11DD" w:rsidRDefault="00B34CC2" w:rsidP="001C3D81">
      <w:pPr>
        <w:pStyle w:val="Testonotaapidipagina"/>
        <w:jc w:val="both"/>
        <w:rPr>
          <w:rFonts w:ascii="Times New Roman" w:hAnsi="Times New Roman" w:cs="Times New Roman"/>
          <w:sz w:val="20"/>
          <w:szCs w:val="20"/>
          <w:lang w:val="de-DE"/>
        </w:rPr>
      </w:pPr>
      <w:r w:rsidRPr="008C11DD">
        <w:rPr>
          <w:rStyle w:val="Rimandonotaapidipagina"/>
          <w:rFonts w:ascii="Times New Roman" w:hAnsi="Times New Roman" w:cs="Times New Roman"/>
          <w:sz w:val="20"/>
          <w:szCs w:val="20"/>
          <w:lang w:val="de-DE"/>
        </w:rPr>
        <w:footnoteRef/>
      </w:r>
      <w:r w:rsidRPr="008C11DD">
        <w:rPr>
          <w:rFonts w:ascii="Times New Roman" w:hAnsi="Times New Roman" w:cs="Times New Roman"/>
          <w:sz w:val="20"/>
          <w:szCs w:val="20"/>
          <w:lang w:val="de-DE"/>
        </w:rPr>
        <w:t xml:space="preserve"> I. Kant, </w:t>
      </w:r>
      <w:r w:rsidRPr="008C11DD">
        <w:rPr>
          <w:rFonts w:ascii="Times New Roman" w:hAnsi="Times New Roman" w:cs="Times New Roman"/>
          <w:i/>
          <w:sz w:val="20"/>
          <w:szCs w:val="20"/>
          <w:lang w:val="de-DE"/>
        </w:rPr>
        <w:t>Die Religion innerhalb der Grenzen der bloßen Vernunft</w:t>
      </w:r>
      <w:r w:rsidRPr="008C11DD">
        <w:rPr>
          <w:rFonts w:ascii="Times New Roman" w:hAnsi="Times New Roman" w:cs="Times New Roman"/>
          <w:sz w:val="20"/>
          <w:szCs w:val="20"/>
          <w:lang w:val="de-DE"/>
        </w:rPr>
        <w:t xml:space="preserve">, </w:t>
      </w:r>
      <w:r>
        <w:rPr>
          <w:rFonts w:ascii="Times New Roman" w:hAnsi="Times New Roman" w:cs="Times New Roman"/>
          <w:sz w:val="20"/>
          <w:szCs w:val="20"/>
        </w:rPr>
        <w:t>a.a.</w:t>
      </w:r>
      <w:r w:rsidRPr="008C11DD">
        <w:rPr>
          <w:rFonts w:ascii="Times New Roman" w:hAnsi="Times New Roman" w:cs="Times New Roman"/>
          <w:sz w:val="20"/>
          <w:szCs w:val="20"/>
        </w:rPr>
        <w:t>O.</w:t>
      </w:r>
      <w:r w:rsidRPr="008C11DD">
        <w:rPr>
          <w:rFonts w:ascii="Times New Roman" w:hAnsi="Times New Roman" w:cs="Times New Roman"/>
          <w:sz w:val="20"/>
          <w:szCs w:val="20"/>
          <w:lang w:val="de-DE"/>
        </w:rPr>
        <w:t>, S. 60.</w:t>
      </w:r>
    </w:p>
  </w:footnote>
  <w:footnote w:id="863">
    <w:p w14:paraId="6CC39FDC" w14:textId="77777777" w:rsidR="00B34CC2" w:rsidRPr="008C11DD" w:rsidRDefault="00B34CC2" w:rsidP="001C3D81">
      <w:pPr>
        <w:pStyle w:val="Testonotaapidipagina"/>
        <w:jc w:val="both"/>
        <w:rPr>
          <w:rFonts w:ascii="Times New Roman" w:hAnsi="Times New Roman" w:cs="Times New Roman"/>
          <w:sz w:val="20"/>
          <w:szCs w:val="20"/>
          <w:lang w:val="de-DE"/>
        </w:rPr>
      </w:pPr>
      <w:r w:rsidRPr="008C11DD">
        <w:rPr>
          <w:rStyle w:val="Rimandonotaapidipagina"/>
          <w:rFonts w:ascii="Times New Roman" w:hAnsi="Times New Roman" w:cs="Times New Roman"/>
          <w:sz w:val="20"/>
          <w:szCs w:val="20"/>
          <w:lang w:val="de-DE"/>
        </w:rPr>
        <w:footnoteRef/>
      </w:r>
      <w:r w:rsidRPr="008C11DD">
        <w:rPr>
          <w:rFonts w:ascii="Times New Roman" w:hAnsi="Times New Roman" w:cs="Times New Roman"/>
          <w:sz w:val="20"/>
          <w:szCs w:val="20"/>
          <w:lang w:val="de-DE"/>
        </w:rPr>
        <w:t xml:space="preserve"> Ebd., S. 44.</w:t>
      </w:r>
    </w:p>
  </w:footnote>
  <w:footnote w:id="864">
    <w:p w14:paraId="27D8BE59" w14:textId="77777777" w:rsidR="00B34CC2" w:rsidRPr="008C11DD" w:rsidRDefault="00B34CC2" w:rsidP="001C3D81">
      <w:pPr>
        <w:pStyle w:val="Testonotaapidipagina"/>
        <w:jc w:val="both"/>
        <w:rPr>
          <w:rFonts w:ascii="Times New Roman" w:hAnsi="Times New Roman" w:cs="Times New Roman"/>
          <w:sz w:val="20"/>
          <w:szCs w:val="20"/>
          <w:lang w:val="de-DE"/>
        </w:rPr>
      </w:pPr>
      <w:r w:rsidRPr="008C11DD">
        <w:rPr>
          <w:rStyle w:val="Rimandonotaapidipagina"/>
          <w:rFonts w:ascii="Times New Roman" w:hAnsi="Times New Roman" w:cs="Times New Roman"/>
          <w:sz w:val="20"/>
          <w:szCs w:val="20"/>
          <w:lang w:val="de-DE"/>
        </w:rPr>
        <w:footnoteRef/>
      </w:r>
      <w:r w:rsidRPr="008C11DD">
        <w:rPr>
          <w:rFonts w:ascii="Times New Roman" w:hAnsi="Times New Roman" w:cs="Times New Roman"/>
          <w:sz w:val="20"/>
          <w:szCs w:val="20"/>
          <w:lang w:val="de-DE"/>
        </w:rPr>
        <w:t xml:space="preserve"> Ebd., S. 44</w:t>
      </w:r>
    </w:p>
  </w:footnote>
  <w:footnote w:id="865">
    <w:p w14:paraId="410B26E3" w14:textId="77777777" w:rsidR="00B34CC2" w:rsidRPr="008C11DD" w:rsidRDefault="00B34CC2" w:rsidP="001C3D81">
      <w:pPr>
        <w:pStyle w:val="Testonotaapidipagina"/>
        <w:jc w:val="both"/>
        <w:rPr>
          <w:rFonts w:ascii="Times New Roman" w:hAnsi="Times New Roman" w:cs="Times New Roman"/>
          <w:sz w:val="20"/>
          <w:szCs w:val="20"/>
          <w:lang w:val="de-DE"/>
        </w:rPr>
      </w:pPr>
      <w:r w:rsidRPr="008C11DD">
        <w:rPr>
          <w:rStyle w:val="Rimandonotaapidipagina"/>
          <w:rFonts w:ascii="Times New Roman" w:hAnsi="Times New Roman" w:cs="Times New Roman"/>
          <w:sz w:val="20"/>
          <w:szCs w:val="20"/>
          <w:lang w:val="de-DE"/>
        </w:rPr>
        <w:footnoteRef/>
      </w:r>
      <w:r w:rsidRPr="008C11DD">
        <w:rPr>
          <w:rFonts w:ascii="Times New Roman" w:hAnsi="Times New Roman" w:cs="Times New Roman"/>
          <w:sz w:val="20"/>
          <w:szCs w:val="20"/>
          <w:lang w:val="de-DE"/>
        </w:rPr>
        <w:t xml:space="preserve"> Ebd., S. 43.</w:t>
      </w:r>
    </w:p>
  </w:footnote>
  <w:footnote w:id="866">
    <w:p w14:paraId="63DFA209" w14:textId="77777777" w:rsidR="00B34CC2" w:rsidRPr="008C11DD" w:rsidRDefault="00B34CC2" w:rsidP="001C3D81">
      <w:pPr>
        <w:pStyle w:val="Testonotaapidipagina"/>
        <w:jc w:val="both"/>
        <w:rPr>
          <w:rFonts w:ascii="Times New Roman" w:hAnsi="Times New Roman" w:cs="Times New Roman"/>
          <w:sz w:val="20"/>
          <w:szCs w:val="20"/>
        </w:rPr>
      </w:pPr>
      <w:r w:rsidRPr="008C11DD">
        <w:rPr>
          <w:rStyle w:val="Rimandonotaapidipagina"/>
          <w:rFonts w:ascii="Times New Roman" w:hAnsi="Times New Roman" w:cs="Times New Roman"/>
          <w:sz w:val="20"/>
          <w:szCs w:val="20"/>
          <w:lang w:val="de-DE"/>
        </w:rPr>
        <w:footnoteRef/>
      </w:r>
      <w:r w:rsidRPr="008C11DD">
        <w:rPr>
          <w:rFonts w:ascii="Times New Roman" w:hAnsi="Times New Roman" w:cs="Times New Roman"/>
          <w:sz w:val="20"/>
          <w:szCs w:val="20"/>
          <w:lang w:val="de-DE"/>
        </w:rPr>
        <w:t xml:space="preserve"> Ebd., S. 44.</w:t>
      </w:r>
    </w:p>
  </w:footnote>
  <w:footnote w:id="867">
    <w:p w14:paraId="15582FBA" w14:textId="77777777" w:rsidR="00B34CC2" w:rsidRPr="005B6F5F" w:rsidRDefault="00B34CC2" w:rsidP="001C3D81">
      <w:pPr>
        <w:pStyle w:val="Testonotaapidipagina"/>
        <w:jc w:val="both"/>
        <w:rPr>
          <w:rFonts w:ascii="Times New Roman" w:hAnsi="Times New Roman" w:cs="Times New Roman"/>
          <w:sz w:val="20"/>
          <w:szCs w:val="20"/>
        </w:rPr>
      </w:pPr>
      <w:r w:rsidRPr="008C11DD">
        <w:rPr>
          <w:rStyle w:val="Rimandonotaapidipagina"/>
          <w:rFonts w:ascii="Times New Roman" w:hAnsi="Times New Roman" w:cs="Times New Roman"/>
          <w:sz w:val="20"/>
          <w:szCs w:val="20"/>
        </w:rPr>
        <w:footnoteRef/>
      </w:r>
      <w:r>
        <w:rPr>
          <w:rFonts w:ascii="Times New Roman" w:hAnsi="Times New Roman" w:cs="Times New Roman"/>
          <w:i/>
          <w:sz w:val="20"/>
          <w:szCs w:val="20"/>
        </w:rPr>
        <w:t xml:space="preserve"> VGP (XX</w:t>
      </w:r>
      <w:r w:rsidRPr="008C11DD">
        <w:rPr>
          <w:rFonts w:ascii="Times New Roman" w:hAnsi="Times New Roman" w:cs="Times New Roman"/>
          <w:i/>
          <w:sz w:val="20"/>
          <w:szCs w:val="20"/>
        </w:rPr>
        <w:t>)</w:t>
      </w:r>
      <w:r w:rsidRPr="008C11DD">
        <w:rPr>
          <w:rFonts w:ascii="Times New Roman" w:hAnsi="Times New Roman" w:cs="Times New Roman"/>
          <w:sz w:val="20"/>
          <w:szCs w:val="20"/>
        </w:rPr>
        <w:t>, S. 106.</w:t>
      </w:r>
      <w:r w:rsidRPr="00643608">
        <w:rPr>
          <w:rFonts w:ascii="Times New Roman" w:hAnsi="Times New Roman" w:cs="Times New Roman"/>
          <w:sz w:val="20"/>
          <w:szCs w:val="20"/>
        </w:rPr>
        <w:t xml:space="preserve"> </w:t>
      </w:r>
    </w:p>
  </w:footnote>
  <w:footnote w:id="868">
    <w:p w14:paraId="732BC118" w14:textId="77777777" w:rsidR="00B34CC2" w:rsidRPr="00640549" w:rsidRDefault="00B34CC2" w:rsidP="001C3D81">
      <w:pPr>
        <w:pStyle w:val="Testonotaapidipagina"/>
        <w:jc w:val="both"/>
        <w:rPr>
          <w:rFonts w:ascii="Times New Roman" w:hAnsi="Times New Roman" w:cs="Times New Roman"/>
          <w:sz w:val="20"/>
          <w:szCs w:val="20"/>
        </w:rPr>
      </w:pPr>
      <w:r w:rsidRPr="00640549">
        <w:rPr>
          <w:rStyle w:val="Rimandonotaapidipagina"/>
          <w:rFonts w:ascii="Times New Roman" w:hAnsi="Times New Roman" w:cs="Times New Roman"/>
          <w:sz w:val="20"/>
          <w:szCs w:val="20"/>
        </w:rPr>
        <w:footnoteRef/>
      </w:r>
      <w:r>
        <w:rPr>
          <w:rFonts w:ascii="Times New Roman" w:hAnsi="Times New Roman" w:cs="Times New Roman"/>
          <w:i/>
          <w:sz w:val="20"/>
          <w:szCs w:val="20"/>
        </w:rPr>
        <w:t xml:space="preserve"> VGP (X</w:t>
      </w:r>
      <w:r w:rsidRPr="00640549">
        <w:rPr>
          <w:rFonts w:ascii="Times New Roman" w:hAnsi="Times New Roman" w:cs="Times New Roman"/>
          <w:i/>
          <w:sz w:val="20"/>
          <w:szCs w:val="20"/>
        </w:rPr>
        <w:t>X)</w:t>
      </w:r>
      <w:r w:rsidRPr="00640549">
        <w:rPr>
          <w:rFonts w:ascii="Times New Roman" w:hAnsi="Times New Roman" w:cs="Times New Roman"/>
          <w:sz w:val="20"/>
          <w:szCs w:val="20"/>
        </w:rPr>
        <w:t>, S. 109.</w:t>
      </w:r>
    </w:p>
  </w:footnote>
  <w:footnote w:id="869">
    <w:p w14:paraId="709B9D58" w14:textId="77777777" w:rsidR="00B34CC2" w:rsidRPr="0057576C" w:rsidRDefault="00B34CC2" w:rsidP="001C3D81">
      <w:pPr>
        <w:pStyle w:val="Testonotaapidipagina"/>
        <w:jc w:val="both"/>
        <w:rPr>
          <w:rFonts w:ascii="Times New Roman" w:hAnsi="Times New Roman" w:cs="Times New Roman"/>
          <w:sz w:val="20"/>
          <w:szCs w:val="20"/>
          <w:highlight w:val="yellow"/>
        </w:rPr>
      </w:pPr>
      <w:r w:rsidRPr="00640549">
        <w:rPr>
          <w:rStyle w:val="Rimandonotaapidipagina"/>
          <w:rFonts w:ascii="Times New Roman" w:hAnsi="Times New Roman" w:cs="Times New Roman"/>
          <w:sz w:val="20"/>
          <w:szCs w:val="20"/>
        </w:rPr>
        <w:footnoteRef/>
      </w:r>
      <w:r w:rsidRPr="00640549">
        <w:rPr>
          <w:rFonts w:ascii="Times New Roman" w:hAnsi="Times New Roman" w:cs="Times New Roman"/>
          <w:sz w:val="20"/>
          <w:szCs w:val="20"/>
        </w:rPr>
        <w:t xml:space="preserve"> J. B</w:t>
      </w:r>
      <w:r w:rsidRPr="00640549">
        <w:rPr>
          <w:rFonts w:ascii="Times New Roman" w:hAnsi="Times New Roman" w:cs="Times New Roman"/>
          <w:sz w:val="20"/>
          <w:szCs w:val="20"/>
          <w:lang w:val="de-DE"/>
        </w:rPr>
        <w:t xml:space="preserve">öhme, </w:t>
      </w:r>
      <w:r w:rsidRPr="00640549">
        <w:rPr>
          <w:rFonts w:ascii="Times New Roman" w:hAnsi="Times New Roman" w:cs="Times New Roman"/>
          <w:i/>
          <w:sz w:val="20"/>
          <w:szCs w:val="20"/>
          <w:lang w:val="de-DE"/>
        </w:rPr>
        <w:t>De Aequanimitate oder von der wahren Gelassenheit</w:t>
      </w:r>
      <w:r w:rsidRPr="00640549">
        <w:rPr>
          <w:rFonts w:ascii="Times New Roman" w:hAnsi="Times New Roman" w:cs="Times New Roman"/>
          <w:sz w:val="20"/>
          <w:szCs w:val="20"/>
          <w:lang w:val="de-DE"/>
        </w:rPr>
        <w:t xml:space="preserve">, </w:t>
      </w:r>
      <w:r w:rsidRPr="00640549">
        <w:rPr>
          <w:rFonts w:ascii="Times New Roman" w:eastAsia="Times New Roman" w:hAnsi="Times New Roman" w:cs="Times New Roman"/>
          <w:color w:val="000000"/>
          <w:sz w:val="20"/>
          <w:szCs w:val="20"/>
        </w:rPr>
        <w:t xml:space="preserve">in </w:t>
      </w:r>
      <w:r w:rsidRPr="00640549">
        <w:rPr>
          <w:rFonts w:ascii="Times New Roman" w:eastAsia="Times New Roman" w:hAnsi="Times New Roman" w:cs="Times New Roman"/>
          <w:i/>
          <w:color w:val="000000"/>
          <w:sz w:val="20"/>
          <w:szCs w:val="20"/>
        </w:rPr>
        <w:t>Sämtliche Schriften</w:t>
      </w:r>
      <w:r w:rsidRPr="00640549">
        <w:rPr>
          <w:rFonts w:ascii="Times New Roman" w:eastAsia="Times New Roman" w:hAnsi="Times New Roman" w:cs="Times New Roman"/>
          <w:color w:val="000000"/>
          <w:sz w:val="20"/>
          <w:szCs w:val="20"/>
        </w:rPr>
        <w:t>, hrsg. von W.-E. Peuckert, Bd. IX, Fromman-Holzboog, Stuttgart 1956</w:t>
      </w:r>
      <w:r w:rsidRPr="00640549">
        <w:rPr>
          <w:rFonts w:ascii="Times New Roman" w:hAnsi="Times New Roman" w:cs="Times New Roman"/>
          <w:sz w:val="20"/>
          <w:szCs w:val="20"/>
          <w:lang w:val="de-DE"/>
        </w:rPr>
        <w:t>, S. 86-87.</w:t>
      </w:r>
    </w:p>
  </w:footnote>
  <w:footnote w:id="870">
    <w:p w14:paraId="1CF01AE7" w14:textId="07C79992" w:rsidR="00B34CC2" w:rsidRPr="006723A4" w:rsidRDefault="00B34CC2" w:rsidP="001C3D81">
      <w:pPr>
        <w:pStyle w:val="Testonotaapidipagina"/>
        <w:jc w:val="both"/>
        <w:rPr>
          <w:rFonts w:ascii="Times New Roman" w:hAnsi="Times New Roman" w:cs="Times New Roman"/>
          <w:sz w:val="20"/>
          <w:szCs w:val="20"/>
          <w:highlight w:val="yellow"/>
          <w:lang w:val="de-DE"/>
        </w:rPr>
      </w:pPr>
      <w:r w:rsidRPr="00E411D7">
        <w:rPr>
          <w:rStyle w:val="Rimandonotaapidipagina"/>
          <w:rFonts w:ascii="Times New Roman" w:hAnsi="Times New Roman" w:cs="Times New Roman"/>
          <w:sz w:val="20"/>
          <w:szCs w:val="20"/>
        </w:rPr>
        <w:footnoteRef/>
      </w:r>
      <w:r w:rsidRPr="00E411D7">
        <w:rPr>
          <w:rFonts w:ascii="Times New Roman" w:hAnsi="Times New Roman" w:cs="Times New Roman"/>
          <w:sz w:val="20"/>
          <w:szCs w:val="20"/>
        </w:rPr>
        <w:t xml:space="preserve">  Vgl. </w:t>
      </w:r>
      <w:r w:rsidRPr="00E411D7">
        <w:rPr>
          <w:rFonts w:ascii="Times New Roman" w:hAnsi="Times New Roman" w:cs="Times New Roman"/>
          <w:sz w:val="20"/>
          <w:szCs w:val="20"/>
          <w:lang w:val="de-DE"/>
        </w:rPr>
        <w:t xml:space="preserve">S. Edel, </w:t>
      </w:r>
      <w:r w:rsidRPr="00E411D7">
        <w:rPr>
          <w:rFonts w:ascii="Times New Roman" w:hAnsi="Times New Roman" w:cs="Times New Roman"/>
          <w:i/>
          <w:sz w:val="20"/>
          <w:szCs w:val="20"/>
          <w:lang w:val="de-DE"/>
        </w:rPr>
        <w:t>Die individuelle Substanz bei Böhme und Leibniz</w:t>
      </w:r>
      <w:r w:rsidRPr="00E411D7">
        <w:rPr>
          <w:rFonts w:ascii="Times New Roman" w:hAnsi="Times New Roman" w:cs="Times New Roman"/>
          <w:sz w:val="20"/>
          <w:szCs w:val="20"/>
          <w:lang w:val="de-DE"/>
        </w:rPr>
        <w:t>, Franz Steiner Verlag, Stuttgart 1995</w:t>
      </w:r>
      <w:r w:rsidRPr="00E411D7">
        <w:rPr>
          <w:rFonts w:ascii="Times New Roman" w:hAnsi="Times New Roman" w:cs="Times New Roman"/>
          <w:sz w:val="20"/>
          <w:szCs w:val="20"/>
        </w:rPr>
        <w:t xml:space="preserve">; A. Koyré, </w:t>
      </w:r>
      <w:r w:rsidRPr="00E411D7">
        <w:rPr>
          <w:rFonts w:ascii="Times New Roman" w:hAnsi="Times New Roman" w:cs="Times New Roman"/>
          <w:i/>
          <w:sz w:val="20"/>
          <w:szCs w:val="20"/>
        </w:rPr>
        <w:t>La philosophie de Jakob Boehme</w:t>
      </w:r>
      <w:r w:rsidRPr="00E411D7">
        <w:rPr>
          <w:rFonts w:ascii="Times New Roman" w:hAnsi="Times New Roman" w:cs="Times New Roman"/>
          <w:sz w:val="20"/>
          <w:szCs w:val="20"/>
        </w:rPr>
        <w:t xml:space="preserve">, Vrin, </w:t>
      </w:r>
      <w:r>
        <w:rPr>
          <w:rFonts w:ascii="Times New Roman" w:hAnsi="Times New Roman" w:cs="Times New Roman"/>
          <w:sz w:val="20"/>
          <w:szCs w:val="20"/>
        </w:rPr>
        <w:t xml:space="preserve">Paris 1928, </w:t>
      </w:r>
      <w:r w:rsidRPr="00E411D7">
        <w:rPr>
          <w:rFonts w:ascii="Times New Roman" w:hAnsi="Times New Roman" w:cs="Times New Roman"/>
          <w:sz w:val="20"/>
          <w:szCs w:val="20"/>
        </w:rPr>
        <w:t xml:space="preserve">S. 394-396; </w:t>
      </w:r>
      <w:r>
        <w:rPr>
          <w:rFonts w:ascii="Times New Roman" w:hAnsi="Times New Roman" w:cs="Times New Roman"/>
          <w:sz w:val="20"/>
          <w:szCs w:val="20"/>
        </w:rPr>
        <w:t xml:space="preserve">T. I. Penman, </w:t>
      </w:r>
      <w:r>
        <w:rPr>
          <w:rFonts w:ascii="Times New Roman" w:hAnsi="Times New Roman" w:cs="Times New Roman"/>
          <w:i/>
          <w:sz w:val="20"/>
          <w:szCs w:val="20"/>
        </w:rPr>
        <w:t>Boehme’s Intellectual Networks and the Heterodox Milieu</w:t>
      </w:r>
      <w:r>
        <w:rPr>
          <w:rFonts w:ascii="Times New Roman" w:hAnsi="Times New Roman" w:cs="Times New Roman"/>
          <w:sz w:val="20"/>
          <w:szCs w:val="20"/>
        </w:rPr>
        <w:t xml:space="preserve">, in </w:t>
      </w:r>
      <w:r>
        <w:rPr>
          <w:rFonts w:ascii="Times New Roman" w:hAnsi="Times New Roman" w:cs="Times New Roman"/>
          <w:i/>
          <w:sz w:val="20"/>
          <w:szCs w:val="20"/>
        </w:rPr>
        <w:t>An Introduction to Jocob Boehme</w:t>
      </w:r>
      <w:r>
        <w:rPr>
          <w:rFonts w:ascii="Times New Roman" w:hAnsi="Times New Roman" w:cs="Times New Roman"/>
          <w:sz w:val="20"/>
          <w:szCs w:val="20"/>
        </w:rPr>
        <w:t>, a.a.</w:t>
      </w:r>
      <w:r w:rsidRPr="008C11DD">
        <w:rPr>
          <w:rFonts w:ascii="Times New Roman" w:hAnsi="Times New Roman" w:cs="Times New Roman"/>
          <w:sz w:val="20"/>
          <w:szCs w:val="20"/>
        </w:rPr>
        <w:t>O</w:t>
      </w:r>
      <w:r>
        <w:rPr>
          <w:rFonts w:ascii="Times New Roman" w:hAnsi="Times New Roman" w:cs="Times New Roman"/>
          <w:sz w:val="20"/>
          <w:szCs w:val="20"/>
        </w:rPr>
        <w:t xml:space="preserve">, S. 57-77; </w:t>
      </w:r>
      <w:r w:rsidRPr="00E411D7">
        <w:rPr>
          <w:rFonts w:ascii="Times New Roman" w:hAnsi="Times New Roman" w:cs="Times New Roman"/>
          <w:sz w:val="20"/>
          <w:szCs w:val="20"/>
        </w:rPr>
        <w:t xml:space="preserve">C. O’Regan, </w:t>
      </w:r>
      <w:r w:rsidRPr="00E411D7">
        <w:rPr>
          <w:rFonts w:ascii="Times New Roman" w:hAnsi="Times New Roman" w:cs="Times New Roman"/>
          <w:i/>
          <w:sz w:val="20"/>
          <w:szCs w:val="20"/>
        </w:rPr>
        <w:t>Gnostic Apocalypse</w:t>
      </w:r>
      <w:r w:rsidRPr="00E411D7">
        <w:rPr>
          <w:rFonts w:ascii="Times New Roman" w:hAnsi="Times New Roman" w:cs="Times New Roman"/>
          <w:sz w:val="20"/>
          <w:szCs w:val="20"/>
        </w:rPr>
        <w:t>, State o</w:t>
      </w:r>
      <w:r>
        <w:rPr>
          <w:rFonts w:ascii="Times New Roman" w:hAnsi="Times New Roman" w:cs="Times New Roman"/>
          <w:sz w:val="20"/>
          <w:szCs w:val="20"/>
        </w:rPr>
        <w:t xml:space="preserve">f New York Press, Albany 2002, </w:t>
      </w:r>
      <w:r w:rsidRPr="00E411D7">
        <w:rPr>
          <w:rFonts w:ascii="Times New Roman" w:hAnsi="Times New Roman" w:cs="Times New Roman"/>
          <w:sz w:val="20"/>
          <w:szCs w:val="20"/>
        </w:rPr>
        <w:t xml:space="preserve">S. 193-205; W. Schmidt-Biggeman, </w:t>
      </w:r>
      <w:r w:rsidRPr="00E411D7">
        <w:rPr>
          <w:rFonts w:ascii="Times New Roman" w:hAnsi="Times New Roman" w:cs="Times New Roman"/>
          <w:i/>
          <w:sz w:val="20"/>
          <w:szCs w:val="20"/>
          <w:lang w:val="de-DE"/>
        </w:rPr>
        <w:t xml:space="preserve">Geschichte der christlichen Kabbala, </w:t>
      </w:r>
      <w:r w:rsidRPr="00E411D7">
        <w:rPr>
          <w:rFonts w:ascii="Times New Roman" w:hAnsi="Times New Roman" w:cs="Times New Roman"/>
          <w:sz w:val="20"/>
          <w:szCs w:val="20"/>
          <w:lang w:val="de-DE"/>
        </w:rPr>
        <w:t>Bd. II, Frommann-Ho</w:t>
      </w:r>
      <w:r>
        <w:rPr>
          <w:rFonts w:ascii="Times New Roman" w:hAnsi="Times New Roman" w:cs="Times New Roman"/>
          <w:sz w:val="20"/>
          <w:szCs w:val="20"/>
          <w:lang w:val="de-DE"/>
        </w:rPr>
        <w:t xml:space="preserve">lzboog Verlag, Stuttgart 2013, </w:t>
      </w:r>
      <w:r w:rsidRPr="00E411D7">
        <w:rPr>
          <w:rFonts w:ascii="Times New Roman" w:hAnsi="Times New Roman" w:cs="Times New Roman"/>
          <w:sz w:val="20"/>
          <w:szCs w:val="20"/>
          <w:lang w:val="de-DE"/>
        </w:rPr>
        <w:t>S. 187-235</w:t>
      </w:r>
      <w:r w:rsidRPr="00E411D7">
        <w:rPr>
          <w:rFonts w:ascii="Times New Roman" w:hAnsi="Times New Roman" w:cs="Times New Roman"/>
          <w:sz w:val="20"/>
          <w:szCs w:val="20"/>
        </w:rPr>
        <w:t xml:space="preserve">; G. Scholem, </w:t>
      </w:r>
      <w:r w:rsidRPr="005B6D1C">
        <w:rPr>
          <w:rFonts w:ascii="Times New Roman" w:hAnsi="Times New Roman" w:cs="Times New Roman"/>
          <w:i/>
          <w:sz w:val="20"/>
          <w:szCs w:val="20"/>
          <w:lang w:val="de-DE"/>
        </w:rPr>
        <w:t>Ursprung und Anfänge der Kabbala</w:t>
      </w:r>
      <w:r>
        <w:rPr>
          <w:rFonts w:ascii="Times New Roman" w:hAnsi="Times New Roman" w:cs="Times New Roman"/>
          <w:sz w:val="20"/>
          <w:szCs w:val="20"/>
        </w:rPr>
        <w:t>, a.a.</w:t>
      </w:r>
      <w:r w:rsidRPr="005B6D1C">
        <w:rPr>
          <w:rFonts w:ascii="Times New Roman" w:hAnsi="Times New Roman" w:cs="Times New Roman"/>
          <w:sz w:val="20"/>
          <w:szCs w:val="20"/>
        </w:rPr>
        <w:t xml:space="preserve">O., S. 298 und S. 386; G. Scholem, </w:t>
      </w:r>
      <w:r w:rsidRPr="005B6D1C">
        <w:rPr>
          <w:rFonts w:ascii="Times New Roman" w:hAnsi="Times New Roman" w:cs="Times New Roman"/>
          <w:i/>
          <w:sz w:val="20"/>
          <w:szCs w:val="20"/>
          <w:lang w:val="de-DE"/>
        </w:rPr>
        <w:t>Die jüdische Mystik in ihren Hauptströmungen</w:t>
      </w:r>
      <w:r>
        <w:rPr>
          <w:rFonts w:ascii="Times New Roman" w:hAnsi="Times New Roman" w:cs="Times New Roman"/>
          <w:sz w:val="20"/>
          <w:szCs w:val="20"/>
        </w:rPr>
        <w:t>, a.a.</w:t>
      </w:r>
      <w:r w:rsidRPr="005B6D1C">
        <w:rPr>
          <w:rFonts w:ascii="Times New Roman" w:hAnsi="Times New Roman" w:cs="Times New Roman"/>
          <w:sz w:val="20"/>
          <w:szCs w:val="20"/>
        </w:rPr>
        <w:t xml:space="preserve">O., S. 257-261; J. Schulitz, </w:t>
      </w:r>
      <w:r w:rsidRPr="005B6D1C">
        <w:rPr>
          <w:rFonts w:ascii="Times New Roman" w:hAnsi="Times New Roman" w:cs="Times New Roman"/>
          <w:i/>
          <w:sz w:val="20"/>
          <w:szCs w:val="20"/>
          <w:lang w:val="de-DE"/>
        </w:rPr>
        <w:t>Jakob Böhme und die Kabbala</w:t>
      </w:r>
      <w:r>
        <w:rPr>
          <w:rFonts w:ascii="Times New Roman" w:hAnsi="Times New Roman" w:cs="Times New Roman"/>
          <w:sz w:val="20"/>
          <w:szCs w:val="20"/>
        </w:rPr>
        <w:t>, a.a.</w:t>
      </w:r>
      <w:r w:rsidRPr="005B6D1C">
        <w:rPr>
          <w:rFonts w:ascii="Times New Roman" w:hAnsi="Times New Roman" w:cs="Times New Roman"/>
          <w:sz w:val="20"/>
          <w:szCs w:val="20"/>
        </w:rPr>
        <w:t>O</w:t>
      </w:r>
      <w:r w:rsidRPr="005B6D1C">
        <w:rPr>
          <w:rFonts w:ascii="Times New Roman" w:hAnsi="Times New Roman" w:cs="Times New Roman"/>
          <w:i/>
          <w:sz w:val="20"/>
          <w:szCs w:val="20"/>
        </w:rPr>
        <w:t>.</w:t>
      </w:r>
      <w:r w:rsidRPr="005B6D1C">
        <w:rPr>
          <w:rFonts w:ascii="Times New Roman" w:hAnsi="Times New Roman" w:cs="Times New Roman"/>
          <w:sz w:val="20"/>
          <w:szCs w:val="20"/>
        </w:rPr>
        <w:t>; W. A. Schulze,</w:t>
      </w:r>
      <w:r w:rsidRPr="005B6D1C">
        <w:rPr>
          <w:rFonts w:ascii="Times New Roman" w:hAnsi="Times New Roman" w:cs="Times New Roman"/>
          <w:i/>
          <w:sz w:val="20"/>
          <w:szCs w:val="20"/>
        </w:rPr>
        <w:t xml:space="preserve"> Jakob Böhme und die Kabbalah</w:t>
      </w:r>
      <w:r w:rsidRPr="005B6D1C">
        <w:rPr>
          <w:rFonts w:ascii="Times New Roman" w:hAnsi="Times New Roman" w:cs="Times New Roman"/>
          <w:sz w:val="20"/>
          <w:szCs w:val="20"/>
        </w:rPr>
        <w:t>, in «Zeitschrift für philosophische Forschung</w:t>
      </w:r>
      <w:r w:rsidRPr="005B6D1C">
        <w:rPr>
          <w:rFonts w:ascii="Times New Roman" w:eastAsia="Times New Roman" w:hAnsi="Times New Roman" w:cs="Times New Roman"/>
          <w:color w:val="000000"/>
          <w:sz w:val="20"/>
          <w:szCs w:val="20"/>
        </w:rPr>
        <w:t>», Bd. 9, Heft 3 (1955)</w:t>
      </w:r>
      <w:r w:rsidRPr="005B6D1C">
        <w:rPr>
          <w:rFonts w:ascii="Times New Roman" w:hAnsi="Times New Roman" w:cs="Times New Roman"/>
          <w:sz w:val="20"/>
          <w:szCs w:val="20"/>
        </w:rPr>
        <w:t>, S</w:t>
      </w:r>
      <w:r w:rsidRPr="005B6D1C">
        <w:rPr>
          <w:rFonts w:ascii="Times New Roman" w:eastAsia="Times New Roman" w:hAnsi="Times New Roman" w:cs="Times New Roman"/>
          <w:color w:val="000000"/>
          <w:sz w:val="20"/>
          <w:szCs w:val="20"/>
        </w:rPr>
        <w:t>. 447-460</w:t>
      </w:r>
      <w:r w:rsidRPr="005B6D1C">
        <w:rPr>
          <w:rFonts w:ascii="Times New Roman" w:hAnsi="Times New Roman" w:cs="Times New Roman"/>
          <w:sz w:val="20"/>
          <w:szCs w:val="20"/>
        </w:rPr>
        <w:t>.</w:t>
      </w:r>
    </w:p>
  </w:footnote>
  <w:footnote w:id="871">
    <w:p w14:paraId="4244D2FB" w14:textId="77777777" w:rsidR="00B34CC2" w:rsidRPr="00CD63B8" w:rsidRDefault="00B34CC2" w:rsidP="001C3D81">
      <w:pPr>
        <w:pStyle w:val="Testonotaapidipagina"/>
        <w:jc w:val="both"/>
        <w:rPr>
          <w:rFonts w:ascii="Times New Roman" w:hAnsi="Times New Roman" w:cs="Times New Roman"/>
          <w:sz w:val="20"/>
          <w:szCs w:val="20"/>
        </w:rPr>
      </w:pPr>
      <w:r w:rsidRPr="001D5EBA">
        <w:rPr>
          <w:rStyle w:val="Rimandonotaapidipagina"/>
          <w:rFonts w:ascii="Times New Roman" w:hAnsi="Times New Roman" w:cs="Times New Roman"/>
          <w:sz w:val="20"/>
          <w:szCs w:val="20"/>
        </w:rPr>
        <w:footnoteRef/>
      </w:r>
      <w:r>
        <w:rPr>
          <w:rFonts w:ascii="Times New Roman" w:hAnsi="Times New Roman" w:cs="Times New Roman"/>
          <w:i/>
          <w:sz w:val="20"/>
          <w:szCs w:val="20"/>
        </w:rPr>
        <w:t xml:space="preserve"> </w:t>
      </w:r>
      <w:r w:rsidRPr="001D5EBA">
        <w:rPr>
          <w:rFonts w:ascii="Times New Roman" w:hAnsi="Times New Roman" w:cs="Times New Roman"/>
          <w:i/>
          <w:sz w:val="20"/>
          <w:szCs w:val="20"/>
        </w:rPr>
        <w:t>The Zohar</w:t>
      </w:r>
      <w:r>
        <w:rPr>
          <w:rFonts w:ascii="Times New Roman" w:hAnsi="Times New Roman" w:cs="Times New Roman"/>
          <w:sz w:val="20"/>
          <w:szCs w:val="20"/>
        </w:rPr>
        <w:t>, translation and commen</w:t>
      </w:r>
      <w:r w:rsidRPr="001D5EBA">
        <w:rPr>
          <w:rFonts w:ascii="Times New Roman" w:hAnsi="Times New Roman" w:cs="Times New Roman"/>
          <w:sz w:val="20"/>
          <w:szCs w:val="20"/>
        </w:rPr>
        <w:t>tary by D. C. Matt, Stanford University Press, Stanford (California) 2004,</w:t>
      </w:r>
      <w:r>
        <w:rPr>
          <w:rFonts w:ascii="Times New Roman" w:hAnsi="Times New Roman" w:cs="Times New Roman"/>
          <w:sz w:val="20"/>
          <w:szCs w:val="20"/>
        </w:rPr>
        <w:t xml:space="preserve"> S</w:t>
      </w:r>
      <w:r w:rsidRPr="001D5EBA">
        <w:rPr>
          <w:rFonts w:ascii="Times New Roman" w:hAnsi="Times New Roman" w:cs="Times New Roman"/>
          <w:sz w:val="20"/>
          <w:szCs w:val="20"/>
        </w:rPr>
        <w:t>S.</w:t>
      </w:r>
      <w:r>
        <w:rPr>
          <w:rFonts w:ascii="Times New Roman" w:hAnsi="Times New Roman" w:cs="Times New Roman"/>
          <w:sz w:val="20"/>
          <w:szCs w:val="20"/>
        </w:rPr>
        <w:t xml:space="preserve"> </w:t>
      </w:r>
      <w:r w:rsidRPr="001D5EBA">
        <w:rPr>
          <w:rFonts w:ascii="Times New Roman" w:hAnsi="Times New Roman" w:cs="Times New Roman"/>
          <w:sz w:val="20"/>
          <w:szCs w:val="20"/>
        </w:rPr>
        <w:t>132-133.</w:t>
      </w:r>
    </w:p>
  </w:footnote>
  <w:footnote w:id="872">
    <w:p w14:paraId="655EB076" w14:textId="21C23A47" w:rsidR="00B34CC2" w:rsidRPr="005B4EE1" w:rsidRDefault="00B34CC2" w:rsidP="001C3D81">
      <w:pPr>
        <w:pStyle w:val="Testonotaapidipagina"/>
        <w:jc w:val="both"/>
        <w:rPr>
          <w:rFonts w:ascii="Times New Roman" w:hAnsi="Times New Roman" w:cs="Times New Roman"/>
          <w:sz w:val="20"/>
          <w:szCs w:val="20"/>
        </w:rPr>
      </w:pPr>
      <w:r w:rsidRPr="003B4794">
        <w:rPr>
          <w:rStyle w:val="Rimandonotaapidipagina"/>
          <w:rFonts w:ascii="Times New Roman" w:hAnsi="Times New Roman" w:cs="Times New Roman"/>
          <w:sz w:val="20"/>
          <w:szCs w:val="20"/>
        </w:rPr>
        <w:footnoteRef/>
      </w:r>
      <w:r w:rsidRPr="003B4794">
        <w:rPr>
          <w:rFonts w:ascii="Times New Roman" w:hAnsi="Times New Roman" w:cs="Times New Roman"/>
          <w:i/>
          <w:sz w:val="20"/>
          <w:szCs w:val="20"/>
        </w:rPr>
        <w:t xml:space="preserve"> </w:t>
      </w:r>
      <w:r w:rsidRPr="003B4794">
        <w:rPr>
          <w:rFonts w:ascii="Times New Roman" w:hAnsi="Times New Roman" w:cs="Times New Roman"/>
          <w:sz w:val="20"/>
          <w:szCs w:val="20"/>
        </w:rPr>
        <w:t xml:space="preserve">Zur fassung des Bösen als Feuer des Zornes und der Gerechtigkeit Gottes im </w:t>
      </w:r>
      <w:r w:rsidRPr="003B4794">
        <w:rPr>
          <w:rFonts w:ascii="Times New Roman" w:hAnsi="Times New Roman" w:cs="Times New Roman"/>
          <w:i/>
          <w:sz w:val="20"/>
          <w:szCs w:val="20"/>
        </w:rPr>
        <w:t xml:space="preserve">Zohar </w:t>
      </w:r>
      <w:r w:rsidRPr="003B4794">
        <w:rPr>
          <w:rFonts w:ascii="Times New Roman" w:hAnsi="Times New Roman" w:cs="Times New Roman"/>
          <w:sz w:val="20"/>
          <w:szCs w:val="20"/>
        </w:rPr>
        <w:t xml:space="preserve">siehe S.J. McGrath, </w:t>
      </w:r>
      <w:r w:rsidRPr="003B4794">
        <w:rPr>
          <w:rFonts w:ascii="Times New Roman" w:hAnsi="Times New Roman" w:cs="Times New Roman"/>
          <w:i/>
          <w:sz w:val="20"/>
          <w:szCs w:val="20"/>
        </w:rPr>
        <w:t xml:space="preserve">Boehme, Hegel, Schelling und die hermetische Theologie des Bösen, </w:t>
      </w:r>
      <w:r w:rsidRPr="003B4794">
        <w:rPr>
          <w:rFonts w:ascii="Times New Roman" w:hAnsi="Times New Roman" w:cs="Times New Roman"/>
          <w:sz w:val="20"/>
          <w:szCs w:val="20"/>
        </w:rPr>
        <w:t>in «Philosophy &amp; Theology</w:t>
      </w:r>
      <w:r w:rsidRPr="003B4794">
        <w:rPr>
          <w:rFonts w:ascii="Times New Roman" w:eastAsia="Times New Roman" w:hAnsi="Times New Roman" w:cs="Times New Roman"/>
          <w:color w:val="000000"/>
          <w:sz w:val="20"/>
          <w:szCs w:val="20"/>
        </w:rPr>
        <w:t>»</w:t>
      </w:r>
      <w:r w:rsidRPr="003B4794">
        <w:rPr>
          <w:rFonts w:ascii="Times New Roman" w:hAnsi="Times New Roman" w:cs="Times New Roman"/>
          <w:sz w:val="20"/>
          <w:szCs w:val="20"/>
        </w:rPr>
        <w:t>,</w:t>
      </w:r>
      <w:r w:rsidRPr="00B90717">
        <w:rPr>
          <w:rFonts w:ascii="Times New Roman" w:hAnsi="Times New Roman" w:cs="Times New Roman"/>
          <w:sz w:val="20"/>
          <w:szCs w:val="20"/>
        </w:rPr>
        <w:t xml:space="preserve"> XVIII/2 </w:t>
      </w:r>
      <w:r>
        <w:rPr>
          <w:rFonts w:ascii="Times New Roman" w:eastAsia="Times New Roman" w:hAnsi="Times New Roman" w:cs="Times New Roman"/>
          <w:color w:val="000000"/>
          <w:sz w:val="20"/>
          <w:szCs w:val="20"/>
        </w:rPr>
        <w:t>(2006), S</w:t>
      </w:r>
      <w:r w:rsidRPr="00B90717">
        <w:rPr>
          <w:rFonts w:ascii="Times New Roman" w:eastAsia="Times New Roman" w:hAnsi="Times New Roman" w:cs="Times New Roman"/>
          <w:color w:val="000000"/>
          <w:sz w:val="20"/>
          <w:szCs w:val="20"/>
        </w:rPr>
        <w:t>. 257-285; G. Scholem</w:t>
      </w:r>
      <w:r w:rsidRPr="00B90717">
        <w:rPr>
          <w:rFonts w:ascii="Times New Roman" w:hAnsi="Times New Roman" w:cs="Times New Roman"/>
          <w:sz w:val="20"/>
          <w:szCs w:val="20"/>
        </w:rPr>
        <w:t xml:space="preserve">, </w:t>
      </w:r>
      <w:r w:rsidRPr="005B4EE1">
        <w:rPr>
          <w:rFonts w:ascii="Times New Roman" w:hAnsi="Times New Roman" w:cs="Times New Roman"/>
          <w:i/>
          <w:sz w:val="20"/>
          <w:szCs w:val="20"/>
        </w:rPr>
        <w:t>Kabbala</w:t>
      </w:r>
      <w:r w:rsidRPr="00B90717">
        <w:rPr>
          <w:rFonts w:ascii="Times New Roman" w:hAnsi="Times New Roman" w:cs="Times New Roman"/>
          <w:sz w:val="20"/>
          <w:szCs w:val="20"/>
        </w:rPr>
        <w:t xml:space="preserve">, </w:t>
      </w:r>
      <w:r w:rsidRPr="005B4EE1">
        <w:rPr>
          <w:rFonts w:ascii="Times New Roman" w:hAnsi="Times New Roman" w:cs="Times New Roman"/>
          <w:sz w:val="20"/>
          <w:szCs w:val="20"/>
        </w:rPr>
        <w:t>a.a.O.,</w:t>
      </w:r>
      <w:r w:rsidRPr="00B90717">
        <w:rPr>
          <w:rFonts w:ascii="Times New Roman" w:hAnsi="Times New Roman" w:cs="Times New Roman"/>
          <w:i/>
          <w:sz w:val="20"/>
          <w:szCs w:val="20"/>
        </w:rPr>
        <w:t xml:space="preserve"> </w:t>
      </w:r>
      <w:r>
        <w:rPr>
          <w:rFonts w:ascii="Times New Roman" w:hAnsi="Times New Roman" w:cs="Times New Roman"/>
          <w:sz w:val="20"/>
          <w:szCs w:val="20"/>
        </w:rPr>
        <w:t>S</w:t>
      </w:r>
      <w:r w:rsidRPr="005B4EE1">
        <w:rPr>
          <w:rFonts w:ascii="Times New Roman" w:hAnsi="Times New Roman" w:cs="Times New Roman"/>
          <w:sz w:val="20"/>
          <w:szCs w:val="20"/>
        </w:rPr>
        <w:t>. 122-128.</w:t>
      </w:r>
    </w:p>
  </w:footnote>
  <w:footnote w:id="873">
    <w:p w14:paraId="7CA4916E" w14:textId="77777777" w:rsidR="00B34CC2" w:rsidRPr="007D20E5" w:rsidRDefault="00B34CC2" w:rsidP="001C3D81">
      <w:pPr>
        <w:pStyle w:val="Testonotaapidipagina"/>
        <w:jc w:val="both"/>
        <w:rPr>
          <w:rFonts w:ascii="Times New Roman" w:hAnsi="Times New Roman" w:cs="Times New Roman"/>
          <w:sz w:val="20"/>
          <w:szCs w:val="20"/>
        </w:rPr>
      </w:pPr>
      <w:r w:rsidRPr="00C239A0">
        <w:rPr>
          <w:rStyle w:val="Rimandonotaapidipagina"/>
          <w:rFonts w:ascii="Times New Roman" w:hAnsi="Times New Roman" w:cs="Times New Roman"/>
          <w:sz w:val="20"/>
          <w:szCs w:val="20"/>
        </w:rPr>
        <w:footnoteRef/>
      </w:r>
      <w:r w:rsidRPr="007D20E5">
        <w:rPr>
          <w:rFonts w:ascii="Times New Roman" w:hAnsi="Times New Roman" w:cs="Times New Roman"/>
          <w:i/>
          <w:sz w:val="20"/>
          <w:szCs w:val="20"/>
        </w:rPr>
        <w:t xml:space="preserve"> </w:t>
      </w:r>
      <w:r>
        <w:rPr>
          <w:rFonts w:ascii="Times New Roman" w:hAnsi="Times New Roman" w:cs="Times New Roman"/>
          <w:sz w:val="20"/>
          <w:szCs w:val="20"/>
        </w:rPr>
        <w:t xml:space="preserve">Vgl. </w:t>
      </w:r>
      <w:r w:rsidRPr="00C239A0">
        <w:rPr>
          <w:rFonts w:ascii="Times New Roman" w:hAnsi="Times New Roman" w:cs="Times New Roman"/>
          <w:sz w:val="20"/>
          <w:szCs w:val="20"/>
        </w:rPr>
        <w:t xml:space="preserve">P. Mayer, </w:t>
      </w:r>
      <w:r w:rsidRPr="00C239A0">
        <w:rPr>
          <w:rFonts w:ascii="Times New Roman" w:hAnsi="Times New Roman" w:cs="Times New Roman"/>
          <w:i/>
          <w:sz w:val="20"/>
          <w:szCs w:val="20"/>
        </w:rPr>
        <w:t>Jena Romanticism and Its Appropriation of Jakob Böhme</w:t>
      </w:r>
      <w:r w:rsidRPr="00C239A0">
        <w:rPr>
          <w:rFonts w:ascii="Times New Roman" w:hAnsi="Times New Roman" w:cs="Times New Roman"/>
          <w:sz w:val="20"/>
          <w:szCs w:val="20"/>
        </w:rPr>
        <w:t xml:space="preserve">, McGill-Queen's </w:t>
      </w:r>
      <w:r>
        <w:rPr>
          <w:rFonts w:ascii="Times New Roman" w:hAnsi="Times New Roman" w:cs="Times New Roman"/>
          <w:sz w:val="20"/>
          <w:szCs w:val="20"/>
        </w:rPr>
        <w:t>University Press, Montreal 1999; C. Muratori</w:t>
      </w:r>
      <w:r w:rsidRPr="007D20E5">
        <w:rPr>
          <w:rFonts w:ascii="Times New Roman" w:hAnsi="Times New Roman" w:cs="Times New Roman"/>
          <w:sz w:val="20"/>
          <w:szCs w:val="20"/>
        </w:rPr>
        <w:t xml:space="preserve">, </w:t>
      </w:r>
      <w:r w:rsidRPr="00705099">
        <w:rPr>
          <w:rFonts w:ascii="Times New Roman" w:hAnsi="Times New Roman" w:cs="Times New Roman"/>
          <w:i/>
          <w:sz w:val="20"/>
          <w:szCs w:val="20"/>
        </w:rPr>
        <w:t>The First German Philosopher</w:t>
      </w:r>
      <w:r>
        <w:rPr>
          <w:rFonts w:ascii="Times New Roman" w:hAnsi="Times New Roman" w:cs="Times New Roman"/>
          <w:sz w:val="20"/>
          <w:szCs w:val="20"/>
        </w:rPr>
        <w:t>, a.a.O., S. 1-29.</w:t>
      </w:r>
    </w:p>
  </w:footnote>
  <w:footnote w:id="874">
    <w:p w14:paraId="506C1EBF" w14:textId="77777777" w:rsidR="00B34CC2" w:rsidRDefault="00B34CC2" w:rsidP="001C3D81">
      <w:pPr>
        <w:pStyle w:val="Testonotaapidipagina"/>
        <w:jc w:val="both"/>
      </w:pPr>
      <w:r w:rsidRPr="008C1B5C">
        <w:rPr>
          <w:rStyle w:val="Rimandonotaapidipagina"/>
          <w:rFonts w:ascii="Times New Roman" w:hAnsi="Times New Roman" w:cs="Times New Roman"/>
          <w:sz w:val="20"/>
          <w:szCs w:val="20"/>
        </w:rPr>
        <w:footnoteRef/>
      </w:r>
      <w:r>
        <w:rPr>
          <w:rFonts w:ascii="Times New Roman" w:hAnsi="Times New Roman" w:cs="Times New Roman"/>
          <w:sz w:val="20"/>
          <w:szCs w:val="20"/>
        </w:rPr>
        <w:t xml:space="preserve"> F.W.J. Schelling, </w:t>
      </w:r>
      <w:r>
        <w:rPr>
          <w:rFonts w:ascii="Times New Roman" w:hAnsi="Times New Roman" w:cs="Times New Roman"/>
          <w:i/>
          <w:sz w:val="20"/>
          <w:szCs w:val="20"/>
        </w:rPr>
        <w:t>Philosophie und Religion</w:t>
      </w:r>
      <w:r>
        <w:rPr>
          <w:rFonts w:ascii="Times New Roman" w:hAnsi="Times New Roman" w:cs="Times New Roman"/>
          <w:sz w:val="20"/>
          <w:szCs w:val="20"/>
        </w:rPr>
        <w:t xml:space="preserve">, </w:t>
      </w:r>
      <w:r w:rsidRPr="008E2897">
        <w:rPr>
          <w:rFonts w:ascii="Times New Roman" w:hAnsi="Times New Roman" w:cs="Times New Roman"/>
          <w:sz w:val="20"/>
          <w:szCs w:val="20"/>
        </w:rPr>
        <w:t>in</w:t>
      </w:r>
      <w:r w:rsidRPr="008E2897">
        <w:rPr>
          <w:rFonts w:ascii="Times New Roman" w:hAnsi="Times New Roman" w:cs="Times New Roman"/>
          <w:i/>
          <w:sz w:val="20"/>
          <w:szCs w:val="20"/>
        </w:rPr>
        <w:t xml:space="preserve"> Schellings Werke</w:t>
      </w:r>
      <w:r>
        <w:rPr>
          <w:rFonts w:ascii="Times New Roman" w:hAnsi="Times New Roman" w:cs="Times New Roman"/>
          <w:sz w:val="20"/>
          <w:szCs w:val="20"/>
        </w:rPr>
        <w:t xml:space="preserve">, </w:t>
      </w:r>
      <w:r w:rsidRPr="008E2897">
        <w:rPr>
          <w:rFonts w:ascii="Times New Roman" w:hAnsi="Times New Roman" w:cs="Times New Roman"/>
          <w:sz w:val="20"/>
          <w:szCs w:val="20"/>
        </w:rPr>
        <w:t>hrsg. von M. Schröder,</w:t>
      </w:r>
      <w:r w:rsidRPr="00B82AB5">
        <w:rPr>
          <w:rFonts w:ascii="Times New Roman" w:hAnsi="Times New Roman" w:cs="Times New Roman"/>
          <w:sz w:val="20"/>
          <w:szCs w:val="20"/>
        </w:rPr>
        <w:t xml:space="preserve"> </w:t>
      </w:r>
      <w:r>
        <w:rPr>
          <w:rFonts w:ascii="Times New Roman" w:hAnsi="Times New Roman" w:cs="Times New Roman"/>
          <w:sz w:val="20"/>
          <w:szCs w:val="20"/>
        </w:rPr>
        <w:t>Bd. IV,</w:t>
      </w:r>
      <w:r w:rsidRPr="008E2897">
        <w:rPr>
          <w:rFonts w:ascii="Times New Roman" w:hAnsi="Times New Roman" w:cs="Times New Roman"/>
          <w:sz w:val="20"/>
          <w:szCs w:val="20"/>
        </w:rPr>
        <w:t xml:space="preserve"> C. Beck Verlag, München 1971</w:t>
      </w:r>
      <w:r w:rsidRPr="009502F6">
        <w:rPr>
          <w:rFonts w:ascii="Times New Roman" w:hAnsi="Times New Roman" w:cs="Times New Roman"/>
          <w:sz w:val="20"/>
          <w:szCs w:val="20"/>
        </w:rPr>
        <w:t>,</w:t>
      </w:r>
      <w:r w:rsidRPr="009E22D0">
        <w:rPr>
          <w:rFonts w:ascii="Times New Roman" w:hAnsi="Times New Roman" w:cs="Times New Roman"/>
          <w:i/>
          <w:sz w:val="20"/>
          <w:szCs w:val="20"/>
        </w:rPr>
        <w:t xml:space="preserve"> </w:t>
      </w:r>
      <w:r>
        <w:rPr>
          <w:rFonts w:ascii="Times New Roman" w:hAnsi="Times New Roman" w:cs="Times New Roman"/>
          <w:sz w:val="20"/>
          <w:szCs w:val="20"/>
        </w:rPr>
        <w:t>S. 33.</w:t>
      </w:r>
    </w:p>
  </w:footnote>
  <w:footnote w:id="875">
    <w:p w14:paraId="5EE473E8" w14:textId="0C8E85BA" w:rsidR="00B34CC2" w:rsidRPr="0002574A" w:rsidRDefault="00B34CC2" w:rsidP="001C3D81">
      <w:pPr>
        <w:pStyle w:val="Testonotaapidipagina"/>
        <w:jc w:val="both"/>
        <w:rPr>
          <w:rFonts w:ascii="Times New Roman" w:hAnsi="Times New Roman" w:cs="Times New Roman"/>
          <w:i/>
          <w:sz w:val="20"/>
          <w:szCs w:val="20"/>
        </w:rPr>
      </w:pPr>
      <w:r w:rsidRPr="00FF5A61">
        <w:rPr>
          <w:rStyle w:val="Rimandonotaapidipagina"/>
          <w:rFonts w:ascii="Times New Roman" w:hAnsi="Times New Roman" w:cs="Times New Roman"/>
          <w:sz w:val="20"/>
          <w:szCs w:val="20"/>
        </w:rPr>
        <w:footnoteRef/>
      </w:r>
      <w:r w:rsidRPr="00FF5A61">
        <w:rPr>
          <w:rFonts w:ascii="Times New Roman" w:hAnsi="Times New Roman" w:cs="Times New Roman"/>
          <w:i/>
          <w:sz w:val="20"/>
          <w:szCs w:val="20"/>
        </w:rPr>
        <w:t xml:space="preserve"> </w:t>
      </w:r>
      <w:r w:rsidRPr="00FF5A61">
        <w:rPr>
          <w:rFonts w:ascii="Times New Roman" w:hAnsi="Times New Roman" w:cs="Times New Roman"/>
          <w:sz w:val="20"/>
          <w:szCs w:val="20"/>
        </w:rPr>
        <w:t>Ebd., S. 33: „Das Negative, das Reich des Nichts vom Reiche der Realität und dem einzig Positiven durch eine scheidende Grenze geschieden ist, da jenes erst nach dieser Scheidung wieder hervorstrahlen konnte. Wer das gute Princip ohne das b</w:t>
      </w:r>
      <w:r w:rsidRPr="00FF5A61">
        <w:rPr>
          <w:rFonts w:ascii="Times New Roman" w:eastAsia="Times New Roman" w:hAnsi="Times New Roman" w:cs="Times New Roman"/>
          <w:color w:val="000000"/>
          <w:sz w:val="20"/>
          <w:szCs w:val="20"/>
        </w:rPr>
        <w:t>öse</w:t>
      </w:r>
      <w:r w:rsidRPr="00FF5A61">
        <w:rPr>
          <w:rFonts w:ascii="Times New Roman" w:hAnsi="Times New Roman" w:cs="Times New Roman"/>
          <w:sz w:val="20"/>
          <w:szCs w:val="20"/>
        </w:rPr>
        <w:t xml:space="preserve"> zu erkennen meynt, befindet sich in dem gr</w:t>
      </w:r>
      <w:r w:rsidRPr="00FF5A61">
        <w:rPr>
          <w:rFonts w:ascii="Times New Roman" w:eastAsia="Times New Roman" w:hAnsi="Times New Roman" w:cs="Times New Roman"/>
          <w:color w:val="000000"/>
          <w:sz w:val="20"/>
          <w:szCs w:val="20"/>
        </w:rPr>
        <w:t xml:space="preserve">össten aller Irrthümer”. In Übereinstimmung mit </w:t>
      </w:r>
      <w:r w:rsidRPr="00FF5A61">
        <w:rPr>
          <w:rFonts w:ascii="Times New Roman" w:eastAsia="Times New Roman" w:hAnsi="Times New Roman" w:cs="Times New Roman"/>
          <w:i/>
          <w:color w:val="000000"/>
          <w:sz w:val="20"/>
          <w:szCs w:val="20"/>
        </w:rPr>
        <w:t>Philosophie und Religion</w:t>
      </w:r>
      <w:r w:rsidRPr="00FF5A61">
        <w:rPr>
          <w:rFonts w:ascii="Times New Roman" w:eastAsia="Times New Roman" w:hAnsi="Times New Roman" w:cs="Times New Roman"/>
          <w:color w:val="000000"/>
          <w:sz w:val="20"/>
          <w:szCs w:val="20"/>
        </w:rPr>
        <w:t xml:space="preserve"> vergleicht man Schellings </w:t>
      </w:r>
      <w:r w:rsidRPr="00FF5A61">
        <w:rPr>
          <w:rFonts w:ascii="Times New Roman" w:eastAsia="Times New Roman" w:hAnsi="Times New Roman" w:cs="Times New Roman"/>
          <w:i/>
          <w:color w:val="000000"/>
          <w:sz w:val="20"/>
          <w:szCs w:val="20"/>
        </w:rPr>
        <w:t>Stuttgarter Privatvorlesungen</w:t>
      </w:r>
      <w:r w:rsidRPr="00FF5A61">
        <w:rPr>
          <w:rFonts w:ascii="Times New Roman" w:eastAsia="Times New Roman" w:hAnsi="Times New Roman" w:cs="Times New Roman"/>
          <w:color w:val="000000"/>
          <w:sz w:val="20"/>
          <w:szCs w:val="20"/>
        </w:rPr>
        <w:t>:</w:t>
      </w:r>
      <w:r w:rsidRPr="00FF5A61">
        <w:rPr>
          <w:rFonts w:ascii="Times New Roman" w:eastAsia="Times New Roman" w:hAnsi="Times New Roman" w:cs="Times New Roman"/>
          <w:i/>
          <w:color w:val="000000"/>
          <w:sz w:val="20"/>
          <w:szCs w:val="20"/>
        </w:rPr>
        <w:t xml:space="preserve"> </w:t>
      </w:r>
      <w:r w:rsidRPr="00FF5A61">
        <w:rPr>
          <w:rFonts w:ascii="Times New Roman" w:eastAsia="Times New Roman" w:hAnsi="Times New Roman" w:cs="Times New Roman"/>
          <w:color w:val="000000"/>
          <w:sz w:val="20"/>
          <w:szCs w:val="20"/>
        </w:rPr>
        <w:t xml:space="preserve">„In uns sind zwei Principien in sich, ein bewußtloses, dunkles, und ein bewußtes. Der Prozeß unserer Selbstbildung, […] so besteht dieser Prozeß immer darin, das in uns bewußtlos Vorhandene zum Bewußtseyn zu erheben, </w:t>
      </w:r>
      <w:r w:rsidRPr="003B4794">
        <w:rPr>
          <w:rFonts w:ascii="Times New Roman" w:eastAsia="Times New Roman" w:hAnsi="Times New Roman" w:cs="Times New Roman"/>
          <w:color w:val="000000"/>
          <w:sz w:val="20"/>
          <w:szCs w:val="20"/>
        </w:rPr>
        <w:t>das angeborene Dunkel in uns in das Licht zu erheben, mit einem Wort zur Klarheit zu gelangen. Dasselbe in Gott” (</w:t>
      </w:r>
      <w:r w:rsidRPr="003B4794">
        <w:rPr>
          <w:rFonts w:ascii="Times New Roman" w:hAnsi="Times New Roman" w:cs="Times New Roman"/>
          <w:sz w:val="20"/>
          <w:szCs w:val="20"/>
        </w:rPr>
        <w:t xml:space="preserve">F.W.J. Schelling, </w:t>
      </w:r>
      <w:r w:rsidRPr="003B4794">
        <w:rPr>
          <w:rFonts w:ascii="Times New Roman" w:eastAsia="Times New Roman" w:hAnsi="Times New Roman" w:cs="Times New Roman"/>
          <w:i/>
          <w:color w:val="000000"/>
          <w:sz w:val="20"/>
          <w:szCs w:val="20"/>
        </w:rPr>
        <w:t>Stuttgarter Privatvorlesungen</w:t>
      </w:r>
      <w:r w:rsidRPr="003B4794">
        <w:rPr>
          <w:rFonts w:ascii="Times New Roman" w:eastAsia="Times New Roman" w:hAnsi="Times New Roman" w:cs="Times New Roman"/>
          <w:color w:val="000000"/>
          <w:sz w:val="20"/>
          <w:szCs w:val="20"/>
        </w:rPr>
        <w:t>,</w:t>
      </w:r>
      <w:r w:rsidRPr="003B4794">
        <w:rPr>
          <w:rFonts w:ascii="Times New Roman" w:hAnsi="Times New Roman" w:cs="Times New Roman"/>
          <w:sz w:val="20"/>
          <w:szCs w:val="20"/>
        </w:rPr>
        <w:t xml:space="preserve"> in</w:t>
      </w:r>
      <w:r w:rsidRPr="003B4794">
        <w:rPr>
          <w:rFonts w:ascii="Times New Roman" w:hAnsi="Times New Roman" w:cs="Times New Roman"/>
          <w:i/>
          <w:sz w:val="20"/>
          <w:szCs w:val="20"/>
        </w:rPr>
        <w:t xml:space="preserve"> Schellings Werke</w:t>
      </w:r>
      <w:r w:rsidRPr="003B4794">
        <w:rPr>
          <w:rFonts w:ascii="Times New Roman" w:eastAsia="Times New Roman" w:hAnsi="Times New Roman" w:cs="Times New Roman"/>
          <w:color w:val="000000"/>
          <w:sz w:val="20"/>
          <w:szCs w:val="20"/>
        </w:rPr>
        <w:t xml:space="preserve">, </w:t>
      </w:r>
      <w:r w:rsidRPr="003B4794">
        <w:rPr>
          <w:rFonts w:ascii="Times New Roman" w:hAnsi="Times New Roman" w:cs="Times New Roman"/>
          <w:sz w:val="20"/>
          <w:szCs w:val="20"/>
        </w:rPr>
        <w:t>hrsg. von M. Schröder, Bd. IV, C. Beck Verlag, München 1971</w:t>
      </w:r>
      <w:r w:rsidRPr="003B4794">
        <w:rPr>
          <w:rFonts w:ascii="Times New Roman" w:eastAsia="Times New Roman" w:hAnsi="Times New Roman" w:cs="Times New Roman"/>
          <w:color w:val="000000"/>
          <w:sz w:val="20"/>
          <w:szCs w:val="20"/>
        </w:rPr>
        <w:t>, S. 325).</w:t>
      </w:r>
      <w:r w:rsidRPr="00D85A6B">
        <w:rPr>
          <w:rFonts w:ascii="Times New Roman" w:eastAsia="Times New Roman" w:hAnsi="Times New Roman" w:cs="Times New Roman"/>
          <w:color w:val="000000"/>
          <w:sz w:val="20"/>
          <w:szCs w:val="20"/>
        </w:rPr>
        <w:t xml:space="preserve"> </w:t>
      </w:r>
    </w:p>
  </w:footnote>
  <w:footnote w:id="876">
    <w:p w14:paraId="7D3F620B" w14:textId="77777777" w:rsidR="00B34CC2" w:rsidRPr="00901CCC" w:rsidRDefault="00B34CC2" w:rsidP="001C3D81">
      <w:pPr>
        <w:pStyle w:val="Testonotaapidipagina"/>
        <w:rPr>
          <w:rFonts w:ascii="Times New Roman" w:hAnsi="Times New Roman" w:cs="Times New Roman"/>
          <w:sz w:val="20"/>
          <w:szCs w:val="20"/>
        </w:rPr>
      </w:pPr>
      <w:r w:rsidRPr="0002574A">
        <w:rPr>
          <w:rStyle w:val="Rimandonotaapidipagina"/>
          <w:rFonts w:ascii="Times New Roman" w:hAnsi="Times New Roman" w:cs="Times New Roman"/>
          <w:sz w:val="20"/>
          <w:szCs w:val="20"/>
        </w:rPr>
        <w:footnoteRef/>
      </w:r>
      <w:r w:rsidRPr="0002574A">
        <w:rPr>
          <w:rFonts w:ascii="Times New Roman" w:hAnsi="Times New Roman" w:cs="Times New Roman"/>
          <w:i/>
          <w:sz w:val="20"/>
          <w:szCs w:val="20"/>
        </w:rPr>
        <w:t xml:space="preserve"> Ebd</w:t>
      </w:r>
      <w:r w:rsidRPr="0002574A">
        <w:rPr>
          <w:rFonts w:ascii="Times New Roman" w:hAnsi="Times New Roman" w:cs="Times New Roman"/>
          <w:sz w:val="20"/>
          <w:szCs w:val="20"/>
        </w:rPr>
        <w:t>.</w:t>
      </w:r>
    </w:p>
  </w:footnote>
  <w:footnote w:id="877">
    <w:p w14:paraId="03A14D3D" w14:textId="33426AEB" w:rsidR="00B34CC2" w:rsidRPr="00E462A0" w:rsidRDefault="00B34CC2" w:rsidP="001C3D81">
      <w:pPr>
        <w:pStyle w:val="Testonotaapidipagina"/>
        <w:jc w:val="both"/>
        <w:rPr>
          <w:rFonts w:ascii="Times New Roman" w:hAnsi="Times New Roman" w:cs="Times New Roman"/>
          <w:sz w:val="20"/>
          <w:szCs w:val="20"/>
          <w:lang w:val="de-DE"/>
        </w:rPr>
      </w:pPr>
      <w:r w:rsidRPr="000D3F30">
        <w:rPr>
          <w:rStyle w:val="Rimandonotaapidipagina"/>
          <w:rFonts w:ascii="Times New Roman" w:hAnsi="Times New Roman" w:cs="Times New Roman"/>
          <w:sz w:val="20"/>
          <w:szCs w:val="20"/>
        </w:rPr>
        <w:footnoteRef/>
      </w:r>
      <w:r w:rsidRPr="000D3F30">
        <w:rPr>
          <w:rFonts w:ascii="Times New Roman" w:hAnsi="Times New Roman" w:cs="Times New Roman"/>
          <w:sz w:val="20"/>
          <w:szCs w:val="20"/>
        </w:rPr>
        <w:t xml:space="preserve"> </w:t>
      </w:r>
      <w:r>
        <w:rPr>
          <w:rFonts w:ascii="Times New Roman" w:hAnsi="Times New Roman" w:cs="Times New Roman"/>
          <w:sz w:val="20"/>
          <w:szCs w:val="20"/>
        </w:rPr>
        <w:t xml:space="preserve">In Bezug  den Brief von Schubert siehe </w:t>
      </w:r>
      <w:r w:rsidRPr="008B59DB">
        <w:rPr>
          <w:rFonts w:ascii="Times New Roman" w:hAnsi="Times New Roman" w:cs="Times New Roman"/>
          <w:sz w:val="20"/>
          <w:szCs w:val="20"/>
        </w:rPr>
        <w:t xml:space="preserve">F.W.J. Schelling, </w:t>
      </w:r>
      <w:r w:rsidRPr="008B59DB">
        <w:rPr>
          <w:rFonts w:ascii="Times New Roman" w:hAnsi="Times New Roman" w:cs="Times New Roman"/>
          <w:i/>
          <w:sz w:val="20"/>
          <w:szCs w:val="20"/>
        </w:rPr>
        <w:t>Briefe und Dokumente III</w:t>
      </w:r>
      <w:r w:rsidRPr="008B59DB">
        <w:rPr>
          <w:rFonts w:ascii="Times New Roman" w:hAnsi="Times New Roman" w:cs="Times New Roman"/>
          <w:sz w:val="20"/>
          <w:szCs w:val="20"/>
        </w:rPr>
        <w:t>,</w:t>
      </w:r>
      <w:r>
        <w:rPr>
          <w:rFonts w:ascii="Times New Roman" w:hAnsi="Times New Roman" w:cs="Times New Roman"/>
          <w:sz w:val="20"/>
          <w:szCs w:val="20"/>
        </w:rPr>
        <w:t xml:space="preserve"> </w:t>
      </w:r>
      <w:r w:rsidRPr="00E9695B">
        <w:rPr>
          <w:rFonts w:ascii="Times New Roman" w:hAnsi="Times New Roman" w:cs="Times New Roman"/>
          <w:sz w:val="20"/>
          <w:szCs w:val="20"/>
        </w:rPr>
        <w:t>hrsg. von H. Fuhrmans, Bouvier, Bonn 1975,</w:t>
      </w:r>
      <w:r>
        <w:rPr>
          <w:rFonts w:ascii="Times New Roman" w:hAnsi="Times New Roman" w:cs="Times New Roman"/>
          <w:sz w:val="20"/>
          <w:szCs w:val="20"/>
        </w:rPr>
        <w:t xml:space="preserve"> S</w:t>
      </w:r>
      <w:r w:rsidRPr="00E9695B">
        <w:rPr>
          <w:rFonts w:ascii="Times New Roman" w:hAnsi="Times New Roman" w:cs="Times New Roman"/>
          <w:sz w:val="20"/>
          <w:szCs w:val="20"/>
        </w:rPr>
        <w:t>. 160</w:t>
      </w:r>
      <w:r w:rsidRPr="008B59DB">
        <w:rPr>
          <w:rFonts w:ascii="Times New Roman" w:eastAsia="Times New Roman" w:hAnsi="Times New Roman" w:cs="Times New Roman"/>
          <w:color w:val="000000"/>
          <w:sz w:val="20"/>
          <w:szCs w:val="20"/>
        </w:rPr>
        <w:t>.</w:t>
      </w:r>
      <w:r>
        <w:rPr>
          <w:rFonts w:ascii="Times New Roman" w:eastAsia="Times New Roman" w:hAnsi="Times New Roman" w:cs="Times New Roman"/>
          <w:color w:val="000000"/>
          <w:sz w:val="20"/>
          <w:szCs w:val="20"/>
        </w:rPr>
        <w:t xml:space="preserve"> Zum Briefwechsel von Schelling und Preziger vgl. </w:t>
      </w:r>
      <w:r w:rsidRPr="004B13FC">
        <w:rPr>
          <w:rFonts w:ascii="Times New Roman" w:eastAsia="Times New Roman" w:hAnsi="Times New Roman" w:cs="Times New Roman"/>
          <w:i/>
          <w:color w:val="000000"/>
          <w:sz w:val="20"/>
          <w:szCs w:val="20"/>
        </w:rPr>
        <w:t>Schellings Leben. In Briefen</w:t>
      </w:r>
      <w:r>
        <w:rPr>
          <w:rFonts w:ascii="Times New Roman" w:eastAsia="Times New Roman" w:hAnsi="Times New Roman" w:cs="Times New Roman"/>
          <w:color w:val="000000"/>
          <w:sz w:val="20"/>
          <w:szCs w:val="20"/>
        </w:rPr>
        <w:t xml:space="preserve">, hrsg. von G. L. Plitt, </w:t>
      </w:r>
      <w:r w:rsidRPr="004B13FC">
        <w:rPr>
          <w:rFonts w:ascii="Times New Roman" w:eastAsia="Times New Roman" w:hAnsi="Times New Roman" w:cs="Times New Roman"/>
          <w:i/>
          <w:color w:val="000000"/>
          <w:sz w:val="20"/>
          <w:szCs w:val="20"/>
        </w:rPr>
        <w:t>Zweiter Band</w:t>
      </w:r>
      <w:r>
        <w:rPr>
          <w:rFonts w:ascii="Times New Roman" w:eastAsia="Times New Roman" w:hAnsi="Times New Roman" w:cs="Times New Roman"/>
          <w:color w:val="000000"/>
          <w:sz w:val="20"/>
          <w:szCs w:val="20"/>
        </w:rPr>
        <w:t xml:space="preserve"> </w:t>
      </w:r>
      <w:r w:rsidRPr="004B13FC">
        <w:rPr>
          <w:rFonts w:ascii="Times New Roman" w:eastAsia="Times New Roman" w:hAnsi="Times New Roman" w:cs="Times New Roman"/>
          <w:i/>
          <w:color w:val="000000"/>
          <w:sz w:val="20"/>
          <w:szCs w:val="20"/>
        </w:rPr>
        <w:t>1803-1820</w:t>
      </w:r>
      <w:r>
        <w:rPr>
          <w:rFonts w:ascii="Times New Roman" w:eastAsia="Times New Roman" w:hAnsi="Times New Roman" w:cs="Times New Roman"/>
          <w:color w:val="000000"/>
          <w:sz w:val="20"/>
          <w:szCs w:val="20"/>
        </w:rPr>
        <w:t xml:space="preserve">, Verlag von S. Hirzel, Leipzig 1870, S. 178-179. </w:t>
      </w:r>
    </w:p>
  </w:footnote>
  <w:footnote w:id="878">
    <w:p w14:paraId="5E1CDFC5" w14:textId="77777777" w:rsidR="00B34CC2" w:rsidRPr="00E462A0" w:rsidRDefault="00B34CC2" w:rsidP="001C3D81">
      <w:pPr>
        <w:pStyle w:val="Testonotaapidipagina"/>
        <w:jc w:val="both"/>
        <w:rPr>
          <w:rFonts w:ascii="Times New Roman" w:hAnsi="Times New Roman" w:cs="Times New Roman"/>
          <w:sz w:val="20"/>
          <w:szCs w:val="20"/>
        </w:rPr>
      </w:pPr>
      <w:r w:rsidRPr="00E462A0">
        <w:rPr>
          <w:rStyle w:val="Rimandonotaapidipagina"/>
          <w:rFonts w:ascii="Times New Roman" w:hAnsi="Times New Roman" w:cs="Times New Roman"/>
          <w:sz w:val="20"/>
          <w:szCs w:val="20"/>
        </w:rPr>
        <w:footnoteRef/>
      </w:r>
      <w:r>
        <w:rPr>
          <w:rFonts w:ascii="Times New Roman" w:hAnsi="Times New Roman" w:cs="Times New Roman"/>
          <w:sz w:val="20"/>
          <w:szCs w:val="20"/>
        </w:rPr>
        <w:t xml:space="preserve"> </w:t>
      </w:r>
      <w:r w:rsidRPr="008E2897">
        <w:rPr>
          <w:rFonts w:ascii="Times New Roman" w:hAnsi="Times New Roman" w:cs="Times New Roman"/>
          <w:sz w:val="20"/>
          <w:szCs w:val="20"/>
        </w:rPr>
        <w:t>F.W.J. Schelling</w:t>
      </w:r>
      <w:r>
        <w:rPr>
          <w:rFonts w:ascii="Times New Roman" w:hAnsi="Times New Roman" w:cs="Times New Roman"/>
          <w:sz w:val="20"/>
          <w:szCs w:val="20"/>
        </w:rPr>
        <w:t xml:space="preserve">, </w:t>
      </w:r>
      <w:r>
        <w:rPr>
          <w:rFonts w:ascii="Times New Roman" w:hAnsi="Times New Roman" w:cs="Times New Roman"/>
          <w:i/>
          <w:sz w:val="20"/>
          <w:szCs w:val="20"/>
        </w:rPr>
        <w:t xml:space="preserve">Briefe und Dokumente II, </w:t>
      </w:r>
      <w:r>
        <w:rPr>
          <w:rFonts w:ascii="Times New Roman" w:hAnsi="Times New Roman" w:cs="Times New Roman"/>
          <w:sz w:val="20"/>
          <w:szCs w:val="20"/>
        </w:rPr>
        <w:t xml:space="preserve">hrsg. von H. Fuhrmans, Bouvier, Bonn 1973, S. 414. </w:t>
      </w:r>
    </w:p>
  </w:footnote>
  <w:footnote w:id="879">
    <w:p w14:paraId="14C174C4" w14:textId="77777777" w:rsidR="00B34CC2" w:rsidRPr="00E462A0" w:rsidRDefault="00B34CC2" w:rsidP="001C3D81">
      <w:pPr>
        <w:pStyle w:val="Testonotaapidipagina"/>
        <w:jc w:val="both"/>
        <w:rPr>
          <w:rFonts w:ascii="Times New Roman" w:hAnsi="Times New Roman" w:cs="Times New Roman"/>
          <w:sz w:val="20"/>
          <w:szCs w:val="20"/>
        </w:rPr>
      </w:pPr>
      <w:r w:rsidRPr="00E462A0">
        <w:rPr>
          <w:rStyle w:val="Rimandonotaapidipagina"/>
          <w:rFonts w:ascii="Times New Roman" w:hAnsi="Times New Roman" w:cs="Times New Roman"/>
          <w:sz w:val="20"/>
          <w:szCs w:val="20"/>
        </w:rPr>
        <w:footnoteRef/>
      </w:r>
      <w:r w:rsidRPr="00E462A0">
        <w:rPr>
          <w:rFonts w:ascii="Times New Roman" w:eastAsia="Times New Roman" w:hAnsi="Times New Roman" w:cs="Times New Roman"/>
          <w:i/>
          <w:color w:val="000000"/>
          <w:sz w:val="20"/>
          <w:szCs w:val="20"/>
        </w:rPr>
        <w:t xml:space="preserve"> Schellings Leben. In Briefen</w:t>
      </w:r>
      <w:r w:rsidRPr="00E462A0">
        <w:rPr>
          <w:rFonts w:ascii="Times New Roman" w:eastAsia="Times New Roman" w:hAnsi="Times New Roman" w:cs="Times New Roman"/>
          <w:color w:val="000000"/>
          <w:sz w:val="20"/>
          <w:szCs w:val="20"/>
        </w:rPr>
        <w:t>, a.a.</w:t>
      </w:r>
      <w:r>
        <w:rPr>
          <w:rFonts w:ascii="Times New Roman" w:eastAsia="Times New Roman" w:hAnsi="Times New Roman" w:cs="Times New Roman"/>
          <w:color w:val="000000"/>
          <w:sz w:val="20"/>
          <w:szCs w:val="20"/>
        </w:rPr>
        <w:t xml:space="preserve">O., </w:t>
      </w:r>
      <w:r w:rsidRPr="00E462A0">
        <w:rPr>
          <w:rFonts w:ascii="Times New Roman" w:eastAsia="Times New Roman" w:hAnsi="Times New Roman" w:cs="Times New Roman"/>
          <w:color w:val="000000"/>
          <w:sz w:val="20"/>
          <w:szCs w:val="20"/>
        </w:rPr>
        <w:t>S. 11</w:t>
      </w:r>
      <w:r>
        <w:rPr>
          <w:rFonts w:ascii="Times New Roman" w:eastAsia="Times New Roman" w:hAnsi="Times New Roman" w:cs="Times New Roman"/>
          <w:color w:val="000000"/>
          <w:sz w:val="20"/>
          <w:szCs w:val="20"/>
        </w:rPr>
        <w:t xml:space="preserve">. </w:t>
      </w:r>
    </w:p>
  </w:footnote>
  <w:footnote w:id="880">
    <w:p w14:paraId="5CA941C4" w14:textId="77777777" w:rsidR="00B34CC2" w:rsidRPr="00313076" w:rsidRDefault="00B34CC2" w:rsidP="001C3D81">
      <w:pPr>
        <w:pStyle w:val="Testonotaapidipagina"/>
        <w:rPr>
          <w:rFonts w:ascii="Times New Roman" w:hAnsi="Times New Roman" w:cs="Times New Roman"/>
          <w:sz w:val="20"/>
          <w:szCs w:val="20"/>
          <w:lang w:val="de-DE"/>
        </w:rPr>
      </w:pPr>
      <w:r w:rsidRPr="00313076">
        <w:rPr>
          <w:rStyle w:val="Rimandonotaapidipagina"/>
          <w:rFonts w:ascii="Times New Roman" w:hAnsi="Times New Roman" w:cs="Times New Roman"/>
          <w:sz w:val="20"/>
          <w:szCs w:val="20"/>
          <w:lang w:val="de-DE"/>
        </w:rPr>
        <w:footnoteRef/>
      </w:r>
      <w:r w:rsidRPr="00313076">
        <w:rPr>
          <w:rFonts w:ascii="Times New Roman" w:hAnsi="Times New Roman" w:cs="Times New Roman"/>
          <w:sz w:val="20"/>
          <w:szCs w:val="20"/>
          <w:lang w:val="de-DE"/>
        </w:rPr>
        <w:t xml:space="preserve"> </w:t>
      </w:r>
      <w:r>
        <w:rPr>
          <w:rFonts w:ascii="Times New Roman" w:hAnsi="Times New Roman" w:cs="Times New Roman"/>
          <w:i/>
          <w:sz w:val="20"/>
          <w:szCs w:val="20"/>
          <w:lang w:val="de-DE"/>
        </w:rPr>
        <w:t>J</w:t>
      </w:r>
      <w:r w:rsidRPr="00313076">
        <w:rPr>
          <w:rFonts w:ascii="Times New Roman" w:hAnsi="Times New Roman" w:cs="Times New Roman"/>
          <w:i/>
          <w:sz w:val="20"/>
          <w:szCs w:val="20"/>
          <w:lang w:val="de-DE"/>
        </w:rPr>
        <w:t>SE II</w:t>
      </w:r>
      <w:r w:rsidRPr="00313076">
        <w:rPr>
          <w:rFonts w:ascii="Times New Roman" w:hAnsi="Times New Roman" w:cs="Times New Roman"/>
          <w:sz w:val="20"/>
          <w:szCs w:val="20"/>
          <w:lang w:val="de-DE"/>
        </w:rPr>
        <w:t>, S. 173.</w:t>
      </w:r>
    </w:p>
  </w:footnote>
  <w:footnote w:id="881">
    <w:p w14:paraId="644CEFBE" w14:textId="77777777" w:rsidR="00B34CC2" w:rsidRPr="00313076" w:rsidRDefault="00B34CC2" w:rsidP="001C3D81">
      <w:pPr>
        <w:pStyle w:val="Testonotaapidipagina"/>
        <w:rPr>
          <w:rFonts w:ascii="Times New Roman" w:hAnsi="Times New Roman" w:cs="Times New Roman"/>
          <w:sz w:val="20"/>
          <w:szCs w:val="20"/>
          <w:lang w:val="de-DE"/>
        </w:rPr>
      </w:pPr>
      <w:r w:rsidRPr="00313076">
        <w:rPr>
          <w:rStyle w:val="Rimandonotaapidipagina"/>
          <w:rFonts w:ascii="Times New Roman" w:hAnsi="Times New Roman" w:cs="Times New Roman"/>
          <w:sz w:val="20"/>
          <w:szCs w:val="20"/>
          <w:lang w:val="de-DE"/>
        </w:rPr>
        <w:footnoteRef/>
      </w:r>
      <w:r w:rsidRPr="00313076">
        <w:rPr>
          <w:rFonts w:ascii="Times New Roman" w:hAnsi="Times New Roman" w:cs="Times New Roman"/>
          <w:sz w:val="20"/>
          <w:szCs w:val="20"/>
          <w:lang w:val="de-DE"/>
        </w:rPr>
        <w:t xml:space="preserve"> Ebd., S. 173.</w:t>
      </w:r>
    </w:p>
  </w:footnote>
  <w:footnote w:id="882">
    <w:p w14:paraId="7696294E" w14:textId="77777777" w:rsidR="00B34CC2" w:rsidRPr="00313076" w:rsidRDefault="00B34CC2" w:rsidP="001C3D81">
      <w:pPr>
        <w:pStyle w:val="Testonotaapidipagina"/>
        <w:jc w:val="both"/>
        <w:rPr>
          <w:rFonts w:ascii="Times New Roman" w:hAnsi="Times New Roman"/>
          <w:sz w:val="20"/>
          <w:szCs w:val="20"/>
          <w:lang w:val="de-DE"/>
        </w:rPr>
      </w:pPr>
      <w:r w:rsidRPr="00313076">
        <w:rPr>
          <w:rStyle w:val="Rimandonotaapidipagina"/>
          <w:rFonts w:ascii="Times New Roman" w:hAnsi="Times New Roman" w:cs="Times New Roman"/>
          <w:sz w:val="20"/>
          <w:szCs w:val="20"/>
          <w:lang w:val="de-DE"/>
        </w:rPr>
        <w:footnoteRef/>
      </w:r>
      <w:r w:rsidRPr="00313076">
        <w:rPr>
          <w:rFonts w:ascii="Times New Roman" w:hAnsi="Times New Roman" w:cs="Times New Roman"/>
          <w:sz w:val="20"/>
          <w:szCs w:val="20"/>
          <w:lang w:val="de-DE"/>
        </w:rPr>
        <w:t xml:space="preserve"> Ebd., S. 173. </w:t>
      </w:r>
    </w:p>
  </w:footnote>
  <w:footnote w:id="883">
    <w:p w14:paraId="79BB9B01" w14:textId="77777777" w:rsidR="00B34CC2" w:rsidRPr="00313076" w:rsidRDefault="00B34CC2" w:rsidP="001C3D81">
      <w:pPr>
        <w:pStyle w:val="Testonotaapidipagina"/>
        <w:jc w:val="both"/>
        <w:rPr>
          <w:rFonts w:ascii="Times New Roman" w:hAnsi="Times New Roman" w:cs="Times New Roman"/>
          <w:sz w:val="20"/>
          <w:szCs w:val="20"/>
          <w:lang w:val="de-DE"/>
        </w:rPr>
      </w:pPr>
      <w:r w:rsidRPr="00313076">
        <w:rPr>
          <w:rStyle w:val="Rimandonotaapidipagina"/>
          <w:rFonts w:ascii="Times New Roman" w:hAnsi="Times New Roman" w:cs="Times New Roman"/>
          <w:sz w:val="20"/>
          <w:szCs w:val="20"/>
          <w:lang w:val="de-DE"/>
        </w:rPr>
        <w:footnoteRef/>
      </w:r>
      <w:r w:rsidRPr="00313076">
        <w:rPr>
          <w:rFonts w:ascii="Times New Roman" w:hAnsi="Times New Roman" w:cs="Times New Roman"/>
          <w:i/>
          <w:sz w:val="20"/>
          <w:szCs w:val="20"/>
          <w:lang w:val="de-DE"/>
        </w:rPr>
        <w:t xml:space="preserve"> </w:t>
      </w:r>
      <w:r>
        <w:rPr>
          <w:rFonts w:ascii="Times New Roman" w:hAnsi="Times New Roman" w:cs="Times New Roman"/>
          <w:sz w:val="20"/>
          <w:szCs w:val="20"/>
          <w:lang w:val="de-DE"/>
        </w:rPr>
        <w:t xml:space="preserve">Vgl. </w:t>
      </w:r>
      <w:r w:rsidRPr="00313076">
        <w:rPr>
          <w:rFonts w:ascii="Times New Roman" w:hAnsi="Times New Roman" w:cs="Times New Roman"/>
          <w:sz w:val="20"/>
          <w:szCs w:val="20"/>
          <w:lang w:val="de-DE"/>
        </w:rPr>
        <w:t xml:space="preserve">F.W.J. Schelling, </w:t>
      </w:r>
      <w:r w:rsidRPr="00313076">
        <w:rPr>
          <w:rFonts w:ascii="Times New Roman" w:hAnsi="Times New Roman" w:cs="Times New Roman"/>
          <w:i/>
          <w:sz w:val="20"/>
          <w:szCs w:val="20"/>
          <w:lang w:val="de-DE"/>
        </w:rPr>
        <w:t>Philosophie und Religion</w:t>
      </w:r>
      <w:r w:rsidRPr="00313076">
        <w:rPr>
          <w:rFonts w:ascii="Times New Roman" w:hAnsi="Times New Roman" w:cs="Times New Roman"/>
          <w:sz w:val="20"/>
          <w:szCs w:val="20"/>
          <w:lang w:val="de-DE"/>
        </w:rPr>
        <w:t xml:space="preserve">, a.a.O., S. 28. </w:t>
      </w:r>
    </w:p>
  </w:footnote>
  <w:footnote w:id="884">
    <w:p w14:paraId="2D36775E" w14:textId="77777777" w:rsidR="00B34CC2" w:rsidRPr="00313076" w:rsidRDefault="00B34CC2" w:rsidP="001C3D81">
      <w:pPr>
        <w:pStyle w:val="Testonotaapidipagina"/>
        <w:jc w:val="both"/>
        <w:rPr>
          <w:rFonts w:ascii="Times New Roman" w:hAnsi="Times New Roman" w:cs="Times New Roman"/>
          <w:sz w:val="20"/>
          <w:szCs w:val="20"/>
          <w:lang w:val="de-DE"/>
        </w:rPr>
      </w:pPr>
      <w:r w:rsidRPr="00313076">
        <w:rPr>
          <w:rStyle w:val="Rimandonotaapidipagina"/>
          <w:rFonts w:ascii="Times New Roman" w:hAnsi="Times New Roman" w:cs="Times New Roman"/>
          <w:sz w:val="20"/>
          <w:szCs w:val="20"/>
          <w:lang w:val="de-DE"/>
        </w:rPr>
        <w:footnoteRef/>
      </w:r>
      <w:r w:rsidRPr="00313076">
        <w:rPr>
          <w:rFonts w:ascii="Times New Roman" w:hAnsi="Times New Roman" w:cs="Times New Roman"/>
          <w:sz w:val="20"/>
          <w:szCs w:val="20"/>
          <w:lang w:val="de-DE"/>
        </w:rPr>
        <w:t xml:space="preserve"> Ebd., S. 73.</w:t>
      </w:r>
    </w:p>
  </w:footnote>
  <w:footnote w:id="885">
    <w:p w14:paraId="1D8E0A52" w14:textId="77777777" w:rsidR="00B34CC2" w:rsidRPr="00313076" w:rsidRDefault="00B34CC2" w:rsidP="001C3D81">
      <w:pPr>
        <w:pStyle w:val="Testonotaapidipagina"/>
        <w:jc w:val="both"/>
        <w:rPr>
          <w:rFonts w:ascii="Times New Roman" w:hAnsi="Times New Roman" w:cs="Times New Roman"/>
          <w:sz w:val="20"/>
          <w:szCs w:val="20"/>
          <w:lang w:val="de-DE"/>
        </w:rPr>
      </w:pPr>
      <w:r w:rsidRPr="00313076">
        <w:rPr>
          <w:rStyle w:val="Rimandonotaapidipagina"/>
          <w:rFonts w:ascii="Times New Roman" w:hAnsi="Times New Roman" w:cs="Times New Roman"/>
          <w:sz w:val="20"/>
          <w:szCs w:val="20"/>
          <w:lang w:val="de-DE"/>
        </w:rPr>
        <w:footnoteRef/>
      </w:r>
      <w:r w:rsidRPr="00313076">
        <w:rPr>
          <w:rFonts w:ascii="Times New Roman" w:hAnsi="Times New Roman" w:cs="Times New Roman"/>
          <w:sz w:val="20"/>
          <w:szCs w:val="20"/>
          <w:lang w:val="de-DE"/>
        </w:rPr>
        <w:t xml:space="preserve"> Ebd., S. 33.</w:t>
      </w:r>
    </w:p>
  </w:footnote>
  <w:footnote w:id="886">
    <w:p w14:paraId="6D2EB5F7" w14:textId="77777777" w:rsidR="00B34CC2" w:rsidRPr="00313076" w:rsidRDefault="00B34CC2" w:rsidP="001C3D81">
      <w:pPr>
        <w:pStyle w:val="Testonotaapidipagina"/>
        <w:rPr>
          <w:lang w:val="de-DE"/>
        </w:rPr>
      </w:pPr>
      <w:r w:rsidRPr="00313076">
        <w:rPr>
          <w:rStyle w:val="Rimandonotaapidipagina"/>
          <w:rFonts w:ascii="Times New Roman" w:hAnsi="Times New Roman" w:cs="Times New Roman"/>
          <w:sz w:val="20"/>
          <w:szCs w:val="20"/>
          <w:lang w:val="de-DE"/>
        </w:rPr>
        <w:footnoteRef/>
      </w:r>
      <w:r w:rsidRPr="00313076">
        <w:rPr>
          <w:rFonts w:ascii="Times New Roman" w:hAnsi="Times New Roman" w:cs="Times New Roman"/>
          <w:i/>
          <w:sz w:val="20"/>
          <w:szCs w:val="20"/>
          <w:lang w:val="de-DE"/>
        </w:rPr>
        <w:t xml:space="preserve"> </w:t>
      </w:r>
      <w:r w:rsidRPr="00313076">
        <w:rPr>
          <w:rFonts w:ascii="Times New Roman" w:hAnsi="Times New Roman" w:cs="Times New Roman"/>
          <w:sz w:val="20"/>
          <w:szCs w:val="20"/>
          <w:lang w:val="de-DE"/>
        </w:rPr>
        <w:t>Ebd., S. 49.</w:t>
      </w:r>
    </w:p>
  </w:footnote>
  <w:footnote w:id="887">
    <w:p w14:paraId="3407BE31" w14:textId="20A1A025" w:rsidR="00B34CC2" w:rsidRPr="00B81148" w:rsidRDefault="00B34CC2" w:rsidP="001C3D81">
      <w:pPr>
        <w:pStyle w:val="Testonotaapidipagina"/>
        <w:jc w:val="both"/>
        <w:rPr>
          <w:rFonts w:ascii="Times New Roman" w:hAnsi="Times New Roman" w:cs="Times New Roman"/>
          <w:sz w:val="20"/>
          <w:szCs w:val="20"/>
        </w:rPr>
      </w:pPr>
      <w:r w:rsidRPr="00313076">
        <w:rPr>
          <w:rStyle w:val="Rimandonotaapidipagina"/>
          <w:rFonts w:ascii="Times New Roman" w:hAnsi="Times New Roman" w:cs="Times New Roman"/>
          <w:sz w:val="20"/>
          <w:szCs w:val="20"/>
          <w:lang w:val="de-DE"/>
        </w:rPr>
        <w:footnoteRef/>
      </w:r>
      <w:r w:rsidRPr="00313076">
        <w:rPr>
          <w:rFonts w:ascii="Times New Roman" w:hAnsi="Times New Roman" w:cs="Times New Roman"/>
          <w:sz w:val="20"/>
          <w:szCs w:val="20"/>
          <w:lang w:val="de-DE"/>
        </w:rPr>
        <w:t xml:space="preserve"> Zum </w:t>
      </w:r>
      <w:r>
        <w:rPr>
          <w:rFonts w:ascii="Times New Roman" w:hAnsi="Times New Roman" w:cs="Times New Roman"/>
          <w:sz w:val="20"/>
          <w:szCs w:val="20"/>
          <w:lang w:val="de-DE"/>
        </w:rPr>
        <w:t xml:space="preserve">Platonismus des </w:t>
      </w:r>
      <w:r w:rsidRPr="00313076">
        <w:rPr>
          <w:rFonts w:ascii="Times New Roman" w:hAnsi="Times New Roman" w:cs="Times New Roman"/>
          <w:i/>
          <w:sz w:val="20"/>
          <w:szCs w:val="20"/>
          <w:lang w:val="de-DE"/>
        </w:rPr>
        <w:t>Dreieckfragment</w:t>
      </w:r>
      <w:r>
        <w:rPr>
          <w:rFonts w:ascii="Times New Roman" w:hAnsi="Times New Roman" w:cs="Times New Roman"/>
          <w:i/>
          <w:sz w:val="20"/>
          <w:szCs w:val="20"/>
          <w:lang w:val="de-DE"/>
        </w:rPr>
        <w:t>s</w:t>
      </w:r>
      <w:r w:rsidRPr="00313076">
        <w:rPr>
          <w:rFonts w:ascii="Times New Roman" w:hAnsi="Times New Roman" w:cs="Times New Roman"/>
          <w:sz w:val="20"/>
          <w:szCs w:val="20"/>
          <w:lang w:val="de-DE"/>
        </w:rPr>
        <w:t xml:space="preserve"> siehe F. Chiereghin, </w:t>
      </w:r>
      <w:r>
        <w:rPr>
          <w:rFonts w:ascii="Times New Roman" w:hAnsi="Times New Roman" w:cs="Times New Roman"/>
          <w:i/>
          <w:sz w:val="20"/>
          <w:szCs w:val="20"/>
        </w:rPr>
        <w:t xml:space="preserve">Hegel e la metafisica </w:t>
      </w:r>
      <w:r w:rsidRPr="00006C58">
        <w:rPr>
          <w:rFonts w:ascii="Times New Roman" w:hAnsi="Times New Roman" w:cs="Times New Roman"/>
          <w:i/>
          <w:sz w:val="20"/>
          <w:szCs w:val="20"/>
        </w:rPr>
        <w:t>classica</w:t>
      </w:r>
      <w:r>
        <w:rPr>
          <w:rFonts w:ascii="Times New Roman" w:hAnsi="Times New Roman" w:cs="Times New Roman"/>
          <w:sz w:val="20"/>
          <w:szCs w:val="20"/>
          <w:lang w:val="de-DE"/>
        </w:rPr>
        <w:t>, CEDAM, Padova 1966, S</w:t>
      </w:r>
      <w:r w:rsidRPr="00313076">
        <w:rPr>
          <w:rFonts w:ascii="Times New Roman" w:hAnsi="Times New Roman" w:cs="Times New Roman"/>
          <w:sz w:val="20"/>
          <w:szCs w:val="20"/>
          <w:lang w:val="de-DE"/>
        </w:rPr>
        <w:t xml:space="preserve">. 42-50; </w:t>
      </w:r>
      <w:r w:rsidRPr="00313076">
        <w:rPr>
          <w:rFonts w:ascii="Times New Roman" w:hAnsi="Times New Roman" w:cs="Times New Roman"/>
          <w:i/>
          <w:sz w:val="20"/>
          <w:szCs w:val="20"/>
          <w:lang w:val="de-DE"/>
        </w:rPr>
        <w:t xml:space="preserve"> H</w:t>
      </w:r>
      <w:r w:rsidRPr="00313076">
        <w:rPr>
          <w:rFonts w:ascii="Times New Roman" w:hAnsi="Times New Roman" w:cs="Times New Roman"/>
          <w:sz w:val="20"/>
          <w:szCs w:val="20"/>
          <w:lang w:val="de-DE"/>
        </w:rPr>
        <w:t>. Schneider,</w:t>
      </w:r>
      <w:r w:rsidRPr="003D5C45">
        <w:rPr>
          <w:rFonts w:ascii="Times New Roman" w:hAnsi="Times New Roman" w:cs="Times New Roman"/>
          <w:i/>
          <w:sz w:val="20"/>
          <w:szCs w:val="20"/>
        </w:rPr>
        <w:t xml:space="preserve"> </w:t>
      </w:r>
      <w:r>
        <w:rPr>
          <w:rFonts w:ascii="Times New Roman" w:hAnsi="Times New Roman" w:cs="Times New Roman"/>
          <w:i/>
          <w:sz w:val="20"/>
          <w:szCs w:val="20"/>
        </w:rPr>
        <w:t xml:space="preserve">Anfänge der Systementwicklung Hegels in </w:t>
      </w:r>
      <w:r w:rsidRPr="00BD61A6">
        <w:rPr>
          <w:rFonts w:ascii="Times New Roman" w:hAnsi="Times New Roman" w:cs="Times New Roman"/>
          <w:i/>
          <w:sz w:val="20"/>
          <w:szCs w:val="20"/>
        </w:rPr>
        <w:t>Jena</w:t>
      </w:r>
      <w:r w:rsidRPr="00BD61A6">
        <w:rPr>
          <w:rFonts w:ascii="Times New Roman" w:hAnsi="Times New Roman" w:cs="Times New Roman"/>
          <w:sz w:val="20"/>
          <w:szCs w:val="20"/>
        </w:rPr>
        <w:t>, in «Hegel Studien</w:t>
      </w:r>
      <w:r w:rsidRPr="00BD61A6">
        <w:rPr>
          <w:rFonts w:ascii="Times New Roman" w:eastAsia="Times New Roman" w:hAnsi="Times New Roman" w:cs="Times New Roman"/>
          <w:color w:val="000000"/>
          <w:sz w:val="20"/>
          <w:szCs w:val="20"/>
        </w:rPr>
        <w:t>», Bd. X,</w:t>
      </w:r>
      <w:r>
        <w:rPr>
          <w:rFonts w:ascii="Times New Roman" w:eastAsia="Times New Roman" w:hAnsi="Times New Roman" w:cs="Times New Roman"/>
          <w:color w:val="000000"/>
          <w:sz w:val="20"/>
          <w:szCs w:val="20"/>
        </w:rPr>
        <w:t xml:space="preserve"> 1975</w:t>
      </w:r>
      <w:r w:rsidRPr="000139D6">
        <w:rPr>
          <w:rFonts w:ascii="Times New Roman" w:hAnsi="Times New Roman" w:cs="Times New Roman"/>
          <w:sz w:val="20"/>
          <w:szCs w:val="20"/>
          <w:lang w:val="de-DE"/>
        </w:rPr>
        <w:t>,</w:t>
      </w:r>
      <w:r>
        <w:rPr>
          <w:rFonts w:ascii="Times New Roman" w:hAnsi="Times New Roman" w:cs="Times New Roman"/>
          <w:sz w:val="20"/>
          <w:szCs w:val="20"/>
          <w:lang w:val="de-DE"/>
        </w:rPr>
        <w:t xml:space="preserve"> SS</w:t>
      </w:r>
      <w:r w:rsidRPr="00313076">
        <w:rPr>
          <w:rFonts w:ascii="Times New Roman" w:hAnsi="Times New Roman" w:cs="Times New Roman"/>
          <w:sz w:val="20"/>
          <w:szCs w:val="20"/>
          <w:lang w:val="de-DE"/>
        </w:rPr>
        <w:t xml:space="preserve">. 133-173; K. Rosenkranz, </w:t>
      </w:r>
      <w:r w:rsidRPr="00313076">
        <w:rPr>
          <w:rFonts w:ascii="Times New Roman" w:hAnsi="Times New Roman" w:cs="Times New Roman"/>
          <w:i/>
          <w:sz w:val="20"/>
          <w:szCs w:val="20"/>
          <w:lang w:val="de-DE"/>
        </w:rPr>
        <w:t>Hegel’s Leben</w:t>
      </w:r>
      <w:r w:rsidRPr="00313076">
        <w:rPr>
          <w:rFonts w:ascii="Times New Roman" w:hAnsi="Times New Roman" w:cs="Times New Roman"/>
          <w:sz w:val="20"/>
          <w:szCs w:val="20"/>
          <w:lang w:val="de-DE"/>
        </w:rPr>
        <w:t>, Duncke</w:t>
      </w:r>
      <w:r>
        <w:rPr>
          <w:rFonts w:ascii="Times New Roman" w:hAnsi="Times New Roman" w:cs="Times New Roman"/>
          <w:sz w:val="20"/>
          <w:szCs w:val="20"/>
          <w:lang w:val="de-DE"/>
        </w:rPr>
        <w:t>r und Humbolt Verlag, Berlin, S</w:t>
      </w:r>
      <w:r w:rsidRPr="00313076">
        <w:rPr>
          <w:rFonts w:ascii="Times New Roman" w:hAnsi="Times New Roman" w:cs="Times New Roman"/>
          <w:sz w:val="20"/>
          <w:szCs w:val="20"/>
          <w:lang w:val="de-DE"/>
        </w:rPr>
        <w:t xml:space="preserve">. 101-104; </w:t>
      </w:r>
      <w:r w:rsidRPr="00313076">
        <w:rPr>
          <w:rFonts w:ascii="Times New Roman" w:hAnsi="Times New Roman"/>
          <w:sz w:val="20"/>
          <w:szCs w:val="20"/>
          <w:lang w:val="de-DE"/>
        </w:rPr>
        <w:t xml:space="preserve">G. A. Magee, </w:t>
      </w:r>
      <w:r w:rsidRPr="00BD61A6">
        <w:rPr>
          <w:rFonts w:ascii="Times New Roman" w:hAnsi="Times New Roman"/>
          <w:i/>
          <w:sz w:val="20"/>
          <w:szCs w:val="20"/>
          <w:lang w:val="de-DE"/>
        </w:rPr>
        <w:t>Hegel and the Hermetic Tradition</w:t>
      </w:r>
      <w:r>
        <w:rPr>
          <w:rFonts w:ascii="Times New Roman" w:hAnsi="Times New Roman"/>
          <w:sz w:val="20"/>
          <w:szCs w:val="20"/>
          <w:lang w:val="de-DE"/>
        </w:rPr>
        <w:t>, a.a.O., S</w:t>
      </w:r>
      <w:r w:rsidRPr="00313076">
        <w:rPr>
          <w:rFonts w:ascii="Times New Roman" w:hAnsi="Times New Roman"/>
          <w:sz w:val="20"/>
          <w:szCs w:val="20"/>
          <w:lang w:val="de-DE"/>
        </w:rPr>
        <w:t xml:space="preserve">. 104-119; </w:t>
      </w:r>
      <w:r w:rsidRPr="00313076">
        <w:rPr>
          <w:rFonts w:ascii="Times New Roman" w:hAnsi="Times New Roman" w:cs="Times New Roman"/>
          <w:sz w:val="20"/>
          <w:szCs w:val="20"/>
          <w:lang w:val="de-DE"/>
        </w:rPr>
        <w:t xml:space="preserve">G. A. Magee, </w:t>
      </w:r>
      <w:r w:rsidRPr="00313076">
        <w:rPr>
          <w:rFonts w:ascii="Times New Roman" w:hAnsi="Times New Roman" w:cs="Times New Roman"/>
          <w:i/>
          <w:sz w:val="20"/>
          <w:szCs w:val="20"/>
          <w:lang w:val="de-DE"/>
        </w:rPr>
        <w:t>Hegel and Mysticism</w:t>
      </w:r>
      <w:r w:rsidRPr="00313076">
        <w:rPr>
          <w:rFonts w:ascii="Times New Roman" w:hAnsi="Times New Roman" w:cs="Times New Roman"/>
          <w:sz w:val="20"/>
          <w:szCs w:val="20"/>
          <w:lang w:val="de-DE"/>
        </w:rPr>
        <w:t>,</w:t>
      </w:r>
      <w:r>
        <w:rPr>
          <w:rFonts w:ascii="Times New Roman" w:hAnsi="Times New Roman" w:cs="Times New Roman"/>
          <w:sz w:val="20"/>
          <w:szCs w:val="20"/>
          <w:lang w:val="de-DE"/>
        </w:rPr>
        <w:t xml:space="preserve"> a.a.O., 260-261</w:t>
      </w:r>
      <w:r w:rsidRPr="00313076">
        <w:rPr>
          <w:rFonts w:ascii="Times New Roman" w:hAnsi="Times New Roman" w:cs="Times New Roman"/>
          <w:sz w:val="20"/>
          <w:szCs w:val="20"/>
          <w:lang w:val="de-DE"/>
        </w:rPr>
        <w:t xml:space="preserve">; </w:t>
      </w:r>
      <w:r w:rsidRPr="00313076">
        <w:rPr>
          <w:rFonts w:ascii="Times New Roman" w:hAnsi="Times New Roman"/>
          <w:sz w:val="20"/>
          <w:szCs w:val="20"/>
          <w:lang w:val="de-DE"/>
        </w:rPr>
        <w:t xml:space="preserve">C. Muratori, </w:t>
      </w:r>
      <w:r>
        <w:rPr>
          <w:rFonts w:ascii="Times New Roman" w:hAnsi="Times New Roman"/>
          <w:i/>
          <w:sz w:val="20"/>
          <w:szCs w:val="20"/>
          <w:lang w:val="de-DE"/>
        </w:rPr>
        <w:t xml:space="preserve">The first German </w:t>
      </w:r>
      <w:r w:rsidRPr="00BD61A6">
        <w:rPr>
          <w:rFonts w:ascii="Times New Roman" w:hAnsi="Times New Roman"/>
          <w:i/>
          <w:sz w:val="20"/>
          <w:szCs w:val="20"/>
          <w:lang w:val="de-DE"/>
        </w:rPr>
        <w:t>Philosopher</w:t>
      </w:r>
      <w:r>
        <w:rPr>
          <w:rFonts w:ascii="Times New Roman" w:hAnsi="Times New Roman"/>
          <w:sz w:val="20"/>
          <w:szCs w:val="20"/>
          <w:lang w:val="de-DE"/>
        </w:rPr>
        <w:t xml:space="preserve">, </w:t>
      </w:r>
      <w:r w:rsidRPr="00BD61A6">
        <w:rPr>
          <w:rFonts w:ascii="Times New Roman" w:hAnsi="Times New Roman" w:cs="Times New Roman"/>
          <w:sz w:val="20"/>
          <w:szCs w:val="20"/>
          <w:lang w:val="de-DE"/>
        </w:rPr>
        <w:t>a</w:t>
      </w:r>
      <w:r>
        <w:rPr>
          <w:rFonts w:ascii="Times New Roman" w:hAnsi="Times New Roman" w:cs="Times New Roman"/>
          <w:sz w:val="20"/>
          <w:szCs w:val="20"/>
          <w:lang w:val="de-DE"/>
        </w:rPr>
        <w:t>.a.O., S</w:t>
      </w:r>
      <w:r w:rsidRPr="00313076">
        <w:rPr>
          <w:rFonts w:ascii="Times New Roman" w:hAnsi="Times New Roman" w:cs="Times New Roman"/>
          <w:sz w:val="20"/>
          <w:szCs w:val="20"/>
          <w:lang w:val="de-DE"/>
        </w:rPr>
        <w:t>. 214-219.</w:t>
      </w:r>
      <w:r>
        <w:rPr>
          <w:rFonts w:ascii="Times New Roman" w:hAnsi="Times New Roman" w:cs="Times New Roman"/>
          <w:sz w:val="20"/>
          <w:szCs w:val="20"/>
        </w:rPr>
        <w:t xml:space="preserve"> </w:t>
      </w:r>
    </w:p>
  </w:footnote>
  <w:footnote w:id="888">
    <w:p w14:paraId="28182236" w14:textId="77777777" w:rsidR="00B34CC2" w:rsidRPr="003B4794" w:rsidRDefault="00B34CC2" w:rsidP="001C3D81">
      <w:pPr>
        <w:pStyle w:val="Testonotaapidipagina"/>
        <w:jc w:val="both"/>
        <w:rPr>
          <w:rFonts w:ascii="Times New Roman" w:hAnsi="Times New Roman"/>
          <w:sz w:val="20"/>
          <w:szCs w:val="20"/>
        </w:rPr>
      </w:pPr>
      <w:r w:rsidRPr="003B4794">
        <w:rPr>
          <w:rStyle w:val="Rimandonotaapidipagina"/>
          <w:rFonts w:ascii="Times New Roman" w:hAnsi="Times New Roman"/>
          <w:sz w:val="20"/>
          <w:szCs w:val="20"/>
        </w:rPr>
        <w:footnoteRef/>
      </w:r>
      <w:r w:rsidRPr="003B4794">
        <w:rPr>
          <w:rFonts w:ascii="Times New Roman" w:hAnsi="Times New Roman"/>
          <w:sz w:val="20"/>
          <w:szCs w:val="20"/>
        </w:rPr>
        <w:t xml:space="preserve"> </w:t>
      </w:r>
      <w:r w:rsidRPr="003B4794">
        <w:rPr>
          <w:rFonts w:ascii="Times New Roman" w:hAnsi="Times New Roman"/>
          <w:i/>
          <w:sz w:val="20"/>
          <w:szCs w:val="20"/>
        </w:rPr>
        <w:t>PhG</w:t>
      </w:r>
      <w:r w:rsidRPr="003B4794">
        <w:rPr>
          <w:rFonts w:ascii="Times New Roman" w:hAnsi="Times New Roman"/>
          <w:sz w:val="20"/>
          <w:szCs w:val="20"/>
        </w:rPr>
        <w:t>, S. 434.</w:t>
      </w:r>
    </w:p>
  </w:footnote>
  <w:footnote w:id="889">
    <w:p w14:paraId="40E5453D" w14:textId="77777777" w:rsidR="00B34CC2" w:rsidRPr="003B4794" w:rsidRDefault="00B34CC2" w:rsidP="001C3D81">
      <w:pPr>
        <w:pStyle w:val="Testonotaapidipagina"/>
        <w:jc w:val="both"/>
        <w:rPr>
          <w:rFonts w:ascii="Times New Roman" w:hAnsi="Times New Roman" w:cs="Times New Roman"/>
          <w:sz w:val="20"/>
          <w:szCs w:val="20"/>
        </w:rPr>
      </w:pPr>
      <w:r w:rsidRPr="003B4794">
        <w:rPr>
          <w:rStyle w:val="Rimandonotaapidipagina"/>
          <w:rFonts w:ascii="Times New Roman" w:hAnsi="Times New Roman" w:cs="Times New Roman"/>
          <w:sz w:val="20"/>
          <w:szCs w:val="20"/>
        </w:rPr>
        <w:footnoteRef/>
      </w:r>
      <w:r w:rsidRPr="003B4794">
        <w:rPr>
          <w:rFonts w:ascii="Times New Roman" w:hAnsi="Times New Roman" w:cs="Times New Roman"/>
          <w:sz w:val="20"/>
          <w:szCs w:val="20"/>
        </w:rPr>
        <w:t xml:space="preserve"> </w:t>
      </w:r>
      <w:r w:rsidRPr="003B4794">
        <w:rPr>
          <w:rFonts w:ascii="Times New Roman" w:hAnsi="Times New Roman" w:cs="Times New Roman"/>
          <w:i/>
          <w:sz w:val="20"/>
          <w:szCs w:val="20"/>
        </w:rPr>
        <w:t>Ivi</w:t>
      </w:r>
      <w:r w:rsidRPr="003B4794">
        <w:rPr>
          <w:rFonts w:ascii="Times New Roman" w:hAnsi="Times New Roman" w:cs="Times New Roman"/>
          <w:sz w:val="20"/>
          <w:szCs w:val="20"/>
        </w:rPr>
        <w:t>, S. 18.</w:t>
      </w:r>
    </w:p>
  </w:footnote>
  <w:footnote w:id="890">
    <w:p w14:paraId="369E03E9" w14:textId="77777777" w:rsidR="00B34CC2" w:rsidRPr="003B4794" w:rsidRDefault="00B34CC2" w:rsidP="001C3D81">
      <w:pPr>
        <w:pStyle w:val="Testonotaapidipagina"/>
        <w:jc w:val="both"/>
        <w:rPr>
          <w:rFonts w:ascii="Times New Roman" w:hAnsi="Times New Roman" w:cs="Times New Roman"/>
          <w:sz w:val="20"/>
          <w:szCs w:val="20"/>
        </w:rPr>
      </w:pPr>
      <w:r w:rsidRPr="003B4794">
        <w:rPr>
          <w:rStyle w:val="Rimandonotaapidipagina"/>
          <w:rFonts w:ascii="Times New Roman" w:hAnsi="Times New Roman" w:cs="Times New Roman"/>
          <w:sz w:val="20"/>
          <w:szCs w:val="20"/>
        </w:rPr>
        <w:footnoteRef/>
      </w:r>
      <w:r w:rsidRPr="003B4794">
        <w:rPr>
          <w:rFonts w:ascii="Times New Roman" w:hAnsi="Times New Roman" w:cs="Times New Roman"/>
          <w:sz w:val="20"/>
          <w:szCs w:val="20"/>
        </w:rPr>
        <w:t xml:space="preserve"> </w:t>
      </w:r>
      <w:r w:rsidRPr="003B4794">
        <w:rPr>
          <w:rFonts w:ascii="Times New Roman" w:hAnsi="Times New Roman" w:cs="Times New Roman"/>
          <w:i/>
          <w:sz w:val="20"/>
          <w:szCs w:val="20"/>
        </w:rPr>
        <w:t>Ivi</w:t>
      </w:r>
      <w:r w:rsidRPr="003B4794">
        <w:rPr>
          <w:rFonts w:ascii="Times New Roman" w:hAnsi="Times New Roman" w:cs="Times New Roman"/>
          <w:sz w:val="20"/>
          <w:szCs w:val="20"/>
        </w:rPr>
        <w:t>, S. 412.</w:t>
      </w:r>
    </w:p>
  </w:footnote>
  <w:footnote w:id="891">
    <w:p w14:paraId="6708D7CF" w14:textId="165702A9" w:rsidR="00B34CC2" w:rsidRPr="00E50549" w:rsidRDefault="00B34CC2" w:rsidP="001C3D81">
      <w:pPr>
        <w:pStyle w:val="Testonotaapidipagina"/>
        <w:jc w:val="both"/>
        <w:rPr>
          <w:rFonts w:ascii="Times New Roman" w:hAnsi="Times New Roman" w:cs="Times New Roman"/>
          <w:sz w:val="20"/>
          <w:szCs w:val="20"/>
        </w:rPr>
      </w:pPr>
      <w:r w:rsidRPr="008E2AAE">
        <w:rPr>
          <w:rStyle w:val="Rimandonotaapidipagina"/>
          <w:rFonts w:ascii="Times New Roman" w:hAnsi="Times New Roman" w:cs="Times New Roman"/>
          <w:sz w:val="20"/>
          <w:szCs w:val="20"/>
        </w:rPr>
        <w:footnoteRef/>
      </w:r>
      <w:r w:rsidRPr="008E2AAE">
        <w:rPr>
          <w:rFonts w:ascii="Times New Roman" w:hAnsi="Times New Roman" w:cs="Times New Roman"/>
          <w:sz w:val="20"/>
          <w:szCs w:val="20"/>
        </w:rPr>
        <w:t xml:space="preserve"> </w:t>
      </w:r>
      <w:r w:rsidRPr="008E2AAE">
        <w:rPr>
          <w:rFonts w:ascii="Times New Roman" w:hAnsi="Times New Roman" w:cs="Times New Roman"/>
          <w:i/>
          <w:sz w:val="20"/>
          <w:szCs w:val="20"/>
        </w:rPr>
        <w:t>PhG</w:t>
      </w:r>
      <w:r w:rsidRPr="008E2AAE">
        <w:rPr>
          <w:rFonts w:ascii="Times New Roman" w:hAnsi="Times New Roman" w:cs="Times New Roman"/>
          <w:sz w:val="20"/>
          <w:szCs w:val="20"/>
        </w:rPr>
        <w:t>, S. 413. In Bezug auf Böhme stellt Hegel fest: „Es kann also gesagt werden, daß schon der erstgeborne Lichtsohn, als in sich gehend sey, der abgefallen aber an dessen Stelle sogleich ein anderer erzeugt worden (Ebd., S 413)</w:t>
      </w:r>
      <w:r w:rsidRPr="008E2AAE">
        <w:rPr>
          <w:rFonts w:ascii="Times New Roman" w:eastAsia="Times New Roman" w:hAnsi="Times New Roman" w:cs="Times New Roman"/>
          <w:color w:val="000000"/>
          <w:sz w:val="20"/>
          <w:szCs w:val="20"/>
        </w:rPr>
        <w:t xml:space="preserve">”. Der zweite Sohn Gottes, der Luzifer ersetzt, ist Jesus. Im 14. Kapitel von </w:t>
      </w:r>
      <w:r w:rsidRPr="008E2AAE">
        <w:rPr>
          <w:rFonts w:ascii="Times New Roman" w:eastAsia="Times New Roman" w:hAnsi="Times New Roman" w:cs="Times New Roman"/>
          <w:i/>
          <w:color w:val="000000"/>
          <w:sz w:val="20"/>
          <w:szCs w:val="20"/>
        </w:rPr>
        <w:t>Morgenröte</w:t>
      </w:r>
      <w:r w:rsidRPr="008E2AAE">
        <w:rPr>
          <w:rFonts w:ascii="Times New Roman" w:eastAsia="Times New Roman" w:hAnsi="Times New Roman" w:cs="Times New Roman"/>
          <w:color w:val="000000"/>
          <w:sz w:val="20"/>
          <w:szCs w:val="20"/>
        </w:rPr>
        <w:t xml:space="preserve"> schreibt B</w:t>
      </w:r>
      <w:r w:rsidRPr="008E2AAE">
        <w:rPr>
          <w:rFonts w:ascii="Times New Roman" w:hAnsi="Times New Roman" w:cs="Times New Roman"/>
          <w:sz w:val="20"/>
          <w:szCs w:val="20"/>
        </w:rPr>
        <w:t>öhme</w:t>
      </w:r>
      <w:r w:rsidRPr="008E2AAE">
        <w:rPr>
          <w:rFonts w:ascii="Times New Roman" w:eastAsia="Times New Roman" w:hAnsi="Times New Roman" w:cs="Times New Roman"/>
          <w:color w:val="000000"/>
          <w:sz w:val="20"/>
          <w:szCs w:val="20"/>
        </w:rPr>
        <w:t>: „</w:t>
      </w:r>
      <w:r w:rsidRPr="008E2AAE">
        <w:rPr>
          <w:rFonts w:ascii="Times New Roman" w:eastAsia="Times New Roman" w:hAnsi="Times New Roman" w:cs="Times New Roman"/>
          <w:color w:val="000000"/>
          <w:sz w:val="20"/>
          <w:szCs w:val="20"/>
          <w:shd w:val="clear" w:color="auto" w:fill="FFFFFF"/>
          <w:lang w:val="de-DE"/>
        </w:rPr>
        <w:t>So aber hat ihn Gott zu einem Könige des Lichtes geschaffen. Und da er ungehorsam ward und wollte über den ganzen Gott sein, so speiete ihn Gott von seinem Stuhl und schuf inmitten unserer Zeit einen andern König aus derselben Gottheit, daraus der Herr Luzifer war geschaffen; – verstehe es recht: aus dem Salitter, der außer dem Corpus des Königs Luzifer war – und setzte ihn  den königlichen Stuhl Luzifers und gab ihm Macht und Gewalt, wie Luzifer vor seinem Fall hatte, und derselben König heißt</w:t>
      </w:r>
      <w:r w:rsidRPr="008E2AAE">
        <w:rPr>
          <w:rFonts w:ascii="Times New Roman" w:eastAsia="Times New Roman" w:hAnsi="Times New Roman" w:cs="Times New Roman"/>
          <w:i/>
          <w:iCs/>
          <w:color w:val="000000"/>
          <w:sz w:val="20"/>
          <w:szCs w:val="20"/>
          <w:shd w:val="clear" w:color="auto" w:fill="FFFFFF"/>
          <w:lang w:val="de-DE"/>
        </w:rPr>
        <w:t> Jesus Christus</w:t>
      </w:r>
      <w:r w:rsidRPr="008E2AAE">
        <w:rPr>
          <w:rFonts w:ascii="Times New Roman" w:eastAsia="Times New Roman" w:hAnsi="Times New Roman" w:cs="Times New Roman"/>
          <w:color w:val="000000"/>
          <w:sz w:val="20"/>
          <w:szCs w:val="20"/>
          <w:shd w:val="clear" w:color="auto" w:fill="FFFFFF"/>
          <w:lang w:val="de-DE"/>
        </w:rPr>
        <w:t> und ist Gottes und des Menschen Sohn</w:t>
      </w:r>
      <w:r w:rsidRPr="008E2AAE">
        <w:rPr>
          <w:rFonts w:ascii="Times New Roman" w:eastAsia="Times New Roman" w:hAnsi="Times New Roman" w:cs="Times New Roman"/>
          <w:color w:val="000000"/>
          <w:sz w:val="20"/>
          <w:szCs w:val="20"/>
        </w:rPr>
        <w:t>” (</w:t>
      </w:r>
      <w:r w:rsidRPr="008E2AAE">
        <w:rPr>
          <w:rFonts w:ascii="Times New Roman" w:hAnsi="Times New Roman" w:cs="Times New Roman"/>
          <w:sz w:val="20"/>
          <w:szCs w:val="20"/>
        </w:rPr>
        <w:t xml:space="preserve">J. Böhme, </w:t>
      </w:r>
      <w:r w:rsidRPr="008E2AAE">
        <w:rPr>
          <w:rFonts w:ascii="Times New Roman" w:hAnsi="Times New Roman" w:cs="Times New Roman"/>
          <w:i/>
          <w:sz w:val="20"/>
          <w:szCs w:val="20"/>
        </w:rPr>
        <w:t>Aurora</w:t>
      </w:r>
      <w:r w:rsidRPr="008E2AAE">
        <w:rPr>
          <w:rFonts w:ascii="Times New Roman" w:hAnsi="Times New Roman" w:cs="Times New Roman"/>
          <w:sz w:val="20"/>
          <w:szCs w:val="20"/>
        </w:rPr>
        <w:t xml:space="preserve">, </w:t>
      </w:r>
      <w:r w:rsidRPr="008E2AAE">
        <w:rPr>
          <w:rFonts w:ascii="Times New Roman" w:hAnsi="Times New Roman" w:cs="Times New Roman"/>
          <w:sz w:val="20"/>
          <w:szCs w:val="20"/>
          <w:lang w:val="de-DE"/>
        </w:rPr>
        <w:t>a.a.O.</w:t>
      </w:r>
      <w:r w:rsidRPr="008E2AAE">
        <w:rPr>
          <w:rFonts w:ascii="Times New Roman" w:hAnsi="Times New Roman" w:cs="Times New Roman"/>
          <w:sz w:val="20"/>
          <w:szCs w:val="20"/>
        </w:rPr>
        <w:t>, S. 194</w:t>
      </w:r>
      <w:r w:rsidRPr="008E2AAE">
        <w:rPr>
          <w:rFonts w:ascii="Times New Roman" w:eastAsia="Times New Roman" w:hAnsi="Times New Roman" w:cs="Times New Roman"/>
          <w:color w:val="000000"/>
          <w:sz w:val="20"/>
          <w:szCs w:val="20"/>
        </w:rPr>
        <w:t>).</w:t>
      </w:r>
    </w:p>
  </w:footnote>
  <w:footnote w:id="892">
    <w:p w14:paraId="594C1C0E" w14:textId="77777777" w:rsidR="00B34CC2" w:rsidRPr="0090770D" w:rsidRDefault="00B34CC2" w:rsidP="001C3D81">
      <w:pPr>
        <w:pStyle w:val="Testonotaapidipagina"/>
        <w:jc w:val="both"/>
        <w:rPr>
          <w:rFonts w:ascii="Times New Roman" w:hAnsi="Times New Roman" w:cs="Times New Roman"/>
          <w:sz w:val="20"/>
          <w:szCs w:val="20"/>
        </w:rPr>
      </w:pPr>
      <w:r w:rsidRPr="00E50549">
        <w:rPr>
          <w:rStyle w:val="Rimandonotaapidipagina"/>
          <w:rFonts w:ascii="Times New Roman" w:hAnsi="Times New Roman" w:cs="Times New Roman"/>
          <w:sz w:val="20"/>
          <w:szCs w:val="20"/>
        </w:rPr>
        <w:footnoteRef/>
      </w:r>
      <w:r w:rsidRPr="00E50549">
        <w:rPr>
          <w:rFonts w:ascii="Times New Roman" w:hAnsi="Times New Roman" w:cs="Times New Roman"/>
          <w:sz w:val="20"/>
          <w:szCs w:val="20"/>
        </w:rPr>
        <w:t xml:space="preserve"> J. Böhme, </w:t>
      </w:r>
      <w:r w:rsidRPr="00E50549">
        <w:rPr>
          <w:rFonts w:ascii="Times New Roman" w:hAnsi="Times New Roman" w:cs="Times New Roman"/>
          <w:i/>
          <w:sz w:val="20"/>
          <w:szCs w:val="20"/>
        </w:rPr>
        <w:t>Aurora</w:t>
      </w:r>
      <w:r w:rsidRPr="00E50549">
        <w:rPr>
          <w:rFonts w:ascii="Times New Roman" w:hAnsi="Times New Roman" w:cs="Times New Roman"/>
          <w:sz w:val="20"/>
          <w:szCs w:val="20"/>
          <w:lang w:val="de-DE"/>
        </w:rPr>
        <w:t>,</w:t>
      </w:r>
      <w:r>
        <w:rPr>
          <w:rFonts w:ascii="Times New Roman" w:hAnsi="Times New Roman" w:cs="Times New Roman"/>
          <w:sz w:val="20"/>
          <w:szCs w:val="20"/>
        </w:rPr>
        <w:t xml:space="preserve"> a.a.</w:t>
      </w:r>
      <w:r w:rsidRPr="00E50549">
        <w:rPr>
          <w:rFonts w:ascii="Times New Roman" w:hAnsi="Times New Roman" w:cs="Times New Roman"/>
          <w:sz w:val="20"/>
          <w:szCs w:val="20"/>
        </w:rPr>
        <w:t>O., S. 200.</w:t>
      </w:r>
    </w:p>
  </w:footnote>
  <w:footnote w:id="893">
    <w:p w14:paraId="57DD2897" w14:textId="77777777" w:rsidR="00B34CC2" w:rsidRPr="00262338" w:rsidRDefault="00B34CC2" w:rsidP="001C3D81">
      <w:pPr>
        <w:pStyle w:val="Testonotaapidipagina"/>
        <w:rPr>
          <w:rFonts w:ascii="Times New Roman" w:hAnsi="Times New Roman" w:cs="Times New Roman"/>
          <w:sz w:val="20"/>
          <w:szCs w:val="20"/>
        </w:rPr>
      </w:pPr>
      <w:r w:rsidRPr="00262338">
        <w:rPr>
          <w:rStyle w:val="Rimandonotaapidipagina"/>
          <w:rFonts w:ascii="Times New Roman" w:hAnsi="Times New Roman" w:cs="Times New Roman"/>
          <w:sz w:val="20"/>
          <w:szCs w:val="20"/>
        </w:rPr>
        <w:footnoteRef/>
      </w:r>
      <w:r>
        <w:rPr>
          <w:rFonts w:ascii="Times New Roman" w:hAnsi="Times New Roman" w:cs="Times New Roman"/>
          <w:sz w:val="20"/>
          <w:szCs w:val="20"/>
        </w:rPr>
        <w:t xml:space="preserve"> </w:t>
      </w:r>
      <w:r w:rsidRPr="00262338">
        <w:rPr>
          <w:rFonts w:ascii="Times New Roman" w:hAnsi="Times New Roman" w:cs="Times New Roman"/>
          <w:i/>
          <w:sz w:val="20"/>
          <w:szCs w:val="20"/>
        </w:rPr>
        <w:t>PhG</w:t>
      </w:r>
      <w:r>
        <w:rPr>
          <w:rFonts w:ascii="Times New Roman" w:hAnsi="Times New Roman" w:cs="Times New Roman"/>
          <w:sz w:val="20"/>
          <w:szCs w:val="20"/>
        </w:rPr>
        <w:t>, S. 414.</w:t>
      </w:r>
    </w:p>
  </w:footnote>
  <w:footnote w:id="894">
    <w:p w14:paraId="5A6B0B16" w14:textId="77777777" w:rsidR="00B34CC2" w:rsidRPr="003943C7" w:rsidRDefault="00B34CC2" w:rsidP="001C3D81">
      <w:pPr>
        <w:pStyle w:val="Testonotaapidipagina"/>
        <w:jc w:val="both"/>
        <w:rPr>
          <w:rFonts w:ascii="Times New Roman" w:hAnsi="Times New Roman" w:cs="Times New Roman"/>
          <w:sz w:val="20"/>
          <w:szCs w:val="20"/>
          <w:lang w:val="de-DE"/>
        </w:rPr>
      </w:pPr>
      <w:r w:rsidRPr="00A42907">
        <w:rPr>
          <w:rStyle w:val="Rimandonotaapidipagina"/>
          <w:rFonts w:ascii="Times New Roman" w:hAnsi="Times New Roman" w:cs="Times New Roman"/>
          <w:sz w:val="20"/>
          <w:szCs w:val="20"/>
          <w:lang w:val="de-DE"/>
        </w:rPr>
        <w:footnoteRef/>
      </w:r>
      <w:r w:rsidRPr="00A42907">
        <w:rPr>
          <w:rFonts w:ascii="Times New Roman" w:hAnsi="Times New Roman" w:cs="Times New Roman"/>
          <w:sz w:val="20"/>
          <w:szCs w:val="20"/>
          <w:lang w:val="de-DE"/>
        </w:rPr>
        <w:t xml:space="preserve"> Glenn Alexander Magee hat äußerliche Analogien zwischen den Werken Böhmes und der Logik Hegels betont. Magee behauptet, dass die Böhmesche </w:t>
      </w:r>
      <w:r w:rsidRPr="00A42907">
        <w:rPr>
          <w:rFonts w:ascii="Times New Roman" w:hAnsi="Times New Roman" w:cs="Times New Roman"/>
          <w:i/>
          <w:sz w:val="20"/>
          <w:szCs w:val="20"/>
          <w:lang w:val="de-DE"/>
        </w:rPr>
        <w:t>Qualitätstheorie</w:t>
      </w:r>
      <w:r w:rsidRPr="00A42907">
        <w:rPr>
          <w:rFonts w:ascii="Times New Roman" w:hAnsi="Times New Roman" w:cs="Times New Roman"/>
          <w:sz w:val="20"/>
          <w:szCs w:val="20"/>
          <w:lang w:val="de-DE"/>
        </w:rPr>
        <w:t xml:space="preserve"> der logischen Theorie der </w:t>
      </w:r>
      <w:r w:rsidRPr="00A42907">
        <w:rPr>
          <w:rFonts w:ascii="Times New Roman" w:hAnsi="Times New Roman" w:cs="Times New Roman"/>
          <w:i/>
          <w:sz w:val="20"/>
          <w:szCs w:val="20"/>
          <w:lang w:val="de-DE"/>
        </w:rPr>
        <w:t>Denkbestimmungen</w:t>
      </w:r>
      <w:r w:rsidRPr="00A42907">
        <w:rPr>
          <w:rFonts w:ascii="Times New Roman" w:hAnsi="Times New Roman" w:cs="Times New Roman"/>
          <w:sz w:val="20"/>
          <w:szCs w:val="20"/>
          <w:lang w:val="de-DE"/>
        </w:rPr>
        <w:t xml:space="preserve"> entspricht. Diese Analyse wird aber ohne philologische Grundlage erarbeitet (vgl. G. A, Magee, </w:t>
      </w:r>
      <w:r w:rsidRPr="00A42907">
        <w:rPr>
          <w:rFonts w:ascii="Times New Roman" w:hAnsi="Times New Roman" w:cs="Times New Roman"/>
          <w:i/>
          <w:sz w:val="20"/>
          <w:szCs w:val="20"/>
          <w:lang w:val="de-DE"/>
        </w:rPr>
        <w:t>Hegel and the Hermetic Tradition</w:t>
      </w:r>
      <w:r w:rsidRPr="00A42907">
        <w:rPr>
          <w:rFonts w:ascii="Times New Roman" w:hAnsi="Times New Roman" w:cs="Times New Roman"/>
          <w:sz w:val="20"/>
          <w:szCs w:val="20"/>
          <w:lang w:val="de-DE"/>
        </w:rPr>
        <w:t>, a.a.O., S. 161).</w:t>
      </w:r>
    </w:p>
  </w:footnote>
  <w:footnote w:id="895">
    <w:p w14:paraId="579529DA" w14:textId="77777777" w:rsidR="00B34CC2" w:rsidRPr="00C92989" w:rsidRDefault="00B34CC2" w:rsidP="001C3D81">
      <w:pPr>
        <w:pStyle w:val="Testonotaapidipagina"/>
        <w:jc w:val="both"/>
        <w:rPr>
          <w:rFonts w:ascii="Times New Roman" w:hAnsi="Times New Roman" w:cs="Times New Roman"/>
          <w:sz w:val="20"/>
          <w:szCs w:val="20"/>
        </w:rPr>
      </w:pPr>
      <w:r w:rsidRPr="00C92989">
        <w:rPr>
          <w:rStyle w:val="Rimandonotaapidipagina"/>
          <w:rFonts w:ascii="Times New Roman" w:hAnsi="Times New Roman" w:cs="Times New Roman"/>
          <w:sz w:val="20"/>
          <w:szCs w:val="20"/>
        </w:rPr>
        <w:footnoteRef/>
      </w:r>
      <w:r w:rsidRPr="00C92989">
        <w:rPr>
          <w:rFonts w:ascii="Times New Roman" w:hAnsi="Times New Roman" w:cs="Times New Roman"/>
          <w:sz w:val="20"/>
          <w:szCs w:val="20"/>
        </w:rPr>
        <w:t xml:space="preserve"> A. Franck,</w:t>
      </w:r>
      <w:r w:rsidRPr="00AF7CB0">
        <w:rPr>
          <w:rFonts w:ascii="Times New Roman" w:hAnsi="Times New Roman" w:cs="Times New Roman"/>
          <w:i/>
          <w:sz w:val="20"/>
          <w:szCs w:val="20"/>
        </w:rPr>
        <w:t xml:space="preserve"> La Kabbale ou la philosophie religouse des Hébreux</w:t>
      </w:r>
      <w:r w:rsidRPr="00C92989">
        <w:rPr>
          <w:rFonts w:ascii="Times New Roman" w:hAnsi="Times New Roman" w:cs="Times New Roman"/>
          <w:sz w:val="20"/>
          <w:szCs w:val="20"/>
        </w:rPr>
        <w:t>, Paris 1843.</w:t>
      </w:r>
    </w:p>
  </w:footnote>
  <w:footnote w:id="896">
    <w:p w14:paraId="10736864" w14:textId="77777777" w:rsidR="00B34CC2" w:rsidRPr="00C92989" w:rsidRDefault="00B34CC2" w:rsidP="001C3D81">
      <w:pPr>
        <w:pStyle w:val="Testonotaapidipagina"/>
        <w:jc w:val="both"/>
        <w:rPr>
          <w:rFonts w:ascii="Times New Roman" w:hAnsi="Times New Roman" w:cs="Times New Roman"/>
          <w:sz w:val="20"/>
          <w:szCs w:val="20"/>
        </w:rPr>
      </w:pPr>
      <w:r w:rsidRPr="00C92989">
        <w:rPr>
          <w:rStyle w:val="Rimandonotaapidipagina"/>
          <w:rFonts w:ascii="Times New Roman" w:hAnsi="Times New Roman" w:cs="Times New Roman"/>
          <w:sz w:val="20"/>
          <w:szCs w:val="20"/>
        </w:rPr>
        <w:footnoteRef/>
      </w:r>
      <w:r w:rsidRPr="00C92989">
        <w:rPr>
          <w:rFonts w:ascii="Times New Roman" w:hAnsi="Times New Roman" w:cs="Times New Roman"/>
          <w:sz w:val="20"/>
          <w:szCs w:val="20"/>
        </w:rPr>
        <w:t xml:space="preserve"> M. Idel,</w:t>
      </w:r>
      <w:r w:rsidRPr="00AF7CB0">
        <w:rPr>
          <w:rFonts w:ascii="Times New Roman" w:hAnsi="Times New Roman" w:cs="Times New Roman"/>
          <w:i/>
          <w:sz w:val="20"/>
          <w:szCs w:val="20"/>
        </w:rPr>
        <w:t xml:space="preserve"> </w:t>
      </w:r>
      <w:r>
        <w:rPr>
          <w:rFonts w:ascii="Times New Roman" w:hAnsi="Times New Roman" w:cs="Times New Roman"/>
          <w:i/>
          <w:sz w:val="20"/>
          <w:szCs w:val="20"/>
        </w:rPr>
        <w:t>Il male primordiale nella Qabbalah</w:t>
      </w:r>
      <w:r w:rsidRPr="00AF7CB0">
        <w:rPr>
          <w:rFonts w:ascii="Times New Roman" w:hAnsi="Times New Roman" w:cs="Times New Roman"/>
          <w:i/>
          <w:sz w:val="20"/>
          <w:szCs w:val="20"/>
        </w:rPr>
        <w:t xml:space="preserve">, </w:t>
      </w:r>
      <w:r>
        <w:rPr>
          <w:rFonts w:ascii="Times New Roman" w:hAnsi="Times New Roman" w:cs="Times New Roman"/>
          <w:sz w:val="20"/>
          <w:szCs w:val="20"/>
        </w:rPr>
        <w:t>a.a.</w:t>
      </w:r>
      <w:r w:rsidRPr="00C92989">
        <w:rPr>
          <w:rFonts w:ascii="Times New Roman" w:hAnsi="Times New Roman" w:cs="Times New Roman"/>
          <w:sz w:val="20"/>
          <w:szCs w:val="20"/>
        </w:rPr>
        <w:t>O., S. 115.</w:t>
      </w:r>
    </w:p>
  </w:footnote>
  <w:footnote w:id="897">
    <w:p w14:paraId="36786FCA" w14:textId="77777777" w:rsidR="00B34CC2" w:rsidRPr="00AF7CB0" w:rsidRDefault="00B34CC2" w:rsidP="001C3D81">
      <w:pPr>
        <w:pStyle w:val="Testonotaapidipagina"/>
        <w:jc w:val="both"/>
      </w:pPr>
      <w:r w:rsidRPr="00AF7CB0">
        <w:rPr>
          <w:rStyle w:val="Rimandonotaapidipagina"/>
          <w:rFonts w:ascii="Times New Roman" w:hAnsi="Times New Roman" w:cs="Times New Roman"/>
          <w:sz w:val="20"/>
          <w:szCs w:val="20"/>
        </w:rPr>
        <w:footnoteRef/>
      </w:r>
      <w:r>
        <w:rPr>
          <w:rFonts w:ascii="Times New Roman" w:hAnsi="Times New Roman" w:cs="Times New Roman"/>
          <w:sz w:val="20"/>
          <w:szCs w:val="20"/>
        </w:rPr>
        <w:t xml:space="preserve"> </w:t>
      </w:r>
      <w:r w:rsidRPr="00AF7CB0">
        <w:rPr>
          <w:rFonts w:ascii="Times New Roman" w:hAnsi="Times New Roman" w:cs="Times New Roman"/>
          <w:sz w:val="20"/>
          <w:szCs w:val="20"/>
        </w:rPr>
        <w:t>Ebd., S. 116.</w:t>
      </w:r>
    </w:p>
  </w:footnote>
  <w:footnote w:id="898">
    <w:p w14:paraId="45655958" w14:textId="77777777" w:rsidR="00B34CC2" w:rsidRPr="00AF7CB0" w:rsidRDefault="00B34CC2" w:rsidP="001C3D81">
      <w:pPr>
        <w:pStyle w:val="Testonotaapidipagina"/>
        <w:jc w:val="both"/>
        <w:rPr>
          <w:rFonts w:ascii="Times New Roman" w:hAnsi="Times New Roman" w:cs="Times New Roman"/>
          <w:sz w:val="20"/>
          <w:szCs w:val="20"/>
        </w:rPr>
      </w:pPr>
      <w:r w:rsidRPr="00AF7CB0">
        <w:rPr>
          <w:rStyle w:val="Rimandonotaapidipagina"/>
          <w:rFonts w:ascii="Times New Roman" w:hAnsi="Times New Roman" w:cs="Times New Roman"/>
          <w:sz w:val="20"/>
          <w:szCs w:val="20"/>
        </w:rPr>
        <w:footnoteRef/>
      </w:r>
      <w:r w:rsidRPr="00AF7CB0">
        <w:rPr>
          <w:rFonts w:ascii="Times New Roman" w:hAnsi="Times New Roman" w:cs="Times New Roman"/>
          <w:sz w:val="20"/>
          <w:szCs w:val="20"/>
        </w:rPr>
        <w:t xml:space="preserve"> Ebd.</w:t>
      </w:r>
      <w:r>
        <w:rPr>
          <w:rFonts w:ascii="Times New Roman" w:hAnsi="Times New Roman" w:cs="Times New Roman"/>
          <w:sz w:val="20"/>
          <w:szCs w:val="20"/>
        </w:rPr>
        <w:t>, S. 116.</w:t>
      </w:r>
    </w:p>
  </w:footnote>
  <w:footnote w:id="899">
    <w:p w14:paraId="5C217150" w14:textId="77777777" w:rsidR="00B34CC2" w:rsidRPr="00793352" w:rsidRDefault="00B34CC2" w:rsidP="001C3D81">
      <w:pPr>
        <w:pStyle w:val="Testonotaapidipagina"/>
        <w:jc w:val="both"/>
        <w:rPr>
          <w:rFonts w:ascii="Times New Roman" w:hAnsi="Times New Roman" w:cs="Times New Roman"/>
          <w:sz w:val="20"/>
          <w:szCs w:val="20"/>
        </w:rPr>
      </w:pPr>
      <w:r w:rsidRPr="00793352">
        <w:rPr>
          <w:rStyle w:val="Rimandonotaapidipagina"/>
          <w:rFonts w:ascii="Times New Roman" w:hAnsi="Times New Roman" w:cs="Times New Roman"/>
          <w:sz w:val="20"/>
          <w:szCs w:val="20"/>
        </w:rPr>
        <w:footnoteRef/>
      </w:r>
      <w:r>
        <w:rPr>
          <w:rFonts w:ascii="Times New Roman" w:hAnsi="Times New Roman" w:cs="Times New Roman"/>
          <w:i/>
          <w:sz w:val="20"/>
          <w:szCs w:val="20"/>
        </w:rPr>
        <w:t xml:space="preserve"> </w:t>
      </w:r>
      <w:r w:rsidRPr="009413FD">
        <w:rPr>
          <w:rFonts w:ascii="Times New Roman" w:hAnsi="Times New Roman" w:cs="Times New Roman"/>
          <w:sz w:val="20"/>
          <w:szCs w:val="20"/>
        </w:rPr>
        <w:t>Ebd.,</w:t>
      </w:r>
      <w:r w:rsidRPr="0005086D">
        <w:rPr>
          <w:rFonts w:ascii="Times New Roman" w:hAnsi="Times New Roman" w:cs="Times New Roman"/>
          <w:i/>
          <w:sz w:val="20"/>
          <w:szCs w:val="20"/>
        </w:rPr>
        <w:t xml:space="preserve"> </w:t>
      </w:r>
      <w:r w:rsidRPr="00793352">
        <w:rPr>
          <w:rFonts w:ascii="Times New Roman" w:hAnsi="Times New Roman" w:cs="Times New Roman"/>
          <w:sz w:val="20"/>
          <w:szCs w:val="20"/>
        </w:rPr>
        <w:t>S. 117.</w:t>
      </w:r>
    </w:p>
  </w:footnote>
  <w:footnote w:id="900">
    <w:p w14:paraId="0A04FCEE" w14:textId="77777777" w:rsidR="00B34CC2" w:rsidRPr="000A7707" w:rsidRDefault="00B34CC2" w:rsidP="001C3D81">
      <w:pPr>
        <w:pStyle w:val="Testonotaapidipagina"/>
        <w:rPr>
          <w:rFonts w:ascii="Times New Roman" w:hAnsi="Times New Roman" w:cs="Times New Roman"/>
          <w:sz w:val="20"/>
          <w:szCs w:val="20"/>
        </w:rPr>
      </w:pPr>
      <w:r w:rsidRPr="000A7707">
        <w:rPr>
          <w:rStyle w:val="Rimandonotaapidipagina"/>
          <w:rFonts w:ascii="Times New Roman" w:hAnsi="Times New Roman" w:cs="Times New Roman"/>
          <w:sz w:val="20"/>
          <w:szCs w:val="20"/>
        </w:rPr>
        <w:footnoteRef/>
      </w:r>
      <w:r>
        <w:rPr>
          <w:rFonts w:ascii="Times New Roman" w:hAnsi="Times New Roman" w:cs="Times New Roman"/>
          <w:sz w:val="20"/>
          <w:szCs w:val="20"/>
        </w:rPr>
        <w:t xml:space="preserve"> Ebd., S. 36.</w:t>
      </w:r>
    </w:p>
  </w:footnote>
  <w:footnote w:id="901">
    <w:p w14:paraId="7C67FB64" w14:textId="77777777" w:rsidR="00B34CC2" w:rsidRPr="00F32344" w:rsidRDefault="00B34CC2" w:rsidP="001C3D81">
      <w:pPr>
        <w:pStyle w:val="Testonotaapidipagina"/>
        <w:jc w:val="both"/>
        <w:rPr>
          <w:rFonts w:ascii="Times New Roman" w:hAnsi="Times New Roman" w:cs="Times New Roman"/>
          <w:sz w:val="20"/>
          <w:szCs w:val="20"/>
        </w:rPr>
      </w:pPr>
      <w:r w:rsidRPr="00AB4DFA">
        <w:rPr>
          <w:rStyle w:val="Rimandonotaapidipagina"/>
          <w:rFonts w:ascii="Times New Roman" w:hAnsi="Times New Roman" w:cs="Times New Roman"/>
          <w:sz w:val="20"/>
          <w:szCs w:val="20"/>
        </w:rPr>
        <w:footnoteRef/>
      </w:r>
      <w:r w:rsidRPr="00AB4DFA">
        <w:rPr>
          <w:rFonts w:ascii="Times New Roman" w:hAnsi="Times New Roman" w:cs="Times New Roman"/>
          <w:sz w:val="20"/>
          <w:szCs w:val="20"/>
        </w:rPr>
        <w:t xml:space="preserve"> </w:t>
      </w:r>
      <w:r>
        <w:rPr>
          <w:rFonts w:ascii="Times New Roman" w:hAnsi="Times New Roman" w:cs="Times New Roman"/>
          <w:sz w:val="20"/>
          <w:szCs w:val="20"/>
        </w:rPr>
        <w:t xml:space="preserve">Vgl. A. Arndt, </w:t>
      </w:r>
      <w:r>
        <w:rPr>
          <w:rFonts w:ascii="Times New Roman" w:hAnsi="Times New Roman" w:cs="Times New Roman"/>
          <w:i/>
          <w:sz w:val="20"/>
          <w:szCs w:val="20"/>
        </w:rPr>
        <w:t xml:space="preserve">Die Anfangende Reflexion. </w:t>
      </w:r>
      <w:r w:rsidRPr="00E914D3">
        <w:rPr>
          <w:rFonts w:ascii="Times New Roman" w:hAnsi="Times New Roman" w:cs="Times New Roman"/>
          <w:i/>
          <w:sz w:val="20"/>
          <w:szCs w:val="20"/>
        </w:rPr>
        <w:t>Anmerkungen zum Anfang der Wissenschaft der Logik</w:t>
      </w:r>
      <w:r>
        <w:rPr>
          <w:rFonts w:ascii="Times New Roman" w:hAnsi="Times New Roman" w:cs="Times New Roman"/>
          <w:sz w:val="20"/>
          <w:szCs w:val="20"/>
        </w:rPr>
        <w:t xml:space="preserve">, in </w:t>
      </w:r>
      <w:r>
        <w:rPr>
          <w:rFonts w:ascii="Times New Roman" w:hAnsi="Times New Roman" w:cs="Times New Roman"/>
          <w:i/>
          <w:sz w:val="20"/>
          <w:szCs w:val="20"/>
        </w:rPr>
        <w:t xml:space="preserve">Hegels Seinslogik. Interpretationen und </w:t>
      </w:r>
      <w:r w:rsidRPr="00E914D3">
        <w:rPr>
          <w:rFonts w:ascii="Times New Roman" w:hAnsi="Times New Roman" w:cs="Times New Roman"/>
          <w:i/>
          <w:sz w:val="20"/>
          <w:szCs w:val="20"/>
        </w:rPr>
        <w:t>Perspektiven</w:t>
      </w:r>
      <w:r>
        <w:rPr>
          <w:rFonts w:ascii="Times New Roman" w:hAnsi="Times New Roman" w:cs="Times New Roman"/>
          <w:sz w:val="20"/>
          <w:szCs w:val="20"/>
        </w:rPr>
        <w:t xml:space="preserve">, hrsg. von A. Arndt und C. Iber, Akademie Verlag, Berlin 2000, S. 126-140; </w:t>
      </w:r>
      <w:r w:rsidRPr="00E914D3">
        <w:rPr>
          <w:rFonts w:ascii="Times New Roman" w:hAnsi="Times New Roman" w:cs="Times New Roman"/>
          <w:sz w:val="20"/>
          <w:szCs w:val="20"/>
        </w:rPr>
        <w:t>D</w:t>
      </w:r>
      <w:r>
        <w:rPr>
          <w:rFonts w:ascii="Times New Roman" w:hAnsi="Times New Roman" w:cs="Times New Roman"/>
          <w:sz w:val="20"/>
          <w:szCs w:val="20"/>
        </w:rPr>
        <w:t xml:space="preserve">. Henrich, </w:t>
      </w:r>
      <w:r>
        <w:rPr>
          <w:rFonts w:ascii="Times New Roman" w:hAnsi="Times New Roman" w:cs="Times New Roman"/>
          <w:i/>
          <w:sz w:val="20"/>
          <w:szCs w:val="20"/>
        </w:rPr>
        <w:t>Anfang und Methode der Logik</w:t>
      </w:r>
      <w:r>
        <w:rPr>
          <w:rFonts w:ascii="Times New Roman" w:hAnsi="Times New Roman" w:cs="Times New Roman"/>
          <w:sz w:val="20"/>
          <w:szCs w:val="20"/>
        </w:rPr>
        <w:t xml:space="preserve">, in </w:t>
      </w:r>
      <w:r>
        <w:rPr>
          <w:rFonts w:ascii="Times New Roman" w:hAnsi="Times New Roman" w:cs="Times New Roman"/>
          <w:i/>
          <w:sz w:val="20"/>
          <w:szCs w:val="20"/>
        </w:rPr>
        <w:t>Hegel im Kontext</w:t>
      </w:r>
      <w:r>
        <w:rPr>
          <w:rFonts w:ascii="Times New Roman" w:hAnsi="Times New Roman" w:cs="Times New Roman"/>
          <w:sz w:val="20"/>
          <w:szCs w:val="20"/>
        </w:rPr>
        <w:t>, a.a.O., S. 73-81</w:t>
      </w:r>
      <w:r w:rsidRPr="00496DC4">
        <w:rPr>
          <w:rFonts w:ascii="Times New Roman" w:hAnsi="Times New Roman" w:cs="Times New Roman"/>
          <w:sz w:val="20"/>
          <w:szCs w:val="20"/>
        </w:rPr>
        <w:t xml:space="preserve">; S. Houlgate, </w:t>
      </w:r>
      <w:r w:rsidRPr="00496DC4">
        <w:rPr>
          <w:rFonts w:ascii="Times New Roman" w:hAnsi="Times New Roman" w:cs="Times New Roman"/>
          <w:i/>
          <w:sz w:val="20"/>
          <w:szCs w:val="20"/>
        </w:rPr>
        <w:t>The Opening of Hegel’s Logic</w:t>
      </w:r>
      <w:r w:rsidRPr="00496DC4">
        <w:rPr>
          <w:rFonts w:ascii="Times New Roman" w:hAnsi="Times New Roman" w:cs="Times New Roman"/>
          <w:sz w:val="20"/>
          <w:szCs w:val="20"/>
        </w:rPr>
        <w:t>, Purdue University Press</w:t>
      </w:r>
      <w:r>
        <w:rPr>
          <w:rFonts w:ascii="Times New Roman" w:hAnsi="Times New Roman" w:cs="Times New Roman"/>
          <w:sz w:val="20"/>
          <w:szCs w:val="20"/>
        </w:rPr>
        <w:t>, Idiana 2006, S</w:t>
      </w:r>
      <w:r w:rsidRPr="00496DC4">
        <w:rPr>
          <w:rFonts w:ascii="Times New Roman" w:hAnsi="Times New Roman" w:cs="Times New Roman"/>
          <w:sz w:val="20"/>
          <w:szCs w:val="20"/>
        </w:rPr>
        <w:t>. 263-284;</w:t>
      </w:r>
      <w:r>
        <w:rPr>
          <w:rFonts w:ascii="Times New Roman" w:hAnsi="Times New Roman" w:cs="Times New Roman"/>
          <w:sz w:val="20"/>
          <w:szCs w:val="20"/>
        </w:rPr>
        <w:t xml:space="preserve"> L. Lugarini, </w:t>
      </w:r>
      <w:r w:rsidRPr="00344BD8">
        <w:rPr>
          <w:rFonts w:ascii="Times New Roman" w:hAnsi="Times New Roman" w:cs="Times New Roman"/>
          <w:i/>
          <w:sz w:val="20"/>
          <w:szCs w:val="20"/>
        </w:rPr>
        <w:t>Orizzonti hegeliani di comprensione dell’essere</w:t>
      </w:r>
      <w:r>
        <w:rPr>
          <w:rFonts w:ascii="Times New Roman" w:hAnsi="Times New Roman" w:cs="Times New Roman"/>
          <w:i/>
          <w:sz w:val="20"/>
          <w:szCs w:val="20"/>
        </w:rPr>
        <w:t xml:space="preserve">. </w:t>
      </w:r>
      <w:r w:rsidRPr="00AA6224">
        <w:rPr>
          <w:rFonts w:ascii="Times New Roman" w:hAnsi="Times New Roman" w:cs="Times New Roman"/>
          <w:i/>
          <w:sz w:val="20"/>
          <w:szCs w:val="20"/>
        </w:rPr>
        <w:t>Rileggendo la Scienza della Logica</w:t>
      </w:r>
      <w:r w:rsidRPr="00AA6224">
        <w:rPr>
          <w:rFonts w:ascii="Times New Roman" w:hAnsi="Times New Roman" w:cs="Times New Roman"/>
          <w:sz w:val="20"/>
          <w:szCs w:val="20"/>
        </w:rPr>
        <w:t>, Guerini, Milano 1998</w:t>
      </w:r>
      <w:r>
        <w:rPr>
          <w:rFonts w:ascii="Times New Roman" w:hAnsi="Times New Roman" w:cs="Times New Roman"/>
          <w:sz w:val="20"/>
          <w:szCs w:val="20"/>
        </w:rPr>
        <w:t xml:space="preserve">, S. 154-177; R. B. Pippin, </w:t>
      </w:r>
      <w:r>
        <w:rPr>
          <w:rFonts w:ascii="Times New Roman" w:hAnsi="Times New Roman" w:cs="Times New Roman"/>
          <w:i/>
          <w:sz w:val="20"/>
          <w:szCs w:val="20"/>
        </w:rPr>
        <w:t>Hegel’s Realm of Shadows. Logic</w:t>
      </w:r>
      <w:r w:rsidRPr="00F32344">
        <w:rPr>
          <w:rFonts w:ascii="Times New Roman" w:hAnsi="Times New Roman" w:cs="Times New Roman"/>
          <w:i/>
          <w:sz w:val="20"/>
          <w:szCs w:val="20"/>
        </w:rPr>
        <w:t>s Metaphysics in The Science of Logic</w:t>
      </w:r>
      <w:r>
        <w:rPr>
          <w:rFonts w:ascii="Times New Roman" w:hAnsi="Times New Roman" w:cs="Times New Roman"/>
          <w:sz w:val="20"/>
          <w:szCs w:val="20"/>
        </w:rPr>
        <w:t>, The University of Chicago Press, Chicago/London 2019, S. 183-217.</w:t>
      </w:r>
    </w:p>
  </w:footnote>
  <w:footnote w:id="902">
    <w:p w14:paraId="3C242FBA" w14:textId="77777777" w:rsidR="00B34CC2" w:rsidRPr="00BF14F9" w:rsidRDefault="00B34CC2" w:rsidP="001C3D81">
      <w:pPr>
        <w:pStyle w:val="Testonotaapidipagina"/>
        <w:rPr>
          <w:rFonts w:ascii="Times New Roman" w:hAnsi="Times New Roman" w:cs="Times New Roman"/>
          <w:sz w:val="20"/>
          <w:szCs w:val="20"/>
        </w:rPr>
      </w:pPr>
      <w:r w:rsidRPr="00BF14F9">
        <w:rPr>
          <w:rStyle w:val="Rimandonotaapidipagina"/>
          <w:rFonts w:ascii="Times New Roman" w:hAnsi="Times New Roman" w:cs="Times New Roman"/>
          <w:sz w:val="20"/>
          <w:szCs w:val="20"/>
        </w:rPr>
        <w:footnoteRef/>
      </w:r>
      <w:r>
        <w:rPr>
          <w:rFonts w:ascii="Times New Roman" w:hAnsi="Times New Roman" w:cs="Times New Roman"/>
          <w:i/>
          <w:sz w:val="20"/>
          <w:szCs w:val="20"/>
        </w:rPr>
        <w:t xml:space="preserve"> </w:t>
      </w:r>
      <w:r w:rsidRPr="000A7707">
        <w:rPr>
          <w:rFonts w:ascii="Times New Roman" w:hAnsi="Times New Roman" w:cs="Times New Roman"/>
          <w:i/>
          <w:sz w:val="20"/>
          <w:szCs w:val="20"/>
        </w:rPr>
        <w:t>WdL I A</w:t>
      </w:r>
      <w:r>
        <w:rPr>
          <w:rFonts w:ascii="Times New Roman" w:hAnsi="Times New Roman" w:cs="Times New Roman"/>
          <w:sz w:val="20"/>
          <w:szCs w:val="20"/>
        </w:rPr>
        <w:t>, S. 57</w:t>
      </w:r>
      <w:r>
        <w:rPr>
          <w:rFonts w:ascii="Times New Roman" w:hAnsi="Times New Roman" w:cs="Times New Roman"/>
          <w:i/>
          <w:sz w:val="20"/>
          <w:szCs w:val="20"/>
        </w:rPr>
        <w:t xml:space="preserve">. </w:t>
      </w:r>
      <w:r w:rsidRPr="000A7707">
        <w:rPr>
          <w:rFonts w:ascii="Times New Roman" w:hAnsi="Times New Roman" w:cs="Times New Roman"/>
          <w:i/>
          <w:sz w:val="20"/>
          <w:szCs w:val="20"/>
        </w:rPr>
        <w:t xml:space="preserve"> </w:t>
      </w:r>
    </w:p>
  </w:footnote>
  <w:footnote w:id="903">
    <w:p w14:paraId="5347CAE9" w14:textId="77777777" w:rsidR="00B34CC2" w:rsidRPr="004268FA" w:rsidRDefault="00B34CC2" w:rsidP="001C3D81">
      <w:pPr>
        <w:pStyle w:val="Testonotaapidipagina"/>
        <w:rPr>
          <w:rFonts w:ascii="Times New Roman" w:hAnsi="Times New Roman" w:cs="Times New Roman"/>
          <w:sz w:val="20"/>
          <w:szCs w:val="20"/>
        </w:rPr>
      </w:pPr>
      <w:r w:rsidRPr="004268FA">
        <w:rPr>
          <w:rStyle w:val="Rimandonotaapidipagina"/>
          <w:rFonts w:ascii="Times New Roman" w:hAnsi="Times New Roman" w:cs="Times New Roman"/>
          <w:sz w:val="20"/>
          <w:szCs w:val="20"/>
        </w:rPr>
        <w:footnoteRef/>
      </w:r>
      <w:r w:rsidRPr="000A7707">
        <w:rPr>
          <w:rFonts w:ascii="Times New Roman" w:hAnsi="Times New Roman" w:cs="Times New Roman"/>
          <w:i/>
          <w:sz w:val="20"/>
          <w:szCs w:val="20"/>
        </w:rPr>
        <w:t xml:space="preserve"> </w:t>
      </w:r>
      <w:r w:rsidRPr="00A25B19">
        <w:rPr>
          <w:rFonts w:ascii="Times New Roman" w:hAnsi="Times New Roman" w:cs="Times New Roman"/>
          <w:sz w:val="20"/>
          <w:szCs w:val="20"/>
        </w:rPr>
        <w:t>Ebd.</w:t>
      </w:r>
      <w:r>
        <w:rPr>
          <w:rFonts w:ascii="Times New Roman" w:hAnsi="Times New Roman" w:cs="Times New Roman"/>
          <w:sz w:val="20"/>
          <w:szCs w:val="20"/>
        </w:rPr>
        <w:t>, S. 60.</w:t>
      </w:r>
      <w:r w:rsidRPr="00A25B19">
        <w:rPr>
          <w:rFonts w:ascii="Times New Roman" w:hAnsi="Times New Roman" w:cs="Times New Roman"/>
          <w:sz w:val="20"/>
          <w:szCs w:val="20"/>
        </w:rPr>
        <w:t xml:space="preserve">  </w:t>
      </w:r>
    </w:p>
  </w:footnote>
  <w:footnote w:id="904">
    <w:p w14:paraId="04402C68" w14:textId="1A138DCF" w:rsidR="00B34CC2" w:rsidRPr="001F7EE5" w:rsidRDefault="00B34CC2" w:rsidP="001C3D81">
      <w:pPr>
        <w:pStyle w:val="Testonotaapidipagina"/>
        <w:jc w:val="both"/>
        <w:rPr>
          <w:rFonts w:ascii="Times New Roman" w:hAnsi="Times New Roman" w:cs="Times New Roman"/>
          <w:sz w:val="20"/>
          <w:szCs w:val="20"/>
        </w:rPr>
      </w:pPr>
      <w:r w:rsidRPr="001F7EE5">
        <w:rPr>
          <w:rStyle w:val="Rimandonotaapidipagina"/>
          <w:rFonts w:ascii="Times New Roman" w:hAnsi="Times New Roman" w:cs="Times New Roman"/>
          <w:sz w:val="20"/>
          <w:szCs w:val="20"/>
        </w:rPr>
        <w:footnoteRef/>
      </w:r>
      <w:r>
        <w:rPr>
          <w:rFonts w:ascii="Times New Roman" w:hAnsi="Times New Roman" w:cs="Times New Roman"/>
          <w:sz w:val="20"/>
          <w:szCs w:val="20"/>
        </w:rPr>
        <w:t xml:space="preserve"> </w:t>
      </w:r>
      <w:r w:rsidRPr="00A25B19">
        <w:rPr>
          <w:rFonts w:ascii="Times New Roman" w:hAnsi="Times New Roman" w:cs="Times New Roman"/>
          <w:sz w:val="20"/>
          <w:szCs w:val="20"/>
        </w:rPr>
        <w:t>Ebd.</w:t>
      </w:r>
      <w:r>
        <w:rPr>
          <w:rFonts w:ascii="Times New Roman" w:hAnsi="Times New Roman" w:cs="Times New Roman"/>
          <w:sz w:val="20"/>
          <w:szCs w:val="20"/>
        </w:rPr>
        <w:t>, S. 262.</w:t>
      </w:r>
    </w:p>
  </w:footnote>
  <w:footnote w:id="905">
    <w:p w14:paraId="2CF44A81" w14:textId="31662ACE" w:rsidR="00B34CC2" w:rsidRPr="0052068C" w:rsidRDefault="00B34CC2" w:rsidP="001C3D81">
      <w:pPr>
        <w:pStyle w:val="Testonotaapidipagina"/>
        <w:rPr>
          <w:rFonts w:ascii="Times New Roman" w:hAnsi="Times New Roman" w:cs="Times New Roman"/>
          <w:sz w:val="20"/>
          <w:szCs w:val="20"/>
        </w:rPr>
      </w:pPr>
      <w:r w:rsidRPr="0052068C">
        <w:rPr>
          <w:rStyle w:val="Rimandonotaapidipagina"/>
          <w:rFonts w:ascii="Times New Roman" w:hAnsi="Times New Roman" w:cs="Times New Roman"/>
          <w:sz w:val="20"/>
          <w:szCs w:val="20"/>
        </w:rPr>
        <w:footnoteRef/>
      </w:r>
      <w:r>
        <w:rPr>
          <w:rFonts w:ascii="Times New Roman" w:hAnsi="Times New Roman" w:cs="Times New Roman"/>
          <w:i/>
          <w:sz w:val="20"/>
          <w:szCs w:val="20"/>
        </w:rPr>
        <w:t xml:space="preserve"> </w:t>
      </w:r>
      <w:r w:rsidRPr="00A25B19">
        <w:rPr>
          <w:rFonts w:ascii="Times New Roman" w:hAnsi="Times New Roman" w:cs="Times New Roman"/>
          <w:sz w:val="20"/>
          <w:szCs w:val="20"/>
        </w:rPr>
        <w:t>Ebd.</w:t>
      </w:r>
      <w:r>
        <w:rPr>
          <w:rFonts w:ascii="Times New Roman" w:hAnsi="Times New Roman" w:cs="Times New Roman"/>
          <w:sz w:val="20"/>
          <w:szCs w:val="20"/>
        </w:rPr>
        <w:t>, S. 72.</w:t>
      </w:r>
    </w:p>
  </w:footnote>
  <w:footnote w:id="906">
    <w:p w14:paraId="32DAFD99" w14:textId="77777777" w:rsidR="00B34CC2" w:rsidRPr="000C4CDA" w:rsidRDefault="00B34CC2" w:rsidP="001C3D81">
      <w:pPr>
        <w:pStyle w:val="Testonotaapidipagina"/>
        <w:rPr>
          <w:rFonts w:ascii="Times New Roman" w:hAnsi="Times New Roman" w:cs="Times New Roman"/>
          <w:sz w:val="20"/>
          <w:szCs w:val="20"/>
        </w:rPr>
      </w:pPr>
      <w:r w:rsidRPr="000C4CDA">
        <w:rPr>
          <w:rStyle w:val="Rimandonotaapidipagina"/>
          <w:rFonts w:ascii="Times New Roman" w:hAnsi="Times New Roman" w:cs="Times New Roman"/>
          <w:sz w:val="20"/>
          <w:szCs w:val="20"/>
        </w:rPr>
        <w:footnoteRef/>
      </w:r>
      <w:r w:rsidRPr="0001166D">
        <w:rPr>
          <w:rFonts w:ascii="Times New Roman" w:hAnsi="Times New Roman" w:cs="Times New Roman"/>
          <w:i/>
          <w:sz w:val="20"/>
          <w:szCs w:val="20"/>
        </w:rPr>
        <w:t xml:space="preserve"> </w:t>
      </w:r>
      <w:r w:rsidRPr="000665F1">
        <w:rPr>
          <w:rFonts w:ascii="Times New Roman" w:hAnsi="Times New Roman" w:cs="Times New Roman"/>
          <w:sz w:val="20"/>
          <w:szCs w:val="20"/>
        </w:rPr>
        <w:t>Ebd.</w:t>
      </w:r>
      <w:r>
        <w:rPr>
          <w:rFonts w:ascii="Times New Roman" w:hAnsi="Times New Roman" w:cs="Times New Roman"/>
          <w:i/>
          <w:sz w:val="20"/>
          <w:szCs w:val="20"/>
        </w:rPr>
        <w:t xml:space="preserve">, </w:t>
      </w:r>
      <w:r>
        <w:rPr>
          <w:rFonts w:ascii="Times New Roman" w:hAnsi="Times New Roman" w:cs="Times New Roman"/>
          <w:sz w:val="20"/>
          <w:szCs w:val="20"/>
        </w:rPr>
        <w:t xml:space="preserve">S. </w:t>
      </w:r>
      <w:r w:rsidRPr="0001166D">
        <w:rPr>
          <w:rFonts w:ascii="Times New Roman" w:hAnsi="Times New Roman" w:cs="Times New Roman"/>
          <w:sz w:val="20"/>
          <w:szCs w:val="20"/>
        </w:rPr>
        <w:t>76</w:t>
      </w:r>
      <w:r>
        <w:rPr>
          <w:rFonts w:ascii="Times New Roman" w:hAnsi="Times New Roman" w:cs="Times New Roman"/>
          <w:sz w:val="20"/>
          <w:szCs w:val="20"/>
        </w:rPr>
        <w:t>.</w:t>
      </w:r>
    </w:p>
  </w:footnote>
  <w:footnote w:id="907">
    <w:p w14:paraId="163F9C0B" w14:textId="77777777" w:rsidR="00B34CC2" w:rsidRPr="0039290B" w:rsidRDefault="00B34CC2" w:rsidP="001C3D81">
      <w:pPr>
        <w:pStyle w:val="Testonotaapidipagina"/>
        <w:jc w:val="both"/>
        <w:rPr>
          <w:rFonts w:ascii="Times New Roman" w:hAnsi="Times New Roman" w:cs="Times New Roman"/>
          <w:sz w:val="20"/>
          <w:szCs w:val="20"/>
        </w:rPr>
      </w:pPr>
      <w:r w:rsidRPr="0039290B">
        <w:rPr>
          <w:rStyle w:val="Rimandonotaapidipagina"/>
          <w:rFonts w:ascii="Times New Roman" w:hAnsi="Times New Roman" w:cs="Times New Roman"/>
          <w:sz w:val="20"/>
          <w:szCs w:val="20"/>
        </w:rPr>
        <w:footnoteRef/>
      </w:r>
      <w:r>
        <w:rPr>
          <w:rFonts w:ascii="Times New Roman" w:hAnsi="Times New Roman" w:cs="Times New Roman"/>
          <w:i/>
          <w:sz w:val="20"/>
          <w:szCs w:val="20"/>
        </w:rPr>
        <w:t xml:space="preserve"> </w:t>
      </w:r>
      <w:r w:rsidRPr="000665F1">
        <w:rPr>
          <w:rFonts w:ascii="Times New Roman" w:hAnsi="Times New Roman" w:cs="Times New Roman"/>
          <w:sz w:val="20"/>
          <w:szCs w:val="20"/>
        </w:rPr>
        <w:t>Ebd.,</w:t>
      </w:r>
      <w:r>
        <w:rPr>
          <w:rFonts w:ascii="Times New Roman" w:hAnsi="Times New Roman" w:cs="Times New Roman"/>
          <w:sz w:val="20"/>
          <w:szCs w:val="20"/>
        </w:rPr>
        <w:t xml:space="preserve"> S. 76</w:t>
      </w:r>
      <w:r>
        <w:rPr>
          <w:rFonts w:ascii="Times New Roman" w:hAnsi="Times New Roman" w:cs="Times New Roman"/>
          <w:i/>
          <w:sz w:val="20"/>
          <w:szCs w:val="20"/>
        </w:rPr>
        <w:t>.</w:t>
      </w:r>
    </w:p>
  </w:footnote>
  <w:footnote w:id="908">
    <w:p w14:paraId="21521416" w14:textId="77777777" w:rsidR="00B34CC2" w:rsidRPr="00F803DE" w:rsidRDefault="00B34CC2" w:rsidP="001C3D81">
      <w:pPr>
        <w:pStyle w:val="Testonotaapidipagina"/>
        <w:jc w:val="both"/>
        <w:rPr>
          <w:rFonts w:ascii="Times New Roman" w:hAnsi="Times New Roman" w:cs="Times New Roman"/>
          <w:sz w:val="20"/>
          <w:szCs w:val="20"/>
        </w:rPr>
      </w:pPr>
      <w:r w:rsidRPr="00DD7441">
        <w:rPr>
          <w:rStyle w:val="Rimandonotaapidipagina"/>
          <w:rFonts w:ascii="Times New Roman" w:hAnsi="Times New Roman"/>
          <w:sz w:val="20"/>
          <w:szCs w:val="20"/>
        </w:rPr>
        <w:footnoteRef/>
      </w:r>
      <w:r w:rsidRPr="00DD7441">
        <w:rPr>
          <w:rFonts w:ascii="Times New Roman" w:hAnsi="Times New Roman" w:cs="Times New Roman"/>
          <w:sz w:val="20"/>
          <w:szCs w:val="20"/>
        </w:rPr>
        <w:t xml:space="preserve"> </w:t>
      </w:r>
      <w:r w:rsidRPr="00DD7441">
        <w:rPr>
          <w:rFonts w:ascii="Times New Roman" w:hAnsi="Times New Roman" w:cs="Times New Roman"/>
          <w:i/>
          <w:sz w:val="20"/>
          <w:szCs w:val="20"/>
        </w:rPr>
        <w:t>WdL I B</w:t>
      </w:r>
      <w:r w:rsidRPr="00DD7441">
        <w:rPr>
          <w:rFonts w:ascii="Times New Roman" w:hAnsi="Times New Roman" w:cs="Times New Roman"/>
          <w:sz w:val="20"/>
          <w:szCs w:val="20"/>
        </w:rPr>
        <w:t>, S. 102.</w:t>
      </w:r>
    </w:p>
  </w:footnote>
  <w:footnote w:id="909">
    <w:p w14:paraId="64D94B69" w14:textId="77777777" w:rsidR="00B34CC2" w:rsidRPr="008F30B2" w:rsidRDefault="00B34CC2" w:rsidP="001C3D81">
      <w:pPr>
        <w:pStyle w:val="Testonotaapidipagina"/>
        <w:jc w:val="both"/>
        <w:rPr>
          <w:rFonts w:ascii="Times New Roman" w:hAnsi="Times New Roman" w:cs="Times New Roman"/>
          <w:sz w:val="20"/>
          <w:szCs w:val="20"/>
        </w:rPr>
      </w:pPr>
      <w:r w:rsidRPr="008F30B2">
        <w:rPr>
          <w:rStyle w:val="Rimandonotaapidipagina"/>
          <w:rFonts w:ascii="Times New Roman" w:hAnsi="Times New Roman" w:cs="Times New Roman"/>
          <w:sz w:val="20"/>
          <w:szCs w:val="20"/>
        </w:rPr>
        <w:footnoteRef/>
      </w:r>
      <w:r>
        <w:rPr>
          <w:rFonts w:ascii="Times New Roman" w:hAnsi="Times New Roman" w:cs="Times New Roman"/>
          <w:i/>
          <w:sz w:val="20"/>
          <w:szCs w:val="20"/>
        </w:rPr>
        <w:t xml:space="preserve"> </w:t>
      </w:r>
      <w:r>
        <w:rPr>
          <w:rFonts w:ascii="Times New Roman" w:hAnsi="Times New Roman" w:cs="Times New Roman"/>
          <w:sz w:val="20"/>
          <w:szCs w:val="20"/>
        </w:rPr>
        <w:t xml:space="preserve">G. A. Magee, </w:t>
      </w:r>
      <w:r>
        <w:rPr>
          <w:rFonts w:ascii="Times New Roman" w:hAnsi="Times New Roman" w:cs="Times New Roman"/>
          <w:i/>
          <w:sz w:val="20"/>
          <w:szCs w:val="20"/>
        </w:rPr>
        <w:t>Hegel and the Hermetic Tradition</w:t>
      </w:r>
      <w:r>
        <w:rPr>
          <w:rFonts w:ascii="Times New Roman" w:hAnsi="Times New Roman" w:cs="Times New Roman"/>
          <w:sz w:val="20"/>
          <w:szCs w:val="20"/>
        </w:rPr>
        <w:t>, a.a.O., S. 158-159.</w:t>
      </w:r>
    </w:p>
  </w:footnote>
  <w:footnote w:id="910">
    <w:p w14:paraId="7F2ED68E" w14:textId="77777777" w:rsidR="00B34CC2" w:rsidRPr="004147FC" w:rsidRDefault="00B34CC2" w:rsidP="001C3D81">
      <w:pPr>
        <w:pStyle w:val="Testonotaapidipagina"/>
        <w:jc w:val="both"/>
        <w:rPr>
          <w:rFonts w:ascii="Times New Roman" w:hAnsi="Times New Roman" w:cs="Times New Roman"/>
          <w:sz w:val="20"/>
          <w:szCs w:val="20"/>
        </w:rPr>
      </w:pPr>
      <w:r w:rsidRPr="004147FC">
        <w:rPr>
          <w:rStyle w:val="Rimandonotaapidipagina"/>
          <w:rFonts w:ascii="Times New Roman" w:hAnsi="Times New Roman" w:cs="Times New Roman"/>
          <w:sz w:val="20"/>
          <w:szCs w:val="20"/>
        </w:rPr>
        <w:footnoteRef/>
      </w:r>
      <w:r>
        <w:rPr>
          <w:rFonts w:ascii="Times New Roman" w:hAnsi="Times New Roman" w:cs="Times New Roman"/>
          <w:i/>
          <w:sz w:val="20"/>
          <w:szCs w:val="20"/>
        </w:rPr>
        <w:t xml:space="preserve"> </w:t>
      </w:r>
      <w:r>
        <w:rPr>
          <w:rFonts w:ascii="Times New Roman" w:hAnsi="Times New Roman" w:cs="Times New Roman"/>
          <w:sz w:val="20"/>
          <w:szCs w:val="20"/>
        </w:rPr>
        <w:t xml:space="preserve">C. Muratori, </w:t>
      </w:r>
      <w:r>
        <w:rPr>
          <w:rFonts w:ascii="Times New Roman" w:hAnsi="Times New Roman" w:cs="Times New Roman"/>
          <w:i/>
          <w:sz w:val="20"/>
          <w:szCs w:val="20"/>
        </w:rPr>
        <w:t>The first German Philosopher</w:t>
      </w:r>
      <w:r>
        <w:rPr>
          <w:rFonts w:ascii="Times New Roman" w:hAnsi="Times New Roman" w:cs="Times New Roman"/>
          <w:sz w:val="20"/>
          <w:szCs w:val="20"/>
        </w:rPr>
        <w:t>, a.a.O., S. 237-242.</w:t>
      </w:r>
    </w:p>
  </w:footnote>
  <w:footnote w:id="911">
    <w:p w14:paraId="42E9F681" w14:textId="77777777" w:rsidR="00B34CC2" w:rsidRPr="00FB320F" w:rsidRDefault="00B34CC2" w:rsidP="001C3D81">
      <w:pPr>
        <w:pStyle w:val="Testonotaapidipagina"/>
        <w:jc w:val="both"/>
        <w:rPr>
          <w:rFonts w:ascii="Times New Roman" w:hAnsi="Times New Roman"/>
          <w:sz w:val="20"/>
          <w:szCs w:val="20"/>
        </w:rPr>
      </w:pPr>
      <w:r w:rsidRPr="00FB320F">
        <w:rPr>
          <w:rStyle w:val="Rimandonotaapidipagina"/>
          <w:rFonts w:ascii="Times New Roman" w:hAnsi="Times New Roman"/>
          <w:sz w:val="20"/>
          <w:szCs w:val="20"/>
        </w:rPr>
        <w:footnoteRef/>
      </w:r>
      <w:r w:rsidRPr="00FB320F">
        <w:rPr>
          <w:rFonts w:ascii="Times New Roman" w:hAnsi="Times New Roman"/>
          <w:sz w:val="20"/>
          <w:szCs w:val="20"/>
        </w:rPr>
        <w:t xml:space="preserve"> Siehe dazu F. Chiereghin</w:t>
      </w:r>
      <w:r>
        <w:rPr>
          <w:rFonts w:ascii="Times New Roman" w:hAnsi="Times New Roman"/>
          <w:sz w:val="20"/>
          <w:szCs w:val="20"/>
        </w:rPr>
        <w:t xml:space="preserve">, </w:t>
      </w:r>
      <w:r w:rsidRPr="00DD3217">
        <w:rPr>
          <w:rFonts w:ascii="Times New Roman" w:hAnsi="Times New Roman" w:cs="Times New Roman"/>
          <w:sz w:val="20"/>
          <w:szCs w:val="20"/>
        </w:rPr>
        <w:t xml:space="preserve">F. Chiereghin, </w:t>
      </w:r>
      <w:r w:rsidRPr="00411533">
        <w:rPr>
          <w:rFonts w:ascii="Times New Roman" w:hAnsi="Times New Roman" w:cs="Times New Roman"/>
          <w:i/>
          <w:sz w:val="20"/>
          <w:szCs w:val="20"/>
        </w:rPr>
        <w:t>Rileggere la Scienza della Logica. Ricorsività, retroazioni, ologrammi</w:t>
      </w:r>
      <w:r>
        <w:rPr>
          <w:rFonts w:ascii="Times New Roman" w:hAnsi="Times New Roman" w:cs="Times New Roman"/>
          <w:sz w:val="20"/>
          <w:szCs w:val="20"/>
        </w:rPr>
        <w:t>, Caro</w:t>
      </w:r>
      <w:r w:rsidRPr="00411533">
        <w:rPr>
          <w:rFonts w:ascii="Times New Roman" w:hAnsi="Times New Roman" w:cs="Times New Roman"/>
          <w:sz w:val="20"/>
          <w:szCs w:val="20"/>
        </w:rPr>
        <w:t>cci, Roma 2011</w:t>
      </w:r>
      <w:r>
        <w:rPr>
          <w:rFonts w:ascii="Times New Roman" w:hAnsi="Times New Roman" w:cs="Times New Roman"/>
          <w:sz w:val="20"/>
          <w:szCs w:val="20"/>
        </w:rPr>
        <w:t>.</w:t>
      </w:r>
    </w:p>
  </w:footnote>
  <w:footnote w:id="912">
    <w:p w14:paraId="24A28284" w14:textId="77777777" w:rsidR="00B34CC2" w:rsidRPr="00D21142" w:rsidRDefault="00B34CC2" w:rsidP="001C3D81">
      <w:pPr>
        <w:pStyle w:val="Testonotaapidipagina"/>
        <w:jc w:val="both"/>
        <w:rPr>
          <w:rFonts w:ascii="Times New Roman" w:hAnsi="Times New Roman" w:cs="Times New Roman"/>
          <w:sz w:val="20"/>
          <w:szCs w:val="20"/>
        </w:rPr>
      </w:pPr>
      <w:r w:rsidRPr="004A0345">
        <w:rPr>
          <w:rStyle w:val="Rimandonotaapidipagina"/>
          <w:rFonts w:ascii="Times New Roman" w:hAnsi="Times New Roman" w:cs="Times New Roman"/>
          <w:sz w:val="20"/>
          <w:szCs w:val="20"/>
        </w:rPr>
        <w:footnoteRef/>
      </w:r>
      <w:r>
        <w:rPr>
          <w:rFonts w:ascii="Times New Roman" w:hAnsi="Times New Roman" w:cs="Times New Roman"/>
          <w:sz w:val="20"/>
          <w:szCs w:val="20"/>
        </w:rPr>
        <w:t xml:space="preserve"> </w:t>
      </w:r>
      <w:r>
        <w:rPr>
          <w:rFonts w:ascii="Times New Roman" w:hAnsi="Times New Roman" w:cs="Times New Roman"/>
          <w:i/>
          <w:sz w:val="20"/>
          <w:szCs w:val="20"/>
        </w:rPr>
        <w:t xml:space="preserve">WdL </w:t>
      </w:r>
      <w:r w:rsidRPr="00786425">
        <w:rPr>
          <w:rFonts w:ascii="Times New Roman" w:hAnsi="Times New Roman" w:cs="Times New Roman"/>
          <w:i/>
          <w:sz w:val="20"/>
          <w:szCs w:val="20"/>
        </w:rPr>
        <w:t>I A</w:t>
      </w:r>
      <w:r>
        <w:rPr>
          <w:rFonts w:ascii="Times New Roman" w:hAnsi="Times New Roman" w:cs="Times New Roman"/>
          <w:sz w:val="20"/>
          <w:szCs w:val="20"/>
        </w:rPr>
        <w:t xml:space="preserve">, S. 231-232. Zur </w:t>
      </w:r>
      <w:r w:rsidRPr="00955AFF">
        <w:rPr>
          <w:rFonts w:ascii="Times New Roman" w:hAnsi="Times New Roman" w:cs="Times New Roman"/>
          <w:i/>
          <w:sz w:val="20"/>
          <w:szCs w:val="20"/>
        </w:rPr>
        <w:t xml:space="preserve">Wesenslogik </w:t>
      </w:r>
      <w:r>
        <w:rPr>
          <w:rFonts w:ascii="Times New Roman" w:hAnsi="Times New Roman" w:cs="Times New Roman"/>
          <w:sz w:val="20"/>
          <w:szCs w:val="20"/>
        </w:rPr>
        <w:t xml:space="preserve">siehe K. Hartmann, </w:t>
      </w:r>
      <w:r>
        <w:rPr>
          <w:rFonts w:ascii="Times New Roman" w:hAnsi="Times New Roman" w:cs="Times New Roman"/>
          <w:i/>
          <w:sz w:val="20"/>
          <w:szCs w:val="20"/>
        </w:rPr>
        <w:t xml:space="preserve">Hegels </w:t>
      </w:r>
      <w:r w:rsidRPr="0050300F">
        <w:rPr>
          <w:rFonts w:ascii="Times New Roman" w:hAnsi="Times New Roman" w:cs="Times New Roman"/>
          <w:i/>
          <w:sz w:val="20"/>
          <w:szCs w:val="20"/>
        </w:rPr>
        <w:t>Logik</w:t>
      </w:r>
      <w:r>
        <w:rPr>
          <w:rFonts w:ascii="Times New Roman" w:hAnsi="Times New Roman" w:cs="Times New Roman"/>
          <w:sz w:val="20"/>
          <w:szCs w:val="20"/>
        </w:rPr>
        <w:t xml:space="preserve">, De Gruyter, Berlin/New York 1999, S. 163-174; </w:t>
      </w:r>
      <w:r w:rsidRPr="00171614">
        <w:rPr>
          <w:rFonts w:ascii="Times New Roman" w:hAnsi="Times New Roman" w:cs="Times New Roman"/>
          <w:sz w:val="20"/>
          <w:szCs w:val="20"/>
        </w:rPr>
        <w:t xml:space="preserve">D. Henrich, </w:t>
      </w:r>
      <w:r w:rsidRPr="00A8367F">
        <w:rPr>
          <w:rFonts w:ascii="Times New Roman" w:hAnsi="Times New Roman" w:cs="Times New Roman"/>
          <w:i/>
          <w:sz w:val="20"/>
          <w:szCs w:val="20"/>
        </w:rPr>
        <w:t>Hegels Logik der Reflexion</w:t>
      </w:r>
      <w:r>
        <w:rPr>
          <w:rFonts w:ascii="Times New Roman" w:hAnsi="Times New Roman" w:cs="Times New Roman"/>
          <w:sz w:val="20"/>
          <w:szCs w:val="20"/>
        </w:rPr>
        <w:t xml:space="preserve">, in </w:t>
      </w:r>
      <w:r w:rsidRPr="00171614">
        <w:rPr>
          <w:rFonts w:ascii="Times New Roman" w:hAnsi="Times New Roman" w:cs="Times New Roman"/>
          <w:i/>
          <w:sz w:val="20"/>
          <w:szCs w:val="20"/>
        </w:rPr>
        <w:t xml:space="preserve">Hegel im Kontext, </w:t>
      </w:r>
      <w:r w:rsidRPr="00171614">
        <w:rPr>
          <w:rFonts w:ascii="Times New Roman" w:hAnsi="Times New Roman" w:cs="Times New Roman"/>
          <w:sz w:val="20"/>
          <w:szCs w:val="20"/>
        </w:rPr>
        <w:t>a.a.</w:t>
      </w:r>
      <w:r>
        <w:rPr>
          <w:rFonts w:ascii="Times New Roman" w:hAnsi="Times New Roman" w:cs="Times New Roman"/>
          <w:sz w:val="20"/>
          <w:szCs w:val="20"/>
        </w:rPr>
        <w:t>O., S</w:t>
      </w:r>
      <w:r w:rsidRPr="00171614">
        <w:rPr>
          <w:rFonts w:ascii="Times New Roman" w:hAnsi="Times New Roman" w:cs="Times New Roman"/>
          <w:sz w:val="20"/>
          <w:szCs w:val="20"/>
        </w:rPr>
        <w:t>. 95-157</w:t>
      </w:r>
      <w:r>
        <w:rPr>
          <w:rFonts w:ascii="Times New Roman" w:hAnsi="Times New Roman" w:cs="Times New Roman"/>
          <w:sz w:val="20"/>
          <w:szCs w:val="20"/>
        </w:rPr>
        <w:t xml:space="preserve">; </w:t>
      </w:r>
      <w:r w:rsidRPr="00171614">
        <w:rPr>
          <w:rFonts w:ascii="Times New Roman" w:hAnsi="Times New Roman" w:cs="Times New Roman"/>
          <w:sz w:val="20"/>
          <w:szCs w:val="20"/>
        </w:rPr>
        <w:t xml:space="preserve">D. Henrich, </w:t>
      </w:r>
      <w:r w:rsidRPr="000C7A0B">
        <w:rPr>
          <w:rFonts w:ascii="Times New Roman" w:hAnsi="Times New Roman" w:cs="Times New Roman"/>
          <w:i/>
          <w:sz w:val="20"/>
          <w:szCs w:val="20"/>
        </w:rPr>
        <w:t>Hegels Logik der Reflexion. Neue Fassung</w:t>
      </w:r>
      <w:r w:rsidRPr="00171614">
        <w:rPr>
          <w:rFonts w:ascii="Times New Roman" w:hAnsi="Times New Roman" w:cs="Times New Roman"/>
          <w:sz w:val="20"/>
          <w:szCs w:val="20"/>
        </w:rPr>
        <w:t xml:space="preserve">, </w:t>
      </w:r>
      <w:r>
        <w:rPr>
          <w:rFonts w:ascii="Times New Roman" w:hAnsi="Times New Roman" w:cs="Times New Roman"/>
          <w:sz w:val="20"/>
          <w:szCs w:val="20"/>
        </w:rPr>
        <w:t xml:space="preserve">a.a.O., S. </w:t>
      </w:r>
      <w:r w:rsidRPr="00171614">
        <w:rPr>
          <w:rFonts w:ascii="Times New Roman" w:hAnsi="Times New Roman" w:cs="Times New Roman"/>
          <w:sz w:val="20"/>
          <w:szCs w:val="20"/>
        </w:rPr>
        <w:t>203-325</w:t>
      </w:r>
      <w:r>
        <w:rPr>
          <w:rFonts w:ascii="Times New Roman" w:hAnsi="Times New Roman" w:cs="Times New Roman"/>
          <w:sz w:val="20"/>
          <w:szCs w:val="20"/>
        </w:rPr>
        <w:t xml:space="preserve">; </w:t>
      </w:r>
      <w:r w:rsidRPr="0050300F">
        <w:rPr>
          <w:rFonts w:ascii="Times New Roman" w:hAnsi="Times New Roman" w:cs="Times New Roman"/>
          <w:sz w:val="20"/>
          <w:szCs w:val="20"/>
        </w:rPr>
        <w:t xml:space="preserve">S. </w:t>
      </w:r>
      <w:r>
        <w:rPr>
          <w:rFonts w:ascii="Times New Roman" w:hAnsi="Times New Roman" w:cs="Times New Roman"/>
          <w:sz w:val="20"/>
          <w:szCs w:val="20"/>
        </w:rPr>
        <w:t xml:space="preserve">Houlgate, </w:t>
      </w:r>
      <w:r>
        <w:rPr>
          <w:rFonts w:ascii="Times New Roman" w:hAnsi="Times New Roman" w:cs="Times New Roman"/>
          <w:i/>
          <w:sz w:val="20"/>
          <w:szCs w:val="20"/>
        </w:rPr>
        <w:t xml:space="preserve">Essence, Reflection, and Immediacy in Hegel’s Science </w:t>
      </w:r>
      <w:r w:rsidRPr="00D21142">
        <w:rPr>
          <w:rFonts w:ascii="Times New Roman" w:hAnsi="Times New Roman" w:cs="Times New Roman"/>
          <w:i/>
          <w:sz w:val="20"/>
          <w:szCs w:val="20"/>
        </w:rPr>
        <w:t>of Logic</w:t>
      </w:r>
      <w:r>
        <w:rPr>
          <w:rFonts w:ascii="Times New Roman" w:hAnsi="Times New Roman" w:cs="Times New Roman"/>
          <w:sz w:val="20"/>
          <w:szCs w:val="20"/>
        </w:rPr>
        <w:t xml:space="preserve">, in </w:t>
      </w:r>
      <w:r>
        <w:rPr>
          <w:rFonts w:ascii="Times New Roman" w:hAnsi="Times New Roman" w:cs="Times New Roman"/>
          <w:i/>
          <w:sz w:val="20"/>
          <w:szCs w:val="20"/>
        </w:rPr>
        <w:t xml:space="preserve">A Companion to </w:t>
      </w:r>
      <w:r w:rsidRPr="003318A7">
        <w:rPr>
          <w:rFonts w:ascii="Times New Roman" w:hAnsi="Times New Roman" w:cs="Times New Roman"/>
          <w:i/>
          <w:sz w:val="20"/>
          <w:szCs w:val="20"/>
        </w:rPr>
        <w:t>Hegel</w:t>
      </w:r>
      <w:r>
        <w:rPr>
          <w:rFonts w:ascii="Times New Roman" w:hAnsi="Times New Roman" w:cs="Times New Roman"/>
          <w:sz w:val="20"/>
          <w:szCs w:val="20"/>
        </w:rPr>
        <w:t>, edited by S. Houlgate and M. Baur, Wiley-Blackwell, Hoboken 2011, S. 139-159</w:t>
      </w:r>
      <w:r>
        <w:rPr>
          <w:rFonts w:ascii="Times New Roman" w:eastAsia="Times New Roman" w:hAnsi="Times New Roman" w:cs="Times New Roman"/>
          <w:color w:val="000000"/>
          <w:sz w:val="20"/>
          <w:szCs w:val="20"/>
        </w:rPr>
        <w:t xml:space="preserve">; </w:t>
      </w:r>
      <w:r>
        <w:rPr>
          <w:rFonts w:ascii="Times New Roman" w:hAnsi="Times New Roman" w:cs="Times New Roman"/>
          <w:sz w:val="20"/>
          <w:szCs w:val="20"/>
        </w:rPr>
        <w:t xml:space="preserve">Lugarini, </w:t>
      </w:r>
      <w:r w:rsidRPr="00D21142">
        <w:rPr>
          <w:rFonts w:ascii="Times New Roman" w:hAnsi="Times New Roman" w:cs="Times New Roman"/>
          <w:i/>
          <w:sz w:val="20"/>
          <w:szCs w:val="20"/>
        </w:rPr>
        <w:t>Orizzonti hegeliani</w:t>
      </w:r>
      <w:r>
        <w:rPr>
          <w:rFonts w:ascii="Times New Roman" w:hAnsi="Times New Roman" w:cs="Times New Roman"/>
          <w:i/>
          <w:sz w:val="20"/>
          <w:szCs w:val="20"/>
        </w:rPr>
        <w:t xml:space="preserve"> di comprensione dell’essere</w:t>
      </w:r>
      <w:r w:rsidRPr="00D21142">
        <w:rPr>
          <w:rFonts w:ascii="Times New Roman" w:hAnsi="Times New Roman" w:cs="Times New Roman"/>
          <w:i/>
          <w:sz w:val="20"/>
          <w:szCs w:val="20"/>
        </w:rPr>
        <w:t xml:space="preserve">, </w:t>
      </w:r>
      <w:r w:rsidRPr="0019684F">
        <w:rPr>
          <w:rFonts w:ascii="Times New Roman" w:hAnsi="Times New Roman" w:cs="Times New Roman"/>
          <w:sz w:val="20"/>
          <w:szCs w:val="20"/>
        </w:rPr>
        <w:t xml:space="preserve">a.a.O., </w:t>
      </w:r>
      <w:r>
        <w:rPr>
          <w:rFonts w:ascii="Times New Roman" w:hAnsi="Times New Roman" w:cs="Times New Roman"/>
          <w:sz w:val="20"/>
          <w:szCs w:val="20"/>
        </w:rPr>
        <w:t xml:space="preserve">S. 239-276; M. Quante, </w:t>
      </w:r>
      <w:r w:rsidRPr="00D21142">
        <w:rPr>
          <w:rFonts w:ascii="Times New Roman" w:hAnsi="Times New Roman" w:cs="Times New Roman"/>
          <w:i/>
          <w:sz w:val="20"/>
          <w:szCs w:val="20"/>
        </w:rPr>
        <w:t xml:space="preserve">The Logic of Essence as Internal Reflection, </w:t>
      </w:r>
      <w:r>
        <w:rPr>
          <w:rFonts w:ascii="Times New Roman" w:hAnsi="Times New Roman" w:cs="Times New Roman"/>
          <w:sz w:val="20"/>
          <w:szCs w:val="20"/>
        </w:rPr>
        <w:t xml:space="preserve">in </w:t>
      </w:r>
      <w:r>
        <w:rPr>
          <w:rFonts w:ascii="Times New Roman" w:hAnsi="Times New Roman" w:cs="Times New Roman"/>
          <w:i/>
          <w:sz w:val="20"/>
          <w:szCs w:val="20"/>
        </w:rPr>
        <w:t xml:space="preserve">The Oxford Handbook of Hegel, </w:t>
      </w:r>
      <w:r>
        <w:rPr>
          <w:rFonts w:ascii="Times New Roman" w:hAnsi="Times New Roman" w:cs="Times New Roman"/>
          <w:sz w:val="20"/>
          <w:szCs w:val="20"/>
        </w:rPr>
        <w:t xml:space="preserve">a.a.O., S. 242-269; G. M. Wölfle, </w:t>
      </w:r>
      <w:r>
        <w:rPr>
          <w:rFonts w:ascii="Times New Roman" w:hAnsi="Times New Roman" w:cs="Times New Roman"/>
          <w:i/>
          <w:sz w:val="20"/>
          <w:szCs w:val="20"/>
        </w:rPr>
        <w:t xml:space="preserve">Die Wesenslogik in Hegels "Wissenschaft der Logik", </w:t>
      </w:r>
      <w:r>
        <w:rPr>
          <w:rFonts w:ascii="Times New Roman" w:hAnsi="Times New Roman" w:cs="Times New Roman"/>
          <w:sz w:val="20"/>
          <w:szCs w:val="20"/>
        </w:rPr>
        <w:t>Frommann-Holzboog, Stuttgart 1994.</w:t>
      </w:r>
    </w:p>
  </w:footnote>
  <w:footnote w:id="913">
    <w:p w14:paraId="0975B8A8" w14:textId="1E1A9691" w:rsidR="00B34CC2" w:rsidRPr="00712B9B" w:rsidRDefault="00B34CC2" w:rsidP="001C3D81">
      <w:pPr>
        <w:pStyle w:val="Testonotaapidipagina"/>
        <w:jc w:val="both"/>
        <w:rPr>
          <w:rFonts w:ascii="Times New Roman" w:hAnsi="Times New Roman" w:cs="Times New Roman"/>
          <w:sz w:val="20"/>
          <w:szCs w:val="20"/>
        </w:rPr>
      </w:pPr>
      <w:r w:rsidRPr="00712B9B">
        <w:rPr>
          <w:rStyle w:val="Rimandonotaapidipagina"/>
          <w:rFonts w:ascii="Times New Roman" w:hAnsi="Times New Roman" w:cs="Times New Roman"/>
          <w:sz w:val="20"/>
          <w:szCs w:val="20"/>
        </w:rPr>
        <w:footnoteRef/>
      </w:r>
      <w:r>
        <w:rPr>
          <w:rFonts w:ascii="Times New Roman" w:hAnsi="Times New Roman" w:cs="Times New Roman"/>
          <w:sz w:val="20"/>
          <w:szCs w:val="20"/>
        </w:rPr>
        <w:t xml:space="preserve"> </w:t>
      </w:r>
      <w:r w:rsidRPr="00A25B19">
        <w:rPr>
          <w:rFonts w:ascii="Times New Roman" w:hAnsi="Times New Roman" w:cs="Times New Roman"/>
          <w:sz w:val="20"/>
          <w:szCs w:val="20"/>
        </w:rPr>
        <w:t>Ebd.</w:t>
      </w:r>
      <w:r>
        <w:rPr>
          <w:rFonts w:ascii="Times New Roman" w:hAnsi="Times New Roman" w:cs="Times New Roman"/>
          <w:sz w:val="20"/>
          <w:szCs w:val="20"/>
        </w:rPr>
        <w:t>, S. 258.</w:t>
      </w:r>
    </w:p>
  </w:footnote>
  <w:footnote w:id="914">
    <w:p w14:paraId="0439A913" w14:textId="77777777" w:rsidR="00B34CC2" w:rsidRPr="0019684F" w:rsidRDefault="00B34CC2" w:rsidP="001C3D81">
      <w:pPr>
        <w:pStyle w:val="Testonotaapidipagina"/>
        <w:jc w:val="both"/>
        <w:rPr>
          <w:rFonts w:ascii="Times New Roman" w:hAnsi="Times New Roman" w:cs="Times New Roman"/>
          <w:sz w:val="20"/>
          <w:szCs w:val="20"/>
        </w:rPr>
      </w:pPr>
      <w:r w:rsidRPr="0019684F">
        <w:rPr>
          <w:rStyle w:val="Rimandonotaapidipagina"/>
          <w:rFonts w:ascii="Times New Roman" w:hAnsi="Times New Roman" w:cs="Times New Roman"/>
          <w:sz w:val="20"/>
          <w:szCs w:val="20"/>
        </w:rPr>
        <w:footnoteRef/>
      </w:r>
      <w:r w:rsidRPr="0019684F">
        <w:rPr>
          <w:rFonts w:ascii="Times New Roman" w:hAnsi="Times New Roman" w:cs="Times New Roman"/>
          <w:sz w:val="20"/>
          <w:szCs w:val="20"/>
        </w:rPr>
        <w:t xml:space="preserve"> Ebd., S. 258</w:t>
      </w:r>
    </w:p>
  </w:footnote>
  <w:footnote w:id="915">
    <w:p w14:paraId="6DA83DF5" w14:textId="77777777" w:rsidR="00B34CC2" w:rsidRPr="00944F92" w:rsidRDefault="00B34CC2" w:rsidP="00926765">
      <w:pPr>
        <w:pStyle w:val="Testonotaapidipagina"/>
        <w:jc w:val="both"/>
        <w:rPr>
          <w:rFonts w:ascii="Times New Roman" w:hAnsi="Times New Roman" w:cs="Times New Roman"/>
          <w:sz w:val="20"/>
          <w:szCs w:val="20"/>
          <w:lang w:val="de-DE"/>
        </w:rPr>
      </w:pPr>
      <w:r w:rsidRPr="00944F92">
        <w:rPr>
          <w:rStyle w:val="Rimandonotaapidipagina"/>
          <w:rFonts w:ascii="Times New Roman" w:hAnsi="Times New Roman" w:cs="Times New Roman"/>
          <w:sz w:val="20"/>
          <w:szCs w:val="20"/>
          <w:lang w:val="de-DE"/>
        </w:rPr>
        <w:footnoteRef/>
      </w:r>
      <w:r w:rsidRPr="00944F92">
        <w:rPr>
          <w:rFonts w:ascii="Times New Roman" w:hAnsi="Times New Roman" w:cs="Times New Roman"/>
          <w:sz w:val="20"/>
          <w:szCs w:val="20"/>
          <w:lang w:val="de-DE"/>
        </w:rPr>
        <w:t xml:space="preserve"> Ebd. S. 258</w:t>
      </w:r>
    </w:p>
  </w:footnote>
  <w:footnote w:id="916">
    <w:p w14:paraId="3AB32F78" w14:textId="77777777" w:rsidR="00B34CC2" w:rsidRPr="00A857BF" w:rsidRDefault="00B34CC2" w:rsidP="001C3D81">
      <w:pPr>
        <w:pStyle w:val="Testonotaapidipagina"/>
        <w:jc w:val="both"/>
        <w:rPr>
          <w:rFonts w:ascii="Times New Roman" w:hAnsi="Times New Roman" w:cs="Times New Roman"/>
          <w:sz w:val="20"/>
          <w:szCs w:val="20"/>
        </w:rPr>
      </w:pPr>
      <w:r w:rsidRPr="00F1458B">
        <w:rPr>
          <w:rStyle w:val="Rimandonotaapidipagina"/>
          <w:rFonts w:ascii="Times New Roman" w:hAnsi="Times New Roman" w:cs="Times New Roman"/>
          <w:sz w:val="20"/>
          <w:szCs w:val="20"/>
        </w:rPr>
        <w:footnoteRef/>
      </w:r>
      <w:r w:rsidRPr="00F1458B">
        <w:rPr>
          <w:rFonts w:ascii="Times New Roman" w:hAnsi="Times New Roman" w:cs="Times New Roman"/>
          <w:sz w:val="20"/>
          <w:szCs w:val="20"/>
        </w:rPr>
        <w:t xml:space="preserve"> Ebd. S. 258: „</w:t>
      </w:r>
      <w:r w:rsidRPr="00F1458B">
        <w:rPr>
          <w:rFonts w:ascii="Times New Roman" w:hAnsi="Times New Roman" w:cs="Times New Roman"/>
          <w:sz w:val="20"/>
          <w:szCs w:val="20"/>
          <w:lang w:val="de-DE"/>
        </w:rPr>
        <w:t>Diese Identität mit sich ist die Unmittelbarkeit der Reflexion. Sie ist nicht diejenige Gleichheit mit sich, welche das Seyn oder das Nichts ist, sondern die Gleichheit mit sich, welche als sich zur Einheit herstellende ist, nicht ein Wiederherstellen aus einem Anderen, sondern dies reine Herstellen aus und in sich selbst, die wesentliche Identität</w:t>
      </w:r>
      <w:r w:rsidRPr="00F1458B">
        <w:rPr>
          <w:rFonts w:ascii="Times New Roman" w:hAnsi="Times New Roman" w:cs="Times New Roman"/>
          <w:sz w:val="20"/>
          <w:szCs w:val="20"/>
        </w:rPr>
        <w:t>”.</w:t>
      </w:r>
    </w:p>
  </w:footnote>
  <w:footnote w:id="917">
    <w:p w14:paraId="0730DC60" w14:textId="77777777" w:rsidR="00B34CC2" w:rsidRPr="0019684F" w:rsidRDefault="00B34CC2" w:rsidP="001C3D81">
      <w:pPr>
        <w:pStyle w:val="Testonotaapidipagina"/>
        <w:jc w:val="both"/>
        <w:rPr>
          <w:rFonts w:ascii="Times New Roman" w:hAnsi="Times New Roman" w:cs="Times New Roman"/>
          <w:sz w:val="20"/>
          <w:szCs w:val="20"/>
        </w:rPr>
      </w:pPr>
      <w:r w:rsidRPr="0019684F">
        <w:rPr>
          <w:rStyle w:val="Rimandonotaapidipagina"/>
          <w:rFonts w:ascii="Times New Roman" w:hAnsi="Times New Roman" w:cs="Times New Roman"/>
          <w:sz w:val="20"/>
          <w:szCs w:val="20"/>
        </w:rPr>
        <w:footnoteRef/>
      </w:r>
      <w:r w:rsidRPr="0019684F">
        <w:rPr>
          <w:rFonts w:ascii="Times New Roman" w:hAnsi="Times New Roman" w:cs="Times New Roman"/>
          <w:sz w:val="20"/>
          <w:szCs w:val="20"/>
        </w:rPr>
        <w:t xml:space="preserve"> Ebd, S. 262.</w:t>
      </w:r>
    </w:p>
  </w:footnote>
  <w:footnote w:id="918">
    <w:p w14:paraId="7882F0D0" w14:textId="77777777" w:rsidR="00B34CC2" w:rsidRPr="0019684F" w:rsidRDefault="00B34CC2" w:rsidP="001C3D81">
      <w:pPr>
        <w:pStyle w:val="Testonotaapidipagina"/>
        <w:jc w:val="both"/>
        <w:rPr>
          <w:rFonts w:ascii="Times New Roman" w:hAnsi="Times New Roman" w:cs="Times New Roman"/>
          <w:sz w:val="20"/>
          <w:szCs w:val="20"/>
        </w:rPr>
      </w:pPr>
      <w:r w:rsidRPr="0019684F">
        <w:rPr>
          <w:rStyle w:val="Rimandonotaapidipagina"/>
          <w:rFonts w:ascii="Times New Roman" w:hAnsi="Times New Roman" w:cs="Times New Roman"/>
          <w:sz w:val="20"/>
          <w:szCs w:val="20"/>
        </w:rPr>
        <w:footnoteRef/>
      </w:r>
      <w:r w:rsidRPr="0019684F">
        <w:rPr>
          <w:rFonts w:ascii="Times New Roman" w:hAnsi="Times New Roman" w:cs="Times New Roman"/>
          <w:sz w:val="20"/>
          <w:szCs w:val="20"/>
        </w:rPr>
        <w:t xml:space="preserve"> Ebd. S. 262.</w:t>
      </w:r>
    </w:p>
  </w:footnote>
  <w:footnote w:id="919">
    <w:p w14:paraId="525D66A1" w14:textId="77777777" w:rsidR="00B34CC2" w:rsidRPr="0019684F" w:rsidRDefault="00B34CC2" w:rsidP="001C3D81">
      <w:pPr>
        <w:pStyle w:val="Testonotaapidipagina"/>
        <w:rPr>
          <w:rFonts w:ascii="Times New Roman" w:hAnsi="Times New Roman" w:cs="Times New Roman"/>
          <w:sz w:val="20"/>
          <w:szCs w:val="20"/>
        </w:rPr>
      </w:pPr>
      <w:r w:rsidRPr="0019684F">
        <w:rPr>
          <w:rStyle w:val="Rimandonotaapidipagina"/>
          <w:rFonts w:ascii="Times New Roman" w:hAnsi="Times New Roman" w:cs="Times New Roman"/>
          <w:sz w:val="20"/>
          <w:szCs w:val="20"/>
        </w:rPr>
        <w:footnoteRef/>
      </w:r>
      <w:r>
        <w:rPr>
          <w:rFonts w:ascii="Times New Roman" w:hAnsi="Times New Roman" w:cs="Times New Roman"/>
          <w:sz w:val="20"/>
          <w:szCs w:val="20"/>
        </w:rPr>
        <w:t xml:space="preserve"> Ebd., </w:t>
      </w:r>
      <w:r w:rsidRPr="0019684F">
        <w:rPr>
          <w:rFonts w:ascii="Times New Roman" w:hAnsi="Times New Roman" w:cs="Times New Roman"/>
          <w:sz w:val="20"/>
          <w:szCs w:val="20"/>
        </w:rPr>
        <w:t>S. 269-270.</w:t>
      </w:r>
    </w:p>
  </w:footnote>
  <w:footnote w:id="920">
    <w:p w14:paraId="64370D1F" w14:textId="77777777" w:rsidR="00B34CC2" w:rsidRPr="003F5599" w:rsidRDefault="00B34CC2" w:rsidP="001C3D81">
      <w:pPr>
        <w:pStyle w:val="Testonotaapidipagina"/>
        <w:jc w:val="both"/>
        <w:rPr>
          <w:rFonts w:ascii="Times New Roman" w:hAnsi="Times New Roman" w:cs="Times New Roman"/>
          <w:sz w:val="20"/>
          <w:szCs w:val="20"/>
        </w:rPr>
      </w:pPr>
      <w:r w:rsidRPr="00DD3217">
        <w:rPr>
          <w:rStyle w:val="Rimandonotaapidipagina"/>
          <w:rFonts w:ascii="Times New Roman" w:hAnsi="Times New Roman" w:cs="Times New Roman"/>
          <w:sz w:val="20"/>
          <w:szCs w:val="20"/>
        </w:rPr>
        <w:footnoteRef/>
      </w:r>
      <w:r w:rsidRPr="00DD3217">
        <w:rPr>
          <w:rFonts w:ascii="Times New Roman" w:hAnsi="Times New Roman" w:cs="Times New Roman"/>
          <w:i/>
          <w:sz w:val="20"/>
          <w:szCs w:val="20"/>
        </w:rPr>
        <w:t xml:space="preserve"> </w:t>
      </w:r>
      <w:r>
        <w:rPr>
          <w:rFonts w:ascii="Times New Roman" w:hAnsi="Times New Roman" w:cs="Times New Roman"/>
          <w:sz w:val="20"/>
          <w:szCs w:val="20"/>
        </w:rPr>
        <w:t>Zum Positiven und N</w:t>
      </w:r>
      <w:r w:rsidRPr="00DD3217">
        <w:rPr>
          <w:rFonts w:ascii="Times New Roman" w:hAnsi="Times New Roman" w:cs="Times New Roman"/>
          <w:sz w:val="20"/>
          <w:szCs w:val="20"/>
        </w:rPr>
        <w:t xml:space="preserve">egativen siehe F. Chiereghin, </w:t>
      </w:r>
      <w:r w:rsidRPr="00DD3217">
        <w:rPr>
          <w:rFonts w:ascii="Times New Roman" w:hAnsi="Times New Roman" w:cs="Times New Roman"/>
          <w:i/>
          <w:sz w:val="20"/>
          <w:szCs w:val="20"/>
        </w:rPr>
        <w:t xml:space="preserve">Rileggere la Scienza della logica, </w:t>
      </w:r>
      <w:r w:rsidRPr="00DD3217">
        <w:rPr>
          <w:rFonts w:ascii="Times New Roman" w:hAnsi="Times New Roman" w:cs="Times New Roman"/>
          <w:sz w:val="20"/>
          <w:szCs w:val="20"/>
        </w:rPr>
        <w:t>a.a.</w:t>
      </w:r>
      <w:r>
        <w:rPr>
          <w:rFonts w:ascii="Times New Roman" w:hAnsi="Times New Roman" w:cs="Times New Roman"/>
          <w:sz w:val="20"/>
          <w:szCs w:val="20"/>
        </w:rPr>
        <w:t>O., S</w:t>
      </w:r>
      <w:r w:rsidRPr="00DD3217">
        <w:rPr>
          <w:rFonts w:ascii="Times New Roman" w:hAnsi="Times New Roman" w:cs="Times New Roman"/>
          <w:sz w:val="20"/>
          <w:szCs w:val="20"/>
        </w:rPr>
        <w:t xml:space="preserve">. 105-118; Houlgate, </w:t>
      </w:r>
      <w:r w:rsidRPr="00DD3217">
        <w:rPr>
          <w:rFonts w:ascii="Times New Roman" w:hAnsi="Times New Roman" w:cs="Times New Roman"/>
          <w:i/>
          <w:sz w:val="20"/>
          <w:szCs w:val="20"/>
        </w:rPr>
        <w:t>Essence, Reflection, and Immediacy in Hegel's Science of Logic</w:t>
      </w:r>
      <w:r w:rsidRPr="0019684F">
        <w:rPr>
          <w:rFonts w:ascii="Times New Roman" w:hAnsi="Times New Roman" w:cs="Times New Roman"/>
          <w:sz w:val="20"/>
          <w:szCs w:val="20"/>
        </w:rPr>
        <w:t>, a.a.O.,</w:t>
      </w:r>
      <w:r w:rsidRPr="00DD3217">
        <w:rPr>
          <w:rFonts w:ascii="Times New Roman" w:hAnsi="Times New Roman" w:cs="Times New Roman"/>
          <w:i/>
          <w:sz w:val="20"/>
          <w:szCs w:val="20"/>
        </w:rPr>
        <w:t xml:space="preserve"> </w:t>
      </w:r>
      <w:r w:rsidRPr="0019684F">
        <w:rPr>
          <w:rFonts w:ascii="Times New Roman" w:hAnsi="Times New Roman" w:cs="Times New Roman"/>
          <w:sz w:val="20"/>
          <w:szCs w:val="20"/>
        </w:rPr>
        <w:t>S. 150-153;</w:t>
      </w:r>
      <w:r w:rsidRPr="00DD3217">
        <w:rPr>
          <w:rFonts w:ascii="Times New Roman" w:hAnsi="Times New Roman" w:cs="Times New Roman"/>
          <w:sz w:val="20"/>
          <w:szCs w:val="20"/>
        </w:rPr>
        <w:t xml:space="preserve"> L. Lugarini, </w:t>
      </w:r>
      <w:r>
        <w:rPr>
          <w:rFonts w:ascii="Times New Roman" w:hAnsi="Times New Roman" w:cs="Times New Roman"/>
          <w:i/>
          <w:sz w:val="20"/>
          <w:szCs w:val="20"/>
        </w:rPr>
        <w:t>Orizzonti hegeliani di comprensione dell’essere</w:t>
      </w:r>
      <w:r w:rsidRPr="00DD3217">
        <w:rPr>
          <w:rFonts w:ascii="Times New Roman" w:hAnsi="Times New Roman" w:cs="Times New Roman"/>
          <w:i/>
          <w:sz w:val="20"/>
          <w:szCs w:val="20"/>
        </w:rPr>
        <w:t xml:space="preserve">, </w:t>
      </w:r>
      <w:r w:rsidRPr="00DD3217">
        <w:rPr>
          <w:rFonts w:ascii="Times New Roman" w:hAnsi="Times New Roman" w:cs="Times New Roman"/>
          <w:sz w:val="20"/>
          <w:szCs w:val="20"/>
        </w:rPr>
        <w:t>a.a.</w:t>
      </w:r>
      <w:r>
        <w:rPr>
          <w:rFonts w:ascii="Times New Roman" w:hAnsi="Times New Roman" w:cs="Times New Roman"/>
          <w:sz w:val="20"/>
          <w:szCs w:val="20"/>
        </w:rPr>
        <w:t>O., S</w:t>
      </w:r>
      <w:r w:rsidRPr="00DD3217">
        <w:rPr>
          <w:rFonts w:ascii="Times New Roman" w:hAnsi="Times New Roman" w:cs="Times New Roman"/>
          <w:sz w:val="20"/>
          <w:szCs w:val="20"/>
        </w:rPr>
        <w:t xml:space="preserve">. 284-307; K. Hartmann, </w:t>
      </w:r>
      <w:r w:rsidRPr="00DD3217">
        <w:rPr>
          <w:rFonts w:ascii="Times New Roman" w:hAnsi="Times New Roman" w:cs="Times New Roman"/>
          <w:i/>
          <w:sz w:val="20"/>
          <w:szCs w:val="20"/>
        </w:rPr>
        <w:t xml:space="preserve">Hegels Logik, </w:t>
      </w:r>
      <w:r w:rsidRPr="00DD3217">
        <w:rPr>
          <w:rFonts w:ascii="Times New Roman" w:hAnsi="Times New Roman" w:cs="Times New Roman"/>
          <w:sz w:val="20"/>
          <w:szCs w:val="20"/>
        </w:rPr>
        <w:t>a.a.</w:t>
      </w:r>
      <w:r>
        <w:rPr>
          <w:rFonts w:ascii="Times New Roman" w:hAnsi="Times New Roman" w:cs="Times New Roman"/>
          <w:sz w:val="20"/>
          <w:szCs w:val="20"/>
        </w:rPr>
        <w:t>O., S</w:t>
      </w:r>
      <w:r w:rsidRPr="00DD3217">
        <w:rPr>
          <w:rFonts w:ascii="Times New Roman" w:hAnsi="Times New Roman" w:cs="Times New Roman"/>
          <w:sz w:val="20"/>
          <w:szCs w:val="20"/>
        </w:rPr>
        <w:t xml:space="preserve">. 185-195; G. M. Wölfle, </w:t>
      </w:r>
      <w:r w:rsidRPr="00DD3217">
        <w:rPr>
          <w:rFonts w:ascii="Times New Roman" w:hAnsi="Times New Roman" w:cs="Times New Roman"/>
          <w:i/>
          <w:sz w:val="20"/>
          <w:szCs w:val="20"/>
        </w:rPr>
        <w:t>Die Wesenslogik in Hegels "Wissenschaft der Logik",</w:t>
      </w:r>
      <w:r>
        <w:rPr>
          <w:rFonts w:ascii="Times New Roman" w:hAnsi="Times New Roman" w:cs="Times New Roman"/>
          <w:i/>
          <w:sz w:val="20"/>
          <w:szCs w:val="20"/>
        </w:rPr>
        <w:t xml:space="preserve"> </w:t>
      </w:r>
      <w:r>
        <w:rPr>
          <w:rFonts w:ascii="Times New Roman" w:hAnsi="Times New Roman" w:cs="Times New Roman"/>
          <w:sz w:val="20"/>
          <w:szCs w:val="20"/>
        </w:rPr>
        <w:t>a.a.O.,</w:t>
      </w:r>
      <w:r w:rsidRPr="00DD3217">
        <w:rPr>
          <w:rFonts w:ascii="Times New Roman" w:hAnsi="Times New Roman" w:cs="Times New Roman"/>
          <w:i/>
          <w:sz w:val="20"/>
          <w:szCs w:val="20"/>
        </w:rPr>
        <w:t xml:space="preserve"> </w:t>
      </w:r>
      <w:r w:rsidRPr="0019684F">
        <w:rPr>
          <w:rFonts w:ascii="Times New Roman" w:hAnsi="Times New Roman" w:cs="Times New Roman"/>
          <w:sz w:val="20"/>
          <w:szCs w:val="20"/>
        </w:rPr>
        <w:t>S. 230-242</w:t>
      </w:r>
      <w:r w:rsidRPr="00DD3217">
        <w:rPr>
          <w:rFonts w:ascii="Times New Roman" w:hAnsi="Times New Roman" w:cs="Times New Roman"/>
          <w:sz w:val="20"/>
          <w:szCs w:val="20"/>
        </w:rPr>
        <w:t xml:space="preserve">; M. Quante, </w:t>
      </w:r>
      <w:r w:rsidRPr="00DD3217">
        <w:rPr>
          <w:rFonts w:ascii="Times New Roman" w:hAnsi="Times New Roman" w:cs="Times New Roman"/>
          <w:i/>
          <w:sz w:val="20"/>
          <w:szCs w:val="20"/>
        </w:rPr>
        <w:t>Die Logik des Wesens als innere Reflexion</w:t>
      </w:r>
      <w:r w:rsidRPr="00DD3217">
        <w:rPr>
          <w:rFonts w:ascii="Times New Roman" w:hAnsi="Times New Roman" w:cs="Times New Roman"/>
          <w:sz w:val="20"/>
          <w:szCs w:val="20"/>
        </w:rPr>
        <w:t>, a.a.</w:t>
      </w:r>
      <w:r>
        <w:rPr>
          <w:rFonts w:ascii="Times New Roman" w:hAnsi="Times New Roman" w:cs="Times New Roman"/>
          <w:sz w:val="20"/>
          <w:szCs w:val="20"/>
        </w:rPr>
        <w:t>O., S</w:t>
      </w:r>
      <w:r w:rsidRPr="00DD3217">
        <w:rPr>
          <w:rFonts w:ascii="Times New Roman" w:hAnsi="Times New Roman" w:cs="Times New Roman"/>
          <w:sz w:val="20"/>
          <w:szCs w:val="20"/>
        </w:rPr>
        <w:t>. 256-261.</w:t>
      </w:r>
    </w:p>
  </w:footnote>
  <w:footnote w:id="921">
    <w:p w14:paraId="2EFF47E9" w14:textId="553C601D" w:rsidR="00B34CC2" w:rsidRPr="0019684F" w:rsidRDefault="00B34CC2" w:rsidP="001C3D81">
      <w:pPr>
        <w:pStyle w:val="Testonotaapidipagina"/>
        <w:rPr>
          <w:rFonts w:ascii="Times New Roman" w:hAnsi="Times New Roman" w:cs="Times New Roman"/>
          <w:sz w:val="20"/>
          <w:szCs w:val="20"/>
        </w:rPr>
      </w:pPr>
      <w:r w:rsidRPr="0019684F">
        <w:rPr>
          <w:rStyle w:val="Rimandonotaapidipagina"/>
          <w:rFonts w:ascii="Times New Roman" w:hAnsi="Times New Roman" w:cs="Times New Roman"/>
          <w:sz w:val="20"/>
          <w:szCs w:val="20"/>
        </w:rPr>
        <w:footnoteRef/>
      </w:r>
      <w:r>
        <w:rPr>
          <w:rFonts w:ascii="Times New Roman" w:hAnsi="Times New Roman" w:cs="Times New Roman"/>
          <w:sz w:val="20"/>
          <w:szCs w:val="20"/>
        </w:rPr>
        <w:t xml:space="preserve"> </w:t>
      </w:r>
      <w:r>
        <w:rPr>
          <w:rFonts w:ascii="Times New Roman" w:hAnsi="Times New Roman" w:cs="Times New Roman"/>
          <w:i/>
          <w:sz w:val="20"/>
          <w:szCs w:val="20"/>
        </w:rPr>
        <w:t>WdL I A</w:t>
      </w:r>
      <w:r w:rsidRPr="0019684F">
        <w:rPr>
          <w:rFonts w:ascii="Times New Roman" w:hAnsi="Times New Roman" w:cs="Times New Roman"/>
          <w:sz w:val="20"/>
          <w:szCs w:val="20"/>
        </w:rPr>
        <w:t>, S. 270.</w:t>
      </w:r>
    </w:p>
  </w:footnote>
  <w:footnote w:id="922">
    <w:p w14:paraId="127693D5" w14:textId="77777777" w:rsidR="00B34CC2" w:rsidRPr="00F1458B" w:rsidRDefault="00B34CC2" w:rsidP="001C3D81">
      <w:pPr>
        <w:pStyle w:val="Testonotaapidipagina"/>
        <w:rPr>
          <w:rFonts w:ascii="Times New Roman" w:hAnsi="Times New Roman" w:cs="Times New Roman"/>
          <w:sz w:val="20"/>
          <w:szCs w:val="20"/>
        </w:rPr>
      </w:pPr>
      <w:r w:rsidRPr="00F1458B">
        <w:rPr>
          <w:rStyle w:val="Rimandonotaapidipagina"/>
          <w:rFonts w:ascii="Times New Roman" w:hAnsi="Times New Roman" w:cs="Times New Roman"/>
          <w:sz w:val="20"/>
          <w:szCs w:val="20"/>
        </w:rPr>
        <w:footnoteRef/>
      </w:r>
      <w:r w:rsidRPr="00F1458B">
        <w:rPr>
          <w:rFonts w:ascii="Times New Roman" w:hAnsi="Times New Roman" w:cs="Times New Roman"/>
          <w:sz w:val="20"/>
          <w:szCs w:val="20"/>
        </w:rPr>
        <w:t xml:space="preserve"> Ebd., S. 286</w:t>
      </w:r>
    </w:p>
  </w:footnote>
  <w:footnote w:id="923">
    <w:p w14:paraId="6A121237" w14:textId="77777777" w:rsidR="00B34CC2" w:rsidRPr="00A46D6A" w:rsidRDefault="00B34CC2" w:rsidP="001C3D81">
      <w:pPr>
        <w:pStyle w:val="Testonotaapidipagina"/>
        <w:rPr>
          <w:rFonts w:ascii="Times New Roman" w:hAnsi="Times New Roman" w:cs="Times New Roman"/>
          <w:sz w:val="20"/>
          <w:szCs w:val="20"/>
        </w:rPr>
      </w:pPr>
      <w:r w:rsidRPr="0019684F">
        <w:rPr>
          <w:rStyle w:val="Rimandonotaapidipagina"/>
          <w:rFonts w:ascii="Times New Roman" w:hAnsi="Times New Roman" w:cs="Times New Roman"/>
          <w:sz w:val="20"/>
          <w:szCs w:val="20"/>
        </w:rPr>
        <w:footnoteRef/>
      </w:r>
      <w:r w:rsidRPr="0019684F">
        <w:rPr>
          <w:rFonts w:ascii="Times New Roman" w:hAnsi="Times New Roman" w:cs="Times New Roman"/>
          <w:sz w:val="20"/>
          <w:szCs w:val="20"/>
        </w:rPr>
        <w:t xml:space="preserve"> Ebd.</w:t>
      </w:r>
      <w:r>
        <w:rPr>
          <w:rFonts w:ascii="Times New Roman" w:hAnsi="Times New Roman" w:cs="Times New Roman"/>
          <w:sz w:val="20"/>
          <w:szCs w:val="20"/>
        </w:rPr>
        <w:t>, S. 281</w:t>
      </w:r>
      <w:r w:rsidRPr="0019684F">
        <w:rPr>
          <w:rFonts w:ascii="Times New Roman" w:hAnsi="Times New Roman" w:cs="Times New Roman"/>
          <w:sz w:val="20"/>
          <w:szCs w:val="20"/>
        </w:rPr>
        <w:t>.</w:t>
      </w:r>
    </w:p>
  </w:footnote>
  <w:footnote w:id="924">
    <w:p w14:paraId="5251BEE4" w14:textId="77777777" w:rsidR="00B34CC2" w:rsidRPr="00B15D5E" w:rsidRDefault="00B34CC2" w:rsidP="001C3D81">
      <w:pPr>
        <w:pStyle w:val="Testonotaapidipagina"/>
        <w:jc w:val="both"/>
        <w:rPr>
          <w:rFonts w:ascii="Times New Roman" w:hAnsi="Times New Roman" w:cs="Times New Roman"/>
          <w:sz w:val="20"/>
          <w:szCs w:val="20"/>
        </w:rPr>
      </w:pPr>
      <w:r w:rsidRPr="00345C9A">
        <w:rPr>
          <w:rStyle w:val="Rimandonotaapidipagina"/>
          <w:rFonts w:ascii="Times New Roman" w:hAnsi="Times New Roman" w:cs="Times New Roman"/>
          <w:sz w:val="20"/>
          <w:szCs w:val="20"/>
        </w:rPr>
        <w:footnoteRef/>
      </w:r>
      <w:r w:rsidRPr="00345C9A">
        <w:rPr>
          <w:rFonts w:ascii="Times New Roman" w:hAnsi="Times New Roman" w:cs="Times New Roman"/>
          <w:sz w:val="20"/>
          <w:szCs w:val="20"/>
        </w:rPr>
        <w:t xml:space="preserve"> </w:t>
      </w:r>
      <w:r w:rsidRPr="00345C9A">
        <w:rPr>
          <w:rFonts w:ascii="Times New Roman" w:eastAsia="Times New Roman" w:hAnsi="Times New Roman" w:cs="Times New Roman"/>
          <w:color w:val="000000"/>
          <w:sz w:val="20"/>
          <w:szCs w:val="20"/>
          <w:lang w:val="de-DE"/>
        </w:rPr>
        <w:t>Vgl</w:t>
      </w:r>
      <w:r w:rsidRPr="00345C9A">
        <w:rPr>
          <w:rFonts w:ascii="Times New Roman" w:hAnsi="Times New Roman" w:cs="Times New Roman"/>
          <w:sz w:val="20"/>
          <w:szCs w:val="20"/>
        </w:rPr>
        <w:t>.</w:t>
      </w:r>
      <w:r>
        <w:rPr>
          <w:rFonts w:ascii="Times New Roman" w:hAnsi="Times New Roman" w:cs="Times New Roman"/>
          <w:sz w:val="20"/>
          <w:szCs w:val="20"/>
        </w:rPr>
        <w:t xml:space="preserve"> </w:t>
      </w:r>
      <w:r w:rsidRPr="00387969">
        <w:rPr>
          <w:rFonts w:ascii="Times New Roman" w:hAnsi="Times New Roman" w:cs="Times New Roman"/>
          <w:sz w:val="20"/>
          <w:szCs w:val="20"/>
        </w:rPr>
        <w:t xml:space="preserve">E. </w:t>
      </w:r>
      <w:r w:rsidRPr="00387969">
        <w:rPr>
          <w:rFonts w:ascii="Times New Roman" w:hAnsi="Times New Roman"/>
          <w:sz w:val="20"/>
          <w:szCs w:val="20"/>
        </w:rPr>
        <w:t>Fleischmann</w:t>
      </w:r>
      <w:r w:rsidRPr="00387969">
        <w:rPr>
          <w:rStyle w:val="eintragtitel"/>
          <w:rFonts w:ascii="Times New Roman" w:hAnsi="Times New Roman"/>
          <w:iCs/>
          <w:color w:val="000000"/>
          <w:sz w:val="20"/>
          <w:szCs w:val="20"/>
        </w:rPr>
        <w:t>,</w:t>
      </w:r>
      <w:r w:rsidRPr="00387969">
        <w:rPr>
          <w:rStyle w:val="eintragtitel"/>
          <w:rFonts w:ascii="Times New Roman" w:hAnsi="Times New Roman"/>
          <w:i/>
          <w:iCs/>
          <w:color w:val="000000"/>
          <w:sz w:val="20"/>
          <w:szCs w:val="20"/>
        </w:rPr>
        <w:t xml:space="preserve"> Die Wirklichkeit in </w:t>
      </w:r>
      <w:r w:rsidRPr="00387969">
        <w:rPr>
          <w:rStyle w:val="apple-converted-space"/>
          <w:rFonts w:ascii="Times New Roman" w:hAnsi="Times New Roman"/>
          <w:i/>
          <w:iCs/>
          <w:color w:val="000000"/>
          <w:sz w:val="20"/>
          <w:szCs w:val="20"/>
        </w:rPr>
        <w:t>Hegel</w:t>
      </w:r>
      <w:r w:rsidRPr="00387969">
        <w:rPr>
          <w:rStyle w:val="eintragtitel"/>
          <w:rFonts w:ascii="Times New Roman" w:hAnsi="Times New Roman"/>
          <w:i/>
          <w:iCs/>
          <w:color w:val="000000"/>
          <w:sz w:val="20"/>
          <w:szCs w:val="20"/>
        </w:rPr>
        <w:t>s Logik: Ideengeschichtliche Beziehungen zu</w:t>
      </w:r>
      <w:r w:rsidRPr="00387969">
        <w:rPr>
          <w:rStyle w:val="apple-converted-space"/>
          <w:rFonts w:ascii="Times New Roman" w:hAnsi="Times New Roman"/>
          <w:i/>
          <w:iCs/>
          <w:color w:val="000000"/>
          <w:sz w:val="20"/>
          <w:szCs w:val="20"/>
        </w:rPr>
        <w:t xml:space="preserve"> Spinoza, </w:t>
      </w:r>
      <w:r w:rsidRPr="00387969">
        <w:rPr>
          <w:rStyle w:val="eintraglabel"/>
          <w:rFonts w:ascii="Times New Roman" w:hAnsi="Times New Roman"/>
          <w:iCs/>
          <w:color w:val="444444"/>
        </w:rPr>
        <w:t xml:space="preserve">in </w:t>
      </w:r>
      <w:r>
        <w:rPr>
          <w:rStyle w:val="eintraglabel"/>
          <w:rFonts w:ascii="Times New Roman" w:hAnsi="Times New Roman"/>
          <w:iCs/>
          <w:color w:val="444444"/>
        </w:rPr>
        <w:t>«</w:t>
      </w:r>
      <w:r w:rsidRPr="00387969">
        <w:rPr>
          <w:rFonts w:ascii="Times New Roman" w:hAnsi="Times New Roman"/>
          <w:color w:val="000000"/>
          <w:sz w:val="20"/>
          <w:szCs w:val="20"/>
        </w:rPr>
        <w:t>Zeitschrift für philosophische Forschung</w:t>
      </w:r>
      <w:r w:rsidRPr="005011D7">
        <w:rPr>
          <w:rFonts w:ascii="Times New Roman" w:eastAsia="Times New Roman" w:hAnsi="Times New Roman" w:cs="Times New Roman"/>
          <w:color w:val="000000"/>
          <w:sz w:val="20"/>
          <w:szCs w:val="20"/>
        </w:rPr>
        <w:t>»</w:t>
      </w:r>
      <w:r>
        <w:rPr>
          <w:rFonts w:ascii="Times New Roman" w:hAnsi="Times New Roman"/>
          <w:color w:val="000000"/>
          <w:sz w:val="20"/>
          <w:szCs w:val="20"/>
        </w:rPr>
        <w:t>, n. 18 (1964), S</w:t>
      </w:r>
      <w:r w:rsidRPr="00387969">
        <w:rPr>
          <w:rFonts w:ascii="Times New Roman" w:hAnsi="Times New Roman"/>
          <w:color w:val="000000"/>
          <w:sz w:val="20"/>
          <w:szCs w:val="20"/>
        </w:rPr>
        <w:t>. 3-29</w:t>
      </w:r>
      <w:r>
        <w:rPr>
          <w:rFonts w:ascii="Times New Roman" w:hAnsi="Times New Roman"/>
          <w:color w:val="000000"/>
          <w:sz w:val="20"/>
          <w:szCs w:val="20"/>
        </w:rPr>
        <w:t xml:space="preserve">; K. Hartmann, </w:t>
      </w:r>
      <w:r>
        <w:rPr>
          <w:rFonts w:ascii="Times New Roman" w:hAnsi="Times New Roman"/>
          <w:i/>
          <w:color w:val="000000"/>
          <w:sz w:val="20"/>
          <w:szCs w:val="20"/>
        </w:rPr>
        <w:t>Hegels Logik</w:t>
      </w:r>
      <w:r>
        <w:rPr>
          <w:rFonts w:ascii="Times New Roman" w:hAnsi="Times New Roman"/>
          <w:color w:val="000000"/>
          <w:sz w:val="20"/>
          <w:szCs w:val="20"/>
        </w:rPr>
        <w:t>, a.a.O., S. 250-285;</w:t>
      </w:r>
      <w:r>
        <w:rPr>
          <w:rFonts w:ascii="Times New Roman" w:hAnsi="Times New Roman" w:cs="Times New Roman"/>
          <w:sz w:val="20"/>
          <w:szCs w:val="20"/>
        </w:rPr>
        <w:t xml:space="preserve"> L. Lugarini, </w:t>
      </w:r>
      <w:r>
        <w:rPr>
          <w:rFonts w:ascii="Times New Roman" w:hAnsi="Times New Roman" w:cs="Times New Roman"/>
          <w:i/>
          <w:sz w:val="20"/>
          <w:szCs w:val="20"/>
        </w:rPr>
        <w:t>Orizzonti hegeliani di comprensione dell’essere</w:t>
      </w:r>
      <w:r>
        <w:rPr>
          <w:rFonts w:ascii="Times New Roman" w:hAnsi="Times New Roman" w:cs="Times New Roman"/>
          <w:sz w:val="20"/>
          <w:szCs w:val="20"/>
        </w:rPr>
        <w:t xml:space="preserve">, a.a.O., S. 369-429; </w:t>
      </w:r>
      <w:r w:rsidRPr="00B248C8">
        <w:rPr>
          <w:rFonts w:ascii="Times New Roman" w:hAnsi="Times New Roman" w:cs="Times New Roman"/>
          <w:sz w:val="20"/>
          <w:szCs w:val="20"/>
        </w:rPr>
        <w:t xml:space="preserve">H. Haagen, </w:t>
      </w:r>
      <w:r w:rsidRPr="00B248C8">
        <w:rPr>
          <w:rFonts w:ascii="Times New Roman" w:hAnsi="Times New Roman" w:cs="Times New Roman"/>
          <w:bCs/>
          <w:i/>
          <w:sz w:val="20"/>
          <w:szCs w:val="20"/>
        </w:rPr>
        <w:t>Die Logik der Wirklichkeit:eine Entwicklung vom Absoluten bis zur Wechselwirkung</w:t>
      </w:r>
      <w:r w:rsidRPr="00B248C8">
        <w:rPr>
          <w:rFonts w:ascii="Times New Roman" w:hAnsi="Times New Roman" w:cs="Times New Roman"/>
          <w:bCs/>
          <w:sz w:val="20"/>
          <w:szCs w:val="20"/>
        </w:rPr>
        <w:t xml:space="preserve">, in </w:t>
      </w:r>
      <w:r w:rsidRPr="00B248C8">
        <w:rPr>
          <w:rFonts w:ascii="Times" w:hAnsi="Times" w:cs="Times"/>
          <w:bCs/>
          <w:i/>
          <w:sz w:val="20"/>
          <w:szCs w:val="20"/>
        </w:rPr>
        <w:t>Hegels „Lehre vom Wesen“</w:t>
      </w:r>
      <w:r w:rsidRPr="00B248C8">
        <w:rPr>
          <w:rFonts w:ascii="Times" w:hAnsi="Times" w:cs="Times"/>
          <w:bCs/>
          <w:sz w:val="20"/>
          <w:szCs w:val="20"/>
        </w:rPr>
        <w:t>, hrsg. von A. Arndt, M. Gerhard und J. Zovko, Berlin-Boston,</w:t>
      </w:r>
      <w:r>
        <w:rPr>
          <w:rFonts w:ascii="Times" w:hAnsi="Times" w:cs="Times"/>
          <w:bCs/>
          <w:sz w:val="20"/>
          <w:szCs w:val="20"/>
        </w:rPr>
        <w:t xml:space="preserve"> De Gruyter 2016, S</w:t>
      </w:r>
      <w:r w:rsidRPr="00B248C8">
        <w:rPr>
          <w:rFonts w:ascii="Times" w:hAnsi="Times" w:cs="Times"/>
          <w:bCs/>
          <w:sz w:val="20"/>
          <w:szCs w:val="20"/>
        </w:rPr>
        <w:t>. 129-159</w:t>
      </w:r>
      <w:r>
        <w:rPr>
          <w:rFonts w:ascii="Times New Roman" w:hAnsi="Times New Roman"/>
          <w:sz w:val="20"/>
          <w:szCs w:val="20"/>
        </w:rPr>
        <w:t>;</w:t>
      </w:r>
      <w:r w:rsidRPr="003C5F15">
        <w:rPr>
          <w:rFonts w:ascii="Times" w:eastAsia="Times New Roman" w:hAnsi="Times" w:cs="Times New Roman"/>
          <w:sz w:val="20"/>
          <w:szCs w:val="20"/>
        </w:rPr>
        <w:t xml:space="preserve"> </w:t>
      </w:r>
      <w:r w:rsidRPr="00B248C8">
        <w:rPr>
          <w:rFonts w:ascii="Times" w:eastAsia="Times New Roman" w:hAnsi="Times" w:cs="Times New Roman"/>
          <w:sz w:val="20"/>
          <w:szCs w:val="20"/>
        </w:rPr>
        <w:t xml:space="preserve">S. V. Palermo, </w:t>
      </w:r>
      <w:r w:rsidRPr="00B248C8">
        <w:rPr>
          <w:rFonts w:ascii="Times" w:eastAsia="Times New Roman" w:hAnsi="Times" w:cs="Times New Roman"/>
          <w:i/>
          <w:sz w:val="20"/>
          <w:szCs w:val="20"/>
        </w:rPr>
        <w:t>La sostanza come genesi del concetto</w:t>
      </w:r>
      <w:r w:rsidRPr="00B248C8">
        <w:rPr>
          <w:rFonts w:ascii="Times New Roman" w:hAnsi="Times New Roman" w:cs="Times New Roman"/>
          <w:sz w:val="20"/>
          <w:szCs w:val="20"/>
        </w:rPr>
        <w:t xml:space="preserve">, </w:t>
      </w:r>
      <w:r>
        <w:rPr>
          <w:rFonts w:ascii="Times New Roman" w:hAnsi="Times New Roman" w:cs="Times New Roman"/>
          <w:sz w:val="20"/>
          <w:szCs w:val="20"/>
        </w:rPr>
        <w:t xml:space="preserve">in </w:t>
      </w:r>
      <w:r w:rsidRPr="00B248C8">
        <w:rPr>
          <w:rFonts w:ascii="Times New Roman" w:hAnsi="Times New Roman" w:cs="Times New Roman"/>
          <w:i/>
          <w:sz w:val="20"/>
          <w:szCs w:val="20"/>
        </w:rPr>
        <w:t>System und Logik bei Hegel</w:t>
      </w:r>
      <w:r w:rsidRPr="00B248C8">
        <w:rPr>
          <w:rFonts w:ascii="Times New Roman" w:hAnsi="Times New Roman" w:cs="Times New Roman"/>
          <w:sz w:val="20"/>
          <w:szCs w:val="20"/>
        </w:rPr>
        <w:t>, a cura di L. Fonnesu e L. Ziglioli</w:t>
      </w:r>
      <w:r>
        <w:rPr>
          <w:rFonts w:ascii="Times New Roman" w:hAnsi="Times New Roman" w:cs="Times New Roman"/>
          <w:sz w:val="20"/>
          <w:szCs w:val="20"/>
        </w:rPr>
        <w:t>, Hildesheim, Olms 2016, S</w:t>
      </w:r>
      <w:r w:rsidRPr="00B248C8">
        <w:rPr>
          <w:rFonts w:ascii="Times New Roman" w:hAnsi="Times New Roman" w:cs="Times New Roman"/>
          <w:sz w:val="20"/>
          <w:szCs w:val="20"/>
        </w:rPr>
        <w:t>. 155-233</w:t>
      </w:r>
      <w:r>
        <w:rPr>
          <w:rFonts w:ascii="Times New Roman" w:eastAsia="Times New Roman" w:hAnsi="Times New Roman" w:cs="Times New Roman"/>
          <w:color w:val="222222"/>
          <w:sz w:val="20"/>
          <w:szCs w:val="20"/>
          <w:shd w:val="clear" w:color="auto" w:fill="FFFFFF"/>
        </w:rPr>
        <w:t xml:space="preserve">; </w:t>
      </w:r>
      <w:r w:rsidRPr="00B248C8">
        <w:rPr>
          <w:rFonts w:ascii="Times New Roman" w:hAnsi="Times New Roman" w:cs="Times New Roman"/>
          <w:sz w:val="20"/>
          <w:szCs w:val="20"/>
        </w:rPr>
        <w:t xml:space="preserve">G. M. Wölfe, </w:t>
      </w:r>
      <w:r w:rsidRPr="00B248C8">
        <w:rPr>
          <w:rFonts w:ascii="Times New Roman" w:hAnsi="Times New Roman" w:cs="Times New Roman"/>
          <w:i/>
          <w:sz w:val="20"/>
          <w:szCs w:val="20"/>
        </w:rPr>
        <w:t xml:space="preserve">Die Wesenlogik in Hegels Wissenschaft </w:t>
      </w:r>
      <w:r w:rsidRPr="003C5F15">
        <w:rPr>
          <w:rFonts w:ascii="Times New Roman" w:hAnsi="Times New Roman" w:cs="Times New Roman"/>
          <w:i/>
          <w:sz w:val="20"/>
          <w:szCs w:val="20"/>
        </w:rPr>
        <w:t>der Logik</w:t>
      </w:r>
      <w:r w:rsidRPr="00B248C8">
        <w:rPr>
          <w:rFonts w:ascii="Times New Roman" w:hAnsi="Times New Roman" w:cs="Times New Roman"/>
          <w:sz w:val="20"/>
          <w:szCs w:val="20"/>
        </w:rPr>
        <w:t>,</w:t>
      </w:r>
      <w:r>
        <w:rPr>
          <w:rFonts w:ascii="Times New Roman" w:hAnsi="Times New Roman" w:cs="Times New Roman"/>
          <w:sz w:val="20"/>
          <w:szCs w:val="20"/>
        </w:rPr>
        <w:t xml:space="preserve"> a.a.O., S. 404-459.</w:t>
      </w:r>
    </w:p>
  </w:footnote>
  <w:footnote w:id="925">
    <w:p w14:paraId="251514C9" w14:textId="396F73DD" w:rsidR="00B34CC2" w:rsidRPr="00485832" w:rsidRDefault="00B34CC2" w:rsidP="001C3D81">
      <w:pPr>
        <w:pStyle w:val="Testonotaapidipagina"/>
        <w:rPr>
          <w:rFonts w:ascii="Times New Roman" w:hAnsi="Times New Roman" w:cs="Times New Roman"/>
          <w:sz w:val="20"/>
          <w:szCs w:val="20"/>
        </w:rPr>
      </w:pPr>
      <w:r w:rsidRPr="00485832">
        <w:rPr>
          <w:rStyle w:val="Rimandonotaapidipagina"/>
          <w:rFonts w:ascii="Times New Roman" w:hAnsi="Times New Roman" w:cs="Times New Roman"/>
          <w:sz w:val="20"/>
          <w:szCs w:val="20"/>
        </w:rPr>
        <w:footnoteRef/>
      </w:r>
      <w:r>
        <w:rPr>
          <w:rFonts w:ascii="Times New Roman" w:hAnsi="Times New Roman" w:cs="Times New Roman"/>
          <w:sz w:val="20"/>
          <w:szCs w:val="20"/>
        </w:rPr>
        <w:t xml:space="preserve"> </w:t>
      </w:r>
      <w:r>
        <w:rPr>
          <w:rFonts w:ascii="Times New Roman" w:hAnsi="Times New Roman" w:cs="Times New Roman"/>
          <w:i/>
          <w:sz w:val="20"/>
          <w:szCs w:val="20"/>
        </w:rPr>
        <w:t>WdL I A</w:t>
      </w:r>
      <w:r>
        <w:rPr>
          <w:rFonts w:ascii="Times New Roman" w:hAnsi="Times New Roman" w:cs="Times New Roman"/>
          <w:sz w:val="20"/>
          <w:szCs w:val="20"/>
        </w:rPr>
        <w:t>, S. 376.</w:t>
      </w:r>
    </w:p>
  </w:footnote>
  <w:footnote w:id="926">
    <w:p w14:paraId="34CB2256" w14:textId="77777777" w:rsidR="00B34CC2" w:rsidRPr="00B27CFD" w:rsidRDefault="00B34CC2" w:rsidP="00B27CFD">
      <w:pPr>
        <w:pStyle w:val="Testonotaapidipagina"/>
        <w:jc w:val="both"/>
        <w:rPr>
          <w:rFonts w:ascii="Times New Roman" w:hAnsi="Times New Roman" w:cs="Times New Roman"/>
          <w:sz w:val="20"/>
          <w:szCs w:val="20"/>
        </w:rPr>
      </w:pPr>
      <w:r w:rsidRPr="00B27CFD">
        <w:rPr>
          <w:rStyle w:val="Rimandonotaapidipagina"/>
          <w:rFonts w:ascii="Times New Roman" w:hAnsi="Times New Roman" w:cs="Times New Roman"/>
          <w:sz w:val="20"/>
          <w:szCs w:val="20"/>
        </w:rPr>
        <w:footnoteRef/>
      </w:r>
      <w:r w:rsidRPr="00B27CFD">
        <w:rPr>
          <w:rFonts w:ascii="Times New Roman" w:hAnsi="Times New Roman" w:cs="Times New Roman"/>
          <w:sz w:val="20"/>
          <w:szCs w:val="20"/>
        </w:rPr>
        <w:t xml:space="preserve"> G.W. Leibniz, </w:t>
      </w:r>
      <w:r w:rsidRPr="00B27CFD">
        <w:rPr>
          <w:rFonts w:ascii="Times New Roman" w:hAnsi="Times New Roman" w:cs="Times New Roman"/>
          <w:i/>
          <w:sz w:val="20"/>
          <w:szCs w:val="20"/>
        </w:rPr>
        <w:t>Monadologie</w:t>
      </w:r>
      <w:r w:rsidRPr="00B27CFD">
        <w:rPr>
          <w:rFonts w:ascii="Times New Roman" w:hAnsi="Times New Roman" w:cs="Times New Roman"/>
          <w:sz w:val="20"/>
          <w:szCs w:val="20"/>
        </w:rPr>
        <w:t xml:space="preserve">, in </w:t>
      </w:r>
      <w:r w:rsidRPr="00B27CFD">
        <w:rPr>
          <w:rFonts w:ascii="Times New Roman" w:hAnsi="Times New Roman" w:cs="Times New Roman"/>
          <w:i/>
          <w:sz w:val="20"/>
          <w:szCs w:val="20"/>
        </w:rPr>
        <w:t>Die philosophischen Schriften von Gottfried Wilhelm Leibniz</w:t>
      </w:r>
      <w:r w:rsidRPr="00B27CFD">
        <w:rPr>
          <w:rFonts w:ascii="Times New Roman" w:hAnsi="Times New Roman" w:cs="Times New Roman"/>
          <w:sz w:val="20"/>
          <w:szCs w:val="20"/>
        </w:rPr>
        <w:t>, Bd. VI, hrsg. von C. J. Gerhardt, Georg Olms Verlag, Hildesheim New York 1978, S. 607.</w:t>
      </w:r>
    </w:p>
  </w:footnote>
  <w:footnote w:id="927">
    <w:p w14:paraId="6FF1035F" w14:textId="303CBD15" w:rsidR="00B34CC2" w:rsidRPr="00B27CFD" w:rsidRDefault="00B34CC2" w:rsidP="00B27CFD">
      <w:pPr>
        <w:pStyle w:val="Testonotaapidipagina"/>
        <w:jc w:val="both"/>
        <w:rPr>
          <w:rFonts w:ascii="Times New Roman" w:hAnsi="Times New Roman" w:cs="Times New Roman"/>
          <w:sz w:val="20"/>
          <w:szCs w:val="20"/>
        </w:rPr>
      </w:pPr>
      <w:r w:rsidRPr="00B27CFD">
        <w:rPr>
          <w:rStyle w:val="Rimandonotaapidipagina"/>
          <w:rFonts w:ascii="Times New Roman" w:hAnsi="Times New Roman" w:cs="Times New Roman"/>
          <w:sz w:val="20"/>
          <w:szCs w:val="20"/>
        </w:rPr>
        <w:footnoteRef/>
      </w:r>
      <w:r w:rsidRPr="00B27CFD">
        <w:rPr>
          <w:rFonts w:ascii="Times New Roman" w:hAnsi="Times New Roman" w:cs="Times New Roman"/>
          <w:sz w:val="20"/>
          <w:szCs w:val="20"/>
        </w:rPr>
        <w:t xml:space="preserve"> </w:t>
      </w:r>
      <w:r>
        <w:rPr>
          <w:rFonts w:ascii="Times New Roman" w:hAnsi="Times New Roman" w:cs="Times New Roman"/>
          <w:i/>
          <w:sz w:val="20"/>
          <w:szCs w:val="20"/>
        </w:rPr>
        <w:t xml:space="preserve">WdL </w:t>
      </w:r>
      <w:r w:rsidRPr="00B27CFD">
        <w:rPr>
          <w:rFonts w:ascii="Times New Roman" w:hAnsi="Times New Roman" w:cs="Times New Roman"/>
          <w:i/>
          <w:sz w:val="20"/>
          <w:szCs w:val="20"/>
        </w:rPr>
        <w:t>I</w:t>
      </w:r>
      <w:r>
        <w:rPr>
          <w:rFonts w:ascii="Times New Roman" w:hAnsi="Times New Roman" w:cs="Times New Roman"/>
          <w:i/>
          <w:sz w:val="20"/>
          <w:szCs w:val="20"/>
        </w:rPr>
        <w:t xml:space="preserve"> A</w:t>
      </w:r>
      <w:r w:rsidRPr="00B27CFD">
        <w:rPr>
          <w:rFonts w:ascii="Times New Roman" w:hAnsi="Times New Roman" w:cs="Times New Roman"/>
          <w:sz w:val="20"/>
          <w:szCs w:val="20"/>
        </w:rPr>
        <w:t>, S. 379.</w:t>
      </w:r>
    </w:p>
  </w:footnote>
  <w:footnote w:id="928">
    <w:p w14:paraId="0C1B5451" w14:textId="77777777" w:rsidR="00B34CC2" w:rsidRPr="00B27CFD" w:rsidRDefault="00B34CC2" w:rsidP="00B27CFD">
      <w:pPr>
        <w:pStyle w:val="Testonotaapidipagina"/>
        <w:jc w:val="both"/>
        <w:rPr>
          <w:rFonts w:ascii="Times New Roman" w:hAnsi="Times New Roman" w:cs="Times New Roman"/>
          <w:sz w:val="20"/>
          <w:szCs w:val="20"/>
        </w:rPr>
      </w:pPr>
      <w:r w:rsidRPr="00B27CFD">
        <w:rPr>
          <w:rStyle w:val="Rimandonotaapidipagina"/>
          <w:rFonts w:ascii="Times New Roman" w:hAnsi="Times New Roman" w:cs="Times New Roman"/>
          <w:sz w:val="20"/>
          <w:szCs w:val="20"/>
        </w:rPr>
        <w:footnoteRef/>
      </w:r>
      <w:r w:rsidRPr="00B27CFD">
        <w:rPr>
          <w:rFonts w:ascii="Times New Roman" w:hAnsi="Times New Roman" w:cs="Times New Roman"/>
          <w:i/>
          <w:sz w:val="20"/>
          <w:szCs w:val="20"/>
        </w:rPr>
        <w:t xml:space="preserve"> </w:t>
      </w:r>
      <w:r w:rsidRPr="00B27CFD">
        <w:rPr>
          <w:rFonts w:ascii="Times New Roman" w:hAnsi="Times New Roman" w:cs="Times New Roman"/>
          <w:sz w:val="20"/>
          <w:szCs w:val="20"/>
        </w:rPr>
        <w:t>Ebd., S. 379.</w:t>
      </w:r>
    </w:p>
  </w:footnote>
  <w:footnote w:id="929">
    <w:p w14:paraId="0F7E6432" w14:textId="77777777" w:rsidR="00B34CC2" w:rsidRPr="001335A4" w:rsidRDefault="00B34CC2" w:rsidP="00B27CFD">
      <w:pPr>
        <w:pStyle w:val="Testonotaapidipagina"/>
        <w:jc w:val="both"/>
        <w:rPr>
          <w:rFonts w:ascii="Times New Roman" w:hAnsi="Times New Roman" w:cs="Times New Roman"/>
          <w:sz w:val="20"/>
          <w:szCs w:val="20"/>
          <w:lang w:val="de-DE"/>
        </w:rPr>
      </w:pPr>
      <w:r w:rsidRPr="00B27CFD">
        <w:rPr>
          <w:rStyle w:val="Rimandonotaapidipagina"/>
          <w:rFonts w:ascii="Times New Roman" w:hAnsi="Times New Roman" w:cs="Times New Roman"/>
          <w:sz w:val="20"/>
          <w:szCs w:val="20"/>
          <w:lang w:val="de-DE"/>
        </w:rPr>
        <w:footnoteRef/>
      </w:r>
      <w:r w:rsidRPr="00B27CFD">
        <w:rPr>
          <w:rFonts w:ascii="Times New Roman" w:hAnsi="Times New Roman" w:cs="Times New Roman"/>
          <w:sz w:val="20"/>
          <w:szCs w:val="20"/>
          <w:lang w:val="de-DE"/>
        </w:rPr>
        <w:t xml:space="preserve"> J. Böhme, </w:t>
      </w:r>
      <w:r w:rsidRPr="00B27CFD">
        <w:rPr>
          <w:rFonts w:ascii="Times New Roman" w:eastAsia="Times New Roman" w:hAnsi="Times New Roman" w:cs="Times New Roman"/>
          <w:i/>
          <w:color w:val="000000"/>
          <w:sz w:val="20"/>
          <w:szCs w:val="20"/>
          <w:lang w:val="de-DE"/>
        </w:rPr>
        <w:t>Von den drey</w:t>
      </w:r>
      <w:r w:rsidRPr="00B27CFD">
        <w:rPr>
          <w:rFonts w:ascii="Times New Roman" w:eastAsia="Times New Roman" w:hAnsi="Times New Roman" w:cs="Times New Roman"/>
          <w:color w:val="000000"/>
          <w:sz w:val="20"/>
          <w:szCs w:val="20"/>
          <w:lang w:val="de-DE"/>
        </w:rPr>
        <w:t xml:space="preserve"> </w:t>
      </w:r>
      <w:r w:rsidRPr="00B27CFD">
        <w:rPr>
          <w:rFonts w:ascii="Times New Roman" w:eastAsia="Times New Roman" w:hAnsi="Times New Roman" w:cs="Times New Roman"/>
          <w:i/>
          <w:color w:val="000000"/>
          <w:sz w:val="20"/>
          <w:szCs w:val="20"/>
          <w:lang w:val="de-DE"/>
        </w:rPr>
        <w:t>Prinzipien Göttliches Wesens</w:t>
      </w:r>
      <w:r w:rsidRPr="00B27CFD">
        <w:rPr>
          <w:rFonts w:ascii="Times New Roman" w:eastAsia="Times New Roman" w:hAnsi="Times New Roman" w:cs="Times New Roman"/>
          <w:color w:val="000000"/>
          <w:sz w:val="20"/>
          <w:szCs w:val="20"/>
          <w:lang w:val="de-DE"/>
        </w:rPr>
        <w:t xml:space="preserve">, in </w:t>
      </w:r>
      <w:r w:rsidRPr="00B27CFD">
        <w:rPr>
          <w:rFonts w:ascii="Times New Roman" w:eastAsia="Times New Roman" w:hAnsi="Times New Roman" w:cs="Times New Roman"/>
          <w:i/>
          <w:color w:val="000000"/>
          <w:sz w:val="20"/>
          <w:szCs w:val="20"/>
          <w:lang w:val="de-DE"/>
        </w:rPr>
        <w:t>Sämtliche Schriften</w:t>
      </w:r>
      <w:r w:rsidRPr="00B27CFD">
        <w:rPr>
          <w:rFonts w:ascii="Times New Roman" w:eastAsia="Times New Roman" w:hAnsi="Times New Roman" w:cs="Times New Roman"/>
          <w:color w:val="000000"/>
          <w:sz w:val="20"/>
          <w:szCs w:val="20"/>
          <w:lang w:val="de-DE"/>
        </w:rPr>
        <w:t xml:space="preserve">, Bd. II, </w:t>
      </w:r>
      <w:r w:rsidRPr="00B27CFD">
        <w:rPr>
          <w:rFonts w:ascii="Times New Roman" w:eastAsia="Times New Roman" w:hAnsi="Times New Roman" w:cs="Times New Roman"/>
          <w:color w:val="000000"/>
          <w:sz w:val="20"/>
          <w:szCs w:val="20"/>
        </w:rPr>
        <w:t>hrsg. von W.-E. Peuckert, Fromman-Holzboog, Stuttgart 1956</w:t>
      </w:r>
      <w:r w:rsidRPr="00B27CFD">
        <w:rPr>
          <w:rFonts w:ascii="Times New Roman" w:eastAsia="Times New Roman" w:hAnsi="Times New Roman" w:cs="Times New Roman"/>
          <w:color w:val="000000"/>
          <w:sz w:val="20"/>
          <w:szCs w:val="20"/>
          <w:lang w:val="de-DE"/>
        </w:rPr>
        <w:t>, S. 114.</w:t>
      </w:r>
    </w:p>
  </w:footnote>
  <w:footnote w:id="930">
    <w:p w14:paraId="7ED6918D" w14:textId="77777777" w:rsidR="00B34CC2" w:rsidRPr="00696BB4" w:rsidRDefault="00B34CC2" w:rsidP="00B27CFD">
      <w:pPr>
        <w:pStyle w:val="Testonotaapidipagina"/>
        <w:jc w:val="both"/>
        <w:rPr>
          <w:rFonts w:ascii="Times New Roman" w:hAnsi="Times New Roman" w:cs="Times New Roman"/>
          <w:sz w:val="20"/>
          <w:szCs w:val="20"/>
        </w:rPr>
      </w:pPr>
      <w:r w:rsidRPr="00696BB4">
        <w:rPr>
          <w:rStyle w:val="Rimandonotaapidipagina"/>
          <w:rFonts w:ascii="Times New Roman" w:hAnsi="Times New Roman" w:cs="Times New Roman"/>
          <w:sz w:val="20"/>
          <w:szCs w:val="20"/>
        </w:rPr>
        <w:footnoteRef/>
      </w:r>
      <w:r w:rsidRPr="00696BB4">
        <w:rPr>
          <w:rFonts w:ascii="Times New Roman" w:hAnsi="Times New Roman" w:cs="Times New Roman"/>
          <w:i/>
          <w:sz w:val="20"/>
          <w:szCs w:val="20"/>
        </w:rPr>
        <w:t xml:space="preserve"> </w:t>
      </w:r>
      <w:r w:rsidRPr="00B3555A">
        <w:rPr>
          <w:rFonts w:ascii="Times New Roman" w:hAnsi="Times New Roman" w:cs="Times New Roman"/>
          <w:sz w:val="20"/>
          <w:szCs w:val="20"/>
        </w:rPr>
        <w:t>Ebd.</w:t>
      </w:r>
      <w:r>
        <w:rPr>
          <w:rFonts w:ascii="Times New Roman" w:hAnsi="Times New Roman" w:cs="Times New Roman"/>
          <w:sz w:val="20"/>
          <w:szCs w:val="20"/>
        </w:rPr>
        <w:t>, S. 114.</w:t>
      </w:r>
    </w:p>
  </w:footnote>
  <w:footnote w:id="931">
    <w:p w14:paraId="0F5D0F6C" w14:textId="5269FEE5" w:rsidR="00B34CC2" w:rsidRPr="001B32DB" w:rsidRDefault="00B34CC2" w:rsidP="001B32DB">
      <w:pPr>
        <w:pStyle w:val="Testonotaapidipagina"/>
        <w:jc w:val="both"/>
        <w:rPr>
          <w:rFonts w:ascii="Times New Roman" w:hAnsi="Times New Roman" w:cs="Times New Roman"/>
          <w:sz w:val="20"/>
          <w:szCs w:val="20"/>
        </w:rPr>
      </w:pPr>
      <w:r w:rsidRPr="001B32DB">
        <w:rPr>
          <w:rStyle w:val="Rimandonotaapidipagina"/>
          <w:rFonts w:ascii="Times New Roman" w:hAnsi="Times New Roman" w:cs="Times New Roman"/>
          <w:sz w:val="20"/>
          <w:szCs w:val="20"/>
        </w:rPr>
        <w:footnoteRef/>
      </w:r>
      <w:r w:rsidRPr="001B32DB">
        <w:rPr>
          <w:rFonts w:ascii="Times New Roman" w:hAnsi="Times New Roman" w:cs="Times New Roman"/>
          <w:sz w:val="20"/>
          <w:szCs w:val="20"/>
        </w:rPr>
        <w:t xml:space="preserve"> Siehe dazu </w:t>
      </w:r>
      <w:r w:rsidRPr="00F73F19">
        <w:rPr>
          <w:rFonts w:ascii="Times New Roman" w:hAnsi="Times New Roman" w:cs="Times New Roman"/>
          <w:i/>
          <w:sz w:val="20"/>
          <w:szCs w:val="20"/>
        </w:rPr>
        <w:t>SE (II)</w:t>
      </w:r>
      <w:r>
        <w:rPr>
          <w:rFonts w:ascii="Times New Roman" w:hAnsi="Times New Roman" w:cs="Times New Roman"/>
          <w:sz w:val="20"/>
          <w:szCs w:val="20"/>
        </w:rPr>
        <w:t>, S. 70</w:t>
      </w:r>
      <w:r w:rsidRPr="001B32DB">
        <w:rPr>
          <w:rFonts w:ascii="Times New Roman" w:hAnsi="Times New Roman" w:cs="Times New Roman"/>
          <w:sz w:val="20"/>
          <w:szCs w:val="20"/>
        </w:rPr>
        <w:t>: „Das Abstrahieren, wodurch das Vertiefen wird, ist für sich das Moment der Negation, des Opferns, und der weitere tiefsinnige Gedanken ist nicht zu verkennen, daß an diese Negativität, die Unendlichkeit, unmittelbar die Tätigkeit des Produzierens geknüpft ist (wie bei Jakob Böhme an die Pein, Qual das Qualierens und Quellen”.</w:t>
      </w:r>
    </w:p>
  </w:footnote>
  <w:footnote w:id="932">
    <w:p w14:paraId="089AC1B1" w14:textId="11A89066" w:rsidR="00B34CC2" w:rsidRPr="001A42FA" w:rsidRDefault="00B34CC2" w:rsidP="001C3D81">
      <w:pPr>
        <w:pStyle w:val="Testonotaapidipagina"/>
        <w:rPr>
          <w:rFonts w:ascii="Times New Roman" w:hAnsi="Times New Roman" w:cs="Times New Roman"/>
          <w:sz w:val="20"/>
          <w:szCs w:val="20"/>
        </w:rPr>
      </w:pPr>
      <w:r w:rsidRPr="001A42FA">
        <w:rPr>
          <w:rStyle w:val="Rimandonotaapidipagina"/>
          <w:rFonts w:ascii="Times New Roman" w:hAnsi="Times New Roman" w:cs="Times New Roman"/>
          <w:sz w:val="20"/>
          <w:szCs w:val="20"/>
        </w:rPr>
        <w:footnoteRef/>
      </w:r>
      <w:r>
        <w:rPr>
          <w:rFonts w:ascii="Times New Roman" w:hAnsi="Times New Roman" w:cs="Times New Roman"/>
          <w:sz w:val="20"/>
          <w:szCs w:val="20"/>
        </w:rPr>
        <w:t xml:space="preserve"> </w:t>
      </w:r>
      <w:r>
        <w:rPr>
          <w:rFonts w:ascii="Times New Roman" w:hAnsi="Times New Roman" w:cs="Times New Roman"/>
          <w:i/>
          <w:sz w:val="20"/>
          <w:szCs w:val="20"/>
        </w:rPr>
        <w:t>WdL I A</w:t>
      </w:r>
      <w:r>
        <w:rPr>
          <w:rFonts w:ascii="Times New Roman" w:hAnsi="Times New Roman" w:cs="Times New Roman"/>
          <w:sz w:val="20"/>
          <w:szCs w:val="20"/>
        </w:rPr>
        <w:t>, S. 381.</w:t>
      </w:r>
    </w:p>
  </w:footnote>
  <w:footnote w:id="933">
    <w:p w14:paraId="34055355" w14:textId="77777777" w:rsidR="00B34CC2" w:rsidRPr="00B71925" w:rsidRDefault="00B34CC2" w:rsidP="001C3D81">
      <w:pPr>
        <w:pStyle w:val="Testonotaapidipagina"/>
        <w:jc w:val="both"/>
        <w:rPr>
          <w:rFonts w:ascii="Times New Roman" w:hAnsi="Times New Roman" w:cs="Times New Roman"/>
          <w:sz w:val="20"/>
          <w:szCs w:val="20"/>
        </w:rPr>
      </w:pPr>
      <w:r w:rsidRPr="00243582">
        <w:rPr>
          <w:rStyle w:val="Rimandonotaapidipagina"/>
          <w:rFonts w:ascii="Times New Roman" w:hAnsi="Times New Roman" w:cs="Times New Roman"/>
          <w:sz w:val="20"/>
          <w:szCs w:val="20"/>
        </w:rPr>
        <w:footnoteRef/>
      </w:r>
      <w:r w:rsidRPr="00243582">
        <w:rPr>
          <w:rFonts w:ascii="Times New Roman" w:hAnsi="Times New Roman" w:cs="Times New Roman"/>
          <w:i/>
          <w:sz w:val="20"/>
          <w:szCs w:val="20"/>
        </w:rPr>
        <w:t xml:space="preserve"> </w:t>
      </w:r>
      <w:r w:rsidRPr="00243582">
        <w:rPr>
          <w:rFonts w:ascii="Times New Roman" w:hAnsi="Times New Roman" w:cs="Times New Roman"/>
          <w:sz w:val="20"/>
          <w:szCs w:val="20"/>
        </w:rPr>
        <w:t xml:space="preserve">Siehe dazu N. Fazioni, </w:t>
      </w:r>
      <w:r w:rsidRPr="00243582">
        <w:rPr>
          <w:rFonts w:ascii="Times New Roman" w:hAnsi="Times New Roman" w:cs="Times New Roman"/>
          <w:i/>
          <w:sz w:val="20"/>
          <w:szCs w:val="20"/>
        </w:rPr>
        <w:t>Il problema della contingenza. Logica e politica in Hegel</w:t>
      </w:r>
      <w:r w:rsidRPr="00243582">
        <w:rPr>
          <w:rFonts w:ascii="Times New Roman" w:hAnsi="Times New Roman" w:cs="Times New Roman"/>
          <w:sz w:val="20"/>
          <w:szCs w:val="20"/>
        </w:rPr>
        <w:t xml:space="preserve">, Franco Angeli, Milano 2014; K. Hartmann, </w:t>
      </w:r>
      <w:r w:rsidRPr="00243582">
        <w:rPr>
          <w:rFonts w:ascii="Times New Roman" w:hAnsi="Times New Roman" w:cs="Times New Roman"/>
          <w:i/>
          <w:sz w:val="20"/>
          <w:szCs w:val="20"/>
        </w:rPr>
        <w:t xml:space="preserve">Hegels Logik, </w:t>
      </w:r>
      <w:r>
        <w:rPr>
          <w:rFonts w:ascii="Times New Roman" w:hAnsi="Times New Roman" w:cs="Times New Roman"/>
          <w:sz w:val="20"/>
          <w:szCs w:val="20"/>
        </w:rPr>
        <w:t xml:space="preserve">a.a.O., </w:t>
      </w:r>
      <w:r w:rsidRPr="00243582">
        <w:rPr>
          <w:rFonts w:ascii="Times New Roman" w:hAnsi="Times New Roman" w:cs="Times New Roman"/>
          <w:sz w:val="20"/>
          <w:szCs w:val="20"/>
        </w:rPr>
        <w:t xml:space="preserve">S. 250-272; L. Lugarini, </w:t>
      </w:r>
      <w:r w:rsidRPr="00243582">
        <w:rPr>
          <w:rFonts w:ascii="Times New Roman" w:hAnsi="Times New Roman" w:cs="Times New Roman"/>
          <w:i/>
          <w:sz w:val="20"/>
          <w:szCs w:val="20"/>
        </w:rPr>
        <w:t>Orizzonti hegeliani</w:t>
      </w:r>
      <w:r>
        <w:rPr>
          <w:rFonts w:ascii="Times New Roman" w:hAnsi="Times New Roman" w:cs="Times New Roman"/>
          <w:i/>
          <w:sz w:val="20"/>
          <w:szCs w:val="20"/>
        </w:rPr>
        <w:t xml:space="preserve"> di comprensione dell’essere</w:t>
      </w:r>
      <w:r w:rsidRPr="00243582">
        <w:rPr>
          <w:rFonts w:ascii="Times New Roman" w:hAnsi="Times New Roman" w:cs="Times New Roman"/>
          <w:i/>
          <w:sz w:val="20"/>
          <w:szCs w:val="20"/>
        </w:rPr>
        <w:t xml:space="preserve">, </w:t>
      </w:r>
      <w:r>
        <w:rPr>
          <w:rFonts w:ascii="Times New Roman" w:hAnsi="Times New Roman" w:cs="Times New Roman"/>
          <w:sz w:val="20"/>
          <w:szCs w:val="20"/>
        </w:rPr>
        <w:t xml:space="preserve">a.a.O., </w:t>
      </w:r>
      <w:r w:rsidRPr="00243582">
        <w:rPr>
          <w:rFonts w:ascii="Times New Roman" w:hAnsi="Times New Roman" w:cs="Times New Roman"/>
          <w:sz w:val="20"/>
          <w:szCs w:val="20"/>
        </w:rPr>
        <w:t xml:space="preserve">S. 387-404; G. M. Wölfle, </w:t>
      </w:r>
      <w:r w:rsidRPr="00243582">
        <w:rPr>
          <w:rFonts w:ascii="Times New Roman" w:hAnsi="Times New Roman" w:cs="Times New Roman"/>
          <w:i/>
          <w:sz w:val="20"/>
          <w:szCs w:val="20"/>
        </w:rPr>
        <w:t xml:space="preserve">Die Wesenslogik in Hegels "Wissenschaft der Logik", </w:t>
      </w:r>
      <w:r>
        <w:rPr>
          <w:rFonts w:ascii="Times New Roman" w:hAnsi="Times New Roman" w:cs="Times New Roman"/>
          <w:sz w:val="20"/>
          <w:szCs w:val="20"/>
        </w:rPr>
        <w:t xml:space="preserve">a.a.O., </w:t>
      </w:r>
      <w:r w:rsidRPr="00243582">
        <w:rPr>
          <w:rFonts w:ascii="Times New Roman" w:hAnsi="Times New Roman" w:cs="Times New Roman"/>
          <w:sz w:val="20"/>
          <w:szCs w:val="20"/>
        </w:rPr>
        <w:t>S. 459-469.</w:t>
      </w:r>
    </w:p>
  </w:footnote>
  <w:footnote w:id="934">
    <w:p w14:paraId="4B5AA7EA" w14:textId="5BD2A9C6" w:rsidR="00B34CC2" w:rsidRPr="00D1306C" w:rsidRDefault="00B34CC2" w:rsidP="001C3D81">
      <w:pPr>
        <w:pStyle w:val="Testonotaapidipagina"/>
        <w:jc w:val="both"/>
        <w:rPr>
          <w:rFonts w:ascii="Times New Roman" w:hAnsi="Times New Roman" w:cs="Times New Roman"/>
          <w:sz w:val="20"/>
          <w:szCs w:val="20"/>
        </w:rPr>
      </w:pPr>
      <w:r w:rsidRPr="00D1306C">
        <w:rPr>
          <w:rStyle w:val="Rimandonotaapidipagina"/>
          <w:rFonts w:ascii="Times New Roman" w:hAnsi="Times New Roman" w:cs="Times New Roman"/>
          <w:sz w:val="20"/>
          <w:szCs w:val="20"/>
        </w:rPr>
        <w:footnoteRef/>
      </w:r>
      <w:r>
        <w:rPr>
          <w:rFonts w:ascii="Times New Roman" w:hAnsi="Times New Roman" w:cs="Times New Roman"/>
          <w:sz w:val="20"/>
          <w:szCs w:val="20"/>
        </w:rPr>
        <w:t xml:space="preserve"> </w:t>
      </w:r>
      <w:r w:rsidRPr="001C0BC9">
        <w:rPr>
          <w:rFonts w:ascii="Times New Roman" w:hAnsi="Times New Roman" w:cs="Times New Roman"/>
          <w:i/>
          <w:sz w:val="20"/>
          <w:szCs w:val="20"/>
        </w:rPr>
        <w:t>WdL I A</w:t>
      </w:r>
      <w:r w:rsidRPr="00D1306C">
        <w:rPr>
          <w:rFonts w:ascii="Times New Roman" w:hAnsi="Times New Roman" w:cs="Times New Roman"/>
          <w:sz w:val="20"/>
          <w:szCs w:val="20"/>
        </w:rPr>
        <w:t>, S. 385.</w:t>
      </w:r>
    </w:p>
  </w:footnote>
  <w:footnote w:id="935">
    <w:p w14:paraId="6FE89326" w14:textId="77777777" w:rsidR="00B34CC2" w:rsidRPr="00D1306C" w:rsidRDefault="00B34CC2" w:rsidP="001C3D81">
      <w:pPr>
        <w:pStyle w:val="Testonotaapidipagina"/>
        <w:jc w:val="both"/>
      </w:pPr>
      <w:r w:rsidRPr="00D1306C">
        <w:rPr>
          <w:rStyle w:val="Rimandonotaapidipagina"/>
          <w:rFonts w:ascii="Times New Roman" w:hAnsi="Times New Roman" w:cs="Times New Roman"/>
          <w:sz w:val="20"/>
          <w:szCs w:val="20"/>
        </w:rPr>
        <w:footnoteRef/>
      </w:r>
      <w:r w:rsidRPr="00D1306C">
        <w:rPr>
          <w:rFonts w:ascii="Times New Roman" w:hAnsi="Times New Roman" w:cs="Times New Roman"/>
          <w:sz w:val="20"/>
          <w:szCs w:val="20"/>
        </w:rPr>
        <w:t xml:space="preserve"> Ebd., S. 385.</w:t>
      </w:r>
    </w:p>
  </w:footnote>
  <w:footnote w:id="936">
    <w:p w14:paraId="4861FC29" w14:textId="77777777" w:rsidR="00B34CC2" w:rsidRPr="00D1306C" w:rsidRDefault="00B34CC2" w:rsidP="001C3D81">
      <w:pPr>
        <w:pStyle w:val="Testonotaapidipagina"/>
        <w:jc w:val="both"/>
        <w:rPr>
          <w:rFonts w:ascii="Times New Roman" w:hAnsi="Times New Roman" w:cs="Times New Roman"/>
          <w:sz w:val="20"/>
          <w:szCs w:val="20"/>
        </w:rPr>
      </w:pPr>
      <w:r w:rsidRPr="00D1306C">
        <w:rPr>
          <w:rStyle w:val="Rimandonotaapidipagina"/>
          <w:rFonts w:ascii="Times New Roman" w:hAnsi="Times New Roman" w:cs="Times New Roman"/>
          <w:sz w:val="20"/>
          <w:szCs w:val="20"/>
        </w:rPr>
        <w:footnoteRef/>
      </w:r>
      <w:r>
        <w:rPr>
          <w:rFonts w:ascii="Times New Roman" w:hAnsi="Times New Roman" w:cs="Times New Roman"/>
          <w:sz w:val="20"/>
          <w:szCs w:val="20"/>
        </w:rPr>
        <w:t xml:space="preserve"> Ebd., S. 387</w:t>
      </w:r>
      <w:r w:rsidRPr="00D1306C">
        <w:rPr>
          <w:rFonts w:ascii="Times New Roman" w:hAnsi="Times New Roman" w:cs="Times New Roman"/>
          <w:sz w:val="20"/>
          <w:szCs w:val="20"/>
        </w:rPr>
        <w:t>.</w:t>
      </w:r>
    </w:p>
  </w:footnote>
  <w:footnote w:id="937">
    <w:p w14:paraId="72138556" w14:textId="77777777" w:rsidR="00B34CC2" w:rsidRPr="003F0F90" w:rsidRDefault="00B34CC2" w:rsidP="001C3D81">
      <w:pPr>
        <w:pStyle w:val="Testonotaapidipagina"/>
        <w:jc w:val="both"/>
        <w:rPr>
          <w:rFonts w:ascii="Times New Roman" w:hAnsi="Times New Roman" w:cs="Times New Roman"/>
          <w:sz w:val="20"/>
          <w:szCs w:val="20"/>
        </w:rPr>
      </w:pPr>
      <w:r w:rsidRPr="00D1306C">
        <w:rPr>
          <w:rStyle w:val="Rimandonotaapidipagina"/>
          <w:rFonts w:ascii="Times New Roman" w:hAnsi="Times New Roman" w:cs="Times New Roman"/>
          <w:sz w:val="20"/>
          <w:szCs w:val="20"/>
        </w:rPr>
        <w:footnoteRef/>
      </w:r>
      <w:r>
        <w:rPr>
          <w:rFonts w:ascii="Times New Roman" w:hAnsi="Times New Roman" w:cs="Times New Roman"/>
          <w:sz w:val="20"/>
          <w:szCs w:val="20"/>
        </w:rPr>
        <w:t xml:space="preserve"> Ebd., S. 388</w:t>
      </w:r>
      <w:r w:rsidRPr="00D1306C">
        <w:rPr>
          <w:rFonts w:ascii="Times New Roman" w:hAnsi="Times New Roman" w:cs="Times New Roman"/>
          <w:sz w:val="20"/>
          <w:szCs w:val="20"/>
        </w:rPr>
        <w:t>.</w:t>
      </w:r>
    </w:p>
  </w:footnote>
  <w:footnote w:id="938">
    <w:p w14:paraId="71EF2947" w14:textId="77777777" w:rsidR="00B34CC2" w:rsidRPr="002A2490" w:rsidRDefault="00B34CC2" w:rsidP="001C3D81">
      <w:pPr>
        <w:pStyle w:val="Testonotaapidipagina"/>
      </w:pPr>
      <w:r w:rsidRPr="002A2490">
        <w:rPr>
          <w:rStyle w:val="Rimandonotaapidipagina"/>
          <w:rFonts w:ascii="Times New Roman" w:hAnsi="Times New Roman" w:cs="Times New Roman"/>
          <w:sz w:val="20"/>
          <w:szCs w:val="20"/>
        </w:rPr>
        <w:footnoteRef/>
      </w:r>
      <w:r w:rsidRPr="002A2490">
        <w:rPr>
          <w:rFonts w:ascii="Times New Roman" w:hAnsi="Times New Roman" w:cs="Times New Roman"/>
          <w:sz w:val="20"/>
          <w:szCs w:val="20"/>
        </w:rPr>
        <w:t xml:space="preserve"> </w:t>
      </w:r>
      <w:r w:rsidRPr="006E692E">
        <w:rPr>
          <w:rFonts w:ascii="Times New Roman" w:hAnsi="Times New Roman" w:cs="Times New Roman"/>
          <w:sz w:val="20"/>
          <w:szCs w:val="20"/>
        </w:rPr>
        <w:t>Ebd.</w:t>
      </w:r>
      <w:r>
        <w:rPr>
          <w:rFonts w:ascii="Times New Roman" w:hAnsi="Times New Roman" w:cs="Times New Roman"/>
          <w:sz w:val="20"/>
          <w:szCs w:val="20"/>
        </w:rPr>
        <w:t xml:space="preserve">, </w:t>
      </w:r>
      <w:r w:rsidRPr="002A2490">
        <w:rPr>
          <w:rFonts w:ascii="Times New Roman" w:hAnsi="Times New Roman" w:cs="Times New Roman"/>
          <w:sz w:val="20"/>
          <w:szCs w:val="20"/>
        </w:rPr>
        <w:t>S. 390.</w:t>
      </w:r>
    </w:p>
  </w:footnote>
  <w:footnote w:id="939">
    <w:p w14:paraId="7F0F7E80" w14:textId="77777777" w:rsidR="00B34CC2" w:rsidRPr="00002941" w:rsidRDefault="00B34CC2" w:rsidP="001C3D81">
      <w:pPr>
        <w:pStyle w:val="Testonotaapidipagina"/>
        <w:rPr>
          <w:rFonts w:ascii="Times New Roman" w:hAnsi="Times New Roman" w:cs="Times New Roman"/>
          <w:sz w:val="20"/>
          <w:szCs w:val="20"/>
          <w:highlight w:val="yellow"/>
        </w:rPr>
      </w:pPr>
      <w:r w:rsidRPr="002A2490">
        <w:rPr>
          <w:rStyle w:val="Rimandonotaapidipagina"/>
          <w:rFonts w:ascii="Times New Roman" w:hAnsi="Times New Roman" w:cs="Times New Roman"/>
          <w:sz w:val="20"/>
          <w:szCs w:val="20"/>
        </w:rPr>
        <w:footnoteRef/>
      </w:r>
      <w:r w:rsidRPr="002A2490">
        <w:rPr>
          <w:rFonts w:ascii="Times New Roman" w:hAnsi="Times New Roman" w:cs="Times New Roman"/>
          <w:sz w:val="20"/>
          <w:szCs w:val="20"/>
        </w:rPr>
        <w:t xml:space="preserve"> </w:t>
      </w:r>
      <w:r w:rsidRPr="006E692E">
        <w:rPr>
          <w:rFonts w:ascii="Times New Roman" w:hAnsi="Times New Roman" w:cs="Times New Roman"/>
          <w:sz w:val="20"/>
          <w:szCs w:val="20"/>
        </w:rPr>
        <w:t>Ebd.</w:t>
      </w:r>
      <w:r>
        <w:rPr>
          <w:rFonts w:ascii="Times New Roman" w:hAnsi="Times New Roman" w:cs="Times New Roman"/>
          <w:sz w:val="20"/>
          <w:szCs w:val="20"/>
        </w:rPr>
        <w:t xml:space="preserve">, </w:t>
      </w:r>
      <w:r w:rsidRPr="002A2490">
        <w:rPr>
          <w:rFonts w:ascii="Times New Roman" w:hAnsi="Times New Roman" w:cs="Times New Roman"/>
          <w:sz w:val="20"/>
          <w:szCs w:val="20"/>
        </w:rPr>
        <w:t>S. 391.</w:t>
      </w:r>
    </w:p>
  </w:footnote>
  <w:footnote w:id="940">
    <w:p w14:paraId="1075027E" w14:textId="77777777" w:rsidR="00B34CC2" w:rsidRPr="00002941" w:rsidRDefault="00B34CC2" w:rsidP="001C3D81">
      <w:pPr>
        <w:pStyle w:val="Testonotaapidipagina"/>
        <w:jc w:val="both"/>
        <w:rPr>
          <w:highlight w:val="yellow"/>
        </w:rPr>
      </w:pPr>
      <w:r w:rsidRPr="0051593F">
        <w:rPr>
          <w:rStyle w:val="Rimandonotaapidipagina"/>
          <w:rFonts w:ascii="Times New Roman" w:hAnsi="Times New Roman" w:cs="Times New Roman"/>
          <w:sz w:val="20"/>
          <w:szCs w:val="20"/>
        </w:rPr>
        <w:footnoteRef/>
      </w:r>
      <w:r>
        <w:rPr>
          <w:rFonts w:ascii="Times New Roman" w:hAnsi="Times New Roman" w:cs="Times New Roman"/>
          <w:i/>
          <w:sz w:val="20"/>
          <w:szCs w:val="20"/>
        </w:rPr>
        <w:t xml:space="preserve"> </w:t>
      </w:r>
      <w:r w:rsidRPr="006E692E">
        <w:rPr>
          <w:rFonts w:ascii="Times New Roman" w:hAnsi="Times New Roman" w:cs="Times New Roman"/>
          <w:sz w:val="20"/>
          <w:szCs w:val="20"/>
        </w:rPr>
        <w:t>Ebd.</w:t>
      </w:r>
      <w:r>
        <w:rPr>
          <w:rFonts w:ascii="Times New Roman" w:hAnsi="Times New Roman" w:cs="Times New Roman"/>
          <w:sz w:val="20"/>
          <w:szCs w:val="20"/>
        </w:rPr>
        <w:t>, S. 392.</w:t>
      </w:r>
    </w:p>
  </w:footnote>
  <w:footnote w:id="941">
    <w:p w14:paraId="73ED5757" w14:textId="77777777" w:rsidR="00B34CC2" w:rsidRPr="0017441A" w:rsidRDefault="00B34CC2" w:rsidP="001C3D81">
      <w:pPr>
        <w:pStyle w:val="Testonotaapidipagina"/>
        <w:rPr>
          <w:rFonts w:ascii="Times New Roman" w:hAnsi="Times New Roman" w:cs="Times New Roman"/>
          <w:sz w:val="20"/>
          <w:szCs w:val="20"/>
        </w:rPr>
      </w:pPr>
      <w:r w:rsidRPr="0017441A">
        <w:rPr>
          <w:rStyle w:val="Rimandonotaapidipagina"/>
          <w:rFonts w:ascii="Times New Roman" w:hAnsi="Times New Roman" w:cs="Times New Roman"/>
          <w:sz w:val="20"/>
          <w:szCs w:val="20"/>
        </w:rPr>
        <w:footnoteRef/>
      </w:r>
      <w:r>
        <w:rPr>
          <w:rFonts w:ascii="Times New Roman" w:hAnsi="Times New Roman" w:cs="Times New Roman"/>
          <w:sz w:val="20"/>
          <w:szCs w:val="20"/>
        </w:rPr>
        <w:t xml:space="preserve"> </w:t>
      </w:r>
      <w:r w:rsidRPr="006E692E">
        <w:rPr>
          <w:rFonts w:ascii="Times New Roman" w:hAnsi="Times New Roman" w:cs="Times New Roman"/>
          <w:sz w:val="20"/>
          <w:szCs w:val="20"/>
        </w:rPr>
        <w:t>Ebd.</w:t>
      </w:r>
      <w:r>
        <w:rPr>
          <w:rFonts w:ascii="Times New Roman" w:hAnsi="Times New Roman" w:cs="Times New Roman"/>
          <w:sz w:val="20"/>
          <w:szCs w:val="20"/>
        </w:rPr>
        <w:t>, S. 392.</w:t>
      </w:r>
    </w:p>
  </w:footnote>
  <w:footnote w:id="942">
    <w:p w14:paraId="733C8DF4" w14:textId="77777777" w:rsidR="00B34CC2" w:rsidRPr="002C43E4" w:rsidRDefault="00B34CC2" w:rsidP="001C3D81">
      <w:pPr>
        <w:pStyle w:val="Testonotaapidipagina"/>
        <w:jc w:val="both"/>
      </w:pPr>
      <w:r w:rsidRPr="00681961">
        <w:rPr>
          <w:rStyle w:val="Rimandonotaapidipagina"/>
          <w:rFonts w:ascii="Times New Roman" w:hAnsi="Times New Roman" w:cs="Times New Roman"/>
          <w:sz w:val="20"/>
          <w:szCs w:val="20"/>
        </w:rPr>
        <w:footnoteRef/>
      </w:r>
      <w:r>
        <w:rPr>
          <w:rFonts w:ascii="Times New Roman" w:hAnsi="Times New Roman" w:cs="Times New Roman"/>
          <w:sz w:val="20"/>
          <w:szCs w:val="20"/>
        </w:rPr>
        <w:t xml:space="preserve"> </w:t>
      </w:r>
      <w:r w:rsidRPr="006E692E">
        <w:rPr>
          <w:rFonts w:ascii="Times New Roman" w:hAnsi="Times New Roman" w:cs="Times New Roman"/>
          <w:sz w:val="20"/>
          <w:szCs w:val="20"/>
        </w:rPr>
        <w:t>Ebd.</w:t>
      </w:r>
      <w:r>
        <w:rPr>
          <w:rFonts w:ascii="Times New Roman" w:hAnsi="Times New Roman" w:cs="Times New Roman"/>
          <w:sz w:val="20"/>
          <w:szCs w:val="20"/>
        </w:rPr>
        <w:t xml:space="preserve">, S. 393. </w:t>
      </w:r>
    </w:p>
  </w:footnote>
  <w:footnote w:id="943">
    <w:p w14:paraId="751EB276" w14:textId="77777777" w:rsidR="00B34CC2" w:rsidRDefault="00B34CC2" w:rsidP="001C3D81">
      <w:pPr>
        <w:pStyle w:val="Testonotaapidipagina"/>
      </w:pPr>
      <w:r w:rsidRPr="00510A73">
        <w:rPr>
          <w:rStyle w:val="Rimandonotaapidipagina"/>
          <w:rFonts w:ascii="Times New Roman" w:hAnsi="Times New Roman"/>
          <w:sz w:val="20"/>
          <w:szCs w:val="20"/>
        </w:rPr>
        <w:footnoteRef/>
      </w:r>
      <w:r>
        <w:rPr>
          <w:rFonts w:ascii="Times New Roman" w:hAnsi="Times New Roman" w:cs="Times New Roman"/>
          <w:sz w:val="20"/>
          <w:szCs w:val="20"/>
        </w:rPr>
        <w:t xml:space="preserve"> Ebd</w:t>
      </w:r>
      <w:r w:rsidRPr="006E692E">
        <w:rPr>
          <w:rFonts w:ascii="Times New Roman" w:hAnsi="Times New Roman" w:cs="Times New Roman"/>
          <w:sz w:val="20"/>
          <w:szCs w:val="20"/>
        </w:rPr>
        <w:t>.</w:t>
      </w:r>
      <w:r>
        <w:rPr>
          <w:rFonts w:ascii="Times New Roman" w:hAnsi="Times New Roman" w:cs="Times New Roman"/>
          <w:sz w:val="20"/>
          <w:szCs w:val="20"/>
        </w:rPr>
        <w:t>, S. 394</w:t>
      </w:r>
      <w:r w:rsidRPr="00A0357E">
        <w:rPr>
          <w:rFonts w:ascii="Times New Roman" w:hAnsi="Times New Roman"/>
          <w:i/>
          <w:sz w:val="20"/>
          <w:szCs w:val="20"/>
        </w:rPr>
        <w:t>.</w:t>
      </w:r>
    </w:p>
  </w:footnote>
  <w:footnote w:id="944">
    <w:p w14:paraId="35B15D91" w14:textId="77777777" w:rsidR="00B34CC2" w:rsidRPr="00A0357E" w:rsidRDefault="00B34CC2" w:rsidP="001C3D81">
      <w:pPr>
        <w:pStyle w:val="Testonotaapidipagina"/>
        <w:rPr>
          <w:rFonts w:ascii="Times New Roman" w:hAnsi="Times New Roman"/>
          <w:i/>
          <w:sz w:val="20"/>
          <w:szCs w:val="20"/>
        </w:rPr>
      </w:pPr>
      <w:r w:rsidRPr="00A0357E">
        <w:rPr>
          <w:rStyle w:val="Rimandonotaapidipagina"/>
          <w:rFonts w:ascii="Times New Roman" w:hAnsi="Times New Roman"/>
          <w:sz w:val="20"/>
          <w:szCs w:val="20"/>
        </w:rPr>
        <w:footnoteRef/>
      </w:r>
      <w:r>
        <w:rPr>
          <w:rFonts w:ascii="Times New Roman" w:hAnsi="Times New Roman"/>
          <w:i/>
          <w:sz w:val="20"/>
          <w:szCs w:val="20"/>
        </w:rPr>
        <w:t xml:space="preserve"> </w:t>
      </w:r>
      <w:r>
        <w:rPr>
          <w:rFonts w:ascii="Times New Roman" w:hAnsi="Times New Roman" w:cs="Times New Roman"/>
          <w:sz w:val="20"/>
          <w:szCs w:val="20"/>
        </w:rPr>
        <w:t>Ebd</w:t>
      </w:r>
      <w:r w:rsidRPr="006E692E">
        <w:rPr>
          <w:rFonts w:ascii="Times New Roman" w:hAnsi="Times New Roman" w:cs="Times New Roman"/>
          <w:sz w:val="20"/>
          <w:szCs w:val="20"/>
        </w:rPr>
        <w:t>.</w:t>
      </w:r>
      <w:r>
        <w:rPr>
          <w:rFonts w:ascii="Times New Roman" w:hAnsi="Times New Roman" w:cs="Times New Roman"/>
          <w:sz w:val="20"/>
          <w:szCs w:val="20"/>
        </w:rPr>
        <w:t>, S. 394</w:t>
      </w:r>
      <w:r w:rsidRPr="00A0357E">
        <w:rPr>
          <w:rFonts w:ascii="Times New Roman" w:hAnsi="Times New Roman"/>
          <w:i/>
          <w:sz w:val="20"/>
          <w:szCs w:val="20"/>
        </w:rPr>
        <w:t>.</w:t>
      </w:r>
    </w:p>
  </w:footnote>
  <w:footnote w:id="945">
    <w:p w14:paraId="705F5186" w14:textId="77777777" w:rsidR="00B34CC2" w:rsidRDefault="00B34CC2" w:rsidP="001C3D81">
      <w:pPr>
        <w:pStyle w:val="Testonotaapidipagina"/>
      </w:pPr>
      <w:r w:rsidRPr="009761C8">
        <w:rPr>
          <w:rStyle w:val="Rimandonotaapidipagina"/>
          <w:rFonts w:ascii="Times New Roman" w:hAnsi="Times New Roman"/>
          <w:sz w:val="20"/>
          <w:szCs w:val="20"/>
        </w:rPr>
        <w:footnoteRef/>
      </w:r>
      <w:r w:rsidRPr="00C11E83">
        <w:rPr>
          <w:rFonts w:ascii="Times New Roman" w:hAnsi="Times New Roman"/>
          <w:sz w:val="20"/>
          <w:szCs w:val="20"/>
        </w:rPr>
        <w:t xml:space="preserve"> </w:t>
      </w:r>
      <w:r>
        <w:rPr>
          <w:rFonts w:ascii="Times New Roman" w:hAnsi="Times New Roman" w:cs="Times New Roman"/>
          <w:sz w:val="20"/>
          <w:szCs w:val="20"/>
        </w:rPr>
        <w:t>Ebd</w:t>
      </w:r>
      <w:r w:rsidRPr="006E692E">
        <w:rPr>
          <w:rFonts w:ascii="Times New Roman" w:hAnsi="Times New Roman" w:cs="Times New Roman"/>
          <w:sz w:val="20"/>
          <w:szCs w:val="20"/>
        </w:rPr>
        <w:t>.</w:t>
      </w:r>
      <w:r>
        <w:rPr>
          <w:rFonts w:ascii="Times New Roman" w:hAnsi="Times New Roman" w:cs="Times New Roman"/>
          <w:sz w:val="20"/>
          <w:szCs w:val="20"/>
        </w:rPr>
        <w:t xml:space="preserve">, </w:t>
      </w:r>
      <w:r w:rsidRPr="00C11E83">
        <w:rPr>
          <w:rFonts w:ascii="Times New Roman" w:hAnsi="Times New Roman"/>
          <w:sz w:val="20"/>
          <w:szCs w:val="20"/>
        </w:rPr>
        <w:t xml:space="preserve">S. </w:t>
      </w:r>
      <w:r>
        <w:rPr>
          <w:rFonts w:ascii="Times New Roman" w:hAnsi="Times New Roman"/>
          <w:sz w:val="20"/>
          <w:szCs w:val="20"/>
        </w:rPr>
        <w:t>395.</w:t>
      </w:r>
    </w:p>
  </w:footnote>
  <w:footnote w:id="946">
    <w:p w14:paraId="13C77752" w14:textId="77777777" w:rsidR="00B34CC2" w:rsidRDefault="00B34CC2" w:rsidP="001C3D81">
      <w:pPr>
        <w:pStyle w:val="Testonotaapidipagina"/>
      </w:pPr>
      <w:r w:rsidRPr="001E0268">
        <w:rPr>
          <w:rStyle w:val="Rimandonotaapidipagina"/>
          <w:rFonts w:ascii="Times New Roman" w:hAnsi="Times New Roman" w:cs="Times New Roman"/>
          <w:sz w:val="20"/>
          <w:szCs w:val="20"/>
        </w:rPr>
        <w:footnoteRef/>
      </w:r>
      <w:r w:rsidRPr="00A0357E">
        <w:rPr>
          <w:rFonts w:ascii="Times New Roman" w:hAnsi="Times New Roman"/>
          <w:i/>
          <w:sz w:val="20"/>
          <w:szCs w:val="20"/>
        </w:rPr>
        <w:t xml:space="preserve"> </w:t>
      </w:r>
      <w:r>
        <w:rPr>
          <w:rFonts w:ascii="Times New Roman" w:hAnsi="Times New Roman" w:cs="Times New Roman"/>
          <w:sz w:val="20"/>
          <w:szCs w:val="20"/>
        </w:rPr>
        <w:t>Ebd</w:t>
      </w:r>
      <w:r w:rsidRPr="006E692E">
        <w:rPr>
          <w:rFonts w:ascii="Times New Roman" w:hAnsi="Times New Roman" w:cs="Times New Roman"/>
          <w:sz w:val="20"/>
          <w:szCs w:val="20"/>
        </w:rPr>
        <w:t>.</w:t>
      </w:r>
      <w:r>
        <w:rPr>
          <w:rFonts w:ascii="Times New Roman" w:hAnsi="Times New Roman" w:cs="Times New Roman"/>
          <w:sz w:val="20"/>
          <w:szCs w:val="20"/>
        </w:rPr>
        <w:t xml:space="preserve">, </w:t>
      </w:r>
      <w:r w:rsidRPr="00C11E83">
        <w:rPr>
          <w:rFonts w:ascii="Times New Roman" w:hAnsi="Times New Roman"/>
          <w:sz w:val="20"/>
          <w:szCs w:val="20"/>
        </w:rPr>
        <w:t xml:space="preserve">S. </w:t>
      </w:r>
      <w:r>
        <w:rPr>
          <w:rFonts w:ascii="Times New Roman" w:hAnsi="Times New Roman"/>
          <w:sz w:val="20"/>
          <w:szCs w:val="20"/>
        </w:rPr>
        <w:t>396.</w:t>
      </w:r>
    </w:p>
  </w:footnote>
  <w:footnote w:id="947">
    <w:p w14:paraId="66393F28" w14:textId="77777777" w:rsidR="00B34CC2" w:rsidRPr="00B73B5A" w:rsidRDefault="00B34CC2" w:rsidP="001C3D81">
      <w:pPr>
        <w:pStyle w:val="Testonotaapidipagina"/>
      </w:pPr>
      <w:r w:rsidRPr="00504B39">
        <w:rPr>
          <w:rStyle w:val="Rimandonotaapidipagina"/>
          <w:rFonts w:ascii="Times New Roman" w:hAnsi="Times New Roman" w:cs="Times New Roman"/>
          <w:sz w:val="20"/>
          <w:szCs w:val="20"/>
        </w:rPr>
        <w:footnoteRef/>
      </w:r>
      <w:r w:rsidRPr="00C11E83">
        <w:rPr>
          <w:rFonts w:ascii="Times New Roman" w:hAnsi="Times New Roman"/>
          <w:i/>
          <w:sz w:val="20"/>
          <w:szCs w:val="20"/>
        </w:rPr>
        <w:t xml:space="preserve"> </w:t>
      </w:r>
      <w:r>
        <w:rPr>
          <w:rFonts w:ascii="Times New Roman" w:hAnsi="Times New Roman" w:cs="Times New Roman"/>
          <w:sz w:val="20"/>
          <w:szCs w:val="20"/>
        </w:rPr>
        <w:t>Ebd</w:t>
      </w:r>
      <w:r w:rsidRPr="006E692E">
        <w:rPr>
          <w:rFonts w:ascii="Times New Roman" w:hAnsi="Times New Roman" w:cs="Times New Roman"/>
          <w:sz w:val="20"/>
          <w:szCs w:val="20"/>
        </w:rPr>
        <w:t>.</w:t>
      </w:r>
      <w:r>
        <w:rPr>
          <w:rFonts w:ascii="Times New Roman" w:hAnsi="Times New Roman" w:cs="Times New Roman"/>
          <w:sz w:val="20"/>
          <w:szCs w:val="20"/>
        </w:rPr>
        <w:t xml:space="preserve">, </w:t>
      </w:r>
      <w:r w:rsidRPr="00C11E83">
        <w:rPr>
          <w:rFonts w:ascii="Times New Roman" w:hAnsi="Times New Roman"/>
          <w:sz w:val="20"/>
          <w:szCs w:val="20"/>
        </w:rPr>
        <w:t xml:space="preserve">S. </w:t>
      </w:r>
      <w:r>
        <w:rPr>
          <w:rFonts w:ascii="Times New Roman" w:hAnsi="Times New Roman"/>
          <w:sz w:val="20"/>
          <w:szCs w:val="20"/>
        </w:rPr>
        <w:t>396.</w:t>
      </w:r>
    </w:p>
  </w:footnote>
  <w:footnote w:id="948">
    <w:p w14:paraId="3D38CE7A" w14:textId="77777777" w:rsidR="00B34CC2" w:rsidRDefault="00B34CC2" w:rsidP="001C3D81">
      <w:pPr>
        <w:pStyle w:val="Testonotaapidipagina"/>
      </w:pPr>
      <w:r w:rsidRPr="00557042">
        <w:rPr>
          <w:rStyle w:val="Rimandonotaapidipagina"/>
          <w:rFonts w:ascii="Times New Roman" w:hAnsi="Times New Roman" w:cs="Times New Roman"/>
          <w:sz w:val="20"/>
          <w:szCs w:val="20"/>
        </w:rPr>
        <w:footnoteRef/>
      </w:r>
      <w:r>
        <w:rPr>
          <w:rFonts w:ascii="Times New Roman" w:hAnsi="Times New Roman" w:cs="Times New Roman"/>
          <w:i/>
          <w:sz w:val="20"/>
          <w:szCs w:val="20"/>
        </w:rPr>
        <w:t xml:space="preserve"> </w:t>
      </w:r>
      <w:r>
        <w:rPr>
          <w:rFonts w:ascii="Times New Roman" w:hAnsi="Times New Roman" w:cs="Times New Roman"/>
          <w:sz w:val="20"/>
          <w:szCs w:val="20"/>
        </w:rPr>
        <w:t>Ebd</w:t>
      </w:r>
      <w:r w:rsidRPr="006E692E">
        <w:rPr>
          <w:rFonts w:ascii="Times New Roman" w:hAnsi="Times New Roman" w:cs="Times New Roman"/>
          <w:sz w:val="20"/>
          <w:szCs w:val="20"/>
        </w:rPr>
        <w:t>.</w:t>
      </w:r>
      <w:r>
        <w:rPr>
          <w:rFonts w:ascii="Times New Roman" w:hAnsi="Times New Roman" w:cs="Times New Roman"/>
          <w:sz w:val="20"/>
          <w:szCs w:val="20"/>
        </w:rPr>
        <w:t xml:space="preserve">, </w:t>
      </w:r>
      <w:r w:rsidRPr="00C11E83">
        <w:rPr>
          <w:rFonts w:ascii="Times New Roman" w:hAnsi="Times New Roman"/>
          <w:sz w:val="20"/>
          <w:szCs w:val="20"/>
        </w:rPr>
        <w:t xml:space="preserve">S. </w:t>
      </w:r>
      <w:r>
        <w:rPr>
          <w:rFonts w:ascii="Times New Roman" w:hAnsi="Times New Roman"/>
          <w:sz w:val="20"/>
          <w:szCs w:val="20"/>
        </w:rPr>
        <w:t>398.</w:t>
      </w:r>
    </w:p>
    <w:p w14:paraId="4755FC35" w14:textId="77777777" w:rsidR="00B34CC2" w:rsidRPr="00557042" w:rsidRDefault="00B34CC2" w:rsidP="001C3D81">
      <w:pPr>
        <w:pStyle w:val="Testonotaapidipagina"/>
        <w:rPr>
          <w:rFonts w:ascii="Times New Roman" w:hAnsi="Times New Roman" w:cs="Times New Roman"/>
          <w:sz w:val="20"/>
          <w:szCs w:val="20"/>
        </w:rPr>
      </w:pPr>
    </w:p>
  </w:footnote>
  <w:footnote w:id="949">
    <w:p w14:paraId="48B94795" w14:textId="77777777" w:rsidR="00B34CC2" w:rsidRPr="00B73B5A" w:rsidRDefault="00B34CC2" w:rsidP="001C3D81">
      <w:pPr>
        <w:pStyle w:val="Testonotaapidipagina"/>
      </w:pPr>
      <w:r w:rsidRPr="009566B2">
        <w:rPr>
          <w:rStyle w:val="Rimandonotaapidipagina"/>
          <w:rFonts w:ascii="Times New Roman" w:hAnsi="Times New Roman" w:cs="Times New Roman"/>
          <w:sz w:val="20"/>
          <w:szCs w:val="20"/>
        </w:rPr>
        <w:footnoteRef/>
      </w:r>
      <w:r>
        <w:rPr>
          <w:rFonts w:ascii="Times New Roman" w:hAnsi="Times New Roman" w:cs="Times New Roman"/>
          <w:sz w:val="20"/>
          <w:szCs w:val="20"/>
        </w:rPr>
        <w:t xml:space="preserve"> Ebd</w:t>
      </w:r>
      <w:r w:rsidRPr="006E692E">
        <w:rPr>
          <w:rFonts w:ascii="Times New Roman" w:hAnsi="Times New Roman" w:cs="Times New Roman"/>
          <w:sz w:val="20"/>
          <w:szCs w:val="20"/>
        </w:rPr>
        <w:t>.</w:t>
      </w:r>
      <w:r>
        <w:rPr>
          <w:rFonts w:ascii="Times New Roman" w:hAnsi="Times New Roman" w:cs="Times New Roman"/>
          <w:sz w:val="20"/>
          <w:szCs w:val="20"/>
        </w:rPr>
        <w:t>, S. 404.</w:t>
      </w:r>
    </w:p>
  </w:footnote>
  <w:footnote w:id="950">
    <w:p w14:paraId="06FC002A" w14:textId="77777777" w:rsidR="00B34CC2" w:rsidRPr="001C0BC9" w:rsidRDefault="00B34CC2" w:rsidP="001C3D81">
      <w:pPr>
        <w:pStyle w:val="Testonotaapidipagina"/>
        <w:rPr>
          <w:rFonts w:ascii="Times New Roman" w:hAnsi="Times New Roman" w:cs="Times New Roman"/>
          <w:sz w:val="20"/>
          <w:szCs w:val="20"/>
        </w:rPr>
      </w:pPr>
      <w:r w:rsidRPr="001C0BC9">
        <w:rPr>
          <w:rStyle w:val="Rimandonotaapidipagina"/>
          <w:rFonts w:ascii="Times New Roman" w:hAnsi="Times New Roman" w:cs="Times New Roman"/>
          <w:sz w:val="20"/>
          <w:szCs w:val="20"/>
        </w:rPr>
        <w:footnoteRef/>
      </w:r>
      <w:r w:rsidRPr="001C0BC9">
        <w:rPr>
          <w:rFonts w:ascii="Times New Roman" w:hAnsi="Times New Roman" w:cs="Times New Roman"/>
          <w:i/>
          <w:sz w:val="20"/>
          <w:szCs w:val="20"/>
        </w:rPr>
        <w:t xml:space="preserve"> </w:t>
      </w:r>
      <w:r w:rsidRPr="001C0BC9">
        <w:rPr>
          <w:rFonts w:ascii="Times New Roman" w:hAnsi="Times New Roman" w:cs="Times New Roman"/>
          <w:sz w:val="20"/>
          <w:szCs w:val="20"/>
        </w:rPr>
        <w:t>Ebd., S. 407.</w:t>
      </w:r>
    </w:p>
  </w:footnote>
  <w:footnote w:id="951">
    <w:p w14:paraId="0C9F075B" w14:textId="77777777" w:rsidR="00B34CC2" w:rsidRPr="001C0BC9" w:rsidRDefault="00B34CC2" w:rsidP="001C3D81">
      <w:pPr>
        <w:pStyle w:val="Testonotaapidipagina"/>
      </w:pPr>
      <w:r w:rsidRPr="001C0BC9">
        <w:rPr>
          <w:rStyle w:val="Rimandonotaapidipagina"/>
          <w:rFonts w:ascii="Times New Roman" w:hAnsi="Times New Roman" w:cs="Times New Roman"/>
          <w:sz w:val="20"/>
          <w:szCs w:val="20"/>
        </w:rPr>
        <w:footnoteRef/>
      </w:r>
      <w:r w:rsidRPr="001C0BC9">
        <w:rPr>
          <w:rFonts w:ascii="Times New Roman" w:hAnsi="Times New Roman" w:cs="Times New Roman"/>
          <w:sz w:val="20"/>
          <w:szCs w:val="20"/>
        </w:rPr>
        <w:t xml:space="preserve"> Ebd., S. 407.</w:t>
      </w:r>
    </w:p>
  </w:footnote>
  <w:footnote w:id="952">
    <w:p w14:paraId="4BE9D519" w14:textId="77777777" w:rsidR="00B34CC2" w:rsidRPr="001C0BC9" w:rsidRDefault="00B34CC2" w:rsidP="001C3D81">
      <w:pPr>
        <w:pStyle w:val="Testonotaapidipagina"/>
        <w:rPr>
          <w:rFonts w:ascii="Times New Roman" w:hAnsi="Times New Roman" w:cs="Times New Roman"/>
          <w:sz w:val="20"/>
          <w:szCs w:val="20"/>
        </w:rPr>
      </w:pPr>
      <w:r w:rsidRPr="001C0BC9">
        <w:rPr>
          <w:rStyle w:val="Rimandonotaapidipagina"/>
          <w:rFonts w:ascii="Times New Roman" w:hAnsi="Times New Roman" w:cs="Times New Roman"/>
          <w:sz w:val="20"/>
          <w:szCs w:val="20"/>
        </w:rPr>
        <w:footnoteRef/>
      </w:r>
      <w:r w:rsidRPr="001C0BC9">
        <w:rPr>
          <w:rFonts w:ascii="Times New Roman" w:hAnsi="Times New Roman" w:cs="Times New Roman"/>
          <w:sz w:val="20"/>
          <w:szCs w:val="20"/>
        </w:rPr>
        <w:t xml:space="preserve"> Ebd., S. 408.</w:t>
      </w:r>
    </w:p>
  </w:footnote>
  <w:footnote w:id="953">
    <w:p w14:paraId="64A0EBE8" w14:textId="77777777" w:rsidR="00B34CC2" w:rsidRPr="001C0BC9" w:rsidRDefault="00B34CC2" w:rsidP="001C3D81">
      <w:pPr>
        <w:pStyle w:val="Testonotaapidipagina"/>
        <w:rPr>
          <w:rFonts w:ascii="Times New Roman" w:hAnsi="Times New Roman" w:cs="Times New Roman"/>
          <w:sz w:val="20"/>
          <w:szCs w:val="20"/>
        </w:rPr>
      </w:pPr>
      <w:r w:rsidRPr="001C0BC9">
        <w:rPr>
          <w:rStyle w:val="Rimandonotaapidipagina"/>
          <w:rFonts w:ascii="Times New Roman" w:hAnsi="Times New Roman" w:cs="Times New Roman"/>
          <w:sz w:val="20"/>
          <w:szCs w:val="20"/>
        </w:rPr>
        <w:footnoteRef/>
      </w:r>
      <w:r w:rsidRPr="001C0BC9">
        <w:rPr>
          <w:rFonts w:ascii="Times New Roman" w:hAnsi="Times New Roman" w:cs="Times New Roman"/>
          <w:i/>
          <w:sz w:val="20"/>
          <w:szCs w:val="20"/>
        </w:rPr>
        <w:t xml:space="preserve"> </w:t>
      </w:r>
      <w:r w:rsidRPr="001C0BC9">
        <w:rPr>
          <w:rFonts w:ascii="Times New Roman" w:hAnsi="Times New Roman" w:cs="Times New Roman"/>
          <w:sz w:val="20"/>
          <w:szCs w:val="20"/>
        </w:rPr>
        <w:t>Ebd., S. 408.</w:t>
      </w:r>
    </w:p>
  </w:footnote>
  <w:footnote w:id="954">
    <w:p w14:paraId="4A20814D" w14:textId="3C4A337E" w:rsidR="00B34CC2" w:rsidRPr="006C53B5" w:rsidRDefault="00B34CC2" w:rsidP="00615E9E">
      <w:pPr>
        <w:pStyle w:val="Testonotaapidipagina"/>
        <w:jc w:val="both"/>
        <w:rPr>
          <w:rFonts w:ascii="Times New Roman" w:hAnsi="Times New Roman" w:cs="Times New Roman"/>
          <w:sz w:val="20"/>
          <w:szCs w:val="20"/>
        </w:rPr>
      </w:pPr>
      <w:r w:rsidRPr="001C0BC9">
        <w:rPr>
          <w:rStyle w:val="Rimandonotaapidipagina"/>
          <w:rFonts w:ascii="Times New Roman" w:hAnsi="Times New Roman" w:cs="Times New Roman"/>
          <w:sz w:val="20"/>
          <w:szCs w:val="20"/>
        </w:rPr>
        <w:footnoteRef/>
      </w:r>
      <w:r w:rsidRPr="001C0BC9">
        <w:rPr>
          <w:rFonts w:ascii="Times New Roman" w:hAnsi="Times New Roman" w:cs="Times New Roman"/>
          <w:sz w:val="20"/>
          <w:szCs w:val="20"/>
        </w:rPr>
        <w:t xml:space="preserve"> </w:t>
      </w:r>
      <w:r w:rsidRPr="003931AB">
        <w:rPr>
          <w:rFonts w:ascii="Times New Roman" w:hAnsi="Times New Roman" w:cs="Times New Roman"/>
          <w:i/>
          <w:sz w:val="20"/>
          <w:szCs w:val="20"/>
        </w:rPr>
        <w:t>WdL II</w:t>
      </w:r>
      <w:r w:rsidRPr="001C0BC9">
        <w:rPr>
          <w:rFonts w:ascii="Times New Roman" w:hAnsi="Times New Roman" w:cs="Times New Roman"/>
          <w:sz w:val="20"/>
          <w:szCs w:val="20"/>
        </w:rPr>
        <w:t>, p. 246.</w:t>
      </w:r>
    </w:p>
  </w:footnote>
  <w:footnote w:id="955">
    <w:p w14:paraId="3FF6A7A3" w14:textId="77777777" w:rsidR="00B34CC2" w:rsidRPr="00894231" w:rsidRDefault="00B34CC2" w:rsidP="00894231">
      <w:pPr>
        <w:jc w:val="both"/>
        <w:rPr>
          <w:rFonts w:ascii="Times New Roman" w:eastAsia="Times New Roman" w:hAnsi="Times New Roman" w:cs="Times New Roman"/>
          <w:color w:val="000000"/>
          <w:sz w:val="20"/>
          <w:szCs w:val="20"/>
          <w:lang w:val="de-DE"/>
        </w:rPr>
      </w:pPr>
      <w:r w:rsidRPr="00894231">
        <w:rPr>
          <w:rStyle w:val="Rimandonotaapidipagina"/>
          <w:rFonts w:ascii="Times New Roman" w:hAnsi="Times New Roman" w:cs="Times New Roman"/>
          <w:sz w:val="20"/>
          <w:szCs w:val="20"/>
        </w:rPr>
        <w:footnoteRef/>
      </w:r>
      <w:r w:rsidRPr="00894231">
        <w:rPr>
          <w:rFonts w:ascii="Times New Roman" w:hAnsi="Times New Roman" w:cs="Times New Roman"/>
          <w:sz w:val="20"/>
          <w:szCs w:val="20"/>
        </w:rPr>
        <w:t xml:space="preserve"> Vgl. VGP (M), S. 17: </w:t>
      </w:r>
      <w:r w:rsidRPr="00894231">
        <w:rPr>
          <w:rFonts w:ascii="Times New Roman" w:hAnsi="Times New Roman" w:cs="Times New Roman"/>
          <w:sz w:val="20"/>
          <w:szCs w:val="20"/>
          <w:lang w:val="de-DE"/>
        </w:rPr>
        <w:t>„In neuerer Zeit Spinozismus, im Ganzen Platonismus, die Substanz aber in starrer Identität mit sich. Das Bewegliche mangelte ihm, das Prinzip der Subjectivität aber noch in der flachen Form der Individualität, trat ihm in den Leibnitzischen Monaden entgegen. Beide sind das Einseitige [...] Er [Jakob Böhme] treibt das Prinzip der tiefsten Innerlichkeit hervor, roh, gewaltsam, verworren. Dies ist das Gähren des Geistes in sich; auch ganz entfernt, ohne äußerliche Beziehung tritt den Gegensatz und ist die Totalität vorhanden. Diese entgegengesetzten Prinzipien gereinigt von ihrer Einseitigkeit gehen dann hervor, die gereinigte Wahrheit, aber nicht die Wahrheit vor diesem Gegensatze, sondern nach demselben, als Resultat desselben. Der Gegensatz ist also im Resultate enthalten, das nun die tiefere, bestimmtere Wahrheit ist</w:t>
      </w:r>
      <w:r w:rsidRPr="00894231">
        <w:rPr>
          <w:rFonts w:ascii="Times New Roman" w:eastAsia="Times New Roman" w:hAnsi="Times New Roman" w:cs="Times New Roman"/>
          <w:color w:val="000000"/>
          <w:sz w:val="20"/>
          <w:szCs w:val="20"/>
          <w:lang w:val="de-DE"/>
        </w:rPr>
        <w:t>”.</w:t>
      </w:r>
    </w:p>
    <w:p w14:paraId="5456E93C" w14:textId="1AEAE241" w:rsidR="00B34CC2" w:rsidRDefault="00B34CC2">
      <w:pPr>
        <w:pStyle w:val="Testonotaapidipagina"/>
      </w:pPr>
    </w:p>
  </w:footnote>
  <w:footnote w:id="956">
    <w:p w14:paraId="0C871C98" w14:textId="77777777" w:rsidR="00B34CC2" w:rsidRPr="004C41AC" w:rsidRDefault="00B34CC2" w:rsidP="001C3D81">
      <w:pPr>
        <w:pStyle w:val="Testonotaapidipagina"/>
        <w:jc w:val="both"/>
        <w:rPr>
          <w:rFonts w:ascii="Times New Roman" w:hAnsi="Times New Roman" w:cs="Times New Roman"/>
          <w:sz w:val="20"/>
          <w:szCs w:val="20"/>
        </w:rPr>
      </w:pPr>
      <w:r w:rsidRPr="004C41AC">
        <w:rPr>
          <w:rStyle w:val="Rimandonotaapidipagina"/>
          <w:rFonts w:ascii="Times New Roman" w:hAnsi="Times New Roman" w:cs="Times New Roman"/>
          <w:sz w:val="20"/>
          <w:szCs w:val="20"/>
        </w:rPr>
        <w:footnoteRef/>
      </w:r>
      <w:r w:rsidRPr="004C41AC">
        <w:rPr>
          <w:rFonts w:ascii="Times New Roman" w:hAnsi="Times New Roman" w:cs="Times New Roman"/>
          <w:sz w:val="20"/>
          <w:szCs w:val="20"/>
        </w:rPr>
        <w:t xml:space="preserve"> Vgl. J.G. Buhle, </w:t>
      </w:r>
      <w:r w:rsidRPr="004C41AC">
        <w:rPr>
          <w:rFonts w:ascii="Times New Roman" w:hAnsi="Times New Roman" w:cs="Times New Roman"/>
          <w:i/>
          <w:sz w:val="20"/>
          <w:szCs w:val="20"/>
          <w:lang w:val="de-DE"/>
        </w:rPr>
        <w:t>Lehrbuch der Geschichte der Philosophie und einer kritischen Literatur derselben</w:t>
      </w:r>
      <w:r>
        <w:rPr>
          <w:rFonts w:ascii="Times New Roman" w:hAnsi="Times New Roman" w:cs="Times New Roman"/>
          <w:sz w:val="20"/>
          <w:szCs w:val="20"/>
        </w:rPr>
        <w:t>, Bd. IV, Göttingen 1799, S</w:t>
      </w:r>
      <w:r w:rsidRPr="004C41AC">
        <w:rPr>
          <w:rFonts w:ascii="Times New Roman" w:hAnsi="Times New Roman" w:cs="Times New Roman"/>
          <w:sz w:val="20"/>
          <w:szCs w:val="20"/>
        </w:rPr>
        <w:t xml:space="preserve">. 143; F. Ast, </w:t>
      </w:r>
      <w:r w:rsidRPr="004C41AC">
        <w:rPr>
          <w:rFonts w:ascii="Times New Roman" w:hAnsi="Times New Roman" w:cs="Times New Roman"/>
          <w:i/>
          <w:sz w:val="20"/>
          <w:szCs w:val="20"/>
          <w:lang w:val="de-DE"/>
        </w:rPr>
        <w:t>Grundriss einer Geschichte der Philosophie</w:t>
      </w:r>
      <w:r>
        <w:rPr>
          <w:rFonts w:ascii="Times New Roman" w:hAnsi="Times New Roman" w:cs="Times New Roman"/>
          <w:sz w:val="20"/>
          <w:szCs w:val="20"/>
        </w:rPr>
        <w:t>, Landshut 1807, S</w:t>
      </w:r>
      <w:r w:rsidRPr="004C41AC">
        <w:rPr>
          <w:rFonts w:ascii="Times New Roman" w:hAnsi="Times New Roman" w:cs="Times New Roman"/>
          <w:sz w:val="20"/>
          <w:szCs w:val="20"/>
        </w:rPr>
        <w:t>. 178.</w:t>
      </w:r>
    </w:p>
  </w:footnote>
  <w:footnote w:id="957">
    <w:p w14:paraId="3660A99E" w14:textId="77777777" w:rsidR="00B34CC2" w:rsidRPr="004871EF" w:rsidRDefault="00B34CC2" w:rsidP="001C3D81">
      <w:pPr>
        <w:pStyle w:val="Testonotaapidipagina"/>
        <w:jc w:val="both"/>
        <w:rPr>
          <w:rFonts w:ascii="Times New Roman" w:hAnsi="Times New Roman" w:cs="Times New Roman"/>
          <w:sz w:val="20"/>
          <w:szCs w:val="20"/>
        </w:rPr>
      </w:pPr>
      <w:r w:rsidRPr="00480F2A">
        <w:rPr>
          <w:rStyle w:val="Rimandonotaapidipagina"/>
          <w:rFonts w:ascii="Times New Roman" w:hAnsi="Times New Roman" w:cs="Times New Roman"/>
          <w:sz w:val="20"/>
          <w:szCs w:val="20"/>
        </w:rPr>
        <w:footnoteRef/>
      </w:r>
      <w:r w:rsidRPr="00480F2A">
        <w:rPr>
          <w:rFonts w:ascii="Times New Roman" w:hAnsi="Times New Roman" w:cs="Times New Roman"/>
          <w:sz w:val="20"/>
          <w:szCs w:val="20"/>
        </w:rPr>
        <w:t xml:space="preserve"> </w:t>
      </w:r>
      <w:r>
        <w:rPr>
          <w:rFonts w:ascii="Times New Roman" w:hAnsi="Times New Roman" w:cs="Times New Roman"/>
          <w:sz w:val="20"/>
          <w:szCs w:val="20"/>
        </w:rPr>
        <w:t xml:space="preserve">Für eine Beschreibung der </w:t>
      </w:r>
      <w:r w:rsidRPr="006C5627">
        <w:rPr>
          <w:rFonts w:ascii="Times New Roman" w:hAnsi="Times New Roman" w:cs="Times New Roman"/>
          <w:i/>
          <w:sz w:val="20"/>
          <w:szCs w:val="20"/>
        </w:rPr>
        <w:t>Kabbala denudata</w:t>
      </w:r>
      <w:r>
        <w:rPr>
          <w:rFonts w:ascii="Times New Roman" w:hAnsi="Times New Roman" w:cs="Times New Roman"/>
          <w:sz w:val="20"/>
          <w:szCs w:val="20"/>
        </w:rPr>
        <w:t xml:space="preserve"> vgl. W. Schmidt-Biggemann, </w:t>
      </w:r>
      <w:r w:rsidRPr="00C5751D">
        <w:rPr>
          <w:rFonts w:ascii="Times New Roman" w:hAnsi="Times New Roman" w:cs="Times New Roman"/>
          <w:i/>
          <w:sz w:val="20"/>
          <w:szCs w:val="20"/>
          <w:lang w:val="de-DE"/>
        </w:rPr>
        <w:t>Geschichte der christlichen Kabbala,</w:t>
      </w:r>
      <w:r>
        <w:rPr>
          <w:rFonts w:ascii="Times New Roman" w:hAnsi="Times New Roman" w:cs="Times New Roman"/>
          <w:i/>
          <w:sz w:val="20"/>
          <w:szCs w:val="20"/>
          <w:lang w:val="de-DE"/>
        </w:rPr>
        <w:t xml:space="preserve"> </w:t>
      </w:r>
      <w:r>
        <w:rPr>
          <w:rFonts w:ascii="Times New Roman" w:hAnsi="Times New Roman" w:cs="Times New Roman"/>
          <w:sz w:val="20"/>
          <w:szCs w:val="20"/>
          <w:lang w:val="de-DE"/>
        </w:rPr>
        <w:t>Bd. III, Frommann-Holzboog, Stuttgart 2013,</w:t>
      </w:r>
      <w:r w:rsidRPr="00C5751D">
        <w:rPr>
          <w:rFonts w:ascii="Times New Roman" w:hAnsi="Times New Roman" w:cs="Times New Roman"/>
          <w:i/>
          <w:sz w:val="20"/>
          <w:szCs w:val="20"/>
          <w:lang w:val="de-DE"/>
        </w:rPr>
        <w:t xml:space="preserve"> </w:t>
      </w:r>
      <w:r>
        <w:rPr>
          <w:rFonts w:ascii="Times New Roman" w:hAnsi="Times New Roman" w:cs="Times New Roman"/>
          <w:sz w:val="20"/>
          <w:szCs w:val="20"/>
          <w:lang w:val="de-DE"/>
        </w:rPr>
        <w:t>S. 63-149;</w:t>
      </w:r>
      <w:r>
        <w:rPr>
          <w:rFonts w:ascii="Times New Roman" w:hAnsi="Times New Roman" w:cs="Times New Roman"/>
          <w:sz w:val="20"/>
          <w:szCs w:val="20"/>
        </w:rPr>
        <w:t xml:space="preserve"> G. Scholem, </w:t>
      </w:r>
      <w:r w:rsidRPr="00480F2A">
        <w:rPr>
          <w:rFonts w:ascii="Times New Roman" w:hAnsi="Times New Roman" w:cs="Times New Roman"/>
          <w:i/>
          <w:sz w:val="20"/>
          <w:szCs w:val="20"/>
        </w:rPr>
        <w:t>Kabbalah</w:t>
      </w:r>
      <w:r>
        <w:rPr>
          <w:rFonts w:ascii="Times New Roman" w:hAnsi="Times New Roman" w:cs="Times New Roman"/>
          <w:sz w:val="20"/>
          <w:szCs w:val="20"/>
        </w:rPr>
        <w:t>, a.a.O., S. 418-421</w:t>
      </w:r>
      <w:r>
        <w:rPr>
          <w:rFonts w:ascii="Times New Roman" w:hAnsi="Times New Roman" w:cs="Times New Roman"/>
          <w:sz w:val="20"/>
          <w:szCs w:val="20"/>
          <w:lang w:val="de-DE"/>
        </w:rPr>
        <w:t>.</w:t>
      </w:r>
    </w:p>
  </w:footnote>
  <w:footnote w:id="958">
    <w:p w14:paraId="3557E74B" w14:textId="1A74824D" w:rsidR="00B34CC2" w:rsidRPr="00DF3E46" w:rsidRDefault="00B34CC2" w:rsidP="001C3D81">
      <w:pPr>
        <w:pStyle w:val="Testonotaapidipagina"/>
        <w:jc w:val="both"/>
        <w:rPr>
          <w:rFonts w:ascii="Times New Roman" w:hAnsi="Times New Roman" w:cs="Times New Roman"/>
          <w:sz w:val="20"/>
          <w:szCs w:val="20"/>
        </w:rPr>
      </w:pPr>
      <w:r w:rsidRPr="00EB50A8">
        <w:rPr>
          <w:rStyle w:val="Rimandonotaapidipagina"/>
          <w:rFonts w:ascii="Times New Roman" w:hAnsi="Times New Roman" w:cs="Times New Roman"/>
          <w:sz w:val="20"/>
          <w:szCs w:val="20"/>
        </w:rPr>
        <w:footnoteRef/>
      </w:r>
      <w:r>
        <w:rPr>
          <w:rFonts w:ascii="Times New Roman" w:hAnsi="Times New Roman" w:cs="Times New Roman"/>
          <w:sz w:val="20"/>
          <w:szCs w:val="20"/>
        </w:rPr>
        <w:t xml:space="preserve"> In Bezug </w:t>
      </w:r>
      <w:r w:rsidRPr="00EB50A8">
        <w:rPr>
          <w:rFonts w:ascii="Times New Roman" w:hAnsi="Times New Roman" w:cs="Times New Roman"/>
          <w:sz w:val="20"/>
          <w:szCs w:val="20"/>
        </w:rPr>
        <w:t xml:space="preserve">den Gedanken Herreras vgl. G. Necker, </w:t>
      </w:r>
      <w:r w:rsidRPr="00EB50A8">
        <w:rPr>
          <w:rFonts w:ascii="Times New Roman" w:hAnsi="Times New Roman" w:cs="Times New Roman"/>
          <w:i/>
          <w:sz w:val="20"/>
          <w:szCs w:val="20"/>
        </w:rPr>
        <w:t>Humanistische Kabbala im Barock: Leben und Werk des Abraham Cohen de Herrera</w:t>
      </w:r>
      <w:r w:rsidRPr="00EB50A8">
        <w:rPr>
          <w:rFonts w:ascii="Times New Roman" w:hAnsi="Times New Roman" w:cs="Times New Roman"/>
          <w:sz w:val="20"/>
          <w:szCs w:val="20"/>
        </w:rPr>
        <w:t xml:space="preserve">, De Gruyter, Berlin/Boston 2011; </w:t>
      </w:r>
      <w:r w:rsidRPr="00EB50A8">
        <w:rPr>
          <w:rFonts w:ascii="Times New Roman" w:hAnsi="Times New Roman" w:cs="Times New Roman"/>
          <w:sz w:val="20"/>
          <w:szCs w:val="20"/>
          <w:lang w:val="de-DE"/>
        </w:rPr>
        <w:t xml:space="preserve">C. Schulte, </w:t>
      </w:r>
      <w:r w:rsidRPr="00EB50A8">
        <w:rPr>
          <w:rFonts w:ascii="Times New Roman" w:hAnsi="Times New Roman" w:cs="Times New Roman"/>
          <w:i/>
          <w:sz w:val="20"/>
          <w:szCs w:val="20"/>
          <w:lang w:val="de-DE"/>
        </w:rPr>
        <w:t>Zimzum</w:t>
      </w:r>
      <w:r w:rsidRPr="00EB50A8">
        <w:rPr>
          <w:rFonts w:ascii="Times New Roman" w:hAnsi="Times New Roman" w:cs="Times New Roman"/>
          <w:sz w:val="20"/>
          <w:szCs w:val="20"/>
          <w:lang w:val="de-DE"/>
        </w:rPr>
        <w:t>, a.a.O., S. 119-133</w:t>
      </w:r>
      <w:r w:rsidRPr="00EB50A8">
        <w:rPr>
          <w:rFonts w:ascii="Times New Roman" w:hAnsi="Times New Roman" w:cs="Times New Roman"/>
          <w:sz w:val="20"/>
          <w:szCs w:val="20"/>
        </w:rPr>
        <w:t xml:space="preserve">. </w:t>
      </w:r>
      <w:r>
        <w:rPr>
          <w:rFonts w:ascii="Times New Roman" w:hAnsi="Times New Roman" w:cs="Times New Roman"/>
          <w:sz w:val="20"/>
          <w:szCs w:val="20"/>
        </w:rPr>
        <w:t xml:space="preserve">Zur </w:t>
      </w:r>
      <w:r w:rsidRPr="00EB50A8">
        <w:rPr>
          <w:rFonts w:ascii="Times New Roman" w:hAnsi="Times New Roman" w:cs="Times New Roman"/>
          <w:sz w:val="20"/>
          <w:szCs w:val="20"/>
        </w:rPr>
        <w:t>Übersetzung von Knorr von Rosenroth siehe W. Schmidt-Big</w:t>
      </w:r>
      <w:r>
        <w:rPr>
          <w:rFonts w:ascii="Times New Roman" w:hAnsi="Times New Roman" w:cs="Times New Roman"/>
          <w:sz w:val="20"/>
          <w:szCs w:val="20"/>
        </w:rPr>
        <w:t>g</w:t>
      </w:r>
      <w:r w:rsidRPr="00EB50A8">
        <w:rPr>
          <w:rFonts w:ascii="Times New Roman" w:hAnsi="Times New Roman" w:cs="Times New Roman"/>
          <w:sz w:val="20"/>
          <w:szCs w:val="20"/>
        </w:rPr>
        <w:t xml:space="preserve">emann, </w:t>
      </w:r>
      <w:r w:rsidRPr="00EB50A8">
        <w:rPr>
          <w:rFonts w:ascii="Times New Roman" w:hAnsi="Times New Roman" w:cs="Times New Roman"/>
          <w:i/>
          <w:sz w:val="20"/>
          <w:szCs w:val="20"/>
          <w:lang w:val="de-DE"/>
        </w:rPr>
        <w:t xml:space="preserve">Geschichte der christlichen Kabbala, </w:t>
      </w:r>
      <w:r w:rsidRPr="00EB50A8">
        <w:rPr>
          <w:rFonts w:ascii="Times New Roman" w:hAnsi="Times New Roman" w:cs="Times New Roman"/>
          <w:sz w:val="20"/>
          <w:szCs w:val="20"/>
          <w:lang w:val="de-DE"/>
        </w:rPr>
        <w:t>Bd. III, a.a.O.,</w:t>
      </w:r>
      <w:r w:rsidRPr="00EB50A8">
        <w:rPr>
          <w:rFonts w:ascii="Times New Roman" w:hAnsi="Times New Roman" w:cs="Times New Roman"/>
          <w:i/>
          <w:sz w:val="20"/>
          <w:szCs w:val="20"/>
          <w:lang w:val="de-DE"/>
        </w:rPr>
        <w:t xml:space="preserve"> </w:t>
      </w:r>
      <w:r w:rsidRPr="00EB50A8">
        <w:rPr>
          <w:rFonts w:ascii="Times New Roman" w:hAnsi="Times New Roman" w:cs="Times New Roman"/>
          <w:sz w:val="20"/>
          <w:szCs w:val="20"/>
          <w:lang w:val="de-DE"/>
        </w:rPr>
        <w:t>S. 76-85.</w:t>
      </w:r>
    </w:p>
  </w:footnote>
  <w:footnote w:id="959">
    <w:p w14:paraId="0850FA5F" w14:textId="77777777" w:rsidR="00B34CC2" w:rsidRPr="00677EEA" w:rsidRDefault="00B34CC2" w:rsidP="001C3D81">
      <w:pPr>
        <w:pStyle w:val="Testonotaapidipagina"/>
        <w:jc w:val="both"/>
        <w:rPr>
          <w:rFonts w:ascii="Times New Roman" w:hAnsi="Times New Roman" w:cs="Times New Roman"/>
          <w:sz w:val="20"/>
          <w:szCs w:val="20"/>
        </w:rPr>
      </w:pPr>
      <w:r w:rsidRPr="005B26F9">
        <w:rPr>
          <w:rStyle w:val="Rimandonotaapidipagina"/>
          <w:rFonts w:ascii="Times New Roman" w:hAnsi="Times New Roman" w:cs="Times New Roman"/>
          <w:sz w:val="20"/>
          <w:szCs w:val="20"/>
        </w:rPr>
        <w:footnoteRef/>
      </w:r>
      <w:r w:rsidRPr="005B26F9">
        <w:rPr>
          <w:rFonts w:ascii="Times New Roman" w:hAnsi="Times New Roman" w:cs="Times New Roman"/>
          <w:sz w:val="20"/>
          <w:szCs w:val="20"/>
        </w:rPr>
        <w:t xml:space="preserve"> In Übereinstimmung</w:t>
      </w:r>
      <w:r>
        <w:rPr>
          <w:rFonts w:ascii="Times New Roman" w:hAnsi="Times New Roman" w:cs="Times New Roman"/>
          <w:sz w:val="20"/>
          <w:szCs w:val="20"/>
        </w:rPr>
        <w:t xml:space="preserve"> mit Plotin definiert Herrera das En-soph (Gott) als das Eine: „</w:t>
      </w:r>
      <w:r w:rsidRPr="00A35D89">
        <w:rPr>
          <w:rFonts w:ascii="Times New Roman" w:hAnsi="Times New Roman" w:cs="Times New Roman"/>
          <w:sz w:val="20"/>
          <w:szCs w:val="20"/>
        </w:rPr>
        <w:t>Haec omnia evincit &amp; probat dictus Philosophus Plotinus, dum demonstrat, necessario existere aliquod, quod sit supra omnia, &amp; eminentissimum omnium, quod omnium primum sit sine principio: De hoc dicit, quod non possit esse omnia immediate, quia sit Unitas absoluta &amp; simpl</w:t>
      </w:r>
      <w:r>
        <w:rPr>
          <w:rFonts w:ascii="Times New Roman" w:hAnsi="Times New Roman" w:cs="Times New Roman"/>
          <w:sz w:val="20"/>
          <w:szCs w:val="20"/>
        </w:rPr>
        <w:t>icissima &amp; omni numero superior”</w:t>
      </w:r>
      <w:r w:rsidRPr="00A35D89">
        <w:rPr>
          <w:rFonts w:ascii="Times New Roman" w:hAnsi="Times New Roman" w:cs="Times New Roman"/>
          <w:sz w:val="20"/>
          <w:szCs w:val="20"/>
        </w:rPr>
        <w:t xml:space="preserve"> (</w:t>
      </w:r>
      <w:r>
        <w:rPr>
          <w:rFonts w:ascii="Times New Roman" w:hAnsi="Times New Roman" w:cs="Times New Roman"/>
          <w:sz w:val="20"/>
          <w:szCs w:val="20"/>
        </w:rPr>
        <w:t xml:space="preserve">Vgl. </w:t>
      </w:r>
      <w:r w:rsidRPr="00A35D89">
        <w:rPr>
          <w:rFonts w:ascii="Times New Roman" w:hAnsi="Times New Roman" w:cs="Times New Roman"/>
          <w:sz w:val="20"/>
          <w:szCs w:val="20"/>
        </w:rPr>
        <w:t>A.</w:t>
      </w:r>
      <w:r>
        <w:rPr>
          <w:rFonts w:ascii="Times New Roman" w:hAnsi="Times New Roman" w:cs="Times New Roman"/>
          <w:sz w:val="20"/>
          <w:szCs w:val="20"/>
        </w:rPr>
        <w:t xml:space="preserve">C. Herrera, </w:t>
      </w:r>
      <w:r w:rsidRPr="00677EEA">
        <w:rPr>
          <w:rFonts w:ascii="Times New Roman" w:hAnsi="Times New Roman" w:cs="Times New Roman"/>
          <w:i/>
          <w:sz w:val="20"/>
          <w:szCs w:val="20"/>
        </w:rPr>
        <w:t>Porta Coelorum</w:t>
      </w:r>
      <w:r w:rsidRPr="00677EEA">
        <w:rPr>
          <w:rFonts w:ascii="Times New Roman" w:hAnsi="Times New Roman" w:cs="Times New Roman"/>
          <w:sz w:val="20"/>
          <w:szCs w:val="20"/>
        </w:rPr>
        <w:t xml:space="preserve">, in </w:t>
      </w:r>
      <w:r w:rsidRPr="00677EEA">
        <w:rPr>
          <w:rFonts w:ascii="Times New Roman" w:hAnsi="Times New Roman" w:cs="Times New Roman"/>
          <w:i/>
          <w:sz w:val="20"/>
          <w:szCs w:val="20"/>
        </w:rPr>
        <w:t xml:space="preserve">Kabbala Denudata, </w:t>
      </w:r>
      <w:r w:rsidRPr="00677EEA">
        <w:rPr>
          <w:rFonts w:ascii="Times New Roman" w:hAnsi="Times New Roman" w:cs="Times New Roman"/>
          <w:sz w:val="20"/>
          <w:szCs w:val="20"/>
        </w:rPr>
        <w:t>Sulzbach 1677, S. 40).</w:t>
      </w:r>
    </w:p>
  </w:footnote>
  <w:footnote w:id="960">
    <w:p w14:paraId="25A1C4FD" w14:textId="77777777" w:rsidR="00B34CC2" w:rsidRPr="00677EEA" w:rsidRDefault="00B34CC2" w:rsidP="001C3D81">
      <w:pPr>
        <w:pStyle w:val="Testonotaapidipagina"/>
        <w:jc w:val="both"/>
        <w:rPr>
          <w:rFonts w:ascii="Times New Roman" w:hAnsi="Times New Roman" w:cs="Times New Roman"/>
          <w:sz w:val="20"/>
          <w:szCs w:val="20"/>
        </w:rPr>
      </w:pPr>
      <w:r w:rsidRPr="00677EEA">
        <w:rPr>
          <w:rStyle w:val="Rimandonotaapidipagina"/>
          <w:rFonts w:ascii="Times New Roman" w:hAnsi="Times New Roman" w:cs="Times New Roman"/>
          <w:sz w:val="20"/>
          <w:szCs w:val="20"/>
        </w:rPr>
        <w:footnoteRef/>
      </w:r>
      <w:r w:rsidRPr="00677EEA">
        <w:rPr>
          <w:rFonts w:ascii="Times New Roman" w:hAnsi="Times New Roman" w:cs="Times New Roman"/>
          <w:i/>
          <w:sz w:val="20"/>
          <w:szCs w:val="20"/>
        </w:rPr>
        <w:t xml:space="preserve"> </w:t>
      </w:r>
      <w:r w:rsidRPr="00677EEA">
        <w:rPr>
          <w:rFonts w:ascii="Times New Roman" w:hAnsi="Times New Roman" w:cs="Times New Roman"/>
          <w:sz w:val="20"/>
          <w:szCs w:val="20"/>
        </w:rPr>
        <w:t>Ebd., S. 13.</w:t>
      </w:r>
    </w:p>
  </w:footnote>
  <w:footnote w:id="961">
    <w:p w14:paraId="4A0ED369" w14:textId="77777777" w:rsidR="00B34CC2" w:rsidRPr="004F6558" w:rsidRDefault="00B34CC2" w:rsidP="001C3D81">
      <w:pPr>
        <w:pStyle w:val="Testonotaapidipagina"/>
        <w:jc w:val="both"/>
        <w:rPr>
          <w:rFonts w:ascii="Times New Roman" w:hAnsi="Times New Roman" w:cs="Times New Roman"/>
          <w:sz w:val="20"/>
          <w:szCs w:val="20"/>
        </w:rPr>
      </w:pPr>
      <w:r w:rsidRPr="00677EEA">
        <w:rPr>
          <w:rStyle w:val="Rimandonotaapidipagina"/>
          <w:rFonts w:ascii="Times New Roman" w:hAnsi="Times New Roman" w:cs="Times New Roman"/>
          <w:sz w:val="20"/>
          <w:szCs w:val="20"/>
        </w:rPr>
        <w:footnoteRef/>
      </w:r>
      <w:r w:rsidRPr="00677EEA">
        <w:rPr>
          <w:rFonts w:ascii="Times New Roman" w:hAnsi="Times New Roman" w:cs="Times New Roman"/>
          <w:sz w:val="20"/>
          <w:szCs w:val="20"/>
        </w:rPr>
        <w:t xml:space="preserve"> Ebd., S. 31: „Ab Uno, quatenus Unum, non emanat nisi Unum”.</w:t>
      </w:r>
    </w:p>
  </w:footnote>
  <w:footnote w:id="962">
    <w:p w14:paraId="35D13125" w14:textId="77777777" w:rsidR="00B34CC2" w:rsidRPr="00F71FCD" w:rsidRDefault="00B34CC2" w:rsidP="001C3D81">
      <w:pPr>
        <w:pStyle w:val="Testonotaapidipagina"/>
        <w:jc w:val="both"/>
        <w:rPr>
          <w:rFonts w:ascii="Times New Roman" w:hAnsi="Times New Roman" w:cs="Times New Roman"/>
          <w:sz w:val="20"/>
          <w:szCs w:val="20"/>
        </w:rPr>
      </w:pPr>
      <w:r w:rsidRPr="00F71FCD">
        <w:rPr>
          <w:rStyle w:val="Rimandonotaapidipagina"/>
          <w:rFonts w:ascii="Times New Roman" w:hAnsi="Times New Roman" w:cs="Times New Roman"/>
          <w:sz w:val="20"/>
          <w:szCs w:val="20"/>
        </w:rPr>
        <w:footnoteRef/>
      </w:r>
      <w:r w:rsidRPr="00F71FCD">
        <w:rPr>
          <w:rFonts w:ascii="Times New Roman" w:hAnsi="Times New Roman" w:cs="Times New Roman"/>
          <w:i/>
          <w:sz w:val="20"/>
          <w:szCs w:val="20"/>
        </w:rPr>
        <w:t xml:space="preserve"> </w:t>
      </w:r>
      <w:r>
        <w:rPr>
          <w:rFonts w:ascii="Times New Roman" w:hAnsi="Times New Roman" w:cs="Times New Roman"/>
          <w:sz w:val="20"/>
          <w:szCs w:val="20"/>
        </w:rPr>
        <w:t xml:space="preserve">Ebd., S. </w:t>
      </w:r>
      <w:r w:rsidRPr="00F71FCD">
        <w:rPr>
          <w:rFonts w:ascii="Times New Roman" w:hAnsi="Times New Roman" w:cs="Times New Roman"/>
          <w:sz w:val="20"/>
          <w:szCs w:val="20"/>
        </w:rPr>
        <w:t>103.</w:t>
      </w:r>
    </w:p>
  </w:footnote>
  <w:footnote w:id="963">
    <w:p w14:paraId="355735A7" w14:textId="77777777" w:rsidR="00B34CC2" w:rsidRPr="00D162BA" w:rsidRDefault="00B34CC2" w:rsidP="001C3D81">
      <w:pPr>
        <w:pStyle w:val="Testonotaapidipagina"/>
        <w:jc w:val="both"/>
        <w:rPr>
          <w:rFonts w:ascii="Times New Roman" w:hAnsi="Times New Roman" w:cs="Times New Roman"/>
          <w:sz w:val="20"/>
          <w:szCs w:val="20"/>
        </w:rPr>
      </w:pPr>
      <w:r w:rsidRPr="00D162BA">
        <w:rPr>
          <w:rStyle w:val="Rimandonotaapidipagina"/>
          <w:rFonts w:ascii="Times New Roman" w:hAnsi="Times New Roman" w:cs="Times New Roman"/>
          <w:sz w:val="20"/>
          <w:szCs w:val="20"/>
        </w:rPr>
        <w:footnoteRef/>
      </w:r>
      <w:r>
        <w:rPr>
          <w:rFonts w:ascii="Times New Roman" w:hAnsi="Times New Roman" w:cs="Times New Roman"/>
          <w:sz w:val="20"/>
          <w:szCs w:val="20"/>
        </w:rPr>
        <w:t xml:space="preserve"> Ebd., S. 103</w:t>
      </w:r>
      <w:r w:rsidRPr="00D162BA">
        <w:rPr>
          <w:rFonts w:ascii="Times New Roman" w:hAnsi="Times New Roman" w:cs="Times New Roman"/>
          <w:sz w:val="20"/>
          <w:szCs w:val="20"/>
        </w:rPr>
        <w:t>.</w:t>
      </w:r>
    </w:p>
  </w:footnote>
  <w:footnote w:id="964">
    <w:p w14:paraId="6DB22002" w14:textId="77777777" w:rsidR="00B34CC2" w:rsidRPr="00716357" w:rsidRDefault="00B34CC2" w:rsidP="001C3D81">
      <w:pPr>
        <w:pStyle w:val="Testonotaapidipagina"/>
        <w:jc w:val="both"/>
        <w:rPr>
          <w:rFonts w:ascii="Times New Roman" w:hAnsi="Times New Roman" w:cs="Times New Roman"/>
          <w:sz w:val="20"/>
          <w:szCs w:val="20"/>
        </w:rPr>
      </w:pPr>
      <w:r w:rsidRPr="0064476A">
        <w:rPr>
          <w:rStyle w:val="Rimandonotaapidipagina"/>
          <w:rFonts w:ascii="Times New Roman" w:hAnsi="Times New Roman" w:cs="Times New Roman"/>
          <w:sz w:val="20"/>
          <w:szCs w:val="20"/>
        </w:rPr>
        <w:footnoteRef/>
      </w:r>
      <w:r w:rsidRPr="0064476A">
        <w:rPr>
          <w:rFonts w:ascii="Times New Roman" w:hAnsi="Times New Roman" w:cs="Times New Roman"/>
          <w:i/>
          <w:sz w:val="20"/>
          <w:szCs w:val="20"/>
          <w:lang w:val="fr-FR"/>
        </w:rPr>
        <w:t xml:space="preserve"> </w:t>
      </w:r>
      <w:r w:rsidRPr="0064476A">
        <w:rPr>
          <w:rFonts w:ascii="Times New Roman" w:hAnsi="Times New Roman" w:cs="Times New Roman"/>
          <w:sz w:val="20"/>
          <w:szCs w:val="20"/>
        </w:rPr>
        <w:t>Zu</w:t>
      </w:r>
      <w:r>
        <w:rPr>
          <w:rFonts w:ascii="Times New Roman" w:hAnsi="Times New Roman" w:cs="Times New Roman"/>
          <w:sz w:val="20"/>
          <w:szCs w:val="20"/>
        </w:rPr>
        <w:t>m Denken</w:t>
      </w:r>
      <w:r w:rsidRPr="0064476A">
        <w:rPr>
          <w:rFonts w:ascii="Times New Roman" w:hAnsi="Times New Roman" w:cs="Times New Roman"/>
          <w:sz w:val="20"/>
          <w:szCs w:val="20"/>
        </w:rPr>
        <w:t xml:space="preserve"> Henry More</w:t>
      </w:r>
      <w:r>
        <w:rPr>
          <w:rFonts w:ascii="Times New Roman" w:hAnsi="Times New Roman" w:cs="Times New Roman"/>
          <w:sz w:val="20"/>
          <w:szCs w:val="20"/>
        </w:rPr>
        <w:t>s</w:t>
      </w:r>
      <w:r w:rsidRPr="0064476A">
        <w:rPr>
          <w:rFonts w:ascii="Times New Roman" w:hAnsi="Times New Roman" w:cs="Times New Roman"/>
          <w:sz w:val="20"/>
          <w:szCs w:val="20"/>
        </w:rPr>
        <w:t xml:space="preserve"> siehe S. Hutin, </w:t>
      </w:r>
      <w:r w:rsidRPr="0064476A">
        <w:rPr>
          <w:rFonts w:ascii="Times New Roman" w:hAnsi="Times New Roman" w:cs="Times New Roman"/>
          <w:i/>
          <w:sz w:val="20"/>
          <w:szCs w:val="20"/>
          <w:lang w:val="fr-FR"/>
        </w:rPr>
        <w:t xml:space="preserve">Note sur la Création chez trois Kabbalistes Chrétiens anglais: Robert Fludd, Henry More und Isaac Newton, </w:t>
      </w:r>
      <w:r w:rsidRPr="0064476A">
        <w:rPr>
          <w:rFonts w:ascii="Times New Roman" w:hAnsi="Times New Roman" w:cs="Times New Roman"/>
          <w:sz w:val="20"/>
          <w:szCs w:val="20"/>
          <w:lang w:val="de-DE"/>
        </w:rPr>
        <w:t>in</w:t>
      </w:r>
      <w:r>
        <w:rPr>
          <w:rFonts w:ascii="Times New Roman" w:hAnsi="Times New Roman" w:cs="Times New Roman"/>
          <w:i/>
          <w:sz w:val="20"/>
          <w:szCs w:val="20"/>
          <w:lang w:val="fr-CA"/>
        </w:rPr>
        <w:t xml:space="preserve"> </w:t>
      </w:r>
      <w:r w:rsidRPr="00EB0077">
        <w:rPr>
          <w:rFonts w:ascii="Times New Roman" w:hAnsi="Times New Roman" w:cs="Times New Roman"/>
          <w:sz w:val="20"/>
          <w:szCs w:val="20"/>
          <w:lang w:val="fr-CA"/>
        </w:rPr>
        <w:t>«Cahiers de l’Hermétisme»,</w:t>
      </w:r>
      <w:r>
        <w:rPr>
          <w:rFonts w:ascii="Times New Roman" w:hAnsi="Times New Roman" w:cs="Times New Roman"/>
          <w:sz w:val="20"/>
          <w:szCs w:val="20"/>
        </w:rPr>
        <w:t xml:space="preserve"> 1979</w:t>
      </w:r>
      <w:r w:rsidRPr="0064476A">
        <w:rPr>
          <w:rFonts w:ascii="Times New Roman" w:hAnsi="Times New Roman" w:cs="Times New Roman"/>
          <w:sz w:val="20"/>
          <w:szCs w:val="20"/>
          <w:lang w:val="fr-CA"/>
        </w:rPr>
        <w:t xml:space="preserve">, </w:t>
      </w:r>
      <w:r>
        <w:rPr>
          <w:rFonts w:ascii="Times New Roman" w:hAnsi="Times New Roman" w:cs="Times New Roman"/>
          <w:sz w:val="20"/>
          <w:szCs w:val="20"/>
          <w:lang w:val="fr-CA"/>
        </w:rPr>
        <w:t xml:space="preserve">S. </w:t>
      </w:r>
      <w:r w:rsidRPr="0064476A">
        <w:rPr>
          <w:rFonts w:ascii="Times New Roman" w:hAnsi="Times New Roman" w:cs="Times New Roman"/>
          <w:sz w:val="20"/>
          <w:szCs w:val="20"/>
          <w:lang w:val="fr-CA"/>
        </w:rPr>
        <w:t xml:space="preserve">151-156; </w:t>
      </w:r>
      <w:r w:rsidRPr="0064476A">
        <w:rPr>
          <w:rFonts w:ascii="Times New Roman" w:hAnsi="Times New Roman" w:cs="Times New Roman"/>
          <w:sz w:val="20"/>
          <w:szCs w:val="20"/>
        </w:rPr>
        <w:t>W. Schmidt-Big</w:t>
      </w:r>
      <w:r>
        <w:rPr>
          <w:rFonts w:ascii="Times New Roman" w:hAnsi="Times New Roman" w:cs="Times New Roman"/>
          <w:sz w:val="20"/>
          <w:szCs w:val="20"/>
        </w:rPr>
        <w:t>ge</w:t>
      </w:r>
      <w:r w:rsidRPr="0064476A">
        <w:rPr>
          <w:rFonts w:ascii="Times New Roman" w:hAnsi="Times New Roman" w:cs="Times New Roman"/>
          <w:sz w:val="20"/>
          <w:szCs w:val="20"/>
        </w:rPr>
        <w:t>man</w:t>
      </w:r>
      <w:r>
        <w:rPr>
          <w:rFonts w:ascii="Times New Roman" w:hAnsi="Times New Roman" w:cs="Times New Roman"/>
          <w:sz w:val="20"/>
          <w:szCs w:val="20"/>
        </w:rPr>
        <w:t>n</w:t>
      </w:r>
      <w:r w:rsidRPr="0064476A">
        <w:rPr>
          <w:rFonts w:ascii="Times New Roman" w:hAnsi="Times New Roman" w:cs="Times New Roman"/>
          <w:sz w:val="20"/>
          <w:szCs w:val="20"/>
        </w:rPr>
        <w:t xml:space="preserve">, </w:t>
      </w:r>
      <w:r w:rsidRPr="0064476A">
        <w:rPr>
          <w:rFonts w:ascii="Times New Roman" w:hAnsi="Times New Roman" w:cs="Times New Roman"/>
          <w:i/>
          <w:sz w:val="20"/>
          <w:szCs w:val="20"/>
          <w:lang w:val="de-DE"/>
        </w:rPr>
        <w:t xml:space="preserve">Geschichte der christlichen Kabbala, </w:t>
      </w:r>
      <w:r w:rsidRPr="0064476A">
        <w:rPr>
          <w:rFonts w:ascii="Times New Roman" w:hAnsi="Times New Roman" w:cs="Times New Roman"/>
          <w:sz w:val="20"/>
          <w:szCs w:val="20"/>
          <w:lang w:val="de-DE"/>
        </w:rPr>
        <w:t>Bd. III, a.a.</w:t>
      </w:r>
      <w:r>
        <w:rPr>
          <w:rFonts w:ascii="Times New Roman" w:hAnsi="Times New Roman" w:cs="Times New Roman"/>
          <w:sz w:val="20"/>
          <w:szCs w:val="20"/>
          <w:lang w:val="de-DE"/>
        </w:rPr>
        <w:t>O., S</w:t>
      </w:r>
      <w:r w:rsidRPr="0064476A">
        <w:rPr>
          <w:rFonts w:ascii="Times New Roman" w:hAnsi="Times New Roman" w:cs="Times New Roman"/>
          <w:sz w:val="20"/>
          <w:szCs w:val="20"/>
          <w:lang w:val="de-DE"/>
        </w:rPr>
        <w:t xml:space="preserve">. 181-182; </w:t>
      </w:r>
      <w:r w:rsidRPr="0064476A">
        <w:rPr>
          <w:rFonts w:ascii="Times New Roman" w:hAnsi="Times New Roman" w:cs="Times New Roman"/>
          <w:sz w:val="20"/>
          <w:szCs w:val="20"/>
          <w:lang w:val="fr-CA"/>
        </w:rPr>
        <w:t xml:space="preserve">C. Schulte, </w:t>
      </w:r>
      <w:r w:rsidRPr="0064476A">
        <w:rPr>
          <w:rFonts w:ascii="Times New Roman" w:hAnsi="Times New Roman" w:cs="Times New Roman"/>
          <w:i/>
          <w:sz w:val="20"/>
          <w:szCs w:val="20"/>
          <w:lang w:val="fr-CA"/>
        </w:rPr>
        <w:t xml:space="preserve">Henry More, Anne Conway, Joseph Raphson, Isaac Newton: Der Zimzum in Cambridge, </w:t>
      </w:r>
      <w:r w:rsidRPr="0064476A">
        <w:rPr>
          <w:rFonts w:ascii="Times New Roman" w:hAnsi="Times New Roman" w:cs="Times New Roman"/>
          <w:sz w:val="20"/>
          <w:szCs w:val="20"/>
          <w:lang w:val="fr-CA"/>
        </w:rPr>
        <w:t xml:space="preserve">in </w:t>
      </w:r>
      <w:r w:rsidRPr="0064476A">
        <w:rPr>
          <w:rFonts w:ascii="Times New Roman" w:hAnsi="Times New Roman" w:cs="Times New Roman"/>
          <w:i/>
          <w:sz w:val="20"/>
          <w:szCs w:val="20"/>
          <w:lang w:val="fr-CA"/>
        </w:rPr>
        <w:t>Zimzum</w:t>
      </w:r>
      <w:r w:rsidRPr="0064476A">
        <w:rPr>
          <w:rFonts w:ascii="Times New Roman" w:hAnsi="Times New Roman" w:cs="Times New Roman"/>
          <w:sz w:val="20"/>
          <w:szCs w:val="20"/>
          <w:lang w:val="fr-CA"/>
        </w:rPr>
        <w:t>, a.a.</w:t>
      </w:r>
      <w:r>
        <w:rPr>
          <w:rFonts w:ascii="Times New Roman" w:hAnsi="Times New Roman" w:cs="Times New Roman"/>
          <w:sz w:val="20"/>
          <w:szCs w:val="20"/>
          <w:lang w:val="fr-CA"/>
        </w:rPr>
        <w:t>O., S</w:t>
      </w:r>
      <w:r w:rsidRPr="0064476A">
        <w:rPr>
          <w:rFonts w:ascii="Times New Roman" w:hAnsi="Times New Roman" w:cs="Times New Roman"/>
          <w:sz w:val="20"/>
          <w:szCs w:val="20"/>
          <w:lang w:val="fr-CA"/>
        </w:rPr>
        <w:t>. 161-168.</w:t>
      </w:r>
    </w:p>
  </w:footnote>
  <w:footnote w:id="965">
    <w:p w14:paraId="6582CC7C" w14:textId="77777777" w:rsidR="00B34CC2" w:rsidRPr="009963FE" w:rsidRDefault="00B34CC2" w:rsidP="001C3D81">
      <w:pPr>
        <w:pStyle w:val="Testonotaapidipagina"/>
        <w:jc w:val="both"/>
        <w:rPr>
          <w:rFonts w:ascii="Times New Roman" w:hAnsi="Times New Roman" w:cs="Times New Roman"/>
          <w:sz w:val="20"/>
          <w:szCs w:val="20"/>
        </w:rPr>
      </w:pPr>
      <w:r w:rsidRPr="009963FE">
        <w:rPr>
          <w:rStyle w:val="Rimandonotaapidipagina"/>
          <w:rFonts w:ascii="Times New Roman" w:hAnsi="Times New Roman" w:cs="Times New Roman"/>
          <w:sz w:val="20"/>
          <w:szCs w:val="20"/>
        </w:rPr>
        <w:footnoteRef/>
      </w:r>
      <w:r w:rsidRPr="009963FE">
        <w:rPr>
          <w:rFonts w:ascii="Times New Roman" w:hAnsi="Times New Roman" w:cs="Times New Roman"/>
          <w:i/>
          <w:sz w:val="20"/>
          <w:szCs w:val="20"/>
        </w:rPr>
        <w:t xml:space="preserve"> </w:t>
      </w:r>
      <w:r>
        <w:rPr>
          <w:rFonts w:ascii="Times New Roman" w:hAnsi="Times New Roman" w:cs="Times New Roman"/>
          <w:sz w:val="20"/>
          <w:szCs w:val="20"/>
        </w:rPr>
        <w:t xml:space="preserve">H. More, </w:t>
      </w:r>
      <w:r w:rsidRPr="009963FE">
        <w:rPr>
          <w:rFonts w:ascii="Times New Roman" w:hAnsi="Times New Roman" w:cs="Times New Roman"/>
          <w:i/>
          <w:sz w:val="20"/>
          <w:szCs w:val="20"/>
        </w:rPr>
        <w:t>Fundamenta Philosophiae sive Cabbalae Aëto-Paedo-Melissae</w:t>
      </w:r>
      <w:r>
        <w:rPr>
          <w:rFonts w:ascii="Times New Roman" w:hAnsi="Times New Roman" w:cs="Times New Roman"/>
          <w:sz w:val="20"/>
          <w:szCs w:val="20"/>
        </w:rPr>
        <w:t xml:space="preserve">, in </w:t>
      </w:r>
      <w:r w:rsidRPr="009963FE">
        <w:rPr>
          <w:rFonts w:ascii="Times New Roman" w:hAnsi="Times New Roman" w:cs="Times New Roman"/>
          <w:i/>
          <w:sz w:val="20"/>
          <w:szCs w:val="20"/>
        </w:rPr>
        <w:t xml:space="preserve">Kabbala Denudata, </w:t>
      </w:r>
      <w:r>
        <w:rPr>
          <w:rFonts w:ascii="Times New Roman" w:hAnsi="Times New Roman" w:cs="Times New Roman"/>
          <w:sz w:val="20"/>
          <w:szCs w:val="20"/>
        </w:rPr>
        <w:t>a.a.O., S. 293-294.</w:t>
      </w:r>
    </w:p>
  </w:footnote>
  <w:footnote w:id="966">
    <w:p w14:paraId="65EB9047" w14:textId="77777777" w:rsidR="00B34CC2" w:rsidRPr="008A6520" w:rsidRDefault="00B34CC2" w:rsidP="001C3D81">
      <w:pPr>
        <w:pStyle w:val="Testonotaapidipagina"/>
        <w:jc w:val="both"/>
      </w:pPr>
      <w:r w:rsidRPr="00DC7702">
        <w:rPr>
          <w:rStyle w:val="Rimandonotaapidipagina"/>
          <w:rFonts w:ascii="Times New Roman" w:hAnsi="Times New Roman" w:cs="Times New Roman"/>
          <w:sz w:val="20"/>
          <w:szCs w:val="20"/>
        </w:rPr>
        <w:footnoteRef/>
      </w:r>
      <w:r>
        <w:rPr>
          <w:rFonts w:ascii="Times New Roman" w:hAnsi="Times New Roman" w:cs="Times New Roman"/>
          <w:sz w:val="20"/>
          <w:szCs w:val="20"/>
        </w:rPr>
        <w:t xml:space="preserve"> </w:t>
      </w:r>
      <w:r w:rsidRPr="008A6520">
        <w:rPr>
          <w:rFonts w:ascii="Times" w:hAnsi="Times"/>
          <w:sz w:val="20"/>
          <w:szCs w:val="20"/>
        </w:rPr>
        <w:t>Ebd</w:t>
      </w:r>
      <w:r>
        <w:rPr>
          <w:rFonts w:ascii="Times" w:hAnsi="Times"/>
          <w:sz w:val="20"/>
          <w:szCs w:val="20"/>
        </w:rPr>
        <w:t xml:space="preserve">., </w:t>
      </w:r>
      <w:r>
        <w:rPr>
          <w:rFonts w:ascii="Times New Roman" w:hAnsi="Times New Roman" w:cs="Times New Roman"/>
          <w:sz w:val="20"/>
          <w:szCs w:val="20"/>
        </w:rPr>
        <w:t>S</w:t>
      </w:r>
      <w:r w:rsidRPr="008D7173">
        <w:rPr>
          <w:rFonts w:ascii="Times New Roman" w:hAnsi="Times New Roman" w:cs="Times New Roman"/>
          <w:sz w:val="20"/>
          <w:szCs w:val="20"/>
        </w:rPr>
        <w:t>. 311.</w:t>
      </w:r>
    </w:p>
  </w:footnote>
  <w:footnote w:id="967">
    <w:p w14:paraId="190AEED4" w14:textId="77777777" w:rsidR="00B34CC2" w:rsidRPr="008A6520" w:rsidRDefault="00B34CC2" w:rsidP="001C3D81">
      <w:pPr>
        <w:pStyle w:val="Testonotaapidipagina"/>
        <w:jc w:val="both"/>
        <w:rPr>
          <w:rFonts w:ascii="Times New Roman" w:hAnsi="Times New Roman" w:cs="Times New Roman"/>
          <w:sz w:val="20"/>
          <w:szCs w:val="20"/>
        </w:rPr>
      </w:pPr>
      <w:r w:rsidRPr="008A6520">
        <w:rPr>
          <w:rStyle w:val="Rimandonotaapidipagina"/>
          <w:rFonts w:ascii="Times New Roman" w:hAnsi="Times New Roman" w:cs="Times New Roman"/>
          <w:sz w:val="20"/>
          <w:szCs w:val="20"/>
        </w:rPr>
        <w:footnoteRef/>
      </w:r>
      <w:r w:rsidRPr="008A6520">
        <w:rPr>
          <w:rFonts w:ascii="Times New Roman" w:hAnsi="Times New Roman" w:cs="Times New Roman"/>
          <w:sz w:val="20"/>
          <w:szCs w:val="20"/>
        </w:rPr>
        <w:t xml:space="preserve"> Ebd., S. 311.</w:t>
      </w:r>
    </w:p>
  </w:footnote>
  <w:footnote w:id="968">
    <w:p w14:paraId="5378F83B" w14:textId="77777777" w:rsidR="00B34CC2" w:rsidRPr="008A6520" w:rsidRDefault="00B34CC2" w:rsidP="001C3D81">
      <w:pPr>
        <w:pStyle w:val="Testonotaapidipagina"/>
        <w:jc w:val="both"/>
      </w:pPr>
      <w:r w:rsidRPr="008D7173">
        <w:rPr>
          <w:rStyle w:val="Rimandonotaapidipagina"/>
          <w:rFonts w:ascii="Times New Roman" w:hAnsi="Times New Roman" w:cs="Times New Roman"/>
          <w:sz w:val="20"/>
          <w:szCs w:val="20"/>
        </w:rPr>
        <w:footnoteRef/>
      </w:r>
      <w:r w:rsidRPr="008D7173">
        <w:rPr>
          <w:rFonts w:ascii="Times New Roman" w:hAnsi="Times New Roman" w:cs="Times New Roman"/>
          <w:sz w:val="20"/>
          <w:szCs w:val="20"/>
        </w:rPr>
        <w:t xml:space="preserve"> </w:t>
      </w:r>
      <w:r w:rsidRPr="008A6520">
        <w:rPr>
          <w:rFonts w:ascii="Times" w:hAnsi="Times"/>
          <w:sz w:val="20"/>
          <w:szCs w:val="20"/>
        </w:rPr>
        <w:t>Ebd.</w:t>
      </w:r>
      <w:r>
        <w:rPr>
          <w:rFonts w:ascii="Times" w:hAnsi="Times"/>
          <w:sz w:val="20"/>
          <w:szCs w:val="20"/>
        </w:rPr>
        <w:t xml:space="preserve">, </w:t>
      </w:r>
      <w:r w:rsidRPr="008D7173">
        <w:rPr>
          <w:rFonts w:ascii="Times New Roman" w:hAnsi="Times New Roman" w:cs="Times New Roman"/>
          <w:sz w:val="20"/>
          <w:szCs w:val="20"/>
        </w:rPr>
        <w:t>S. 310.</w:t>
      </w:r>
    </w:p>
  </w:footnote>
  <w:footnote w:id="969">
    <w:p w14:paraId="62D7D8A2" w14:textId="342CDF90" w:rsidR="00B34CC2" w:rsidRPr="001D31C4" w:rsidRDefault="00B34CC2" w:rsidP="001C3D81">
      <w:pPr>
        <w:pStyle w:val="Testonotaapidipagina"/>
        <w:jc w:val="both"/>
        <w:rPr>
          <w:rFonts w:ascii="Times New Roman" w:hAnsi="Times New Roman" w:cs="Times New Roman"/>
          <w:sz w:val="20"/>
          <w:szCs w:val="20"/>
        </w:rPr>
      </w:pPr>
      <w:r w:rsidRPr="001D31C4">
        <w:rPr>
          <w:rStyle w:val="Rimandonotaapidipagina"/>
          <w:rFonts w:ascii="Times New Roman" w:hAnsi="Times New Roman" w:cs="Times New Roman"/>
          <w:sz w:val="20"/>
          <w:szCs w:val="20"/>
        </w:rPr>
        <w:footnoteRef/>
      </w:r>
      <w:r>
        <w:rPr>
          <w:rFonts w:ascii="Times New Roman" w:hAnsi="Times New Roman" w:cs="Times New Roman"/>
          <w:i/>
          <w:sz w:val="20"/>
          <w:szCs w:val="20"/>
        </w:rPr>
        <w:t xml:space="preserve"> </w:t>
      </w:r>
      <w:r>
        <w:rPr>
          <w:rFonts w:ascii="Times New Roman" w:hAnsi="Times New Roman" w:cs="Times New Roman"/>
          <w:sz w:val="20"/>
          <w:szCs w:val="20"/>
        </w:rPr>
        <w:t>Vgl</w:t>
      </w:r>
      <w:r w:rsidRPr="00ED52D7">
        <w:rPr>
          <w:rFonts w:ascii="Times New Roman" w:hAnsi="Times New Roman" w:cs="Times New Roman"/>
          <w:sz w:val="20"/>
          <w:szCs w:val="20"/>
        </w:rPr>
        <w:t xml:space="preserve">. J. G. Wachter, </w:t>
      </w:r>
      <w:r>
        <w:rPr>
          <w:rFonts w:ascii="Times New Roman" w:hAnsi="Times New Roman" w:cs="Times New Roman"/>
          <w:i/>
          <w:sz w:val="20"/>
          <w:szCs w:val="20"/>
        </w:rPr>
        <w:t>Spinozismus in Jü</w:t>
      </w:r>
      <w:r w:rsidRPr="00ED52D7">
        <w:rPr>
          <w:rFonts w:ascii="Times New Roman" w:hAnsi="Times New Roman" w:cs="Times New Roman"/>
          <w:i/>
          <w:sz w:val="20"/>
          <w:szCs w:val="20"/>
        </w:rPr>
        <w:t>denthumb, oder die von dem heütigen Jüdenthumb und dessen geheimen Kabbala</w:t>
      </w:r>
      <w:r>
        <w:rPr>
          <w:rFonts w:ascii="Times New Roman" w:hAnsi="Times New Roman" w:cs="Times New Roman"/>
          <w:sz w:val="20"/>
          <w:szCs w:val="20"/>
        </w:rPr>
        <w:t>, Amsterdam</w:t>
      </w:r>
      <w:r w:rsidRPr="00ED52D7">
        <w:rPr>
          <w:rFonts w:ascii="Times New Roman" w:hAnsi="Times New Roman" w:cs="Times New Roman"/>
          <w:sz w:val="20"/>
          <w:szCs w:val="20"/>
        </w:rPr>
        <w:t xml:space="preserve"> 1699</w:t>
      </w:r>
      <w:r>
        <w:rPr>
          <w:rFonts w:ascii="Times New Roman" w:hAnsi="Times New Roman" w:cs="Times New Roman"/>
          <w:sz w:val="20"/>
          <w:szCs w:val="20"/>
        </w:rPr>
        <w:t>, S. 101-102.</w:t>
      </w:r>
    </w:p>
  </w:footnote>
  <w:footnote w:id="970">
    <w:p w14:paraId="0D9E9998" w14:textId="77777777" w:rsidR="00B34CC2" w:rsidRPr="008A6520" w:rsidRDefault="00B34CC2" w:rsidP="001C3D81">
      <w:pPr>
        <w:pStyle w:val="Testonotaapidipagina"/>
        <w:jc w:val="both"/>
      </w:pPr>
      <w:r w:rsidRPr="001D31C4">
        <w:rPr>
          <w:rStyle w:val="Rimandonotaapidipagina"/>
          <w:rFonts w:ascii="Times New Roman" w:hAnsi="Times New Roman" w:cs="Times New Roman"/>
          <w:sz w:val="20"/>
          <w:szCs w:val="20"/>
        </w:rPr>
        <w:footnoteRef/>
      </w:r>
      <w:r>
        <w:rPr>
          <w:rFonts w:ascii="Times New Roman" w:hAnsi="Times New Roman" w:cs="Times New Roman"/>
          <w:i/>
          <w:sz w:val="20"/>
          <w:szCs w:val="20"/>
        </w:rPr>
        <w:t xml:space="preserve"> </w:t>
      </w:r>
      <w:r w:rsidRPr="008A6520">
        <w:rPr>
          <w:rFonts w:ascii="Times" w:hAnsi="Times"/>
          <w:sz w:val="20"/>
          <w:szCs w:val="20"/>
        </w:rPr>
        <w:t>Ebd.</w:t>
      </w:r>
      <w:r>
        <w:rPr>
          <w:rFonts w:ascii="Times New Roman" w:hAnsi="Times New Roman" w:cs="Times New Roman"/>
          <w:sz w:val="20"/>
          <w:szCs w:val="20"/>
        </w:rPr>
        <w:t>, S. 23.</w:t>
      </w:r>
    </w:p>
  </w:footnote>
  <w:footnote w:id="971">
    <w:p w14:paraId="18770E6C" w14:textId="77777777" w:rsidR="00B34CC2" w:rsidRPr="008A6520" w:rsidRDefault="00B34CC2" w:rsidP="001C3D81">
      <w:pPr>
        <w:pStyle w:val="Testonotaapidipagina"/>
        <w:jc w:val="both"/>
      </w:pPr>
      <w:r w:rsidRPr="006A4A9C">
        <w:rPr>
          <w:rStyle w:val="Rimandonotaapidipagina"/>
          <w:rFonts w:ascii="Times New Roman" w:hAnsi="Times New Roman" w:cs="Times New Roman"/>
          <w:sz w:val="20"/>
          <w:szCs w:val="20"/>
        </w:rPr>
        <w:footnoteRef/>
      </w:r>
      <w:r>
        <w:rPr>
          <w:rFonts w:ascii="Times New Roman" w:hAnsi="Times New Roman" w:cs="Times New Roman"/>
          <w:i/>
          <w:sz w:val="20"/>
          <w:szCs w:val="20"/>
        </w:rPr>
        <w:t xml:space="preserve"> </w:t>
      </w:r>
      <w:r w:rsidRPr="008A6520">
        <w:rPr>
          <w:rFonts w:ascii="Times" w:hAnsi="Times"/>
          <w:sz w:val="20"/>
          <w:szCs w:val="20"/>
        </w:rPr>
        <w:t>Ebd.</w:t>
      </w:r>
      <w:r>
        <w:rPr>
          <w:rFonts w:ascii="Times New Roman" w:hAnsi="Times New Roman" w:cs="Times New Roman"/>
          <w:sz w:val="20"/>
          <w:szCs w:val="20"/>
        </w:rPr>
        <w:t>, S. 81.</w:t>
      </w:r>
    </w:p>
  </w:footnote>
  <w:footnote w:id="972">
    <w:p w14:paraId="2A711389" w14:textId="77777777" w:rsidR="00B34CC2" w:rsidRPr="008A6520" w:rsidRDefault="00B34CC2" w:rsidP="001C3D81">
      <w:pPr>
        <w:pStyle w:val="Testonotaapidipagina"/>
        <w:jc w:val="both"/>
      </w:pPr>
      <w:r w:rsidRPr="00636DF3">
        <w:rPr>
          <w:rStyle w:val="Rimandonotaapidipagina"/>
          <w:rFonts w:ascii="Times New Roman" w:hAnsi="Times New Roman" w:cs="Times New Roman"/>
          <w:sz w:val="20"/>
          <w:szCs w:val="20"/>
        </w:rPr>
        <w:footnoteRef/>
      </w:r>
      <w:r>
        <w:rPr>
          <w:rFonts w:ascii="Times New Roman" w:hAnsi="Times New Roman" w:cs="Times New Roman"/>
          <w:i/>
          <w:sz w:val="20"/>
          <w:szCs w:val="20"/>
        </w:rPr>
        <w:t xml:space="preserve"> </w:t>
      </w:r>
      <w:r w:rsidRPr="008A6520">
        <w:rPr>
          <w:rFonts w:ascii="Times" w:hAnsi="Times"/>
          <w:sz w:val="20"/>
          <w:szCs w:val="20"/>
        </w:rPr>
        <w:t>Ebd.</w:t>
      </w:r>
      <w:r w:rsidRPr="00636DF3">
        <w:rPr>
          <w:rFonts w:ascii="Times New Roman" w:hAnsi="Times New Roman" w:cs="Times New Roman"/>
          <w:sz w:val="20"/>
          <w:szCs w:val="20"/>
        </w:rPr>
        <w:t>, S. 97.</w:t>
      </w:r>
    </w:p>
  </w:footnote>
  <w:footnote w:id="973">
    <w:p w14:paraId="4F07417D" w14:textId="77777777" w:rsidR="00B34CC2" w:rsidRPr="008A6520" w:rsidRDefault="00B34CC2" w:rsidP="001C3D81">
      <w:pPr>
        <w:pStyle w:val="Testonotaapidipagina"/>
        <w:jc w:val="both"/>
      </w:pPr>
      <w:r w:rsidRPr="00426376">
        <w:rPr>
          <w:rStyle w:val="Rimandonotaapidipagina"/>
          <w:rFonts w:ascii="Times New Roman" w:hAnsi="Times New Roman" w:cs="Times New Roman"/>
          <w:sz w:val="20"/>
          <w:szCs w:val="20"/>
        </w:rPr>
        <w:footnoteRef/>
      </w:r>
      <w:r>
        <w:rPr>
          <w:rFonts w:ascii="Times New Roman" w:hAnsi="Times New Roman" w:cs="Times New Roman"/>
          <w:i/>
          <w:sz w:val="20"/>
          <w:szCs w:val="20"/>
        </w:rPr>
        <w:t xml:space="preserve"> </w:t>
      </w:r>
      <w:r w:rsidRPr="008A6520">
        <w:rPr>
          <w:rFonts w:ascii="Times" w:hAnsi="Times"/>
          <w:sz w:val="20"/>
          <w:szCs w:val="20"/>
        </w:rPr>
        <w:t>Ebd.</w:t>
      </w:r>
      <w:r>
        <w:rPr>
          <w:rFonts w:ascii="Times New Roman" w:hAnsi="Times New Roman" w:cs="Times New Roman"/>
          <w:sz w:val="20"/>
          <w:szCs w:val="20"/>
        </w:rPr>
        <w:t>, S. 95.</w:t>
      </w:r>
    </w:p>
  </w:footnote>
  <w:footnote w:id="974">
    <w:p w14:paraId="646846A1" w14:textId="77777777" w:rsidR="00B34CC2" w:rsidRPr="008A6520" w:rsidRDefault="00B34CC2" w:rsidP="001C3D81">
      <w:pPr>
        <w:pStyle w:val="Testonotaapidipagina"/>
        <w:jc w:val="both"/>
      </w:pPr>
      <w:r w:rsidRPr="00636DF3">
        <w:rPr>
          <w:rStyle w:val="Rimandonotaapidipagina"/>
          <w:rFonts w:ascii="Times New Roman" w:hAnsi="Times New Roman" w:cs="Times New Roman"/>
          <w:sz w:val="20"/>
          <w:szCs w:val="20"/>
        </w:rPr>
        <w:footnoteRef/>
      </w:r>
      <w:r w:rsidRPr="00636DF3">
        <w:rPr>
          <w:rFonts w:ascii="Times New Roman" w:hAnsi="Times New Roman" w:cs="Times New Roman"/>
          <w:i/>
          <w:sz w:val="20"/>
          <w:szCs w:val="20"/>
        </w:rPr>
        <w:t xml:space="preserve"> </w:t>
      </w:r>
      <w:r w:rsidRPr="008A6520">
        <w:rPr>
          <w:rFonts w:ascii="Times" w:hAnsi="Times"/>
          <w:sz w:val="20"/>
          <w:szCs w:val="20"/>
        </w:rPr>
        <w:t>Ebd.</w:t>
      </w:r>
      <w:r w:rsidRPr="00636DF3">
        <w:rPr>
          <w:rFonts w:ascii="Times New Roman" w:hAnsi="Times New Roman" w:cs="Times New Roman"/>
          <w:sz w:val="20"/>
          <w:szCs w:val="20"/>
        </w:rPr>
        <w:t>, S. 97.</w:t>
      </w:r>
    </w:p>
  </w:footnote>
  <w:footnote w:id="975">
    <w:p w14:paraId="0F6A6FC0" w14:textId="77777777" w:rsidR="00B34CC2" w:rsidRPr="008A6520" w:rsidRDefault="00B34CC2" w:rsidP="001C3D81">
      <w:pPr>
        <w:pStyle w:val="Testonotaapidipagina"/>
        <w:jc w:val="both"/>
      </w:pPr>
      <w:r w:rsidRPr="00DD4EB4">
        <w:rPr>
          <w:rStyle w:val="Rimandonotaapidipagina"/>
          <w:rFonts w:ascii="Times New Roman" w:hAnsi="Times New Roman" w:cs="Times New Roman"/>
          <w:sz w:val="20"/>
          <w:szCs w:val="20"/>
        </w:rPr>
        <w:footnoteRef/>
      </w:r>
      <w:r>
        <w:rPr>
          <w:rFonts w:ascii="Times New Roman" w:hAnsi="Times New Roman" w:cs="Times New Roman"/>
          <w:i/>
          <w:sz w:val="20"/>
          <w:szCs w:val="20"/>
        </w:rPr>
        <w:t xml:space="preserve"> </w:t>
      </w:r>
      <w:r w:rsidRPr="008A6520">
        <w:rPr>
          <w:rFonts w:ascii="Times" w:hAnsi="Times"/>
          <w:sz w:val="20"/>
          <w:szCs w:val="20"/>
        </w:rPr>
        <w:t>Ebd.</w:t>
      </w:r>
      <w:r w:rsidRPr="00DD4EB4">
        <w:rPr>
          <w:rFonts w:ascii="Times New Roman" w:hAnsi="Times New Roman" w:cs="Times New Roman"/>
          <w:sz w:val="20"/>
          <w:szCs w:val="20"/>
        </w:rPr>
        <w:t>, S. 93.</w:t>
      </w:r>
    </w:p>
  </w:footnote>
  <w:footnote w:id="976">
    <w:p w14:paraId="014DC363" w14:textId="77777777" w:rsidR="00B34CC2" w:rsidRPr="008A6520" w:rsidRDefault="00B34CC2" w:rsidP="001C3D81">
      <w:pPr>
        <w:pStyle w:val="Testonotaapidipagina"/>
        <w:jc w:val="both"/>
      </w:pPr>
      <w:r w:rsidRPr="00DD4EB4">
        <w:rPr>
          <w:rStyle w:val="Rimandonotaapidipagina"/>
          <w:rFonts w:ascii="Times New Roman" w:hAnsi="Times New Roman" w:cs="Times New Roman"/>
          <w:sz w:val="20"/>
          <w:szCs w:val="20"/>
        </w:rPr>
        <w:footnoteRef/>
      </w:r>
      <w:r>
        <w:rPr>
          <w:rFonts w:ascii="Times" w:hAnsi="Times"/>
          <w:sz w:val="20"/>
          <w:szCs w:val="20"/>
        </w:rPr>
        <w:t xml:space="preserve"> </w:t>
      </w:r>
      <w:r w:rsidRPr="008A6520">
        <w:rPr>
          <w:rFonts w:ascii="Times" w:hAnsi="Times"/>
          <w:sz w:val="20"/>
          <w:szCs w:val="20"/>
        </w:rPr>
        <w:t>Ebd.</w:t>
      </w:r>
      <w:r>
        <w:rPr>
          <w:rFonts w:ascii="Times New Roman" w:hAnsi="Times New Roman" w:cs="Times New Roman"/>
          <w:sz w:val="20"/>
          <w:szCs w:val="20"/>
        </w:rPr>
        <w:t>, S. 95</w:t>
      </w:r>
      <w:r w:rsidRPr="00DD4EB4">
        <w:rPr>
          <w:rFonts w:ascii="Times New Roman" w:hAnsi="Times New Roman" w:cs="Times New Roman"/>
          <w:sz w:val="20"/>
          <w:szCs w:val="20"/>
        </w:rPr>
        <w:t>.</w:t>
      </w:r>
    </w:p>
  </w:footnote>
  <w:footnote w:id="977">
    <w:p w14:paraId="1F4D6E01" w14:textId="77777777" w:rsidR="00B34CC2" w:rsidRPr="008A6520" w:rsidRDefault="00B34CC2" w:rsidP="001C3D81">
      <w:pPr>
        <w:pStyle w:val="Testonotaapidipagina"/>
        <w:jc w:val="both"/>
      </w:pPr>
      <w:r w:rsidRPr="00DD4EB4">
        <w:rPr>
          <w:rStyle w:val="Rimandonotaapidipagina"/>
          <w:rFonts w:ascii="Times New Roman" w:hAnsi="Times New Roman" w:cs="Times New Roman"/>
          <w:sz w:val="20"/>
          <w:szCs w:val="20"/>
        </w:rPr>
        <w:footnoteRef/>
      </w:r>
      <w:r>
        <w:rPr>
          <w:rFonts w:ascii="Times New Roman" w:hAnsi="Times New Roman" w:cs="Times New Roman"/>
          <w:i/>
          <w:sz w:val="20"/>
          <w:szCs w:val="20"/>
        </w:rPr>
        <w:t xml:space="preserve"> </w:t>
      </w:r>
      <w:r w:rsidRPr="008A6520">
        <w:rPr>
          <w:rFonts w:ascii="Times" w:hAnsi="Times"/>
          <w:sz w:val="20"/>
          <w:szCs w:val="20"/>
        </w:rPr>
        <w:t>Ebd.</w:t>
      </w:r>
      <w:r w:rsidRPr="00DD4EB4">
        <w:rPr>
          <w:rFonts w:ascii="Times New Roman" w:hAnsi="Times New Roman" w:cs="Times New Roman"/>
          <w:sz w:val="20"/>
          <w:szCs w:val="20"/>
        </w:rPr>
        <w:t>, S. 94.</w:t>
      </w:r>
    </w:p>
  </w:footnote>
  <w:footnote w:id="978">
    <w:p w14:paraId="7881E950" w14:textId="77777777" w:rsidR="00B34CC2" w:rsidRPr="003B104E" w:rsidRDefault="00B34CC2" w:rsidP="001C3D81">
      <w:pPr>
        <w:pStyle w:val="Testonotaapidipagina"/>
        <w:jc w:val="both"/>
        <w:rPr>
          <w:rFonts w:ascii="Times New Roman" w:hAnsi="Times New Roman" w:cs="Times New Roman"/>
          <w:sz w:val="20"/>
          <w:szCs w:val="20"/>
        </w:rPr>
      </w:pPr>
      <w:r w:rsidRPr="003B104E">
        <w:rPr>
          <w:rStyle w:val="Rimandonotaapidipagina"/>
          <w:rFonts w:ascii="Times New Roman" w:hAnsi="Times New Roman" w:cs="Times New Roman"/>
          <w:sz w:val="20"/>
          <w:szCs w:val="20"/>
        </w:rPr>
        <w:footnoteRef/>
      </w:r>
      <w:r w:rsidRPr="003B104E">
        <w:rPr>
          <w:rFonts w:ascii="Times New Roman" w:hAnsi="Times New Roman" w:cs="Times New Roman"/>
          <w:i/>
          <w:sz w:val="20"/>
          <w:szCs w:val="20"/>
        </w:rPr>
        <w:t xml:space="preserve"> </w:t>
      </w:r>
      <w:r w:rsidRPr="003B104E">
        <w:rPr>
          <w:rFonts w:ascii="Times New Roman" w:hAnsi="Times New Roman" w:cs="Times New Roman"/>
          <w:sz w:val="20"/>
          <w:szCs w:val="20"/>
        </w:rPr>
        <w:t xml:space="preserve">J. G. Wachter, </w:t>
      </w:r>
      <w:r w:rsidRPr="003B104E">
        <w:rPr>
          <w:rFonts w:ascii="Times New Roman" w:hAnsi="Times New Roman" w:cs="Times New Roman"/>
          <w:i/>
          <w:sz w:val="20"/>
          <w:szCs w:val="20"/>
        </w:rPr>
        <w:t xml:space="preserve">Elucidarius Cabalisticus, </w:t>
      </w:r>
      <w:r w:rsidRPr="003B104E">
        <w:rPr>
          <w:rFonts w:ascii="Times New Roman" w:hAnsi="Times New Roman" w:cs="Times New Roman"/>
          <w:sz w:val="20"/>
          <w:szCs w:val="20"/>
        </w:rPr>
        <w:t>Rom</w:t>
      </w:r>
      <w:r>
        <w:rPr>
          <w:rFonts w:ascii="Times New Roman" w:hAnsi="Times New Roman" w:cs="Times New Roman"/>
          <w:sz w:val="20"/>
          <w:szCs w:val="20"/>
        </w:rPr>
        <w:t xml:space="preserve">a </w:t>
      </w:r>
      <w:r w:rsidRPr="003B104E">
        <w:rPr>
          <w:rFonts w:ascii="Times New Roman" w:hAnsi="Times New Roman" w:cs="Times New Roman"/>
          <w:sz w:val="20"/>
          <w:szCs w:val="20"/>
        </w:rPr>
        <w:t xml:space="preserve">1706, S. </w:t>
      </w:r>
      <w:r>
        <w:rPr>
          <w:rFonts w:ascii="Times New Roman" w:hAnsi="Times New Roman" w:cs="Times New Roman"/>
          <w:sz w:val="20"/>
          <w:szCs w:val="20"/>
        </w:rPr>
        <w:t>46-</w:t>
      </w:r>
      <w:r w:rsidRPr="003B104E">
        <w:rPr>
          <w:rFonts w:ascii="Times New Roman" w:hAnsi="Times New Roman" w:cs="Times New Roman"/>
          <w:sz w:val="20"/>
          <w:szCs w:val="20"/>
        </w:rPr>
        <w:t>47.</w:t>
      </w:r>
    </w:p>
  </w:footnote>
  <w:footnote w:id="979">
    <w:p w14:paraId="2AE09C4F" w14:textId="77777777" w:rsidR="00B34CC2" w:rsidRPr="008A6520" w:rsidRDefault="00B34CC2" w:rsidP="001C3D81">
      <w:pPr>
        <w:pStyle w:val="Testonotaapidipagina"/>
        <w:jc w:val="both"/>
      </w:pPr>
      <w:r w:rsidRPr="003B104E">
        <w:rPr>
          <w:rStyle w:val="Rimandonotaapidipagina"/>
          <w:rFonts w:ascii="Times New Roman" w:hAnsi="Times New Roman" w:cs="Times New Roman"/>
          <w:sz w:val="20"/>
          <w:szCs w:val="20"/>
        </w:rPr>
        <w:footnoteRef/>
      </w:r>
      <w:r>
        <w:rPr>
          <w:rFonts w:ascii="Times New Roman" w:hAnsi="Times New Roman" w:cs="Times New Roman"/>
          <w:i/>
          <w:sz w:val="20"/>
          <w:szCs w:val="20"/>
        </w:rPr>
        <w:t xml:space="preserve"> </w:t>
      </w:r>
      <w:r w:rsidRPr="008A6520">
        <w:rPr>
          <w:rFonts w:ascii="Times" w:hAnsi="Times"/>
          <w:sz w:val="20"/>
          <w:szCs w:val="20"/>
        </w:rPr>
        <w:t>Ebd.</w:t>
      </w:r>
      <w:r w:rsidRPr="003B104E">
        <w:rPr>
          <w:rFonts w:ascii="Times New Roman" w:hAnsi="Times New Roman" w:cs="Times New Roman"/>
          <w:sz w:val="20"/>
          <w:szCs w:val="20"/>
        </w:rPr>
        <w:t>, S. 31.</w:t>
      </w:r>
    </w:p>
  </w:footnote>
  <w:footnote w:id="980">
    <w:p w14:paraId="05D956B3" w14:textId="3E0A44D5" w:rsidR="00B34CC2" w:rsidRDefault="00B34CC2" w:rsidP="001C3D81">
      <w:pPr>
        <w:pStyle w:val="Testonotaapidipagina"/>
        <w:jc w:val="both"/>
      </w:pPr>
      <w:r w:rsidRPr="003B104E">
        <w:rPr>
          <w:rStyle w:val="Rimandonotaapidipagina"/>
          <w:rFonts w:ascii="Times New Roman" w:hAnsi="Times New Roman" w:cs="Times New Roman"/>
          <w:sz w:val="20"/>
          <w:szCs w:val="20"/>
        </w:rPr>
        <w:footnoteRef/>
      </w:r>
      <w:r w:rsidRPr="003B104E">
        <w:rPr>
          <w:rFonts w:ascii="Times New Roman" w:hAnsi="Times New Roman" w:cs="Times New Roman"/>
          <w:sz w:val="20"/>
          <w:szCs w:val="20"/>
        </w:rPr>
        <w:t xml:space="preserve"> </w:t>
      </w:r>
      <w:r>
        <w:rPr>
          <w:rFonts w:ascii="Times New Roman" w:hAnsi="Times New Roman" w:cs="Times New Roman"/>
          <w:sz w:val="20"/>
          <w:szCs w:val="20"/>
        </w:rPr>
        <w:t xml:space="preserve">Der Spinozistische Unterschied zwischen </w:t>
      </w:r>
      <w:r w:rsidRPr="000C6E15">
        <w:rPr>
          <w:rFonts w:ascii="Times New Roman" w:hAnsi="Times New Roman" w:cs="Times New Roman"/>
          <w:i/>
          <w:sz w:val="20"/>
          <w:szCs w:val="20"/>
        </w:rPr>
        <w:t>natura naturans</w:t>
      </w:r>
      <w:r>
        <w:rPr>
          <w:rFonts w:ascii="Times New Roman" w:hAnsi="Times New Roman" w:cs="Times New Roman"/>
          <w:sz w:val="20"/>
          <w:szCs w:val="20"/>
        </w:rPr>
        <w:t xml:space="preserve"> und </w:t>
      </w:r>
      <w:r w:rsidRPr="000C6E15">
        <w:rPr>
          <w:rFonts w:ascii="Times New Roman" w:hAnsi="Times New Roman" w:cs="Times New Roman"/>
          <w:i/>
          <w:sz w:val="20"/>
          <w:szCs w:val="20"/>
        </w:rPr>
        <w:t>natura naturata</w:t>
      </w:r>
      <w:r>
        <w:rPr>
          <w:rFonts w:ascii="Times New Roman" w:hAnsi="Times New Roman" w:cs="Times New Roman"/>
          <w:sz w:val="20"/>
          <w:szCs w:val="20"/>
        </w:rPr>
        <w:t xml:space="preserve"> weist die kabbalistische Trennung zwischen Gott und Welt hin. Vgl. </w:t>
      </w:r>
      <w:r w:rsidRPr="008A6520">
        <w:rPr>
          <w:rFonts w:ascii="Times" w:hAnsi="Times"/>
          <w:sz w:val="20"/>
          <w:szCs w:val="20"/>
        </w:rPr>
        <w:t>Ebd.</w:t>
      </w:r>
      <w:r>
        <w:rPr>
          <w:rFonts w:ascii="Times New Roman" w:hAnsi="Times New Roman" w:cs="Times New Roman"/>
          <w:sz w:val="20"/>
          <w:szCs w:val="20"/>
        </w:rPr>
        <w:t xml:space="preserve">, S. 68: </w:t>
      </w:r>
      <w:r w:rsidRPr="003B104E">
        <w:rPr>
          <w:rFonts w:ascii="Times New Roman" w:hAnsi="Times New Roman" w:cs="Times New Roman"/>
          <w:sz w:val="20"/>
          <w:szCs w:val="20"/>
        </w:rPr>
        <w:t xml:space="preserve">"Quod lectores Spinozae Deum et naturam confundat, concedo; sed quod Spinoza ipse hujus confusionis </w:t>
      </w:r>
      <w:r>
        <w:rPr>
          <w:rFonts w:ascii="Times New Roman" w:hAnsi="Times New Roman" w:cs="Times New Roman"/>
          <w:sz w:val="20"/>
          <w:szCs w:val="20"/>
        </w:rPr>
        <w:t>autore</w:t>
      </w:r>
      <w:r w:rsidRPr="003B104E">
        <w:rPr>
          <w:rFonts w:ascii="Times New Roman" w:hAnsi="Times New Roman" w:cs="Times New Roman"/>
          <w:sz w:val="20"/>
          <w:szCs w:val="20"/>
        </w:rPr>
        <w:t xml:space="preserve"> et praeceptor sit, ex quibus scripti habemus? Nonne distinctionem inter naturam naturantem et nateram naturatam diserte agnoscit et defendit? </w:t>
      </w:r>
      <w:r>
        <w:rPr>
          <w:rFonts w:ascii="Times New Roman" w:hAnsi="Times New Roman" w:cs="Times New Roman"/>
          <w:sz w:val="20"/>
          <w:szCs w:val="20"/>
        </w:rPr>
        <w:t xml:space="preserve">[...] </w:t>
      </w:r>
      <w:r w:rsidRPr="003B104E">
        <w:rPr>
          <w:rFonts w:ascii="Times New Roman" w:hAnsi="Times New Roman" w:cs="Times New Roman"/>
          <w:sz w:val="20"/>
          <w:szCs w:val="20"/>
        </w:rPr>
        <w:t>Nonne aperte negat, tractatum suum Theologico-politicum so fundamento niti, quod Deus et natura unum idemque sint?</w:t>
      </w:r>
      <w:r>
        <w:rPr>
          <w:rFonts w:ascii="Times New Roman" w:hAnsi="Times New Roman" w:cs="Times New Roman"/>
          <w:sz w:val="20"/>
          <w:szCs w:val="20"/>
        </w:rPr>
        <w:t>”.</w:t>
      </w:r>
    </w:p>
  </w:footnote>
  <w:footnote w:id="981">
    <w:p w14:paraId="7DDFB5E3" w14:textId="77777777" w:rsidR="00B34CC2" w:rsidRPr="00703C78" w:rsidRDefault="00B34CC2" w:rsidP="001C3D81">
      <w:pPr>
        <w:pStyle w:val="Testonotaapidipagina"/>
        <w:jc w:val="both"/>
        <w:rPr>
          <w:rFonts w:ascii="Times New Roman" w:hAnsi="Times New Roman" w:cs="Times New Roman"/>
          <w:sz w:val="20"/>
          <w:szCs w:val="20"/>
        </w:rPr>
      </w:pPr>
      <w:r w:rsidRPr="008A6520">
        <w:rPr>
          <w:rStyle w:val="Rimandonotaapidipagina"/>
          <w:rFonts w:ascii="Times New Roman" w:hAnsi="Times New Roman" w:cs="Times New Roman"/>
          <w:sz w:val="20"/>
          <w:szCs w:val="20"/>
        </w:rPr>
        <w:footnoteRef/>
      </w:r>
      <w:r w:rsidRPr="008A6520">
        <w:rPr>
          <w:rFonts w:ascii="Times New Roman" w:hAnsi="Times New Roman" w:cs="Times New Roman"/>
          <w:i/>
          <w:sz w:val="20"/>
          <w:szCs w:val="20"/>
        </w:rPr>
        <w:t xml:space="preserve"> </w:t>
      </w:r>
      <w:r w:rsidRPr="008A6520">
        <w:rPr>
          <w:rFonts w:ascii="Times New Roman" w:hAnsi="Times New Roman" w:cs="Times New Roman"/>
          <w:sz w:val="20"/>
          <w:szCs w:val="20"/>
        </w:rPr>
        <w:t xml:space="preserve">Zur Bruckers Methodologie siehe M. Longo, </w:t>
      </w:r>
      <w:r w:rsidRPr="00B13B44">
        <w:rPr>
          <w:rFonts w:ascii="Times New Roman" w:hAnsi="Times New Roman" w:cs="Times New Roman"/>
          <w:i/>
          <w:sz w:val="20"/>
          <w:szCs w:val="20"/>
        </w:rPr>
        <w:t xml:space="preserve">A </w:t>
      </w:r>
      <w:r w:rsidRPr="00B973DB">
        <w:rPr>
          <w:rFonts w:ascii="Times New Roman" w:hAnsi="Times New Roman" w:cs="Times New Roman"/>
          <w:i/>
          <w:sz w:val="20"/>
          <w:szCs w:val="20"/>
        </w:rPr>
        <w:t>“Critical” History of Philosophy</w:t>
      </w:r>
      <w:r w:rsidRPr="00B13B44">
        <w:rPr>
          <w:rFonts w:ascii="Times New Roman" w:hAnsi="Times New Roman" w:cs="Times New Roman"/>
          <w:i/>
          <w:sz w:val="20"/>
          <w:szCs w:val="20"/>
        </w:rPr>
        <w:t xml:space="preserve"> and the Early Enlightment: Johann Jacob Brucker</w:t>
      </w:r>
      <w:r>
        <w:rPr>
          <w:rFonts w:ascii="Times New Roman" w:hAnsi="Times New Roman" w:cs="Times New Roman"/>
          <w:sz w:val="20"/>
          <w:szCs w:val="20"/>
        </w:rPr>
        <w:t xml:space="preserve">, in </w:t>
      </w:r>
      <w:r w:rsidRPr="00B13B44">
        <w:rPr>
          <w:rFonts w:ascii="Times New Roman" w:hAnsi="Times New Roman" w:cs="Times New Roman"/>
          <w:i/>
          <w:sz w:val="20"/>
          <w:szCs w:val="20"/>
        </w:rPr>
        <w:t xml:space="preserve">Models of History of Philosophy </w:t>
      </w:r>
      <w:r>
        <w:rPr>
          <w:rFonts w:ascii="Times New Roman" w:hAnsi="Times New Roman" w:cs="Times New Roman"/>
          <w:sz w:val="20"/>
          <w:szCs w:val="20"/>
        </w:rPr>
        <w:t xml:space="preserve">(ed. by G. Piaia and G. Santiello), </w:t>
      </w:r>
      <w:r w:rsidRPr="006F10F8">
        <w:rPr>
          <w:rFonts w:ascii="Times New Roman" w:hAnsi="Times New Roman" w:cs="Times New Roman"/>
          <w:i/>
          <w:sz w:val="20"/>
          <w:szCs w:val="20"/>
        </w:rPr>
        <w:t>Volume II: From the Cartesian Age to Brucke</w:t>
      </w:r>
      <w:r>
        <w:rPr>
          <w:rFonts w:ascii="Times New Roman" w:hAnsi="Times New Roman" w:cs="Times New Roman"/>
          <w:sz w:val="20"/>
          <w:szCs w:val="20"/>
        </w:rPr>
        <w:t>r, Springer, Dordrecht/Heidelberg/London/New York 2011</w:t>
      </w:r>
      <w:r w:rsidRPr="008A6520">
        <w:rPr>
          <w:rFonts w:ascii="Times New Roman" w:hAnsi="Times New Roman" w:cs="Times New Roman"/>
          <w:sz w:val="20"/>
          <w:szCs w:val="20"/>
        </w:rPr>
        <w:t>, S. 477-579.</w:t>
      </w:r>
    </w:p>
  </w:footnote>
  <w:footnote w:id="982">
    <w:p w14:paraId="0A51D3C2" w14:textId="77777777" w:rsidR="00B34CC2" w:rsidRPr="00657A0C" w:rsidRDefault="00B34CC2" w:rsidP="001C3D81">
      <w:pPr>
        <w:pStyle w:val="Testonotaapidipagina"/>
        <w:jc w:val="both"/>
        <w:rPr>
          <w:rFonts w:ascii="Times" w:hAnsi="Times"/>
          <w:sz w:val="20"/>
          <w:szCs w:val="20"/>
        </w:rPr>
      </w:pPr>
      <w:r w:rsidRPr="00657A0C">
        <w:rPr>
          <w:rStyle w:val="Rimandonotaapidipagina"/>
          <w:rFonts w:ascii="Times" w:hAnsi="Times"/>
          <w:sz w:val="20"/>
          <w:szCs w:val="20"/>
        </w:rPr>
        <w:footnoteRef/>
      </w:r>
      <w:r w:rsidRPr="00C42C3D">
        <w:rPr>
          <w:rFonts w:ascii="Times New Roman" w:eastAsia="Times New Roman" w:hAnsi="Times New Roman" w:cs="Times New Roman"/>
          <w:i/>
          <w:iCs/>
          <w:color w:val="222222"/>
          <w:sz w:val="20"/>
          <w:szCs w:val="20"/>
          <w:shd w:val="clear" w:color="auto" w:fill="FFFFFF"/>
        </w:rPr>
        <w:t xml:space="preserve"> </w:t>
      </w:r>
      <w:r>
        <w:rPr>
          <w:rFonts w:ascii="Times New Roman" w:hAnsi="Times New Roman" w:cs="Times New Roman"/>
          <w:sz w:val="20"/>
          <w:szCs w:val="20"/>
        </w:rPr>
        <w:t xml:space="preserve">J.J. Brucker, </w:t>
      </w:r>
      <w:r w:rsidRPr="00C42C3D">
        <w:rPr>
          <w:rFonts w:ascii="Times New Roman" w:eastAsia="Times New Roman" w:hAnsi="Times New Roman" w:cs="Times New Roman"/>
          <w:i/>
          <w:iCs/>
          <w:color w:val="222222"/>
          <w:sz w:val="20"/>
          <w:szCs w:val="20"/>
          <w:shd w:val="clear" w:color="auto" w:fill="FFFFFF"/>
        </w:rPr>
        <w:t>Historia critica philosophiae a mundi incalculabilis ad nostram usque aetatem deducta</w:t>
      </w:r>
      <w:r>
        <w:rPr>
          <w:rFonts w:ascii="Times New Roman" w:eastAsia="Times New Roman" w:hAnsi="Times New Roman" w:cs="Times New Roman"/>
          <w:iCs/>
          <w:color w:val="222222"/>
          <w:sz w:val="20"/>
          <w:szCs w:val="20"/>
          <w:shd w:val="clear" w:color="auto" w:fill="FFFFFF"/>
        </w:rPr>
        <w:t xml:space="preserve">, Bd. I, Leipzig 1742, </w:t>
      </w:r>
      <w:r>
        <w:rPr>
          <w:rFonts w:ascii="Times" w:hAnsi="Times"/>
          <w:sz w:val="20"/>
          <w:szCs w:val="20"/>
        </w:rPr>
        <w:t>S. 960.</w:t>
      </w:r>
    </w:p>
  </w:footnote>
  <w:footnote w:id="983">
    <w:p w14:paraId="00356A8F" w14:textId="77777777" w:rsidR="00B34CC2" w:rsidRPr="008A6520" w:rsidRDefault="00B34CC2" w:rsidP="001C3D81">
      <w:pPr>
        <w:pStyle w:val="Testonotaapidipagina"/>
        <w:jc w:val="both"/>
      </w:pPr>
      <w:r w:rsidRPr="002621F0">
        <w:rPr>
          <w:rStyle w:val="Rimandonotaapidipagina"/>
          <w:rFonts w:ascii="Times New Roman" w:hAnsi="Times New Roman" w:cs="Times New Roman"/>
          <w:sz w:val="20"/>
          <w:szCs w:val="20"/>
        </w:rPr>
        <w:footnoteRef/>
      </w:r>
      <w:r w:rsidRPr="00FA4C63">
        <w:rPr>
          <w:rFonts w:ascii="Times" w:hAnsi="Times"/>
          <w:i/>
          <w:sz w:val="20"/>
          <w:szCs w:val="20"/>
        </w:rPr>
        <w:t xml:space="preserve"> </w:t>
      </w:r>
      <w:r w:rsidRPr="008A6520">
        <w:rPr>
          <w:rFonts w:ascii="Times" w:hAnsi="Times"/>
          <w:sz w:val="20"/>
          <w:szCs w:val="20"/>
        </w:rPr>
        <w:t>Ebd.</w:t>
      </w:r>
      <w:r>
        <w:rPr>
          <w:rFonts w:ascii="Times" w:hAnsi="Times"/>
          <w:sz w:val="20"/>
          <w:szCs w:val="20"/>
        </w:rPr>
        <w:t>, S. 960.</w:t>
      </w:r>
    </w:p>
  </w:footnote>
  <w:footnote w:id="984">
    <w:p w14:paraId="1C45A274" w14:textId="77777777" w:rsidR="00B34CC2" w:rsidRPr="008A6520" w:rsidRDefault="00B34CC2" w:rsidP="001C3D81">
      <w:pPr>
        <w:pStyle w:val="Testonotaapidipagina"/>
        <w:jc w:val="both"/>
      </w:pPr>
      <w:r w:rsidRPr="00BA13A9">
        <w:rPr>
          <w:rStyle w:val="Rimandonotaapidipagina"/>
          <w:rFonts w:ascii="Times New Roman" w:hAnsi="Times New Roman" w:cs="Times New Roman"/>
          <w:sz w:val="20"/>
          <w:szCs w:val="20"/>
        </w:rPr>
        <w:footnoteRef/>
      </w:r>
      <w:r w:rsidRPr="00AE1FAE">
        <w:rPr>
          <w:rFonts w:ascii="Times New Roman" w:hAnsi="Times New Roman" w:cs="Times New Roman"/>
          <w:sz w:val="20"/>
          <w:szCs w:val="20"/>
        </w:rPr>
        <w:t xml:space="preserve"> </w:t>
      </w:r>
      <w:r>
        <w:rPr>
          <w:rFonts w:ascii="Times New Roman" w:hAnsi="Times New Roman" w:cs="Times New Roman"/>
          <w:sz w:val="20"/>
          <w:szCs w:val="20"/>
        </w:rPr>
        <w:t xml:space="preserve">Vgl. </w:t>
      </w:r>
      <w:r w:rsidRPr="008A6520">
        <w:rPr>
          <w:rFonts w:ascii="Times" w:hAnsi="Times"/>
          <w:sz w:val="20"/>
          <w:szCs w:val="20"/>
        </w:rPr>
        <w:t>Ebd.</w:t>
      </w:r>
      <w:r>
        <w:rPr>
          <w:rFonts w:ascii="Times New Roman" w:hAnsi="Times New Roman" w:cs="Times New Roman"/>
          <w:sz w:val="20"/>
          <w:szCs w:val="20"/>
        </w:rPr>
        <w:t>, S. 992: „</w:t>
      </w:r>
      <w:r w:rsidRPr="00AE1FAE">
        <w:rPr>
          <w:rFonts w:ascii="Times New Roman" w:hAnsi="Times New Roman" w:cs="Times New Roman"/>
          <w:sz w:val="20"/>
          <w:szCs w:val="20"/>
        </w:rPr>
        <w:t>Accepisse hoc quoque Cabbalistae ex schola Alexandrina Platonicorum ad Orientalem philosophiam reformatorum, doctrina illorum de λóγω mente divina, ceterarum rerum omnium</w:t>
      </w:r>
      <w:r>
        <w:rPr>
          <w:rFonts w:ascii="Times New Roman" w:hAnsi="Times New Roman" w:cs="Times New Roman"/>
          <w:sz w:val="20"/>
          <w:szCs w:val="20"/>
        </w:rPr>
        <w:t xml:space="preserve"> fonte, luculenter demonstravit”.</w:t>
      </w:r>
    </w:p>
  </w:footnote>
  <w:footnote w:id="985">
    <w:p w14:paraId="3675FFF4" w14:textId="77777777" w:rsidR="00B34CC2" w:rsidRPr="008A6520" w:rsidRDefault="00B34CC2" w:rsidP="001C3D81">
      <w:pPr>
        <w:pStyle w:val="Testonotaapidipagina"/>
        <w:jc w:val="both"/>
      </w:pPr>
      <w:r w:rsidRPr="002D3269">
        <w:rPr>
          <w:rStyle w:val="Rimandonotaapidipagina"/>
          <w:rFonts w:ascii="Times" w:hAnsi="Times"/>
          <w:sz w:val="20"/>
          <w:szCs w:val="20"/>
        </w:rPr>
        <w:footnoteRef/>
      </w:r>
      <w:r>
        <w:rPr>
          <w:rFonts w:ascii="Times" w:hAnsi="Times"/>
          <w:sz w:val="20"/>
          <w:szCs w:val="20"/>
        </w:rPr>
        <w:t xml:space="preserve"> </w:t>
      </w:r>
      <w:r w:rsidRPr="008A6520">
        <w:rPr>
          <w:rFonts w:ascii="Times" w:hAnsi="Times"/>
          <w:sz w:val="20"/>
          <w:szCs w:val="20"/>
        </w:rPr>
        <w:t>Ebd.</w:t>
      </w:r>
      <w:r>
        <w:rPr>
          <w:rFonts w:ascii="Times" w:hAnsi="Times"/>
          <w:sz w:val="20"/>
          <w:szCs w:val="20"/>
        </w:rPr>
        <w:t>, S. 963.</w:t>
      </w:r>
    </w:p>
  </w:footnote>
  <w:footnote w:id="986">
    <w:p w14:paraId="67E90443" w14:textId="77777777" w:rsidR="00B34CC2" w:rsidRPr="008A6520" w:rsidRDefault="00B34CC2" w:rsidP="001C3D81">
      <w:pPr>
        <w:pStyle w:val="Testonotaapidipagina"/>
        <w:jc w:val="both"/>
      </w:pPr>
      <w:r w:rsidRPr="00483B8E">
        <w:rPr>
          <w:rStyle w:val="Rimandonotaapidipagina"/>
          <w:rFonts w:ascii="Times New Roman" w:hAnsi="Times New Roman" w:cs="Times New Roman"/>
          <w:sz w:val="20"/>
          <w:szCs w:val="20"/>
        </w:rPr>
        <w:footnoteRef/>
      </w:r>
      <w:r w:rsidRPr="00483B8E">
        <w:rPr>
          <w:rFonts w:ascii="Times New Roman" w:hAnsi="Times New Roman" w:cs="Times New Roman"/>
          <w:sz w:val="20"/>
          <w:szCs w:val="20"/>
        </w:rPr>
        <w:t xml:space="preserve"> </w:t>
      </w:r>
      <w:r w:rsidRPr="008A6520">
        <w:rPr>
          <w:rFonts w:ascii="Times" w:hAnsi="Times"/>
          <w:sz w:val="20"/>
          <w:szCs w:val="20"/>
        </w:rPr>
        <w:t>Ebd.</w:t>
      </w:r>
      <w:r w:rsidRPr="00483B8E">
        <w:rPr>
          <w:rFonts w:ascii="Times New Roman" w:hAnsi="Times New Roman" w:cs="Times New Roman"/>
          <w:sz w:val="20"/>
          <w:szCs w:val="20"/>
        </w:rPr>
        <w:t>, S. 695.</w:t>
      </w:r>
    </w:p>
  </w:footnote>
  <w:footnote w:id="987">
    <w:p w14:paraId="71556943" w14:textId="77777777" w:rsidR="00B34CC2" w:rsidRPr="008A6520" w:rsidRDefault="00B34CC2" w:rsidP="001C3D81">
      <w:pPr>
        <w:pStyle w:val="Testonotaapidipagina"/>
        <w:jc w:val="both"/>
      </w:pPr>
      <w:r w:rsidRPr="00F93E91">
        <w:rPr>
          <w:rStyle w:val="Rimandonotaapidipagina"/>
          <w:rFonts w:ascii="Times New Roman" w:hAnsi="Times New Roman" w:cs="Times New Roman"/>
          <w:sz w:val="20"/>
          <w:szCs w:val="20"/>
        </w:rPr>
        <w:footnoteRef/>
      </w:r>
      <w:r w:rsidRPr="00F757B7">
        <w:rPr>
          <w:rFonts w:ascii="Times New Roman" w:hAnsi="Times New Roman" w:cs="Times New Roman"/>
          <w:sz w:val="20"/>
          <w:szCs w:val="20"/>
        </w:rPr>
        <w:t xml:space="preserve"> </w:t>
      </w:r>
      <w:r w:rsidRPr="008A6520">
        <w:rPr>
          <w:rFonts w:ascii="Times" w:hAnsi="Times"/>
          <w:sz w:val="20"/>
          <w:szCs w:val="20"/>
        </w:rPr>
        <w:t>Ebd.</w:t>
      </w:r>
      <w:r>
        <w:t>,</w:t>
      </w:r>
      <w:r>
        <w:rPr>
          <w:rFonts w:ascii="Times New Roman" w:hAnsi="Times New Roman" w:cs="Times New Roman"/>
          <w:sz w:val="20"/>
          <w:szCs w:val="20"/>
        </w:rPr>
        <w:t xml:space="preserve"> S. 694: „</w:t>
      </w:r>
      <w:r w:rsidRPr="00F757B7">
        <w:rPr>
          <w:rFonts w:ascii="Times New Roman" w:hAnsi="Times New Roman" w:cs="Times New Roman"/>
          <w:sz w:val="20"/>
          <w:szCs w:val="20"/>
        </w:rPr>
        <w:t>Nec minori contradictionis absurditate laborare, quod in immutabili et necessaria substantia infinitae mutationes sibi succedentes ponantur, quodque, cum infinitae res in mundo sint, quae mutuo evertunt, contradictori simul in uno subiecto consistere posse affirmetur, et infinita substantia una ex finitis modis istis sive partibus finitis constare suppon</w:t>
      </w:r>
      <w:r>
        <w:rPr>
          <w:rFonts w:ascii="Times New Roman" w:hAnsi="Times New Roman" w:cs="Times New Roman"/>
          <w:sz w:val="20"/>
          <w:szCs w:val="20"/>
        </w:rPr>
        <w:t>atur”</w:t>
      </w:r>
      <w:r w:rsidRPr="00F757B7">
        <w:rPr>
          <w:rFonts w:ascii="Times New Roman" w:hAnsi="Times New Roman" w:cs="Times New Roman"/>
          <w:sz w:val="20"/>
          <w:szCs w:val="20"/>
        </w:rPr>
        <w:t>.</w:t>
      </w:r>
    </w:p>
  </w:footnote>
  <w:footnote w:id="988">
    <w:p w14:paraId="74B410E5" w14:textId="77777777" w:rsidR="00B34CC2" w:rsidRPr="0048793F" w:rsidRDefault="00B34CC2" w:rsidP="001C3D81">
      <w:pPr>
        <w:pStyle w:val="Testonotaapidipagina"/>
        <w:jc w:val="both"/>
        <w:rPr>
          <w:rFonts w:ascii="Times New Roman" w:hAnsi="Times New Roman" w:cs="Times New Roman"/>
          <w:sz w:val="20"/>
          <w:szCs w:val="20"/>
        </w:rPr>
      </w:pPr>
      <w:r w:rsidRPr="0048793F">
        <w:rPr>
          <w:rStyle w:val="Rimandonotaapidipagina"/>
          <w:rFonts w:ascii="Times New Roman" w:hAnsi="Times New Roman" w:cs="Times New Roman"/>
          <w:sz w:val="20"/>
          <w:szCs w:val="20"/>
        </w:rPr>
        <w:footnoteRef/>
      </w:r>
      <w:r w:rsidRPr="0048793F">
        <w:rPr>
          <w:rFonts w:ascii="Times New Roman" w:hAnsi="Times New Roman" w:cs="Times New Roman"/>
          <w:i/>
          <w:sz w:val="20"/>
          <w:szCs w:val="20"/>
        </w:rPr>
        <w:t xml:space="preserve"> </w:t>
      </w:r>
      <w:r w:rsidRPr="0048793F">
        <w:rPr>
          <w:rFonts w:ascii="Times New Roman" w:hAnsi="Times New Roman" w:cs="Times New Roman"/>
          <w:sz w:val="20"/>
          <w:szCs w:val="20"/>
        </w:rPr>
        <w:t>F. H. Jacobi,</w:t>
      </w:r>
      <w:r w:rsidRPr="0048793F">
        <w:rPr>
          <w:rFonts w:ascii="Times New Roman" w:hAnsi="Times New Roman" w:cs="Times New Roman"/>
          <w:i/>
          <w:sz w:val="20"/>
          <w:szCs w:val="20"/>
        </w:rPr>
        <w:t xml:space="preserve"> Schriften zum Spinozastreit, </w:t>
      </w:r>
      <w:r w:rsidRPr="0048793F">
        <w:rPr>
          <w:rFonts w:ascii="Times New Roman" w:hAnsi="Times New Roman" w:cs="Times New Roman"/>
          <w:sz w:val="20"/>
          <w:szCs w:val="20"/>
        </w:rPr>
        <w:t xml:space="preserve">in </w:t>
      </w:r>
      <w:r w:rsidRPr="0048793F">
        <w:rPr>
          <w:rFonts w:ascii="Times New Roman" w:hAnsi="Times New Roman" w:cs="Times New Roman"/>
          <w:i/>
          <w:sz w:val="20"/>
          <w:szCs w:val="20"/>
        </w:rPr>
        <w:t>Friedrich Heinrich Jacobi: Werke</w:t>
      </w:r>
      <w:r w:rsidRPr="0048793F">
        <w:rPr>
          <w:rFonts w:ascii="Times New Roman" w:hAnsi="Times New Roman" w:cs="Times New Roman"/>
          <w:sz w:val="20"/>
          <w:szCs w:val="20"/>
        </w:rPr>
        <w:t>, B. 1,1,</w:t>
      </w:r>
      <w:r w:rsidRPr="0048793F">
        <w:rPr>
          <w:rFonts w:ascii="Times New Roman" w:hAnsi="Times New Roman" w:cs="Times New Roman"/>
          <w:i/>
          <w:sz w:val="20"/>
          <w:szCs w:val="20"/>
        </w:rPr>
        <w:t xml:space="preserve"> </w:t>
      </w:r>
      <w:r w:rsidRPr="0048793F">
        <w:rPr>
          <w:rFonts w:ascii="Times New Roman" w:hAnsi="Times New Roman" w:cs="Times New Roman"/>
          <w:sz w:val="20"/>
          <w:szCs w:val="20"/>
        </w:rPr>
        <w:t>a.a.O., S. 14</w:t>
      </w:r>
      <w:r w:rsidRPr="0048793F">
        <w:rPr>
          <w:rFonts w:ascii="Times New Roman" w:hAnsi="Times New Roman" w:cs="Times New Roman"/>
          <w:i/>
          <w:sz w:val="20"/>
          <w:szCs w:val="20"/>
        </w:rPr>
        <w:t>.</w:t>
      </w:r>
    </w:p>
  </w:footnote>
  <w:footnote w:id="989">
    <w:p w14:paraId="3AF90E36" w14:textId="77777777" w:rsidR="00B34CC2" w:rsidRPr="0048793F" w:rsidRDefault="00B34CC2" w:rsidP="001C3D81">
      <w:pPr>
        <w:pStyle w:val="Testonotaapidipagina"/>
        <w:jc w:val="both"/>
      </w:pPr>
      <w:r w:rsidRPr="0048793F">
        <w:rPr>
          <w:rStyle w:val="Rimandonotaapidipagina"/>
          <w:rFonts w:ascii="Times New Roman" w:hAnsi="Times New Roman" w:cs="Times New Roman"/>
          <w:sz w:val="20"/>
          <w:szCs w:val="20"/>
        </w:rPr>
        <w:footnoteRef/>
      </w:r>
      <w:r w:rsidRPr="0048793F">
        <w:rPr>
          <w:rFonts w:ascii="Times New Roman" w:hAnsi="Times New Roman" w:cs="Times New Roman"/>
          <w:sz w:val="20"/>
          <w:szCs w:val="20"/>
        </w:rPr>
        <w:t xml:space="preserve"> Ebd., S. 251.</w:t>
      </w:r>
    </w:p>
  </w:footnote>
  <w:footnote w:id="990">
    <w:p w14:paraId="7FA3128B" w14:textId="77777777" w:rsidR="00B34CC2" w:rsidRPr="0012173C" w:rsidRDefault="00B34CC2" w:rsidP="001C3D81">
      <w:pPr>
        <w:pStyle w:val="Testonotaapidipagina"/>
        <w:jc w:val="both"/>
        <w:rPr>
          <w:rFonts w:ascii="Times New Roman" w:hAnsi="Times New Roman" w:cs="Times New Roman"/>
          <w:sz w:val="20"/>
          <w:szCs w:val="20"/>
        </w:rPr>
      </w:pPr>
      <w:r w:rsidRPr="0048793F">
        <w:rPr>
          <w:rStyle w:val="Rimandonotaapidipagina"/>
          <w:rFonts w:ascii="Times New Roman" w:hAnsi="Times New Roman" w:cs="Times New Roman"/>
          <w:sz w:val="20"/>
          <w:szCs w:val="20"/>
        </w:rPr>
        <w:footnoteRef/>
      </w:r>
      <w:r w:rsidRPr="0048793F">
        <w:rPr>
          <w:rFonts w:ascii="Times New Roman" w:hAnsi="Times New Roman" w:cs="Times New Roman"/>
          <w:sz w:val="20"/>
          <w:szCs w:val="20"/>
        </w:rPr>
        <w:t xml:space="preserve"> Ebd., S. 112.</w:t>
      </w:r>
    </w:p>
  </w:footnote>
  <w:footnote w:id="991">
    <w:p w14:paraId="2E0B5209" w14:textId="77777777" w:rsidR="00B34CC2" w:rsidRPr="002215DD" w:rsidRDefault="00B34CC2" w:rsidP="001C3D81">
      <w:pPr>
        <w:pStyle w:val="Testonotaapidipagina"/>
        <w:jc w:val="both"/>
        <w:rPr>
          <w:rFonts w:ascii="Times New Roman" w:hAnsi="Times New Roman" w:cs="Times New Roman"/>
          <w:sz w:val="20"/>
          <w:szCs w:val="20"/>
        </w:rPr>
      </w:pPr>
      <w:r w:rsidRPr="00BD6BEB">
        <w:rPr>
          <w:rStyle w:val="Rimandonotaapidipagina"/>
          <w:rFonts w:ascii="Times New Roman" w:hAnsi="Times New Roman" w:cs="Times New Roman"/>
          <w:sz w:val="20"/>
          <w:szCs w:val="20"/>
        </w:rPr>
        <w:footnoteRef/>
      </w:r>
      <w:r w:rsidRPr="00BD6BEB">
        <w:rPr>
          <w:rFonts w:ascii="Times New Roman" w:hAnsi="Times New Roman" w:cs="Times New Roman"/>
          <w:sz w:val="20"/>
          <w:szCs w:val="20"/>
        </w:rPr>
        <w:t xml:space="preserve"> Ebd., S. 256: „Daß der Begriff der Ursache, in so fern er sich von dem Begriffe des Grundes unterscheidet, ein Erfahrungsbegriff ist […] Der Satz der Ursache: alles was gethan wird, muß durch etwas gethan werden</w:t>
      </w:r>
      <w:r w:rsidRPr="00AA6D16">
        <w:rPr>
          <w:rFonts w:ascii="Times New Roman" w:hAnsi="Times New Roman" w:cs="Times New Roman"/>
          <w:sz w:val="20"/>
          <w:szCs w:val="20"/>
        </w:rPr>
        <w:t xml:space="preserve">”. </w:t>
      </w:r>
    </w:p>
  </w:footnote>
  <w:footnote w:id="992">
    <w:p w14:paraId="035700B6" w14:textId="77777777" w:rsidR="00B34CC2" w:rsidRPr="004175E6" w:rsidRDefault="00B34CC2" w:rsidP="001C3D81">
      <w:pPr>
        <w:pStyle w:val="Testonotaapidipagina"/>
        <w:jc w:val="both"/>
        <w:rPr>
          <w:rFonts w:ascii="Times New Roman" w:hAnsi="Times New Roman" w:cs="Times New Roman"/>
          <w:sz w:val="20"/>
          <w:szCs w:val="20"/>
        </w:rPr>
      </w:pPr>
      <w:r w:rsidRPr="002215DD">
        <w:rPr>
          <w:rStyle w:val="Rimandonotaapidipagina"/>
          <w:rFonts w:ascii="Times New Roman" w:hAnsi="Times New Roman" w:cs="Times New Roman"/>
          <w:sz w:val="20"/>
          <w:szCs w:val="20"/>
        </w:rPr>
        <w:footnoteRef/>
      </w:r>
      <w:r w:rsidRPr="002215DD">
        <w:rPr>
          <w:rFonts w:ascii="Times New Roman" w:hAnsi="Times New Roman" w:cs="Times New Roman"/>
          <w:sz w:val="20"/>
          <w:szCs w:val="20"/>
        </w:rPr>
        <w:t xml:space="preserve"> Ebd., S. 112.</w:t>
      </w:r>
    </w:p>
  </w:footnote>
  <w:footnote w:id="993">
    <w:p w14:paraId="3BC2E6A3" w14:textId="77777777" w:rsidR="00B34CC2" w:rsidRPr="00755581" w:rsidRDefault="00B34CC2" w:rsidP="001C3D81">
      <w:pPr>
        <w:pStyle w:val="Testonotaapidipagina"/>
        <w:jc w:val="both"/>
        <w:rPr>
          <w:rFonts w:ascii="Times New Roman" w:hAnsi="Times New Roman" w:cs="Times New Roman"/>
          <w:sz w:val="20"/>
          <w:szCs w:val="20"/>
        </w:rPr>
      </w:pPr>
      <w:r w:rsidRPr="002215DD">
        <w:rPr>
          <w:rStyle w:val="Rimandonotaapidipagina"/>
          <w:rFonts w:ascii="Times New Roman" w:hAnsi="Times New Roman" w:cs="Times New Roman"/>
          <w:sz w:val="20"/>
          <w:szCs w:val="20"/>
        </w:rPr>
        <w:footnoteRef/>
      </w:r>
      <w:r w:rsidRPr="002215DD">
        <w:rPr>
          <w:rFonts w:ascii="Times New Roman" w:hAnsi="Times New Roman" w:cs="Times New Roman"/>
          <w:i/>
          <w:sz w:val="20"/>
          <w:szCs w:val="20"/>
        </w:rPr>
        <w:t xml:space="preserve"> </w:t>
      </w:r>
      <w:r w:rsidRPr="002215DD">
        <w:rPr>
          <w:rFonts w:ascii="Times New Roman" w:hAnsi="Times New Roman" w:cs="Times New Roman"/>
          <w:sz w:val="20"/>
          <w:szCs w:val="20"/>
        </w:rPr>
        <w:t xml:space="preserve">Zum Gedanken Maimons siehe W. Bonsiepen, </w:t>
      </w:r>
      <w:r w:rsidRPr="002215DD">
        <w:rPr>
          <w:rFonts w:ascii="Times New Roman" w:hAnsi="Times New Roman" w:cs="Times New Roman"/>
          <w:i/>
          <w:sz w:val="20"/>
          <w:szCs w:val="20"/>
        </w:rPr>
        <w:t xml:space="preserve">Salomon Maimons Einsicht in die Unausführbarkeit seines Versuchs einer Verneinung von Kantischer Philosophie und Spinozismus, </w:t>
      </w:r>
      <w:r w:rsidRPr="002215DD">
        <w:rPr>
          <w:rFonts w:ascii="Times New Roman" w:hAnsi="Times New Roman" w:cs="Times New Roman"/>
          <w:sz w:val="20"/>
          <w:szCs w:val="20"/>
        </w:rPr>
        <w:t xml:space="preserve">in </w:t>
      </w:r>
      <w:r w:rsidRPr="002215DD">
        <w:rPr>
          <w:rFonts w:ascii="Times New Roman" w:hAnsi="Times New Roman" w:cs="Times New Roman"/>
          <w:i/>
          <w:sz w:val="20"/>
          <w:szCs w:val="20"/>
        </w:rPr>
        <w:t xml:space="preserve">Spinoza im 18. Jahrhundert, </w:t>
      </w:r>
      <w:r>
        <w:rPr>
          <w:rFonts w:ascii="Times New Roman" w:hAnsi="Times New Roman" w:cs="Times New Roman"/>
          <w:sz w:val="20"/>
          <w:szCs w:val="20"/>
        </w:rPr>
        <w:t>a.a.</w:t>
      </w:r>
      <w:r w:rsidRPr="002215DD">
        <w:rPr>
          <w:rFonts w:ascii="Times New Roman" w:hAnsi="Times New Roman" w:cs="Times New Roman"/>
          <w:sz w:val="20"/>
          <w:szCs w:val="20"/>
        </w:rPr>
        <w:t>O., S. 377-407; G. Freudenthal (</w:t>
      </w:r>
      <w:r>
        <w:rPr>
          <w:rFonts w:ascii="Times New Roman" w:hAnsi="Times New Roman" w:cs="Times New Roman"/>
          <w:sz w:val="20"/>
          <w:szCs w:val="20"/>
        </w:rPr>
        <w:t>ed. by</w:t>
      </w:r>
      <w:r w:rsidRPr="002215DD">
        <w:rPr>
          <w:rFonts w:ascii="Times New Roman" w:hAnsi="Times New Roman" w:cs="Times New Roman"/>
          <w:sz w:val="20"/>
          <w:szCs w:val="20"/>
        </w:rPr>
        <w:t xml:space="preserve">), </w:t>
      </w:r>
      <w:r w:rsidRPr="002215DD">
        <w:rPr>
          <w:rFonts w:ascii="Times New Roman" w:hAnsi="Times New Roman" w:cs="Times New Roman"/>
          <w:i/>
          <w:sz w:val="20"/>
          <w:szCs w:val="20"/>
        </w:rPr>
        <w:t>Salomon Maimon: rational dogmatist, logical skeptic</w:t>
      </w:r>
      <w:r w:rsidRPr="002215DD">
        <w:rPr>
          <w:rFonts w:ascii="Times New Roman" w:hAnsi="Times New Roman" w:cs="Times New Roman"/>
          <w:sz w:val="20"/>
          <w:szCs w:val="20"/>
        </w:rPr>
        <w:t xml:space="preserve">, Kluwer Academic Publishers, Dordrect, 2003; </w:t>
      </w:r>
      <w:r w:rsidRPr="002215DD">
        <w:rPr>
          <w:rFonts w:ascii="Times New Roman" w:hAnsi="Times New Roman"/>
          <w:sz w:val="20"/>
          <w:szCs w:val="20"/>
        </w:rPr>
        <w:t xml:space="preserve">Y. Y. Melamed, </w:t>
      </w:r>
      <w:r w:rsidRPr="002215DD">
        <w:rPr>
          <w:rFonts w:ascii="Times New Roman" w:hAnsi="Times New Roman"/>
          <w:i/>
          <w:sz w:val="20"/>
          <w:szCs w:val="20"/>
        </w:rPr>
        <w:t>Salomon Maimon and the rise of Spinozism in German Idealism</w:t>
      </w:r>
      <w:r>
        <w:rPr>
          <w:rFonts w:ascii="Times New Roman" w:hAnsi="Times New Roman"/>
          <w:sz w:val="20"/>
          <w:szCs w:val="20"/>
        </w:rPr>
        <w:t>, a.a.</w:t>
      </w:r>
      <w:r w:rsidRPr="002215DD">
        <w:rPr>
          <w:rFonts w:ascii="Times New Roman" w:hAnsi="Times New Roman"/>
          <w:sz w:val="20"/>
          <w:szCs w:val="20"/>
        </w:rPr>
        <w:t xml:space="preserve">O.; </w:t>
      </w:r>
      <w:r w:rsidRPr="002215DD">
        <w:rPr>
          <w:rFonts w:ascii="Times New Roman" w:hAnsi="Times New Roman" w:cs="Times New Roman"/>
          <w:sz w:val="20"/>
          <w:szCs w:val="20"/>
        </w:rPr>
        <w:t xml:space="preserve">Y. Y. Melamed, </w:t>
      </w:r>
      <w:r w:rsidRPr="002215DD">
        <w:rPr>
          <w:rFonts w:ascii="Times New Roman" w:hAnsi="Times New Roman" w:cs="Times New Roman"/>
          <w:i/>
          <w:sz w:val="20"/>
          <w:szCs w:val="20"/>
        </w:rPr>
        <w:t>Acosmism or Weak Individuals? Hegel, Spinoza, and the Reality of the Finite</w:t>
      </w:r>
      <w:r w:rsidRPr="002215DD">
        <w:rPr>
          <w:rFonts w:ascii="Times New Roman" w:hAnsi="Times New Roman" w:cs="Times New Roman"/>
          <w:sz w:val="20"/>
          <w:szCs w:val="20"/>
        </w:rPr>
        <w:t xml:space="preserve">, </w:t>
      </w:r>
      <w:r>
        <w:rPr>
          <w:rFonts w:ascii="Times New Roman" w:hAnsi="Times New Roman"/>
          <w:sz w:val="20"/>
          <w:szCs w:val="20"/>
        </w:rPr>
        <w:t>a.a.</w:t>
      </w:r>
      <w:r w:rsidRPr="002215DD">
        <w:rPr>
          <w:rFonts w:ascii="Times New Roman" w:hAnsi="Times New Roman"/>
          <w:sz w:val="20"/>
          <w:szCs w:val="20"/>
        </w:rPr>
        <w:t>O.</w:t>
      </w:r>
    </w:p>
  </w:footnote>
  <w:footnote w:id="994">
    <w:p w14:paraId="3F16CE9C" w14:textId="77777777" w:rsidR="00B34CC2" w:rsidRPr="00755581" w:rsidRDefault="00B34CC2" w:rsidP="001C3D81">
      <w:pPr>
        <w:pStyle w:val="Testonotaapidipagina"/>
        <w:jc w:val="both"/>
        <w:rPr>
          <w:rFonts w:ascii="Times New Roman" w:hAnsi="Times New Roman" w:cs="Times New Roman"/>
          <w:sz w:val="20"/>
          <w:szCs w:val="20"/>
        </w:rPr>
      </w:pPr>
      <w:r w:rsidRPr="00755581">
        <w:rPr>
          <w:rStyle w:val="Rimandonotaapidipagina"/>
          <w:rFonts w:ascii="Times New Roman" w:hAnsi="Times New Roman" w:cs="Times New Roman"/>
          <w:sz w:val="20"/>
          <w:szCs w:val="20"/>
        </w:rPr>
        <w:footnoteRef/>
      </w:r>
      <w:r w:rsidRPr="00755581">
        <w:rPr>
          <w:rFonts w:ascii="Times New Roman" w:hAnsi="Times New Roman" w:cs="Times New Roman"/>
          <w:sz w:val="20"/>
          <w:szCs w:val="20"/>
        </w:rPr>
        <w:t xml:space="preserve"> </w:t>
      </w:r>
      <w:r w:rsidRPr="006040A4">
        <w:rPr>
          <w:rFonts w:ascii="Times New Roman" w:hAnsi="Times New Roman"/>
          <w:sz w:val="20"/>
          <w:szCs w:val="20"/>
        </w:rPr>
        <w:t xml:space="preserve">S. </w:t>
      </w:r>
      <w:r w:rsidRPr="006040A4">
        <w:rPr>
          <w:rFonts w:ascii="Times New Roman" w:hAnsi="Times New Roman" w:cs="Times New Roman"/>
          <w:sz w:val="20"/>
          <w:szCs w:val="20"/>
        </w:rPr>
        <w:t xml:space="preserve">Maiomon, </w:t>
      </w:r>
      <w:r w:rsidRPr="006040A4">
        <w:rPr>
          <w:rFonts w:ascii="Times New Roman" w:hAnsi="Times New Roman" w:cs="Times New Roman"/>
          <w:i/>
          <w:sz w:val="20"/>
          <w:szCs w:val="20"/>
        </w:rPr>
        <w:t>Lebensgeschichte</w:t>
      </w:r>
      <w:r w:rsidRPr="006040A4">
        <w:rPr>
          <w:rFonts w:ascii="Times New Roman" w:hAnsi="Times New Roman" w:cs="Times New Roman"/>
          <w:sz w:val="20"/>
          <w:szCs w:val="20"/>
        </w:rPr>
        <w:t xml:space="preserve">, in </w:t>
      </w:r>
      <w:r w:rsidRPr="006040A4">
        <w:rPr>
          <w:rFonts w:ascii="Times New Roman" w:hAnsi="Times New Roman" w:cs="Times New Roman"/>
          <w:i/>
          <w:sz w:val="20"/>
          <w:szCs w:val="20"/>
        </w:rPr>
        <w:t>Salomon Maimon Gesamm</w:t>
      </w:r>
      <w:r>
        <w:rPr>
          <w:rFonts w:ascii="Times New Roman" w:hAnsi="Times New Roman" w:cs="Times New Roman"/>
          <w:i/>
          <w:sz w:val="20"/>
          <w:szCs w:val="20"/>
        </w:rPr>
        <w:t>e</w:t>
      </w:r>
      <w:r w:rsidRPr="006040A4">
        <w:rPr>
          <w:rFonts w:ascii="Times New Roman" w:hAnsi="Times New Roman" w:cs="Times New Roman"/>
          <w:i/>
          <w:sz w:val="20"/>
          <w:szCs w:val="20"/>
        </w:rPr>
        <w:t>lte Werke</w:t>
      </w:r>
      <w:r>
        <w:rPr>
          <w:rFonts w:ascii="Times New Roman" w:hAnsi="Times New Roman" w:cs="Times New Roman"/>
          <w:sz w:val="20"/>
          <w:szCs w:val="20"/>
        </w:rPr>
        <w:t>, hrsg. von</w:t>
      </w:r>
      <w:r w:rsidRPr="006040A4">
        <w:rPr>
          <w:rFonts w:ascii="Times New Roman" w:hAnsi="Times New Roman" w:cs="Times New Roman"/>
          <w:sz w:val="20"/>
          <w:szCs w:val="20"/>
        </w:rPr>
        <w:t xml:space="preserve"> V. Verra, Georg Olm Verlag, Hilderheim- Zürich-New</w:t>
      </w:r>
      <w:r>
        <w:rPr>
          <w:rFonts w:ascii="Times New Roman" w:hAnsi="Times New Roman" w:cs="Times New Roman"/>
          <w:sz w:val="20"/>
          <w:szCs w:val="20"/>
        </w:rPr>
        <w:t xml:space="preserve"> York, </w:t>
      </w:r>
      <w:r w:rsidRPr="006040A4">
        <w:rPr>
          <w:rFonts w:ascii="Times New Roman" w:hAnsi="Times New Roman" w:cs="Times New Roman"/>
          <w:sz w:val="20"/>
          <w:szCs w:val="20"/>
        </w:rPr>
        <w:t>2000</w:t>
      </w:r>
      <w:r>
        <w:rPr>
          <w:rFonts w:ascii="Times New Roman" w:hAnsi="Times New Roman" w:cs="Times New Roman"/>
          <w:sz w:val="20"/>
          <w:szCs w:val="20"/>
        </w:rPr>
        <w:t>.</w:t>
      </w:r>
    </w:p>
  </w:footnote>
  <w:footnote w:id="995">
    <w:p w14:paraId="690116E1" w14:textId="77777777" w:rsidR="00B34CC2" w:rsidRPr="00285133" w:rsidRDefault="00B34CC2" w:rsidP="001C3D81">
      <w:pPr>
        <w:pStyle w:val="Testonotaapidipagina"/>
        <w:rPr>
          <w:rFonts w:ascii="Times New Roman" w:hAnsi="Times New Roman" w:cs="Times New Roman"/>
          <w:sz w:val="20"/>
          <w:szCs w:val="20"/>
        </w:rPr>
      </w:pPr>
      <w:r w:rsidRPr="002F0347">
        <w:rPr>
          <w:rStyle w:val="Rimandonotaapidipagina"/>
          <w:rFonts w:ascii="Times New Roman" w:hAnsi="Times New Roman" w:cs="Times New Roman"/>
          <w:sz w:val="20"/>
          <w:szCs w:val="20"/>
        </w:rPr>
        <w:footnoteRef/>
      </w:r>
      <w:r w:rsidRPr="002F0347">
        <w:rPr>
          <w:rFonts w:ascii="Times New Roman" w:hAnsi="Times New Roman" w:cs="Times New Roman"/>
          <w:sz w:val="20"/>
          <w:szCs w:val="20"/>
        </w:rPr>
        <w:t xml:space="preserve"> </w:t>
      </w:r>
      <w:r w:rsidRPr="00E217C1">
        <w:rPr>
          <w:rFonts w:ascii="Times New Roman" w:hAnsi="Times New Roman" w:cs="Times New Roman"/>
          <w:sz w:val="20"/>
          <w:szCs w:val="20"/>
        </w:rPr>
        <w:t>Ebd.</w:t>
      </w:r>
      <w:r>
        <w:rPr>
          <w:rFonts w:ascii="Times New Roman" w:hAnsi="Times New Roman" w:cs="Times New Roman"/>
          <w:sz w:val="20"/>
          <w:szCs w:val="20"/>
        </w:rPr>
        <w:t xml:space="preserve">, </w:t>
      </w:r>
      <w:r w:rsidRPr="002F0347">
        <w:rPr>
          <w:rFonts w:ascii="Times New Roman" w:hAnsi="Times New Roman" w:cs="Times New Roman"/>
          <w:sz w:val="20"/>
          <w:szCs w:val="20"/>
        </w:rPr>
        <w:t>S. 138.</w:t>
      </w:r>
    </w:p>
  </w:footnote>
  <w:footnote w:id="996">
    <w:p w14:paraId="69D79844" w14:textId="77777777" w:rsidR="00B34CC2" w:rsidRPr="00521285" w:rsidRDefault="00B34CC2" w:rsidP="001C3D81">
      <w:pPr>
        <w:pStyle w:val="Testonotaapidipagina"/>
        <w:rPr>
          <w:rFonts w:ascii="Times New Roman" w:hAnsi="Times New Roman" w:cs="Times New Roman"/>
          <w:sz w:val="20"/>
          <w:szCs w:val="20"/>
        </w:rPr>
      </w:pPr>
      <w:r w:rsidRPr="00521285">
        <w:rPr>
          <w:rStyle w:val="Rimandonotaapidipagina"/>
          <w:rFonts w:ascii="Times New Roman" w:hAnsi="Times New Roman" w:cs="Times New Roman"/>
          <w:sz w:val="20"/>
          <w:szCs w:val="20"/>
        </w:rPr>
        <w:footnoteRef/>
      </w:r>
      <w:r w:rsidRPr="00521285">
        <w:rPr>
          <w:rFonts w:ascii="Times New Roman" w:hAnsi="Times New Roman" w:cs="Times New Roman"/>
          <w:i/>
          <w:sz w:val="20"/>
          <w:szCs w:val="20"/>
        </w:rPr>
        <w:t xml:space="preserve"> </w:t>
      </w:r>
      <w:r w:rsidRPr="00E217C1">
        <w:rPr>
          <w:rFonts w:ascii="Times New Roman" w:hAnsi="Times New Roman" w:cs="Times New Roman"/>
          <w:sz w:val="20"/>
          <w:szCs w:val="20"/>
        </w:rPr>
        <w:t>Ebd.</w:t>
      </w:r>
      <w:r>
        <w:rPr>
          <w:rFonts w:ascii="Times New Roman" w:hAnsi="Times New Roman" w:cs="Times New Roman"/>
          <w:sz w:val="20"/>
          <w:szCs w:val="20"/>
        </w:rPr>
        <w:t xml:space="preserve">, </w:t>
      </w:r>
      <w:r w:rsidRPr="002F0347">
        <w:rPr>
          <w:rFonts w:ascii="Times New Roman" w:hAnsi="Times New Roman" w:cs="Times New Roman"/>
          <w:sz w:val="20"/>
          <w:szCs w:val="20"/>
        </w:rPr>
        <w:t>S. 138.</w:t>
      </w:r>
    </w:p>
  </w:footnote>
  <w:footnote w:id="997">
    <w:p w14:paraId="0EF96370" w14:textId="77777777" w:rsidR="00B34CC2" w:rsidRPr="00D829E1" w:rsidRDefault="00B34CC2" w:rsidP="001C3D81">
      <w:pPr>
        <w:pStyle w:val="Testonotaapidipagina"/>
        <w:rPr>
          <w:rFonts w:ascii="Times New Roman" w:hAnsi="Times New Roman" w:cs="Times New Roman"/>
          <w:sz w:val="20"/>
          <w:szCs w:val="20"/>
        </w:rPr>
      </w:pPr>
      <w:r w:rsidRPr="00D829E1">
        <w:rPr>
          <w:rStyle w:val="Rimandonotaapidipagina"/>
          <w:rFonts w:ascii="Times New Roman" w:hAnsi="Times New Roman" w:cs="Times New Roman"/>
          <w:sz w:val="20"/>
          <w:szCs w:val="20"/>
        </w:rPr>
        <w:footnoteRef/>
      </w:r>
      <w:r w:rsidRPr="002F0347">
        <w:rPr>
          <w:rFonts w:ascii="Times New Roman" w:hAnsi="Times New Roman" w:cs="Times New Roman"/>
          <w:i/>
          <w:sz w:val="20"/>
          <w:szCs w:val="20"/>
        </w:rPr>
        <w:t xml:space="preserve"> </w:t>
      </w:r>
      <w:r w:rsidRPr="00E217C1">
        <w:rPr>
          <w:rFonts w:ascii="Times New Roman" w:hAnsi="Times New Roman" w:cs="Times New Roman"/>
          <w:sz w:val="20"/>
          <w:szCs w:val="20"/>
        </w:rPr>
        <w:t>Ebd.</w:t>
      </w:r>
      <w:r>
        <w:rPr>
          <w:rFonts w:ascii="Times New Roman" w:hAnsi="Times New Roman" w:cs="Times New Roman"/>
          <w:sz w:val="20"/>
          <w:szCs w:val="20"/>
        </w:rPr>
        <w:t xml:space="preserve">, S. </w:t>
      </w:r>
      <w:r w:rsidRPr="00D829E1">
        <w:rPr>
          <w:rFonts w:ascii="Times New Roman" w:hAnsi="Times New Roman" w:cs="Times New Roman"/>
          <w:sz w:val="20"/>
          <w:szCs w:val="20"/>
        </w:rPr>
        <w:t>140-141.</w:t>
      </w:r>
    </w:p>
  </w:footnote>
  <w:footnote w:id="998">
    <w:p w14:paraId="10688766" w14:textId="77777777" w:rsidR="00B34CC2" w:rsidRPr="001059A3" w:rsidRDefault="00B34CC2" w:rsidP="001C3D81">
      <w:pPr>
        <w:pStyle w:val="Testonotaapidipagina"/>
        <w:jc w:val="both"/>
        <w:rPr>
          <w:rFonts w:ascii="Times New Roman" w:hAnsi="Times New Roman"/>
          <w:sz w:val="20"/>
          <w:szCs w:val="20"/>
        </w:rPr>
      </w:pPr>
      <w:r w:rsidRPr="00E65D42">
        <w:rPr>
          <w:rStyle w:val="Rimandonotaapidipagina"/>
          <w:rFonts w:ascii="Times New Roman" w:hAnsi="Times New Roman" w:cs="Times New Roman"/>
          <w:sz w:val="20"/>
          <w:szCs w:val="20"/>
        </w:rPr>
        <w:footnoteRef/>
      </w:r>
      <w:r>
        <w:rPr>
          <w:rFonts w:ascii="Times New Roman" w:hAnsi="Times New Roman" w:cs="Times New Roman"/>
          <w:sz w:val="20"/>
          <w:szCs w:val="20"/>
        </w:rPr>
        <w:t xml:space="preserve"> </w:t>
      </w:r>
      <w:r>
        <w:rPr>
          <w:rFonts w:ascii="Times New Roman" w:hAnsi="Times New Roman"/>
          <w:sz w:val="20"/>
          <w:szCs w:val="20"/>
        </w:rPr>
        <w:t>Ebd.</w:t>
      </w:r>
      <w:r>
        <w:rPr>
          <w:rFonts w:ascii="Times New Roman" w:hAnsi="Times New Roman" w:cs="Times New Roman"/>
          <w:sz w:val="20"/>
          <w:szCs w:val="20"/>
        </w:rPr>
        <w:t>, S. 141.</w:t>
      </w:r>
    </w:p>
  </w:footnote>
  <w:footnote w:id="999">
    <w:p w14:paraId="151F0104" w14:textId="77777777" w:rsidR="00B34CC2" w:rsidRPr="0026041B" w:rsidRDefault="00B34CC2" w:rsidP="001C3D81">
      <w:pPr>
        <w:pStyle w:val="Testonotaapidipagina"/>
        <w:jc w:val="both"/>
        <w:rPr>
          <w:rFonts w:ascii="Times New Roman" w:hAnsi="Times New Roman" w:cs="Times New Roman"/>
          <w:sz w:val="20"/>
          <w:szCs w:val="20"/>
        </w:rPr>
      </w:pPr>
      <w:r w:rsidRPr="0026041B">
        <w:rPr>
          <w:rStyle w:val="Rimandonotaapidipagina"/>
          <w:rFonts w:ascii="Times New Roman" w:hAnsi="Times New Roman" w:cs="Times New Roman"/>
          <w:sz w:val="20"/>
          <w:szCs w:val="20"/>
        </w:rPr>
        <w:footnoteRef/>
      </w:r>
      <w:r>
        <w:rPr>
          <w:rFonts w:ascii="Times New Roman" w:hAnsi="Times New Roman" w:cs="Times New Roman"/>
          <w:sz w:val="20"/>
          <w:szCs w:val="20"/>
        </w:rPr>
        <w:t xml:space="preserve"> Ebd., S. 153.</w:t>
      </w:r>
    </w:p>
  </w:footnote>
  <w:footnote w:id="1000">
    <w:p w14:paraId="6176A954" w14:textId="77777777" w:rsidR="00B34CC2" w:rsidRPr="00C76757" w:rsidRDefault="00B34CC2" w:rsidP="001C3D81">
      <w:pPr>
        <w:pStyle w:val="Testonotaapidipagina"/>
        <w:jc w:val="both"/>
        <w:rPr>
          <w:rFonts w:ascii="Times New Roman" w:hAnsi="Times New Roman" w:cs="Times New Roman"/>
          <w:sz w:val="20"/>
          <w:szCs w:val="20"/>
        </w:rPr>
      </w:pPr>
      <w:r w:rsidRPr="00C76757">
        <w:rPr>
          <w:rStyle w:val="Rimandonotaapidipagina"/>
          <w:rFonts w:ascii="Times New Roman" w:hAnsi="Times New Roman" w:cs="Times New Roman"/>
          <w:sz w:val="20"/>
          <w:szCs w:val="20"/>
        </w:rPr>
        <w:footnoteRef/>
      </w:r>
      <w:r>
        <w:rPr>
          <w:rFonts w:ascii="Times New Roman" w:hAnsi="Times New Roman" w:cs="Times New Roman"/>
          <w:sz w:val="20"/>
          <w:szCs w:val="20"/>
        </w:rPr>
        <w:t xml:space="preserve"> Ebd.</w:t>
      </w:r>
      <w:r w:rsidRPr="00C76757">
        <w:rPr>
          <w:rFonts w:ascii="Times New Roman" w:hAnsi="Times New Roman" w:cs="Times New Roman"/>
          <w:sz w:val="20"/>
          <w:szCs w:val="20"/>
        </w:rPr>
        <w:t>, S. 154.</w:t>
      </w:r>
    </w:p>
  </w:footnote>
  <w:footnote w:id="1001">
    <w:p w14:paraId="204AE22B" w14:textId="77777777" w:rsidR="00B34CC2" w:rsidRPr="00FB41D8" w:rsidRDefault="00B34CC2" w:rsidP="001C3D81">
      <w:pPr>
        <w:pStyle w:val="Testonotaapidipagina"/>
        <w:jc w:val="both"/>
        <w:rPr>
          <w:rFonts w:ascii="Times New Roman" w:hAnsi="Times New Roman" w:cs="Times New Roman"/>
          <w:sz w:val="20"/>
          <w:szCs w:val="20"/>
        </w:rPr>
      </w:pPr>
      <w:r w:rsidRPr="001A4601">
        <w:rPr>
          <w:rStyle w:val="Rimandonotaapidipagina"/>
          <w:rFonts w:ascii="Times New Roman" w:hAnsi="Times New Roman" w:cs="Times New Roman"/>
          <w:sz w:val="20"/>
          <w:szCs w:val="20"/>
        </w:rPr>
        <w:footnoteRef/>
      </w:r>
      <w:r w:rsidRPr="001A4601">
        <w:rPr>
          <w:rFonts w:ascii="Times New Roman" w:hAnsi="Times New Roman" w:cs="Times New Roman"/>
          <w:sz w:val="20"/>
          <w:szCs w:val="20"/>
        </w:rPr>
        <w:t xml:space="preserve"> Zum</w:t>
      </w:r>
      <w:r>
        <w:rPr>
          <w:rFonts w:ascii="Times New Roman" w:hAnsi="Times New Roman" w:cs="Times New Roman"/>
          <w:sz w:val="20"/>
          <w:szCs w:val="20"/>
        </w:rPr>
        <w:t xml:space="preserve"> </w:t>
      </w:r>
      <w:r>
        <w:rPr>
          <w:rFonts w:ascii="Times New Roman" w:hAnsi="Times New Roman" w:cs="Times New Roman"/>
          <w:i/>
          <w:sz w:val="20"/>
          <w:szCs w:val="20"/>
        </w:rPr>
        <w:t>Geist</w:t>
      </w:r>
      <w:r w:rsidRPr="006A4B90">
        <w:rPr>
          <w:rFonts w:ascii="Times New Roman" w:hAnsi="Times New Roman" w:cs="Times New Roman"/>
          <w:i/>
          <w:sz w:val="20"/>
          <w:szCs w:val="20"/>
        </w:rPr>
        <w:t xml:space="preserve"> der spekulativen Philosophie</w:t>
      </w:r>
      <w:r>
        <w:rPr>
          <w:rFonts w:ascii="Times New Roman" w:hAnsi="Times New Roman" w:cs="Times New Roman"/>
          <w:sz w:val="20"/>
          <w:szCs w:val="20"/>
        </w:rPr>
        <w:t xml:space="preserve"> siehe I.F. Balbo, </w:t>
      </w:r>
      <w:r w:rsidRPr="00FB41D8">
        <w:rPr>
          <w:rFonts w:ascii="Times New Roman" w:hAnsi="Times New Roman" w:cs="Times New Roman"/>
          <w:i/>
          <w:sz w:val="20"/>
          <w:szCs w:val="20"/>
        </w:rPr>
        <w:t>T</w:t>
      </w:r>
      <w:r>
        <w:rPr>
          <w:rFonts w:ascii="Times New Roman" w:hAnsi="Times New Roman" w:cs="Times New Roman"/>
          <w:i/>
          <w:sz w:val="20"/>
          <w:szCs w:val="20"/>
        </w:rPr>
        <w:t>he Göttingen School and Popularphilosophie</w:t>
      </w:r>
      <w:r>
        <w:rPr>
          <w:rFonts w:ascii="Times New Roman" w:hAnsi="Times New Roman" w:cs="Times New Roman"/>
          <w:sz w:val="20"/>
          <w:szCs w:val="20"/>
        </w:rPr>
        <w:t xml:space="preserve">, in </w:t>
      </w:r>
      <w:r w:rsidRPr="00B13B44">
        <w:rPr>
          <w:rFonts w:ascii="Times New Roman" w:hAnsi="Times New Roman" w:cs="Times New Roman"/>
          <w:i/>
          <w:sz w:val="20"/>
          <w:szCs w:val="20"/>
        </w:rPr>
        <w:t xml:space="preserve">Models of History of Philosophy </w:t>
      </w:r>
      <w:r>
        <w:rPr>
          <w:rFonts w:ascii="Times New Roman" w:hAnsi="Times New Roman" w:cs="Times New Roman"/>
          <w:sz w:val="20"/>
          <w:szCs w:val="20"/>
        </w:rPr>
        <w:t xml:space="preserve">(ed. by G. Piaia and G. Santiello), </w:t>
      </w:r>
      <w:r w:rsidRPr="006F10F8">
        <w:rPr>
          <w:rFonts w:ascii="Times New Roman" w:hAnsi="Times New Roman" w:cs="Times New Roman"/>
          <w:i/>
          <w:sz w:val="20"/>
          <w:szCs w:val="20"/>
        </w:rPr>
        <w:t>Volume I</w:t>
      </w:r>
      <w:r>
        <w:rPr>
          <w:rFonts w:ascii="Times New Roman" w:hAnsi="Times New Roman" w:cs="Times New Roman"/>
          <w:i/>
          <w:sz w:val="20"/>
          <w:szCs w:val="20"/>
        </w:rPr>
        <w:t>I</w:t>
      </w:r>
      <w:r w:rsidRPr="006F10F8">
        <w:rPr>
          <w:rFonts w:ascii="Times New Roman" w:hAnsi="Times New Roman" w:cs="Times New Roman"/>
          <w:i/>
          <w:sz w:val="20"/>
          <w:szCs w:val="20"/>
        </w:rPr>
        <w:t xml:space="preserve">I: </w:t>
      </w:r>
      <w:r>
        <w:rPr>
          <w:rFonts w:ascii="Times New Roman" w:hAnsi="Times New Roman" w:cs="Times New Roman"/>
          <w:i/>
          <w:sz w:val="20"/>
          <w:szCs w:val="20"/>
        </w:rPr>
        <w:t>The Second Enlightment and the Kantian Age</w:t>
      </w:r>
      <w:r>
        <w:rPr>
          <w:rFonts w:ascii="Times New Roman" w:hAnsi="Times New Roman" w:cs="Times New Roman"/>
          <w:sz w:val="20"/>
          <w:szCs w:val="20"/>
        </w:rPr>
        <w:t xml:space="preserve">, </w:t>
      </w:r>
      <w:r w:rsidRPr="000D63A7">
        <w:rPr>
          <w:rFonts w:ascii="Times New Roman" w:hAnsi="Times New Roman" w:cs="Times New Roman"/>
          <w:sz w:val="20"/>
          <w:szCs w:val="20"/>
          <w:lang w:val="de-DE"/>
        </w:rPr>
        <w:t>a.a.</w:t>
      </w:r>
      <w:r>
        <w:rPr>
          <w:rFonts w:ascii="Times New Roman" w:hAnsi="Times New Roman" w:cs="Times New Roman"/>
          <w:sz w:val="20"/>
          <w:szCs w:val="20"/>
          <w:lang w:val="de-DE"/>
        </w:rPr>
        <w:t>O.</w:t>
      </w:r>
      <w:r>
        <w:rPr>
          <w:rFonts w:ascii="Times New Roman" w:hAnsi="Times New Roman" w:cs="Times New Roman"/>
          <w:sz w:val="20"/>
          <w:szCs w:val="20"/>
        </w:rPr>
        <w:t>, S. 670-693.</w:t>
      </w:r>
    </w:p>
  </w:footnote>
  <w:footnote w:id="1002">
    <w:p w14:paraId="73D35F9D" w14:textId="77777777" w:rsidR="00B34CC2" w:rsidRPr="000F7E87" w:rsidRDefault="00B34CC2" w:rsidP="001C3D81">
      <w:pPr>
        <w:pStyle w:val="Testonotaapidipagina"/>
        <w:jc w:val="both"/>
        <w:rPr>
          <w:rFonts w:ascii="Times New Roman" w:hAnsi="Times New Roman" w:cs="Times New Roman"/>
          <w:sz w:val="20"/>
          <w:szCs w:val="20"/>
        </w:rPr>
      </w:pPr>
      <w:r w:rsidRPr="000F7E87">
        <w:rPr>
          <w:rStyle w:val="Rimandonotaapidipagina"/>
          <w:rFonts w:ascii="Times New Roman" w:hAnsi="Times New Roman" w:cs="Times New Roman"/>
          <w:sz w:val="20"/>
          <w:szCs w:val="20"/>
        </w:rPr>
        <w:footnoteRef/>
      </w:r>
      <w:r w:rsidRPr="000F7E87">
        <w:rPr>
          <w:rFonts w:ascii="Times New Roman" w:hAnsi="Times New Roman" w:cs="Times New Roman"/>
          <w:sz w:val="20"/>
          <w:szCs w:val="20"/>
        </w:rPr>
        <w:t xml:space="preserve"> D. Tiedemann, </w:t>
      </w:r>
      <w:r w:rsidRPr="000F7E87">
        <w:rPr>
          <w:rFonts w:ascii="Times New Roman" w:hAnsi="Times New Roman" w:cs="Times New Roman"/>
          <w:i/>
          <w:sz w:val="20"/>
          <w:szCs w:val="20"/>
        </w:rPr>
        <w:t>Geist der speculativen Philosophie</w:t>
      </w:r>
      <w:r w:rsidRPr="000F7E87">
        <w:rPr>
          <w:rFonts w:ascii="Times New Roman" w:hAnsi="Times New Roman" w:cs="Times New Roman"/>
          <w:sz w:val="20"/>
          <w:szCs w:val="20"/>
        </w:rPr>
        <w:t xml:space="preserve">, </w:t>
      </w:r>
      <w:r w:rsidRPr="000F7E87">
        <w:rPr>
          <w:rFonts w:ascii="Times New Roman" w:hAnsi="Times New Roman" w:cs="Times New Roman"/>
          <w:i/>
          <w:sz w:val="20"/>
          <w:szCs w:val="20"/>
        </w:rPr>
        <w:t>Dritter Band</w:t>
      </w:r>
      <w:r>
        <w:rPr>
          <w:rFonts w:ascii="Times New Roman" w:hAnsi="Times New Roman" w:cs="Times New Roman"/>
          <w:sz w:val="20"/>
          <w:szCs w:val="20"/>
        </w:rPr>
        <w:t>, Warburg 1793, S</w:t>
      </w:r>
      <w:r w:rsidRPr="000F7E87">
        <w:rPr>
          <w:rFonts w:ascii="Times New Roman" w:hAnsi="Times New Roman" w:cs="Times New Roman"/>
          <w:sz w:val="20"/>
          <w:szCs w:val="20"/>
        </w:rPr>
        <w:t>. 681.</w:t>
      </w:r>
    </w:p>
  </w:footnote>
  <w:footnote w:id="1003">
    <w:p w14:paraId="0F07FBA1" w14:textId="77777777" w:rsidR="00B34CC2" w:rsidRPr="00503638" w:rsidRDefault="00B34CC2" w:rsidP="001C3D81">
      <w:pPr>
        <w:pStyle w:val="Testonotaapidipagina"/>
        <w:rPr>
          <w:rFonts w:ascii="Times New Roman" w:hAnsi="Times New Roman" w:cs="Times New Roman"/>
          <w:sz w:val="20"/>
          <w:szCs w:val="20"/>
        </w:rPr>
      </w:pPr>
      <w:r w:rsidRPr="00503638">
        <w:rPr>
          <w:rStyle w:val="Rimandonotaapidipagina"/>
          <w:rFonts w:ascii="Times New Roman" w:hAnsi="Times New Roman" w:cs="Times New Roman"/>
          <w:sz w:val="20"/>
          <w:szCs w:val="20"/>
        </w:rPr>
        <w:footnoteRef/>
      </w:r>
      <w:r>
        <w:rPr>
          <w:rFonts w:ascii="Times New Roman" w:hAnsi="Times New Roman" w:cs="Times New Roman"/>
          <w:i/>
          <w:sz w:val="20"/>
          <w:szCs w:val="20"/>
        </w:rPr>
        <w:t xml:space="preserve"> </w:t>
      </w:r>
      <w:r w:rsidRPr="00B61F67">
        <w:rPr>
          <w:rFonts w:ascii="Times New Roman" w:hAnsi="Times New Roman" w:cs="Times New Roman"/>
          <w:sz w:val="20"/>
          <w:szCs w:val="20"/>
        </w:rPr>
        <w:t>Ebd.</w:t>
      </w:r>
      <w:r>
        <w:rPr>
          <w:rFonts w:ascii="Times New Roman" w:hAnsi="Times New Roman" w:cs="Times New Roman"/>
          <w:sz w:val="20"/>
          <w:szCs w:val="20"/>
        </w:rPr>
        <w:t xml:space="preserve">, </w:t>
      </w:r>
      <w:r w:rsidRPr="00503638">
        <w:rPr>
          <w:rFonts w:ascii="Times New Roman" w:hAnsi="Times New Roman" w:cs="Times New Roman"/>
          <w:sz w:val="20"/>
          <w:szCs w:val="20"/>
        </w:rPr>
        <w:t>S. 149-150.</w:t>
      </w:r>
    </w:p>
  </w:footnote>
  <w:footnote w:id="1004">
    <w:p w14:paraId="404D110D" w14:textId="77777777" w:rsidR="00B34CC2" w:rsidRPr="00503638" w:rsidRDefault="00B34CC2" w:rsidP="001C3D81">
      <w:pPr>
        <w:pStyle w:val="Testonotaapidipagina"/>
        <w:rPr>
          <w:rFonts w:ascii="Times New Roman" w:hAnsi="Times New Roman" w:cs="Times New Roman"/>
          <w:sz w:val="20"/>
          <w:szCs w:val="20"/>
        </w:rPr>
      </w:pPr>
      <w:r w:rsidRPr="00503638">
        <w:rPr>
          <w:rStyle w:val="Rimandonotaapidipagina"/>
          <w:rFonts w:ascii="Times New Roman" w:hAnsi="Times New Roman" w:cs="Times New Roman"/>
          <w:sz w:val="20"/>
          <w:szCs w:val="20"/>
        </w:rPr>
        <w:footnoteRef/>
      </w:r>
      <w:r w:rsidRPr="00503638">
        <w:rPr>
          <w:rFonts w:ascii="Times New Roman" w:hAnsi="Times New Roman" w:cs="Times New Roman"/>
          <w:sz w:val="20"/>
          <w:szCs w:val="20"/>
        </w:rPr>
        <w:t xml:space="preserve"> </w:t>
      </w:r>
      <w:r w:rsidRPr="00B61F67">
        <w:rPr>
          <w:rFonts w:ascii="Times New Roman" w:hAnsi="Times New Roman" w:cs="Times New Roman"/>
          <w:sz w:val="20"/>
          <w:szCs w:val="20"/>
        </w:rPr>
        <w:t>Ebd.</w:t>
      </w:r>
      <w:r>
        <w:rPr>
          <w:rFonts w:ascii="Times New Roman" w:hAnsi="Times New Roman" w:cs="Times New Roman"/>
          <w:sz w:val="20"/>
          <w:szCs w:val="20"/>
        </w:rPr>
        <w:t xml:space="preserve">, </w:t>
      </w:r>
      <w:r w:rsidRPr="00503638">
        <w:rPr>
          <w:rFonts w:ascii="Times New Roman" w:hAnsi="Times New Roman" w:cs="Times New Roman"/>
          <w:sz w:val="20"/>
          <w:szCs w:val="20"/>
        </w:rPr>
        <w:t>S. 150.</w:t>
      </w:r>
    </w:p>
  </w:footnote>
  <w:footnote w:id="1005">
    <w:p w14:paraId="6793F716" w14:textId="77777777" w:rsidR="00B34CC2" w:rsidRPr="00503638" w:rsidRDefault="00B34CC2" w:rsidP="001C3D81">
      <w:pPr>
        <w:pStyle w:val="Testonotaapidipagina"/>
      </w:pPr>
      <w:r w:rsidRPr="00503638">
        <w:rPr>
          <w:rStyle w:val="Rimandonotaapidipagina"/>
          <w:rFonts w:ascii="Times New Roman" w:hAnsi="Times New Roman" w:cs="Times New Roman"/>
          <w:sz w:val="20"/>
          <w:szCs w:val="20"/>
        </w:rPr>
        <w:footnoteRef/>
      </w:r>
      <w:r w:rsidRPr="00503638">
        <w:rPr>
          <w:rFonts w:ascii="Times New Roman" w:hAnsi="Times New Roman" w:cs="Times New Roman"/>
          <w:i/>
          <w:sz w:val="20"/>
          <w:szCs w:val="20"/>
        </w:rPr>
        <w:t xml:space="preserve"> </w:t>
      </w:r>
      <w:r w:rsidRPr="00B61F67">
        <w:rPr>
          <w:rFonts w:ascii="Times New Roman" w:hAnsi="Times New Roman" w:cs="Times New Roman"/>
          <w:sz w:val="20"/>
          <w:szCs w:val="20"/>
        </w:rPr>
        <w:t>Ebd.</w:t>
      </w:r>
      <w:r>
        <w:rPr>
          <w:rFonts w:ascii="Times New Roman" w:hAnsi="Times New Roman" w:cs="Times New Roman"/>
          <w:sz w:val="20"/>
          <w:szCs w:val="20"/>
        </w:rPr>
        <w:t xml:space="preserve">, </w:t>
      </w:r>
      <w:r w:rsidRPr="00503638">
        <w:rPr>
          <w:rFonts w:ascii="Times New Roman" w:hAnsi="Times New Roman" w:cs="Times New Roman"/>
          <w:sz w:val="20"/>
          <w:szCs w:val="20"/>
        </w:rPr>
        <w:t>S. 150.</w:t>
      </w:r>
    </w:p>
  </w:footnote>
  <w:footnote w:id="1006">
    <w:p w14:paraId="327AFF41" w14:textId="77777777" w:rsidR="00B34CC2" w:rsidRPr="00B14612" w:rsidRDefault="00B34CC2" w:rsidP="001C3D81">
      <w:pPr>
        <w:pStyle w:val="Testonotaapidipagina"/>
        <w:rPr>
          <w:rFonts w:ascii="Times New Roman" w:hAnsi="Times New Roman" w:cs="Times New Roman"/>
          <w:sz w:val="20"/>
          <w:szCs w:val="20"/>
        </w:rPr>
      </w:pPr>
      <w:r w:rsidRPr="00B14612">
        <w:rPr>
          <w:rStyle w:val="Rimandonotaapidipagina"/>
          <w:rFonts w:ascii="Times New Roman" w:hAnsi="Times New Roman" w:cs="Times New Roman"/>
          <w:sz w:val="20"/>
          <w:szCs w:val="20"/>
        </w:rPr>
        <w:footnoteRef/>
      </w:r>
      <w:r>
        <w:rPr>
          <w:rFonts w:ascii="Times New Roman" w:hAnsi="Times New Roman" w:cs="Times New Roman"/>
          <w:sz w:val="20"/>
          <w:szCs w:val="20"/>
        </w:rPr>
        <w:t xml:space="preserve"> </w:t>
      </w:r>
      <w:r w:rsidRPr="006A4B90">
        <w:rPr>
          <w:rFonts w:ascii="Times New Roman" w:hAnsi="Times New Roman" w:cs="Times New Roman"/>
          <w:sz w:val="20"/>
          <w:szCs w:val="20"/>
        </w:rPr>
        <w:t xml:space="preserve">Ebd., </w:t>
      </w:r>
      <w:r>
        <w:rPr>
          <w:rFonts w:ascii="Times New Roman" w:hAnsi="Times New Roman" w:cs="Times New Roman"/>
          <w:sz w:val="20"/>
          <w:szCs w:val="20"/>
        </w:rPr>
        <w:t>S. 157.</w:t>
      </w:r>
    </w:p>
  </w:footnote>
  <w:footnote w:id="1007">
    <w:p w14:paraId="339F288C" w14:textId="77777777" w:rsidR="00B34CC2" w:rsidRPr="00E25A8D" w:rsidRDefault="00B34CC2" w:rsidP="001C3D81">
      <w:pPr>
        <w:pStyle w:val="Testonotaapidipagina"/>
        <w:rPr>
          <w:rFonts w:ascii="Times New Roman" w:hAnsi="Times New Roman" w:cs="Times New Roman"/>
          <w:sz w:val="20"/>
          <w:szCs w:val="20"/>
        </w:rPr>
      </w:pPr>
      <w:r w:rsidRPr="00E25A8D">
        <w:rPr>
          <w:rStyle w:val="Rimandonotaapidipagina"/>
          <w:rFonts w:ascii="Times New Roman" w:hAnsi="Times New Roman" w:cs="Times New Roman"/>
          <w:sz w:val="20"/>
          <w:szCs w:val="20"/>
        </w:rPr>
        <w:footnoteRef/>
      </w:r>
      <w:r w:rsidRPr="00E25A8D">
        <w:rPr>
          <w:rFonts w:ascii="Times New Roman" w:hAnsi="Times New Roman" w:cs="Times New Roman"/>
          <w:sz w:val="20"/>
          <w:szCs w:val="20"/>
        </w:rPr>
        <w:t xml:space="preserve"> </w:t>
      </w:r>
      <w:r>
        <w:rPr>
          <w:rFonts w:ascii="Times New Roman" w:hAnsi="Times New Roman" w:cs="Times New Roman"/>
          <w:i/>
          <w:sz w:val="20"/>
          <w:szCs w:val="20"/>
        </w:rPr>
        <w:t xml:space="preserve"> </w:t>
      </w:r>
      <w:r w:rsidRPr="000F7E87">
        <w:rPr>
          <w:rFonts w:ascii="Times New Roman" w:hAnsi="Times New Roman" w:cs="Times New Roman"/>
          <w:sz w:val="20"/>
          <w:szCs w:val="20"/>
        </w:rPr>
        <w:t xml:space="preserve">D. Tiedemann, </w:t>
      </w:r>
      <w:r w:rsidRPr="000F7E87">
        <w:rPr>
          <w:rFonts w:ascii="Times New Roman" w:hAnsi="Times New Roman" w:cs="Times New Roman"/>
          <w:i/>
          <w:sz w:val="20"/>
          <w:szCs w:val="20"/>
        </w:rPr>
        <w:t>Geist der speculativen Philosophie</w:t>
      </w:r>
      <w:r w:rsidRPr="000F7E87">
        <w:rPr>
          <w:rFonts w:ascii="Times New Roman" w:hAnsi="Times New Roman" w:cs="Times New Roman"/>
          <w:sz w:val="20"/>
          <w:szCs w:val="20"/>
        </w:rPr>
        <w:t xml:space="preserve">, </w:t>
      </w:r>
      <w:r w:rsidRPr="000F7E87">
        <w:rPr>
          <w:rFonts w:ascii="Times New Roman" w:hAnsi="Times New Roman" w:cs="Times New Roman"/>
          <w:i/>
          <w:sz w:val="20"/>
          <w:szCs w:val="20"/>
        </w:rPr>
        <w:t>Dritter Band</w:t>
      </w:r>
      <w:r>
        <w:rPr>
          <w:rFonts w:ascii="Times New Roman" w:hAnsi="Times New Roman" w:cs="Times New Roman"/>
          <w:sz w:val="20"/>
          <w:szCs w:val="20"/>
        </w:rPr>
        <w:t>, a.a.O., S. 158-159.</w:t>
      </w:r>
    </w:p>
  </w:footnote>
  <w:footnote w:id="1008">
    <w:p w14:paraId="7BE344B8" w14:textId="77777777" w:rsidR="00B34CC2" w:rsidRPr="00E4734A" w:rsidRDefault="00B34CC2" w:rsidP="001C3D81">
      <w:pPr>
        <w:pStyle w:val="Testonotaapidipagina"/>
        <w:rPr>
          <w:rFonts w:ascii="Times New Roman" w:hAnsi="Times New Roman" w:cs="Times New Roman"/>
          <w:sz w:val="20"/>
          <w:szCs w:val="20"/>
        </w:rPr>
      </w:pPr>
      <w:r w:rsidRPr="00E4734A">
        <w:rPr>
          <w:rStyle w:val="Rimandonotaapidipagina"/>
          <w:rFonts w:ascii="Times New Roman" w:hAnsi="Times New Roman" w:cs="Times New Roman"/>
          <w:sz w:val="20"/>
          <w:szCs w:val="20"/>
        </w:rPr>
        <w:footnoteRef/>
      </w:r>
      <w:r>
        <w:rPr>
          <w:rFonts w:ascii="Times New Roman" w:hAnsi="Times New Roman" w:cs="Times New Roman"/>
          <w:sz w:val="20"/>
          <w:szCs w:val="20"/>
        </w:rPr>
        <w:t xml:space="preserve"> </w:t>
      </w:r>
      <w:r w:rsidRPr="006F15EA">
        <w:rPr>
          <w:rFonts w:ascii="Times New Roman" w:hAnsi="Times New Roman" w:cs="Times New Roman"/>
          <w:sz w:val="20"/>
          <w:szCs w:val="20"/>
        </w:rPr>
        <w:t>Ebd.,</w:t>
      </w:r>
      <w:r>
        <w:rPr>
          <w:rFonts w:ascii="Times New Roman" w:hAnsi="Times New Roman" w:cs="Times New Roman"/>
          <w:i/>
          <w:sz w:val="20"/>
          <w:szCs w:val="20"/>
        </w:rPr>
        <w:t xml:space="preserve"> </w:t>
      </w:r>
      <w:r>
        <w:rPr>
          <w:rFonts w:ascii="Times New Roman" w:hAnsi="Times New Roman" w:cs="Times New Roman"/>
          <w:sz w:val="20"/>
          <w:szCs w:val="20"/>
        </w:rPr>
        <w:t>S. 150.</w:t>
      </w:r>
    </w:p>
  </w:footnote>
  <w:footnote w:id="1009">
    <w:p w14:paraId="58D03A15" w14:textId="77777777" w:rsidR="00B34CC2" w:rsidRPr="006F15EA" w:rsidRDefault="00B34CC2" w:rsidP="001C3D81">
      <w:pPr>
        <w:pStyle w:val="Testonotaapidipagina"/>
        <w:rPr>
          <w:rFonts w:ascii="Times New Roman" w:hAnsi="Times New Roman" w:cs="Times New Roman"/>
          <w:sz w:val="20"/>
          <w:szCs w:val="20"/>
        </w:rPr>
      </w:pPr>
      <w:r w:rsidRPr="006F15EA">
        <w:rPr>
          <w:rStyle w:val="Rimandonotaapidipagina"/>
          <w:rFonts w:ascii="Times New Roman" w:hAnsi="Times New Roman" w:cs="Times New Roman"/>
          <w:sz w:val="20"/>
          <w:szCs w:val="20"/>
        </w:rPr>
        <w:footnoteRef/>
      </w:r>
      <w:r w:rsidRPr="006F15EA">
        <w:rPr>
          <w:rFonts w:ascii="Times New Roman" w:hAnsi="Times New Roman" w:cs="Times New Roman"/>
          <w:sz w:val="20"/>
          <w:szCs w:val="20"/>
        </w:rPr>
        <w:t xml:space="preserve"> Ebd., S. 150.</w:t>
      </w:r>
    </w:p>
  </w:footnote>
  <w:footnote w:id="1010">
    <w:p w14:paraId="47511F8E" w14:textId="77777777" w:rsidR="00B34CC2" w:rsidRPr="009F2238" w:rsidRDefault="00B34CC2" w:rsidP="001C3D81">
      <w:pPr>
        <w:pStyle w:val="Testonotaapidipagina"/>
        <w:rPr>
          <w:rFonts w:ascii="Times New Roman" w:hAnsi="Times New Roman" w:cs="Times New Roman"/>
          <w:sz w:val="20"/>
          <w:szCs w:val="20"/>
        </w:rPr>
      </w:pPr>
      <w:r w:rsidRPr="009F2238">
        <w:rPr>
          <w:rStyle w:val="Rimandonotaapidipagina"/>
          <w:rFonts w:ascii="Times New Roman" w:hAnsi="Times New Roman" w:cs="Times New Roman"/>
          <w:sz w:val="20"/>
          <w:szCs w:val="20"/>
        </w:rPr>
        <w:footnoteRef/>
      </w:r>
      <w:r w:rsidRPr="009F2238">
        <w:rPr>
          <w:rFonts w:ascii="Times New Roman" w:hAnsi="Times New Roman" w:cs="Times New Roman"/>
          <w:sz w:val="20"/>
          <w:szCs w:val="20"/>
        </w:rPr>
        <w:t xml:space="preserve"> </w:t>
      </w:r>
      <w:r>
        <w:rPr>
          <w:rFonts w:ascii="Times New Roman" w:hAnsi="Times New Roman" w:cs="Times New Roman"/>
          <w:sz w:val="20"/>
          <w:szCs w:val="20"/>
        </w:rPr>
        <w:t>Ebd.</w:t>
      </w:r>
      <w:r w:rsidRPr="009F2238">
        <w:rPr>
          <w:rFonts w:ascii="Times New Roman" w:hAnsi="Times New Roman" w:cs="Times New Roman"/>
          <w:sz w:val="20"/>
          <w:szCs w:val="20"/>
        </w:rPr>
        <w:t>, S. 232.</w:t>
      </w:r>
    </w:p>
  </w:footnote>
  <w:footnote w:id="1011">
    <w:p w14:paraId="0E3461F5" w14:textId="4005C2AA" w:rsidR="00B34CC2" w:rsidRPr="000D63A7" w:rsidRDefault="00B34CC2" w:rsidP="001C3D81">
      <w:pPr>
        <w:pStyle w:val="Testonotaapidipagina"/>
        <w:jc w:val="both"/>
        <w:rPr>
          <w:rFonts w:ascii="Times New Roman" w:hAnsi="Times New Roman" w:cs="Times New Roman"/>
          <w:i/>
          <w:sz w:val="20"/>
          <w:szCs w:val="20"/>
          <w:lang w:val="de-DE"/>
        </w:rPr>
      </w:pPr>
      <w:r w:rsidRPr="000D63A7">
        <w:rPr>
          <w:rStyle w:val="Rimandonotaapidipagina"/>
          <w:rFonts w:ascii="Times New Roman" w:hAnsi="Times New Roman" w:cs="Times New Roman"/>
          <w:sz w:val="20"/>
          <w:szCs w:val="20"/>
          <w:lang w:val="de-DE"/>
        </w:rPr>
        <w:footnoteRef/>
      </w:r>
      <w:r w:rsidRPr="000D63A7">
        <w:rPr>
          <w:rFonts w:ascii="Times New Roman" w:hAnsi="Times New Roman" w:cs="Times New Roman"/>
          <w:sz w:val="20"/>
          <w:szCs w:val="20"/>
          <w:lang w:val="de-DE"/>
        </w:rPr>
        <w:t xml:space="preserve"> Vgl. G. Micheli, </w:t>
      </w:r>
      <w:r w:rsidRPr="000D63A7">
        <w:rPr>
          <w:rFonts w:ascii="Times New Roman" w:hAnsi="Times New Roman" w:cs="Times New Roman"/>
          <w:i/>
          <w:sz w:val="20"/>
          <w:szCs w:val="20"/>
          <w:lang w:val="de-DE"/>
        </w:rPr>
        <w:t>Philosophy and Historiography: The Kantian Turningpoint</w:t>
      </w:r>
      <w:r w:rsidRPr="000D63A7">
        <w:rPr>
          <w:rFonts w:ascii="Times New Roman" w:hAnsi="Times New Roman" w:cs="Times New Roman"/>
          <w:sz w:val="20"/>
          <w:szCs w:val="20"/>
          <w:lang w:val="de-DE"/>
        </w:rPr>
        <w:t xml:space="preserve">, in </w:t>
      </w:r>
      <w:r w:rsidRPr="000D63A7">
        <w:rPr>
          <w:rFonts w:ascii="Times New Roman" w:hAnsi="Times New Roman" w:cs="Times New Roman"/>
          <w:i/>
          <w:sz w:val="20"/>
          <w:szCs w:val="20"/>
          <w:lang w:val="de-DE"/>
        </w:rPr>
        <w:t>Models of History of Philosophy</w:t>
      </w:r>
      <w:r w:rsidRPr="000D63A7">
        <w:rPr>
          <w:rFonts w:ascii="Times New Roman" w:hAnsi="Times New Roman" w:cs="Times New Roman"/>
          <w:sz w:val="20"/>
          <w:szCs w:val="20"/>
          <w:lang w:val="de-DE"/>
        </w:rPr>
        <w:t xml:space="preserve">, a.a.O., S. 697-768. Siehe J.G. Buhle, </w:t>
      </w:r>
      <w:r w:rsidRPr="000D63A7">
        <w:rPr>
          <w:rFonts w:ascii="Times New Roman" w:hAnsi="Times New Roman" w:cs="Times New Roman"/>
          <w:i/>
          <w:sz w:val="20"/>
          <w:szCs w:val="20"/>
          <w:lang w:val="de-DE"/>
        </w:rPr>
        <w:t>Lehrbuch der Geschichte der Philosophie</w:t>
      </w:r>
      <w:r w:rsidRPr="000D63A7">
        <w:rPr>
          <w:rFonts w:ascii="Times New Roman" w:hAnsi="Times New Roman" w:cs="Times New Roman"/>
          <w:sz w:val="20"/>
          <w:szCs w:val="20"/>
          <w:lang w:val="de-DE"/>
        </w:rPr>
        <w:t xml:space="preserve">, </w:t>
      </w:r>
      <w:r w:rsidRPr="000D63A7">
        <w:rPr>
          <w:rFonts w:ascii="Times New Roman" w:hAnsi="Times New Roman" w:cs="Times New Roman"/>
          <w:i/>
          <w:sz w:val="20"/>
          <w:szCs w:val="20"/>
          <w:lang w:val="de-DE"/>
        </w:rPr>
        <w:t xml:space="preserve">Vierter </w:t>
      </w:r>
      <w:r w:rsidRPr="0048793F">
        <w:rPr>
          <w:rFonts w:ascii="Times New Roman" w:hAnsi="Times New Roman" w:cs="Times New Roman"/>
          <w:i/>
          <w:sz w:val="20"/>
          <w:szCs w:val="20"/>
          <w:lang w:val="de-DE"/>
        </w:rPr>
        <w:t>Theil</w:t>
      </w:r>
      <w:r w:rsidRPr="0048793F">
        <w:rPr>
          <w:rFonts w:ascii="Times New Roman" w:hAnsi="Times New Roman" w:cs="Times New Roman"/>
          <w:sz w:val="20"/>
          <w:szCs w:val="20"/>
          <w:lang w:val="de-DE"/>
        </w:rPr>
        <w:t>, Leipzig 1796, S. 7-8: „Zu diesen [Quellen] gehören die Schriften der Philosophen selbst, und die vorhandenen urkundlichen Nachrichten über ihre Lehren, welcher letzteren Gebrauch aber kritische Vorsicht erfordert; 2) in neuere aus den Quellen geschöpfte ausführlichere Werke; 3) in Handbücher</w:t>
      </w:r>
      <w:r w:rsidRPr="0048793F">
        <w:rPr>
          <w:rFonts w:ascii="Times New Roman" w:hAnsi="Times New Roman" w:cs="Times New Roman"/>
          <w:sz w:val="20"/>
          <w:szCs w:val="20"/>
        </w:rPr>
        <w:t>”</w:t>
      </w:r>
      <w:r w:rsidRPr="0048793F">
        <w:rPr>
          <w:rFonts w:ascii="Times New Roman" w:hAnsi="Times New Roman" w:cs="Times New Roman"/>
          <w:sz w:val="20"/>
          <w:szCs w:val="20"/>
          <w:lang w:val="de-DE"/>
        </w:rPr>
        <w:t>.</w:t>
      </w:r>
      <w:r w:rsidRPr="0048793F">
        <w:rPr>
          <w:rFonts w:ascii="Times New Roman" w:hAnsi="Times New Roman" w:cs="Times New Roman"/>
          <w:i/>
          <w:sz w:val="20"/>
          <w:szCs w:val="20"/>
          <w:lang w:val="de-DE"/>
        </w:rPr>
        <w:t xml:space="preserve"> </w:t>
      </w:r>
      <w:r w:rsidRPr="0048793F">
        <w:rPr>
          <w:rFonts w:ascii="Times New Roman" w:hAnsi="Times New Roman" w:cs="Times New Roman"/>
          <w:sz w:val="20"/>
          <w:szCs w:val="20"/>
          <w:lang w:val="de-DE"/>
        </w:rPr>
        <w:t>Siehe</w:t>
      </w:r>
      <w:r w:rsidRPr="0048793F">
        <w:rPr>
          <w:rFonts w:ascii="Times New Roman" w:hAnsi="Times New Roman" w:cs="Times New Roman"/>
          <w:i/>
          <w:sz w:val="20"/>
          <w:szCs w:val="20"/>
          <w:lang w:val="de-DE"/>
        </w:rPr>
        <w:t xml:space="preserve"> </w:t>
      </w:r>
      <w:r w:rsidRPr="0048793F">
        <w:rPr>
          <w:rFonts w:ascii="Times New Roman" w:hAnsi="Times New Roman" w:cs="Times New Roman"/>
          <w:sz w:val="20"/>
          <w:szCs w:val="20"/>
          <w:lang w:val="de-DE"/>
        </w:rPr>
        <w:t>Ebd., S. 2: „Es [das Lehrbuch] soll den Ursprung, und die allmalige Entwicklung der Philosophie als Wissenschaft, in möglich gedrängter Kurze erzählen, den Geist der berühmtesten altern und neueren philosophischen Systeme, ihre Verschiedenheit, ihren gegenseitigen Einfluß  einander, und die nächsten Veranlassungen dazu, soweit die Nachrichten hinreichen, oder die Natur der philosophierenden Vernunft, die Zeitumstande, die besondern Geistesphysiognomieen, die Charaktere, sie Lebensgeschichte der Philosophen selbst,</w:t>
      </w:r>
      <w:r w:rsidRPr="000D63A7">
        <w:rPr>
          <w:rFonts w:ascii="Times New Roman" w:hAnsi="Times New Roman" w:cs="Times New Roman"/>
          <w:sz w:val="20"/>
          <w:szCs w:val="20"/>
          <w:lang w:val="de-DE"/>
        </w:rPr>
        <w:t xml:space="preserve"> schlu</w:t>
      </w:r>
      <w:r>
        <w:rPr>
          <w:rFonts w:ascii="Times New Roman" w:hAnsi="Times New Roman" w:cs="Times New Roman"/>
          <w:sz w:val="20"/>
          <w:szCs w:val="20"/>
          <w:lang w:val="de-DE"/>
        </w:rPr>
        <w:t>ß gewahren, historisch anzeige</w:t>
      </w:r>
      <w:r w:rsidRPr="000D63A7">
        <w:rPr>
          <w:rFonts w:ascii="Times New Roman" w:hAnsi="Times New Roman" w:cs="Times New Roman"/>
          <w:sz w:val="20"/>
          <w:szCs w:val="20"/>
          <w:lang w:val="de-DE"/>
        </w:rPr>
        <w:t>n</w:t>
      </w:r>
      <w:r w:rsidRPr="000D63A7">
        <w:rPr>
          <w:rFonts w:ascii="Times New Roman" w:hAnsi="Times New Roman" w:cs="Times New Roman"/>
          <w:sz w:val="20"/>
          <w:szCs w:val="20"/>
        </w:rPr>
        <w:t>”</w:t>
      </w:r>
      <w:r w:rsidRPr="000D63A7">
        <w:rPr>
          <w:rFonts w:ascii="Times New Roman" w:hAnsi="Times New Roman" w:cs="Times New Roman"/>
          <w:sz w:val="20"/>
          <w:szCs w:val="20"/>
          <w:lang w:val="de-DE"/>
        </w:rPr>
        <w:t>.</w:t>
      </w:r>
    </w:p>
  </w:footnote>
  <w:footnote w:id="1012">
    <w:p w14:paraId="0A9E9F8A" w14:textId="77777777" w:rsidR="00B34CC2" w:rsidRPr="00D60C0F" w:rsidRDefault="00B34CC2" w:rsidP="001C3D81">
      <w:pPr>
        <w:pStyle w:val="Testonotaapidipagina"/>
        <w:jc w:val="both"/>
        <w:rPr>
          <w:rFonts w:ascii="Times New Roman" w:hAnsi="Times New Roman" w:cs="Times New Roman"/>
          <w:sz w:val="20"/>
          <w:szCs w:val="20"/>
        </w:rPr>
      </w:pPr>
      <w:r w:rsidRPr="000D63A7">
        <w:rPr>
          <w:rStyle w:val="Rimandonotaapidipagina"/>
          <w:rFonts w:ascii="Times New Roman" w:hAnsi="Times New Roman" w:cs="Times New Roman"/>
          <w:sz w:val="20"/>
          <w:szCs w:val="20"/>
        </w:rPr>
        <w:footnoteRef/>
      </w:r>
      <w:r w:rsidRPr="000D63A7">
        <w:rPr>
          <w:rFonts w:ascii="Times New Roman" w:hAnsi="Times New Roman" w:cs="Times New Roman"/>
          <w:sz w:val="20"/>
          <w:szCs w:val="20"/>
        </w:rPr>
        <w:t xml:space="preserve"> J.G. Buhle, </w:t>
      </w:r>
      <w:r w:rsidRPr="000D63A7">
        <w:rPr>
          <w:rFonts w:ascii="Times New Roman" w:hAnsi="Times New Roman" w:cs="Times New Roman"/>
          <w:i/>
          <w:sz w:val="20"/>
          <w:szCs w:val="20"/>
        </w:rPr>
        <w:t>Lehrbuch der Geschichte der Philosophie</w:t>
      </w:r>
      <w:r w:rsidRPr="000D63A7">
        <w:rPr>
          <w:rFonts w:ascii="Times New Roman" w:hAnsi="Times New Roman" w:cs="Times New Roman"/>
          <w:sz w:val="20"/>
          <w:szCs w:val="20"/>
        </w:rPr>
        <w:t xml:space="preserve">, </w:t>
      </w:r>
      <w:r>
        <w:rPr>
          <w:rFonts w:ascii="Times New Roman" w:hAnsi="Times New Roman" w:cs="Times New Roman"/>
          <w:sz w:val="20"/>
          <w:szCs w:val="20"/>
        </w:rPr>
        <w:t>a.a.O.</w:t>
      </w:r>
      <w:r w:rsidRPr="000D63A7">
        <w:rPr>
          <w:rFonts w:ascii="Times New Roman" w:hAnsi="Times New Roman" w:cs="Times New Roman"/>
          <w:sz w:val="20"/>
          <w:szCs w:val="20"/>
        </w:rPr>
        <w:t>, S. 85.</w:t>
      </w:r>
    </w:p>
  </w:footnote>
  <w:footnote w:id="1013">
    <w:p w14:paraId="025B3911" w14:textId="77777777" w:rsidR="00B34CC2" w:rsidRPr="00E356D7" w:rsidRDefault="00B34CC2" w:rsidP="001C3D81">
      <w:pPr>
        <w:pStyle w:val="Testonotaapidipagina"/>
        <w:jc w:val="both"/>
        <w:rPr>
          <w:rFonts w:ascii="Times New Roman" w:hAnsi="Times New Roman" w:cs="Times New Roman"/>
          <w:sz w:val="20"/>
          <w:szCs w:val="20"/>
          <w:lang w:val="de-DE"/>
        </w:rPr>
      </w:pPr>
      <w:r w:rsidRPr="00A04ADE">
        <w:rPr>
          <w:rStyle w:val="Rimandonotaapidipagina"/>
          <w:rFonts w:ascii="Times New Roman" w:hAnsi="Times New Roman" w:cs="Times New Roman"/>
          <w:sz w:val="20"/>
          <w:szCs w:val="20"/>
        </w:rPr>
        <w:footnoteRef/>
      </w:r>
      <w:r>
        <w:rPr>
          <w:rFonts w:ascii="Times New Roman" w:hAnsi="Times New Roman" w:cs="Times New Roman"/>
          <w:sz w:val="20"/>
          <w:szCs w:val="20"/>
        </w:rPr>
        <w:t xml:space="preserve"> </w:t>
      </w:r>
      <w:r>
        <w:rPr>
          <w:rFonts w:ascii="Times New Roman" w:hAnsi="Times New Roman"/>
          <w:sz w:val="20"/>
          <w:szCs w:val="20"/>
        </w:rPr>
        <w:t xml:space="preserve">Ebd., </w:t>
      </w:r>
      <w:r>
        <w:rPr>
          <w:rFonts w:ascii="Times New Roman" w:hAnsi="Times New Roman" w:cs="Times New Roman"/>
          <w:sz w:val="20"/>
          <w:szCs w:val="20"/>
        </w:rPr>
        <w:t>S</w:t>
      </w:r>
      <w:r w:rsidRPr="00A04ADE">
        <w:rPr>
          <w:rFonts w:ascii="Times New Roman" w:hAnsi="Times New Roman" w:cs="Times New Roman"/>
          <w:sz w:val="20"/>
          <w:szCs w:val="20"/>
        </w:rPr>
        <w:t>. 96-97</w:t>
      </w:r>
      <w:r>
        <w:t xml:space="preserve">: </w:t>
      </w:r>
      <w:r>
        <w:rPr>
          <w:rFonts w:ascii="Times New Roman" w:hAnsi="Times New Roman" w:cs="Times New Roman"/>
          <w:sz w:val="20"/>
          <w:szCs w:val="20"/>
          <w:lang w:val="de-DE"/>
        </w:rPr>
        <w:t>„</w:t>
      </w:r>
      <w:r w:rsidRPr="00E356D7">
        <w:rPr>
          <w:rFonts w:ascii="Times New Roman" w:hAnsi="Times New Roman" w:cs="Times New Roman"/>
          <w:sz w:val="20"/>
          <w:szCs w:val="20"/>
          <w:lang w:val="de-DE"/>
        </w:rPr>
        <w:t>Ormuzd</w:t>
      </w:r>
      <w:r>
        <w:rPr>
          <w:rFonts w:ascii="Times New Roman" w:hAnsi="Times New Roman" w:cs="Times New Roman"/>
          <w:sz w:val="20"/>
          <w:szCs w:val="20"/>
          <w:lang w:val="de-DE"/>
        </w:rPr>
        <w:t xml:space="preserve"> […]</w:t>
      </w:r>
      <w:r w:rsidRPr="00E356D7">
        <w:rPr>
          <w:rFonts w:ascii="Times New Roman" w:hAnsi="Times New Roman" w:cs="Times New Roman"/>
          <w:sz w:val="20"/>
          <w:szCs w:val="20"/>
          <w:lang w:val="de-DE"/>
        </w:rPr>
        <w:t xml:space="preserve"> ist dieselbe Idee mit dem </w:t>
      </w:r>
      <w:r w:rsidRPr="00E356D7">
        <w:rPr>
          <w:rFonts w:ascii="Times New Roman" w:hAnsi="Times New Roman" w:cs="Times New Roman"/>
          <w:i/>
          <w:sz w:val="20"/>
          <w:szCs w:val="20"/>
          <w:lang w:val="de-DE"/>
        </w:rPr>
        <w:t xml:space="preserve">λογος </w:t>
      </w:r>
      <w:r w:rsidRPr="00E356D7">
        <w:rPr>
          <w:rFonts w:ascii="Times New Roman" w:hAnsi="Times New Roman" w:cs="Times New Roman"/>
          <w:sz w:val="20"/>
          <w:szCs w:val="20"/>
          <w:lang w:val="de-DE"/>
        </w:rPr>
        <w:t xml:space="preserve">beym Philo […] </w:t>
      </w:r>
      <w:r>
        <w:rPr>
          <w:rFonts w:ascii="Times New Roman" w:hAnsi="Times New Roman" w:cs="Times New Roman"/>
          <w:sz w:val="20"/>
          <w:szCs w:val="20"/>
          <w:lang w:val="de-DE"/>
        </w:rPr>
        <w:t>nur daß Philo mehr platonisiert</w:t>
      </w:r>
      <w:r w:rsidRPr="000D63A7">
        <w:rPr>
          <w:rFonts w:ascii="Times New Roman" w:hAnsi="Times New Roman" w:cs="Times New Roman"/>
          <w:sz w:val="20"/>
          <w:szCs w:val="20"/>
        </w:rPr>
        <w:t>”</w:t>
      </w:r>
      <w:r w:rsidRPr="00E356D7">
        <w:rPr>
          <w:rFonts w:ascii="Times New Roman" w:hAnsi="Times New Roman" w:cs="Times New Roman"/>
          <w:sz w:val="20"/>
          <w:szCs w:val="20"/>
          <w:lang w:val="de-DE"/>
        </w:rPr>
        <w:t>.</w:t>
      </w:r>
    </w:p>
  </w:footnote>
  <w:footnote w:id="1014">
    <w:p w14:paraId="00A9030B" w14:textId="77777777" w:rsidR="00B34CC2" w:rsidRPr="00D20D6E" w:rsidRDefault="00B34CC2" w:rsidP="001C3D81">
      <w:pPr>
        <w:pStyle w:val="Testonotaapidipagina"/>
        <w:jc w:val="both"/>
        <w:rPr>
          <w:rFonts w:ascii="Times New Roman" w:hAnsi="Times New Roman"/>
          <w:sz w:val="20"/>
          <w:szCs w:val="20"/>
        </w:rPr>
      </w:pPr>
      <w:r w:rsidRPr="00D20D6E">
        <w:rPr>
          <w:rStyle w:val="Rimandonotaapidipagina"/>
          <w:rFonts w:ascii="Times New Roman" w:hAnsi="Times New Roman"/>
          <w:sz w:val="20"/>
          <w:szCs w:val="20"/>
        </w:rPr>
        <w:footnoteRef/>
      </w:r>
      <w:r w:rsidRPr="00D20D6E">
        <w:rPr>
          <w:rFonts w:ascii="Times New Roman" w:hAnsi="Times New Roman"/>
          <w:sz w:val="20"/>
          <w:szCs w:val="20"/>
        </w:rPr>
        <w:t xml:space="preserve"> </w:t>
      </w:r>
      <w:r>
        <w:rPr>
          <w:rFonts w:ascii="Times New Roman" w:hAnsi="Times New Roman"/>
          <w:sz w:val="20"/>
          <w:szCs w:val="20"/>
        </w:rPr>
        <w:t xml:space="preserve">Ebd., </w:t>
      </w:r>
      <w:r w:rsidRPr="00D20D6E">
        <w:rPr>
          <w:rFonts w:ascii="Times New Roman" w:hAnsi="Times New Roman"/>
          <w:sz w:val="20"/>
          <w:szCs w:val="20"/>
        </w:rPr>
        <w:t>S. 156.</w:t>
      </w:r>
    </w:p>
  </w:footnote>
  <w:footnote w:id="1015">
    <w:p w14:paraId="6EE66382" w14:textId="77777777" w:rsidR="00B34CC2" w:rsidRPr="00D20D6E" w:rsidRDefault="00B34CC2" w:rsidP="001C3D81">
      <w:pPr>
        <w:pStyle w:val="Testonotaapidipagina"/>
        <w:jc w:val="both"/>
        <w:rPr>
          <w:rFonts w:ascii="Times New Roman" w:hAnsi="Times New Roman"/>
          <w:sz w:val="20"/>
          <w:szCs w:val="20"/>
        </w:rPr>
      </w:pPr>
      <w:r w:rsidRPr="00D20D6E">
        <w:rPr>
          <w:rStyle w:val="Rimandonotaapidipagina"/>
          <w:rFonts w:ascii="Times New Roman" w:hAnsi="Times New Roman"/>
          <w:sz w:val="20"/>
          <w:szCs w:val="20"/>
        </w:rPr>
        <w:footnoteRef/>
      </w:r>
      <w:r w:rsidRPr="00D20D6E">
        <w:rPr>
          <w:rFonts w:ascii="Times New Roman" w:hAnsi="Times New Roman"/>
          <w:i/>
          <w:sz w:val="20"/>
          <w:szCs w:val="20"/>
        </w:rPr>
        <w:t xml:space="preserve"> </w:t>
      </w:r>
      <w:r>
        <w:rPr>
          <w:rFonts w:ascii="Times New Roman" w:hAnsi="Times New Roman"/>
          <w:sz w:val="20"/>
          <w:szCs w:val="20"/>
        </w:rPr>
        <w:t xml:space="preserve">Ebd., </w:t>
      </w:r>
      <w:r w:rsidRPr="00D20D6E">
        <w:rPr>
          <w:rFonts w:ascii="Times New Roman" w:hAnsi="Times New Roman"/>
          <w:sz w:val="20"/>
          <w:szCs w:val="20"/>
        </w:rPr>
        <w:t>S. 156.</w:t>
      </w:r>
    </w:p>
  </w:footnote>
  <w:footnote w:id="1016">
    <w:p w14:paraId="17847101" w14:textId="77777777" w:rsidR="00B34CC2" w:rsidRPr="00D20D6E" w:rsidRDefault="00B34CC2" w:rsidP="001C3D81">
      <w:pPr>
        <w:pStyle w:val="Testonotaapidipagina"/>
        <w:jc w:val="both"/>
        <w:rPr>
          <w:rFonts w:ascii="Times New Roman" w:hAnsi="Times New Roman"/>
          <w:sz w:val="20"/>
          <w:szCs w:val="20"/>
        </w:rPr>
      </w:pPr>
      <w:r w:rsidRPr="00D20D6E">
        <w:rPr>
          <w:rStyle w:val="Rimandonotaapidipagina"/>
          <w:rFonts w:ascii="Times New Roman" w:hAnsi="Times New Roman"/>
          <w:sz w:val="20"/>
          <w:szCs w:val="20"/>
        </w:rPr>
        <w:footnoteRef/>
      </w:r>
      <w:r w:rsidRPr="00D20D6E">
        <w:rPr>
          <w:rFonts w:ascii="Times New Roman" w:hAnsi="Times New Roman"/>
          <w:i/>
          <w:sz w:val="20"/>
          <w:szCs w:val="20"/>
        </w:rPr>
        <w:t xml:space="preserve"> </w:t>
      </w:r>
      <w:r>
        <w:rPr>
          <w:rFonts w:ascii="Times New Roman" w:hAnsi="Times New Roman"/>
          <w:sz w:val="20"/>
          <w:szCs w:val="20"/>
        </w:rPr>
        <w:t xml:space="preserve">Ebd., </w:t>
      </w:r>
      <w:r w:rsidRPr="00D20D6E">
        <w:rPr>
          <w:rFonts w:ascii="Times New Roman" w:hAnsi="Times New Roman"/>
          <w:sz w:val="20"/>
          <w:szCs w:val="20"/>
        </w:rPr>
        <w:t>S. 156.</w:t>
      </w:r>
    </w:p>
  </w:footnote>
  <w:footnote w:id="1017">
    <w:p w14:paraId="4EEFE0B2" w14:textId="77777777" w:rsidR="00B34CC2" w:rsidRDefault="00B34CC2" w:rsidP="001C3D81">
      <w:pPr>
        <w:pStyle w:val="Testonotaapidipagina"/>
        <w:jc w:val="both"/>
      </w:pPr>
      <w:r w:rsidRPr="007E7779">
        <w:rPr>
          <w:rStyle w:val="Rimandonotaapidipagina"/>
          <w:rFonts w:ascii="Times New Roman" w:hAnsi="Times New Roman" w:cs="Times New Roman"/>
          <w:sz w:val="20"/>
          <w:szCs w:val="20"/>
        </w:rPr>
        <w:footnoteRef/>
      </w:r>
      <w:r w:rsidRPr="007E7779">
        <w:rPr>
          <w:rFonts w:ascii="Times New Roman" w:hAnsi="Times New Roman" w:cs="Times New Roman"/>
          <w:sz w:val="20"/>
          <w:szCs w:val="20"/>
        </w:rPr>
        <w:t xml:space="preserve"> </w:t>
      </w:r>
      <w:r w:rsidRPr="001F6082">
        <w:rPr>
          <w:rFonts w:ascii="Times New Roman" w:hAnsi="Times New Roman" w:cs="Times New Roman"/>
          <w:sz w:val="20"/>
          <w:szCs w:val="20"/>
        </w:rPr>
        <w:t xml:space="preserve">Ebd., </w:t>
      </w:r>
      <w:r>
        <w:rPr>
          <w:rFonts w:ascii="Times New Roman" w:hAnsi="Times New Roman" w:cs="Times New Roman"/>
          <w:sz w:val="20"/>
          <w:szCs w:val="20"/>
        </w:rPr>
        <w:t>S. 158: „</w:t>
      </w:r>
      <w:r w:rsidRPr="007E7779">
        <w:rPr>
          <w:rFonts w:ascii="Times New Roman" w:hAnsi="Times New Roman" w:cs="Times New Roman"/>
          <w:sz w:val="20"/>
          <w:szCs w:val="20"/>
          <w:lang w:val="de-DE"/>
        </w:rPr>
        <w:t>Durch diese Sephiren sind aus dem Urmenschen hervorgegangen als immenente Wirkungen seiner Emanationen, die Geister ohne alle Stoff, die Engel, die erschaffenen Substanzen, die als Substanzen für sich existieren; und die materialen Wesen, die von der Materie ihrem Seyn, ihrer Subsistenz, ihren Vermögen und Thatigkeit nach abhängen; Az</w:t>
      </w:r>
      <w:r>
        <w:rPr>
          <w:rFonts w:ascii="Times New Roman" w:hAnsi="Times New Roman" w:cs="Times New Roman"/>
          <w:sz w:val="20"/>
          <w:szCs w:val="20"/>
          <w:lang w:val="de-DE"/>
        </w:rPr>
        <w:t>iluth, Briah, Jezirah und Asiah</w:t>
      </w:r>
      <w:r w:rsidRPr="000D63A7">
        <w:rPr>
          <w:rFonts w:ascii="Times New Roman" w:hAnsi="Times New Roman" w:cs="Times New Roman"/>
          <w:sz w:val="20"/>
          <w:szCs w:val="20"/>
        </w:rPr>
        <w:t>”</w:t>
      </w:r>
      <w:r w:rsidRPr="007E7779">
        <w:rPr>
          <w:rFonts w:ascii="Times New Roman" w:hAnsi="Times New Roman" w:cs="Times New Roman"/>
          <w:sz w:val="20"/>
          <w:szCs w:val="20"/>
          <w:lang w:val="de-DE"/>
        </w:rPr>
        <w:t>.</w:t>
      </w:r>
    </w:p>
  </w:footnote>
  <w:footnote w:id="1018">
    <w:p w14:paraId="638BE261" w14:textId="77777777" w:rsidR="00B34CC2" w:rsidRPr="000669B1" w:rsidRDefault="00B34CC2" w:rsidP="001C3D81">
      <w:pPr>
        <w:pStyle w:val="Testonotaapidipagina"/>
        <w:jc w:val="both"/>
        <w:rPr>
          <w:rFonts w:ascii="Times New Roman" w:hAnsi="Times New Roman" w:cs="Times New Roman"/>
          <w:sz w:val="20"/>
          <w:szCs w:val="20"/>
        </w:rPr>
      </w:pPr>
      <w:r w:rsidRPr="000669B1">
        <w:rPr>
          <w:rStyle w:val="Rimandonotaapidipagina"/>
          <w:rFonts w:ascii="Times New Roman" w:hAnsi="Times New Roman" w:cs="Times New Roman"/>
          <w:sz w:val="20"/>
          <w:szCs w:val="20"/>
        </w:rPr>
        <w:footnoteRef/>
      </w:r>
      <w:r>
        <w:rPr>
          <w:rFonts w:ascii="Times New Roman" w:hAnsi="Times New Roman" w:cs="Times New Roman"/>
          <w:sz w:val="20"/>
          <w:szCs w:val="20"/>
        </w:rPr>
        <w:t xml:space="preserve"> Ebd.</w:t>
      </w:r>
      <w:r w:rsidRPr="004309F1">
        <w:rPr>
          <w:rFonts w:ascii="Times New Roman" w:hAnsi="Times New Roman" w:cs="Times New Roman"/>
          <w:sz w:val="20"/>
          <w:szCs w:val="20"/>
        </w:rPr>
        <w:t xml:space="preserve">, </w:t>
      </w:r>
      <w:r>
        <w:rPr>
          <w:rFonts w:ascii="Times New Roman" w:hAnsi="Times New Roman" w:cs="Times New Roman"/>
          <w:sz w:val="20"/>
          <w:szCs w:val="20"/>
        </w:rPr>
        <w:t xml:space="preserve">S. 157. </w:t>
      </w:r>
    </w:p>
  </w:footnote>
  <w:footnote w:id="1019">
    <w:p w14:paraId="08789BA7" w14:textId="77777777" w:rsidR="00B34CC2" w:rsidRPr="000669B1" w:rsidRDefault="00B34CC2" w:rsidP="001C3D81">
      <w:pPr>
        <w:pStyle w:val="Testonotaapidipagina"/>
        <w:jc w:val="both"/>
        <w:rPr>
          <w:rFonts w:ascii="Times New Roman" w:hAnsi="Times New Roman" w:cs="Times New Roman"/>
          <w:sz w:val="20"/>
          <w:szCs w:val="20"/>
        </w:rPr>
      </w:pPr>
      <w:r w:rsidRPr="000669B1">
        <w:rPr>
          <w:rStyle w:val="Rimandonotaapidipagina"/>
          <w:rFonts w:ascii="Times New Roman" w:hAnsi="Times New Roman" w:cs="Times New Roman"/>
          <w:sz w:val="20"/>
          <w:szCs w:val="20"/>
        </w:rPr>
        <w:footnoteRef/>
      </w:r>
      <w:r>
        <w:rPr>
          <w:rFonts w:ascii="Times New Roman" w:hAnsi="Times New Roman" w:cs="Times New Roman"/>
          <w:i/>
          <w:sz w:val="20"/>
          <w:szCs w:val="20"/>
        </w:rPr>
        <w:t xml:space="preserve"> </w:t>
      </w:r>
      <w:r w:rsidRPr="004309F1">
        <w:rPr>
          <w:rFonts w:ascii="Times New Roman" w:hAnsi="Times New Roman" w:cs="Times New Roman"/>
          <w:sz w:val="20"/>
          <w:szCs w:val="20"/>
        </w:rPr>
        <w:t xml:space="preserve">J.G. Buhle, </w:t>
      </w:r>
      <w:r w:rsidRPr="004309F1">
        <w:rPr>
          <w:rFonts w:ascii="Times New Roman" w:hAnsi="Times New Roman" w:cs="Times New Roman"/>
          <w:i/>
          <w:sz w:val="20"/>
          <w:szCs w:val="20"/>
          <w:lang w:val="de-DE"/>
        </w:rPr>
        <w:t>Geschichte der Philosophie und einer kritischen Literatur derselben. Sechster Teil,</w:t>
      </w:r>
      <w:r w:rsidRPr="004309F1">
        <w:rPr>
          <w:rFonts w:ascii="Times New Roman" w:hAnsi="Times New Roman" w:cs="Times New Roman"/>
          <w:sz w:val="20"/>
          <w:szCs w:val="20"/>
        </w:rPr>
        <w:t xml:space="preserve"> Leipzig 1801,</w:t>
      </w:r>
      <w:r>
        <w:rPr>
          <w:rFonts w:ascii="Times New Roman" w:hAnsi="Times New Roman" w:cs="Times New Roman"/>
          <w:sz w:val="20"/>
          <w:szCs w:val="20"/>
        </w:rPr>
        <w:t xml:space="preserve"> S. 735. </w:t>
      </w:r>
    </w:p>
  </w:footnote>
  <w:footnote w:id="1020">
    <w:p w14:paraId="15F8052D" w14:textId="77777777" w:rsidR="00B34CC2" w:rsidRPr="000669B1" w:rsidRDefault="00B34CC2" w:rsidP="001C3D81">
      <w:pPr>
        <w:pStyle w:val="Testonotaapidipagina"/>
        <w:rPr>
          <w:rFonts w:ascii="Times New Roman" w:hAnsi="Times New Roman" w:cs="Times New Roman"/>
          <w:sz w:val="20"/>
          <w:szCs w:val="20"/>
        </w:rPr>
      </w:pPr>
      <w:r w:rsidRPr="000669B1">
        <w:rPr>
          <w:rStyle w:val="Rimandonotaapidipagina"/>
          <w:rFonts w:ascii="Times New Roman" w:hAnsi="Times New Roman" w:cs="Times New Roman"/>
          <w:sz w:val="20"/>
          <w:szCs w:val="20"/>
        </w:rPr>
        <w:footnoteRef/>
      </w:r>
      <w:r>
        <w:rPr>
          <w:rFonts w:ascii="Times New Roman" w:hAnsi="Times New Roman" w:cs="Times New Roman"/>
          <w:sz w:val="20"/>
          <w:szCs w:val="20"/>
        </w:rPr>
        <w:t xml:space="preserve"> Ebd., S. 736.</w:t>
      </w:r>
    </w:p>
  </w:footnote>
  <w:footnote w:id="1021">
    <w:p w14:paraId="66EB48F7" w14:textId="77777777" w:rsidR="00B34CC2" w:rsidRPr="008826C0" w:rsidRDefault="00B34CC2" w:rsidP="001C3D81">
      <w:pPr>
        <w:pStyle w:val="Testonotaapidipagina"/>
        <w:rPr>
          <w:rFonts w:ascii="Times New Roman" w:hAnsi="Times New Roman" w:cs="Times New Roman"/>
          <w:sz w:val="20"/>
          <w:szCs w:val="20"/>
        </w:rPr>
      </w:pPr>
      <w:r w:rsidRPr="00C558D6">
        <w:rPr>
          <w:rStyle w:val="Rimandonotaapidipagina"/>
          <w:rFonts w:ascii="Times New Roman" w:hAnsi="Times New Roman" w:cs="Times New Roman"/>
          <w:sz w:val="20"/>
          <w:szCs w:val="20"/>
        </w:rPr>
        <w:footnoteRef/>
      </w:r>
      <w:r>
        <w:rPr>
          <w:rFonts w:ascii="Times New Roman" w:hAnsi="Times New Roman" w:cs="Times New Roman"/>
          <w:i/>
          <w:sz w:val="20"/>
          <w:szCs w:val="20"/>
        </w:rPr>
        <w:t xml:space="preserve"> </w:t>
      </w:r>
      <w:r>
        <w:rPr>
          <w:rFonts w:ascii="Times New Roman" w:hAnsi="Times New Roman" w:cs="Times New Roman"/>
          <w:sz w:val="20"/>
          <w:szCs w:val="20"/>
        </w:rPr>
        <w:t>Ebd., S. 736.</w:t>
      </w:r>
    </w:p>
  </w:footnote>
  <w:footnote w:id="1022">
    <w:p w14:paraId="6B5B1FB8" w14:textId="77777777" w:rsidR="00B34CC2" w:rsidRPr="009B381A" w:rsidRDefault="00B34CC2" w:rsidP="001C3D81">
      <w:pPr>
        <w:pStyle w:val="Testonotaapidipagina"/>
        <w:jc w:val="both"/>
        <w:rPr>
          <w:rFonts w:ascii="Times New Roman" w:hAnsi="Times New Roman" w:cs="Times New Roman"/>
          <w:sz w:val="20"/>
          <w:szCs w:val="20"/>
        </w:rPr>
      </w:pPr>
      <w:r w:rsidRPr="009B381A">
        <w:rPr>
          <w:rStyle w:val="Rimandonotaapidipagina"/>
          <w:rFonts w:ascii="Times New Roman" w:hAnsi="Times New Roman" w:cs="Times New Roman"/>
          <w:sz w:val="20"/>
          <w:szCs w:val="20"/>
        </w:rPr>
        <w:footnoteRef/>
      </w:r>
      <w:r w:rsidRPr="009B381A">
        <w:rPr>
          <w:rFonts w:ascii="Times New Roman" w:hAnsi="Times New Roman" w:cs="Times New Roman"/>
          <w:sz w:val="20"/>
          <w:szCs w:val="20"/>
        </w:rPr>
        <w:t xml:space="preserve"> F. Ast, </w:t>
      </w:r>
      <w:r w:rsidRPr="009B381A">
        <w:rPr>
          <w:rFonts w:ascii="Times New Roman" w:hAnsi="Times New Roman" w:cs="Times New Roman"/>
          <w:i/>
          <w:sz w:val="20"/>
          <w:szCs w:val="20"/>
        </w:rPr>
        <w:t>Grundriss einer Geschichte der Philosophie</w:t>
      </w:r>
      <w:r>
        <w:rPr>
          <w:rFonts w:ascii="Times New Roman" w:hAnsi="Times New Roman" w:cs="Times New Roman"/>
          <w:sz w:val="20"/>
          <w:szCs w:val="20"/>
        </w:rPr>
        <w:t>, Landshut 1807, S</w:t>
      </w:r>
      <w:r w:rsidRPr="009B381A">
        <w:rPr>
          <w:rFonts w:ascii="Times New Roman" w:hAnsi="Times New Roman" w:cs="Times New Roman"/>
          <w:sz w:val="20"/>
          <w:szCs w:val="20"/>
        </w:rPr>
        <w:t>. 3.</w:t>
      </w:r>
    </w:p>
  </w:footnote>
  <w:footnote w:id="1023">
    <w:p w14:paraId="21DCB694" w14:textId="77777777" w:rsidR="00B34CC2" w:rsidRDefault="00B34CC2" w:rsidP="001C3D81">
      <w:pPr>
        <w:pStyle w:val="Testonotaapidipagina"/>
        <w:jc w:val="both"/>
      </w:pPr>
      <w:r w:rsidRPr="000D2224">
        <w:rPr>
          <w:rStyle w:val="Rimandonotaapidipagina"/>
          <w:rFonts w:ascii="Times New Roman" w:hAnsi="Times New Roman" w:cs="Times New Roman"/>
          <w:sz w:val="20"/>
          <w:szCs w:val="20"/>
        </w:rPr>
        <w:footnoteRef/>
      </w:r>
      <w:r w:rsidRPr="00C0605A">
        <w:rPr>
          <w:rFonts w:ascii="Times New Roman" w:hAnsi="Times New Roman" w:cs="Times New Roman"/>
          <w:i/>
          <w:sz w:val="20"/>
          <w:szCs w:val="20"/>
        </w:rPr>
        <w:t xml:space="preserve"> </w:t>
      </w:r>
      <w:r>
        <w:rPr>
          <w:rFonts w:ascii="Times New Roman" w:hAnsi="Times New Roman" w:cs="Times New Roman"/>
          <w:sz w:val="20"/>
          <w:szCs w:val="20"/>
        </w:rPr>
        <w:t xml:space="preserve">Ebd., </w:t>
      </w:r>
      <w:r w:rsidRPr="003E00E9">
        <w:rPr>
          <w:rFonts w:ascii="Times New Roman" w:hAnsi="Times New Roman" w:cs="Times New Roman"/>
          <w:sz w:val="20"/>
          <w:szCs w:val="20"/>
        </w:rPr>
        <w:t>S.</w:t>
      </w:r>
      <w:r>
        <w:rPr>
          <w:rFonts w:ascii="Times New Roman" w:hAnsi="Times New Roman" w:cs="Times New Roman"/>
          <w:sz w:val="20"/>
          <w:szCs w:val="20"/>
        </w:rPr>
        <w:t xml:space="preserve"> 3</w:t>
      </w:r>
    </w:p>
  </w:footnote>
  <w:footnote w:id="1024">
    <w:p w14:paraId="2B55126D" w14:textId="77777777" w:rsidR="00B34CC2" w:rsidRDefault="00B34CC2" w:rsidP="001C3D81">
      <w:pPr>
        <w:pStyle w:val="Testonotaapidipagina"/>
        <w:jc w:val="both"/>
      </w:pPr>
      <w:r w:rsidRPr="00F971FC">
        <w:rPr>
          <w:rStyle w:val="Rimandonotaapidipagina"/>
          <w:rFonts w:ascii="Times New Roman" w:hAnsi="Times New Roman" w:cs="Times New Roman"/>
          <w:sz w:val="20"/>
          <w:szCs w:val="20"/>
        </w:rPr>
        <w:footnoteRef/>
      </w:r>
      <w:r w:rsidRPr="00C0605A">
        <w:rPr>
          <w:rFonts w:ascii="Times New Roman" w:hAnsi="Times New Roman" w:cs="Times New Roman"/>
          <w:i/>
          <w:sz w:val="20"/>
          <w:szCs w:val="20"/>
        </w:rPr>
        <w:t xml:space="preserve"> </w:t>
      </w:r>
      <w:r>
        <w:rPr>
          <w:rFonts w:ascii="Times New Roman" w:hAnsi="Times New Roman" w:cs="Times New Roman"/>
          <w:sz w:val="20"/>
          <w:szCs w:val="20"/>
        </w:rPr>
        <w:t xml:space="preserve">Ebd., </w:t>
      </w:r>
      <w:r w:rsidRPr="003E00E9">
        <w:rPr>
          <w:rFonts w:ascii="Times New Roman" w:hAnsi="Times New Roman" w:cs="Times New Roman"/>
          <w:sz w:val="20"/>
          <w:szCs w:val="20"/>
        </w:rPr>
        <w:t>S.</w:t>
      </w:r>
      <w:r>
        <w:rPr>
          <w:rFonts w:ascii="Times New Roman" w:hAnsi="Times New Roman" w:cs="Times New Roman"/>
          <w:sz w:val="20"/>
          <w:szCs w:val="20"/>
        </w:rPr>
        <w:t xml:space="preserve"> 3.</w:t>
      </w:r>
    </w:p>
  </w:footnote>
  <w:footnote w:id="1025">
    <w:p w14:paraId="79B09E16" w14:textId="77777777" w:rsidR="00B34CC2" w:rsidRPr="004201AE" w:rsidRDefault="00B34CC2" w:rsidP="001C3D81">
      <w:pPr>
        <w:pStyle w:val="Testonotaapidipagina"/>
        <w:jc w:val="both"/>
        <w:rPr>
          <w:rFonts w:ascii="Times New Roman" w:hAnsi="Times New Roman" w:cs="Times New Roman"/>
          <w:sz w:val="20"/>
          <w:szCs w:val="20"/>
        </w:rPr>
      </w:pPr>
      <w:r w:rsidRPr="00F971FC">
        <w:rPr>
          <w:rStyle w:val="Rimandonotaapidipagina"/>
          <w:rFonts w:ascii="Times New Roman" w:hAnsi="Times New Roman" w:cs="Times New Roman"/>
          <w:sz w:val="20"/>
          <w:szCs w:val="20"/>
        </w:rPr>
        <w:footnoteRef/>
      </w:r>
      <w:r>
        <w:rPr>
          <w:rFonts w:ascii="Times New Roman" w:hAnsi="Times New Roman" w:cs="Times New Roman"/>
          <w:sz w:val="20"/>
          <w:szCs w:val="20"/>
        </w:rPr>
        <w:t xml:space="preserve"> Ebd., </w:t>
      </w:r>
      <w:r w:rsidRPr="003E00E9">
        <w:rPr>
          <w:rFonts w:ascii="Times New Roman" w:hAnsi="Times New Roman" w:cs="Times New Roman"/>
          <w:sz w:val="20"/>
          <w:szCs w:val="20"/>
        </w:rPr>
        <w:t>S.</w:t>
      </w:r>
      <w:r>
        <w:rPr>
          <w:rFonts w:ascii="Times New Roman" w:hAnsi="Times New Roman" w:cs="Times New Roman"/>
          <w:sz w:val="20"/>
          <w:szCs w:val="20"/>
        </w:rPr>
        <w:t xml:space="preserve"> 3: „</w:t>
      </w:r>
      <w:r w:rsidRPr="004201AE">
        <w:rPr>
          <w:rFonts w:ascii="Times New Roman" w:hAnsi="Times New Roman" w:cs="Times New Roman"/>
          <w:sz w:val="20"/>
          <w:szCs w:val="20"/>
          <w:lang w:val="de-DE"/>
        </w:rPr>
        <w:t>Das zeitliche Leben der Dinge ist also Eins mit dem ewigen; denn jenes ist die Vielheit, dieses die Einheit; die Einheit aber ist nur durch die</w:t>
      </w:r>
      <w:r>
        <w:rPr>
          <w:rFonts w:ascii="Times New Roman" w:hAnsi="Times New Roman" w:cs="Times New Roman"/>
          <w:sz w:val="20"/>
          <w:szCs w:val="20"/>
          <w:lang w:val="de-DE"/>
        </w:rPr>
        <w:t xml:space="preserve"> Vielheit lebendig und wirklich</w:t>
      </w:r>
      <w:r w:rsidRPr="000D63A7">
        <w:rPr>
          <w:rFonts w:ascii="Times New Roman" w:hAnsi="Times New Roman" w:cs="Times New Roman"/>
          <w:sz w:val="20"/>
          <w:szCs w:val="20"/>
        </w:rPr>
        <w:t>”</w:t>
      </w:r>
      <w:r w:rsidRPr="004201AE">
        <w:rPr>
          <w:rFonts w:ascii="Times New Roman" w:hAnsi="Times New Roman" w:cs="Times New Roman"/>
          <w:sz w:val="20"/>
          <w:szCs w:val="20"/>
          <w:lang w:val="de-DE"/>
        </w:rPr>
        <w:t>.</w:t>
      </w:r>
    </w:p>
  </w:footnote>
  <w:footnote w:id="1026">
    <w:p w14:paraId="07AD9E91" w14:textId="77777777" w:rsidR="00B34CC2" w:rsidRPr="003E00E9" w:rsidRDefault="00B34CC2" w:rsidP="001C3D81">
      <w:pPr>
        <w:pStyle w:val="Testonotaapidipagina"/>
        <w:jc w:val="both"/>
        <w:rPr>
          <w:rFonts w:ascii="Times New Roman" w:hAnsi="Times New Roman" w:cs="Times New Roman"/>
          <w:sz w:val="20"/>
          <w:szCs w:val="20"/>
        </w:rPr>
      </w:pPr>
      <w:r w:rsidRPr="003E00E9">
        <w:rPr>
          <w:rStyle w:val="Rimandonotaapidipagina"/>
          <w:rFonts w:ascii="Times New Roman" w:hAnsi="Times New Roman" w:cs="Times New Roman"/>
          <w:sz w:val="20"/>
          <w:szCs w:val="20"/>
        </w:rPr>
        <w:footnoteRef/>
      </w:r>
      <w:r w:rsidRPr="003E00E9">
        <w:rPr>
          <w:rFonts w:ascii="Times New Roman" w:hAnsi="Times New Roman" w:cs="Times New Roman"/>
          <w:sz w:val="20"/>
          <w:szCs w:val="20"/>
        </w:rPr>
        <w:t xml:space="preserve"> </w:t>
      </w:r>
      <w:r>
        <w:rPr>
          <w:rFonts w:ascii="Times New Roman" w:hAnsi="Times New Roman" w:cs="Times New Roman"/>
          <w:sz w:val="20"/>
          <w:szCs w:val="20"/>
        </w:rPr>
        <w:t xml:space="preserve">Ebd., </w:t>
      </w:r>
      <w:r w:rsidRPr="003E00E9">
        <w:rPr>
          <w:rFonts w:ascii="Times New Roman" w:hAnsi="Times New Roman" w:cs="Times New Roman"/>
          <w:sz w:val="20"/>
          <w:szCs w:val="20"/>
        </w:rPr>
        <w:t>S. 180.</w:t>
      </w:r>
    </w:p>
  </w:footnote>
  <w:footnote w:id="1027">
    <w:p w14:paraId="7EBE1890" w14:textId="7C0E8E35" w:rsidR="00B34CC2" w:rsidRPr="002E0089" w:rsidRDefault="00B34CC2">
      <w:pPr>
        <w:pStyle w:val="Testonotaapidipagina"/>
        <w:rPr>
          <w:rFonts w:ascii="Times New Roman" w:hAnsi="Times New Roman" w:cs="Times New Roman"/>
          <w:sz w:val="20"/>
          <w:szCs w:val="20"/>
        </w:rPr>
      </w:pPr>
      <w:r w:rsidRPr="002E0089">
        <w:rPr>
          <w:rStyle w:val="Rimandonotaapidipagina"/>
          <w:rFonts w:ascii="Times New Roman" w:hAnsi="Times New Roman" w:cs="Times New Roman"/>
          <w:sz w:val="20"/>
          <w:szCs w:val="20"/>
        </w:rPr>
        <w:footnoteRef/>
      </w:r>
      <w:r w:rsidRPr="002E0089">
        <w:rPr>
          <w:rFonts w:ascii="Times New Roman" w:hAnsi="Times New Roman" w:cs="Times New Roman"/>
          <w:sz w:val="20"/>
          <w:szCs w:val="20"/>
        </w:rPr>
        <w:t xml:space="preserve"> Ebd., S. 181.</w:t>
      </w:r>
    </w:p>
  </w:footnote>
  <w:footnote w:id="1028">
    <w:p w14:paraId="2AA8DBCC" w14:textId="057FE491" w:rsidR="00B34CC2" w:rsidRPr="00432BB4" w:rsidRDefault="00B34CC2" w:rsidP="001C3D81">
      <w:pPr>
        <w:pStyle w:val="Testonotaapidipagina"/>
        <w:jc w:val="both"/>
        <w:rPr>
          <w:rFonts w:ascii="Times New Roman" w:hAnsi="Times New Roman" w:cs="Times New Roman"/>
          <w:sz w:val="20"/>
          <w:szCs w:val="20"/>
        </w:rPr>
      </w:pPr>
      <w:r w:rsidRPr="00432BB4">
        <w:rPr>
          <w:rStyle w:val="Rimandonotaapidipagina"/>
          <w:rFonts w:ascii="Times New Roman" w:hAnsi="Times New Roman" w:cs="Times New Roman"/>
          <w:sz w:val="20"/>
          <w:szCs w:val="20"/>
        </w:rPr>
        <w:footnoteRef/>
      </w:r>
      <w:r>
        <w:rPr>
          <w:rFonts w:ascii="Times New Roman" w:hAnsi="Times New Roman" w:cs="Times New Roman"/>
          <w:sz w:val="20"/>
          <w:szCs w:val="20"/>
        </w:rPr>
        <w:t xml:space="preserve"> Vgl</w:t>
      </w:r>
      <w:r w:rsidRPr="00432BB4">
        <w:rPr>
          <w:rFonts w:ascii="Times New Roman" w:hAnsi="Times New Roman" w:cs="Times New Roman"/>
          <w:sz w:val="20"/>
          <w:szCs w:val="20"/>
        </w:rPr>
        <w:t xml:space="preserve">. </w:t>
      </w:r>
      <w:r>
        <w:rPr>
          <w:rFonts w:ascii="Times New Roman" w:hAnsi="Times New Roman" w:cs="Times New Roman"/>
          <w:sz w:val="20"/>
          <w:szCs w:val="20"/>
        </w:rPr>
        <w:t xml:space="preserve">Ebd., </w:t>
      </w:r>
      <w:r w:rsidRPr="003E00E9">
        <w:rPr>
          <w:rFonts w:ascii="Times New Roman" w:hAnsi="Times New Roman" w:cs="Times New Roman"/>
          <w:sz w:val="20"/>
          <w:szCs w:val="20"/>
        </w:rPr>
        <w:t xml:space="preserve">S. </w:t>
      </w:r>
      <w:r w:rsidRPr="00432BB4">
        <w:rPr>
          <w:rFonts w:ascii="Times New Roman" w:hAnsi="Times New Roman" w:cs="Times New Roman"/>
          <w:sz w:val="20"/>
          <w:szCs w:val="20"/>
        </w:rPr>
        <w:t>181</w:t>
      </w:r>
      <w:r>
        <w:rPr>
          <w:rFonts w:ascii="Times New Roman" w:hAnsi="Times New Roman" w:cs="Times New Roman"/>
          <w:sz w:val="20"/>
          <w:szCs w:val="20"/>
        </w:rPr>
        <w:t>: „</w:t>
      </w:r>
      <w:r w:rsidRPr="00D30896">
        <w:rPr>
          <w:rFonts w:ascii="Times New Roman" w:hAnsi="Times New Roman" w:cs="Times New Roman"/>
          <w:sz w:val="20"/>
          <w:szCs w:val="20"/>
          <w:lang w:val="de-DE"/>
        </w:rPr>
        <w:t>Der erstgebohrne Sohn offenbarte sich in seinen Emanationen  zehn Arten oder in zehn Lichtströmen, Sphiroth gennant […] Hieraus enstanden die vier Welten: 1) Aziluth, die vollkommne, emanierte Welt</w:t>
      </w:r>
      <w:r>
        <w:rPr>
          <w:rFonts w:ascii="Times New Roman" w:hAnsi="Times New Roman" w:cs="Times New Roman"/>
          <w:sz w:val="20"/>
          <w:szCs w:val="20"/>
          <w:lang w:val="de-DE"/>
        </w:rPr>
        <w:t>, die unmittelbar mit ihrem Principe (dem Adam Kadmon) durch Emanation vereinigt ist</w:t>
      </w:r>
      <w:r w:rsidRPr="00D30896">
        <w:rPr>
          <w:rFonts w:ascii="Times New Roman" w:hAnsi="Times New Roman" w:cs="Times New Roman"/>
          <w:sz w:val="20"/>
          <w:szCs w:val="20"/>
          <w:lang w:val="de-DE"/>
        </w:rPr>
        <w:t>; 2) Briah, die erschaffne Welt, die geistigen Wesen begreifend […]; 3) Jezirah, die geformte W</w:t>
      </w:r>
      <w:r>
        <w:rPr>
          <w:rFonts w:ascii="Times New Roman" w:hAnsi="Times New Roman" w:cs="Times New Roman"/>
          <w:sz w:val="20"/>
          <w:szCs w:val="20"/>
          <w:lang w:val="de-DE"/>
        </w:rPr>
        <w:t>e</w:t>
      </w:r>
      <w:r w:rsidRPr="00D30896">
        <w:rPr>
          <w:rFonts w:ascii="Times New Roman" w:hAnsi="Times New Roman" w:cs="Times New Roman"/>
          <w:sz w:val="20"/>
          <w:szCs w:val="20"/>
          <w:lang w:val="de-DE"/>
        </w:rPr>
        <w:t>lt, die Engel in sich fassend […]</w:t>
      </w:r>
      <w:r>
        <w:rPr>
          <w:rFonts w:ascii="Times New Roman" w:hAnsi="Times New Roman" w:cs="Times New Roman"/>
          <w:sz w:val="20"/>
          <w:szCs w:val="20"/>
          <w:lang w:val="de-DE"/>
        </w:rPr>
        <w:t>; 4) Asiah, die materielle Welt</w:t>
      </w:r>
      <w:r w:rsidRPr="000D63A7">
        <w:rPr>
          <w:rFonts w:ascii="Times New Roman" w:hAnsi="Times New Roman" w:cs="Times New Roman"/>
          <w:sz w:val="20"/>
          <w:szCs w:val="20"/>
        </w:rPr>
        <w:t>”</w:t>
      </w:r>
      <w:r>
        <w:rPr>
          <w:rFonts w:ascii="Times New Roman" w:hAnsi="Times New Roman" w:cs="Times New Roman"/>
          <w:sz w:val="20"/>
          <w:szCs w:val="20"/>
          <w:lang w:val="de-DE"/>
        </w:rPr>
        <w:t>.</w:t>
      </w:r>
    </w:p>
  </w:footnote>
  <w:footnote w:id="1029">
    <w:p w14:paraId="2B04E0A6" w14:textId="77777777" w:rsidR="00B34CC2" w:rsidRDefault="00B34CC2" w:rsidP="001C3D81">
      <w:pPr>
        <w:pStyle w:val="Testonotaapidipagina"/>
      </w:pPr>
      <w:r w:rsidRPr="007410C2">
        <w:rPr>
          <w:rStyle w:val="Rimandonotaapidipagina"/>
          <w:rFonts w:ascii="Times New Roman" w:hAnsi="Times New Roman" w:cs="Times New Roman"/>
          <w:sz w:val="20"/>
          <w:szCs w:val="20"/>
        </w:rPr>
        <w:footnoteRef/>
      </w:r>
      <w:r>
        <w:rPr>
          <w:rFonts w:ascii="Times New Roman" w:hAnsi="Times New Roman" w:cs="Times New Roman"/>
          <w:sz w:val="20"/>
          <w:szCs w:val="20"/>
        </w:rPr>
        <w:t xml:space="preserve"> Ebd., S. 371</w:t>
      </w:r>
      <w:r w:rsidRPr="00575674">
        <w:rPr>
          <w:rFonts w:ascii="Times New Roman" w:hAnsi="Times New Roman" w:cs="Times New Roman"/>
          <w:sz w:val="20"/>
          <w:szCs w:val="20"/>
        </w:rPr>
        <w:t>.</w:t>
      </w:r>
    </w:p>
  </w:footnote>
  <w:footnote w:id="1030">
    <w:p w14:paraId="752B1B57" w14:textId="77777777" w:rsidR="00B34CC2" w:rsidRPr="00A006AB" w:rsidRDefault="00B34CC2" w:rsidP="001C3D81">
      <w:pPr>
        <w:pStyle w:val="Testonotaapidipagina"/>
        <w:jc w:val="both"/>
        <w:rPr>
          <w:rFonts w:ascii="Times New Roman" w:hAnsi="Times New Roman" w:cs="Times New Roman"/>
          <w:sz w:val="20"/>
          <w:szCs w:val="20"/>
        </w:rPr>
      </w:pPr>
      <w:r w:rsidRPr="00A006AB">
        <w:rPr>
          <w:rStyle w:val="Rimandonotaapidipagina"/>
          <w:rFonts w:ascii="Times New Roman" w:hAnsi="Times New Roman" w:cs="Times New Roman"/>
          <w:sz w:val="20"/>
          <w:szCs w:val="20"/>
        </w:rPr>
        <w:footnoteRef/>
      </w:r>
      <w:r>
        <w:rPr>
          <w:rFonts w:ascii="Times New Roman" w:hAnsi="Times New Roman" w:cs="Times New Roman"/>
          <w:sz w:val="20"/>
          <w:szCs w:val="20"/>
        </w:rPr>
        <w:t xml:space="preserve"> Z</w:t>
      </w:r>
      <w:r w:rsidRPr="00A006AB">
        <w:rPr>
          <w:rFonts w:ascii="Times New Roman" w:hAnsi="Times New Roman" w:cs="Times New Roman"/>
          <w:sz w:val="20"/>
          <w:szCs w:val="20"/>
        </w:rPr>
        <w:t xml:space="preserve">ur Tennemanns Idee der </w:t>
      </w:r>
      <w:r w:rsidRPr="00A006AB">
        <w:rPr>
          <w:rFonts w:ascii="Times New Roman" w:hAnsi="Times New Roman" w:cs="Times New Roman"/>
          <w:i/>
          <w:sz w:val="20"/>
          <w:szCs w:val="20"/>
        </w:rPr>
        <w:t>Geschichte der Philosophie</w:t>
      </w:r>
      <w:r w:rsidRPr="00A006AB">
        <w:rPr>
          <w:rFonts w:ascii="Times New Roman" w:hAnsi="Times New Roman" w:cs="Times New Roman"/>
          <w:sz w:val="20"/>
          <w:szCs w:val="20"/>
        </w:rPr>
        <w:t xml:space="preserve"> vgl. G. Micheli, </w:t>
      </w:r>
      <w:r w:rsidRPr="00A006AB">
        <w:rPr>
          <w:rFonts w:ascii="Times New Roman" w:hAnsi="Times New Roman" w:cs="Times New Roman"/>
          <w:i/>
          <w:sz w:val="20"/>
          <w:szCs w:val="20"/>
        </w:rPr>
        <w:t>Kantianism and the Historiography of Philos</w:t>
      </w:r>
      <w:r>
        <w:rPr>
          <w:rFonts w:ascii="Times New Roman" w:hAnsi="Times New Roman" w:cs="Times New Roman"/>
          <w:i/>
          <w:sz w:val="20"/>
          <w:szCs w:val="20"/>
        </w:rPr>
        <w:t>o</w:t>
      </w:r>
      <w:r w:rsidRPr="00A006AB">
        <w:rPr>
          <w:rFonts w:ascii="Times New Roman" w:hAnsi="Times New Roman" w:cs="Times New Roman"/>
          <w:i/>
          <w:sz w:val="20"/>
          <w:szCs w:val="20"/>
        </w:rPr>
        <w:t>phy</w:t>
      </w:r>
      <w:r w:rsidRPr="00A006AB">
        <w:rPr>
          <w:rFonts w:ascii="Times New Roman" w:hAnsi="Times New Roman" w:cs="Times New Roman"/>
          <w:sz w:val="20"/>
          <w:szCs w:val="20"/>
        </w:rPr>
        <w:t xml:space="preserve">, in </w:t>
      </w:r>
      <w:r w:rsidRPr="00A006AB">
        <w:rPr>
          <w:rFonts w:ascii="Times New Roman" w:hAnsi="Times New Roman" w:cs="Times New Roman"/>
          <w:i/>
          <w:sz w:val="20"/>
          <w:szCs w:val="20"/>
        </w:rPr>
        <w:t>Models of History of Philosophy</w:t>
      </w:r>
      <w:r>
        <w:rPr>
          <w:rFonts w:ascii="Times New Roman" w:hAnsi="Times New Roman" w:cs="Times New Roman"/>
          <w:sz w:val="20"/>
          <w:szCs w:val="20"/>
        </w:rPr>
        <w:t>, a.a.</w:t>
      </w:r>
      <w:r w:rsidRPr="00A006AB">
        <w:rPr>
          <w:rFonts w:ascii="Times New Roman" w:hAnsi="Times New Roman" w:cs="Times New Roman"/>
          <w:sz w:val="20"/>
          <w:szCs w:val="20"/>
        </w:rPr>
        <w:t>O., S. 769-963.</w:t>
      </w:r>
    </w:p>
  </w:footnote>
  <w:footnote w:id="1031">
    <w:p w14:paraId="11C4CD0C" w14:textId="77777777" w:rsidR="00B34CC2" w:rsidRPr="00334B2E" w:rsidRDefault="00B34CC2" w:rsidP="001C3D81">
      <w:pPr>
        <w:pStyle w:val="Testonotaapidipagina"/>
        <w:jc w:val="both"/>
        <w:rPr>
          <w:rFonts w:ascii="Times New Roman" w:hAnsi="Times New Roman" w:cs="Times New Roman"/>
          <w:sz w:val="20"/>
          <w:szCs w:val="20"/>
        </w:rPr>
      </w:pPr>
      <w:r w:rsidRPr="00A006AB">
        <w:rPr>
          <w:rStyle w:val="Rimandonotaapidipagina"/>
          <w:rFonts w:ascii="Times New Roman" w:hAnsi="Times New Roman" w:cs="Times New Roman"/>
          <w:sz w:val="20"/>
          <w:szCs w:val="20"/>
          <w:lang w:val="de-DE"/>
        </w:rPr>
        <w:footnoteRef/>
      </w:r>
      <w:r w:rsidRPr="00A006AB">
        <w:rPr>
          <w:rFonts w:ascii="Times New Roman" w:hAnsi="Times New Roman" w:cs="Times New Roman"/>
          <w:sz w:val="20"/>
          <w:szCs w:val="20"/>
          <w:lang w:val="de-DE"/>
        </w:rPr>
        <w:t xml:space="preserve"> Zur Übereinstimmung dieser Idee der Wissenschaftlichkeit mit der Kantischen </w:t>
      </w:r>
      <w:r w:rsidRPr="00A006AB">
        <w:rPr>
          <w:rFonts w:ascii="Times New Roman" w:hAnsi="Times New Roman" w:cs="Times New Roman"/>
          <w:i/>
          <w:sz w:val="20"/>
          <w:szCs w:val="20"/>
          <w:lang w:val="de-DE"/>
        </w:rPr>
        <w:t>Architektonik der reinen Vernunft</w:t>
      </w:r>
      <w:r w:rsidRPr="00A006AB">
        <w:rPr>
          <w:rFonts w:ascii="Times New Roman" w:hAnsi="Times New Roman" w:cs="Times New Roman"/>
          <w:sz w:val="20"/>
          <w:szCs w:val="20"/>
          <w:lang w:val="de-DE"/>
        </w:rPr>
        <w:t xml:space="preserve"> siehe</w:t>
      </w:r>
      <w:r w:rsidRPr="00A006AB">
        <w:rPr>
          <w:rFonts w:ascii="Times New Roman" w:hAnsi="Times New Roman" w:cs="Times New Roman"/>
          <w:sz w:val="20"/>
          <w:szCs w:val="20"/>
        </w:rPr>
        <w:t xml:space="preserve"> I. Kant, </w:t>
      </w:r>
      <w:r w:rsidRPr="00A006AB">
        <w:rPr>
          <w:rFonts w:ascii="Times New Roman" w:hAnsi="Times New Roman" w:cs="Times New Roman"/>
          <w:i/>
          <w:sz w:val="20"/>
          <w:szCs w:val="20"/>
        </w:rPr>
        <w:t>Kritik der reinen Vernunft</w:t>
      </w:r>
      <w:r>
        <w:rPr>
          <w:rFonts w:ascii="Times New Roman" w:hAnsi="Times New Roman" w:cs="Times New Roman"/>
          <w:sz w:val="20"/>
          <w:szCs w:val="20"/>
        </w:rPr>
        <w:t>, a.a.</w:t>
      </w:r>
      <w:r w:rsidRPr="00A006AB">
        <w:rPr>
          <w:rFonts w:ascii="Times New Roman" w:hAnsi="Times New Roman" w:cs="Times New Roman"/>
          <w:sz w:val="20"/>
          <w:szCs w:val="20"/>
        </w:rPr>
        <w:t>O., S. 543: „</w:t>
      </w:r>
      <w:r w:rsidRPr="00A006AB">
        <w:rPr>
          <w:rFonts w:ascii="Times New Roman" w:hAnsi="Times New Roman" w:cs="Times New Roman"/>
          <w:sz w:val="20"/>
          <w:szCs w:val="20"/>
          <w:lang w:val="de-DE"/>
        </w:rPr>
        <w:t xml:space="preserve">Die Gesetzgebung der menschlichen Vernunft (Philosophie) hat nun zwei Gegenstande, Natur und Freiheit, und enthält also </w:t>
      </w:r>
      <w:r w:rsidRPr="00334B2E">
        <w:rPr>
          <w:rFonts w:ascii="Times New Roman" w:hAnsi="Times New Roman" w:cs="Times New Roman"/>
          <w:sz w:val="20"/>
          <w:szCs w:val="20"/>
          <w:lang w:val="de-DE"/>
        </w:rPr>
        <w:t>sowohl das Naturgesetz, als auch das Sittengesetz, anfangs in zwei besondern, zuletzt aber in einem einzigen philosophischen System</w:t>
      </w:r>
      <w:r w:rsidRPr="00334B2E">
        <w:rPr>
          <w:rFonts w:ascii="Times New Roman" w:hAnsi="Times New Roman" w:cs="Times New Roman"/>
          <w:sz w:val="20"/>
          <w:szCs w:val="20"/>
        </w:rPr>
        <w:t>”</w:t>
      </w:r>
      <w:r w:rsidRPr="00334B2E">
        <w:rPr>
          <w:rFonts w:ascii="Times New Roman" w:hAnsi="Times New Roman" w:cs="Times New Roman"/>
          <w:sz w:val="20"/>
          <w:szCs w:val="20"/>
          <w:lang w:val="de-DE"/>
        </w:rPr>
        <w:t>.</w:t>
      </w:r>
    </w:p>
  </w:footnote>
  <w:footnote w:id="1032">
    <w:p w14:paraId="45FB0353" w14:textId="77777777" w:rsidR="00B34CC2" w:rsidRPr="00334B2E" w:rsidRDefault="00B34CC2" w:rsidP="001C3D81">
      <w:pPr>
        <w:pStyle w:val="Testonotaapidipagina"/>
        <w:jc w:val="both"/>
        <w:rPr>
          <w:rFonts w:ascii="Times New Roman" w:hAnsi="Times New Roman" w:cs="Times New Roman"/>
          <w:sz w:val="20"/>
          <w:szCs w:val="20"/>
        </w:rPr>
      </w:pPr>
      <w:r w:rsidRPr="00334B2E">
        <w:rPr>
          <w:rStyle w:val="Rimandonotaapidipagina"/>
          <w:rFonts w:ascii="Times New Roman" w:hAnsi="Times New Roman" w:cs="Times New Roman"/>
          <w:sz w:val="20"/>
          <w:szCs w:val="20"/>
        </w:rPr>
        <w:footnoteRef/>
      </w:r>
      <w:r w:rsidRPr="00334B2E">
        <w:rPr>
          <w:rFonts w:ascii="Times New Roman" w:hAnsi="Times New Roman" w:cs="Times New Roman"/>
          <w:i/>
          <w:sz w:val="20"/>
          <w:szCs w:val="20"/>
        </w:rPr>
        <w:t xml:space="preserve"> </w:t>
      </w:r>
      <w:r w:rsidRPr="00334B2E">
        <w:rPr>
          <w:rFonts w:ascii="Times New Roman" w:hAnsi="Times New Roman" w:cs="Times New Roman"/>
          <w:sz w:val="20"/>
          <w:szCs w:val="20"/>
        </w:rPr>
        <w:t xml:space="preserve">W.G. Tennemann, </w:t>
      </w:r>
      <w:r w:rsidRPr="00334B2E">
        <w:rPr>
          <w:rFonts w:ascii="Times New Roman" w:hAnsi="Times New Roman" w:cs="Times New Roman"/>
          <w:i/>
          <w:sz w:val="20"/>
          <w:szCs w:val="20"/>
        </w:rPr>
        <w:t>Geschichte der Philosophie</w:t>
      </w:r>
      <w:r w:rsidRPr="00334B2E">
        <w:rPr>
          <w:rFonts w:ascii="Times New Roman" w:hAnsi="Times New Roman" w:cs="Times New Roman"/>
          <w:sz w:val="20"/>
          <w:szCs w:val="20"/>
        </w:rPr>
        <w:t xml:space="preserve">, </w:t>
      </w:r>
      <w:r w:rsidRPr="00334B2E">
        <w:rPr>
          <w:rFonts w:ascii="Times New Roman" w:hAnsi="Times New Roman" w:cs="Times New Roman"/>
          <w:i/>
          <w:sz w:val="20"/>
          <w:szCs w:val="20"/>
        </w:rPr>
        <w:t>Erster Band</w:t>
      </w:r>
      <w:r w:rsidRPr="00334B2E">
        <w:rPr>
          <w:rFonts w:ascii="Times New Roman" w:hAnsi="Times New Roman" w:cs="Times New Roman"/>
          <w:sz w:val="20"/>
          <w:szCs w:val="20"/>
        </w:rPr>
        <w:t>, Leipzig 1797, S. XXVIII.</w:t>
      </w:r>
    </w:p>
  </w:footnote>
  <w:footnote w:id="1033">
    <w:p w14:paraId="49BB694F" w14:textId="77777777" w:rsidR="00B34CC2" w:rsidRPr="0057229D" w:rsidRDefault="00B34CC2" w:rsidP="001C3D81">
      <w:pPr>
        <w:pStyle w:val="Testonotaapidipagina"/>
        <w:jc w:val="both"/>
        <w:rPr>
          <w:rFonts w:ascii="Times New Roman" w:hAnsi="Times New Roman"/>
          <w:sz w:val="20"/>
          <w:szCs w:val="20"/>
          <w:highlight w:val="yellow"/>
        </w:rPr>
      </w:pPr>
      <w:r w:rsidRPr="00334B2E">
        <w:rPr>
          <w:rStyle w:val="Rimandonotaapidipagina"/>
          <w:rFonts w:ascii="Times New Roman" w:hAnsi="Times New Roman" w:cs="Times New Roman"/>
          <w:sz w:val="20"/>
          <w:szCs w:val="20"/>
        </w:rPr>
        <w:footnoteRef/>
      </w:r>
      <w:r w:rsidRPr="00334B2E">
        <w:rPr>
          <w:rFonts w:ascii="Times New Roman" w:hAnsi="Times New Roman" w:cs="Times New Roman"/>
          <w:sz w:val="20"/>
          <w:szCs w:val="20"/>
        </w:rPr>
        <w:t xml:space="preserve"> Ebd., S. XXXI: </w:t>
      </w:r>
      <w:r w:rsidRPr="00334B2E">
        <w:rPr>
          <w:rFonts w:ascii="Times New Roman" w:hAnsi="Times New Roman" w:cs="Times New Roman"/>
          <w:sz w:val="20"/>
          <w:szCs w:val="20"/>
          <w:lang w:val="de-DE"/>
        </w:rPr>
        <w:t>„Geschichte der Philosophie ist die Darstellung der successiven Ausbildung der Philosophie […] die Idee der Wissenschaft von den letzten Gründen und Gesetzen der Natur und Freiheit zu realisieren</w:t>
      </w:r>
      <w:r w:rsidRPr="00334B2E">
        <w:rPr>
          <w:rFonts w:ascii="Times New Roman" w:hAnsi="Times New Roman" w:cs="Times New Roman"/>
          <w:sz w:val="20"/>
          <w:szCs w:val="20"/>
        </w:rPr>
        <w:t>”</w:t>
      </w:r>
      <w:r w:rsidRPr="00334B2E">
        <w:rPr>
          <w:rFonts w:ascii="Times New Roman" w:hAnsi="Times New Roman" w:cs="Times New Roman"/>
          <w:sz w:val="20"/>
          <w:szCs w:val="20"/>
          <w:lang w:val="de-DE"/>
        </w:rPr>
        <w:t>.</w:t>
      </w:r>
    </w:p>
  </w:footnote>
  <w:footnote w:id="1034">
    <w:p w14:paraId="35C3D397" w14:textId="77777777" w:rsidR="00B34CC2" w:rsidRPr="00334B2E" w:rsidRDefault="00B34CC2" w:rsidP="001C3D81">
      <w:pPr>
        <w:pStyle w:val="Testonotaapidipagina"/>
        <w:jc w:val="both"/>
        <w:rPr>
          <w:rFonts w:ascii="Times New Roman" w:hAnsi="Times New Roman"/>
          <w:sz w:val="20"/>
          <w:szCs w:val="20"/>
        </w:rPr>
      </w:pPr>
      <w:r w:rsidRPr="00334B2E">
        <w:rPr>
          <w:rStyle w:val="Rimandonotaapidipagina"/>
          <w:rFonts w:ascii="Times New Roman" w:hAnsi="Times New Roman"/>
          <w:sz w:val="20"/>
          <w:szCs w:val="20"/>
        </w:rPr>
        <w:footnoteRef/>
      </w:r>
      <w:r w:rsidRPr="00334B2E">
        <w:rPr>
          <w:rFonts w:ascii="Times New Roman" w:hAnsi="Times New Roman"/>
          <w:sz w:val="20"/>
          <w:szCs w:val="20"/>
        </w:rPr>
        <w:t xml:space="preserve"> </w:t>
      </w:r>
      <w:r w:rsidRPr="00334B2E">
        <w:rPr>
          <w:rFonts w:ascii="Times New Roman" w:hAnsi="Times New Roman" w:cs="Times New Roman"/>
          <w:sz w:val="20"/>
          <w:szCs w:val="20"/>
        </w:rPr>
        <w:t xml:space="preserve">W.G. Tennemann, </w:t>
      </w:r>
      <w:r w:rsidRPr="00334B2E">
        <w:rPr>
          <w:rFonts w:ascii="Times New Roman" w:hAnsi="Times New Roman" w:cs="Times New Roman"/>
          <w:i/>
          <w:sz w:val="20"/>
          <w:szCs w:val="20"/>
        </w:rPr>
        <w:t>Geschichte der Philosophie</w:t>
      </w:r>
      <w:r w:rsidRPr="00334B2E">
        <w:rPr>
          <w:rFonts w:ascii="Times New Roman" w:hAnsi="Times New Roman" w:cs="Times New Roman"/>
          <w:sz w:val="20"/>
          <w:szCs w:val="20"/>
        </w:rPr>
        <w:t xml:space="preserve">, </w:t>
      </w:r>
      <w:r>
        <w:rPr>
          <w:rFonts w:ascii="Times New Roman" w:hAnsi="Times New Roman" w:cs="Times New Roman"/>
          <w:i/>
          <w:sz w:val="20"/>
          <w:szCs w:val="20"/>
        </w:rPr>
        <w:t>Neunt</w:t>
      </w:r>
      <w:r w:rsidRPr="00334B2E">
        <w:rPr>
          <w:rFonts w:ascii="Times New Roman" w:hAnsi="Times New Roman" w:cs="Times New Roman"/>
          <w:i/>
          <w:sz w:val="20"/>
          <w:szCs w:val="20"/>
        </w:rPr>
        <w:t>er Band</w:t>
      </w:r>
      <w:r w:rsidRPr="00334B2E">
        <w:rPr>
          <w:rFonts w:ascii="Times New Roman" w:hAnsi="Times New Roman" w:cs="Times New Roman"/>
          <w:sz w:val="20"/>
          <w:szCs w:val="20"/>
        </w:rPr>
        <w:t xml:space="preserve">, Leipzig 1814, </w:t>
      </w:r>
      <w:r w:rsidRPr="00334B2E">
        <w:rPr>
          <w:rFonts w:ascii="Times New Roman" w:hAnsi="Times New Roman"/>
          <w:sz w:val="20"/>
          <w:szCs w:val="20"/>
        </w:rPr>
        <w:t>S. 170.</w:t>
      </w:r>
    </w:p>
  </w:footnote>
  <w:footnote w:id="1035">
    <w:p w14:paraId="3499242B" w14:textId="77777777" w:rsidR="00B34CC2" w:rsidRPr="001058E7" w:rsidRDefault="00B34CC2" w:rsidP="001C3D81">
      <w:pPr>
        <w:pStyle w:val="Testonotaapidipagina"/>
        <w:jc w:val="both"/>
        <w:rPr>
          <w:rFonts w:ascii="Times New Roman" w:hAnsi="Times New Roman" w:cs="Times New Roman"/>
          <w:sz w:val="20"/>
          <w:szCs w:val="20"/>
        </w:rPr>
      </w:pPr>
      <w:r w:rsidRPr="00334B2E">
        <w:rPr>
          <w:rStyle w:val="Rimandonotaapidipagina"/>
          <w:rFonts w:ascii="Times New Roman" w:hAnsi="Times New Roman" w:cs="Times New Roman"/>
          <w:sz w:val="20"/>
          <w:szCs w:val="20"/>
        </w:rPr>
        <w:footnoteRef/>
      </w:r>
      <w:r w:rsidRPr="00334B2E">
        <w:rPr>
          <w:rFonts w:ascii="Times New Roman" w:hAnsi="Times New Roman" w:cs="Times New Roman"/>
          <w:sz w:val="20"/>
          <w:szCs w:val="20"/>
          <w:lang w:val="de-AT"/>
        </w:rPr>
        <w:t xml:space="preserve"> </w:t>
      </w:r>
      <w:r w:rsidRPr="00334B2E">
        <w:rPr>
          <w:rFonts w:ascii="Times New Roman" w:hAnsi="Times New Roman" w:cs="Times New Roman"/>
          <w:sz w:val="20"/>
          <w:szCs w:val="20"/>
        </w:rPr>
        <w:t xml:space="preserve">Ebd., </w:t>
      </w:r>
      <w:r w:rsidRPr="00334B2E">
        <w:rPr>
          <w:rFonts w:ascii="Times New Roman" w:hAnsi="Times New Roman"/>
          <w:sz w:val="20"/>
          <w:szCs w:val="20"/>
        </w:rPr>
        <w:t xml:space="preserve">S. </w:t>
      </w:r>
      <w:r w:rsidRPr="00334B2E">
        <w:rPr>
          <w:rFonts w:ascii="Times New Roman" w:hAnsi="Times New Roman" w:cs="Times New Roman"/>
          <w:sz w:val="20"/>
          <w:szCs w:val="20"/>
          <w:lang w:val="de-AT"/>
        </w:rPr>
        <w:t>172.</w:t>
      </w:r>
    </w:p>
  </w:footnote>
  <w:footnote w:id="1036">
    <w:p w14:paraId="720D5711" w14:textId="77777777" w:rsidR="00B34CC2" w:rsidRPr="002C10F7" w:rsidRDefault="00B34CC2" w:rsidP="001C3D81">
      <w:pPr>
        <w:pStyle w:val="Testonotaapidipagina"/>
        <w:jc w:val="both"/>
        <w:rPr>
          <w:rFonts w:ascii="Times New Roman" w:hAnsi="Times New Roman" w:cs="Times New Roman"/>
          <w:sz w:val="20"/>
          <w:szCs w:val="20"/>
        </w:rPr>
      </w:pPr>
      <w:r w:rsidRPr="002C10F7">
        <w:rPr>
          <w:rStyle w:val="Rimandonotaapidipagina"/>
          <w:rFonts w:ascii="Times New Roman" w:hAnsi="Times New Roman" w:cs="Times New Roman"/>
          <w:sz w:val="20"/>
          <w:szCs w:val="20"/>
        </w:rPr>
        <w:footnoteRef/>
      </w:r>
      <w:r w:rsidRPr="002C10F7">
        <w:rPr>
          <w:rFonts w:ascii="Times New Roman" w:hAnsi="Times New Roman" w:cs="Times New Roman"/>
          <w:sz w:val="20"/>
          <w:szCs w:val="20"/>
        </w:rPr>
        <w:t xml:space="preserve"> Ebd., </w:t>
      </w:r>
      <w:r w:rsidRPr="002C10F7">
        <w:rPr>
          <w:rFonts w:ascii="Times New Roman" w:hAnsi="Times New Roman"/>
          <w:sz w:val="20"/>
          <w:szCs w:val="20"/>
        </w:rPr>
        <w:t xml:space="preserve">S. </w:t>
      </w:r>
      <w:r w:rsidRPr="002C10F7">
        <w:rPr>
          <w:rFonts w:ascii="Times New Roman" w:hAnsi="Times New Roman" w:cs="Times New Roman"/>
          <w:sz w:val="20"/>
          <w:szCs w:val="20"/>
        </w:rPr>
        <w:t>175.</w:t>
      </w:r>
    </w:p>
  </w:footnote>
  <w:footnote w:id="1037">
    <w:p w14:paraId="04D21207" w14:textId="77777777" w:rsidR="00B34CC2" w:rsidRPr="000E343F" w:rsidRDefault="00B34CC2" w:rsidP="001C3D81">
      <w:pPr>
        <w:pStyle w:val="Testonotaapidipagina"/>
        <w:jc w:val="both"/>
        <w:rPr>
          <w:rFonts w:ascii="Times New Roman" w:hAnsi="Times New Roman" w:cs="Times New Roman"/>
          <w:sz w:val="20"/>
          <w:szCs w:val="20"/>
        </w:rPr>
      </w:pPr>
      <w:r w:rsidRPr="002C10F7">
        <w:rPr>
          <w:rStyle w:val="Rimandonotaapidipagina"/>
          <w:rFonts w:ascii="Times New Roman" w:hAnsi="Times New Roman" w:cs="Times New Roman"/>
          <w:sz w:val="20"/>
          <w:szCs w:val="20"/>
        </w:rPr>
        <w:footnoteRef/>
      </w:r>
      <w:r w:rsidRPr="002C10F7">
        <w:rPr>
          <w:rFonts w:ascii="Times New Roman" w:hAnsi="Times New Roman" w:cs="Times New Roman"/>
          <w:sz w:val="20"/>
          <w:szCs w:val="20"/>
        </w:rPr>
        <w:t xml:space="preserve"> Ebd., </w:t>
      </w:r>
      <w:r w:rsidRPr="002C10F7">
        <w:rPr>
          <w:rFonts w:ascii="Times New Roman" w:hAnsi="Times New Roman"/>
          <w:sz w:val="20"/>
          <w:szCs w:val="20"/>
        </w:rPr>
        <w:t>S</w:t>
      </w:r>
      <w:r w:rsidRPr="002C10F7">
        <w:rPr>
          <w:rFonts w:ascii="Times New Roman" w:hAnsi="Times New Roman" w:cs="Times New Roman"/>
          <w:sz w:val="20"/>
          <w:szCs w:val="20"/>
        </w:rPr>
        <w:t xml:space="preserve">. 178: </w:t>
      </w:r>
      <w:r w:rsidRPr="002C10F7">
        <w:rPr>
          <w:rFonts w:ascii="Times New Roman" w:hAnsi="Times New Roman" w:cs="Times New Roman"/>
          <w:sz w:val="20"/>
          <w:szCs w:val="20"/>
          <w:lang w:val="de-DE"/>
        </w:rPr>
        <w:t>„Da er sich aber offenbaren und Wesen hervorbringen wollte, so schränkte er sich ein</w:t>
      </w:r>
      <w:r w:rsidRPr="002C10F7">
        <w:rPr>
          <w:rFonts w:ascii="Times New Roman" w:hAnsi="Times New Roman" w:cs="Times New Roman"/>
          <w:sz w:val="20"/>
          <w:szCs w:val="20"/>
        </w:rPr>
        <w:t>”</w:t>
      </w:r>
      <w:r w:rsidRPr="002C10F7">
        <w:rPr>
          <w:rFonts w:ascii="Times New Roman" w:hAnsi="Times New Roman" w:cs="Times New Roman"/>
          <w:sz w:val="20"/>
          <w:szCs w:val="20"/>
          <w:lang w:val="de-DE"/>
        </w:rPr>
        <w:t>.</w:t>
      </w:r>
    </w:p>
  </w:footnote>
  <w:footnote w:id="1038">
    <w:p w14:paraId="0A0A4AEC" w14:textId="77777777" w:rsidR="00B34CC2" w:rsidRPr="002C10F7" w:rsidRDefault="00B34CC2" w:rsidP="001C3D81">
      <w:pPr>
        <w:pStyle w:val="Testonotaapidipagina"/>
        <w:jc w:val="both"/>
        <w:rPr>
          <w:rFonts w:ascii="Times New Roman" w:hAnsi="Times New Roman" w:cs="Times New Roman"/>
          <w:sz w:val="20"/>
          <w:szCs w:val="20"/>
        </w:rPr>
      </w:pPr>
      <w:r w:rsidRPr="002C10F7">
        <w:rPr>
          <w:rStyle w:val="Rimandonotaapidipagina"/>
          <w:rFonts w:ascii="Times New Roman" w:hAnsi="Times New Roman" w:cs="Times New Roman"/>
          <w:sz w:val="20"/>
          <w:szCs w:val="20"/>
        </w:rPr>
        <w:footnoteRef/>
      </w:r>
      <w:r w:rsidRPr="002C10F7">
        <w:rPr>
          <w:rFonts w:ascii="Times New Roman" w:hAnsi="Times New Roman" w:cs="Times New Roman"/>
          <w:i/>
          <w:sz w:val="20"/>
          <w:szCs w:val="20"/>
        </w:rPr>
        <w:t xml:space="preserve"> </w:t>
      </w:r>
      <w:r w:rsidRPr="002C10F7">
        <w:rPr>
          <w:rFonts w:ascii="Times New Roman" w:hAnsi="Times New Roman" w:cs="Times New Roman"/>
          <w:sz w:val="20"/>
          <w:szCs w:val="20"/>
        </w:rPr>
        <w:t xml:space="preserve">Ebd., </w:t>
      </w:r>
      <w:r w:rsidRPr="002C10F7">
        <w:rPr>
          <w:rFonts w:ascii="Times New Roman" w:hAnsi="Times New Roman"/>
          <w:sz w:val="20"/>
          <w:szCs w:val="20"/>
        </w:rPr>
        <w:t>S. 175.</w:t>
      </w:r>
    </w:p>
  </w:footnote>
  <w:footnote w:id="1039">
    <w:p w14:paraId="47E8F1F0" w14:textId="77777777" w:rsidR="00B34CC2" w:rsidRPr="002C10F7" w:rsidRDefault="00B34CC2" w:rsidP="001C3D81">
      <w:pPr>
        <w:pStyle w:val="Testonotaapidipagina"/>
        <w:jc w:val="both"/>
        <w:rPr>
          <w:rFonts w:ascii="Times New Roman" w:hAnsi="Times New Roman" w:cs="Times New Roman"/>
          <w:sz w:val="20"/>
          <w:szCs w:val="20"/>
        </w:rPr>
      </w:pPr>
      <w:r w:rsidRPr="002C10F7">
        <w:rPr>
          <w:rStyle w:val="Rimandonotaapidipagina"/>
          <w:rFonts w:ascii="Times New Roman" w:hAnsi="Times New Roman" w:cs="Times New Roman"/>
          <w:sz w:val="20"/>
          <w:szCs w:val="20"/>
        </w:rPr>
        <w:footnoteRef/>
      </w:r>
      <w:r w:rsidRPr="002C10F7">
        <w:rPr>
          <w:rFonts w:ascii="Times New Roman" w:hAnsi="Times New Roman" w:cs="Times New Roman"/>
          <w:i/>
          <w:sz w:val="20"/>
          <w:szCs w:val="20"/>
        </w:rPr>
        <w:t xml:space="preserve"> </w:t>
      </w:r>
      <w:r w:rsidRPr="002C10F7">
        <w:rPr>
          <w:rFonts w:ascii="Times New Roman" w:hAnsi="Times New Roman" w:cs="Times New Roman"/>
          <w:sz w:val="20"/>
          <w:szCs w:val="20"/>
        </w:rPr>
        <w:t xml:space="preserve">Ebd., </w:t>
      </w:r>
      <w:r w:rsidRPr="002C10F7">
        <w:rPr>
          <w:rFonts w:ascii="Times New Roman" w:hAnsi="Times New Roman"/>
          <w:sz w:val="20"/>
          <w:szCs w:val="20"/>
        </w:rPr>
        <w:t>S. 175.</w:t>
      </w:r>
    </w:p>
  </w:footnote>
  <w:footnote w:id="1040">
    <w:p w14:paraId="4E96527D" w14:textId="77777777" w:rsidR="00B34CC2" w:rsidRPr="002C4142" w:rsidRDefault="00B34CC2" w:rsidP="001C3D81">
      <w:pPr>
        <w:pStyle w:val="Testonotaapidipagina"/>
        <w:jc w:val="both"/>
        <w:rPr>
          <w:rFonts w:ascii="Times New Roman" w:hAnsi="Times New Roman" w:cs="Times New Roman"/>
          <w:sz w:val="20"/>
          <w:szCs w:val="20"/>
        </w:rPr>
      </w:pPr>
      <w:r w:rsidRPr="002C4142">
        <w:rPr>
          <w:rStyle w:val="Rimandonotaapidipagina"/>
          <w:rFonts w:ascii="Times New Roman" w:hAnsi="Times New Roman" w:cs="Times New Roman"/>
          <w:sz w:val="20"/>
          <w:szCs w:val="20"/>
        </w:rPr>
        <w:footnoteRef/>
      </w:r>
      <w:r w:rsidRPr="002C4142">
        <w:rPr>
          <w:rFonts w:ascii="Times New Roman" w:hAnsi="Times New Roman" w:cs="Times New Roman"/>
          <w:sz w:val="20"/>
          <w:szCs w:val="20"/>
        </w:rPr>
        <w:t xml:space="preserve"> Ebd., </w:t>
      </w:r>
      <w:r w:rsidRPr="002C4142">
        <w:rPr>
          <w:rFonts w:ascii="Times New Roman" w:hAnsi="Times New Roman"/>
          <w:sz w:val="20"/>
          <w:szCs w:val="20"/>
        </w:rPr>
        <w:t xml:space="preserve">S. </w:t>
      </w:r>
      <w:r w:rsidRPr="002C4142">
        <w:rPr>
          <w:rFonts w:ascii="Times New Roman" w:hAnsi="Times New Roman" w:cs="Times New Roman"/>
          <w:sz w:val="20"/>
          <w:szCs w:val="20"/>
        </w:rPr>
        <w:t>391.</w:t>
      </w:r>
    </w:p>
  </w:footnote>
  <w:footnote w:id="1041">
    <w:p w14:paraId="77E75821" w14:textId="77777777" w:rsidR="00B34CC2" w:rsidRPr="002C4142" w:rsidRDefault="00B34CC2" w:rsidP="001C3D81">
      <w:pPr>
        <w:pStyle w:val="Testonotaapidipagina"/>
        <w:jc w:val="both"/>
        <w:rPr>
          <w:rFonts w:ascii="Times New Roman" w:hAnsi="Times New Roman" w:cs="Times New Roman"/>
          <w:sz w:val="20"/>
          <w:szCs w:val="20"/>
        </w:rPr>
      </w:pPr>
      <w:r w:rsidRPr="002C4142">
        <w:rPr>
          <w:rStyle w:val="Rimandonotaapidipagina"/>
          <w:rFonts w:ascii="Times New Roman" w:hAnsi="Times New Roman" w:cs="Times New Roman"/>
          <w:sz w:val="20"/>
          <w:szCs w:val="20"/>
        </w:rPr>
        <w:footnoteRef/>
      </w:r>
      <w:r w:rsidRPr="002C4142">
        <w:rPr>
          <w:rFonts w:ascii="Times New Roman" w:hAnsi="Times New Roman" w:cs="Times New Roman"/>
          <w:sz w:val="20"/>
          <w:szCs w:val="20"/>
        </w:rPr>
        <w:t xml:space="preserve"> Ebd., </w:t>
      </w:r>
      <w:r w:rsidRPr="002C4142">
        <w:rPr>
          <w:rFonts w:ascii="Times New Roman" w:hAnsi="Times New Roman"/>
          <w:sz w:val="20"/>
          <w:szCs w:val="20"/>
        </w:rPr>
        <w:t xml:space="preserve">S. </w:t>
      </w:r>
      <w:r w:rsidRPr="002C4142">
        <w:rPr>
          <w:rFonts w:ascii="Times New Roman" w:hAnsi="Times New Roman" w:cs="Times New Roman"/>
          <w:sz w:val="20"/>
          <w:szCs w:val="20"/>
        </w:rPr>
        <w:t xml:space="preserve">392. Das Spinozistische Genie entspricht der Kantischen Definition der </w:t>
      </w:r>
      <w:r w:rsidRPr="002C4142">
        <w:rPr>
          <w:rFonts w:ascii="Times New Roman" w:hAnsi="Times New Roman" w:cs="Times New Roman"/>
          <w:i/>
          <w:sz w:val="20"/>
          <w:szCs w:val="20"/>
          <w:lang w:val="de-DE"/>
        </w:rPr>
        <w:t>Architektonik der reinen Vernunft</w:t>
      </w:r>
      <w:r w:rsidRPr="002C4142">
        <w:rPr>
          <w:rFonts w:ascii="Times New Roman" w:hAnsi="Times New Roman" w:cs="Times New Roman"/>
          <w:sz w:val="20"/>
          <w:szCs w:val="20"/>
        </w:rPr>
        <w:t xml:space="preserve">. Vgl. I. Kant, </w:t>
      </w:r>
      <w:r w:rsidRPr="002C4142">
        <w:rPr>
          <w:rFonts w:ascii="Times New Roman" w:hAnsi="Times New Roman" w:cs="Times New Roman"/>
          <w:i/>
          <w:sz w:val="20"/>
          <w:szCs w:val="20"/>
        </w:rPr>
        <w:t>Kritik der reinen Vernunft</w:t>
      </w:r>
      <w:r w:rsidRPr="002C4142">
        <w:rPr>
          <w:rFonts w:ascii="Times New Roman" w:hAnsi="Times New Roman" w:cs="Times New Roman"/>
          <w:sz w:val="20"/>
          <w:szCs w:val="20"/>
        </w:rPr>
        <w:t xml:space="preserve">, a.a.O., S. 538: </w:t>
      </w:r>
      <w:r w:rsidRPr="002C4142">
        <w:rPr>
          <w:rFonts w:ascii="Times New Roman" w:hAnsi="Times New Roman" w:cs="Times New Roman"/>
          <w:sz w:val="20"/>
          <w:szCs w:val="20"/>
          <w:lang w:val="de-DE"/>
        </w:rPr>
        <w:t>«Ich verstehe unter einer Architektonik die Kunst des Systems […] Ich verstehe aber unter einem System die Einheit der mannigfaltigen Erkenntnisse unter einer Idee».</w:t>
      </w:r>
    </w:p>
  </w:footnote>
  <w:footnote w:id="1042">
    <w:p w14:paraId="012CD836" w14:textId="77777777" w:rsidR="00B34CC2" w:rsidRPr="0022691B" w:rsidRDefault="00B34CC2" w:rsidP="001C3D81">
      <w:pPr>
        <w:pStyle w:val="Testonotaapidipagina"/>
        <w:jc w:val="both"/>
        <w:rPr>
          <w:rFonts w:ascii="Times New Roman" w:hAnsi="Times New Roman" w:cs="Times New Roman"/>
          <w:sz w:val="20"/>
          <w:szCs w:val="20"/>
        </w:rPr>
      </w:pPr>
      <w:r w:rsidRPr="002C4142">
        <w:rPr>
          <w:rStyle w:val="Rimandonotaapidipagina"/>
          <w:rFonts w:ascii="Times New Roman" w:hAnsi="Times New Roman" w:cs="Times New Roman"/>
          <w:sz w:val="20"/>
          <w:szCs w:val="20"/>
        </w:rPr>
        <w:footnoteRef/>
      </w:r>
      <w:r w:rsidRPr="002C4142">
        <w:rPr>
          <w:rFonts w:ascii="Times New Roman" w:hAnsi="Times New Roman" w:cs="Times New Roman"/>
          <w:sz w:val="20"/>
          <w:szCs w:val="20"/>
        </w:rPr>
        <w:t xml:space="preserve"> W.G. Tennemann, </w:t>
      </w:r>
      <w:r w:rsidRPr="002C4142">
        <w:rPr>
          <w:rFonts w:ascii="Times New Roman" w:hAnsi="Times New Roman" w:cs="Times New Roman"/>
          <w:i/>
          <w:sz w:val="20"/>
          <w:szCs w:val="20"/>
        </w:rPr>
        <w:t>Geschichte der Philosophie</w:t>
      </w:r>
      <w:r w:rsidRPr="002C4142">
        <w:rPr>
          <w:rFonts w:ascii="Times New Roman" w:hAnsi="Times New Roman" w:cs="Times New Roman"/>
          <w:sz w:val="20"/>
          <w:szCs w:val="20"/>
        </w:rPr>
        <w:t xml:space="preserve">, </w:t>
      </w:r>
      <w:r w:rsidRPr="002C4142">
        <w:rPr>
          <w:rFonts w:ascii="Times New Roman" w:hAnsi="Times New Roman" w:cs="Times New Roman"/>
          <w:i/>
          <w:sz w:val="20"/>
          <w:szCs w:val="20"/>
        </w:rPr>
        <w:t>Zehnter Band</w:t>
      </w:r>
      <w:r w:rsidRPr="002C4142">
        <w:rPr>
          <w:rFonts w:ascii="Times New Roman" w:hAnsi="Times New Roman" w:cs="Times New Roman"/>
          <w:sz w:val="20"/>
          <w:szCs w:val="20"/>
        </w:rPr>
        <w:t>, Lipsia 1817, S. 472-473.</w:t>
      </w:r>
    </w:p>
  </w:footnote>
  <w:footnote w:id="1043">
    <w:p w14:paraId="306F4A96" w14:textId="77777777" w:rsidR="00B34CC2" w:rsidRPr="004D44BD" w:rsidRDefault="00B34CC2" w:rsidP="001C3D81">
      <w:pPr>
        <w:pStyle w:val="Testonotaapidipagina"/>
        <w:jc w:val="both"/>
        <w:rPr>
          <w:rFonts w:ascii="Times New Roman" w:hAnsi="Times New Roman" w:cs="Times New Roman"/>
          <w:sz w:val="20"/>
          <w:szCs w:val="20"/>
        </w:rPr>
      </w:pPr>
      <w:r w:rsidRPr="004D44BD">
        <w:rPr>
          <w:rStyle w:val="Rimandonotaapidipagina"/>
          <w:rFonts w:ascii="Times New Roman" w:hAnsi="Times New Roman" w:cs="Times New Roman"/>
          <w:sz w:val="20"/>
          <w:szCs w:val="20"/>
        </w:rPr>
        <w:footnoteRef/>
      </w:r>
      <w:r w:rsidRPr="004D44BD">
        <w:rPr>
          <w:rFonts w:ascii="Times New Roman" w:hAnsi="Times New Roman" w:cs="Times New Roman"/>
          <w:sz w:val="20"/>
          <w:szCs w:val="20"/>
        </w:rPr>
        <w:t xml:space="preserve"> </w:t>
      </w:r>
      <w:r w:rsidRPr="000765E4">
        <w:rPr>
          <w:rFonts w:ascii="Times New Roman" w:hAnsi="Times New Roman" w:cs="Times New Roman"/>
          <w:i/>
          <w:sz w:val="20"/>
          <w:szCs w:val="20"/>
        </w:rPr>
        <w:t>Diff</w:t>
      </w:r>
      <w:r w:rsidRPr="004D44BD">
        <w:rPr>
          <w:rFonts w:ascii="Times New Roman" w:hAnsi="Times New Roman" w:cs="Times New Roman"/>
          <w:sz w:val="20"/>
          <w:szCs w:val="20"/>
        </w:rPr>
        <w:t>, S. 10.</w:t>
      </w:r>
    </w:p>
  </w:footnote>
  <w:footnote w:id="1044">
    <w:p w14:paraId="388D3476" w14:textId="77777777" w:rsidR="00B34CC2" w:rsidRPr="00725065" w:rsidRDefault="00B34CC2" w:rsidP="001C3D81">
      <w:pPr>
        <w:pStyle w:val="Testonotaapidipagina"/>
        <w:jc w:val="both"/>
        <w:rPr>
          <w:rFonts w:ascii="Times New Roman" w:hAnsi="Times New Roman" w:cs="Times New Roman"/>
          <w:sz w:val="20"/>
          <w:szCs w:val="20"/>
        </w:rPr>
      </w:pPr>
      <w:r w:rsidRPr="00725065">
        <w:rPr>
          <w:rStyle w:val="Rimandonotaapidipagina"/>
          <w:rFonts w:ascii="Times New Roman" w:hAnsi="Times New Roman" w:cs="Times New Roman"/>
          <w:sz w:val="20"/>
          <w:szCs w:val="20"/>
        </w:rPr>
        <w:footnoteRef/>
      </w:r>
      <w:r w:rsidRPr="00725065">
        <w:rPr>
          <w:rFonts w:ascii="Times New Roman" w:hAnsi="Times New Roman" w:cs="Times New Roman"/>
          <w:sz w:val="20"/>
          <w:szCs w:val="20"/>
        </w:rPr>
        <w:t xml:space="preserve"> </w:t>
      </w:r>
      <w:r w:rsidRPr="00725065">
        <w:rPr>
          <w:rFonts w:ascii="Times New Roman" w:hAnsi="Times New Roman" w:cs="Times New Roman"/>
          <w:i/>
          <w:sz w:val="20"/>
          <w:szCs w:val="20"/>
        </w:rPr>
        <w:t>SE II</w:t>
      </w:r>
      <w:r w:rsidRPr="00725065">
        <w:rPr>
          <w:rFonts w:ascii="Times New Roman" w:hAnsi="Times New Roman" w:cs="Times New Roman"/>
          <w:sz w:val="20"/>
          <w:szCs w:val="20"/>
        </w:rPr>
        <w:t>, S. 274.</w:t>
      </w:r>
    </w:p>
  </w:footnote>
  <w:footnote w:id="1045">
    <w:p w14:paraId="1C225B4A" w14:textId="77777777" w:rsidR="00B34CC2" w:rsidRPr="001F2627" w:rsidRDefault="00B34CC2" w:rsidP="001C3D81">
      <w:pPr>
        <w:pStyle w:val="Testonotaapidipagina"/>
        <w:jc w:val="both"/>
        <w:rPr>
          <w:rFonts w:ascii="Times New Roman" w:hAnsi="Times New Roman" w:cs="Times New Roman"/>
          <w:sz w:val="20"/>
          <w:szCs w:val="20"/>
          <w:lang w:val="de-DE"/>
        </w:rPr>
      </w:pPr>
      <w:r w:rsidRPr="006E5B48">
        <w:rPr>
          <w:rStyle w:val="Rimandonotaapidipagina"/>
          <w:rFonts w:ascii="Times New Roman" w:hAnsi="Times New Roman" w:cs="Times New Roman"/>
          <w:sz w:val="20"/>
          <w:szCs w:val="20"/>
        </w:rPr>
        <w:footnoteRef/>
      </w:r>
      <w:r>
        <w:rPr>
          <w:rFonts w:ascii="Times New Roman" w:hAnsi="Times New Roman" w:cs="Times New Roman"/>
          <w:sz w:val="20"/>
          <w:szCs w:val="20"/>
        </w:rPr>
        <w:t xml:space="preserve"> Vgl</w:t>
      </w:r>
      <w:r w:rsidRPr="006E5B48">
        <w:rPr>
          <w:rFonts w:ascii="Times New Roman" w:hAnsi="Times New Roman" w:cs="Times New Roman"/>
          <w:sz w:val="20"/>
          <w:szCs w:val="20"/>
        </w:rPr>
        <w:t xml:space="preserve">. </w:t>
      </w:r>
      <w:r>
        <w:rPr>
          <w:rFonts w:ascii="Times New Roman" w:hAnsi="Times New Roman" w:cs="Times New Roman"/>
          <w:sz w:val="20"/>
          <w:szCs w:val="20"/>
        </w:rPr>
        <w:t xml:space="preserve">R. Bodei, </w:t>
      </w:r>
      <w:r>
        <w:rPr>
          <w:rFonts w:ascii="Times New Roman" w:hAnsi="Times New Roman" w:cs="Times New Roman"/>
          <w:i/>
          <w:sz w:val="20"/>
          <w:szCs w:val="20"/>
        </w:rPr>
        <w:t>Die Metaphysik der Zeit in Hegels Geschichte der Philosophie</w:t>
      </w:r>
      <w:r>
        <w:rPr>
          <w:rFonts w:ascii="Times New Roman" w:hAnsi="Times New Roman" w:cs="Times New Roman"/>
          <w:sz w:val="20"/>
          <w:szCs w:val="20"/>
        </w:rPr>
        <w:t xml:space="preserve">, in </w:t>
      </w:r>
      <w:r>
        <w:rPr>
          <w:rFonts w:ascii="Times New Roman" w:hAnsi="Times New Roman" w:cs="Times New Roman"/>
          <w:i/>
          <w:sz w:val="20"/>
          <w:szCs w:val="20"/>
        </w:rPr>
        <w:t xml:space="preserve">Hegels Logik der Philosophie: Religion und Philosophie in der Theorie des absoluten Geistes, </w:t>
      </w:r>
      <w:r>
        <w:rPr>
          <w:rFonts w:ascii="Times New Roman" w:hAnsi="Times New Roman" w:cs="Times New Roman"/>
          <w:sz w:val="20"/>
          <w:szCs w:val="20"/>
        </w:rPr>
        <w:t xml:space="preserve">hrsg. von D. Henrich und R.-P. Horstmann, Klett-Cotta, Stuttgart 1984, S. 79-98; B. Lakebrink, </w:t>
      </w:r>
      <w:r>
        <w:rPr>
          <w:rFonts w:ascii="Times New Roman" w:hAnsi="Times New Roman" w:cs="Times New Roman"/>
          <w:i/>
          <w:sz w:val="20"/>
          <w:szCs w:val="20"/>
        </w:rPr>
        <w:t>Hegels Metaphysik der Zeit</w:t>
      </w:r>
      <w:r>
        <w:rPr>
          <w:rFonts w:ascii="Times New Roman" w:hAnsi="Times New Roman" w:cs="Times New Roman"/>
          <w:sz w:val="20"/>
          <w:szCs w:val="20"/>
        </w:rPr>
        <w:t xml:space="preserve">, in «Philosophisches Jahrbuch, n. 74 (1966/67), S. 284-293; </w:t>
      </w:r>
      <w:r w:rsidRPr="006E5B48">
        <w:rPr>
          <w:rFonts w:ascii="Times New Roman" w:hAnsi="Times New Roman" w:cs="Times New Roman"/>
          <w:sz w:val="20"/>
          <w:szCs w:val="20"/>
        </w:rPr>
        <w:t xml:space="preserve">K. Düsing, </w:t>
      </w:r>
      <w:r w:rsidRPr="006E5B48">
        <w:rPr>
          <w:rFonts w:ascii="Times New Roman" w:hAnsi="Times New Roman" w:cs="Times New Roman"/>
          <w:i/>
          <w:sz w:val="20"/>
          <w:szCs w:val="20"/>
        </w:rPr>
        <w:t>Hegel und die Geschichte der Philosophie</w:t>
      </w:r>
      <w:r w:rsidRPr="006E5B48">
        <w:rPr>
          <w:rFonts w:ascii="Times New Roman" w:hAnsi="Times New Roman" w:cs="Times New Roman"/>
          <w:sz w:val="20"/>
          <w:szCs w:val="20"/>
        </w:rPr>
        <w:t>, Wissenschaftliche Buc</w:t>
      </w:r>
      <w:r>
        <w:rPr>
          <w:rFonts w:ascii="Times New Roman" w:hAnsi="Times New Roman" w:cs="Times New Roman"/>
          <w:sz w:val="20"/>
          <w:szCs w:val="20"/>
        </w:rPr>
        <w:t>hgesellschaft, Darmstadt 1983, S</w:t>
      </w:r>
      <w:r w:rsidRPr="006E5B48">
        <w:rPr>
          <w:rFonts w:ascii="Times New Roman" w:hAnsi="Times New Roman" w:cs="Times New Roman"/>
          <w:sz w:val="20"/>
          <w:szCs w:val="20"/>
        </w:rPr>
        <w:t xml:space="preserve">. 16; A. Ferrarin, </w:t>
      </w:r>
      <w:r w:rsidRPr="006E5B48">
        <w:rPr>
          <w:rFonts w:ascii="Times New Roman" w:hAnsi="Times New Roman" w:cs="Times New Roman"/>
          <w:i/>
          <w:sz w:val="20"/>
          <w:szCs w:val="20"/>
        </w:rPr>
        <w:t>Hegel and Aristotle</w:t>
      </w:r>
      <w:r w:rsidRPr="006E5B48">
        <w:rPr>
          <w:rFonts w:ascii="Times New Roman" w:hAnsi="Times New Roman" w:cs="Times New Roman"/>
          <w:sz w:val="20"/>
          <w:szCs w:val="20"/>
        </w:rPr>
        <w:t>, Cambridge Uni</w:t>
      </w:r>
      <w:r>
        <w:rPr>
          <w:rFonts w:ascii="Times New Roman" w:hAnsi="Times New Roman" w:cs="Times New Roman"/>
          <w:sz w:val="20"/>
          <w:szCs w:val="20"/>
        </w:rPr>
        <w:t>versity Press, Cambridge 2001, S</w:t>
      </w:r>
      <w:r w:rsidRPr="006E5B48">
        <w:rPr>
          <w:rFonts w:ascii="Times New Roman" w:hAnsi="Times New Roman" w:cs="Times New Roman"/>
          <w:sz w:val="20"/>
          <w:szCs w:val="20"/>
        </w:rPr>
        <w:t xml:space="preserve">. 42; G. Frilli, </w:t>
      </w:r>
      <w:r w:rsidRPr="006E5B48">
        <w:rPr>
          <w:rFonts w:ascii="Times New Roman" w:hAnsi="Times New Roman" w:cs="Times New Roman"/>
          <w:i/>
          <w:sz w:val="20"/>
          <w:szCs w:val="20"/>
        </w:rPr>
        <w:t>Passato senza tempo. Tempo, storia e memoria nella Fenomenologia dello spirito di Hegel</w:t>
      </w:r>
      <w:r>
        <w:rPr>
          <w:rFonts w:ascii="Times New Roman" w:hAnsi="Times New Roman" w:cs="Times New Roman"/>
          <w:sz w:val="20"/>
          <w:szCs w:val="20"/>
        </w:rPr>
        <w:t>, Verifiche, Trento 2015, S</w:t>
      </w:r>
      <w:r w:rsidRPr="006E5B48">
        <w:rPr>
          <w:rFonts w:ascii="Times New Roman" w:hAnsi="Times New Roman" w:cs="Times New Roman"/>
          <w:sz w:val="20"/>
          <w:szCs w:val="20"/>
        </w:rPr>
        <w:t xml:space="preserve">. 163. </w:t>
      </w:r>
    </w:p>
  </w:footnote>
  <w:footnote w:id="1046">
    <w:p w14:paraId="6D14DB87" w14:textId="77777777" w:rsidR="00B34CC2" w:rsidRPr="001D72D3" w:rsidRDefault="00B34CC2" w:rsidP="001C3D81">
      <w:pPr>
        <w:pStyle w:val="Testonotaapidipagina"/>
        <w:jc w:val="both"/>
        <w:rPr>
          <w:rFonts w:ascii="Times New Roman" w:hAnsi="Times New Roman" w:cs="Times New Roman"/>
          <w:sz w:val="20"/>
          <w:szCs w:val="20"/>
        </w:rPr>
      </w:pPr>
      <w:r w:rsidRPr="00AA6415">
        <w:rPr>
          <w:rStyle w:val="Rimandonotaapidipagina"/>
          <w:rFonts w:ascii="Times New Roman" w:hAnsi="Times New Roman" w:cs="Times New Roman"/>
          <w:sz w:val="20"/>
          <w:szCs w:val="20"/>
        </w:rPr>
        <w:footnoteRef/>
      </w:r>
      <w:r w:rsidRPr="00AA6415">
        <w:rPr>
          <w:rFonts w:ascii="Times New Roman" w:hAnsi="Times New Roman" w:cs="Times New Roman"/>
          <w:sz w:val="20"/>
          <w:szCs w:val="20"/>
        </w:rPr>
        <w:t xml:space="preserve"> </w:t>
      </w:r>
      <w:r w:rsidRPr="00AA6415">
        <w:rPr>
          <w:rFonts w:ascii="Times New Roman" w:hAnsi="Times New Roman" w:cs="Times New Roman"/>
          <w:i/>
          <w:sz w:val="20"/>
          <w:szCs w:val="20"/>
        </w:rPr>
        <w:t>VGP (M)</w:t>
      </w:r>
      <w:r w:rsidRPr="00AA6415">
        <w:rPr>
          <w:rFonts w:ascii="Times New Roman" w:hAnsi="Times New Roman" w:cs="Times New Roman"/>
          <w:sz w:val="20"/>
          <w:szCs w:val="20"/>
        </w:rPr>
        <w:t>, S. 128.</w:t>
      </w:r>
    </w:p>
  </w:footnote>
  <w:footnote w:id="1047">
    <w:p w14:paraId="5436CC58" w14:textId="77777777" w:rsidR="00B34CC2" w:rsidRPr="007D2BA6" w:rsidRDefault="00B34CC2" w:rsidP="001C3D81">
      <w:pPr>
        <w:pStyle w:val="Testonotaapidipagina"/>
        <w:jc w:val="both"/>
        <w:rPr>
          <w:rFonts w:ascii="Times New Roman" w:hAnsi="Times New Roman" w:cs="Times New Roman"/>
          <w:sz w:val="20"/>
          <w:szCs w:val="20"/>
        </w:rPr>
      </w:pPr>
      <w:r w:rsidRPr="007D2BA6">
        <w:rPr>
          <w:rStyle w:val="Rimandonotaapidipagina"/>
          <w:rFonts w:ascii="Times New Roman" w:hAnsi="Times New Roman" w:cs="Times New Roman"/>
          <w:sz w:val="20"/>
          <w:szCs w:val="20"/>
        </w:rPr>
        <w:footnoteRef/>
      </w:r>
      <w:r w:rsidRPr="007D2BA6">
        <w:rPr>
          <w:rFonts w:ascii="Times New Roman" w:hAnsi="Times New Roman" w:cs="Times New Roman"/>
          <w:i/>
          <w:sz w:val="20"/>
          <w:szCs w:val="20"/>
        </w:rPr>
        <w:t xml:space="preserve"> </w:t>
      </w:r>
      <w:r w:rsidRPr="0057311C">
        <w:rPr>
          <w:rFonts w:ascii="Times New Roman" w:hAnsi="Times New Roman" w:cs="Times New Roman"/>
          <w:sz w:val="20"/>
          <w:szCs w:val="20"/>
        </w:rPr>
        <w:t>Ebd.</w:t>
      </w:r>
      <w:r>
        <w:rPr>
          <w:rFonts w:ascii="Times New Roman" w:hAnsi="Times New Roman" w:cs="Times New Roman"/>
          <w:sz w:val="20"/>
          <w:szCs w:val="20"/>
        </w:rPr>
        <w:t>, S. 128.</w:t>
      </w:r>
    </w:p>
  </w:footnote>
  <w:footnote w:id="1048">
    <w:p w14:paraId="17E15027" w14:textId="77777777" w:rsidR="00B34CC2" w:rsidRPr="00825C4D" w:rsidRDefault="00B34CC2" w:rsidP="001C3D81">
      <w:pPr>
        <w:pStyle w:val="Testonotaapidipagina"/>
        <w:jc w:val="both"/>
        <w:rPr>
          <w:rFonts w:ascii="Times New Roman" w:hAnsi="Times New Roman" w:cs="Times New Roman"/>
          <w:sz w:val="20"/>
          <w:szCs w:val="20"/>
        </w:rPr>
      </w:pPr>
      <w:r w:rsidRPr="00733287">
        <w:rPr>
          <w:rStyle w:val="Rimandonotaapidipagina"/>
          <w:rFonts w:ascii="Times New Roman" w:hAnsi="Times New Roman" w:cs="Times New Roman"/>
          <w:sz w:val="20"/>
          <w:szCs w:val="20"/>
        </w:rPr>
        <w:footnoteRef/>
      </w:r>
      <w:r w:rsidRPr="00733287">
        <w:rPr>
          <w:rFonts w:ascii="Times New Roman" w:hAnsi="Times New Roman" w:cs="Times New Roman"/>
          <w:sz w:val="20"/>
          <w:szCs w:val="20"/>
        </w:rPr>
        <w:t xml:space="preserve"> </w:t>
      </w:r>
      <w:r w:rsidRPr="00733287">
        <w:rPr>
          <w:rFonts w:ascii="Times New Roman" w:hAnsi="Times New Roman" w:cs="Times New Roman"/>
          <w:i/>
          <w:sz w:val="20"/>
          <w:szCs w:val="20"/>
        </w:rPr>
        <w:t>VGP (H)</w:t>
      </w:r>
      <w:r w:rsidRPr="00733287">
        <w:rPr>
          <w:rFonts w:ascii="Times New Roman" w:hAnsi="Times New Roman" w:cs="Times New Roman"/>
          <w:sz w:val="20"/>
          <w:szCs w:val="20"/>
        </w:rPr>
        <w:t>, S. 380.</w:t>
      </w:r>
    </w:p>
  </w:footnote>
  <w:footnote w:id="1049">
    <w:p w14:paraId="39CC9666" w14:textId="77777777" w:rsidR="00B34CC2" w:rsidRPr="00825C4D" w:rsidRDefault="00B34CC2" w:rsidP="001C3D81">
      <w:pPr>
        <w:pStyle w:val="Testonotaapidipagina"/>
        <w:jc w:val="both"/>
        <w:rPr>
          <w:rFonts w:ascii="Times New Roman" w:hAnsi="Times New Roman" w:cs="Times New Roman"/>
          <w:sz w:val="20"/>
          <w:szCs w:val="20"/>
        </w:rPr>
      </w:pPr>
      <w:r w:rsidRPr="000B57CF">
        <w:rPr>
          <w:rStyle w:val="Rimandonotaapidipagina"/>
          <w:rFonts w:ascii="Times New Roman" w:hAnsi="Times New Roman" w:cs="Times New Roman"/>
          <w:sz w:val="20"/>
          <w:szCs w:val="20"/>
        </w:rPr>
        <w:footnoteRef/>
      </w:r>
      <w:r w:rsidRPr="007D2BA6">
        <w:rPr>
          <w:rFonts w:ascii="Times New Roman" w:hAnsi="Times New Roman" w:cs="Times New Roman"/>
          <w:i/>
          <w:sz w:val="20"/>
          <w:szCs w:val="20"/>
        </w:rPr>
        <w:t xml:space="preserve"> </w:t>
      </w:r>
      <w:r w:rsidRPr="0057311C">
        <w:rPr>
          <w:rFonts w:ascii="Times New Roman" w:hAnsi="Times New Roman" w:cs="Times New Roman"/>
          <w:sz w:val="20"/>
          <w:szCs w:val="20"/>
        </w:rPr>
        <w:t>Ebd.</w:t>
      </w:r>
      <w:r>
        <w:rPr>
          <w:rFonts w:ascii="Times New Roman" w:hAnsi="Times New Roman" w:cs="Times New Roman"/>
          <w:sz w:val="20"/>
          <w:szCs w:val="20"/>
        </w:rPr>
        <w:t>, S. 380.</w:t>
      </w:r>
    </w:p>
  </w:footnote>
  <w:footnote w:id="1050">
    <w:p w14:paraId="78B2A3AA" w14:textId="795D2B84" w:rsidR="00B34CC2" w:rsidRPr="001C07F8" w:rsidRDefault="00B34CC2" w:rsidP="001C3D81">
      <w:pPr>
        <w:jc w:val="both"/>
        <w:rPr>
          <w:rFonts w:ascii="Times New Roman" w:hAnsi="Times New Roman" w:cs="Times New Roman"/>
          <w:sz w:val="20"/>
          <w:szCs w:val="20"/>
          <w:lang w:val="de-DE"/>
        </w:rPr>
      </w:pPr>
      <w:r w:rsidRPr="007C62AA">
        <w:rPr>
          <w:rStyle w:val="Rimandonotaapidipagina"/>
          <w:rFonts w:ascii="Times New Roman" w:hAnsi="Times New Roman" w:cs="Times New Roman"/>
          <w:sz w:val="20"/>
          <w:szCs w:val="20"/>
          <w:lang w:val="de-DE"/>
        </w:rPr>
        <w:footnoteRef/>
      </w:r>
      <w:r w:rsidRPr="007C62AA">
        <w:rPr>
          <w:rFonts w:ascii="Times New Roman" w:hAnsi="Times New Roman" w:cs="Times New Roman"/>
          <w:sz w:val="20"/>
          <w:szCs w:val="20"/>
          <w:lang w:val="de-DE"/>
        </w:rPr>
        <w:t xml:space="preserve"> </w:t>
      </w:r>
      <w:r>
        <w:rPr>
          <w:rFonts w:ascii="Times New Roman" w:hAnsi="Times New Roman" w:cs="Times New Roman"/>
          <w:sz w:val="20"/>
          <w:szCs w:val="20"/>
          <w:lang w:val="de-DE"/>
        </w:rPr>
        <w:t xml:space="preserve">In Bezug auf Philon von Alexandria siehe </w:t>
      </w:r>
      <w:r w:rsidRPr="007C62AA">
        <w:rPr>
          <w:rFonts w:ascii="Times New Roman" w:hAnsi="Times New Roman" w:cs="Times New Roman"/>
          <w:i/>
          <w:sz w:val="20"/>
          <w:szCs w:val="20"/>
          <w:lang w:val="de-DE"/>
        </w:rPr>
        <w:t>VGP (H)</w:t>
      </w:r>
      <w:r>
        <w:rPr>
          <w:rFonts w:ascii="Times New Roman" w:hAnsi="Times New Roman" w:cs="Times New Roman"/>
          <w:sz w:val="20"/>
          <w:szCs w:val="20"/>
          <w:lang w:val="de-DE"/>
        </w:rPr>
        <w:t>, S. 384: „</w:t>
      </w:r>
      <w:r w:rsidRPr="007C62AA">
        <w:rPr>
          <w:rFonts w:ascii="Times New Roman" w:hAnsi="Times New Roman" w:cs="Times New Roman"/>
          <w:sz w:val="20"/>
          <w:szCs w:val="20"/>
          <w:lang w:val="de-DE"/>
        </w:rPr>
        <w:t xml:space="preserve">Der </w:t>
      </w:r>
      <w:r w:rsidRPr="007C62AA">
        <w:rPr>
          <w:rFonts w:ascii="Times New Roman" w:hAnsi="Times New Roman" w:cs="Times New Roman"/>
          <w:sz w:val="20"/>
          <w:szCs w:val="20"/>
        </w:rPr>
        <w:t>λογος</w:t>
      </w:r>
      <w:r w:rsidRPr="007C62AA">
        <w:rPr>
          <w:rFonts w:ascii="Times New Roman" w:hAnsi="Times New Roman" w:cs="Times New Roman"/>
          <w:sz w:val="20"/>
          <w:szCs w:val="20"/>
          <w:lang w:val="de-DE"/>
        </w:rPr>
        <w:t xml:space="preserve"> ist nicht blos die erste ruhende Gedankenwelt. Ferner spricht Philo von einem thätigen </w:t>
      </w:r>
      <w:r w:rsidRPr="007C62AA">
        <w:rPr>
          <w:rFonts w:ascii="Times New Roman" w:hAnsi="Times New Roman" w:cs="Times New Roman"/>
          <w:sz w:val="20"/>
          <w:szCs w:val="20"/>
        </w:rPr>
        <w:t>λογος</w:t>
      </w:r>
      <w:r w:rsidRPr="007C62AA">
        <w:rPr>
          <w:rFonts w:ascii="Times New Roman" w:hAnsi="Times New Roman" w:cs="Times New Roman"/>
          <w:sz w:val="20"/>
          <w:szCs w:val="20"/>
          <w:lang w:val="de-DE"/>
        </w:rPr>
        <w:t>; die Wir</w:t>
      </w:r>
      <w:r>
        <w:rPr>
          <w:rFonts w:ascii="Times New Roman" w:hAnsi="Times New Roman" w:cs="Times New Roman"/>
          <w:sz w:val="20"/>
          <w:szCs w:val="20"/>
          <w:lang w:val="de-DE"/>
        </w:rPr>
        <w:t>ksamkeit, das Schaffen der Welt</w:t>
      </w:r>
      <w:r w:rsidRPr="00733287">
        <w:rPr>
          <w:rFonts w:ascii="Times New Roman" w:hAnsi="Times New Roman" w:cs="Times New Roman"/>
          <w:sz w:val="20"/>
          <w:szCs w:val="20"/>
        </w:rPr>
        <w:t>”</w:t>
      </w:r>
      <w:r w:rsidRPr="007C62AA">
        <w:rPr>
          <w:rFonts w:ascii="Times New Roman" w:hAnsi="Times New Roman" w:cs="Times New Roman"/>
          <w:sz w:val="20"/>
          <w:szCs w:val="20"/>
          <w:lang w:val="de-DE"/>
        </w:rPr>
        <w:t xml:space="preserve">. </w:t>
      </w:r>
      <w:r>
        <w:rPr>
          <w:rFonts w:ascii="Times New Roman" w:hAnsi="Times New Roman" w:cs="Times New Roman"/>
          <w:sz w:val="20"/>
          <w:szCs w:val="20"/>
          <w:lang w:val="de-DE"/>
        </w:rPr>
        <w:t xml:space="preserve">In Bezug auf Plotin vgl. </w:t>
      </w:r>
      <w:r w:rsidRPr="007C62AA">
        <w:rPr>
          <w:rFonts w:ascii="Times New Roman" w:hAnsi="Times New Roman" w:cs="Times New Roman"/>
          <w:i/>
          <w:sz w:val="20"/>
          <w:szCs w:val="20"/>
          <w:lang w:val="de-DE"/>
        </w:rPr>
        <w:t>VGP (H)</w:t>
      </w:r>
      <w:r>
        <w:rPr>
          <w:rFonts w:ascii="Times New Roman" w:hAnsi="Times New Roman" w:cs="Times New Roman"/>
          <w:sz w:val="20"/>
          <w:szCs w:val="20"/>
          <w:lang w:val="de-DE"/>
        </w:rPr>
        <w:t>, S. 384: „d</w:t>
      </w:r>
      <w:r w:rsidRPr="007C62AA">
        <w:rPr>
          <w:rFonts w:ascii="Times New Roman" w:hAnsi="Times New Roman" w:cs="Times New Roman"/>
          <w:sz w:val="20"/>
          <w:szCs w:val="20"/>
          <w:lang w:val="de-DE"/>
        </w:rPr>
        <w:t xml:space="preserve">as feste ruhende ist das Seyn; </w:t>
      </w:r>
      <w:r w:rsidRPr="007C62AA">
        <w:rPr>
          <w:rFonts w:ascii="Times New Roman" w:eastAsia="Times New Roman" w:hAnsi="Times New Roman" w:cs="Times New Roman"/>
          <w:i/>
          <w:color w:val="000000"/>
          <w:sz w:val="20"/>
          <w:szCs w:val="20"/>
          <w:shd w:val="clear" w:color="auto" w:fill="FFFFFF"/>
          <w:lang w:val="de-DE"/>
        </w:rPr>
        <w:t xml:space="preserve">der νους ist die Anschaung dieses Seyns oder Wesens. Der νους </w:t>
      </w:r>
      <w:r w:rsidRPr="007C62AA">
        <w:rPr>
          <w:rFonts w:ascii="Times New Roman" w:eastAsia="Times New Roman" w:hAnsi="Times New Roman" w:cs="Times New Roman"/>
          <w:color w:val="000000"/>
          <w:sz w:val="20"/>
          <w:szCs w:val="20"/>
          <w:shd w:val="clear" w:color="auto" w:fill="FFFFFF"/>
          <w:lang w:val="de-DE"/>
        </w:rPr>
        <w:t xml:space="preserve">ist, indem </w:t>
      </w:r>
      <w:r>
        <w:rPr>
          <w:rFonts w:ascii="Times New Roman" w:eastAsia="Times New Roman" w:hAnsi="Times New Roman" w:cs="Times New Roman"/>
          <w:color w:val="000000"/>
          <w:sz w:val="20"/>
          <w:szCs w:val="20"/>
          <w:shd w:val="clear" w:color="auto" w:fill="FFFFFF"/>
          <w:lang w:val="de-DE"/>
        </w:rPr>
        <w:t xml:space="preserve">das erste Wesen durch Rückkehr </w:t>
      </w:r>
      <w:r w:rsidRPr="007C62AA">
        <w:rPr>
          <w:rFonts w:ascii="Times New Roman" w:eastAsia="Times New Roman" w:hAnsi="Times New Roman" w:cs="Times New Roman"/>
          <w:color w:val="000000"/>
          <w:sz w:val="20"/>
          <w:szCs w:val="20"/>
          <w:shd w:val="clear" w:color="auto" w:fill="FFFFFF"/>
          <w:lang w:val="de-DE"/>
        </w:rPr>
        <w:t xml:space="preserve">sich selbst sich selbst sieht, diese Zurückbeugung in sich selbst ist nun also das Denken. Was der </w:t>
      </w:r>
      <w:r w:rsidRPr="007C62AA">
        <w:rPr>
          <w:rFonts w:ascii="Times New Roman" w:eastAsia="Times New Roman" w:hAnsi="Times New Roman" w:cs="Times New Roman"/>
          <w:i/>
          <w:color w:val="000000"/>
          <w:sz w:val="20"/>
          <w:szCs w:val="20"/>
          <w:shd w:val="clear" w:color="auto" w:fill="FFFFFF"/>
          <w:lang w:val="de-DE"/>
        </w:rPr>
        <w:t xml:space="preserve">νους </w:t>
      </w:r>
      <w:r w:rsidRPr="007C62AA">
        <w:rPr>
          <w:rFonts w:ascii="Times New Roman" w:eastAsia="Times New Roman" w:hAnsi="Times New Roman" w:cs="Times New Roman"/>
          <w:color w:val="000000"/>
          <w:sz w:val="20"/>
          <w:szCs w:val="20"/>
          <w:shd w:val="clear" w:color="auto" w:fill="FFFFFF"/>
          <w:lang w:val="de-DE"/>
        </w:rPr>
        <w:t>so zum Gegenstand hat, das ist ihm also durchaus nichts Fremdes; die Dinge wie sie in jenem absoluten Denken sind, so sind sie als λογοι; diese sind die Muster der Sinnenwelt</w:t>
      </w:r>
      <w:r w:rsidRPr="00733287">
        <w:rPr>
          <w:rFonts w:ascii="Times New Roman" w:hAnsi="Times New Roman" w:cs="Times New Roman"/>
          <w:sz w:val="20"/>
          <w:szCs w:val="20"/>
        </w:rPr>
        <w:t>”</w:t>
      </w:r>
      <w:r w:rsidRPr="007C62AA">
        <w:rPr>
          <w:rFonts w:ascii="Times New Roman" w:hAnsi="Times New Roman" w:cs="Times New Roman"/>
          <w:sz w:val="20"/>
          <w:szCs w:val="20"/>
          <w:lang w:val="de-DE"/>
        </w:rPr>
        <w:t>.</w:t>
      </w:r>
      <w:r>
        <w:rPr>
          <w:rFonts w:ascii="Times New Roman" w:hAnsi="Times New Roman" w:cs="Times New Roman"/>
          <w:sz w:val="20"/>
          <w:szCs w:val="20"/>
        </w:rPr>
        <w:t xml:space="preserve"> In Michelets Vorlesungen liest man</w:t>
      </w:r>
      <w:r>
        <w:rPr>
          <w:rFonts w:ascii="Times New Roman" w:hAnsi="Times New Roman" w:cs="Times New Roman"/>
          <w:sz w:val="20"/>
          <w:szCs w:val="20"/>
          <w:lang w:val="de-DE"/>
        </w:rPr>
        <w:t>: „</w:t>
      </w:r>
      <w:r>
        <w:rPr>
          <w:rFonts w:ascii="Times New Roman" w:hAnsi="Times New Roman" w:cs="Times New Roman"/>
          <w:color w:val="000000"/>
          <w:sz w:val="20"/>
          <w:szCs w:val="20"/>
          <w:lang w:val="de-DE"/>
        </w:rPr>
        <w:t>a</w:t>
      </w:r>
      <w:r w:rsidRPr="001C07F8">
        <w:rPr>
          <w:rFonts w:ascii="Times New Roman" w:hAnsi="Times New Roman" w:cs="Times New Roman"/>
          <w:color w:val="000000"/>
          <w:sz w:val="20"/>
          <w:szCs w:val="20"/>
          <w:lang w:val="de-DE"/>
        </w:rPr>
        <w:t>ber das Denken ist dann auch dieses, sich selbst zum Gegenstande zu haben; und damit hat es einen Gegenstand, der Vermittlung und Tätigkeit, überhaupt die</w:t>
      </w:r>
      <w:r w:rsidRPr="001C07F8">
        <w:rPr>
          <w:rFonts w:ascii="Times New Roman" w:hAnsi="Times New Roman" w:cs="Times New Roman"/>
          <w:i/>
          <w:iCs/>
          <w:color w:val="000000"/>
          <w:sz w:val="20"/>
          <w:szCs w:val="20"/>
          <w:lang w:val="de-DE"/>
        </w:rPr>
        <w:t> dyas</w:t>
      </w:r>
      <w:r w:rsidRPr="001C07F8">
        <w:rPr>
          <w:rFonts w:ascii="Times New Roman" w:hAnsi="Times New Roman" w:cs="Times New Roman"/>
          <w:color w:val="000000"/>
          <w:sz w:val="20"/>
          <w:szCs w:val="20"/>
          <w:lang w:val="de-DE"/>
        </w:rPr>
        <w:t> in sich enthält. Dies ist das Denken als Denken des Denkens</w:t>
      </w:r>
      <w:r w:rsidRPr="00733287">
        <w:rPr>
          <w:rFonts w:ascii="Times New Roman" w:hAnsi="Times New Roman" w:cs="Times New Roman"/>
          <w:sz w:val="20"/>
          <w:szCs w:val="20"/>
        </w:rPr>
        <w:t>”</w:t>
      </w:r>
      <w:r>
        <w:rPr>
          <w:rFonts w:ascii="Times New Roman" w:hAnsi="Times New Roman" w:cs="Times New Roman"/>
          <w:sz w:val="20"/>
          <w:szCs w:val="20"/>
          <w:lang w:val="de-DE"/>
        </w:rPr>
        <w:t xml:space="preserve"> (</w:t>
      </w:r>
      <w:r w:rsidRPr="009B6EFE">
        <w:rPr>
          <w:rFonts w:ascii="Times New Roman" w:hAnsi="Times New Roman" w:cs="Times New Roman"/>
          <w:i/>
          <w:sz w:val="20"/>
          <w:szCs w:val="20"/>
          <w:lang w:val="de-DE"/>
        </w:rPr>
        <w:t>VGP (</w:t>
      </w:r>
      <w:r>
        <w:rPr>
          <w:rFonts w:ascii="Times New Roman" w:hAnsi="Times New Roman" w:cs="Times New Roman"/>
          <w:i/>
          <w:sz w:val="20"/>
          <w:szCs w:val="20"/>
          <w:lang w:val="de-DE"/>
        </w:rPr>
        <w:t>XIX</w:t>
      </w:r>
      <w:r w:rsidRPr="009B6EFE">
        <w:rPr>
          <w:rFonts w:ascii="Times New Roman" w:hAnsi="Times New Roman" w:cs="Times New Roman"/>
          <w:i/>
          <w:sz w:val="20"/>
          <w:szCs w:val="20"/>
          <w:lang w:val="de-DE"/>
        </w:rPr>
        <w:t>)</w:t>
      </w:r>
      <w:r>
        <w:rPr>
          <w:rFonts w:ascii="Times New Roman" w:hAnsi="Times New Roman" w:cs="Times New Roman"/>
          <w:sz w:val="20"/>
          <w:szCs w:val="20"/>
          <w:lang w:val="de-DE"/>
        </w:rPr>
        <w:t xml:space="preserve">, S. 451; </w:t>
      </w:r>
      <w:r>
        <w:rPr>
          <w:rFonts w:ascii="Times New Roman" w:hAnsi="Times New Roman" w:cs="Times New Roman"/>
          <w:i/>
          <w:sz w:val="20"/>
          <w:szCs w:val="20"/>
          <w:lang w:val="de-DE"/>
        </w:rPr>
        <w:t>VGP (Mich.</w:t>
      </w:r>
      <w:r w:rsidRPr="009B6EFE">
        <w:rPr>
          <w:rFonts w:ascii="Times New Roman" w:hAnsi="Times New Roman" w:cs="Times New Roman"/>
          <w:i/>
          <w:sz w:val="20"/>
          <w:szCs w:val="20"/>
          <w:lang w:val="de-DE"/>
        </w:rPr>
        <w:t>)</w:t>
      </w:r>
      <w:r>
        <w:rPr>
          <w:rFonts w:ascii="Times New Roman" w:hAnsi="Times New Roman" w:cs="Times New Roman"/>
          <w:sz w:val="20"/>
          <w:szCs w:val="20"/>
          <w:lang w:val="de-DE"/>
        </w:rPr>
        <w:t>, S. 48).</w:t>
      </w:r>
    </w:p>
  </w:footnote>
  <w:footnote w:id="1051">
    <w:p w14:paraId="783D9E13" w14:textId="065B5F38" w:rsidR="00B34CC2" w:rsidRPr="00D52070" w:rsidRDefault="00B34CC2" w:rsidP="001C3D81">
      <w:pPr>
        <w:pStyle w:val="Testonotaapidipagina"/>
        <w:jc w:val="both"/>
        <w:rPr>
          <w:rFonts w:ascii="Times New Roman" w:hAnsi="Times New Roman" w:cs="Times New Roman"/>
          <w:sz w:val="20"/>
          <w:szCs w:val="20"/>
        </w:rPr>
      </w:pPr>
      <w:r w:rsidRPr="00D52070">
        <w:rPr>
          <w:rStyle w:val="Rimandonotaapidipagina"/>
          <w:rFonts w:ascii="Times New Roman" w:hAnsi="Times New Roman" w:cs="Times New Roman"/>
          <w:sz w:val="20"/>
          <w:szCs w:val="20"/>
        </w:rPr>
        <w:footnoteRef/>
      </w:r>
      <w:r w:rsidRPr="00D52070">
        <w:rPr>
          <w:rFonts w:ascii="Times New Roman" w:hAnsi="Times New Roman" w:cs="Times New Roman"/>
          <w:sz w:val="20"/>
          <w:szCs w:val="20"/>
        </w:rPr>
        <w:t xml:space="preserve"> </w:t>
      </w:r>
      <w:r w:rsidRPr="00987FDD">
        <w:rPr>
          <w:rFonts w:ascii="Times New Roman" w:hAnsi="Times New Roman" w:cs="Times New Roman"/>
          <w:i/>
          <w:sz w:val="20"/>
          <w:szCs w:val="20"/>
        </w:rPr>
        <w:t>VGP (VIII)</w:t>
      </w:r>
      <w:r>
        <w:rPr>
          <w:rFonts w:ascii="Times New Roman" w:hAnsi="Times New Roman" w:cs="Times New Roman"/>
          <w:sz w:val="20"/>
          <w:szCs w:val="20"/>
        </w:rPr>
        <w:t xml:space="preserve">, S. 172: </w:t>
      </w:r>
      <w:r>
        <w:rPr>
          <w:rFonts w:ascii="Times New Roman" w:hAnsi="Times New Roman" w:cs="Times New Roman"/>
          <w:sz w:val="20"/>
          <w:szCs w:val="20"/>
          <w:lang w:val="de-DE"/>
        </w:rPr>
        <w:t>„</w:t>
      </w:r>
      <w:r w:rsidRPr="00D52070">
        <w:rPr>
          <w:rFonts w:ascii="Times New Roman" w:hAnsi="Times New Roman" w:cs="Times New Roman"/>
          <w:sz w:val="20"/>
          <w:szCs w:val="20"/>
          <w:lang w:val="de-DE"/>
        </w:rPr>
        <w:t>Ein später Israelit, der Rabbi Abraham Cohen Irira, hat auch ein Buch geschrieben, Porta Coelorum […]</w:t>
      </w:r>
      <w:r>
        <w:rPr>
          <w:rFonts w:ascii="Times New Roman" w:hAnsi="Times New Roman" w:cs="Times New Roman"/>
          <w:sz w:val="20"/>
          <w:szCs w:val="20"/>
          <w:lang w:val="de-DE"/>
        </w:rPr>
        <w:t xml:space="preserve"> </w:t>
      </w:r>
      <w:r w:rsidRPr="00D52070">
        <w:rPr>
          <w:rFonts w:ascii="Times New Roman" w:hAnsi="Times New Roman" w:cs="Times New Roman"/>
          <w:sz w:val="20"/>
          <w:szCs w:val="20"/>
          <w:lang w:val="de-DE"/>
        </w:rPr>
        <w:t>Aus diesen Büchern kann man die geheime Weisheit der Kabbalistik schöpfen. Das Bessere darin bewegt sich in ähnlich</w:t>
      </w:r>
      <w:r>
        <w:rPr>
          <w:rFonts w:ascii="Times New Roman" w:hAnsi="Times New Roman" w:cs="Times New Roman"/>
          <w:sz w:val="20"/>
          <w:szCs w:val="20"/>
          <w:lang w:val="de-DE"/>
        </w:rPr>
        <w:t>en Vorstellungen wie bei Philon</w:t>
      </w:r>
      <w:r w:rsidRPr="00733287">
        <w:rPr>
          <w:rFonts w:ascii="Times New Roman" w:hAnsi="Times New Roman" w:cs="Times New Roman"/>
          <w:sz w:val="20"/>
          <w:szCs w:val="20"/>
        </w:rPr>
        <w:t>”</w:t>
      </w:r>
      <w:r>
        <w:rPr>
          <w:rFonts w:ascii="Times New Roman" w:hAnsi="Times New Roman" w:cs="Times New Roman"/>
          <w:sz w:val="20"/>
          <w:szCs w:val="20"/>
          <w:lang w:val="de-DE"/>
        </w:rPr>
        <w:t xml:space="preserve">. </w:t>
      </w:r>
      <w:r>
        <w:rPr>
          <w:rFonts w:ascii="Times New Roman" w:hAnsi="Times New Roman" w:cs="Times New Roman"/>
          <w:i/>
          <w:sz w:val="20"/>
          <w:szCs w:val="20"/>
        </w:rPr>
        <w:t>VGP (</w:t>
      </w:r>
      <w:r>
        <w:rPr>
          <w:rFonts w:ascii="Times New Roman" w:hAnsi="Times New Roman" w:cs="Times New Roman"/>
          <w:i/>
          <w:sz w:val="20"/>
          <w:szCs w:val="20"/>
          <w:lang w:val="de-DE"/>
        </w:rPr>
        <w:t>XVIII</w:t>
      </w:r>
      <w:r w:rsidRPr="00987FDD">
        <w:rPr>
          <w:rFonts w:ascii="Times New Roman" w:hAnsi="Times New Roman" w:cs="Times New Roman"/>
          <w:i/>
          <w:sz w:val="20"/>
          <w:szCs w:val="20"/>
        </w:rPr>
        <w:t>)</w:t>
      </w:r>
      <w:r>
        <w:rPr>
          <w:rFonts w:ascii="Times New Roman" w:hAnsi="Times New Roman" w:cs="Times New Roman"/>
          <w:sz w:val="20"/>
          <w:szCs w:val="20"/>
        </w:rPr>
        <w:t>, S</w:t>
      </w:r>
      <w:r w:rsidRPr="00987FDD">
        <w:rPr>
          <w:rFonts w:ascii="Times New Roman" w:hAnsi="Times New Roman" w:cs="Times New Roman"/>
          <w:sz w:val="20"/>
          <w:szCs w:val="20"/>
        </w:rPr>
        <w:t>. 426</w:t>
      </w:r>
      <w:r>
        <w:rPr>
          <w:rFonts w:ascii="Times New Roman" w:hAnsi="Times New Roman" w:cs="Times New Roman"/>
          <w:sz w:val="20"/>
          <w:szCs w:val="20"/>
        </w:rPr>
        <w:t xml:space="preserve">: </w:t>
      </w:r>
      <w:r>
        <w:rPr>
          <w:rFonts w:ascii="Times New Roman" w:hAnsi="Times New Roman" w:cs="Times New Roman"/>
          <w:sz w:val="20"/>
          <w:szCs w:val="20"/>
          <w:lang w:val="de-DE"/>
        </w:rPr>
        <w:t>„</w:t>
      </w:r>
      <w:r w:rsidRPr="00DA5FAF">
        <w:rPr>
          <w:rFonts w:ascii="Times New Roman" w:hAnsi="Times New Roman" w:cs="Times New Roman"/>
          <w:sz w:val="20"/>
          <w:szCs w:val="20"/>
          <w:lang w:val="de-DE"/>
        </w:rPr>
        <w:t xml:space="preserve">Ein spekulativer Israelit, der Rabbi Abraham Cohen Irira, hat auch ein Buch geschrieben, </w:t>
      </w:r>
      <w:r>
        <w:rPr>
          <w:rFonts w:ascii="Times New Roman" w:hAnsi="Times New Roman" w:cs="Times New Roman"/>
          <w:sz w:val="20"/>
          <w:szCs w:val="20"/>
          <w:lang w:val="de-DE"/>
        </w:rPr>
        <w:t xml:space="preserve">das Himmelstor (Porta Coelorum) […] </w:t>
      </w:r>
      <w:r w:rsidRPr="00DA5FAF">
        <w:rPr>
          <w:rFonts w:ascii="Times New Roman" w:hAnsi="Times New Roman" w:cs="Times New Roman"/>
          <w:sz w:val="20"/>
          <w:szCs w:val="20"/>
          <w:lang w:val="de-DE"/>
        </w:rPr>
        <w:t>Es ist trübes Gemenge; das Buch hat allgemeine Grundlage. Das Bessere darin bewegt sich in ähnliche</w:t>
      </w:r>
      <w:r>
        <w:rPr>
          <w:rFonts w:ascii="Times New Roman" w:hAnsi="Times New Roman" w:cs="Times New Roman"/>
          <w:sz w:val="20"/>
          <w:szCs w:val="20"/>
          <w:lang w:val="de-DE"/>
        </w:rPr>
        <w:t>n Vorstellungen wie bei Philon</w:t>
      </w:r>
      <w:r w:rsidRPr="00733287">
        <w:rPr>
          <w:rFonts w:ascii="Times New Roman" w:hAnsi="Times New Roman" w:cs="Times New Roman"/>
          <w:sz w:val="20"/>
          <w:szCs w:val="20"/>
        </w:rPr>
        <w:t>”</w:t>
      </w:r>
      <w:r>
        <w:rPr>
          <w:rFonts w:ascii="Times New Roman" w:hAnsi="Times New Roman" w:cs="Times New Roman"/>
          <w:sz w:val="20"/>
          <w:szCs w:val="20"/>
          <w:lang w:val="de-DE"/>
        </w:rPr>
        <w:t>.</w:t>
      </w:r>
    </w:p>
  </w:footnote>
  <w:footnote w:id="1052">
    <w:p w14:paraId="6EE63FB4" w14:textId="64741ABD" w:rsidR="00B34CC2" w:rsidRPr="00056052" w:rsidRDefault="00B34CC2" w:rsidP="001C3D81">
      <w:pPr>
        <w:pStyle w:val="Testonotaapidipagina"/>
        <w:jc w:val="both"/>
        <w:rPr>
          <w:rFonts w:ascii="Times New Roman" w:hAnsi="Times New Roman" w:cs="Times New Roman"/>
          <w:sz w:val="20"/>
          <w:szCs w:val="20"/>
        </w:rPr>
      </w:pPr>
      <w:r w:rsidRPr="00056052">
        <w:rPr>
          <w:rStyle w:val="Rimandonotaapidipagina"/>
          <w:rFonts w:ascii="Times New Roman" w:hAnsi="Times New Roman" w:cs="Times New Roman"/>
          <w:sz w:val="20"/>
          <w:szCs w:val="20"/>
        </w:rPr>
        <w:footnoteRef/>
      </w:r>
      <w:r w:rsidRPr="00056052">
        <w:rPr>
          <w:rFonts w:ascii="Times New Roman" w:hAnsi="Times New Roman" w:cs="Times New Roman"/>
          <w:sz w:val="20"/>
          <w:szCs w:val="20"/>
        </w:rPr>
        <w:t xml:space="preserve"> Vgl. </w:t>
      </w:r>
      <w:r w:rsidRPr="00056052">
        <w:rPr>
          <w:rFonts w:ascii="Times New Roman" w:hAnsi="Times New Roman" w:cs="Times New Roman"/>
          <w:i/>
          <w:sz w:val="20"/>
          <w:szCs w:val="20"/>
        </w:rPr>
        <w:t>VGP (VIII)</w:t>
      </w:r>
      <w:r>
        <w:rPr>
          <w:rFonts w:ascii="Times New Roman" w:hAnsi="Times New Roman" w:cs="Times New Roman"/>
          <w:sz w:val="20"/>
          <w:szCs w:val="20"/>
        </w:rPr>
        <w:t>, S</w:t>
      </w:r>
      <w:r w:rsidRPr="00056052">
        <w:rPr>
          <w:rFonts w:ascii="Times New Roman" w:hAnsi="Times New Roman" w:cs="Times New Roman"/>
          <w:sz w:val="20"/>
          <w:szCs w:val="20"/>
        </w:rPr>
        <w:t xml:space="preserve">. 172-173 </w:t>
      </w:r>
      <w:r>
        <w:t>„</w:t>
      </w:r>
      <w:r w:rsidRPr="00056052">
        <w:rPr>
          <w:rFonts w:ascii="Times New Roman" w:hAnsi="Times New Roman" w:cs="Times New Roman"/>
          <w:sz w:val="20"/>
          <w:szCs w:val="20"/>
        </w:rPr>
        <w:t xml:space="preserve">Wie das Eine </w:t>
      </w:r>
      <w:r w:rsidRPr="00056052">
        <w:rPr>
          <w:rFonts w:ascii="Times New Roman" w:eastAsia="Times New Roman" w:hAnsi="Times New Roman" w:cs="Times New Roman"/>
          <w:color w:val="000000"/>
          <w:sz w:val="20"/>
          <w:szCs w:val="20"/>
          <w:shd w:val="clear" w:color="auto" w:fill="FFFFFF"/>
          <w:lang w:val="de-DE"/>
        </w:rPr>
        <w:t>der Urquell aller Zahlen ist und nicht selber eine Zahl ist, als Einheit betrachtet, so ist Gott das Prinzip aller Dinge</w:t>
      </w:r>
      <w:r w:rsidRPr="00733287">
        <w:rPr>
          <w:rFonts w:ascii="Times New Roman" w:hAnsi="Times New Roman" w:cs="Times New Roman"/>
          <w:sz w:val="20"/>
          <w:szCs w:val="20"/>
        </w:rPr>
        <w:t>”</w:t>
      </w:r>
      <w:r w:rsidRPr="00056052">
        <w:rPr>
          <w:rFonts w:ascii="Times New Roman" w:hAnsi="Times New Roman" w:cs="Times New Roman"/>
          <w:sz w:val="20"/>
          <w:szCs w:val="20"/>
          <w:lang w:val="de-DE"/>
        </w:rPr>
        <w:t>.</w:t>
      </w:r>
      <w:r w:rsidRPr="00056052">
        <w:rPr>
          <w:rFonts w:ascii="Times New Roman" w:eastAsia="Times New Roman" w:hAnsi="Times New Roman" w:cs="Times New Roman"/>
          <w:color w:val="000000"/>
          <w:sz w:val="20"/>
          <w:szCs w:val="20"/>
          <w:shd w:val="clear" w:color="auto" w:fill="FFFFFF"/>
          <w:lang w:val="de-DE"/>
        </w:rPr>
        <w:t xml:space="preserve"> </w:t>
      </w:r>
      <w:r w:rsidRPr="00056052">
        <w:rPr>
          <w:rFonts w:ascii="Times New Roman" w:hAnsi="Times New Roman" w:cs="Times New Roman"/>
          <w:i/>
          <w:sz w:val="20"/>
          <w:szCs w:val="20"/>
        </w:rPr>
        <w:t>VGP (</w:t>
      </w:r>
      <w:r>
        <w:rPr>
          <w:rFonts w:ascii="Times New Roman" w:hAnsi="Times New Roman" w:cs="Times New Roman"/>
          <w:i/>
          <w:sz w:val="20"/>
          <w:szCs w:val="20"/>
          <w:lang w:val="de-DE"/>
        </w:rPr>
        <w:t>XIX</w:t>
      </w:r>
      <w:r w:rsidRPr="00056052">
        <w:rPr>
          <w:rFonts w:ascii="Times New Roman" w:hAnsi="Times New Roman" w:cs="Times New Roman"/>
          <w:i/>
          <w:sz w:val="20"/>
          <w:szCs w:val="20"/>
        </w:rPr>
        <w:t>)</w:t>
      </w:r>
      <w:r>
        <w:rPr>
          <w:rFonts w:ascii="Times New Roman" w:hAnsi="Times New Roman" w:cs="Times New Roman"/>
          <w:sz w:val="20"/>
          <w:szCs w:val="20"/>
        </w:rPr>
        <w:t>, S</w:t>
      </w:r>
      <w:r w:rsidRPr="00056052">
        <w:rPr>
          <w:rFonts w:ascii="Times New Roman" w:hAnsi="Times New Roman" w:cs="Times New Roman"/>
          <w:sz w:val="20"/>
          <w:szCs w:val="20"/>
        </w:rPr>
        <w:t xml:space="preserve">. 428; </w:t>
      </w:r>
      <w:r>
        <w:rPr>
          <w:rFonts w:ascii="Times New Roman" w:hAnsi="Times New Roman" w:cs="Times New Roman"/>
          <w:i/>
          <w:sz w:val="20"/>
          <w:szCs w:val="20"/>
        </w:rPr>
        <w:t>VGP (Mich.</w:t>
      </w:r>
      <w:r w:rsidRPr="00056052">
        <w:rPr>
          <w:rFonts w:ascii="Times New Roman" w:hAnsi="Times New Roman" w:cs="Times New Roman"/>
          <w:i/>
          <w:sz w:val="20"/>
          <w:szCs w:val="20"/>
        </w:rPr>
        <w:t>)</w:t>
      </w:r>
      <w:r>
        <w:rPr>
          <w:rFonts w:ascii="Times New Roman" w:hAnsi="Times New Roman" w:cs="Times New Roman"/>
          <w:sz w:val="20"/>
          <w:szCs w:val="20"/>
        </w:rPr>
        <w:t>, S</w:t>
      </w:r>
      <w:r w:rsidRPr="00056052">
        <w:rPr>
          <w:rFonts w:ascii="Times New Roman" w:hAnsi="Times New Roman" w:cs="Times New Roman"/>
          <w:sz w:val="20"/>
          <w:szCs w:val="20"/>
        </w:rPr>
        <w:t xml:space="preserve">. 28-29: </w:t>
      </w:r>
      <w:r>
        <w:rPr>
          <w:rFonts w:ascii="Times New Roman" w:eastAsia="Times New Roman" w:hAnsi="Times New Roman" w:cs="Times New Roman"/>
          <w:color w:val="000000"/>
          <w:sz w:val="20"/>
          <w:szCs w:val="20"/>
          <w:shd w:val="clear" w:color="auto" w:fill="FFFFFF"/>
          <w:lang w:val="de-DE"/>
        </w:rPr>
        <w:t>„</w:t>
      </w:r>
      <w:r w:rsidRPr="00056052">
        <w:rPr>
          <w:rFonts w:ascii="Times New Roman" w:eastAsia="Times New Roman" w:hAnsi="Times New Roman" w:cs="Times New Roman"/>
          <w:color w:val="000000"/>
          <w:sz w:val="20"/>
          <w:szCs w:val="20"/>
          <w:shd w:val="clear" w:color="auto" w:fill="FFFFFF"/>
          <w:lang w:val="de-DE"/>
        </w:rPr>
        <w:t>Wie die Zahleneinheit selber k</w:t>
      </w:r>
      <w:r>
        <w:rPr>
          <w:rFonts w:ascii="Times New Roman" w:eastAsia="Times New Roman" w:hAnsi="Times New Roman" w:cs="Times New Roman"/>
          <w:color w:val="000000"/>
          <w:sz w:val="20"/>
          <w:szCs w:val="20"/>
          <w:shd w:val="clear" w:color="auto" w:fill="FFFFFF"/>
          <w:lang w:val="de-DE"/>
        </w:rPr>
        <w:t>eine von allen Zahlen ist, so</w:t>
      </w:r>
      <w:r w:rsidRPr="00056052">
        <w:rPr>
          <w:rFonts w:ascii="Times New Roman" w:eastAsia="Times New Roman" w:hAnsi="Times New Roman" w:cs="Times New Roman"/>
          <w:color w:val="000000"/>
          <w:sz w:val="20"/>
          <w:szCs w:val="20"/>
          <w:shd w:val="clear" w:color="auto" w:fill="FFFFFF"/>
          <w:lang w:val="de-DE"/>
        </w:rPr>
        <w:t xml:space="preserve"> gleiche Weise Gott Grund aller Dinge (Ensoph)</w:t>
      </w:r>
      <w:r w:rsidRPr="00733287">
        <w:rPr>
          <w:rFonts w:ascii="Times New Roman" w:hAnsi="Times New Roman" w:cs="Times New Roman"/>
          <w:sz w:val="20"/>
          <w:szCs w:val="20"/>
        </w:rPr>
        <w:t>”</w:t>
      </w:r>
      <w:r w:rsidRPr="00056052">
        <w:rPr>
          <w:rFonts w:ascii="Times New Roman" w:hAnsi="Times New Roman" w:cs="Times New Roman"/>
          <w:sz w:val="20"/>
          <w:szCs w:val="20"/>
          <w:lang w:val="de-DE"/>
        </w:rPr>
        <w:t>.</w:t>
      </w:r>
    </w:p>
  </w:footnote>
  <w:footnote w:id="1053">
    <w:p w14:paraId="1226BF86" w14:textId="77777777" w:rsidR="00B34CC2" w:rsidRPr="00037B11" w:rsidRDefault="00B34CC2" w:rsidP="001C3D81">
      <w:pPr>
        <w:pStyle w:val="Testonotaapidipagina"/>
        <w:jc w:val="both"/>
        <w:rPr>
          <w:rFonts w:ascii="Times New Roman" w:hAnsi="Times New Roman" w:cs="Times New Roman"/>
          <w:sz w:val="20"/>
          <w:szCs w:val="20"/>
        </w:rPr>
      </w:pPr>
      <w:r w:rsidRPr="00056052">
        <w:rPr>
          <w:rStyle w:val="Rimandonotaapidipagina"/>
          <w:rFonts w:ascii="Times New Roman" w:hAnsi="Times New Roman" w:cs="Times New Roman"/>
          <w:sz w:val="20"/>
          <w:szCs w:val="20"/>
        </w:rPr>
        <w:footnoteRef/>
      </w:r>
      <w:r w:rsidRPr="00056052">
        <w:rPr>
          <w:rFonts w:ascii="Times New Roman" w:hAnsi="Times New Roman" w:cs="Times New Roman"/>
          <w:sz w:val="20"/>
          <w:szCs w:val="20"/>
        </w:rPr>
        <w:t xml:space="preserve"> </w:t>
      </w:r>
      <w:r w:rsidRPr="00056052">
        <w:rPr>
          <w:rFonts w:ascii="Times New Roman" w:hAnsi="Times New Roman" w:cs="Times New Roman"/>
          <w:i/>
          <w:sz w:val="20"/>
          <w:szCs w:val="20"/>
        </w:rPr>
        <w:t>VGP (</w:t>
      </w:r>
      <w:r>
        <w:rPr>
          <w:rFonts w:ascii="Times New Roman" w:hAnsi="Times New Roman" w:cs="Times New Roman"/>
          <w:i/>
          <w:sz w:val="20"/>
          <w:szCs w:val="20"/>
        </w:rPr>
        <w:t>XIX</w:t>
      </w:r>
      <w:r w:rsidRPr="00056052">
        <w:rPr>
          <w:rFonts w:ascii="Times New Roman" w:hAnsi="Times New Roman" w:cs="Times New Roman"/>
          <w:i/>
          <w:sz w:val="20"/>
          <w:szCs w:val="20"/>
        </w:rPr>
        <w:t>)</w:t>
      </w:r>
      <w:r w:rsidRPr="00056052">
        <w:rPr>
          <w:rFonts w:ascii="Times New Roman" w:hAnsi="Times New Roman" w:cs="Times New Roman"/>
          <w:sz w:val="20"/>
          <w:szCs w:val="20"/>
        </w:rPr>
        <w:t xml:space="preserve">, S. 428; </w:t>
      </w:r>
      <w:r>
        <w:rPr>
          <w:rFonts w:ascii="Times New Roman" w:hAnsi="Times New Roman" w:cs="Times New Roman"/>
          <w:i/>
          <w:sz w:val="20"/>
          <w:szCs w:val="20"/>
        </w:rPr>
        <w:t>VGP (Mich.</w:t>
      </w:r>
      <w:r w:rsidRPr="00056052">
        <w:rPr>
          <w:rFonts w:ascii="Times New Roman" w:hAnsi="Times New Roman" w:cs="Times New Roman"/>
          <w:i/>
          <w:sz w:val="20"/>
          <w:szCs w:val="20"/>
        </w:rPr>
        <w:t>)</w:t>
      </w:r>
      <w:r w:rsidRPr="00056052">
        <w:rPr>
          <w:rFonts w:ascii="Times New Roman" w:hAnsi="Times New Roman" w:cs="Times New Roman"/>
          <w:sz w:val="20"/>
          <w:szCs w:val="20"/>
        </w:rPr>
        <w:t>, S. 28-29. Im Gegensatz zu den von Michelet publizierten Vorlesungen wird der Begriff der Einschränkung (</w:t>
      </w:r>
      <w:r w:rsidRPr="00056052">
        <w:rPr>
          <w:rFonts w:ascii="Times New Roman" w:hAnsi="Times New Roman" w:cs="Times New Roman"/>
          <w:i/>
          <w:sz w:val="20"/>
          <w:szCs w:val="20"/>
        </w:rPr>
        <w:t>Tzimtzum</w:t>
      </w:r>
      <w:r w:rsidRPr="00056052">
        <w:rPr>
          <w:rFonts w:ascii="Times New Roman" w:hAnsi="Times New Roman" w:cs="Times New Roman"/>
          <w:sz w:val="20"/>
          <w:szCs w:val="20"/>
        </w:rPr>
        <w:t>)</w:t>
      </w:r>
      <w:r w:rsidRPr="00056052">
        <w:rPr>
          <w:rFonts w:ascii="Times New Roman" w:hAnsi="Times New Roman" w:cs="Times New Roman"/>
          <w:i/>
          <w:sz w:val="20"/>
          <w:szCs w:val="20"/>
        </w:rPr>
        <w:t xml:space="preserve"> </w:t>
      </w:r>
      <w:r w:rsidRPr="00056052">
        <w:rPr>
          <w:rFonts w:ascii="Times New Roman" w:hAnsi="Times New Roman" w:cs="Times New Roman"/>
          <w:sz w:val="20"/>
          <w:szCs w:val="20"/>
        </w:rPr>
        <w:t xml:space="preserve">im Manuskript Meyers (1818/19), Härings (1820/21) und in den </w:t>
      </w:r>
      <w:r w:rsidRPr="00056052">
        <w:rPr>
          <w:rFonts w:ascii="Times New Roman" w:hAnsi="Times New Roman" w:cs="Times New Roman"/>
          <w:i/>
          <w:sz w:val="20"/>
          <w:szCs w:val="20"/>
        </w:rPr>
        <w:t xml:space="preserve">Vorlesungen </w:t>
      </w:r>
      <w:r w:rsidRPr="00056052">
        <w:rPr>
          <w:rFonts w:ascii="Times New Roman" w:hAnsi="Times New Roman" w:cs="Times New Roman"/>
          <w:sz w:val="20"/>
          <w:szCs w:val="20"/>
        </w:rPr>
        <w:t>von 1825/26 nicht diskutiert.</w:t>
      </w:r>
    </w:p>
  </w:footnote>
  <w:footnote w:id="1054">
    <w:p w14:paraId="738E3724" w14:textId="77777777" w:rsidR="00B34CC2" w:rsidRPr="00D239A2" w:rsidRDefault="00B34CC2" w:rsidP="001C3D81">
      <w:pPr>
        <w:pStyle w:val="Testonotaapidipagina"/>
        <w:jc w:val="both"/>
        <w:rPr>
          <w:rFonts w:ascii="Times New Roman" w:hAnsi="Times New Roman" w:cs="Times New Roman"/>
          <w:sz w:val="20"/>
          <w:szCs w:val="20"/>
        </w:rPr>
      </w:pPr>
      <w:r w:rsidRPr="00E936E0">
        <w:rPr>
          <w:rStyle w:val="Rimandonotaapidipagina"/>
          <w:rFonts w:ascii="Times New Roman" w:hAnsi="Times New Roman" w:cs="Times New Roman"/>
          <w:sz w:val="20"/>
          <w:szCs w:val="20"/>
        </w:rPr>
        <w:footnoteRef/>
      </w:r>
      <w:r w:rsidRPr="00E936E0">
        <w:rPr>
          <w:rFonts w:ascii="Times New Roman" w:hAnsi="Times New Roman" w:cs="Times New Roman"/>
          <w:sz w:val="20"/>
          <w:szCs w:val="20"/>
        </w:rPr>
        <w:t xml:space="preserve"> </w:t>
      </w:r>
      <w:r w:rsidRPr="00E936E0">
        <w:rPr>
          <w:rFonts w:ascii="Times New Roman" w:hAnsi="Times New Roman" w:cs="Times New Roman"/>
          <w:i/>
          <w:sz w:val="20"/>
          <w:szCs w:val="20"/>
        </w:rPr>
        <w:t>VGP (VIII)</w:t>
      </w:r>
      <w:r w:rsidRPr="00E936E0">
        <w:rPr>
          <w:rFonts w:ascii="Times New Roman" w:hAnsi="Times New Roman" w:cs="Times New Roman"/>
          <w:sz w:val="20"/>
          <w:szCs w:val="20"/>
        </w:rPr>
        <w:t xml:space="preserve">, S. 172-173. </w:t>
      </w:r>
    </w:p>
  </w:footnote>
  <w:footnote w:id="1055">
    <w:p w14:paraId="31E65A83" w14:textId="58274DAF" w:rsidR="00B34CC2" w:rsidRPr="00461087" w:rsidRDefault="00B34CC2" w:rsidP="001C3D81">
      <w:pPr>
        <w:pStyle w:val="Testonotaapidipagina"/>
        <w:jc w:val="both"/>
        <w:rPr>
          <w:rFonts w:ascii="Times New Roman" w:hAnsi="Times New Roman" w:cs="Times New Roman"/>
          <w:sz w:val="20"/>
          <w:szCs w:val="20"/>
        </w:rPr>
      </w:pPr>
      <w:r w:rsidRPr="00585E78">
        <w:rPr>
          <w:rStyle w:val="Rimandonotaapidipagina"/>
          <w:rFonts w:ascii="Times New Roman" w:hAnsi="Times New Roman" w:cs="Times New Roman"/>
          <w:sz w:val="20"/>
          <w:szCs w:val="20"/>
        </w:rPr>
        <w:footnoteRef/>
      </w:r>
      <w:r w:rsidRPr="00585E78">
        <w:rPr>
          <w:rFonts w:ascii="Times New Roman" w:hAnsi="Times New Roman" w:cs="Times New Roman"/>
          <w:sz w:val="20"/>
          <w:szCs w:val="20"/>
        </w:rPr>
        <w:t xml:space="preserve"> </w:t>
      </w:r>
      <w:r>
        <w:rPr>
          <w:rFonts w:ascii="Times New Roman" w:hAnsi="Times New Roman" w:cs="Times New Roman"/>
          <w:i/>
          <w:sz w:val="20"/>
          <w:szCs w:val="20"/>
        </w:rPr>
        <w:t>VGP (XIX</w:t>
      </w:r>
      <w:r w:rsidRPr="00585E78">
        <w:rPr>
          <w:rFonts w:ascii="Times New Roman" w:hAnsi="Times New Roman" w:cs="Times New Roman"/>
          <w:i/>
          <w:sz w:val="20"/>
          <w:szCs w:val="20"/>
        </w:rPr>
        <w:t>)</w:t>
      </w:r>
      <w:r>
        <w:rPr>
          <w:rFonts w:ascii="Times New Roman" w:hAnsi="Times New Roman" w:cs="Times New Roman"/>
          <w:sz w:val="20"/>
          <w:szCs w:val="20"/>
        </w:rPr>
        <w:t>, S. 428</w:t>
      </w:r>
      <w:r w:rsidRPr="00585E78">
        <w:rPr>
          <w:rFonts w:ascii="Times New Roman" w:hAnsi="Times New Roman" w:cs="Times New Roman"/>
          <w:sz w:val="20"/>
          <w:szCs w:val="20"/>
        </w:rPr>
        <w:t xml:space="preserve">; </w:t>
      </w:r>
      <w:r>
        <w:rPr>
          <w:rFonts w:ascii="Times New Roman" w:hAnsi="Times New Roman" w:cs="Times New Roman"/>
          <w:i/>
          <w:sz w:val="20"/>
          <w:szCs w:val="20"/>
        </w:rPr>
        <w:t>VGP (Mich.</w:t>
      </w:r>
      <w:r w:rsidRPr="00585E78">
        <w:rPr>
          <w:rFonts w:ascii="Times New Roman" w:hAnsi="Times New Roman" w:cs="Times New Roman"/>
          <w:i/>
          <w:sz w:val="20"/>
          <w:szCs w:val="20"/>
        </w:rPr>
        <w:t>)</w:t>
      </w:r>
      <w:r w:rsidRPr="00585E78">
        <w:rPr>
          <w:rFonts w:ascii="Times New Roman" w:hAnsi="Times New Roman" w:cs="Times New Roman"/>
          <w:sz w:val="20"/>
          <w:szCs w:val="20"/>
        </w:rPr>
        <w:t>, S. 28-29.</w:t>
      </w:r>
    </w:p>
  </w:footnote>
  <w:footnote w:id="1056">
    <w:p w14:paraId="6D2B25EF" w14:textId="77777777" w:rsidR="00B34CC2" w:rsidRPr="00A4549D" w:rsidRDefault="00B34CC2" w:rsidP="001C3D81">
      <w:pPr>
        <w:pStyle w:val="Testonotaapidipagina"/>
        <w:jc w:val="both"/>
        <w:rPr>
          <w:rFonts w:ascii="Times New Roman" w:hAnsi="Times New Roman" w:cs="Times New Roman"/>
          <w:sz w:val="20"/>
          <w:szCs w:val="20"/>
        </w:rPr>
      </w:pPr>
      <w:r w:rsidRPr="00AD4067">
        <w:rPr>
          <w:rStyle w:val="Rimandonotaapidipagina"/>
          <w:rFonts w:ascii="Times New Roman" w:hAnsi="Times New Roman" w:cs="Times New Roman"/>
          <w:sz w:val="20"/>
          <w:szCs w:val="20"/>
        </w:rPr>
        <w:footnoteRef/>
      </w:r>
      <w:r>
        <w:rPr>
          <w:rFonts w:ascii="Times New Roman" w:hAnsi="Times New Roman" w:cs="Times New Roman"/>
          <w:i/>
          <w:sz w:val="20"/>
          <w:szCs w:val="20"/>
        </w:rPr>
        <w:t xml:space="preserve"> </w:t>
      </w:r>
      <w:r w:rsidRPr="0057311C">
        <w:rPr>
          <w:rFonts w:ascii="Times New Roman" w:hAnsi="Times New Roman" w:cs="Times New Roman"/>
          <w:sz w:val="20"/>
          <w:szCs w:val="20"/>
        </w:rPr>
        <w:t>Ebd.</w:t>
      </w:r>
      <w:r>
        <w:rPr>
          <w:rFonts w:ascii="Times New Roman" w:hAnsi="Times New Roman" w:cs="Times New Roman"/>
          <w:sz w:val="20"/>
          <w:szCs w:val="20"/>
        </w:rPr>
        <w:t>, S</w:t>
      </w:r>
      <w:r w:rsidRPr="007116D3">
        <w:rPr>
          <w:rFonts w:ascii="Times New Roman" w:hAnsi="Times New Roman" w:cs="Times New Roman"/>
          <w:sz w:val="20"/>
          <w:szCs w:val="20"/>
        </w:rPr>
        <w:t>. 56-57.</w:t>
      </w:r>
    </w:p>
  </w:footnote>
  <w:footnote w:id="1057">
    <w:p w14:paraId="2B5B3391" w14:textId="4227B191" w:rsidR="00B34CC2" w:rsidRPr="00222452" w:rsidRDefault="00B34CC2" w:rsidP="001C3D81">
      <w:pPr>
        <w:pStyle w:val="Testonotaapidipagina"/>
        <w:jc w:val="both"/>
        <w:rPr>
          <w:rFonts w:ascii="Times New Roman" w:hAnsi="Times New Roman" w:cs="Times New Roman"/>
          <w:sz w:val="20"/>
          <w:szCs w:val="20"/>
          <w:lang w:val="de-DE"/>
        </w:rPr>
      </w:pPr>
      <w:r w:rsidRPr="00E16744">
        <w:rPr>
          <w:rStyle w:val="Rimandonotaapidipagina"/>
          <w:rFonts w:ascii="Times New Roman" w:hAnsi="Times New Roman" w:cs="Times New Roman"/>
          <w:sz w:val="20"/>
          <w:szCs w:val="20"/>
        </w:rPr>
        <w:footnoteRef/>
      </w:r>
      <w:r w:rsidRPr="00E16744">
        <w:rPr>
          <w:rFonts w:ascii="Times New Roman" w:hAnsi="Times New Roman" w:cs="Times New Roman"/>
          <w:sz w:val="20"/>
          <w:szCs w:val="20"/>
        </w:rPr>
        <w:t xml:space="preserve"> Hegel wird </w:t>
      </w:r>
      <w:r w:rsidRPr="00E16744">
        <w:rPr>
          <w:rFonts w:ascii="Times New Roman" w:hAnsi="Times New Roman" w:cs="Times New Roman"/>
          <w:sz w:val="20"/>
          <w:szCs w:val="20"/>
          <w:lang w:val="de-DE"/>
        </w:rPr>
        <w:t xml:space="preserve">eine ähnliche Argumentation in den </w:t>
      </w:r>
      <w:r w:rsidRPr="00E16744">
        <w:rPr>
          <w:rFonts w:ascii="Times New Roman" w:hAnsi="Times New Roman" w:cs="Times New Roman"/>
          <w:i/>
          <w:sz w:val="20"/>
          <w:szCs w:val="20"/>
          <w:lang w:val="de-DE"/>
        </w:rPr>
        <w:t xml:space="preserve">Vorlesungen über die Philosophie der Religion </w:t>
      </w:r>
      <w:r w:rsidRPr="00E16744">
        <w:rPr>
          <w:rFonts w:ascii="Times New Roman" w:hAnsi="Times New Roman" w:cs="Times New Roman"/>
          <w:sz w:val="20"/>
          <w:szCs w:val="20"/>
          <w:lang w:val="de-DE"/>
        </w:rPr>
        <w:t xml:space="preserve">entwickeln. In Bezug </w:t>
      </w:r>
      <w:r>
        <w:rPr>
          <w:rFonts w:ascii="Times New Roman" w:hAnsi="Times New Roman" w:cs="Times New Roman"/>
          <w:sz w:val="20"/>
          <w:szCs w:val="20"/>
          <w:lang w:val="de-DE"/>
        </w:rPr>
        <w:t>auf</w:t>
      </w:r>
      <w:r w:rsidRPr="00E16744">
        <w:rPr>
          <w:rFonts w:ascii="Times New Roman" w:hAnsi="Times New Roman" w:cs="Times New Roman"/>
          <w:sz w:val="20"/>
          <w:szCs w:val="20"/>
          <w:lang w:val="de-DE"/>
        </w:rPr>
        <w:t xml:space="preserve"> den Mythos des Sündenfalls stellt Hegel fest, dass er bereits im Alten Testament taucht, aber seine </w:t>
      </w:r>
      <w:r w:rsidRPr="00E16744">
        <w:rPr>
          <w:rFonts w:ascii="Times New Roman" w:hAnsi="Times New Roman" w:cs="Times New Roman"/>
          <w:i/>
          <w:sz w:val="20"/>
          <w:szCs w:val="20"/>
          <w:lang w:val="de-DE"/>
        </w:rPr>
        <w:t xml:space="preserve">allgemeine </w:t>
      </w:r>
      <w:r w:rsidRPr="00E16744">
        <w:rPr>
          <w:rFonts w:ascii="Times New Roman" w:hAnsi="Times New Roman" w:cs="Times New Roman"/>
          <w:sz w:val="20"/>
          <w:szCs w:val="20"/>
          <w:lang w:val="de-DE"/>
        </w:rPr>
        <w:t>Bedeutung erst innerhalb des Christentums gewinnt. Ich bin der Meinung, dass es möglich ist, die Hegelsche Interpretation der antagonistischen Schemen der jüdischen Kabbala im Lichte dieser Bemerkungen zu lesen: der Gegensatz der Prinzipien (und die folgende Rebellion der Engel) gewinnt erst in einer christlich-philosophischen (Böhmeschen) Perspektive seinen spekulativen Wert. Die kabbalistische Kosmologie steht einem abstrakten Emanationssystem nahe, aus dem kein echter</w:t>
      </w:r>
      <w:r w:rsidRPr="00222452">
        <w:rPr>
          <w:rFonts w:ascii="Times New Roman" w:hAnsi="Times New Roman" w:cs="Times New Roman"/>
          <w:sz w:val="20"/>
          <w:szCs w:val="20"/>
          <w:lang w:val="de-DE"/>
        </w:rPr>
        <w:t xml:space="preserve"> Gegensatz zwischen den zwei Prinzipien hergeleitet werden kann. Über das Thema des </w:t>
      </w:r>
      <w:r w:rsidRPr="00222452">
        <w:rPr>
          <w:rFonts w:ascii="Times New Roman" w:hAnsi="Times New Roman" w:cs="Times New Roman"/>
          <w:i/>
          <w:sz w:val="20"/>
          <w:szCs w:val="20"/>
          <w:lang w:val="de-DE"/>
        </w:rPr>
        <w:t xml:space="preserve">Sündenfalles </w:t>
      </w:r>
      <w:r w:rsidRPr="00222452">
        <w:rPr>
          <w:rFonts w:ascii="Times New Roman" w:hAnsi="Times New Roman" w:cs="Times New Roman"/>
          <w:sz w:val="20"/>
          <w:szCs w:val="20"/>
          <w:lang w:val="de-DE"/>
        </w:rPr>
        <w:t xml:space="preserve">siehe </w:t>
      </w:r>
      <w:r w:rsidRPr="00222452">
        <w:rPr>
          <w:rFonts w:ascii="Times New Roman" w:hAnsi="Times New Roman" w:cs="Times New Roman"/>
          <w:i/>
          <w:sz w:val="20"/>
          <w:szCs w:val="20"/>
          <w:lang w:val="de-DE"/>
        </w:rPr>
        <w:t>VPR (XVII)</w:t>
      </w:r>
      <w:r w:rsidRPr="00222452">
        <w:rPr>
          <w:rFonts w:ascii="Times New Roman" w:hAnsi="Times New Roman" w:cs="Times New Roman"/>
          <w:sz w:val="20"/>
          <w:szCs w:val="20"/>
          <w:lang w:val="de-DE"/>
        </w:rPr>
        <w:t>, S. 77-78: „Zu bemerken ist noch, daß diese Geschichte im jüdischen Volke geschlafen und ihre Ausbildung in den Büchern der Hebräer nicht erhalten hat [...] Lange Zeit ist sie brachgelegen, und erst im Christentum sollte sie zu ihrer wahren Bedeutung gelangen</w:t>
      </w:r>
      <w:r w:rsidRPr="00222452">
        <w:rPr>
          <w:rFonts w:ascii="Times New Roman" w:hAnsi="Times New Roman" w:cs="Times New Roman"/>
          <w:sz w:val="20"/>
          <w:szCs w:val="20"/>
        </w:rPr>
        <w:t>”</w:t>
      </w:r>
      <w:r w:rsidRPr="00222452">
        <w:rPr>
          <w:rFonts w:ascii="Times New Roman" w:hAnsi="Times New Roman" w:cs="Times New Roman"/>
          <w:sz w:val="20"/>
          <w:szCs w:val="20"/>
          <w:lang w:val="de-DE"/>
        </w:rPr>
        <w:t>.</w:t>
      </w:r>
    </w:p>
  </w:footnote>
  <w:footnote w:id="1058">
    <w:p w14:paraId="64D61153" w14:textId="77777777" w:rsidR="00B34CC2" w:rsidRPr="00222452" w:rsidRDefault="00B34CC2" w:rsidP="001C3D81">
      <w:pPr>
        <w:pStyle w:val="Testonotaapidipagina"/>
        <w:jc w:val="both"/>
        <w:rPr>
          <w:rFonts w:ascii="Times New Roman" w:hAnsi="Times New Roman" w:cs="Times New Roman"/>
          <w:sz w:val="20"/>
          <w:szCs w:val="20"/>
        </w:rPr>
      </w:pPr>
      <w:r w:rsidRPr="00222452">
        <w:rPr>
          <w:rStyle w:val="Rimandonotaapidipagina"/>
          <w:rFonts w:ascii="Times New Roman" w:hAnsi="Times New Roman" w:cs="Times New Roman"/>
          <w:sz w:val="20"/>
          <w:szCs w:val="20"/>
        </w:rPr>
        <w:footnoteRef/>
      </w:r>
      <w:r w:rsidRPr="00222452">
        <w:rPr>
          <w:rFonts w:ascii="Times New Roman" w:hAnsi="Times New Roman" w:cs="Times New Roman"/>
          <w:sz w:val="20"/>
          <w:szCs w:val="20"/>
        </w:rPr>
        <w:t xml:space="preserve"> </w:t>
      </w:r>
      <w:r w:rsidRPr="00222452">
        <w:rPr>
          <w:rFonts w:ascii="Times New Roman" w:hAnsi="Times New Roman" w:cs="Times New Roman"/>
          <w:i/>
          <w:sz w:val="20"/>
          <w:szCs w:val="20"/>
        </w:rPr>
        <w:t>VGP (H)</w:t>
      </w:r>
      <w:r w:rsidRPr="00222452">
        <w:rPr>
          <w:rFonts w:ascii="Times New Roman" w:hAnsi="Times New Roman" w:cs="Times New Roman"/>
          <w:sz w:val="20"/>
          <w:szCs w:val="20"/>
        </w:rPr>
        <w:t>, S. 419.</w:t>
      </w:r>
    </w:p>
  </w:footnote>
  <w:footnote w:id="1059">
    <w:p w14:paraId="03637A38" w14:textId="77777777" w:rsidR="00B34CC2" w:rsidRPr="00580456" w:rsidRDefault="00B34CC2" w:rsidP="001C3D81">
      <w:pPr>
        <w:pStyle w:val="Testonotaapidipagina"/>
        <w:jc w:val="both"/>
        <w:rPr>
          <w:rFonts w:ascii="Times New Roman" w:hAnsi="Times New Roman"/>
          <w:sz w:val="20"/>
          <w:szCs w:val="20"/>
        </w:rPr>
      </w:pPr>
      <w:r w:rsidRPr="00222452">
        <w:rPr>
          <w:rStyle w:val="Rimandonotaapidipagina"/>
          <w:rFonts w:ascii="Times New Roman" w:hAnsi="Times New Roman"/>
          <w:sz w:val="20"/>
          <w:szCs w:val="20"/>
        </w:rPr>
        <w:footnoteRef/>
      </w:r>
      <w:r w:rsidRPr="00222452">
        <w:rPr>
          <w:rFonts w:ascii="Times New Roman" w:hAnsi="Times New Roman" w:cs="Times New Roman"/>
          <w:sz w:val="20"/>
          <w:szCs w:val="20"/>
        </w:rPr>
        <w:t xml:space="preserve"> </w:t>
      </w:r>
      <w:r w:rsidRPr="00222452">
        <w:rPr>
          <w:rFonts w:ascii="Times New Roman" w:hAnsi="Times New Roman" w:cs="Times New Roman"/>
          <w:i/>
          <w:sz w:val="20"/>
          <w:szCs w:val="20"/>
        </w:rPr>
        <w:t>Enz B</w:t>
      </w:r>
      <w:r w:rsidRPr="00222452">
        <w:rPr>
          <w:rFonts w:ascii="Times New Roman" w:hAnsi="Times New Roman" w:cs="Times New Roman"/>
          <w:sz w:val="20"/>
          <w:szCs w:val="20"/>
        </w:rPr>
        <w:t xml:space="preserve">, S. 67; </w:t>
      </w:r>
      <w:r w:rsidRPr="00222452">
        <w:rPr>
          <w:rFonts w:ascii="Times New Roman" w:hAnsi="Times New Roman" w:cs="Times New Roman"/>
          <w:i/>
          <w:sz w:val="20"/>
          <w:szCs w:val="20"/>
        </w:rPr>
        <w:t xml:space="preserve">Enz C, </w:t>
      </w:r>
      <w:r w:rsidRPr="00222452">
        <w:rPr>
          <w:rFonts w:ascii="Times New Roman" w:hAnsi="Times New Roman" w:cs="Times New Roman"/>
          <w:sz w:val="20"/>
          <w:szCs w:val="20"/>
        </w:rPr>
        <w:t>S. 89.</w:t>
      </w:r>
    </w:p>
  </w:footnote>
  <w:footnote w:id="1060">
    <w:p w14:paraId="1A545A63" w14:textId="6C3410C8" w:rsidR="00B34CC2" w:rsidRPr="006F5B3F" w:rsidRDefault="00B34CC2" w:rsidP="001C3D81">
      <w:pPr>
        <w:pStyle w:val="Testonotaapidipagina"/>
        <w:jc w:val="both"/>
        <w:rPr>
          <w:rFonts w:ascii="Times New Roman" w:hAnsi="Times New Roman" w:cs="Times New Roman"/>
          <w:i/>
          <w:sz w:val="20"/>
          <w:szCs w:val="20"/>
        </w:rPr>
      </w:pPr>
      <w:r w:rsidRPr="00A213EB">
        <w:rPr>
          <w:rStyle w:val="Rimandonotaapidipagina"/>
          <w:rFonts w:ascii="Times New Roman" w:hAnsi="Times New Roman" w:cs="Times New Roman"/>
          <w:sz w:val="20"/>
          <w:szCs w:val="20"/>
        </w:rPr>
        <w:footnoteRef/>
      </w:r>
      <w:r w:rsidRPr="00441CE9">
        <w:rPr>
          <w:rFonts w:ascii="Times New Roman" w:hAnsi="Times New Roman" w:cs="Times New Roman"/>
          <w:sz w:val="20"/>
          <w:szCs w:val="20"/>
        </w:rPr>
        <w:t xml:space="preserve"> </w:t>
      </w:r>
      <w:r w:rsidRPr="00441CE9">
        <w:rPr>
          <w:rFonts w:ascii="Times New Roman" w:hAnsi="Times New Roman" w:cs="Times New Roman"/>
          <w:i/>
          <w:sz w:val="20"/>
          <w:szCs w:val="20"/>
        </w:rPr>
        <w:t>Enz B</w:t>
      </w:r>
      <w:r w:rsidRPr="00441CE9">
        <w:rPr>
          <w:rFonts w:ascii="Times New Roman" w:hAnsi="Times New Roman" w:cs="Times New Roman"/>
          <w:sz w:val="20"/>
          <w:szCs w:val="20"/>
        </w:rPr>
        <w:t xml:space="preserve">, S. 411-412; </w:t>
      </w:r>
      <w:r w:rsidRPr="00441CE9">
        <w:rPr>
          <w:rFonts w:ascii="Times New Roman" w:hAnsi="Times New Roman" w:cs="Times New Roman"/>
          <w:i/>
          <w:sz w:val="20"/>
          <w:szCs w:val="20"/>
        </w:rPr>
        <w:t xml:space="preserve">Enz C, </w:t>
      </w:r>
      <w:r w:rsidRPr="00441CE9">
        <w:rPr>
          <w:rFonts w:ascii="Times New Roman" w:hAnsi="Times New Roman" w:cs="Times New Roman"/>
          <w:sz w:val="20"/>
          <w:szCs w:val="20"/>
        </w:rPr>
        <w:t>S. 565-565</w:t>
      </w:r>
      <w:r>
        <w:rPr>
          <w:rFonts w:ascii="Times New Roman" w:hAnsi="Times New Roman" w:cs="Times New Roman"/>
          <w:sz w:val="20"/>
          <w:szCs w:val="20"/>
        </w:rPr>
        <w:t>.</w:t>
      </w:r>
    </w:p>
  </w:footnote>
  <w:footnote w:id="1061">
    <w:p w14:paraId="311C499A" w14:textId="77777777" w:rsidR="00B34CC2" w:rsidRPr="00881054" w:rsidRDefault="00B34CC2" w:rsidP="001C3D81">
      <w:pPr>
        <w:pStyle w:val="Testonotaapidipagina"/>
        <w:jc w:val="both"/>
        <w:rPr>
          <w:rFonts w:ascii="Times New Roman" w:hAnsi="Times New Roman" w:cs="Times New Roman"/>
          <w:sz w:val="20"/>
          <w:szCs w:val="20"/>
        </w:rPr>
      </w:pPr>
      <w:r w:rsidRPr="00881054">
        <w:rPr>
          <w:rStyle w:val="Rimandonotaapidipagina"/>
          <w:rFonts w:ascii="Times New Roman" w:hAnsi="Times New Roman" w:cs="Times New Roman"/>
          <w:sz w:val="20"/>
          <w:szCs w:val="20"/>
        </w:rPr>
        <w:footnoteRef/>
      </w:r>
      <w:r w:rsidRPr="00881054">
        <w:rPr>
          <w:rFonts w:ascii="Times New Roman" w:hAnsi="Times New Roman" w:cs="Times New Roman"/>
          <w:sz w:val="20"/>
          <w:szCs w:val="20"/>
        </w:rPr>
        <w:t xml:space="preserve"> </w:t>
      </w:r>
      <w:r w:rsidRPr="00881054">
        <w:rPr>
          <w:rFonts w:ascii="Times New Roman" w:hAnsi="Times New Roman" w:cs="Times New Roman"/>
          <w:i/>
          <w:sz w:val="20"/>
          <w:szCs w:val="20"/>
        </w:rPr>
        <w:t xml:space="preserve">WdL </w:t>
      </w:r>
      <w:r>
        <w:rPr>
          <w:rFonts w:ascii="Times New Roman" w:hAnsi="Times New Roman" w:cs="Times New Roman"/>
          <w:i/>
          <w:sz w:val="20"/>
          <w:szCs w:val="20"/>
        </w:rPr>
        <w:t xml:space="preserve">I </w:t>
      </w:r>
      <w:r w:rsidRPr="00881054">
        <w:rPr>
          <w:rFonts w:ascii="Times New Roman" w:hAnsi="Times New Roman" w:cs="Times New Roman"/>
          <w:i/>
          <w:sz w:val="20"/>
          <w:szCs w:val="20"/>
        </w:rPr>
        <w:t>(B)</w:t>
      </w:r>
      <w:r w:rsidRPr="00881054">
        <w:rPr>
          <w:rFonts w:ascii="Times New Roman" w:hAnsi="Times New Roman" w:cs="Times New Roman"/>
          <w:sz w:val="20"/>
          <w:szCs w:val="20"/>
        </w:rPr>
        <w:t xml:space="preserve">, S. </w:t>
      </w:r>
      <w:r>
        <w:rPr>
          <w:rFonts w:ascii="Times New Roman" w:hAnsi="Times New Roman" w:cs="Times New Roman"/>
          <w:sz w:val="20"/>
          <w:szCs w:val="20"/>
        </w:rPr>
        <w:t>71</w:t>
      </w:r>
      <w:r w:rsidRPr="00881054">
        <w:rPr>
          <w:rFonts w:ascii="Times New Roman" w:hAnsi="Times New Roman" w:cs="Times New Roman"/>
          <w:sz w:val="20"/>
          <w:szCs w:val="20"/>
        </w:rPr>
        <w:t>.</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F8C4A9" w14:textId="7585D537" w:rsidR="00B34CC2" w:rsidRDefault="00B34CC2" w:rsidP="00861016">
    <w:pPr>
      <w:pStyle w:val="Intestazione"/>
    </w:pPr>
    <w:r>
      <w:t xml:space="preserve">                                                                         </w: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61061A3"/>
    <w:multiLevelType w:val="hybridMultilevel"/>
    <w:tmpl w:val="D8561CC4"/>
    <w:lvl w:ilvl="0" w:tplc="AC3893A0">
      <w:start w:val="1"/>
      <w:numFmt w:val="decimal"/>
      <w:lvlText w:val="%1)"/>
      <w:lvlJc w:val="left"/>
      <w:pPr>
        <w:ind w:left="720" w:hanging="360"/>
      </w:pPr>
      <w:rPr>
        <w:rFonts w:eastAsiaTheme="minorEastAsia" w:hint="default"/>
        <w:color w:val="auto"/>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nsid w:val="2C7C4F1D"/>
    <w:multiLevelType w:val="hybridMultilevel"/>
    <w:tmpl w:val="CD025D38"/>
    <w:lvl w:ilvl="0" w:tplc="1BB2E4EC">
      <w:start w:val="4"/>
      <w:numFmt w:val="bullet"/>
      <w:lvlText w:val="-"/>
      <w:lvlJc w:val="left"/>
      <w:pPr>
        <w:ind w:left="720" w:hanging="360"/>
      </w:pPr>
      <w:rPr>
        <w:rFonts w:ascii="Times New Roman" w:eastAsiaTheme="minorEastAsia" w:hAnsi="Times New Roman" w:cs="Times New Roman" w:hint="default"/>
        <w:i/>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66231100"/>
    <w:multiLevelType w:val="hybridMultilevel"/>
    <w:tmpl w:val="BF268ED0"/>
    <w:lvl w:ilvl="0" w:tplc="4058005A">
      <w:start w:val="1"/>
      <w:numFmt w:val="decimal"/>
      <w:lvlText w:val="%1."/>
      <w:lvlJc w:val="left"/>
      <w:pPr>
        <w:ind w:left="720" w:hanging="360"/>
      </w:pPr>
      <w:rPr>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nsid w:val="763E6D69"/>
    <w:multiLevelType w:val="hybridMultilevel"/>
    <w:tmpl w:val="BF268ED0"/>
    <w:lvl w:ilvl="0" w:tplc="4058005A">
      <w:start w:val="1"/>
      <w:numFmt w:val="decimal"/>
      <w:lvlText w:val="%1."/>
      <w:lvlJc w:val="left"/>
      <w:pPr>
        <w:ind w:left="720" w:hanging="360"/>
      </w:pPr>
      <w:rPr>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hideSpellingErrors/>
  <w:defaultTabStop w:val="708"/>
  <w:hyphenationZone w:val="283"/>
  <w:characterSpacingControl w:val="doNotCompress"/>
  <w:savePreviewPicture/>
  <w:hdrShapeDefaults>
    <o:shapedefaults v:ext="edit" spidmax="2050"/>
  </w:hdrShapeDefaults>
  <w:footnotePr>
    <w:numRestart w:val="eachSect"/>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D7266"/>
    <w:rsid w:val="0000081B"/>
    <w:rsid w:val="00000ED8"/>
    <w:rsid w:val="000013C4"/>
    <w:rsid w:val="00001AB1"/>
    <w:rsid w:val="00001B26"/>
    <w:rsid w:val="0000296D"/>
    <w:rsid w:val="0000352C"/>
    <w:rsid w:val="00004106"/>
    <w:rsid w:val="000044B8"/>
    <w:rsid w:val="000048DE"/>
    <w:rsid w:val="00004FD8"/>
    <w:rsid w:val="00005B69"/>
    <w:rsid w:val="00005C8B"/>
    <w:rsid w:val="00006972"/>
    <w:rsid w:val="00006C58"/>
    <w:rsid w:val="00006D7F"/>
    <w:rsid w:val="00007D78"/>
    <w:rsid w:val="00007FBC"/>
    <w:rsid w:val="0001020F"/>
    <w:rsid w:val="00011020"/>
    <w:rsid w:val="000110EC"/>
    <w:rsid w:val="000115CA"/>
    <w:rsid w:val="00011682"/>
    <w:rsid w:val="00011C7C"/>
    <w:rsid w:val="00012047"/>
    <w:rsid w:val="00012097"/>
    <w:rsid w:val="000125A6"/>
    <w:rsid w:val="00012615"/>
    <w:rsid w:val="00012775"/>
    <w:rsid w:val="00012BEE"/>
    <w:rsid w:val="00012CE8"/>
    <w:rsid w:val="0001314A"/>
    <w:rsid w:val="00013518"/>
    <w:rsid w:val="0001438C"/>
    <w:rsid w:val="000153C3"/>
    <w:rsid w:val="000154B6"/>
    <w:rsid w:val="00015641"/>
    <w:rsid w:val="00015691"/>
    <w:rsid w:val="00015A62"/>
    <w:rsid w:val="00015B99"/>
    <w:rsid w:val="00015D04"/>
    <w:rsid w:val="0001670C"/>
    <w:rsid w:val="00016CD5"/>
    <w:rsid w:val="00016F8D"/>
    <w:rsid w:val="000171D0"/>
    <w:rsid w:val="000173B2"/>
    <w:rsid w:val="00017F82"/>
    <w:rsid w:val="00017FC6"/>
    <w:rsid w:val="00021560"/>
    <w:rsid w:val="000223C6"/>
    <w:rsid w:val="000224EB"/>
    <w:rsid w:val="00023467"/>
    <w:rsid w:val="00023498"/>
    <w:rsid w:val="00024601"/>
    <w:rsid w:val="000247E6"/>
    <w:rsid w:val="00024ED8"/>
    <w:rsid w:val="0002574A"/>
    <w:rsid w:val="00025AE8"/>
    <w:rsid w:val="00026541"/>
    <w:rsid w:val="000265C7"/>
    <w:rsid w:val="00026C90"/>
    <w:rsid w:val="00026D08"/>
    <w:rsid w:val="00027025"/>
    <w:rsid w:val="0002774D"/>
    <w:rsid w:val="0002779D"/>
    <w:rsid w:val="00027A02"/>
    <w:rsid w:val="00027B15"/>
    <w:rsid w:val="00027CA5"/>
    <w:rsid w:val="00027EDF"/>
    <w:rsid w:val="000302B7"/>
    <w:rsid w:val="00030A4B"/>
    <w:rsid w:val="00030D3D"/>
    <w:rsid w:val="00030EAB"/>
    <w:rsid w:val="000318EF"/>
    <w:rsid w:val="00032061"/>
    <w:rsid w:val="00032DC2"/>
    <w:rsid w:val="0003327B"/>
    <w:rsid w:val="00033C20"/>
    <w:rsid w:val="00034974"/>
    <w:rsid w:val="0003541D"/>
    <w:rsid w:val="0003573A"/>
    <w:rsid w:val="00035A50"/>
    <w:rsid w:val="00035FF1"/>
    <w:rsid w:val="00037BFD"/>
    <w:rsid w:val="00040260"/>
    <w:rsid w:val="00040299"/>
    <w:rsid w:val="00040A0D"/>
    <w:rsid w:val="00040ACA"/>
    <w:rsid w:val="00040E41"/>
    <w:rsid w:val="00041222"/>
    <w:rsid w:val="00041D19"/>
    <w:rsid w:val="00042537"/>
    <w:rsid w:val="00042540"/>
    <w:rsid w:val="0004287B"/>
    <w:rsid w:val="000431BE"/>
    <w:rsid w:val="00043589"/>
    <w:rsid w:val="00043A3B"/>
    <w:rsid w:val="00043AD6"/>
    <w:rsid w:val="000447A7"/>
    <w:rsid w:val="00044EFC"/>
    <w:rsid w:val="00045464"/>
    <w:rsid w:val="00045603"/>
    <w:rsid w:val="0004676A"/>
    <w:rsid w:val="000468ED"/>
    <w:rsid w:val="0004690D"/>
    <w:rsid w:val="000469B1"/>
    <w:rsid w:val="00050FF6"/>
    <w:rsid w:val="00051346"/>
    <w:rsid w:val="0005184F"/>
    <w:rsid w:val="00051994"/>
    <w:rsid w:val="00051B5A"/>
    <w:rsid w:val="0005212B"/>
    <w:rsid w:val="000524E5"/>
    <w:rsid w:val="000526FA"/>
    <w:rsid w:val="000527DB"/>
    <w:rsid w:val="00052874"/>
    <w:rsid w:val="0005331C"/>
    <w:rsid w:val="00053737"/>
    <w:rsid w:val="00053C96"/>
    <w:rsid w:val="00054A85"/>
    <w:rsid w:val="00054C9A"/>
    <w:rsid w:val="00054EE8"/>
    <w:rsid w:val="000553DB"/>
    <w:rsid w:val="000555D9"/>
    <w:rsid w:val="000557CE"/>
    <w:rsid w:val="00055DA0"/>
    <w:rsid w:val="00055E20"/>
    <w:rsid w:val="00056017"/>
    <w:rsid w:val="0005610E"/>
    <w:rsid w:val="000566FB"/>
    <w:rsid w:val="0005676F"/>
    <w:rsid w:val="0005687E"/>
    <w:rsid w:val="00056C2E"/>
    <w:rsid w:val="0005721E"/>
    <w:rsid w:val="00057288"/>
    <w:rsid w:val="00057C82"/>
    <w:rsid w:val="00060019"/>
    <w:rsid w:val="00060BA6"/>
    <w:rsid w:val="00060FA4"/>
    <w:rsid w:val="00061081"/>
    <w:rsid w:val="000610C3"/>
    <w:rsid w:val="00061413"/>
    <w:rsid w:val="00061D46"/>
    <w:rsid w:val="00062059"/>
    <w:rsid w:val="0006231F"/>
    <w:rsid w:val="00062AB4"/>
    <w:rsid w:val="0006313F"/>
    <w:rsid w:val="000641FE"/>
    <w:rsid w:val="000645E2"/>
    <w:rsid w:val="00064E2E"/>
    <w:rsid w:val="0006524C"/>
    <w:rsid w:val="00065673"/>
    <w:rsid w:val="00065CF2"/>
    <w:rsid w:val="000664A9"/>
    <w:rsid w:val="0006656B"/>
    <w:rsid w:val="000668C1"/>
    <w:rsid w:val="00067D01"/>
    <w:rsid w:val="00070C21"/>
    <w:rsid w:val="0007112F"/>
    <w:rsid w:val="00072951"/>
    <w:rsid w:val="00073763"/>
    <w:rsid w:val="00073E60"/>
    <w:rsid w:val="000743F6"/>
    <w:rsid w:val="0007511A"/>
    <w:rsid w:val="000759B8"/>
    <w:rsid w:val="00075C0E"/>
    <w:rsid w:val="00077817"/>
    <w:rsid w:val="00077D10"/>
    <w:rsid w:val="00077DC3"/>
    <w:rsid w:val="00080193"/>
    <w:rsid w:val="0008061C"/>
    <w:rsid w:val="00080A67"/>
    <w:rsid w:val="00081250"/>
    <w:rsid w:val="0008138E"/>
    <w:rsid w:val="00081877"/>
    <w:rsid w:val="00081CCC"/>
    <w:rsid w:val="00082925"/>
    <w:rsid w:val="00082BA5"/>
    <w:rsid w:val="00083023"/>
    <w:rsid w:val="00083032"/>
    <w:rsid w:val="000837F4"/>
    <w:rsid w:val="00083FA4"/>
    <w:rsid w:val="00084A7E"/>
    <w:rsid w:val="0008544A"/>
    <w:rsid w:val="00085494"/>
    <w:rsid w:val="00086248"/>
    <w:rsid w:val="0008653D"/>
    <w:rsid w:val="00090F5C"/>
    <w:rsid w:val="00091726"/>
    <w:rsid w:val="00091C39"/>
    <w:rsid w:val="00091F84"/>
    <w:rsid w:val="00092DD6"/>
    <w:rsid w:val="00093561"/>
    <w:rsid w:val="00093791"/>
    <w:rsid w:val="000938AC"/>
    <w:rsid w:val="00093A60"/>
    <w:rsid w:val="00093F91"/>
    <w:rsid w:val="00094563"/>
    <w:rsid w:val="00094A90"/>
    <w:rsid w:val="00094F2D"/>
    <w:rsid w:val="000953A0"/>
    <w:rsid w:val="000955F1"/>
    <w:rsid w:val="000956B5"/>
    <w:rsid w:val="00095E5D"/>
    <w:rsid w:val="00096530"/>
    <w:rsid w:val="000966A5"/>
    <w:rsid w:val="00096804"/>
    <w:rsid w:val="00096F12"/>
    <w:rsid w:val="000A035E"/>
    <w:rsid w:val="000A0710"/>
    <w:rsid w:val="000A10AF"/>
    <w:rsid w:val="000A1BA3"/>
    <w:rsid w:val="000A24A4"/>
    <w:rsid w:val="000A24CF"/>
    <w:rsid w:val="000A2D75"/>
    <w:rsid w:val="000A41E3"/>
    <w:rsid w:val="000A57AA"/>
    <w:rsid w:val="000A6020"/>
    <w:rsid w:val="000A6509"/>
    <w:rsid w:val="000A6ACD"/>
    <w:rsid w:val="000A6C06"/>
    <w:rsid w:val="000A7052"/>
    <w:rsid w:val="000A7142"/>
    <w:rsid w:val="000A7B9E"/>
    <w:rsid w:val="000B1496"/>
    <w:rsid w:val="000B165C"/>
    <w:rsid w:val="000B16AC"/>
    <w:rsid w:val="000B1741"/>
    <w:rsid w:val="000B25B9"/>
    <w:rsid w:val="000B3379"/>
    <w:rsid w:val="000B39F9"/>
    <w:rsid w:val="000B4337"/>
    <w:rsid w:val="000B4BE9"/>
    <w:rsid w:val="000B55EF"/>
    <w:rsid w:val="000B5852"/>
    <w:rsid w:val="000B6C89"/>
    <w:rsid w:val="000B76F4"/>
    <w:rsid w:val="000C0033"/>
    <w:rsid w:val="000C05EF"/>
    <w:rsid w:val="000C0981"/>
    <w:rsid w:val="000C0A1D"/>
    <w:rsid w:val="000C0B39"/>
    <w:rsid w:val="000C1651"/>
    <w:rsid w:val="000C20B0"/>
    <w:rsid w:val="000C323F"/>
    <w:rsid w:val="000C3DD1"/>
    <w:rsid w:val="000C3E1D"/>
    <w:rsid w:val="000C4AFD"/>
    <w:rsid w:val="000C4D75"/>
    <w:rsid w:val="000C513B"/>
    <w:rsid w:val="000C52BC"/>
    <w:rsid w:val="000C55AD"/>
    <w:rsid w:val="000C5AB3"/>
    <w:rsid w:val="000C5E9A"/>
    <w:rsid w:val="000C64C5"/>
    <w:rsid w:val="000C6C81"/>
    <w:rsid w:val="000C74B3"/>
    <w:rsid w:val="000D020D"/>
    <w:rsid w:val="000D0224"/>
    <w:rsid w:val="000D093A"/>
    <w:rsid w:val="000D0D6D"/>
    <w:rsid w:val="000D143B"/>
    <w:rsid w:val="000D1590"/>
    <w:rsid w:val="000D1C05"/>
    <w:rsid w:val="000D1FC6"/>
    <w:rsid w:val="000D2218"/>
    <w:rsid w:val="000D2550"/>
    <w:rsid w:val="000D282D"/>
    <w:rsid w:val="000D3011"/>
    <w:rsid w:val="000D3F30"/>
    <w:rsid w:val="000D4972"/>
    <w:rsid w:val="000D5443"/>
    <w:rsid w:val="000D5D91"/>
    <w:rsid w:val="000D5DF9"/>
    <w:rsid w:val="000D5F35"/>
    <w:rsid w:val="000D60FC"/>
    <w:rsid w:val="000D6E18"/>
    <w:rsid w:val="000D787A"/>
    <w:rsid w:val="000D79D6"/>
    <w:rsid w:val="000D7ACF"/>
    <w:rsid w:val="000D7E80"/>
    <w:rsid w:val="000E08DE"/>
    <w:rsid w:val="000E2035"/>
    <w:rsid w:val="000E2D22"/>
    <w:rsid w:val="000E3076"/>
    <w:rsid w:val="000E3277"/>
    <w:rsid w:val="000E341D"/>
    <w:rsid w:val="000E4914"/>
    <w:rsid w:val="000E4ED5"/>
    <w:rsid w:val="000E56B9"/>
    <w:rsid w:val="000E599C"/>
    <w:rsid w:val="000E5A64"/>
    <w:rsid w:val="000E5A98"/>
    <w:rsid w:val="000E659A"/>
    <w:rsid w:val="000E72AF"/>
    <w:rsid w:val="000E74C7"/>
    <w:rsid w:val="000E758C"/>
    <w:rsid w:val="000E79CE"/>
    <w:rsid w:val="000E7A7B"/>
    <w:rsid w:val="000E7F8D"/>
    <w:rsid w:val="000F0BE5"/>
    <w:rsid w:val="000F2111"/>
    <w:rsid w:val="000F2338"/>
    <w:rsid w:val="000F2746"/>
    <w:rsid w:val="000F2C99"/>
    <w:rsid w:val="000F2CF5"/>
    <w:rsid w:val="000F3DAA"/>
    <w:rsid w:val="000F3E83"/>
    <w:rsid w:val="000F3F55"/>
    <w:rsid w:val="000F47CA"/>
    <w:rsid w:val="000F4AA9"/>
    <w:rsid w:val="000F4EA5"/>
    <w:rsid w:val="000F4F9B"/>
    <w:rsid w:val="000F5655"/>
    <w:rsid w:val="000F6015"/>
    <w:rsid w:val="000F64D9"/>
    <w:rsid w:val="000F6AC0"/>
    <w:rsid w:val="000F7812"/>
    <w:rsid w:val="00100D57"/>
    <w:rsid w:val="00100D85"/>
    <w:rsid w:val="001018E2"/>
    <w:rsid w:val="00101E9C"/>
    <w:rsid w:val="001020E2"/>
    <w:rsid w:val="001026FE"/>
    <w:rsid w:val="00102D80"/>
    <w:rsid w:val="0010308C"/>
    <w:rsid w:val="00103362"/>
    <w:rsid w:val="00103424"/>
    <w:rsid w:val="00104168"/>
    <w:rsid w:val="001046C4"/>
    <w:rsid w:val="0010600E"/>
    <w:rsid w:val="0010663D"/>
    <w:rsid w:val="00106F4A"/>
    <w:rsid w:val="00106FC5"/>
    <w:rsid w:val="00107597"/>
    <w:rsid w:val="00107F78"/>
    <w:rsid w:val="00107FBD"/>
    <w:rsid w:val="001108D9"/>
    <w:rsid w:val="00110DD8"/>
    <w:rsid w:val="001111BD"/>
    <w:rsid w:val="00111293"/>
    <w:rsid w:val="00112134"/>
    <w:rsid w:val="00112399"/>
    <w:rsid w:val="0011243A"/>
    <w:rsid w:val="00112547"/>
    <w:rsid w:val="00112684"/>
    <w:rsid w:val="00112B7C"/>
    <w:rsid w:val="001132E4"/>
    <w:rsid w:val="00113F96"/>
    <w:rsid w:val="001140D6"/>
    <w:rsid w:val="00114AD1"/>
    <w:rsid w:val="00114D1E"/>
    <w:rsid w:val="0011548A"/>
    <w:rsid w:val="00116023"/>
    <w:rsid w:val="001161CC"/>
    <w:rsid w:val="001163E5"/>
    <w:rsid w:val="00116F14"/>
    <w:rsid w:val="00117047"/>
    <w:rsid w:val="00117B69"/>
    <w:rsid w:val="00117D5C"/>
    <w:rsid w:val="00120850"/>
    <w:rsid w:val="00120FE3"/>
    <w:rsid w:val="00121220"/>
    <w:rsid w:val="0012131A"/>
    <w:rsid w:val="0012160D"/>
    <w:rsid w:val="0012167E"/>
    <w:rsid w:val="00121780"/>
    <w:rsid w:val="00121A82"/>
    <w:rsid w:val="001234BD"/>
    <w:rsid w:val="00123ACB"/>
    <w:rsid w:val="00123EC2"/>
    <w:rsid w:val="00124720"/>
    <w:rsid w:val="00124B49"/>
    <w:rsid w:val="00124CB6"/>
    <w:rsid w:val="00125764"/>
    <w:rsid w:val="00126501"/>
    <w:rsid w:val="00126EB5"/>
    <w:rsid w:val="0012708B"/>
    <w:rsid w:val="001275E5"/>
    <w:rsid w:val="0012788D"/>
    <w:rsid w:val="00127F5B"/>
    <w:rsid w:val="00130090"/>
    <w:rsid w:val="00130610"/>
    <w:rsid w:val="00131975"/>
    <w:rsid w:val="001320D0"/>
    <w:rsid w:val="00132CB3"/>
    <w:rsid w:val="00132D27"/>
    <w:rsid w:val="00133F05"/>
    <w:rsid w:val="00133FA4"/>
    <w:rsid w:val="0013418E"/>
    <w:rsid w:val="00134260"/>
    <w:rsid w:val="00134375"/>
    <w:rsid w:val="00134435"/>
    <w:rsid w:val="0013547D"/>
    <w:rsid w:val="00135616"/>
    <w:rsid w:val="0013596B"/>
    <w:rsid w:val="00136CFC"/>
    <w:rsid w:val="00136EF3"/>
    <w:rsid w:val="00136F38"/>
    <w:rsid w:val="00140049"/>
    <w:rsid w:val="001400D4"/>
    <w:rsid w:val="001409B6"/>
    <w:rsid w:val="00140AA8"/>
    <w:rsid w:val="00140D00"/>
    <w:rsid w:val="00140D81"/>
    <w:rsid w:val="00141D71"/>
    <w:rsid w:val="00143053"/>
    <w:rsid w:val="001435C2"/>
    <w:rsid w:val="001437EA"/>
    <w:rsid w:val="001438EE"/>
    <w:rsid w:val="001439F4"/>
    <w:rsid w:val="001440E8"/>
    <w:rsid w:val="00144889"/>
    <w:rsid w:val="001448E2"/>
    <w:rsid w:val="00144EA3"/>
    <w:rsid w:val="001452FA"/>
    <w:rsid w:val="00145C9C"/>
    <w:rsid w:val="001464CD"/>
    <w:rsid w:val="0014656C"/>
    <w:rsid w:val="00146DDF"/>
    <w:rsid w:val="001474EF"/>
    <w:rsid w:val="001477D3"/>
    <w:rsid w:val="001479EE"/>
    <w:rsid w:val="00147CB4"/>
    <w:rsid w:val="001500A3"/>
    <w:rsid w:val="00150B91"/>
    <w:rsid w:val="00151C5D"/>
    <w:rsid w:val="00151FD0"/>
    <w:rsid w:val="00152A47"/>
    <w:rsid w:val="00152AC4"/>
    <w:rsid w:val="001531A2"/>
    <w:rsid w:val="00153AFF"/>
    <w:rsid w:val="00153E3F"/>
    <w:rsid w:val="001541CD"/>
    <w:rsid w:val="001542AB"/>
    <w:rsid w:val="00154644"/>
    <w:rsid w:val="001553E2"/>
    <w:rsid w:val="00155BDA"/>
    <w:rsid w:val="00155C77"/>
    <w:rsid w:val="00156420"/>
    <w:rsid w:val="001564FA"/>
    <w:rsid w:val="00156753"/>
    <w:rsid w:val="00156F6E"/>
    <w:rsid w:val="001572EE"/>
    <w:rsid w:val="00157E87"/>
    <w:rsid w:val="00157F10"/>
    <w:rsid w:val="0016040A"/>
    <w:rsid w:val="001606F2"/>
    <w:rsid w:val="00160A78"/>
    <w:rsid w:val="00160A89"/>
    <w:rsid w:val="00160D42"/>
    <w:rsid w:val="00160FD1"/>
    <w:rsid w:val="00161013"/>
    <w:rsid w:val="00162402"/>
    <w:rsid w:val="00162B0E"/>
    <w:rsid w:val="00162EFB"/>
    <w:rsid w:val="00162FDA"/>
    <w:rsid w:val="0016301C"/>
    <w:rsid w:val="001630B3"/>
    <w:rsid w:val="00163212"/>
    <w:rsid w:val="001633B8"/>
    <w:rsid w:val="001638FC"/>
    <w:rsid w:val="001646A7"/>
    <w:rsid w:val="00165E92"/>
    <w:rsid w:val="00166591"/>
    <w:rsid w:val="001665F2"/>
    <w:rsid w:val="00166721"/>
    <w:rsid w:val="001667B2"/>
    <w:rsid w:val="001671E0"/>
    <w:rsid w:val="00167529"/>
    <w:rsid w:val="001675F5"/>
    <w:rsid w:val="00167FFB"/>
    <w:rsid w:val="00170B23"/>
    <w:rsid w:val="00171A01"/>
    <w:rsid w:val="00172C69"/>
    <w:rsid w:val="00172CAE"/>
    <w:rsid w:val="00172E99"/>
    <w:rsid w:val="00172F43"/>
    <w:rsid w:val="00173DFE"/>
    <w:rsid w:val="001740B9"/>
    <w:rsid w:val="00174BC5"/>
    <w:rsid w:val="00174F46"/>
    <w:rsid w:val="001756B4"/>
    <w:rsid w:val="00175D2E"/>
    <w:rsid w:val="00175F3A"/>
    <w:rsid w:val="001764BC"/>
    <w:rsid w:val="00176EC8"/>
    <w:rsid w:val="00177688"/>
    <w:rsid w:val="001778A9"/>
    <w:rsid w:val="00177A38"/>
    <w:rsid w:val="00177AAC"/>
    <w:rsid w:val="00177EA1"/>
    <w:rsid w:val="00180181"/>
    <w:rsid w:val="0018054E"/>
    <w:rsid w:val="001814F3"/>
    <w:rsid w:val="00182AF1"/>
    <w:rsid w:val="00182EA9"/>
    <w:rsid w:val="00182EAB"/>
    <w:rsid w:val="001837A5"/>
    <w:rsid w:val="001837AA"/>
    <w:rsid w:val="00183920"/>
    <w:rsid w:val="001839E3"/>
    <w:rsid w:val="00183AC2"/>
    <w:rsid w:val="00183B67"/>
    <w:rsid w:val="00183C1A"/>
    <w:rsid w:val="00184331"/>
    <w:rsid w:val="00184C1E"/>
    <w:rsid w:val="00186821"/>
    <w:rsid w:val="0019090C"/>
    <w:rsid w:val="00191277"/>
    <w:rsid w:val="00192961"/>
    <w:rsid w:val="00192D14"/>
    <w:rsid w:val="001940C2"/>
    <w:rsid w:val="0019495C"/>
    <w:rsid w:val="00195320"/>
    <w:rsid w:val="00195B36"/>
    <w:rsid w:val="00195E5B"/>
    <w:rsid w:val="0019662E"/>
    <w:rsid w:val="00197220"/>
    <w:rsid w:val="001975D2"/>
    <w:rsid w:val="00197E17"/>
    <w:rsid w:val="001A0323"/>
    <w:rsid w:val="001A05DD"/>
    <w:rsid w:val="001A07ED"/>
    <w:rsid w:val="001A0A0F"/>
    <w:rsid w:val="001A15CB"/>
    <w:rsid w:val="001A1A2E"/>
    <w:rsid w:val="001A1DFD"/>
    <w:rsid w:val="001A2D7B"/>
    <w:rsid w:val="001A45F8"/>
    <w:rsid w:val="001A4601"/>
    <w:rsid w:val="001A4906"/>
    <w:rsid w:val="001A54BD"/>
    <w:rsid w:val="001A58B6"/>
    <w:rsid w:val="001A5AF2"/>
    <w:rsid w:val="001A5C93"/>
    <w:rsid w:val="001A6A79"/>
    <w:rsid w:val="001A6DA0"/>
    <w:rsid w:val="001A745C"/>
    <w:rsid w:val="001A7C7D"/>
    <w:rsid w:val="001B0111"/>
    <w:rsid w:val="001B05A8"/>
    <w:rsid w:val="001B0619"/>
    <w:rsid w:val="001B0C7B"/>
    <w:rsid w:val="001B1771"/>
    <w:rsid w:val="001B28FE"/>
    <w:rsid w:val="001B2924"/>
    <w:rsid w:val="001B2D4F"/>
    <w:rsid w:val="001B3014"/>
    <w:rsid w:val="001B32DB"/>
    <w:rsid w:val="001B371F"/>
    <w:rsid w:val="001B3F23"/>
    <w:rsid w:val="001B47B0"/>
    <w:rsid w:val="001B4986"/>
    <w:rsid w:val="001B52A5"/>
    <w:rsid w:val="001B5AA9"/>
    <w:rsid w:val="001B5E8E"/>
    <w:rsid w:val="001B614C"/>
    <w:rsid w:val="001B643F"/>
    <w:rsid w:val="001B6629"/>
    <w:rsid w:val="001B69CD"/>
    <w:rsid w:val="001B7117"/>
    <w:rsid w:val="001B7751"/>
    <w:rsid w:val="001B7C1F"/>
    <w:rsid w:val="001B7C59"/>
    <w:rsid w:val="001C0023"/>
    <w:rsid w:val="001C0290"/>
    <w:rsid w:val="001C0307"/>
    <w:rsid w:val="001C052D"/>
    <w:rsid w:val="001C0BC9"/>
    <w:rsid w:val="001C1435"/>
    <w:rsid w:val="001C2535"/>
    <w:rsid w:val="001C30DE"/>
    <w:rsid w:val="001C3A0F"/>
    <w:rsid w:val="001C3D81"/>
    <w:rsid w:val="001C3D9F"/>
    <w:rsid w:val="001C481A"/>
    <w:rsid w:val="001C489E"/>
    <w:rsid w:val="001C4B52"/>
    <w:rsid w:val="001C5814"/>
    <w:rsid w:val="001C5D04"/>
    <w:rsid w:val="001C62F7"/>
    <w:rsid w:val="001C6548"/>
    <w:rsid w:val="001C7409"/>
    <w:rsid w:val="001C7668"/>
    <w:rsid w:val="001C7A17"/>
    <w:rsid w:val="001C7B07"/>
    <w:rsid w:val="001C7D47"/>
    <w:rsid w:val="001C7F37"/>
    <w:rsid w:val="001D046B"/>
    <w:rsid w:val="001D0E41"/>
    <w:rsid w:val="001D12DE"/>
    <w:rsid w:val="001D143D"/>
    <w:rsid w:val="001D1EAE"/>
    <w:rsid w:val="001D2941"/>
    <w:rsid w:val="001D3016"/>
    <w:rsid w:val="001D3342"/>
    <w:rsid w:val="001D39D5"/>
    <w:rsid w:val="001D437B"/>
    <w:rsid w:val="001D517E"/>
    <w:rsid w:val="001D58CA"/>
    <w:rsid w:val="001D59B1"/>
    <w:rsid w:val="001D5EBA"/>
    <w:rsid w:val="001D5ECC"/>
    <w:rsid w:val="001D6B40"/>
    <w:rsid w:val="001D6D59"/>
    <w:rsid w:val="001D6DAE"/>
    <w:rsid w:val="001D718C"/>
    <w:rsid w:val="001D7AD9"/>
    <w:rsid w:val="001D7E45"/>
    <w:rsid w:val="001E0CCE"/>
    <w:rsid w:val="001E1226"/>
    <w:rsid w:val="001E141D"/>
    <w:rsid w:val="001E167E"/>
    <w:rsid w:val="001E1803"/>
    <w:rsid w:val="001E3663"/>
    <w:rsid w:val="001E3992"/>
    <w:rsid w:val="001E433E"/>
    <w:rsid w:val="001E44B7"/>
    <w:rsid w:val="001E4561"/>
    <w:rsid w:val="001E45CF"/>
    <w:rsid w:val="001E47BB"/>
    <w:rsid w:val="001E4C44"/>
    <w:rsid w:val="001E4F74"/>
    <w:rsid w:val="001E55A6"/>
    <w:rsid w:val="001E631C"/>
    <w:rsid w:val="001E6846"/>
    <w:rsid w:val="001E6ACB"/>
    <w:rsid w:val="001E6AFB"/>
    <w:rsid w:val="001E73C0"/>
    <w:rsid w:val="001E7C42"/>
    <w:rsid w:val="001E7DE7"/>
    <w:rsid w:val="001F11B4"/>
    <w:rsid w:val="001F13A3"/>
    <w:rsid w:val="001F1477"/>
    <w:rsid w:val="001F1513"/>
    <w:rsid w:val="001F1608"/>
    <w:rsid w:val="001F16F3"/>
    <w:rsid w:val="001F18E3"/>
    <w:rsid w:val="001F1DE0"/>
    <w:rsid w:val="001F2ABB"/>
    <w:rsid w:val="001F2F5A"/>
    <w:rsid w:val="001F3929"/>
    <w:rsid w:val="001F39FD"/>
    <w:rsid w:val="001F41A8"/>
    <w:rsid w:val="001F4393"/>
    <w:rsid w:val="001F4993"/>
    <w:rsid w:val="001F5447"/>
    <w:rsid w:val="001F61C1"/>
    <w:rsid w:val="001F675D"/>
    <w:rsid w:val="001F67D0"/>
    <w:rsid w:val="001F6871"/>
    <w:rsid w:val="001F6B2F"/>
    <w:rsid w:val="001F73E1"/>
    <w:rsid w:val="002001DA"/>
    <w:rsid w:val="0020030A"/>
    <w:rsid w:val="00200678"/>
    <w:rsid w:val="002006D1"/>
    <w:rsid w:val="00200A79"/>
    <w:rsid w:val="00200D3D"/>
    <w:rsid w:val="00200F82"/>
    <w:rsid w:val="00201B86"/>
    <w:rsid w:val="00202095"/>
    <w:rsid w:val="00202FDB"/>
    <w:rsid w:val="0020378A"/>
    <w:rsid w:val="00205505"/>
    <w:rsid w:val="002063C9"/>
    <w:rsid w:val="00206E55"/>
    <w:rsid w:val="002070CB"/>
    <w:rsid w:val="00207251"/>
    <w:rsid w:val="0020731B"/>
    <w:rsid w:val="002077FA"/>
    <w:rsid w:val="002100AC"/>
    <w:rsid w:val="0021241E"/>
    <w:rsid w:val="002124D1"/>
    <w:rsid w:val="00213732"/>
    <w:rsid w:val="00214846"/>
    <w:rsid w:val="00216038"/>
    <w:rsid w:val="00217448"/>
    <w:rsid w:val="00217FF0"/>
    <w:rsid w:val="002207C8"/>
    <w:rsid w:val="00220B9E"/>
    <w:rsid w:val="00220E64"/>
    <w:rsid w:val="0022112F"/>
    <w:rsid w:val="00221DC4"/>
    <w:rsid w:val="002220ED"/>
    <w:rsid w:val="002221E5"/>
    <w:rsid w:val="00222D22"/>
    <w:rsid w:val="00224631"/>
    <w:rsid w:val="00224E8F"/>
    <w:rsid w:val="002258BC"/>
    <w:rsid w:val="002268CE"/>
    <w:rsid w:val="00226CB3"/>
    <w:rsid w:val="00226D0B"/>
    <w:rsid w:val="00226D7D"/>
    <w:rsid w:val="00226F27"/>
    <w:rsid w:val="0022796E"/>
    <w:rsid w:val="00227E73"/>
    <w:rsid w:val="002308CA"/>
    <w:rsid w:val="00230A4B"/>
    <w:rsid w:val="00230C27"/>
    <w:rsid w:val="00230F2F"/>
    <w:rsid w:val="00231CEF"/>
    <w:rsid w:val="00232416"/>
    <w:rsid w:val="00232579"/>
    <w:rsid w:val="00232B87"/>
    <w:rsid w:val="00232C5A"/>
    <w:rsid w:val="00233072"/>
    <w:rsid w:val="00233D19"/>
    <w:rsid w:val="00233F9B"/>
    <w:rsid w:val="00234361"/>
    <w:rsid w:val="002346CB"/>
    <w:rsid w:val="00234C0E"/>
    <w:rsid w:val="002356DE"/>
    <w:rsid w:val="00236210"/>
    <w:rsid w:val="0023643E"/>
    <w:rsid w:val="0023652E"/>
    <w:rsid w:val="002369A8"/>
    <w:rsid w:val="00236ECF"/>
    <w:rsid w:val="00237024"/>
    <w:rsid w:val="0023765C"/>
    <w:rsid w:val="0024017C"/>
    <w:rsid w:val="00240A44"/>
    <w:rsid w:val="00240E8F"/>
    <w:rsid w:val="00241109"/>
    <w:rsid w:val="00241807"/>
    <w:rsid w:val="00241948"/>
    <w:rsid w:val="00241A6D"/>
    <w:rsid w:val="00241C20"/>
    <w:rsid w:val="0024250E"/>
    <w:rsid w:val="0024313D"/>
    <w:rsid w:val="002432EF"/>
    <w:rsid w:val="002435D7"/>
    <w:rsid w:val="00243D8B"/>
    <w:rsid w:val="002452B9"/>
    <w:rsid w:val="00245877"/>
    <w:rsid w:val="00246F13"/>
    <w:rsid w:val="002470EB"/>
    <w:rsid w:val="00247119"/>
    <w:rsid w:val="00247413"/>
    <w:rsid w:val="0024759E"/>
    <w:rsid w:val="002476DC"/>
    <w:rsid w:val="002478C5"/>
    <w:rsid w:val="00247A3B"/>
    <w:rsid w:val="00247CC0"/>
    <w:rsid w:val="00250B96"/>
    <w:rsid w:val="00250CFD"/>
    <w:rsid w:val="00250F54"/>
    <w:rsid w:val="002510C9"/>
    <w:rsid w:val="00251651"/>
    <w:rsid w:val="002526F8"/>
    <w:rsid w:val="00252B00"/>
    <w:rsid w:val="00252C74"/>
    <w:rsid w:val="002530B4"/>
    <w:rsid w:val="002532AE"/>
    <w:rsid w:val="00253C9C"/>
    <w:rsid w:val="0025478E"/>
    <w:rsid w:val="00254B08"/>
    <w:rsid w:val="002559E3"/>
    <w:rsid w:val="00255B83"/>
    <w:rsid w:val="00255EBA"/>
    <w:rsid w:val="002564E2"/>
    <w:rsid w:val="002566A5"/>
    <w:rsid w:val="00257561"/>
    <w:rsid w:val="00257EB9"/>
    <w:rsid w:val="0026014E"/>
    <w:rsid w:val="00260B8B"/>
    <w:rsid w:val="00260F44"/>
    <w:rsid w:val="0026108C"/>
    <w:rsid w:val="002617F7"/>
    <w:rsid w:val="00261ABE"/>
    <w:rsid w:val="00261C43"/>
    <w:rsid w:val="00261CE2"/>
    <w:rsid w:val="002622BC"/>
    <w:rsid w:val="00262338"/>
    <w:rsid w:val="0026235A"/>
    <w:rsid w:val="002635D6"/>
    <w:rsid w:val="00263680"/>
    <w:rsid w:val="002637BB"/>
    <w:rsid w:val="002637EE"/>
    <w:rsid w:val="0026384D"/>
    <w:rsid w:val="00264AAD"/>
    <w:rsid w:val="0026589F"/>
    <w:rsid w:val="00265F0E"/>
    <w:rsid w:val="00266481"/>
    <w:rsid w:val="0026666A"/>
    <w:rsid w:val="00266B43"/>
    <w:rsid w:val="0026702B"/>
    <w:rsid w:val="00267507"/>
    <w:rsid w:val="002676BE"/>
    <w:rsid w:val="00270D1B"/>
    <w:rsid w:val="00271482"/>
    <w:rsid w:val="0027190D"/>
    <w:rsid w:val="002723B7"/>
    <w:rsid w:val="00272ACE"/>
    <w:rsid w:val="0027366F"/>
    <w:rsid w:val="002738E7"/>
    <w:rsid w:val="00273EAE"/>
    <w:rsid w:val="002740E8"/>
    <w:rsid w:val="002744A9"/>
    <w:rsid w:val="0027478F"/>
    <w:rsid w:val="00275433"/>
    <w:rsid w:val="00275EFB"/>
    <w:rsid w:val="00276556"/>
    <w:rsid w:val="00276685"/>
    <w:rsid w:val="002807AA"/>
    <w:rsid w:val="002809DF"/>
    <w:rsid w:val="00280CDE"/>
    <w:rsid w:val="00280DD0"/>
    <w:rsid w:val="0028162E"/>
    <w:rsid w:val="0028184D"/>
    <w:rsid w:val="00281A7B"/>
    <w:rsid w:val="00281BE0"/>
    <w:rsid w:val="00281E2A"/>
    <w:rsid w:val="00281FCF"/>
    <w:rsid w:val="002826D2"/>
    <w:rsid w:val="002826E6"/>
    <w:rsid w:val="002829FF"/>
    <w:rsid w:val="00282BBA"/>
    <w:rsid w:val="002832D4"/>
    <w:rsid w:val="00283989"/>
    <w:rsid w:val="00284049"/>
    <w:rsid w:val="002843FA"/>
    <w:rsid w:val="00285159"/>
    <w:rsid w:val="002851EC"/>
    <w:rsid w:val="00286AE4"/>
    <w:rsid w:val="0028717B"/>
    <w:rsid w:val="0028724B"/>
    <w:rsid w:val="00287BC9"/>
    <w:rsid w:val="00287C81"/>
    <w:rsid w:val="00290078"/>
    <w:rsid w:val="002906EE"/>
    <w:rsid w:val="00290B71"/>
    <w:rsid w:val="00290DF7"/>
    <w:rsid w:val="00290E2A"/>
    <w:rsid w:val="00291E65"/>
    <w:rsid w:val="00292075"/>
    <w:rsid w:val="002924CD"/>
    <w:rsid w:val="00292889"/>
    <w:rsid w:val="00292C1C"/>
    <w:rsid w:val="00292E2E"/>
    <w:rsid w:val="002935A3"/>
    <w:rsid w:val="00293B12"/>
    <w:rsid w:val="00293E0C"/>
    <w:rsid w:val="002949D5"/>
    <w:rsid w:val="002949E5"/>
    <w:rsid w:val="00294B3D"/>
    <w:rsid w:val="002954F5"/>
    <w:rsid w:val="002959D7"/>
    <w:rsid w:val="00295C50"/>
    <w:rsid w:val="00297C95"/>
    <w:rsid w:val="002A077D"/>
    <w:rsid w:val="002A0A2F"/>
    <w:rsid w:val="002A0BF3"/>
    <w:rsid w:val="002A0E86"/>
    <w:rsid w:val="002A15A2"/>
    <w:rsid w:val="002A1846"/>
    <w:rsid w:val="002A1A9F"/>
    <w:rsid w:val="002A1F71"/>
    <w:rsid w:val="002A216F"/>
    <w:rsid w:val="002A2D4E"/>
    <w:rsid w:val="002A2EF9"/>
    <w:rsid w:val="002A3555"/>
    <w:rsid w:val="002A3B0F"/>
    <w:rsid w:val="002A3D28"/>
    <w:rsid w:val="002A3E71"/>
    <w:rsid w:val="002A5C31"/>
    <w:rsid w:val="002A62FA"/>
    <w:rsid w:val="002A6F44"/>
    <w:rsid w:val="002A72CC"/>
    <w:rsid w:val="002A7A55"/>
    <w:rsid w:val="002A7BCB"/>
    <w:rsid w:val="002A7DBD"/>
    <w:rsid w:val="002A7F93"/>
    <w:rsid w:val="002A7FFA"/>
    <w:rsid w:val="002B0349"/>
    <w:rsid w:val="002B04D9"/>
    <w:rsid w:val="002B081E"/>
    <w:rsid w:val="002B0F89"/>
    <w:rsid w:val="002B1250"/>
    <w:rsid w:val="002B14AB"/>
    <w:rsid w:val="002B1936"/>
    <w:rsid w:val="002B1FB9"/>
    <w:rsid w:val="002B2084"/>
    <w:rsid w:val="002B21B0"/>
    <w:rsid w:val="002B2D34"/>
    <w:rsid w:val="002B34D6"/>
    <w:rsid w:val="002B3AF0"/>
    <w:rsid w:val="002B405C"/>
    <w:rsid w:val="002B4080"/>
    <w:rsid w:val="002B437F"/>
    <w:rsid w:val="002B4616"/>
    <w:rsid w:val="002B4CF7"/>
    <w:rsid w:val="002B585D"/>
    <w:rsid w:val="002B59E1"/>
    <w:rsid w:val="002B6B00"/>
    <w:rsid w:val="002B735F"/>
    <w:rsid w:val="002B78C5"/>
    <w:rsid w:val="002B7E2F"/>
    <w:rsid w:val="002B7F19"/>
    <w:rsid w:val="002C00C7"/>
    <w:rsid w:val="002C0971"/>
    <w:rsid w:val="002C0DB4"/>
    <w:rsid w:val="002C1042"/>
    <w:rsid w:val="002C14D2"/>
    <w:rsid w:val="002C37BB"/>
    <w:rsid w:val="002C4C6C"/>
    <w:rsid w:val="002C503D"/>
    <w:rsid w:val="002C5AFA"/>
    <w:rsid w:val="002C5B3A"/>
    <w:rsid w:val="002C5DF6"/>
    <w:rsid w:val="002C6098"/>
    <w:rsid w:val="002C6813"/>
    <w:rsid w:val="002C6A31"/>
    <w:rsid w:val="002C73F2"/>
    <w:rsid w:val="002C7D09"/>
    <w:rsid w:val="002D0065"/>
    <w:rsid w:val="002D10E6"/>
    <w:rsid w:val="002D165F"/>
    <w:rsid w:val="002D1792"/>
    <w:rsid w:val="002D2220"/>
    <w:rsid w:val="002D241C"/>
    <w:rsid w:val="002D2924"/>
    <w:rsid w:val="002D31BA"/>
    <w:rsid w:val="002D38BD"/>
    <w:rsid w:val="002D3A2E"/>
    <w:rsid w:val="002D3D09"/>
    <w:rsid w:val="002D3FD0"/>
    <w:rsid w:val="002D42C5"/>
    <w:rsid w:val="002D4D90"/>
    <w:rsid w:val="002D5342"/>
    <w:rsid w:val="002D685B"/>
    <w:rsid w:val="002D6AA6"/>
    <w:rsid w:val="002D6E3B"/>
    <w:rsid w:val="002D7A26"/>
    <w:rsid w:val="002D7A8D"/>
    <w:rsid w:val="002E0089"/>
    <w:rsid w:val="002E0323"/>
    <w:rsid w:val="002E1147"/>
    <w:rsid w:val="002E14A9"/>
    <w:rsid w:val="002E1764"/>
    <w:rsid w:val="002E2736"/>
    <w:rsid w:val="002E2A6B"/>
    <w:rsid w:val="002E304C"/>
    <w:rsid w:val="002E32D3"/>
    <w:rsid w:val="002E3986"/>
    <w:rsid w:val="002E50BF"/>
    <w:rsid w:val="002E546F"/>
    <w:rsid w:val="002E54E2"/>
    <w:rsid w:val="002E61AE"/>
    <w:rsid w:val="002E642B"/>
    <w:rsid w:val="002E6501"/>
    <w:rsid w:val="002E658A"/>
    <w:rsid w:val="002E7425"/>
    <w:rsid w:val="002E7C02"/>
    <w:rsid w:val="002F1634"/>
    <w:rsid w:val="002F1774"/>
    <w:rsid w:val="002F1F35"/>
    <w:rsid w:val="002F239B"/>
    <w:rsid w:val="002F25B4"/>
    <w:rsid w:val="002F2C2D"/>
    <w:rsid w:val="002F2E5C"/>
    <w:rsid w:val="002F2FF1"/>
    <w:rsid w:val="002F32E8"/>
    <w:rsid w:val="002F36A4"/>
    <w:rsid w:val="002F3ABC"/>
    <w:rsid w:val="002F568D"/>
    <w:rsid w:val="002F56C0"/>
    <w:rsid w:val="002F5B3E"/>
    <w:rsid w:val="002F7028"/>
    <w:rsid w:val="002F71BC"/>
    <w:rsid w:val="002F7FE2"/>
    <w:rsid w:val="00300D45"/>
    <w:rsid w:val="00300DB0"/>
    <w:rsid w:val="00301326"/>
    <w:rsid w:val="00301A4F"/>
    <w:rsid w:val="00301C3C"/>
    <w:rsid w:val="00303434"/>
    <w:rsid w:val="003035AC"/>
    <w:rsid w:val="00303674"/>
    <w:rsid w:val="00303D9B"/>
    <w:rsid w:val="00303EEA"/>
    <w:rsid w:val="00304F9A"/>
    <w:rsid w:val="00305C73"/>
    <w:rsid w:val="0030653D"/>
    <w:rsid w:val="003069D0"/>
    <w:rsid w:val="00306B6A"/>
    <w:rsid w:val="00306BF7"/>
    <w:rsid w:val="003074CA"/>
    <w:rsid w:val="0031048C"/>
    <w:rsid w:val="0031054B"/>
    <w:rsid w:val="00310B64"/>
    <w:rsid w:val="00310D55"/>
    <w:rsid w:val="00311142"/>
    <w:rsid w:val="003114E3"/>
    <w:rsid w:val="003119D2"/>
    <w:rsid w:val="00311EEA"/>
    <w:rsid w:val="00312211"/>
    <w:rsid w:val="0031281B"/>
    <w:rsid w:val="00312BA9"/>
    <w:rsid w:val="0031329E"/>
    <w:rsid w:val="00313577"/>
    <w:rsid w:val="00313B5D"/>
    <w:rsid w:val="00314454"/>
    <w:rsid w:val="00314989"/>
    <w:rsid w:val="00314C25"/>
    <w:rsid w:val="00315A64"/>
    <w:rsid w:val="00315E08"/>
    <w:rsid w:val="003172AB"/>
    <w:rsid w:val="003204DE"/>
    <w:rsid w:val="00320B54"/>
    <w:rsid w:val="003213B3"/>
    <w:rsid w:val="00321FBA"/>
    <w:rsid w:val="003224DC"/>
    <w:rsid w:val="003233D4"/>
    <w:rsid w:val="00323609"/>
    <w:rsid w:val="003252C5"/>
    <w:rsid w:val="0032535D"/>
    <w:rsid w:val="00325A18"/>
    <w:rsid w:val="00325DF0"/>
    <w:rsid w:val="0032604A"/>
    <w:rsid w:val="003268C2"/>
    <w:rsid w:val="00326EA0"/>
    <w:rsid w:val="00326F06"/>
    <w:rsid w:val="003278A5"/>
    <w:rsid w:val="00330029"/>
    <w:rsid w:val="0033059C"/>
    <w:rsid w:val="003307DB"/>
    <w:rsid w:val="003309AB"/>
    <w:rsid w:val="00330F1F"/>
    <w:rsid w:val="003315F8"/>
    <w:rsid w:val="0033194A"/>
    <w:rsid w:val="00331B32"/>
    <w:rsid w:val="003321E8"/>
    <w:rsid w:val="0033229C"/>
    <w:rsid w:val="00332601"/>
    <w:rsid w:val="00333AD5"/>
    <w:rsid w:val="00333FDF"/>
    <w:rsid w:val="003343BB"/>
    <w:rsid w:val="003343FD"/>
    <w:rsid w:val="003349AC"/>
    <w:rsid w:val="00334BEF"/>
    <w:rsid w:val="0033558E"/>
    <w:rsid w:val="003357BA"/>
    <w:rsid w:val="003358AA"/>
    <w:rsid w:val="00336616"/>
    <w:rsid w:val="00336D7A"/>
    <w:rsid w:val="003411F8"/>
    <w:rsid w:val="003420B2"/>
    <w:rsid w:val="00342174"/>
    <w:rsid w:val="003423F3"/>
    <w:rsid w:val="0034290F"/>
    <w:rsid w:val="00342A54"/>
    <w:rsid w:val="0034348B"/>
    <w:rsid w:val="003441A7"/>
    <w:rsid w:val="0034431B"/>
    <w:rsid w:val="003444CD"/>
    <w:rsid w:val="003445A4"/>
    <w:rsid w:val="00344739"/>
    <w:rsid w:val="00344E92"/>
    <w:rsid w:val="0034529D"/>
    <w:rsid w:val="003453A5"/>
    <w:rsid w:val="00345C27"/>
    <w:rsid w:val="00345C9A"/>
    <w:rsid w:val="00345DDC"/>
    <w:rsid w:val="00345F7C"/>
    <w:rsid w:val="00346054"/>
    <w:rsid w:val="00346A9E"/>
    <w:rsid w:val="0034724A"/>
    <w:rsid w:val="003479B0"/>
    <w:rsid w:val="003501BE"/>
    <w:rsid w:val="0035103A"/>
    <w:rsid w:val="0035124E"/>
    <w:rsid w:val="00351297"/>
    <w:rsid w:val="00351717"/>
    <w:rsid w:val="003518B2"/>
    <w:rsid w:val="003519A3"/>
    <w:rsid w:val="00351CB3"/>
    <w:rsid w:val="00351CE2"/>
    <w:rsid w:val="00352A61"/>
    <w:rsid w:val="003530FA"/>
    <w:rsid w:val="003533C7"/>
    <w:rsid w:val="00353F91"/>
    <w:rsid w:val="003554E9"/>
    <w:rsid w:val="003555FC"/>
    <w:rsid w:val="00355857"/>
    <w:rsid w:val="0035591F"/>
    <w:rsid w:val="00355BD2"/>
    <w:rsid w:val="00355D23"/>
    <w:rsid w:val="003563D6"/>
    <w:rsid w:val="0035713C"/>
    <w:rsid w:val="003574DB"/>
    <w:rsid w:val="00360996"/>
    <w:rsid w:val="00360EED"/>
    <w:rsid w:val="00361370"/>
    <w:rsid w:val="00361620"/>
    <w:rsid w:val="00361CFC"/>
    <w:rsid w:val="00361E1E"/>
    <w:rsid w:val="00361E20"/>
    <w:rsid w:val="00362A50"/>
    <w:rsid w:val="0036408A"/>
    <w:rsid w:val="00364A2F"/>
    <w:rsid w:val="003652CF"/>
    <w:rsid w:val="00365361"/>
    <w:rsid w:val="00365757"/>
    <w:rsid w:val="00365B1A"/>
    <w:rsid w:val="00365B5F"/>
    <w:rsid w:val="00365DDE"/>
    <w:rsid w:val="00365E63"/>
    <w:rsid w:val="0036663F"/>
    <w:rsid w:val="00366A53"/>
    <w:rsid w:val="0037013F"/>
    <w:rsid w:val="003706A2"/>
    <w:rsid w:val="003707A9"/>
    <w:rsid w:val="00371062"/>
    <w:rsid w:val="00371562"/>
    <w:rsid w:val="0037184E"/>
    <w:rsid w:val="00371B81"/>
    <w:rsid w:val="003722C3"/>
    <w:rsid w:val="00372C13"/>
    <w:rsid w:val="00372C4C"/>
    <w:rsid w:val="00372FCE"/>
    <w:rsid w:val="00372FD7"/>
    <w:rsid w:val="00373C41"/>
    <w:rsid w:val="00373D95"/>
    <w:rsid w:val="00373DAA"/>
    <w:rsid w:val="003744F9"/>
    <w:rsid w:val="003746BF"/>
    <w:rsid w:val="00374DF3"/>
    <w:rsid w:val="00374E44"/>
    <w:rsid w:val="00375940"/>
    <w:rsid w:val="00375C22"/>
    <w:rsid w:val="00376C65"/>
    <w:rsid w:val="00377C4E"/>
    <w:rsid w:val="00377C76"/>
    <w:rsid w:val="0038068A"/>
    <w:rsid w:val="00380C33"/>
    <w:rsid w:val="00380F5B"/>
    <w:rsid w:val="00382052"/>
    <w:rsid w:val="0038232E"/>
    <w:rsid w:val="003825E9"/>
    <w:rsid w:val="00382610"/>
    <w:rsid w:val="00382E48"/>
    <w:rsid w:val="003832FF"/>
    <w:rsid w:val="0038341D"/>
    <w:rsid w:val="0038347C"/>
    <w:rsid w:val="00384147"/>
    <w:rsid w:val="00384E76"/>
    <w:rsid w:val="00385169"/>
    <w:rsid w:val="00385A57"/>
    <w:rsid w:val="00385E97"/>
    <w:rsid w:val="00385EF1"/>
    <w:rsid w:val="0038689C"/>
    <w:rsid w:val="00387075"/>
    <w:rsid w:val="00390394"/>
    <w:rsid w:val="00390823"/>
    <w:rsid w:val="0039170C"/>
    <w:rsid w:val="0039245E"/>
    <w:rsid w:val="0039270E"/>
    <w:rsid w:val="003931AB"/>
    <w:rsid w:val="003931DA"/>
    <w:rsid w:val="0039344E"/>
    <w:rsid w:val="003938B9"/>
    <w:rsid w:val="00394447"/>
    <w:rsid w:val="00394699"/>
    <w:rsid w:val="00394901"/>
    <w:rsid w:val="0039518A"/>
    <w:rsid w:val="003958A4"/>
    <w:rsid w:val="00395989"/>
    <w:rsid w:val="00395AC2"/>
    <w:rsid w:val="00395C78"/>
    <w:rsid w:val="00395E3D"/>
    <w:rsid w:val="00395FBC"/>
    <w:rsid w:val="003962B3"/>
    <w:rsid w:val="003962F1"/>
    <w:rsid w:val="003968E0"/>
    <w:rsid w:val="00396DCF"/>
    <w:rsid w:val="0039750A"/>
    <w:rsid w:val="00397522"/>
    <w:rsid w:val="00397966"/>
    <w:rsid w:val="00397E04"/>
    <w:rsid w:val="00397E4A"/>
    <w:rsid w:val="003A0A7E"/>
    <w:rsid w:val="003A0C47"/>
    <w:rsid w:val="003A0CED"/>
    <w:rsid w:val="003A188D"/>
    <w:rsid w:val="003A1A75"/>
    <w:rsid w:val="003A2068"/>
    <w:rsid w:val="003A210A"/>
    <w:rsid w:val="003A21C5"/>
    <w:rsid w:val="003A28E9"/>
    <w:rsid w:val="003A324B"/>
    <w:rsid w:val="003A33FA"/>
    <w:rsid w:val="003A3AD0"/>
    <w:rsid w:val="003A413D"/>
    <w:rsid w:val="003A4B7F"/>
    <w:rsid w:val="003A4D89"/>
    <w:rsid w:val="003A5AE8"/>
    <w:rsid w:val="003A5C3D"/>
    <w:rsid w:val="003A68F7"/>
    <w:rsid w:val="003A6D10"/>
    <w:rsid w:val="003A7495"/>
    <w:rsid w:val="003A7F64"/>
    <w:rsid w:val="003B0440"/>
    <w:rsid w:val="003B0EC8"/>
    <w:rsid w:val="003B123B"/>
    <w:rsid w:val="003B171B"/>
    <w:rsid w:val="003B1ADE"/>
    <w:rsid w:val="003B1E72"/>
    <w:rsid w:val="003B21FD"/>
    <w:rsid w:val="003B2364"/>
    <w:rsid w:val="003B3B76"/>
    <w:rsid w:val="003B419D"/>
    <w:rsid w:val="003B4794"/>
    <w:rsid w:val="003B4940"/>
    <w:rsid w:val="003B5059"/>
    <w:rsid w:val="003B51B5"/>
    <w:rsid w:val="003B5AEC"/>
    <w:rsid w:val="003B60F2"/>
    <w:rsid w:val="003B693B"/>
    <w:rsid w:val="003B6E66"/>
    <w:rsid w:val="003B6FE3"/>
    <w:rsid w:val="003B7CA0"/>
    <w:rsid w:val="003B7F17"/>
    <w:rsid w:val="003C0CC9"/>
    <w:rsid w:val="003C12DF"/>
    <w:rsid w:val="003C13A8"/>
    <w:rsid w:val="003C1620"/>
    <w:rsid w:val="003C19CC"/>
    <w:rsid w:val="003C1E63"/>
    <w:rsid w:val="003C2559"/>
    <w:rsid w:val="003C25E8"/>
    <w:rsid w:val="003C2751"/>
    <w:rsid w:val="003C2EE8"/>
    <w:rsid w:val="003C3163"/>
    <w:rsid w:val="003C32B8"/>
    <w:rsid w:val="003C4594"/>
    <w:rsid w:val="003C467F"/>
    <w:rsid w:val="003C4709"/>
    <w:rsid w:val="003C4BED"/>
    <w:rsid w:val="003C4D76"/>
    <w:rsid w:val="003C51F0"/>
    <w:rsid w:val="003C5BF0"/>
    <w:rsid w:val="003C5C68"/>
    <w:rsid w:val="003C60BB"/>
    <w:rsid w:val="003C611F"/>
    <w:rsid w:val="003C75BE"/>
    <w:rsid w:val="003C7AEA"/>
    <w:rsid w:val="003C7B5A"/>
    <w:rsid w:val="003D0206"/>
    <w:rsid w:val="003D0241"/>
    <w:rsid w:val="003D0689"/>
    <w:rsid w:val="003D119E"/>
    <w:rsid w:val="003D14F8"/>
    <w:rsid w:val="003D1504"/>
    <w:rsid w:val="003D18D1"/>
    <w:rsid w:val="003D2BF6"/>
    <w:rsid w:val="003D2C62"/>
    <w:rsid w:val="003D2F47"/>
    <w:rsid w:val="003D37D3"/>
    <w:rsid w:val="003D3F52"/>
    <w:rsid w:val="003D40DC"/>
    <w:rsid w:val="003D4B44"/>
    <w:rsid w:val="003D4C38"/>
    <w:rsid w:val="003D4FBF"/>
    <w:rsid w:val="003D56BD"/>
    <w:rsid w:val="003D5DD9"/>
    <w:rsid w:val="003D609A"/>
    <w:rsid w:val="003D6AD5"/>
    <w:rsid w:val="003D7721"/>
    <w:rsid w:val="003D7B9A"/>
    <w:rsid w:val="003E0211"/>
    <w:rsid w:val="003E05F0"/>
    <w:rsid w:val="003E0645"/>
    <w:rsid w:val="003E0771"/>
    <w:rsid w:val="003E0A6D"/>
    <w:rsid w:val="003E0DE7"/>
    <w:rsid w:val="003E0F9E"/>
    <w:rsid w:val="003E126F"/>
    <w:rsid w:val="003E181D"/>
    <w:rsid w:val="003E1848"/>
    <w:rsid w:val="003E187A"/>
    <w:rsid w:val="003E1AFB"/>
    <w:rsid w:val="003E1CF5"/>
    <w:rsid w:val="003E1F35"/>
    <w:rsid w:val="003E2FC0"/>
    <w:rsid w:val="003E3B8A"/>
    <w:rsid w:val="003E3E0A"/>
    <w:rsid w:val="003E4A85"/>
    <w:rsid w:val="003E5549"/>
    <w:rsid w:val="003E5BEB"/>
    <w:rsid w:val="003E5EF8"/>
    <w:rsid w:val="003E614F"/>
    <w:rsid w:val="003E6975"/>
    <w:rsid w:val="003E6E79"/>
    <w:rsid w:val="003E720F"/>
    <w:rsid w:val="003E7AB3"/>
    <w:rsid w:val="003E7E97"/>
    <w:rsid w:val="003F039C"/>
    <w:rsid w:val="003F160E"/>
    <w:rsid w:val="003F1AC8"/>
    <w:rsid w:val="003F276D"/>
    <w:rsid w:val="003F2E1F"/>
    <w:rsid w:val="003F3A5B"/>
    <w:rsid w:val="003F489E"/>
    <w:rsid w:val="003F4993"/>
    <w:rsid w:val="003F4DD1"/>
    <w:rsid w:val="003F5297"/>
    <w:rsid w:val="003F5656"/>
    <w:rsid w:val="003F589D"/>
    <w:rsid w:val="003F5CF3"/>
    <w:rsid w:val="003F5E05"/>
    <w:rsid w:val="003F613C"/>
    <w:rsid w:val="003F64AF"/>
    <w:rsid w:val="003F65A4"/>
    <w:rsid w:val="003F6896"/>
    <w:rsid w:val="003F6B27"/>
    <w:rsid w:val="003F6CA6"/>
    <w:rsid w:val="003F7507"/>
    <w:rsid w:val="003F7691"/>
    <w:rsid w:val="003F7F51"/>
    <w:rsid w:val="00400454"/>
    <w:rsid w:val="004006A1"/>
    <w:rsid w:val="00400DC2"/>
    <w:rsid w:val="00401C18"/>
    <w:rsid w:val="00402318"/>
    <w:rsid w:val="0040253E"/>
    <w:rsid w:val="00402818"/>
    <w:rsid w:val="0040294D"/>
    <w:rsid w:val="00402B30"/>
    <w:rsid w:val="00402FA1"/>
    <w:rsid w:val="0040352C"/>
    <w:rsid w:val="0040395A"/>
    <w:rsid w:val="00403AAB"/>
    <w:rsid w:val="00405503"/>
    <w:rsid w:val="00405A47"/>
    <w:rsid w:val="004067DC"/>
    <w:rsid w:val="00406818"/>
    <w:rsid w:val="00407384"/>
    <w:rsid w:val="00407A84"/>
    <w:rsid w:val="00407AC5"/>
    <w:rsid w:val="00410378"/>
    <w:rsid w:val="00410B53"/>
    <w:rsid w:val="0041123C"/>
    <w:rsid w:val="004119D1"/>
    <w:rsid w:val="004125BE"/>
    <w:rsid w:val="004127DF"/>
    <w:rsid w:val="004130C1"/>
    <w:rsid w:val="00413997"/>
    <w:rsid w:val="00413A13"/>
    <w:rsid w:val="00414BCC"/>
    <w:rsid w:val="004151A6"/>
    <w:rsid w:val="004157AA"/>
    <w:rsid w:val="00415F49"/>
    <w:rsid w:val="004162E0"/>
    <w:rsid w:val="0041633B"/>
    <w:rsid w:val="004169CC"/>
    <w:rsid w:val="00416E3B"/>
    <w:rsid w:val="00417157"/>
    <w:rsid w:val="00417A8C"/>
    <w:rsid w:val="00417F5F"/>
    <w:rsid w:val="00420343"/>
    <w:rsid w:val="00420587"/>
    <w:rsid w:val="00420C54"/>
    <w:rsid w:val="00420DF2"/>
    <w:rsid w:val="00421A2E"/>
    <w:rsid w:val="004229EA"/>
    <w:rsid w:val="00422F8A"/>
    <w:rsid w:val="004234FD"/>
    <w:rsid w:val="00423912"/>
    <w:rsid w:val="00424F1C"/>
    <w:rsid w:val="004257D8"/>
    <w:rsid w:val="00427044"/>
    <w:rsid w:val="004270DE"/>
    <w:rsid w:val="00427907"/>
    <w:rsid w:val="00430392"/>
    <w:rsid w:val="00431352"/>
    <w:rsid w:val="00431567"/>
    <w:rsid w:val="00431A14"/>
    <w:rsid w:val="00431A9F"/>
    <w:rsid w:val="0043257B"/>
    <w:rsid w:val="0043295E"/>
    <w:rsid w:val="00432AE5"/>
    <w:rsid w:val="004333EE"/>
    <w:rsid w:val="00433CA2"/>
    <w:rsid w:val="004341C5"/>
    <w:rsid w:val="004345F2"/>
    <w:rsid w:val="004349A8"/>
    <w:rsid w:val="0043500D"/>
    <w:rsid w:val="00436569"/>
    <w:rsid w:val="0043698C"/>
    <w:rsid w:val="00437C0B"/>
    <w:rsid w:val="00437C89"/>
    <w:rsid w:val="00437D18"/>
    <w:rsid w:val="00437EC6"/>
    <w:rsid w:val="00440963"/>
    <w:rsid w:val="00441011"/>
    <w:rsid w:val="00441DD4"/>
    <w:rsid w:val="00441FB2"/>
    <w:rsid w:val="00442276"/>
    <w:rsid w:val="00442426"/>
    <w:rsid w:val="00442972"/>
    <w:rsid w:val="00442BAF"/>
    <w:rsid w:val="00443108"/>
    <w:rsid w:val="00443429"/>
    <w:rsid w:val="00443684"/>
    <w:rsid w:val="00443970"/>
    <w:rsid w:val="00443C82"/>
    <w:rsid w:val="00443EDA"/>
    <w:rsid w:val="0044529A"/>
    <w:rsid w:val="004458FB"/>
    <w:rsid w:val="00445A18"/>
    <w:rsid w:val="00445BC9"/>
    <w:rsid w:val="004466BC"/>
    <w:rsid w:val="00446791"/>
    <w:rsid w:val="0044685C"/>
    <w:rsid w:val="004473A2"/>
    <w:rsid w:val="00447A84"/>
    <w:rsid w:val="00451B57"/>
    <w:rsid w:val="004524F7"/>
    <w:rsid w:val="00452D11"/>
    <w:rsid w:val="004533FA"/>
    <w:rsid w:val="00453B3E"/>
    <w:rsid w:val="00453D8C"/>
    <w:rsid w:val="00454755"/>
    <w:rsid w:val="00454E62"/>
    <w:rsid w:val="00454FE7"/>
    <w:rsid w:val="004550B6"/>
    <w:rsid w:val="004556EA"/>
    <w:rsid w:val="004558CF"/>
    <w:rsid w:val="00456168"/>
    <w:rsid w:val="004564C3"/>
    <w:rsid w:val="004567C7"/>
    <w:rsid w:val="00457706"/>
    <w:rsid w:val="0046021C"/>
    <w:rsid w:val="0046033D"/>
    <w:rsid w:val="004603B8"/>
    <w:rsid w:val="00460711"/>
    <w:rsid w:val="00460B56"/>
    <w:rsid w:val="00461039"/>
    <w:rsid w:val="004610E3"/>
    <w:rsid w:val="0046148D"/>
    <w:rsid w:val="0046171C"/>
    <w:rsid w:val="0046202A"/>
    <w:rsid w:val="00462824"/>
    <w:rsid w:val="0046284C"/>
    <w:rsid w:val="00462B8A"/>
    <w:rsid w:val="004638AF"/>
    <w:rsid w:val="004648A9"/>
    <w:rsid w:val="004657F2"/>
    <w:rsid w:val="004668AA"/>
    <w:rsid w:val="00466A47"/>
    <w:rsid w:val="0046723E"/>
    <w:rsid w:val="0046746B"/>
    <w:rsid w:val="00470733"/>
    <w:rsid w:val="00470F3A"/>
    <w:rsid w:val="004712D9"/>
    <w:rsid w:val="004715AF"/>
    <w:rsid w:val="004720FD"/>
    <w:rsid w:val="004720FE"/>
    <w:rsid w:val="0047298E"/>
    <w:rsid w:val="004730D0"/>
    <w:rsid w:val="00473408"/>
    <w:rsid w:val="00473976"/>
    <w:rsid w:val="00473C05"/>
    <w:rsid w:val="00473FC1"/>
    <w:rsid w:val="00474434"/>
    <w:rsid w:val="00474663"/>
    <w:rsid w:val="00475977"/>
    <w:rsid w:val="00476A6F"/>
    <w:rsid w:val="00476E24"/>
    <w:rsid w:val="004811D6"/>
    <w:rsid w:val="004813FE"/>
    <w:rsid w:val="00481686"/>
    <w:rsid w:val="0048185A"/>
    <w:rsid w:val="00481B88"/>
    <w:rsid w:val="0048202C"/>
    <w:rsid w:val="0048212D"/>
    <w:rsid w:val="0048302E"/>
    <w:rsid w:val="00483672"/>
    <w:rsid w:val="004839B3"/>
    <w:rsid w:val="004841DF"/>
    <w:rsid w:val="004854B4"/>
    <w:rsid w:val="004858DC"/>
    <w:rsid w:val="00485C8E"/>
    <w:rsid w:val="00485DA8"/>
    <w:rsid w:val="00485F35"/>
    <w:rsid w:val="004860CE"/>
    <w:rsid w:val="00486CF4"/>
    <w:rsid w:val="00486DEC"/>
    <w:rsid w:val="00487219"/>
    <w:rsid w:val="0048793F"/>
    <w:rsid w:val="00487AD8"/>
    <w:rsid w:val="00490355"/>
    <w:rsid w:val="0049045C"/>
    <w:rsid w:val="00490485"/>
    <w:rsid w:val="00490994"/>
    <w:rsid w:val="00491037"/>
    <w:rsid w:val="0049114E"/>
    <w:rsid w:val="00492342"/>
    <w:rsid w:val="00492444"/>
    <w:rsid w:val="00492654"/>
    <w:rsid w:val="00493364"/>
    <w:rsid w:val="004938A0"/>
    <w:rsid w:val="00493CFD"/>
    <w:rsid w:val="0049432E"/>
    <w:rsid w:val="00494410"/>
    <w:rsid w:val="004945A8"/>
    <w:rsid w:val="0049580F"/>
    <w:rsid w:val="0049585F"/>
    <w:rsid w:val="004958CF"/>
    <w:rsid w:val="00495F98"/>
    <w:rsid w:val="00496905"/>
    <w:rsid w:val="00496B15"/>
    <w:rsid w:val="00496C7E"/>
    <w:rsid w:val="00496D41"/>
    <w:rsid w:val="00496DD9"/>
    <w:rsid w:val="0049717B"/>
    <w:rsid w:val="004973F3"/>
    <w:rsid w:val="004A135B"/>
    <w:rsid w:val="004A186A"/>
    <w:rsid w:val="004A21CA"/>
    <w:rsid w:val="004A2270"/>
    <w:rsid w:val="004A246F"/>
    <w:rsid w:val="004A26C7"/>
    <w:rsid w:val="004A3CFB"/>
    <w:rsid w:val="004A43BF"/>
    <w:rsid w:val="004A45AB"/>
    <w:rsid w:val="004A4763"/>
    <w:rsid w:val="004A4866"/>
    <w:rsid w:val="004A4A43"/>
    <w:rsid w:val="004A4CB5"/>
    <w:rsid w:val="004A4ED0"/>
    <w:rsid w:val="004A51DE"/>
    <w:rsid w:val="004A537B"/>
    <w:rsid w:val="004A554A"/>
    <w:rsid w:val="004A5E4C"/>
    <w:rsid w:val="004A5EAD"/>
    <w:rsid w:val="004A6088"/>
    <w:rsid w:val="004A63EF"/>
    <w:rsid w:val="004A6551"/>
    <w:rsid w:val="004A6641"/>
    <w:rsid w:val="004A6810"/>
    <w:rsid w:val="004A69F8"/>
    <w:rsid w:val="004B00F7"/>
    <w:rsid w:val="004B0898"/>
    <w:rsid w:val="004B0C98"/>
    <w:rsid w:val="004B13FC"/>
    <w:rsid w:val="004B16FC"/>
    <w:rsid w:val="004B1915"/>
    <w:rsid w:val="004B20E1"/>
    <w:rsid w:val="004B2321"/>
    <w:rsid w:val="004B2D52"/>
    <w:rsid w:val="004B34C2"/>
    <w:rsid w:val="004B3598"/>
    <w:rsid w:val="004B47C6"/>
    <w:rsid w:val="004B4FFD"/>
    <w:rsid w:val="004B5D29"/>
    <w:rsid w:val="004B6E3C"/>
    <w:rsid w:val="004B72A7"/>
    <w:rsid w:val="004B7424"/>
    <w:rsid w:val="004B7F7C"/>
    <w:rsid w:val="004C0234"/>
    <w:rsid w:val="004C0739"/>
    <w:rsid w:val="004C0B07"/>
    <w:rsid w:val="004C1330"/>
    <w:rsid w:val="004C18BD"/>
    <w:rsid w:val="004C1E05"/>
    <w:rsid w:val="004C2040"/>
    <w:rsid w:val="004C213F"/>
    <w:rsid w:val="004C2255"/>
    <w:rsid w:val="004C22C9"/>
    <w:rsid w:val="004C22E8"/>
    <w:rsid w:val="004C2437"/>
    <w:rsid w:val="004C27A0"/>
    <w:rsid w:val="004C327E"/>
    <w:rsid w:val="004C3BE4"/>
    <w:rsid w:val="004C3C38"/>
    <w:rsid w:val="004C4F79"/>
    <w:rsid w:val="004C4FAF"/>
    <w:rsid w:val="004C552D"/>
    <w:rsid w:val="004C599B"/>
    <w:rsid w:val="004C5A9D"/>
    <w:rsid w:val="004C695F"/>
    <w:rsid w:val="004C6E2E"/>
    <w:rsid w:val="004C6EA7"/>
    <w:rsid w:val="004C6F6D"/>
    <w:rsid w:val="004C70BD"/>
    <w:rsid w:val="004C7295"/>
    <w:rsid w:val="004D001B"/>
    <w:rsid w:val="004D081F"/>
    <w:rsid w:val="004D0D95"/>
    <w:rsid w:val="004D19DF"/>
    <w:rsid w:val="004D1A16"/>
    <w:rsid w:val="004D2629"/>
    <w:rsid w:val="004D3390"/>
    <w:rsid w:val="004D3FB1"/>
    <w:rsid w:val="004D3FE4"/>
    <w:rsid w:val="004D43CB"/>
    <w:rsid w:val="004D45EF"/>
    <w:rsid w:val="004D4D79"/>
    <w:rsid w:val="004D5100"/>
    <w:rsid w:val="004D5653"/>
    <w:rsid w:val="004D6946"/>
    <w:rsid w:val="004D6B8C"/>
    <w:rsid w:val="004D6BDE"/>
    <w:rsid w:val="004D6C10"/>
    <w:rsid w:val="004D6F02"/>
    <w:rsid w:val="004D7D23"/>
    <w:rsid w:val="004D7E9C"/>
    <w:rsid w:val="004E0617"/>
    <w:rsid w:val="004E078B"/>
    <w:rsid w:val="004E0D72"/>
    <w:rsid w:val="004E1056"/>
    <w:rsid w:val="004E19DC"/>
    <w:rsid w:val="004E1A60"/>
    <w:rsid w:val="004E239C"/>
    <w:rsid w:val="004E26B4"/>
    <w:rsid w:val="004E4051"/>
    <w:rsid w:val="004E4122"/>
    <w:rsid w:val="004E4198"/>
    <w:rsid w:val="004E4372"/>
    <w:rsid w:val="004E456E"/>
    <w:rsid w:val="004E503E"/>
    <w:rsid w:val="004E52E2"/>
    <w:rsid w:val="004E56E8"/>
    <w:rsid w:val="004E5841"/>
    <w:rsid w:val="004E5CCA"/>
    <w:rsid w:val="004E5D80"/>
    <w:rsid w:val="004E7F81"/>
    <w:rsid w:val="004F05FF"/>
    <w:rsid w:val="004F086D"/>
    <w:rsid w:val="004F0AEA"/>
    <w:rsid w:val="004F0EA4"/>
    <w:rsid w:val="004F1096"/>
    <w:rsid w:val="004F10D8"/>
    <w:rsid w:val="004F1BAF"/>
    <w:rsid w:val="004F221C"/>
    <w:rsid w:val="004F24D2"/>
    <w:rsid w:val="004F302F"/>
    <w:rsid w:val="004F37B5"/>
    <w:rsid w:val="004F41B2"/>
    <w:rsid w:val="004F43D6"/>
    <w:rsid w:val="004F4867"/>
    <w:rsid w:val="004F4CA8"/>
    <w:rsid w:val="004F4E93"/>
    <w:rsid w:val="004F4EDA"/>
    <w:rsid w:val="004F5B02"/>
    <w:rsid w:val="004F5F69"/>
    <w:rsid w:val="004F65F8"/>
    <w:rsid w:val="004F6642"/>
    <w:rsid w:val="004F7A30"/>
    <w:rsid w:val="004F7D73"/>
    <w:rsid w:val="004F7FA2"/>
    <w:rsid w:val="004F7FEE"/>
    <w:rsid w:val="00500799"/>
    <w:rsid w:val="00500C0F"/>
    <w:rsid w:val="005011D7"/>
    <w:rsid w:val="005012AE"/>
    <w:rsid w:val="00502154"/>
    <w:rsid w:val="00502ADD"/>
    <w:rsid w:val="00502F5D"/>
    <w:rsid w:val="00503044"/>
    <w:rsid w:val="0050322C"/>
    <w:rsid w:val="00503D8D"/>
    <w:rsid w:val="00503EC7"/>
    <w:rsid w:val="00504369"/>
    <w:rsid w:val="0050448A"/>
    <w:rsid w:val="005047A2"/>
    <w:rsid w:val="00504850"/>
    <w:rsid w:val="00504BB6"/>
    <w:rsid w:val="0050546A"/>
    <w:rsid w:val="0050548A"/>
    <w:rsid w:val="0050590A"/>
    <w:rsid w:val="00506042"/>
    <w:rsid w:val="00506AE7"/>
    <w:rsid w:val="00506DD4"/>
    <w:rsid w:val="005070FB"/>
    <w:rsid w:val="00507BB9"/>
    <w:rsid w:val="00510935"/>
    <w:rsid w:val="0051093E"/>
    <w:rsid w:val="0051185D"/>
    <w:rsid w:val="00511D68"/>
    <w:rsid w:val="00511D77"/>
    <w:rsid w:val="00512909"/>
    <w:rsid w:val="005135AF"/>
    <w:rsid w:val="00514B45"/>
    <w:rsid w:val="00514C2D"/>
    <w:rsid w:val="0051578D"/>
    <w:rsid w:val="005167BE"/>
    <w:rsid w:val="00516BCD"/>
    <w:rsid w:val="00516F28"/>
    <w:rsid w:val="00517104"/>
    <w:rsid w:val="00517DE3"/>
    <w:rsid w:val="00517FEC"/>
    <w:rsid w:val="00520524"/>
    <w:rsid w:val="00520F79"/>
    <w:rsid w:val="005215D3"/>
    <w:rsid w:val="0052164E"/>
    <w:rsid w:val="00521E0F"/>
    <w:rsid w:val="0052209E"/>
    <w:rsid w:val="005228E0"/>
    <w:rsid w:val="00522C3B"/>
    <w:rsid w:val="00522D12"/>
    <w:rsid w:val="00523B13"/>
    <w:rsid w:val="005244A1"/>
    <w:rsid w:val="00524604"/>
    <w:rsid w:val="00524B11"/>
    <w:rsid w:val="00524B8D"/>
    <w:rsid w:val="0052563E"/>
    <w:rsid w:val="0052595F"/>
    <w:rsid w:val="005260D9"/>
    <w:rsid w:val="005263C8"/>
    <w:rsid w:val="00526ABA"/>
    <w:rsid w:val="00526F39"/>
    <w:rsid w:val="00526FB1"/>
    <w:rsid w:val="00527924"/>
    <w:rsid w:val="00530031"/>
    <w:rsid w:val="0053111B"/>
    <w:rsid w:val="00531B03"/>
    <w:rsid w:val="0053222A"/>
    <w:rsid w:val="005322A5"/>
    <w:rsid w:val="005322D2"/>
    <w:rsid w:val="00532820"/>
    <w:rsid w:val="00532934"/>
    <w:rsid w:val="00532B8D"/>
    <w:rsid w:val="00533574"/>
    <w:rsid w:val="00533BAE"/>
    <w:rsid w:val="00534025"/>
    <w:rsid w:val="00534C7A"/>
    <w:rsid w:val="00534DA6"/>
    <w:rsid w:val="00535159"/>
    <w:rsid w:val="0053564C"/>
    <w:rsid w:val="00535D18"/>
    <w:rsid w:val="00535D84"/>
    <w:rsid w:val="00535E25"/>
    <w:rsid w:val="005360D4"/>
    <w:rsid w:val="0053643A"/>
    <w:rsid w:val="005368B7"/>
    <w:rsid w:val="0053711B"/>
    <w:rsid w:val="005372D1"/>
    <w:rsid w:val="005377DE"/>
    <w:rsid w:val="00537949"/>
    <w:rsid w:val="00537AB3"/>
    <w:rsid w:val="00540873"/>
    <w:rsid w:val="00540A20"/>
    <w:rsid w:val="00540A9D"/>
    <w:rsid w:val="00540BC1"/>
    <w:rsid w:val="00540E0E"/>
    <w:rsid w:val="00540E80"/>
    <w:rsid w:val="00540F12"/>
    <w:rsid w:val="0054129F"/>
    <w:rsid w:val="005420AC"/>
    <w:rsid w:val="005422E3"/>
    <w:rsid w:val="00542EC7"/>
    <w:rsid w:val="005431DA"/>
    <w:rsid w:val="005435AC"/>
    <w:rsid w:val="0054378F"/>
    <w:rsid w:val="00544493"/>
    <w:rsid w:val="005472EC"/>
    <w:rsid w:val="00547986"/>
    <w:rsid w:val="00547B0E"/>
    <w:rsid w:val="0055005E"/>
    <w:rsid w:val="005501E9"/>
    <w:rsid w:val="005507C8"/>
    <w:rsid w:val="00550A2C"/>
    <w:rsid w:val="0055106B"/>
    <w:rsid w:val="00551334"/>
    <w:rsid w:val="00551B6E"/>
    <w:rsid w:val="0055211B"/>
    <w:rsid w:val="0055239D"/>
    <w:rsid w:val="00552C77"/>
    <w:rsid w:val="00552FCB"/>
    <w:rsid w:val="00553117"/>
    <w:rsid w:val="00553433"/>
    <w:rsid w:val="00553B27"/>
    <w:rsid w:val="005542BB"/>
    <w:rsid w:val="0055444C"/>
    <w:rsid w:val="005550C0"/>
    <w:rsid w:val="00555239"/>
    <w:rsid w:val="005555D3"/>
    <w:rsid w:val="005561AB"/>
    <w:rsid w:val="00556FC1"/>
    <w:rsid w:val="00557A1F"/>
    <w:rsid w:val="005603B2"/>
    <w:rsid w:val="005606B5"/>
    <w:rsid w:val="00560854"/>
    <w:rsid w:val="00561094"/>
    <w:rsid w:val="005613BB"/>
    <w:rsid w:val="00561EB7"/>
    <w:rsid w:val="0056254D"/>
    <w:rsid w:val="005628C4"/>
    <w:rsid w:val="00562B9E"/>
    <w:rsid w:val="00563138"/>
    <w:rsid w:val="0056367D"/>
    <w:rsid w:val="00563F7B"/>
    <w:rsid w:val="00564508"/>
    <w:rsid w:val="005645E0"/>
    <w:rsid w:val="00565D67"/>
    <w:rsid w:val="00565DCF"/>
    <w:rsid w:val="00565E78"/>
    <w:rsid w:val="00566AE8"/>
    <w:rsid w:val="00566B4A"/>
    <w:rsid w:val="00567A23"/>
    <w:rsid w:val="00567D1F"/>
    <w:rsid w:val="00570FAB"/>
    <w:rsid w:val="00571052"/>
    <w:rsid w:val="0057216D"/>
    <w:rsid w:val="00572690"/>
    <w:rsid w:val="00572ADB"/>
    <w:rsid w:val="00572F7D"/>
    <w:rsid w:val="00573675"/>
    <w:rsid w:val="00573B6F"/>
    <w:rsid w:val="00573BB4"/>
    <w:rsid w:val="00573F2D"/>
    <w:rsid w:val="00575575"/>
    <w:rsid w:val="00575F68"/>
    <w:rsid w:val="00576BCE"/>
    <w:rsid w:val="00576C4C"/>
    <w:rsid w:val="00576DEF"/>
    <w:rsid w:val="00577BBA"/>
    <w:rsid w:val="00577D36"/>
    <w:rsid w:val="00580169"/>
    <w:rsid w:val="005801E2"/>
    <w:rsid w:val="005806A7"/>
    <w:rsid w:val="005809B8"/>
    <w:rsid w:val="00580DE4"/>
    <w:rsid w:val="0058111F"/>
    <w:rsid w:val="00581750"/>
    <w:rsid w:val="00581872"/>
    <w:rsid w:val="00582129"/>
    <w:rsid w:val="005828B0"/>
    <w:rsid w:val="00582E41"/>
    <w:rsid w:val="00582E5D"/>
    <w:rsid w:val="005841AA"/>
    <w:rsid w:val="005846FA"/>
    <w:rsid w:val="00584999"/>
    <w:rsid w:val="00584DB0"/>
    <w:rsid w:val="00584F07"/>
    <w:rsid w:val="005852AA"/>
    <w:rsid w:val="0058562A"/>
    <w:rsid w:val="005865D5"/>
    <w:rsid w:val="005869FA"/>
    <w:rsid w:val="005878AC"/>
    <w:rsid w:val="005905FF"/>
    <w:rsid w:val="00591A5C"/>
    <w:rsid w:val="00592A1F"/>
    <w:rsid w:val="00592A66"/>
    <w:rsid w:val="00592BD3"/>
    <w:rsid w:val="0059322C"/>
    <w:rsid w:val="00593480"/>
    <w:rsid w:val="00594342"/>
    <w:rsid w:val="00594886"/>
    <w:rsid w:val="00594D20"/>
    <w:rsid w:val="00595D88"/>
    <w:rsid w:val="00596031"/>
    <w:rsid w:val="00596994"/>
    <w:rsid w:val="00596D00"/>
    <w:rsid w:val="00596FF4"/>
    <w:rsid w:val="0059741C"/>
    <w:rsid w:val="00597574"/>
    <w:rsid w:val="00597718"/>
    <w:rsid w:val="005977A7"/>
    <w:rsid w:val="00597A68"/>
    <w:rsid w:val="00597F4C"/>
    <w:rsid w:val="005A067B"/>
    <w:rsid w:val="005A0B61"/>
    <w:rsid w:val="005A0E9C"/>
    <w:rsid w:val="005A13DA"/>
    <w:rsid w:val="005A1475"/>
    <w:rsid w:val="005A1814"/>
    <w:rsid w:val="005A2060"/>
    <w:rsid w:val="005A536F"/>
    <w:rsid w:val="005A5451"/>
    <w:rsid w:val="005A5FA7"/>
    <w:rsid w:val="005A740C"/>
    <w:rsid w:val="005A7CBD"/>
    <w:rsid w:val="005A7E84"/>
    <w:rsid w:val="005B00A1"/>
    <w:rsid w:val="005B03AC"/>
    <w:rsid w:val="005B04DA"/>
    <w:rsid w:val="005B07E9"/>
    <w:rsid w:val="005B09C1"/>
    <w:rsid w:val="005B0F3F"/>
    <w:rsid w:val="005B1560"/>
    <w:rsid w:val="005B1572"/>
    <w:rsid w:val="005B26F9"/>
    <w:rsid w:val="005B3644"/>
    <w:rsid w:val="005B39FA"/>
    <w:rsid w:val="005B47CC"/>
    <w:rsid w:val="005B4A86"/>
    <w:rsid w:val="005B4ED4"/>
    <w:rsid w:val="005B593F"/>
    <w:rsid w:val="005B5BA2"/>
    <w:rsid w:val="005B5D6E"/>
    <w:rsid w:val="005B66A9"/>
    <w:rsid w:val="005B6B9A"/>
    <w:rsid w:val="005B6F5F"/>
    <w:rsid w:val="005B7317"/>
    <w:rsid w:val="005C01FD"/>
    <w:rsid w:val="005C0DD0"/>
    <w:rsid w:val="005C1407"/>
    <w:rsid w:val="005C167B"/>
    <w:rsid w:val="005C25F5"/>
    <w:rsid w:val="005C4C10"/>
    <w:rsid w:val="005C4FBB"/>
    <w:rsid w:val="005C5947"/>
    <w:rsid w:val="005C5978"/>
    <w:rsid w:val="005C5FCB"/>
    <w:rsid w:val="005C6289"/>
    <w:rsid w:val="005C6FA9"/>
    <w:rsid w:val="005C709B"/>
    <w:rsid w:val="005C724C"/>
    <w:rsid w:val="005C7316"/>
    <w:rsid w:val="005C7472"/>
    <w:rsid w:val="005D02BE"/>
    <w:rsid w:val="005D02E2"/>
    <w:rsid w:val="005D06CF"/>
    <w:rsid w:val="005D08CC"/>
    <w:rsid w:val="005D1659"/>
    <w:rsid w:val="005D1753"/>
    <w:rsid w:val="005D2478"/>
    <w:rsid w:val="005D2B26"/>
    <w:rsid w:val="005D454E"/>
    <w:rsid w:val="005D494E"/>
    <w:rsid w:val="005D5E7D"/>
    <w:rsid w:val="005D688B"/>
    <w:rsid w:val="005D73E0"/>
    <w:rsid w:val="005D7718"/>
    <w:rsid w:val="005D7754"/>
    <w:rsid w:val="005D7A74"/>
    <w:rsid w:val="005E1E72"/>
    <w:rsid w:val="005E1F78"/>
    <w:rsid w:val="005E3D75"/>
    <w:rsid w:val="005E3ED4"/>
    <w:rsid w:val="005E4A40"/>
    <w:rsid w:val="005E4CEC"/>
    <w:rsid w:val="005E5D7B"/>
    <w:rsid w:val="005E6162"/>
    <w:rsid w:val="005E6183"/>
    <w:rsid w:val="005E6581"/>
    <w:rsid w:val="005E670B"/>
    <w:rsid w:val="005E6821"/>
    <w:rsid w:val="005E6BBA"/>
    <w:rsid w:val="005E6C14"/>
    <w:rsid w:val="005E6CD9"/>
    <w:rsid w:val="005E7187"/>
    <w:rsid w:val="005E7888"/>
    <w:rsid w:val="005E7AD5"/>
    <w:rsid w:val="005E7BBA"/>
    <w:rsid w:val="005E7DC8"/>
    <w:rsid w:val="005F0908"/>
    <w:rsid w:val="005F0AC2"/>
    <w:rsid w:val="005F165F"/>
    <w:rsid w:val="005F2833"/>
    <w:rsid w:val="005F3103"/>
    <w:rsid w:val="005F315E"/>
    <w:rsid w:val="005F3B5E"/>
    <w:rsid w:val="005F3E68"/>
    <w:rsid w:val="005F4102"/>
    <w:rsid w:val="005F4170"/>
    <w:rsid w:val="005F4218"/>
    <w:rsid w:val="005F45F4"/>
    <w:rsid w:val="005F4D3F"/>
    <w:rsid w:val="005F4F8B"/>
    <w:rsid w:val="005F548E"/>
    <w:rsid w:val="005F57A9"/>
    <w:rsid w:val="005F5D1F"/>
    <w:rsid w:val="005F607F"/>
    <w:rsid w:val="005F62FD"/>
    <w:rsid w:val="005F6660"/>
    <w:rsid w:val="005F745E"/>
    <w:rsid w:val="006007C4"/>
    <w:rsid w:val="006007F2"/>
    <w:rsid w:val="00600FA2"/>
    <w:rsid w:val="00601A58"/>
    <w:rsid w:val="0060267A"/>
    <w:rsid w:val="00602AB9"/>
    <w:rsid w:val="006031A1"/>
    <w:rsid w:val="006036B1"/>
    <w:rsid w:val="00603E11"/>
    <w:rsid w:val="00603F09"/>
    <w:rsid w:val="0060415B"/>
    <w:rsid w:val="00604BBC"/>
    <w:rsid w:val="0060523E"/>
    <w:rsid w:val="006054AE"/>
    <w:rsid w:val="00606A85"/>
    <w:rsid w:val="00606BCD"/>
    <w:rsid w:val="006071B6"/>
    <w:rsid w:val="00607705"/>
    <w:rsid w:val="00610021"/>
    <w:rsid w:val="00610223"/>
    <w:rsid w:val="006104AF"/>
    <w:rsid w:val="00611395"/>
    <w:rsid w:val="00611685"/>
    <w:rsid w:val="006123C3"/>
    <w:rsid w:val="00612F4E"/>
    <w:rsid w:val="00613844"/>
    <w:rsid w:val="00613AB6"/>
    <w:rsid w:val="0061492C"/>
    <w:rsid w:val="00614DCD"/>
    <w:rsid w:val="00615E9E"/>
    <w:rsid w:val="00616325"/>
    <w:rsid w:val="00616504"/>
    <w:rsid w:val="00616800"/>
    <w:rsid w:val="00616BF1"/>
    <w:rsid w:val="00617108"/>
    <w:rsid w:val="006178D5"/>
    <w:rsid w:val="0061790D"/>
    <w:rsid w:val="00620582"/>
    <w:rsid w:val="00620B30"/>
    <w:rsid w:val="00620C8C"/>
    <w:rsid w:val="00620DCD"/>
    <w:rsid w:val="00621103"/>
    <w:rsid w:val="00621671"/>
    <w:rsid w:val="00621E18"/>
    <w:rsid w:val="0062213C"/>
    <w:rsid w:val="006225E0"/>
    <w:rsid w:val="0062287F"/>
    <w:rsid w:val="00623411"/>
    <w:rsid w:val="00623722"/>
    <w:rsid w:val="00623E73"/>
    <w:rsid w:val="0062446A"/>
    <w:rsid w:val="0062450B"/>
    <w:rsid w:val="006245B1"/>
    <w:rsid w:val="00624756"/>
    <w:rsid w:val="0062479C"/>
    <w:rsid w:val="00625A2B"/>
    <w:rsid w:val="00626E89"/>
    <w:rsid w:val="00627023"/>
    <w:rsid w:val="006274A1"/>
    <w:rsid w:val="006277BD"/>
    <w:rsid w:val="00627D85"/>
    <w:rsid w:val="006304D9"/>
    <w:rsid w:val="00630BB9"/>
    <w:rsid w:val="0063123A"/>
    <w:rsid w:val="00631762"/>
    <w:rsid w:val="00632F32"/>
    <w:rsid w:val="0063336B"/>
    <w:rsid w:val="00633441"/>
    <w:rsid w:val="006336DF"/>
    <w:rsid w:val="0063397C"/>
    <w:rsid w:val="00633D1B"/>
    <w:rsid w:val="00634260"/>
    <w:rsid w:val="00634549"/>
    <w:rsid w:val="006347AE"/>
    <w:rsid w:val="006348CB"/>
    <w:rsid w:val="0063491A"/>
    <w:rsid w:val="0063497B"/>
    <w:rsid w:val="00634B4C"/>
    <w:rsid w:val="00635F45"/>
    <w:rsid w:val="00636321"/>
    <w:rsid w:val="0063669A"/>
    <w:rsid w:val="0063690B"/>
    <w:rsid w:val="00636A58"/>
    <w:rsid w:val="00636BB1"/>
    <w:rsid w:val="00637082"/>
    <w:rsid w:val="006374F1"/>
    <w:rsid w:val="006376B8"/>
    <w:rsid w:val="00637D33"/>
    <w:rsid w:val="006402E6"/>
    <w:rsid w:val="0064073D"/>
    <w:rsid w:val="00640EF4"/>
    <w:rsid w:val="0064156F"/>
    <w:rsid w:val="0064181F"/>
    <w:rsid w:val="00641AD6"/>
    <w:rsid w:val="00641F8C"/>
    <w:rsid w:val="006428B9"/>
    <w:rsid w:val="00642AF7"/>
    <w:rsid w:val="00642BF3"/>
    <w:rsid w:val="00642D66"/>
    <w:rsid w:val="00643608"/>
    <w:rsid w:val="00643CDE"/>
    <w:rsid w:val="0064553B"/>
    <w:rsid w:val="0064577F"/>
    <w:rsid w:val="00645816"/>
    <w:rsid w:val="006463D8"/>
    <w:rsid w:val="0064648E"/>
    <w:rsid w:val="006464C2"/>
    <w:rsid w:val="00646753"/>
    <w:rsid w:val="00646E26"/>
    <w:rsid w:val="006475F6"/>
    <w:rsid w:val="0065046E"/>
    <w:rsid w:val="006504A4"/>
    <w:rsid w:val="006514A9"/>
    <w:rsid w:val="00651698"/>
    <w:rsid w:val="006516F2"/>
    <w:rsid w:val="006520FD"/>
    <w:rsid w:val="006523ED"/>
    <w:rsid w:val="006528D5"/>
    <w:rsid w:val="00653320"/>
    <w:rsid w:val="0065367E"/>
    <w:rsid w:val="00653CE9"/>
    <w:rsid w:val="00654608"/>
    <w:rsid w:val="006550C3"/>
    <w:rsid w:val="00655ECD"/>
    <w:rsid w:val="0065668C"/>
    <w:rsid w:val="00656854"/>
    <w:rsid w:val="00657879"/>
    <w:rsid w:val="0066023F"/>
    <w:rsid w:val="0066065B"/>
    <w:rsid w:val="00660732"/>
    <w:rsid w:val="00660974"/>
    <w:rsid w:val="00660C72"/>
    <w:rsid w:val="00660CC0"/>
    <w:rsid w:val="00662870"/>
    <w:rsid w:val="00662C95"/>
    <w:rsid w:val="00663286"/>
    <w:rsid w:val="0066343B"/>
    <w:rsid w:val="006639C6"/>
    <w:rsid w:val="00663AF2"/>
    <w:rsid w:val="00663C9D"/>
    <w:rsid w:val="0066477D"/>
    <w:rsid w:val="00664C5F"/>
    <w:rsid w:val="00665045"/>
    <w:rsid w:val="0066507E"/>
    <w:rsid w:val="00665113"/>
    <w:rsid w:val="00665584"/>
    <w:rsid w:val="0066607F"/>
    <w:rsid w:val="0066653B"/>
    <w:rsid w:val="00666A2A"/>
    <w:rsid w:val="006676CF"/>
    <w:rsid w:val="006706B3"/>
    <w:rsid w:val="006709BC"/>
    <w:rsid w:val="00670BFA"/>
    <w:rsid w:val="00670C5F"/>
    <w:rsid w:val="00671266"/>
    <w:rsid w:val="0067179C"/>
    <w:rsid w:val="00671B62"/>
    <w:rsid w:val="00671E38"/>
    <w:rsid w:val="00671EE0"/>
    <w:rsid w:val="0067242F"/>
    <w:rsid w:val="00672778"/>
    <w:rsid w:val="00672B41"/>
    <w:rsid w:val="00673D9C"/>
    <w:rsid w:val="0067431C"/>
    <w:rsid w:val="00674BDD"/>
    <w:rsid w:val="00674DE6"/>
    <w:rsid w:val="006752FA"/>
    <w:rsid w:val="00676EE6"/>
    <w:rsid w:val="00677AA5"/>
    <w:rsid w:val="006802D0"/>
    <w:rsid w:val="00680711"/>
    <w:rsid w:val="00680CB7"/>
    <w:rsid w:val="0068148D"/>
    <w:rsid w:val="00681B7F"/>
    <w:rsid w:val="00681CA7"/>
    <w:rsid w:val="00682FF3"/>
    <w:rsid w:val="006832CC"/>
    <w:rsid w:val="00683499"/>
    <w:rsid w:val="006837B5"/>
    <w:rsid w:val="00683F0B"/>
    <w:rsid w:val="006841E7"/>
    <w:rsid w:val="006842CF"/>
    <w:rsid w:val="00684528"/>
    <w:rsid w:val="0068453B"/>
    <w:rsid w:val="006847D9"/>
    <w:rsid w:val="0068506B"/>
    <w:rsid w:val="00685134"/>
    <w:rsid w:val="00685AEA"/>
    <w:rsid w:val="00685E97"/>
    <w:rsid w:val="0068663B"/>
    <w:rsid w:val="00686774"/>
    <w:rsid w:val="0068685B"/>
    <w:rsid w:val="00686BAA"/>
    <w:rsid w:val="00686E8E"/>
    <w:rsid w:val="00686F47"/>
    <w:rsid w:val="00687630"/>
    <w:rsid w:val="00687991"/>
    <w:rsid w:val="006903FE"/>
    <w:rsid w:val="00690741"/>
    <w:rsid w:val="00690E3D"/>
    <w:rsid w:val="0069161B"/>
    <w:rsid w:val="00691A6B"/>
    <w:rsid w:val="006921E9"/>
    <w:rsid w:val="006924CE"/>
    <w:rsid w:val="006930F3"/>
    <w:rsid w:val="006931EF"/>
    <w:rsid w:val="00693D73"/>
    <w:rsid w:val="00694121"/>
    <w:rsid w:val="00694D73"/>
    <w:rsid w:val="00695EAB"/>
    <w:rsid w:val="0069666B"/>
    <w:rsid w:val="0069715B"/>
    <w:rsid w:val="006978C0"/>
    <w:rsid w:val="006A00F7"/>
    <w:rsid w:val="006A026E"/>
    <w:rsid w:val="006A06F2"/>
    <w:rsid w:val="006A0E68"/>
    <w:rsid w:val="006A0FA4"/>
    <w:rsid w:val="006A1909"/>
    <w:rsid w:val="006A1943"/>
    <w:rsid w:val="006A28B9"/>
    <w:rsid w:val="006A2DAF"/>
    <w:rsid w:val="006A34A1"/>
    <w:rsid w:val="006A462E"/>
    <w:rsid w:val="006A5000"/>
    <w:rsid w:val="006A5102"/>
    <w:rsid w:val="006A5848"/>
    <w:rsid w:val="006A6C58"/>
    <w:rsid w:val="006A71CF"/>
    <w:rsid w:val="006A7260"/>
    <w:rsid w:val="006A754C"/>
    <w:rsid w:val="006B0CE5"/>
    <w:rsid w:val="006B0DB0"/>
    <w:rsid w:val="006B1664"/>
    <w:rsid w:val="006B16F8"/>
    <w:rsid w:val="006B1B6E"/>
    <w:rsid w:val="006B2305"/>
    <w:rsid w:val="006B2A0A"/>
    <w:rsid w:val="006B2A42"/>
    <w:rsid w:val="006B33B8"/>
    <w:rsid w:val="006B350C"/>
    <w:rsid w:val="006B36A7"/>
    <w:rsid w:val="006B3976"/>
    <w:rsid w:val="006B5231"/>
    <w:rsid w:val="006B52B8"/>
    <w:rsid w:val="006B5B2D"/>
    <w:rsid w:val="006B5E87"/>
    <w:rsid w:val="006B67A7"/>
    <w:rsid w:val="006B7256"/>
    <w:rsid w:val="006C008E"/>
    <w:rsid w:val="006C053A"/>
    <w:rsid w:val="006C0B44"/>
    <w:rsid w:val="006C0DF0"/>
    <w:rsid w:val="006C1281"/>
    <w:rsid w:val="006C1A1F"/>
    <w:rsid w:val="006C202B"/>
    <w:rsid w:val="006C2241"/>
    <w:rsid w:val="006C230D"/>
    <w:rsid w:val="006C272A"/>
    <w:rsid w:val="006C2A73"/>
    <w:rsid w:val="006C2AA0"/>
    <w:rsid w:val="006C38BB"/>
    <w:rsid w:val="006C47EC"/>
    <w:rsid w:val="006C5179"/>
    <w:rsid w:val="006C539D"/>
    <w:rsid w:val="006C53B5"/>
    <w:rsid w:val="006C54DA"/>
    <w:rsid w:val="006C5C7D"/>
    <w:rsid w:val="006C642C"/>
    <w:rsid w:val="006C6973"/>
    <w:rsid w:val="006C6AEA"/>
    <w:rsid w:val="006C6F7E"/>
    <w:rsid w:val="006C799B"/>
    <w:rsid w:val="006D02B8"/>
    <w:rsid w:val="006D0CEF"/>
    <w:rsid w:val="006D1080"/>
    <w:rsid w:val="006D1EE6"/>
    <w:rsid w:val="006D245C"/>
    <w:rsid w:val="006D2627"/>
    <w:rsid w:val="006D2CB2"/>
    <w:rsid w:val="006D31BA"/>
    <w:rsid w:val="006D37F6"/>
    <w:rsid w:val="006D5011"/>
    <w:rsid w:val="006D5D6D"/>
    <w:rsid w:val="006D69C1"/>
    <w:rsid w:val="006D6D7C"/>
    <w:rsid w:val="006D6FF5"/>
    <w:rsid w:val="006D70B4"/>
    <w:rsid w:val="006D73C2"/>
    <w:rsid w:val="006D7526"/>
    <w:rsid w:val="006E12C6"/>
    <w:rsid w:val="006E25DD"/>
    <w:rsid w:val="006E278E"/>
    <w:rsid w:val="006E2829"/>
    <w:rsid w:val="006E3AEA"/>
    <w:rsid w:val="006E3C29"/>
    <w:rsid w:val="006E3F01"/>
    <w:rsid w:val="006E46E5"/>
    <w:rsid w:val="006E4FE6"/>
    <w:rsid w:val="006E5565"/>
    <w:rsid w:val="006E5962"/>
    <w:rsid w:val="006E5B68"/>
    <w:rsid w:val="006E639E"/>
    <w:rsid w:val="006E6749"/>
    <w:rsid w:val="006E6B6C"/>
    <w:rsid w:val="006E6B85"/>
    <w:rsid w:val="006E6C4F"/>
    <w:rsid w:val="006E6CCE"/>
    <w:rsid w:val="006E6FA8"/>
    <w:rsid w:val="006E786C"/>
    <w:rsid w:val="006F06E3"/>
    <w:rsid w:val="006F1276"/>
    <w:rsid w:val="006F12CE"/>
    <w:rsid w:val="006F1300"/>
    <w:rsid w:val="006F1958"/>
    <w:rsid w:val="006F1E2C"/>
    <w:rsid w:val="006F33D5"/>
    <w:rsid w:val="006F392A"/>
    <w:rsid w:val="006F4614"/>
    <w:rsid w:val="006F484C"/>
    <w:rsid w:val="006F48C1"/>
    <w:rsid w:val="006F5B3F"/>
    <w:rsid w:val="006F5C86"/>
    <w:rsid w:val="006F667B"/>
    <w:rsid w:val="006F715F"/>
    <w:rsid w:val="006F71C4"/>
    <w:rsid w:val="006F77E8"/>
    <w:rsid w:val="006F7CE7"/>
    <w:rsid w:val="0070149C"/>
    <w:rsid w:val="00701C0B"/>
    <w:rsid w:val="00701CE6"/>
    <w:rsid w:val="00701D67"/>
    <w:rsid w:val="007024BE"/>
    <w:rsid w:val="0070256A"/>
    <w:rsid w:val="007034DC"/>
    <w:rsid w:val="00703637"/>
    <w:rsid w:val="00703B51"/>
    <w:rsid w:val="00703FCF"/>
    <w:rsid w:val="007046CC"/>
    <w:rsid w:val="0070489C"/>
    <w:rsid w:val="0070524F"/>
    <w:rsid w:val="00705395"/>
    <w:rsid w:val="0070606C"/>
    <w:rsid w:val="0070633A"/>
    <w:rsid w:val="007067F0"/>
    <w:rsid w:val="00707122"/>
    <w:rsid w:val="007073BE"/>
    <w:rsid w:val="00707580"/>
    <w:rsid w:val="007077C9"/>
    <w:rsid w:val="007077F2"/>
    <w:rsid w:val="00707BF8"/>
    <w:rsid w:val="00707FEC"/>
    <w:rsid w:val="0071062A"/>
    <w:rsid w:val="007114B5"/>
    <w:rsid w:val="00711768"/>
    <w:rsid w:val="007126D1"/>
    <w:rsid w:val="00712C1A"/>
    <w:rsid w:val="00712C1B"/>
    <w:rsid w:val="0071367B"/>
    <w:rsid w:val="007137B6"/>
    <w:rsid w:val="00713C31"/>
    <w:rsid w:val="00713D15"/>
    <w:rsid w:val="00713F26"/>
    <w:rsid w:val="00714819"/>
    <w:rsid w:val="00714DC3"/>
    <w:rsid w:val="00715129"/>
    <w:rsid w:val="007152BE"/>
    <w:rsid w:val="007155CE"/>
    <w:rsid w:val="00715F28"/>
    <w:rsid w:val="00716478"/>
    <w:rsid w:val="00716BC1"/>
    <w:rsid w:val="00717A5C"/>
    <w:rsid w:val="00720DCD"/>
    <w:rsid w:val="00721235"/>
    <w:rsid w:val="00721301"/>
    <w:rsid w:val="00721B9E"/>
    <w:rsid w:val="00721F83"/>
    <w:rsid w:val="0072269A"/>
    <w:rsid w:val="007226AD"/>
    <w:rsid w:val="00722A80"/>
    <w:rsid w:val="00722D57"/>
    <w:rsid w:val="007235DE"/>
    <w:rsid w:val="007245C7"/>
    <w:rsid w:val="007249B7"/>
    <w:rsid w:val="00724BFB"/>
    <w:rsid w:val="00725494"/>
    <w:rsid w:val="00725B67"/>
    <w:rsid w:val="00725D70"/>
    <w:rsid w:val="00726CD7"/>
    <w:rsid w:val="00726D06"/>
    <w:rsid w:val="00727925"/>
    <w:rsid w:val="00727A58"/>
    <w:rsid w:val="00727A96"/>
    <w:rsid w:val="00730335"/>
    <w:rsid w:val="00730392"/>
    <w:rsid w:val="00732BE7"/>
    <w:rsid w:val="00733004"/>
    <w:rsid w:val="00733082"/>
    <w:rsid w:val="007332C6"/>
    <w:rsid w:val="00733982"/>
    <w:rsid w:val="00733AE4"/>
    <w:rsid w:val="00734418"/>
    <w:rsid w:val="00734FF7"/>
    <w:rsid w:val="00735E63"/>
    <w:rsid w:val="00736655"/>
    <w:rsid w:val="007369D7"/>
    <w:rsid w:val="00736AA6"/>
    <w:rsid w:val="00736C23"/>
    <w:rsid w:val="0073718E"/>
    <w:rsid w:val="00740504"/>
    <w:rsid w:val="00740699"/>
    <w:rsid w:val="00740965"/>
    <w:rsid w:val="00740A03"/>
    <w:rsid w:val="0074186E"/>
    <w:rsid w:val="00741D74"/>
    <w:rsid w:val="0074219E"/>
    <w:rsid w:val="00742243"/>
    <w:rsid w:val="007422A4"/>
    <w:rsid w:val="00742B15"/>
    <w:rsid w:val="00742B68"/>
    <w:rsid w:val="00743EB9"/>
    <w:rsid w:val="00744D3C"/>
    <w:rsid w:val="00745C61"/>
    <w:rsid w:val="00745F65"/>
    <w:rsid w:val="007461EB"/>
    <w:rsid w:val="00746CC2"/>
    <w:rsid w:val="00747F14"/>
    <w:rsid w:val="00750046"/>
    <w:rsid w:val="0075017C"/>
    <w:rsid w:val="0075045A"/>
    <w:rsid w:val="00750586"/>
    <w:rsid w:val="007506A2"/>
    <w:rsid w:val="00750CBE"/>
    <w:rsid w:val="007514B2"/>
    <w:rsid w:val="00751C33"/>
    <w:rsid w:val="00751C42"/>
    <w:rsid w:val="007524AF"/>
    <w:rsid w:val="007524B1"/>
    <w:rsid w:val="0075290D"/>
    <w:rsid w:val="0075323C"/>
    <w:rsid w:val="007534CF"/>
    <w:rsid w:val="007535E2"/>
    <w:rsid w:val="00754159"/>
    <w:rsid w:val="00754731"/>
    <w:rsid w:val="00755BAC"/>
    <w:rsid w:val="00755DE9"/>
    <w:rsid w:val="00757A7A"/>
    <w:rsid w:val="00760389"/>
    <w:rsid w:val="00760837"/>
    <w:rsid w:val="00760998"/>
    <w:rsid w:val="00760BD7"/>
    <w:rsid w:val="00760DDC"/>
    <w:rsid w:val="0076122D"/>
    <w:rsid w:val="00761626"/>
    <w:rsid w:val="007617F5"/>
    <w:rsid w:val="00761B81"/>
    <w:rsid w:val="00761CC3"/>
    <w:rsid w:val="0076332F"/>
    <w:rsid w:val="007635E8"/>
    <w:rsid w:val="00763B62"/>
    <w:rsid w:val="00764206"/>
    <w:rsid w:val="00764212"/>
    <w:rsid w:val="00764373"/>
    <w:rsid w:val="00764820"/>
    <w:rsid w:val="00764919"/>
    <w:rsid w:val="00764A61"/>
    <w:rsid w:val="00764DB2"/>
    <w:rsid w:val="007652D7"/>
    <w:rsid w:val="007653A7"/>
    <w:rsid w:val="00765692"/>
    <w:rsid w:val="00765788"/>
    <w:rsid w:val="00766743"/>
    <w:rsid w:val="00766F1C"/>
    <w:rsid w:val="00766FEA"/>
    <w:rsid w:val="00767191"/>
    <w:rsid w:val="00767249"/>
    <w:rsid w:val="00770109"/>
    <w:rsid w:val="00770728"/>
    <w:rsid w:val="007707CF"/>
    <w:rsid w:val="007717DA"/>
    <w:rsid w:val="00771C60"/>
    <w:rsid w:val="00771E85"/>
    <w:rsid w:val="007726F3"/>
    <w:rsid w:val="00772986"/>
    <w:rsid w:val="00772B77"/>
    <w:rsid w:val="007736BF"/>
    <w:rsid w:val="00773AA8"/>
    <w:rsid w:val="00773ACB"/>
    <w:rsid w:val="00773B0F"/>
    <w:rsid w:val="00774175"/>
    <w:rsid w:val="00774B74"/>
    <w:rsid w:val="007755C6"/>
    <w:rsid w:val="007757EB"/>
    <w:rsid w:val="0077676D"/>
    <w:rsid w:val="00777848"/>
    <w:rsid w:val="007806E8"/>
    <w:rsid w:val="0078105A"/>
    <w:rsid w:val="007810A9"/>
    <w:rsid w:val="007812BC"/>
    <w:rsid w:val="0078237E"/>
    <w:rsid w:val="00782524"/>
    <w:rsid w:val="00782594"/>
    <w:rsid w:val="00782C8C"/>
    <w:rsid w:val="00782DE5"/>
    <w:rsid w:val="007833E6"/>
    <w:rsid w:val="0078342E"/>
    <w:rsid w:val="00783664"/>
    <w:rsid w:val="00783C37"/>
    <w:rsid w:val="00783FAA"/>
    <w:rsid w:val="0078480F"/>
    <w:rsid w:val="00784DE7"/>
    <w:rsid w:val="00784ECB"/>
    <w:rsid w:val="007852AF"/>
    <w:rsid w:val="00786E29"/>
    <w:rsid w:val="007870B0"/>
    <w:rsid w:val="00787426"/>
    <w:rsid w:val="0078778A"/>
    <w:rsid w:val="007878C6"/>
    <w:rsid w:val="00787977"/>
    <w:rsid w:val="007906B6"/>
    <w:rsid w:val="007906CC"/>
    <w:rsid w:val="00790C07"/>
    <w:rsid w:val="00790E48"/>
    <w:rsid w:val="0079161C"/>
    <w:rsid w:val="00791682"/>
    <w:rsid w:val="00791F55"/>
    <w:rsid w:val="007923A2"/>
    <w:rsid w:val="007926F7"/>
    <w:rsid w:val="00792700"/>
    <w:rsid w:val="0079296B"/>
    <w:rsid w:val="00792A65"/>
    <w:rsid w:val="00792FB1"/>
    <w:rsid w:val="0079323C"/>
    <w:rsid w:val="007932B5"/>
    <w:rsid w:val="00793587"/>
    <w:rsid w:val="00794142"/>
    <w:rsid w:val="0079433F"/>
    <w:rsid w:val="007943CB"/>
    <w:rsid w:val="007944E7"/>
    <w:rsid w:val="00794653"/>
    <w:rsid w:val="00794F98"/>
    <w:rsid w:val="007954D0"/>
    <w:rsid w:val="00795E88"/>
    <w:rsid w:val="00796202"/>
    <w:rsid w:val="0079630D"/>
    <w:rsid w:val="00797232"/>
    <w:rsid w:val="0079767F"/>
    <w:rsid w:val="00797759"/>
    <w:rsid w:val="00797A8F"/>
    <w:rsid w:val="00797D3C"/>
    <w:rsid w:val="007A0D2C"/>
    <w:rsid w:val="007A1587"/>
    <w:rsid w:val="007A272C"/>
    <w:rsid w:val="007A2B9C"/>
    <w:rsid w:val="007A32BF"/>
    <w:rsid w:val="007A3B2B"/>
    <w:rsid w:val="007A3EE9"/>
    <w:rsid w:val="007A4940"/>
    <w:rsid w:val="007A4A58"/>
    <w:rsid w:val="007A4AB0"/>
    <w:rsid w:val="007A4C40"/>
    <w:rsid w:val="007A554B"/>
    <w:rsid w:val="007A6687"/>
    <w:rsid w:val="007A66AB"/>
    <w:rsid w:val="007A6D9C"/>
    <w:rsid w:val="007A6E81"/>
    <w:rsid w:val="007A72B7"/>
    <w:rsid w:val="007A73A9"/>
    <w:rsid w:val="007B010A"/>
    <w:rsid w:val="007B0786"/>
    <w:rsid w:val="007B08D1"/>
    <w:rsid w:val="007B0AE4"/>
    <w:rsid w:val="007B19E9"/>
    <w:rsid w:val="007B1FAD"/>
    <w:rsid w:val="007B21BD"/>
    <w:rsid w:val="007B29C6"/>
    <w:rsid w:val="007B2B2B"/>
    <w:rsid w:val="007B3389"/>
    <w:rsid w:val="007B387F"/>
    <w:rsid w:val="007B44DE"/>
    <w:rsid w:val="007B4D37"/>
    <w:rsid w:val="007B5243"/>
    <w:rsid w:val="007B582E"/>
    <w:rsid w:val="007B5C82"/>
    <w:rsid w:val="007B6A55"/>
    <w:rsid w:val="007B6F38"/>
    <w:rsid w:val="007B702E"/>
    <w:rsid w:val="007B7827"/>
    <w:rsid w:val="007B7E7B"/>
    <w:rsid w:val="007C0532"/>
    <w:rsid w:val="007C0754"/>
    <w:rsid w:val="007C0D97"/>
    <w:rsid w:val="007C1DBC"/>
    <w:rsid w:val="007C1E3F"/>
    <w:rsid w:val="007C1E4C"/>
    <w:rsid w:val="007C1F98"/>
    <w:rsid w:val="007C246B"/>
    <w:rsid w:val="007C25A7"/>
    <w:rsid w:val="007C2A56"/>
    <w:rsid w:val="007C2ED6"/>
    <w:rsid w:val="007C33CA"/>
    <w:rsid w:val="007C3650"/>
    <w:rsid w:val="007C40A4"/>
    <w:rsid w:val="007C52A1"/>
    <w:rsid w:val="007C58B5"/>
    <w:rsid w:val="007C5E65"/>
    <w:rsid w:val="007C71E7"/>
    <w:rsid w:val="007C7F73"/>
    <w:rsid w:val="007C7FD3"/>
    <w:rsid w:val="007D07E1"/>
    <w:rsid w:val="007D14C1"/>
    <w:rsid w:val="007D15DE"/>
    <w:rsid w:val="007D167D"/>
    <w:rsid w:val="007D1734"/>
    <w:rsid w:val="007D1877"/>
    <w:rsid w:val="007D20B6"/>
    <w:rsid w:val="007D20E5"/>
    <w:rsid w:val="007D2627"/>
    <w:rsid w:val="007D311F"/>
    <w:rsid w:val="007D320B"/>
    <w:rsid w:val="007D47D9"/>
    <w:rsid w:val="007D51E9"/>
    <w:rsid w:val="007D544A"/>
    <w:rsid w:val="007D5796"/>
    <w:rsid w:val="007D57F4"/>
    <w:rsid w:val="007D5AB0"/>
    <w:rsid w:val="007D5E63"/>
    <w:rsid w:val="007D5EB7"/>
    <w:rsid w:val="007D677E"/>
    <w:rsid w:val="007D6B7C"/>
    <w:rsid w:val="007D71CC"/>
    <w:rsid w:val="007D737E"/>
    <w:rsid w:val="007D76DF"/>
    <w:rsid w:val="007E0D9C"/>
    <w:rsid w:val="007E1ED4"/>
    <w:rsid w:val="007E216E"/>
    <w:rsid w:val="007E220D"/>
    <w:rsid w:val="007E2276"/>
    <w:rsid w:val="007E2654"/>
    <w:rsid w:val="007E2CEB"/>
    <w:rsid w:val="007E31BD"/>
    <w:rsid w:val="007E3846"/>
    <w:rsid w:val="007E4145"/>
    <w:rsid w:val="007E4EE6"/>
    <w:rsid w:val="007E515A"/>
    <w:rsid w:val="007E63F1"/>
    <w:rsid w:val="007F0225"/>
    <w:rsid w:val="007F04C2"/>
    <w:rsid w:val="007F078B"/>
    <w:rsid w:val="007F105A"/>
    <w:rsid w:val="007F1B51"/>
    <w:rsid w:val="007F22B5"/>
    <w:rsid w:val="007F2DFC"/>
    <w:rsid w:val="007F331A"/>
    <w:rsid w:val="007F36B6"/>
    <w:rsid w:val="007F392F"/>
    <w:rsid w:val="007F3D25"/>
    <w:rsid w:val="007F3FEA"/>
    <w:rsid w:val="007F446F"/>
    <w:rsid w:val="007F4906"/>
    <w:rsid w:val="007F491F"/>
    <w:rsid w:val="007F501F"/>
    <w:rsid w:val="007F530C"/>
    <w:rsid w:val="007F5C07"/>
    <w:rsid w:val="007F5D46"/>
    <w:rsid w:val="007F5DD9"/>
    <w:rsid w:val="007F5E23"/>
    <w:rsid w:val="007F6326"/>
    <w:rsid w:val="007F687C"/>
    <w:rsid w:val="007F6B21"/>
    <w:rsid w:val="007F7A6F"/>
    <w:rsid w:val="007F7C93"/>
    <w:rsid w:val="007F7D40"/>
    <w:rsid w:val="007F7D8D"/>
    <w:rsid w:val="008008F1"/>
    <w:rsid w:val="00800BDA"/>
    <w:rsid w:val="008016E8"/>
    <w:rsid w:val="00802189"/>
    <w:rsid w:val="00802302"/>
    <w:rsid w:val="00802BD4"/>
    <w:rsid w:val="00803864"/>
    <w:rsid w:val="008039A3"/>
    <w:rsid w:val="00803CE7"/>
    <w:rsid w:val="0080416D"/>
    <w:rsid w:val="00805002"/>
    <w:rsid w:val="00805969"/>
    <w:rsid w:val="00805A04"/>
    <w:rsid w:val="00805B26"/>
    <w:rsid w:val="0080682F"/>
    <w:rsid w:val="008068ED"/>
    <w:rsid w:val="00810263"/>
    <w:rsid w:val="00810370"/>
    <w:rsid w:val="008126E9"/>
    <w:rsid w:val="00812C8D"/>
    <w:rsid w:val="008134A2"/>
    <w:rsid w:val="008135CA"/>
    <w:rsid w:val="00813734"/>
    <w:rsid w:val="00813867"/>
    <w:rsid w:val="008138D7"/>
    <w:rsid w:val="00814C26"/>
    <w:rsid w:val="00815106"/>
    <w:rsid w:val="008153AD"/>
    <w:rsid w:val="008164B4"/>
    <w:rsid w:val="008165A5"/>
    <w:rsid w:val="00816BD9"/>
    <w:rsid w:val="00816D2C"/>
    <w:rsid w:val="0082029B"/>
    <w:rsid w:val="00820544"/>
    <w:rsid w:val="00820608"/>
    <w:rsid w:val="00820D7C"/>
    <w:rsid w:val="00820E42"/>
    <w:rsid w:val="00821294"/>
    <w:rsid w:val="008213F8"/>
    <w:rsid w:val="00821EEA"/>
    <w:rsid w:val="00822703"/>
    <w:rsid w:val="0082319B"/>
    <w:rsid w:val="00823E71"/>
    <w:rsid w:val="00823F61"/>
    <w:rsid w:val="00824082"/>
    <w:rsid w:val="008246D6"/>
    <w:rsid w:val="008247EB"/>
    <w:rsid w:val="00824BEC"/>
    <w:rsid w:val="0082516D"/>
    <w:rsid w:val="008259AE"/>
    <w:rsid w:val="00825CF3"/>
    <w:rsid w:val="00826199"/>
    <w:rsid w:val="0082660A"/>
    <w:rsid w:val="008266CC"/>
    <w:rsid w:val="00826C7A"/>
    <w:rsid w:val="00826FA3"/>
    <w:rsid w:val="00827472"/>
    <w:rsid w:val="00827C3E"/>
    <w:rsid w:val="00827F25"/>
    <w:rsid w:val="00830C98"/>
    <w:rsid w:val="00831513"/>
    <w:rsid w:val="0083156D"/>
    <w:rsid w:val="00831E75"/>
    <w:rsid w:val="0083202A"/>
    <w:rsid w:val="008320DE"/>
    <w:rsid w:val="0083266E"/>
    <w:rsid w:val="00833413"/>
    <w:rsid w:val="00833627"/>
    <w:rsid w:val="00833D08"/>
    <w:rsid w:val="00834631"/>
    <w:rsid w:val="00834D41"/>
    <w:rsid w:val="00834D95"/>
    <w:rsid w:val="00835313"/>
    <w:rsid w:val="0083536D"/>
    <w:rsid w:val="008357AB"/>
    <w:rsid w:val="00835EFF"/>
    <w:rsid w:val="00836938"/>
    <w:rsid w:val="00840660"/>
    <w:rsid w:val="008407F2"/>
    <w:rsid w:val="00840952"/>
    <w:rsid w:val="00840EA5"/>
    <w:rsid w:val="00841328"/>
    <w:rsid w:val="0084196C"/>
    <w:rsid w:val="00841B55"/>
    <w:rsid w:val="00841CDB"/>
    <w:rsid w:val="0084220B"/>
    <w:rsid w:val="008427DC"/>
    <w:rsid w:val="00842904"/>
    <w:rsid w:val="0084343B"/>
    <w:rsid w:val="00843504"/>
    <w:rsid w:val="0084385B"/>
    <w:rsid w:val="00843E61"/>
    <w:rsid w:val="0084483D"/>
    <w:rsid w:val="00844F1B"/>
    <w:rsid w:val="008454F2"/>
    <w:rsid w:val="00845B55"/>
    <w:rsid w:val="00846346"/>
    <w:rsid w:val="0084687D"/>
    <w:rsid w:val="00846918"/>
    <w:rsid w:val="00846C8F"/>
    <w:rsid w:val="00847388"/>
    <w:rsid w:val="00847CB9"/>
    <w:rsid w:val="0085014E"/>
    <w:rsid w:val="00850C0F"/>
    <w:rsid w:val="00850CA0"/>
    <w:rsid w:val="008514D8"/>
    <w:rsid w:val="00851875"/>
    <w:rsid w:val="00852FDE"/>
    <w:rsid w:val="008535C9"/>
    <w:rsid w:val="0085412D"/>
    <w:rsid w:val="008541BC"/>
    <w:rsid w:val="0085465F"/>
    <w:rsid w:val="008560A2"/>
    <w:rsid w:val="00856717"/>
    <w:rsid w:val="00856C85"/>
    <w:rsid w:val="00856E5C"/>
    <w:rsid w:val="00857D32"/>
    <w:rsid w:val="008600EE"/>
    <w:rsid w:val="008604DD"/>
    <w:rsid w:val="00860E8F"/>
    <w:rsid w:val="00860EA3"/>
    <w:rsid w:val="00861016"/>
    <w:rsid w:val="00861085"/>
    <w:rsid w:val="008613A1"/>
    <w:rsid w:val="00861585"/>
    <w:rsid w:val="00861847"/>
    <w:rsid w:val="008620D3"/>
    <w:rsid w:val="008621F9"/>
    <w:rsid w:val="0086296A"/>
    <w:rsid w:val="008631C9"/>
    <w:rsid w:val="008633E0"/>
    <w:rsid w:val="008634AE"/>
    <w:rsid w:val="008637AA"/>
    <w:rsid w:val="00863DE4"/>
    <w:rsid w:val="00864E38"/>
    <w:rsid w:val="0086543A"/>
    <w:rsid w:val="00865623"/>
    <w:rsid w:val="00866646"/>
    <w:rsid w:val="00867A90"/>
    <w:rsid w:val="008705F5"/>
    <w:rsid w:val="00870895"/>
    <w:rsid w:val="00870C09"/>
    <w:rsid w:val="00871198"/>
    <w:rsid w:val="0087155D"/>
    <w:rsid w:val="00871A23"/>
    <w:rsid w:val="00871CAE"/>
    <w:rsid w:val="00872313"/>
    <w:rsid w:val="0087291D"/>
    <w:rsid w:val="00872FC9"/>
    <w:rsid w:val="00873068"/>
    <w:rsid w:val="0087369B"/>
    <w:rsid w:val="0087446C"/>
    <w:rsid w:val="008747A3"/>
    <w:rsid w:val="0087515A"/>
    <w:rsid w:val="0087573F"/>
    <w:rsid w:val="0087577A"/>
    <w:rsid w:val="008757DC"/>
    <w:rsid w:val="00875B93"/>
    <w:rsid w:val="00875E88"/>
    <w:rsid w:val="00875EE7"/>
    <w:rsid w:val="00876430"/>
    <w:rsid w:val="0087645A"/>
    <w:rsid w:val="00876750"/>
    <w:rsid w:val="008768D2"/>
    <w:rsid w:val="008771CD"/>
    <w:rsid w:val="00877232"/>
    <w:rsid w:val="008777B9"/>
    <w:rsid w:val="008779B8"/>
    <w:rsid w:val="00877B07"/>
    <w:rsid w:val="00880976"/>
    <w:rsid w:val="00880FD1"/>
    <w:rsid w:val="008816D3"/>
    <w:rsid w:val="00881790"/>
    <w:rsid w:val="00881E89"/>
    <w:rsid w:val="008825E7"/>
    <w:rsid w:val="00882D53"/>
    <w:rsid w:val="00882E79"/>
    <w:rsid w:val="00883497"/>
    <w:rsid w:val="008839B4"/>
    <w:rsid w:val="00883C29"/>
    <w:rsid w:val="00883C39"/>
    <w:rsid w:val="00883E92"/>
    <w:rsid w:val="00884110"/>
    <w:rsid w:val="0088448D"/>
    <w:rsid w:val="008845DA"/>
    <w:rsid w:val="00884D0A"/>
    <w:rsid w:val="00884D1B"/>
    <w:rsid w:val="008852B4"/>
    <w:rsid w:val="00885AC7"/>
    <w:rsid w:val="00885B97"/>
    <w:rsid w:val="008864CC"/>
    <w:rsid w:val="00886A7B"/>
    <w:rsid w:val="00886C96"/>
    <w:rsid w:val="0088705A"/>
    <w:rsid w:val="00887392"/>
    <w:rsid w:val="00890C08"/>
    <w:rsid w:val="00890E9D"/>
    <w:rsid w:val="008914D0"/>
    <w:rsid w:val="00891D80"/>
    <w:rsid w:val="0089250A"/>
    <w:rsid w:val="00893231"/>
    <w:rsid w:val="00893D07"/>
    <w:rsid w:val="00894231"/>
    <w:rsid w:val="00894BF0"/>
    <w:rsid w:val="00894F4B"/>
    <w:rsid w:val="008957A5"/>
    <w:rsid w:val="00895A3F"/>
    <w:rsid w:val="00895C3B"/>
    <w:rsid w:val="00895EA6"/>
    <w:rsid w:val="008960AE"/>
    <w:rsid w:val="008970D9"/>
    <w:rsid w:val="008974F6"/>
    <w:rsid w:val="008975EC"/>
    <w:rsid w:val="00897715"/>
    <w:rsid w:val="00897C56"/>
    <w:rsid w:val="008A03A6"/>
    <w:rsid w:val="008A0B29"/>
    <w:rsid w:val="008A12E3"/>
    <w:rsid w:val="008A164E"/>
    <w:rsid w:val="008A1A5A"/>
    <w:rsid w:val="008A1B66"/>
    <w:rsid w:val="008A1C5A"/>
    <w:rsid w:val="008A2492"/>
    <w:rsid w:val="008A2A3D"/>
    <w:rsid w:val="008A370F"/>
    <w:rsid w:val="008A3BCA"/>
    <w:rsid w:val="008A3C2A"/>
    <w:rsid w:val="008A432C"/>
    <w:rsid w:val="008A46ED"/>
    <w:rsid w:val="008A4ACC"/>
    <w:rsid w:val="008A4EF8"/>
    <w:rsid w:val="008A56F9"/>
    <w:rsid w:val="008A58D7"/>
    <w:rsid w:val="008A654C"/>
    <w:rsid w:val="008A68DC"/>
    <w:rsid w:val="008A75C0"/>
    <w:rsid w:val="008A76D6"/>
    <w:rsid w:val="008B00CF"/>
    <w:rsid w:val="008B03EA"/>
    <w:rsid w:val="008B09C9"/>
    <w:rsid w:val="008B0ED2"/>
    <w:rsid w:val="008B1906"/>
    <w:rsid w:val="008B20D8"/>
    <w:rsid w:val="008B2E2F"/>
    <w:rsid w:val="008B3485"/>
    <w:rsid w:val="008B3784"/>
    <w:rsid w:val="008B383D"/>
    <w:rsid w:val="008B3AF7"/>
    <w:rsid w:val="008B42D0"/>
    <w:rsid w:val="008B4EB9"/>
    <w:rsid w:val="008B5095"/>
    <w:rsid w:val="008B5319"/>
    <w:rsid w:val="008B5EF2"/>
    <w:rsid w:val="008B6260"/>
    <w:rsid w:val="008B660A"/>
    <w:rsid w:val="008B6978"/>
    <w:rsid w:val="008B6B54"/>
    <w:rsid w:val="008B6B98"/>
    <w:rsid w:val="008B772E"/>
    <w:rsid w:val="008B7873"/>
    <w:rsid w:val="008B7FF5"/>
    <w:rsid w:val="008C0756"/>
    <w:rsid w:val="008C1734"/>
    <w:rsid w:val="008C1B5C"/>
    <w:rsid w:val="008C1E1F"/>
    <w:rsid w:val="008C206B"/>
    <w:rsid w:val="008C2286"/>
    <w:rsid w:val="008C25F1"/>
    <w:rsid w:val="008C27D6"/>
    <w:rsid w:val="008C3C9E"/>
    <w:rsid w:val="008C3E76"/>
    <w:rsid w:val="008C4182"/>
    <w:rsid w:val="008C42F7"/>
    <w:rsid w:val="008C431A"/>
    <w:rsid w:val="008C4533"/>
    <w:rsid w:val="008C46B2"/>
    <w:rsid w:val="008C55DD"/>
    <w:rsid w:val="008C5AF5"/>
    <w:rsid w:val="008C6CCD"/>
    <w:rsid w:val="008D0667"/>
    <w:rsid w:val="008D0797"/>
    <w:rsid w:val="008D0C71"/>
    <w:rsid w:val="008D18D6"/>
    <w:rsid w:val="008D2236"/>
    <w:rsid w:val="008D2C04"/>
    <w:rsid w:val="008D315C"/>
    <w:rsid w:val="008D375C"/>
    <w:rsid w:val="008D379D"/>
    <w:rsid w:val="008D3D63"/>
    <w:rsid w:val="008D3D79"/>
    <w:rsid w:val="008D53A0"/>
    <w:rsid w:val="008D5653"/>
    <w:rsid w:val="008D635F"/>
    <w:rsid w:val="008D7266"/>
    <w:rsid w:val="008D78A0"/>
    <w:rsid w:val="008D7C78"/>
    <w:rsid w:val="008E07FE"/>
    <w:rsid w:val="008E23DA"/>
    <w:rsid w:val="008E2754"/>
    <w:rsid w:val="008E2897"/>
    <w:rsid w:val="008E2AAE"/>
    <w:rsid w:val="008E39D1"/>
    <w:rsid w:val="008E40E7"/>
    <w:rsid w:val="008E41E1"/>
    <w:rsid w:val="008E444E"/>
    <w:rsid w:val="008E4949"/>
    <w:rsid w:val="008E4B2C"/>
    <w:rsid w:val="008E4FC7"/>
    <w:rsid w:val="008E5178"/>
    <w:rsid w:val="008E5218"/>
    <w:rsid w:val="008E52D1"/>
    <w:rsid w:val="008E53E5"/>
    <w:rsid w:val="008E5CB7"/>
    <w:rsid w:val="008E5D55"/>
    <w:rsid w:val="008E5E09"/>
    <w:rsid w:val="008E607F"/>
    <w:rsid w:val="008E6286"/>
    <w:rsid w:val="008E696C"/>
    <w:rsid w:val="008E69B3"/>
    <w:rsid w:val="008E6BB5"/>
    <w:rsid w:val="008E6C1B"/>
    <w:rsid w:val="008E7490"/>
    <w:rsid w:val="008E77B5"/>
    <w:rsid w:val="008E7D5E"/>
    <w:rsid w:val="008F0666"/>
    <w:rsid w:val="008F0D90"/>
    <w:rsid w:val="008F0DF6"/>
    <w:rsid w:val="008F0E39"/>
    <w:rsid w:val="008F1068"/>
    <w:rsid w:val="008F2022"/>
    <w:rsid w:val="008F22D9"/>
    <w:rsid w:val="008F2313"/>
    <w:rsid w:val="008F2D07"/>
    <w:rsid w:val="008F3361"/>
    <w:rsid w:val="008F494F"/>
    <w:rsid w:val="008F54F7"/>
    <w:rsid w:val="008F58E0"/>
    <w:rsid w:val="008F5C49"/>
    <w:rsid w:val="008F723A"/>
    <w:rsid w:val="008F7877"/>
    <w:rsid w:val="008F7EF7"/>
    <w:rsid w:val="00900977"/>
    <w:rsid w:val="009010BA"/>
    <w:rsid w:val="0090139F"/>
    <w:rsid w:val="00901AFF"/>
    <w:rsid w:val="00901C79"/>
    <w:rsid w:val="00901CCC"/>
    <w:rsid w:val="00902131"/>
    <w:rsid w:val="009027C2"/>
    <w:rsid w:val="009033A0"/>
    <w:rsid w:val="0090345D"/>
    <w:rsid w:val="0090467C"/>
    <w:rsid w:val="00905334"/>
    <w:rsid w:val="00905A7B"/>
    <w:rsid w:val="0090648C"/>
    <w:rsid w:val="009065A0"/>
    <w:rsid w:val="00907024"/>
    <w:rsid w:val="009072ED"/>
    <w:rsid w:val="0090770D"/>
    <w:rsid w:val="009101EC"/>
    <w:rsid w:val="009105B9"/>
    <w:rsid w:val="00910BF7"/>
    <w:rsid w:val="00910EC2"/>
    <w:rsid w:val="00910FFB"/>
    <w:rsid w:val="00911FAC"/>
    <w:rsid w:val="00912013"/>
    <w:rsid w:val="0091216C"/>
    <w:rsid w:val="00912E4C"/>
    <w:rsid w:val="0091378D"/>
    <w:rsid w:val="00913B33"/>
    <w:rsid w:val="00913CC6"/>
    <w:rsid w:val="00913CFB"/>
    <w:rsid w:val="009140B3"/>
    <w:rsid w:val="00914BF8"/>
    <w:rsid w:val="009157EF"/>
    <w:rsid w:val="00915812"/>
    <w:rsid w:val="00915B3C"/>
    <w:rsid w:val="00915BD1"/>
    <w:rsid w:val="00915D93"/>
    <w:rsid w:val="00915E83"/>
    <w:rsid w:val="00916BBA"/>
    <w:rsid w:val="00916D32"/>
    <w:rsid w:val="00916DF4"/>
    <w:rsid w:val="00916F16"/>
    <w:rsid w:val="009171D4"/>
    <w:rsid w:val="00917330"/>
    <w:rsid w:val="009174FB"/>
    <w:rsid w:val="00920224"/>
    <w:rsid w:val="009203C6"/>
    <w:rsid w:val="009208CB"/>
    <w:rsid w:val="00920AA1"/>
    <w:rsid w:val="00920CC8"/>
    <w:rsid w:val="0092131F"/>
    <w:rsid w:val="00921A63"/>
    <w:rsid w:val="00921BB8"/>
    <w:rsid w:val="00921E2B"/>
    <w:rsid w:val="009222D4"/>
    <w:rsid w:val="00922421"/>
    <w:rsid w:val="00923074"/>
    <w:rsid w:val="00923210"/>
    <w:rsid w:val="00923553"/>
    <w:rsid w:val="00923F6E"/>
    <w:rsid w:val="009243AC"/>
    <w:rsid w:val="00924F7A"/>
    <w:rsid w:val="00925962"/>
    <w:rsid w:val="00926409"/>
    <w:rsid w:val="00926765"/>
    <w:rsid w:val="00927369"/>
    <w:rsid w:val="00927440"/>
    <w:rsid w:val="00927DDE"/>
    <w:rsid w:val="0093071B"/>
    <w:rsid w:val="00930C94"/>
    <w:rsid w:val="00930F55"/>
    <w:rsid w:val="00931303"/>
    <w:rsid w:val="009315D6"/>
    <w:rsid w:val="00932C91"/>
    <w:rsid w:val="00933FAC"/>
    <w:rsid w:val="00934223"/>
    <w:rsid w:val="009343F1"/>
    <w:rsid w:val="00934880"/>
    <w:rsid w:val="009350A3"/>
    <w:rsid w:val="009351A8"/>
    <w:rsid w:val="009351BA"/>
    <w:rsid w:val="00936A07"/>
    <w:rsid w:val="00936A5B"/>
    <w:rsid w:val="00936F40"/>
    <w:rsid w:val="00937599"/>
    <w:rsid w:val="009379BA"/>
    <w:rsid w:val="00940038"/>
    <w:rsid w:val="009402BB"/>
    <w:rsid w:val="0094098F"/>
    <w:rsid w:val="00940ED3"/>
    <w:rsid w:val="00941961"/>
    <w:rsid w:val="00941A0E"/>
    <w:rsid w:val="009420F1"/>
    <w:rsid w:val="009420F6"/>
    <w:rsid w:val="00942F88"/>
    <w:rsid w:val="00943013"/>
    <w:rsid w:val="00944004"/>
    <w:rsid w:val="009441F8"/>
    <w:rsid w:val="0094423E"/>
    <w:rsid w:val="009444B4"/>
    <w:rsid w:val="0094539B"/>
    <w:rsid w:val="0094549C"/>
    <w:rsid w:val="0094589D"/>
    <w:rsid w:val="009458FA"/>
    <w:rsid w:val="00945A07"/>
    <w:rsid w:val="00945C56"/>
    <w:rsid w:val="00946198"/>
    <w:rsid w:val="009468C5"/>
    <w:rsid w:val="00946CB6"/>
    <w:rsid w:val="00946DA2"/>
    <w:rsid w:val="00946E00"/>
    <w:rsid w:val="00947132"/>
    <w:rsid w:val="0094786E"/>
    <w:rsid w:val="00947C83"/>
    <w:rsid w:val="00951183"/>
    <w:rsid w:val="00951D2F"/>
    <w:rsid w:val="00952036"/>
    <w:rsid w:val="00952985"/>
    <w:rsid w:val="00952B12"/>
    <w:rsid w:val="00953780"/>
    <w:rsid w:val="00953D0C"/>
    <w:rsid w:val="00953D11"/>
    <w:rsid w:val="009545C0"/>
    <w:rsid w:val="00954CDB"/>
    <w:rsid w:val="00954FBF"/>
    <w:rsid w:val="009558F8"/>
    <w:rsid w:val="00955AF1"/>
    <w:rsid w:val="00956CF9"/>
    <w:rsid w:val="00956FC0"/>
    <w:rsid w:val="00960025"/>
    <w:rsid w:val="00960B61"/>
    <w:rsid w:val="00960B79"/>
    <w:rsid w:val="00961673"/>
    <w:rsid w:val="00961963"/>
    <w:rsid w:val="00962030"/>
    <w:rsid w:val="00962842"/>
    <w:rsid w:val="009634A5"/>
    <w:rsid w:val="009634F2"/>
    <w:rsid w:val="00963829"/>
    <w:rsid w:val="0096393F"/>
    <w:rsid w:val="00963C91"/>
    <w:rsid w:val="00964A71"/>
    <w:rsid w:val="0096509C"/>
    <w:rsid w:val="0096519C"/>
    <w:rsid w:val="00965A2D"/>
    <w:rsid w:val="00966433"/>
    <w:rsid w:val="00967339"/>
    <w:rsid w:val="00967386"/>
    <w:rsid w:val="0097053A"/>
    <w:rsid w:val="009710E6"/>
    <w:rsid w:val="0097154E"/>
    <w:rsid w:val="00971C0D"/>
    <w:rsid w:val="00971C69"/>
    <w:rsid w:val="00972207"/>
    <w:rsid w:val="009723B9"/>
    <w:rsid w:val="0097258B"/>
    <w:rsid w:val="009727A9"/>
    <w:rsid w:val="009728B9"/>
    <w:rsid w:val="00972F00"/>
    <w:rsid w:val="00973326"/>
    <w:rsid w:val="00973B2E"/>
    <w:rsid w:val="009741BE"/>
    <w:rsid w:val="00974318"/>
    <w:rsid w:val="00974495"/>
    <w:rsid w:val="00974841"/>
    <w:rsid w:val="0097536A"/>
    <w:rsid w:val="009758A9"/>
    <w:rsid w:val="009758AF"/>
    <w:rsid w:val="00975B27"/>
    <w:rsid w:val="00975DF6"/>
    <w:rsid w:val="00977582"/>
    <w:rsid w:val="00977B05"/>
    <w:rsid w:val="00980229"/>
    <w:rsid w:val="009808EE"/>
    <w:rsid w:val="009812F8"/>
    <w:rsid w:val="00981B4A"/>
    <w:rsid w:val="00981B5A"/>
    <w:rsid w:val="00981E73"/>
    <w:rsid w:val="00982162"/>
    <w:rsid w:val="0098287D"/>
    <w:rsid w:val="00982A37"/>
    <w:rsid w:val="0098336F"/>
    <w:rsid w:val="0098346B"/>
    <w:rsid w:val="00983822"/>
    <w:rsid w:val="00983DB5"/>
    <w:rsid w:val="00983DF9"/>
    <w:rsid w:val="00983E1D"/>
    <w:rsid w:val="00983FE5"/>
    <w:rsid w:val="009843AD"/>
    <w:rsid w:val="0098484F"/>
    <w:rsid w:val="00984A84"/>
    <w:rsid w:val="009854D8"/>
    <w:rsid w:val="009859F5"/>
    <w:rsid w:val="00985C4E"/>
    <w:rsid w:val="00986273"/>
    <w:rsid w:val="0098641D"/>
    <w:rsid w:val="0098689B"/>
    <w:rsid w:val="00986A8F"/>
    <w:rsid w:val="00986F06"/>
    <w:rsid w:val="0098718F"/>
    <w:rsid w:val="00987243"/>
    <w:rsid w:val="00987513"/>
    <w:rsid w:val="00987E37"/>
    <w:rsid w:val="00990429"/>
    <w:rsid w:val="00990F3D"/>
    <w:rsid w:val="00991079"/>
    <w:rsid w:val="0099174A"/>
    <w:rsid w:val="00991C74"/>
    <w:rsid w:val="00991D85"/>
    <w:rsid w:val="00991FB4"/>
    <w:rsid w:val="00992858"/>
    <w:rsid w:val="00992C3D"/>
    <w:rsid w:val="00992CE6"/>
    <w:rsid w:val="0099305B"/>
    <w:rsid w:val="009933FE"/>
    <w:rsid w:val="00993ABE"/>
    <w:rsid w:val="00993B0B"/>
    <w:rsid w:val="0099450C"/>
    <w:rsid w:val="009949BD"/>
    <w:rsid w:val="00994AD6"/>
    <w:rsid w:val="0099506D"/>
    <w:rsid w:val="0099598E"/>
    <w:rsid w:val="00995E95"/>
    <w:rsid w:val="009963EA"/>
    <w:rsid w:val="00996D34"/>
    <w:rsid w:val="009A0167"/>
    <w:rsid w:val="009A07F9"/>
    <w:rsid w:val="009A1454"/>
    <w:rsid w:val="009A1882"/>
    <w:rsid w:val="009A1C27"/>
    <w:rsid w:val="009A1CA9"/>
    <w:rsid w:val="009A1E08"/>
    <w:rsid w:val="009A3232"/>
    <w:rsid w:val="009A333F"/>
    <w:rsid w:val="009A3ACE"/>
    <w:rsid w:val="009A44B9"/>
    <w:rsid w:val="009A4776"/>
    <w:rsid w:val="009A4CED"/>
    <w:rsid w:val="009A52CD"/>
    <w:rsid w:val="009A56E3"/>
    <w:rsid w:val="009A5A37"/>
    <w:rsid w:val="009A5C33"/>
    <w:rsid w:val="009B0921"/>
    <w:rsid w:val="009B0997"/>
    <w:rsid w:val="009B0A00"/>
    <w:rsid w:val="009B0AA2"/>
    <w:rsid w:val="009B127D"/>
    <w:rsid w:val="009B136A"/>
    <w:rsid w:val="009B2080"/>
    <w:rsid w:val="009B2201"/>
    <w:rsid w:val="009B28D6"/>
    <w:rsid w:val="009B2AA2"/>
    <w:rsid w:val="009B3A99"/>
    <w:rsid w:val="009B3BB8"/>
    <w:rsid w:val="009B3C18"/>
    <w:rsid w:val="009B416C"/>
    <w:rsid w:val="009B4BD1"/>
    <w:rsid w:val="009B51C7"/>
    <w:rsid w:val="009B5729"/>
    <w:rsid w:val="009B5EAB"/>
    <w:rsid w:val="009B61CC"/>
    <w:rsid w:val="009B61E6"/>
    <w:rsid w:val="009B621B"/>
    <w:rsid w:val="009B63D5"/>
    <w:rsid w:val="009B65C2"/>
    <w:rsid w:val="009B6622"/>
    <w:rsid w:val="009B6BD7"/>
    <w:rsid w:val="009B71D7"/>
    <w:rsid w:val="009B740D"/>
    <w:rsid w:val="009B7533"/>
    <w:rsid w:val="009B76A0"/>
    <w:rsid w:val="009B7720"/>
    <w:rsid w:val="009B77F0"/>
    <w:rsid w:val="009B7812"/>
    <w:rsid w:val="009B7EC4"/>
    <w:rsid w:val="009C0075"/>
    <w:rsid w:val="009C0323"/>
    <w:rsid w:val="009C0703"/>
    <w:rsid w:val="009C14E9"/>
    <w:rsid w:val="009C1832"/>
    <w:rsid w:val="009C1B87"/>
    <w:rsid w:val="009C1DC4"/>
    <w:rsid w:val="009C21C7"/>
    <w:rsid w:val="009C35CC"/>
    <w:rsid w:val="009C368D"/>
    <w:rsid w:val="009C3834"/>
    <w:rsid w:val="009C3AD0"/>
    <w:rsid w:val="009C3B04"/>
    <w:rsid w:val="009C4693"/>
    <w:rsid w:val="009C49BA"/>
    <w:rsid w:val="009C5513"/>
    <w:rsid w:val="009C64E8"/>
    <w:rsid w:val="009C66D1"/>
    <w:rsid w:val="009D0D64"/>
    <w:rsid w:val="009D0E33"/>
    <w:rsid w:val="009D1A83"/>
    <w:rsid w:val="009D28CE"/>
    <w:rsid w:val="009D2C7B"/>
    <w:rsid w:val="009D2F55"/>
    <w:rsid w:val="009D3DD6"/>
    <w:rsid w:val="009D4622"/>
    <w:rsid w:val="009D4DE6"/>
    <w:rsid w:val="009D4F8D"/>
    <w:rsid w:val="009D52B5"/>
    <w:rsid w:val="009D5ECA"/>
    <w:rsid w:val="009D6245"/>
    <w:rsid w:val="009D626C"/>
    <w:rsid w:val="009D6291"/>
    <w:rsid w:val="009D657D"/>
    <w:rsid w:val="009D69FF"/>
    <w:rsid w:val="009D6ED0"/>
    <w:rsid w:val="009D7378"/>
    <w:rsid w:val="009D76F4"/>
    <w:rsid w:val="009D773C"/>
    <w:rsid w:val="009D7D18"/>
    <w:rsid w:val="009E0273"/>
    <w:rsid w:val="009E02CE"/>
    <w:rsid w:val="009E07D3"/>
    <w:rsid w:val="009E0802"/>
    <w:rsid w:val="009E147C"/>
    <w:rsid w:val="009E17A2"/>
    <w:rsid w:val="009E1CD1"/>
    <w:rsid w:val="009E22D0"/>
    <w:rsid w:val="009E28C5"/>
    <w:rsid w:val="009E298A"/>
    <w:rsid w:val="009E2B98"/>
    <w:rsid w:val="009E309B"/>
    <w:rsid w:val="009E42F9"/>
    <w:rsid w:val="009E4655"/>
    <w:rsid w:val="009E48CA"/>
    <w:rsid w:val="009E49D2"/>
    <w:rsid w:val="009E4AC3"/>
    <w:rsid w:val="009E4DD8"/>
    <w:rsid w:val="009E4F8A"/>
    <w:rsid w:val="009E55B5"/>
    <w:rsid w:val="009E55D7"/>
    <w:rsid w:val="009E5DC3"/>
    <w:rsid w:val="009E639E"/>
    <w:rsid w:val="009E662F"/>
    <w:rsid w:val="009E670B"/>
    <w:rsid w:val="009E6F9F"/>
    <w:rsid w:val="009F10D4"/>
    <w:rsid w:val="009F1240"/>
    <w:rsid w:val="009F1827"/>
    <w:rsid w:val="009F1ECB"/>
    <w:rsid w:val="009F2581"/>
    <w:rsid w:val="009F37C3"/>
    <w:rsid w:val="009F451A"/>
    <w:rsid w:val="009F4922"/>
    <w:rsid w:val="009F4EFD"/>
    <w:rsid w:val="009F504B"/>
    <w:rsid w:val="009F52B4"/>
    <w:rsid w:val="009F538D"/>
    <w:rsid w:val="009F5849"/>
    <w:rsid w:val="009F5E79"/>
    <w:rsid w:val="009F778B"/>
    <w:rsid w:val="009F79E4"/>
    <w:rsid w:val="009F7A03"/>
    <w:rsid w:val="00A00500"/>
    <w:rsid w:val="00A00F31"/>
    <w:rsid w:val="00A01803"/>
    <w:rsid w:val="00A021BB"/>
    <w:rsid w:val="00A0240D"/>
    <w:rsid w:val="00A02458"/>
    <w:rsid w:val="00A0264C"/>
    <w:rsid w:val="00A02824"/>
    <w:rsid w:val="00A02CDE"/>
    <w:rsid w:val="00A0323F"/>
    <w:rsid w:val="00A03260"/>
    <w:rsid w:val="00A035F1"/>
    <w:rsid w:val="00A03E9D"/>
    <w:rsid w:val="00A04336"/>
    <w:rsid w:val="00A0433B"/>
    <w:rsid w:val="00A04CFB"/>
    <w:rsid w:val="00A04E83"/>
    <w:rsid w:val="00A05644"/>
    <w:rsid w:val="00A058D0"/>
    <w:rsid w:val="00A061F6"/>
    <w:rsid w:val="00A06A64"/>
    <w:rsid w:val="00A06D34"/>
    <w:rsid w:val="00A0739A"/>
    <w:rsid w:val="00A07D0E"/>
    <w:rsid w:val="00A1012F"/>
    <w:rsid w:val="00A10C08"/>
    <w:rsid w:val="00A112EF"/>
    <w:rsid w:val="00A11419"/>
    <w:rsid w:val="00A11644"/>
    <w:rsid w:val="00A11C2A"/>
    <w:rsid w:val="00A11EEE"/>
    <w:rsid w:val="00A13302"/>
    <w:rsid w:val="00A13698"/>
    <w:rsid w:val="00A144A8"/>
    <w:rsid w:val="00A14871"/>
    <w:rsid w:val="00A14B4D"/>
    <w:rsid w:val="00A14CEF"/>
    <w:rsid w:val="00A155F7"/>
    <w:rsid w:val="00A15F4A"/>
    <w:rsid w:val="00A169DC"/>
    <w:rsid w:val="00A17EAE"/>
    <w:rsid w:val="00A20969"/>
    <w:rsid w:val="00A20AA9"/>
    <w:rsid w:val="00A20EA7"/>
    <w:rsid w:val="00A2109A"/>
    <w:rsid w:val="00A22784"/>
    <w:rsid w:val="00A232B3"/>
    <w:rsid w:val="00A2442B"/>
    <w:rsid w:val="00A25CFC"/>
    <w:rsid w:val="00A263A8"/>
    <w:rsid w:val="00A268A3"/>
    <w:rsid w:val="00A268EA"/>
    <w:rsid w:val="00A2723D"/>
    <w:rsid w:val="00A304CE"/>
    <w:rsid w:val="00A31830"/>
    <w:rsid w:val="00A32401"/>
    <w:rsid w:val="00A32821"/>
    <w:rsid w:val="00A32FC9"/>
    <w:rsid w:val="00A33910"/>
    <w:rsid w:val="00A3397D"/>
    <w:rsid w:val="00A33BC7"/>
    <w:rsid w:val="00A33E19"/>
    <w:rsid w:val="00A34037"/>
    <w:rsid w:val="00A3454D"/>
    <w:rsid w:val="00A3488B"/>
    <w:rsid w:val="00A350BE"/>
    <w:rsid w:val="00A357E9"/>
    <w:rsid w:val="00A36A80"/>
    <w:rsid w:val="00A37330"/>
    <w:rsid w:val="00A374BD"/>
    <w:rsid w:val="00A374DD"/>
    <w:rsid w:val="00A40048"/>
    <w:rsid w:val="00A40689"/>
    <w:rsid w:val="00A413C7"/>
    <w:rsid w:val="00A41869"/>
    <w:rsid w:val="00A41D08"/>
    <w:rsid w:val="00A41F35"/>
    <w:rsid w:val="00A420A1"/>
    <w:rsid w:val="00A4288C"/>
    <w:rsid w:val="00A42A5F"/>
    <w:rsid w:val="00A42E84"/>
    <w:rsid w:val="00A432FA"/>
    <w:rsid w:val="00A433D6"/>
    <w:rsid w:val="00A43A13"/>
    <w:rsid w:val="00A43A68"/>
    <w:rsid w:val="00A449C6"/>
    <w:rsid w:val="00A45125"/>
    <w:rsid w:val="00A4617B"/>
    <w:rsid w:val="00A463E7"/>
    <w:rsid w:val="00A46823"/>
    <w:rsid w:val="00A47A76"/>
    <w:rsid w:val="00A5067A"/>
    <w:rsid w:val="00A50748"/>
    <w:rsid w:val="00A5093E"/>
    <w:rsid w:val="00A513E6"/>
    <w:rsid w:val="00A51539"/>
    <w:rsid w:val="00A52650"/>
    <w:rsid w:val="00A527B1"/>
    <w:rsid w:val="00A52D19"/>
    <w:rsid w:val="00A532D3"/>
    <w:rsid w:val="00A532F2"/>
    <w:rsid w:val="00A53AD7"/>
    <w:rsid w:val="00A53C81"/>
    <w:rsid w:val="00A54A43"/>
    <w:rsid w:val="00A55587"/>
    <w:rsid w:val="00A564AC"/>
    <w:rsid w:val="00A5685E"/>
    <w:rsid w:val="00A56A76"/>
    <w:rsid w:val="00A5702F"/>
    <w:rsid w:val="00A57259"/>
    <w:rsid w:val="00A577D4"/>
    <w:rsid w:val="00A57A9D"/>
    <w:rsid w:val="00A6131D"/>
    <w:rsid w:val="00A6151A"/>
    <w:rsid w:val="00A61804"/>
    <w:rsid w:val="00A618D0"/>
    <w:rsid w:val="00A61D30"/>
    <w:rsid w:val="00A62CB3"/>
    <w:rsid w:val="00A63589"/>
    <w:rsid w:val="00A6393D"/>
    <w:rsid w:val="00A64153"/>
    <w:rsid w:val="00A644B6"/>
    <w:rsid w:val="00A64B71"/>
    <w:rsid w:val="00A64E41"/>
    <w:rsid w:val="00A64F47"/>
    <w:rsid w:val="00A65707"/>
    <w:rsid w:val="00A6635F"/>
    <w:rsid w:val="00A66AE8"/>
    <w:rsid w:val="00A66C15"/>
    <w:rsid w:val="00A67C25"/>
    <w:rsid w:val="00A67E15"/>
    <w:rsid w:val="00A7087D"/>
    <w:rsid w:val="00A70BEE"/>
    <w:rsid w:val="00A70E38"/>
    <w:rsid w:val="00A710B1"/>
    <w:rsid w:val="00A724E5"/>
    <w:rsid w:val="00A72675"/>
    <w:rsid w:val="00A726EC"/>
    <w:rsid w:val="00A72707"/>
    <w:rsid w:val="00A72F68"/>
    <w:rsid w:val="00A732E2"/>
    <w:rsid w:val="00A73450"/>
    <w:rsid w:val="00A74782"/>
    <w:rsid w:val="00A74B33"/>
    <w:rsid w:val="00A74CD6"/>
    <w:rsid w:val="00A74F25"/>
    <w:rsid w:val="00A74F67"/>
    <w:rsid w:val="00A754FF"/>
    <w:rsid w:val="00A755C3"/>
    <w:rsid w:val="00A75E32"/>
    <w:rsid w:val="00A767C7"/>
    <w:rsid w:val="00A76F04"/>
    <w:rsid w:val="00A76F84"/>
    <w:rsid w:val="00A772F2"/>
    <w:rsid w:val="00A77453"/>
    <w:rsid w:val="00A7764B"/>
    <w:rsid w:val="00A77664"/>
    <w:rsid w:val="00A777E6"/>
    <w:rsid w:val="00A77A54"/>
    <w:rsid w:val="00A808C8"/>
    <w:rsid w:val="00A80BF2"/>
    <w:rsid w:val="00A80C95"/>
    <w:rsid w:val="00A81672"/>
    <w:rsid w:val="00A81AF3"/>
    <w:rsid w:val="00A81B3E"/>
    <w:rsid w:val="00A8223A"/>
    <w:rsid w:val="00A8235B"/>
    <w:rsid w:val="00A82950"/>
    <w:rsid w:val="00A83561"/>
    <w:rsid w:val="00A83DF5"/>
    <w:rsid w:val="00A84427"/>
    <w:rsid w:val="00A84BAA"/>
    <w:rsid w:val="00A85951"/>
    <w:rsid w:val="00A85C17"/>
    <w:rsid w:val="00A870B9"/>
    <w:rsid w:val="00A87322"/>
    <w:rsid w:val="00A87849"/>
    <w:rsid w:val="00A9027D"/>
    <w:rsid w:val="00A912EC"/>
    <w:rsid w:val="00A9149B"/>
    <w:rsid w:val="00A91810"/>
    <w:rsid w:val="00A91DEE"/>
    <w:rsid w:val="00A9289C"/>
    <w:rsid w:val="00A92D0A"/>
    <w:rsid w:val="00A93054"/>
    <w:rsid w:val="00A93A46"/>
    <w:rsid w:val="00A94CF1"/>
    <w:rsid w:val="00A9611F"/>
    <w:rsid w:val="00A96495"/>
    <w:rsid w:val="00A9681F"/>
    <w:rsid w:val="00A96F49"/>
    <w:rsid w:val="00A97025"/>
    <w:rsid w:val="00A978E3"/>
    <w:rsid w:val="00A97953"/>
    <w:rsid w:val="00A97CBF"/>
    <w:rsid w:val="00A97E9F"/>
    <w:rsid w:val="00AA04BF"/>
    <w:rsid w:val="00AA07E7"/>
    <w:rsid w:val="00AA09D4"/>
    <w:rsid w:val="00AA0EA4"/>
    <w:rsid w:val="00AA2217"/>
    <w:rsid w:val="00AA297F"/>
    <w:rsid w:val="00AA2ED3"/>
    <w:rsid w:val="00AA2F47"/>
    <w:rsid w:val="00AA3074"/>
    <w:rsid w:val="00AA3820"/>
    <w:rsid w:val="00AA4FDB"/>
    <w:rsid w:val="00AA5573"/>
    <w:rsid w:val="00AA570C"/>
    <w:rsid w:val="00AA5BE6"/>
    <w:rsid w:val="00AA6D16"/>
    <w:rsid w:val="00AA748E"/>
    <w:rsid w:val="00AA77C3"/>
    <w:rsid w:val="00AB00A0"/>
    <w:rsid w:val="00AB017E"/>
    <w:rsid w:val="00AB0D71"/>
    <w:rsid w:val="00AB0FAD"/>
    <w:rsid w:val="00AB13C6"/>
    <w:rsid w:val="00AB145A"/>
    <w:rsid w:val="00AB1D15"/>
    <w:rsid w:val="00AB23A2"/>
    <w:rsid w:val="00AB2550"/>
    <w:rsid w:val="00AB35A9"/>
    <w:rsid w:val="00AB3B4F"/>
    <w:rsid w:val="00AB4ACB"/>
    <w:rsid w:val="00AB4B43"/>
    <w:rsid w:val="00AB4BC7"/>
    <w:rsid w:val="00AB4D44"/>
    <w:rsid w:val="00AB5768"/>
    <w:rsid w:val="00AB6DBB"/>
    <w:rsid w:val="00AB73D1"/>
    <w:rsid w:val="00AB7C70"/>
    <w:rsid w:val="00AC0083"/>
    <w:rsid w:val="00AC06E5"/>
    <w:rsid w:val="00AC0804"/>
    <w:rsid w:val="00AC1527"/>
    <w:rsid w:val="00AC19F6"/>
    <w:rsid w:val="00AC1AC8"/>
    <w:rsid w:val="00AC2562"/>
    <w:rsid w:val="00AC2A20"/>
    <w:rsid w:val="00AC2AE1"/>
    <w:rsid w:val="00AC32CA"/>
    <w:rsid w:val="00AC37BD"/>
    <w:rsid w:val="00AC3B71"/>
    <w:rsid w:val="00AC3DF5"/>
    <w:rsid w:val="00AC4211"/>
    <w:rsid w:val="00AC44E1"/>
    <w:rsid w:val="00AC461D"/>
    <w:rsid w:val="00AC4DD1"/>
    <w:rsid w:val="00AC55E4"/>
    <w:rsid w:val="00AC5CB5"/>
    <w:rsid w:val="00AC5E51"/>
    <w:rsid w:val="00AC6A47"/>
    <w:rsid w:val="00AC6AE4"/>
    <w:rsid w:val="00AC6FF8"/>
    <w:rsid w:val="00AC7248"/>
    <w:rsid w:val="00AC7451"/>
    <w:rsid w:val="00AC7B07"/>
    <w:rsid w:val="00AD0294"/>
    <w:rsid w:val="00AD080E"/>
    <w:rsid w:val="00AD0967"/>
    <w:rsid w:val="00AD0A50"/>
    <w:rsid w:val="00AD20DA"/>
    <w:rsid w:val="00AD27FC"/>
    <w:rsid w:val="00AD42AD"/>
    <w:rsid w:val="00AD4C9B"/>
    <w:rsid w:val="00AD4D99"/>
    <w:rsid w:val="00AD4E55"/>
    <w:rsid w:val="00AD5B9A"/>
    <w:rsid w:val="00AD5D81"/>
    <w:rsid w:val="00AD5DDA"/>
    <w:rsid w:val="00AD6A18"/>
    <w:rsid w:val="00AD6F92"/>
    <w:rsid w:val="00AD7550"/>
    <w:rsid w:val="00AD7D9A"/>
    <w:rsid w:val="00AD7FED"/>
    <w:rsid w:val="00AE076A"/>
    <w:rsid w:val="00AE08C7"/>
    <w:rsid w:val="00AE0D69"/>
    <w:rsid w:val="00AE1520"/>
    <w:rsid w:val="00AE171E"/>
    <w:rsid w:val="00AE18FB"/>
    <w:rsid w:val="00AE2205"/>
    <w:rsid w:val="00AE232D"/>
    <w:rsid w:val="00AE2931"/>
    <w:rsid w:val="00AE2D1D"/>
    <w:rsid w:val="00AE3D8D"/>
    <w:rsid w:val="00AE48A4"/>
    <w:rsid w:val="00AE53BC"/>
    <w:rsid w:val="00AE6785"/>
    <w:rsid w:val="00AE6AA0"/>
    <w:rsid w:val="00AE6BC4"/>
    <w:rsid w:val="00AE6E2C"/>
    <w:rsid w:val="00AE76F5"/>
    <w:rsid w:val="00AE7FFD"/>
    <w:rsid w:val="00AF0229"/>
    <w:rsid w:val="00AF0B26"/>
    <w:rsid w:val="00AF1411"/>
    <w:rsid w:val="00AF1660"/>
    <w:rsid w:val="00AF188C"/>
    <w:rsid w:val="00AF1B28"/>
    <w:rsid w:val="00AF1DF9"/>
    <w:rsid w:val="00AF1FC6"/>
    <w:rsid w:val="00AF29CE"/>
    <w:rsid w:val="00AF2B58"/>
    <w:rsid w:val="00AF3E54"/>
    <w:rsid w:val="00AF4420"/>
    <w:rsid w:val="00AF49C9"/>
    <w:rsid w:val="00AF510A"/>
    <w:rsid w:val="00AF5A62"/>
    <w:rsid w:val="00AF622B"/>
    <w:rsid w:val="00AF651E"/>
    <w:rsid w:val="00B00E44"/>
    <w:rsid w:val="00B012F0"/>
    <w:rsid w:val="00B014C4"/>
    <w:rsid w:val="00B01EC6"/>
    <w:rsid w:val="00B02C46"/>
    <w:rsid w:val="00B02DA4"/>
    <w:rsid w:val="00B03514"/>
    <w:rsid w:val="00B03668"/>
    <w:rsid w:val="00B03713"/>
    <w:rsid w:val="00B037FF"/>
    <w:rsid w:val="00B03A26"/>
    <w:rsid w:val="00B03DAA"/>
    <w:rsid w:val="00B03EE8"/>
    <w:rsid w:val="00B03F9B"/>
    <w:rsid w:val="00B041AD"/>
    <w:rsid w:val="00B0544E"/>
    <w:rsid w:val="00B05C3A"/>
    <w:rsid w:val="00B05F29"/>
    <w:rsid w:val="00B05F84"/>
    <w:rsid w:val="00B06312"/>
    <w:rsid w:val="00B0701A"/>
    <w:rsid w:val="00B07100"/>
    <w:rsid w:val="00B07501"/>
    <w:rsid w:val="00B07B0A"/>
    <w:rsid w:val="00B07DE5"/>
    <w:rsid w:val="00B07EFF"/>
    <w:rsid w:val="00B102D5"/>
    <w:rsid w:val="00B11F93"/>
    <w:rsid w:val="00B12074"/>
    <w:rsid w:val="00B12C6E"/>
    <w:rsid w:val="00B1354C"/>
    <w:rsid w:val="00B144CD"/>
    <w:rsid w:val="00B1466D"/>
    <w:rsid w:val="00B14E00"/>
    <w:rsid w:val="00B153A9"/>
    <w:rsid w:val="00B159C3"/>
    <w:rsid w:val="00B15D71"/>
    <w:rsid w:val="00B15E0A"/>
    <w:rsid w:val="00B163E4"/>
    <w:rsid w:val="00B21207"/>
    <w:rsid w:val="00B21272"/>
    <w:rsid w:val="00B213E6"/>
    <w:rsid w:val="00B21C1C"/>
    <w:rsid w:val="00B22282"/>
    <w:rsid w:val="00B22543"/>
    <w:rsid w:val="00B2264E"/>
    <w:rsid w:val="00B226B1"/>
    <w:rsid w:val="00B233CC"/>
    <w:rsid w:val="00B244FE"/>
    <w:rsid w:val="00B245F3"/>
    <w:rsid w:val="00B24686"/>
    <w:rsid w:val="00B24F82"/>
    <w:rsid w:val="00B25F53"/>
    <w:rsid w:val="00B25FD4"/>
    <w:rsid w:val="00B26148"/>
    <w:rsid w:val="00B26804"/>
    <w:rsid w:val="00B271F3"/>
    <w:rsid w:val="00B27CFD"/>
    <w:rsid w:val="00B311C9"/>
    <w:rsid w:val="00B31544"/>
    <w:rsid w:val="00B317F8"/>
    <w:rsid w:val="00B336E0"/>
    <w:rsid w:val="00B3376C"/>
    <w:rsid w:val="00B34A8F"/>
    <w:rsid w:val="00B34CC2"/>
    <w:rsid w:val="00B35925"/>
    <w:rsid w:val="00B363E2"/>
    <w:rsid w:val="00B36548"/>
    <w:rsid w:val="00B36953"/>
    <w:rsid w:val="00B36AE8"/>
    <w:rsid w:val="00B36F6C"/>
    <w:rsid w:val="00B37EBF"/>
    <w:rsid w:val="00B37FD6"/>
    <w:rsid w:val="00B4050D"/>
    <w:rsid w:val="00B40DE7"/>
    <w:rsid w:val="00B411EA"/>
    <w:rsid w:val="00B417B2"/>
    <w:rsid w:val="00B41870"/>
    <w:rsid w:val="00B4213C"/>
    <w:rsid w:val="00B43240"/>
    <w:rsid w:val="00B43E64"/>
    <w:rsid w:val="00B4430C"/>
    <w:rsid w:val="00B44CE1"/>
    <w:rsid w:val="00B451B9"/>
    <w:rsid w:val="00B45C64"/>
    <w:rsid w:val="00B467F3"/>
    <w:rsid w:val="00B46BCC"/>
    <w:rsid w:val="00B474B5"/>
    <w:rsid w:val="00B47D9F"/>
    <w:rsid w:val="00B50425"/>
    <w:rsid w:val="00B5050C"/>
    <w:rsid w:val="00B50BB4"/>
    <w:rsid w:val="00B51376"/>
    <w:rsid w:val="00B52691"/>
    <w:rsid w:val="00B5297F"/>
    <w:rsid w:val="00B529FB"/>
    <w:rsid w:val="00B52B14"/>
    <w:rsid w:val="00B52D23"/>
    <w:rsid w:val="00B53166"/>
    <w:rsid w:val="00B53540"/>
    <w:rsid w:val="00B538D9"/>
    <w:rsid w:val="00B53BB9"/>
    <w:rsid w:val="00B53E6D"/>
    <w:rsid w:val="00B54365"/>
    <w:rsid w:val="00B54AA5"/>
    <w:rsid w:val="00B55172"/>
    <w:rsid w:val="00B55AC0"/>
    <w:rsid w:val="00B56949"/>
    <w:rsid w:val="00B606AE"/>
    <w:rsid w:val="00B6081D"/>
    <w:rsid w:val="00B609B0"/>
    <w:rsid w:val="00B60DDF"/>
    <w:rsid w:val="00B6131F"/>
    <w:rsid w:val="00B61838"/>
    <w:rsid w:val="00B61C9A"/>
    <w:rsid w:val="00B62388"/>
    <w:rsid w:val="00B62895"/>
    <w:rsid w:val="00B6292B"/>
    <w:rsid w:val="00B629FF"/>
    <w:rsid w:val="00B62ADD"/>
    <w:rsid w:val="00B630F3"/>
    <w:rsid w:val="00B631F4"/>
    <w:rsid w:val="00B631FE"/>
    <w:rsid w:val="00B63797"/>
    <w:rsid w:val="00B638E1"/>
    <w:rsid w:val="00B638F5"/>
    <w:rsid w:val="00B63B63"/>
    <w:rsid w:val="00B63E29"/>
    <w:rsid w:val="00B64182"/>
    <w:rsid w:val="00B652C9"/>
    <w:rsid w:val="00B6564E"/>
    <w:rsid w:val="00B65CBE"/>
    <w:rsid w:val="00B66092"/>
    <w:rsid w:val="00B66506"/>
    <w:rsid w:val="00B666F6"/>
    <w:rsid w:val="00B66C44"/>
    <w:rsid w:val="00B70018"/>
    <w:rsid w:val="00B70C2E"/>
    <w:rsid w:val="00B71632"/>
    <w:rsid w:val="00B7193F"/>
    <w:rsid w:val="00B71CD4"/>
    <w:rsid w:val="00B71E93"/>
    <w:rsid w:val="00B72511"/>
    <w:rsid w:val="00B72A6C"/>
    <w:rsid w:val="00B72CA4"/>
    <w:rsid w:val="00B72CAC"/>
    <w:rsid w:val="00B7329E"/>
    <w:rsid w:val="00B7378E"/>
    <w:rsid w:val="00B73EAF"/>
    <w:rsid w:val="00B7406E"/>
    <w:rsid w:val="00B74A33"/>
    <w:rsid w:val="00B74E8C"/>
    <w:rsid w:val="00B75228"/>
    <w:rsid w:val="00B75269"/>
    <w:rsid w:val="00B7594E"/>
    <w:rsid w:val="00B75D58"/>
    <w:rsid w:val="00B76296"/>
    <w:rsid w:val="00B7776D"/>
    <w:rsid w:val="00B77807"/>
    <w:rsid w:val="00B779B5"/>
    <w:rsid w:val="00B77E60"/>
    <w:rsid w:val="00B80213"/>
    <w:rsid w:val="00B8021C"/>
    <w:rsid w:val="00B80400"/>
    <w:rsid w:val="00B80502"/>
    <w:rsid w:val="00B807B8"/>
    <w:rsid w:val="00B808FA"/>
    <w:rsid w:val="00B81148"/>
    <w:rsid w:val="00B8132E"/>
    <w:rsid w:val="00B81515"/>
    <w:rsid w:val="00B81C64"/>
    <w:rsid w:val="00B8289F"/>
    <w:rsid w:val="00B83127"/>
    <w:rsid w:val="00B8331A"/>
    <w:rsid w:val="00B83763"/>
    <w:rsid w:val="00B83D27"/>
    <w:rsid w:val="00B84022"/>
    <w:rsid w:val="00B84D58"/>
    <w:rsid w:val="00B84F76"/>
    <w:rsid w:val="00B85639"/>
    <w:rsid w:val="00B86393"/>
    <w:rsid w:val="00B86FCC"/>
    <w:rsid w:val="00B87721"/>
    <w:rsid w:val="00B902C7"/>
    <w:rsid w:val="00B90C0F"/>
    <w:rsid w:val="00B90D00"/>
    <w:rsid w:val="00B90ECE"/>
    <w:rsid w:val="00B922E4"/>
    <w:rsid w:val="00B926D4"/>
    <w:rsid w:val="00B929F3"/>
    <w:rsid w:val="00B92CA1"/>
    <w:rsid w:val="00B92F05"/>
    <w:rsid w:val="00B937B7"/>
    <w:rsid w:val="00B939C8"/>
    <w:rsid w:val="00B948BC"/>
    <w:rsid w:val="00B94B36"/>
    <w:rsid w:val="00B95240"/>
    <w:rsid w:val="00B9587D"/>
    <w:rsid w:val="00B95997"/>
    <w:rsid w:val="00B95C2E"/>
    <w:rsid w:val="00B964EA"/>
    <w:rsid w:val="00B973DB"/>
    <w:rsid w:val="00B97416"/>
    <w:rsid w:val="00B9768F"/>
    <w:rsid w:val="00BA0128"/>
    <w:rsid w:val="00BA0238"/>
    <w:rsid w:val="00BA0250"/>
    <w:rsid w:val="00BA026E"/>
    <w:rsid w:val="00BA1742"/>
    <w:rsid w:val="00BA18A7"/>
    <w:rsid w:val="00BA29E2"/>
    <w:rsid w:val="00BA2AB4"/>
    <w:rsid w:val="00BA35D8"/>
    <w:rsid w:val="00BA376B"/>
    <w:rsid w:val="00BA3A04"/>
    <w:rsid w:val="00BA3AD2"/>
    <w:rsid w:val="00BA4365"/>
    <w:rsid w:val="00BA458D"/>
    <w:rsid w:val="00BA4636"/>
    <w:rsid w:val="00BA4A2B"/>
    <w:rsid w:val="00BA4BF7"/>
    <w:rsid w:val="00BA4C7E"/>
    <w:rsid w:val="00BA4C9C"/>
    <w:rsid w:val="00BA507E"/>
    <w:rsid w:val="00BA5095"/>
    <w:rsid w:val="00BA517B"/>
    <w:rsid w:val="00BA6912"/>
    <w:rsid w:val="00BA69D3"/>
    <w:rsid w:val="00BB0EF3"/>
    <w:rsid w:val="00BB1321"/>
    <w:rsid w:val="00BB3606"/>
    <w:rsid w:val="00BB3B4D"/>
    <w:rsid w:val="00BB451C"/>
    <w:rsid w:val="00BB46BA"/>
    <w:rsid w:val="00BB501D"/>
    <w:rsid w:val="00BB529A"/>
    <w:rsid w:val="00BB5356"/>
    <w:rsid w:val="00BB657A"/>
    <w:rsid w:val="00BB6C62"/>
    <w:rsid w:val="00BB6DF2"/>
    <w:rsid w:val="00BB720E"/>
    <w:rsid w:val="00BB796B"/>
    <w:rsid w:val="00BB7B4E"/>
    <w:rsid w:val="00BB7E42"/>
    <w:rsid w:val="00BC019A"/>
    <w:rsid w:val="00BC01D6"/>
    <w:rsid w:val="00BC0661"/>
    <w:rsid w:val="00BC0C9F"/>
    <w:rsid w:val="00BC1618"/>
    <w:rsid w:val="00BC1B54"/>
    <w:rsid w:val="00BC1D8E"/>
    <w:rsid w:val="00BC23B4"/>
    <w:rsid w:val="00BC262E"/>
    <w:rsid w:val="00BC27AA"/>
    <w:rsid w:val="00BC37AC"/>
    <w:rsid w:val="00BC3832"/>
    <w:rsid w:val="00BC3B45"/>
    <w:rsid w:val="00BC3DB0"/>
    <w:rsid w:val="00BC44D8"/>
    <w:rsid w:val="00BC4B0F"/>
    <w:rsid w:val="00BC4C13"/>
    <w:rsid w:val="00BC5768"/>
    <w:rsid w:val="00BC6107"/>
    <w:rsid w:val="00BC721D"/>
    <w:rsid w:val="00BC7223"/>
    <w:rsid w:val="00BC77ED"/>
    <w:rsid w:val="00BD019A"/>
    <w:rsid w:val="00BD10D9"/>
    <w:rsid w:val="00BD12C5"/>
    <w:rsid w:val="00BD1B42"/>
    <w:rsid w:val="00BD271A"/>
    <w:rsid w:val="00BD303F"/>
    <w:rsid w:val="00BD3CA2"/>
    <w:rsid w:val="00BD3FD5"/>
    <w:rsid w:val="00BD4C3D"/>
    <w:rsid w:val="00BD4DDB"/>
    <w:rsid w:val="00BD4E07"/>
    <w:rsid w:val="00BD52E0"/>
    <w:rsid w:val="00BD533F"/>
    <w:rsid w:val="00BD54CB"/>
    <w:rsid w:val="00BD5C8E"/>
    <w:rsid w:val="00BD604A"/>
    <w:rsid w:val="00BD644D"/>
    <w:rsid w:val="00BD692E"/>
    <w:rsid w:val="00BD6BB0"/>
    <w:rsid w:val="00BD6DE9"/>
    <w:rsid w:val="00BE06B5"/>
    <w:rsid w:val="00BE1002"/>
    <w:rsid w:val="00BE1053"/>
    <w:rsid w:val="00BE1C79"/>
    <w:rsid w:val="00BE1DD8"/>
    <w:rsid w:val="00BE2D88"/>
    <w:rsid w:val="00BE3129"/>
    <w:rsid w:val="00BE3F64"/>
    <w:rsid w:val="00BE5775"/>
    <w:rsid w:val="00BE57C6"/>
    <w:rsid w:val="00BE6994"/>
    <w:rsid w:val="00BE6A0E"/>
    <w:rsid w:val="00BE700C"/>
    <w:rsid w:val="00BE7388"/>
    <w:rsid w:val="00BE77E8"/>
    <w:rsid w:val="00BE7E0A"/>
    <w:rsid w:val="00BF0026"/>
    <w:rsid w:val="00BF05EC"/>
    <w:rsid w:val="00BF09A7"/>
    <w:rsid w:val="00BF1623"/>
    <w:rsid w:val="00BF1AB4"/>
    <w:rsid w:val="00BF20AF"/>
    <w:rsid w:val="00BF2558"/>
    <w:rsid w:val="00BF2862"/>
    <w:rsid w:val="00BF3348"/>
    <w:rsid w:val="00BF3EDE"/>
    <w:rsid w:val="00BF3FBF"/>
    <w:rsid w:val="00BF4723"/>
    <w:rsid w:val="00BF4979"/>
    <w:rsid w:val="00BF53F1"/>
    <w:rsid w:val="00BF56F2"/>
    <w:rsid w:val="00BF5C8F"/>
    <w:rsid w:val="00BF5ECA"/>
    <w:rsid w:val="00BF5FAD"/>
    <w:rsid w:val="00BF6AAD"/>
    <w:rsid w:val="00BF6F0D"/>
    <w:rsid w:val="00BF7BC7"/>
    <w:rsid w:val="00BF7DCA"/>
    <w:rsid w:val="00C001BE"/>
    <w:rsid w:val="00C005C5"/>
    <w:rsid w:val="00C01148"/>
    <w:rsid w:val="00C011C7"/>
    <w:rsid w:val="00C014D4"/>
    <w:rsid w:val="00C01752"/>
    <w:rsid w:val="00C0264E"/>
    <w:rsid w:val="00C0267B"/>
    <w:rsid w:val="00C02E84"/>
    <w:rsid w:val="00C03B69"/>
    <w:rsid w:val="00C04DDD"/>
    <w:rsid w:val="00C06152"/>
    <w:rsid w:val="00C07186"/>
    <w:rsid w:val="00C07A3D"/>
    <w:rsid w:val="00C07B87"/>
    <w:rsid w:val="00C1065B"/>
    <w:rsid w:val="00C107D3"/>
    <w:rsid w:val="00C108A8"/>
    <w:rsid w:val="00C10ADF"/>
    <w:rsid w:val="00C10EF8"/>
    <w:rsid w:val="00C112A4"/>
    <w:rsid w:val="00C112BD"/>
    <w:rsid w:val="00C1225D"/>
    <w:rsid w:val="00C12504"/>
    <w:rsid w:val="00C12681"/>
    <w:rsid w:val="00C12A87"/>
    <w:rsid w:val="00C1370D"/>
    <w:rsid w:val="00C150F1"/>
    <w:rsid w:val="00C150F3"/>
    <w:rsid w:val="00C1528A"/>
    <w:rsid w:val="00C167FE"/>
    <w:rsid w:val="00C16ED8"/>
    <w:rsid w:val="00C175A0"/>
    <w:rsid w:val="00C17A46"/>
    <w:rsid w:val="00C21F3E"/>
    <w:rsid w:val="00C2206F"/>
    <w:rsid w:val="00C220AC"/>
    <w:rsid w:val="00C223B3"/>
    <w:rsid w:val="00C228D0"/>
    <w:rsid w:val="00C239A0"/>
    <w:rsid w:val="00C23C85"/>
    <w:rsid w:val="00C241E6"/>
    <w:rsid w:val="00C24C06"/>
    <w:rsid w:val="00C25D33"/>
    <w:rsid w:val="00C2628B"/>
    <w:rsid w:val="00C26311"/>
    <w:rsid w:val="00C26635"/>
    <w:rsid w:val="00C26F15"/>
    <w:rsid w:val="00C273DB"/>
    <w:rsid w:val="00C27678"/>
    <w:rsid w:val="00C27EA2"/>
    <w:rsid w:val="00C307E7"/>
    <w:rsid w:val="00C30BDA"/>
    <w:rsid w:val="00C331CA"/>
    <w:rsid w:val="00C3338C"/>
    <w:rsid w:val="00C3372A"/>
    <w:rsid w:val="00C34097"/>
    <w:rsid w:val="00C3453E"/>
    <w:rsid w:val="00C34974"/>
    <w:rsid w:val="00C35E4B"/>
    <w:rsid w:val="00C3623F"/>
    <w:rsid w:val="00C36D8A"/>
    <w:rsid w:val="00C37AF2"/>
    <w:rsid w:val="00C401AA"/>
    <w:rsid w:val="00C403F2"/>
    <w:rsid w:val="00C420AC"/>
    <w:rsid w:val="00C422A6"/>
    <w:rsid w:val="00C42A23"/>
    <w:rsid w:val="00C42DB2"/>
    <w:rsid w:val="00C42DEE"/>
    <w:rsid w:val="00C43501"/>
    <w:rsid w:val="00C442A7"/>
    <w:rsid w:val="00C4439E"/>
    <w:rsid w:val="00C4453A"/>
    <w:rsid w:val="00C4460C"/>
    <w:rsid w:val="00C45812"/>
    <w:rsid w:val="00C45D9D"/>
    <w:rsid w:val="00C461F3"/>
    <w:rsid w:val="00C4688B"/>
    <w:rsid w:val="00C46946"/>
    <w:rsid w:val="00C472D1"/>
    <w:rsid w:val="00C472DE"/>
    <w:rsid w:val="00C473F2"/>
    <w:rsid w:val="00C475E6"/>
    <w:rsid w:val="00C47654"/>
    <w:rsid w:val="00C478F0"/>
    <w:rsid w:val="00C47F05"/>
    <w:rsid w:val="00C5049C"/>
    <w:rsid w:val="00C5068E"/>
    <w:rsid w:val="00C50793"/>
    <w:rsid w:val="00C50E52"/>
    <w:rsid w:val="00C5129E"/>
    <w:rsid w:val="00C512A1"/>
    <w:rsid w:val="00C51AEE"/>
    <w:rsid w:val="00C51B8A"/>
    <w:rsid w:val="00C523BE"/>
    <w:rsid w:val="00C52595"/>
    <w:rsid w:val="00C52ED1"/>
    <w:rsid w:val="00C52FA4"/>
    <w:rsid w:val="00C53EA8"/>
    <w:rsid w:val="00C544C6"/>
    <w:rsid w:val="00C551D0"/>
    <w:rsid w:val="00C56885"/>
    <w:rsid w:val="00C57241"/>
    <w:rsid w:val="00C57BF4"/>
    <w:rsid w:val="00C57C13"/>
    <w:rsid w:val="00C609D3"/>
    <w:rsid w:val="00C6124F"/>
    <w:rsid w:val="00C61785"/>
    <w:rsid w:val="00C618A2"/>
    <w:rsid w:val="00C6199B"/>
    <w:rsid w:val="00C61B7D"/>
    <w:rsid w:val="00C61CB5"/>
    <w:rsid w:val="00C62475"/>
    <w:rsid w:val="00C62B88"/>
    <w:rsid w:val="00C6424D"/>
    <w:rsid w:val="00C64A5B"/>
    <w:rsid w:val="00C64FF3"/>
    <w:rsid w:val="00C652FD"/>
    <w:rsid w:val="00C65B5A"/>
    <w:rsid w:val="00C66020"/>
    <w:rsid w:val="00C66060"/>
    <w:rsid w:val="00C66073"/>
    <w:rsid w:val="00C66497"/>
    <w:rsid w:val="00C666CA"/>
    <w:rsid w:val="00C6679E"/>
    <w:rsid w:val="00C67F65"/>
    <w:rsid w:val="00C703CE"/>
    <w:rsid w:val="00C70B0F"/>
    <w:rsid w:val="00C712FD"/>
    <w:rsid w:val="00C719E4"/>
    <w:rsid w:val="00C725EC"/>
    <w:rsid w:val="00C72FED"/>
    <w:rsid w:val="00C73195"/>
    <w:rsid w:val="00C7324B"/>
    <w:rsid w:val="00C737A8"/>
    <w:rsid w:val="00C740FE"/>
    <w:rsid w:val="00C74993"/>
    <w:rsid w:val="00C74CD3"/>
    <w:rsid w:val="00C74FA1"/>
    <w:rsid w:val="00C7514F"/>
    <w:rsid w:val="00C7524A"/>
    <w:rsid w:val="00C75C66"/>
    <w:rsid w:val="00C760E3"/>
    <w:rsid w:val="00C76F1C"/>
    <w:rsid w:val="00C76FEC"/>
    <w:rsid w:val="00C77080"/>
    <w:rsid w:val="00C7708C"/>
    <w:rsid w:val="00C77E07"/>
    <w:rsid w:val="00C8017B"/>
    <w:rsid w:val="00C80FF2"/>
    <w:rsid w:val="00C81DBB"/>
    <w:rsid w:val="00C82AFC"/>
    <w:rsid w:val="00C8349E"/>
    <w:rsid w:val="00C83724"/>
    <w:rsid w:val="00C8430B"/>
    <w:rsid w:val="00C844FA"/>
    <w:rsid w:val="00C84654"/>
    <w:rsid w:val="00C84B31"/>
    <w:rsid w:val="00C84B8E"/>
    <w:rsid w:val="00C84D7B"/>
    <w:rsid w:val="00C84D95"/>
    <w:rsid w:val="00C85266"/>
    <w:rsid w:val="00C85630"/>
    <w:rsid w:val="00C8574F"/>
    <w:rsid w:val="00C85F02"/>
    <w:rsid w:val="00C86D2D"/>
    <w:rsid w:val="00C87F78"/>
    <w:rsid w:val="00C9037C"/>
    <w:rsid w:val="00C90956"/>
    <w:rsid w:val="00C91EE4"/>
    <w:rsid w:val="00C91F25"/>
    <w:rsid w:val="00C92982"/>
    <w:rsid w:val="00C92C52"/>
    <w:rsid w:val="00C93EFA"/>
    <w:rsid w:val="00C94FB4"/>
    <w:rsid w:val="00C951C8"/>
    <w:rsid w:val="00C95220"/>
    <w:rsid w:val="00C95933"/>
    <w:rsid w:val="00C95EC3"/>
    <w:rsid w:val="00C963F7"/>
    <w:rsid w:val="00C96773"/>
    <w:rsid w:val="00C967C7"/>
    <w:rsid w:val="00C9689B"/>
    <w:rsid w:val="00C97519"/>
    <w:rsid w:val="00CA03F8"/>
    <w:rsid w:val="00CA045D"/>
    <w:rsid w:val="00CA0E98"/>
    <w:rsid w:val="00CA105E"/>
    <w:rsid w:val="00CA15A8"/>
    <w:rsid w:val="00CA197C"/>
    <w:rsid w:val="00CA210A"/>
    <w:rsid w:val="00CA2868"/>
    <w:rsid w:val="00CA322F"/>
    <w:rsid w:val="00CA35B2"/>
    <w:rsid w:val="00CA3851"/>
    <w:rsid w:val="00CA3889"/>
    <w:rsid w:val="00CA3BFA"/>
    <w:rsid w:val="00CA4F01"/>
    <w:rsid w:val="00CA525F"/>
    <w:rsid w:val="00CA5271"/>
    <w:rsid w:val="00CA53FC"/>
    <w:rsid w:val="00CA55B9"/>
    <w:rsid w:val="00CA5CF2"/>
    <w:rsid w:val="00CA62C2"/>
    <w:rsid w:val="00CA65C9"/>
    <w:rsid w:val="00CA6A91"/>
    <w:rsid w:val="00CA6FD4"/>
    <w:rsid w:val="00CA756C"/>
    <w:rsid w:val="00CA784E"/>
    <w:rsid w:val="00CA7E2D"/>
    <w:rsid w:val="00CB0E60"/>
    <w:rsid w:val="00CB16F9"/>
    <w:rsid w:val="00CB2435"/>
    <w:rsid w:val="00CB2B34"/>
    <w:rsid w:val="00CB2F49"/>
    <w:rsid w:val="00CB305B"/>
    <w:rsid w:val="00CB3910"/>
    <w:rsid w:val="00CB398B"/>
    <w:rsid w:val="00CB4509"/>
    <w:rsid w:val="00CB4B31"/>
    <w:rsid w:val="00CB4C95"/>
    <w:rsid w:val="00CB4F07"/>
    <w:rsid w:val="00CB648D"/>
    <w:rsid w:val="00CB767F"/>
    <w:rsid w:val="00CB7AD2"/>
    <w:rsid w:val="00CC022B"/>
    <w:rsid w:val="00CC0458"/>
    <w:rsid w:val="00CC08A3"/>
    <w:rsid w:val="00CC1149"/>
    <w:rsid w:val="00CC11C9"/>
    <w:rsid w:val="00CC1229"/>
    <w:rsid w:val="00CC13AB"/>
    <w:rsid w:val="00CC1582"/>
    <w:rsid w:val="00CC1B5B"/>
    <w:rsid w:val="00CC22CE"/>
    <w:rsid w:val="00CC25ED"/>
    <w:rsid w:val="00CC2A25"/>
    <w:rsid w:val="00CC4AC9"/>
    <w:rsid w:val="00CC4C93"/>
    <w:rsid w:val="00CC4E54"/>
    <w:rsid w:val="00CC56BF"/>
    <w:rsid w:val="00CC5865"/>
    <w:rsid w:val="00CC5D74"/>
    <w:rsid w:val="00CC67A6"/>
    <w:rsid w:val="00CC691F"/>
    <w:rsid w:val="00CC71A3"/>
    <w:rsid w:val="00CC76C7"/>
    <w:rsid w:val="00CC7755"/>
    <w:rsid w:val="00CD0533"/>
    <w:rsid w:val="00CD0B8C"/>
    <w:rsid w:val="00CD18D2"/>
    <w:rsid w:val="00CD2FDF"/>
    <w:rsid w:val="00CD3200"/>
    <w:rsid w:val="00CD3507"/>
    <w:rsid w:val="00CD4381"/>
    <w:rsid w:val="00CD51B6"/>
    <w:rsid w:val="00CD54E3"/>
    <w:rsid w:val="00CD55DA"/>
    <w:rsid w:val="00CD5D21"/>
    <w:rsid w:val="00CD634B"/>
    <w:rsid w:val="00CD6480"/>
    <w:rsid w:val="00CD66C7"/>
    <w:rsid w:val="00CD7CBE"/>
    <w:rsid w:val="00CE0028"/>
    <w:rsid w:val="00CE021D"/>
    <w:rsid w:val="00CE0FEF"/>
    <w:rsid w:val="00CE15DD"/>
    <w:rsid w:val="00CE1B27"/>
    <w:rsid w:val="00CE2333"/>
    <w:rsid w:val="00CE292A"/>
    <w:rsid w:val="00CE314F"/>
    <w:rsid w:val="00CE3322"/>
    <w:rsid w:val="00CE4C34"/>
    <w:rsid w:val="00CE4C3D"/>
    <w:rsid w:val="00CE4DA3"/>
    <w:rsid w:val="00CE5D9F"/>
    <w:rsid w:val="00CE5E04"/>
    <w:rsid w:val="00CE5F20"/>
    <w:rsid w:val="00CE6357"/>
    <w:rsid w:val="00CE714A"/>
    <w:rsid w:val="00CE75B3"/>
    <w:rsid w:val="00CF03B5"/>
    <w:rsid w:val="00CF04E4"/>
    <w:rsid w:val="00CF071F"/>
    <w:rsid w:val="00CF09D2"/>
    <w:rsid w:val="00CF139B"/>
    <w:rsid w:val="00CF1A11"/>
    <w:rsid w:val="00CF223B"/>
    <w:rsid w:val="00CF2C93"/>
    <w:rsid w:val="00CF309F"/>
    <w:rsid w:val="00CF3328"/>
    <w:rsid w:val="00CF3957"/>
    <w:rsid w:val="00CF4E78"/>
    <w:rsid w:val="00CF52B0"/>
    <w:rsid w:val="00CF566F"/>
    <w:rsid w:val="00CF5CA1"/>
    <w:rsid w:val="00CF707A"/>
    <w:rsid w:val="00D005FA"/>
    <w:rsid w:val="00D00AB9"/>
    <w:rsid w:val="00D00B05"/>
    <w:rsid w:val="00D00F05"/>
    <w:rsid w:val="00D028AA"/>
    <w:rsid w:val="00D03108"/>
    <w:rsid w:val="00D03202"/>
    <w:rsid w:val="00D0357C"/>
    <w:rsid w:val="00D03AD3"/>
    <w:rsid w:val="00D049E1"/>
    <w:rsid w:val="00D0572A"/>
    <w:rsid w:val="00D06101"/>
    <w:rsid w:val="00D06FFA"/>
    <w:rsid w:val="00D07489"/>
    <w:rsid w:val="00D07862"/>
    <w:rsid w:val="00D07866"/>
    <w:rsid w:val="00D07A0C"/>
    <w:rsid w:val="00D07A6A"/>
    <w:rsid w:val="00D07DB8"/>
    <w:rsid w:val="00D10102"/>
    <w:rsid w:val="00D10621"/>
    <w:rsid w:val="00D10997"/>
    <w:rsid w:val="00D1151C"/>
    <w:rsid w:val="00D119FE"/>
    <w:rsid w:val="00D1223D"/>
    <w:rsid w:val="00D123F5"/>
    <w:rsid w:val="00D12624"/>
    <w:rsid w:val="00D1295F"/>
    <w:rsid w:val="00D12BC9"/>
    <w:rsid w:val="00D137CA"/>
    <w:rsid w:val="00D14160"/>
    <w:rsid w:val="00D1456F"/>
    <w:rsid w:val="00D14FA6"/>
    <w:rsid w:val="00D15203"/>
    <w:rsid w:val="00D157D3"/>
    <w:rsid w:val="00D15A17"/>
    <w:rsid w:val="00D15E52"/>
    <w:rsid w:val="00D15FCB"/>
    <w:rsid w:val="00D16E5D"/>
    <w:rsid w:val="00D175F0"/>
    <w:rsid w:val="00D175FA"/>
    <w:rsid w:val="00D17EBB"/>
    <w:rsid w:val="00D20137"/>
    <w:rsid w:val="00D202F3"/>
    <w:rsid w:val="00D2094E"/>
    <w:rsid w:val="00D20A26"/>
    <w:rsid w:val="00D20FF5"/>
    <w:rsid w:val="00D226DF"/>
    <w:rsid w:val="00D22AF7"/>
    <w:rsid w:val="00D2318A"/>
    <w:rsid w:val="00D23BF8"/>
    <w:rsid w:val="00D249D5"/>
    <w:rsid w:val="00D24BB7"/>
    <w:rsid w:val="00D24CC3"/>
    <w:rsid w:val="00D254AC"/>
    <w:rsid w:val="00D2552B"/>
    <w:rsid w:val="00D2592A"/>
    <w:rsid w:val="00D26F0E"/>
    <w:rsid w:val="00D27633"/>
    <w:rsid w:val="00D278D9"/>
    <w:rsid w:val="00D279FF"/>
    <w:rsid w:val="00D27C89"/>
    <w:rsid w:val="00D30338"/>
    <w:rsid w:val="00D303AF"/>
    <w:rsid w:val="00D31568"/>
    <w:rsid w:val="00D31879"/>
    <w:rsid w:val="00D31AFB"/>
    <w:rsid w:val="00D32BB6"/>
    <w:rsid w:val="00D32C1F"/>
    <w:rsid w:val="00D334CE"/>
    <w:rsid w:val="00D33561"/>
    <w:rsid w:val="00D338E6"/>
    <w:rsid w:val="00D33DC7"/>
    <w:rsid w:val="00D344CD"/>
    <w:rsid w:val="00D35050"/>
    <w:rsid w:val="00D357C5"/>
    <w:rsid w:val="00D359D9"/>
    <w:rsid w:val="00D36767"/>
    <w:rsid w:val="00D36E88"/>
    <w:rsid w:val="00D37408"/>
    <w:rsid w:val="00D3794E"/>
    <w:rsid w:val="00D37DEC"/>
    <w:rsid w:val="00D37F03"/>
    <w:rsid w:val="00D404AB"/>
    <w:rsid w:val="00D412A5"/>
    <w:rsid w:val="00D413BF"/>
    <w:rsid w:val="00D41FF9"/>
    <w:rsid w:val="00D422C9"/>
    <w:rsid w:val="00D4292E"/>
    <w:rsid w:val="00D432DE"/>
    <w:rsid w:val="00D43406"/>
    <w:rsid w:val="00D43B77"/>
    <w:rsid w:val="00D43DF5"/>
    <w:rsid w:val="00D4409B"/>
    <w:rsid w:val="00D4409C"/>
    <w:rsid w:val="00D44620"/>
    <w:rsid w:val="00D44F45"/>
    <w:rsid w:val="00D45881"/>
    <w:rsid w:val="00D468AD"/>
    <w:rsid w:val="00D46F00"/>
    <w:rsid w:val="00D4751F"/>
    <w:rsid w:val="00D50492"/>
    <w:rsid w:val="00D50F2E"/>
    <w:rsid w:val="00D511B3"/>
    <w:rsid w:val="00D514D2"/>
    <w:rsid w:val="00D51ED5"/>
    <w:rsid w:val="00D528F0"/>
    <w:rsid w:val="00D52B62"/>
    <w:rsid w:val="00D52D57"/>
    <w:rsid w:val="00D5503F"/>
    <w:rsid w:val="00D5520F"/>
    <w:rsid w:val="00D55F3D"/>
    <w:rsid w:val="00D56D20"/>
    <w:rsid w:val="00D6017F"/>
    <w:rsid w:val="00D60695"/>
    <w:rsid w:val="00D6092D"/>
    <w:rsid w:val="00D60A91"/>
    <w:rsid w:val="00D60AC7"/>
    <w:rsid w:val="00D60CFC"/>
    <w:rsid w:val="00D6148C"/>
    <w:rsid w:val="00D6199C"/>
    <w:rsid w:val="00D620C3"/>
    <w:rsid w:val="00D62201"/>
    <w:rsid w:val="00D63025"/>
    <w:rsid w:val="00D633E9"/>
    <w:rsid w:val="00D637B2"/>
    <w:rsid w:val="00D66344"/>
    <w:rsid w:val="00D66C57"/>
    <w:rsid w:val="00D66FA3"/>
    <w:rsid w:val="00D70EA7"/>
    <w:rsid w:val="00D71794"/>
    <w:rsid w:val="00D7245F"/>
    <w:rsid w:val="00D72B66"/>
    <w:rsid w:val="00D72D2D"/>
    <w:rsid w:val="00D7306A"/>
    <w:rsid w:val="00D73616"/>
    <w:rsid w:val="00D73B3C"/>
    <w:rsid w:val="00D7412F"/>
    <w:rsid w:val="00D746AE"/>
    <w:rsid w:val="00D74F8B"/>
    <w:rsid w:val="00D7508B"/>
    <w:rsid w:val="00D750A6"/>
    <w:rsid w:val="00D7533D"/>
    <w:rsid w:val="00D7535B"/>
    <w:rsid w:val="00D7541C"/>
    <w:rsid w:val="00D754B4"/>
    <w:rsid w:val="00D7614D"/>
    <w:rsid w:val="00D76325"/>
    <w:rsid w:val="00D76E50"/>
    <w:rsid w:val="00D77F35"/>
    <w:rsid w:val="00D77F68"/>
    <w:rsid w:val="00D80552"/>
    <w:rsid w:val="00D80962"/>
    <w:rsid w:val="00D80C15"/>
    <w:rsid w:val="00D82200"/>
    <w:rsid w:val="00D82264"/>
    <w:rsid w:val="00D822E7"/>
    <w:rsid w:val="00D82AF8"/>
    <w:rsid w:val="00D82B7F"/>
    <w:rsid w:val="00D8339E"/>
    <w:rsid w:val="00D8406E"/>
    <w:rsid w:val="00D84160"/>
    <w:rsid w:val="00D84C74"/>
    <w:rsid w:val="00D855BF"/>
    <w:rsid w:val="00D85A6B"/>
    <w:rsid w:val="00D8615B"/>
    <w:rsid w:val="00D8635A"/>
    <w:rsid w:val="00D87398"/>
    <w:rsid w:val="00D87AA9"/>
    <w:rsid w:val="00D90589"/>
    <w:rsid w:val="00D907AE"/>
    <w:rsid w:val="00D90900"/>
    <w:rsid w:val="00D91B89"/>
    <w:rsid w:val="00D91F13"/>
    <w:rsid w:val="00D92501"/>
    <w:rsid w:val="00D9283F"/>
    <w:rsid w:val="00D92E80"/>
    <w:rsid w:val="00D92FBB"/>
    <w:rsid w:val="00D93094"/>
    <w:rsid w:val="00D930D5"/>
    <w:rsid w:val="00D93566"/>
    <w:rsid w:val="00D936C7"/>
    <w:rsid w:val="00D937BA"/>
    <w:rsid w:val="00D93B17"/>
    <w:rsid w:val="00D94C8D"/>
    <w:rsid w:val="00D95990"/>
    <w:rsid w:val="00D966B7"/>
    <w:rsid w:val="00D9681C"/>
    <w:rsid w:val="00D9695A"/>
    <w:rsid w:val="00D979D1"/>
    <w:rsid w:val="00D97D57"/>
    <w:rsid w:val="00D97F7B"/>
    <w:rsid w:val="00DA00DB"/>
    <w:rsid w:val="00DA0A99"/>
    <w:rsid w:val="00DA0C8D"/>
    <w:rsid w:val="00DA0C9A"/>
    <w:rsid w:val="00DA1C3D"/>
    <w:rsid w:val="00DA1D33"/>
    <w:rsid w:val="00DA1DF2"/>
    <w:rsid w:val="00DA1E0B"/>
    <w:rsid w:val="00DA31E6"/>
    <w:rsid w:val="00DA4A36"/>
    <w:rsid w:val="00DA4B24"/>
    <w:rsid w:val="00DA5544"/>
    <w:rsid w:val="00DA5584"/>
    <w:rsid w:val="00DA6302"/>
    <w:rsid w:val="00DA6507"/>
    <w:rsid w:val="00DA78FB"/>
    <w:rsid w:val="00DB1926"/>
    <w:rsid w:val="00DB1A01"/>
    <w:rsid w:val="00DB1C10"/>
    <w:rsid w:val="00DB1EA1"/>
    <w:rsid w:val="00DB3BB6"/>
    <w:rsid w:val="00DB3C9A"/>
    <w:rsid w:val="00DB3FDA"/>
    <w:rsid w:val="00DB4889"/>
    <w:rsid w:val="00DB4951"/>
    <w:rsid w:val="00DB524F"/>
    <w:rsid w:val="00DB5284"/>
    <w:rsid w:val="00DB53A6"/>
    <w:rsid w:val="00DB59EB"/>
    <w:rsid w:val="00DB60CD"/>
    <w:rsid w:val="00DB66BD"/>
    <w:rsid w:val="00DB675A"/>
    <w:rsid w:val="00DB6AB5"/>
    <w:rsid w:val="00DB728B"/>
    <w:rsid w:val="00DB730B"/>
    <w:rsid w:val="00DB7AF8"/>
    <w:rsid w:val="00DC01C9"/>
    <w:rsid w:val="00DC0252"/>
    <w:rsid w:val="00DC07B7"/>
    <w:rsid w:val="00DC16AB"/>
    <w:rsid w:val="00DC17A6"/>
    <w:rsid w:val="00DC19D4"/>
    <w:rsid w:val="00DC1AEA"/>
    <w:rsid w:val="00DC1FBD"/>
    <w:rsid w:val="00DC25DE"/>
    <w:rsid w:val="00DC2643"/>
    <w:rsid w:val="00DC3130"/>
    <w:rsid w:val="00DC33AD"/>
    <w:rsid w:val="00DC3691"/>
    <w:rsid w:val="00DC3754"/>
    <w:rsid w:val="00DC3AA7"/>
    <w:rsid w:val="00DC3C28"/>
    <w:rsid w:val="00DC3C64"/>
    <w:rsid w:val="00DC3CD7"/>
    <w:rsid w:val="00DC3D4A"/>
    <w:rsid w:val="00DC495B"/>
    <w:rsid w:val="00DC513B"/>
    <w:rsid w:val="00DC5E11"/>
    <w:rsid w:val="00DC6AF3"/>
    <w:rsid w:val="00DC6BCE"/>
    <w:rsid w:val="00DC76F2"/>
    <w:rsid w:val="00DC776F"/>
    <w:rsid w:val="00DD0D38"/>
    <w:rsid w:val="00DD0FCB"/>
    <w:rsid w:val="00DD10B5"/>
    <w:rsid w:val="00DD1472"/>
    <w:rsid w:val="00DD185A"/>
    <w:rsid w:val="00DD1A3E"/>
    <w:rsid w:val="00DD23AB"/>
    <w:rsid w:val="00DD25C0"/>
    <w:rsid w:val="00DD261C"/>
    <w:rsid w:val="00DD2CE8"/>
    <w:rsid w:val="00DD38B7"/>
    <w:rsid w:val="00DD3D9A"/>
    <w:rsid w:val="00DD4629"/>
    <w:rsid w:val="00DD5022"/>
    <w:rsid w:val="00DD5101"/>
    <w:rsid w:val="00DD56BA"/>
    <w:rsid w:val="00DD634F"/>
    <w:rsid w:val="00DD6645"/>
    <w:rsid w:val="00DD70C7"/>
    <w:rsid w:val="00DD713E"/>
    <w:rsid w:val="00DD7B13"/>
    <w:rsid w:val="00DD7FCD"/>
    <w:rsid w:val="00DE07C6"/>
    <w:rsid w:val="00DE0A4A"/>
    <w:rsid w:val="00DE136F"/>
    <w:rsid w:val="00DE14E7"/>
    <w:rsid w:val="00DE1F30"/>
    <w:rsid w:val="00DE2F7C"/>
    <w:rsid w:val="00DE2FC2"/>
    <w:rsid w:val="00DE32C5"/>
    <w:rsid w:val="00DE3426"/>
    <w:rsid w:val="00DE342C"/>
    <w:rsid w:val="00DE36C5"/>
    <w:rsid w:val="00DE4E49"/>
    <w:rsid w:val="00DE542E"/>
    <w:rsid w:val="00DE557D"/>
    <w:rsid w:val="00DE5607"/>
    <w:rsid w:val="00DE57F1"/>
    <w:rsid w:val="00DE5865"/>
    <w:rsid w:val="00DE5BA9"/>
    <w:rsid w:val="00DE5EEF"/>
    <w:rsid w:val="00DE5FD4"/>
    <w:rsid w:val="00DE7327"/>
    <w:rsid w:val="00DE787B"/>
    <w:rsid w:val="00DE7F39"/>
    <w:rsid w:val="00DF046D"/>
    <w:rsid w:val="00DF1EC4"/>
    <w:rsid w:val="00DF207A"/>
    <w:rsid w:val="00DF2B5A"/>
    <w:rsid w:val="00DF3639"/>
    <w:rsid w:val="00DF3DD2"/>
    <w:rsid w:val="00DF4378"/>
    <w:rsid w:val="00DF44C2"/>
    <w:rsid w:val="00DF4ACD"/>
    <w:rsid w:val="00DF5093"/>
    <w:rsid w:val="00DF534A"/>
    <w:rsid w:val="00DF54C8"/>
    <w:rsid w:val="00DF5EB3"/>
    <w:rsid w:val="00DF6B7F"/>
    <w:rsid w:val="00DF6D15"/>
    <w:rsid w:val="00DF7AA5"/>
    <w:rsid w:val="00E00BA2"/>
    <w:rsid w:val="00E0164B"/>
    <w:rsid w:val="00E01EE8"/>
    <w:rsid w:val="00E01FF2"/>
    <w:rsid w:val="00E02250"/>
    <w:rsid w:val="00E027D1"/>
    <w:rsid w:val="00E02810"/>
    <w:rsid w:val="00E02BFC"/>
    <w:rsid w:val="00E02E21"/>
    <w:rsid w:val="00E0315F"/>
    <w:rsid w:val="00E03520"/>
    <w:rsid w:val="00E036AB"/>
    <w:rsid w:val="00E03747"/>
    <w:rsid w:val="00E03BC2"/>
    <w:rsid w:val="00E03E55"/>
    <w:rsid w:val="00E04388"/>
    <w:rsid w:val="00E04513"/>
    <w:rsid w:val="00E055DB"/>
    <w:rsid w:val="00E05B0D"/>
    <w:rsid w:val="00E05DB7"/>
    <w:rsid w:val="00E0642A"/>
    <w:rsid w:val="00E06937"/>
    <w:rsid w:val="00E06CD7"/>
    <w:rsid w:val="00E07830"/>
    <w:rsid w:val="00E100E8"/>
    <w:rsid w:val="00E10E7B"/>
    <w:rsid w:val="00E110A7"/>
    <w:rsid w:val="00E11309"/>
    <w:rsid w:val="00E11415"/>
    <w:rsid w:val="00E11A00"/>
    <w:rsid w:val="00E12010"/>
    <w:rsid w:val="00E13332"/>
    <w:rsid w:val="00E14421"/>
    <w:rsid w:val="00E14B71"/>
    <w:rsid w:val="00E14D83"/>
    <w:rsid w:val="00E15E9B"/>
    <w:rsid w:val="00E16744"/>
    <w:rsid w:val="00E16788"/>
    <w:rsid w:val="00E16A58"/>
    <w:rsid w:val="00E16C27"/>
    <w:rsid w:val="00E16DDD"/>
    <w:rsid w:val="00E16FD4"/>
    <w:rsid w:val="00E17083"/>
    <w:rsid w:val="00E17851"/>
    <w:rsid w:val="00E203AB"/>
    <w:rsid w:val="00E205B7"/>
    <w:rsid w:val="00E211E8"/>
    <w:rsid w:val="00E21295"/>
    <w:rsid w:val="00E217CA"/>
    <w:rsid w:val="00E219A9"/>
    <w:rsid w:val="00E22450"/>
    <w:rsid w:val="00E22976"/>
    <w:rsid w:val="00E22C09"/>
    <w:rsid w:val="00E22F06"/>
    <w:rsid w:val="00E232C2"/>
    <w:rsid w:val="00E23784"/>
    <w:rsid w:val="00E23875"/>
    <w:rsid w:val="00E244E7"/>
    <w:rsid w:val="00E24538"/>
    <w:rsid w:val="00E245F1"/>
    <w:rsid w:val="00E24CEE"/>
    <w:rsid w:val="00E26B5E"/>
    <w:rsid w:val="00E26D40"/>
    <w:rsid w:val="00E27142"/>
    <w:rsid w:val="00E27276"/>
    <w:rsid w:val="00E27BC3"/>
    <w:rsid w:val="00E30015"/>
    <w:rsid w:val="00E31B80"/>
    <w:rsid w:val="00E32558"/>
    <w:rsid w:val="00E32B55"/>
    <w:rsid w:val="00E330E2"/>
    <w:rsid w:val="00E33939"/>
    <w:rsid w:val="00E34420"/>
    <w:rsid w:val="00E34A93"/>
    <w:rsid w:val="00E34C9D"/>
    <w:rsid w:val="00E3553D"/>
    <w:rsid w:val="00E356AF"/>
    <w:rsid w:val="00E35B27"/>
    <w:rsid w:val="00E35CC2"/>
    <w:rsid w:val="00E367AD"/>
    <w:rsid w:val="00E36F55"/>
    <w:rsid w:val="00E37344"/>
    <w:rsid w:val="00E37463"/>
    <w:rsid w:val="00E37807"/>
    <w:rsid w:val="00E3796C"/>
    <w:rsid w:val="00E37C66"/>
    <w:rsid w:val="00E404C1"/>
    <w:rsid w:val="00E40910"/>
    <w:rsid w:val="00E41113"/>
    <w:rsid w:val="00E41228"/>
    <w:rsid w:val="00E41609"/>
    <w:rsid w:val="00E41A9B"/>
    <w:rsid w:val="00E41B34"/>
    <w:rsid w:val="00E41BBB"/>
    <w:rsid w:val="00E4206F"/>
    <w:rsid w:val="00E421F0"/>
    <w:rsid w:val="00E42269"/>
    <w:rsid w:val="00E4297E"/>
    <w:rsid w:val="00E430D8"/>
    <w:rsid w:val="00E4438B"/>
    <w:rsid w:val="00E443C8"/>
    <w:rsid w:val="00E44A1A"/>
    <w:rsid w:val="00E45146"/>
    <w:rsid w:val="00E452FF"/>
    <w:rsid w:val="00E45320"/>
    <w:rsid w:val="00E45778"/>
    <w:rsid w:val="00E45AEB"/>
    <w:rsid w:val="00E45DEB"/>
    <w:rsid w:val="00E46383"/>
    <w:rsid w:val="00E4673B"/>
    <w:rsid w:val="00E4681E"/>
    <w:rsid w:val="00E47A19"/>
    <w:rsid w:val="00E50235"/>
    <w:rsid w:val="00E528AA"/>
    <w:rsid w:val="00E52BA2"/>
    <w:rsid w:val="00E53419"/>
    <w:rsid w:val="00E5379F"/>
    <w:rsid w:val="00E53E6E"/>
    <w:rsid w:val="00E541DF"/>
    <w:rsid w:val="00E5475D"/>
    <w:rsid w:val="00E54DA4"/>
    <w:rsid w:val="00E5592C"/>
    <w:rsid w:val="00E55FBE"/>
    <w:rsid w:val="00E56423"/>
    <w:rsid w:val="00E56805"/>
    <w:rsid w:val="00E570FD"/>
    <w:rsid w:val="00E571BE"/>
    <w:rsid w:val="00E57457"/>
    <w:rsid w:val="00E5750C"/>
    <w:rsid w:val="00E576AD"/>
    <w:rsid w:val="00E57AE1"/>
    <w:rsid w:val="00E57DE5"/>
    <w:rsid w:val="00E6085F"/>
    <w:rsid w:val="00E61CB7"/>
    <w:rsid w:val="00E624B0"/>
    <w:rsid w:val="00E6314C"/>
    <w:rsid w:val="00E631E7"/>
    <w:rsid w:val="00E63556"/>
    <w:rsid w:val="00E6366E"/>
    <w:rsid w:val="00E639E2"/>
    <w:rsid w:val="00E64A29"/>
    <w:rsid w:val="00E6611F"/>
    <w:rsid w:val="00E6613A"/>
    <w:rsid w:val="00E6637F"/>
    <w:rsid w:val="00E67008"/>
    <w:rsid w:val="00E67538"/>
    <w:rsid w:val="00E67ABB"/>
    <w:rsid w:val="00E67AED"/>
    <w:rsid w:val="00E67B72"/>
    <w:rsid w:val="00E67D78"/>
    <w:rsid w:val="00E70022"/>
    <w:rsid w:val="00E7017F"/>
    <w:rsid w:val="00E70587"/>
    <w:rsid w:val="00E70A14"/>
    <w:rsid w:val="00E70D94"/>
    <w:rsid w:val="00E7149E"/>
    <w:rsid w:val="00E71753"/>
    <w:rsid w:val="00E71B1F"/>
    <w:rsid w:val="00E73537"/>
    <w:rsid w:val="00E73B26"/>
    <w:rsid w:val="00E73D0D"/>
    <w:rsid w:val="00E75349"/>
    <w:rsid w:val="00E75432"/>
    <w:rsid w:val="00E761B1"/>
    <w:rsid w:val="00E77939"/>
    <w:rsid w:val="00E77D37"/>
    <w:rsid w:val="00E806AB"/>
    <w:rsid w:val="00E81287"/>
    <w:rsid w:val="00E822D6"/>
    <w:rsid w:val="00E82711"/>
    <w:rsid w:val="00E82BEF"/>
    <w:rsid w:val="00E83F65"/>
    <w:rsid w:val="00E840BB"/>
    <w:rsid w:val="00E84192"/>
    <w:rsid w:val="00E84311"/>
    <w:rsid w:val="00E847BD"/>
    <w:rsid w:val="00E84A7E"/>
    <w:rsid w:val="00E85CD6"/>
    <w:rsid w:val="00E85CDB"/>
    <w:rsid w:val="00E860BD"/>
    <w:rsid w:val="00E86303"/>
    <w:rsid w:val="00E86DF2"/>
    <w:rsid w:val="00E871AF"/>
    <w:rsid w:val="00E878BA"/>
    <w:rsid w:val="00E87AFB"/>
    <w:rsid w:val="00E90FDC"/>
    <w:rsid w:val="00E91891"/>
    <w:rsid w:val="00E91CFC"/>
    <w:rsid w:val="00E923B2"/>
    <w:rsid w:val="00E926B0"/>
    <w:rsid w:val="00E927A8"/>
    <w:rsid w:val="00E92B05"/>
    <w:rsid w:val="00E92DA8"/>
    <w:rsid w:val="00E92DD0"/>
    <w:rsid w:val="00E931EF"/>
    <w:rsid w:val="00E941E7"/>
    <w:rsid w:val="00E94230"/>
    <w:rsid w:val="00E9458B"/>
    <w:rsid w:val="00E949C7"/>
    <w:rsid w:val="00E94F9B"/>
    <w:rsid w:val="00E95480"/>
    <w:rsid w:val="00E95B2D"/>
    <w:rsid w:val="00E95B90"/>
    <w:rsid w:val="00E95D3C"/>
    <w:rsid w:val="00E9602A"/>
    <w:rsid w:val="00E962E4"/>
    <w:rsid w:val="00E9695B"/>
    <w:rsid w:val="00E97848"/>
    <w:rsid w:val="00EA13A4"/>
    <w:rsid w:val="00EA1A0B"/>
    <w:rsid w:val="00EA20FF"/>
    <w:rsid w:val="00EA3291"/>
    <w:rsid w:val="00EA331A"/>
    <w:rsid w:val="00EA3934"/>
    <w:rsid w:val="00EA3EDA"/>
    <w:rsid w:val="00EA3FAB"/>
    <w:rsid w:val="00EA474D"/>
    <w:rsid w:val="00EA50DE"/>
    <w:rsid w:val="00EA5741"/>
    <w:rsid w:val="00EA5A01"/>
    <w:rsid w:val="00EA5C5E"/>
    <w:rsid w:val="00EA719C"/>
    <w:rsid w:val="00EA78C3"/>
    <w:rsid w:val="00EA7987"/>
    <w:rsid w:val="00EB06DF"/>
    <w:rsid w:val="00EB0755"/>
    <w:rsid w:val="00EB0A75"/>
    <w:rsid w:val="00EB0DCF"/>
    <w:rsid w:val="00EB14BA"/>
    <w:rsid w:val="00EB2E07"/>
    <w:rsid w:val="00EB36B8"/>
    <w:rsid w:val="00EB3CDC"/>
    <w:rsid w:val="00EB4449"/>
    <w:rsid w:val="00EB45D7"/>
    <w:rsid w:val="00EB5069"/>
    <w:rsid w:val="00EB58B9"/>
    <w:rsid w:val="00EB6282"/>
    <w:rsid w:val="00EB6580"/>
    <w:rsid w:val="00EB67E8"/>
    <w:rsid w:val="00EB686E"/>
    <w:rsid w:val="00EB6B07"/>
    <w:rsid w:val="00EB7208"/>
    <w:rsid w:val="00EC0086"/>
    <w:rsid w:val="00EC0246"/>
    <w:rsid w:val="00EC03F3"/>
    <w:rsid w:val="00EC085C"/>
    <w:rsid w:val="00EC16D7"/>
    <w:rsid w:val="00EC17E9"/>
    <w:rsid w:val="00EC1D34"/>
    <w:rsid w:val="00EC28AE"/>
    <w:rsid w:val="00EC306C"/>
    <w:rsid w:val="00EC31F9"/>
    <w:rsid w:val="00EC363C"/>
    <w:rsid w:val="00EC3C98"/>
    <w:rsid w:val="00EC3D2E"/>
    <w:rsid w:val="00EC3EA2"/>
    <w:rsid w:val="00EC3ED7"/>
    <w:rsid w:val="00EC4867"/>
    <w:rsid w:val="00EC4C79"/>
    <w:rsid w:val="00EC53AB"/>
    <w:rsid w:val="00EC5A65"/>
    <w:rsid w:val="00EC5CC1"/>
    <w:rsid w:val="00EC5EDA"/>
    <w:rsid w:val="00EC6140"/>
    <w:rsid w:val="00EC6251"/>
    <w:rsid w:val="00EC6665"/>
    <w:rsid w:val="00EC6DC1"/>
    <w:rsid w:val="00EC74C9"/>
    <w:rsid w:val="00ED065E"/>
    <w:rsid w:val="00ED06E7"/>
    <w:rsid w:val="00ED09D4"/>
    <w:rsid w:val="00ED0D31"/>
    <w:rsid w:val="00ED0E67"/>
    <w:rsid w:val="00ED10BB"/>
    <w:rsid w:val="00ED13FE"/>
    <w:rsid w:val="00ED161A"/>
    <w:rsid w:val="00ED1668"/>
    <w:rsid w:val="00ED207A"/>
    <w:rsid w:val="00ED2363"/>
    <w:rsid w:val="00ED24F4"/>
    <w:rsid w:val="00ED25A3"/>
    <w:rsid w:val="00ED2645"/>
    <w:rsid w:val="00ED283E"/>
    <w:rsid w:val="00ED32AE"/>
    <w:rsid w:val="00ED3627"/>
    <w:rsid w:val="00ED3C94"/>
    <w:rsid w:val="00ED4361"/>
    <w:rsid w:val="00ED4A08"/>
    <w:rsid w:val="00ED5B32"/>
    <w:rsid w:val="00ED5FDD"/>
    <w:rsid w:val="00ED62D8"/>
    <w:rsid w:val="00ED6374"/>
    <w:rsid w:val="00ED68AC"/>
    <w:rsid w:val="00EE0A74"/>
    <w:rsid w:val="00EE0B78"/>
    <w:rsid w:val="00EE1189"/>
    <w:rsid w:val="00EE15EF"/>
    <w:rsid w:val="00EE1A6E"/>
    <w:rsid w:val="00EE1FB0"/>
    <w:rsid w:val="00EE2422"/>
    <w:rsid w:val="00EE27E8"/>
    <w:rsid w:val="00EE2914"/>
    <w:rsid w:val="00EE2EF5"/>
    <w:rsid w:val="00EE40E6"/>
    <w:rsid w:val="00EE410F"/>
    <w:rsid w:val="00EE4975"/>
    <w:rsid w:val="00EE6638"/>
    <w:rsid w:val="00EE73B7"/>
    <w:rsid w:val="00EE75B6"/>
    <w:rsid w:val="00EE76A1"/>
    <w:rsid w:val="00EF03B8"/>
    <w:rsid w:val="00EF052E"/>
    <w:rsid w:val="00EF08B5"/>
    <w:rsid w:val="00EF0BE4"/>
    <w:rsid w:val="00EF128E"/>
    <w:rsid w:val="00EF1623"/>
    <w:rsid w:val="00EF183B"/>
    <w:rsid w:val="00EF1920"/>
    <w:rsid w:val="00EF1EC5"/>
    <w:rsid w:val="00EF214D"/>
    <w:rsid w:val="00EF2ACD"/>
    <w:rsid w:val="00EF2DA7"/>
    <w:rsid w:val="00EF3A70"/>
    <w:rsid w:val="00EF3C26"/>
    <w:rsid w:val="00EF3C2C"/>
    <w:rsid w:val="00EF3FD0"/>
    <w:rsid w:val="00EF407F"/>
    <w:rsid w:val="00EF4890"/>
    <w:rsid w:val="00EF4893"/>
    <w:rsid w:val="00EF53BF"/>
    <w:rsid w:val="00EF588B"/>
    <w:rsid w:val="00EF6886"/>
    <w:rsid w:val="00EF6ABB"/>
    <w:rsid w:val="00EF6E6F"/>
    <w:rsid w:val="00EF6FB3"/>
    <w:rsid w:val="00EF7171"/>
    <w:rsid w:val="00EF7C3B"/>
    <w:rsid w:val="00F00301"/>
    <w:rsid w:val="00F00BDC"/>
    <w:rsid w:val="00F00D19"/>
    <w:rsid w:val="00F00F7B"/>
    <w:rsid w:val="00F02A4B"/>
    <w:rsid w:val="00F03091"/>
    <w:rsid w:val="00F03190"/>
    <w:rsid w:val="00F03B3B"/>
    <w:rsid w:val="00F0454D"/>
    <w:rsid w:val="00F046B2"/>
    <w:rsid w:val="00F0501B"/>
    <w:rsid w:val="00F0525E"/>
    <w:rsid w:val="00F05682"/>
    <w:rsid w:val="00F0598B"/>
    <w:rsid w:val="00F0600E"/>
    <w:rsid w:val="00F0618F"/>
    <w:rsid w:val="00F06299"/>
    <w:rsid w:val="00F06973"/>
    <w:rsid w:val="00F07090"/>
    <w:rsid w:val="00F07669"/>
    <w:rsid w:val="00F07DBF"/>
    <w:rsid w:val="00F07F1E"/>
    <w:rsid w:val="00F101AF"/>
    <w:rsid w:val="00F10426"/>
    <w:rsid w:val="00F1066C"/>
    <w:rsid w:val="00F10C84"/>
    <w:rsid w:val="00F10D5A"/>
    <w:rsid w:val="00F11819"/>
    <w:rsid w:val="00F119C8"/>
    <w:rsid w:val="00F119FF"/>
    <w:rsid w:val="00F11F37"/>
    <w:rsid w:val="00F11FEA"/>
    <w:rsid w:val="00F129E7"/>
    <w:rsid w:val="00F12B2B"/>
    <w:rsid w:val="00F130D4"/>
    <w:rsid w:val="00F131F5"/>
    <w:rsid w:val="00F13500"/>
    <w:rsid w:val="00F13727"/>
    <w:rsid w:val="00F13735"/>
    <w:rsid w:val="00F13F85"/>
    <w:rsid w:val="00F143DD"/>
    <w:rsid w:val="00F1465F"/>
    <w:rsid w:val="00F1497C"/>
    <w:rsid w:val="00F153E8"/>
    <w:rsid w:val="00F159CF"/>
    <w:rsid w:val="00F15C55"/>
    <w:rsid w:val="00F15DED"/>
    <w:rsid w:val="00F16160"/>
    <w:rsid w:val="00F16B58"/>
    <w:rsid w:val="00F17C65"/>
    <w:rsid w:val="00F17FA2"/>
    <w:rsid w:val="00F20073"/>
    <w:rsid w:val="00F20438"/>
    <w:rsid w:val="00F204AD"/>
    <w:rsid w:val="00F20608"/>
    <w:rsid w:val="00F20703"/>
    <w:rsid w:val="00F20B22"/>
    <w:rsid w:val="00F21058"/>
    <w:rsid w:val="00F211C7"/>
    <w:rsid w:val="00F21DBC"/>
    <w:rsid w:val="00F21EC7"/>
    <w:rsid w:val="00F22455"/>
    <w:rsid w:val="00F2266A"/>
    <w:rsid w:val="00F22C73"/>
    <w:rsid w:val="00F236DA"/>
    <w:rsid w:val="00F23A05"/>
    <w:rsid w:val="00F23FE3"/>
    <w:rsid w:val="00F2412E"/>
    <w:rsid w:val="00F24635"/>
    <w:rsid w:val="00F257A1"/>
    <w:rsid w:val="00F2587B"/>
    <w:rsid w:val="00F258D4"/>
    <w:rsid w:val="00F26202"/>
    <w:rsid w:val="00F263C3"/>
    <w:rsid w:val="00F2666E"/>
    <w:rsid w:val="00F268B9"/>
    <w:rsid w:val="00F26AB2"/>
    <w:rsid w:val="00F26AFF"/>
    <w:rsid w:val="00F27F94"/>
    <w:rsid w:val="00F31A55"/>
    <w:rsid w:val="00F31F1A"/>
    <w:rsid w:val="00F32B01"/>
    <w:rsid w:val="00F33559"/>
    <w:rsid w:val="00F33D1A"/>
    <w:rsid w:val="00F3411A"/>
    <w:rsid w:val="00F34889"/>
    <w:rsid w:val="00F353E9"/>
    <w:rsid w:val="00F35643"/>
    <w:rsid w:val="00F3618D"/>
    <w:rsid w:val="00F3626C"/>
    <w:rsid w:val="00F368FC"/>
    <w:rsid w:val="00F36DA0"/>
    <w:rsid w:val="00F3712F"/>
    <w:rsid w:val="00F3728B"/>
    <w:rsid w:val="00F374F8"/>
    <w:rsid w:val="00F37ABA"/>
    <w:rsid w:val="00F37DF3"/>
    <w:rsid w:val="00F402AC"/>
    <w:rsid w:val="00F40823"/>
    <w:rsid w:val="00F40D33"/>
    <w:rsid w:val="00F415AC"/>
    <w:rsid w:val="00F42864"/>
    <w:rsid w:val="00F430A1"/>
    <w:rsid w:val="00F4355B"/>
    <w:rsid w:val="00F4395C"/>
    <w:rsid w:val="00F43B42"/>
    <w:rsid w:val="00F44533"/>
    <w:rsid w:val="00F44631"/>
    <w:rsid w:val="00F4467F"/>
    <w:rsid w:val="00F44C0E"/>
    <w:rsid w:val="00F44DCC"/>
    <w:rsid w:val="00F44DCF"/>
    <w:rsid w:val="00F4505D"/>
    <w:rsid w:val="00F4522D"/>
    <w:rsid w:val="00F45541"/>
    <w:rsid w:val="00F45758"/>
    <w:rsid w:val="00F45854"/>
    <w:rsid w:val="00F46A5E"/>
    <w:rsid w:val="00F4786E"/>
    <w:rsid w:val="00F47A55"/>
    <w:rsid w:val="00F47DA2"/>
    <w:rsid w:val="00F50ACB"/>
    <w:rsid w:val="00F5119C"/>
    <w:rsid w:val="00F5149F"/>
    <w:rsid w:val="00F51BF9"/>
    <w:rsid w:val="00F51FB6"/>
    <w:rsid w:val="00F522BC"/>
    <w:rsid w:val="00F52627"/>
    <w:rsid w:val="00F52818"/>
    <w:rsid w:val="00F52874"/>
    <w:rsid w:val="00F5314D"/>
    <w:rsid w:val="00F531B4"/>
    <w:rsid w:val="00F53D40"/>
    <w:rsid w:val="00F53FC0"/>
    <w:rsid w:val="00F5421E"/>
    <w:rsid w:val="00F5422A"/>
    <w:rsid w:val="00F5466B"/>
    <w:rsid w:val="00F549ED"/>
    <w:rsid w:val="00F54B98"/>
    <w:rsid w:val="00F5563B"/>
    <w:rsid w:val="00F55CAE"/>
    <w:rsid w:val="00F55D11"/>
    <w:rsid w:val="00F569E2"/>
    <w:rsid w:val="00F57016"/>
    <w:rsid w:val="00F57276"/>
    <w:rsid w:val="00F57C99"/>
    <w:rsid w:val="00F60054"/>
    <w:rsid w:val="00F6017C"/>
    <w:rsid w:val="00F61433"/>
    <w:rsid w:val="00F62019"/>
    <w:rsid w:val="00F62467"/>
    <w:rsid w:val="00F6251B"/>
    <w:rsid w:val="00F62E7B"/>
    <w:rsid w:val="00F632CC"/>
    <w:rsid w:val="00F64345"/>
    <w:rsid w:val="00F64367"/>
    <w:rsid w:val="00F6443E"/>
    <w:rsid w:val="00F645D8"/>
    <w:rsid w:val="00F64E92"/>
    <w:rsid w:val="00F654D5"/>
    <w:rsid w:val="00F661A6"/>
    <w:rsid w:val="00F662ED"/>
    <w:rsid w:val="00F66385"/>
    <w:rsid w:val="00F66434"/>
    <w:rsid w:val="00F677D6"/>
    <w:rsid w:val="00F67FE5"/>
    <w:rsid w:val="00F7057C"/>
    <w:rsid w:val="00F71308"/>
    <w:rsid w:val="00F71841"/>
    <w:rsid w:val="00F71DA8"/>
    <w:rsid w:val="00F721A9"/>
    <w:rsid w:val="00F7273C"/>
    <w:rsid w:val="00F73235"/>
    <w:rsid w:val="00F73384"/>
    <w:rsid w:val="00F736DA"/>
    <w:rsid w:val="00F736DC"/>
    <w:rsid w:val="00F73F19"/>
    <w:rsid w:val="00F742E6"/>
    <w:rsid w:val="00F74CB3"/>
    <w:rsid w:val="00F75C42"/>
    <w:rsid w:val="00F75E91"/>
    <w:rsid w:val="00F76ABF"/>
    <w:rsid w:val="00F76D45"/>
    <w:rsid w:val="00F77043"/>
    <w:rsid w:val="00F8050F"/>
    <w:rsid w:val="00F80BEB"/>
    <w:rsid w:val="00F80D36"/>
    <w:rsid w:val="00F80DF1"/>
    <w:rsid w:val="00F80F24"/>
    <w:rsid w:val="00F810BA"/>
    <w:rsid w:val="00F81756"/>
    <w:rsid w:val="00F8191F"/>
    <w:rsid w:val="00F81C3B"/>
    <w:rsid w:val="00F81D76"/>
    <w:rsid w:val="00F8223E"/>
    <w:rsid w:val="00F82494"/>
    <w:rsid w:val="00F83371"/>
    <w:rsid w:val="00F83D79"/>
    <w:rsid w:val="00F84BC5"/>
    <w:rsid w:val="00F84F26"/>
    <w:rsid w:val="00F8578B"/>
    <w:rsid w:val="00F85B0C"/>
    <w:rsid w:val="00F863B9"/>
    <w:rsid w:val="00F86966"/>
    <w:rsid w:val="00F86E66"/>
    <w:rsid w:val="00F870FA"/>
    <w:rsid w:val="00F873D0"/>
    <w:rsid w:val="00F87A04"/>
    <w:rsid w:val="00F903F9"/>
    <w:rsid w:val="00F909DD"/>
    <w:rsid w:val="00F90B17"/>
    <w:rsid w:val="00F90BEE"/>
    <w:rsid w:val="00F90E2E"/>
    <w:rsid w:val="00F9147F"/>
    <w:rsid w:val="00F914E0"/>
    <w:rsid w:val="00F92411"/>
    <w:rsid w:val="00F92EDC"/>
    <w:rsid w:val="00F93037"/>
    <w:rsid w:val="00F932EA"/>
    <w:rsid w:val="00F93409"/>
    <w:rsid w:val="00F93D90"/>
    <w:rsid w:val="00F94726"/>
    <w:rsid w:val="00F94DEE"/>
    <w:rsid w:val="00F95B3B"/>
    <w:rsid w:val="00F95B78"/>
    <w:rsid w:val="00F95BA6"/>
    <w:rsid w:val="00F96BBF"/>
    <w:rsid w:val="00F96CCA"/>
    <w:rsid w:val="00F96CE5"/>
    <w:rsid w:val="00F96F9D"/>
    <w:rsid w:val="00F9747D"/>
    <w:rsid w:val="00F9747E"/>
    <w:rsid w:val="00F975AD"/>
    <w:rsid w:val="00F97EB6"/>
    <w:rsid w:val="00FA05BA"/>
    <w:rsid w:val="00FA0CFA"/>
    <w:rsid w:val="00FA15D2"/>
    <w:rsid w:val="00FA25BB"/>
    <w:rsid w:val="00FA283B"/>
    <w:rsid w:val="00FA286B"/>
    <w:rsid w:val="00FA45A5"/>
    <w:rsid w:val="00FA491F"/>
    <w:rsid w:val="00FA5607"/>
    <w:rsid w:val="00FA5694"/>
    <w:rsid w:val="00FA5D8C"/>
    <w:rsid w:val="00FA6A19"/>
    <w:rsid w:val="00FA7319"/>
    <w:rsid w:val="00FA7C80"/>
    <w:rsid w:val="00FB009D"/>
    <w:rsid w:val="00FB1426"/>
    <w:rsid w:val="00FB1630"/>
    <w:rsid w:val="00FB2316"/>
    <w:rsid w:val="00FB2390"/>
    <w:rsid w:val="00FB27DE"/>
    <w:rsid w:val="00FB3276"/>
    <w:rsid w:val="00FB35AA"/>
    <w:rsid w:val="00FB36E0"/>
    <w:rsid w:val="00FB38CB"/>
    <w:rsid w:val="00FB3C51"/>
    <w:rsid w:val="00FB40BC"/>
    <w:rsid w:val="00FB45FE"/>
    <w:rsid w:val="00FB5350"/>
    <w:rsid w:val="00FB5FA3"/>
    <w:rsid w:val="00FB62F2"/>
    <w:rsid w:val="00FB7499"/>
    <w:rsid w:val="00FC0CCA"/>
    <w:rsid w:val="00FC16AF"/>
    <w:rsid w:val="00FC1835"/>
    <w:rsid w:val="00FC277B"/>
    <w:rsid w:val="00FC3184"/>
    <w:rsid w:val="00FC47F5"/>
    <w:rsid w:val="00FC48E0"/>
    <w:rsid w:val="00FC5259"/>
    <w:rsid w:val="00FC5D6A"/>
    <w:rsid w:val="00FC60D4"/>
    <w:rsid w:val="00FC611F"/>
    <w:rsid w:val="00FC673A"/>
    <w:rsid w:val="00FC7B50"/>
    <w:rsid w:val="00FC7C62"/>
    <w:rsid w:val="00FC7ECF"/>
    <w:rsid w:val="00FD0030"/>
    <w:rsid w:val="00FD0551"/>
    <w:rsid w:val="00FD0590"/>
    <w:rsid w:val="00FD1851"/>
    <w:rsid w:val="00FD194A"/>
    <w:rsid w:val="00FD2E4B"/>
    <w:rsid w:val="00FD3021"/>
    <w:rsid w:val="00FD38C0"/>
    <w:rsid w:val="00FD42BF"/>
    <w:rsid w:val="00FD529C"/>
    <w:rsid w:val="00FD52AE"/>
    <w:rsid w:val="00FD575B"/>
    <w:rsid w:val="00FD5B47"/>
    <w:rsid w:val="00FD60AA"/>
    <w:rsid w:val="00FD60BF"/>
    <w:rsid w:val="00FD6814"/>
    <w:rsid w:val="00FD6FEB"/>
    <w:rsid w:val="00FD71CC"/>
    <w:rsid w:val="00FD7844"/>
    <w:rsid w:val="00FD7961"/>
    <w:rsid w:val="00FD7BA4"/>
    <w:rsid w:val="00FD7C79"/>
    <w:rsid w:val="00FE0245"/>
    <w:rsid w:val="00FE0656"/>
    <w:rsid w:val="00FE0707"/>
    <w:rsid w:val="00FE24E4"/>
    <w:rsid w:val="00FE254C"/>
    <w:rsid w:val="00FE2732"/>
    <w:rsid w:val="00FE273C"/>
    <w:rsid w:val="00FE2ACF"/>
    <w:rsid w:val="00FE37A7"/>
    <w:rsid w:val="00FE3C9F"/>
    <w:rsid w:val="00FE3F76"/>
    <w:rsid w:val="00FE43D1"/>
    <w:rsid w:val="00FE4478"/>
    <w:rsid w:val="00FE5454"/>
    <w:rsid w:val="00FE5C58"/>
    <w:rsid w:val="00FE67A9"/>
    <w:rsid w:val="00FE6E64"/>
    <w:rsid w:val="00FE6F30"/>
    <w:rsid w:val="00FE721F"/>
    <w:rsid w:val="00FE7EC6"/>
    <w:rsid w:val="00FE7EE1"/>
    <w:rsid w:val="00FF0780"/>
    <w:rsid w:val="00FF09F5"/>
    <w:rsid w:val="00FF0AA0"/>
    <w:rsid w:val="00FF0B46"/>
    <w:rsid w:val="00FF0BA8"/>
    <w:rsid w:val="00FF0C41"/>
    <w:rsid w:val="00FF0DF2"/>
    <w:rsid w:val="00FF2458"/>
    <w:rsid w:val="00FF2BB6"/>
    <w:rsid w:val="00FF306D"/>
    <w:rsid w:val="00FF3364"/>
    <w:rsid w:val="00FF445C"/>
    <w:rsid w:val="00FF4DF2"/>
    <w:rsid w:val="00FF541D"/>
    <w:rsid w:val="00FF5B22"/>
    <w:rsid w:val="00FF5FA7"/>
    <w:rsid w:val="00FF6A7D"/>
    <w:rsid w:val="00FF6F19"/>
    <w:rsid w:val="00FF77BC"/>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46439420"/>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taapidipagina">
    <w:name w:val="footnote text"/>
    <w:basedOn w:val="Normale"/>
    <w:link w:val="TestonotaapidipaginaCarattere"/>
    <w:uiPriority w:val="99"/>
    <w:unhideWhenUsed/>
    <w:rsid w:val="008D7266"/>
  </w:style>
  <w:style w:type="character" w:customStyle="1" w:styleId="TestonotaapidipaginaCarattere">
    <w:name w:val="Testo nota a piè di pagina Carattere"/>
    <w:basedOn w:val="Caratterepredefinitoparagrafo"/>
    <w:link w:val="Testonotaapidipagina"/>
    <w:uiPriority w:val="99"/>
    <w:rsid w:val="008D7266"/>
  </w:style>
  <w:style w:type="character" w:styleId="Rimandonotaapidipagina">
    <w:name w:val="footnote reference"/>
    <w:basedOn w:val="Caratterepredefinitoparagrafo"/>
    <w:uiPriority w:val="99"/>
    <w:unhideWhenUsed/>
    <w:rsid w:val="008D7266"/>
    <w:rPr>
      <w:vertAlign w:val="superscript"/>
    </w:rPr>
  </w:style>
  <w:style w:type="paragraph" w:styleId="Pidipagina">
    <w:name w:val="footer"/>
    <w:basedOn w:val="Normale"/>
    <w:link w:val="PidipaginaCarattere"/>
    <w:uiPriority w:val="99"/>
    <w:unhideWhenUsed/>
    <w:rsid w:val="005905FF"/>
    <w:pPr>
      <w:tabs>
        <w:tab w:val="center" w:pos="4819"/>
        <w:tab w:val="right" w:pos="9638"/>
      </w:tabs>
    </w:pPr>
  </w:style>
  <w:style w:type="character" w:customStyle="1" w:styleId="PidipaginaCarattere">
    <w:name w:val="Piè di pagina Carattere"/>
    <w:basedOn w:val="Caratterepredefinitoparagrafo"/>
    <w:link w:val="Pidipagina"/>
    <w:uiPriority w:val="99"/>
    <w:rsid w:val="005905FF"/>
  </w:style>
  <w:style w:type="character" w:styleId="Numeropagina">
    <w:name w:val="page number"/>
    <w:basedOn w:val="Caratterepredefinitoparagrafo"/>
    <w:uiPriority w:val="99"/>
    <w:semiHidden/>
    <w:unhideWhenUsed/>
    <w:rsid w:val="005905FF"/>
  </w:style>
  <w:style w:type="paragraph" w:styleId="Paragrafoelenco">
    <w:name w:val="List Paragraph"/>
    <w:basedOn w:val="Normale"/>
    <w:uiPriority w:val="34"/>
    <w:qFormat/>
    <w:rsid w:val="004A45AB"/>
    <w:pPr>
      <w:ind w:left="720"/>
      <w:contextualSpacing/>
    </w:pPr>
  </w:style>
  <w:style w:type="paragraph" w:styleId="Testonotadichiusura">
    <w:name w:val="endnote text"/>
    <w:basedOn w:val="Normale"/>
    <w:link w:val="TestonotadichiusuraCarattere"/>
    <w:uiPriority w:val="99"/>
    <w:unhideWhenUsed/>
    <w:rsid w:val="00CB398B"/>
  </w:style>
  <w:style w:type="character" w:customStyle="1" w:styleId="TestonotadichiusuraCarattere">
    <w:name w:val="Testo nota di chiusura Carattere"/>
    <w:basedOn w:val="Caratterepredefinitoparagrafo"/>
    <w:link w:val="Testonotadichiusura"/>
    <w:uiPriority w:val="99"/>
    <w:rsid w:val="00CB398B"/>
  </w:style>
  <w:style w:type="character" w:styleId="Rimandocommento">
    <w:name w:val="annotation reference"/>
    <w:basedOn w:val="Caratterepredefinitoparagrafo"/>
    <w:uiPriority w:val="99"/>
    <w:semiHidden/>
    <w:unhideWhenUsed/>
    <w:rsid w:val="002A7DBD"/>
    <w:rPr>
      <w:sz w:val="18"/>
      <w:szCs w:val="18"/>
    </w:rPr>
  </w:style>
  <w:style w:type="paragraph" w:styleId="Testocommento">
    <w:name w:val="annotation text"/>
    <w:basedOn w:val="Normale"/>
    <w:link w:val="TestocommentoCarattere"/>
    <w:uiPriority w:val="99"/>
    <w:semiHidden/>
    <w:unhideWhenUsed/>
    <w:rsid w:val="002A7DBD"/>
  </w:style>
  <w:style w:type="character" w:customStyle="1" w:styleId="TestocommentoCarattere">
    <w:name w:val="Testo commento Carattere"/>
    <w:basedOn w:val="Caratterepredefinitoparagrafo"/>
    <w:link w:val="Testocommento"/>
    <w:uiPriority w:val="99"/>
    <w:semiHidden/>
    <w:rsid w:val="002A7DBD"/>
  </w:style>
  <w:style w:type="paragraph" w:styleId="Soggettocommento">
    <w:name w:val="annotation subject"/>
    <w:basedOn w:val="Testocommento"/>
    <w:next w:val="Testocommento"/>
    <w:link w:val="SoggettocommentoCarattere"/>
    <w:uiPriority w:val="99"/>
    <w:semiHidden/>
    <w:unhideWhenUsed/>
    <w:rsid w:val="002A7DBD"/>
    <w:rPr>
      <w:b/>
      <w:bCs/>
      <w:sz w:val="20"/>
      <w:szCs w:val="20"/>
    </w:rPr>
  </w:style>
  <w:style w:type="character" w:customStyle="1" w:styleId="SoggettocommentoCarattere">
    <w:name w:val="Soggetto commento Carattere"/>
    <w:basedOn w:val="TestocommentoCarattere"/>
    <w:link w:val="Soggettocommento"/>
    <w:uiPriority w:val="99"/>
    <w:semiHidden/>
    <w:rsid w:val="002A7DBD"/>
    <w:rPr>
      <w:b/>
      <w:bCs/>
      <w:sz w:val="20"/>
      <w:szCs w:val="20"/>
    </w:rPr>
  </w:style>
  <w:style w:type="paragraph" w:styleId="Testofumetto">
    <w:name w:val="Balloon Text"/>
    <w:basedOn w:val="Normale"/>
    <w:link w:val="TestofumettoCarattere"/>
    <w:uiPriority w:val="99"/>
    <w:semiHidden/>
    <w:unhideWhenUsed/>
    <w:rsid w:val="002A7DBD"/>
    <w:rPr>
      <w:rFonts w:ascii="Lucida Grande" w:hAnsi="Lucida Grande"/>
      <w:sz w:val="18"/>
      <w:szCs w:val="18"/>
    </w:rPr>
  </w:style>
  <w:style w:type="character" w:customStyle="1" w:styleId="TestofumettoCarattere">
    <w:name w:val="Testo fumetto Carattere"/>
    <w:basedOn w:val="Caratterepredefinitoparagrafo"/>
    <w:link w:val="Testofumetto"/>
    <w:uiPriority w:val="99"/>
    <w:semiHidden/>
    <w:rsid w:val="002A7DBD"/>
    <w:rPr>
      <w:rFonts w:ascii="Lucida Grande" w:hAnsi="Lucida Grande"/>
      <w:sz w:val="18"/>
      <w:szCs w:val="18"/>
    </w:rPr>
  </w:style>
  <w:style w:type="paragraph" w:customStyle="1" w:styleId="Normale1">
    <w:name w:val="Normale1"/>
    <w:rsid w:val="00D00F05"/>
    <w:rPr>
      <w:rFonts w:ascii="Cambria" w:eastAsia="Cambria" w:hAnsi="Cambria" w:cs="Cambria"/>
      <w:lang w:val="en-GB"/>
    </w:rPr>
  </w:style>
  <w:style w:type="paragraph" w:styleId="Intestazione">
    <w:name w:val="header"/>
    <w:basedOn w:val="Normale"/>
    <w:link w:val="IntestazioneCarattere"/>
    <w:uiPriority w:val="99"/>
    <w:unhideWhenUsed/>
    <w:rsid w:val="001B7751"/>
    <w:pPr>
      <w:tabs>
        <w:tab w:val="center" w:pos="4819"/>
        <w:tab w:val="right" w:pos="9638"/>
      </w:tabs>
    </w:pPr>
  </w:style>
  <w:style w:type="character" w:customStyle="1" w:styleId="IntestazioneCarattere">
    <w:name w:val="Intestazione Carattere"/>
    <w:basedOn w:val="Caratterepredefinitoparagrafo"/>
    <w:link w:val="Intestazione"/>
    <w:uiPriority w:val="99"/>
    <w:rsid w:val="001B7751"/>
  </w:style>
  <w:style w:type="character" w:customStyle="1" w:styleId="apple-converted-space">
    <w:name w:val="apple-converted-space"/>
    <w:basedOn w:val="Caratterepredefinitoparagrafo"/>
    <w:rsid w:val="001B7751"/>
  </w:style>
  <w:style w:type="character" w:customStyle="1" w:styleId="eintragtitel">
    <w:name w:val="eintrag_titel"/>
    <w:basedOn w:val="Caratterepredefinitoparagrafo"/>
    <w:rsid w:val="001B7751"/>
  </w:style>
  <w:style w:type="character" w:customStyle="1" w:styleId="eintraglabel">
    <w:name w:val="eintrag_label"/>
    <w:basedOn w:val="Caratterepredefinitoparagrafo"/>
    <w:rsid w:val="001B7751"/>
  </w:style>
  <w:style w:type="paragraph" w:styleId="Corpodeltesto">
    <w:name w:val="Body Text"/>
    <w:basedOn w:val="Normale"/>
    <w:link w:val="CorpodeltestoCarattere"/>
    <w:uiPriority w:val="1"/>
    <w:qFormat/>
    <w:rsid w:val="00A755C3"/>
    <w:pPr>
      <w:widowControl w:val="0"/>
      <w:autoSpaceDE w:val="0"/>
      <w:autoSpaceDN w:val="0"/>
    </w:pPr>
    <w:rPr>
      <w:rFonts w:ascii="Verdana" w:eastAsia="Verdana" w:hAnsi="Verdana" w:cs="Verdana"/>
      <w:sz w:val="20"/>
      <w:szCs w:val="20"/>
      <w:lang w:eastAsia="en-US"/>
    </w:rPr>
  </w:style>
  <w:style w:type="character" w:customStyle="1" w:styleId="CorpodeltestoCarattere">
    <w:name w:val="Corpo del testo Carattere"/>
    <w:basedOn w:val="Caratterepredefinitoparagrafo"/>
    <w:link w:val="Corpodeltesto"/>
    <w:uiPriority w:val="1"/>
    <w:rsid w:val="00A755C3"/>
    <w:rPr>
      <w:rFonts w:ascii="Verdana" w:eastAsia="Verdana" w:hAnsi="Verdana" w:cs="Verdana"/>
      <w:sz w:val="20"/>
      <w:szCs w:val="20"/>
      <w:lang w:eastAsia="en-US"/>
    </w:rPr>
  </w:style>
  <w:style w:type="paragraph" w:customStyle="1" w:styleId="Heading1">
    <w:name w:val="Heading 1"/>
    <w:basedOn w:val="Normale"/>
    <w:uiPriority w:val="1"/>
    <w:qFormat/>
    <w:rsid w:val="00A755C3"/>
    <w:pPr>
      <w:widowControl w:val="0"/>
      <w:autoSpaceDE w:val="0"/>
      <w:autoSpaceDN w:val="0"/>
      <w:ind w:left="2692" w:right="2650" w:hanging="1"/>
      <w:jc w:val="center"/>
      <w:outlineLvl w:val="1"/>
    </w:pPr>
    <w:rPr>
      <w:rFonts w:ascii="Verdana" w:eastAsia="Verdana" w:hAnsi="Verdana" w:cs="Verdana"/>
      <w:sz w:val="28"/>
      <w:szCs w:val="28"/>
      <w:lang w:eastAsia="en-US"/>
    </w:rPr>
  </w:style>
  <w:style w:type="paragraph" w:customStyle="1" w:styleId="Heading2">
    <w:name w:val="Heading 2"/>
    <w:basedOn w:val="Normale"/>
    <w:uiPriority w:val="1"/>
    <w:qFormat/>
    <w:rsid w:val="00A755C3"/>
    <w:pPr>
      <w:widowControl w:val="0"/>
      <w:autoSpaceDE w:val="0"/>
      <w:autoSpaceDN w:val="0"/>
      <w:spacing w:line="242" w:lineRule="exact"/>
      <w:ind w:left="1139"/>
      <w:outlineLvl w:val="2"/>
    </w:pPr>
    <w:rPr>
      <w:rFonts w:ascii="Verdana" w:eastAsia="Verdana" w:hAnsi="Verdana" w:cs="Verdana"/>
      <w:b/>
      <w:bCs/>
      <w:sz w:val="20"/>
      <w:szCs w:val="20"/>
      <w:lang w:eastAsia="en-US"/>
    </w:rPr>
  </w:style>
  <w:style w:type="table" w:styleId="Sfondochiaro-Colore1">
    <w:name w:val="Light Shading Accent 1"/>
    <w:basedOn w:val="Tabellanormale"/>
    <w:uiPriority w:val="60"/>
    <w:rsid w:val="00BA4C7E"/>
    <w:rPr>
      <w:color w:val="365F91" w:themeColor="accent1" w:themeShade="BF"/>
      <w:sz w:val="22"/>
      <w:szCs w:val="22"/>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Mappadocumento">
    <w:name w:val="Document Map"/>
    <w:basedOn w:val="Normale"/>
    <w:link w:val="MappadocumentoCarattere"/>
    <w:uiPriority w:val="99"/>
    <w:semiHidden/>
    <w:unhideWhenUsed/>
    <w:rsid w:val="00DD185A"/>
    <w:rPr>
      <w:rFonts w:ascii="Lucida Grande" w:hAnsi="Lucida Grande" w:cs="Lucida Grande"/>
    </w:rPr>
  </w:style>
  <w:style w:type="character" w:customStyle="1" w:styleId="MappadocumentoCarattere">
    <w:name w:val="Mappa documento Carattere"/>
    <w:basedOn w:val="Caratterepredefinitoparagrafo"/>
    <w:link w:val="Mappadocumento"/>
    <w:uiPriority w:val="99"/>
    <w:semiHidden/>
    <w:rsid w:val="00DD185A"/>
    <w:rPr>
      <w:rFonts w:ascii="Lucida Grande" w:hAnsi="Lucida Grande" w:cs="Lucida Grande"/>
    </w:rPr>
  </w:style>
  <w:style w:type="paragraph" w:customStyle="1" w:styleId="normal">
    <w:name w:val="normal"/>
    <w:rsid w:val="001C3D81"/>
    <w:rPr>
      <w:rFonts w:ascii="Cambria" w:eastAsia="Cambria" w:hAnsi="Cambria" w:cs="Cambria"/>
      <w:lang w:val="en-GB"/>
    </w:rPr>
  </w:style>
  <w:style w:type="paragraph" w:styleId="Revisione">
    <w:name w:val="Revision"/>
    <w:hidden/>
    <w:uiPriority w:val="99"/>
    <w:semiHidden/>
    <w:rsid w:val="002E50BF"/>
  </w:style>
  <w:style w:type="character" w:styleId="Rimandonotadichiusura">
    <w:name w:val="endnote reference"/>
    <w:basedOn w:val="Caratterepredefinitoparagrafo"/>
    <w:uiPriority w:val="99"/>
    <w:unhideWhenUsed/>
    <w:rsid w:val="002D165F"/>
    <w:rPr>
      <w:vertAlign w:val="superscript"/>
    </w:rPr>
  </w:style>
  <w:style w:type="table" w:styleId="Grigliatabella">
    <w:name w:val="Table Grid"/>
    <w:basedOn w:val="Tabellanormale"/>
    <w:uiPriority w:val="59"/>
    <w:rsid w:val="00953D1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taapidipagina">
    <w:name w:val="footnote text"/>
    <w:basedOn w:val="Normale"/>
    <w:link w:val="TestonotaapidipaginaCarattere"/>
    <w:uiPriority w:val="99"/>
    <w:unhideWhenUsed/>
    <w:rsid w:val="008D7266"/>
  </w:style>
  <w:style w:type="character" w:customStyle="1" w:styleId="TestonotaapidipaginaCarattere">
    <w:name w:val="Testo nota a piè di pagina Carattere"/>
    <w:basedOn w:val="Caratterepredefinitoparagrafo"/>
    <w:link w:val="Testonotaapidipagina"/>
    <w:uiPriority w:val="99"/>
    <w:rsid w:val="008D7266"/>
  </w:style>
  <w:style w:type="character" w:styleId="Rimandonotaapidipagina">
    <w:name w:val="footnote reference"/>
    <w:basedOn w:val="Caratterepredefinitoparagrafo"/>
    <w:uiPriority w:val="99"/>
    <w:unhideWhenUsed/>
    <w:rsid w:val="008D7266"/>
    <w:rPr>
      <w:vertAlign w:val="superscript"/>
    </w:rPr>
  </w:style>
  <w:style w:type="paragraph" w:styleId="Pidipagina">
    <w:name w:val="footer"/>
    <w:basedOn w:val="Normale"/>
    <w:link w:val="PidipaginaCarattere"/>
    <w:uiPriority w:val="99"/>
    <w:unhideWhenUsed/>
    <w:rsid w:val="005905FF"/>
    <w:pPr>
      <w:tabs>
        <w:tab w:val="center" w:pos="4819"/>
        <w:tab w:val="right" w:pos="9638"/>
      </w:tabs>
    </w:pPr>
  </w:style>
  <w:style w:type="character" w:customStyle="1" w:styleId="PidipaginaCarattere">
    <w:name w:val="Piè di pagina Carattere"/>
    <w:basedOn w:val="Caratterepredefinitoparagrafo"/>
    <w:link w:val="Pidipagina"/>
    <w:uiPriority w:val="99"/>
    <w:rsid w:val="005905FF"/>
  </w:style>
  <w:style w:type="character" w:styleId="Numeropagina">
    <w:name w:val="page number"/>
    <w:basedOn w:val="Caratterepredefinitoparagrafo"/>
    <w:uiPriority w:val="99"/>
    <w:semiHidden/>
    <w:unhideWhenUsed/>
    <w:rsid w:val="005905FF"/>
  </w:style>
  <w:style w:type="paragraph" w:styleId="Paragrafoelenco">
    <w:name w:val="List Paragraph"/>
    <w:basedOn w:val="Normale"/>
    <w:uiPriority w:val="34"/>
    <w:qFormat/>
    <w:rsid w:val="004A45AB"/>
    <w:pPr>
      <w:ind w:left="720"/>
      <w:contextualSpacing/>
    </w:pPr>
  </w:style>
  <w:style w:type="paragraph" w:styleId="Testonotadichiusura">
    <w:name w:val="endnote text"/>
    <w:basedOn w:val="Normale"/>
    <w:link w:val="TestonotadichiusuraCarattere"/>
    <w:uiPriority w:val="99"/>
    <w:unhideWhenUsed/>
    <w:rsid w:val="00CB398B"/>
  </w:style>
  <w:style w:type="character" w:customStyle="1" w:styleId="TestonotadichiusuraCarattere">
    <w:name w:val="Testo nota di chiusura Carattere"/>
    <w:basedOn w:val="Caratterepredefinitoparagrafo"/>
    <w:link w:val="Testonotadichiusura"/>
    <w:uiPriority w:val="99"/>
    <w:rsid w:val="00CB398B"/>
  </w:style>
  <w:style w:type="character" w:styleId="Rimandocommento">
    <w:name w:val="annotation reference"/>
    <w:basedOn w:val="Caratterepredefinitoparagrafo"/>
    <w:uiPriority w:val="99"/>
    <w:semiHidden/>
    <w:unhideWhenUsed/>
    <w:rsid w:val="002A7DBD"/>
    <w:rPr>
      <w:sz w:val="18"/>
      <w:szCs w:val="18"/>
    </w:rPr>
  </w:style>
  <w:style w:type="paragraph" w:styleId="Testocommento">
    <w:name w:val="annotation text"/>
    <w:basedOn w:val="Normale"/>
    <w:link w:val="TestocommentoCarattere"/>
    <w:uiPriority w:val="99"/>
    <w:semiHidden/>
    <w:unhideWhenUsed/>
    <w:rsid w:val="002A7DBD"/>
  </w:style>
  <w:style w:type="character" w:customStyle="1" w:styleId="TestocommentoCarattere">
    <w:name w:val="Testo commento Carattere"/>
    <w:basedOn w:val="Caratterepredefinitoparagrafo"/>
    <w:link w:val="Testocommento"/>
    <w:uiPriority w:val="99"/>
    <w:semiHidden/>
    <w:rsid w:val="002A7DBD"/>
  </w:style>
  <w:style w:type="paragraph" w:styleId="Soggettocommento">
    <w:name w:val="annotation subject"/>
    <w:basedOn w:val="Testocommento"/>
    <w:next w:val="Testocommento"/>
    <w:link w:val="SoggettocommentoCarattere"/>
    <w:uiPriority w:val="99"/>
    <w:semiHidden/>
    <w:unhideWhenUsed/>
    <w:rsid w:val="002A7DBD"/>
    <w:rPr>
      <w:b/>
      <w:bCs/>
      <w:sz w:val="20"/>
      <w:szCs w:val="20"/>
    </w:rPr>
  </w:style>
  <w:style w:type="character" w:customStyle="1" w:styleId="SoggettocommentoCarattere">
    <w:name w:val="Soggetto commento Carattere"/>
    <w:basedOn w:val="TestocommentoCarattere"/>
    <w:link w:val="Soggettocommento"/>
    <w:uiPriority w:val="99"/>
    <w:semiHidden/>
    <w:rsid w:val="002A7DBD"/>
    <w:rPr>
      <w:b/>
      <w:bCs/>
      <w:sz w:val="20"/>
      <w:szCs w:val="20"/>
    </w:rPr>
  </w:style>
  <w:style w:type="paragraph" w:styleId="Testofumetto">
    <w:name w:val="Balloon Text"/>
    <w:basedOn w:val="Normale"/>
    <w:link w:val="TestofumettoCarattere"/>
    <w:uiPriority w:val="99"/>
    <w:semiHidden/>
    <w:unhideWhenUsed/>
    <w:rsid w:val="002A7DBD"/>
    <w:rPr>
      <w:rFonts w:ascii="Lucida Grande" w:hAnsi="Lucida Grande"/>
      <w:sz w:val="18"/>
      <w:szCs w:val="18"/>
    </w:rPr>
  </w:style>
  <w:style w:type="character" w:customStyle="1" w:styleId="TestofumettoCarattere">
    <w:name w:val="Testo fumetto Carattere"/>
    <w:basedOn w:val="Caratterepredefinitoparagrafo"/>
    <w:link w:val="Testofumetto"/>
    <w:uiPriority w:val="99"/>
    <w:semiHidden/>
    <w:rsid w:val="002A7DBD"/>
    <w:rPr>
      <w:rFonts w:ascii="Lucida Grande" w:hAnsi="Lucida Grande"/>
      <w:sz w:val="18"/>
      <w:szCs w:val="18"/>
    </w:rPr>
  </w:style>
  <w:style w:type="paragraph" w:customStyle="1" w:styleId="Normale1">
    <w:name w:val="Normale1"/>
    <w:rsid w:val="00D00F05"/>
    <w:rPr>
      <w:rFonts w:ascii="Cambria" w:eastAsia="Cambria" w:hAnsi="Cambria" w:cs="Cambria"/>
      <w:lang w:val="en-GB"/>
    </w:rPr>
  </w:style>
  <w:style w:type="paragraph" w:styleId="Intestazione">
    <w:name w:val="header"/>
    <w:basedOn w:val="Normale"/>
    <w:link w:val="IntestazioneCarattere"/>
    <w:uiPriority w:val="99"/>
    <w:unhideWhenUsed/>
    <w:rsid w:val="001B7751"/>
    <w:pPr>
      <w:tabs>
        <w:tab w:val="center" w:pos="4819"/>
        <w:tab w:val="right" w:pos="9638"/>
      </w:tabs>
    </w:pPr>
  </w:style>
  <w:style w:type="character" w:customStyle="1" w:styleId="IntestazioneCarattere">
    <w:name w:val="Intestazione Carattere"/>
    <w:basedOn w:val="Caratterepredefinitoparagrafo"/>
    <w:link w:val="Intestazione"/>
    <w:uiPriority w:val="99"/>
    <w:rsid w:val="001B7751"/>
  </w:style>
  <w:style w:type="character" w:customStyle="1" w:styleId="apple-converted-space">
    <w:name w:val="apple-converted-space"/>
    <w:basedOn w:val="Caratterepredefinitoparagrafo"/>
    <w:rsid w:val="001B7751"/>
  </w:style>
  <w:style w:type="character" w:customStyle="1" w:styleId="eintragtitel">
    <w:name w:val="eintrag_titel"/>
    <w:basedOn w:val="Caratterepredefinitoparagrafo"/>
    <w:rsid w:val="001B7751"/>
  </w:style>
  <w:style w:type="character" w:customStyle="1" w:styleId="eintraglabel">
    <w:name w:val="eintrag_label"/>
    <w:basedOn w:val="Caratterepredefinitoparagrafo"/>
    <w:rsid w:val="001B7751"/>
  </w:style>
  <w:style w:type="paragraph" w:styleId="Corpodeltesto">
    <w:name w:val="Body Text"/>
    <w:basedOn w:val="Normale"/>
    <w:link w:val="CorpodeltestoCarattere"/>
    <w:uiPriority w:val="1"/>
    <w:qFormat/>
    <w:rsid w:val="00A755C3"/>
    <w:pPr>
      <w:widowControl w:val="0"/>
      <w:autoSpaceDE w:val="0"/>
      <w:autoSpaceDN w:val="0"/>
    </w:pPr>
    <w:rPr>
      <w:rFonts w:ascii="Verdana" w:eastAsia="Verdana" w:hAnsi="Verdana" w:cs="Verdana"/>
      <w:sz w:val="20"/>
      <w:szCs w:val="20"/>
      <w:lang w:eastAsia="en-US"/>
    </w:rPr>
  </w:style>
  <w:style w:type="character" w:customStyle="1" w:styleId="CorpodeltestoCarattere">
    <w:name w:val="Corpo del testo Carattere"/>
    <w:basedOn w:val="Caratterepredefinitoparagrafo"/>
    <w:link w:val="Corpodeltesto"/>
    <w:uiPriority w:val="1"/>
    <w:rsid w:val="00A755C3"/>
    <w:rPr>
      <w:rFonts w:ascii="Verdana" w:eastAsia="Verdana" w:hAnsi="Verdana" w:cs="Verdana"/>
      <w:sz w:val="20"/>
      <w:szCs w:val="20"/>
      <w:lang w:eastAsia="en-US"/>
    </w:rPr>
  </w:style>
  <w:style w:type="paragraph" w:customStyle="1" w:styleId="Heading1">
    <w:name w:val="Heading 1"/>
    <w:basedOn w:val="Normale"/>
    <w:uiPriority w:val="1"/>
    <w:qFormat/>
    <w:rsid w:val="00A755C3"/>
    <w:pPr>
      <w:widowControl w:val="0"/>
      <w:autoSpaceDE w:val="0"/>
      <w:autoSpaceDN w:val="0"/>
      <w:ind w:left="2692" w:right="2650" w:hanging="1"/>
      <w:jc w:val="center"/>
      <w:outlineLvl w:val="1"/>
    </w:pPr>
    <w:rPr>
      <w:rFonts w:ascii="Verdana" w:eastAsia="Verdana" w:hAnsi="Verdana" w:cs="Verdana"/>
      <w:sz w:val="28"/>
      <w:szCs w:val="28"/>
      <w:lang w:eastAsia="en-US"/>
    </w:rPr>
  </w:style>
  <w:style w:type="paragraph" w:customStyle="1" w:styleId="Heading2">
    <w:name w:val="Heading 2"/>
    <w:basedOn w:val="Normale"/>
    <w:uiPriority w:val="1"/>
    <w:qFormat/>
    <w:rsid w:val="00A755C3"/>
    <w:pPr>
      <w:widowControl w:val="0"/>
      <w:autoSpaceDE w:val="0"/>
      <w:autoSpaceDN w:val="0"/>
      <w:spacing w:line="242" w:lineRule="exact"/>
      <w:ind w:left="1139"/>
      <w:outlineLvl w:val="2"/>
    </w:pPr>
    <w:rPr>
      <w:rFonts w:ascii="Verdana" w:eastAsia="Verdana" w:hAnsi="Verdana" w:cs="Verdana"/>
      <w:b/>
      <w:bCs/>
      <w:sz w:val="20"/>
      <w:szCs w:val="20"/>
      <w:lang w:eastAsia="en-US"/>
    </w:rPr>
  </w:style>
  <w:style w:type="table" w:styleId="Sfondochiaro-Colore1">
    <w:name w:val="Light Shading Accent 1"/>
    <w:basedOn w:val="Tabellanormale"/>
    <w:uiPriority w:val="60"/>
    <w:rsid w:val="00BA4C7E"/>
    <w:rPr>
      <w:color w:val="365F91" w:themeColor="accent1" w:themeShade="BF"/>
      <w:sz w:val="22"/>
      <w:szCs w:val="22"/>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Mappadocumento">
    <w:name w:val="Document Map"/>
    <w:basedOn w:val="Normale"/>
    <w:link w:val="MappadocumentoCarattere"/>
    <w:uiPriority w:val="99"/>
    <w:semiHidden/>
    <w:unhideWhenUsed/>
    <w:rsid w:val="00DD185A"/>
    <w:rPr>
      <w:rFonts w:ascii="Lucida Grande" w:hAnsi="Lucida Grande" w:cs="Lucida Grande"/>
    </w:rPr>
  </w:style>
  <w:style w:type="character" w:customStyle="1" w:styleId="MappadocumentoCarattere">
    <w:name w:val="Mappa documento Carattere"/>
    <w:basedOn w:val="Caratterepredefinitoparagrafo"/>
    <w:link w:val="Mappadocumento"/>
    <w:uiPriority w:val="99"/>
    <w:semiHidden/>
    <w:rsid w:val="00DD185A"/>
    <w:rPr>
      <w:rFonts w:ascii="Lucida Grande" w:hAnsi="Lucida Grande" w:cs="Lucida Grande"/>
    </w:rPr>
  </w:style>
  <w:style w:type="paragraph" w:customStyle="1" w:styleId="normal">
    <w:name w:val="normal"/>
    <w:rsid w:val="001C3D81"/>
    <w:rPr>
      <w:rFonts w:ascii="Cambria" w:eastAsia="Cambria" w:hAnsi="Cambria" w:cs="Cambria"/>
      <w:lang w:val="en-GB"/>
    </w:rPr>
  </w:style>
  <w:style w:type="paragraph" w:styleId="Revisione">
    <w:name w:val="Revision"/>
    <w:hidden/>
    <w:uiPriority w:val="99"/>
    <w:semiHidden/>
    <w:rsid w:val="002E50BF"/>
  </w:style>
  <w:style w:type="character" w:styleId="Rimandonotadichiusura">
    <w:name w:val="endnote reference"/>
    <w:basedOn w:val="Caratterepredefinitoparagrafo"/>
    <w:uiPriority w:val="99"/>
    <w:unhideWhenUsed/>
    <w:rsid w:val="002D165F"/>
    <w:rPr>
      <w:vertAlign w:val="superscript"/>
    </w:rPr>
  </w:style>
  <w:style w:type="table" w:styleId="Grigliatabella">
    <w:name w:val="Table Grid"/>
    <w:basedOn w:val="Tabellanormale"/>
    <w:uiPriority w:val="59"/>
    <w:rsid w:val="00953D1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41947700">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eader" Target="header1.xml"/><Relationship Id="rId12" Type="http://schemas.openxmlformats.org/officeDocument/2006/relationships/footer" Target="footer1.xml"/><Relationship Id="rId13" Type="http://schemas.openxmlformats.org/officeDocument/2006/relationships/footer" Target="footer2.xml"/><Relationship Id="rId14" Type="http://schemas.openxmlformats.org/officeDocument/2006/relationships/image" Target="media/image3.png"/><Relationship Id="rId15" Type="http://schemas.openxmlformats.org/officeDocument/2006/relationships/image" Target="media/image4.png"/><Relationship Id="rId16" Type="http://schemas.openxmlformats.org/officeDocument/2006/relationships/image" Target="media/image5.png"/><Relationship Id="rId17" Type="http://schemas.openxmlformats.org/officeDocument/2006/relationships/fontTable" Target="fontTable.xml"/><Relationship Id="rId18"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jpeg"/><Relationship Id="rId10" Type="http://schemas.openxmlformats.org/officeDocument/2006/relationships/image" Target="media/image2.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5BCEAA-0612-9A4C-9475-13EDDCEEB9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139</TotalTime>
  <Pages>365</Pages>
  <Words>115403</Words>
  <Characters>657798</Characters>
  <Application>Microsoft Macintosh Word</Application>
  <DocSecurity>0</DocSecurity>
  <Lines>5481</Lines>
  <Paragraphs>1543</Paragraphs>
  <ScaleCrop>false</ScaleCrop>
  <Company/>
  <LinksUpToDate>false</LinksUpToDate>
  <CharactersWithSpaces>771658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Simone</dc:creator>
  <cp:keywords/>
  <dc:description/>
  <cp:lastModifiedBy>Simone</cp:lastModifiedBy>
  <cp:revision>22</cp:revision>
  <cp:lastPrinted>2021-01-19T11:16:00Z</cp:lastPrinted>
  <dcterms:created xsi:type="dcterms:W3CDTF">2021-01-25T16:03:00Z</dcterms:created>
  <dcterms:modified xsi:type="dcterms:W3CDTF">2021-02-24T11:16:00Z</dcterms:modified>
</cp:coreProperties>
</file>